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94.xml" ContentType="application/vnd.openxmlformats-officedocument.wordprocessingml.header+xml"/>
  <Override PartName="/word/header112.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01.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43.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90.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header50.xml" ContentType="application/vnd.openxmlformats-officedocument.wordprocessingml.header+xml"/>
  <Override PartName="/word/stylesWithEffects.xml" ContentType="application/vnd.ms-word.stylesWithEffects+xml"/>
  <Override PartName="/word/header10.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88.xml" ContentType="application/vnd.openxmlformats-officedocument.wordprocessingml.header+xml"/>
  <Override PartName="/word/header99.xml" ContentType="application/vnd.openxmlformats-officedocument.wordprocessingml.header+xml"/>
  <Override PartName="/word/header117.xml" ContentType="application/vnd.openxmlformats-officedocument.wordprocessingml.header+xml"/>
  <Override PartName="/word/header59.xml" ContentType="application/vnd.openxmlformats-officedocument.wordprocessingml.header+xml"/>
  <Override PartName="/word/header77.xml" ContentType="application/vnd.openxmlformats-officedocument.wordprocessingml.header+xml"/>
  <Override PartName="/word/header106.xml" ContentType="application/vnd.openxmlformats-officedocument.wordprocessingml.header+xml"/>
  <Override PartName="/word/header124.xml" ContentType="application/vnd.openxmlformats-officedocument.wordprocessingml.header+xml"/>
  <Default Extension="png" ContentType="image/png"/>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91.xml" ContentType="application/vnd.openxmlformats-officedocument.wordprocessingml.header+xml"/>
  <Override PartName="/word/header93.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header120.xml" ContentType="application/vnd.openxmlformats-officedocument.wordprocessingml.header+xml"/>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109.xml" ContentType="application/vnd.openxmlformats-officedocument.wordprocessingml.header+xml"/>
  <Override PartName="/word/header118.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89.xml" ContentType="application/vnd.openxmlformats-officedocument.wordprocessingml.header+xml"/>
  <Override PartName="/word/header98.xml" ContentType="application/vnd.openxmlformats-officedocument.wordprocessingml.header+xml"/>
  <Override PartName="/word/header107.xml" ContentType="application/vnd.openxmlformats-officedocument.wordprocessingml.header+xml"/>
  <Override PartName="/word/header116.xml" ContentType="application/vnd.openxmlformats-officedocument.wordprocessingml.header+xml"/>
  <Override PartName="/word/header125.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word/header96.xml" ContentType="application/vnd.openxmlformats-officedocument.wordprocessingml.header+xml"/>
  <Override PartName="/word/header105.xml" ContentType="application/vnd.openxmlformats-officedocument.wordprocessingml.header+xml"/>
  <Override PartName="/word/header114.xml" ContentType="application/vnd.openxmlformats-officedocument.wordprocessingml.header+xml"/>
  <Override PartName="/word/header123.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03.xml" ContentType="application/vnd.openxmlformats-officedocument.wordprocessingml.header+xml"/>
  <Override PartName="/word/header121.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92.xml" ContentType="application/vnd.openxmlformats-officedocument.wordprocessingml.header+xml"/>
  <Override PartName="/word/header110.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Override PartName="/word/header12.xml" ContentType="application/vnd.openxmlformats-officedocument.wordprocessingml.header+xml"/>
  <Override PartName="/word/header23.xml" ContentType="application/vnd.openxmlformats-officedocument.wordprocessingml.header+xml"/>
  <Override PartName="/word/header41.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119.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108.xml" ContentType="application/vnd.openxmlformats-officedocument.wordprocessingml.header+xml"/>
  <Override PartName="/word/header126.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15.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header75.xml" ContentType="application/vnd.openxmlformats-officedocument.wordprocessingml.header+xml"/>
  <Override PartName="/word/header104.xml" ContentType="application/vnd.openxmlformats-officedocument.wordprocessingml.header+xml"/>
  <Override PartName="/word/header12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63E" w:rsidRDefault="0015663E" w:rsidP="0015663E">
      <w:pPr>
        <w:pStyle w:val="ac"/>
        <w:jc w:val="center"/>
        <w:rPr>
          <w:rFonts w:cs="SKR HEAD1"/>
          <w:sz w:val="70"/>
          <w:szCs w:val="70"/>
        </w:rPr>
      </w:pPr>
      <w:bookmarkStart w:id="0" w:name="_Toc168326350"/>
      <w:bookmarkStart w:id="1" w:name="_Toc128031709"/>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01197C" w:rsidRDefault="0001197C" w:rsidP="0015663E">
      <w:pPr>
        <w:pStyle w:val="ac"/>
        <w:jc w:val="center"/>
        <w:rPr>
          <w:rFonts w:cs="SKR HEAD1"/>
          <w:sz w:val="70"/>
          <w:szCs w:val="70"/>
        </w:rPr>
      </w:pPr>
    </w:p>
    <w:p w:rsidR="0015663E" w:rsidRDefault="0015663E" w:rsidP="0015663E">
      <w:pPr>
        <w:pStyle w:val="ac"/>
        <w:jc w:val="center"/>
        <w:rPr>
          <w:rFonts w:cs="SKR HEAD1"/>
          <w:sz w:val="70"/>
          <w:szCs w:val="70"/>
        </w:rPr>
      </w:pPr>
    </w:p>
    <w:p w:rsidR="00111B11" w:rsidRPr="00111B11" w:rsidRDefault="00111B11" w:rsidP="00A72D5F">
      <w:pPr>
        <w:pStyle w:val="ac"/>
        <w:jc w:val="right"/>
        <w:rPr>
          <w:rFonts w:cs="SKR HEAD1"/>
          <w:sz w:val="70"/>
          <w:szCs w:val="70"/>
          <w:rtl/>
        </w:rPr>
      </w:pPr>
      <w:r w:rsidRPr="00111B11">
        <w:rPr>
          <w:rFonts w:cs="SKR HEAD1" w:hint="cs"/>
          <w:sz w:val="70"/>
          <w:szCs w:val="70"/>
          <w:rtl/>
        </w:rPr>
        <w:t>المرأة في الفكر الإسلامي المعاصر</w:t>
      </w:r>
    </w:p>
    <w:p w:rsidR="0001197C" w:rsidRPr="00111B11" w:rsidRDefault="00A72D5F" w:rsidP="00111B11">
      <w:pPr>
        <w:pStyle w:val="ac"/>
        <w:jc w:val="center"/>
        <w:rPr>
          <w:rFonts w:cs="SKR HEAD1"/>
          <w:sz w:val="70"/>
          <w:szCs w:val="70"/>
          <w:rtl/>
        </w:rPr>
      </w:pPr>
      <w:r>
        <w:rPr>
          <w:rFonts w:cs="SKR HEAD1"/>
          <w:sz w:val="70"/>
          <w:szCs w:val="70"/>
        </w:rPr>
        <w:t xml:space="preserve">          </w:t>
      </w:r>
      <w:r w:rsidR="00111B11" w:rsidRPr="00111B11">
        <w:rPr>
          <w:rFonts w:cs="SKR HEAD1" w:hint="cs"/>
          <w:sz w:val="70"/>
          <w:szCs w:val="70"/>
          <w:rtl/>
        </w:rPr>
        <w:t>قضايا وإشكاليات</w:t>
      </w:r>
      <w:r w:rsidR="00111B11" w:rsidRPr="001533CF">
        <w:rPr>
          <w:rFonts w:cs="SKR HEAD1" w:hint="cs"/>
          <w:sz w:val="70"/>
          <w:szCs w:val="70"/>
          <w:rtl/>
        </w:rPr>
        <w:t xml:space="preserve"> </w:t>
      </w:r>
      <w:bookmarkStart w:id="2" w:name="_Toc255949425"/>
      <w:bookmarkStart w:id="3" w:name="_Toc237834985"/>
    </w:p>
    <w:p w:rsidR="00111B11" w:rsidRPr="00111B11" w:rsidRDefault="001533CF" w:rsidP="00111B11">
      <w:pPr>
        <w:pStyle w:val="ac"/>
        <w:jc w:val="center"/>
        <w:rPr>
          <w:rFonts w:cs="SKR HEAD1"/>
          <w:sz w:val="70"/>
          <w:szCs w:val="70"/>
          <w:rtl/>
        </w:rPr>
      </w:pPr>
      <w:r>
        <w:rPr>
          <w:rFonts w:cs="SKR HEAD1"/>
          <w:sz w:val="88"/>
          <w:szCs w:val="88"/>
          <w:rtl/>
        </w:rPr>
        <w:br w:type="page"/>
      </w:r>
      <w:r>
        <w:rPr>
          <w:rFonts w:cs="SKR HEAD1"/>
          <w:sz w:val="88"/>
          <w:szCs w:val="88"/>
          <w:rtl/>
        </w:rPr>
        <w:lastRenderedPageBreak/>
        <w:br w:type="page"/>
      </w:r>
      <w:bookmarkEnd w:id="2"/>
      <w:r w:rsidR="00111B11" w:rsidRPr="00111B11">
        <w:rPr>
          <w:rFonts w:cs="SKR HEAD1" w:hint="cs"/>
          <w:sz w:val="70"/>
          <w:szCs w:val="70"/>
          <w:rtl/>
        </w:rPr>
        <w:lastRenderedPageBreak/>
        <w:t>المرأة في الفكر الإسلامي المعاصر</w:t>
      </w:r>
    </w:p>
    <w:p w:rsidR="00111B11" w:rsidRPr="00111B11" w:rsidRDefault="00111B11" w:rsidP="00111B11">
      <w:pPr>
        <w:pStyle w:val="ac"/>
        <w:jc w:val="center"/>
        <w:rPr>
          <w:rFonts w:cs="SKR HEAD1"/>
          <w:sz w:val="70"/>
          <w:szCs w:val="70"/>
          <w:rtl/>
        </w:rPr>
      </w:pPr>
      <w:r w:rsidRPr="00111B11">
        <w:rPr>
          <w:rFonts w:cs="SKR HEAD1" w:hint="cs"/>
          <w:sz w:val="70"/>
          <w:szCs w:val="70"/>
          <w:rtl/>
        </w:rPr>
        <w:t>قضايا وإشكاليات</w:t>
      </w:r>
      <w:r w:rsidRPr="001533CF">
        <w:rPr>
          <w:rFonts w:cs="SKR HEAD1" w:hint="cs"/>
          <w:sz w:val="70"/>
          <w:szCs w:val="70"/>
          <w:rtl/>
        </w:rPr>
        <w:t xml:space="preserve"> </w:t>
      </w:r>
    </w:p>
    <w:p w:rsidR="00D4182C" w:rsidRDefault="00D4182C" w:rsidP="00111B11">
      <w:pPr>
        <w:pStyle w:val="ac"/>
        <w:ind w:firstLine="0"/>
        <w:jc w:val="center"/>
        <w:rPr>
          <w:sz w:val="40"/>
          <w:szCs w:val="46"/>
        </w:rPr>
      </w:pPr>
    </w:p>
    <w:p w:rsidR="00111B11" w:rsidRPr="00490847" w:rsidRDefault="00111B11" w:rsidP="00111B11">
      <w:pPr>
        <w:jc w:val="lowKashida"/>
        <w:rPr>
          <w:rFonts w:cs="Ya-Ali"/>
          <w:sz w:val="32"/>
          <w:szCs w:val="32"/>
          <w:rtl/>
        </w:rPr>
      </w:pPr>
      <w:r w:rsidRPr="000275BA">
        <w:rPr>
          <w:rFonts w:cs="Ya-Ali" w:hint="cs"/>
          <w:sz w:val="20"/>
          <w:szCs w:val="20"/>
        </w:rPr>
        <w:sym w:font="Wingdings" w:char="F071"/>
      </w:r>
      <w:r>
        <w:rPr>
          <w:rFonts w:cs="Ya-Ali" w:hint="cs"/>
          <w:sz w:val="32"/>
          <w:szCs w:val="32"/>
          <w:rtl/>
        </w:rPr>
        <w:t xml:space="preserve"> د. عبدالكريم سروش</w:t>
      </w:r>
      <w:r>
        <w:rPr>
          <w:rFonts w:cs="Ya-Ali"/>
          <w:sz w:val="32"/>
          <w:szCs w:val="32"/>
        </w:rPr>
        <w:tab/>
      </w:r>
      <w:r>
        <w:rPr>
          <w:rFonts w:cs="Ya-Ali"/>
          <w:sz w:val="32"/>
          <w:szCs w:val="32"/>
        </w:rPr>
        <w:tab/>
      </w:r>
      <w:r>
        <w:rPr>
          <w:rFonts w:cs="Ya-Ali"/>
          <w:sz w:val="32"/>
          <w:szCs w:val="32"/>
        </w:rPr>
        <w:tab/>
      </w:r>
      <w:r w:rsidRPr="000275BA">
        <w:rPr>
          <w:rFonts w:cs="Ya-Ali" w:hint="cs"/>
          <w:sz w:val="20"/>
          <w:szCs w:val="20"/>
        </w:rPr>
        <w:sym w:font="Wingdings" w:char="F071"/>
      </w:r>
      <w:r>
        <w:rPr>
          <w:rFonts w:cs="Ya-Ali" w:hint="cs"/>
          <w:sz w:val="32"/>
          <w:szCs w:val="32"/>
          <w:rtl/>
        </w:rPr>
        <w:t xml:space="preserve"> د. مصطفى ملكيان</w:t>
      </w:r>
    </w:p>
    <w:p w:rsidR="00111B11" w:rsidRPr="00490847" w:rsidRDefault="00111B11" w:rsidP="00111B11">
      <w:pPr>
        <w:jc w:val="lowKashida"/>
        <w:rPr>
          <w:rFonts w:cs="Ya-Ali"/>
          <w:sz w:val="32"/>
          <w:szCs w:val="32"/>
          <w:rtl/>
        </w:rPr>
      </w:pPr>
      <w:r w:rsidRPr="000275BA">
        <w:rPr>
          <w:rFonts w:cs="Ya-Ali" w:hint="cs"/>
          <w:sz w:val="20"/>
          <w:szCs w:val="20"/>
        </w:rPr>
        <w:sym w:font="Wingdings" w:char="F071"/>
      </w:r>
      <w:r>
        <w:rPr>
          <w:rFonts w:cs="Ya-Ali" w:hint="cs"/>
          <w:sz w:val="32"/>
          <w:szCs w:val="32"/>
          <w:rtl/>
        </w:rPr>
        <w:t xml:space="preserve"> الشيخ محمد مجتهد شبستري</w:t>
      </w:r>
      <w:r w:rsidRPr="00490847">
        <w:rPr>
          <w:rFonts w:cs="Ya-Ali" w:hint="cs"/>
          <w:sz w:val="32"/>
          <w:szCs w:val="32"/>
          <w:rtl/>
        </w:rPr>
        <w:tab/>
      </w:r>
      <w:r>
        <w:rPr>
          <w:rFonts w:cs="Ya-Ali"/>
          <w:sz w:val="32"/>
          <w:szCs w:val="32"/>
        </w:rPr>
        <w:tab/>
      </w:r>
      <w:r w:rsidRPr="000275BA">
        <w:rPr>
          <w:rFonts w:cs="Ya-Ali" w:hint="cs"/>
          <w:sz w:val="20"/>
          <w:szCs w:val="20"/>
        </w:rPr>
        <w:sym w:font="Wingdings" w:char="F071"/>
      </w:r>
      <w:r>
        <w:rPr>
          <w:rFonts w:cs="Ya-Ali" w:hint="cs"/>
          <w:sz w:val="32"/>
          <w:szCs w:val="32"/>
          <w:rtl/>
        </w:rPr>
        <w:t xml:space="preserve"> الشيخ مهدي مهريزي</w:t>
      </w:r>
    </w:p>
    <w:p w:rsidR="00111B11" w:rsidRDefault="00111B11" w:rsidP="00111B11">
      <w:pPr>
        <w:jc w:val="lowKashida"/>
        <w:rPr>
          <w:rFonts w:cs="Ya-Ali"/>
          <w:sz w:val="32"/>
          <w:szCs w:val="32"/>
          <w:rtl/>
        </w:rPr>
      </w:pPr>
      <w:r w:rsidRPr="000275BA">
        <w:rPr>
          <w:rFonts w:cs="Ya-Ali" w:hint="cs"/>
          <w:sz w:val="20"/>
          <w:szCs w:val="20"/>
        </w:rPr>
        <w:sym w:font="Wingdings" w:char="F071"/>
      </w:r>
      <w:r>
        <w:rPr>
          <w:rFonts w:cs="Ya-Ali" w:hint="cs"/>
          <w:sz w:val="32"/>
          <w:szCs w:val="32"/>
          <w:rtl/>
        </w:rPr>
        <w:t xml:space="preserve"> الشيخ يوسف الصانعي</w:t>
      </w:r>
      <w:r w:rsidRPr="00490847">
        <w:rPr>
          <w:rFonts w:cs="Ya-Ali" w:hint="cs"/>
          <w:sz w:val="32"/>
          <w:szCs w:val="32"/>
          <w:rtl/>
        </w:rPr>
        <w:t xml:space="preserve"> </w:t>
      </w:r>
      <w:r>
        <w:rPr>
          <w:rFonts w:cs="Ya-Ali" w:hint="cs"/>
          <w:sz w:val="32"/>
          <w:szCs w:val="32"/>
          <w:rtl/>
        </w:rPr>
        <w:tab/>
        <w:t xml:space="preserve">          </w:t>
      </w:r>
      <w:r>
        <w:rPr>
          <w:rFonts w:cs="Ya-Ali" w:hint="cs"/>
          <w:sz w:val="20"/>
          <w:szCs w:val="20"/>
          <w:rtl/>
        </w:rPr>
        <w:t xml:space="preserve"> </w:t>
      </w:r>
      <w:r>
        <w:rPr>
          <w:rFonts w:cs="Ya-Ali"/>
          <w:sz w:val="20"/>
          <w:szCs w:val="20"/>
        </w:rPr>
        <w:tab/>
      </w:r>
      <w:r w:rsidRPr="000275BA">
        <w:rPr>
          <w:rFonts w:cs="Ya-Ali" w:hint="cs"/>
          <w:sz w:val="20"/>
          <w:szCs w:val="20"/>
        </w:rPr>
        <w:sym w:font="Wingdings" w:char="F071"/>
      </w:r>
      <w:r>
        <w:rPr>
          <w:rFonts w:cs="Ya-Ali" w:hint="cs"/>
          <w:sz w:val="32"/>
          <w:szCs w:val="32"/>
          <w:rtl/>
        </w:rPr>
        <w:t xml:space="preserve"> أ. بخش علي قنبري</w:t>
      </w:r>
    </w:p>
    <w:p w:rsidR="00111B11" w:rsidRDefault="00111B11" w:rsidP="00111B11">
      <w:pPr>
        <w:jc w:val="lowKashida"/>
        <w:rPr>
          <w:rFonts w:cs="Ya-Ali"/>
          <w:sz w:val="32"/>
          <w:szCs w:val="32"/>
          <w:rtl/>
        </w:rPr>
      </w:pPr>
      <w:r w:rsidRPr="000275BA">
        <w:rPr>
          <w:rFonts w:cs="Ya-Ali" w:hint="cs"/>
          <w:sz w:val="20"/>
          <w:szCs w:val="20"/>
        </w:rPr>
        <w:sym w:font="Wingdings" w:char="F071"/>
      </w:r>
      <w:r>
        <w:rPr>
          <w:rFonts w:cs="Ya-Ali" w:hint="cs"/>
          <w:sz w:val="32"/>
          <w:szCs w:val="32"/>
          <w:rtl/>
        </w:rPr>
        <w:t xml:space="preserve"> الشيخ محمد علي التسخيري    </w:t>
      </w:r>
      <w:r>
        <w:rPr>
          <w:rFonts w:cs="Ya-Ali"/>
          <w:sz w:val="32"/>
          <w:szCs w:val="32"/>
        </w:rPr>
        <w:tab/>
      </w:r>
      <w:r w:rsidRPr="000275BA">
        <w:rPr>
          <w:rFonts w:cs="Ya-Ali" w:hint="cs"/>
          <w:sz w:val="20"/>
          <w:szCs w:val="20"/>
        </w:rPr>
        <w:sym w:font="Wingdings" w:char="F071"/>
      </w:r>
      <w:r>
        <w:rPr>
          <w:rFonts w:cs="Ya-Ali" w:hint="cs"/>
          <w:sz w:val="20"/>
          <w:szCs w:val="20"/>
          <w:rtl/>
        </w:rPr>
        <w:t xml:space="preserve"> </w:t>
      </w:r>
      <w:r>
        <w:rPr>
          <w:rFonts w:cs="Ya-Ali" w:hint="cs"/>
          <w:sz w:val="32"/>
          <w:szCs w:val="32"/>
          <w:rtl/>
        </w:rPr>
        <w:t>د. ناهيد مطيع</w:t>
      </w:r>
    </w:p>
    <w:p w:rsidR="00111B11" w:rsidRPr="00A96EB8" w:rsidRDefault="00111B11" w:rsidP="00111B11">
      <w:pPr>
        <w:jc w:val="lowKashida"/>
        <w:rPr>
          <w:rFonts w:cs="Ya-Ali"/>
          <w:sz w:val="32"/>
          <w:szCs w:val="32"/>
          <w:rtl/>
        </w:rPr>
      </w:pPr>
      <w:r w:rsidRPr="000275BA">
        <w:rPr>
          <w:rFonts w:cs="Ya-Ali" w:hint="cs"/>
          <w:sz w:val="20"/>
          <w:szCs w:val="20"/>
        </w:rPr>
        <w:sym w:font="Wingdings" w:char="F071"/>
      </w:r>
      <w:r>
        <w:rPr>
          <w:rFonts w:cs="Ya-Ali" w:hint="cs"/>
          <w:sz w:val="32"/>
          <w:szCs w:val="32"/>
          <w:rtl/>
        </w:rPr>
        <w:t xml:space="preserve"> د. حامد شهيديان</w:t>
      </w:r>
      <w:r>
        <w:rPr>
          <w:rFonts w:cs="Ya-Ali" w:hint="cs"/>
          <w:sz w:val="32"/>
          <w:szCs w:val="32"/>
          <w:rtl/>
        </w:rPr>
        <w:tab/>
      </w:r>
      <w:r>
        <w:rPr>
          <w:rFonts w:cs="Ya-Ali" w:hint="cs"/>
          <w:sz w:val="32"/>
          <w:szCs w:val="32"/>
          <w:rtl/>
        </w:rPr>
        <w:tab/>
      </w:r>
      <w:r>
        <w:rPr>
          <w:rFonts w:cs="Ya-Ali" w:hint="cs"/>
          <w:sz w:val="32"/>
          <w:szCs w:val="32"/>
          <w:rtl/>
        </w:rPr>
        <w:tab/>
      </w:r>
      <w:r w:rsidRPr="000275BA">
        <w:rPr>
          <w:rFonts w:cs="Ya-Ali" w:hint="cs"/>
          <w:sz w:val="20"/>
          <w:szCs w:val="20"/>
        </w:rPr>
        <w:sym w:font="Wingdings" w:char="F071"/>
      </w:r>
      <w:r>
        <w:rPr>
          <w:rFonts w:cs="Ya-Ali" w:hint="cs"/>
          <w:sz w:val="20"/>
          <w:szCs w:val="20"/>
          <w:rtl/>
        </w:rPr>
        <w:t xml:space="preserve"> </w:t>
      </w:r>
      <w:r w:rsidRPr="00A96EB8">
        <w:rPr>
          <w:rFonts w:cs="Ya-Ali" w:hint="cs"/>
          <w:sz w:val="32"/>
          <w:szCs w:val="32"/>
          <w:rtl/>
        </w:rPr>
        <w:t>السيد</w:t>
      </w:r>
      <w:r>
        <w:rPr>
          <w:rFonts w:cs="Ya-Ali" w:hint="cs"/>
          <w:sz w:val="32"/>
          <w:szCs w:val="32"/>
          <w:rtl/>
        </w:rPr>
        <w:t xml:space="preserve"> </w:t>
      </w:r>
      <w:r w:rsidRPr="00A96EB8">
        <w:rPr>
          <w:rFonts w:cs="Ya-Ali" w:hint="cs"/>
          <w:sz w:val="32"/>
          <w:szCs w:val="32"/>
          <w:rtl/>
        </w:rPr>
        <w:t>محمد</w:t>
      </w:r>
      <w:r>
        <w:rPr>
          <w:rFonts w:cs="Ya-Ali" w:hint="cs"/>
          <w:sz w:val="32"/>
          <w:szCs w:val="32"/>
          <w:rtl/>
        </w:rPr>
        <w:t xml:space="preserve"> </w:t>
      </w:r>
      <w:r w:rsidRPr="00A96EB8">
        <w:rPr>
          <w:rFonts w:cs="Ya-Ali" w:hint="cs"/>
          <w:sz w:val="32"/>
          <w:szCs w:val="32"/>
          <w:rtl/>
        </w:rPr>
        <w:t xml:space="preserve">المازندراني </w:t>
      </w:r>
    </w:p>
    <w:p w:rsidR="00111B11" w:rsidRDefault="00111B11" w:rsidP="00111B11">
      <w:pPr>
        <w:jc w:val="lowKashida"/>
        <w:rPr>
          <w:rFonts w:cs="Ya-Ali"/>
          <w:sz w:val="32"/>
          <w:szCs w:val="32"/>
        </w:rPr>
      </w:pPr>
      <w:r w:rsidRPr="000275BA">
        <w:rPr>
          <w:rFonts w:cs="Ya-Ali" w:hint="cs"/>
          <w:sz w:val="20"/>
          <w:szCs w:val="20"/>
        </w:rPr>
        <w:sym w:font="Wingdings" w:char="F071"/>
      </w:r>
      <w:r>
        <w:rPr>
          <w:rFonts w:cs="Ya-Ali" w:hint="cs"/>
          <w:sz w:val="32"/>
          <w:szCs w:val="32"/>
          <w:rtl/>
        </w:rPr>
        <w:t xml:space="preserve"> د. مهدية السادات مستقيمي</w:t>
      </w:r>
      <w:r>
        <w:rPr>
          <w:rFonts w:cs="Ya-Ali"/>
          <w:sz w:val="32"/>
          <w:szCs w:val="32"/>
        </w:rPr>
        <w:tab/>
      </w:r>
      <w:r>
        <w:rPr>
          <w:rFonts w:cs="Ya-Ali"/>
          <w:sz w:val="32"/>
          <w:szCs w:val="32"/>
        </w:rPr>
        <w:tab/>
      </w:r>
      <w:r w:rsidRPr="000275BA">
        <w:rPr>
          <w:rFonts w:cs="Ya-Ali" w:hint="cs"/>
          <w:sz w:val="20"/>
          <w:szCs w:val="20"/>
        </w:rPr>
        <w:sym w:font="Wingdings" w:char="F071"/>
      </w:r>
      <w:r>
        <w:rPr>
          <w:rFonts w:cs="Ya-Ali" w:hint="cs"/>
          <w:sz w:val="20"/>
          <w:szCs w:val="20"/>
          <w:rtl/>
        </w:rPr>
        <w:t xml:space="preserve"> </w:t>
      </w:r>
      <w:r>
        <w:rPr>
          <w:rFonts w:cs="Ya-Ali" w:hint="cs"/>
          <w:sz w:val="32"/>
          <w:szCs w:val="32"/>
          <w:rtl/>
        </w:rPr>
        <w:t>د. خسرو باقري</w:t>
      </w:r>
      <w:r>
        <w:rPr>
          <w:rFonts w:cs="Ya-Ali" w:hint="cs"/>
          <w:sz w:val="32"/>
          <w:szCs w:val="32"/>
          <w:rtl/>
        </w:rPr>
        <w:tab/>
      </w:r>
    </w:p>
    <w:p w:rsidR="00A72D5F" w:rsidRDefault="00A72D5F" w:rsidP="00A72D5F">
      <w:pPr>
        <w:jc w:val="lowKashida"/>
        <w:rPr>
          <w:rFonts w:cs="Ya-Ali"/>
          <w:sz w:val="32"/>
          <w:szCs w:val="32"/>
          <w:rtl/>
        </w:rPr>
      </w:pPr>
      <w:r w:rsidRPr="000275BA">
        <w:rPr>
          <w:rFonts w:cs="Ya-Ali" w:hint="cs"/>
          <w:sz w:val="20"/>
          <w:szCs w:val="20"/>
        </w:rPr>
        <w:sym w:font="Wingdings" w:char="F071"/>
      </w:r>
      <w:r>
        <w:rPr>
          <w:rFonts w:cs="Ya-Ali" w:hint="cs"/>
          <w:sz w:val="32"/>
          <w:szCs w:val="32"/>
          <w:rtl/>
        </w:rPr>
        <w:t xml:space="preserve"> الشيخ حيدر حبّ الله</w:t>
      </w:r>
      <w:r>
        <w:rPr>
          <w:rFonts w:cs="Ya-Ali" w:hint="cs"/>
          <w:sz w:val="32"/>
          <w:szCs w:val="32"/>
          <w:rtl/>
        </w:rPr>
        <w:tab/>
      </w:r>
      <w:r>
        <w:rPr>
          <w:rFonts w:cs="Ya-Ali"/>
          <w:sz w:val="32"/>
          <w:szCs w:val="32"/>
        </w:rPr>
        <w:tab/>
      </w:r>
      <w:r>
        <w:rPr>
          <w:rFonts w:cs="Ya-Ali"/>
          <w:sz w:val="32"/>
          <w:szCs w:val="32"/>
        </w:rPr>
        <w:tab/>
      </w:r>
      <w:r w:rsidRPr="000275BA">
        <w:rPr>
          <w:rFonts w:cs="Ya-Ali" w:hint="cs"/>
          <w:sz w:val="20"/>
          <w:szCs w:val="20"/>
        </w:rPr>
        <w:sym w:font="Wingdings" w:char="F071"/>
      </w:r>
      <w:r>
        <w:rPr>
          <w:rFonts w:cs="Ya-Ali" w:hint="cs"/>
          <w:sz w:val="20"/>
          <w:szCs w:val="20"/>
          <w:rtl/>
        </w:rPr>
        <w:t xml:space="preserve"> </w:t>
      </w:r>
      <w:r>
        <w:rPr>
          <w:rFonts w:cs="Ya-Ali" w:hint="cs"/>
          <w:sz w:val="32"/>
          <w:szCs w:val="32"/>
          <w:rtl/>
        </w:rPr>
        <w:t>أ. د. عبد الأمير كاظم زاهد</w:t>
      </w:r>
    </w:p>
    <w:p w:rsidR="001533CF" w:rsidRPr="00207C60" w:rsidRDefault="00111B11" w:rsidP="00A72D5F">
      <w:pPr>
        <w:spacing w:line="460" w:lineRule="exact"/>
        <w:rPr>
          <w:rFonts w:cs="Abz-3 (Yagut)"/>
          <w:sz w:val="32"/>
          <w:szCs w:val="25"/>
          <w:rtl/>
        </w:rPr>
      </w:pPr>
      <w:r w:rsidRPr="000275BA">
        <w:rPr>
          <w:rFonts w:cs="Ya-Ali" w:hint="cs"/>
          <w:sz w:val="20"/>
          <w:szCs w:val="20"/>
        </w:rPr>
        <w:sym w:font="Wingdings" w:char="F071"/>
      </w:r>
      <w:r>
        <w:rPr>
          <w:rFonts w:cs="Ya-Ali" w:hint="cs"/>
          <w:sz w:val="32"/>
          <w:szCs w:val="32"/>
          <w:rtl/>
        </w:rPr>
        <w:t xml:space="preserve"> أ. حميدة عامري</w:t>
      </w:r>
      <w:r w:rsidR="00A72D5F">
        <w:rPr>
          <w:rFonts w:cs="Ya-Ali" w:hint="cs"/>
          <w:sz w:val="32"/>
          <w:szCs w:val="32"/>
          <w:rtl/>
        </w:rPr>
        <w:tab/>
      </w:r>
      <w:r w:rsidR="00A72D5F">
        <w:rPr>
          <w:rFonts w:cs="Ya-Ali" w:hint="cs"/>
          <w:sz w:val="32"/>
          <w:szCs w:val="32"/>
          <w:rtl/>
        </w:rPr>
        <w:tab/>
      </w:r>
      <w:r w:rsidR="00A72D5F">
        <w:rPr>
          <w:rFonts w:cs="Ya-Ali" w:hint="cs"/>
          <w:sz w:val="32"/>
          <w:szCs w:val="32"/>
          <w:rtl/>
        </w:rPr>
        <w:tab/>
      </w:r>
      <w:r w:rsidR="00A72D5F" w:rsidRPr="000275BA">
        <w:rPr>
          <w:rFonts w:cs="Ya-Ali" w:hint="cs"/>
          <w:sz w:val="20"/>
          <w:szCs w:val="20"/>
        </w:rPr>
        <w:sym w:font="Wingdings" w:char="F071"/>
      </w:r>
      <w:r w:rsidR="00A72D5F">
        <w:rPr>
          <w:rFonts w:cs="Ya-Ali" w:hint="cs"/>
          <w:sz w:val="32"/>
          <w:szCs w:val="32"/>
          <w:rtl/>
        </w:rPr>
        <w:t xml:space="preserve"> د. مصطفى أحمد أبو الخير</w:t>
      </w:r>
    </w:p>
    <w:p w:rsidR="00111B11" w:rsidRPr="00A72D5F" w:rsidRDefault="00111B11" w:rsidP="001533CF">
      <w:pPr>
        <w:pStyle w:val="aff2"/>
        <w:rPr>
          <w:sz w:val="60"/>
          <w:szCs w:val="78"/>
        </w:rPr>
      </w:pPr>
    </w:p>
    <w:p w:rsidR="001533CF" w:rsidRPr="001533CF" w:rsidRDefault="001533CF" w:rsidP="001533CF">
      <w:pPr>
        <w:pStyle w:val="aff2"/>
        <w:rPr>
          <w:sz w:val="30"/>
          <w:szCs w:val="48"/>
          <w:rtl/>
        </w:rPr>
      </w:pPr>
      <w:bookmarkStart w:id="4" w:name="_Toc272742243"/>
      <w:bookmarkStart w:id="5" w:name="_Toc275127853"/>
      <w:r w:rsidRPr="001533CF">
        <w:rPr>
          <w:sz w:val="30"/>
          <w:szCs w:val="48"/>
          <w:rtl/>
        </w:rPr>
        <w:t>إعداد وتقديم</w:t>
      </w:r>
      <w:bookmarkEnd w:id="4"/>
      <w:bookmarkEnd w:id="5"/>
    </w:p>
    <w:p w:rsidR="001533CF" w:rsidRPr="001533CF" w:rsidRDefault="001533CF" w:rsidP="001533CF">
      <w:pPr>
        <w:spacing w:line="460" w:lineRule="exact"/>
        <w:ind w:firstLine="0"/>
        <w:jc w:val="center"/>
        <w:rPr>
          <w:rFonts w:cs="Ya-Ali"/>
          <w:sz w:val="38"/>
          <w:szCs w:val="38"/>
          <w:rtl/>
        </w:rPr>
      </w:pPr>
      <w:r w:rsidRPr="001533CF">
        <w:rPr>
          <w:rFonts w:cs="Ya-Ali"/>
          <w:sz w:val="38"/>
          <w:szCs w:val="38"/>
          <w:rtl/>
        </w:rPr>
        <w:t>حيدر حب الله</w:t>
      </w:r>
    </w:p>
    <w:p w:rsidR="001533CF" w:rsidRPr="005D04E2" w:rsidRDefault="001533CF" w:rsidP="005D04E2">
      <w:pPr>
        <w:pStyle w:val="ac"/>
        <w:ind w:firstLine="0"/>
        <w:jc w:val="center"/>
        <w:rPr>
          <w:sz w:val="40"/>
          <w:szCs w:val="46"/>
          <w:rtl/>
        </w:rPr>
      </w:pPr>
    </w:p>
    <w:p w:rsidR="0043653B" w:rsidRPr="005D04E2" w:rsidRDefault="001533CF" w:rsidP="006C6DAF">
      <w:pPr>
        <w:pStyle w:val="aff2"/>
        <w:rPr>
          <w:sz w:val="28"/>
          <w:szCs w:val="46"/>
          <w:rtl/>
        </w:rPr>
      </w:pPr>
      <w:r>
        <w:rPr>
          <w:sz w:val="28"/>
          <w:szCs w:val="46"/>
          <w:rtl/>
        </w:rPr>
        <w:br w:type="page"/>
      </w:r>
    </w:p>
    <w:p w:rsidR="00E11E77" w:rsidRPr="005D04E2" w:rsidRDefault="00E11E77" w:rsidP="006C6DAF">
      <w:pPr>
        <w:pStyle w:val="aff2"/>
        <w:rPr>
          <w:sz w:val="72"/>
          <w:szCs w:val="90"/>
        </w:rPr>
      </w:pPr>
    </w:p>
    <w:p w:rsidR="005D04E2" w:rsidRPr="005D04E2" w:rsidRDefault="005D04E2" w:rsidP="005D04E2">
      <w:pPr>
        <w:pStyle w:val="aff2"/>
        <w:rPr>
          <w:sz w:val="28"/>
          <w:szCs w:val="46"/>
          <w:rtl/>
        </w:rPr>
      </w:pPr>
    </w:p>
    <w:p w:rsidR="00FF7327" w:rsidRDefault="00FF7327">
      <w:pPr>
        <w:widowControl/>
        <w:bidi w:val="0"/>
        <w:outlineLvl w:val="9"/>
      </w:pPr>
      <w:r>
        <w:br w:type="page"/>
      </w:r>
    </w:p>
    <w:p w:rsidR="006C6DAF" w:rsidRDefault="006C6DAF">
      <w:pPr>
        <w:widowControl/>
        <w:bidi w:val="0"/>
        <w:outlineLvl w:val="9"/>
      </w:pPr>
    </w:p>
    <w:p w:rsidR="00D4182C" w:rsidRPr="006C6C91" w:rsidRDefault="001A1CB7" w:rsidP="00D4182C">
      <w:pPr>
        <w:pStyle w:val="aff2"/>
      </w:pPr>
      <w:bookmarkStart w:id="6" w:name="_Toc272742244"/>
      <w:r>
        <w:rPr>
          <w:noProof/>
          <w:rtl/>
        </w:rPr>
        <w:drawing>
          <wp:anchor distT="0" distB="0" distL="114300" distR="114300" simplePos="0" relativeHeight="251655168" behindDoc="0" locked="0" layoutInCell="1" allowOverlap="1">
            <wp:simplePos x="0" y="0"/>
            <wp:positionH relativeFrom="column">
              <wp:align>center</wp:align>
            </wp:positionH>
            <wp:positionV relativeFrom="paragraph">
              <wp:posOffset>1737360</wp:posOffset>
            </wp:positionV>
            <wp:extent cx="3061335" cy="2719070"/>
            <wp:effectExtent l="19050" t="0" r="5715" b="0"/>
            <wp:wrapNone/>
            <wp:docPr id="22" name="صورة 67" descr="B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7" descr="BSM1"/>
                    <pic:cNvPicPr>
                      <a:picLocks noChangeAspect="1" noChangeArrowheads="1"/>
                    </pic:cNvPicPr>
                  </pic:nvPicPr>
                  <pic:blipFill>
                    <a:blip r:embed="rId8" cstate="print"/>
                    <a:srcRect/>
                    <a:stretch>
                      <a:fillRect/>
                    </a:stretch>
                  </pic:blipFill>
                  <pic:spPr bwMode="auto">
                    <a:xfrm>
                      <a:off x="0" y="0"/>
                      <a:ext cx="3061335" cy="2719070"/>
                    </a:xfrm>
                    <a:prstGeom prst="rect">
                      <a:avLst/>
                    </a:prstGeom>
                    <a:solidFill>
                      <a:srgbClr val="FFFFFF"/>
                    </a:solidFill>
                    <a:ln w="9525">
                      <a:noFill/>
                      <a:miter lim="800000"/>
                      <a:headEnd/>
                      <a:tailEnd/>
                    </a:ln>
                  </pic:spPr>
                </pic:pic>
              </a:graphicData>
            </a:graphic>
          </wp:anchor>
        </w:drawing>
      </w:r>
      <w:bookmarkEnd w:id="6"/>
      <w:r w:rsidR="00D650BC">
        <w:rPr>
          <w:rtl/>
        </w:rPr>
        <w:br w:type="page"/>
      </w:r>
    </w:p>
    <w:p w:rsidR="005714A7" w:rsidRDefault="00E11E77" w:rsidP="00E11E77">
      <w:pPr>
        <w:pStyle w:val="ac"/>
        <w:rPr>
          <w:rtl/>
        </w:rPr>
        <w:sectPr w:rsidR="005714A7"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r w:rsidRPr="006C6C91">
        <w:rPr>
          <w:rFonts w:hint="cs"/>
          <w:rtl/>
        </w:rPr>
        <w:lastRenderedPageBreak/>
        <w:t xml:space="preserve"> </w:t>
      </w:r>
    </w:p>
    <w:p w:rsidR="005714A7" w:rsidRDefault="005714A7" w:rsidP="00E11E77">
      <w:pPr>
        <w:pStyle w:val="ac"/>
        <w:rPr>
          <w:rtl/>
        </w:rPr>
        <w:sectPr w:rsidR="005714A7"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E11E77" w:rsidRPr="006C6C91" w:rsidRDefault="00E11E77" w:rsidP="00E11E77">
      <w:pPr>
        <w:pStyle w:val="ac"/>
        <w:rPr>
          <w:rtl/>
        </w:rPr>
      </w:pPr>
    </w:p>
    <w:p w:rsidR="00E11E77" w:rsidRDefault="00E11E77" w:rsidP="00E11E77">
      <w:pPr>
        <w:jc w:val="lowKashida"/>
        <w:rPr>
          <w:rFonts w:cs="Taher"/>
          <w:color w:val="FF0000"/>
          <w:sz w:val="40"/>
          <w:szCs w:val="40"/>
          <w:rtl/>
        </w:rPr>
      </w:pPr>
    </w:p>
    <w:p w:rsidR="00E11E77" w:rsidRDefault="00E11E77" w:rsidP="00E11E77">
      <w:pPr>
        <w:jc w:val="lowKashida"/>
        <w:rPr>
          <w:rFonts w:cs="Taher"/>
          <w:color w:val="FF0000"/>
          <w:sz w:val="40"/>
          <w:szCs w:val="40"/>
          <w:rtl/>
        </w:rPr>
      </w:pPr>
    </w:p>
    <w:p w:rsidR="00E11E77" w:rsidRPr="006C6C91" w:rsidRDefault="00E11E77" w:rsidP="00E11E77">
      <w:pPr>
        <w:jc w:val="lowKashida"/>
        <w:rPr>
          <w:rFonts w:cs="Taher"/>
          <w:color w:val="FF0000"/>
          <w:sz w:val="40"/>
          <w:szCs w:val="40"/>
          <w:rtl/>
        </w:rPr>
      </w:pPr>
    </w:p>
    <w:p w:rsidR="00D650BC" w:rsidRDefault="00D650BC" w:rsidP="00E5327B">
      <w:pPr>
        <w:pStyle w:val="Heading1"/>
        <w:keepNext w:val="0"/>
        <w:suppressLineNumbers/>
        <w:suppressAutoHyphens/>
        <w:spacing w:line="192" w:lineRule="auto"/>
      </w:pPr>
    </w:p>
    <w:p w:rsidR="00D650BC" w:rsidRDefault="00D650BC" w:rsidP="00E5327B">
      <w:pPr>
        <w:pStyle w:val="Heading1"/>
        <w:keepNext w:val="0"/>
        <w:suppressLineNumbers/>
        <w:suppressAutoHyphens/>
        <w:spacing w:line="192" w:lineRule="auto"/>
      </w:pPr>
    </w:p>
    <w:p w:rsidR="00D650BC" w:rsidRDefault="00D650BC" w:rsidP="00E5327B">
      <w:pPr>
        <w:pStyle w:val="Heading1"/>
        <w:keepNext w:val="0"/>
        <w:suppressLineNumbers/>
        <w:suppressAutoHyphens/>
        <w:spacing w:line="192" w:lineRule="auto"/>
      </w:pPr>
    </w:p>
    <w:p w:rsidR="00D650BC" w:rsidRDefault="00D650BC" w:rsidP="00E5327B">
      <w:pPr>
        <w:pStyle w:val="Heading1"/>
        <w:keepNext w:val="0"/>
        <w:suppressLineNumbers/>
        <w:suppressAutoHyphens/>
        <w:spacing w:line="192" w:lineRule="auto"/>
      </w:pPr>
    </w:p>
    <w:p w:rsidR="00E11E77" w:rsidRDefault="00E11E77">
      <w:pPr>
        <w:widowControl/>
        <w:bidi w:val="0"/>
        <w:outlineLvl w:val="9"/>
        <w:rPr>
          <w:rFonts w:cs="Abz-3 (Yagut)"/>
          <w:b/>
          <w:bCs/>
          <w:kern w:val="32"/>
          <w:sz w:val="28"/>
          <w:szCs w:val="36"/>
          <w:rtl/>
        </w:rPr>
      </w:pPr>
      <w:r>
        <w:rPr>
          <w:rtl/>
        </w:rPr>
        <w:br w:type="page"/>
      </w:r>
    </w:p>
    <w:p w:rsidR="005714A7" w:rsidRDefault="005714A7" w:rsidP="005714A7">
      <w:pPr>
        <w:pStyle w:val="ac"/>
        <w:rPr>
          <w:rtl/>
        </w:rPr>
        <w:sectPr w:rsidR="005714A7"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bookmarkStart w:id="7" w:name="_Toc250177666"/>
      <w:bookmarkEnd w:id="0"/>
      <w:bookmarkEnd w:id="1"/>
      <w:bookmarkEnd w:id="3"/>
    </w:p>
    <w:p w:rsidR="005714A7" w:rsidRDefault="005714A7" w:rsidP="005714A7">
      <w:pPr>
        <w:pStyle w:val="ac"/>
        <w:rPr>
          <w:rtl/>
        </w:rPr>
        <w:sectPr w:rsidR="005714A7" w:rsidSect="006866EE">
          <w:headerReference w:type="default" r:id="rId9"/>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5714A7" w:rsidRDefault="005714A7" w:rsidP="005714A7">
      <w:pPr>
        <w:pStyle w:val="ac"/>
        <w:rPr>
          <w:rtl/>
        </w:rPr>
        <w:sectPr w:rsidR="005714A7"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5714A7" w:rsidRDefault="005714A7" w:rsidP="005714A7">
      <w:pPr>
        <w:pStyle w:val="ac"/>
        <w:rPr>
          <w:rtl/>
        </w:rPr>
        <w:sectPr w:rsidR="005714A7"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E11E77" w:rsidRPr="002316CD" w:rsidRDefault="00E11E77" w:rsidP="005714A7">
      <w:pPr>
        <w:pStyle w:val="ac"/>
        <w:rPr>
          <w:rtl/>
        </w:rPr>
      </w:pPr>
    </w:p>
    <w:p w:rsidR="00E11E77" w:rsidRPr="00215034" w:rsidRDefault="00E11E77" w:rsidP="005714A7">
      <w:pPr>
        <w:pStyle w:val="ac"/>
        <w:rPr>
          <w:rtl/>
        </w:rPr>
      </w:pPr>
    </w:p>
    <w:p w:rsidR="005714A7" w:rsidRDefault="005714A7" w:rsidP="00885E99">
      <w:pPr>
        <w:pStyle w:val="ac"/>
        <w:rPr>
          <w:rtl/>
        </w:rPr>
        <w:sectPr w:rsidR="005714A7"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bookmarkStart w:id="8" w:name="_Toc182394074"/>
      <w:bookmarkStart w:id="9" w:name="_Toc255949427"/>
      <w:bookmarkEnd w:id="7"/>
    </w:p>
    <w:p w:rsidR="00D4182C" w:rsidRDefault="00D4182C" w:rsidP="00A72D5F">
      <w:pPr>
        <w:pStyle w:val="1"/>
        <w:jc w:val="center"/>
      </w:pPr>
      <w:bookmarkStart w:id="10" w:name="_Toc275127854"/>
      <w:r w:rsidRPr="00D4182C">
        <w:rPr>
          <w:rFonts w:hint="cs"/>
          <w:rtl/>
        </w:rPr>
        <w:lastRenderedPageBreak/>
        <w:t>كلمة المجلّة</w:t>
      </w:r>
      <w:bookmarkEnd w:id="8"/>
      <w:bookmarkEnd w:id="9"/>
      <w:bookmarkEnd w:id="10"/>
    </w:p>
    <w:p w:rsidR="00111B11" w:rsidRPr="007D1647" w:rsidRDefault="00111B11" w:rsidP="00111B11">
      <w:pPr>
        <w:pStyle w:val="ac"/>
        <w:rPr>
          <w:rtl/>
        </w:rPr>
      </w:pPr>
      <w:r w:rsidRPr="007D1647">
        <w:rPr>
          <w:rFonts w:hint="cs"/>
          <w:rtl/>
        </w:rPr>
        <w:t>يسعدنا أن نزفّ إلى قرائنا الكرام، مشروع مجلّة</w:t>
      </w:r>
      <w:r>
        <w:rPr>
          <w:rFonts w:hint="cs"/>
          <w:rtl/>
        </w:rPr>
        <w:t xml:space="preserve"> </w:t>
      </w:r>
      <w:r w:rsidRPr="007D1647">
        <w:rPr>
          <w:rFonts w:hint="cs"/>
        </w:rPr>
        <w:sym w:font="Roumouz" w:char="F06D"/>
      </w:r>
      <w:r w:rsidRPr="007D1647">
        <w:rPr>
          <w:rFonts w:hint="cs"/>
          <w:b/>
          <w:bCs/>
          <w:rtl/>
        </w:rPr>
        <w:t>نصوص معاصرة</w:t>
      </w:r>
      <w:r w:rsidRPr="007D1647">
        <w:rPr>
          <w:rFonts w:hint="cs"/>
        </w:rPr>
        <w:sym w:font="Roumouz" w:char="F06E"/>
      </w:r>
      <w:r w:rsidRPr="007D1647">
        <w:rPr>
          <w:rFonts w:hint="cs"/>
          <w:rtl/>
        </w:rPr>
        <w:t xml:space="preserve"> الجديد، وهو إصدار كتاب المجلّة، الذي سيكون كتاباً كل عام في الحدّ الأدنى إن شاء الله تعالى.</w:t>
      </w:r>
    </w:p>
    <w:p w:rsidR="00111B11" w:rsidRPr="007D1647" w:rsidRDefault="00111B11" w:rsidP="00111B11">
      <w:pPr>
        <w:pStyle w:val="ac"/>
        <w:rPr>
          <w:rtl/>
        </w:rPr>
      </w:pPr>
      <w:r w:rsidRPr="007D1647">
        <w:rPr>
          <w:rFonts w:hint="cs"/>
          <w:rtl/>
        </w:rPr>
        <w:t>إن كتاب المجلّة سوف يجمع في طي</w:t>
      </w:r>
      <w:r>
        <w:rPr>
          <w:rFonts w:hint="cs"/>
          <w:rtl/>
        </w:rPr>
        <w:t>ّ</w:t>
      </w:r>
      <w:r w:rsidRPr="007D1647">
        <w:rPr>
          <w:rFonts w:hint="cs"/>
          <w:rtl/>
        </w:rPr>
        <w:t>اته جملة الم</w:t>
      </w:r>
      <w:r>
        <w:rPr>
          <w:rFonts w:hint="cs"/>
          <w:rtl/>
        </w:rPr>
        <w:t>وضوعات التي تلتقي في محورٍ واحد</w:t>
      </w:r>
      <w:r w:rsidRPr="007D1647">
        <w:rPr>
          <w:rFonts w:hint="cs"/>
          <w:rtl/>
        </w:rPr>
        <w:t>، يحتوي على وجهات نظر متعدّدة في هذا المحور، ليكون المشهد واضحاً أمام القارئ.</w:t>
      </w:r>
    </w:p>
    <w:p w:rsidR="00111B11" w:rsidRDefault="00111B11" w:rsidP="006C59A5">
      <w:pPr>
        <w:pStyle w:val="ac"/>
        <w:rPr>
          <w:rtl/>
        </w:rPr>
      </w:pPr>
      <w:r w:rsidRPr="007D1647">
        <w:rPr>
          <w:rFonts w:hint="cs"/>
          <w:rtl/>
        </w:rPr>
        <w:t xml:space="preserve">وقد رأينا أن نأخذ محور: </w:t>
      </w:r>
      <w:r w:rsidRPr="007D1647">
        <w:rPr>
          <w:rFonts w:hint="cs"/>
        </w:rPr>
        <w:sym w:font="Roumouz" w:char="F06D"/>
      </w:r>
      <w:r>
        <w:rPr>
          <w:rFonts w:hint="cs"/>
          <w:b/>
          <w:bCs/>
          <w:rtl/>
        </w:rPr>
        <w:t>المرأة في الفكر الإسلامي</w:t>
      </w:r>
      <w:r w:rsidR="006C59A5">
        <w:rPr>
          <w:rFonts w:hint="cs"/>
          <w:b/>
          <w:bCs/>
          <w:rtl/>
        </w:rPr>
        <w:t xml:space="preserve"> المعاصر، قضايا وإشكاليات</w:t>
      </w:r>
      <w:r w:rsidRPr="007D1647">
        <w:rPr>
          <w:rFonts w:hint="cs"/>
        </w:rPr>
        <w:sym w:font="Roumouz" w:char="F06E"/>
      </w:r>
      <w:r w:rsidRPr="007D1647">
        <w:rPr>
          <w:rFonts w:hint="cs"/>
          <w:rtl/>
        </w:rPr>
        <w:t xml:space="preserve"> </w:t>
      </w:r>
      <w:r>
        <w:rPr>
          <w:rFonts w:hint="cs"/>
          <w:rtl/>
        </w:rPr>
        <w:t>ثالث</w:t>
      </w:r>
      <w:r w:rsidRPr="007D1647">
        <w:rPr>
          <w:rFonts w:hint="cs"/>
          <w:rtl/>
        </w:rPr>
        <w:t xml:space="preserve"> محاور </w:t>
      </w:r>
      <w:r w:rsidRPr="007D1647">
        <w:rPr>
          <w:rFonts w:hint="cs"/>
        </w:rPr>
        <w:sym w:font="Roumouz" w:char="F06D"/>
      </w:r>
      <w:r w:rsidRPr="00414A63">
        <w:rPr>
          <w:rFonts w:hint="cs"/>
          <w:b/>
          <w:bCs/>
          <w:rtl/>
        </w:rPr>
        <w:t>سلسلة نصوص معاصرة</w:t>
      </w:r>
      <w:r w:rsidRPr="007D1647">
        <w:rPr>
          <w:rFonts w:hint="cs"/>
        </w:rPr>
        <w:sym w:font="Roumouz" w:char="F06E"/>
      </w:r>
      <w:r w:rsidRPr="007D1647">
        <w:rPr>
          <w:rFonts w:hint="cs"/>
          <w:rtl/>
        </w:rPr>
        <w:t>، كونه من المحاور الهامة، والتي لاقت رواجاً وترحيباً بعد نشر دراساته في مجلّ</w:t>
      </w:r>
      <w:r w:rsidR="00A72D5F">
        <w:rPr>
          <w:rFonts w:hint="cs"/>
          <w:rtl/>
        </w:rPr>
        <w:t>تي</w:t>
      </w:r>
      <w:r w:rsidR="006C59A5">
        <w:rPr>
          <w:rFonts w:hint="cs"/>
          <w:rtl/>
        </w:rPr>
        <w:t>:</w:t>
      </w:r>
      <w:r w:rsidR="00A72D5F">
        <w:rPr>
          <w:rFonts w:hint="cs"/>
          <w:rtl/>
        </w:rPr>
        <w:t xml:space="preserve"> نصوص معاصرة، والاجتهاد والتجديد، و</w:t>
      </w:r>
      <w:r w:rsidR="006C59A5">
        <w:rPr>
          <w:rFonts w:hint="cs"/>
          <w:rtl/>
        </w:rPr>
        <w:t>نقدّمه في طبعته الثانية المزيدة والمنقّحة.</w:t>
      </w:r>
    </w:p>
    <w:p w:rsidR="00111B11" w:rsidRPr="007D1647" w:rsidRDefault="00111B11" w:rsidP="00111B11">
      <w:pPr>
        <w:pStyle w:val="ac"/>
        <w:rPr>
          <w:rFonts w:cs="AL-Mohanad"/>
          <w:sz w:val="36"/>
          <w:szCs w:val="29"/>
          <w:rtl/>
        </w:rPr>
      </w:pPr>
      <w:r>
        <w:rPr>
          <w:rFonts w:hint="cs"/>
          <w:rtl/>
        </w:rPr>
        <w:t>ونشكر مركز الثقلين على جهوده المتواصلة في تنظيم المجلة وك</w:t>
      </w:r>
      <w:r w:rsidR="00A72D5F">
        <w:rPr>
          <w:rFonts w:hint="cs"/>
          <w:rtl/>
        </w:rPr>
        <w:t xml:space="preserve">تابها، ليخرجا بحلّة جميلة زاهية، كما نشكر مؤسّسة الانتشار العربي على طباعتها </w:t>
      </w:r>
      <w:r w:rsidR="006C59A5">
        <w:rPr>
          <w:rFonts w:hint="cs"/>
          <w:rtl/>
        </w:rPr>
        <w:t xml:space="preserve">الأنيقة </w:t>
      </w:r>
      <w:r w:rsidR="00A72D5F">
        <w:rPr>
          <w:rFonts w:hint="cs"/>
          <w:rtl/>
        </w:rPr>
        <w:t>للكتاب.</w:t>
      </w:r>
    </w:p>
    <w:p w:rsidR="001533CF" w:rsidRDefault="00111B11" w:rsidP="00111B11">
      <w:pPr>
        <w:pStyle w:val="ac"/>
        <w:rPr>
          <w:rtl/>
        </w:rPr>
      </w:pPr>
      <w:r w:rsidRPr="007D1647">
        <w:rPr>
          <w:rFonts w:hint="cs"/>
          <w:rtl/>
        </w:rPr>
        <w:t>نسأل الله سبحانه أن يوفقنا لمراضيه، ويجن</w:t>
      </w:r>
      <w:r>
        <w:rPr>
          <w:rFonts w:hint="cs"/>
          <w:rtl/>
        </w:rPr>
        <w:t>ّ</w:t>
      </w:r>
      <w:r w:rsidRPr="007D1647">
        <w:rPr>
          <w:rFonts w:hint="cs"/>
          <w:rtl/>
        </w:rPr>
        <w:t>بنا معاصيه، إنه نعم المولى، ونعم النصير.</w:t>
      </w:r>
    </w:p>
    <w:p w:rsidR="001533CF" w:rsidRPr="00D4182C" w:rsidRDefault="001533CF" w:rsidP="001533CF">
      <w:pPr>
        <w:pStyle w:val="af7"/>
      </w:pPr>
      <w:bookmarkStart w:id="11" w:name="_Toc275127855"/>
      <w:r>
        <w:rPr>
          <w:rFonts w:hint="cs"/>
          <w:rtl/>
        </w:rPr>
        <w:t>حيدر حب الله</w:t>
      </w:r>
      <w:bookmarkEnd w:id="11"/>
    </w:p>
    <w:p w:rsidR="00666C6C" w:rsidRDefault="00666C6C">
      <w:pPr>
        <w:widowControl/>
        <w:bidi w:val="0"/>
        <w:outlineLvl w:val="9"/>
        <w:rPr>
          <w:rtl/>
        </w:rPr>
      </w:pPr>
      <w:r>
        <w:rPr>
          <w:rtl/>
        </w:rPr>
        <w:br w:type="page"/>
      </w:r>
    </w:p>
    <w:p w:rsidR="00BD57CA" w:rsidRDefault="00BD57CA">
      <w:pPr>
        <w:widowControl/>
        <w:bidi w:val="0"/>
        <w:spacing w:line="240" w:lineRule="auto"/>
        <w:ind w:firstLine="0"/>
        <w:jc w:val="left"/>
        <w:outlineLvl w:val="9"/>
        <w:rPr>
          <w:rtl/>
        </w:rPr>
      </w:pPr>
      <w:r>
        <w:rPr>
          <w:rtl/>
        </w:rPr>
        <w:lastRenderedPageBreak/>
        <w:br w:type="page"/>
      </w:r>
    </w:p>
    <w:p w:rsidR="00F7530F" w:rsidRDefault="001A1CB7" w:rsidP="001178D3">
      <w:pPr>
        <w:widowControl/>
        <w:ind w:firstLine="0"/>
        <w:outlineLvl w:val="9"/>
        <w:rPr>
          <w:rtl/>
        </w:rPr>
      </w:pPr>
      <w:r>
        <w:rPr>
          <w:rFonts w:hint="cs"/>
          <w:noProof/>
          <w:rtl/>
        </w:rPr>
        <w:lastRenderedPageBreak/>
        <w:drawing>
          <wp:anchor distT="0" distB="0" distL="114300" distR="114300" simplePos="0" relativeHeight="251660288" behindDoc="1" locked="0" layoutInCell="1" allowOverlap="1">
            <wp:simplePos x="0" y="0"/>
            <wp:positionH relativeFrom="column">
              <wp:posOffset>-24130</wp:posOffset>
            </wp:positionH>
            <wp:positionV relativeFrom="paragraph">
              <wp:posOffset>33020</wp:posOffset>
            </wp:positionV>
            <wp:extent cx="4672330" cy="7209790"/>
            <wp:effectExtent l="19050" t="0" r="0" b="0"/>
            <wp:wrapNone/>
            <wp:docPr id="21" name="صورة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1"/>
                    <pic:cNvPicPr>
                      <a:picLocks noChangeAspect="1" noChangeArrowheads="1"/>
                    </pic:cNvPicPr>
                  </pic:nvPicPr>
                  <pic:blipFill>
                    <a:blip r:embed="rId10" cstate="print"/>
                    <a:srcRect/>
                    <a:stretch>
                      <a:fillRect/>
                    </a:stretch>
                  </pic:blipFill>
                  <pic:spPr bwMode="auto">
                    <a:xfrm>
                      <a:off x="0" y="0"/>
                      <a:ext cx="4672330" cy="7209790"/>
                    </a:xfrm>
                    <a:prstGeom prst="rect">
                      <a:avLst/>
                    </a:prstGeom>
                    <a:noFill/>
                    <a:ln w="9525">
                      <a:noFill/>
                      <a:miter lim="800000"/>
                      <a:headEnd/>
                      <a:tailEnd/>
                    </a:ln>
                  </pic:spPr>
                </pic:pic>
              </a:graphicData>
            </a:graphic>
          </wp:anchor>
        </w:drawing>
      </w:r>
    </w:p>
    <w:p w:rsidR="00F7530F" w:rsidRDefault="00F7530F" w:rsidP="00F7530F">
      <w:pPr>
        <w:pStyle w:val="aff2"/>
        <w:bidi w:val="0"/>
        <w:rPr>
          <w:rtl/>
        </w:rPr>
      </w:pPr>
    </w:p>
    <w:p w:rsidR="00F7530F" w:rsidRDefault="00F7530F" w:rsidP="00F7530F">
      <w:pPr>
        <w:pStyle w:val="aff2"/>
        <w:bidi w:val="0"/>
        <w:rPr>
          <w:rtl/>
        </w:rPr>
      </w:pPr>
    </w:p>
    <w:p w:rsidR="00F7530F" w:rsidRPr="00EC4877" w:rsidRDefault="00F7530F" w:rsidP="00F7530F">
      <w:pPr>
        <w:pStyle w:val="aff2"/>
        <w:bidi w:val="0"/>
        <w:rPr>
          <w:sz w:val="14"/>
          <w:szCs w:val="32"/>
          <w:rtl/>
        </w:rPr>
      </w:pPr>
    </w:p>
    <w:p w:rsidR="00F7530F" w:rsidRDefault="00F7530F" w:rsidP="00F7530F">
      <w:pPr>
        <w:pStyle w:val="aff2"/>
        <w:bidi w:val="0"/>
        <w:rPr>
          <w:sz w:val="18"/>
          <w:szCs w:val="36"/>
          <w:rtl/>
        </w:rPr>
      </w:pPr>
    </w:p>
    <w:p w:rsidR="001533CF" w:rsidRPr="00A72D5F" w:rsidRDefault="001533CF" w:rsidP="001533CF">
      <w:pPr>
        <w:pStyle w:val="aff2"/>
        <w:bidi w:val="0"/>
        <w:rPr>
          <w:sz w:val="18"/>
          <w:szCs w:val="36"/>
          <w:rtl/>
        </w:rPr>
      </w:pPr>
    </w:p>
    <w:p w:rsidR="005714A7" w:rsidRDefault="005714A7" w:rsidP="00F7530F">
      <w:pPr>
        <w:pStyle w:val="aff2"/>
        <w:bidi w:val="0"/>
        <w:rPr>
          <w:sz w:val="52"/>
          <w:szCs w:val="70"/>
          <w:rtl/>
        </w:rPr>
        <w:sectPr w:rsidR="005714A7" w:rsidSect="006866EE">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p>
    <w:p w:rsidR="00F7530F" w:rsidRDefault="00F7530F" w:rsidP="00F7530F">
      <w:pPr>
        <w:pStyle w:val="aff2"/>
        <w:bidi w:val="0"/>
        <w:rPr>
          <w:sz w:val="52"/>
          <w:szCs w:val="70"/>
          <w:rtl/>
        </w:rPr>
      </w:pPr>
      <w:bookmarkStart w:id="12" w:name="_Toc275127856"/>
      <w:r>
        <w:rPr>
          <w:rFonts w:hint="cs"/>
          <w:sz w:val="52"/>
          <w:szCs w:val="70"/>
          <w:rtl/>
        </w:rPr>
        <w:lastRenderedPageBreak/>
        <w:t>المدخل</w:t>
      </w:r>
      <w:bookmarkEnd w:id="12"/>
      <w:r w:rsidRPr="00C00D8E">
        <w:rPr>
          <w:rFonts w:hint="cs"/>
          <w:sz w:val="52"/>
          <w:szCs w:val="70"/>
          <w:rtl/>
        </w:rPr>
        <w:t xml:space="preserve"> </w:t>
      </w:r>
    </w:p>
    <w:p w:rsidR="00A72D5F" w:rsidRDefault="00A72D5F" w:rsidP="008405E0">
      <w:pPr>
        <w:pStyle w:val="aff2"/>
        <w:rPr>
          <w:rtl/>
        </w:rPr>
      </w:pPr>
      <w:bookmarkStart w:id="13" w:name="_Toc275127857"/>
      <w:r>
        <w:rPr>
          <w:rFonts w:hint="cs"/>
          <w:rtl/>
        </w:rPr>
        <w:t>قضايا المرأة</w:t>
      </w:r>
      <w:bookmarkEnd w:id="13"/>
    </w:p>
    <w:p w:rsidR="001533CF" w:rsidRDefault="008405E0" w:rsidP="00A72D5F">
      <w:pPr>
        <w:pStyle w:val="aff2"/>
        <w:spacing w:line="192" w:lineRule="auto"/>
        <w:rPr>
          <w:rFonts w:cs="Abz-3 (Yagut)"/>
          <w:szCs w:val="25"/>
          <w:rtl/>
        </w:rPr>
      </w:pPr>
      <w:r>
        <w:rPr>
          <w:rFonts w:hint="cs"/>
          <w:rtl/>
        </w:rPr>
        <w:t xml:space="preserve"> </w:t>
      </w:r>
      <w:bookmarkStart w:id="14" w:name="_Toc275127858"/>
      <w:r>
        <w:rPr>
          <w:rFonts w:hint="cs"/>
          <w:rtl/>
        </w:rPr>
        <w:t>وأشكال المساهمات المعرفية</w:t>
      </w:r>
      <w:bookmarkEnd w:id="14"/>
      <w:r w:rsidRPr="005F6C68">
        <w:rPr>
          <w:rFonts w:hint="cs"/>
          <w:rtl/>
        </w:rPr>
        <w:t xml:space="preserve"> </w:t>
      </w:r>
    </w:p>
    <w:p w:rsidR="00F7530F" w:rsidRDefault="00F7530F" w:rsidP="00F7530F">
      <w:pPr>
        <w:pStyle w:val="aff2"/>
        <w:suppressLineNumbers/>
        <w:suppressAutoHyphens/>
        <w:spacing w:line="192" w:lineRule="auto"/>
        <w:rPr>
          <w:rtl/>
        </w:rPr>
      </w:pPr>
    </w:p>
    <w:p w:rsidR="0048149E" w:rsidRDefault="00F7530F" w:rsidP="00F7530F">
      <w:pPr>
        <w:spacing w:line="500" w:lineRule="exact"/>
        <w:jc w:val="center"/>
        <w:rPr>
          <w:rtl/>
        </w:rPr>
      </w:pPr>
      <w:r>
        <w:rPr>
          <w:rtl/>
        </w:rPr>
        <w:br w:type="page"/>
      </w:r>
      <w:r w:rsidR="004D4FEB">
        <w:rPr>
          <w:rtl/>
        </w:rPr>
        <w:lastRenderedPageBreak/>
        <w:br w:type="page"/>
      </w:r>
    </w:p>
    <w:p w:rsidR="0048149E" w:rsidRDefault="0048149E" w:rsidP="00F7530F">
      <w:pPr>
        <w:spacing w:line="500" w:lineRule="exact"/>
        <w:jc w:val="center"/>
        <w:rPr>
          <w:rFonts w:cs="Abz-1 (Lotus)"/>
          <w:bCs/>
          <w:sz w:val="48"/>
          <w:szCs w:val="48"/>
          <w:rtl/>
        </w:rPr>
      </w:pPr>
    </w:p>
    <w:p w:rsidR="008405E0" w:rsidRDefault="008405E0" w:rsidP="00F7530F">
      <w:pPr>
        <w:spacing w:line="500" w:lineRule="exact"/>
        <w:jc w:val="center"/>
        <w:rPr>
          <w:rFonts w:cs="Abz-1 (Lotus)"/>
          <w:bCs/>
          <w:sz w:val="48"/>
          <w:szCs w:val="48"/>
          <w:rtl/>
        </w:rPr>
      </w:pPr>
    </w:p>
    <w:p w:rsidR="0048149E" w:rsidRDefault="0048149E" w:rsidP="00F7530F">
      <w:pPr>
        <w:spacing w:line="500" w:lineRule="exact"/>
        <w:jc w:val="center"/>
        <w:rPr>
          <w:rFonts w:cs="Abz-1 (Lotus)"/>
          <w:bCs/>
          <w:sz w:val="48"/>
          <w:szCs w:val="48"/>
          <w:rtl/>
        </w:rPr>
      </w:pPr>
    </w:p>
    <w:p w:rsidR="0048149E" w:rsidRPr="004D4FEB" w:rsidRDefault="0048149E" w:rsidP="00F7530F">
      <w:pPr>
        <w:spacing w:line="500" w:lineRule="exact"/>
        <w:jc w:val="center"/>
        <w:rPr>
          <w:rFonts w:cs="Abz-1 (Lotus)"/>
          <w:bCs/>
          <w:sz w:val="42"/>
          <w:szCs w:val="42"/>
          <w:rtl/>
        </w:rPr>
      </w:pPr>
    </w:p>
    <w:p w:rsidR="0048149E" w:rsidRDefault="0048149E" w:rsidP="00F7530F">
      <w:pPr>
        <w:spacing w:line="500" w:lineRule="exact"/>
        <w:jc w:val="center"/>
        <w:rPr>
          <w:rFonts w:cs="Abz-1 (Lotus)"/>
          <w:bCs/>
          <w:sz w:val="48"/>
          <w:szCs w:val="48"/>
          <w:rtl/>
        </w:rPr>
      </w:pPr>
    </w:p>
    <w:p w:rsidR="001178D3" w:rsidRDefault="001178D3" w:rsidP="0048149E">
      <w:pPr>
        <w:pStyle w:val="aff2"/>
        <w:rPr>
          <w:rtl/>
        </w:rPr>
        <w:sectPr w:rsidR="001178D3" w:rsidSect="00462A1F">
          <w:headerReference w:type="even" r:id="rId11"/>
          <w:headerReference w:type="default" r:id="rId12"/>
          <w:footnotePr>
            <w:numRestart w:val="eachPage"/>
          </w:footnotePr>
          <w:endnotePr>
            <w:numFmt w:val="decimal"/>
            <w:numRestart w:val="eachSect"/>
          </w:endnotePr>
          <w:type w:val="continuous"/>
          <w:pgSz w:w="11906" w:h="16838" w:code="9"/>
          <w:pgMar w:top="2835" w:right="2268" w:bottom="2665" w:left="2268" w:header="2268" w:footer="0" w:gutter="0"/>
          <w:cols w:space="708"/>
          <w:bidi/>
          <w:rtlGutter/>
          <w:docGrid w:linePitch="360"/>
        </w:sectPr>
      </w:pPr>
      <w:bookmarkStart w:id="15" w:name="_Toc261564722"/>
    </w:p>
    <w:p w:rsidR="008405E0" w:rsidRDefault="008405E0" w:rsidP="008405E0">
      <w:pPr>
        <w:pStyle w:val="aff2"/>
        <w:bidi w:val="0"/>
        <w:rPr>
          <w:rtl/>
        </w:rPr>
      </w:pPr>
      <w:bookmarkStart w:id="16" w:name="_Toc169521336"/>
      <w:bookmarkStart w:id="17" w:name="_Toc275127859"/>
      <w:r>
        <w:rPr>
          <w:rFonts w:hint="cs"/>
          <w:rtl/>
        </w:rPr>
        <w:lastRenderedPageBreak/>
        <w:t>قضايا المرأة وأشكال المساهمات المعرفية</w:t>
      </w:r>
      <w:bookmarkEnd w:id="16"/>
      <w:bookmarkEnd w:id="17"/>
    </w:p>
    <w:p w:rsidR="001533CF" w:rsidRDefault="001533CF" w:rsidP="008405E0">
      <w:pPr>
        <w:pStyle w:val="af7"/>
        <w:rPr>
          <w:rFonts w:cs="Abz-3 (Yagut)"/>
          <w:sz w:val="25"/>
          <w:szCs w:val="25"/>
          <w:rtl/>
        </w:rPr>
      </w:pPr>
      <w:bookmarkStart w:id="18" w:name="_Toc275127860"/>
      <w:r>
        <w:rPr>
          <w:rFonts w:hint="cs"/>
          <w:rtl/>
        </w:rPr>
        <w:t>حيدر حبّ الله</w:t>
      </w:r>
      <w:bookmarkEnd w:id="18"/>
    </w:p>
    <w:p w:rsidR="001533CF" w:rsidRPr="00584E73" w:rsidRDefault="001533CF" w:rsidP="00584E73">
      <w:pPr>
        <w:pStyle w:val="afffffc"/>
        <w:rPr>
          <w:rtl/>
        </w:rPr>
      </w:pPr>
    </w:p>
    <w:p w:rsidR="008405E0" w:rsidRDefault="008405E0" w:rsidP="008405E0">
      <w:pPr>
        <w:pStyle w:val="ac"/>
        <w:rPr>
          <w:rtl/>
        </w:rPr>
      </w:pPr>
      <w:r>
        <w:rPr>
          <w:rtl/>
        </w:rPr>
        <w:t xml:space="preserve">خضعت موضوعة </w:t>
      </w:r>
      <w:r>
        <w:rPr>
          <w:rFonts w:hint="cs"/>
          <w:rtl/>
        </w:rPr>
        <w:t>المرأة</w:t>
      </w:r>
      <w:r>
        <w:rPr>
          <w:rtl/>
        </w:rPr>
        <w:t xml:space="preserve"> لتجاذبات حادة في القرون </w:t>
      </w:r>
      <w:r>
        <w:rPr>
          <w:rFonts w:hint="cs"/>
          <w:rtl/>
        </w:rPr>
        <w:t>الأخيرة</w:t>
      </w:r>
      <w:r>
        <w:rPr>
          <w:rtl/>
        </w:rPr>
        <w:t>، وخلص الغرب بعمومه نسبيا</w:t>
      </w:r>
      <w:r>
        <w:rPr>
          <w:rFonts w:hint="cs"/>
          <w:rtl/>
        </w:rPr>
        <w:t>ً</w:t>
      </w:r>
      <w:r>
        <w:rPr>
          <w:rtl/>
        </w:rPr>
        <w:t xml:space="preserve"> </w:t>
      </w:r>
      <w:r>
        <w:rPr>
          <w:rFonts w:hint="cs"/>
          <w:rtl/>
        </w:rPr>
        <w:t>إلى</w:t>
      </w:r>
      <w:r>
        <w:rPr>
          <w:rtl/>
        </w:rPr>
        <w:t xml:space="preserve"> تصور خاص مكتمل لهذا المفهوم، واختار لنفسه طريقا</w:t>
      </w:r>
      <w:r>
        <w:rPr>
          <w:rFonts w:hint="cs"/>
          <w:rtl/>
        </w:rPr>
        <w:t>ً</w:t>
      </w:r>
      <w:r>
        <w:rPr>
          <w:rtl/>
        </w:rPr>
        <w:t xml:space="preserve"> محددا</w:t>
      </w:r>
      <w:r>
        <w:rPr>
          <w:rFonts w:hint="cs"/>
          <w:rtl/>
        </w:rPr>
        <w:t>ً</w:t>
      </w:r>
      <w:r>
        <w:rPr>
          <w:rtl/>
        </w:rPr>
        <w:t xml:space="preserve"> وشاملا</w:t>
      </w:r>
      <w:r>
        <w:rPr>
          <w:rFonts w:hint="cs"/>
          <w:rtl/>
        </w:rPr>
        <w:t>ً</w:t>
      </w:r>
      <w:r>
        <w:rPr>
          <w:rtl/>
        </w:rPr>
        <w:t xml:space="preserve"> نسبيا</w:t>
      </w:r>
      <w:r>
        <w:rPr>
          <w:rFonts w:hint="cs"/>
          <w:rtl/>
        </w:rPr>
        <w:t>ً</w:t>
      </w:r>
      <w:r>
        <w:rPr>
          <w:rtl/>
        </w:rPr>
        <w:t xml:space="preserve"> على هذا الصعيد، على الرغم مما مر</w:t>
      </w:r>
      <w:r>
        <w:rPr>
          <w:rFonts w:hint="cs"/>
          <w:rtl/>
        </w:rPr>
        <w:t>ّ</w:t>
      </w:r>
      <w:r>
        <w:rPr>
          <w:rtl/>
        </w:rPr>
        <w:t xml:space="preserve">ت به هذه المقولة من مراحل وخلافات وما دخلته من </w:t>
      </w:r>
      <w:r>
        <w:rPr>
          <w:rFonts w:hint="cs"/>
          <w:rtl/>
        </w:rPr>
        <w:t>إرهاصات</w:t>
      </w:r>
      <w:r>
        <w:rPr>
          <w:rtl/>
        </w:rPr>
        <w:t xml:space="preserve"> ومخاضات، لكن القرن العشرين كان بمثابة نوع من اكتمال الصورة غربيا</w:t>
      </w:r>
      <w:r>
        <w:rPr>
          <w:rFonts w:hint="cs"/>
          <w:rtl/>
        </w:rPr>
        <w:t>ً</w:t>
      </w:r>
      <w:r>
        <w:rPr>
          <w:rtl/>
        </w:rPr>
        <w:t xml:space="preserve"> لهذه </w:t>
      </w:r>
      <w:r>
        <w:rPr>
          <w:rFonts w:hint="cs"/>
          <w:rtl/>
        </w:rPr>
        <w:t>الإشكالية</w:t>
      </w:r>
      <w:r>
        <w:rPr>
          <w:rtl/>
        </w:rPr>
        <w:t xml:space="preserve"> التي بلغت الغاية في التعقيد.</w:t>
      </w:r>
    </w:p>
    <w:p w:rsidR="008405E0" w:rsidRDefault="008405E0" w:rsidP="008405E0">
      <w:pPr>
        <w:pStyle w:val="ac"/>
        <w:rPr>
          <w:rtl/>
        </w:rPr>
      </w:pPr>
      <w:r>
        <w:rPr>
          <w:rFonts w:hint="cs"/>
          <w:rtl/>
        </w:rPr>
        <w:t>لكن القرن العشرين نفسه كان على صعيد العالم الإسلامي مختلفاً جداً، ذلك أنه ـ ولأسباب لا تعنينا فعلاً ـ شكل قرن تفجر الجدل حول هذه المقولة الشائكة، وخلقت نتيجة ذلك اتجاهات وآراء ومدارس كثيرة ومتنوعة، بلغت درجة التباين الحاد، وما ميزنا عن الغرب ـ أي غرب القرن العشرين ـ هو أننا حتى الآن، وعلى الصعيد العام، لم نلتق على عدد كبير من المشتركات، ولم نكمل تصوراً يمكن نسبته إلى الأمة بمجملها، خلافاً لما حصل في غرب الكرة الأرضية.</w:t>
      </w:r>
    </w:p>
    <w:p w:rsidR="008405E0" w:rsidRDefault="008405E0" w:rsidP="008405E0">
      <w:pPr>
        <w:pStyle w:val="ac"/>
        <w:rPr>
          <w:rtl/>
        </w:rPr>
      </w:pPr>
      <w:r>
        <w:rPr>
          <w:rFonts w:hint="cs"/>
          <w:rtl/>
        </w:rPr>
        <w:t>وإذا ما حاولنا الإطلالة على المسار التاريخي للخلاف الإسلامي ـ الإسلامي في شأن المرأة، لربما تملّكنا شعور بالاستغرا</w:t>
      </w:r>
      <w:r>
        <w:rPr>
          <w:rFonts w:hint="eastAsia"/>
          <w:rtl/>
        </w:rPr>
        <w:t>ب</w:t>
      </w:r>
      <w:r>
        <w:rPr>
          <w:rFonts w:hint="cs"/>
          <w:rtl/>
        </w:rPr>
        <w:t xml:space="preserve"> عندما نجد ـ مع الاحتفاظ بالفوارق ـ نوعاً من إعادة أو تكرار أو... البحث حول موضوعات محددة من قاسم أمين ومحمد عبده </w:t>
      </w:r>
      <w:r>
        <w:rPr>
          <w:rFonts w:hint="cs"/>
          <w:rtl/>
        </w:rPr>
        <w:lastRenderedPageBreak/>
        <w:t>إلى المطهري وأبي زيد والسعداوي وشحرور وغيرهم، وهكذا نجد نوعاً من التشابه في المواقف ما بين بدايات القرن العشرين ونهاياته، ولعل أكثر الموضوعات هي الموضوعات.</w:t>
      </w:r>
    </w:p>
    <w:p w:rsidR="008405E0" w:rsidRDefault="008405E0" w:rsidP="008405E0">
      <w:pPr>
        <w:pStyle w:val="ac"/>
        <w:rPr>
          <w:rtl/>
        </w:rPr>
      </w:pPr>
      <w:r>
        <w:rPr>
          <w:rFonts w:hint="cs"/>
          <w:rtl/>
        </w:rPr>
        <w:t>إن هذا الواقع الثقافي يحكي عن درجة من المراوحة، أو فلنقل:</w:t>
      </w:r>
      <w:r>
        <w:rPr>
          <w:rtl/>
        </w:rPr>
        <w:t xml:space="preserve"> </w:t>
      </w:r>
      <w:r>
        <w:rPr>
          <w:rFonts w:hint="cs"/>
          <w:rtl/>
        </w:rPr>
        <w:t>أحياناً الكر والفرّ المحدودين، ولعلّ قرناً كاملاً من الزمن (على أقل تقدير) ربما يعد مقطعاً زمنياً كافياً لإنتاج قواسم أو بلورة أوليات يفترض من الناحية التاريخية المحض تجاوزها، ومع تحقق هذا الأمر إلا أن الخلاف لا يزال حاداً، والأهم بنيوياً.</w:t>
      </w:r>
    </w:p>
    <w:p w:rsidR="008405E0" w:rsidRDefault="008405E0" w:rsidP="008405E0">
      <w:pPr>
        <w:pStyle w:val="ac"/>
        <w:rPr>
          <w:rtl/>
        </w:rPr>
      </w:pPr>
      <w:r>
        <w:rPr>
          <w:rFonts w:hint="cs"/>
          <w:rtl/>
        </w:rPr>
        <w:t>لكن استعراضاً توصيفياً في غاية الإيجاز لمسيرة الجدل الثقافي في شأن موضوعة المرأة يحكي عن نمطين من التفكير والتعاطي:</w:t>
      </w:r>
    </w:p>
    <w:p w:rsidR="008405E0" w:rsidRDefault="008405E0" w:rsidP="008405E0">
      <w:pPr>
        <w:pStyle w:val="ac"/>
        <w:rPr>
          <w:rtl/>
        </w:rPr>
      </w:pPr>
      <w:r>
        <w:rPr>
          <w:rFonts w:hint="cs"/>
          <w:rtl/>
        </w:rPr>
        <w:t>1ـ نمط ما زال يحتكم إلى النص، وما حصل في هذا الفريق بشقيه المختلفين هو محاولة من دعاة التغيير، أو التجديد</w:t>
      </w:r>
      <w:r>
        <w:rPr>
          <w:rtl/>
        </w:rPr>
        <w:t xml:space="preserve"> </w:t>
      </w:r>
      <w:r>
        <w:rPr>
          <w:rFonts w:hint="cs"/>
          <w:rtl/>
        </w:rPr>
        <w:t>الكلامي والفقهي، لكسر حصار النص من خلال آليتين:</w:t>
      </w:r>
    </w:p>
    <w:p w:rsidR="008405E0" w:rsidRDefault="008405E0" w:rsidP="008405E0">
      <w:pPr>
        <w:pStyle w:val="ac"/>
        <w:rPr>
          <w:rtl/>
        </w:rPr>
      </w:pPr>
      <w:r w:rsidRPr="005F2FFA">
        <w:rPr>
          <w:rFonts w:hint="cs"/>
          <w:b/>
          <w:bCs/>
          <w:rtl/>
        </w:rPr>
        <w:t>إحداهما:</w:t>
      </w:r>
      <w:r>
        <w:rPr>
          <w:rFonts w:hint="cs"/>
          <w:rtl/>
        </w:rPr>
        <w:t xml:space="preserve"> آلية الحفر خلف الجانب الصدوري للنصوص، وهو أمر يتسنّى في السنة الشريفة، ويصعب، بل يستحيل عملياً، في القرآن الكريم. إن هذا الحفر الذي يهدف إلى تقويض النص من خلال نفي صدوره، وجد لنفسه فرصة ملائمة جداً، والسبب في ذلك هو أن مجموعة تصورات اجتماعية عن المرأة لم يعمد المتكلمون والفقهاء المسلمون السابقون إلى تحقيقها اتكالاً على الوضوح العام في الوعي والعقل الجمعي المسبّب عن بنينة خاصة للمجتمع القديم. وقد سعى الحفارون هنا إلى هدم النصوص التي تبنّت هذه المفاهيم الكلية عن المرأة، والتي من أبرزها مفهوم نقصان عقل المرأة، لأن عدم بحث السلف فيها أدى تدريجياً إلى حالة من التغاضي الذي يراكم عيوب النص لتأتي عملية الحفر اللاحقة فتكشفها دفعةً واحدة خالقة إشكالية متعددة الأطراف والجبهات، أما لو كان هناك تعامل سابق مع هذه النصوص فإن التمادي التاريخي يمكنه أن يخفض أحياناً من حدّة بعض هذه الإشكالات.</w:t>
      </w:r>
    </w:p>
    <w:p w:rsidR="008405E0" w:rsidRDefault="008405E0" w:rsidP="008405E0">
      <w:pPr>
        <w:pStyle w:val="ac"/>
        <w:rPr>
          <w:rtl/>
        </w:rPr>
      </w:pPr>
      <w:r>
        <w:rPr>
          <w:rFonts w:hint="cs"/>
          <w:rtl/>
        </w:rPr>
        <w:t xml:space="preserve">والمرحلة التمهيدية التي قامت بها حركة التغيير على هذا الصعيد، تمثلت في نسف </w:t>
      </w:r>
      <w:r>
        <w:rPr>
          <w:rFonts w:hint="cs"/>
          <w:rtl/>
        </w:rPr>
        <w:lastRenderedPageBreak/>
        <w:t>مقولتي: الإجماع والشهرة على الصعيد الشيعي، ومقولتي السلف الصالح وصحّة الكتب الستة السنية على الصعيد السني، وهو أمر لم يكن بالإمكان تحقيق خطوات ملحوظة لهذا التيار من دون تأمينه.</w:t>
      </w:r>
    </w:p>
    <w:p w:rsidR="008405E0" w:rsidRDefault="008405E0" w:rsidP="008405E0">
      <w:pPr>
        <w:pStyle w:val="ac"/>
        <w:rPr>
          <w:rtl/>
        </w:rPr>
      </w:pPr>
      <w:r w:rsidRPr="005F2FFA">
        <w:rPr>
          <w:rFonts w:hint="cs"/>
          <w:b/>
          <w:bCs/>
          <w:rtl/>
        </w:rPr>
        <w:t>ثانيتهما:</w:t>
      </w:r>
      <w:r>
        <w:rPr>
          <w:rFonts w:hint="cs"/>
          <w:rtl/>
        </w:rPr>
        <w:t xml:space="preserve"> آلية تكوين قراءة جديدة للنص، تدخله في الحساب التاريخي، والمكسب الذي سيتحقق حينئذ يقوم على محاولة عزل النص عن الواقع الاجتماعي الحالي من خلال وصله ببنى وهيكليات اجتماعية ـ سياسية سابقة لم يعد</w:t>
      </w:r>
      <w:r>
        <w:rPr>
          <w:rtl/>
        </w:rPr>
        <w:t xml:space="preserve"> </w:t>
      </w:r>
      <w:r>
        <w:rPr>
          <w:rFonts w:hint="cs"/>
          <w:rtl/>
        </w:rPr>
        <w:t>بالإمكان تحقّقها اليوم.</w:t>
      </w:r>
    </w:p>
    <w:p w:rsidR="008405E0" w:rsidRDefault="008405E0" w:rsidP="008405E0">
      <w:pPr>
        <w:pStyle w:val="ac"/>
        <w:rPr>
          <w:rtl/>
        </w:rPr>
      </w:pPr>
      <w:r>
        <w:rPr>
          <w:rFonts w:hint="cs"/>
          <w:rtl/>
        </w:rPr>
        <w:t>هذه التاريخانية لم تتمكّن من النفوذ إلى معاقل التيارات المدرسية في الفكر الديني خلافاً لمسألة التشكيك في أسانيد الحديث ومصادره، ولهذا نجد نوعاً من المحدودية في حضور التاريخانية للنص في هذا الوسط قياساً بالأوساط الأخرى في الساحة الإسلامية، والسبب في ذلك يعود إلى نوع من إحساس التنافي بين هذا النوع من القراءة وبين الأوليات الكلامية والأصولية ـ الفقهية القاضية بثبات النص ومفاده، أما على صعيد التشكيكات الصدورية للنصوص الدينية فكان أمراً أخف وطأة، لأن الاتجاه المدرسي كان قد ألف هذا النمط من التعاطي عموماً على صعيد علمي الرجال والحديث.</w:t>
      </w:r>
    </w:p>
    <w:p w:rsidR="008405E0" w:rsidRDefault="008405E0" w:rsidP="008405E0">
      <w:pPr>
        <w:pStyle w:val="ac"/>
        <w:rPr>
          <w:rtl/>
        </w:rPr>
      </w:pPr>
      <w:r>
        <w:rPr>
          <w:rFonts w:hint="cs"/>
          <w:rtl/>
        </w:rPr>
        <w:t>وقد شكل الوضع الاجتماعي ـ السياسي السابق للمرأة أساساً أولياً لدعاة التاريخانية، وعلى سبيل المثال ربطت مسألة الإرث باقتصاد الأسرة الذي كان قائماً على العنصر الذكوري، ووصلت قضية السلطة بتركيبة الدولة ما قبل الحديثة، وأنشأت الجسور أيضاً ما بين التخلّف العلمي والثقافي والاجتماعي للمرأة وما بين موضوع الطلاق وهكذا...</w:t>
      </w:r>
    </w:p>
    <w:p w:rsidR="008405E0" w:rsidRDefault="008405E0" w:rsidP="008405E0">
      <w:pPr>
        <w:pStyle w:val="ac"/>
        <w:rPr>
          <w:rtl/>
        </w:rPr>
      </w:pPr>
      <w:r>
        <w:rPr>
          <w:rFonts w:hint="cs"/>
          <w:rtl/>
        </w:rPr>
        <w:t>2ـ وعلى خلاف هذا النمط من التعاطي مع موضوعة المرأة، والذي شعرت الاتجاهات المدرسية بإمكانية التفاهم معه إلى حد معين، كان هناك نمط آخر قرأ المرأة من زاوية عقلانية، رافضاً ـ وبدرجة كبيرة نسبياً ـ مرجعية النص، ولو تأثراً بتاريخانية قراءة النصوص.</w:t>
      </w:r>
    </w:p>
    <w:p w:rsidR="008405E0" w:rsidRDefault="008405E0" w:rsidP="008405E0">
      <w:pPr>
        <w:pStyle w:val="ac"/>
        <w:rPr>
          <w:rtl/>
        </w:rPr>
      </w:pPr>
      <w:r>
        <w:rPr>
          <w:rFonts w:hint="cs"/>
          <w:rtl/>
        </w:rPr>
        <w:t xml:space="preserve">وقد اعتقد هذا الاتجاه، ولا يزال، بخطأ افتراض مرجعية نصوصية لقضية المرأة، </w:t>
      </w:r>
      <w:r>
        <w:rPr>
          <w:rFonts w:hint="cs"/>
          <w:rtl/>
        </w:rPr>
        <w:lastRenderedPageBreak/>
        <w:t>وكان يرى أن من الشطط خوض الجدل مع الاتجاه المدرسي على أساس النص، لأن النص يصعب التعامل معه في موضوع كهذا، وبالتالي فأيّ اعتراف ـ ولو جدلي ـ بمرجعيةٍ كهذه معناه التورط في مرحلة لا نهاية لها من الممكن أن ينتصر فيها المدرسيون وأنصارهم.</w:t>
      </w:r>
    </w:p>
    <w:p w:rsidR="008405E0" w:rsidRDefault="008405E0" w:rsidP="008405E0">
      <w:pPr>
        <w:pStyle w:val="ac"/>
        <w:rPr>
          <w:rtl/>
        </w:rPr>
      </w:pPr>
      <w:r>
        <w:rPr>
          <w:rFonts w:hint="cs"/>
          <w:rtl/>
        </w:rPr>
        <w:t>وقد حاول بعض أنصار هذا الاتجاه تخفيف حدّة النزعة العقلانية الرافضة للنصّ عنده من خلال التخلّي عن النصوص الجزئية الواردة في القرآن والسنّة حول المرأة، ومحاولة خلع لباس المقاصدية والخطوط الكلية على قراءتهم، انطلاقاً من عناوين العدل والإحسان والحق والمعروف و... وهي عناوين عقلانية جاءت تأييدات عامة لها في النص الديني.</w:t>
      </w:r>
    </w:p>
    <w:p w:rsidR="008405E0" w:rsidRDefault="008405E0" w:rsidP="008405E0">
      <w:pPr>
        <w:pStyle w:val="ac"/>
        <w:rPr>
          <w:rtl/>
        </w:rPr>
      </w:pPr>
      <w:r>
        <w:rPr>
          <w:rFonts w:hint="cs"/>
          <w:rtl/>
        </w:rPr>
        <w:t>لكن، وفي قبال هذه الحركة المتعدّدة الأشكال والمناهج، كانت هناك تيارات رافضة ذات مظاهر مختلفة أيضاً في ساحة الفكر، يمكن القول: إنها تختصر في اتجاهين:</w:t>
      </w:r>
    </w:p>
    <w:p w:rsidR="008405E0" w:rsidRDefault="008405E0" w:rsidP="008405E0">
      <w:pPr>
        <w:pStyle w:val="ac"/>
        <w:rPr>
          <w:rtl/>
        </w:rPr>
      </w:pPr>
      <w:r w:rsidRPr="008C0A2B">
        <w:rPr>
          <w:rFonts w:hint="cs"/>
          <w:b/>
          <w:bCs/>
          <w:rtl/>
        </w:rPr>
        <w:t>أـ الاتجاه السلفي الماضوي:</w:t>
      </w:r>
      <w:r>
        <w:rPr>
          <w:rFonts w:hint="cs"/>
          <w:rtl/>
        </w:rPr>
        <w:t xml:space="preserve"> وهو اتجاه اعتقد برفض شامل وكامل لأي حديث عن المرأة اكتفاءً بالنتاج الفكري القديم وبالوضع الاجتماعي ـ السياسي السابق لها، وقد انطلق أنصار هذا الاتجاه من سلسلة مترابطة من القناعات تبدأ ـ نظرياً ـ من كلاميات وفقهيات ـ وعملياً ـ</w:t>
      </w:r>
      <w:r>
        <w:rPr>
          <w:rtl/>
        </w:rPr>
        <w:t xml:space="preserve"> </w:t>
      </w:r>
      <w:r>
        <w:rPr>
          <w:rFonts w:hint="cs"/>
          <w:rtl/>
        </w:rPr>
        <w:t>من تجربة سابقة يرون فيها أفضل أنموذج لحفظ الأسرة وتماسكها، وللتخفيف من الفساد الأخلاقي والاجتماعي، وخفض معدلات الجريمة.</w:t>
      </w:r>
    </w:p>
    <w:p w:rsidR="008405E0" w:rsidRDefault="008405E0" w:rsidP="008405E0">
      <w:pPr>
        <w:pStyle w:val="ac"/>
        <w:rPr>
          <w:rtl/>
        </w:rPr>
      </w:pPr>
      <w:r w:rsidRPr="008C0A2B">
        <w:rPr>
          <w:rFonts w:hint="cs"/>
          <w:b/>
          <w:bCs/>
          <w:rtl/>
        </w:rPr>
        <w:t>ب ـ الاتجاه المدرسي العقلاني:</w:t>
      </w:r>
      <w:r>
        <w:rPr>
          <w:rFonts w:hint="cs"/>
          <w:rtl/>
        </w:rPr>
        <w:t xml:space="preserve"> وهو اتجاه برزت فيه شخصيات كبيرة في القرن العشرين، وقد ركز هذا الاتجاه نشاطه على صعيدين:</w:t>
      </w:r>
    </w:p>
    <w:p w:rsidR="008405E0" w:rsidRDefault="008405E0" w:rsidP="008405E0">
      <w:pPr>
        <w:pStyle w:val="ac"/>
        <w:rPr>
          <w:rtl/>
        </w:rPr>
      </w:pPr>
      <w:r>
        <w:rPr>
          <w:rFonts w:hint="cs"/>
          <w:b/>
          <w:bCs/>
          <w:rtl/>
        </w:rPr>
        <w:t>أ</w:t>
      </w:r>
      <w:r w:rsidRPr="005F2FFA">
        <w:rPr>
          <w:rFonts w:hint="cs"/>
          <w:b/>
          <w:bCs/>
          <w:rtl/>
        </w:rPr>
        <w:t>حدهما</w:t>
      </w:r>
      <w:r>
        <w:rPr>
          <w:rFonts w:hint="cs"/>
          <w:color w:val="0000FF"/>
          <w:rtl/>
        </w:rPr>
        <w:t>:</w:t>
      </w:r>
      <w:r>
        <w:rPr>
          <w:rFonts w:hint="cs"/>
          <w:rtl/>
        </w:rPr>
        <w:t xml:space="preserve"> يمثل تقديم صياغة علمية داخلية لموضوعات المرأة غلبت عليها سمة </w:t>
      </w:r>
      <w:r w:rsidRPr="00302CDB">
        <w:rPr>
          <w:rFonts w:hint="cs"/>
          <w:spacing w:val="-6"/>
          <w:rtl/>
        </w:rPr>
        <w:t>إعادة إنتاج من دون تغيير في النتائج غالباً، أي إعادة صياغة وتشكيل للنظم</w:t>
      </w:r>
      <w:r>
        <w:rPr>
          <w:rFonts w:hint="cs"/>
          <w:rtl/>
        </w:rPr>
        <w:t xml:space="preserve"> المفاهيمية مع الأخذ بعين الاعتبار ثبات النتائج.</w:t>
      </w:r>
    </w:p>
    <w:p w:rsidR="008405E0" w:rsidRDefault="008405E0" w:rsidP="008405E0">
      <w:pPr>
        <w:pStyle w:val="ac"/>
        <w:rPr>
          <w:rtl/>
        </w:rPr>
      </w:pPr>
      <w:r w:rsidRPr="005F2FFA">
        <w:rPr>
          <w:rFonts w:hint="cs"/>
          <w:b/>
          <w:bCs/>
          <w:rtl/>
        </w:rPr>
        <w:t>ثانيهما</w:t>
      </w:r>
      <w:r>
        <w:rPr>
          <w:rFonts w:hint="cs"/>
          <w:color w:val="0000FF"/>
          <w:rtl/>
        </w:rPr>
        <w:t>:</w:t>
      </w:r>
      <w:r>
        <w:rPr>
          <w:rFonts w:hint="cs"/>
          <w:rtl/>
        </w:rPr>
        <w:t xml:space="preserve"> تقديم تفسيرات عصرية للنتائج المفروغ منها يمكنها عقلنة معطيات النصوص، أي تقديم تفسيرات لقضايا الحجاب وعلاقته بالحرية، وتعدّد الزوجات وعلاقته بالحقوق و... وقد ساعدت التركيبة الذهنية ـ الاجتماعية، في المجتمعات </w:t>
      </w:r>
      <w:r>
        <w:rPr>
          <w:rFonts w:hint="cs"/>
          <w:rtl/>
        </w:rPr>
        <w:lastRenderedPageBreak/>
        <w:t>الإسلامية، على نجاح هذه التفسيرات ومعقوليتها لدى الرأي العام، وهو ما قد ينذر بفشل الديمومة، نتيجة التغيرات التي طرأت في العقدين الأخيرين ـ سيما بعد انهيار الاتحاد السوفياتي ـ على العقل الجمعي ككل، ومن هنا</w:t>
      </w:r>
      <w:r>
        <w:rPr>
          <w:rtl/>
        </w:rPr>
        <w:t xml:space="preserve"> </w:t>
      </w:r>
      <w:r>
        <w:rPr>
          <w:rFonts w:hint="cs"/>
          <w:rtl/>
        </w:rPr>
        <w:t xml:space="preserve">يلاحظ أن مواصلة هذا الطريق في الآونة الأخيرة عانت من بعض المشاكل نتيجة ـ ربما ـ الاعتماد على منهج التسويغ السابق الذي سبق التحولات الثقافية الأخيرة في المجتمع الإسلامي. </w:t>
      </w:r>
    </w:p>
    <w:p w:rsidR="008405E0" w:rsidRDefault="008405E0" w:rsidP="008405E0">
      <w:pPr>
        <w:pStyle w:val="ac"/>
        <w:rPr>
          <w:rtl/>
        </w:rPr>
      </w:pPr>
      <w:r>
        <w:rPr>
          <w:rFonts w:hint="cs"/>
          <w:rtl/>
        </w:rPr>
        <w:t>وأمام تنوع الآراء والمواقف إلى حدّ التباين ما بين الاتجاهات جميعاً ربما يحقّ لقلم أن يسجل الملاحظات الآتية:</w:t>
      </w:r>
    </w:p>
    <w:p w:rsidR="008405E0" w:rsidRDefault="008405E0" w:rsidP="008405E0">
      <w:pPr>
        <w:pStyle w:val="ac"/>
        <w:rPr>
          <w:rtl/>
        </w:rPr>
      </w:pPr>
      <w:r w:rsidRPr="005F2FFA">
        <w:rPr>
          <w:rFonts w:hint="cs"/>
          <w:b/>
          <w:bCs/>
          <w:rtl/>
        </w:rPr>
        <w:t>الملاحظة الأولى</w:t>
      </w:r>
      <w:r w:rsidRPr="005F2FFA">
        <w:rPr>
          <w:rFonts w:hint="cs"/>
          <w:rtl/>
        </w:rPr>
        <w:t>:</w:t>
      </w:r>
      <w:r>
        <w:rPr>
          <w:rFonts w:hint="cs"/>
          <w:rtl/>
        </w:rPr>
        <w:t xml:space="preserve"> لعلّ من أبرز الإشكاليات التي عانت منها الاتجاهات كافة هي مرجعية الغربي، أي أن فريقاً كان يرى الأمثولة في الأنموذج الغربي فكانت الرؤى والقراءات تصاحب هذه الأمثولة على الدوام أو غالباً، لكن فريقا آخر كان يتموضع في مكانه، والمرجعية العكسية التي تدفعه إلى هذا التموضع هي الغرب نفسه.</w:t>
      </w:r>
    </w:p>
    <w:p w:rsidR="008405E0" w:rsidRDefault="008405E0" w:rsidP="008405E0">
      <w:pPr>
        <w:pStyle w:val="ac"/>
        <w:rPr>
          <w:rtl/>
        </w:rPr>
      </w:pPr>
      <w:r>
        <w:rPr>
          <w:rFonts w:hint="cs"/>
          <w:rtl/>
        </w:rPr>
        <w:t>لا يمكن فصل الغرب عن أي مشروع فكري عالمي، لكن الإسلامي الذي يريد تقديم صياغة متكاملة لموضوع المرأة لا يحق له من ناحية منهجية ايبستمية أن يتماهى والغربي في مشروعه حتى لو كان مشروعه أسلم المشروعات، وهو أمر ـ مع الاعتراف بعولمة بعض فروع الثقافة اليوم ـ يؤول، في ما يؤول، إلى الخصوصيات الثقافية للحضارات والأمم.</w:t>
      </w:r>
    </w:p>
    <w:p w:rsidR="00F64660" w:rsidRDefault="008405E0" w:rsidP="009A37E1">
      <w:pPr>
        <w:pStyle w:val="ac"/>
        <w:rPr>
          <w:rtl/>
        </w:rPr>
      </w:pPr>
      <w:r w:rsidRPr="005F2FFA">
        <w:rPr>
          <w:rFonts w:hint="cs"/>
          <w:b/>
          <w:bCs/>
          <w:rtl/>
        </w:rPr>
        <w:t>الملاحظة الثانية</w:t>
      </w:r>
      <w:r>
        <w:rPr>
          <w:rFonts w:hint="cs"/>
          <w:color w:val="800000"/>
          <w:rtl/>
        </w:rPr>
        <w:t>:</w:t>
      </w:r>
      <w:r>
        <w:rPr>
          <w:rFonts w:hint="cs"/>
          <w:rtl/>
        </w:rPr>
        <w:t xml:space="preserve"> ما نحتاجه اليوم هو القيام بإنتاجين متوازيين لموضوع المرأة، إنتاج داخلي يعيد قراءة الموضوع بطريقة أكاديمية تقليدية أو غير تقليدية من دون الأخذ بنظر الاعتبار مصادرات مسبقة، وإنتاج عقلاني لا يحاول عقلنة مفردات الجدل حول المرأة هذه المرة ـ وان كان أمراً مطلوباً بل يحاول عقلنة القراءة الوجودية الشاملة لهذا العنصر الاجتماعي، أي يحاول فلسفة الموضوع لا تبرير المفردة، لأن البقاء في تسويغ المفردات من دون المكوّن التحتي لفلسفة الموضوع، سيفقدنا تكامل الصورة من جهة، ويغرقنا في دوامات تعاني من أزمة تخاطب من جهة ثانية.</w:t>
      </w:r>
      <w:bookmarkEnd w:id="15"/>
    </w:p>
    <w:p w:rsidR="001C51A4" w:rsidRDefault="001C51A4" w:rsidP="009A37E1">
      <w:pPr>
        <w:pStyle w:val="ac"/>
        <w:rPr>
          <w:rtl/>
        </w:rPr>
        <w:sectPr w:rsidR="001C51A4" w:rsidSect="00C86869">
          <w:headerReference w:type="even" r:id="rId13"/>
          <w:headerReference w:type="default" r:id="rId14"/>
          <w:footnotePr>
            <w:numRestart w:val="eachPage"/>
          </w:footnotePr>
          <w:endnotePr>
            <w:numFmt w:val="decimal"/>
            <w:numRestart w:val="eachSect"/>
          </w:endnotePr>
          <w:type w:val="continuous"/>
          <w:pgSz w:w="11906" w:h="16838" w:code="9"/>
          <w:pgMar w:top="2268" w:right="2268" w:bottom="2665" w:left="2268" w:header="1979" w:footer="1106" w:gutter="0"/>
          <w:cols w:space="708"/>
          <w:titlePg/>
          <w:bidi/>
          <w:rtlGutter/>
          <w:docGrid w:linePitch="360"/>
        </w:sectPr>
      </w:pPr>
    </w:p>
    <w:p w:rsidR="00F64660" w:rsidRDefault="00F64660" w:rsidP="009A37E1">
      <w:pPr>
        <w:pStyle w:val="ac"/>
        <w:rPr>
          <w:rtl/>
        </w:rPr>
        <w:sectPr w:rsidR="00F64660" w:rsidSect="00C86869">
          <w:footnotePr>
            <w:numRestart w:val="eachPage"/>
          </w:footnotePr>
          <w:endnotePr>
            <w:numFmt w:val="decimal"/>
            <w:numRestart w:val="eachSect"/>
          </w:endnotePr>
          <w:type w:val="continuous"/>
          <w:pgSz w:w="11906" w:h="16838" w:code="9"/>
          <w:pgMar w:top="2268" w:right="2268" w:bottom="2665" w:left="2268" w:header="1979" w:footer="1106" w:gutter="0"/>
          <w:cols w:space="708"/>
          <w:titlePg/>
          <w:bidi/>
          <w:rtlGutter/>
          <w:docGrid w:linePitch="360"/>
        </w:sectPr>
      </w:pPr>
    </w:p>
    <w:p w:rsidR="00513FFE" w:rsidRDefault="00F7530F" w:rsidP="009A37E1">
      <w:pPr>
        <w:pStyle w:val="ac"/>
        <w:rPr>
          <w:rtl/>
        </w:rPr>
      </w:pPr>
      <w:r>
        <w:rPr>
          <w:rFonts w:cs="Taher"/>
          <w:sz w:val="36"/>
          <w:szCs w:val="36"/>
          <w:rtl/>
        </w:rPr>
        <w:lastRenderedPageBreak/>
        <w:br w:type="page"/>
      </w:r>
    </w:p>
    <w:p w:rsidR="00513FFE" w:rsidRDefault="008C5656" w:rsidP="00F9751E">
      <w:pPr>
        <w:pStyle w:val="aff2"/>
        <w:bidi w:val="0"/>
        <w:rPr>
          <w:rtl/>
        </w:rPr>
      </w:pPr>
      <w:r>
        <w:rPr>
          <w:noProof/>
          <w:rtl/>
        </w:rPr>
        <w:lastRenderedPageBreak/>
        <w:drawing>
          <wp:anchor distT="0" distB="0" distL="114300" distR="114300" simplePos="0" relativeHeight="251659264" behindDoc="1" locked="0" layoutInCell="1" allowOverlap="1">
            <wp:simplePos x="0" y="0"/>
            <wp:positionH relativeFrom="column">
              <wp:posOffset>15075</wp:posOffset>
            </wp:positionH>
            <wp:positionV relativeFrom="paragraph">
              <wp:posOffset>-31060</wp:posOffset>
            </wp:positionV>
            <wp:extent cx="4672219" cy="7210839"/>
            <wp:effectExtent l="19050" t="0" r="0" b="0"/>
            <wp:wrapNone/>
            <wp:docPr id="20" name="صورة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1"/>
                    <pic:cNvPicPr>
                      <a:picLocks noChangeAspect="1" noChangeArrowheads="1"/>
                    </pic:cNvPicPr>
                  </pic:nvPicPr>
                  <pic:blipFill>
                    <a:blip r:embed="rId10" cstate="print"/>
                    <a:srcRect/>
                    <a:stretch>
                      <a:fillRect/>
                    </a:stretch>
                  </pic:blipFill>
                  <pic:spPr bwMode="auto">
                    <a:xfrm>
                      <a:off x="0" y="0"/>
                      <a:ext cx="4672219" cy="7210839"/>
                    </a:xfrm>
                    <a:prstGeom prst="rect">
                      <a:avLst/>
                    </a:prstGeom>
                    <a:noFill/>
                    <a:ln w="9525">
                      <a:noFill/>
                      <a:miter lim="800000"/>
                      <a:headEnd/>
                      <a:tailEnd/>
                    </a:ln>
                  </pic:spPr>
                </pic:pic>
              </a:graphicData>
            </a:graphic>
          </wp:anchor>
        </w:drawing>
      </w:r>
    </w:p>
    <w:p w:rsidR="00513FFE" w:rsidRDefault="00513FFE" w:rsidP="00F9751E">
      <w:pPr>
        <w:pStyle w:val="aff2"/>
        <w:bidi w:val="0"/>
        <w:rPr>
          <w:rtl/>
        </w:rPr>
      </w:pPr>
    </w:p>
    <w:p w:rsidR="00513FFE" w:rsidRDefault="00513FFE" w:rsidP="00F9751E">
      <w:pPr>
        <w:pStyle w:val="aff2"/>
        <w:bidi w:val="0"/>
        <w:rPr>
          <w:rtl/>
        </w:rPr>
      </w:pPr>
    </w:p>
    <w:p w:rsidR="00513FFE" w:rsidRPr="008C5656" w:rsidRDefault="00513FFE" w:rsidP="00F9751E">
      <w:pPr>
        <w:pStyle w:val="aff2"/>
        <w:bidi w:val="0"/>
        <w:rPr>
          <w:sz w:val="46"/>
          <w:szCs w:val="56"/>
          <w:rtl/>
        </w:rPr>
      </w:pPr>
    </w:p>
    <w:p w:rsidR="00513FFE" w:rsidRDefault="00513FFE" w:rsidP="00F9751E">
      <w:pPr>
        <w:pStyle w:val="aff2"/>
        <w:bidi w:val="0"/>
        <w:rPr>
          <w:sz w:val="52"/>
          <w:szCs w:val="70"/>
          <w:rtl/>
        </w:rPr>
      </w:pPr>
      <w:bookmarkStart w:id="19" w:name="_Toc255949456"/>
      <w:bookmarkStart w:id="20" w:name="_Toc275127861"/>
      <w:r w:rsidRPr="00C00D8E">
        <w:rPr>
          <w:rFonts w:hint="cs"/>
          <w:sz w:val="52"/>
          <w:szCs w:val="70"/>
          <w:rtl/>
        </w:rPr>
        <w:t>الفصل الأوّل</w:t>
      </w:r>
      <w:bookmarkEnd w:id="19"/>
      <w:bookmarkEnd w:id="20"/>
      <w:r w:rsidRPr="00C00D8E">
        <w:rPr>
          <w:rFonts w:hint="cs"/>
          <w:sz w:val="52"/>
          <w:szCs w:val="70"/>
          <w:rtl/>
        </w:rPr>
        <w:t xml:space="preserve"> </w:t>
      </w:r>
      <w:bookmarkStart w:id="21" w:name="_GoBack"/>
      <w:bookmarkEnd w:id="21"/>
    </w:p>
    <w:p w:rsidR="006F51EB" w:rsidRPr="006F51EB" w:rsidRDefault="006F51EB" w:rsidP="006F51EB">
      <w:pPr>
        <w:pStyle w:val="aff2"/>
        <w:bidi w:val="0"/>
        <w:rPr>
          <w:sz w:val="2"/>
          <w:szCs w:val="16"/>
          <w:rtl/>
        </w:rPr>
      </w:pPr>
    </w:p>
    <w:p w:rsidR="00F64660" w:rsidRDefault="008405E0" w:rsidP="009A37E1">
      <w:pPr>
        <w:pStyle w:val="aff2"/>
        <w:rPr>
          <w:rtl/>
        </w:rPr>
      </w:pPr>
      <w:bookmarkStart w:id="22" w:name="_Toc275127862"/>
      <w:r>
        <w:rPr>
          <w:rFonts w:hint="cs"/>
          <w:rtl/>
        </w:rPr>
        <w:t>مقاربات فلسفية وعرفانية لقضايا المرأة</w:t>
      </w:r>
      <w:bookmarkStart w:id="23" w:name="_Toc255949460"/>
      <w:bookmarkEnd w:id="22"/>
    </w:p>
    <w:p w:rsidR="00F64660" w:rsidRDefault="00F64660">
      <w:pPr>
        <w:widowControl/>
        <w:bidi w:val="0"/>
        <w:spacing w:line="240" w:lineRule="auto"/>
        <w:ind w:firstLine="0"/>
        <w:jc w:val="left"/>
        <w:outlineLvl w:val="9"/>
        <w:rPr>
          <w:rFonts w:ascii="SKR HEAD1" w:hAnsi="SKR HEAD1" w:cs="SKR HEAD1"/>
          <w:sz w:val="32"/>
          <w:szCs w:val="50"/>
          <w:rtl/>
        </w:rPr>
      </w:pPr>
      <w:r>
        <w:rPr>
          <w:rtl/>
        </w:rPr>
        <w:br w:type="page"/>
      </w:r>
    </w:p>
    <w:p w:rsidR="00F64660" w:rsidRDefault="00F64660">
      <w:pPr>
        <w:widowControl/>
        <w:bidi w:val="0"/>
        <w:spacing w:line="240" w:lineRule="auto"/>
        <w:ind w:firstLine="0"/>
        <w:jc w:val="left"/>
        <w:outlineLvl w:val="9"/>
        <w:rPr>
          <w:rFonts w:ascii="SKR HEAD1" w:hAnsi="SKR HEAD1" w:cs="SKR HEAD1"/>
          <w:sz w:val="32"/>
          <w:szCs w:val="50"/>
          <w:rtl/>
        </w:rPr>
      </w:pPr>
      <w:r>
        <w:rPr>
          <w:rtl/>
        </w:rPr>
        <w:lastRenderedPageBreak/>
        <w:br w:type="page"/>
      </w:r>
    </w:p>
    <w:p w:rsidR="00F64660" w:rsidRDefault="00F64660" w:rsidP="00F64660">
      <w:pPr>
        <w:pStyle w:val="ac"/>
        <w:rPr>
          <w:rtl/>
        </w:rPr>
      </w:pPr>
    </w:p>
    <w:p w:rsidR="00F64660" w:rsidRDefault="00F64660" w:rsidP="00F64660">
      <w:pPr>
        <w:pStyle w:val="ac"/>
        <w:rPr>
          <w:rtl/>
        </w:rPr>
      </w:pPr>
    </w:p>
    <w:p w:rsidR="00F64660" w:rsidRDefault="00F64660" w:rsidP="00F64660">
      <w:pPr>
        <w:pStyle w:val="ac"/>
        <w:rPr>
          <w:rtl/>
        </w:rPr>
      </w:pPr>
    </w:p>
    <w:p w:rsidR="00F64660" w:rsidRPr="00AC202B" w:rsidRDefault="00F64660" w:rsidP="00F64660">
      <w:pPr>
        <w:pStyle w:val="ac"/>
        <w:rPr>
          <w:sz w:val="14"/>
          <w:szCs w:val="16"/>
          <w:rtl/>
        </w:rPr>
      </w:pPr>
    </w:p>
    <w:p w:rsidR="00F64660" w:rsidRDefault="00F64660" w:rsidP="00F64660">
      <w:pPr>
        <w:pStyle w:val="ac"/>
        <w:rPr>
          <w:rtl/>
        </w:rPr>
      </w:pPr>
    </w:p>
    <w:p w:rsidR="00F64660" w:rsidRDefault="00F64660" w:rsidP="009A37E1">
      <w:pPr>
        <w:pStyle w:val="aff2"/>
        <w:rPr>
          <w:rtl/>
        </w:rPr>
        <w:sectPr w:rsidR="00F64660" w:rsidSect="00C86869">
          <w:headerReference w:type="even" r:id="rId15"/>
          <w:headerReference w:type="default" r:id="rId16"/>
          <w:footnotePr>
            <w:numRestart w:val="eachPage"/>
          </w:footnotePr>
          <w:endnotePr>
            <w:numFmt w:val="decimal"/>
            <w:numRestart w:val="eachSect"/>
          </w:endnotePr>
          <w:type w:val="continuous"/>
          <w:pgSz w:w="11906" w:h="16838" w:code="9"/>
          <w:pgMar w:top="2268" w:right="2268" w:bottom="2665" w:left="2268" w:header="1979" w:footer="1106" w:gutter="0"/>
          <w:cols w:space="708"/>
          <w:titlePg/>
          <w:bidi/>
          <w:rtlGutter/>
          <w:docGrid w:linePitch="360"/>
        </w:sectPr>
      </w:pPr>
    </w:p>
    <w:p w:rsidR="00A72D5F" w:rsidRDefault="00BA281B" w:rsidP="009A37E1">
      <w:pPr>
        <w:pStyle w:val="aff2"/>
        <w:rPr>
          <w:rtl/>
        </w:rPr>
      </w:pPr>
      <w:bookmarkStart w:id="24" w:name="_Toc275127863"/>
      <w:r>
        <w:rPr>
          <w:rFonts w:hint="cs"/>
          <w:rtl/>
        </w:rPr>
        <w:lastRenderedPageBreak/>
        <w:t>مسألة المرأة</w:t>
      </w:r>
      <w:bookmarkEnd w:id="24"/>
      <w:r>
        <w:rPr>
          <w:rFonts w:hint="cs"/>
          <w:rtl/>
        </w:rPr>
        <w:t xml:space="preserve"> </w:t>
      </w:r>
    </w:p>
    <w:p w:rsidR="00BA281B" w:rsidRPr="00C916BC" w:rsidRDefault="00BA281B" w:rsidP="009A37E1">
      <w:pPr>
        <w:pStyle w:val="aff2"/>
        <w:rPr>
          <w:b/>
          <w:bCs/>
          <w:sz w:val="40"/>
          <w:szCs w:val="40"/>
          <w:rtl/>
        </w:rPr>
      </w:pPr>
      <w:bookmarkStart w:id="25" w:name="_Toc275127864"/>
      <w:r w:rsidRPr="00C916BC">
        <w:rPr>
          <w:rFonts w:hint="cs"/>
          <w:sz w:val="40"/>
          <w:szCs w:val="40"/>
          <w:rtl/>
        </w:rPr>
        <w:t>بين القوانين الفقهية ونظام القيم الأخلاقية</w:t>
      </w:r>
      <w:bookmarkEnd w:id="25"/>
      <w:r w:rsidRPr="00C916BC">
        <w:rPr>
          <w:rStyle w:val="Charfa"/>
          <w:rFonts w:eastAsia="Batang" w:cs="Abz-3 (Yagut)" w:hint="cs"/>
          <w:b/>
          <w:bCs/>
          <w:sz w:val="40"/>
          <w:szCs w:val="40"/>
          <w:rtl/>
        </w:rPr>
        <w:t xml:space="preserve"> </w:t>
      </w:r>
    </w:p>
    <w:p w:rsidR="00BA281B" w:rsidRDefault="001C51A4" w:rsidP="001C51A4">
      <w:pPr>
        <w:pStyle w:val="af7"/>
        <w:ind w:left="2880" w:firstLine="720"/>
        <w:jc w:val="both"/>
        <w:rPr>
          <w:rFonts w:cs="Simplified Arabic"/>
          <w:position w:val="4"/>
          <w:szCs w:val="26"/>
          <w:vertAlign w:val="superscript"/>
          <w:rtl/>
        </w:rPr>
      </w:pPr>
      <w:bookmarkStart w:id="26" w:name="_Toc169521339"/>
      <w:r>
        <w:t xml:space="preserve">   </w:t>
      </w:r>
      <w:r w:rsidR="003B5530">
        <w:rPr>
          <w:rFonts w:hint="cs"/>
          <w:rtl/>
        </w:rPr>
        <w:t xml:space="preserve"> </w:t>
      </w:r>
      <w:r>
        <w:t xml:space="preserve">                    </w:t>
      </w:r>
      <w:bookmarkStart w:id="27" w:name="_Toc275127865"/>
      <w:r w:rsidR="00BA281B">
        <w:rPr>
          <w:rFonts w:hint="cs"/>
          <w:rtl/>
        </w:rPr>
        <w:t xml:space="preserve">د. </w:t>
      </w:r>
      <w:r w:rsidR="00BA281B" w:rsidRPr="00E320DE">
        <w:rPr>
          <w:rFonts w:hint="cs"/>
          <w:rtl/>
        </w:rPr>
        <w:t>عبد الكريم سروش</w:t>
      </w:r>
      <w:r w:rsidR="00BA281B" w:rsidRPr="002B224E">
        <w:rPr>
          <w:rFonts w:cs="Taher"/>
          <w:vertAlign w:val="superscript"/>
          <w:rtl/>
        </w:rPr>
        <w:footnoteReference w:customMarkFollows="1" w:id="2"/>
        <w:t>(*)</w:t>
      </w:r>
      <w:bookmarkEnd w:id="26"/>
      <w:bookmarkEnd w:id="27"/>
    </w:p>
    <w:p w:rsidR="00BA281B" w:rsidRDefault="00BA281B" w:rsidP="00BA281B">
      <w:pPr>
        <w:pStyle w:val="af7"/>
        <w:spacing w:before="0"/>
        <w:rPr>
          <w:rtl/>
        </w:rPr>
      </w:pPr>
      <w:bookmarkStart w:id="28" w:name="_Toc169521340"/>
      <w:bookmarkStart w:id="29" w:name="_Toc275127866"/>
      <w:r w:rsidRPr="005C71FC">
        <w:rPr>
          <w:rFonts w:hint="cs"/>
          <w:rtl/>
        </w:rPr>
        <w:t>ترجمة: السيد علي عبّاس الموسوي</w:t>
      </w:r>
      <w:bookmarkEnd w:id="28"/>
      <w:bookmarkEnd w:id="29"/>
    </w:p>
    <w:p w:rsidR="00AC202B" w:rsidRPr="00C916BC" w:rsidRDefault="00AC202B" w:rsidP="00C916BC">
      <w:pPr>
        <w:pStyle w:val="afffffc"/>
        <w:rPr>
          <w:sz w:val="18"/>
          <w:szCs w:val="16"/>
          <w:rtl/>
        </w:rPr>
      </w:pPr>
    </w:p>
    <w:p w:rsidR="00BA281B" w:rsidRPr="00AC202B" w:rsidRDefault="00BA281B" w:rsidP="00AC202B">
      <w:pPr>
        <w:pStyle w:val="afffffc"/>
        <w:rPr>
          <w:sz w:val="2"/>
          <w:szCs w:val="2"/>
          <w:rtl/>
        </w:rPr>
      </w:pPr>
    </w:p>
    <w:p w:rsidR="00BA281B" w:rsidRPr="00AC202B" w:rsidRDefault="00BA281B" w:rsidP="00AC202B">
      <w:pPr>
        <w:pStyle w:val="ac"/>
        <w:ind w:left="707" w:right="426" w:firstLine="0"/>
        <w:rPr>
          <w:b/>
          <w:bCs/>
        </w:rPr>
      </w:pPr>
      <w:r w:rsidRPr="00AC202B">
        <w:rPr>
          <w:rFonts w:hint="cs"/>
          <w:b/>
          <w:bCs/>
          <w:rtl/>
        </w:rPr>
        <w:t xml:space="preserve">التزمت التيارات التجديديّة الدينيّة الصمت والسكوت إزاء المسائل المتعلّقة بالمرأة، يرجع ذلك إلى عوامل مختلفة؛ فقد يعتقد بعض المجدّدين الدينيين أنّ المرأة ليس لها مسائلها الخاصّة، أو أنّ حلّ معضل حقوقها إنّما يقع ضمن سياق الحلّ المنشود للمشاكل الأساسية للمجتمع برمّته؛ ولذا ينبغي العمل على حلّ تلك المشكلات، أو أنّ العرف الاجتماعي الموجود ليست لديه إمكانيّات الحلحلة وتحمّل أيّ تغيير أساسي في أحكام العلاقة بين الرجل والمرأة؛ لذا فما ينبغي العمل عليه هو القيام بتغييرات صغيرة ضمن إطارٍ قانوني. وتتخذ الدراسات الرئيسة المتداولة في المجتمع حول قضايا المرأة نمطاً فقهياً ـ حقوقياً، وتساعد على اكتشاف بعض المشكلات ثمّ حلّها، إلا أنّنا لا نزال نعاني من نقصٍ في الدراسات التي تتسم بالطابع </w:t>
      </w:r>
      <w:r w:rsidRPr="00AC202B">
        <w:rPr>
          <w:rFonts w:hint="cs"/>
          <w:b/>
          <w:bCs/>
          <w:rtl/>
        </w:rPr>
        <w:lastRenderedPageBreak/>
        <w:t>المعرفي الديني؛ من هنا كان هذا الحوار مع د. عبدالكريم سروش.</w:t>
      </w:r>
    </w:p>
    <w:p w:rsidR="00BA281B" w:rsidRDefault="00BA281B" w:rsidP="001C51A4">
      <w:pPr>
        <w:pStyle w:val="afffffc"/>
        <w:rPr>
          <w:rtl/>
        </w:rPr>
      </w:pPr>
    </w:p>
    <w:p w:rsidR="00BA281B" w:rsidRPr="00D457EB" w:rsidRDefault="00BA281B" w:rsidP="001C51A4">
      <w:pPr>
        <w:pStyle w:val="1"/>
        <w:rPr>
          <w:rtl/>
        </w:rPr>
      </w:pPr>
      <w:bookmarkStart w:id="30" w:name="_Toc169521341"/>
      <w:bookmarkStart w:id="31" w:name="_Toc275127867"/>
      <w:r w:rsidRPr="00D457EB">
        <w:rPr>
          <w:rFonts w:hint="cs"/>
          <w:rtl/>
        </w:rPr>
        <w:t>المجتمع الد</w:t>
      </w:r>
      <w:r>
        <w:rPr>
          <w:rFonts w:hint="cs"/>
          <w:rtl/>
        </w:rPr>
        <w:t>يني بين الفقه والأخلاق</w:t>
      </w:r>
      <w:bookmarkEnd w:id="30"/>
      <w:bookmarkEnd w:id="31"/>
    </w:p>
    <w:p w:rsidR="00BA281B" w:rsidRPr="00BA281B" w:rsidRDefault="00AC202B" w:rsidP="00BA281B">
      <w:pPr>
        <w:pStyle w:val="ac"/>
        <w:rPr>
          <w:b/>
          <w:bCs/>
          <w:rtl/>
        </w:rPr>
      </w:pPr>
      <w:r w:rsidRPr="00AC202B">
        <w:rPr>
          <w:rFonts w:cs="Times New Roman" w:hint="cs"/>
        </w:rPr>
        <w:sym w:font="AGA Arabesque" w:char="F05F"/>
      </w:r>
      <w:r>
        <w:rPr>
          <w:rFonts w:hint="cs"/>
          <w:b/>
          <w:bCs/>
          <w:rtl/>
        </w:rPr>
        <w:t xml:space="preserve"> </w:t>
      </w:r>
      <w:r w:rsidR="00BA281B" w:rsidRPr="00BA281B">
        <w:rPr>
          <w:rFonts w:hint="cs"/>
          <w:b/>
          <w:bCs/>
          <w:rtl/>
        </w:rPr>
        <w:t>حيث نعيش في مجتمعٍ ديني، نرجو منكم بيان تصوّركم لهذا المجتمع، فما هي الخصوصيّات التي يمتاز بها المجتمع الديني؟</w:t>
      </w:r>
    </w:p>
    <w:p w:rsidR="00BA281B" w:rsidRDefault="00AC202B" w:rsidP="00BA281B">
      <w:pPr>
        <w:pStyle w:val="ac"/>
        <w:rPr>
          <w:rtl/>
        </w:rPr>
      </w:pPr>
      <w:r w:rsidRPr="00AC202B">
        <w:rPr>
          <w:rFonts w:hint="cs"/>
        </w:rPr>
        <w:sym w:font="AGA Arabesque" w:char="F05E"/>
      </w:r>
      <w:r w:rsidRPr="00AC202B">
        <w:rPr>
          <w:rFonts w:hint="cs"/>
          <w:rtl/>
        </w:rPr>
        <w:t xml:space="preserve"> </w:t>
      </w:r>
      <w:r w:rsidR="00BA281B">
        <w:rPr>
          <w:rFonts w:hint="cs"/>
          <w:rtl/>
        </w:rPr>
        <w:t>المجتمع الديني هو المجتمع الأخلاقي، إ</w:t>
      </w:r>
      <w:r w:rsidR="00BA281B" w:rsidRPr="00544A36">
        <w:rPr>
          <w:rFonts w:hint="cs"/>
          <w:rtl/>
        </w:rPr>
        <w:t>ن</w:t>
      </w:r>
      <w:r w:rsidR="00BA281B">
        <w:rPr>
          <w:rFonts w:hint="cs"/>
          <w:rtl/>
        </w:rPr>
        <w:t>ّ</w:t>
      </w:r>
      <w:r w:rsidR="00BA281B" w:rsidRPr="00544A36">
        <w:rPr>
          <w:rFonts w:hint="cs"/>
          <w:rtl/>
        </w:rPr>
        <w:t xml:space="preserve"> الشيء المهم</w:t>
      </w:r>
      <w:r w:rsidR="00BA281B">
        <w:rPr>
          <w:rFonts w:hint="cs"/>
          <w:rtl/>
        </w:rPr>
        <w:t>ّ</w:t>
      </w:r>
      <w:r w:rsidR="00BA281B" w:rsidRPr="00544A36">
        <w:rPr>
          <w:rFonts w:hint="cs"/>
          <w:rtl/>
        </w:rPr>
        <w:t xml:space="preserve"> في المجتمع الديني هو </w:t>
      </w:r>
      <w:r w:rsidR="00BA281B">
        <w:rPr>
          <w:rFonts w:hint="cs"/>
          <w:rtl/>
        </w:rPr>
        <w:t>صيرورة الأخلاق</w:t>
      </w:r>
      <w:r w:rsidR="00BA281B" w:rsidRPr="00544A36">
        <w:rPr>
          <w:rFonts w:hint="cs"/>
          <w:rtl/>
        </w:rPr>
        <w:t xml:space="preserve"> </w:t>
      </w:r>
      <w:r w:rsidR="00BA281B">
        <w:rPr>
          <w:rFonts w:hint="cs"/>
          <w:rtl/>
        </w:rPr>
        <w:t xml:space="preserve">فيه </w:t>
      </w:r>
      <w:r w:rsidR="00BA281B" w:rsidRPr="00544A36">
        <w:rPr>
          <w:rFonts w:hint="cs"/>
          <w:rtl/>
        </w:rPr>
        <w:t>عملية</w:t>
      </w:r>
      <w:r w:rsidR="00BA281B">
        <w:rPr>
          <w:rFonts w:hint="cs"/>
          <w:rtl/>
        </w:rPr>
        <w:t>ً،</w:t>
      </w:r>
      <w:r w:rsidR="00BA281B" w:rsidRPr="00544A36">
        <w:rPr>
          <w:rFonts w:hint="cs"/>
          <w:rtl/>
        </w:rPr>
        <w:t xml:space="preserve"> </w:t>
      </w:r>
      <w:r w:rsidR="00BA281B">
        <w:rPr>
          <w:rFonts w:hint="cs"/>
          <w:rtl/>
        </w:rPr>
        <w:t xml:space="preserve">فلا تعني دينيّة </w:t>
      </w:r>
      <w:r w:rsidR="00BA281B" w:rsidRPr="00544A36">
        <w:rPr>
          <w:rFonts w:hint="cs"/>
          <w:rtl/>
        </w:rPr>
        <w:t>مجتمع</w:t>
      </w:r>
      <w:r w:rsidR="00BA281B">
        <w:rPr>
          <w:rFonts w:hint="cs"/>
          <w:rtl/>
        </w:rPr>
        <w:t>ٍ</w:t>
      </w:r>
      <w:r w:rsidR="00BA281B" w:rsidRPr="00544A36">
        <w:rPr>
          <w:rFonts w:hint="cs"/>
          <w:rtl/>
        </w:rPr>
        <w:t xml:space="preserve"> كونه فقهي</w:t>
      </w:r>
      <w:r w:rsidR="00BA281B">
        <w:rPr>
          <w:rFonts w:hint="cs"/>
          <w:rtl/>
        </w:rPr>
        <w:t>ّ</w:t>
      </w:r>
      <w:r w:rsidR="00BA281B" w:rsidRPr="00544A36">
        <w:rPr>
          <w:rFonts w:hint="cs"/>
          <w:rtl/>
        </w:rPr>
        <w:t>ا</w:t>
      </w:r>
      <w:r w:rsidR="00BA281B">
        <w:rPr>
          <w:rFonts w:hint="cs"/>
          <w:rtl/>
        </w:rPr>
        <w:t>ً، أي أ</w:t>
      </w:r>
      <w:r w:rsidR="00BA281B" w:rsidRPr="00544A36">
        <w:rPr>
          <w:rFonts w:hint="cs"/>
          <w:rtl/>
        </w:rPr>
        <w:t xml:space="preserve">ن </w:t>
      </w:r>
      <w:r w:rsidR="00BA281B">
        <w:rPr>
          <w:rFonts w:hint="cs"/>
          <w:rtl/>
        </w:rPr>
        <w:t xml:space="preserve">بإمكاننا </w:t>
      </w:r>
      <w:r w:rsidR="00BA281B" w:rsidRPr="00544A36">
        <w:rPr>
          <w:rFonts w:hint="cs"/>
          <w:rtl/>
        </w:rPr>
        <w:t>تصو</w:t>
      </w:r>
      <w:r w:rsidR="00BA281B">
        <w:rPr>
          <w:rFonts w:hint="cs"/>
          <w:rtl/>
        </w:rPr>
        <w:t>ّ</w:t>
      </w:r>
      <w:r w:rsidR="00BA281B" w:rsidRPr="00544A36">
        <w:rPr>
          <w:rFonts w:hint="cs"/>
          <w:rtl/>
        </w:rPr>
        <w:t>ر مجتمع</w:t>
      </w:r>
      <w:r w:rsidR="00BA281B">
        <w:rPr>
          <w:rFonts w:hint="cs"/>
          <w:rtl/>
        </w:rPr>
        <w:t>ٍ</w:t>
      </w:r>
      <w:r w:rsidR="00BA281B" w:rsidRPr="00544A36">
        <w:rPr>
          <w:rFonts w:hint="cs"/>
          <w:rtl/>
        </w:rPr>
        <w:t xml:space="preserve"> يُطب</w:t>
      </w:r>
      <w:r w:rsidR="00BA281B">
        <w:rPr>
          <w:rFonts w:hint="cs"/>
          <w:rtl/>
        </w:rPr>
        <w:t>ّ</w:t>
      </w:r>
      <w:r w:rsidR="00BA281B" w:rsidRPr="00544A36">
        <w:rPr>
          <w:rFonts w:hint="cs"/>
          <w:rtl/>
        </w:rPr>
        <w:t xml:space="preserve">ق الفقه </w:t>
      </w:r>
      <w:r w:rsidR="00BA281B">
        <w:rPr>
          <w:rFonts w:hint="cs"/>
          <w:rtl/>
        </w:rPr>
        <w:t xml:space="preserve">في </w:t>
      </w:r>
      <w:r w:rsidR="00BA281B" w:rsidRPr="00544A36">
        <w:rPr>
          <w:rFonts w:hint="cs"/>
          <w:rtl/>
        </w:rPr>
        <w:t>كل</w:t>
      </w:r>
      <w:r w:rsidR="00BA281B">
        <w:rPr>
          <w:rFonts w:hint="cs"/>
          <w:rtl/>
        </w:rPr>
        <w:t>ّ ما يقوم به الإنسان</w:t>
      </w:r>
      <w:r w:rsidR="00BA281B" w:rsidRPr="00544A36">
        <w:rPr>
          <w:rFonts w:hint="cs"/>
          <w:rtl/>
        </w:rPr>
        <w:t xml:space="preserve"> </w:t>
      </w:r>
      <w:r w:rsidR="00BA281B">
        <w:rPr>
          <w:rFonts w:hint="cs"/>
          <w:rtl/>
        </w:rPr>
        <w:t xml:space="preserve">بيد أنّه </w:t>
      </w:r>
      <w:r w:rsidR="00BA281B" w:rsidRPr="00544A36">
        <w:rPr>
          <w:rFonts w:hint="cs"/>
          <w:rtl/>
        </w:rPr>
        <w:t xml:space="preserve">بعيد </w:t>
      </w:r>
      <w:r w:rsidR="00BA281B">
        <w:rPr>
          <w:rFonts w:hint="cs"/>
          <w:rtl/>
        </w:rPr>
        <w:t xml:space="preserve">غاية البُعد </w:t>
      </w:r>
      <w:r w:rsidR="00BA281B" w:rsidRPr="00544A36">
        <w:rPr>
          <w:rFonts w:hint="cs"/>
          <w:rtl/>
        </w:rPr>
        <w:t>عن الروح الدينية و</w:t>
      </w:r>
      <w:r w:rsidR="00BA281B">
        <w:rPr>
          <w:rFonts w:hint="cs"/>
          <w:rtl/>
        </w:rPr>
        <w:t>الأخلاقية،</w:t>
      </w:r>
      <w:r w:rsidR="00BA281B" w:rsidRPr="00544A36">
        <w:rPr>
          <w:rFonts w:hint="cs"/>
          <w:rtl/>
        </w:rPr>
        <w:t xml:space="preserve"> </w:t>
      </w:r>
      <w:r w:rsidR="00BA281B">
        <w:rPr>
          <w:rFonts w:hint="cs"/>
          <w:rtl/>
        </w:rPr>
        <w:t>إ</w:t>
      </w:r>
      <w:r w:rsidR="00BA281B" w:rsidRPr="00544A36">
        <w:rPr>
          <w:rFonts w:hint="cs"/>
          <w:rtl/>
        </w:rPr>
        <w:t>ن</w:t>
      </w:r>
      <w:r w:rsidR="00BA281B">
        <w:rPr>
          <w:rFonts w:hint="cs"/>
          <w:rtl/>
        </w:rPr>
        <w:t>ّ</w:t>
      </w:r>
      <w:r w:rsidR="00BA281B" w:rsidRPr="00544A36">
        <w:rPr>
          <w:rFonts w:hint="cs"/>
          <w:rtl/>
        </w:rPr>
        <w:t xml:space="preserve"> </w:t>
      </w:r>
      <w:r w:rsidR="00BA281B">
        <w:rPr>
          <w:rFonts w:hint="cs"/>
          <w:rtl/>
        </w:rPr>
        <w:t>فقهيّة المجتمع لا ت</w:t>
      </w:r>
      <w:r w:rsidR="00BA281B" w:rsidRPr="00544A36">
        <w:rPr>
          <w:rFonts w:hint="cs"/>
          <w:rtl/>
        </w:rPr>
        <w:t xml:space="preserve">ضمن لنا </w:t>
      </w:r>
      <w:r w:rsidR="00BA281B">
        <w:rPr>
          <w:rFonts w:hint="cs"/>
          <w:rtl/>
        </w:rPr>
        <w:t xml:space="preserve">ـ </w:t>
      </w:r>
      <w:r w:rsidR="00BA281B" w:rsidRPr="00544A36">
        <w:rPr>
          <w:rFonts w:hint="cs"/>
          <w:rtl/>
        </w:rPr>
        <w:t>بأي</w:t>
      </w:r>
      <w:r w:rsidR="00BA281B">
        <w:rPr>
          <w:rFonts w:hint="cs"/>
          <w:rtl/>
        </w:rPr>
        <w:t>ّ</w:t>
      </w:r>
      <w:r w:rsidR="00BA281B" w:rsidRPr="00544A36">
        <w:rPr>
          <w:rFonts w:hint="cs"/>
          <w:rtl/>
        </w:rPr>
        <w:t xml:space="preserve"> وجه</w:t>
      </w:r>
      <w:r w:rsidR="00BA281B">
        <w:rPr>
          <w:rFonts w:hint="cs"/>
          <w:rtl/>
        </w:rPr>
        <w:t>ٍ</w:t>
      </w:r>
      <w:r w:rsidR="00BA281B" w:rsidRPr="00544A36">
        <w:rPr>
          <w:rFonts w:hint="cs"/>
          <w:rtl/>
        </w:rPr>
        <w:t xml:space="preserve"> </w:t>
      </w:r>
      <w:r w:rsidR="00BA281B">
        <w:rPr>
          <w:rFonts w:hint="cs"/>
          <w:rtl/>
        </w:rPr>
        <w:t>ـ دينيّته</w:t>
      </w:r>
      <w:r w:rsidR="00BA281B" w:rsidRPr="00544A36">
        <w:rPr>
          <w:rFonts w:hint="cs"/>
          <w:rtl/>
        </w:rPr>
        <w:t xml:space="preserve">، بل </w:t>
      </w:r>
      <w:r w:rsidR="00BA281B">
        <w:rPr>
          <w:rFonts w:hint="cs"/>
          <w:rtl/>
        </w:rPr>
        <w:t>إ</w:t>
      </w:r>
      <w:r w:rsidR="00BA281B" w:rsidRPr="00544A36">
        <w:rPr>
          <w:rFonts w:hint="cs"/>
          <w:rtl/>
        </w:rPr>
        <w:t>ننا نشاهد في بعض الحالات فقدان الروح الدينية</w:t>
      </w:r>
      <w:r w:rsidR="00BA281B">
        <w:rPr>
          <w:rFonts w:hint="cs"/>
          <w:rtl/>
        </w:rPr>
        <w:t>، إ</w:t>
      </w:r>
      <w:r w:rsidR="00BA281B" w:rsidRPr="00544A36">
        <w:rPr>
          <w:rFonts w:hint="cs"/>
          <w:rtl/>
        </w:rPr>
        <w:t xml:space="preserve">ذ تظهر فيه </w:t>
      </w:r>
      <w:r w:rsidR="00BA281B">
        <w:rPr>
          <w:rFonts w:hint="cs"/>
          <w:rtl/>
        </w:rPr>
        <w:t xml:space="preserve">ـ </w:t>
      </w:r>
      <w:r w:rsidR="00BA281B" w:rsidRPr="00544A36">
        <w:rPr>
          <w:rFonts w:hint="cs"/>
          <w:rtl/>
        </w:rPr>
        <w:t xml:space="preserve">وبوضوح </w:t>
      </w:r>
      <w:r w:rsidR="00BA281B">
        <w:rPr>
          <w:rFonts w:hint="cs"/>
          <w:rtl/>
        </w:rPr>
        <w:t xml:space="preserve">ـ </w:t>
      </w:r>
      <w:r w:rsidR="00BA281B" w:rsidRPr="00544A36">
        <w:rPr>
          <w:rFonts w:hint="cs"/>
          <w:rtl/>
        </w:rPr>
        <w:t>حالة التمس</w:t>
      </w:r>
      <w:r w:rsidR="00BA281B">
        <w:rPr>
          <w:rFonts w:hint="cs"/>
          <w:rtl/>
        </w:rPr>
        <w:t>ّك بالقشور والظواهر،</w:t>
      </w:r>
      <w:r w:rsidR="00BA281B" w:rsidRPr="00544A36">
        <w:rPr>
          <w:rFonts w:hint="cs"/>
          <w:rtl/>
        </w:rPr>
        <w:t xml:space="preserve"> ال</w:t>
      </w:r>
      <w:r w:rsidR="00BA281B">
        <w:rPr>
          <w:rFonts w:hint="cs"/>
          <w:rtl/>
        </w:rPr>
        <w:t>أمر</w:t>
      </w:r>
      <w:r w:rsidR="00BA281B" w:rsidRPr="00544A36">
        <w:rPr>
          <w:rFonts w:hint="cs"/>
          <w:rtl/>
        </w:rPr>
        <w:t xml:space="preserve"> الذي </w:t>
      </w:r>
      <w:r w:rsidR="00BA281B">
        <w:rPr>
          <w:rFonts w:hint="cs"/>
          <w:rtl/>
        </w:rPr>
        <w:t>يكشف عن نقصانٍ ما في مكانٍ آخر.</w:t>
      </w:r>
    </w:p>
    <w:p w:rsidR="00BA281B" w:rsidRDefault="00BA281B" w:rsidP="00BA281B">
      <w:pPr>
        <w:pStyle w:val="ac"/>
        <w:rPr>
          <w:rtl/>
        </w:rPr>
      </w:pPr>
      <w:r w:rsidRPr="00642555">
        <w:rPr>
          <w:rFonts w:hint="cs"/>
          <w:rtl/>
        </w:rPr>
        <w:t>أمّا المجتمع</w:t>
      </w:r>
      <w:r>
        <w:rPr>
          <w:rFonts w:hint="cs"/>
          <w:rtl/>
        </w:rPr>
        <w:t xml:space="preserve"> الأخلاق</w:t>
      </w:r>
      <w:r w:rsidRPr="00544A36">
        <w:rPr>
          <w:rFonts w:hint="cs"/>
          <w:rtl/>
        </w:rPr>
        <w:t xml:space="preserve">ي </w:t>
      </w:r>
      <w:r>
        <w:rPr>
          <w:rFonts w:hint="cs"/>
          <w:rtl/>
        </w:rPr>
        <w:t>ف</w:t>
      </w:r>
      <w:r w:rsidRPr="00544A36">
        <w:rPr>
          <w:rFonts w:hint="cs"/>
          <w:rtl/>
        </w:rPr>
        <w:t xml:space="preserve">يتطابق </w:t>
      </w:r>
      <w:r>
        <w:rPr>
          <w:rFonts w:hint="cs"/>
          <w:rtl/>
        </w:rPr>
        <w:t>تماماً مع المجتمع الديني، فالأخلاق</w:t>
      </w:r>
      <w:r w:rsidRPr="00544A36">
        <w:rPr>
          <w:rFonts w:hint="cs"/>
          <w:rtl/>
        </w:rPr>
        <w:t xml:space="preserve"> تحتضن في داخلها الحقوق والتكاليف، </w:t>
      </w:r>
      <w:r>
        <w:rPr>
          <w:rFonts w:hint="cs"/>
          <w:rtl/>
        </w:rPr>
        <w:t xml:space="preserve">دون أن تغدو </w:t>
      </w:r>
      <w:r w:rsidRPr="00544A36">
        <w:rPr>
          <w:rFonts w:hint="cs"/>
          <w:rtl/>
        </w:rPr>
        <w:t>نوع</w:t>
      </w:r>
      <w:r>
        <w:rPr>
          <w:rFonts w:hint="cs"/>
          <w:rtl/>
        </w:rPr>
        <w:t>اً</w:t>
      </w:r>
      <w:r w:rsidRPr="00544A36">
        <w:rPr>
          <w:rFonts w:hint="cs"/>
          <w:rtl/>
        </w:rPr>
        <w:t xml:space="preserve"> </w:t>
      </w:r>
      <w:r>
        <w:rPr>
          <w:rFonts w:hint="cs"/>
          <w:rtl/>
        </w:rPr>
        <w:t xml:space="preserve">من </w:t>
      </w:r>
      <w:r w:rsidRPr="00544A36">
        <w:rPr>
          <w:rFonts w:hint="cs"/>
          <w:rtl/>
        </w:rPr>
        <w:t>القيود و</w:t>
      </w:r>
      <w:r>
        <w:rPr>
          <w:rFonts w:hint="cs"/>
          <w:rtl/>
        </w:rPr>
        <w:t>الإلزامات</w:t>
      </w:r>
      <w:r w:rsidRPr="00544A36">
        <w:rPr>
          <w:rFonts w:hint="cs"/>
          <w:rtl/>
        </w:rPr>
        <w:t xml:space="preserve"> </w:t>
      </w:r>
      <w:r>
        <w:rPr>
          <w:rFonts w:hint="cs"/>
          <w:rtl/>
        </w:rPr>
        <w:t>ال</w:t>
      </w:r>
      <w:r w:rsidRPr="00544A36">
        <w:rPr>
          <w:rFonts w:hint="cs"/>
          <w:rtl/>
        </w:rPr>
        <w:t>تابعة للعقد ال</w:t>
      </w:r>
      <w:r>
        <w:rPr>
          <w:rFonts w:hint="cs"/>
          <w:rtl/>
        </w:rPr>
        <w:t>اجتماع</w:t>
      </w:r>
      <w:r w:rsidRPr="00544A36">
        <w:rPr>
          <w:rFonts w:hint="cs"/>
          <w:rtl/>
        </w:rPr>
        <w:t>ي</w:t>
      </w:r>
      <w:r>
        <w:rPr>
          <w:rFonts w:hint="cs"/>
          <w:rtl/>
        </w:rPr>
        <w:t>،</w:t>
      </w:r>
      <w:r w:rsidRPr="00544A36">
        <w:rPr>
          <w:rFonts w:hint="cs"/>
          <w:rtl/>
        </w:rPr>
        <w:t xml:space="preserve"> بل ترتبط بالفرد حتى في خلوته فتقيّده</w:t>
      </w:r>
      <w:r>
        <w:rPr>
          <w:rFonts w:hint="cs"/>
          <w:rtl/>
        </w:rPr>
        <w:t>، فكيف به وهو في العلن؟!</w:t>
      </w:r>
      <w:r w:rsidRPr="00544A36">
        <w:rPr>
          <w:rFonts w:hint="cs"/>
          <w:rtl/>
        </w:rPr>
        <w:t xml:space="preserve"> </w:t>
      </w:r>
      <w:r>
        <w:rPr>
          <w:rFonts w:hint="cs"/>
          <w:rtl/>
        </w:rPr>
        <w:t>إ</w:t>
      </w:r>
      <w:r w:rsidRPr="00544A36">
        <w:rPr>
          <w:rFonts w:hint="cs"/>
          <w:rtl/>
        </w:rPr>
        <w:t xml:space="preserve">ن أبسط </w:t>
      </w:r>
      <w:r>
        <w:rPr>
          <w:rFonts w:hint="cs"/>
          <w:rtl/>
        </w:rPr>
        <w:t>مظاهر الأخلاق</w:t>
      </w:r>
      <w:r w:rsidRPr="00544A36">
        <w:rPr>
          <w:rFonts w:hint="cs"/>
          <w:rtl/>
        </w:rPr>
        <w:t xml:space="preserve"> ه</w:t>
      </w:r>
      <w:r>
        <w:rPr>
          <w:rFonts w:hint="cs"/>
          <w:rtl/>
        </w:rPr>
        <w:t>و</w:t>
      </w:r>
      <w:r w:rsidRPr="00544A36">
        <w:rPr>
          <w:rFonts w:hint="cs"/>
          <w:rtl/>
        </w:rPr>
        <w:t xml:space="preserve"> الصدق، </w:t>
      </w:r>
      <w:r>
        <w:rPr>
          <w:rFonts w:hint="cs"/>
          <w:rtl/>
        </w:rPr>
        <w:t>والاحتراز عن الغيبة، والتهمة، وإ</w:t>
      </w:r>
      <w:r w:rsidRPr="00544A36">
        <w:rPr>
          <w:rFonts w:hint="cs"/>
          <w:rtl/>
        </w:rPr>
        <w:t>هانة الناس وغير ذلك</w:t>
      </w:r>
      <w:r>
        <w:rPr>
          <w:rFonts w:hint="cs"/>
          <w:rtl/>
        </w:rPr>
        <w:t xml:space="preserve"> إلى أ</w:t>
      </w:r>
      <w:r w:rsidRPr="00544A36">
        <w:rPr>
          <w:rFonts w:hint="cs"/>
          <w:rtl/>
        </w:rPr>
        <w:t>ن نصل</w:t>
      </w:r>
      <w:r>
        <w:rPr>
          <w:rFonts w:hint="cs"/>
          <w:rtl/>
        </w:rPr>
        <w:t xml:space="preserve"> إلى أ</w:t>
      </w:r>
      <w:r w:rsidRPr="00544A36">
        <w:rPr>
          <w:rFonts w:hint="cs"/>
          <w:rtl/>
        </w:rPr>
        <w:t>بسط الحقوق والقيم ال</w:t>
      </w:r>
      <w:r>
        <w:rPr>
          <w:rFonts w:hint="cs"/>
          <w:rtl/>
        </w:rPr>
        <w:t>أخلاقية.</w:t>
      </w:r>
    </w:p>
    <w:p w:rsidR="00BA281B" w:rsidRPr="00544A36" w:rsidRDefault="00BA281B" w:rsidP="00BA281B">
      <w:pPr>
        <w:pStyle w:val="ac"/>
        <w:rPr>
          <w:rtl/>
        </w:rPr>
      </w:pPr>
      <w:r w:rsidRPr="00544A36">
        <w:rPr>
          <w:rFonts w:hint="cs"/>
          <w:rtl/>
        </w:rPr>
        <w:t xml:space="preserve">هذا ما أراه </w:t>
      </w:r>
      <w:r>
        <w:rPr>
          <w:rFonts w:hint="cs"/>
          <w:rtl/>
        </w:rPr>
        <w:t>ا</w:t>
      </w:r>
      <w:r w:rsidRPr="00544A36">
        <w:rPr>
          <w:rFonts w:hint="cs"/>
          <w:rtl/>
        </w:rPr>
        <w:t>لمجتمع الديني</w:t>
      </w:r>
      <w:r>
        <w:rPr>
          <w:rFonts w:hint="cs"/>
          <w:rtl/>
        </w:rPr>
        <w:t xml:space="preserve"> الأنموذجي</w:t>
      </w:r>
      <w:r w:rsidRPr="00544A36">
        <w:rPr>
          <w:rFonts w:hint="cs"/>
          <w:rtl/>
        </w:rPr>
        <w:t>، و</w:t>
      </w:r>
      <w:r>
        <w:rPr>
          <w:rFonts w:hint="cs"/>
          <w:rtl/>
        </w:rPr>
        <w:t xml:space="preserve">ليست </w:t>
      </w:r>
      <w:r w:rsidRPr="00544A36">
        <w:rPr>
          <w:rFonts w:hint="cs"/>
          <w:rtl/>
        </w:rPr>
        <w:t xml:space="preserve">العدالة </w:t>
      </w:r>
      <w:r>
        <w:rPr>
          <w:rFonts w:hint="cs"/>
          <w:rtl/>
        </w:rPr>
        <w:t>غير هذا؛ لأنّها</w:t>
      </w:r>
      <w:r w:rsidRPr="00544A36">
        <w:rPr>
          <w:rFonts w:hint="cs"/>
          <w:rtl/>
        </w:rPr>
        <w:t xml:space="preserve"> تعني العمل بالقيم ال</w:t>
      </w:r>
      <w:r>
        <w:rPr>
          <w:rFonts w:hint="cs"/>
          <w:rtl/>
        </w:rPr>
        <w:t>أخلاقية،</w:t>
      </w:r>
      <w:r w:rsidRPr="00544A36">
        <w:rPr>
          <w:rFonts w:hint="cs"/>
          <w:rtl/>
        </w:rPr>
        <w:t xml:space="preserve"> </w:t>
      </w:r>
      <w:r>
        <w:rPr>
          <w:rFonts w:hint="cs"/>
          <w:rtl/>
        </w:rPr>
        <w:t xml:space="preserve">بل ليست العدالة ـ في الواقع وكما أتصوّرها ـ </w:t>
      </w:r>
      <w:r w:rsidRPr="00544A36">
        <w:rPr>
          <w:rFonts w:hint="cs"/>
          <w:rtl/>
        </w:rPr>
        <w:t>قيمة</w:t>
      </w:r>
      <w:r>
        <w:rPr>
          <w:rFonts w:hint="cs"/>
          <w:rtl/>
        </w:rPr>
        <w:t>ً</w:t>
      </w:r>
      <w:r w:rsidRPr="00544A36">
        <w:rPr>
          <w:rFonts w:hint="cs"/>
          <w:rtl/>
        </w:rPr>
        <w:t xml:space="preserve"> فوق القيم ال</w:t>
      </w:r>
      <w:r>
        <w:rPr>
          <w:rFonts w:hint="cs"/>
          <w:rtl/>
        </w:rPr>
        <w:t>أخرى،</w:t>
      </w:r>
      <w:r w:rsidRPr="00544A36">
        <w:rPr>
          <w:rFonts w:hint="cs"/>
          <w:rtl/>
        </w:rPr>
        <w:t xml:space="preserve"> </w:t>
      </w:r>
      <w:r>
        <w:rPr>
          <w:rFonts w:hint="cs"/>
          <w:rtl/>
        </w:rPr>
        <w:t xml:space="preserve">إنّما تماهيها بل هي </w:t>
      </w:r>
      <w:r w:rsidRPr="00544A36">
        <w:rPr>
          <w:rFonts w:hint="cs"/>
          <w:rtl/>
        </w:rPr>
        <w:t>عين</w:t>
      </w:r>
      <w:r>
        <w:rPr>
          <w:rFonts w:hint="cs"/>
          <w:rtl/>
        </w:rPr>
        <w:t>ها؛ فإ</w:t>
      </w:r>
      <w:r w:rsidRPr="00544A36">
        <w:rPr>
          <w:rFonts w:hint="cs"/>
          <w:rtl/>
        </w:rPr>
        <w:t>ن</w:t>
      </w:r>
      <w:r>
        <w:rPr>
          <w:rFonts w:hint="cs"/>
          <w:rtl/>
        </w:rPr>
        <w:t>ّ</w:t>
      </w:r>
      <w:r w:rsidRPr="00544A36">
        <w:rPr>
          <w:rFonts w:hint="cs"/>
          <w:rtl/>
        </w:rPr>
        <w:t xml:space="preserve"> القيم ال</w:t>
      </w:r>
      <w:r>
        <w:rPr>
          <w:rFonts w:hint="cs"/>
          <w:rtl/>
        </w:rPr>
        <w:t>أخلاق</w:t>
      </w:r>
      <w:r w:rsidRPr="00544A36">
        <w:rPr>
          <w:rFonts w:hint="cs"/>
          <w:rtl/>
        </w:rPr>
        <w:t>ية متى طب</w:t>
      </w:r>
      <w:r>
        <w:rPr>
          <w:rFonts w:hint="cs"/>
          <w:rtl/>
        </w:rPr>
        <w:t>ّ</w:t>
      </w:r>
      <w:r w:rsidRPr="00544A36">
        <w:rPr>
          <w:rFonts w:hint="cs"/>
          <w:rtl/>
        </w:rPr>
        <w:t xml:space="preserve">قت في المجتمع </w:t>
      </w:r>
      <w:r>
        <w:rPr>
          <w:rFonts w:hint="cs"/>
          <w:rtl/>
        </w:rPr>
        <w:t>ظهر</w:t>
      </w:r>
      <w:r w:rsidRPr="00544A36">
        <w:rPr>
          <w:rFonts w:hint="cs"/>
          <w:rtl/>
        </w:rPr>
        <w:t xml:space="preserve"> المجتمع العادل</w:t>
      </w:r>
      <w:r>
        <w:rPr>
          <w:rFonts w:hint="cs"/>
          <w:rtl/>
        </w:rPr>
        <w:t>،</w:t>
      </w:r>
      <w:r w:rsidRPr="00544A36">
        <w:rPr>
          <w:rFonts w:hint="cs"/>
          <w:rtl/>
        </w:rPr>
        <w:t xml:space="preserve"> </w:t>
      </w:r>
      <w:r>
        <w:rPr>
          <w:rFonts w:hint="cs"/>
          <w:rtl/>
        </w:rPr>
        <w:t>والإنسان الفرد</w:t>
      </w:r>
      <w:r w:rsidRPr="00544A36">
        <w:rPr>
          <w:rFonts w:hint="cs"/>
          <w:rtl/>
        </w:rPr>
        <w:t xml:space="preserve"> </w:t>
      </w:r>
      <w:r>
        <w:rPr>
          <w:rFonts w:hint="cs"/>
          <w:rtl/>
        </w:rPr>
        <w:t>في أيّ مجتمعٍ كان عندما ي</w:t>
      </w:r>
      <w:r w:rsidRPr="00544A36">
        <w:rPr>
          <w:rFonts w:hint="cs"/>
          <w:rtl/>
        </w:rPr>
        <w:t>حق</w:t>
      </w:r>
      <w:r>
        <w:rPr>
          <w:rFonts w:hint="cs"/>
          <w:rtl/>
        </w:rPr>
        <w:t>ّ</w:t>
      </w:r>
      <w:r w:rsidRPr="00544A36">
        <w:rPr>
          <w:rFonts w:hint="cs"/>
          <w:rtl/>
        </w:rPr>
        <w:t xml:space="preserve">ق </w:t>
      </w:r>
      <w:r>
        <w:rPr>
          <w:rFonts w:hint="cs"/>
          <w:rtl/>
        </w:rPr>
        <w:t>عالمه</w:t>
      </w:r>
      <w:r w:rsidRPr="00544A36">
        <w:rPr>
          <w:rFonts w:hint="cs"/>
          <w:rtl/>
        </w:rPr>
        <w:t xml:space="preserve"> الفردي القيم</w:t>
      </w:r>
      <w:r>
        <w:rPr>
          <w:rFonts w:hint="cs"/>
          <w:rtl/>
        </w:rPr>
        <w:t>َ</w:t>
      </w:r>
      <w:r w:rsidRPr="00544A36">
        <w:rPr>
          <w:rFonts w:hint="cs"/>
          <w:rtl/>
        </w:rPr>
        <w:t xml:space="preserve"> ال</w:t>
      </w:r>
      <w:r>
        <w:rPr>
          <w:rFonts w:hint="cs"/>
          <w:rtl/>
        </w:rPr>
        <w:t>أخلاق</w:t>
      </w:r>
      <w:r w:rsidRPr="00544A36">
        <w:rPr>
          <w:rFonts w:hint="cs"/>
          <w:rtl/>
        </w:rPr>
        <w:t xml:space="preserve">ية </w:t>
      </w:r>
      <w:r>
        <w:rPr>
          <w:rFonts w:hint="cs"/>
          <w:rtl/>
        </w:rPr>
        <w:t>فإنّه يغدو عادلاً من العدول.</w:t>
      </w:r>
    </w:p>
    <w:p w:rsidR="00BA281B" w:rsidRDefault="00BA281B" w:rsidP="00BA281B">
      <w:pPr>
        <w:pStyle w:val="ac"/>
        <w:rPr>
          <w:rtl/>
        </w:rPr>
      </w:pPr>
      <w:r>
        <w:rPr>
          <w:rFonts w:hint="cs"/>
          <w:rtl/>
        </w:rPr>
        <w:t>إنّ ما أراه هو أ</w:t>
      </w:r>
      <w:r w:rsidRPr="00544A36">
        <w:rPr>
          <w:rFonts w:hint="cs"/>
          <w:rtl/>
        </w:rPr>
        <w:t>ن</w:t>
      </w:r>
      <w:r>
        <w:rPr>
          <w:rFonts w:hint="cs"/>
          <w:rtl/>
        </w:rPr>
        <w:t>ّ أفضل النظم الحقوقية وأ</w:t>
      </w:r>
      <w:r w:rsidRPr="00544A36">
        <w:rPr>
          <w:rFonts w:hint="cs"/>
          <w:rtl/>
        </w:rPr>
        <w:t xml:space="preserve">فضل </w:t>
      </w:r>
      <w:r>
        <w:rPr>
          <w:rFonts w:hint="cs"/>
          <w:rtl/>
        </w:rPr>
        <w:t>نماذج ال</w:t>
      </w:r>
      <w:r w:rsidRPr="00544A36">
        <w:rPr>
          <w:rFonts w:hint="cs"/>
          <w:rtl/>
        </w:rPr>
        <w:t xml:space="preserve">عقد </w:t>
      </w:r>
      <w:r>
        <w:rPr>
          <w:rFonts w:hint="cs"/>
          <w:rtl/>
        </w:rPr>
        <w:t>الاجتماع</w:t>
      </w:r>
      <w:r w:rsidRPr="00544A36">
        <w:rPr>
          <w:rFonts w:hint="cs"/>
          <w:rtl/>
        </w:rPr>
        <w:t>ي هو ذلك الذي يسهّل عملية تطبيق القيم ال</w:t>
      </w:r>
      <w:r>
        <w:rPr>
          <w:rFonts w:hint="cs"/>
          <w:rtl/>
        </w:rPr>
        <w:t>أخلاقية في المجتمع، إ</w:t>
      </w:r>
      <w:r w:rsidRPr="00544A36">
        <w:rPr>
          <w:rFonts w:hint="cs"/>
          <w:rtl/>
        </w:rPr>
        <w:t>ن</w:t>
      </w:r>
      <w:r>
        <w:rPr>
          <w:rFonts w:hint="cs"/>
          <w:rtl/>
        </w:rPr>
        <w:t>ّ</w:t>
      </w:r>
      <w:r w:rsidRPr="00544A36">
        <w:rPr>
          <w:rFonts w:hint="cs"/>
          <w:rtl/>
        </w:rPr>
        <w:t xml:space="preserve"> العقد ال</w:t>
      </w:r>
      <w:r>
        <w:rPr>
          <w:rFonts w:hint="cs"/>
          <w:rtl/>
        </w:rPr>
        <w:t>اجتماعي إ</w:t>
      </w:r>
      <w:r w:rsidRPr="00544A36">
        <w:rPr>
          <w:rFonts w:hint="cs"/>
          <w:rtl/>
        </w:rPr>
        <w:t>ذا كان باعثا</w:t>
      </w:r>
      <w:r>
        <w:rPr>
          <w:rFonts w:hint="cs"/>
          <w:rtl/>
        </w:rPr>
        <w:t>ً</w:t>
      </w:r>
      <w:r w:rsidRPr="00544A36">
        <w:rPr>
          <w:rFonts w:hint="cs"/>
          <w:rtl/>
        </w:rPr>
        <w:t xml:space="preserve"> </w:t>
      </w:r>
      <w:r>
        <w:rPr>
          <w:rFonts w:hint="cs"/>
          <w:rtl/>
        </w:rPr>
        <w:t>على حقد</w:t>
      </w:r>
      <w:r w:rsidRPr="00544A36">
        <w:rPr>
          <w:rFonts w:hint="cs"/>
          <w:rtl/>
        </w:rPr>
        <w:t xml:space="preserve"> النفوس ودافعا</w:t>
      </w:r>
      <w:r>
        <w:rPr>
          <w:rFonts w:hint="cs"/>
          <w:rtl/>
        </w:rPr>
        <w:t>ً</w:t>
      </w:r>
      <w:r w:rsidRPr="00544A36">
        <w:rPr>
          <w:rFonts w:hint="cs"/>
          <w:rtl/>
        </w:rPr>
        <w:t xml:space="preserve"> </w:t>
      </w:r>
      <w:r>
        <w:rPr>
          <w:rFonts w:hint="cs"/>
          <w:rtl/>
        </w:rPr>
        <w:t>بالإنسان إلى الكذب وارتكاب الأ</w:t>
      </w:r>
      <w:r w:rsidRPr="00544A36">
        <w:rPr>
          <w:rFonts w:hint="cs"/>
          <w:rtl/>
        </w:rPr>
        <w:t>عمال المنافية لل</w:t>
      </w:r>
      <w:r>
        <w:rPr>
          <w:rFonts w:hint="cs"/>
          <w:rtl/>
        </w:rPr>
        <w:t>أخلاق</w:t>
      </w:r>
      <w:r w:rsidRPr="00544A36">
        <w:rPr>
          <w:rFonts w:hint="cs"/>
          <w:rtl/>
        </w:rPr>
        <w:t xml:space="preserve"> </w:t>
      </w:r>
      <w:r>
        <w:rPr>
          <w:rFonts w:hint="cs"/>
          <w:rtl/>
        </w:rPr>
        <w:lastRenderedPageBreak/>
        <w:t>فمعنى ذلك عدم تبلور هذا العقد بصورةٍ سليمة، و</w:t>
      </w:r>
      <w:r w:rsidRPr="00544A36">
        <w:rPr>
          <w:rFonts w:hint="cs"/>
          <w:rtl/>
        </w:rPr>
        <w:t xml:space="preserve">العلاقة بين الرجل والمرأة في العائلة والمجتمع </w:t>
      </w:r>
      <w:r>
        <w:rPr>
          <w:rFonts w:hint="cs"/>
          <w:rtl/>
        </w:rPr>
        <w:t>نوعٌ من أ</w:t>
      </w:r>
      <w:r w:rsidRPr="00544A36">
        <w:rPr>
          <w:rFonts w:hint="cs"/>
          <w:rtl/>
        </w:rPr>
        <w:t>نواع العقد ال</w:t>
      </w:r>
      <w:r>
        <w:rPr>
          <w:rFonts w:hint="cs"/>
          <w:rtl/>
        </w:rPr>
        <w:t>اجتماع</w:t>
      </w:r>
      <w:r w:rsidRPr="00544A36">
        <w:rPr>
          <w:rFonts w:hint="cs"/>
          <w:rtl/>
        </w:rPr>
        <w:t>ي</w:t>
      </w:r>
      <w:r>
        <w:rPr>
          <w:rFonts w:hint="cs"/>
          <w:rtl/>
        </w:rPr>
        <w:t>،</w:t>
      </w:r>
      <w:r w:rsidRPr="00544A36">
        <w:rPr>
          <w:rFonts w:hint="cs"/>
          <w:rtl/>
        </w:rPr>
        <w:t xml:space="preserve"> </w:t>
      </w:r>
      <w:r>
        <w:rPr>
          <w:rFonts w:hint="cs"/>
          <w:rtl/>
        </w:rPr>
        <w:t>ف</w:t>
      </w:r>
      <w:r w:rsidRPr="00544A36">
        <w:rPr>
          <w:rFonts w:hint="cs"/>
          <w:rtl/>
        </w:rPr>
        <w:t>لا يمتلك قيمته ال</w:t>
      </w:r>
      <w:r>
        <w:rPr>
          <w:rFonts w:hint="cs"/>
          <w:rtl/>
        </w:rPr>
        <w:t>أخلاق</w:t>
      </w:r>
      <w:r w:rsidRPr="00544A36">
        <w:rPr>
          <w:rFonts w:hint="cs"/>
          <w:rtl/>
        </w:rPr>
        <w:t>ية من ذاته</w:t>
      </w:r>
      <w:r>
        <w:rPr>
          <w:rFonts w:hint="cs"/>
          <w:rtl/>
        </w:rPr>
        <w:t>،</w:t>
      </w:r>
      <w:r w:rsidRPr="00544A36">
        <w:rPr>
          <w:rFonts w:hint="cs"/>
          <w:rtl/>
        </w:rPr>
        <w:t xml:space="preserve"> </w:t>
      </w:r>
      <w:r>
        <w:rPr>
          <w:rFonts w:hint="cs"/>
          <w:rtl/>
        </w:rPr>
        <w:t xml:space="preserve">وإنّما يكون </w:t>
      </w:r>
      <w:r w:rsidRPr="00544A36">
        <w:rPr>
          <w:rFonts w:hint="cs"/>
          <w:rtl/>
        </w:rPr>
        <w:t>وسيلة</w:t>
      </w:r>
      <w:r>
        <w:rPr>
          <w:rFonts w:hint="cs"/>
          <w:rtl/>
        </w:rPr>
        <w:t>ً</w:t>
      </w:r>
      <w:r w:rsidRPr="00544A36">
        <w:rPr>
          <w:rFonts w:hint="cs"/>
          <w:rtl/>
        </w:rPr>
        <w:t xml:space="preserve"> لحفظ القيم ال</w:t>
      </w:r>
      <w:r>
        <w:rPr>
          <w:rFonts w:hint="cs"/>
          <w:rtl/>
        </w:rPr>
        <w:t>أخلاق</w:t>
      </w:r>
      <w:r w:rsidRPr="00544A36">
        <w:rPr>
          <w:rFonts w:hint="cs"/>
          <w:rtl/>
        </w:rPr>
        <w:t>ية</w:t>
      </w:r>
      <w:r>
        <w:rPr>
          <w:rFonts w:hint="cs"/>
          <w:rtl/>
        </w:rPr>
        <w:t>، فإ</w:t>
      </w:r>
      <w:r w:rsidRPr="00544A36">
        <w:rPr>
          <w:rFonts w:hint="cs"/>
          <w:rtl/>
        </w:rPr>
        <w:t>ذا لم يتمك</w:t>
      </w:r>
      <w:r>
        <w:rPr>
          <w:rFonts w:hint="cs"/>
          <w:rtl/>
        </w:rPr>
        <w:t>ّ</w:t>
      </w:r>
      <w:r w:rsidRPr="00544A36">
        <w:rPr>
          <w:rFonts w:hint="cs"/>
          <w:rtl/>
        </w:rPr>
        <w:t>ن هذا العقد ال</w:t>
      </w:r>
      <w:r>
        <w:rPr>
          <w:rFonts w:hint="cs"/>
          <w:rtl/>
        </w:rPr>
        <w:t>اجتماع</w:t>
      </w:r>
      <w:r w:rsidRPr="00544A36">
        <w:rPr>
          <w:rFonts w:hint="cs"/>
          <w:rtl/>
        </w:rPr>
        <w:t>ي من حفظ</w:t>
      </w:r>
      <w:r>
        <w:rPr>
          <w:rFonts w:hint="cs"/>
          <w:rtl/>
        </w:rPr>
        <w:t>ها</w:t>
      </w:r>
      <w:r w:rsidRPr="00544A36">
        <w:rPr>
          <w:rFonts w:hint="cs"/>
          <w:rtl/>
        </w:rPr>
        <w:t xml:space="preserve"> فلا بدّ من إزالته</w:t>
      </w:r>
      <w:r>
        <w:rPr>
          <w:rFonts w:hint="cs"/>
          <w:rtl/>
        </w:rPr>
        <w:t>،</w:t>
      </w:r>
      <w:r w:rsidRPr="00544A36">
        <w:rPr>
          <w:rFonts w:hint="cs"/>
          <w:rtl/>
        </w:rPr>
        <w:t xml:space="preserve"> </w:t>
      </w:r>
      <w:r>
        <w:rPr>
          <w:rFonts w:hint="cs"/>
          <w:rtl/>
        </w:rPr>
        <w:t>إذ هو</w:t>
      </w:r>
      <w:r w:rsidRPr="00544A36">
        <w:rPr>
          <w:rFonts w:hint="cs"/>
          <w:rtl/>
        </w:rPr>
        <w:t xml:space="preserve"> القشر لا اللب</w:t>
      </w:r>
      <w:r>
        <w:rPr>
          <w:rFonts w:hint="cs"/>
          <w:rtl/>
        </w:rPr>
        <w:t>ّ.</w:t>
      </w:r>
    </w:p>
    <w:p w:rsidR="00BA281B" w:rsidRDefault="00BA281B" w:rsidP="00BA281B">
      <w:pPr>
        <w:pStyle w:val="ac"/>
      </w:pPr>
      <w:r w:rsidRPr="00544A36">
        <w:rPr>
          <w:rFonts w:hint="cs"/>
          <w:rtl/>
        </w:rPr>
        <w:t>وفي ال</w:t>
      </w:r>
      <w:r>
        <w:rPr>
          <w:rFonts w:hint="cs"/>
          <w:rtl/>
        </w:rPr>
        <w:t>إسلام</w:t>
      </w:r>
      <w:r w:rsidRPr="00544A36">
        <w:rPr>
          <w:rFonts w:hint="cs"/>
          <w:rtl/>
        </w:rPr>
        <w:t xml:space="preserve"> ال</w:t>
      </w:r>
      <w:r>
        <w:rPr>
          <w:rFonts w:hint="cs"/>
          <w:rtl/>
        </w:rPr>
        <w:t>أمر</w:t>
      </w:r>
      <w:r w:rsidRPr="00544A36">
        <w:rPr>
          <w:rFonts w:hint="cs"/>
          <w:rtl/>
        </w:rPr>
        <w:t xml:space="preserve"> </w:t>
      </w:r>
      <w:r>
        <w:rPr>
          <w:rFonts w:hint="cs"/>
          <w:rtl/>
        </w:rPr>
        <w:t>كذلك أ</w:t>
      </w:r>
      <w:r w:rsidRPr="00544A36">
        <w:rPr>
          <w:rFonts w:hint="cs"/>
          <w:rtl/>
        </w:rPr>
        <w:t>يضا</w:t>
      </w:r>
      <w:r>
        <w:rPr>
          <w:rFonts w:hint="cs"/>
          <w:rtl/>
        </w:rPr>
        <w:t>ً؛</w:t>
      </w:r>
      <w:r w:rsidRPr="00544A36">
        <w:rPr>
          <w:rFonts w:hint="cs"/>
          <w:rtl/>
        </w:rPr>
        <w:t xml:space="preserve"> </w:t>
      </w:r>
      <w:r>
        <w:rPr>
          <w:rFonts w:hint="cs"/>
          <w:rtl/>
        </w:rPr>
        <w:t>حيث لابدّ من صيانة</w:t>
      </w:r>
      <w:r w:rsidRPr="00544A36">
        <w:rPr>
          <w:rFonts w:hint="cs"/>
          <w:rtl/>
        </w:rPr>
        <w:t xml:space="preserve"> مجموعة</w:t>
      </w:r>
      <w:r>
        <w:rPr>
          <w:rFonts w:hint="cs"/>
          <w:rtl/>
        </w:rPr>
        <w:t>ٍ</w:t>
      </w:r>
      <w:r w:rsidRPr="00544A36">
        <w:rPr>
          <w:rFonts w:hint="cs"/>
          <w:rtl/>
        </w:rPr>
        <w:t xml:space="preserve"> من القيم ال</w:t>
      </w:r>
      <w:r>
        <w:rPr>
          <w:rFonts w:hint="cs"/>
          <w:rtl/>
        </w:rPr>
        <w:t>أخلاقية ال</w:t>
      </w:r>
      <w:r w:rsidRPr="00544A36">
        <w:rPr>
          <w:rFonts w:hint="cs"/>
          <w:rtl/>
        </w:rPr>
        <w:t>ه</w:t>
      </w:r>
      <w:r>
        <w:rPr>
          <w:rFonts w:hint="cs"/>
          <w:rtl/>
        </w:rPr>
        <w:t>ا</w:t>
      </w:r>
      <w:r w:rsidRPr="00544A36">
        <w:rPr>
          <w:rFonts w:hint="cs"/>
          <w:rtl/>
        </w:rPr>
        <w:t>م</w:t>
      </w:r>
      <w:r>
        <w:rPr>
          <w:rFonts w:hint="cs"/>
          <w:rtl/>
        </w:rPr>
        <w:t>ّ</w:t>
      </w:r>
      <w:r w:rsidRPr="00544A36">
        <w:rPr>
          <w:rFonts w:hint="cs"/>
          <w:rtl/>
        </w:rPr>
        <w:t>ة</w:t>
      </w:r>
      <w:r>
        <w:rPr>
          <w:rFonts w:hint="cs"/>
          <w:rtl/>
        </w:rPr>
        <w:t>؛</w:t>
      </w:r>
      <w:r w:rsidRPr="00544A36">
        <w:rPr>
          <w:rFonts w:hint="cs"/>
          <w:rtl/>
        </w:rPr>
        <w:t xml:space="preserve"> </w:t>
      </w:r>
      <w:r>
        <w:rPr>
          <w:rFonts w:hint="cs"/>
          <w:rtl/>
        </w:rPr>
        <w:t xml:space="preserve">ولهذا الغرض </w:t>
      </w:r>
      <w:r w:rsidRPr="00544A36">
        <w:rPr>
          <w:rFonts w:hint="cs"/>
          <w:rtl/>
        </w:rPr>
        <w:t>وضع ال</w:t>
      </w:r>
      <w:r>
        <w:rPr>
          <w:rFonts w:hint="cs"/>
          <w:rtl/>
        </w:rPr>
        <w:t>إسلام</w:t>
      </w:r>
      <w:r w:rsidRPr="00544A36">
        <w:rPr>
          <w:rFonts w:hint="cs"/>
          <w:rtl/>
        </w:rPr>
        <w:t xml:space="preserve"> </w:t>
      </w:r>
      <w:r>
        <w:rPr>
          <w:rFonts w:hint="cs"/>
          <w:rtl/>
        </w:rPr>
        <w:t xml:space="preserve">جملة </w:t>
      </w:r>
      <w:r w:rsidRPr="00544A36">
        <w:rPr>
          <w:rFonts w:hint="cs"/>
          <w:rtl/>
        </w:rPr>
        <w:t>تكاليف</w:t>
      </w:r>
      <w:r>
        <w:rPr>
          <w:rFonts w:hint="cs"/>
          <w:rtl/>
        </w:rPr>
        <w:t>،</w:t>
      </w:r>
      <w:r w:rsidRPr="00544A36">
        <w:rPr>
          <w:rFonts w:hint="cs"/>
          <w:rtl/>
        </w:rPr>
        <w:t xml:space="preserve"> وه</w:t>
      </w:r>
      <w:r>
        <w:rPr>
          <w:rFonts w:hint="cs"/>
          <w:rtl/>
        </w:rPr>
        <w:t>ي</w:t>
      </w:r>
      <w:r w:rsidRPr="00544A36">
        <w:rPr>
          <w:rFonts w:hint="cs"/>
          <w:rtl/>
        </w:rPr>
        <w:t xml:space="preserve"> تكاليف </w:t>
      </w:r>
      <w:r>
        <w:rPr>
          <w:rFonts w:hint="cs"/>
          <w:rtl/>
        </w:rPr>
        <w:t>مؤقتة</w:t>
      </w:r>
      <w:r w:rsidRPr="00544A36">
        <w:rPr>
          <w:rFonts w:hint="cs"/>
          <w:rtl/>
        </w:rPr>
        <w:t xml:space="preserve"> </w:t>
      </w:r>
      <w:r>
        <w:rPr>
          <w:rFonts w:hint="cs"/>
          <w:rtl/>
        </w:rPr>
        <w:t>تماماً</w:t>
      </w:r>
      <w:r w:rsidRPr="00544A36">
        <w:rPr>
          <w:rFonts w:hint="cs"/>
          <w:rtl/>
        </w:rPr>
        <w:t xml:space="preserve"> ومرحلية</w:t>
      </w:r>
      <w:r>
        <w:rPr>
          <w:rFonts w:hint="cs"/>
          <w:rtl/>
        </w:rPr>
        <w:t>،</w:t>
      </w:r>
      <w:r w:rsidRPr="00544A36">
        <w:rPr>
          <w:rFonts w:hint="cs"/>
          <w:rtl/>
        </w:rPr>
        <w:t xml:space="preserve"> تعتمد على ظروف</w:t>
      </w:r>
      <w:r>
        <w:rPr>
          <w:rFonts w:hint="cs"/>
          <w:rtl/>
        </w:rPr>
        <w:t>ٍ</w:t>
      </w:r>
      <w:r w:rsidRPr="00544A36">
        <w:rPr>
          <w:rFonts w:hint="cs"/>
          <w:rtl/>
        </w:rPr>
        <w:t xml:space="preserve"> </w:t>
      </w:r>
      <w:r>
        <w:rPr>
          <w:rFonts w:hint="cs"/>
          <w:rtl/>
        </w:rPr>
        <w:t>اجتماع</w:t>
      </w:r>
      <w:r w:rsidRPr="00544A36">
        <w:rPr>
          <w:rFonts w:hint="cs"/>
          <w:rtl/>
        </w:rPr>
        <w:t>ية واقتصادية زمنية، في الوقت الذي</w:t>
      </w:r>
      <w:r>
        <w:rPr>
          <w:rFonts w:hint="cs"/>
          <w:rtl/>
        </w:rPr>
        <w:t xml:space="preserve"> لابدّ فيه </w:t>
      </w:r>
      <w:r w:rsidRPr="00544A36">
        <w:rPr>
          <w:rFonts w:hint="cs"/>
          <w:rtl/>
        </w:rPr>
        <w:t>للقيم ال</w:t>
      </w:r>
      <w:r>
        <w:rPr>
          <w:rFonts w:hint="cs"/>
          <w:rtl/>
        </w:rPr>
        <w:t>أخلاقية من أ</w:t>
      </w:r>
      <w:r w:rsidRPr="00544A36">
        <w:rPr>
          <w:rFonts w:hint="cs"/>
          <w:rtl/>
        </w:rPr>
        <w:t>ن ت</w:t>
      </w:r>
      <w:r>
        <w:rPr>
          <w:rFonts w:hint="cs"/>
          <w:rtl/>
        </w:rPr>
        <w:t>حظى</w:t>
      </w:r>
      <w:r w:rsidRPr="00544A36">
        <w:rPr>
          <w:rFonts w:hint="cs"/>
          <w:rtl/>
        </w:rPr>
        <w:t xml:space="preserve"> </w:t>
      </w:r>
      <w:r>
        <w:rPr>
          <w:rFonts w:hint="cs"/>
          <w:rtl/>
        </w:rPr>
        <w:t>بدوامٍ، ذلك أنّ الأخلاقيّات فوق تاريخية</w:t>
      </w:r>
      <w:r w:rsidRPr="00544A36">
        <w:rPr>
          <w:rFonts w:hint="cs"/>
          <w:rtl/>
        </w:rPr>
        <w:t>.</w:t>
      </w:r>
    </w:p>
    <w:p w:rsidR="00BA281B" w:rsidRDefault="00BA281B" w:rsidP="001C51A4">
      <w:pPr>
        <w:pStyle w:val="afffffc"/>
        <w:rPr>
          <w:rtl/>
        </w:rPr>
      </w:pPr>
    </w:p>
    <w:p w:rsidR="00BA281B" w:rsidRPr="00D457EB" w:rsidRDefault="00BA281B" w:rsidP="00BA281B">
      <w:pPr>
        <w:pStyle w:val="1"/>
        <w:rPr>
          <w:rtl/>
        </w:rPr>
      </w:pPr>
      <w:bookmarkStart w:id="32" w:name="_Toc169521342"/>
      <w:bookmarkStart w:id="33" w:name="_Toc275127868"/>
      <w:r w:rsidRPr="00D457EB">
        <w:rPr>
          <w:rFonts w:hint="cs"/>
          <w:rtl/>
        </w:rPr>
        <w:t>نظام</w:t>
      </w:r>
      <w:r>
        <w:rPr>
          <w:rFonts w:hint="cs"/>
          <w:rtl/>
        </w:rPr>
        <w:t xml:space="preserve"> القيم في علاقات الجنسين</w:t>
      </w:r>
      <w:bookmarkEnd w:id="32"/>
      <w:bookmarkEnd w:id="33"/>
    </w:p>
    <w:p w:rsidR="00BA281B" w:rsidRPr="00BA281B" w:rsidRDefault="00AC202B" w:rsidP="00BA281B">
      <w:pPr>
        <w:pStyle w:val="ac"/>
        <w:rPr>
          <w:rFonts w:cs="Abz-1 (Lotus)"/>
          <w:b/>
          <w:bCs/>
          <w:rtl/>
        </w:rPr>
      </w:pPr>
      <w:r w:rsidRPr="00AC202B">
        <w:rPr>
          <w:rFonts w:hint="cs"/>
        </w:rPr>
        <w:sym w:font="AGA Arabesque" w:char="F05F"/>
      </w:r>
      <w:r>
        <w:rPr>
          <w:rFonts w:hint="cs"/>
          <w:b/>
          <w:bCs/>
          <w:rtl/>
        </w:rPr>
        <w:t xml:space="preserve"> </w:t>
      </w:r>
      <w:r w:rsidR="00BA281B" w:rsidRPr="00AC202B">
        <w:rPr>
          <w:rFonts w:hint="cs"/>
          <w:b/>
          <w:bCs/>
          <w:rtl/>
        </w:rPr>
        <w:t>هل يمكنكم الإشارة إ</w:t>
      </w:r>
      <w:r w:rsidR="00BA281B" w:rsidRPr="00BA281B">
        <w:rPr>
          <w:rFonts w:hint="cs"/>
          <w:b/>
          <w:bCs/>
          <w:rtl/>
        </w:rPr>
        <w:t>لى بعض القيم الأساسيّة في علاقات الرجل والمرأة؟</w:t>
      </w:r>
    </w:p>
    <w:p w:rsidR="00BA281B" w:rsidRDefault="00AC202B" w:rsidP="00BA281B">
      <w:pPr>
        <w:pStyle w:val="ac"/>
        <w:rPr>
          <w:rtl/>
        </w:rPr>
      </w:pPr>
      <w:r>
        <w:rPr>
          <w:rFonts w:hint="cs"/>
        </w:rPr>
        <w:sym w:font="AGA Arabesque" w:char="F05E"/>
      </w:r>
      <w:r>
        <w:rPr>
          <w:rFonts w:hint="cs"/>
          <w:rtl/>
        </w:rPr>
        <w:t xml:space="preserve"> </w:t>
      </w:r>
      <w:r w:rsidR="00BA281B">
        <w:rPr>
          <w:rFonts w:hint="cs"/>
          <w:rtl/>
        </w:rPr>
        <w:t>الذي أ</w:t>
      </w:r>
      <w:r w:rsidR="00BA281B" w:rsidRPr="00544A36">
        <w:rPr>
          <w:rFonts w:hint="cs"/>
          <w:rtl/>
        </w:rPr>
        <w:t xml:space="preserve">راه </w:t>
      </w:r>
      <w:r w:rsidR="00BA281B">
        <w:rPr>
          <w:rFonts w:hint="cs"/>
          <w:rtl/>
        </w:rPr>
        <w:t>أ</w:t>
      </w:r>
      <w:r w:rsidR="00BA281B" w:rsidRPr="00544A36">
        <w:rPr>
          <w:rFonts w:hint="cs"/>
          <w:rtl/>
        </w:rPr>
        <w:t>ن</w:t>
      </w:r>
      <w:r w:rsidR="00BA281B">
        <w:rPr>
          <w:rFonts w:hint="cs"/>
          <w:rtl/>
        </w:rPr>
        <w:t>ّ</w:t>
      </w:r>
      <w:r w:rsidR="00BA281B" w:rsidRPr="00544A36">
        <w:rPr>
          <w:rFonts w:hint="cs"/>
          <w:rtl/>
        </w:rPr>
        <w:t xml:space="preserve"> أهم</w:t>
      </w:r>
      <w:r w:rsidR="00BA281B">
        <w:rPr>
          <w:rFonts w:hint="cs"/>
          <w:rtl/>
        </w:rPr>
        <w:t>ّ</w:t>
      </w:r>
      <w:r w:rsidR="00BA281B" w:rsidRPr="00544A36">
        <w:rPr>
          <w:rFonts w:hint="cs"/>
          <w:rtl/>
        </w:rPr>
        <w:t xml:space="preserve"> القيم الحاكمة </w:t>
      </w:r>
      <w:r w:rsidR="00BA281B">
        <w:rPr>
          <w:rFonts w:hint="cs"/>
          <w:rtl/>
        </w:rPr>
        <w:t>على</w:t>
      </w:r>
      <w:r w:rsidR="00BA281B" w:rsidRPr="00544A36">
        <w:rPr>
          <w:rFonts w:hint="cs"/>
          <w:rtl/>
        </w:rPr>
        <w:t xml:space="preserve"> علاقات الرجل والمرأة </w:t>
      </w:r>
      <w:r w:rsidR="00BA281B">
        <w:rPr>
          <w:rFonts w:hint="cs"/>
          <w:rtl/>
        </w:rPr>
        <w:t>أ</w:t>
      </w:r>
      <w:r w:rsidR="00BA281B" w:rsidRPr="00544A36">
        <w:rPr>
          <w:rFonts w:hint="cs"/>
          <w:rtl/>
        </w:rPr>
        <w:t>ن يكون الرجل رجلا</w:t>
      </w:r>
      <w:r w:rsidR="00BA281B">
        <w:rPr>
          <w:rFonts w:hint="cs"/>
          <w:rtl/>
        </w:rPr>
        <w:t>ً</w:t>
      </w:r>
      <w:r w:rsidR="00BA281B" w:rsidRPr="00544A36">
        <w:rPr>
          <w:rFonts w:hint="cs"/>
          <w:rtl/>
        </w:rPr>
        <w:t xml:space="preserve"> والمرأة </w:t>
      </w:r>
      <w:r w:rsidR="00BA281B">
        <w:rPr>
          <w:rFonts w:hint="cs"/>
          <w:rtl/>
        </w:rPr>
        <w:t>امر</w:t>
      </w:r>
      <w:r w:rsidR="00BA281B" w:rsidRPr="00544A36">
        <w:rPr>
          <w:rFonts w:hint="cs"/>
          <w:rtl/>
        </w:rPr>
        <w:t xml:space="preserve">أة، فجميع الحكماء يعتقدون </w:t>
      </w:r>
      <w:r w:rsidR="00BA281B">
        <w:rPr>
          <w:rFonts w:hint="cs"/>
          <w:rtl/>
        </w:rPr>
        <w:t>أ</w:t>
      </w:r>
      <w:r w:rsidR="00BA281B" w:rsidRPr="00544A36">
        <w:rPr>
          <w:rFonts w:hint="cs"/>
          <w:rtl/>
        </w:rPr>
        <w:t>ن</w:t>
      </w:r>
      <w:r w:rsidR="00BA281B">
        <w:rPr>
          <w:rFonts w:hint="cs"/>
          <w:rtl/>
        </w:rPr>
        <w:t>ّ</w:t>
      </w:r>
      <w:r w:rsidR="00BA281B" w:rsidRPr="00544A36">
        <w:rPr>
          <w:rFonts w:hint="cs"/>
          <w:rtl/>
        </w:rPr>
        <w:t xml:space="preserve"> كمال أي</w:t>
      </w:r>
      <w:r w:rsidR="00BA281B">
        <w:rPr>
          <w:rFonts w:hint="cs"/>
          <w:rtl/>
        </w:rPr>
        <w:t>ّ</w:t>
      </w:r>
      <w:r w:rsidR="00BA281B" w:rsidRPr="00544A36">
        <w:rPr>
          <w:rFonts w:hint="cs"/>
          <w:rtl/>
        </w:rPr>
        <w:t xml:space="preserve"> موجود يختص</w:t>
      </w:r>
      <w:r w:rsidR="00BA281B">
        <w:rPr>
          <w:rFonts w:hint="cs"/>
          <w:rtl/>
        </w:rPr>
        <w:t>ّ</w:t>
      </w:r>
      <w:r w:rsidR="00BA281B" w:rsidRPr="00544A36">
        <w:rPr>
          <w:rFonts w:hint="cs"/>
          <w:rtl/>
        </w:rPr>
        <w:t xml:space="preserve"> به ويتناسب معه، وليس لدى الناس </w:t>
      </w:r>
      <w:r w:rsidR="00BA281B">
        <w:rPr>
          <w:rFonts w:hint="cs"/>
          <w:rtl/>
        </w:rPr>
        <w:t xml:space="preserve">جميعهم </w:t>
      </w:r>
      <w:r w:rsidR="00BA281B" w:rsidRPr="00544A36">
        <w:rPr>
          <w:rFonts w:hint="cs"/>
          <w:rtl/>
        </w:rPr>
        <w:t>كمال</w:t>
      </w:r>
      <w:r w:rsidR="00BA281B">
        <w:rPr>
          <w:rFonts w:hint="cs"/>
          <w:rtl/>
        </w:rPr>
        <w:t>ٌ</w:t>
      </w:r>
      <w:r w:rsidR="00BA281B" w:rsidRPr="00544A36">
        <w:rPr>
          <w:rFonts w:hint="cs"/>
          <w:rtl/>
        </w:rPr>
        <w:t xml:space="preserve"> واحد</w:t>
      </w:r>
      <w:r w:rsidR="00BA281B">
        <w:rPr>
          <w:rFonts w:hint="cs"/>
          <w:rtl/>
        </w:rPr>
        <w:t>،</w:t>
      </w:r>
      <w:r w:rsidR="00BA281B" w:rsidRPr="00544A36">
        <w:rPr>
          <w:rFonts w:hint="cs"/>
          <w:rtl/>
        </w:rPr>
        <w:t xml:space="preserve"> </w:t>
      </w:r>
      <w:r w:rsidR="00BA281B">
        <w:rPr>
          <w:rFonts w:hint="cs"/>
          <w:rtl/>
        </w:rPr>
        <w:t>ف</w:t>
      </w:r>
      <w:r w:rsidR="00BA281B" w:rsidRPr="00544A36">
        <w:rPr>
          <w:rFonts w:hint="cs"/>
          <w:rtl/>
        </w:rPr>
        <w:t xml:space="preserve">الكمال </w:t>
      </w:r>
      <w:r w:rsidR="00BA281B">
        <w:rPr>
          <w:rFonts w:hint="cs"/>
          <w:rtl/>
        </w:rPr>
        <w:t>أ</w:t>
      </w:r>
      <w:r w:rsidR="00BA281B" w:rsidRPr="00544A36">
        <w:rPr>
          <w:rFonts w:hint="cs"/>
          <w:rtl/>
        </w:rPr>
        <w:t>ن يبقى كل</w:t>
      </w:r>
      <w:r w:rsidR="00BA281B">
        <w:rPr>
          <w:rFonts w:hint="cs"/>
          <w:rtl/>
        </w:rPr>
        <w:t>ّ</w:t>
      </w:r>
      <w:r w:rsidR="00BA281B" w:rsidRPr="00544A36">
        <w:rPr>
          <w:rFonts w:hint="cs"/>
          <w:rtl/>
        </w:rPr>
        <w:t xml:space="preserve"> شيء نفس</w:t>
      </w:r>
      <w:r w:rsidR="00BA281B">
        <w:rPr>
          <w:rFonts w:hint="cs"/>
          <w:rtl/>
        </w:rPr>
        <w:t>َه،</w:t>
      </w:r>
      <w:r w:rsidR="00BA281B" w:rsidRPr="00544A36">
        <w:rPr>
          <w:rFonts w:hint="cs"/>
          <w:rtl/>
        </w:rPr>
        <w:t xml:space="preserve"> وهذا الرأي </w:t>
      </w:r>
      <w:r w:rsidR="00BA281B">
        <w:rPr>
          <w:rFonts w:hint="cs"/>
          <w:rtl/>
        </w:rPr>
        <w:t xml:space="preserve">ـ </w:t>
      </w:r>
      <w:r w:rsidR="00BA281B" w:rsidRPr="00544A36">
        <w:rPr>
          <w:rFonts w:hint="cs"/>
          <w:rtl/>
        </w:rPr>
        <w:t xml:space="preserve">بنظري </w:t>
      </w:r>
      <w:r w:rsidR="00BA281B">
        <w:rPr>
          <w:rFonts w:hint="cs"/>
          <w:rtl/>
        </w:rPr>
        <w:t xml:space="preserve">ـ </w:t>
      </w:r>
      <w:r w:rsidR="00BA281B" w:rsidRPr="00544A36">
        <w:rPr>
          <w:rFonts w:hint="cs"/>
          <w:rtl/>
        </w:rPr>
        <w:t>من أهم</w:t>
      </w:r>
      <w:r w:rsidR="00BA281B">
        <w:rPr>
          <w:rFonts w:hint="cs"/>
          <w:rtl/>
        </w:rPr>
        <w:t>ّ</w:t>
      </w:r>
      <w:r w:rsidR="00BA281B" w:rsidRPr="00544A36">
        <w:rPr>
          <w:rFonts w:hint="cs"/>
          <w:rtl/>
        </w:rPr>
        <w:t xml:space="preserve"> القيم التي ينبغي </w:t>
      </w:r>
      <w:r w:rsidR="00BA281B">
        <w:rPr>
          <w:rFonts w:hint="cs"/>
          <w:rtl/>
        </w:rPr>
        <w:t>أ</w:t>
      </w:r>
      <w:r w:rsidR="00BA281B" w:rsidRPr="00544A36">
        <w:rPr>
          <w:rFonts w:hint="cs"/>
          <w:rtl/>
        </w:rPr>
        <w:t>ن تكون حاكمة</w:t>
      </w:r>
      <w:r w:rsidR="00BA281B">
        <w:rPr>
          <w:rFonts w:hint="cs"/>
          <w:rtl/>
        </w:rPr>
        <w:t>ً</w:t>
      </w:r>
      <w:r w:rsidR="00BA281B" w:rsidRPr="00544A36">
        <w:rPr>
          <w:rFonts w:hint="cs"/>
          <w:rtl/>
        </w:rPr>
        <w:t xml:space="preserve"> على علاقات الرجل والمرأة</w:t>
      </w:r>
      <w:r w:rsidR="00BA281B">
        <w:rPr>
          <w:rFonts w:hint="cs"/>
          <w:rtl/>
        </w:rPr>
        <w:t>،</w:t>
      </w:r>
      <w:r w:rsidR="00BA281B" w:rsidRPr="00544A36">
        <w:rPr>
          <w:rFonts w:hint="cs"/>
          <w:rtl/>
        </w:rPr>
        <w:t xml:space="preserve"> وعلى </w:t>
      </w:r>
      <w:r w:rsidR="00BA281B">
        <w:rPr>
          <w:rFonts w:hint="cs"/>
          <w:rtl/>
        </w:rPr>
        <w:t>أخلاقهما.</w:t>
      </w:r>
    </w:p>
    <w:p w:rsidR="00BA281B" w:rsidRPr="00544A36" w:rsidRDefault="00BA281B" w:rsidP="00BA281B">
      <w:pPr>
        <w:pStyle w:val="ac"/>
        <w:rPr>
          <w:rtl/>
        </w:rPr>
      </w:pPr>
      <w:r>
        <w:rPr>
          <w:rFonts w:hint="cs"/>
          <w:rtl/>
        </w:rPr>
        <w:t xml:space="preserve">لا ينبغي أن تؤدّي </w:t>
      </w:r>
      <w:r w:rsidRPr="00544A36">
        <w:rPr>
          <w:rFonts w:hint="cs"/>
          <w:rtl/>
        </w:rPr>
        <w:t>العلاقة بين الرجل والمرأة</w:t>
      </w:r>
      <w:r>
        <w:rPr>
          <w:rFonts w:hint="cs"/>
          <w:rtl/>
        </w:rPr>
        <w:t xml:space="preserve"> إلى </w:t>
      </w:r>
      <w:r w:rsidRPr="00544A36">
        <w:rPr>
          <w:rFonts w:hint="cs"/>
          <w:rtl/>
        </w:rPr>
        <w:t>خلل</w:t>
      </w:r>
      <w:r>
        <w:rPr>
          <w:rFonts w:hint="cs"/>
          <w:rtl/>
        </w:rPr>
        <w:t>ٍ</w:t>
      </w:r>
      <w:r w:rsidRPr="00544A36">
        <w:rPr>
          <w:rFonts w:hint="cs"/>
          <w:rtl/>
        </w:rPr>
        <w:t xml:space="preserve"> ما في سعي الرجل نحو كماله</w:t>
      </w:r>
      <w:r>
        <w:rPr>
          <w:rFonts w:hint="cs"/>
          <w:rtl/>
        </w:rPr>
        <w:t xml:space="preserve"> أو </w:t>
      </w:r>
      <w:r w:rsidRPr="00544A36">
        <w:rPr>
          <w:rFonts w:hint="cs"/>
          <w:rtl/>
        </w:rPr>
        <w:t>في سعي</w:t>
      </w:r>
      <w:r>
        <w:rPr>
          <w:rFonts w:hint="cs"/>
          <w:rtl/>
        </w:rPr>
        <w:t xml:space="preserve"> المرأة كذلك، أي أ</w:t>
      </w:r>
      <w:r w:rsidRPr="00544A36">
        <w:rPr>
          <w:rFonts w:hint="cs"/>
          <w:rtl/>
        </w:rPr>
        <w:t>ن</w:t>
      </w:r>
      <w:r>
        <w:rPr>
          <w:rFonts w:hint="cs"/>
          <w:rtl/>
        </w:rPr>
        <w:t>ّ هذه العلاقة لا ينبغي أ</w:t>
      </w:r>
      <w:r w:rsidRPr="00544A36">
        <w:rPr>
          <w:rFonts w:hint="cs"/>
          <w:rtl/>
        </w:rPr>
        <w:t xml:space="preserve">ن تجعل الرجل </w:t>
      </w:r>
      <w:r>
        <w:rPr>
          <w:rFonts w:hint="cs"/>
          <w:rtl/>
        </w:rPr>
        <w:t>امر</w:t>
      </w:r>
      <w:r w:rsidRPr="00544A36">
        <w:rPr>
          <w:rFonts w:hint="cs"/>
          <w:rtl/>
        </w:rPr>
        <w:t>أة</w:t>
      </w:r>
      <w:r>
        <w:rPr>
          <w:rFonts w:hint="cs"/>
          <w:rtl/>
        </w:rPr>
        <w:t>ً ولا أ</w:t>
      </w:r>
      <w:r w:rsidRPr="00544A36">
        <w:rPr>
          <w:rFonts w:hint="cs"/>
          <w:rtl/>
        </w:rPr>
        <w:t>ن ت</w:t>
      </w:r>
      <w:r>
        <w:rPr>
          <w:rFonts w:hint="cs"/>
          <w:rtl/>
        </w:rPr>
        <w:t>ُ</w:t>
      </w:r>
      <w:r w:rsidRPr="00544A36">
        <w:rPr>
          <w:rFonts w:hint="cs"/>
          <w:rtl/>
        </w:rPr>
        <w:t>خرج</w:t>
      </w:r>
      <w:r>
        <w:rPr>
          <w:rFonts w:hint="cs"/>
          <w:rtl/>
        </w:rPr>
        <w:t xml:space="preserve"> المرأة عن أنوثتها، إ</w:t>
      </w:r>
      <w:r w:rsidRPr="00544A36">
        <w:rPr>
          <w:rFonts w:hint="cs"/>
          <w:rtl/>
        </w:rPr>
        <w:t>ن</w:t>
      </w:r>
      <w:r>
        <w:rPr>
          <w:rFonts w:hint="cs"/>
          <w:rtl/>
        </w:rPr>
        <w:t>ّ</w:t>
      </w:r>
      <w:r w:rsidRPr="00544A36">
        <w:rPr>
          <w:rFonts w:hint="cs"/>
          <w:rtl/>
        </w:rPr>
        <w:t xml:space="preserve"> القاعدة الفلسفية التي تشك</w:t>
      </w:r>
      <w:r>
        <w:rPr>
          <w:rFonts w:hint="cs"/>
          <w:rtl/>
        </w:rPr>
        <w:t>ّ</w:t>
      </w:r>
      <w:r w:rsidRPr="00544A36">
        <w:rPr>
          <w:rFonts w:hint="cs"/>
          <w:rtl/>
        </w:rPr>
        <w:t xml:space="preserve">ل </w:t>
      </w:r>
      <w:r>
        <w:rPr>
          <w:rFonts w:hint="cs"/>
          <w:rtl/>
        </w:rPr>
        <w:t>أساس</w:t>
      </w:r>
      <w:r w:rsidRPr="00544A36">
        <w:rPr>
          <w:rFonts w:hint="cs"/>
          <w:rtl/>
        </w:rPr>
        <w:t>ا</w:t>
      </w:r>
      <w:r>
        <w:rPr>
          <w:rFonts w:hint="cs"/>
          <w:rtl/>
        </w:rPr>
        <w:t>ً</w:t>
      </w:r>
      <w:r w:rsidRPr="00544A36">
        <w:rPr>
          <w:rFonts w:hint="cs"/>
          <w:rtl/>
        </w:rPr>
        <w:t xml:space="preserve"> لهذا ال</w:t>
      </w:r>
      <w:r>
        <w:rPr>
          <w:rFonts w:hint="cs"/>
          <w:rtl/>
        </w:rPr>
        <w:t>أمر تتلخّص في أ</w:t>
      </w:r>
      <w:r w:rsidRPr="00544A36">
        <w:rPr>
          <w:rFonts w:hint="cs"/>
          <w:rtl/>
        </w:rPr>
        <w:t>ن</w:t>
      </w:r>
      <w:r>
        <w:rPr>
          <w:rFonts w:hint="cs"/>
          <w:rtl/>
        </w:rPr>
        <w:t>ّ</w:t>
      </w:r>
      <w:r w:rsidRPr="00544A36">
        <w:rPr>
          <w:rFonts w:hint="cs"/>
          <w:rtl/>
        </w:rPr>
        <w:t xml:space="preserve"> لدى كل</w:t>
      </w:r>
      <w:r>
        <w:rPr>
          <w:rFonts w:hint="cs"/>
          <w:rtl/>
        </w:rPr>
        <w:t>ّ</w:t>
      </w:r>
      <w:r w:rsidRPr="00544A36">
        <w:rPr>
          <w:rFonts w:hint="cs"/>
          <w:rtl/>
        </w:rPr>
        <w:t xml:space="preserve"> موجود الكمال الذي يليق به وعليه السعي</w:t>
      </w:r>
      <w:r>
        <w:rPr>
          <w:rFonts w:hint="cs"/>
          <w:rtl/>
        </w:rPr>
        <w:t xml:space="preserve"> إلى </w:t>
      </w:r>
      <w:r w:rsidRPr="00544A36">
        <w:rPr>
          <w:rFonts w:hint="cs"/>
          <w:rtl/>
        </w:rPr>
        <w:t>تحصيل</w:t>
      </w:r>
      <w:r>
        <w:rPr>
          <w:rFonts w:hint="cs"/>
          <w:rtl/>
        </w:rPr>
        <w:t>ه،</w:t>
      </w:r>
      <w:r w:rsidRPr="00544A36">
        <w:rPr>
          <w:rFonts w:hint="cs"/>
          <w:rtl/>
        </w:rPr>
        <w:t xml:space="preserve"> وهذا ال</w:t>
      </w:r>
      <w:r>
        <w:rPr>
          <w:rFonts w:hint="cs"/>
          <w:rtl/>
        </w:rPr>
        <w:t>أمر يتوقف على ملئ</w:t>
      </w:r>
      <w:r w:rsidRPr="00544A36">
        <w:rPr>
          <w:rFonts w:hint="cs"/>
          <w:rtl/>
        </w:rPr>
        <w:t xml:space="preserve"> هذه القابلية، ومنها ما هو كم</w:t>
      </w:r>
      <w:r>
        <w:rPr>
          <w:rFonts w:hint="cs"/>
          <w:rtl/>
        </w:rPr>
        <w:t>ّي ومنها ما هو كيفي؛</w:t>
      </w:r>
      <w:r w:rsidRPr="00544A36">
        <w:rPr>
          <w:rFonts w:hint="cs"/>
          <w:rtl/>
        </w:rPr>
        <w:t xml:space="preserve"> لذا لا يقال </w:t>
      </w:r>
      <w:r>
        <w:rPr>
          <w:rFonts w:hint="cs"/>
          <w:rtl/>
        </w:rPr>
        <w:t xml:space="preserve">عن </w:t>
      </w:r>
      <w:r w:rsidRPr="00544A36">
        <w:rPr>
          <w:rFonts w:hint="cs"/>
          <w:rtl/>
        </w:rPr>
        <w:t>الرجل</w:t>
      </w:r>
      <w:r>
        <w:rPr>
          <w:rFonts w:hint="cs"/>
          <w:rtl/>
        </w:rPr>
        <w:t>:</w:t>
      </w:r>
      <w:r w:rsidRPr="00544A36">
        <w:rPr>
          <w:rFonts w:hint="cs"/>
          <w:rtl/>
        </w:rPr>
        <w:t xml:space="preserve"> </w:t>
      </w:r>
      <w:r>
        <w:rPr>
          <w:rFonts w:hint="cs"/>
          <w:rtl/>
        </w:rPr>
        <w:t xml:space="preserve">إنّ </w:t>
      </w:r>
      <w:r w:rsidRPr="00544A36">
        <w:rPr>
          <w:rFonts w:hint="cs"/>
          <w:rtl/>
        </w:rPr>
        <w:t xml:space="preserve">لديه </w:t>
      </w:r>
      <w:r>
        <w:rPr>
          <w:rFonts w:hint="cs"/>
          <w:rtl/>
        </w:rPr>
        <w:t>استعداد</w:t>
      </w:r>
      <w:r w:rsidRPr="00544A36">
        <w:rPr>
          <w:rFonts w:hint="cs"/>
          <w:rtl/>
        </w:rPr>
        <w:t xml:space="preserve"> م</w:t>
      </w:r>
      <w:r>
        <w:rPr>
          <w:rFonts w:hint="cs"/>
          <w:rtl/>
        </w:rPr>
        <w:t>ا</w:t>
      </w:r>
      <w:r w:rsidRPr="00544A36">
        <w:rPr>
          <w:rFonts w:hint="cs"/>
          <w:rtl/>
        </w:rPr>
        <w:t>ئة ليتر مثلا</w:t>
      </w:r>
      <w:r>
        <w:rPr>
          <w:rFonts w:hint="cs"/>
          <w:rtl/>
        </w:rPr>
        <w:t>ً</w:t>
      </w:r>
      <w:r w:rsidRPr="00544A36">
        <w:rPr>
          <w:rFonts w:hint="cs"/>
          <w:rtl/>
        </w:rPr>
        <w:t xml:space="preserve"> </w:t>
      </w:r>
      <w:r>
        <w:rPr>
          <w:rFonts w:hint="cs"/>
          <w:rtl/>
        </w:rPr>
        <w:t xml:space="preserve">فيما </w:t>
      </w:r>
      <w:r w:rsidRPr="00544A36">
        <w:rPr>
          <w:rFonts w:hint="cs"/>
          <w:rtl/>
        </w:rPr>
        <w:t>المرأة سبع</w:t>
      </w:r>
      <w:r>
        <w:rPr>
          <w:rFonts w:hint="cs"/>
          <w:rtl/>
        </w:rPr>
        <w:t>ي</w:t>
      </w:r>
      <w:r w:rsidRPr="00544A36">
        <w:rPr>
          <w:rFonts w:hint="cs"/>
          <w:rtl/>
        </w:rPr>
        <w:t>ن</w:t>
      </w:r>
      <w:r>
        <w:rPr>
          <w:rFonts w:hint="cs"/>
          <w:rtl/>
        </w:rPr>
        <w:t xml:space="preserve">، </w:t>
      </w:r>
      <w:r w:rsidRPr="00544A36">
        <w:rPr>
          <w:rFonts w:hint="cs"/>
          <w:rtl/>
        </w:rPr>
        <w:t>فقابلي</w:t>
      </w:r>
      <w:r>
        <w:rPr>
          <w:rFonts w:hint="cs"/>
          <w:rtl/>
        </w:rPr>
        <w:t>ته</w:t>
      </w:r>
      <w:r w:rsidRPr="00544A36">
        <w:rPr>
          <w:rFonts w:hint="cs"/>
          <w:rtl/>
        </w:rPr>
        <w:t xml:space="preserve"> أوسع من قابلي</w:t>
      </w:r>
      <w:r>
        <w:rPr>
          <w:rFonts w:hint="cs"/>
          <w:rtl/>
        </w:rPr>
        <w:t xml:space="preserve">تها؛ لأنّ </w:t>
      </w:r>
      <w:r w:rsidRPr="00544A36">
        <w:rPr>
          <w:rFonts w:hint="cs"/>
          <w:rtl/>
        </w:rPr>
        <w:t>القابلية تتضم</w:t>
      </w:r>
      <w:r>
        <w:rPr>
          <w:rFonts w:hint="cs"/>
          <w:rtl/>
        </w:rPr>
        <w:t>ّ</w:t>
      </w:r>
      <w:r w:rsidRPr="00544A36">
        <w:rPr>
          <w:rFonts w:hint="cs"/>
          <w:rtl/>
        </w:rPr>
        <w:t>ن الكم</w:t>
      </w:r>
      <w:r>
        <w:rPr>
          <w:rFonts w:hint="cs"/>
          <w:rtl/>
        </w:rPr>
        <w:t>ّ</w:t>
      </w:r>
      <w:r w:rsidRPr="00544A36">
        <w:rPr>
          <w:rFonts w:hint="cs"/>
          <w:rtl/>
        </w:rPr>
        <w:t xml:space="preserve"> والكيف</w:t>
      </w:r>
      <w:r>
        <w:rPr>
          <w:rFonts w:hint="cs"/>
          <w:rtl/>
        </w:rPr>
        <w:t xml:space="preserve"> معاً.</w:t>
      </w:r>
    </w:p>
    <w:p w:rsidR="00BA281B" w:rsidRDefault="00BA281B" w:rsidP="00BA281B">
      <w:pPr>
        <w:pStyle w:val="ac"/>
        <w:rPr>
          <w:rtl/>
        </w:rPr>
      </w:pPr>
      <w:r>
        <w:rPr>
          <w:rFonts w:hint="cs"/>
          <w:rtl/>
        </w:rPr>
        <w:t>وعليه،</w:t>
      </w:r>
      <w:r w:rsidRPr="00544A36">
        <w:rPr>
          <w:rFonts w:hint="cs"/>
          <w:rtl/>
        </w:rPr>
        <w:t xml:space="preserve"> لا ينبغي وضع قوانين ت</w:t>
      </w:r>
      <w:r>
        <w:rPr>
          <w:rFonts w:hint="cs"/>
          <w:rtl/>
        </w:rPr>
        <w:t>ُ</w:t>
      </w:r>
      <w:r w:rsidRPr="00544A36">
        <w:rPr>
          <w:rFonts w:hint="cs"/>
          <w:rtl/>
        </w:rPr>
        <w:t>خرج الرجل عن خصوصي</w:t>
      </w:r>
      <w:r>
        <w:rPr>
          <w:rFonts w:hint="cs"/>
          <w:rtl/>
        </w:rPr>
        <w:t>ّ</w:t>
      </w:r>
      <w:r w:rsidRPr="00544A36">
        <w:rPr>
          <w:rFonts w:hint="cs"/>
          <w:rtl/>
        </w:rPr>
        <w:t>ة كونه رجلا</w:t>
      </w:r>
      <w:r>
        <w:rPr>
          <w:rFonts w:hint="cs"/>
          <w:rtl/>
        </w:rPr>
        <w:t>ً</w:t>
      </w:r>
      <w:r w:rsidRPr="00544A36">
        <w:rPr>
          <w:rFonts w:hint="cs"/>
          <w:rtl/>
        </w:rPr>
        <w:t xml:space="preserve"> والمرأة عن </w:t>
      </w:r>
      <w:r w:rsidRPr="00544A36">
        <w:rPr>
          <w:rFonts w:hint="cs"/>
          <w:rtl/>
        </w:rPr>
        <w:lastRenderedPageBreak/>
        <w:t xml:space="preserve">خصوصية كونها </w:t>
      </w:r>
      <w:r>
        <w:rPr>
          <w:rFonts w:hint="cs"/>
          <w:rtl/>
        </w:rPr>
        <w:t>امرأة، ومتى سلّمنا بهذا الأصل الأ</w:t>
      </w:r>
      <w:r w:rsidRPr="00544A36">
        <w:rPr>
          <w:rFonts w:hint="cs"/>
          <w:rtl/>
        </w:rPr>
        <w:t>و</w:t>
      </w:r>
      <w:r>
        <w:rPr>
          <w:rFonts w:hint="cs"/>
          <w:rtl/>
        </w:rPr>
        <w:t>ّلي</w:t>
      </w:r>
      <w:r w:rsidRPr="00544A36">
        <w:rPr>
          <w:rFonts w:hint="cs"/>
          <w:rtl/>
        </w:rPr>
        <w:t xml:space="preserve"> تقع على عاتقنا وظيفتان مهم</w:t>
      </w:r>
      <w:r>
        <w:rPr>
          <w:rFonts w:hint="cs"/>
          <w:rtl/>
        </w:rPr>
        <w:t>ّ</w:t>
      </w:r>
      <w:r w:rsidRPr="00544A36">
        <w:rPr>
          <w:rFonts w:hint="cs"/>
          <w:rtl/>
        </w:rPr>
        <w:t>تان</w:t>
      </w:r>
      <w:r>
        <w:rPr>
          <w:rFonts w:hint="cs"/>
          <w:rtl/>
        </w:rPr>
        <w:t>: إحداهما أ</w:t>
      </w:r>
      <w:r w:rsidRPr="00544A36">
        <w:rPr>
          <w:rFonts w:hint="cs"/>
          <w:rtl/>
        </w:rPr>
        <w:t>ن نصل</w:t>
      </w:r>
      <w:r>
        <w:rPr>
          <w:rFonts w:hint="cs"/>
          <w:rtl/>
        </w:rPr>
        <w:t xml:space="preserve"> إلى </w:t>
      </w:r>
      <w:r w:rsidRPr="00544A36">
        <w:rPr>
          <w:rFonts w:hint="cs"/>
          <w:rtl/>
        </w:rPr>
        <w:t>تعريف</w:t>
      </w:r>
      <w:r>
        <w:rPr>
          <w:rFonts w:hint="cs"/>
          <w:rtl/>
        </w:rPr>
        <w:t>ٍ دقيق وصحيح للأ</w:t>
      </w:r>
      <w:r w:rsidRPr="00544A36">
        <w:rPr>
          <w:rFonts w:hint="cs"/>
          <w:rtl/>
        </w:rPr>
        <w:t>نثوي</w:t>
      </w:r>
      <w:r>
        <w:rPr>
          <w:rFonts w:hint="cs"/>
          <w:rtl/>
        </w:rPr>
        <w:t>ّ</w:t>
      </w:r>
      <w:r w:rsidRPr="00544A36">
        <w:rPr>
          <w:rFonts w:hint="cs"/>
          <w:rtl/>
        </w:rPr>
        <w:t xml:space="preserve">ة وحدودها، </w:t>
      </w:r>
      <w:r>
        <w:rPr>
          <w:rFonts w:hint="cs"/>
          <w:rtl/>
        </w:rPr>
        <w:t>وكذا الذكورية وحدودها أ</w:t>
      </w:r>
      <w:r w:rsidRPr="00544A36">
        <w:rPr>
          <w:rFonts w:hint="cs"/>
          <w:rtl/>
        </w:rPr>
        <w:t>يضا</w:t>
      </w:r>
      <w:r>
        <w:rPr>
          <w:rFonts w:hint="cs"/>
          <w:rtl/>
        </w:rPr>
        <w:t>ً</w:t>
      </w:r>
      <w:r w:rsidRPr="00544A36">
        <w:rPr>
          <w:rFonts w:hint="cs"/>
          <w:rtl/>
        </w:rPr>
        <w:t>، و</w:t>
      </w:r>
      <w:r>
        <w:rPr>
          <w:rFonts w:hint="cs"/>
          <w:rtl/>
        </w:rPr>
        <w:t>ثانيتهما</w:t>
      </w:r>
      <w:r w:rsidRPr="00544A36">
        <w:rPr>
          <w:rFonts w:hint="cs"/>
          <w:rtl/>
        </w:rPr>
        <w:t xml:space="preserve"> وضع قوانين تتلاءم </w:t>
      </w:r>
      <w:r>
        <w:rPr>
          <w:rFonts w:hint="cs"/>
          <w:rtl/>
        </w:rPr>
        <w:t xml:space="preserve">مع التعريف الذي </w:t>
      </w:r>
      <w:r w:rsidRPr="00544A36">
        <w:rPr>
          <w:rFonts w:hint="cs"/>
          <w:rtl/>
        </w:rPr>
        <w:t>توص</w:t>
      </w:r>
      <w:r>
        <w:rPr>
          <w:rFonts w:hint="cs"/>
          <w:rtl/>
        </w:rPr>
        <w:t>ّ</w:t>
      </w:r>
      <w:r w:rsidRPr="00544A36">
        <w:rPr>
          <w:rFonts w:hint="cs"/>
          <w:rtl/>
        </w:rPr>
        <w:t>ل</w:t>
      </w:r>
      <w:r>
        <w:rPr>
          <w:rFonts w:hint="cs"/>
          <w:rtl/>
        </w:rPr>
        <w:t>نا إليه،</w:t>
      </w:r>
      <w:r w:rsidRPr="00544A36">
        <w:rPr>
          <w:rFonts w:hint="cs"/>
          <w:rtl/>
        </w:rPr>
        <w:t xml:space="preserve"> </w:t>
      </w:r>
      <w:r>
        <w:rPr>
          <w:rFonts w:hint="cs"/>
          <w:rtl/>
        </w:rPr>
        <w:t>و</w:t>
      </w:r>
      <w:r w:rsidRPr="00544A36">
        <w:rPr>
          <w:rFonts w:hint="cs"/>
          <w:rtl/>
        </w:rPr>
        <w:t>أي</w:t>
      </w:r>
      <w:r>
        <w:rPr>
          <w:rFonts w:hint="cs"/>
          <w:rtl/>
        </w:rPr>
        <w:t>ّ</w:t>
      </w:r>
      <w:r w:rsidRPr="00544A36">
        <w:rPr>
          <w:rFonts w:hint="cs"/>
          <w:rtl/>
        </w:rPr>
        <w:t xml:space="preserve"> تعريف</w:t>
      </w:r>
      <w:r>
        <w:rPr>
          <w:rFonts w:hint="cs"/>
          <w:rtl/>
        </w:rPr>
        <w:t>ٍ</w:t>
      </w:r>
      <w:r w:rsidRPr="00544A36">
        <w:rPr>
          <w:rFonts w:hint="cs"/>
          <w:rtl/>
        </w:rPr>
        <w:t xml:space="preserve"> نقد</w:t>
      </w:r>
      <w:r>
        <w:rPr>
          <w:rFonts w:hint="cs"/>
          <w:rtl/>
        </w:rPr>
        <w:t>ّ</w:t>
      </w:r>
      <w:r w:rsidRPr="00544A36">
        <w:rPr>
          <w:rFonts w:hint="cs"/>
          <w:rtl/>
        </w:rPr>
        <w:t>مه عن حدود دائرة الذكورة</w:t>
      </w:r>
      <w:r>
        <w:rPr>
          <w:rFonts w:hint="cs"/>
          <w:rtl/>
        </w:rPr>
        <w:t xml:space="preserve"> أو الأ</w:t>
      </w:r>
      <w:r w:rsidRPr="00544A36">
        <w:rPr>
          <w:rFonts w:hint="cs"/>
          <w:rtl/>
        </w:rPr>
        <w:t>نوثة</w:t>
      </w:r>
      <w:r>
        <w:rPr>
          <w:rFonts w:hint="cs"/>
          <w:rtl/>
        </w:rPr>
        <w:t xml:space="preserve"> أو </w:t>
      </w:r>
      <w:r w:rsidRPr="00544A36">
        <w:rPr>
          <w:rFonts w:hint="cs"/>
          <w:rtl/>
        </w:rPr>
        <w:t>ماهي</w:t>
      </w:r>
      <w:r>
        <w:rPr>
          <w:rFonts w:hint="cs"/>
          <w:rtl/>
        </w:rPr>
        <w:t>ّ</w:t>
      </w:r>
      <w:r w:rsidRPr="00544A36">
        <w:rPr>
          <w:rFonts w:hint="cs"/>
          <w:rtl/>
        </w:rPr>
        <w:t>تهما،</w:t>
      </w:r>
      <w:r>
        <w:rPr>
          <w:rFonts w:hint="cs"/>
          <w:rtl/>
        </w:rPr>
        <w:t xml:space="preserve"> لابد وأ</w:t>
      </w:r>
      <w:r w:rsidRPr="00544A36">
        <w:rPr>
          <w:rFonts w:hint="cs"/>
          <w:rtl/>
        </w:rPr>
        <w:t xml:space="preserve">ن يعتمد </w:t>
      </w:r>
      <w:r>
        <w:rPr>
          <w:rFonts w:hint="cs"/>
          <w:rtl/>
        </w:rPr>
        <w:t xml:space="preserve">ـ </w:t>
      </w:r>
      <w:r w:rsidRPr="00544A36">
        <w:rPr>
          <w:rFonts w:hint="cs"/>
          <w:rtl/>
        </w:rPr>
        <w:t xml:space="preserve">دون شك </w:t>
      </w:r>
      <w:r>
        <w:rPr>
          <w:rFonts w:hint="cs"/>
          <w:rtl/>
        </w:rPr>
        <w:t xml:space="preserve">ـ </w:t>
      </w:r>
      <w:r w:rsidRPr="00544A36">
        <w:rPr>
          <w:rFonts w:hint="cs"/>
          <w:rtl/>
        </w:rPr>
        <w:t>عل</w:t>
      </w:r>
      <w:r>
        <w:rPr>
          <w:rFonts w:hint="cs"/>
          <w:rtl/>
        </w:rPr>
        <w:t>ى علوم الزمان الذي نعيش فيه والأسس الثقافية التي نحملها، أي أ</w:t>
      </w:r>
      <w:r w:rsidRPr="00544A36">
        <w:rPr>
          <w:rFonts w:hint="cs"/>
          <w:rtl/>
        </w:rPr>
        <w:t>ن</w:t>
      </w:r>
      <w:r>
        <w:rPr>
          <w:rFonts w:hint="cs"/>
          <w:rtl/>
        </w:rPr>
        <w:t>ّ</w:t>
      </w:r>
      <w:r w:rsidRPr="00544A36">
        <w:rPr>
          <w:rFonts w:hint="cs"/>
          <w:rtl/>
        </w:rPr>
        <w:t>نا لا نملك تعريفا</w:t>
      </w:r>
      <w:r>
        <w:rPr>
          <w:rFonts w:hint="cs"/>
          <w:rtl/>
        </w:rPr>
        <w:t>ً</w:t>
      </w:r>
      <w:r w:rsidRPr="00544A36">
        <w:rPr>
          <w:rFonts w:hint="cs"/>
          <w:rtl/>
        </w:rPr>
        <w:t xml:space="preserve"> مستقلا</w:t>
      </w:r>
      <w:r>
        <w:rPr>
          <w:rFonts w:hint="cs"/>
          <w:rtl/>
        </w:rPr>
        <w:t>ً</w:t>
      </w:r>
      <w:r w:rsidRPr="00544A36">
        <w:rPr>
          <w:rFonts w:hint="cs"/>
          <w:rtl/>
        </w:rPr>
        <w:t xml:space="preserve"> </w:t>
      </w:r>
      <w:r>
        <w:rPr>
          <w:rFonts w:hint="cs"/>
          <w:rtl/>
        </w:rPr>
        <w:t xml:space="preserve">ومنفصلاً </w:t>
      </w:r>
      <w:r w:rsidRPr="00544A36">
        <w:rPr>
          <w:rFonts w:hint="cs"/>
          <w:rtl/>
        </w:rPr>
        <w:t>ع</w:t>
      </w:r>
      <w:r>
        <w:rPr>
          <w:rFonts w:hint="cs"/>
          <w:rtl/>
        </w:rPr>
        <w:t>ن ثقافة الزمن الذي نعيش فيه، ول</w:t>
      </w:r>
      <w:r w:rsidRPr="00544A36">
        <w:rPr>
          <w:rFonts w:hint="cs"/>
          <w:rtl/>
        </w:rPr>
        <w:t>ذلك كانت هذه التعاريف متغيّرة، وتبعا</w:t>
      </w:r>
      <w:r>
        <w:rPr>
          <w:rFonts w:hint="cs"/>
          <w:rtl/>
        </w:rPr>
        <w:t>ً</w:t>
      </w:r>
      <w:r w:rsidRPr="00544A36">
        <w:rPr>
          <w:rFonts w:hint="cs"/>
          <w:rtl/>
        </w:rPr>
        <w:t xml:space="preserve"> لذلك</w:t>
      </w:r>
      <w:r>
        <w:rPr>
          <w:rFonts w:hint="cs"/>
          <w:rtl/>
        </w:rPr>
        <w:t xml:space="preserve"> لابدّ وأ</w:t>
      </w:r>
      <w:r w:rsidRPr="00544A36">
        <w:rPr>
          <w:rFonts w:hint="cs"/>
          <w:rtl/>
        </w:rPr>
        <w:t>ن تكون القوانين وال</w:t>
      </w:r>
      <w:r>
        <w:rPr>
          <w:rFonts w:hint="cs"/>
          <w:rtl/>
        </w:rPr>
        <w:t>أحكام</w:t>
      </w:r>
      <w:r w:rsidRPr="00544A36">
        <w:rPr>
          <w:rFonts w:hint="cs"/>
          <w:rtl/>
        </w:rPr>
        <w:t xml:space="preserve"> الموضوعة لحفظ هذه الكمالات متغي</w:t>
      </w:r>
      <w:r>
        <w:rPr>
          <w:rFonts w:hint="cs"/>
          <w:rtl/>
        </w:rPr>
        <w:t>ّ</w:t>
      </w:r>
      <w:r w:rsidRPr="00544A36">
        <w:rPr>
          <w:rFonts w:hint="cs"/>
          <w:rtl/>
        </w:rPr>
        <w:t>رة</w:t>
      </w:r>
      <w:r>
        <w:rPr>
          <w:rFonts w:hint="cs"/>
          <w:rtl/>
        </w:rPr>
        <w:t xml:space="preserve"> أيضاً</w:t>
      </w:r>
      <w:r w:rsidRPr="00544A36">
        <w:rPr>
          <w:rFonts w:hint="cs"/>
          <w:rtl/>
        </w:rPr>
        <w:t xml:space="preserve">، </w:t>
      </w:r>
      <w:r>
        <w:rPr>
          <w:rFonts w:hint="cs"/>
          <w:rtl/>
        </w:rPr>
        <w:t xml:space="preserve">وهذا ما </w:t>
      </w:r>
      <w:r w:rsidRPr="00544A36">
        <w:rPr>
          <w:rFonts w:hint="cs"/>
          <w:rtl/>
        </w:rPr>
        <w:t xml:space="preserve">يرجع </w:t>
      </w:r>
      <w:r>
        <w:rPr>
          <w:rFonts w:hint="cs"/>
          <w:rtl/>
        </w:rPr>
        <w:t xml:space="preserve">إلى </w:t>
      </w:r>
      <w:r w:rsidRPr="00544A36">
        <w:rPr>
          <w:rFonts w:hint="cs"/>
          <w:rtl/>
        </w:rPr>
        <w:t>تغيّر التعريف الذي نملكه.</w:t>
      </w:r>
    </w:p>
    <w:p w:rsidR="00BA281B" w:rsidRDefault="00BA281B" w:rsidP="001C51A4">
      <w:pPr>
        <w:pStyle w:val="afffffc"/>
      </w:pPr>
      <w:bookmarkStart w:id="34" w:name="_Toc169521343"/>
    </w:p>
    <w:p w:rsidR="00BA281B" w:rsidRPr="00D457EB" w:rsidRDefault="00BA281B" w:rsidP="00BA281B">
      <w:pPr>
        <w:pStyle w:val="1"/>
        <w:rPr>
          <w:rtl/>
        </w:rPr>
      </w:pPr>
      <w:bookmarkStart w:id="35" w:name="_Toc275127869"/>
      <w:r w:rsidRPr="00D457EB">
        <w:rPr>
          <w:rFonts w:hint="cs"/>
          <w:rtl/>
        </w:rPr>
        <w:t>أصالة التاريخية في الأحكام التشريعية الدينية</w:t>
      </w:r>
      <w:bookmarkEnd w:id="34"/>
      <w:bookmarkEnd w:id="35"/>
    </w:p>
    <w:p w:rsidR="00BA281B" w:rsidRPr="00544A36" w:rsidRDefault="00BA281B" w:rsidP="00BA281B">
      <w:pPr>
        <w:pStyle w:val="ac"/>
        <w:rPr>
          <w:rtl/>
        </w:rPr>
      </w:pPr>
      <w:r>
        <w:rPr>
          <w:rFonts w:hint="cs"/>
          <w:rtl/>
        </w:rPr>
        <w:t xml:space="preserve">ويشكّل ما نقوله هنا أساساً، </w:t>
      </w:r>
      <w:r w:rsidRPr="00544A36">
        <w:rPr>
          <w:rFonts w:hint="cs"/>
          <w:rtl/>
        </w:rPr>
        <w:t xml:space="preserve">سواء </w:t>
      </w:r>
      <w:r>
        <w:rPr>
          <w:rFonts w:hint="cs"/>
          <w:rtl/>
        </w:rPr>
        <w:t>على صعيد</w:t>
      </w:r>
      <w:r w:rsidRPr="00544A36">
        <w:rPr>
          <w:rFonts w:hint="cs"/>
          <w:rtl/>
        </w:rPr>
        <w:t xml:space="preserve"> النظرية ال</w:t>
      </w:r>
      <w:r>
        <w:rPr>
          <w:rFonts w:hint="cs"/>
          <w:rtl/>
        </w:rPr>
        <w:t>إسلام</w:t>
      </w:r>
      <w:r w:rsidRPr="00544A36">
        <w:rPr>
          <w:rFonts w:hint="cs"/>
          <w:rtl/>
        </w:rPr>
        <w:t>ية</w:t>
      </w:r>
      <w:r>
        <w:rPr>
          <w:rFonts w:hint="cs"/>
          <w:rtl/>
        </w:rPr>
        <w:t xml:space="preserve"> أو </w:t>
      </w:r>
      <w:r w:rsidRPr="00544A36">
        <w:rPr>
          <w:rFonts w:hint="cs"/>
          <w:rtl/>
        </w:rPr>
        <w:t xml:space="preserve">غيرها </w:t>
      </w:r>
      <w:r>
        <w:rPr>
          <w:rFonts w:hint="cs"/>
          <w:rtl/>
        </w:rPr>
        <w:t>في الأ</w:t>
      </w:r>
      <w:r w:rsidRPr="00544A36">
        <w:rPr>
          <w:rFonts w:hint="cs"/>
          <w:rtl/>
        </w:rPr>
        <w:t>ديان والمذاهب</w:t>
      </w:r>
      <w:r>
        <w:rPr>
          <w:rFonts w:hint="cs"/>
          <w:rtl/>
        </w:rPr>
        <w:t xml:space="preserve"> الأخرى،</w:t>
      </w:r>
      <w:r w:rsidRPr="00544A36">
        <w:rPr>
          <w:rFonts w:hint="cs"/>
          <w:rtl/>
        </w:rPr>
        <w:t xml:space="preserve"> </w:t>
      </w:r>
      <w:r>
        <w:rPr>
          <w:rFonts w:hint="cs"/>
          <w:rtl/>
        </w:rPr>
        <w:t>إ</w:t>
      </w:r>
      <w:r w:rsidRPr="00544A36">
        <w:rPr>
          <w:rFonts w:hint="cs"/>
          <w:rtl/>
        </w:rPr>
        <w:t>ن</w:t>
      </w:r>
      <w:r>
        <w:rPr>
          <w:rFonts w:hint="cs"/>
          <w:rtl/>
        </w:rPr>
        <w:t>ّ ما أراه هو أ</w:t>
      </w:r>
      <w:r w:rsidRPr="00544A36">
        <w:rPr>
          <w:rFonts w:hint="cs"/>
          <w:rtl/>
        </w:rPr>
        <w:t>ن</w:t>
      </w:r>
      <w:r>
        <w:rPr>
          <w:rFonts w:hint="cs"/>
          <w:rtl/>
        </w:rPr>
        <w:t>ّ</w:t>
      </w:r>
      <w:r w:rsidRPr="00544A36">
        <w:rPr>
          <w:rFonts w:hint="cs"/>
          <w:rtl/>
        </w:rPr>
        <w:t xml:space="preserve"> ال</w:t>
      </w:r>
      <w:r>
        <w:rPr>
          <w:rFonts w:hint="cs"/>
          <w:rtl/>
        </w:rPr>
        <w:t>أحكام</w:t>
      </w:r>
      <w:r w:rsidRPr="00544A36">
        <w:rPr>
          <w:rFonts w:hint="cs"/>
          <w:rtl/>
        </w:rPr>
        <w:t xml:space="preserve"> التي ترجع</w:t>
      </w:r>
      <w:r>
        <w:rPr>
          <w:rFonts w:hint="cs"/>
          <w:rtl/>
        </w:rPr>
        <w:t xml:space="preserve"> إلى </w:t>
      </w:r>
      <w:r w:rsidRPr="00544A36">
        <w:rPr>
          <w:rFonts w:hint="cs"/>
          <w:rtl/>
        </w:rPr>
        <w:t>شؤون ال</w:t>
      </w:r>
      <w:r>
        <w:rPr>
          <w:rFonts w:hint="cs"/>
          <w:rtl/>
        </w:rPr>
        <w:t>اجتماع</w:t>
      </w:r>
      <w:r w:rsidRPr="00544A36">
        <w:rPr>
          <w:rFonts w:hint="cs"/>
          <w:rtl/>
        </w:rPr>
        <w:t xml:space="preserve"> في ال</w:t>
      </w:r>
      <w:r>
        <w:rPr>
          <w:rFonts w:hint="cs"/>
          <w:rtl/>
        </w:rPr>
        <w:t>إسلام</w:t>
      </w:r>
      <w:r w:rsidRPr="00544A36">
        <w:rPr>
          <w:rFonts w:hint="cs"/>
          <w:rtl/>
        </w:rPr>
        <w:t xml:space="preserve"> لها جنبة</w:t>
      </w:r>
      <w:r>
        <w:rPr>
          <w:rFonts w:hint="cs"/>
          <w:rtl/>
        </w:rPr>
        <w:t>ٌ</w:t>
      </w:r>
      <w:r w:rsidRPr="00544A36">
        <w:rPr>
          <w:rFonts w:hint="cs"/>
          <w:rtl/>
        </w:rPr>
        <w:t xml:space="preserve"> مؤق</w:t>
      </w:r>
      <w:r>
        <w:rPr>
          <w:rFonts w:hint="cs"/>
          <w:rtl/>
        </w:rPr>
        <w:t>ّتة ما لم يثبت خلافه،</w:t>
      </w:r>
      <w:r w:rsidRPr="00544A36">
        <w:rPr>
          <w:rFonts w:hint="cs"/>
          <w:rtl/>
        </w:rPr>
        <w:t xml:space="preserve"> نعم</w:t>
      </w:r>
      <w:r>
        <w:rPr>
          <w:rFonts w:hint="cs"/>
          <w:rtl/>
        </w:rPr>
        <w:t>،</w:t>
      </w:r>
      <w:r w:rsidRPr="00544A36">
        <w:rPr>
          <w:rFonts w:hint="cs"/>
          <w:rtl/>
        </w:rPr>
        <w:t xml:space="preserve"> </w:t>
      </w:r>
      <w:r>
        <w:rPr>
          <w:rFonts w:hint="cs"/>
          <w:rtl/>
        </w:rPr>
        <w:t xml:space="preserve">لا يوافق </w:t>
      </w:r>
      <w:r w:rsidRPr="00544A36">
        <w:rPr>
          <w:rFonts w:hint="cs"/>
          <w:rtl/>
        </w:rPr>
        <w:t>الفقهاء على ذلك</w:t>
      </w:r>
      <w:r>
        <w:rPr>
          <w:rFonts w:hint="cs"/>
          <w:rtl/>
        </w:rPr>
        <w:t>،</w:t>
      </w:r>
      <w:r w:rsidRPr="00544A36">
        <w:rPr>
          <w:rFonts w:hint="cs"/>
          <w:rtl/>
        </w:rPr>
        <w:t xml:space="preserve"> بل يعتبرون كل</w:t>
      </w:r>
      <w:r>
        <w:rPr>
          <w:rFonts w:hint="cs"/>
          <w:rtl/>
        </w:rPr>
        <w:t>َّ</w:t>
      </w:r>
      <w:r w:rsidRPr="00544A36">
        <w:rPr>
          <w:rFonts w:hint="cs"/>
          <w:rtl/>
        </w:rPr>
        <w:t xml:space="preserve"> ما ورد في الشرع أبدي</w:t>
      </w:r>
      <w:r>
        <w:rPr>
          <w:rFonts w:hint="cs"/>
          <w:rtl/>
        </w:rPr>
        <w:t>ّاً</w:t>
      </w:r>
      <w:r w:rsidRPr="00544A36">
        <w:rPr>
          <w:rFonts w:hint="cs"/>
          <w:rtl/>
        </w:rPr>
        <w:t xml:space="preserve"> خالد</w:t>
      </w:r>
      <w:r>
        <w:rPr>
          <w:rFonts w:hint="cs"/>
          <w:rtl/>
        </w:rPr>
        <w:t>اً إلى أن يثبت العكس،</w:t>
      </w:r>
      <w:r w:rsidRPr="00544A36">
        <w:rPr>
          <w:rFonts w:hint="cs"/>
          <w:rtl/>
        </w:rPr>
        <w:t xml:space="preserve"> لكن</w:t>
      </w:r>
      <w:r>
        <w:rPr>
          <w:rFonts w:hint="cs"/>
          <w:rtl/>
        </w:rPr>
        <w:t>ّ</w:t>
      </w:r>
      <w:r w:rsidRPr="00544A36">
        <w:rPr>
          <w:rFonts w:hint="cs"/>
          <w:rtl/>
        </w:rPr>
        <w:t xml:space="preserve"> التتب</w:t>
      </w:r>
      <w:r>
        <w:rPr>
          <w:rFonts w:hint="cs"/>
          <w:rtl/>
        </w:rPr>
        <w:t>ّ</w:t>
      </w:r>
      <w:r w:rsidRPr="00544A36">
        <w:rPr>
          <w:rFonts w:hint="cs"/>
          <w:rtl/>
        </w:rPr>
        <w:t>ع التاريخي لكيفية تكوّن ال</w:t>
      </w:r>
      <w:r>
        <w:rPr>
          <w:rFonts w:hint="cs"/>
          <w:rtl/>
        </w:rPr>
        <w:t>إسلام</w:t>
      </w:r>
      <w:r w:rsidRPr="00544A36">
        <w:rPr>
          <w:rFonts w:hint="cs"/>
          <w:rtl/>
        </w:rPr>
        <w:t xml:space="preserve"> والفقه ال</w:t>
      </w:r>
      <w:r>
        <w:rPr>
          <w:rFonts w:hint="cs"/>
          <w:rtl/>
        </w:rPr>
        <w:t>إسلامي</w:t>
      </w:r>
      <w:r w:rsidRPr="00544A36">
        <w:rPr>
          <w:rFonts w:hint="cs"/>
          <w:rtl/>
        </w:rPr>
        <w:t xml:space="preserve"> يدل</w:t>
      </w:r>
      <w:r>
        <w:rPr>
          <w:rFonts w:hint="cs"/>
          <w:rtl/>
        </w:rPr>
        <w:t>ّنا على أ</w:t>
      </w:r>
      <w:r w:rsidRPr="00544A36">
        <w:rPr>
          <w:rFonts w:hint="cs"/>
          <w:rtl/>
        </w:rPr>
        <w:t>ن</w:t>
      </w:r>
      <w:r>
        <w:rPr>
          <w:rFonts w:hint="cs"/>
          <w:rtl/>
        </w:rPr>
        <w:t>ّ</w:t>
      </w:r>
      <w:r w:rsidRPr="00544A36">
        <w:rPr>
          <w:rFonts w:hint="cs"/>
          <w:rtl/>
        </w:rPr>
        <w:t xml:space="preserve"> ما جرى كان بنحو</w:t>
      </w:r>
      <w:r>
        <w:rPr>
          <w:rFonts w:hint="cs"/>
          <w:rtl/>
        </w:rPr>
        <w:t>ٍ آخر، أي أ</w:t>
      </w:r>
      <w:r w:rsidRPr="00544A36">
        <w:rPr>
          <w:rFonts w:hint="cs"/>
          <w:rtl/>
        </w:rPr>
        <w:t>ن</w:t>
      </w:r>
      <w:r>
        <w:rPr>
          <w:rFonts w:hint="cs"/>
          <w:rtl/>
        </w:rPr>
        <w:t>ّ</w:t>
      </w:r>
      <w:r w:rsidRPr="00544A36">
        <w:rPr>
          <w:rFonts w:hint="cs"/>
          <w:rtl/>
        </w:rPr>
        <w:t xml:space="preserve"> الشارع صحّح القوانين وال</w:t>
      </w:r>
      <w:r>
        <w:rPr>
          <w:rFonts w:hint="cs"/>
          <w:rtl/>
        </w:rPr>
        <w:t>أحكام</w:t>
      </w:r>
      <w:r w:rsidRPr="00544A36">
        <w:rPr>
          <w:rFonts w:hint="cs"/>
          <w:rtl/>
        </w:rPr>
        <w:t xml:space="preserve"> ا</w:t>
      </w:r>
      <w:r>
        <w:rPr>
          <w:rFonts w:hint="cs"/>
          <w:rtl/>
        </w:rPr>
        <w:t>لموجودة في المجتمع العربي آنذاك؛ لأ</w:t>
      </w:r>
      <w:r w:rsidRPr="00544A36">
        <w:rPr>
          <w:rFonts w:hint="cs"/>
          <w:rtl/>
        </w:rPr>
        <w:t>ن</w:t>
      </w:r>
      <w:r>
        <w:rPr>
          <w:rFonts w:hint="cs"/>
          <w:rtl/>
        </w:rPr>
        <w:t>ّ</w:t>
      </w:r>
      <w:r w:rsidRPr="00544A36">
        <w:rPr>
          <w:rFonts w:hint="cs"/>
          <w:rtl/>
        </w:rPr>
        <w:t>ها كانت تتناسب مع عدالة ذلك الزمان وتشك</w:t>
      </w:r>
      <w:r>
        <w:rPr>
          <w:rFonts w:hint="cs"/>
          <w:rtl/>
        </w:rPr>
        <w:t>ّ</w:t>
      </w:r>
      <w:r w:rsidRPr="00544A36">
        <w:rPr>
          <w:rFonts w:hint="cs"/>
          <w:rtl/>
        </w:rPr>
        <w:t>ل مصداقا</w:t>
      </w:r>
      <w:r>
        <w:rPr>
          <w:rFonts w:hint="cs"/>
          <w:rtl/>
        </w:rPr>
        <w:t>ً</w:t>
      </w:r>
      <w:r w:rsidRPr="00544A36">
        <w:rPr>
          <w:rFonts w:hint="cs"/>
          <w:rtl/>
        </w:rPr>
        <w:t xml:space="preserve"> ل</w:t>
      </w:r>
      <w:r>
        <w:rPr>
          <w:rFonts w:hint="cs"/>
          <w:rtl/>
        </w:rPr>
        <w:t>ها، ولا دليل على أ</w:t>
      </w:r>
      <w:r w:rsidRPr="00544A36">
        <w:rPr>
          <w:rFonts w:hint="cs"/>
          <w:rtl/>
        </w:rPr>
        <w:t>ن تلك القوانين التي كانت رائجة</w:t>
      </w:r>
      <w:r>
        <w:rPr>
          <w:rFonts w:hint="cs"/>
          <w:rtl/>
        </w:rPr>
        <w:t>ً وموجودة</w:t>
      </w:r>
      <w:r w:rsidRPr="00544A36">
        <w:rPr>
          <w:rFonts w:hint="cs"/>
          <w:rtl/>
        </w:rPr>
        <w:t xml:space="preserve"> أفضل القوانين وال</w:t>
      </w:r>
      <w:r>
        <w:rPr>
          <w:rFonts w:hint="cs"/>
          <w:rtl/>
        </w:rPr>
        <w:t>أحكام</w:t>
      </w:r>
      <w:r w:rsidRPr="00544A36">
        <w:rPr>
          <w:rFonts w:hint="cs"/>
          <w:rtl/>
        </w:rPr>
        <w:t xml:space="preserve"> الممكنة على مرّ التاريخ.</w:t>
      </w:r>
    </w:p>
    <w:p w:rsidR="00BA281B" w:rsidRDefault="00BA281B" w:rsidP="00BA281B">
      <w:pPr>
        <w:pStyle w:val="ac"/>
        <w:rPr>
          <w:rtl/>
        </w:rPr>
      </w:pPr>
      <w:r w:rsidRPr="00544A36">
        <w:rPr>
          <w:rFonts w:hint="cs"/>
          <w:rtl/>
        </w:rPr>
        <w:t>مضافا</w:t>
      </w:r>
      <w:r>
        <w:rPr>
          <w:rFonts w:hint="cs"/>
          <w:rtl/>
        </w:rPr>
        <w:t xml:space="preserve">ً إلى </w:t>
      </w:r>
      <w:r w:rsidRPr="00544A36">
        <w:rPr>
          <w:rFonts w:hint="cs"/>
          <w:rtl/>
        </w:rPr>
        <w:t>ذلك</w:t>
      </w:r>
      <w:r>
        <w:rPr>
          <w:rFonts w:hint="cs"/>
          <w:rtl/>
        </w:rPr>
        <w:t>،</w:t>
      </w:r>
      <w:r w:rsidRPr="00544A36">
        <w:rPr>
          <w:rFonts w:hint="cs"/>
          <w:rtl/>
        </w:rPr>
        <w:t xml:space="preserve"> </w:t>
      </w:r>
      <w:r>
        <w:rPr>
          <w:rFonts w:hint="cs"/>
          <w:rtl/>
        </w:rPr>
        <w:t xml:space="preserve">يميل </w:t>
      </w:r>
      <w:r w:rsidRPr="00544A36">
        <w:rPr>
          <w:rFonts w:hint="cs"/>
          <w:rtl/>
        </w:rPr>
        <w:t>العلماء والفقهاء المتأخر</w:t>
      </w:r>
      <w:r>
        <w:rPr>
          <w:rFonts w:hint="cs"/>
          <w:rtl/>
        </w:rPr>
        <w:t>و</w:t>
      </w:r>
      <w:r w:rsidRPr="00544A36">
        <w:rPr>
          <w:rFonts w:hint="cs"/>
          <w:rtl/>
        </w:rPr>
        <w:t xml:space="preserve">ن </w:t>
      </w:r>
      <w:r>
        <w:rPr>
          <w:rFonts w:hint="cs"/>
          <w:rtl/>
        </w:rPr>
        <w:t>إلى القول بأ</w:t>
      </w:r>
      <w:r w:rsidRPr="00544A36">
        <w:rPr>
          <w:rFonts w:hint="cs"/>
          <w:rtl/>
        </w:rPr>
        <w:t>ن</w:t>
      </w:r>
      <w:r>
        <w:rPr>
          <w:rFonts w:hint="cs"/>
          <w:rtl/>
        </w:rPr>
        <w:t>ّ</w:t>
      </w:r>
      <w:r w:rsidRPr="00544A36">
        <w:rPr>
          <w:rFonts w:hint="cs"/>
          <w:rtl/>
        </w:rPr>
        <w:t xml:space="preserve"> دين ال</w:t>
      </w:r>
      <w:r>
        <w:rPr>
          <w:rFonts w:hint="cs"/>
          <w:rtl/>
        </w:rPr>
        <w:t>إسلام</w:t>
      </w:r>
      <w:r w:rsidRPr="00544A36">
        <w:rPr>
          <w:rFonts w:hint="cs"/>
          <w:rtl/>
        </w:rPr>
        <w:t xml:space="preserve"> دين</w:t>
      </w:r>
      <w:r>
        <w:rPr>
          <w:rFonts w:hint="cs"/>
          <w:rtl/>
        </w:rPr>
        <w:t>ٌ</w:t>
      </w:r>
      <w:r w:rsidRPr="00544A36">
        <w:rPr>
          <w:rFonts w:hint="cs"/>
          <w:rtl/>
        </w:rPr>
        <w:t xml:space="preserve"> سياسي و</w:t>
      </w:r>
      <w:r>
        <w:rPr>
          <w:rFonts w:hint="cs"/>
          <w:rtl/>
        </w:rPr>
        <w:t>اجتماعي، وهذا يعني أ</w:t>
      </w:r>
      <w:r w:rsidRPr="00544A36">
        <w:rPr>
          <w:rFonts w:hint="cs"/>
          <w:rtl/>
        </w:rPr>
        <w:t>ن</w:t>
      </w:r>
      <w:r>
        <w:rPr>
          <w:rFonts w:hint="cs"/>
          <w:rtl/>
        </w:rPr>
        <w:t>ّ</w:t>
      </w:r>
      <w:r w:rsidRPr="00544A36">
        <w:rPr>
          <w:rFonts w:hint="cs"/>
          <w:rtl/>
        </w:rPr>
        <w:t xml:space="preserve"> ال</w:t>
      </w:r>
      <w:r>
        <w:rPr>
          <w:rFonts w:hint="cs"/>
          <w:rtl/>
        </w:rPr>
        <w:t>أحكام</w:t>
      </w:r>
      <w:r w:rsidRPr="00544A36">
        <w:rPr>
          <w:rFonts w:hint="cs"/>
          <w:rtl/>
        </w:rPr>
        <w:t xml:space="preserve"> الدينية </w:t>
      </w:r>
      <w:r>
        <w:rPr>
          <w:rFonts w:hint="cs"/>
          <w:rtl/>
        </w:rPr>
        <w:t xml:space="preserve">في حقيقتها أحكامٌ </w:t>
      </w:r>
      <w:r w:rsidRPr="00544A36">
        <w:rPr>
          <w:rFonts w:hint="cs"/>
          <w:rtl/>
        </w:rPr>
        <w:t xml:space="preserve">سياسية </w:t>
      </w:r>
      <w:r>
        <w:rPr>
          <w:rFonts w:hint="cs"/>
          <w:rtl/>
        </w:rPr>
        <w:t>ـ اجتماع</w:t>
      </w:r>
      <w:r w:rsidRPr="00544A36">
        <w:rPr>
          <w:rFonts w:hint="cs"/>
          <w:rtl/>
        </w:rPr>
        <w:t>ية، والسياسة وال</w:t>
      </w:r>
      <w:r>
        <w:rPr>
          <w:rFonts w:hint="cs"/>
          <w:rtl/>
        </w:rPr>
        <w:t>اجتماع</w:t>
      </w:r>
      <w:r w:rsidRPr="00544A36">
        <w:rPr>
          <w:rFonts w:hint="cs"/>
          <w:rtl/>
        </w:rPr>
        <w:t xml:space="preserve"> في حقيقتهما عنصران متحو</w:t>
      </w:r>
      <w:r>
        <w:rPr>
          <w:rFonts w:hint="cs"/>
          <w:rtl/>
        </w:rPr>
        <w:t>ّ</w:t>
      </w:r>
      <w:r w:rsidRPr="00544A36">
        <w:rPr>
          <w:rFonts w:hint="cs"/>
          <w:rtl/>
        </w:rPr>
        <w:t>لان متغي</w:t>
      </w:r>
      <w:r>
        <w:rPr>
          <w:rFonts w:hint="cs"/>
          <w:rtl/>
        </w:rPr>
        <w:t>ّ</w:t>
      </w:r>
      <w:r w:rsidRPr="00544A36">
        <w:rPr>
          <w:rFonts w:hint="cs"/>
          <w:rtl/>
        </w:rPr>
        <w:t>ران، و</w:t>
      </w:r>
      <w:r>
        <w:rPr>
          <w:rFonts w:hint="cs"/>
          <w:rtl/>
        </w:rPr>
        <w:t xml:space="preserve">سبب </w:t>
      </w:r>
      <w:r w:rsidRPr="00544A36">
        <w:rPr>
          <w:rFonts w:hint="cs"/>
          <w:rtl/>
        </w:rPr>
        <w:t>هذه ال</w:t>
      </w:r>
      <w:r>
        <w:rPr>
          <w:rFonts w:hint="cs"/>
          <w:rtl/>
        </w:rPr>
        <w:t>صيرورة</w:t>
      </w:r>
      <w:r w:rsidRPr="00544A36">
        <w:rPr>
          <w:rFonts w:hint="cs"/>
          <w:rtl/>
        </w:rPr>
        <w:t xml:space="preserve"> السياسي</w:t>
      </w:r>
      <w:r>
        <w:rPr>
          <w:rFonts w:hint="cs"/>
          <w:rtl/>
        </w:rPr>
        <w:t>ّ</w:t>
      </w:r>
      <w:r w:rsidRPr="00544A36">
        <w:rPr>
          <w:rFonts w:hint="cs"/>
          <w:rtl/>
        </w:rPr>
        <w:t>ة وال</w:t>
      </w:r>
      <w:r>
        <w:rPr>
          <w:rFonts w:hint="cs"/>
          <w:rtl/>
        </w:rPr>
        <w:t>اجتماع</w:t>
      </w:r>
      <w:r w:rsidRPr="00544A36">
        <w:rPr>
          <w:rFonts w:hint="cs"/>
          <w:rtl/>
        </w:rPr>
        <w:t>ية تغي</w:t>
      </w:r>
      <w:r>
        <w:rPr>
          <w:rFonts w:hint="cs"/>
          <w:rtl/>
        </w:rPr>
        <w:t>ّر الظروف الحياتية</w:t>
      </w:r>
      <w:r w:rsidRPr="00544A36">
        <w:rPr>
          <w:rFonts w:hint="cs"/>
          <w:rtl/>
        </w:rPr>
        <w:t xml:space="preserve"> التي ترجع</w:t>
      </w:r>
      <w:r>
        <w:rPr>
          <w:rFonts w:hint="cs"/>
          <w:rtl/>
        </w:rPr>
        <w:t xml:space="preserve"> إلى تغيّر معرفة الإنسان بالإنسان،</w:t>
      </w:r>
      <w:r w:rsidRPr="00544A36">
        <w:rPr>
          <w:rFonts w:hint="cs"/>
          <w:rtl/>
        </w:rPr>
        <w:t xml:space="preserve"> وتغيّر معرفته بالواقع </w:t>
      </w:r>
      <w:r>
        <w:rPr>
          <w:rFonts w:hint="cs"/>
          <w:rtl/>
        </w:rPr>
        <w:t>الخارجي والطبيعة والتاريخ وغيره.</w:t>
      </w:r>
    </w:p>
    <w:p w:rsidR="00BA281B" w:rsidRDefault="00BA281B" w:rsidP="00BA281B">
      <w:pPr>
        <w:pStyle w:val="ac"/>
        <w:rPr>
          <w:rtl/>
        </w:rPr>
      </w:pPr>
      <w:r>
        <w:rPr>
          <w:rFonts w:hint="cs"/>
          <w:rtl/>
        </w:rPr>
        <w:t>إ</w:t>
      </w:r>
      <w:r w:rsidRPr="00544A36">
        <w:rPr>
          <w:rFonts w:hint="cs"/>
          <w:rtl/>
        </w:rPr>
        <w:t>ن</w:t>
      </w:r>
      <w:r>
        <w:rPr>
          <w:rFonts w:hint="cs"/>
          <w:rtl/>
        </w:rPr>
        <w:t>ّ</w:t>
      </w:r>
      <w:r w:rsidRPr="00544A36">
        <w:rPr>
          <w:rFonts w:hint="cs"/>
          <w:rtl/>
        </w:rPr>
        <w:t xml:space="preserve"> ملاحظة جميع ما ذكرناه يشهد على كون مقولة (الحقوق) من المقولات السيّالة </w:t>
      </w:r>
      <w:r>
        <w:rPr>
          <w:rFonts w:hint="cs"/>
          <w:rtl/>
        </w:rPr>
        <w:lastRenderedPageBreak/>
        <w:t>المتغيرة،</w:t>
      </w:r>
      <w:r w:rsidRPr="00544A36">
        <w:rPr>
          <w:rFonts w:hint="cs"/>
          <w:rtl/>
        </w:rPr>
        <w:t xml:space="preserve"> </w:t>
      </w:r>
      <w:r>
        <w:rPr>
          <w:rFonts w:hint="cs"/>
          <w:rtl/>
        </w:rPr>
        <w:t>فمن بديهيّات</w:t>
      </w:r>
      <w:r w:rsidRPr="00544A36">
        <w:rPr>
          <w:rFonts w:hint="cs"/>
          <w:rtl/>
        </w:rPr>
        <w:t xml:space="preserve"> علم الحقوق اليوم كون </w:t>
      </w:r>
      <w:r>
        <w:rPr>
          <w:rFonts w:hint="cs"/>
          <w:rtl/>
        </w:rPr>
        <w:t>القوانين</w:t>
      </w:r>
      <w:r w:rsidRPr="00544A36">
        <w:rPr>
          <w:rFonts w:hint="cs"/>
          <w:rtl/>
        </w:rPr>
        <w:t xml:space="preserve"> سيّالة</w:t>
      </w:r>
      <w:r>
        <w:rPr>
          <w:rFonts w:hint="cs"/>
          <w:rtl/>
        </w:rPr>
        <w:t>ً</w:t>
      </w:r>
      <w:r w:rsidRPr="00544A36">
        <w:rPr>
          <w:rFonts w:hint="cs"/>
          <w:rtl/>
        </w:rPr>
        <w:t xml:space="preserve"> </w:t>
      </w:r>
      <w:r>
        <w:rPr>
          <w:rFonts w:hint="cs"/>
          <w:rtl/>
        </w:rPr>
        <w:t>خاضعة للظروف الحياتية،</w:t>
      </w:r>
      <w:r w:rsidRPr="00544A36">
        <w:rPr>
          <w:rFonts w:hint="cs"/>
          <w:rtl/>
        </w:rPr>
        <w:t xml:space="preserve"> ومتى سلّمنا ب</w:t>
      </w:r>
      <w:r>
        <w:rPr>
          <w:rFonts w:hint="cs"/>
          <w:rtl/>
        </w:rPr>
        <w:t>ذلك</w:t>
      </w:r>
      <w:r w:rsidRPr="00544A36">
        <w:rPr>
          <w:rFonts w:hint="cs"/>
          <w:rtl/>
        </w:rPr>
        <w:t xml:space="preserve"> فلا فرق حينئذ</w:t>
      </w:r>
      <w:r>
        <w:rPr>
          <w:rFonts w:hint="cs"/>
          <w:rtl/>
        </w:rPr>
        <w:t>ٍ</w:t>
      </w:r>
      <w:r w:rsidRPr="00544A36">
        <w:rPr>
          <w:rFonts w:hint="cs"/>
          <w:rtl/>
        </w:rPr>
        <w:t xml:space="preserve"> بين كون</w:t>
      </w:r>
      <w:r>
        <w:rPr>
          <w:rFonts w:hint="cs"/>
          <w:rtl/>
        </w:rPr>
        <w:t>ها</w:t>
      </w:r>
      <w:r w:rsidRPr="00544A36">
        <w:rPr>
          <w:rFonts w:hint="cs"/>
          <w:rtl/>
        </w:rPr>
        <w:t xml:space="preserve"> دينية</w:t>
      </w:r>
      <w:r>
        <w:rPr>
          <w:rFonts w:hint="cs"/>
          <w:rtl/>
        </w:rPr>
        <w:t xml:space="preserve">ً أو </w:t>
      </w:r>
      <w:r w:rsidRPr="00544A36">
        <w:rPr>
          <w:rFonts w:hint="cs"/>
          <w:rtl/>
        </w:rPr>
        <w:t>غير دينية، فجميع ال</w:t>
      </w:r>
      <w:r>
        <w:rPr>
          <w:rFonts w:hint="cs"/>
          <w:rtl/>
        </w:rPr>
        <w:t>أحكام</w:t>
      </w:r>
      <w:r w:rsidRPr="00544A36">
        <w:rPr>
          <w:rFonts w:hint="cs"/>
          <w:rtl/>
        </w:rPr>
        <w:t xml:space="preserve"> المترتبة على ال</w:t>
      </w:r>
      <w:r>
        <w:rPr>
          <w:rFonts w:hint="cs"/>
          <w:rtl/>
        </w:rPr>
        <w:t xml:space="preserve">قوانين </w:t>
      </w:r>
      <w:r w:rsidRPr="00544A36">
        <w:rPr>
          <w:rFonts w:hint="cs"/>
          <w:rtl/>
        </w:rPr>
        <w:t>غير الدينية تترت</w:t>
      </w:r>
      <w:r>
        <w:rPr>
          <w:rFonts w:hint="cs"/>
          <w:rtl/>
        </w:rPr>
        <w:t>ّب على الدينية منها،</w:t>
      </w:r>
      <w:r w:rsidRPr="00544A36">
        <w:rPr>
          <w:rFonts w:hint="cs"/>
          <w:rtl/>
        </w:rPr>
        <w:t xml:space="preserve"> وه</w:t>
      </w:r>
      <w:r>
        <w:rPr>
          <w:rFonts w:hint="cs"/>
          <w:rtl/>
        </w:rPr>
        <w:t>و</w:t>
      </w:r>
      <w:r w:rsidRPr="00544A36">
        <w:rPr>
          <w:rFonts w:hint="cs"/>
          <w:rtl/>
        </w:rPr>
        <w:t xml:space="preserve"> </w:t>
      </w:r>
      <w:r>
        <w:rPr>
          <w:rFonts w:hint="cs"/>
          <w:rtl/>
        </w:rPr>
        <w:t>ما ي</w:t>
      </w:r>
      <w:r w:rsidRPr="00544A36">
        <w:rPr>
          <w:rFonts w:hint="cs"/>
          <w:rtl/>
        </w:rPr>
        <w:t>شبه الفلسفة</w:t>
      </w:r>
      <w:r>
        <w:rPr>
          <w:rFonts w:hint="cs"/>
          <w:rtl/>
        </w:rPr>
        <w:t>؛ فإننا إ</w:t>
      </w:r>
      <w:r w:rsidRPr="00544A36">
        <w:rPr>
          <w:rFonts w:hint="cs"/>
          <w:rtl/>
        </w:rPr>
        <w:t>ذا جعلنا للفلسفة خصوصي</w:t>
      </w:r>
      <w:r>
        <w:rPr>
          <w:rFonts w:hint="cs"/>
          <w:rtl/>
        </w:rPr>
        <w:t>ّ</w:t>
      </w:r>
      <w:r w:rsidRPr="00544A36">
        <w:rPr>
          <w:rFonts w:hint="cs"/>
          <w:rtl/>
        </w:rPr>
        <w:t xml:space="preserve">ات </w:t>
      </w:r>
      <w:r>
        <w:rPr>
          <w:rFonts w:hint="cs"/>
          <w:rtl/>
        </w:rPr>
        <w:t>تمثل ماهيّتها، فلن يكون في ذلك فرق</w:t>
      </w:r>
      <w:r w:rsidRPr="00544A36">
        <w:rPr>
          <w:rFonts w:hint="cs"/>
          <w:rtl/>
        </w:rPr>
        <w:t xml:space="preserve"> بين الفلسفة الدينية وغيرها، </w:t>
      </w:r>
      <w:r>
        <w:rPr>
          <w:rFonts w:hint="cs"/>
          <w:rtl/>
        </w:rPr>
        <w:t xml:space="preserve">ومعه </w:t>
      </w:r>
      <w:r w:rsidRPr="00544A36">
        <w:rPr>
          <w:rFonts w:hint="cs"/>
          <w:rtl/>
        </w:rPr>
        <w:t>لابد</w:t>
      </w:r>
      <w:r>
        <w:rPr>
          <w:rFonts w:hint="cs"/>
          <w:rtl/>
        </w:rPr>
        <w:t>ّ</w:t>
      </w:r>
      <w:r w:rsidRPr="00544A36">
        <w:rPr>
          <w:rFonts w:hint="cs"/>
          <w:rtl/>
        </w:rPr>
        <w:t xml:space="preserve"> للفلسفة الدينية من </w:t>
      </w:r>
      <w:r>
        <w:rPr>
          <w:rFonts w:hint="cs"/>
          <w:rtl/>
        </w:rPr>
        <w:t>أ</w:t>
      </w:r>
      <w:r w:rsidRPr="00544A36">
        <w:rPr>
          <w:rFonts w:hint="cs"/>
          <w:rtl/>
        </w:rPr>
        <w:t>ن تشتمل هذه الخصوصيات</w:t>
      </w:r>
      <w:r>
        <w:rPr>
          <w:rFonts w:hint="cs"/>
          <w:rtl/>
        </w:rPr>
        <w:t xml:space="preserve"> أيضاً؛</w:t>
      </w:r>
      <w:r w:rsidRPr="00544A36">
        <w:rPr>
          <w:rFonts w:hint="cs"/>
          <w:rtl/>
        </w:rPr>
        <w:t xml:space="preserve"> ولذا فمن يذهب</w:t>
      </w:r>
      <w:r>
        <w:rPr>
          <w:rFonts w:hint="cs"/>
          <w:rtl/>
        </w:rPr>
        <w:t xml:space="preserve"> إلى </w:t>
      </w:r>
      <w:r w:rsidRPr="00544A36">
        <w:rPr>
          <w:rFonts w:hint="cs"/>
          <w:rtl/>
        </w:rPr>
        <w:t xml:space="preserve">كون الحقوق </w:t>
      </w:r>
      <w:r>
        <w:rPr>
          <w:rFonts w:hint="cs"/>
          <w:rtl/>
        </w:rPr>
        <w:t>والقوانين ـ الأ</w:t>
      </w:r>
      <w:r w:rsidRPr="00544A36">
        <w:rPr>
          <w:rFonts w:hint="cs"/>
          <w:rtl/>
        </w:rPr>
        <w:t xml:space="preserve">عم من حقوق المرأة، </w:t>
      </w:r>
      <w:r>
        <w:rPr>
          <w:rFonts w:hint="cs"/>
          <w:rtl/>
        </w:rPr>
        <w:t>و</w:t>
      </w:r>
      <w:r w:rsidRPr="00544A36">
        <w:rPr>
          <w:rFonts w:hint="cs"/>
          <w:rtl/>
        </w:rPr>
        <w:t xml:space="preserve">الرجل، </w:t>
      </w:r>
      <w:r>
        <w:rPr>
          <w:rFonts w:hint="cs"/>
          <w:rtl/>
        </w:rPr>
        <w:t>و</w:t>
      </w:r>
      <w:r w:rsidRPr="00544A36">
        <w:rPr>
          <w:rFonts w:hint="cs"/>
          <w:rtl/>
        </w:rPr>
        <w:t xml:space="preserve">الحقوق التجارية و.. </w:t>
      </w:r>
      <w:r>
        <w:rPr>
          <w:rFonts w:hint="cs"/>
          <w:rtl/>
        </w:rPr>
        <w:t xml:space="preserve">ـ </w:t>
      </w:r>
      <w:r w:rsidRPr="00544A36">
        <w:rPr>
          <w:rFonts w:hint="cs"/>
          <w:rtl/>
        </w:rPr>
        <w:t>ثابتة</w:t>
      </w:r>
      <w:r>
        <w:rPr>
          <w:rFonts w:hint="cs"/>
          <w:rtl/>
        </w:rPr>
        <w:t>ً غير سيّالة وأ</w:t>
      </w:r>
      <w:r w:rsidRPr="00544A36">
        <w:rPr>
          <w:rFonts w:hint="cs"/>
          <w:rtl/>
        </w:rPr>
        <w:t>بدية</w:t>
      </w:r>
      <w:r>
        <w:rPr>
          <w:rFonts w:hint="cs"/>
          <w:rtl/>
        </w:rPr>
        <w:t xml:space="preserve"> غير متغيّرة</w:t>
      </w:r>
      <w:r w:rsidRPr="00544A36">
        <w:rPr>
          <w:rFonts w:hint="cs"/>
          <w:rtl/>
        </w:rPr>
        <w:t>، لا يملك اطلاعا</w:t>
      </w:r>
      <w:r>
        <w:rPr>
          <w:rFonts w:hint="cs"/>
          <w:rtl/>
        </w:rPr>
        <w:t>ً</w:t>
      </w:r>
      <w:r w:rsidRPr="00544A36">
        <w:rPr>
          <w:rFonts w:hint="cs"/>
          <w:rtl/>
        </w:rPr>
        <w:t xml:space="preserve"> حقيقي</w:t>
      </w:r>
      <w:r>
        <w:rPr>
          <w:rFonts w:hint="cs"/>
          <w:rtl/>
        </w:rPr>
        <w:t>ّ</w:t>
      </w:r>
      <w:r w:rsidRPr="00544A36">
        <w:rPr>
          <w:rFonts w:hint="cs"/>
          <w:rtl/>
        </w:rPr>
        <w:t>ا</w:t>
      </w:r>
      <w:r>
        <w:rPr>
          <w:rFonts w:hint="cs"/>
          <w:rtl/>
        </w:rPr>
        <w:t>ً</w:t>
      </w:r>
      <w:r w:rsidRPr="00544A36">
        <w:rPr>
          <w:rFonts w:hint="cs"/>
          <w:rtl/>
        </w:rPr>
        <w:t xml:space="preserve"> على ماهي</w:t>
      </w:r>
      <w:r>
        <w:rPr>
          <w:rFonts w:hint="cs"/>
          <w:rtl/>
        </w:rPr>
        <w:t>ّ</w:t>
      </w:r>
      <w:r w:rsidRPr="00544A36">
        <w:rPr>
          <w:rFonts w:hint="cs"/>
          <w:rtl/>
        </w:rPr>
        <w:t>ة علم الحقوق</w:t>
      </w:r>
      <w:r>
        <w:rPr>
          <w:rFonts w:hint="cs"/>
          <w:rtl/>
        </w:rPr>
        <w:t xml:space="preserve"> والقانون.</w:t>
      </w:r>
    </w:p>
    <w:p w:rsidR="00BA281B" w:rsidRDefault="00BA281B" w:rsidP="00BA281B">
      <w:pPr>
        <w:pStyle w:val="ac"/>
      </w:pPr>
      <w:r>
        <w:rPr>
          <w:rFonts w:hint="cs"/>
          <w:rtl/>
        </w:rPr>
        <w:t>إ</w:t>
      </w:r>
      <w:r w:rsidRPr="00544A36">
        <w:rPr>
          <w:rFonts w:hint="cs"/>
          <w:rtl/>
        </w:rPr>
        <w:t>ن</w:t>
      </w:r>
      <w:r>
        <w:rPr>
          <w:rFonts w:hint="cs"/>
          <w:rtl/>
        </w:rPr>
        <w:t>ّ</w:t>
      </w:r>
      <w:r w:rsidRPr="00544A36">
        <w:rPr>
          <w:rFonts w:hint="cs"/>
          <w:rtl/>
        </w:rPr>
        <w:t xml:space="preserve">ني </w:t>
      </w:r>
      <w:r>
        <w:rPr>
          <w:rFonts w:hint="cs"/>
          <w:rtl/>
        </w:rPr>
        <w:t>أ</w:t>
      </w:r>
      <w:r w:rsidRPr="00544A36">
        <w:rPr>
          <w:rFonts w:hint="cs"/>
          <w:rtl/>
        </w:rPr>
        <w:t xml:space="preserve">رى في الحقوق </w:t>
      </w:r>
      <w:r>
        <w:rPr>
          <w:rFonts w:hint="cs"/>
          <w:rtl/>
        </w:rPr>
        <w:t xml:space="preserve">والقوانين </w:t>
      </w:r>
      <w:r w:rsidRPr="00544A36">
        <w:rPr>
          <w:rFonts w:hint="cs"/>
          <w:rtl/>
        </w:rPr>
        <w:t>الحد</w:t>
      </w:r>
      <w:r>
        <w:rPr>
          <w:rFonts w:hint="cs"/>
          <w:rtl/>
        </w:rPr>
        <w:t>ّ الأدنى</w:t>
      </w:r>
      <w:r w:rsidRPr="00544A36">
        <w:rPr>
          <w:rFonts w:hint="cs"/>
          <w:rtl/>
        </w:rPr>
        <w:t xml:space="preserve"> من ال</w:t>
      </w:r>
      <w:r>
        <w:rPr>
          <w:rFonts w:hint="cs"/>
          <w:rtl/>
        </w:rPr>
        <w:t>أخلاق</w:t>
      </w:r>
      <w:r w:rsidRPr="00544A36">
        <w:rPr>
          <w:rFonts w:hint="cs"/>
          <w:rtl/>
        </w:rPr>
        <w:t xml:space="preserve"> التي يراها المجتمع لازمة</w:t>
      </w:r>
      <w:r>
        <w:rPr>
          <w:rFonts w:hint="cs"/>
          <w:rtl/>
        </w:rPr>
        <w:t>ً لتحسين العلاقات الإنسان</w:t>
      </w:r>
      <w:r w:rsidRPr="00544A36">
        <w:rPr>
          <w:rFonts w:hint="cs"/>
          <w:rtl/>
        </w:rPr>
        <w:t>ية، ف</w:t>
      </w:r>
      <w:r>
        <w:rPr>
          <w:rFonts w:hint="cs"/>
          <w:rtl/>
        </w:rPr>
        <w:t>القوانين</w:t>
      </w:r>
      <w:r w:rsidRPr="00544A36">
        <w:rPr>
          <w:rFonts w:hint="cs"/>
          <w:rtl/>
        </w:rPr>
        <w:t xml:space="preserve"> محض </w:t>
      </w:r>
      <w:r>
        <w:rPr>
          <w:rFonts w:hint="cs"/>
          <w:rtl/>
        </w:rPr>
        <w:t>أحكام</w:t>
      </w:r>
      <w:r w:rsidRPr="00544A36">
        <w:rPr>
          <w:rFonts w:hint="cs"/>
          <w:rtl/>
        </w:rPr>
        <w:t xml:space="preserve"> تنظيمية تتضم</w:t>
      </w:r>
      <w:r>
        <w:rPr>
          <w:rFonts w:hint="cs"/>
          <w:rtl/>
        </w:rPr>
        <w:t>ّ</w:t>
      </w:r>
      <w:r w:rsidRPr="00544A36">
        <w:rPr>
          <w:rFonts w:hint="cs"/>
          <w:rtl/>
        </w:rPr>
        <w:t>ن الحد</w:t>
      </w:r>
      <w:r>
        <w:rPr>
          <w:rFonts w:hint="cs"/>
          <w:rtl/>
        </w:rPr>
        <w:t>ّ الأدنى</w:t>
      </w:r>
      <w:r w:rsidRPr="00544A36">
        <w:rPr>
          <w:rFonts w:hint="cs"/>
          <w:rtl/>
        </w:rPr>
        <w:t xml:space="preserve"> من ال</w:t>
      </w:r>
      <w:r>
        <w:rPr>
          <w:rFonts w:hint="cs"/>
          <w:rtl/>
        </w:rPr>
        <w:t>أخلاق</w:t>
      </w:r>
      <w:r w:rsidRPr="00544A36">
        <w:rPr>
          <w:rFonts w:hint="cs"/>
          <w:rtl/>
        </w:rPr>
        <w:t xml:space="preserve"> ال</w:t>
      </w:r>
      <w:r>
        <w:rPr>
          <w:rFonts w:hint="cs"/>
          <w:rtl/>
        </w:rPr>
        <w:t>اجتماع</w:t>
      </w:r>
      <w:r w:rsidRPr="00544A36">
        <w:rPr>
          <w:rFonts w:hint="cs"/>
          <w:rtl/>
        </w:rPr>
        <w:t>ية</w:t>
      </w:r>
      <w:r>
        <w:rPr>
          <w:rFonts w:hint="cs"/>
          <w:rtl/>
        </w:rPr>
        <w:t>،</w:t>
      </w:r>
      <w:r w:rsidRPr="00544A36">
        <w:rPr>
          <w:rFonts w:hint="cs"/>
          <w:rtl/>
        </w:rPr>
        <w:t xml:space="preserve"> وتعمل على المحافظة عليها، وه</w:t>
      </w:r>
      <w:r>
        <w:rPr>
          <w:rFonts w:hint="cs"/>
          <w:rtl/>
        </w:rPr>
        <w:t>ي</w:t>
      </w:r>
      <w:r w:rsidRPr="00544A36">
        <w:rPr>
          <w:rFonts w:hint="cs"/>
          <w:rtl/>
        </w:rPr>
        <w:t xml:space="preserve"> </w:t>
      </w:r>
      <w:r>
        <w:rPr>
          <w:rFonts w:hint="cs"/>
          <w:rtl/>
        </w:rPr>
        <w:t>قوانين اجتماع</w:t>
      </w:r>
      <w:r w:rsidRPr="00544A36">
        <w:rPr>
          <w:rFonts w:hint="cs"/>
          <w:rtl/>
        </w:rPr>
        <w:t xml:space="preserve">ية </w:t>
      </w:r>
      <w:r>
        <w:rPr>
          <w:rFonts w:hint="cs"/>
          <w:rtl/>
        </w:rPr>
        <w:t>بامتياز</w:t>
      </w:r>
      <w:r w:rsidRPr="00544A36">
        <w:rPr>
          <w:rFonts w:hint="cs"/>
          <w:rtl/>
        </w:rPr>
        <w:t>، وفي اللحظة التي تصبح فردية</w:t>
      </w:r>
      <w:r>
        <w:rPr>
          <w:rFonts w:hint="cs"/>
          <w:rtl/>
        </w:rPr>
        <w:t>ً لا يمكن تسميتها بالحقوق؛ لأ</w:t>
      </w:r>
      <w:r w:rsidRPr="00544A36">
        <w:rPr>
          <w:rFonts w:hint="cs"/>
          <w:rtl/>
        </w:rPr>
        <w:t>نها تدخل حيّز ال</w:t>
      </w:r>
      <w:r>
        <w:rPr>
          <w:rFonts w:hint="cs"/>
          <w:rtl/>
        </w:rPr>
        <w:t>أخلاق</w:t>
      </w:r>
      <w:r w:rsidRPr="00544A36">
        <w:rPr>
          <w:rFonts w:hint="cs"/>
          <w:rtl/>
        </w:rPr>
        <w:t xml:space="preserve">، والحقوق </w:t>
      </w:r>
      <w:r>
        <w:rPr>
          <w:rFonts w:hint="cs"/>
          <w:rtl/>
        </w:rPr>
        <w:t xml:space="preserve">والقوانين </w:t>
      </w:r>
      <w:r w:rsidRPr="00544A36">
        <w:rPr>
          <w:rFonts w:hint="cs"/>
          <w:rtl/>
        </w:rPr>
        <w:t>تبقى ما دامت تفي بالقدر اللازم من ال</w:t>
      </w:r>
      <w:r>
        <w:rPr>
          <w:rFonts w:hint="cs"/>
          <w:rtl/>
        </w:rPr>
        <w:t>أخلاق</w:t>
      </w:r>
      <w:r w:rsidRPr="00544A36">
        <w:rPr>
          <w:rFonts w:hint="cs"/>
          <w:rtl/>
        </w:rPr>
        <w:t xml:space="preserve"> التي انبعثت منها، ومتى لم تف</w:t>
      </w:r>
      <w:r>
        <w:rPr>
          <w:rFonts w:hint="cs"/>
          <w:rtl/>
        </w:rPr>
        <w:t>ِ</w:t>
      </w:r>
      <w:r w:rsidRPr="00544A36">
        <w:rPr>
          <w:rFonts w:hint="cs"/>
          <w:rtl/>
        </w:rPr>
        <w:t xml:space="preserve"> بذلك فهذا يعني زوال</w:t>
      </w:r>
      <w:r>
        <w:rPr>
          <w:rFonts w:hint="cs"/>
          <w:rtl/>
        </w:rPr>
        <w:t>ها</w:t>
      </w:r>
      <w:r w:rsidRPr="00544A36">
        <w:rPr>
          <w:rFonts w:hint="cs"/>
          <w:rtl/>
        </w:rPr>
        <w:t xml:space="preserve"> لا زوال ال</w:t>
      </w:r>
      <w:r>
        <w:rPr>
          <w:rFonts w:hint="cs"/>
          <w:rtl/>
        </w:rPr>
        <w:t>أخلاق.</w:t>
      </w:r>
    </w:p>
    <w:p w:rsidR="00BA281B" w:rsidRDefault="00BA281B" w:rsidP="001C51A4">
      <w:pPr>
        <w:pStyle w:val="afffffc"/>
        <w:rPr>
          <w:rtl/>
        </w:rPr>
      </w:pPr>
    </w:p>
    <w:p w:rsidR="00BA281B" w:rsidRPr="00D457EB" w:rsidRDefault="00BA281B" w:rsidP="00BA281B">
      <w:pPr>
        <w:pStyle w:val="1"/>
        <w:rPr>
          <w:rtl/>
        </w:rPr>
      </w:pPr>
      <w:bookmarkStart w:id="36" w:name="_Toc169521344"/>
      <w:bookmarkStart w:id="37" w:name="_Toc275127870"/>
      <w:r w:rsidRPr="00D457EB">
        <w:rPr>
          <w:rFonts w:hint="cs"/>
          <w:rtl/>
        </w:rPr>
        <w:t>قضايا المرأة</w:t>
      </w:r>
      <w:r>
        <w:rPr>
          <w:rFonts w:hint="cs"/>
          <w:rtl/>
        </w:rPr>
        <w:t xml:space="preserve"> وأسطرة المقولات الدينية</w:t>
      </w:r>
      <w:bookmarkEnd w:id="36"/>
      <w:bookmarkEnd w:id="37"/>
    </w:p>
    <w:p w:rsidR="00BA281B" w:rsidRPr="00BA281B" w:rsidRDefault="00AC202B" w:rsidP="00BA281B">
      <w:pPr>
        <w:pStyle w:val="ac"/>
        <w:rPr>
          <w:rFonts w:cs="Abz-1 (Lotus)"/>
          <w:b/>
          <w:bCs/>
          <w:szCs w:val="29"/>
          <w:rtl/>
        </w:rPr>
      </w:pPr>
      <w:r w:rsidRPr="00AC202B">
        <w:rPr>
          <w:rFonts w:hint="cs"/>
        </w:rPr>
        <w:sym w:font="AGA Arabesque" w:char="F05F"/>
      </w:r>
      <w:r w:rsidRPr="00AC202B">
        <w:rPr>
          <w:rFonts w:hint="cs"/>
          <w:rtl/>
        </w:rPr>
        <w:t xml:space="preserve"> </w:t>
      </w:r>
      <w:r w:rsidR="00BA281B" w:rsidRPr="00BA281B">
        <w:rPr>
          <w:rFonts w:hint="cs"/>
          <w:b/>
          <w:bCs/>
          <w:rtl/>
        </w:rPr>
        <w:t>إذا أردنا تطبيق هذه المنهجية المستخدمة في علم القانون على قضايا المرأة وحقوقها، فما هي النتيجة المتوقّعة؟</w:t>
      </w:r>
    </w:p>
    <w:p w:rsidR="00BA281B" w:rsidRDefault="00AC202B" w:rsidP="00BA281B">
      <w:pPr>
        <w:pStyle w:val="ac"/>
        <w:rPr>
          <w:rtl/>
        </w:rPr>
      </w:pPr>
      <w:r w:rsidRPr="00AC202B">
        <w:rPr>
          <w:rFonts w:hint="cs"/>
        </w:rPr>
        <w:sym w:font="AGA Arabesque" w:char="F05E"/>
      </w:r>
      <w:r w:rsidRPr="00AC202B">
        <w:rPr>
          <w:rFonts w:hint="cs"/>
          <w:rtl/>
        </w:rPr>
        <w:t xml:space="preserve"> </w:t>
      </w:r>
      <w:r w:rsidR="00BA281B">
        <w:rPr>
          <w:rFonts w:hint="cs"/>
          <w:rtl/>
        </w:rPr>
        <w:t>تتعقّد</w:t>
      </w:r>
      <w:r w:rsidR="00BA281B" w:rsidRPr="00544A36">
        <w:rPr>
          <w:rFonts w:hint="cs"/>
          <w:rtl/>
        </w:rPr>
        <w:t xml:space="preserve"> المسألة </w:t>
      </w:r>
      <w:r w:rsidR="00BA281B">
        <w:rPr>
          <w:rFonts w:hint="cs"/>
          <w:rtl/>
        </w:rPr>
        <w:t xml:space="preserve">أكثر </w:t>
      </w:r>
      <w:r w:rsidR="00BA281B" w:rsidRPr="00544A36">
        <w:rPr>
          <w:rFonts w:hint="cs"/>
          <w:rtl/>
        </w:rPr>
        <w:t>متى وصلت</w:t>
      </w:r>
      <w:r w:rsidR="00BA281B">
        <w:rPr>
          <w:rFonts w:hint="cs"/>
          <w:rtl/>
        </w:rPr>
        <w:t xml:space="preserve"> إلى </w:t>
      </w:r>
      <w:r w:rsidR="00BA281B" w:rsidRPr="00544A36">
        <w:rPr>
          <w:rFonts w:hint="cs"/>
          <w:rtl/>
        </w:rPr>
        <w:t>حقوق</w:t>
      </w:r>
      <w:r w:rsidR="00BA281B">
        <w:rPr>
          <w:rFonts w:hint="cs"/>
          <w:rtl/>
        </w:rPr>
        <w:t xml:space="preserve"> المرأة؛ إ</w:t>
      </w:r>
      <w:r w:rsidR="00BA281B" w:rsidRPr="00544A36">
        <w:rPr>
          <w:rFonts w:hint="cs"/>
          <w:rtl/>
        </w:rPr>
        <w:t>ذ تنشأ لدينا مشكلة الرؤية التاريخية للبشر ح</w:t>
      </w:r>
      <w:r w:rsidR="00BA281B">
        <w:rPr>
          <w:rFonts w:hint="cs"/>
          <w:rtl/>
        </w:rPr>
        <w:t>ول المرأة، وبحسب عقيدتي فإن</w:t>
      </w:r>
      <w:r w:rsidR="00BA281B" w:rsidRPr="00544A36">
        <w:rPr>
          <w:rFonts w:hint="cs"/>
          <w:rtl/>
        </w:rPr>
        <w:t xml:space="preserve"> المناهج الفكرية القديمة </w:t>
      </w:r>
      <w:r w:rsidR="00BA281B">
        <w:rPr>
          <w:rFonts w:hint="cs"/>
          <w:rtl/>
        </w:rPr>
        <w:t xml:space="preserve">جميعها ـ </w:t>
      </w:r>
      <w:r w:rsidR="00BA281B" w:rsidRPr="00544A36">
        <w:rPr>
          <w:rFonts w:hint="cs"/>
          <w:rtl/>
        </w:rPr>
        <w:t xml:space="preserve">لا سيّما الدينية منها </w:t>
      </w:r>
      <w:r w:rsidR="00BA281B">
        <w:rPr>
          <w:rFonts w:hint="cs"/>
          <w:rtl/>
        </w:rPr>
        <w:t>ـ تختلط نظرتها للمرأة بالأ</w:t>
      </w:r>
      <w:r w:rsidR="00BA281B" w:rsidRPr="00544A36">
        <w:rPr>
          <w:rFonts w:hint="cs"/>
          <w:rtl/>
        </w:rPr>
        <w:t>سطورة، وح</w:t>
      </w:r>
      <w:r w:rsidR="00BA281B">
        <w:rPr>
          <w:rFonts w:hint="cs"/>
          <w:rtl/>
        </w:rPr>
        <w:t>ُ</w:t>
      </w:r>
      <w:r w:rsidR="00BA281B" w:rsidRPr="00544A36">
        <w:rPr>
          <w:rFonts w:hint="cs"/>
          <w:rtl/>
        </w:rPr>
        <w:t>كمنا هذا يسري</w:t>
      </w:r>
      <w:r w:rsidR="00BA281B">
        <w:rPr>
          <w:rFonts w:hint="cs"/>
          <w:rtl/>
        </w:rPr>
        <w:t xml:space="preserve"> إلى </w:t>
      </w:r>
      <w:r w:rsidR="00BA281B" w:rsidRPr="00544A36">
        <w:rPr>
          <w:rFonts w:hint="cs"/>
          <w:rtl/>
        </w:rPr>
        <w:t>تمام ال</w:t>
      </w:r>
      <w:r w:rsidR="00BA281B">
        <w:rPr>
          <w:rFonts w:hint="cs"/>
          <w:rtl/>
        </w:rPr>
        <w:t>أحكام</w:t>
      </w:r>
      <w:r w:rsidR="00BA281B" w:rsidRPr="00544A36">
        <w:rPr>
          <w:rFonts w:hint="cs"/>
          <w:rtl/>
        </w:rPr>
        <w:t xml:space="preserve"> الشرعية</w:t>
      </w:r>
      <w:r w:rsidR="00BA281B">
        <w:rPr>
          <w:rFonts w:hint="cs"/>
          <w:rtl/>
        </w:rPr>
        <w:t>،</w:t>
      </w:r>
      <w:r w:rsidR="00BA281B" w:rsidRPr="00544A36">
        <w:rPr>
          <w:rFonts w:hint="cs"/>
          <w:rtl/>
        </w:rPr>
        <w:t xml:space="preserve"> ومن جملتها ال</w:t>
      </w:r>
      <w:r w:rsidR="00BA281B">
        <w:rPr>
          <w:rFonts w:hint="cs"/>
          <w:rtl/>
        </w:rPr>
        <w:t>أحكام</w:t>
      </w:r>
      <w:r w:rsidR="00BA281B" w:rsidRPr="00544A36">
        <w:rPr>
          <w:rFonts w:hint="cs"/>
          <w:rtl/>
        </w:rPr>
        <w:t xml:space="preserve"> الراجعة لل</w:t>
      </w:r>
      <w:r w:rsidR="00BA281B">
        <w:rPr>
          <w:rFonts w:hint="cs"/>
          <w:rtl/>
        </w:rPr>
        <w:t>نساء.</w:t>
      </w:r>
    </w:p>
    <w:p w:rsidR="00BA281B" w:rsidRPr="00544A36" w:rsidRDefault="00BA281B" w:rsidP="00BA281B">
      <w:pPr>
        <w:pStyle w:val="ac"/>
        <w:rPr>
          <w:rtl/>
        </w:rPr>
      </w:pPr>
      <w:r>
        <w:rPr>
          <w:rFonts w:hint="cs"/>
          <w:rtl/>
        </w:rPr>
        <w:t xml:space="preserve">كلّما غدت القوانين </w:t>
      </w:r>
      <w:r w:rsidRPr="00544A36">
        <w:rPr>
          <w:rFonts w:hint="cs"/>
          <w:rtl/>
        </w:rPr>
        <w:t>أكثر عرفي</w:t>
      </w:r>
      <w:r>
        <w:rPr>
          <w:rFonts w:hint="cs"/>
          <w:rtl/>
        </w:rPr>
        <w:t>ّ</w:t>
      </w:r>
      <w:r w:rsidRPr="00544A36">
        <w:rPr>
          <w:rFonts w:hint="cs"/>
          <w:rtl/>
        </w:rPr>
        <w:t>ة</w:t>
      </w:r>
      <w:r>
        <w:rPr>
          <w:rFonts w:hint="cs"/>
          <w:rtl/>
        </w:rPr>
        <w:t>ً</w:t>
      </w:r>
      <w:r w:rsidRPr="00544A36">
        <w:rPr>
          <w:rFonts w:hint="cs"/>
          <w:rtl/>
        </w:rPr>
        <w:t xml:space="preserve"> اشتد</w:t>
      </w:r>
      <w:r>
        <w:rPr>
          <w:rFonts w:hint="cs"/>
          <w:rtl/>
        </w:rPr>
        <w:t>ّ بسبب ذلك التساؤل حول الجهة الأ</w:t>
      </w:r>
      <w:r w:rsidRPr="00544A36">
        <w:rPr>
          <w:rFonts w:hint="cs"/>
          <w:rtl/>
        </w:rPr>
        <w:t>سطورية في ال</w:t>
      </w:r>
      <w:r>
        <w:rPr>
          <w:rFonts w:hint="cs"/>
          <w:rtl/>
        </w:rPr>
        <w:t>أحكام الدينية؛</w:t>
      </w:r>
      <w:r w:rsidRPr="00544A36">
        <w:rPr>
          <w:rFonts w:hint="cs"/>
          <w:rtl/>
        </w:rPr>
        <w:t xml:space="preserve"> ف</w:t>
      </w:r>
      <w:r>
        <w:rPr>
          <w:rFonts w:hint="cs"/>
          <w:rtl/>
        </w:rPr>
        <w:t>الأ</w:t>
      </w:r>
      <w:r w:rsidRPr="00544A36">
        <w:rPr>
          <w:rFonts w:hint="cs"/>
          <w:rtl/>
        </w:rPr>
        <w:t>عمال الخاص</w:t>
      </w:r>
      <w:r>
        <w:rPr>
          <w:rFonts w:hint="cs"/>
          <w:rtl/>
        </w:rPr>
        <w:t>ّ</w:t>
      </w:r>
      <w:r w:rsidRPr="00544A36">
        <w:rPr>
          <w:rFonts w:hint="cs"/>
          <w:rtl/>
        </w:rPr>
        <w:t xml:space="preserve">ة في الشريعة </w:t>
      </w:r>
      <w:r>
        <w:rPr>
          <w:rFonts w:hint="cs"/>
          <w:rtl/>
        </w:rPr>
        <w:t xml:space="preserve">ـ </w:t>
      </w:r>
      <w:r w:rsidRPr="00544A36">
        <w:rPr>
          <w:rFonts w:hint="cs"/>
          <w:rtl/>
        </w:rPr>
        <w:t>مثلا</w:t>
      </w:r>
      <w:r>
        <w:rPr>
          <w:rFonts w:hint="cs"/>
          <w:rtl/>
        </w:rPr>
        <w:t xml:space="preserve">ً ـ </w:t>
      </w:r>
      <w:r w:rsidRPr="00544A36">
        <w:rPr>
          <w:rFonts w:hint="cs"/>
          <w:rtl/>
        </w:rPr>
        <w:t xml:space="preserve">من الوضوء والغسل والطهارة </w:t>
      </w:r>
      <w:r w:rsidRPr="00544A36">
        <w:rPr>
          <w:rFonts w:hint="cs"/>
          <w:rtl/>
        </w:rPr>
        <w:lastRenderedPageBreak/>
        <w:t>تتشابه بشكل</w:t>
      </w:r>
      <w:r>
        <w:rPr>
          <w:rFonts w:hint="cs"/>
          <w:rtl/>
        </w:rPr>
        <w:t>ٍ</w:t>
      </w:r>
      <w:r w:rsidRPr="00544A36">
        <w:rPr>
          <w:rFonts w:hint="cs"/>
          <w:rtl/>
        </w:rPr>
        <w:t xml:space="preserve"> كبير مع النظافة والاستحمام</w:t>
      </w:r>
      <w:r>
        <w:rPr>
          <w:rFonts w:hint="cs"/>
          <w:rtl/>
        </w:rPr>
        <w:t>،</w:t>
      </w:r>
      <w:r w:rsidRPr="00544A36">
        <w:rPr>
          <w:rFonts w:hint="cs"/>
          <w:rtl/>
        </w:rPr>
        <w:t xml:space="preserve"> لكنها في الوقت نفسه تتضم</w:t>
      </w:r>
      <w:r>
        <w:rPr>
          <w:rFonts w:hint="cs"/>
          <w:rtl/>
        </w:rPr>
        <w:t>ّ</w:t>
      </w:r>
      <w:r w:rsidRPr="00544A36">
        <w:rPr>
          <w:rFonts w:hint="cs"/>
          <w:rtl/>
        </w:rPr>
        <w:t>ن جنبة</w:t>
      </w:r>
      <w:r>
        <w:rPr>
          <w:rFonts w:hint="cs"/>
          <w:rtl/>
        </w:rPr>
        <w:t>ً أ</w:t>
      </w:r>
      <w:r w:rsidRPr="00544A36">
        <w:rPr>
          <w:rFonts w:hint="cs"/>
          <w:rtl/>
        </w:rPr>
        <w:t>سطورية، وتختزن في داخلها أسرارا</w:t>
      </w:r>
      <w:r>
        <w:rPr>
          <w:rFonts w:hint="cs"/>
          <w:rtl/>
        </w:rPr>
        <w:t>ً؛</w:t>
      </w:r>
      <w:r w:rsidRPr="00544A36">
        <w:rPr>
          <w:rFonts w:hint="cs"/>
          <w:rtl/>
        </w:rPr>
        <w:t xml:space="preserve"> </w:t>
      </w:r>
      <w:r>
        <w:rPr>
          <w:rFonts w:hint="cs"/>
          <w:rtl/>
        </w:rPr>
        <w:t>ف</w:t>
      </w:r>
      <w:r w:rsidRPr="00544A36">
        <w:rPr>
          <w:rFonts w:hint="cs"/>
          <w:rtl/>
        </w:rPr>
        <w:t>لا يصح جعلها مجر</w:t>
      </w:r>
      <w:r>
        <w:rPr>
          <w:rFonts w:hint="cs"/>
          <w:rtl/>
        </w:rPr>
        <w:t>ّد نظافة بسيطة وإ</w:t>
      </w:r>
      <w:r w:rsidRPr="00544A36">
        <w:rPr>
          <w:rFonts w:hint="cs"/>
          <w:rtl/>
        </w:rPr>
        <w:t>لا كان اقتراح التغيير فيها سهلا</w:t>
      </w:r>
      <w:r>
        <w:rPr>
          <w:rFonts w:hint="cs"/>
          <w:rtl/>
        </w:rPr>
        <w:t>ً</w:t>
      </w:r>
      <w:r w:rsidRPr="00544A36">
        <w:rPr>
          <w:rFonts w:hint="cs"/>
          <w:rtl/>
        </w:rPr>
        <w:t xml:space="preserve"> جد</w:t>
      </w:r>
      <w:r>
        <w:rPr>
          <w:rFonts w:hint="cs"/>
          <w:rtl/>
        </w:rPr>
        <w:t>ّ</w:t>
      </w:r>
      <w:r w:rsidRPr="00544A36">
        <w:rPr>
          <w:rFonts w:hint="cs"/>
          <w:rtl/>
        </w:rPr>
        <w:t>ا</w:t>
      </w:r>
      <w:r>
        <w:rPr>
          <w:rFonts w:hint="cs"/>
          <w:rtl/>
        </w:rPr>
        <w:t>ً،</w:t>
      </w:r>
      <w:r w:rsidRPr="00544A36">
        <w:rPr>
          <w:rFonts w:hint="cs"/>
          <w:rtl/>
        </w:rPr>
        <w:t xml:space="preserve"> وال</w:t>
      </w:r>
      <w:r>
        <w:rPr>
          <w:rFonts w:hint="cs"/>
          <w:rtl/>
        </w:rPr>
        <w:t>أحكام</w:t>
      </w:r>
      <w:r w:rsidRPr="00544A36">
        <w:rPr>
          <w:rFonts w:hint="cs"/>
          <w:rtl/>
        </w:rPr>
        <w:t xml:space="preserve"> ال</w:t>
      </w:r>
      <w:r>
        <w:rPr>
          <w:rFonts w:hint="cs"/>
          <w:rtl/>
        </w:rPr>
        <w:t>اجتماع</w:t>
      </w:r>
      <w:r w:rsidRPr="00544A36">
        <w:rPr>
          <w:rFonts w:hint="cs"/>
          <w:rtl/>
        </w:rPr>
        <w:t xml:space="preserve">ية للمرأة </w:t>
      </w:r>
      <w:r>
        <w:rPr>
          <w:rFonts w:hint="cs"/>
          <w:rtl/>
        </w:rPr>
        <w:t>لا تخلو هي أيضاً من تلك العناصر الأ</w:t>
      </w:r>
      <w:r w:rsidRPr="00544A36">
        <w:rPr>
          <w:rFonts w:hint="cs"/>
          <w:rtl/>
        </w:rPr>
        <w:t>سطورية، ولا يتمك</w:t>
      </w:r>
      <w:r>
        <w:rPr>
          <w:rFonts w:hint="cs"/>
          <w:rtl/>
        </w:rPr>
        <w:t>ّ</w:t>
      </w:r>
      <w:r w:rsidRPr="00544A36">
        <w:rPr>
          <w:rFonts w:hint="cs"/>
          <w:rtl/>
        </w:rPr>
        <w:t>ن أحد</w:t>
      </w:r>
      <w:r>
        <w:rPr>
          <w:rFonts w:hint="cs"/>
          <w:rtl/>
        </w:rPr>
        <w:t>ٌ</w:t>
      </w:r>
      <w:r w:rsidRPr="00544A36">
        <w:rPr>
          <w:rFonts w:hint="cs"/>
          <w:rtl/>
        </w:rPr>
        <w:t xml:space="preserve"> من معرف</w:t>
      </w:r>
      <w:r>
        <w:rPr>
          <w:rFonts w:hint="cs"/>
          <w:rtl/>
        </w:rPr>
        <w:t xml:space="preserve">ة </w:t>
      </w:r>
      <w:r w:rsidRPr="00544A36">
        <w:rPr>
          <w:rFonts w:hint="cs"/>
          <w:rtl/>
        </w:rPr>
        <w:t>رمز</w:t>
      </w:r>
      <w:r>
        <w:rPr>
          <w:rFonts w:hint="cs"/>
          <w:rtl/>
        </w:rPr>
        <w:t>ها</w:t>
      </w:r>
      <w:r w:rsidRPr="00544A36">
        <w:rPr>
          <w:rFonts w:hint="cs"/>
          <w:rtl/>
        </w:rPr>
        <w:t xml:space="preserve"> وسرّ</w:t>
      </w:r>
      <w:r>
        <w:rPr>
          <w:rFonts w:hint="cs"/>
          <w:rtl/>
        </w:rPr>
        <w:t>ها،</w:t>
      </w:r>
      <w:r w:rsidRPr="00544A36">
        <w:rPr>
          <w:rFonts w:hint="cs"/>
          <w:rtl/>
        </w:rPr>
        <w:t xml:space="preserve"> لقد امتلكت</w:t>
      </w:r>
      <w:r>
        <w:rPr>
          <w:rFonts w:hint="cs"/>
          <w:rtl/>
        </w:rPr>
        <w:t xml:space="preserve"> المرأة </w:t>
      </w:r>
      <w:r w:rsidRPr="00544A36">
        <w:rPr>
          <w:rFonts w:hint="cs"/>
          <w:rtl/>
        </w:rPr>
        <w:t>حضورا</w:t>
      </w:r>
      <w:r>
        <w:rPr>
          <w:rFonts w:hint="cs"/>
          <w:rtl/>
        </w:rPr>
        <w:t>ً منذ القدم في أساطير الأ</w:t>
      </w:r>
      <w:r w:rsidRPr="00544A36">
        <w:rPr>
          <w:rFonts w:hint="cs"/>
          <w:rtl/>
        </w:rPr>
        <w:t>مم والشعوب</w:t>
      </w:r>
      <w:r>
        <w:rPr>
          <w:rFonts w:hint="cs"/>
          <w:rtl/>
        </w:rPr>
        <w:t xml:space="preserve"> كافّة</w:t>
      </w:r>
      <w:r w:rsidRPr="00544A36">
        <w:rPr>
          <w:rFonts w:hint="cs"/>
          <w:rtl/>
        </w:rPr>
        <w:t>، وكانت عنصرا</w:t>
      </w:r>
      <w:r>
        <w:rPr>
          <w:rFonts w:hint="cs"/>
          <w:rtl/>
        </w:rPr>
        <w:t>ً</w:t>
      </w:r>
      <w:r w:rsidRPr="00544A36">
        <w:rPr>
          <w:rFonts w:hint="cs"/>
          <w:rtl/>
        </w:rPr>
        <w:t xml:space="preserve"> </w:t>
      </w:r>
      <w:r>
        <w:rPr>
          <w:rFonts w:hint="cs"/>
          <w:rtl/>
        </w:rPr>
        <w:t>منتجاً إلى جانب الأ</w:t>
      </w:r>
      <w:r w:rsidRPr="00544A36">
        <w:rPr>
          <w:rFonts w:hint="cs"/>
          <w:rtl/>
        </w:rPr>
        <w:t>رض والماء والمطر، ولذا كانت تتمت</w:t>
      </w:r>
      <w:r>
        <w:rPr>
          <w:rFonts w:hint="cs"/>
          <w:rtl/>
        </w:rPr>
        <w:t>ّ</w:t>
      </w:r>
      <w:r w:rsidRPr="00544A36">
        <w:rPr>
          <w:rFonts w:hint="cs"/>
          <w:rtl/>
        </w:rPr>
        <w:t>ع بنوع</w:t>
      </w:r>
      <w:r>
        <w:rPr>
          <w:rFonts w:hint="cs"/>
          <w:rtl/>
        </w:rPr>
        <w:t>ٍ</w:t>
      </w:r>
      <w:r w:rsidRPr="00544A36">
        <w:rPr>
          <w:rFonts w:hint="cs"/>
          <w:rtl/>
        </w:rPr>
        <w:t xml:space="preserve"> من الاحترام وصل</w:t>
      </w:r>
      <w:r>
        <w:rPr>
          <w:rFonts w:hint="cs"/>
          <w:rtl/>
        </w:rPr>
        <w:t xml:space="preserve"> إلى </w:t>
      </w:r>
      <w:r w:rsidRPr="00544A36">
        <w:rPr>
          <w:rFonts w:hint="cs"/>
          <w:rtl/>
        </w:rPr>
        <w:t>حد</w:t>
      </w:r>
      <w:r>
        <w:rPr>
          <w:rFonts w:hint="cs"/>
          <w:rtl/>
        </w:rPr>
        <w:t>ّ أ</w:t>
      </w:r>
      <w:r w:rsidRPr="00544A36">
        <w:rPr>
          <w:rFonts w:hint="cs"/>
          <w:rtl/>
        </w:rPr>
        <w:t>صبح يتضمن نوعا</w:t>
      </w:r>
      <w:r>
        <w:rPr>
          <w:rFonts w:hint="cs"/>
          <w:rtl/>
        </w:rPr>
        <w:t>ً من التقديس الأسطوري، أي إ</w:t>
      </w:r>
      <w:r w:rsidRPr="00544A36">
        <w:rPr>
          <w:rFonts w:hint="cs"/>
          <w:rtl/>
        </w:rPr>
        <w:t>ن</w:t>
      </w:r>
      <w:r>
        <w:rPr>
          <w:rFonts w:hint="cs"/>
          <w:rtl/>
        </w:rPr>
        <w:t>ّ المرأة أ</w:t>
      </w:r>
      <w:r w:rsidRPr="00544A36">
        <w:rPr>
          <w:rFonts w:hint="cs"/>
          <w:rtl/>
        </w:rPr>
        <w:t>صبح</w:t>
      </w:r>
      <w:r>
        <w:rPr>
          <w:rFonts w:hint="cs"/>
          <w:rtl/>
        </w:rPr>
        <w:t xml:space="preserve">ت ذات </w:t>
      </w:r>
      <w:r w:rsidRPr="00544A36">
        <w:rPr>
          <w:rFonts w:hint="cs"/>
          <w:rtl/>
        </w:rPr>
        <w:t>حرمة خاص</w:t>
      </w:r>
      <w:r>
        <w:rPr>
          <w:rFonts w:hint="cs"/>
          <w:rtl/>
        </w:rPr>
        <w:t>ّ</w:t>
      </w:r>
      <w:r w:rsidRPr="00544A36">
        <w:rPr>
          <w:rFonts w:hint="cs"/>
          <w:rtl/>
        </w:rPr>
        <w:t>ة</w:t>
      </w:r>
      <w:r>
        <w:rPr>
          <w:rFonts w:hint="cs"/>
          <w:rtl/>
        </w:rPr>
        <w:t>؛ لأ</w:t>
      </w:r>
      <w:r w:rsidRPr="00544A36">
        <w:rPr>
          <w:rFonts w:hint="cs"/>
          <w:rtl/>
        </w:rPr>
        <w:t>نها تمتلك نوعا</w:t>
      </w:r>
      <w:r>
        <w:rPr>
          <w:rFonts w:hint="cs"/>
          <w:rtl/>
        </w:rPr>
        <w:t>ً</w:t>
      </w:r>
      <w:r w:rsidRPr="00544A36">
        <w:rPr>
          <w:rFonts w:hint="cs"/>
          <w:rtl/>
        </w:rPr>
        <w:t xml:space="preserve"> من الارتباط </w:t>
      </w:r>
      <w:r>
        <w:rPr>
          <w:rFonts w:hint="cs"/>
          <w:rtl/>
        </w:rPr>
        <w:t>بالإله.</w:t>
      </w:r>
    </w:p>
    <w:p w:rsidR="00BA281B" w:rsidRDefault="00BA281B" w:rsidP="001C51A4">
      <w:pPr>
        <w:pStyle w:val="ac"/>
        <w:rPr>
          <w:rtl/>
        </w:rPr>
      </w:pPr>
      <w:r>
        <w:rPr>
          <w:rFonts w:hint="cs"/>
          <w:rtl/>
        </w:rPr>
        <w:t>والذي أ</w:t>
      </w:r>
      <w:r w:rsidRPr="00544A36">
        <w:rPr>
          <w:rFonts w:hint="cs"/>
          <w:rtl/>
        </w:rPr>
        <w:t>ظن</w:t>
      </w:r>
      <w:r>
        <w:rPr>
          <w:rFonts w:hint="cs"/>
          <w:rtl/>
        </w:rPr>
        <w:t>ّ</w:t>
      </w:r>
      <w:r w:rsidRPr="00544A36">
        <w:rPr>
          <w:rFonts w:hint="cs"/>
          <w:rtl/>
        </w:rPr>
        <w:t xml:space="preserve">ه </w:t>
      </w:r>
      <w:r>
        <w:rPr>
          <w:rFonts w:hint="cs"/>
          <w:rtl/>
        </w:rPr>
        <w:t>هو أ</w:t>
      </w:r>
      <w:r w:rsidRPr="00544A36">
        <w:rPr>
          <w:rFonts w:hint="cs"/>
          <w:rtl/>
        </w:rPr>
        <w:t>ن</w:t>
      </w:r>
      <w:r>
        <w:rPr>
          <w:rFonts w:hint="cs"/>
          <w:rtl/>
        </w:rPr>
        <w:t>ّ</w:t>
      </w:r>
      <w:r w:rsidRPr="00544A36">
        <w:rPr>
          <w:rFonts w:hint="cs"/>
          <w:rtl/>
        </w:rPr>
        <w:t xml:space="preserve"> مسألة حجاب </w:t>
      </w:r>
      <w:r>
        <w:rPr>
          <w:rFonts w:hint="cs"/>
          <w:rtl/>
        </w:rPr>
        <w:t>ا</w:t>
      </w:r>
      <w:r w:rsidRPr="00544A36">
        <w:rPr>
          <w:rFonts w:hint="cs"/>
          <w:rtl/>
        </w:rPr>
        <w:t xml:space="preserve">لمرأة لم </w:t>
      </w:r>
      <w:r>
        <w:rPr>
          <w:rFonts w:hint="cs"/>
          <w:rtl/>
        </w:rPr>
        <w:t>يكن ذا</w:t>
      </w:r>
      <w:r w:rsidRPr="00544A36">
        <w:rPr>
          <w:rFonts w:hint="cs"/>
          <w:rtl/>
        </w:rPr>
        <w:t xml:space="preserve"> محتوى صرف </w:t>
      </w:r>
      <w:r>
        <w:rPr>
          <w:rFonts w:hint="cs"/>
          <w:rtl/>
        </w:rPr>
        <w:t>اجتماع</w:t>
      </w:r>
      <w:r w:rsidRPr="00544A36">
        <w:rPr>
          <w:rFonts w:hint="cs"/>
          <w:rtl/>
        </w:rPr>
        <w:t>ي ـ حقوقي</w:t>
      </w:r>
      <w:r>
        <w:rPr>
          <w:rFonts w:hint="cs"/>
          <w:rtl/>
        </w:rPr>
        <w:t xml:space="preserve"> أو أخلاق</w:t>
      </w:r>
      <w:r w:rsidRPr="00544A36">
        <w:rPr>
          <w:rFonts w:hint="cs"/>
          <w:rtl/>
        </w:rPr>
        <w:t>ي</w:t>
      </w:r>
      <w:r>
        <w:rPr>
          <w:rFonts w:hint="cs"/>
          <w:rtl/>
        </w:rPr>
        <w:t>،</w:t>
      </w:r>
      <w:r w:rsidRPr="00544A36">
        <w:rPr>
          <w:rFonts w:hint="cs"/>
          <w:rtl/>
        </w:rPr>
        <w:t xml:space="preserve"> بل كا</w:t>
      </w:r>
      <w:r>
        <w:rPr>
          <w:rFonts w:hint="cs"/>
          <w:rtl/>
        </w:rPr>
        <w:t>ن</w:t>
      </w:r>
      <w:r w:rsidRPr="00544A36">
        <w:rPr>
          <w:rFonts w:hint="cs"/>
          <w:rtl/>
        </w:rPr>
        <w:t xml:space="preserve"> ذا ب</w:t>
      </w:r>
      <w:r>
        <w:rPr>
          <w:rFonts w:hint="cs"/>
          <w:rtl/>
        </w:rPr>
        <w:t>ُعد أسطوري أ</w:t>
      </w:r>
      <w:r w:rsidRPr="00544A36">
        <w:rPr>
          <w:rFonts w:hint="cs"/>
          <w:rtl/>
        </w:rPr>
        <w:t>يضا</w:t>
      </w:r>
      <w:r>
        <w:rPr>
          <w:rFonts w:hint="cs"/>
          <w:rtl/>
        </w:rPr>
        <w:t>ً، أي أ</w:t>
      </w:r>
      <w:r w:rsidRPr="00544A36">
        <w:rPr>
          <w:rFonts w:hint="cs"/>
          <w:rtl/>
        </w:rPr>
        <w:t>ن</w:t>
      </w:r>
      <w:r>
        <w:rPr>
          <w:rFonts w:hint="cs"/>
          <w:rtl/>
        </w:rPr>
        <w:t>ّ</w:t>
      </w:r>
      <w:r w:rsidRPr="00544A36">
        <w:rPr>
          <w:rFonts w:hint="cs"/>
          <w:rtl/>
        </w:rPr>
        <w:t xml:space="preserve"> إلزام</w:t>
      </w:r>
      <w:r>
        <w:rPr>
          <w:rFonts w:hint="cs"/>
          <w:rtl/>
        </w:rPr>
        <w:t xml:space="preserve"> المرأة </w:t>
      </w:r>
      <w:r w:rsidRPr="00544A36">
        <w:rPr>
          <w:rFonts w:hint="cs"/>
          <w:rtl/>
        </w:rPr>
        <w:t>بالستر، وإبعادها عن ساحة الحياة ال</w:t>
      </w:r>
      <w:r>
        <w:rPr>
          <w:rFonts w:hint="cs"/>
          <w:rtl/>
        </w:rPr>
        <w:t>اجتماع</w:t>
      </w:r>
      <w:r w:rsidRPr="00544A36">
        <w:rPr>
          <w:rFonts w:hint="cs"/>
          <w:rtl/>
        </w:rPr>
        <w:t>ية، وإقرار نوع</w:t>
      </w:r>
      <w:r>
        <w:rPr>
          <w:rFonts w:hint="cs"/>
          <w:rtl/>
        </w:rPr>
        <w:t>ٍ</w:t>
      </w:r>
      <w:r w:rsidRPr="00544A36">
        <w:rPr>
          <w:rFonts w:hint="cs"/>
          <w:rtl/>
        </w:rPr>
        <w:t xml:space="preserve"> من العلاقة الخاص</w:t>
      </w:r>
      <w:r>
        <w:rPr>
          <w:rFonts w:hint="cs"/>
          <w:rtl/>
        </w:rPr>
        <w:t>ّة معها، والنظر إ</w:t>
      </w:r>
      <w:r w:rsidRPr="00544A36">
        <w:rPr>
          <w:rFonts w:hint="cs"/>
          <w:rtl/>
        </w:rPr>
        <w:t xml:space="preserve">ليها </w:t>
      </w:r>
      <w:r>
        <w:rPr>
          <w:rFonts w:hint="cs"/>
          <w:rtl/>
        </w:rPr>
        <w:t xml:space="preserve">بوصفها </w:t>
      </w:r>
      <w:r w:rsidRPr="00544A36">
        <w:rPr>
          <w:rFonts w:hint="cs"/>
          <w:rtl/>
        </w:rPr>
        <w:t>موجود</w:t>
      </w:r>
      <w:r>
        <w:rPr>
          <w:rFonts w:hint="cs"/>
          <w:rtl/>
        </w:rPr>
        <w:t>اً مل</w:t>
      </w:r>
      <w:r w:rsidRPr="00544A36">
        <w:rPr>
          <w:rFonts w:hint="cs"/>
          <w:rtl/>
        </w:rPr>
        <w:t>و</w:t>
      </w:r>
      <w:r>
        <w:rPr>
          <w:rFonts w:hint="cs"/>
          <w:rtl/>
        </w:rPr>
        <w:t>ّ</w:t>
      </w:r>
      <w:r w:rsidRPr="00544A36">
        <w:rPr>
          <w:rFonts w:hint="cs"/>
          <w:rtl/>
        </w:rPr>
        <w:t>ث</w:t>
      </w:r>
      <w:r>
        <w:rPr>
          <w:rFonts w:hint="cs"/>
          <w:rtl/>
        </w:rPr>
        <w:t>اً</w:t>
      </w:r>
      <w:r w:rsidRPr="00544A36">
        <w:rPr>
          <w:rFonts w:hint="cs"/>
          <w:rtl/>
        </w:rPr>
        <w:t>، هذا كل</w:t>
      </w:r>
      <w:r>
        <w:rPr>
          <w:rFonts w:hint="cs"/>
          <w:rtl/>
        </w:rPr>
        <w:t>ّ</w:t>
      </w:r>
      <w:r w:rsidRPr="00544A36">
        <w:rPr>
          <w:rFonts w:hint="cs"/>
          <w:rtl/>
        </w:rPr>
        <w:t>ه يحكي عن نوع</w:t>
      </w:r>
      <w:r>
        <w:rPr>
          <w:rFonts w:hint="cs"/>
          <w:rtl/>
        </w:rPr>
        <w:t>ٍ</w:t>
      </w:r>
      <w:r w:rsidRPr="00544A36">
        <w:rPr>
          <w:rFonts w:hint="cs"/>
          <w:rtl/>
        </w:rPr>
        <w:t xml:space="preserve"> من الرمز</w:t>
      </w:r>
      <w:r>
        <w:rPr>
          <w:rFonts w:hint="cs"/>
          <w:rtl/>
        </w:rPr>
        <w:t>ية الأسطورية، وأ</w:t>
      </w:r>
      <w:r w:rsidRPr="00544A36">
        <w:rPr>
          <w:rFonts w:hint="cs"/>
          <w:rtl/>
        </w:rPr>
        <w:t>ظن</w:t>
      </w:r>
      <w:r>
        <w:rPr>
          <w:rFonts w:hint="cs"/>
          <w:rtl/>
        </w:rPr>
        <w:t>ّ أ</w:t>
      </w:r>
      <w:r w:rsidRPr="00544A36">
        <w:rPr>
          <w:rFonts w:hint="cs"/>
          <w:rtl/>
        </w:rPr>
        <w:t>ن</w:t>
      </w:r>
      <w:r>
        <w:rPr>
          <w:rFonts w:hint="cs"/>
          <w:rtl/>
        </w:rPr>
        <w:t>ّ</w:t>
      </w:r>
      <w:r w:rsidRPr="00544A36">
        <w:rPr>
          <w:rFonts w:hint="cs"/>
          <w:rtl/>
        </w:rPr>
        <w:t xml:space="preserve"> هذا ال</w:t>
      </w:r>
      <w:r>
        <w:rPr>
          <w:rFonts w:hint="cs"/>
          <w:rtl/>
        </w:rPr>
        <w:t>أمر</w:t>
      </w:r>
      <w:r w:rsidRPr="00544A36">
        <w:rPr>
          <w:rFonts w:hint="cs"/>
          <w:rtl/>
        </w:rPr>
        <w:t xml:space="preserve"> يشاهد حتى بالنسبة لل</w:t>
      </w:r>
      <w:r>
        <w:rPr>
          <w:rFonts w:hint="cs"/>
          <w:rtl/>
        </w:rPr>
        <w:t>إسلام</w:t>
      </w:r>
      <w:r w:rsidRPr="00544A36">
        <w:rPr>
          <w:rFonts w:hint="cs"/>
          <w:rtl/>
        </w:rPr>
        <w:t xml:space="preserve"> وال</w:t>
      </w:r>
      <w:r>
        <w:rPr>
          <w:rFonts w:hint="cs"/>
          <w:rtl/>
        </w:rPr>
        <w:t>قوانين</w:t>
      </w:r>
      <w:r w:rsidRPr="00544A36">
        <w:rPr>
          <w:rFonts w:hint="cs"/>
          <w:rtl/>
        </w:rPr>
        <w:t xml:space="preserve"> ال</w:t>
      </w:r>
      <w:r>
        <w:rPr>
          <w:rFonts w:hint="cs"/>
          <w:rtl/>
        </w:rPr>
        <w:t>إسلام</w:t>
      </w:r>
      <w:r w:rsidRPr="00544A36">
        <w:rPr>
          <w:rFonts w:hint="cs"/>
          <w:rtl/>
        </w:rPr>
        <w:t>ية، فمثلا</w:t>
      </w:r>
      <w:r>
        <w:rPr>
          <w:rFonts w:hint="cs"/>
          <w:rtl/>
        </w:rPr>
        <w:t>ً لا تلزم الأ</w:t>
      </w:r>
      <w:r w:rsidRPr="00544A36">
        <w:rPr>
          <w:rFonts w:hint="cs"/>
          <w:rtl/>
        </w:rPr>
        <w:t>م</w:t>
      </w:r>
      <w:r>
        <w:rPr>
          <w:rFonts w:hint="cs"/>
          <w:rtl/>
        </w:rPr>
        <w:t>َ</w:t>
      </w:r>
      <w:r w:rsidRPr="00544A36">
        <w:rPr>
          <w:rFonts w:hint="cs"/>
          <w:rtl/>
        </w:rPr>
        <w:t>ة</w:t>
      </w:r>
      <w:r>
        <w:rPr>
          <w:rFonts w:hint="cs"/>
          <w:rtl/>
        </w:rPr>
        <w:t xml:space="preserve"> أو المرأة </w:t>
      </w:r>
      <w:r w:rsidRPr="00544A36">
        <w:rPr>
          <w:rFonts w:hint="cs"/>
          <w:rtl/>
        </w:rPr>
        <w:t>الكتابي</w:t>
      </w:r>
      <w:r>
        <w:rPr>
          <w:rFonts w:hint="cs"/>
          <w:rtl/>
        </w:rPr>
        <w:t>ّ</w:t>
      </w:r>
      <w:r w:rsidRPr="00544A36">
        <w:rPr>
          <w:rFonts w:hint="cs"/>
          <w:rtl/>
        </w:rPr>
        <w:t>ة بالحجاب على ما تنصّ عليه الشريعة ال</w:t>
      </w:r>
      <w:r>
        <w:rPr>
          <w:rFonts w:hint="cs"/>
          <w:rtl/>
        </w:rPr>
        <w:t>إسلام</w:t>
      </w:r>
      <w:r w:rsidRPr="00544A36">
        <w:rPr>
          <w:rFonts w:hint="cs"/>
          <w:rtl/>
        </w:rPr>
        <w:t>ية، وقد استدل</w:t>
      </w:r>
      <w:r>
        <w:rPr>
          <w:rFonts w:hint="cs"/>
          <w:rtl/>
        </w:rPr>
        <w:t>ّ</w:t>
      </w:r>
      <w:r w:rsidRPr="00544A36">
        <w:rPr>
          <w:rFonts w:hint="cs"/>
          <w:rtl/>
        </w:rPr>
        <w:t xml:space="preserve"> بعض المفك</w:t>
      </w:r>
      <w:r>
        <w:rPr>
          <w:rFonts w:hint="cs"/>
          <w:rtl/>
        </w:rPr>
        <w:t>ّرين والفقهاء كالشهيد المطهري لإ</w:t>
      </w:r>
      <w:r w:rsidRPr="00544A36">
        <w:rPr>
          <w:rFonts w:hint="cs"/>
          <w:rtl/>
        </w:rPr>
        <w:t>ثب</w:t>
      </w:r>
      <w:r>
        <w:rPr>
          <w:rFonts w:hint="cs"/>
          <w:rtl/>
        </w:rPr>
        <w:t>ات ضرورة الحجاب بأ</w:t>
      </w:r>
      <w:r w:rsidRPr="00544A36">
        <w:rPr>
          <w:rFonts w:hint="cs"/>
          <w:rtl/>
        </w:rPr>
        <w:t>ن</w:t>
      </w:r>
      <w:r>
        <w:rPr>
          <w:rFonts w:hint="cs"/>
          <w:rtl/>
        </w:rPr>
        <w:t>ّه إ</w:t>
      </w:r>
      <w:r w:rsidRPr="00544A36">
        <w:rPr>
          <w:rFonts w:hint="cs"/>
          <w:rtl/>
        </w:rPr>
        <w:t>ن</w:t>
      </w:r>
      <w:r>
        <w:rPr>
          <w:rFonts w:hint="cs"/>
          <w:rtl/>
        </w:rPr>
        <w:t>ّما شُرّع ل</w:t>
      </w:r>
      <w:r w:rsidRPr="00544A36">
        <w:rPr>
          <w:rFonts w:hint="cs"/>
          <w:rtl/>
        </w:rPr>
        <w:t>صيانة عفّة المرأة،</w:t>
      </w:r>
      <w:r>
        <w:rPr>
          <w:rFonts w:hint="cs"/>
          <w:rtl/>
        </w:rPr>
        <w:t xml:space="preserve"> أو </w:t>
      </w:r>
      <w:r w:rsidRPr="00544A36">
        <w:rPr>
          <w:rFonts w:hint="cs"/>
          <w:rtl/>
        </w:rPr>
        <w:t>صيانة العفاف ال</w:t>
      </w:r>
      <w:r>
        <w:rPr>
          <w:rFonts w:hint="cs"/>
          <w:rtl/>
        </w:rPr>
        <w:t>اجتماع</w:t>
      </w:r>
      <w:r w:rsidRPr="00544A36">
        <w:rPr>
          <w:rFonts w:hint="cs"/>
          <w:rtl/>
        </w:rPr>
        <w:t>ي بشكل عام، وهنا يأتي السؤال</w:t>
      </w:r>
      <w:r>
        <w:rPr>
          <w:rFonts w:hint="cs"/>
          <w:rtl/>
        </w:rPr>
        <w:t>:</w:t>
      </w:r>
      <w:r w:rsidRPr="00544A36">
        <w:rPr>
          <w:rFonts w:hint="cs"/>
          <w:rtl/>
        </w:rPr>
        <w:t xml:space="preserve"> أ</w:t>
      </w:r>
      <w:r>
        <w:rPr>
          <w:rFonts w:hint="cs"/>
          <w:rtl/>
        </w:rPr>
        <w:t>لا يوجب ظهور نساء أهل الذمة والإ</w:t>
      </w:r>
      <w:r w:rsidRPr="00544A36">
        <w:rPr>
          <w:rFonts w:hint="cs"/>
          <w:rtl/>
        </w:rPr>
        <w:t>ماء الذين كانوا يشك</w:t>
      </w:r>
      <w:r>
        <w:rPr>
          <w:rFonts w:hint="cs"/>
          <w:rtl/>
        </w:rPr>
        <w:t>ّ</w:t>
      </w:r>
      <w:r w:rsidRPr="00544A36">
        <w:rPr>
          <w:rFonts w:hint="cs"/>
          <w:rtl/>
        </w:rPr>
        <w:t>لون عددا</w:t>
      </w:r>
      <w:r>
        <w:rPr>
          <w:rFonts w:hint="cs"/>
          <w:rtl/>
        </w:rPr>
        <w:t>ً</w:t>
      </w:r>
      <w:r w:rsidRPr="00544A36">
        <w:rPr>
          <w:rFonts w:hint="cs"/>
          <w:rtl/>
        </w:rPr>
        <w:t xml:space="preserve"> كبيرا</w:t>
      </w:r>
      <w:r>
        <w:rPr>
          <w:rFonts w:hint="cs"/>
          <w:rtl/>
        </w:rPr>
        <w:t>ً</w:t>
      </w:r>
      <w:r w:rsidRPr="00544A36">
        <w:rPr>
          <w:rFonts w:hint="cs"/>
          <w:rtl/>
        </w:rPr>
        <w:t xml:space="preserve"> في المجتمع آنذاك نوعا</w:t>
      </w:r>
      <w:r>
        <w:rPr>
          <w:rFonts w:hint="cs"/>
          <w:rtl/>
        </w:rPr>
        <w:t>ً من الإ</w:t>
      </w:r>
      <w:r w:rsidRPr="00544A36">
        <w:rPr>
          <w:rFonts w:hint="cs"/>
          <w:rtl/>
        </w:rPr>
        <w:t>خلال بهذا العفاف ال</w:t>
      </w:r>
      <w:r>
        <w:rPr>
          <w:rFonts w:hint="cs"/>
          <w:rtl/>
        </w:rPr>
        <w:t>اجتماع</w:t>
      </w:r>
      <w:r w:rsidRPr="00544A36">
        <w:rPr>
          <w:rFonts w:hint="cs"/>
          <w:rtl/>
        </w:rPr>
        <w:t xml:space="preserve">ي؟ نعم، </w:t>
      </w:r>
      <w:r>
        <w:rPr>
          <w:rFonts w:hint="cs"/>
          <w:rtl/>
        </w:rPr>
        <w:t>ف</w:t>
      </w:r>
      <w:r w:rsidRPr="00544A36">
        <w:rPr>
          <w:rFonts w:hint="cs"/>
          <w:rtl/>
        </w:rPr>
        <w:t>العفة من المفاهيم ال</w:t>
      </w:r>
      <w:r>
        <w:rPr>
          <w:rFonts w:hint="cs"/>
          <w:rtl/>
        </w:rPr>
        <w:t>أخلاقية التي تعني أ</w:t>
      </w:r>
      <w:r w:rsidRPr="00544A36">
        <w:rPr>
          <w:rFonts w:hint="cs"/>
          <w:rtl/>
        </w:rPr>
        <w:t>ن تكون</w:t>
      </w:r>
      <w:r>
        <w:rPr>
          <w:rFonts w:hint="cs"/>
          <w:rtl/>
        </w:rPr>
        <w:t xml:space="preserve"> المرأة امر</w:t>
      </w:r>
      <w:r w:rsidRPr="00544A36">
        <w:rPr>
          <w:rFonts w:hint="cs"/>
          <w:rtl/>
        </w:rPr>
        <w:t>أة</w:t>
      </w:r>
      <w:r>
        <w:rPr>
          <w:rFonts w:hint="cs"/>
          <w:rtl/>
        </w:rPr>
        <w:t>ً</w:t>
      </w:r>
      <w:r w:rsidRPr="00544A36">
        <w:rPr>
          <w:rFonts w:hint="cs"/>
          <w:rtl/>
        </w:rPr>
        <w:t xml:space="preserve"> والرجل رجلا</w:t>
      </w:r>
      <w:r>
        <w:rPr>
          <w:rFonts w:hint="cs"/>
          <w:rtl/>
        </w:rPr>
        <w:t>ً</w:t>
      </w:r>
      <w:r w:rsidRPr="00544A36">
        <w:rPr>
          <w:rFonts w:hint="cs"/>
          <w:rtl/>
        </w:rPr>
        <w:t>، ولا</w:t>
      </w:r>
      <w:r>
        <w:rPr>
          <w:rFonts w:hint="cs"/>
          <w:rtl/>
        </w:rPr>
        <w:t xml:space="preserve"> </w:t>
      </w:r>
      <w:r w:rsidRPr="00544A36">
        <w:rPr>
          <w:rFonts w:hint="cs"/>
          <w:rtl/>
        </w:rPr>
        <w:t>تختص</w:t>
      </w:r>
      <w:r>
        <w:rPr>
          <w:rFonts w:hint="cs"/>
          <w:rtl/>
        </w:rPr>
        <w:t>ّ بالمرأة، أ</w:t>
      </w:r>
      <w:r w:rsidRPr="00544A36">
        <w:rPr>
          <w:rFonts w:hint="cs"/>
          <w:rtl/>
        </w:rPr>
        <w:t>م</w:t>
      </w:r>
      <w:r>
        <w:rPr>
          <w:rFonts w:hint="cs"/>
          <w:rtl/>
        </w:rPr>
        <w:t>ّا أ</w:t>
      </w:r>
      <w:r w:rsidRPr="00544A36">
        <w:rPr>
          <w:rFonts w:hint="cs"/>
          <w:rtl/>
        </w:rPr>
        <w:t>ن</w:t>
      </w:r>
      <w:r>
        <w:rPr>
          <w:rFonts w:hint="cs"/>
          <w:rtl/>
        </w:rPr>
        <w:t>ّ</w:t>
      </w:r>
      <w:r w:rsidRPr="00544A36">
        <w:rPr>
          <w:rFonts w:hint="cs"/>
          <w:rtl/>
        </w:rPr>
        <w:t>ه كيف نتمك</w:t>
      </w:r>
      <w:r>
        <w:rPr>
          <w:rFonts w:hint="cs"/>
          <w:rtl/>
        </w:rPr>
        <w:t>ّ</w:t>
      </w:r>
      <w:r w:rsidRPr="00544A36">
        <w:rPr>
          <w:rFonts w:hint="cs"/>
          <w:rtl/>
        </w:rPr>
        <w:t>ن من حفظ العفة عبر القانون</w:t>
      </w:r>
      <w:r>
        <w:rPr>
          <w:rFonts w:hint="cs"/>
          <w:rtl/>
        </w:rPr>
        <w:t>،</w:t>
      </w:r>
      <w:r w:rsidRPr="00544A36">
        <w:rPr>
          <w:rFonts w:hint="cs"/>
          <w:rtl/>
        </w:rPr>
        <w:t xml:space="preserve"> فهذا يرجع</w:t>
      </w:r>
      <w:r>
        <w:rPr>
          <w:rFonts w:hint="cs"/>
          <w:rtl/>
        </w:rPr>
        <w:t xml:space="preserve"> إلى </w:t>
      </w:r>
      <w:r w:rsidRPr="00544A36">
        <w:rPr>
          <w:rFonts w:hint="cs"/>
          <w:rtl/>
        </w:rPr>
        <w:t>الطرق المعتمدة في كل</w:t>
      </w:r>
      <w:r>
        <w:rPr>
          <w:rFonts w:hint="cs"/>
          <w:rtl/>
        </w:rPr>
        <w:t>ّ</w:t>
      </w:r>
      <w:r w:rsidRPr="00544A36">
        <w:rPr>
          <w:rFonts w:hint="cs"/>
          <w:rtl/>
        </w:rPr>
        <w:t xml:space="preserve"> زمان والمتناسبة معه ومع العرف ال</w:t>
      </w:r>
      <w:r>
        <w:rPr>
          <w:rFonts w:hint="cs"/>
          <w:rtl/>
        </w:rPr>
        <w:t>سائد</w:t>
      </w:r>
      <w:r w:rsidRPr="00544A36">
        <w:rPr>
          <w:rFonts w:hint="cs"/>
          <w:rtl/>
        </w:rPr>
        <w:t xml:space="preserve"> في</w:t>
      </w:r>
      <w:r>
        <w:rPr>
          <w:rFonts w:hint="cs"/>
          <w:rtl/>
        </w:rPr>
        <w:t>ه،</w:t>
      </w:r>
      <w:r w:rsidRPr="00544A36">
        <w:rPr>
          <w:rFonts w:hint="cs"/>
          <w:rtl/>
        </w:rPr>
        <w:t xml:space="preserve"> وقد ات</w:t>
      </w:r>
      <w:r>
        <w:rPr>
          <w:rFonts w:hint="cs"/>
          <w:rtl/>
        </w:rPr>
        <w:t>ّ</w:t>
      </w:r>
      <w:r w:rsidRPr="00544A36">
        <w:rPr>
          <w:rFonts w:hint="cs"/>
          <w:rtl/>
        </w:rPr>
        <w:t>بع ال</w:t>
      </w:r>
      <w:r>
        <w:rPr>
          <w:rFonts w:hint="cs"/>
          <w:rtl/>
        </w:rPr>
        <w:t>إسلام</w:t>
      </w:r>
      <w:r w:rsidRPr="00544A36">
        <w:rPr>
          <w:rFonts w:hint="cs"/>
          <w:rtl/>
        </w:rPr>
        <w:t xml:space="preserve"> هذا العرف</w:t>
      </w:r>
      <w:r>
        <w:rPr>
          <w:rFonts w:hint="cs"/>
          <w:rtl/>
        </w:rPr>
        <w:t>،</w:t>
      </w:r>
      <w:r w:rsidRPr="00544A36">
        <w:rPr>
          <w:rFonts w:hint="cs"/>
          <w:rtl/>
        </w:rPr>
        <w:t xml:space="preserve"> </w:t>
      </w:r>
      <w:r>
        <w:rPr>
          <w:rFonts w:hint="cs"/>
          <w:rtl/>
        </w:rPr>
        <w:t>فلا</w:t>
      </w:r>
      <w:r w:rsidRPr="00544A36">
        <w:rPr>
          <w:rFonts w:hint="cs"/>
          <w:rtl/>
        </w:rPr>
        <w:t>بد عند ملاح</w:t>
      </w:r>
      <w:r>
        <w:rPr>
          <w:rFonts w:hint="cs"/>
          <w:rtl/>
        </w:rPr>
        <w:t>ظة حكم الشارع بالنسبة للنساء الأ</w:t>
      </w:r>
      <w:r w:rsidRPr="00544A36">
        <w:rPr>
          <w:rFonts w:hint="cs"/>
          <w:rtl/>
        </w:rPr>
        <w:t>حرار</w:t>
      </w:r>
      <w:r>
        <w:rPr>
          <w:rFonts w:hint="cs"/>
          <w:rtl/>
        </w:rPr>
        <w:t xml:space="preserve"> أو الإ</w:t>
      </w:r>
      <w:r w:rsidRPr="00544A36">
        <w:rPr>
          <w:rFonts w:hint="cs"/>
          <w:rtl/>
        </w:rPr>
        <w:t>ماء</w:t>
      </w:r>
      <w:r>
        <w:rPr>
          <w:rFonts w:hint="cs"/>
          <w:rtl/>
        </w:rPr>
        <w:t xml:space="preserve"> أو نساء أ</w:t>
      </w:r>
      <w:r w:rsidRPr="00544A36">
        <w:rPr>
          <w:rFonts w:hint="cs"/>
          <w:rtl/>
        </w:rPr>
        <w:t>هل الكتاب من الرجوع</w:t>
      </w:r>
      <w:r>
        <w:rPr>
          <w:rFonts w:hint="cs"/>
          <w:rtl/>
        </w:rPr>
        <w:t xml:space="preserve"> إلى </w:t>
      </w:r>
      <w:r w:rsidRPr="00544A36">
        <w:rPr>
          <w:rFonts w:hint="cs"/>
          <w:rtl/>
        </w:rPr>
        <w:t xml:space="preserve">روح </w:t>
      </w:r>
      <w:r>
        <w:rPr>
          <w:rFonts w:hint="cs"/>
          <w:rtl/>
        </w:rPr>
        <w:t>مراد</w:t>
      </w:r>
      <w:r w:rsidRPr="00544A36">
        <w:rPr>
          <w:rFonts w:hint="cs"/>
          <w:rtl/>
        </w:rPr>
        <w:t xml:space="preserve"> الشارع ومعرفة لب</w:t>
      </w:r>
      <w:r>
        <w:rPr>
          <w:rFonts w:hint="cs"/>
          <w:rtl/>
        </w:rPr>
        <w:t>ّه.</w:t>
      </w:r>
    </w:p>
    <w:p w:rsidR="00BA281B" w:rsidRDefault="00BA281B" w:rsidP="00BA281B">
      <w:pPr>
        <w:pStyle w:val="ac"/>
      </w:pPr>
      <w:r>
        <w:rPr>
          <w:rFonts w:hint="cs"/>
          <w:rtl/>
        </w:rPr>
        <w:t>و</w:t>
      </w:r>
      <w:r w:rsidRPr="00544A36">
        <w:rPr>
          <w:rFonts w:hint="cs"/>
          <w:rtl/>
        </w:rPr>
        <w:t>ال</w:t>
      </w:r>
      <w:r>
        <w:rPr>
          <w:rFonts w:hint="cs"/>
          <w:rtl/>
        </w:rPr>
        <w:t>أمر الهام الذي ينبغي الالتفات إ</w:t>
      </w:r>
      <w:r w:rsidRPr="00544A36">
        <w:rPr>
          <w:rFonts w:hint="cs"/>
          <w:rtl/>
        </w:rPr>
        <w:t>ليه</w:t>
      </w:r>
      <w:r>
        <w:rPr>
          <w:rFonts w:hint="cs"/>
          <w:rtl/>
        </w:rPr>
        <w:t xml:space="preserve"> أ</w:t>
      </w:r>
      <w:r w:rsidRPr="00544A36">
        <w:rPr>
          <w:rFonts w:hint="cs"/>
          <w:rtl/>
        </w:rPr>
        <w:t xml:space="preserve">ن </w:t>
      </w:r>
      <w:r>
        <w:rPr>
          <w:rFonts w:hint="cs"/>
          <w:rtl/>
        </w:rPr>
        <w:t xml:space="preserve">أحكام المرأة </w:t>
      </w:r>
      <w:r w:rsidRPr="00544A36">
        <w:rPr>
          <w:rFonts w:hint="cs"/>
          <w:rtl/>
        </w:rPr>
        <w:t>ليست بعيدة</w:t>
      </w:r>
      <w:r>
        <w:rPr>
          <w:rFonts w:hint="cs"/>
          <w:rtl/>
        </w:rPr>
        <w:t>ً</w:t>
      </w:r>
      <w:r w:rsidRPr="00544A36">
        <w:rPr>
          <w:rFonts w:hint="cs"/>
          <w:rtl/>
        </w:rPr>
        <w:t xml:space="preserve"> عن التلو</w:t>
      </w:r>
      <w:r>
        <w:rPr>
          <w:rFonts w:hint="cs"/>
          <w:rtl/>
        </w:rPr>
        <w:t>ّث بالأ</w:t>
      </w:r>
      <w:r w:rsidRPr="00544A36">
        <w:rPr>
          <w:rFonts w:hint="cs"/>
          <w:rtl/>
        </w:rPr>
        <w:t>ساطير</w:t>
      </w:r>
      <w:r>
        <w:rPr>
          <w:rFonts w:hint="cs"/>
          <w:rtl/>
        </w:rPr>
        <w:t>، وأن للرموز والأ</w:t>
      </w:r>
      <w:r w:rsidRPr="00544A36">
        <w:rPr>
          <w:rFonts w:hint="cs"/>
          <w:rtl/>
        </w:rPr>
        <w:t xml:space="preserve">ساطير معنى في حياة المرأة، </w:t>
      </w:r>
      <w:r>
        <w:rPr>
          <w:rFonts w:hint="cs"/>
          <w:rtl/>
        </w:rPr>
        <w:t xml:space="preserve">فلو أرادت أن تخرج المرأة من </w:t>
      </w:r>
      <w:r>
        <w:rPr>
          <w:rFonts w:hint="cs"/>
          <w:rtl/>
        </w:rPr>
        <w:lastRenderedPageBreak/>
        <w:t>دنياها فس</w:t>
      </w:r>
      <w:r w:rsidRPr="00544A36">
        <w:rPr>
          <w:rFonts w:hint="cs"/>
          <w:rtl/>
        </w:rPr>
        <w:t>تواجه العديد من المشاكل</w:t>
      </w:r>
      <w:r>
        <w:rPr>
          <w:rFonts w:hint="cs"/>
          <w:rtl/>
        </w:rPr>
        <w:t xml:space="preserve">؛ </w:t>
      </w:r>
      <w:r w:rsidRPr="00544A36">
        <w:rPr>
          <w:rFonts w:hint="cs"/>
          <w:rtl/>
        </w:rPr>
        <w:t>ولذا</w:t>
      </w:r>
      <w:r>
        <w:rPr>
          <w:rFonts w:hint="cs"/>
          <w:rtl/>
        </w:rPr>
        <w:t xml:space="preserve"> لابدّ </w:t>
      </w:r>
      <w:r w:rsidRPr="00544A36">
        <w:rPr>
          <w:rFonts w:hint="cs"/>
          <w:rtl/>
        </w:rPr>
        <w:t>من النظر</w:t>
      </w:r>
      <w:r>
        <w:rPr>
          <w:rFonts w:hint="cs"/>
          <w:rtl/>
        </w:rPr>
        <w:t xml:space="preserve"> إلى </w:t>
      </w:r>
      <w:r w:rsidRPr="00544A36">
        <w:rPr>
          <w:rFonts w:hint="cs"/>
          <w:rtl/>
        </w:rPr>
        <w:t>ال</w:t>
      </w:r>
      <w:r>
        <w:rPr>
          <w:rFonts w:hint="cs"/>
          <w:rtl/>
        </w:rPr>
        <w:t>أحكام</w:t>
      </w:r>
      <w:r w:rsidRPr="00544A36">
        <w:rPr>
          <w:rFonts w:hint="cs"/>
          <w:rtl/>
        </w:rPr>
        <w:t xml:space="preserve"> </w:t>
      </w:r>
      <w:r>
        <w:rPr>
          <w:rFonts w:hint="cs"/>
          <w:rtl/>
        </w:rPr>
        <w:t>جميعها بنظرة عَرَضيّة أ</w:t>
      </w:r>
      <w:r w:rsidRPr="00544A36">
        <w:rPr>
          <w:rFonts w:hint="cs"/>
          <w:rtl/>
        </w:rPr>
        <w:t>سطورية</w:t>
      </w:r>
      <w:r>
        <w:rPr>
          <w:rFonts w:hint="cs"/>
          <w:rtl/>
        </w:rPr>
        <w:t>،</w:t>
      </w:r>
      <w:r w:rsidRPr="00544A36">
        <w:rPr>
          <w:rFonts w:hint="cs"/>
          <w:rtl/>
        </w:rPr>
        <w:t xml:space="preserve"> وإخراجها</w:t>
      </w:r>
      <w:r>
        <w:rPr>
          <w:rFonts w:hint="cs"/>
          <w:rtl/>
        </w:rPr>
        <w:t xml:space="preserve"> من أ</w:t>
      </w:r>
      <w:r w:rsidRPr="00544A36">
        <w:rPr>
          <w:rFonts w:hint="cs"/>
          <w:rtl/>
        </w:rPr>
        <w:t>سطور</w:t>
      </w:r>
      <w:r>
        <w:rPr>
          <w:rFonts w:hint="cs"/>
          <w:rtl/>
        </w:rPr>
        <w:t>يّ</w:t>
      </w:r>
      <w:r w:rsidRPr="00544A36">
        <w:rPr>
          <w:rFonts w:hint="cs"/>
          <w:rtl/>
        </w:rPr>
        <w:t>تها هذه.</w:t>
      </w:r>
    </w:p>
    <w:p w:rsidR="00BA281B" w:rsidRDefault="00BA281B" w:rsidP="001C51A4">
      <w:pPr>
        <w:pStyle w:val="afffffc"/>
        <w:rPr>
          <w:rtl/>
        </w:rPr>
      </w:pPr>
    </w:p>
    <w:p w:rsidR="00BA281B" w:rsidRPr="00544A36" w:rsidRDefault="00BA281B" w:rsidP="00BA281B">
      <w:pPr>
        <w:pStyle w:val="1"/>
        <w:rPr>
          <w:rFonts w:cs="AL-Mohanad"/>
          <w:szCs w:val="27"/>
          <w:rtl/>
        </w:rPr>
      </w:pPr>
      <w:bookmarkStart w:id="38" w:name="_Toc169521345"/>
      <w:bookmarkStart w:id="39" w:name="_Toc275127871"/>
      <w:r w:rsidRPr="00D457EB">
        <w:rPr>
          <w:rFonts w:hint="cs"/>
          <w:rtl/>
        </w:rPr>
        <w:t>مفهوم المرأة</w:t>
      </w:r>
      <w:r>
        <w:rPr>
          <w:rFonts w:hint="cs"/>
          <w:rtl/>
        </w:rPr>
        <w:t xml:space="preserve"> ودوره في بلورة قوانينها</w:t>
      </w:r>
      <w:bookmarkEnd w:id="38"/>
      <w:bookmarkEnd w:id="39"/>
    </w:p>
    <w:p w:rsidR="00BA281B" w:rsidRPr="00BA281B" w:rsidRDefault="00AC202B" w:rsidP="00AC202B">
      <w:pPr>
        <w:pStyle w:val="ac"/>
        <w:rPr>
          <w:rFonts w:cs="Abz-1 (Lotus)"/>
          <w:b/>
          <w:bCs/>
          <w:szCs w:val="29"/>
          <w:rtl/>
        </w:rPr>
      </w:pPr>
      <w:r w:rsidRPr="00AC202B">
        <w:rPr>
          <w:rFonts w:hint="cs"/>
        </w:rPr>
        <w:sym w:font="AGA Arabesque" w:char="F05F"/>
      </w:r>
      <w:r w:rsidRPr="00AC202B">
        <w:rPr>
          <w:rFonts w:hint="cs"/>
          <w:rtl/>
        </w:rPr>
        <w:t xml:space="preserve"> </w:t>
      </w:r>
      <w:r w:rsidR="00BA281B" w:rsidRPr="00BA281B">
        <w:rPr>
          <w:rFonts w:hint="cs"/>
          <w:b/>
          <w:bCs/>
          <w:rtl/>
        </w:rPr>
        <w:t>ذكرتم أنّ حقوق المرأة وأحكام علاقتها بالرجل ترتبط في العالم القديم ـ ومنه العالم الإسلامي ـ بمدى فهم حقيقة الرجل والمرأة، ومع الأخذ بعين الاعتبار التغييرات التي حصلت في العالم والتحوّلات التي وقعت في المعرفة الإنسانية، نجد أنّ تعريف الرجل والمرأة قد خضعا أيضاً لهذا التغيير، والسؤال هنا: ألا يلزم من ذلك تغيّر الأحكام والقوانين الحاكمة على علاقة الرجل والمرأة؟ أليس السبب في ظهور معضلة عنوانها (حقوق المرأة) هو عدم وجود تناسب بين أمرين هما: (القوانين والأخلاق التقليدية) و (التعريف الجديد للرجل والمرأة)؟</w:t>
      </w:r>
    </w:p>
    <w:p w:rsidR="00BA281B" w:rsidRDefault="00AC202B" w:rsidP="00BA281B">
      <w:pPr>
        <w:pStyle w:val="ac"/>
        <w:rPr>
          <w:rtl/>
        </w:rPr>
      </w:pPr>
      <w:r>
        <w:rPr>
          <w:rFonts w:hint="cs"/>
        </w:rPr>
        <w:sym w:font="AGA Arabesque" w:char="F05E"/>
      </w:r>
      <w:r>
        <w:rPr>
          <w:rFonts w:hint="cs"/>
          <w:rtl/>
        </w:rPr>
        <w:t xml:space="preserve"> </w:t>
      </w:r>
      <w:r w:rsidR="00BA281B" w:rsidRPr="00544A36">
        <w:rPr>
          <w:rFonts w:hint="cs"/>
          <w:rtl/>
        </w:rPr>
        <w:t xml:space="preserve">لا شكّ </w:t>
      </w:r>
      <w:r w:rsidR="00BA281B">
        <w:rPr>
          <w:rFonts w:hint="cs"/>
          <w:rtl/>
        </w:rPr>
        <w:t>أ</w:t>
      </w:r>
      <w:r w:rsidR="00BA281B" w:rsidRPr="00544A36">
        <w:rPr>
          <w:rFonts w:hint="cs"/>
          <w:rtl/>
        </w:rPr>
        <w:t>ن</w:t>
      </w:r>
      <w:r w:rsidR="00BA281B">
        <w:rPr>
          <w:rFonts w:hint="cs"/>
          <w:rtl/>
        </w:rPr>
        <w:t>ّ</w:t>
      </w:r>
      <w:r w:rsidR="00BA281B" w:rsidRPr="00544A36">
        <w:rPr>
          <w:rFonts w:hint="cs"/>
          <w:rtl/>
        </w:rPr>
        <w:t xml:space="preserve"> الرجل </w:t>
      </w:r>
      <w:r w:rsidR="00BA281B">
        <w:rPr>
          <w:rFonts w:hint="cs"/>
          <w:rtl/>
        </w:rPr>
        <w:t xml:space="preserve">قد </w:t>
      </w:r>
      <w:r w:rsidR="00BA281B" w:rsidRPr="00544A36">
        <w:rPr>
          <w:rFonts w:hint="cs"/>
          <w:rtl/>
        </w:rPr>
        <w:t>وضع حقوقا</w:t>
      </w:r>
      <w:r w:rsidR="00BA281B">
        <w:rPr>
          <w:rFonts w:hint="cs"/>
          <w:rtl/>
        </w:rPr>
        <w:t>ً</w:t>
      </w:r>
      <w:r w:rsidR="00BA281B" w:rsidRPr="00544A36">
        <w:rPr>
          <w:rFonts w:hint="cs"/>
          <w:rtl/>
        </w:rPr>
        <w:t xml:space="preserve"> للمرأة بناء</w:t>
      </w:r>
      <w:r w:rsidR="00BA281B">
        <w:rPr>
          <w:rFonts w:hint="cs"/>
          <w:rtl/>
        </w:rPr>
        <w:t>ً</w:t>
      </w:r>
      <w:r w:rsidR="00BA281B" w:rsidRPr="00544A36">
        <w:rPr>
          <w:rFonts w:hint="cs"/>
          <w:rtl/>
        </w:rPr>
        <w:t xml:space="preserve"> على ما تكّون لديه من رؤية معرفية </w:t>
      </w:r>
      <w:r w:rsidR="00BA281B">
        <w:rPr>
          <w:rFonts w:hint="cs"/>
          <w:rtl/>
        </w:rPr>
        <w:t>عنها،</w:t>
      </w:r>
      <w:r w:rsidR="00BA281B" w:rsidRPr="00544A36">
        <w:rPr>
          <w:rFonts w:hint="cs"/>
          <w:rtl/>
        </w:rPr>
        <w:t xml:space="preserve"> لكن </w:t>
      </w:r>
      <w:r w:rsidR="00BA281B">
        <w:rPr>
          <w:rFonts w:hint="cs"/>
          <w:rtl/>
        </w:rPr>
        <w:t xml:space="preserve">ذلك </w:t>
      </w:r>
      <w:r w:rsidR="00BA281B" w:rsidRPr="00544A36">
        <w:rPr>
          <w:rFonts w:hint="cs"/>
          <w:rtl/>
        </w:rPr>
        <w:t>لم يكن العامل الوحيد في تكوّن نظام</w:t>
      </w:r>
      <w:r w:rsidR="00BA281B">
        <w:rPr>
          <w:rFonts w:hint="cs"/>
          <w:rtl/>
        </w:rPr>
        <w:t>ها</w:t>
      </w:r>
      <w:r w:rsidR="00BA281B" w:rsidRPr="00544A36">
        <w:rPr>
          <w:rFonts w:hint="cs"/>
          <w:rtl/>
        </w:rPr>
        <w:t xml:space="preserve"> </w:t>
      </w:r>
      <w:r w:rsidR="00BA281B">
        <w:rPr>
          <w:rFonts w:hint="cs"/>
          <w:rtl/>
        </w:rPr>
        <w:t>ال</w:t>
      </w:r>
      <w:r w:rsidR="00BA281B" w:rsidRPr="00544A36">
        <w:rPr>
          <w:rFonts w:hint="cs"/>
          <w:rtl/>
        </w:rPr>
        <w:t>حقوق</w:t>
      </w:r>
      <w:r w:rsidR="00BA281B">
        <w:rPr>
          <w:rFonts w:hint="cs"/>
          <w:rtl/>
        </w:rPr>
        <w:t>ي</w:t>
      </w:r>
      <w:r w:rsidR="00BA281B" w:rsidRPr="00544A36">
        <w:rPr>
          <w:rFonts w:hint="cs"/>
          <w:rtl/>
        </w:rPr>
        <w:t xml:space="preserve">، بل الواقع هو </w:t>
      </w:r>
      <w:r w:rsidR="00BA281B">
        <w:rPr>
          <w:rFonts w:hint="cs"/>
          <w:rtl/>
        </w:rPr>
        <w:t>أ</w:t>
      </w:r>
      <w:r w:rsidR="00BA281B" w:rsidRPr="00544A36">
        <w:rPr>
          <w:rFonts w:hint="cs"/>
          <w:rtl/>
        </w:rPr>
        <w:t>ن</w:t>
      </w:r>
      <w:r w:rsidR="00BA281B">
        <w:rPr>
          <w:rFonts w:hint="cs"/>
          <w:rtl/>
        </w:rPr>
        <w:t>ّ المرأة في الماضي ـ ولأ</w:t>
      </w:r>
      <w:r w:rsidR="00BA281B" w:rsidRPr="00544A36">
        <w:rPr>
          <w:rFonts w:hint="cs"/>
          <w:rtl/>
        </w:rPr>
        <w:t>سباب متعد</w:t>
      </w:r>
      <w:r w:rsidR="00BA281B">
        <w:rPr>
          <w:rFonts w:hint="cs"/>
          <w:rtl/>
        </w:rPr>
        <w:t>ّ</w:t>
      </w:r>
      <w:r w:rsidR="00BA281B" w:rsidRPr="00544A36">
        <w:rPr>
          <w:rFonts w:hint="cs"/>
          <w:rtl/>
        </w:rPr>
        <w:t xml:space="preserve">دة </w:t>
      </w:r>
      <w:r w:rsidR="00BA281B">
        <w:rPr>
          <w:rFonts w:hint="cs"/>
          <w:rtl/>
        </w:rPr>
        <w:t xml:space="preserve">ـ </w:t>
      </w:r>
      <w:r w:rsidR="00BA281B" w:rsidRPr="00544A36">
        <w:rPr>
          <w:rFonts w:hint="cs"/>
          <w:rtl/>
        </w:rPr>
        <w:t>لم يكن لها أي</w:t>
      </w:r>
      <w:r w:rsidR="00BA281B">
        <w:rPr>
          <w:rFonts w:hint="cs"/>
          <w:rtl/>
        </w:rPr>
        <w:t>ّ</w:t>
      </w:r>
      <w:r w:rsidR="00BA281B" w:rsidRPr="00544A36">
        <w:rPr>
          <w:rFonts w:hint="cs"/>
          <w:rtl/>
        </w:rPr>
        <w:t xml:space="preserve"> دور </w:t>
      </w:r>
      <w:r w:rsidR="00BA281B">
        <w:rPr>
          <w:rFonts w:hint="cs"/>
          <w:rtl/>
        </w:rPr>
        <w:t>اجتماعي، وأن الإ</w:t>
      </w:r>
      <w:r w:rsidR="00BA281B" w:rsidRPr="00544A36">
        <w:rPr>
          <w:rFonts w:hint="cs"/>
          <w:rtl/>
        </w:rPr>
        <w:t>مكانات والفرص المتاحة للرجل لم تكن متاحة</w:t>
      </w:r>
      <w:r w:rsidR="00BA281B">
        <w:rPr>
          <w:rFonts w:hint="cs"/>
          <w:rtl/>
        </w:rPr>
        <w:t>ً</w:t>
      </w:r>
      <w:r w:rsidR="00BA281B" w:rsidRPr="00544A36">
        <w:rPr>
          <w:rFonts w:hint="cs"/>
          <w:rtl/>
        </w:rPr>
        <w:t xml:space="preserve"> ل</w:t>
      </w:r>
      <w:r w:rsidR="00BA281B">
        <w:rPr>
          <w:rFonts w:hint="cs"/>
          <w:rtl/>
        </w:rPr>
        <w:t>ها؛ فقد كان المجتمع أ</w:t>
      </w:r>
      <w:r w:rsidR="00BA281B" w:rsidRPr="00544A36">
        <w:rPr>
          <w:rFonts w:hint="cs"/>
          <w:rtl/>
        </w:rPr>
        <w:t>م</w:t>
      </w:r>
      <w:r w:rsidR="00BA281B">
        <w:rPr>
          <w:rFonts w:hint="cs"/>
          <w:rtl/>
        </w:rPr>
        <w:t>ّ</w:t>
      </w:r>
      <w:r w:rsidR="00BA281B" w:rsidRPr="00544A36">
        <w:rPr>
          <w:rFonts w:hint="cs"/>
          <w:rtl/>
        </w:rPr>
        <w:t>يا</w:t>
      </w:r>
      <w:r w:rsidR="00BA281B">
        <w:rPr>
          <w:rFonts w:hint="cs"/>
          <w:rtl/>
        </w:rPr>
        <w:t>ً</w:t>
      </w:r>
      <w:r w:rsidR="00BA281B" w:rsidRPr="00544A36">
        <w:rPr>
          <w:rFonts w:hint="cs"/>
          <w:rtl/>
        </w:rPr>
        <w:t xml:space="preserve"> غير متعل</w:t>
      </w:r>
      <w:r w:rsidR="00BA281B">
        <w:rPr>
          <w:rFonts w:hint="cs"/>
          <w:rtl/>
        </w:rPr>
        <w:t>ّ</w:t>
      </w:r>
      <w:r w:rsidR="00BA281B" w:rsidRPr="00544A36">
        <w:rPr>
          <w:rFonts w:hint="cs"/>
          <w:rtl/>
        </w:rPr>
        <w:t>م</w:t>
      </w:r>
      <w:r w:rsidR="00BA281B">
        <w:rPr>
          <w:rFonts w:hint="cs"/>
          <w:rtl/>
        </w:rPr>
        <w:t>، والمرأة تزيد عن الرجل أ</w:t>
      </w:r>
      <w:r w:rsidR="00BA281B" w:rsidRPr="00544A36">
        <w:rPr>
          <w:rFonts w:hint="cs"/>
          <w:rtl/>
        </w:rPr>
        <w:t>مي</w:t>
      </w:r>
      <w:r w:rsidR="00BA281B">
        <w:rPr>
          <w:rFonts w:hint="cs"/>
          <w:rtl/>
        </w:rPr>
        <w:t>ّ</w:t>
      </w:r>
      <w:r w:rsidR="00BA281B" w:rsidRPr="00544A36">
        <w:rPr>
          <w:rFonts w:hint="cs"/>
          <w:rtl/>
        </w:rPr>
        <w:t>ة</w:t>
      </w:r>
      <w:r w:rsidR="00BA281B">
        <w:rPr>
          <w:rFonts w:hint="cs"/>
          <w:rtl/>
        </w:rPr>
        <w:t>ً</w:t>
      </w:r>
      <w:r w:rsidR="00BA281B" w:rsidRPr="00544A36">
        <w:rPr>
          <w:rFonts w:hint="cs"/>
          <w:rtl/>
        </w:rPr>
        <w:t xml:space="preserve"> وجهلا</w:t>
      </w:r>
      <w:r w:rsidR="00BA281B">
        <w:rPr>
          <w:rFonts w:hint="cs"/>
          <w:rtl/>
        </w:rPr>
        <w:t>ً،</w:t>
      </w:r>
      <w:r w:rsidR="00BA281B" w:rsidRPr="00544A36">
        <w:rPr>
          <w:rFonts w:hint="cs"/>
          <w:rtl/>
        </w:rPr>
        <w:t xml:space="preserve"> وكانت عقيدة القدماء تذهب</w:t>
      </w:r>
      <w:r w:rsidR="00BA281B">
        <w:rPr>
          <w:rFonts w:hint="cs"/>
          <w:rtl/>
        </w:rPr>
        <w:t xml:space="preserve"> إلى </w:t>
      </w:r>
      <w:r w:rsidR="00BA281B" w:rsidRPr="00544A36">
        <w:rPr>
          <w:rFonts w:hint="cs"/>
          <w:rtl/>
        </w:rPr>
        <w:t>كون</w:t>
      </w:r>
      <w:r w:rsidR="00BA281B">
        <w:rPr>
          <w:rFonts w:hint="cs"/>
          <w:rtl/>
        </w:rPr>
        <w:t xml:space="preserve"> المرأة </w:t>
      </w:r>
      <w:r w:rsidR="00BA281B" w:rsidRPr="00544A36">
        <w:rPr>
          <w:rFonts w:hint="cs"/>
          <w:rtl/>
        </w:rPr>
        <w:t>أضعف من الرجل من جهة</w:t>
      </w:r>
      <w:r w:rsidR="00BA281B">
        <w:rPr>
          <w:rFonts w:hint="cs"/>
          <w:rtl/>
        </w:rPr>
        <w:t>ٍ</w:t>
      </w:r>
      <w:r w:rsidR="00BA281B" w:rsidRPr="00544A36">
        <w:rPr>
          <w:rFonts w:hint="cs"/>
          <w:rtl/>
        </w:rPr>
        <w:t xml:space="preserve"> تكوينية</w:t>
      </w:r>
      <w:r w:rsidR="00BA281B">
        <w:rPr>
          <w:rFonts w:hint="cs"/>
          <w:rtl/>
        </w:rPr>
        <w:t>، أي بلحاظ القوى الإدراكية.</w:t>
      </w:r>
    </w:p>
    <w:p w:rsidR="00BA281B" w:rsidRPr="00544A36" w:rsidRDefault="00BA281B" w:rsidP="00BA281B">
      <w:pPr>
        <w:pStyle w:val="ac"/>
        <w:rPr>
          <w:rtl/>
        </w:rPr>
      </w:pPr>
      <w:r w:rsidRPr="00544A36">
        <w:rPr>
          <w:rFonts w:hint="cs"/>
          <w:rtl/>
        </w:rPr>
        <w:t>وهذا الكلام يترد</w:t>
      </w:r>
      <w:r>
        <w:rPr>
          <w:rFonts w:hint="cs"/>
          <w:rtl/>
        </w:rPr>
        <w:t>ّ</w:t>
      </w:r>
      <w:r w:rsidRPr="00544A36">
        <w:rPr>
          <w:rFonts w:hint="cs"/>
          <w:rtl/>
        </w:rPr>
        <w:t>د حتى في فلسفة كان</w:t>
      </w:r>
      <w:r>
        <w:rPr>
          <w:rFonts w:hint="cs"/>
          <w:rtl/>
        </w:rPr>
        <w:t>ط،</w:t>
      </w:r>
      <w:r w:rsidRPr="00544A36">
        <w:rPr>
          <w:rFonts w:hint="cs"/>
          <w:rtl/>
        </w:rPr>
        <w:t xml:space="preserve"> فمع </w:t>
      </w:r>
      <w:r>
        <w:rPr>
          <w:rFonts w:hint="cs"/>
          <w:rtl/>
        </w:rPr>
        <w:t>كونه</w:t>
      </w:r>
      <w:r w:rsidRPr="00544A36">
        <w:rPr>
          <w:rFonts w:hint="cs"/>
          <w:rtl/>
        </w:rPr>
        <w:t xml:space="preserve"> من فلاسفة عصر النهضة</w:t>
      </w:r>
      <w:r>
        <w:rPr>
          <w:rFonts w:hint="cs"/>
          <w:rtl/>
        </w:rPr>
        <w:t>،</w:t>
      </w:r>
      <w:r w:rsidRPr="00544A36">
        <w:rPr>
          <w:rFonts w:hint="cs"/>
          <w:rtl/>
        </w:rPr>
        <w:t xml:space="preserve"> </w:t>
      </w:r>
      <w:r>
        <w:rPr>
          <w:rFonts w:hint="cs"/>
          <w:rtl/>
        </w:rPr>
        <w:t xml:space="preserve">إلا أنّه </w:t>
      </w:r>
      <w:r w:rsidRPr="00544A36">
        <w:rPr>
          <w:rFonts w:hint="cs"/>
          <w:rtl/>
        </w:rPr>
        <w:t xml:space="preserve">ذكر </w:t>
      </w:r>
      <w:r>
        <w:rPr>
          <w:rFonts w:hint="cs"/>
          <w:rtl/>
        </w:rPr>
        <w:t xml:space="preserve">ـ </w:t>
      </w:r>
      <w:r w:rsidRPr="00544A36">
        <w:rPr>
          <w:rFonts w:hint="cs"/>
          <w:rtl/>
        </w:rPr>
        <w:t xml:space="preserve">عند بحثه </w:t>
      </w:r>
      <w:r>
        <w:rPr>
          <w:rFonts w:hint="cs"/>
          <w:rtl/>
        </w:rPr>
        <w:t xml:space="preserve">في </w:t>
      </w:r>
      <w:r w:rsidRPr="00544A36">
        <w:rPr>
          <w:rFonts w:hint="cs"/>
          <w:rtl/>
        </w:rPr>
        <w:t>فلسفة ال</w:t>
      </w:r>
      <w:r>
        <w:rPr>
          <w:rFonts w:hint="cs"/>
          <w:rtl/>
        </w:rPr>
        <w:t>أخلاق</w:t>
      </w:r>
      <w:r w:rsidRPr="00544A36">
        <w:rPr>
          <w:rFonts w:hint="cs"/>
          <w:rtl/>
        </w:rPr>
        <w:t xml:space="preserve"> </w:t>
      </w:r>
      <w:r>
        <w:rPr>
          <w:rFonts w:hint="cs"/>
          <w:rtl/>
        </w:rPr>
        <w:t>ـ أ</w:t>
      </w:r>
      <w:r w:rsidRPr="00544A36">
        <w:rPr>
          <w:rFonts w:hint="cs"/>
          <w:rtl/>
        </w:rPr>
        <w:t>ن</w:t>
      </w:r>
      <w:r>
        <w:rPr>
          <w:rFonts w:hint="cs"/>
          <w:rtl/>
        </w:rPr>
        <w:t>ّ</w:t>
      </w:r>
      <w:r w:rsidRPr="00544A36">
        <w:rPr>
          <w:rFonts w:hint="cs"/>
          <w:rtl/>
        </w:rPr>
        <w:t xml:space="preserve"> الموجودات المستقلّة وحدها التي تتمت</w:t>
      </w:r>
      <w:r>
        <w:rPr>
          <w:rFonts w:hint="cs"/>
          <w:rtl/>
        </w:rPr>
        <w:t>ّ</w:t>
      </w:r>
      <w:r w:rsidRPr="00544A36">
        <w:rPr>
          <w:rFonts w:hint="cs"/>
          <w:rtl/>
        </w:rPr>
        <w:t xml:space="preserve">ع بقوى إدراكية، </w:t>
      </w:r>
      <w:r>
        <w:rPr>
          <w:rFonts w:hint="cs"/>
          <w:rtl/>
        </w:rPr>
        <w:t>دون أن يعت</w:t>
      </w:r>
      <w:r w:rsidRPr="00544A36">
        <w:rPr>
          <w:rFonts w:hint="cs"/>
          <w:rtl/>
        </w:rPr>
        <w:t>بر</w:t>
      </w:r>
      <w:r>
        <w:rPr>
          <w:rFonts w:hint="cs"/>
          <w:rtl/>
        </w:rPr>
        <w:t xml:space="preserve"> المرأة </w:t>
      </w:r>
      <w:r w:rsidRPr="00544A36">
        <w:rPr>
          <w:rFonts w:hint="cs"/>
          <w:rtl/>
        </w:rPr>
        <w:t>من</w:t>
      </w:r>
      <w:r>
        <w:rPr>
          <w:rFonts w:hint="cs"/>
          <w:rtl/>
        </w:rPr>
        <w:t>ها،</w:t>
      </w:r>
      <w:r w:rsidRPr="00544A36">
        <w:rPr>
          <w:rFonts w:hint="cs"/>
          <w:rtl/>
        </w:rPr>
        <w:t xml:space="preserve"> ورأي كان</w:t>
      </w:r>
      <w:r>
        <w:rPr>
          <w:rFonts w:hint="cs"/>
          <w:rtl/>
        </w:rPr>
        <w:t>ط</w:t>
      </w:r>
      <w:r w:rsidRPr="00544A36">
        <w:rPr>
          <w:rFonts w:hint="cs"/>
          <w:rtl/>
        </w:rPr>
        <w:t xml:space="preserve"> هذا قريب</w:t>
      </w:r>
      <w:r>
        <w:rPr>
          <w:rFonts w:hint="cs"/>
          <w:rtl/>
        </w:rPr>
        <w:t>ٌ</w:t>
      </w:r>
      <w:r w:rsidRPr="00544A36">
        <w:rPr>
          <w:rFonts w:hint="cs"/>
          <w:rtl/>
        </w:rPr>
        <w:t xml:space="preserve"> من رأي الملا صدرا والحكيم السبزواري</w:t>
      </w:r>
      <w:r>
        <w:rPr>
          <w:rFonts w:hint="cs"/>
          <w:rtl/>
        </w:rPr>
        <w:t>؛</w:t>
      </w:r>
      <w:r w:rsidRPr="00544A36">
        <w:rPr>
          <w:rFonts w:hint="cs"/>
          <w:rtl/>
        </w:rPr>
        <w:t xml:space="preserve"> حيث كانا يعتقدان </w:t>
      </w:r>
      <w:r>
        <w:rPr>
          <w:rFonts w:hint="cs"/>
          <w:rtl/>
        </w:rPr>
        <w:t>أ</w:t>
      </w:r>
      <w:r w:rsidRPr="00544A36">
        <w:rPr>
          <w:rFonts w:hint="cs"/>
          <w:rtl/>
        </w:rPr>
        <w:t>ن</w:t>
      </w:r>
      <w:r>
        <w:rPr>
          <w:rFonts w:hint="cs"/>
          <w:rtl/>
        </w:rPr>
        <w:t>ّ المرأة إ</w:t>
      </w:r>
      <w:r w:rsidRPr="00544A36">
        <w:rPr>
          <w:rFonts w:hint="cs"/>
          <w:rtl/>
        </w:rPr>
        <w:t>ن</w:t>
      </w:r>
      <w:r>
        <w:rPr>
          <w:rFonts w:hint="cs"/>
          <w:rtl/>
        </w:rPr>
        <w:t>ّ</w:t>
      </w:r>
      <w:r w:rsidRPr="00544A36">
        <w:rPr>
          <w:rFonts w:hint="cs"/>
          <w:rtl/>
        </w:rPr>
        <w:t>ما تتمك</w:t>
      </w:r>
      <w:r>
        <w:rPr>
          <w:rFonts w:hint="cs"/>
          <w:rtl/>
        </w:rPr>
        <w:t>ّ</w:t>
      </w:r>
      <w:r w:rsidRPr="00544A36">
        <w:rPr>
          <w:rFonts w:hint="cs"/>
          <w:rtl/>
        </w:rPr>
        <w:t xml:space="preserve">ن من إدراك الجزئيات </w:t>
      </w:r>
      <w:r>
        <w:rPr>
          <w:rFonts w:hint="cs"/>
          <w:rtl/>
        </w:rPr>
        <w:t>دون</w:t>
      </w:r>
      <w:r w:rsidRPr="00544A36">
        <w:rPr>
          <w:rFonts w:hint="cs"/>
          <w:rtl/>
        </w:rPr>
        <w:t xml:space="preserve"> الكل</w:t>
      </w:r>
      <w:r>
        <w:rPr>
          <w:rFonts w:hint="cs"/>
          <w:rtl/>
        </w:rPr>
        <w:t>ّ</w:t>
      </w:r>
      <w:r w:rsidRPr="00544A36">
        <w:rPr>
          <w:rFonts w:hint="cs"/>
          <w:rtl/>
        </w:rPr>
        <w:t>يات.</w:t>
      </w:r>
    </w:p>
    <w:p w:rsidR="00BA281B" w:rsidRDefault="00BA281B" w:rsidP="00BA281B">
      <w:pPr>
        <w:pStyle w:val="ac"/>
        <w:rPr>
          <w:rtl/>
        </w:rPr>
      </w:pPr>
      <w:r w:rsidRPr="00544A36">
        <w:rPr>
          <w:rFonts w:hint="cs"/>
          <w:rtl/>
        </w:rPr>
        <w:t xml:space="preserve">لقد كان هذا </w:t>
      </w:r>
      <w:r>
        <w:rPr>
          <w:rFonts w:hint="cs"/>
          <w:rtl/>
        </w:rPr>
        <w:t xml:space="preserve">هو </w:t>
      </w:r>
      <w:r w:rsidRPr="00544A36">
        <w:rPr>
          <w:rFonts w:hint="cs"/>
          <w:rtl/>
        </w:rPr>
        <w:t xml:space="preserve">رأي </w:t>
      </w:r>
      <w:r>
        <w:rPr>
          <w:rFonts w:hint="cs"/>
          <w:rtl/>
        </w:rPr>
        <w:t>اليونانيي</w:t>
      </w:r>
      <w:r w:rsidRPr="00544A36">
        <w:rPr>
          <w:rFonts w:hint="cs"/>
          <w:rtl/>
        </w:rPr>
        <w:t>ن القدماء والفلاسفة المسلم</w:t>
      </w:r>
      <w:r>
        <w:rPr>
          <w:rFonts w:hint="cs"/>
          <w:rtl/>
        </w:rPr>
        <w:t>ين والأ</w:t>
      </w:r>
      <w:r w:rsidRPr="00544A36">
        <w:rPr>
          <w:rFonts w:hint="cs"/>
          <w:rtl/>
        </w:rPr>
        <w:t>ور</w:t>
      </w:r>
      <w:r>
        <w:rPr>
          <w:rFonts w:hint="cs"/>
          <w:rtl/>
        </w:rPr>
        <w:t>و</w:t>
      </w:r>
      <w:r w:rsidRPr="00544A36">
        <w:rPr>
          <w:rFonts w:hint="cs"/>
          <w:rtl/>
        </w:rPr>
        <w:t>بي</w:t>
      </w:r>
      <w:r>
        <w:rPr>
          <w:rFonts w:hint="cs"/>
          <w:rtl/>
        </w:rPr>
        <w:t>ي</w:t>
      </w:r>
      <w:r w:rsidRPr="00544A36">
        <w:rPr>
          <w:rFonts w:hint="cs"/>
          <w:rtl/>
        </w:rPr>
        <w:t>ن</w:t>
      </w:r>
      <w:r>
        <w:rPr>
          <w:rFonts w:hint="cs"/>
          <w:rtl/>
        </w:rPr>
        <w:t xml:space="preserve"> حتى بداية عصر النهضة،</w:t>
      </w:r>
      <w:r w:rsidRPr="00544A36">
        <w:rPr>
          <w:rFonts w:hint="cs"/>
          <w:rtl/>
        </w:rPr>
        <w:t xml:space="preserve"> وبشكل طبيعي ف</w:t>
      </w:r>
      <w:r>
        <w:rPr>
          <w:rFonts w:hint="cs"/>
          <w:rtl/>
        </w:rPr>
        <w:t>إ</w:t>
      </w:r>
      <w:r w:rsidRPr="00544A36">
        <w:rPr>
          <w:rFonts w:hint="cs"/>
          <w:rtl/>
        </w:rPr>
        <w:t>ن</w:t>
      </w:r>
      <w:r>
        <w:rPr>
          <w:rFonts w:hint="cs"/>
          <w:rtl/>
        </w:rPr>
        <w:t>ّ</w:t>
      </w:r>
      <w:r w:rsidRPr="00544A36">
        <w:rPr>
          <w:rFonts w:hint="cs"/>
          <w:rtl/>
        </w:rPr>
        <w:t xml:space="preserve"> ما ذكروه من حقوق</w:t>
      </w:r>
      <w:r>
        <w:rPr>
          <w:rFonts w:hint="cs"/>
          <w:rtl/>
        </w:rPr>
        <w:t>ٍ</w:t>
      </w:r>
      <w:r w:rsidRPr="00544A36">
        <w:rPr>
          <w:rFonts w:hint="cs"/>
          <w:rtl/>
        </w:rPr>
        <w:t xml:space="preserve"> للمرأة و</w:t>
      </w:r>
      <w:r>
        <w:rPr>
          <w:rFonts w:hint="cs"/>
          <w:rtl/>
        </w:rPr>
        <w:t>أحكام</w:t>
      </w:r>
      <w:r w:rsidRPr="00544A36">
        <w:rPr>
          <w:rFonts w:hint="cs"/>
          <w:rtl/>
        </w:rPr>
        <w:t xml:space="preserve">ها </w:t>
      </w:r>
      <w:r w:rsidRPr="00544A36">
        <w:rPr>
          <w:rFonts w:hint="cs"/>
          <w:rtl/>
        </w:rPr>
        <w:lastRenderedPageBreak/>
        <w:t>ال</w:t>
      </w:r>
      <w:r>
        <w:rPr>
          <w:rFonts w:hint="cs"/>
          <w:rtl/>
        </w:rPr>
        <w:t>أخلاق</w:t>
      </w:r>
      <w:r w:rsidRPr="00544A36">
        <w:rPr>
          <w:rFonts w:hint="cs"/>
          <w:rtl/>
        </w:rPr>
        <w:t>ية كان متأثرا</w:t>
      </w:r>
      <w:r>
        <w:rPr>
          <w:rFonts w:hint="cs"/>
          <w:rtl/>
        </w:rPr>
        <w:t>ً بهذا الرأي،</w:t>
      </w:r>
      <w:r w:rsidRPr="00544A36">
        <w:rPr>
          <w:rFonts w:hint="cs"/>
          <w:rtl/>
        </w:rPr>
        <w:t xml:space="preserve"> ولم يقتصر رأيهم هذا على اعتبار</w:t>
      </w:r>
      <w:r>
        <w:rPr>
          <w:rFonts w:hint="cs"/>
          <w:rtl/>
        </w:rPr>
        <w:t xml:space="preserve"> المرأة </w:t>
      </w:r>
      <w:r w:rsidRPr="00544A36">
        <w:rPr>
          <w:rFonts w:hint="cs"/>
          <w:rtl/>
        </w:rPr>
        <w:t>مخلوقا</w:t>
      </w:r>
      <w:r>
        <w:rPr>
          <w:rFonts w:hint="cs"/>
          <w:rtl/>
        </w:rPr>
        <w:t>ً</w:t>
      </w:r>
      <w:r w:rsidRPr="00544A36">
        <w:rPr>
          <w:rFonts w:hint="cs"/>
          <w:rtl/>
        </w:rPr>
        <w:t xml:space="preserve"> أدنى على </w:t>
      </w:r>
      <w:r>
        <w:rPr>
          <w:rFonts w:hint="cs"/>
          <w:rtl/>
        </w:rPr>
        <w:t>مستوى الفكر والإ</w:t>
      </w:r>
      <w:r w:rsidRPr="00544A36">
        <w:rPr>
          <w:rFonts w:hint="cs"/>
          <w:rtl/>
        </w:rPr>
        <w:t>دراك، بل كانوا ي</w:t>
      </w:r>
      <w:r>
        <w:rPr>
          <w:rFonts w:hint="cs"/>
          <w:rtl/>
        </w:rPr>
        <w:t>رونها تفتقد القدرة على الإ</w:t>
      </w:r>
      <w:r w:rsidRPr="00544A36">
        <w:rPr>
          <w:rFonts w:hint="cs"/>
          <w:rtl/>
        </w:rPr>
        <w:t xml:space="preserve">مساك بعاطفتها، ولا يقتصر </w:t>
      </w:r>
      <w:r>
        <w:rPr>
          <w:rFonts w:hint="cs"/>
          <w:rtl/>
        </w:rPr>
        <w:t>أمرُ</w:t>
      </w:r>
      <w:r w:rsidRPr="00544A36">
        <w:rPr>
          <w:rFonts w:hint="cs"/>
          <w:rtl/>
        </w:rPr>
        <w:t>ها على الوسوسة للآخرين، بل إنها لا تتمك</w:t>
      </w:r>
      <w:r>
        <w:rPr>
          <w:rFonts w:hint="cs"/>
          <w:rtl/>
        </w:rPr>
        <w:t>ّ</w:t>
      </w:r>
      <w:r w:rsidRPr="00544A36">
        <w:rPr>
          <w:rFonts w:hint="cs"/>
          <w:rtl/>
        </w:rPr>
        <w:t>ن من الاستفا</w:t>
      </w:r>
      <w:r>
        <w:rPr>
          <w:rFonts w:hint="cs"/>
          <w:rtl/>
        </w:rPr>
        <w:t>دة من وجودها بشكل لائق،</w:t>
      </w:r>
      <w:r w:rsidRPr="00544A36">
        <w:rPr>
          <w:rtl/>
        </w:rPr>
        <w:t xml:space="preserve"> </w:t>
      </w:r>
      <w:r w:rsidRPr="00544A36">
        <w:rPr>
          <w:rFonts w:hint="cs"/>
          <w:rtl/>
        </w:rPr>
        <w:t>وقد و</w:t>
      </w:r>
      <w:r>
        <w:rPr>
          <w:rFonts w:hint="cs"/>
          <w:rtl/>
        </w:rPr>
        <w:t xml:space="preserve">رد في الروايات وفي كتاب إحياء </w:t>
      </w:r>
      <w:r w:rsidRPr="00544A36">
        <w:rPr>
          <w:rFonts w:hint="cs"/>
          <w:rtl/>
        </w:rPr>
        <w:t xml:space="preserve">علوم </w:t>
      </w:r>
      <w:r>
        <w:rPr>
          <w:rFonts w:hint="cs"/>
          <w:rtl/>
        </w:rPr>
        <w:t>الدين للغزالي أ</w:t>
      </w:r>
      <w:r w:rsidRPr="00544A36">
        <w:rPr>
          <w:rFonts w:hint="cs"/>
          <w:rtl/>
        </w:rPr>
        <w:t>ن</w:t>
      </w:r>
      <w:r>
        <w:rPr>
          <w:rFonts w:hint="cs"/>
          <w:rtl/>
        </w:rPr>
        <w:t xml:space="preserve">ّ المرأة </w:t>
      </w:r>
      <w:r w:rsidRPr="00544A36">
        <w:rPr>
          <w:rFonts w:hint="cs"/>
          <w:rtl/>
        </w:rPr>
        <w:t>تشك</w:t>
      </w:r>
      <w:r>
        <w:rPr>
          <w:rFonts w:hint="cs"/>
          <w:rtl/>
        </w:rPr>
        <w:t>ّل نصف جند الشيطان،</w:t>
      </w:r>
      <w:r w:rsidRPr="00544A36">
        <w:rPr>
          <w:rFonts w:hint="cs"/>
          <w:rtl/>
        </w:rPr>
        <w:t xml:space="preserve"> و</w:t>
      </w:r>
      <w:r>
        <w:rPr>
          <w:rFonts w:hint="cs"/>
          <w:rtl/>
        </w:rPr>
        <w:t xml:space="preserve">أنّ </w:t>
      </w:r>
      <w:r w:rsidRPr="00544A36">
        <w:rPr>
          <w:rFonts w:hint="cs"/>
          <w:rtl/>
        </w:rPr>
        <w:t>الشيطان يتمك</w:t>
      </w:r>
      <w:r>
        <w:rPr>
          <w:rFonts w:hint="cs"/>
          <w:rtl/>
        </w:rPr>
        <w:t>ّ</w:t>
      </w:r>
      <w:r w:rsidRPr="00544A36">
        <w:rPr>
          <w:rFonts w:hint="cs"/>
          <w:rtl/>
        </w:rPr>
        <w:t xml:space="preserve">ن </w:t>
      </w:r>
      <w:r>
        <w:rPr>
          <w:rFonts w:hint="cs"/>
          <w:rtl/>
        </w:rPr>
        <w:t xml:space="preserve">ـ </w:t>
      </w:r>
      <w:r w:rsidRPr="00544A36">
        <w:rPr>
          <w:rFonts w:hint="cs"/>
          <w:rtl/>
        </w:rPr>
        <w:t xml:space="preserve">من خلالها </w:t>
      </w:r>
      <w:r>
        <w:rPr>
          <w:rFonts w:hint="cs"/>
          <w:rtl/>
        </w:rPr>
        <w:t xml:space="preserve">ـ </w:t>
      </w:r>
      <w:r w:rsidRPr="00544A36">
        <w:rPr>
          <w:rFonts w:hint="cs"/>
          <w:rtl/>
        </w:rPr>
        <w:t>من الوصول</w:t>
      </w:r>
      <w:r>
        <w:rPr>
          <w:rFonts w:hint="cs"/>
          <w:rtl/>
        </w:rPr>
        <w:t xml:space="preserve"> إلى </w:t>
      </w:r>
      <w:r w:rsidRPr="00544A36">
        <w:rPr>
          <w:rFonts w:hint="cs"/>
          <w:rtl/>
        </w:rPr>
        <w:t>مقاصده داخل المجتمع الملتزم</w:t>
      </w:r>
      <w:r>
        <w:rPr>
          <w:rFonts w:hint="cs"/>
          <w:rtl/>
        </w:rPr>
        <w:t xml:space="preserve"> بالدين،</w:t>
      </w:r>
      <w:r w:rsidRPr="00544A36">
        <w:rPr>
          <w:rFonts w:hint="cs"/>
          <w:rtl/>
        </w:rPr>
        <w:t xml:space="preserve"> كما ورد في رواية</w:t>
      </w:r>
      <w:r>
        <w:rPr>
          <w:rFonts w:hint="cs"/>
          <w:rtl/>
        </w:rPr>
        <w:t>ٍ</w:t>
      </w:r>
      <w:r w:rsidRPr="00544A36">
        <w:rPr>
          <w:rFonts w:hint="cs"/>
          <w:rtl/>
        </w:rPr>
        <w:t xml:space="preserve"> </w:t>
      </w:r>
      <w:r>
        <w:rPr>
          <w:rFonts w:hint="cs"/>
          <w:rtl/>
        </w:rPr>
        <w:t>أخرى</w:t>
      </w:r>
      <w:r w:rsidRPr="00544A36">
        <w:rPr>
          <w:rFonts w:hint="cs"/>
          <w:rtl/>
        </w:rPr>
        <w:t xml:space="preserve"> </w:t>
      </w:r>
      <w:r>
        <w:rPr>
          <w:rFonts w:hint="cs"/>
          <w:rtl/>
        </w:rPr>
        <w:t>أ</w:t>
      </w:r>
      <w:r w:rsidRPr="00544A36">
        <w:rPr>
          <w:rFonts w:hint="cs"/>
          <w:rtl/>
        </w:rPr>
        <w:t>ن</w:t>
      </w:r>
      <w:r>
        <w:rPr>
          <w:rFonts w:hint="cs"/>
          <w:rtl/>
        </w:rPr>
        <w:t>ّ</w:t>
      </w:r>
      <w:r w:rsidRPr="00544A36">
        <w:rPr>
          <w:rFonts w:hint="cs"/>
          <w:rtl/>
        </w:rPr>
        <w:t xml:space="preserve"> النبي</w:t>
      </w:r>
      <w:r>
        <w:rPr>
          <w:rFonts w:hint="cs"/>
          <w:rtl/>
        </w:rPr>
        <w:t>ّ</w:t>
      </w:r>
      <w:r w:rsidRPr="00544A36">
        <w:rPr>
          <w:rFonts w:hint="cs"/>
          <w:rtl/>
        </w:rPr>
        <w:t xml:space="preserve"> في المعراج نظر</w:t>
      </w:r>
      <w:r>
        <w:rPr>
          <w:rFonts w:hint="cs"/>
          <w:rtl/>
        </w:rPr>
        <w:t xml:space="preserve"> إلى </w:t>
      </w:r>
      <w:r w:rsidRPr="00544A36">
        <w:rPr>
          <w:rFonts w:hint="cs"/>
          <w:rtl/>
        </w:rPr>
        <w:t>جهن</w:t>
      </w:r>
      <w:r>
        <w:rPr>
          <w:rFonts w:hint="cs"/>
          <w:rtl/>
        </w:rPr>
        <w:t>ّ</w:t>
      </w:r>
      <w:r w:rsidRPr="00544A36">
        <w:rPr>
          <w:rFonts w:hint="cs"/>
          <w:rtl/>
        </w:rPr>
        <w:t>م فوجد أكثر أهل النار من النساء.</w:t>
      </w:r>
    </w:p>
    <w:p w:rsidR="00BA281B" w:rsidRDefault="00BA281B" w:rsidP="00BA281B">
      <w:pPr>
        <w:pStyle w:val="ac"/>
        <w:rPr>
          <w:rtl/>
        </w:rPr>
      </w:pPr>
      <w:r>
        <w:rPr>
          <w:rFonts w:hint="cs"/>
          <w:rtl/>
        </w:rPr>
        <w:t>و</w:t>
      </w:r>
      <w:r w:rsidRPr="00544A36">
        <w:rPr>
          <w:rFonts w:hint="cs"/>
          <w:rtl/>
        </w:rPr>
        <w:t>أغلب الظن</w:t>
      </w:r>
      <w:r>
        <w:rPr>
          <w:rFonts w:hint="cs"/>
          <w:rtl/>
        </w:rPr>
        <w:t>ّ</w:t>
      </w:r>
      <w:r w:rsidRPr="00544A36">
        <w:rPr>
          <w:rFonts w:hint="cs"/>
          <w:rtl/>
        </w:rPr>
        <w:t xml:space="preserve"> </w:t>
      </w:r>
      <w:r>
        <w:rPr>
          <w:rFonts w:hint="cs"/>
          <w:rtl/>
        </w:rPr>
        <w:t>أ</w:t>
      </w:r>
      <w:r w:rsidRPr="00544A36">
        <w:rPr>
          <w:rFonts w:hint="cs"/>
          <w:rtl/>
        </w:rPr>
        <w:t>ن</w:t>
      </w:r>
      <w:r>
        <w:rPr>
          <w:rFonts w:hint="cs"/>
          <w:rtl/>
        </w:rPr>
        <w:t>ّ</w:t>
      </w:r>
      <w:r w:rsidRPr="00544A36">
        <w:rPr>
          <w:rFonts w:hint="cs"/>
          <w:rtl/>
        </w:rPr>
        <w:t xml:space="preserve"> هذه الروايات </w:t>
      </w:r>
      <w:r>
        <w:rPr>
          <w:rFonts w:hint="cs"/>
          <w:rtl/>
        </w:rPr>
        <w:t xml:space="preserve">من الروايات الموضوعة، </w:t>
      </w:r>
      <w:r w:rsidRPr="00544A36">
        <w:rPr>
          <w:rFonts w:hint="cs"/>
          <w:rtl/>
        </w:rPr>
        <w:t>لكن</w:t>
      </w:r>
      <w:r>
        <w:rPr>
          <w:rFonts w:hint="cs"/>
          <w:rtl/>
        </w:rPr>
        <w:t>ّ</w:t>
      </w:r>
      <w:r w:rsidRPr="00544A36">
        <w:rPr>
          <w:rFonts w:hint="cs"/>
          <w:rtl/>
        </w:rPr>
        <w:t>ها تقدّم لنا العبرة وتحكي لنا عن النمط الفكري الذي كان سائدا</w:t>
      </w:r>
      <w:r>
        <w:rPr>
          <w:rFonts w:hint="cs"/>
          <w:rtl/>
        </w:rPr>
        <w:t>ً في المجتمع الديني آنذاك،</w:t>
      </w:r>
      <w:r w:rsidRPr="00544A36">
        <w:rPr>
          <w:rFonts w:hint="cs"/>
          <w:rtl/>
        </w:rPr>
        <w:t xml:space="preserve"> وكيف كان نمط التفكير لدى عالم</w:t>
      </w:r>
      <w:r>
        <w:rPr>
          <w:rFonts w:hint="cs"/>
          <w:rtl/>
        </w:rPr>
        <w:t>ٍ</w:t>
      </w:r>
      <w:r w:rsidRPr="00544A36">
        <w:rPr>
          <w:rFonts w:hint="cs"/>
          <w:rtl/>
        </w:rPr>
        <w:t xml:space="preserve"> كالغزالي و</w:t>
      </w:r>
      <w:r>
        <w:rPr>
          <w:rFonts w:hint="cs"/>
          <w:rtl/>
        </w:rPr>
        <w:t>كذا أ</w:t>
      </w:r>
      <w:r w:rsidRPr="00544A36">
        <w:rPr>
          <w:rFonts w:hint="cs"/>
          <w:rtl/>
        </w:rPr>
        <w:t>نم</w:t>
      </w:r>
      <w:r>
        <w:rPr>
          <w:rFonts w:hint="cs"/>
          <w:rtl/>
        </w:rPr>
        <w:t>ا</w:t>
      </w:r>
      <w:r w:rsidRPr="00544A36">
        <w:rPr>
          <w:rFonts w:hint="cs"/>
          <w:rtl/>
        </w:rPr>
        <w:t>ط تفكير من كان يقرأ كتبه ويتلق</w:t>
      </w:r>
      <w:r>
        <w:rPr>
          <w:rFonts w:hint="cs"/>
          <w:rtl/>
        </w:rPr>
        <w:t>ّ</w:t>
      </w:r>
      <w:r w:rsidRPr="00544A36">
        <w:rPr>
          <w:rFonts w:hint="cs"/>
          <w:rtl/>
        </w:rPr>
        <w:t>اه</w:t>
      </w:r>
      <w:r>
        <w:rPr>
          <w:rFonts w:hint="cs"/>
          <w:rtl/>
        </w:rPr>
        <w:t>ا</w:t>
      </w:r>
      <w:r w:rsidRPr="00544A36">
        <w:rPr>
          <w:rFonts w:hint="cs"/>
          <w:rtl/>
        </w:rPr>
        <w:t xml:space="preserve"> بالرضا، لقد كان هذا النمط من التفكير رائجا</w:t>
      </w:r>
      <w:r>
        <w:rPr>
          <w:rFonts w:hint="cs"/>
          <w:rtl/>
        </w:rPr>
        <w:t>ً،</w:t>
      </w:r>
      <w:r w:rsidRPr="00544A36">
        <w:rPr>
          <w:rFonts w:hint="cs"/>
          <w:rtl/>
        </w:rPr>
        <w:t xml:space="preserve"> ولذا لم يعترض أحد</w:t>
      </w:r>
      <w:r>
        <w:rPr>
          <w:rFonts w:hint="cs"/>
          <w:rtl/>
        </w:rPr>
        <w:t>ٌ</w:t>
      </w:r>
      <w:r w:rsidRPr="00544A36">
        <w:rPr>
          <w:rFonts w:hint="cs"/>
          <w:rtl/>
        </w:rPr>
        <w:t xml:space="preserve"> </w:t>
      </w:r>
      <w:r>
        <w:rPr>
          <w:rFonts w:hint="cs"/>
          <w:rtl/>
        </w:rPr>
        <w:t>في</w:t>
      </w:r>
      <w:r w:rsidRPr="00544A36">
        <w:rPr>
          <w:rFonts w:hint="cs"/>
          <w:rtl/>
        </w:rPr>
        <w:t xml:space="preserve"> المجتمع الديني القائم آنذاك على الكثير من هذه الروايات وال</w:t>
      </w:r>
      <w:r>
        <w:rPr>
          <w:rFonts w:hint="cs"/>
          <w:rtl/>
        </w:rPr>
        <w:t>أحكام</w:t>
      </w:r>
      <w:r w:rsidRPr="00544A36">
        <w:rPr>
          <w:rFonts w:hint="cs"/>
          <w:rtl/>
        </w:rPr>
        <w:t xml:space="preserve"> والحقوق المتعل</w:t>
      </w:r>
      <w:r>
        <w:rPr>
          <w:rFonts w:hint="cs"/>
          <w:rtl/>
        </w:rPr>
        <w:t>ّقة بالنساء،</w:t>
      </w:r>
      <w:r w:rsidRPr="00544A36">
        <w:rPr>
          <w:rFonts w:hint="cs"/>
          <w:rtl/>
        </w:rPr>
        <w:t xml:space="preserve"> </w:t>
      </w:r>
      <w:r>
        <w:rPr>
          <w:rFonts w:hint="cs"/>
          <w:rtl/>
        </w:rPr>
        <w:t xml:space="preserve">فقد كانت </w:t>
      </w:r>
      <w:r w:rsidRPr="00544A36">
        <w:rPr>
          <w:rFonts w:hint="cs"/>
          <w:rtl/>
        </w:rPr>
        <w:t>متناسبة</w:t>
      </w:r>
      <w:r>
        <w:rPr>
          <w:rFonts w:hint="cs"/>
          <w:rtl/>
        </w:rPr>
        <w:t>ً</w:t>
      </w:r>
      <w:r w:rsidRPr="00544A36">
        <w:rPr>
          <w:rFonts w:hint="cs"/>
          <w:rtl/>
        </w:rPr>
        <w:t xml:space="preserve"> مع التصو</w:t>
      </w:r>
      <w:r>
        <w:rPr>
          <w:rFonts w:hint="cs"/>
          <w:rtl/>
        </w:rPr>
        <w:t>ّ</w:t>
      </w:r>
      <w:r w:rsidRPr="00544A36">
        <w:rPr>
          <w:rFonts w:hint="cs"/>
          <w:rtl/>
        </w:rPr>
        <w:t>ر الموجود عنه</w:t>
      </w:r>
      <w:r>
        <w:rPr>
          <w:rFonts w:hint="cs"/>
          <w:rtl/>
        </w:rPr>
        <w:t>نّ</w:t>
      </w:r>
      <w:r w:rsidRPr="00544A36">
        <w:rPr>
          <w:rFonts w:hint="cs"/>
          <w:rtl/>
        </w:rPr>
        <w:t xml:space="preserve">، </w:t>
      </w:r>
      <w:r>
        <w:rPr>
          <w:rFonts w:hint="cs"/>
          <w:rtl/>
        </w:rPr>
        <w:t>تتلاءم معه وتنسجم؛</w:t>
      </w:r>
      <w:r w:rsidRPr="00544A36">
        <w:rPr>
          <w:rFonts w:hint="cs"/>
          <w:rtl/>
        </w:rPr>
        <w:t xml:space="preserve"> لذا لم يكن </w:t>
      </w:r>
      <w:r>
        <w:rPr>
          <w:rFonts w:hint="cs"/>
          <w:rtl/>
        </w:rPr>
        <w:t>هناك من داعٍ للاعتراض،</w:t>
      </w:r>
      <w:r w:rsidRPr="00544A36">
        <w:rPr>
          <w:rFonts w:hint="cs"/>
          <w:rtl/>
        </w:rPr>
        <w:t xml:space="preserve"> </w:t>
      </w:r>
      <w:r>
        <w:rPr>
          <w:rFonts w:hint="cs"/>
          <w:rtl/>
        </w:rPr>
        <w:t xml:space="preserve">بل </w:t>
      </w:r>
      <w:r w:rsidRPr="00544A36">
        <w:rPr>
          <w:rFonts w:hint="cs"/>
          <w:rtl/>
        </w:rPr>
        <w:t>كان للوقوع في حصار التصو</w:t>
      </w:r>
      <w:r>
        <w:rPr>
          <w:rFonts w:hint="cs"/>
          <w:rtl/>
        </w:rPr>
        <w:t xml:space="preserve">ّر التقليدي للمرأة </w:t>
      </w:r>
      <w:r w:rsidRPr="00544A36">
        <w:rPr>
          <w:rFonts w:hint="cs"/>
          <w:rtl/>
        </w:rPr>
        <w:t>دور</w:t>
      </w:r>
      <w:r>
        <w:rPr>
          <w:rFonts w:hint="cs"/>
          <w:rtl/>
        </w:rPr>
        <w:t>اً</w:t>
      </w:r>
      <w:r w:rsidRPr="00544A36">
        <w:rPr>
          <w:rFonts w:hint="cs"/>
          <w:rtl/>
        </w:rPr>
        <w:t xml:space="preserve"> في فتح باب عدم التناسب بين حقوق</w:t>
      </w:r>
      <w:r>
        <w:rPr>
          <w:rFonts w:hint="cs"/>
          <w:rtl/>
        </w:rPr>
        <w:t xml:space="preserve">ها </w:t>
      </w:r>
      <w:r w:rsidRPr="00544A36">
        <w:rPr>
          <w:rFonts w:hint="cs"/>
          <w:rtl/>
        </w:rPr>
        <w:t>ووجود</w:t>
      </w:r>
      <w:r>
        <w:rPr>
          <w:rFonts w:hint="cs"/>
          <w:rtl/>
        </w:rPr>
        <w:t>ها، وهذا ما جعل الأ</w:t>
      </w:r>
      <w:r w:rsidRPr="00544A36">
        <w:rPr>
          <w:rFonts w:hint="cs"/>
          <w:rtl/>
        </w:rPr>
        <w:t>صوات ترتفع عاليا</w:t>
      </w:r>
      <w:r>
        <w:rPr>
          <w:rFonts w:hint="cs"/>
          <w:rtl/>
        </w:rPr>
        <w:t>ً</w:t>
      </w:r>
      <w:r w:rsidRPr="00544A36">
        <w:rPr>
          <w:rFonts w:hint="cs"/>
          <w:rtl/>
        </w:rPr>
        <w:t xml:space="preserve"> حيث</w:t>
      </w:r>
      <w:r>
        <w:rPr>
          <w:rFonts w:hint="cs"/>
          <w:rtl/>
        </w:rPr>
        <w:t xml:space="preserve"> لابد </w:t>
      </w:r>
      <w:r w:rsidRPr="00544A36">
        <w:rPr>
          <w:rFonts w:hint="cs"/>
          <w:rtl/>
        </w:rPr>
        <w:t xml:space="preserve">للحقوق </w:t>
      </w:r>
      <w:r>
        <w:rPr>
          <w:rFonts w:hint="cs"/>
          <w:rtl/>
        </w:rPr>
        <w:t>والقوانين من أن تراعي</w:t>
      </w:r>
      <w:r w:rsidRPr="00544A36">
        <w:rPr>
          <w:rFonts w:hint="cs"/>
          <w:rtl/>
        </w:rPr>
        <w:t xml:space="preserve"> عرف الزمان والروح الحاكمة </w:t>
      </w:r>
      <w:r>
        <w:rPr>
          <w:rFonts w:hint="cs"/>
          <w:rtl/>
        </w:rPr>
        <w:t>عليه، ولا يمكن لنا أ</w:t>
      </w:r>
      <w:r w:rsidRPr="00544A36">
        <w:rPr>
          <w:rFonts w:hint="cs"/>
          <w:rtl/>
        </w:rPr>
        <w:t xml:space="preserve">ن نطلب من الناس </w:t>
      </w:r>
      <w:r>
        <w:rPr>
          <w:rFonts w:hint="cs"/>
          <w:rtl/>
        </w:rPr>
        <w:t>تبديل</w:t>
      </w:r>
      <w:r w:rsidRPr="00544A36">
        <w:rPr>
          <w:rFonts w:hint="cs"/>
          <w:rtl/>
        </w:rPr>
        <w:t xml:space="preserve"> </w:t>
      </w:r>
      <w:r>
        <w:rPr>
          <w:rFonts w:hint="cs"/>
          <w:rtl/>
        </w:rPr>
        <w:t>أ</w:t>
      </w:r>
      <w:r w:rsidRPr="00544A36">
        <w:rPr>
          <w:rFonts w:hint="cs"/>
          <w:rtl/>
        </w:rPr>
        <w:t>عر</w:t>
      </w:r>
      <w:r>
        <w:rPr>
          <w:rFonts w:hint="cs"/>
          <w:rtl/>
        </w:rPr>
        <w:t>ا</w:t>
      </w:r>
      <w:r w:rsidRPr="00544A36">
        <w:rPr>
          <w:rFonts w:hint="cs"/>
          <w:rtl/>
        </w:rPr>
        <w:t>فها ومفاهيم</w:t>
      </w:r>
      <w:r>
        <w:rPr>
          <w:rFonts w:hint="cs"/>
          <w:rtl/>
        </w:rPr>
        <w:t>ها،</w:t>
      </w:r>
      <w:r w:rsidRPr="00544A36">
        <w:rPr>
          <w:rFonts w:hint="cs"/>
          <w:rtl/>
        </w:rPr>
        <w:t xml:space="preserve"> ف</w:t>
      </w:r>
      <w:r>
        <w:rPr>
          <w:rFonts w:hint="cs"/>
          <w:rtl/>
        </w:rPr>
        <w:t>لك في قانون الجاذبية أ</w:t>
      </w:r>
      <w:r w:rsidRPr="00544A36">
        <w:rPr>
          <w:rFonts w:hint="cs"/>
          <w:rtl/>
        </w:rPr>
        <w:t>ن تقول</w:t>
      </w:r>
      <w:r>
        <w:rPr>
          <w:rFonts w:hint="cs"/>
          <w:rtl/>
        </w:rPr>
        <w:t>:</w:t>
      </w:r>
      <w:r w:rsidRPr="00544A36">
        <w:rPr>
          <w:rFonts w:hint="cs"/>
          <w:rtl/>
        </w:rPr>
        <w:t xml:space="preserve"> </w:t>
      </w:r>
      <w:r>
        <w:rPr>
          <w:rFonts w:hint="cs"/>
          <w:rtl/>
        </w:rPr>
        <w:t>إ</w:t>
      </w:r>
      <w:r w:rsidRPr="00544A36">
        <w:rPr>
          <w:rFonts w:hint="cs"/>
          <w:rtl/>
        </w:rPr>
        <w:t>ن</w:t>
      </w:r>
      <w:r>
        <w:rPr>
          <w:rFonts w:hint="cs"/>
          <w:rtl/>
        </w:rPr>
        <w:t>ّه</w:t>
      </w:r>
      <w:r w:rsidRPr="00544A36">
        <w:rPr>
          <w:rFonts w:hint="cs"/>
          <w:rtl/>
        </w:rPr>
        <w:t xml:space="preserve"> </w:t>
      </w:r>
      <w:r>
        <w:rPr>
          <w:rFonts w:hint="cs"/>
          <w:rtl/>
        </w:rPr>
        <w:t>موجود وان لم تقبله فعليك أ</w:t>
      </w:r>
      <w:r w:rsidRPr="00544A36">
        <w:rPr>
          <w:rFonts w:hint="cs"/>
          <w:rtl/>
        </w:rPr>
        <w:t>ن تغي</w:t>
      </w:r>
      <w:r>
        <w:rPr>
          <w:rFonts w:hint="cs"/>
          <w:rtl/>
        </w:rPr>
        <w:t>ّ</w:t>
      </w:r>
      <w:r w:rsidRPr="00544A36">
        <w:rPr>
          <w:rFonts w:hint="cs"/>
          <w:rtl/>
        </w:rPr>
        <w:t>ر</w:t>
      </w:r>
      <w:r>
        <w:rPr>
          <w:rFonts w:hint="cs"/>
          <w:rtl/>
        </w:rPr>
        <w:t xml:space="preserve"> الفضاء،</w:t>
      </w:r>
      <w:r w:rsidRPr="00544A36">
        <w:rPr>
          <w:rFonts w:hint="cs"/>
          <w:rtl/>
        </w:rPr>
        <w:t xml:space="preserve"> </w:t>
      </w:r>
      <w:r>
        <w:rPr>
          <w:rFonts w:hint="cs"/>
          <w:rtl/>
        </w:rPr>
        <w:t>أ</w:t>
      </w:r>
      <w:r w:rsidRPr="00544A36">
        <w:rPr>
          <w:rFonts w:hint="cs"/>
          <w:rtl/>
        </w:rPr>
        <w:t>م</w:t>
      </w:r>
      <w:r>
        <w:rPr>
          <w:rFonts w:hint="cs"/>
          <w:rtl/>
        </w:rPr>
        <w:t>ّ</w:t>
      </w:r>
      <w:r w:rsidRPr="00544A36">
        <w:rPr>
          <w:rFonts w:hint="cs"/>
          <w:rtl/>
        </w:rPr>
        <w:t xml:space="preserve">ا في مورد الحقوق </w:t>
      </w:r>
      <w:r>
        <w:rPr>
          <w:rFonts w:hint="cs"/>
          <w:rtl/>
        </w:rPr>
        <w:t xml:space="preserve">والقوانين </w:t>
      </w:r>
      <w:r w:rsidRPr="00544A36">
        <w:rPr>
          <w:rFonts w:hint="cs"/>
          <w:rtl/>
        </w:rPr>
        <w:t>فلا يصح</w:t>
      </w:r>
      <w:r>
        <w:rPr>
          <w:rFonts w:hint="cs"/>
          <w:rtl/>
        </w:rPr>
        <w:t>ّ</w:t>
      </w:r>
      <w:r w:rsidRPr="00544A36">
        <w:rPr>
          <w:rFonts w:hint="cs"/>
          <w:rtl/>
        </w:rPr>
        <w:t xml:space="preserve"> مثل هذا الكلام</w:t>
      </w:r>
      <w:r>
        <w:rPr>
          <w:rFonts w:hint="cs"/>
          <w:rtl/>
        </w:rPr>
        <w:t>؛ إذ أ</w:t>
      </w:r>
      <w:r w:rsidRPr="00544A36">
        <w:rPr>
          <w:rFonts w:hint="cs"/>
          <w:rtl/>
        </w:rPr>
        <w:t xml:space="preserve">ين يذهب قوله تعالى: </w:t>
      </w:r>
      <w:r w:rsidRPr="00BA281B">
        <w:rPr>
          <w:rFonts w:hint="cs"/>
        </w:rPr>
        <w:sym w:font="Islamic Units 1" w:char="F03E"/>
      </w:r>
      <w:r w:rsidRPr="00BA281B">
        <w:rPr>
          <w:b/>
          <w:bCs/>
          <w:rtl/>
        </w:rPr>
        <w:t>لاَ يُكَلِّفُ الله نَفْسًا إِلاَّ وُسْعَهَا</w:t>
      </w:r>
      <w:r w:rsidRPr="00BA281B">
        <w:rPr>
          <w:rFonts w:hint="cs"/>
        </w:rPr>
        <w:sym w:font="Islamic Units 1" w:char="F03C"/>
      </w:r>
      <w:r w:rsidRPr="00BA281B">
        <w:rPr>
          <w:rFonts w:hint="cs"/>
          <w:rtl/>
        </w:rPr>
        <w:t>؟! ومن</w:t>
      </w:r>
      <w:r>
        <w:rPr>
          <w:rFonts w:hint="cs"/>
          <w:rtl/>
        </w:rPr>
        <w:t xml:space="preserve"> مصاديقها</w:t>
      </w:r>
      <w:r w:rsidRPr="00544A36">
        <w:rPr>
          <w:rFonts w:hint="cs"/>
          <w:rtl/>
        </w:rPr>
        <w:t xml:space="preserve"> المفاهيم العام</w:t>
      </w:r>
      <w:r>
        <w:rPr>
          <w:rFonts w:hint="cs"/>
          <w:rtl/>
        </w:rPr>
        <w:t>ّة التي نعيش فيها.</w:t>
      </w:r>
    </w:p>
    <w:p w:rsidR="00BA281B" w:rsidRDefault="00BA281B" w:rsidP="00BA281B">
      <w:pPr>
        <w:pStyle w:val="ac"/>
        <w:rPr>
          <w:rtl/>
        </w:rPr>
      </w:pPr>
      <w:r>
        <w:rPr>
          <w:rFonts w:hint="cs"/>
          <w:rtl/>
        </w:rPr>
        <w:t>وأ</w:t>
      </w:r>
      <w:r w:rsidRPr="00544A36">
        <w:rPr>
          <w:rFonts w:hint="cs"/>
          <w:rtl/>
        </w:rPr>
        <w:t>طرح لذلك مثالا</w:t>
      </w:r>
      <w:r>
        <w:rPr>
          <w:rFonts w:hint="cs"/>
          <w:rtl/>
        </w:rPr>
        <w:t>ً،</w:t>
      </w:r>
      <w:r w:rsidRPr="00544A36">
        <w:rPr>
          <w:rFonts w:hint="cs"/>
          <w:rtl/>
        </w:rPr>
        <w:t xml:space="preserve"> فقد</w:t>
      </w:r>
      <w:r>
        <w:rPr>
          <w:rFonts w:hint="cs"/>
          <w:rtl/>
        </w:rPr>
        <w:t xml:space="preserve"> ورد في كت</w:t>
      </w:r>
      <w:r w:rsidRPr="00544A36">
        <w:rPr>
          <w:rFonts w:hint="cs"/>
          <w:rtl/>
        </w:rPr>
        <w:t>ب ال</w:t>
      </w:r>
      <w:r>
        <w:rPr>
          <w:rFonts w:hint="cs"/>
          <w:rtl/>
        </w:rPr>
        <w:t>أحكام أ</w:t>
      </w:r>
      <w:r w:rsidRPr="00544A36">
        <w:rPr>
          <w:rFonts w:hint="cs"/>
          <w:rtl/>
        </w:rPr>
        <w:t>نه يستحب</w:t>
      </w:r>
      <w:r>
        <w:rPr>
          <w:rFonts w:hint="cs"/>
          <w:rtl/>
        </w:rPr>
        <w:t>ّ</w:t>
      </w:r>
      <w:r w:rsidRPr="00544A36">
        <w:rPr>
          <w:rFonts w:hint="cs"/>
          <w:rtl/>
        </w:rPr>
        <w:t xml:space="preserve"> تزويج البنت عند بلوغها تسع سنين، </w:t>
      </w:r>
      <w:r>
        <w:rPr>
          <w:rFonts w:hint="cs"/>
          <w:rtl/>
        </w:rPr>
        <w:t>كما ورد في الروايات أ</w:t>
      </w:r>
      <w:r w:rsidRPr="00544A36">
        <w:rPr>
          <w:rFonts w:hint="cs"/>
          <w:rtl/>
        </w:rPr>
        <w:t>ن</w:t>
      </w:r>
      <w:r>
        <w:rPr>
          <w:rFonts w:hint="cs"/>
          <w:rtl/>
        </w:rPr>
        <w:t>ّ</w:t>
      </w:r>
      <w:r w:rsidRPr="00544A36">
        <w:rPr>
          <w:rFonts w:hint="cs"/>
          <w:rtl/>
        </w:rPr>
        <w:t xml:space="preserve"> من سعادة الرجل </w:t>
      </w:r>
      <w:r>
        <w:rPr>
          <w:rFonts w:hint="cs"/>
          <w:rtl/>
        </w:rPr>
        <w:t>أن لا تحيض ابنته في بيته</w:t>
      </w:r>
      <w:r w:rsidRPr="00544A36">
        <w:rPr>
          <w:rFonts w:hint="cs"/>
          <w:rtl/>
        </w:rPr>
        <w:t xml:space="preserve">، </w:t>
      </w:r>
      <w:r>
        <w:rPr>
          <w:rFonts w:hint="cs"/>
          <w:rtl/>
        </w:rPr>
        <w:t>لكننا نجد أ</w:t>
      </w:r>
      <w:r w:rsidRPr="00544A36">
        <w:rPr>
          <w:rFonts w:hint="cs"/>
          <w:rtl/>
        </w:rPr>
        <w:t>ن</w:t>
      </w:r>
      <w:r>
        <w:rPr>
          <w:rFonts w:hint="cs"/>
          <w:rtl/>
        </w:rPr>
        <w:t>ّ هذا النوع من السعادة لا يسعى إ</w:t>
      </w:r>
      <w:r w:rsidRPr="00544A36">
        <w:rPr>
          <w:rFonts w:hint="cs"/>
          <w:rtl/>
        </w:rPr>
        <w:t>ليه أي</w:t>
      </w:r>
      <w:r>
        <w:rPr>
          <w:rFonts w:hint="cs"/>
          <w:rtl/>
        </w:rPr>
        <w:t>ّ إنسان</w:t>
      </w:r>
      <w:r w:rsidRPr="00544A36">
        <w:rPr>
          <w:rFonts w:hint="cs"/>
          <w:rtl/>
        </w:rPr>
        <w:t xml:space="preserve"> اليوم، ولا يرضى حتى ع</w:t>
      </w:r>
      <w:r>
        <w:rPr>
          <w:rFonts w:hint="cs"/>
          <w:rtl/>
        </w:rPr>
        <w:t>ُ</w:t>
      </w:r>
      <w:r w:rsidRPr="00544A36">
        <w:rPr>
          <w:rFonts w:hint="cs"/>
          <w:rtl/>
        </w:rPr>
        <w:t>رف</w:t>
      </w:r>
      <w:r>
        <w:rPr>
          <w:rFonts w:hint="cs"/>
          <w:rtl/>
        </w:rPr>
        <w:t>ُ</w:t>
      </w:r>
      <w:r w:rsidRPr="00544A36">
        <w:rPr>
          <w:rFonts w:hint="cs"/>
          <w:rtl/>
        </w:rPr>
        <w:t xml:space="preserve"> المتدي</w:t>
      </w:r>
      <w:r>
        <w:rPr>
          <w:rFonts w:hint="cs"/>
          <w:rtl/>
        </w:rPr>
        <w:t>ّ</w:t>
      </w:r>
      <w:r w:rsidRPr="00544A36">
        <w:rPr>
          <w:rFonts w:hint="cs"/>
          <w:rtl/>
        </w:rPr>
        <w:t xml:space="preserve">نين في زماننا </w:t>
      </w:r>
      <w:r>
        <w:rPr>
          <w:rFonts w:hint="cs"/>
          <w:rtl/>
        </w:rPr>
        <w:t>ب</w:t>
      </w:r>
      <w:r w:rsidRPr="00544A36">
        <w:rPr>
          <w:rFonts w:hint="cs"/>
          <w:rtl/>
        </w:rPr>
        <w:t>تزويج البنت في سن</w:t>
      </w:r>
      <w:r>
        <w:rPr>
          <w:rFonts w:hint="cs"/>
          <w:rtl/>
        </w:rPr>
        <w:t>ّ</w:t>
      </w:r>
      <w:r w:rsidRPr="00544A36">
        <w:rPr>
          <w:rFonts w:hint="cs"/>
          <w:rtl/>
        </w:rPr>
        <w:t xml:space="preserve"> </w:t>
      </w:r>
      <w:r>
        <w:rPr>
          <w:rFonts w:hint="cs"/>
          <w:rtl/>
        </w:rPr>
        <w:t>التاسعة</w:t>
      </w:r>
      <w:r w:rsidRPr="00544A36">
        <w:rPr>
          <w:rFonts w:hint="cs"/>
          <w:rtl/>
        </w:rPr>
        <w:t xml:space="preserve">، ولو فعلت </w:t>
      </w:r>
      <w:r>
        <w:rPr>
          <w:rFonts w:hint="cs"/>
          <w:rtl/>
        </w:rPr>
        <w:t>أسرةٌ</w:t>
      </w:r>
      <w:r w:rsidRPr="00544A36">
        <w:rPr>
          <w:rFonts w:hint="cs"/>
          <w:rtl/>
        </w:rPr>
        <w:t xml:space="preserve"> ما هذا ال</w:t>
      </w:r>
      <w:r>
        <w:rPr>
          <w:rFonts w:hint="cs"/>
          <w:rtl/>
        </w:rPr>
        <w:t>أمر</w:t>
      </w:r>
      <w:r w:rsidRPr="00544A36">
        <w:rPr>
          <w:rFonts w:hint="cs"/>
          <w:rtl/>
        </w:rPr>
        <w:t xml:space="preserve"> </w:t>
      </w:r>
      <w:r>
        <w:rPr>
          <w:rFonts w:hint="cs"/>
          <w:rtl/>
        </w:rPr>
        <w:lastRenderedPageBreak/>
        <w:t>ل</w:t>
      </w:r>
      <w:r w:rsidRPr="00544A36">
        <w:rPr>
          <w:rFonts w:hint="cs"/>
          <w:rtl/>
        </w:rPr>
        <w:t>لامها العقلاء والمتدي</w:t>
      </w:r>
      <w:r>
        <w:rPr>
          <w:rFonts w:hint="cs"/>
          <w:rtl/>
        </w:rPr>
        <w:t>ّنون،</w:t>
      </w:r>
      <w:r w:rsidRPr="00544A36">
        <w:rPr>
          <w:rFonts w:hint="cs"/>
          <w:rtl/>
        </w:rPr>
        <w:t xml:space="preserve"> وهذا العرف لم يتحق</w:t>
      </w:r>
      <w:r>
        <w:rPr>
          <w:rFonts w:hint="cs"/>
          <w:rtl/>
        </w:rPr>
        <w:t>ّق دون سبب، أي أ</w:t>
      </w:r>
      <w:r w:rsidRPr="00544A36">
        <w:rPr>
          <w:rFonts w:hint="cs"/>
          <w:rtl/>
        </w:rPr>
        <w:t>ن</w:t>
      </w:r>
      <w:r>
        <w:rPr>
          <w:rFonts w:hint="cs"/>
          <w:rtl/>
        </w:rPr>
        <w:t>ّ</w:t>
      </w:r>
      <w:r w:rsidRPr="00544A36">
        <w:rPr>
          <w:rFonts w:hint="cs"/>
          <w:rtl/>
        </w:rPr>
        <w:t xml:space="preserve"> ال</w:t>
      </w:r>
      <w:r>
        <w:rPr>
          <w:rFonts w:hint="cs"/>
          <w:rtl/>
        </w:rPr>
        <w:t>أمر</w:t>
      </w:r>
      <w:r w:rsidRPr="00544A36">
        <w:rPr>
          <w:rFonts w:hint="cs"/>
          <w:rtl/>
        </w:rPr>
        <w:t xml:space="preserve"> لم يصل</w:t>
      </w:r>
      <w:r>
        <w:rPr>
          <w:rFonts w:hint="cs"/>
          <w:rtl/>
        </w:rPr>
        <w:t xml:space="preserve"> إلى ما وصل إ</w:t>
      </w:r>
      <w:r w:rsidRPr="00544A36">
        <w:rPr>
          <w:rFonts w:hint="cs"/>
          <w:rtl/>
        </w:rPr>
        <w:t>ليه عبر قيام الناس بعقد تبان</w:t>
      </w:r>
      <w:r>
        <w:rPr>
          <w:rFonts w:hint="cs"/>
          <w:rtl/>
        </w:rPr>
        <w:t>ٍ</w:t>
      </w:r>
      <w:r w:rsidRPr="00544A36">
        <w:rPr>
          <w:rFonts w:hint="cs"/>
          <w:rtl/>
        </w:rPr>
        <w:t xml:space="preserve"> واتفاق</w:t>
      </w:r>
      <w:r>
        <w:rPr>
          <w:rFonts w:hint="cs"/>
          <w:rtl/>
        </w:rPr>
        <w:t>ٍ</w:t>
      </w:r>
      <w:r w:rsidRPr="00544A36">
        <w:rPr>
          <w:rFonts w:hint="cs"/>
          <w:rtl/>
        </w:rPr>
        <w:t xml:space="preserve"> شيطاني يقضي بعدم تزويج البنت عند بلوغها تسعا</w:t>
      </w:r>
      <w:r>
        <w:rPr>
          <w:rFonts w:hint="cs"/>
          <w:rtl/>
        </w:rPr>
        <w:t>ً</w:t>
      </w:r>
      <w:r w:rsidRPr="00544A36">
        <w:rPr>
          <w:rFonts w:hint="cs"/>
          <w:rtl/>
        </w:rPr>
        <w:t xml:space="preserve"> وتأجيل زواجها</w:t>
      </w:r>
      <w:r>
        <w:rPr>
          <w:rFonts w:hint="cs"/>
          <w:rtl/>
        </w:rPr>
        <w:t xml:space="preserve"> إلى </w:t>
      </w:r>
      <w:r w:rsidRPr="00544A36">
        <w:rPr>
          <w:rFonts w:hint="cs"/>
          <w:rtl/>
        </w:rPr>
        <w:t>حين بلوغها الثامنة عشر</w:t>
      </w:r>
      <w:r>
        <w:rPr>
          <w:rFonts w:hint="cs"/>
          <w:rtl/>
        </w:rPr>
        <w:t>ة أو العشرين،</w:t>
      </w:r>
      <w:r w:rsidRPr="00544A36">
        <w:rPr>
          <w:rFonts w:hint="cs"/>
          <w:rtl/>
        </w:rPr>
        <w:t xml:space="preserve"> </w:t>
      </w:r>
      <w:r>
        <w:rPr>
          <w:rFonts w:hint="cs"/>
          <w:rtl/>
        </w:rPr>
        <w:t>بل إ</w:t>
      </w:r>
      <w:r w:rsidRPr="00544A36">
        <w:rPr>
          <w:rFonts w:hint="cs"/>
          <w:rtl/>
        </w:rPr>
        <w:t>ن الصور</w:t>
      </w:r>
      <w:r>
        <w:rPr>
          <w:rFonts w:hint="cs"/>
          <w:rtl/>
        </w:rPr>
        <w:t>ة</w:t>
      </w:r>
      <w:r w:rsidRPr="00544A36">
        <w:rPr>
          <w:rFonts w:hint="cs"/>
          <w:rtl/>
        </w:rPr>
        <w:t xml:space="preserve"> </w:t>
      </w:r>
      <w:r>
        <w:rPr>
          <w:rFonts w:hint="cs"/>
          <w:rtl/>
        </w:rPr>
        <w:t>المرسومة عن ا</w:t>
      </w:r>
      <w:r w:rsidRPr="00544A36">
        <w:rPr>
          <w:rFonts w:hint="cs"/>
          <w:rtl/>
        </w:rPr>
        <w:t>لمرأة ودورها ال</w:t>
      </w:r>
      <w:r>
        <w:rPr>
          <w:rFonts w:hint="cs"/>
          <w:rtl/>
        </w:rPr>
        <w:t>اجتماع</w:t>
      </w:r>
      <w:r w:rsidRPr="00544A36">
        <w:rPr>
          <w:rFonts w:hint="cs"/>
          <w:rtl/>
        </w:rPr>
        <w:t xml:space="preserve">ي </w:t>
      </w:r>
      <w:r>
        <w:rPr>
          <w:rFonts w:hint="cs"/>
          <w:rtl/>
        </w:rPr>
        <w:t xml:space="preserve">قد </w:t>
      </w:r>
      <w:r w:rsidRPr="00544A36">
        <w:rPr>
          <w:rFonts w:hint="cs"/>
          <w:rtl/>
        </w:rPr>
        <w:t>اختلف</w:t>
      </w:r>
      <w:r>
        <w:rPr>
          <w:rFonts w:hint="cs"/>
          <w:rtl/>
        </w:rPr>
        <w:t>ت</w:t>
      </w:r>
      <w:r w:rsidRPr="00544A36">
        <w:rPr>
          <w:rFonts w:hint="cs"/>
          <w:rtl/>
        </w:rPr>
        <w:t xml:space="preserve"> </w:t>
      </w:r>
      <w:r>
        <w:rPr>
          <w:rFonts w:hint="cs"/>
          <w:rtl/>
        </w:rPr>
        <w:t xml:space="preserve">عمّا </w:t>
      </w:r>
      <w:r w:rsidRPr="00544A36">
        <w:rPr>
          <w:rFonts w:hint="cs"/>
          <w:rtl/>
        </w:rPr>
        <w:t xml:space="preserve">كان </w:t>
      </w:r>
      <w:r>
        <w:rPr>
          <w:rFonts w:hint="cs"/>
          <w:rtl/>
        </w:rPr>
        <w:t>سابقاً.</w:t>
      </w:r>
    </w:p>
    <w:p w:rsidR="00BA281B" w:rsidRPr="00544A36" w:rsidRDefault="00BA281B" w:rsidP="00BA281B">
      <w:pPr>
        <w:pStyle w:val="ac"/>
        <w:rPr>
          <w:rtl/>
        </w:rPr>
      </w:pPr>
      <w:r>
        <w:rPr>
          <w:rFonts w:hint="cs"/>
          <w:rtl/>
        </w:rPr>
        <w:t>نعم، إ</w:t>
      </w:r>
      <w:r w:rsidRPr="00544A36">
        <w:rPr>
          <w:rFonts w:hint="cs"/>
          <w:rtl/>
        </w:rPr>
        <w:t>ذا كان تصو</w:t>
      </w:r>
      <w:r>
        <w:rPr>
          <w:rFonts w:hint="cs"/>
          <w:rtl/>
        </w:rPr>
        <w:t>ّ</w:t>
      </w:r>
      <w:r w:rsidRPr="00544A36">
        <w:rPr>
          <w:rFonts w:hint="cs"/>
          <w:rtl/>
        </w:rPr>
        <w:t>رنا لدور</w:t>
      </w:r>
      <w:r>
        <w:rPr>
          <w:rFonts w:hint="cs"/>
          <w:rtl/>
        </w:rPr>
        <w:t xml:space="preserve"> المرأة أ</w:t>
      </w:r>
      <w:r w:rsidRPr="00544A36">
        <w:rPr>
          <w:rFonts w:hint="cs"/>
          <w:rtl/>
        </w:rPr>
        <w:t>ن</w:t>
      </w:r>
      <w:r>
        <w:rPr>
          <w:rFonts w:hint="cs"/>
          <w:rtl/>
        </w:rPr>
        <w:t>ّ</w:t>
      </w:r>
      <w:r w:rsidRPr="00544A36">
        <w:rPr>
          <w:rFonts w:hint="cs"/>
          <w:rtl/>
        </w:rPr>
        <w:t>ه</w:t>
      </w:r>
      <w:r>
        <w:rPr>
          <w:rFonts w:hint="cs"/>
          <w:rtl/>
        </w:rPr>
        <w:t xml:space="preserve"> ينبغي عليها أ</w:t>
      </w:r>
      <w:r w:rsidRPr="00544A36">
        <w:rPr>
          <w:rFonts w:hint="cs"/>
          <w:rtl/>
        </w:rPr>
        <w:t>ن تل</w:t>
      </w:r>
      <w:r>
        <w:rPr>
          <w:rFonts w:hint="cs"/>
          <w:rtl/>
        </w:rPr>
        <w:t>ِ</w:t>
      </w:r>
      <w:r w:rsidRPr="00544A36">
        <w:rPr>
          <w:rFonts w:hint="cs"/>
          <w:rtl/>
        </w:rPr>
        <w:t>د</w:t>
      </w:r>
      <w:r>
        <w:rPr>
          <w:rFonts w:hint="cs"/>
          <w:rtl/>
        </w:rPr>
        <w:t>َ الأ</w:t>
      </w:r>
      <w:r w:rsidRPr="00544A36">
        <w:rPr>
          <w:rFonts w:hint="cs"/>
          <w:rtl/>
        </w:rPr>
        <w:t>طفال بمجر</w:t>
      </w:r>
      <w:r>
        <w:rPr>
          <w:rFonts w:hint="cs"/>
          <w:rtl/>
        </w:rPr>
        <w:t>ّد أ</w:t>
      </w:r>
      <w:r w:rsidRPr="00544A36">
        <w:rPr>
          <w:rFonts w:hint="cs"/>
          <w:rtl/>
        </w:rPr>
        <w:t>ن يملك جس</w:t>
      </w:r>
      <w:r>
        <w:rPr>
          <w:rFonts w:hint="cs"/>
          <w:rtl/>
        </w:rPr>
        <w:t>د</w:t>
      </w:r>
      <w:r w:rsidRPr="00544A36">
        <w:rPr>
          <w:rFonts w:hint="cs"/>
          <w:rtl/>
        </w:rPr>
        <w:t>ها القدرة على ذلك</w:t>
      </w:r>
      <w:r>
        <w:rPr>
          <w:rFonts w:hint="cs"/>
          <w:rtl/>
        </w:rPr>
        <w:t>، وأ</w:t>
      </w:r>
      <w:r w:rsidRPr="00544A36">
        <w:rPr>
          <w:rFonts w:hint="cs"/>
          <w:rtl/>
        </w:rPr>
        <w:t>ن تهتم</w:t>
      </w:r>
      <w:r>
        <w:rPr>
          <w:rFonts w:hint="cs"/>
          <w:rtl/>
        </w:rPr>
        <w:t>ّ</w:t>
      </w:r>
      <w:r w:rsidRPr="00544A36">
        <w:rPr>
          <w:rFonts w:hint="cs"/>
          <w:rtl/>
        </w:rPr>
        <w:t xml:space="preserve"> بزوجها فقط</w:t>
      </w:r>
      <w:r>
        <w:rPr>
          <w:rFonts w:hint="cs"/>
          <w:rtl/>
        </w:rPr>
        <w:t>،</w:t>
      </w:r>
      <w:r w:rsidRPr="00544A36">
        <w:rPr>
          <w:rFonts w:hint="cs"/>
          <w:rtl/>
        </w:rPr>
        <w:t xml:space="preserve"> فهذا يوصلنا</w:t>
      </w:r>
      <w:r>
        <w:rPr>
          <w:rFonts w:hint="cs"/>
          <w:rtl/>
        </w:rPr>
        <w:t xml:space="preserve"> إلى القول بأنها من الأفضل لها أ</w:t>
      </w:r>
      <w:r w:rsidRPr="00544A36">
        <w:rPr>
          <w:rFonts w:hint="cs"/>
          <w:rtl/>
        </w:rPr>
        <w:t>ن ت</w:t>
      </w:r>
      <w:r>
        <w:rPr>
          <w:rFonts w:hint="cs"/>
          <w:rtl/>
        </w:rPr>
        <w:t>ُ</w:t>
      </w:r>
      <w:r w:rsidRPr="00544A36">
        <w:rPr>
          <w:rFonts w:hint="cs"/>
          <w:rtl/>
        </w:rPr>
        <w:t>سرع في الانتقال</w:t>
      </w:r>
      <w:r>
        <w:rPr>
          <w:rFonts w:hint="cs"/>
          <w:rtl/>
        </w:rPr>
        <w:t xml:space="preserve"> إلى بيت زوجها وأ</w:t>
      </w:r>
      <w:r w:rsidRPr="00544A36">
        <w:rPr>
          <w:rFonts w:hint="cs"/>
          <w:rtl/>
        </w:rPr>
        <w:t>ن تؤد</w:t>
      </w:r>
      <w:r>
        <w:rPr>
          <w:rFonts w:hint="cs"/>
          <w:rtl/>
        </w:rPr>
        <w:t>ّي وظيفة إنجاب الأ</w:t>
      </w:r>
      <w:r w:rsidRPr="00544A36">
        <w:rPr>
          <w:rFonts w:hint="cs"/>
          <w:rtl/>
        </w:rPr>
        <w:t>ط</w:t>
      </w:r>
      <w:r>
        <w:rPr>
          <w:rFonts w:hint="cs"/>
          <w:rtl/>
        </w:rPr>
        <w:t>فال ما دامت تملك القدرة على ذلك،</w:t>
      </w:r>
      <w:r w:rsidRPr="00544A36">
        <w:rPr>
          <w:rFonts w:hint="cs"/>
          <w:rtl/>
        </w:rPr>
        <w:t xml:space="preserve"> </w:t>
      </w:r>
      <w:r>
        <w:rPr>
          <w:rFonts w:hint="cs"/>
          <w:rtl/>
        </w:rPr>
        <w:t>أ</w:t>
      </w:r>
      <w:r w:rsidRPr="00544A36">
        <w:rPr>
          <w:rFonts w:hint="cs"/>
          <w:rtl/>
        </w:rPr>
        <w:t>م</w:t>
      </w:r>
      <w:r>
        <w:rPr>
          <w:rFonts w:hint="cs"/>
          <w:rtl/>
        </w:rPr>
        <w:t>ّا إ</w:t>
      </w:r>
      <w:r w:rsidRPr="00544A36">
        <w:rPr>
          <w:rFonts w:hint="cs"/>
          <w:rtl/>
        </w:rPr>
        <w:t>ذا كن</w:t>
      </w:r>
      <w:r>
        <w:rPr>
          <w:rFonts w:hint="cs"/>
          <w:rtl/>
        </w:rPr>
        <w:t>ّ</w:t>
      </w:r>
      <w:r w:rsidRPr="00544A36">
        <w:rPr>
          <w:rFonts w:hint="cs"/>
          <w:rtl/>
        </w:rPr>
        <w:t>ا نرى ل</w:t>
      </w:r>
      <w:r>
        <w:rPr>
          <w:rFonts w:hint="cs"/>
          <w:rtl/>
        </w:rPr>
        <w:t>ها</w:t>
      </w:r>
      <w:r w:rsidRPr="00544A36">
        <w:rPr>
          <w:rFonts w:hint="cs"/>
          <w:rtl/>
        </w:rPr>
        <w:t xml:space="preserve"> دورا</w:t>
      </w:r>
      <w:r>
        <w:rPr>
          <w:rFonts w:hint="cs"/>
          <w:rtl/>
        </w:rPr>
        <w:t>ً آخر في المجتمع وأ</w:t>
      </w:r>
      <w:r w:rsidRPr="00544A36">
        <w:rPr>
          <w:rFonts w:hint="cs"/>
          <w:rtl/>
        </w:rPr>
        <w:t>ن</w:t>
      </w:r>
      <w:r>
        <w:rPr>
          <w:rFonts w:hint="cs"/>
          <w:rtl/>
        </w:rPr>
        <w:t xml:space="preserve"> </w:t>
      </w:r>
      <w:r w:rsidRPr="00544A36">
        <w:rPr>
          <w:rFonts w:hint="cs"/>
          <w:rtl/>
        </w:rPr>
        <w:t>تقف</w:t>
      </w:r>
      <w:r>
        <w:rPr>
          <w:rFonts w:hint="cs"/>
          <w:rtl/>
        </w:rPr>
        <w:t xml:space="preserve"> إلى </w:t>
      </w:r>
      <w:r w:rsidRPr="00544A36">
        <w:rPr>
          <w:rFonts w:hint="cs"/>
          <w:rtl/>
        </w:rPr>
        <w:t>جنب الرجل في بناء المجتمع، ولذا</w:t>
      </w:r>
      <w:r>
        <w:rPr>
          <w:rFonts w:hint="cs"/>
          <w:rtl/>
        </w:rPr>
        <w:t xml:space="preserve"> لابد أ</w:t>
      </w:r>
      <w:r w:rsidRPr="00544A36">
        <w:rPr>
          <w:rFonts w:hint="cs"/>
          <w:rtl/>
        </w:rPr>
        <w:t>ن تكون متعل</w:t>
      </w:r>
      <w:r>
        <w:rPr>
          <w:rFonts w:hint="cs"/>
          <w:rtl/>
        </w:rPr>
        <w:t>ّ</w:t>
      </w:r>
      <w:r w:rsidRPr="00544A36">
        <w:rPr>
          <w:rFonts w:hint="cs"/>
          <w:rtl/>
        </w:rPr>
        <w:t>مة تملك تجربة</w:t>
      </w:r>
      <w:r>
        <w:rPr>
          <w:rFonts w:hint="cs"/>
          <w:rtl/>
        </w:rPr>
        <w:t>ً</w:t>
      </w:r>
      <w:r w:rsidRPr="00544A36">
        <w:rPr>
          <w:rFonts w:hint="cs"/>
          <w:rtl/>
        </w:rPr>
        <w:t xml:space="preserve"> وتعيش في المجتمع</w:t>
      </w:r>
      <w:r>
        <w:rPr>
          <w:rFonts w:hint="cs"/>
          <w:rtl/>
        </w:rPr>
        <w:t>، وأن نعترف بقدرتها على إ</w:t>
      </w:r>
      <w:r w:rsidRPr="00544A36">
        <w:rPr>
          <w:rFonts w:hint="cs"/>
          <w:rtl/>
        </w:rPr>
        <w:t>دراك الكليات</w:t>
      </w:r>
      <w:r>
        <w:rPr>
          <w:rFonts w:hint="cs"/>
          <w:rtl/>
        </w:rPr>
        <w:t>،</w:t>
      </w:r>
      <w:r w:rsidRPr="00544A36">
        <w:rPr>
          <w:rFonts w:hint="cs"/>
          <w:rtl/>
        </w:rPr>
        <w:t xml:space="preserve"> مضافا</w:t>
      </w:r>
      <w:r>
        <w:rPr>
          <w:rFonts w:hint="cs"/>
          <w:rtl/>
        </w:rPr>
        <w:t>ً إلى إ</w:t>
      </w:r>
      <w:r w:rsidRPr="00544A36">
        <w:rPr>
          <w:rFonts w:hint="cs"/>
          <w:rtl/>
        </w:rPr>
        <w:t>دراكها الجزئيات، فعندئذ</w:t>
      </w:r>
      <w:r>
        <w:rPr>
          <w:rFonts w:hint="cs"/>
          <w:rtl/>
        </w:rPr>
        <w:t xml:space="preserve"> لابدّ وأ</w:t>
      </w:r>
      <w:r w:rsidRPr="00544A36">
        <w:rPr>
          <w:rFonts w:hint="cs"/>
          <w:rtl/>
        </w:rPr>
        <w:t>ن نحد</w:t>
      </w:r>
      <w:r>
        <w:rPr>
          <w:rFonts w:hint="cs"/>
          <w:rtl/>
        </w:rPr>
        <w:t>ّ</w:t>
      </w:r>
      <w:r w:rsidRPr="00544A36">
        <w:rPr>
          <w:rFonts w:hint="cs"/>
          <w:rtl/>
        </w:rPr>
        <w:t>د سنّ الزواج بنحو</w:t>
      </w:r>
      <w:r>
        <w:rPr>
          <w:rFonts w:hint="cs"/>
          <w:rtl/>
        </w:rPr>
        <w:t>ٍ</w:t>
      </w:r>
      <w:r w:rsidRPr="00544A36">
        <w:rPr>
          <w:rFonts w:hint="cs"/>
          <w:rtl/>
        </w:rPr>
        <w:t xml:space="preserve"> مختلف، وبهذا يظهر لنا</w:t>
      </w:r>
      <w:r>
        <w:rPr>
          <w:rFonts w:hint="cs"/>
          <w:rtl/>
        </w:rPr>
        <w:t xml:space="preserve"> إلى </w:t>
      </w:r>
      <w:r w:rsidRPr="00544A36">
        <w:rPr>
          <w:rFonts w:hint="cs"/>
          <w:rtl/>
        </w:rPr>
        <w:t>أي</w:t>
      </w:r>
      <w:r>
        <w:rPr>
          <w:rFonts w:hint="cs"/>
          <w:rtl/>
        </w:rPr>
        <w:t>ّ</w:t>
      </w:r>
      <w:r w:rsidRPr="00544A36">
        <w:rPr>
          <w:rFonts w:hint="cs"/>
          <w:rtl/>
        </w:rPr>
        <w:t xml:space="preserve"> حد</w:t>
      </w:r>
      <w:r>
        <w:rPr>
          <w:rFonts w:hint="cs"/>
          <w:rtl/>
        </w:rPr>
        <w:t>ّ</w:t>
      </w:r>
      <w:r w:rsidRPr="00544A36">
        <w:rPr>
          <w:rFonts w:hint="cs"/>
          <w:rtl/>
        </w:rPr>
        <w:t xml:space="preserve"> كانت الرواية الواردة تحكي عم</w:t>
      </w:r>
      <w:r>
        <w:rPr>
          <w:rFonts w:hint="cs"/>
          <w:rtl/>
        </w:rPr>
        <w:t>ّ</w:t>
      </w:r>
      <w:r w:rsidRPr="00544A36">
        <w:rPr>
          <w:rFonts w:hint="cs"/>
          <w:rtl/>
        </w:rPr>
        <w:t>ا يتناسب مع عرف ذلك الزمان وليس لسانها تأبيديا</w:t>
      </w:r>
      <w:r>
        <w:rPr>
          <w:rFonts w:hint="cs"/>
          <w:rtl/>
        </w:rPr>
        <w:t>ً،</w:t>
      </w:r>
      <w:r w:rsidRPr="00544A36">
        <w:rPr>
          <w:rFonts w:hint="cs"/>
          <w:rtl/>
        </w:rPr>
        <w:t xml:space="preserve"> وكذلك الحال بالنسبة لمسألة البلوغ وحقوق العائلة وسائر ال</w:t>
      </w:r>
      <w:r>
        <w:rPr>
          <w:rFonts w:hint="cs"/>
          <w:rtl/>
        </w:rPr>
        <w:t>أحكام</w:t>
      </w:r>
      <w:r w:rsidRPr="00544A36">
        <w:rPr>
          <w:rFonts w:hint="cs"/>
          <w:rtl/>
        </w:rPr>
        <w:t xml:space="preserve"> الراجعة للمرأ</w:t>
      </w:r>
      <w:r>
        <w:rPr>
          <w:rFonts w:hint="cs"/>
          <w:rtl/>
        </w:rPr>
        <w:t>ة، فإ</w:t>
      </w:r>
      <w:r w:rsidRPr="00544A36">
        <w:rPr>
          <w:rFonts w:hint="cs"/>
          <w:rtl/>
        </w:rPr>
        <w:t>ن</w:t>
      </w:r>
      <w:r>
        <w:rPr>
          <w:rFonts w:hint="cs"/>
          <w:rtl/>
        </w:rPr>
        <w:t>ها</w:t>
      </w:r>
      <w:r w:rsidRPr="00544A36">
        <w:rPr>
          <w:rFonts w:hint="cs"/>
          <w:rtl/>
        </w:rPr>
        <w:t xml:space="preserve"> جميع</w:t>
      </w:r>
      <w:r>
        <w:rPr>
          <w:rFonts w:hint="cs"/>
          <w:rtl/>
        </w:rPr>
        <w:t>ها</w:t>
      </w:r>
      <w:r w:rsidRPr="00544A36">
        <w:rPr>
          <w:rFonts w:hint="cs"/>
          <w:rtl/>
        </w:rPr>
        <w:t xml:space="preserve"> قشور</w:t>
      </w:r>
      <w:r>
        <w:rPr>
          <w:rFonts w:hint="cs"/>
          <w:rtl/>
        </w:rPr>
        <w:t>ٌ</w:t>
      </w:r>
      <w:r w:rsidRPr="00544A36">
        <w:rPr>
          <w:rFonts w:hint="cs"/>
          <w:rtl/>
        </w:rPr>
        <w:t xml:space="preserve"> لحفظ القيم </w:t>
      </w:r>
      <w:r>
        <w:rPr>
          <w:rFonts w:hint="cs"/>
          <w:rtl/>
        </w:rPr>
        <w:t>الأساسيّة</w:t>
      </w:r>
      <w:r w:rsidRPr="00544A36">
        <w:rPr>
          <w:rFonts w:hint="cs"/>
          <w:rtl/>
        </w:rPr>
        <w:t>.</w:t>
      </w:r>
    </w:p>
    <w:p w:rsidR="00BA281B" w:rsidRDefault="00BA281B" w:rsidP="00BA281B">
      <w:pPr>
        <w:pStyle w:val="ac"/>
        <w:rPr>
          <w:rtl/>
        </w:rPr>
      </w:pPr>
      <w:r>
        <w:rPr>
          <w:rFonts w:hint="cs"/>
          <w:rtl/>
        </w:rPr>
        <w:t xml:space="preserve">وتكمن </w:t>
      </w:r>
      <w:r w:rsidRPr="00544A36">
        <w:rPr>
          <w:rFonts w:hint="cs"/>
          <w:rtl/>
        </w:rPr>
        <w:t xml:space="preserve">القضية </w:t>
      </w:r>
      <w:r>
        <w:rPr>
          <w:rFonts w:hint="cs"/>
          <w:rtl/>
        </w:rPr>
        <w:t xml:space="preserve">في </w:t>
      </w:r>
      <w:r w:rsidRPr="00544A36">
        <w:rPr>
          <w:rFonts w:hint="cs"/>
          <w:rtl/>
        </w:rPr>
        <w:t>عدم وجود تلاءم بين التصو</w:t>
      </w:r>
      <w:r>
        <w:rPr>
          <w:rFonts w:hint="cs"/>
          <w:rtl/>
        </w:rPr>
        <w:t>ّ</w:t>
      </w:r>
      <w:r w:rsidRPr="00544A36">
        <w:rPr>
          <w:rFonts w:hint="cs"/>
          <w:rtl/>
        </w:rPr>
        <w:t xml:space="preserve">ر الجديد للمرأة وبين </w:t>
      </w:r>
      <w:r>
        <w:rPr>
          <w:rFonts w:hint="cs"/>
          <w:rtl/>
        </w:rPr>
        <w:t>ال</w:t>
      </w:r>
      <w:r w:rsidRPr="00544A36">
        <w:rPr>
          <w:rFonts w:hint="cs"/>
          <w:rtl/>
        </w:rPr>
        <w:t>نظام الحقوق</w:t>
      </w:r>
      <w:r>
        <w:rPr>
          <w:rFonts w:hint="cs"/>
          <w:rtl/>
        </w:rPr>
        <w:t>ي التقليدي؛ فلا</w:t>
      </w:r>
      <w:r w:rsidRPr="00544A36">
        <w:rPr>
          <w:rFonts w:hint="cs"/>
          <w:rtl/>
        </w:rPr>
        <w:t>بدّ لنا من البحث في ال</w:t>
      </w:r>
      <w:r>
        <w:rPr>
          <w:rFonts w:hint="cs"/>
          <w:rtl/>
        </w:rPr>
        <w:t>أحكام</w:t>
      </w:r>
      <w:r w:rsidRPr="00544A36">
        <w:rPr>
          <w:rFonts w:hint="cs"/>
          <w:rtl/>
        </w:rPr>
        <w:t xml:space="preserve"> الدينية لنرى أي</w:t>
      </w:r>
      <w:r>
        <w:rPr>
          <w:rFonts w:hint="cs"/>
          <w:rtl/>
        </w:rPr>
        <w:t>ّ</w:t>
      </w:r>
      <w:r w:rsidRPr="00544A36">
        <w:rPr>
          <w:rFonts w:hint="cs"/>
          <w:rtl/>
        </w:rPr>
        <w:t xml:space="preserve"> </w:t>
      </w:r>
      <w:r>
        <w:rPr>
          <w:rFonts w:hint="cs"/>
          <w:rtl/>
        </w:rPr>
        <w:t>البناءات المعرفية لحقيقة الإنسان</w:t>
      </w:r>
      <w:r w:rsidRPr="00544A36">
        <w:rPr>
          <w:rFonts w:hint="cs"/>
          <w:rtl/>
        </w:rPr>
        <w:t xml:space="preserve"> </w:t>
      </w:r>
      <w:r>
        <w:rPr>
          <w:rFonts w:hint="cs"/>
          <w:rtl/>
        </w:rPr>
        <w:t xml:space="preserve">هي </w:t>
      </w:r>
      <w:r w:rsidRPr="00544A36">
        <w:rPr>
          <w:rFonts w:hint="cs"/>
          <w:rtl/>
        </w:rPr>
        <w:t>التي ب</w:t>
      </w:r>
      <w:r>
        <w:rPr>
          <w:rFonts w:hint="cs"/>
          <w:rtl/>
        </w:rPr>
        <w:t>ُ</w:t>
      </w:r>
      <w:r w:rsidRPr="00544A36">
        <w:rPr>
          <w:rFonts w:hint="cs"/>
          <w:rtl/>
        </w:rPr>
        <w:t>نيت عليها هذه ال</w:t>
      </w:r>
      <w:r>
        <w:rPr>
          <w:rFonts w:hint="cs"/>
          <w:rtl/>
        </w:rPr>
        <w:t>أحكام؛</w:t>
      </w:r>
      <w:r w:rsidRPr="00544A36">
        <w:rPr>
          <w:rFonts w:hint="cs"/>
          <w:rtl/>
        </w:rPr>
        <w:t xml:space="preserve"> حيث يذهب بعض المفك</w:t>
      </w:r>
      <w:r>
        <w:rPr>
          <w:rFonts w:hint="cs"/>
          <w:rtl/>
        </w:rPr>
        <w:t xml:space="preserve">ّرين المعاصرين مثل </w:t>
      </w:r>
      <w:r w:rsidRPr="00544A36">
        <w:rPr>
          <w:rFonts w:hint="cs"/>
          <w:rtl/>
        </w:rPr>
        <w:t>فضل</w:t>
      </w:r>
      <w:r>
        <w:rPr>
          <w:rFonts w:hint="cs"/>
          <w:rtl/>
        </w:rPr>
        <w:t xml:space="preserve"> الرحمن إلى أ</w:t>
      </w:r>
      <w:r w:rsidRPr="00544A36">
        <w:rPr>
          <w:rFonts w:hint="cs"/>
          <w:rtl/>
        </w:rPr>
        <w:t>ن</w:t>
      </w:r>
      <w:r>
        <w:rPr>
          <w:rFonts w:hint="cs"/>
          <w:rtl/>
        </w:rPr>
        <w:t xml:space="preserve">ّ </w:t>
      </w:r>
      <w:r w:rsidRPr="00544A36">
        <w:rPr>
          <w:rFonts w:hint="cs"/>
          <w:rtl/>
        </w:rPr>
        <w:t>ملاحظة فلسفة ال</w:t>
      </w:r>
      <w:r>
        <w:rPr>
          <w:rFonts w:hint="cs"/>
          <w:rtl/>
        </w:rPr>
        <w:t>أحكام</w:t>
      </w:r>
      <w:r w:rsidRPr="00544A36">
        <w:rPr>
          <w:rFonts w:hint="cs"/>
          <w:rtl/>
        </w:rPr>
        <w:t xml:space="preserve"> المتعل</w:t>
      </w:r>
      <w:r>
        <w:rPr>
          <w:rFonts w:hint="cs"/>
          <w:rtl/>
        </w:rPr>
        <w:t>ّ</w:t>
      </w:r>
      <w:r w:rsidRPr="00544A36">
        <w:rPr>
          <w:rFonts w:hint="cs"/>
          <w:rtl/>
        </w:rPr>
        <w:t>قة بالمرأة</w:t>
      </w:r>
      <w:r>
        <w:rPr>
          <w:rFonts w:hint="cs"/>
          <w:rtl/>
        </w:rPr>
        <w:t>،</w:t>
      </w:r>
      <w:r w:rsidRPr="00544A36">
        <w:rPr>
          <w:rFonts w:hint="cs"/>
          <w:rtl/>
        </w:rPr>
        <w:t xml:space="preserve"> كشهاد</w:t>
      </w:r>
      <w:r>
        <w:rPr>
          <w:rFonts w:hint="cs"/>
          <w:rtl/>
        </w:rPr>
        <w:t xml:space="preserve">تها، </w:t>
      </w:r>
      <w:r w:rsidRPr="00544A36">
        <w:rPr>
          <w:rFonts w:hint="cs"/>
          <w:rtl/>
        </w:rPr>
        <w:t>سوف يوجب تغييرا</w:t>
      </w:r>
      <w:r>
        <w:rPr>
          <w:rFonts w:hint="cs"/>
          <w:rtl/>
        </w:rPr>
        <w:t>ً في الكثير منها.</w:t>
      </w:r>
    </w:p>
    <w:p w:rsidR="00BA281B" w:rsidRPr="00544A36" w:rsidRDefault="00BA281B" w:rsidP="00BA281B">
      <w:pPr>
        <w:pStyle w:val="ac"/>
        <w:rPr>
          <w:rtl/>
        </w:rPr>
      </w:pPr>
      <w:r>
        <w:rPr>
          <w:rFonts w:hint="cs"/>
          <w:rtl/>
        </w:rPr>
        <w:t>والذي أ</w:t>
      </w:r>
      <w:r w:rsidRPr="00544A36">
        <w:rPr>
          <w:rFonts w:hint="cs"/>
          <w:rtl/>
        </w:rPr>
        <w:t xml:space="preserve">راه </w:t>
      </w:r>
      <w:r>
        <w:rPr>
          <w:rFonts w:hint="cs"/>
          <w:rtl/>
        </w:rPr>
        <w:t>أ</w:t>
      </w:r>
      <w:r w:rsidRPr="00544A36">
        <w:rPr>
          <w:rFonts w:hint="cs"/>
          <w:rtl/>
        </w:rPr>
        <w:t>ن</w:t>
      </w:r>
      <w:r>
        <w:rPr>
          <w:rFonts w:hint="cs"/>
          <w:rtl/>
        </w:rPr>
        <w:t>ّ</w:t>
      </w:r>
      <w:r w:rsidRPr="00544A36">
        <w:rPr>
          <w:rFonts w:hint="cs"/>
          <w:rtl/>
        </w:rPr>
        <w:t xml:space="preserve">ه ينبغي علينا استخراج القيم </w:t>
      </w:r>
      <w:r>
        <w:rPr>
          <w:rFonts w:hint="cs"/>
          <w:rtl/>
        </w:rPr>
        <w:t>الأساسيّة</w:t>
      </w:r>
      <w:r w:rsidRPr="00544A36">
        <w:rPr>
          <w:rFonts w:hint="cs"/>
          <w:rtl/>
        </w:rPr>
        <w:t xml:space="preserve"> </w:t>
      </w:r>
      <w:r>
        <w:rPr>
          <w:rFonts w:hint="cs"/>
          <w:rtl/>
        </w:rPr>
        <w:t>الخادمة للعدالة</w:t>
      </w:r>
      <w:r w:rsidRPr="00544A36">
        <w:rPr>
          <w:rFonts w:hint="cs"/>
          <w:rtl/>
        </w:rPr>
        <w:t xml:space="preserve"> من الم</w:t>
      </w:r>
      <w:r>
        <w:rPr>
          <w:rFonts w:hint="cs"/>
          <w:rtl/>
        </w:rPr>
        <w:t>صادر</w:t>
      </w:r>
      <w:r w:rsidRPr="00544A36">
        <w:rPr>
          <w:rFonts w:hint="cs"/>
          <w:rtl/>
        </w:rPr>
        <w:t xml:space="preserve"> الدينية والعقلية، والنظر</w:t>
      </w:r>
      <w:r>
        <w:rPr>
          <w:rFonts w:hint="cs"/>
          <w:rtl/>
        </w:rPr>
        <w:t xml:space="preserve"> إلى النظم الحقوقية على أ</w:t>
      </w:r>
      <w:r w:rsidRPr="00544A36">
        <w:rPr>
          <w:rFonts w:hint="cs"/>
          <w:rtl/>
        </w:rPr>
        <w:t>نها قشور</w:t>
      </w:r>
      <w:r>
        <w:rPr>
          <w:rFonts w:hint="cs"/>
          <w:rtl/>
        </w:rPr>
        <w:t>ٌ</w:t>
      </w:r>
      <w:r w:rsidRPr="00544A36">
        <w:rPr>
          <w:rFonts w:hint="cs"/>
          <w:rtl/>
        </w:rPr>
        <w:t xml:space="preserve"> وظيفت</w:t>
      </w:r>
      <w:r>
        <w:rPr>
          <w:rFonts w:hint="cs"/>
          <w:rtl/>
        </w:rPr>
        <w:t>ُ</w:t>
      </w:r>
      <w:r w:rsidRPr="00544A36">
        <w:rPr>
          <w:rFonts w:hint="cs"/>
          <w:rtl/>
        </w:rPr>
        <w:t>ها حماية القيم</w:t>
      </w:r>
      <w:r>
        <w:rPr>
          <w:rFonts w:hint="cs"/>
          <w:rtl/>
        </w:rPr>
        <w:t>،</w:t>
      </w:r>
      <w:r w:rsidRPr="00544A36">
        <w:rPr>
          <w:rFonts w:hint="cs"/>
          <w:rtl/>
        </w:rPr>
        <w:t xml:space="preserve"> </w:t>
      </w:r>
      <w:r>
        <w:rPr>
          <w:rFonts w:hint="cs"/>
          <w:rtl/>
        </w:rPr>
        <w:t xml:space="preserve">لذا تتسم بالمرحليّة وتكون </w:t>
      </w:r>
      <w:r w:rsidRPr="00544A36">
        <w:rPr>
          <w:rFonts w:hint="cs"/>
          <w:rtl/>
        </w:rPr>
        <w:t>مؤقتة</w:t>
      </w:r>
      <w:r>
        <w:rPr>
          <w:rFonts w:hint="cs"/>
          <w:rtl/>
        </w:rPr>
        <w:t>ً،</w:t>
      </w:r>
      <w:r w:rsidRPr="00544A36">
        <w:rPr>
          <w:rFonts w:hint="cs"/>
          <w:rtl/>
        </w:rPr>
        <w:t xml:space="preserve"> ولذلك </w:t>
      </w:r>
      <w:r>
        <w:rPr>
          <w:rFonts w:hint="cs"/>
          <w:rtl/>
        </w:rPr>
        <w:t>لابدّ لنا ـ تبعاً لتبدّل الأ</w:t>
      </w:r>
      <w:r w:rsidRPr="00544A36">
        <w:rPr>
          <w:rFonts w:hint="cs"/>
          <w:rtl/>
        </w:rPr>
        <w:t>حوال</w:t>
      </w:r>
      <w:r>
        <w:rPr>
          <w:rFonts w:hint="cs"/>
          <w:rtl/>
        </w:rPr>
        <w:t xml:space="preserve"> ـ من استبدال هذه </w:t>
      </w:r>
      <w:r w:rsidRPr="00544A36">
        <w:rPr>
          <w:rFonts w:hint="cs"/>
          <w:rtl/>
        </w:rPr>
        <w:t>القشور بغيرها</w:t>
      </w:r>
      <w:r>
        <w:rPr>
          <w:rFonts w:hint="cs"/>
          <w:rtl/>
        </w:rPr>
        <w:t>،</w:t>
      </w:r>
      <w:r w:rsidRPr="00544A36">
        <w:rPr>
          <w:rFonts w:hint="cs"/>
          <w:rtl/>
        </w:rPr>
        <w:t xml:space="preserve"> مم</w:t>
      </w:r>
      <w:r>
        <w:rPr>
          <w:rFonts w:hint="cs"/>
          <w:rtl/>
        </w:rPr>
        <w:t>ّا يكون بإ</w:t>
      </w:r>
      <w:r w:rsidRPr="00544A36">
        <w:rPr>
          <w:rFonts w:hint="cs"/>
          <w:rtl/>
        </w:rPr>
        <w:t xml:space="preserve">مكانه حفظ هذه القيم </w:t>
      </w:r>
      <w:r>
        <w:rPr>
          <w:rFonts w:hint="cs"/>
          <w:rtl/>
        </w:rPr>
        <w:t>الرئيسة</w:t>
      </w:r>
      <w:r w:rsidRPr="00544A36">
        <w:rPr>
          <w:rFonts w:hint="cs"/>
          <w:rtl/>
        </w:rPr>
        <w:t>.</w:t>
      </w:r>
    </w:p>
    <w:p w:rsidR="00BA281B" w:rsidRDefault="00BA281B" w:rsidP="00BA281B">
      <w:pPr>
        <w:pStyle w:val="ac"/>
        <w:rPr>
          <w:rtl/>
        </w:rPr>
      </w:pPr>
      <w:r w:rsidRPr="00544A36">
        <w:rPr>
          <w:rFonts w:hint="cs"/>
          <w:rtl/>
        </w:rPr>
        <w:t>قد تكون حقوق</w:t>
      </w:r>
      <w:r>
        <w:rPr>
          <w:rFonts w:hint="cs"/>
          <w:rtl/>
        </w:rPr>
        <w:t xml:space="preserve"> المرأة </w:t>
      </w:r>
      <w:r w:rsidRPr="00544A36">
        <w:rPr>
          <w:rFonts w:hint="cs"/>
          <w:rtl/>
        </w:rPr>
        <w:t>من وجهة</w:t>
      </w:r>
      <w:r>
        <w:rPr>
          <w:rFonts w:hint="cs"/>
          <w:rtl/>
        </w:rPr>
        <w:t>ٍ</w:t>
      </w:r>
      <w:r w:rsidRPr="00544A36">
        <w:rPr>
          <w:rFonts w:hint="cs"/>
          <w:rtl/>
        </w:rPr>
        <w:t xml:space="preserve"> </w:t>
      </w:r>
      <w:r>
        <w:rPr>
          <w:rFonts w:hint="cs"/>
          <w:rtl/>
        </w:rPr>
        <w:t>اجتماع</w:t>
      </w:r>
      <w:r w:rsidRPr="00544A36">
        <w:rPr>
          <w:rFonts w:hint="cs"/>
          <w:rtl/>
        </w:rPr>
        <w:t>ية موجبة</w:t>
      </w:r>
      <w:r>
        <w:rPr>
          <w:rFonts w:hint="cs"/>
          <w:rtl/>
        </w:rPr>
        <w:t>ً</w:t>
      </w:r>
      <w:r w:rsidRPr="00544A36">
        <w:rPr>
          <w:rFonts w:hint="cs"/>
          <w:rtl/>
        </w:rPr>
        <w:t xml:space="preserve"> لفرض قيود على</w:t>
      </w:r>
      <w:r>
        <w:rPr>
          <w:rFonts w:hint="cs"/>
          <w:rtl/>
        </w:rPr>
        <w:t xml:space="preserve"> المرأة، </w:t>
      </w:r>
      <w:r w:rsidRPr="00544A36">
        <w:rPr>
          <w:rFonts w:hint="cs"/>
          <w:rtl/>
        </w:rPr>
        <w:t>لكن</w:t>
      </w:r>
      <w:r>
        <w:rPr>
          <w:rFonts w:hint="cs"/>
          <w:rtl/>
        </w:rPr>
        <w:t>ّ</w:t>
      </w:r>
      <w:r w:rsidRPr="00544A36">
        <w:rPr>
          <w:rFonts w:hint="cs"/>
          <w:rtl/>
        </w:rPr>
        <w:t xml:space="preserve">ها </w:t>
      </w:r>
      <w:r w:rsidRPr="00544A36">
        <w:rPr>
          <w:rFonts w:hint="cs"/>
          <w:rtl/>
        </w:rPr>
        <w:lastRenderedPageBreak/>
        <w:t>سوف تكون أسهل من القيود المجعولة ع</w:t>
      </w:r>
      <w:r>
        <w:rPr>
          <w:rFonts w:hint="cs"/>
          <w:rtl/>
        </w:rPr>
        <w:t>ليها في سلسلة القوانين الحقوقية، وفي عقيدتي فإ</w:t>
      </w:r>
      <w:r w:rsidRPr="00544A36">
        <w:rPr>
          <w:rFonts w:hint="cs"/>
          <w:rtl/>
        </w:rPr>
        <w:t>ن</w:t>
      </w:r>
      <w:r>
        <w:rPr>
          <w:rFonts w:hint="cs"/>
          <w:rtl/>
        </w:rPr>
        <w:t>ّ</w:t>
      </w:r>
      <w:r w:rsidRPr="00544A36">
        <w:rPr>
          <w:rFonts w:hint="cs"/>
          <w:rtl/>
        </w:rPr>
        <w:t xml:space="preserve"> أهم</w:t>
      </w:r>
      <w:r>
        <w:rPr>
          <w:rFonts w:hint="cs"/>
          <w:rtl/>
        </w:rPr>
        <w:t>ّ</w:t>
      </w:r>
      <w:r w:rsidRPr="00544A36">
        <w:rPr>
          <w:rFonts w:hint="cs"/>
          <w:rtl/>
        </w:rPr>
        <w:t xml:space="preserve"> موضوع ينبغي بحثه هو تأسيس تصو</w:t>
      </w:r>
      <w:r>
        <w:rPr>
          <w:rFonts w:hint="cs"/>
          <w:rtl/>
        </w:rPr>
        <w:t>ّر عن حقيقة الرجل وحقيقة المرأة،</w:t>
      </w:r>
      <w:r w:rsidRPr="00544A36">
        <w:rPr>
          <w:rFonts w:hint="cs"/>
          <w:rtl/>
        </w:rPr>
        <w:t xml:space="preserve"> </w:t>
      </w:r>
      <w:r>
        <w:rPr>
          <w:rFonts w:hint="cs"/>
          <w:rtl/>
        </w:rPr>
        <w:t>حيث إ</w:t>
      </w:r>
      <w:r w:rsidRPr="00544A36">
        <w:rPr>
          <w:rFonts w:hint="cs"/>
          <w:rtl/>
        </w:rPr>
        <w:t>ن التداخل ال</w:t>
      </w:r>
      <w:r>
        <w:rPr>
          <w:rFonts w:hint="cs"/>
          <w:rtl/>
        </w:rPr>
        <w:t>اجتماع</w:t>
      </w:r>
      <w:r w:rsidRPr="00544A36">
        <w:rPr>
          <w:rFonts w:hint="cs"/>
          <w:rtl/>
        </w:rPr>
        <w:t>ي الموجود في الوقت الحالي يشهد على كون هذه الحقوق وال</w:t>
      </w:r>
      <w:r>
        <w:rPr>
          <w:rFonts w:hint="cs"/>
          <w:rtl/>
        </w:rPr>
        <w:t>أحكام</w:t>
      </w:r>
      <w:r w:rsidRPr="00544A36">
        <w:rPr>
          <w:rFonts w:hint="cs"/>
          <w:rtl/>
        </w:rPr>
        <w:t xml:space="preserve"> غير وافية </w:t>
      </w:r>
      <w:r>
        <w:rPr>
          <w:rFonts w:hint="cs"/>
          <w:rtl/>
        </w:rPr>
        <w:t>ب</w:t>
      </w:r>
      <w:r w:rsidRPr="00544A36">
        <w:rPr>
          <w:rFonts w:hint="cs"/>
          <w:rtl/>
        </w:rPr>
        <w:t>تلبية الحاجات ال</w:t>
      </w:r>
      <w:r>
        <w:rPr>
          <w:rFonts w:hint="cs"/>
          <w:rtl/>
        </w:rPr>
        <w:t>اجتماع</w:t>
      </w:r>
      <w:r w:rsidRPr="00544A36">
        <w:rPr>
          <w:rFonts w:hint="cs"/>
          <w:rtl/>
        </w:rPr>
        <w:t>ية والدو</w:t>
      </w:r>
      <w:r>
        <w:rPr>
          <w:rFonts w:hint="cs"/>
          <w:rtl/>
        </w:rPr>
        <w:t>ر الملقى على عاتق الرجل والمرأة، أي أ</w:t>
      </w:r>
      <w:r w:rsidRPr="00544A36">
        <w:rPr>
          <w:rFonts w:hint="cs"/>
          <w:rtl/>
        </w:rPr>
        <w:t>ن</w:t>
      </w:r>
      <w:r>
        <w:rPr>
          <w:rFonts w:hint="cs"/>
          <w:rtl/>
        </w:rPr>
        <w:t>ّ</w:t>
      </w:r>
      <w:r w:rsidRPr="00544A36">
        <w:rPr>
          <w:rFonts w:hint="cs"/>
          <w:rtl/>
        </w:rPr>
        <w:t xml:space="preserve"> هذه الحقوق </w:t>
      </w:r>
      <w:r>
        <w:rPr>
          <w:rFonts w:hint="cs"/>
          <w:rtl/>
        </w:rPr>
        <w:t xml:space="preserve">والقوانين </w:t>
      </w:r>
      <w:r w:rsidRPr="00544A36">
        <w:rPr>
          <w:rFonts w:hint="cs"/>
          <w:rtl/>
        </w:rPr>
        <w:t>لا تصلح جوابا</w:t>
      </w:r>
      <w:r>
        <w:rPr>
          <w:rFonts w:hint="cs"/>
          <w:rtl/>
        </w:rPr>
        <w:t>ً</w:t>
      </w:r>
      <w:r w:rsidRPr="00544A36">
        <w:rPr>
          <w:rFonts w:hint="cs"/>
          <w:rtl/>
        </w:rPr>
        <w:t xml:space="preserve"> عن العلاقات القائمة حاليا</w:t>
      </w:r>
      <w:r>
        <w:rPr>
          <w:rFonts w:hint="cs"/>
          <w:rtl/>
        </w:rPr>
        <w:t>ً بين الرجل والمرأة في المجتمع،</w:t>
      </w:r>
      <w:r w:rsidRPr="00544A36">
        <w:rPr>
          <w:rFonts w:hint="cs"/>
          <w:rtl/>
        </w:rPr>
        <w:t xml:space="preserve"> </w:t>
      </w:r>
      <w:r>
        <w:rPr>
          <w:rFonts w:hint="cs"/>
          <w:rtl/>
        </w:rPr>
        <w:t>أ</w:t>
      </w:r>
      <w:r w:rsidRPr="00544A36">
        <w:rPr>
          <w:rFonts w:hint="cs"/>
          <w:rtl/>
        </w:rPr>
        <w:t>م</w:t>
      </w:r>
      <w:r>
        <w:rPr>
          <w:rFonts w:hint="cs"/>
          <w:rtl/>
        </w:rPr>
        <w:t>ّ</w:t>
      </w:r>
      <w:r w:rsidRPr="00544A36">
        <w:rPr>
          <w:rFonts w:hint="cs"/>
          <w:rtl/>
        </w:rPr>
        <w:t>ا ما يقف حائلا</w:t>
      </w:r>
      <w:r>
        <w:rPr>
          <w:rFonts w:hint="cs"/>
          <w:rtl/>
        </w:rPr>
        <w:t>ً</w:t>
      </w:r>
      <w:r w:rsidRPr="00544A36">
        <w:rPr>
          <w:rFonts w:hint="cs"/>
          <w:rtl/>
        </w:rPr>
        <w:t xml:space="preserve"> فهو التصو</w:t>
      </w:r>
      <w:r>
        <w:rPr>
          <w:rFonts w:hint="cs"/>
          <w:rtl/>
        </w:rPr>
        <w:t>ّر التقليدي للرجل والمرأة؛ لذا كان من الأفضل أ</w:t>
      </w:r>
      <w:r w:rsidRPr="00544A36">
        <w:rPr>
          <w:rFonts w:hint="cs"/>
          <w:rtl/>
        </w:rPr>
        <w:t>ن ي</w:t>
      </w:r>
      <w:r>
        <w:rPr>
          <w:rFonts w:hint="cs"/>
          <w:rtl/>
        </w:rPr>
        <w:t xml:space="preserve">تركّز </w:t>
      </w:r>
      <w:r w:rsidRPr="00544A36">
        <w:rPr>
          <w:rFonts w:hint="cs"/>
          <w:rtl/>
        </w:rPr>
        <w:t xml:space="preserve">جهد الباحثين حول هذا التصور </w:t>
      </w:r>
      <w:r>
        <w:rPr>
          <w:rFonts w:hint="cs"/>
          <w:rtl/>
        </w:rPr>
        <w:t>بالذات.</w:t>
      </w:r>
    </w:p>
    <w:p w:rsidR="00BA281B" w:rsidRDefault="00BA281B" w:rsidP="00BA281B">
      <w:pPr>
        <w:pStyle w:val="ac"/>
        <w:rPr>
          <w:rtl/>
        </w:rPr>
      </w:pPr>
      <w:r>
        <w:rPr>
          <w:rFonts w:hint="cs"/>
          <w:rtl/>
        </w:rPr>
        <w:t>من هذا المنطلق، نجيب عن</w:t>
      </w:r>
      <w:r w:rsidRPr="00544A36">
        <w:rPr>
          <w:rFonts w:hint="cs"/>
          <w:rtl/>
        </w:rPr>
        <w:t xml:space="preserve"> الاسئلة المتراكمة: هل لدينا حقوق خاص</w:t>
      </w:r>
      <w:r>
        <w:rPr>
          <w:rFonts w:hint="cs"/>
          <w:rtl/>
        </w:rPr>
        <w:t>ّ</w:t>
      </w:r>
      <w:r w:rsidRPr="00544A36">
        <w:rPr>
          <w:rFonts w:hint="cs"/>
          <w:rtl/>
        </w:rPr>
        <w:t>ة بالمرأة؟ هل لدينا قيم نسائية؟ هل لدينا قيم رجالية؟ وغير ذلك.</w:t>
      </w:r>
    </w:p>
    <w:p w:rsidR="00BA281B" w:rsidRDefault="00BA281B" w:rsidP="001C51A4">
      <w:pPr>
        <w:pStyle w:val="ac"/>
      </w:pPr>
      <w:r>
        <w:rPr>
          <w:rFonts w:hint="cs"/>
          <w:rtl/>
        </w:rPr>
        <w:t>ما أ</w:t>
      </w:r>
      <w:r w:rsidRPr="00544A36">
        <w:rPr>
          <w:rFonts w:hint="cs"/>
          <w:rtl/>
        </w:rPr>
        <w:t xml:space="preserve">راه </w:t>
      </w:r>
      <w:r>
        <w:rPr>
          <w:rFonts w:hint="cs"/>
          <w:rtl/>
        </w:rPr>
        <w:t>أ</w:t>
      </w:r>
      <w:r w:rsidRPr="00544A36">
        <w:rPr>
          <w:rFonts w:hint="cs"/>
          <w:rtl/>
        </w:rPr>
        <w:t>ن</w:t>
      </w:r>
      <w:r>
        <w:rPr>
          <w:rFonts w:hint="cs"/>
          <w:rtl/>
        </w:rPr>
        <w:t>ّ</w:t>
      </w:r>
      <w:r w:rsidRPr="00544A36">
        <w:rPr>
          <w:rFonts w:hint="cs"/>
          <w:rtl/>
        </w:rPr>
        <w:t xml:space="preserve"> المسائل الفقهية والحقوقية قد بُحثت بشكل</w:t>
      </w:r>
      <w:r>
        <w:rPr>
          <w:rFonts w:hint="cs"/>
          <w:rtl/>
        </w:rPr>
        <w:t>ٍ</w:t>
      </w:r>
      <w:r w:rsidRPr="00544A36">
        <w:rPr>
          <w:rFonts w:hint="cs"/>
          <w:rtl/>
        </w:rPr>
        <w:t xml:space="preserve"> كاف، والتنافي بين هذه ال</w:t>
      </w:r>
      <w:r>
        <w:rPr>
          <w:rFonts w:hint="cs"/>
          <w:rtl/>
        </w:rPr>
        <w:t>أحكام</w:t>
      </w:r>
      <w:r w:rsidRPr="00544A36">
        <w:rPr>
          <w:rFonts w:hint="cs"/>
          <w:rtl/>
        </w:rPr>
        <w:t xml:space="preserve"> وبين واقع هذا الزمان ظاهرٌ للعيان، فلا بد من جر</w:t>
      </w:r>
      <w:r>
        <w:rPr>
          <w:rFonts w:hint="cs"/>
          <w:rtl/>
        </w:rPr>
        <w:t>ّ</w:t>
      </w:r>
      <w:r w:rsidRPr="00544A36">
        <w:rPr>
          <w:rFonts w:hint="cs"/>
          <w:rtl/>
        </w:rPr>
        <w:t xml:space="preserve"> البحث باتجاه البحث الفلسفي العلمي الكلامي الواسع.</w:t>
      </w:r>
    </w:p>
    <w:p w:rsidR="00BA281B" w:rsidRPr="00BA281B" w:rsidRDefault="00AC202B" w:rsidP="00BA281B">
      <w:pPr>
        <w:pStyle w:val="ac"/>
        <w:rPr>
          <w:rFonts w:cs="Abz-1 (Lotus)"/>
          <w:b/>
          <w:bCs/>
          <w:rtl/>
        </w:rPr>
      </w:pPr>
      <w:r w:rsidRPr="00AC202B">
        <w:rPr>
          <w:rFonts w:hint="cs"/>
        </w:rPr>
        <w:sym w:font="AGA Arabesque" w:char="F05F"/>
      </w:r>
      <w:r w:rsidRPr="00AC202B">
        <w:rPr>
          <w:rFonts w:hint="cs"/>
          <w:rtl/>
        </w:rPr>
        <w:t xml:space="preserve"> </w:t>
      </w:r>
      <w:r w:rsidR="00BA281B" w:rsidRPr="00BA281B">
        <w:rPr>
          <w:rFonts w:hint="cs"/>
          <w:b/>
          <w:bCs/>
          <w:rtl/>
        </w:rPr>
        <w:t>تحدّثتم عن النسوية، فما هو تصوّركم عنها؟</w:t>
      </w:r>
    </w:p>
    <w:p w:rsidR="00BA281B" w:rsidRDefault="00AC202B" w:rsidP="00BA281B">
      <w:pPr>
        <w:pStyle w:val="ac"/>
        <w:rPr>
          <w:rtl/>
        </w:rPr>
      </w:pPr>
      <w:r>
        <w:rPr>
          <w:rFonts w:hint="cs"/>
        </w:rPr>
        <w:sym w:font="AGA Arabesque" w:char="F05E"/>
      </w:r>
      <w:r>
        <w:rPr>
          <w:rFonts w:hint="cs"/>
          <w:rtl/>
        </w:rPr>
        <w:t xml:space="preserve"> </w:t>
      </w:r>
      <w:r w:rsidR="00BA281B">
        <w:rPr>
          <w:rFonts w:hint="cs"/>
          <w:rtl/>
        </w:rPr>
        <w:t>إ</w:t>
      </w:r>
      <w:r w:rsidR="00BA281B" w:rsidRPr="00544A36">
        <w:rPr>
          <w:rFonts w:hint="cs"/>
          <w:rtl/>
        </w:rPr>
        <w:t>ن</w:t>
      </w:r>
      <w:r w:rsidR="00BA281B">
        <w:rPr>
          <w:rFonts w:hint="cs"/>
          <w:rtl/>
        </w:rPr>
        <w:t>ّ الإ</w:t>
      </w:r>
      <w:r w:rsidR="00BA281B" w:rsidRPr="00544A36">
        <w:rPr>
          <w:rFonts w:hint="cs"/>
          <w:rtl/>
        </w:rPr>
        <w:t xml:space="preserve">جابة عن هذا السؤال </w:t>
      </w:r>
      <w:r w:rsidR="00BA281B">
        <w:rPr>
          <w:rFonts w:hint="cs"/>
          <w:rtl/>
        </w:rPr>
        <w:t>أمرٌ صعب للغاية، فلنفترض أ</w:t>
      </w:r>
      <w:r w:rsidR="00BA281B" w:rsidRPr="00544A36">
        <w:rPr>
          <w:rFonts w:hint="cs"/>
          <w:rtl/>
        </w:rPr>
        <w:t>ن</w:t>
      </w:r>
      <w:r w:rsidR="00BA281B">
        <w:rPr>
          <w:rFonts w:hint="cs"/>
          <w:rtl/>
        </w:rPr>
        <w:t>ّ</w:t>
      </w:r>
      <w:r w:rsidR="00BA281B" w:rsidRPr="00544A36">
        <w:rPr>
          <w:rFonts w:hint="cs"/>
          <w:rtl/>
        </w:rPr>
        <w:t>ه لا يو</w:t>
      </w:r>
      <w:r w:rsidR="00BA281B">
        <w:rPr>
          <w:rFonts w:hint="cs"/>
          <w:rtl/>
        </w:rPr>
        <w:t>جد جدل حول مسألة المرأة، ووجّه إ</w:t>
      </w:r>
      <w:r w:rsidR="00BA281B" w:rsidRPr="00544A36">
        <w:rPr>
          <w:rFonts w:hint="cs"/>
          <w:rtl/>
        </w:rPr>
        <w:t>لينا سؤال عن تعريف الرجولة،</w:t>
      </w:r>
      <w:r w:rsidR="00BA281B">
        <w:rPr>
          <w:rFonts w:hint="cs"/>
          <w:rtl/>
        </w:rPr>
        <w:t xml:space="preserve"> أو عن</w:t>
      </w:r>
      <w:r w:rsidR="00BA281B" w:rsidRPr="00544A36">
        <w:rPr>
          <w:rFonts w:hint="cs"/>
          <w:rtl/>
        </w:rPr>
        <w:t xml:space="preserve"> ال</w:t>
      </w:r>
      <w:r w:rsidR="00BA281B">
        <w:rPr>
          <w:rFonts w:hint="cs"/>
          <w:rtl/>
        </w:rPr>
        <w:t>إنسان</w:t>
      </w:r>
      <w:r w:rsidR="00BA281B" w:rsidRPr="00544A36">
        <w:rPr>
          <w:rFonts w:hint="cs"/>
          <w:rtl/>
        </w:rPr>
        <w:t>ية</w:t>
      </w:r>
      <w:r w:rsidR="00BA281B">
        <w:rPr>
          <w:rFonts w:hint="cs"/>
          <w:rtl/>
        </w:rPr>
        <w:t>، لكان الجواب ـ أ</w:t>
      </w:r>
      <w:r w:rsidR="00BA281B" w:rsidRPr="00544A36">
        <w:rPr>
          <w:rFonts w:hint="cs"/>
          <w:rtl/>
        </w:rPr>
        <w:t>يضا</w:t>
      </w:r>
      <w:r w:rsidR="00BA281B">
        <w:rPr>
          <w:rFonts w:hint="cs"/>
          <w:rtl/>
        </w:rPr>
        <w:t>ً</w:t>
      </w:r>
      <w:r w:rsidR="00BA281B" w:rsidRPr="00544A36">
        <w:rPr>
          <w:rFonts w:hint="cs"/>
          <w:rtl/>
        </w:rPr>
        <w:t xml:space="preserve"> </w:t>
      </w:r>
      <w:r w:rsidR="00BA281B">
        <w:rPr>
          <w:rFonts w:hint="cs"/>
          <w:rtl/>
        </w:rPr>
        <w:t>ـ أمر</w:t>
      </w:r>
      <w:r w:rsidR="00BA281B" w:rsidRPr="00544A36">
        <w:rPr>
          <w:rFonts w:hint="cs"/>
          <w:rtl/>
        </w:rPr>
        <w:t>ا</w:t>
      </w:r>
      <w:r w:rsidR="00BA281B">
        <w:rPr>
          <w:rFonts w:hint="cs"/>
          <w:rtl/>
        </w:rPr>
        <w:t>ً</w:t>
      </w:r>
      <w:r w:rsidR="00BA281B" w:rsidRPr="00544A36">
        <w:rPr>
          <w:rFonts w:hint="cs"/>
          <w:rtl/>
        </w:rPr>
        <w:t xml:space="preserve"> صعبا</w:t>
      </w:r>
      <w:r w:rsidR="00BA281B">
        <w:rPr>
          <w:rFonts w:hint="cs"/>
          <w:rtl/>
        </w:rPr>
        <w:t>ً، إ</w:t>
      </w:r>
      <w:r w:rsidR="00BA281B" w:rsidRPr="00544A36">
        <w:rPr>
          <w:rFonts w:hint="cs"/>
          <w:rtl/>
        </w:rPr>
        <w:t>ن</w:t>
      </w:r>
      <w:r w:rsidR="00BA281B">
        <w:rPr>
          <w:rFonts w:hint="cs"/>
          <w:rtl/>
        </w:rPr>
        <w:t>ّ صعوبة تعريف الإنسان</w:t>
      </w:r>
      <w:r w:rsidR="00BA281B" w:rsidRPr="00544A36">
        <w:rPr>
          <w:rFonts w:hint="cs"/>
          <w:rtl/>
        </w:rPr>
        <w:t>ية تظهر من وجود تعاريف عديدة لل</w:t>
      </w:r>
      <w:r w:rsidR="00BA281B">
        <w:rPr>
          <w:rFonts w:hint="cs"/>
          <w:rtl/>
        </w:rPr>
        <w:t>إنسان</w:t>
      </w:r>
      <w:r w:rsidR="00BA281B" w:rsidRPr="00544A36">
        <w:rPr>
          <w:rFonts w:hint="cs"/>
          <w:rtl/>
        </w:rPr>
        <w:t>، فق</w:t>
      </w:r>
      <w:r w:rsidR="00BA281B">
        <w:rPr>
          <w:rFonts w:hint="cs"/>
          <w:rtl/>
        </w:rPr>
        <w:t>د ق</w:t>
      </w:r>
      <w:r w:rsidR="00BA281B" w:rsidRPr="00544A36">
        <w:rPr>
          <w:rFonts w:hint="cs"/>
          <w:rtl/>
        </w:rPr>
        <w:t>يل</w:t>
      </w:r>
      <w:r w:rsidR="00BA281B">
        <w:rPr>
          <w:rFonts w:hint="cs"/>
          <w:rtl/>
        </w:rPr>
        <w:t>:</w:t>
      </w:r>
      <w:r w:rsidR="00BA281B" w:rsidRPr="00544A36">
        <w:rPr>
          <w:rFonts w:hint="cs"/>
          <w:rtl/>
        </w:rPr>
        <w:t xml:space="preserve"> ال</w:t>
      </w:r>
      <w:r w:rsidR="00BA281B">
        <w:rPr>
          <w:rFonts w:hint="cs"/>
          <w:rtl/>
        </w:rPr>
        <w:t>إنسان</w:t>
      </w:r>
      <w:r w:rsidR="00BA281B" w:rsidRPr="00544A36">
        <w:rPr>
          <w:rFonts w:hint="cs"/>
          <w:rtl/>
        </w:rPr>
        <w:t xml:space="preserve"> حيوان ناطق</w:t>
      </w:r>
      <w:r w:rsidR="00BA281B">
        <w:rPr>
          <w:rFonts w:hint="cs"/>
          <w:rtl/>
        </w:rPr>
        <w:t>،</w:t>
      </w:r>
      <w:r w:rsidR="00BA281B" w:rsidRPr="00544A36">
        <w:rPr>
          <w:rFonts w:hint="cs"/>
          <w:rtl/>
        </w:rPr>
        <w:t xml:space="preserve"> وقيل</w:t>
      </w:r>
      <w:r w:rsidR="00BA281B">
        <w:rPr>
          <w:rFonts w:hint="cs"/>
          <w:rtl/>
        </w:rPr>
        <w:t>: إ</w:t>
      </w:r>
      <w:r w:rsidR="00BA281B" w:rsidRPr="00544A36">
        <w:rPr>
          <w:rFonts w:hint="cs"/>
          <w:rtl/>
        </w:rPr>
        <w:t>ن</w:t>
      </w:r>
      <w:r w:rsidR="00BA281B">
        <w:rPr>
          <w:rFonts w:hint="cs"/>
          <w:rtl/>
        </w:rPr>
        <w:t>ّ</w:t>
      </w:r>
      <w:r w:rsidR="00BA281B" w:rsidRPr="00544A36">
        <w:rPr>
          <w:rFonts w:hint="cs"/>
          <w:rtl/>
        </w:rPr>
        <w:t xml:space="preserve">ه حيوان </w:t>
      </w:r>
      <w:r w:rsidR="00BA281B">
        <w:rPr>
          <w:rFonts w:hint="cs"/>
          <w:rtl/>
        </w:rPr>
        <w:t>أخلاق</w:t>
      </w:r>
      <w:r w:rsidR="00BA281B" w:rsidRPr="00544A36">
        <w:rPr>
          <w:rFonts w:hint="cs"/>
          <w:rtl/>
        </w:rPr>
        <w:t>ي</w:t>
      </w:r>
      <w:r w:rsidR="00BA281B">
        <w:rPr>
          <w:rFonts w:hint="cs"/>
          <w:rtl/>
        </w:rPr>
        <w:t>،</w:t>
      </w:r>
      <w:r w:rsidR="00BA281B" w:rsidRPr="00544A36">
        <w:rPr>
          <w:rFonts w:hint="cs"/>
          <w:rtl/>
        </w:rPr>
        <w:t xml:space="preserve"> وقيل</w:t>
      </w:r>
      <w:r w:rsidR="00BA281B">
        <w:rPr>
          <w:rFonts w:hint="cs"/>
          <w:rtl/>
        </w:rPr>
        <w:t>:</w:t>
      </w:r>
      <w:r w:rsidR="00BA281B" w:rsidRPr="00544A36">
        <w:rPr>
          <w:rFonts w:hint="cs"/>
          <w:rtl/>
        </w:rPr>
        <w:t xml:space="preserve"> هو الفنان وصانع الآلة</w:t>
      </w:r>
      <w:r w:rsidR="00BA281B">
        <w:rPr>
          <w:rFonts w:hint="cs"/>
          <w:rtl/>
        </w:rPr>
        <w:t>،</w:t>
      </w:r>
      <w:r w:rsidR="00BA281B" w:rsidRPr="00544A36">
        <w:rPr>
          <w:rFonts w:hint="cs"/>
          <w:rtl/>
        </w:rPr>
        <w:t xml:space="preserve"> وغير ذلك</w:t>
      </w:r>
      <w:r w:rsidR="00BA281B">
        <w:rPr>
          <w:rFonts w:hint="cs"/>
          <w:rtl/>
        </w:rPr>
        <w:t>، إ</w:t>
      </w:r>
      <w:r w:rsidR="00BA281B" w:rsidRPr="00544A36">
        <w:rPr>
          <w:rFonts w:hint="cs"/>
          <w:rtl/>
        </w:rPr>
        <w:t>ن</w:t>
      </w:r>
      <w:r w:rsidR="00BA281B">
        <w:rPr>
          <w:rFonts w:hint="cs"/>
          <w:rtl/>
        </w:rPr>
        <w:t>ّ</w:t>
      </w:r>
      <w:r w:rsidR="00BA281B" w:rsidRPr="00544A36">
        <w:rPr>
          <w:rFonts w:hint="cs"/>
          <w:rtl/>
        </w:rPr>
        <w:t xml:space="preserve"> الخروج بتعريف مستدلٌ عليه للرجل والمرأة </w:t>
      </w:r>
      <w:r w:rsidR="00BA281B">
        <w:rPr>
          <w:rFonts w:hint="cs"/>
          <w:rtl/>
        </w:rPr>
        <w:t>أمرٌ</w:t>
      </w:r>
      <w:r w:rsidR="00BA281B" w:rsidRPr="00544A36">
        <w:rPr>
          <w:rFonts w:hint="cs"/>
          <w:rtl/>
        </w:rPr>
        <w:t xml:space="preserve"> صعب، </w:t>
      </w:r>
      <w:r w:rsidR="00BA281B">
        <w:rPr>
          <w:rFonts w:hint="cs"/>
          <w:rtl/>
        </w:rPr>
        <w:t>لكن ما هو مسلّم أ</w:t>
      </w:r>
      <w:r w:rsidR="00BA281B" w:rsidRPr="00544A36">
        <w:rPr>
          <w:rFonts w:hint="cs"/>
          <w:rtl/>
        </w:rPr>
        <w:t>ن</w:t>
      </w:r>
      <w:r w:rsidR="00BA281B">
        <w:rPr>
          <w:rFonts w:hint="cs"/>
          <w:rtl/>
        </w:rPr>
        <w:t>ّ</w:t>
      </w:r>
      <w:r w:rsidR="00BA281B" w:rsidRPr="00544A36">
        <w:rPr>
          <w:rFonts w:hint="cs"/>
          <w:rtl/>
        </w:rPr>
        <w:t xml:space="preserve"> المشكلة اليوم بارزة</w:t>
      </w:r>
      <w:r w:rsidR="00BA281B">
        <w:rPr>
          <w:rFonts w:hint="cs"/>
          <w:rtl/>
        </w:rPr>
        <w:t>ٌ</w:t>
      </w:r>
      <w:r w:rsidR="00BA281B" w:rsidRPr="00544A36">
        <w:rPr>
          <w:rFonts w:hint="cs"/>
          <w:rtl/>
        </w:rPr>
        <w:t xml:space="preserve"> للعيان أكثر من أي</w:t>
      </w:r>
      <w:r w:rsidR="00BA281B">
        <w:rPr>
          <w:rFonts w:hint="cs"/>
          <w:rtl/>
        </w:rPr>
        <w:t>ّ وقت مضى.</w:t>
      </w:r>
    </w:p>
    <w:p w:rsidR="00BA281B" w:rsidRDefault="00BA281B" w:rsidP="00BA281B">
      <w:pPr>
        <w:pStyle w:val="ac"/>
        <w:rPr>
          <w:rtl/>
        </w:rPr>
      </w:pPr>
      <w:r w:rsidRPr="00544A36">
        <w:rPr>
          <w:rFonts w:hint="cs"/>
          <w:rtl/>
        </w:rPr>
        <w:t>أذكر مرة</w:t>
      </w:r>
      <w:r>
        <w:rPr>
          <w:rFonts w:hint="cs"/>
          <w:rtl/>
        </w:rPr>
        <w:t>ً أ</w:t>
      </w:r>
      <w:r w:rsidRPr="00544A36">
        <w:rPr>
          <w:rFonts w:hint="cs"/>
          <w:rtl/>
        </w:rPr>
        <w:t>ن</w:t>
      </w:r>
      <w:r>
        <w:rPr>
          <w:rFonts w:hint="cs"/>
          <w:rtl/>
        </w:rPr>
        <w:t>ّ</w:t>
      </w:r>
      <w:r w:rsidRPr="00544A36">
        <w:rPr>
          <w:rFonts w:hint="cs"/>
          <w:rtl/>
        </w:rPr>
        <w:t xml:space="preserve"> شخصا</w:t>
      </w:r>
      <w:r>
        <w:rPr>
          <w:rFonts w:hint="cs"/>
          <w:rtl/>
        </w:rPr>
        <w:t>ً</w:t>
      </w:r>
      <w:r w:rsidRPr="00544A36">
        <w:rPr>
          <w:rFonts w:hint="cs"/>
          <w:rtl/>
        </w:rPr>
        <w:t xml:space="preserve"> مم</w:t>
      </w:r>
      <w:r>
        <w:rPr>
          <w:rFonts w:hint="cs"/>
          <w:rtl/>
        </w:rPr>
        <w:t>ّ</w:t>
      </w:r>
      <w:r w:rsidRPr="00544A36">
        <w:rPr>
          <w:rFonts w:hint="cs"/>
          <w:rtl/>
        </w:rPr>
        <w:t>ن كان في موقع المسؤول عنّا في المرحلة الثانوية</w:t>
      </w:r>
      <w:r>
        <w:rPr>
          <w:rFonts w:hint="cs"/>
          <w:rtl/>
        </w:rPr>
        <w:t>،</w:t>
      </w:r>
      <w:r w:rsidRPr="00544A36">
        <w:rPr>
          <w:rFonts w:hint="cs"/>
          <w:rtl/>
        </w:rPr>
        <w:t xml:space="preserve"> نقل لنا رواية</w:t>
      </w:r>
      <w:r>
        <w:rPr>
          <w:rFonts w:hint="cs"/>
          <w:rtl/>
        </w:rPr>
        <w:t>ً</w:t>
      </w:r>
      <w:r w:rsidRPr="00544A36">
        <w:rPr>
          <w:rFonts w:hint="cs"/>
          <w:rtl/>
        </w:rPr>
        <w:t xml:space="preserve"> عن السيدة الزهراء</w:t>
      </w:r>
      <w:r>
        <w:rPr>
          <w:rFonts w:hint="cs"/>
          <w:rtl/>
        </w:rPr>
        <w:t>،</w:t>
      </w:r>
      <w:r w:rsidRPr="00544A36">
        <w:rPr>
          <w:rFonts w:hint="cs"/>
          <w:rtl/>
        </w:rPr>
        <w:t xml:space="preserve"> مضمون</w:t>
      </w:r>
      <w:r>
        <w:rPr>
          <w:rFonts w:hint="cs"/>
          <w:rtl/>
        </w:rPr>
        <w:t>ها</w:t>
      </w:r>
      <w:r w:rsidRPr="00544A36">
        <w:rPr>
          <w:rFonts w:hint="cs"/>
          <w:rtl/>
        </w:rPr>
        <w:t xml:space="preserve"> </w:t>
      </w:r>
      <w:r>
        <w:rPr>
          <w:rFonts w:hint="cs"/>
          <w:rtl/>
        </w:rPr>
        <w:t>أ</w:t>
      </w:r>
      <w:r w:rsidRPr="00544A36">
        <w:rPr>
          <w:rFonts w:hint="cs"/>
          <w:rtl/>
        </w:rPr>
        <w:t>ن</w:t>
      </w:r>
      <w:r>
        <w:rPr>
          <w:rFonts w:hint="cs"/>
          <w:rtl/>
        </w:rPr>
        <w:t>ّ</w:t>
      </w:r>
      <w:r w:rsidRPr="00544A36">
        <w:rPr>
          <w:rFonts w:hint="cs"/>
          <w:rtl/>
        </w:rPr>
        <w:t xml:space="preserve"> شخصا</w:t>
      </w:r>
      <w:r>
        <w:rPr>
          <w:rFonts w:hint="cs"/>
          <w:rtl/>
        </w:rPr>
        <w:t xml:space="preserve">ً </w:t>
      </w:r>
      <w:r w:rsidRPr="00544A36">
        <w:rPr>
          <w:rFonts w:hint="cs"/>
          <w:rtl/>
        </w:rPr>
        <w:t>أعمى جاء</w:t>
      </w:r>
      <w:r>
        <w:rPr>
          <w:rFonts w:hint="cs"/>
          <w:rtl/>
        </w:rPr>
        <w:t xml:space="preserve"> إلى </w:t>
      </w:r>
      <w:r w:rsidRPr="00544A36">
        <w:rPr>
          <w:rFonts w:hint="cs"/>
          <w:rtl/>
        </w:rPr>
        <w:t>النبي</w:t>
      </w:r>
      <w:r>
        <w:rPr>
          <w:rFonts w:hint="cs"/>
          <w:rtl/>
        </w:rPr>
        <w:t>،</w:t>
      </w:r>
      <w:r w:rsidRPr="00544A36">
        <w:rPr>
          <w:rFonts w:hint="cs"/>
          <w:rtl/>
        </w:rPr>
        <w:t xml:space="preserve"> فقامت السيدة الزهراء واستترت</w:t>
      </w:r>
      <w:r>
        <w:rPr>
          <w:rFonts w:hint="cs"/>
          <w:rtl/>
        </w:rPr>
        <w:t>،</w:t>
      </w:r>
      <w:r w:rsidRPr="00544A36">
        <w:rPr>
          <w:rFonts w:hint="cs"/>
          <w:rtl/>
        </w:rPr>
        <w:t xml:space="preserve"> ولما ذهب ذلك الرجل سأل النبي</w:t>
      </w:r>
      <w:r>
        <w:rPr>
          <w:rFonts w:hint="cs"/>
          <w:rtl/>
        </w:rPr>
        <w:t>ُّ</w:t>
      </w:r>
      <w:r w:rsidRPr="00544A36">
        <w:rPr>
          <w:rFonts w:hint="cs"/>
          <w:rtl/>
        </w:rPr>
        <w:t xml:space="preserve"> ابنته </w:t>
      </w:r>
      <w:r>
        <w:rPr>
          <w:rFonts w:hint="cs"/>
          <w:rtl/>
        </w:rPr>
        <w:t>عن سرّ قيامها واستتارها مع أ</w:t>
      </w:r>
      <w:r w:rsidRPr="00544A36">
        <w:rPr>
          <w:rFonts w:hint="cs"/>
          <w:rtl/>
        </w:rPr>
        <w:t>ن</w:t>
      </w:r>
      <w:r>
        <w:rPr>
          <w:rFonts w:hint="cs"/>
          <w:rtl/>
        </w:rPr>
        <w:t>ّ</w:t>
      </w:r>
      <w:r w:rsidRPr="00544A36">
        <w:rPr>
          <w:rFonts w:hint="cs"/>
          <w:rtl/>
        </w:rPr>
        <w:t xml:space="preserve"> الرجل كان أعمى، فقالت</w:t>
      </w:r>
      <w:r>
        <w:rPr>
          <w:rFonts w:cs="Taher" w:hint="cs"/>
          <w:noProof/>
          <w:sz w:val="30"/>
          <w:rtl/>
        </w:rPr>
        <w:t>&amp;</w:t>
      </w:r>
      <w:r w:rsidRPr="00544A36">
        <w:rPr>
          <w:rFonts w:hint="cs"/>
          <w:rtl/>
        </w:rPr>
        <w:t>: خير</w:t>
      </w:r>
      <w:r>
        <w:rPr>
          <w:rFonts w:hint="cs"/>
          <w:rtl/>
        </w:rPr>
        <w:t>ٌ للنساء أ</w:t>
      </w:r>
      <w:r w:rsidRPr="00544A36">
        <w:rPr>
          <w:rFonts w:hint="cs"/>
          <w:rtl/>
        </w:rPr>
        <w:t>ن لا يراهن</w:t>
      </w:r>
      <w:r>
        <w:rPr>
          <w:rFonts w:hint="cs"/>
          <w:rtl/>
        </w:rPr>
        <w:t>ّ أحد ولا يرين أ</w:t>
      </w:r>
      <w:r w:rsidRPr="00544A36">
        <w:rPr>
          <w:rFonts w:hint="cs"/>
          <w:rtl/>
        </w:rPr>
        <w:t>حدا</w:t>
      </w:r>
      <w:r>
        <w:rPr>
          <w:rFonts w:hint="cs"/>
          <w:rtl/>
        </w:rPr>
        <w:t>ً</w:t>
      </w:r>
      <w:r w:rsidRPr="00544A36">
        <w:rPr>
          <w:rFonts w:hint="cs"/>
          <w:rtl/>
        </w:rPr>
        <w:t>، فأجابها النبي: نفسي لك الفداء، ومن ذلك اليوم جاء</w:t>
      </w:r>
      <w:r>
        <w:rPr>
          <w:rFonts w:hint="cs"/>
          <w:rtl/>
        </w:rPr>
        <w:t xml:space="preserve"> إلى </w:t>
      </w:r>
      <w:r w:rsidRPr="00544A36">
        <w:rPr>
          <w:rFonts w:hint="cs"/>
          <w:rtl/>
        </w:rPr>
        <w:t xml:space="preserve">ذهني </w:t>
      </w:r>
      <w:r>
        <w:rPr>
          <w:rFonts w:hint="cs"/>
          <w:rtl/>
        </w:rPr>
        <w:t xml:space="preserve">هذا </w:t>
      </w:r>
      <w:r w:rsidRPr="00544A36">
        <w:rPr>
          <w:rFonts w:hint="cs"/>
          <w:rtl/>
        </w:rPr>
        <w:t>السؤال</w:t>
      </w:r>
      <w:r>
        <w:rPr>
          <w:rFonts w:hint="cs"/>
          <w:rtl/>
        </w:rPr>
        <w:t>: هل يمكن أ</w:t>
      </w:r>
      <w:r w:rsidRPr="00544A36">
        <w:rPr>
          <w:rFonts w:hint="cs"/>
          <w:rtl/>
        </w:rPr>
        <w:t xml:space="preserve">ن </w:t>
      </w:r>
      <w:r w:rsidRPr="00544A36">
        <w:rPr>
          <w:rFonts w:hint="cs"/>
          <w:rtl/>
        </w:rPr>
        <w:lastRenderedPageBreak/>
        <w:t xml:space="preserve">يكون ما قامت به الزهراء هو </w:t>
      </w:r>
      <w:r>
        <w:rPr>
          <w:rFonts w:hint="cs"/>
          <w:rtl/>
        </w:rPr>
        <w:t>الأنموذج الذي يحتذى للمرأة؟ إ</w:t>
      </w:r>
      <w:r w:rsidRPr="00544A36">
        <w:rPr>
          <w:rFonts w:hint="cs"/>
          <w:rtl/>
        </w:rPr>
        <w:t>ذا كان كذلك فكيف ذهبت هي</w:t>
      </w:r>
      <w:r>
        <w:rPr>
          <w:rFonts w:hint="cs"/>
          <w:rtl/>
        </w:rPr>
        <w:t xml:space="preserve"> نفسها إلى </w:t>
      </w:r>
      <w:r w:rsidRPr="00544A36">
        <w:rPr>
          <w:rFonts w:hint="cs"/>
          <w:rtl/>
        </w:rPr>
        <w:t>المسجد لتطالب بحق</w:t>
      </w:r>
      <w:r>
        <w:rPr>
          <w:rFonts w:hint="cs"/>
          <w:rtl/>
        </w:rPr>
        <w:t>ّ</w:t>
      </w:r>
      <w:r w:rsidRPr="00544A36">
        <w:rPr>
          <w:rFonts w:hint="cs"/>
          <w:rtl/>
        </w:rPr>
        <w:t>ها المسلوب؟</w:t>
      </w:r>
      <w:r>
        <w:rPr>
          <w:rFonts w:hint="cs"/>
          <w:rtl/>
        </w:rPr>
        <w:t>!</w:t>
      </w:r>
    </w:p>
    <w:p w:rsidR="00BA281B" w:rsidRDefault="00BA281B" w:rsidP="00BA281B">
      <w:pPr>
        <w:pStyle w:val="ac"/>
        <w:rPr>
          <w:rtl/>
        </w:rPr>
      </w:pPr>
      <w:r w:rsidRPr="00544A36">
        <w:rPr>
          <w:rFonts w:hint="cs"/>
          <w:rtl/>
        </w:rPr>
        <w:t>نعم</w:t>
      </w:r>
      <w:r>
        <w:rPr>
          <w:rFonts w:hint="cs"/>
          <w:rtl/>
        </w:rPr>
        <w:t>،</w:t>
      </w:r>
      <w:r w:rsidRPr="00544A36">
        <w:rPr>
          <w:rFonts w:hint="cs"/>
          <w:rtl/>
        </w:rPr>
        <w:t xml:space="preserve"> هنا </w:t>
      </w:r>
      <w:r>
        <w:rPr>
          <w:rFonts w:hint="cs"/>
          <w:rtl/>
        </w:rPr>
        <w:t xml:space="preserve">أمر لا </w:t>
      </w:r>
      <w:r w:rsidRPr="00BA281B">
        <w:rPr>
          <w:rFonts w:hint="cs"/>
          <w:rtl/>
        </w:rPr>
        <w:t>ينبغي إغفاله وهو أنّ المجتمع المحافظ يعتبر هذا العمل أنموذجاً يحتذى به، أي أنّه يعتقد بأفضليّة</w:t>
      </w:r>
      <w:r w:rsidRPr="00544A36">
        <w:rPr>
          <w:rFonts w:hint="cs"/>
          <w:rtl/>
        </w:rPr>
        <w:t xml:space="preserve"> </w:t>
      </w:r>
      <w:r>
        <w:rPr>
          <w:rFonts w:hint="cs"/>
          <w:rtl/>
        </w:rPr>
        <w:t>عدم الرؤية المتبادلة قدر الإ</w:t>
      </w:r>
      <w:r w:rsidRPr="00544A36">
        <w:rPr>
          <w:rFonts w:hint="cs"/>
          <w:rtl/>
        </w:rPr>
        <w:t xml:space="preserve">مكان، </w:t>
      </w:r>
      <w:r>
        <w:rPr>
          <w:rFonts w:hint="cs"/>
          <w:rtl/>
        </w:rPr>
        <w:t>بل وحتى عدم سماع أحدهما صوت الآخر.</w:t>
      </w:r>
    </w:p>
    <w:p w:rsidR="00BA281B" w:rsidRDefault="00BA281B" w:rsidP="00BA281B">
      <w:pPr>
        <w:pStyle w:val="ac"/>
        <w:rPr>
          <w:rtl/>
        </w:rPr>
      </w:pPr>
      <w:r w:rsidRPr="00544A36">
        <w:rPr>
          <w:rFonts w:hint="cs"/>
          <w:rtl/>
        </w:rPr>
        <w:t xml:space="preserve"> ويظهر التنافي واضحا</w:t>
      </w:r>
      <w:r>
        <w:rPr>
          <w:rFonts w:hint="cs"/>
          <w:rtl/>
        </w:rPr>
        <w:t>ً</w:t>
      </w:r>
      <w:r w:rsidRPr="00544A36">
        <w:rPr>
          <w:rFonts w:hint="cs"/>
          <w:rtl/>
        </w:rPr>
        <w:t xml:space="preserve"> كالشمس بين مثل هذا التفكير وما تعيشه</w:t>
      </w:r>
      <w:r>
        <w:rPr>
          <w:rFonts w:hint="cs"/>
          <w:rtl/>
        </w:rPr>
        <w:t xml:space="preserve"> المرأة </w:t>
      </w:r>
      <w:r w:rsidRPr="00544A36">
        <w:rPr>
          <w:rFonts w:hint="cs"/>
          <w:rtl/>
        </w:rPr>
        <w:t>في هذا العصر حت</w:t>
      </w:r>
      <w:r>
        <w:rPr>
          <w:rFonts w:hint="cs"/>
          <w:rtl/>
        </w:rPr>
        <w:t>ّ</w:t>
      </w:r>
      <w:r w:rsidRPr="00544A36">
        <w:rPr>
          <w:rFonts w:hint="cs"/>
          <w:rtl/>
        </w:rPr>
        <w:t>ى في الدولة ال</w:t>
      </w:r>
      <w:r>
        <w:rPr>
          <w:rFonts w:hint="cs"/>
          <w:rtl/>
        </w:rPr>
        <w:t>إسلامية؛</w:t>
      </w:r>
      <w:r w:rsidRPr="00544A36">
        <w:rPr>
          <w:rFonts w:hint="cs"/>
          <w:rtl/>
        </w:rPr>
        <w:t xml:space="preserve"> ف</w:t>
      </w:r>
      <w:r>
        <w:rPr>
          <w:rFonts w:hint="cs"/>
          <w:rtl/>
        </w:rPr>
        <w:t>هي</w:t>
      </w:r>
      <w:r w:rsidRPr="00544A36">
        <w:rPr>
          <w:rFonts w:hint="cs"/>
          <w:rtl/>
        </w:rPr>
        <w:t xml:space="preserve"> تذهب</w:t>
      </w:r>
      <w:r>
        <w:rPr>
          <w:rFonts w:hint="cs"/>
          <w:rtl/>
        </w:rPr>
        <w:t xml:space="preserve"> إلى </w:t>
      </w:r>
      <w:r w:rsidRPr="00544A36">
        <w:rPr>
          <w:rFonts w:hint="cs"/>
          <w:rtl/>
        </w:rPr>
        <w:t>الجامعة، وتتول</w:t>
      </w:r>
      <w:r>
        <w:rPr>
          <w:rFonts w:hint="cs"/>
          <w:rtl/>
        </w:rPr>
        <w:t>ّ</w:t>
      </w:r>
      <w:r w:rsidRPr="00544A36">
        <w:rPr>
          <w:rFonts w:hint="cs"/>
          <w:rtl/>
        </w:rPr>
        <w:t>ى الوظائف</w:t>
      </w:r>
      <w:r>
        <w:rPr>
          <w:rFonts w:hint="cs"/>
          <w:rtl/>
        </w:rPr>
        <w:t>،</w:t>
      </w:r>
      <w:r w:rsidRPr="00544A36">
        <w:rPr>
          <w:rFonts w:hint="cs"/>
          <w:rtl/>
        </w:rPr>
        <w:t xml:space="preserve"> وتشارك في المظاهرات</w:t>
      </w:r>
      <w:r>
        <w:rPr>
          <w:rFonts w:hint="cs"/>
          <w:rtl/>
        </w:rPr>
        <w:t>،</w:t>
      </w:r>
      <w:r w:rsidRPr="00544A36">
        <w:rPr>
          <w:rFonts w:hint="cs"/>
          <w:rtl/>
        </w:rPr>
        <w:t xml:space="preserve"> بل تشارك في النشاطات العسكرية، وهذا كل</w:t>
      </w:r>
      <w:r>
        <w:rPr>
          <w:rFonts w:hint="cs"/>
          <w:rtl/>
        </w:rPr>
        <w:t>ّ</w:t>
      </w:r>
      <w:r w:rsidRPr="00544A36">
        <w:rPr>
          <w:rFonts w:hint="cs"/>
          <w:rtl/>
        </w:rPr>
        <w:t>ه لا ينسجم مع هذا النمط من التفكير</w:t>
      </w:r>
      <w:r>
        <w:rPr>
          <w:rFonts w:hint="cs"/>
          <w:rtl/>
        </w:rPr>
        <w:t>،</w:t>
      </w:r>
      <w:r w:rsidRPr="00544A36">
        <w:rPr>
          <w:rFonts w:hint="cs"/>
          <w:rtl/>
        </w:rPr>
        <w:t xml:space="preserve"> </w:t>
      </w:r>
      <w:r>
        <w:rPr>
          <w:rFonts w:hint="cs"/>
          <w:rtl/>
        </w:rPr>
        <w:t xml:space="preserve">بل إنّ </w:t>
      </w:r>
      <w:r w:rsidRPr="00544A36">
        <w:rPr>
          <w:rFonts w:hint="cs"/>
          <w:rtl/>
        </w:rPr>
        <w:t>التنافي بينهما واضح</w:t>
      </w:r>
      <w:r>
        <w:rPr>
          <w:rFonts w:hint="cs"/>
          <w:rtl/>
        </w:rPr>
        <w:t xml:space="preserve"> إلى </w:t>
      </w:r>
      <w:r w:rsidRPr="00544A36">
        <w:rPr>
          <w:rFonts w:hint="cs"/>
          <w:rtl/>
        </w:rPr>
        <w:t>الحد</w:t>
      </w:r>
      <w:r>
        <w:rPr>
          <w:rFonts w:hint="cs"/>
          <w:rtl/>
        </w:rPr>
        <w:t>ّ</w:t>
      </w:r>
      <w:r w:rsidRPr="00544A36">
        <w:rPr>
          <w:rFonts w:hint="cs"/>
          <w:rtl/>
        </w:rPr>
        <w:t xml:space="preserve"> الذي لا ي</w:t>
      </w:r>
      <w:r>
        <w:rPr>
          <w:rFonts w:hint="cs"/>
          <w:rtl/>
        </w:rPr>
        <w:t>ُ</w:t>
      </w:r>
      <w:r w:rsidRPr="00544A36">
        <w:rPr>
          <w:rFonts w:hint="cs"/>
          <w:rtl/>
        </w:rPr>
        <w:t>فتي علماء زماننا بهذا ال</w:t>
      </w:r>
      <w:r>
        <w:rPr>
          <w:rFonts w:hint="cs"/>
          <w:rtl/>
        </w:rPr>
        <w:t>أمر،</w:t>
      </w:r>
      <w:r w:rsidRPr="00544A36">
        <w:rPr>
          <w:rFonts w:hint="cs"/>
          <w:rtl/>
        </w:rPr>
        <w:t xml:space="preserve"> ولا يعتبرونه </w:t>
      </w:r>
      <w:r>
        <w:rPr>
          <w:rFonts w:hint="cs"/>
          <w:rtl/>
        </w:rPr>
        <w:t xml:space="preserve">ذا </w:t>
      </w:r>
      <w:r w:rsidRPr="00544A36">
        <w:rPr>
          <w:rFonts w:hint="cs"/>
          <w:rtl/>
        </w:rPr>
        <w:t xml:space="preserve">قيمة </w:t>
      </w:r>
      <w:r>
        <w:rPr>
          <w:rFonts w:hint="cs"/>
          <w:rtl/>
        </w:rPr>
        <w:t>أخلاق</w:t>
      </w:r>
      <w:r w:rsidRPr="00544A36">
        <w:rPr>
          <w:rFonts w:hint="cs"/>
          <w:rtl/>
        </w:rPr>
        <w:t>ية</w:t>
      </w:r>
      <w:r>
        <w:rPr>
          <w:rFonts w:hint="cs"/>
          <w:rtl/>
        </w:rPr>
        <w:t>،</w:t>
      </w:r>
      <w:r w:rsidRPr="00544A36">
        <w:rPr>
          <w:rFonts w:hint="cs"/>
          <w:rtl/>
        </w:rPr>
        <w:t xml:space="preserve"> ولا يقولون حت</w:t>
      </w:r>
      <w:r>
        <w:rPr>
          <w:rFonts w:hint="cs"/>
          <w:rtl/>
        </w:rPr>
        <w:t>ّ</w:t>
      </w:r>
      <w:r w:rsidRPr="00544A36">
        <w:rPr>
          <w:rFonts w:hint="cs"/>
          <w:rtl/>
        </w:rPr>
        <w:t>ى باستحبابه، فهم لا يحب</w:t>
      </w:r>
      <w:r>
        <w:rPr>
          <w:rFonts w:hint="cs"/>
          <w:rtl/>
        </w:rPr>
        <w:t>ّ</w:t>
      </w:r>
      <w:r w:rsidRPr="00544A36">
        <w:rPr>
          <w:rFonts w:hint="cs"/>
          <w:rtl/>
        </w:rPr>
        <w:t>ذون للمرأة عدم الذهاب</w:t>
      </w:r>
      <w:r>
        <w:rPr>
          <w:rFonts w:hint="cs"/>
          <w:rtl/>
        </w:rPr>
        <w:t xml:space="preserve"> إلى </w:t>
      </w:r>
      <w:r w:rsidRPr="00544A36">
        <w:rPr>
          <w:rFonts w:hint="cs"/>
          <w:rtl/>
        </w:rPr>
        <w:t>الجامعة والمصنع</w:t>
      </w:r>
      <w:r>
        <w:rPr>
          <w:rFonts w:hint="cs"/>
          <w:rtl/>
        </w:rPr>
        <w:t>، وعدم الخروج والاستتار عن الأ</w:t>
      </w:r>
      <w:r w:rsidRPr="00544A36">
        <w:rPr>
          <w:rFonts w:hint="cs"/>
          <w:rtl/>
        </w:rPr>
        <w:t>نظار بنحو لا يراها الرجال ولا تر</w:t>
      </w:r>
      <w:r>
        <w:rPr>
          <w:rFonts w:hint="cs"/>
          <w:rtl/>
        </w:rPr>
        <w:t>اهم.</w:t>
      </w:r>
    </w:p>
    <w:p w:rsidR="00BA281B" w:rsidRDefault="00BA281B" w:rsidP="00BA281B">
      <w:pPr>
        <w:pStyle w:val="ac"/>
        <w:rPr>
          <w:rtl/>
        </w:rPr>
      </w:pPr>
      <w:r>
        <w:rPr>
          <w:rFonts w:hint="cs"/>
          <w:rtl/>
        </w:rPr>
        <w:t>إ</w:t>
      </w:r>
      <w:r w:rsidRPr="00544A36">
        <w:rPr>
          <w:rFonts w:hint="cs"/>
          <w:rtl/>
        </w:rPr>
        <w:t>ن</w:t>
      </w:r>
      <w:r>
        <w:rPr>
          <w:rFonts w:hint="cs"/>
          <w:rtl/>
        </w:rPr>
        <w:t>ّ</w:t>
      </w:r>
      <w:r w:rsidRPr="00544A36">
        <w:rPr>
          <w:rFonts w:hint="cs"/>
          <w:rtl/>
        </w:rPr>
        <w:t xml:space="preserve"> الحياة المعاصرة تقضي بتبد</w:t>
      </w:r>
      <w:r>
        <w:rPr>
          <w:rFonts w:hint="cs"/>
          <w:rtl/>
        </w:rPr>
        <w:t>ّل هذه القيم،</w:t>
      </w:r>
      <w:r w:rsidRPr="00544A36">
        <w:rPr>
          <w:rFonts w:hint="cs"/>
          <w:rtl/>
        </w:rPr>
        <w:t xml:space="preserve"> وبتبع هذا التغيير سوف يتغي</w:t>
      </w:r>
      <w:r>
        <w:rPr>
          <w:rFonts w:hint="cs"/>
          <w:rtl/>
        </w:rPr>
        <w:t>ّ</w:t>
      </w:r>
      <w:r w:rsidRPr="00544A36">
        <w:rPr>
          <w:rFonts w:hint="cs"/>
          <w:rtl/>
        </w:rPr>
        <w:t>ر تصو</w:t>
      </w:r>
      <w:r>
        <w:rPr>
          <w:rFonts w:hint="cs"/>
          <w:rtl/>
        </w:rPr>
        <w:t>ّ</w:t>
      </w:r>
      <w:r w:rsidRPr="00544A36">
        <w:rPr>
          <w:rFonts w:hint="cs"/>
          <w:rtl/>
        </w:rPr>
        <w:t>رنا وتعريفنا للعف</w:t>
      </w:r>
      <w:r>
        <w:rPr>
          <w:rFonts w:hint="cs"/>
          <w:rtl/>
        </w:rPr>
        <w:t>ّ</w:t>
      </w:r>
      <w:r w:rsidRPr="00544A36">
        <w:rPr>
          <w:rFonts w:hint="cs"/>
          <w:rtl/>
        </w:rPr>
        <w:t>ة والحياء، ويتبدّل كل</w:t>
      </w:r>
      <w:r>
        <w:rPr>
          <w:rFonts w:hint="cs"/>
          <w:rtl/>
        </w:rPr>
        <w:t>ّ ما كان في الماضي مما اختلط بالأساطير، فإ</w:t>
      </w:r>
      <w:r w:rsidRPr="00544A36">
        <w:rPr>
          <w:rFonts w:hint="cs"/>
          <w:rtl/>
        </w:rPr>
        <w:t>ذا دار حديث</w:t>
      </w:r>
      <w:r>
        <w:rPr>
          <w:rFonts w:hint="cs"/>
          <w:rtl/>
        </w:rPr>
        <w:t>ٌ</w:t>
      </w:r>
      <w:r w:rsidRPr="00544A36">
        <w:rPr>
          <w:rFonts w:hint="cs"/>
          <w:rtl/>
        </w:rPr>
        <w:t xml:space="preserve"> ما بين شاب</w:t>
      </w:r>
      <w:r>
        <w:rPr>
          <w:rFonts w:hint="cs"/>
          <w:rtl/>
        </w:rPr>
        <w:t>ٍّ</w:t>
      </w:r>
      <w:r w:rsidRPr="00544A36">
        <w:rPr>
          <w:rFonts w:hint="cs"/>
          <w:rtl/>
        </w:rPr>
        <w:t xml:space="preserve"> وفتاة كان يعتبر ذلك مخالفا</w:t>
      </w:r>
      <w:r>
        <w:rPr>
          <w:rFonts w:hint="cs"/>
          <w:rtl/>
        </w:rPr>
        <w:t>ً للعفة والحياء، أ</w:t>
      </w:r>
      <w:r w:rsidRPr="00544A36">
        <w:rPr>
          <w:rFonts w:hint="cs"/>
          <w:rtl/>
        </w:rPr>
        <w:t>م</w:t>
      </w:r>
      <w:r>
        <w:rPr>
          <w:rFonts w:hint="cs"/>
          <w:rtl/>
        </w:rPr>
        <w:t>ّ</w:t>
      </w:r>
      <w:r w:rsidRPr="00544A36">
        <w:rPr>
          <w:rFonts w:hint="cs"/>
          <w:rtl/>
        </w:rPr>
        <w:t xml:space="preserve">ا الآن فهو </w:t>
      </w:r>
      <w:r>
        <w:rPr>
          <w:rFonts w:hint="cs"/>
          <w:rtl/>
        </w:rPr>
        <w:t>أمرٌ</w:t>
      </w:r>
      <w:r w:rsidRPr="00544A36">
        <w:rPr>
          <w:rFonts w:hint="cs"/>
          <w:rtl/>
        </w:rPr>
        <w:t xml:space="preserve"> عادي</w:t>
      </w:r>
      <w:r>
        <w:rPr>
          <w:rFonts w:hint="cs"/>
          <w:rtl/>
        </w:rPr>
        <w:t>،</w:t>
      </w:r>
      <w:r w:rsidRPr="00544A36">
        <w:rPr>
          <w:rFonts w:hint="cs"/>
          <w:rtl/>
        </w:rPr>
        <w:t xml:space="preserve"> فقد أوجدت</w:t>
      </w:r>
      <w:r>
        <w:rPr>
          <w:rFonts w:hint="cs"/>
          <w:rtl/>
        </w:rPr>
        <w:t xml:space="preserve"> المرأة </w:t>
      </w:r>
      <w:r w:rsidRPr="00544A36">
        <w:rPr>
          <w:rFonts w:hint="cs"/>
          <w:rtl/>
        </w:rPr>
        <w:t>لنفسها حضورا</w:t>
      </w:r>
      <w:r>
        <w:rPr>
          <w:rFonts w:hint="cs"/>
          <w:rtl/>
        </w:rPr>
        <w:t>ً</w:t>
      </w:r>
      <w:r w:rsidRPr="00544A36">
        <w:rPr>
          <w:rFonts w:hint="cs"/>
          <w:rtl/>
        </w:rPr>
        <w:t xml:space="preserve"> مختلفا</w:t>
      </w:r>
      <w:r>
        <w:rPr>
          <w:rFonts w:hint="cs"/>
          <w:rtl/>
        </w:rPr>
        <w:t>ً</w:t>
      </w:r>
      <w:r w:rsidRPr="00544A36">
        <w:rPr>
          <w:rFonts w:hint="cs"/>
          <w:rtl/>
        </w:rPr>
        <w:t xml:space="preserve"> لا يمت</w:t>
      </w:r>
      <w:r>
        <w:rPr>
          <w:rFonts w:hint="cs"/>
          <w:rtl/>
        </w:rPr>
        <w:t xml:space="preserve">ّ إلى </w:t>
      </w:r>
      <w:r w:rsidRPr="00544A36">
        <w:rPr>
          <w:rFonts w:hint="cs"/>
          <w:rtl/>
        </w:rPr>
        <w:t>الماضي بصلة.</w:t>
      </w:r>
    </w:p>
    <w:p w:rsidR="00BA281B" w:rsidRDefault="00BA281B" w:rsidP="00C916BC">
      <w:pPr>
        <w:pStyle w:val="afffffc"/>
        <w:rPr>
          <w:rtl/>
        </w:rPr>
      </w:pPr>
    </w:p>
    <w:p w:rsidR="00BA281B" w:rsidRPr="00D457EB" w:rsidRDefault="00BA281B" w:rsidP="00BA281B">
      <w:pPr>
        <w:pStyle w:val="1"/>
        <w:rPr>
          <w:rtl/>
        </w:rPr>
      </w:pPr>
      <w:bookmarkStart w:id="40" w:name="_Toc169521346"/>
      <w:bookmarkStart w:id="41" w:name="_Toc275127872"/>
      <w:r w:rsidRPr="00D457EB">
        <w:rPr>
          <w:rFonts w:hint="cs"/>
          <w:rtl/>
        </w:rPr>
        <w:t>التاريخ النسوي والإسهام في تكوين صورة عن المرأة</w:t>
      </w:r>
      <w:bookmarkEnd w:id="40"/>
      <w:bookmarkEnd w:id="41"/>
    </w:p>
    <w:p w:rsidR="00BA281B" w:rsidRDefault="00BA281B" w:rsidP="00BA281B">
      <w:pPr>
        <w:pStyle w:val="ac"/>
        <w:rPr>
          <w:rtl/>
        </w:rPr>
      </w:pPr>
      <w:r w:rsidRPr="00544A36">
        <w:rPr>
          <w:rFonts w:hint="cs"/>
          <w:rtl/>
        </w:rPr>
        <w:t>نعم</w:t>
      </w:r>
      <w:r>
        <w:rPr>
          <w:rFonts w:hint="cs"/>
          <w:rtl/>
        </w:rPr>
        <w:t xml:space="preserve">، لابد </w:t>
      </w:r>
      <w:r w:rsidRPr="00544A36">
        <w:rPr>
          <w:rFonts w:hint="cs"/>
          <w:rtl/>
        </w:rPr>
        <w:t xml:space="preserve">لنا </w:t>
      </w:r>
      <w:r>
        <w:rPr>
          <w:rFonts w:hint="cs"/>
          <w:rtl/>
        </w:rPr>
        <w:t>ـ لل</w:t>
      </w:r>
      <w:r w:rsidRPr="00544A36">
        <w:rPr>
          <w:rFonts w:hint="cs"/>
          <w:rtl/>
        </w:rPr>
        <w:t>خروج بتعريف</w:t>
      </w:r>
      <w:r>
        <w:rPr>
          <w:rFonts w:hint="cs"/>
          <w:rtl/>
        </w:rPr>
        <w:t>ٍ</w:t>
      </w:r>
      <w:r w:rsidRPr="00544A36">
        <w:rPr>
          <w:rFonts w:hint="cs"/>
          <w:rtl/>
        </w:rPr>
        <w:t xml:space="preserve"> عام وسريع عن</w:t>
      </w:r>
      <w:r>
        <w:rPr>
          <w:rFonts w:hint="cs"/>
          <w:rtl/>
        </w:rPr>
        <w:t xml:space="preserve"> المرأة ـ </w:t>
      </w:r>
      <w:r w:rsidRPr="00544A36">
        <w:rPr>
          <w:rFonts w:hint="cs"/>
          <w:rtl/>
        </w:rPr>
        <w:t>من مراجعة التاريخ</w:t>
      </w:r>
      <w:r>
        <w:rPr>
          <w:rFonts w:hint="cs"/>
          <w:rtl/>
        </w:rPr>
        <w:t>، بالإ</w:t>
      </w:r>
      <w:r w:rsidRPr="00544A36">
        <w:rPr>
          <w:rFonts w:hint="cs"/>
          <w:rtl/>
        </w:rPr>
        <w:t>ضافة</w:t>
      </w:r>
      <w:r>
        <w:rPr>
          <w:rFonts w:hint="cs"/>
          <w:rtl/>
        </w:rPr>
        <w:t xml:space="preserve"> إلى العلوم التجربية؛</w:t>
      </w:r>
      <w:r w:rsidRPr="00544A36">
        <w:rPr>
          <w:rFonts w:hint="cs"/>
          <w:rtl/>
        </w:rPr>
        <w:t xml:space="preserve"> </w:t>
      </w:r>
      <w:r>
        <w:rPr>
          <w:rFonts w:hint="cs"/>
          <w:rtl/>
        </w:rPr>
        <w:t xml:space="preserve">فقد كان للمرأة </w:t>
      </w:r>
      <w:r w:rsidRPr="00544A36">
        <w:rPr>
          <w:rFonts w:hint="cs"/>
          <w:rtl/>
        </w:rPr>
        <w:t>دورها على مرّ التاريخ</w:t>
      </w:r>
      <w:r>
        <w:rPr>
          <w:rFonts w:hint="cs"/>
          <w:rtl/>
        </w:rPr>
        <w:t>،</w:t>
      </w:r>
      <w:r w:rsidRPr="00544A36">
        <w:rPr>
          <w:rFonts w:hint="cs"/>
          <w:rtl/>
        </w:rPr>
        <w:t xml:space="preserve"> ولا يمكنني</w:t>
      </w:r>
      <w:r>
        <w:rPr>
          <w:rFonts w:hint="cs"/>
          <w:rtl/>
        </w:rPr>
        <w:t xml:space="preserve"> إغفال هذا الدور، أي لا يمكنني أ</w:t>
      </w:r>
      <w:r w:rsidRPr="00544A36">
        <w:rPr>
          <w:rFonts w:hint="cs"/>
          <w:rtl/>
        </w:rPr>
        <w:t>ن أضع كل</w:t>
      </w:r>
      <w:r>
        <w:rPr>
          <w:rFonts w:hint="cs"/>
          <w:rtl/>
        </w:rPr>
        <w:t>ّ</w:t>
      </w:r>
      <w:r w:rsidRPr="00544A36">
        <w:rPr>
          <w:rFonts w:hint="cs"/>
          <w:rtl/>
        </w:rPr>
        <w:t xml:space="preserve"> تاريخ</w:t>
      </w:r>
      <w:r>
        <w:rPr>
          <w:rFonts w:hint="cs"/>
          <w:rtl/>
        </w:rPr>
        <w:t xml:space="preserve"> المرأة </w:t>
      </w:r>
      <w:r w:rsidRPr="00544A36">
        <w:rPr>
          <w:rFonts w:hint="cs"/>
          <w:rtl/>
        </w:rPr>
        <w:t>في إطار النسيان</w:t>
      </w:r>
      <w:r>
        <w:rPr>
          <w:rFonts w:hint="cs"/>
          <w:rtl/>
        </w:rPr>
        <w:t>،</w:t>
      </w:r>
      <w:r w:rsidRPr="00544A36">
        <w:rPr>
          <w:rFonts w:hint="cs"/>
          <w:rtl/>
        </w:rPr>
        <w:t xml:space="preserve"> وأنكر هذه الحياة الطويلة </w:t>
      </w:r>
      <w:r>
        <w:rPr>
          <w:rFonts w:hint="cs"/>
          <w:rtl/>
        </w:rPr>
        <w:t>لها،</w:t>
      </w:r>
      <w:r w:rsidRPr="00544A36">
        <w:rPr>
          <w:rFonts w:hint="cs"/>
          <w:rtl/>
        </w:rPr>
        <w:t xml:space="preserve"> ف</w:t>
      </w:r>
      <w:r>
        <w:rPr>
          <w:rFonts w:hint="cs"/>
          <w:rtl/>
        </w:rPr>
        <w:t>ذلك ليس ب</w:t>
      </w:r>
      <w:r w:rsidRPr="00544A36">
        <w:rPr>
          <w:rFonts w:hint="cs"/>
          <w:rtl/>
        </w:rPr>
        <w:t xml:space="preserve">العمل </w:t>
      </w:r>
      <w:r>
        <w:rPr>
          <w:rFonts w:hint="cs"/>
          <w:rtl/>
        </w:rPr>
        <w:t>ال</w:t>
      </w:r>
      <w:r w:rsidRPr="00544A36">
        <w:rPr>
          <w:rFonts w:hint="cs"/>
          <w:rtl/>
        </w:rPr>
        <w:t>علمي</w:t>
      </w:r>
      <w:r>
        <w:rPr>
          <w:rFonts w:hint="cs"/>
          <w:rtl/>
        </w:rPr>
        <w:t>،</w:t>
      </w:r>
      <w:r w:rsidRPr="00544A36">
        <w:rPr>
          <w:rFonts w:hint="cs"/>
          <w:rtl/>
        </w:rPr>
        <w:t xml:space="preserve"> </w:t>
      </w:r>
      <w:r>
        <w:rPr>
          <w:rFonts w:hint="cs"/>
          <w:rtl/>
        </w:rPr>
        <w:t xml:space="preserve">بل </w:t>
      </w:r>
      <w:r w:rsidRPr="00544A36">
        <w:rPr>
          <w:rFonts w:hint="cs"/>
          <w:rtl/>
        </w:rPr>
        <w:t>سي</w:t>
      </w:r>
      <w:r>
        <w:rPr>
          <w:rFonts w:hint="cs"/>
          <w:rtl/>
        </w:rPr>
        <w:t>و</w:t>
      </w:r>
      <w:r w:rsidRPr="00544A36">
        <w:rPr>
          <w:rFonts w:hint="cs"/>
          <w:rtl/>
        </w:rPr>
        <w:t>صلنا</w:t>
      </w:r>
      <w:r>
        <w:rPr>
          <w:rFonts w:hint="cs"/>
          <w:rtl/>
        </w:rPr>
        <w:t xml:space="preserve"> إلى نتائج غير واقعية،</w:t>
      </w:r>
      <w:r w:rsidRPr="00544A36">
        <w:rPr>
          <w:rFonts w:hint="cs"/>
          <w:rtl/>
        </w:rPr>
        <w:t xml:space="preserve"> وقد ذكرت في مقالة</w:t>
      </w:r>
      <w:r>
        <w:rPr>
          <w:rFonts w:hint="cs"/>
          <w:rtl/>
        </w:rPr>
        <w:t>ٍ</w:t>
      </w:r>
      <w:r w:rsidRPr="00544A36">
        <w:rPr>
          <w:rFonts w:hint="cs"/>
          <w:rtl/>
        </w:rPr>
        <w:t xml:space="preserve"> لي </w:t>
      </w:r>
      <w:r>
        <w:rPr>
          <w:rFonts w:hint="cs"/>
          <w:rtl/>
        </w:rPr>
        <w:t xml:space="preserve">حملت </w:t>
      </w:r>
      <w:r w:rsidRPr="00544A36">
        <w:rPr>
          <w:rFonts w:hint="cs"/>
          <w:rtl/>
        </w:rPr>
        <w:t>عنوان</w:t>
      </w:r>
      <w:r>
        <w:rPr>
          <w:rFonts w:hint="cs"/>
          <w:rtl/>
        </w:rPr>
        <w:t>:</w:t>
      </w:r>
      <w:r w:rsidRPr="00544A36">
        <w:rPr>
          <w:rFonts w:hint="cs"/>
          <w:rtl/>
        </w:rPr>
        <w:t xml:space="preserve"> فلنتعل</w:t>
      </w:r>
      <w:r>
        <w:rPr>
          <w:rFonts w:hint="cs"/>
          <w:rtl/>
        </w:rPr>
        <w:t>ّ</w:t>
      </w:r>
      <w:r w:rsidRPr="00544A36">
        <w:rPr>
          <w:rFonts w:hint="cs"/>
          <w:rtl/>
        </w:rPr>
        <w:t>م من التاريخ</w:t>
      </w:r>
      <w:r>
        <w:rPr>
          <w:rFonts w:hint="cs"/>
          <w:rtl/>
        </w:rPr>
        <w:t>،</w:t>
      </w:r>
      <w:r w:rsidRPr="00544A36">
        <w:rPr>
          <w:rFonts w:hint="cs"/>
          <w:rtl/>
        </w:rPr>
        <w:t xml:space="preserve"> هذا ال</w:t>
      </w:r>
      <w:r>
        <w:rPr>
          <w:rFonts w:hint="cs"/>
          <w:rtl/>
        </w:rPr>
        <w:t>أمر</w:t>
      </w:r>
      <w:r w:rsidRPr="00544A36">
        <w:rPr>
          <w:rFonts w:hint="cs"/>
          <w:rtl/>
        </w:rPr>
        <w:t xml:space="preserve"> وشرحته بالتفصيل، و</w:t>
      </w:r>
      <w:r>
        <w:rPr>
          <w:rFonts w:hint="cs"/>
          <w:rtl/>
        </w:rPr>
        <w:t>رأيت أ</w:t>
      </w:r>
      <w:r w:rsidRPr="00544A36">
        <w:rPr>
          <w:rFonts w:hint="cs"/>
          <w:rtl/>
        </w:rPr>
        <w:t>ن</w:t>
      </w:r>
      <w:r>
        <w:rPr>
          <w:rFonts w:hint="cs"/>
          <w:rtl/>
        </w:rPr>
        <w:t>ّ</w:t>
      </w:r>
      <w:r w:rsidRPr="00544A36">
        <w:rPr>
          <w:rFonts w:hint="cs"/>
          <w:rtl/>
        </w:rPr>
        <w:t xml:space="preserve"> التاريخ مختبر لمعرفة حقيقة ال</w:t>
      </w:r>
      <w:r>
        <w:rPr>
          <w:rFonts w:hint="cs"/>
          <w:rtl/>
        </w:rPr>
        <w:t>إنسان</w:t>
      </w:r>
      <w:r w:rsidRPr="00544A36">
        <w:rPr>
          <w:rFonts w:hint="cs"/>
          <w:rtl/>
        </w:rPr>
        <w:t>، والمرأة، والرجل، وغ</w:t>
      </w:r>
      <w:r>
        <w:rPr>
          <w:rFonts w:hint="cs"/>
          <w:rtl/>
        </w:rPr>
        <w:t>ير ذلك، وإ</w:t>
      </w:r>
      <w:r w:rsidRPr="00544A36">
        <w:rPr>
          <w:rFonts w:hint="cs"/>
          <w:rtl/>
        </w:rPr>
        <w:t xml:space="preserve">ذا كان </w:t>
      </w:r>
      <w:r w:rsidRPr="00544A36">
        <w:rPr>
          <w:rFonts w:hint="cs"/>
          <w:rtl/>
        </w:rPr>
        <w:lastRenderedPageBreak/>
        <w:t>من الممكن لل</w:t>
      </w:r>
      <w:r>
        <w:rPr>
          <w:rFonts w:hint="cs"/>
          <w:rtl/>
        </w:rPr>
        <w:t>إنسان أ</w:t>
      </w:r>
      <w:r w:rsidRPr="00544A36">
        <w:rPr>
          <w:rFonts w:hint="cs"/>
          <w:rtl/>
        </w:rPr>
        <w:t>ن يخفي نفسه في أي</w:t>
      </w:r>
      <w:r>
        <w:rPr>
          <w:rFonts w:hint="cs"/>
          <w:rtl/>
        </w:rPr>
        <w:t>ّ مكان</w:t>
      </w:r>
      <w:r w:rsidRPr="00544A36">
        <w:rPr>
          <w:rFonts w:hint="cs"/>
          <w:rtl/>
        </w:rPr>
        <w:t xml:space="preserve"> فلن يتمك</w:t>
      </w:r>
      <w:r>
        <w:rPr>
          <w:rFonts w:hint="cs"/>
          <w:rtl/>
        </w:rPr>
        <w:t>ّن من إ</w:t>
      </w:r>
      <w:r w:rsidRPr="00544A36">
        <w:rPr>
          <w:rFonts w:hint="cs"/>
          <w:rtl/>
        </w:rPr>
        <w:t>خفا</w:t>
      </w:r>
      <w:r>
        <w:rPr>
          <w:rFonts w:hint="cs"/>
          <w:rtl/>
        </w:rPr>
        <w:t>ئها في التاريخ العام؛ فإ</w:t>
      </w:r>
      <w:r w:rsidRPr="00544A36">
        <w:rPr>
          <w:rFonts w:hint="cs"/>
          <w:rtl/>
        </w:rPr>
        <w:t>ذا كان مخلوقا</w:t>
      </w:r>
      <w:r>
        <w:rPr>
          <w:rFonts w:hint="cs"/>
          <w:rtl/>
        </w:rPr>
        <w:t>ً</w:t>
      </w:r>
      <w:r w:rsidRPr="00544A36">
        <w:rPr>
          <w:rFonts w:hint="cs"/>
          <w:rtl/>
        </w:rPr>
        <w:t xml:space="preserve"> وحشيا</w:t>
      </w:r>
      <w:r>
        <w:rPr>
          <w:rFonts w:hint="cs"/>
          <w:rtl/>
        </w:rPr>
        <w:t>ً</w:t>
      </w:r>
      <w:r w:rsidRPr="00544A36">
        <w:rPr>
          <w:rFonts w:hint="cs"/>
          <w:rtl/>
        </w:rPr>
        <w:t xml:space="preserve"> مفترسا</w:t>
      </w:r>
      <w:r>
        <w:rPr>
          <w:rFonts w:hint="cs"/>
          <w:rtl/>
        </w:rPr>
        <w:t>ً</w:t>
      </w:r>
      <w:r w:rsidRPr="00544A36">
        <w:rPr>
          <w:rFonts w:hint="cs"/>
          <w:rtl/>
        </w:rPr>
        <w:t xml:space="preserve"> ف</w:t>
      </w:r>
      <w:r>
        <w:rPr>
          <w:rFonts w:hint="cs"/>
          <w:rtl/>
        </w:rPr>
        <w:t>س</w:t>
      </w:r>
      <w:r w:rsidRPr="00544A36">
        <w:rPr>
          <w:rFonts w:hint="cs"/>
          <w:rtl/>
        </w:rPr>
        <w:t>ت</w:t>
      </w:r>
      <w:r>
        <w:rPr>
          <w:rFonts w:hint="cs"/>
          <w:rtl/>
        </w:rPr>
        <w:t>ظهر آثار ذلك في مجموع تاريخه، وإذا</w:t>
      </w:r>
      <w:r w:rsidRPr="00544A36">
        <w:rPr>
          <w:rFonts w:hint="cs"/>
          <w:rtl/>
        </w:rPr>
        <w:t xml:space="preserve"> كان م</w:t>
      </w:r>
      <w:r>
        <w:rPr>
          <w:rFonts w:hint="cs"/>
          <w:rtl/>
        </w:rPr>
        <w:t>َ</w:t>
      </w:r>
      <w:r w:rsidRPr="00544A36">
        <w:rPr>
          <w:rFonts w:hint="cs"/>
          <w:rtl/>
        </w:rPr>
        <w:t>لاكا</w:t>
      </w:r>
      <w:r>
        <w:rPr>
          <w:rFonts w:hint="cs"/>
          <w:rtl/>
        </w:rPr>
        <w:t>ً</w:t>
      </w:r>
      <w:r w:rsidRPr="00544A36">
        <w:rPr>
          <w:rFonts w:hint="cs"/>
          <w:rtl/>
        </w:rPr>
        <w:t xml:space="preserve"> فس</w:t>
      </w:r>
      <w:r>
        <w:rPr>
          <w:rFonts w:hint="cs"/>
          <w:rtl/>
        </w:rPr>
        <w:t>تظهر آثار ذلك أ</w:t>
      </w:r>
      <w:r w:rsidRPr="00544A36">
        <w:rPr>
          <w:rFonts w:hint="cs"/>
          <w:rtl/>
        </w:rPr>
        <w:t>يضا</w:t>
      </w:r>
      <w:r>
        <w:rPr>
          <w:rFonts w:hint="cs"/>
          <w:rtl/>
        </w:rPr>
        <w:t>ً.</w:t>
      </w:r>
    </w:p>
    <w:p w:rsidR="00BA281B" w:rsidRDefault="00BA281B" w:rsidP="00BA281B">
      <w:pPr>
        <w:pStyle w:val="ac"/>
        <w:rPr>
          <w:rtl/>
        </w:rPr>
      </w:pPr>
      <w:r w:rsidRPr="00544A36">
        <w:rPr>
          <w:rFonts w:hint="cs"/>
          <w:rtl/>
        </w:rPr>
        <w:t>وعلى أي</w:t>
      </w:r>
      <w:r>
        <w:rPr>
          <w:rFonts w:hint="cs"/>
          <w:rtl/>
        </w:rPr>
        <w:t>ّة</w:t>
      </w:r>
      <w:r w:rsidRPr="00544A36">
        <w:rPr>
          <w:rFonts w:hint="cs"/>
          <w:rtl/>
        </w:rPr>
        <w:t xml:space="preserve"> حال</w:t>
      </w:r>
      <w:r>
        <w:rPr>
          <w:rFonts w:hint="cs"/>
          <w:rtl/>
        </w:rPr>
        <w:t>، إ</w:t>
      </w:r>
      <w:r w:rsidRPr="00544A36">
        <w:rPr>
          <w:rFonts w:hint="cs"/>
          <w:rtl/>
        </w:rPr>
        <w:t>ذا ف</w:t>
      </w:r>
      <w:r>
        <w:rPr>
          <w:rFonts w:hint="cs"/>
          <w:rtl/>
        </w:rPr>
        <w:t>ُ</w:t>
      </w:r>
      <w:r w:rsidRPr="00544A36">
        <w:rPr>
          <w:rFonts w:hint="cs"/>
          <w:rtl/>
        </w:rPr>
        <w:t>تحت صفحة التاريخ ف</w:t>
      </w:r>
      <w:r>
        <w:rPr>
          <w:rFonts w:hint="cs"/>
          <w:rtl/>
        </w:rPr>
        <w:t>ُ</w:t>
      </w:r>
      <w:r w:rsidRPr="00544A36">
        <w:rPr>
          <w:rFonts w:hint="cs"/>
          <w:rtl/>
        </w:rPr>
        <w:t>تحت معها صفحة الوجود ال</w:t>
      </w:r>
      <w:r>
        <w:rPr>
          <w:rFonts w:hint="cs"/>
          <w:rtl/>
        </w:rPr>
        <w:t>إنساني، صحيح أ</w:t>
      </w:r>
      <w:r w:rsidRPr="00544A36">
        <w:rPr>
          <w:rFonts w:hint="cs"/>
          <w:rtl/>
        </w:rPr>
        <w:t>ن</w:t>
      </w:r>
      <w:r>
        <w:rPr>
          <w:rFonts w:hint="cs"/>
          <w:rtl/>
        </w:rPr>
        <w:t>ّ</w:t>
      </w:r>
      <w:r w:rsidRPr="00544A36">
        <w:rPr>
          <w:rFonts w:hint="cs"/>
          <w:rtl/>
        </w:rPr>
        <w:t xml:space="preserve"> ال</w:t>
      </w:r>
      <w:r>
        <w:rPr>
          <w:rFonts w:hint="cs"/>
          <w:rtl/>
        </w:rPr>
        <w:t>إنسان</w:t>
      </w:r>
      <w:r w:rsidRPr="00544A36">
        <w:rPr>
          <w:rFonts w:hint="cs"/>
          <w:rtl/>
        </w:rPr>
        <w:t xml:space="preserve"> يتلو</w:t>
      </w:r>
      <w:r>
        <w:rPr>
          <w:rFonts w:hint="cs"/>
          <w:rtl/>
        </w:rPr>
        <w:t>ّ</w:t>
      </w:r>
      <w:r w:rsidRPr="00544A36">
        <w:rPr>
          <w:rFonts w:hint="cs"/>
          <w:rtl/>
        </w:rPr>
        <w:t>ن بلون المجتمع الذي يعيش فيه والثقافة التي يحملها</w:t>
      </w:r>
      <w:r>
        <w:rPr>
          <w:rFonts w:hint="cs"/>
          <w:rtl/>
        </w:rPr>
        <w:t>، ولا نستطيع أ</w:t>
      </w:r>
      <w:r w:rsidRPr="00544A36">
        <w:rPr>
          <w:rFonts w:hint="cs"/>
          <w:rtl/>
        </w:rPr>
        <w:t>ن نجد في المجتمع الفرد</w:t>
      </w:r>
      <w:r>
        <w:rPr>
          <w:rFonts w:hint="cs"/>
          <w:rtl/>
        </w:rPr>
        <w:t>َ</w:t>
      </w:r>
      <w:r w:rsidRPr="00544A36">
        <w:rPr>
          <w:rFonts w:hint="cs"/>
          <w:rtl/>
        </w:rPr>
        <w:t xml:space="preserve"> المجر</w:t>
      </w:r>
      <w:r>
        <w:rPr>
          <w:rFonts w:hint="cs"/>
          <w:rtl/>
        </w:rPr>
        <w:t>ّد،</w:t>
      </w:r>
      <w:r w:rsidRPr="00544A36">
        <w:rPr>
          <w:rFonts w:hint="cs"/>
          <w:rtl/>
        </w:rPr>
        <w:t xml:space="preserve"> لكننا </w:t>
      </w:r>
      <w:r>
        <w:rPr>
          <w:rFonts w:hint="cs"/>
          <w:rtl/>
        </w:rPr>
        <w:t>قادرون على العثور عليه في التاريخ العام، لأ</w:t>
      </w:r>
      <w:r w:rsidRPr="00544A36">
        <w:rPr>
          <w:rFonts w:hint="cs"/>
          <w:rtl/>
        </w:rPr>
        <w:t>ن</w:t>
      </w:r>
      <w:r>
        <w:rPr>
          <w:rFonts w:hint="cs"/>
          <w:rtl/>
        </w:rPr>
        <w:t>ّ</w:t>
      </w:r>
      <w:r w:rsidRPr="00544A36">
        <w:rPr>
          <w:rFonts w:hint="cs"/>
          <w:rtl/>
        </w:rPr>
        <w:t>نا في التاريخ العام لن نجد حجابا</w:t>
      </w:r>
      <w:r>
        <w:rPr>
          <w:rFonts w:hint="cs"/>
          <w:rtl/>
        </w:rPr>
        <w:t>ً</w:t>
      </w:r>
      <w:r w:rsidRPr="00544A36">
        <w:rPr>
          <w:rFonts w:hint="cs"/>
          <w:rtl/>
        </w:rPr>
        <w:t xml:space="preserve"> أمام الحقائق</w:t>
      </w:r>
      <w:r>
        <w:rPr>
          <w:rFonts w:hint="cs"/>
          <w:rtl/>
        </w:rPr>
        <w:t>،</w:t>
      </w:r>
      <w:r w:rsidRPr="00544A36">
        <w:rPr>
          <w:rFonts w:hint="cs"/>
          <w:rtl/>
        </w:rPr>
        <w:t xml:space="preserve"> </w:t>
      </w:r>
      <w:r>
        <w:rPr>
          <w:rFonts w:hint="cs"/>
          <w:rtl/>
        </w:rPr>
        <w:t xml:space="preserve">بل </w:t>
      </w:r>
      <w:r w:rsidRPr="00544A36">
        <w:rPr>
          <w:rFonts w:hint="cs"/>
          <w:rtl/>
        </w:rPr>
        <w:t>سوف نظهر نحن أيضا</w:t>
      </w:r>
      <w:r>
        <w:rPr>
          <w:rFonts w:hint="cs"/>
          <w:rtl/>
        </w:rPr>
        <w:t>ً</w:t>
      </w:r>
      <w:r w:rsidRPr="00544A36">
        <w:rPr>
          <w:rFonts w:hint="cs"/>
          <w:rtl/>
        </w:rPr>
        <w:t xml:space="preserve"> في التاريخ بشكل مجر</w:t>
      </w:r>
      <w:r>
        <w:rPr>
          <w:rFonts w:hint="cs"/>
          <w:rtl/>
        </w:rPr>
        <w:t>ّ</w:t>
      </w:r>
      <w:r w:rsidRPr="00544A36">
        <w:rPr>
          <w:rFonts w:hint="cs"/>
          <w:rtl/>
        </w:rPr>
        <w:t>د</w:t>
      </w:r>
      <w:r>
        <w:rPr>
          <w:rFonts w:hint="cs"/>
          <w:rtl/>
        </w:rPr>
        <w:t>ٍ غير مستور.</w:t>
      </w:r>
    </w:p>
    <w:p w:rsidR="00BA281B" w:rsidRPr="00544A36" w:rsidRDefault="00BA281B" w:rsidP="00BA281B">
      <w:pPr>
        <w:pStyle w:val="ac"/>
        <w:rPr>
          <w:rtl/>
        </w:rPr>
      </w:pPr>
      <w:r w:rsidRPr="00544A36">
        <w:rPr>
          <w:rFonts w:hint="cs"/>
          <w:rtl/>
        </w:rPr>
        <w:t>لذا يعتقد المؤر</w:t>
      </w:r>
      <w:r>
        <w:rPr>
          <w:rFonts w:hint="cs"/>
          <w:rtl/>
        </w:rPr>
        <w:t>ّ</w:t>
      </w:r>
      <w:r w:rsidRPr="00544A36">
        <w:rPr>
          <w:rFonts w:hint="cs"/>
          <w:rtl/>
        </w:rPr>
        <w:t>خ</w:t>
      </w:r>
      <w:r>
        <w:rPr>
          <w:rFonts w:hint="cs"/>
          <w:rtl/>
        </w:rPr>
        <w:t>ون أ</w:t>
      </w:r>
      <w:r w:rsidRPr="00544A36">
        <w:rPr>
          <w:rFonts w:hint="cs"/>
          <w:rtl/>
        </w:rPr>
        <w:t>ن</w:t>
      </w:r>
      <w:r>
        <w:rPr>
          <w:rFonts w:hint="cs"/>
          <w:rtl/>
        </w:rPr>
        <w:t>ّ</w:t>
      </w:r>
      <w:r w:rsidRPr="00544A36">
        <w:rPr>
          <w:rFonts w:hint="cs"/>
          <w:rtl/>
        </w:rPr>
        <w:t xml:space="preserve"> عهود الصلح والسلام عبارة عن العهود التي تخل</w:t>
      </w:r>
      <w:r>
        <w:rPr>
          <w:rFonts w:hint="cs"/>
          <w:rtl/>
        </w:rPr>
        <w:t>ّلت حربين، أي أ</w:t>
      </w:r>
      <w:r w:rsidRPr="00544A36">
        <w:rPr>
          <w:rFonts w:hint="cs"/>
          <w:rtl/>
        </w:rPr>
        <w:t>ن</w:t>
      </w:r>
      <w:r>
        <w:rPr>
          <w:rFonts w:hint="cs"/>
          <w:rtl/>
        </w:rPr>
        <w:t>ّ</w:t>
      </w:r>
      <w:r w:rsidRPr="00544A36">
        <w:rPr>
          <w:rFonts w:hint="cs"/>
          <w:rtl/>
        </w:rPr>
        <w:t xml:space="preserve"> الحروب كانت قد ملأت حياة البشر</w:t>
      </w:r>
      <w:r>
        <w:rPr>
          <w:rFonts w:hint="cs"/>
          <w:rtl/>
        </w:rPr>
        <w:t xml:space="preserve"> إلى </w:t>
      </w:r>
      <w:r w:rsidRPr="00544A36">
        <w:rPr>
          <w:rFonts w:hint="cs"/>
          <w:rtl/>
        </w:rPr>
        <w:t>الحد</w:t>
      </w:r>
      <w:r>
        <w:rPr>
          <w:rFonts w:hint="cs"/>
          <w:rtl/>
        </w:rPr>
        <w:t>ّ</w:t>
      </w:r>
      <w:r w:rsidRPr="00544A36">
        <w:rPr>
          <w:rFonts w:hint="cs"/>
          <w:rtl/>
        </w:rPr>
        <w:t xml:space="preserve"> الذي تظهر فيه فترات الهدوء والسلام </w:t>
      </w:r>
      <w:r>
        <w:rPr>
          <w:rFonts w:hint="cs"/>
          <w:rtl/>
        </w:rPr>
        <w:t xml:space="preserve">بوصفها </w:t>
      </w:r>
      <w:r w:rsidRPr="00544A36">
        <w:rPr>
          <w:rFonts w:hint="cs"/>
          <w:rtl/>
        </w:rPr>
        <w:t>فترات هدنة</w:t>
      </w:r>
      <w:r>
        <w:rPr>
          <w:rFonts w:hint="cs"/>
          <w:rtl/>
        </w:rPr>
        <w:t>ٍ</w:t>
      </w:r>
      <w:r w:rsidRPr="00544A36">
        <w:rPr>
          <w:rFonts w:hint="cs"/>
          <w:rtl/>
        </w:rPr>
        <w:t xml:space="preserve"> بين حربين، فإذا كان تاريخ البشرية يحكي </w:t>
      </w:r>
      <w:r>
        <w:rPr>
          <w:rFonts w:hint="cs"/>
          <w:rtl/>
        </w:rPr>
        <w:t>الحرب بين أبناء البشر، فلا يمكن لنا أ</w:t>
      </w:r>
      <w:r w:rsidRPr="00544A36">
        <w:rPr>
          <w:rFonts w:hint="cs"/>
          <w:rtl/>
        </w:rPr>
        <w:t>ن نصل</w:t>
      </w:r>
      <w:r>
        <w:rPr>
          <w:rFonts w:hint="cs"/>
          <w:rtl/>
        </w:rPr>
        <w:t xml:space="preserve"> إلى ال</w:t>
      </w:r>
      <w:r w:rsidRPr="00544A36">
        <w:rPr>
          <w:rFonts w:hint="cs"/>
          <w:rtl/>
        </w:rPr>
        <w:t xml:space="preserve">نتيجة </w:t>
      </w:r>
      <w:r>
        <w:rPr>
          <w:rFonts w:hint="cs"/>
          <w:rtl/>
        </w:rPr>
        <w:t>القائلة بأ</w:t>
      </w:r>
      <w:r w:rsidRPr="00544A36">
        <w:rPr>
          <w:rFonts w:hint="cs"/>
          <w:rtl/>
        </w:rPr>
        <w:t xml:space="preserve">ن الحروب كانت </w:t>
      </w:r>
      <w:r>
        <w:rPr>
          <w:rFonts w:hint="cs"/>
          <w:rtl/>
        </w:rPr>
        <w:t>مفروضةً</w:t>
      </w:r>
      <w:r w:rsidRPr="00544A36">
        <w:rPr>
          <w:rFonts w:hint="cs"/>
          <w:rtl/>
        </w:rPr>
        <w:t xml:space="preserve"> على البشرية</w:t>
      </w:r>
      <w:r>
        <w:rPr>
          <w:rFonts w:hint="cs"/>
          <w:rtl/>
        </w:rPr>
        <w:t>،</w:t>
      </w:r>
      <w:r w:rsidRPr="00544A36">
        <w:rPr>
          <w:rFonts w:hint="cs"/>
          <w:rtl/>
        </w:rPr>
        <w:t xml:space="preserve"> بل </w:t>
      </w:r>
      <w:r>
        <w:rPr>
          <w:rFonts w:hint="cs"/>
          <w:rtl/>
        </w:rPr>
        <w:t>الصحيح أن نقول: إ</w:t>
      </w:r>
      <w:r w:rsidRPr="00544A36">
        <w:rPr>
          <w:rFonts w:hint="cs"/>
          <w:rtl/>
        </w:rPr>
        <w:t>ن</w:t>
      </w:r>
      <w:r>
        <w:rPr>
          <w:rFonts w:hint="cs"/>
          <w:rtl/>
        </w:rPr>
        <w:t>ّ</w:t>
      </w:r>
      <w:r w:rsidRPr="00544A36">
        <w:rPr>
          <w:rFonts w:hint="cs"/>
          <w:rtl/>
        </w:rPr>
        <w:t xml:space="preserve"> ال</w:t>
      </w:r>
      <w:r>
        <w:rPr>
          <w:rFonts w:hint="cs"/>
          <w:rtl/>
        </w:rPr>
        <w:t>إنسان مخلوق عدائي، أي أ</w:t>
      </w:r>
      <w:r w:rsidRPr="00544A36">
        <w:rPr>
          <w:rFonts w:hint="cs"/>
          <w:rtl/>
        </w:rPr>
        <w:t>ن</w:t>
      </w:r>
      <w:r>
        <w:rPr>
          <w:rFonts w:hint="cs"/>
          <w:rtl/>
        </w:rPr>
        <w:t>ّ</w:t>
      </w:r>
      <w:r w:rsidRPr="00544A36">
        <w:rPr>
          <w:rFonts w:hint="cs"/>
          <w:rtl/>
        </w:rPr>
        <w:t xml:space="preserve"> الحرب والقتال جزء</w:t>
      </w:r>
      <w:r>
        <w:rPr>
          <w:rFonts w:hint="cs"/>
          <w:rtl/>
        </w:rPr>
        <w:t>ٌ من طبيعته، لا أ</w:t>
      </w:r>
      <w:r w:rsidRPr="00544A36">
        <w:rPr>
          <w:rFonts w:hint="cs"/>
          <w:rtl/>
        </w:rPr>
        <w:t>ن</w:t>
      </w:r>
      <w:r>
        <w:rPr>
          <w:rFonts w:hint="cs"/>
          <w:rtl/>
        </w:rPr>
        <w:t>ّ</w:t>
      </w:r>
      <w:r w:rsidRPr="00544A36">
        <w:rPr>
          <w:rFonts w:hint="cs"/>
          <w:rtl/>
        </w:rPr>
        <w:t xml:space="preserve">ه </w:t>
      </w:r>
      <w:r>
        <w:rPr>
          <w:rFonts w:hint="cs"/>
          <w:rtl/>
        </w:rPr>
        <w:t>أمرٌ</w:t>
      </w:r>
      <w:r w:rsidRPr="00544A36">
        <w:rPr>
          <w:rFonts w:hint="cs"/>
          <w:rtl/>
        </w:rPr>
        <w:t xml:space="preserve"> </w:t>
      </w:r>
      <w:r>
        <w:rPr>
          <w:rFonts w:hint="cs"/>
          <w:rtl/>
        </w:rPr>
        <w:t>مفروض عليه وعارض على طبيعته، فإ</w:t>
      </w:r>
      <w:r w:rsidRPr="00544A36">
        <w:rPr>
          <w:rFonts w:hint="cs"/>
          <w:rtl/>
        </w:rPr>
        <w:t>ن</w:t>
      </w:r>
      <w:r>
        <w:rPr>
          <w:rFonts w:hint="cs"/>
          <w:rtl/>
        </w:rPr>
        <w:t>ّ</w:t>
      </w:r>
      <w:r w:rsidRPr="00544A36">
        <w:rPr>
          <w:rFonts w:hint="cs"/>
          <w:rtl/>
        </w:rPr>
        <w:t xml:space="preserve"> شيئا</w:t>
      </w:r>
      <w:r>
        <w:rPr>
          <w:rFonts w:hint="cs"/>
          <w:rtl/>
        </w:rPr>
        <w:t>ً ما إ</w:t>
      </w:r>
      <w:r w:rsidRPr="00544A36">
        <w:rPr>
          <w:rFonts w:hint="cs"/>
          <w:rtl/>
        </w:rPr>
        <w:t>ذا أصبح قاعدة</w:t>
      </w:r>
      <w:r>
        <w:rPr>
          <w:rFonts w:hint="cs"/>
          <w:rtl/>
        </w:rPr>
        <w:t>ً في التاريخ فلابد أ</w:t>
      </w:r>
      <w:r w:rsidRPr="00544A36">
        <w:rPr>
          <w:rFonts w:hint="cs"/>
          <w:rtl/>
        </w:rPr>
        <w:t>ن يكون له جذوره في طبيعة ال</w:t>
      </w:r>
      <w:r>
        <w:rPr>
          <w:rFonts w:hint="cs"/>
          <w:rtl/>
        </w:rPr>
        <w:t>إنسان</w:t>
      </w:r>
      <w:r w:rsidRPr="00544A36">
        <w:rPr>
          <w:rFonts w:hint="cs"/>
          <w:rtl/>
        </w:rPr>
        <w:t xml:space="preserve"> وتركيبته البيولوجية.</w:t>
      </w:r>
    </w:p>
    <w:p w:rsidR="00BA281B" w:rsidRDefault="00BA281B" w:rsidP="00BA281B">
      <w:pPr>
        <w:pStyle w:val="ac"/>
        <w:rPr>
          <w:rtl/>
        </w:rPr>
      </w:pPr>
      <w:r>
        <w:rPr>
          <w:rFonts w:hint="cs"/>
          <w:rtl/>
        </w:rPr>
        <w:t>ما أريد الوصول إليه هو أ</w:t>
      </w:r>
      <w:r w:rsidRPr="00544A36">
        <w:rPr>
          <w:rFonts w:hint="cs"/>
          <w:rtl/>
        </w:rPr>
        <w:t>ن</w:t>
      </w:r>
      <w:r>
        <w:rPr>
          <w:rFonts w:hint="cs"/>
          <w:rtl/>
        </w:rPr>
        <w:t>ه لا يمكننا أ</w:t>
      </w:r>
      <w:r w:rsidRPr="00544A36">
        <w:rPr>
          <w:rFonts w:hint="cs"/>
          <w:rtl/>
        </w:rPr>
        <w:t xml:space="preserve">ن </w:t>
      </w:r>
      <w:r>
        <w:rPr>
          <w:rFonts w:hint="cs"/>
          <w:rtl/>
        </w:rPr>
        <w:t>نعتبر المرأة ـ و</w:t>
      </w:r>
      <w:r w:rsidRPr="00544A36">
        <w:rPr>
          <w:rFonts w:hint="cs"/>
          <w:rtl/>
        </w:rPr>
        <w:t xml:space="preserve">ببساطة </w:t>
      </w:r>
      <w:r>
        <w:rPr>
          <w:rFonts w:hint="cs"/>
          <w:rtl/>
        </w:rPr>
        <w:t xml:space="preserve">ـ مظلومةً في </w:t>
      </w:r>
      <w:r w:rsidRPr="00544A36">
        <w:rPr>
          <w:rFonts w:hint="cs"/>
          <w:rtl/>
        </w:rPr>
        <w:t xml:space="preserve">حياتها وتاريخها </w:t>
      </w:r>
      <w:r>
        <w:rPr>
          <w:rFonts w:hint="cs"/>
          <w:rtl/>
        </w:rPr>
        <w:t>عموماً، بحيث</w:t>
      </w:r>
      <w:r w:rsidRPr="00544A36">
        <w:rPr>
          <w:rFonts w:hint="cs"/>
          <w:rtl/>
        </w:rPr>
        <w:t xml:space="preserve"> لم تتمك</w:t>
      </w:r>
      <w:r>
        <w:rPr>
          <w:rFonts w:hint="cs"/>
          <w:rtl/>
        </w:rPr>
        <w:t>ّن من أ</w:t>
      </w:r>
      <w:r w:rsidRPr="00544A36">
        <w:rPr>
          <w:rFonts w:hint="cs"/>
          <w:rtl/>
        </w:rPr>
        <w:t>ن ت</w:t>
      </w:r>
      <w:r>
        <w:rPr>
          <w:rFonts w:hint="cs"/>
          <w:rtl/>
        </w:rPr>
        <w:t>ُ</w:t>
      </w:r>
      <w:r w:rsidRPr="00544A36">
        <w:rPr>
          <w:rFonts w:hint="cs"/>
          <w:rtl/>
        </w:rPr>
        <w:t>ظهر ما تتمت</w:t>
      </w:r>
      <w:r>
        <w:rPr>
          <w:rFonts w:hint="cs"/>
          <w:rtl/>
        </w:rPr>
        <w:t>ّ</w:t>
      </w:r>
      <w:r w:rsidRPr="00544A36">
        <w:rPr>
          <w:rFonts w:hint="cs"/>
          <w:rtl/>
        </w:rPr>
        <w:t>ع به من قدرات</w:t>
      </w:r>
      <w:r>
        <w:rPr>
          <w:rFonts w:hint="cs"/>
          <w:rtl/>
        </w:rPr>
        <w:t>،</w:t>
      </w:r>
      <w:r w:rsidRPr="00544A36">
        <w:rPr>
          <w:rFonts w:hint="cs"/>
          <w:rtl/>
        </w:rPr>
        <w:t xml:space="preserve"> وسعت لخمسين عاما</w:t>
      </w:r>
      <w:r>
        <w:rPr>
          <w:rFonts w:hint="cs"/>
          <w:rtl/>
        </w:rPr>
        <w:t>ً</w:t>
      </w:r>
      <w:r w:rsidRPr="00544A36">
        <w:rPr>
          <w:rFonts w:hint="cs"/>
          <w:rtl/>
        </w:rPr>
        <w:t xml:space="preserve"> </w:t>
      </w:r>
      <w:r>
        <w:rPr>
          <w:rFonts w:hint="cs"/>
          <w:rtl/>
        </w:rPr>
        <w:t>خلت كي تخرج من تحت الظلم، إننا إ</w:t>
      </w:r>
      <w:r w:rsidRPr="00544A36">
        <w:rPr>
          <w:rFonts w:hint="cs"/>
          <w:rtl/>
        </w:rPr>
        <w:t>ذا شرعنا بمثل هذه الدعاوى ف</w:t>
      </w:r>
      <w:r>
        <w:rPr>
          <w:rFonts w:hint="cs"/>
          <w:rtl/>
        </w:rPr>
        <w:t>لابدّ أ</w:t>
      </w:r>
      <w:r w:rsidRPr="00544A36">
        <w:rPr>
          <w:rFonts w:hint="cs"/>
          <w:rtl/>
        </w:rPr>
        <w:t>ن نصل</w:t>
      </w:r>
      <w:r>
        <w:rPr>
          <w:rFonts w:hint="cs"/>
          <w:rtl/>
        </w:rPr>
        <w:t xml:space="preserve"> إلى أنّها مخلوق من طبعه أن يعيش على الظلم، وأنها إ</w:t>
      </w:r>
      <w:r w:rsidRPr="00544A36">
        <w:rPr>
          <w:rFonts w:hint="cs"/>
          <w:rtl/>
        </w:rPr>
        <w:t>ذا كانت</w:t>
      </w:r>
      <w:r>
        <w:rPr>
          <w:rFonts w:hint="cs"/>
          <w:rtl/>
        </w:rPr>
        <w:t xml:space="preserve"> إلى الآن كذلك ف</w:t>
      </w:r>
      <w:r w:rsidRPr="00544A36">
        <w:rPr>
          <w:rFonts w:hint="cs"/>
          <w:rtl/>
        </w:rPr>
        <w:t xml:space="preserve">ستكون </w:t>
      </w:r>
      <w:r>
        <w:rPr>
          <w:rFonts w:hint="cs"/>
          <w:rtl/>
        </w:rPr>
        <w:t xml:space="preserve">كذلك </w:t>
      </w:r>
      <w:r w:rsidRPr="00544A36">
        <w:rPr>
          <w:rFonts w:hint="cs"/>
          <w:rtl/>
        </w:rPr>
        <w:t>في المستقبل</w:t>
      </w:r>
      <w:r>
        <w:rPr>
          <w:rFonts w:hint="cs"/>
          <w:rtl/>
        </w:rPr>
        <w:t>، إلا أ</w:t>
      </w:r>
      <w:r w:rsidRPr="00544A36">
        <w:rPr>
          <w:rFonts w:hint="cs"/>
          <w:rtl/>
        </w:rPr>
        <w:t>ن تخرج</w:t>
      </w:r>
      <w:r>
        <w:rPr>
          <w:rFonts w:hint="cs"/>
          <w:rtl/>
        </w:rPr>
        <w:t xml:space="preserve"> المرأة </w:t>
      </w:r>
      <w:r w:rsidRPr="00544A36">
        <w:rPr>
          <w:rFonts w:hint="cs"/>
          <w:rtl/>
        </w:rPr>
        <w:t xml:space="preserve">عن كونها </w:t>
      </w:r>
      <w:r>
        <w:rPr>
          <w:rFonts w:hint="cs"/>
          <w:rtl/>
        </w:rPr>
        <w:t>امرأة.</w:t>
      </w:r>
    </w:p>
    <w:p w:rsidR="00BA281B" w:rsidRDefault="00BA281B" w:rsidP="00BA281B">
      <w:pPr>
        <w:pStyle w:val="ac"/>
        <w:rPr>
          <w:rtl/>
        </w:rPr>
      </w:pPr>
      <w:r w:rsidRPr="00544A36">
        <w:rPr>
          <w:rFonts w:hint="cs"/>
          <w:rtl/>
        </w:rPr>
        <w:t>وعلى أي</w:t>
      </w:r>
      <w:r>
        <w:rPr>
          <w:rFonts w:hint="cs"/>
          <w:rtl/>
        </w:rPr>
        <w:t>ّة</w:t>
      </w:r>
      <w:r w:rsidRPr="00544A36">
        <w:rPr>
          <w:rFonts w:hint="cs"/>
          <w:rtl/>
        </w:rPr>
        <w:t xml:space="preserve"> حال</w:t>
      </w:r>
      <w:r>
        <w:rPr>
          <w:rFonts w:hint="cs"/>
          <w:rtl/>
        </w:rPr>
        <w:t>،</w:t>
      </w:r>
      <w:r w:rsidRPr="00544A36">
        <w:rPr>
          <w:rFonts w:hint="cs"/>
          <w:rtl/>
        </w:rPr>
        <w:t xml:space="preserve"> </w:t>
      </w:r>
      <w:r>
        <w:rPr>
          <w:rFonts w:hint="cs"/>
          <w:rtl/>
        </w:rPr>
        <w:t>ما أريد أن ألفت النظر إ</w:t>
      </w:r>
      <w:r w:rsidRPr="00544A36">
        <w:rPr>
          <w:rFonts w:hint="cs"/>
          <w:rtl/>
        </w:rPr>
        <w:t xml:space="preserve">ليه </w:t>
      </w:r>
      <w:r>
        <w:rPr>
          <w:rFonts w:hint="cs"/>
          <w:rtl/>
        </w:rPr>
        <w:t>أمر تحليلي نفسي هو أ</w:t>
      </w:r>
      <w:r w:rsidRPr="00544A36">
        <w:rPr>
          <w:rFonts w:hint="cs"/>
          <w:rtl/>
        </w:rPr>
        <w:t>ن</w:t>
      </w:r>
      <w:r>
        <w:rPr>
          <w:rFonts w:hint="cs"/>
          <w:rtl/>
        </w:rPr>
        <w:t>ّه لأجل الحذر من الوقوع في الإ</w:t>
      </w:r>
      <w:r w:rsidRPr="00544A36">
        <w:rPr>
          <w:rFonts w:hint="cs"/>
          <w:rtl/>
        </w:rPr>
        <w:t>فراط والتفريط ول</w:t>
      </w:r>
      <w:r>
        <w:rPr>
          <w:rFonts w:hint="cs"/>
          <w:rtl/>
        </w:rPr>
        <w:t>ل</w:t>
      </w:r>
      <w:r w:rsidRPr="00544A36">
        <w:rPr>
          <w:rFonts w:hint="cs"/>
          <w:rtl/>
        </w:rPr>
        <w:t>وصول</w:t>
      </w:r>
      <w:r>
        <w:rPr>
          <w:rFonts w:hint="cs"/>
          <w:rtl/>
        </w:rPr>
        <w:t xml:space="preserve"> إلى حكمٍ</w:t>
      </w:r>
      <w:r w:rsidRPr="00544A36">
        <w:rPr>
          <w:rFonts w:hint="cs"/>
          <w:rtl/>
        </w:rPr>
        <w:t xml:space="preserve"> عادل </w:t>
      </w:r>
      <w:r>
        <w:rPr>
          <w:rFonts w:hint="cs"/>
          <w:rtl/>
        </w:rPr>
        <w:t>بحقّ المرأة، لابد وأن نأ</w:t>
      </w:r>
      <w:r w:rsidRPr="00544A36">
        <w:rPr>
          <w:rFonts w:hint="cs"/>
          <w:rtl/>
        </w:rPr>
        <w:t>خذ بعين الاعتبار بناءها البيولوجي ـ النفسي</w:t>
      </w:r>
      <w:r>
        <w:rPr>
          <w:rFonts w:hint="cs"/>
          <w:rtl/>
        </w:rPr>
        <w:t>،</w:t>
      </w:r>
      <w:r w:rsidRPr="00544A36">
        <w:rPr>
          <w:rFonts w:hint="cs"/>
          <w:rtl/>
        </w:rPr>
        <w:t xml:space="preserve"> ولا يمكننا الاعتماد على ال</w:t>
      </w:r>
      <w:r>
        <w:rPr>
          <w:rFonts w:hint="cs"/>
          <w:rtl/>
        </w:rPr>
        <w:t>قراءة المقطعية ل</w:t>
      </w:r>
      <w:r w:rsidRPr="00544A36">
        <w:rPr>
          <w:rFonts w:hint="cs"/>
          <w:rtl/>
        </w:rPr>
        <w:t>تاريخ</w:t>
      </w:r>
      <w:r>
        <w:rPr>
          <w:rFonts w:hint="cs"/>
          <w:rtl/>
        </w:rPr>
        <w:t>ها</w:t>
      </w:r>
      <w:r w:rsidRPr="00544A36">
        <w:rPr>
          <w:rFonts w:hint="cs"/>
          <w:rtl/>
        </w:rPr>
        <w:t xml:space="preserve"> الطويل</w:t>
      </w:r>
      <w:r>
        <w:rPr>
          <w:rFonts w:hint="cs"/>
          <w:rtl/>
        </w:rPr>
        <w:t>.</w:t>
      </w:r>
    </w:p>
    <w:p w:rsidR="00BA281B" w:rsidRPr="00544A36" w:rsidRDefault="00BA281B" w:rsidP="00BA281B">
      <w:pPr>
        <w:pStyle w:val="ac"/>
        <w:rPr>
          <w:rtl/>
        </w:rPr>
      </w:pPr>
      <w:r w:rsidRPr="00544A36">
        <w:rPr>
          <w:rFonts w:hint="cs"/>
          <w:rtl/>
        </w:rPr>
        <w:lastRenderedPageBreak/>
        <w:t>نعم، هذه المقطعية التاريخية الطويلة قد تكون جزءا</w:t>
      </w:r>
      <w:r>
        <w:rPr>
          <w:rFonts w:hint="cs"/>
          <w:rtl/>
        </w:rPr>
        <w:t>ً</w:t>
      </w:r>
      <w:r w:rsidRPr="00544A36">
        <w:rPr>
          <w:rFonts w:hint="cs"/>
          <w:rtl/>
        </w:rPr>
        <w:t xml:space="preserve"> من تاريخ البشرية الطويل.</w:t>
      </w:r>
    </w:p>
    <w:p w:rsidR="00BA281B" w:rsidRDefault="00BA281B" w:rsidP="00BA281B">
      <w:pPr>
        <w:pStyle w:val="ac"/>
        <w:rPr>
          <w:rtl/>
        </w:rPr>
      </w:pPr>
      <w:r>
        <w:rPr>
          <w:rFonts w:hint="cs"/>
          <w:rtl/>
        </w:rPr>
        <w:t>صحيح، إ</w:t>
      </w:r>
      <w:r w:rsidRPr="00544A36">
        <w:rPr>
          <w:rFonts w:hint="cs"/>
          <w:rtl/>
        </w:rPr>
        <w:t xml:space="preserve">ن </w:t>
      </w:r>
      <w:r>
        <w:rPr>
          <w:rFonts w:hint="cs"/>
          <w:rtl/>
        </w:rPr>
        <w:t>أحكامنا مؤقتة، أي أ</w:t>
      </w:r>
      <w:r w:rsidRPr="00544A36">
        <w:rPr>
          <w:rFonts w:hint="cs"/>
          <w:rtl/>
        </w:rPr>
        <w:t>ن</w:t>
      </w:r>
      <w:r>
        <w:rPr>
          <w:rFonts w:hint="cs"/>
          <w:rtl/>
        </w:rPr>
        <w:t>ّ</w:t>
      </w:r>
      <w:r w:rsidRPr="00544A36">
        <w:rPr>
          <w:rFonts w:hint="cs"/>
          <w:rtl/>
        </w:rPr>
        <w:t xml:space="preserve"> كل</w:t>
      </w:r>
      <w:r>
        <w:rPr>
          <w:rFonts w:hint="cs"/>
          <w:rtl/>
        </w:rPr>
        <w:t>ّ</w:t>
      </w:r>
      <w:r w:rsidRPr="00544A36">
        <w:rPr>
          <w:rFonts w:hint="cs"/>
          <w:rtl/>
        </w:rPr>
        <w:t xml:space="preserve"> ما نذكره </w:t>
      </w:r>
      <w:r>
        <w:rPr>
          <w:rFonts w:hint="cs"/>
          <w:rtl/>
        </w:rPr>
        <w:t xml:space="preserve">حول المرأة أو </w:t>
      </w:r>
      <w:r w:rsidRPr="00544A36">
        <w:rPr>
          <w:rFonts w:hint="cs"/>
          <w:rtl/>
        </w:rPr>
        <w:t>الرجل</w:t>
      </w:r>
      <w:r>
        <w:rPr>
          <w:rFonts w:hint="cs"/>
          <w:rtl/>
        </w:rPr>
        <w:t xml:space="preserve"> أو </w:t>
      </w:r>
      <w:r w:rsidRPr="00544A36">
        <w:rPr>
          <w:rFonts w:hint="cs"/>
          <w:rtl/>
        </w:rPr>
        <w:t>ال</w:t>
      </w:r>
      <w:r>
        <w:rPr>
          <w:rFonts w:hint="cs"/>
          <w:rtl/>
        </w:rPr>
        <w:t>إنسان</w:t>
      </w:r>
      <w:r w:rsidRPr="00544A36">
        <w:rPr>
          <w:rFonts w:hint="cs"/>
          <w:rtl/>
        </w:rPr>
        <w:t xml:space="preserve"> </w:t>
      </w:r>
      <w:r>
        <w:rPr>
          <w:rFonts w:hint="cs"/>
          <w:rtl/>
        </w:rPr>
        <w:t>أمر</w:t>
      </w:r>
      <w:r w:rsidRPr="00544A36">
        <w:rPr>
          <w:rFonts w:hint="cs"/>
          <w:rtl/>
        </w:rPr>
        <w:t xml:space="preserve"> يت</w:t>
      </w:r>
      <w:r>
        <w:rPr>
          <w:rFonts w:hint="cs"/>
          <w:rtl/>
        </w:rPr>
        <w:t>ّسم بالعجلة والآنية؛</w:t>
      </w:r>
      <w:r w:rsidRPr="00544A36">
        <w:rPr>
          <w:rFonts w:hint="cs"/>
          <w:rtl/>
        </w:rPr>
        <w:t xml:space="preserve"> </w:t>
      </w:r>
      <w:r>
        <w:rPr>
          <w:rFonts w:hint="cs"/>
          <w:rtl/>
        </w:rPr>
        <w:t>لذا ذكرت في بداية الحديث أ</w:t>
      </w:r>
      <w:r w:rsidRPr="00544A36">
        <w:rPr>
          <w:rFonts w:hint="cs"/>
          <w:rtl/>
        </w:rPr>
        <w:t xml:space="preserve">ن ما نقوله </w:t>
      </w:r>
      <w:r>
        <w:rPr>
          <w:rFonts w:hint="cs"/>
          <w:rtl/>
        </w:rPr>
        <w:t>ونصل إ</w:t>
      </w:r>
      <w:r w:rsidRPr="00544A36">
        <w:rPr>
          <w:rFonts w:hint="cs"/>
          <w:rtl/>
        </w:rPr>
        <w:t>ليه يصلح للزمن الذي</w:t>
      </w:r>
      <w:r>
        <w:rPr>
          <w:rFonts w:hint="cs"/>
          <w:rtl/>
        </w:rPr>
        <w:t xml:space="preserve"> نعيش فيه، ومن يأتي بعدنا عليه أ</w:t>
      </w:r>
      <w:r w:rsidRPr="00544A36">
        <w:rPr>
          <w:rFonts w:hint="cs"/>
          <w:rtl/>
        </w:rPr>
        <w:t>ن يقول ويصل</w:t>
      </w:r>
      <w:r>
        <w:rPr>
          <w:rFonts w:hint="cs"/>
          <w:rtl/>
        </w:rPr>
        <w:t xml:space="preserve"> إلى شيء آخر.</w:t>
      </w:r>
    </w:p>
    <w:p w:rsidR="00BA281B" w:rsidRDefault="00BA281B" w:rsidP="00BA281B">
      <w:pPr>
        <w:pStyle w:val="ac"/>
        <w:rPr>
          <w:rtl/>
        </w:rPr>
      </w:pPr>
      <w:r>
        <w:rPr>
          <w:rFonts w:hint="cs"/>
          <w:rtl/>
        </w:rPr>
        <w:t>لكنني أ</w:t>
      </w:r>
      <w:r w:rsidRPr="00544A36">
        <w:rPr>
          <w:rFonts w:hint="cs"/>
          <w:rtl/>
        </w:rPr>
        <w:t>ؤكد ثانية</w:t>
      </w:r>
      <w:r>
        <w:rPr>
          <w:rFonts w:hint="cs"/>
          <w:rtl/>
        </w:rPr>
        <w:t>ً على أ</w:t>
      </w:r>
      <w:r w:rsidRPr="00544A36">
        <w:rPr>
          <w:rFonts w:hint="cs"/>
          <w:rtl/>
        </w:rPr>
        <w:t>ن</w:t>
      </w:r>
      <w:r>
        <w:rPr>
          <w:rFonts w:hint="cs"/>
          <w:rtl/>
        </w:rPr>
        <w:t>ّ</w:t>
      </w:r>
      <w:r w:rsidRPr="00544A36">
        <w:rPr>
          <w:rFonts w:hint="cs"/>
          <w:rtl/>
        </w:rPr>
        <w:t xml:space="preserve">نا </w:t>
      </w:r>
      <w:r>
        <w:rPr>
          <w:rFonts w:hint="cs"/>
          <w:rtl/>
        </w:rPr>
        <w:t xml:space="preserve">ـ </w:t>
      </w:r>
      <w:r w:rsidRPr="00544A36">
        <w:rPr>
          <w:rFonts w:hint="cs"/>
          <w:rtl/>
        </w:rPr>
        <w:t xml:space="preserve">ومن </w:t>
      </w:r>
      <w:r>
        <w:rPr>
          <w:rFonts w:hint="cs"/>
          <w:rtl/>
        </w:rPr>
        <w:t>و</w:t>
      </w:r>
      <w:r w:rsidRPr="00544A36">
        <w:rPr>
          <w:rFonts w:hint="cs"/>
          <w:rtl/>
        </w:rPr>
        <w:t>جهة</w:t>
      </w:r>
      <w:r>
        <w:rPr>
          <w:rFonts w:hint="cs"/>
          <w:rtl/>
        </w:rPr>
        <w:t>ٍ</w:t>
      </w:r>
      <w:r w:rsidRPr="00544A36">
        <w:rPr>
          <w:rFonts w:hint="cs"/>
          <w:rtl/>
        </w:rPr>
        <w:t xml:space="preserve"> أكاديمية </w:t>
      </w:r>
      <w:r>
        <w:rPr>
          <w:rFonts w:hint="cs"/>
          <w:rtl/>
        </w:rPr>
        <w:t>ـ لا يمكننا إ</w:t>
      </w:r>
      <w:r w:rsidRPr="00544A36">
        <w:rPr>
          <w:rFonts w:hint="cs"/>
          <w:rtl/>
        </w:rPr>
        <w:t xml:space="preserve">غفال المقطع التاريخي الطويل من حياة المرأة، ولا </w:t>
      </w:r>
      <w:r>
        <w:rPr>
          <w:rFonts w:hint="cs"/>
          <w:rtl/>
        </w:rPr>
        <w:t>أ</w:t>
      </w:r>
      <w:r w:rsidRPr="00544A36">
        <w:rPr>
          <w:rFonts w:hint="cs"/>
          <w:rtl/>
        </w:rPr>
        <w:t>ن نقول</w:t>
      </w:r>
      <w:r>
        <w:rPr>
          <w:rFonts w:hint="cs"/>
          <w:rtl/>
        </w:rPr>
        <w:t>: إ</w:t>
      </w:r>
      <w:r w:rsidRPr="00544A36">
        <w:rPr>
          <w:rFonts w:hint="cs"/>
          <w:rtl/>
        </w:rPr>
        <w:t>ن</w:t>
      </w:r>
      <w:r>
        <w:rPr>
          <w:rFonts w:hint="cs"/>
          <w:rtl/>
        </w:rPr>
        <w:t>ّ</w:t>
      </w:r>
      <w:r w:rsidRPr="00544A36">
        <w:rPr>
          <w:rFonts w:hint="cs"/>
          <w:rtl/>
        </w:rPr>
        <w:t xml:space="preserve"> كل</w:t>
      </w:r>
      <w:r>
        <w:rPr>
          <w:rFonts w:hint="cs"/>
          <w:rtl/>
        </w:rPr>
        <w:t>ّ</w:t>
      </w:r>
      <w:r w:rsidRPr="00544A36">
        <w:rPr>
          <w:rFonts w:hint="cs"/>
          <w:rtl/>
        </w:rPr>
        <w:t xml:space="preserve"> ما</w:t>
      </w:r>
      <w:r>
        <w:rPr>
          <w:rFonts w:hint="cs"/>
          <w:rtl/>
        </w:rPr>
        <w:t xml:space="preserve"> </w:t>
      </w:r>
      <w:r w:rsidRPr="00544A36">
        <w:rPr>
          <w:rFonts w:hint="cs"/>
          <w:rtl/>
        </w:rPr>
        <w:t>عاشته</w:t>
      </w:r>
      <w:r>
        <w:rPr>
          <w:rFonts w:hint="cs"/>
          <w:rtl/>
        </w:rPr>
        <w:t xml:space="preserve"> إلى </w:t>
      </w:r>
      <w:r w:rsidRPr="00544A36">
        <w:rPr>
          <w:rFonts w:hint="cs"/>
          <w:rtl/>
        </w:rPr>
        <w:t xml:space="preserve">الآن كان </w:t>
      </w:r>
      <w:r>
        <w:rPr>
          <w:rFonts w:hint="cs"/>
          <w:rtl/>
        </w:rPr>
        <w:t>أمر</w:t>
      </w:r>
      <w:r w:rsidRPr="00544A36">
        <w:rPr>
          <w:rFonts w:hint="cs"/>
          <w:rtl/>
        </w:rPr>
        <w:t>ا</w:t>
      </w:r>
      <w:r>
        <w:rPr>
          <w:rFonts w:hint="cs"/>
          <w:rtl/>
        </w:rPr>
        <w:t>ً</w:t>
      </w:r>
      <w:r w:rsidRPr="00544A36">
        <w:rPr>
          <w:rFonts w:hint="cs"/>
          <w:rtl/>
        </w:rPr>
        <w:t xml:space="preserve"> مفروضا</w:t>
      </w:r>
      <w:r>
        <w:rPr>
          <w:rFonts w:hint="cs"/>
          <w:rtl/>
        </w:rPr>
        <w:t>ً عليها، إ</w:t>
      </w:r>
      <w:r w:rsidRPr="00544A36">
        <w:rPr>
          <w:rFonts w:hint="cs"/>
          <w:rtl/>
        </w:rPr>
        <w:t>ن</w:t>
      </w:r>
      <w:r>
        <w:rPr>
          <w:rFonts w:hint="cs"/>
          <w:rtl/>
        </w:rPr>
        <w:t>ّ</w:t>
      </w:r>
      <w:r w:rsidRPr="00544A36">
        <w:rPr>
          <w:rFonts w:hint="cs"/>
          <w:rtl/>
        </w:rPr>
        <w:t>ني أرى هذه النظرة</w:t>
      </w:r>
      <w:r>
        <w:rPr>
          <w:rFonts w:hint="cs"/>
          <w:rtl/>
        </w:rPr>
        <w:t>، من وجهة منهجية ـ ميت</w:t>
      </w:r>
      <w:r w:rsidRPr="00544A36">
        <w:rPr>
          <w:rFonts w:hint="cs"/>
          <w:rtl/>
        </w:rPr>
        <w:t>دلوجية</w:t>
      </w:r>
      <w:r>
        <w:rPr>
          <w:rFonts w:hint="cs"/>
          <w:rtl/>
        </w:rPr>
        <w:t xml:space="preserve">، </w:t>
      </w:r>
      <w:r w:rsidRPr="00544A36">
        <w:rPr>
          <w:rFonts w:hint="cs"/>
          <w:rtl/>
        </w:rPr>
        <w:t>خطيرة جدا</w:t>
      </w:r>
      <w:r>
        <w:rPr>
          <w:rFonts w:hint="cs"/>
          <w:rtl/>
        </w:rPr>
        <w:t>ً</w:t>
      </w:r>
      <w:r w:rsidRPr="00544A36">
        <w:rPr>
          <w:rFonts w:hint="cs"/>
          <w:rtl/>
        </w:rPr>
        <w:t xml:space="preserve">، </w:t>
      </w:r>
      <w:r>
        <w:rPr>
          <w:rFonts w:hint="cs"/>
          <w:rtl/>
        </w:rPr>
        <w:t>لهذا ما نترقّبه من</w:t>
      </w:r>
      <w:r w:rsidRPr="00544A36">
        <w:rPr>
          <w:rFonts w:hint="cs"/>
          <w:rtl/>
        </w:rPr>
        <w:t xml:space="preserve"> الرؤية القاصرة علميا</w:t>
      </w:r>
      <w:r>
        <w:rPr>
          <w:rFonts w:hint="cs"/>
          <w:rtl/>
        </w:rPr>
        <w:t>ً</w:t>
      </w:r>
      <w:r w:rsidRPr="00544A36">
        <w:rPr>
          <w:rFonts w:hint="cs"/>
          <w:rtl/>
        </w:rPr>
        <w:t xml:space="preserve"> و</w:t>
      </w:r>
      <w:r>
        <w:rPr>
          <w:rFonts w:hint="cs"/>
          <w:rtl/>
        </w:rPr>
        <w:t>ال</w:t>
      </w:r>
      <w:r w:rsidRPr="00544A36">
        <w:rPr>
          <w:rFonts w:hint="cs"/>
          <w:rtl/>
        </w:rPr>
        <w:t xml:space="preserve">حكم </w:t>
      </w:r>
      <w:r>
        <w:rPr>
          <w:rFonts w:hint="cs"/>
          <w:rtl/>
        </w:rPr>
        <w:t>المؤقت</w:t>
      </w:r>
      <w:r w:rsidRPr="00544A36">
        <w:rPr>
          <w:rFonts w:hint="cs"/>
          <w:rtl/>
        </w:rPr>
        <w:t xml:space="preserve"> </w:t>
      </w:r>
      <w:r>
        <w:rPr>
          <w:rFonts w:hint="cs"/>
          <w:rtl/>
        </w:rPr>
        <w:t>المرحلي</w:t>
      </w:r>
      <w:r w:rsidRPr="00544A36">
        <w:rPr>
          <w:rFonts w:hint="cs"/>
          <w:rtl/>
        </w:rPr>
        <w:t xml:space="preserve"> </w:t>
      </w:r>
      <w:r>
        <w:rPr>
          <w:rFonts w:hint="cs"/>
          <w:rtl/>
        </w:rPr>
        <w:t>الآني</w:t>
      </w:r>
      <w:r w:rsidRPr="00544A36">
        <w:rPr>
          <w:rFonts w:hint="cs"/>
          <w:rtl/>
        </w:rPr>
        <w:t xml:space="preserve"> أكثر من الحد</w:t>
      </w:r>
      <w:r>
        <w:rPr>
          <w:rFonts w:hint="cs"/>
          <w:rtl/>
        </w:rPr>
        <w:t>ّ</w:t>
      </w:r>
      <w:r w:rsidRPr="00544A36">
        <w:rPr>
          <w:rFonts w:hint="cs"/>
          <w:rtl/>
        </w:rPr>
        <w:t xml:space="preserve"> الطبيعي، لقد جرت</w:t>
      </w:r>
      <w:r>
        <w:rPr>
          <w:rFonts w:hint="cs"/>
          <w:rtl/>
        </w:rPr>
        <w:t xml:space="preserve"> العادة بأ</w:t>
      </w:r>
      <w:r w:rsidRPr="00544A36">
        <w:rPr>
          <w:rFonts w:hint="cs"/>
          <w:rtl/>
        </w:rPr>
        <w:t>ن تلحظ الدراسات التي ترتبط بموضوع</w:t>
      </w:r>
      <w:r>
        <w:rPr>
          <w:rFonts w:hint="cs"/>
          <w:rtl/>
        </w:rPr>
        <w:t xml:space="preserve"> المرأة </w:t>
      </w:r>
      <w:r w:rsidRPr="00544A36">
        <w:rPr>
          <w:rFonts w:hint="cs"/>
          <w:rtl/>
        </w:rPr>
        <w:t>الوضع القائم وما يقتضيه، والحاجات التي يقتضيها هذا الزمان</w:t>
      </w:r>
      <w:r>
        <w:rPr>
          <w:rFonts w:hint="cs"/>
          <w:rtl/>
        </w:rPr>
        <w:t>،</w:t>
      </w:r>
      <w:r w:rsidRPr="00544A36">
        <w:rPr>
          <w:rFonts w:hint="cs"/>
          <w:rtl/>
        </w:rPr>
        <w:t xml:space="preserve"> </w:t>
      </w:r>
      <w:r>
        <w:rPr>
          <w:rFonts w:hint="cs"/>
          <w:rtl/>
        </w:rPr>
        <w:t xml:space="preserve">دون نظرٍ إلى </w:t>
      </w:r>
      <w:r w:rsidRPr="00544A36">
        <w:rPr>
          <w:rFonts w:hint="cs"/>
          <w:rtl/>
        </w:rPr>
        <w:t>مستقبل</w:t>
      </w:r>
      <w:r>
        <w:rPr>
          <w:rFonts w:hint="cs"/>
          <w:rtl/>
        </w:rPr>
        <w:t>ها،</w:t>
      </w:r>
      <w:r w:rsidRPr="00544A36">
        <w:rPr>
          <w:rFonts w:hint="cs"/>
          <w:rtl/>
        </w:rPr>
        <w:t xml:space="preserve"> بل </w:t>
      </w:r>
      <w:r>
        <w:rPr>
          <w:rFonts w:hint="cs"/>
          <w:rtl/>
        </w:rPr>
        <w:t>ال</w:t>
      </w:r>
      <w:r w:rsidRPr="00544A36">
        <w:rPr>
          <w:rFonts w:hint="cs"/>
          <w:rtl/>
        </w:rPr>
        <w:t>تاريخ</w:t>
      </w:r>
      <w:r>
        <w:rPr>
          <w:rFonts w:hint="cs"/>
          <w:rtl/>
        </w:rPr>
        <w:t xml:space="preserve"> إ</w:t>
      </w:r>
      <w:r w:rsidRPr="00544A36">
        <w:rPr>
          <w:rFonts w:hint="cs"/>
          <w:rtl/>
        </w:rPr>
        <w:t>ن</w:t>
      </w:r>
      <w:r>
        <w:rPr>
          <w:rFonts w:hint="cs"/>
          <w:rtl/>
        </w:rPr>
        <w:t>ّ</w:t>
      </w:r>
      <w:r w:rsidRPr="00544A36">
        <w:rPr>
          <w:rFonts w:hint="cs"/>
          <w:rtl/>
        </w:rPr>
        <w:t>ما ي</w:t>
      </w:r>
      <w:r>
        <w:rPr>
          <w:rFonts w:hint="cs"/>
          <w:rtl/>
        </w:rPr>
        <w:t>قع في صراط</w:t>
      </w:r>
      <w:r w:rsidRPr="00544A36">
        <w:rPr>
          <w:rFonts w:hint="cs"/>
          <w:rtl/>
        </w:rPr>
        <w:t xml:space="preserve"> استحضار ما يثبت ال</w:t>
      </w:r>
      <w:r>
        <w:rPr>
          <w:rFonts w:hint="cs"/>
          <w:rtl/>
        </w:rPr>
        <w:t>مظلومية التي كانت تعيشها،</w:t>
      </w:r>
      <w:r w:rsidRPr="00544A36">
        <w:rPr>
          <w:rFonts w:hint="cs"/>
          <w:rtl/>
        </w:rPr>
        <w:t xml:space="preserve"> </w:t>
      </w:r>
      <w:r>
        <w:rPr>
          <w:rFonts w:hint="cs"/>
          <w:rtl/>
        </w:rPr>
        <w:t>إ</w:t>
      </w:r>
      <w:r w:rsidRPr="00544A36">
        <w:rPr>
          <w:rFonts w:hint="cs"/>
          <w:rtl/>
        </w:rPr>
        <w:t>ن</w:t>
      </w:r>
      <w:r>
        <w:rPr>
          <w:rFonts w:hint="cs"/>
          <w:rtl/>
        </w:rPr>
        <w:t>ّ</w:t>
      </w:r>
      <w:r w:rsidRPr="00544A36">
        <w:rPr>
          <w:rFonts w:hint="cs"/>
          <w:rtl/>
        </w:rPr>
        <w:t xml:space="preserve"> للمرأة تاريخها سواء كانت رب</w:t>
      </w:r>
      <w:r>
        <w:rPr>
          <w:rFonts w:hint="cs"/>
          <w:rtl/>
        </w:rPr>
        <w:t>ّ</w:t>
      </w:r>
      <w:r w:rsidRPr="00544A36">
        <w:rPr>
          <w:rFonts w:hint="cs"/>
          <w:rtl/>
        </w:rPr>
        <w:t>ة بيت،</w:t>
      </w:r>
      <w:r>
        <w:rPr>
          <w:rFonts w:hint="cs"/>
          <w:rtl/>
        </w:rPr>
        <w:t xml:space="preserve"> أو </w:t>
      </w:r>
      <w:r w:rsidRPr="00544A36">
        <w:rPr>
          <w:rFonts w:hint="cs"/>
          <w:rtl/>
        </w:rPr>
        <w:t xml:space="preserve">كانت </w:t>
      </w:r>
      <w:r>
        <w:rPr>
          <w:rFonts w:hint="cs"/>
          <w:rtl/>
        </w:rPr>
        <w:t>عاملةً</w:t>
      </w:r>
      <w:r w:rsidRPr="00544A36">
        <w:rPr>
          <w:rFonts w:hint="cs"/>
          <w:rtl/>
        </w:rPr>
        <w:t xml:space="preserve"> في الزراعة،</w:t>
      </w:r>
      <w:r>
        <w:rPr>
          <w:rFonts w:hint="cs"/>
          <w:rtl/>
        </w:rPr>
        <w:t xml:space="preserve"> أو </w:t>
      </w:r>
      <w:r w:rsidRPr="00544A36">
        <w:rPr>
          <w:rFonts w:hint="cs"/>
          <w:rtl/>
        </w:rPr>
        <w:t>زوجة</w:t>
      </w:r>
      <w:r>
        <w:rPr>
          <w:rFonts w:hint="cs"/>
          <w:rtl/>
        </w:rPr>
        <w:t>ً</w:t>
      </w:r>
      <w:r w:rsidRPr="00544A36">
        <w:rPr>
          <w:rFonts w:hint="cs"/>
          <w:rtl/>
        </w:rPr>
        <w:t xml:space="preserve"> صالحة</w:t>
      </w:r>
      <w:r>
        <w:rPr>
          <w:rFonts w:hint="cs"/>
          <w:rtl/>
        </w:rPr>
        <w:t xml:space="preserve"> أو </w:t>
      </w:r>
      <w:r w:rsidRPr="00544A36">
        <w:rPr>
          <w:rFonts w:hint="cs"/>
          <w:rtl/>
        </w:rPr>
        <w:t>سيئة، متعل</w:t>
      </w:r>
      <w:r>
        <w:rPr>
          <w:rFonts w:hint="cs"/>
          <w:rtl/>
        </w:rPr>
        <w:t>ّ</w:t>
      </w:r>
      <w:r w:rsidRPr="00544A36">
        <w:rPr>
          <w:rFonts w:hint="cs"/>
          <w:rtl/>
        </w:rPr>
        <w:t>مة</w:t>
      </w:r>
      <w:r>
        <w:rPr>
          <w:rFonts w:hint="cs"/>
          <w:rtl/>
        </w:rPr>
        <w:t xml:space="preserve">ً أو </w:t>
      </w:r>
      <w:r w:rsidRPr="00544A36">
        <w:rPr>
          <w:rFonts w:hint="cs"/>
          <w:rtl/>
        </w:rPr>
        <w:t>جاهلة، ف</w:t>
      </w:r>
      <w:r>
        <w:rPr>
          <w:rFonts w:hint="cs"/>
          <w:rtl/>
        </w:rPr>
        <w:t>هي تحكي عن نفسها في تاريخها هذا؛ فلابدّ لنا أ</w:t>
      </w:r>
      <w:r w:rsidRPr="00544A36">
        <w:rPr>
          <w:rFonts w:hint="cs"/>
          <w:rtl/>
        </w:rPr>
        <w:t xml:space="preserve">ن ننظر في </w:t>
      </w:r>
      <w:r>
        <w:rPr>
          <w:rFonts w:hint="cs"/>
          <w:rtl/>
        </w:rPr>
        <w:t xml:space="preserve">السبب </w:t>
      </w:r>
      <w:r w:rsidRPr="00544A36">
        <w:rPr>
          <w:rFonts w:hint="cs"/>
          <w:rtl/>
        </w:rPr>
        <w:t>الذي جعل</w:t>
      </w:r>
      <w:r>
        <w:rPr>
          <w:rFonts w:hint="cs"/>
          <w:rtl/>
        </w:rPr>
        <w:t xml:space="preserve">ها </w:t>
      </w:r>
      <w:r w:rsidRPr="00544A36">
        <w:rPr>
          <w:rFonts w:hint="cs"/>
          <w:rtl/>
        </w:rPr>
        <w:t>درجة</w:t>
      </w:r>
      <w:r>
        <w:rPr>
          <w:rFonts w:hint="cs"/>
          <w:rtl/>
        </w:rPr>
        <w:t>ً ثانية في المجتمع؟</w:t>
      </w:r>
      <w:r w:rsidRPr="00544A36">
        <w:rPr>
          <w:rFonts w:hint="cs"/>
          <w:rtl/>
        </w:rPr>
        <w:t xml:space="preserve"> لماذا كان التاريخ تاريخ</w:t>
      </w:r>
      <w:r>
        <w:rPr>
          <w:rFonts w:hint="cs"/>
          <w:rtl/>
        </w:rPr>
        <w:t>َ</w:t>
      </w:r>
      <w:r w:rsidRPr="00544A36">
        <w:rPr>
          <w:rFonts w:hint="cs"/>
          <w:rtl/>
        </w:rPr>
        <w:t xml:space="preserve"> سيادة الرجل؟ لماذا لم يحكم في التاريخ النظام الذي يعتمد على سيادة </w:t>
      </w:r>
      <w:r>
        <w:rPr>
          <w:rFonts w:hint="cs"/>
          <w:rtl/>
        </w:rPr>
        <w:t xml:space="preserve">المرأة؟ هل السبب الوحيد في ذلك </w:t>
      </w:r>
      <w:r w:rsidRPr="00544A36">
        <w:rPr>
          <w:rFonts w:hint="cs"/>
          <w:rtl/>
        </w:rPr>
        <w:t>كون</w:t>
      </w:r>
      <w:r>
        <w:rPr>
          <w:rFonts w:hint="cs"/>
          <w:rtl/>
        </w:rPr>
        <w:t xml:space="preserve">ها </w:t>
      </w:r>
      <w:r w:rsidRPr="00544A36">
        <w:rPr>
          <w:rFonts w:hint="cs"/>
          <w:rtl/>
        </w:rPr>
        <w:t>موجودا</w:t>
      </w:r>
      <w:r>
        <w:rPr>
          <w:rFonts w:hint="cs"/>
          <w:rtl/>
        </w:rPr>
        <w:t>ً</w:t>
      </w:r>
      <w:r w:rsidRPr="00544A36">
        <w:rPr>
          <w:rFonts w:hint="cs"/>
          <w:rtl/>
        </w:rPr>
        <w:t xml:space="preserve"> ملائكي</w:t>
      </w:r>
      <w:r>
        <w:rPr>
          <w:rFonts w:hint="cs"/>
          <w:rtl/>
        </w:rPr>
        <w:t>ّ</w:t>
      </w:r>
      <w:r w:rsidRPr="00544A36">
        <w:rPr>
          <w:rFonts w:hint="cs"/>
          <w:rtl/>
        </w:rPr>
        <w:t>ا</w:t>
      </w:r>
      <w:r>
        <w:rPr>
          <w:rFonts w:hint="cs"/>
          <w:rtl/>
        </w:rPr>
        <w:t>ً لا تريد أ</w:t>
      </w:r>
      <w:r w:rsidRPr="00544A36">
        <w:rPr>
          <w:rFonts w:hint="cs"/>
          <w:rtl/>
        </w:rPr>
        <w:t>ن تمارس ظلما</w:t>
      </w:r>
      <w:r>
        <w:rPr>
          <w:rFonts w:hint="cs"/>
          <w:rtl/>
        </w:rPr>
        <w:t>ً</w:t>
      </w:r>
      <w:r w:rsidRPr="00544A36">
        <w:rPr>
          <w:rFonts w:hint="cs"/>
          <w:rtl/>
        </w:rPr>
        <w:t xml:space="preserve"> على الرجل؟ </w:t>
      </w:r>
      <w:r>
        <w:rPr>
          <w:rFonts w:hint="cs"/>
          <w:rtl/>
        </w:rPr>
        <w:t>فيم</w:t>
      </w:r>
      <w:r w:rsidRPr="00544A36">
        <w:rPr>
          <w:rFonts w:hint="cs"/>
          <w:rtl/>
        </w:rPr>
        <w:t xml:space="preserve">ا </w:t>
      </w:r>
      <w:r>
        <w:rPr>
          <w:rFonts w:hint="cs"/>
          <w:rtl/>
        </w:rPr>
        <w:t>ظلّ</w:t>
      </w:r>
      <w:r w:rsidRPr="00544A36">
        <w:rPr>
          <w:rFonts w:hint="cs"/>
          <w:rtl/>
        </w:rPr>
        <w:t xml:space="preserve"> الرجل </w:t>
      </w:r>
      <w:r>
        <w:rPr>
          <w:rFonts w:hint="cs"/>
          <w:rtl/>
        </w:rPr>
        <w:t>كائناً</w:t>
      </w:r>
      <w:r w:rsidRPr="00544A36">
        <w:rPr>
          <w:rFonts w:hint="cs"/>
          <w:rtl/>
        </w:rPr>
        <w:t xml:space="preserve"> وحشيا</w:t>
      </w:r>
      <w:r>
        <w:rPr>
          <w:rFonts w:hint="cs"/>
          <w:rtl/>
        </w:rPr>
        <w:t>ً</w:t>
      </w:r>
      <w:r w:rsidRPr="00544A36">
        <w:rPr>
          <w:rFonts w:hint="cs"/>
          <w:rtl/>
        </w:rPr>
        <w:t xml:space="preserve"> يمارس الظلم ولا يتور</w:t>
      </w:r>
      <w:r>
        <w:rPr>
          <w:rFonts w:hint="cs"/>
          <w:rtl/>
        </w:rPr>
        <w:t>ّ</w:t>
      </w:r>
      <w:r w:rsidRPr="00544A36">
        <w:rPr>
          <w:rFonts w:hint="cs"/>
          <w:rtl/>
        </w:rPr>
        <w:t>ع عنه؟ هل كان نظام حكومة الرجل محض صدفة</w:t>
      </w:r>
      <w:r>
        <w:rPr>
          <w:rFonts w:hint="cs"/>
          <w:rtl/>
        </w:rPr>
        <w:t>ٍ؟</w:t>
      </w:r>
    </w:p>
    <w:p w:rsidR="00BA281B" w:rsidRDefault="00BA281B" w:rsidP="00BA281B">
      <w:pPr>
        <w:pStyle w:val="ac"/>
        <w:rPr>
          <w:rtl/>
        </w:rPr>
      </w:pPr>
      <w:r>
        <w:rPr>
          <w:rFonts w:hint="cs"/>
          <w:rtl/>
        </w:rPr>
        <w:t>اسمحوا لي أن أ</w:t>
      </w:r>
      <w:r w:rsidRPr="00544A36">
        <w:rPr>
          <w:rFonts w:hint="cs"/>
          <w:rtl/>
        </w:rPr>
        <w:t>قد</w:t>
      </w:r>
      <w:r>
        <w:rPr>
          <w:rFonts w:hint="cs"/>
          <w:rtl/>
        </w:rPr>
        <w:t>ّ</w:t>
      </w:r>
      <w:r w:rsidRPr="00544A36">
        <w:rPr>
          <w:rFonts w:hint="cs"/>
          <w:rtl/>
        </w:rPr>
        <w:t>م هنا جوابا</w:t>
      </w:r>
      <w:r>
        <w:rPr>
          <w:rFonts w:hint="cs"/>
          <w:rtl/>
        </w:rPr>
        <w:t>ً</w:t>
      </w:r>
      <w:r w:rsidRPr="00544A36">
        <w:rPr>
          <w:rFonts w:hint="cs"/>
          <w:rtl/>
        </w:rPr>
        <w:t xml:space="preserve"> مختصرا</w:t>
      </w:r>
      <w:r>
        <w:rPr>
          <w:rFonts w:hint="cs"/>
          <w:rtl/>
        </w:rPr>
        <w:t>ً</w:t>
      </w:r>
      <w:r w:rsidRPr="00544A36">
        <w:rPr>
          <w:rFonts w:hint="cs"/>
          <w:rtl/>
        </w:rPr>
        <w:t xml:space="preserve"> وعميقا</w:t>
      </w:r>
      <w:r>
        <w:rPr>
          <w:rFonts w:hint="cs"/>
          <w:rtl/>
        </w:rPr>
        <w:t>ً</w:t>
      </w:r>
      <w:r w:rsidRPr="00544A36">
        <w:rPr>
          <w:rFonts w:hint="cs"/>
          <w:rtl/>
        </w:rPr>
        <w:t xml:space="preserve">، </w:t>
      </w:r>
      <w:r>
        <w:rPr>
          <w:rFonts w:hint="cs"/>
          <w:rtl/>
        </w:rPr>
        <w:t>إ</w:t>
      </w:r>
      <w:r w:rsidRPr="00544A36">
        <w:rPr>
          <w:rFonts w:hint="cs"/>
          <w:rtl/>
        </w:rPr>
        <w:t>ن</w:t>
      </w:r>
      <w:r>
        <w:rPr>
          <w:rFonts w:hint="cs"/>
          <w:rtl/>
        </w:rPr>
        <w:t>ّني أرى أ</w:t>
      </w:r>
      <w:r w:rsidRPr="00544A36">
        <w:rPr>
          <w:rFonts w:hint="cs"/>
          <w:rtl/>
        </w:rPr>
        <w:t xml:space="preserve">ن شرح </w:t>
      </w:r>
      <w:r>
        <w:rPr>
          <w:rFonts w:hint="cs"/>
          <w:rtl/>
        </w:rPr>
        <w:t>السيرورة</w:t>
      </w:r>
      <w:r w:rsidRPr="00544A36">
        <w:rPr>
          <w:rFonts w:hint="cs"/>
          <w:rtl/>
        </w:rPr>
        <w:t xml:space="preserve"> التاريخي</w:t>
      </w:r>
      <w:r>
        <w:rPr>
          <w:rFonts w:hint="cs"/>
          <w:rtl/>
        </w:rPr>
        <w:t xml:space="preserve">ّة لابد </w:t>
      </w:r>
      <w:r w:rsidRPr="00544A36">
        <w:rPr>
          <w:rFonts w:hint="cs"/>
          <w:rtl/>
        </w:rPr>
        <w:t>و</w:t>
      </w:r>
      <w:r>
        <w:rPr>
          <w:rFonts w:hint="cs"/>
          <w:rtl/>
        </w:rPr>
        <w:t>أ</w:t>
      </w:r>
      <w:r w:rsidRPr="00544A36">
        <w:rPr>
          <w:rFonts w:hint="cs"/>
          <w:rtl/>
        </w:rPr>
        <w:t>ن يتم</w:t>
      </w:r>
      <w:r>
        <w:rPr>
          <w:rFonts w:hint="cs"/>
          <w:rtl/>
        </w:rPr>
        <w:t>ّ</w:t>
      </w:r>
      <w:r w:rsidRPr="00544A36">
        <w:rPr>
          <w:rFonts w:hint="cs"/>
          <w:rtl/>
        </w:rPr>
        <w:t xml:space="preserve"> على </w:t>
      </w:r>
      <w:r>
        <w:rPr>
          <w:rFonts w:hint="cs"/>
          <w:rtl/>
        </w:rPr>
        <w:t>أساس</w:t>
      </w:r>
      <w:r w:rsidRPr="00544A36">
        <w:rPr>
          <w:rFonts w:hint="cs"/>
          <w:rtl/>
        </w:rPr>
        <w:t xml:space="preserve"> المسير العلمي والمعرفة ال</w:t>
      </w:r>
      <w:r>
        <w:rPr>
          <w:rFonts w:hint="cs"/>
          <w:rtl/>
        </w:rPr>
        <w:t>إنسانية،</w:t>
      </w:r>
      <w:r w:rsidRPr="00544A36">
        <w:rPr>
          <w:rFonts w:hint="cs"/>
          <w:rtl/>
        </w:rPr>
        <w:t xml:space="preserve"> ولتوضيح ال</w:t>
      </w:r>
      <w:r>
        <w:rPr>
          <w:rFonts w:hint="cs"/>
          <w:rtl/>
        </w:rPr>
        <w:t>أمر</w:t>
      </w:r>
      <w:r w:rsidRPr="00544A36">
        <w:rPr>
          <w:rFonts w:hint="cs"/>
          <w:rtl/>
        </w:rPr>
        <w:t xml:space="preserve"> أكثر نذكر المثال التالي</w:t>
      </w:r>
      <w:r>
        <w:rPr>
          <w:rFonts w:hint="cs"/>
          <w:rtl/>
        </w:rPr>
        <w:t>:</w:t>
      </w:r>
      <w:r w:rsidRPr="00544A36">
        <w:rPr>
          <w:rFonts w:hint="cs"/>
          <w:rtl/>
        </w:rPr>
        <w:t xml:space="preserve"> لقد كان النظام الحاك</w:t>
      </w:r>
      <w:r>
        <w:rPr>
          <w:rFonts w:hint="cs"/>
          <w:rtl/>
        </w:rPr>
        <w:t>م في العهد الزراعي هو النظام الإ</w:t>
      </w:r>
      <w:r w:rsidRPr="00544A36">
        <w:rPr>
          <w:rFonts w:hint="cs"/>
          <w:rtl/>
        </w:rPr>
        <w:t>قطاعي، وك</w:t>
      </w:r>
      <w:r>
        <w:rPr>
          <w:rFonts w:hint="cs"/>
          <w:rtl/>
        </w:rPr>
        <w:t>انت الناس تستفيد من الطبيعة، والأ</w:t>
      </w:r>
      <w:r w:rsidRPr="00544A36">
        <w:rPr>
          <w:rFonts w:hint="cs"/>
          <w:rtl/>
        </w:rPr>
        <w:t>رض</w:t>
      </w:r>
      <w:r>
        <w:rPr>
          <w:rFonts w:hint="cs"/>
          <w:rtl/>
        </w:rPr>
        <w:t>،</w:t>
      </w:r>
      <w:r w:rsidRPr="00544A36">
        <w:rPr>
          <w:rFonts w:hint="cs"/>
          <w:rtl/>
        </w:rPr>
        <w:t xml:space="preserve"> والعشب</w:t>
      </w:r>
      <w:r>
        <w:rPr>
          <w:rFonts w:hint="cs"/>
          <w:rtl/>
        </w:rPr>
        <w:t>،</w:t>
      </w:r>
      <w:r w:rsidRPr="00544A36">
        <w:rPr>
          <w:rFonts w:hint="cs"/>
          <w:rtl/>
        </w:rPr>
        <w:t xml:space="preserve"> والبذر</w:t>
      </w:r>
      <w:r>
        <w:rPr>
          <w:rFonts w:hint="cs"/>
          <w:rtl/>
        </w:rPr>
        <w:t>،</w:t>
      </w:r>
      <w:r w:rsidRPr="00544A36">
        <w:rPr>
          <w:rFonts w:hint="cs"/>
          <w:rtl/>
        </w:rPr>
        <w:t xml:space="preserve"> والماء</w:t>
      </w:r>
      <w:r>
        <w:rPr>
          <w:rFonts w:hint="cs"/>
          <w:rtl/>
        </w:rPr>
        <w:t>، وأ</w:t>
      </w:r>
      <w:r w:rsidRPr="00544A36">
        <w:rPr>
          <w:rFonts w:hint="cs"/>
          <w:rtl/>
        </w:rPr>
        <w:t xml:space="preserve">مثال ذلك بمقدار ما </w:t>
      </w:r>
      <w:r>
        <w:rPr>
          <w:rFonts w:hint="cs"/>
          <w:rtl/>
        </w:rPr>
        <w:t>ي</w:t>
      </w:r>
      <w:r w:rsidRPr="00544A36">
        <w:rPr>
          <w:rFonts w:hint="cs"/>
          <w:rtl/>
        </w:rPr>
        <w:t xml:space="preserve">سمح به </w:t>
      </w:r>
      <w:r>
        <w:rPr>
          <w:rFonts w:hint="cs"/>
          <w:rtl/>
        </w:rPr>
        <w:t>ال</w:t>
      </w:r>
      <w:r w:rsidRPr="00544A36">
        <w:rPr>
          <w:rFonts w:hint="cs"/>
          <w:rtl/>
        </w:rPr>
        <w:t>علم و</w:t>
      </w:r>
      <w:r>
        <w:rPr>
          <w:rFonts w:hint="cs"/>
          <w:rtl/>
        </w:rPr>
        <w:t>المعرفة،</w:t>
      </w:r>
      <w:r w:rsidRPr="00544A36">
        <w:rPr>
          <w:rFonts w:hint="cs"/>
          <w:rtl/>
        </w:rPr>
        <w:t xml:space="preserve"> ومع تطو</w:t>
      </w:r>
      <w:r>
        <w:rPr>
          <w:rFonts w:hint="cs"/>
          <w:rtl/>
        </w:rPr>
        <w:t>ّ</w:t>
      </w:r>
      <w:r w:rsidRPr="00544A36">
        <w:rPr>
          <w:rFonts w:hint="cs"/>
          <w:rtl/>
        </w:rPr>
        <w:t>ر العلم تحوّل ال</w:t>
      </w:r>
      <w:r>
        <w:rPr>
          <w:rFonts w:hint="cs"/>
          <w:rtl/>
        </w:rPr>
        <w:t>إنسان</w:t>
      </w:r>
      <w:r w:rsidRPr="00544A36">
        <w:rPr>
          <w:rFonts w:hint="cs"/>
          <w:rtl/>
        </w:rPr>
        <w:t xml:space="preserve"> من الزراعة</w:t>
      </w:r>
      <w:r>
        <w:rPr>
          <w:rFonts w:hint="cs"/>
          <w:rtl/>
        </w:rPr>
        <w:t xml:space="preserve"> إلى الصناعة، أي أ</w:t>
      </w:r>
      <w:r w:rsidRPr="00544A36">
        <w:rPr>
          <w:rFonts w:hint="cs"/>
          <w:rtl/>
        </w:rPr>
        <w:t>ن</w:t>
      </w:r>
      <w:r>
        <w:rPr>
          <w:rFonts w:hint="cs"/>
          <w:rtl/>
        </w:rPr>
        <w:t>ّ</w:t>
      </w:r>
      <w:r w:rsidRPr="00544A36">
        <w:rPr>
          <w:rFonts w:hint="cs"/>
          <w:rtl/>
        </w:rPr>
        <w:t xml:space="preserve"> تحوّل المعرفة ال</w:t>
      </w:r>
      <w:r>
        <w:rPr>
          <w:rFonts w:hint="cs"/>
          <w:rtl/>
        </w:rPr>
        <w:t>إنسان</w:t>
      </w:r>
      <w:r w:rsidRPr="00544A36">
        <w:rPr>
          <w:rFonts w:hint="cs"/>
          <w:rtl/>
        </w:rPr>
        <w:t>ية أوجب تحولا</w:t>
      </w:r>
      <w:r>
        <w:rPr>
          <w:rFonts w:hint="cs"/>
          <w:rtl/>
        </w:rPr>
        <w:t>ً</w:t>
      </w:r>
      <w:r w:rsidRPr="00544A36">
        <w:rPr>
          <w:rFonts w:hint="cs"/>
          <w:rtl/>
        </w:rPr>
        <w:t xml:space="preserve"> في معيشة ال</w:t>
      </w:r>
      <w:r>
        <w:rPr>
          <w:rFonts w:hint="cs"/>
          <w:rtl/>
        </w:rPr>
        <w:t>إنسان نفسه، ف</w:t>
      </w:r>
      <w:r w:rsidRPr="00544A36">
        <w:rPr>
          <w:rFonts w:hint="cs"/>
          <w:rtl/>
        </w:rPr>
        <w:t>لطريقة العيش ارتباطا</w:t>
      </w:r>
      <w:r>
        <w:rPr>
          <w:rFonts w:hint="cs"/>
          <w:rtl/>
        </w:rPr>
        <w:t>ً</w:t>
      </w:r>
      <w:r w:rsidRPr="00544A36">
        <w:rPr>
          <w:rFonts w:hint="cs"/>
          <w:rtl/>
        </w:rPr>
        <w:t xml:space="preserve"> وثيقا</w:t>
      </w:r>
      <w:r>
        <w:rPr>
          <w:rFonts w:hint="cs"/>
          <w:rtl/>
        </w:rPr>
        <w:t>ً</w:t>
      </w:r>
      <w:r w:rsidRPr="00544A36">
        <w:rPr>
          <w:rFonts w:hint="cs"/>
          <w:rtl/>
        </w:rPr>
        <w:t xml:space="preserve"> بمستوى المعرفة </w:t>
      </w:r>
      <w:r>
        <w:rPr>
          <w:rFonts w:hint="cs"/>
          <w:rtl/>
        </w:rPr>
        <w:t>البشريّة</w:t>
      </w:r>
      <w:r w:rsidRPr="00544A36">
        <w:rPr>
          <w:rFonts w:hint="cs"/>
          <w:rtl/>
        </w:rPr>
        <w:t>، ب</w:t>
      </w:r>
      <w:r>
        <w:rPr>
          <w:rFonts w:hint="cs"/>
          <w:rtl/>
        </w:rPr>
        <w:t>حيث إ</w:t>
      </w:r>
      <w:r w:rsidRPr="00544A36">
        <w:rPr>
          <w:rFonts w:hint="cs"/>
          <w:rtl/>
        </w:rPr>
        <w:t>ذا تبد</w:t>
      </w:r>
      <w:r>
        <w:rPr>
          <w:rFonts w:hint="cs"/>
          <w:rtl/>
        </w:rPr>
        <w:t>ّ</w:t>
      </w:r>
      <w:r w:rsidRPr="00544A36">
        <w:rPr>
          <w:rFonts w:hint="cs"/>
          <w:rtl/>
        </w:rPr>
        <w:t>لت إحداها تتبد</w:t>
      </w:r>
      <w:r>
        <w:rPr>
          <w:rFonts w:hint="cs"/>
          <w:rtl/>
        </w:rPr>
        <w:t>ّ</w:t>
      </w:r>
      <w:r w:rsidRPr="00544A36">
        <w:rPr>
          <w:rFonts w:hint="cs"/>
          <w:rtl/>
        </w:rPr>
        <w:t xml:space="preserve">ل </w:t>
      </w:r>
      <w:r w:rsidRPr="00544A36">
        <w:rPr>
          <w:rFonts w:hint="cs"/>
          <w:rtl/>
        </w:rPr>
        <w:lastRenderedPageBreak/>
        <w:t>ال</w:t>
      </w:r>
      <w:r>
        <w:rPr>
          <w:rFonts w:hint="cs"/>
          <w:rtl/>
        </w:rPr>
        <w:t>أخرى</w:t>
      </w:r>
      <w:r w:rsidRPr="00544A36">
        <w:rPr>
          <w:rFonts w:hint="cs"/>
          <w:rtl/>
        </w:rPr>
        <w:t>، والعلاقات ال</w:t>
      </w:r>
      <w:r>
        <w:rPr>
          <w:rFonts w:hint="cs"/>
          <w:rtl/>
        </w:rPr>
        <w:t>إنسان</w:t>
      </w:r>
      <w:r w:rsidRPr="00544A36">
        <w:rPr>
          <w:rFonts w:hint="cs"/>
          <w:rtl/>
        </w:rPr>
        <w:t>ية تابعة لهذا النظام.</w:t>
      </w:r>
    </w:p>
    <w:p w:rsidR="00BA281B" w:rsidRDefault="00BA281B" w:rsidP="00BA281B">
      <w:pPr>
        <w:pStyle w:val="ac"/>
        <w:rPr>
          <w:rtl/>
        </w:rPr>
      </w:pPr>
      <w:r w:rsidRPr="00544A36">
        <w:rPr>
          <w:rFonts w:hint="cs"/>
          <w:rtl/>
        </w:rPr>
        <w:t>وتبعا</w:t>
      </w:r>
      <w:r>
        <w:rPr>
          <w:rFonts w:hint="cs"/>
          <w:rtl/>
        </w:rPr>
        <w:t>ً</w:t>
      </w:r>
      <w:r w:rsidRPr="00544A36">
        <w:rPr>
          <w:rFonts w:hint="cs"/>
          <w:rtl/>
        </w:rPr>
        <w:t xml:space="preserve"> لذلك</w:t>
      </w:r>
      <w:r>
        <w:rPr>
          <w:rFonts w:hint="cs"/>
          <w:rtl/>
        </w:rPr>
        <w:t>، نستنتج أ</w:t>
      </w:r>
      <w:r w:rsidRPr="00544A36">
        <w:rPr>
          <w:rFonts w:hint="cs"/>
          <w:rtl/>
        </w:rPr>
        <w:t>ن</w:t>
      </w:r>
      <w:r>
        <w:rPr>
          <w:rFonts w:hint="cs"/>
          <w:rtl/>
        </w:rPr>
        <w:t>ّ ال</w:t>
      </w:r>
      <w:r w:rsidRPr="00544A36">
        <w:rPr>
          <w:rFonts w:hint="cs"/>
          <w:rtl/>
        </w:rPr>
        <w:t>صور</w:t>
      </w:r>
      <w:r>
        <w:rPr>
          <w:rFonts w:hint="cs"/>
          <w:rtl/>
        </w:rPr>
        <w:t>ة</w:t>
      </w:r>
      <w:r w:rsidRPr="00544A36">
        <w:rPr>
          <w:rFonts w:hint="cs"/>
          <w:rtl/>
        </w:rPr>
        <w:t xml:space="preserve"> الموجود لدى</w:t>
      </w:r>
      <w:r>
        <w:rPr>
          <w:rFonts w:hint="cs"/>
          <w:rtl/>
        </w:rPr>
        <w:t xml:space="preserve"> المرأة </w:t>
      </w:r>
      <w:r w:rsidRPr="00544A36">
        <w:rPr>
          <w:rFonts w:hint="cs"/>
          <w:rtl/>
        </w:rPr>
        <w:t>عن نفسها وتصو</w:t>
      </w:r>
      <w:r>
        <w:rPr>
          <w:rFonts w:hint="cs"/>
          <w:rtl/>
        </w:rPr>
        <w:t>ّ</w:t>
      </w:r>
      <w:r w:rsidRPr="00544A36">
        <w:rPr>
          <w:rFonts w:hint="cs"/>
          <w:rtl/>
        </w:rPr>
        <w:t>ر الرجل لها وتصو</w:t>
      </w:r>
      <w:r>
        <w:rPr>
          <w:rFonts w:hint="cs"/>
          <w:rtl/>
        </w:rPr>
        <w:t>ّ</w:t>
      </w:r>
      <w:r w:rsidRPr="00544A36">
        <w:rPr>
          <w:rFonts w:hint="cs"/>
          <w:rtl/>
        </w:rPr>
        <w:t xml:space="preserve">رها </w:t>
      </w:r>
      <w:r>
        <w:rPr>
          <w:rFonts w:hint="cs"/>
          <w:rtl/>
        </w:rPr>
        <w:t>له،</w:t>
      </w:r>
      <w:r w:rsidRPr="00544A36">
        <w:rPr>
          <w:rFonts w:hint="cs"/>
          <w:rtl/>
        </w:rPr>
        <w:t xml:space="preserve"> كان</w:t>
      </w:r>
      <w:r>
        <w:rPr>
          <w:rFonts w:hint="cs"/>
          <w:rtl/>
        </w:rPr>
        <w:t>ت</w:t>
      </w:r>
      <w:r w:rsidRPr="00544A36">
        <w:rPr>
          <w:rFonts w:hint="cs"/>
          <w:rtl/>
        </w:rPr>
        <w:t xml:space="preserve"> من العوامل التي </w:t>
      </w:r>
      <w:r>
        <w:rPr>
          <w:rFonts w:hint="cs"/>
          <w:rtl/>
        </w:rPr>
        <w:t>استتبّ في ضوئها حكم الرجل، لا أريد ال</w:t>
      </w:r>
      <w:r w:rsidRPr="00544A36">
        <w:rPr>
          <w:rFonts w:hint="cs"/>
          <w:rtl/>
        </w:rPr>
        <w:t>قول</w:t>
      </w:r>
      <w:r>
        <w:rPr>
          <w:rFonts w:hint="cs"/>
          <w:rtl/>
        </w:rPr>
        <w:t>:</w:t>
      </w:r>
      <w:r w:rsidRPr="00544A36">
        <w:rPr>
          <w:rFonts w:hint="cs"/>
          <w:rtl/>
        </w:rPr>
        <w:t xml:space="preserve"> </w:t>
      </w:r>
      <w:r>
        <w:rPr>
          <w:rFonts w:hint="cs"/>
          <w:rtl/>
        </w:rPr>
        <w:t>إ</w:t>
      </w:r>
      <w:r w:rsidRPr="00544A36">
        <w:rPr>
          <w:rFonts w:hint="cs"/>
          <w:rtl/>
        </w:rPr>
        <w:t>ن</w:t>
      </w:r>
      <w:r>
        <w:rPr>
          <w:rFonts w:hint="cs"/>
          <w:rtl/>
        </w:rPr>
        <w:t xml:space="preserve">ّ المرأة </w:t>
      </w:r>
      <w:r w:rsidRPr="00544A36">
        <w:rPr>
          <w:rFonts w:hint="cs"/>
          <w:rtl/>
        </w:rPr>
        <w:t>قد ظ</w:t>
      </w:r>
      <w:r>
        <w:rPr>
          <w:rFonts w:hint="cs"/>
          <w:rtl/>
        </w:rPr>
        <w:t>ُ</w:t>
      </w:r>
      <w:r w:rsidRPr="00544A36">
        <w:rPr>
          <w:rFonts w:hint="cs"/>
          <w:rtl/>
        </w:rPr>
        <w:t>لمت</w:t>
      </w:r>
      <w:r>
        <w:rPr>
          <w:rFonts w:hint="cs"/>
          <w:rtl/>
        </w:rPr>
        <w:t xml:space="preserve"> أو </w:t>
      </w:r>
      <w:r w:rsidRPr="00544A36">
        <w:rPr>
          <w:rFonts w:hint="cs"/>
          <w:rtl/>
        </w:rPr>
        <w:t>لم تظلم</w:t>
      </w:r>
      <w:r>
        <w:rPr>
          <w:rFonts w:hint="cs"/>
          <w:rtl/>
        </w:rPr>
        <w:t>،</w:t>
      </w:r>
      <w:r w:rsidRPr="00544A36">
        <w:rPr>
          <w:rFonts w:hint="cs"/>
          <w:rtl/>
        </w:rPr>
        <w:t xml:space="preserve"> بل ما أ</w:t>
      </w:r>
      <w:r>
        <w:rPr>
          <w:rFonts w:hint="cs"/>
          <w:rtl/>
        </w:rPr>
        <w:t>هدفه هو أ</w:t>
      </w:r>
      <w:r w:rsidRPr="00544A36">
        <w:rPr>
          <w:rFonts w:hint="cs"/>
          <w:rtl/>
        </w:rPr>
        <w:t>ن</w:t>
      </w:r>
      <w:r>
        <w:rPr>
          <w:rFonts w:hint="cs"/>
          <w:rtl/>
        </w:rPr>
        <w:t>ّ</w:t>
      </w:r>
      <w:r w:rsidRPr="00544A36">
        <w:rPr>
          <w:rFonts w:hint="cs"/>
          <w:rtl/>
        </w:rPr>
        <w:t xml:space="preserve"> مجر</w:t>
      </w:r>
      <w:r>
        <w:rPr>
          <w:rFonts w:hint="cs"/>
          <w:rtl/>
        </w:rPr>
        <w:t>ّ</w:t>
      </w:r>
      <w:r w:rsidRPr="00544A36">
        <w:rPr>
          <w:rFonts w:hint="cs"/>
          <w:rtl/>
        </w:rPr>
        <w:t xml:space="preserve">د بيان </w:t>
      </w:r>
      <w:r>
        <w:rPr>
          <w:rFonts w:hint="cs"/>
          <w:rtl/>
        </w:rPr>
        <w:t xml:space="preserve">ظلم </w:t>
      </w:r>
      <w:r w:rsidRPr="00544A36">
        <w:rPr>
          <w:rFonts w:hint="cs"/>
          <w:rtl/>
        </w:rPr>
        <w:t xml:space="preserve">هذا النظام لا يكفي، بل </w:t>
      </w:r>
      <w:r>
        <w:rPr>
          <w:rFonts w:hint="cs"/>
          <w:rtl/>
        </w:rPr>
        <w:t>مفتاح المسألة إنما يكون بالبحث عن أ</w:t>
      </w:r>
      <w:r w:rsidRPr="00544A36">
        <w:rPr>
          <w:rFonts w:hint="cs"/>
          <w:rtl/>
        </w:rPr>
        <w:t>ن</w:t>
      </w:r>
      <w:r>
        <w:rPr>
          <w:rFonts w:hint="cs"/>
          <w:rtl/>
        </w:rPr>
        <w:t>ّ</w:t>
      </w:r>
      <w:r w:rsidRPr="00544A36">
        <w:rPr>
          <w:rFonts w:hint="cs"/>
          <w:rtl/>
        </w:rPr>
        <w:t>ه لما</w:t>
      </w:r>
      <w:r>
        <w:rPr>
          <w:rFonts w:hint="cs"/>
          <w:rtl/>
        </w:rPr>
        <w:t>ذا</w:t>
      </w:r>
      <w:r w:rsidRPr="00544A36">
        <w:rPr>
          <w:rFonts w:hint="cs"/>
          <w:rtl/>
        </w:rPr>
        <w:t xml:space="preserve"> حصل هذا</w:t>
      </w:r>
      <w:r>
        <w:rPr>
          <w:rFonts w:hint="cs"/>
          <w:rtl/>
        </w:rPr>
        <w:t>؟</w:t>
      </w:r>
      <w:r w:rsidRPr="00544A36">
        <w:rPr>
          <w:rFonts w:hint="cs"/>
          <w:rtl/>
        </w:rPr>
        <w:t xml:space="preserve"> أي </w:t>
      </w:r>
      <w:r>
        <w:rPr>
          <w:rFonts w:hint="cs"/>
          <w:rtl/>
        </w:rPr>
        <w:t>البحث عن الأ</w:t>
      </w:r>
      <w:r w:rsidRPr="00544A36">
        <w:rPr>
          <w:rFonts w:hint="cs"/>
          <w:rtl/>
        </w:rPr>
        <w:t>سباب ال</w:t>
      </w:r>
      <w:r>
        <w:rPr>
          <w:rFonts w:hint="cs"/>
          <w:rtl/>
        </w:rPr>
        <w:t>حقيقيّة</w:t>
      </w:r>
      <w:r w:rsidRPr="00544A36">
        <w:rPr>
          <w:rFonts w:hint="cs"/>
          <w:rtl/>
        </w:rPr>
        <w:t xml:space="preserve">، </w:t>
      </w:r>
      <w:r>
        <w:rPr>
          <w:rFonts w:hint="cs"/>
          <w:rtl/>
        </w:rPr>
        <w:t>فلم يكن هذا التصوّر مختصّاً</w:t>
      </w:r>
      <w:r w:rsidRPr="00544A36">
        <w:rPr>
          <w:rFonts w:hint="cs"/>
          <w:rtl/>
        </w:rPr>
        <w:t xml:space="preserve"> </w:t>
      </w:r>
      <w:r>
        <w:rPr>
          <w:rFonts w:hint="cs"/>
          <w:rtl/>
        </w:rPr>
        <w:t>ب</w:t>
      </w:r>
      <w:r w:rsidRPr="00544A36">
        <w:rPr>
          <w:rFonts w:hint="cs"/>
          <w:rtl/>
        </w:rPr>
        <w:t>الرجل وحده</w:t>
      </w:r>
      <w:r>
        <w:rPr>
          <w:rFonts w:hint="cs"/>
          <w:rtl/>
        </w:rPr>
        <w:t>، فحتى لو فرضناه تصوّراً خاطئاً لكنّه كان موجوداً في وعي المرأة أيضاً</w:t>
      </w:r>
      <w:r w:rsidRPr="00544A36">
        <w:rPr>
          <w:rFonts w:hint="cs"/>
          <w:rtl/>
        </w:rPr>
        <w:t xml:space="preserve">، </w:t>
      </w:r>
      <w:r>
        <w:rPr>
          <w:rFonts w:hint="cs"/>
          <w:rtl/>
        </w:rPr>
        <w:t>إ</w:t>
      </w:r>
      <w:r w:rsidRPr="00544A36">
        <w:rPr>
          <w:rFonts w:hint="cs"/>
          <w:rtl/>
        </w:rPr>
        <w:t>ن</w:t>
      </w:r>
      <w:r>
        <w:rPr>
          <w:rFonts w:hint="cs"/>
          <w:rtl/>
        </w:rPr>
        <w:t>ّ</w:t>
      </w:r>
      <w:r w:rsidRPr="00544A36">
        <w:rPr>
          <w:rFonts w:hint="cs"/>
          <w:rtl/>
        </w:rPr>
        <w:t xml:space="preserve"> تصو</w:t>
      </w:r>
      <w:r>
        <w:rPr>
          <w:rFonts w:hint="cs"/>
          <w:rtl/>
        </w:rPr>
        <w:t>ّ</w:t>
      </w:r>
      <w:r w:rsidRPr="00544A36">
        <w:rPr>
          <w:rFonts w:hint="cs"/>
          <w:rtl/>
        </w:rPr>
        <w:t>رها لنفسها كان كتصو</w:t>
      </w:r>
      <w:r>
        <w:rPr>
          <w:rFonts w:hint="cs"/>
          <w:rtl/>
        </w:rPr>
        <w:t>ّر الرجل لها، أي إ</w:t>
      </w:r>
      <w:r w:rsidRPr="00544A36">
        <w:rPr>
          <w:rFonts w:hint="cs"/>
          <w:rtl/>
        </w:rPr>
        <w:t>ن الذي صنع تاريخ</w:t>
      </w:r>
      <w:r>
        <w:rPr>
          <w:rFonts w:hint="cs"/>
          <w:rtl/>
        </w:rPr>
        <w:t xml:space="preserve">ها </w:t>
      </w:r>
      <w:r w:rsidRPr="00544A36">
        <w:rPr>
          <w:rFonts w:hint="cs"/>
          <w:rtl/>
        </w:rPr>
        <w:t>هذا</w:t>
      </w:r>
      <w:r>
        <w:rPr>
          <w:rFonts w:hint="cs"/>
          <w:rtl/>
        </w:rPr>
        <w:t xml:space="preserve"> هو طريقة تعامل أربعة أطراف معها: أ ـ </w:t>
      </w:r>
      <w:r w:rsidRPr="00544A36">
        <w:rPr>
          <w:rFonts w:hint="cs"/>
          <w:rtl/>
        </w:rPr>
        <w:t>تصو</w:t>
      </w:r>
      <w:r>
        <w:rPr>
          <w:rFonts w:hint="cs"/>
          <w:rtl/>
        </w:rPr>
        <w:t>ّ</w:t>
      </w:r>
      <w:r w:rsidRPr="00544A36">
        <w:rPr>
          <w:rFonts w:hint="cs"/>
          <w:rtl/>
        </w:rPr>
        <w:t>ر</w:t>
      </w:r>
      <w:r>
        <w:rPr>
          <w:rFonts w:hint="cs"/>
          <w:rtl/>
        </w:rPr>
        <w:t>ها لنفسها.</w:t>
      </w:r>
      <w:r w:rsidRPr="00544A36">
        <w:rPr>
          <w:rFonts w:hint="cs"/>
          <w:rtl/>
        </w:rPr>
        <w:t xml:space="preserve"> </w:t>
      </w:r>
      <w:r>
        <w:rPr>
          <w:rFonts w:hint="cs"/>
          <w:rtl/>
        </w:rPr>
        <w:t xml:space="preserve">ب ـ </w:t>
      </w:r>
      <w:r w:rsidRPr="00544A36">
        <w:rPr>
          <w:rFonts w:hint="cs"/>
          <w:rtl/>
        </w:rPr>
        <w:t>تصو</w:t>
      </w:r>
      <w:r>
        <w:rPr>
          <w:rFonts w:hint="cs"/>
          <w:rtl/>
        </w:rPr>
        <w:t>ّ</w:t>
      </w:r>
      <w:r w:rsidRPr="00544A36">
        <w:rPr>
          <w:rFonts w:hint="cs"/>
          <w:rtl/>
        </w:rPr>
        <w:t>ر</w:t>
      </w:r>
      <w:r>
        <w:rPr>
          <w:rFonts w:hint="cs"/>
          <w:rtl/>
        </w:rPr>
        <w:t>ها</w:t>
      </w:r>
      <w:r w:rsidRPr="00544A36">
        <w:rPr>
          <w:rFonts w:hint="cs"/>
          <w:rtl/>
        </w:rPr>
        <w:t xml:space="preserve"> </w:t>
      </w:r>
      <w:r>
        <w:rPr>
          <w:rFonts w:hint="cs"/>
          <w:rtl/>
        </w:rPr>
        <w:t>للرجل.</w:t>
      </w:r>
      <w:r w:rsidRPr="00544A36">
        <w:rPr>
          <w:rFonts w:hint="cs"/>
          <w:rtl/>
        </w:rPr>
        <w:t xml:space="preserve"> </w:t>
      </w:r>
      <w:r>
        <w:rPr>
          <w:rFonts w:hint="cs"/>
          <w:rtl/>
        </w:rPr>
        <w:t xml:space="preserve">ج ـ </w:t>
      </w:r>
      <w:r w:rsidRPr="00544A36">
        <w:rPr>
          <w:rFonts w:hint="cs"/>
          <w:rtl/>
        </w:rPr>
        <w:t xml:space="preserve">تصور الرجل </w:t>
      </w:r>
      <w:r>
        <w:rPr>
          <w:rFonts w:hint="cs"/>
          <w:rtl/>
        </w:rPr>
        <w:t>لها.</w:t>
      </w:r>
      <w:r w:rsidRPr="00544A36">
        <w:rPr>
          <w:rFonts w:hint="cs"/>
          <w:rtl/>
        </w:rPr>
        <w:t xml:space="preserve"> </w:t>
      </w:r>
      <w:r>
        <w:rPr>
          <w:rFonts w:hint="cs"/>
          <w:rtl/>
        </w:rPr>
        <w:t xml:space="preserve">د ـ </w:t>
      </w:r>
      <w:r w:rsidRPr="00544A36">
        <w:rPr>
          <w:rFonts w:hint="cs"/>
          <w:rtl/>
        </w:rPr>
        <w:t xml:space="preserve">تصور الرجل </w:t>
      </w:r>
      <w:r>
        <w:rPr>
          <w:rFonts w:hint="cs"/>
          <w:rtl/>
        </w:rPr>
        <w:t>نفسه.</w:t>
      </w:r>
    </w:p>
    <w:p w:rsidR="00BA281B" w:rsidRDefault="00BA281B" w:rsidP="00BA281B">
      <w:pPr>
        <w:pStyle w:val="ac"/>
        <w:rPr>
          <w:rtl/>
        </w:rPr>
      </w:pPr>
      <w:r>
        <w:rPr>
          <w:rFonts w:hint="cs"/>
          <w:rtl/>
        </w:rPr>
        <w:t>هذه الأطراف الأ</w:t>
      </w:r>
      <w:r w:rsidRPr="00544A36">
        <w:rPr>
          <w:rFonts w:hint="cs"/>
          <w:rtl/>
        </w:rPr>
        <w:t>ربعة أوجدت في الجو</w:t>
      </w:r>
      <w:r>
        <w:rPr>
          <w:rFonts w:hint="cs"/>
          <w:rtl/>
        </w:rPr>
        <w:t>ّ التاريخي العام نظام</w:t>
      </w:r>
      <w:r w:rsidRPr="00544A36">
        <w:rPr>
          <w:rFonts w:hint="cs"/>
          <w:rtl/>
        </w:rPr>
        <w:t xml:space="preserve"> سلطة الرجل، وفي هذا النظام مورس الظلم </w:t>
      </w:r>
      <w:r>
        <w:rPr>
          <w:rFonts w:hint="cs"/>
          <w:rtl/>
        </w:rPr>
        <w:t>على المرأة،</w:t>
      </w:r>
      <w:r w:rsidRPr="00544A36">
        <w:rPr>
          <w:rFonts w:hint="cs"/>
          <w:rtl/>
        </w:rPr>
        <w:t xml:space="preserve"> نعم</w:t>
      </w:r>
      <w:r>
        <w:rPr>
          <w:rFonts w:hint="cs"/>
          <w:rtl/>
        </w:rPr>
        <w:t>،</w:t>
      </w:r>
      <w:r w:rsidRPr="00544A36">
        <w:rPr>
          <w:rFonts w:hint="cs"/>
          <w:rtl/>
        </w:rPr>
        <w:t xml:space="preserve"> قد لا يصح </w:t>
      </w:r>
      <w:r>
        <w:rPr>
          <w:rFonts w:hint="cs"/>
          <w:rtl/>
        </w:rPr>
        <w:t xml:space="preserve">ـ </w:t>
      </w:r>
      <w:r w:rsidRPr="00544A36">
        <w:rPr>
          <w:rFonts w:hint="cs"/>
          <w:rtl/>
        </w:rPr>
        <w:t>بناء</w:t>
      </w:r>
      <w:r>
        <w:rPr>
          <w:rFonts w:hint="cs"/>
          <w:rtl/>
        </w:rPr>
        <w:t>ً</w:t>
      </w:r>
      <w:r w:rsidRPr="00544A36">
        <w:rPr>
          <w:rFonts w:hint="cs"/>
          <w:rtl/>
        </w:rPr>
        <w:t xml:space="preserve"> على </w:t>
      </w:r>
      <w:r>
        <w:rPr>
          <w:rFonts w:hint="cs"/>
          <w:rtl/>
        </w:rPr>
        <w:t xml:space="preserve">هذا </w:t>
      </w:r>
      <w:r w:rsidRPr="00544A36">
        <w:rPr>
          <w:rFonts w:hint="cs"/>
          <w:rtl/>
        </w:rPr>
        <w:t xml:space="preserve">التحليل </w:t>
      </w:r>
      <w:r>
        <w:rPr>
          <w:rFonts w:hint="cs"/>
          <w:rtl/>
        </w:rPr>
        <w:t>ـ ت</w:t>
      </w:r>
      <w:r w:rsidRPr="00544A36">
        <w:rPr>
          <w:rFonts w:hint="cs"/>
          <w:rtl/>
        </w:rPr>
        <w:t>سم</w:t>
      </w:r>
      <w:r>
        <w:rPr>
          <w:rFonts w:hint="cs"/>
          <w:rtl/>
        </w:rPr>
        <w:t>ية</w:t>
      </w:r>
      <w:r w:rsidRPr="00544A36">
        <w:rPr>
          <w:rFonts w:hint="cs"/>
          <w:rtl/>
        </w:rPr>
        <w:t xml:space="preserve"> ذلك ظلما</w:t>
      </w:r>
      <w:r>
        <w:rPr>
          <w:rFonts w:hint="cs"/>
          <w:rtl/>
        </w:rPr>
        <w:t>ً، فإ</w:t>
      </w:r>
      <w:r w:rsidRPr="00544A36">
        <w:rPr>
          <w:rFonts w:hint="cs"/>
          <w:rtl/>
        </w:rPr>
        <w:t xml:space="preserve">ذا حصل </w:t>
      </w:r>
      <w:r>
        <w:rPr>
          <w:rFonts w:hint="cs"/>
          <w:rtl/>
        </w:rPr>
        <w:t>أمرٌ ما نتيجة تحقّق أ</w:t>
      </w:r>
      <w:r w:rsidRPr="00544A36">
        <w:rPr>
          <w:rFonts w:hint="cs"/>
          <w:rtl/>
        </w:rPr>
        <w:t xml:space="preserve">سبابه </w:t>
      </w:r>
      <w:r>
        <w:rPr>
          <w:rFonts w:hint="cs"/>
          <w:rtl/>
        </w:rPr>
        <w:t>ف</w:t>
      </w:r>
      <w:r w:rsidRPr="00544A36">
        <w:rPr>
          <w:rFonts w:hint="cs"/>
          <w:rtl/>
        </w:rPr>
        <w:t>لا يقال له</w:t>
      </w:r>
      <w:r>
        <w:rPr>
          <w:rFonts w:hint="cs"/>
          <w:rtl/>
        </w:rPr>
        <w:t>: ظلم، واليوم إذا أ</w:t>
      </w:r>
      <w:r w:rsidRPr="00544A36">
        <w:rPr>
          <w:rFonts w:hint="cs"/>
          <w:rtl/>
        </w:rPr>
        <w:t xml:space="preserve">ردنا </w:t>
      </w:r>
      <w:r>
        <w:rPr>
          <w:rFonts w:hint="cs"/>
          <w:rtl/>
        </w:rPr>
        <w:t>القيام</w:t>
      </w:r>
      <w:r w:rsidRPr="00544A36">
        <w:rPr>
          <w:rFonts w:hint="cs"/>
          <w:rtl/>
        </w:rPr>
        <w:t xml:space="preserve"> بعملية تغيير في العلاقة القائمة بين الرجل والمرأة،</w:t>
      </w:r>
      <w:r>
        <w:rPr>
          <w:rFonts w:hint="cs"/>
          <w:rtl/>
        </w:rPr>
        <w:t xml:space="preserve"> فلابد لنا أن نقوم بتغيير هذه الأطراف الأربعة.</w:t>
      </w:r>
    </w:p>
    <w:p w:rsidR="00BA281B" w:rsidRDefault="00BA281B" w:rsidP="00C916BC">
      <w:pPr>
        <w:pStyle w:val="afffffc"/>
        <w:rPr>
          <w:rtl/>
        </w:rPr>
      </w:pPr>
    </w:p>
    <w:p w:rsidR="00BA281B" w:rsidRPr="00544A36" w:rsidRDefault="00BA281B" w:rsidP="00BA281B">
      <w:pPr>
        <w:pStyle w:val="1"/>
        <w:rPr>
          <w:rFonts w:cs="AL-Mohanad"/>
          <w:szCs w:val="27"/>
          <w:rtl/>
        </w:rPr>
      </w:pPr>
      <w:bookmarkStart w:id="42" w:name="_Toc169521347"/>
      <w:bookmarkStart w:id="43" w:name="_Toc275127873"/>
      <w:r w:rsidRPr="00D457EB">
        <w:rPr>
          <w:rFonts w:hint="cs"/>
          <w:rtl/>
        </w:rPr>
        <w:t>مسألة المرأة والاختل</w:t>
      </w:r>
      <w:r>
        <w:rPr>
          <w:rFonts w:hint="cs"/>
          <w:rtl/>
        </w:rPr>
        <w:t>افات النفسية والبيولوجية</w:t>
      </w:r>
      <w:bookmarkEnd w:id="42"/>
      <w:bookmarkEnd w:id="43"/>
    </w:p>
    <w:p w:rsidR="00BA281B" w:rsidRPr="00BA281B" w:rsidRDefault="00AC202B" w:rsidP="009A37E1">
      <w:pPr>
        <w:pStyle w:val="ac"/>
        <w:rPr>
          <w:b/>
          <w:bCs/>
          <w:rtl/>
        </w:rPr>
      </w:pPr>
      <w:r w:rsidRPr="00AC202B">
        <w:rPr>
          <w:rFonts w:hint="cs"/>
        </w:rPr>
        <w:sym w:font="AGA Arabesque" w:char="F05F"/>
      </w:r>
      <w:r w:rsidRPr="00AC202B">
        <w:rPr>
          <w:rFonts w:hint="cs"/>
          <w:rtl/>
        </w:rPr>
        <w:t xml:space="preserve"> </w:t>
      </w:r>
      <w:r w:rsidR="00BA281B" w:rsidRPr="00BA281B">
        <w:rPr>
          <w:rFonts w:hint="cs"/>
          <w:b/>
          <w:bCs/>
          <w:rtl/>
        </w:rPr>
        <w:t>ذكرتم ـ وبشكلٍ تفصيلي ـ في كتابكم (دانش وأرزش ـ العلم والقيم) أنّ العلاقة بين المعرفة والقيم علاقة إنتاجيّة منطقية؛ بناءً على ذلك ألا تؤثر الاختلافات البيولوجية والنفسية الموجودة بين الرجل والمرأة، والتي يقرّ بها العلم، على النظام الأخلاقي الحقوقي؟</w:t>
      </w:r>
    </w:p>
    <w:p w:rsidR="00BA281B" w:rsidRPr="00544A36" w:rsidRDefault="00AC202B" w:rsidP="009A37E1">
      <w:pPr>
        <w:pStyle w:val="ac"/>
        <w:rPr>
          <w:rtl/>
        </w:rPr>
      </w:pPr>
      <w:r>
        <w:rPr>
          <w:rFonts w:hint="cs"/>
        </w:rPr>
        <w:sym w:font="AGA Arabesque" w:char="F05E"/>
      </w:r>
      <w:r>
        <w:rPr>
          <w:rFonts w:hint="cs"/>
          <w:rtl/>
        </w:rPr>
        <w:t xml:space="preserve"> </w:t>
      </w:r>
      <w:r w:rsidR="00BA281B" w:rsidRPr="00544A36">
        <w:rPr>
          <w:rFonts w:hint="cs"/>
          <w:rtl/>
        </w:rPr>
        <w:t>سؤال</w:t>
      </w:r>
      <w:r w:rsidR="00BA281B">
        <w:rPr>
          <w:rFonts w:hint="cs"/>
          <w:rtl/>
        </w:rPr>
        <w:t>ٌ</w:t>
      </w:r>
      <w:r w:rsidR="00BA281B" w:rsidRPr="00544A36">
        <w:rPr>
          <w:rFonts w:hint="cs"/>
          <w:rtl/>
        </w:rPr>
        <w:t xml:space="preserve"> جيد، ما قلته في ذلك الكتاب </w:t>
      </w:r>
      <w:r w:rsidR="00BA281B">
        <w:rPr>
          <w:rFonts w:hint="cs"/>
          <w:rtl/>
        </w:rPr>
        <w:t>أ</w:t>
      </w:r>
      <w:r w:rsidR="00BA281B" w:rsidRPr="00544A36">
        <w:rPr>
          <w:rFonts w:hint="cs"/>
          <w:rtl/>
        </w:rPr>
        <w:t>ن</w:t>
      </w:r>
      <w:r w:rsidR="00BA281B">
        <w:rPr>
          <w:rFonts w:hint="cs"/>
          <w:rtl/>
        </w:rPr>
        <w:t>ّ</w:t>
      </w:r>
      <w:r w:rsidR="00BA281B" w:rsidRPr="00544A36">
        <w:rPr>
          <w:rFonts w:hint="cs"/>
          <w:rtl/>
        </w:rPr>
        <w:t xml:space="preserve"> الواقع الطبيعي والتاريخي لا ينبغ</w:t>
      </w:r>
      <w:r w:rsidR="00BA281B">
        <w:rPr>
          <w:rFonts w:hint="cs"/>
          <w:rtl/>
        </w:rPr>
        <w:t>ي أ</w:t>
      </w:r>
      <w:r w:rsidR="00BA281B" w:rsidRPr="00544A36">
        <w:rPr>
          <w:rFonts w:hint="cs"/>
          <w:rtl/>
        </w:rPr>
        <w:t>ن لا يحمل أي</w:t>
      </w:r>
      <w:r w:rsidR="00BA281B">
        <w:rPr>
          <w:rFonts w:hint="cs"/>
          <w:rtl/>
        </w:rPr>
        <w:t>ّ</w:t>
      </w:r>
      <w:r w:rsidR="00BA281B" w:rsidRPr="00544A36">
        <w:rPr>
          <w:rFonts w:hint="cs"/>
          <w:rtl/>
        </w:rPr>
        <w:t xml:space="preserve"> نوع</w:t>
      </w:r>
      <w:r w:rsidR="00BA281B">
        <w:rPr>
          <w:rFonts w:hint="cs"/>
          <w:rtl/>
        </w:rPr>
        <w:t>ٍ من القيم؛ لأ</w:t>
      </w:r>
      <w:r w:rsidR="00BA281B" w:rsidRPr="00544A36">
        <w:rPr>
          <w:rFonts w:hint="cs"/>
          <w:rtl/>
        </w:rPr>
        <w:t>ن</w:t>
      </w:r>
      <w:r w:rsidR="00BA281B">
        <w:rPr>
          <w:rFonts w:hint="cs"/>
          <w:rtl/>
        </w:rPr>
        <w:t>ّه إذا</w:t>
      </w:r>
      <w:r w:rsidR="00BA281B" w:rsidRPr="00544A36">
        <w:rPr>
          <w:rFonts w:hint="cs"/>
          <w:rtl/>
        </w:rPr>
        <w:t xml:space="preserve"> فرضنا ذلك فسوف نستخرج (</w:t>
      </w:r>
      <w:r w:rsidR="00BA281B">
        <w:rPr>
          <w:rFonts w:hint="cs"/>
          <w:rtl/>
        </w:rPr>
        <w:t xml:space="preserve">الما </w:t>
      </w:r>
      <w:r w:rsidR="00BA281B" w:rsidRPr="00544A36">
        <w:rPr>
          <w:rFonts w:hint="cs"/>
          <w:rtl/>
        </w:rPr>
        <w:t>ينبغي) من (</w:t>
      </w:r>
      <w:r w:rsidR="00BA281B">
        <w:rPr>
          <w:rFonts w:hint="cs"/>
          <w:rtl/>
        </w:rPr>
        <w:t xml:space="preserve">الما </w:t>
      </w:r>
      <w:r w:rsidR="00BA281B" w:rsidRPr="00544A36">
        <w:rPr>
          <w:rFonts w:hint="cs"/>
          <w:rtl/>
        </w:rPr>
        <w:t>و</w:t>
      </w:r>
      <w:r w:rsidR="00BA281B">
        <w:rPr>
          <w:rFonts w:hint="cs"/>
          <w:rtl/>
        </w:rPr>
        <w:t>ُ</w:t>
      </w:r>
      <w:r w:rsidR="00BA281B" w:rsidRPr="00544A36">
        <w:rPr>
          <w:rFonts w:hint="cs"/>
          <w:rtl/>
        </w:rPr>
        <w:t>ج</w:t>
      </w:r>
      <w:r w:rsidR="00BA281B">
        <w:rPr>
          <w:rFonts w:hint="cs"/>
          <w:rtl/>
        </w:rPr>
        <w:t>ِ</w:t>
      </w:r>
      <w:r w:rsidR="00BA281B" w:rsidRPr="00544A36">
        <w:rPr>
          <w:rFonts w:hint="cs"/>
          <w:rtl/>
        </w:rPr>
        <w:t>د)، لكنني ذكرت في موطن</w:t>
      </w:r>
      <w:r w:rsidR="00BA281B">
        <w:rPr>
          <w:rFonts w:hint="cs"/>
          <w:rtl/>
        </w:rPr>
        <w:t>ٍ آخر من الكتاب أ</w:t>
      </w:r>
      <w:r w:rsidR="00BA281B" w:rsidRPr="00544A36">
        <w:rPr>
          <w:rFonts w:hint="cs"/>
          <w:rtl/>
        </w:rPr>
        <w:t>نه</w:t>
      </w:r>
      <w:r w:rsidR="00BA281B">
        <w:rPr>
          <w:rFonts w:hint="cs"/>
          <w:rtl/>
        </w:rPr>
        <w:t xml:space="preserve"> لابد </w:t>
      </w:r>
      <w:r w:rsidR="00BA281B" w:rsidRPr="00544A36">
        <w:rPr>
          <w:rFonts w:hint="cs"/>
          <w:rtl/>
        </w:rPr>
        <w:t>لل</w:t>
      </w:r>
      <w:r w:rsidR="00BA281B">
        <w:rPr>
          <w:rFonts w:hint="cs"/>
          <w:rtl/>
        </w:rPr>
        <w:t>أخلاق</w:t>
      </w:r>
      <w:r w:rsidR="00BA281B" w:rsidRPr="00544A36">
        <w:rPr>
          <w:rFonts w:hint="cs"/>
          <w:rtl/>
        </w:rPr>
        <w:t xml:space="preserve"> </w:t>
      </w:r>
      <w:r w:rsidR="00BA281B">
        <w:rPr>
          <w:rFonts w:hint="cs"/>
          <w:rtl/>
        </w:rPr>
        <w:t xml:space="preserve">ـ </w:t>
      </w:r>
      <w:r w:rsidR="00BA281B" w:rsidRPr="00544A36">
        <w:rPr>
          <w:rFonts w:hint="cs"/>
          <w:rtl/>
        </w:rPr>
        <w:t xml:space="preserve">في الوقت نفسه </w:t>
      </w:r>
      <w:r w:rsidR="00BA281B">
        <w:rPr>
          <w:rFonts w:hint="cs"/>
          <w:rtl/>
        </w:rPr>
        <w:t>ـ من أن تلحظ الواقع، أي أ</w:t>
      </w:r>
      <w:r w:rsidR="00BA281B" w:rsidRPr="00544A36">
        <w:rPr>
          <w:rFonts w:hint="cs"/>
          <w:rtl/>
        </w:rPr>
        <w:t>ن</w:t>
      </w:r>
      <w:r w:rsidR="00BA281B">
        <w:rPr>
          <w:rFonts w:hint="cs"/>
          <w:rtl/>
        </w:rPr>
        <w:t>ّ</w:t>
      </w:r>
      <w:r w:rsidR="00BA281B" w:rsidRPr="00544A36">
        <w:rPr>
          <w:rFonts w:hint="cs"/>
          <w:rtl/>
        </w:rPr>
        <w:t xml:space="preserve"> </w:t>
      </w:r>
      <w:r w:rsidR="00BA281B">
        <w:rPr>
          <w:rFonts w:hint="cs"/>
          <w:rtl/>
        </w:rPr>
        <w:t>ال</w:t>
      </w:r>
      <w:r w:rsidR="00BA281B" w:rsidRPr="00544A36">
        <w:rPr>
          <w:rFonts w:hint="cs"/>
          <w:rtl/>
        </w:rPr>
        <w:t>ما ينبغي</w:t>
      </w:r>
      <w:r w:rsidR="00BA281B">
        <w:rPr>
          <w:rFonts w:hint="cs"/>
          <w:rtl/>
        </w:rPr>
        <w:t>ّات</w:t>
      </w:r>
      <w:r w:rsidR="00BA281B" w:rsidRPr="00544A36">
        <w:rPr>
          <w:rFonts w:hint="cs"/>
          <w:rtl/>
        </w:rPr>
        <w:t xml:space="preserve"> لا </w:t>
      </w:r>
      <w:r w:rsidR="00BA281B">
        <w:rPr>
          <w:rFonts w:hint="cs"/>
          <w:rtl/>
        </w:rPr>
        <w:t>ت</w:t>
      </w:r>
      <w:r w:rsidR="00BA281B" w:rsidRPr="00544A36">
        <w:rPr>
          <w:rFonts w:hint="cs"/>
          <w:rtl/>
        </w:rPr>
        <w:t xml:space="preserve">ستنبط من </w:t>
      </w:r>
      <w:r w:rsidR="00BA281B">
        <w:rPr>
          <w:rFonts w:hint="cs"/>
          <w:rtl/>
        </w:rPr>
        <w:t>الواقع و(الما وجد)،</w:t>
      </w:r>
      <w:r w:rsidR="00BA281B" w:rsidRPr="00544A36">
        <w:rPr>
          <w:rFonts w:hint="cs"/>
          <w:rtl/>
        </w:rPr>
        <w:t xml:space="preserve"> </w:t>
      </w:r>
      <w:r w:rsidR="00BA281B">
        <w:rPr>
          <w:rFonts w:hint="cs"/>
          <w:rtl/>
        </w:rPr>
        <w:t xml:space="preserve">لكنّ لابد </w:t>
      </w:r>
      <w:r w:rsidR="00BA281B">
        <w:rPr>
          <w:rFonts w:hint="cs"/>
          <w:rtl/>
        </w:rPr>
        <w:lastRenderedPageBreak/>
        <w:t>أن لا ت</w:t>
      </w:r>
      <w:r w:rsidR="00BA281B" w:rsidRPr="00544A36">
        <w:rPr>
          <w:rFonts w:hint="cs"/>
          <w:rtl/>
        </w:rPr>
        <w:t>تعارض معه</w:t>
      </w:r>
      <w:r w:rsidR="00BA281B">
        <w:rPr>
          <w:rFonts w:hint="cs"/>
          <w:rtl/>
        </w:rPr>
        <w:t>، فإ</w:t>
      </w:r>
      <w:r w:rsidR="00BA281B" w:rsidRPr="00544A36">
        <w:rPr>
          <w:rFonts w:hint="cs"/>
          <w:rtl/>
        </w:rPr>
        <w:t xml:space="preserve">ن </w:t>
      </w:r>
      <w:r w:rsidR="00BA281B">
        <w:rPr>
          <w:rFonts w:hint="cs"/>
          <w:rtl/>
        </w:rPr>
        <w:t>ال</w:t>
      </w:r>
      <w:r w:rsidR="00BA281B" w:rsidRPr="00544A36">
        <w:rPr>
          <w:rFonts w:hint="cs"/>
          <w:rtl/>
        </w:rPr>
        <w:t xml:space="preserve">ما ينبغي </w:t>
      </w:r>
      <w:r w:rsidR="00BA281B">
        <w:rPr>
          <w:rFonts w:hint="cs"/>
          <w:rtl/>
        </w:rPr>
        <w:t>إذا</w:t>
      </w:r>
      <w:r w:rsidR="00BA281B" w:rsidRPr="00544A36">
        <w:rPr>
          <w:rFonts w:hint="cs"/>
          <w:rtl/>
        </w:rPr>
        <w:t xml:space="preserve"> كان غير عملي</w:t>
      </w:r>
      <w:r w:rsidR="00BA281B">
        <w:rPr>
          <w:rFonts w:hint="cs"/>
          <w:rtl/>
        </w:rPr>
        <w:t>ّ</w:t>
      </w:r>
      <w:r w:rsidR="00BA281B" w:rsidRPr="00544A36">
        <w:rPr>
          <w:rFonts w:hint="cs"/>
          <w:rtl/>
        </w:rPr>
        <w:t xml:space="preserve"> لا يكون </w:t>
      </w:r>
      <w:r w:rsidR="00BA281B">
        <w:rPr>
          <w:rFonts w:hint="cs"/>
          <w:rtl/>
        </w:rPr>
        <w:t>أخلاق</w:t>
      </w:r>
      <w:r w:rsidR="00BA281B" w:rsidRPr="00544A36">
        <w:rPr>
          <w:rFonts w:hint="cs"/>
          <w:rtl/>
        </w:rPr>
        <w:t>ي</w:t>
      </w:r>
      <w:r w:rsidR="00BA281B">
        <w:rPr>
          <w:rFonts w:hint="cs"/>
          <w:rtl/>
        </w:rPr>
        <w:t>ّ</w:t>
      </w:r>
      <w:r w:rsidR="00BA281B" w:rsidRPr="00544A36">
        <w:rPr>
          <w:rFonts w:hint="cs"/>
          <w:rtl/>
        </w:rPr>
        <w:t>ا</w:t>
      </w:r>
      <w:r w:rsidR="00BA281B">
        <w:rPr>
          <w:rFonts w:hint="cs"/>
          <w:rtl/>
        </w:rPr>
        <w:t>ً،</w:t>
      </w:r>
      <w:r w:rsidR="00BA281B" w:rsidRPr="00544A36">
        <w:rPr>
          <w:rFonts w:hint="cs"/>
          <w:rtl/>
        </w:rPr>
        <w:t xml:space="preserve"> وبعبارة</w:t>
      </w:r>
      <w:r w:rsidR="00BA281B">
        <w:rPr>
          <w:rFonts w:hint="cs"/>
          <w:rtl/>
        </w:rPr>
        <w:t>ٍ</w:t>
      </w:r>
      <w:r w:rsidR="00BA281B" w:rsidRPr="00544A36">
        <w:rPr>
          <w:rFonts w:hint="cs"/>
          <w:rtl/>
        </w:rPr>
        <w:t xml:space="preserve"> </w:t>
      </w:r>
      <w:r w:rsidR="00BA281B">
        <w:rPr>
          <w:rFonts w:hint="cs"/>
          <w:rtl/>
        </w:rPr>
        <w:t>أخرى:</w:t>
      </w:r>
      <w:r w:rsidR="00BA281B" w:rsidRPr="00544A36">
        <w:rPr>
          <w:rFonts w:hint="cs"/>
          <w:rtl/>
        </w:rPr>
        <w:t xml:space="preserve"> </w:t>
      </w:r>
      <w:r w:rsidR="00BA281B">
        <w:rPr>
          <w:rFonts w:hint="cs"/>
          <w:rtl/>
        </w:rPr>
        <w:t>إ</w:t>
      </w:r>
      <w:r w:rsidR="00BA281B" w:rsidRPr="00544A36">
        <w:rPr>
          <w:rFonts w:hint="cs"/>
          <w:rtl/>
        </w:rPr>
        <w:t>ن</w:t>
      </w:r>
      <w:r w:rsidR="00BA281B">
        <w:rPr>
          <w:rFonts w:hint="cs"/>
          <w:rtl/>
        </w:rPr>
        <w:t>ّ</w:t>
      </w:r>
      <w:r w:rsidR="00BA281B" w:rsidRPr="00544A36">
        <w:rPr>
          <w:rFonts w:hint="cs"/>
          <w:rtl/>
        </w:rPr>
        <w:t xml:space="preserve"> (</w:t>
      </w:r>
      <w:r w:rsidR="00BA281B">
        <w:rPr>
          <w:rFonts w:hint="cs"/>
          <w:rtl/>
        </w:rPr>
        <w:t>ال</w:t>
      </w:r>
      <w:r w:rsidR="00BA281B" w:rsidRPr="00544A36">
        <w:rPr>
          <w:rFonts w:hint="cs"/>
          <w:rtl/>
        </w:rPr>
        <w:t>ما ينبغي) أي</w:t>
      </w:r>
      <w:r w:rsidR="00BA281B">
        <w:rPr>
          <w:rFonts w:hint="cs"/>
          <w:rtl/>
        </w:rPr>
        <w:t>ّ</w:t>
      </w:r>
      <w:r w:rsidR="00BA281B" w:rsidRPr="00544A36">
        <w:rPr>
          <w:rFonts w:hint="cs"/>
          <w:rtl/>
        </w:rPr>
        <w:t xml:space="preserve"> القيم ال</w:t>
      </w:r>
      <w:r w:rsidR="00BA281B">
        <w:rPr>
          <w:rFonts w:hint="cs"/>
          <w:rtl/>
        </w:rPr>
        <w:t>أخلاق</w:t>
      </w:r>
      <w:r w:rsidR="00BA281B" w:rsidRPr="00544A36">
        <w:rPr>
          <w:rFonts w:hint="cs"/>
          <w:rtl/>
        </w:rPr>
        <w:t>ية والحقوق</w:t>
      </w:r>
      <w:r w:rsidR="00BA281B">
        <w:rPr>
          <w:rFonts w:hint="cs"/>
          <w:rtl/>
        </w:rPr>
        <w:t xml:space="preserve">يّة لابد </w:t>
      </w:r>
      <w:r w:rsidR="00BA281B" w:rsidRPr="00544A36">
        <w:rPr>
          <w:rFonts w:hint="cs"/>
          <w:rtl/>
        </w:rPr>
        <w:t>و</w:t>
      </w:r>
      <w:r w:rsidR="00BA281B">
        <w:rPr>
          <w:rFonts w:hint="cs"/>
          <w:rtl/>
        </w:rPr>
        <w:t>أن تنسجم مع الواقع، لا أ</w:t>
      </w:r>
      <w:r w:rsidR="00BA281B" w:rsidRPr="00544A36">
        <w:rPr>
          <w:rFonts w:hint="cs"/>
          <w:rtl/>
        </w:rPr>
        <w:t>ن ت</w:t>
      </w:r>
      <w:r w:rsidR="00BA281B">
        <w:rPr>
          <w:rFonts w:hint="cs"/>
          <w:rtl/>
        </w:rPr>
        <w:t>ُ</w:t>
      </w:r>
      <w:r w:rsidR="00BA281B" w:rsidRPr="00544A36">
        <w:rPr>
          <w:rFonts w:hint="cs"/>
          <w:rtl/>
        </w:rPr>
        <w:t>ت</w:t>
      </w:r>
      <w:r w:rsidR="00BA281B">
        <w:rPr>
          <w:rFonts w:hint="cs"/>
          <w:rtl/>
        </w:rPr>
        <w:t>ّ</w:t>
      </w:r>
      <w:r w:rsidR="00BA281B" w:rsidRPr="00544A36">
        <w:rPr>
          <w:rFonts w:hint="cs"/>
          <w:rtl/>
        </w:rPr>
        <w:t xml:space="preserve">خذ منه </w:t>
      </w:r>
      <w:r w:rsidR="00BA281B">
        <w:rPr>
          <w:rFonts w:hint="cs"/>
          <w:rtl/>
        </w:rPr>
        <w:t>أ</w:t>
      </w:r>
      <w:r w:rsidR="00BA281B" w:rsidRPr="00544A36">
        <w:rPr>
          <w:rFonts w:hint="cs"/>
          <w:rtl/>
        </w:rPr>
        <w:t>و</w:t>
      </w:r>
      <w:r w:rsidR="00BA281B">
        <w:rPr>
          <w:rFonts w:hint="cs"/>
          <w:rtl/>
        </w:rPr>
        <w:t xml:space="preserve"> </w:t>
      </w:r>
      <w:r w:rsidR="00BA281B" w:rsidRPr="00544A36">
        <w:rPr>
          <w:rFonts w:hint="cs"/>
          <w:rtl/>
        </w:rPr>
        <w:t>ت</w:t>
      </w:r>
      <w:r w:rsidR="00BA281B">
        <w:rPr>
          <w:rFonts w:hint="cs"/>
          <w:rtl/>
        </w:rPr>
        <w:t>ُستنبط من خلاله،</w:t>
      </w:r>
      <w:r w:rsidR="00BA281B" w:rsidRPr="00544A36">
        <w:rPr>
          <w:rFonts w:hint="cs"/>
          <w:rtl/>
        </w:rPr>
        <w:t xml:space="preserve"> وبعبارة</w:t>
      </w:r>
      <w:r w:rsidR="00BA281B">
        <w:rPr>
          <w:rFonts w:hint="cs"/>
          <w:rtl/>
        </w:rPr>
        <w:t>ٍ</w:t>
      </w:r>
      <w:r w:rsidR="00BA281B" w:rsidRPr="00544A36">
        <w:rPr>
          <w:rFonts w:hint="cs"/>
          <w:rtl/>
        </w:rPr>
        <w:t xml:space="preserve"> ثالثة</w:t>
      </w:r>
      <w:r w:rsidR="00BA281B">
        <w:rPr>
          <w:rFonts w:hint="cs"/>
          <w:rtl/>
        </w:rPr>
        <w:t>: إ</w:t>
      </w:r>
      <w:r w:rsidR="00BA281B" w:rsidRPr="00544A36">
        <w:rPr>
          <w:rFonts w:hint="cs"/>
          <w:rtl/>
        </w:rPr>
        <w:t>ن</w:t>
      </w:r>
      <w:r w:rsidR="00BA281B">
        <w:rPr>
          <w:rFonts w:hint="cs"/>
          <w:rtl/>
        </w:rPr>
        <w:t>ّ</w:t>
      </w:r>
      <w:r w:rsidR="00BA281B" w:rsidRPr="00544A36">
        <w:rPr>
          <w:rFonts w:hint="cs"/>
          <w:rtl/>
        </w:rPr>
        <w:t xml:space="preserve"> جزءا</w:t>
      </w:r>
      <w:r w:rsidR="00BA281B">
        <w:rPr>
          <w:rFonts w:hint="cs"/>
          <w:rtl/>
        </w:rPr>
        <w:t>ً</w:t>
      </w:r>
      <w:r w:rsidR="00BA281B" w:rsidRPr="00544A36">
        <w:rPr>
          <w:rFonts w:hint="cs"/>
          <w:rtl/>
        </w:rPr>
        <w:t xml:space="preserve"> </w:t>
      </w:r>
      <w:r w:rsidR="00BA281B">
        <w:rPr>
          <w:rFonts w:hint="cs"/>
          <w:rtl/>
        </w:rPr>
        <w:t>من الماينبغيّات</w:t>
      </w:r>
      <w:r w:rsidR="00BA281B" w:rsidRPr="00544A36">
        <w:rPr>
          <w:rFonts w:hint="cs"/>
          <w:rtl/>
        </w:rPr>
        <w:t xml:space="preserve"> يستنبط من قلب الواقع لا </w:t>
      </w:r>
      <w:r w:rsidR="00BA281B">
        <w:rPr>
          <w:rFonts w:hint="cs"/>
          <w:rtl/>
        </w:rPr>
        <w:t>من ذاته نفسه</w:t>
      </w:r>
      <w:r w:rsidR="00BA281B" w:rsidRPr="00544A36">
        <w:rPr>
          <w:rFonts w:hint="cs"/>
          <w:rtl/>
        </w:rPr>
        <w:t>، نعم</w:t>
      </w:r>
      <w:r w:rsidR="00BA281B">
        <w:rPr>
          <w:rFonts w:hint="cs"/>
          <w:rtl/>
        </w:rPr>
        <w:t xml:space="preserve"> لابد </w:t>
      </w:r>
      <w:r w:rsidR="00BA281B" w:rsidRPr="00544A36">
        <w:rPr>
          <w:rFonts w:hint="cs"/>
          <w:rtl/>
        </w:rPr>
        <w:t>ل</w:t>
      </w:r>
      <w:r w:rsidR="00BA281B">
        <w:rPr>
          <w:rFonts w:hint="cs"/>
          <w:rtl/>
        </w:rPr>
        <w:t>هذا الـ (ما ينبغي) وبشكل منطقي أ</w:t>
      </w:r>
      <w:r w:rsidR="00BA281B" w:rsidRPr="00544A36">
        <w:rPr>
          <w:rFonts w:hint="cs"/>
          <w:rtl/>
        </w:rPr>
        <w:t>ن لا يكون غير قابل للتطبيق.</w:t>
      </w:r>
    </w:p>
    <w:p w:rsidR="00BA281B" w:rsidRDefault="00BA281B" w:rsidP="009A37E1">
      <w:pPr>
        <w:pStyle w:val="ac"/>
        <w:rPr>
          <w:rtl/>
        </w:rPr>
      </w:pPr>
      <w:r>
        <w:rPr>
          <w:rFonts w:hint="cs"/>
          <w:rtl/>
        </w:rPr>
        <w:t xml:space="preserve">لا ينبغي </w:t>
      </w:r>
      <w:r w:rsidRPr="00544A36">
        <w:rPr>
          <w:rFonts w:hint="cs"/>
          <w:rtl/>
        </w:rPr>
        <w:t>في مسألة الرجل والمرأة وضع حقوق</w:t>
      </w:r>
      <w:r>
        <w:rPr>
          <w:rFonts w:hint="cs"/>
          <w:rtl/>
        </w:rPr>
        <w:t>ٍ</w:t>
      </w:r>
      <w:r w:rsidRPr="00544A36">
        <w:rPr>
          <w:rFonts w:hint="cs"/>
          <w:rtl/>
        </w:rPr>
        <w:t xml:space="preserve"> وتكاليف لا تنسجم مع ال</w:t>
      </w:r>
      <w:r>
        <w:rPr>
          <w:rFonts w:hint="cs"/>
          <w:rtl/>
        </w:rPr>
        <w:t>وجود التاريخي البيولوجي والنفسي؛ فإ</w:t>
      </w:r>
      <w:r w:rsidRPr="00544A36">
        <w:rPr>
          <w:rFonts w:hint="cs"/>
          <w:rtl/>
        </w:rPr>
        <w:t>ن مثل هذا ال</w:t>
      </w:r>
      <w:r>
        <w:rPr>
          <w:rFonts w:hint="cs"/>
          <w:rtl/>
        </w:rPr>
        <w:t>أمر</w:t>
      </w:r>
      <w:r w:rsidRPr="00544A36">
        <w:rPr>
          <w:rFonts w:hint="cs"/>
          <w:rtl/>
        </w:rPr>
        <w:t xml:space="preserve"> لو فرض </w:t>
      </w:r>
      <w:r>
        <w:rPr>
          <w:rFonts w:hint="cs"/>
          <w:rtl/>
        </w:rPr>
        <w:t>لأدى إلى زوال هذه الحقوق والتكاليف،</w:t>
      </w:r>
      <w:r w:rsidRPr="00544A36">
        <w:rPr>
          <w:rFonts w:hint="cs"/>
          <w:rtl/>
        </w:rPr>
        <w:t xml:space="preserve"> </w:t>
      </w:r>
      <w:r>
        <w:rPr>
          <w:rFonts w:hint="cs"/>
          <w:rtl/>
        </w:rPr>
        <w:t>ف</w:t>
      </w:r>
      <w:r w:rsidRPr="00544A36">
        <w:rPr>
          <w:rFonts w:hint="cs"/>
          <w:rtl/>
        </w:rPr>
        <w:t>الحقوق وال</w:t>
      </w:r>
      <w:r>
        <w:rPr>
          <w:rFonts w:hint="cs"/>
          <w:rtl/>
        </w:rPr>
        <w:t xml:space="preserve">أخلاق </w:t>
      </w:r>
      <w:r w:rsidRPr="00544A36">
        <w:rPr>
          <w:rFonts w:hint="cs"/>
          <w:rtl/>
        </w:rPr>
        <w:t xml:space="preserve">جزء من الاعتباريات </w:t>
      </w:r>
      <w:r>
        <w:rPr>
          <w:rFonts w:hint="cs"/>
          <w:rtl/>
        </w:rPr>
        <w:t xml:space="preserve">ـ </w:t>
      </w:r>
      <w:r w:rsidRPr="00544A36">
        <w:rPr>
          <w:rFonts w:hint="cs"/>
          <w:rtl/>
        </w:rPr>
        <w:t xml:space="preserve">بحسب اصطلاح الحكماء </w:t>
      </w:r>
      <w:r>
        <w:rPr>
          <w:rFonts w:hint="cs"/>
          <w:rtl/>
        </w:rPr>
        <w:t>ـ والأ</w:t>
      </w:r>
      <w:r w:rsidRPr="00544A36">
        <w:rPr>
          <w:rFonts w:hint="cs"/>
          <w:rtl/>
        </w:rPr>
        <w:t>مور الاعتبارية لا توصف بالصدق والكذب</w:t>
      </w:r>
      <w:r>
        <w:rPr>
          <w:rFonts w:hint="cs"/>
          <w:rtl/>
        </w:rPr>
        <w:t>،</w:t>
      </w:r>
      <w:r w:rsidRPr="00544A36">
        <w:rPr>
          <w:rFonts w:hint="cs"/>
          <w:rtl/>
        </w:rPr>
        <w:t xml:space="preserve"> بل تتصف ب</w:t>
      </w:r>
      <w:r>
        <w:rPr>
          <w:rFonts w:hint="cs"/>
          <w:rtl/>
        </w:rPr>
        <w:t>أ</w:t>
      </w:r>
      <w:r w:rsidRPr="00544A36">
        <w:rPr>
          <w:rFonts w:hint="cs"/>
          <w:rtl/>
        </w:rPr>
        <w:t>ن</w:t>
      </w:r>
      <w:r>
        <w:rPr>
          <w:rFonts w:hint="cs"/>
          <w:rtl/>
        </w:rPr>
        <w:t>ّ</w:t>
      </w:r>
      <w:r w:rsidRPr="00544A36">
        <w:rPr>
          <w:rFonts w:hint="cs"/>
          <w:rtl/>
        </w:rPr>
        <w:t>ها مطلوبة</w:t>
      </w:r>
      <w:r>
        <w:rPr>
          <w:rFonts w:hint="cs"/>
          <w:rtl/>
        </w:rPr>
        <w:t xml:space="preserve"> أو </w:t>
      </w:r>
      <w:r w:rsidRPr="00544A36">
        <w:rPr>
          <w:rFonts w:hint="cs"/>
          <w:rtl/>
        </w:rPr>
        <w:t>غير مطلوبة، ممكنة الحصول</w:t>
      </w:r>
      <w:r>
        <w:rPr>
          <w:rFonts w:hint="cs"/>
          <w:rtl/>
        </w:rPr>
        <w:t xml:space="preserve"> أو غير ممكنة، فإذا</w:t>
      </w:r>
      <w:r w:rsidRPr="00544A36">
        <w:rPr>
          <w:rFonts w:hint="cs"/>
          <w:rtl/>
        </w:rPr>
        <w:t xml:space="preserve"> كانت طبيعة</w:t>
      </w:r>
      <w:r>
        <w:rPr>
          <w:rFonts w:hint="cs"/>
          <w:rtl/>
        </w:rPr>
        <w:t xml:space="preserve"> المرأة </w:t>
      </w:r>
      <w:r w:rsidRPr="00544A36">
        <w:rPr>
          <w:rFonts w:hint="cs"/>
          <w:rtl/>
        </w:rPr>
        <w:t>ب</w:t>
      </w:r>
      <w:r>
        <w:rPr>
          <w:rFonts w:hint="cs"/>
          <w:rtl/>
        </w:rPr>
        <w:t>حيث</w:t>
      </w:r>
      <w:r w:rsidRPr="00544A36">
        <w:rPr>
          <w:rFonts w:hint="cs"/>
          <w:rtl/>
        </w:rPr>
        <w:t xml:space="preserve"> لا تتقب</w:t>
      </w:r>
      <w:r>
        <w:rPr>
          <w:rFonts w:hint="cs"/>
          <w:rtl/>
        </w:rPr>
        <w:t>ّ</w:t>
      </w:r>
      <w:r w:rsidRPr="00544A36">
        <w:rPr>
          <w:rFonts w:hint="cs"/>
          <w:rtl/>
        </w:rPr>
        <w:t>ل بعض ال</w:t>
      </w:r>
      <w:r>
        <w:rPr>
          <w:rFonts w:hint="cs"/>
          <w:rtl/>
        </w:rPr>
        <w:t>أحكام،</w:t>
      </w:r>
      <w:r w:rsidRPr="00544A36">
        <w:rPr>
          <w:rFonts w:hint="cs"/>
          <w:rtl/>
        </w:rPr>
        <w:t xml:space="preserve"> فهذه ال</w:t>
      </w:r>
      <w:r>
        <w:rPr>
          <w:rFonts w:hint="cs"/>
          <w:rtl/>
        </w:rPr>
        <w:t>أحكام</w:t>
      </w:r>
      <w:r w:rsidRPr="00544A36">
        <w:rPr>
          <w:rFonts w:hint="cs"/>
          <w:rtl/>
        </w:rPr>
        <w:t xml:space="preserve"> سوف تصبح بنفسها غير عملية</w:t>
      </w:r>
      <w:r>
        <w:rPr>
          <w:rFonts w:hint="cs"/>
          <w:rtl/>
        </w:rPr>
        <w:t>،</w:t>
      </w:r>
      <w:r w:rsidRPr="00544A36">
        <w:rPr>
          <w:rFonts w:hint="cs"/>
          <w:rtl/>
        </w:rPr>
        <w:t xml:space="preserve"> حتى لو أوردنا لذلك مئات </w:t>
      </w:r>
      <w:r>
        <w:rPr>
          <w:rFonts w:hint="cs"/>
          <w:rtl/>
        </w:rPr>
        <w:t>الأ</w:t>
      </w:r>
      <w:r w:rsidRPr="00544A36">
        <w:rPr>
          <w:rFonts w:hint="cs"/>
          <w:rtl/>
        </w:rPr>
        <w:t>حاديث والروايات، فجسم</w:t>
      </w:r>
      <w:r>
        <w:rPr>
          <w:rFonts w:hint="cs"/>
          <w:rtl/>
        </w:rPr>
        <w:t xml:space="preserve"> المرأة </w:t>
      </w:r>
      <w:r w:rsidRPr="00544A36">
        <w:rPr>
          <w:rFonts w:hint="cs"/>
          <w:rtl/>
        </w:rPr>
        <w:t xml:space="preserve">وطبيعتها البيولوجية </w:t>
      </w:r>
      <w:r>
        <w:rPr>
          <w:rFonts w:hint="cs"/>
          <w:rtl/>
        </w:rPr>
        <w:t xml:space="preserve">ـ </w:t>
      </w:r>
      <w:r w:rsidRPr="00544A36">
        <w:rPr>
          <w:rFonts w:hint="cs"/>
          <w:rtl/>
        </w:rPr>
        <w:t xml:space="preserve">وكذلك الرجل </w:t>
      </w:r>
      <w:r>
        <w:rPr>
          <w:rFonts w:hint="cs"/>
          <w:rtl/>
        </w:rPr>
        <w:t xml:space="preserve">ـ </w:t>
      </w:r>
      <w:r w:rsidRPr="00544A36">
        <w:rPr>
          <w:rFonts w:hint="cs"/>
          <w:rtl/>
        </w:rPr>
        <w:t>لن يتقب</w:t>
      </w:r>
      <w:r>
        <w:rPr>
          <w:rFonts w:hint="cs"/>
          <w:rtl/>
        </w:rPr>
        <w:t>ّ</w:t>
      </w:r>
      <w:r w:rsidRPr="00544A36">
        <w:rPr>
          <w:rFonts w:hint="cs"/>
          <w:rtl/>
        </w:rPr>
        <w:t>ل هذه ال</w:t>
      </w:r>
      <w:r>
        <w:rPr>
          <w:rFonts w:hint="cs"/>
          <w:rtl/>
        </w:rPr>
        <w:t>أحكام،</w:t>
      </w:r>
      <w:r w:rsidRPr="00544A36">
        <w:rPr>
          <w:rFonts w:hint="cs"/>
          <w:rtl/>
        </w:rPr>
        <w:t xml:space="preserve"> </w:t>
      </w:r>
      <w:r>
        <w:rPr>
          <w:rFonts w:hint="cs"/>
          <w:rtl/>
        </w:rPr>
        <w:t>ومن ثمّ ستلغي</w:t>
      </w:r>
      <w:r w:rsidRPr="00544A36">
        <w:rPr>
          <w:rFonts w:hint="cs"/>
          <w:rtl/>
        </w:rPr>
        <w:t xml:space="preserve"> نفسها بنفسها.</w:t>
      </w:r>
    </w:p>
    <w:p w:rsidR="00BA281B" w:rsidRDefault="00BA281B" w:rsidP="00BA281B">
      <w:pPr>
        <w:pStyle w:val="ac"/>
        <w:rPr>
          <w:rtl/>
        </w:rPr>
      </w:pPr>
      <w:r w:rsidRPr="00544A36">
        <w:rPr>
          <w:rFonts w:hint="cs"/>
          <w:rtl/>
        </w:rPr>
        <w:t>ويؤي</w:t>
      </w:r>
      <w:r>
        <w:rPr>
          <w:rFonts w:hint="cs"/>
          <w:rtl/>
        </w:rPr>
        <w:t>ّ</w:t>
      </w:r>
      <w:r w:rsidRPr="00544A36">
        <w:rPr>
          <w:rFonts w:hint="cs"/>
          <w:rtl/>
        </w:rPr>
        <w:t>د هذا قول</w:t>
      </w:r>
      <w:r>
        <w:rPr>
          <w:rFonts w:hint="cs"/>
          <w:rtl/>
        </w:rPr>
        <w:t>ُ</w:t>
      </w:r>
      <w:r w:rsidRPr="00544A36">
        <w:rPr>
          <w:rFonts w:hint="cs"/>
          <w:rtl/>
        </w:rPr>
        <w:t xml:space="preserve">ه تعالى: </w:t>
      </w:r>
      <w:r w:rsidRPr="002E0086">
        <w:rPr>
          <w:rFonts w:hint="cs"/>
          <w:b/>
          <w:bCs/>
        </w:rPr>
        <w:sym w:font="Islamic Units 1" w:char="F03E"/>
      </w:r>
      <w:r w:rsidRPr="003E0AEE">
        <w:rPr>
          <w:b/>
          <w:bCs/>
          <w:rtl/>
        </w:rPr>
        <w:t>لاَ يُكَلِّفُ الله نَفْسًا إِلاَّ وُسْعَهَا</w:t>
      </w:r>
      <w:r w:rsidRPr="002E0086">
        <w:rPr>
          <w:rFonts w:hint="cs"/>
          <w:b/>
          <w:bCs/>
        </w:rPr>
        <w:sym w:font="Islamic Units 1" w:char="F03C"/>
      </w:r>
      <w:r>
        <w:rPr>
          <w:rFonts w:hint="cs"/>
          <w:rtl/>
        </w:rPr>
        <w:t xml:space="preserve">، </w:t>
      </w:r>
      <w:r w:rsidRPr="00544A36">
        <w:rPr>
          <w:rFonts w:hint="cs"/>
          <w:rtl/>
        </w:rPr>
        <w:t>فل</w:t>
      </w:r>
      <w:r>
        <w:rPr>
          <w:rFonts w:hint="cs"/>
          <w:rtl/>
        </w:rPr>
        <w:t>ا تكليف لدينا فوق السعة والطاقة، بل إ</w:t>
      </w:r>
      <w:r w:rsidRPr="00544A36">
        <w:rPr>
          <w:rFonts w:hint="cs"/>
          <w:rtl/>
        </w:rPr>
        <w:t>ن</w:t>
      </w:r>
      <w:r>
        <w:rPr>
          <w:rFonts w:hint="cs"/>
          <w:rtl/>
        </w:rPr>
        <w:t>ّ</w:t>
      </w:r>
      <w:r w:rsidRPr="00544A36">
        <w:rPr>
          <w:rFonts w:hint="cs"/>
          <w:rtl/>
        </w:rPr>
        <w:t xml:space="preserve"> مثل هذا التكليف غير شرعي</w:t>
      </w:r>
      <w:r>
        <w:rPr>
          <w:rFonts w:hint="cs"/>
          <w:rtl/>
        </w:rPr>
        <w:t xml:space="preserve"> أساساً، </w:t>
      </w:r>
      <w:r w:rsidRPr="00544A36">
        <w:rPr>
          <w:rFonts w:hint="cs"/>
          <w:rtl/>
        </w:rPr>
        <w:t>لكن</w:t>
      </w:r>
      <w:r>
        <w:rPr>
          <w:rFonts w:hint="cs"/>
          <w:rtl/>
        </w:rPr>
        <w:t xml:space="preserve"> لابد </w:t>
      </w:r>
      <w:r w:rsidRPr="00544A36">
        <w:rPr>
          <w:rFonts w:hint="cs"/>
          <w:rtl/>
        </w:rPr>
        <w:t>من الالتفات</w:t>
      </w:r>
      <w:r>
        <w:rPr>
          <w:rFonts w:hint="cs"/>
          <w:rtl/>
        </w:rPr>
        <w:t xml:space="preserve"> إلى أ</w:t>
      </w:r>
      <w:r w:rsidRPr="00544A36">
        <w:rPr>
          <w:rFonts w:hint="cs"/>
          <w:rtl/>
        </w:rPr>
        <w:t>ن</w:t>
      </w:r>
      <w:r>
        <w:rPr>
          <w:rFonts w:hint="cs"/>
          <w:rtl/>
        </w:rPr>
        <w:t>ّ</w:t>
      </w:r>
      <w:r w:rsidRPr="00544A36">
        <w:rPr>
          <w:rFonts w:hint="cs"/>
          <w:rtl/>
        </w:rPr>
        <w:t xml:space="preserve"> الوسع والطاقة ليس</w:t>
      </w:r>
      <w:r>
        <w:rPr>
          <w:rFonts w:hint="cs"/>
          <w:rtl/>
        </w:rPr>
        <w:t>ا</w:t>
      </w:r>
      <w:r w:rsidRPr="00544A36">
        <w:rPr>
          <w:rFonts w:hint="cs"/>
          <w:rtl/>
        </w:rPr>
        <w:t xml:space="preserve"> من جهة الجسم والبدن فقط</w:t>
      </w:r>
      <w:r>
        <w:rPr>
          <w:rFonts w:hint="cs"/>
          <w:rtl/>
        </w:rPr>
        <w:t>،</w:t>
      </w:r>
      <w:r w:rsidRPr="00544A36">
        <w:rPr>
          <w:rFonts w:hint="cs"/>
          <w:rtl/>
        </w:rPr>
        <w:t xml:space="preserve"> بل </w:t>
      </w:r>
      <w:r>
        <w:rPr>
          <w:rFonts w:hint="cs"/>
          <w:rtl/>
        </w:rPr>
        <w:t>ي</w:t>
      </w:r>
      <w:r w:rsidRPr="00544A36">
        <w:rPr>
          <w:rFonts w:hint="cs"/>
          <w:rtl/>
        </w:rPr>
        <w:t>شمل</w:t>
      </w:r>
      <w:r>
        <w:rPr>
          <w:rFonts w:hint="cs"/>
          <w:rtl/>
        </w:rPr>
        <w:t>ان سعة الروح والعقل،</w:t>
      </w:r>
      <w:r w:rsidRPr="00544A36">
        <w:rPr>
          <w:rFonts w:hint="cs"/>
          <w:rtl/>
        </w:rPr>
        <w:t xml:space="preserve"> وهذه السعة تتبد</w:t>
      </w:r>
      <w:r>
        <w:rPr>
          <w:rFonts w:hint="cs"/>
          <w:rtl/>
        </w:rPr>
        <w:t>ّ</w:t>
      </w:r>
      <w:r w:rsidRPr="00544A36">
        <w:rPr>
          <w:rFonts w:hint="cs"/>
          <w:rtl/>
        </w:rPr>
        <w:t>ل بحسب تبد</w:t>
      </w:r>
      <w:r>
        <w:rPr>
          <w:rFonts w:hint="cs"/>
          <w:rtl/>
        </w:rPr>
        <w:t>ّ</w:t>
      </w:r>
      <w:r w:rsidRPr="00544A36">
        <w:rPr>
          <w:rFonts w:hint="cs"/>
          <w:rtl/>
        </w:rPr>
        <w:t xml:space="preserve">ل </w:t>
      </w:r>
      <w:r>
        <w:rPr>
          <w:rFonts w:hint="cs"/>
          <w:rtl/>
        </w:rPr>
        <w:t>الحقب والمراحل التاريخية؛</w:t>
      </w:r>
      <w:r w:rsidRPr="00544A36">
        <w:rPr>
          <w:rFonts w:hint="cs"/>
          <w:rtl/>
        </w:rPr>
        <w:t xml:space="preserve"> ولذا</w:t>
      </w:r>
      <w:r>
        <w:rPr>
          <w:rFonts w:hint="cs"/>
          <w:rtl/>
        </w:rPr>
        <w:t xml:space="preserve"> لابدّ ـ </w:t>
      </w:r>
      <w:r w:rsidRPr="00544A36">
        <w:rPr>
          <w:rFonts w:hint="cs"/>
          <w:rtl/>
        </w:rPr>
        <w:t>عند وضع القوانين الخاص</w:t>
      </w:r>
      <w:r>
        <w:rPr>
          <w:rFonts w:hint="cs"/>
          <w:rtl/>
        </w:rPr>
        <w:t>ّ</w:t>
      </w:r>
      <w:r w:rsidRPr="00544A36">
        <w:rPr>
          <w:rFonts w:hint="cs"/>
          <w:rtl/>
        </w:rPr>
        <w:t>ة بالمرأة</w:t>
      </w:r>
      <w:r>
        <w:rPr>
          <w:rFonts w:hint="cs"/>
          <w:rtl/>
        </w:rPr>
        <w:t xml:space="preserve"> أو </w:t>
      </w:r>
      <w:r w:rsidRPr="00544A36">
        <w:rPr>
          <w:rFonts w:hint="cs"/>
          <w:rtl/>
        </w:rPr>
        <w:t>الرجل</w:t>
      </w:r>
      <w:r>
        <w:rPr>
          <w:rFonts w:hint="cs"/>
          <w:rtl/>
        </w:rPr>
        <w:t>،</w:t>
      </w:r>
      <w:r w:rsidRPr="00544A36">
        <w:rPr>
          <w:rFonts w:hint="cs"/>
          <w:rtl/>
        </w:rPr>
        <w:t xml:space="preserve"> الصغير</w:t>
      </w:r>
      <w:r>
        <w:rPr>
          <w:rFonts w:hint="cs"/>
          <w:rtl/>
        </w:rPr>
        <w:t xml:space="preserve"> أو </w:t>
      </w:r>
      <w:r w:rsidRPr="00544A36">
        <w:rPr>
          <w:rFonts w:hint="cs"/>
          <w:rtl/>
        </w:rPr>
        <w:t xml:space="preserve">الكبير </w:t>
      </w:r>
      <w:r>
        <w:rPr>
          <w:rFonts w:hint="cs"/>
          <w:rtl/>
        </w:rPr>
        <w:t xml:space="preserve">ـ </w:t>
      </w:r>
      <w:r w:rsidRPr="00544A36">
        <w:rPr>
          <w:rFonts w:hint="cs"/>
          <w:rtl/>
        </w:rPr>
        <w:t xml:space="preserve">من ملاحظة الواقع والطبيعة كي لا </w:t>
      </w:r>
      <w:r>
        <w:rPr>
          <w:rFonts w:hint="cs"/>
          <w:rtl/>
        </w:rPr>
        <w:t>ت</w:t>
      </w:r>
      <w:r w:rsidRPr="00544A36">
        <w:rPr>
          <w:rFonts w:hint="cs"/>
          <w:rtl/>
        </w:rPr>
        <w:t>كون مرفوض</w:t>
      </w:r>
      <w:r>
        <w:rPr>
          <w:rFonts w:hint="cs"/>
          <w:rtl/>
        </w:rPr>
        <w:t>ةً</w:t>
      </w:r>
      <w:r w:rsidRPr="00544A36">
        <w:rPr>
          <w:rFonts w:hint="cs"/>
          <w:rtl/>
        </w:rPr>
        <w:t>.</w:t>
      </w:r>
    </w:p>
    <w:p w:rsidR="002B224E" w:rsidRDefault="002B224E" w:rsidP="00C916BC">
      <w:pPr>
        <w:pStyle w:val="afffffc"/>
        <w:rPr>
          <w:rtl/>
        </w:rPr>
      </w:pPr>
    </w:p>
    <w:p w:rsidR="00BA281B" w:rsidRPr="00D457EB" w:rsidRDefault="00BA281B" w:rsidP="002B224E">
      <w:pPr>
        <w:pStyle w:val="1"/>
        <w:rPr>
          <w:rtl/>
        </w:rPr>
      </w:pPr>
      <w:bookmarkStart w:id="44" w:name="_Toc169521348"/>
      <w:bookmarkStart w:id="45" w:name="_Toc275127874"/>
      <w:r w:rsidRPr="00D457EB">
        <w:rPr>
          <w:rFonts w:hint="cs"/>
          <w:rtl/>
        </w:rPr>
        <w:t>هل هناك قراءة نسوية للعالم وقراءة ذكو</w:t>
      </w:r>
      <w:r>
        <w:rPr>
          <w:rFonts w:hint="cs"/>
          <w:rtl/>
        </w:rPr>
        <w:t>رية للوجود؟</w:t>
      </w:r>
      <w:bookmarkEnd w:id="44"/>
      <w:bookmarkEnd w:id="45"/>
    </w:p>
    <w:p w:rsidR="00BA281B" w:rsidRPr="002B224E" w:rsidRDefault="00AC202B" w:rsidP="002B224E">
      <w:pPr>
        <w:pStyle w:val="ac"/>
        <w:rPr>
          <w:b/>
          <w:bCs/>
          <w:rtl/>
        </w:rPr>
      </w:pPr>
      <w:r w:rsidRPr="00AC202B">
        <w:rPr>
          <w:rFonts w:hint="cs"/>
        </w:rPr>
        <w:sym w:font="AGA Arabesque" w:char="F05F"/>
      </w:r>
      <w:r w:rsidRPr="00AC202B">
        <w:rPr>
          <w:rFonts w:hint="cs"/>
          <w:rtl/>
        </w:rPr>
        <w:t xml:space="preserve"> </w:t>
      </w:r>
      <w:r w:rsidR="00BA281B" w:rsidRPr="002B224E">
        <w:rPr>
          <w:rFonts w:hint="cs"/>
          <w:b/>
          <w:bCs/>
          <w:rtl/>
        </w:rPr>
        <w:t xml:space="preserve">متى اعترفنا بوجود اختلاف بيولوجي ونفسي بين المرأة والرجل، هل يمكننا أن نقول: إنّ هناك فهماً نسويّا لهذه الدنيا؟ أي هل يمكن أن يكون لدى المرأة تفكيرٌ مختلف عن الرجل وعن الحياة وعن العلاقات بين أبناء البشر؟ وما هو تأثير ذلك على العلاقة </w:t>
      </w:r>
      <w:r w:rsidR="00BA281B" w:rsidRPr="002B224E">
        <w:rPr>
          <w:rFonts w:hint="cs"/>
          <w:b/>
          <w:bCs/>
          <w:rtl/>
        </w:rPr>
        <w:lastRenderedPageBreak/>
        <w:t>بين الرجل والمرأة؟</w:t>
      </w:r>
    </w:p>
    <w:p w:rsidR="00BA281B" w:rsidRDefault="00AC202B" w:rsidP="002B224E">
      <w:pPr>
        <w:pStyle w:val="ac"/>
        <w:rPr>
          <w:rtl/>
        </w:rPr>
      </w:pPr>
      <w:r>
        <w:rPr>
          <w:rFonts w:hint="cs"/>
        </w:rPr>
        <w:sym w:font="AGA Arabesque" w:char="F05E"/>
      </w:r>
      <w:r>
        <w:rPr>
          <w:rFonts w:hint="cs"/>
          <w:rtl/>
        </w:rPr>
        <w:t xml:space="preserve"> </w:t>
      </w:r>
      <w:r w:rsidR="00BA281B">
        <w:rPr>
          <w:rFonts w:hint="cs"/>
          <w:rtl/>
        </w:rPr>
        <w:t>لا أستطيع أن أ</w:t>
      </w:r>
      <w:r w:rsidR="00BA281B" w:rsidRPr="00544A36">
        <w:rPr>
          <w:rFonts w:hint="cs"/>
          <w:rtl/>
        </w:rPr>
        <w:t>عتبر هذا ال</w:t>
      </w:r>
      <w:r w:rsidR="00BA281B">
        <w:rPr>
          <w:rFonts w:hint="cs"/>
          <w:rtl/>
        </w:rPr>
        <w:t>أمر</w:t>
      </w:r>
      <w:r w:rsidR="00BA281B" w:rsidRPr="00544A36">
        <w:rPr>
          <w:rFonts w:hint="cs"/>
          <w:rtl/>
        </w:rPr>
        <w:t xml:space="preserve"> </w:t>
      </w:r>
      <w:r w:rsidR="00BA281B">
        <w:rPr>
          <w:rFonts w:hint="cs"/>
          <w:rtl/>
        </w:rPr>
        <w:t xml:space="preserve">غير مقبول </w:t>
      </w:r>
      <w:r w:rsidR="00BA281B" w:rsidRPr="00544A36">
        <w:rPr>
          <w:rFonts w:hint="cs"/>
          <w:rtl/>
        </w:rPr>
        <w:t>بشكل مطلق، نعم</w:t>
      </w:r>
      <w:r w:rsidR="00BA281B">
        <w:rPr>
          <w:rFonts w:hint="cs"/>
          <w:rtl/>
        </w:rPr>
        <w:t>، قد ت</w:t>
      </w:r>
      <w:r w:rsidR="00BA281B" w:rsidRPr="00544A36">
        <w:rPr>
          <w:rFonts w:hint="cs"/>
          <w:rtl/>
        </w:rPr>
        <w:t xml:space="preserve">كون لدينا </w:t>
      </w:r>
      <w:r w:rsidR="00BA281B">
        <w:rPr>
          <w:rFonts w:hint="cs"/>
          <w:rtl/>
        </w:rPr>
        <w:t>رؤية</w:t>
      </w:r>
      <w:r w:rsidR="00BA281B" w:rsidRPr="00544A36">
        <w:rPr>
          <w:rFonts w:hint="cs"/>
          <w:rtl/>
        </w:rPr>
        <w:t xml:space="preserve"> خاص</w:t>
      </w:r>
      <w:r w:rsidR="00BA281B">
        <w:rPr>
          <w:rFonts w:hint="cs"/>
          <w:rtl/>
        </w:rPr>
        <w:t>ّ</w:t>
      </w:r>
      <w:r w:rsidR="00BA281B" w:rsidRPr="00544A36">
        <w:rPr>
          <w:rFonts w:hint="cs"/>
          <w:rtl/>
        </w:rPr>
        <w:t xml:space="preserve">ة </w:t>
      </w:r>
      <w:r w:rsidR="00BA281B">
        <w:rPr>
          <w:rFonts w:hint="cs"/>
          <w:rtl/>
        </w:rPr>
        <w:t>بالمرأة عن ا</w:t>
      </w:r>
      <w:r w:rsidR="00BA281B" w:rsidRPr="00544A36">
        <w:rPr>
          <w:rFonts w:hint="cs"/>
          <w:rtl/>
        </w:rPr>
        <w:t>لعالم تختلف ع</w:t>
      </w:r>
      <w:r w:rsidR="00BA281B">
        <w:rPr>
          <w:rFonts w:hint="cs"/>
          <w:rtl/>
        </w:rPr>
        <w:t>مّا لدى</w:t>
      </w:r>
      <w:r w:rsidR="00BA281B" w:rsidRPr="00544A36">
        <w:rPr>
          <w:rFonts w:hint="cs"/>
          <w:rtl/>
        </w:rPr>
        <w:t xml:space="preserve"> الرجل، لكن</w:t>
      </w:r>
      <w:r w:rsidR="00BA281B">
        <w:rPr>
          <w:rFonts w:hint="cs"/>
          <w:rtl/>
        </w:rPr>
        <w:t xml:space="preserve"> لابد </w:t>
      </w:r>
      <w:r w:rsidR="00BA281B" w:rsidRPr="00544A36">
        <w:rPr>
          <w:rFonts w:hint="cs"/>
          <w:rtl/>
        </w:rPr>
        <w:t xml:space="preserve">من بيان خصوصية هاتين </w:t>
      </w:r>
      <w:r w:rsidR="00BA281B">
        <w:rPr>
          <w:rFonts w:hint="cs"/>
          <w:rtl/>
        </w:rPr>
        <w:t>الرؤيتين،</w:t>
      </w:r>
      <w:r w:rsidR="00BA281B" w:rsidRPr="00544A36">
        <w:rPr>
          <w:rFonts w:hint="cs"/>
          <w:rtl/>
        </w:rPr>
        <w:t xml:space="preserve"> </w:t>
      </w:r>
      <w:r w:rsidR="00BA281B">
        <w:rPr>
          <w:rFonts w:hint="cs"/>
          <w:rtl/>
        </w:rPr>
        <w:t>فهل يقتصر الاختلاف على دائرة الأمور الاعتبارية والقيم، أم أ</w:t>
      </w:r>
      <w:r w:rsidR="00BA281B" w:rsidRPr="00544A36">
        <w:rPr>
          <w:rFonts w:hint="cs"/>
          <w:rtl/>
        </w:rPr>
        <w:t>ن</w:t>
      </w:r>
      <w:r w:rsidR="00BA281B">
        <w:rPr>
          <w:rFonts w:hint="cs"/>
          <w:rtl/>
        </w:rPr>
        <w:t>ّ</w:t>
      </w:r>
      <w:r w:rsidR="00BA281B" w:rsidRPr="00544A36">
        <w:rPr>
          <w:rFonts w:hint="cs"/>
          <w:rtl/>
        </w:rPr>
        <w:t xml:space="preserve">ه يشمل </w:t>
      </w:r>
      <w:r w:rsidR="00BA281B">
        <w:rPr>
          <w:rFonts w:hint="cs"/>
          <w:rtl/>
        </w:rPr>
        <w:t xml:space="preserve">غيرها </w:t>
      </w:r>
      <w:r w:rsidR="00BA281B" w:rsidRPr="00544A36">
        <w:rPr>
          <w:rFonts w:hint="cs"/>
          <w:rtl/>
        </w:rPr>
        <w:t>أيضا</w:t>
      </w:r>
      <w:r w:rsidR="00BA281B">
        <w:rPr>
          <w:rFonts w:hint="cs"/>
          <w:rtl/>
        </w:rPr>
        <w:t>ً؟</w:t>
      </w:r>
    </w:p>
    <w:p w:rsidR="00F64660" w:rsidRDefault="00BA281B" w:rsidP="00BA281B">
      <w:pPr>
        <w:pStyle w:val="ac"/>
        <w:rPr>
          <w:rtl/>
        </w:rPr>
      </w:pPr>
      <w:r w:rsidRPr="00544A36">
        <w:rPr>
          <w:rFonts w:hint="cs"/>
          <w:rtl/>
        </w:rPr>
        <w:t>المسألة معق</w:t>
      </w:r>
      <w:r>
        <w:rPr>
          <w:rFonts w:hint="cs"/>
          <w:rtl/>
        </w:rPr>
        <w:t>ّ</w:t>
      </w:r>
      <w:r w:rsidRPr="00544A36">
        <w:rPr>
          <w:rFonts w:hint="cs"/>
          <w:rtl/>
        </w:rPr>
        <w:t>دة</w:t>
      </w:r>
      <w:r>
        <w:rPr>
          <w:rFonts w:hint="cs"/>
          <w:rtl/>
        </w:rPr>
        <w:t>؛</w:t>
      </w:r>
      <w:r w:rsidRPr="00544A36">
        <w:rPr>
          <w:rFonts w:hint="cs"/>
          <w:rtl/>
        </w:rPr>
        <w:t xml:space="preserve"> فنظرة</w:t>
      </w:r>
      <w:r>
        <w:rPr>
          <w:rFonts w:hint="cs"/>
          <w:rtl/>
        </w:rPr>
        <w:t xml:space="preserve"> المرأة تختلف عن نظرة الرجل في بعض الأ</w:t>
      </w:r>
      <w:r w:rsidRPr="00544A36">
        <w:rPr>
          <w:rFonts w:hint="cs"/>
          <w:rtl/>
        </w:rPr>
        <w:t xml:space="preserve">مور </w:t>
      </w:r>
      <w:r>
        <w:rPr>
          <w:rFonts w:hint="cs"/>
          <w:rtl/>
        </w:rPr>
        <w:t>حتماً،</w:t>
      </w:r>
      <w:r w:rsidRPr="00544A36">
        <w:rPr>
          <w:rFonts w:hint="cs"/>
          <w:rtl/>
        </w:rPr>
        <w:t xml:space="preserve"> وه</w:t>
      </w:r>
      <w:r>
        <w:rPr>
          <w:rFonts w:hint="cs"/>
          <w:rtl/>
        </w:rPr>
        <w:t>و</w:t>
      </w:r>
      <w:r w:rsidRPr="00544A36">
        <w:rPr>
          <w:rFonts w:hint="cs"/>
          <w:rtl/>
        </w:rPr>
        <w:t xml:space="preserve"> </w:t>
      </w:r>
      <w:r>
        <w:rPr>
          <w:rFonts w:hint="cs"/>
          <w:rtl/>
        </w:rPr>
        <w:t>ما</w:t>
      </w:r>
      <w:r w:rsidRPr="00544A36">
        <w:rPr>
          <w:rFonts w:hint="cs"/>
          <w:rtl/>
        </w:rPr>
        <w:t xml:space="preserve"> يغني الحياة ال</w:t>
      </w:r>
      <w:r>
        <w:rPr>
          <w:rFonts w:hint="cs"/>
          <w:rtl/>
        </w:rPr>
        <w:t>إنسان</w:t>
      </w:r>
      <w:r w:rsidRPr="00544A36">
        <w:rPr>
          <w:rFonts w:hint="cs"/>
          <w:rtl/>
        </w:rPr>
        <w:t xml:space="preserve">ية، </w:t>
      </w:r>
      <w:r>
        <w:rPr>
          <w:rFonts w:hint="cs"/>
          <w:rtl/>
        </w:rPr>
        <w:t>و</w:t>
      </w:r>
      <w:r w:rsidRPr="00544A36">
        <w:rPr>
          <w:rFonts w:hint="cs"/>
          <w:rtl/>
        </w:rPr>
        <w:t>لا يوجب خللا</w:t>
      </w:r>
      <w:r>
        <w:rPr>
          <w:rFonts w:hint="cs"/>
          <w:rtl/>
        </w:rPr>
        <w:t>ً</w:t>
      </w:r>
      <w:r w:rsidRPr="00544A36">
        <w:rPr>
          <w:rFonts w:hint="cs"/>
          <w:rtl/>
        </w:rPr>
        <w:t xml:space="preserve"> في العلاقة القائمة بين الرجل والمرأة، </w:t>
      </w:r>
      <w:r>
        <w:rPr>
          <w:rFonts w:hint="cs"/>
          <w:rtl/>
        </w:rPr>
        <w:t>ف</w:t>
      </w:r>
      <w:r w:rsidRPr="00544A36">
        <w:rPr>
          <w:rFonts w:hint="cs"/>
          <w:rtl/>
        </w:rPr>
        <w:t>ما المشكلة في أن يكون لدينا في هذا العالم رؤية فلسفية</w:t>
      </w:r>
      <w:r>
        <w:rPr>
          <w:rFonts w:hint="cs"/>
          <w:rtl/>
        </w:rPr>
        <w:t>،</w:t>
      </w:r>
      <w:r w:rsidRPr="00544A36">
        <w:rPr>
          <w:rFonts w:hint="cs"/>
          <w:rtl/>
        </w:rPr>
        <w:t xml:space="preserve"> ورؤية شاعرية</w:t>
      </w:r>
      <w:r>
        <w:rPr>
          <w:rFonts w:hint="cs"/>
          <w:rtl/>
        </w:rPr>
        <w:t>،</w:t>
      </w:r>
      <w:r w:rsidRPr="00544A36">
        <w:rPr>
          <w:rFonts w:hint="cs"/>
          <w:rtl/>
        </w:rPr>
        <w:t xml:space="preserve"> ورؤية علمية</w:t>
      </w:r>
      <w:r>
        <w:rPr>
          <w:rFonts w:hint="cs"/>
          <w:rtl/>
        </w:rPr>
        <w:t>،</w:t>
      </w:r>
      <w:r w:rsidRPr="00544A36">
        <w:rPr>
          <w:rFonts w:hint="cs"/>
          <w:rtl/>
        </w:rPr>
        <w:t xml:space="preserve"> ورؤية دينية</w:t>
      </w:r>
      <w:r>
        <w:rPr>
          <w:rFonts w:hint="cs"/>
          <w:rtl/>
        </w:rPr>
        <w:t>،</w:t>
      </w:r>
      <w:r w:rsidRPr="00544A36">
        <w:rPr>
          <w:rFonts w:hint="cs"/>
          <w:rtl/>
        </w:rPr>
        <w:t xml:space="preserve"> والى جانب ذلك رؤية ذكورية</w:t>
      </w:r>
      <w:r>
        <w:rPr>
          <w:rFonts w:hint="cs"/>
          <w:rtl/>
        </w:rPr>
        <w:t>،</w:t>
      </w:r>
      <w:r w:rsidRPr="00544A36">
        <w:rPr>
          <w:rFonts w:hint="cs"/>
          <w:rtl/>
        </w:rPr>
        <w:t xml:space="preserve"> و</w:t>
      </w:r>
      <w:r>
        <w:rPr>
          <w:rFonts w:hint="cs"/>
          <w:rtl/>
        </w:rPr>
        <w:t>أخرى</w:t>
      </w:r>
      <w:r w:rsidRPr="00544A36">
        <w:rPr>
          <w:rFonts w:hint="cs"/>
          <w:rtl/>
        </w:rPr>
        <w:t xml:space="preserve"> نسوية.</w:t>
      </w:r>
    </w:p>
    <w:p w:rsidR="00F64660" w:rsidRDefault="00F64660" w:rsidP="00BA281B">
      <w:pPr>
        <w:pStyle w:val="ac"/>
        <w:rPr>
          <w:rtl/>
        </w:rPr>
        <w:sectPr w:rsidR="00F64660" w:rsidSect="00C86869">
          <w:headerReference w:type="even" r:id="rId17"/>
          <w:headerReference w:type="default" r:id="rId18"/>
          <w:footnotePr>
            <w:numRestart w:val="eachPage"/>
          </w:footnotePr>
          <w:endnotePr>
            <w:numFmt w:val="decimal"/>
            <w:numRestart w:val="eachSect"/>
          </w:endnotePr>
          <w:type w:val="continuous"/>
          <w:pgSz w:w="11906" w:h="16838" w:code="9"/>
          <w:pgMar w:top="2268" w:right="2268" w:bottom="2665" w:left="2268" w:header="1979" w:footer="1106" w:gutter="0"/>
          <w:cols w:space="708"/>
          <w:titlePg/>
          <w:bidi/>
          <w:rtlGutter/>
          <w:docGrid w:linePitch="360"/>
        </w:sectPr>
      </w:pPr>
    </w:p>
    <w:p w:rsidR="00F64660" w:rsidRDefault="00F64660" w:rsidP="00BA281B">
      <w:pPr>
        <w:pStyle w:val="ac"/>
        <w:rPr>
          <w:rtl/>
        </w:rPr>
      </w:pPr>
    </w:p>
    <w:p w:rsidR="001C51A4" w:rsidRDefault="001C51A4">
      <w:pPr>
        <w:widowControl/>
        <w:bidi w:val="0"/>
        <w:spacing w:line="240" w:lineRule="auto"/>
        <w:ind w:firstLine="0"/>
        <w:jc w:val="left"/>
        <w:outlineLvl w:val="9"/>
        <w:rPr>
          <w:rtl/>
        </w:rPr>
      </w:pPr>
      <w:r>
        <w:rPr>
          <w:rtl/>
        </w:rPr>
        <w:br w:type="page"/>
      </w:r>
    </w:p>
    <w:p w:rsidR="002B224E" w:rsidRPr="001C51A4" w:rsidRDefault="002B224E" w:rsidP="001C51A4">
      <w:pPr>
        <w:widowControl/>
        <w:bidi w:val="0"/>
        <w:spacing w:line="240" w:lineRule="auto"/>
        <w:ind w:firstLine="0"/>
        <w:jc w:val="left"/>
        <w:outlineLvl w:val="9"/>
        <w:rPr>
          <w:rFonts w:ascii="Arno Pro Display" w:hAnsi="Arno Pro Display"/>
          <w:sz w:val="28"/>
          <w:szCs w:val="30"/>
          <w:rtl/>
        </w:rPr>
      </w:pPr>
    </w:p>
    <w:p w:rsidR="002B224E" w:rsidRDefault="002B224E" w:rsidP="00F64660">
      <w:pPr>
        <w:pStyle w:val="ac"/>
        <w:rPr>
          <w:rtl/>
        </w:rPr>
      </w:pPr>
    </w:p>
    <w:p w:rsidR="00F64660" w:rsidRDefault="00F64660" w:rsidP="00F64660">
      <w:pPr>
        <w:pStyle w:val="ac"/>
        <w:rPr>
          <w:rtl/>
        </w:rPr>
      </w:pPr>
    </w:p>
    <w:p w:rsidR="00F64660" w:rsidRPr="001C51A4" w:rsidRDefault="00F64660" w:rsidP="00F64660">
      <w:pPr>
        <w:pStyle w:val="ac"/>
        <w:rPr>
          <w:sz w:val="20"/>
          <w:szCs w:val="22"/>
          <w:rtl/>
        </w:rPr>
      </w:pPr>
    </w:p>
    <w:p w:rsidR="00F64660" w:rsidRPr="009A37E1" w:rsidRDefault="00F64660" w:rsidP="00F64660">
      <w:pPr>
        <w:pStyle w:val="ac"/>
        <w:rPr>
          <w:rtl/>
        </w:rPr>
      </w:pPr>
    </w:p>
    <w:p w:rsidR="00F64660" w:rsidRPr="001C51A4" w:rsidRDefault="00F64660" w:rsidP="002B224E">
      <w:pPr>
        <w:pStyle w:val="aff2"/>
        <w:rPr>
          <w:sz w:val="36"/>
          <w:szCs w:val="54"/>
          <w:rtl/>
        </w:rPr>
        <w:sectPr w:rsidR="00F64660" w:rsidRPr="001C51A4" w:rsidSect="00C86869">
          <w:headerReference w:type="even" r:id="rId19"/>
          <w:headerReference w:type="default" r:id="rId20"/>
          <w:footnotePr>
            <w:numRestart w:val="eachPage"/>
          </w:footnotePr>
          <w:endnotePr>
            <w:numFmt w:val="decimal"/>
            <w:numRestart w:val="eachSect"/>
          </w:endnotePr>
          <w:type w:val="continuous"/>
          <w:pgSz w:w="11906" w:h="16838" w:code="9"/>
          <w:pgMar w:top="2268" w:right="2268" w:bottom="2665" w:left="2268" w:header="1979" w:footer="1106" w:gutter="0"/>
          <w:cols w:space="708"/>
          <w:titlePg/>
          <w:bidi/>
          <w:rtlGutter/>
          <w:docGrid w:linePitch="360"/>
        </w:sectPr>
      </w:pPr>
      <w:bookmarkStart w:id="46" w:name="_Toc169521349"/>
      <w:bookmarkStart w:id="47" w:name="_Toc130368025"/>
    </w:p>
    <w:p w:rsidR="002B224E" w:rsidRPr="00764436" w:rsidRDefault="002B224E" w:rsidP="002B224E">
      <w:pPr>
        <w:pStyle w:val="aff2"/>
        <w:rPr>
          <w:rtl/>
        </w:rPr>
      </w:pPr>
      <w:bookmarkStart w:id="48" w:name="_Toc275127875"/>
      <w:r w:rsidRPr="00764436">
        <w:rPr>
          <w:rFonts w:hint="cs"/>
          <w:rtl/>
        </w:rPr>
        <w:lastRenderedPageBreak/>
        <w:t>الإسلام، النسوية وسيادة الرجل</w:t>
      </w:r>
      <w:bookmarkEnd w:id="46"/>
      <w:bookmarkEnd w:id="48"/>
    </w:p>
    <w:p w:rsidR="002B224E" w:rsidRPr="00764436" w:rsidRDefault="0043229F" w:rsidP="0043229F">
      <w:pPr>
        <w:pStyle w:val="af7"/>
        <w:ind w:left="2880"/>
        <w:rPr>
          <w:rtl/>
        </w:rPr>
      </w:pPr>
      <w:bookmarkStart w:id="49" w:name="_Toc169521350"/>
      <w:r>
        <w:rPr>
          <w:rFonts w:hint="cs"/>
          <w:rtl/>
        </w:rPr>
        <w:t xml:space="preserve">     </w:t>
      </w:r>
      <w:bookmarkStart w:id="50" w:name="_Toc275127876"/>
      <w:r w:rsidR="002B224E" w:rsidRPr="00764436">
        <w:rPr>
          <w:rFonts w:hint="cs"/>
          <w:rtl/>
        </w:rPr>
        <w:t>د. مصطفى ملكيان</w:t>
      </w:r>
      <w:r w:rsidR="002B224E" w:rsidRPr="002B224E">
        <w:rPr>
          <w:rFonts w:cs="Taher"/>
          <w:vertAlign w:val="superscript"/>
          <w:rtl/>
        </w:rPr>
        <w:footnoteReference w:customMarkFollows="1" w:id="3"/>
        <w:t>(*)</w:t>
      </w:r>
      <w:bookmarkEnd w:id="49"/>
      <w:bookmarkEnd w:id="50"/>
    </w:p>
    <w:p w:rsidR="002B224E" w:rsidRPr="00764436" w:rsidRDefault="002B224E" w:rsidP="0043229F">
      <w:pPr>
        <w:pStyle w:val="af7"/>
        <w:spacing w:before="0" w:line="192" w:lineRule="auto"/>
        <w:rPr>
          <w:rtl/>
        </w:rPr>
      </w:pPr>
      <w:bookmarkStart w:id="51" w:name="_Toc169521351"/>
      <w:bookmarkStart w:id="52" w:name="_Toc275127877"/>
      <w:r w:rsidRPr="00764436">
        <w:rPr>
          <w:rFonts w:hint="cs"/>
          <w:rtl/>
        </w:rPr>
        <w:t>ترجمة: السيد علي عباس الموسوي</w:t>
      </w:r>
      <w:bookmarkEnd w:id="51"/>
      <w:bookmarkEnd w:id="52"/>
    </w:p>
    <w:p w:rsidR="002B224E" w:rsidRPr="001C51A4" w:rsidRDefault="002B224E" w:rsidP="001C51A4">
      <w:pPr>
        <w:pStyle w:val="afffffc"/>
      </w:pPr>
      <w:bookmarkStart w:id="53" w:name="_Toc169521352"/>
    </w:p>
    <w:p w:rsidR="002B224E" w:rsidRPr="00764436" w:rsidRDefault="002B224E" w:rsidP="002B224E">
      <w:pPr>
        <w:pStyle w:val="1"/>
        <w:rPr>
          <w:rtl/>
        </w:rPr>
      </w:pPr>
      <w:bookmarkStart w:id="54" w:name="_Toc275127878"/>
      <w:r w:rsidRPr="00764436">
        <w:rPr>
          <w:rFonts w:hint="cs"/>
          <w:rtl/>
        </w:rPr>
        <w:t>موضوعة المرأة والقراءات الثلاث للإسلام</w:t>
      </w:r>
      <w:bookmarkEnd w:id="53"/>
      <w:bookmarkEnd w:id="54"/>
    </w:p>
    <w:p w:rsidR="002B224E" w:rsidRPr="002B224E" w:rsidRDefault="0043229F" w:rsidP="002B224E">
      <w:pPr>
        <w:pStyle w:val="ac"/>
        <w:rPr>
          <w:b/>
          <w:bCs/>
          <w:rtl/>
        </w:rPr>
      </w:pPr>
      <w:r w:rsidRPr="0043229F">
        <w:rPr>
          <w:rFonts w:hint="cs"/>
        </w:rPr>
        <w:sym w:font="AGA Arabesque" w:char="F05F"/>
      </w:r>
      <w:r w:rsidRPr="0043229F">
        <w:rPr>
          <w:rFonts w:hint="cs"/>
          <w:rtl/>
        </w:rPr>
        <w:t xml:space="preserve"> </w:t>
      </w:r>
      <w:r w:rsidR="002B224E" w:rsidRPr="002B224E">
        <w:rPr>
          <w:rFonts w:hint="cs"/>
          <w:b/>
          <w:bCs/>
          <w:rtl/>
        </w:rPr>
        <w:t>تحدّثتم عن وجود قراءات ثلاث للإسلام في عالمنا المعاصر: القراءة المتحجّرة، والقراءة التقليدية، والقراءة التجديدية، هل يمكنكم أن تشرحوا لنا الفوارق الموجودة بين هذه القراءات فيما يخصّ موضوعة المرأة؟</w:t>
      </w:r>
    </w:p>
    <w:p w:rsidR="002B224E" w:rsidRPr="00764436" w:rsidRDefault="0043229F" w:rsidP="002B224E">
      <w:pPr>
        <w:pStyle w:val="ac"/>
        <w:rPr>
          <w:rtl/>
        </w:rPr>
      </w:pPr>
      <w:r>
        <w:rPr>
          <w:rFonts w:hint="cs"/>
        </w:rPr>
        <w:sym w:font="AGA Arabesque" w:char="F05E"/>
      </w:r>
      <w:r>
        <w:rPr>
          <w:rFonts w:hint="cs"/>
          <w:rtl/>
        </w:rPr>
        <w:t xml:space="preserve"> </w:t>
      </w:r>
      <w:r w:rsidR="002B224E" w:rsidRPr="00764436">
        <w:rPr>
          <w:rFonts w:hint="cs"/>
          <w:rtl/>
        </w:rPr>
        <w:t>لقد قمت بتقسيم القراءات الأساسية للإسلام ـ كما أشرتم ـ إلى ثلاثة أنواع، وذكرت ـ لدى استعراضي لها ـ أنّ بينها أحد عشر فارقاً، ولا بأس بذكر اثنين منها يرتبطان بمسألة المرأة:</w:t>
      </w:r>
    </w:p>
    <w:p w:rsidR="002B224E" w:rsidRPr="00764436" w:rsidRDefault="002B224E" w:rsidP="002B224E">
      <w:pPr>
        <w:pStyle w:val="ac"/>
        <w:rPr>
          <w:rtl/>
        </w:rPr>
      </w:pPr>
      <w:r w:rsidRPr="002B224E">
        <w:rPr>
          <w:rFonts w:hint="cs"/>
          <w:b/>
          <w:bCs/>
          <w:rtl/>
        </w:rPr>
        <w:t>الأوّل:</w:t>
      </w:r>
      <w:r w:rsidRPr="00764436">
        <w:rPr>
          <w:rFonts w:hint="cs"/>
          <w:rtl/>
        </w:rPr>
        <w:t xml:space="preserve"> تولي القراءة المتحجّرة اهتماماً خاصا لظاهر الدين، ولا تكلّف نفسها البحث عن روحه والمعنى المتضمّن وراء الكلام؛ لذا كان المنحى الذي تنحوه في التعاطي </w:t>
      </w:r>
      <w:r w:rsidRPr="002B224E">
        <w:rPr>
          <w:rFonts w:hint="cs"/>
          <w:rtl/>
        </w:rPr>
        <w:t xml:space="preserve">مع الكتاب والسنّة ذا نزعةٍ لفظية حرفيّة، لا تجد فيه عدولاً عن ظاهر اللفظ إلا نادراً، وهي بهذا تفترق عن القراءة التجديدية التي تسعى للبحث عن روح الدين وعن المعنى </w:t>
      </w:r>
      <w:r w:rsidRPr="002B224E">
        <w:rPr>
          <w:rFonts w:hint="cs"/>
          <w:rtl/>
        </w:rPr>
        <w:lastRenderedPageBreak/>
        <w:t xml:space="preserve">المتضمّن خلف الكلمات، وهذا الفارق القائم بين القراءة المتحجّرة من جهة والقراءة التقليدية والتجديدية من جهة أخرى له أثره الكبير على </w:t>
      </w:r>
      <w:r w:rsidRPr="00764436">
        <w:rPr>
          <w:rFonts w:hint="cs"/>
          <w:rtl/>
        </w:rPr>
        <w:t xml:space="preserve">مناولة </w:t>
      </w:r>
      <w:r>
        <w:rPr>
          <w:rFonts w:hint="cs"/>
          <w:rtl/>
        </w:rPr>
        <w:t xml:space="preserve"> </w:t>
      </w:r>
      <w:r w:rsidRPr="00764436">
        <w:rPr>
          <w:rFonts w:hint="cs"/>
          <w:rtl/>
        </w:rPr>
        <w:t>موضوعة المرأة.</w:t>
      </w:r>
    </w:p>
    <w:p w:rsidR="002B224E" w:rsidRPr="00764436" w:rsidRDefault="002B224E" w:rsidP="00C916BC">
      <w:pPr>
        <w:pStyle w:val="ac"/>
        <w:rPr>
          <w:rtl/>
        </w:rPr>
      </w:pPr>
      <w:r w:rsidRPr="002B224E">
        <w:rPr>
          <w:rFonts w:hint="cs"/>
          <w:b/>
          <w:bCs/>
          <w:rtl/>
        </w:rPr>
        <w:t>الثاني:</w:t>
      </w:r>
      <w:r w:rsidRPr="00764436">
        <w:rPr>
          <w:rFonts w:hint="cs"/>
          <w:rtl/>
        </w:rPr>
        <w:t xml:space="preserve"> ويرجع إلى أنّ القراءة المتحجّرة قراءةٌ تشريعية، أي أنّها ـ وبعبارةٍ أخرى ـ ترى الدين منحصراً في الفقه، وترى في بقاء الفقه بقاءَ أساس الدين وكيانه، وأنّ حياة الإنسان كلّما كانت أكثر تطابقاً مع الفقه وأحكامه كانت أكثر إيماناً وتديّناً، أمّا القراءتان الأخريتان ـ التجديدية والتقليدية ـ فليستا ذات نزعة فقهية غالبة، وهما بهذا تمتازان عن القراءة المتحجّرة، نعم تمتاز القراءة التقليدية عن التجديديّة باهتمامها بالفقه أكثر، لكنّها لا تنظر إليه إلا بوصفه وسيلةً، أي أنّ مدى اهتمامها به يرجع إلى مدى الخدمة التي يؤدّيها في سبيل الوصول إلى الغاية المنشودة، فمتى كان الفقه أقلّ خدمةً في طريق الوصول إلى الهدف كان الاهتمام به أقلّ، كما أنّ القراءة التجديديّة لا تُولي الفقه اهتماماً يُذكر، بل تركّزه على الأخلاق والسلوك الأخلاقي، ولهذا الفارق أثره في البحث عن موضوعة المرأة أيضاً.</w:t>
      </w:r>
    </w:p>
    <w:p w:rsidR="002B224E" w:rsidRDefault="002B224E" w:rsidP="00C916BC">
      <w:pPr>
        <w:pStyle w:val="ac"/>
        <w:rPr>
          <w:rtl/>
        </w:rPr>
      </w:pPr>
      <w:r w:rsidRPr="00764436">
        <w:rPr>
          <w:rFonts w:hint="cs"/>
          <w:rtl/>
        </w:rPr>
        <w:t>ويجمد أنصار القراءة المتحجّرة على ظاهر الآيات والروايات، ويعتمدون على ما تمّ استنباطه من الكتاب والسنّة قبل عشرة أو اثني عشر قرناً، ومن الطبيعي أن تكون النزعة السائدة لديهم هي الاتجاه نحو سيادة الرجل أو فقل: النزعة الذكورية، أمّا القراءتان: التقليدية والتجديدية، فتميلان إلى المرأة في نظرتها للأمور، نعم، يمتاز الفكر الإسلامي التقليدي بحضورٍ قويّ للبعد العرفاني، فللعرفاء منذ قديم الأيّام ـ سواء الإسلاميين منهم أو غيرهم ـ إحاطة بعلم النفس أو أنهم ـ بعبارة أخرى ـ يملكون وعياً أعمق للإنسان، ولذا تقلّ ملاحظتهم للفارق بين الرجل والمرأة، وفي الواقع ترتبط قوّة ملاحظة الفارق بين الرجل والمرأة بمدى اقتراب علم النفس عندنا للفهم العرفي للإنسان القديم (</w:t>
      </w:r>
      <w:r w:rsidRPr="00764436">
        <w:t>common sense</w:t>
      </w:r>
      <w:r w:rsidRPr="00764436">
        <w:rPr>
          <w:rFonts w:hint="cs"/>
          <w:rtl/>
        </w:rPr>
        <w:t>).</w:t>
      </w:r>
    </w:p>
    <w:p w:rsidR="002B224E" w:rsidRPr="00764436" w:rsidRDefault="002B224E" w:rsidP="00C916BC">
      <w:pPr>
        <w:pStyle w:val="afffffc"/>
        <w:rPr>
          <w:rtl/>
        </w:rPr>
      </w:pPr>
    </w:p>
    <w:p w:rsidR="002B224E" w:rsidRPr="00764436" w:rsidRDefault="002B224E" w:rsidP="002B224E">
      <w:pPr>
        <w:pStyle w:val="1"/>
        <w:rPr>
          <w:rtl/>
        </w:rPr>
      </w:pPr>
      <w:bookmarkStart w:id="55" w:name="_Toc169521353"/>
      <w:bookmarkStart w:id="56" w:name="_Toc275127879"/>
      <w:r w:rsidRPr="00764436">
        <w:rPr>
          <w:rFonts w:hint="cs"/>
          <w:rtl/>
        </w:rPr>
        <w:t>اتجاهات النزعة الذكورية</w:t>
      </w:r>
      <w:bookmarkEnd w:id="55"/>
      <w:bookmarkEnd w:id="56"/>
    </w:p>
    <w:p w:rsidR="002B224E" w:rsidRPr="002B224E" w:rsidRDefault="0043229F" w:rsidP="002B224E">
      <w:pPr>
        <w:pStyle w:val="ac"/>
        <w:rPr>
          <w:b/>
          <w:bCs/>
          <w:rtl/>
        </w:rPr>
      </w:pPr>
      <w:r w:rsidRPr="0043229F">
        <w:rPr>
          <w:rFonts w:hint="cs"/>
        </w:rPr>
        <w:sym w:font="AGA Arabesque" w:char="F05F"/>
      </w:r>
      <w:r w:rsidRPr="0043229F">
        <w:rPr>
          <w:rFonts w:hint="cs"/>
          <w:rtl/>
        </w:rPr>
        <w:t xml:space="preserve"> </w:t>
      </w:r>
      <w:r w:rsidR="002B224E" w:rsidRPr="002B224E">
        <w:rPr>
          <w:rFonts w:hint="cs"/>
          <w:b/>
          <w:bCs/>
          <w:rtl/>
        </w:rPr>
        <w:t>ما هو مقصودكم من سيادة الرجل أو النزعة الذكورية في قراءة موضوعة المرأة؟</w:t>
      </w:r>
    </w:p>
    <w:p w:rsidR="00F64660" w:rsidRDefault="0043229F" w:rsidP="00F64660">
      <w:pPr>
        <w:pStyle w:val="ac"/>
        <w:rPr>
          <w:rtl/>
        </w:rPr>
      </w:pPr>
      <w:r>
        <w:rPr>
          <w:rFonts w:hint="cs"/>
        </w:rPr>
        <w:lastRenderedPageBreak/>
        <w:sym w:font="AGA Arabesque" w:char="F05E"/>
      </w:r>
      <w:r>
        <w:rPr>
          <w:rFonts w:hint="cs"/>
          <w:rtl/>
        </w:rPr>
        <w:t xml:space="preserve"> </w:t>
      </w:r>
      <w:r w:rsidR="002B224E" w:rsidRPr="00764436">
        <w:rPr>
          <w:rFonts w:hint="cs"/>
          <w:rtl/>
        </w:rPr>
        <w:t>من المهمّ الاطلاع ـ بشكل أفضل ـ على مفهوم سيادة الرجل والمراد من هذه الكلمة، إنّ النزعات الذكورية مختلفة، ولا يمكننا اعتبار جميع الآراء ذات النزعة الذكورية سواء، نعم لنا تصنيفها إلى ثلاث فئات:</w:t>
      </w:r>
    </w:p>
    <w:p w:rsidR="002B224E" w:rsidRPr="00764436" w:rsidRDefault="002B224E" w:rsidP="00F64660">
      <w:pPr>
        <w:pStyle w:val="ac"/>
        <w:rPr>
          <w:rtl/>
        </w:rPr>
      </w:pPr>
      <w:r w:rsidRPr="0043229F">
        <w:rPr>
          <w:rFonts w:hint="cs"/>
          <w:b/>
          <w:bCs/>
          <w:rtl/>
        </w:rPr>
        <w:t>الفئة الأولى:</w:t>
      </w:r>
      <w:r w:rsidRPr="00764436">
        <w:rPr>
          <w:rFonts w:hint="cs"/>
          <w:rtl/>
        </w:rPr>
        <w:t xml:space="preserve"> وهي التي ترى في المرأة جنساً أدون من الرجل.</w:t>
      </w:r>
    </w:p>
    <w:p w:rsidR="002B224E" w:rsidRPr="00764436" w:rsidRDefault="002B224E" w:rsidP="002B224E">
      <w:pPr>
        <w:pStyle w:val="ac"/>
        <w:rPr>
          <w:rtl/>
        </w:rPr>
      </w:pPr>
      <w:r w:rsidRPr="0043229F">
        <w:rPr>
          <w:rFonts w:hint="cs"/>
          <w:b/>
          <w:bCs/>
          <w:rtl/>
        </w:rPr>
        <w:t>الفئة الثانية:</w:t>
      </w:r>
      <w:r w:rsidRPr="00764436">
        <w:rPr>
          <w:rFonts w:hint="cs"/>
          <w:rtl/>
        </w:rPr>
        <w:t xml:space="preserve"> وترى للرجل مجموعةً من الحقوق والامتيازات.</w:t>
      </w:r>
    </w:p>
    <w:p w:rsidR="002B224E" w:rsidRPr="00764436" w:rsidRDefault="002B224E" w:rsidP="002B224E">
      <w:pPr>
        <w:pStyle w:val="ac"/>
        <w:rPr>
          <w:rtl/>
        </w:rPr>
      </w:pPr>
      <w:r w:rsidRPr="0043229F">
        <w:rPr>
          <w:rFonts w:hint="cs"/>
          <w:b/>
          <w:bCs/>
          <w:rtl/>
        </w:rPr>
        <w:t>الفئة الثالثة:</w:t>
      </w:r>
      <w:r w:rsidRPr="00764436">
        <w:rPr>
          <w:rFonts w:hint="cs"/>
          <w:rtl/>
        </w:rPr>
        <w:t xml:space="preserve"> وترى في الأب استمرار النسل، لذا فهو صاحبه.</w:t>
      </w:r>
    </w:p>
    <w:p w:rsidR="002B224E" w:rsidRPr="00764436" w:rsidRDefault="002B224E" w:rsidP="002B224E">
      <w:pPr>
        <w:pStyle w:val="ac"/>
        <w:rPr>
          <w:rtl/>
        </w:rPr>
      </w:pPr>
      <w:r w:rsidRPr="00764436">
        <w:rPr>
          <w:rFonts w:hint="cs"/>
          <w:rtl/>
        </w:rPr>
        <w:t>وتوضيحاً منّا لهذه الفئات، نتحدّث عنها بالتفصيل؛ فالفئة الثانية محض حقوقية، حيث المرأة لابد لها من استئذان الرجل في سلسلةٍ من الأمور، ولا يحقّ لها القيام بمجموعةٍ من التصرّفات، فالرجل هو الذي يحدّد لها وظيفتها، أمّا الفئة الأولى ـ أي التي ترى المرأة أدون من الرجل ـ فلا تقرأ الموضوع من زاوية حقوقية، بل تعتمد قراءة الخارج وعالم التكوين، ومثال ذلك: أرسطو الذي ادعى أنّ في المرأة نقاط ضعفٍ أخلاقية أكثر من الرجل، وهذه الدعوى تنظر إلى عالم التكوين والخارج، ولا أريد أن أتحدّث هنا عن صواب نظرية أرسطو أو خطئها، فما أهدفه أنّه لم يُشد رؤيته هذه على المعايير الحقوقية.</w:t>
      </w:r>
    </w:p>
    <w:p w:rsidR="002B224E" w:rsidRPr="00764436" w:rsidRDefault="002B224E" w:rsidP="002B224E">
      <w:pPr>
        <w:pStyle w:val="ac"/>
        <w:rPr>
          <w:rtl/>
        </w:rPr>
      </w:pPr>
      <w:r w:rsidRPr="00764436">
        <w:rPr>
          <w:rFonts w:hint="cs"/>
          <w:rtl/>
        </w:rPr>
        <w:t>مثالٌ آخر أيضاً هو الخواجة نصير الدين الطوسي، الذي يعتقد ـ كسائر أعلامنا ـ أنّ المرأة إنما خُلقت لخدمة الرجل؛ فقد ذكر في كتاب (أخلاق ناصري) أنّ الله عز وجل خلق الرجل، ووجد بعد ذلك أنّ استمراره في هذه الحياة يتوقّف على تأمين مجموعةٍ من الحاجيات، ومن هذه الحاجيات بقاء النوع، كما لابدّ له من الخروج من بيته وبقاء شخصٍ في منزله يعتني به ويحفظه في غيبته، فلو أراد الله أن يوكل هذين الأمرين إلى شخصين لكان في ذلك كُلفة زائدة، فخلق الله مخلوقاً يؤدّي كلتا الوظيفتين، فكانت المرأة هي هذا المخلوق الذي به يتمّ حفظ النوع، كما ويقوم بخدمة الرجل أيضاً، فلاحظوا هذه النزعة الذكورية في هذه النظريّة.</w:t>
      </w:r>
    </w:p>
    <w:p w:rsidR="002B224E" w:rsidRPr="00764436" w:rsidRDefault="002B224E" w:rsidP="002B224E">
      <w:pPr>
        <w:pStyle w:val="ac"/>
        <w:rPr>
          <w:rtl/>
        </w:rPr>
      </w:pPr>
      <w:r w:rsidRPr="00764436">
        <w:rPr>
          <w:rFonts w:hint="cs"/>
          <w:rtl/>
        </w:rPr>
        <w:t xml:space="preserve">نعم، هذه النزعة الذكورية ـ وكما ذكرنا ـ تضعف وتشتدّ، لكنّ الفئات الثلاث المتقدّمة تشترك في أصل وجودها، ولا ترتبط هذه النزعة بالإسلام، بل لدى العديد من </w:t>
      </w:r>
      <w:r w:rsidRPr="00764436">
        <w:rPr>
          <w:rFonts w:hint="cs"/>
          <w:rtl/>
        </w:rPr>
        <w:lastRenderedPageBreak/>
        <w:t>الأديان الأخرى مثلها، فمثلاً ورد في تعاليم بوذا أنّه لا ينبغي للراهب الاعتماد على المرأة، بل لابدّ له أن يضع في خاطره دوماً أنّها تجسّد الاحتيال والخديعة، كما جاء في التعاليم اليهودية أنّ على الرجل عندما يستيقظ صباحاً أن يشكر الله؛ لأنّه لم يخلقه أنثى، وطبق ما تمليه التعاليم الهندية، على المرأة أن تُقدم على إحراق نفسها بالنار التي يُحرق بها جسد زوجها المتوفى.</w:t>
      </w:r>
    </w:p>
    <w:p w:rsidR="002B224E" w:rsidRPr="00764436" w:rsidRDefault="002B224E" w:rsidP="0043229F">
      <w:pPr>
        <w:pStyle w:val="ac"/>
        <w:rPr>
          <w:rtl/>
        </w:rPr>
      </w:pPr>
      <w:r w:rsidRPr="00764436">
        <w:rPr>
          <w:rFonts w:hint="cs"/>
          <w:rtl/>
        </w:rPr>
        <w:t>إنّ ملاحظة القراءات الثلاث الموجودة إسلامياً: المتحجّرة، والتقليدية،</w:t>
      </w:r>
      <w:r w:rsidR="0043229F">
        <w:rPr>
          <w:rFonts w:hint="cs"/>
          <w:rtl/>
        </w:rPr>
        <w:t xml:space="preserve"> </w:t>
      </w:r>
      <w:r w:rsidRPr="00764436">
        <w:rPr>
          <w:rFonts w:hint="cs"/>
          <w:rtl/>
        </w:rPr>
        <w:t>والتجديدية، سوف تبدي لنا ـ وبوضوح ـ اختلاف النزعة الذكورية فيها، ففي الفكر المتحجّر تشتدّ هذه النزعة، فيما تكون أقلّ شدّةً في الفكر التقليدي؛ لأن الإسلام يمتاز بنزعةٍ إنسانية أخلاقية، أمّا الإسلام التجديدي فهو يعطي للعقل دوره ويرى في حقوق البشر ـ على ما أقرّه الإعلان العالمي لحقوق الإنسان عام 1948م ـ مظهراً لهذه النزعة العقلية.</w:t>
      </w:r>
    </w:p>
    <w:p w:rsidR="002B224E" w:rsidRPr="00764436" w:rsidRDefault="002B224E" w:rsidP="002B224E">
      <w:pPr>
        <w:pStyle w:val="ac"/>
        <w:rPr>
          <w:rtl/>
        </w:rPr>
      </w:pPr>
      <w:r w:rsidRPr="00764436">
        <w:rPr>
          <w:rFonts w:hint="cs"/>
          <w:rtl/>
        </w:rPr>
        <w:t>إلى أيّ حدٍّ يخضع التفسير الديني والفكر الديني في نزعته الذكورية إلى ثقافة الزمن، والى أيّ حدّ يخضع للتعاليم الدينية؟ بعبارة أخرى: إلى أيّ حدّ يرتبط في واقعه بذاتيات الدين وعرضياته؟ ألا تدلّنا هذه الخصوصية المشتركة بين الأديان على تأثرها بالمجتمع المحيط بها؟</w:t>
      </w:r>
    </w:p>
    <w:p w:rsidR="002B224E" w:rsidRPr="00764436" w:rsidRDefault="002B224E" w:rsidP="0043229F">
      <w:pPr>
        <w:pStyle w:val="ac"/>
        <w:rPr>
          <w:rtl/>
        </w:rPr>
      </w:pPr>
      <w:r w:rsidRPr="00764436">
        <w:rPr>
          <w:rFonts w:hint="cs"/>
          <w:rtl/>
        </w:rPr>
        <w:t>نعم، الأمر كما ذكرتم، فالنزعة الذكورية لدى أتباع الأديان المختلفة، وأتباع الدين الإسلامي أيضاً، ترجع إلى أنّ مؤسّسي هذه الأديان والمذاهب ـ سواء في حالة تلقّيهم للوحي من عالم الواقع أ</w:t>
      </w:r>
      <w:r w:rsidR="0043229F">
        <w:rPr>
          <w:rFonts w:hint="cs"/>
          <w:rtl/>
        </w:rPr>
        <w:t>م</w:t>
      </w:r>
      <w:r w:rsidRPr="00764436">
        <w:rPr>
          <w:rFonts w:hint="cs"/>
          <w:rtl/>
        </w:rPr>
        <w:t xml:space="preserve"> في مقام إبلاغهم ما تلقّوه لمخاطبيهم ـ كانوا خاضعين لتأثير ثقافة زمانهم.</w:t>
      </w:r>
    </w:p>
    <w:p w:rsidR="002B224E" w:rsidRPr="00764436" w:rsidRDefault="002B224E" w:rsidP="002B224E">
      <w:pPr>
        <w:pStyle w:val="ac"/>
        <w:rPr>
          <w:rtl/>
        </w:rPr>
      </w:pPr>
      <w:r w:rsidRPr="00764436">
        <w:rPr>
          <w:rFonts w:hint="cs"/>
          <w:rtl/>
        </w:rPr>
        <w:t xml:space="preserve">لكن لابدّ من الالتفات إلى أمرٍ مهمّ، وهو أن احتواء الأديان جميعها على مجموعةٍ من الحقائق المرتبطة بالإنسان لا يبرّر لنا الحكم عليها كلّها بالخطأ، ومن جملتها الفوارق الموجودة بين طبيعة الرجل وطبيعة المرأة، نعم، لا تبلغ هذه الفوارق درجة اعتبار المرأة الحدّ الفاصل بين الإنسان والحيوان كما قاله بعض قدمائنا، إنّ ما أريد قوله هو أنه لا يمكننا غضّ الطرف عن الاختلاف الموجود بين الرجل والمرأة في مختلف المجالات، </w:t>
      </w:r>
      <w:r w:rsidRPr="00764436">
        <w:rPr>
          <w:rFonts w:hint="cs"/>
          <w:rtl/>
        </w:rPr>
        <w:lastRenderedPageBreak/>
        <w:t>وصرفه عن بعض الخصوصيات الحقيقيّة الواقعيّة.</w:t>
      </w:r>
    </w:p>
    <w:p w:rsidR="002B224E" w:rsidRPr="00764436" w:rsidRDefault="002B224E" w:rsidP="002B224E">
      <w:pPr>
        <w:pStyle w:val="ac"/>
        <w:rPr>
          <w:rtl/>
        </w:rPr>
      </w:pPr>
      <w:r w:rsidRPr="00764436">
        <w:rPr>
          <w:rFonts w:hint="cs"/>
          <w:rtl/>
        </w:rPr>
        <w:t>يتحدّث أحد أهمّ رموز الدراسات الإنسانية في عالمنا المعاصر، ويدعى كين ويلبر (</w:t>
      </w:r>
      <w:r w:rsidRPr="00764436">
        <w:t>ken willber</w:t>
      </w:r>
      <w:r w:rsidRPr="00764436">
        <w:rPr>
          <w:rFonts w:hint="cs"/>
          <w:rtl/>
        </w:rPr>
        <w:t>) ـ وهو شخص قلّ نظيره؛ لما يتمتّع به من اطلاع على تقاليدنا الدينية وعلى مختلف مذاهب الأنسنة وعلم النفس، وهو كذلك من أهل الكشف والشهود ـ يتحدّث عن الفارق بين الجنسين بما يرجع إلى أنّ الرجل والمرأة يفترقان كافتراق رتبتين من رتب الروح، لكننا كلّما ارتقينا في هذه الرتب وذهبنا بها بعيداً زال</w:t>
      </w:r>
      <w:r>
        <w:rPr>
          <w:rFonts w:hint="cs"/>
          <w:rtl/>
        </w:rPr>
        <w:t xml:space="preserve"> </w:t>
      </w:r>
      <w:r w:rsidRPr="00764436">
        <w:rPr>
          <w:rFonts w:hint="cs"/>
          <w:rtl/>
        </w:rPr>
        <w:t>الفارق المذكور، وهذا رأي أؤيده أنا أيضاً.</w:t>
      </w:r>
    </w:p>
    <w:p w:rsidR="002B224E" w:rsidRDefault="002B224E" w:rsidP="002B224E">
      <w:pPr>
        <w:pStyle w:val="ac"/>
        <w:rPr>
          <w:rtl/>
        </w:rPr>
      </w:pPr>
      <w:r w:rsidRPr="00764436">
        <w:rPr>
          <w:rFonts w:hint="cs"/>
          <w:rtl/>
        </w:rPr>
        <w:t>وخلاصة القول: إنني أُقرّ بأنّ كثيراً من الآراء التي كانت متعارفةً في ثقافة ذلك الزمان الذي عاش فيه مؤسّسو الأديان والمذاهب، راسخةٌ فيها، وبوصفي مسلماً مجدّداً يحقّ الفصل بين هذه الآراء وبين الدين، وأن أعمل على استنطاق المعنى الموجود وراء اللفظ، أو كما سمّيتموه أنتم: عرضيات الدين، مع الالتزام في الوقت عينه بما توصّلت إليه الأبحاث العلمية من اختلافات موجودة بين الرجل والمرأة.</w:t>
      </w:r>
    </w:p>
    <w:p w:rsidR="002B224E" w:rsidRPr="00764436" w:rsidRDefault="002B224E" w:rsidP="00C916BC">
      <w:pPr>
        <w:pStyle w:val="afffffc"/>
        <w:rPr>
          <w:rtl/>
        </w:rPr>
      </w:pPr>
    </w:p>
    <w:p w:rsidR="002B224E" w:rsidRPr="00764436" w:rsidRDefault="002B224E" w:rsidP="002B224E">
      <w:pPr>
        <w:pStyle w:val="1"/>
        <w:rPr>
          <w:rtl/>
        </w:rPr>
      </w:pPr>
      <w:bookmarkStart w:id="57" w:name="_Toc169521354"/>
      <w:bookmarkStart w:id="58" w:name="_Toc275127880"/>
      <w:r w:rsidRPr="00764436">
        <w:rPr>
          <w:rFonts w:hint="cs"/>
          <w:rtl/>
        </w:rPr>
        <w:t>الاختلاف الطبيعي بين الجنسين ومديات التأثير</w:t>
      </w:r>
      <w:bookmarkEnd w:id="57"/>
      <w:bookmarkEnd w:id="58"/>
    </w:p>
    <w:p w:rsidR="002B224E" w:rsidRPr="002B224E" w:rsidRDefault="0043229F" w:rsidP="002B224E">
      <w:pPr>
        <w:pStyle w:val="ac"/>
        <w:rPr>
          <w:b/>
          <w:bCs/>
          <w:rtl/>
        </w:rPr>
      </w:pPr>
      <w:r w:rsidRPr="0043229F">
        <w:rPr>
          <w:rFonts w:hint="cs"/>
        </w:rPr>
        <w:sym w:font="AGA Arabesque" w:char="F05F"/>
      </w:r>
      <w:r w:rsidRPr="0043229F">
        <w:rPr>
          <w:rFonts w:hint="cs"/>
          <w:rtl/>
        </w:rPr>
        <w:t xml:space="preserve"> </w:t>
      </w:r>
      <w:r w:rsidR="002B224E" w:rsidRPr="002B224E">
        <w:rPr>
          <w:rFonts w:hint="cs"/>
          <w:b/>
          <w:bCs/>
          <w:rtl/>
        </w:rPr>
        <w:t>لا شك في وجود فارق بين مقولتين: الأولى إنّ بين الرجل والمرأة اختلافات طبيعية ونفسية، والأخرى إنّ الرجل أفضل من المرأة، هل يوجد في عالمنا المعاصر أثرٌ لهذا التفاوت الطبيعي والنفسي في تحديد حقوق الرجل والمرأة ونوع العلاقة بينهما؟ وإذا كان الأمر كذلك فهل لكم أن تصفوه لنا؟</w:t>
      </w:r>
    </w:p>
    <w:p w:rsidR="002B224E" w:rsidRPr="00764436" w:rsidRDefault="0043229F" w:rsidP="002B224E">
      <w:pPr>
        <w:pStyle w:val="ac"/>
        <w:rPr>
          <w:rtl/>
        </w:rPr>
      </w:pPr>
      <w:r>
        <w:rPr>
          <w:rFonts w:hint="cs"/>
        </w:rPr>
        <w:sym w:font="AGA Arabesque" w:char="F05E"/>
      </w:r>
      <w:r>
        <w:rPr>
          <w:rFonts w:hint="cs"/>
          <w:rtl/>
        </w:rPr>
        <w:t xml:space="preserve"> </w:t>
      </w:r>
      <w:r w:rsidR="002B224E" w:rsidRPr="00764436">
        <w:rPr>
          <w:rFonts w:hint="cs"/>
          <w:rtl/>
        </w:rPr>
        <w:t>ما أراه أنّنا عاجزون عن جعل هذا الاختلاف التكويني الموجود بين الرجل والمرأة سبباً لوقوع اختلاف في القيم، وما أقصده من الاختلاف التكويني هو التفاوت الطبيعي والنفسي، أي التفاوت الموجود بين الرجل والمرأة من جهة الجسم والعقل، وأعلى منه من جهة النفس، فإنّ هذا التفاوت هو ما اصطلح عليه بالاختلاف التكويني.</w:t>
      </w:r>
    </w:p>
    <w:p w:rsidR="002B224E" w:rsidRPr="00764436" w:rsidRDefault="002B224E" w:rsidP="002B224E">
      <w:pPr>
        <w:pStyle w:val="ac"/>
        <w:rPr>
          <w:rtl/>
        </w:rPr>
      </w:pPr>
      <w:r w:rsidRPr="00764436">
        <w:rPr>
          <w:rFonts w:hint="cs"/>
          <w:rtl/>
        </w:rPr>
        <w:t xml:space="preserve">وكما ذكرت، لا يمكننا جعل هذا الاختلاف التكويني منطلقاً لاختلاف قيمي؛ لذا </w:t>
      </w:r>
      <w:r w:rsidRPr="00764436">
        <w:rPr>
          <w:rFonts w:hint="cs"/>
          <w:rtl/>
        </w:rPr>
        <w:lastRenderedPageBreak/>
        <w:t>لا يمكننا الحديث عن وجود نظام أخلاقي وحقوقي خاصّ بالرجل، ونظام أخلاقي وحقوقي خاص بالمرأة، ومع ذلك لا يمكننا ـ أيضاً ـ إنكار تأثير هذا الفارق التكويني على مجالات العلاقة بين الرجل والمرأة، فمثلاً لو كنت أتولّى إدارة شؤون مجتمعٍ ما فلابدّ لي ـ خلال عملية تنظيم الوظائف والعلاقات بين مختلف الطبقات الاجتماعية، ومنها علاقة الرجل والمرأة ـ من ملاحظة الفوارق النفسية الموجودة، نعم ما لا يمكن القبول به أو الدفاع عنه هو الفرص غير المتكافئة، وإلا فمبدأ الاختلاف لا يمكن إنكاره.</w:t>
      </w:r>
    </w:p>
    <w:p w:rsidR="002B224E" w:rsidRPr="00764436" w:rsidRDefault="002B224E" w:rsidP="002B224E">
      <w:pPr>
        <w:pStyle w:val="ac"/>
        <w:rPr>
          <w:rtl/>
        </w:rPr>
      </w:pPr>
      <w:r w:rsidRPr="00764436">
        <w:rPr>
          <w:rFonts w:hint="cs"/>
          <w:rtl/>
        </w:rPr>
        <w:t>فما لا ينبغي فعله وتكريسه، بل يوصف بالظالم اللاإنساني، هو التمييز في الفرص، أي أن نوفّر للرجل فرصاً لا نوفّرها للمرأة أو العكس، أمّا إذا قمنا بتوفير فرص متكافئة لكلا الطرفين فقد يؤدّي الاختلاف النفسي التكويني الموجود بين الرجل والمرأة إلى قيامها باختيار وظائف مختلفة غير متساوية.</w:t>
      </w:r>
    </w:p>
    <w:p w:rsidR="002B224E" w:rsidRPr="00764436" w:rsidRDefault="002B224E" w:rsidP="002B224E">
      <w:pPr>
        <w:pStyle w:val="ac"/>
        <w:rPr>
          <w:rtl/>
        </w:rPr>
      </w:pPr>
      <w:r w:rsidRPr="00764436">
        <w:rPr>
          <w:rFonts w:hint="cs"/>
          <w:rtl/>
        </w:rPr>
        <w:t>لنفترض أنّ مديراً لروضة أطفال ذهب بهم إلى حديقة ألعاب، وأطلق لهم حريّة اللعب إلى فترةٍ ما، دون أن يفرض عليهم أيّ نوعٍ من القيود، إنّ ما ستختاره البنات قد يختلف عما يختاره الصبية، لا أريد أن أُنكر أنّ للتربية دورها في ميل الذكور إلى نوعٍ من الألعاب، كما أنّ لها دورها في ميل الإناث لنوعٍ آخر، لكننا حتى لو افترضنا عدم وجود أيّ نوع من التلقين فإنّ ذلك لا ينفي وجود فوارق نفسية موجبة لامتياز الأدوار الاجتماعية.</w:t>
      </w:r>
    </w:p>
    <w:p w:rsidR="002B224E" w:rsidRPr="002B224E" w:rsidRDefault="0043229F" w:rsidP="002B224E">
      <w:pPr>
        <w:pStyle w:val="ac"/>
        <w:rPr>
          <w:b/>
          <w:bCs/>
          <w:rtl/>
        </w:rPr>
      </w:pPr>
      <w:r w:rsidRPr="0043229F">
        <w:rPr>
          <w:rFonts w:hint="cs"/>
        </w:rPr>
        <w:sym w:font="AGA Arabesque" w:char="F05F"/>
      </w:r>
      <w:r w:rsidRPr="0043229F">
        <w:rPr>
          <w:rFonts w:hint="cs"/>
          <w:rtl/>
        </w:rPr>
        <w:t xml:space="preserve"> </w:t>
      </w:r>
      <w:r w:rsidR="002B224E" w:rsidRPr="002B224E">
        <w:rPr>
          <w:rFonts w:hint="cs"/>
          <w:b/>
          <w:bCs/>
          <w:rtl/>
        </w:rPr>
        <w:t>لكنّ هذا الفرض الذي ذكرتموه غير قابل للاختبار؟</w:t>
      </w:r>
    </w:p>
    <w:p w:rsidR="002B224E" w:rsidRPr="00764436" w:rsidRDefault="0043229F" w:rsidP="002B224E">
      <w:pPr>
        <w:pStyle w:val="ac"/>
        <w:rPr>
          <w:rtl/>
        </w:rPr>
      </w:pPr>
      <w:r>
        <w:rPr>
          <w:rFonts w:hint="cs"/>
        </w:rPr>
        <w:sym w:font="AGA Arabesque" w:char="F05E"/>
      </w:r>
      <w:r>
        <w:rPr>
          <w:rFonts w:hint="cs"/>
          <w:rtl/>
        </w:rPr>
        <w:t xml:space="preserve"> </w:t>
      </w:r>
      <w:r w:rsidR="002B224E" w:rsidRPr="00764436">
        <w:rPr>
          <w:rFonts w:hint="cs"/>
          <w:rtl/>
        </w:rPr>
        <w:t>نعم، الأمر كما ذكرتم.</w:t>
      </w:r>
    </w:p>
    <w:p w:rsidR="002B224E" w:rsidRPr="00764436" w:rsidRDefault="002B224E" w:rsidP="002B224E">
      <w:pPr>
        <w:pStyle w:val="ac"/>
        <w:rPr>
          <w:rtl/>
        </w:rPr>
      </w:pPr>
      <w:r w:rsidRPr="00764436">
        <w:rPr>
          <w:rFonts w:hint="cs"/>
          <w:rtl/>
        </w:rPr>
        <w:t>إنّ هذا المثال يرتبط بما ينبغي معرفياً ومنهجياً؟ فلنفترض أنّ مقولة: الرجل أقوى بُنيةً من المرأة، هي واقع بيولوجي، ونتيجة ذلك ضرورة إيكال الأعمال التي تحتاج إلى نوعٍ من القوّة إلى الرجل، لكنّ هذه الضرورة ضرورةٌ معرفية ومنهجية، أمّا سؤالنا فينصبّ</w:t>
      </w:r>
      <w:r w:rsidR="00F64660">
        <w:rPr>
          <w:rFonts w:hint="cs"/>
          <w:rtl/>
        </w:rPr>
        <w:t xml:space="preserve"> على ما ينبغي أخلاقياً وحقوقياً،</w:t>
      </w:r>
      <w:r w:rsidRPr="00764436">
        <w:rPr>
          <w:rFonts w:hint="cs"/>
          <w:rtl/>
        </w:rPr>
        <w:t xml:space="preserve"> ففي هذا المجال كيف تنعكس الفوارق الموجودة بين الجنسين؟</w:t>
      </w:r>
    </w:p>
    <w:p w:rsidR="002B224E" w:rsidRPr="00764436" w:rsidRDefault="002B224E" w:rsidP="001C51A4">
      <w:pPr>
        <w:pStyle w:val="ac"/>
        <w:spacing w:line="199" w:lineRule="auto"/>
        <w:rPr>
          <w:rtl/>
        </w:rPr>
      </w:pPr>
      <w:r w:rsidRPr="00764436">
        <w:rPr>
          <w:rFonts w:hint="cs"/>
          <w:rtl/>
        </w:rPr>
        <w:lastRenderedPageBreak/>
        <w:t>أنا لا أقول: (ينبغي) حتى في البحث المنهجي، بل ما أُريد قوله هو أنّنا مطالبون بإيجاد فرص متساوية، لا إيكال هذا العمل للرجل وذاك للمرأة، فمتى أوجدنا فرصاً متساوية من الممكن ـ وبسبب هذا الاختلاف البيولوجي والنفسي ـ أن تتّجه المرأة نحو نوعٍ معيّن من الأعمال فيما يتّجه الرجل نحو نوعٍ آخر، وهنا لا معنى لكلمة: ينبغي، إذ مع إيجادنا لفرصٍ متساوية سوف نفتح الباب ليسير كلٌّ على ما يقتضيه قوامه وبُنيته الوجودية، وبذلك يقوم باختيار دوره الذي يريد القيام به.</w:t>
      </w:r>
    </w:p>
    <w:p w:rsidR="002B224E" w:rsidRPr="00764436" w:rsidRDefault="002B224E" w:rsidP="001C51A4">
      <w:pPr>
        <w:pStyle w:val="ac"/>
        <w:spacing w:line="202" w:lineRule="auto"/>
        <w:rPr>
          <w:rtl/>
        </w:rPr>
      </w:pPr>
      <w:r w:rsidRPr="00764436">
        <w:rPr>
          <w:rFonts w:hint="cs"/>
          <w:rtl/>
        </w:rPr>
        <w:t>أمّا في باب الأخلاق والحقوق، فأميل ـ شخصيّاً ـ إلى الالتزام بالنظرية العقدية القاضية بضرورة العمل بمقتضى العقد الذي يتمّ التوافق عليه والرضا به، فمتى رضي الطرفان صارا ملزمين بالتنفيذ.</w:t>
      </w:r>
    </w:p>
    <w:p w:rsidR="002B224E" w:rsidRPr="0043229F" w:rsidRDefault="0043229F" w:rsidP="001C51A4">
      <w:pPr>
        <w:pStyle w:val="ac"/>
        <w:spacing w:line="199" w:lineRule="auto"/>
        <w:rPr>
          <w:b/>
          <w:bCs/>
          <w:rtl/>
        </w:rPr>
      </w:pPr>
      <w:r w:rsidRPr="0043229F">
        <w:rPr>
          <w:rFonts w:hint="cs"/>
        </w:rPr>
        <w:sym w:font="AGA Arabesque" w:char="F05F"/>
      </w:r>
      <w:r w:rsidRPr="0043229F">
        <w:rPr>
          <w:rFonts w:hint="cs"/>
          <w:rtl/>
        </w:rPr>
        <w:t xml:space="preserve"> </w:t>
      </w:r>
      <w:r w:rsidR="002B224E" w:rsidRPr="0043229F">
        <w:rPr>
          <w:rFonts w:hint="cs"/>
          <w:b/>
          <w:bCs/>
          <w:rtl/>
        </w:rPr>
        <w:t>ابتعدنا قليلاً عن الموضوع الأساس، ولابدّ لنا؛ لترتيب البحث، من العودة إلى السؤال الأوّل، فإذا أمكنكم شرح أوجه الاتفاق والاختلاف في صورة المرأة في الإسلامات الثلاثة التي أثرتموها ؟</w:t>
      </w:r>
      <w:r w:rsidR="002B224E" w:rsidRPr="0043229F">
        <w:rPr>
          <w:rFonts w:cs="Taher"/>
          <w:b/>
          <w:bCs/>
          <w:vertAlign w:val="superscript"/>
          <w:rtl/>
        </w:rPr>
        <w:t>(</w:t>
      </w:r>
      <w:r w:rsidR="002B224E" w:rsidRPr="0043229F">
        <w:rPr>
          <w:rFonts w:cs="Taher"/>
          <w:b/>
          <w:bCs/>
          <w:vertAlign w:val="superscript"/>
          <w:rtl/>
        </w:rPr>
        <w:footnoteReference w:id="4"/>
      </w:r>
      <w:r w:rsidR="002B224E" w:rsidRPr="0043229F">
        <w:rPr>
          <w:rFonts w:cs="Taher"/>
          <w:b/>
          <w:bCs/>
          <w:vertAlign w:val="superscript"/>
          <w:rtl/>
        </w:rPr>
        <w:t>)</w:t>
      </w:r>
      <w:r w:rsidR="002B224E" w:rsidRPr="0043229F">
        <w:rPr>
          <w:rFonts w:hint="cs"/>
          <w:b/>
          <w:bCs/>
          <w:rtl/>
        </w:rPr>
        <w:t>.</w:t>
      </w:r>
    </w:p>
    <w:p w:rsidR="002B224E" w:rsidRPr="00764436" w:rsidRDefault="0043229F" w:rsidP="001C51A4">
      <w:pPr>
        <w:pStyle w:val="ac"/>
        <w:spacing w:line="199" w:lineRule="auto"/>
      </w:pPr>
      <w:r>
        <w:rPr>
          <w:rFonts w:hint="cs"/>
        </w:rPr>
        <w:sym w:font="AGA Arabesque" w:char="F05E"/>
      </w:r>
      <w:r>
        <w:rPr>
          <w:rFonts w:hint="cs"/>
          <w:rtl/>
        </w:rPr>
        <w:t xml:space="preserve"> </w:t>
      </w:r>
      <w:r w:rsidR="002B224E" w:rsidRPr="00764436">
        <w:rPr>
          <w:rFonts w:hint="cs"/>
          <w:rtl/>
        </w:rPr>
        <w:t>إنّ وجه التشابه بين الإسلام: الأول، والثاني، والثالث، أنّها جميعاً لا تملك رؤيةً متكاملة ومنسجمة عن موضوعة المرأة، أي أنّ في كل من هذه الإسلامات مواقف ذات نزعة ذكورية، لكنّها في داخلها تحمل تعارضاً ظاهرياً، وسوف أقدّم لكم أنموذجاً عن القراءة الأولى للإسلام؛</w:t>
      </w:r>
      <w:r w:rsidR="002B224E" w:rsidRPr="00764436">
        <w:rPr>
          <w:rtl/>
        </w:rPr>
        <w:t xml:space="preserve"> </w:t>
      </w:r>
      <w:r w:rsidR="002B224E" w:rsidRPr="00764436">
        <w:rPr>
          <w:rFonts w:hint="cs"/>
          <w:rtl/>
        </w:rPr>
        <w:t>فقد ورد في الروايات المضامين التالية: كلّما ازداد إيمان الرجل ازداد حباً للنساء، وكلّ من يزداد حباً لنا أهل البيت يزداد حباً للنساء، حُبّب اليّ من دنياكم اثنان: النساء والطيب، وحُبّب إليّ من دنياكم هذه ثلاث: النساء والطيب وقرّة عيني في الصلاة، كما ورد من طريق أهل السنّة.</w:t>
      </w:r>
    </w:p>
    <w:p w:rsidR="002B224E" w:rsidRPr="00764436" w:rsidRDefault="002B224E" w:rsidP="002B224E">
      <w:pPr>
        <w:pStyle w:val="ac"/>
        <w:rPr>
          <w:rtl/>
        </w:rPr>
      </w:pPr>
      <w:r w:rsidRPr="00764436">
        <w:rPr>
          <w:rFonts w:hint="cs"/>
          <w:rtl/>
        </w:rPr>
        <w:lastRenderedPageBreak/>
        <w:t>والمستفاد من هذه الروايات كون حبّ النساء من أخلاق الأنبياء، كما تصوّر لنا هذه الروايات ـ وبأفضل بيان ـ كون حبّهنّ أمراً ممدوحاً.</w:t>
      </w:r>
    </w:p>
    <w:p w:rsidR="002B224E" w:rsidRPr="00764436" w:rsidRDefault="002B224E" w:rsidP="002B224E">
      <w:pPr>
        <w:pStyle w:val="ac"/>
      </w:pPr>
      <w:r w:rsidRPr="00764436">
        <w:rPr>
          <w:rFonts w:hint="cs"/>
          <w:rtl/>
        </w:rPr>
        <w:t>لكن في روايات أخرى ورد أيضاً: الفتن ثلاث وأحدها حبّ النساء، وأنّ المرأة سلاح الشيطان، ومن يحب النساء فلن ينتفع من دنياه بشيء، وإنما يعصى الله بست خصال: حبّ الدنيا، وحب الرئاسة، وحب الطعام، وحب النساء ..، ليس لإبليس جندٌ أفضل من اثنين: الغضب والنساء، والنساء أهمّ من الغضب.</w:t>
      </w:r>
    </w:p>
    <w:p w:rsidR="002B224E" w:rsidRPr="00764436" w:rsidRDefault="002B224E" w:rsidP="002B224E">
      <w:pPr>
        <w:pStyle w:val="ac"/>
        <w:rPr>
          <w:rtl/>
        </w:rPr>
      </w:pPr>
      <w:r w:rsidRPr="00764436">
        <w:rPr>
          <w:rFonts w:hint="cs"/>
          <w:rtl/>
        </w:rPr>
        <w:t>ومثل هذه الموارد كثير، والتعارض بينها وبين سابقتها بيّنٌ واضح.</w:t>
      </w:r>
    </w:p>
    <w:p w:rsidR="002B224E" w:rsidRPr="00764436" w:rsidRDefault="002B224E" w:rsidP="002B224E">
      <w:pPr>
        <w:pStyle w:val="ac"/>
        <w:rPr>
          <w:rtl/>
        </w:rPr>
      </w:pPr>
      <w:r w:rsidRPr="00764436">
        <w:rPr>
          <w:rFonts w:hint="cs"/>
          <w:rtl/>
        </w:rPr>
        <w:t>أمّا في الإسلام الثاني، فالتعارض وعدم التلاؤم يظهر فيه بوضوح؛ وذلك في مجموع كلمات الفقهاء وعلماء الأخلاق والمتكلّمين والفلاسفة والعرفاء، فنجد ـ مثلاً ـ في كتاب (كيمياء السعادة) للغزالي ما يلي: فعن النبي أنّه إنما يخاف على أمته من بعده فتنة النساء، وحقّ الرجل على المرأة أن تجلس في البيت ولا تخرج دون إذنه ولا تقول له إلا الحسنى، وتطيعه ولا تطلب منه الطلاق، وحقّ الرجل على المرأة عظيم، بل إنّما خلقت المرأة لخدمته، وفي الرواية أنّه لو كان لأحد أن يسجد لغير الله لكان على المرأة السجود لزوجها.</w:t>
      </w:r>
    </w:p>
    <w:p w:rsidR="002B224E" w:rsidRPr="00764436" w:rsidRDefault="002B224E" w:rsidP="002B224E">
      <w:pPr>
        <w:pStyle w:val="ac"/>
        <w:rPr>
          <w:rtl/>
        </w:rPr>
      </w:pPr>
      <w:r w:rsidRPr="00764436">
        <w:rPr>
          <w:rFonts w:hint="cs"/>
          <w:rtl/>
        </w:rPr>
        <w:t>ومن الصدف أنّ مشابهاً لهذا الكلام ورد في الكتاب المقدّس للهنود، وأنّ على المرأة الملتزمة بالتعاليم أن تعبد زوجها بوصفه ربّاً لها، وإن كان فاقداً للفضيلة وأيّ صفةٍ حسنة.</w:t>
      </w:r>
    </w:p>
    <w:p w:rsidR="002B224E" w:rsidRPr="00764436" w:rsidRDefault="002B224E" w:rsidP="002B224E">
      <w:pPr>
        <w:pStyle w:val="ac"/>
        <w:rPr>
          <w:rtl/>
        </w:rPr>
      </w:pPr>
      <w:r w:rsidRPr="00764436">
        <w:rPr>
          <w:rFonts w:hint="cs"/>
          <w:rtl/>
        </w:rPr>
        <w:t>ومن جملة ذلك، أنّه على المرأة أن تقصر همّها على القيام بوظائف البيت، والاهتمام بمصالحه، وبما يقتضيه نظام الحياة؛ لأنّها إن لم تشغل نفسها بترتيب البيت وشؤون الأولاد وتفقد مسائل الخدم ولم تقصر همّها على هذه الأمور فسوف يجرّها ذلك إلى الزينة والخروج من المنزل، والاشتغال بالنظر إلى الأجانب من الرجال.</w:t>
      </w:r>
    </w:p>
    <w:p w:rsidR="002B224E" w:rsidRPr="00764436" w:rsidRDefault="002B224E" w:rsidP="002B224E">
      <w:pPr>
        <w:pStyle w:val="ac"/>
      </w:pPr>
      <w:r w:rsidRPr="00764436">
        <w:rPr>
          <w:rFonts w:hint="cs"/>
          <w:rtl/>
        </w:rPr>
        <w:t>إجعل لنفسك هيبةً في نفس المرأة حتى لا تتمنّع عن امتثال أوامرك ونواهيك أو تهملها، وهذا هو أهمّ شرطٍ في إدارة البيت.</w:t>
      </w:r>
    </w:p>
    <w:p w:rsidR="002B224E" w:rsidRPr="00764436" w:rsidRDefault="002B224E" w:rsidP="002B224E">
      <w:pPr>
        <w:pStyle w:val="ac"/>
        <w:rPr>
          <w:rtl/>
        </w:rPr>
      </w:pPr>
      <w:r w:rsidRPr="00764436">
        <w:rPr>
          <w:rFonts w:hint="cs"/>
          <w:rtl/>
        </w:rPr>
        <w:t xml:space="preserve">من جهةٍ أخرى، نجد في الإسلام الثاني نظرةً إنسانية للمرأة تحمل محبّةً لها، لا سيما </w:t>
      </w:r>
      <w:r w:rsidRPr="00764436">
        <w:rPr>
          <w:rFonts w:hint="cs"/>
          <w:rtl/>
        </w:rPr>
        <w:lastRenderedPageBreak/>
        <w:t>عند العرفاء، وبهذا يظهر التعارض داخل الإسلام الثاني، فمثلاً يوصي مولانا جلال الدين الرومي في كتاب (فيه ما فيه) الرجالَ بعدم حبس المرأة في بيتها، ويقول: إنّ الرجل الذي يقوم بحبسها في البيت يظنّ أنّ ذلك يعود بالنفع عليها وعلى المجتمع، فيما يسيء في الحقيقة لها وللمجتمع، ثم يقدّم مثالاً لذلك يقول:</w:t>
      </w:r>
    </w:p>
    <w:p w:rsidR="002B224E" w:rsidRPr="00764436" w:rsidRDefault="002B224E" w:rsidP="002B224E">
      <w:pPr>
        <w:pStyle w:val="ac"/>
        <w:rPr>
          <w:rtl/>
        </w:rPr>
      </w:pPr>
      <w:r w:rsidRPr="00764436">
        <w:rPr>
          <w:rFonts w:hint="cs"/>
          <w:rtl/>
        </w:rPr>
        <w:t>ضع خبزك تحت إبطك وامنع الناس منه</w:t>
      </w:r>
    </w:p>
    <w:p w:rsidR="002B224E" w:rsidRPr="00764436" w:rsidRDefault="002B224E" w:rsidP="002B224E">
      <w:pPr>
        <w:pStyle w:val="ac"/>
        <w:rPr>
          <w:rtl/>
        </w:rPr>
      </w:pPr>
      <w:r w:rsidRPr="00764436">
        <w:rPr>
          <w:rFonts w:hint="cs"/>
          <w:rtl/>
        </w:rPr>
        <w:t>وقل لن أعطي خبزاً لأحد حتى لو استحقّه</w:t>
      </w:r>
    </w:p>
    <w:p w:rsidR="002B224E" w:rsidRPr="00764436" w:rsidRDefault="002B224E" w:rsidP="002B224E">
      <w:pPr>
        <w:pStyle w:val="ac"/>
        <w:rPr>
          <w:rtl/>
        </w:rPr>
      </w:pPr>
      <w:r w:rsidRPr="00764436">
        <w:rPr>
          <w:rFonts w:hint="cs"/>
          <w:rtl/>
        </w:rPr>
        <w:t>فإنّه وإن كان الخبز متوفراً والناس لا يأكلونه</w:t>
      </w:r>
    </w:p>
    <w:p w:rsidR="002B224E" w:rsidRPr="00764436" w:rsidRDefault="002B224E" w:rsidP="002B224E">
      <w:pPr>
        <w:pStyle w:val="ac"/>
        <w:rPr>
          <w:rtl/>
        </w:rPr>
      </w:pPr>
      <w:r w:rsidRPr="00764436">
        <w:rPr>
          <w:rFonts w:hint="cs"/>
          <w:rtl/>
        </w:rPr>
        <w:t>لكنّك حيث منعتهم منه فسوف يرغب جميع الخلق به</w:t>
      </w:r>
    </w:p>
    <w:p w:rsidR="002B224E" w:rsidRPr="00764436" w:rsidRDefault="002B224E" w:rsidP="002B224E">
      <w:pPr>
        <w:pStyle w:val="ac"/>
        <w:rPr>
          <w:rtl/>
        </w:rPr>
      </w:pPr>
      <w:r w:rsidRPr="00764436">
        <w:rPr>
          <w:rFonts w:hint="cs"/>
          <w:rtl/>
        </w:rPr>
        <w:t>لا سيما إذا احتفظت به لسنين وأنت تكرّر أنّك لن تعطيه لأحد</w:t>
      </w:r>
    </w:p>
    <w:p w:rsidR="002B224E" w:rsidRPr="00764436" w:rsidRDefault="002B224E" w:rsidP="002B224E">
      <w:pPr>
        <w:pStyle w:val="ac"/>
        <w:rPr>
          <w:rtl/>
        </w:rPr>
      </w:pPr>
      <w:r w:rsidRPr="00764436">
        <w:rPr>
          <w:rFonts w:hint="cs"/>
          <w:rtl/>
        </w:rPr>
        <w:t>فإنّ رغبة الناس فيه ستزداد، فالإنسان حريصٌ على ما منع منه</w:t>
      </w:r>
    </w:p>
    <w:p w:rsidR="002B224E" w:rsidRPr="00764436" w:rsidRDefault="002B224E" w:rsidP="002B224E">
      <w:pPr>
        <w:pStyle w:val="ac"/>
        <w:rPr>
          <w:rtl/>
        </w:rPr>
      </w:pPr>
      <w:r w:rsidRPr="00764436">
        <w:rPr>
          <w:rFonts w:hint="cs"/>
          <w:rtl/>
        </w:rPr>
        <w:t>وكذلك المرأة، فإنك إن أمرتها بالاستتار ومنعتها الخروج فسترغب حينئذ بهما وسيزداد الناس شغفاً بها فأنت بفعلك هذا رغّبت الناس بها وأردت الإصلاح وهو عين الفساد فإنها إن كانت جوهرة يأبي طبعها فعل الفساد فمنعك وعدمه سواء فهي لن تفعل ما فيه الفساد واعلم أنّ المنع لن يفيد سوى زيادة الرغبة.</w:t>
      </w:r>
    </w:p>
    <w:p w:rsidR="002B224E" w:rsidRDefault="002B224E" w:rsidP="002B224E">
      <w:pPr>
        <w:pStyle w:val="ac"/>
      </w:pPr>
      <w:r w:rsidRPr="00764436">
        <w:rPr>
          <w:rFonts w:hint="cs"/>
          <w:rtl/>
        </w:rPr>
        <w:t>إنّ الذي يظهر لنا من هذا كلّه أن بين الإسلام الأول والثاني والثالث نقطة اشتراك كونها لا تملك رؤيةً منسجمة داخلها تجاه موضوعة المرأة.</w:t>
      </w:r>
    </w:p>
    <w:p w:rsidR="002B224E" w:rsidRPr="00764436" w:rsidRDefault="002B224E" w:rsidP="00C916BC">
      <w:pPr>
        <w:pStyle w:val="afffffc"/>
        <w:rPr>
          <w:rtl/>
        </w:rPr>
      </w:pPr>
    </w:p>
    <w:p w:rsidR="002B224E" w:rsidRPr="00764436" w:rsidRDefault="002B224E" w:rsidP="002B224E">
      <w:pPr>
        <w:pStyle w:val="1"/>
        <w:rPr>
          <w:rtl/>
        </w:rPr>
      </w:pPr>
      <w:bookmarkStart w:id="59" w:name="_Toc169521355"/>
      <w:bookmarkStart w:id="60" w:name="_Toc275127881"/>
      <w:r w:rsidRPr="00764436">
        <w:rPr>
          <w:rFonts w:hint="cs"/>
          <w:rtl/>
        </w:rPr>
        <w:t>مسألة اختصاص الخطاب القرآني بالرجال</w:t>
      </w:r>
      <w:bookmarkEnd w:id="59"/>
      <w:bookmarkEnd w:id="60"/>
    </w:p>
    <w:p w:rsidR="002B224E" w:rsidRPr="002B224E" w:rsidRDefault="0043229F" w:rsidP="002B224E">
      <w:pPr>
        <w:pStyle w:val="ac"/>
        <w:rPr>
          <w:b/>
          <w:bCs/>
          <w:rtl/>
        </w:rPr>
      </w:pPr>
      <w:r w:rsidRPr="0043229F">
        <w:rPr>
          <w:rFonts w:hint="cs"/>
        </w:rPr>
        <w:sym w:font="AGA Arabesque" w:char="F05F"/>
      </w:r>
      <w:r w:rsidRPr="0043229F">
        <w:rPr>
          <w:rFonts w:hint="cs"/>
          <w:rtl/>
        </w:rPr>
        <w:t xml:space="preserve"> </w:t>
      </w:r>
      <w:r w:rsidR="002B224E" w:rsidRPr="002B224E">
        <w:rPr>
          <w:rFonts w:hint="cs"/>
          <w:b/>
          <w:bCs/>
          <w:rtl/>
        </w:rPr>
        <w:t>يقال أحياناً: إنّ المرأة لم تكن موضع خطاب في النصوص المقدّسة، فما هو رأيكم بهذا القول؟</w:t>
      </w:r>
    </w:p>
    <w:p w:rsidR="002B224E" w:rsidRPr="00764436" w:rsidRDefault="0043229F" w:rsidP="00C916BC">
      <w:pPr>
        <w:pStyle w:val="ac"/>
        <w:rPr>
          <w:rtl/>
        </w:rPr>
      </w:pPr>
      <w:r>
        <w:rPr>
          <w:rFonts w:hint="cs"/>
        </w:rPr>
        <w:sym w:font="AGA Arabesque" w:char="F05E"/>
      </w:r>
      <w:r>
        <w:rPr>
          <w:rFonts w:hint="cs"/>
          <w:rtl/>
        </w:rPr>
        <w:t xml:space="preserve"> </w:t>
      </w:r>
      <w:r w:rsidR="002B224E" w:rsidRPr="00764436">
        <w:rPr>
          <w:rFonts w:hint="cs"/>
          <w:rtl/>
        </w:rPr>
        <w:t xml:space="preserve">يرتبط ذلك بالنحو الذي تتمّ به عملية تفسير النص القرآني، فقد انقسم المفسّرون ـ مثلاً ـ في قوله تعالى: </w:t>
      </w:r>
      <w:r w:rsidR="00C916BC" w:rsidRPr="00C916BC">
        <w:rPr>
          <w:rtl/>
        </w:rPr>
        <w:t>﴿</w:t>
      </w:r>
      <w:r w:rsidR="002B224E" w:rsidRPr="002B224E">
        <w:rPr>
          <w:b/>
          <w:bCs/>
          <w:rtl/>
        </w:rPr>
        <w:t>الرِّجَالُ قَوَّامُونَ عَلَى النِّسَاء</w:t>
      </w:r>
      <w:r w:rsidR="00C916BC" w:rsidRPr="00C916BC">
        <w:rPr>
          <w:rtl/>
        </w:rPr>
        <w:t>﴾</w:t>
      </w:r>
      <w:r w:rsidR="002B224E" w:rsidRPr="00764436">
        <w:rPr>
          <w:rFonts w:hint="cs"/>
          <w:rtl/>
        </w:rPr>
        <w:t xml:space="preserve">، إلى العديد من الاتجاهات التفسيرية، فالغزالي يفسّر معنى القوام بالمسلّط، ويصرّح في كتاب (كيمياء السعادة) أنّ معنى قوله: الرجال قوامون، أن الرجل لابد له وأن يبقى مسلّطاً على </w:t>
      </w:r>
      <w:r w:rsidR="002B224E" w:rsidRPr="00764436">
        <w:rPr>
          <w:rFonts w:hint="cs"/>
          <w:rtl/>
        </w:rPr>
        <w:lastRenderedPageBreak/>
        <w:t xml:space="preserve">المرأة، بعضٌ آخر يفسّر القوام بمن يقوم بتأمين حاجاتها، فيكون مفاد الآية أنّ الرجل هو من تقع على عاتقه وظيفة تأمين حاجات المرأة، وبهذا نلحظ كيف أنّ شخصية المفسّر تلعب دورها في نوع التفسير، حتى أنّ بعض التفاسير قد تتعارض مع ظاهر آيات أخرى، مثل ما ورد في آية أخرى، وهي قوله تعالى: </w:t>
      </w:r>
      <w:r w:rsidR="002B224E" w:rsidRPr="00764436">
        <w:rPr>
          <w:rFonts w:hint="cs"/>
        </w:rPr>
        <w:sym w:font="Islamic Units 1" w:char="F03E"/>
      </w:r>
      <w:r w:rsidR="002B224E" w:rsidRPr="002B224E">
        <w:rPr>
          <w:b/>
          <w:bCs/>
          <w:rtl/>
        </w:rPr>
        <w:t>إِنَّا خَلَقْنَاكُم مِّن ذَكَرٍ وَأُنثَى</w:t>
      </w:r>
      <w:r w:rsidR="002B224E" w:rsidRPr="00764436">
        <w:rPr>
          <w:rFonts w:hint="cs"/>
        </w:rPr>
        <w:sym w:font="Islamic Units 1" w:char="F03C"/>
      </w:r>
      <w:r w:rsidR="002B224E" w:rsidRPr="00764436">
        <w:rPr>
          <w:rFonts w:hint="cs"/>
          <w:rtl/>
        </w:rPr>
        <w:t>، أي لا تفاوت إطلاقاً في خلق كلٍّ من الذكر والأنثى.</w:t>
      </w:r>
    </w:p>
    <w:p w:rsidR="002B224E" w:rsidRDefault="002B224E" w:rsidP="00C916BC">
      <w:pPr>
        <w:pStyle w:val="ac"/>
        <w:rPr>
          <w:rtl/>
        </w:rPr>
      </w:pPr>
      <w:r w:rsidRPr="00764436">
        <w:rPr>
          <w:rFonts w:hint="cs"/>
          <w:rtl/>
        </w:rPr>
        <w:t>وورد في مجمع البيان أنّ أسماء بنت عميس لمّا رجعت من الحبشة مع زوجها جعفر بن أبي طالب، دخلت على نساء رسول الله، فقالت: هل نزل فينا شيء من القرآن؟ قلن: لا، فأتت رسول الله، فقالت: يا رسول الله! إنّ النساء لفي خيبةٍ وخسار،</w:t>
      </w:r>
      <w:r>
        <w:rPr>
          <w:rFonts w:hint="cs"/>
          <w:rtl/>
        </w:rPr>
        <w:t xml:space="preserve"> </w:t>
      </w:r>
      <w:r w:rsidRPr="00764436">
        <w:rPr>
          <w:rFonts w:hint="cs"/>
          <w:rtl/>
        </w:rPr>
        <w:t>فقال</w:t>
      </w:r>
      <w:r w:rsidR="00C86626">
        <w:rPr>
          <w:rFonts w:hint="cs"/>
          <w:rtl/>
        </w:rPr>
        <w:t>’</w:t>
      </w:r>
      <w:r w:rsidRPr="00764436">
        <w:rPr>
          <w:rFonts w:hint="cs"/>
          <w:rtl/>
        </w:rPr>
        <w:t xml:space="preserve">: وممّ ذلك؟ قالت: لأنهنّ لا يذكرن بخيرٍ كما يُذكر الرجال، فأنزل الله تعالى قوله: </w:t>
      </w:r>
      <w:r w:rsidRPr="00764436">
        <w:rPr>
          <w:rFonts w:hint="cs"/>
        </w:rPr>
        <w:sym w:font="Islamic Units 1" w:char="F03E"/>
      </w:r>
      <w:r w:rsidRPr="002B224E">
        <w:rPr>
          <w:rFonts w:hint="cs"/>
          <w:b/>
          <w:bCs/>
          <w:rtl/>
        </w:rPr>
        <w:t>إِنَّ الْمُسْلِمِينَ وَالْمُسْلِمَاتِ وَالْمُؤْمِنِينَ وَالْمُؤْمِنَاتِ وَالْقَانِتِينَ وَالْقَانِتَاتِ وَالصَّادِقِينَ وَالصَّادِقَاتِ وَالصَّابِرِينَ وَالصَّابِرَاتِ وَالْخَاشِعِينَ وَالْخَاشِعَاتِ وَالْمُتَصَدِّقِينَ</w:t>
      </w:r>
      <w:r>
        <w:rPr>
          <w:rFonts w:hint="cs"/>
          <w:b/>
          <w:bCs/>
          <w:rtl/>
        </w:rPr>
        <w:t xml:space="preserve"> </w:t>
      </w:r>
      <w:r w:rsidRPr="002B224E">
        <w:rPr>
          <w:rFonts w:hint="cs"/>
          <w:b/>
          <w:bCs/>
          <w:rtl/>
        </w:rPr>
        <w:t>وَالْمُتَصَدِّقَاتِ وَالصَّائِمِينَ وَالصَّائِمَاتِ وَالْحَافِظِينَ فُرُوجَهُمْ وَالْحَافِظَاتِ وَالذَّاكِرِينَ اللَّهَ كَثِيراً وَالذَّاكِرَاتِ أَعَدَّ اللَّهُ لَهُمْ مَغْفِرَةً وَأَجْراً عَظِيماً</w:t>
      </w:r>
      <w:r w:rsidRPr="00764436">
        <w:rPr>
          <w:rFonts w:hint="cs"/>
        </w:rPr>
        <w:sym w:font="Islamic Units 1" w:char="F03C"/>
      </w:r>
      <w:r w:rsidRPr="00764436">
        <w:rPr>
          <w:rFonts w:hint="cs"/>
          <w:rtl/>
        </w:rPr>
        <w:t xml:space="preserve"> (الأحزاب: 35)، لكن لما كان حجم ما ورد في الروايات حول المرأة أكثر، كان التعارض بينها أشدّ.</w:t>
      </w:r>
    </w:p>
    <w:p w:rsidR="002B224E" w:rsidRPr="00764436" w:rsidRDefault="002B224E" w:rsidP="00C916BC">
      <w:pPr>
        <w:pStyle w:val="afffffc"/>
        <w:rPr>
          <w:rtl/>
        </w:rPr>
      </w:pPr>
    </w:p>
    <w:p w:rsidR="002B224E" w:rsidRPr="00764436" w:rsidRDefault="002B224E" w:rsidP="002B224E">
      <w:pPr>
        <w:pStyle w:val="1"/>
        <w:rPr>
          <w:rtl/>
        </w:rPr>
      </w:pPr>
      <w:bookmarkStart w:id="61" w:name="_Toc169521356"/>
      <w:bookmarkStart w:id="62" w:name="_Toc275127882"/>
      <w:r w:rsidRPr="00764436">
        <w:rPr>
          <w:rFonts w:hint="cs"/>
          <w:rtl/>
        </w:rPr>
        <w:t>ما هي الفوارق الموجودة بين الإسلامات الثلاثة حول المرأة؟</w:t>
      </w:r>
      <w:bookmarkEnd w:id="61"/>
      <w:bookmarkEnd w:id="62"/>
    </w:p>
    <w:p w:rsidR="002B224E" w:rsidRPr="00764436" w:rsidRDefault="002B224E" w:rsidP="001C51A4">
      <w:pPr>
        <w:pStyle w:val="ac"/>
        <w:rPr>
          <w:rtl/>
        </w:rPr>
      </w:pPr>
      <w:r w:rsidRPr="00764436">
        <w:rPr>
          <w:rFonts w:hint="cs"/>
          <w:rtl/>
        </w:rPr>
        <w:t xml:space="preserve">يُمكننا القول: إنّنا كلّما سرنا من الإسلام الأول إلى الثاني فالثالث، اتصفت قراءتنا بالسلبية بشكل أكبر، إنّ ما جعل مكانة المرأة في الإسلام الثاني والثالث بهذا النحو هو الغفلة عن الأسلوب المتّبع إسلامياً، وسوف أُقدّم لذلك مثالاً بسيطاً: فلنتصوّر أنّ صاحب عملٍ قام بتوظيف عاملٍ عنده وإعطائه أجره الشهري بمقدار ألف تومان، وفي السنة الثانية رفع له أجره إلى ألفين، وفي الثالثة إلى عشرة، وهكذا إلى السنة العاشرة، وفيها مات ربّ العمل، وكان العامل يتقاضى شهرياً مبلغ عشرة آلاف تومان، فاجتمع ورثة ربّ العمل؛ لتحديد ما ينبغي اتخاذه من إجراء حول أجرة العامل، وانقسموا إلى فريقين: جماعةٌ تبنّوا الالتزام بأنه حيث كانت زيادة أجرة العامل في السنوات السابقة </w:t>
      </w:r>
      <w:r w:rsidRPr="00764436">
        <w:rPr>
          <w:rFonts w:hint="cs"/>
          <w:rtl/>
        </w:rPr>
        <w:lastRenderedPageBreak/>
        <w:t>هي الطريقة المعتمدة من قبل ربّ العمل فلابدّ من اتّباعها، أي زيادة ألفٍ في كلّ عام، أمّا الجماعة الأخرى فذهبت إلى أنّ أجرة العامل لابدّ وأن تبقى على ما كانت عليه لحظة موت ربّ العمل، ويعتمد هؤلاء على آخر عقدٍ جرى بين العامل وربّ العمل، فيرون فيما قام به مورّثهم قداسةً لا ينبغي تجاوزها حتى لو بقي ذلك العامل في العمل أربعين سنةً تالية.</w:t>
      </w:r>
    </w:p>
    <w:p w:rsidR="002B224E" w:rsidRPr="00764436" w:rsidRDefault="002B224E" w:rsidP="001C51A4">
      <w:pPr>
        <w:pStyle w:val="ac"/>
        <w:rPr>
          <w:rtl/>
        </w:rPr>
      </w:pPr>
      <w:r w:rsidRPr="00764436">
        <w:rPr>
          <w:rFonts w:hint="cs"/>
          <w:rtl/>
        </w:rPr>
        <w:t>وإذا أردنا ملاحظة أداء الجماعتين، نجد أن الجماعة الأولى تعتمد في الواقع على الإيقاع النمطي الذي كان يسير عليه ربّ العمل، فيما ترى الجماعة الثانية فيما أمضاه والدهم قداسةً؛ فيعتمدون على ظاهر ما كان، فأيّ الرأيين أوفى للمورّث وأقرب لما كان يسير عليه؟ إنّ الرأي الأول هو الأقرب والأوفى.</w:t>
      </w:r>
    </w:p>
    <w:p w:rsidR="002B224E" w:rsidRPr="00764436" w:rsidRDefault="002B224E" w:rsidP="001C51A4">
      <w:pPr>
        <w:pStyle w:val="ac"/>
        <w:rPr>
          <w:rtl/>
        </w:rPr>
      </w:pPr>
      <w:r w:rsidRPr="00764436">
        <w:rPr>
          <w:rFonts w:hint="cs"/>
          <w:rtl/>
        </w:rPr>
        <w:t>والإنصاف أنّ النبي</w:t>
      </w:r>
      <w:r w:rsidR="00C86626">
        <w:rPr>
          <w:rFonts w:hint="cs"/>
          <w:rtl/>
        </w:rPr>
        <w:t>’</w:t>
      </w:r>
      <w:r w:rsidRPr="00764436">
        <w:rPr>
          <w:rFonts w:hint="cs"/>
          <w:rtl/>
        </w:rPr>
        <w:t xml:space="preserve"> ـ وسعياً منه لتحسين ظروف المرأة ـ اعتمد أسلوباً استمرّ به ثلاث وعشرين سنةً من حياته، فكان يتقدّم في كلّ عام خطوةً نحو الهدف المنشود، ألا وهو تحسين ظروف المرأة، لكنّ بعض الفقهاء غفلوا عن هذا المنهاج النبوي؛ فاعتمدوا آخر ما أقرّه النبي لها وتوقفوا عند ذلك، إنّ الذي يكفي لبيان صحّة هذا الكلام هو ملاحظة وضع المرأة في الجزيرة العربية عند بعثة النبي، فالمرأة لم تكن تملك شيئاً بل كانت بنفسها جزءاً من الأملاك، وكان الزواج نوعاً من البيع والشراء، كما كان الرجل إذا نفر من نسائه قام بمبادلتهن، لقد كان في المجتمع آنذاك ما يقرب من سبعة وعشرين نوعاً من التعامل الجنسي غير الإنساني معها، إنّ هذه الشواهد كلّها تدلّ على مدى تحقير المجتمع لها آنذاك.</w:t>
      </w:r>
    </w:p>
    <w:p w:rsidR="002B224E" w:rsidRPr="00764436" w:rsidRDefault="002B224E" w:rsidP="001C51A4">
      <w:pPr>
        <w:pStyle w:val="ac"/>
        <w:rPr>
          <w:rtl/>
        </w:rPr>
      </w:pPr>
      <w:r w:rsidRPr="00764436">
        <w:rPr>
          <w:rFonts w:hint="cs"/>
          <w:rtl/>
        </w:rPr>
        <w:t>أمّا ما قام به النبي، فقد كان العمل طوال فترة البعثة على تغيير هذه الظروف بالنحو الذي يتناسب مع المجتمع آنذاك، والآن يذهب الفقهاء إلى أنّه لابدّ من العمل على طبق آخر ما قام به النبي وإلى يوم القيامة، لكنّهم لو تأمّلوا في الأسلوب الذي اعتمده النبيّ والطريقة التي كان يسير عليها بالشكل الذي يتناسب مع الظروف المحيطة بزمانه لم يصل الإسلام الثاني أو الثالث إلى ما هو عليه، ولذا كانت الحال أننا كلّما سرنا من الإسلام الأول إلى الثاني فالثالث اتسمت رؤيتنا للمرأة بالسلبية.</w:t>
      </w:r>
    </w:p>
    <w:p w:rsidR="002B224E" w:rsidRPr="002B224E" w:rsidRDefault="00350F90" w:rsidP="00350F90">
      <w:pPr>
        <w:pStyle w:val="ac"/>
        <w:rPr>
          <w:b/>
          <w:bCs/>
          <w:rtl/>
        </w:rPr>
      </w:pPr>
      <w:r w:rsidRPr="00350F90">
        <w:rPr>
          <w:rFonts w:hint="cs"/>
        </w:rPr>
        <w:lastRenderedPageBreak/>
        <w:sym w:font="AGA Arabesque" w:char="F05F"/>
      </w:r>
      <w:r w:rsidRPr="00350F90">
        <w:rPr>
          <w:rFonts w:hint="cs"/>
          <w:rtl/>
        </w:rPr>
        <w:t xml:space="preserve"> </w:t>
      </w:r>
      <w:r w:rsidR="002B224E" w:rsidRPr="002B224E">
        <w:rPr>
          <w:rFonts w:hint="cs"/>
          <w:b/>
          <w:bCs/>
          <w:rtl/>
        </w:rPr>
        <w:t>هل ينحصر ما ذكرتموه بموضوع المرأة؟</w:t>
      </w:r>
    </w:p>
    <w:p w:rsidR="002B224E" w:rsidRPr="00764436" w:rsidRDefault="00350F90" w:rsidP="001C51A4">
      <w:pPr>
        <w:pStyle w:val="ac"/>
        <w:rPr>
          <w:rtl/>
        </w:rPr>
      </w:pPr>
      <w:r>
        <w:rPr>
          <w:rFonts w:hint="cs"/>
        </w:rPr>
        <w:sym w:font="AGA Arabesque" w:char="F05E"/>
      </w:r>
      <w:r>
        <w:rPr>
          <w:rFonts w:hint="cs"/>
          <w:rtl/>
        </w:rPr>
        <w:t xml:space="preserve"> </w:t>
      </w:r>
      <w:r w:rsidR="002B224E" w:rsidRPr="00764436">
        <w:rPr>
          <w:rFonts w:hint="cs"/>
          <w:rtl/>
        </w:rPr>
        <w:t>لقد كرّرت القول: إنّ الدليل الوحيد الذي يمكن قبوله لإثبات لزوم تقليد الفرد المسلم للفقيه الحيّ، هو أنّ الفقيه الحيّ يرتبط بزمانه ويقوم بالعمل على استمرار حركة الإسلام فيه، والمشكلة التي ذكرناها لا تنحصر بموضوع المرأة.</w:t>
      </w:r>
    </w:p>
    <w:p w:rsidR="002B224E" w:rsidRPr="00764436" w:rsidRDefault="002B224E" w:rsidP="001C51A4">
      <w:pPr>
        <w:pStyle w:val="ac"/>
        <w:rPr>
          <w:rtl/>
        </w:rPr>
      </w:pPr>
      <w:r w:rsidRPr="00764436">
        <w:rPr>
          <w:rFonts w:hint="cs"/>
          <w:rtl/>
        </w:rPr>
        <w:t>قلتم في حوارٍ أجرته معكم أسبوعية (راه نو/ الطريق الجديد): إنّ علم الفقه الذي يتمتع بسلطةٍ واسعة في الحوزات العلمية بدأ يفقد أهميّته شيئاً فشيئاً، وبدأ علم الكلام والفلسفة يلعبان دوراً هاماً في الساحة الحوزوية، ما هو تأثير ذلك ـ بنظركم ـ على رؤية علماء الدين والمجتمع الديني للمرأة؟ وبعبارةٍ أخرى: استيعاب الفلسفة لعلم الفقه وبروز علم فلسفة الفقه هل سيكون له تأثيره على الأحكام المتعلّقة بالمرأة؟</w:t>
      </w:r>
    </w:p>
    <w:p w:rsidR="002B224E" w:rsidRPr="00764436" w:rsidRDefault="002B224E" w:rsidP="001C51A4">
      <w:pPr>
        <w:pStyle w:val="ac"/>
        <w:rPr>
          <w:rtl/>
        </w:rPr>
      </w:pPr>
      <w:r w:rsidRPr="00764436">
        <w:rPr>
          <w:rFonts w:hint="cs"/>
          <w:rtl/>
        </w:rPr>
        <w:t>إن كان ما أتوقّعه صحيحاً ـ وأنا مصرٌّ على صحّته ـ فسوف يصبح الفقه تحت ظلّ الفلسفة والكلام، وإحدى نتائج ذلك نموّ فلسفة الفقه، وفي هذا الفرض سوف تختلف رؤية علماء الدين والمجتمع الديني لقضايا المرأة، ولا بدّ لي من أن ألفت النظر هنا إلى أمرين:</w:t>
      </w:r>
    </w:p>
    <w:p w:rsidR="002B224E" w:rsidRPr="00764436" w:rsidRDefault="002B224E" w:rsidP="001C51A4">
      <w:pPr>
        <w:pStyle w:val="ac"/>
        <w:rPr>
          <w:rtl/>
        </w:rPr>
        <w:sectPr w:rsidR="002B224E" w:rsidRPr="00764436" w:rsidSect="00F64660">
          <w:headerReference w:type="even" r:id="rId21"/>
          <w:headerReference w:type="default" r:id="rId22"/>
          <w:footnotePr>
            <w:numRestart w:val="eachPage"/>
          </w:footnotePr>
          <w:endnotePr>
            <w:numFmt w:val="decimal"/>
            <w:numRestart w:val="eachSect"/>
          </w:endnotePr>
          <w:type w:val="continuous"/>
          <w:pgSz w:w="11906" w:h="16838" w:code="9"/>
          <w:pgMar w:top="2268" w:right="2268" w:bottom="2665" w:left="2268" w:header="1979" w:footer="1106" w:gutter="0"/>
          <w:cols w:space="708"/>
          <w:titlePg/>
          <w:bidi/>
          <w:rtlGutter/>
          <w:docGrid w:linePitch="360"/>
        </w:sectPr>
      </w:pPr>
      <w:r w:rsidRPr="002B224E">
        <w:rPr>
          <w:rFonts w:hint="cs"/>
          <w:b/>
          <w:bCs/>
          <w:rtl/>
        </w:rPr>
        <w:t>الأول:</w:t>
      </w:r>
      <w:r w:rsidRPr="00764436">
        <w:rPr>
          <w:rFonts w:hint="cs"/>
          <w:rtl/>
        </w:rPr>
        <w:t xml:space="preserve"> أطرحه استناداً إلى نظرية تشارلز كولي </w:t>
      </w:r>
      <w:r w:rsidRPr="00764436">
        <w:rPr>
          <w:rtl/>
        </w:rPr>
        <w:t>(</w:t>
      </w:r>
      <w:r w:rsidRPr="00764436">
        <w:t>charles hurton cooley</w:t>
      </w:r>
      <w:r w:rsidRPr="00764436">
        <w:rPr>
          <w:rFonts w:hint="cs"/>
          <w:rtl/>
        </w:rPr>
        <w:t xml:space="preserve">) </w:t>
      </w:r>
    </w:p>
    <w:p w:rsidR="002B224E" w:rsidRPr="00764436" w:rsidRDefault="002B224E" w:rsidP="001C51A4">
      <w:pPr>
        <w:pStyle w:val="ac"/>
        <w:rPr>
          <w:rtl/>
        </w:rPr>
      </w:pPr>
      <w:r w:rsidRPr="00764436">
        <w:rPr>
          <w:rFonts w:hint="cs"/>
          <w:rtl/>
        </w:rPr>
        <w:lastRenderedPageBreak/>
        <w:t>عالم الاجتماع الأمريكي المعروف؛ حيث يقول: لكلّ إنسان خمسٌ من الأنا:</w:t>
      </w:r>
    </w:p>
    <w:p w:rsidR="002B224E" w:rsidRPr="00764436" w:rsidRDefault="002B224E" w:rsidP="001C51A4">
      <w:pPr>
        <w:pStyle w:val="ac"/>
        <w:rPr>
          <w:rtl/>
        </w:rPr>
      </w:pPr>
      <w:r w:rsidRPr="00764436">
        <w:rPr>
          <w:rFonts w:hint="cs"/>
          <w:rtl/>
        </w:rPr>
        <w:t>1ـ الأنا الواقعية الحقيقية، ولا يعلمها إلا الله.</w:t>
      </w:r>
    </w:p>
    <w:p w:rsidR="002B224E" w:rsidRPr="00764436" w:rsidRDefault="002B224E" w:rsidP="001C51A4">
      <w:pPr>
        <w:pStyle w:val="ac"/>
        <w:rPr>
          <w:rtl/>
        </w:rPr>
      </w:pPr>
      <w:r w:rsidRPr="00764436">
        <w:rPr>
          <w:rFonts w:hint="cs"/>
          <w:rtl/>
        </w:rPr>
        <w:t>2ـ صورة الأنا عند الذات.</w:t>
      </w:r>
    </w:p>
    <w:p w:rsidR="002B224E" w:rsidRPr="00764436" w:rsidRDefault="002B224E" w:rsidP="001C51A4">
      <w:pPr>
        <w:pStyle w:val="ac"/>
        <w:rPr>
          <w:rtl/>
        </w:rPr>
      </w:pPr>
      <w:r w:rsidRPr="00764436">
        <w:rPr>
          <w:rFonts w:hint="cs"/>
          <w:rtl/>
        </w:rPr>
        <w:t>3 ـ صوّرتها عند الآخر.</w:t>
      </w:r>
    </w:p>
    <w:p w:rsidR="002B224E" w:rsidRPr="00764436" w:rsidRDefault="002B224E" w:rsidP="001C51A4">
      <w:pPr>
        <w:pStyle w:val="ac"/>
        <w:rPr>
          <w:rtl/>
        </w:rPr>
      </w:pPr>
      <w:r w:rsidRPr="00764436">
        <w:rPr>
          <w:rFonts w:hint="cs"/>
          <w:rtl/>
        </w:rPr>
        <w:t xml:space="preserve"> 4 ـ تصوّر الآخر لتصوّر الذات.</w:t>
      </w:r>
    </w:p>
    <w:p w:rsidR="002B224E" w:rsidRPr="00764436" w:rsidRDefault="002B224E" w:rsidP="00C916BC">
      <w:pPr>
        <w:pStyle w:val="ac"/>
        <w:jc w:val="lowKashida"/>
        <w:rPr>
          <w:rtl/>
        </w:rPr>
      </w:pPr>
      <w:r w:rsidRPr="00764436">
        <w:rPr>
          <w:rFonts w:hint="cs"/>
          <w:rtl/>
        </w:rPr>
        <w:t>5 ـ تصوّري لتصوّر الآخر عن صورة الأنا عندي، وأقول ـ استناداً إلى هذا الكلام</w:t>
      </w:r>
      <w:r w:rsidR="00C916BC">
        <w:rPr>
          <w:rFonts w:cs="Times New Roman" w:hint="eastAsia"/>
          <w:rtl/>
        </w:rPr>
        <w:t> </w:t>
      </w:r>
      <w:r w:rsidRPr="00764436">
        <w:rPr>
          <w:rFonts w:hint="cs"/>
          <w:rtl/>
        </w:rPr>
        <w:t>ـ</w:t>
      </w:r>
      <w:r w:rsidR="00C916BC">
        <w:rPr>
          <w:rFonts w:cs="Times New Roman" w:hint="eastAsia"/>
          <w:rtl/>
        </w:rPr>
        <w:t> </w:t>
      </w:r>
      <w:r w:rsidRPr="00764436">
        <w:rPr>
          <w:rFonts w:hint="cs"/>
          <w:rtl/>
        </w:rPr>
        <w:t xml:space="preserve">: إن تغيّر نظرة رجال الدين والمجتمع الديني للمرأة ونظامها الحقوقي يرتبط بالإجابة </w:t>
      </w:r>
      <w:r w:rsidR="00350F90">
        <w:rPr>
          <w:rFonts w:hint="cs"/>
          <w:rtl/>
        </w:rPr>
        <w:t>ـ</w:t>
      </w:r>
      <w:r w:rsidR="00350F90">
        <w:rPr>
          <w:rFonts w:cs="Times New Roman" w:hint="eastAsia"/>
          <w:rtl/>
        </w:rPr>
        <w:t> </w:t>
      </w:r>
      <w:r w:rsidRPr="00764436">
        <w:rPr>
          <w:rFonts w:hint="cs"/>
          <w:rtl/>
        </w:rPr>
        <w:t>عن سؤالين: ما هو التصوّر الموجود لدى المرأة عن نفسها؟ وما هو تصوّرها لتصوّر الرجل لها؟</w:t>
      </w:r>
    </w:p>
    <w:p w:rsidR="002B224E" w:rsidRPr="00764436" w:rsidRDefault="002B224E" w:rsidP="001C51A4">
      <w:pPr>
        <w:pStyle w:val="ac"/>
        <w:rPr>
          <w:rtl/>
        </w:rPr>
      </w:pPr>
      <w:r w:rsidRPr="00764436">
        <w:rPr>
          <w:rFonts w:hint="cs"/>
          <w:rtl/>
        </w:rPr>
        <w:t xml:space="preserve">ما أراه أنّ الحركة النسوية أكّدت ـ إلى الآن ـ على أمرين فقط هما: تعريف المرأة، </w:t>
      </w:r>
      <w:r w:rsidRPr="00764436">
        <w:rPr>
          <w:rFonts w:hint="cs"/>
          <w:rtl/>
        </w:rPr>
        <w:lastRenderedPageBreak/>
        <w:t>وتصوّر الرجل لها، ومزيد نجاح هذه الحركة يرتبط بمدى اهتمامها بالأسئلة الأخرى مثل: ما هو تصوّر المرأة لنفسها؟ وما هو تصوّرها لصورتها في وعي الرجل؟.</w:t>
      </w:r>
    </w:p>
    <w:p w:rsidR="002B224E" w:rsidRPr="00764436" w:rsidRDefault="002B224E" w:rsidP="001C51A4">
      <w:pPr>
        <w:pStyle w:val="ac"/>
        <w:rPr>
          <w:rtl/>
        </w:rPr>
      </w:pPr>
      <w:r w:rsidRPr="002B224E">
        <w:rPr>
          <w:rFonts w:hint="cs"/>
          <w:b/>
          <w:bCs/>
          <w:rtl/>
        </w:rPr>
        <w:t>الثاني:</w:t>
      </w:r>
      <w:r w:rsidRPr="00764436">
        <w:rPr>
          <w:rFonts w:hint="cs"/>
          <w:rtl/>
        </w:rPr>
        <w:t xml:space="preserve"> على المرأة أن تدخل بنفسها عالمَ علم الكلام والفلسفة، حتى تملك بنفسها تصوّراً عن الدين؛ لتقوم بدورها بالتأثير على التصوّر السائد عنها لدى علماء الدين والمجتمع الديني، إنّ الحركة النسوية ابتدأت حركةً سياسيّة أول الأمر، ثم ابتدأت بالابتعاد عن ذلك شيئاً فشيئاً، لا سيّما في السنوات العشرين الأخيرة، والنسوية الآن تعني النظر إلى العالم برؤية نسوية، وليس عبثاً أن يبدأ اليوم الحديث عن نظريةٍ معرفيّة نسوية؛ فمن النساء المعروفات في هذا المجال ساندرا هاردينغ (</w:t>
      </w:r>
      <w:r w:rsidRPr="00764436">
        <w:t>sandra harding</w:t>
      </w:r>
      <w:r w:rsidRPr="00764436">
        <w:rPr>
          <w:rFonts w:hint="cs"/>
          <w:rtl/>
        </w:rPr>
        <w:t>)، وهي من فلاسفة العلم في عالمنا المعاصر، وهي ترى أنّ نظرية المعرفة كانت ـ إلى اليوم ـ خاضعةً لتأثير سلطة الرجل، لكنّ الوقت حان لكي نصل إلى نظريّة معرفةٍ نسوية؛ لأننا غدونا قادرين على مطالعة الأشياء بعين نسوية.</w:t>
      </w:r>
    </w:p>
    <w:p w:rsidR="002B224E" w:rsidRPr="00764436" w:rsidRDefault="002B224E" w:rsidP="001C51A4">
      <w:pPr>
        <w:pStyle w:val="ac"/>
        <w:rPr>
          <w:rtl/>
        </w:rPr>
      </w:pPr>
      <w:r w:rsidRPr="00764436">
        <w:rPr>
          <w:rFonts w:hint="cs"/>
          <w:rtl/>
        </w:rPr>
        <w:t>فإذا كان من الممكن النظر إلى الأشياء برؤيةٍ نسوية وعدم حصر التفاسير بالتفسير الذكوري، فهذا يعني أنّ الوصول إلى تفسيرٍ نسوي للكتاب والسنّة لم يعد أمراً بعيداً؛ لهذا نرى أنّه بات لابد للمرأة من ولوج هذا الميدان بإصرارٍ وتصميم، لتعرض ما تراه وتملكه من تصوّرات للوجود.</w:t>
      </w:r>
    </w:p>
    <w:p w:rsidR="002B224E" w:rsidRPr="002B224E" w:rsidRDefault="00350F90" w:rsidP="002B224E">
      <w:pPr>
        <w:pStyle w:val="ac"/>
        <w:rPr>
          <w:b/>
          <w:bCs/>
          <w:rtl/>
        </w:rPr>
      </w:pPr>
      <w:r w:rsidRPr="00350F90">
        <w:rPr>
          <w:rFonts w:hint="cs"/>
        </w:rPr>
        <w:sym w:font="AGA Arabesque" w:char="F05F"/>
      </w:r>
      <w:r w:rsidRPr="00350F90">
        <w:rPr>
          <w:rFonts w:hint="cs"/>
          <w:rtl/>
        </w:rPr>
        <w:t xml:space="preserve"> </w:t>
      </w:r>
      <w:r w:rsidR="002B224E" w:rsidRPr="002B224E">
        <w:rPr>
          <w:rFonts w:hint="cs"/>
          <w:b/>
          <w:bCs/>
          <w:rtl/>
        </w:rPr>
        <w:t>كيف سيكون هذا التأثير؟</w:t>
      </w:r>
    </w:p>
    <w:p w:rsidR="002B224E" w:rsidRPr="00764436" w:rsidRDefault="00350F90" w:rsidP="001C51A4">
      <w:pPr>
        <w:pStyle w:val="ac"/>
        <w:rPr>
          <w:rtl/>
        </w:rPr>
      </w:pPr>
      <w:r>
        <w:rPr>
          <w:rFonts w:hint="cs"/>
        </w:rPr>
        <w:sym w:font="AGA Arabesque" w:char="F05E"/>
      </w:r>
      <w:r>
        <w:rPr>
          <w:rFonts w:hint="cs"/>
          <w:rtl/>
        </w:rPr>
        <w:t xml:space="preserve"> </w:t>
      </w:r>
      <w:r w:rsidR="002B224E" w:rsidRPr="00764436">
        <w:rPr>
          <w:rFonts w:hint="cs"/>
          <w:rtl/>
        </w:rPr>
        <w:t>ما أعتقده أنّنا عندما نقوم بتغيير رؤيتنا الفلسفية فإن الكثير من تصوّراتنا القديمة ستتبدّل، لا سيّما في مجالين: أحدهما تصوّرنا للطبيعة الإنسانية والعلاقة بين الرجل والمرأة، والآخر تصوّرنا للعلاقة بين الإنسان وخالقه؛ لأنّ التصور الذي لا زال سائداً عن العلاقة بين الإنسان وربّه يشبّهها بالعلاقة بين الرئيس أو ربّ العائلة مع أعضاء عائلته، أي أنه تصوّر ذو نزعةٍ ذكورية، والذي يعنيه تبدّل مثل هذا التصوّر أن يكون لذلك تأثيره ليس على الفقه فحسب، بل على الأخلاق أيضاً.</w:t>
      </w:r>
    </w:p>
    <w:p w:rsidR="002B224E" w:rsidRPr="002B224E" w:rsidRDefault="00350F90" w:rsidP="002B224E">
      <w:pPr>
        <w:pStyle w:val="ac"/>
        <w:rPr>
          <w:b/>
          <w:bCs/>
          <w:rtl/>
        </w:rPr>
      </w:pPr>
      <w:r w:rsidRPr="00350F90">
        <w:rPr>
          <w:rFonts w:hint="cs"/>
        </w:rPr>
        <w:sym w:font="AGA Arabesque" w:char="F05F"/>
      </w:r>
      <w:r w:rsidRPr="00350F90">
        <w:rPr>
          <w:rFonts w:hint="cs"/>
          <w:rtl/>
        </w:rPr>
        <w:t xml:space="preserve"> </w:t>
      </w:r>
      <w:r w:rsidR="002B224E" w:rsidRPr="002B224E">
        <w:rPr>
          <w:rFonts w:hint="cs"/>
          <w:b/>
          <w:bCs/>
          <w:rtl/>
        </w:rPr>
        <w:t>تحدّثتم عن وجود نظريّة معرفةٍ نسوية، ففي أيّ مرحلةٍ هذا المشروع المعرفيّ الجديد؟</w:t>
      </w:r>
    </w:p>
    <w:p w:rsidR="002B224E" w:rsidRPr="00764436" w:rsidRDefault="00350F90" w:rsidP="00C916BC">
      <w:pPr>
        <w:pStyle w:val="ac"/>
        <w:rPr>
          <w:rtl/>
        </w:rPr>
      </w:pPr>
      <w:r>
        <w:rPr>
          <w:rFonts w:hint="cs"/>
        </w:rPr>
        <w:lastRenderedPageBreak/>
        <w:sym w:font="AGA Arabesque" w:char="F05E"/>
      </w:r>
      <w:r>
        <w:rPr>
          <w:rFonts w:hint="cs"/>
          <w:rtl/>
        </w:rPr>
        <w:t xml:space="preserve"> </w:t>
      </w:r>
      <w:r w:rsidR="002B224E" w:rsidRPr="00764436">
        <w:rPr>
          <w:rFonts w:hint="cs"/>
          <w:rtl/>
        </w:rPr>
        <w:t>سأبيّن ذلك بإيجاز، إنّ نظرية المعرفة النسوية تتقدّم في خمس مراحل على يد نساء من أتباع الحركة النسوية، وهنّ أكاديميات من أصحاب المعرفة وفلاسفة العلم، إن نظرية المعرفة ـ وكما تعلمون ـ لا تزال تعتمد على العقل فقط، ولا ترى للأحاسيس والعواطف دوراً، ومن المراحل الخمس التي تبحثها النسوية اليوم وبشكل جاد، أنّ معرفة عالم الواقع لا يُمكن لها أن تتمّ عبر الاستفادة من العقل فقط، بل لابد من الاستفادة في سبيل ذلك من الأحاسيس والعواطف؛ ولهذا السبب يُعتقد بأن علم نظرية المعرفة بتمامه وإلى اليوم يعتمد على نظرةٍ ذكورية، ضعيفة، أحادية؛ لأنّ الرجل ـ مقارناً بالمرأة ـ يملك إحساسا أضعف وعاطفةً أقلّ، مضافاً إلى أنّه يعتمد ـ لإثبات رجوليّته ـ على إبعاد المقدار المتوفر لديه من أحاسيس وعواطف.</w:t>
      </w:r>
    </w:p>
    <w:p w:rsidR="002B224E" w:rsidRPr="00764436" w:rsidRDefault="002B224E" w:rsidP="00C916BC">
      <w:pPr>
        <w:pStyle w:val="ac"/>
        <w:spacing w:line="211" w:lineRule="auto"/>
        <w:rPr>
          <w:rtl/>
        </w:rPr>
      </w:pPr>
      <w:r w:rsidRPr="00764436">
        <w:rPr>
          <w:rFonts w:hint="cs"/>
          <w:rtl/>
        </w:rPr>
        <w:t>وترى بعض الباحثات في هذا المضمار، مثل ساندرا هاردينغ، أنّ هذه الطريقة من التعاطي مع عالم الخارج خاطئة؛ لأن على الإنسان أن يتّجه لمعرفة الخارج بكلّ وجوده، ولا بدّ له من الاستفادة من الأحاسيس والعواطف بشكلٍ كامل، وأن يكون لها دورها في تشكيل تصوّره للعالم الخارجي.</w:t>
      </w:r>
    </w:p>
    <w:p w:rsidR="002B224E" w:rsidRPr="00764436" w:rsidRDefault="002B224E" w:rsidP="00C916BC">
      <w:pPr>
        <w:pStyle w:val="ac"/>
        <w:rPr>
          <w:rtl/>
        </w:rPr>
      </w:pPr>
      <w:r w:rsidRPr="00764436">
        <w:rPr>
          <w:rFonts w:hint="cs"/>
          <w:rtl/>
        </w:rPr>
        <w:t xml:space="preserve">والملاحظ الآن، أن الحركة النسوية دخلت نحو آفاق جديدة، ومن جملة ذلك ما يرتبط بنظرية المعرفة، وقد امتازت بأمرين: أوّلهما اقترابها من المدنية والحداثة. وثانيهما اقتراب ظاهرتها المعرفية من الوجودية </w:t>
      </w:r>
      <w:r w:rsidRPr="00764436">
        <w:rPr>
          <w:rFonts w:hint="cs"/>
        </w:rPr>
        <w:sym w:font="Islamic Units 1" w:char="F06D"/>
      </w:r>
      <w:r w:rsidRPr="00764436">
        <w:rPr>
          <w:rFonts w:hint="cs"/>
          <w:rtl/>
        </w:rPr>
        <w:t xml:space="preserve"> </w:t>
      </w:r>
      <w:r w:rsidRPr="00764436">
        <w:t>existentialism</w:t>
      </w:r>
      <w:r w:rsidRPr="00764436">
        <w:rPr>
          <w:rFonts w:hint="cs"/>
          <w:rtl/>
        </w:rPr>
        <w:t xml:space="preserve"> </w:t>
      </w:r>
      <w:r w:rsidRPr="00764436">
        <w:rPr>
          <w:rFonts w:hint="cs"/>
        </w:rPr>
        <w:sym w:font="Islamic Units 1" w:char="F06E"/>
      </w:r>
      <w:r w:rsidRPr="00764436">
        <w:rPr>
          <w:rFonts w:hint="cs"/>
          <w:rtl/>
        </w:rPr>
        <w:t>.</w:t>
      </w:r>
    </w:p>
    <w:p w:rsidR="002B224E" w:rsidRPr="00764436" w:rsidRDefault="002B224E" w:rsidP="00C916BC">
      <w:pPr>
        <w:pStyle w:val="ac"/>
        <w:rPr>
          <w:rtl/>
        </w:rPr>
      </w:pPr>
      <w:r w:rsidRPr="00764436">
        <w:rPr>
          <w:rFonts w:hint="cs"/>
          <w:rtl/>
        </w:rPr>
        <w:t>أما الأول، فالحركة النسوية عندما تبحث في مسألة حرية المرأة وحقوقها</w:t>
      </w:r>
      <w:r w:rsidR="00350F90">
        <w:rPr>
          <w:rFonts w:hint="cs"/>
          <w:rtl/>
        </w:rPr>
        <w:t xml:space="preserve"> </w:t>
      </w:r>
      <w:r w:rsidRPr="00764436">
        <w:rPr>
          <w:rFonts w:hint="cs"/>
          <w:rtl/>
        </w:rPr>
        <w:t>تغدو حركةً نهضوية حضارية، وأمّا عندما تبحث في نظريّة المعرفة فإنها تقترن بظواهر غير حضارية.</w:t>
      </w:r>
    </w:p>
    <w:p w:rsidR="002B224E" w:rsidRPr="00764436" w:rsidRDefault="002B224E" w:rsidP="00C916BC">
      <w:pPr>
        <w:pStyle w:val="ac"/>
        <w:spacing w:line="211" w:lineRule="auto"/>
        <w:rPr>
          <w:rtl/>
        </w:rPr>
      </w:pPr>
      <w:r w:rsidRPr="00764436">
        <w:rPr>
          <w:rFonts w:hint="cs"/>
          <w:rtl/>
        </w:rPr>
        <w:t>وأمّا الثاني، فمن الواضح أننا إذا أردنا أن نكوّن معرفتنا للخارج بكلّ أنحاء وجودنا مع إدخال عواطفنا وأحاسيسنا في البين، فسنقترب بذلك من الوجوديّة.</w:t>
      </w:r>
    </w:p>
    <w:p w:rsidR="002B224E" w:rsidRPr="00764436" w:rsidRDefault="002B224E" w:rsidP="002B224E">
      <w:pPr>
        <w:pStyle w:val="ac"/>
        <w:rPr>
          <w:rtl/>
        </w:rPr>
      </w:pPr>
      <w:r w:rsidRPr="00764436">
        <w:rPr>
          <w:rFonts w:hint="cs"/>
          <w:rtl/>
        </w:rPr>
        <w:t>هل هناك مجال لتحديد اختصاص الأسماء التي ذكرتموها قبل قليل؟</w:t>
      </w:r>
    </w:p>
    <w:p w:rsidR="002B224E" w:rsidRPr="00764436" w:rsidRDefault="002B224E" w:rsidP="00C916BC">
      <w:pPr>
        <w:pStyle w:val="ac"/>
        <w:rPr>
          <w:rtl/>
        </w:rPr>
      </w:pPr>
      <w:r w:rsidRPr="00764436">
        <w:rPr>
          <w:rFonts w:hint="cs"/>
          <w:rtl/>
        </w:rPr>
        <w:t xml:space="preserve">هيلاري روز </w:t>
      </w:r>
      <w:r w:rsidRPr="00764436">
        <w:rPr>
          <w:rtl/>
        </w:rPr>
        <w:t>(</w:t>
      </w:r>
      <w:r w:rsidRPr="00764436">
        <w:t>hilary rose</w:t>
      </w:r>
      <w:r w:rsidRPr="00764436">
        <w:rPr>
          <w:rFonts w:hint="cs"/>
          <w:rtl/>
        </w:rPr>
        <w:t>)، اختصّت بالبحث عن وحدة العقل والقلب والبدن في معرفة العالم، ونانسي هارتسوك (</w:t>
      </w:r>
      <w:r w:rsidRPr="00764436">
        <w:t>nancy hartsock</w:t>
      </w:r>
      <w:r w:rsidRPr="00764436">
        <w:rPr>
          <w:rFonts w:hint="cs"/>
          <w:rtl/>
        </w:rPr>
        <w:t xml:space="preserve">)، وتبحث حول الإحساس العيني </w:t>
      </w:r>
      <w:r w:rsidRPr="00764436">
        <w:rPr>
          <w:rFonts w:hint="cs"/>
          <w:rtl/>
        </w:rPr>
        <w:lastRenderedPageBreak/>
        <w:t>والنسبي في المعرفة، جاني فلاكس (</w:t>
      </w:r>
      <w:r w:rsidRPr="00764436">
        <w:t>jane flax</w:t>
      </w:r>
      <w:r w:rsidRPr="00764436">
        <w:rPr>
          <w:rFonts w:hint="cs"/>
          <w:rtl/>
        </w:rPr>
        <w:t>)، وتبحث حول آثار الظلم الاجتماعي للمرأة على موضوعة المعرفة، دورثي سميث (</w:t>
      </w:r>
      <w:r w:rsidRPr="00764436">
        <w:t>dorothy smith</w:t>
      </w:r>
      <w:r w:rsidRPr="00764436">
        <w:rPr>
          <w:rFonts w:hint="cs"/>
          <w:rtl/>
        </w:rPr>
        <w:t>)، وتبحث حول نتائج نظرة المرأة لنفسها بوصفها أجنبية عن المعرفة، ساندرا هاردينغ، وتدرس التصور الجديد للمرأة وتأثيره على نظرية المعرفة.</w:t>
      </w:r>
    </w:p>
    <w:p w:rsidR="002B224E" w:rsidRPr="00540F0B" w:rsidRDefault="00350F90" w:rsidP="00540F0B">
      <w:pPr>
        <w:pStyle w:val="ac"/>
        <w:rPr>
          <w:b/>
          <w:bCs/>
          <w:rtl/>
        </w:rPr>
      </w:pPr>
      <w:r w:rsidRPr="00350F90">
        <w:rPr>
          <w:rFonts w:hint="cs"/>
        </w:rPr>
        <w:sym w:font="AGA Arabesque" w:char="F05F"/>
      </w:r>
      <w:r w:rsidRPr="00350F90">
        <w:rPr>
          <w:rFonts w:hint="cs"/>
          <w:rtl/>
        </w:rPr>
        <w:t xml:space="preserve"> </w:t>
      </w:r>
      <w:r w:rsidR="002B224E" w:rsidRPr="00540F0B">
        <w:rPr>
          <w:rFonts w:hint="cs"/>
          <w:b/>
          <w:bCs/>
          <w:rtl/>
        </w:rPr>
        <w:t>الذي يبدو أنّ هذه الأبحاث إن كتب لها النجاح فستحدث تحولاً مهمّاً في نظرية المعرفة وتصوّر الإنسان للحقيقة؟</w:t>
      </w:r>
    </w:p>
    <w:p w:rsidR="002B224E" w:rsidRPr="00764436" w:rsidRDefault="00350F90" w:rsidP="00540F0B">
      <w:pPr>
        <w:pStyle w:val="ac"/>
        <w:rPr>
          <w:rtl/>
        </w:rPr>
      </w:pPr>
      <w:r>
        <w:rPr>
          <w:rFonts w:hint="cs"/>
        </w:rPr>
        <w:sym w:font="AGA Arabesque" w:char="F05E"/>
      </w:r>
      <w:r>
        <w:rPr>
          <w:rFonts w:hint="cs"/>
          <w:rtl/>
        </w:rPr>
        <w:t xml:space="preserve"> </w:t>
      </w:r>
      <w:r w:rsidR="002B224E" w:rsidRPr="00764436">
        <w:rPr>
          <w:rFonts w:hint="cs"/>
          <w:rtl/>
        </w:rPr>
        <w:t>نعم، إنّ هذه النظريات الخمس الجديدة في عالم المعرفة تمتاز بصبغةٍ نسوية كاملة، وسوف يكون لها تأثيراتها المهمّة، ومن اللافت وجود فلسفة علوم طبيعية نسوية.</w:t>
      </w:r>
    </w:p>
    <w:p w:rsidR="002B224E" w:rsidRPr="00764436" w:rsidRDefault="002B224E" w:rsidP="00C916BC">
      <w:pPr>
        <w:pStyle w:val="ac"/>
        <w:rPr>
          <w:rtl/>
        </w:rPr>
      </w:pPr>
      <w:r w:rsidRPr="00764436">
        <w:rPr>
          <w:rFonts w:hint="cs"/>
          <w:rtl/>
        </w:rPr>
        <w:t>لقد دخلت النسوية الآن مجالات أكثر جدّيةً، وهي بذلك تشكّل عالمها، لقد جرت العادة عند الحديث عن النسوية أن يتصوّرها المخاطب ـ الموافق أو المخالف ـ حركةً تعمل على تحرير المرأة وإحقاق حقوقها، والأسوأ من ذلك تصوّرها حركةً هادفةً لإزاحة الرجل، إنّ الأجواء السلبية الموجودة في أفكار العامّة والدينيين حولها ترجع ـ في الأساس ـ إلى عدم وجود اطلاعٍ صحيح عليها؛ فواقع الحال اليوم أنّ المجتمعات الدينية والتقليدية تعتبر النسوية أمراً شبيهاً بالخروج عن الدين، وعندما نقول: إنّ المسلم الفلاني نسويٌّ فكأننا نصفه بالإلحاد.</w:t>
      </w:r>
    </w:p>
    <w:p w:rsidR="002B224E" w:rsidRPr="00764436" w:rsidRDefault="002B224E" w:rsidP="00C916BC">
      <w:pPr>
        <w:pStyle w:val="ac"/>
        <w:spacing w:line="211" w:lineRule="auto"/>
        <w:rPr>
          <w:rtl/>
        </w:rPr>
      </w:pPr>
      <w:r w:rsidRPr="00764436">
        <w:rPr>
          <w:rFonts w:hint="cs"/>
          <w:rtl/>
        </w:rPr>
        <w:t>من هنا، كان إصراري على تسمية النسوية في اللغة الفارسية: (زنانه نكري)؛ لأن استخدام ذلك يؤدّي إلى دراية المخاطب ـ الموافق والمخالف ـ بأنها في السنوات الثلاثين الأخيرة قد أبدعت أبحاثاً جديدة في مختلف العلوم، وأنّ بحثها علميّ أكثر منه ـ كما يتوهّم ـ حقوقيّاً واجتماعياً وسياسيّاً وعائليّاً، والحق أنّنا مطالبون بعرض النسوية على مستوى أبعد وأوسع، كما أنّ المصلحة تقتضي ذلك.</w:t>
      </w:r>
    </w:p>
    <w:p w:rsidR="002B224E" w:rsidRPr="00764436" w:rsidRDefault="002B224E" w:rsidP="00540F0B">
      <w:pPr>
        <w:pStyle w:val="ac"/>
        <w:rPr>
          <w:rtl/>
        </w:rPr>
      </w:pPr>
      <w:r w:rsidRPr="00764436">
        <w:rPr>
          <w:rFonts w:hint="cs"/>
          <w:rtl/>
        </w:rPr>
        <w:t>إنّ النسوية في الغرب ح</w:t>
      </w:r>
      <w:r w:rsidR="007D45C3">
        <w:rPr>
          <w:rFonts w:hint="cs"/>
          <w:rtl/>
        </w:rPr>
        <w:t>م</w:t>
      </w:r>
      <w:r w:rsidRPr="00764436">
        <w:rPr>
          <w:rFonts w:hint="cs"/>
          <w:rtl/>
        </w:rPr>
        <w:t>ركةٌ واسعة جداً، فهي تحوي إحدى عشرة نزعة كلامية حول المسيحية، لا بمعنى نفوذها الساحة الكلامية، بل بمعنى تقديم تصوّر نسوي مقارن للتصوّر الذكوري، ولديهم الآن فرعٌ من العلوم هو الميتافيريقيا النسوية، وهي على أقسام ثلاثة معتمدة بشكل جدي.</w:t>
      </w:r>
    </w:p>
    <w:p w:rsidR="00540F0B" w:rsidRDefault="002B224E" w:rsidP="00540F0B">
      <w:pPr>
        <w:pStyle w:val="ac"/>
        <w:rPr>
          <w:rtl/>
        </w:rPr>
      </w:pPr>
      <w:r w:rsidRPr="00764436">
        <w:rPr>
          <w:rFonts w:hint="cs"/>
          <w:rtl/>
        </w:rPr>
        <w:lastRenderedPageBreak/>
        <w:t>والخلاصة أنّ النسوية تعني أنّ ما هو موجود الآن هو رؤية ذات نزعة ذكورية للعالم من الداخل والخارج، وأن الآراء التي تطرح اليوم خاصّة بالرجل، سواء في علم النفس أو الميتافيزيقيا أو الإيبستمولوجيا أو الأنطولوجيا.. والآن تسعى المرأة لأن تكوّن نظرتها للعالم، فتقدّم رؤيةً إلى جانب الرؤية الذكورية.</w:t>
      </w:r>
    </w:p>
    <w:p w:rsidR="004119AE" w:rsidRDefault="004119AE" w:rsidP="00540F0B">
      <w:pPr>
        <w:pStyle w:val="ac"/>
        <w:rPr>
          <w:rtl/>
        </w:rPr>
        <w:sectPr w:rsidR="004119AE" w:rsidSect="00E30BAE">
          <w:headerReference w:type="even" r:id="rId23"/>
          <w:headerReference w:type="default" r:id="rId2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540F0B" w:rsidRDefault="00540F0B" w:rsidP="00540F0B">
      <w:pPr>
        <w:pStyle w:val="ac"/>
        <w:rPr>
          <w:rtl/>
        </w:rPr>
        <w:sectPr w:rsidR="00540F0B" w:rsidSect="00E30BAE">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2B224E" w:rsidRDefault="002B224E" w:rsidP="00540F0B">
      <w:pPr>
        <w:pStyle w:val="ac"/>
        <w:rPr>
          <w:rtl/>
        </w:rPr>
      </w:pPr>
    </w:p>
    <w:p w:rsidR="002B224E" w:rsidRDefault="002B224E">
      <w:pPr>
        <w:widowControl/>
        <w:bidi w:val="0"/>
        <w:spacing w:line="240" w:lineRule="auto"/>
        <w:ind w:firstLine="0"/>
        <w:jc w:val="left"/>
        <w:outlineLvl w:val="9"/>
        <w:rPr>
          <w:rFonts w:cs="Ya-Ali"/>
          <w:b/>
          <w:bCs/>
          <w:kern w:val="32"/>
          <w:sz w:val="28"/>
          <w:szCs w:val="36"/>
          <w:rtl/>
        </w:rPr>
      </w:pPr>
      <w:r>
        <w:rPr>
          <w:rtl/>
        </w:rPr>
        <w:br w:type="page"/>
      </w:r>
    </w:p>
    <w:p w:rsidR="00540F0B" w:rsidRDefault="00540F0B" w:rsidP="00540F0B">
      <w:pPr>
        <w:pStyle w:val="ac"/>
        <w:rPr>
          <w:rtl/>
        </w:rPr>
      </w:pPr>
      <w:bookmarkStart w:id="63" w:name="_Toc169521357"/>
    </w:p>
    <w:p w:rsidR="00540F0B" w:rsidRDefault="00540F0B" w:rsidP="00540F0B">
      <w:pPr>
        <w:pStyle w:val="ac"/>
        <w:rPr>
          <w:rtl/>
        </w:rPr>
      </w:pPr>
    </w:p>
    <w:p w:rsidR="00540F0B" w:rsidRDefault="00540F0B" w:rsidP="00540F0B">
      <w:pPr>
        <w:pStyle w:val="ac"/>
        <w:rPr>
          <w:rtl/>
        </w:rPr>
      </w:pPr>
    </w:p>
    <w:p w:rsidR="00540F0B" w:rsidRDefault="00540F0B" w:rsidP="00540F0B">
      <w:pPr>
        <w:pStyle w:val="ac"/>
        <w:rPr>
          <w:rtl/>
        </w:rPr>
      </w:pPr>
    </w:p>
    <w:p w:rsidR="00540F0B" w:rsidRDefault="00540F0B" w:rsidP="00540F0B">
      <w:pPr>
        <w:pStyle w:val="ac"/>
        <w:rPr>
          <w:rtl/>
        </w:rPr>
      </w:pPr>
    </w:p>
    <w:p w:rsidR="004119AE" w:rsidRDefault="004119AE" w:rsidP="00540F0B">
      <w:pPr>
        <w:pStyle w:val="aff2"/>
        <w:rPr>
          <w:rtl/>
        </w:rPr>
        <w:sectPr w:rsidR="004119AE" w:rsidSect="00301D72">
          <w:headerReference w:type="even" r:id="rId25"/>
          <w:headerReference w:type="default" r:id="rId26"/>
          <w:headerReference w:type="first" r:id="rId27"/>
          <w:footnotePr>
            <w:numRestart w:val="eachPage"/>
          </w:footnotePr>
          <w:endnotePr>
            <w:numFmt w:val="decimal"/>
          </w:endnotePr>
          <w:type w:val="continuous"/>
          <w:pgSz w:w="11906" w:h="16838"/>
          <w:pgMar w:top="2268" w:right="2268" w:bottom="2665" w:left="2268" w:header="1979" w:footer="1106" w:gutter="0"/>
          <w:cols w:space="708"/>
          <w:titlePg/>
          <w:bidi/>
          <w:rtlGutter/>
          <w:docGrid w:linePitch="360"/>
        </w:sectPr>
      </w:pPr>
    </w:p>
    <w:p w:rsidR="00540F0B" w:rsidRDefault="00540F0B" w:rsidP="00540F0B">
      <w:pPr>
        <w:pStyle w:val="aff2"/>
        <w:rPr>
          <w:rtl/>
        </w:rPr>
      </w:pPr>
      <w:bookmarkStart w:id="64" w:name="_Toc275127883"/>
      <w:r w:rsidRPr="0017088F">
        <w:rPr>
          <w:rFonts w:hint="cs"/>
          <w:rtl/>
        </w:rPr>
        <w:lastRenderedPageBreak/>
        <w:t>المرأة في التراث العرفاني</w:t>
      </w:r>
      <w:bookmarkEnd w:id="63"/>
      <w:bookmarkEnd w:id="64"/>
    </w:p>
    <w:p w:rsidR="00540F0B" w:rsidRPr="00540F0B" w:rsidRDefault="00540F0B" w:rsidP="00540F0B">
      <w:pPr>
        <w:pStyle w:val="aff2"/>
        <w:rPr>
          <w:sz w:val="22"/>
          <w:szCs w:val="40"/>
          <w:rtl/>
        </w:rPr>
      </w:pPr>
      <w:bookmarkStart w:id="65" w:name="_Toc275127884"/>
      <w:r w:rsidRPr="00540F0B">
        <w:rPr>
          <w:rFonts w:hint="cs"/>
          <w:sz w:val="22"/>
          <w:szCs w:val="40"/>
          <w:rtl/>
        </w:rPr>
        <w:t>رابعة العدوية وسبيل العشق الإلهي</w:t>
      </w:r>
      <w:bookmarkEnd w:id="65"/>
      <w:r w:rsidRPr="00540F0B">
        <w:rPr>
          <w:rFonts w:hint="cs"/>
          <w:sz w:val="22"/>
          <w:szCs w:val="40"/>
          <w:rtl/>
        </w:rPr>
        <w:t xml:space="preserve"> </w:t>
      </w:r>
    </w:p>
    <w:p w:rsidR="00540F0B" w:rsidRPr="00A00CB6" w:rsidRDefault="00540F0B" w:rsidP="00540F0B">
      <w:pPr>
        <w:pStyle w:val="af7"/>
        <w:rPr>
          <w:rtl/>
        </w:rPr>
      </w:pPr>
      <w:bookmarkStart w:id="66" w:name="_Toc169521359"/>
      <w:bookmarkStart w:id="67" w:name="_Toc275127885"/>
      <w:r>
        <w:rPr>
          <w:rFonts w:hint="cs"/>
          <w:rtl/>
        </w:rPr>
        <w:t xml:space="preserve">أ. </w:t>
      </w:r>
      <w:r w:rsidRPr="00A00CB6">
        <w:rPr>
          <w:rFonts w:hint="cs"/>
          <w:rtl/>
        </w:rPr>
        <w:t>بخـش علي ق</w:t>
      </w:r>
      <w:r>
        <w:rPr>
          <w:rFonts w:hint="cs"/>
          <w:rtl/>
        </w:rPr>
        <w:t>ـ</w:t>
      </w:r>
      <w:r w:rsidRPr="00A00CB6">
        <w:rPr>
          <w:rFonts w:hint="cs"/>
          <w:rtl/>
        </w:rPr>
        <w:t>نبري</w:t>
      </w:r>
      <w:r w:rsidRPr="00540F0B">
        <w:rPr>
          <w:rFonts w:cs="Taher"/>
          <w:vertAlign w:val="superscript"/>
          <w:rtl/>
        </w:rPr>
        <w:footnoteReference w:customMarkFollows="1" w:id="5"/>
        <w:t>(*)</w:t>
      </w:r>
      <w:bookmarkEnd w:id="66"/>
      <w:bookmarkEnd w:id="67"/>
    </w:p>
    <w:p w:rsidR="00540F0B" w:rsidRPr="00282B9A" w:rsidRDefault="004119AE" w:rsidP="00540F0B">
      <w:pPr>
        <w:pStyle w:val="af7"/>
        <w:spacing w:before="0"/>
        <w:ind w:left="4320"/>
        <w:jc w:val="center"/>
        <w:rPr>
          <w:rStyle w:val="13Char2"/>
        </w:rPr>
      </w:pPr>
      <w:bookmarkStart w:id="68" w:name="_Toc169521360"/>
      <w:r>
        <w:rPr>
          <w:rFonts w:hint="cs"/>
          <w:rtl/>
        </w:rPr>
        <w:t xml:space="preserve">       </w:t>
      </w:r>
      <w:r w:rsidR="00540F0B">
        <w:rPr>
          <w:rFonts w:hint="cs"/>
          <w:rtl/>
        </w:rPr>
        <w:t xml:space="preserve">     </w:t>
      </w:r>
      <w:bookmarkStart w:id="69" w:name="_Toc275127886"/>
      <w:r w:rsidR="00540F0B" w:rsidRPr="00A00CB6">
        <w:rPr>
          <w:rFonts w:hint="cs"/>
          <w:rtl/>
        </w:rPr>
        <w:t>ترجمة: كمال السيد</w:t>
      </w:r>
      <w:bookmarkEnd w:id="68"/>
      <w:bookmarkEnd w:id="69"/>
    </w:p>
    <w:p w:rsidR="00540F0B" w:rsidRDefault="00540F0B" w:rsidP="00540F0B">
      <w:pPr>
        <w:pStyle w:val="ac"/>
      </w:pPr>
      <w:bookmarkStart w:id="70" w:name="_Toc169521361"/>
    </w:p>
    <w:p w:rsidR="00540F0B" w:rsidRPr="0017088F" w:rsidRDefault="00540F0B" w:rsidP="00540F0B">
      <w:pPr>
        <w:pStyle w:val="1"/>
        <w:rPr>
          <w:rtl/>
        </w:rPr>
      </w:pPr>
      <w:bookmarkStart w:id="71" w:name="_Toc275127887"/>
      <w:r w:rsidRPr="0017088F">
        <w:rPr>
          <w:rFonts w:hint="cs"/>
          <w:rtl/>
        </w:rPr>
        <w:t>العرفان في الدائرة الفكرية والثقافية للإسلام</w:t>
      </w:r>
      <w:bookmarkEnd w:id="70"/>
      <w:bookmarkEnd w:id="71"/>
    </w:p>
    <w:p w:rsidR="00540F0B" w:rsidRPr="00E14ED6" w:rsidRDefault="00540F0B" w:rsidP="00540F0B">
      <w:pPr>
        <w:pStyle w:val="ac"/>
        <w:rPr>
          <w:rtl/>
        </w:rPr>
      </w:pPr>
      <w:r w:rsidRPr="00E14ED6">
        <w:rPr>
          <w:rFonts w:hint="cs"/>
          <w:rtl/>
        </w:rPr>
        <w:t>الميل العرفاني إلى الله سبحانه مودع في أعماق البشر، ولا يوجد إنسان لا يتمتع بهذه النعمة المكنونة في فطرته، ولهذا لم ينحصر العرفان في دوائر محدودة؛ إذ اخترق جميع الحدود وانتقل عبر العصور ليصبح ظاهرةً إنسانية.</w:t>
      </w:r>
    </w:p>
    <w:p w:rsidR="00540F0B" w:rsidRPr="00E14ED6" w:rsidRDefault="00540F0B" w:rsidP="00540F0B">
      <w:pPr>
        <w:pStyle w:val="ac"/>
        <w:rPr>
          <w:rtl/>
        </w:rPr>
      </w:pPr>
      <w:r w:rsidRPr="00E14ED6">
        <w:rPr>
          <w:rFonts w:hint="cs"/>
          <w:rtl/>
        </w:rPr>
        <w:t>ولذا لا يخلو بلد من وجود عارف، فأينما اتجهنا حتّى إلى أقصى نقاط العالم وجدنا هناك من اشتهر وذاع صيته بين الناس بالعرفان.</w:t>
      </w:r>
    </w:p>
    <w:p w:rsidR="00540F0B" w:rsidRPr="00E14ED6" w:rsidRDefault="00540F0B" w:rsidP="00C916BC">
      <w:pPr>
        <w:pStyle w:val="ac"/>
        <w:rPr>
          <w:rtl/>
        </w:rPr>
      </w:pPr>
      <w:r w:rsidRPr="00E14ED6">
        <w:rPr>
          <w:rFonts w:hint="cs"/>
          <w:rtl/>
        </w:rPr>
        <w:t xml:space="preserve">غير أنّ العرفان ـ بوصفه ظاهرةً إنسانية ـ ارتبط بالبشر طبقاً لمستويات إدراكاتهم، فربما صادف من لا يتمتّع بالسعة والعمق المطلوبين، ثم راح ينظّر له ليكتسب صفةً ذاتية وقالباً مميزاً ربما يكون بعيداً عن المعنى الحقيقي للعرفان. والأسوأ من هذا أن يتحوّل العرفان إلى تجمّعات أو تشكيلات حزبية فيخطو خطوات في طريق تؤدّي به إلى الاضمحلال ونقض الأهداف والغايات السامية التي يرمي إلى تحقيقها، ليحلّ عرفان </w:t>
      </w:r>
      <w:r w:rsidRPr="00E14ED6">
        <w:rPr>
          <w:rFonts w:hint="cs"/>
          <w:rtl/>
        </w:rPr>
        <w:lastRenderedPageBreak/>
        <w:t>منخور من قشوره إلى لبابه، ويظهر بمظهر جديد لا يطاق، وقد امتدّ هذا البلاء ليشمل المدارس العرفانية المنتشرة في الماضي البعيد والقريب.</w:t>
      </w:r>
    </w:p>
    <w:p w:rsidR="00540F0B" w:rsidRDefault="00540F0B" w:rsidP="00C916BC">
      <w:pPr>
        <w:pStyle w:val="ac"/>
        <w:rPr>
          <w:rtl/>
        </w:rPr>
      </w:pPr>
      <w:r w:rsidRPr="00E14ED6">
        <w:rPr>
          <w:rFonts w:hint="cs"/>
          <w:rtl/>
        </w:rPr>
        <w:t>وهذه الظواهر اللامباركة ظهرت أوّل ما ظهرت في العرفان المنفصل عن تعاليم الوحي، فنشأ عرفان اتّسم بالسطحية بسبب الحرمان من ذلك الجانب بدل العرفان الذي يتمتع بالعمق والسعة.</w:t>
      </w:r>
    </w:p>
    <w:p w:rsidR="00540F0B" w:rsidRPr="00E14ED6" w:rsidRDefault="00540F0B" w:rsidP="00C916BC">
      <w:pPr>
        <w:pStyle w:val="ac"/>
        <w:rPr>
          <w:rtl/>
        </w:rPr>
      </w:pPr>
      <w:r w:rsidRPr="00E14ED6">
        <w:rPr>
          <w:rFonts w:hint="cs"/>
          <w:rtl/>
        </w:rPr>
        <w:t>أما العرفان الذي نشأ في أحضان الوحي فكان على العكس من ذلك، حيث اللبّ هو الأساس والتشكّل يأتي في الدرجة الثانية، وربما لا يأتي أبداً، أو لعله يأتي من أجل حفظ اللباب.</w:t>
      </w:r>
    </w:p>
    <w:p w:rsidR="00540F0B" w:rsidRPr="00154FB9" w:rsidRDefault="00540F0B" w:rsidP="00C916BC">
      <w:pPr>
        <w:pStyle w:val="ac"/>
        <w:rPr>
          <w:rtl/>
        </w:rPr>
      </w:pPr>
      <w:r w:rsidRPr="00154FB9">
        <w:rPr>
          <w:rFonts w:hint="cs"/>
          <w:rtl/>
        </w:rPr>
        <w:t>ومن هنا، فأي بارقة عرفان تنشأ في أحضان الرسالة الإلهية والرسول</w:t>
      </w:r>
      <w:r w:rsidR="00C86626">
        <w:rPr>
          <w:rFonts w:hint="cs"/>
          <w:rtl/>
        </w:rPr>
        <w:t>’</w:t>
      </w:r>
      <w:r w:rsidRPr="00154FB9">
        <w:rPr>
          <w:rFonts w:hint="cs"/>
          <w:rtl/>
        </w:rPr>
        <w:t>، أو الإمام</w:t>
      </w:r>
      <w:r w:rsidRPr="00540F0B">
        <w:rPr>
          <w:rFonts w:hint="cs"/>
          <w:rtl/>
        </w:rPr>
        <w:t>×</w:t>
      </w:r>
      <w:r w:rsidRPr="00154FB9">
        <w:rPr>
          <w:rFonts w:hint="cs"/>
          <w:rtl/>
        </w:rPr>
        <w:t>، أو ولي من أولياء الله، ستكون مدعاةً لاتضاح الطريق وتضاعف النور وتجذر الغاية، ويمكن القول بجرأة: إنّ العرفان الإسلامي الأصيل قد خطا نحو نبع الحقيقة، وأن السالكين في هذا الطريق شملتهم المواهب الإلهية من الحق المطلق (الله).</w:t>
      </w:r>
    </w:p>
    <w:p w:rsidR="00540F0B" w:rsidRPr="00E14ED6" w:rsidRDefault="00540F0B" w:rsidP="00540F0B">
      <w:pPr>
        <w:pStyle w:val="ac"/>
        <w:rPr>
          <w:rtl/>
        </w:rPr>
      </w:pPr>
      <w:r w:rsidRPr="00E14ED6">
        <w:rPr>
          <w:rFonts w:hint="cs"/>
          <w:rtl/>
        </w:rPr>
        <w:t>ولكن ماذا نفعل مع الذباب الذي يحوم حول العسل ليلوّثه، ومن ثم يقع في قبضته ويحرم الآخرين من فيض نعمته؟!</w:t>
      </w:r>
    </w:p>
    <w:p w:rsidR="00540F0B" w:rsidRPr="00E14ED6" w:rsidRDefault="00540F0B" w:rsidP="00C916BC">
      <w:pPr>
        <w:pStyle w:val="ac"/>
        <w:spacing w:line="209" w:lineRule="auto"/>
        <w:rPr>
          <w:rtl/>
        </w:rPr>
      </w:pPr>
      <w:r w:rsidRPr="00E14ED6">
        <w:rPr>
          <w:rFonts w:hint="cs"/>
          <w:rtl/>
        </w:rPr>
        <w:t>ويمكن القول: إننا نشهد ثلاثة أنواع من العرفان في الثقافة الإسلامية:</w:t>
      </w:r>
    </w:p>
    <w:p w:rsidR="00540F0B" w:rsidRPr="00E14ED6" w:rsidRDefault="00540F0B" w:rsidP="00C916BC">
      <w:pPr>
        <w:pStyle w:val="ac"/>
        <w:spacing w:line="209" w:lineRule="auto"/>
        <w:rPr>
          <w:rtl/>
        </w:rPr>
      </w:pPr>
      <w:r w:rsidRPr="00E14ED6">
        <w:rPr>
          <w:rFonts w:hint="cs"/>
          <w:rtl/>
        </w:rPr>
        <w:t>1 ـ عرفان إلهي أصيل، وهو الذي ذكرنا آنفاً وهو محطّ نظرنا.</w:t>
      </w:r>
    </w:p>
    <w:p w:rsidR="00540F0B" w:rsidRPr="00E14ED6" w:rsidRDefault="00540F0B" w:rsidP="00C916BC">
      <w:pPr>
        <w:pStyle w:val="ac"/>
        <w:spacing w:line="209" w:lineRule="auto"/>
        <w:rPr>
          <w:rtl/>
        </w:rPr>
      </w:pPr>
      <w:r w:rsidRPr="00E14ED6">
        <w:rPr>
          <w:rFonts w:hint="cs"/>
          <w:rtl/>
        </w:rPr>
        <w:t>2 ـ وعرفان يرتدي الصوف المخرّب.</w:t>
      </w:r>
    </w:p>
    <w:p w:rsidR="00540F0B" w:rsidRPr="00E14ED6" w:rsidRDefault="00540F0B" w:rsidP="00C916BC">
      <w:pPr>
        <w:pStyle w:val="ac"/>
        <w:spacing w:line="209" w:lineRule="auto"/>
        <w:rPr>
          <w:rtl/>
        </w:rPr>
      </w:pPr>
      <w:r w:rsidRPr="00E14ED6">
        <w:rPr>
          <w:rFonts w:hint="cs"/>
          <w:rtl/>
        </w:rPr>
        <w:t>3 ـ العرفان الحديث المتأثر بمدّعيات عرفانية ناجمة عن أذواق العصر الجديد.</w:t>
      </w:r>
    </w:p>
    <w:p w:rsidR="00540F0B" w:rsidRPr="00E14ED6" w:rsidRDefault="00540F0B" w:rsidP="00C916BC">
      <w:pPr>
        <w:pStyle w:val="ac"/>
        <w:spacing w:line="209" w:lineRule="auto"/>
        <w:rPr>
          <w:rtl/>
        </w:rPr>
      </w:pPr>
      <w:r w:rsidRPr="00E14ED6">
        <w:rPr>
          <w:rFonts w:hint="cs"/>
          <w:rtl/>
        </w:rPr>
        <w:t>ومن خلال هذا التقسيم نكون قد فكّكنا بين العرفان والتصوّف.</w:t>
      </w:r>
    </w:p>
    <w:p w:rsidR="00540F0B" w:rsidRPr="00E14ED6" w:rsidRDefault="00540F0B" w:rsidP="00C916BC">
      <w:pPr>
        <w:pStyle w:val="ac"/>
        <w:spacing w:line="209" w:lineRule="auto"/>
        <w:rPr>
          <w:rtl/>
        </w:rPr>
      </w:pPr>
      <w:r w:rsidRPr="00E14ED6">
        <w:rPr>
          <w:rFonts w:hint="cs"/>
          <w:rtl/>
        </w:rPr>
        <w:t>وبالرغم من تصوّر البعض أن هناك وحدةً بين التصوف والعرفان، إلاّ أنّنا نصرّ على الفصل بينهما، ونؤكّد أن العرفان الأصيل لا يمكن أن ينضوي تحت اُطر من الألفاظ والتشريفات والقوانين وتسلسل الرتب، بل إنّه الإخلاص والتوحيد والإفادة من التجربة الدينية والعرفانية النابعة من العبودية لله عزوجل.</w:t>
      </w:r>
    </w:p>
    <w:p w:rsidR="00540F0B" w:rsidRPr="00E14ED6" w:rsidRDefault="00540F0B" w:rsidP="00540F0B">
      <w:pPr>
        <w:pStyle w:val="ac"/>
        <w:rPr>
          <w:rtl/>
        </w:rPr>
      </w:pPr>
      <w:r w:rsidRPr="00E14ED6">
        <w:rPr>
          <w:rFonts w:hint="cs"/>
          <w:rtl/>
        </w:rPr>
        <w:t xml:space="preserve">أمّا أولئك الذين يرتدون خرقة الصوف ويجعلون من الطريق إلى الله رتباً رسمية </w:t>
      </w:r>
      <w:r w:rsidRPr="00E14ED6">
        <w:rPr>
          <w:rFonts w:hint="cs"/>
          <w:rtl/>
        </w:rPr>
        <w:lastRenderedPageBreak/>
        <w:t>ومراحل ظاهرية فلا هم يعرفون المحبوب فيتعلّقوا به، ولا هم تذوقوا طيلة حياتهم طعم العشق الإلهي والعرفان الأصيل.</w:t>
      </w:r>
    </w:p>
    <w:p w:rsidR="00540F0B" w:rsidRPr="00154FB9" w:rsidRDefault="00540F0B" w:rsidP="00C916BC">
      <w:pPr>
        <w:pStyle w:val="ac"/>
        <w:spacing w:line="199" w:lineRule="auto"/>
        <w:rPr>
          <w:rtl/>
        </w:rPr>
      </w:pPr>
      <w:r w:rsidRPr="00154FB9">
        <w:rPr>
          <w:rFonts w:hint="cs"/>
          <w:rtl/>
        </w:rPr>
        <w:t>فهؤلاء لا يعرفون إلاّ مصالحهم، ولا يريدون إلاّ أنفسهم وإن تظاهروا بغير ذلك:</w:t>
      </w:r>
    </w:p>
    <w:p w:rsidR="00540F0B" w:rsidRPr="008425EB" w:rsidRDefault="00540F0B" w:rsidP="00C916BC">
      <w:pPr>
        <w:pStyle w:val="ac"/>
        <w:spacing w:line="199" w:lineRule="auto"/>
        <w:rPr>
          <w:rtl/>
        </w:rPr>
      </w:pPr>
      <w:r w:rsidRPr="008425EB">
        <w:rPr>
          <w:rFonts w:hint="cs"/>
          <w:rtl/>
        </w:rPr>
        <w:t>الذي يرتدي خرقة الصوف ولا خلقاً لديه</w:t>
      </w:r>
    </w:p>
    <w:p w:rsidR="00540F0B" w:rsidRDefault="00540F0B" w:rsidP="00C916BC">
      <w:pPr>
        <w:pStyle w:val="ac"/>
        <w:spacing w:line="199" w:lineRule="auto"/>
        <w:rPr>
          <w:rtl/>
        </w:rPr>
      </w:pPr>
      <w:r w:rsidRPr="008425EB">
        <w:rPr>
          <w:rFonts w:hint="cs"/>
          <w:rtl/>
        </w:rPr>
        <w:t>لم يشمّ للحب عطراً ولا حنّ إليه</w:t>
      </w:r>
      <w:r w:rsidRPr="00815C4C">
        <w:rPr>
          <w:rFonts w:cs="Taher"/>
          <w:vertAlign w:val="superscript"/>
          <w:rtl/>
        </w:rPr>
        <w:t>(</w:t>
      </w:r>
      <w:r w:rsidRPr="00815C4C">
        <w:rPr>
          <w:rFonts w:cs="Taher"/>
          <w:vertAlign w:val="superscript"/>
          <w:rtl/>
        </w:rPr>
        <w:footnoteReference w:id="6"/>
      </w:r>
      <w:r w:rsidRPr="00815C4C">
        <w:rPr>
          <w:rFonts w:cs="Taher"/>
          <w:vertAlign w:val="superscript"/>
          <w:rtl/>
        </w:rPr>
        <w:t>)</w:t>
      </w:r>
      <w:r>
        <w:rPr>
          <w:rFonts w:hint="cs"/>
          <w:rtl/>
        </w:rPr>
        <w:t>.</w:t>
      </w:r>
    </w:p>
    <w:p w:rsidR="00540F0B" w:rsidRPr="00E14ED6" w:rsidRDefault="00540F0B" w:rsidP="00C916BC">
      <w:pPr>
        <w:pStyle w:val="ac"/>
        <w:spacing w:line="199" w:lineRule="auto"/>
        <w:rPr>
          <w:rtl/>
        </w:rPr>
      </w:pPr>
      <w:r w:rsidRPr="00E14ED6">
        <w:rPr>
          <w:rFonts w:hint="cs"/>
          <w:rtl/>
        </w:rPr>
        <w:t>وفي رأي المؤلّف أن أدعياء التصوّف ـ لا العارف الحقيقي الذي لا يفكّر في منصب أو مقام ولا يودّ أن يكون مرشداً ـ قنعوا بظواهر الفرقة والقناعة الظاهرية، بل إنهم فتنوا وفضلوا الثناء والمديح على الحب الإلهي فاحترقوا بأنانيتهم وهم لا يشعرون.</w:t>
      </w:r>
    </w:p>
    <w:p w:rsidR="00540F0B" w:rsidRPr="008425EB" w:rsidRDefault="00540F0B" w:rsidP="00C916BC">
      <w:pPr>
        <w:pStyle w:val="ac"/>
        <w:spacing w:line="199" w:lineRule="auto"/>
        <w:rPr>
          <w:rtl/>
        </w:rPr>
      </w:pPr>
      <w:r w:rsidRPr="008425EB">
        <w:rPr>
          <w:rFonts w:hint="cs"/>
          <w:rtl/>
        </w:rPr>
        <w:t>لا تذْع أسرار حبك للمدعيّ</w:t>
      </w:r>
    </w:p>
    <w:p w:rsidR="00540F0B" w:rsidRPr="008425EB" w:rsidRDefault="00540F0B" w:rsidP="00C916BC">
      <w:pPr>
        <w:pStyle w:val="ac"/>
        <w:spacing w:line="199" w:lineRule="auto"/>
        <w:rPr>
          <w:rtl/>
        </w:rPr>
      </w:pPr>
      <w:r w:rsidRPr="008425EB">
        <w:rPr>
          <w:rFonts w:hint="cs"/>
          <w:rtl/>
        </w:rPr>
        <w:t>إنّه يعبد ذاته ثم يموت</w:t>
      </w:r>
      <w:r w:rsidRPr="00815C4C">
        <w:rPr>
          <w:rFonts w:cs="Taher"/>
          <w:vertAlign w:val="superscript"/>
          <w:rtl/>
        </w:rPr>
        <w:t>(</w:t>
      </w:r>
      <w:r w:rsidRPr="00815C4C">
        <w:rPr>
          <w:rFonts w:cs="Taher"/>
          <w:vertAlign w:val="superscript"/>
          <w:rtl/>
        </w:rPr>
        <w:footnoteReference w:id="7"/>
      </w:r>
      <w:r w:rsidRPr="00815C4C">
        <w:rPr>
          <w:rFonts w:cs="Taher"/>
          <w:vertAlign w:val="superscript"/>
          <w:rtl/>
        </w:rPr>
        <w:t>)</w:t>
      </w:r>
      <w:r w:rsidR="00815C4C" w:rsidRPr="00815C4C">
        <w:rPr>
          <w:rFonts w:hint="cs"/>
          <w:rtl/>
        </w:rPr>
        <w:t>.</w:t>
      </w:r>
    </w:p>
    <w:p w:rsidR="00540F0B" w:rsidRPr="00E14ED6" w:rsidRDefault="00540F0B" w:rsidP="00C916BC">
      <w:pPr>
        <w:pStyle w:val="ac"/>
        <w:spacing w:line="199" w:lineRule="auto"/>
        <w:rPr>
          <w:rtl/>
        </w:rPr>
      </w:pPr>
      <w:r w:rsidRPr="00E14ED6">
        <w:rPr>
          <w:rFonts w:hint="cs"/>
          <w:rtl/>
        </w:rPr>
        <w:t xml:space="preserve">وعلى كل حال، فإنّ العرفان في هذا المجال طريقة في صدد الكشف والاحتراق واعتبار جفاء المحبوب عين الوفاء، وعلى حدّ تعبير القرآن الكريم: </w:t>
      </w:r>
      <w:r w:rsidRPr="00885E99">
        <w:rPr>
          <w:rFonts w:hint="eastAsia"/>
          <w:rtl/>
        </w:rPr>
        <w:t>«</w:t>
      </w:r>
      <w:r w:rsidRPr="00E14ED6">
        <w:rPr>
          <w:rFonts w:hint="cs"/>
          <w:rtl/>
        </w:rPr>
        <w:t>القرب الالهي</w:t>
      </w:r>
      <w:r w:rsidRPr="00617008">
        <w:rPr>
          <w:rFonts w:hint="eastAsia"/>
          <w:rtl/>
        </w:rPr>
        <w:t>»</w:t>
      </w:r>
      <w:r w:rsidRPr="00815C4C">
        <w:rPr>
          <w:rFonts w:cs="Taher"/>
          <w:vertAlign w:val="superscript"/>
          <w:rtl/>
        </w:rPr>
        <w:t>(</w:t>
      </w:r>
      <w:r w:rsidRPr="00815C4C">
        <w:rPr>
          <w:rFonts w:cs="Taher"/>
          <w:vertAlign w:val="superscript"/>
          <w:rtl/>
        </w:rPr>
        <w:footnoteReference w:id="8"/>
      </w:r>
      <w:r w:rsidRPr="00815C4C">
        <w:rPr>
          <w:rFonts w:cs="Taher"/>
          <w:vertAlign w:val="superscript"/>
          <w:rtl/>
        </w:rPr>
        <w:t>)</w:t>
      </w:r>
      <w:r w:rsidRPr="00E14ED6">
        <w:rPr>
          <w:rFonts w:hint="cs"/>
          <w:rtl/>
        </w:rPr>
        <w:t xml:space="preserve"> ولا شيء غير ذلك.</w:t>
      </w:r>
    </w:p>
    <w:p w:rsidR="00540F0B" w:rsidRPr="00E14ED6" w:rsidRDefault="00540F0B" w:rsidP="00350F90">
      <w:pPr>
        <w:pStyle w:val="ac"/>
        <w:rPr>
          <w:rtl/>
        </w:rPr>
      </w:pPr>
      <w:r w:rsidRPr="00E14ED6">
        <w:rPr>
          <w:rFonts w:hint="cs"/>
          <w:rtl/>
        </w:rPr>
        <w:t>ومع كلّ هذا، فإننا نصطدم في تاريخ الإسلام بفريق ـ من خلال تمسّكه ببعض الروايات التي لا يُعلم صحّة سندها ـ يقدم على وضع أساليب ومراسم تشريفاتية يمكن القول: إنّها لا تمتّ إلى العرفان الإلهي بصلة، بل لقد نحتوا آلهةً وهميةً وظنوا السراب ماءً.</w:t>
      </w:r>
    </w:p>
    <w:p w:rsidR="00540F0B" w:rsidRPr="00E14ED6" w:rsidRDefault="00540F0B" w:rsidP="00350F90">
      <w:pPr>
        <w:pStyle w:val="ac"/>
        <w:rPr>
          <w:rtl/>
        </w:rPr>
      </w:pPr>
      <w:r w:rsidRPr="00E14ED6">
        <w:rPr>
          <w:rFonts w:hint="cs"/>
          <w:rtl/>
        </w:rPr>
        <w:t>ولذا اُصرّ على أن أعتبر هذا اللون من التصوف سلبياً.</w:t>
      </w:r>
    </w:p>
    <w:p w:rsidR="00540F0B" w:rsidRPr="00E14ED6" w:rsidRDefault="00540F0B" w:rsidP="00C916BC">
      <w:pPr>
        <w:pStyle w:val="ac"/>
        <w:rPr>
          <w:rtl/>
        </w:rPr>
      </w:pPr>
      <w:r w:rsidRPr="00E14ED6">
        <w:rPr>
          <w:rFonts w:hint="cs"/>
          <w:rtl/>
        </w:rPr>
        <w:t xml:space="preserve">وفي أحضان الثقافة الإسلامية والشيعية ظهر عرفاء كبار من قبيل مولوي، وحافظ، والخواجة عبدالله، وفي العهود المتأخرة محمد تقي المجلسي، وميرداماد، وفي العصر الحاضر ظهر الإمام الخميني، ولم يكن لكلّ هؤلاء فرقة ولا تشريفات أو رتب صوفية </w:t>
      </w:r>
      <w:r w:rsidRPr="00E14ED6">
        <w:rPr>
          <w:rFonts w:hint="cs"/>
          <w:rtl/>
        </w:rPr>
        <w:lastRenderedPageBreak/>
        <w:t>أو ألقاب؛ ولا نغفل عن المرأة العارفة بين هؤلاء العرفاء الكبار، وما أكثر اللائي ظهرن وتألّقن في سماء العرفان والحب الإلهي.</w:t>
      </w:r>
    </w:p>
    <w:p w:rsidR="00540F0B" w:rsidRPr="00E14ED6" w:rsidRDefault="00540F0B" w:rsidP="00C916BC">
      <w:pPr>
        <w:pStyle w:val="ac"/>
        <w:spacing w:line="199" w:lineRule="auto"/>
        <w:rPr>
          <w:rtl/>
        </w:rPr>
      </w:pPr>
      <w:r w:rsidRPr="00E14ED6">
        <w:rPr>
          <w:rFonts w:hint="cs"/>
          <w:rtl/>
        </w:rPr>
        <w:t>ومن المفيد أن نذكر أنّ قطب العرفان هو النبي</w:t>
      </w:r>
      <w:r w:rsidR="00C86626">
        <w:rPr>
          <w:rFonts w:hint="cs"/>
          <w:rtl/>
        </w:rPr>
        <w:t>’</w:t>
      </w:r>
      <w:r w:rsidRPr="00E14ED6">
        <w:rPr>
          <w:rFonts w:hint="cs"/>
          <w:rtl/>
        </w:rPr>
        <w:t xml:space="preserve"> الذي علم مكنوناته وأسراره، ووصيه الإمام علي بن أبي طالب</w:t>
      </w:r>
      <w:r>
        <w:rPr>
          <w:rFonts w:hint="cs"/>
          <w:rtl/>
        </w:rPr>
        <w:t>×</w:t>
      </w:r>
      <w:r w:rsidRPr="00E14ED6">
        <w:rPr>
          <w:rFonts w:hint="cs"/>
          <w:rtl/>
        </w:rPr>
        <w:t>، ومن علي انتقل هذا الميراث الإلهي.</w:t>
      </w:r>
    </w:p>
    <w:p w:rsidR="00540F0B" w:rsidRPr="00E14ED6" w:rsidRDefault="00540F0B" w:rsidP="00C916BC">
      <w:pPr>
        <w:pStyle w:val="ac"/>
        <w:spacing w:line="197" w:lineRule="auto"/>
        <w:rPr>
          <w:rtl/>
        </w:rPr>
      </w:pPr>
      <w:r w:rsidRPr="00E14ED6">
        <w:rPr>
          <w:rFonts w:hint="cs"/>
          <w:rtl/>
        </w:rPr>
        <w:t>فإذا أردنا أن نذكر الأنموذج الكامل للعارف فلا شكّ أنّ رسول</w:t>
      </w:r>
      <w:r w:rsidR="00C916BC">
        <w:rPr>
          <w:rFonts w:hint="cs"/>
          <w:rtl/>
        </w:rPr>
        <w:t xml:space="preserve"> </w:t>
      </w:r>
      <w:r w:rsidRPr="00E14ED6">
        <w:rPr>
          <w:rFonts w:hint="cs"/>
          <w:rtl/>
        </w:rPr>
        <w:t>الله</w:t>
      </w:r>
      <w:r w:rsidR="00C86626">
        <w:rPr>
          <w:rFonts w:hint="cs"/>
          <w:rtl/>
        </w:rPr>
        <w:t>’</w:t>
      </w:r>
      <w:r w:rsidRPr="00E14ED6">
        <w:rPr>
          <w:rFonts w:hint="cs"/>
          <w:rtl/>
        </w:rPr>
        <w:t xml:space="preserve"> هو الأنموذج الأمثل والعارف الأكبر.</w:t>
      </w:r>
    </w:p>
    <w:p w:rsidR="00540F0B" w:rsidRPr="00E14ED6" w:rsidRDefault="00540F0B" w:rsidP="00C916BC">
      <w:pPr>
        <w:pStyle w:val="ac"/>
        <w:spacing w:line="199" w:lineRule="auto"/>
        <w:rPr>
          <w:rtl/>
        </w:rPr>
      </w:pPr>
      <w:r w:rsidRPr="00E14ED6">
        <w:rPr>
          <w:rFonts w:hint="cs"/>
          <w:rtl/>
        </w:rPr>
        <w:t>ولو تأمّلنا حياة أولئك العظماء لاكتشفنا نقطةً هامّة وهي الجمع الذي امتازوا به؛ وأعني بالجمع هموم المصير الفردي والجماعي، فهم يسيرون إلى الله وأجسامهم في الأرض وأرواحهم معلّقة بالملأ الأعلى</w:t>
      </w:r>
      <w:r w:rsidRPr="00815C4C">
        <w:rPr>
          <w:rFonts w:cs="Taher"/>
          <w:vertAlign w:val="superscript"/>
          <w:rtl/>
        </w:rPr>
        <w:t>(</w:t>
      </w:r>
      <w:r w:rsidRPr="00815C4C">
        <w:rPr>
          <w:rFonts w:cs="Taher"/>
          <w:vertAlign w:val="superscript"/>
          <w:rtl/>
        </w:rPr>
        <w:footnoteReference w:id="9"/>
      </w:r>
      <w:r w:rsidRPr="00815C4C">
        <w:rPr>
          <w:rFonts w:cs="Taher"/>
          <w:vertAlign w:val="superscript"/>
          <w:rtl/>
        </w:rPr>
        <w:t>)</w:t>
      </w:r>
      <w:r w:rsidRPr="00E14ED6">
        <w:rPr>
          <w:rFonts w:hint="cs"/>
          <w:rtl/>
        </w:rPr>
        <w:t>، قادةٌ للمجتمع وهداةٌ للإنسانية، فهم في قلب الحوادث، وليسوا منـزوين أو منفصلين عما يجري حولهم، فعرفانهم ذو بعدين: فردي واجتماعي، وإنّك لتجد الأنموذج الجليّ في مدرسة الإمام علي</w:t>
      </w:r>
      <w:r w:rsidR="00C94BDF" w:rsidRPr="00C94BDF">
        <w:rPr>
          <w:rFonts w:hint="cs"/>
          <w:rtl/>
        </w:rPr>
        <w:t>×</w:t>
      </w:r>
      <w:r w:rsidRPr="00767F05">
        <w:rPr>
          <w:rFonts w:ascii="Simplified Arabic" w:hAnsi="Simplified Arabic" w:cs="Traditional Arabic" w:hint="cs"/>
          <w:szCs w:val="32"/>
          <w:rtl/>
        </w:rPr>
        <w:t>،</w:t>
      </w:r>
      <w:r w:rsidRPr="00E14ED6">
        <w:rPr>
          <w:rFonts w:hint="cs"/>
          <w:rtl/>
        </w:rPr>
        <w:t xml:space="preserve"> ونهج البلاغة الكتاب والمنهج والشاهد على هذه المدرسة.</w:t>
      </w:r>
    </w:p>
    <w:p w:rsidR="00540F0B" w:rsidRPr="00E14ED6" w:rsidRDefault="00540F0B" w:rsidP="00C916BC">
      <w:pPr>
        <w:pStyle w:val="ac"/>
        <w:spacing w:line="202" w:lineRule="auto"/>
        <w:rPr>
          <w:rtl/>
        </w:rPr>
      </w:pPr>
      <w:r w:rsidRPr="00E14ED6">
        <w:rPr>
          <w:rFonts w:hint="cs"/>
          <w:rtl/>
        </w:rPr>
        <w:t>فتجد العرفاء على مسار الزمن قد انتهلوا منه كلٌّ حسب طاقته، وما تحمّلته نفوسهم وأرواحهم، فغاية العرفان الأصيل ليست العزلة والإنزواء، بل هو وثيق الصلة بالمجتمع، وهو الذروة في مراحل العرفان الأصيل، وكثير لم يبلغوا هذه المرحلة، وما استطاعت نفوسهم الارتفاع إلى ذلك فظلّوا في منتصف الطريق.. ظلّوا في إطار فرديّتهم، ولم ينتقلوا إلى مرحلة حمل هموم المجتمع والآخرين، وإخفاقهم في اجتياز هذه المرحلة ليس دليلاً على القول بأن العرفان الأصيل هو عرفان فردي، بل إنه فردي واجتماعي، ولكلّ منهما درجات.</w:t>
      </w:r>
    </w:p>
    <w:p w:rsidR="00540F0B" w:rsidRPr="00E14ED6" w:rsidRDefault="00540F0B" w:rsidP="00C916BC">
      <w:pPr>
        <w:pStyle w:val="ac"/>
        <w:spacing w:line="199" w:lineRule="auto"/>
        <w:rPr>
          <w:rtl/>
        </w:rPr>
      </w:pPr>
      <w:r w:rsidRPr="00E14ED6">
        <w:rPr>
          <w:rFonts w:hint="cs"/>
          <w:rtl/>
        </w:rPr>
        <w:t>لقد كان الإمام الخميني في هذا العصر الأنموذج الذي تحقّقت فيه أبعاد العرفان الأصيل.</w:t>
      </w:r>
    </w:p>
    <w:p w:rsidR="00540F0B" w:rsidRDefault="00540F0B" w:rsidP="00540F0B">
      <w:pPr>
        <w:pStyle w:val="ac"/>
        <w:rPr>
          <w:rtl/>
        </w:rPr>
      </w:pPr>
      <w:r w:rsidRPr="00E14ED6">
        <w:rPr>
          <w:rFonts w:hint="cs"/>
          <w:rtl/>
        </w:rPr>
        <w:t xml:space="preserve">ويجب الاعتراف بأنّ المرأة قد سلكت هذا الطريق اُسوةً بالرجل، وربما سبقته </w:t>
      </w:r>
      <w:r w:rsidRPr="00E14ED6">
        <w:rPr>
          <w:rFonts w:hint="cs"/>
          <w:rtl/>
        </w:rPr>
        <w:lastRenderedPageBreak/>
        <w:t>وامتازت عليه أحياناً في بعض فصول التاريخ، ولقد ظهرت المرأة المتصوّفة مع بدو ظهور الحركات الصوفية، أي منذ القرن الثاني الهجري، بل يمكن القول: إنّ المرأة كانت رائدةً في بعض الجماعات الصوفية؛ إذ يبرز أنموذج رابعة العدوية (135 هـ أو 185 هـ)، حيث تعدّ في طليعة النساء المتصوّفات، وفي الحقيقة يمكن اعتبارها ممن فتح في عالم السير والسلوك أفقاً جديداً، فكانت في طليعة الزاهدين والزاهدات</w:t>
      </w:r>
      <w:r w:rsidRPr="00815C4C">
        <w:rPr>
          <w:rFonts w:cs="Taher"/>
          <w:vertAlign w:val="superscript"/>
          <w:rtl/>
        </w:rPr>
        <w:t>(</w:t>
      </w:r>
      <w:r w:rsidRPr="00815C4C">
        <w:rPr>
          <w:rFonts w:cs="Taher"/>
          <w:vertAlign w:val="superscript"/>
          <w:rtl/>
        </w:rPr>
        <w:footnoteReference w:id="10"/>
      </w:r>
      <w:r w:rsidRPr="00815C4C">
        <w:rPr>
          <w:rFonts w:cs="Taher"/>
          <w:vertAlign w:val="superscript"/>
          <w:rtl/>
        </w:rPr>
        <w:t>)</w:t>
      </w:r>
      <w:r w:rsidRPr="00E14ED6">
        <w:rPr>
          <w:rFonts w:hint="cs"/>
          <w:rtl/>
        </w:rPr>
        <w:t>.</w:t>
      </w:r>
    </w:p>
    <w:p w:rsidR="00540F0B" w:rsidRPr="00C916BC" w:rsidRDefault="00540F0B" w:rsidP="00C916BC">
      <w:pPr>
        <w:pStyle w:val="afffffc"/>
        <w:rPr>
          <w:sz w:val="16"/>
          <w:szCs w:val="14"/>
          <w:rtl/>
        </w:rPr>
      </w:pPr>
    </w:p>
    <w:p w:rsidR="00540F0B" w:rsidRPr="0017088F" w:rsidRDefault="00540F0B" w:rsidP="00540F0B">
      <w:pPr>
        <w:pStyle w:val="1"/>
        <w:rPr>
          <w:rtl/>
        </w:rPr>
      </w:pPr>
      <w:bookmarkStart w:id="72" w:name="_Toc169521362"/>
      <w:bookmarkStart w:id="73" w:name="_Toc275127888"/>
      <w:r w:rsidRPr="0017088F">
        <w:rPr>
          <w:rFonts w:hint="cs"/>
          <w:rtl/>
        </w:rPr>
        <w:t>مرتكزات المرأة في العرفان</w:t>
      </w:r>
      <w:bookmarkEnd w:id="72"/>
      <w:bookmarkEnd w:id="73"/>
    </w:p>
    <w:p w:rsidR="00540F0B" w:rsidRPr="00E14ED6" w:rsidRDefault="00540F0B" w:rsidP="00C916BC">
      <w:pPr>
        <w:pStyle w:val="ac"/>
        <w:spacing w:line="199" w:lineRule="auto"/>
        <w:rPr>
          <w:rtl/>
        </w:rPr>
      </w:pPr>
      <w:r w:rsidRPr="00E14ED6">
        <w:rPr>
          <w:rFonts w:hint="cs"/>
          <w:rtl/>
        </w:rPr>
        <w:t>اختلفت الآراء في المرأة وجوداً إنسانياً ودوراً، فبعض يرى أنّ وجود المرأة من الرجل وللرجل؛ يعني أنّها خلقت من ضلع الرجل، وغائية خلقها وهدفه خدمة الرجل والكون تحت تصرّفه، فيما يرى بعض آخر أنّها من الرجل ولكنها ليست له بل لنفسها هي، ويرى فريق ثالث أنّ المرأة والرجل مخلوقان من نفس واحدة، ولكلّ منهما منـزلته، وأن الغاية من خلقهما بلوغ الكمال، وكلّ على حسب سعيه في الوصول إلى ذلك الهدف المنشود.</w:t>
      </w:r>
    </w:p>
    <w:p w:rsidR="00540F0B" w:rsidRPr="00E14ED6" w:rsidRDefault="00540F0B" w:rsidP="00C916BC">
      <w:pPr>
        <w:pStyle w:val="ac"/>
        <w:spacing w:line="202" w:lineRule="auto"/>
        <w:rPr>
          <w:rtl/>
        </w:rPr>
      </w:pPr>
      <w:r w:rsidRPr="00E14ED6">
        <w:rPr>
          <w:rFonts w:hint="cs"/>
          <w:rtl/>
        </w:rPr>
        <w:t>ذلك كلّه مع التأكيد على وجود من ينظر إلى المرأة نظرةً سلبية في وجودها ودورها؛ أي أن هناك من يعتبرها من وسائل الشيطان في إثارة الفتنة والإغراء.</w:t>
      </w:r>
    </w:p>
    <w:p w:rsidR="00540F0B" w:rsidRPr="00E14ED6" w:rsidRDefault="00540F0B" w:rsidP="00C916BC">
      <w:pPr>
        <w:pStyle w:val="ac"/>
        <w:spacing w:line="202" w:lineRule="auto"/>
        <w:rPr>
          <w:rtl/>
        </w:rPr>
      </w:pPr>
      <w:r w:rsidRPr="00E14ED6">
        <w:rPr>
          <w:rFonts w:hint="cs"/>
          <w:rtl/>
        </w:rPr>
        <w:t>ولذا فهم يحذّرون الرجل من الوقوع في حبائل النساء.</w:t>
      </w:r>
    </w:p>
    <w:p w:rsidR="00540F0B" w:rsidRPr="00E14ED6" w:rsidRDefault="00540F0B" w:rsidP="00C916BC">
      <w:pPr>
        <w:pStyle w:val="ac"/>
        <w:spacing w:line="202" w:lineRule="auto"/>
        <w:rPr>
          <w:rtl/>
        </w:rPr>
      </w:pPr>
      <w:r w:rsidRPr="00E14ED6">
        <w:rPr>
          <w:rFonts w:hint="cs"/>
          <w:rtl/>
        </w:rPr>
        <w:t>وفي عالم التصوف من يعتبر الاقتران بالمرأة إتلافاً للعمر، ولذا فهناك من يوصي الرجال بالامتناع عن الزواج، من هنا يعتبرون بلوغ المرأة مرتبةً من مراتب العرفان من المستحيلات، وأنّ شخصية المرأة تتحدّد  فقط في طاعتها وخضوعها لأوامر الرجال.</w:t>
      </w:r>
    </w:p>
    <w:p w:rsidR="00540F0B" w:rsidRDefault="00540F0B" w:rsidP="00C916BC">
      <w:pPr>
        <w:pStyle w:val="ac"/>
        <w:spacing w:line="202" w:lineRule="auto"/>
        <w:rPr>
          <w:rtl/>
        </w:rPr>
      </w:pPr>
      <w:r w:rsidRPr="00E14ED6">
        <w:rPr>
          <w:rFonts w:hint="cs"/>
          <w:rtl/>
        </w:rPr>
        <w:t xml:space="preserve">ولو ألقينا نظرةً على الآثار التقليدية للصوفية لوجدنا أنّ بعضاً من المتصوفة قد تعامل وفق هذه الرؤية مع المرأة؛ إذ وصل ببعضهم حدّ الامتناع حتى عن استخدام صيغ التأنيث في المفردات، وكأنهم لا يعتبرون المرأة إنساناً، وهناك من المتصوّفة من لا يتناول طعاماً تسهم المرأة في طبخة أو إعداده، ولا يمدّ إليه يداً ولا يتناول منه لقمةً </w:t>
      </w:r>
      <w:r w:rsidRPr="00E14ED6">
        <w:rPr>
          <w:rFonts w:hint="cs"/>
          <w:rtl/>
        </w:rPr>
        <w:lastRenderedPageBreak/>
        <w:t>واحدة، حتى زواجهم ـ لو حدث ـ كان لديهم لوناً من ألوان الرياضة الروحية؛ لأنهم ينظرون إلى الحياة الزوجية بوصفها حياةً جهنميّةً، وأنّ الصوفي بصبره وتحمّله لزوجته الوسخة والقبيحة والسيئة السلوك سوف يبلغ مراتب أعلى وأعلى</w:t>
      </w:r>
      <w:r w:rsidRPr="00815C4C">
        <w:rPr>
          <w:rFonts w:cs="Taher"/>
          <w:vertAlign w:val="superscript"/>
          <w:rtl/>
        </w:rPr>
        <w:t>(</w:t>
      </w:r>
      <w:r w:rsidRPr="00815C4C">
        <w:rPr>
          <w:rFonts w:cs="Taher"/>
          <w:vertAlign w:val="superscript"/>
          <w:rtl/>
        </w:rPr>
        <w:footnoteReference w:id="11"/>
      </w:r>
      <w:r w:rsidRPr="00815C4C">
        <w:rPr>
          <w:rFonts w:cs="Taher"/>
          <w:vertAlign w:val="superscript"/>
          <w:rtl/>
        </w:rPr>
        <w:t>)</w:t>
      </w:r>
      <w:r w:rsidRPr="00E14ED6">
        <w:rPr>
          <w:rFonts w:hint="cs"/>
          <w:rtl/>
        </w:rPr>
        <w:t>.</w:t>
      </w:r>
    </w:p>
    <w:p w:rsidR="00540F0B" w:rsidRPr="00E14ED6" w:rsidRDefault="00540F0B" w:rsidP="00C916BC">
      <w:pPr>
        <w:pStyle w:val="afffffc"/>
        <w:rPr>
          <w:rtl/>
        </w:rPr>
      </w:pPr>
    </w:p>
    <w:p w:rsidR="00540F0B" w:rsidRPr="0017088F" w:rsidRDefault="00540F0B" w:rsidP="00540F0B">
      <w:pPr>
        <w:pStyle w:val="1"/>
        <w:rPr>
          <w:rtl/>
        </w:rPr>
      </w:pPr>
      <w:bookmarkStart w:id="74" w:name="_Toc169521363"/>
      <w:bookmarkStart w:id="75" w:name="_Toc275127889"/>
      <w:r>
        <w:rPr>
          <w:rFonts w:hint="cs"/>
          <w:rtl/>
        </w:rPr>
        <w:t>المعصية الأولى</w:t>
      </w:r>
      <w:bookmarkEnd w:id="74"/>
      <w:bookmarkEnd w:id="75"/>
    </w:p>
    <w:p w:rsidR="00540F0B" w:rsidRPr="00EE1A9F" w:rsidRDefault="00540F0B" w:rsidP="00540F0B">
      <w:pPr>
        <w:pStyle w:val="ac"/>
        <w:rPr>
          <w:rtl/>
        </w:rPr>
      </w:pPr>
      <w:r w:rsidRPr="00EE1A9F">
        <w:rPr>
          <w:rFonts w:hint="cs"/>
          <w:rtl/>
        </w:rPr>
        <w:t>من مرتكزات الصوفية الأساسية في نظرتهم السلبية إزاء المرأة، أنّها عندهم المعصية الأولى</w:t>
      </w:r>
      <w:r w:rsidRPr="00815C4C">
        <w:rPr>
          <w:rFonts w:cs="Taher"/>
          <w:vertAlign w:val="superscript"/>
          <w:rtl/>
        </w:rPr>
        <w:t>(</w:t>
      </w:r>
      <w:r w:rsidRPr="00815C4C">
        <w:rPr>
          <w:rFonts w:cs="Taher"/>
          <w:vertAlign w:val="superscript"/>
          <w:rtl/>
        </w:rPr>
        <w:footnoteReference w:id="12"/>
      </w:r>
      <w:r w:rsidRPr="00815C4C">
        <w:rPr>
          <w:rFonts w:cs="Taher"/>
          <w:vertAlign w:val="superscript"/>
          <w:rtl/>
        </w:rPr>
        <w:t>)</w:t>
      </w:r>
      <w:r w:rsidRPr="00EE1A9F">
        <w:rPr>
          <w:rFonts w:hint="cs"/>
          <w:rtl/>
        </w:rPr>
        <w:t>، والتي في ارتكابها طُرد آدم من الجنة، وحرم من الحياة الخالدة فيها.</w:t>
      </w:r>
    </w:p>
    <w:p w:rsidR="00540F0B" w:rsidRPr="00E14ED6" w:rsidRDefault="00540F0B" w:rsidP="00540F0B">
      <w:pPr>
        <w:pStyle w:val="ac"/>
        <w:rPr>
          <w:rtl/>
        </w:rPr>
      </w:pPr>
      <w:r w:rsidRPr="00E14ED6">
        <w:rPr>
          <w:rFonts w:hint="cs"/>
          <w:rtl/>
        </w:rPr>
        <w:t>فهناك من العرفاء من يحمّل حوّاء مسؤولية هذه المعصية؛ لأن آدم قاوم وساوس الشيطان، ولكن إصرار حواء دفعه إلى ارتكاب تلك المعصية.</w:t>
      </w:r>
    </w:p>
    <w:p w:rsidR="00540F0B" w:rsidRPr="00E14ED6" w:rsidRDefault="00540F0B" w:rsidP="00540F0B">
      <w:pPr>
        <w:pStyle w:val="ac"/>
        <w:rPr>
          <w:rtl/>
        </w:rPr>
      </w:pPr>
      <w:r w:rsidRPr="00E14ED6">
        <w:rPr>
          <w:rFonts w:hint="cs"/>
          <w:rtl/>
        </w:rPr>
        <w:t>ويعدّ مولوي أحد الذين حمّلوا حواء مسؤولية ما ارتكبه آدم، ففي أشعاره يعتبر المرأة سبباً في خروج الإنسان من الجنة وهبوطه إلى الأرض، ويعتقد بأنّ هناك صفات حيوانية مودعة في ذات المرأة تمنعها عن مواكبة الرجل في طيّ الطريق والوصول إلى المنازل العالية، يقول:</w:t>
      </w:r>
    </w:p>
    <w:p w:rsidR="00540F0B" w:rsidRPr="008425EB" w:rsidRDefault="00540F0B" w:rsidP="00540F0B">
      <w:pPr>
        <w:pStyle w:val="ac"/>
        <w:rPr>
          <w:rtl/>
        </w:rPr>
      </w:pPr>
      <w:r w:rsidRPr="008425EB">
        <w:rPr>
          <w:rFonts w:hint="cs"/>
          <w:rtl/>
        </w:rPr>
        <w:t>إنّ أول الأسباب وآخرها في هبوطي هي المرأة</w:t>
      </w:r>
    </w:p>
    <w:p w:rsidR="00540F0B" w:rsidRPr="008425EB" w:rsidRDefault="00540F0B" w:rsidP="00540F0B">
      <w:pPr>
        <w:pStyle w:val="ac"/>
        <w:rPr>
          <w:rtl/>
        </w:rPr>
      </w:pPr>
      <w:r w:rsidRPr="008425EB">
        <w:rPr>
          <w:rFonts w:hint="cs"/>
          <w:rtl/>
        </w:rPr>
        <w:t>فلقد كنت روحاً ثم أصبحت بدناً</w:t>
      </w:r>
      <w:r w:rsidRPr="00815C4C">
        <w:rPr>
          <w:rFonts w:cs="Taher"/>
          <w:vertAlign w:val="superscript"/>
          <w:rtl/>
        </w:rPr>
        <w:t>(</w:t>
      </w:r>
      <w:r w:rsidRPr="00815C4C">
        <w:rPr>
          <w:rFonts w:cs="Taher"/>
          <w:vertAlign w:val="superscript"/>
          <w:rtl/>
        </w:rPr>
        <w:footnoteReference w:id="13"/>
      </w:r>
      <w:r w:rsidRPr="00815C4C">
        <w:rPr>
          <w:rFonts w:cs="Taher"/>
          <w:vertAlign w:val="superscript"/>
          <w:rtl/>
        </w:rPr>
        <w:t>)</w:t>
      </w:r>
    </w:p>
    <w:p w:rsidR="00540F0B" w:rsidRPr="008425EB" w:rsidRDefault="00540F0B" w:rsidP="00540F0B">
      <w:pPr>
        <w:pStyle w:val="ac"/>
        <w:rPr>
          <w:rtl/>
        </w:rPr>
      </w:pPr>
      <w:r w:rsidRPr="008425EB">
        <w:rPr>
          <w:rFonts w:hint="cs"/>
          <w:rtl/>
        </w:rPr>
        <w:t>واعلم أن نوم المرأة أقلّ من نوم الرجل</w:t>
      </w:r>
    </w:p>
    <w:p w:rsidR="00540F0B" w:rsidRPr="008425EB" w:rsidRDefault="00540F0B" w:rsidP="00540F0B">
      <w:pPr>
        <w:pStyle w:val="ac"/>
        <w:rPr>
          <w:rtl/>
        </w:rPr>
      </w:pPr>
      <w:r w:rsidRPr="008425EB">
        <w:rPr>
          <w:rFonts w:hint="cs"/>
          <w:rtl/>
        </w:rPr>
        <w:t>كل ذلك لأنها ناقصة العقل ضعيفة الروح</w:t>
      </w:r>
      <w:r w:rsidRPr="00815C4C">
        <w:rPr>
          <w:rFonts w:cs="Taher"/>
          <w:vertAlign w:val="superscript"/>
          <w:rtl/>
        </w:rPr>
        <w:t>(</w:t>
      </w:r>
      <w:r w:rsidRPr="00815C4C">
        <w:rPr>
          <w:rFonts w:cs="Taher"/>
          <w:vertAlign w:val="superscript"/>
          <w:rtl/>
        </w:rPr>
        <w:footnoteReference w:id="14"/>
      </w:r>
      <w:r w:rsidRPr="00815C4C">
        <w:rPr>
          <w:rFonts w:cs="Taher"/>
          <w:vertAlign w:val="superscript"/>
          <w:rtl/>
        </w:rPr>
        <w:t>)</w:t>
      </w:r>
    </w:p>
    <w:p w:rsidR="00540F0B" w:rsidRPr="00E14ED6" w:rsidRDefault="00540F0B" w:rsidP="00540F0B">
      <w:pPr>
        <w:pStyle w:val="ac"/>
        <w:rPr>
          <w:rtl/>
        </w:rPr>
      </w:pPr>
      <w:r w:rsidRPr="00E14ED6">
        <w:rPr>
          <w:rFonts w:hint="cs"/>
          <w:rtl/>
        </w:rPr>
        <w:t xml:space="preserve">وعلى هذا يرى مولوي المرأة سبباً في هبوط آدم من الجنّة، وهذا ما أدّى إلى ضلال البشرية عبر </w:t>
      </w:r>
      <w:r w:rsidRPr="00E14ED6">
        <w:rPr>
          <w:rFonts w:hint="cs"/>
          <w:sz w:val="26"/>
          <w:rtl/>
        </w:rPr>
        <w:t>تاريخها</w:t>
      </w:r>
      <w:r w:rsidRPr="00E14ED6">
        <w:rPr>
          <w:rFonts w:hint="cs"/>
          <w:rtl/>
        </w:rPr>
        <w:t xml:space="preserve"> والعصور التي مرّت بها؛ لقد تنكّبت الإنسانية خلال التاريخ عن مسير الحق والعدل والدين والعشق السماوي، وذلك كلّه حصل بسبب ما تعانيه المرأة </w:t>
      </w:r>
      <w:r w:rsidRPr="00E14ED6">
        <w:rPr>
          <w:rFonts w:hint="cs"/>
          <w:rtl/>
        </w:rPr>
        <w:lastRenderedPageBreak/>
        <w:t>من نقصٍ في عقلها وضعفٍ في روحها.</w:t>
      </w:r>
    </w:p>
    <w:p w:rsidR="00540F0B" w:rsidRPr="00E14ED6" w:rsidRDefault="00540F0B" w:rsidP="00540F0B">
      <w:pPr>
        <w:pStyle w:val="ac"/>
        <w:rPr>
          <w:rtl/>
        </w:rPr>
      </w:pPr>
      <w:r w:rsidRPr="00E14ED6">
        <w:rPr>
          <w:rFonts w:hint="cs"/>
          <w:rtl/>
        </w:rPr>
        <w:t>إنّ غلبة الصفات الحيوانية على الصفات الإنسانية في ذات المرأة هو السبب ـ كما يرى مولوي ـ في تخلّف المرأة عن السير في طريق التكامل الإنساني.</w:t>
      </w:r>
    </w:p>
    <w:p w:rsidR="00540F0B" w:rsidRPr="00E14ED6" w:rsidRDefault="00540F0B" w:rsidP="00540F0B">
      <w:pPr>
        <w:pStyle w:val="ac"/>
        <w:rPr>
          <w:rtl/>
        </w:rPr>
      </w:pPr>
      <w:r w:rsidRPr="00E14ED6">
        <w:rPr>
          <w:rFonts w:hint="cs"/>
          <w:rtl/>
        </w:rPr>
        <w:t>يقول:</w:t>
      </w:r>
    </w:p>
    <w:p w:rsidR="00540F0B" w:rsidRPr="00540F0B" w:rsidRDefault="00540F0B" w:rsidP="00540F0B">
      <w:pPr>
        <w:pStyle w:val="ac"/>
        <w:rPr>
          <w:b/>
          <w:bCs/>
          <w:rtl/>
        </w:rPr>
      </w:pPr>
      <w:r w:rsidRPr="00540F0B">
        <w:rPr>
          <w:rFonts w:hint="cs"/>
          <w:b/>
          <w:bCs/>
          <w:rtl/>
        </w:rPr>
        <w:t>غلبت صفة الحيوان على المرأة.. فله فيها صبغة ورائحة</w:t>
      </w:r>
      <w:r w:rsidRPr="00815C4C">
        <w:rPr>
          <w:rFonts w:cs="Taher"/>
          <w:vertAlign w:val="superscript"/>
          <w:rtl/>
        </w:rPr>
        <w:t>(</w:t>
      </w:r>
      <w:r w:rsidRPr="00815C4C">
        <w:rPr>
          <w:rFonts w:cs="Taher"/>
          <w:vertAlign w:val="superscript"/>
          <w:rtl/>
        </w:rPr>
        <w:footnoteReference w:id="15"/>
      </w:r>
      <w:r w:rsidRPr="00815C4C">
        <w:rPr>
          <w:rFonts w:cs="Taher"/>
          <w:vertAlign w:val="superscript"/>
          <w:rtl/>
        </w:rPr>
        <w:t>)</w:t>
      </w:r>
      <w:r w:rsidRPr="00540F0B">
        <w:rPr>
          <w:rFonts w:hint="cs"/>
          <w:b/>
          <w:bCs/>
          <w:vertAlign w:val="superscript"/>
          <w:rtl/>
        </w:rPr>
        <w:t xml:space="preserve"> </w:t>
      </w:r>
    </w:p>
    <w:p w:rsidR="00540F0B" w:rsidRPr="00E14ED6" w:rsidRDefault="00540F0B" w:rsidP="00C916BC">
      <w:pPr>
        <w:pStyle w:val="ac"/>
        <w:rPr>
          <w:rtl/>
        </w:rPr>
      </w:pPr>
      <w:r w:rsidRPr="00E14ED6">
        <w:rPr>
          <w:rFonts w:hint="cs"/>
          <w:rtl/>
        </w:rPr>
        <w:t>ومع هذه الرؤية للمرأة في اعتبارها السبب في الهبوط والسقوط البشري إلاّ أنّ مولوي يستثني بعض النساء السيدات اللاتي كانت لهنّ منـزلةً في الأديان الالهية، فهو ينظر اليهنّ باحترام وإجلال، ومن تلك النساء السيدة مريم سلام الله عليها.</w:t>
      </w:r>
    </w:p>
    <w:p w:rsidR="00540F0B" w:rsidRPr="00E14ED6" w:rsidRDefault="00540F0B" w:rsidP="00C94BDF">
      <w:pPr>
        <w:pStyle w:val="ac"/>
        <w:rPr>
          <w:rtl/>
        </w:rPr>
      </w:pPr>
      <w:r w:rsidRPr="00E14ED6">
        <w:rPr>
          <w:rFonts w:hint="cs"/>
          <w:rtl/>
        </w:rPr>
        <w:t>فمريم لدى مولوي وصلت منـزلةً رفيعة من القرب الإلهي ممّا جعلها تستقبل الروح القدس الذي تمثّل لها بشراً سوياً، وبشّرها بميلاد المسيح عيسى</w:t>
      </w:r>
      <w:r w:rsidR="00C94BDF">
        <w:rPr>
          <w:rFonts w:hint="cs"/>
          <w:rtl/>
        </w:rPr>
        <w:t>×</w:t>
      </w:r>
      <w:r w:rsidRPr="00E14ED6">
        <w:rPr>
          <w:rFonts w:hint="cs"/>
          <w:rtl/>
        </w:rPr>
        <w:t xml:space="preserve"> بهذه الصورة الإعجازية</w:t>
      </w:r>
      <w:r w:rsidRPr="00815C4C">
        <w:rPr>
          <w:rFonts w:cs="Taher"/>
          <w:vertAlign w:val="superscript"/>
          <w:rtl/>
        </w:rPr>
        <w:t>(</w:t>
      </w:r>
      <w:r w:rsidRPr="00815C4C">
        <w:rPr>
          <w:rFonts w:cs="Taher"/>
          <w:vertAlign w:val="superscript"/>
          <w:rtl/>
        </w:rPr>
        <w:footnoteReference w:id="16"/>
      </w:r>
      <w:r w:rsidRPr="00815C4C">
        <w:rPr>
          <w:rFonts w:cs="Taher"/>
          <w:vertAlign w:val="superscript"/>
          <w:rtl/>
        </w:rPr>
        <w:t>)</w:t>
      </w:r>
      <w:r w:rsidRPr="00E14ED6">
        <w:rPr>
          <w:rFonts w:hint="cs"/>
          <w:rtl/>
        </w:rPr>
        <w:t>.</w:t>
      </w:r>
    </w:p>
    <w:p w:rsidR="00540F0B" w:rsidRPr="00E14ED6" w:rsidRDefault="00540F0B" w:rsidP="00C916BC">
      <w:pPr>
        <w:pStyle w:val="ac"/>
        <w:rPr>
          <w:rtl/>
        </w:rPr>
      </w:pPr>
      <w:r w:rsidRPr="00E14ED6">
        <w:rPr>
          <w:rFonts w:hint="cs"/>
          <w:rtl/>
        </w:rPr>
        <w:t xml:space="preserve">نعم، مريم عند مولوي امرأة اتصلت بالحق، ولذا استعاذت بالله في الحفاظ على الحدود الإلهية </w:t>
      </w:r>
      <w:r w:rsidRPr="00E14ED6">
        <w:rPr>
          <w:rFonts w:hint="cs"/>
          <w:sz w:val="26"/>
          <w:rtl/>
        </w:rPr>
        <w:t>والتجأت</w:t>
      </w:r>
      <w:r w:rsidRPr="00E14ED6">
        <w:rPr>
          <w:rFonts w:hint="cs"/>
          <w:rtl/>
        </w:rPr>
        <w:t xml:space="preserve"> إليه</w:t>
      </w:r>
      <w:r w:rsidRPr="00815C4C">
        <w:rPr>
          <w:rFonts w:cs="Taher"/>
          <w:vertAlign w:val="superscript"/>
          <w:rtl/>
        </w:rPr>
        <w:t>(</w:t>
      </w:r>
      <w:r w:rsidRPr="00815C4C">
        <w:rPr>
          <w:rFonts w:cs="Taher"/>
          <w:vertAlign w:val="superscript"/>
          <w:rtl/>
        </w:rPr>
        <w:footnoteReference w:id="17"/>
      </w:r>
      <w:r w:rsidRPr="00815C4C">
        <w:rPr>
          <w:rFonts w:cs="Taher"/>
          <w:vertAlign w:val="superscript"/>
          <w:rtl/>
        </w:rPr>
        <w:t>)</w:t>
      </w:r>
      <w:r w:rsidRPr="00E14ED6">
        <w:rPr>
          <w:rFonts w:hint="cs"/>
          <w:rtl/>
        </w:rPr>
        <w:t>.</w:t>
      </w:r>
    </w:p>
    <w:p w:rsidR="00540F0B" w:rsidRDefault="00540F0B" w:rsidP="00C916BC">
      <w:pPr>
        <w:pStyle w:val="ac"/>
      </w:pPr>
      <w:r w:rsidRPr="00EE1A9F">
        <w:rPr>
          <w:rFonts w:hint="cs"/>
          <w:rtl/>
        </w:rPr>
        <w:t>وهناك شعراء عرفاء آخرون يشاركون مولوي هذه النظرة السلبية إزاء المرأة.</w:t>
      </w:r>
    </w:p>
    <w:p w:rsidR="00540F0B" w:rsidRPr="00C916BC" w:rsidRDefault="00540F0B" w:rsidP="00C916BC">
      <w:pPr>
        <w:pStyle w:val="afffffc"/>
        <w:rPr>
          <w:sz w:val="30"/>
          <w:szCs w:val="28"/>
        </w:rPr>
      </w:pPr>
    </w:p>
    <w:p w:rsidR="00540F0B" w:rsidRPr="0017088F" w:rsidRDefault="00540F0B" w:rsidP="00540F0B">
      <w:pPr>
        <w:pStyle w:val="1"/>
        <w:rPr>
          <w:rtl/>
        </w:rPr>
      </w:pPr>
      <w:bookmarkStart w:id="76" w:name="_Toc169521364"/>
      <w:bookmarkStart w:id="77" w:name="_Toc275127890"/>
      <w:r>
        <w:rPr>
          <w:rFonts w:hint="cs"/>
          <w:rtl/>
        </w:rPr>
        <w:t>الجوهر الوجودي</w:t>
      </w:r>
      <w:bookmarkEnd w:id="76"/>
      <w:bookmarkEnd w:id="77"/>
    </w:p>
    <w:p w:rsidR="00540F0B" w:rsidRPr="00E14ED6" w:rsidRDefault="00540F0B" w:rsidP="00540F0B">
      <w:pPr>
        <w:pStyle w:val="ac"/>
        <w:rPr>
          <w:rtl/>
        </w:rPr>
      </w:pPr>
      <w:r w:rsidRPr="00E14ED6">
        <w:rPr>
          <w:rFonts w:hint="cs"/>
          <w:rtl/>
        </w:rPr>
        <w:t>وفي مقابل هذه النظرية يوجد في الإسلام وسائر الأديان من يعتبر المرأة قادرةً على بلوغ منازل سامية في العرفان، ومرتكز هؤلاء يستند إلى توحّد الجوهر الوجودي البشري؛ بمعنى أنّ المرأة والرجل ينطويان على روح واحدة ومخلوقان من نفس واحدة، ولهما معاً القدرة على بناء نفسيهما وتنمية روحيهما، والوصول إلى المعرفة والاقتراب من الروح الكلّي ـ وهو الله ـ والاتصال به.</w:t>
      </w:r>
    </w:p>
    <w:p w:rsidR="00540F0B" w:rsidRPr="00E14ED6" w:rsidRDefault="00540F0B" w:rsidP="00540F0B">
      <w:pPr>
        <w:pStyle w:val="ac"/>
        <w:rPr>
          <w:rFonts w:cs="AL-Mohanad"/>
          <w:bCs/>
          <w:sz w:val="26"/>
          <w:rtl/>
        </w:rPr>
      </w:pPr>
      <w:r w:rsidRPr="00540F0B">
        <w:rPr>
          <w:rFonts w:hint="cs"/>
          <w:b/>
          <w:rtl/>
        </w:rPr>
        <w:lastRenderedPageBreak/>
        <w:t xml:space="preserve">وكما يقول القيصري في شرحه الفصّ المحمدي من فصوص محيي الدين بن عربي: </w:t>
      </w:r>
      <w:r w:rsidRPr="00885E99">
        <w:rPr>
          <w:rFonts w:hint="eastAsia"/>
          <w:rtl/>
        </w:rPr>
        <w:t>«</w:t>
      </w:r>
      <w:r w:rsidRPr="00540F0B">
        <w:rPr>
          <w:rFonts w:hint="cs"/>
          <w:bCs/>
          <w:rtl/>
        </w:rPr>
        <w:t>إعلم أنّ المرأة باعتبار الحقيقة عين الرجل، وباعتبار التعيّن يتميز كل منهما عن الآخر</w:t>
      </w:r>
      <w:r w:rsidRPr="00617008">
        <w:rPr>
          <w:rFonts w:hint="eastAsia"/>
          <w:rtl/>
        </w:rPr>
        <w:t>»</w:t>
      </w:r>
      <w:r w:rsidRPr="00815C4C">
        <w:rPr>
          <w:rFonts w:cs="Taher"/>
          <w:vertAlign w:val="superscript"/>
          <w:rtl/>
        </w:rPr>
        <w:t>(</w:t>
      </w:r>
      <w:r w:rsidRPr="00815C4C">
        <w:rPr>
          <w:rFonts w:cs="Taher"/>
          <w:vertAlign w:val="superscript"/>
          <w:rtl/>
        </w:rPr>
        <w:footnoteReference w:id="18"/>
      </w:r>
      <w:r w:rsidRPr="00815C4C">
        <w:rPr>
          <w:rFonts w:cs="Taher"/>
          <w:vertAlign w:val="superscript"/>
          <w:rtl/>
        </w:rPr>
        <w:t>)</w:t>
      </w:r>
      <w:r w:rsidRPr="00540F0B">
        <w:rPr>
          <w:rFonts w:hint="cs"/>
          <w:rtl/>
        </w:rPr>
        <w:t>.</w:t>
      </w:r>
    </w:p>
    <w:p w:rsidR="00540F0B" w:rsidRDefault="00540F0B" w:rsidP="00C916BC">
      <w:pPr>
        <w:pStyle w:val="ac"/>
        <w:rPr>
          <w:rtl/>
        </w:rPr>
      </w:pPr>
      <w:r w:rsidRPr="00E14ED6">
        <w:rPr>
          <w:rFonts w:hint="cs"/>
          <w:rtl/>
        </w:rPr>
        <w:t>وإضافة إلى القيصري، هناك أيضاً الشاعر جامي، حيث يشير أيضاً إلى هذه النقطة، فالمرأة عنده لا تقلّ في مـنـزلتها عن الرجل، بل قد تتفوّق عليه في بعض الحالات:</w:t>
      </w:r>
    </w:p>
    <w:tbl>
      <w:tblPr>
        <w:bidiVisual/>
        <w:tblW w:w="0" w:type="auto"/>
        <w:jc w:val="center"/>
        <w:tblLayout w:type="fixed"/>
        <w:tblLook w:val="01E0"/>
      </w:tblPr>
      <w:tblGrid>
        <w:gridCol w:w="2835"/>
        <w:gridCol w:w="567"/>
        <w:gridCol w:w="2835"/>
      </w:tblGrid>
      <w:tr w:rsidR="00540F0B" w:rsidTr="008F4A1B">
        <w:trPr>
          <w:trHeight w:hRule="exact" w:val="510"/>
          <w:jc w:val="center"/>
        </w:trPr>
        <w:tc>
          <w:tcPr>
            <w:tcW w:w="2835" w:type="dxa"/>
            <w:shd w:val="clear" w:color="auto" w:fill="auto"/>
          </w:tcPr>
          <w:p w:rsidR="00540F0B" w:rsidRPr="0078435F" w:rsidRDefault="00540F0B" w:rsidP="00540F0B">
            <w:pPr>
              <w:pStyle w:val="ac"/>
              <w:ind w:firstLine="0"/>
              <w:jc w:val="lowKashida"/>
              <w:rPr>
                <w:rFonts w:ascii="MS Sans Serif" w:hAnsi="MS Sans Serif"/>
                <w:rtl/>
              </w:rPr>
            </w:pPr>
            <w:r w:rsidRPr="0078435F">
              <w:rPr>
                <w:rFonts w:ascii="MS Sans Serif" w:hAnsi="MS Sans Serif" w:hint="cs"/>
                <w:rtl/>
              </w:rPr>
              <w:t>ولو كان النساء كمن ذكرنا</w:t>
            </w:r>
            <w:r w:rsidRPr="0078435F">
              <w:rPr>
                <w:rFonts w:ascii="MS Sans Serif" w:hAnsi="MS Sans Serif"/>
                <w:rtl/>
              </w:rPr>
              <w:br/>
            </w:r>
          </w:p>
        </w:tc>
        <w:tc>
          <w:tcPr>
            <w:tcW w:w="567" w:type="dxa"/>
            <w:shd w:val="clear" w:color="auto" w:fill="auto"/>
          </w:tcPr>
          <w:p w:rsidR="00540F0B" w:rsidRPr="0078435F" w:rsidRDefault="00540F0B" w:rsidP="00540F0B">
            <w:pPr>
              <w:pStyle w:val="ac"/>
              <w:jc w:val="lowKashida"/>
              <w:rPr>
                <w:rFonts w:ascii="MS Sans Serif" w:hAnsi="MS Sans Serif"/>
                <w:rtl/>
              </w:rPr>
            </w:pPr>
          </w:p>
        </w:tc>
        <w:tc>
          <w:tcPr>
            <w:tcW w:w="2835" w:type="dxa"/>
            <w:shd w:val="clear" w:color="auto" w:fill="auto"/>
          </w:tcPr>
          <w:p w:rsidR="00540F0B" w:rsidRPr="0078435F" w:rsidRDefault="00540F0B" w:rsidP="00540F0B">
            <w:pPr>
              <w:pStyle w:val="ac"/>
              <w:ind w:firstLine="0"/>
              <w:jc w:val="lowKashida"/>
              <w:rPr>
                <w:rFonts w:ascii="MS Sans Serif" w:hAnsi="MS Sans Serif"/>
                <w:rtl/>
              </w:rPr>
            </w:pPr>
            <w:r w:rsidRPr="0078435F">
              <w:rPr>
                <w:rFonts w:ascii="MS Sans Serif" w:hAnsi="MS Sans Serif" w:hint="cs"/>
                <w:rtl/>
              </w:rPr>
              <w:t>لفضّلت النساء على الرجال</w:t>
            </w:r>
            <w:r w:rsidRPr="0078435F">
              <w:rPr>
                <w:rFonts w:ascii="MS Sans Serif" w:hAnsi="MS Sans Serif"/>
                <w:rtl/>
              </w:rPr>
              <w:br/>
            </w:r>
          </w:p>
        </w:tc>
      </w:tr>
      <w:tr w:rsidR="00540F0B" w:rsidTr="008F4A1B">
        <w:trPr>
          <w:trHeight w:hRule="exact" w:val="510"/>
          <w:jc w:val="center"/>
        </w:trPr>
        <w:tc>
          <w:tcPr>
            <w:tcW w:w="2835" w:type="dxa"/>
            <w:shd w:val="clear" w:color="auto" w:fill="auto"/>
          </w:tcPr>
          <w:p w:rsidR="00540F0B" w:rsidRPr="0078435F" w:rsidRDefault="00540F0B" w:rsidP="00540F0B">
            <w:pPr>
              <w:pStyle w:val="ac"/>
              <w:ind w:firstLine="0"/>
              <w:jc w:val="lowKashida"/>
              <w:rPr>
                <w:rStyle w:val="Char"/>
                <w:rFonts w:ascii="MS Sans Serif" w:hAnsi="MS Sans Serif"/>
                <w:rtl/>
              </w:rPr>
            </w:pPr>
            <w:r w:rsidRPr="0078435F">
              <w:rPr>
                <w:rStyle w:val="Char"/>
                <w:rFonts w:ascii="MS Sans Serif" w:hAnsi="MS Sans Serif" w:hint="cs"/>
                <w:rtl/>
              </w:rPr>
              <w:t>فلا التأنيث لاسم الشمس عيب</w:t>
            </w:r>
            <w:r w:rsidRPr="0078435F">
              <w:rPr>
                <w:rStyle w:val="Char"/>
                <w:rFonts w:ascii="MS Sans Serif" w:hAnsi="MS Sans Serif"/>
                <w:rtl/>
              </w:rPr>
              <w:br/>
            </w:r>
          </w:p>
        </w:tc>
        <w:tc>
          <w:tcPr>
            <w:tcW w:w="567" w:type="dxa"/>
            <w:shd w:val="clear" w:color="auto" w:fill="auto"/>
          </w:tcPr>
          <w:p w:rsidR="00540F0B" w:rsidRPr="0078435F" w:rsidRDefault="00540F0B" w:rsidP="00540F0B">
            <w:pPr>
              <w:pStyle w:val="ac"/>
              <w:ind w:firstLine="0"/>
              <w:jc w:val="lowKashida"/>
              <w:rPr>
                <w:rFonts w:ascii="MS Sans Serif" w:hAnsi="MS Sans Serif"/>
                <w:rtl/>
              </w:rPr>
            </w:pPr>
          </w:p>
        </w:tc>
        <w:tc>
          <w:tcPr>
            <w:tcW w:w="2835" w:type="dxa"/>
            <w:shd w:val="clear" w:color="auto" w:fill="auto"/>
          </w:tcPr>
          <w:p w:rsidR="00540F0B" w:rsidRPr="0078435F" w:rsidRDefault="00540F0B" w:rsidP="00540F0B">
            <w:pPr>
              <w:pStyle w:val="ac"/>
              <w:ind w:firstLine="0"/>
              <w:jc w:val="lowKashida"/>
              <w:rPr>
                <w:rFonts w:ascii="MS Sans Serif" w:hAnsi="MS Sans Serif"/>
                <w:rtl/>
              </w:rPr>
            </w:pPr>
            <w:r w:rsidRPr="0078435F">
              <w:rPr>
                <w:rStyle w:val="Char"/>
                <w:rFonts w:ascii="MS Sans Serif" w:hAnsi="MS Sans Serif" w:hint="cs"/>
                <w:rtl/>
              </w:rPr>
              <w:t>ولا التذكير فخر للهلال</w:t>
            </w:r>
            <w:r w:rsidRPr="00815C4C">
              <w:rPr>
                <w:rFonts w:cs="Taher"/>
                <w:vertAlign w:val="superscript"/>
                <w:rtl/>
              </w:rPr>
              <w:t>(</w:t>
            </w:r>
            <w:r w:rsidRPr="00815C4C">
              <w:rPr>
                <w:rFonts w:cs="Taher"/>
                <w:vertAlign w:val="superscript"/>
                <w:rtl/>
              </w:rPr>
              <w:footnoteReference w:id="19"/>
            </w:r>
            <w:r w:rsidRPr="00815C4C">
              <w:rPr>
                <w:rFonts w:cs="Taher"/>
                <w:vertAlign w:val="superscript"/>
                <w:rtl/>
              </w:rPr>
              <w:t>)</w:t>
            </w:r>
            <w:r w:rsidRPr="0078435F">
              <w:rPr>
                <w:rFonts w:ascii="MS Sans Serif" w:hAnsi="MS Sans Serif"/>
                <w:rtl/>
              </w:rPr>
              <w:br/>
            </w:r>
          </w:p>
          <w:p w:rsidR="00540F0B" w:rsidRPr="0078435F" w:rsidRDefault="00540F0B" w:rsidP="00540F0B">
            <w:pPr>
              <w:pStyle w:val="ac"/>
              <w:ind w:firstLine="0"/>
              <w:jc w:val="lowKashida"/>
              <w:rPr>
                <w:rStyle w:val="Char"/>
                <w:rFonts w:ascii="MS Sans Serif" w:hAnsi="MS Sans Serif"/>
                <w:b/>
                <w:bCs/>
                <w:rtl/>
              </w:rPr>
            </w:pPr>
            <w:r w:rsidRPr="0078435F">
              <w:rPr>
                <w:rStyle w:val="Char"/>
                <w:rFonts w:ascii="MS Sans Serif" w:hAnsi="MS Sans Serif" w:hint="cs"/>
                <w:b/>
                <w:bCs/>
                <w:rtl/>
              </w:rPr>
              <w:t xml:space="preserve"> </w:t>
            </w:r>
            <w:r w:rsidRPr="0078435F">
              <w:rPr>
                <w:rStyle w:val="Char"/>
                <w:rFonts w:ascii="MS Sans Serif" w:hAnsi="MS Sans Serif"/>
                <w:b/>
                <w:bCs/>
                <w:rtl/>
              </w:rPr>
              <w:br/>
            </w:r>
          </w:p>
        </w:tc>
      </w:tr>
    </w:tbl>
    <w:p w:rsidR="00540F0B" w:rsidRPr="00C916BC" w:rsidRDefault="00540F0B" w:rsidP="00C916BC">
      <w:pPr>
        <w:pStyle w:val="afffffc"/>
        <w:rPr>
          <w:sz w:val="16"/>
          <w:szCs w:val="14"/>
          <w:rtl/>
        </w:rPr>
      </w:pPr>
      <w:bookmarkStart w:id="78" w:name="_Toc169521365"/>
    </w:p>
    <w:p w:rsidR="00540F0B" w:rsidRDefault="00540F0B" w:rsidP="00540F0B">
      <w:pPr>
        <w:pStyle w:val="1"/>
        <w:rPr>
          <w:rStyle w:val="Char"/>
          <w:b w:val="0"/>
          <w:bCs/>
          <w:rtl/>
        </w:rPr>
      </w:pPr>
      <w:bookmarkStart w:id="79" w:name="_Toc275127891"/>
      <w:r w:rsidRPr="0017088F">
        <w:rPr>
          <w:rFonts w:hint="cs"/>
          <w:rtl/>
        </w:rPr>
        <w:t>التكامل المعنوي</w:t>
      </w:r>
      <w:bookmarkEnd w:id="78"/>
      <w:bookmarkEnd w:id="79"/>
      <w:r w:rsidRPr="001118CC">
        <w:rPr>
          <w:rStyle w:val="Char"/>
          <w:rFonts w:hint="cs"/>
          <w:b w:val="0"/>
          <w:rtl/>
        </w:rPr>
        <w:t xml:space="preserve"> </w:t>
      </w:r>
    </w:p>
    <w:p w:rsidR="00540F0B" w:rsidRPr="00540F0B" w:rsidRDefault="00540F0B" w:rsidP="00540F0B">
      <w:pPr>
        <w:pStyle w:val="ac"/>
        <w:rPr>
          <w:b/>
          <w:bCs/>
          <w:rtl/>
        </w:rPr>
      </w:pPr>
      <w:r w:rsidRPr="00E14ED6">
        <w:rPr>
          <w:rFonts w:hint="cs"/>
          <w:rtl/>
        </w:rPr>
        <w:t>بالرغم من تصنيف الشاعر والعارف الإيراني سنائي الغزنوي لصالح التيار غير المناصر للجنس الناعم، إلا أنّه يعتبر المرأة مخلوقاً يمكنه السموّ إلى الذروة من مراتب الإيمان والعرفان، ولو أرادت ذلك لاجتازت الدرجات الرفيعة، ولذا فهو يقول</w:t>
      </w:r>
      <w:r w:rsidRPr="00540F0B">
        <w:rPr>
          <w:rFonts w:hint="cs"/>
          <w:b/>
          <w:bCs/>
          <w:rtl/>
        </w:rPr>
        <w:t>: المرأة المؤمنة أفضل ألف مرّة من ألف رجل شرّير</w:t>
      </w:r>
      <w:r w:rsidRPr="00815C4C">
        <w:rPr>
          <w:rFonts w:cs="Taher"/>
          <w:vertAlign w:val="superscript"/>
          <w:rtl/>
        </w:rPr>
        <w:t>(</w:t>
      </w:r>
      <w:r w:rsidRPr="00815C4C">
        <w:rPr>
          <w:rFonts w:cs="Taher"/>
          <w:vertAlign w:val="superscript"/>
          <w:rtl/>
        </w:rPr>
        <w:footnoteReference w:id="20"/>
      </w:r>
      <w:r w:rsidRPr="00815C4C">
        <w:rPr>
          <w:rFonts w:cs="Taher"/>
          <w:vertAlign w:val="superscript"/>
          <w:rtl/>
        </w:rPr>
        <w:t>)</w:t>
      </w:r>
      <w:r w:rsidRPr="00540F0B">
        <w:rPr>
          <w:rFonts w:hint="cs"/>
          <w:b/>
          <w:bCs/>
          <w:rtl/>
        </w:rPr>
        <w:t>.</w:t>
      </w:r>
    </w:p>
    <w:p w:rsidR="00540F0B" w:rsidRPr="00E14ED6" w:rsidRDefault="00540F0B" w:rsidP="00540F0B">
      <w:pPr>
        <w:pStyle w:val="ac"/>
        <w:rPr>
          <w:rtl/>
        </w:rPr>
      </w:pPr>
      <w:r w:rsidRPr="00E14ED6">
        <w:rPr>
          <w:rFonts w:hint="cs"/>
          <w:rtl/>
        </w:rPr>
        <w:t>ومرتكزه الأساسيّ في رؤيته هذه أنّه عندما تتمكّن المرأة من إعداد أرضية التكامل المعنوي والروحي في ذاتها تكون قد ارتفعت عن طبيعتها كامرأة لتستحيل بذلك إلى رجل.</w:t>
      </w:r>
    </w:p>
    <w:p w:rsidR="00540F0B" w:rsidRPr="00E14ED6" w:rsidRDefault="00540F0B" w:rsidP="00540F0B">
      <w:pPr>
        <w:pStyle w:val="ac"/>
        <w:rPr>
          <w:rtl/>
        </w:rPr>
      </w:pPr>
      <w:r w:rsidRPr="00E14ED6">
        <w:rPr>
          <w:rFonts w:hint="cs"/>
          <w:rtl/>
        </w:rPr>
        <w:t>ومن هنا، كان الرجل في بناء رؤية الشاعر والعارف الغزنوي المخلوقَ المؤهّل في الأصل للسير في طريق السلوك والعرفان، أمّا المرأة التي تنجح في هذا الطريق لفإنّها تنسلخ عن ذاتها لتغدو رجلاً بما للكلمة من معنى روحي.</w:t>
      </w:r>
    </w:p>
    <w:p w:rsidR="00540F0B" w:rsidRPr="00E14ED6" w:rsidRDefault="00540F0B" w:rsidP="00540F0B">
      <w:pPr>
        <w:pStyle w:val="ac"/>
        <w:rPr>
          <w:rtl/>
        </w:rPr>
      </w:pPr>
      <w:r w:rsidRPr="00E14ED6">
        <w:rPr>
          <w:rFonts w:hint="cs"/>
          <w:rtl/>
        </w:rPr>
        <w:t>وعلى هذا الأساس، كانت قراءة سنائي للرجل والمرأة في الحقيقة قراءةً نسبية، بالرغم من وجود الاختلافات الأساسية بينهما في الخلق والإبداع.</w:t>
      </w:r>
    </w:p>
    <w:p w:rsidR="00540F0B" w:rsidRDefault="00540F0B" w:rsidP="00C916BC">
      <w:pPr>
        <w:pStyle w:val="ac"/>
        <w:spacing w:line="209" w:lineRule="auto"/>
        <w:rPr>
          <w:b/>
          <w:bCs/>
          <w:rtl/>
        </w:rPr>
      </w:pPr>
      <w:r w:rsidRPr="00E14ED6">
        <w:rPr>
          <w:rFonts w:hint="cs"/>
          <w:rtl/>
        </w:rPr>
        <w:lastRenderedPageBreak/>
        <w:t xml:space="preserve">ويشارك سنائي الغزنوي في هذه القراءة الشاعرُ العارف فريد الدين العطّار النيسابوري، إنه يذهب بصراحة إلى نفي وجود المرأة العارفة، وإنما هناك امرأة تبدّلت إلى رجل، واكتسبت سمة العارف، ويقول العطّار النيسابوري في هذا المضمار: </w:t>
      </w:r>
      <w:r w:rsidRPr="00540F0B">
        <w:rPr>
          <w:rFonts w:hint="cs"/>
          <w:b/>
          <w:bCs/>
          <w:rtl/>
        </w:rPr>
        <w:t>عندما تخطو امرأة في الطريق الإلهي ـ كما الرجال ـ حينئذ لا يمكن أن ندعوها امرأة</w:t>
      </w:r>
      <w:r w:rsidRPr="00815C4C">
        <w:rPr>
          <w:rFonts w:cs="Taher"/>
          <w:vertAlign w:val="superscript"/>
          <w:rtl/>
        </w:rPr>
        <w:t>(</w:t>
      </w:r>
      <w:r w:rsidRPr="00815C4C">
        <w:rPr>
          <w:rFonts w:cs="Taher"/>
          <w:vertAlign w:val="superscript"/>
          <w:rtl/>
        </w:rPr>
        <w:footnoteReference w:id="21"/>
      </w:r>
      <w:r w:rsidRPr="00815C4C">
        <w:rPr>
          <w:rFonts w:cs="Taher"/>
          <w:vertAlign w:val="superscript"/>
          <w:rtl/>
        </w:rPr>
        <w:t>)</w:t>
      </w:r>
      <w:r w:rsidRPr="00540F0B">
        <w:rPr>
          <w:rFonts w:hint="cs"/>
          <w:b/>
          <w:bCs/>
          <w:rtl/>
        </w:rPr>
        <w:t>.</w:t>
      </w:r>
    </w:p>
    <w:p w:rsidR="00540F0B" w:rsidRPr="00C916BC" w:rsidRDefault="00540F0B" w:rsidP="00C916BC">
      <w:pPr>
        <w:pStyle w:val="afffffc"/>
        <w:rPr>
          <w:sz w:val="30"/>
          <w:szCs w:val="28"/>
          <w:rtl/>
        </w:rPr>
      </w:pPr>
    </w:p>
    <w:p w:rsidR="00540F0B" w:rsidRPr="0017088F" w:rsidRDefault="00540F0B" w:rsidP="00540F0B">
      <w:pPr>
        <w:pStyle w:val="1"/>
        <w:rPr>
          <w:rtl/>
        </w:rPr>
      </w:pPr>
      <w:bookmarkStart w:id="80" w:name="_Toc169521366"/>
      <w:bookmarkStart w:id="81" w:name="_Toc275127892"/>
      <w:r w:rsidRPr="0017088F">
        <w:rPr>
          <w:rFonts w:hint="cs"/>
          <w:rtl/>
        </w:rPr>
        <w:t>مظهر الجذب</w:t>
      </w:r>
      <w:bookmarkEnd w:id="80"/>
      <w:bookmarkEnd w:id="81"/>
      <w:r w:rsidRPr="0017088F">
        <w:rPr>
          <w:rFonts w:hint="cs"/>
          <w:rtl/>
        </w:rPr>
        <w:t xml:space="preserve"> </w:t>
      </w:r>
    </w:p>
    <w:p w:rsidR="00540F0B" w:rsidRPr="00E14ED6" w:rsidRDefault="00540F0B" w:rsidP="00C916BC">
      <w:pPr>
        <w:pStyle w:val="ac"/>
        <w:spacing w:line="211" w:lineRule="auto"/>
        <w:rPr>
          <w:rtl/>
        </w:rPr>
      </w:pPr>
      <w:r w:rsidRPr="00E14ED6">
        <w:rPr>
          <w:rFonts w:hint="cs"/>
          <w:rtl/>
        </w:rPr>
        <w:t>ومن العرفاء الذين اختصوا بنظرة فريدة للمرأة محيي الدين بن عربي؛ إذ يعتقد أنّ المرأة محبوبة البشر، وأنّ السرّ في هذه المحبوبية يكمن ـ حسب رأيه ـ في أنّها أكثر كمالاً في الله من الرجل؛ لأن الرجل مظهر للقبول والتحوّل، فيما المرأة ـ وفضلاً عن مظهريتها في القبول والفعل الإلهي ـ فهي مظهر التأثير الإلهي أيضاً؛ لأنها تؤثّر على الرجل وتجذبه إليها، وتثير كوامن الحبّ في ذاته إزاءها، وهذا التأثير مظهرٌ من فاعلية الله سبحانه.</w:t>
      </w:r>
    </w:p>
    <w:p w:rsidR="00540F0B" w:rsidRPr="00E14ED6" w:rsidRDefault="00540F0B" w:rsidP="00C916BC">
      <w:pPr>
        <w:pStyle w:val="ac"/>
        <w:spacing w:line="211" w:lineRule="auto"/>
        <w:rPr>
          <w:rtl/>
        </w:rPr>
      </w:pPr>
      <w:r w:rsidRPr="00E14ED6">
        <w:rPr>
          <w:rFonts w:hint="cs"/>
          <w:rtl/>
        </w:rPr>
        <w:t>وعلى هذا الأساس، ليست المرأة مالكةً للاستعداد الذاتي لبلوغ منازل العرفان الرفيعة فحسب، بل لها طريقتها الخاصّة، وهي الأكثر إبداعاً في ذلك من الرجل.</w:t>
      </w:r>
    </w:p>
    <w:p w:rsidR="00540F0B" w:rsidRDefault="00540F0B" w:rsidP="00C916BC">
      <w:pPr>
        <w:pStyle w:val="ac"/>
        <w:spacing w:line="211" w:lineRule="auto"/>
        <w:rPr>
          <w:rtl/>
        </w:rPr>
      </w:pPr>
      <w:r w:rsidRPr="00E14ED6">
        <w:rPr>
          <w:rFonts w:hint="cs"/>
          <w:rtl/>
        </w:rPr>
        <w:t>وعلى أساس هذه الرؤية يرى إبن عربي أنّ المرأة تمثّل تجليات لأسرار الله في رحمته، حتى أن كلمة (ذات) مفردة مؤنثة.</w:t>
      </w:r>
    </w:p>
    <w:p w:rsidR="00540F0B" w:rsidRPr="00E14ED6" w:rsidRDefault="00540F0B" w:rsidP="00C916BC">
      <w:pPr>
        <w:pStyle w:val="ac"/>
        <w:spacing w:line="211" w:lineRule="auto"/>
        <w:rPr>
          <w:rtl/>
        </w:rPr>
      </w:pPr>
      <w:r w:rsidRPr="00E14ED6">
        <w:rPr>
          <w:rFonts w:hint="cs"/>
          <w:rtl/>
        </w:rPr>
        <w:t>وقد سلك ابن عربي سبلاً مختلفة للكشف عن سرّ عنصر التأنيث في ذلك</w:t>
      </w:r>
      <w:r w:rsidRPr="00815C4C">
        <w:rPr>
          <w:rFonts w:cs="Taher"/>
          <w:vertAlign w:val="superscript"/>
          <w:rtl/>
        </w:rPr>
        <w:t>(</w:t>
      </w:r>
      <w:r w:rsidRPr="00815C4C">
        <w:rPr>
          <w:rFonts w:cs="Taher"/>
          <w:vertAlign w:val="superscript"/>
          <w:rtl/>
        </w:rPr>
        <w:footnoteReference w:id="22"/>
      </w:r>
      <w:r w:rsidRPr="00815C4C">
        <w:rPr>
          <w:rFonts w:cs="Taher"/>
          <w:vertAlign w:val="superscript"/>
          <w:rtl/>
        </w:rPr>
        <w:t>)</w:t>
      </w:r>
      <w:r w:rsidRPr="00E14ED6">
        <w:rPr>
          <w:rFonts w:hint="cs"/>
          <w:rtl/>
        </w:rPr>
        <w:t>.</w:t>
      </w:r>
    </w:p>
    <w:p w:rsidR="00540F0B" w:rsidRPr="00E14ED6" w:rsidRDefault="00540F0B" w:rsidP="00C916BC">
      <w:pPr>
        <w:pStyle w:val="ac"/>
        <w:spacing w:line="211" w:lineRule="auto"/>
        <w:rPr>
          <w:rtl/>
        </w:rPr>
      </w:pPr>
      <w:r w:rsidRPr="00E14ED6">
        <w:rPr>
          <w:rFonts w:hint="cs"/>
          <w:rtl/>
        </w:rPr>
        <w:t>ولذا فإنّ عاطفة الحب إزاء المرأة ـ وطبعاً عند ابن عربي ـ من كمالات العرفاء والمتصوّفة، ذلك أنها ميراث النبي</w:t>
      </w:r>
      <w:r w:rsidR="00C86626">
        <w:rPr>
          <w:rFonts w:hint="cs"/>
          <w:rtl/>
        </w:rPr>
        <w:t>’</w:t>
      </w:r>
      <w:r w:rsidRPr="00E14ED6">
        <w:rPr>
          <w:rFonts w:hint="cs"/>
          <w:rtl/>
        </w:rPr>
        <w:t xml:space="preserve"> الذي وصل إلينا، وهو العشق الإلهي</w:t>
      </w:r>
      <w:r w:rsidRPr="00815C4C">
        <w:rPr>
          <w:rFonts w:cs="Taher"/>
          <w:vertAlign w:val="superscript"/>
          <w:rtl/>
        </w:rPr>
        <w:t>(</w:t>
      </w:r>
      <w:r w:rsidRPr="00815C4C">
        <w:rPr>
          <w:rFonts w:cs="Taher"/>
          <w:vertAlign w:val="superscript"/>
          <w:rtl/>
        </w:rPr>
        <w:footnoteReference w:id="23"/>
      </w:r>
      <w:r w:rsidRPr="00815C4C">
        <w:rPr>
          <w:rFonts w:cs="Taher"/>
          <w:vertAlign w:val="superscript"/>
          <w:rtl/>
        </w:rPr>
        <w:t>)</w:t>
      </w:r>
      <w:r w:rsidRPr="00E14ED6">
        <w:rPr>
          <w:rFonts w:hint="cs"/>
          <w:rtl/>
        </w:rPr>
        <w:t>.</w:t>
      </w:r>
    </w:p>
    <w:p w:rsidR="00540F0B" w:rsidRPr="00540F0B" w:rsidRDefault="00540F0B" w:rsidP="00C916BC">
      <w:pPr>
        <w:pStyle w:val="ac"/>
        <w:spacing w:line="211" w:lineRule="auto"/>
        <w:rPr>
          <w:b/>
          <w:rtl/>
        </w:rPr>
      </w:pPr>
      <w:r w:rsidRPr="00540F0B">
        <w:rPr>
          <w:rFonts w:hint="cs"/>
          <w:b/>
          <w:rtl/>
        </w:rPr>
        <w:t xml:space="preserve">ولأن محي الدين بن عربي ينظر إلى المرأة والرجل باعتبارهما من جوهر واحد، فإنّ الخطاب الذي يومي أنه موجّه إلى الرجل يشمل النساء أيضاً، ولذا فهو يعتقد أنّ قوله </w:t>
      </w:r>
      <w:r w:rsidRPr="00540F0B">
        <w:rPr>
          <w:rFonts w:hint="cs"/>
          <w:b/>
          <w:rtl/>
        </w:rPr>
        <w:lastRenderedPageBreak/>
        <w:t>تعالى:</w:t>
      </w:r>
      <w:r w:rsidRPr="00E14ED6">
        <w:rPr>
          <w:rFonts w:cs="AL-Mohanad" w:hint="cs"/>
          <w:bCs/>
          <w:sz w:val="26"/>
          <w:rtl/>
        </w:rPr>
        <w:t xml:space="preserve"> </w:t>
      </w:r>
      <w:r>
        <w:rPr>
          <w:rFonts w:cs="AL-Mohanad" w:hint="cs"/>
          <w:sz w:val="30"/>
          <w:szCs w:val="26"/>
        </w:rPr>
        <w:sym w:font="Islamic Units 1" w:char="F03E"/>
      </w:r>
      <w:r w:rsidRPr="00540F0B">
        <w:rPr>
          <w:b/>
          <w:bCs/>
          <w:rtl/>
        </w:rPr>
        <w:t>رِجالٌ لا تُلْهِيهِمْ تِجارَةٌ وَلا بَيْعٌ عَنْ ذِكْرِ اللَّه</w:t>
      </w:r>
      <w:r>
        <w:rPr>
          <w:rFonts w:cs="AL-Mohanad" w:hint="cs"/>
          <w:sz w:val="30"/>
          <w:szCs w:val="26"/>
        </w:rPr>
        <w:sym w:font="Islamic Units 1" w:char="F03C"/>
      </w:r>
      <w:r w:rsidRPr="00815C4C">
        <w:rPr>
          <w:rFonts w:cs="Taher"/>
          <w:vertAlign w:val="superscript"/>
          <w:rtl/>
        </w:rPr>
        <w:t>(</w:t>
      </w:r>
      <w:r w:rsidRPr="00815C4C">
        <w:rPr>
          <w:rFonts w:cs="Taher"/>
          <w:vertAlign w:val="superscript"/>
          <w:rtl/>
        </w:rPr>
        <w:footnoteReference w:id="24"/>
      </w:r>
      <w:r w:rsidRPr="00815C4C">
        <w:rPr>
          <w:rFonts w:cs="Taher"/>
          <w:vertAlign w:val="superscript"/>
          <w:rtl/>
        </w:rPr>
        <w:t>)</w:t>
      </w:r>
      <w:r w:rsidRPr="00E14ED6">
        <w:rPr>
          <w:rFonts w:cs="AL-Mohanad" w:hint="cs"/>
          <w:bCs/>
          <w:sz w:val="26"/>
          <w:rtl/>
        </w:rPr>
        <w:t xml:space="preserve"> </w:t>
      </w:r>
      <w:r w:rsidRPr="00540F0B">
        <w:rPr>
          <w:rFonts w:hint="cs"/>
          <w:b/>
          <w:rtl/>
        </w:rPr>
        <w:t>ينسحب على المرأة أيضاً، بالرغم من عدم وجود إشارة صريحة إلى ذلك</w:t>
      </w:r>
      <w:r w:rsidRPr="00815C4C">
        <w:rPr>
          <w:rFonts w:cs="Taher"/>
          <w:vertAlign w:val="superscript"/>
          <w:rtl/>
        </w:rPr>
        <w:t>(</w:t>
      </w:r>
      <w:r w:rsidRPr="00815C4C">
        <w:rPr>
          <w:rFonts w:cs="Taher"/>
          <w:vertAlign w:val="superscript"/>
          <w:rtl/>
        </w:rPr>
        <w:footnoteReference w:id="25"/>
      </w:r>
      <w:r w:rsidRPr="00815C4C">
        <w:rPr>
          <w:rFonts w:cs="Taher"/>
          <w:vertAlign w:val="superscript"/>
          <w:rtl/>
        </w:rPr>
        <w:t>)</w:t>
      </w:r>
      <w:r w:rsidRPr="00540F0B">
        <w:rPr>
          <w:rFonts w:hint="cs"/>
          <w:b/>
          <w:rtl/>
        </w:rPr>
        <w:t>.</w:t>
      </w:r>
    </w:p>
    <w:p w:rsidR="00540F0B" w:rsidRPr="00E14ED6" w:rsidRDefault="00540F0B" w:rsidP="00C916BC">
      <w:pPr>
        <w:pStyle w:val="ac"/>
        <w:spacing w:line="209" w:lineRule="auto"/>
        <w:rPr>
          <w:rtl/>
        </w:rPr>
      </w:pPr>
      <w:r w:rsidRPr="00E14ED6">
        <w:rPr>
          <w:rFonts w:hint="cs"/>
          <w:rtl/>
        </w:rPr>
        <w:t>ويؤكّد ابن عربي على أهمّية المرأة وعلوّ شأنها، ويعدّها انعكاساً للتجلّي الإلهي، واذا ما أضافت إلى جمال ذاتها العرفان فإنها ستسبق الرجل في المراتب والدرجات، ولذا فهو يرجح المرأة على الرجل في هذا المجال.</w:t>
      </w:r>
    </w:p>
    <w:p w:rsidR="00540F0B" w:rsidRPr="004C0ED8" w:rsidRDefault="00540F0B" w:rsidP="00C916BC">
      <w:pPr>
        <w:pStyle w:val="ac"/>
        <w:spacing w:line="209" w:lineRule="auto"/>
        <w:rPr>
          <w:rStyle w:val="Charfb"/>
          <w:rFonts w:eastAsia="Batang"/>
          <w:rtl/>
        </w:rPr>
      </w:pPr>
      <w:r w:rsidRPr="00540F0B">
        <w:rPr>
          <w:rFonts w:hint="cs"/>
          <w:rtl/>
        </w:rPr>
        <w:t>يقول نيكلسون في شرحه لآراء ابن عربي:</w:t>
      </w:r>
      <w:r w:rsidRPr="00540F0B">
        <w:rPr>
          <w:rFonts w:hint="cs"/>
          <w:b/>
          <w:bCs/>
          <w:rtl/>
        </w:rPr>
        <w:t xml:space="preserve"> </w:t>
      </w:r>
      <w:r w:rsidRPr="00885E99">
        <w:rPr>
          <w:rFonts w:hint="cs"/>
          <w:rtl/>
        </w:rPr>
        <w:t>«</w:t>
      </w:r>
      <w:r w:rsidRPr="00540F0B">
        <w:rPr>
          <w:rFonts w:hint="cs"/>
          <w:b/>
          <w:bCs/>
          <w:rtl/>
        </w:rPr>
        <w:t>إنّ الله لا يمكن رؤيته إلاّ في المادّة، والمادة الإنسانية أكمل من كلّ أشكال المادية الاُخرى، وتتجلّى بصورة أكمل في المرأة دون الرجل</w:t>
      </w:r>
      <w:r w:rsidRPr="00617008">
        <w:rPr>
          <w:rFonts w:hint="cs"/>
          <w:rtl/>
        </w:rPr>
        <w:t>»</w:t>
      </w:r>
      <w:r w:rsidRPr="00540F0B">
        <w:rPr>
          <w:rFonts w:hint="cs"/>
          <w:b/>
          <w:bCs/>
          <w:rtl/>
        </w:rPr>
        <w:t>.</w:t>
      </w:r>
    </w:p>
    <w:p w:rsidR="00540F0B" w:rsidRPr="00E14ED6" w:rsidRDefault="00540F0B" w:rsidP="00C916BC">
      <w:pPr>
        <w:pStyle w:val="ac"/>
        <w:spacing w:line="209" w:lineRule="auto"/>
        <w:rPr>
          <w:rtl/>
        </w:rPr>
      </w:pPr>
      <w:r w:rsidRPr="00E14ED6">
        <w:rPr>
          <w:rFonts w:hint="cs"/>
          <w:rtl/>
        </w:rPr>
        <w:t>فهي إمّا في بعد التمثيل سبب منظور فيه أو في بعد الصبر والدوام أو الاثنين معاً في وقت واحد.</w:t>
      </w:r>
    </w:p>
    <w:p w:rsidR="00540F0B" w:rsidRPr="00E14ED6" w:rsidRDefault="00540F0B" w:rsidP="00C916BC">
      <w:pPr>
        <w:pStyle w:val="ac"/>
        <w:spacing w:line="209" w:lineRule="auto"/>
        <w:rPr>
          <w:rtl/>
        </w:rPr>
      </w:pPr>
      <w:r w:rsidRPr="00E14ED6">
        <w:rPr>
          <w:rFonts w:hint="cs"/>
          <w:rtl/>
        </w:rPr>
        <w:t>وعليه، فعندما يفكر الرجل ويتأمل حول الله فإنه ينظر إلى ذاته، ومن خلال هذه الحقيقة في أن وجود المرأة ناشئ عن الرجل فهو يفكّر في الله في بعد الخلافة والعاملية، وعندما لا يلتفت إلى هذه النقطة ـ في أنّ وجود المرأة ناشئ عن الرجل- فإنه ينظر إلى الله في بقائه ودوامه.</w:t>
      </w:r>
    </w:p>
    <w:p w:rsidR="00540F0B" w:rsidRPr="00E14ED6" w:rsidRDefault="00540F0B" w:rsidP="00C916BC">
      <w:pPr>
        <w:pStyle w:val="ac"/>
        <w:spacing w:line="209" w:lineRule="auto"/>
        <w:rPr>
          <w:rtl/>
        </w:rPr>
      </w:pPr>
      <w:r w:rsidRPr="00E14ED6">
        <w:rPr>
          <w:rFonts w:hint="cs"/>
          <w:rtl/>
        </w:rPr>
        <w:t>أمّا عندما يفكر في وجود المرأة حول الله، فإنه ينظر إلى الخلافة العاملية، الفاعلية والقابلية فيه، وهي أنّ الله يتجلّى في وجه المرأة من لحاظ الفاعلية؛ في أنّ الله محيط بروح الإنسان إحاطةً كاملة مما يؤدّي إلى تسليم البشر لإرادته والانقياد له، وهو منفعل وقابل كذلك؛ لأنه ما دام ظاهراً في شكل المرأة فهو تحت سيطرة الرجل، وعلى هذا الأساس فإنّ رؤية الله في وجه المرأة تعني رؤية الوجهين معاً، وهكذا مشاهدتها تقع أكمل من تجلّيه في جميع الأشكال التي صنعها.</w:t>
      </w:r>
    </w:p>
    <w:p w:rsidR="00540F0B" w:rsidRPr="00E14ED6" w:rsidRDefault="00540F0B" w:rsidP="003576EA">
      <w:pPr>
        <w:pStyle w:val="ac"/>
        <w:rPr>
          <w:rtl/>
        </w:rPr>
      </w:pPr>
      <w:r w:rsidRPr="00E14ED6">
        <w:rPr>
          <w:rFonts w:hint="cs"/>
          <w:rtl/>
        </w:rPr>
        <w:t xml:space="preserve">وعلى هذا، ينظر ابن عربي إلى المرأة باحترام وإجلال، ويعتبرها أحد تجلّيات الله </w:t>
      </w:r>
      <w:r w:rsidRPr="00E14ED6">
        <w:rPr>
          <w:rFonts w:hint="cs"/>
          <w:rtl/>
        </w:rPr>
        <w:lastRenderedPageBreak/>
        <w:t xml:space="preserve">سبحانه وتعالى، ويرى أنّ طيّها سبيل العرفان أيسر بكثيرٍ من الرجل، فهو لا يعدّ العرفان منحصراً بالرجل، بل يرى المرأة أكثر جدارةً في طيّ الطريق منه، فالعرفان لديه مودع في ذات المرأة والرجل على السواء؛ ويقول في هذا الصدد: </w:t>
      </w:r>
      <w:r w:rsidR="003576EA">
        <w:rPr>
          <w:rFonts w:hint="eastAsia"/>
          <w:rtl/>
        </w:rPr>
        <w:t>«</w:t>
      </w:r>
      <w:r w:rsidRPr="003576EA">
        <w:rPr>
          <w:rFonts w:hint="cs"/>
          <w:rtl/>
        </w:rPr>
        <w:t>إنّ هذه المقامات ليست مخصوصةً بالرجال، فقد تكون للنساء أيضاً، لكن لما كانت الغلبة للرجال تذكر باسم الرجال</w:t>
      </w:r>
      <w:r w:rsidR="003576EA" w:rsidRPr="003576EA">
        <w:rPr>
          <w:rFonts w:hint="eastAsia"/>
          <w:rtl/>
        </w:rPr>
        <w:t>»</w:t>
      </w:r>
      <w:r w:rsidRPr="00815C4C">
        <w:rPr>
          <w:rFonts w:cs="Taher"/>
          <w:vertAlign w:val="superscript"/>
          <w:rtl/>
        </w:rPr>
        <w:t>(</w:t>
      </w:r>
      <w:r w:rsidRPr="00815C4C">
        <w:rPr>
          <w:rFonts w:cs="Taher"/>
          <w:vertAlign w:val="superscript"/>
          <w:rtl/>
        </w:rPr>
        <w:footnoteReference w:id="26"/>
      </w:r>
      <w:r w:rsidRPr="00815C4C">
        <w:rPr>
          <w:rFonts w:cs="Taher"/>
          <w:vertAlign w:val="superscript"/>
          <w:rtl/>
        </w:rPr>
        <w:t>)</w:t>
      </w:r>
      <w:r w:rsidRPr="00E14ED6">
        <w:rPr>
          <w:rFonts w:hint="cs"/>
          <w:rtl/>
        </w:rPr>
        <w:t>.</w:t>
      </w:r>
    </w:p>
    <w:p w:rsidR="00540F0B" w:rsidRPr="00E14ED6" w:rsidRDefault="00540F0B" w:rsidP="00C916BC">
      <w:pPr>
        <w:pStyle w:val="ac"/>
        <w:spacing w:line="199" w:lineRule="auto"/>
        <w:rPr>
          <w:rtl/>
        </w:rPr>
      </w:pPr>
      <w:r w:rsidRPr="00E14ED6">
        <w:rPr>
          <w:rFonts w:hint="cs"/>
          <w:rtl/>
        </w:rPr>
        <w:t>ويعدّ فريد الدين العطّار النيسابوري ـ كما ذكرنا ـ من جملة الذين ينظرون إلى المرأة نظرةً إيجابية، فهو من الشعراء العرفاء الأوائل الذين كتبوا في وصف رابعة العدوية؛ ومنطلقه في ذكر أحوال رابعة أنّ الله عزوجل لا ينظر إلى ظاهر الأفعال البشرية، ولا إلى الوجوه، وإنّما ينظر إلى النوايا، يقول في ذلك:</w:t>
      </w:r>
      <w:r>
        <w:rPr>
          <w:rFonts w:hint="cs"/>
          <w:rtl/>
        </w:rPr>
        <w:t xml:space="preserve"> </w:t>
      </w:r>
      <w:r w:rsidRPr="00885E99">
        <w:rPr>
          <w:rFonts w:hint="eastAsia"/>
          <w:rtl/>
        </w:rPr>
        <w:t>«</w:t>
      </w:r>
      <w:r w:rsidRPr="00E14ED6">
        <w:rPr>
          <w:rFonts w:hint="cs"/>
          <w:rtl/>
        </w:rPr>
        <w:t xml:space="preserve">لو سأل سائل لم ذكرتها ـ رابعة العدوية ـ في وصف الرجال؟ لقلنا: إنّ سيد الأنبياء عليه الصلاة والسلام قال: </w:t>
      </w:r>
      <w:r w:rsidRPr="00885E99">
        <w:rPr>
          <w:rFonts w:hint="eastAsia"/>
          <w:rtl/>
        </w:rPr>
        <w:t>«</w:t>
      </w:r>
      <w:r w:rsidRPr="00540F0B">
        <w:rPr>
          <w:rFonts w:hint="cs"/>
          <w:rtl/>
        </w:rPr>
        <w:t>إنّ الله لا ينظر إلى صوركم</w:t>
      </w:r>
      <w:r w:rsidRPr="00540F0B">
        <w:rPr>
          <w:rFonts w:hint="eastAsia"/>
          <w:rtl/>
        </w:rPr>
        <w:t>»</w:t>
      </w:r>
      <w:r w:rsidRPr="00540F0B">
        <w:rPr>
          <w:rFonts w:hint="cs"/>
          <w:rtl/>
        </w:rPr>
        <w:t>، فالله</w:t>
      </w:r>
      <w:r w:rsidRPr="00E14ED6">
        <w:rPr>
          <w:rFonts w:hint="cs"/>
          <w:rtl/>
        </w:rPr>
        <w:t xml:space="preserve"> سبحانه وتعالى لا ينظر إلى الصورة وإنّما ينظر إلى النية</w:t>
      </w:r>
      <w:r>
        <w:rPr>
          <w:rFonts w:hint="eastAsia"/>
          <w:rtl/>
        </w:rPr>
        <w:t>»</w:t>
      </w:r>
      <w:r w:rsidRPr="00815C4C">
        <w:rPr>
          <w:rFonts w:cs="Taher"/>
          <w:vertAlign w:val="superscript"/>
          <w:rtl/>
        </w:rPr>
        <w:t>(</w:t>
      </w:r>
      <w:r w:rsidRPr="00815C4C">
        <w:rPr>
          <w:rFonts w:cs="Taher"/>
          <w:vertAlign w:val="superscript"/>
          <w:rtl/>
        </w:rPr>
        <w:footnoteReference w:id="27"/>
      </w:r>
      <w:r w:rsidRPr="00815C4C">
        <w:rPr>
          <w:rFonts w:cs="Taher"/>
          <w:vertAlign w:val="superscript"/>
          <w:rtl/>
        </w:rPr>
        <w:t>)</w:t>
      </w:r>
      <w:r w:rsidRPr="00E14ED6">
        <w:rPr>
          <w:rFonts w:hint="cs"/>
          <w:rtl/>
        </w:rPr>
        <w:t>.</w:t>
      </w:r>
    </w:p>
    <w:p w:rsidR="00540F0B" w:rsidRPr="008B2761" w:rsidRDefault="00540F0B" w:rsidP="00C916BC">
      <w:pPr>
        <w:pStyle w:val="ac"/>
        <w:spacing w:line="199" w:lineRule="auto"/>
        <w:rPr>
          <w:rStyle w:val="Charfb"/>
          <w:rFonts w:eastAsia="Batang"/>
          <w:rtl/>
        </w:rPr>
      </w:pPr>
      <w:r w:rsidRPr="00E14ED6">
        <w:rPr>
          <w:rFonts w:hint="cs"/>
          <w:rtl/>
        </w:rPr>
        <w:t>والنقطة الأخرى في رؤية عطّار النيسابوري أنّ المرأة العارفة أساساً قد اجتازت طبيعتها النسوية ـ حيث كانت المرأة في ثقافة عصر عطّار مخلوقاً ضعيفاً ومصدراً للوسوسة أحياناً ـ إلى مرحلة أرقى</w:t>
      </w:r>
      <w:r w:rsidRPr="00540F0B">
        <w:rPr>
          <w:rFonts w:hint="cs"/>
          <w:rtl/>
        </w:rPr>
        <w:t xml:space="preserve">، فهو يقول في هذا الصدد: </w:t>
      </w:r>
      <w:r w:rsidRPr="00617008">
        <w:rPr>
          <w:rFonts w:hint="eastAsia"/>
          <w:rtl/>
        </w:rPr>
        <w:t>«</w:t>
      </w:r>
      <w:r w:rsidRPr="00540F0B">
        <w:rPr>
          <w:rFonts w:hint="cs"/>
          <w:b/>
          <w:bCs/>
          <w:rtl/>
        </w:rPr>
        <w:t>المرأة تكون في طريق الله رجلاً ولا يمكن أن ندعوها امرأة، كما يقول عباس الطوسي: في عالم الغد يوم ينادي: يا للرجال، فإن أوّل شخص يضع قدمه في صفّ الرجال هي مريم، فبالرغم من أنّ مريم امرأة ولكنّ أوصاف الرجال العرفاء وجدت فيها</w:t>
      </w:r>
      <w:r w:rsidRPr="00617008">
        <w:rPr>
          <w:rFonts w:hint="eastAsia"/>
          <w:rtl/>
        </w:rPr>
        <w:t>»</w:t>
      </w:r>
      <w:r w:rsidRPr="00540F0B">
        <w:rPr>
          <w:rFonts w:hint="cs"/>
          <w:b/>
          <w:bCs/>
          <w:rtl/>
        </w:rPr>
        <w:t>.</w:t>
      </w:r>
    </w:p>
    <w:p w:rsidR="00540F0B" w:rsidRPr="00E14ED6" w:rsidRDefault="00540F0B" w:rsidP="00C916BC">
      <w:pPr>
        <w:pStyle w:val="ac"/>
        <w:spacing w:line="199" w:lineRule="auto"/>
        <w:rPr>
          <w:rtl/>
        </w:rPr>
      </w:pPr>
      <w:r w:rsidRPr="00E14ED6">
        <w:rPr>
          <w:rFonts w:hint="cs"/>
          <w:rtl/>
        </w:rPr>
        <w:t>وهناك قراءة أخرى لنظرية عطار النيسابوري يمكن طرحها وهي: أنّ الرجل الذي يبلغ مرحلة العرفان قد بلغ الكمال في روحه ووصل مقام الفناء.</w:t>
      </w:r>
    </w:p>
    <w:p w:rsidR="00C94BDF" w:rsidRDefault="00540F0B" w:rsidP="00C916BC">
      <w:pPr>
        <w:pStyle w:val="ac"/>
        <w:spacing w:line="199" w:lineRule="auto"/>
        <w:rPr>
          <w:rtl/>
        </w:rPr>
      </w:pPr>
      <w:r w:rsidRPr="00E14ED6">
        <w:rPr>
          <w:rFonts w:hint="cs"/>
          <w:rtl/>
        </w:rPr>
        <w:t>وفي هذه المرحلة يبلغ الإنسان أصله ـ يعني الروح ـ ولذا يصبح اسمه رجلاً.</w:t>
      </w:r>
    </w:p>
    <w:p w:rsidR="00540F0B" w:rsidRDefault="00540F0B" w:rsidP="00C916BC">
      <w:pPr>
        <w:pStyle w:val="ac"/>
        <w:spacing w:line="199" w:lineRule="auto"/>
        <w:rPr>
          <w:rtl/>
        </w:rPr>
      </w:pPr>
      <w:r w:rsidRPr="00E14ED6">
        <w:rPr>
          <w:rFonts w:hint="cs"/>
          <w:rtl/>
        </w:rPr>
        <w:t>وهذه الرجولة لا تعني صرفاً معنى الذكورة، بل إنها تطلق على كل إنسان من أهل الطريقة يخطو برجولة في هذا الطريق، سواء كانت الروح مع رجل أو امرأة، ش</w:t>
      </w:r>
      <w:r>
        <w:rPr>
          <w:rFonts w:hint="cs"/>
          <w:rtl/>
        </w:rPr>
        <w:t xml:space="preserve">رقية أو </w:t>
      </w:r>
      <w:r>
        <w:rPr>
          <w:rFonts w:hint="cs"/>
          <w:rtl/>
        </w:rPr>
        <w:lastRenderedPageBreak/>
        <w:t>غربية، تركية أو عربية.</w:t>
      </w:r>
    </w:p>
    <w:p w:rsidR="00540F0B" w:rsidRPr="00C916BC" w:rsidRDefault="00540F0B" w:rsidP="00C916BC">
      <w:pPr>
        <w:pStyle w:val="afffffc"/>
        <w:rPr>
          <w:sz w:val="18"/>
          <w:szCs w:val="16"/>
          <w:rtl/>
        </w:rPr>
      </w:pPr>
    </w:p>
    <w:p w:rsidR="00540F0B" w:rsidRPr="0017088F" w:rsidRDefault="00540F0B" w:rsidP="00540F0B">
      <w:pPr>
        <w:pStyle w:val="1"/>
        <w:rPr>
          <w:rtl/>
        </w:rPr>
      </w:pPr>
      <w:bookmarkStart w:id="82" w:name="_Toc169521367"/>
      <w:bookmarkStart w:id="83" w:name="_Toc275127893"/>
      <w:r w:rsidRPr="0017088F">
        <w:rPr>
          <w:rFonts w:hint="cs"/>
          <w:rtl/>
        </w:rPr>
        <w:t>رابعة العدوية رائدة الحب في العرفان</w:t>
      </w:r>
      <w:bookmarkEnd w:id="82"/>
      <w:bookmarkEnd w:id="83"/>
      <w:r w:rsidRPr="0017088F">
        <w:rPr>
          <w:rFonts w:hint="cs"/>
          <w:rtl/>
        </w:rPr>
        <w:t xml:space="preserve"> </w:t>
      </w:r>
    </w:p>
    <w:p w:rsidR="00540F0B" w:rsidRPr="00E14ED6" w:rsidRDefault="00540F0B" w:rsidP="00540F0B">
      <w:pPr>
        <w:pStyle w:val="ac"/>
        <w:rPr>
          <w:rtl/>
        </w:rPr>
      </w:pPr>
      <w:r w:rsidRPr="00E14ED6">
        <w:rPr>
          <w:rFonts w:hint="cs"/>
          <w:rtl/>
        </w:rPr>
        <w:t>قيل: إنّ ولادة رابعة العدوية كانت في سنة 95 هـ / 713م في مدينة البصرة.</w:t>
      </w:r>
    </w:p>
    <w:p w:rsidR="00540F0B" w:rsidRPr="00E14ED6" w:rsidRDefault="00540F0B" w:rsidP="00540F0B">
      <w:pPr>
        <w:pStyle w:val="ac"/>
        <w:rPr>
          <w:rtl/>
        </w:rPr>
      </w:pPr>
      <w:r w:rsidRPr="00E14ED6">
        <w:rPr>
          <w:rFonts w:hint="cs"/>
          <w:rtl/>
        </w:rPr>
        <w:t>وعندما كبرت بيعت في أسواق الجواري، ثم حصلت على حرّيتها فيما بعد.</w:t>
      </w:r>
    </w:p>
    <w:p w:rsidR="00540F0B" w:rsidRPr="00E14ED6" w:rsidRDefault="00540F0B" w:rsidP="00540F0B">
      <w:pPr>
        <w:pStyle w:val="ac"/>
        <w:rPr>
          <w:rtl/>
        </w:rPr>
      </w:pPr>
      <w:r w:rsidRPr="00E14ED6">
        <w:rPr>
          <w:rFonts w:hint="cs"/>
          <w:rtl/>
        </w:rPr>
        <w:t>عاشت في البوادي فترةً من حياتها، ثم أقامت في البصرة، أحبّت الموسيقى ثم أدارت وجهها عنها بعد مدة وانقطعت إلى العبادة، وابتليت بالمرض ثم استعادت عافيتها مرّة أخرى</w:t>
      </w:r>
      <w:r w:rsidRPr="00815C4C">
        <w:rPr>
          <w:rFonts w:cs="Taher"/>
          <w:vertAlign w:val="superscript"/>
          <w:rtl/>
        </w:rPr>
        <w:t>(</w:t>
      </w:r>
      <w:r w:rsidRPr="00815C4C">
        <w:rPr>
          <w:rFonts w:cs="Taher"/>
          <w:vertAlign w:val="superscript"/>
          <w:rtl/>
        </w:rPr>
        <w:footnoteReference w:id="28"/>
      </w:r>
      <w:r w:rsidRPr="00815C4C">
        <w:rPr>
          <w:rFonts w:cs="Taher"/>
          <w:vertAlign w:val="superscript"/>
          <w:rtl/>
        </w:rPr>
        <w:t>)</w:t>
      </w:r>
      <w:r w:rsidRPr="00E14ED6">
        <w:rPr>
          <w:rFonts w:hint="cs"/>
          <w:rtl/>
        </w:rPr>
        <w:t>.</w:t>
      </w:r>
    </w:p>
    <w:p w:rsidR="00540F0B" w:rsidRPr="00E14ED6" w:rsidRDefault="00540F0B" w:rsidP="00540F0B">
      <w:pPr>
        <w:pStyle w:val="ac"/>
        <w:rPr>
          <w:rtl/>
        </w:rPr>
      </w:pPr>
      <w:r w:rsidRPr="00E14ED6">
        <w:rPr>
          <w:rFonts w:hint="cs"/>
          <w:rtl/>
        </w:rPr>
        <w:t>وقطعت شأواً في اكتشاف الحقيقة ووصلت مراحل سامية في العرفان.</w:t>
      </w:r>
    </w:p>
    <w:p w:rsidR="00540F0B" w:rsidRPr="00E14ED6" w:rsidRDefault="00540F0B" w:rsidP="00C916BC">
      <w:pPr>
        <w:pStyle w:val="ac"/>
        <w:rPr>
          <w:rtl/>
        </w:rPr>
      </w:pPr>
      <w:r w:rsidRPr="00E14ED6">
        <w:rPr>
          <w:rFonts w:hint="cs"/>
          <w:rtl/>
        </w:rPr>
        <w:t>وجاء في الدرّ المنثور عن النسوة اللاتي تسمّين باسم رابعة، وقد ذكرت وجوه في سبب هذه التسمية، منها:</w:t>
      </w:r>
    </w:p>
    <w:p w:rsidR="00540F0B" w:rsidRPr="00E14ED6" w:rsidRDefault="00540F0B" w:rsidP="00C916BC">
      <w:pPr>
        <w:pStyle w:val="ac"/>
        <w:rPr>
          <w:rtl/>
        </w:rPr>
      </w:pPr>
      <w:r w:rsidRPr="00E14ED6">
        <w:rPr>
          <w:rFonts w:hint="cs"/>
          <w:rtl/>
        </w:rPr>
        <w:t>أن البنت التي تولد بعد ثلاث أخوات غالباً ما يطلق عليها اسم (رابعة)، ثم أصبح الاسم علماً فيما بعد</w:t>
      </w:r>
      <w:r w:rsidRPr="00815C4C">
        <w:rPr>
          <w:rFonts w:cs="Taher"/>
          <w:vertAlign w:val="superscript"/>
          <w:rtl/>
        </w:rPr>
        <w:t>(</w:t>
      </w:r>
      <w:r w:rsidRPr="00815C4C">
        <w:rPr>
          <w:rFonts w:cs="Taher"/>
          <w:vertAlign w:val="superscript"/>
          <w:rtl/>
        </w:rPr>
        <w:footnoteReference w:id="29"/>
      </w:r>
      <w:r w:rsidRPr="00815C4C">
        <w:rPr>
          <w:rFonts w:cs="Taher"/>
          <w:vertAlign w:val="superscript"/>
          <w:rtl/>
        </w:rPr>
        <w:t>)</w:t>
      </w:r>
      <w:r w:rsidRPr="00E14ED6">
        <w:rPr>
          <w:rFonts w:hint="cs"/>
          <w:rtl/>
        </w:rPr>
        <w:t>.</w:t>
      </w:r>
    </w:p>
    <w:p w:rsidR="00540F0B" w:rsidRPr="00540F0B" w:rsidRDefault="00540F0B" w:rsidP="00C916BC">
      <w:pPr>
        <w:pStyle w:val="ac"/>
        <w:rPr>
          <w:b/>
          <w:bCs/>
          <w:rtl/>
        </w:rPr>
      </w:pPr>
      <w:r w:rsidRPr="00E14ED6">
        <w:rPr>
          <w:rFonts w:hint="cs"/>
          <w:rtl/>
        </w:rPr>
        <w:t xml:space="preserve">وكنية رابعة العدوية (أم الخير)، وأبوها إسماعيل العدوي من أهل البصرة، وبسبب قحط ضرب أطنابه في تلك الديار أقدمت اُسرتها على بيعها بسبب الجوع، لتصبح جاريةً مدّة من الزمن، وكان سيّدها الذي اشتراها رجلاً تقياً ورعاً فوهبها حرّيتها، ولم تتزوّج رابعة في حياتها، ولم تعاشر المرائين، ولم تجالس المزيفين، وقد خطبت مرّات عديدة ولكنها كانت تردّ الخاطبين وتقول لهم: </w:t>
      </w:r>
      <w:r w:rsidRPr="00540F0B">
        <w:rPr>
          <w:rFonts w:hint="cs"/>
          <w:b/>
          <w:bCs/>
          <w:rtl/>
        </w:rPr>
        <w:t>لم يبق في وجودي شيء لي ولا إرادة عندي، فاطلبوني منه</w:t>
      </w:r>
      <w:r w:rsidRPr="00815C4C">
        <w:rPr>
          <w:rFonts w:cs="Taher"/>
          <w:vertAlign w:val="superscript"/>
          <w:rtl/>
        </w:rPr>
        <w:t>(</w:t>
      </w:r>
      <w:r w:rsidRPr="00815C4C">
        <w:rPr>
          <w:rFonts w:cs="Taher"/>
          <w:vertAlign w:val="superscript"/>
          <w:rtl/>
        </w:rPr>
        <w:footnoteReference w:id="30"/>
      </w:r>
      <w:r w:rsidRPr="00815C4C">
        <w:rPr>
          <w:rFonts w:cs="Taher"/>
          <w:vertAlign w:val="superscript"/>
          <w:rtl/>
        </w:rPr>
        <w:t>)</w:t>
      </w:r>
      <w:r w:rsidRPr="00540F0B">
        <w:rPr>
          <w:rFonts w:hint="cs"/>
          <w:b/>
          <w:bCs/>
          <w:rtl/>
        </w:rPr>
        <w:t>.</w:t>
      </w:r>
    </w:p>
    <w:p w:rsidR="00540F0B" w:rsidRDefault="00540F0B" w:rsidP="00C916BC">
      <w:pPr>
        <w:pStyle w:val="ac"/>
        <w:rPr>
          <w:rtl/>
        </w:rPr>
      </w:pPr>
      <w:r w:rsidRPr="00E14ED6">
        <w:rPr>
          <w:rFonts w:hint="cs"/>
          <w:rtl/>
        </w:rPr>
        <w:t xml:space="preserve">وقد عاصر سفيان الثوري رابعة العدوية واعترف بفضلها، وقد زارها وجلس عندها بعض الوقت، مما سنحت لديه الفرصة ليسألها عن حقائق العرفان التي </w:t>
      </w:r>
      <w:r w:rsidRPr="00E14ED6">
        <w:rPr>
          <w:rFonts w:hint="cs"/>
          <w:rtl/>
        </w:rPr>
        <w:lastRenderedPageBreak/>
        <w:t>استعصت عليه، فأجابت عن أسئلته بما بلغت به من علم بدقائق العرفان. وقد روي أنّ سفيان الثوري سألها عن درجة إيمانها واعتقادها بالله عزوجل فأجابت: إنها تعبد الله لا شوقاً إلى الجنة ولا خوفاً من النار، بل لأنها تعشقه وتحبّه، واستجابةً لشروط العبودية</w:t>
      </w:r>
      <w:r w:rsidRPr="00815C4C">
        <w:rPr>
          <w:rFonts w:cs="Taher"/>
          <w:vertAlign w:val="superscript"/>
          <w:rtl/>
        </w:rPr>
        <w:t>(</w:t>
      </w:r>
      <w:r w:rsidRPr="00815C4C">
        <w:rPr>
          <w:rFonts w:cs="Taher"/>
          <w:vertAlign w:val="superscript"/>
          <w:rtl/>
        </w:rPr>
        <w:footnoteReference w:id="31"/>
      </w:r>
      <w:r w:rsidRPr="00815C4C">
        <w:rPr>
          <w:rFonts w:cs="Taher"/>
          <w:vertAlign w:val="superscript"/>
          <w:rtl/>
        </w:rPr>
        <w:t>)</w:t>
      </w:r>
      <w:r w:rsidRPr="00E14ED6">
        <w:rPr>
          <w:rFonts w:hint="cs"/>
          <w:rtl/>
        </w:rPr>
        <w:t>، ثم أنشدت شعراً عرفانياً رائعاً:</w:t>
      </w:r>
    </w:p>
    <w:tbl>
      <w:tblPr>
        <w:bidiVisual/>
        <w:tblW w:w="0" w:type="auto"/>
        <w:jc w:val="center"/>
        <w:tblLayout w:type="fixed"/>
        <w:tblLook w:val="01E0"/>
      </w:tblPr>
      <w:tblGrid>
        <w:gridCol w:w="3296"/>
        <w:gridCol w:w="360"/>
        <w:gridCol w:w="3334"/>
      </w:tblGrid>
      <w:tr w:rsidR="00540F0B" w:rsidTr="008F4A1B">
        <w:trPr>
          <w:trHeight w:hRule="exact" w:val="519"/>
          <w:jc w:val="center"/>
        </w:trPr>
        <w:tc>
          <w:tcPr>
            <w:tcW w:w="3296" w:type="dxa"/>
            <w:shd w:val="clear" w:color="auto" w:fill="auto"/>
          </w:tcPr>
          <w:p w:rsidR="00540F0B" w:rsidRPr="0078435F" w:rsidRDefault="00540F0B" w:rsidP="00540F0B">
            <w:pPr>
              <w:pStyle w:val="ac"/>
              <w:ind w:firstLine="0"/>
              <w:jc w:val="lowKashida"/>
              <w:rPr>
                <w:rFonts w:ascii="MS Sans Serif" w:hAnsi="MS Sans Serif"/>
                <w:rtl/>
              </w:rPr>
            </w:pPr>
            <w:r w:rsidRPr="0078435F">
              <w:rPr>
                <w:rFonts w:ascii="MS Sans Serif" w:hAnsi="MS Sans Serif" w:hint="cs"/>
                <w:rtl/>
              </w:rPr>
              <w:t>اُحبك حبّين حب الهـوى</w:t>
            </w:r>
            <w:r w:rsidRPr="0078435F">
              <w:rPr>
                <w:rFonts w:ascii="MS Sans Serif" w:hAnsi="MS Sans Serif"/>
                <w:rtl/>
              </w:rPr>
              <w:br/>
            </w:r>
          </w:p>
        </w:tc>
        <w:tc>
          <w:tcPr>
            <w:tcW w:w="360" w:type="dxa"/>
            <w:shd w:val="clear" w:color="auto" w:fill="auto"/>
          </w:tcPr>
          <w:p w:rsidR="00540F0B" w:rsidRPr="0078435F" w:rsidRDefault="00540F0B" w:rsidP="00540F0B">
            <w:pPr>
              <w:pStyle w:val="ac"/>
              <w:jc w:val="lowKashida"/>
              <w:rPr>
                <w:rFonts w:ascii="MS Sans Serif" w:hAnsi="MS Sans Serif"/>
                <w:rtl/>
              </w:rPr>
            </w:pPr>
          </w:p>
        </w:tc>
        <w:tc>
          <w:tcPr>
            <w:tcW w:w="3334" w:type="dxa"/>
            <w:shd w:val="clear" w:color="auto" w:fill="auto"/>
          </w:tcPr>
          <w:p w:rsidR="00540F0B" w:rsidRPr="0078435F" w:rsidRDefault="00540F0B" w:rsidP="00540F0B">
            <w:pPr>
              <w:pStyle w:val="ac"/>
              <w:ind w:firstLine="0"/>
              <w:jc w:val="lowKashida"/>
              <w:rPr>
                <w:rFonts w:ascii="MS Sans Serif" w:hAnsi="MS Sans Serif"/>
                <w:rtl/>
              </w:rPr>
            </w:pPr>
            <w:r w:rsidRPr="0078435F">
              <w:rPr>
                <w:rStyle w:val="Char"/>
                <w:rFonts w:ascii="MS Sans Serif" w:hAnsi="MS Sans Serif" w:hint="cs"/>
                <w:rtl/>
              </w:rPr>
              <w:t>وحباً لانك أهـل لذا كا</w:t>
            </w:r>
            <w:r w:rsidRPr="0078435F">
              <w:rPr>
                <w:rFonts w:ascii="MS Sans Serif" w:hAnsi="MS Sans Serif"/>
                <w:rtl/>
              </w:rPr>
              <w:br/>
            </w:r>
          </w:p>
        </w:tc>
      </w:tr>
      <w:tr w:rsidR="00540F0B" w:rsidTr="008F4A1B">
        <w:trPr>
          <w:trHeight w:hRule="exact" w:val="519"/>
          <w:jc w:val="center"/>
        </w:trPr>
        <w:tc>
          <w:tcPr>
            <w:tcW w:w="3296" w:type="dxa"/>
            <w:shd w:val="clear" w:color="auto" w:fill="auto"/>
          </w:tcPr>
          <w:p w:rsidR="00540F0B" w:rsidRPr="0078435F" w:rsidRDefault="00540F0B" w:rsidP="00540F0B">
            <w:pPr>
              <w:pStyle w:val="ac"/>
              <w:ind w:firstLine="0"/>
              <w:jc w:val="lowKashida"/>
              <w:rPr>
                <w:rStyle w:val="Char"/>
                <w:rFonts w:ascii="MS Sans Serif" w:hAnsi="MS Sans Serif"/>
                <w:rtl/>
              </w:rPr>
            </w:pPr>
            <w:r w:rsidRPr="0078435F">
              <w:rPr>
                <w:rFonts w:ascii="MS Sans Serif" w:hAnsi="MS Sans Serif" w:hint="cs"/>
                <w:rtl/>
              </w:rPr>
              <w:t>فأمّا الذي هو حب الهـوى</w:t>
            </w:r>
            <w:r w:rsidRPr="0078435F">
              <w:rPr>
                <w:rStyle w:val="Char"/>
                <w:rFonts w:ascii="MS Sans Serif" w:hAnsi="MS Sans Serif" w:hint="cs"/>
                <w:rtl/>
              </w:rPr>
              <w:br/>
            </w:r>
          </w:p>
        </w:tc>
        <w:tc>
          <w:tcPr>
            <w:tcW w:w="360" w:type="dxa"/>
            <w:shd w:val="clear" w:color="auto" w:fill="auto"/>
          </w:tcPr>
          <w:p w:rsidR="00540F0B" w:rsidRPr="0078435F" w:rsidRDefault="00540F0B" w:rsidP="00540F0B">
            <w:pPr>
              <w:pStyle w:val="ac"/>
              <w:ind w:firstLine="0"/>
              <w:jc w:val="lowKashida"/>
              <w:rPr>
                <w:rFonts w:ascii="MS Sans Serif" w:hAnsi="MS Sans Serif"/>
                <w:rtl/>
              </w:rPr>
            </w:pPr>
          </w:p>
        </w:tc>
        <w:tc>
          <w:tcPr>
            <w:tcW w:w="3334" w:type="dxa"/>
            <w:shd w:val="clear" w:color="auto" w:fill="auto"/>
          </w:tcPr>
          <w:p w:rsidR="00540F0B" w:rsidRPr="0078435F" w:rsidRDefault="00540F0B" w:rsidP="00540F0B">
            <w:pPr>
              <w:pStyle w:val="ac"/>
              <w:ind w:firstLine="0"/>
              <w:jc w:val="lowKashida"/>
              <w:rPr>
                <w:rStyle w:val="Char"/>
                <w:rFonts w:ascii="MS Sans Serif" w:hAnsi="MS Sans Serif"/>
                <w:rtl/>
              </w:rPr>
            </w:pPr>
            <w:r w:rsidRPr="0078435F">
              <w:rPr>
                <w:rStyle w:val="Char"/>
                <w:rFonts w:ascii="MS Sans Serif" w:hAnsi="MS Sans Serif" w:hint="cs"/>
                <w:rtl/>
              </w:rPr>
              <w:t>فشغلي بذكرك عمن سـواكا</w:t>
            </w:r>
            <w:r w:rsidRPr="0078435F">
              <w:rPr>
                <w:rStyle w:val="Char"/>
                <w:rFonts w:ascii="MS Sans Serif" w:hAnsi="MS Sans Serif" w:hint="cs"/>
                <w:rtl/>
              </w:rPr>
              <w:br/>
            </w:r>
          </w:p>
        </w:tc>
      </w:tr>
      <w:tr w:rsidR="00540F0B" w:rsidTr="008F4A1B">
        <w:trPr>
          <w:trHeight w:hRule="exact" w:val="519"/>
          <w:jc w:val="center"/>
        </w:trPr>
        <w:tc>
          <w:tcPr>
            <w:tcW w:w="3296" w:type="dxa"/>
            <w:shd w:val="clear" w:color="auto" w:fill="auto"/>
          </w:tcPr>
          <w:p w:rsidR="00540F0B" w:rsidRPr="0078435F" w:rsidRDefault="00540F0B" w:rsidP="00540F0B">
            <w:pPr>
              <w:pStyle w:val="ac"/>
              <w:ind w:firstLine="0"/>
              <w:jc w:val="lowKashida"/>
              <w:rPr>
                <w:rFonts w:ascii="MS Sans Serif" w:hAnsi="MS Sans Serif"/>
                <w:rtl/>
              </w:rPr>
            </w:pPr>
            <w:r w:rsidRPr="0078435F">
              <w:rPr>
                <w:rFonts w:ascii="MS Sans Serif" w:hAnsi="MS Sans Serif" w:hint="cs"/>
                <w:rtl/>
              </w:rPr>
              <w:t>وأمّا الذي أنت أهل لـه</w:t>
            </w:r>
            <w:r w:rsidRPr="0078435F">
              <w:rPr>
                <w:rFonts w:ascii="MS Sans Serif" w:hAnsi="MS Sans Serif"/>
                <w:rtl/>
              </w:rPr>
              <w:br/>
            </w:r>
          </w:p>
        </w:tc>
        <w:tc>
          <w:tcPr>
            <w:tcW w:w="360" w:type="dxa"/>
            <w:shd w:val="clear" w:color="auto" w:fill="auto"/>
          </w:tcPr>
          <w:p w:rsidR="00540F0B" w:rsidRPr="0078435F" w:rsidRDefault="00540F0B" w:rsidP="00540F0B">
            <w:pPr>
              <w:pStyle w:val="ac"/>
              <w:ind w:firstLine="0"/>
              <w:jc w:val="lowKashida"/>
              <w:rPr>
                <w:rFonts w:ascii="MS Sans Serif" w:hAnsi="MS Sans Serif"/>
                <w:rtl/>
              </w:rPr>
            </w:pPr>
          </w:p>
        </w:tc>
        <w:tc>
          <w:tcPr>
            <w:tcW w:w="3334" w:type="dxa"/>
            <w:shd w:val="clear" w:color="auto" w:fill="auto"/>
          </w:tcPr>
          <w:p w:rsidR="00540F0B" w:rsidRPr="0078435F" w:rsidRDefault="00540F0B" w:rsidP="00540F0B">
            <w:pPr>
              <w:pStyle w:val="ac"/>
              <w:ind w:firstLine="0"/>
              <w:jc w:val="lowKashida"/>
              <w:rPr>
                <w:rStyle w:val="Char"/>
                <w:rFonts w:ascii="MS Sans Serif" w:hAnsi="MS Sans Serif"/>
                <w:rtl/>
              </w:rPr>
            </w:pPr>
            <w:r w:rsidRPr="0078435F">
              <w:rPr>
                <w:rStyle w:val="Char"/>
                <w:rFonts w:ascii="MS Sans Serif" w:hAnsi="MS Sans Serif"/>
                <w:rtl/>
              </w:rPr>
              <w:t>فكشف</w:t>
            </w:r>
            <w:r w:rsidRPr="0078435F">
              <w:rPr>
                <w:rStyle w:val="Char"/>
                <w:rFonts w:ascii="MS Sans Serif" w:hAnsi="MS Sans Serif" w:hint="cs"/>
                <w:rtl/>
              </w:rPr>
              <w:t>ك</w:t>
            </w:r>
            <w:r w:rsidRPr="0078435F">
              <w:rPr>
                <w:rStyle w:val="Char"/>
                <w:rFonts w:ascii="MS Sans Serif" w:hAnsi="MS Sans Serif"/>
                <w:rtl/>
              </w:rPr>
              <w:t xml:space="preserve"> للحجب حت</w:t>
            </w:r>
            <w:r w:rsidRPr="0078435F">
              <w:rPr>
                <w:rStyle w:val="Char"/>
                <w:rFonts w:ascii="MS Sans Serif" w:hAnsi="MS Sans Serif" w:hint="cs"/>
                <w:rtl/>
              </w:rPr>
              <w:t>ـ</w:t>
            </w:r>
            <w:r w:rsidRPr="0078435F">
              <w:rPr>
                <w:rStyle w:val="Char"/>
                <w:rFonts w:ascii="MS Sans Serif" w:hAnsi="MS Sans Serif"/>
                <w:rtl/>
              </w:rPr>
              <w:t>ى أراكا</w:t>
            </w:r>
            <w:r w:rsidRPr="0078435F">
              <w:rPr>
                <w:rStyle w:val="Char"/>
                <w:rFonts w:ascii="MS Sans Serif" w:hAnsi="MS Sans Serif"/>
                <w:rtl/>
              </w:rPr>
              <w:br/>
            </w:r>
          </w:p>
        </w:tc>
      </w:tr>
      <w:tr w:rsidR="00540F0B" w:rsidTr="008F4A1B">
        <w:trPr>
          <w:trHeight w:hRule="exact" w:val="519"/>
          <w:jc w:val="center"/>
        </w:trPr>
        <w:tc>
          <w:tcPr>
            <w:tcW w:w="3296" w:type="dxa"/>
            <w:shd w:val="clear" w:color="auto" w:fill="auto"/>
          </w:tcPr>
          <w:p w:rsidR="00540F0B" w:rsidRPr="0078435F" w:rsidRDefault="00540F0B" w:rsidP="00540F0B">
            <w:pPr>
              <w:pStyle w:val="ac"/>
              <w:ind w:firstLine="0"/>
              <w:jc w:val="lowKashida"/>
              <w:rPr>
                <w:rFonts w:ascii="MS Sans Serif" w:hAnsi="MS Sans Serif"/>
                <w:rtl/>
              </w:rPr>
            </w:pPr>
            <w:r w:rsidRPr="0078435F">
              <w:rPr>
                <w:rFonts w:ascii="MS Sans Serif" w:hAnsi="MS Sans Serif" w:hint="cs"/>
                <w:rtl/>
              </w:rPr>
              <w:t>فلا الحمد في ذا ولا ذاك لـي</w:t>
            </w:r>
            <w:r w:rsidRPr="0078435F">
              <w:rPr>
                <w:rFonts w:ascii="MS Sans Serif" w:hAnsi="MS Sans Serif"/>
                <w:rtl/>
              </w:rPr>
              <w:br/>
            </w:r>
          </w:p>
        </w:tc>
        <w:tc>
          <w:tcPr>
            <w:tcW w:w="360" w:type="dxa"/>
            <w:shd w:val="clear" w:color="auto" w:fill="auto"/>
          </w:tcPr>
          <w:p w:rsidR="00540F0B" w:rsidRPr="00350F90" w:rsidRDefault="00540F0B" w:rsidP="00540F0B">
            <w:pPr>
              <w:pStyle w:val="ac"/>
              <w:ind w:firstLine="0"/>
              <w:jc w:val="lowKashida"/>
              <w:rPr>
                <w:rFonts w:ascii="MS Sans Serif" w:hAnsi="MS Sans Serif"/>
                <w:sz w:val="30"/>
                <w:rtl/>
              </w:rPr>
            </w:pPr>
          </w:p>
        </w:tc>
        <w:tc>
          <w:tcPr>
            <w:tcW w:w="3334" w:type="dxa"/>
            <w:shd w:val="clear" w:color="auto" w:fill="auto"/>
          </w:tcPr>
          <w:p w:rsidR="00540F0B" w:rsidRPr="00350F90" w:rsidRDefault="00540F0B" w:rsidP="00540F0B">
            <w:pPr>
              <w:pStyle w:val="ac"/>
              <w:ind w:firstLine="0"/>
              <w:jc w:val="lowKashida"/>
              <w:rPr>
                <w:rStyle w:val="Char"/>
                <w:rFonts w:ascii="MS Sans Serif" w:hAnsi="MS Sans Serif"/>
                <w:sz w:val="30"/>
                <w:rtl/>
              </w:rPr>
            </w:pPr>
            <w:r w:rsidRPr="00350F90">
              <w:rPr>
                <w:rStyle w:val="Char"/>
                <w:rFonts w:ascii="MS Sans Serif" w:hAnsi="MS Sans Serif" w:hint="cs"/>
                <w:sz w:val="30"/>
                <w:rtl/>
              </w:rPr>
              <w:t>ولكـن لك الحمـد في ذا وذاكا</w:t>
            </w:r>
            <w:r w:rsidRPr="00350F90">
              <w:rPr>
                <w:rFonts w:cs="Taher"/>
                <w:sz w:val="30"/>
                <w:vertAlign w:val="superscript"/>
                <w:rtl/>
              </w:rPr>
              <w:t>(</w:t>
            </w:r>
            <w:r w:rsidRPr="00350F90">
              <w:rPr>
                <w:rFonts w:cs="Taher"/>
                <w:sz w:val="30"/>
                <w:vertAlign w:val="superscript"/>
                <w:rtl/>
              </w:rPr>
              <w:footnoteReference w:id="32"/>
            </w:r>
            <w:r w:rsidRPr="00350F90">
              <w:rPr>
                <w:rFonts w:cs="Taher"/>
                <w:sz w:val="30"/>
                <w:vertAlign w:val="superscript"/>
                <w:rtl/>
              </w:rPr>
              <w:t>)</w:t>
            </w:r>
            <w:r w:rsidRPr="00350F90">
              <w:rPr>
                <w:rStyle w:val="Char"/>
                <w:rFonts w:ascii="MS Sans Serif" w:hAnsi="MS Sans Serif" w:hint="cs"/>
                <w:sz w:val="30"/>
                <w:rtl/>
              </w:rPr>
              <w:br/>
            </w:r>
          </w:p>
        </w:tc>
      </w:tr>
    </w:tbl>
    <w:p w:rsidR="00540F0B" w:rsidRDefault="00540F0B" w:rsidP="007762C4">
      <w:pPr>
        <w:pStyle w:val="ac"/>
        <w:rPr>
          <w:rtl/>
        </w:rPr>
      </w:pPr>
      <w:r w:rsidRPr="00E14ED6">
        <w:rPr>
          <w:rFonts w:hint="cs"/>
          <w:rtl/>
        </w:rPr>
        <w:t>وكانت تنشد أيضاً هذا الشعر مجيبةً به على أسئلة السائلين:</w:t>
      </w:r>
    </w:p>
    <w:tbl>
      <w:tblPr>
        <w:bidiVisual/>
        <w:tblW w:w="0" w:type="auto"/>
        <w:tblInd w:w="248" w:type="dxa"/>
        <w:tblLook w:val="0000"/>
      </w:tblPr>
      <w:tblGrid>
        <w:gridCol w:w="3261"/>
        <w:gridCol w:w="425"/>
        <w:gridCol w:w="3260"/>
      </w:tblGrid>
      <w:tr w:rsidR="00540F0B" w:rsidRPr="0017088F" w:rsidTr="00CC7B0F">
        <w:trPr>
          <w:trHeight w:hRule="exact" w:val="970"/>
        </w:trPr>
        <w:tc>
          <w:tcPr>
            <w:tcW w:w="3261" w:type="dxa"/>
          </w:tcPr>
          <w:p w:rsidR="00540F0B" w:rsidRPr="00B44161" w:rsidRDefault="00540F0B" w:rsidP="00B44161">
            <w:pPr>
              <w:pStyle w:val="ac"/>
              <w:ind w:firstLine="0"/>
              <w:jc w:val="lowKashida"/>
              <w:rPr>
                <w:rStyle w:val="Char"/>
                <w:rFonts w:ascii="MS Sans Serif" w:hAnsi="MS Sans Serif"/>
              </w:rPr>
            </w:pPr>
            <w:r w:rsidRPr="00B44161">
              <w:rPr>
                <w:rStyle w:val="Char"/>
                <w:rFonts w:ascii="MS Sans Serif" w:hAnsi="MS Sans Serif" w:hint="cs"/>
                <w:rtl/>
              </w:rPr>
              <w:t>حبيب ليس يعد له حبيب</w:t>
            </w:r>
            <w:r w:rsidRPr="00B44161">
              <w:rPr>
                <w:rStyle w:val="Char"/>
                <w:rFonts w:ascii="MS Sans Serif" w:hAnsi="MS Sans Serif"/>
                <w:rtl/>
              </w:rPr>
              <w:br/>
            </w:r>
            <w:r w:rsidRPr="00B44161">
              <w:rPr>
                <w:rStyle w:val="Char"/>
                <w:rFonts w:ascii="MS Sans Serif" w:hAnsi="MS Sans Serif" w:hint="cs"/>
                <w:rtl/>
              </w:rPr>
              <w:t>حبيب غاب عن عيني وشخ</w:t>
            </w:r>
            <w:r w:rsidR="00B44161">
              <w:rPr>
                <w:rStyle w:val="Char"/>
                <w:rFonts w:ascii="MS Sans Serif" w:hAnsi="MS Sans Serif" w:hint="cs"/>
                <w:rtl/>
              </w:rPr>
              <w:t>ـ</w:t>
            </w:r>
            <w:r w:rsidRPr="00B44161">
              <w:rPr>
                <w:rStyle w:val="Char"/>
                <w:rFonts w:ascii="MS Sans Serif" w:hAnsi="MS Sans Serif" w:hint="cs"/>
                <w:rtl/>
              </w:rPr>
              <w:t>صي</w:t>
            </w:r>
            <w:r w:rsidRPr="00B44161">
              <w:rPr>
                <w:rStyle w:val="Char"/>
                <w:rFonts w:ascii="MS Sans Serif" w:hAnsi="MS Sans Serif"/>
                <w:rtl/>
              </w:rPr>
              <w:br/>
            </w:r>
          </w:p>
        </w:tc>
        <w:tc>
          <w:tcPr>
            <w:tcW w:w="425" w:type="dxa"/>
          </w:tcPr>
          <w:p w:rsidR="00540F0B" w:rsidRPr="008425EB" w:rsidRDefault="00540F0B" w:rsidP="007762C4">
            <w:pPr>
              <w:pStyle w:val="af9"/>
              <w:widowControl w:val="0"/>
              <w:adjustRightInd w:val="0"/>
              <w:spacing w:line="450" w:lineRule="exact"/>
              <w:jc w:val="mediumKashida"/>
              <w:rPr>
                <w:rFonts w:cs="Simplified Arabic"/>
                <w:bCs w:val="0"/>
                <w:sz w:val="26"/>
              </w:rPr>
            </w:pPr>
          </w:p>
        </w:tc>
        <w:tc>
          <w:tcPr>
            <w:tcW w:w="3260" w:type="dxa"/>
          </w:tcPr>
          <w:p w:rsidR="00540F0B" w:rsidRPr="00B44161" w:rsidRDefault="00540F0B" w:rsidP="00B44161">
            <w:pPr>
              <w:pStyle w:val="ac"/>
              <w:ind w:firstLine="0"/>
              <w:jc w:val="lowKashida"/>
              <w:rPr>
                <w:rStyle w:val="Char"/>
                <w:rFonts w:ascii="MS Sans Serif" w:hAnsi="MS Sans Serif"/>
              </w:rPr>
            </w:pPr>
            <w:r w:rsidRPr="00B44161">
              <w:rPr>
                <w:rStyle w:val="Char"/>
                <w:rFonts w:ascii="MS Sans Serif" w:hAnsi="MS Sans Serif" w:hint="cs"/>
                <w:rtl/>
              </w:rPr>
              <w:t>وما لسواه في قلبي نصيب</w:t>
            </w:r>
            <w:r w:rsidRPr="00350F90">
              <w:rPr>
                <w:rStyle w:val="Char"/>
                <w:rFonts w:ascii="MS Sans Serif" w:hAnsi="MS Sans Serif" w:cs="Taher"/>
                <w:vertAlign w:val="superscript"/>
                <w:rtl/>
              </w:rPr>
              <w:t>(</w:t>
            </w:r>
            <w:r w:rsidRPr="00350F90">
              <w:rPr>
                <w:rStyle w:val="Char"/>
                <w:rFonts w:ascii="MS Sans Serif" w:hAnsi="MS Sans Serif" w:cs="Taher"/>
                <w:vertAlign w:val="superscript"/>
                <w:rtl/>
              </w:rPr>
              <w:footnoteReference w:id="33"/>
            </w:r>
            <w:r w:rsidRPr="00350F90">
              <w:rPr>
                <w:rStyle w:val="Char"/>
                <w:rFonts w:ascii="MS Sans Serif" w:hAnsi="MS Sans Serif" w:cs="Taher"/>
                <w:vertAlign w:val="superscript"/>
                <w:rtl/>
              </w:rPr>
              <w:t>)</w:t>
            </w:r>
            <w:r w:rsidRPr="00B44161">
              <w:rPr>
                <w:rStyle w:val="Char"/>
                <w:rFonts w:ascii="MS Sans Serif" w:hAnsi="MS Sans Serif"/>
                <w:rtl/>
              </w:rPr>
              <w:br/>
            </w:r>
            <w:r w:rsidRPr="00B44161">
              <w:rPr>
                <w:rStyle w:val="Char"/>
                <w:rFonts w:ascii="MS Sans Serif" w:hAnsi="MS Sans Serif" w:hint="cs"/>
                <w:rtl/>
              </w:rPr>
              <w:t>ولكن عن فؤادي لا يغيب</w:t>
            </w:r>
            <w:r w:rsidRPr="00350F90">
              <w:rPr>
                <w:rStyle w:val="Char"/>
                <w:rFonts w:ascii="MS Sans Serif" w:hAnsi="MS Sans Serif" w:cs="Taher"/>
                <w:vertAlign w:val="superscript"/>
                <w:rtl/>
              </w:rPr>
              <w:t>(</w:t>
            </w:r>
            <w:r w:rsidRPr="00350F90">
              <w:rPr>
                <w:rStyle w:val="Char"/>
                <w:rFonts w:ascii="MS Sans Serif" w:hAnsi="MS Sans Serif" w:cs="Taher"/>
                <w:vertAlign w:val="superscript"/>
                <w:rtl/>
              </w:rPr>
              <w:footnoteReference w:id="34"/>
            </w:r>
            <w:r w:rsidRPr="00350F90">
              <w:rPr>
                <w:rStyle w:val="Char"/>
                <w:rFonts w:ascii="MS Sans Serif" w:hAnsi="MS Sans Serif" w:cs="Taher"/>
                <w:vertAlign w:val="superscript"/>
                <w:rtl/>
              </w:rPr>
              <w:t>)</w:t>
            </w:r>
            <w:r w:rsidRPr="00B44161">
              <w:rPr>
                <w:rStyle w:val="Char"/>
                <w:rFonts w:ascii="MS Sans Serif" w:hAnsi="MS Sans Serif" w:hint="cs"/>
                <w:rtl/>
              </w:rPr>
              <w:br/>
            </w:r>
          </w:p>
        </w:tc>
      </w:tr>
    </w:tbl>
    <w:p w:rsidR="00540F0B" w:rsidRPr="00E14ED6" w:rsidRDefault="00540F0B" w:rsidP="00350F90">
      <w:pPr>
        <w:pStyle w:val="ac"/>
        <w:rPr>
          <w:rtl/>
        </w:rPr>
      </w:pPr>
      <w:r w:rsidRPr="00E14ED6">
        <w:rPr>
          <w:rFonts w:hint="cs"/>
          <w:rtl/>
        </w:rPr>
        <w:t>وقد شهد لرابعة العدوية الخاصّ والعامّ في أنها بلغت في كشف الحقائق العرفانية مقاماً سامياً، فمدحها المادحون وأثنى عليها ومجّدها كل من أراد للمرأة أن تخطو في طريق الكمال</w:t>
      </w:r>
      <w:r w:rsidRPr="00815C4C">
        <w:rPr>
          <w:rFonts w:cs="Taher"/>
          <w:vertAlign w:val="superscript"/>
          <w:rtl/>
        </w:rPr>
        <w:t>(</w:t>
      </w:r>
      <w:r w:rsidRPr="00815C4C">
        <w:rPr>
          <w:rFonts w:cs="Taher"/>
          <w:vertAlign w:val="superscript"/>
          <w:rtl/>
        </w:rPr>
        <w:footnoteReference w:id="35"/>
      </w:r>
      <w:r w:rsidRPr="00815C4C">
        <w:rPr>
          <w:rFonts w:cs="Taher"/>
          <w:vertAlign w:val="superscript"/>
          <w:rtl/>
        </w:rPr>
        <w:t>)</w:t>
      </w:r>
      <w:r w:rsidRPr="00E14ED6">
        <w:rPr>
          <w:rFonts w:hint="cs"/>
          <w:rtl/>
        </w:rPr>
        <w:t>، بعد أن أصبحت مثالاً في التقوى والورع والزهد والعرفان.</w:t>
      </w:r>
    </w:p>
    <w:p w:rsidR="00540F0B" w:rsidRPr="00E14ED6" w:rsidRDefault="00540F0B" w:rsidP="00D537F7">
      <w:pPr>
        <w:pStyle w:val="ac"/>
        <w:rPr>
          <w:rFonts w:cs="AL-Mohanad"/>
          <w:bCs/>
          <w:sz w:val="26"/>
          <w:rtl/>
        </w:rPr>
      </w:pPr>
      <w:r w:rsidRPr="007762C4">
        <w:rPr>
          <w:rFonts w:hint="cs"/>
          <w:b/>
          <w:rtl/>
        </w:rPr>
        <w:t>وقد جاء في سيرتها الذاتية وتجاربها العرفانية قولها:</w:t>
      </w:r>
      <w:r w:rsidRPr="00E14ED6">
        <w:rPr>
          <w:rFonts w:cs="AL-Mohanad" w:hint="cs"/>
          <w:bCs/>
          <w:sz w:val="26"/>
          <w:rtl/>
        </w:rPr>
        <w:t xml:space="preserve"> </w:t>
      </w:r>
      <w:r w:rsidRPr="00617008">
        <w:rPr>
          <w:rFonts w:hint="cs"/>
          <w:rtl/>
        </w:rPr>
        <w:t>«</w:t>
      </w:r>
      <w:r w:rsidRPr="007762C4">
        <w:rPr>
          <w:rFonts w:hint="cs"/>
          <w:b/>
          <w:bCs/>
          <w:rtl/>
        </w:rPr>
        <w:t>رأيت أهل الجنة يذهبون ويجيئون وربما رأيت حـور العين يستترون بأكمـامهنّ</w:t>
      </w:r>
      <w:r w:rsidRPr="00617008">
        <w:rPr>
          <w:rFonts w:hint="cs"/>
          <w:rtl/>
        </w:rPr>
        <w:t>»</w:t>
      </w:r>
      <w:r w:rsidRPr="00815C4C">
        <w:rPr>
          <w:rFonts w:cs="Taher"/>
          <w:vertAlign w:val="superscript"/>
          <w:rtl/>
        </w:rPr>
        <w:t>(</w:t>
      </w:r>
      <w:r w:rsidRPr="00815C4C">
        <w:rPr>
          <w:rFonts w:cs="Taher"/>
          <w:vertAlign w:val="superscript"/>
          <w:rtl/>
        </w:rPr>
        <w:footnoteReference w:id="36"/>
      </w:r>
      <w:r w:rsidRPr="00815C4C">
        <w:rPr>
          <w:rFonts w:cs="Taher"/>
          <w:vertAlign w:val="superscript"/>
          <w:rtl/>
        </w:rPr>
        <w:t>)</w:t>
      </w:r>
      <w:r w:rsidRPr="007762C4">
        <w:rPr>
          <w:rFonts w:hint="cs"/>
          <w:b/>
          <w:bCs/>
          <w:rtl/>
        </w:rPr>
        <w:t>.</w:t>
      </w:r>
    </w:p>
    <w:p w:rsidR="00540F0B" w:rsidRPr="00E14ED6" w:rsidRDefault="00540F0B" w:rsidP="00CC7B0F">
      <w:pPr>
        <w:pStyle w:val="ac"/>
        <w:rPr>
          <w:rtl/>
        </w:rPr>
      </w:pPr>
      <w:r w:rsidRPr="00E14ED6">
        <w:rPr>
          <w:rFonts w:hint="cs"/>
          <w:rtl/>
        </w:rPr>
        <w:t>فكما أن بعض الرجال يبلغون من المراتب يخفون أنفسهم عنهم ـ كالأئمة</w:t>
      </w:r>
      <w:r w:rsidR="00CC7B0F" w:rsidRPr="00CC7B0F">
        <w:rPr>
          <w:rFonts w:hint="cs"/>
          <w:rtl/>
        </w:rPr>
        <w:t>^</w:t>
      </w:r>
      <w:r w:rsidRPr="00E14ED6">
        <w:rPr>
          <w:rFonts w:hint="cs"/>
          <w:rtl/>
        </w:rPr>
        <w:t xml:space="preserve"> ـ فكذا بعض الملائكة ربما أخفوا أنفسهم عن حورياتهم.</w:t>
      </w:r>
    </w:p>
    <w:p w:rsidR="00540F0B" w:rsidRDefault="00540F0B" w:rsidP="007762C4">
      <w:pPr>
        <w:pStyle w:val="ac"/>
        <w:rPr>
          <w:rtl/>
        </w:rPr>
      </w:pPr>
      <w:r w:rsidRPr="00E14ED6">
        <w:rPr>
          <w:rFonts w:hint="cs"/>
          <w:rtl/>
        </w:rPr>
        <w:lastRenderedPageBreak/>
        <w:t>وهنا سؤال: هل أنهم يخفون أنفسهم أم أنهم يتأثرون بسطوع أنوارهم؟ إنّ رابعة العدوية بذكرها هذه المسألة تكون قد أزاحت الستار عن عمق العرفان في ذاتها، واستطاعت أن تروي ظمأ الظامئين من روحها.</w:t>
      </w:r>
    </w:p>
    <w:p w:rsidR="007762C4" w:rsidRPr="00CC7B0F" w:rsidRDefault="007762C4" w:rsidP="00CC7B0F">
      <w:pPr>
        <w:pStyle w:val="afffffc"/>
        <w:rPr>
          <w:sz w:val="18"/>
          <w:szCs w:val="16"/>
          <w:rtl/>
        </w:rPr>
      </w:pPr>
    </w:p>
    <w:p w:rsidR="00540F0B" w:rsidRPr="0017088F" w:rsidRDefault="00540F0B" w:rsidP="007762C4">
      <w:pPr>
        <w:pStyle w:val="1"/>
        <w:rPr>
          <w:rtl/>
        </w:rPr>
      </w:pPr>
      <w:bookmarkStart w:id="84" w:name="_Toc169521368"/>
      <w:bookmarkStart w:id="85" w:name="_Toc275127894"/>
      <w:r w:rsidRPr="0017088F">
        <w:rPr>
          <w:rFonts w:hint="cs"/>
          <w:rtl/>
        </w:rPr>
        <w:t>موقع وأثر رابعة في العرفان</w:t>
      </w:r>
      <w:bookmarkEnd w:id="84"/>
      <w:bookmarkEnd w:id="85"/>
      <w:r w:rsidRPr="0017088F">
        <w:rPr>
          <w:rFonts w:hint="cs"/>
          <w:rtl/>
        </w:rPr>
        <w:t xml:space="preserve"> </w:t>
      </w:r>
    </w:p>
    <w:p w:rsidR="00540F0B" w:rsidRPr="00E14ED6" w:rsidRDefault="00540F0B" w:rsidP="007762C4">
      <w:pPr>
        <w:pStyle w:val="ac"/>
        <w:rPr>
          <w:rtl/>
        </w:rPr>
      </w:pPr>
      <w:r w:rsidRPr="00E14ED6">
        <w:rPr>
          <w:rFonts w:hint="cs"/>
          <w:rtl/>
        </w:rPr>
        <w:t xml:space="preserve">إنّ تجربة رابعة العرفانية جعلتها فريدةً في عصرها وزمانها، واعتبرها معاصروها من العرفاء حجة، وكما يقول عطار النيسابوري: </w:t>
      </w:r>
      <w:r w:rsidRPr="007762C4">
        <w:rPr>
          <w:rFonts w:hint="cs"/>
          <w:b/>
          <w:bCs/>
          <w:rtl/>
        </w:rPr>
        <w:t>كانت رابعة في زمانها حجة، ولم يكن لها نظير في السلوك والعرفان، وعدّتها شخصيات عصرها حجّة قاطعة</w:t>
      </w:r>
      <w:r w:rsidRPr="00815C4C">
        <w:rPr>
          <w:rFonts w:cs="Taher"/>
          <w:vertAlign w:val="superscript"/>
          <w:rtl/>
        </w:rPr>
        <w:t>(</w:t>
      </w:r>
      <w:r w:rsidRPr="00815C4C">
        <w:rPr>
          <w:rFonts w:cs="Taher"/>
          <w:vertAlign w:val="superscript"/>
          <w:rtl/>
        </w:rPr>
        <w:footnoteReference w:id="37"/>
      </w:r>
      <w:r w:rsidRPr="00815C4C">
        <w:rPr>
          <w:rFonts w:cs="Taher"/>
          <w:vertAlign w:val="superscript"/>
          <w:rtl/>
        </w:rPr>
        <w:t>)</w:t>
      </w:r>
      <w:r w:rsidRPr="007762C4">
        <w:rPr>
          <w:rFonts w:hint="cs"/>
          <w:b/>
          <w:bCs/>
          <w:rtl/>
        </w:rPr>
        <w:t>.</w:t>
      </w:r>
    </w:p>
    <w:p w:rsidR="00540F0B" w:rsidRPr="00E14ED6" w:rsidRDefault="00540F0B" w:rsidP="007762C4">
      <w:pPr>
        <w:pStyle w:val="ac"/>
        <w:rPr>
          <w:rtl/>
        </w:rPr>
      </w:pPr>
      <w:r w:rsidRPr="00E14ED6">
        <w:rPr>
          <w:rFonts w:hint="cs"/>
          <w:rtl/>
        </w:rPr>
        <w:t xml:space="preserve">ويكفي في منـزلة رابعة العدوية أنها كانت ترى أن النظر لغير الله إثم يستحق غضبه سبحانه؛ لأنّ العارف الكامل لا يرى شيئاً غير الله، لا أنه يرى ويردع عينه عن النظر، وقد جاء في سيرتها أنها مرضت يوماً فلما سُئلت عن علّة مرضها قالت: </w:t>
      </w:r>
      <w:r w:rsidRPr="007762C4">
        <w:rPr>
          <w:rFonts w:hint="cs"/>
          <w:b/>
          <w:bCs/>
          <w:rtl/>
        </w:rPr>
        <w:t>نظرت إلى الجنّة فأدّبني، مال قلبي إلى الجنة ذات سحرٍ فعاتبني على ذلك الحبيب</w:t>
      </w:r>
      <w:r w:rsidRPr="00815C4C">
        <w:rPr>
          <w:rFonts w:cs="Taher"/>
          <w:vertAlign w:val="superscript"/>
          <w:rtl/>
        </w:rPr>
        <w:t>(</w:t>
      </w:r>
      <w:r w:rsidRPr="00815C4C">
        <w:rPr>
          <w:rFonts w:cs="Taher"/>
          <w:vertAlign w:val="superscript"/>
          <w:rtl/>
        </w:rPr>
        <w:footnoteReference w:id="38"/>
      </w:r>
      <w:r w:rsidRPr="00815C4C">
        <w:rPr>
          <w:rFonts w:cs="Taher"/>
          <w:vertAlign w:val="superscript"/>
          <w:rtl/>
        </w:rPr>
        <w:t>)</w:t>
      </w:r>
      <w:r w:rsidRPr="007762C4">
        <w:rPr>
          <w:rFonts w:hint="cs"/>
          <w:b/>
          <w:bCs/>
          <w:rtl/>
        </w:rPr>
        <w:t>.</w:t>
      </w:r>
    </w:p>
    <w:p w:rsidR="00540F0B" w:rsidRPr="00E14ED6" w:rsidRDefault="00540F0B" w:rsidP="007762C4">
      <w:pPr>
        <w:pStyle w:val="ac"/>
        <w:rPr>
          <w:rtl/>
        </w:rPr>
      </w:pPr>
      <w:r w:rsidRPr="00E14ED6">
        <w:rPr>
          <w:rFonts w:hint="cs"/>
          <w:rtl/>
        </w:rPr>
        <w:t xml:space="preserve">وفي تعريفها للحق والصدق ما يكشف عن عمق عرفانها </w:t>
      </w:r>
      <w:r w:rsidRPr="00350F90">
        <w:rPr>
          <w:rFonts w:hint="cs"/>
          <w:rtl/>
        </w:rPr>
        <w:t xml:space="preserve">فهي تقول: إنّ الصدق أن تشكر المولى على عتابه. </w:t>
      </w:r>
      <w:r w:rsidRPr="00E14ED6">
        <w:rPr>
          <w:rFonts w:hint="cs"/>
          <w:rtl/>
        </w:rPr>
        <w:t>وما أجمل ما أنشد مولوي في عشق العارفين وعلاقتهم بالعتاب الإلهي.</w:t>
      </w:r>
    </w:p>
    <w:p w:rsidR="00540F0B" w:rsidRPr="007762C4" w:rsidRDefault="00540F0B" w:rsidP="007762C4">
      <w:pPr>
        <w:pStyle w:val="ac"/>
        <w:rPr>
          <w:b/>
          <w:bCs/>
          <w:rtl/>
        </w:rPr>
      </w:pPr>
      <w:r w:rsidRPr="007762C4">
        <w:rPr>
          <w:rFonts w:hint="cs"/>
          <w:b/>
          <w:bCs/>
          <w:rtl/>
        </w:rPr>
        <w:t>يا حسرتي وخشيتي أن يصدق</w:t>
      </w:r>
    </w:p>
    <w:p w:rsidR="00540F0B" w:rsidRPr="007762C4" w:rsidRDefault="00540F0B" w:rsidP="007762C4">
      <w:pPr>
        <w:pStyle w:val="ac"/>
        <w:rPr>
          <w:b/>
          <w:bCs/>
          <w:rtl/>
        </w:rPr>
      </w:pPr>
      <w:r w:rsidRPr="007762C4">
        <w:rPr>
          <w:rFonts w:hint="cs"/>
          <w:b/>
          <w:bCs/>
          <w:rtl/>
        </w:rPr>
        <w:t>فينقص من كرم ذاك العتب</w:t>
      </w:r>
    </w:p>
    <w:p w:rsidR="00540F0B" w:rsidRPr="00E14ED6" w:rsidRDefault="00540F0B" w:rsidP="007762C4">
      <w:pPr>
        <w:pStyle w:val="ac"/>
        <w:rPr>
          <w:rtl/>
        </w:rPr>
      </w:pPr>
      <w:r w:rsidRPr="00E14ED6">
        <w:rPr>
          <w:rFonts w:hint="cs"/>
          <w:rtl/>
        </w:rPr>
        <w:t>وفي منـزلة رابعة يجدر أن نشير إلى نقطة مهمة، وهي لو اعتبر الإنسان عبادته لله توفيقاً إلهياً، يدعوه ويشكره ويحمده عليها، لبلغ دون شك درجة الأولياء.</w:t>
      </w:r>
    </w:p>
    <w:p w:rsidR="00540F0B" w:rsidRPr="00E14ED6" w:rsidRDefault="00540F0B" w:rsidP="007762C4">
      <w:pPr>
        <w:pStyle w:val="ac"/>
        <w:rPr>
          <w:rtl/>
        </w:rPr>
      </w:pPr>
      <w:r w:rsidRPr="00E14ED6">
        <w:rPr>
          <w:rFonts w:hint="cs"/>
          <w:rtl/>
        </w:rPr>
        <w:t>وقد جاء في سيرتها العملية أنّها تقدّمت يوماً إلى محرابها من أجل الصلاة فغمرتها حالة طيبة، فشكرت الله عزوجل على ذلك بأن صامت في الغد</w:t>
      </w:r>
      <w:r w:rsidRPr="00815C4C">
        <w:rPr>
          <w:rFonts w:cs="Taher"/>
          <w:vertAlign w:val="superscript"/>
          <w:rtl/>
        </w:rPr>
        <w:t>(</w:t>
      </w:r>
      <w:r w:rsidRPr="00815C4C">
        <w:rPr>
          <w:rFonts w:cs="Taher"/>
          <w:vertAlign w:val="superscript"/>
          <w:rtl/>
        </w:rPr>
        <w:footnoteReference w:id="39"/>
      </w:r>
      <w:r w:rsidRPr="00815C4C">
        <w:rPr>
          <w:rFonts w:cs="Taher"/>
          <w:vertAlign w:val="superscript"/>
          <w:rtl/>
        </w:rPr>
        <w:t>)</w:t>
      </w:r>
      <w:r w:rsidRPr="00E14ED6">
        <w:rPr>
          <w:rFonts w:hint="cs"/>
          <w:rtl/>
        </w:rPr>
        <w:t>.</w:t>
      </w:r>
    </w:p>
    <w:p w:rsidR="00540F0B" w:rsidRDefault="00540F0B" w:rsidP="007762C4">
      <w:pPr>
        <w:pStyle w:val="ac"/>
        <w:rPr>
          <w:rtl/>
        </w:rPr>
      </w:pPr>
      <w:r w:rsidRPr="00E14ED6">
        <w:rPr>
          <w:rFonts w:hint="cs"/>
          <w:rtl/>
        </w:rPr>
        <w:lastRenderedPageBreak/>
        <w:t>لقد بلغت رابعة في منازل العرفان درجةً رفيعةً لم يبلغها سوى القليل من العارفين، وقطعت أشواطاً في طريق السالكين حتى تفوّقت على معاصريها من العرفاء الرجال، ولقبت من أجل ذلك بـ (تاج الرجال)</w:t>
      </w:r>
      <w:r w:rsidRPr="00815C4C">
        <w:rPr>
          <w:rFonts w:cs="Taher"/>
          <w:vertAlign w:val="superscript"/>
          <w:rtl/>
        </w:rPr>
        <w:t>(</w:t>
      </w:r>
      <w:r w:rsidRPr="00815C4C">
        <w:rPr>
          <w:rFonts w:cs="Taher"/>
          <w:vertAlign w:val="superscript"/>
          <w:rtl/>
        </w:rPr>
        <w:footnoteReference w:id="40"/>
      </w:r>
      <w:r w:rsidRPr="00815C4C">
        <w:rPr>
          <w:rFonts w:cs="Taher"/>
          <w:vertAlign w:val="superscript"/>
          <w:rtl/>
        </w:rPr>
        <w:t>)</w:t>
      </w:r>
      <w:r w:rsidRPr="00E14ED6">
        <w:rPr>
          <w:rFonts w:hint="cs"/>
          <w:rtl/>
        </w:rPr>
        <w:t>، لتصبح مثالاً متألّقاً في عالَم التقوى.</w:t>
      </w:r>
    </w:p>
    <w:p w:rsidR="007762C4" w:rsidRPr="00CC7B0F" w:rsidRDefault="007762C4" w:rsidP="00CC7B0F">
      <w:pPr>
        <w:pStyle w:val="afffffc"/>
        <w:rPr>
          <w:sz w:val="20"/>
          <w:szCs w:val="18"/>
          <w:rtl/>
        </w:rPr>
      </w:pPr>
      <w:bookmarkStart w:id="86" w:name="_Toc169521369"/>
    </w:p>
    <w:p w:rsidR="00540F0B" w:rsidRPr="0017088F" w:rsidRDefault="00540F0B" w:rsidP="007762C4">
      <w:pPr>
        <w:pStyle w:val="1"/>
        <w:rPr>
          <w:rtl/>
        </w:rPr>
      </w:pPr>
      <w:bookmarkStart w:id="87" w:name="_Toc275127895"/>
      <w:r w:rsidRPr="0017088F">
        <w:rPr>
          <w:rFonts w:hint="cs"/>
          <w:rtl/>
        </w:rPr>
        <w:t>الطريقة الإلهية</w:t>
      </w:r>
      <w:bookmarkEnd w:id="86"/>
      <w:bookmarkEnd w:id="87"/>
    </w:p>
    <w:p w:rsidR="00540F0B" w:rsidRPr="00E14ED6" w:rsidRDefault="00540F0B" w:rsidP="00CC7B0F">
      <w:pPr>
        <w:pStyle w:val="ac"/>
        <w:spacing w:line="199" w:lineRule="auto"/>
        <w:rPr>
          <w:rtl/>
        </w:rPr>
      </w:pPr>
      <w:r w:rsidRPr="00E14ED6">
        <w:rPr>
          <w:rFonts w:hint="cs"/>
          <w:rtl/>
        </w:rPr>
        <w:t>ورد في بعض ما ألّف في سيرة رابعة العدوية أنّها لما وُلدت لم يجد أبوها قطرات من الزيت يدهن به سرّتها، فطلبت منه زوجته أن ينطلق إلى جارهم فلعلّهم يجودون بقطرةٍ من السمن، وذهب الرجل ـ مع أنّه كان قد قطع عهداً على نفسه ألاّ يطلب من مخلوق شيئاً ـ وخرج إلى جارهم فطرق عليهم الباب فلم يسمع جواباً، فعاد وقال لزوجته ما سمعت جواباً، فب</w:t>
      </w:r>
      <w:r w:rsidR="00CC7B0F">
        <w:rPr>
          <w:rFonts w:hint="cs"/>
          <w:rtl/>
        </w:rPr>
        <w:t>كت</w:t>
      </w:r>
      <w:r w:rsidRPr="00CC7B0F">
        <w:rPr>
          <w:rFonts w:hint="cs"/>
          <w:sz w:val="29"/>
          <w:szCs w:val="29"/>
          <w:rtl/>
        </w:rPr>
        <w:t xml:space="preserve"> الأم ما شاء لها أن تبكي حتى هومت عيناها ونامت، فرأت رسول  الله</w:t>
      </w:r>
      <w:r w:rsidR="00C86626" w:rsidRPr="00CC7B0F">
        <w:rPr>
          <w:rFonts w:hint="cs"/>
          <w:szCs w:val="28"/>
          <w:rtl/>
        </w:rPr>
        <w:t>’</w:t>
      </w:r>
      <w:r w:rsidRPr="00CC7B0F">
        <w:rPr>
          <w:rFonts w:hint="cs"/>
          <w:sz w:val="29"/>
          <w:szCs w:val="29"/>
          <w:rtl/>
        </w:rPr>
        <w:t xml:space="preserve"> يقول لها:</w:t>
      </w:r>
      <w:r w:rsidRPr="00CC7B0F">
        <w:rPr>
          <w:rFonts w:hint="cs"/>
          <w:b/>
          <w:bCs/>
          <w:sz w:val="29"/>
          <w:szCs w:val="29"/>
          <w:rtl/>
        </w:rPr>
        <w:t xml:space="preserve"> </w:t>
      </w:r>
      <w:r w:rsidRPr="00CC7B0F">
        <w:rPr>
          <w:rFonts w:hint="cs"/>
          <w:b/>
          <w:bCs/>
          <w:sz w:val="30"/>
          <w:rtl/>
        </w:rPr>
        <w:t>لا تحزني إن ابنتك هذه سيدة</w:t>
      </w:r>
      <w:r w:rsidRPr="00CC7B0F">
        <w:rPr>
          <w:rFonts w:hint="cs"/>
          <w:b/>
          <w:bCs/>
          <w:sz w:val="29"/>
          <w:szCs w:val="29"/>
          <w:rtl/>
        </w:rPr>
        <w:t>، وستشفع لسبعين ألف من أمتي</w:t>
      </w:r>
      <w:r w:rsidRPr="00CC7B0F">
        <w:rPr>
          <w:rFonts w:cs="Taher"/>
          <w:sz w:val="29"/>
          <w:szCs w:val="29"/>
          <w:vertAlign w:val="superscript"/>
          <w:rtl/>
        </w:rPr>
        <w:t>(</w:t>
      </w:r>
      <w:r w:rsidRPr="00CC7B0F">
        <w:rPr>
          <w:rFonts w:cs="Taher"/>
          <w:sz w:val="29"/>
          <w:szCs w:val="29"/>
          <w:vertAlign w:val="superscript"/>
          <w:rtl/>
        </w:rPr>
        <w:footnoteReference w:id="41"/>
      </w:r>
      <w:r w:rsidRPr="00CC7B0F">
        <w:rPr>
          <w:rFonts w:cs="Taher"/>
          <w:sz w:val="29"/>
          <w:szCs w:val="29"/>
          <w:vertAlign w:val="superscript"/>
          <w:rtl/>
        </w:rPr>
        <w:t>)</w:t>
      </w:r>
      <w:r w:rsidRPr="00CC7B0F">
        <w:rPr>
          <w:rFonts w:hint="cs"/>
          <w:b/>
          <w:bCs/>
          <w:sz w:val="29"/>
          <w:szCs w:val="29"/>
          <w:rtl/>
        </w:rPr>
        <w:t>.</w:t>
      </w:r>
    </w:p>
    <w:p w:rsidR="00540F0B" w:rsidRPr="00E14ED6" w:rsidRDefault="00540F0B" w:rsidP="00CC7B0F">
      <w:pPr>
        <w:pStyle w:val="ac"/>
        <w:rPr>
          <w:rtl/>
        </w:rPr>
      </w:pPr>
      <w:r w:rsidRPr="00E14ED6">
        <w:rPr>
          <w:rFonts w:hint="cs"/>
          <w:rtl/>
        </w:rPr>
        <w:t>وتدور الأيام ويرحل أبوها عن الدنيا، وقد ضرب القحط الشديد أطنابه في البصرة وتغرّبت أخواتها كل في جهة وناحية كما سارت هي أيضاً وراء مصيرها، فرآها ظالم فأخذها جبراً وباعها بثمن بخس دراهم معدودة، وسامها الذي اشتراها سوء العذاب وكان يحمّلها من العمل ما لا تطيق.</w:t>
      </w:r>
    </w:p>
    <w:p w:rsidR="00540F0B" w:rsidRPr="00973389" w:rsidRDefault="00540F0B" w:rsidP="00CC7B0F">
      <w:pPr>
        <w:pStyle w:val="ac"/>
        <w:spacing w:line="199" w:lineRule="auto"/>
        <w:rPr>
          <w:rtl/>
        </w:rPr>
      </w:pPr>
      <w:r w:rsidRPr="00973389">
        <w:rPr>
          <w:rFonts w:hint="cs"/>
          <w:rtl/>
        </w:rPr>
        <w:t>وصادف أن اعترضها وغد وراودها عن نفسها، فلجأت إلى الله سبحانه تدعوه:</w:t>
      </w:r>
    </w:p>
    <w:p w:rsidR="00540F0B" w:rsidRPr="007762C4" w:rsidRDefault="00540F0B" w:rsidP="00CC7B0F">
      <w:pPr>
        <w:pStyle w:val="ac"/>
        <w:spacing w:line="199" w:lineRule="auto"/>
        <w:rPr>
          <w:b/>
          <w:bCs/>
          <w:rtl/>
        </w:rPr>
      </w:pPr>
      <w:r w:rsidRPr="007762C4">
        <w:rPr>
          <w:rFonts w:hint="cs"/>
          <w:b/>
          <w:bCs/>
          <w:rtl/>
        </w:rPr>
        <w:t>يا الهي غريبة أنا، يتيمة، وأسيرة... وإنك يا إلهي تعلم بحالي، ولا همّ لي إلاّ رضاك.</w:t>
      </w:r>
    </w:p>
    <w:p w:rsidR="00540F0B" w:rsidRPr="00E14ED6" w:rsidRDefault="00540F0B" w:rsidP="00CC7B0F">
      <w:pPr>
        <w:pStyle w:val="ac"/>
        <w:rPr>
          <w:rtl/>
        </w:rPr>
      </w:pPr>
      <w:r w:rsidRPr="00E14ED6">
        <w:rPr>
          <w:rFonts w:hint="cs"/>
          <w:rtl/>
        </w:rPr>
        <w:t>فسمعت نداءً يبشّرها بما لها من الكرامة عند الله؛ وهكذا ولجت رابعة الطريق إلى الله. ومن المؤكد أن هذا قد حصل بعد أن ذاقت رابعة حلاوة العبادة فكانت تغتنم الفرص لتنهل المزيد من هذا المعين العذب.</w:t>
      </w:r>
    </w:p>
    <w:p w:rsidR="00540F0B" w:rsidRPr="007762C4" w:rsidRDefault="00540F0B" w:rsidP="00CC7B0F">
      <w:pPr>
        <w:pStyle w:val="ac"/>
        <w:spacing w:line="199" w:lineRule="auto"/>
        <w:rPr>
          <w:b/>
          <w:bCs/>
          <w:rtl/>
        </w:rPr>
      </w:pPr>
      <w:r w:rsidRPr="007762C4">
        <w:rPr>
          <w:rFonts w:hint="cs"/>
          <w:rtl/>
        </w:rPr>
        <w:t>وقد جاء في سيرتها أيضاً أنّ سيّدها استيقظ ذات ليلةٍ من نومه وأطلّ من كوّة في بيته، فرأى رابعة ساجدة وهي تقول:</w:t>
      </w:r>
      <w:r w:rsidRPr="00767F05">
        <w:rPr>
          <w:rFonts w:cs="Traditional Arabic" w:hint="cs"/>
          <w:sz w:val="26"/>
          <w:szCs w:val="32"/>
          <w:rtl/>
        </w:rPr>
        <w:t xml:space="preserve"> </w:t>
      </w:r>
      <w:r w:rsidRPr="007762C4">
        <w:rPr>
          <w:rFonts w:hint="cs"/>
          <w:b/>
          <w:bCs/>
          <w:rtl/>
        </w:rPr>
        <w:t xml:space="preserve">إلهي إنك تعلم أنّ قلبي مطيع لك وأن قرّة عيني </w:t>
      </w:r>
      <w:r w:rsidRPr="007762C4">
        <w:rPr>
          <w:rFonts w:hint="cs"/>
          <w:b/>
          <w:bCs/>
          <w:rtl/>
        </w:rPr>
        <w:lastRenderedPageBreak/>
        <w:t>في عبادتك، ولو كان لي من الأمر شيء ما غفلت عن عبادتك لحظة واحدة، ولكن ماذا بوسعي وقد جعلت عليّ من يملكني، وجعلته ربّي.</w:t>
      </w:r>
    </w:p>
    <w:p w:rsidR="00540F0B" w:rsidRDefault="00540F0B" w:rsidP="007762C4">
      <w:pPr>
        <w:pStyle w:val="ac"/>
        <w:rPr>
          <w:rtl/>
        </w:rPr>
      </w:pPr>
      <w:r w:rsidRPr="00E14ED6">
        <w:rPr>
          <w:rFonts w:hint="cs"/>
          <w:rtl/>
        </w:rPr>
        <w:t>ولما سمع سيدها مناجاتها استدعاها وبشرها بالحرّية فانطلقت إلى البراري وعزمت على الحج</w:t>
      </w:r>
      <w:r w:rsidRPr="00815C4C">
        <w:rPr>
          <w:rFonts w:cs="Taher"/>
          <w:vertAlign w:val="superscript"/>
          <w:rtl/>
        </w:rPr>
        <w:t>(</w:t>
      </w:r>
      <w:r w:rsidRPr="00815C4C">
        <w:rPr>
          <w:rFonts w:cs="Taher"/>
          <w:vertAlign w:val="superscript"/>
          <w:rtl/>
        </w:rPr>
        <w:footnoteReference w:id="42"/>
      </w:r>
      <w:r w:rsidRPr="00815C4C">
        <w:rPr>
          <w:rFonts w:cs="Taher" w:hint="cs"/>
          <w:vertAlign w:val="superscript"/>
          <w:rtl/>
        </w:rPr>
        <w:t>)</w:t>
      </w:r>
      <w:r w:rsidRPr="00E14ED6">
        <w:rPr>
          <w:rFonts w:hint="cs"/>
          <w:rtl/>
        </w:rPr>
        <w:t>.</w:t>
      </w:r>
    </w:p>
    <w:p w:rsidR="007762C4" w:rsidRDefault="007762C4" w:rsidP="00CC7B0F">
      <w:pPr>
        <w:pStyle w:val="afffffc"/>
        <w:rPr>
          <w:rtl/>
        </w:rPr>
      </w:pPr>
    </w:p>
    <w:p w:rsidR="00540F0B" w:rsidRPr="0017088F" w:rsidRDefault="00540F0B" w:rsidP="007762C4">
      <w:pPr>
        <w:pStyle w:val="1"/>
        <w:rPr>
          <w:rtl/>
        </w:rPr>
      </w:pPr>
      <w:bookmarkStart w:id="88" w:name="_Toc169521370"/>
      <w:bookmarkStart w:id="89" w:name="_Toc275127896"/>
      <w:r w:rsidRPr="0017088F">
        <w:rPr>
          <w:rFonts w:hint="cs"/>
          <w:rtl/>
        </w:rPr>
        <w:t>أساتذتها</w:t>
      </w:r>
      <w:bookmarkEnd w:id="88"/>
      <w:bookmarkEnd w:id="89"/>
    </w:p>
    <w:p w:rsidR="00540F0B" w:rsidRDefault="00540F0B" w:rsidP="007762C4">
      <w:pPr>
        <w:pStyle w:val="ac"/>
        <w:rPr>
          <w:rtl/>
        </w:rPr>
      </w:pPr>
      <w:r w:rsidRPr="00E14ED6">
        <w:rPr>
          <w:rFonts w:hint="cs"/>
          <w:rtl/>
        </w:rPr>
        <w:t>يمكن الزعم أن المصادر الرئيسية لم تورد ذكراً لأحد من مشاهير العرفاء يمكن أن يكون أستاذاً لها أو معلّماً، غير أنّ ماسنيون المستشرق الفرنسي يدّعي بأن الحسن البصري كان أستاذاً لرابعة العدوية، وأنها تلمّذت على يديه مدّة ليست قصيرة، ولكي يدعم ماسنيون نظريته هذه يميل إلى الرأي القائل بأن وفاتها كانت سنة 135 هـ، وذلك من أجل أن يجد تبريراً منطقياً يؤيّد ما يرمي إليه، فحسب تحقيقات ماسنيون ولد الحسن البصري سنة 21 هـ وتوفي سنة 110 هـ، ولمّا كانت وفاة رابعة سنة 135 هـ</w:t>
      </w:r>
      <w:r w:rsidRPr="00815C4C">
        <w:rPr>
          <w:rFonts w:cs="Taher"/>
          <w:vertAlign w:val="superscript"/>
          <w:rtl/>
        </w:rPr>
        <w:t>(</w:t>
      </w:r>
      <w:r w:rsidRPr="00815C4C">
        <w:rPr>
          <w:rFonts w:cs="Taher"/>
          <w:vertAlign w:val="superscript"/>
          <w:rtl/>
        </w:rPr>
        <w:footnoteReference w:id="43"/>
      </w:r>
      <w:r w:rsidRPr="00815C4C">
        <w:rPr>
          <w:rFonts w:cs="Taher"/>
          <w:vertAlign w:val="superscript"/>
          <w:rtl/>
        </w:rPr>
        <w:t>)</w:t>
      </w:r>
      <w:r w:rsidRPr="00E14ED6">
        <w:rPr>
          <w:rFonts w:hint="cs"/>
          <w:rtl/>
        </w:rPr>
        <w:t>، فمن المعقول جداً أنّها حضرت مجالس الوعظ التي كان يعقدها، كما ذكر لقاءها بالصوفي الكبير رياح بن عمرو القيسي</w:t>
      </w:r>
      <w:r w:rsidRPr="00815C4C">
        <w:rPr>
          <w:rFonts w:cs="Taher"/>
          <w:vertAlign w:val="superscript"/>
          <w:rtl/>
        </w:rPr>
        <w:t>(</w:t>
      </w:r>
      <w:r w:rsidRPr="00815C4C">
        <w:rPr>
          <w:rFonts w:cs="Taher"/>
          <w:vertAlign w:val="superscript"/>
          <w:rtl/>
        </w:rPr>
        <w:footnoteReference w:id="44"/>
      </w:r>
      <w:r w:rsidRPr="00815C4C">
        <w:rPr>
          <w:rFonts w:cs="Taher"/>
          <w:vertAlign w:val="superscript"/>
          <w:rtl/>
        </w:rPr>
        <w:t>)</w:t>
      </w:r>
      <w:r w:rsidRPr="00E14ED6">
        <w:rPr>
          <w:rFonts w:hint="cs"/>
          <w:rtl/>
        </w:rPr>
        <w:t>، الذي شجّعها ورغّبها في ولوج الطريقة الإلهية، وأن تترك حياة الغفلة، وهذه اللقاءات يمكن أن ترقى إلى اعتبارها علاقة بين المريد وأستاذه، وقد أشار ماسنيون إلى أن رياح كان يؤكّد خلال تلك اللقاءات على رابعة أن تسلك الطريق الذي سلكه هو</w:t>
      </w:r>
      <w:r w:rsidRPr="00815C4C">
        <w:rPr>
          <w:rFonts w:cs="Taher"/>
          <w:vertAlign w:val="superscript"/>
          <w:rtl/>
        </w:rPr>
        <w:t>(</w:t>
      </w:r>
      <w:r w:rsidRPr="00815C4C">
        <w:rPr>
          <w:rFonts w:cs="Taher"/>
          <w:vertAlign w:val="superscript"/>
          <w:rtl/>
        </w:rPr>
        <w:footnoteReference w:id="45"/>
      </w:r>
      <w:r w:rsidRPr="00815C4C">
        <w:rPr>
          <w:rFonts w:cs="Taher"/>
          <w:vertAlign w:val="superscript"/>
          <w:rtl/>
        </w:rPr>
        <w:t>)</w:t>
      </w:r>
      <w:r w:rsidRPr="00E14ED6">
        <w:rPr>
          <w:rFonts w:hint="cs"/>
          <w:rtl/>
        </w:rPr>
        <w:t>، وقد استجابت رابعة لتوصياته والتزمت بها، فأمضت الليالي في العبادة، وكان تأثير رياح في رابعة قد بلغ حداً جعلها تنظر إلى الدنيا نظرة الزاهدين فيها. وهذه التحولات التي طرأت على روحها تعود إلى مواعظ المرشدين وتأملاتها خلال عبادتها في الليل.</w:t>
      </w:r>
    </w:p>
    <w:p w:rsidR="00540F0B" w:rsidRPr="0017088F" w:rsidRDefault="00540F0B" w:rsidP="007762C4">
      <w:pPr>
        <w:pStyle w:val="1"/>
        <w:rPr>
          <w:rtl/>
        </w:rPr>
      </w:pPr>
      <w:bookmarkStart w:id="90" w:name="_Toc169521371"/>
      <w:bookmarkStart w:id="91" w:name="_Toc275127897"/>
      <w:r w:rsidRPr="0017088F">
        <w:rPr>
          <w:rFonts w:hint="cs"/>
          <w:rtl/>
        </w:rPr>
        <w:lastRenderedPageBreak/>
        <w:t>أدوات العرفان لدى رابعة</w:t>
      </w:r>
      <w:bookmarkEnd w:id="90"/>
      <w:bookmarkEnd w:id="91"/>
    </w:p>
    <w:p w:rsidR="00540F0B" w:rsidRPr="00E14ED6" w:rsidRDefault="00540F0B" w:rsidP="00CC7B0F">
      <w:pPr>
        <w:pStyle w:val="ac"/>
        <w:spacing w:line="202" w:lineRule="auto"/>
        <w:rPr>
          <w:rtl/>
        </w:rPr>
      </w:pPr>
      <w:r w:rsidRPr="00E14ED6">
        <w:rPr>
          <w:rFonts w:hint="cs"/>
          <w:rtl/>
        </w:rPr>
        <w:t>تتجلّى المقامات العرفانية في العرفان التقليدي في النشاط العبادي الذي يتألّف من أدوات العرفان والتجارب العرفانية. وهذه الأدوات تختلف حسب اختلاف الأهداف وأنواع العرفان.</w:t>
      </w:r>
    </w:p>
    <w:p w:rsidR="00540F0B" w:rsidRPr="00E14ED6" w:rsidRDefault="00540F0B" w:rsidP="00CC7B0F">
      <w:pPr>
        <w:pStyle w:val="ac"/>
        <w:spacing w:line="202" w:lineRule="auto"/>
        <w:rPr>
          <w:rtl/>
        </w:rPr>
      </w:pPr>
      <w:r w:rsidRPr="00E14ED6">
        <w:rPr>
          <w:rFonts w:hint="cs"/>
          <w:rtl/>
        </w:rPr>
        <w:t>وبالرغم من أنّ العرفان التقليدي قد تشكّل بناؤه الأصلي في عصر رابعة، غير أنّ الوثائق التاريخية والمصادر التي أرّخت لحياة رابعة العدوية لم تورد شيئاً عن أدواتها وتجربتها العرفانية، وما ورد عن العرفان التقليدي آنذاك سواء في الأدوات أو التجارب هو ما يلي:</w:t>
      </w:r>
    </w:p>
    <w:p w:rsidR="00540F0B" w:rsidRPr="00E14ED6" w:rsidRDefault="00540F0B" w:rsidP="00CC7B0F">
      <w:pPr>
        <w:pStyle w:val="ac"/>
        <w:spacing w:line="199" w:lineRule="auto"/>
        <w:rPr>
          <w:rtl/>
        </w:rPr>
      </w:pPr>
      <w:r w:rsidRPr="007762C4">
        <w:rPr>
          <w:rFonts w:hint="cs"/>
          <w:b/>
          <w:bCs/>
          <w:rtl/>
        </w:rPr>
        <w:t>ـ إحياء الليل:</w:t>
      </w:r>
      <w:r w:rsidRPr="00EB4516">
        <w:rPr>
          <w:rFonts w:cs="Traditional Arabic" w:hint="cs"/>
          <w:b/>
          <w:rtl/>
        </w:rPr>
        <w:t xml:space="preserve"> </w:t>
      </w:r>
      <w:r w:rsidRPr="00E14ED6">
        <w:rPr>
          <w:rFonts w:hint="cs"/>
          <w:rtl/>
        </w:rPr>
        <w:t>وهنا تشترك المصادر المرتبطة بالعرفان التقليدي وعرفان رابعة العدوية في أنها كانت كثيراً ما تحيي الليل في العبادة حتى الصباح، وقد ذكر ابن الجوزي أنّ رابعة كانت تصلّي معظم الليل، فاذا طلع الصبح ربما هوّمت عيناها لتغفو في نوم خفيف حتى طلوع الشمس، فإذا طلعت الشمس نهضت من فراشها تنوح: يا نفس إلى متى النوم أفلا تصحين؟ قريباً ستنامين نومةً لا يقظة بعدها حتى ينفخ في الصور للنشور ويوم القيامة، وقد كان هذا ديدن رابعة إلى أن توفيت</w:t>
      </w:r>
      <w:r w:rsidRPr="00815C4C">
        <w:rPr>
          <w:rFonts w:cs="Taher"/>
          <w:vertAlign w:val="superscript"/>
          <w:rtl/>
        </w:rPr>
        <w:t>(</w:t>
      </w:r>
      <w:r w:rsidRPr="00815C4C">
        <w:rPr>
          <w:rFonts w:cs="Taher"/>
          <w:vertAlign w:val="superscript"/>
          <w:rtl/>
        </w:rPr>
        <w:footnoteReference w:id="46"/>
      </w:r>
      <w:r w:rsidRPr="00815C4C">
        <w:rPr>
          <w:rFonts w:cs="Taher"/>
          <w:vertAlign w:val="superscript"/>
          <w:rtl/>
        </w:rPr>
        <w:t>)</w:t>
      </w:r>
      <w:r w:rsidRPr="00E14ED6">
        <w:rPr>
          <w:rFonts w:hint="cs"/>
          <w:rtl/>
        </w:rPr>
        <w:t>.</w:t>
      </w:r>
    </w:p>
    <w:p w:rsidR="00540F0B" w:rsidRPr="00AF457A" w:rsidRDefault="00540F0B" w:rsidP="00CC7B0F">
      <w:pPr>
        <w:pStyle w:val="ac"/>
        <w:spacing w:line="199" w:lineRule="auto"/>
        <w:rPr>
          <w:spacing w:val="-6"/>
          <w:rtl/>
        </w:rPr>
      </w:pPr>
      <w:r w:rsidRPr="00E14ED6">
        <w:rPr>
          <w:rFonts w:hint="cs"/>
          <w:rtl/>
        </w:rPr>
        <w:t xml:space="preserve">ومن المؤكد أنّ مصدر إلهام رابعة في هذا هو القرآن الكريم في قوله تعالى: </w:t>
      </w:r>
      <w:r w:rsidR="00935CC0" w:rsidRPr="00935CC0">
        <w:rPr>
          <w:rtl/>
        </w:rPr>
        <w:t>﴿</w:t>
      </w:r>
      <w:r w:rsidRPr="007762C4">
        <w:rPr>
          <w:b/>
          <w:bCs/>
          <w:rtl/>
        </w:rPr>
        <w:t>وَالَّذِينَ يَبِيتُونَ لِرَبِّهِمْ سُجَّداً وَقِياماً</w:t>
      </w:r>
      <w:r w:rsidR="00935CC0">
        <w:rPr>
          <w:rFonts w:ascii="Mosawi" w:hAnsi="Mosawi"/>
          <w:rtl/>
        </w:rPr>
        <w:t>﴾</w:t>
      </w:r>
      <w:r w:rsidRPr="00815C4C">
        <w:rPr>
          <w:rFonts w:cs="Taher"/>
          <w:vertAlign w:val="superscript"/>
          <w:rtl/>
        </w:rPr>
        <w:t>(</w:t>
      </w:r>
      <w:r w:rsidRPr="00815C4C">
        <w:rPr>
          <w:rFonts w:cs="Taher"/>
          <w:vertAlign w:val="superscript"/>
          <w:rtl/>
        </w:rPr>
        <w:footnoteReference w:id="47"/>
      </w:r>
      <w:r w:rsidRPr="00815C4C">
        <w:rPr>
          <w:rFonts w:cs="Taher" w:hint="cs"/>
          <w:vertAlign w:val="superscript"/>
          <w:rtl/>
        </w:rPr>
        <w:t>)</w:t>
      </w:r>
      <w:r w:rsidRPr="00AF457A">
        <w:rPr>
          <w:rFonts w:hint="cs"/>
          <w:spacing w:val="-6"/>
          <w:rtl/>
        </w:rPr>
        <w:t xml:space="preserve"> وقوله تعالى:</w:t>
      </w:r>
      <w:r w:rsidR="00935CC0" w:rsidRPr="00935CC0">
        <w:rPr>
          <w:rtl/>
        </w:rPr>
        <w:t>﴿</w:t>
      </w:r>
      <w:r w:rsidRPr="007762C4">
        <w:rPr>
          <w:b/>
          <w:bCs/>
          <w:rtl/>
        </w:rPr>
        <w:t>تَتَجافى جُنُوبُهُمْ عَنِ</w:t>
      </w:r>
      <w:r w:rsidRPr="007762C4">
        <w:rPr>
          <w:rFonts w:hint="cs"/>
          <w:b/>
          <w:bCs/>
          <w:rtl/>
        </w:rPr>
        <w:t xml:space="preserve"> </w:t>
      </w:r>
      <w:r w:rsidRPr="007762C4">
        <w:rPr>
          <w:b/>
          <w:bCs/>
          <w:rtl/>
        </w:rPr>
        <w:t>الْمَضاجِعِ</w:t>
      </w:r>
      <w:r w:rsidR="00935CC0" w:rsidRPr="00935CC0">
        <w:rPr>
          <w:rtl/>
        </w:rPr>
        <w:t>﴾</w:t>
      </w:r>
      <w:r w:rsidRPr="00815C4C">
        <w:rPr>
          <w:rFonts w:cs="Taher"/>
          <w:vertAlign w:val="superscript"/>
          <w:rtl/>
        </w:rPr>
        <w:t>(</w:t>
      </w:r>
      <w:r w:rsidRPr="00815C4C">
        <w:rPr>
          <w:rFonts w:cs="Taher"/>
          <w:vertAlign w:val="superscript"/>
          <w:rtl/>
        </w:rPr>
        <w:footnoteReference w:id="48"/>
      </w:r>
      <w:r w:rsidRPr="00815C4C">
        <w:rPr>
          <w:rFonts w:cs="Taher" w:hint="cs"/>
          <w:vertAlign w:val="superscript"/>
          <w:rtl/>
        </w:rPr>
        <w:t>)</w:t>
      </w:r>
      <w:r w:rsidRPr="00AF457A">
        <w:rPr>
          <w:rFonts w:hint="cs"/>
          <w:spacing w:val="-6"/>
          <w:rtl/>
        </w:rPr>
        <w:t>.</w:t>
      </w:r>
    </w:p>
    <w:p w:rsidR="00540F0B" w:rsidRPr="00600C42" w:rsidRDefault="00540F0B" w:rsidP="00CC7B0F">
      <w:pPr>
        <w:pStyle w:val="ac"/>
        <w:spacing w:line="202" w:lineRule="auto"/>
        <w:rPr>
          <w:rtl/>
        </w:rPr>
      </w:pPr>
      <w:r w:rsidRPr="00600C42">
        <w:rPr>
          <w:rFonts w:hint="cs"/>
          <w:rtl/>
        </w:rPr>
        <w:t>كما يشكّل الدعاء أيضاً ركناً أساسياً، سواء الدعوات في صلواتها أو خارج الصلوات.</w:t>
      </w:r>
    </w:p>
    <w:p w:rsidR="00540F0B" w:rsidRPr="00E14ED6" w:rsidRDefault="00540F0B" w:rsidP="00CC7B0F">
      <w:pPr>
        <w:pStyle w:val="ac"/>
        <w:spacing w:line="202" w:lineRule="auto"/>
        <w:rPr>
          <w:rtl/>
        </w:rPr>
      </w:pPr>
      <w:r w:rsidRPr="007762C4">
        <w:rPr>
          <w:rFonts w:hint="cs"/>
          <w:b/>
          <w:bCs/>
          <w:rtl/>
        </w:rPr>
        <w:t>ـ تلاوة القرآن الكريم:</w:t>
      </w:r>
      <w:r w:rsidRPr="0027104E">
        <w:rPr>
          <w:rFonts w:cs="Traditional Arabic" w:hint="cs"/>
          <w:b/>
          <w:rtl/>
        </w:rPr>
        <w:t xml:space="preserve"> </w:t>
      </w:r>
      <w:r w:rsidRPr="00E14ED6">
        <w:rPr>
          <w:rFonts w:hint="cs"/>
          <w:rtl/>
        </w:rPr>
        <w:t>والحقيقة أنّ تلاوة القرآن إذا ما أدّيت بشروطها فإنّها تلعب دوراً هاماً في تربية النفس. إنّ التلاوة الحقّة تعدّ الأرضية المناسبة لمخاطبة الإنسان ربه وخالقه، وقد ورد عن الصادق</w:t>
      </w:r>
      <w:r w:rsidR="00B44161">
        <w:rPr>
          <w:rFonts w:hint="cs"/>
          <w:rtl/>
        </w:rPr>
        <w:t>×</w:t>
      </w:r>
      <w:r w:rsidRPr="00E14ED6">
        <w:rPr>
          <w:rFonts w:hint="cs"/>
          <w:rtl/>
        </w:rPr>
        <w:t xml:space="preserve"> أنّ الله عزوجل أشار إلى ذلك في كتابه العزيز ولكن </w:t>
      </w:r>
      <w:r w:rsidRPr="00E14ED6">
        <w:rPr>
          <w:rFonts w:hint="cs"/>
          <w:rtl/>
        </w:rPr>
        <w:lastRenderedPageBreak/>
        <w:t>أكثر الناس لا يعقلون، ومن المؤكد أنّ العارفين يدركون تلك الحقيقة.</w:t>
      </w:r>
    </w:p>
    <w:p w:rsidR="00540F0B" w:rsidRPr="00E14ED6" w:rsidRDefault="00540F0B" w:rsidP="009156DD">
      <w:pPr>
        <w:pStyle w:val="ac"/>
        <w:spacing w:line="199" w:lineRule="auto"/>
        <w:rPr>
          <w:rtl/>
        </w:rPr>
      </w:pPr>
      <w:r w:rsidRPr="007762C4">
        <w:rPr>
          <w:rFonts w:hint="cs"/>
          <w:b/>
          <w:bCs/>
          <w:rtl/>
        </w:rPr>
        <w:t>ـ ذكر الموت:</w:t>
      </w:r>
      <w:r w:rsidRPr="00B42374">
        <w:rPr>
          <w:rFonts w:cs="Traditional Arabic" w:hint="cs"/>
          <w:b/>
          <w:rtl/>
        </w:rPr>
        <w:t xml:space="preserve"> </w:t>
      </w:r>
      <w:r w:rsidRPr="00E14ED6">
        <w:rPr>
          <w:rFonts w:hint="cs"/>
          <w:rtl/>
        </w:rPr>
        <w:t>وهو ما ركّزت عليه التعاليم القرآنية وجاء ذكره في الروايات الشريفة، لقد كانت رابعة كثيراً ما تذكر الموت. إنّ ذكرها الموت وأهواله من جهة، وحاجتها إلى الله عزوجل من جهة أخرى، قد أثّر في حركتها العرفانية وضاعف من سرعة هذه الحركة.</w:t>
      </w:r>
    </w:p>
    <w:p w:rsidR="00540F0B" w:rsidRPr="00E14ED6" w:rsidRDefault="00540F0B" w:rsidP="009156DD">
      <w:pPr>
        <w:pStyle w:val="ac"/>
        <w:rPr>
          <w:rtl/>
        </w:rPr>
      </w:pPr>
      <w:r w:rsidRPr="00E14ED6">
        <w:rPr>
          <w:rFonts w:hint="cs"/>
          <w:rtl/>
        </w:rPr>
        <w:t>وقد جاء في سيرتها أنّها صنعت من القصب ما تنشر عليه أكفانها وكان ارتفاعهُ عن الأرض ذراعين، حتى لا يغيب ذكر الموت عن خاطرها، فكانت تنظر إلى الأكفان وتبكي، ويصل بها الخوف أن تأخذها الغشية وتغيب عن الوعي، فإذا فاقت وعادت إلى رشدها ووعيها تضرّعت إلى الله، وقد أثر ذلك في عرفانها لأنها كانت تستغرق في هذه</w:t>
      </w:r>
      <w:r>
        <w:rPr>
          <w:rFonts w:hint="cs"/>
          <w:rtl/>
        </w:rPr>
        <w:t xml:space="preserve"> </w:t>
      </w:r>
      <w:r w:rsidRPr="00E14ED6">
        <w:rPr>
          <w:rFonts w:hint="cs"/>
          <w:rtl/>
        </w:rPr>
        <w:t>الحالات وتبكي وتبتهل أثناء الصلاة</w:t>
      </w:r>
      <w:r w:rsidRPr="00815C4C">
        <w:rPr>
          <w:rFonts w:cs="Taher"/>
          <w:vertAlign w:val="superscript"/>
          <w:rtl/>
        </w:rPr>
        <w:t>(</w:t>
      </w:r>
      <w:r w:rsidRPr="00815C4C">
        <w:rPr>
          <w:rFonts w:cs="Taher"/>
          <w:vertAlign w:val="superscript"/>
          <w:rtl/>
        </w:rPr>
        <w:footnoteReference w:id="49"/>
      </w:r>
      <w:r w:rsidRPr="00815C4C">
        <w:rPr>
          <w:rFonts w:cs="Taher"/>
          <w:vertAlign w:val="superscript"/>
          <w:rtl/>
        </w:rPr>
        <w:t>)</w:t>
      </w:r>
      <w:r w:rsidRPr="00E14ED6">
        <w:rPr>
          <w:rFonts w:hint="cs"/>
          <w:rtl/>
        </w:rPr>
        <w:t>.</w:t>
      </w:r>
    </w:p>
    <w:p w:rsidR="00540F0B" w:rsidRPr="00E14ED6" w:rsidRDefault="00540F0B" w:rsidP="009156DD">
      <w:pPr>
        <w:pStyle w:val="ac"/>
        <w:spacing w:line="199" w:lineRule="auto"/>
        <w:rPr>
          <w:rtl/>
        </w:rPr>
      </w:pPr>
      <w:r w:rsidRPr="00E14ED6">
        <w:rPr>
          <w:rFonts w:hint="cs"/>
          <w:rtl/>
        </w:rPr>
        <w:t>ومن هنا يمكن الاستنتاج أن في ذكر الموت عاملاً في بث الروح وتلطيف النفس، فهو من أدوات العرفان في إضفاء روح عرفانية على الصلاة، فيما تلاوة القرآن تهب الصلاة وجهاً من العشق والوجل.</w:t>
      </w:r>
    </w:p>
    <w:p w:rsidR="00540F0B" w:rsidRPr="00E14ED6" w:rsidRDefault="00540F0B" w:rsidP="009156DD">
      <w:pPr>
        <w:pStyle w:val="ac"/>
        <w:rPr>
          <w:rtl/>
        </w:rPr>
      </w:pPr>
      <w:r w:rsidRPr="00E14ED6">
        <w:rPr>
          <w:rFonts w:hint="cs"/>
          <w:rtl/>
        </w:rPr>
        <w:t xml:space="preserve">وقد ذكر المناوي في </w:t>
      </w:r>
      <w:r w:rsidR="007762C4" w:rsidRPr="00617008">
        <w:rPr>
          <w:rFonts w:hint="eastAsia"/>
          <w:rtl/>
        </w:rPr>
        <w:t>«</w:t>
      </w:r>
      <w:r w:rsidRPr="00E14ED6">
        <w:rPr>
          <w:rFonts w:hint="cs"/>
          <w:rtl/>
        </w:rPr>
        <w:t>طبقات الصوفية</w:t>
      </w:r>
      <w:r w:rsidR="007762C4" w:rsidRPr="00617008">
        <w:rPr>
          <w:rFonts w:hint="eastAsia"/>
          <w:rtl/>
        </w:rPr>
        <w:t>»</w:t>
      </w:r>
      <w:r w:rsidRPr="00E14ED6">
        <w:rPr>
          <w:rFonts w:hint="cs"/>
          <w:rtl/>
        </w:rPr>
        <w:t xml:space="preserve"> أنّ كفنها كان معها على الدوام، وكانت تبكي على سجادة الصلاة، وربّما جرت دموعها كالماء</w:t>
      </w:r>
      <w:r w:rsidRPr="00815C4C">
        <w:rPr>
          <w:rFonts w:cs="Taher"/>
          <w:vertAlign w:val="superscript"/>
          <w:rtl/>
        </w:rPr>
        <w:t>(</w:t>
      </w:r>
      <w:r w:rsidRPr="00815C4C">
        <w:rPr>
          <w:rFonts w:cs="Taher"/>
          <w:vertAlign w:val="superscript"/>
          <w:rtl/>
        </w:rPr>
        <w:footnoteReference w:id="50"/>
      </w:r>
      <w:r w:rsidRPr="00815C4C">
        <w:rPr>
          <w:rFonts w:cs="Taher"/>
          <w:vertAlign w:val="superscript"/>
          <w:rtl/>
        </w:rPr>
        <w:t>)</w:t>
      </w:r>
      <w:r w:rsidRPr="00E14ED6">
        <w:rPr>
          <w:rFonts w:hint="cs"/>
          <w:rtl/>
        </w:rPr>
        <w:t>.</w:t>
      </w:r>
    </w:p>
    <w:p w:rsidR="00540F0B" w:rsidRDefault="00540F0B" w:rsidP="009156DD">
      <w:pPr>
        <w:pStyle w:val="ac"/>
        <w:spacing w:line="199" w:lineRule="auto"/>
        <w:rPr>
          <w:b/>
          <w:bCs/>
          <w:rtl/>
        </w:rPr>
      </w:pPr>
      <w:r w:rsidRPr="00E14ED6">
        <w:rPr>
          <w:rFonts w:hint="cs"/>
          <w:rtl/>
        </w:rPr>
        <w:t xml:space="preserve">وذكر الموت لدى رابعة يكتسب أهميته لأنها تنظر إليه نظرة تختلف عن نظرات الآخرين، فالموت لدى العرفاء على أنواع ثلاثة ـ كما يقول الشبلي ـ: </w:t>
      </w:r>
      <w:r w:rsidRPr="007762C4">
        <w:rPr>
          <w:rFonts w:hint="cs"/>
          <w:b/>
          <w:bCs/>
          <w:rtl/>
        </w:rPr>
        <w:t>الموت ثلاثة: الموت في الدنيا، والموت في العقبى، والموت في المولى، فمن مات في حب الدنيا مات منافقاً، ومن مات في حب العقبى مات زاهداً، ومن مات في حب المولى مات عارفاً.</w:t>
      </w:r>
    </w:p>
    <w:p w:rsidR="007762C4" w:rsidRPr="003645EE" w:rsidRDefault="007762C4" w:rsidP="009156DD">
      <w:pPr>
        <w:pStyle w:val="afffffc"/>
        <w:rPr>
          <w:rStyle w:val="Charfb"/>
          <w:rFonts w:eastAsia="Batang"/>
          <w:rtl/>
        </w:rPr>
      </w:pPr>
    </w:p>
    <w:p w:rsidR="00540F0B" w:rsidRPr="0017088F" w:rsidRDefault="00540F0B" w:rsidP="007762C4">
      <w:pPr>
        <w:pStyle w:val="1"/>
        <w:rPr>
          <w:rtl/>
        </w:rPr>
      </w:pPr>
      <w:bookmarkStart w:id="92" w:name="_Toc169521372"/>
      <w:bookmarkStart w:id="93" w:name="_Toc275127898"/>
      <w:r w:rsidRPr="0017088F">
        <w:rPr>
          <w:rFonts w:hint="cs"/>
          <w:rtl/>
        </w:rPr>
        <w:t>الحب والخوف عن</w:t>
      </w:r>
      <w:r>
        <w:rPr>
          <w:rFonts w:hint="cs"/>
          <w:rtl/>
        </w:rPr>
        <w:t>د رابعة العدوية</w:t>
      </w:r>
      <w:bookmarkEnd w:id="92"/>
      <w:bookmarkEnd w:id="93"/>
    </w:p>
    <w:p w:rsidR="00540F0B" w:rsidRPr="00E14ED6" w:rsidRDefault="00540F0B" w:rsidP="00B44161">
      <w:pPr>
        <w:pStyle w:val="ac"/>
        <w:rPr>
          <w:rtl/>
        </w:rPr>
      </w:pPr>
      <w:r w:rsidRPr="00E14ED6">
        <w:rPr>
          <w:rFonts w:hint="cs"/>
          <w:rtl/>
        </w:rPr>
        <w:t>وفي رأي إمام العارفين سيدنا علي بن أبي طالب</w:t>
      </w:r>
      <w:r w:rsidR="00B44161">
        <w:rPr>
          <w:rFonts w:hint="cs"/>
          <w:rtl/>
        </w:rPr>
        <w:t>×</w:t>
      </w:r>
      <w:r w:rsidRPr="00E14ED6">
        <w:rPr>
          <w:rFonts w:hint="cs"/>
          <w:rtl/>
        </w:rPr>
        <w:t xml:space="preserve">: أن على الإنسان أن يأمل </w:t>
      </w:r>
      <w:r w:rsidRPr="00E14ED6">
        <w:rPr>
          <w:rFonts w:hint="cs"/>
          <w:rtl/>
        </w:rPr>
        <w:lastRenderedPageBreak/>
        <w:t>بالذي يخاف منه، وأن يلجأ إلى من بيده حياته وموته</w:t>
      </w:r>
      <w:r w:rsidRPr="00815C4C">
        <w:rPr>
          <w:rFonts w:cs="Taher"/>
          <w:vertAlign w:val="superscript"/>
          <w:rtl/>
        </w:rPr>
        <w:t>(</w:t>
      </w:r>
      <w:r w:rsidRPr="00815C4C">
        <w:rPr>
          <w:rFonts w:cs="Taher"/>
          <w:vertAlign w:val="superscript"/>
          <w:rtl/>
        </w:rPr>
        <w:footnoteReference w:id="51"/>
      </w:r>
      <w:r w:rsidRPr="00815C4C">
        <w:rPr>
          <w:rFonts w:cs="Taher"/>
          <w:vertAlign w:val="superscript"/>
          <w:rtl/>
        </w:rPr>
        <w:t>)</w:t>
      </w:r>
      <w:r w:rsidRPr="00E14ED6">
        <w:rPr>
          <w:rFonts w:hint="cs"/>
          <w:rtl/>
        </w:rPr>
        <w:t>.</w:t>
      </w:r>
    </w:p>
    <w:p w:rsidR="00540F0B" w:rsidRPr="007762C4" w:rsidRDefault="00540F0B" w:rsidP="009156DD">
      <w:pPr>
        <w:pStyle w:val="ac"/>
        <w:spacing w:line="202" w:lineRule="auto"/>
        <w:rPr>
          <w:b/>
          <w:bCs/>
          <w:rtl/>
        </w:rPr>
      </w:pPr>
      <w:r w:rsidRPr="00E14ED6">
        <w:rPr>
          <w:rFonts w:hint="cs"/>
          <w:rtl/>
        </w:rPr>
        <w:t xml:space="preserve">من هنا، يعيش العارف الكامل بحقّ بين حالتي الخوف والرجاء، فلا يغترّ بلطف الله وحبّه ولا ييأس من رحمته سبحانه، ولذا جاء في </w:t>
      </w:r>
      <w:r w:rsidRPr="007762C4">
        <w:rPr>
          <w:rFonts w:hint="cs"/>
          <w:b/>
          <w:bCs/>
          <w:rtl/>
        </w:rPr>
        <w:t xml:space="preserve">(الروض الفائق في المواعظ والرقائق): </w:t>
      </w:r>
      <w:r w:rsidRPr="00E14ED6">
        <w:rPr>
          <w:rFonts w:hint="cs"/>
          <w:rtl/>
        </w:rPr>
        <w:t xml:space="preserve">أنّ رابعة العدوية إذا حلّ وقت صلاة العشاء صعدت إلى سطح الدار وقد أحكمت إزارها وخمارها، وأتجهت إلى السماء في دعاءٍ ومناجاة وكانت تقول في مناجاتها: </w:t>
      </w:r>
      <w:r w:rsidRPr="007762C4">
        <w:rPr>
          <w:rFonts w:hint="cs"/>
          <w:b/>
          <w:bCs/>
          <w:rtl/>
        </w:rPr>
        <w:t>إلهي أذارت النجوم، ونامت العيون، وغلّقت الملوك أبوابها وخلا كلّ حبيب بحبيبه، وهذا مقامي بين يديك.</w:t>
      </w:r>
    </w:p>
    <w:p w:rsidR="00540F0B" w:rsidRPr="007762C4" w:rsidRDefault="00540F0B" w:rsidP="009156DD">
      <w:pPr>
        <w:pStyle w:val="ac"/>
        <w:spacing w:line="199" w:lineRule="auto"/>
        <w:rPr>
          <w:b/>
          <w:bCs/>
          <w:rtl/>
        </w:rPr>
      </w:pPr>
      <w:r w:rsidRPr="007762C4">
        <w:rPr>
          <w:rFonts w:hint="cs"/>
          <w:b/>
          <w:rtl/>
        </w:rPr>
        <w:t>ثم تسجد وتقبّل موضع السجود، فإذا حلّ السحر قالت:</w:t>
      </w:r>
      <w:r w:rsidRPr="00E14ED6">
        <w:rPr>
          <w:rFonts w:cs="AL-Mohanad" w:hint="cs"/>
          <w:bCs/>
          <w:sz w:val="26"/>
          <w:rtl/>
        </w:rPr>
        <w:t xml:space="preserve"> </w:t>
      </w:r>
      <w:r w:rsidRPr="007762C4">
        <w:rPr>
          <w:rFonts w:hint="cs"/>
          <w:b/>
          <w:bCs/>
          <w:rtl/>
        </w:rPr>
        <w:t>إلهي! الليل قد أدبر، وهذا النهار قد أسفر، فليت شعري! أقبلت مني ليلتي فأهنأ أم رددتها عني فأعزى؟ فوعزتك هذا دأبي ما أحييتني وأعنتني، وعزتك لو طردتني عن بابك ما برحت عنه لما وقع في قلبي من محبتك</w:t>
      </w:r>
      <w:r w:rsidRPr="00815C4C">
        <w:rPr>
          <w:rFonts w:cs="Taher"/>
          <w:vertAlign w:val="superscript"/>
          <w:rtl/>
        </w:rPr>
        <w:t>(</w:t>
      </w:r>
      <w:r w:rsidRPr="00815C4C">
        <w:rPr>
          <w:rFonts w:cs="Taher"/>
          <w:vertAlign w:val="superscript"/>
          <w:rtl/>
        </w:rPr>
        <w:footnoteReference w:id="52"/>
      </w:r>
      <w:r w:rsidRPr="00815C4C">
        <w:rPr>
          <w:rFonts w:cs="Taher"/>
          <w:vertAlign w:val="superscript"/>
          <w:rtl/>
        </w:rPr>
        <w:t>)</w:t>
      </w:r>
      <w:r w:rsidRPr="007762C4">
        <w:rPr>
          <w:rFonts w:hint="cs"/>
          <w:b/>
          <w:bCs/>
          <w:rtl/>
        </w:rPr>
        <w:t>.</w:t>
      </w:r>
    </w:p>
    <w:p w:rsidR="00540F0B" w:rsidRPr="00E14ED6" w:rsidRDefault="00540F0B" w:rsidP="008F4A1B">
      <w:pPr>
        <w:pStyle w:val="ac"/>
        <w:rPr>
          <w:rtl/>
        </w:rPr>
      </w:pPr>
      <w:r w:rsidRPr="00E14ED6">
        <w:rPr>
          <w:rFonts w:hint="cs"/>
          <w:rtl/>
        </w:rPr>
        <w:t>لقد انتهى الليل وجاء النهار ورابعة بين حالتي خوف وأمل، خوف من أنّ الله لم يتقبل منها عبادتها، ورجاء في رحمته وعفوه وعونه.. تلك هي حالة رابعة العدوية تقيم أفراحها وأتراحها ليبقى قلبها مشدوداً إلى الحبيب.</w:t>
      </w:r>
    </w:p>
    <w:p w:rsidR="00540F0B" w:rsidRPr="00E14ED6" w:rsidRDefault="00540F0B" w:rsidP="009156DD">
      <w:pPr>
        <w:pStyle w:val="ac"/>
        <w:spacing w:line="202" w:lineRule="auto"/>
        <w:rPr>
          <w:rtl/>
        </w:rPr>
      </w:pPr>
      <w:r w:rsidRPr="00E14ED6">
        <w:rPr>
          <w:rFonts w:hint="cs"/>
          <w:rtl/>
        </w:rPr>
        <w:t>إنّ أهم ما قامت به رابعة في دنيا العرفان الإسلامي كان إدخالها مفهوم العشق الإلهي في العرفان، فمن خلال دراسة أدبيات عرفانها نكتشف ـ كما يقول مصطفى عبدالرزاق ـ تأسيسها لحالة الحب الإلهي إلى جانب الحزن السائد لدى المتصوفة</w:t>
      </w:r>
      <w:r w:rsidRPr="00815C4C">
        <w:rPr>
          <w:rFonts w:cs="Taher"/>
          <w:vertAlign w:val="superscript"/>
          <w:rtl/>
        </w:rPr>
        <w:t>(</w:t>
      </w:r>
      <w:r w:rsidRPr="00815C4C">
        <w:rPr>
          <w:rFonts w:cs="Taher"/>
          <w:vertAlign w:val="superscript"/>
          <w:rtl/>
        </w:rPr>
        <w:footnoteReference w:id="53"/>
      </w:r>
      <w:r w:rsidRPr="00815C4C">
        <w:rPr>
          <w:rFonts w:cs="Taher"/>
          <w:vertAlign w:val="superscript"/>
          <w:rtl/>
        </w:rPr>
        <w:t>)</w:t>
      </w:r>
      <w:r w:rsidRPr="00E14ED6">
        <w:rPr>
          <w:rFonts w:hint="cs"/>
          <w:rtl/>
        </w:rPr>
        <w:t>، ومن هنا يعدّها عبدالرزاق إمام العاشقين، فقد امتزج حبها العرفاني بحزنها الصوفي وأضحت إماماً للعارفين المهمومين.</w:t>
      </w:r>
    </w:p>
    <w:p w:rsidR="00540F0B" w:rsidRPr="00E14ED6" w:rsidRDefault="00540F0B" w:rsidP="008F4A1B">
      <w:pPr>
        <w:pStyle w:val="ac"/>
        <w:rPr>
          <w:rtl/>
        </w:rPr>
      </w:pPr>
      <w:r w:rsidRPr="00E14ED6">
        <w:rPr>
          <w:rFonts w:hint="cs"/>
          <w:rtl/>
        </w:rPr>
        <w:t xml:space="preserve">لقد اشتهرت رابعة بكثرة البكاء، وكان الخوف من الله يغمر كيانها بأسره، ويقال: إنها سمعت أحدهم يتلو القرآن، فما أن ورد ذكر النار حتى صاحت صيحة ووقعت </w:t>
      </w:r>
      <w:r w:rsidRPr="00E14ED6">
        <w:rPr>
          <w:rFonts w:hint="cs"/>
          <w:rtl/>
        </w:rPr>
        <w:lastRenderedPageBreak/>
        <w:t>مغشيّةً عليها فاقدةً لوعيها. وكانت حالة الخوف الإلهي تغمرها قتقيم الليل بالعبادة والدعاء والمناجاة إلى أن يطلع الفجر</w:t>
      </w:r>
      <w:r w:rsidRPr="00815C4C">
        <w:rPr>
          <w:rFonts w:cs="Taher"/>
          <w:vertAlign w:val="superscript"/>
          <w:rtl/>
        </w:rPr>
        <w:t>(</w:t>
      </w:r>
      <w:r w:rsidRPr="00815C4C">
        <w:rPr>
          <w:rFonts w:cs="Taher"/>
          <w:vertAlign w:val="superscript"/>
          <w:rtl/>
        </w:rPr>
        <w:footnoteReference w:id="54"/>
      </w:r>
      <w:r w:rsidRPr="00815C4C">
        <w:rPr>
          <w:rFonts w:cs="Taher"/>
          <w:vertAlign w:val="superscript"/>
          <w:rtl/>
        </w:rPr>
        <w:t>)</w:t>
      </w:r>
      <w:r w:rsidRPr="00E14ED6">
        <w:rPr>
          <w:rFonts w:hint="cs"/>
          <w:rtl/>
        </w:rPr>
        <w:t>.</w:t>
      </w:r>
    </w:p>
    <w:p w:rsidR="00540F0B" w:rsidRPr="00E14ED6" w:rsidRDefault="00540F0B" w:rsidP="009156DD">
      <w:pPr>
        <w:pStyle w:val="ac"/>
        <w:spacing w:line="211" w:lineRule="auto"/>
        <w:rPr>
          <w:rtl/>
        </w:rPr>
      </w:pPr>
      <w:r w:rsidRPr="00E14ED6">
        <w:rPr>
          <w:rFonts w:hint="cs"/>
          <w:rtl/>
        </w:rPr>
        <w:t>وقد جاء في سيرتها أن أحدهم أراد إهداءها أربعين ديناراً تسدّ بها حاجتها، فبكت رابعة ونظرت إلى السماء وقالت: هو يعلم أني استحي منه أن أسأله الدنيا وهو يملكها، فكيف أريد أن أجدها ممن لا يملكها؟!</w:t>
      </w:r>
      <w:r w:rsidRPr="00815C4C">
        <w:rPr>
          <w:rFonts w:cs="Taher"/>
          <w:vertAlign w:val="superscript"/>
          <w:rtl/>
        </w:rPr>
        <w:t>(</w:t>
      </w:r>
      <w:r w:rsidRPr="00815C4C">
        <w:rPr>
          <w:rFonts w:cs="Taher"/>
          <w:vertAlign w:val="superscript"/>
          <w:rtl/>
        </w:rPr>
        <w:footnoteReference w:id="55"/>
      </w:r>
      <w:r w:rsidRPr="00815C4C">
        <w:rPr>
          <w:rFonts w:cs="Taher"/>
          <w:vertAlign w:val="superscript"/>
          <w:rtl/>
        </w:rPr>
        <w:t>)</w:t>
      </w:r>
      <w:r w:rsidRPr="00E14ED6">
        <w:rPr>
          <w:rFonts w:hint="cs"/>
          <w:rtl/>
        </w:rPr>
        <w:t>.</w:t>
      </w:r>
    </w:p>
    <w:p w:rsidR="00540F0B" w:rsidRPr="00E14ED6" w:rsidRDefault="00540F0B" w:rsidP="009156DD">
      <w:pPr>
        <w:pStyle w:val="ac"/>
        <w:spacing w:line="211" w:lineRule="auto"/>
        <w:rPr>
          <w:rtl/>
        </w:rPr>
      </w:pPr>
      <w:r w:rsidRPr="00E14ED6">
        <w:rPr>
          <w:rFonts w:hint="cs"/>
          <w:rtl/>
        </w:rPr>
        <w:t>وقد أضافت تجربة رابعة في العرفان مفردات لم تكن مألوفة لدى الصوفية قبلها؛ إذ أدخلت مفردات الجمال والحب وأكّدت عليها، فهي على خلاف المتصوفة الذين أعرضوا عن جمال العالم، راحت تسبح بعقلها وقلبها تتأمل هذا الجمال الذي هو إشعاع من جمال الحق، فالجمال الذي كان قلبها يطوف به لا يقتصر على الجمال الظاهري وإنما غاصت في جمال الباطن.</w:t>
      </w:r>
    </w:p>
    <w:p w:rsidR="00540F0B" w:rsidRDefault="00540F0B" w:rsidP="009156DD">
      <w:pPr>
        <w:pStyle w:val="ac"/>
        <w:spacing w:line="211" w:lineRule="auto"/>
        <w:rPr>
          <w:rtl/>
        </w:rPr>
      </w:pPr>
      <w:r w:rsidRPr="00E14ED6">
        <w:rPr>
          <w:rFonts w:hint="cs"/>
          <w:rtl/>
        </w:rPr>
        <w:t>جاء في سيرتها أن خادمتها خاطبتها يوماً قائلة: أخرجي حتى تري آثار الله. فقالت رابعة: بل ادخلي حتى تري الله.</w:t>
      </w:r>
    </w:p>
    <w:p w:rsidR="00540F0B" w:rsidRPr="00E14ED6" w:rsidRDefault="00540F0B" w:rsidP="009156DD">
      <w:pPr>
        <w:pStyle w:val="ac"/>
        <w:spacing w:line="211" w:lineRule="auto"/>
        <w:rPr>
          <w:rtl/>
        </w:rPr>
      </w:pPr>
      <w:r w:rsidRPr="00E14ED6">
        <w:rPr>
          <w:rFonts w:hint="cs"/>
          <w:rtl/>
        </w:rPr>
        <w:t>ومن أجل لقاء الله كانت رابعة تبكي بكاء العاشقين، وكانت حياتها البسيطة تعبيراً عن زهدها بالدنيا.</w:t>
      </w:r>
    </w:p>
    <w:p w:rsidR="00540F0B" w:rsidRPr="00E14ED6" w:rsidRDefault="00540F0B" w:rsidP="009156DD">
      <w:pPr>
        <w:pStyle w:val="ac"/>
        <w:rPr>
          <w:rtl/>
        </w:rPr>
      </w:pPr>
      <w:r w:rsidRPr="00E14ED6">
        <w:rPr>
          <w:rFonts w:hint="cs"/>
          <w:rtl/>
        </w:rPr>
        <w:t>لقد كانت تجربة رابعة نقطة انعطاف في حركة التصوف الإسلامي الذي خرج على يديها من حالة الزهد الجاف الذي ينهض على الخوف والخشية إلى عرفان مفعم بالعشق والحب الإلهي</w:t>
      </w:r>
      <w:r w:rsidRPr="00815C4C">
        <w:rPr>
          <w:rFonts w:cs="Taher"/>
          <w:vertAlign w:val="superscript"/>
          <w:rtl/>
        </w:rPr>
        <w:t>(</w:t>
      </w:r>
      <w:r w:rsidRPr="00815C4C">
        <w:rPr>
          <w:rFonts w:cs="Taher"/>
          <w:vertAlign w:val="superscript"/>
          <w:rtl/>
        </w:rPr>
        <w:footnoteReference w:id="56"/>
      </w:r>
      <w:r w:rsidRPr="00815C4C">
        <w:rPr>
          <w:rFonts w:cs="Taher"/>
          <w:vertAlign w:val="superscript"/>
          <w:rtl/>
        </w:rPr>
        <w:t>)</w:t>
      </w:r>
      <w:r w:rsidRPr="00E14ED6">
        <w:rPr>
          <w:rFonts w:hint="cs"/>
          <w:rtl/>
        </w:rPr>
        <w:t>.</w:t>
      </w:r>
    </w:p>
    <w:p w:rsidR="00540F0B" w:rsidRPr="00E14ED6" w:rsidRDefault="00540F0B" w:rsidP="009156DD">
      <w:pPr>
        <w:pStyle w:val="ac"/>
        <w:rPr>
          <w:rtl/>
        </w:rPr>
      </w:pPr>
      <w:r w:rsidRPr="00E14ED6">
        <w:rPr>
          <w:rFonts w:hint="cs"/>
          <w:rtl/>
        </w:rPr>
        <w:t xml:space="preserve">ومن كلماتها في الحب الإلهي ما يجعل المرء يضيع في ذلك القلب الطاهر المفعم بالحب، حبّ الإنسانية والخير للجميع: سأذهب وأشعل النيران في الجنان... وأفيض الماء في الجحيم، وأرفع هذين الحجابين عن طريق السالكين لينجلي أمام الجميع ذلك </w:t>
      </w:r>
      <w:r w:rsidRPr="00E14ED6">
        <w:rPr>
          <w:rFonts w:hint="cs"/>
          <w:rtl/>
        </w:rPr>
        <w:lastRenderedPageBreak/>
        <w:t>المعين، وتكون عبادة العابدين لا أملاً بالجنة ولا خوفاً من عذاب الجحيم</w:t>
      </w:r>
      <w:r w:rsidRPr="00815C4C">
        <w:rPr>
          <w:rFonts w:cs="Taher"/>
          <w:vertAlign w:val="superscript"/>
          <w:rtl/>
        </w:rPr>
        <w:t>(</w:t>
      </w:r>
      <w:r w:rsidRPr="00815C4C">
        <w:rPr>
          <w:rFonts w:cs="Taher"/>
          <w:vertAlign w:val="superscript"/>
          <w:rtl/>
        </w:rPr>
        <w:footnoteReference w:id="57"/>
      </w:r>
      <w:r w:rsidRPr="00815C4C">
        <w:rPr>
          <w:rFonts w:cs="Taher"/>
          <w:vertAlign w:val="superscript"/>
          <w:rtl/>
        </w:rPr>
        <w:t>)</w:t>
      </w:r>
      <w:r w:rsidRPr="00E14ED6">
        <w:rPr>
          <w:rFonts w:hint="cs"/>
          <w:rtl/>
        </w:rPr>
        <w:t>.</w:t>
      </w:r>
    </w:p>
    <w:p w:rsidR="00540F0B" w:rsidRPr="00E14ED6" w:rsidRDefault="00540F0B" w:rsidP="008F4A1B">
      <w:pPr>
        <w:pStyle w:val="ac"/>
        <w:rPr>
          <w:rtl/>
        </w:rPr>
      </w:pPr>
      <w:r w:rsidRPr="00E14ED6">
        <w:rPr>
          <w:rFonts w:hint="cs"/>
          <w:rtl/>
        </w:rPr>
        <w:t>والحب في تجربة رابعة ركن أساسي حيث الله عزوجل هو المحبوب والمؤنس، وقد نسب إليها هذا الغزل المفعم بالحب الإلهي، تقول رابعة:</w:t>
      </w:r>
    </w:p>
    <w:p w:rsidR="00540F0B" w:rsidRPr="008F4A1B" w:rsidRDefault="00540F0B" w:rsidP="008F4A1B">
      <w:pPr>
        <w:pStyle w:val="ac"/>
        <w:rPr>
          <w:b/>
          <w:bCs/>
          <w:rtl/>
        </w:rPr>
      </w:pPr>
      <w:r w:rsidRPr="008F4A1B">
        <w:rPr>
          <w:rFonts w:hint="cs"/>
          <w:b/>
          <w:bCs/>
          <w:rtl/>
        </w:rPr>
        <w:t>إني جعلتك في الفؤاد محدثي</w:t>
      </w:r>
    </w:p>
    <w:p w:rsidR="00540F0B" w:rsidRPr="008F4A1B" w:rsidRDefault="00540F0B" w:rsidP="008F4A1B">
      <w:pPr>
        <w:pStyle w:val="ac"/>
        <w:rPr>
          <w:rFonts w:cs="Badr"/>
          <w:b/>
          <w:bCs/>
          <w:szCs w:val="26"/>
          <w:rtl/>
        </w:rPr>
      </w:pPr>
      <w:r w:rsidRPr="008F4A1B">
        <w:rPr>
          <w:rFonts w:hint="cs"/>
          <w:b/>
          <w:bCs/>
          <w:rtl/>
        </w:rPr>
        <w:t>وأبحت جسمي من أراد جلوسي</w:t>
      </w:r>
      <w:r w:rsidRPr="00815C4C">
        <w:rPr>
          <w:rFonts w:cs="Taher"/>
          <w:vertAlign w:val="superscript"/>
          <w:rtl/>
        </w:rPr>
        <w:t>(</w:t>
      </w:r>
      <w:r w:rsidRPr="00815C4C">
        <w:rPr>
          <w:rFonts w:cs="Taher"/>
          <w:vertAlign w:val="superscript"/>
          <w:rtl/>
        </w:rPr>
        <w:footnoteReference w:id="58"/>
      </w:r>
      <w:r w:rsidRPr="00815C4C">
        <w:rPr>
          <w:rFonts w:cs="Taher"/>
          <w:vertAlign w:val="superscript"/>
          <w:rtl/>
        </w:rPr>
        <w:t>)</w:t>
      </w:r>
    </w:p>
    <w:p w:rsidR="00540F0B" w:rsidRPr="008F4A1B" w:rsidRDefault="00540F0B" w:rsidP="008F4A1B">
      <w:pPr>
        <w:pStyle w:val="ac"/>
        <w:rPr>
          <w:b/>
          <w:bCs/>
          <w:rtl/>
        </w:rPr>
      </w:pPr>
      <w:r w:rsidRPr="008F4A1B">
        <w:rPr>
          <w:rFonts w:hint="cs"/>
          <w:b/>
          <w:bCs/>
          <w:rtl/>
        </w:rPr>
        <w:t>فالجسم مني للجليس مؤانسي</w:t>
      </w:r>
    </w:p>
    <w:p w:rsidR="00540F0B" w:rsidRPr="008F4A1B" w:rsidRDefault="00540F0B" w:rsidP="008F4A1B">
      <w:pPr>
        <w:pStyle w:val="ac"/>
        <w:rPr>
          <w:rFonts w:cs="Badr"/>
          <w:b/>
          <w:bCs/>
          <w:szCs w:val="26"/>
          <w:rtl/>
        </w:rPr>
      </w:pPr>
      <w:r w:rsidRPr="008F4A1B">
        <w:rPr>
          <w:rFonts w:hint="cs"/>
          <w:b/>
          <w:bCs/>
          <w:rtl/>
        </w:rPr>
        <w:t>وحبيب قلبي في الفؤاد أنيسي</w:t>
      </w:r>
      <w:r w:rsidRPr="00815C4C">
        <w:rPr>
          <w:rFonts w:cs="Taher"/>
          <w:vertAlign w:val="superscript"/>
          <w:rtl/>
        </w:rPr>
        <w:t>(</w:t>
      </w:r>
      <w:r w:rsidRPr="00815C4C">
        <w:rPr>
          <w:rFonts w:cs="Taher"/>
          <w:vertAlign w:val="superscript"/>
          <w:rtl/>
        </w:rPr>
        <w:footnoteReference w:id="59"/>
      </w:r>
      <w:r w:rsidRPr="00815C4C">
        <w:rPr>
          <w:rFonts w:cs="Taher"/>
          <w:vertAlign w:val="superscript"/>
          <w:rtl/>
        </w:rPr>
        <w:t>)</w:t>
      </w:r>
    </w:p>
    <w:p w:rsidR="00540F0B" w:rsidRPr="00E14ED6" w:rsidRDefault="00540F0B" w:rsidP="008F4A1B">
      <w:pPr>
        <w:pStyle w:val="ac"/>
        <w:rPr>
          <w:rtl/>
        </w:rPr>
      </w:pPr>
      <w:r w:rsidRPr="00E14ED6">
        <w:rPr>
          <w:rFonts w:hint="cs"/>
          <w:rtl/>
        </w:rPr>
        <w:t>وبالرغم من أن رابعة العدوية كانت رائدة الحبّ في العرفان الإسلامي، لكن حبها لله وعشقها الذي تجلّى في تجربتها لم يُنسها الخوف والخشية من الله عزوجل.</w:t>
      </w:r>
    </w:p>
    <w:p w:rsidR="00540F0B" w:rsidRPr="00E14ED6" w:rsidRDefault="00540F0B" w:rsidP="008F4A1B">
      <w:pPr>
        <w:pStyle w:val="ac"/>
        <w:rPr>
          <w:rtl/>
        </w:rPr>
      </w:pPr>
      <w:r w:rsidRPr="00E14ED6">
        <w:rPr>
          <w:rFonts w:hint="cs"/>
          <w:rtl/>
        </w:rPr>
        <w:t xml:space="preserve">ولذا جاء في سيرتها أنها كثيراً ما تبكي وتذرف الدموع وتغمرها حالة من الذهول وهي تقول: </w:t>
      </w:r>
      <w:r w:rsidRPr="008F4A1B">
        <w:rPr>
          <w:rFonts w:hint="cs"/>
          <w:b/>
          <w:bCs/>
          <w:rtl/>
        </w:rPr>
        <w:t>استغفارنا يحتاج إلى استغفار</w:t>
      </w:r>
      <w:r w:rsidRPr="00815C4C">
        <w:rPr>
          <w:rFonts w:cs="Taher"/>
          <w:vertAlign w:val="superscript"/>
          <w:rtl/>
        </w:rPr>
        <w:t>(</w:t>
      </w:r>
      <w:r w:rsidRPr="00815C4C">
        <w:rPr>
          <w:rFonts w:cs="Taher"/>
          <w:vertAlign w:val="superscript"/>
          <w:rtl/>
        </w:rPr>
        <w:footnoteReference w:id="60"/>
      </w:r>
      <w:r w:rsidRPr="00815C4C">
        <w:rPr>
          <w:rFonts w:cs="Taher"/>
          <w:vertAlign w:val="superscript"/>
          <w:rtl/>
        </w:rPr>
        <w:t>)</w:t>
      </w:r>
      <w:r w:rsidRPr="00E14ED6">
        <w:rPr>
          <w:rFonts w:hint="cs"/>
          <w:rtl/>
        </w:rPr>
        <w:t>، وهذا ما يؤكّد عمق خشيتها من الله تبارك وتعالى ويعكس أوج معرفتها.</w:t>
      </w:r>
    </w:p>
    <w:p w:rsidR="00540F0B" w:rsidRPr="00B102A4" w:rsidRDefault="00540F0B" w:rsidP="00350F90">
      <w:pPr>
        <w:pStyle w:val="ac"/>
        <w:rPr>
          <w:rFonts w:cs="Traditional Arabic"/>
          <w:b/>
          <w:szCs w:val="32"/>
          <w:rtl/>
        </w:rPr>
      </w:pPr>
      <w:r w:rsidRPr="00E14ED6">
        <w:rPr>
          <w:rFonts w:hint="cs"/>
          <w:rtl/>
        </w:rPr>
        <w:t>وفي توضيح العبارة آنفة الذكر يقول آية الله الشيخ جوادي الآملي العارف المعاصر: إنّ دعاء رابعة في الحقيقة ترجمة لدعاء الإمام الحسين</w:t>
      </w:r>
      <w:r w:rsidR="00350F90">
        <w:rPr>
          <w:rFonts w:hint="cs"/>
          <w:rtl/>
        </w:rPr>
        <w:t>×</w:t>
      </w:r>
      <w:r w:rsidRPr="00E14ED6">
        <w:rPr>
          <w:rFonts w:hint="cs"/>
          <w:rtl/>
        </w:rPr>
        <w:t xml:space="preserve"> في يوم عرفة، إذ يقول</w:t>
      </w:r>
      <w:r w:rsidR="00350F90">
        <w:rPr>
          <w:rFonts w:hint="cs"/>
          <w:rtl/>
        </w:rPr>
        <w:t>×</w:t>
      </w:r>
      <w:r w:rsidRPr="00E14ED6">
        <w:rPr>
          <w:rFonts w:hint="cs"/>
          <w:rtl/>
        </w:rPr>
        <w:t>: (</w:t>
      </w:r>
      <w:r w:rsidRPr="00767F05">
        <w:rPr>
          <w:rFonts w:cs="Traditional Arabic" w:hint="cs"/>
          <w:b/>
          <w:szCs w:val="32"/>
          <w:rtl/>
        </w:rPr>
        <w:t>إلهي من كانت محاسنه مساوئ، فكيف لا تكون مساوؤه مساوئ؟!</w:t>
      </w:r>
      <w:r w:rsidRPr="00E14ED6">
        <w:rPr>
          <w:rFonts w:hint="cs"/>
          <w:rtl/>
        </w:rPr>
        <w:t>).</w:t>
      </w:r>
    </w:p>
    <w:p w:rsidR="00540F0B" w:rsidRPr="00E14ED6" w:rsidRDefault="00540F0B" w:rsidP="008F4A1B">
      <w:pPr>
        <w:pStyle w:val="ac"/>
        <w:rPr>
          <w:rtl/>
        </w:rPr>
      </w:pPr>
      <w:r w:rsidRPr="00E14ED6">
        <w:rPr>
          <w:rFonts w:hint="cs"/>
          <w:rtl/>
        </w:rPr>
        <w:t xml:space="preserve">والمنـزلة التي بلغتها رابعة جعلتها تشعر بالغنى التام عن الناس، فكانت تردّ المنح والهبات التي تصلها وتقول: </w:t>
      </w:r>
      <w:r w:rsidRPr="00B44161">
        <w:rPr>
          <w:rFonts w:hint="cs"/>
          <w:b/>
          <w:bCs/>
          <w:rtl/>
        </w:rPr>
        <w:t>مالي حاجة بالدنيا.</w:t>
      </w:r>
      <w:r w:rsidRPr="00E14ED6">
        <w:rPr>
          <w:rFonts w:hint="cs"/>
          <w:rtl/>
        </w:rPr>
        <w:t xml:space="preserve"> إنّ مصدر هذا الشعور الطافح بالغنى العرفاني هو حبها وعشقها الشديدين لله عزوجل وحالات الحزن والخوف التي تستغرقها من البارئ تعالى، ومع كل هذا فهي تنوح قائلة: </w:t>
      </w:r>
      <w:r w:rsidRPr="009156DD">
        <w:rPr>
          <w:rFonts w:hint="cs"/>
          <w:b/>
          <w:bCs/>
          <w:rtl/>
        </w:rPr>
        <w:t>وا قلّة حزناه.</w:t>
      </w:r>
      <w:r w:rsidRPr="00E14ED6">
        <w:rPr>
          <w:rFonts w:hint="cs"/>
          <w:rtl/>
        </w:rPr>
        <w:t xml:space="preserve"> فرابعة في تجربتها العرفانية الفريدة كانت نتاج الحب والخوف والرجاء معاً.</w:t>
      </w:r>
    </w:p>
    <w:p w:rsidR="00540F0B" w:rsidRPr="008F4A1B" w:rsidRDefault="00540F0B" w:rsidP="009156DD">
      <w:pPr>
        <w:pStyle w:val="ac"/>
        <w:spacing w:line="199" w:lineRule="auto"/>
        <w:rPr>
          <w:b/>
          <w:bCs/>
          <w:rtl/>
        </w:rPr>
      </w:pPr>
      <w:r w:rsidRPr="00E14ED6">
        <w:rPr>
          <w:rFonts w:hint="cs"/>
          <w:rtl/>
        </w:rPr>
        <w:lastRenderedPageBreak/>
        <w:t>من هنا، كانت تحرص دائماً على كتمان حسناتها، وتوصي الآخرين بستر أعمالهم الحسنة، كما يستر المرء سيئاته وذنوبه وآثامه، ذلك أن الجهر بالحسنات وإظهارها لن يجعل المرء في مأمن من التظاهر والرياء والتباهي وحب الثناء. يقول الشيخ جوادي الآملي:</w:t>
      </w:r>
      <w:r w:rsidRPr="00767F05">
        <w:rPr>
          <w:rFonts w:cs="Traditional Arabic" w:hint="cs"/>
          <w:b/>
          <w:szCs w:val="32"/>
          <w:rtl/>
        </w:rPr>
        <w:t xml:space="preserve"> </w:t>
      </w:r>
      <w:r w:rsidRPr="008F4A1B">
        <w:rPr>
          <w:rFonts w:hint="cs"/>
          <w:b/>
          <w:bCs/>
          <w:rtl/>
        </w:rPr>
        <w:t>إنّ رابعة من السيدات اللائي كنّ يحيين الليل بالعبادة، وقال بعضهم: كنت أدعو لرابعة العدوية رضوان الله عليها فرأيتها في عالم الرؤيا تقول: هدايا تأتينا على أطباق من نور.</w:t>
      </w:r>
    </w:p>
    <w:p w:rsidR="00540F0B" w:rsidRPr="00E14ED6" w:rsidRDefault="00540F0B" w:rsidP="009156DD">
      <w:pPr>
        <w:pStyle w:val="ac"/>
        <w:spacing w:line="199" w:lineRule="auto"/>
        <w:rPr>
          <w:rFonts w:cs="AL-Mohanad"/>
          <w:sz w:val="26"/>
          <w:rtl/>
        </w:rPr>
      </w:pPr>
      <w:r w:rsidRPr="008F4A1B">
        <w:rPr>
          <w:rFonts w:hint="cs"/>
          <w:rtl/>
        </w:rPr>
        <w:t>وربما أنّبت نفسها قائلة:</w:t>
      </w:r>
      <w:r w:rsidRPr="00E14ED6">
        <w:rPr>
          <w:rFonts w:cs="AL-Mohanad" w:hint="cs"/>
          <w:sz w:val="26"/>
          <w:rtl/>
        </w:rPr>
        <w:t xml:space="preserve"> </w:t>
      </w:r>
      <w:r w:rsidRPr="008F4A1B">
        <w:rPr>
          <w:rFonts w:hint="cs"/>
          <w:b/>
          <w:bCs/>
          <w:rtl/>
        </w:rPr>
        <w:t xml:space="preserve">يا نفس! كم تنامين وإلى كم تنامين، يوشك أن تنامي نومة لا تقومين منها الاّ لصرخة يوم النشور. </w:t>
      </w:r>
      <w:r w:rsidRPr="009156DD">
        <w:rPr>
          <w:rFonts w:hint="cs"/>
          <w:b/>
          <w:bCs/>
          <w:sz w:val="29"/>
          <w:szCs w:val="29"/>
          <w:rtl/>
        </w:rPr>
        <w:t>وكانت تناجي ربها في منتصف الليل قائلة: اللهي! ما عبدتك خوفاً من نارك ولا طمعاً في جنتك، بل حباً لك وقصداً للقاء وجهك</w:t>
      </w:r>
      <w:r w:rsidRPr="009156DD">
        <w:rPr>
          <w:rFonts w:cs="Taher"/>
          <w:sz w:val="29"/>
          <w:szCs w:val="29"/>
          <w:vertAlign w:val="superscript"/>
          <w:rtl/>
        </w:rPr>
        <w:t>(</w:t>
      </w:r>
      <w:r w:rsidRPr="009156DD">
        <w:rPr>
          <w:rFonts w:cs="Taher"/>
          <w:sz w:val="29"/>
          <w:szCs w:val="29"/>
          <w:vertAlign w:val="superscript"/>
          <w:rtl/>
        </w:rPr>
        <w:footnoteReference w:id="61"/>
      </w:r>
      <w:r w:rsidRPr="009156DD">
        <w:rPr>
          <w:rFonts w:cs="Taher"/>
          <w:sz w:val="29"/>
          <w:szCs w:val="29"/>
          <w:vertAlign w:val="superscript"/>
          <w:rtl/>
        </w:rPr>
        <w:t>)</w:t>
      </w:r>
      <w:r w:rsidRPr="009156DD">
        <w:rPr>
          <w:rFonts w:hint="cs"/>
          <w:b/>
          <w:bCs/>
          <w:sz w:val="29"/>
          <w:szCs w:val="29"/>
          <w:rtl/>
        </w:rPr>
        <w:t>.</w:t>
      </w:r>
    </w:p>
    <w:p w:rsidR="00540F0B" w:rsidRPr="00E14ED6" w:rsidRDefault="00540F0B" w:rsidP="009156DD">
      <w:pPr>
        <w:pStyle w:val="ac"/>
        <w:spacing w:line="199" w:lineRule="auto"/>
        <w:rPr>
          <w:rtl/>
        </w:rPr>
      </w:pPr>
      <w:r w:rsidRPr="00E14ED6">
        <w:rPr>
          <w:rFonts w:hint="cs"/>
          <w:rtl/>
        </w:rPr>
        <w:t>وجاء في سيرتها: أنّ سفيان جلس عندها ذات يوم ومدّ كفّيه قائلاً: اللهم إنّي أسألك السلامة، فبكت رابعة، فقال سفيان: مالذي يبكيك؟ قالت: كلامك أبكاني، قال سفيان: ولمَ؟ قالت:</w:t>
      </w:r>
      <w:r w:rsidRPr="00767F05">
        <w:rPr>
          <w:rFonts w:cs="Traditional Arabic" w:hint="cs"/>
          <w:b/>
          <w:szCs w:val="32"/>
          <w:rtl/>
        </w:rPr>
        <w:t xml:space="preserve"> </w:t>
      </w:r>
      <w:r w:rsidRPr="008F4A1B">
        <w:rPr>
          <w:rFonts w:hint="cs"/>
          <w:b/>
          <w:bCs/>
          <w:rtl/>
        </w:rPr>
        <w:t>أما تعلم أن السلامة في الدنيا ترك الدنيا؟ وأنت بها مبتلى.</w:t>
      </w:r>
    </w:p>
    <w:p w:rsidR="00540F0B" w:rsidRPr="00E14ED6" w:rsidRDefault="00540F0B" w:rsidP="00540F0B">
      <w:pPr>
        <w:pStyle w:val="ac"/>
        <w:rPr>
          <w:rtl/>
        </w:rPr>
      </w:pPr>
      <w:r w:rsidRPr="00E14ED6">
        <w:rPr>
          <w:rFonts w:hint="cs"/>
          <w:rtl/>
        </w:rPr>
        <w:t>وبالرغم من أن عرفان رابعة ينهض أساساً على الخوف من الله عزوجل، ولكن ذلك لم ينسها أيضاً الحب الإلهي.</w:t>
      </w:r>
    </w:p>
    <w:p w:rsidR="00540F0B" w:rsidRPr="008B5CE7" w:rsidRDefault="00540F0B" w:rsidP="008F4A1B">
      <w:pPr>
        <w:pStyle w:val="ac"/>
        <w:rPr>
          <w:rStyle w:val="Charfb"/>
          <w:rFonts w:eastAsia="Batang"/>
          <w:rtl/>
        </w:rPr>
      </w:pPr>
      <w:r w:rsidRPr="008F4A1B">
        <w:rPr>
          <w:rFonts w:hint="cs"/>
          <w:rtl/>
        </w:rPr>
        <w:t>سألها سفيان ذات مرّة عن أفضل ما يتقرب به العبد إلى ربه فقالت:</w:t>
      </w:r>
      <w:r w:rsidRPr="00E14ED6">
        <w:rPr>
          <w:rFonts w:cs="AL-Mohanad" w:hint="cs"/>
          <w:bCs/>
          <w:sz w:val="26"/>
          <w:rtl/>
        </w:rPr>
        <w:t xml:space="preserve"> </w:t>
      </w:r>
      <w:r w:rsidRPr="008F4A1B">
        <w:rPr>
          <w:rFonts w:hint="cs"/>
          <w:b/>
          <w:bCs/>
          <w:rtl/>
        </w:rPr>
        <w:t>أن يعلم أنّه لا يحب أحداً في الدنيا والآخرة إلاّ الله.</w:t>
      </w:r>
    </w:p>
    <w:p w:rsidR="00540F0B" w:rsidRPr="00E14ED6" w:rsidRDefault="00540F0B" w:rsidP="009156DD">
      <w:pPr>
        <w:pStyle w:val="ac"/>
        <w:spacing w:line="199" w:lineRule="auto"/>
        <w:rPr>
          <w:rtl/>
        </w:rPr>
      </w:pPr>
      <w:r w:rsidRPr="00E14ED6">
        <w:rPr>
          <w:rFonts w:hint="cs"/>
          <w:rtl/>
        </w:rPr>
        <w:t>وفي عقيدة رابعة: أنّ أهل الحزن والخوف في الدنيا لا ينبغي لهم أن يذوقوا من حلاوتها شيئاً، وقد جاء في سيرتها أن سفيان قال في حضرتها: واحزناه. فقالت:</w:t>
      </w:r>
      <w:r>
        <w:rPr>
          <w:rStyle w:val="Charfb"/>
          <w:rFonts w:eastAsia="Batang" w:hint="cs"/>
          <w:rtl/>
        </w:rPr>
        <w:t xml:space="preserve"> </w:t>
      </w:r>
      <w:r w:rsidRPr="008F4A1B">
        <w:rPr>
          <w:rFonts w:hint="cs"/>
          <w:b/>
          <w:bCs/>
          <w:rtl/>
        </w:rPr>
        <w:t>كذبت، لو كنت من أهل الحزن في الدنيا ما ذقت حلاوتها</w:t>
      </w:r>
      <w:r w:rsidRPr="00815C4C">
        <w:rPr>
          <w:rFonts w:cs="Taher"/>
          <w:vertAlign w:val="superscript"/>
          <w:rtl/>
        </w:rPr>
        <w:t>(</w:t>
      </w:r>
      <w:r w:rsidRPr="00815C4C">
        <w:rPr>
          <w:rFonts w:cs="Taher"/>
          <w:vertAlign w:val="superscript"/>
          <w:rtl/>
        </w:rPr>
        <w:footnoteReference w:id="62"/>
      </w:r>
      <w:r w:rsidRPr="00815C4C">
        <w:rPr>
          <w:rFonts w:cs="Taher"/>
          <w:vertAlign w:val="superscript"/>
          <w:rtl/>
        </w:rPr>
        <w:t>)</w:t>
      </w:r>
      <w:r w:rsidRPr="008F4A1B">
        <w:rPr>
          <w:rFonts w:hint="cs"/>
          <w:b/>
          <w:bCs/>
          <w:rtl/>
        </w:rPr>
        <w:t>.</w:t>
      </w:r>
    </w:p>
    <w:p w:rsidR="00540F0B" w:rsidRPr="00E14ED6" w:rsidRDefault="00540F0B" w:rsidP="008F4A1B">
      <w:pPr>
        <w:pStyle w:val="ac"/>
        <w:rPr>
          <w:rtl/>
        </w:rPr>
      </w:pPr>
      <w:r w:rsidRPr="00E14ED6">
        <w:rPr>
          <w:rFonts w:hint="cs"/>
          <w:rtl/>
        </w:rPr>
        <w:t xml:space="preserve">وكانت رابعة تنظر إلى مستقبلها في عالم الغد ـ إضافة إلى هواجس الخوف والحزن ومفارقة المحبوب ـ أن هناك ثلاثة أشياء تراودها: الخوف من لحظة الموت، وهل ترحل عن الدنيا في سلامة من دينها أم لا؟ وهل تؤتى كتابها بيمينها أم بشمالها؟ فإذا سيقت </w:t>
      </w:r>
      <w:r w:rsidRPr="009156DD">
        <w:rPr>
          <w:rFonts w:hint="cs"/>
          <w:sz w:val="29"/>
          <w:szCs w:val="29"/>
          <w:rtl/>
        </w:rPr>
        <w:lastRenderedPageBreak/>
        <w:t>زمر أهل النار إلى الجحيم وسيقت زمر أهل الجنة إلى النعيم فمع من ستساق يومئذ؟!</w:t>
      </w:r>
      <w:r w:rsidRPr="009156DD">
        <w:rPr>
          <w:rFonts w:cs="Taher"/>
          <w:sz w:val="29"/>
          <w:szCs w:val="29"/>
          <w:vertAlign w:val="superscript"/>
          <w:rtl/>
        </w:rPr>
        <w:t>(</w:t>
      </w:r>
      <w:r w:rsidRPr="009156DD">
        <w:rPr>
          <w:rFonts w:cs="Taher"/>
          <w:sz w:val="29"/>
          <w:szCs w:val="29"/>
          <w:vertAlign w:val="superscript"/>
          <w:rtl/>
        </w:rPr>
        <w:footnoteReference w:id="63"/>
      </w:r>
      <w:r w:rsidRPr="009156DD">
        <w:rPr>
          <w:rFonts w:cs="Taher"/>
          <w:sz w:val="29"/>
          <w:szCs w:val="29"/>
          <w:vertAlign w:val="superscript"/>
          <w:rtl/>
        </w:rPr>
        <w:t>)</w:t>
      </w:r>
      <w:r w:rsidRPr="009156DD">
        <w:rPr>
          <w:rFonts w:hint="cs"/>
          <w:sz w:val="29"/>
          <w:szCs w:val="29"/>
          <w:rtl/>
        </w:rPr>
        <w:t>.</w:t>
      </w:r>
    </w:p>
    <w:p w:rsidR="00540F0B" w:rsidRPr="00E14ED6" w:rsidRDefault="00540F0B" w:rsidP="008F4A1B">
      <w:pPr>
        <w:pStyle w:val="ac"/>
        <w:rPr>
          <w:rtl/>
        </w:rPr>
      </w:pPr>
      <w:r w:rsidRPr="00E14ED6">
        <w:rPr>
          <w:rFonts w:hint="cs"/>
          <w:rtl/>
        </w:rPr>
        <w:t>وكانت رابعة كثيراً ما تترجم حالات الحزن إلى أشعارٍ رقيقة زاخرة بالحب والعشق، فتركت بذلك ميراثاً ثرّاً ينهل منه العارفون على مرّ الأيام</w:t>
      </w:r>
      <w:r w:rsidRPr="00815C4C">
        <w:rPr>
          <w:rFonts w:cs="Taher"/>
          <w:vertAlign w:val="superscript"/>
          <w:rtl/>
        </w:rPr>
        <w:t>(</w:t>
      </w:r>
      <w:r w:rsidRPr="00815C4C">
        <w:rPr>
          <w:rFonts w:cs="Taher"/>
          <w:vertAlign w:val="superscript"/>
          <w:rtl/>
        </w:rPr>
        <w:footnoteReference w:id="64"/>
      </w:r>
      <w:r w:rsidRPr="00815C4C">
        <w:rPr>
          <w:rFonts w:cs="Taher"/>
          <w:vertAlign w:val="superscript"/>
          <w:rtl/>
        </w:rPr>
        <w:t>)</w:t>
      </w:r>
      <w:r w:rsidRPr="00E14ED6">
        <w:rPr>
          <w:rFonts w:hint="cs"/>
          <w:rtl/>
        </w:rPr>
        <w:t>.</w:t>
      </w:r>
    </w:p>
    <w:p w:rsidR="00540F0B" w:rsidRDefault="00540F0B" w:rsidP="00540F0B">
      <w:pPr>
        <w:pStyle w:val="ac"/>
        <w:rPr>
          <w:rtl/>
        </w:rPr>
      </w:pPr>
      <w:r w:rsidRPr="00E14ED6">
        <w:rPr>
          <w:rFonts w:hint="cs"/>
          <w:rtl/>
        </w:rPr>
        <w:t>وجاء في سيرتها أنّه عندما توفيت زوجة الحسن البصري بعث هذا الأخير رجلاً في خطبة رابعة فردّته، ومعه هذه الأبيات التي تقول فيها:</w:t>
      </w:r>
    </w:p>
    <w:tbl>
      <w:tblPr>
        <w:bidiVisual/>
        <w:tblW w:w="0" w:type="auto"/>
        <w:jc w:val="center"/>
        <w:tblLayout w:type="fixed"/>
        <w:tblLook w:val="01E0"/>
      </w:tblPr>
      <w:tblGrid>
        <w:gridCol w:w="3296"/>
        <w:gridCol w:w="360"/>
        <w:gridCol w:w="3334"/>
      </w:tblGrid>
      <w:tr w:rsidR="00540F0B" w:rsidTr="00517C08">
        <w:trPr>
          <w:trHeight w:hRule="exact" w:val="454"/>
          <w:jc w:val="center"/>
        </w:trPr>
        <w:tc>
          <w:tcPr>
            <w:tcW w:w="3296" w:type="dxa"/>
            <w:shd w:val="clear" w:color="auto" w:fill="auto"/>
          </w:tcPr>
          <w:p w:rsidR="00540F0B" w:rsidRPr="0078435F" w:rsidRDefault="00540F0B" w:rsidP="008F4A1B">
            <w:pPr>
              <w:pStyle w:val="ac"/>
              <w:ind w:firstLine="0"/>
              <w:jc w:val="lowKashida"/>
              <w:rPr>
                <w:rFonts w:ascii="MS Sans Serif" w:hAnsi="MS Sans Serif"/>
                <w:rtl/>
              </w:rPr>
            </w:pPr>
            <w:r w:rsidRPr="0078435F">
              <w:rPr>
                <w:rFonts w:ascii="MS Sans Serif" w:hAnsi="MS Sans Serif" w:hint="cs"/>
                <w:rtl/>
              </w:rPr>
              <w:t>راحتي يا إخوتي في خلوتي</w:t>
            </w:r>
            <w:r w:rsidRPr="0078435F">
              <w:rPr>
                <w:rFonts w:ascii="MS Sans Serif" w:hAnsi="MS Sans Serif" w:hint="cs"/>
                <w:rtl/>
              </w:rPr>
              <w:br/>
            </w:r>
          </w:p>
        </w:tc>
        <w:tc>
          <w:tcPr>
            <w:tcW w:w="360" w:type="dxa"/>
            <w:shd w:val="clear" w:color="auto" w:fill="auto"/>
          </w:tcPr>
          <w:p w:rsidR="00540F0B" w:rsidRPr="0078435F" w:rsidRDefault="00540F0B" w:rsidP="008F4A1B">
            <w:pPr>
              <w:pStyle w:val="ac"/>
              <w:jc w:val="lowKashida"/>
              <w:rPr>
                <w:rFonts w:ascii="MS Sans Serif" w:hAnsi="MS Sans Serif"/>
                <w:rtl/>
              </w:rPr>
            </w:pPr>
          </w:p>
        </w:tc>
        <w:tc>
          <w:tcPr>
            <w:tcW w:w="3334" w:type="dxa"/>
            <w:shd w:val="clear" w:color="auto" w:fill="auto"/>
          </w:tcPr>
          <w:p w:rsidR="00540F0B" w:rsidRPr="0078435F" w:rsidRDefault="00540F0B" w:rsidP="008F4A1B">
            <w:pPr>
              <w:pStyle w:val="ac"/>
              <w:ind w:firstLine="0"/>
              <w:jc w:val="lowKashida"/>
              <w:rPr>
                <w:rFonts w:ascii="MS Sans Serif" w:hAnsi="MS Sans Serif"/>
                <w:rtl/>
              </w:rPr>
            </w:pPr>
            <w:r w:rsidRPr="0078435F">
              <w:rPr>
                <w:rFonts w:ascii="MS Sans Serif" w:hAnsi="MS Sans Serif" w:hint="cs"/>
                <w:rtl/>
              </w:rPr>
              <w:t>وحبيباً دائماً في حضرتي</w:t>
            </w:r>
            <w:r w:rsidRPr="0078435F">
              <w:rPr>
                <w:rFonts w:ascii="MS Sans Serif" w:hAnsi="MS Sans Serif" w:hint="cs"/>
                <w:rtl/>
              </w:rPr>
              <w:br/>
            </w:r>
          </w:p>
        </w:tc>
      </w:tr>
      <w:tr w:rsidR="00540F0B" w:rsidTr="00517C08">
        <w:trPr>
          <w:trHeight w:hRule="exact" w:val="454"/>
          <w:jc w:val="center"/>
        </w:trPr>
        <w:tc>
          <w:tcPr>
            <w:tcW w:w="3296" w:type="dxa"/>
            <w:shd w:val="clear" w:color="auto" w:fill="auto"/>
          </w:tcPr>
          <w:p w:rsidR="00540F0B" w:rsidRPr="0078435F" w:rsidRDefault="00540F0B" w:rsidP="008F4A1B">
            <w:pPr>
              <w:pStyle w:val="ac"/>
              <w:ind w:firstLine="0"/>
              <w:jc w:val="lowKashida"/>
              <w:rPr>
                <w:rStyle w:val="Char"/>
                <w:rFonts w:ascii="MS Sans Serif" w:hAnsi="MS Sans Serif"/>
                <w:rtl/>
              </w:rPr>
            </w:pPr>
            <w:r w:rsidRPr="0078435F">
              <w:rPr>
                <w:rFonts w:ascii="MS Sans Serif" w:hAnsi="MS Sans Serif" w:hint="cs"/>
                <w:rtl/>
              </w:rPr>
              <w:t>لم يعد لي عن هواه عوضاً</w:t>
            </w:r>
            <w:r w:rsidRPr="0078435F">
              <w:rPr>
                <w:rFonts w:ascii="MS Sans Serif" w:hAnsi="MS Sans Serif"/>
                <w:rtl/>
              </w:rPr>
              <w:br/>
            </w:r>
          </w:p>
        </w:tc>
        <w:tc>
          <w:tcPr>
            <w:tcW w:w="360" w:type="dxa"/>
            <w:shd w:val="clear" w:color="auto" w:fill="auto"/>
          </w:tcPr>
          <w:p w:rsidR="00540F0B" w:rsidRPr="0078435F" w:rsidRDefault="00540F0B" w:rsidP="008F4A1B">
            <w:pPr>
              <w:pStyle w:val="ac"/>
              <w:jc w:val="lowKashida"/>
              <w:rPr>
                <w:rFonts w:ascii="MS Sans Serif" w:hAnsi="MS Sans Serif"/>
                <w:rtl/>
              </w:rPr>
            </w:pPr>
          </w:p>
        </w:tc>
        <w:tc>
          <w:tcPr>
            <w:tcW w:w="3334" w:type="dxa"/>
            <w:shd w:val="clear" w:color="auto" w:fill="auto"/>
          </w:tcPr>
          <w:p w:rsidR="00540F0B" w:rsidRPr="0078435F" w:rsidRDefault="00540F0B" w:rsidP="008F4A1B">
            <w:pPr>
              <w:pStyle w:val="ac"/>
              <w:ind w:firstLine="0"/>
              <w:jc w:val="lowKashida"/>
              <w:rPr>
                <w:rStyle w:val="Char"/>
                <w:rFonts w:ascii="MS Sans Serif" w:hAnsi="MS Sans Serif"/>
                <w:rtl/>
              </w:rPr>
            </w:pPr>
            <w:r w:rsidRPr="0078435F">
              <w:rPr>
                <w:rFonts w:ascii="MS Sans Serif" w:hAnsi="MS Sans Serif" w:hint="cs"/>
                <w:rtl/>
              </w:rPr>
              <w:t>وهواه في البرايا محنتي</w:t>
            </w:r>
            <w:r w:rsidRPr="0078435F">
              <w:rPr>
                <w:rFonts w:ascii="MS Sans Serif" w:hAnsi="MS Sans Serif"/>
                <w:rtl/>
              </w:rPr>
              <w:br/>
            </w:r>
          </w:p>
        </w:tc>
      </w:tr>
      <w:tr w:rsidR="00540F0B" w:rsidTr="00517C08">
        <w:trPr>
          <w:trHeight w:hRule="exact" w:val="454"/>
          <w:jc w:val="center"/>
        </w:trPr>
        <w:tc>
          <w:tcPr>
            <w:tcW w:w="3296" w:type="dxa"/>
            <w:shd w:val="clear" w:color="auto" w:fill="auto"/>
          </w:tcPr>
          <w:p w:rsidR="00540F0B" w:rsidRPr="0078435F" w:rsidRDefault="00540F0B" w:rsidP="008F4A1B">
            <w:pPr>
              <w:pStyle w:val="ac"/>
              <w:ind w:firstLine="0"/>
              <w:jc w:val="lowKashida"/>
              <w:rPr>
                <w:rFonts w:ascii="MS Sans Serif" w:hAnsi="MS Sans Serif"/>
                <w:rtl/>
              </w:rPr>
            </w:pPr>
            <w:r w:rsidRPr="0078435F">
              <w:rPr>
                <w:rFonts w:ascii="MS Sans Serif" w:hAnsi="MS Sans Serif" w:hint="cs"/>
                <w:rtl/>
              </w:rPr>
              <w:t>حيثما كنت اُشاهد حسنه</w:t>
            </w:r>
            <w:r w:rsidRPr="0078435F">
              <w:rPr>
                <w:rFonts w:ascii="MS Sans Serif" w:hAnsi="MS Sans Serif" w:hint="cs"/>
                <w:rtl/>
              </w:rPr>
              <w:br/>
            </w:r>
          </w:p>
        </w:tc>
        <w:tc>
          <w:tcPr>
            <w:tcW w:w="360" w:type="dxa"/>
            <w:shd w:val="clear" w:color="auto" w:fill="auto"/>
          </w:tcPr>
          <w:p w:rsidR="00540F0B" w:rsidRPr="0078435F" w:rsidRDefault="00540F0B" w:rsidP="008F4A1B">
            <w:pPr>
              <w:pStyle w:val="ac"/>
              <w:jc w:val="lowKashida"/>
              <w:rPr>
                <w:rFonts w:ascii="MS Sans Serif" w:hAnsi="MS Sans Serif"/>
                <w:rtl/>
              </w:rPr>
            </w:pPr>
          </w:p>
        </w:tc>
        <w:tc>
          <w:tcPr>
            <w:tcW w:w="3334" w:type="dxa"/>
            <w:shd w:val="clear" w:color="auto" w:fill="auto"/>
          </w:tcPr>
          <w:p w:rsidR="00540F0B" w:rsidRPr="0078435F" w:rsidRDefault="00540F0B" w:rsidP="008F4A1B">
            <w:pPr>
              <w:pStyle w:val="ac"/>
              <w:ind w:firstLine="0"/>
              <w:jc w:val="lowKashida"/>
              <w:rPr>
                <w:rStyle w:val="Char"/>
                <w:rFonts w:ascii="MS Sans Serif" w:hAnsi="MS Sans Serif"/>
                <w:rtl/>
              </w:rPr>
            </w:pPr>
            <w:r w:rsidRPr="0078435F">
              <w:rPr>
                <w:rFonts w:ascii="MS Sans Serif" w:hAnsi="MS Sans Serif" w:hint="cs"/>
                <w:rtl/>
              </w:rPr>
              <w:t>فهو محرابي إليه قبلتي</w:t>
            </w:r>
            <w:r w:rsidRPr="0078435F">
              <w:rPr>
                <w:rFonts w:ascii="MS Sans Serif" w:hAnsi="MS Sans Serif" w:hint="cs"/>
                <w:rtl/>
              </w:rPr>
              <w:br/>
            </w:r>
          </w:p>
        </w:tc>
      </w:tr>
      <w:tr w:rsidR="00540F0B" w:rsidTr="00517C08">
        <w:trPr>
          <w:trHeight w:hRule="exact" w:val="454"/>
          <w:jc w:val="center"/>
        </w:trPr>
        <w:tc>
          <w:tcPr>
            <w:tcW w:w="3296" w:type="dxa"/>
            <w:shd w:val="clear" w:color="auto" w:fill="auto"/>
          </w:tcPr>
          <w:p w:rsidR="00540F0B" w:rsidRPr="0078435F" w:rsidRDefault="00540F0B" w:rsidP="008F4A1B">
            <w:pPr>
              <w:pStyle w:val="ac"/>
              <w:ind w:firstLine="0"/>
              <w:jc w:val="lowKashida"/>
              <w:rPr>
                <w:rFonts w:ascii="MS Sans Serif" w:hAnsi="MS Sans Serif"/>
                <w:rtl/>
              </w:rPr>
            </w:pPr>
            <w:r w:rsidRPr="0078435F">
              <w:rPr>
                <w:rFonts w:ascii="MS Sans Serif" w:hAnsi="MS Sans Serif" w:hint="cs"/>
                <w:rtl/>
              </w:rPr>
              <w:t>قد هجرت الخلق جمعاً أرتجي</w:t>
            </w:r>
            <w:r w:rsidRPr="0078435F">
              <w:rPr>
                <w:rFonts w:ascii="MS Sans Serif" w:hAnsi="MS Sans Serif" w:hint="cs"/>
                <w:rtl/>
              </w:rPr>
              <w:br/>
            </w:r>
          </w:p>
        </w:tc>
        <w:tc>
          <w:tcPr>
            <w:tcW w:w="360" w:type="dxa"/>
            <w:shd w:val="clear" w:color="auto" w:fill="auto"/>
          </w:tcPr>
          <w:p w:rsidR="00540F0B" w:rsidRPr="0078435F" w:rsidRDefault="00540F0B" w:rsidP="008F4A1B">
            <w:pPr>
              <w:pStyle w:val="ac"/>
              <w:jc w:val="lowKashida"/>
              <w:rPr>
                <w:rFonts w:ascii="MS Sans Serif" w:hAnsi="MS Sans Serif"/>
                <w:rtl/>
              </w:rPr>
            </w:pPr>
          </w:p>
        </w:tc>
        <w:tc>
          <w:tcPr>
            <w:tcW w:w="3334" w:type="dxa"/>
            <w:shd w:val="clear" w:color="auto" w:fill="auto"/>
          </w:tcPr>
          <w:p w:rsidR="00540F0B" w:rsidRPr="0078435F" w:rsidRDefault="00540F0B" w:rsidP="008F4A1B">
            <w:pPr>
              <w:pStyle w:val="ac"/>
              <w:ind w:firstLine="0"/>
              <w:jc w:val="lowKashida"/>
              <w:rPr>
                <w:rStyle w:val="Char"/>
                <w:rFonts w:ascii="MS Sans Serif" w:hAnsi="MS Sans Serif"/>
                <w:rtl/>
              </w:rPr>
            </w:pPr>
            <w:r w:rsidRPr="0078435F">
              <w:rPr>
                <w:rFonts w:ascii="MS Sans Serif" w:hAnsi="MS Sans Serif" w:hint="cs"/>
                <w:rtl/>
              </w:rPr>
              <w:t>منه وصلاً فهو أقص</w:t>
            </w:r>
            <w:r w:rsidR="00C86626">
              <w:rPr>
                <w:rFonts w:ascii="MS Sans Serif" w:hAnsi="MS Sans Serif" w:hint="cs"/>
                <w:rtl/>
              </w:rPr>
              <w:t>ـ</w:t>
            </w:r>
            <w:r w:rsidRPr="0078435F">
              <w:rPr>
                <w:rFonts w:ascii="MS Sans Serif" w:hAnsi="MS Sans Serif" w:hint="cs"/>
                <w:rtl/>
              </w:rPr>
              <w:t>ى منيتي</w:t>
            </w:r>
            <w:r w:rsidRPr="00815C4C">
              <w:rPr>
                <w:rFonts w:cs="Taher"/>
                <w:vertAlign w:val="superscript"/>
                <w:rtl/>
              </w:rPr>
              <w:t>(</w:t>
            </w:r>
            <w:r w:rsidRPr="00815C4C">
              <w:rPr>
                <w:rFonts w:cs="Taher"/>
                <w:vertAlign w:val="superscript"/>
                <w:rtl/>
              </w:rPr>
              <w:footnoteReference w:id="65"/>
            </w:r>
            <w:r w:rsidRPr="00815C4C">
              <w:rPr>
                <w:rFonts w:cs="Taher"/>
                <w:vertAlign w:val="superscript"/>
                <w:rtl/>
              </w:rPr>
              <w:t>)</w:t>
            </w:r>
            <w:r w:rsidRPr="0078435F">
              <w:rPr>
                <w:rFonts w:ascii="MS Sans Serif" w:hAnsi="MS Sans Serif"/>
                <w:rtl/>
              </w:rPr>
              <w:br/>
            </w:r>
          </w:p>
        </w:tc>
      </w:tr>
    </w:tbl>
    <w:p w:rsidR="008F4A1B" w:rsidRPr="00517C08" w:rsidRDefault="008F4A1B" w:rsidP="009156DD">
      <w:pPr>
        <w:pStyle w:val="afffffc"/>
        <w:rPr>
          <w:sz w:val="16"/>
          <w:szCs w:val="14"/>
        </w:rPr>
      </w:pPr>
      <w:bookmarkStart w:id="94" w:name="_Toc169521373"/>
    </w:p>
    <w:p w:rsidR="00540F0B" w:rsidRDefault="00540F0B" w:rsidP="008F4A1B">
      <w:pPr>
        <w:pStyle w:val="1"/>
        <w:rPr>
          <w:rtl/>
        </w:rPr>
      </w:pPr>
      <w:bookmarkStart w:id="95" w:name="_Toc275127899"/>
      <w:r>
        <w:rPr>
          <w:rFonts w:hint="cs"/>
          <w:rtl/>
        </w:rPr>
        <w:t>مناجاة رابعة</w:t>
      </w:r>
      <w:bookmarkEnd w:id="94"/>
      <w:bookmarkEnd w:id="95"/>
      <w:r>
        <w:rPr>
          <w:rFonts w:hint="cs"/>
          <w:rtl/>
        </w:rPr>
        <w:t xml:space="preserve"> </w:t>
      </w:r>
    </w:p>
    <w:p w:rsidR="00540F0B" w:rsidRPr="00E14ED6" w:rsidRDefault="00540F0B" w:rsidP="00540F0B">
      <w:pPr>
        <w:pStyle w:val="ac"/>
        <w:rPr>
          <w:rtl/>
        </w:rPr>
      </w:pPr>
      <w:r w:rsidRPr="00E14ED6">
        <w:rPr>
          <w:rFonts w:hint="cs"/>
          <w:rtl/>
        </w:rPr>
        <w:t>ودعوات الإنسان على نوع من المعرفة بالنفس الإنسانية وبارئها سبحانه وتعالى، لأنّ الإنسان يكشف بدعائه عن معرفته بحاجاته وينتظر من الله سبحانه أن يجيبه ويستجيب لدعواته.</w:t>
      </w:r>
    </w:p>
    <w:p w:rsidR="00540F0B" w:rsidRPr="00E14ED6" w:rsidRDefault="00540F0B" w:rsidP="008F4A1B">
      <w:pPr>
        <w:pStyle w:val="ac"/>
        <w:rPr>
          <w:rFonts w:cs="AL-Mohanad"/>
          <w:sz w:val="26"/>
          <w:rtl/>
        </w:rPr>
      </w:pPr>
      <w:r w:rsidRPr="005C36B4">
        <w:rPr>
          <w:rStyle w:val="Char"/>
          <w:rFonts w:hint="cs"/>
          <w:b/>
          <w:bCs/>
          <w:rtl/>
        </w:rPr>
        <w:t>من هنا</w:t>
      </w:r>
      <w:r w:rsidRPr="008F4A1B">
        <w:rPr>
          <w:rFonts w:hint="cs"/>
          <w:rtl/>
        </w:rPr>
        <w:t>، يتسامى دعاء العارفين إلى أن يصل مرحلةً تقول فيها رابعة:</w:t>
      </w:r>
      <w:r w:rsidRPr="00767F05">
        <w:rPr>
          <w:rFonts w:cs="Traditional Arabic" w:hint="cs"/>
          <w:sz w:val="26"/>
          <w:szCs w:val="32"/>
          <w:rtl/>
        </w:rPr>
        <w:t xml:space="preserve"> </w:t>
      </w:r>
      <w:r w:rsidRPr="008F4A1B">
        <w:rPr>
          <w:rFonts w:hint="cs"/>
          <w:b/>
          <w:bCs/>
          <w:rtl/>
        </w:rPr>
        <w:t>إلهي ما قسمت لنا في الدنيا فاجعله لأعدائك، وما قسمته لنا في الآخرة فاجعله لأوليائك</w:t>
      </w:r>
      <w:r w:rsidRPr="00815C4C">
        <w:rPr>
          <w:rFonts w:cs="Taher"/>
          <w:vertAlign w:val="superscript"/>
          <w:rtl/>
        </w:rPr>
        <w:t>(</w:t>
      </w:r>
      <w:r w:rsidRPr="00815C4C">
        <w:rPr>
          <w:rFonts w:cs="Taher"/>
          <w:vertAlign w:val="superscript"/>
          <w:rtl/>
        </w:rPr>
        <w:footnoteReference w:id="66"/>
      </w:r>
      <w:r w:rsidRPr="00815C4C">
        <w:rPr>
          <w:rFonts w:cs="Taher"/>
          <w:vertAlign w:val="superscript"/>
          <w:rtl/>
        </w:rPr>
        <w:t>)</w:t>
      </w:r>
      <w:r w:rsidRPr="008F4A1B">
        <w:rPr>
          <w:rFonts w:hint="cs"/>
          <w:b/>
          <w:bCs/>
          <w:rtl/>
        </w:rPr>
        <w:t>.</w:t>
      </w:r>
    </w:p>
    <w:p w:rsidR="00540F0B" w:rsidRPr="00E14ED6" w:rsidRDefault="00540F0B" w:rsidP="00D537F7">
      <w:pPr>
        <w:pStyle w:val="ac"/>
        <w:rPr>
          <w:rtl/>
        </w:rPr>
      </w:pPr>
      <w:r w:rsidRPr="00E14ED6">
        <w:rPr>
          <w:rFonts w:hint="cs"/>
          <w:rtl/>
        </w:rPr>
        <w:t xml:space="preserve">ومن وجهة نظر العرفاء: إنّ ذات الله رحمة، وقد غلبت رحمته ورأفته على سائر صفاته؛ وعلى أساسٍ من هذه المعرفة كانت رابعة تقول: </w:t>
      </w:r>
      <w:r w:rsidRPr="008F4A1B">
        <w:rPr>
          <w:rFonts w:hint="cs"/>
          <w:b/>
          <w:bCs/>
          <w:rtl/>
        </w:rPr>
        <w:t>إلهي إن رميتني في النار لأبوحنّ بسرّ تفرّ به النار عنّي</w:t>
      </w:r>
      <w:r w:rsidRPr="00815C4C">
        <w:rPr>
          <w:rFonts w:cs="Taher"/>
          <w:vertAlign w:val="superscript"/>
          <w:rtl/>
        </w:rPr>
        <w:t>(</w:t>
      </w:r>
      <w:r w:rsidRPr="00815C4C">
        <w:rPr>
          <w:rFonts w:cs="Taher"/>
          <w:vertAlign w:val="superscript"/>
          <w:rtl/>
        </w:rPr>
        <w:footnoteReference w:id="67"/>
      </w:r>
      <w:r w:rsidRPr="00815C4C">
        <w:rPr>
          <w:rFonts w:cs="Taher"/>
          <w:vertAlign w:val="superscript"/>
          <w:rtl/>
        </w:rPr>
        <w:t>)</w:t>
      </w:r>
      <w:r w:rsidRPr="008F4A1B">
        <w:rPr>
          <w:rFonts w:hint="cs"/>
          <w:b/>
          <w:bCs/>
          <w:rtl/>
        </w:rPr>
        <w:t>.</w:t>
      </w:r>
    </w:p>
    <w:p w:rsidR="00540F0B" w:rsidRPr="00E14ED6" w:rsidRDefault="00540F0B" w:rsidP="008F4A1B">
      <w:pPr>
        <w:pStyle w:val="ac"/>
        <w:rPr>
          <w:rtl/>
        </w:rPr>
      </w:pPr>
      <w:r w:rsidRPr="00E14ED6">
        <w:rPr>
          <w:rFonts w:hint="cs"/>
          <w:rtl/>
        </w:rPr>
        <w:t xml:space="preserve">وإذا ما تعرّفنا على الغاية النهائية للعرفان، وهي لقاء المحبوب فسوف نسبر المعاني </w:t>
      </w:r>
      <w:r w:rsidRPr="00E14ED6">
        <w:rPr>
          <w:rFonts w:hint="cs"/>
          <w:rtl/>
        </w:rPr>
        <w:lastRenderedPageBreak/>
        <w:t>الحقيقية للدعاء العرفاني، ذلك أن أقصى ما يرجوه العارف هو وصل المحبوب. وهكذا كانت رابعة العدوية، فقد كان جلّ ما تريد هو لقاء الحبيب، لقد كانت أمنية رابعة في الدنيا ذكر الله الحبيب وفي الآخرة لقاؤه، ولهذا سلّمت قيادها للمحبوب وانقادت لمشيئته</w:t>
      </w:r>
      <w:r w:rsidRPr="00815C4C">
        <w:rPr>
          <w:rFonts w:cs="Taher"/>
          <w:vertAlign w:val="superscript"/>
          <w:rtl/>
        </w:rPr>
        <w:t>(</w:t>
      </w:r>
      <w:r w:rsidRPr="00815C4C">
        <w:rPr>
          <w:rFonts w:cs="Taher"/>
          <w:vertAlign w:val="superscript"/>
          <w:rtl/>
        </w:rPr>
        <w:footnoteReference w:id="68"/>
      </w:r>
      <w:r w:rsidRPr="00815C4C">
        <w:rPr>
          <w:rFonts w:cs="Taher"/>
          <w:vertAlign w:val="superscript"/>
          <w:rtl/>
        </w:rPr>
        <w:t>)</w:t>
      </w:r>
      <w:r w:rsidRPr="00E14ED6">
        <w:rPr>
          <w:rFonts w:hint="cs"/>
          <w:rtl/>
        </w:rPr>
        <w:t>.</w:t>
      </w:r>
    </w:p>
    <w:p w:rsidR="00540F0B" w:rsidRPr="00E14ED6" w:rsidRDefault="00540F0B" w:rsidP="00540F0B">
      <w:pPr>
        <w:pStyle w:val="ac"/>
        <w:rPr>
          <w:rtl/>
        </w:rPr>
      </w:pPr>
      <w:r w:rsidRPr="00E14ED6">
        <w:rPr>
          <w:rFonts w:hint="cs"/>
          <w:rtl/>
        </w:rPr>
        <w:t xml:space="preserve">ولم يكن هذا الهدف ليتحقق إلاّ بالعبادة، والعبادة لا تُقبل إلاّ ومعها قلب سليم، من أجل هذا كانت تتضرّع </w:t>
      </w:r>
      <w:r w:rsidRPr="009156DD">
        <w:rPr>
          <w:rFonts w:hint="cs"/>
          <w:rtl/>
        </w:rPr>
        <w:t>إلى الله أن يجعل لقلبها حضوراً في الصلاة أو يتقبّل الصلاة بلا قلب.</w:t>
      </w:r>
    </w:p>
    <w:p w:rsidR="00540F0B" w:rsidRPr="00E14ED6" w:rsidRDefault="00540F0B" w:rsidP="00540F0B">
      <w:pPr>
        <w:pStyle w:val="ac"/>
        <w:rPr>
          <w:rtl/>
        </w:rPr>
      </w:pPr>
      <w:r w:rsidRPr="00E14ED6">
        <w:rPr>
          <w:rFonts w:hint="cs"/>
          <w:rtl/>
        </w:rPr>
        <w:t xml:space="preserve">ومن خلال التأمّل في مناجاتها ودعواتها نكتشف أنّها وبالرغم من الخوف والخشية التي تعاني منهما، كان هناك من الأمل والرجاء ما يدخل الطمأنينة في قلبها المهموم، لقد كانت واثقةً بأنها وإن كانت تستحقّ العذاب ولكن الله تبارك وتعالى أكرم من أن يعذّبها أو يلقيها في سواء الجحيم، وكانت في الليل تتساءل والنجوم تسطع في أغوارها السحيقة: </w:t>
      </w:r>
      <w:r w:rsidRPr="008F4A1B">
        <w:rPr>
          <w:rFonts w:hint="cs"/>
          <w:b/>
          <w:bCs/>
          <w:rtl/>
        </w:rPr>
        <w:t>إلهي هل تحرق بالنار قلباً أحبك؟</w:t>
      </w:r>
      <w:r w:rsidRPr="00E14ED6">
        <w:rPr>
          <w:rFonts w:hint="cs"/>
          <w:rtl/>
        </w:rPr>
        <w:t xml:space="preserve"> ومرّة سمعت هاتفاً يقول:</w:t>
      </w:r>
      <w:r w:rsidRPr="008F4A1B">
        <w:rPr>
          <w:rFonts w:hint="cs"/>
          <w:b/>
          <w:bCs/>
          <w:rtl/>
        </w:rPr>
        <w:t xml:space="preserve"> لا تظنّي بربك سوءاً إنه هو الرحمن الرحيم</w:t>
      </w:r>
      <w:r w:rsidRPr="00815C4C">
        <w:rPr>
          <w:rFonts w:cs="Taher"/>
          <w:vertAlign w:val="superscript"/>
          <w:rtl/>
        </w:rPr>
        <w:t>(</w:t>
      </w:r>
      <w:r w:rsidRPr="00815C4C">
        <w:rPr>
          <w:rFonts w:cs="Taher"/>
          <w:vertAlign w:val="superscript"/>
          <w:rtl/>
        </w:rPr>
        <w:footnoteReference w:id="69"/>
      </w:r>
      <w:r w:rsidRPr="00815C4C">
        <w:rPr>
          <w:rFonts w:cs="Taher"/>
          <w:vertAlign w:val="superscript"/>
          <w:rtl/>
        </w:rPr>
        <w:t>)</w:t>
      </w:r>
      <w:r w:rsidRPr="008F4A1B">
        <w:rPr>
          <w:rFonts w:hint="cs"/>
          <w:b/>
          <w:bCs/>
          <w:rtl/>
        </w:rPr>
        <w:t>.</w:t>
      </w:r>
    </w:p>
    <w:p w:rsidR="00540F0B" w:rsidRPr="009156DD" w:rsidRDefault="00540F0B" w:rsidP="00540F0B">
      <w:pPr>
        <w:pStyle w:val="ac"/>
        <w:rPr>
          <w:sz w:val="29"/>
          <w:szCs w:val="29"/>
          <w:rtl/>
        </w:rPr>
      </w:pPr>
      <w:r w:rsidRPr="009156DD">
        <w:rPr>
          <w:rFonts w:hint="cs"/>
          <w:sz w:val="29"/>
          <w:szCs w:val="29"/>
          <w:rtl/>
        </w:rPr>
        <w:t>ولم تكن رابعة لتخشى شيئاً سوى الطرد من ساحة الحبيب والبعد عن أولياء المحبوب.</w:t>
      </w:r>
    </w:p>
    <w:p w:rsidR="00540F0B" w:rsidRDefault="00540F0B" w:rsidP="008F4A1B">
      <w:pPr>
        <w:pStyle w:val="ac"/>
        <w:rPr>
          <w:rtl/>
        </w:rPr>
      </w:pPr>
      <w:r w:rsidRPr="008F4A1B">
        <w:rPr>
          <w:rFonts w:hint="cs"/>
          <w:rtl/>
        </w:rPr>
        <w:t>فكانت تتمتم وهي في طريقها إلى مكة حيث بيت الله الحرام:</w:t>
      </w:r>
      <w:r w:rsidRPr="00767F05">
        <w:rPr>
          <w:rFonts w:cs="Traditional Arabic" w:hint="cs"/>
          <w:sz w:val="26"/>
          <w:szCs w:val="32"/>
          <w:rtl/>
        </w:rPr>
        <w:t xml:space="preserve"> </w:t>
      </w:r>
      <w:r w:rsidRPr="008F4A1B">
        <w:rPr>
          <w:rFonts w:hint="cs"/>
          <w:b/>
          <w:bCs/>
          <w:rtl/>
        </w:rPr>
        <w:t>الحج هنا في الفؤاد، فخذه إليك يا ربّي فليس لي غاية سواك</w:t>
      </w:r>
      <w:r w:rsidRPr="00815C4C">
        <w:rPr>
          <w:rFonts w:cs="Taher"/>
          <w:vertAlign w:val="superscript"/>
          <w:rtl/>
        </w:rPr>
        <w:t>(</w:t>
      </w:r>
      <w:r w:rsidRPr="00815C4C">
        <w:rPr>
          <w:rFonts w:cs="Taher"/>
          <w:vertAlign w:val="superscript"/>
          <w:rtl/>
        </w:rPr>
        <w:footnoteReference w:id="70"/>
      </w:r>
      <w:r w:rsidRPr="00815C4C">
        <w:rPr>
          <w:rFonts w:cs="Taher"/>
          <w:vertAlign w:val="superscript"/>
          <w:rtl/>
        </w:rPr>
        <w:t>)</w:t>
      </w:r>
      <w:r w:rsidRPr="008F4A1B">
        <w:rPr>
          <w:rFonts w:hint="cs"/>
          <w:b/>
          <w:bCs/>
          <w:rtl/>
        </w:rPr>
        <w:t>.</w:t>
      </w:r>
    </w:p>
    <w:p w:rsidR="00540F0B" w:rsidRPr="00E14ED6" w:rsidRDefault="00540F0B" w:rsidP="00D537F7">
      <w:pPr>
        <w:pStyle w:val="ac"/>
        <w:rPr>
          <w:rtl/>
        </w:rPr>
      </w:pPr>
      <w:r w:rsidRPr="00E14ED6">
        <w:rPr>
          <w:rFonts w:hint="cs"/>
          <w:rtl/>
        </w:rPr>
        <w:t>وينقل أنها في طريقها إلى الحج ذات مرّة رأت وسط البوادي الكعبة قادمة لاستقبالها، فهتفت بالمحبوب: اُريد ربّ البيت لا البيت، لأنه عز من قائل يقول:</w:t>
      </w:r>
      <w:r w:rsidRPr="008F4A1B">
        <w:rPr>
          <w:rFonts w:hint="cs"/>
          <w:b/>
          <w:bCs/>
          <w:rtl/>
        </w:rPr>
        <w:t xml:space="preserve"> (من تقرّب إلي شبراً تقرّبت إليه ذراعاً)</w:t>
      </w:r>
      <w:r w:rsidRPr="00815C4C">
        <w:rPr>
          <w:rFonts w:cs="Taher"/>
          <w:vertAlign w:val="superscript"/>
          <w:rtl/>
        </w:rPr>
        <w:t>(</w:t>
      </w:r>
      <w:r w:rsidRPr="00815C4C">
        <w:rPr>
          <w:rFonts w:cs="Taher"/>
          <w:vertAlign w:val="superscript"/>
          <w:rtl/>
        </w:rPr>
        <w:footnoteReference w:id="71"/>
      </w:r>
      <w:r w:rsidRPr="00815C4C">
        <w:rPr>
          <w:rFonts w:cs="Taher"/>
          <w:vertAlign w:val="superscript"/>
          <w:rtl/>
        </w:rPr>
        <w:t>)</w:t>
      </w:r>
      <w:r w:rsidRPr="008F4A1B">
        <w:rPr>
          <w:rFonts w:hint="cs"/>
          <w:b/>
          <w:bCs/>
          <w:rtl/>
        </w:rPr>
        <w:t>.</w:t>
      </w:r>
    </w:p>
    <w:p w:rsidR="00540F0B" w:rsidRDefault="00540F0B" w:rsidP="00540F0B">
      <w:pPr>
        <w:pStyle w:val="ac"/>
      </w:pPr>
      <w:r w:rsidRPr="00E14ED6">
        <w:rPr>
          <w:rFonts w:hint="cs"/>
          <w:rtl/>
        </w:rPr>
        <w:t xml:space="preserve">ولم تكن كلمات رابعة ـ لا سمح الله ـ حطّاً من شأن البيت العتيق، ولكنها كانت </w:t>
      </w:r>
      <w:r w:rsidRPr="00E14ED6">
        <w:rPr>
          <w:rFonts w:hint="cs"/>
          <w:rtl/>
        </w:rPr>
        <w:lastRenderedPageBreak/>
        <w:t>تكشف عما يضطرم في قلبها من شوقٍ للقاء المحبوب، فليس هناك مكان في قلب رابعة لأحد ولا لشيء سوى الله.. الله وحده.</w:t>
      </w:r>
    </w:p>
    <w:p w:rsidR="008F4A1B" w:rsidRPr="00517C08" w:rsidRDefault="008F4A1B" w:rsidP="009156DD">
      <w:pPr>
        <w:pStyle w:val="afffffc"/>
        <w:rPr>
          <w:sz w:val="20"/>
          <w:szCs w:val="18"/>
          <w:rtl/>
        </w:rPr>
      </w:pPr>
    </w:p>
    <w:p w:rsidR="00540F0B" w:rsidRPr="0017088F" w:rsidRDefault="00540F0B" w:rsidP="008F4A1B">
      <w:pPr>
        <w:pStyle w:val="1"/>
        <w:rPr>
          <w:rtl/>
        </w:rPr>
      </w:pPr>
      <w:bookmarkStart w:id="96" w:name="_Toc169521374"/>
      <w:bookmarkStart w:id="97" w:name="_Toc275127900"/>
      <w:r w:rsidRPr="0017088F">
        <w:rPr>
          <w:rFonts w:hint="cs"/>
          <w:rtl/>
        </w:rPr>
        <w:t>أقوال كبار العلماء والعرفاء في رابعة العدوية</w:t>
      </w:r>
      <w:bookmarkEnd w:id="96"/>
      <w:bookmarkEnd w:id="97"/>
    </w:p>
    <w:p w:rsidR="00540F0B" w:rsidRPr="00E14ED6" w:rsidRDefault="00540F0B" w:rsidP="00C86626">
      <w:pPr>
        <w:pStyle w:val="ac"/>
        <w:rPr>
          <w:rtl/>
        </w:rPr>
      </w:pPr>
      <w:r w:rsidRPr="00E14ED6">
        <w:rPr>
          <w:rFonts w:hint="cs"/>
          <w:rtl/>
        </w:rPr>
        <w:t>يمكن القول: إنّ رابعة العدوية ارتقت إلى مكانة رفيعة في تقواها وعبادتها ما جعلها تأتي بعد المعصومين</w:t>
      </w:r>
      <w:r w:rsidR="00C86626">
        <w:rPr>
          <w:rFonts w:hint="cs"/>
          <w:sz w:val="26"/>
          <w:rtl/>
        </w:rPr>
        <w:t>^</w:t>
      </w:r>
      <w:r w:rsidRPr="00E14ED6">
        <w:rPr>
          <w:rFonts w:hint="cs"/>
          <w:rtl/>
        </w:rPr>
        <w:t>.</w:t>
      </w:r>
    </w:p>
    <w:p w:rsidR="00540F0B" w:rsidRPr="00E14ED6" w:rsidRDefault="00540F0B" w:rsidP="008F4A1B">
      <w:pPr>
        <w:pStyle w:val="ac"/>
        <w:rPr>
          <w:rtl/>
        </w:rPr>
      </w:pPr>
      <w:r w:rsidRPr="00E14ED6">
        <w:rPr>
          <w:rFonts w:hint="cs"/>
          <w:rtl/>
        </w:rPr>
        <w:t xml:space="preserve">يقول عمر رضا كحالة صاحب كتاب (أعلام النساء) عن شأن رابعة ومنـزلتها: </w:t>
      </w:r>
      <w:r w:rsidRPr="008F4A1B">
        <w:rPr>
          <w:rFonts w:hint="cs"/>
          <w:b/>
          <w:bCs/>
          <w:rtl/>
        </w:rPr>
        <w:t>صوفية كبيرة وعابدة شهيرة، تمكّنت في معرفة دقائق التصوف مكاناً علياً</w:t>
      </w:r>
      <w:r w:rsidRPr="00815C4C">
        <w:rPr>
          <w:rFonts w:cs="Taher"/>
          <w:vertAlign w:val="superscript"/>
          <w:rtl/>
        </w:rPr>
        <w:t>(</w:t>
      </w:r>
      <w:r w:rsidRPr="00815C4C">
        <w:rPr>
          <w:rFonts w:cs="Taher"/>
          <w:vertAlign w:val="superscript"/>
          <w:rtl/>
        </w:rPr>
        <w:footnoteReference w:id="72"/>
      </w:r>
      <w:r w:rsidRPr="00815C4C">
        <w:rPr>
          <w:rFonts w:cs="Taher"/>
          <w:vertAlign w:val="superscript"/>
          <w:rtl/>
        </w:rPr>
        <w:t>)</w:t>
      </w:r>
      <w:r w:rsidRPr="008F4A1B">
        <w:rPr>
          <w:rFonts w:hint="cs"/>
          <w:b/>
          <w:bCs/>
          <w:rtl/>
        </w:rPr>
        <w:t>.</w:t>
      </w:r>
    </w:p>
    <w:p w:rsidR="00540F0B" w:rsidRPr="001A1CB4" w:rsidRDefault="00540F0B" w:rsidP="00540F0B">
      <w:pPr>
        <w:pStyle w:val="ac"/>
        <w:rPr>
          <w:rStyle w:val="Charfb"/>
          <w:rFonts w:eastAsia="Batang"/>
          <w:rtl/>
        </w:rPr>
      </w:pPr>
      <w:r w:rsidRPr="00E14ED6">
        <w:rPr>
          <w:rFonts w:hint="cs"/>
          <w:rtl/>
        </w:rPr>
        <w:t xml:space="preserve">وقال سفيان الثوري: </w:t>
      </w:r>
      <w:r w:rsidRPr="00C86626">
        <w:rPr>
          <w:rFonts w:hint="cs"/>
          <w:b/>
          <w:bCs/>
          <w:rtl/>
        </w:rPr>
        <w:t>لا أجد من أستريح إليه إذا فارقتها.</w:t>
      </w:r>
    </w:p>
    <w:p w:rsidR="00540F0B" w:rsidRPr="00E14ED6" w:rsidRDefault="00540F0B" w:rsidP="00D537F7">
      <w:pPr>
        <w:pStyle w:val="ac"/>
        <w:rPr>
          <w:rtl/>
        </w:rPr>
      </w:pPr>
      <w:r w:rsidRPr="00E14ED6">
        <w:rPr>
          <w:rFonts w:hint="cs"/>
          <w:rtl/>
        </w:rPr>
        <w:t xml:space="preserve">وقال ابن الجوزي عنها: </w:t>
      </w:r>
      <w:r w:rsidRPr="008F4A1B">
        <w:rPr>
          <w:rFonts w:hint="cs"/>
          <w:b/>
          <w:bCs/>
          <w:rtl/>
        </w:rPr>
        <w:t>كانت فطنة، ومن كلامها الدال على قوّة فهمها قولها: استغفر الله من قلّة صدقي في قولي: أستغفر الله</w:t>
      </w:r>
      <w:r w:rsidRPr="00815C4C">
        <w:rPr>
          <w:rFonts w:cs="Taher"/>
          <w:vertAlign w:val="superscript"/>
          <w:rtl/>
        </w:rPr>
        <w:t>(</w:t>
      </w:r>
      <w:r w:rsidRPr="00815C4C">
        <w:rPr>
          <w:rFonts w:cs="Taher"/>
          <w:vertAlign w:val="superscript"/>
          <w:rtl/>
        </w:rPr>
        <w:footnoteReference w:id="73"/>
      </w:r>
      <w:r w:rsidRPr="00815C4C">
        <w:rPr>
          <w:rFonts w:cs="Taher"/>
          <w:vertAlign w:val="superscript"/>
          <w:rtl/>
        </w:rPr>
        <w:t>)</w:t>
      </w:r>
      <w:r w:rsidRPr="008F4A1B">
        <w:rPr>
          <w:rFonts w:hint="cs"/>
          <w:b/>
          <w:bCs/>
          <w:rtl/>
        </w:rPr>
        <w:t>.</w:t>
      </w:r>
    </w:p>
    <w:p w:rsidR="00540F0B" w:rsidRPr="00E14ED6" w:rsidRDefault="00540F0B" w:rsidP="008F4A1B">
      <w:pPr>
        <w:pStyle w:val="ac"/>
        <w:rPr>
          <w:rFonts w:cs="AL-Mohanad"/>
          <w:sz w:val="26"/>
          <w:rtl/>
        </w:rPr>
      </w:pPr>
      <w:r w:rsidRPr="008F4A1B">
        <w:rPr>
          <w:rFonts w:hint="cs"/>
          <w:b/>
          <w:bCs/>
          <w:rtl/>
        </w:rPr>
        <w:t>وقال ماسنيون ـ</w:t>
      </w:r>
      <w:r w:rsidRPr="00E14ED6">
        <w:rPr>
          <w:rFonts w:cs="AL-Mohanad" w:hint="cs"/>
          <w:sz w:val="26"/>
          <w:rtl/>
        </w:rPr>
        <w:t xml:space="preserve"> </w:t>
      </w:r>
      <w:r w:rsidRPr="008F4A1B">
        <w:rPr>
          <w:rFonts w:hint="cs"/>
          <w:rtl/>
        </w:rPr>
        <w:t>الذي كان صاحب نظر في التصوف الإسلامي ـ في رابعة</w:t>
      </w:r>
      <w:r w:rsidRPr="00E14ED6">
        <w:rPr>
          <w:rFonts w:cs="AL-Mohanad" w:hint="cs"/>
          <w:sz w:val="26"/>
          <w:rtl/>
        </w:rPr>
        <w:t xml:space="preserve"> </w:t>
      </w:r>
      <w:r w:rsidRPr="008F4A1B">
        <w:rPr>
          <w:rFonts w:hint="cs"/>
          <w:rtl/>
        </w:rPr>
        <w:t>العدوية ورابعة القيسية:</w:t>
      </w:r>
      <w:r w:rsidRPr="00E14ED6">
        <w:rPr>
          <w:rFonts w:cs="AL-Mohanad" w:hint="cs"/>
          <w:sz w:val="26"/>
          <w:rtl/>
        </w:rPr>
        <w:t xml:space="preserve"> </w:t>
      </w:r>
      <w:r w:rsidRPr="008F4A1B">
        <w:rPr>
          <w:rFonts w:hint="cs"/>
          <w:b/>
          <w:bCs/>
          <w:rtl/>
        </w:rPr>
        <w:t xml:space="preserve">هاتان الزاهدتان كلتاهما من أتباع مذهب الحسن البصري، وكان تحمّسهما لحياة </w:t>
      </w:r>
      <w:r w:rsidRPr="00517C08">
        <w:rPr>
          <w:rFonts w:hint="cs"/>
          <w:b/>
          <w:bCs/>
          <w:sz w:val="29"/>
          <w:szCs w:val="29"/>
          <w:rtl/>
        </w:rPr>
        <w:t>الزهد مؤدياً إلى معالجة أحوال صوفية مختلفة وإلى البحث في فروض دقيقة في العمليات والعقائد، ورابعة تعتبر عند الباحثين في اُمور الولاية والأولياء أعظم ولية</w:t>
      </w:r>
      <w:r w:rsidRPr="00517C08">
        <w:rPr>
          <w:rFonts w:cs="Taher"/>
          <w:sz w:val="29"/>
          <w:szCs w:val="29"/>
          <w:vertAlign w:val="superscript"/>
          <w:rtl/>
        </w:rPr>
        <w:t>(</w:t>
      </w:r>
      <w:r w:rsidRPr="00517C08">
        <w:rPr>
          <w:rFonts w:cs="Taher"/>
          <w:sz w:val="29"/>
          <w:szCs w:val="29"/>
          <w:vertAlign w:val="superscript"/>
          <w:rtl/>
        </w:rPr>
        <w:footnoteReference w:id="74"/>
      </w:r>
      <w:r w:rsidRPr="00517C08">
        <w:rPr>
          <w:rFonts w:cs="Taher"/>
          <w:sz w:val="29"/>
          <w:szCs w:val="29"/>
          <w:vertAlign w:val="superscript"/>
          <w:rtl/>
        </w:rPr>
        <w:t>)</w:t>
      </w:r>
      <w:r w:rsidRPr="00517C08">
        <w:rPr>
          <w:rFonts w:hint="cs"/>
          <w:b/>
          <w:bCs/>
          <w:sz w:val="29"/>
          <w:szCs w:val="29"/>
          <w:rtl/>
        </w:rPr>
        <w:t>.</w:t>
      </w:r>
    </w:p>
    <w:p w:rsidR="00540F0B" w:rsidRPr="00B102A4" w:rsidRDefault="00540F0B" w:rsidP="008F4A1B">
      <w:pPr>
        <w:pStyle w:val="ac"/>
        <w:rPr>
          <w:sz w:val="26"/>
          <w:szCs w:val="32"/>
          <w:rtl/>
        </w:rPr>
      </w:pPr>
      <w:r w:rsidRPr="008F4A1B">
        <w:rPr>
          <w:rFonts w:hint="cs"/>
          <w:b/>
          <w:bCs/>
          <w:rtl/>
        </w:rPr>
        <w:t>وقال مصطفى عبدالرزاق:</w:t>
      </w:r>
      <w:r w:rsidRPr="00767F05">
        <w:rPr>
          <w:rFonts w:hint="cs"/>
          <w:sz w:val="26"/>
          <w:szCs w:val="32"/>
          <w:rtl/>
        </w:rPr>
        <w:t xml:space="preserve"> </w:t>
      </w:r>
      <w:r w:rsidRPr="00350BDA">
        <w:rPr>
          <w:rFonts w:hint="cs"/>
          <w:rtl/>
        </w:rPr>
        <w:t>وعندي من التعسّف أن ينسب إلى رابعة العدوية وصاحبتها رابعة القيسية التصدّي لمعالجة دقائق المسائل الفقهية والكلامية والصوفية. ثم قال: السيدة رابعة هي السابقة إلى وضع قواعد الحبّ والحزن في هيكل التصوف الإسلامي، وهي التي تركت في الآثار الباقية نفثات صادقة في التعبير عن محبتها وعن حزنها، وأن الذي فاض به بعد ذلك الأدب الصوفي من شعر ونثر في هذين البابين لهو نفحة من نفحات السيدة رابعة العدوية، إمام العاشقين والمحزونين في الإسلام.</w:t>
      </w:r>
    </w:p>
    <w:p w:rsidR="00540F0B" w:rsidRDefault="00540F0B" w:rsidP="008F4A1B">
      <w:pPr>
        <w:pStyle w:val="ac"/>
        <w:rPr>
          <w:b/>
          <w:bCs/>
        </w:rPr>
      </w:pPr>
      <w:r w:rsidRPr="00E14ED6">
        <w:rPr>
          <w:rFonts w:hint="cs"/>
          <w:rtl/>
        </w:rPr>
        <w:lastRenderedPageBreak/>
        <w:t xml:space="preserve">هكذا عاشت رابعة دائمة السير إلى الله محبوبها الوحيد، لا تهدأ ولا يقرّ لها قرار... وكيف لها ذلك وهي القائلة: </w:t>
      </w:r>
      <w:r w:rsidRPr="008F4A1B">
        <w:rPr>
          <w:rFonts w:hint="cs"/>
          <w:b/>
          <w:bCs/>
          <w:rtl/>
        </w:rPr>
        <w:t>محب الله لا يسكن أنينه وحنينه حتى يسكن مع محبوبه.</w:t>
      </w:r>
    </w:p>
    <w:p w:rsidR="008F4A1B" w:rsidRPr="00517C08" w:rsidRDefault="008F4A1B" w:rsidP="00517C08">
      <w:pPr>
        <w:pStyle w:val="afffffc"/>
        <w:rPr>
          <w:sz w:val="14"/>
          <w:szCs w:val="12"/>
          <w:rtl/>
        </w:rPr>
      </w:pPr>
    </w:p>
    <w:p w:rsidR="00540F0B" w:rsidRPr="0017088F" w:rsidRDefault="00540F0B" w:rsidP="008F4A1B">
      <w:pPr>
        <w:pStyle w:val="1"/>
        <w:rPr>
          <w:rtl/>
        </w:rPr>
      </w:pPr>
      <w:bookmarkStart w:id="98" w:name="_Toc169521375"/>
      <w:bookmarkStart w:id="99" w:name="_Toc275127901"/>
      <w:r w:rsidRPr="0017088F">
        <w:rPr>
          <w:rFonts w:hint="cs"/>
          <w:rtl/>
        </w:rPr>
        <w:t>رحيل رابعة</w:t>
      </w:r>
      <w:bookmarkEnd w:id="98"/>
      <w:bookmarkEnd w:id="99"/>
    </w:p>
    <w:p w:rsidR="00540F0B" w:rsidRDefault="00540F0B" w:rsidP="008F4A1B">
      <w:pPr>
        <w:pStyle w:val="ac"/>
        <w:rPr>
          <w:rtl/>
        </w:rPr>
      </w:pPr>
      <w:r w:rsidRPr="00E14ED6">
        <w:rPr>
          <w:rFonts w:hint="cs"/>
          <w:rtl/>
        </w:rPr>
        <w:t>يختلف مفهوم الموت لدى العرفاء، فيكتسب معنى جديداً عندما يكون الموت في العشق لقاءً مع المحبوب ووصلاً بالحبيب، ومن أجل هذا هتف مولوي جلال الدين الرومي وقد شعر بدبيب الموت يسري في بدنه ونداءه يحفّ به، لأن الموت لدى مولوي هو فراق المحبوب، أمّا الحياة الحقيقية فإنّها تبدأ مع لحظة الموت الطبيعي للانسان:</w:t>
      </w:r>
    </w:p>
    <w:tbl>
      <w:tblPr>
        <w:bidiVisual/>
        <w:tblW w:w="0" w:type="auto"/>
        <w:jc w:val="center"/>
        <w:tblLayout w:type="fixed"/>
        <w:tblLook w:val="01E0"/>
      </w:tblPr>
      <w:tblGrid>
        <w:gridCol w:w="3296"/>
        <w:gridCol w:w="360"/>
        <w:gridCol w:w="3334"/>
      </w:tblGrid>
      <w:tr w:rsidR="00540F0B" w:rsidTr="00517C08">
        <w:trPr>
          <w:trHeight w:hRule="exact" w:val="454"/>
          <w:jc w:val="center"/>
        </w:trPr>
        <w:tc>
          <w:tcPr>
            <w:tcW w:w="3296" w:type="dxa"/>
            <w:shd w:val="clear" w:color="auto" w:fill="auto"/>
          </w:tcPr>
          <w:p w:rsidR="00540F0B" w:rsidRPr="0078435F" w:rsidRDefault="00540F0B" w:rsidP="008F4A1B">
            <w:pPr>
              <w:pStyle w:val="ac"/>
              <w:ind w:firstLine="0"/>
              <w:jc w:val="lowKashida"/>
              <w:rPr>
                <w:rFonts w:ascii="MS Sans Serif" w:hAnsi="MS Sans Serif"/>
                <w:rtl/>
              </w:rPr>
            </w:pPr>
            <w:r w:rsidRPr="0078435F">
              <w:rPr>
                <w:rFonts w:ascii="MS Sans Serif" w:hAnsi="MS Sans Serif" w:hint="cs"/>
                <w:rtl/>
              </w:rPr>
              <w:t>اقتـلـونـي اقتـلـونـي ياثقـات</w:t>
            </w:r>
            <w:r w:rsidRPr="0078435F">
              <w:rPr>
                <w:rFonts w:ascii="MS Sans Serif" w:hAnsi="MS Sans Serif"/>
                <w:rtl/>
              </w:rPr>
              <w:br/>
            </w:r>
          </w:p>
        </w:tc>
        <w:tc>
          <w:tcPr>
            <w:tcW w:w="360" w:type="dxa"/>
            <w:shd w:val="clear" w:color="auto" w:fill="auto"/>
          </w:tcPr>
          <w:p w:rsidR="00540F0B" w:rsidRPr="0078435F" w:rsidRDefault="00540F0B" w:rsidP="008F4A1B">
            <w:pPr>
              <w:pStyle w:val="ac"/>
              <w:jc w:val="lowKashida"/>
              <w:rPr>
                <w:rFonts w:ascii="MS Sans Serif" w:hAnsi="MS Sans Serif"/>
                <w:rtl/>
              </w:rPr>
            </w:pPr>
          </w:p>
        </w:tc>
        <w:tc>
          <w:tcPr>
            <w:tcW w:w="3334" w:type="dxa"/>
            <w:shd w:val="clear" w:color="auto" w:fill="auto"/>
          </w:tcPr>
          <w:p w:rsidR="00540F0B" w:rsidRPr="0078435F" w:rsidRDefault="00540F0B" w:rsidP="008F4A1B">
            <w:pPr>
              <w:pStyle w:val="ac"/>
              <w:ind w:firstLine="0"/>
              <w:jc w:val="lowKashida"/>
              <w:rPr>
                <w:rFonts w:ascii="MS Sans Serif" w:hAnsi="MS Sans Serif"/>
                <w:rtl/>
              </w:rPr>
            </w:pPr>
            <w:r w:rsidRPr="0078435F">
              <w:rPr>
                <w:rFonts w:ascii="MS Sans Serif" w:hAnsi="MS Sans Serif" w:hint="cs"/>
                <w:rtl/>
              </w:rPr>
              <w:t>إنّ فـي قتـلي حيـاة فـي حيـاةِ</w:t>
            </w:r>
            <w:r w:rsidRPr="00815C4C">
              <w:rPr>
                <w:rFonts w:cs="Taher"/>
                <w:vertAlign w:val="superscript"/>
                <w:rtl/>
              </w:rPr>
              <w:t>(</w:t>
            </w:r>
            <w:r w:rsidRPr="00815C4C">
              <w:rPr>
                <w:rFonts w:cs="Taher"/>
                <w:vertAlign w:val="superscript"/>
                <w:rtl/>
              </w:rPr>
              <w:footnoteReference w:id="75"/>
            </w:r>
            <w:r w:rsidRPr="00815C4C">
              <w:rPr>
                <w:rFonts w:cs="Taher"/>
                <w:vertAlign w:val="superscript"/>
                <w:rtl/>
              </w:rPr>
              <w:t>)</w:t>
            </w:r>
            <w:r w:rsidRPr="0078435F">
              <w:rPr>
                <w:rFonts w:ascii="MS Sans Serif" w:hAnsi="MS Sans Serif" w:hint="cs"/>
                <w:rtl/>
              </w:rPr>
              <w:br/>
            </w:r>
          </w:p>
        </w:tc>
      </w:tr>
      <w:tr w:rsidR="00540F0B" w:rsidTr="00517C08">
        <w:trPr>
          <w:trHeight w:hRule="exact" w:val="454"/>
          <w:jc w:val="center"/>
        </w:trPr>
        <w:tc>
          <w:tcPr>
            <w:tcW w:w="3296" w:type="dxa"/>
            <w:shd w:val="clear" w:color="auto" w:fill="auto"/>
          </w:tcPr>
          <w:p w:rsidR="00540F0B" w:rsidRPr="0078435F" w:rsidRDefault="00540F0B" w:rsidP="008F4A1B">
            <w:pPr>
              <w:pStyle w:val="ac"/>
              <w:ind w:firstLine="0"/>
              <w:jc w:val="lowKashida"/>
              <w:rPr>
                <w:rStyle w:val="Char"/>
                <w:rFonts w:ascii="MS Sans Serif" w:hAnsi="MS Sans Serif"/>
                <w:rtl/>
              </w:rPr>
            </w:pPr>
            <w:r w:rsidRPr="0078435F">
              <w:rPr>
                <w:rFonts w:ascii="MS Sans Serif" w:hAnsi="MS Sans Serif" w:hint="cs"/>
                <w:rtl/>
              </w:rPr>
              <w:t>فحياتـي دون حبّـي هـو مـوتـي</w:t>
            </w:r>
            <w:r w:rsidRPr="0078435F">
              <w:rPr>
                <w:rStyle w:val="Char"/>
                <w:rFonts w:ascii="MS Sans Serif" w:hAnsi="MS Sans Serif"/>
                <w:rtl/>
              </w:rPr>
              <w:br/>
            </w:r>
          </w:p>
        </w:tc>
        <w:tc>
          <w:tcPr>
            <w:tcW w:w="360" w:type="dxa"/>
            <w:shd w:val="clear" w:color="auto" w:fill="auto"/>
          </w:tcPr>
          <w:p w:rsidR="00540F0B" w:rsidRPr="0078435F" w:rsidRDefault="00540F0B" w:rsidP="008F4A1B">
            <w:pPr>
              <w:pStyle w:val="ac"/>
              <w:jc w:val="lowKashida"/>
              <w:rPr>
                <w:rFonts w:ascii="MS Sans Serif" w:hAnsi="MS Sans Serif"/>
                <w:rtl/>
              </w:rPr>
            </w:pPr>
          </w:p>
        </w:tc>
        <w:tc>
          <w:tcPr>
            <w:tcW w:w="3334" w:type="dxa"/>
            <w:shd w:val="clear" w:color="auto" w:fill="auto"/>
          </w:tcPr>
          <w:p w:rsidR="00540F0B" w:rsidRPr="0078435F" w:rsidRDefault="00540F0B" w:rsidP="008F4A1B">
            <w:pPr>
              <w:pStyle w:val="ac"/>
              <w:ind w:firstLine="0"/>
              <w:jc w:val="lowKashida"/>
              <w:rPr>
                <w:rFonts w:ascii="MS Sans Serif" w:hAnsi="MS Sans Serif"/>
                <w:rtl/>
              </w:rPr>
            </w:pPr>
            <w:r w:rsidRPr="0078435F">
              <w:rPr>
                <w:rFonts w:ascii="MS Sans Serif" w:hAnsi="MS Sans Serif" w:hint="cs"/>
                <w:rtl/>
              </w:rPr>
              <w:t>ومماتي مع حبّي هو أقصـى اُمنياتي</w:t>
            </w:r>
            <w:r w:rsidRPr="00815C4C">
              <w:rPr>
                <w:rFonts w:cs="Taher"/>
                <w:vertAlign w:val="superscript"/>
                <w:rtl/>
              </w:rPr>
              <w:t>(</w:t>
            </w:r>
            <w:r w:rsidRPr="00815C4C">
              <w:rPr>
                <w:rFonts w:cs="Taher"/>
                <w:vertAlign w:val="superscript"/>
                <w:rtl/>
              </w:rPr>
              <w:footnoteReference w:id="76"/>
            </w:r>
            <w:r w:rsidRPr="00815C4C">
              <w:rPr>
                <w:rFonts w:cs="Taher"/>
                <w:vertAlign w:val="superscript"/>
                <w:rtl/>
              </w:rPr>
              <w:t>)</w:t>
            </w:r>
            <w:r w:rsidRPr="0078435F">
              <w:rPr>
                <w:rFonts w:ascii="MS Sans Serif" w:hAnsi="MS Sans Serif" w:hint="cs"/>
                <w:vertAlign w:val="superscript"/>
                <w:rtl/>
              </w:rPr>
              <w:t xml:space="preserve"> </w:t>
            </w:r>
          </w:p>
          <w:p w:rsidR="00540F0B" w:rsidRPr="0078435F" w:rsidRDefault="00540F0B" w:rsidP="008F4A1B">
            <w:pPr>
              <w:pStyle w:val="ac"/>
              <w:ind w:firstLine="0"/>
              <w:jc w:val="lowKashida"/>
              <w:rPr>
                <w:rStyle w:val="Char"/>
                <w:rFonts w:ascii="MS Sans Serif" w:hAnsi="MS Sans Serif"/>
                <w:rtl/>
              </w:rPr>
            </w:pPr>
          </w:p>
        </w:tc>
      </w:tr>
    </w:tbl>
    <w:p w:rsidR="00540F0B" w:rsidRPr="00E14ED6" w:rsidRDefault="00540F0B" w:rsidP="008F4A1B">
      <w:pPr>
        <w:pStyle w:val="ac"/>
        <w:rPr>
          <w:rFonts w:cs="AL-Mohanad"/>
          <w:bCs/>
          <w:sz w:val="26"/>
          <w:rtl/>
        </w:rPr>
      </w:pPr>
      <w:r w:rsidRPr="008F4A1B">
        <w:rPr>
          <w:rFonts w:hint="cs"/>
          <w:rtl/>
        </w:rPr>
        <w:t xml:space="preserve">وهكذا كانت رابعة، فقد استقبلت الموت استقبال الحبيب لحبيبه، وعندما حضرتها الوفاة دعت خادمتها </w:t>
      </w:r>
      <w:r w:rsidR="008F4A1B" w:rsidRPr="00885E99">
        <w:rPr>
          <w:rFonts w:hint="eastAsia"/>
          <w:rtl/>
        </w:rPr>
        <w:t>«</w:t>
      </w:r>
      <w:r w:rsidRPr="008F4A1B">
        <w:rPr>
          <w:rFonts w:hint="cs"/>
          <w:rtl/>
        </w:rPr>
        <w:t>عبدة</w:t>
      </w:r>
      <w:r w:rsidR="008F4A1B">
        <w:rPr>
          <w:rFonts w:hint="eastAsia"/>
          <w:rtl/>
        </w:rPr>
        <w:t>»</w:t>
      </w:r>
      <w:r w:rsidRPr="008F4A1B">
        <w:rPr>
          <w:rFonts w:hint="cs"/>
          <w:rtl/>
        </w:rPr>
        <w:t xml:space="preserve"> وقالت:</w:t>
      </w:r>
      <w:r w:rsidRPr="00E14ED6">
        <w:rPr>
          <w:rFonts w:cs="AL-Mohanad" w:hint="cs"/>
          <w:bCs/>
          <w:sz w:val="26"/>
          <w:rtl/>
        </w:rPr>
        <w:t xml:space="preserve"> </w:t>
      </w:r>
      <w:r w:rsidRPr="008F4A1B">
        <w:rPr>
          <w:rFonts w:hint="cs"/>
          <w:b/>
          <w:bCs/>
          <w:rtl/>
        </w:rPr>
        <w:t>يا عبدة لا تؤذني</w:t>
      </w:r>
      <w:r w:rsidRPr="00815C4C">
        <w:rPr>
          <w:rFonts w:cs="Taher"/>
          <w:vertAlign w:val="superscript"/>
          <w:rtl/>
        </w:rPr>
        <w:t>(</w:t>
      </w:r>
      <w:r w:rsidRPr="00815C4C">
        <w:rPr>
          <w:rFonts w:cs="Taher"/>
          <w:vertAlign w:val="superscript"/>
          <w:rtl/>
        </w:rPr>
        <w:footnoteReference w:id="77"/>
      </w:r>
      <w:r w:rsidRPr="00815C4C">
        <w:rPr>
          <w:rFonts w:cs="Taher"/>
          <w:vertAlign w:val="superscript"/>
          <w:rtl/>
        </w:rPr>
        <w:t>)</w:t>
      </w:r>
      <w:r w:rsidRPr="008F4A1B">
        <w:rPr>
          <w:rFonts w:hint="cs"/>
          <w:b/>
          <w:bCs/>
          <w:rtl/>
        </w:rPr>
        <w:t xml:space="preserve"> بموتي وكفنيني في جبتي. وهي جبة من شعر كانت ترتديها وتمضي الليل في العبادة</w:t>
      </w:r>
      <w:r w:rsidRPr="00815C4C">
        <w:rPr>
          <w:rFonts w:cs="Taher"/>
          <w:vertAlign w:val="superscript"/>
          <w:rtl/>
        </w:rPr>
        <w:t>(</w:t>
      </w:r>
      <w:r w:rsidRPr="00815C4C">
        <w:rPr>
          <w:rFonts w:cs="Taher"/>
          <w:vertAlign w:val="superscript"/>
          <w:rtl/>
        </w:rPr>
        <w:footnoteReference w:id="78"/>
      </w:r>
      <w:r w:rsidRPr="00815C4C">
        <w:rPr>
          <w:rFonts w:cs="Taher"/>
          <w:vertAlign w:val="superscript"/>
          <w:rtl/>
        </w:rPr>
        <w:t>)</w:t>
      </w:r>
      <w:r w:rsidRPr="008F4A1B">
        <w:rPr>
          <w:rFonts w:hint="cs"/>
          <w:b/>
          <w:bCs/>
          <w:rtl/>
        </w:rPr>
        <w:t>.</w:t>
      </w:r>
    </w:p>
    <w:p w:rsidR="00540F0B" w:rsidRPr="00E14ED6" w:rsidRDefault="00540F0B" w:rsidP="00540F0B">
      <w:pPr>
        <w:pStyle w:val="ac"/>
        <w:rPr>
          <w:rtl/>
        </w:rPr>
      </w:pPr>
      <w:r w:rsidRPr="00E14ED6">
        <w:rPr>
          <w:rFonts w:hint="cs"/>
          <w:rtl/>
        </w:rPr>
        <w:t>وفعلت عبدة ما أمرت به سيدتها، وأغمضت رابعة عينيها في إغفاءة طويلة وارتسمت على وجهها ابتسامة مشرقة..</w:t>
      </w:r>
    </w:p>
    <w:p w:rsidR="00540F0B" w:rsidRPr="00E14ED6" w:rsidRDefault="00540F0B" w:rsidP="008F4A1B">
      <w:pPr>
        <w:pStyle w:val="ac"/>
        <w:rPr>
          <w:rtl/>
        </w:rPr>
      </w:pPr>
      <w:r w:rsidRPr="00E14ED6">
        <w:rPr>
          <w:rFonts w:hint="cs"/>
          <w:rtl/>
        </w:rPr>
        <w:t>لقد بلغت العاشقة غايتها في ظلال الأبدية وفي أفياء عشق خالد لا يعرف الزوال.</w:t>
      </w:r>
    </w:p>
    <w:p w:rsidR="00540F0B" w:rsidRPr="00517C08" w:rsidRDefault="00540F0B" w:rsidP="00517C08">
      <w:pPr>
        <w:pStyle w:val="ac"/>
        <w:rPr>
          <w:sz w:val="29"/>
          <w:szCs w:val="29"/>
          <w:rtl/>
        </w:rPr>
      </w:pPr>
      <w:r w:rsidRPr="00517C08">
        <w:rPr>
          <w:rFonts w:hint="cs"/>
          <w:sz w:val="29"/>
          <w:szCs w:val="29"/>
          <w:rtl/>
        </w:rPr>
        <w:t>ففي سنة 135 هـ رحلت رابعة ودفنت في بيت المقدس</w:t>
      </w:r>
      <w:r w:rsidRPr="00517C08">
        <w:rPr>
          <w:rFonts w:cs="Taher"/>
          <w:sz w:val="29"/>
          <w:szCs w:val="29"/>
          <w:vertAlign w:val="superscript"/>
          <w:rtl/>
        </w:rPr>
        <w:t>(</w:t>
      </w:r>
      <w:r w:rsidRPr="00517C08">
        <w:rPr>
          <w:rFonts w:cs="Taher"/>
          <w:sz w:val="29"/>
          <w:szCs w:val="29"/>
          <w:vertAlign w:val="superscript"/>
          <w:rtl/>
        </w:rPr>
        <w:footnoteReference w:id="79"/>
      </w:r>
      <w:r w:rsidRPr="00517C08">
        <w:rPr>
          <w:rFonts w:cs="Taher"/>
          <w:sz w:val="29"/>
          <w:szCs w:val="29"/>
          <w:vertAlign w:val="superscript"/>
          <w:rtl/>
        </w:rPr>
        <w:t>)</w:t>
      </w:r>
      <w:r w:rsidRPr="00517C08">
        <w:rPr>
          <w:rFonts w:hint="cs"/>
          <w:sz w:val="29"/>
          <w:szCs w:val="29"/>
          <w:rtl/>
        </w:rPr>
        <w:t>، وهناك من قال: إنها</w:t>
      </w:r>
      <w:r w:rsidR="00517C08" w:rsidRPr="00517C08">
        <w:rPr>
          <w:rFonts w:hint="cs"/>
          <w:sz w:val="29"/>
          <w:szCs w:val="29"/>
          <w:rtl/>
        </w:rPr>
        <w:t xml:space="preserve"> </w:t>
      </w:r>
      <w:r w:rsidRPr="00517C08">
        <w:rPr>
          <w:rFonts w:hint="cs"/>
          <w:sz w:val="29"/>
          <w:szCs w:val="29"/>
          <w:rtl/>
        </w:rPr>
        <w:t>توفيت سنة 185 هـ ودفنت في قبرها في القدس الشريفة، وقبرها كان مزاراً لأهل السلوك والعرفان</w:t>
      </w:r>
      <w:r w:rsidRPr="00517C08">
        <w:rPr>
          <w:rFonts w:cs="Taher"/>
          <w:sz w:val="29"/>
          <w:szCs w:val="29"/>
          <w:vertAlign w:val="superscript"/>
          <w:rtl/>
        </w:rPr>
        <w:t>(</w:t>
      </w:r>
      <w:r w:rsidRPr="00517C08">
        <w:rPr>
          <w:rFonts w:cs="Taher"/>
          <w:sz w:val="29"/>
          <w:szCs w:val="29"/>
          <w:vertAlign w:val="superscript"/>
          <w:rtl/>
        </w:rPr>
        <w:footnoteReference w:id="80"/>
      </w:r>
      <w:r w:rsidRPr="00517C08">
        <w:rPr>
          <w:rFonts w:cs="Taher"/>
          <w:sz w:val="29"/>
          <w:szCs w:val="29"/>
          <w:vertAlign w:val="superscript"/>
          <w:rtl/>
        </w:rPr>
        <w:t>)</w:t>
      </w:r>
      <w:r w:rsidRPr="00517C08">
        <w:rPr>
          <w:rFonts w:hint="cs"/>
          <w:sz w:val="29"/>
          <w:szCs w:val="29"/>
          <w:rtl/>
        </w:rPr>
        <w:t>.</w:t>
      </w:r>
    </w:p>
    <w:bookmarkEnd w:id="47"/>
    <w:p w:rsidR="00CA597F" w:rsidRPr="00517C08" w:rsidRDefault="00CA597F" w:rsidP="00517C08">
      <w:pPr>
        <w:widowControl/>
        <w:bidi w:val="0"/>
        <w:spacing w:line="240" w:lineRule="auto"/>
        <w:ind w:firstLine="0"/>
        <w:jc w:val="left"/>
        <w:outlineLvl w:val="9"/>
        <w:rPr>
          <w:rFonts w:cs="Ya-Ali"/>
          <w:b/>
          <w:bCs/>
          <w:kern w:val="32"/>
          <w:sz w:val="28"/>
          <w:szCs w:val="36"/>
          <w:rtl/>
        </w:rPr>
        <w:sectPr w:rsidR="00CA597F" w:rsidRPr="00517C08" w:rsidSect="00E30BAE">
          <w:headerReference w:type="even" r:id="rId28"/>
          <w:headerReference w:type="default" r:id="rId29"/>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8F4A1B" w:rsidRDefault="008F4A1B" w:rsidP="008F4A1B">
      <w:pPr>
        <w:pStyle w:val="aff2"/>
        <w:rPr>
          <w:rtl/>
        </w:rPr>
      </w:pPr>
      <w:bookmarkStart w:id="100" w:name="_Toc237834987"/>
      <w:bookmarkEnd w:id="23"/>
      <w:r>
        <w:rPr>
          <w:rFonts w:hint="cs"/>
          <w:noProof/>
          <w:rtl/>
        </w:rPr>
        <w:lastRenderedPageBreak/>
        <w:drawing>
          <wp:anchor distT="0" distB="0" distL="114300" distR="114300" simplePos="0" relativeHeight="251656192" behindDoc="1" locked="0" layoutInCell="1" allowOverlap="1">
            <wp:simplePos x="0" y="0"/>
            <wp:positionH relativeFrom="column">
              <wp:posOffset>-4445</wp:posOffset>
            </wp:positionH>
            <wp:positionV relativeFrom="paragraph">
              <wp:posOffset>6697</wp:posOffset>
            </wp:positionV>
            <wp:extent cx="4671695" cy="7573010"/>
            <wp:effectExtent l="0" t="0" r="0" b="0"/>
            <wp:wrapNone/>
            <wp:docPr id="19" name="صورة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1"/>
                    <pic:cNvPicPr>
                      <a:picLocks noChangeAspect="1" noChangeArrowheads="1"/>
                    </pic:cNvPicPr>
                  </pic:nvPicPr>
                  <pic:blipFill>
                    <a:blip r:embed="rId10" cstate="print"/>
                    <a:srcRect/>
                    <a:stretch>
                      <a:fillRect/>
                    </a:stretch>
                  </pic:blipFill>
                  <pic:spPr bwMode="auto">
                    <a:xfrm>
                      <a:off x="0" y="0"/>
                      <a:ext cx="4671695" cy="7573010"/>
                    </a:xfrm>
                    <a:prstGeom prst="rect">
                      <a:avLst/>
                    </a:prstGeom>
                    <a:noFill/>
                    <a:ln w="9525">
                      <a:noFill/>
                      <a:miter lim="800000"/>
                      <a:headEnd/>
                      <a:tailEnd/>
                    </a:ln>
                  </pic:spPr>
                </pic:pic>
              </a:graphicData>
            </a:graphic>
          </wp:anchor>
        </w:drawing>
      </w:r>
    </w:p>
    <w:p w:rsidR="008F4A1B" w:rsidRDefault="008F4A1B" w:rsidP="008F4A1B">
      <w:pPr>
        <w:pStyle w:val="aff2"/>
        <w:rPr>
          <w:rtl/>
        </w:rPr>
      </w:pPr>
    </w:p>
    <w:p w:rsidR="008F4A1B" w:rsidRPr="00DD0CDB" w:rsidRDefault="008F4A1B" w:rsidP="008F4A1B">
      <w:pPr>
        <w:pStyle w:val="aff2"/>
        <w:rPr>
          <w:sz w:val="34"/>
          <w:szCs w:val="52"/>
          <w:rtl/>
        </w:rPr>
      </w:pPr>
    </w:p>
    <w:p w:rsidR="008F4A1B" w:rsidRDefault="008F4A1B" w:rsidP="008F4A1B">
      <w:pPr>
        <w:pStyle w:val="aff2"/>
        <w:rPr>
          <w:rtl/>
        </w:rPr>
      </w:pPr>
    </w:p>
    <w:p w:rsidR="00DD0CDB" w:rsidRPr="00DD0CDB" w:rsidRDefault="00DD0CDB" w:rsidP="00DD0CDB">
      <w:pPr>
        <w:pStyle w:val="aff2"/>
        <w:rPr>
          <w:sz w:val="14"/>
          <w:szCs w:val="32"/>
          <w:rtl/>
        </w:rPr>
      </w:pPr>
      <w:bookmarkStart w:id="101" w:name="_Toc255949618"/>
      <w:bookmarkEnd w:id="100"/>
    </w:p>
    <w:p w:rsidR="001E6BEE" w:rsidRPr="00DD0CDB" w:rsidRDefault="001E6BEE" w:rsidP="00DD0CDB">
      <w:pPr>
        <w:pStyle w:val="aff2"/>
        <w:rPr>
          <w:sz w:val="52"/>
          <w:szCs w:val="70"/>
          <w:rtl/>
        </w:rPr>
      </w:pPr>
      <w:bookmarkStart w:id="102" w:name="_Toc275127902"/>
      <w:r w:rsidRPr="00DD0CDB">
        <w:rPr>
          <w:rFonts w:hint="cs"/>
          <w:sz w:val="52"/>
          <w:szCs w:val="70"/>
          <w:rtl/>
        </w:rPr>
        <w:t>الفصل الثاني</w:t>
      </w:r>
      <w:bookmarkEnd w:id="101"/>
      <w:bookmarkEnd w:id="102"/>
    </w:p>
    <w:p w:rsidR="00655639" w:rsidRPr="00655639" w:rsidRDefault="00655639" w:rsidP="00655639">
      <w:pPr>
        <w:pStyle w:val="aff2"/>
        <w:bidi w:val="0"/>
        <w:rPr>
          <w:sz w:val="2"/>
          <w:szCs w:val="10"/>
          <w:rtl/>
        </w:rPr>
      </w:pPr>
    </w:p>
    <w:p w:rsidR="00DD0CDB" w:rsidRDefault="00DD0CDB" w:rsidP="00DD0CDB">
      <w:pPr>
        <w:pStyle w:val="aff2"/>
        <w:rPr>
          <w:rtl/>
        </w:rPr>
      </w:pPr>
      <w:bookmarkStart w:id="103" w:name="_Toc275127903"/>
      <w:r>
        <w:rPr>
          <w:rFonts w:hint="cs"/>
          <w:rtl/>
        </w:rPr>
        <w:t>الفقه الإسلامي وقضايا المرأة</w:t>
      </w:r>
      <w:bookmarkEnd w:id="103"/>
      <w:r>
        <w:rPr>
          <w:rFonts w:hint="cs"/>
          <w:rtl/>
        </w:rPr>
        <w:t xml:space="preserve"> </w:t>
      </w:r>
    </w:p>
    <w:p w:rsidR="00DD0CDB" w:rsidRDefault="00DD0CDB" w:rsidP="00DD0CDB">
      <w:pPr>
        <w:pStyle w:val="aff2"/>
        <w:rPr>
          <w:rFonts w:cs="Abz-3 (Yagut)"/>
          <w:szCs w:val="25"/>
          <w:rtl/>
        </w:rPr>
      </w:pPr>
      <w:bookmarkStart w:id="104" w:name="_Toc275127904"/>
      <w:r>
        <w:rPr>
          <w:rFonts w:hint="cs"/>
          <w:rtl/>
        </w:rPr>
        <w:t>محاولات في النقد والتجديد</w:t>
      </w:r>
      <w:bookmarkEnd w:id="104"/>
    </w:p>
    <w:p w:rsidR="001E6BEE" w:rsidRDefault="001E6BEE" w:rsidP="009A7F57">
      <w:pPr>
        <w:suppressLineNumbers/>
        <w:suppressAutoHyphens/>
        <w:spacing w:line="192" w:lineRule="auto"/>
        <w:ind w:firstLine="0"/>
        <w:outlineLvl w:val="9"/>
        <w:rPr>
          <w:szCs w:val="32"/>
          <w:rtl/>
        </w:rPr>
      </w:pPr>
      <w:r>
        <w:rPr>
          <w:rtl/>
        </w:rPr>
        <w:t xml:space="preserve"> </w:t>
      </w:r>
      <w:r>
        <w:tab/>
      </w:r>
    </w:p>
    <w:p w:rsidR="001E6BEE" w:rsidRDefault="001E6BEE" w:rsidP="009A7F57">
      <w:pPr>
        <w:pStyle w:val="ac"/>
        <w:suppressLineNumbers/>
        <w:suppressAutoHyphens/>
        <w:ind w:firstLine="0"/>
        <w:rPr>
          <w:rFonts w:cs="Al-Ghadeer Bold"/>
          <w:kern w:val="32"/>
          <w:szCs w:val="36"/>
          <w:rtl/>
        </w:rPr>
      </w:pPr>
    </w:p>
    <w:p w:rsidR="001E6BEE" w:rsidRDefault="001E6BEE" w:rsidP="009A7F57">
      <w:pPr>
        <w:suppressLineNumbers/>
        <w:suppressAutoHyphens/>
        <w:bidi w:val="0"/>
        <w:spacing w:line="192" w:lineRule="auto"/>
        <w:outlineLvl w:val="9"/>
        <w:rPr>
          <w:rFonts w:cs="Al-Ghadeer Bold"/>
          <w:b/>
          <w:kern w:val="32"/>
          <w:sz w:val="28"/>
          <w:szCs w:val="36"/>
          <w:rtl/>
        </w:rPr>
      </w:pPr>
      <w:r>
        <w:rPr>
          <w:rtl/>
        </w:rPr>
        <w:br w:type="page"/>
      </w:r>
    </w:p>
    <w:p w:rsidR="001E6BEE" w:rsidRDefault="001E6BEE" w:rsidP="009A7F57">
      <w:pPr>
        <w:widowControl/>
        <w:outlineLvl w:val="9"/>
        <w:rPr>
          <w:rFonts w:cs="Abz-3 (Yagut)"/>
          <w:b/>
          <w:bCs/>
          <w:kern w:val="32"/>
          <w:szCs w:val="32"/>
          <w:rtl/>
        </w:rPr>
      </w:pPr>
    </w:p>
    <w:p w:rsidR="001E6BEE" w:rsidRDefault="001E6BEE" w:rsidP="00F93F3B">
      <w:pPr>
        <w:pStyle w:val="Heading1"/>
        <w:keepNext w:val="0"/>
        <w:suppressLineNumbers/>
        <w:suppressAutoHyphens/>
        <w:spacing w:line="192" w:lineRule="auto"/>
        <w:rPr>
          <w:sz w:val="24"/>
          <w:szCs w:val="32"/>
          <w:rtl/>
        </w:rPr>
      </w:pPr>
    </w:p>
    <w:p w:rsidR="001E6BEE" w:rsidRDefault="001E6BEE">
      <w:pPr>
        <w:widowControl/>
        <w:bidi w:val="0"/>
        <w:outlineLvl w:val="9"/>
        <w:rPr>
          <w:rFonts w:cs="Abz-3 (Yagut)"/>
          <w:b/>
          <w:bCs/>
          <w:kern w:val="32"/>
          <w:szCs w:val="32"/>
          <w:rtl/>
        </w:rPr>
      </w:pPr>
      <w:r>
        <w:rPr>
          <w:szCs w:val="32"/>
          <w:rtl/>
        </w:rPr>
        <w:br w:type="page"/>
      </w:r>
    </w:p>
    <w:p w:rsidR="001E6BEE" w:rsidRDefault="001E6BEE" w:rsidP="00F93F3B">
      <w:pPr>
        <w:pStyle w:val="Heading1"/>
        <w:keepNext w:val="0"/>
        <w:suppressLineNumbers/>
        <w:suppressAutoHyphens/>
        <w:spacing w:line="192" w:lineRule="auto"/>
        <w:rPr>
          <w:sz w:val="24"/>
          <w:szCs w:val="32"/>
          <w:rtl/>
        </w:rPr>
        <w:sectPr w:rsidR="001E6BEE" w:rsidSect="00EA348C">
          <w:headerReference w:type="even" r:id="rId30"/>
          <w:headerReference w:type="default" r:id="rId31"/>
          <w:footerReference w:type="even" r:id="rId32"/>
          <w:footerReference w:type="default" r:id="rId33"/>
          <w:headerReference w:type="first" r:id="rId34"/>
          <w:footerReference w:type="first" r:id="rId35"/>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E6BEE" w:rsidRDefault="001E6BEE" w:rsidP="00EA4E6B">
      <w:pPr>
        <w:pStyle w:val="ac"/>
        <w:rPr>
          <w:rtl/>
        </w:rPr>
        <w:sectPr w:rsidR="001E6BEE" w:rsidSect="00EA348C">
          <w:headerReference w:type="even" r:id="rId36"/>
          <w:headerReference w:type="default" r:id="rId37"/>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E6BEE" w:rsidRDefault="001E6BEE" w:rsidP="00EA4E6B">
      <w:pPr>
        <w:pStyle w:val="ac"/>
        <w:rPr>
          <w:rtl/>
        </w:rPr>
      </w:pPr>
    </w:p>
    <w:p w:rsidR="001E6BEE" w:rsidRDefault="001E6BEE" w:rsidP="00EA4E6B">
      <w:pPr>
        <w:pStyle w:val="ac"/>
        <w:rPr>
          <w:rtl/>
        </w:rPr>
      </w:pPr>
    </w:p>
    <w:p w:rsidR="001E6BEE" w:rsidRDefault="001E6BEE" w:rsidP="00EA4E6B">
      <w:pPr>
        <w:pStyle w:val="ac"/>
        <w:rPr>
          <w:rtl/>
        </w:rPr>
      </w:pPr>
    </w:p>
    <w:p w:rsidR="00480703" w:rsidRDefault="00480703" w:rsidP="00EA4E6B">
      <w:pPr>
        <w:pStyle w:val="ac"/>
        <w:rPr>
          <w:rtl/>
        </w:rPr>
      </w:pPr>
    </w:p>
    <w:p w:rsidR="00DD0CDB" w:rsidRDefault="00DD0CDB" w:rsidP="00DD0CDB">
      <w:pPr>
        <w:pStyle w:val="aff2"/>
        <w:rPr>
          <w:rStyle w:val="254225CharCharChar"/>
          <w:rFonts w:cs="Abz-3 (Yagut)"/>
          <w:szCs w:val="36"/>
          <w:rtl/>
        </w:rPr>
      </w:pPr>
      <w:bookmarkStart w:id="105" w:name="_Toc169521376"/>
      <w:bookmarkStart w:id="106" w:name="_Toc275127905"/>
      <w:bookmarkStart w:id="107" w:name="_Toc255949622"/>
      <w:r w:rsidRPr="00DD0CDB">
        <w:rPr>
          <w:rFonts w:hint="cs"/>
          <w:rtl/>
        </w:rPr>
        <w:t>الفقه الإسلامي وحقوق المرأة</w:t>
      </w:r>
      <w:bookmarkEnd w:id="105"/>
      <w:bookmarkEnd w:id="106"/>
    </w:p>
    <w:p w:rsidR="00DD0CDB" w:rsidRPr="00DD0CDB" w:rsidRDefault="00DD0CDB" w:rsidP="00DD0CDB">
      <w:pPr>
        <w:pStyle w:val="aff2"/>
        <w:rPr>
          <w:rtl/>
        </w:rPr>
      </w:pPr>
      <w:bookmarkStart w:id="108" w:name="_Toc275127906"/>
      <w:r w:rsidRPr="00DD0CDB">
        <w:rPr>
          <w:rFonts w:hint="cs"/>
          <w:rtl/>
        </w:rPr>
        <w:t>رصد الدوافع والمنطلقات</w:t>
      </w:r>
      <w:bookmarkEnd w:id="108"/>
    </w:p>
    <w:p w:rsidR="00DD0CDB" w:rsidRPr="00AA2A63" w:rsidRDefault="00DD0CDB" w:rsidP="00517C08">
      <w:pPr>
        <w:pStyle w:val="af7"/>
        <w:spacing w:before="320"/>
        <w:rPr>
          <w:b/>
          <w:sz w:val="28"/>
          <w:szCs w:val="22"/>
          <w:rtl/>
        </w:rPr>
      </w:pPr>
      <w:bookmarkStart w:id="109" w:name="_Toc275127907"/>
      <w:bookmarkStart w:id="110" w:name="_Toc169521378"/>
      <w:r>
        <w:rPr>
          <w:rFonts w:hint="cs"/>
          <w:rtl/>
        </w:rPr>
        <w:t xml:space="preserve">الشيخ </w:t>
      </w:r>
      <w:r w:rsidRPr="00E320DE">
        <w:rPr>
          <w:rFonts w:hint="cs"/>
          <w:rtl/>
        </w:rPr>
        <w:t xml:space="preserve">محمد مجتهد </w:t>
      </w:r>
      <w:r>
        <w:rPr>
          <w:rFonts w:hint="cs"/>
          <w:rtl/>
        </w:rPr>
        <w:t>ش</w:t>
      </w:r>
      <w:r w:rsidRPr="00E320DE">
        <w:rPr>
          <w:rFonts w:hint="cs"/>
          <w:rtl/>
        </w:rPr>
        <w:t>بستري</w:t>
      </w:r>
      <w:r w:rsidRPr="00540F0B">
        <w:rPr>
          <w:rFonts w:cs="Taher"/>
          <w:vertAlign w:val="superscript"/>
          <w:rtl/>
        </w:rPr>
        <w:footnoteReference w:customMarkFollows="1" w:id="81"/>
        <w:t>(*)</w:t>
      </w:r>
      <w:bookmarkEnd w:id="109"/>
      <w:r w:rsidRPr="00DD0CDB">
        <w:rPr>
          <w:rStyle w:val="FootnoteReference"/>
          <w:rFonts w:ascii="Mosawi" w:hAnsi="Mosawi" w:cs="Mosawi"/>
          <w:bCs w:val="0"/>
          <w:rtl/>
        </w:rPr>
        <w:t xml:space="preserve"> </w:t>
      </w:r>
      <w:bookmarkEnd w:id="110"/>
    </w:p>
    <w:p w:rsidR="00DD0CDB" w:rsidRPr="00AA2A63" w:rsidRDefault="00DD0CDB" w:rsidP="00DD0CDB">
      <w:pPr>
        <w:pStyle w:val="af7"/>
        <w:spacing w:before="0"/>
        <w:rPr>
          <w:rFonts w:cs="Traditional Arabic"/>
          <w:szCs w:val="27"/>
          <w:rtl/>
        </w:rPr>
      </w:pPr>
      <w:bookmarkStart w:id="111" w:name="_Toc168326352"/>
      <w:bookmarkStart w:id="112" w:name="_Toc169521379"/>
      <w:bookmarkStart w:id="113" w:name="_Toc275127908"/>
      <w:r w:rsidRPr="00E40029">
        <w:rPr>
          <w:rFonts w:hint="cs"/>
          <w:rtl/>
        </w:rPr>
        <w:t xml:space="preserve">ترجمة: السيد علي </w:t>
      </w:r>
      <w:r>
        <w:rPr>
          <w:rFonts w:hint="cs"/>
          <w:rtl/>
        </w:rPr>
        <w:t xml:space="preserve">عباس </w:t>
      </w:r>
      <w:r w:rsidRPr="00E40029">
        <w:rPr>
          <w:rFonts w:hint="cs"/>
          <w:rtl/>
        </w:rPr>
        <w:t>الموسوي</w:t>
      </w:r>
      <w:bookmarkEnd w:id="111"/>
      <w:bookmarkEnd w:id="112"/>
      <w:bookmarkEnd w:id="113"/>
    </w:p>
    <w:p w:rsidR="00DD0CDB" w:rsidRPr="00517C08" w:rsidRDefault="00DD0CDB" w:rsidP="00DD0CDB">
      <w:pPr>
        <w:pStyle w:val="ac"/>
        <w:rPr>
          <w:sz w:val="18"/>
          <w:szCs w:val="20"/>
          <w:rtl/>
        </w:rPr>
      </w:pPr>
      <w:bookmarkStart w:id="114" w:name="_Toc169521380"/>
    </w:p>
    <w:p w:rsidR="00DD0CDB" w:rsidRDefault="00DD0CDB" w:rsidP="00DD0CDB">
      <w:pPr>
        <w:pStyle w:val="1"/>
        <w:rPr>
          <w:rtl/>
        </w:rPr>
      </w:pPr>
      <w:bookmarkStart w:id="115" w:name="_Toc275127909"/>
      <w:r w:rsidRPr="00E00029">
        <w:rPr>
          <w:rFonts w:hint="cs"/>
          <w:rtl/>
        </w:rPr>
        <w:t>الحقوق الطبيعية والحقوق التاريخية</w:t>
      </w:r>
      <w:bookmarkEnd w:id="114"/>
      <w:bookmarkEnd w:id="115"/>
    </w:p>
    <w:p w:rsidR="00C30888" w:rsidRPr="00C30888" w:rsidRDefault="00C86626" w:rsidP="00C30888">
      <w:pPr>
        <w:pStyle w:val="ac"/>
        <w:rPr>
          <w:b/>
          <w:bCs/>
          <w:rtl/>
        </w:rPr>
      </w:pPr>
      <w:r w:rsidRPr="00C86626">
        <w:rPr>
          <w:rFonts w:hint="cs"/>
        </w:rPr>
        <w:sym w:font="AGA Arabesque" w:char="F05F"/>
      </w:r>
      <w:r w:rsidRPr="00C86626">
        <w:rPr>
          <w:rFonts w:hint="cs"/>
          <w:rtl/>
        </w:rPr>
        <w:t xml:space="preserve"> </w:t>
      </w:r>
      <w:r w:rsidR="00C30888" w:rsidRPr="00C30888">
        <w:rPr>
          <w:rFonts w:hint="cs"/>
          <w:b/>
          <w:bCs/>
          <w:rtl/>
        </w:rPr>
        <w:t>يتضمّن الفقه الإسلامي ـ كما تعلمون ـ اختلافاً في الحقوق بين المرأة والرجل، يرتبط بمجالات متعدّدة كالطلاق وحقّ الحضانة، ومسؤولية الأسرة، والقضاء، والإرث.. برأيكم ما هي المقدّمات المفروضة مسبقاً والأسئلة المثارة سلفاً التي اعتمد عليها الفقهاء في استنباط الأحكام الفقهية المتعلّقة بالمرأة؟</w:t>
      </w:r>
    </w:p>
    <w:p w:rsidR="00C30888" w:rsidRPr="00C611C5" w:rsidRDefault="00C86626" w:rsidP="00C30888">
      <w:pPr>
        <w:pStyle w:val="ac"/>
        <w:rPr>
          <w:rtl/>
        </w:rPr>
      </w:pPr>
      <w:r>
        <w:rPr>
          <w:rFonts w:hint="cs"/>
        </w:rPr>
        <w:sym w:font="AGA Arabesque" w:char="F05E"/>
      </w:r>
      <w:r>
        <w:rPr>
          <w:rFonts w:hint="cs"/>
          <w:rtl/>
        </w:rPr>
        <w:t xml:space="preserve"> </w:t>
      </w:r>
      <w:r w:rsidR="00C30888" w:rsidRPr="00C611C5">
        <w:rPr>
          <w:rFonts w:hint="cs"/>
          <w:rtl/>
        </w:rPr>
        <w:t>لدى الفقهاء فتاوى مختلفة فيما يرجع</w:t>
      </w:r>
      <w:r w:rsidR="00C30888">
        <w:rPr>
          <w:rFonts w:hint="cs"/>
          <w:rtl/>
        </w:rPr>
        <w:t xml:space="preserve"> إلى </w:t>
      </w:r>
      <w:r w:rsidR="00C30888" w:rsidRPr="00C611C5">
        <w:rPr>
          <w:rFonts w:hint="cs"/>
          <w:rtl/>
        </w:rPr>
        <w:t>النظام الحقوقي لل</w:t>
      </w:r>
      <w:r w:rsidR="00C30888">
        <w:rPr>
          <w:rFonts w:hint="cs"/>
          <w:rtl/>
        </w:rPr>
        <w:t>أسرة،</w:t>
      </w:r>
      <w:r w:rsidR="00C30888" w:rsidRPr="00C611C5">
        <w:rPr>
          <w:rFonts w:hint="cs"/>
          <w:rtl/>
        </w:rPr>
        <w:t xml:space="preserve"> وهذه الفتاوى تعتمد بشكل مسلّم على فرضيات و</w:t>
      </w:r>
      <w:r w:rsidR="00C30888">
        <w:rPr>
          <w:rFonts w:hint="cs"/>
          <w:rtl/>
        </w:rPr>
        <w:t>آراء</w:t>
      </w:r>
      <w:r w:rsidR="00C30888" w:rsidRPr="00C611C5">
        <w:rPr>
          <w:rFonts w:hint="cs"/>
          <w:rtl/>
        </w:rPr>
        <w:t xml:space="preserve"> مسبقة، وما يترق</w:t>
      </w:r>
      <w:r w:rsidR="00C30888">
        <w:rPr>
          <w:rFonts w:hint="cs"/>
          <w:rtl/>
        </w:rPr>
        <w:t>ّ</w:t>
      </w:r>
      <w:r w:rsidR="00C30888" w:rsidRPr="00C611C5">
        <w:rPr>
          <w:rFonts w:hint="cs"/>
          <w:rtl/>
        </w:rPr>
        <w:t>به هؤلاء من ال</w:t>
      </w:r>
      <w:r w:rsidR="00C30888">
        <w:rPr>
          <w:rFonts w:hint="cs"/>
          <w:rtl/>
        </w:rPr>
        <w:t>أحكام الدينية،</w:t>
      </w:r>
      <w:r w:rsidR="00C30888" w:rsidRPr="00C611C5">
        <w:rPr>
          <w:rFonts w:hint="cs"/>
          <w:rtl/>
        </w:rPr>
        <w:t xml:space="preserve"> نعم</w:t>
      </w:r>
      <w:r w:rsidR="00C30888">
        <w:rPr>
          <w:rFonts w:hint="cs"/>
          <w:rtl/>
        </w:rPr>
        <w:t>،</w:t>
      </w:r>
      <w:r w:rsidR="00C30888" w:rsidRPr="00C611C5">
        <w:rPr>
          <w:rFonts w:hint="cs"/>
          <w:rtl/>
        </w:rPr>
        <w:t xml:space="preserve"> هذه الفرضيات المسبقة لا تختص</w:t>
      </w:r>
      <w:r w:rsidR="00C30888">
        <w:rPr>
          <w:rFonts w:hint="cs"/>
          <w:rtl/>
        </w:rPr>
        <w:t>ّ بالفقهاء،</w:t>
      </w:r>
      <w:r w:rsidR="00C30888" w:rsidRPr="00C611C5">
        <w:rPr>
          <w:rFonts w:hint="cs"/>
          <w:rtl/>
        </w:rPr>
        <w:t xml:space="preserve"> بل يمكن لنا </w:t>
      </w:r>
      <w:r w:rsidR="00C30888">
        <w:rPr>
          <w:rFonts w:hint="cs"/>
          <w:rtl/>
        </w:rPr>
        <w:t xml:space="preserve">ـ </w:t>
      </w:r>
      <w:r w:rsidR="00C30888" w:rsidRPr="00C611C5">
        <w:rPr>
          <w:rFonts w:hint="cs"/>
          <w:rtl/>
        </w:rPr>
        <w:t>بشكل عام</w:t>
      </w:r>
      <w:r w:rsidR="00C30888">
        <w:rPr>
          <w:rFonts w:hint="cs"/>
          <w:rtl/>
        </w:rPr>
        <w:t xml:space="preserve"> ـ</w:t>
      </w:r>
      <w:r w:rsidR="00C30888" w:rsidRPr="00C611C5">
        <w:rPr>
          <w:rFonts w:hint="cs"/>
          <w:rtl/>
        </w:rPr>
        <w:t xml:space="preserve"> تقسيم </w:t>
      </w:r>
      <w:r w:rsidR="00C30888">
        <w:rPr>
          <w:rFonts w:hint="cs"/>
          <w:rtl/>
        </w:rPr>
        <w:t>أصحاب</w:t>
      </w:r>
      <w:r w:rsidR="00C30888" w:rsidRPr="00C611C5">
        <w:rPr>
          <w:rFonts w:hint="cs"/>
          <w:rtl/>
        </w:rPr>
        <w:t xml:space="preserve"> الرأي في التشريعات ال</w:t>
      </w:r>
      <w:r w:rsidR="00C30888">
        <w:rPr>
          <w:rFonts w:hint="cs"/>
          <w:rtl/>
        </w:rPr>
        <w:t>إنسان</w:t>
      </w:r>
      <w:r w:rsidR="00C30888" w:rsidRPr="00C611C5">
        <w:rPr>
          <w:rFonts w:hint="cs"/>
          <w:rtl/>
        </w:rPr>
        <w:t xml:space="preserve">ية </w:t>
      </w:r>
      <w:r w:rsidR="00C30888">
        <w:rPr>
          <w:rFonts w:hint="cs"/>
          <w:rtl/>
        </w:rPr>
        <w:t xml:space="preserve">جميعها، </w:t>
      </w:r>
      <w:r w:rsidR="00C30888" w:rsidRPr="00C611C5">
        <w:rPr>
          <w:rFonts w:hint="cs"/>
          <w:rtl/>
        </w:rPr>
        <w:t>سواء على مستوى نظام ال</w:t>
      </w:r>
      <w:r w:rsidR="00C30888">
        <w:rPr>
          <w:rFonts w:hint="cs"/>
          <w:rtl/>
        </w:rPr>
        <w:t xml:space="preserve">أسرة أو </w:t>
      </w:r>
      <w:r w:rsidR="00C30888" w:rsidRPr="00C611C5">
        <w:rPr>
          <w:rFonts w:hint="cs"/>
          <w:rtl/>
        </w:rPr>
        <w:t>النظام السياسي أو</w:t>
      </w:r>
      <w:r w:rsidR="00C30888">
        <w:rPr>
          <w:rFonts w:hint="cs"/>
          <w:rtl/>
        </w:rPr>
        <w:t xml:space="preserve"> </w:t>
      </w:r>
      <w:r w:rsidR="00C30888" w:rsidRPr="00C611C5">
        <w:rPr>
          <w:rFonts w:hint="cs"/>
          <w:rtl/>
        </w:rPr>
        <w:t>النظام الاقتصادي</w:t>
      </w:r>
      <w:r w:rsidR="00C30888">
        <w:rPr>
          <w:rFonts w:hint="cs"/>
          <w:rtl/>
        </w:rPr>
        <w:t>، إلى فئتين:</w:t>
      </w:r>
    </w:p>
    <w:p w:rsidR="00C30888" w:rsidRDefault="00C30888" w:rsidP="00E06333">
      <w:pPr>
        <w:pStyle w:val="ac"/>
        <w:rPr>
          <w:rtl/>
        </w:rPr>
      </w:pPr>
      <w:r w:rsidRPr="00313D4C">
        <w:rPr>
          <w:rFonts w:hint="cs"/>
          <w:bCs/>
          <w:rtl/>
        </w:rPr>
        <w:lastRenderedPageBreak/>
        <w:t>الفئة الأولى:</w:t>
      </w:r>
      <w:r w:rsidRPr="00C611C5">
        <w:rPr>
          <w:rFonts w:hint="cs"/>
          <w:rtl/>
        </w:rPr>
        <w:t xml:space="preserve"> </w:t>
      </w:r>
      <w:r>
        <w:rPr>
          <w:rFonts w:hint="cs"/>
          <w:rtl/>
        </w:rPr>
        <w:t>و</w:t>
      </w:r>
      <w:r w:rsidRPr="00C611C5">
        <w:rPr>
          <w:rFonts w:hint="cs"/>
          <w:rtl/>
        </w:rPr>
        <w:t>تسعى</w:t>
      </w:r>
      <w:r>
        <w:rPr>
          <w:rFonts w:hint="cs"/>
          <w:rtl/>
        </w:rPr>
        <w:t xml:space="preserve"> إلى </w:t>
      </w:r>
      <w:r w:rsidRPr="00C611C5">
        <w:rPr>
          <w:rFonts w:hint="cs"/>
          <w:rtl/>
        </w:rPr>
        <w:t>اعتبار</w:t>
      </w:r>
      <w:r>
        <w:rPr>
          <w:rFonts w:hint="cs"/>
          <w:rtl/>
        </w:rPr>
        <w:t xml:space="preserve"> هذا النظام هو النظام الطبيعي، أ</w:t>
      </w:r>
      <w:r w:rsidRPr="00C611C5">
        <w:rPr>
          <w:rFonts w:hint="cs"/>
          <w:rtl/>
        </w:rPr>
        <w:t xml:space="preserve">ي </w:t>
      </w:r>
      <w:r>
        <w:rPr>
          <w:rFonts w:hint="cs"/>
          <w:rtl/>
        </w:rPr>
        <w:t xml:space="preserve">ـ وبحسب تعبيرهم ـ </w:t>
      </w:r>
      <w:r w:rsidRPr="00C611C5">
        <w:rPr>
          <w:rFonts w:hint="cs"/>
          <w:rtl/>
        </w:rPr>
        <w:t>نظام الخلقة</w:t>
      </w:r>
      <w:r>
        <w:rPr>
          <w:rFonts w:hint="cs"/>
          <w:rtl/>
        </w:rPr>
        <w:t>، ويرى هؤلاء أ</w:t>
      </w:r>
      <w:r w:rsidRPr="00C611C5">
        <w:rPr>
          <w:rFonts w:hint="cs"/>
          <w:rtl/>
        </w:rPr>
        <w:t>ن</w:t>
      </w:r>
      <w:r>
        <w:rPr>
          <w:rFonts w:hint="cs"/>
          <w:rtl/>
        </w:rPr>
        <w:t>ّ</w:t>
      </w:r>
      <w:r w:rsidRPr="00C611C5">
        <w:rPr>
          <w:rFonts w:hint="cs"/>
          <w:rtl/>
        </w:rPr>
        <w:t xml:space="preserve"> ال</w:t>
      </w:r>
      <w:r>
        <w:rPr>
          <w:rFonts w:hint="cs"/>
          <w:rtl/>
        </w:rPr>
        <w:t xml:space="preserve">أسرة </w:t>
      </w:r>
      <w:r w:rsidRPr="00C611C5">
        <w:rPr>
          <w:rFonts w:hint="cs"/>
          <w:rtl/>
        </w:rPr>
        <w:t>تملك نظاما</w:t>
      </w:r>
      <w:r>
        <w:rPr>
          <w:rFonts w:hint="cs"/>
          <w:rtl/>
        </w:rPr>
        <w:t>ً</w:t>
      </w:r>
      <w:r w:rsidRPr="00C611C5">
        <w:rPr>
          <w:rFonts w:hint="cs"/>
          <w:rtl/>
        </w:rPr>
        <w:t xml:space="preserve"> طبيعي</w:t>
      </w:r>
      <w:r>
        <w:rPr>
          <w:rFonts w:hint="cs"/>
          <w:rtl/>
        </w:rPr>
        <w:t>ّ</w:t>
      </w:r>
      <w:r w:rsidRPr="00C611C5">
        <w:rPr>
          <w:rFonts w:hint="cs"/>
          <w:rtl/>
        </w:rPr>
        <w:t>ا</w:t>
      </w:r>
      <w:r>
        <w:rPr>
          <w:rFonts w:hint="cs"/>
          <w:rtl/>
        </w:rPr>
        <w:t>ً</w:t>
      </w:r>
      <w:r w:rsidRPr="00C611C5">
        <w:rPr>
          <w:rFonts w:hint="cs"/>
          <w:rtl/>
        </w:rPr>
        <w:t>، وتقسيم الوظائف داخل ال</w:t>
      </w:r>
      <w:r>
        <w:rPr>
          <w:rFonts w:hint="cs"/>
          <w:rtl/>
        </w:rPr>
        <w:t>أسرة وخارجها</w:t>
      </w:r>
      <w:r w:rsidRPr="00C611C5">
        <w:rPr>
          <w:rFonts w:hint="cs"/>
          <w:rtl/>
        </w:rPr>
        <w:t xml:space="preserve"> يأخذ شكله </w:t>
      </w:r>
      <w:r>
        <w:rPr>
          <w:rFonts w:hint="cs"/>
          <w:rtl/>
        </w:rPr>
        <w:t>وفقاً لهذا</w:t>
      </w:r>
      <w:r w:rsidRPr="00C611C5">
        <w:rPr>
          <w:rFonts w:hint="cs"/>
          <w:rtl/>
        </w:rPr>
        <w:t xml:space="preserve"> النظا</w:t>
      </w:r>
      <w:r>
        <w:rPr>
          <w:rFonts w:hint="cs"/>
          <w:rtl/>
        </w:rPr>
        <w:t>م الطبيعي، وهذا يعني ـ في الحقيقة ـ أنّه لابد وأ</w:t>
      </w:r>
      <w:r w:rsidRPr="00C611C5">
        <w:rPr>
          <w:rFonts w:hint="cs"/>
          <w:rtl/>
        </w:rPr>
        <w:t xml:space="preserve">ن تكون </w:t>
      </w:r>
      <w:r>
        <w:rPr>
          <w:rFonts w:hint="cs"/>
          <w:rtl/>
        </w:rPr>
        <w:t>ا</w:t>
      </w:r>
      <w:r w:rsidRPr="00C611C5">
        <w:rPr>
          <w:rFonts w:hint="cs"/>
          <w:rtl/>
        </w:rPr>
        <w:t>لحقوق المعطاة</w:t>
      </w:r>
      <w:r>
        <w:rPr>
          <w:rFonts w:hint="cs"/>
          <w:rtl/>
        </w:rPr>
        <w:t xml:space="preserve"> جميعها </w:t>
      </w:r>
      <w:r w:rsidRPr="00C611C5">
        <w:rPr>
          <w:rFonts w:hint="cs"/>
          <w:rtl/>
        </w:rPr>
        <w:t>للرجل والمرأة</w:t>
      </w:r>
      <w:r>
        <w:rPr>
          <w:rFonts w:hint="cs"/>
          <w:rtl/>
        </w:rPr>
        <w:t xml:space="preserve"> أو </w:t>
      </w:r>
      <w:r w:rsidRPr="00C611C5">
        <w:rPr>
          <w:rFonts w:hint="cs"/>
          <w:rtl/>
        </w:rPr>
        <w:t>المسلوبة عنهما تابعة</w:t>
      </w:r>
      <w:r>
        <w:rPr>
          <w:rFonts w:hint="cs"/>
          <w:rtl/>
        </w:rPr>
        <w:t>ً</w:t>
      </w:r>
      <w:r w:rsidRPr="00C611C5">
        <w:rPr>
          <w:rFonts w:hint="cs"/>
          <w:rtl/>
        </w:rPr>
        <w:t xml:space="preserve"> لهذا النظام الطبيعي.</w:t>
      </w:r>
    </w:p>
    <w:p w:rsidR="00C30888" w:rsidRDefault="00C30888" w:rsidP="00E06333">
      <w:pPr>
        <w:pStyle w:val="ac"/>
        <w:rPr>
          <w:rtl/>
        </w:rPr>
      </w:pPr>
      <w:r>
        <w:rPr>
          <w:rFonts w:hint="cs"/>
          <w:rtl/>
        </w:rPr>
        <w:t xml:space="preserve">ولا يختصّ </w:t>
      </w:r>
      <w:r w:rsidRPr="00C611C5">
        <w:rPr>
          <w:rFonts w:hint="cs"/>
          <w:rtl/>
        </w:rPr>
        <w:t xml:space="preserve">هذا النمط من التفكير </w:t>
      </w:r>
      <w:r>
        <w:rPr>
          <w:rFonts w:hint="cs"/>
          <w:rtl/>
        </w:rPr>
        <w:t>ب</w:t>
      </w:r>
      <w:r w:rsidRPr="00C611C5">
        <w:rPr>
          <w:rFonts w:hint="cs"/>
          <w:rtl/>
        </w:rPr>
        <w:t>دائرة ال</w:t>
      </w:r>
      <w:r>
        <w:rPr>
          <w:rFonts w:hint="cs"/>
          <w:rtl/>
        </w:rPr>
        <w:t>أسرة،</w:t>
      </w:r>
      <w:r w:rsidRPr="00C611C5">
        <w:rPr>
          <w:rFonts w:hint="cs"/>
          <w:rtl/>
        </w:rPr>
        <w:t xml:space="preserve"> بل ينتقل</w:t>
      </w:r>
      <w:r>
        <w:rPr>
          <w:rFonts w:hint="cs"/>
          <w:rtl/>
        </w:rPr>
        <w:t xml:space="preserve"> إلى </w:t>
      </w:r>
      <w:r w:rsidRPr="00C611C5">
        <w:rPr>
          <w:rFonts w:hint="cs"/>
          <w:rtl/>
        </w:rPr>
        <w:t>الدوائر ال</w:t>
      </w:r>
      <w:r>
        <w:rPr>
          <w:rFonts w:hint="cs"/>
          <w:rtl/>
        </w:rPr>
        <w:t>أخرى،</w:t>
      </w:r>
      <w:r w:rsidRPr="00C611C5">
        <w:rPr>
          <w:rFonts w:hint="cs"/>
          <w:rtl/>
        </w:rPr>
        <w:t xml:space="preserve"> فمثلا</w:t>
      </w:r>
      <w:r>
        <w:rPr>
          <w:rFonts w:hint="cs"/>
          <w:rtl/>
        </w:rPr>
        <w:t>ً</w:t>
      </w:r>
      <w:r w:rsidRPr="00C611C5">
        <w:rPr>
          <w:rFonts w:hint="cs"/>
          <w:rtl/>
        </w:rPr>
        <w:t xml:space="preserve"> في </w:t>
      </w:r>
      <w:r>
        <w:rPr>
          <w:rFonts w:hint="cs"/>
          <w:rtl/>
        </w:rPr>
        <w:t>ال</w:t>
      </w:r>
      <w:r w:rsidRPr="00C611C5">
        <w:rPr>
          <w:rFonts w:hint="cs"/>
          <w:rtl/>
        </w:rPr>
        <w:t>دائرة السياس</w:t>
      </w:r>
      <w:r>
        <w:rPr>
          <w:rFonts w:hint="cs"/>
          <w:rtl/>
        </w:rPr>
        <w:t>يّ</w:t>
      </w:r>
      <w:r w:rsidRPr="00C611C5">
        <w:rPr>
          <w:rFonts w:hint="cs"/>
          <w:rtl/>
        </w:rPr>
        <w:t>ة</w:t>
      </w:r>
      <w:r>
        <w:rPr>
          <w:rFonts w:hint="cs"/>
          <w:rtl/>
        </w:rPr>
        <w:t>،</w:t>
      </w:r>
      <w:r w:rsidRPr="00C611C5">
        <w:rPr>
          <w:rFonts w:hint="cs"/>
          <w:rtl/>
        </w:rPr>
        <w:t xml:space="preserve"> يتحد</w:t>
      </w:r>
      <w:r>
        <w:rPr>
          <w:rFonts w:hint="cs"/>
          <w:rtl/>
        </w:rPr>
        <w:t>ّ</w:t>
      </w:r>
      <w:r w:rsidRPr="00C611C5">
        <w:rPr>
          <w:rFonts w:hint="cs"/>
          <w:rtl/>
        </w:rPr>
        <w:t xml:space="preserve">ث </w:t>
      </w:r>
      <w:r>
        <w:rPr>
          <w:rFonts w:hint="cs"/>
          <w:rtl/>
        </w:rPr>
        <w:t xml:space="preserve">أنصار هذه المدرسة عن تبعيّة </w:t>
      </w:r>
      <w:r w:rsidRPr="00C611C5">
        <w:rPr>
          <w:rFonts w:hint="cs"/>
          <w:rtl/>
        </w:rPr>
        <w:t>النظام السياسي ال</w:t>
      </w:r>
      <w:r>
        <w:rPr>
          <w:rFonts w:hint="cs"/>
          <w:rtl/>
        </w:rPr>
        <w:t>سويّ لل</w:t>
      </w:r>
      <w:r w:rsidRPr="00C611C5">
        <w:rPr>
          <w:rFonts w:hint="cs"/>
          <w:rtl/>
        </w:rPr>
        <w:t>نظام الذي يأخذ فيه كل</w:t>
      </w:r>
      <w:r>
        <w:rPr>
          <w:rFonts w:hint="cs"/>
          <w:rtl/>
        </w:rPr>
        <w:t>ّ فرد مكانه الطبيعي،</w:t>
      </w:r>
      <w:r w:rsidRPr="00C611C5">
        <w:rPr>
          <w:rFonts w:hint="cs"/>
          <w:rtl/>
        </w:rPr>
        <w:t xml:space="preserve"> ويشب</w:t>
      </w:r>
      <w:r>
        <w:rPr>
          <w:rFonts w:hint="cs"/>
          <w:rtl/>
        </w:rPr>
        <w:t>ّ</w:t>
      </w:r>
      <w:r w:rsidRPr="00C611C5">
        <w:rPr>
          <w:rFonts w:hint="cs"/>
          <w:rtl/>
        </w:rPr>
        <w:t>ه</w:t>
      </w:r>
      <w:r>
        <w:rPr>
          <w:rFonts w:hint="cs"/>
          <w:rtl/>
        </w:rPr>
        <w:t>ون</w:t>
      </w:r>
      <w:r w:rsidRPr="00C611C5">
        <w:rPr>
          <w:rFonts w:hint="cs"/>
          <w:rtl/>
        </w:rPr>
        <w:t xml:space="preserve"> النظام السياسي بالنظام الحياتي الذي يوز</w:t>
      </w:r>
      <w:r>
        <w:rPr>
          <w:rFonts w:hint="cs"/>
          <w:rtl/>
        </w:rPr>
        <w:t>ّع فيه العمل بين الأ</w:t>
      </w:r>
      <w:r w:rsidRPr="00C611C5">
        <w:rPr>
          <w:rFonts w:hint="cs"/>
          <w:rtl/>
        </w:rPr>
        <w:t xml:space="preserve">عضاء، </w:t>
      </w:r>
      <w:r>
        <w:rPr>
          <w:rFonts w:hint="cs"/>
          <w:rtl/>
        </w:rPr>
        <w:t>فلا</w:t>
      </w:r>
      <w:r w:rsidRPr="00C611C5">
        <w:rPr>
          <w:rFonts w:hint="cs"/>
          <w:rtl/>
        </w:rPr>
        <w:t>بد</w:t>
      </w:r>
      <w:r>
        <w:rPr>
          <w:rFonts w:hint="cs"/>
          <w:rtl/>
        </w:rPr>
        <w:t>ّ</w:t>
      </w:r>
      <w:r w:rsidRPr="00C611C5">
        <w:rPr>
          <w:rFonts w:hint="cs"/>
          <w:rtl/>
        </w:rPr>
        <w:t xml:space="preserve"> لكل</w:t>
      </w:r>
      <w:r>
        <w:rPr>
          <w:rFonts w:hint="cs"/>
          <w:rtl/>
        </w:rPr>
        <w:t>ّ</w:t>
      </w:r>
      <w:r w:rsidRPr="00C611C5">
        <w:rPr>
          <w:rFonts w:hint="cs"/>
          <w:rtl/>
        </w:rPr>
        <w:t xml:space="preserve"> واحد</w:t>
      </w:r>
      <w:r>
        <w:rPr>
          <w:rFonts w:hint="cs"/>
          <w:rtl/>
        </w:rPr>
        <w:t>ٍ أ</w:t>
      </w:r>
      <w:r w:rsidRPr="00C611C5">
        <w:rPr>
          <w:rFonts w:hint="cs"/>
          <w:rtl/>
        </w:rPr>
        <w:t>ن يقوم بوظيفته الخاص</w:t>
      </w:r>
      <w:r>
        <w:rPr>
          <w:rFonts w:hint="cs"/>
          <w:rtl/>
        </w:rPr>
        <w:t>ّ</w:t>
      </w:r>
      <w:r w:rsidRPr="00C611C5">
        <w:rPr>
          <w:rFonts w:hint="cs"/>
          <w:rtl/>
        </w:rPr>
        <w:t>ة به حتى يتمك</w:t>
      </w:r>
      <w:r>
        <w:rPr>
          <w:rFonts w:hint="cs"/>
          <w:rtl/>
        </w:rPr>
        <w:t>ّ</w:t>
      </w:r>
      <w:r w:rsidRPr="00C611C5">
        <w:rPr>
          <w:rFonts w:hint="cs"/>
          <w:rtl/>
        </w:rPr>
        <w:t>ن ال</w:t>
      </w:r>
      <w:r>
        <w:rPr>
          <w:rFonts w:hint="cs"/>
          <w:rtl/>
        </w:rPr>
        <w:t>كائن</w:t>
      </w:r>
      <w:r w:rsidRPr="00C611C5">
        <w:rPr>
          <w:rFonts w:hint="cs"/>
          <w:rtl/>
        </w:rPr>
        <w:t xml:space="preserve"> الحي</w:t>
      </w:r>
      <w:r>
        <w:rPr>
          <w:rFonts w:hint="cs"/>
          <w:rtl/>
        </w:rPr>
        <w:t>ّ من الاستمرار بالحياة.</w:t>
      </w:r>
    </w:p>
    <w:p w:rsidR="00C30888" w:rsidRPr="00517C08" w:rsidRDefault="00C30888" w:rsidP="00E06333">
      <w:pPr>
        <w:pStyle w:val="ac"/>
        <w:rPr>
          <w:sz w:val="29"/>
          <w:szCs w:val="29"/>
          <w:rtl/>
        </w:rPr>
      </w:pPr>
      <w:r w:rsidRPr="00517C08">
        <w:rPr>
          <w:rFonts w:hint="cs"/>
          <w:sz w:val="29"/>
          <w:szCs w:val="29"/>
          <w:rtl/>
        </w:rPr>
        <w:t>وطبقاً لهذا المنطق، يتوصّل أنصار هذا الاتجاه إلى نتيجة تتحدّد على أساسها الفئة التي تمثل قلب النظام السياسي، وتلك التي تمثل الرأس أو اليد أو القدم، وقس على ذلك.</w:t>
      </w:r>
    </w:p>
    <w:p w:rsidR="00C30888" w:rsidRDefault="00C30888" w:rsidP="00E06333">
      <w:pPr>
        <w:pStyle w:val="ac"/>
        <w:rPr>
          <w:rtl/>
        </w:rPr>
      </w:pPr>
      <w:r w:rsidRPr="00C611C5">
        <w:rPr>
          <w:rFonts w:hint="cs"/>
          <w:rtl/>
        </w:rPr>
        <w:t>ويتبن</w:t>
      </w:r>
      <w:r>
        <w:rPr>
          <w:rFonts w:hint="cs"/>
          <w:rtl/>
        </w:rPr>
        <w:t>ّ</w:t>
      </w:r>
      <w:r w:rsidRPr="00C611C5">
        <w:rPr>
          <w:rFonts w:hint="cs"/>
          <w:rtl/>
        </w:rPr>
        <w:t>ى بعض فلاسفة المسلمين هذا الرأي</w:t>
      </w:r>
      <w:r>
        <w:rPr>
          <w:rFonts w:hint="cs"/>
          <w:rtl/>
        </w:rPr>
        <w:t>،</w:t>
      </w:r>
      <w:r w:rsidRPr="00C611C5">
        <w:rPr>
          <w:rFonts w:hint="cs"/>
          <w:rtl/>
        </w:rPr>
        <w:t xml:space="preserve"> كجلال الد</w:t>
      </w:r>
      <w:r>
        <w:rPr>
          <w:rFonts w:hint="cs"/>
          <w:rtl/>
        </w:rPr>
        <w:t>ين الدواني والخواجة نصير الطوسي؛</w:t>
      </w:r>
      <w:r w:rsidRPr="00C611C5">
        <w:rPr>
          <w:rFonts w:hint="cs"/>
          <w:rtl/>
        </w:rPr>
        <w:t xml:space="preserve"> فير</w:t>
      </w:r>
      <w:r>
        <w:rPr>
          <w:rFonts w:hint="cs"/>
          <w:rtl/>
        </w:rPr>
        <w:t>ون</w:t>
      </w:r>
      <w:r w:rsidRPr="00C611C5">
        <w:rPr>
          <w:rFonts w:hint="cs"/>
          <w:rtl/>
        </w:rPr>
        <w:t xml:space="preserve"> </w:t>
      </w:r>
      <w:r>
        <w:rPr>
          <w:rFonts w:hint="cs"/>
          <w:rtl/>
        </w:rPr>
        <w:t>أ</w:t>
      </w:r>
      <w:r w:rsidRPr="00C611C5">
        <w:rPr>
          <w:rFonts w:hint="cs"/>
          <w:rtl/>
        </w:rPr>
        <w:t>ن للمجتمع وال</w:t>
      </w:r>
      <w:r>
        <w:rPr>
          <w:rFonts w:hint="cs"/>
          <w:rtl/>
        </w:rPr>
        <w:t xml:space="preserve">أسرة بناءً </w:t>
      </w:r>
      <w:r w:rsidRPr="00C611C5">
        <w:rPr>
          <w:rFonts w:hint="cs"/>
          <w:rtl/>
        </w:rPr>
        <w:t>طبيعي</w:t>
      </w:r>
      <w:r>
        <w:rPr>
          <w:rFonts w:hint="cs"/>
          <w:rtl/>
        </w:rPr>
        <w:t>ّاً</w:t>
      </w:r>
      <w:r w:rsidRPr="00C611C5">
        <w:rPr>
          <w:rFonts w:hint="cs"/>
          <w:rtl/>
        </w:rPr>
        <w:t xml:space="preserve"> </w:t>
      </w:r>
      <w:r>
        <w:rPr>
          <w:rFonts w:hint="cs"/>
          <w:rtl/>
        </w:rPr>
        <w:t>لابدّ لنا من اتباعه،</w:t>
      </w:r>
      <w:r w:rsidRPr="00C611C5">
        <w:rPr>
          <w:rFonts w:hint="cs"/>
          <w:rtl/>
        </w:rPr>
        <w:t xml:space="preserve"> </w:t>
      </w:r>
      <w:r>
        <w:rPr>
          <w:rFonts w:hint="cs"/>
          <w:rtl/>
        </w:rPr>
        <w:t xml:space="preserve">ومع علمهم بوجود </w:t>
      </w:r>
      <w:r w:rsidRPr="00C611C5">
        <w:rPr>
          <w:rFonts w:hint="cs"/>
          <w:rtl/>
        </w:rPr>
        <w:t>أنظمة متعد</w:t>
      </w:r>
      <w:r>
        <w:rPr>
          <w:rFonts w:hint="cs"/>
          <w:rtl/>
        </w:rPr>
        <w:t>ّ</w:t>
      </w:r>
      <w:r w:rsidRPr="00C611C5">
        <w:rPr>
          <w:rFonts w:hint="cs"/>
          <w:rtl/>
        </w:rPr>
        <w:t>دة لل</w:t>
      </w:r>
      <w:r>
        <w:rPr>
          <w:rFonts w:hint="cs"/>
          <w:rtl/>
        </w:rPr>
        <w:t>أسرة في تاريخ البشرية</w:t>
      </w:r>
      <w:r w:rsidRPr="00C611C5">
        <w:rPr>
          <w:rFonts w:hint="cs"/>
          <w:rtl/>
        </w:rPr>
        <w:t>، لكنهم يذهبون</w:t>
      </w:r>
      <w:r>
        <w:rPr>
          <w:rFonts w:hint="cs"/>
          <w:rtl/>
        </w:rPr>
        <w:t xml:space="preserve"> إلى </w:t>
      </w:r>
      <w:r w:rsidRPr="00C611C5">
        <w:rPr>
          <w:rFonts w:hint="cs"/>
          <w:rtl/>
        </w:rPr>
        <w:t xml:space="preserve">وجود نظام </w:t>
      </w:r>
      <w:r>
        <w:rPr>
          <w:rFonts w:hint="cs"/>
          <w:rtl/>
        </w:rPr>
        <w:t xml:space="preserve">طبيعيّ </w:t>
      </w:r>
      <w:r w:rsidRPr="00C611C5">
        <w:rPr>
          <w:rFonts w:hint="cs"/>
          <w:rtl/>
        </w:rPr>
        <w:t xml:space="preserve">واحد </w:t>
      </w:r>
      <w:r>
        <w:rPr>
          <w:rFonts w:hint="cs"/>
          <w:rtl/>
        </w:rPr>
        <w:t>وصحيح لابد أ</w:t>
      </w:r>
      <w:r w:rsidRPr="00C611C5">
        <w:rPr>
          <w:rFonts w:hint="cs"/>
          <w:rtl/>
        </w:rPr>
        <w:t>ن يسير المجتمع على</w:t>
      </w:r>
      <w:r>
        <w:rPr>
          <w:rFonts w:hint="cs"/>
          <w:rtl/>
        </w:rPr>
        <w:t xml:space="preserve"> أساسه؛</w:t>
      </w:r>
      <w:r w:rsidRPr="00C611C5">
        <w:rPr>
          <w:rtl/>
        </w:rPr>
        <w:t xml:space="preserve"> </w:t>
      </w:r>
      <w:r w:rsidRPr="00C611C5">
        <w:rPr>
          <w:rFonts w:hint="cs"/>
          <w:rtl/>
        </w:rPr>
        <w:t>وبهذا يتناغم النظام الأُسري مع سائر البناءات ال</w:t>
      </w:r>
      <w:r>
        <w:rPr>
          <w:rFonts w:hint="cs"/>
          <w:rtl/>
        </w:rPr>
        <w:t>اجتماعية في عالم الخلقة؛</w:t>
      </w:r>
      <w:r w:rsidRPr="00C611C5">
        <w:rPr>
          <w:rFonts w:hint="cs"/>
          <w:rtl/>
        </w:rPr>
        <w:t xml:space="preserve"> وعلى هذا ال</w:t>
      </w:r>
      <w:r>
        <w:rPr>
          <w:rFonts w:hint="cs"/>
          <w:rtl/>
        </w:rPr>
        <w:t>أساس سوف تكون الأ</w:t>
      </w:r>
      <w:r w:rsidRPr="00C611C5">
        <w:rPr>
          <w:rFonts w:hint="cs"/>
          <w:rtl/>
        </w:rPr>
        <w:t>شكال ال</w:t>
      </w:r>
      <w:r>
        <w:rPr>
          <w:rFonts w:hint="cs"/>
          <w:rtl/>
        </w:rPr>
        <w:t>أخرى</w:t>
      </w:r>
      <w:r w:rsidRPr="00C611C5">
        <w:rPr>
          <w:rFonts w:hint="cs"/>
          <w:rtl/>
        </w:rPr>
        <w:t xml:space="preserve"> من العلاقة بين الرجل والمرأ</w:t>
      </w:r>
      <w:r>
        <w:rPr>
          <w:rFonts w:hint="cs"/>
          <w:rtl/>
        </w:rPr>
        <w:t>ة</w:t>
      </w:r>
      <w:r w:rsidRPr="00C611C5">
        <w:rPr>
          <w:rFonts w:hint="cs"/>
          <w:rtl/>
        </w:rPr>
        <w:t xml:space="preserve"> و</w:t>
      </w:r>
      <w:r>
        <w:rPr>
          <w:rFonts w:hint="cs"/>
          <w:rtl/>
        </w:rPr>
        <w:t xml:space="preserve">من </w:t>
      </w:r>
      <w:r w:rsidRPr="00C611C5">
        <w:rPr>
          <w:rFonts w:hint="cs"/>
          <w:rtl/>
        </w:rPr>
        <w:t>النظام الأُسري انحرافا</w:t>
      </w:r>
      <w:r>
        <w:rPr>
          <w:rFonts w:hint="cs"/>
          <w:rtl/>
        </w:rPr>
        <w:t>ً</w:t>
      </w:r>
      <w:r w:rsidRPr="00C611C5">
        <w:rPr>
          <w:rFonts w:hint="cs"/>
          <w:rtl/>
        </w:rPr>
        <w:t xml:space="preserve"> عن النظام الطبيعي</w:t>
      </w:r>
      <w:r>
        <w:rPr>
          <w:rFonts w:hint="cs"/>
          <w:rtl/>
        </w:rPr>
        <w:t>.</w:t>
      </w:r>
    </w:p>
    <w:p w:rsidR="00C30888" w:rsidRDefault="00C30888" w:rsidP="00E06333">
      <w:pPr>
        <w:pStyle w:val="ac"/>
        <w:rPr>
          <w:rtl/>
        </w:rPr>
      </w:pPr>
      <w:r w:rsidRPr="00C611C5">
        <w:rPr>
          <w:rFonts w:hint="cs"/>
          <w:rtl/>
        </w:rPr>
        <w:t>لقد تبن</w:t>
      </w:r>
      <w:r>
        <w:rPr>
          <w:rFonts w:hint="cs"/>
          <w:rtl/>
        </w:rPr>
        <w:t>ّ</w:t>
      </w:r>
      <w:r w:rsidRPr="00C611C5">
        <w:rPr>
          <w:rFonts w:hint="cs"/>
          <w:rtl/>
        </w:rPr>
        <w:t>ى الكثيرون هذا النمط من التفكير</w:t>
      </w:r>
      <w:r>
        <w:rPr>
          <w:rFonts w:hint="cs"/>
          <w:rtl/>
        </w:rPr>
        <w:t>،</w:t>
      </w:r>
      <w:r w:rsidRPr="00C611C5">
        <w:rPr>
          <w:rFonts w:hint="cs"/>
          <w:rtl/>
        </w:rPr>
        <w:t xml:space="preserve"> و</w:t>
      </w:r>
      <w:r>
        <w:rPr>
          <w:rFonts w:hint="cs"/>
          <w:rtl/>
        </w:rPr>
        <w:t>اعتقدوا أ</w:t>
      </w:r>
      <w:r w:rsidRPr="00C611C5">
        <w:rPr>
          <w:rFonts w:hint="cs"/>
          <w:rtl/>
        </w:rPr>
        <w:t>ن</w:t>
      </w:r>
      <w:r>
        <w:rPr>
          <w:rFonts w:hint="cs"/>
          <w:rtl/>
        </w:rPr>
        <w:t>ّ</w:t>
      </w:r>
      <w:r w:rsidRPr="00C611C5">
        <w:rPr>
          <w:rFonts w:hint="cs"/>
          <w:rtl/>
        </w:rPr>
        <w:t xml:space="preserve"> حقوق الرجل والمرأة</w:t>
      </w:r>
      <w:r>
        <w:rPr>
          <w:rFonts w:hint="cs"/>
          <w:rtl/>
        </w:rPr>
        <w:t xml:space="preserve"> وواجباتهما لابدّ وأن تتلاءم مع هذا النظام الطبيعي،</w:t>
      </w:r>
      <w:r w:rsidRPr="00C611C5">
        <w:rPr>
          <w:rFonts w:hint="cs"/>
          <w:rtl/>
        </w:rPr>
        <w:t xml:space="preserve"> كما </w:t>
      </w:r>
      <w:r>
        <w:rPr>
          <w:rFonts w:hint="cs"/>
          <w:rtl/>
        </w:rPr>
        <w:t xml:space="preserve">اعتبروا </w:t>
      </w:r>
      <w:r w:rsidRPr="00C611C5">
        <w:rPr>
          <w:rFonts w:hint="cs"/>
          <w:rtl/>
        </w:rPr>
        <w:t>نظام ال</w:t>
      </w:r>
      <w:r>
        <w:rPr>
          <w:rFonts w:hint="cs"/>
          <w:rtl/>
        </w:rPr>
        <w:t>أسرة</w:t>
      </w:r>
      <w:r w:rsidRPr="00C611C5">
        <w:rPr>
          <w:rFonts w:hint="cs"/>
          <w:rtl/>
        </w:rPr>
        <w:t xml:space="preserve"> </w:t>
      </w:r>
      <w:r>
        <w:rPr>
          <w:rFonts w:hint="cs"/>
          <w:rtl/>
        </w:rPr>
        <w:t>أساس</w:t>
      </w:r>
      <w:r w:rsidRPr="00C611C5">
        <w:rPr>
          <w:rFonts w:hint="cs"/>
          <w:rtl/>
        </w:rPr>
        <w:t xml:space="preserve"> أي</w:t>
      </w:r>
      <w:r>
        <w:rPr>
          <w:rFonts w:hint="cs"/>
          <w:rtl/>
        </w:rPr>
        <w:t>ّ</w:t>
      </w:r>
      <w:r w:rsidRPr="00C611C5">
        <w:rPr>
          <w:rFonts w:hint="cs"/>
          <w:rtl/>
        </w:rPr>
        <w:t xml:space="preserve"> نظام حياتي </w:t>
      </w:r>
      <w:r>
        <w:rPr>
          <w:rFonts w:hint="cs"/>
          <w:rtl/>
        </w:rPr>
        <w:t>اجتماع</w:t>
      </w:r>
      <w:r w:rsidRPr="00C611C5">
        <w:rPr>
          <w:rFonts w:hint="cs"/>
          <w:rtl/>
        </w:rPr>
        <w:t xml:space="preserve">ي، ولذا </w:t>
      </w:r>
      <w:r>
        <w:rPr>
          <w:rFonts w:hint="cs"/>
          <w:rtl/>
        </w:rPr>
        <w:t>رأوا ضرورة تطابق الأنظمة السياسية</w:t>
      </w:r>
      <w:r w:rsidRPr="00C611C5">
        <w:rPr>
          <w:rFonts w:hint="cs"/>
          <w:rtl/>
        </w:rPr>
        <w:t xml:space="preserve"> </w:t>
      </w:r>
      <w:r>
        <w:rPr>
          <w:rFonts w:hint="cs"/>
          <w:rtl/>
        </w:rPr>
        <w:t>و</w:t>
      </w:r>
      <w:r w:rsidRPr="00C611C5">
        <w:rPr>
          <w:rFonts w:hint="cs"/>
          <w:rtl/>
        </w:rPr>
        <w:t xml:space="preserve">الاقتصادية وغيرها </w:t>
      </w:r>
      <w:r>
        <w:rPr>
          <w:rFonts w:hint="cs"/>
          <w:rtl/>
        </w:rPr>
        <w:t>مع النظام الأ</w:t>
      </w:r>
      <w:r w:rsidRPr="00C611C5">
        <w:rPr>
          <w:rFonts w:hint="cs"/>
          <w:rtl/>
        </w:rPr>
        <w:t>سري.</w:t>
      </w:r>
    </w:p>
    <w:p w:rsidR="00C30888" w:rsidRDefault="00C30888" w:rsidP="00C30888">
      <w:pPr>
        <w:pStyle w:val="ac"/>
        <w:rPr>
          <w:rtl/>
        </w:rPr>
      </w:pPr>
      <w:r w:rsidRPr="008827B6">
        <w:rPr>
          <w:rFonts w:hint="cs"/>
          <w:bCs/>
          <w:rtl/>
        </w:rPr>
        <w:t>الفئة الثانية:</w:t>
      </w:r>
      <w:r>
        <w:rPr>
          <w:rFonts w:hint="cs"/>
          <w:rtl/>
        </w:rPr>
        <w:t xml:space="preserve"> و</w:t>
      </w:r>
      <w:r w:rsidRPr="00C611C5">
        <w:rPr>
          <w:rFonts w:hint="cs"/>
          <w:rtl/>
        </w:rPr>
        <w:t>مقابل هذا النمط</w:t>
      </w:r>
      <w:r>
        <w:rPr>
          <w:rFonts w:hint="cs"/>
          <w:rtl/>
        </w:rPr>
        <w:t>،</w:t>
      </w:r>
      <w:r w:rsidRPr="00C611C5">
        <w:rPr>
          <w:rFonts w:hint="cs"/>
          <w:rtl/>
        </w:rPr>
        <w:t xml:space="preserve"> </w:t>
      </w:r>
      <w:r>
        <w:rPr>
          <w:rFonts w:hint="cs"/>
          <w:rtl/>
        </w:rPr>
        <w:t>ثمّة نمط آ</w:t>
      </w:r>
      <w:r w:rsidRPr="00C611C5">
        <w:rPr>
          <w:rFonts w:hint="cs"/>
          <w:rtl/>
        </w:rPr>
        <w:t>خر من التفكير لم ي</w:t>
      </w:r>
      <w:r>
        <w:rPr>
          <w:rFonts w:hint="cs"/>
          <w:rtl/>
        </w:rPr>
        <w:t>حظ</w:t>
      </w:r>
      <w:r w:rsidRPr="00C611C5">
        <w:rPr>
          <w:rFonts w:hint="cs"/>
          <w:rtl/>
        </w:rPr>
        <w:t xml:space="preserve"> </w:t>
      </w:r>
      <w:r>
        <w:rPr>
          <w:rFonts w:hint="cs"/>
          <w:rtl/>
        </w:rPr>
        <w:t>ب</w:t>
      </w:r>
      <w:r w:rsidRPr="00C611C5">
        <w:rPr>
          <w:rFonts w:hint="cs"/>
          <w:rtl/>
        </w:rPr>
        <w:t>رواج</w:t>
      </w:r>
      <w:r>
        <w:rPr>
          <w:rFonts w:hint="cs"/>
          <w:rtl/>
        </w:rPr>
        <w:t>ٍ</w:t>
      </w:r>
      <w:r w:rsidRPr="00C611C5">
        <w:rPr>
          <w:rFonts w:hint="cs"/>
          <w:rtl/>
        </w:rPr>
        <w:t xml:space="preserve"> </w:t>
      </w:r>
      <w:r>
        <w:rPr>
          <w:rFonts w:hint="cs"/>
          <w:rtl/>
        </w:rPr>
        <w:t>فيما مضى،</w:t>
      </w:r>
      <w:r w:rsidRPr="00C611C5">
        <w:rPr>
          <w:rFonts w:hint="cs"/>
          <w:rtl/>
        </w:rPr>
        <w:t xml:space="preserve"> </w:t>
      </w:r>
      <w:r w:rsidRPr="00C611C5">
        <w:rPr>
          <w:rFonts w:hint="cs"/>
          <w:rtl/>
        </w:rPr>
        <w:lastRenderedPageBreak/>
        <w:t>لكن الكثير</w:t>
      </w:r>
      <w:r>
        <w:rPr>
          <w:rFonts w:hint="cs"/>
          <w:rtl/>
        </w:rPr>
        <w:t>ي</w:t>
      </w:r>
      <w:r w:rsidRPr="00C611C5">
        <w:rPr>
          <w:rFonts w:hint="cs"/>
          <w:rtl/>
        </w:rPr>
        <w:t>ن في العصر الحاضر يتبن</w:t>
      </w:r>
      <w:r>
        <w:rPr>
          <w:rFonts w:hint="cs"/>
          <w:rtl/>
        </w:rPr>
        <w:t>ّونه،</w:t>
      </w:r>
      <w:r w:rsidRPr="00C611C5">
        <w:rPr>
          <w:rFonts w:hint="cs"/>
          <w:rtl/>
        </w:rPr>
        <w:t xml:space="preserve"> </w:t>
      </w:r>
      <w:r>
        <w:rPr>
          <w:rFonts w:hint="cs"/>
          <w:rtl/>
        </w:rPr>
        <w:t>ويرى هؤلاء</w:t>
      </w:r>
      <w:r w:rsidRPr="00C611C5">
        <w:rPr>
          <w:rFonts w:hint="cs"/>
          <w:rtl/>
        </w:rPr>
        <w:t xml:space="preserve"> </w:t>
      </w:r>
      <w:r>
        <w:rPr>
          <w:rFonts w:hint="cs"/>
          <w:rtl/>
        </w:rPr>
        <w:t xml:space="preserve">أنّه </w:t>
      </w:r>
      <w:r w:rsidRPr="00C611C5">
        <w:rPr>
          <w:rFonts w:hint="cs"/>
          <w:rtl/>
        </w:rPr>
        <w:t>لا فائدة في البحث عن نظام</w:t>
      </w:r>
      <w:r>
        <w:rPr>
          <w:rFonts w:hint="cs"/>
          <w:rtl/>
        </w:rPr>
        <w:t>ٍ طبيعي إنسان</w:t>
      </w:r>
      <w:r w:rsidRPr="00C611C5">
        <w:rPr>
          <w:rFonts w:hint="cs"/>
          <w:rtl/>
        </w:rPr>
        <w:t>ي في الحياة ال</w:t>
      </w:r>
      <w:r>
        <w:rPr>
          <w:rFonts w:hint="cs"/>
          <w:rtl/>
        </w:rPr>
        <w:t>اجتماع</w:t>
      </w:r>
      <w:r w:rsidRPr="00C611C5">
        <w:rPr>
          <w:rFonts w:hint="cs"/>
          <w:rtl/>
        </w:rPr>
        <w:t>ية</w:t>
      </w:r>
      <w:r>
        <w:rPr>
          <w:rFonts w:hint="cs"/>
          <w:rtl/>
        </w:rPr>
        <w:t>،</w:t>
      </w:r>
      <w:r w:rsidRPr="00C611C5">
        <w:rPr>
          <w:rFonts w:hint="cs"/>
          <w:rtl/>
        </w:rPr>
        <w:t xml:space="preserve"> </w:t>
      </w:r>
      <w:r>
        <w:rPr>
          <w:rFonts w:hint="cs"/>
          <w:rtl/>
        </w:rPr>
        <w:t xml:space="preserve">لكي نفتّش عن </w:t>
      </w:r>
      <w:r w:rsidRPr="00C611C5">
        <w:rPr>
          <w:rFonts w:hint="cs"/>
          <w:rtl/>
        </w:rPr>
        <w:t>نظام</w:t>
      </w:r>
      <w:r>
        <w:rPr>
          <w:rFonts w:hint="cs"/>
          <w:rtl/>
        </w:rPr>
        <w:t>ٍ</w:t>
      </w:r>
      <w:r w:rsidRPr="00C611C5">
        <w:rPr>
          <w:rFonts w:hint="cs"/>
          <w:rtl/>
        </w:rPr>
        <w:t xml:space="preserve"> طبيعي لل</w:t>
      </w:r>
      <w:r>
        <w:rPr>
          <w:rFonts w:hint="cs"/>
          <w:rtl/>
        </w:rPr>
        <w:t>أسرة</w:t>
      </w:r>
      <w:r w:rsidRPr="00C611C5">
        <w:rPr>
          <w:rFonts w:hint="cs"/>
          <w:rtl/>
        </w:rPr>
        <w:t xml:space="preserve"> </w:t>
      </w:r>
      <w:r>
        <w:rPr>
          <w:rFonts w:hint="cs"/>
          <w:rtl/>
        </w:rPr>
        <w:t xml:space="preserve">قائمٍ </w:t>
      </w:r>
      <w:r w:rsidRPr="00C611C5">
        <w:rPr>
          <w:rFonts w:hint="cs"/>
          <w:rtl/>
        </w:rPr>
        <w:t>على البناء الجس</w:t>
      </w:r>
      <w:r>
        <w:rPr>
          <w:rFonts w:hint="cs"/>
          <w:rtl/>
        </w:rPr>
        <w:t>دي والنفسي للرجل والمرأة،</w:t>
      </w:r>
      <w:r w:rsidRPr="00C611C5">
        <w:rPr>
          <w:rtl/>
        </w:rPr>
        <w:t xml:space="preserve"> </w:t>
      </w:r>
      <w:r w:rsidRPr="00C611C5">
        <w:rPr>
          <w:rFonts w:hint="cs"/>
          <w:rtl/>
        </w:rPr>
        <w:t>وما ي</w:t>
      </w:r>
      <w:r>
        <w:rPr>
          <w:rFonts w:hint="cs"/>
          <w:rtl/>
        </w:rPr>
        <w:t>ُ</w:t>
      </w:r>
      <w:r w:rsidRPr="00C611C5">
        <w:rPr>
          <w:rFonts w:hint="cs"/>
          <w:rtl/>
        </w:rPr>
        <w:t>قام من أدل</w:t>
      </w:r>
      <w:r>
        <w:rPr>
          <w:rFonts w:hint="cs"/>
          <w:rtl/>
        </w:rPr>
        <w:t>ّة لإ</w:t>
      </w:r>
      <w:r w:rsidRPr="00C611C5">
        <w:rPr>
          <w:rFonts w:hint="cs"/>
          <w:rtl/>
        </w:rPr>
        <w:t>ثبات وجود</w:t>
      </w:r>
      <w:r>
        <w:rPr>
          <w:rFonts w:hint="cs"/>
          <w:rtl/>
        </w:rPr>
        <w:t xml:space="preserve"> مثل هذا النظام لا يكفي للإقناع؛</w:t>
      </w:r>
      <w:r w:rsidRPr="00C611C5">
        <w:rPr>
          <w:rFonts w:hint="cs"/>
          <w:rtl/>
        </w:rPr>
        <w:t xml:space="preserve"> فلا يمكننا الحديث عن أنظمة </w:t>
      </w:r>
      <w:r>
        <w:rPr>
          <w:rFonts w:hint="cs"/>
          <w:rtl/>
        </w:rPr>
        <w:t>إنسان</w:t>
      </w:r>
      <w:r w:rsidRPr="00C611C5">
        <w:rPr>
          <w:rFonts w:hint="cs"/>
          <w:rtl/>
        </w:rPr>
        <w:t>ية ثابتة</w:t>
      </w:r>
      <w:r>
        <w:rPr>
          <w:rFonts w:hint="cs"/>
          <w:rtl/>
        </w:rPr>
        <w:t>،</w:t>
      </w:r>
      <w:r w:rsidRPr="00C611C5">
        <w:rPr>
          <w:rFonts w:hint="cs"/>
          <w:rtl/>
        </w:rPr>
        <w:t xml:space="preserve"> سواء في</w:t>
      </w:r>
      <w:r>
        <w:rPr>
          <w:rFonts w:hint="cs"/>
          <w:rtl/>
        </w:rPr>
        <w:t xml:space="preserve"> </w:t>
      </w:r>
      <w:r w:rsidRPr="00C611C5">
        <w:rPr>
          <w:rFonts w:hint="cs"/>
          <w:rtl/>
        </w:rPr>
        <w:t>السياسة</w:t>
      </w:r>
      <w:r>
        <w:rPr>
          <w:rFonts w:hint="cs"/>
          <w:rtl/>
        </w:rPr>
        <w:t xml:space="preserve"> أو </w:t>
      </w:r>
      <w:r w:rsidRPr="00C611C5">
        <w:rPr>
          <w:rFonts w:hint="cs"/>
          <w:rtl/>
        </w:rPr>
        <w:t>الاقتصاد</w:t>
      </w:r>
      <w:r>
        <w:rPr>
          <w:rFonts w:hint="cs"/>
          <w:rtl/>
        </w:rPr>
        <w:t xml:space="preserve"> أو </w:t>
      </w:r>
      <w:r w:rsidRPr="00C611C5">
        <w:rPr>
          <w:rFonts w:hint="cs"/>
          <w:rtl/>
        </w:rPr>
        <w:t>ال</w:t>
      </w:r>
      <w:r>
        <w:rPr>
          <w:rFonts w:hint="cs"/>
          <w:rtl/>
        </w:rPr>
        <w:t>أسرة؛</w:t>
      </w:r>
      <w:r w:rsidRPr="00C611C5">
        <w:rPr>
          <w:rFonts w:hint="cs"/>
          <w:rtl/>
        </w:rPr>
        <w:t xml:space="preserve"> فأسئلة مثل</w:t>
      </w:r>
      <w:r>
        <w:rPr>
          <w:rFonts w:hint="cs"/>
          <w:rtl/>
        </w:rPr>
        <w:t>: هل الشكل الفلاني</w:t>
      </w:r>
      <w:r w:rsidRPr="00C611C5">
        <w:rPr>
          <w:rFonts w:hint="cs"/>
          <w:rtl/>
        </w:rPr>
        <w:t xml:space="preserve"> لل</w:t>
      </w:r>
      <w:r>
        <w:rPr>
          <w:rFonts w:hint="cs"/>
          <w:rtl/>
        </w:rPr>
        <w:t>أسرة</w:t>
      </w:r>
      <w:r w:rsidRPr="00C611C5">
        <w:rPr>
          <w:rFonts w:hint="cs"/>
          <w:rtl/>
        </w:rPr>
        <w:t xml:space="preserve"> هو </w:t>
      </w:r>
      <w:r>
        <w:rPr>
          <w:rFonts w:hint="cs"/>
          <w:rtl/>
        </w:rPr>
        <w:t>ال</w:t>
      </w:r>
      <w:r w:rsidRPr="00C611C5">
        <w:rPr>
          <w:rFonts w:hint="cs"/>
          <w:rtl/>
        </w:rPr>
        <w:t>أفضل،</w:t>
      </w:r>
      <w:r>
        <w:rPr>
          <w:rFonts w:hint="cs"/>
          <w:rtl/>
        </w:rPr>
        <w:t xml:space="preserve"> أو </w:t>
      </w:r>
      <w:r w:rsidRPr="00C611C5">
        <w:rPr>
          <w:rFonts w:hint="cs"/>
          <w:rtl/>
        </w:rPr>
        <w:t>أن</w:t>
      </w:r>
      <w:r>
        <w:rPr>
          <w:rFonts w:hint="cs"/>
          <w:rtl/>
        </w:rPr>
        <w:t>ّه أحد الأ</w:t>
      </w:r>
      <w:r w:rsidRPr="00C611C5">
        <w:rPr>
          <w:rFonts w:hint="cs"/>
          <w:rtl/>
        </w:rPr>
        <w:t xml:space="preserve">نواع المتصوّرة لتنظيم العلاقات بين الرجل والمرأة؟ على أيّ </w:t>
      </w:r>
      <w:r>
        <w:rPr>
          <w:rFonts w:hint="cs"/>
          <w:rtl/>
        </w:rPr>
        <w:t>أساس</w:t>
      </w:r>
      <w:r w:rsidRPr="00C611C5">
        <w:rPr>
          <w:rFonts w:hint="cs"/>
          <w:rtl/>
        </w:rPr>
        <w:t xml:space="preserve"> ينبغي تنظيم حقوق</w:t>
      </w:r>
      <w:r>
        <w:rPr>
          <w:rFonts w:hint="cs"/>
          <w:rtl/>
        </w:rPr>
        <w:t xml:space="preserve"> المرأة والرجل؟.. مثل هذه الأ</w:t>
      </w:r>
      <w:r w:rsidRPr="00C611C5">
        <w:rPr>
          <w:rFonts w:hint="cs"/>
          <w:rtl/>
        </w:rPr>
        <w:t xml:space="preserve">سئلة </w:t>
      </w:r>
      <w:r>
        <w:rPr>
          <w:rFonts w:hint="cs"/>
          <w:rtl/>
        </w:rPr>
        <w:t>ذات</w:t>
      </w:r>
      <w:r w:rsidRPr="00C611C5">
        <w:rPr>
          <w:rFonts w:hint="cs"/>
          <w:rtl/>
        </w:rPr>
        <w:t xml:space="preserve"> أجوبة مختلفة في العصور المختلفة.</w:t>
      </w:r>
    </w:p>
    <w:p w:rsidR="00C30888" w:rsidRPr="00C611C5" w:rsidRDefault="00C30888" w:rsidP="00C30888">
      <w:pPr>
        <w:pStyle w:val="ac"/>
        <w:rPr>
          <w:rtl/>
        </w:rPr>
      </w:pPr>
      <w:r w:rsidRPr="00C611C5">
        <w:rPr>
          <w:rFonts w:hint="cs"/>
          <w:rtl/>
        </w:rPr>
        <w:t>وعلى أيّ</w:t>
      </w:r>
      <w:r>
        <w:rPr>
          <w:rFonts w:hint="cs"/>
          <w:rtl/>
        </w:rPr>
        <w:t>ة</w:t>
      </w:r>
      <w:r w:rsidRPr="00C611C5">
        <w:rPr>
          <w:rFonts w:hint="cs"/>
          <w:rtl/>
        </w:rPr>
        <w:t xml:space="preserve"> حال</w:t>
      </w:r>
      <w:r>
        <w:rPr>
          <w:rFonts w:hint="cs"/>
          <w:rtl/>
        </w:rPr>
        <w:t>،</w:t>
      </w:r>
      <w:r w:rsidRPr="00C611C5">
        <w:rPr>
          <w:rFonts w:hint="cs"/>
          <w:rtl/>
        </w:rPr>
        <w:t xml:space="preserve"> </w:t>
      </w:r>
      <w:r>
        <w:rPr>
          <w:rFonts w:hint="cs"/>
          <w:rtl/>
        </w:rPr>
        <w:t xml:space="preserve">ينطلق هذا المنهج الجديد من نوعٍ من القراءة </w:t>
      </w:r>
      <w:r w:rsidRPr="00C611C5">
        <w:rPr>
          <w:rFonts w:hint="cs"/>
          <w:rtl/>
        </w:rPr>
        <w:t xml:space="preserve">التاريخية </w:t>
      </w:r>
      <w:r>
        <w:rPr>
          <w:rFonts w:hint="cs"/>
          <w:rtl/>
        </w:rPr>
        <w:t>لموضوعة الأسرة</w:t>
      </w:r>
      <w:r w:rsidRPr="00C611C5">
        <w:rPr>
          <w:rFonts w:hint="cs"/>
          <w:rtl/>
        </w:rPr>
        <w:t xml:space="preserve"> وأصل العلاقة بين الرجل والمر</w:t>
      </w:r>
      <w:r>
        <w:rPr>
          <w:rFonts w:hint="cs"/>
          <w:rtl/>
        </w:rPr>
        <w:t>أة،</w:t>
      </w:r>
      <w:r w:rsidRPr="00C611C5">
        <w:rPr>
          <w:rFonts w:hint="cs"/>
          <w:rtl/>
        </w:rPr>
        <w:t xml:space="preserve"> ويعتقد </w:t>
      </w:r>
      <w:r>
        <w:rPr>
          <w:rFonts w:hint="cs"/>
          <w:rtl/>
        </w:rPr>
        <w:t>أنّه من اللازم في كلّ عصرٍ وزمان إعادة الحديث عن تحديد النوع الأنسب للنظام الاجتماعي والأسري؛ بغية تحديد ما يمكن أن يكون أساساً</w:t>
      </w:r>
      <w:r w:rsidRPr="00C611C5">
        <w:rPr>
          <w:rFonts w:hint="cs"/>
          <w:rtl/>
        </w:rPr>
        <w:t xml:space="preserve"> </w:t>
      </w:r>
      <w:r>
        <w:rPr>
          <w:rFonts w:hint="cs"/>
          <w:rtl/>
        </w:rPr>
        <w:t>ل</w:t>
      </w:r>
      <w:r w:rsidRPr="00C611C5">
        <w:rPr>
          <w:rFonts w:hint="cs"/>
          <w:rtl/>
        </w:rPr>
        <w:t xml:space="preserve">لحياة المشتركة، </w:t>
      </w:r>
      <w:r>
        <w:rPr>
          <w:rFonts w:hint="cs"/>
          <w:rtl/>
        </w:rPr>
        <w:t>ومن ثمّ تحديد الحقوق وتعيين نوع التوزيع في العمل</w:t>
      </w:r>
      <w:r w:rsidRPr="00C611C5">
        <w:rPr>
          <w:rFonts w:hint="cs"/>
          <w:rtl/>
        </w:rPr>
        <w:t xml:space="preserve">، وبعبارة </w:t>
      </w:r>
      <w:r>
        <w:rPr>
          <w:rFonts w:hint="cs"/>
          <w:rtl/>
        </w:rPr>
        <w:t>أخرى:</w:t>
      </w:r>
      <w:r w:rsidRPr="00C611C5">
        <w:rPr>
          <w:rFonts w:hint="cs"/>
          <w:rtl/>
        </w:rPr>
        <w:t xml:space="preserve"> </w:t>
      </w:r>
      <w:r>
        <w:rPr>
          <w:rFonts w:hint="cs"/>
          <w:rtl/>
        </w:rPr>
        <w:t>تحديد النظام العادل إذا</w:t>
      </w:r>
      <w:r w:rsidRPr="00C611C5">
        <w:rPr>
          <w:rFonts w:hint="cs"/>
          <w:rtl/>
        </w:rPr>
        <w:t xml:space="preserve"> كانت العدالة هي المعي</w:t>
      </w:r>
      <w:r>
        <w:rPr>
          <w:rFonts w:hint="cs"/>
          <w:rtl/>
        </w:rPr>
        <w:t>ار النهائي للحكم.</w:t>
      </w:r>
    </w:p>
    <w:p w:rsidR="00C30888" w:rsidRDefault="00C30888" w:rsidP="00C30888">
      <w:pPr>
        <w:pStyle w:val="ac"/>
        <w:rPr>
          <w:rtl/>
        </w:rPr>
      </w:pPr>
      <w:r>
        <w:rPr>
          <w:rFonts w:hint="cs"/>
          <w:rtl/>
        </w:rPr>
        <w:t>إذن، هناك قراءتان لل</w:t>
      </w:r>
      <w:r w:rsidRPr="00C611C5">
        <w:rPr>
          <w:rFonts w:hint="cs"/>
          <w:rtl/>
        </w:rPr>
        <w:t>نظام ال</w:t>
      </w:r>
      <w:r>
        <w:rPr>
          <w:rFonts w:hint="cs"/>
          <w:rtl/>
        </w:rPr>
        <w:t>اجتماع</w:t>
      </w:r>
      <w:r w:rsidRPr="00C611C5">
        <w:rPr>
          <w:rFonts w:hint="cs"/>
          <w:rtl/>
        </w:rPr>
        <w:t>ي</w:t>
      </w:r>
      <w:r>
        <w:rPr>
          <w:rFonts w:hint="cs"/>
          <w:rtl/>
        </w:rPr>
        <w:t>،</w:t>
      </w:r>
      <w:r w:rsidRPr="00C611C5">
        <w:rPr>
          <w:rFonts w:hint="cs"/>
          <w:rtl/>
        </w:rPr>
        <w:t xml:space="preserve"> و</w:t>
      </w:r>
      <w:r>
        <w:rPr>
          <w:rFonts w:hint="cs"/>
          <w:rtl/>
        </w:rPr>
        <w:t xml:space="preserve">من </w:t>
      </w:r>
      <w:r w:rsidRPr="00C611C5">
        <w:rPr>
          <w:rFonts w:hint="cs"/>
          <w:rtl/>
        </w:rPr>
        <w:t>ضمن</w:t>
      </w:r>
      <w:r>
        <w:rPr>
          <w:rFonts w:hint="cs"/>
          <w:rtl/>
        </w:rPr>
        <w:t>ه النظام الأسري،</w:t>
      </w:r>
      <w:r w:rsidRPr="00C611C5">
        <w:rPr>
          <w:rFonts w:hint="cs"/>
          <w:rtl/>
        </w:rPr>
        <w:t xml:space="preserve"> وكما ذكرنا </w:t>
      </w:r>
      <w:r>
        <w:rPr>
          <w:rFonts w:hint="cs"/>
          <w:rtl/>
        </w:rPr>
        <w:t>تتحوّل القراءة</w:t>
      </w:r>
      <w:r w:rsidRPr="00C611C5">
        <w:rPr>
          <w:rFonts w:hint="cs"/>
          <w:rtl/>
        </w:rPr>
        <w:t xml:space="preserve"> الثاني</w:t>
      </w:r>
      <w:r>
        <w:rPr>
          <w:rFonts w:hint="cs"/>
          <w:rtl/>
        </w:rPr>
        <w:t>ة</w:t>
      </w:r>
      <w:r w:rsidRPr="00C611C5">
        <w:rPr>
          <w:rFonts w:hint="cs"/>
          <w:rtl/>
        </w:rPr>
        <w:t xml:space="preserve"> </w:t>
      </w:r>
      <w:r>
        <w:rPr>
          <w:rFonts w:hint="cs"/>
          <w:rtl/>
        </w:rPr>
        <w:t xml:space="preserve">إلى تفكير نشط وفاعل </w:t>
      </w:r>
      <w:r w:rsidRPr="00C611C5">
        <w:rPr>
          <w:rFonts w:hint="cs"/>
          <w:rtl/>
        </w:rPr>
        <w:t xml:space="preserve">عندما </w:t>
      </w:r>
      <w:r>
        <w:rPr>
          <w:rFonts w:hint="cs"/>
          <w:rtl/>
        </w:rPr>
        <w:t xml:space="preserve">تجري مطالعة </w:t>
      </w:r>
      <w:r w:rsidRPr="00C611C5">
        <w:rPr>
          <w:rFonts w:hint="cs"/>
          <w:rtl/>
        </w:rPr>
        <w:t>الحياة ال</w:t>
      </w:r>
      <w:r>
        <w:rPr>
          <w:rFonts w:hint="cs"/>
          <w:rtl/>
        </w:rPr>
        <w:t>إنسان</w:t>
      </w:r>
      <w:r w:rsidRPr="00C611C5">
        <w:rPr>
          <w:rFonts w:hint="cs"/>
          <w:rtl/>
        </w:rPr>
        <w:t>ية ب</w:t>
      </w:r>
      <w:r>
        <w:rPr>
          <w:rFonts w:hint="cs"/>
          <w:rtl/>
        </w:rPr>
        <w:t>عين</w:t>
      </w:r>
      <w:r w:rsidRPr="00C611C5">
        <w:rPr>
          <w:rFonts w:hint="cs"/>
          <w:rtl/>
        </w:rPr>
        <w:t xml:space="preserve"> تاريخية</w:t>
      </w:r>
      <w:r>
        <w:rPr>
          <w:rFonts w:hint="cs"/>
          <w:rtl/>
        </w:rPr>
        <w:t>.</w:t>
      </w:r>
    </w:p>
    <w:p w:rsidR="00C30888" w:rsidRDefault="00C30888" w:rsidP="00C30888">
      <w:pPr>
        <w:pStyle w:val="ac"/>
        <w:rPr>
          <w:rtl/>
        </w:rPr>
      </w:pPr>
      <w:r>
        <w:rPr>
          <w:rFonts w:hint="cs"/>
          <w:rtl/>
        </w:rPr>
        <w:t xml:space="preserve">وعليه، </w:t>
      </w:r>
      <w:r w:rsidRPr="00C611C5">
        <w:rPr>
          <w:rFonts w:hint="cs"/>
          <w:rtl/>
        </w:rPr>
        <w:t xml:space="preserve">يأتي السؤال عن </w:t>
      </w:r>
      <w:r>
        <w:rPr>
          <w:rFonts w:hint="cs"/>
          <w:rtl/>
        </w:rPr>
        <w:t>قراءة</w:t>
      </w:r>
      <w:r w:rsidRPr="00C611C5">
        <w:rPr>
          <w:rFonts w:hint="cs"/>
          <w:rtl/>
        </w:rPr>
        <w:t xml:space="preserve"> الفقهاء</w:t>
      </w:r>
      <w:r>
        <w:rPr>
          <w:rFonts w:hint="cs"/>
          <w:rtl/>
        </w:rPr>
        <w:t xml:space="preserve"> لنظام </w:t>
      </w:r>
      <w:r w:rsidRPr="00C611C5">
        <w:rPr>
          <w:rFonts w:hint="cs"/>
          <w:rtl/>
        </w:rPr>
        <w:t>ال</w:t>
      </w:r>
      <w:r>
        <w:rPr>
          <w:rFonts w:hint="cs"/>
          <w:rtl/>
        </w:rPr>
        <w:t>أسرة</w:t>
      </w:r>
      <w:r w:rsidRPr="00C611C5">
        <w:rPr>
          <w:rFonts w:hint="cs"/>
          <w:rtl/>
        </w:rPr>
        <w:t xml:space="preserve"> </w:t>
      </w:r>
      <w:r>
        <w:rPr>
          <w:rFonts w:hint="cs"/>
          <w:rtl/>
        </w:rPr>
        <w:t>وكيف تتكوّن وتتبلور</w:t>
      </w:r>
      <w:r w:rsidRPr="00C611C5">
        <w:rPr>
          <w:rFonts w:hint="cs"/>
          <w:rtl/>
        </w:rPr>
        <w:t>؟</w:t>
      </w:r>
      <w:r>
        <w:rPr>
          <w:rFonts w:hint="cs"/>
          <w:rtl/>
        </w:rPr>
        <w:t xml:space="preserve"> </w:t>
      </w:r>
      <w:r w:rsidRPr="00C611C5">
        <w:rPr>
          <w:rFonts w:hint="cs"/>
          <w:rtl/>
        </w:rPr>
        <w:t xml:space="preserve">وما هي الفرضيات المسبقة التي تمّ على </w:t>
      </w:r>
      <w:r>
        <w:rPr>
          <w:rFonts w:hint="cs"/>
          <w:rtl/>
        </w:rPr>
        <w:t>أساس</w:t>
      </w:r>
      <w:r w:rsidRPr="00C611C5">
        <w:rPr>
          <w:rFonts w:hint="cs"/>
          <w:rtl/>
        </w:rPr>
        <w:t>ها استنطاق الكتاب والسن</w:t>
      </w:r>
      <w:r>
        <w:rPr>
          <w:rFonts w:hint="cs"/>
          <w:rtl/>
        </w:rPr>
        <w:t>ّ</w:t>
      </w:r>
      <w:r w:rsidRPr="00C611C5">
        <w:rPr>
          <w:rFonts w:hint="cs"/>
          <w:rtl/>
        </w:rPr>
        <w:t>ة و</w:t>
      </w:r>
      <w:r>
        <w:rPr>
          <w:rFonts w:hint="cs"/>
          <w:rtl/>
        </w:rPr>
        <w:t>ممارسة</w:t>
      </w:r>
      <w:r w:rsidRPr="00C611C5">
        <w:rPr>
          <w:rFonts w:hint="cs"/>
          <w:rtl/>
        </w:rPr>
        <w:t xml:space="preserve"> </w:t>
      </w:r>
      <w:r>
        <w:rPr>
          <w:rFonts w:hint="cs"/>
          <w:rtl/>
        </w:rPr>
        <w:t>ال</w:t>
      </w:r>
      <w:r w:rsidRPr="00C611C5">
        <w:rPr>
          <w:rFonts w:hint="cs"/>
          <w:rtl/>
        </w:rPr>
        <w:t>عملية الاجتهاد</w:t>
      </w:r>
      <w:r>
        <w:rPr>
          <w:rFonts w:hint="cs"/>
          <w:rtl/>
        </w:rPr>
        <w:t>ية؟</w:t>
      </w:r>
    </w:p>
    <w:p w:rsidR="00C30888" w:rsidRPr="00C611C5" w:rsidRDefault="00C30888" w:rsidP="00C30888">
      <w:pPr>
        <w:pStyle w:val="ac"/>
        <w:rPr>
          <w:rFonts w:cs="Abz-1 (Lotus)"/>
          <w:szCs w:val="29"/>
          <w:rtl/>
        </w:rPr>
      </w:pPr>
      <w:r>
        <w:rPr>
          <w:rFonts w:hint="cs"/>
          <w:rtl/>
        </w:rPr>
        <w:t>إن أ</w:t>
      </w:r>
      <w:r w:rsidRPr="00C611C5">
        <w:rPr>
          <w:rFonts w:hint="cs"/>
          <w:rtl/>
        </w:rPr>
        <w:t>بحاث الفقهاء تدل</w:t>
      </w:r>
      <w:r>
        <w:rPr>
          <w:rFonts w:hint="cs"/>
          <w:rtl/>
        </w:rPr>
        <w:t>ّ على أ</w:t>
      </w:r>
      <w:r w:rsidRPr="00C611C5">
        <w:rPr>
          <w:rFonts w:hint="cs"/>
          <w:rtl/>
        </w:rPr>
        <w:t>ن</w:t>
      </w:r>
      <w:r>
        <w:rPr>
          <w:rFonts w:hint="cs"/>
          <w:rtl/>
        </w:rPr>
        <w:t>ّ</w:t>
      </w:r>
      <w:r w:rsidRPr="00C611C5">
        <w:rPr>
          <w:rFonts w:hint="cs"/>
          <w:rtl/>
        </w:rPr>
        <w:t xml:space="preserve">هم </w:t>
      </w:r>
      <w:r>
        <w:rPr>
          <w:rFonts w:hint="cs"/>
          <w:rtl/>
        </w:rPr>
        <w:t xml:space="preserve">كانوا ينزعون دوماً ناحية </w:t>
      </w:r>
      <w:r w:rsidRPr="00C611C5">
        <w:rPr>
          <w:rFonts w:hint="cs"/>
          <w:rtl/>
        </w:rPr>
        <w:t>وجود نظام</w:t>
      </w:r>
      <w:r>
        <w:rPr>
          <w:rFonts w:hint="cs"/>
          <w:rtl/>
        </w:rPr>
        <w:t>ٍ</w:t>
      </w:r>
      <w:r w:rsidRPr="00C611C5">
        <w:rPr>
          <w:rFonts w:hint="cs"/>
          <w:rtl/>
        </w:rPr>
        <w:t xml:space="preserve"> طبيعي</w:t>
      </w:r>
      <w:r>
        <w:rPr>
          <w:rFonts w:hint="cs"/>
          <w:rtl/>
        </w:rPr>
        <w:t>ّ</w:t>
      </w:r>
      <w:r w:rsidRPr="00C611C5">
        <w:rPr>
          <w:rFonts w:hint="cs"/>
          <w:rtl/>
        </w:rPr>
        <w:t xml:space="preserve"> لل</w:t>
      </w:r>
      <w:r>
        <w:rPr>
          <w:rFonts w:hint="cs"/>
          <w:rtl/>
        </w:rPr>
        <w:t xml:space="preserve">أسرة، </w:t>
      </w:r>
      <w:r w:rsidRPr="00C611C5">
        <w:rPr>
          <w:rFonts w:hint="cs"/>
          <w:rtl/>
        </w:rPr>
        <w:t>و</w:t>
      </w:r>
      <w:r>
        <w:rPr>
          <w:rFonts w:hint="cs"/>
          <w:rtl/>
        </w:rPr>
        <w:t>لسنا بحاجة لكثير توغّل؛ إذ ت</w:t>
      </w:r>
      <w:r w:rsidRPr="00C611C5">
        <w:rPr>
          <w:rFonts w:hint="cs"/>
          <w:rtl/>
        </w:rPr>
        <w:t xml:space="preserve">كفي </w:t>
      </w:r>
      <w:r>
        <w:rPr>
          <w:rFonts w:hint="cs"/>
          <w:rtl/>
        </w:rPr>
        <w:t xml:space="preserve">إطلالة عابرة على </w:t>
      </w:r>
      <w:r w:rsidRPr="00C611C5">
        <w:rPr>
          <w:rFonts w:hint="cs"/>
          <w:rtl/>
        </w:rPr>
        <w:t>آثار بعض المفك</w:t>
      </w:r>
      <w:r>
        <w:rPr>
          <w:rFonts w:hint="cs"/>
          <w:rtl/>
        </w:rPr>
        <w:t>ّ</w:t>
      </w:r>
      <w:r w:rsidRPr="00C611C5">
        <w:rPr>
          <w:rFonts w:hint="cs"/>
          <w:rtl/>
        </w:rPr>
        <w:t>رين المتأ</w:t>
      </w:r>
      <w:r>
        <w:rPr>
          <w:rFonts w:hint="cs"/>
          <w:rtl/>
        </w:rPr>
        <w:t>خرين؛</w:t>
      </w:r>
      <w:r w:rsidRPr="00C611C5">
        <w:rPr>
          <w:rFonts w:hint="cs"/>
          <w:rtl/>
        </w:rPr>
        <w:t xml:space="preserve"> لنجد الصورة </w:t>
      </w:r>
      <w:r>
        <w:rPr>
          <w:rFonts w:hint="cs"/>
          <w:rtl/>
        </w:rPr>
        <w:t xml:space="preserve">عينها </w:t>
      </w:r>
      <w:r w:rsidRPr="00C611C5">
        <w:rPr>
          <w:rFonts w:hint="cs"/>
          <w:rtl/>
        </w:rPr>
        <w:t>للعلاقة بين الرجل والمرأة التي كان القدماء</w:t>
      </w:r>
      <w:r>
        <w:rPr>
          <w:rFonts w:hint="cs"/>
          <w:rtl/>
        </w:rPr>
        <w:t xml:space="preserve"> قد بنوا عليها تصوّراتهم، فأ</w:t>
      </w:r>
      <w:r w:rsidRPr="00C611C5">
        <w:rPr>
          <w:rFonts w:hint="cs"/>
          <w:rtl/>
        </w:rPr>
        <w:t>م</w:t>
      </w:r>
      <w:r>
        <w:rPr>
          <w:rFonts w:hint="cs"/>
          <w:rtl/>
        </w:rPr>
        <w:t>ّ</w:t>
      </w:r>
      <w:r w:rsidRPr="00C611C5">
        <w:rPr>
          <w:rFonts w:hint="cs"/>
          <w:rtl/>
        </w:rPr>
        <w:t xml:space="preserve">هات ما ذكره المطهري </w:t>
      </w:r>
      <w:r>
        <w:rPr>
          <w:rFonts w:hint="cs"/>
          <w:rtl/>
        </w:rPr>
        <w:t xml:space="preserve">ـ مثلاً ـ </w:t>
      </w:r>
      <w:r w:rsidRPr="00C611C5">
        <w:rPr>
          <w:rFonts w:hint="cs"/>
          <w:rtl/>
        </w:rPr>
        <w:t>في كتاب</w:t>
      </w:r>
      <w:r>
        <w:rPr>
          <w:rFonts w:hint="cs"/>
          <w:rtl/>
        </w:rPr>
        <w:t>:</w:t>
      </w:r>
      <w:r w:rsidRPr="00C611C5">
        <w:rPr>
          <w:rFonts w:hint="cs"/>
          <w:rtl/>
        </w:rPr>
        <w:t xml:space="preserve"> نظام حقوق</w:t>
      </w:r>
      <w:r>
        <w:rPr>
          <w:rFonts w:hint="cs"/>
          <w:rtl/>
        </w:rPr>
        <w:t xml:space="preserve"> المرأة </w:t>
      </w:r>
      <w:r w:rsidRPr="00C611C5">
        <w:rPr>
          <w:rFonts w:hint="cs"/>
          <w:rtl/>
        </w:rPr>
        <w:t>في ال</w:t>
      </w:r>
      <w:r>
        <w:rPr>
          <w:rFonts w:hint="cs"/>
          <w:rtl/>
        </w:rPr>
        <w:t>إسلام،</w:t>
      </w:r>
      <w:r w:rsidRPr="00C611C5">
        <w:rPr>
          <w:rFonts w:hint="cs"/>
          <w:rtl/>
        </w:rPr>
        <w:t xml:space="preserve"> وما صوّره </w:t>
      </w:r>
      <w:r>
        <w:rPr>
          <w:rFonts w:hint="cs"/>
          <w:rtl/>
        </w:rPr>
        <w:t xml:space="preserve">هناك </w:t>
      </w:r>
      <w:r w:rsidRPr="00C611C5">
        <w:rPr>
          <w:rFonts w:hint="cs"/>
          <w:rtl/>
        </w:rPr>
        <w:t>من نظام طبيعي</w:t>
      </w:r>
      <w:r>
        <w:rPr>
          <w:rFonts w:hint="cs"/>
          <w:rtl/>
        </w:rPr>
        <w:t>،</w:t>
      </w:r>
      <w:r w:rsidRPr="00C611C5">
        <w:rPr>
          <w:rFonts w:hint="cs"/>
          <w:rtl/>
        </w:rPr>
        <w:t xml:space="preserve"> </w:t>
      </w:r>
      <w:r>
        <w:rPr>
          <w:rFonts w:hint="cs"/>
          <w:rtl/>
        </w:rPr>
        <w:t xml:space="preserve">متطابقٌ </w:t>
      </w:r>
      <w:r w:rsidRPr="00C611C5">
        <w:rPr>
          <w:rFonts w:hint="cs"/>
          <w:rtl/>
        </w:rPr>
        <w:t>مع ال</w:t>
      </w:r>
      <w:r>
        <w:rPr>
          <w:rFonts w:hint="cs"/>
          <w:rtl/>
        </w:rPr>
        <w:t>صورة التي رسمها</w:t>
      </w:r>
      <w:r w:rsidRPr="00C611C5">
        <w:rPr>
          <w:rFonts w:hint="cs"/>
          <w:rtl/>
        </w:rPr>
        <w:t xml:space="preserve"> القدماء.</w:t>
      </w:r>
    </w:p>
    <w:p w:rsidR="00C30888" w:rsidRPr="00C30888" w:rsidRDefault="00E06333" w:rsidP="00C30888">
      <w:pPr>
        <w:pStyle w:val="ac"/>
        <w:rPr>
          <w:b/>
          <w:bCs/>
          <w:rtl/>
        </w:rPr>
      </w:pPr>
      <w:r w:rsidRPr="00E06333">
        <w:rPr>
          <w:rFonts w:hint="cs"/>
        </w:rPr>
        <w:lastRenderedPageBreak/>
        <w:sym w:font="AGA Arabesque" w:char="F05F"/>
      </w:r>
      <w:r w:rsidRPr="00E06333">
        <w:rPr>
          <w:rFonts w:hint="cs"/>
          <w:rtl/>
        </w:rPr>
        <w:t xml:space="preserve"> </w:t>
      </w:r>
      <w:r w:rsidR="00C30888" w:rsidRPr="00C30888">
        <w:rPr>
          <w:rFonts w:hint="cs"/>
          <w:b/>
          <w:bCs/>
          <w:rtl/>
        </w:rPr>
        <w:t>ما هو دور الرجل والمرأة عند القدماء وفق النظام الطبيعي التقليدي الذي تصوّروه؟</w:t>
      </w:r>
    </w:p>
    <w:p w:rsidR="00C30888" w:rsidRDefault="00E06333" w:rsidP="00C30888">
      <w:pPr>
        <w:pStyle w:val="ac"/>
        <w:rPr>
          <w:rtl/>
        </w:rPr>
      </w:pPr>
      <w:r>
        <w:rPr>
          <w:rFonts w:hint="cs"/>
        </w:rPr>
        <w:sym w:font="AGA Arabesque" w:char="F05E"/>
      </w:r>
      <w:r>
        <w:rPr>
          <w:rFonts w:hint="cs"/>
          <w:rtl/>
        </w:rPr>
        <w:t xml:space="preserve"> </w:t>
      </w:r>
      <w:r w:rsidR="00C30888" w:rsidRPr="00C611C5">
        <w:rPr>
          <w:rFonts w:hint="cs"/>
          <w:rtl/>
        </w:rPr>
        <w:t>بشكل</w:t>
      </w:r>
      <w:r w:rsidR="00C30888">
        <w:rPr>
          <w:rFonts w:hint="cs"/>
          <w:rtl/>
        </w:rPr>
        <w:t>ٍ</w:t>
      </w:r>
      <w:r w:rsidR="00C30888" w:rsidRPr="00C611C5">
        <w:rPr>
          <w:rFonts w:hint="cs"/>
          <w:rtl/>
        </w:rPr>
        <w:t xml:space="preserve"> مجمل</w:t>
      </w:r>
      <w:r w:rsidR="00C30888">
        <w:rPr>
          <w:rFonts w:hint="cs"/>
          <w:rtl/>
        </w:rPr>
        <w:t>،</w:t>
      </w:r>
      <w:r w:rsidR="00C30888" w:rsidRPr="00C611C5">
        <w:rPr>
          <w:rFonts w:hint="cs"/>
          <w:rtl/>
        </w:rPr>
        <w:t xml:space="preserve"> يمكن </w:t>
      </w:r>
      <w:r w:rsidR="00C30888">
        <w:rPr>
          <w:rFonts w:hint="cs"/>
          <w:rtl/>
        </w:rPr>
        <w:t>القول:</w:t>
      </w:r>
      <w:r w:rsidR="00C30888" w:rsidRPr="00C611C5">
        <w:rPr>
          <w:rFonts w:hint="cs"/>
          <w:rtl/>
        </w:rPr>
        <w:t xml:space="preserve"> </w:t>
      </w:r>
      <w:r w:rsidR="00C30888">
        <w:rPr>
          <w:rFonts w:hint="cs"/>
          <w:rtl/>
        </w:rPr>
        <w:t>إ</w:t>
      </w:r>
      <w:r w:rsidR="00C30888" w:rsidRPr="00C611C5">
        <w:rPr>
          <w:rFonts w:hint="cs"/>
          <w:rtl/>
        </w:rPr>
        <w:t>ن</w:t>
      </w:r>
      <w:r w:rsidR="00C30888">
        <w:rPr>
          <w:rFonts w:hint="cs"/>
          <w:rtl/>
        </w:rPr>
        <w:t>ّ</w:t>
      </w:r>
      <w:r w:rsidR="00C30888" w:rsidRPr="00C611C5">
        <w:rPr>
          <w:rFonts w:hint="cs"/>
          <w:rtl/>
        </w:rPr>
        <w:t xml:space="preserve"> القدماء كانوا </w:t>
      </w:r>
      <w:r w:rsidR="00C30888">
        <w:rPr>
          <w:rFonts w:hint="cs"/>
          <w:rtl/>
        </w:rPr>
        <w:t xml:space="preserve">يرون المرأة </w:t>
      </w:r>
      <w:r w:rsidR="00C30888" w:rsidRPr="00C611C5">
        <w:rPr>
          <w:rFonts w:hint="cs"/>
          <w:rtl/>
        </w:rPr>
        <w:t>موجود</w:t>
      </w:r>
      <w:r w:rsidR="00C30888">
        <w:rPr>
          <w:rFonts w:hint="cs"/>
          <w:rtl/>
        </w:rPr>
        <w:t>اً</w:t>
      </w:r>
      <w:r w:rsidR="00C30888" w:rsidRPr="00C611C5">
        <w:rPr>
          <w:rFonts w:hint="cs"/>
          <w:rtl/>
        </w:rPr>
        <w:t xml:space="preserve"> وظيفته </w:t>
      </w:r>
      <w:r w:rsidR="00C30888">
        <w:rPr>
          <w:rFonts w:hint="cs"/>
          <w:rtl/>
        </w:rPr>
        <w:t>الأ</w:t>
      </w:r>
      <w:r w:rsidR="00C30888" w:rsidRPr="00C611C5">
        <w:rPr>
          <w:rFonts w:hint="cs"/>
          <w:rtl/>
        </w:rPr>
        <w:t>ولى الحمل</w:t>
      </w:r>
      <w:r w:rsidR="00C30888">
        <w:rPr>
          <w:rFonts w:hint="cs"/>
          <w:rtl/>
        </w:rPr>
        <w:t>ُ والولادة لحفظ النسل الإنساني،</w:t>
      </w:r>
      <w:r w:rsidR="00C30888" w:rsidRPr="00C611C5">
        <w:rPr>
          <w:rFonts w:hint="cs"/>
          <w:rtl/>
        </w:rPr>
        <w:t xml:space="preserve"> وفي واقع </w:t>
      </w:r>
      <w:r w:rsidR="00C30888">
        <w:rPr>
          <w:rFonts w:hint="cs"/>
          <w:rtl/>
        </w:rPr>
        <w:t xml:space="preserve">الأمر، نرى </w:t>
      </w:r>
      <w:r w:rsidR="00C30888" w:rsidRPr="00C611C5">
        <w:rPr>
          <w:rFonts w:hint="cs"/>
          <w:rtl/>
        </w:rPr>
        <w:t>الكثير من الحقوق المعطاة للمرأة</w:t>
      </w:r>
      <w:r w:rsidR="00C30888">
        <w:rPr>
          <w:rFonts w:hint="cs"/>
          <w:rtl/>
        </w:rPr>
        <w:t xml:space="preserve"> أو </w:t>
      </w:r>
      <w:r w:rsidR="00C30888" w:rsidRPr="00C611C5">
        <w:rPr>
          <w:rFonts w:hint="cs"/>
          <w:rtl/>
        </w:rPr>
        <w:t xml:space="preserve">المسلوبة منها </w:t>
      </w:r>
      <w:r w:rsidR="00C30888">
        <w:rPr>
          <w:rFonts w:hint="cs"/>
          <w:rtl/>
        </w:rPr>
        <w:t xml:space="preserve">قائمٌ </w:t>
      </w:r>
      <w:r w:rsidR="00C30888" w:rsidRPr="00C611C5">
        <w:rPr>
          <w:rFonts w:hint="cs"/>
          <w:rtl/>
        </w:rPr>
        <w:t xml:space="preserve">على </w:t>
      </w:r>
      <w:r w:rsidR="00C30888">
        <w:rPr>
          <w:rFonts w:hint="cs"/>
          <w:rtl/>
        </w:rPr>
        <w:t>ه</w:t>
      </w:r>
      <w:r w:rsidR="00C30888" w:rsidRPr="00C611C5">
        <w:rPr>
          <w:rFonts w:hint="cs"/>
          <w:rtl/>
        </w:rPr>
        <w:t xml:space="preserve">ذه </w:t>
      </w:r>
      <w:r w:rsidR="00C30888">
        <w:rPr>
          <w:rFonts w:hint="cs"/>
          <w:rtl/>
        </w:rPr>
        <w:t>الرؤية،</w:t>
      </w:r>
      <w:r w:rsidR="00C30888" w:rsidRPr="00C611C5">
        <w:rPr>
          <w:rFonts w:hint="cs"/>
          <w:rtl/>
        </w:rPr>
        <w:t xml:space="preserve"> و</w:t>
      </w:r>
      <w:r w:rsidR="00C30888">
        <w:rPr>
          <w:rFonts w:hint="cs"/>
          <w:rtl/>
        </w:rPr>
        <w:t>أ</w:t>
      </w:r>
      <w:r w:rsidR="00C30888" w:rsidRPr="00C611C5">
        <w:rPr>
          <w:rFonts w:hint="cs"/>
          <w:rtl/>
        </w:rPr>
        <w:t>ن</w:t>
      </w:r>
      <w:r w:rsidR="00C30888">
        <w:rPr>
          <w:rFonts w:hint="cs"/>
          <w:rtl/>
        </w:rPr>
        <w:t>ّ</w:t>
      </w:r>
      <w:r w:rsidR="00C30888" w:rsidRPr="00C611C5">
        <w:rPr>
          <w:rFonts w:hint="cs"/>
          <w:rtl/>
        </w:rPr>
        <w:t xml:space="preserve"> ال</w:t>
      </w:r>
      <w:r w:rsidR="00C30888">
        <w:rPr>
          <w:rFonts w:hint="cs"/>
          <w:rtl/>
        </w:rPr>
        <w:t>أسرة</w:t>
      </w:r>
      <w:r w:rsidR="00C30888" w:rsidRPr="00C611C5">
        <w:rPr>
          <w:rFonts w:hint="cs"/>
          <w:rtl/>
        </w:rPr>
        <w:t xml:space="preserve"> هي ال</w:t>
      </w:r>
      <w:r w:rsidR="00C30888">
        <w:rPr>
          <w:rFonts w:hint="cs"/>
          <w:rtl/>
        </w:rPr>
        <w:t>أساس لقيام الأ</w:t>
      </w:r>
      <w:r w:rsidR="00C30888" w:rsidRPr="00C611C5">
        <w:rPr>
          <w:rFonts w:hint="cs"/>
          <w:rtl/>
        </w:rPr>
        <w:t>نشطة ال</w:t>
      </w:r>
      <w:r w:rsidR="00C30888">
        <w:rPr>
          <w:rFonts w:hint="cs"/>
          <w:rtl/>
        </w:rPr>
        <w:t>اجتماع</w:t>
      </w:r>
      <w:r w:rsidR="00C30888" w:rsidRPr="00C611C5">
        <w:rPr>
          <w:rFonts w:hint="cs"/>
          <w:rtl/>
        </w:rPr>
        <w:t>ية</w:t>
      </w:r>
      <w:r w:rsidR="00C30888">
        <w:rPr>
          <w:rFonts w:hint="cs"/>
          <w:rtl/>
        </w:rPr>
        <w:t xml:space="preserve"> جميعها،</w:t>
      </w:r>
      <w:r w:rsidR="00C30888" w:rsidRPr="00C611C5">
        <w:rPr>
          <w:rFonts w:hint="cs"/>
          <w:rtl/>
        </w:rPr>
        <w:t xml:space="preserve"> </w:t>
      </w:r>
      <w:r w:rsidR="00C30888">
        <w:rPr>
          <w:rFonts w:hint="cs"/>
          <w:rtl/>
        </w:rPr>
        <w:t xml:space="preserve">ويرى القدماء أنّ الرجل </w:t>
      </w:r>
      <w:r w:rsidR="00C30888" w:rsidRPr="00C611C5">
        <w:rPr>
          <w:rFonts w:hint="cs"/>
          <w:rtl/>
        </w:rPr>
        <w:t>موجود صانع</w:t>
      </w:r>
      <w:r w:rsidR="00C30888">
        <w:rPr>
          <w:rFonts w:hint="cs"/>
          <w:rtl/>
        </w:rPr>
        <w:t>ٌ</w:t>
      </w:r>
      <w:r w:rsidR="00C30888" w:rsidRPr="00C611C5">
        <w:rPr>
          <w:rFonts w:hint="cs"/>
          <w:rtl/>
        </w:rPr>
        <w:t xml:space="preserve"> للحضارة، ومدير للمجتمع</w:t>
      </w:r>
      <w:r w:rsidR="00C30888">
        <w:rPr>
          <w:rFonts w:hint="cs"/>
          <w:rtl/>
        </w:rPr>
        <w:t xml:space="preserve">، تقع </w:t>
      </w:r>
      <w:r w:rsidR="00C30888" w:rsidRPr="00C611C5">
        <w:rPr>
          <w:rFonts w:hint="cs"/>
          <w:rtl/>
        </w:rPr>
        <w:t xml:space="preserve">على عاتقه </w:t>
      </w:r>
      <w:r w:rsidR="00C30888">
        <w:rPr>
          <w:rFonts w:hint="cs"/>
          <w:rtl/>
        </w:rPr>
        <w:t>وظيفة القيام بالأ</w:t>
      </w:r>
      <w:r w:rsidR="00C30888" w:rsidRPr="00C611C5">
        <w:rPr>
          <w:rFonts w:hint="cs"/>
          <w:rtl/>
        </w:rPr>
        <w:t>عمال الكبرى</w:t>
      </w:r>
      <w:r w:rsidR="00C30888">
        <w:rPr>
          <w:rFonts w:hint="cs"/>
          <w:rtl/>
        </w:rPr>
        <w:t>،</w:t>
      </w:r>
      <w:r w:rsidR="00C30888" w:rsidRPr="00C611C5">
        <w:rPr>
          <w:rFonts w:hint="cs"/>
          <w:rtl/>
        </w:rPr>
        <w:t xml:space="preserve"> و</w:t>
      </w:r>
      <w:r w:rsidR="00C30888">
        <w:rPr>
          <w:rFonts w:hint="cs"/>
          <w:rtl/>
        </w:rPr>
        <w:t>مسؤوليّة رقيّ الحياة الإنسانية،</w:t>
      </w:r>
      <w:r w:rsidR="00C30888" w:rsidRPr="00C611C5">
        <w:rPr>
          <w:rFonts w:hint="cs"/>
          <w:rtl/>
        </w:rPr>
        <w:t xml:space="preserve"> </w:t>
      </w:r>
      <w:r w:rsidR="00C30888">
        <w:rPr>
          <w:rFonts w:hint="cs"/>
          <w:rtl/>
        </w:rPr>
        <w:t xml:space="preserve">أمّا المرأة فوظيفتها حفظ </w:t>
      </w:r>
      <w:r w:rsidR="00C30888" w:rsidRPr="00C611C5">
        <w:rPr>
          <w:rFonts w:hint="cs"/>
          <w:rtl/>
        </w:rPr>
        <w:t>المؤس</w:t>
      </w:r>
      <w:r w:rsidR="00C30888">
        <w:rPr>
          <w:rFonts w:hint="cs"/>
          <w:rtl/>
        </w:rPr>
        <w:t>ّ</w:t>
      </w:r>
      <w:r w:rsidR="00C30888" w:rsidRPr="00C611C5">
        <w:rPr>
          <w:rFonts w:hint="cs"/>
          <w:rtl/>
        </w:rPr>
        <w:t>سة التي ت</w:t>
      </w:r>
      <w:r w:rsidR="00C30888">
        <w:rPr>
          <w:rFonts w:hint="cs"/>
          <w:rtl/>
        </w:rPr>
        <w:t xml:space="preserve">منح </w:t>
      </w:r>
      <w:r w:rsidR="00C30888" w:rsidRPr="00C611C5">
        <w:rPr>
          <w:rFonts w:hint="cs"/>
          <w:rtl/>
        </w:rPr>
        <w:t>الرجل القدرة</w:t>
      </w:r>
      <w:r w:rsidR="00C30888">
        <w:rPr>
          <w:rFonts w:hint="cs"/>
          <w:rtl/>
        </w:rPr>
        <w:t>َ</w:t>
      </w:r>
      <w:r w:rsidR="00C30888" w:rsidRPr="00C611C5">
        <w:rPr>
          <w:rFonts w:hint="cs"/>
          <w:rtl/>
        </w:rPr>
        <w:t xml:space="preserve"> على</w:t>
      </w:r>
      <w:r w:rsidR="00C30888">
        <w:rPr>
          <w:rFonts w:hint="cs"/>
          <w:rtl/>
        </w:rPr>
        <w:t xml:space="preserve"> القيام بهذه الأ</w:t>
      </w:r>
      <w:r w:rsidR="00C30888" w:rsidRPr="00C611C5">
        <w:rPr>
          <w:rFonts w:hint="cs"/>
          <w:rtl/>
        </w:rPr>
        <w:t>عمال ال</w:t>
      </w:r>
      <w:r w:rsidR="00C30888">
        <w:rPr>
          <w:rFonts w:hint="cs"/>
          <w:rtl/>
        </w:rPr>
        <w:t xml:space="preserve">اجتماعية الكبرى؛ لأنّ </w:t>
      </w:r>
      <w:r w:rsidR="00C30888" w:rsidRPr="00C611C5">
        <w:rPr>
          <w:rFonts w:hint="cs"/>
          <w:rtl/>
        </w:rPr>
        <w:t>هذه المؤس</w:t>
      </w:r>
      <w:r w:rsidR="00C30888">
        <w:rPr>
          <w:rFonts w:hint="cs"/>
          <w:rtl/>
        </w:rPr>
        <w:t>ّسة إ</w:t>
      </w:r>
      <w:r w:rsidR="00C30888" w:rsidRPr="00C611C5">
        <w:rPr>
          <w:rFonts w:hint="cs"/>
          <w:rtl/>
        </w:rPr>
        <w:t>ن لم تكن فلن يوجد المجتمع حتى يتم</w:t>
      </w:r>
      <w:r w:rsidR="00C30888">
        <w:rPr>
          <w:rFonts w:hint="cs"/>
          <w:rtl/>
        </w:rPr>
        <w:t>ّ</w:t>
      </w:r>
      <w:r w:rsidR="00C30888" w:rsidRPr="00C611C5">
        <w:rPr>
          <w:rFonts w:hint="cs"/>
          <w:rtl/>
        </w:rPr>
        <w:t xml:space="preserve"> السعي من ق</w:t>
      </w:r>
      <w:r w:rsidR="00C30888">
        <w:rPr>
          <w:rFonts w:hint="cs"/>
          <w:rtl/>
        </w:rPr>
        <w:t>ِ</w:t>
      </w:r>
      <w:r w:rsidR="00C30888" w:rsidRPr="00C611C5">
        <w:rPr>
          <w:rFonts w:hint="cs"/>
          <w:rtl/>
        </w:rPr>
        <w:t>ب</w:t>
      </w:r>
      <w:r w:rsidR="00C30888">
        <w:rPr>
          <w:rFonts w:hint="cs"/>
          <w:rtl/>
        </w:rPr>
        <w:t>َ</w:t>
      </w:r>
      <w:r w:rsidR="00C30888" w:rsidRPr="00C611C5">
        <w:rPr>
          <w:rFonts w:hint="cs"/>
          <w:rtl/>
        </w:rPr>
        <w:t>ل أفراده</w:t>
      </w:r>
      <w:r w:rsidR="00C30888">
        <w:rPr>
          <w:rFonts w:hint="cs"/>
          <w:rtl/>
        </w:rPr>
        <w:t xml:space="preserve"> إلى </w:t>
      </w:r>
      <w:r w:rsidR="00C30888" w:rsidRPr="00C611C5">
        <w:rPr>
          <w:rFonts w:hint="cs"/>
          <w:rtl/>
        </w:rPr>
        <w:t xml:space="preserve">بناء الحضارة، </w:t>
      </w:r>
      <w:r w:rsidR="00C30888">
        <w:rPr>
          <w:rFonts w:hint="cs"/>
          <w:rtl/>
        </w:rPr>
        <w:t>و</w:t>
      </w:r>
      <w:r w:rsidR="00C30888" w:rsidRPr="00C611C5">
        <w:rPr>
          <w:rFonts w:hint="cs"/>
          <w:rtl/>
        </w:rPr>
        <w:t xml:space="preserve">الصناعة، </w:t>
      </w:r>
      <w:r w:rsidR="00C30888">
        <w:rPr>
          <w:rFonts w:hint="cs"/>
          <w:rtl/>
        </w:rPr>
        <w:t>و</w:t>
      </w:r>
      <w:r w:rsidR="00C30888" w:rsidRPr="00C611C5">
        <w:rPr>
          <w:rFonts w:hint="cs"/>
          <w:rtl/>
        </w:rPr>
        <w:t>العلم</w:t>
      </w:r>
      <w:r w:rsidR="00C30888">
        <w:rPr>
          <w:rFonts w:hint="cs"/>
          <w:rtl/>
        </w:rPr>
        <w:t>، والفلسفة.</w:t>
      </w:r>
    </w:p>
    <w:p w:rsidR="00C30888" w:rsidRDefault="00C30888" w:rsidP="00C30888">
      <w:pPr>
        <w:pStyle w:val="ac"/>
        <w:rPr>
          <w:rtl/>
        </w:rPr>
        <w:sectPr w:rsidR="00C30888" w:rsidSect="00B83A2D">
          <w:headerReference w:type="even" r:id="rId38"/>
          <w:headerReference w:type="default" r:id="rId39"/>
          <w:headerReference w:type="first" r:id="rId40"/>
          <w:footnotePr>
            <w:numRestart w:val="eachPage"/>
          </w:footnotePr>
          <w:endnotePr>
            <w:numFmt w:val="decimal"/>
          </w:endnotePr>
          <w:type w:val="continuous"/>
          <w:pgSz w:w="11906" w:h="16838"/>
          <w:pgMar w:top="2268" w:right="2268" w:bottom="2665" w:left="2268" w:header="1979" w:footer="1106" w:gutter="0"/>
          <w:cols w:space="708"/>
          <w:titlePg/>
          <w:bidi/>
          <w:rtlGutter/>
          <w:docGrid w:linePitch="360"/>
        </w:sectPr>
      </w:pPr>
    </w:p>
    <w:p w:rsidR="00C30888" w:rsidRPr="00C611C5" w:rsidRDefault="00C30888" w:rsidP="00C30888">
      <w:pPr>
        <w:pStyle w:val="ac"/>
        <w:rPr>
          <w:rtl/>
        </w:rPr>
      </w:pPr>
      <w:r w:rsidRPr="00C611C5">
        <w:rPr>
          <w:rFonts w:hint="cs"/>
          <w:rtl/>
        </w:rPr>
        <w:lastRenderedPageBreak/>
        <w:t xml:space="preserve">لم يكن </w:t>
      </w:r>
      <w:r>
        <w:rPr>
          <w:rFonts w:hint="cs"/>
          <w:rtl/>
        </w:rPr>
        <w:t xml:space="preserve">يجول في خاطر هذا الفريق </w:t>
      </w:r>
      <w:r w:rsidRPr="00C611C5">
        <w:rPr>
          <w:rFonts w:hint="cs"/>
          <w:rtl/>
        </w:rPr>
        <w:t>أبدا</w:t>
      </w:r>
      <w:r>
        <w:rPr>
          <w:rFonts w:hint="cs"/>
          <w:rtl/>
        </w:rPr>
        <w:t>ً</w:t>
      </w:r>
      <w:r w:rsidRPr="00C611C5">
        <w:rPr>
          <w:rFonts w:hint="cs"/>
          <w:rtl/>
        </w:rPr>
        <w:t xml:space="preserve"> </w:t>
      </w:r>
      <w:r>
        <w:rPr>
          <w:rFonts w:hint="cs"/>
          <w:rtl/>
        </w:rPr>
        <w:t>أ</w:t>
      </w:r>
      <w:r w:rsidRPr="00C611C5">
        <w:rPr>
          <w:rFonts w:hint="cs"/>
          <w:rtl/>
        </w:rPr>
        <w:t>ن ت</w:t>
      </w:r>
      <w:r>
        <w:rPr>
          <w:rFonts w:hint="cs"/>
          <w:rtl/>
        </w:rPr>
        <w:t xml:space="preserve">خرج المرأة </w:t>
      </w:r>
      <w:r w:rsidRPr="00C611C5">
        <w:rPr>
          <w:rFonts w:hint="cs"/>
          <w:rtl/>
        </w:rPr>
        <w:t xml:space="preserve">من </w:t>
      </w:r>
      <w:r>
        <w:rPr>
          <w:rFonts w:hint="cs"/>
          <w:rtl/>
        </w:rPr>
        <w:t>إ</w:t>
      </w:r>
      <w:r w:rsidRPr="00C611C5">
        <w:rPr>
          <w:rFonts w:hint="cs"/>
          <w:rtl/>
        </w:rPr>
        <w:t>طار ال</w:t>
      </w:r>
      <w:r>
        <w:rPr>
          <w:rFonts w:hint="cs"/>
          <w:rtl/>
        </w:rPr>
        <w:t>أسرة</w:t>
      </w:r>
      <w:r w:rsidRPr="00C611C5">
        <w:rPr>
          <w:rFonts w:hint="cs"/>
          <w:rtl/>
        </w:rPr>
        <w:t xml:space="preserve"> لتجد </w:t>
      </w:r>
      <w:r>
        <w:rPr>
          <w:rFonts w:hint="cs"/>
          <w:rtl/>
        </w:rPr>
        <w:t xml:space="preserve">لها </w:t>
      </w:r>
      <w:r w:rsidRPr="00C611C5">
        <w:rPr>
          <w:rFonts w:hint="cs"/>
          <w:rtl/>
        </w:rPr>
        <w:t>دورا</w:t>
      </w:r>
      <w:r>
        <w:rPr>
          <w:rFonts w:hint="cs"/>
          <w:rtl/>
        </w:rPr>
        <w:t>ً في المجتمع،</w:t>
      </w:r>
      <w:r w:rsidRPr="00C611C5">
        <w:rPr>
          <w:rFonts w:hint="cs"/>
          <w:rtl/>
        </w:rPr>
        <w:t xml:space="preserve"> </w:t>
      </w:r>
      <w:r>
        <w:rPr>
          <w:rFonts w:hint="cs"/>
          <w:rtl/>
        </w:rPr>
        <w:t xml:space="preserve">وهو ما كان متطابقاً تماماً مع </w:t>
      </w:r>
      <w:r w:rsidRPr="00C611C5">
        <w:rPr>
          <w:rFonts w:hint="cs"/>
          <w:rtl/>
        </w:rPr>
        <w:t>البناء السياسي ال</w:t>
      </w:r>
      <w:r>
        <w:rPr>
          <w:rFonts w:hint="cs"/>
          <w:rtl/>
        </w:rPr>
        <w:t>اجتماعي للمجتمع آنذاك؛</w:t>
      </w:r>
      <w:r w:rsidRPr="00C611C5">
        <w:rPr>
          <w:rFonts w:hint="cs"/>
          <w:rtl/>
        </w:rPr>
        <w:t xml:space="preserve"> فلم تكن</w:t>
      </w:r>
      <w:r>
        <w:rPr>
          <w:rFonts w:hint="cs"/>
          <w:rtl/>
        </w:rPr>
        <w:t xml:space="preserve"> المرأة </w:t>
      </w:r>
      <w:r w:rsidRPr="00C611C5">
        <w:rPr>
          <w:rFonts w:hint="cs"/>
          <w:rtl/>
        </w:rPr>
        <w:t>شريكة</w:t>
      </w:r>
      <w:r>
        <w:rPr>
          <w:rFonts w:hint="cs"/>
          <w:rtl/>
        </w:rPr>
        <w:t>َ</w:t>
      </w:r>
      <w:r w:rsidRPr="00C611C5">
        <w:rPr>
          <w:rFonts w:hint="cs"/>
          <w:rtl/>
        </w:rPr>
        <w:t xml:space="preserve"> حياة للرجل، بل كانت وظيفتها التخفيف من ضغوط </w:t>
      </w:r>
      <w:r>
        <w:rPr>
          <w:rFonts w:hint="cs"/>
          <w:rtl/>
        </w:rPr>
        <w:t>الحياة الإنسان</w:t>
      </w:r>
      <w:r w:rsidRPr="00C611C5">
        <w:rPr>
          <w:rFonts w:hint="cs"/>
          <w:rtl/>
        </w:rPr>
        <w:t>ية</w:t>
      </w:r>
      <w:r>
        <w:rPr>
          <w:rFonts w:hint="cs"/>
          <w:rtl/>
        </w:rPr>
        <w:t xml:space="preserve"> ومشاكلها عنه</w:t>
      </w:r>
      <w:r w:rsidRPr="00C611C5">
        <w:rPr>
          <w:rFonts w:hint="cs"/>
          <w:rtl/>
        </w:rPr>
        <w:t>، والسير ب</w:t>
      </w:r>
      <w:r>
        <w:rPr>
          <w:rFonts w:hint="cs"/>
          <w:rtl/>
        </w:rPr>
        <w:t>هذه لتوفير الظروف ل</w:t>
      </w:r>
      <w:r w:rsidRPr="00C611C5">
        <w:rPr>
          <w:rFonts w:hint="cs"/>
          <w:rtl/>
        </w:rPr>
        <w:t>رجل ال</w:t>
      </w:r>
      <w:r>
        <w:rPr>
          <w:rFonts w:hint="cs"/>
          <w:rtl/>
        </w:rPr>
        <w:t>أسرة</w:t>
      </w:r>
      <w:r w:rsidRPr="00C611C5">
        <w:rPr>
          <w:rFonts w:hint="cs"/>
          <w:rtl/>
        </w:rPr>
        <w:t xml:space="preserve"> </w:t>
      </w:r>
      <w:r>
        <w:rPr>
          <w:rFonts w:hint="cs"/>
          <w:rtl/>
        </w:rPr>
        <w:t>كي يقوم</w:t>
      </w:r>
      <w:r w:rsidRPr="00C611C5">
        <w:rPr>
          <w:rFonts w:hint="cs"/>
          <w:rtl/>
        </w:rPr>
        <w:t xml:space="preserve"> بالدور الكبير الملقى عل</w:t>
      </w:r>
      <w:r>
        <w:rPr>
          <w:rFonts w:hint="cs"/>
          <w:rtl/>
        </w:rPr>
        <w:t>ى عاتقه</w:t>
      </w:r>
      <w:r w:rsidRPr="00C611C5">
        <w:rPr>
          <w:rFonts w:hint="cs"/>
          <w:rtl/>
        </w:rPr>
        <w:t>.</w:t>
      </w:r>
    </w:p>
    <w:p w:rsidR="00C30888" w:rsidRPr="00C30888" w:rsidRDefault="00E06333" w:rsidP="00C30888">
      <w:pPr>
        <w:pStyle w:val="ac"/>
        <w:rPr>
          <w:rFonts w:cs="Abz-1 (Lotus)"/>
          <w:b/>
          <w:bCs/>
          <w:rtl/>
        </w:rPr>
      </w:pPr>
      <w:r w:rsidRPr="00E06333">
        <w:rPr>
          <w:rFonts w:hint="cs"/>
        </w:rPr>
        <w:sym w:font="AGA Arabesque" w:char="F05F"/>
      </w:r>
      <w:r w:rsidRPr="00E06333">
        <w:rPr>
          <w:rFonts w:hint="cs"/>
          <w:rtl/>
        </w:rPr>
        <w:t xml:space="preserve"> </w:t>
      </w:r>
      <w:r w:rsidR="00C30888" w:rsidRPr="00C30888">
        <w:rPr>
          <w:rFonts w:hint="cs"/>
          <w:b/>
          <w:bCs/>
          <w:rtl/>
        </w:rPr>
        <w:t>يرى بعض القدماء الرجلَ إنساناً من الدرجة الأولى، والمرأة إنساناً من الدرجة الثانية، بل يعتقد بعضهم أنّ المرأة تفقد بعض الخصوصيات الإنسانية؛ فهل لهذا التفكير من رواج لدى أنصار النظام الطبيعي؟</w:t>
      </w:r>
    </w:p>
    <w:p w:rsidR="00C30888" w:rsidRPr="00C611C5" w:rsidRDefault="00E06333" w:rsidP="00C30888">
      <w:pPr>
        <w:pStyle w:val="ac"/>
        <w:rPr>
          <w:rFonts w:cs="Abz-1 (Lotus)"/>
          <w:szCs w:val="29"/>
          <w:rtl/>
        </w:rPr>
      </w:pPr>
      <w:r>
        <w:rPr>
          <w:rFonts w:hint="cs"/>
        </w:rPr>
        <w:sym w:font="AGA Arabesque" w:char="F05E"/>
      </w:r>
      <w:r>
        <w:rPr>
          <w:rFonts w:hint="cs"/>
          <w:rtl/>
        </w:rPr>
        <w:t xml:space="preserve"> </w:t>
      </w:r>
      <w:r w:rsidR="00C30888" w:rsidRPr="00C611C5">
        <w:rPr>
          <w:rFonts w:hint="cs"/>
          <w:rtl/>
        </w:rPr>
        <w:t>لو أردنا تحليل دور</w:t>
      </w:r>
      <w:r w:rsidR="00C30888">
        <w:rPr>
          <w:rFonts w:hint="cs"/>
          <w:rtl/>
        </w:rPr>
        <w:t xml:space="preserve"> المرأة </w:t>
      </w:r>
      <w:r w:rsidR="00C30888" w:rsidRPr="00C611C5">
        <w:rPr>
          <w:rFonts w:hint="cs"/>
          <w:rtl/>
        </w:rPr>
        <w:t>في السابق، فسنواجه مسائل متعد</w:t>
      </w:r>
      <w:r w:rsidR="00C30888">
        <w:rPr>
          <w:rFonts w:hint="cs"/>
          <w:rtl/>
        </w:rPr>
        <w:t>ّ</w:t>
      </w:r>
      <w:r w:rsidR="00C30888" w:rsidRPr="00C611C5">
        <w:rPr>
          <w:rFonts w:hint="cs"/>
          <w:rtl/>
        </w:rPr>
        <w:t xml:space="preserve">دة تبعث على </w:t>
      </w:r>
      <w:r w:rsidR="00C30888">
        <w:rPr>
          <w:rFonts w:hint="cs"/>
          <w:rtl/>
        </w:rPr>
        <w:t>الأسف؛ فقد كان الإ</w:t>
      </w:r>
      <w:r w:rsidR="00C30888" w:rsidRPr="00C611C5">
        <w:rPr>
          <w:rFonts w:hint="cs"/>
          <w:rtl/>
        </w:rPr>
        <w:t>فراط في بعض المجتمعات يصل</w:t>
      </w:r>
      <w:r w:rsidR="00C30888">
        <w:rPr>
          <w:rFonts w:hint="cs"/>
          <w:rtl/>
        </w:rPr>
        <w:t xml:space="preserve">ّ </w:t>
      </w:r>
      <w:r w:rsidR="00C30888" w:rsidRPr="00C611C5">
        <w:rPr>
          <w:rFonts w:hint="cs"/>
          <w:rtl/>
        </w:rPr>
        <w:t>حد</w:t>
      </w:r>
      <w:r w:rsidR="00C30888">
        <w:rPr>
          <w:rFonts w:hint="cs"/>
          <w:rtl/>
        </w:rPr>
        <w:t>َّ</w:t>
      </w:r>
      <w:r w:rsidR="00C30888" w:rsidRPr="00C611C5">
        <w:rPr>
          <w:rFonts w:hint="cs"/>
          <w:rtl/>
        </w:rPr>
        <w:t xml:space="preserve"> اعتبار</w:t>
      </w:r>
      <w:r w:rsidR="00C30888">
        <w:rPr>
          <w:rFonts w:hint="cs"/>
          <w:rtl/>
        </w:rPr>
        <w:t xml:space="preserve"> المرأة </w:t>
      </w:r>
      <w:r w:rsidR="00C30888" w:rsidRPr="00C611C5">
        <w:rPr>
          <w:rFonts w:hint="cs"/>
          <w:rtl/>
        </w:rPr>
        <w:t>موجودا</w:t>
      </w:r>
      <w:r w:rsidR="00C30888">
        <w:rPr>
          <w:rFonts w:hint="cs"/>
          <w:rtl/>
        </w:rPr>
        <w:t>ً لا يتمتع بالروح الإنسانية،</w:t>
      </w:r>
      <w:r w:rsidR="00C30888" w:rsidRPr="00C611C5">
        <w:rPr>
          <w:rFonts w:hint="cs"/>
          <w:rtl/>
        </w:rPr>
        <w:t xml:space="preserve"> وبعض من كان</w:t>
      </w:r>
      <w:r w:rsidR="00C30888">
        <w:rPr>
          <w:rFonts w:hint="cs"/>
          <w:rtl/>
        </w:rPr>
        <w:t>ت</w:t>
      </w:r>
      <w:r w:rsidR="00C30888" w:rsidRPr="00C611C5">
        <w:rPr>
          <w:rFonts w:hint="cs"/>
          <w:rtl/>
        </w:rPr>
        <w:t xml:space="preserve"> لديه رؤية </w:t>
      </w:r>
      <w:r w:rsidR="00C30888">
        <w:rPr>
          <w:rFonts w:hint="cs"/>
          <w:rtl/>
        </w:rPr>
        <w:t>إنسان</w:t>
      </w:r>
      <w:r w:rsidR="00C30888" w:rsidRPr="00C611C5">
        <w:rPr>
          <w:rFonts w:hint="cs"/>
          <w:rtl/>
        </w:rPr>
        <w:t>ية كان يذهب</w:t>
      </w:r>
      <w:r w:rsidR="00C30888">
        <w:rPr>
          <w:rFonts w:hint="cs"/>
          <w:rtl/>
        </w:rPr>
        <w:t xml:space="preserve"> إلى </w:t>
      </w:r>
      <w:r w:rsidR="00C30888" w:rsidRPr="00C611C5">
        <w:rPr>
          <w:rFonts w:hint="cs"/>
          <w:rtl/>
        </w:rPr>
        <w:t>التفكيك</w:t>
      </w:r>
      <w:r w:rsidR="00C30888">
        <w:rPr>
          <w:rFonts w:hint="cs"/>
          <w:rtl/>
        </w:rPr>
        <w:t>،</w:t>
      </w:r>
      <w:r w:rsidR="00C30888" w:rsidRPr="00C611C5">
        <w:rPr>
          <w:rFonts w:hint="cs"/>
          <w:rtl/>
        </w:rPr>
        <w:t xml:space="preserve"> فيعتبر </w:t>
      </w:r>
      <w:r w:rsidR="00C30888">
        <w:rPr>
          <w:rFonts w:hint="cs"/>
          <w:rtl/>
        </w:rPr>
        <w:t>الرجل والمرأة كليهما إنساناً</w:t>
      </w:r>
      <w:r w:rsidR="00C30888" w:rsidRPr="00C611C5">
        <w:rPr>
          <w:rFonts w:hint="cs"/>
          <w:rtl/>
        </w:rPr>
        <w:t xml:space="preserve">، </w:t>
      </w:r>
      <w:r w:rsidR="00C30888">
        <w:rPr>
          <w:rFonts w:hint="cs"/>
          <w:rtl/>
        </w:rPr>
        <w:t xml:space="preserve">بيد أنّه </w:t>
      </w:r>
      <w:r w:rsidR="00C30888" w:rsidRPr="00C611C5">
        <w:rPr>
          <w:rFonts w:hint="cs"/>
          <w:rtl/>
        </w:rPr>
        <w:t xml:space="preserve">عندما </w:t>
      </w:r>
      <w:r w:rsidR="00C30888">
        <w:rPr>
          <w:rFonts w:hint="cs"/>
          <w:rtl/>
        </w:rPr>
        <w:t xml:space="preserve">كان </w:t>
      </w:r>
      <w:r w:rsidR="00C30888" w:rsidRPr="00C611C5">
        <w:rPr>
          <w:rFonts w:hint="cs"/>
          <w:rtl/>
        </w:rPr>
        <w:t>يصل ال</w:t>
      </w:r>
      <w:r w:rsidR="00C30888">
        <w:rPr>
          <w:rFonts w:hint="cs"/>
          <w:rtl/>
        </w:rPr>
        <w:t xml:space="preserve">أمر إلى </w:t>
      </w:r>
      <w:r w:rsidR="00C30888" w:rsidRPr="00C611C5">
        <w:rPr>
          <w:rFonts w:hint="cs"/>
          <w:rtl/>
        </w:rPr>
        <w:t>الحديث عن الحقوق وتقسيم الواجبات تتغي</w:t>
      </w:r>
      <w:r w:rsidR="00C30888">
        <w:rPr>
          <w:rFonts w:hint="cs"/>
          <w:rtl/>
        </w:rPr>
        <w:t>ّ</w:t>
      </w:r>
      <w:r w:rsidR="00C30888" w:rsidRPr="00C611C5">
        <w:rPr>
          <w:rFonts w:hint="cs"/>
          <w:rtl/>
        </w:rPr>
        <w:t>ر اللغة لت</w:t>
      </w:r>
      <w:r w:rsidR="00C30888">
        <w:rPr>
          <w:rFonts w:hint="cs"/>
          <w:rtl/>
        </w:rPr>
        <w:t>ُشاد</w:t>
      </w:r>
      <w:r w:rsidR="00C30888" w:rsidRPr="00C611C5">
        <w:rPr>
          <w:rFonts w:hint="cs"/>
          <w:rtl/>
        </w:rPr>
        <w:t xml:space="preserve"> الحقوق على </w:t>
      </w:r>
      <w:r w:rsidR="00C30888">
        <w:rPr>
          <w:rFonts w:hint="cs"/>
          <w:rtl/>
        </w:rPr>
        <w:t>أساس البناء الطبيعي للرجال والنساء؛</w:t>
      </w:r>
      <w:r w:rsidR="00C30888" w:rsidRPr="00C611C5">
        <w:rPr>
          <w:rFonts w:hint="cs"/>
          <w:rtl/>
        </w:rPr>
        <w:t xml:space="preserve"> ونتيجة ذلك ـ سواء كانت مقصودة</w:t>
      </w:r>
      <w:r w:rsidR="00C30888">
        <w:rPr>
          <w:rFonts w:hint="cs"/>
          <w:rtl/>
        </w:rPr>
        <w:t xml:space="preserve">ً أم </w:t>
      </w:r>
      <w:r w:rsidR="00C30888" w:rsidRPr="00C611C5">
        <w:rPr>
          <w:rFonts w:hint="cs"/>
          <w:rtl/>
        </w:rPr>
        <w:t xml:space="preserve">لم تكن ـ </w:t>
      </w:r>
      <w:r w:rsidR="00C30888">
        <w:rPr>
          <w:rFonts w:hint="cs"/>
          <w:rtl/>
        </w:rPr>
        <w:t>أ</w:t>
      </w:r>
      <w:r w:rsidR="00C30888" w:rsidRPr="00C611C5">
        <w:rPr>
          <w:rFonts w:hint="cs"/>
          <w:rtl/>
        </w:rPr>
        <w:t>ن</w:t>
      </w:r>
      <w:r w:rsidR="00C30888">
        <w:rPr>
          <w:rFonts w:hint="cs"/>
          <w:rtl/>
        </w:rPr>
        <w:t xml:space="preserve"> تصبح المرأة </w:t>
      </w:r>
      <w:r w:rsidR="00C30888" w:rsidRPr="00C611C5">
        <w:rPr>
          <w:rFonts w:hint="cs"/>
          <w:rtl/>
        </w:rPr>
        <w:t xml:space="preserve">في الفعل </w:t>
      </w:r>
      <w:r w:rsidR="00C30888" w:rsidRPr="00C611C5">
        <w:rPr>
          <w:rFonts w:hint="cs"/>
          <w:rtl/>
        </w:rPr>
        <w:lastRenderedPageBreak/>
        <w:t>والانفعال ال</w:t>
      </w:r>
      <w:r w:rsidR="00C30888">
        <w:rPr>
          <w:rFonts w:hint="cs"/>
          <w:rtl/>
        </w:rPr>
        <w:t>اجتماع</w:t>
      </w:r>
      <w:r w:rsidR="00C30888" w:rsidRPr="00C611C5">
        <w:rPr>
          <w:rFonts w:hint="cs"/>
          <w:rtl/>
        </w:rPr>
        <w:t xml:space="preserve">ي </w:t>
      </w:r>
      <w:r w:rsidR="00C30888">
        <w:rPr>
          <w:rFonts w:hint="cs"/>
          <w:rtl/>
        </w:rPr>
        <w:t>إنسان</w:t>
      </w:r>
      <w:r w:rsidR="00C30888" w:rsidRPr="00C611C5">
        <w:rPr>
          <w:rFonts w:hint="cs"/>
          <w:rtl/>
        </w:rPr>
        <w:t>ا</w:t>
      </w:r>
      <w:r w:rsidR="00C30888">
        <w:rPr>
          <w:rFonts w:hint="cs"/>
          <w:rtl/>
        </w:rPr>
        <w:t>ً</w:t>
      </w:r>
      <w:r w:rsidR="00C30888" w:rsidRPr="00C611C5">
        <w:rPr>
          <w:rFonts w:hint="cs"/>
          <w:rtl/>
        </w:rPr>
        <w:t xml:space="preserve"> من الدرجة الثانية.</w:t>
      </w:r>
    </w:p>
    <w:p w:rsidR="00C30888" w:rsidRPr="00C30888" w:rsidRDefault="00E06333" w:rsidP="00C30888">
      <w:pPr>
        <w:pStyle w:val="ac"/>
        <w:rPr>
          <w:rFonts w:cs="Abz-1 (Lotus)"/>
          <w:b/>
          <w:bCs/>
          <w:rtl/>
        </w:rPr>
      </w:pPr>
      <w:r w:rsidRPr="00E06333">
        <w:rPr>
          <w:rFonts w:hint="cs"/>
        </w:rPr>
        <w:sym w:font="AGA Arabesque" w:char="F05F"/>
      </w:r>
      <w:r w:rsidRPr="00E06333">
        <w:rPr>
          <w:rFonts w:hint="cs"/>
          <w:rtl/>
        </w:rPr>
        <w:t xml:space="preserve"> </w:t>
      </w:r>
      <w:r w:rsidR="00C30888" w:rsidRPr="00C30888">
        <w:rPr>
          <w:rFonts w:hint="cs"/>
          <w:b/>
          <w:bCs/>
          <w:rtl/>
        </w:rPr>
        <w:t>ذكرتم أنّ أنصار القراءة التقليدية يتبنّون النظامَ الطبيعي للأسرة، ويؤكّدون ـ بشكلٍ متكرّر ـ على الاختلاف الجسدي والنفسي بين الرجل والمرأة، فهل تُنكر القراءة المقابلة التي لا تتبنّى النظام الطبيعي هذا الاختلاف؟</w:t>
      </w:r>
    </w:p>
    <w:p w:rsidR="00C30888" w:rsidRPr="00C611C5" w:rsidRDefault="00E06333" w:rsidP="00C30888">
      <w:pPr>
        <w:pStyle w:val="ac"/>
        <w:rPr>
          <w:rtl/>
        </w:rPr>
      </w:pPr>
      <w:r>
        <w:rPr>
          <w:rFonts w:hint="cs"/>
        </w:rPr>
        <w:sym w:font="AGA Arabesque" w:char="F05E"/>
      </w:r>
      <w:r>
        <w:rPr>
          <w:rFonts w:hint="cs"/>
          <w:rtl/>
        </w:rPr>
        <w:t xml:space="preserve"> </w:t>
      </w:r>
      <w:r w:rsidR="00C30888">
        <w:rPr>
          <w:rFonts w:hint="cs"/>
          <w:rtl/>
        </w:rPr>
        <w:t>لا يُنكر أنصار القراءة</w:t>
      </w:r>
      <w:r w:rsidR="00C30888" w:rsidRPr="00C611C5">
        <w:rPr>
          <w:rFonts w:hint="cs"/>
          <w:rtl/>
        </w:rPr>
        <w:t xml:space="preserve"> التاريخية </w:t>
      </w:r>
      <w:r w:rsidR="00C30888">
        <w:rPr>
          <w:rFonts w:hint="cs"/>
          <w:rtl/>
        </w:rPr>
        <w:t xml:space="preserve">الاختلافات </w:t>
      </w:r>
      <w:r w:rsidR="00C30888" w:rsidRPr="00C611C5">
        <w:rPr>
          <w:rFonts w:hint="cs"/>
          <w:rtl/>
        </w:rPr>
        <w:t>الجس</w:t>
      </w:r>
      <w:r w:rsidR="00C30888">
        <w:rPr>
          <w:rFonts w:hint="cs"/>
          <w:rtl/>
        </w:rPr>
        <w:t>دية</w:t>
      </w:r>
      <w:r w:rsidR="00C30888" w:rsidRPr="00C611C5">
        <w:rPr>
          <w:rFonts w:hint="cs"/>
          <w:rtl/>
        </w:rPr>
        <w:t xml:space="preserve"> والنفسي</w:t>
      </w:r>
      <w:r w:rsidR="00C30888">
        <w:rPr>
          <w:rFonts w:hint="cs"/>
          <w:rtl/>
        </w:rPr>
        <w:t>ّة</w:t>
      </w:r>
      <w:r w:rsidR="00C30888" w:rsidRPr="00C611C5">
        <w:rPr>
          <w:rFonts w:hint="cs"/>
          <w:rtl/>
        </w:rPr>
        <w:t xml:space="preserve"> بين الرجل والمرأة، لكن</w:t>
      </w:r>
      <w:r w:rsidR="00C30888">
        <w:rPr>
          <w:rFonts w:hint="cs"/>
          <w:rtl/>
        </w:rPr>
        <w:t>ّ</w:t>
      </w:r>
      <w:r w:rsidR="00C30888" w:rsidRPr="00C611C5">
        <w:rPr>
          <w:rFonts w:hint="cs"/>
          <w:rtl/>
        </w:rPr>
        <w:t xml:space="preserve">هم يختلفون مع </w:t>
      </w:r>
      <w:r w:rsidR="00C30888">
        <w:rPr>
          <w:rFonts w:hint="cs"/>
          <w:rtl/>
        </w:rPr>
        <w:t>غيرهم في منشئها ومنطلقها؛</w:t>
      </w:r>
      <w:r w:rsidR="00C30888" w:rsidRPr="00C611C5">
        <w:rPr>
          <w:rFonts w:hint="cs"/>
          <w:rtl/>
        </w:rPr>
        <w:t xml:space="preserve"> فمن يعتقد ب</w:t>
      </w:r>
      <w:r w:rsidR="00C30888">
        <w:rPr>
          <w:rFonts w:hint="cs"/>
          <w:rtl/>
        </w:rPr>
        <w:t>أ</w:t>
      </w:r>
      <w:r w:rsidR="00C30888" w:rsidRPr="00C611C5">
        <w:rPr>
          <w:rFonts w:hint="cs"/>
          <w:rtl/>
        </w:rPr>
        <w:t>ن</w:t>
      </w:r>
      <w:r w:rsidR="00C30888">
        <w:rPr>
          <w:rFonts w:hint="cs"/>
          <w:rtl/>
        </w:rPr>
        <w:t>ّ</w:t>
      </w:r>
      <w:r w:rsidR="00C30888" w:rsidRPr="00C611C5">
        <w:rPr>
          <w:rFonts w:hint="cs"/>
          <w:rtl/>
        </w:rPr>
        <w:t xml:space="preserve"> هذا ال</w:t>
      </w:r>
      <w:r w:rsidR="00C30888">
        <w:rPr>
          <w:rFonts w:hint="cs"/>
          <w:rtl/>
        </w:rPr>
        <w:t>اختلاف نتيجٌ للتطور التدريجي للإنسان لا يمكنه أ</w:t>
      </w:r>
      <w:r w:rsidR="00C30888" w:rsidRPr="00C611C5">
        <w:rPr>
          <w:rFonts w:hint="cs"/>
          <w:rtl/>
        </w:rPr>
        <w:t>ن ي</w:t>
      </w:r>
      <w:r w:rsidR="00C30888">
        <w:rPr>
          <w:rFonts w:hint="cs"/>
          <w:rtl/>
        </w:rPr>
        <w:t>وافق</w:t>
      </w:r>
      <w:r w:rsidR="00C30888" w:rsidRPr="00C611C5">
        <w:rPr>
          <w:rFonts w:hint="cs"/>
          <w:rtl/>
        </w:rPr>
        <w:t xml:space="preserve"> </w:t>
      </w:r>
      <w:r w:rsidR="00C30888">
        <w:rPr>
          <w:rFonts w:hint="cs"/>
          <w:rtl/>
        </w:rPr>
        <w:t>على البناء الطبيعي؛</w:t>
      </w:r>
      <w:r w:rsidR="00C30888" w:rsidRPr="00C611C5">
        <w:rPr>
          <w:rFonts w:hint="cs"/>
          <w:rtl/>
        </w:rPr>
        <w:t xml:space="preserve"> </w:t>
      </w:r>
      <w:r w:rsidR="00C30888">
        <w:rPr>
          <w:rFonts w:hint="cs"/>
          <w:rtl/>
        </w:rPr>
        <w:t xml:space="preserve">ذلك أنّ معنى </w:t>
      </w:r>
      <w:r w:rsidR="00C30888" w:rsidRPr="00C611C5">
        <w:rPr>
          <w:rFonts w:hint="cs"/>
          <w:rtl/>
        </w:rPr>
        <w:t xml:space="preserve">التكامل التاريخي </w:t>
      </w:r>
      <w:r w:rsidR="00C30888">
        <w:rPr>
          <w:rFonts w:hint="cs"/>
          <w:rtl/>
        </w:rPr>
        <w:t>أ</w:t>
      </w:r>
      <w:r w:rsidR="00C30888" w:rsidRPr="00C611C5">
        <w:rPr>
          <w:rFonts w:hint="cs"/>
          <w:rtl/>
        </w:rPr>
        <w:t xml:space="preserve">ن </w:t>
      </w:r>
      <w:r w:rsidR="00C30888">
        <w:rPr>
          <w:rFonts w:hint="cs"/>
          <w:rtl/>
        </w:rPr>
        <w:t xml:space="preserve">يكون </w:t>
      </w:r>
      <w:r w:rsidR="00C30888" w:rsidRPr="00C611C5">
        <w:rPr>
          <w:rFonts w:hint="cs"/>
          <w:rtl/>
        </w:rPr>
        <w:t xml:space="preserve">هذا التكامل </w:t>
      </w:r>
      <w:r w:rsidR="00C30888">
        <w:rPr>
          <w:rFonts w:hint="cs"/>
          <w:rtl/>
        </w:rPr>
        <w:t xml:space="preserve">قد </w:t>
      </w:r>
      <w:r w:rsidR="00C30888" w:rsidRPr="00C611C5">
        <w:rPr>
          <w:rFonts w:hint="cs"/>
          <w:rtl/>
        </w:rPr>
        <w:t>حصل دون تخطيط</w:t>
      </w:r>
      <w:r w:rsidR="00C30888">
        <w:rPr>
          <w:rFonts w:hint="cs"/>
          <w:rtl/>
        </w:rPr>
        <w:t>ٍ مسبق؛</w:t>
      </w:r>
      <w:r w:rsidR="00C30888" w:rsidRPr="00C611C5">
        <w:rPr>
          <w:rFonts w:hint="cs"/>
          <w:rtl/>
        </w:rPr>
        <w:t xml:space="preserve"> </w:t>
      </w:r>
      <w:r w:rsidR="00C30888">
        <w:rPr>
          <w:rFonts w:hint="cs"/>
          <w:rtl/>
        </w:rPr>
        <w:t>فالنظرية الأ</w:t>
      </w:r>
      <w:r w:rsidR="00C30888" w:rsidRPr="00C611C5">
        <w:rPr>
          <w:rFonts w:hint="cs"/>
          <w:rtl/>
        </w:rPr>
        <w:t>ولى ت</w:t>
      </w:r>
      <w:r w:rsidR="00C30888">
        <w:rPr>
          <w:rFonts w:hint="cs"/>
          <w:rtl/>
        </w:rPr>
        <w:t>ذهب إلى أنّ الاختلافات القائمة راسخة، وهي</w:t>
      </w:r>
      <w:r w:rsidR="00C30888" w:rsidRPr="00C611C5">
        <w:rPr>
          <w:rFonts w:hint="cs"/>
          <w:rtl/>
        </w:rPr>
        <w:t xml:space="preserve"> ن</w:t>
      </w:r>
      <w:r w:rsidR="00C30888">
        <w:rPr>
          <w:rFonts w:hint="cs"/>
          <w:rtl/>
        </w:rPr>
        <w:t>ظرية ثبات الأنواع،</w:t>
      </w:r>
      <w:r w:rsidR="00C30888" w:rsidRPr="00C611C5">
        <w:rPr>
          <w:rFonts w:hint="cs"/>
          <w:rtl/>
        </w:rPr>
        <w:t xml:space="preserve"> </w:t>
      </w:r>
      <w:r w:rsidR="00C30888">
        <w:rPr>
          <w:rFonts w:hint="cs"/>
          <w:rtl/>
        </w:rPr>
        <w:t>أ</w:t>
      </w:r>
      <w:r w:rsidR="00C30888" w:rsidRPr="00C611C5">
        <w:rPr>
          <w:rFonts w:hint="cs"/>
          <w:rtl/>
        </w:rPr>
        <w:t>م</w:t>
      </w:r>
      <w:r w:rsidR="00C30888">
        <w:rPr>
          <w:rFonts w:hint="cs"/>
          <w:rtl/>
        </w:rPr>
        <w:t>ّ</w:t>
      </w:r>
      <w:r w:rsidR="00C30888" w:rsidRPr="00C611C5">
        <w:rPr>
          <w:rFonts w:hint="cs"/>
          <w:rtl/>
        </w:rPr>
        <w:t xml:space="preserve">ا نظرية التكامل </w:t>
      </w:r>
      <w:r w:rsidR="00C30888">
        <w:rPr>
          <w:rFonts w:hint="cs"/>
          <w:rtl/>
        </w:rPr>
        <w:t xml:space="preserve">ـ وهي النظرية الثانية ـ </w:t>
      </w:r>
      <w:r w:rsidR="00C30888" w:rsidRPr="00C611C5">
        <w:rPr>
          <w:rFonts w:hint="cs"/>
          <w:rtl/>
        </w:rPr>
        <w:t>ف</w:t>
      </w:r>
      <w:r w:rsidR="00C30888">
        <w:rPr>
          <w:rFonts w:hint="cs"/>
          <w:rtl/>
        </w:rPr>
        <w:t>ترى أنّه يمكن أ</w:t>
      </w:r>
      <w:r w:rsidR="00C30888" w:rsidRPr="00C611C5">
        <w:rPr>
          <w:rFonts w:hint="cs"/>
          <w:rtl/>
        </w:rPr>
        <w:t xml:space="preserve">ن يكون للموجودات </w:t>
      </w:r>
      <w:r w:rsidR="00C30888">
        <w:rPr>
          <w:rFonts w:hint="cs"/>
          <w:rtl/>
        </w:rPr>
        <w:t>أ</w:t>
      </w:r>
      <w:r w:rsidR="00C30888" w:rsidRPr="00C611C5">
        <w:rPr>
          <w:rFonts w:hint="cs"/>
          <w:rtl/>
        </w:rPr>
        <w:t>لف نوع</w:t>
      </w:r>
      <w:r w:rsidR="00C30888">
        <w:rPr>
          <w:rFonts w:hint="cs"/>
          <w:rtl/>
        </w:rPr>
        <w:t>ٍ</w:t>
      </w:r>
      <w:r w:rsidR="00C30888" w:rsidRPr="00C611C5">
        <w:rPr>
          <w:rFonts w:hint="cs"/>
          <w:rtl/>
        </w:rPr>
        <w:t xml:space="preserve"> وشكل.</w:t>
      </w:r>
    </w:p>
    <w:p w:rsidR="00C30888" w:rsidRPr="00C611C5" w:rsidRDefault="00C30888" w:rsidP="00C30888">
      <w:pPr>
        <w:pStyle w:val="ac"/>
        <w:rPr>
          <w:rtl/>
        </w:rPr>
      </w:pPr>
      <w:r w:rsidRPr="00C611C5">
        <w:rPr>
          <w:rFonts w:hint="cs"/>
          <w:rtl/>
        </w:rPr>
        <w:t xml:space="preserve">يعتقد </w:t>
      </w:r>
      <w:r>
        <w:rPr>
          <w:rFonts w:hint="cs"/>
          <w:rtl/>
        </w:rPr>
        <w:t>أصحاب نظرية التكامل التاريخي أ</w:t>
      </w:r>
      <w:r w:rsidRPr="00C611C5">
        <w:rPr>
          <w:rFonts w:hint="cs"/>
          <w:rtl/>
        </w:rPr>
        <w:t>ن</w:t>
      </w:r>
      <w:r>
        <w:rPr>
          <w:rFonts w:hint="cs"/>
          <w:rtl/>
        </w:rPr>
        <w:t>ّ</w:t>
      </w:r>
      <w:r w:rsidRPr="00C611C5">
        <w:rPr>
          <w:rFonts w:hint="cs"/>
          <w:rtl/>
        </w:rPr>
        <w:t xml:space="preserve"> هذا </w:t>
      </w:r>
      <w:r>
        <w:rPr>
          <w:rFonts w:hint="cs"/>
          <w:rtl/>
        </w:rPr>
        <w:t xml:space="preserve">الاختلاف </w:t>
      </w:r>
      <w:r w:rsidRPr="00C611C5">
        <w:rPr>
          <w:rFonts w:hint="cs"/>
          <w:rtl/>
        </w:rPr>
        <w:t>ـ سو</w:t>
      </w:r>
      <w:r>
        <w:rPr>
          <w:rFonts w:hint="cs"/>
          <w:rtl/>
        </w:rPr>
        <w:t>ا</w:t>
      </w:r>
      <w:r w:rsidRPr="00C611C5">
        <w:rPr>
          <w:rFonts w:hint="cs"/>
          <w:rtl/>
        </w:rPr>
        <w:t xml:space="preserve">ء </w:t>
      </w:r>
      <w:r>
        <w:rPr>
          <w:rFonts w:hint="cs"/>
          <w:rtl/>
        </w:rPr>
        <w:t xml:space="preserve">كان </w:t>
      </w:r>
      <w:r w:rsidRPr="00C611C5">
        <w:rPr>
          <w:rFonts w:hint="cs"/>
          <w:rtl/>
        </w:rPr>
        <w:t>جس</w:t>
      </w:r>
      <w:r>
        <w:rPr>
          <w:rFonts w:hint="cs"/>
          <w:rtl/>
        </w:rPr>
        <w:t xml:space="preserve">ديّاً أو </w:t>
      </w:r>
      <w:r w:rsidRPr="00C611C5">
        <w:rPr>
          <w:rFonts w:hint="cs"/>
          <w:rtl/>
        </w:rPr>
        <w:t>نفسي</w:t>
      </w:r>
      <w:r>
        <w:rPr>
          <w:rFonts w:hint="cs"/>
          <w:rtl/>
        </w:rPr>
        <w:t>ّاً</w:t>
      </w:r>
      <w:r w:rsidRPr="00C611C5">
        <w:rPr>
          <w:rFonts w:hint="cs"/>
          <w:rtl/>
        </w:rPr>
        <w:t xml:space="preserve"> ـ </w:t>
      </w:r>
      <w:r>
        <w:rPr>
          <w:rFonts w:hint="cs"/>
          <w:rtl/>
        </w:rPr>
        <w:t xml:space="preserve">إنّما </w:t>
      </w:r>
      <w:r w:rsidRPr="00C611C5">
        <w:rPr>
          <w:rFonts w:hint="cs"/>
          <w:rtl/>
        </w:rPr>
        <w:t>وقع نتيجة التطو</w:t>
      </w:r>
      <w:r>
        <w:rPr>
          <w:rFonts w:hint="cs"/>
          <w:rtl/>
        </w:rPr>
        <w:t>ّر التاريخي،</w:t>
      </w:r>
      <w:r w:rsidRPr="00C611C5">
        <w:rPr>
          <w:rFonts w:hint="cs"/>
          <w:rtl/>
        </w:rPr>
        <w:t xml:space="preserve"> </w:t>
      </w:r>
      <w:r>
        <w:rPr>
          <w:rFonts w:hint="cs"/>
          <w:rtl/>
        </w:rPr>
        <w:t xml:space="preserve">وأنّه وإن </w:t>
      </w:r>
      <w:r w:rsidRPr="00C611C5">
        <w:rPr>
          <w:rFonts w:hint="cs"/>
          <w:rtl/>
        </w:rPr>
        <w:t xml:space="preserve">اتخذ شكله الحالي </w:t>
      </w:r>
      <w:r>
        <w:rPr>
          <w:rFonts w:hint="cs"/>
          <w:rtl/>
        </w:rPr>
        <w:t xml:space="preserve">فعلاً بيد أنّه ما زال </w:t>
      </w:r>
      <w:r w:rsidRPr="00C611C5">
        <w:rPr>
          <w:rFonts w:hint="cs"/>
          <w:rtl/>
        </w:rPr>
        <w:t xml:space="preserve">يقبل التغيير </w:t>
      </w:r>
      <w:r>
        <w:rPr>
          <w:rFonts w:hint="cs"/>
          <w:rtl/>
        </w:rPr>
        <w:t>والتحوّل والصيرورة، ف</w:t>
      </w:r>
      <w:r w:rsidRPr="00C611C5">
        <w:rPr>
          <w:rFonts w:hint="cs"/>
          <w:rtl/>
        </w:rPr>
        <w:t xml:space="preserve">يمكنه </w:t>
      </w:r>
      <w:r>
        <w:rPr>
          <w:rFonts w:hint="cs"/>
          <w:rtl/>
        </w:rPr>
        <w:t>أن يتخذ أ</w:t>
      </w:r>
      <w:r w:rsidRPr="00C611C5">
        <w:rPr>
          <w:rFonts w:hint="cs"/>
          <w:rtl/>
        </w:rPr>
        <w:t>شكالا</w:t>
      </w:r>
      <w:r>
        <w:rPr>
          <w:rFonts w:hint="cs"/>
          <w:rtl/>
        </w:rPr>
        <w:t>ً</w:t>
      </w:r>
      <w:r w:rsidRPr="00C611C5">
        <w:rPr>
          <w:rFonts w:hint="cs"/>
          <w:rtl/>
        </w:rPr>
        <w:t xml:space="preserve"> </w:t>
      </w:r>
      <w:r>
        <w:rPr>
          <w:rFonts w:hint="cs"/>
          <w:rtl/>
        </w:rPr>
        <w:t>أخرى</w:t>
      </w:r>
      <w:r w:rsidRPr="00C611C5">
        <w:rPr>
          <w:rFonts w:hint="cs"/>
          <w:rtl/>
        </w:rPr>
        <w:t xml:space="preserve"> من الحياة الأُسرية، ونوع</w:t>
      </w:r>
      <w:r>
        <w:rPr>
          <w:rFonts w:hint="cs"/>
          <w:rtl/>
        </w:rPr>
        <w:t>اً</w:t>
      </w:r>
      <w:r w:rsidRPr="00C611C5">
        <w:rPr>
          <w:rFonts w:hint="cs"/>
          <w:rtl/>
        </w:rPr>
        <w:t xml:space="preserve"> آخر من توزيع العمل ونظام الحقوق</w:t>
      </w:r>
      <w:r>
        <w:rPr>
          <w:rFonts w:hint="cs"/>
          <w:rtl/>
        </w:rPr>
        <w:t>،</w:t>
      </w:r>
      <w:r w:rsidRPr="00C611C5">
        <w:rPr>
          <w:rFonts w:hint="cs"/>
          <w:rtl/>
        </w:rPr>
        <w:t xml:space="preserve"> </w:t>
      </w:r>
      <w:r>
        <w:rPr>
          <w:rFonts w:hint="cs"/>
          <w:rtl/>
        </w:rPr>
        <w:t xml:space="preserve">وهذا ما يقلّص ـ </w:t>
      </w:r>
      <w:r w:rsidRPr="00C611C5">
        <w:rPr>
          <w:rFonts w:hint="cs"/>
          <w:rtl/>
        </w:rPr>
        <w:t xml:space="preserve">بشكل تدريجي </w:t>
      </w:r>
      <w:r>
        <w:rPr>
          <w:rFonts w:hint="cs"/>
          <w:rtl/>
        </w:rPr>
        <w:t xml:space="preserve">ـ </w:t>
      </w:r>
      <w:r w:rsidRPr="00C611C5">
        <w:rPr>
          <w:rFonts w:hint="cs"/>
          <w:rtl/>
        </w:rPr>
        <w:t>التفاوت لص</w:t>
      </w:r>
      <w:r>
        <w:rPr>
          <w:rFonts w:hint="cs"/>
          <w:rtl/>
        </w:rPr>
        <w:t>الح العدالة والمساواة في الحقوق، نعم لا ينبغي أ</w:t>
      </w:r>
      <w:r w:rsidRPr="00C611C5">
        <w:rPr>
          <w:rFonts w:hint="cs"/>
          <w:rtl/>
        </w:rPr>
        <w:t>ن يصل ال</w:t>
      </w:r>
      <w:r>
        <w:rPr>
          <w:rFonts w:hint="cs"/>
          <w:rtl/>
        </w:rPr>
        <w:t xml:space="preserve">أمر إلى </w:t>
      </w:r>
      <w:r w:rsidRPr="00C611C5">
        <w:rPr>
          <w:rFonts w:hint="cs"/>
          <w:rtl/>
        </w:rPr>
        <w:t>حد</w:t>
      </w:r>
      <w:r>
        <w:rPr>
          <w:rFonts w:hint="cs"/>
          <w:rtl/>
        </w:rPr>
        <w:t>ّ سقوط أصل النظام الأ</w:t>
      </w:r>
      <w:r w:rsidRPr="00C611C5">
        <w:rPr>
          <w:rFonts w:hint="cs"/>
          <w:rtl/>
        </w:rPr>
        <w:t>سري.</w:t>
      </w:r>
    </w:p>
    <w:p w:rsidR="00C30888" w:rsidRPr="00C30888" w:rsidRDefault="00E06333" w:rsidP="00C30888">
      <w:pPr>
        <w:pStyle w:val="ac"/>
        <w:rPr>
          <w:rFonts w:cs="Abz-1 (Lotus)"/>
          <w:b/>
          <w:bCs/>
          <w:szCs w:val="29"/>
          <w:rtl/>
        </w:rPr>
      </w:pPr>
      <w:r w:rsidRPr="00E06333">
        <w:rPr>
          <w:rFonts w:hint="cs"/>
        </w:rPr>
        <w:sym w:font="AGA Arabesque" w:char="F05F"/>
      </w:r>
      <w:r w:rsidRPr="00E06333">
        <w:rPr>
          <w:rFonts w:hint="cs"/>
          <w:rtl/>
        </w:rPr>
        <w:t xml:space="preserve"> </w:t>
      </w:r>
      <w:r w:rsidR="00C30888" w:rsidRPr="00C30888">
        <w:rPr>
          <w:rFonts w:hint="cs"/>
          <w:b/>
          <w:bCs/>
          <w:rtl/>
        </w:rPr>
        <w:t>نعود من جديد للحديث عن المفروضات المسبقة، وما ينتظره الفقهاء والمتكلّمون المسلمون، وتأثير ذلك على صدور الأحكام الفقهية والآراء الكلامية، وأنّ التنوّع في هذه الفرضيات المسبقة هل يمكنه أن يوجب تنوّعاً في الأحكام والآراء؟</w:t>
      </w:r>
    </w:p>
    <w:p w:rsidR="00C30888" w:rsidRDefault="00E06333" w:rsidP="00C30888">
      <w:pPr>
        <w:pStyle w:val="ac"/>
        <w:rPr>
          <w:rtl/>
        </w:rPr>
      </w:pPr>
      <w:r>
        <w:rPr>
          <w:rFonts w:hint="cs"/>
        </w:rPr>
        <w:sym w:font="AGA Arabesque" w:char="F05E"/>
      </w:r>
      <w:r>
        <w:rPr>
          <w:rFonts w:hint="cs"/>
          <w:rtl/>
        </w:rPr>
        <w:t xml:space="preserve"> </w:t>
      </w:r>
      <w:r w:rsidR="00C30888" w:rsidRPr="00C611C5">
        <w:rPr>
          <w:rFonts w:hint="cs"/>
          <w:rtl/>
        </w:rPr>
        <w:t xml:space="preserve">لا </w:t>
      </w:r>
      <w:r w:rsidR="00C30888">
        <w:rPr>
          <w:rFonts w:hint="cs"/>
          <w:rtl/>
        </w:rPr>
        <w:t>شكّ في أ</w:t>
      </w:r>
      <w:r w:rsidR="00C30888" w:rsidRPr="00C611C5">
        <w:rPr>
          <w:rFonts w:hint="cs"/>
          <w:rtl/>
        </w:rPr>
        <w:t>ن</w:t>
      </w:r>
      <w:r w:rsidR="00C30888">
        <w:rPr>
          <w:rFonts w:hint="cs"/>
          <w:rtl/>
        </w:rPr>
        <w:t>ّ</w:t>
      </w:r>
      <w:r w:rsidR="00C30888" w:rsidRPr="00C611C5">
        <w:rPr>
          <w:rFonts w:hint="cs"/>
          <w:rtl/>
        </w:rPr>
        <w:t xml:space="preserve"> من الفرضي</w:t>
      </w:r>
      <w:r w:rsidR="00C30888">
        <w:rPr>
          <w:rFonts w:hint="cs"/>
          <w:rtl/>
        </w:rPr>
        <w:t>ّ</w:t>
      </w:r>
      <w:r w:rsidR="00C30888" w:rsidRPr="00C611C5">
        <w:rPr>
          <w:rFonts w:hint="cs"/>
          <w:rtl/>
        </w:rPr>
        <w:t xml:space="preserve">ات المسبقة لدى الفقهاء المسلمين </w:t>
      </w:r>
      <w:r w:rsidR="00C30888">
        <w:rPr>
          <w:rFonts w:hint="cs"/>
          <w:rtl/>
        </w:rPr>
        <w:t xml:space="preserve">كون نظام الأسرة نظاماً </w:t>
      </w:r>
      <w:r w:rsidR="00C30888" w:rsidRPr="00C611C5">
        <w:rPr>
          <w:rFonts w:hint="cs"/>
          <w:rtl/>
        </w:rPr>
        <w:t>طبيعي</w:t>
      </w:r>
      <w:r w:rsidR="00C30888">
        <w:rPr>
          <w:rFonts w:hint="cs"/>
          <w:rtl/>
        </w:rPr>
        <w:t>ّاً، وأ</w:t>
      </w:r>
      <w:r w:rsidR="00C30888" w:rsidRPr="00C611C5">
        <w:rPr>
          <w:rFonts w:hint="cs"/>
          <w:rtl/>
        </w:rPr>
        <w:t>ن</w:t>
      </w:r>
      <w:r w:rsidR="00C30888">
        <w:rPr>
          <w:rFonts w:hint="cs"/>
          <w:rtl/>
        </w:rPr>
        <w:t>ّ هذا النظام</w:t>
      </w:r>
      <w:r w:rsidR="00C30888" w:rsidRPr="00C611C5">
        <w:rPr>
          <w:rFonts w:hint="cs"/>
          <w:rtl/>
        </w:rPr>
        <w:t xml:space="preserve"> له شكل</w:t>
      </w:r>
      <w:r w:rsidR="00C30888">
        <w:rPr>
          <w:rFonts w:hint="cs"/>
          <w:rtl/>
        </w:rPr>
        <w:t>ٌ</w:t>
      </w:r>
      <w:r w:rsidR="00C30888" w:rsidRPr="00C611C5">
        <w:rPr>
          <w:rFonts w:hint="cs"/>
          <w:rtl/>
        </w:rPr>
        <w:t xml:space="preserve"> خاص، وبعبارة </w:t>
      </w:r>
      <w:r w:rsidR="00C30888">
        <w:rPr>
          <w:rFonts w:hint="cs"/>
          <w:rtl/>
        </w:rPr>
        <w:t>أخرى:</w:t>
      </w:r>
      <w:r w:rsidR="00C30888" w:rsidRPr="00C611C5">
        <w:rPr>
          <w:rFonts w:hint="cs"/>
          <w:rtl/>
        </w:rPr>
        <w:t xml:space="preserve"> هناك نوع واحد من نظام ال</w:t>
      </w:r>
      <w:r w:rsidR="00C30888">
        <w:rPr>
          <w:rFonts w:hint="cs"/>
          <w:rtl/>
        </w:rPr>
        <w:t>أسرة</w:t>
      </w:r>
      <w:r w:rsidR="00C30888" w:rsidRPr="00C611C5">
        <w:rPr>
          <w:rFonts w:hint="cs"/>
          <w:rtl/>
        </w:rPr>
        <w:t xml:space="preserve"> يستحق</w:t>
      </w:r>
      <w:r w:rsidR="00C30888">
        <w:rPr>
          <w:rFonts w:hint="cs"/>
          <w:rtl/>
        </w:rPr>
        <w:t>ّ</w:t>
      </w:r>
      <w:r w:rsidR="00C30888" w:rsidRPr="00C611C5">
        <w:rPr>
          <w:rFonts w:hint="cs"/>
          <w:rtl/>
        </w:rPr>
        <w:t xml:space="preserve"> </w:t>
      </w:r>
      <w:r w:rsidR="00C30888">
        <w:rPr>
          <w:rFonts w:hint="cs"/>
          <w:rtl/>
        </w:rPr>
        <w:t xml:space="preserve">نعته </w:t>
      </w:r>
      <w:r w:rsidR="00C30888" w:rsidRPr="00C611C5">
        <w:rPr>
          <w:rFonts w:hint="cs"/>
          <w:rtl/>
        </w:rPr>
        <w:t>بالطبيعي، وهو الذي يوجب تقسيما</w:t>
      </w:r>
      <w:r w:rsidR="00C30888">
        <w:rPr>
          <w:rFonts w:hint="cs"/>
          <w:rtl/>
        </w:rPr>
        <w:t>ً</w:t>
      </w:r>
      <w:r w:rsidR="00C30888" w:rsidRPr="00C611C5">
        <w:rPr>
          <w:rFonts w:hint="cs"/>
          <w:rtl/>
        </w:rPr>
        <w:t xml:space="preserve"> خاصا</w:t>
      </w:r>
      <w:r w:rsidR="00C30888">
        <w:rPr>
          <w:rFonts w:hint="cs"/>
          <w:rtl/>
        </w:rPr>
        <w:t>ً</w:t>
      </w:r>
      <w:r w:rsidR="00C30888" w:rsidRPr="00C611C5">
        <w:rPr>
          <w:rFonts w:hint="cs"/>
          <w:rtl/>
        </w:rPr>
        <w:t xml:space="preserve"> للحقوق والواجبات. وقد قام الفقهاء </w:t>
      </w:r>
      <w:r w:rsidR="00C30888">
        <w:rPr>
          <w:rFonts w:hint="cs"/>
          <w:rtl/>
        </w:rPr>
        <w:t xml:space="preserve">ـ </w:t>
      </w:r>
      <w:r w:rsidR="00C30888" w:rsidRPr="00C611C5">
        <w:rPr>
          <w:rFonts w:hint="cs"/>
          <w:rtl/>
        </w:rPr>
        <w:t>ضمن هذا التصو</w:t>
      </w:r>
      <w:r w:rsidR="00C30888">
        <w:rPr>
          <w:rFonts w:hint="cs"/>
          <w:rtl/>
        </w:rPr>
        <w:t>ّ</w:t>
      </w:r>
      <w:r w:rsidR="00C30888" w:rsidRPr="00C611C5">
        <w:rPr>
          <w:rFonts w:hint="cs"/>
          <w:rtl/>
        </w:rPr>
        <w:t xml:space="preserve">ر </w:t>
      </w:r>
      <w:r w:rsidR="00C30888">
        <w:rPr>
          <w:rFonts w:hint="cs"/>
          <w:rtl/>
        </w:rPr>
        <w:t xml:space="preserve">ـ </w:t>
      </w:r>
      <w:r w:rsidR="00C30888" w:rsidRPr="00C611C5">
        <w:rPr>
          <w:rFonts w:hint="cs"/>
          <w:rtl/>
        </w:rPr>
        <w:t>بمطالعة ال</w:t>
      </w:r>
      <w:r w:rsidR="00C30888">
        <w:rPr>
          <w:rFonts w:hint="cs"/>
          <w:rtl/>
        </w:rPr>
        <w:t>أحكام</w:t>
      </w:r>
      <w:r w:rsidR="00C30888" w:rsidRPr="00C611C5">
        <w:rPr>
          <w:rFonts w:hint="cs"/>
          <w:rtl/>
        </w:rPr>
        <w:t xml:space="preserve"> الموجودة في </w:t>
      </w:r>
      <w:r w:rsidR="00C30888" w:rsidRPr="00C611C5">
        <w:rPr>
          <w:rFonts w:hint="cs"/>
          <w:rtl/>
        </w:rPr>
        <w:lastRenderedPageBreak/>
        <w:t>الكتاب والسن</w:t>
      </w:r>
      <w:r w:rsidR="00C30888">
        <w:rPr>
          <w:rFonts w:hint="cs"/>
          <w:rtl/>
        </w:rPr>
        <w:t>ّ</w:t>
      </w:r>
      <w:r w:rsidR="00C30888" w:rsidRPr="00C611C5">
        <w:rPr>
          <w:rFonts w:hint="cs"/>
          <w:rtl/>
        </w:rPr>
        <w:t xml:space="preserve">ة، </w:t>
      </w:r>
      <w:r w:rsidR="00C30888">
        <w:rPr>
          <w:rFonts w:hint="cs"/>
          <w:rtl/>
        </w:rPr>
        <w:t>فبنوا على افتراض أ</w:t>
      </w:r>
      <w:r w:rsidR="00C30888" w:rsidRPr="00C611C5">
        <w:rPr>
          <w:rFonts w:hint="cs"/>
          <w:rtl/>
        </w:rPr>
        <w:t>ن</w:t>
      </w:r>
      <w:r w:rsidR="00C30888">
        <w:rPr>
          <w:rFonts w:hint="cs"/>
          <w:rtl/>
        </w:rPr>
        <w:t>ّ</w:t>
      </w:r>
      <w:r w:rsidR="00C30888" w:rsidRPr="00C611C5">
        <w:rPr>
          <w:rFonts w:hint="cs"/>
          <w:rtl/>
        </w:rPr>
        <w:t xml:space="preserve"> الله عز وجل لا يمكنه ولا يريد إصدار </w:t>
      </w:r>
      <w:r w:rsidR="00C30888">
        <w:rPr>
          <w:rFonts w:hint="cs"/>
          <w:rtl/>
        </w:rPr>
        <w:t>أحكام</w:t>
      </w:r>
      <w:r w:rsidR="00C30888" w:rsidRPr="00C611C5">
        <w:rPr>
          <w:rFonts w:hint="cs"/>
          <w:rtl/>
        </w:rPr>
        <w:t xml:space="preserve"> تتعل</w:t>
      </w:r>
      <w:r w:rsidR="00C30888">
        <w:rPr>
          <w:rFonts w:hint="cs"/>
          <w:rtl/>
        </w:rPr>
        <w:t>ّ</w:t>
      </w:r>
      <w:r w:rsidR="00C30888" w:rsidRPr="00C611C5">
        <w:rPr>
          <w:rFonts w:hint="cs"/>
          <w:rtl/>
        </w:rPr>
        <w:t>ق بال</w:t>
      </w:r>
      <w:r w:rsidR="00C30888">
        <w:rPr>
          <w:rFonts w:hint="cs"/>
          <w:rtl/>
        </w:rPr>
        <w:t>أسرة</w:t>
      </w:r>
      <w:r w:rsidR="00C30888" w:rsidRPr="00C611C5">
        <w:rPr>
          <w:rFonts w:hint="cs"/>
          <w:rtl/>
        </w:rPr>
        <w:t>، ت</w:t>
      </w:r>
      <w:r w:rsidR="00C30888">
        <w:rPr>
          <w:rFonts w:hint="cs"/>
          <w:rtl/>
        </w:rPr>
        <w:t>قع</w:t>
      </w:r>
      <w:r w:rsidR="00C30888" w:rsidRPr="00C611C5">
        <w:rPr>
          <w:rFonts w:hint="cs"/>
          <w:rtl/>
        </w:rPr>
        <w:t xml:space="preserve"> على خلاف النظام الطبيعي ل</w:t>
      </w:r>
      <w:r w:rsidR="00C30888">
        <w:rPr>
          <w:rFonts w:hint="cs"/>
          <w:rtl/>
        </w:rPr>
        <w:t>ها،</w:t>
      </w:r>
      <w:r w:rsidR="00C30888" w:rsidRPr="00C611C5">
        <w:rPr>
          <w:rFonts w:hint="cs"/>
          <w:rtl/>
        </w:rPr>
        <w:t xml:space="preserve"> </w:t>
      </w:r>
      <w:r w:rsidR="00C30888">
        <w:rPr>
          <w:rFonts w:hint="cs"/>
          <w:rtl/>
        </w:rPr>
        <w:t>وهو النظام الذي خلقها عليه..</w:t>
      </w:r>
      <w:r w:rsidR="00C30888" w:rsidRPr="00C611C5">
        <w:rPr>
          <w:rFonts w:hint="cs"/>
          <w:rtl/>
        </w:rPr>
        <w:t xml:space="preserve"> والنتيجة </w:t>
      </w:r>
      <w:r w:rsidR="00C30888">
        <w:rPr>
          <w:rFonts w:hint="cs"/>
          <w:rtl/>
        </w:rPr>
        <w:t>أ</w:t>
      </w:r>
      <w:r w:rsidR="00C30888" w:rsidRPr="00C611C5">
        <w:rPr>
          <w:rFonts w:hint="cs"/>
          <w:rtl/>
        </w:rPr>
        <w:t>ن</w:t>
      </w:r>
      <w:r w:rsidR="00C30888">
        <w:rPr>
          <w:rFonts w:hint="cs"/>
          <w:rtl/>
        </w:rPr>
        <w:t>ّ</w:t>
      </w:r>
      <w:r w:rsidR="00C30888" w:rsidRPr="00C611C5">
        <w:rPr>
          <w:rFonts w:hint="cs"/>
          <w:rtl/>
        </w:rPr>
        <w:t>هم اعتبروا ال</w:t>
      </w:r>
      <w:r w:rsidR="00C30888">
        <w:rPr>
          <w:rFonts w:hint="cs"/>
          <w:rtl/>
        </w:rPr>
        <w:t>أحكام</w:t>
      </w:r>
      <w:r w:rsidR="00C30888" w:rsidRPr="00C611C5">
        <w:rPr>
          <w:rFonts w:hint="cs"/>
          <w:rtl/>
        </w:rPr>
        <w:t xml:space="preserve"> المبيّنة في الكتاب والسن</w:t>
      </w:r>
      <w:r w:rsidR="00C30888">
        <w:rPr>
          <w:rFonts w:hint="cs"/>
          <w:rtl/>
        </w:rPr>
        <w:t>ّ</w:t>
      </w:r>
      <w:r w:rsidR="00C30888" w:rsidRPr="00C611C5">
        <w:rPr>
          <w:rFonts w:hint="cs"/>
          <w:rtl/>
        </w:rPr>
        <w:t xml:space="preserve">ة </w:t>
      </w:r>
      <w:r w:rsidR="00C30888">
        <w:rPr>
          <w:rFonts w:hint="cs"/>
          <w:rtl/>
        </w:rPr>
        <w:t xml:space="preserve">تعبيراً </w:t>
      </w:r>
      <w:r w:rsidR="00C30888" w:rsidRPr="00C611C5">
        <w:rPr>
          <w:rFonts w:hint="cs"/>
          <w:rtl/>
        </w:rPr>
        <w:t>عن الوضع الطبيعي لل</w:t>
      </w:r>
      <w:r w:rsidR="00C30888">
        <w:rPr>
          <w:rFonts w:hint="cs"/>
          <w:rtl/>
        </w:rPr>
        <w:t>أسرة، وأ</w:t>
      </w:r>
      <w:r w:rsidR="00C30888" w:rsidRPr="00C611C5">
        <w:rPr>
          <w:rFonts w:hint="cs"/>
          <w:rtl/>
        </w:rPr>
        <w:t>ن</w:t>
      </w:r>
      <w:r w:rsidR="00C30888">
        <w:rPr>
          <w:rFonts w:hint="cs"/>
          <w:rtl/>
        </w:rPr>
        <w:t>ّها</w:t>
      </w:r>
      <w:r w:rsidR="00C30888" w:rsidRPr="00C611C5">
        <w:rPr>
          <w:rFonts w:hint="cs"/>
          <w:rtl/>
        </w:rPr>
        <w:t xml:space="preserve"> صدرت في صدر ال</w:t>
      </w:r>
      <w:r w:rsidR="00C30888">
        <w:rPr>
          <w:rFonts w:hint="cs"/>
          <w:rtl/>
        </w:rPr>
        <w:t>إسلام</w:t>
      </w:r>
      <w:r w:rsidR="00C30888" w:rsidRPr="00C611C5">
        <w:rPr>
          <w:rFonts w:hint="cs"/>
          <w:rtl/>
        </w:rPr>
        <w:t xml:space="preserve"> دائمة</w:t>
      </w:r>
      <w:r w:rsidR="00C30888">
        <w:rPr>
          <w:rFonts w:hint="cs"/>
          <w:rtl/>
        </w:rPr>
        <w:t>ً</w:t>
      </w:r>
      <w:r w:rsidR="00C30888" w:rsidRPr="00C611C5">
        <w:rPr>
          <w:rFonts w:hint="cs"/>
          <w:rtl/>
        </w:rPr>
        <w:t xml:space="preserve"> لا تقبل التغيير</w:t>
      </w:r>
      <w:r w:rsidR="00C30888">
        <w:rPr>
          <w:rFonts w:hint="cs"/>
          <w:rtl/>
        </w:rPr>
        <w:t xml:space="preserve"> ولا التبديل.</w:t>
      </w:r>
    </w:p>
    <w:p w:rsidR="00C30888" w:rsidRPr="00C611C5" w:rsidRDefault="00C30888" w:rsidP="00517C08">
      <w:pPr>
        <w:pStyle w:val="ac"/>
        <w:spacing w:line="199" w:lineRule="auto"/>
        <w:rPr>
          <w:rtl/>
        </w:rPr>
      </w:pPr>
      <w:r w:rsidRPr="00C611C5">
        <w:rPr>
          <w:rFonts w:hint="cs"/>
          <w:rtl/>
        </w:rPr>
        <w:t xml:space="preserve">لقد </w:t>
      </w:r>
      <w:r>
        <w:rPr>
          <w:rFonts w:hint="cs"/>
          <w:rtl/>
        </w:rPr>
        <w:t xml:space="preserve">اعتبروا وظيفتهم ـ في افتراضٍ مسبق آخر ـ </w:t>
      </w:r>
      <w:r w:rsidRPr="00C611C5">
        <w:rPr>
          <w:rFonts w:hint="cs"/>
          <w:rtl/>
        </w:rPr>
        <w:t>البحث</w:t>
      </w:r>
      <w:r>
        <w:rPr>
          <w:rFonts w:hint="cs"/>
          <w:rtl/>
        </w:rPr>
        <w:t>َ</w:t>
      </w:r>
      <w:r w:rsidRPr="00C611C5">
        <w:rPr>
          <w:rFonts w:hint="cs"/>
          <w:rtl/>
        </w:rPr>
        <w:t xml:space="preserve"> عن قانون</w:t>
      </w:r>
      <w:r>
        <w:rPr>
          <w:rFonts w:hint="cs"/>
          <w:rtl/>
        </w:rPr>
        <w:t>ٍ أبدي؛</w:t>
      </w:r>
      <w:r w:rsidRPr="00C611C5">
        <w:rPr>
          <w:rFonts w:hint="cs"/>
          <w:rtl/>
        </w:rPr>
        <w:t xml:space="preserve"> وعلى </w:t>
      </w:r>
      <w:r>
        <w:rPr>
          <w:rFonts w:hint="cs"/>
          <w:rtl/>
        </w:rPr>
        <w:t>أساس</w:t>
      </w:r>
      <w:r w:rsidRPr="00C611C5">
        <w:rPr>
          <w:rFonts w:hint="cs"/>
          <w:rtl/>
        </w:rPr>
        <w:t xml:space="preserve"> هذا النوع من الفرضيات المسبقة لم يخطر ف</w:t>
      </w:r>
      <w:r>
        <w:rPr>
          <w:rFonts w:hint="cs"/>
          <w:rtl/>
        </w:rPr>
        <w:t>ي ذهن أحد على امتداد التاريخ وإلى عصرنا الأ</w:t>
      </w:r>
      <w:r w:rsidRPr="00C611C5">
        <w:rPr>
          <w:rFonts w:hint="cs"/>
          <w:rtl/>
        </w:rPr>
        <w:t>خير إمكان تغيير هذه ال</w:t>
      </w:r>
      <w:r>
        <w:rPr>
          <w:rFonts w:hint="cs"/>
          <w:rtl/>
        </w:rPr>
        <w:t>أحكام،</w:t>
      </w:r>
      <w:r w:rsidRPr="00C611C5">
        <w:rPr>
          <w:rFonts w:hint="cs"/>
          <w:rtl/>
        </w:rPr>
        <w:t xml:space="preserve"> لكن بعد ذلك</w:t>
      </w:r>
      <w:r>
        <w:rPr>
          <w:rFonts w:hint="cs"/>
          <w:rtl/>
        </w:rPr>
        <w:t>،</w:t>
      </w:r>
      <w:r w:rsidRPr="00C611C5">
        <w:rPr>
          <w:rFonts w:hint="cs"/>
          <w:rtl/>
        </w:rPr>
        <w:t xml:space="preserve"> وبحكم الضرورة</w:t>
      </w:r>
      <w:r>
        <w:rPr>
          <w:rFonts w:hint="cs"/>
          <w:rtl/>
        </w:rPr>
        <w:t>،</w:t>
      </w:r>
      <w:r w:rsidRPr="00C611C5">
        <w:rPr>
          <w:rFonts w:hint="cs"/>
          <w:rtl/>
        </w:rPr>
        <w:t xml:space="preserve"> حدثت سلسلة تغييرات </w:t>
      </w:r>
      <w:r>
        <w:rPr>
          <w:rFonts w:hint="cs"/>
          <w:rtl/>
        </w:rPr>
        <w:t>اجتماع</w:t>
      </w:r>
      <w:r w:rsidRPr="00C611C5">
        <w:rPr>
          <w:rFonts w:hint="cs"/>
          <w:rtl/>
        </w:rPr>
        <w:t>ية وثقافية في المجتمع ال</w:t>
      </w:r>
      <w:r>
        <w:rPr>
          <w:rFonts w:hint="cs"/>
          <w:rtl/>
        </w:rPr>
        <w:t>إسلام</w:t>
      </w:r>
      <w:r w:rsidRPr="00C611C5">
        <w:rPr>
          <w:rFonts w:hint="cs"/>
          <w:rtl/>
        </w:rPr>
        <w:t>ي، و</w:t>
      </w:r>
      <w:r>
        <w:rPr>
          <w:rFonts w:hint="cs"/>
          <w:rtl/>
        </w:rPr>
        <w:t>منه</w:t>
      </w:r>
      <w:r w:rsidRPr="00C611C5">
        <w:rPr>
          <w:rFonts w:hint="cs"/>
          <w:rtl/>
        </w:rPr>
        <w:t xml:space="preserve"> مجتمعنا</w:t>
      </w:r>
      <w:r>
        <w:rPr>
          <w:rFonts w:hint="cs"/>
          <w:rtl/>
        </w:rPr>
        <w:t xml:space="preserve"> (الإيراني)</w:t>
      </w:r>
      <w:r w:rsidRPr="00C611C5">
        <w:rPr>
          <w:rFonts w:hint="cs"/>
          <w:rtl/>
        </w:rPr>
        <w:t xml:space="preserve">، </w:t>
      </w:r>
      <w:r>
        <w:rPr>
          <w:rFonts w:hint="cs"/>
          <w:rtl/>
        </w:rPr>
        <w:t>فغدا من الواضح أ</w:t>
      </w:r>
      <w:r w:rsidRPr="00C611C5">
        <w:rPr>
          <w:rFonts w:hint="cs"/>
          <w:rtl/>
        </w:rPr>
        <w:t>ن</w:t>
      </w:r>
      <w:r>
        <w:rPr>
          <w:rFonts w:hint="cs"/>
          <w:rtl/>
        </w:rPr>
        <w:t>ّ</w:t>
      </w:r>
      <w:r w:rsidRPr="00C611C5">
        <w:rPr>
          <w:rFonts w:hint="cs"/>
          <w:rtl/>
        </w:rPr>
        <w:t xml:space="preserve"> التمس</w:t>
      </w:r>
      <w:r>
        <w:rPr>
          <w:rFonts w:hint="cs"/>
          <w:rtl/>
        </w:rPr>
        <w:t>ّ</w:t>
      </w:r>
      <w:r w:rsidRPr="00C611C5">
        <w:rPr>
          <w:rFonts w:hint="cs"/>
          <w:rtl/>
        </w:rPr>
        <w:t xml:space="preserve">ك بطريقة التفكير القديمة </w:t>
      </w:r>
      <w:r>
        <w:rPr>
          <w:rFonts w:hint="cs"/>
          <w:rtl/>
        </w:rPr>
        <w:t xml:space="preserve">قد أفضى إلى </w:t>
      </w:r>
      <w:r w:rsidRPr="00C611C5">
        <w:rPr>
          <w:rFonts w:hint="cs"/>
          <w:rtl/>
        </w:rPr>
        <w:t>الوقوع في العديد من المشاكل، ال</w:t>
      </w:r>
      <w:r>
        <w:rPr>
          <w:rFonts w:hint="cs"/>
          <w:rtl/>
        </w:rPr>
        <w:t>أمر</w:t>
      </w:r>
      <w:r w:rsidRPr="00C611C5">
        <w:rPr>
          <w:rFonts w:hint="cs"/>
          <w:rtl/>
        </w:rPr>
        <w:t xml:space="preserve"> الذي أوجد مجموعة تدبيرات داخل النظام الفقهي الحقوقي</w:t>
      </w:r>
      <w:r>
        <w:rPr>
          <w:rFonts w:hint="cs"/>
          <w:rtl/>
        </w:rPr>
        <w:t>؛</w:t>
      </w:r>
      <w:r w:rsidRPr="00C611C5">
        <w:rPr>
          <w:rFonts w:hint="cs"/>
          <w:rtl/>
        </w:rPr>
        <w:t xml:space="preserve"> مم</w:t>
      </w:r>
      <w:r>
        <w:rPr>
          <w:rFonts w:hint="cs"/>
          <w:rtl/>
        </w:rPr>
        <w:t>ّ</w:t>
      </w:r>
      <w:r w:rsidRPr="00C611C5">
        <w:rPr>
          <w:rFonts w:hint="cs"/>
          <w:rtl/>
        </w:rPr>
        <w:t>ا أد</w:t>
      </w:r>
      <w:r>
        <w:rPr>
          <w:rFonts w:hint="cs"/>
          <w:rtl/>
        </w:rPr>
        <w:t>ّ</w:t>
      </w:r>
      <w:r w:rsidRPr="00C611C5">
        <w:rPr>
          <w:rFonts w:hint="cs"/>
          <w:rtl/>
        </w:rPr>
        <w:t>ى</w:t>
      </w:r>
      <w:r>
        <w:rPr>
          <w:rFonts w:hint="cs"/>
          <w:rtl/>
        </w:rPr>
        <w:t xml:space="preserve"> إلى </w:t>
      </w:r>
      <w:r w:rsidRPr="00C611C5">
        <w:rPr>
          <w:rFonts w:hint="cs"/>
          <w:rtl/>
        </w:rPr>
        <w:t>الخروج من ظلم</w:t>
      </w:r>
      <w:r>
        <w:rPr>
          <w:rFonts w:hint="cs"/>
          <w:rtl/>
        </w:rPr>
        <w:t>ٍ</w:t>
      </w:r>
      <w:r w:rsidRPr="00C611C5">
        <w:rPr>
          <w:rFonts w:hint="cs"/>
          <w:rtl/>
        </w:rPr>
        <w:t xml:space="preserve"> </w:t>
      </w:r>
      <w:r>
        <w:rPr>
          <w:rFonts w:hint="cs"/>
          <w:rtl/>
        </w:rPr>
        <w:t>واضح للمرأة؛</w:t>
      </w:r>
      <w:r w:rsidRPr="00C611C5">
        <w:rPr>
          <w:rFonts w:hint="cs"/>
          <w:rtl/>
        </w:rPr>
        <w:t xml:space="preserve"> فمثلا</w:t>
      </w:r>
      <w:r>
        <w:rPr>
          <w:rFonts w:hint="cs"/>
          <w:rtl/>
        </w:rPr>
        <w:t>ً</w:t>
      </w:r>
      <w:r w:rsidRPr="00C611C5">
        <w:rPr>
          <w:rFonts w:hint="cs"/>
          <w:rtl/>
        </w:rPr>
        <w:t xml:space="preserve"> وضعت في وثيقة الزواج اليوم مجموعة</w:t>
      </w:r>
      <w:r>
        <w:rPr>
          <w:rFonts w:hint="cs"/>
          <w:rtl/>
        </w:rPr>
        <w:t>ٌ</w:t>
      </w:r>
      <w:r w:rsidRPr="00C611C5">
        <w:rPr>
          <w:rFonts w:hint="cs"/>
          <w:rtl/>
        </w:rPr>
        <w:t xml:space="preserve"> من الشروط التي يرجع مضمونها</w:t>
      </w:r>
      <w:r>
        <w:rPr>
          <w:rFonts w:hint="cs"/>
          <w:rtl/>
        </w:rPr>
        <w:t xml:space="preserve"> إلى </w:t>
      </w:r>
      <w:r w:rsidRPr="00C611C5">
        <w:rPr>
          <w:rFonts w:hint="cs"/>
          <w:rtl/>
        </w:rPr>
        <w:t xml:space="preserve">مراعاة بعض الحقوق </w:t>
      </w:r>
      <w:r>
        <w:rPr>
          <w:rFonts w:hint="cs"/>
          <w:rtl/>
        </w:rPr>
        <w:t xml:space="preserve">المناصرة للمرأة، </w:t>
      </w:r>
      <w:r w:rsidRPr="00C611C5">
        <w:rPr>
          <w:rFonts w:hint="cs"/>
          <w:rtl/>
        </w:rPr>
        <w:t>كالشرط الذي ينص</w:t>
      </w:r>
      <w:r>
        <w:rPr>
          <w:rFonts w:hint="cs"/>
          <w:rtl/>
        </w:rPr>
        <w:t>ّ</w:t>
      </w:r>
      <w:r w:rsidRPr="00C611C5">
        <w:rPr>
          <w:rFonts w:hint="cs"/>
          <w:rtl/>
        </w:rPr>
        <w:t xml:space="preserve"> على </w:t>
      </w:r>
      <w:r>
        <w:rPr>
          <w:rFonts w:hint="cs"/>
          <w:rtl/>
        </w:rPr>
        <w:t>حقّها في المطالبة بالطلاق في حالات خاصّة.</w:t>
      </w:r>
    </w:p>
    <w:p w:rsidR="00C30888" w:rsidRPr="00C30888" w:rsidRDefault="00E06333" w:rsidP="00517C08">
      <w:pPr>
        <w:pStyle w:val="ac"/>
        <w:spacing w:line="199" w:lineRule="auto"/>
        <w:rPr>
          <w:rFonts w:cs="Abz-1 (Lotus)"/>
          <w:b/>
          <w:bCs/>
          <w:rtl/>
        </w:rPr>
      </w:pPr>
      <w:r w:rsidRPr="00E06333">
        <w:rPr>
          <w:rFonts w:hint="cs"/>
        </w:rPr>
        <w:sym w:font="AGA Arabesque" w:char="F05F"/>
      </w:r>
      <w:r w:rsidRPr="00E06333">
        <w:rPr>
          <w:rFonts w:hint="cs"/>
          <w:rtl/>
        </w:rPr>
        <w:t xml:space="preserve"> </w:t>
      </w:r>
      <w:r w:rsidR="00C30888" w:rsidRPr="00C30888">
        <w:rPr>
          <w:rFonts w:hint="cs"/>
          <w:b/>
          <w:bCs/>
          <w:rtl/>
        </w:rPr>
        <w:t>بنظركم، هل تفي هذه التدبيرات المؤقتة للقيام بتغييرٍ أساسي في هذه الخلفيات الفكرية المسبقة، ومن ثمّ رفع الاختلاف الحقوقي بين الطرفين في عالمنا الإسلامي المعاصر أم أن الأمر يحتاج إلى سعي أكبر وجهد أوسع؟</w:t>
      </w:r>
    </w:p>
    <w:p w:rsidR="00C30888" w:rsidRDefault="00E06333" w:rsidP="00517C08">
      <w:pPr>
        <w:pStyle w:val="ac"/>
        <w:spacing w:line="199" w:lineRule="auto"/>
        <w:rPr>
          <w:rtl/>
        </w:rPr>
      </w:pPr>
      <w:r>
        <w:rPr>
          <w:rFonts w:hint="cs"/>
        </w:rPr>
        <w:sym w:font="AGA Arabesque" w:char="F05E"/>
      </w:r>
      <w:r>
        <w:rPr>
          <w:rFonts w:hint="cs"/>
          <w:rtl/>
        </w:rPr>
        <w:t xml:space="preserve"> </w:t>
      </w:r>
      <w:r w:rsidR="00C30888" w:rsidRPr="00C611C5">
        <w:rPr>
          <w:rFonts w:hint="cs"/>
          <w:rtl/>
        </w:rPr>
        <w:t>ذكرت سابقا</w:t>
      </w:r>
      <w:r w:rsidR="00C30888">
        <w:rPr>
          <w:rFonts w:hint="cs"/>
          <w:rtl/>
        </w:rPr>
        <w:t>ً</w:t>
      </w:r>
      <w:r w:rsidR="00C30888" w:rsidRPr="00C611C5">
        <w:rPr>
          <w:rFonts w:hint="cs"/>
          <w:rtl/>
        </w:rPr>
        <w:t xml:space="preserve"> </w:t>
      </w:r>
      <w:r w:rsidR="00C30888">
        <w:rPr>
          <w:rFonts w:hint="cs"/>
          <w:rtl/>
        </w:rPr>
        <w:t xml:space="preserve">ـ </w:t>
      </w:r>
      <w:r w:rsidR="00C30888" w:rsidRPr="00C611C5">
        <w:rPr>
          <w:rFonts w:hint="cs"/>
          <w:rtl/>
        </w:rPr>
        <w:t xml:space="preserve">وفي </w:t>
      </w:r>
      <w:r w:rsidR="00C30888">
        <w:rPr>
          <w:rFonts w:hint="cs"/>
          <w:rtl/>
        </w:rPr>
        <w:t>أ</w:t>
      </w:r>
      <w:r w:rsidR="00C30888" w:rsidRPr="00C611C5">
        <w:rPr>
          <w:rFonts w:hint="cs"/>
          <w:rtl/>
        </w:rPr>
        <w:t xml:space="preserve">كثر من مناسبة </w:t>
      </w:r>
      <w:r w:rsidR="00C30888">
        <w:rPr>
          <w:rFonts w:hint="cs"/>
          <w:rtl/>
        </w:rPr>
        <w:t>ـ أ</w:t>
      </w:r>
      <w:r w:rsidR="00C30888" w:rsidRPr="00C611C5">
        <w:rPr>
          <w:rFonts w:hint="cs"/>
          <w:rtl/>
        </w:rPr>
        <w:t>ن</w:t>
      </w:r>
      <w:r w:rsidR="00C30888">
        <w:rPr>
          <w:rFonts w:hint="cs"/>
          <w:rtl/>
        </w:rPr>
        <w:t>ّن</w:t>
      </w:r>
      <w:r w:rsidR="00C30888" w:rsidRPr="00C611C5">
        <w:rPr>
          <w:rFonts w:hint="cs"/>
          <w:rtl/>
        </w:rPr>
        <w:t>ي</w:t>
      </w:r>
      <w:r w:rsidR="00C30888">
        <w:rPr>
          <w:rFonts w:hint="cs"/>
          <w:rtl/>
        </w:rPr>
        <w:t xml:space="preserve"> أ</w:t>
      </w:r>
      <w:r w:rsidR="00C30888" w:rsidRPr="00C611C5">
        <w:rPr>
          <w:rFonts w:hint="cs"/>
          <w:rtl/>
        </w:rPr>
        <w:t xml:space="preserve">عتقد </w:t>
      </w:r>
      <w:r w:rsidR="00C30888">
        <w:rPr>
          <w:rFonts w:hint="cs"/>
          <w:rtl/>
        </w:rPr>
        <w:t>أ</w:t>
      </w:r>
      <w:r w:rsidR="00C30888" w:rsidRPr="00C611C5">
        <w:rPr>
          <w:rFonts w:hint="cs"/>
          <w:rtl/>
        </w:rPr>
        <w:t>ن هذه الت</w:t>
      </w:r>
      <w:r w:rsidR="00C30888">
        <w:rPr>
          <w:rFonts w:hint="cs"/>
          <w:rtl/>
        </w:rPr>
        <w:t>غييرات الجزئية الداخلية لا تكفي، نعم لا أريد أن أ</w:t>
      </w:r>
      <w:r w:rsidR="00C30888" w:rsidRPr="00C611C5">
        <w:rPr>
          <w:rFonts w:hint="cs"/>
          <w:rtl/>
        </w:rPr>
        <w:t>قول</w:t>
      </w:r>
      <w:r w:rsidR="00C30888">
        <w:rPr>
          <w:rFonts w:hint="cs"/>
          <w:rtl/>
        </w:rPr>
        <w:t>: إ</w:t>
      </w:r>
      <w:r w:rsidR="00C30888" w:rsidRPr="00C611C5">
        <w:rPr>
          <w:rFonts w:hint="cs"/>
          <w:rtl/>
        </w:rPr>
        <w:t xml:space="preserve">نها </w:t>
      </w:r>
      <w:r w:rsidR="00C30888">
        <w:rPr>
          <w:rFonts w:hint="cs"/>
          <w:rtl/>
        </w:rPr>
        <w:t xml:space="preserve">عاجزة عن معالجة </w:t>
      </w:r>
      <w:r w:rsidR="00C30888" w:rsidRPr="00C611C5">
        <w:rPr>
          <w:rFonts w:hint="cs"/>
          <w:rtl/>
        </w:rPr>
        <w:t xml:space="preserve">الثغرات الموجودة، </w:t>
      </w:r>
      <w:r w:rsidR="00C30888">
        <w:rPr>
          <w:rFonts w:hint="cs"/>
          <w:rtl/>
        </w:rPr>
        <w:t>بل أرى أنّ من المفترض بنا التركيز على التربة</w:t>
      </w:r>
      <w:r w:rsidR="00C30888" w:rsidRPr="00C611C5">
        <w:rPr>
          <w:rFonts w:hint="cs"/>
          <w:rtl/>
        </w:rPr>
        <w:t xml:space="preserve"> </w:t>
      </w:r>
      <w:r w:rsidR="00C30888">
        <w:rPr>
          <w:rFonts w:hint="cs"/>
          <w:rtl/>
        </w:rPr>
        <w:t>التي تقوم عليها هذه الثغرات،</w:t>
      </w:r>
      <w:r w:rsidR="00C30888" w:rsidRPr="00C611C5">
        <w:rPr>
          <w:rFonts w:hint="cs"/>
          <w:rtl/>
        </w:rPr>
        <w:t xml:space="preserve"> ومطالعة الكتاب والسن</w:t>
      </w:r>
      <w:r w:rsidR="00C30888">
        <w:rPr>
          <w:rFonts w:hint="cs"/>
          <w:rtl/>
        </w:rPr>
        <w:t>ّ</w:t>
      </w:r>
      <w:r w:rsidR="00C30888" w:rsidRPr="00C611C5">
        <w:rPr>
          <w:rFonts w:hint="cs"/>
          <w:rtl/>
        </w:rPr>
        <w:t xml:space="preserve">ة </w:t>
      </w:r>
      <w:r w:rsidR="00C30888">
        <w:rPr>
          <w:rFonts w:hint="cs"/>
          <w:rtl/>
        </w:rPr>
        <w:t>مطالعةً</w:t>
      </w:r>
      <w:r w:rsidR="00C30888" w:rsidRPr="00C611C5">
        <w:rPr>
          <w:rFonts w:hint="cs"/>
          <w:rtl/>
        </w:rPr>
        <w:t xml:space="preserve"> تاريخية.</w:t>
      </w:r>
    </w:p>
    <w:p w:rsidR="00C30888" w:rsidRPr="00517C08" w:rsidRDefault="00C30888" w:rsidP="00517C08">
      <w:pPr>
        <w:pStyle w:val="afffffc"/>
        <w:rPr>
          <w:sz w:val="14"/>
          <w:szCs w:val="12"/>
          <w:rtl/>
        </w:rPr>
      </w:pPr>
    </w:p>
    <w:p w:rsidR="00C30888" w:rsidRPr="00D457EB" w:rsidRDefault="00C30888" w:rsidP="00517C08">
      <w:pPr>
        <w:pStyle w:val="1"/>
        <w:spacing w:line="180" w:lineRule="auto"/>
        <w:rPr>
          <w:rtl/>
        </w:rPr>
      </w:pPr>
      <w:bookmarkStart w:id="116" w:name="_Toc169521381"/>
      <w:bookmarkStart w:id="117" w:name="_Toc275127910"/>
      <w:r w:rsidRPr="00D457EB">
        <w:rPr>
          <w:rFonts w:hint="cs"/>
          <w:rtl/>
        </w:rPr>
        <w:t>القراءة التاريخية للدين وتأثيرات منظومة الحقوق النسوية</w:t>
      </w:r>
      <w:bookmarkEnd w:id="116"/>
      <w:bookmarkEnd w:id="117"/>
    </w:p>
    <w:p w:rsidR="00C30888" w:rsidRPr="00C30888" w:rsidRDefault="00E06333" w:rsidP="00517C08">
      <w:pPr>
        <w:pStyle w:val="ac"/>
        <w:spacing w:line="199" w:lineRule="auto"/>
        <w:rPr>
          <w:rFonts w:cs="Abz-1 (Lotus)"/>
          <w:b/>
          <w:bCs/>
          <w:rtl/>
        </w:rPr>
      </w:pPr>
      <w:r w:rsidRPr="00E06333">
        <w:rPr>
          <w:rFonts w:hint="cs"/>
        </w:rPr>
        <w:sym w:font="AGA Arabesque" w:char="F05F"/>
      </w:r>
      <w:r w:rsidRPr="00E06333">
        <w:rPr>
          <w:rFonts w:hint="cs"/>
          <w:rtl/>
        </w:rPr>
        <w:t xml:space="preserve"> </w:t>
      </w:r>
      <w:r w:rsidR="00C30888" w:rsidRPr="00C30888">
        <w:rPr>
          <w:rFonts w:hint="cs"/>
          <w:b/>
          <w:bCs/>
          <w:rtl/>
        </w:rPr>
        <w:t>ما هو رأيكم بالقراءة التاريخية للدين؟ وبعبارةٍ أخرى: ما هو تأثير ملاحظة نمط تكوّن الدين وتكامله في إدراكنا للأحكام الدينية، ومن جملة ذلك الأحكام الناظرة إلى المرأة؟</w:t>
      </w:r>
    </w:p>
    <w:p w:rsidR="00C30888" w:rsidRPr="00C611C5" w:rsidRDefault="00E06333" w:rsidP="00517C08">
      <w:pPr>
        <w:pStyle w:val="ac"/>
        <w:spacing w:line="209" w:lineRule="auto"/>
        <w:rPr>
          <w:rtl/>
        </w:rPr>
      </w:pPr>
      <w:r>
        <w:rPr>
          <w:rFonts w:hint="cs"/>
        </w:rPr>
        <w:lastRenderedPageBreak/>
        <w:sym w:font="AGA Arabesque" w:char="F05E"/>
      </w:r>
      <w:r>
        <w:rPr>
          <w:rFonts w:hint="cs"/>
          <w:rtl/>
        </w:rPr>
        <w:t xml:space="preserve"> </w:t>
      </w:r>
      <w:r w:rsidR="00C30888" w:rsidRPr="00C611C5">
        <w:rPr>
          <w:rFonts w:hint="cs"/>
          <w:rtl/>
        </w:rPr>
        <w:t xml:space="preserve">قبل أن أجيب على سؤالكم </w:t>
      </w:r>
      <w:r w:rsidR="00C30888">
        <w:rPr>
          <w:rFonts w:hint="cs"/>
          <w:rtl/>
        </w:rPr>
        <w:t>أ</w:t>
      </w:r>
      <w:r w:rsidR="00C30888" w:rsidRPr="00C611C5">
        <w:rPr>
          <w:rFonts w:hint="cs"/>
          <w:rtl/>
        </w:rPr>
        <w:t xml:space="preserve">ريد </w:t>
      </w:r>
      <w:r w:rsidR="00C30888">
        <w:rPr>
          <w:rFonts w:hint="cs"/>
          <w:rtl/>
        </w:rPr>
        <w:t>أ</w:t>
      </w:r>
      <w:r w:rsidR="00C30888" w:rsidRPr="00C611C5">
        <w:rPr>
          <w:rFonts w:hint="cs"/>
          <w:rtl/>
        </w:rPr>
        <w:t xml:space="preserve">ن </w:t>
      </w:r>
      <w:r w:rsidR="00C30888">
        <w:rPr>
          <w:rFonts w:hint="cs"/>
          <w:rtl/>
        </w:rPr>
        <w:t>أ</w:t>
      </w:r>
      <w:r w:rsidR="00C30888" w:rsidRPr="00C611C5">
        <w:rPr>
          <w:rFonts w:hint="cs"/>
          <w:rtl/>
        </w:rPr>
        <w:t>ذكر حادثة</w:t>
      </w:r>
      <w:r w:rsidR="00C30888">
        <w:rPr>
          <w:rFonts w:hint="cs"/>
          <w:rtl/>
        </w:rPr>
        <w:t>ً</w:t>
      </w:r>
      <w:r w:rsidR="00C30888" w:rsidRPr="00C611C5">
        <w:rPr>
          <w:rFonts w:hint="cs"/>
          <w:rtl/>
        </w:rPr>
        <w:t xml:space="preserve"> تذك</w:t>
      </w:r>
      <w:r w:rsidR="00C30888">
        <w:rPr>
          <w:rFonts w:hint="cs"/>
          <w:rtl/>
        </w:rPr>
        <w:t>ّرتها الآ</w:t>
      </w:r>
      <w:r w:rsidR="00C30888" w:rsidRPr="00C611C5">
        <w:rPr>
          <w:rFonts w:hint="cs"/>
          <w:rtl/>
        </w:rPr>
        <w:t>ن عن الشهيد السيد</w:t>
      </w:r>
      <w:r w:rsidR="00C30888">
        <w:rPr>
          <w:rFonts w:hint="cs"/>
          <w:rtl/>
        </w:rPr>
        <w:t xml:space="preserve"> محمد باقر الصدر، فقبل حوالي الأربع</w:t>
      </w:r>
      <w:r w:rsidR="00C30888" w:rsidRPr="00C611C5">
        <w:rPr>
          <w:rFonts w:hint="cs"/>
          <w:rtl/>
        </w:rPr>
        <w:t xml:space="preserve"> و</w:t>
      </w:r>
      <w:r w:rsidR="00C30888">
        <w:rPr>
          <w:rFonts w:hint="cs"/>
          <w:rtl/>
        </w:rPr>
        <w:t>ال</w:t>
      </w:r>
      <w:r w:rsidR="00C30888" w:rsidRPr="00C611C5">
        <w:rPr>
          <w:rFonts w:hint="cs"/>
          <w:rtl/>
        </w:rPr>
        <w:t>عشرين عاما</w:t>
      </w:r>
      <w:r w:rsidR="00C30888">
        <w:rPr>
          <w:rFonts w:hint="cs"/>
          <w:rtl/>
        </w:rPr>
        <w:t>ً</w:t>
      </w:r>
      <w:r w:rsidR="00C30888" w:rsidRPr="00C611C5">
        <w:rPr>
          <w:rFonts w:hint="cs"/>
          <w:rtl/>
        </w:rPr>
        <w:t xml:space="preserve"> سافرت</w:t>
      </w:r>
      <w:r w:rsidR="00C30888">
        <w:rPr>
          <w:rFonts w:hint="cs"/>
          <w:rtl/>
        </w:rPr>
        <w:t xml:space="preserve">ُ إلى </w:t>
      </w:r>
      <w:r w:rsidR="00C30888" w:rsidRPr="00C611C5">
        <w:rPr>
          <w:rFonts w:hint="cs"/>
          <w:rtl/>
        </w:rPr>
        <w:t>العراق، وذهبت لزيارة السي</w:t>
      </w:r>
      <w:r w:rsidR="00C30888">
        <w:rPr>
          <w:rFonts w:hint="cs"/>
          <w:rtl/>
        </w:rPr>
        <w:t>ّ</w:t>
      </w:r>
      <w:r w:rsidR="00C30888" w:rsidRPr="00C611C5">
        <w:rPr>
          <w:rFonts w:hint="cs"/>
          <w:rtl/>
        </w:rPr>
        <w:t>د محمد باقر الصدر</w:t>
      </w:r>
      <w:r w:rsidR="00C30888">
        <w:rPr>
          <w:rFonts w:hint="cs"/>
          <w:rtl/>
        </w:rPr>
        <w:t>،</w:t>
      </w:r>
      <w:r w:rsidR="00C30888" w:rsidRPr="00C611C5">
        <w:rPr>
          <w:rFonts w:hint="cs"/>
          <w:rtl/>
        </w:rPr>
        <w:t xml:space="preserve"> وجرى حديث</w:t>
      </w:r>
      <w:r w:rsidR="00C30888">
        <w:rPr>
          <w:rFonts w:hint="cs"/>
          <w:rtl/>
        </w:rPr>
        <w:t>ٌ</w:t>
      </w:r>
      <w:r w:rsidR="00C30888" w:rsidRPr="00C611C5">
        <w:rPr>
          <w:rFonts w:hint="cs"/>
          <w:rtl/>
        </w:rPr>
        <w:t xml:space="preserve"> بيني وبينه</w:t>
      </w:r>
      <w:r w:rsidR="00C30888">
        <w:rPr>
          <w:rFonts w:hint="cs"/>
          <w:rtl/>
        </w:rPr>
        <w:t>،</w:t>
      </w:r>
      <w:r w:rsidR="00C30888" w:rsidRPr="00C611C5">
        <w:rPr>
          <w:rFonts w:hint="cs"/>
          <w:rtl/>
        </w:rPr>
        <w:t xml:space="preserve"> وكان من المجتهدين الم</w:t>
      </w:r>
      <w:r w:rsidR="00C30888">
        <w:rPr>
          <w:rFonts w:hint="cs"/>
          <w:rtl/>
        </w:rPr>
        <w:t>ستنيرين،</w:t>
      </w:r>
      <w:r w:rsidR="00C30888" w:rsidRPr="00C611C5">
        <w:rPr>
          <w:rFonts w:hint="cs"/>
          <w:rtl/>
        </w:rPr>
        <w:t xml:space="preserve"> و</w:t>
      </w:r>
      <w:r w:rsidR="00C30888">
        <w:rPr>
          <w:rFonts w:hint="cs"/>
          <w:rtl/>
        </w:rPr>
        <w:t xml:space="preserve">قد </w:t>
      </w:r>
      <w:r w:rsidR="00C30888" w:rsidRPr="00C611C5">
        <w:rPr>
          <w:rFonts w:hint="cs"/>
          <w:rtl/>
        </w:rPr>
        <w:t>تعر</w:t>
      </w:r>
      <w:r w:rsidR="00C30888">
        <w:rPr>
          <w:rFonts w:hint="cs"/>
          <w:rtl/>
        </w:rPr>
        <w:t>ّ</w:t>
      </w:r>
      <w:r w:rsidR="00C30888" w:rsidRPr="00C611C5">
        <w:rPr>
          <w:rFonts w:hint="cs"/>
          <w:rtl/>
        </w:rPr>
        <w:t>ضت في حديثي معه للمسائل المتعل</w:t>
      </w:r>
      <w:r w:rsidR="00C30888">
        <w:rPr>
          <w:rFonts w:hint="cs"/>
          <w:rtl/>
        </w:rPr>
        <w:t>ّ</w:t>
      </w:r>
      <w:r w:rsidR="00C30888" w:rsidRPr="00C611C5">
        <w:rPr>
          <w:rFonts w:hint="cs"/>
          <w:rtl/>
        </w:rPr>
        <w:t>قة بحقوق الرجل والمرأة، محاولا</w:t>
      </w:r>
      <w:r w:rsidR="00C30888">
        <w:rPr>
          <w:rFonts w:hint="cs"/>
          <w:rtl/>
        </w:rPr>
        <w:t>ً</w:t>
      </w:r>
      <w:r w:rsidR="00C30888" w:rsidRPr="00C611C5">
        <w:rPr>
          <w:rFonts w:hint="cs"/>
          <w:rtl/>
        </w:rPr>
        <w:t xml:space="preserve"> معرفة رأيه في </w:t>
      </w:r>
      <w:r w:rsidR="00C30888">
        <w:rPr>
          <w:rFonts w:hint="cs"/>
          <w:rtl/>
        </w:rPr>
        <w:t xml:space="preserve">هذا </w:t>
      </w:r>
      <w:r w:rsidR="00C30888" w:rsidRPr="00C611C5">
        <w:rPr>
          <w:rFonts w:hint="cs"/>
          <w:rtl/>
        </w:rPr>
        <w:t xml:space="preserve">الموضوع، وقد ذكر لي </w:t>
      </w:r>
      <w:r w:rsidR="00C30888">
        <w:rPr>
          <w:rFonts w:hint="cs"/>
          <w:rtl/>
        </w:rPr>
        <w:t xml:space="preserve">ـ </w:t>
      </w:r>
      <w:r w:rsidR="00C30888" w:rsidRPr="00C611C5">
        <w:rPr>
          <w:rFonts w:hint="cs"/>
          <w:rtl/>
        </w:rPr>
        <w:t>بشكل</w:t>
      </w:r>
      <w:r w:rsidR="00C30888">
        <w:rPr>
          <w:rFonts w:hint="cs"/>
          <w:rtl/>
        </w:rPr>
        <w:t>ٍ</w:t>
      </w:r>
      <w:r w:rsidR="00C30888" w:rsidRPr="00C611C5">
        <w:rPr>
          <w:rFonts w:hint="cs"/>
          <w:rtl/>
        </w:rPr>
        <w:t xml:space="preserve"> صريح </w:t>
      </w:r>
      <w:r w:rsidR="00C30888">
        <w:rPr>
          <w:rFonts w:hint="cs"/>
          <w:rtl/>
        </w:rPr>
        <w:t>ـ أ</w:t>
      </w:r>
      <w:r w:rsidR="00C30888" w:rsidRPr="00C611C5">
        <w:rPr>
          <w:rFonts w:hint="cs"/>
          <w:rtl/>
        </w:rPr>
        <w:t>ن</w:t>
      </w:r>
      <w:r w:rsidR="00C30888">
        <w:rPr>
          <w:rFonts w:hint="cs"/>
          <w:rtl/>
        </w:rPr>
        <w:t>ّ</w:t>
      </w:r>
      <w:r w:rsidR="00C30888" w:rsidRPr="00C611C5">
        <w:rPr>
          <w:rFonts w:hint="cs"/>
          <w:rtl/>
        </w:rPr>
        <w:t xml:space="preserve"> الزمن الذي كان للمرأة فيه حقوق</w:t>
      </w:r>
      <w:r w:rsidR="00C30888">
        <w:rPr>
          <w:rFonts w:hint="cs"/>
          <w:rtl/>
        </w:rPr>
        <w:t>ٌ</w:t>
      </w:r>
      <w:r w:rsidR="00C30888" w:rsidRPr="00C611C5">
        <w:rPr>
          <w:rFonts w:hint="cs"/>
          <w:rtl/>
        </w:rPr>
        <w:t xml:space="preserve"> أقل</w:t>
      </w:r>
      <w:r w:rsidR="00C30888">
        <w:rPr>
          <w:rFonts w:hint="cs"/>
          <w:rtl/>
        </w:rPr>
        <w:t>ّ</w:t>
      </w:r>
      <w:r w:rsidR="00C30888" w:rsidRPr="00C611C5">
        <w:rPr>
          <w:rFonts w:hint="cs"/>
          <w:rtl/>
        </w:rPr>
        <w:t xml:space="preserve"> من الرجل، كانت المسؤولي</w:t>
      </w:r>
      <w:r w:rsidR="00C30888">
        <w:rPr>
          <w:rFonts w:hint="cs"/>
          <w:rtl/>
        </w:rPr>
        <w:t>ّ</w:t>
      </w:r>
      <w:r w:rsidR="00C30888" w:rsidRPr="00C611C5">
        <w:rPr>
          <w:rFonts w:hint="cs"/>
          <w:rtl/>
        </w:rPr>
        <w:t xml:space="preserve">ات الحياتية الكبرى </w:t>
      </w:r>
      <w:r w:rsidR="00C30888">
        <w:rPr>
          <w:rFonts w:hint="cs"/>
          <w:rtl/>
        </w:rPr>
        <w:t xml:space="preserve">ـ </w:t>
      </w:r>
      <w:r w:rsidR="00C30888" w:rsidRPr="00C611C5">
        <w:rPr>
          <w:rFonts w:hint="cs"/>
          <w:rtl/>
        </w:rPr>
        <w:t>وضمن ذلك مسؤولية ال</w:t>
      </w:r>
      <w:r w:rsidR="00C30888">
        <w:rPr>
          <w:rFonts w:hint="cs"/>
          <w:rtl/>
        </w:rPr>
        <w:t>أسرة</w:t>
      </w:r>
      <w:r w:rsidR="00C30888" w:rsidRPr="00C611C5">
        <w:rPr>
          <w:rFonts w:hint="cs"/>
          <w:rtl/>
        </w:rPr>
        <w:t xml:space="preserve"> </w:t>
      </w:r>
      <w:r w:rsidR="00C30888">
        <w:rPr>
          <w:rFonts w:hint="cs"/>
          <w:rtl/>
        </w:rPr>
        <w:t xml:space="preserve">ـ تقع </w:t>
      </w:r>
      <w:r w:rsidR="00C30888" w:rsidRPr="00C611C5">
        <w:rPr>
          <w:rFonts w:hint="cs"/>
          <w:rtl/>
        </w:rPr>
        <w:t>على عاتق الرجل. وقد كان البناء ال</w:t>
      </w:r>
      <w:r w:rsidR="00C30888">
        <w:rPr>
          <w:rFonts w:hint="cs"/>
          <w:rtl/>
        </w:rPr>
        <w:t>اجتماع</w:t>
      </w:r>
      <w:r w:rsidR="00C30888" w:rsidRPr="00C611C5">
        <w:rPr>
          <w:rFonts w:hint="cs"/>
          <w:rtl/>
        </w:rPr>
        <w:t>ي يقتضي ذلك، وقُدّمت للرجل مجموعة من الخصوصيات بنحو تتلاءم مع هذا البناء ال</w:t>
      </w:r>
      <w:r w:rsidR="00C30888">
        <w:rPr>
          <w:rFonts w:hint="cs"/>
          <w:rtl/>
        </w:rPr>
        <w:t>اجتماع</w:t>
      </w:r>
      <w:r w:rsidR="00C30888" w:rsidRPr="00C611C5">
        <w:rPr>
          <w:rFonts w:hint="cs"/>
          <w:rtl/>
        </w:rPr>
        <w:t>ي، وقد ح</w:t>
      </w:r>
      <w:r w:rsidR="00C30888">
        <w:rPr>
          <w:rFonts w:hint="cs"/>
          <w:rtl/>
        </w:rPr>
        <w:t>ُرمت منها النساء،</w:t>
      </w:r>
      <w:r w:rsidR="00C30888" w:rsidRPr="00C611C5">
        <w:rPr>
          <w:rFonts w:hint="cs"/>
          <w:rtl/>
        </w:rPr>
        <w:t xml:space="preserve"> </w:t>
      </w:r>
      <w:r w:rsidR="00C30888">
        <w:rPr>
          <w:rFonts w:hint="cs"/>
          <w:rtl/>
        </w:rPr>
        <w:t>قال لي الصدر ذلك</w:t>
      </w:r>
      <w:r w:rsidR="00C30888" w:rsidRPr="00C611C5">
        <w:rPr>
          <w:rFonts w:hint="cs"/>
          <w:rtl/>
        </w:rPr>
        <w:t xml:space="preserve"> بعبارة </w:t>
      </w:r>
      <w:r w:rsidR="00C30888">
        <w:rPr>
          <w:rFonts w:hint="cs"/>
          <w:rtl/>
        </w:rPr>
        <w:t>أخرى:</w:t>
      </w:r>
      <w:r w:rsidR="00C30888" w:rsidRPr="00C611C5">
        <w:rPr>
          <w:rFonts w:hint="cs"/>
          <w:rtl/>
        </w:rPr>
        <w:t xml:space="preserve"> </w:t>
      </w:r>
      <w:r w:rsidR="00C30888">
        <w:rPr>
          <w:rFonts w:hint="cs"/>
          <w:rtl/>
        </w:rPr>
        <w:t>إ</w:t>
      </w:r>
      <w:r w:rsidR="00C30888" w:rsidRPr="00C611C5">
        <w:rPr>
          <w:rFonts w:hint="cs"/>
          <w:rtl/>
        </w:rPr>
        <w:t>ذا تقر</w:t>
      </w:r>
      <w:r w:rsidR="00C30888">
        <w:rPr>
          <w:rFonts w:hint="cs"/>
          <w:rtl/>
        </w:rPr>
        <w:t>ّر اليوم أ</w:t>
      </w:r>
      <w:r w:rsidR="00C30888" w:rsidRPr="00C611C5">
        <w:rPr>
          <w:rFonts w:hint="cs"/>
          <w:rtl/>
        </w:rPr>
        <w:t>ن تكون</w:t>
      </w:r>
      <w:r w:rsidR="00C30888">
        <w:rPr>
          <w:rFonts w:hint="cs"/>
          <w:rtl/>
        </w:rPr>
        <w:t xml:space="preserve"> المرأة </w:t>
      </w:r>
      <w:r w:rsidR="00C30888" w:rsidRPr="00C611C5">
        <w:rPr>
          <w:rFonts w:hint="cs"/>
          <w:rtl/>
        </w:rPr>
        <w:t>(شريكة حياة) بالنسبة للرجل، لا أمينة</w:t>
      </w:r>
      <w:r w:rsidR="00C30888">
        <w:rPr>
          <w:rFonts w:hint="cs"/>
          <w:rtl/>
        </w:rPr>
        <w:t>ً</w:t>
      </w:r>
      <w:r w:rsidR="00C30888" w:rsidRPr="00C611C5">
        <w:rPr>
          <w:rFonts w:hint="cs"/>
          <w:rtl/>
        </w:rPr>
        <w:t xml:space="preserve"> على حيا</w:t>
      </w:r>
      <w:r w:rsidR="00C30888">
        <w:rPr>
          <w:rFonts w:hint="cs"/>
          <w:rtl/>
        </w:rPr>
        <w:t>ته</w:t>
      </w:r>
      <w:r w:rsidR="00C30888" w:rsidRPr="00C611C5">
        <w:rPr>
          <w:rFonts w:hint="cs"/>
          <w:rtl/>
        </w:rPr>
        <w:t xml:space="preserve"> الخاصة فلا بدّ </w:t>
      </w:r>
      <w:r w:rsidR="00C30888">
        <w:rPr>
          <w:rFonts w:hint="cs"/>
          <w:rtl/>
        </w:rPr>
        <w:t>أ</w:t>
      </w:r>
      <w:r w:rsidR="00C30888" w:rsidRPr="00C611C5">
        <w:rPr>
          <w:rFonts w:hint="cs"/>
          <w:rtl/>
        </w:rPr>
        <w:t>ن تتغي</w:t>
      </w:r>
      <w:r w:rsidR="00C30888">
        <w:rPr>
          <w:rFonts w:hint="cs"/>
          <w:rtl/>
        </w:rPr>
        <w:t>ّ</w:t>
      </w:r>
      <w:r w:rsidR="00C30888" w:rsidRPr="00C611C5">
        <w:rPr>
          <w:rFonts w:hint="cs"/>
          <w:rtl/>
        </w:rPr>
        <w:t>ر ال</w:t>
      </w:r>
      <w:r w:rsidR="00C30888">
        <w:rPr>
          <w:rFonts w:hint="cs"/>
          <w:rtl/>
        </w:rPr>
        <w:t>أحكام</w:t>
      </w:r>
      <w:r w:rsidR="00C30888" w:rsidRPr="00C611C5">
        <w:rPr>
          <w:rFonts w:hint="cs"/>
          <w:rtl/>
        </w:rPr>
        <w:t xml:space="preserve"> الفقهية بنحو</w:t>
      </w:r>
      <w:r w:rsidR="00C30888">
        <w:rPr>
          <w:rFonts w:hint="cs"/>
          <w:rtl/>
        </w:rPr>
        <w:t>ٍ يتناسب مع هذا التغيير،</w:t>
      </w:r>
      <w:r w:rsidR="00C30888" w:rsidRPr="00C611C5">
        <w:rPr>
          <w:rFonts w:hint="cs"/>
          <w:rtl/>
        </w:rPr>
        <w:t xml:space="preserve"> وضمن حديثه تعر</w:t>
      </w:r>
      <w:r w:rsidR="00C30888">
        <w:rPr>
          <w:rFonts w:hint="cs"/>
          <w:rtl/>
        </w:rPr>
        <w:t>ّ</w:t>
      </w:r>
      <w:r w:rsidR="00C30888" w:rsidRPr="00C611C5">
        <w:rPr>
          <w:rFonts w:hint="cs"/>
          <w:rtl/>
        </w:rPr>
        <w:t xml:space="preserve">ض </w:t>
      </w:r>
      <w:r w:rsidR="00C30888">
        <w:rPr>
          <w:rFonts w:hint="cs"/>
          <w:rtl/>
        </w:rPr>
        <w:t xml:space="preserve">الشهيد الصدر </w:t>
      </w:r>
      <w:r w:rsidR="00C30888" w:rsidRPr="00C611C5">
        <w:rPr>
          <w:rFonts w:hint="cs"/>
          <w:rtl/>
        </w:rPr>
        <w:t>لمسألة كون الرجل رأس</w:t>
      </w:r>
      <w:r w:rsidR="00C30888">
        <w:rPr>
          <w:rFonts w:hint="cs"/>
          <w:rtl/>
        </w:rPr>
        <w:t>َ</w:t>
      </w:r>
      <w:r w:rsidR="00C30888" w:rsidRPr="00C611C5">
        <w:rPr>
          <w:rFonts w:hint="cs"/>
          <w:rtl/>
        </w:rPr>
        <w:t xml:space="preserve"> ال</w:t>
      </w:r>
      <w:r w:rsidR="00C30888">
        <w:rPr>
          <w:rFonts w:hint="cs"/>
          <w:rtl/>
        </w:rPr>
        <w:t>أسرة</w:t>
      </w:r>
      <w:r w:rsidR="00C30888" w:rsidRPr="00C611C5">
        <w:rPr>
          <w:rFonts w:hint="cs"/>
          <w:rtl/>
        </w:rPr>
        <w:t>، وقال</w:t>
      </w:r>
      <w:r w:rsidR="00C30888">
        <w:rPr>
          <w:rFonts w:hint="cs"/>
          <w:rtl/>
        </w:rPr>
        <w:t>:</w:t>
      </w:r>
      <w:r w:rsidR="00C30888" w:rsidRPr="00C611C5">
        <w:rPr>
          <w:rFonts w:hint="cs"/>
          <w:rtl/>
        </w:rPr>
        <w:t xml:space="preserve"> </w:t>
      </w:r>
      <w:r w:rsidR="00C30888">
        <w:rPr>
          <w:rFonts w:hint="cs"/>
          <w:rtl/>
        </w:rPr>
        <w:t>إ</w:t>
      </w:r>
      <w:r w:rsidR="00C30888" w:rsidRPr="00C611C5">
        <w:rPr>
          <w:rFonts w:hint="cs"/>
          <w:rtl/>
        </w:rPr>
        <w:t>ن</w:t>
      </w:r>
      <w:r w:rsidR="00C30888">
        <w:rPr>
          <w:rFonts w:hint="cs"/>
          <w:rtl/>
        </w:rPr>
        <w:t>ّ</w:t>
      </w:r>
      <w:r w:rsidR="00C30888" w:rsidRPr="00C611C5">
        <w:rPr>
          <w:rFonts w:hint="cs"/>
          <w:rtl/>
        </w:rPr>
        <w:t xml:space="preserve"> هذا في فرض كون الرجل </w:t>
      </w:r>
      <w:r w:rsidR="00C30888">
        <w:rPr>
          <w:rFonts w:hint="cs"/>
          <w:rtl/>
        </w:rPr>
        <w:t xml:space="preserve">حاملاً </w:t>
      </w:r>
      <w:r w:rsidR="00C30888" w:rsidRPr="00C611C5">
        <w:rPr>
          <w:rFonts w:hint="cs"/>
          <w:rtl/>
        </w:rPr>
        <w:t>على عاتقه بشكل</w:t>
      </w:r>
      <w:r w:rsidR="00C30888">
        <w:rPr>
          <w:rFonts w:hint="cs"/>
          <w:rtl/>
        </w:rPr>
        <w:t>ٍ</w:t>
      </w:r>
      <w:r w:rsidR="00C30888" w:rsidRPr="00C611C5">
        <w:rPr>
          <w:rFonts w:hint="cs"/>
          <w:rtl/>
        </w:rPr>
        <w:t xml:space="preserve"> فعلي</w:t>
      </w:r>
      <w:r w:rsidR="00C30888">
        <w:rPr>
          <w:rFonts w:hint="cs"/>
          <w:rtl/>
        </w:rPr>
        <w:t>ّ تمام المسؤوليات العائلية، أ</w:t>
      </w:r>
      <w:r w:rsidR="00C30888" w:rsidRPr="00C611C5">
        <w:rPr>
          <w:rFonts w:hint="cs"/>
          <w:rtl/>
        </w:rPr>
        <w:t>م</w:t>
      </w:r>
      <w:r w:rsidR="00C30888">
        <w:rPr>
          <w:rFonts w:hint="cs"/>
          <w:rtl/>
        </w:rPr>
        <w:t>ّ</w:t>
      </w:r>
      <w:r w:rsidR="00C30888" w:rsidRPr="00C611C5">
        <w:rPr>
          <w:rFonts w:hint="cs"/>
          <w:rtl/>
        </w:rPr>
        <w:t>ا لو كان الواقع ينحو باتجاه عملية تقسيم المسؤولي</w:t>
      </w:r>
      <w:r w:rsidR="00C30888">
        <w:rPr>
          <w:rFonts w:hint="cs"/>
          <w:rtl/>
        </w:rPr>
        <w:t>ّات بين الرجل والمرأة، فلا يمكن أ</w:t>
      </w:r>
      <w:r w:rsidR="00C30888" w:rsidRPr="00C611C5">
        <w:rPr>
          <w:rFonts w:hint="cs"/>
          <w:rtl/>
        </w:rPr>
        <w:t>ن يكون الرجل وحده رأس</w:t>
      </w:r>
      <w:r w:rsidR="00C30888">
        <w:rPr>
          <w:rFonts w:hint="cs"/>
          <w:rtl/>
        </w:rPr>
        <w:t>َ</w:t>
      </w:r>
      <w:r w:rsidR="00C30888" w:rsidRPr="00C611C5">
        <w:rPr>
          <w:rFonts w:hint="cs"/>
          <w:rtl/>
        </w:rPr>
        <w:t xml:space="preserve"> ال</w:t>
      </w:r>
      <w:r w:rsidR="00C30888">
        <w:rPr>
          <w:rFonts w:hint="cs"/>
          <w:rtl/>
        </w:rPr>
        <w:t>أسرة، لقد كان يعتقد أ</w:t>
      </w:r>
      <w:r w:rsidR="00C30888" w:rsidRPr="00C611C5">
        <w:rPr>
          <w:rFonts w:hint="cs"/>
          <w:rtl/>
        </w:rPr>
        <w:t>ن</w:t>
      </w:r>
      <w:r w:rsidR="00C30888">
        <w:rPr>
          <w:rFonts w:hint="cs"/>
          <w:rtl/>
        </w:rPr>
        <w:t>ّ</w:t>
      </w:r>
      <w:r w:rsidR="00C30888" w:rsidRPr="00C611C5">
        <w:rPr>
          <w:rFonts w:hint="cs"/>
          <w:rtl/>
        </w:rPr>
        <w:t xml:space="preserve"> دور</w:t>
      </w:r>
      <w:r w:rsidR="00C30888">
        <w:rPr>
          <w:rFonts w:hint="cs"/>
          <w:rtl/>
        </w:rPr>
        <w:t xml:space="preserve"> المرأة إ</w:t>
      </w:r>
      <w:r w:rsidR="00C30888" w:rsidRPr="00C611C5">
        <w:rPr>
          <w:rFonts w:hint="cs"/>
          <w:rtl/>
        </w:rPr>
        <w:t>ذا كان هو المشاركة الفعّالة في التنمية ال</w:t>
      </w:r>
      <w:r w:rsidR="00C30888">
        <w:rPr>
          <w:rFonts w:hint="cs"/>
          <w:rtl/>
        </w:rPr>
        <w:t>اجتماعية، أي تنمية النهضة الإنسان</w:t>
      </w:r>
      <w:r w:rsidR="00C30888" w:rsidRPr="00C611C5">
        <w:rPr>
          <w:rFonts w:hint="cs"/>
          <w:rtl/>
        </w:rPr>
        <w:t>ية</w:t>
      </w:r>
      <w:r w:rsidR="00C30888">
        <w:rPr>
          <w:rFonts w:hint="cs"/>
          <w:rtl/>
        </w:rPr>
        <w:t xml:space="preserve"> إلى جانب </w:t>
      </w:r>
      <w:r w:rsidR="00C30888" w:rsidRPr="00517C08">
        <w:rPr>
          <w:rFonts w:hint="cs"/>
          <w:sz w:val="29"/>
          <w:szCs w:val="29"/>
          <w:rtl/>
        </w:rPr>
        <w:t>الرجل، فلا بدّ وأن يكون لها من الحقوق ما يتناسب مع هذا الدور الموكل إليها.</w:t>
      </w:r>
    </w:p>
    <w:p w:rsidR="00C30888" w:rsidRDefault="00C30888" w:rsidP="00517C08">
      <w:pPr>
        <w:pStyle w:val="ac"/>
        <w:rPr>
          <w:rtl/>
        </w:rPr>
      </w:pPr>
      <w:r>
        <w:rPr>
          <w:rFonts w:hint="cs"/>
          <w:rtl/>
        </w:rPr>
        <w:t>لا أ</w:t>
      </w:r>
      <w:r w:rsidRPr="00C611C5">
        <w:rPr>
          <w:rFonts w:hint="cs"/>
          <w:rtl/>
        </w:rPr>
        <w:t>تصو</w:t>
      </w:r>
      <w:r>
        <w:rPr>
          <w:rFonts w:hint="cs"/>
          <w:rtl/>
        </w:rPr>
        <w:t>ّ</w:t>
      </w:r>
      <w:r w:rsidRPr="00C611C5">
        <w:rPr>
          <w:rFonts w:hint="cs"/>
          <w:rtl/>
        </w:rPr>
        <w:t xml:space="preserve">ر </w:t>
      </w:r>
      <w:r>
        <w:rPr>
          <w:rFonts w:hint="cs"/>
          <w:rtl/>
        </w:rPr>
        <w:t>أنّه بالإمكان تشييد</w:t>
      </w:r>
      <w:r w:rsidRPr="00C611C5">
        <w:rPr>
          <w:rFonts w:hint="cs"/>
          <w:rtl/>
        </w:rPr>
        <w:t xml:space="preserve"> دليل</w:t>
      </w:r>
      <w:r>
        <w:rPr>
          <w:rFonts w:hint="cs"/>
          <w:rtl/>
        </w:rPr>
        <w:t>ٍ</w:t>
      </w:r>
      <w:r w:rsidRPr="00C611C5">
        <w:rPr>
          <w:rFonts w:hint="cs"/>
          <w:rtl/>
        </w:rPr>
        <w:t xml:space="preserve"> محكم على </w:t>
      </w:r>
      <w:r>
        <w:rPr>
          <w:rFonts w:hint="cs"/>
          <w:rtl/>
        </w:rPr>
        <w:t>وجود سلسلة من الأ</w:t>
      </w:r>
      <w:r w:rsidRPr="00C611C5">
        <w:rPr>
          <w:rFonts w:hint="cs"/>
          <w:rtl/>
        </w:rPr>
        <w:t xml:space="preserve">نظمة الطبيعية </w:t>
      </w:r>
      <w:r>
        <w:rPr>
          <w:rFonts w:hint="cs"/>
          <w:rtl/>
        </w:rPr>
        <w:t>ـ أ</w:t>
      </w:r>
      <w:r w:rsidRPr="00C611C5">
        <w:rPr>
          <w:rFonts w:hint="cs"/>
          <w:rtl/>
        </w:rPr>
        <w:t>عم</w:t>
      </w:r>
      <w:r>
        <w:rPr>
          <w:rFonts w:hint="cs"/>
          <w:rtl/>
        </w:rPr>
        <w:t>ّ</w:t>
      </w:r>
      <w:r w:rsidRPr="00C611C5">
        <w:rPr>
          <w:rFonts w:hint="cs"/>
          <w:rtl/>
        </w:rPr>
        <w:t xml:space="preserve"> من النظام السياسي</w:t>
      </w:r>
      <w:r>
        <w:rPr>
          <w:rFonts w:hint="cs"/>
          <w:rtl/>
        </w:rPr>
        <w:t xml:space="preserve"> و</w:t>
      </w:r>
      <w:r w:rsidRPr="00C611C5">
        <w:rPr>
          <w:rFonts w:hint="cs"/>
          <w:rtl/>
        </w:rPr>
        <w:t>الاقتصادي</w:t>
      </w:r>
      <w:r>
        <w:rPr>
          <w:rFonts w:hint="cs"/>
          <w:rtl/>
        </w:rPr>
        <w:t xml:space="preserve"> و</w:t>
      </w:r>
      <w:r w:rsidRPr="00C611C5">
        <w:rPr>
          <w:rFonts w:hint="cs"/>
          <w:rtl/>
        </w:rPr>
        <w:t>ال</w:t>
      </w:r>
      <w:r>
        <w:rPr>
          <w:rFonts w:hint="cs"/>
          <w:rtl/>
        </w:rPr>
        <w:t>أسري</w:t>
      </w:r>
      <w:r w:rsidR="00517C08">
        <w:t xml:space="preserve"> </w:t>
      </w:r>
      <w:r>
        <w:rPr>
          <w:rFonts w:hint="cs"/>
          <w:rtl/>
        </w:rPr>
        <w:t>ـ</w:t>
      </w:r>
      <w:r w:rsidR="00517C08">
        <w:t xml:space="preserve"> </w:t>
      </w:r>
      <w:r>
        <w:rPr>
          <w:rFonts w:hint="cs"/>
          <w:rtl/>
        </w:rPr>
        <w:t xml:space="preserve">في هذا العالم </w:t>
      </w:r>
      <w:r w:rsidRPr="00C611C5">
        <w:rPr>
          <w:rFonts w:hint="cs"/>
          <w:rtl/>
        </w:rPr>
        <w:t>بنح</w:t>
      </w:r>
      <w:r>
        <w:rPr>
          <w:rFonts w:hint="cs"/>
          <w:rtl/>
        </w:rPr>
        <w:t>و</w:t>
      </w:r>
      <w:r w:rsidR="00517C08">
        <w:t xml:space="preserve"> </w:t>
      </w:r>
      <w:r>
        <w:rPr>
          <w:rFonts w:hint="cs"/>
          <w:rtl/>
        </w:rPr>
        <w:t>يتناسب مع دور الخلق، بل هناك أ</w:t>
      </w:r>
      <w:r w:rsidRPr="00C611C5">
        <w:rPr>
          <w:rFonts w:hint="cs"/>
          <w:rtl/>
        </w:rPr>
        <w:t>دل</w:t>
      </w:r>
      <w:r>
        <w:rPr>
          <w:rFonts w:hint="cs"/>
          <w:rtl/>
        </w:rPr>
        <w:t>ّ</w:t>
      </w:r>
      <w:r w:rsidRPr="00C611C5">
        <w:rPr>
          <w:rFonts w:hint="cs"/>
          <w:rtl/>
        </w:rPr>
        <w:t>ة تدل</w:t>
      </w:r>
      <w:r>
        <w:rPr>
          <w:rFonts w:hint="cs"/>
          <w:rtl/>
        </w:rPr>
        <w:t>ّ</w:t>
      </w:r>
      <w:r w:rsidRPr="00C611C5">
        <w:rPr>
          <w:rFonts w:hint="cs"/>
          <w:rtl/>
        </w:rPr>
        <w:t xml:space="preserve"> على العكس من ذلك</w:t>
      </w:r>
      <w:r>
        <w:rPr>
          <w:rFonts w:hint="cs"/>
          <w:rtl/>
        </w:rPr>
        <w:t xml:space="preserve"> تماماً،</w:t>
      </w:r>
      <w:r w:rsidRPr="00C611C5">
        <w:rPr>
          <w:rFonts w:hint="cs"/>
          <w:rtl/>
        </w:rPr>
        <w:t xml:space="preserve"> </w:t>
      </w:r>
      <w:r>
        <w:rPr>
          <w:rFonts w:hint="cs"/>
          <w:rtl/>
        </w:rPr>
        <w:t>ف</w:t>
      </w:r>
      <w:r w:rsidRPr="00C611C5">
        <w:rPr>
          <w:rFonts w:hint="cs"/>
          <w:rtl/>
        </w:rPr>
        <w:t>لا يمكننا اعتبار النظام الطبيعي فرضية</w:t>
      </w:r>
      <w:r>
        <w:rPr>
          <w:rFonts w:hint="cs"/>
          <w:rtl/>
        </w:rPr>
        <w:t>ً</w:t>
      </w:r>
      <w:r w:rsidRPr="00C611C5">
        <w:rPr>
          <w:rFonts w:hint="cs"/>
          <w:rtl/>
        </w:rPr>
        <w:t xml:space="preserve"> مسبقة مسلّمة ي</w:t>
      </w:r>
      <w:r>
        <w:rPr>
          <w:rFonts w:hint="cs"/>
          <w:rtl/>
        </w:rPr>
        <w:t>ُ</w:t>
      </w:r>
      <w:r w:rsidRPr="00C611C5">
        <w:rPr>
          <w:rFonts w:hint="cs"/>
          <w:rtl/>
        </w:rPr>
        <w:t>عتمد عليها عند مطالعة الكتاب والسن</w:t>
      </w:r>
      <w:r>
        <w:rPr>
          <w:rFonts w:hint="cs"/>
          <w:rtl/>
        </w:rPr>
        <w:t>ّة،</w:t>
      </w:r>
      <w:r w:rsidRPr="00C611C5">
        <w:rPr>
          <w:rFonts w:hint="cs"/>
          <w:rtl/>
        </w:rPr>
        <w:t xml:space="preserve"> </w:t>
      </w:r>
      <w:r>
        <w:rPr>
          <w:rFonts w:hint="cs"/>
          <w:rtl/>
        </w:rPr>
        <w:t>ومعنى ذلك أنّه لابد من تغيير نظرتنا للأ</w:t>
      </w:r>
      <w:r w:rsidRPr="00C611C5">
        <w:rPr>
          <w:rFonts w:hint="cs"/>
          <w:rtl/>
        </w:rPr>
        <w:t xml:space="preserve">مور، </w:t>
      </w:r>
      <w:r>
        <w:rPr>
          <w:rFonts w:hint="cs"/>
          <w:rtl/>
        </w:rPr>
        <w:t>و</w:t>
      </w:r>
      <w:r w:rsidRPr="00C611C5">
        <w:rPr>
          <w:rFonts w:hint="cs"/>
          <w:rtl/>
        </w:rPr>
        <w:t>قراءة الكتاب والسن</w:t>
      </w:r>
      <w:r>
        <w:rPr>
          <w:rFonts w:hint="cs"/>
          <w:rtl/>
        </w:rPr>
        <w:t>ّ</w:t>
      </w:r>
      <w:r w:rsidRPr="00C611C5">
        <w:rPr>
          <w:rFonts w:hint="cs"/>
          <w:rtl/>
        </w:rPr>
        <w:t xml:space="preserve">ة </w:t>
      </w:r>
      <w:r>
        <w:rPr>
          <w:rFonts w:hint="cs"/>
          <w:rtl/>
        </w:rPr>
        <w:t>قراءةً</w:t>
      </w:r>
      <w:r w:rsidRPr="00C611C5">
        <w:rPr>
          <w:rFonts w:hint="cs"/>
          <w:rtl/>
        </w:rPr>
        <w:t xml:space="preserve"> تاريخية.</w:t>
      </w:r>
    </w:p>
    <w:p w:rsidR="00C30888" w:rsidRDefault="00C30888" w:rsidP="00E06333">
      <w:pPr>
        <w:pStyle w:val="ac"/>
        <w:rPr>
          <w:rtl/>
        </w:rPr>
      </w:pPr>
      <w:r>
        <w:rPr>
          <w:rFonts w:hint="cs"/>
          <w:rtl/>
        </w:rPr>
        <w:t>علينا أن نسأل أنفسنا:</w:t>
      </w:r>
      <w:r w:rsidRPr="00C611C5">
        <w:rPr>
          <w:rFonts w:hint="cs"/>
          <w:rtl/>
        </w:rPr>
        <w:t xml:space="preserve"> ما الذي كان يريد النبي</w:t>
      </w:r>
      <w:r>
        <w:rPr>
          <w:rFonts w:hint="cs"/>
          <w:rtl/>
        </w:rPr>
        <w:t>ّ أ</w:t>
      </w:r>
      <w:r w:rsidRPr="00C611C5">
        <w:rPr>
          <w:rFonts w:hint="cs"/>
          <w:rtl/>
        </w:rPr>
        <w:t>ن يؤد</w:t>
      </w:r>
      <w:r>
        <w:rPr>
          <w:rFonts w:hint="cs"/>
          <w:rtl/>
        </w:rPr>
        <w:t>ّ</w:t>
      </w:r>
      <w:r w:rsidRPr="00C611C5">
        <w:rPr>
          <w:rFonts w:hint="cs"/>
          <w:rtl/>
        </w:rPr>
        <w:t>يه من خلال الكتاب والسن</w:t>
      </w:r>
      <w:r>
        <w:rPr>
          <w:rFonts w:hint="cs"/>
          <w:rtl/>
        </w:rPr>
        <w:t>ّ</w:t>
      </w:r>
      <w:r w:rsidRPr="00C611C5">
        <w:rPr>
          <w:rFonts w:hint="cs"/>
          <w:rtl/>
        </w:rPr>
        <w:t>ة في ذلك العصر، وضمن الظروف التاريخية وال</w:t>
      </w:r>
      <w:r>
        <w:rPr>
          <w:rFonts w:hint="cs"/>
          <w:rtl/>
        </w:rPr>
        <w:t>اجتماع</w:t>
      </w:r>
      <w:r w:rsidRPr="00C611C5">
        <w:rPr>
          <w:rFonts w:hint="cs"/>
          <w:rtl/>
        </w:rPr>
        <w:t>ية الخاص</w:t>
      </w:r>
      <w:r>
        <w:rPr>
          <w:rFonts w:hint="cs"/>
          <w:rtl/>
        </w:rPr>
        <w:t>ّ</w:t>
      </w:r>
      <w:r w:rsidRPr="00C611C5">
        <w:rPr>
          <w:rFonts w:hint="cs"/>
          <w:rtl/>
        </w:rPr>
        <w:t xml:space="preserve">ة </w:t>
      </w:r>
      <w:r>
        <w:rPr>
          <w:rFonts w:hint="cs"/>
          <w:rtl/>
        </w:rPr>
        <w:t>آنذاك؟ لابدّ وأ</w:t>
      </w:r>
      <w:r w:rsidRPr="00C611C5">
        <w:rPr>
          <w:rFonts w:hint="cs"/>
          <w:rtl/>
        </w:rPr>
        <w:t>ن نجد تفسيرا</w:t>
      </w:r>
      <w:r>
        <w:rPr>
          <w:rFonts w:hint="cs"/>
          <w:rtl/>
        </w:rPr>
        <w:t>ً</w:t>
      </w:r>
      <w:r w:rsidRPr="00C611C5">
        <w:rPr>
          <w:rFonts w:hint="cs"/>
          <w:rtl/>
        </w:rPr>
        <w:t xml:space="preserve"> ل</w:t>
      </w:r>
      <w:r>
        <w:rPr>
          <w:rFonts w:hint="cs"/>
          <w:rtl/>
        </w:rPr>
        <w:t>ما</w:t>
      </w:r>
      <w:r w:rsidRPr="00C611C5">
        <w:rPr>
          <w:rFonts w:hint="cs"/>
          <w:rtl/>
        </w:rPr>
        <w:t xml:space="preserve"> كان </w:t>
      </w:r>
      <w:r>
        <w:rPr>
          <w:rFonts w:hint="cs"/>
          <w:rtl/>
        </w:rPr>
        <w:t>يقوم به،</w:t>
      </w:r>
      <w:r w:rsidRPr="00C611C5">
        <w:rPr>
          <w:rFonts w:hint="cs"/>
          <w:rtl/>
        </w:rPr>
        <w:t xml:space="preserve"> </w:t>
      </w:r>
      <w:r>
        <w:rPr>
          <w:rFonts w:hint="cs"/>
          <w:rtl/>
        </w:rPr>
        <w:t>فماذا كان يريد أن ينجز ويحقّق؟.</w:t>
      </w:r>
    </w:p>
    <w:p w:rsidR="00C30888" w:rsidRPr="00C611C5" w:rsidRDefault="00C30888" w:rsidP="00517C08">
      <w:pPr>
        <w:pStyle w:val="ac"/>
        <w:spacing w:line="199" w:lineRule="auto"/>
        <w:rPr>
          <w:rtl/>
        </w:rPr>
      </w:pPr>
      <w:r w:rsidRPr="00C611C5">
        <w:rPr>
          <w:rFonts w:hint="cs"/>
          <w:rtl/>
        </w:rPr>
        <w:lastRenderedPageBreak/>
        <w:t>نعم</w:t>
      </w:r>
      <w:r>
        <w:rPr>
          <w:rFonts w:hint="cs"/>
          <w:rtl/>
        </w:rPr>
        <w:t>،</w:t>
      </w:r>
      <w:r w:rsidRPr="00C611C5">
        <w:rPr>
          <w:rFonts w:hint="cs"/>
          <w:rtl/>
        </w:rPr>
        <w:t xml:space="preserve"> لا شكّ لدينا ب</w:t>
      </w:r>
      <w:r>
        <w:rPr>
          <w:rFonts w:hint="cs"/>
          <w:rtl/>
        </w:rPr>
        <w:t>أ</w:t>
      </w:r>
      <w:r w:rsidRPr="00C611C5">
        <w:rPr>
          <w:rFonts w:hint="cs"/>
          <w:rtl/>
        </w:rPr>
        <w:t>ن</w:t>
      </w:r>
      <w:r>
        <w:rPr>
          <w:rFonts w:hint="cs"/>
          <w:rtl/>
        </w:rPr>
        <w:t>ّ</w:t>
      </w:r>
      <w:r w:rsidRPr="00C611C5">
        <w:rPr>
          <w:rFonts w:hint="cs"/>
          <w:rtl/>
        </w:rPr>
        <w:t>ه قد قام بمجموعة</w:t>
      </w:r>
      <w:r>
        <w:rPr>
          <w:rFonts w:hint="cs"/>
          <w:rtl/>
        </w:rPr>
        <w:t>ٍ</w:t>
      </w:r>
      <w:r w:rsidRPr="00C611C5">
        <w:rPr>
          <w:rFonts w:hint="cs"/>
          <w:rtl/>
        </w:rPr>
        <w:t xml:space="preserve"> من التغييرات </w:t>
      </w:r>
      <w:r>
        <w:rPr>
          <w:rFonts w:hint="cs"/>
          <w:rtl/>
        </w:rPr>
        <w:t xml:space="preserve">على مستوى </w:t>
      </w:r>
      <w:r w:rsidRPr="00C611C5">
        <w:rPr>
          <w:rFonts w:hint="cs"/>
          <w:rtl/>
        </w:rPr>
        <w:t xml:space="preserve">حقوق </w:t>
      </w:r>
      <w:r>
        <w:rPr>
          <w:rFonts w:hint="cs"/>
          <w:rtl/>
        </w:rPr>
        <w:t>النساء، لقد صنع</w:t>
      </w:r>
      <w:r w:rsidRPr="00C611C5">
        <w:rPr>
          <w:rFonts w:hint="cs"/>
          <w:rtl/>
        </w:rPr>
        <w:t xml:space="preserve"> مجموعة</w:t>
      </w:r>
      <w:r>
        <w:rPr>
          <w:rFonts w:hint="cs"/>
          <w:rtl/>
        </w:rPr>
        <w:t>ً</w:t>
      </w:r>
      <w:r w:rsidRPr="00C611C5">
        <w:rPr>
          <w:rFonts w:hint="cs"/>
          <w:rtl/>
        </w:rPr>
        <w:t xml:space="preserve"> من التغييرات في وضع</w:t>
      </w:r>
      <w:r>
        <w:rPr>
          <w:rFonts w:hint="cs"/>
          <w:rtl/>
        </w:rPr>
        <w:t xml:space="preserve"> المرأة القائم،</w:t>
      </w:r>
      <w:r w:rsidRPr="00C611C5">
        <w:rPr>
          <w:rFonts w:hint="cs"/>
          <w:rtl/>
        </w:rPr>
        <w:t xml:space="preserve"> </w:t>
      </w:r>
      <w:r>
        <w:rPr>
          <w:rFonts w:hint="cs"/>
          <w:rtl/>
        </w:rPr>
        <w:t xml:space="preserve">ومن هنا يلزمنا </w:t>
      </w:r>
      <w:r w:rsidRPr="00C611C5">
        <w:rPr>
          <w:rFonts w:hint="cs"/>
          <w:rtl/>
        </w:rPr>
        <w:t>البحث عن</w:t>
      </w:r>
      <w:r>
        <w:rPr>
          <w:rFonts w:hint="cs"/>
          <w:rtl/>
        </w:rPr>
        <w:t xml:space="preserve"> المقاصد التي قام لأجلها بما قام به،</w:t>
      </w:r>
      <w:r w:rsidRPr="00C611C5">
        <w:rPr>
          <w:rFonts w:hint="cs"/>
          <w:rtl/>
        </w:rPr>
        <w:t xml:space="preserve"> أي</w:t>
      </w:r>
      <w:r>
        <w:rPr>
          <w:rFonts w:hint="cs"/>
          <w:rtl/>
        </w:rPr>
        <w:t xml:space="preserve"> فهم حقيقة ما قام به، وأ</w:t>
      </w:r>
      <w:r w:rsidRPr="00C611C5">
        <w:rPr>
          <w:rFonts w:hint="cs"/>
          <w:rtl/>
        </w:rPr>
        <w:t>ن</w:t>
      </w:r>
      <w:r>
        <w:rPr>
          <w:rFonts w:hint="cs"/>
          <w:rtl/>
        </w:rPr>
        <w:t>ّ</w:t>
      </w:r>
      <w:r w:rsidRPr="00C611C5">
        <w:rPr>
          <w:rFonts w:hint="cs"/>
          <w:rtl/>
        </w:rPr>
        <w:t xml:space="preserve">ه </w:t>
      </w:r>
      <w:r>
        <w:rPr>
          <w:rFonts w:hint="cs"/>
          <w:rtl/>
        </w:rPr>
        <w:t xml:space="preserve">إلى أيّ اتجاه </w:t>
      </w:r>
      <w:r w:rsidRPr="00C611C5">
        <w:rPr>
          <w:rFonts w:hint="cs"/>
          <w:rtl/>
        </w:rPr>
        <w:t>كان يسير بالمجتمع</w:t>
      </w:r>
      <w:r>
        <w:rPr>
          <w:rFonts w:hint="cs"/>
          <w:rtl/>
        </w:rPr>
        <w:t>؟</w:t>
      </w:r>
      <w:r w:rsidRPr="00C611C5">
        <w:rPr>
          <w:rFonts w:hint="cs"/>
          <w:rtl/>
        </w:rPr>
        <w:t xml:space="preserve"> وما هي التغييرات التي أ</w:t>
      </w:r>
      <w:r>
        <w:rPr>
          <w:rFonts w:hint="cs"/>
          <w:rtl/>
        </w:rPr>
        <w:t>حدثها مقارناً بما كانت الحال عليه فيما مضى</w:t>
      </w:r>
      <w:r w:rsidRPr="00C611C5">
        <w:rPr>
          <w:rFonts w:hint="cs"/>
          <w:rtl/>
        </w:rPr>
        <w:t>؟</w:t>
      </w:r>
    </w:p>
    <w:p w:rsidR="00C30888" w:rsidRDefault="00C30888" w:rsidP="00517C08">
      <w:pPr>
        <w:pStyle w:val="ac"/>
        <w:spacing w:line="199" w:lineRule="auto"/>
        <w:rPr>
          <w:rtl/>
        </w:rPr>
      </w:pPr>
      <w:r w:rsidRPr="00C611C5">
        <w:rPr>
          <w:rFonts w:hint="cs"/>
          <w:rtl/>
        </w:rPr>
        <w:t>لقد بدّل النبي بعض ال</w:t>
      </w:r>
      <w:r>
        <w:rPr>
          <w:rFonts w:hint="cs"/>
          <w:rtl/>
        </w:rPr>
        <w:t>أحكام</w:t>
      </w:r>
      <w:r w:rsidRPr="00C611C5">
        <w:rPr>
          <w:rFonts w:hint="cs"/>
          <w:rtl/>
        </w:rPr>
        <w:t xml:space="preserve"> الظالمة </w:t>
      </w:r>
      <w:r>
        <w:rPr>
          <w:rFonts w:hint="cs"/>
          <w:rtl/>
        </w:rPr>
        <w:t>بحقّ المرأة في ذلك العصر،</w:t>
      </w:r>
      <w:r w:rsidRPr="00C611C5">
        <w:rPr>
          <w:rFonts w:hint="cs"/>
          <w:rtl/>
        </w:rPr>
        <w:t xml:space="preserve"> </w:t>
      </w:r>
      <w:r>
        <w:rPr>
          <w:rFonts w:hint="cs"/>
          <w:rtl/>
        </w:rPr>
        <w:t>ف</w:t>
      </w:r>
      <w:r w:rsidRPr="00C611C5">
        <w:rPr>
          <w:rFonts w:hint="cs"/>
          <w:rtl/>
        </w:rPr>
        <w:t>أخرج</w:t>
      </w:r>
      <w:r>
        <w:rPr>
          <w:rFonts w:hint="cs"/>
          <w:rtl/>
        </w:rPr>
        <w:t xml:space="preserve">ها </w:t>
      </w:r>
      <w:r w:rsidRPr="00C611C5">
        <w:rPr>
          <w:rFonts w:hint="cs"/>
          <w:rtl/>
        </w:rPr>
        <w:t xml:space="preserve">من ظلم ذلك </w:t>
      </w:r>
      <w:r>
        <w:rPr>
          <w:rFonts w:hint="cs"/>
          <w:rtl/>
        </w:rPr>
        <w:t>العصر إلى عدله؛</w:t>
      </w:r>
      <w:r w:rsidRPr="00C611C5">
        <w:rPr>
          <w:rFonts w:hint="cs"/>
          <w:rtl/>
        </w:rPr>
        <w:t xml:space="preserve"> فأقرّ تملّك المرأة، وحدّد حرية الرجل في تعد</w:t>
      </w:r>
      <w:r>
        <w:rPr>
          <w:rFonts w:hint="cs"/>
          <w:rtl/>
        </w:rPr>
        <w:t>ّ</w:t>
      </w:r>
      <w:r w:rsidRPr="00C611C5">
        <w:rPr>
          <w:rFonts w:hint="cs"/>
          <w:rtl/>
        </w:rPr>
        <w:t>د الزوجات، وعد</w:t>
      </w:r>
      <w:r>
        <w:rPr>
          <w:rFonts w:hint="cs"/>
          <w:rtl/>
        </w:rPr>
        <w:t>ّ</w:t>
      </w:r>
      <w:r w:rsidRPr="00C611C5">
        <w:rPr>
          <w:rFonts w:hint="cs"/>
          <w:rtl/>
        </w:rPr>
        <w:t xml:space="preserve">ل </w:t>
      </w:r>
      <w:r>
        <w:rPr>
          <w:rFonts w:hint="cs"/>
          <w:rtl/>
        </w:rPr>
        <w:t>أحكام الإ</w:t>
      </w:r>
      <w:r w:rsidRPr="00C611C5">
        <w:rPr>
          <w:rFonts w:hint="cs"/>
          <w:rtl/>
        </w:rPr>
        <w:t>رث و.. والخلاصة</w:t>
      </w:r>
      <w:r>
        <w:rPr>
          <w:rFonts w:hint="cs"/>
          <w:rtl/>
        </w:rPr>
        <w:t>: إ</w:t>
      </w:r>
      <w:r w:rsidRPr="00C611C5">
        <w:rPr>
          <w:rFonts w:hint="cs"/>
          <w:rtl/>
        </w:rPr>
        <w:t>ن</w:t>
      </w:r>
      <w:r>
        <w:rPr>
          <w:rFonts w:hint="cs"/>
          <w:rtl/>
        </w:rPr>
        <w:t>ّ</w:t>
      </w:r>
      <w:r w:rsidRPr="00C611C5">
        <w:rPr>
          <w:rFonts w:hint="cs"/>
          <w:rtl/>
        </w:rPr>
        <w:t xml:space="preserve"> ذلك النوع من عدم المساواة الذي كان موجودا</w:t>
      </w:r>
      <w:r>
        <w:rPr>
          <w:rFonts w:hint="cs"/>
          <w:rtl/>
        </w:rPr>
        <w:t>ً</w:t>
      </w:r>
      <w:r w:rsidRPr="00C611C5">
        <w:rPr>
          <w:rFonts w:hint="cs"/>
          <w:rtl/>
        </w:rPr>
        <w:t xml:space="preserve"> في ذلك المجتمع سار به نحو العدالة بنحو يتناسب </w:t>
      </w:r>
      <w:r>
        <w:rPr>
          <w:rFonts w:hint="cs"/>
          <w:rtl/>
        </w:rPr>
        <w:t>وظروف ذلك الزمان،</w:t>
      </w:r>
      <w:r w:rsidRPr="00C611C5">
        <w:rPr>
          <w:rtl/>
        </w:rPr>
        <w:t xml:space="preserve"> </w:t>
      </w:r>
      <w:r w:rsidRPr="00C611C5">
        <w:rPr>
          <w:rFonts w:hint="cs"/>
          <w:rtl/>
        </w:rPr>
        <w:t xml:space="preserve">ولو سرنا بهذا النوع من الفرضيات المسبقة فسيعني </w:t>
      </w:r>
      <w:r>
        <w:rPr>
          <w:rFonts w:hint="cs"/>
          <w:rtl/>
        </w:rPr>
        <w:t>ذلك أ</w:t>
      </w:r>
      <w:r w:rsidRPr="00C611C5">
        <w:rPr>
          <w:rFonts w:hint="cs"/>
          <w:rtl/>
        </w:rPr>
        <w:t>ن</w:t>
      </w:r>
      <w:r>
        <w:rPr>
          <w:rFonts w:hint="cs"/>
          <w:rtl/>
        </w:rPr>
        <w:t>ّ</w:t>
      </w:r>
      <w:r w:rsidRPr="00C611C5">
        <w:rPr>
          <w:rFonts w:hint="cs"/>
          <w:rtl/>
        </w:rPr>
        <w:t xml:space="preserve"> هذا المقدار من التغييرات </w:t>
      </w:r>
      <w:r>
        <w:rPr>
          <w:rFonts w:hint="cs"/>
          <w:rtl/>
        </w:rPr>
        <w:t>التي أحدثها النبي</w:t>
      </w:r>
      <w:r w:rsidRPr="00C611C5">
        <w:rPr>
          <w:rFonts w:hint="cs"/>
          <w:rtl/>
        </w:rPr>
        <w:t xml:space="preserve">، </w:t>
      </w:r>
      <w:r>
        <w:rPr>
          <w:rFonts w:hint="cs"/>
          <w:rtl/>
        </w:rPr>
        <w:t>لا تمثل التغيير النهائي الممكن،</w:t>
      </w:r>
      <w:r w:rsidRPr="00C611C5">
        <w:rPr>
          <w:rFonts w:hint="cs"/>
          <w:rtl/>
        </w:rPr>
        <w:t xml:space="preserve"> فتلك التغييرات هي التي كانت ممكنة</w:t>
      </w:r>
      <w:r>
        <w:rPr>
          <w:rFonts w:hint="cs"/>
          <w:rtl/>
        </w:rPr>
        <w:t>ً</w:t>
      </w:r>
      <w:r w:rsidRPr="00C611C5">
        <w:rPr>
          <w:rFonts w:hint="cs"/>
          <w:rtl/>
        </w:rPr>
        <w:t xml:space="preserve"> وقد تم</w:t>
      </w:r>
      <w:r>
        <w:rPr>
          <w:rFonts w:hint="cs"/>
          <w:rtl/>
        </w:rPr>
        <w:t>ّت،</w:t>
      </w:r>
      <w:r w:rsidRPr="00C611C5">
        <w:rPr>
          <w:rFonts w:hint="cs"/>
          <w:rtl/>
        </w:rPr>
        <w:t xml:space="preserve"> والرسالة ال</w:t>
      </w:r>
      <w:r>
        <w:rPr>
          <w:rFonts w:hint="cs"/>
          <w:rtl/>
        </w:rPr>
        <w:t>أساس</w:t>
      </w:r>
      <w:r w:rsidRPr="00C611C5">
        <w:rPr>
          <w:rFonts w:hint="cs"/>
          <w:rtl/>
        </w:rPr>
        <w:t>ية التي تؤد</w:t>
      </w:r>
      <w:r>
        <w:rPr>
          <w:rFonts w:hint="cs"/>
          <w:rtl/>
        </w:rPr>
        <w:t>ّيها تلك التغييرات هي أ</w:t>
      </w:r>
      <w:r w:rsidRPr="00C611C5">
        <w:rPr>
          <w:rFonts w:hint="cs"/>
          <w:rtl/>
        </w:rPr>
        <w:t>ن</w:t>
      </w:r>
      <w:r>
        <w:rPr>
          <w:rFonts w:hint="cs"/>
          <w:rtl/>
        </w:rPr>
        <w:t>ّه لابدّ من السعي لرفع الأ</w:t>
      </w:r>
      <w:r w:rsidRPr="00C611C5">
        <w:rPr>
          <w:rFonts w:hint="cs"/>
          <w:rtl/>
        </w:rPr>
        <w:t xml:space="preserve">نواع </w:t>
      </w:r>
      <w:r>
        <w:rPr>
          <w:rFonts w:hint="cs"/>
          <w:rtl/>
        </w:rPr>
        <w:t>الأخرى ل</w:t>
      </w:r>
      <w:r w:rsidRPr="00C611C5">
        <w:rPr>
          <w:rFonts w:hint="cs"/>
          <w:rtl/>
        </w:rPr>
        <w:t>عدم المساواة</w:t>
      </w:r>
      <w:r>
        <w:rPr>
          <w:rFonts w:hint="cs"/>
          <w:rtl/>
        </w:rPr>
        <w:t xml:space="preserve"> ممّا فرض على المرأة على مرّ التاريخ</w:t>
      </w:r>
      <w:r w:rsidRPr="00C611C5">
        <w:rPr>
          <w:rFonts w:hint="cs"/>
          <w:rtl/>
        </w:rPr>
        <w:t>، هذه هي الرسالة العام</w:t>
      </w:r>
      <w:r>
        <w:rPr>
          <w:rFonts w:hint="cs"/>
          <w:rtl/>
        </w:rPr>
        <w:t>ّ</w:t>
      </w:r>
      <w:r w:rsidRPr="00C611C5">
        <w:rPr>
          <w:rFonts w:hint="cs"/>
          <w:rtl/>
        </w:rPr>
        <w:t>ة التي حملها النبي.</w:t>
      </w:r>
    </w:p>
    <w:p w:rsidR="00C30888" w:rsidRPr="00C611C5" w:rsidRDefault="00C30888" w:rsidP="00E06333">
      <w:pPr>
        <w:pStyle w:val="ac"/>
        <w:rPr>
          <w:rtl/>
        </w:rPr>
      </w:pPr>
      <w:r w:rsidRPr="00C611C5">
        <w:rPr>
          <w:rFonts w:hint="cs"/>
          <w:rtl/>
        </w:rPr>
        <w:t>وعلى هذا ال</w:t>
      </w:r>
      <w:r>
        <w:rPr>
          <w:rFonts w:hint="cs"/>
          <w:rtl/>
        </w:rPr>
        <w:t>أساس،</w:t>
      </w:r>
      <w:r w:rsidRPr="00C611C5">
        <w:rPr>
          <w:rFonts w:hint="cs"/>
          <w:rtl/>
        </w:rPr>
        <w:t xml:space="preserve"> وضمن ملاحظة هذه الرسالة العام</w:t>
      </w:r>
      <w:r>
        <w:rPr>
          <w:rFonts w:hint="cs"/>
          <w:rtl/>
        </w:rPr>
        <w:t>ّ</w:t>
      </w:r>
      <w:r w:rsidRPr="00C611C5">
        <w:rPr>
          <w:rFonts w:hint="cs"/>
          <w:rtl/>
        </w:rPr>
        <w:t>ة لابد</w:t>
      </w:r>
      <w:r>
        <w:rPr>
          <w:rFonts w:hint="cs"/>
          <w:rtl/>
        </w:rPr>
        <w:t>ّ</w:t>
      </w:r>
      <w:r w:rsidRPr="00C611C5">
        <w:rPr>
          <w:rFonts w:hint="cs"/>
          <w:rtl/>
        </w:rPr>
        <w:t xml:space="preserve"> و</w:t>
      </w:r>
      <w:r>
        <w:rPr>
          <w:rFonts w:hint="cs"/>
          <w:rtl/>
        </w:rPr>
        <w:t>أ</w:t>
      </w:r>
      <w:r w:rsidRPr="00C611C5">
        <w:rPr>
          <w:rFonts w:hint="cs"/>
          <w:rtl/>
        </w:rPr>
        <w:t xml:space="preserve">ن نجيب عن </w:t>
      </w:r>
      <w:r>
        <w:rPr>
          <w:rFonts w:hint="cs"/>
          <w:rtl/>
        </w:rPr>
        <w:t>سبب</w:t>
      </w:r>
      <w:r w:rsidRPr="00C611C5">
        <w:rPr>
          <w:rFonts w:hint="cs"/>
          <w:rtl/>
        </w:rPr>
        <w:t xml:space="preserve"> </w:t>
      </w:r>
      <w:r>
        <w:rPr>
          <w:rFonts w:hint="cs"/>
          <w:rtl/>
        </w:rPr>
        <w:t>اللامساواة القائم</w:t>
      </w:r>
      <w:r w:rsidRPr="00C611C5">
        <w:rPr>
          <w:rFonts w:hint="cs"/>
          <w:rtl/>
        </w:rPr>
        <w:t xml:space="preserve"> في الحقوق </w:t>
      </w:r>
      <w:r>
        <w:rPr>
          <w:rFonts w:hint="cs"/>
          <w:rtl/>
        </w:rPr>
        <w:t xml:space="preserve">اليوم، </w:t>
      </w:r>
      <w:r w:rsidRPr="00C611C5">
        <w:rPr>
          <w:rFonts w:hint="cs"/>
          <w:rtl/>
        </w:rPr>
        <w:t>ما هو الواقع ال</w:t>
      </w:r>
      <w:r>
        <w:rPr>
          <w:rFonts w:hint="cs"/>
          <w:rtl/>
        </w:rPr>
        <w:t>اجتماع</w:t>
      </w:r>
      <w:r w:rsidRPr="00C611C5">
        <w:rPr>
          <w:rFonts w:hint="cs"/>
          <w:rtl/>
        </w:rPr>
        <w:t xml:space="preserve">ي الذي نعيشه؟ </w:t>
      </w:r>
      <w:r>
        <w:rPr>
          <w:rFonts w:hint="cs"/>
          <w:rtl/>
        </w:rPr>
        <w:t>و</w:t>
      </w:r>
      <w:r w:rsidRPr="00C611C5">
        <w:rPr>
          <w:rFonts w:hint="cs"/>
          <w:rtl/>
        </w:rPr>
        <w:t>ما هو الواقع الاقتصادي الحالي؟ وما هو ال</w:t>
      </w:r>
      <w:r>
        <w:rPr>
          <w:rFonts w:hint="cs"/>
          <w:rtl/>
        </w:rPr>
        <w:t>أمر</w:t>
      </w:r>
      <w:r w:rsidRPr="00C611C5">
        <w:rPr>
          <w:rFonts w:hint="cs"/>
          <w:rtl/>
        </w:rPr>
        <w:t xml:space="preserve"> الذي تفرضه </w:t>
      </w:r>
      <w:r>
        <w:rPr>
          <w:rFonts w:hint="cs"/>
          <w:rtl/>
        </w:rPr>
        <w:t>علينا العدالة اليوم؟ لابد لنا أ</w:t>
      </w:r>
      <w:r w:rsidRPr="00C611C5">
        <w:rPr>
          <w:rFonts w:hint="cs"/>
          <w:rtl/>
        </w:rPr>
        <w:t>ن نتحر</w:t>
      </w:r>
      <w:r>
        <w:rPr>
          <w:rFonts w:hint="cs"/>
          <w:rtl/>
        </w:rPr>
        <w:t>ّ</w:t>
      </w:r>
      <w:r w:rsidRPr="00C611C5">
        <w:rPr>
          <w:rFonts w:hint="cs"/>
          <w:rtl/>
        </w:rPr>
        <w:t>ك من منطلق العدالة لتعديل ال</w:t>
      </w:r>
      <w:r>
        <w:rPr>
          <w:rFonts w:hint="cs"/>
          <w:rtl/>
        </w:rPr>
        <w:t>أحكام</w:t>
      </w:r>
      <w:r w:rsidRPr="00C611C5">
        <w:rPr>
          <w:rFonts w:hint="cs"/>
          <w:rtl/>
        </w:rPr>
        <w:t xml:space="preserve"> الموجودة</w:t>
      </w:r>
      <w:r>
        <w:rPr>
          <w:rFonts w:hint="cs"/>
          <w:rtl/>
        </w:rPr>
        <w:t>،</w:t>
      </w:r>
      <w:r w:rsidRPr="00C611C5">
        <w:rPr>
          <w:rFonts w:hint="cs"/>
          <w:rtl/>
        </w:rPr>
        <w:t xml:space="preserve"> وهذا عمل</w:t>
      </w:r>
      <w:r>
        <w:rPr>
          <w:rFonts w:hint="cs"/>
          <w:rtl/>
        </w:rPr>
        <w:t>ٌ</w:t>
      </w:r>
      <w:r w:rsidRPr="00C611C5">
        <w:rPr>
          <w:rFonts w:hint="cs"/>
          <w:rtl/>
        </w:rPr>
        <w:t xml:space="preserve"> اجتهادي يتطابق مع رسالة الوحي.</w:t>
      </w:r>
    </w:p>
    <w:p w:rsidR="00C30888" w:rsidRPr="00C30888" w:rsidRDefault="00E06333" w:rsidP="00517C08">
      <w:pPr>
        <w:pStyle w:val="ac"/>
        <w:spacing w:line="199" w:lineRule="auto"/>
        <w:rPr>
          <w:b/>
          <w:bCs/>
          <w:rtl/>
        </w:rPr>
      </w:pPr>
      <w:r w:rsidRPr="00E06333">
        <w:rPr>
          <w:rFonts w:hint="cs"/>
        </w:rPr>
        <w:sym w:font="AGA Arabesque" w:char="F05F"/>
      </w:r>
      <w:r w:rsidRPr="00E06333">
        <w:rPr>
          <w:rFonts w:hint="cs"/>
          <w:rtl/>
        </w:rPr>
        <w:t xml:space="preserve"> </w:t>
      </w:r>
      <w:r w:rsidR="00C30888" w:rsidRPr="00C30888">
        <w:rPr>
          <w:rFonts w:hint="cs"/>
          <w:b/>
          <w:bCs/>
          <w:rtl/>
        </w:rPr>
        <w:t>تعتقدون أنّه يفترض الانطلاق من العدالة، ألا نواجه هنا معضل اختلاف مفهوم العدالة وتعريفها؟</w:t>
      </w:r>
    </w:p>
    <w:p w:rsidR="00C30888" w:rsidRDefault="00E06333" w:rsidP="00517C08">
      <w:pPr>
        <w:pStyle w:val="ac"/>
        <w:spacing w:line="199" w:lineRule="auto"/>
        <w:rPr>
          <w:rtl/>
        </w:rPr>
      </w:pPr>
      <w:r>
        <w:rPr>
          <w:rFonts w:hint="cs"/>
        </w:rPr>
        <w:sym w:font="AGA Arabesque" w:char="F05E"/>
      </w:r>
      <w:r>
        <w:rPr>
          <w:rFonts w:hint="cs"/>
          <w:rtl/>
        </w:rPr>
        <w:t xml:space="preserve"> </w:t>
      </w:r>
      <w:r w:rsidR="00C30888">
        <w:rPr>
          <w:rFonts w:hint="cs"/>
          <w:rtl/>
        </w:rPr>
        <w:t>يلزم</w:t>
      </w:r>
      <w:r w:rsidR="00C30888" w:rsidRPr="00C611C5">
        <w:rPr>
          <w:rFonts w:hint="cs"/>
          <w:rtl/>
        </w:rPr>
        <w:t xml:space="preserve"> تعريف العدالة في كل</w:t>
      </w:r>
      <w:r w:rsidR="00C30888">
        <w:rPr>
          <w:rFonts w:hint="cs"/>
          <w:rtl/>
        </w:rPr>
        <w:t>ّ</w:t>
      </w:r>
      <w:r w:rsidR="00C30888" w:rsidRPr="00C611C5">
        <w:rPr>
          <w:rFonts w:hint="cs"/>
          <w:rtl/>
        </w:rPr>
        <w:t xml:space="preserve"> عصر</w:t>
      </w:r>
      <w:r w:rsidR="00C30888">
        <w:rPr>
          <w:rFonts w:hint="cs"/>
          <w:rtl/>
        </w:rPr>
        <w:t>،</w:t>
      </w:r>
      <w:r w:rsidR="00C30888" w:rsidRPr="00C611C5">
        <w:rPr>
          <w:rFonts w:hint="cs"/>
          <w:rtl/>
        </w:rPr>
        <w:t xml:space="preserve"> </w:t>
      </w:r>
      <w:r w:rsidR="00C30888">
        <w:rPr>
          <w:rFonts w:hint="cs"/>
          <w:rtl/>
        </w:rPr>
        <w:t>إ</w:t>
      </w:r>
      <w:r w:rsidR="00C30888" w:rsidRPr="00C611C5">
        <w:rPr>
          <w:rFonts w:hint="cs"/>
          <w:rtl/>
        </w:rPr>
        <w:t>ن</w:t>
      </w:r>
      <w:r w:rsidR="00C30888">
        <w:rPr>
          <w:rFonts w:hint="cs"/>
          <w:rtl/>
        </w:rPr>
        <w:t>ّ</w:t>
      </w:r>
      <w:r w:rsidR="00C30888" w:rsidRPr="00C611C5">
        <w:rPr>
          <w:rFonts w:hint="cs"/>
          <w:rtl/>
        </w:rPr>
        <w:t>نا لا نملك تعريف</w:t>
      </w:r>
      <w:r w:rsidR="00C30888">
        <w:rPr>
          <w:rFonts w:hint="cs"/>
          <w:rtl/>
        </w:rPr>
        <w:t>اً</w:t>
      </w:r>
      <w:r w:rsidR="00C30888" w:rsidRPr="00C611C5">
        <w:rPr>
          <w:rFonts w:hint="cs"/>
          <w:rtl/>
        </w:rPr>
        <w:t xml:space="preserve"> ثابتا</w:t>
      </w:r>
      <w:r w:rsidR="00C30888">
        <w:rPr>
          <w:rFonts w:hint="cs"/>
          <w:rtl/>
        </w:rPr>
        <w:t>ً</w:t>
      </w:r>
      <w:r w:rsidR="00C30888" w:rsidRPr="00C611C5">
        <w:rPr>
          <w:rFonts w:hint="cs"/>
          <w:rtl/>
        </w:rPr>
        <w:t xml:space="preserve"> ل</w:t>
      </w:r>
      <w:r w:rsidR="00C30888">
        <w:rPr>
          <w:rFonts w:hint="cs"/>
          <w:rtl/>
        </w:rPr>
        <w:t>ها،</w:t>
      </w:r>
      <w:r w:rsidR="00C30888" w:rsidRPr="00C611C5">
        <w:rPr>
          <w:rFonts w:hint="cs"/>
          <w:rtl/>
        </w:rPr>
        <w:t xml:space="preserve"> ليس فيما يرجع </w:t>
      </w:r>
      <w:r w:rsidR="00C30888">
        <w:rPr>
          <w:rFonts w:hint="cs"/>
          <w:rtl/>
        </w:rPr>
        <w:t>إلى أحكام</w:t>
      </w:r>
      <w:r w:rsidR="00C30888" w:rsidRPr="00C611C5">
        <w:rPr>
          <w:rFonts w:hint="cs"/>
          <w:rtl/>
        </w:rPr>
        <w:t xml:space="preserve"> الرجل والمرأة </w:t>
      </w:r>
      <w:r w:rsidR="00C30888">
        <w:rPr>
          <w:rFonts w:hint="cs"/>
          <w:rtl/>
        </w:rPr>
        <w:t xml:space="preserve">فحسب، </w:t>
      </w:r>
      <w:r w:rsidR="00C30888" w:rsidRPr="00C611C5">
        <w:rPr>
          <w:rFonts w:hint="cs"/>
          <w:rtl/>
        </w:rPr>
        <w:t>بل للنظام السياسي والاقتصادي أيضا</w:t>
      </w:r>
      <w:r w:rsidR="00C30888">
        <w:rPr>
          <w:rFonts w:hint="cs"/>
          <w:rtl/>
        </w:rPr>
        <w:t>ً، إ</w:t>
      </w:r>
      <w:r w:rsidR="00C30888" w:rsidRPr="00C611C5">
        <w:rPr>
          <w:rFonts w:hint="cs"/>
          <w:rtl/>
        </w:rPr>
        <w:t>ن</w:t>
      </w:r>
      <w:r w:rsidR="00C30888">
        <w:rPr>
          <w:rFonts w:hint="cs"/>
          <w:rtl/>
        </w:rPr>
        <w:t>ّ</w:t>
      </w:r>
      <w:r w:rsidR="00C30888" w:rsidRPr="00C611C5">
        <w:rPr>
          <w:rFonts w:hint="cs"/>
          <w:rtl/>
        </w:rPr>
        <w:t xml:space="preserve"> تعريف العدالة في كل</w:t>
      </w:r>
      <w:r w:rsidR="00C30888">
        <w:rPr>
          <w:rFonts w:hint="cs"/>
          <w:rtl/>
        </w:rPr>
        <w:t>ّ</w:t>
      </w:r>
      <w:r w:rsidR="00C30888" w:rsidRPr="00C611C5">
        <w:rPr>
          <w:rFonts w:hint="cs"/>
          <w:rtl/>
        </w:rPr>
        <w:t xml:space="preserve"> عصر </w:t>
      </w:r>
      <w:r w:rsidR="00C30888">
        <w:rPr>
          <w:rFonts w:hint="cs"/>
          <w:rtl/>
        </w:rPr>
        <w:t xml:space="preserve">شأنٌ </w:t>
      </w:r>
      <w:r w:rsidR="00C30888" w:rsidRPr="00C611C5">
        <w:rPr>
          <w:rFonts w:hint="cs"/>
          <w:rtl/>
        </w:rPr>
        <w:t>موكول</w:t>
      </w:r>
      <w:r w:rsidR="00C30888">
        <w:rPr>
          <w:rFonts w:hint="cs"/>
          <w:rtl/>
        </w:rPr>
        <w:t>ٌ للإنسان؛</w:t>
      </w:r>
      <w:r w:rsidR="00C30888" w:rsidRPr="00C611C5">
        <w:rPr>
          <w:rFonts w:hint="cs"/>
          <w:rtl/>
        </w:rPr>
        <w:t xml:space="preserve"> </w:t>
      </w:r>
      <w:r w:rsidR="00C30888">
        <w:rPr>
          <w:rFonts w:hint="cs"/>
          <w:rtl/>
        </w:rPr>
        <w:t>فلا</w:t>
      </w:r>
      <w:r w:rsidR="00C30888" w:rsidRPr="00C611C5">
        <w:rPr>
          <w:rFonts w:hint="cs"/>
          <w:rtl/>
        </w:rPr>
        <w:t>بد</w:t>
      </w:r>
      <w:r w:rsidR="00C30888">
        <w:rPr>
          <w:rFonts w:hint="cs"/>
          <w:rtl/>
        </w:rPr>
        <w:t>ّ له من تحديد تعريف لها، وأقصى ما يمكن أ</w:t>
      </w:r>
      <w:r w:rsidR="00C30888" w:rsidRPr="00C611C5">
        <w:rPr>
          <w:rFonts w:hint="cs"/>
          <w:rtl/>
        </w:rPr>
        <w:t>ن يقال هو</w:t>
      </w:r>
      <w:r w:rsidR="00C30888">
        <w:rPr>
          <w:rFonts w:hint="cs"/>
          <w:rtl/>
        </w:rPr>
        <w:t>: إ</w:t>
      </w:r>
      <w:r w:rsidR="00C30888" w:rsidRPr="00C611C5">
        <w:rPr>
          <w:rFonts w:hint="cs"/>
          <w:rtl/>
        </w:rPr>
        <w:t>ن</w:t>
      </w:r>
      <w:r w:rsidR="00C30888">
        <w:rPr>
          <w:rFonts w:hint="cs"/>
          <w:rtl/>
        </w:rPr>
        <w:t>ّ</w:t>
      </w:r>
      <w:r w:rsidR="00C30888" w:rsidRPr="00C611C5">
        <w:rPr>
          <w:rFonts w:hint="cs"/>
          <w:rtl/>
        </w:rPr>
        <w:t xml:space="preserve"> العدالة </w:t>
      </w:r>
      <w:r w:rsidR="00C30888">
        <w:rPr>
          <w:rFonts w:hint="cs"/>
          <w:rtl/>
        </w:rPr>
        <w:t>إ</w:t>
      </w:r>
      <w:r w:rsidR="00C30888" w:rsidRPr="00C611C5">
        <w:rPr>
          <w:rFonts w:hint="cs"/>
          <w:rtl/>
        </w:rPr>
        <w:t>عطاء كل</w:t>
      </w:r>
      <w:r w:rsidR="00C30888">
        <w:rPr>
          <w:rFonts w:hint="cs"/>
          <w:rtl/>
        </w:rPr>
        <w:t>ّ</w:t>
      </w:r>
      <w:r w:rsidR="00C30888" w:rsidRPr="00C611C5">
        <w:rPr>
          <w:rFonts w:hint="cs"/>
          <w:rtl/>
        </w:rPr>
        <w:t xml:space="preserve"> ذي حق</w:t>
      </w:r>
      <w:r w:rsidR="00C30888">
        <w:rPr>
          <w:rFonts w:hint="cs"/>
          <w:rtl/>
        </w:rPr>
        <w:t>ٍّ</w:t>
      </w:r>
      <w:r w:rsidR="00C30888" w:rsidRPr="00C611C5">
        <w:rPr>
          <w:rFonts w:hint="cs"/>
          <w:rtl/>
        </w:rPr>
        <w:t xml:space="preserve"> حق</w:t>
      </w:r>
      <w:r w:rsidR="00C30888">
        <w:rPr>
          <w:rFonts w:hint="cs"/>
          <w:rtl/>
        </w:rPr>
        <w:t>ّه،</w:t>
      </w:r>
      <w:r w:rsidR="00C30888" w:rsidRPr="00C611C5">
        <w:rPr>
          <w:rFonts w:hint="cs"/>
          <w:rtl/>
        </w:rPr>
        <w:t xml:space="preserve"> لكن</w:t>
      </w:r>
      <w:r w:rsidR="00C30888">
        <w:rPr>
          <w:rFonts w:hint="cs"/>
          <w:rtl/>
        </w:rPr>
        <w:t>ّ</w:t>
      </w:r>
      <w:r w:rsidR="00C30888" w:rsidRPr="00C611C5">
        <w:rPr>
          <w:rFonts w:hint="cs"/>
          <w:rtl/>
        </w:rPr>
        <w:t xml:space="preserve"> هذا الت</w:t>
      </w:r>
      <w:r w:rsidR="00C30888">
        <w:rPr>
          <w:rFonts w:hint="cs"/>
          <w:rtl/>
        </w:rPr>
        <w:t>عريف عام، فلا</w:t>
      </w:r>
      <w:r w:rsidR="00C30888" w:rsidRPr="00C611C5">
        <w:rPr>
          <w:rFonts w:hint="cs"/>
          <w:rtl/>
        </w:rPr>
        <w:t>بد في كل</w:t>
      </w:r>
      <w:r w:rsidR="00C30888">
        <w:rPr>
          <w:rFonts w:hint="cs"/>
          <w:rtl/>
        </w:rPr>
        <w:t>ّ</w:t>
      </w:r>
      <w:r w:rsidR="00C30888" w:rsidRPr="00C611C5">
        <w:rPr>
          <w:rFonts w:hint="cs"/>
          <w:rtl/>
        </w:rPr>
        <w:t xml:space="preserve"> عصر</w:t>
      </w:r>
      <w:r w:rsidR="00C30888">
        <w:rPr>
          <w:rFonts w:hint="cs"/>
          <w:rtl/>
        </w:rPr>
        <w:t>ٍ</w:t>
      </w:r>
      <w:r w:rsidR="00C30888" w:rsidRPr="00C611C5">
        <w:rPr>
          <w:rFonts w:hint="cs"/>
          <w:rtl/>
        </w:rPr>
        <w:t xml:space="preserve"> من </w:t>
      </w:r>
      <w:r w:rsidR="00C30888">
        <w:rPr>
          <w:rFonts w:hint="cs"/>
          <w:rtl/>
        </w:rPr>
        <w:t>تحديد أيّ أنواع</w:t>
      </w:r>
      <w:r w:rsidR="00C30888" w:rsidRPr="00C611C5">
        <w:rPr>
          <w:rFonts w:hint="cs"/>
          <w:rtl/>
        </w:rPr>
        <w:t xml:space="preserve"> النظام الاقتصادي، </w:t>
      </w:r>
      <w:r w:rsidR="00C30888">
        <w:rPr>
          <w:rFonts w:hint="cs"/>
          <w:rtl/>
        </w:rPr>
        <w:t>والأ</w:t>
      </w:r>
      <w:r w:rsidR="00C30888" w:rsidRPr="00C611C5">
        <w:rPr>
          <w:rFonts w:hint="cs"/>
          <w:rtl/>
        </w:rPr>
        <w:t xml:space="preserve">سري، </w:t>
      </w:r>
      <w:r w:rsidR="00C30888">
        <w:rPr>
          <w:rFonts w:hint="cs"/>
          <w:rtl/>
        </w:rPr>
        <w:t>و</w:t>
      </w:r>
      <w:r w:rsidR="00C30888" w:rsidRPr="00C611C5">
        <w:rPr>
          <w:rFonts w:hint="cs"/>
          <w:rtl/>
        </w:rPr>
        <w:t xml:space="preserve">السياسي يمكنه </w:t>
      </w:r>
      <w:r w:rsidR="00C30888">
        <w:rPr>
          <w:rFonts w:hint="cs"/>
          <w:rtl/>
        </w:rPr>
        <w:t xml:space="preserve">أن </w:t>
      </w:r>
      <w:r w:rsidR="00C30888">
        <w:rPr>
          <w:rFonts w:hint="cs"/>
          <w:rtl/>
        </w:rPr>
        <w:lastRenderedPageBreak/>
        <w:t>يقدّم لأ</w:t>
      </w:r>
      <w:r w:rsidR="00C30888" w:rsidRPr="00C611C5">
        <w:rPr>
          <w:rFonts w:hint="cs"/>
          <w:rtl/>
        </w:rPr>
        <w:t>فراد المجتمع حقوقهم. وبعبارة</w:t>
      </w:r>
      <w:r w:rsidR="00C30888">
        <w:rPr>
          <w:rFonts w:hint="cs"/>
          <w:rtl/>
        </w:rPr>
        <w:t>ٍ</w:t>
      </w:r>
      <w:r w:rsidR="00C30888" w:rsidRPr="00C611C5">
        <w:rPr>
          <w:rFonts w:hint="cs"/>
          <w:rtl/>
        </w:rPr>
        <w:t xml:space="preserve"> </w:t>
      </w:r>
      <w:r w:rsidR="00C30888">
        <w:rPr>
          <w:rFonts w:hint="cs"/>
          <w:rtl/>
        </w:rPr>
        <w:t>أخرى، أ</w:t>
      </w:r>
      <w:r w:rsidR="00C30888" w:rsidRPr="00C611C5">
        <w:rPr>
          <w:rFonts w:hint="cs"/>
          <w:rtl/>
        </w:rPr>
        <w:t>ن يضع الفرص أمام الجميع بشكل</w:t>
      </w:r>
      <w:r w:rsidR="00C30888">
        <w:rPr>
          <w:rFonts w:hint="cs"/>
          <w:rtl/>
        </w:rPr>
        <w:t>ٍ</w:t>
      </w:r>
      <w:r w:rsidR="00C30888" w:rsidRPr="00C611C5">
        <w:rPr>
          <w:rFonts w:hint="cs"/>
          <w:rtl/>
        </w:rPr>
        <w:t xml:space="preserve"> متساو، في نظام ال</w:t>
      </w:r>
      <w:r w:rsidR="00C30888">
        <w:rPr>
          <w:rFonts w:hint="cs"/>
          <w:rtl/>
        </w:rPr>
        <w:t>أسرة</w:t>
      </w:r>
      <w:r w:rsidR="00C30888" w:rsidRPr="00C611C5">
        <w:rPr>
          <w:rFonts w:hint="cs"/>
          <w:rtl/>
        </w:rPr>
        <w:t xml:space="preserve"> </w:t>
      </w:r>
      <w:r w:rsidR="00C30888">
        <w:rPr>
          <w:rFonts w:hint="cs"/>
          <w:rtl/>
        </w:rPr>
        <w:t>وغيره،</w:t>
      </w:r>
      <w:r w:rsidR="00C30888" w:rsidRPr="00C611C5">
        <w:rPr>
          <w:rFonts w:hint="cs"/>
          <w:rtl/>
        </w:rPr>
        <w:t xml:space="preserve"> ووظيفة </w:t>
      </w:r>
      <w:r w:rsidR="00C30888">
        <w:rPr>
          <w:rFonts w:hint="cs"/>
          <w:rtl/>
        </w:rPr>
        <w:t xml:space="preserve">رجال الفكر هنا </w:t>
      </w:r>
      <w:r w:rsidR="00C30888" w:rsidRPr="00C611C5">
        <w:rPr>
          <w:rFonts w:hint="cs"/>
          <w:rtl/>
        </w:rPr>
        <w:t>ال</w:t>
      </w:r>
      <w:r w:rsidR="00C30888">
        <w:rPr>
          <w:rFonts w:hint="cs"/>
          <w:rtl/>
        </w:rPr>
        <w:t>سعي لمعرفة مواطن عدم المساواة، فلا</w:t>
      </w:r>
      <w:r w:rsidR="00C30888" w:rsidRPr="00C611C5">
        <w:rPr>
          <w:rFonts w:hint="cs"/>
          <w:rtl/>
        </w:rPr>
        <w:t xml:space="preserve">بدّ لهم </w:t>
      </w:r>
      <w:r w:rsidR="00C30888">
        <w:rPr>
          <w:rFonts w:hint="cs"/>
          <w:rtl/>
        </w:rPr>
        <w:t xml:space="preserve">ـ </w:t>
      </w:r>
      <w:r w:rsidR="00C30888" w:rsidRPr="00C611C5">
        <w:rPr>
          <w:rFonts w:hint="cs"/>
          <w:rtl/>
        </w:rPr>
        <w:t>عبر التوس</w:t>
      </w:r>
      <w:r w:rsidR="00C30888">
        <w:rPr>
          <w:rFonts w:hint="cs"/>
          <w:rtl/>
        </w:rPr>
        <w:t>ّل بالأ</w:t>
      </w:r>
      <w:r w:rsidR="00C30888" w:rsidRPr="00C611C5">
        <w:rPr>
          <w:rFonts w:hint="cs"/>
          <w:rtl/>
        </w:rPr>
        <w:t xml:space="preserve">دلة </w:t>
      </w:r>
      <w:r w:rsidR="00C30888">
        <w:rPr>
          <w:rFonts w:hint="cs"/>
          <w:rtl/>
        </w:rPr>
        <w:t xml:space="preserve">ـ </w:t>
      </w:r>
      <w:r w:rsidR="00C30888" w:rsidRPr="00C611C5">
        <w:rPr>
          <w:rFonts w:hint="cs"/>
          <w:rtl/>
        </w:rPr>
        <w:t>من تحديد</w:t>
      </w:r>
      <w:r w:rsidR="00C30888">
        <w:rPr>
          <w:rFonts w:hint="cs"/>
          <w:rtl/>
        </w:rPr>
        <w:t>ها</w:t>
      </w:r>
      <w:r w:rsidR="00C30888" w:rsidRPr="00C611C5">
        <w:rPr>
          <w:rFonts w:hint="cs"/>
          <w:rtl/>
        </w:rPr>
        <w:t xml:space="preserve"> </w:t>
      </w:r>
      <w:r w:rsidR="00C30888">
        <w:rPr>
          <w:rFonts w:hint="cs"/>
          <w:rtl/>
        </w:rPr>
        <w:t xml:space="preserve">ليتمكّنوا </w:t>
      </w:r>
      <w:r w:rsidR="00C30888" w:rsidRPr="00C611C5">
        <w:rPr>
          <w:rFonts w:hint="cs"/>
          <w:rtl/>
        </w:rPr>
        <w:t>من الاقتراب من تعريف العدالة.</w:t>
      </w:r>
    </w:p>
    <w:p w:rsidR="008B618B" w:rsidRDefault="00C30888" w:rsidP="008B618B">
      <w:pPr>
        <w:pStyle w:val="ac"/>
        <w:rPr>
          <w:rtl/>
        </w:rPr>
      </w:pPr>
      <w:r>
        <w:rPr>
          <w:rFonts w:hint="cs"/>
          <w:rtl/>
        </w:rPr>
        <w:t>وما أراه هو أ</w:t>
      </w:r>
      <w:r w:rsidRPr="00C611C5">
        <w:rPr>
          <w:rFonts w:hint="cs"/>
          <w:rtl/>
        </w:rPr>
        <w:t>ن</w:t>
      </w:r>
      <w:r>
        <w:rPr>
          <w:rFonts w:hint="cs"/>
          <w:rtl/>
        </w:rPr>
        <w:t>ّ</w:t>
      </w:r>
      <w:r w:rsidRPr="00C611C5">
        <w:rPr>
          <w:rFonts w:hint="cs"/>
          <w:rtl/>
        </w:rPr>
        <w:t>نا بدل الاعتماد على النظام ال</w:t>
      </w:r>
      <w:r>
        <w:rPr>
          <w:rFonts w:hint="cs"/>
          <w:rtl/>
        </w:rPr>
        <w:t>طبيعي لرفع عدم المساواة الموجود</w:t>
      </w:r>
      <w:r w:rsidRPr="00C611C5">
        <w:rPr>
          <w:rFonts w:hint="cs"/>
          <w:rtl/>
        </w:rPr>
        <w:t xml:space="preserve"> بين الرجل والمرأة</w:t>
      </w:r>
      <w:r>
        <w:rPr>
          <w:rFonts w:hint="cs"/>
          <w:rtl/>
        </w:rPr>
        <w:t>، لا</w:t>
      </w:r>
      <w:r w:rsidRPr="00C611C5">
        <w:rPr>
          <w:rFonts w:hint="cs"/>
          <w:rtl/>
        </w:rPr>
        <w:t>بدّ لنا من العمل على تحليل مفهوم العدالة المرتبط بنظام ال</w:t>
      </w:r>
      <w:r>
        <w:rPr>
          <w:rFonts w:hint="cs"/>
          <w:rtl/>
        </w:rPr>
        <w:t>أسرة.</w:t>
      </w:r>
    </w:p>
    <w:p w:rsidR="008B618B" w:rsidRDefault="008B618B" w:rsidP="008B618B">
      <w:pPr>
        <w:pStyle w:val="ac"/>
        <w:rPr>
          <w:rtl/>
        </w:rPr>
        <w:sectPr w:rsidR="008B618B" w:rsidSect="00EA348C">
          <w:headerReference w:type="even" r:id="rId41"/>
          <w:headerReference w:type="default" r:id="rId42"/>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0E41CC" w:rsidRDefault="000E41CC" w:rsidP="008B618B">
      <w:pPr>
        <w:pStyle w:val="ac"/>
        <w:rPr>
          <w:rtl/>
        </w:rPr>
      </w:pPr>
    </w:p>
    <w:p w:rsidR="000E41CC" w:rsidRDefault="000E41CC">
      <w:pPr>
        <w:widowControl/>
        <w:bidi w:val="0"/>
        <w:spacing w:line="240" w:lineRule="auto"/>
        <w:ind w:firstLine="0"/>
        <w:jc w:val="left"/>
        <w:outlineLvl w:val="9"/>
        <w:rPr>
          <w:rFonts w:ascii="Arno Pro Display" w:hAnsi="Arno Pro Display"/>
          <w:sz w:val="28"/>
          <w:szCs w:val="30"/>
          <w:rtl/>
        </w:rPr>
      </w:pPr>
      <w:r>
        <w:rPr>
          <w:rtl/>
        </w:rPr>
        <w:br w:type="page"/>
      </w:r>
    </w:p>
    <w:p w:rsidR="00C30888" w:rsidRDefault="00C30888" w:rsidP="00C30888">
      <w:pPr>
        <w:pStyle w:val="ac"/>
        <w:rPr>
          <w:rtl/>
        </w:rPr>
        <w:sectPr w:rsidR="00C30888" w:rsidSect="00EA348C">
          <w:headerReference w:type="even" r:id="rId43"/>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517C08" w:rsidRDefault="00517C08">
      <w:pPr>
        <w:widowControl/>
        <w:bidi w:val="0"/>
        <w:spacing w:line="240" w:lineRule="auto"/>
        <w:ind w:firstLine="0"/>
        <w:jc w:val="left"/>
        <w:outlineLvl w:val="9"/>
        <w:rPr>
          <w:rFonts w:ascii="Arno Pro Display" w:hAnsi="Arno Pro Display"/>
          <w:sz w:val="28"/>
          <w:szCs w:val="30"/>
          <w:rtl/>
        </w:rPr>
      </w:pPr>
      <w:r>
        <w:rPr>
          <w:rtl/>
        </w:rPr>
        <w:lastRenderedPageBreak/>
        <w:br w:type="page"/>
      </w:r>
    </w:p>
    <w:p w:rsidR="00F942C2" w:rsidRDefault="00F942C2" w:rsidP="00DB5FFB">
      <w:pPr>
        <w:pStyle w:val="ac"/>
        <w:rPr>
          <w:rtl/>
        </w:rPr>
      </w:pPr>
    </w:p>
    <w:p w:rsidR="00DB5FFB" w:rsidRDefault="00DB5FFB" w:rsidP="00DB5FFB">
      <w:pPr>
        <w:pStyle w:val="ac"/>
        <w:rPr>
          <w:rtl/>
        </w:rPr>
      </w:pPr>
    </w:p>
    <w:p w:rsidR="00DB5FFB" w:rsidRPr="00EC38CE" w:rsidRDefault="00DB5FFB" w:rsidP="008B618B">
      <w:pPr>
        <w:pStyle w:val="ac"/>
        <w:rPr>
          <w:rtl/>
        </w:rPr>
      </w:pPr>
    </w:p>
    <w:p w:rsidR="00EC38CE" w:rsidRPr="004C5D4F" w:rsidRDefault="00EC38CE" w:rsidP="00DB5FFB">
      <w:pPr>
        <w:pStyle w:val="ac"/>
        <w:rPr>
          <w:sz w:val="12"/>
          <w:szCs w:val="14"/>
          <w:rtl/>
        </w:rPr>
      </w:pPr>
    </w:p>
    <w:p w:rsidR="008B618B" w:rsidRDefault="008B618B" w:rsidP="00DB5FFB">
      <w:pPr>
        <w:pStyle w:val="ac"/>
        <w:rPr>
          <w:rtl/>
        </w:rPr>
      </w:pPr>
    </w:p>
    <w:p w:rsidR="00EC38CE" w:rsidRDefault="00EC38CE" w:rsidP="00EF0100">
      <w:pPr>
        <w:pStyle w:val="aff2"/>
        <w:rPr>
          <w:rtl/>
        </w:rPr>
        <w:sectPr w:rsidR="00EC38CE" w:rsidSect="00EA348C">
          <w:headerReference w:type="even" r:id="rId44"/>
          <w:headerReference w:type="default" r:id="rId45"/>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118" w:name="_Toc130368081"/>
    </w:p>
    <w:p w:rsidR="000E41CC" w:rsidRDefault="000E41CC" w:rsidP="000E41CC">
      <w:pPr>
        <w:pStyle w:val="aff2"/>
        <w:rPr>
          <w:rtl/>
        </w:rPr>
      </w:pPr>
      <w:bookmarkStart w:id="119" w:name="_Toc275127911"/>
      <w:bookmarkStart w:id="120" w:name="_Toc130368086"/>
      <w:bookmarkEnd w:id="118"/>
      <w:r>
        <w:rPr>
          <w:rFonts w:hint="cs"/>
          <w:rtl/>
        </w:rPr>
        <w:lastRenderedPageBreak/>
        <w:t>الاتجاهات الدينية في تاريخ إيران المعاصر</w:t>
      </w:r>
      <w:bookmarkEnd w:id="119"/>
    </w:p>
    <w:p w:rsidR="000E41CC" w:rsidRPr="000E41CC" w:rsidRDefault="000E41CC" w:rsidP="000E41CC">
      <w:pPr>
        <w:pStyle w:val="aff2"/>
        <w:rPr>
          <w:sz w:val="22"/>
          <w:szCs w:val="40"/>
          <w:rtl/>
        </w:rPr>
      </w:pPr>
      <w:bookmarkStart w:id="121" w:name="_Toc169521383"/>
      <w:bookmarkStart w:id="122" w:name="_Toc275127912"/>
      <w:r w:rsidRPr="000E41CC">
        <w:rPr>
          <w:rFonts w:hint="cs"/>
          <w:sz w:val="22"/>
          <w:szCs w:val="40"/>
          <w:rtl/>
        </w:rPr>
        <w:t>المواقف من مسألة المرأة</w:t>
      </w:r>
      <w:bookmarkEnd w:id="121"/>
      <w:bookmarkEnd w:id="122"/>
    </w:p>
    <w:p w:rsidR="000E41CC" w:rsidRPr="00AA2A63" w:rsidRDefault="000E41CC" w:rsidP="004C5D4F">
      <w:pPr>
        <w:pStyle w:val="af7"/>
        <w:spacing w:line="197" w:lineRule="auto"/>
        <w:rPr>
          <w:rtl/>
        </w:rPr>
      </w:pPr>
      <w:bookmarkStart w:id="123" w:name="_Toc168326353"/>
      <w:bookmarkStart w:id="124" w:name="_Toc169521384"/>
      <w:bookmarkStart w:id="125" w:name="_Toc275127913"/>
      <w:r>
        <w:rPr>
          <w:rFonts w:hint="cs"/>
          <w:rtl/>
        </w:rPr>
        <w:t>الشيخ مهدي مهريزي</w:t>
      </w:r>
      <w:r w:rsidRPr="000E41CC">
        <w:rPr>
          <w:rFonts w:cs="Taher"/>
          <w:vertAlign w:val="superscript"/>
          <w:rtl/>
        </w:rPr>
        <w:footnoteReference w:customMarkFollows="1" w:id="82"/>
        <w:t>(*)</w:t>
      </w:r>
      <w:bookmarkEnd w:id="123"/>
      <w:bookmarkEnd w:id="124"/>
      <w:bookmarkEnd w:id="125"/>
    </w:p>
    <w:p w:rsidR="000E41CC" w:rsidRDefault="000E41CC" w:rsidP="000E41CC">
      <w:pPr>
        <w:pStyle w:val="af7"/>
        <w:spacing w:before="0"/>
        <w:ind w:left="5040"/>
        <w:jc w:val="center"/>
        <w:rPr>
          <w:b/>
          <w:sz w:val="28"/>
          <w:rtl/>
        </w:rPr>
      </w:pPr>
      <w:bookmarkStart w:id="126" w:name="_Toc168326354"/>
      <w:r>
        <w:rPr>
          <w:rFonts w:hint="cs"/>
          <w:rtl/>
        </w:rPr>
        <w:t xml:space="preserve">    </w:t>
      </w:r>
      <w:bookmarkStart w:id="127" w:name="_Toc275127914"/>
      <w:r w:rsidRPr="0056594E">
        <w:rPr>
          <w:rFonts w:hint="cs"/>
          <w:rtl/>
        </w:rPr>
        <w:t>ترجمة: حيدر حب الله</w:t>
      </w:r>
      <w:bookmarkEnd w:id="126"/>
      <w:bookmarkEnd w:id="127"/>
    </w:p>
    <w:p w:rsidR="000E41CC" w:rsidRPr="004C5D4F" w:rsidRDefault="000E41CC" w:rsidP="000E41CC">
      <w:pPr>
        <w:pStyle w:val="ac"/>
        <w:rPr>
          <w:sz w:val="12"/>
          <w:szCs w:val="14"/>
          <w:rtl/>
        </w:rPr>
      </w:pPr>
      <w:bookmarkStart w:id="128" w:name="_Toc169521385"/>
    </w:p>
    <w:p w:rsidR="000E41CC" w:rsidRPr="00D457EB" w:rsidRDefault="000E41CC" w:rsidP="000E41CC">
      <w:pPr>
        <w:pStyle w:val="1"/>
        <w:rPr>
          <w:rtl/>
        </w:rPr>
      </w:pPr>
      <w:bookmarkStart w:id="129" w:name="_Toc275127915"/>
      <w:r w:rsidRPr="00D457EB">
        <w:rPr>
          <w:rFonts w:hint="cs"/>
          <w:rtl/>
        </w:rPr>
        <w:t>مسألة المرأة إبّان الحركة الدستورية وقبلها</w:t>
      </w:r>
      <w:bookmarkEnd w:id="128"/>
      <w:bookmarkEnd w:id="129"/>
    </w:p>
    <w:p w:rsidR="000E41CC" w:rsidRPr="00E92A2B" w:rsidRDefault="000E41CC" w:rsidP="000E41CC">
      <w:pPr>
        <w:pStyle w:val="ac"/>
        <w:rPr>
          <w:rtl/>
        </w:rPr>
      </w:pPr>
      <w:r w:rsidRPr="00E92A2B">
        <w:rPr>
          <w:rFonts w:hint="cs"/>
          <w:rtl/>
        </w:rPr>
        <w:t>لتحديد دراستنا هنا نتعرّض لمدخل هام يحتوي نقاطاً:</w:t>
      </w:r>
    </w:p>
    <w:p w:rsidR="000E41CC" w:rsidRDefault="000E41CC" w:rsidP="000E41CC">
      <w:pPr>
        <w:pStyle w:val="ac"/>
        <w:rPr>
          <w:rtl/>
        </w:rPr>
      </w:pPr>
      <w:r w:rsidRPr="00471BF8">
        <w:rPr>
          <w:rFonts w:hint="cs"/>
          <w:b/>
          <w:bCs/>
          <w:rtl/>
        </w:rPr>
        <w:t>أولاً:</w:t>
      </w:r>
      <w:r>
        <w:rPr>
          <w:rFonts w:hint="cs"/>
          <w:rtl/>
        </w:rPr>
        <w:t xml:space="preserve"> تعود مسألة المرأة في إيران إلى عصر الحركة الدستورية (1284 ـ 1289هـ . ش / 1905 ـ 1909م)، وقد كان للوعي الناهض بأفكار العالم الجديد إلى جانب الحركات البنيويّة وتحوّلاتها دور رئيس في طفو موضوعة المرأة إلى الواجهة، وقد أدّى هذا الوعي الجديد والارتباط الناشئ إلى ظهور موجات من النقد تناولت بعض التصوّرات الدينية والمعتقدات التراثية التقليدية، وذلك في أوساط الشرائح الجديدة التي بدأت بالظهور في المجتمع.</w:t>
      </w:r>
    </w:p>
    <w:p w:rsidR="000E41CC" w:rsidRDefault="000E41CC" w:rsidP="004C5D4F">
      <w:pPr>
        <w:pStyle w:val="ac"/>
        <w:rPr>
          <w:rtl/>
        </w:rPr>
      </w:pPr>
      <w:r>
        <w:rPr>
          <w:rFonts w:hint="cs"/>
          <w:rtl/>
        </w:rPr>
        <w:t xml:space="preserve">وإذا أخذنا مثالاً على ما نقول، أمكننا تسليط الضوء على ما كتبته تاج السلطنة (المولودة: 1304هـ)، ابنة ناصر الدين شاه القاجاري، في مذكّراتها التي حملت عنوان: </w:t>
      </w:r>
      <w:r w:rsidR="004C5D4F">
        <w:rPr>
          <w:rFonts w:ascii="Mosawi" w:hAnsi="Mosawi"/>
          <w:rtl/>
        </w:rPr>
        <w:t>«</w:t>
      </w:r>
      <w:r>
        <w:rPr>
          <w:rFonts w:hint="cs"/>
          <w:rtl/>
        </w:rPr>
        <w:t>مذكّرات تاج السلطنة</w:t>
      </w:r>
      <w:r w:rsidR="004C5D4F">
        <w:rPr>
          <w:rFonts w:ascii="Mosawi" w:hAnsi="Mosawi"/>
          <w:rtl/>
        </w:rPr>
        <w:t>»</w:t>
      </w:r>
      <w:r>
        <w:rPr>
          <w:rFonts w:hint="cs"/>
          <w:rtl/>
        </w:rPr>
        <w:t xml:space="preserve">، والتي كتبتها عام 1343هـ، فقد تعرّضت تاج السلطنة إلى </w:t>
      </w:r>
      <w:r>
        <w:rPr>
          <w:rFonts w:hint="cs"/>
          <w:rtl/>
        </w:rPr>
        <w:lastRenderedPageBreak/>
        <w:t>الموضوعات الجديدة حول المرأة.</w:t>
      </w:r>
    </w:p>
    <w:p w:rsidR="000E41CC" w:rsidRDefault="000E41CC" w:rsidP="00517C08">
      <w:pPr>
        <w:pStyle w:val="ac"/>
        <w:rPr>
          <w:rtl/>
        </w:rPr>
      </w:pPr>
      <w:r>
        <w:rPr>
          <w:rFonts w:hint="cs"/>
          <w:rtl/>
        </w:rPr>
        <w:t xml:space="preserve">إنها تقول: </w:t>
      </w:r>
      <w:r w:rsidR="00517C08">
        <w:rPr>
          <w:rFonts w:ascii="Mosawi" w:hAnsi="Mosawi"/>
          <w:rtl/>
        </w:rPr>
        <w:t>«</w:t>
      </w:r>
      <w:r>
        <w:rPr>
          <w:rFonts w:hint="cs"/>
          <w:rtl/>
        </w:rPr>
        <w:t>لو كانت النساء في هذا البلد أحراراً كسائر البلاد والممالك، وحازت على حقوقها، واستطاعت النفوذ إلى أمور البلاد والسياسة الداخلية، وترقّت في المناصب والإدارات، فإنني لا أرى ـ يقيناً ـ سبيل ترقيها في أن تغدو وزيرةً، تماطل وتتلاعب بحقوق الآخرين، وتأكل أموال المسلمين، وتبيع الوطن العزيز.. ومع الأسف الشديد فقد فصلت النساء الإيرانيات عن نوع الإنسان، وغدون من صنف البهائم والوحوش، إنهنّ يعشن حياتهنّ من الصبح حتى الليل في سجنٍ مليء باليأس والقنوط، ويعانين من ضغوطات صعبة، إنهنّ يقضين عمرهنّ في التعاسة والشقاء</w:t>
      </w:r>
      <w:r w:rsidR="00517C08">
        <w:rPr>
          <w:rFonts w:ascii="Mosawi" w:hAnsi="Mosawi"/>
          <w:rtl/>
        </w:rPr>
        <w:t>»</w:t>
      </w:r>
      <w:r w:rsidR="00517C08" w:rsidRPr="00815C4C">
        <w:rPr>
          <w:rFonts w:cs="Taher"/>
          <w:vertAlign w:val="superscript"/>
          <w:rtl/>
        </w:rPr>
        <w:t xml:space="preserve"> </w:t>
      </w:r>
      <w:r w:rsidRPr="00815C4C">
        <w:rPr>
          <w:rFonts w:cs="Taher"/>
          <w:vertAlign w:val="superscript"/>
          <w:rtl/>
        </w:rPr>
        <w:t>(</w:t>
      </w:r>
      <w:r w:rsidRPr="00815C4C">
        <w:rPr>
          <w:rFonts w:cs="Taher"/>
          <w:vertAlign w:val="superscript"/>
          <w:rtl/>
        </w:rPr>
        <w:footnoteReference w:id="83"/>
      </w:r>
      <w:r w:rsidRPr="00815C4C">
        <w:rPr>
          <w:rFonts w:cs="Taher"/>
          <w:vertAlign w:val="superscript"/>
          <w:rtl/>
        </w:rPr>
        <w:t>)</w:t>
      </w:r>
      <w:r>
        <w:rPr>
          <w:rFonts w:hint="cs"/>
          <w:rtl/>
        </w:rPr>
        <w:t>.</w:t>
      </w:r>
    </w:p>
    <w:p w:rsidR="000E41CC" w:rsidRDefault="000E41CC" w:rsidP="004C5D4F">
      <w:pPr>
        <w:pStyle w:val="ac"/>
        <w:rPr>
          <w:rtl/>
        </w:rPr>
      </w:pPr>
      <w:r>
        <w:rPr>
          <w:rFonts w:hint="cs"/>
          <w:rtl/>
        </w:rPr>
        <w:t xml:space="preserve">كما تكتب في موضعٍ آخر تقول: </w:t>
      </w:r>
      <w:r w:rsidR="004C5D4F">
        <w:rPr>
          <w:rFonts w:ascii="Mosawi" w:hAnsi="Mosawi"/>
          <w:rtl/>
        </w:rPr>
        <w:t>«</w:t>
      </w:r>
      <w:r>
        <w:rPr>
          <w:rFonts w:hint="cs"/>
          <w:rtl/>
        </w:rPr>
        <w:t>تتألّف حياة النساء الإيرانيات من أمرين: أحدهما أسود معتم، وثانيهما أبيض مشرق، فعندما يخرجن إلى الحياة الدنيا يلبس لباس العزاء الأسود، أما عند الموت فيرتدين الكفن الأبيض، وحيث إنني واحدة من تلك النساء فإنني أرجّح ذلك الكفن الأبيض على تلك الهياكل الموحشة، إنني أرفض دائماً ذاك اللباس</w:t>
      </w:r>
      <w:r w:rsidR="004C5D4F">
        <w:rPr>
          <w:rFonts w:ascii="Mosawi" w:hAnsi="Mosawi"/>
          <w:rtl/>
        </w:rPr>
        <w:t>»</w:t>
      </w:r>
      <w:r w:rsidRPr="00815C4C">
        <w:rPr>
          <w:rFonts w:cs="Taher"/>
          <w:vertAlign w:val="superscript"/>
          <w:rtl/>
        </w:rPr>
        <w:t>(</w:t>
      </w:r>
      <w:r w:rsidRPr="00815C4C">
        <w:rPr>
          <w:rFonts w:cs="Taher"/>
          <w:vertAlign w:val="superscript"/>
          <w:rtl/>
        </w:rPr>
        <w:footnoteReference w:id="84"/>
      </w:r>
      <w:r w:rsidRPr="00815C4C">
        <w:rPr>
          <w:rFonts w:cs="Taher"/>
          <w:vertAlign w:val="superscript"/>
          <w:rtl/>
        </w:rPr>
        <w:t>)</w:t>
      </w:r>
      <w:r>
        <w:rPr>
          <w:rFonts w:hint="cs"/>
          <w:rtl/>
        </w:rPr>
        <w:t>.</w:t>
      </w:r>
    </w:p>
    <w:p w:rsidR="000E41CC" w:rsidRDefault="000E41CC" w:rsidP="000E41CC">
      <w:pPr>
        <w:pStyle w:val="ac"/>
        <w:rPr>
          <w:rtl/>
        </w:rPr>
      </w:pPr>
      <w:r>
        <w:rPr>
          <w:rFonts w:hint="cs"/>
          <w:rtl/>
        </w:rPr>
        <w:t xml:space="preserve">وتشرح تاج السلطنة مسؤولية المرأة الإيرانية فتقول: </w:t>
      </w:r>
      <w:r w:rsidRPr="002B759E">
        <w:rPr>
          <w:rFonts w:hint="cs"/>
        </w:rPr>
        <w:sym w:font="Islamic Units 1" w:char="F06D"/>
      </w:r>
      <w:r>
        <w:rPr>
          <w:rFonts w:hint="cs"/>
          <w:rtl/>
        </w:rPr>
        <w:t>إنها استرداد حقوقهنّ مثل النساء الأوروبيات، وتربية الأطفال، ومساعدة الرجال مثل النسوة الأوروبيات، والعفة والطهارة، وحبّ الوطن، وخدمة الإنسان، وطرد الكسل والخمول، والرقود في البيوت، مع رفع النقاب</w:t>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85"/>
      </w:r>
      <w:r w:rsidRPr="00815C4C">
        <w:rPr>
          <w:rFonts w:cs="Taher"/>
          <w:vertAlign w:val="superscript"/>
          <w:rtl/>
        </w:rPr>
        <w:t>)</w:t>
      </w:r>
      <w:r>
        <w:rPr>
          <w:rFonts w:hint="cs"/>
          <w:rtl/>
        </w:rPr>
        <w:t xml:space="preserve">، وأيضاً: </w:t>
      </w:r>
      <w:r w:rsidRPr="002B759E">
        <w:rPr>
          <w:rFonts w:hint="cs"/>
        </w:rPr>
        <w:sym w:font="Islamic Units 1" w:char="F06D"/>
      </w:r>
      <w:r>
        <w:rPr>
          <w:rFonts w:hint="cs"/>
          <w:rtl/>
        </w:rPr>
        <w:t>إن حجاب المرأة هو خراب الوطن والبلاد، والفساد الأخلاقي، وعدم التقدّم في تمام الأعمال</w:t>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86"/>
      </w:r>
      <w:r w:rsidRPr="00815C4C">
        <w:rPr>
          <w:rFonts w:cs="Taher"/>
          <w:vertAlign w:val="superscript"/>
          <w:rtl/>
        </w:rPr>
        <w:t>)</w:t>
      </w:r>
      <w:r>
        <w:rPr>
          <w:rFonts w:hint="cs"/>
          <w:rtl/>
        </w:rPr>
        <w:t>.</w:t>
      </w:r>
    </w:p>
    <w:p w:rsidR="000E41CC" w:rsidRDefault="000E41CC" w:rsidP="00E06333">
      <w:pPr>
        <w:pStyle w:val="ac"/>
        <w:rPr>
          <w:rtl/>
        </w:rPr>
      </w:pPr>
      <w:r>
        <w:rPr>
          <w:rFonts w:hint="cs"/>
          <w:rtl/>
        </w:rPr>
        <w:t xml:space="preserve">وإضافةً إلى الجهود النظرية في هذه المرحلة، ثمّة جمعيات ومؤسسات نسوية ظهرت أيضاً مثل: جمعية حريّة النساء (1907م)، ونقابة النسوان الغيبيّة (1907م)، وجمعية </w:t>
      </w:r>
      <w:r>
        <w:rPr>
          <w:rFonts w:hint="cs"/>
          <w:rtl/>
        </w:rPr>
        <w:lastRenderedPageBreak/>
        <w:t>مخدَّرات الوطن (1910م) و..</w:t>
      </w:r>
      <w:r w:rsidRPr="00815C4C">
        <w:rPr>
          <w:rFonts w:cs="Taher"/>
          <w:vertAlign w:val="superscript"/>
          <w:rtl/>
        </w:rPr>
        <w:t>(</w:t>
      </w:r>
      <w:r w:rsidRPr="00815C4C">
        <w:rPr>
          <w:rFonts w:cs="Taher"/>
          <w:vertAlign w:val="superscript"/>
          <w:rtl/>
        </w:rPr>
        <w:footnoteReference w:id="87"/>
      </w:r>
      <w:r w:rsidRPr="00815C4C">
        <w:rPr>
          <w:rFonts w:cs="Taher"/>
          <w:vertAlign w:val="superscript"/>
          <w:rtl/>
        </w:rPr>
        <w:t>)</w:t>
      </w:r>
      <w:r>
        <w:rPr>
          <w:rFonts w:hint="cs"/>
          <w:rtl/>
        </w:rPr>
        <w:t>.</w:t>
      </w:r>
    </w:p>
    <w:p w:rsidR="000E41CC" w:rsidRDefault="000E41CC" w:rsidP="004C5D4F">
      <w:pPr>
        <w:pStyle w:val="ac"/>
        <w:spacing w:line="202" w:lineRule="auto"/>
        <w:rPr>
          <w:rtl/>
        </w:rPr>
      </w:pPr>
      <w:r>
        <w:rPr>
          <w:rFonts w:hint="cs"/>
          <w:rtl/>
        </w:rPr>
        <w:t>كما شهدت هذه الفترة ظهور نشريّات ودوريات خاصّة بقضايا المرأة، مثل: دانش (العلم)، شكوفه (البرعم)، زبان زنان (لغة النساء)، نامه بانوان (رسالة السيدات)، عالم نسوان (عالم النساء)، جهان زنان (عالم النساء)، جهان نسوان وطن خواه (عالم النساء الناشدات للوطن)، مجلّة نسوان (مجلّة النساء)، مجلّة سعادت نسوان شرق ودختران إيران (مجلة سعادة نساء الشرق وبنات إيران)</w:t>
      </w:r>
      <w:r w:rsidRPr="00815C4C">
        <w:rPr>
          <w:rFonts w:cs="Taher"/>
          <w:vertAlign w:val="superscript"/>
          <w:rtl/>
        </w:rPr>
        <w:t>(</w:t>
      </w:r>
      <w:r w:rsidRPr="00815C4C">
        <w:rPr>
          <w:rFonts w:cs="Taher"/>
          <w:vertAlign w:val="superscript"/>
          <w:rtl/>
        </w:rPr>
        <w:footnoteReference w:id="88"/>
      </w:r>
      <w:r w:rsidRPr="00815C4C">
        <w:rPr>
          <w:rFonts w:cs="Taher"/>
          <w:vertAlign w:val="superscript"/>
          <w:rtl/>
        </w:rPr>
        <w:t>)</w:t>
      </w:r>
      <w:r>
        <w:rPr>
          <w:rFonts w:hint="cs"/>
          <w:rtl/>
        </w:rPr>
        <w:t>.</w:t>
      </w:r>
    </w:p>
    <w:p w:rsidR="000E41CC" w:rsidRDefault="000E41CC" w:rsidP="004C5D4F">
      <w:pPr>
        <w:pStyle w:val="ac"/>
        <w:spacing w:line="202" w:lineRule="auto"/>
        <w:rPr>
          <w:rtl/>
        </w:rPr>
      </w:pPr>
      <w:r>
        <w:rPr>
          <w:rFonts w:hint="cs"/>
          <w:rtl/>
        </w:rPr>
        <w:t>وقد شوهدت تأثيرات واضحة في هذه المرحلة لهذه الحركة على قضايا الدفاع عن حقوق المرأة في التعليم، وتأسيس مدارس للبنات، وكذا عن حقّ المرأة في إعطاء الرأي والانتخاب</w:t>
      </w:r>
      <w:r w:rsidRPr="00815C4C">
        <w:rPr>
          <w:rFonts w:cs="Taher"/>
          <w:vertAlign w:val="superscript"/>
          <w:rtl/>
        </w:rPr>
        <w:t>(</w:t>
      </w:r>
      <w:r w:rsidRPr="00815C4C">
        <w:rPr>
          <w:rFonts w:cs="Taher"/>
          <w:vertAlign w:val="superscript"/>
          <w:rtl/>
        </w:rPr>
        <w:footnoteReference w:id="89"/>
      </w:r>
      <w:r w:rsidRPr="00815C4C">
        <w:rPr>
          <w:rFonts w:cs="Taher"/>
          <w:vertAlign w:val="superscript"/>
          <w:rtl/>
        </w:rPr>
        <w:t>)</w:t>
      </w:r>
      <w:r>
        <w:rPr>
          <w:rFonts w:hint="cs"/>
          <w:rtl/>
        </w:rPr>
        <w:t>.</w:t>
      </w:r>
    </w:p>
    <w:p w:rsidR="000E41CC" w:rsidRDefault="000E41CC" w:rsidP="004C5D4F">
      <w:pPr>
        <w:pStyle w:val="ac"/>
        <w:spacing w:line="202" w:lineRule="auto"/>
        <w:rPr>
          <w:rtl/>
        </w:rPr>
      </w:pPr>
      <w:r>
        <w:rPr>
          <w:rFonts w:hint="cs"/>
          <w:rtl/>
        </w:rPr>
        <w:t>ولا يفوتنا التذكير هنا بأنّ أشخاصاً أثاروا هذه الموضوعات قبل الحركة الدستوريّة (المشروطة) مثل:</w:t>
      </w:r>
    </w:p>
    <w:p w:rsidR="000E41CC" w:rsidRDefault="000E41CC" w:rsidP="004C5D4F">
      <w:pPr>
        <w:pStyle w:val="ac"/>
        <w:spacing w:line="202" w:lineRule="auto"/>
        <w:rPr>
          <w:rtl/>
        </w:rPr>
      </w:pPr>
      <w:r>
        <w:rPr>
          <w:rFonts w:hint="cs"/>
          <w:rtl/>
        </w:rPr>
        <w:t>1ـ قرّة العين (1814 ـ 1852م)، حيث كشفت حجابها علناً عام 1848م / 1265هـ في مؤتمرٍ عقد في رشت شاهرود</w:t>
      </w:r>
      <w:r w:rsidRPr="00815C4C">
        <w:rPr>
          <w:rFonts w:cs="Taher"/>
          <w:vertAlign w:val="superscript"/>
          <w:rtl/>
        </w:rPr>
        <w:t>(</w:t>
      </w:r>
      <w:r w:rsidRPr="00815C4C">
        <w:rPr>
          <w:rFonts w:cs="Taher"/>
          <w:vertAlign w:val="superscript"/>
          <w:rtl/>
        </w:rPr>
        <w:footnoteReference w:id="90"/>
      </w:r>
      <w:r w:rsidRPr="00815C4C">
        <w:rPr>
          <w:rFonts w:cs="Taher"/>
          <w:vertAlign w:val="superscript"/>
          <w:rtl/>
        </w:rPr>
        <w:t>)</w:t>
      </w:r>
      <w:r>
        <w:rPr>
          <w:rFonts w:hint="cs"/>
          <w:rtl/>
        </w:rPr>
        <w:t>.</w:t>
      </w:r>
    </w:p>
    <w:p w:rsidR="000E41CC" w:rsidRDefault="000E41CC" w:rsidP="004C5D4F">
      <w:pPr>
        <w:pStyle w:val="ac"/>
        <w:spacing w:line="202" w:lineRule="auto"/>
        <w:rPr>
          <w:rtl/>
        </w:rPr>
      </w:pPr>
      <w:r>
        <w:rPr>
          <w:rFonts w:hint="cs"/>
          <w:rtl/>
        </w:rPr>
        <w:t xml:space="preserve">2ـ بي بي خاتون الاسترآبادي، وقد صنّفت كتاب </w:t>
      </w:r>
      <w:r w:rsidR="004C5D4F">
        <w:rPr>
          <w:rFonts w:ascii="Mosawi" w:hAnsi="Mosawi"/>
          <w:rtl/>
        </w:rPr>
        <w:t>«</w:t>
      </w:r>
      <w:r>
        <w:rPr>
          <w:rFonts w:hint="cs"/>
          <w:rtl/>
        </w:rPr>
        <w:t>معايب الرجال</w:t>
      </w:r>
      <w:r w:rsidR="004C5D4F">
        <w:rPr>
          <w:rFonts w:ascii="Mosawi" w:hAnsi="Mosawi"/>
          <w:rtl/>
        </w:rPr>
        <w:t>»</w:t>
      </w:r>
      <w:r>
        <w:rPr>
          <w:rFonts w:hint="cs"/>
          <w:rtl/>
        </w:rPr>
        <w:t xml:space="preserve"> في نقد وردّ كتاب </w:t>
      </w:r>
      <w:r w:rsidR="004C5D4F">
        <w:rPr>
          <w:rFonts w:ascii="Mosawi" w:hAnsi="Mosawi"/>
          <w:rtl/>
        </w:rPr>
        <w:t>«</w:t>
      </w:r>
      <w:r>
        <w:rPr>
          <w:rFonts w:hint="cs"/>
          <w:rtl/>
        </w:rPr>
        <w:t>تأديب النسوان</w:t>
      </w:r>
      <w:r w:rsidR="004C5D4F">
        <w:rPr>
          <w:rFonts w:ascii="Mosawi" w:hAnsi="Mosawi"/>
          <w:rtl/>
        </w:rPr>
        <w:t>»</w:t>
      </w:r>
      <w:r>
        <w:rPr>
          <w:rFonts w:hint="cs"/>
          <w:rtl/>
        </w:rPr>
        <w:t xml:space="preserve"> لمؤلّفه المجهول، والذي كُتب عام 1304هـ أو 1309</w:t>
      </w:r>
      <w:r w:rsidRPr="00815C4C">
        <w:rPr>
          <w:rFonts w:cs="Taher"/>
          <w:vertAlign w:val="superscript"/>
          <w:rtl/>
        </w:rPr>
        <w:t>(</w:t>
      </w:r>
      <w:r w:rsidRPr="00815C4C">
        <w:rPr>
          <w:rFonts w:cs="Taher"/>
          <w:vertAlign w:val="superscript"/>
          <w:rtl/>
        </w:rPr>
        <w:footnoteReference w:id="91"/>
      </w:r>
      <w:r w:rsidRPr="00815C4C">
        <w:rPr>
          <w:rFonts w:cs="Taher"/>
          <w:vertAlign w:val="superscript"/>
          <w:rtl/>
        </w:rPr>
        <w:t>)</w:t>
      </w:r>
      <w:r>
        <w:rPr>
          <w:rFonts w:hint="cs"/>
          <w:rtl/>
        </w:rPr>
        <w:t>، وقد كانت كتبت هذا الردّ عام 1313هـ / 1895م</w:t>
      </w:r>
      <w:r w:rsidRPr="00815C4C">
        <w:rPr>
          <w:rFonts w:cs="Taher"/>
          <w:vertAlign w:val="superscript"/>
          <w:rtl/>
        </w:rPr>
        <w:t>(</w:t>
      </w:r>
      <w:r w:rsidRPr="00815C4C">
        <w:rPr>
          <w:rFonts w:cs="Taher"/>
          <w:vertAlign w:val="superscript"/>
          <w:rtl/>
        </w:rPr>
        <w:footnoteReference w:id="92"/>
      </w:r>
      <w:r w:rsidRPr="00815C4C">
        <w:rPr>
          <w:rFonts w:cs="Taher"/>
          <w:vertAlign w:val="superscript"/>
          <w:rtl/>
        </w:rPr>
        <w:t>)</w:t>
      </w:r>
      <w:r>
        <w:rPr>
          <w:rFonts w:hint="cs"/>
          <w:rtl/>
        </w:rPr>
        <w:t>.</w:t>
      </w:r>
    </w:p>
    <w:p w:rsidR="000E41CC" w:rsidRDefault="000E41CC" w:rsidP="00E06333">
      <w:pPr>
        <w:pStyle w:val="ac"/>
        <w:rPr>
          <w:rtl/>
        </w:rPr>
      </w:pPr>
      <w:r>
        <w:rPr>
          <w:rFonts w:hint="cs"/>
          <w:rtl/>
        </w:rPr>
        <w:lastRenderedPageBreak/>
        <w:t xml:space="preserve">ولبي بي خاتون تفسير نسبيّ لأفضلية الرجال على النساء؛ حيث تقول: </w:t>
      </w:r>
      <w:r>
        <w:rPr>
          <w:rFonts w:hint="cs"/>
          <w:position w:val="-2"/>
          <w:szCs w:val="29"/>
        </w:rPr>
        <w:sym w:font="Roumouz" w:char="F06D"/>
      </w:r>
      <w:r>
        <w:rPr>
          <w:rFonts w:hint="cs"/>
          <w:rtl/>
        </w:rPr>
        <w:t xml:space="preserve">رغم أن الرجال أفضل وأعلى من النساء بمرتبةٍ، كما اقتضته الأدلّة والبرهان والآيات القرآنية، قال تبارك وتعالى: </w:t>
      </w:r>
      <w:r w:rsidR="00E06333">
        <w:rPr>
          <w:rFonts w:ascii="Mosawi" w:hAnsi="Mosawi"/>
          <w:rtl/>
        </w:rPr>
        <w:t>﴿</w:t>
      </w:r>
      <w:r w:rsidRPr="000E41CC">
        <w:rPr>
          <w:b/>
          <w:bCs/>
          <w:rtl/>
        </w:rPr>
        <w:t>الرِّجَالُ قَوَّامُونَ عَلَى النِّسَاء</w:t>
      </w:r>
      <w:r w:rsidRPr="000E41CC">
        <w:rPr>
          <w:rFonts w:hint="cs"/>
          <w:b/>
          <w:bCs/>
          <w:rtl/>
        </w:rPr>
        <w:t>...</w:t>
      </w:r>
      <w:r w:rsidR="00E06333">
        <w:rPr>
          <w:rFonts w:ascii="Mosawi" w:hAnsi="Mosawi"/>
          <w:rtl/>
        </w:rPr>
        <w:t>﴾</w:t>
      </w:r>
      <w:r>
        <w:rPr>
          <w:rFonts w:hint="cs"/>
          <w:rtl/>
        </w:rPr>
        <w:t>، لكن ليس كلّ رجلٍ أفضل وأكمل من كلّ امرأة، ولا كلّ امرأةٍ أدون من كلّ رجل، فمريم، والزهراء÷، وآسية، وخديجة الكبرى كنّ من النساء، فيما كان فرعون، وهامان، والشمس، وسنان من الرجال، فتمام أمور الدنيا دنيّة بالنسبة</w:t>
      </w:r>
      <w:r w:rsidRPr="00C27F1A">
        <w:rPr>
          <w:rFonts w:hint="cs"/>
          <w:position w:val="-2"/>
          <w:szCs w:val="29"/>
        </w:rPr>
        <w:sym w:font="Roumouz" w:char="F06E"/>
      </w:r>
      <w:r w:rsidRPr="00815C4C">
        <w:rPr>
          <w:rFonts w:cs="Taher"/>
          <w:vertAlign w:val="superscript"/>
          <w:rtl/>
        </w:rPr>
        <w:t>(</w:t>
      </w:r>
      <w:r w:rsidRPr="00815C4C">
        <w:rPr>
          <w:rFonts w:cs="Taher"/>
          <w:vertAlign w:val="superscript"/>
          <w:rtl/>
        </w:rPr>
        <w:footnoteReference w:id="93"/>
      </w:r>
      <w:r w:rsidRPr="00815C4C">
        <w:rPr>
          <w:rFonts w:cs="Taher"/>
          <w:vertAlign w:val="superscript"/>
          <w:rtl/>
        </w:rPr>
        <w:t>)</w:t>
      </w:r>
      <w:r>
        <w:rPr>
          <w:rFonts w:hint="cs"/>
          <w:rtl/>
        </w:rPr>
        <w:t>.</w:t>
      </w:r>
    </w:p>
    <w:p w:rsidR="000E41CC" w:rsidRDefault="000E41CC" w:rsidP="000E41CC">
      <w:pPr>
        <w:pStyle w:val="ac"/>
        <w:rPr>
          <w:rtl/>
        </w:rPr>
      </w:pPr>
      <w:r>
        <w:rPr>
          <w:rFonts w:hint="cs"/>
          <w:rtl/>
        </w:rPr>
        <w:t xml:space="preserve">وتتحدّث عن مكر النساء في موضعٍ آخر فتقول: </w:t>
      </w:r>
      <w:r w:rsidRPr="002B759E">
        <w:rPr>
          <w:rFonts w:hint="cs"/>
        </w:rPr>
        <w:sym w:font="Islamic Units 1" w:char="F06D"/>
      </w:r>
      <w:r>
        <w:rPr>
          <w:rFonts w:hint="cs"/>
          <w:rtl/>
        </w:rPr>
        <w:t xml:space="preserve">رغم أن الرجال ـ كما تشهد بذلك الآية القرآنية التي يقولها الله تعالى: </w:t>
      </w:r>
      <w:r w:rsidRPr="00AA2A63">
        <w:rPr>
          <w:rFonts w:hint="cs"/>
          <w:rtl/>
        </w:rPr>
        <w:sym w:font="Islamic Units 1" w:char="F03E"/>
      </w:r>
      <w:r w:rsidRPr="000E41CC">
        <w:rPr>
          <w:b/>
          <w:bCs/>
          <w:rtl/>
        </w:rPr>
        <w:t>إِنَّ كَيْدَكُنَّ عَظِيمٌ</w:t>
      </w:r>
      <w:r w:rsidRPr="00AA2A63">
        <w:rPr>
          <w:rFonts w:hint="cs"/>
          <w:rtl/>
        </w:rPr>
        <w:sym w:font="Islamic Units 1" w:char="F03C"/>
      </w:r>
      <w:r>
        <w:rPr>
          <w:rFonts w:hint="cs"/>
          <w:rtl/>
        </w:rPr>
        <w:t xml:space="preserve"> (يوسف: 28) ـ يعتبرون النساء مصدر المكر ومنبعه، إلاّ أنه يُعلم بالدليل والبرهان أنّ مكرهنّ من الرجال أنفسهم، فإذا ما عرفوا مكراً فإنما تعلّموه من الرجال.. وقد تحدّث الله سبحانه في القرآن عن مكر الرجال فقال: </w:t>
      </w:r>
      <w:r w:rsidRPr="00AA2A63">
        <w:rPr>
          <w:rFonts w:hint="cs"/>
          <w:rtl/>
        </w:rPr>
        <w:sym w:font="Islamic Units 1" w:char="F03E"/>
      </w:r>
      <w:r w:rsidRPr="000E41CC">
        <w:rPr>
          <w:b/>
          <w:bCs/>
          <w:rtl/>
        </w:rPr>
        <w:t>وَإِن كَانَ مَكْرُهُمْ لِتَزُولَ مِنْهُ الْجِبَالُ</w:t>
      </w:r>
      <w:r w:rsidRPr="00AA2A63">
        <w:rPr>
          <w:rFonts w:hint="cs"/>
          <w:rtl/>
        </w:rPr>
        <w:sym w:font="Islamic Units 1" w:char="F03C"/>
      </w:r>
      <w:r>
        <w:rPr>
          <w:rFonts w:hint="cs"/>
          <w:rtl/>
        </w:rPr>
        <w:t xml:space="preserve"> (إبراهيم: 46</w:t>
      </w:r>
      <w:r>
        <w:rPr>
          <w:rFonts w:hint="cs"/>
          <w:position w:val="-2"/>
          <w:szCs w:val="29"/>
          <w:rtl/>
        </w:rPr>
        <w:t>)</w:t>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94"/>
      </w:r>
      <w:r w:rsidRPr="00815C4C">
        <w:rPr>
          <w:rFonts w:cs="Taher"/>
          <w:vertAlign w:val="superscript"/>
          <w:rtl/>
        </w:rPr>
        <w:t>)</w:t>
      </w:r>
      <w:r>
        <w:rPr>
          <w:rFonts w:hint="cs"/>
          <w:rtl/>
        </w:rPr>
        <w:t>.</w:t>
      </w:r>
    </w:p>
    <w:p w:rsidR="000E41CC" w:rsidRDefault="000E41CC" w:rsidP="004C5D4F">
      <w:pPr>
        <w:pStyle w:val="ac"/>
        <w:spacing w:line="202" w:lineRule="auto"/>
        <w:rPr>
          <w:rtl/>
        </w:rPr>
      </w:pPr>
      <w:r>
        <w:rPr>
          <w:rFonts w:hint="cs"/>
          <w:rtl/>
        </w:rPr>
        <w:t xml:space="preserve">3 ـ هذا، وقد انتقد الميرزا فتح علي آخوند زاده (1877 ـ 1812م)، الكاتب المسرحي الآذربايجاني، تعدّد الزوجات ورفضه، متطرّقاً إلى مسألة ضرورة تعلّم المرأة، وفي مسرحية </w:t>
      </w:r>
      <w:r w:rsidRPr="002B759E">
        <w:rPr>
          <w:rFonts w:hint="cs"/>
        </w:rPr>
        <w:sym w:font="Islamic Units 1" w:char="F06D"/>
      </w:r>
      <w:r>
        <w:rPr>
          <w:rFonts w:hint="cs"/>
          <w:rtl/>
        </w:rPr>
        <w:t>وزير خان لنكران</w:t>
      </w:r>
      <w:r w:rsidRPr="002B759E">
        <w:rPr>
          <w:rFonts w:hint="cs"/>
          <w:rtl/>
        </w:rPr>
        <w:sym w:font="Islamic Units 1" w:char="F06E"/>
      </w:r>
      <w:r>
        <w:rPr>
          <w:rFonts w:hint="cs"/>
          <w:rtl/>
        </w:rPr>
        <w:t>، انتقد تعدّد الزيجات، وحياة المرأة في ظلّه، وقد طرح محامو الدفاع في هذه المسرحية موضوع دفاع النساء ومحاربتهنّ لإحقاق حقوقهنّ.</w:t>
      </w:r>
    </w:p>
    <w:p w:rsidR="000E41CC" w:rsidRDefault="000E41CC" w:rsidP="00E06333">
      <w:pPr>
        <w:pStyle w:val="ac"/>
        <w:rPr>
          <w:rtl/>
        </w:rPr>
      </w:pPr>
      <w:r>
        <w:rPr>
          <w:rFonts w:hint="cs"/>
          <w:rtl/>
        </w:rPr>
        <w:t xml:space="preserve">كما تحدّث نفسه في كتاب </w:t>
      </w:r>
      <w:r w:rsidRPr="002B759E">
        <w:rPr>
          <w:rFonts w:hint="cs"/>
        </w:rPr>
        <w:sym w:font="Islamic Units 1" w:char="F06D"/>
      </w:r>
      <w:r>
        <w:rPr>
          <w:rFonts w:hint="cs"/>
          <w:rtl/>
        </w:rPr>
        <w:t>اثر لري وملحقات كمال الدولة</w:t>
      </w:r>
      <w:r w:rsidRPr="002B759E">
        <w:rPr>
          <w:rFonts w:hint="cs"/>
          <w:rtl/>
        </w:rPr>
        <w:sym w:font="Islamic Units 1" w:char="F06E"/>
      </w:r>
      <w:r>
        <w:rPr>
          <w:rFonts w:hint="cs"/>
          <w:rtl/>
        </w:rPr>
        <w:t xml:space="preserve"> عن الحقوق المتساوية للرجل والمرأة، وعن تعلّم المرأة، وعن الحقوق الاجتماعية للنساء</w:t>
      </w:r>
      <w:r w:rsidRPr="00815C4C">
        <w:rPr>
          <w:rFonts w:cs="Taher"/>
          <w:vertAlign w:val="superscript"/>
          <w:rtl/>
        </w:rPr>
        <w:t>(</w:t>
      </w:r>
      <w:r w:rsidRPr="00815C4C">
        <w:rPr>
          <w:rFonts w:cs="Taher"/>
          <w:vertAlign w:val="superscript"/>
          <w:rtl/>
        </w:rPr>
        <w:footnoteReference w:id="95"/>
      </w:r>
      <w:r w:rsidRPr="00815C4C">
        <w:rPr>
          <w:rFonts w:cs="Taher"/>
          <w:vertAlign w:val="superscript"/>
          <w:rtl/>
        </w:rPr>
        <w:t>)</w:t>
      </w:r>
      <w:r>
        <w:rPr>
          <w:rFonts w:hint="cs"/>
          <w:rtl/>
        </w:rPr>
        <w:t>.</w:t>
      </w:r>
    </w:p>
    <w:p w:rsidR="000E41CC" w:rsidRDefault="000E41CC" w:rsidP="00E06333">
      <w:pPr>
        <w:pStyle w:val="ac"/>
        <w:rPr>
          <w:rtl/>
        </w:rPr>
      </w:pPr>
      <w:r>
        <w:rPr>
          <w:rFonts w:hint="cs"/>
          <w:rtl/>
        </w:rPr>
        <w:t xml:space="preserve">4 ـ الميرزا آغا خان الكرماني (1854 أو 1852 ـ 1894م)، وقد طالب بإصلاح بعض العادات والتقاليد الاجتماعية التي تحصر المرأة وتحدّ من حركتها وانطلاقتها؛ فقد </w:t>
      </w:r>
      <w:r>
        <w:rPr>
          <w:rFonts w:hint="cs"/>
          <w:rtl/>
        </w:rPr>
        <w:lastRenderedPageBreak/>
        <w:t xml:space="preserve">كتب في بعض </w:t>
      </w:r>
      <w:r w:rsidRPr="00576E5B">
        <w:rPr>
          <w:rFonts w:hint="cs"/>
          <w:rtl/>
        </w:rPr>
        <w:t>مصنّفاته</w:t>
      </w:r>
      <w:r>
        <w:rPr>
          <w:rFonts w:hint="cs"/>
          <w:rtl/>
        </w:rPr>
        <w:t xml:space="preserve"> يقول: </w:t>
      </w:r>
      <w:r w:rsidRPr="002B759E">
        <w:rPr>
          <w:rFonts w:hint="cs"/>
        </w:rPr>
        <w:sym w:font="Islamic Units 1" w:char="F06D"/>
      </w:r>
      <w:r>
        <w:rPr>
          <w:rFonts w:hint="cs"/>
          <w:rtl/>
        </w:rPr>
        <w:t>إنّ الحجاب، وتواري المرأة، وعدم اختلاطها بالرجال، وإسقاطها عن حقوق البشريّة حتى أنهنّ لا يحسبن في عداد البشر.. ذلك كلّه أوجب ألف نوعٍ وشكل من أشكال الفساد في عالم الإنسانية.. إن عالم الإنسانية لن يبلغ كماله إلاّ إذا تساوى النساء مع الرجال في الأمور والحقوق جميعها واشتركوا فيها</w:t>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96"/>
      </w:r>
      <w:r w:rsidRPr="00815C4C">
        <w:rPr>
          <w:rFonts w:cs="Taher"/>
          <w:vertAlign w:val="superscript"/>
          <w:rtl/>
        </w:rPr>
        <w:t>)</w:t>
      </w:r>
      <w:r>
        <w:rPr>
          <w:rFonts w:hint="cs"/>
          <w:rtl/>
        </w:rPr>
        <w:t>.</w:t>
      </w:r>
    </w:p>
    <w:p w:rsidR="000E41CC" w:rsidRDefault="000E41CC" w:rsidP="004C5D4F">
      <w:pPr>
        <w:pStyle w:val="ac"/>
        <w:spacing w:line="199" w:lineRule="auto"/>
        <w:rPr>
          <w:rtl/>
        </w:rPr>
      </w:pPr>
      <w:r>
        <w:rPr>
          <w:rFonts w:hint="cs"/>
          <w:rtl/>
        </w:rPr>
        <w:t xml:space="preserve">5 ـ اعتصام الملك الآشتياني (1316هـ . ش / 1937م)، رئيس تحرير مجلّة </w:t>
      </w:r>
      <w:r w:rsidRPr="002B759E">
        <w:rPr>
          <w:rFonts w:hint="cs"/>
        </w:rPr>
        <w:sym w:font="Islamic Units 1" w:char="F06D"/>
      </w:r>
      <w:r>
        <w:rPr>
          <w:rFonts w:hint="cs"/>
          <w:rtl/>
        </w:rPr>
        <w:t>بهار</w:t>
      </w:r>
      <w:r w:rsidRPr="002B759E">
        <w:rPr>
          <w:rFonts w:hint="cs"/>
          <w:rtl/>
        </w:rPr>
        <w:sym w:font="Islamic Units 1" w:char="F06E"/>
      </w:r>
      <w:r>
        <w:rPr>
          <w:rFonts w:hint="cs"/>
          <w:rtl/>
        </w:rPr>
        <w:t xml:space="preserve"> في تبريز، وهو والد بروين اعتصامي</w:t>
      </w:r>
      <w:r w:rsidRPr="00815C4C">
        <w:rPr>
          <w:rFonts w:cs="Taher"/>
          <w:vertAlign w:val="superscript"/>
          <w:rtl/>
        </w:rPr>
        <w:t>(</w:t>
      </w:r>
      <w:r w:rsidRPr="00815C4C">
        <w:rPr>
          <w:rFonts w:cs="Taher"/>
          <w:vertAlign w:val="superscript"/>
          <w:rtl/>
        </w:rPr>
        <w:footnoteReference w:id="97"/>
      </w:r>
      <w:r w:rsidRPr="00815C4C">
        <w:rPr>
          <w:rFonts w:cs="Taher"/>
          <w:vertAlign w:val="superscript"/>
          <w:rtl/>
        </w:rPr>
        <w:t>)</w:t>
      </w:r>
      <w:r>
        <w:rPr>
          <w:rFonts w:hint="cs"/>
          <w:rtl/>
        </w:rPr>
        <w:t xml:space="preserve">، فقد عرّف اعتصام الملك الإيرانيين على النتاجات البارزة للكتّاب الأوروبيين والعرب، وكان كتاب </w:t>
      </w:r>
      <w:r w:rsidRPr="002B759E">
        <w:rPr>
          <w:rFonts w:hint="cs"/>
        </w:rPr>
        <w:sym w:font="Islamic Units 1" w:char="F06D"/>
      </w:r>
      <w:r>
        <w:rPr>
          <w:rFonts w:hint="cs"/>
          <w:rtl/>
        </w:rPr>
        <w:t>تحرير المرأة</w:t>
      </w:r>
      <w:r w:rsidRPr="002B759E">
        <w:rPr>
          <w:rFonts w:hint="cs"/>
          <w:rtl/>
        </w:rPr>
        <w:sym w:font="Islamic Units 1" w:char="F06E"/>
      </w:r>
      <w:r>
        <w:rPr>
          <w:rFonts w:hint="cs"/>
          <w:rtl/>
        </w:rPr>
        <w:t xml:space="preserve"> لقاسم أمين المصري واحداً من هذه النتاجات، فقد نشر هذا الكتاب مترجَماً إلى الفارسية تحت عنوان </w:t>
      </w:r>
      <w:r w:rsidRPr="002B759E">
        <w:rPr>
          <w:rFonts w:hint="cs"/>
        </w:rPr>
        <w:sym w:font="Islamic Units 1" w:char="F06D"/>
      </w:r>
      <w:r>
        <w:rPr>
          <w:rFonts w:hint="cs"/>
          <w:rtl/>
        </w:rPr>
        <w:t>تربيت نسوان</w:t>
      </w:r>
      <w:r w:rsidRPr="002B759E">
        <w:rPr>
          <w:rFonts w:hint="cs"/>
          <w:rtl/>
        </w:rPr>
        <w:sym w:font="Islamic Units 1" w:char="F06E"/>
      </w:r>
      <w:r>
        <w:rPr>
          <w:rFonts w:hint="cs"/>
          <w:rtl/>
        </w:rPr>
        <w:t xml:space="preserve"> عام 1318هـ / 1900م</w:t>
      </w:r>
      <w:r w:rsidRPr="00815C4C">
        <w:rPr>
          <w:rFonts w:cs="Taher"/>
          <w:vertAlign w:val="superscript"/>
          <w:rtl/>
        </w:rPr>
        <w:t>(</w:t>
      </w:r>
      <w:r w:rsidRPr="00815C4C">
        <w:rPr>
          <w:rFonts w:cs="Taher"/>
          <w:vertAlign w:val="superscript"/>
          <w:rtl/>
        </w:rPr>
        <w:footnoteReference w:id="98"/>
      </w:r>
      <w:r w:rsidRPr="00815C4C">
        <w:rPr>
          <w:rFonts w:cs="Taher"/>
          <w:vertAlign w:val="superscript"/>
          <w:rtl/>
        </w:rPr>
        <w:t>)</w:t>
      </w:r>
      <w:r>
        <w:rPr>
          <w:rFonts w:hint="cs"/>
          <w:rtl/>
        </w:rPr>
        <w:t>.</w:t>
      </w:r>
    </w:p>
    <w:p w:rsidR="000E41CC" w:rsidRDefault="000E41CC" w:rsidP="004C5D4F">
      <w:pPr>
        <w:pStyle w:val="ac"/>
        <w:spacing w:line="199" w:lineRule="auto"/>
        <w:rPr>
          <w:rtl/>
        </w:rPr>
      </w:pPr>
      <w:r>
        <w:rPr>
          <w:rFonts w:hint="cs"/>
          <w:rtl/>
        </w:rPr>
        <w:t xml:space="preserve">وهناك أشخاصٌ آخرون ـ عدا من ذكرناهم ـ دافعوا في هذه الفترة عن حقوق المرأة وحريّتها، وسعوا جاهدين لتحقيق حضورٍ اجتماعيّ لها أيضاً، كان من بينهم: الشيخ </w:t>
      </w:r>
      <w:r w:rsidRPr="004C5D4F">
        <w:rPr>
          <w:rFonts w:hint="cs"/>
          <w:sz w:val="29"/>
          <w:szCs w:val="29"/>
          <w:rtl/>
        </w:rPr>
        <w:t>أحمد الروحي (1314هـ)، وملك المتكلّمين (1277</w:t>
      </w:r>
      <w:r w:rsidR="004C5D4F" w:rsidRPr="004C5D4F">
        <w:rPr>
          <w:rFonts w:hint="cs"/>
          <w:sz w:val="29"/>
          <w:szCs w:val="29"/>
          <w:rtl/>
        </w:rPr>
        <w:t xml:space="preserve"> </w:t>
      </w:r>
      <w:r w:rsidRPr="004C5D4F">
        <w:rPr>
          <w:rFonts w:hint="cs"/>
          <w:sz w:val="29"/>
          <w:szCs w:val="29"/>
          <w:rtl/>
        </w:rPr>
        <w:t>ـ 1326هـ)، والميرزا</w:t>
      </w:r>
      <w:r w:rsidR="004C5D4F">
        <w:rPr>
          <w:rFonts w:hint="cs"/>
          <w:rtl/>
        </w:rPr>
        <w:t xml:space="preserve"> </w:t>
      </w:r>
      <w:r>
        <w:rPr>
          <w:rFonts w:hint="cs"/>
          <w:rtl/>
        </w:rPr>
        <w:t xml:space="preserve">جهانكيرخان الشيرازي، رئيس تحرير </w:t>
      </w:r>
      <w:r w:rsidRPr="002B759E">
        <w:rPr>
          <w:rFonts w:hint="cs"/>
        </w:rPr>
        <w:sym w:font="Islamic Units 1" w:char="F06D"/>
      </w:r>
      <w:r>
        <w:rPr>
          <w:rFonts w:hint="cs"/>
          <w:rtl/>
        </w:rPr>
        <w:t>صور إسرافيل</w:t>
      </w:r>
      <w:r w:rsidRPr="002B759E">
        <w:rPr>
          <w:rFonts w:hint="cs"/>
          <w:rtl/>
        </w:rPr>
        <w:sym w:font="Islamic Units 1" w:char="F06E"/>
      </w:r>
      <w:r>
        <w:rPr>
          <w:rFonts w:hint="cs"/>
          <w:rtl/>
        </w:rPr>
        <w:t xml:space="preserve"> و..</w:t>
      </w:r>
    </w:p>
    <w:p w:rsidR="000E41CC" w:rsidRDefault="000E41CC" w:rsidP="004C5D4F">
      <w:pPr>
        <w:pStyle w:val="ac"/>
        <w:spacing w:line="199" w:lineRule="auto"/>
        <w:rPr>
          <w:rtl/>
        </w:rPr>
      </w:pPr>
      <w:r w:rsidRPr="00444518">
        <w:rPr>
          <w:rFonts w:hint="cs"/>
          <w:rtl/>
        </w:rPr>
        <w:t>لكن مع ذلك كلّه، يمكننا القول: إن طرح مسألة المرأة على بساط التداول الجادّ أمرٌ يعود إلى فترة الحركة الدستورية (</w:t>
      </w:r>
      <w:r w:rsidRPr="000E41CC">
        <w:rPr>
          <w:rFonts w:hint="cs"/>
          <w:rtl/>
        </w:rPr>
        <w:t>المشروطة)، وأبرز مظاهر هذا الطرح وتداعياته كان مشتمَلاً في أزمته الحقيقية في مواجهة المعتقدات الدينية</w:t>
      </w:r>
      <w:r w:rsidRPr="00444518">
        <w:rPr>
          <w:rFonts w:hint="cs"/>
          <w:rtl/>
        </w:rPr>
        <w:t xml:space="preserve"> والتصوّرات التقليدية والمفاهيم التراثية.</w:t>
      </w:r>
    </w:p>
    <w:p w:rsidR="000E41CC" w:rsidRPr="00D457EB" w:rsidRDefault="000E41CC" w:rsidP="000E41CC">
      <w:pPr>
        <w:pStyle w:val="1"/>
        <w:rPr>
          <w:rtl/>
        </w:rPr>
      </w:pPr>
      <w:bookmarkStart w:id="130" w:name="_Toc169521386"/>
      <w:bookmarkStart w:id="131" w:name="_Toc275127916"/>
      <w:r w:rsidRPr="00D457EB">
        <w:rPr>
          <w:rFonts w:hint="cs"/>
          <w:rtl/>
        </w:rPr>
        <w:lastRenderedPageBreak/>
        <w:t>نطاق هذه الدراسة</w:t>
      </w:r>
      <w:bookmarkEnd w:id="130"/>
      <w:bookmarkEnd w:id="131"/>
    </w:p>
    <w:p w:rsidR="000E41CC" w:rsidRDefault="000E41CC" w:rsidP="004C5D4F">
      <w:pPr>
        <w:pStyle w:val="ac"/>
        <w:spacing w:line="199" w:lineRule="auto"/>
        <w:rPr>
          <w:rtl/>
        </w:rPr>
      </w:pPr>
      <w:r w:rsidRPr="00444518">
        <w:rPr>
          <w:rFonts w:hint="cs"/>
          <w:b/>
          <w:bCs/>
          <w:rtl/>
        </w:rPr>
        <w:t>ثانياً:</w:t>
      </w:r>
      <w:r>
        <w:rPr>
          <w:rFonts w:hint="cs"/>
          <w:rtl/>
        </w:rPr>
        <w:t xml:space="preserve"> إن موضوع بحثنا هنا يتركّز حول المواقف التي اتخذتها التيارات والمدارس الدينية والمذهبية من موضوعة المرأة خلال المائة عام الماضية، وقد سعينا لتقديم مسردٍ وتقرير واضح عن آراء، ومصادر، ومناهج، وآليات تفكير الدينيين والإسلاميين في قضية المرأة وحقوقها في القرن العشرين، ومن البديهيّ أن تكون التحوّلات التي تبلورت وسط هذه الأطياف الاجتماعية الواسعة من مستلزمات بحثنا وما يستدعيه.</w:t>
      </w:r>
    </w:p>
    <w:p w:rsidR="000E41CC" w:rsidRDefault="000E41CC" w:rsidP="004C5D4F">
      <w:pPr>
        <w:pStyle w:val="ac"/>
        <w:rPr>
          <w:rtl/>
        </w:rPr>
      </w:pPr>
      <w:r>
        <w:rPr>
          <w:rFonts w:hint="cs"/>
          <w:rtl/>
        </w:rPr>
        <w:t xml:space="preserve">إننا نسعى هنا لعرضٍ توصيفي محايد بعيد عن التقويم وإبداء الرأي في موضوعٍ هام، هو موضوع المرأة، ولكي نحافظ على حياديّتنا هذه أطلقنا على هذه المقالة اسم </w:t>
      </w:r>
      <w:r w:rsidR="004C5D4F">
        <w:rPr>
          <w:rFonts w:ascii="Mosawi" w:hAnsi="Mosawi"/>
          <w:rtl/>
        </w:rPr>
        <w:t>«</w:t>
      </w:r>
      <w:r>
        <w:rPr>
          <w:rFonts w:hint="cs"/>
          <w:rtl/>
        </w:rPr>
        <w:t>الاتجاهات الدينية في تاريخ إيران المعاصر، المواقف من مسألة المرأة</w:t>
      </w:r>
      <w:r w:rsidR="00E06333" w:rsidRPr="00617008">
        <w:rPr>
          <w:rtl/>
        </w:rPr>
        <w:t>»</w:t>
      </w:r>
      <w:r>
        <w:rPr>
          <w:rFonts w:hint="cs"/>
          <w:rtl/>
        </w:rPr>
        <w:t>، وقد تعمّدنا اختيار هذا العنوان؛ نظراً لما قد تحمله عناوين أخرى من دلالات خاصّة قد تحرفنا عن مسارنا الحيادي.</w:t>
      </w:r>
    </w:p>
    <w:p w:rsidR="00E06333" w:rsidRPr="004C5D4F" w:rsidRDefault="00E06333" w:rsidP="004C5D4F">
      <w:pPr>
        <w:pStyle w:val="afffffc"/>
        <w:rPr>
          <w:sz w:val="18"/>
          <w:szCs w:val="16"/>
          <w:rtl/>
        </w:rPr>
      </w:pPr>
    </w:p>
    <w:p w:rsidR="000E41CC" w:rsidRPr="00D457EB" w:rsidRDefault="000E41CC" w:rsidP="000E41CC">
      <w:pPr>
        <w:pStyle w:val="1"/>
        <w:rPr>
          <w:rtl/>
        </w:rPr>
      </w:pPr>
      <w:bookmarkStart w:id="132" w:name="_Toc169521387"/>
      <w:bookmarkStart w:id="133" w:name="_Toc275127917"/>
      <w:r w:rsidRPr="00444518">
        <w:rPr>
          <w:rFonts w:hint="cs"/>
          <w:sz w:val="32"/>
          <w:rtl/>
        </w:rPr>
        <w:t>دراسة تطوّر</w:t>
      </w:r>
      <w:r w:rsidRPr="00D457EB">
        <w:rPr>
          <w:rFonts w:hint="cs"/>
          <w:rtl/>
        </w:rPr>
        <w:t xml:space="preserve"> مسألة المرأة في القرن العشرين</w:t>
      </w:r>
      <w:r w:rsidRPr="003A6D60">
        <w:rPr>
          <w:rFonts w:cs="Simplified Arabic" w:hint="cs"/>
          <w:rtl/>
        </w:rPr>
        <w:t>،</w:t>
      </w:r>
      <w:r w:rsidRPr="00D457EB">
        <w:rPr>
          <w:rFonts w:hint="cs"/>
          <w:rtl/>
        </w:rPr>
        <w:t xml:space="preserve"> مساهمات ومنجزات</w:t>
      </w:r>
      <w:bookmarkEnd w:id="132"/>
      <w:bookmarkEnd w:id="133"/>
    </w:p>
    <w:p w:rsidR="000E41CC" w:rsidRDefault="000E41CC" w:rsidP="004C5D4F">
      <w:pPr>
        <w:pStyle w:val="ac"/>
        <w:spacing w:line="202" w:lineRule="auto"/>
        <w:rPr>
          <w:rtl/>
        </w:rPr>
      </w:pPr>
      <w:r w:rsidRPr="00444518">
        <w:rPr>
          <w:rFonts w:hint="cs"/>
          <w:b/>
          <w:bCs/>
          <w:rtl/>
        </w:rPr>
        <w:t>ثالثاً:</w:t>
      </w:r>
      <w:r>
        <w:rPr>
          <w:rFonts w:hint="cs"/>
          <w:rtl/>
        </w:rPr>
        <w:t xml:space="preserve"> إنّ الكتابات التي سبقت دراستي هذه، وتوفّرت لي معرفتها، وتتعرّض للموضوع نفسه فيما يخصّ الاتجاهات المختلفة في مسألة المرأة في تاريخ إيران، ليست سوى دراستين فقط هما:</w:t>
      </w:r>
    </w:p>
    <w:p w:rsidR="000E41CC" w:rsidRDefault="000E41CC" w:rsidP="004C5D4F">
      <w:pPr>
        <w:pStyle w:val="ac"/>
        <w:spacing w:line="202" w:lineRule="auto"/>
        <w:rPr>
          <w:rtl/>
        </w:rPr>
      </w:pPr>
      <w:r w:rsidRPr="00E06333">
        <w:rPr>
          <w:rFonts w:hint="cs"/>
          <w:b/>
          <w:bCs/>
          <w:rtl/>
        </w:rPr>
        <w:t>الدراسة الأولى:</w:t>
      </w:r>
      <w:r>
        <w:rPr>
          <w:rFonts w:hint="cs"/>
          <w:rtl/>
        </w:rPr>
        <w:t xml:space="preserve"> كتاب </w:t>
      </w:r>
      <w:r w:rsidRPr="002B759E">
        <w:rPr>
          <w:rFonts w:hint="cs"/>
        </w:rPr>
        <w:sym w:font="Islamic Units 1" w:char="F06D"/>
      </w:r>
      <w:r>
        <w:rPr>
          <w:rFonts w:hint="cs"/>
          <w:rtl/>
        </w:rPr>
        <w:t>الدفاع عن حقوق النساء، قراءة في الظاهرة والحدث</w:t>
      </w:r>
      <w:r w:rsidRPr="002B759E">
        <w:rPr>
          <w:rFonts w:hint="cs"/>
          <w:rtl/>
        </w:rPr>
        <w:sym w:font="Islamic Units 1" w:char="F06E"/>
      </w:r>
      <w:r>
        <w:rPr>
          <w:rFonts w:hint="cs"/>
          <w:rtl/>
        </w:rPr>
        <w:t>، لمؤلفه: إبراهيم شفيعي السروستاني</w:t>
      </w:r>
      <w:r w:rsidRPr="00815C4C">
        <w:rPr>
          <w:rFonts w:cs="Taher"/>
          <w:vertAlign w:val="superscript"/>
          <w:rtl/>
        </w:rPr>
        <w:t>(</w:t>
      </w:r>
      <w:r w:rsidRPr="00815C4C">
        <w:rPr>
          <w:rFonts w:cs="Taher"/>
          <w:vertAlign w:val="superscript"/>
          <w:rtl/>
        </w:rPr>
        <w:footnoteReference w:id="99"/>
      </w:r>
      <w:r w:rsidRPr="00815C4C">
        <w:rPr>
          <w:rFonts w:cs="Taher"/>
          <w:vertAlign w:val="superscript"/>
          <w:rtl/>
        </w:rPr>
        <w:t>)</w:t>
      </w:r>
      <w:r>
        <w:rPr>
          <w:rFonts w:hint="cs"/>
          <w:rtl/>
        </w:rPr>
        <w:t>.</w:t>
      </w:r>
    </w:p>
    <w:p w:rsidR="000E41CC" w:rsidRDefault="000E41CC" w:rsidP="004C5D4F">
      <w:pPr>
        <w:pStyle w:val="ac"/>
        <w:spacing w:line="202" w:lineRule="auto"/>
        <w:rPr>
          <w:rtl/>
        </w:rPr>
      </w:pPr>
      <w:r>
        <w:rPr>
          <w:rFonts w:hint="cs"/>
          <w:rtl/>
        </w:rPr>
        <w:t>وقد تركّزت معالجة عنوان هذه الدراسة في الفصل الثاني منها، وتحدّثت عن تيارات ثلاثة هي:</w:t>
      </w:r>
    </w:p>
    <w:p w:rsidR="000E41CC" w:rsidRPr="00935CC0" w:rsidRDefault="000E41CC" w:rsidP="004C5D4F">
      <w:pPr>
        <w:pStyle w:val="ac"/>
        <w:spacing w:line="202" w:lineRule="auto"/>
        <w:rPr>
          <w:b/>
          <w:bCs/>
          <w:rtl/>
        </w:rPr>
      </w:pPr>
      <w:r w:rsidRPr="00935CC0">
        <w:rPr>
          <w:rFonts w:hint="cs"/>
          <w:b/>
          <w:bCs/>
          <w:rtl/>
        </w:rPr>
        <w:t>أ ـ التيار السياسي في الدفاع عن حقوق النساء.</w:t>
      </w:r>
    </w:p>
    <w:p w:rsidR="000E41CC" w:rsidRDefault="000E41CC" w:rsidP="004C5D4F">
      <w:pPr>
        <w:pStyle w:val="ac"/>
        <w:rPr>
          <w:rtl/>
        </w:rPr>
      </w:pPr>
      <w:r>
        <w:rPr>
          <w:rFonts w:hint="cs"/>
          <w:rtl/>
        </w:rPr>
        <w:t xml:space="preserve">ويرى المؤلف أنه اتسم بـ : 1ـ مضادّة الإسلام والقيم الإسلامية. 2ـ مخالفة النظام </w:t>
      </w:r>
      <w:r>
        <w:rPr>
          <w:rFonts w:hint="cs"/>
          <w:rtl/>
        </w:rPr>
        <w:lastRenderedPageBreak/>
        <w:t>الإسلامي. 3ـ عدم الاعتناء بالقيم الأخلاقية. 4ـ إضعاف مؤسّسة العائلة.</w:t>
      </w:r>
    </w:p>
    <w:p w:rsidR="000E41CC" w:rsidRPr="00E06333" w:rsidRDefault="000E41CC" w:rsidP="00E06333">
      <w:pPr>
        <w:pStyle w:val="ac"/>
        <w:rPr>
          <w:b/>
          <w:bCs/>
          <w:rtl/>
        </w:rPr>
      </w:pPr>
      <w:r w:rsidRPr="00E06333">
        <w:rPr>
          <w:rFonts w:hint="cs"/>
          <w:b/>
          <w:bCs/>
          <w:rtl/>
        </w:rPr>
        <w:t>ب ـ التيار العلماني اللاديني المدافع عن حقوق النساء.</w:t>
      </w:r>
    </w:p>
    <w:p w:rsidR="000E41CC" w:rsidRDefault="000E41CC" w:rsidP="004C5D4F">
      <w:pPr>
        <w:pStyle w:val="ac"/>
        <w:rPr>
          <w:rtl/>
        </w:rPr>
      </w:pPr>
      <w:r>
        <w:rPr>
          <w:rFonts w:hint="cs"/>
          <w:rtl/>
        </w:rPr>
        <w:t>وقد وصف هذا التيار في هذه الدراسة بما يلي: 1ـ الاستفادة الأداتيّة من الدين. 2ـ</w:t>
      </w:r>
      <w:r w:rsidR="00E06333">
        <w:rPr>
          <w:rFonts w:cs="Times New Roman" w:hint="eastAsia"/>
          <w:rtl/>
        </w:rPr>
        <w:t> </w:t>
      </w:r>
      <w:r>
        <w:rPr>
          <w:rFonts w:hint="cs"/>
          <w:rtl/>
        </w:rPr>
        <w:t>عدم تقديم رؤيةٍ محدّدة وعملية. 3ـ الأخذ الانفعالي بنظرية الحقوق الغربية. 4ـ</w:t>
      </w:r>
      <w:r w:rsidR="00E06333">
        <w:rPr>
          <w:rFonts w:cs="Times New Roman" w:hint="eastAsia"/>
          <w:rtl/>
        </w:rPr>
        <w:t> </w:t>
      </w:r>
      <w:r>
        <w:rPr>
          <w:rFonts w:hint="cs"/>
          <w:rtl/>
        </w:rPr>
        <w:t>إقصاء الدين عن حركة الإصلاح النسويّة.</w:t>
      </w:r>
    </w:p>
    <w:p w:rsidR="000E41CC" w:rsidRPr="00E06333" w:rsidRDefault="000E41CC" w:rsidP="00E06333">
      <w:pPr>
        <w:pStyle w:val="ac"/>
        <w:rPr>
          <w:b/>
          <w:bCs/>
          <w:rtl/>
        </w:rPr>
      </w:pPr>
      <w:r w:rsidRPr="00E06333">
        <w:rPr>
          <w:rFonts w:hint="cs"/>
          <w:b/>
          <w:bCs/>
          <w:rtl/>
        </w:rPr>
        <w:t>ج ـ التيار الديني المدافع عن حقوق النساء.</w:t>
      </w:r>
    </w:p>
    <w:p w:rsidR="000E41CC" w:rsidRDefault="000E41CC" w:rsidP="004C5D4F">
      <w:pPr>
        <w:pStyle w:val="ac"/>
        <w:rPr>
          <w:rtl/>
        </w:rPr>
      </w:pPr>
      <w:r>
        <w:rPr>
          <w:rFonts w:hint="cs"/>
          <w:rtl/>
        </w:rPr>
        <w:t>ويعرّف الكتاب هذا التيار عبر بيانه لاتجاهين داخله هما:</w:t>
      </w:r>
    </w:p>
    <w:p w:rsidR="000E41CC" w:rsidRDefault="000E41CC" w:rsidP="004C5D4F">
      <w:pPr>
        <w:pStyle w:val="ac"/>
        <w:spacing w:line="209" w:lineRule="auto"/>
        <w:rPr>
          <w:rtl/>
        </w:rPr>
      </w:pPr>
      <w:r>
        <w:rPr>
          <w:rFonts w:hint="cs"/>
          <w:rtl/>
        </w:rPr>
        <w:t>1 ـ اتجاه الدعوة لإعادة النظر بقضايا المرأة، ويعدّد الكتاب سِمَتَين لهذا الاتجاه هما: أ ـ عدم الاطلاع أو التغافل عن المصادر الاجتهادية. ب ـ الغفلة عن مصادر الاجتهاد الديني.</w:t>
      </w:r>
    </w:p>
    <w:p w:rsidR="000E41CC" w:rsidRDefault="000E41CC" w:rsidP="004C5D4F">
      <w:pPr>
        <w:pStyle w:val="ac"/>
        <w:spacing w:line="209" w:lineRule="auto"/>
        <w:rPr>
          <w:rtl/>
        </w:rPr>
      </w:pPr>
      <w:r>
        <w:rPr>
          <w:rFonts w:hint="cs"/>
          <w:rtl/>
        </w:rPr>
        <w:t>2 ـ الاتجاه الأصولي، ويحدّد الكتاب هذا الاتجاه بما يلي:</w:t>
      </w:r>
    </w:p>
    <w:p w:rsidR="000E41CC" w:rsidRDefault="000E41CC" w:rsidP="004C5D4F">
      <w:pPr>
        <w:pStyle w:val="ac"/>
        <w:spacing w:line="209" w:lineRule="auto"/>
        <w:rPr>
          <w:rtl/>
        </w:rPr>
      </w:pPr>
      <w:r>
        <w:rPr>
          <w:rFonts w:hint="cs"/>
          <w:rtl/>
        </w:rPr>
        <w:t>أ ـ الاهتمام بمسألة الاختلاف الطبيعي والتكويني بين الرجل والمرأة. ب ـ رفض مبدأ التقابل والتضادّ بين الرجل والمرأة. ج ـ الاهتمام بالأسرة بوصفها الوحدة الأساسيّة لبناء المجتمع كلّه. د. حفظ الاستقلال والامتياز، وتجنّب الظواهر الانفعالية. هـ ـ تجنّب التورّط في التجديد والتحجّر معاً</w:t>
      </w:r>
      <w:r w:rsidRPr="00815C4C">
        <w:rPr>
          <w:rFonts w:cs="Taher"/>
          <w:vertAlign w:val="superscript"/>
          <w:rtl/>
        </w:rPr>
        <w:t>(</w:t>
      </w:r>
      <w:r w:rsidRPr="00815C4C">
        <w:rPr>
          <w:rFonts w:cs="Taher"/>
          <w:vertAlign w:val="superscript"/>
          <w:rtl/>
        </w:rPr>
        <w:footnoteReference w:id="100"/>
      </w:r>
      <w:r w:rsidRPr="00815C4C">
        <w:rPr>
          <w:rFonts w:cs="Taher"/>
          <w:vertAlign w:val="superscript"/>
          <w:rtl/>
        </w:rPr>
        <w:t>)</w:t>
      </w:r>
      <w:r>
        <w:rPr>
          <w:rFonts w:hint="cs"/>
          <w:rtl/>
        </w:rPr>
        <w:t>.</w:t>
      </w:r>
    </w:p>
    <w:p w:rsidR="000E41CC" w:rsidRPr="00830853" w:rsidRDefault="000E41CC" w:rsidP="004C5D4F">
      <w:pPr>
        <w:pStyle w:val="ac"/>
        <w:spacing w:line="209" w:lineRule="auto"/>
        <w:rPr>
          <w:spacing w:val="-6"/>
          <w:rtl/>
        </w:rPr>
      </w:pPr>
      <w:r w:rsidRPr="00830853">
        <w:rPr>
          <w:rFonts w:hint="cs"/>
          <w:spacing w:val="-6"/>
          <w:rtl/>
        </w:rPr>
        <w:t>ونعلّق على هذه الدراسة وتقسيمها وهيكليّتها التي قدّمتها، بعدّة نقاط مفيدة هي:</w:t>
      </w:r>
    </w:p>
    <w:p w:rsidR="000E41CC" w:rsidRDefault="000E41CC" w:rsidP="004C5D4F">
      <w:pPr>
        <w:pStyle w:val="ac"/>
        <w:spacing w:line="209" w:lineRule="auto"/>
        <w:rPr>
          <w:rtl/>
        </w:rPr>
      </w:pPr>
      <w:r w:rsidRPr="00E06333">
        <w:rPr>
          <w:rFonts w:hint="cs"/>
          <w:b/>
          <w:bCs/>
          <w:rtl/>
        </w:rPr>
        <w:t>النقطة الأولى:</w:t>
      </w:r>
      <w:r>
        <w:rPr>
          <w:rFonts w:hint="cs"/>
          <w:rtl/>
        </w:rPr>
        <w:t xml:space="preserve"> إنّ الدائرة الزمنية التي يغطّيها هذا التقسيم والعرض للمشهد مقتصرةٌ على ما بعد انتصار الثورة الإسلامية في إيران عام 1979م.</w:t>
      </w:r>
    </w:p>
    <w:p w:rsidR="000E41CC" w:rsidRDefault="000E41CC" w:rsidP="004C5D4F">
      <w:pPr>
        <w:pStyle w:val="ac"/>
        <w:spacing w:line="209" w:lineRule="auto"/>
        <w:rPr>
          <w:rtl/>
        </w:rPr>
      </w:pPr>
      <w:r w:rsidRPr="00E06333">
        <w:rPr>
          <w:rFonts w:hint="cs"/>
          <w:b/>
          <w:bCs/>
          <w:rtl/>
        </w:rPr>
        <w:t>النقطة الثانية:</w:t>
      </w:r>
      <w:r>
        <w:rPr>
          <w:rFonts w:hint="cs"/>
          <w:rtl/>
        </w:rPr>
        <w:t xml:space="preserve"> لا ينحصر المشهد ولا تضيق التيارات بوجهات النظر الدينية، بل يستوعب أطيافاً أخرى أيضاً لم يستعرضها الكتاب.</w:t>
      </w:r>
    </w:p>
    <w:p w:rsidR="000E41CC" w:rsidRDefault="000E41CC" w:rsidP="004C5D4F">
      <w:pPr>
        <w:pStyle w:val="ac"/>
        <w:spacing w:line="209" w:lineRule="auto"/>
        <w:rPr>
          <w:rtl/>
        </w:rPr>
      </w:pPr>
      <w:r w:rsidRPr="00E06333">
        <w:rPr>
          <w:rFonts w:hint="cs"/>
          <w:b/>
          <w:bCs/>
          <w:rtl/>
        </w:rPr>
        <w:t>النقطة الثالثة:</w:t>
      </w:r>
      <w:r>
        <w:rPr>
          <w:rFonts w:hint="cs"/>
          <w:rtl/>
        </w:rPr>
        <w:t xml:space="preserve"> في سياق التعريف بالتيارات الدينية، ثمّة تيار لم يجرِ الحديث عنه، وقد أشير إليه تبعاً في هذه الدراسة، وذلك عندما كان يجري استعراض الاتجاه الديني </w:t>
      </w:r>
      <w:r>
        <w:rPr>
          <w:rFonts w:hint="cs"/>
          <w:rtl/>
        </w:rPr>
        <w:lastRenderedPageBreak/>
        <w:t>الأصولي؛ حيث كانت السمة الخامسة لهذا التيار احترازه عن نزعتي التحديث والتحجّر، ومعنى ذلك أنّ فريقاً من التيار الديني كان يقرأ قضايا المرأة قراءةً تجديديّة، وهو الذي جرى الحديث عنه تحت عنوان: تيار الدعوة لإعادة النظر بقضايا النساء، إلاّ أنه لم يجر التعريف بالتيار الجلمودي المتحجّر، مع أنّه لا مجال لإنكار حضور هذا التيار ـ برؤاه المتعدّدة ـ داخل المجتمع الإيراني، بل إن نفس اعتبار المؤلّف التيار الأصولي هو الوسط ما بين تيار التجديد والتحجّر حاكٍ عن هذا الأمر أيضاً.</w:t>
      </w:r>
    </w:p>
    <w:p w:rsidR="000E41CC" w:rsidRPr="004C5D4F" w:rsidRDefault="000E41CC" w:rsidP="004C5D4F">
      <w:pPr>
        <w:pStyle w:val="ac"/>
        <w:spacing w:line="197" w:lineRule="auto"/>
        <w:rPr>
          <w:sz w:val="29"/>
          <w:szCs w:val="29"/>
          <w:rtl/>
        </w:rPr>
      </w:pPr>
      <w:r w:rsidRPr="004C5D4F">
        <w:rPr>
          <w:rFonts w:hint="cs"/>
          <w:b/>
          <w:bCs/>
          <w:sz w:val="29"/>
          <w:szCs w:val="29"/>
          <w:rtl/>
        </w:rPr>
        <w:t>النقطة الرابعة:</w:t>
      </w:r>
      <w:r w:rsidRPr="004C5D4F">
        <w:rPr>
          <w:rFonts w:hint="cs"/>
          <w:sz w:val="29"/>
          <w:szCs w:val="29"/>
          <w:rtl/>
        </w:rPr>
        <w:t xml:space="preserve"> لم يهدف الكتاب في هذه الدراسة لتقديم عرضٍ واستعراض للاتجاهات والتيارات المختلفة، بل قد أخذ في حسبانه أيضاً ممارسة نقدٍ ودراسة وتقويم لها.</w:t>
      </w:r>
    </w:p>
    <w:p w:rsidR="000E41CC" w:rsidRDefault="000E41CC" w:rsidP="004C5D4F">
      <w:pPr>
        <w:pStyle w:val="ac"/>
        <w:spacing w:line="197" w:lineRule="auto"/>
        <w:rPr>
          <w:rtl/>
        </w:rPr>
      </w:pPr>
      <w:r w:rsidRPr="005D6998">
        <w:rPr>
          <w:rFonts w:hint="cs"/>
          <w:b/>
          <w:bCs/>
          <w:rtl/>
        </w:rPr>
        <w:t>الدراسة الثانية:</w:t>
      </w:r>
      <w:r>
        <w:rPr>
          <w:rFonts w:hint="cs"/>
          <w:rtl/>
        </w:rPr>
        <w:t xml:space="preserve"> وهي كتاب </w:t>
      </w:r>
      <w:r w:rsidRPr="002B759E">
        <w:rPr>
          <w:rFonts w:hint="cs"/>
        </w:rPr>
        <w:sym w:font="Islamic Units 1" w:char="F06D"/>
      </w:r>
      <w:r>
        <w:rPr>
          <w:rFonts w:hint="cs"/>
          <w:rtl/>
        </w:rPr>
        <w:t>المثال الجامع لشخصية المرأة المسلمة</w:t>
      </w:r>
      <w:r w:rsidRPr="002B759E">
        <w:rPr>
          <w:rFonts w:hint="cs"/>
          <w:rtl/>
        </w:rPr>
        <w:sym w:font="Islamic Units 1" w:char="F06E"/>
      </w:r>
      <w:r>
        <w:rPr>
          <w:rFonts w:hint="cs"/>
          <w:rtl/>
        </w:rPr>
        <w:t>، من تأليف محمد تقي السبحاني</w:t>
      </w:r>
      <w:r w:rsidRPr="00815C4C">
        <w:rPr>
          <w:rFonts w:cs="Taher"/>
          <w:vertAlign w:val="superscript"/>
          <w:rtl/>
        </w:rPr>
        <w:t>(</w:t>
      </w:r>
      <w:r w:rsidRPr="00815C4C">
        <w:rPr>
          <w:rFonts w:cs="Taher"/>
          <w:vertAlign w:val="superscript"/>
          <w:rtl/>
        </w:rPr>
        <w:footnoteReference w:id="101"/>
      </w:r>
      <w:r w:rsidRPr="00815C4C">
        <w:rPr>
          <w:rFonts w:cs="Taher"/>
          <w:vertAlign w:val="superscript"/>
          <w:rtl/>
        </w:rPr>
        <w:t>)</w:t>
      </w:r>
      <w:r>
        <w:rPr>
          <w:rFonts w:hint="cs"/>
          <w:rtl/>
        </w:rPr>
        <w:t>.</w:t>
      </w:r>
    </w:p>
    <w:p w:rsidR="000E41CC" w:rsidRDefault="000E41CC" w:rsidP="004C5D4F">
      <w:pPr>
        <w:pStyle w:val="ac"/>
        <w:spacing w:line="197" w:lineRule="auto"/>
        <w:rPr>
          <w:rtl/>
        </w:rPr>
      </w:pPr>
      <w:r>
        <w:rPr>
          <w:rFonts w:hint="cs"/>
          <w:rtl/>
        </w:rPr>
        <w:t>وقد ركّز هذا الكتاب على الاتجاهات الدينية فقط، دون أن يتعرّض للتيارات المعادية للدين أو غير الدينية، وقد قسّمت هذه الاتجاهات الدينية إلى ثلاثة:</w:t>
      </w:r>
    </w:p>
    <w:p w:rsidR="000E41CC" w:rsidRPr="00E06333" w:rsidRDefault="000E41CC" w:rsidP="004C5D4F">
      <w:pPr>
        <w:pStyle w:val="ac"/>
        <w:spacing w:line="197" w:lineRule="auto"/>
        <w:rPr>
          <w:b/>
          <w:bCs/>
          <w:rtl/>
        </w:rPr>
      </w:pPr>
      <w:r w:rsidRPr="00E06333">
        <w:rPr>
          <w:rFonts w:hint="cs"/>
          <w:b/>
          <w:bCs/>
          <w:rtl/>
        </w:rPr>
        <w:t>أ ـ الاتجاه التراثي التقليدي</w:t>
      </w:r>
    </w:p>
    <w:p w:rsidR="000E41CC" w:rsidRDefault="000E41CC" w:rsidP="004C5D4F">
      <w:pPr>
        <w:pStyle w:val="ac"/>
        <w:spacing w:line="197" w:lineRule="auto"/>
        <w:rPr>
          <w:rtl/>
        </w:rPr>
      </w:pPr>
      <w:r>
        <w:rPr>
          <w:rFonts w:hint="cs"/>
          <w:rtl/>
        </w:rPr>
        <w:t>وقد حدّده المؤلف بـ</w:t>
      </w:r>
      <w:r w:rsidR="004C5D4F">
        <w:rPr>
          <w:rFonts w:hint="cs"/>
          <w:rtl/>
        </w:rPr>
        <w:t xml:space="preserve"> </w:t>
      </w:r>
      <w:r>
        <w:rPr>
          <w:rFonts w:hint="cs"/>
          <w:rtl/>
        </w:rPr>
        <w:t>:</w:t>
      </w:r>
    </w:p>
    <w:p w:rsidR="000E41CC" w:rsidRDefault="000E41CC" w:rsidP="004C5D4F">
      <w:pPr>
        <w:pStyle w:val="ac"/>
        <w:spacing w:line="197" w:lineRule="auto"/>
        <w:rPr>
          <w:rtl/>
        </w:rPr>
      </w:pPr>
      <w:r>
        <w:rPr>
          <w:rFonts w:hint="cs"/>
          <w:rtl/>
        </w:rPr>
        <w:t>1ـ النزعة الأصولية. 2ـ محوريّة الحق والتكليف معاً. 3ـ النزعة الاجتهادية الممنهجة في فهم الدين. 4ـ مواجهة ظواهر الالتقاط والتأكيد على الخلوص والنقاء.</w:t>
      </w:r>
      <w:r>
        <w:rPr>
          <w:rtl/>
        </w:rPr>
        <w:br/>
      </w:r>
      <w:r>
        <w:rPr>
          <w:rFonts w:hint="cs"/>
          <w:rtl/>
        </w:rPr>
        <w:t>5ـ النزعة الماضويّة.</w:t>
      </w:r>
    </w:p>
    <w:p w:rsidR="000E41CC" w:rsidRPr="00E06333" w:rsidRDefault="000E41CC" w:rsidP="004C5D4F">
      <w:pPr>
        <w:pStyle w:val="ac"/>
        <w:spacing w:line="197" w:lineRule="auto"/>
        <w:rPr>
          <w:b/>
          <w:bCs/>
          <w:rtl/>
        </w:rPr>
      </w:pPr>
      <w:r w:rsidRPr="00E06333">
        <w:rPr>
          <w:rFonts w:hint="cs"/>
          <w:b/>
          <w:bCs/>
          <w:rtl/>
        </w:rPr>
        <w:t>ب ـ الاتجاه التجديدي</w:t>
      </w:r>
    </w:p>
    <w:p w:rsidR="000E41CC" w:rsidRDefault="000E41CC" w:rsidP="004C5D4F">
      <w:pPr>
        <w:pStyle w:val="ac"/>
        <w:spacing w:line="202" w:lineRule="auto"/>
        <w:rPr>
          <w:rtl/>
        </w:rPr>
      </w:pPr>
      <w:r>
        <w:rPr>
          <w:rFonts w:hint="cs"/>
          <w:rtl/>
        </w:rPr>
        <w:t>وقد حدّده المؤلف بخمس علامات هي: 1ـ الرؤية الإنسانية (مركزية الإنسان).</w:t>
      </w:r>
    </w:p>
    <w:p w:rsidR="000E41CC" w:rsidRDefault="000E41CC" w:rsidP="004C5D4F">
      <w:pPr>
        <w:pStyle w:val="ac"/>
        <w:spacing w:line="197" w:lineRule="auto"/>
        <w:rPr>
          <w:rtl/>
        </w:rPr>
      </w:pPr>
      <w:r>
        <w:rPr>
          <w:rFonts w:hint="cs"/>
          <w:rtl/>
        </w:rPr>
        <w:t xml:space="preserve"> 2ـ النزعة العلمية والاعتماد على العقل أداةً معرفيّة. 3ـ النزعة النسبية والتاريخانية في فهم الدين. 4 ـ القراءة المستقبليّة. 5 ـ النزعة التنموية.</w:t>
      </w:r>
    </w:p>
    <w:p w:rsidR="000E41CC" w:rsidRPr="00E06333" w:rsidRDefault="000E41CC" w:rsidP="00F32FBA">
      <w:pPr>
        <w:pStyle w:val="ac"/>
        <w:rPr>
          <w:b/>
          <w:bCs/>
          <w:rtl/>
        </w:rPr>
      </w:pPr>
      <w:r w:rsidRPr="00E06333">
        <w:rPr>
          <w:rFonts w:hint="cs"/>
          <w:b/>
          <w:bCs/>
          <w:rtl/>
        </w:rPr>
        <w:t>ج ـ الاتجاه التنموي</w:t>
      </w:r>
    </w:p>
    <w:p w:rsidR="000E41CC" w:rsidRPr="00830853" w:rsidRDefault="000E41CC" w:rsidP="004C5D4F">
      <w:pPr>
        <w:pStyle w:val="ac"/>
        <w:spacing w:line="202" w:lineRule="auto"/>
        <w:rPr>
          <w:rtl/>
        </w:rPr>
      </w:pPr>
      <w:r w:rsidRPr="00830853">
        <w:rPr>
          <w:rFonts w:hint="cs"/>
          <w:rtl/>
        </w:rPr>
        <w:lastRenderedPageBreak/>
        <w:t>ونجد لشرح هذا الاتجاه مجموعة محدّدات أيضاً هي: 1ـ النزعة الأصولية في فهم الدين، والنزعة التنموية في تطبيقه. 2ـ القراءة المنظّمة مقابل النزعة التكليفية. 3ـ</w:t>
      </w:r>
      <w:r w:rsidR="004C5D4F">
        <w:rPr>
          <w:rFonts w:cs="Times New Roman" w:hint="eastAsia"/>
          <w:rtl/>
        </w:rPr>
        <w:t> </w:t>
      </w:r>
      <w:r w:rsidRPr="00830853">
        <w:rPr>
          <w:rFonts w:hint="cs"/>
          <w:rtl/>
        </w:rPr>
        <w:t>تطوير الاجتهاد، والتجديد في مناهج العلوم. 4ـ لزوم تدوين نظام أنموذجي جامع وشامل لشخصية المرأة المسلمة. 5ـ طرح الحضارة الإسلامية الجديدة والتنظير لها</w:t>
      </w:r>
      <w:r w:rsidRPr="00815C4C">
        <w:rPr>
          <w:rFonts w:cs="Taher"/>
          <w:vertAlign w:val="superscript"/>
          <w:rtl/>
        </w:rPr>
        <w:t>(</w:t>
      </w:r>
      <w:r w:rsidRPr="00815C4C">
        <w:rPr>
          <w:rFonts w:cs="Taher"/>
          <w:vertAlign w:val="superscript"/>
          <w:rtl/>
        </w:rPr>
        <w:footnoteReference w:id="102"/>
      </w:r>
      <w:r w:rsidRPr="00815C4C">
        <w:rPr>
          <w:rFonts w:cs="Taher"/>
          <w:vertAlign w:val="superscript"/>
          <w:rtl/>
        </w:rPr>
        <w:t>)</w:t>
      </w:r>
      <w:r w:rsidRPr="00830853">
        <w:rPr>
          <w:rFonts w:hint="cs"/>
          <w:rtl/>
        </w:rPr>
        <w:t>.</w:t>
      </w:r>
    </w:p>
    <w:p w:rsidR="000E41CC" w:rsidRDefault="000E41CC" w:rsidP="004C5D4F">
      <w:pPr>
        <w:pStyle w:val="ac"/>
        <w:spacing w:line="202" w:lineRule="auto"/>
        <w:rPr>
          <w:rtl/>
        </w:rPr>
      </w:pPr>
      <w:r>
        <w:rPr>
          <w:rFonts w:hint="cs"/>
          <w:rtl/>
        </w:rPr>
        <w:t>بدورنا، ولكي نحلّل هذه الدراسة، نقف عند نقاط هي:</w:t>
      </w:r>
    </w:p>
    <w:p w:rsidR="000E41CC" w:rsidRDefault="000E41CC" w:rsidP="004C5D4F">
      <w:pPr>
        <w:pStyle w:val="ac"/>
        <w:spacing w:line="202" w:lineRule="auto"/>
        <w:rPr>
          <w:rtl/>
        </w:rPr>
      </w:pPr>
      <w:r>
        <w:rPr>
          <w:rFonts w:hint="cs"/>
          <w:rtl/>
        </w:rPr>
        <w:t>أولاً: إن نطاق الدراسة محصور بما بعد انتصار الثورة الإسلامية في إيران.</w:t>
      </w:r>
    </w:p>
    <w:p w:rsidR="000E41CC" w:rsidRDefault="000E41CC" w:rsidP="004C5D4F">
      <w:pPr>
        <w:pStyle w:val="ac"/>
        <w:spacing w:line="202" w:lineRule="auto"/>
        <w:rPr>
          <w:rtl/>
        </w:rPr>
      </w:pPr>
      <w:r>
        <w:rPr>
          <w:rFonts w:hint="cs"/>
          <w:rtl/>
        </w:rPr>
        <w:t>ثانياً: إن الهدف كان نقد الاتجاهات الأخرى، وتقديم أنموذجٍ بديل مرضيّ.</w:t>
      </w:r>
    </w:p>
    <w:p w:rsidR="000E41CC" w:rsidRDefault="000E41CC" w:rsidP="004C5D4F">
      <w:pPr>
        <w:pStyle w:val="ac"/>
        <w:spacing w:line="202" w:lineRule="auto"/>
        <w:rPr>
          <w:rtl/>
        </w:rPr>
      </w:pPr>
      <w:r>
        <w:rPr>
          <w:rFonts w:hint="cs"/>
          <w:rtl/>
        </w:rPr>
        <w:t>ثالثاً: إن الاتجاه المنشود يكمن في مشروع تلفيقيّ تجمع فيه العناصر الإيجابية التي يتمتّع بها كلّ من الاتجاه التقليدي والاتجاه التجديدي.</w:t>
      </w:r>
    </w:p>
    <w:p w:rsidR="000E41CC" w:rsidRPr="004C5D4F" w:rsidRDefault="000E41CC" w:rsidP="004C5D4F">
      <w:pPr>
        <w:pStyle w:val="afffffc"/>
        <w:rPr>
          <w:sz w:val="18"/>
          <w:szCs w:val="16"/>
          <w:rtl/>
        </w:rPr>
      </w:pPr>
    </w:p>
    <w:p w:rsidR="000E41CC" w:rsidRPr="00D457EB" w:rsidRDefault="000E41CC" w:rsidP="000E41CC">
      <w:pPr>
        <w:pStyle w:val="1"/>
        <w:rPr>
          <w:rtl/>
        </w:rPr>
      </w:pPr>
      <w:bookmarkStart w:id="134" w:name="_Toc169521388"/>
      <w:bookmarkStart w:id="135" w:name="_Toc275127918"/>
      <w:r w:rsidRPr="00D457EB">
        <w:rPr>
          <w:rFonts w:hint="cs"/>
          <w:rtl/>
        </w:rPr>
        <w:t>منهج هذه الدراسة</w:t>
      </w:r>
      <w:bookmarkEnd w:id="134"/>
      <w:bookmarkEnd w:id="135"/>
      <w:r w:rsidRPr="00D457EB">
        <w:rPr>
          <w:rFonts w:hint="cs"/>
          <w:rtl/>
        </w:rPr>
        <w:t xml:space="preserve"> </w:t>
      </w:r>
    </w:p>
    <w:p w:rsidR="000E41CC" w:rsidRDefault="000E41CC" w:rsidP="004C5D4F">
      <w:pPr>
        <w:pStyle w:val="ac"/>
        <w:spacing w:line="199" w:lineRule="auto"/>
        <w:rPr>
          <w:rtl/>
        </w:rPr>
      </w:pPr>
      <w:r w:rsidRPr="005D6998">
        <w:rPr>
          <w:rFonts w:hint="cs"/>
          <w:b/>
          <w:bCs/>
          <w:rtl/>
        </w:rPr>
        <w:t>رابعاً:</w:t>
      </w:r>
      <w:r>
        <w:rPr>
          <w:rFonts w:hint="cs"/>
          <w:rtl/>
        </w:rPr>
        <w:t xml:space="preserve"> ومع الأخذ بعين الاعتبار ما تقدّم بأجمعه، تسعى هذه المقالة لعرض واستنطاق الاتجاهات والمدارس الدينية في قراءة مسألة المرأة الإيرانية المعاصرة في القرن الأخير، ولا بدّ لنا في هذا التقرير من الإشارة إلى عدة نقاط أيضاً.</w:t>
      </w:r>
    </w:p>
    <w:p w:rsidR="000E41CC" w:rsidRDefault="000E41CC" w:rsidP="004C5D4F">
      <w:pPr>
        <w:pStyle w:val="ac"/>
        <w:spacing w:line="199" w:lineRule="auto"/>
        <w:rPr>
          <w:rtl/>
        </w:rPr>
      </w:pPr>
      <w:r w:rsidRPr="005D6998">
        <w:rPr>
          <w:rFonts w:hint="cs"/>
          <w:b/>
          <w:bCs/>
          <w:rtl/>
        </w:rPr>
        <w:t>الأولى:</w:t>
      </w:r>
      <w:r>
        <w:rPr>
          <w:rFonts w:hint="cs"/>
          <w:rtl/>
        </w:rPr>
        <w:t xml:space="preserve"> لقد اعتمدنا في تعريف الاتجاهات والتيارات على جعل الامتيازات العامّة والبنيوية أساساً لتقسيمها، وإلاّ فإن داخل كل اتجاه تيارات عدّة تتبلور على أساس اختلافات جزئية في الآراء ووجهات النظر.</w:t>
      </w:r>
    </w:p>
    <w:p w:rsidR="000E41CC" w:rsidRDefault="000E41CC" w:rsidP="004C5D4F">
      <w:pPr>
        <w:pStyle w:val="ac"/>
        <w:spacing w:line="199" w:lineRule="auto"/>
        <w:rPr>
          <w:rtl/>
        </w:rPr>
      </w:pPr>
      <w:r w:rsidRPr="005D6998">
        <w:rPr>
          <w:rFonts w:hint="cs"/>
          <w:b/>
          <w:bCs/>
          <w:rtl/>
        </w:rPr>
        <w:t>الثانية:</w:t>
      </w:r>
      <w:r>
        <w:rPr>
          <w:rFonts w:hint="cs"/>
          <w:rtl/>
        </w:rPr>
        <w:t xml:space="preserve"> يبدو لنا ـ وانطلاقاً مما تقدّم في النقطة الأولى ـ أنّ الاتجاهات الدينية تدخل ضمن مجموعات ثلاث هي:</w:t>
      </w:r>
    </w:p>
    <w:p w:rsidR="000E41CC" w:rsidRDefault="000E41CC" w:rsidP="004C5D4F">
      <w:pPr>
        <w:pStyle w:val="ac"/>
        <w:spacing w:line="199" w:lineRule="auto"/>
        <w:rPr>
          <w:rtl/>
        </w:rPr>
      </w:pPr>
      <w:r>
        <w:rPr>
          <w:rFonts w:hint="cs"/>
          <w:rtl/>
        </w:rPr>
        <w:t>1 ـ الاتجاه التراثي التقليدي (بدءاً من عصر الحركة الدستورية).</w:t>
      </w:r>
    </w:p>
    <w:p w:rsidR="000E41CC" w:rsidRDefault="000E41CC" w:rsidP="004C5D4F">
      <w:pPr>
        <w:pStyle w:val="ac"/>
        <w:rPr>
          <w:rtl/>
        </w:rPr>
      </w:pPr>
      <w:r>
        <w:rPr>
          <w:rFonts w:hint="cs"/>
          <w:rtl/>
        </w:rPr>
        <w:t>2 ـ الاتجاه الكلامي ـ الاجتماعي (بدءاً من ستينيّات القرن العشرين).</w:t>
      </w:r>
    </w:p>
    <w:p w:rsidR="000E41CC" w:rsidRDefault="000E41CC" w:rsidP="004C5D4F">
      <w:pPr>
        <w:pStyle w:val="ac"/>
        <w:spacing w:line="199" w:lineRule="auto"/>
        <w:rPr>
          <w:rtl/>
        </w:rPr>
      </w:pPr>
      <w:r>
        <w:rPr>
          <w:rFonts w:hint="cs"/>
          <w:rtl/>
        </w:rPr>
        <w:t>3 ـ الاتجاه الحقوقي (بدءاً من أوائل القرن الحادي والعشرين).</w:t>
      </w:r>
    </w:p>
    <w:p w:rsidR="000E41CC" w:rsidRDefault="000E41CC" w:rsidP="004C5D4F">
      <w:pPr>
        <w:pStyle w:val="ac"/>
        <w:rPr>
          <w:rtl/>
        </w:rPr>
      </w:pPr>
      <w:r w:rsidRPr="004C5D4F">
        <w:rPr>
          <w:rFonts w:hint="cs"/>
          <w:b/>
          <w:bCs/>
          <w:rtl/>
        </w:rPr>
        <w:t>الثالثة:</w:t>
      </w:r>
      <w:r>
        <w:rPr>
          <w:rFonts w:hint="cs"/>
          <w:rtl/>
        </w:rPr>
        <w:t xml:space="preserve"> إنّ هذه الاتجاهات الثلاثة المذكورة قد أخذت بالتبلور زمانياً عقب بعضها </w:t>
      </w:r>
      <w:r>
        <w:rPr>
          <w:rFonts w:hint="cs"/>
          <w:rtl/>
        </w:rPr>
        <w:lastRenderedPageBreak/>
        <w:t>بعضاً، لكن لا بمعنى أنّ الاتجاه اللاحق قد نسخ الاتجاه السابق أو أطاح به ليحلّ محلّه، وإنما بمعنى صيرورته الاتجاه السائد والغالب في المرحلة اللاحقة، وإلاّ ففي كلّ مرحلةٍ ثمّة اتجاهات متعدّدة بيد أنها أقلّ حضوراً وأخفّ وهجاً من غيرها، وعليه ففي عصرنا الحاضر يمكن اعتبار الاتجاهات الثلاثة موجودةً حاضرة، وإن كانت الغلبة لأحدها.</w:t>
      </w:r>
    </w:p>
    <w:p w:rsidR="000E41CC" w:rsidRDefault="000E41CC" w:rsidP="000E41CC">
      <w:pPr>
        <w:pStyle w:val="ac"/>
        <w:rPr>
          <w:rtl/>
        </w:rPr>
      </w:pPr>
      <w:r>
        <w:rPr>
          <w:rFonts w:hint="cs"/>
          <w:rtl/>
        </w:rPr>
        <w:t>الرابعة: في دراستنا لكلّ واحدٍ من الاتجاهات الثلاثة، سوف نسعى للاعتماد على أهمّ مصادره المدوّنة لشرح وجهات نظره في المحاور التالية:</w:t>
      </w:r>
    </w:p>
    <w:p w:rsidR="000E41CC" w:rsidRDefault="000E41CC" w:rsidP="000E41CC">
      <w:pPr>
        <w:pStyle w:val="ac"/>
        <w:rPr>
          <w:rtl/>
        </w:rPr>
      </w:pPr>
      <w:r>
        <w:rPr>
          <w:rFonts w:hint="cs"/>
          <w:rtl/>
        </w:rPr>
        <w:t>1 ـ قراءة الإنسان.</w:t>
      </w:r>
    </w:p>
    <w:p w:rsidR="000E41CC" w:rsidRDefault="000E41CC" w:rsidP="000E41CC">
      <w:pPr>
        <w:pStyle w:val="ac"/>
        <w:rPr>
          <w:rtl/>
        </w:rPr>
      </w:pPr>
      <w:r>
        <w:rPr>
          <w:rFonts w:hint="cs"/>
          <w:rtl/>
        </w:rPr>
        <w:t>2 ـ الحقّ والتكليف.</w:t>
      </w:r>
    </w:p>
    <w:p w:rsidR="000E41CC" w:rsidRDefault="000E41CC" w:rsidP="000E41CC">
      <w:pPr>
        <w:pStyle w:val="ac"/>
        <w:rPr>
          <w:rtl/>
        </w:rPr>
      </w:pPr>
      <w:r>
        <w:rPr>
          <w:rFonts w:hint="cs"/>
          <w:rtl/>
        </w:rPr>
        <w:t>3 ـ الأسرة.</w:t>
      </w:r>
    </w:p>
    <w:p w:rsidR="000E41CC" w:rsidRDefault="000E41CC" w:rsidP="000E41CC">
      <w:pPr>
        <w:pStyle w:val="ac"/>
        <w:rPr>
          <w:rtl/>
        </w:rPr>
      </w:pPr>
      <w:r>
        <w:rPr>
          <w:rFonts w:hint="cs"/>
          <w:rtl/>
        </w:rPr>
        <w:t>4 ـ المشاركة الاجتماعية.</w:t>
      </w:r>
    </w:p>
    <w:p w:rsidR="000E41CC" w:rsidRDefault="000E41CC" w:rsidP="000E41CC">
      <w:pPr>
        <w:pStyle w:val="ac"/>
        <w:rPr>
          <w:rtl/>
        </w:rPr>
      </w:pPr>
      <w:r>
        <w:rPr>
          <w:rFonts w:hint="cs"/>
          <w:rtl/>
        </w:rPr>
        <w:t>ثم نختم ذلك بتقديم تحليلٍ يساهم في فهم المنطق والمنهج الذي يقوم عليه كلّ اتجاهٍ من هذه الاتجاهات الثلاثة.</w:t>
      </w:r>
    </w:p>
    <w:p w:rsidR="000E41CC" w:rsidRDefault="000E41CC" w:rsidP="004C5D4F">
      <w:pPr>
        <w:pStyle w:val="afffffc"/>
        <w:rPr>
          <w:rtl/>
        </w:rPr>
      </w:pPr>
    </w:p>
    <w:p w:rsidR="000E41CC" w:rsidRPr="00D457EB" w:rsidRDefault="000E41CC" w:rsidP="000E41CC">
      <w:pPr>
        <w:pStyle w:val="1"/>
        <w:rPr>
          <w:rtl/>
        </w:rPr>
      </w:pPr>
      <w:bookmarkStart w:id="136" w:name="_Toc169521389"/>
      <w:bookmarkStart w:id="137" w:name="_Toc275127919"/>
      <w:r w:rsidRPr="00D457EB">
        <w:rPr>
          <w:rFonts w:hint="cs"/>
          <w:rtl/>
        </w:rPr>
        <w:t>الاتجاهات في مسألة المرأة</w:t>
      </w:r>
      <w:bookmarkEnd w:id="136"/>
      <w:bookmarkEnd w:id="137"/>
    </w:p>
    <w:p w:rsidR="000E41CC" w:rsidRPr="002609ED" w:rsidRDefault="000E41CC" w:rsidP="000E41CC">
      <w:pPr>
        <w:pStyle w:val="1"/>
        <w:rPr>
          <w:rtl/>
        </w:rPr>
      </w:pPr>
      <w:bookmarkStart w:id="138" w:name="_Toc169521390"/>
      <w:bookmarkStart w:id="139" w:name="_Toc275127920"/>
      <w:r w:rsidRPr="002609ED">
        <w:rPr>
          <w:rFonts w:hint="cs"/>
          <w:rtl/>
        </w:rPr>
        <w:t>الاتجاه الأوّل: الاتجاه التراثي التقليدي</w:t>
      </w:r>
      <w:bookmarkEnd w:id="138"/>
      <w:bookmarkEnd w:id="139"/>
      <w:r w:rsidRPr="002609ED">
        <w:rPr>
          <w:rFonts w:hint="cs"/>
          <w:rtl/>
        </w:rPr>
        <w:t xml:space="preserve"> </w:t>
      </w:r>
    </w:p>
    <w:p w:rsidR="000E41CC" w:rsidRDefault="000E41CC" w:rsidP="00BB31B2">
      <w:pPr>
        <w:pStyle w:val="ac"/>
        <w:spacing w:line="209" w:lineRule="auto"/>
        <w:rPr>
          <w:rtl/>
        </w:rPr>
      </w:pPr>
      <w:r>
        <w:rPr>
          <w:rFonts w:hint="cs"/>
          <w:rtl/>
        </w:rPr>
        <w:t>وهذا الاتجاه هو أقدم وأشهر الاتجاهات جميعاً، وهو المهيمن على الدوام خلال المراحل والحقب الماضية المختلفة من التاريخ الإسلامي، ومع كلّ ما يملكه من أسبقيّةٍ وامتداد تاريخي وشهرة إلاّ أنه حضر أيضاً بوصفه اتجاهاً مقتدراً في العصر الأخير ليقدّم تصوّراته حول مسألة المرأة.</w:t>
      </w:r>
    </w:p>
    <w:p w:rsidR="000E41CC" w:rsidRDefault="000E41CC" w:rsidP="000E41CC">
      <w:pPr>
        <w:pStyle w:val="ac"/>
        <w:rPr>
          <w:rtl/>
        </w:rPr>
      </w:pPr>
      <w:r>
        <w:rPr>
          <w:rFonts w:hint="cs"/>
          <w:rtl/>
        </w:rPr>
        <w:t xml:space="preserve">وقد تجلّى ظهور هذا الاتجاه في التاريخ المعاصر للمرّة الأولى عبر كتابات عديدة، تناولت بالخصوص مسألة الحجاب، والتحذير من الاختلاط، وحضور النساء في </w:t>
      </w:r>
      <w:r>
        <w:rPr>
          <w:rFonts w:hint="cs"/>
          <w:sz w:val="26"/>
          <w:rtl/>
        </w:rPr>
        <w:t>مجالس</w:t>
      </w:r>
      <w:r>
        <w:rPr>
          <w:rFonts w:hint="cs"/>
          <w:rtl/>
        </w:rPr>
        <w:t xml:space="preserve"> الرجال وساحات تواجدهم، كما أن معارضة تأسيس مدارس لتعليم النساء يقع في هذا الإطار أيضاً، وبمرور الزمان غدت هذه الرؤى والنظريات قائمةً على تصوّرات للإنسان ولامتيازات الرجل عن المرأة وتفاوتهما وكمالاتهما.</w:t>
      </w:r>
    </w:p>
    <w:p w:rsidR="000E41CC" w:rsidRDefault="000E41CC" w:rsidP="00BB31B2">
      <w:pPr>
        <w:pStyle w:val="ac"/>
        <w:spacing w:line="202" w:lineRule="auto"/>
        <w:rPr>
          <w:rtl/>
        </w:rPr>
      </w:pPr>
      <w:r>
        <w:rPr>
          <w:rFonts w:hint="cs"/>
          <w:rtl/>
        </w:rPr>
        <w:lastRenderedPageBreak/>
        <w:t>ولابدّ لنا ـ بحقّ ـ أن نعي ونقبل القلق الذي كان يساور هؤلاء الكتّاب ورجال الفكر والمعرفة في دفاعهم عن عفّة المرأة المسلمة وطهارتها، وتجنيبها حالة الانفلات والتسيّب، رغم أن بالإمكان ممارسة نقد يستهدف طبيعة ردّة الفعل التي قاموا بها.</w:t>
      </w:r>
    </w:p>
    <w:p w:rsidR="000E41CC" w:rsidRDefault="000E41CC" w:rsidP="00BB31B2">
      <w:pPr>
        <w:pStyle w:val="ac"/>
        <w:spacing w:line="202" w:lineRule="auto"/>
        <w:rPr>
          <w:rtl/>
        </w:rPr>
      </w:pPr>
      <w:r>
        <w:rPr>
          <w:rFonts w:hint="cs"/>
          <w:rtl/>
        </w:rPr>
        <w:t>ونشرع أولاً ـ انطلاقاً مما أسلفناه في مقدّمات هذه الدراسة ـ بذكر أهمّ المصادر، ثم أبرز النظريات، ومن ثم نختم عرضنا لهذا الاتجاه بتحليلٍ يستهدف الكشف عن منهج التفكير ومنطق المعرفة عنده.</w:t>
      </w:r>
    </w:p>
    <w:p w:rsidR="000E41CC" w:rsidRPr="00BB31B2" w:rsidRDefault="000E41CC" w:rsidP="00BB31B2">
      <w:pPr>
        <w:pStyle w:val="afffffc"/>
        <w:rPr>
          <w:sz w:val="22"/>
          <w:szCs w:val="20"/>
          <w:rtl/>
        </w:rPr>
      </w:pPr>
    </w:p>
    <w:p w:rsidR="000E41CC" w:rsidRPr="002609ED" w:rsidRDefault="000E41CC" w:rsidP="00BB31B2">
      <w:pPr>
        <w:pStyle w:val="1"/>
        <w:rPr>
          <w:rtl/>
        </w:rPr>
      </w:pPr>
      <w:bookmarkStart w:id="140" w:name="_Toc169521391"/>
      <w:bookmarkStart w:id="141" w:name="_Toc275127921"/>
      <w:r>
        <w:rPr>
          <w:rFonts w:hint="cs"/>
          <w:rtl/>
        </w:rPr>
        <w:t>1</w:t>
      </w:r>
      <w:r w:rsidRPr="002609ED">
        <w:rPr>
          <w:rFonts w:hint="cs"/>
          <w:rtl/>
        </w:rPr>
        <w:t xml:space="preserve"> ـ الاتجاه التراثي: أهمّ المصادر وأبرز المساهمات</w:t>
      </w:r>
      <w:bookmarkEnd w:id="140"/>
      <w:bookmarkEnd w:id="141"/>
    </w:p>
    <w:p w:rsidR="000E41CC" w:rsidRDefault="000E41CC" w:rsidP="00BB31B2">
      <w:pPr>
        <w:pStyle w:val="ac"/>
        <w:rPr>
          <w:rtl/>
        </w:rPr>
      </w:pPr>
      <w:r>
        <w:rPr>
          <w:rFonts w:hint="cs"/>
          <w:rtl/>
        </w:rPr>
        <w:t>كما تقدّم، يعدّ هذا الاتجاه أسبق النظريات الدينية تاريخياً، ولا بدّ من تصنيف مصادره إلى نوعين أساسيين: أحدهما المصادر الإسلامية العامّة من قبيل: كتب التفسير، والحديث، والفقه، والتاريخ، والكلام، والفلسفة، والعرفان، والأخلاق و.. وثانيهما: الكتب الخاصّة بمعالجة قضايا المرأة، والتي دوّن مهمّها في القرن الأخير.</w:t>
      </w:r>
    </w:p>
    <w:p w:rsidR="000E41CC" w:rsidRDefault="000E41CC" w:rsidP="00BB31B2">
      <w:pPr>
        <w:pStyle w:val="ac"/>
        <w:rPr>
          <w:rtl/>
        </w:rPr>
      </w:pPr>
      <w:r>
        <w:rPr>
          <w:rFonts w:hint="cs"/>
          <w:rtl/>
        </w:rPr>
        <w:t>إننا نلاحظ وجود الكثير من أسس هذه الأفكار وجذورها في المصادر العامّة، وهي إذا ما لفّقت وضمّت إلى بعضها بعضاً ستنتج صورةً غير متزنة عن المرأة، وقد أخذت هذه الأفكار طريقها إلى الكتب الخاصّة بعد إجراء بعض التعديلات عليها أو إرفاقها ببعض التبريرات.</w:t>
      </w:r>
    </w:p>
    <w:p w:rsidR="000E41CC" w:rsidRDefault="000E41CC" w:rsidP="00BB31B2">
      <w:pPr>
        <w:pStyle w:val="ac"/>
        <w:rPr>
          <w:rtl/>
        </w:rPr>
      </w:pPr>
      <w:r>
        <w:rPr>
          <w:rFonts w:hint="cs"/>
          <w:rtl/>
        </w:rPr>
        <w:t>ونسعى هنا لعرض بعض النماذج من هذه التصوّرات في كتب العلوم الإسلامية المختلفة:</w:t>
      </w:r>
    </w:p>
    <w:p w:rsidR="00E06333" w:rsidRPr="00BB31B2" w:rsidRDefault="00E06333" w:rsidP="00BB31B2">
      <w:pPr>
        <w:pStyle w:val="afffffc"/>
        <w:rPr>
          <w:sz w:val="18"/>
          <w:szCs w:val="16"/>
          <w:rtl/>
        </w:rPr>
      </w:pPr>
    </w:p>
    <w:p w:rsidR="000E41CC" w:rsidRDefault="000E41CC" w:rsidP="00BB31B2">
      <w:pPr>
        <w:pStyle w:val="2"/>
        <w:rPr>
          <w:rtl/>
        </w:rPr>
      </w:pPr>
      <w:bookmarkStart w:id="142" w:name="_Toc275127922"/>
      <w:r>
        <w:rPr>
          <w:rFonts w:hint="cs"/>
          <w:rtl/>
        </w:rPr>
        <w:t>أ ـ كتب التفسير والعلوم القرآنية</w:t>
      </w:r>
      <w:bookmarkEnd w:id="142"/>
    </w:p>
    <w:p w:rsidR="000E41CC" w:rsidRDefault="000E41CC" w:rsidP="00BB31B2">
      <w:pPr>
        <w:pStyle w:val="ac"/>
        <w:spacing w:line="199" w:lineRule="auto"/>
        <w:rPr>
          <w:rtl/>
        </w:rPr>
      </w:pPr>
      <w:r>
        <w:rPr>
          <w:rFonts w:hint="cs"/>
          <w:rtl/>
        </w:rPr>
        <w:t xml:space="preserve">يشير المفسّرون عادةً إلى الاختلافات الموجودة بين الرجل والمرأة، وإلى عجز النساء وضعفهنّ، لدى حديثهم عن آيات: </w:t>
      </w:r>
      <w:r w:rsidRPr="00AA2A63">
        <w:rPr>
          <w:rFonts w:hint="cs"/>
          <w:rtl/>
        </w:rPr>
        <w:sym w:font="Islamic Units 1" w:char="F03E"/>
      </w:r>
      <w:r w:rsidRPr="000E41CC">
        <w:rPr>
          <w:b/>
          <w:bCs/>
          <w:rtl/>
        </w:rPr>
        <w:t>الرِّجَالُ قَوَّامُونَ عَلَى النِّسَاء</w:t>
      </w:r>
      <w:r w:rsidRPr="00AA2A63">
        <w:rPr>
          <w:rFonts w:hint="cs"/>
          <w:rtl/>
        </w:rPr>
        <w:sym w:font="Islamic Units 1" w:char="F03C"/>
      </w:r>
      <w:r>
        <w:rPr>
          <w:rFonts w:hint="cs"/>
          <w:rtl/>
        </w:rPr>
        <w:t xml:space="preserve"> (النساء: 34)، و </w:t>
      </w:r>
      <w:r w:rsidRPr="00AA2A63">
        <w:rPr>
          <w:rFonts w:hint="cs"/>
          <w:rtl/>
        </w:rPr>
        <w:sym w:font="Islamic Units 1" w:char="F03E"/>
      </w:r>
      <w:r w:rsidRPr="000E41CC">
        <w:rPr>
          <w:b/>
          <w:bCs/>
          <w:rtl/>
        </w:rPr>
        <w:t>وَلِلرِّجَالِ عَلَيْهِنَّ دَرَجَةٌ</w:t>
      </w:r>
      <w:r w:rsidRPr="00AA2A63">
        <w:rPr>
          <w:rFonts w:hint="cs"/>
          <w:rtl/>
        </w:rPr>
        <w:sym w:font="Islamic Units 1" w:char="F03C"/>
      </w:r>
      <w:r>
        <w:rPr>
          <w:rFonts w:hint="cs"/>
          <w:rtl/>
        </w:rPr>
        <w:t xml:space="preserve"> (البقرة: 228)، وكذلك آية الشهادة، وغيرها</w:t>
      </w:r>
      <w:r w:rsidRPr="00815C4C">
        <w:rPr>
          <w:rFonts w:cs="Taher"/>
          <w:vertAlign w:val="superscript"/>
          <w:rtl/>
        </w:rPr>
        <w:t>(</w:t>
      </w:r>
      <w:r w:rsidRPr="00815C4C">
        <w:rPr>
          <w:rFonts w:cs="Taher"/>
          <w:vertAlign w:val="superscript"/>
          <w:rtl/>
        </w:rPr>
        <w:footnoteReference w:id="103"/>
      </w:r>
      <w:r w:rsidRPr="00815C4C">
        <w:rPr>
          <w:rFonts w:cs="Taher"/>
          <w:vertAlign w:val="superscript"/>
          <w:rtl/>
        </w:rPr>
        <w:t>)</w:t>
      </w:r>
      <w:r>
        <w:rPr>
          <w:rFonts w:hint="cs"/>
          <w:rtl/>
        </w:rPr>
        <w:t>.</w:t>
      </w:r>
    </w:p>
    <w:p w:rsidR="000E41CC" w:rsidRDefault="000E41CC" w:rsidP="00BB31B2">
      <w:pPr>
        <w:pStyle w:val="ac"/>
        <w:spacing w:line="199" w:lineRule="auto"/>
        <w:rPr>
          <w:rtl/>
        </w:rPr>
      </w:pPr>
      <w:r>
        <w:rPr>
          <w:rFonts w:hint="cs"/>
          <w:rtl/>
        </w:rPr>
        <w:lastRenderedPageBreak/>
        <w:t xml:space="preserve">ويطرح الزركشي في </w:t>
      </w:r>
      <w:r w:rsidRPr="002B759E">
        <w:rPr>
          <w:rFonts w:hint="cs"/>
        </w:rPr>
        <w:sym w:font="Islamic Units 1" w:char="F06D"/>
      </w:r>
      <w:r>
        <w:rPr>
          <w:rFonts w:hint="cs"/>
          <w:rtl/>
        </w:rPr>
        <w:t>البرهان في علوم القرآن</w:t>
      </w:r>
      <w:r w:rsidRPr="002B759E">
        <w:rPr>
          <w:rFonts w:hint="cs"/>
          <w:rtl/>
        </w:rPr>
        <w:sym w:font="Islamic Units 1" w:char="F06E"/>
      </w:r>
      <w:r>
        <w:rPr>
          <w:rFonts w:hint="cs"/>
          <w:rtl/>
        </w:rPr>
        <w:t xml:space="preserve">، لدى حديثه عن معنى </w:t>
      </w:r>
      <w:r w:rsidRPr="002B759E">
        <w:rPr>
          <w:rFonts w:hint="cs"/>
        </w:rPr>
        <w:sym w:font="Islamic Units 1" w:char="F06D"/>
      </w:r>
      <w:r>
        <w:rPr>
          <w:rFonts w:hint="cs"/>
          <w:rtl/>
        </w:rPr>
        <w:t>من</w:t>
      </w:r>
      <w:r w:rsidRPr="002B759E">
        <w:rPr>
          <w:rFonts w:hint="cs"/>
          <w:rtl/>
        </w:rPr>
        <w:sym w:font="Islamic Units 1" w:char="F06E"/>
      </w:r>
      <w:r>
        <w:rPr>
          <w:rFonts w:hint="cs"/>
          <w:rtl/>
        </w:rPr>
        <w:t xml:space="preserve"> الجارّة، وأنها تأتي بمعنى الجنس، المثالَ التالي: </w:t>
      </w:r>
      <w:r w:rsidRPr="002B759E">
        <w:rPr>
          <w:rFonts w:hint="cs"/>
        </w:rPr>
        <w:sym w:font="Islamic Units 1" w:char="F06D"/>
      </w:r>
      <w:r>
        <w:rPr>
          <w:rFonts w:hint="cs"/>
          <w:rtl/>
        </w:rPr>
        <w:t>الرجل خيرٌ من المرأة</w:t>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104"/>
      </w:r>
      <w:r w:rsidRPr="00815C4C">
        <w:rPr>
          <w:rFonts w:cs="Taher"/>
          <w:vertAlign w:val="superscript"/>
          <w:rtl/>
        </w:rPr>
        <w:t>)</w:t>
      </w:r>
      <w:r>
        <w:rPr>
          <w:rFonts w:hint="cs"/>
          <w:rtl/>
        </w:rPr>
        <w:t>، أي جنس الرجال خيرٌ من جنس النساء.</w:t>
      </w:r>
    </w:p>
    <w:p w:rsidR="000E41CC" w:rsidRPr="00BB31B2" w:rsidRDefault="000E41CC" w:rsidP="00BB31B2">
      <w:pPr>
        <w:pStyle w:val="afffffc"/>
        <w:rPr>
          <w:rtl/>
        </w:rPr>
      </w:pPr>
    </w:p>
    <w:p w:rsidR="000E41CC" w:rsidRPr="00092118" w:rsidRDefault="000E41CC" w:rsidP="00BB31B2">
      <w:pPr>
        <w:pStyle w:val="2"/>
        <w:rPr>
          <w:rtl/>
        </w:rPr>
      </w:pPr>
      <w:bookmarkStart w:id="143" w:name="_Toc275127923"/>
      <w:r>
        <w:rPr>
          <w:rFonts w:hint="cs"/>
          <w:rtl/>
        </w:rPr>
        <w:t>ب ـ كتب الحديث والمحدّثين</w:t>
      </w:r>
      <w:bookmarkEnd w:id="143"/>
    </w:p>
    <w:p w:rsidR="000E41CC" w:rsidRDefault="000E41CC" w:rsidP="00BB31B2">
      <w:pPr>
        <w:pStyle w:val="ac"/>
        <w:rPr>
          <w:rtl/>
        </w:rPr>
      </w:pPr>
      <w:r>
        <w:rPr>
          <w:rFonts w:hint="cs"/>
          <w:rtl/>
        </w:rPr>
        <w:t xml:space="preserve">في كتب الحديث ثمّة روايات في هذا المضمار يمكن مراجعتها في مثل كتاب: </w:t>
      </w:r>
      <w:r w:rsidRPr="002B759E">
        <w:rPr>
          <w:rFonts w:hint="cs"/>
        </w:rPr>
        <w:sym w:font="Islamic Units 1" w:char="F06D"/>
      </w:r>
      <w:r>
        <w:rPr>
          <w:rFonts w:hint="cs"/>
          <w:rtl/>
        </w:rPr>
        <w:t>النساء في أخبار الفريقين</w:t>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105"/>
      </w:r>
      <w:r w:rsidRPr="00815C4C">
        <w:rPr>
          <w:rFonts w:cs="Taher"/>
          <w:vertAlign w:val="superscript"/>
          <w:rtl/>
        </w:rPr>
        <w:t>)</w:t>
      </w:r>
      <w:r>
        <w:rPr>
          <w:rFonts w:hint="cs"/>
          <w:rtl/>
        </w:rPr>
        <w:t>، و</w:t>
      </w:r>
      <w:r w:rsidRPr="002B759E">
        <w:rPr>
          <w:rFonts w:hint="cs"/>
        </w:rPr>
        <w:sym w:font="Islamic Units 1" w:char="F06D"/>
      </w:r>
      <w:r>
        <w:rPr>
          <w:rFonts w:hint="cs"/>
          <w:rtl/>
        </w:rPr>
        <w:t>شخصية المرأة وحقوقها في الإسلام</w:t>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106"/>
      </w:r>
      <w:r w:rsidRPr="00815C4C">
        <w:rPr>
          <w:rFonts w:cs="Taher"/>
          <w:vertAlign w:val="superscript"/>
          <w:rtl/>
        </w:rPr>
        <w:t>)</w:t>
      </w:r>
      <w:r>
        <w:rPr>
          <w:rFonts w:hint="cs"/>
          <w:rtl/>
        </w:rPr>
        <w:t xml:space="preserve">، و </w:t>
      </w:r>
      <w:r w:rsidRPr="002B759E">
        <w:rPr>
          <w:rFonts w:hint="cs"/>
        </w:rPr>
        <w:sym w:font="Islamic Units 1" w:char="F06D"/>
      </w:r>
      <w:r>
        <w:rPr>
          <w:rFonts w:hint="cs"/>
          <w:rtl/>
        </w:rPr>
        <w:t>المرأة في كلام الإمام علي</w:t>
      </w:r>
      <w:r w:rsidRPr="000E41CC">
        <w:rPr>
          <w:rFonts w:hint="cs"/>
          <w:rtl/>
        </w:rPr>
        <w:t>×</w:t>
      </w:r>
      <w:r>
        <w:rPr>
          <w:rFonts w:hint="cs"/>
          <w:rtl/>
        </w:rPr>
        <w:t xml:space="preserve"> وسيرته</w:t>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107"/>
      </w:r>
      <w:r w:rsidRPr="00815C4C">
        <w:rPr>
          <w:rFonts w:cs="Taher"/>
          <w:vertAlign w:val="superscript"/>
          <w:rtl/>
        </w:rPr>
        <w:t>)</w:t>
      </w:r>
      <w:r>
        <w:rPr>
          <w:rFonts w:hint="cs"/>
          <w:rtl/>
        </w:rPr>
        <w:t xml:space="preserve"> و..</w:t>
      </w:r>
    </w:p>
    <w:p w:rsidR="000E41CC" w:rsidRDefault="000E41CC" w:rsidP="00BB31B2">
      <w:pPr>
        <w:pStyle w:val="ac"/>
        <w:rPr>
          <w:rtl/>
        </w:rPr>
      </w:pPr>
      <w:r>
        <w:rPr>
          <w:rFonts w:hint="cs"/>
          <w:rtl/>
        </w:rPr>
        <w:t>ويعتبر الملا أمين الاسترآبادي الروايات الدالّة على مشاورة النساء ومخالفتهنّ نعمةً إلهية على الرجال، فيراها تضع بين يديهم معياراً شاخصاً وميزاناً سليماً لتمييز الصواب عن الخطأ</w:t>
      </w:r>
      <w:r w:rsidRPr="00815C4C">
        <w:rPr>
          <w:rFonts w:cs="Taher"/>
          <w:vertAlign w:val="superscript"/>
          <w:rtl/>
        </w:rPr>
        <w:t>(</w:t>
      </w:r>
      <w:r w:rsidRPr="00815C4C">
        <w:rPr>
          <w:rFonts w:cs="Taher"/>
          <w:vertAlign w:val="superscript"/>
          <w:rtl/>
        </w:rPr>
        <w:footnoteReference w:id="108"/>
      </w:r>
      <w:r w:rsidRPr="00815C4C">
        <w:rPr>
          <w:rFonts w:cs="Taher"/>
          <w:vertAlign w:val="superscript"/>
          <w:rtl/>
        </w:rPr>
        <w:t>)</w:t>
      </w:r>
      <w:r>
        <w:rPr>
          <w:rFonts w:hint="cs"/>
          <w:rtl/>
        </w:rPr>
        <w:t>.</w:t>
      </w:r>
    </w:p>
    <w:p w:rsidR="000E41CC" w:rsidRPr="00BB31B2" w:rsidRDefault="000E41CC" w:rsidP="00BB31B2">
      <w:pPr>
        <w:pStyle w:val="afffffc"/>
        <w:rPr>
          <w:sz w:val="24"/>
          <w:szCs w:val="22"/>
          <w:rtl/>
        </w:rPr>
      </w:pPr>
    </w:p>
    <w:p w:rsidR="000E41CC" w:rsidRDefault="000E41CC" w:rsidP="00BB31B2">
      <w:pPr>
        <w:pStyle w:val="2"/>
        <w:rPr>
          <w:rtl/>
        </w:rPr>
      </w:pPr>
      <w:bookmarkStart w:id="144" w:name="_Toc275127924"/>
      <w:r>
        <w:rPr>
          <w:rFonts w:hint="cs"/>
          <w:rtl/>
        </w:rPr>
        <w:t>ج ـ كتب الكلام والفلسفة والعرفان</w:t>
      </w:r>
      <w:bookmarkEnd w:id="144"/>
    </w:p>
    <w:p w:rsidR="000E41CC" w:rsidRDefault="000E41CC" w:rsidP="00BB31B2">
      <w:pPr>
        <w:pStyle w:val="ac"/>
        <w:spacing w:line="197" w:lineRule="auto"/>
        <w:rPr>
          <w:rtl/>
        </w:rPr>
      </w:pPr>
      <w:r>
        <w:rPr>
          <w:rFonts w:hint="cs"/>
          <w:rtl/>
        </w:rPr>
        <w:t>ويكتب ضياء الدين الجرجاني، وهو أحد متكلّمي القرن التاسع في هذا الموضوع</w:t>
      </w:r>
      <w:r w:rsidRPr="00815C4C">
        <w:rPr>
          <w:rFonts w:cs="Taher"/>
          <w:vertAlign w:val="superscript"/>
          <w:rtl/>
        </w:rPr>
        <w:t>(</w:t>
      </w:r>
      <w:r w:rsidRPr="00815C4C">
        <w:rPr>
          <w:rFonts w:cs="Taher"/>
          <w:vertAlign w:val="superscript"/>
          <w:rtl/>
        </w:rPr>
        <w:footnoteReference w:id="109"/>
      </w:r>
      <w:r w:rsidRPr="00815C4C">
        <w:rPr>
          <w:rFonts w:cs="Taher"/>
          <w:vertAlign w:val="superscript"/>
          <w:rtl/>
        </w:rPr>
        <w:t>)</w:t>
      </w:r>
      <w:r>
        <w:rPr>
          <w:rFonts w:hint="cs"/>
          <w:rtl/>
        </w:rPr>
        <w:t xml:space="preserve">، ويعدّد الملا صدرا الشيرازي في </w:t>
      </w:r>
      <w:r w:rsidRPr="002B759E">
        <w:rPr>
          <w:rFonts w:hint="cs"/>
        </w:rPr>
        <w:sym w:font="Islamic Units 1" w:char="F06D"/>
      </w:r>
      <w:r>
        <w:rPr>
          <w:rFonts w:hint="cs"/>
          <w:rtl/>
        </w:rPr>
        <w:t>الأسفار الأربعة</w:t>
      </w:r>
      <w:r w:rsidRPr="002B759E">
        <w:rPr>
          <w:rFonts w:hint="cs"/>
          <w:rtl/>
        </w:rPr>
        <w:sym w:font="Islamic Units 1" w:char="F06E"/>
      </w:r>
      <w:r>
        <w:rPr>
          <w:rFonts w:hint="cs"/>
          <w:rtl/>
        </w:rPr>
        <w:t xml:space="preserve"> النعم الإلهية على الإنسان، ويرى من ضمنها خلق الحيوانات المختلفة له، ليأكل بعضها، ويركب بعضها الآخر، ويرتاح لبعضها الثالث، وبعضها للزواج، مستعرضاً عند ذلك قوله تعالى: </w:t>
      </w:r>
      <w:r w:rsidR="00BB31B2">
        <w:rPr>
          <w:rFonts w:ascii="Mosawi" w:hAnsi="Mosawi"/>
          <w:rtl/>
        </w:rPr>
        <w:t>﴿</w:t>
      </w:r>
      <w:r w:rsidRPr="000E41CC">
        <w:rPr>
          <w:b/>
          <w:bCs/>
          <w:rtl/>
        </w:rPr>
        <w:t>وَالله جَعَلَ لَكُم مِّنْ أَنفُسِكُمْ أَزْوَاجًا</w:t>
      </w:r>
      <w:r w:rsidR="00BB31B2">
        <w:rPr>
          <w:rFonts w:ascii="Mosawi" w:hAnsi="Mosawi"/>
          <w:rtl/>
        </w:rPr>
        <w:t>﴾</w:t>
      </w:r>
      <w:r w:rsidRPr="000E41CC">
        <w:rPr>
          <w:rFonts w:hint="cs"/>
          <w:b/>
          <w:bCs/>
          <w:rtl/>
        </w:rPr>
        <w:t>.</w:t>
      </w:r>
    </w:p>
    <w:p w:rsidR="000E41CC" w:rsidRDefault="000E41CC" w:rsidP="00BB31B2">
      <w:pPr>
        <w:pStyle w:val="ac"/>
        <w:spacing w:line="197" w:lineRule="auto"/>
        <w:rPr>
          <w:rtl/>
        </w:rPr>
      </w:pPr>
      <w:r>
        <w:rPr>
          <w:rFonts w:hint="cs"/>
          <w:rtl/>
        </w:rPr>
        <w:lastRenderedPageBreak/>
        <w:t>ويعلّق الحاج ملا هادي السبزواري على هذا المقطع من كلام الشيرازي أيضاً فليراجع</w:t>
      </w:r>
      <w:r w:rsidRPr="00815C4C">
        <w:rPr>
          <w:rFonts w:cs="Taher" w:hint="cs"/>
          <w:vertAlign w:val="superscript"/>
          <w:rtl/>
        </w:rPr>
        <w:t>(</w:t>
      </w:r>
      <w:r w:rsidRPr="00815C4C">
        <w:rPr>
          <w:rFonts w:cs="Taher"/>
          <w:vertAlign w:val="superscript"/>
          <w:rtl/>
        </w:rPr>
        <w:footnoteReference w:id="110"/>
      </w:r>
      <w:r w:rsidRPr="00815C4C">
        <w:rPr>
          <w:rFonts w:cs="Taher"/>
          <w:vertAlign w:val="superscript"/>
          <w:rtl/>
        </w:rPr>
        <w:t>)</w:t>
      </w:r>
      <w:r>
        <w:rPr>
          <w:rFonts w:hint="cs"/>
          <w:rtl/>
        </w:rPr>
        <w:t>.</w:t>
      </w:r>
    </w:p>
    <w:p w:rsidR="000E41CC" w:rsidRPr="00BB31B2" w:rsidRDefault="000E41CC" w:rsidP="00BB31B2">
      <w:pPr>
        <w:pStyle w:val="afffffc"/>
        <w:rPr>
          <w:sz w:val="18"/>
          <w:szCs w:val="16"/>
          <w:rtl/>
        </w:rPr>
      </w:pPr>
    </w:p>
    <w:p w:rsidR="000E41CC" w:rsidRDefault="000E41CC" w:rsidP="00BB31B2">
      <w:pPr>
        <w:pStyle w:val="2"/>
        <w:rPr>
          <w:rtl/>
        </w:rPr>
      </w:pPr>
      <w:bookmarkStart w:id="145" w:name="_Toc275127925"/>
      <w:r>
        <w:rPr>
          <w:rFonts w:hint="cs"/>
          <w:rtl/>
        </w:rPr>
        <w:t>د ـ كتب الفقه</w:t>
      </w:r>
      <w:bookmarkEnd w:id="145"/>
    </w:p>
    <w:p w:rsidR="000E41CC" w:rsidRDefault="000E41CC" w:rsidP="00BB31B2">
      <w:pPr>
        <w:pStyle w:val="ac"/>
        <w:spacing w:line="199" w:lineRule="auto"/>
        <w:rPr>
          <w:rtl/>
        </w:rPr>
      </w:pPr>
      <w:r>
        <w:rPr>
          <w:rFonts w:hint="cs"/>
          <w:rtl/>
        </w:rPr>
        <w:t>إذا تغاضينا عن الفوارق الموجودة في كتب الفقه بين الرجل والمرأة في الأحكام، والتي تصل إلى أكثر من مائة وخمسين فارقاً</w:t>
      </w:r>
      <w:r w:rsidRPr="00815C4C">
        <w:rPr>
          <w:rFonts w:cs="Taher"/>
          <w:vertAlign w:val="superscript"/>
          <w:rtl/>
        </w:rPr>
        <w:t>(</w:t>
      </w:r>
      <w:r w:rsidRPr="00815C4C">
        <w:rPr>
          <w:rFonts w:cs="Taher"/>
          <w:vertAlign w:val="superscript"/>
          <w:rtl/>
        </w:rPr>
        <w:footnoteReference w:id="111"/>
      </w:r>
      <w:r w:rsidRPr="00815C4C">
        <w:rPr>
          <w:rFonts w:cs="Taher"/>
          <w:vertAlign w:val="superscript"/>
          <w:rtl/>
        </w:rPr>
        <w:t>)</w:t>
      </w:r>
      <w:r>
        <w:rPr>
          <w:rFonts w:hint="cs"/>
          <w:rtl/>
        </w:rPr>
        <w:t>، سنلاحظ أن الآراء والنظريّات هنا جديرة بالتأمل، من قبيل اعتبار أن الرجال أولى من النساء في صلاة الميّت على حدّ أولويّت الحرّ على العبد</w:t>
      </w:r>
      <w:r w:rsidRPr="00815C4C">
        <w:rPr>
          <w:rFonts w:cs="Taher"/>
          <w:vertAlign w:val="superscript"/>
          <w:rtl/>
        </w:rPr>
        <w:t>(</w:t>
      </w:r>
      <w:r w:rsidRPr="00815C4C">
        <w:rPr>
          <w:rFonts w:cs="Taher"/>
          <w:vertAlign w:val="superscript"/>
          <w:rtl/>
        </w:rPr>
        <w:footnoteReference w:id="112"/>
      </w:r>
      <w:r w:rsidRPr="00815C4C">
        <w:rPr>
          <w:rFonts w:cs="Taher"/>
          <w:vertAlign w:val="superscript"/>
          <w:rtl/>
        </w:rPr>
        <w:t>)</w:t>
      </w:r>
      <w:r>
        <w:rPr>
          <w:rFonts w:hint="cs"/>
          <w:rtl/>
        </w:rPr>
        <w:t>، وهكذا غلبة الفسق في النساء وقلّة العدالة فيهنّ</w:t>
      </w:r>
      <w:r w:rsidRPr="00815C4C">
        <w:rPr>
          <w:rFonts w:cs="Taher"/>
          <w:vertAlign w:val="superscript"/>
          <w:rtl/>
        </w:rPr>
        <w:t>(</w:t>
      </w:r>
      <w:r w:rsidRPr="00815C4C">
        <w:rPr>
          <w:rFonts w:cs="Taher"/>
          <w:vertAlign w:val="superscript"/>
          <w:rtl/>
        </w:rPr>
        <w:footnoteReference w:id="113"/>
      </w:r>
      <w:r w:rsidRPr="00815C4C">
        <w:rPr>
          <w:rFonts w:cs="Taher"/>
          <w:vertAlign w:val="superscript"/>
          <w:rtl/>
        </w:rPr>
        <w:t>)</w:t>
      </w:r>
      <w:r>
        <w:rPr>
          <w:rFonts w:hint="cs"/>
          <w:rtl/>
        </w:rPr>
        <w:t>، وتشبيه الزواج بالإيجار والاستئجار</w:t>
      </w:r>
      <w:r w:rsidRPr="00815C4C">
        <w:rPr>
          <w:rFonts w:cs="Taher"/>
          <w:vertAlign w:val="superscript"/>
          <w:rtl/>
        </w:rPr>
        <w:t>(</w:t>
      </w:r>
      <w:r w:rsidRPr="00815C4C">
        <w:rPr>
          <w:rFonts w:cs="Taher"/>
          <w:vertAlign w:val="superscript"/>
          <w:rtl/>
        </w:rPr>
        <w:footnoteReference w:id="114"/>
      </w:r>
      <w:r w:rsidRPr="00815C4C">
        <w:rPr>
          <w:rFonts w:cs="Taher"/>
          <w:vertAlign w:val="superscript"/>
          <w:rtl/>
        </w:rPr>
        <w:t>)</w:t>
      </w:r>
      <w:r>
        <w:rPr>
          <w:rFonts w:hint="cs"/>
          <w:rtl/>
        </w:rPr>
        <w:t>، وتعداد عظام القفص الصدري للرجل والمرأة بغية تقسيم إرث الخنثى</w:t>
      </w:r>
      <w:r w:rsidRPr="00815C4C">
        <w:rPr>
          <w:rFonts w:cs="Taher"/>
          <w:vertAlign w:val="superscript"/>
          <w:rtl/>
        </w:rPr>
        <w:t>(</w:t>
      </w:r>
      <w:r w:rsidRPr="00815C4C">
        <w:rPr>
          <w:rFonts w:cs="Taher"/>
          <w:vertAlign w:val="superscript"/>
          <w:rtl/>
        </w:rPr>
        <w:footnoteReference w:id="115"/>
      </w:r>
      <w:r w:rsidRPr="00815C4C">
        <w:rPr>
          <w:rFonts w:cs="Taher"/>
          <w:vertAlign w:val="superscript"/>
          <w:rtl/>
        </w:rPr>
        <w:t>)</w:t>
      </w:r>
      <w:r>
        <w:rPr>
          <w:rFonts w:hint="cs"/>
          <w:rtl/>
        </w:rPr>
        <w:t>، ولياقة الرجال للكمال</w:t>
      </w:r>
      <w:r w:rsidRPr="00815C4C">
        <w:rPr>
          <w:rFonts w:cs="Taher"/>
          <w:vertAlign w:val="superscript"/>
          <w:rtl/>
        </w:rPr>
        <w:t>(</w:t>
      </w:r>
      <w:r w:rsidRPr="00815C4C">
        <w:rPr>
          <w:rFonts w:cs="Taher"/>
          <w:vertAlign w:val="superscript"/>
          <w:rtl/>
        </w:rPr>
        <w:footnoteReference w:id="116"/>
      </w:r>
      <w:r w:rsidRPr="00815C4C">
        <w:rPr>
          <w:rFonts w:cs="Taher"/>
          <w:vertAlign w:val="superscript"/>
          <w:rtl/>
        </w:rPr>
        <w:t>)</w:t>
      </w:r>
      <w:r>
        <w:rPr>
          <w:rFonts w:hint="cs"/>
          <w:rtl/>
        </w:rPr>
        <w:t xml:space="preserve"> و..</w:t>
      </w:r>
    </w:p>
    <w:p w:rsidR="000E41CC" w:rsidRDefault="000E41CC" w:rsidP="00BB31B2">
      <w:pPr>
        <w:pStyle w:val="ac"/>
        <w:spacing w:line="199" w:lineRule="auto"/>
        <w:rPr>
          <w:rtl/>
        </w:rPr>
      </w:pPr>
      <w:r>
        <w:rPr>
          <w:rFonts w:hint="cs"/>
          <w:rtl/>
        </w:rPr>
        <w:t>وإذا تخطّينا هذه المصادر العامّة، فليست قليلةً المصادر الخاصّة بدراسة قضايا المرأة والتي دوّنت في القرن الأخير، وقد بدأت هذه النتاجات بالبحث ـ حصراً ـ حول مسألة الحجاب، ثم توسّعت لتحمل عنوان: المرأة في الإسلام، أو تفسير بعض الآيات، أو حتى الموضوعات الخاصّة.</w:t>
      </w:r>
    </w:p>
    <w:p w:rsidR="000E41CC" w:rsidRDefault="000E41CC" w:rsidP="00BB31B2">
      <w:pPr>
        <w:pStyle w:val="ac"/>
        <w:spacing w:line="199" w:lineRule="auto"/>
        <w:rPr>
          <w:rtl/>
        </w:rPr>
      </w:pPr>
      <w:r>
        <w:rPr>
          <w:rFonts w:hint="cs"/>
          <w:rtl/>
        </w:rPr>
        <w:t>ونستعرض هنا بالتعريف بعضاً من أهمّ هذه الأعمال:</w:t>
      </w:r>
    </w:p>
    <w:p w:rsidR="00BB31B2" w:rsidRPr="00BB31B2" w:rsidRDefault="00BB31B2" w:rsidP="00BB31B2">
      <w:pPr>
        <w:pStyle w:val="afffffc"/>
        <w:rPr>
          <w:sz w:val="16"/>
          <w:szCs w:val="14"/>
          <w:rtl/>
        </w:rPr>
      </w:pPr>
    </w:p>
    <w:p w:rsidR="000E41CC" w:rsidRDefault="00E06333" w:rsidP="00BB31B2">
      <w:pPr>
        <w:pStyle w:val="3"/>
        <w:rPr>
          <w:rtl/>
        </w:rPr>
      </w:pPr>
      <w:bookmarkStart w:id="146" w:name="_Toc275127926"/>
      <w:r>
        <w:rPr>
          <w:rFonts w:hint="cs"/>
          <w:rtl/>
        </w:rPr>
        <w:t>1</w:t>
      </w:r>
      <w:r w:rsidR="000E41CC" w:rsidRPr="00306795">
        <w:rPr>
          <w:rFonts w:hint="cs"/>
          <w:rtl/>
        </w:rPr>
        <w:t>ـ رسالة وجوب الحجاب، لمحمد صادق الأورومي، فخر الإسلام (1330هـ)</w:t>
      </w:r>
      <w:bookmarkEnd w:id="146"/>
      <w:r w:rsidR="000E41CC">
        <w:rPr>
          <w:rFonts w:hint="cs"/>
          <w:rtl/>
        </w:rPr>
        <w:t xml:space="preserve"> </w:t>
      </w:r>
    </w:p>
    <w:p w:rsidR="000E41CC" w:rsidRDefault="000E41CC" w:rsidP="000E41CC">
      <w:pPr>
        <w:pStyle w:val="ac"/>
        <w:rPr>
          <w:rtl/>
        </w:rPr>
      </w:pPr>
      <w:r>
        <w:rPr>
          <w:rFonts w:hint="cs"/>
          <w:rtl/>
        </w:rPr>
        <w:t xml:space="preserve">وقد صنف المؤلّف هذا الكتاب عام 1910م، ودافع فيه ـ مستنداً إلى القرآن </w:t>
      </w:r>
      <w:r>
        <w:rPr>
          <w:rFonts w:hint="cs"/>
          <w:rtl/>
        </w:rPr>
        <w:lastRenderedPageBreak/>
        <w:t xml:space="preserve">والإنجيل ـ عن مسألة وجوب الحجاب، وقد حوى قسمٌ من هذه الرسالة على خلاصة موجزة </w:t>
      </w:r>
      <w:r>
        <w:rPr>
          <w:rFonts w:hint="cs"/>
          <w:sz w:val="26"/>
          <w:rtl/>
        </w:rPr>
        <w:t>لآراء</w:t>
      </w:r>
      <w:r>
        <w:rPr>
          <w:rFonts w:hint="cs"/>
          <w:rtl/>
        </w:rPr>
        <w:t xml:space="preserve"> المسيحيين ثم المسلمين في المرأة، وذلك على الشكل التالي:</w:t>
      </w:r>
    </w:p>
    <w:p w:rsidR="000E41CC" w:rsidRDefault="000E41CC" w:rsidP="00BB31B2">
      <w:pPr>
        <w:pStyle w:val="ac"/>
        <w:rPr>
          <w:rtl/>
        </w:rPr>
      </w:pPr>
      <w:r>
        <w:rPr>
          <w:rFonts w:hint="cs"/>
          <w:rtl/>
        </w:rPr>
        <w:t>1 ـ إن الحياء والتقوى هما زينة المرأة لا الذهب والمرجان واللؤلؤ.</w:t>
      </w:r>
    </w:p>
    <w:p w:rsidR="000E41CC" w:rsidRDefault="000E41CC" w:rsidP="00BB31B2">
      <w:pPr>
        <w:pStyle w:val="ac"/>
        <w:rPr>
          <w:rtl/>
        </w:rPr>
      </w:pPr>
      <w:r>
        <w:rPr>
          <w:rFonts w:hint="cs"/>
          <w:rtl/>
        </w:rPr>
        <w:t>2 ـ إن المرأة تثبت تديّنها بالأعمال الصالحة، لا بالتجارة والاختلاط بالرجال.</w:t>
      </w:r>
    </w:p>
    <w:p w:rsidR="000E41CC" w:rsidRPr="004A0B81" w:rsidRDefault="000E41CC" w:rsidP="00BB31B2">
      <w:pPr>
        <w:pStyle w:val="ac"/>
        <w:rPr>
          <w:spacing w:val="-10"/>
          <w:rtl/>
        </w:rPr>
      </w:pPr>
      <w:r>
        <w:rPr>
          <w:rFonts w:hint="cs"/>
          <w:rtl/>
        </w:rPr>
        <w:t xml:space="preserve">3 ـ </w:t>
      </w:r>
      <w:r w:rsidRPr="004A0B81">
        <w:rPr>
          <w:rFonts w:hint="cs"/>
          <w:spacing w:val="-10"/>
          <w:rtl/>
        </w:rPr>
        <w:t>لا يصحّ أن تهيمن المرأة على زوجها أو تتحكّم فيه؛ فالرجال قوّامون على النساء.</w:t>
      </w:r>
    </w:p>
    <w:p w:rsidR="000E41CC" w:rsidRDefault="000E41CC" w:rsidP="00BB31B2">
      <w:pPr>
        <w:pStyle w:val="ac"/>
        <w:rPr>
          <w:rtl/>
        </w:rPr>
      </w:pPr>
      <w:r>
        <w:rPr>
          <w:rFonts w:hint="cs"/>
          <w:rtl/>
        </w:rPr>
        <w:t>4 ـ خلق الله آدم أولاً ثم حواء، وعليه فلا بدّ من تقدّم الرجال دائماً.</w:t>
      </w:r>
    </w:p>
    <w:p w:rsidR="000E41CC" w:rsidRDefault="000E41CC" w:rsidP="00BB31B2">
      <w:pPr>
        <w:pStyle w:val="ac"/>
        <w:rPr>
          <w:rtl/>
        </w:rPr>
      </w:pPr>
      <w:r>
        <w:rPr>
          <w:rFonts w:hint="cs"/>
          <w:rtl/>
        </w:rPr>
        <w:t>5 ـ لم يخدع الشيطان آدم، إنّما خدع حوّاء؛ وعليه فالنساء ينخدعون بسرعةٍ، ولذا فالمطلوب منهنّ الحجاب والنقاب، والسكن في البيوت، لا الزينة والكشف والاختلاط بالرجال</w:t>
      </w:r>
      <w:r w:rsidRPr="00815C4C">
        <w:rPr>
          <w:rFonts w:cs="Taher"/>
          <w:vertAlign w:val="superscript"/>
          <w:rtl/>
        </w:rPr>
        <w:t>(</w:t>
      </w:r>
      <w:r w:rsidRPr="00815C4C">
        <w:rPr>
          <w:rFonts w:cs="Taher"/>
          <w:vertAlign w:val="superscript"/>
          <w:rtl/>
        </w:rPr>
        <w:footnoteReference w:id="117"/>
      </w:r>
      <w:r w:rsidRPr="00815C4C">
        <w:rPr>
          <w:rFonts w:cs="Taher"/>
          <w:vertAlign w:val="superscript"/>
          <w:rtl/>
        </w:rPr>
        <w:t>)</w:t>
      </w:r>
      <w:r>
        <w:rPr>
          <w:rFonts w:hint="cs"/>
          <w:rtl/>
        </w:rPr>
        <w:t>.</w:t>
      </w:r>
    </w:p>
    <w:p w:rsidR="000E41CC" w:rsidRDefault="000E41CC" w:rsidP="00BB31B2">
      <w:pPr>
        <w:pStyle w:val="ac"/>
        <w:rPr>
          <w:rtl/>
        </w:rPr>
      </w:pPr>
      <w:r w:rsidRPr="004A0B81">
        <w:rPr>
          <w:rFonts w:hint="cs"/>
          <w:rtl/>
        </w:rPr>
        <w:t>هذا، وقد دوّنت رسائل أخرى عديدة بهذا المضمون في هذه المرحلة مثل: سدول الحجاب في وجوب الحجاب للبلادري البوشهري، ورسالة شريفة في لزوم الحجاب، وهي من تأليف مجموعة من أنصار الحركة الدستورية، ورسالة ردّ كشف الحجاب لأسد الله الخرقاني، وفلسفة الحجاب لأبي عبدالله الزنجاني، وصواب الخطاب في إتقان الحجاب، لمير هاشم مجتهد هرندي الخوئي، وحجاب برده دو شيرنكَان لمحمد حسن صابري المازندراني، ولبّ اللباب للسيد علي أكبر الرضوي البرقعي و..</w:t>
      </w:r>
      <w:r w:rsidRPr="00815C4C">
        <w:rPr>
          <w:rFonts w:cs="Taher"/>
          <w:vertAlign w:val="superscript"/>
          <w:rtl/>
        </w:rPr>
        <w:t>(</w:t>
      </w:r>
      <w:r w:rsidRPr="00815C4C">
        <w:rPr>
          <w:rFonts w:cs="Taher"/>
          <w:vertAlign w:val="superscript"/>
          <w:rtl/>
        </w:rPr>
        <w:footnoteReference w:id="118"/>
      </w:r>
      <w:r w:rsidRPr="00815C4C">
        <w:rPr>
          <w:rFonts w:cs="Taher"/>
          <w:vertAlign w:val="superscript"/>
          <w:rtl/>
        </w:rPr>
        <w:t>)</w:t>
      </w:r>
      <w:r w:rsidRPr="004A0B81">
        <w:rPr>
          <w:rFonts w:hint="cs"/>
          <w:rtl/>
        </w:rPr>
        <w:t>.</w:t>
      </w:r>
    </w:p>
    <w:p w:rsidR="000E41CC" w:rsidRPr="00BB31B2" w:rsidRDefault="000E41CC" w:rsidP="00BB31B2">
      <w:pPr>
        <w:pStyle w:val="afffffc"/>
        <w:rPr>
          <w:sz w:val="22"/>
          <w:szCs w:val="20"/>
          <w:rtl/>
        </w:rPr>
      </w:pPr>
    </w:p>
    <w:p w:rsidR="000E41CC" w:rsidRPr="00306795" w:rsidRDefault="000E41CC" w:rsidP="00BB31B2">
      <w:pPr>
        <w:pStyle w:val="2"/>
        <w:rPr>
          <w:rtl/>
        </w:rPr>
      </w:pPr>
      <w:bookmarkStart w:id="147" w:name="_Toc275127927"/>
      <w:r w:rsidRPr="00306795">
        <w:rPr>
          <w:rFonts w:hint="cs"/>
          <w:rtl/>
        </w:rPr>
        <w:t>2 ـ طومار عفت، ليوسف النجفي الجيلاني (1948م)</w:t>
      </w:r>
      <w:bookmarkEnd w:id="147"/>
    </w:p>
    <w:p w:rsidR="000E41CC" w:rsidRDefault="000E41CC" w:rsidP="000E41CC">
      <w:pPr>
        <w:pStyle w:val="ac"/>
        <w:rPr>
          <w:rtl/>
        </w:rPr>
      </w:pPr>
      <w:r>
        <w:rPr>
          <w:rFonts w:hint="cs"/>
          <w:rtl/>
        </w:rPr>
        <w:t>طبع هذا الكتاب للمرّة الأولى في (رشت) عام 1346هـ، ثم طبع للمرّة الثانية عام 1955م في مدينة قم، ثم عاد وطبع للمرّة الثالثة عام 1993م في مدينة قم أيضاً</w:t>
      </w:r>
      <w:r w:rsidRPr="00815C4C">
        <w:rPr>
          <w:rFonts w:cs="Taher"/>
          <w:vertAlign w:val="superscript"/>
          <w:rtl/>
        </w:rPr>
        <w:t>(</w:t>
      </w:r>
      <w:r w:rsidRPr="00815C4C">
        <w:rPr>
          <w:rFonts w:cs="Taher"/>
          <w:vertAlign w:val="superscript"/>
          <w:rtl/>
        </w:rPr>
        <w:footnoteReference w:id="119"/>
      </w:r>
      <w:r w:rsidRPr="00815C4C">
        <w:rPr>
          <w:rFonts w:cs="Taher"/>
          <w:vertAlign w:val="superscript"/>
          <w:rtl/>
        </w:rPr>
        <w:t>)</w:t>
      </w:r>
      <w:r>
        <w:rPr>
          <w:rFonts w:hint="cs"/>
          <w:rtl/>
        </w:rPr>
        <w:t>، وأصل الكتاب يقع في مجلّدين، إلاّ أن الذي يبدو أن المجلّد الثاني لم يطبع حتى الآن.</w:t>
      </w:r>
    </w:p>
    <w:p w:rsidR="000E41CC" w:rsidRDefault="000E41CC" w:rsidP="00BB31B2">
      <w:pPr>
        <w:pStyle w:val="ac"/>
        <w:rPr>
          <w:rtl/>
        </w:rPr>
      </w:pPr>
      <w:r>
        <w:rPr>
          <w:rFonts w:hint="cs"/>
          <w:rtl/>
        </w:rPr>
        <w:t xml:space="preserve">وقد استفاد المؤلّف من بعض أعمال الكتّاب العرب مثل: الإسلام روح المدنيّة </w:t>
      </w:r>
      <w:r>
        <w:rPr>
          <w:rFonts w:hint="cs"/>
          <w:rtl/>
        </w:rPr>
        <w:lastRenderedPageBreak/>
        <w:t>لمصطفى الغلاييني، ومبدأ ارتباط التمدّن بدين الإسلام، لعبد الحميد أفندي الجابري، والمرأة المسلمة، لمحمد فريد وجدي، كما اعتمد على بعض المجلات العربية مثل: العرفان، والهلال، والمنار، والحبل المتين، والإسلام</w:t>
      </w:r>
      <w:r w:rsidRPr="00815C4C">
        <w:rPr>
          <w:rFonts w:cs="Taher"/>
          <w:vertAlign w:val="superscript"/>
          <w:rtl/>
        </w:rPr>
        <w:t>(</w:t>
      </w:r>
      <w:r w:rsidRPr="00815C4C">
        <w:rPr>
          <w:rFonts w:cs="Taher"/>
          <w:vertAlign w:val="superscript"/>
          <w:rtl/>
        </w:rPr>
        <w:footnoteReference w:id="120"/>
      </w:r>
      <w:r w:rsidRPr="00815C4C">
        <w:rPr>
          <w:rFonts w:cs="Taher"/>
          <w:vertAlign w:val="superscript"/>
          <w:rtl/>
        </w:rPr>
        <w:t>)</w:t>
      </w:r>
      <w:r>
        <w:rPr>
          <w:rFonts w:hint="cs"/>
          <w:rtl/>
        </w:rPr>
        <w:t>.</w:t>
      </w:r>
    </w:p>
    <w:p w:rsidR="000E41CC" w:rsidRDefault="000E41CC" w:rsidP="00BB31B2">
      <w:pPr>
        <w:pStyle w:val="ac"/>
        <w:rPr>
          <w:rtl/>
        </w:rPr>
      </w:pPr>
      <w:r>
        <w:rPr>
          <w:rFonts w:hint="cs"/>
          <w:rtl/>
        </w:rPr>
        <w:t>وقد تحدّث المؤلّف عن المرأة في المراحل الزمنية السابقة، وكذا عن مقارنتها بالرجل من وجهات نظر مختلفة، محلّلاً بعض الآراء في الاختلافات الحقوقية بين الرجل والمرأة في الإسلام، متحدّثاً عن مسألة الحجاب أيضاً.</w:t>
      </w:r>
    </w:p>
    <w:p w:rsidR="000E41CC" w:rsidRPr="00BB31B2" w:rsidRDefault="000E41CC" w:rsidP="00BB31B2">
      <w:pPr>
        <w:pStyle w:val="afffffc"/>
        <w:rPr>
          <w:sz w:val="16"/>
          <w:szCs w:val="14"/>
          <w:rtl/>
        </w:rPr>
      </w:pPr>
    </w:p>
    <w:p w:rsidR="000E41CC" w:rsidRDefault="000E41CC" w:rsidP="00BB31B2">
      <w:pPr>
        <w:pStyle w:val="3"/>
        <w:rPr>
          <w:rtl/>
        </w:rPr>
      </w:pPr>
      <w:bookmarkStart w:id="148" w:name="_Toc275127928"/>
      <w:r w:rsidRPr="003A5598">
        <w:rPr>
          <w:rFonts w:hint="cs"/>
          <w:rtl/>
        </w:rPr>
        <w:t>3 ـ مدنيّة الإسلام روح التمدّن، للشيخ أحد الشاهرودي</w:t>
      </w:r>
      <w:bookmarkEnd w:id="148"/>
    </w:p>
    <w:p w:rsidR="000E41CC" w:rsidRDefault="000E41CC" w:rsidP="00BB31B2">
      <w:pPr>
        <w:pStyle w:val="ac"/>
        <w:spacing w:line="199" w:lineRule="auto"/>
        <w:rPr>
          <w:rtl/>
        </w:rPr>
      </w:pPr>
      <w:r>
        <w:rPr>
          <w:rFonts w:hint="cs"/>
          <w:rtl/>
        </w:rPr>
        <w:t>طبع هذا الكتاب عام 1346هـ في النجف، ويقع في 363 صفحة، خصّصت منها لمسألة المرأة والحجاب 66 صفحة</w:t>
      </w:r>
      <w:r w:rsidRPr="00815C4C">
        <w:rPr>
          <w:rFonts w:cs="Taher"/>
          <w:vertAlign w:val="superscript"/>
          <w:rtl/>
        </w:rPr>
        <w:t>(</w:t>
      </w:r>
      <w:r w:rsidRPr="00815C4C">
        <w:rPr>
          <w:rFonts w:cs="Taher"/>
          <w:vertAlign w:val="superscript"/>
          <w:rtl/>
        </w:rPr>
        <w:footnoteReference w:id="121"/>
      </w:r>
      <w:r w:rsidRPr="00815C4C">
        <w:rPr>
          <w:rFonts w:cs="Taher"/>
          <w:vertAlign w:val="superscript"/>
          <w:rtl/>
        </w:rPr>
        <w:t>)</w:t>
      </w:r>
      <w:r>
        <w:rPr>
          <w:rFonts w:hint="cs"/>
          <w:rtl/>
        </w:rPr>
        <w:t>.</w:t>
      </w:r>
    </w:p>
    <w:p w:rsidR="000E41CC" w:rsidRDefault="000E41CC" w:rsidP="00BB31B2">
      <w:pPr>
        <w:pStyle w:val="ac"/>
        <w:spacing w:line="199" w:lineRule="auto"/>
        <w:rPr>
          <w:rtl/>
        </w:rPr>
      </w:pPr>
      <w:r>
        <w:rPr>
          <w:rFonts w:hint="cs"/>
          <w:rtl/>
        </w:rPr>
        <w:t xml:space="preserve">وقد تعرّض الكتاب لموضوعات مثل: اختلاف الرجل والمرأة، تساوي الحقوق، الزواج، امتيازات المرأة في الإسلام </w:t>
      </w:r>
      <w:r>
        <w:t>]</w:t>
      </w:r>
      <w:r>
        <w:rPr>
          <w:rFonts w:hint="cs"/>
          <w:rtl/>
        </w:rPr>
        <w:t>11 امتياز</w:t>
      </w:r>
      <w:r>
        <w:t>[</w:t>
      </w:r>
      <w:r>
        <w:rPr>
          <w:rFonts w:hint="cs"/>
          <w:rtl/>
        </w:rPr>
        <w:t xml:space="preserve"> والمحدوديّات التي ألزمت بها المرأة </w:t>
      </w:r>
      <w:r>
        <w:t>]</w:t>
      </w:r>
      <w:r>
        <w:rPr>
          <w:rFonts w:hint="cs"/>
          <w:rtl/>
        </w:rPr>
        <w:t>وبلغت 10</w:t>
      </w:r>
      <w:r>
        <w:t>[</w:t>
      </w:r>
      <w:r>
        <w:rPr>
          <w:rFonts w:hint="cs"/>
          <w:rtl/>
        </w:rPr>
        <w:t>، والحجاب.</w:t>
      </w:r>
    </w:p>
    <w:p w:rsidR="000E41CC" w:rsidRPr="00BB31B2" w:rsidRDefault="000E41CC" w:rsidP="00BB31B2">
      <w:pPr>
        <w:pStyle w:val="afffffc"/>
        <w:rPr>
          <w:sz w:val="14"/>
          <w:szCs w:val="12"/>
          <w:rtl/>
        </w:rPr>
      </w:pPr>
    </w:p>
    <w:p w:rsidR="000E41CC" w:rsidRDefault="000E41CC" w:rsidP="00BB31B2">
      <w:pPr>
        <w:pStyle w:val="3"/>
        <w:rPr>
          <w:rtl/>
        </w:rPr>
      </w:pPr>
      <w:bookmarkStart w:id="149" w:name="_Toc275127929"/>
      <w:r>
        <w:rPr>
          <w:rFonts w:hint="cs"/>
          <w:rtl/>
        </w:rPr>
        <w:t>4 ـ المرأة المسلمة</w:t>
      </w:r>
      <w:bookmarkEnd w:id="149"/>
    </w:p>
    <w:p w:rsidR="000E41CC" w:rsidRDefault="000E41CC" w:rsidP="00BB31B2">
      <w:pPr>
        <w:pStyle w:val="ac"/>
        <w:spacing w:line="199" w:lineRule="auto"/>
        <w:rPr>
          <w:rtl/>
        </w:rPr>
      </w:pPr>
      <w:r>
        <w:rPr>
          <w:rFonts w:hint="cs"/>
          <w:rtl/>
        </w:rPr>
        <w:t xml:space="preserve">وهذا الكتاب ترجمة لكتاب المرأة المسلمة لمحمد فريد وجدي (1878 ـ 1954م)، حيث ترجمه عام 1349هـ السيد مفيد الحسيني الملجاني الخلخالي (1939م)، ثم طبع في العام نفسه تحت عنوان (بانوي إسلامي)، لتعاد طباعته مرّةً ثانية عام 1378هـ من جانب </w:t>
      </w:r>
      <w:r w:rsidR="00BB31B2">
        <w:rPr>
          <w:rFonts w:ascii="Mosawi" w:hAnsi="Mosawi"/>
          <w:rtl/>
        </w:rPr>
        <w:t>«</w:t>
      </w:r>
      <w:r>
        <w:rPr>
          <w:rFonts w:hint="cs"/>
          <w:rtl/>
        </w:rPr>
        <w:t>كتاب فروشي بني هاشمي</w:t>
      </w:r>
      <w:r w:rsidR="00BB31B2" w:rsidRPr="00BB31B2">
        <w:rPr>
          <w:rtl/>
        </w:rPr>
        <w:t>»</w:t>
      </w:r>
      <w:r>
        <w:rPr>
          <w:rFonts w:hint="cs"/>
          <w:rtl/>
        </w:rPr>
        <w:t xml:space="preserve"> في تبريز.</w:t>
      </w:r>
    </w:p>
    <w:p w:rsidR="000E41CC" w:rsidRPr="000E41CC" w:rsidRDefault="000E41CC" w:rsidP="000E41CC">
      <w:pPr>
        <w:pStyle w:val="ac"/>
        <w:rPr>
          <w:b/>
          <w:bCs/>
          <w:rtl/>
        </w:rPr>
      </w:pPr>
      <w:r w:rsidRPr="000E41CC">
        <w:rPr>
          <w:rFonts w:hint="cs"/>
          <w:b/>
          <w:bCs/>
          <w:rtl/>
        </w:rPr>
        <w:t>ويتألّف الكتاب من ثلاثة عشر فصلاً، وقد تصدّى مؤلّفه فيه لنقد الآراء الجديدة، لا سيما منها آراء قاسم أمين، وقد لخّص في نهاية كتابه فصولَه الثلاثة عشرة في بنود تسعة هذه بعضها:</w:t>
      </w:r>
    </w:p>
    <w:p w:rsidR="000E41CC" w:rsidRDefault="000E41CC" w:rsidP="00BB31B2">
      <w:pPr>
        <w:pStyle w:val="ac"/>
        <w:rPr>
          <w:rtl/>
        </w:rPr>
      </w:pPr>
      <w:r>
        <w:rPr>
          <w:rFonts w:hint="cs"/>
          <w:rtl/>
        </w:rPr>
        <w:t xml:space="preserve">1ـ إن المرأة أضعف من الرجل من جهة الخلقة البدنية والجسمية، كما أنها أقلّ منه </w:t>
      </w:r>
      <w:r>
        <w:rPr>
          <w:rFonts w:hint="cs"/>
          <w:rtl/>
        </w:rPr>
        <w:lastRenderedPageBreak/>
        <w:t>من حيث قبول العلم واستيعابه وهضمه، وهذا الضعف فيها لا يُقصد منه احتقارها أمام الرجل أو إلزامها بالخضوع له والطاعة، وإنما الوظيفة الخاصّة بالمرأة لا تستدعي أكثر من هذا المقدار فيها</w:t>
      </w:r>
      <w:r w:rsidRPr="00815C4C">
        <w:rPr>
          <w:rFonts w:cs="Taher"/>
          <w:vertAlign w:val="superscript"/>
          <w:rtl/>
        </w:rPr>
        <w:t>(</w:t>
      </w:r>
      <w:r w:rsidRPr="00815C4C">
        <w:rPr>
          <w:rFonts w:cs="Taher"/>
          <w:vertAlign w:val="superscript"/>
          <w:rtl/>
        </w:rPr>
        <w:footnoteReference w:id="122"/>
      </w:r>
      <w:r w:rsidRPr="00815C4C">
        <w:rPr>
          <w:rFonts w:cs="Taher"/>
          <w:vertAlign w:val="superscript"/>
          <w:rtl/>
        </w:rPr>
        <w:t>)</w:t>
      </w:r>
      <w:r>
        <w:rPr>
          <w:rFonts w:hint="cs"/>
          <w:rtl/>
        </w:rPr>
        <w:t>.</w:t>
      </w:r>
    </w:p>
    <w:p w:rsidR="000E41CC" w:rsidRDefault="000E41CC" w:rsidP="00BB31B2">
      <w:pPr>
        <w:pStyle w:val="ac"/>
        <w:rPr>
          <w:rtl/>
        </w:rPr>
      </w:pPr>
      <w:r>
        <w:rPr>
          <w:rFonts w:hint="cs"/>
          <w:rtl/>
        </w:rPr>
        <w:t>2ـ لكلّ موجودٍ كمال خاصّ به، وكمال المرأة لا يتجلّى في قوّة عضلاتها أو سعة علمها، وإنما في هويتها الروحية والنفسية</w:t>
      </w:r>
      <w:r w:rsidRPr="00815C4C">
        <w:rPr>
          <w:rFonts w:cs="Taher"/>
          <w:vertAlign w:val="superscript"/>
          <w:rtl/>
        </w:rPr>
        <w:t>(</w:t>
      </w:r>
      <w:r w:rsidRPr="00815C4C">
        <w:rPr>
          <w:rFonts w:cs="Taher"/>
          <w:vertAlign w:val="superscript"/>
          <w:rtl/>
        </w:rPr>
        <w:footnoteReference w:id="123"/>
      </w:r>
      <w:r w:rsidRPr="00815C4C">
        <w:rPr>
          <w:rFonts w:cs="Taher"/>
          <w:vertAlign w:val="superscript"/>
          <w:rtl/>
        </w:rPr>
        <w:t>)</w:t>
      </w:r>
      <w:r>
        <w:rPr>
          <w:rFonts w:hint="cs"/>
          <w:rtl/>
        </w:rPr>
        <w:t>.</w:t>
      </w:r>
    </w:p>
    <w:p w:rsidR="000E41CC" w:rsidRDefault="000E41CC" w:rsidP="00BB31B2">
      <w:pPr>
        <w:pStyle w:val="ac"/>
        <w:rPr>
          <w:rtl/>
        </w:rPr>
      </w:pPr>
      <w:r>
        <w:rPr>
          <w:rFonts w:hint="cs"/>
          <w:rtl/>
        </w:rPr>
        <w:t>3ـ إن هذا الكمال المقرّر للمرأة لا يمكنها بلوغه إلاّ أن تكون عيالاً للرجل، وأمّاً للأطفال الذين تسعى لتربيتهم تربيةً سليمة، وهذا الأمر ليس من باب إعطاء وظيفةٍ لها فحسب بوصفها صاحب مسؤولية، وإنما ـ أيضاً ـ من باب أن نموّ ملكات المرأة وطاقاتها، وتهذيب مواهبها لا يحصلان إلاّ عبر هذا السبيل؛ ذلك أن المرأة ـ جسماً وروحاً ـ إنما خُلقت لهذا الأمر</w:t>
      </w:r>
      <w:r w:rsidRPr="00815C4C">
        <w:rPr>
          <w:rFonts w:cs="Taher"/>
          <w:vertAlign w:val="superscript"/>
          <w:rtl/>
        </w:rPr>
        <w:t>(</w:t>
      </w:r>
      <w:r w:rsidRPr="00815C4C">
        <w:rPr>
          <w:rFonts w:cs="Taher"/>
          <w:vertAlign w:val="superscript"/>
          <w:rtl/>
        </w:rPr>
        <w:footnoteReference w:id="124"/>
      </w:r>
      <w:r w:rsidRPr="00815C4C">
        <w:rPr>
          <w:rFonts w:cs="Taher"/>
          <w:vertAlign w:val="superscript"/>
          <w:rtl/>
        </w:rPr>
        <w:t>)</w:t>
      </w:r>
      <w:r>
        <w:rPr>
          <w:rFonts w:hint="cs"/>
          <w:rtl/>
        </w:rPr>
        <w:t>.</w:t>
      </w:r>
    </w:p>
    <w:p w:rsidR="000E41CC" w:rsidRPr="00BB31B2" w:rsidRDefault="000E41CC" w:rsidP="00BB31B2">
      <w:pPr>
        <w:pStyle w:val="afffffc"/>
        <w:rPr>
          <w:sz w:val="18"/>
          <w:szCs w:val="16"/>
          <w:rtl/>
        </w:rPr>
      </w:pPr>
    </w:p>
    <w:p w:rsidR="000E41CC" w:rsidRDefault="000E41CC" w:rsidP="00BB31B2">
      <w:pPr>
        <w:pStyle w:val="3"/>
        <w:rPr>
          <w:rtl/>
        </w:rPr>
      </w:pPr>
      <w:bookmarkStart w:id="150" w:name="_Toc275127930"/>
      <w:r w:rsidRPr="00551B03">
        <w:rPr>
          <w:rFonts w:hint="cs"/>
          <w:rtl/>
        </w:rPr>
        <w:t>5 ـ الحجاب في الإسلام، لقوام الدين الوشنوي</w:t>
      </w:r>
      <w:bookmarkEnd w:id="150"/>
    </w:p>
    <w:p w:rsidR="000E41CC" w:rsidRDefault="000E41CC" w:rsidP="00BB31B2">
      <w:pPr>
        <w:pStyle w:val="ac"/>
        <w:spacing w:line="199" w:lineRule="auto"/>
        <w:rPr>
          <w:rtl/>
        </w:rPr>
      </w:pPr>
      <w:r>
        <w:rPr>
          <w:rFonts w:hint="cs"/>
          <w:rtl/>
        </w:rPr>
        <w:t>دوّن هذا الكتاب ـ كما جاء في خاتمته</w:t>
      </w:r>
      <w:r w:rsidRPr="00815C4C">
        <w:rPr>
          <w:rFonts w:cs="Taher"/>
          <w:vertAlign w:val="superscript"/>
          <w:rtl/>
        </w:rPr>
        <w:t>(</w:t>
      </w:r>
      <w:r w:rsidRPr="00815C4C">
        <w:rPr>
          <w:rFonts w:cs="Taher"/>
          <w:vertAlign w:val="superscript"/>
          <w:rtl/>
        </w:rPr>
        <w:footnoteReference w:id="125"/>
      </w:r>
      <w:r w:rsidRPr="00815C4C">
        <w:rPr>
          <w:rFonts w:cs="Taher"/>
          <w:vertAlign w:val="superscript"/>
          <w:rtl/>
        </w:rPr>
        <w:t>)</w:t>
      </w:r>
      <w:r>
        <w:rPr>
          <w:rFonts w:hint="cs"/>
          <w:rtl/>
        </w:rPr>
        <w:t xml:space="preserve"> ـ عام 1372هـ، ثم طبع في مطبعة الحكمة في مدينة قم، ولغة الكتاب عربية وليست فارسية، وقد دافع المؤلّف فيه عن لزوم ستر الوجه والكفين، مستعرضاً الأدلّة والمستندات الفقهية في هذا المضمار، كما تعرّض في الكتاب لموضوعات تتصل بمكانة المرأة والرجل، وامتيازاتهما، والروايات الواردة في ذمّ النساء.</w:t>
      </w:r>
    </w:p>
    <w:p w:rsidR="000E41CC" w:rsidRPr="00BB31B2" w:rsidRDefault="000E41CC" w:rsidP="00BB31B2">
      <w:pPr>
        <w:pStyle w:val="afffffc"/>
        <w:rPr>
          <w:sz w:val="20"/>
          <w:szCs w:val="18"/>
          <w:rtl/>
        </w:rPr>
      </w:pPr>
    </w:p>
    <w:p w:rsidR="000E41CC" w:rsidRPr="00551B03" w:rsidRDefault="000E41CC" w:rsidP="00BB31B2">
      <w:pPr>
        <w:pStyle w:val="3"/>
        <w:rPr>
          <w:rtl/>
        </w:rPr>
      </w:pPr>
      <w:bookmarkStart w:id="151" w:name="_Toc275127931"/>
      <w:r w:rsidRPr="00551B03">
        <w:rPr>
          <w:rFonts w:hint="cs"/>
          <w:rtl/>
        </w:rPr>
        <w:t>6 ـ الفروق بين المرء والمرأة في نظر الشرع، للحاج السيد علي مولانا التبريزي</w:t>
      </w:r>
      <w:bookmarkEnd w:id="151"/>
    </w:p>
    <w:p w:rsidR="000E41CC" w:rsidRDefault="000E41CC" w:rsidP="000E41CC">
      <w:pPr>
        <w:pStyle w:val="ac"/>
        <w:rPr>
          <w:rtl/>
        </w:rPr>
      </w:pPr>
      <w:r>
        <w:rPr>
          <w:rFonts w:hint="cs"/>
          <w:rtl/>
        </w:rPr>
        <w:t xml:space="preserve">طبع هذا الكتاب في تبريز عام 1379هـ، وقد تحدّث فيه المؤلف عن الاختلافات الموجودة في الكتب الفقهية بين الرجل والمرأة، فعدّدها في 171 بنداً، متعرّضاً ـ في </w:t>
      </w:r>
      <w:r>
        <w:rPr>
          <w:rFonts w:hint="cs"/>
          <w:rtl/>
        </w:rPr>
        <w:lastRenderedPageBreak/>
        <w:t>هامش كلّ بندٍ منها ـ لبعض الشروحات والتوضيحات المتصلة به.</w:t>
      </w:r>
    </w:p>
    <w:p w:rsidR="000E41CC" w:rsidRPr="00BB31B2" w:rsidRDefault="000E41CC" w:rsidP="00BB31B2">
      <w:pPr>
        <w:pStyle w:val="afffffc"/>
        <w:rPr>
          <w:sz w:val="20"/>
          <w:szCs w:val="18"/>
          <w:rtl/>
        </w:rPr>
      </w:pPr>
    </w:p>
    <w:p w:rsidR="000E41CC" w:rsidRDefault="000E41CC" w:rsidP="00BB31B2">
      <w:pPr>
        <w:pStyle w:val="3"/>
        <w:rPr>
          <w:rtl/>
        </w:rPr>
      </w:pPr>
      <w:bookmarkStart w:id="152" w:name="_Toc275127932"/>
      <w:r w:rsidRPr="00551B03">
        <w:rPr>
          <w:rFonts w:hint="cs"/>
          <w:rtl/>
        </w:rPr>
        <w:t>7 ـ المرأة والانتخابات</w:t>
      </w:r>
      <w:bookmarkEnd w:id="152"/>
    </w:p>
    <w:p w:rsidR="000E41CC" w:rsidRDefault="000E41CC" w:rsidP="00E06333">
      <w:pPr>
        <w:pStyle w:val="ac"/>
        <w:rPr>
          <w:rtl/>
        </w:rPr>
      </w:pPr>
      <w:r>
        <w:rPr>
          <w:rFonts w:hint="cs"/>
          <w:rtl/>
        </w:rPr>
        <w:t xml:space="preserve">وهو الحلقة الأولى من مجموعة </w:t>
      </w:r>
      <w:r w:rsidRPr="002B759E">
        <w:rPr>
          <w:rFonts w:hint="cs"/>
        </w:rPr>
        <w:sym w:font="Islamic Units 1" w:char="F06D"/>
      </w:r>
      <w:r>
        <w:rPr>
          <w:rFonts w:hint="cs"/>
          <w:rtl/>
        </w:rPr>
        <w:t>ماذا نعرف عن الإسلام؟</w:t>
      </w:r>
      <w:r w:rsidRPr="002B759E">
        <w:rPr>
          <w:rFonts w:hint="cs"/>
          <w:rtl/>
        </w:rPr>
        <w:sym w:font="Islamic Units 1" w:char="F06E"/>
      </w:r>
      <w:r>
        <w:rPr>
          <w:rFonts w:hint="cs"/>
          <w:rtl/>
        </w:rPr>
        <w:t xml:space="preserve">، من تأليفات زين العابدين قرباني، ومحمد شبستري، وعلي حجتي كرماني، وعباس علي عميد، وحسين حقاني، ونشرته </w:t>
      </w:r>
      <w:r w:rsidR="00E06333" w:rsidRPr="00617008">
        <w:rPr>
          <w:rtl/>
        </w:rPr>
        <w:t>«</w:t>
      </w:r>
      <w:r>
        <w:rPr>
          <w:rFonts w:hint="cs"/>
          <w:rtl/>
        </w:rPr>
        <w:t>كتابفروشي طباطبائي</w:t>
      </w:r>
      <w:r w:rsidR="00E06333" w:rsidRPr="00617008">
        <w:rPr>
          <w:rtl/>
        </w:rPr>
        <w:t>»</w:t>
      </w:r>
      <w:r>
        <w:rPr>
          <w:rFonts w:hint="cs"/>
          <w:rtl/>
        </w:rPr>
        <w:t xml:space="preserve"> في مدينة قم، عام 1960م</w:t>
      </w:r>
      <w:r w:rsidRPr="00815C4C">
        <w:rPr>
          <w:rFonts w:cs="Taher"/>
          <w:vertAlign w:val="superscript"/>
          <w:rtl/>
        </w:rPr>
        <w:t>(</w:t>
      </w:r>
      <w:r w:rsidRPr="00815C4C">
        <w:rPr>
          <w:rFonts w:cs="Taher"/>
          <w:vertAlign w:val="superscript"/>
          <w:rtl/>
        </w:rPr>
        <w:footnoteReference w:id="126"/>
      </w:r>
      <w:r w:rsidRPr="00815C4C">
        <w:rPr>
          <w:rFonts w:cs="Taher"/>
          <w:vertAlign w:val="superscript"/>
          <w:rtl/>
        </w:rPr>
        <w:t>)</w:t>
      </w:r>
      <w:r>
        <w:rPr>
          <w:rFonts w:hint="cs"/>
          <w:rtl/>
        </w:rPr>
        <w:t>.</w:t>
      </w:r>
    </w:p>
    <w:p w:rsidR="00F32FBA" w:rsidRDefault="000E41CC" w:rsidP="00BB31B2">
      <w:pPr>
        <w:pStyle w:val="ac"/>
        <w:rPr>
          <w:rtl/>
        </w:rPr>
      </w:pPr>
      <w:r>
        <w:rPr>
          <w:rFonts w:hint="cs"/>
          <w:rtl/>
        </w:rPr>
        <w:t xml:space="preserve">ويُفتتح هذا الكتاب بمقدّمة لآية الله ناصر مكارم الشيرازي، وهو على أقسام خمسة: </w:t>
      </w:r>
    </w:p>
    <w:p w:rsidR="000E41CC" w:rsidRDefault="000E41CC" w:rsidP="00BB31B2">
      <w:pPr>
        <w:pStyle w:val="ac"/>
        <w:rPr>
          <w:rtl/>
        </w:rPr>
      </w:pPr>
      <w:r>
        <w:rPr>
          <w:rFonts w:hint="cs"/>
          <w:rtl/>
        </w:rPr>
        <w:t>ففي القسم الأول، وتحت عنوان: لماذا لا تملك النساء حقّ الحكم وولاية السلطة؟، يتحدّث المؤلّف عن الفوارق الجسمانية والنفسية بين الرجل والمرأة، ويسعى جاهداً لإثبات هذه النظرية من كلمات العلماء أنفسهم.</w:t>
      </w:r>
    </w:p>
    <w:p w:rsidR="000E41CC" w:rsidRDefault="000E41CC" w:rsidP="00BB31B2">
      <w:pPr>
        <w:pStyle w:val="ac"/>
        <w:rPr>
          <w:rtl/>
        </w:rPr>
      </w:pPr>
      <w:r>
        <w:rPr>
          <w:rFonts w:hint="cs"/>
          <w:rtl/>
        </w:rPr>
        <w:t>أمّا القسم الثاني، ويحمل عنوان: التمدّن وحرية النساء، فيستعرض ـ بدايةً ـ نظريّات بعض الغربيين الرافضين لنشاطها الاجتماعي ـ السياسي، ثم يشير إلى أربع دول هي: السويس، وأمريكا، والاتحاد السوفياتي، وبريطانيا، حيث يذكر أنه ليس للنساء في هذه الدول أيّ حضورٍ سياسي يُذكر.</w:t>
      </w:r>
    </w:p>
    <w:p w:rsidR="000E41CC" w:rsidRDefault="000E41CC" w:rsidP="00BB31B2">
      <w:pPr>
        <w:pStyle w:val="ac"/>
        <w:rPr>
          <w:rtl/>
        </w:rPr>
      </w:pPr>
      <w:r>
        <w:rPr>
          <w:rFonts w:hint="cs"/>
          <w:rtl/>
        </w:rPr>
        <w:t>في القسم الثالث، يستعرض الكتاب الأدلّة الإسلامية على عدم جواز حضور النساء في الانتخابات، فيما يخصّص القسم الرابع لاستعراض أدلّة الموافقين على مشاركتها، ليعقبه بالنقد والتفنيد، ويعدّد القسم الخامس والأخير الأضرار الفردية والاجتماعية لمثل هذه الحريات على المجتمعات البشرية.</w:t>
      </w:r>
    </w:p>
    <w:p w:rsidR="000E41CC" w:rsidRDefault="000E41CC" w:rsidP="00BB31B2">
      <w:pPr>
        <w:pStyle w:val="afffffc"/>
        <w:rPr>
          <w:rtl/>
        </w:rPr>
      </w:pPr>
    </w:p>
    <w:p w:rsidR="000E41CC" w:rsidRDefault="000E41CC" w:rsidP="00BB31B2">
      <w:pPr>
        <w:pStyle w:val="3"/>
        <w:rPr>
          <w:rtl/>
        </w:rPr>
      </w:pPr>
      <w:bookmarkStart w:id="153" w:name="_Toc275127933"/>
      <w:r w:rsidRPr="00A82CA7">
        <w:rPr>
          <w:rFonts w:hint="cs"/>
          <w:rtl/>
        </w:rPr>
        <w:t>8 ـ أجوبة الأستاذ على نقد كتاب مسألة الحجاب، للأستاذ مرتضى مطهري</w:t>
      </w:r>
      <w:bookmarkEnd w:id="153"/>
    </w:p>
    <w:p w:rsidR="000E41CC" w:rsidRDefault="000E41CC" w:rsidP="00E06333">
      <w:pPr>
        <w:pStyle w:val="ac"/>
        <w:rPr>
          <w:rtl/>
        </w:rPr>
      </w:pPr>
      <w:r>
        <w:rPr>
          <w:rFonts w:hint="cs"/>
          <w:rtl/>
        </w:rPr>
        <w:t xml:space="preserve">فبعد طباعة كتاب مسألة الحجاب للمغفور له مرتضى مطهري، كتب أحد الفضلاء في الحوزة العلمية عام 1970م سلسلة انتقادات على حاشية الطبعة الثالثة، ثم قدّمها للأستاذ الشهيد مرتضى مطهّري، وقد حوى هذا الكتاب تلك الانتقادات مع أجوبتها </w:t>
      </w:r>
      <w:r>
        <w:rPr>
          <w:rFonts w:hint="cs"/>
          <w:rtl/>
        </w:rPr>
        <w:lastRenderedPageBreak/>
        <w:t>من جانب الشهيد نفسه.</w:t>
      </w:r>
    </w:p>
    <w:p w:rsidR="000E41CC" w:rsidRDefault="000E41CC" w:rsidP="00E06333">
      <w:pPr>
        <w:pStyle w:val="ac"/>
        <w:rPr>
          <w:rtl/>
        </w:rPr>
      </w:pPr>
      <w:r>
        <w:rPr>
          <w:rFonts w:hint="cs"/>
          <w:rtl/>
        </w:rPr>
        <w:t>اعتبر الناقد أن نظريات المطهري في مسألة الحجاب مخالفةً للقوانين الدينية، أو لا أقلّ القوانين والأحكام المستحبّة، معتقداً أن الإسلام لا يناصر الستر فقط، وإنما الحجاب بمعنى الحجب أيضاً</w:t>
      </w:r>
      <w:r w:rsidRPr="00815C4C">
        <w:rPr>
          <w:rFonts w:cs="Taher"/>
          <w:vertAlign w:val="superscript"/>
          <w:rtl/>
        </w:rPr>
        <w:t>(</w:t>
      </w:r>
      <w:r w:rsidRPr="00815C4C">
        <w:rPr>
          <w:rFonts w:cs="Taher"/>
          <w:vertAlign w:val="superscript"/>
          <w:rtl/>
        </w:rPr>
        <w:footnoteReference w:id="127"/>
      </w:r>
      <w:r w:rsidRPr="00815C4C">
        <w:rPr>
          <w:rFonts w:cs="Taher"/>
          <w:vertAlign w:val="superscript"/>
          <w:rtl/>
        </w:rPr>
        <w:t>)</w:t>
      </w:r>
      <w:r>
        <w:rPr>
          <w:rFonts w:hint="cs"/>
          <w:rtl/>
        </w:rPr>
        <w:t>، وأن نظرياتٍ كنظريات مطهري تعدّ نوعاً من التشجيع على دخول النساء ميدان المجتمع الذكوري، وهو أمرٌ غير ممدوح ولا محمود في الإسلام</w:t>
      </w:r>
      <w:r w:rsidRPr="00815C4C">
        <w:rPr>
          <w:rFonts w:cs="Taher"/>
          <w:vertAlign w:val="superscript"/>
          <w:rtl/>
        </w:rPr>
        <w:t>(</w:t>
      </w:r>
      <w:r w:rsidRPr="00815C4C">
        <w:rPr>
          <w:rFonts w:cs="Taher"/>
          <w:vertAlign w:val="superscript"/>
          <w:rtl/>
        </w:rPr>
        <w:footnoteReference w:id="128"/>
      </w:r>
      <w:r w:rsidRPr="00815C4C">
        <w:rPr>
          <w:rFonts w:cs="Taher"/>
          <w:vertAlign w:val="superscript"/>
          <w:rtl/>
        </w:rPr>
        <w:t>)</w:t>
      </w:r>
      <w:r>
        <w:rPr>
          <w:rFonts w:hint="cs"/>
          <w:rtl/>
        </w:rPr>
        <w:t>.</w:t>
      </w:r>
    </w:p>
    <w:p w:rsidR="000E41CC" w:rsidRDefault="000E41CC" w:rsidP="00E06333">
      <w:pPr>
        <w:pStyle w:val="ac"/>
        <w:rPr>
          <w:rtl/>
        </w:rPr>
      </w:pPr>
      <w:r>
        <w:rPr>
          <w:rFonts w:hint="cs"/>
          <w:rtl/>
        </w:rPr>
        <w:t>نعم، لم يحدّد في هذا الكتاب اسم ذاك الناقد لنظريات مطهري.</w:t>
      </w:r>
    </w:p>
    <w:p w:rsidR="000E41CC" w:rsidRPr="00BB31B2" w:rsidRDefault="000E41CC" w:rsidP="00BB31B2">
      <w:pPr>
        <w:pStyle w:val="afffffc"/>
        <w:rPr>
          <w:sz w:val="16"/>
          <w:szCs w:val="14"/>
          <w:rtl/>
        </w:rPr>
      </w:pPr>
    </w:p>
    <w:p w:rsidR="000E41CC" w:rsidRPr="00A82CA7" w:rsidRDefault="000E41CC" w:rsidP="00BB31B2">
      <w:pPr>
        <w:pStyle w:val="3"/>
        <w:rPr>
          <w:rtl/>
        </w:rPr>
      </w:pPr>
      <w:bookmarkStart w:id="154" w:name="_Toc275127934"/>
      <w:r w:rsidRPr="00A82CA7">
        <w:rPr>
          <w:rFonts w:hint="cs"/>
          <w:rtl/>
        </w:rPr>
        <w:t>9 ـ مزايا الرجل والمرأة في الإسلام، للسيد أبي الفضل النبوي القمّي</w:t>
      </w:r>
      <w:bookmarkEnd w:id="154"/>
    </w:p>
    <w:p w:rsidR="000E41CC" w:rsidRDefault="000E41CC" w:rsidP="00BB31B2">
      <w:pPr>
        <w:pStyle w:val="ac"/>
        <w:spacing w:line="199" w:lineRule="auto"/>
        <w:rPr>
          <w:rtl/>
        </w:rPr>
      </w:pPr>
      <w:r>
        <w:rPr>
          <w:rFonts w:hint="cs"/>
          <w:rtl/>
        </w:rPr>
        <w:t xml:space="preserve">يكتب المصنّف في مقدّمة الكتاب فيقول: </w:t>
      </w:r>
      <w:r w:rsidRPr="002B759E">
        <w:rPr>
          <w:rFonts w:hint="cs"/>
          <w:rtl/>
        </w:rPr>
        <w:sym w:font="Islamic Units 1" w:char="F06D"/>
      </w:r>
      <w:r>
        <w:rPr>
          <w:rFonts w:hint="cs"/>
          <w:rtl/>
        </w:rPr>
        <w:t xml:space="preserve">كنت في شهر </w:t>
      </w:r>
      <w:r w:rsidRPr="002B759E">
        <w:rPr>
          <w:rFonts w:hint="cs"/>
          <w:rtl/>
        </w:rPr>
        <w:sym w:font="Islamic Units 1" w:char="F06D"/>
      </w:r>
      <w:r>
        <w:rPr>
          <w:rFonts w:hint="cs"/>
          <w:rtl/>
        </w:rPr>
        <w:t>آبان</w:t>
      </w:r>
      <w:r w:rsidRPr="002B759E">
        <w:rPr>
          <w:rFonts w:hint="cs"/>
          <w:rtl/>
        </w:rPr>
        <w:sym w:font="Islamic Units 1" w:char="F06E"/>
      </w:r>
      <w:r>
        <w:rPr>
          <w:rFonts w:hint="cs"/>
          <w:rtl/>
        </w:rPr>
        <w:t xml:space="preserve"> من عام 1354هـ . ش </w:t>
      </w:r>
      <w:r>
        <w:t>]</w:t>
      </w:r>
      <w:r>
        <w:rPr>
          <w:rFonts w:hint="cs"/>
          <w:rtl/>
        </w:rPr>
        <w:t>1975م</w:t>
      </w:r>
      <w:r>
        <w:t>[</w:t>
      </w:r>
      <w:r>
        <w:rPr>
          <w:rFonts w:hint="cs"/>
          <w:rtl/>
        </w:rPr>
        <w:t xml:space="preserve">، بعد الفراغ من كتابة مسودة هذا الكتاب في مدينة مشهد، وقد عثرت هناك على كتاب اسمه: </w:t>
      </w:r>
      <w:r w:rsidRPr="002B759E">
        <w:rPr>
          <w:rFonts w:hint="cs"/>
          <w:rtl/>
        </w:rPr>
        <w:sym w:font="Islamic Units 1" w:char="F06D"/>
      </w:r>
      <w:r>
        <w:rPr>
          <w:rFonts w:hint="cs"/>
          <w:rtl/>
        </w:rPr>
        <w:t>الفروق</w:t>
      </w:r>
      <w:r w:rsidRPr="002B759E">
        <w:rPr>
          <w:rFonts w:hint="cs"/>
          <w:rtl/>
        </w:rPr>
        <w:sym w:font="Islamic Units 1" w:char="F06E"/>
      </w:r>
      <w:r>
        <w:rPr>
          <w:rFonts w:hint="cs"/>
          <w:rtl/>
        </w:rPr>
        <w:t>، من تأليفات المغفور له حجة الإسلام الحاج السيد علي مولانا التبريزي</w:t>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129"/>
      </w:r>
      <w:r w:rsidRPr="00815C4C">
        <w:rPr>
          <w:rFonts w:cs="Taher"/>
          <w:vertAlign w:val="superscript"/>
          <w:rtl/>
        </w:rPr>
        <w:t>)</w:t>
      </w:r>
      <w:r>
        <w:rPr>
          <w:rFonts w:hint="cs"/>
          <w:rtl/>
        </w:rPr>
        <w:t>.</w:t>
      </w:r>
    </w:p>
    <w:p w:rsidR="000E41CC" w:rsidRDefault="000E41CC" w:rsidP="00BB31B2">
      <w:pPr>
        <w:pStyle w:val="ac"/>
        <w:spacing w:line="199" w:lineRule="auto"/>
        <w:rPr>
          <w:rtl/>
        </w:rPr>
      </w:pPr>
      <w:r>
        <w:rPr>
          <w:rFonts w:hint="cs"/>
          <w:rtl/>
        </w:rPr>
        <w:t>والذي يظهر أن كتابة هذا المؤلّف كانت تمّت في عام 1969م، وهذا ما يصرّح به تاريخ كتابة المقدّمة</w:t>
      </w:r>
      <w:r w:rsidRPr="00815C4C">
        <w:rPr>
          <w:rFonts w:cs="Taher"/>
          <w:vertAlign w:val="superscript"/>
          <w:rtl/>
        </w:rPr>
        <w:t>(</w:t>
      </w:r>
      <w:r w:rsidRPr="00815C4C">
        <w:rPr>
          <w:rFonts w:cs="Taher"/>
          <w:vertAlign w:val="superscript"/>
          <w:rtl/>
        </w:rPr>
        <w:footnoteReference w:id="130"/>
      </w:r>
      <w:r w:rsidRPr="00815C4C">
        <w:rPr>
          <w:rFonts w:cs="Taher"/>
          <w:vertAlign w:val="superscript"/>
          <w:rtl/>
        </w:rPr>
        <w:t>)</w:t>
      </w:r>
      <w:r>
        <w:rPr>
          <w:rFonts w:hint="cs"/>
          <w:rtl/>
        </w:rPr>
        <w:t xml:space="preserve">، وفي خاتمة الكتاب قيّد بجملة: وقع التأليف والنشر ببلدة قم عام 1391هـ / 1357 ش </w:t>
      </w:r>
      <w:r>
        <w:t>]</w:t>
      </w:r>
      <w:r>
        <w:rPr>
          <w:rFonts w:hint="cs"/>
          <w:rtl/>
        </w:rPr>
        <w:t>1978م</w:t>
      </w:r>
      <w:r>
        <w:t>[</w:t>
      </w:r>
      <w:r w:rsidRPr="00815C4C">
        <w:rPr>
          <w:rFonts w:cs="Taher"/>
          <w:vertAlign w:val="superscript"/>
          <w:rtl/>
        </w:rPr>
        <w:t>(</w:t>
      </w:r>
      <w:r w:rsidRPr="00815C4C">
        <w:rPr>
          <w:rFonts w:cs="Taher"/>
          <w:vertAlign w:val="superscript"/>
          <w:rtl/>
        </w:rPr>
        <w:footnoteReference w:id="131"/>
      </w:r>
      <w:r w:rsidRPr="00815C4C">
        <w:rPr>
          <w:rFonts w:cs="Taher"/>
          <w:vertAlign w:val="superscript"/>
          <w:rtl/>
        </w:rPr>
        <w:t>)</w:t>
      </w:r>
      <w:r>
        <w:rPr>
          <w:rFonts w:hint="cs"/>
          <w:rtl/>
        </w:rPr>
        <w:t>، ولم تدرج أيّ معلومات أخرى تعرّفنا على هوية الكتاب أكثر من ذلك.</w:t>
      </w:r>
    </w:p>
    <w:p w:rsidR="000E41CC" w:rsidRDefault="000E41CC" w:rsidP="00BB31B2">
      <w:pPr>
        <w:pStyle w:val="ac"/>
        <w:spacing w:line="199" w:lineRule="auto"/>
        <w:rPr>
          <w:rtl/>
        </w:rPr>
      </w:pPr>
      <w:r>
        <w:rPr>
          <w:rFonts w:hint="cs"/>
          <w:rtl/>
        </w:rPr>
        <w:t>وعلى أية حال، فقد سعى المؤلّف في هذا الكتاب لبيان نقاط الاختلاف بين الرجل والمرأة في الإسلام، وذلك في الميادين الحقوقية، والطبيعيّة، والدينيّة، في مائة وستين بنداً وفقرة، ثم تحليلها.</w:t>
      </w:r>
    </w:p>
    <w:p w:rsidR="000E41CC" w:rsidRDefault="000E41CC" w:rsidP="000E41CC">
      <w:pPr>
        <w:pStyle w:val="ac"/>
        <w:rPr>
          <w:rtl/>
        </w:rPr>
      </w:pPr>
      <w:r>
        <w:rPr>
          <w:rFonts w:hint="cs"/>
          <w:rtl/>
        </w:rPr>
        <w:lastRenderedPageBreak/>
        <w:t>يذهب الكاتب في المقدّمة إلى أن وجود اختلافات بين العالم الكبير وسائر الموجودات يعيد استنطاق الخلاف بين العالم الإنساني وبين أفراد الناس وآحادهم، وذلك كي يصل إلى تحديد الاختلافات الواقعة بين الرجل والمرأة، ثم يحاول تعداد مستندات هذا الاختلاف من الآيات القرآنية، عاكفاً على فلسفتها وتحليلها.</w:t>
      </w:r>
    </w:p>
    <w:p w:rsidR="000E41CC" w:rsidRDefault="000E41CC" w:rsidP="00BB31B2">
      <w:pPr>
        <w:pStyle w:val="ac"/>
        <w:rPr>
          <w:rtl/>
        </w:rPr>
      </w:pPr>
      <w:r>
        <w:rPr>
          <w:rFonts w:hint="cs"/>
          <w:rtl/>
        </w:rPr>
        <w:t>وبعد المقدّمة، يشرّح المؤلّف في الفصل الأول تاريخ العلاقة والتعاطي البشري مع النساء، فيما يركّز بياناته وأفكاره في الفصول: الثاني وحتى الخامس، على رصد الموائز الواقعة بين الرجل والمرأة في مجال: العبادات، والمعاملات، والسياسات.</w:t>
      </w:r>
    </w:p>
    <w:p w:rsidR="000E41CC" w:rsidRPr="00BB31B2" w:rsidRDefault="000E41CC" w:rsidP="00BB31B2">
      <w:pPr>
        <w:pStyle w:val="afffffc"/>
        <w:rPr>
          <w:sz w:val="18"/>
          <w:szCs w:val="16"/>
          <w:rtl/>
        </w:rPr>
      </w:pPr>
    </w:p>
    <w:p w:rsidR="000E41CC" w:rsidRPr="00A82CA7" w:rsidRDefault="000E41CC" w:rsidP="00BB31B2">
      <w:pPr>
        <w:pStyle w:val="3"/>
        <w:rPr>
          <w:rtl/>
        </w:rPr>
      </w:pPr>
      <w:bookmarkStart w:id="155" w:name="_Toc275127935"/>
      <w:r w:rsidRPr="00A82CA7">
        <w:rPr>
          <w:rFonts w:hint="cs"/>
          <w:rtl/>
        </w:rPr>
        <w:t>10 ـ رسالة بديعة في تفسير آية: الرجال قوّامون على النساء، للسيد محمد حسين الحسيني الطهراني</w:t>
      </w:r>
      <w:bookmarkEnd w:id="155"/>
    </w:p>
    <w:p w:rsidR="000E41CC" w:rsidRDefault="000E41CC" w:rsidP="000E41CC">
      <w:pPr>
        <w:pStyle w:val="ac"/>
        <w:rPr>
          <w:rtl/>
        </w:rPr>
      </w:pPr>
      <w:r>
        <w:rPr>
          <w:rFonts w:hint="cs"/>
          <w:rtl/>
        </w:rPr>
        <w:t xml:space="preserve">صنّف هذا الكتاب عام 1399هـ، ثم طبعته </w:t>
      </w:r>
      <w:r w:rsidRPr="002B759E">
        <w:rPr>
          <w:rFonts w:hint="cs"/>
          <w:rtl/>
        </w:rPr>
        <w:sym w:font="Islamic Units 1" w:char="F06D"/>
      </w:r>
      <w:r>
        <w:rPr>
          <w:rFonts w:hint="cs"/>
          <w:rtl/>
        </w:rPr>
        <w:t>انتشارات حكمت</w:t>
      </w:r>
      <w:r w:rsidRPr="002B759E">
        <w:rPr>
          <w:rFonts w:hint="cs"/>
          <w:rtl/>
        </w:rPr>
        <w:sym w:font="Islamic Units 1" w:char="F06E"/>
      </w:r>
      <w:r>
        <w:rPr>
          <w:rFonts w:hint="cs"/>
          <w:rtl/>
        </w:rPr>
        <w:t xml:space="preserve">، كما نشرت ترجمته الفارسية تحت عنوان </w:t>
      </w:r>
      <w:r w:rsidRPr="002B759E">
        <w:rPr>
          <w:rFonts w:hint="cs"/>
          <w:rtl/>
        </w:rPr>
        <w:sym w:font="Islamic Units 1" w:char="F06D"/>
      </w:r>
      <w:r>
        <w:rPr>
          <w:rFonts w:hint="cs"/>
          <w:rtl/>
        </w:rPr>
        <w:t>ترجمة رسالة بديعة</w:t>
      </w:r>
      <w:r w:rsidRPr="002B759E">
        <w:rPr>
          <w:rFonts w:hint="cs"/>
          <w:rtl/>
        </w:rPr>
        <w:sym w:font="Islamic Units 1" w:char="F06E"/>
      </w:r>
      <w:r>
        <w:rPr>
          <w:rFonts w:hint="cs"/>
          <w:rtl/>
        </w:rPr>
        <w:t xml:space="preserve"> من جانب الناشر نفسه.</w:t>
      </w:r>
    </w:p>
    <w:p w:rsidR="000E41CC" w:rsidRPr="00C425AD" w:rsidRDefault="000E41CC" w:rsidP="00E06333">
      <w:pPr>
        <w:pStyle w:val="ac"/>
        <w:rPr>
          <w:rtl/>
        </w:rPr>
      </w:pPr>
      <w:r>
        <w:rPr>
          <w:rFonts w:hint="cs"/>
          <w:rtl/>
        </w:rPr>
        <w:t>يحدّد الكتاب ـ بدايةً ـ مكانة الرجل والمرأة وفقاً للأسس الإسلامية العامّة، كما يعدّد الاختلافات بينهما، ليعقب ذلك في الفصل الثاني بتحليل آية: الرجال قوّامون على النساء وتفسيرها، مثبتاً حرمان النساء من مناصب: القضاء، والجهاد، والولاية، انطلاقاً من الآية المذكورة، وسائر الأدلّة الروائية.</w:t>
      </w:r>
    </w:p>
    <w:p w:rsidR="000E41CC" w:rsidRDefault="000E41CC" w:rsidP="00E06333">
      <w:pPr>
        <w:pStyle w:val="ac"/>
        <w:rPr>
          <w:rtl/>
        </w:rPr>
      </w:pPr>
      <w:r>
        <w:rPr>
          <w:rFonts w:hint="cs"/>
          <w:rtl/>
        </w:rPr>
        <w:t xml:space="preserve">ومن جملة النتائج النهائية للكتاب النص التالي: </w:t>
      </w:r>
      <w:r w:rsidR="00E06333" w:rsidRPr="00617008">
        <w:rPr>
          <w:rtl/>
        </w:rPr>
        <w:t>«</w:t>
      </w:r>
      <w:r>
        <w:rPr>
          <w:rFonts w:hint="cs"/>
          <w:rtl/>
        </w:rPr>
        <w:t>وبما ذكرنا ظهر عدم جواز دخولهنّ في مجلس الشورى، وإن كنّ فقيهات ذوات اجتهاد واستنباط</w:t>
      </w:r>
      <w:r w:rsidR="00E06333" w:rsidRPr="00617008">
        <w:rPr>
          <w:rtl/>
        </w:rPr>
        <w:t>»</w:t>
      </w:r>
      <w:r w:rsidRPr="00815C4C">
        <w:rPr>
          <w:rFonts w:cs="Taher"/>
          <w:vertAlign w:val="superscript"/>
          <w:rtl/>
        </w:rPr>
        <w:t>(</w:t>
      </w:r>
      <w:r w:rsidRPr="00815C4C">
        <w:rPr>
          <w:rFonts w:cs="Taher"/>
          <w:vertAlign w:val="superscript"/>
          <w:rtl/>
        </w:rPr>
        <w:footnoteReference w:id="132"/>
      </w:r>
      <w:r w:rsidRPr="00815C4C">
        <w:rPr>
          <w:rFonts w:cs="Taher"/>
          <w:vertAlign w:val="superscript"/>
          <w:rtl/>
        </w:rPr>
        <w:t>)</w:t>
      </w:r>
      <w:r>
        <w:rPr>
          <w:rFonts w:hint="cs"/>
          <w:rtl/>
        </w:rPr>
        <w:t>.</w:t>
      </w:r>
    </w:p>
    <w:p w:rsidR="000E41CC" w:rsidRPr="00117342" w:rsidRDefault="000E41CC" w:rsidP="000E41CC">
      <w:pPr>
        <w:pStyle w:val="ac"/>
        <w:rPr>
          <w:spacing w:val="-6"/>
          <w:rtl/>
        </w:rPr>
      </w:pPr>
      <w:r w:rsidRPr="00117342">
        <w:rPr>
          <w:rFonts w:hint="cs"/>
          <w:spacing w:val="-6"/>
          <w:rtl/>
        </w:rPr>
        <w:t>والجدير ذكره أن المصنّف قد استعرض أيضاً آراءه في جملةٍ أخرى من كتبه.</w:t>
      </w:r>
    </w:p>
    <w:p w:rsidR="000E41CC" w:rsidRDefault="000E41CC" w:rsidP="00E06333">
      <w:pPr>
        <w:pStyle w:val="ac"/>
        <w:rPr>
          <w:rtl/>
        </w:rPr>
      </w:pPr>
      <w:r>
        <w:rPr>
          <w:rFonts w:hint="cs"/>
          <w:rtl/>
        </w:rPr>
        <w:t xml:space="preserve">كما صدر للمؤلف عام 1415هـ كتاب حمل عنوان </w:t>
      </w:r>
      <w:r w:rsidR="00E06333" w:rsidRPr="00617008">
        <w:rPr>
          <w:rtl/>
        </w:rPr>
        <w:t>«</w:t>
      </w:r>
      <w:r>
        <w:rPr>
          <w:rFonts w:hint="cs"/>
          <w:rtl/>
        </w:rPr>
        <w:t>الحدّ من عدد السكّان ضربة قاصمة للمسلمين</w:t>
      </w:r>
      <w:r w:rsidR="00E06333" w:rsidRPr="00617008">
        <w:rPr>
          <w:rtl/>
        </w:rPr>
        <w:t>»</w:t>
      </w:r>
      <w:r>
        <w:rPr>
          <w:rFonts w:hint="cs"/>
          <w:rtl/>
        </w:rPr>
        <w:t xml:space="preserve">، وقد استعرض في بداياته مضرّات تحديد النسل، طبقاً لأرقام وإحصاءات عديدة، وفي المطلب السابع من مطالب الكتاب عكف المؤلّف على تحليل بعض الآراء المتعلّقة بالمرأة، مجيباً عن بعض الانتقادات الموجّهة في هذا الإطار، وقد </w:t>
      </w:r>
      <w:r>
        <w:rPr>
          <w:rFonts w:hint="cs"/>
          <w:rtl/>
        </w:rPr>
        <w:lastRenderedPageBreak/>
        <w:t>اعتقد بإمكان الجمع بين الستر وفصل النساء عن الرجال وبين تعليم النساء، وترغيبهنّ في العلوم والفنون</w:t>
      </w:r>
      <w:r w:rsidRPr="00815C4C">
        <w:rPr>
          <w:rFonts w:cs="Taher"/>
          <w:vertAlign w:val="superscript"/>
          <w:rtl/>
        </w:rPr>
        <w:t>(</w:t>
      </w:r>
      <w:r w:rsidRPr="00815C4C">
        <w:rPr>
          <w:rFonts w:cs="Taher"/>
          <w:vertAlign w:val="superscript"/>
          <w:rtl/>
        </w:rPr>
        <w:footnoteReference w:id="133"/>
      </w:r>
      <w:r w:rsidRPr="00815C4C">
        <w:rPr>
          <w:rFonts w:cs="Taher"/>
          <w:vertAlign w:val="superscript"/>
          <w:rtl/>
        </w:rPr>
        <w:t>)</w:t>
      </w:r>
      <w:r>
        <w:rPr>
          <w:rFonts w:hint="cs"/>
          <w:rtl/>
        </w:rPr>
        <w:t>.</w:t>
      </w:r>
    </w:p>
    <w:p w:rsidR="000E41CC" w:rsidRPr="00BB31B2" w:rsidRDefault="000E41CC" w:rsidP="00BB31B2">
      <w:pPr>
        <w:pStyle w:val="afffffc"/>
        <w:rPr>
          <w:sz w:val="14"/>
          <w:szCs w:val="12"/>
          <w:rtl/>
        </w:rPr>
      </w:pPr>
    </w:p>
    <w:p w:rsidR="000E41CC" w:rsidRPr="008507E1" w:rsidRDefault="000E41CC" w:rsidP="00BB31B2">
      <w:pPr>
        <w:pStyle w:val="3"/>
        <w:rPr>
          <w:rtl/>
        </w:rPr>
      </w:pPr>
      <w:bookmarkStart w:id="156" w:name="_Toc275127936"/>
      <w:r w:rsidRPr="008507E1">
        <w:rPr>
          <w:rFonts w:hint="cs"/>
          <w:rtl/>
        </w:rPr>
        <w:t>11 ـ النساء في أخبار الفريقين أو النساء في أخبار الشيعة والسنّة، للسيد محمود بن السيد مهدي الدهسرخي الإصفهاني</w:t>
      </w:r>
      <w:bookmarkEnd w:id="156"/>
    </w:p>
    <w:p w:rsidR="000E41CC" w:rsidRDefault="000E41CC" w:rsidP="000E41CC">
      <w:pPr>
        <w:pStyle w:val="ac"/>
        <w:rPr>
          <w:rtl/>
        </w:rPr>
      </w:pPr>
      <w:r>
        <w:rPr>
          <w:rFonts w:hint="cs"/>
          <w:rtl/>
        </w:rPr>
        <w:t>خرجت الطبعة الأولى لهذا الكتاب إلى النور عام 1415هـ في مدينة قم، وقد استعرض المؤلّف فيه 260 حديثاً مع ترجمتها إلى الفارسية، وذلك من المصادر الشيعية والسنّية، ذاكراً في النهاية روايةً تحتوي على 72 خصلة في آداب النساء، وفي تفاوت أحكامهنّ عن الرجال، جعلها تحت عنوان الملحقات.</w:t>
      </w:r>
    </w:p>
    <w:p w:rsidR="000E41CC" w:rsidRDefault="000E41CC" w:rsidP="000E41CC">
      <w:pPr>
        <w:pStyle w:val="ac"/>
        <w:rPr>
          <w:rtl/>
        </w:rPr>
      </w:pPr>
      <w:r>
        <w:rPr>
          <w:rFonts w:hint="cs"/>
          <w:rtl/>
        </w:rPr>
        <w:t xml:space="preserve">يقول المصنف في مقدّمة الكتاب: </w:t>
      </w:r>
      <w:r w:rsidRPr="002B759E">
        <w:rPr>
          <w:rFonts w:hint="cs"/>
          <w:rtl/>
        </w:rPr>
        <w:sym w:font="Islamic Units 1" w:char="F06D"/>
      </w:r>
      <w:r>
        <w:rPr>
          <w:rFonts w:hint="cs"/>
          <w:rtl/>
        </w:rPr>
        <w:t>هذه وجيزة جمعتها في النساء من طرق الفريقين؛ لعلّ لها ثمرةً لبعض النسوان، وإن كنت مأيوساً من الأمر في هذه الأزمان</w:t>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134"/>
      </w:r>
      <w:r w:rsidRPr="00815C4C">
        <w:rPr>
          <w:rFonts w:cs="Taher"/>
          <w:vertAlign w:val="superscript"/>
          <w:rtl/>
        </w:rPr>
        <w:t>)</w:t>
      </w:r>
      <w:r>
        <w:rPr>
          <w:rFonts w:hint="cs"/>
          <w:rtl/>
        </w:rPr>
        <w:t>.</w:t>
      </w:r>
    </w:p>
    <w:p w:rsidR="000E41CC" w:rsidRDefault="000E41CC" w:rsidP="000E41CC">
      <w:pPr>
        <w:pStyle w:val="ac"/>
        <w:rPr>
          <w:rtl/>
        </w:rPr>
      </w:pPr>
      <w:r>
        <w:rPr>
          <w:rFonts w:hint="cs"/>
          <w:rtl/>
        </w:rPr>
        <w:t>ويحتوي مضمون الكثير من هذه الروايات على ترغيب النساء في الزواج وإطاعة الزوج مطلقاً، مثل الحديث الأول، والعاشر، والثالث عشر، والعشرين، والثالث والعشرين، والسابع والعشرين، والتاسع والعشرين، والثاني والثلاثين و.. أو ترغيبهنّ في الركون في البيوت، وتجنّبهنّ الحضور في الاجتماع العام، أو الاختلاط بالرجال.</w:t>
      </w:r>
    </w:p>
    <w:p w:rsidR="008B618B" w:rsidRPr="00BB31B2" w:rsidRDefault="008B618B" w:rsidP="00BB31B2">
      <w:pPr>
        <w:pStyle w:val="afffffc"/>
        <w:rPr>
          <w:sz w:val="14"/>
          <w:szCs w:val="12"/>
          <w:rtl/>
        </w:rPr>
      </w:pPr>
    </w:p>
    <w:p w:rsidR="000E41CC" w:rsidRPr="008507E1" w:rsidRDefault="000E41CC" w:rsidP="00BB31B2">
      <w:pPr>
        <w:pStyle w:val="3"/>
        <w:rPr>
          <w:rtl/>
        </w:rPr>
      </w:pPr>
      <w:bookmarkStart w:id="157" w:name="_Toc275127937"/>
      <w:r w:rsidRPr="008507E1">
        <w:rPr>
          <w:rFonts w:hint="cs"/>
          <w:rtl/>
        </w:rPr>
        <w:t>12 ـ الدين والم</w:t>
      </w:r>
      <w:r>
        <w:rPr>
          <w:rFonts w:hint="cs"/>
          <w:rtl/>
        </w:rPr>
        <w:t>رأة، لمحمد تقي صديقين الإصفهاني</w:t>
      </w:r>
      <w:bookmarkEnd w:id="157"/>
    </w:p>
    <w:p w:rsidR="000E41CC" w:rsidRDefault="000E41CC" w:rsidP="000E41CC">
      <w:pPr>
        <w:pStyle w:val="ac"/>
        <w:rPr>
          <w:rtl/>
        </w:rPr>
      </w:pPr>
      <w:r>
        <w:rPr>
          <w:rFonts w:hint="cs"/>
          <w:rtl/>
        </w:rPr>
        <w:t>لا توجد في هذا الكتاب أيّة إشارة إلى الناشر، أو محلّ النشر، إطلاقاً، فلم يرد فيه سوى ما في آخره من وضع عنوان هو: قم، شارع صفائية، حيّ المركز الرياضي، وقد طبع الكتاب بحجم متوسط (رقعي)، في 91 صفحة.</w:t>
      </w:r>
    </w:p>
    <w:p w:rsidR="000E41CC" w:rsidRDefault="000E41CC" w:rsidP="000E41CC">
      <w:pPr>
        <w:pStyle w:val="ac"/>
        <w:rPr>
          <w:rtl/>
        </w:rPr>
      </w:pPr>
      <w:r>
        <w:rPr>
          <w:rFonts w:hint="cs"/>
          <w:rtl/>
        </w:rPr>
        <w:t>اعتبر المؤلّف أوضاع النساء وأحوالهنّ عقب الثورة الإسلامية ملفتةً للنظر ومثيرة للانتباه، فقد رآهنّ في مقدّمته المختصرة متأثرات بالغرب وأوروبا.</w:t>
      </w:r>
    </w:p>
    <w:p w:rsidR="000E41CC" w:rsidRDefault="000E41CC" w:rsidP="000E41CC">
      <w:pPr>
        <w:pStyle w:val="ac"/>
        <w:rPr>
          <w:rtl/>
        </w:rPr>
      </w:pPr>
      <w:r>
        <w:rPr>
          <w:rFonts w:hint="cs"/>
          <w:rtl/>
        </w:rPr>
        <w:t xml:space="preserve">واختار المؤلّف أربعين حديثاً في النساء وقضاياهنّ، مرفقاً إيّاها بالترجمة إلى الفارسية </w:t>
      </w:r>
      <w:r>
        <w:rPr>
          <w:rFonts w:hint="cs"/>
          <w:rtl/>
        </w:rPr>
        <w:lastRenderedPageBreak/>
        <w:t>مع الشرح، محاولاً إعادة قراءة ورسم رؤية الإسلام للمرأة.</w:t>
      </w:r>
    </w:p>
    <w:p w:rsidR="000E41CC" w:rsidRDefault="000E41CC" w:rsidP="004950D9">
      <w:pPr>
        <w:pStyle w:val="ac"/>
        <w:spacing w:line="199" w:lineRule="auto"/>
        <w:rPr>
          <w:rtl/>
        </w:rPr>
      </w:pPr>
      <w:r>
        <w:rPr>
          <w:rFonts w:hint="cs"/>
          <w:rtl/>
        </w:rPr>
        <w:t>والمحاور التي تدور حولها الروايات المنتقاة هي: حجاب المرأة، الاحتجاب والعزل، تجنّب الاختلاط بالرجال، مراعاة حقوق الأزواج و..</w:t>
      </w:r>
    </w:p>
    <w:p w:rsidR="000E41CC" w:rsidRPr="004950D9" w:rsidRDefault="000E41CC" w:rsidP="00BB31B2">
      <w:pPr>
        <w:pStyle w:val="afffffc"/>
        <w:rPr>
          <w:sz w:val="12"/>
          <w:szCs w:val="10"/>
          <w:rtl/>
        </w:rPr>
      </w:pPr>
    </w:p>
    <w:p w:rsidR="000E41CC" w:rsidRPr="009C0B37" w:rsidRDefault="000E41CC" w:rsidP="00BB31B2">
      <w:pPr>
        <w:pStyle w:val="1"/>
        <w:rPr>
          <w:rFonts w:cs="AL-Mohanad"/>
          <w:szCs w:val="27"/>
          <w:rtl/>
        </w:rPr>
      </w:pPr>
      <w:bookmarkStart w:id="158" w:name="_Toc169521392"/>
      <w:bookmarkStart w:id="159" w:name="_Toc275127938"/>
      <w:r w:rsidRPr="00D457EB">
        <w:rPr>
          <w:rFonts w:hint="cs"/>
          <w:rtl/>
        </w:rPr>
        <w:t>2 ـ الاتجاه التراثي</w:t>
      </w:r>
      <w:r w:rsidRPr="003A6D60">
        <w:rPr>
          <w:rFonts w:cs="Simplified Arabic" w:hint="cs"/>
          <w:rtl/>
        </w:rPr>
        <w:t>:</w:t>
      </w:r>
      <w:r w:rsidRPr="00D457EB">
        <w:rPr>
          <w:rFonts w:hint="cs"/>
          <w:rtl/>
        </w:rPr>
        <w:t xml:space="preserve"> النظريّات والمواقف</w:t>
      </w:r>
      <w:bookmarkEnd w:id="158"/>
      <w:bookmarkEnd w:id="159"/>
    </w:p>
    <w:p w:rsidR="000E41CC" w:rsidRDefault="000E41CC" w:rsidP="004950D9">
      <w:pPr>
        <w:pStyle w:val="ac"/>
        <w:spacing w:line="199" w:lineRule="auto"/>
        <w:rPr>
          <w:rtl/>
        </w:rPr>
      </w:pPr>
      <w:r>
        <w:rPr>
          <w:rFonts w:hint="cs"/>
          <w:rtl/>
        </w:rPr>
        <w:t>ويمكننا استعراض النظريّات التي احتوتها المصادر السالفة، أعمّ من المصادر العامّة وغيرها، ضمن محاور ثلاثة هي:</w:t>
      </w:r>
    </w:p>
    <w:p w:rsidR="000E41CC" w:rsidRDefault="000E41CC" w:rsidP="004950D9">
      <w:pPr>
        <w:pStyle w:val="ac"/>
        <w:spacing w:line="199" w:lineRule="auto"/>
        <w:rPr>
          <w:rtl/>
        </w:rPr>
      </w:pPr>
      <w:r w:rsidRPr="00E06333">
        <w:rPr>
          <w:rFonts w:hint="cs"/>
          <w:b/>
          <w:bCs/>
          <w:rtl/>
        </w:rPr>
        <w:t>المحور الأول:</w:t>
      </w:r>
      <w:r>
        <w:rPr>
          <w:rFonts w:hint="cs"/>
          <w:rtl/>
        </w:rPr>
        <w:t xml:space="preserve"> شخصية المرأة، طاقاتها، إمكاناتها، كمالاتها.</w:t>
      </w:r>
    </w:p>
    <w:p w:rsidR="000E41CC" w:rsidRDefault="000E41CC" w:rsidP="004950D9">
      <w:pPr>
        <w:pStyle w:val="ac"/>
        <w:spacing w:line="199" w:lineRule="auto"/>
        <w:rPr>
          <w:rtl/>
        </w:rPr>
      </w:pPr>
      <w:r w:rsidRPr="00E06333">
        <w:rPr>
          <w:rFonts w:hint="cs"/>
          <w:b/>
          <w:bCs/>
          <w:rtl/>
        </w:rPr>
        <w:t>المحور الثاني:</w:t>
      </w:r>
      <w:r>
        <w:rPr>
          <w:rFonts w:hint="cs"/>
          <w:rtl/>
        </w:rPr>
        <w:t xml:space="preserve"> الرجل والمرأة، الحقوق والتكاليف والواجبات.</w:t>
      </w:r>
    </w:p>
    <w:p w:rsidR="000E41CC" w:rsidRDefault="000E41CC" w:rsidP="004950D9">
      <w:pPr>
        <w:pStyle w:val="ac"/>
        <w:spacing w:line="199" w:lineRule="auto"/>
        <w:rPr>
          <w:rtl/>
        </w:rPr>
      </w:pPr>
      <w:r w:rsidRPr="00E06333">
        <w:rPr>
          <w:rFonts w:hint="cs"/>
          <w:b/>
          <w:bCs/>
          <w:rtl/>
        </w:rPr>
        <w:t>المحور الثالث:</w:t>
      </w:r>
      <w:r>
        <w:rPr>
          <w:rFonts w:hint="cs"/>
          <w:rtl/>
        </w:rPr>
        <w:t xml:space="preserve"> الحضور الاجتماعي للمرأة.</w:t>
      </w:r>
    </w:p>
    <w:p w:rsidR="000E41CC" w:rsidRPr="004950D9" w:rsidRDefault="000E41CC" w:rsidP="004950D9">
      <w:pPr>
        <w:pStyle w:val="ac"/>
        <w:ind w:left="720" w:hanging="436"/>
        <w:rPr>
          <w:sz w:val="10"/>
          <w:szCs w:val="12"/>
          <w:rtl/>
        </w:rPr>
      </w:pPr>
    </w:p>
    <w:p w:rsidR="000E41CC" w:rsidRDefault="000E41CC" w:rsidP="004950D9">
      <w:pPr>
        <w:pStyle w:val="2"/>
        <w:rPr>
          <w:rtl/>
        </w:rPr>
      </w:pPr>
      <w:bookmarkStart w:id="160" w:name="_Toc169521393"/>
      <w:bookmarkStart w:id="161" w:name="_Toc275127939"/>
      <w:r>
        <w:rPr>
          <w:rFonts w:hint="cs"/>
          <w:rtl/>
        </w:rPr>
        <w:t>1 ـ 2 ـ شخصية المرأة، الطاقات والكمالات</w:t>
      </w:r>
      <w:bookmarkEnd w:id="160"/>
      <w:bookmarkEnd w:id="161"/>
    </w:p>
    <w:p w:rsidR="000E41CC" w:rsidRDefault="000E41CC" w:rsidP="004950D9">
      <w:pPr>
        <w:pStyle w:val="ac"/>
        <w:spacing w:line="199" w:lineRule="auto"/>
        <w:rPr>
          <w:rtl/>
        </w:rPr>
      </w:pPr>
      <w:r>
        <w:rPr>
          <w:rFonts w:hint="cs"/>
          <w:rtl/>
        </w:rPr>
        <w:t>تحدّثت تمام المصادر المشار إليها لدى تعرّضها لمسألة خلقة الرجل والمرأة وتكوّنهما عن أفضلية الرجل على المرأة في الجوانب التكوينية، وقد جعلت هذه الأفضلية أساساً للحقوق، ولتبعيّة المرأة للرجل، كما ولمفهوم الجلوس في البيت الذي يطرح في نظرية المرأة في الإسلام، وإضافةً إلى ذلك، فقد تمّ اقتباس مستندات ووثائق من العلوم الجديدة لتُضَمّ إلى الأدلة الدينية بغية تبريرها.</w:t>
      </w:r>
    </w:p>
    <w:p w:rsidR="000E41CC" w:rsidRDefault="000E41CC" w:rsidP="004950D9">
      <w:pPr>
        <w:pStyle w:val="ac"/>
        <w:spacing w:line="199" w:lineRule="auto"/>
        <w:rPr>
          <w:rtl/>
        </w:rPr>
      </w:pPr>
      <w:r>
        <w:rPr>
          <w:rFonts w:hint="cs"/>
          <w:rtl/>
        </w:rPr>
        <w:t xml:space="preserve">نقرأ في كتاب </w:t>
      </w:r>
      <w:r w:rsidRPr="002B759E">
        <w:rPr>
          <w:rFonts w:hint="cs"/>
          <w:rtl/>
        </w:rPr>
        <w:sym w:font="Islamic Units 1" w:char="F06D"/>
      </w:r>
      <w:r>
        <w:rPr>
          <w:rFonts w:hint="cs"/>
          <w:rtl/>
        </w:rPr>
        <w:t>طومار عفت</w:t>
      </w:r>
      <w:r w:rsidRPr="002B759E">
        <w:rPr>
          <w:rFonts w:hint="cs"/>
          <w:rtl/>
        </w:rPr>
        <w:sym w:font="Islamic Units 1" w:char="F06E"/>
      </w:r>
      <w:r>
        <w:rPr>
          <w:rFonts w:hint="cs"/>
          <w:rtl/>
        </w:rPr>
        <w:t xml:space="preserve"> ما يلي: </w:t>
      </w:r>
      <w:r w:rsidRPr="002B759E">
        <w:rPr>
          <w:rFonts w:hint="cs"/>
          <w:rtl/>
        </w:rPr>
        <w:sym w:font="Islamic Units 1" w:char="F06D"/>
      </w:r>
      <w:r>
        <w:rPr>
          <w:rFonts w:hint="cs"/>
          <w:rtl/>
        </w:rPr>
        <w:t>تتفق الشرائع كافّة، هادفةً هداية الناس إلى الحق، وتوفير صيغ اجتماعية للبشر، على أنّ التعامل مع النساء بمنزلة التعامل مع الإنسان القاصر، المحتاج إلى الوليّ والكافل والقيّم الكامل، ذلك أنهنّ ـ تكويناً وخلقةً وبدناً وأدباً ورأياً وعقلاً وعملاً ـ ناقصات عندما نقوم بقياسهنّ إلى الرجال، كما مارس هذا التوصيف نفسه علماء الأخلاق أيضاً، فقد عرّفوا النساء ووصفوهنّ بالمغلوبات المستسلمات أمام الشهوات، فقالوا: إن حبّ اللهو واللعب، والتعلّق بالأوهام، وقبول الدسائس والاختلافات، وتلوّن المزاج أكثر في النساء منه في الرجال</w:t>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135"/>
      </w:r>
      <w:r w:rsidRPr="00815C4C">
        <w:rPr>
          <w:rFonts w:cs="Taher"/>
          <w:vertAlign w:val="superscript"/>
          <w:rtl/>
        </w:rPr>
        <w:t>)</w:t>
      </w:r>
      <w:r>
        <w:rPr>
          <w:rFonts w:hint="cs"/>
          <w:rtl/>
        </w:rPr>
        <w:t>.</w:t>
      </w:r>
    </w:p>
    <w:p w:rsidR="000E41CC" w:rsidRDefault="000E41CC" w:rsidP="004950D9">
      <w:pPr>
        <w:pStyle w:val="ac"/>
        <w:spacing w:line="206" w:lineRule="auto"/>
        <w:rPr>
          <w:rtl/>
        </w:rPr>
      </w:pPr>
      <w:r>
        <w:rPr>
          <w:rFonts w:hint="cs"/>
          <w:rtl/>
        </w:rPr>
        <w:lastRenderedPageBreak/>
        <w:t xml:space="preserve">وفي موضعٍ آخر يقول: </w:t>
      </w:r>
      <w:r w:rsidR="004950D9">
        <w:rPr>
          <w:rFonts w:ascii="Mosawi" w:hAnsi="Mosawi"/>
          <w:rtl/>
        </w:rPr>
        <w:t>«</w:t>
      </w:r>
      <w:r>
        <w:rPr>
          <w:rFonts w:hint="cs"/>
          <w:rtl/>
        </w:rPr>
        <w:t>تُحرم المرأة في الإسلام من الفضائل التالية، وبعبارة أخرى: لقد خصّ الشارع المقدّس الكثير من الأحكام التكليفية بالرجال، فيما جعل النساء أحراراً فيها وهي: 1ـ العقل الكامل. 2ـ الحزم. 3ـ الجهاد. 4ـ تدبير الأمور المدنية. 5ـ</w:t>
      </w:r>
      <w:r w:rsidR="004950D9">
        <w:rPr>
          <w:rFonts w:cs="Times New Roman" w:hint="eastAsia"/>
          <w:rtl/>
        </w:rPr>
        <w:t> </w:t>
      </w:r>
      <w:r>
        <w:rPr>
          <w:rFonts w:hint="cs"/>
          <w:rtl/>
        </w:rPr>
        <w:t>الجمعة. 6ـ إقامة الجماعة للرجال. 7ـ الخطبة. 8</w:t>
      </w:r>
      <w:r w:rsidR="004950D9">
        <w:rPr>
          <w:rFonts w:cs="Times New Roman" w:hint="eastAsia"/>
          <w:rtl/>
        </w:rPr>
        <w:t> </w:t>
      </w:r>
      <w:r>
        <w:rPr>
          <w:rFonts w:hint="cs"/>
          <w:rtl/>
        </w:rPr>
        <w:t>ـ الأذان عندما يكنّ في معرض سماع الأجنبي. 9ـ قلّة الأعمال والطاعات، لا أقلّ ثلاثة أيام في الشهر الواحد. 10ـ</w:t>
      </w:r>
      <w:r w:rsidR="004950D9">
        <w:rPr>
          <w:rFonts w:cs="Times New Roman" w:hint="eastAsia"/>
          <w:rtl/>
        </w:rPr>
        <w:t> </w:t>
      </w:r>
      <w:r>
        <w:rPr>
          <w:rFonts w:hint="cs"/>
          <w:rtl/>
        </w:rPr>
        <w:t>انحصار عدد أزواجهنّ بالواحد. 11ـ النبوّة. 12ـ الإمامة. 13ـ الولاية. 14ـ</w:t>
      </w:r>
      <w:r w:rsidR="004950D9">
        <w:rPr>
          <w:rFonts w:cs="Times New Roman" w:hint="eastAsia"/>
          <w:rtl/>
        </w:rPr>
        <w:t> </w:t>
      </w:r>
      <w:r>
        <w:rPr>
          <w:rFonts w:hint="cs"/>
          <w:rtl/>
        </w:rPr>
        <w:t>إقامة الشعائر الخارجة عن مسؤوليّتها. 15ـ عدم الخيار في الطلاق، وهذه نعمة كبرى للمرأة. 16ـ إرثها نصف سهم الرجل. 17ـ كون شهادتها نصف شهادة الرجل. 18ـ لزوم كونها مستورةً وفي حجابٍ من غير المحارم. 19ـ عدم التبرّج. 20ـ عدم تحصيل العلوم الغزلية والعشقية وتعلّمها.</w:t>
      </w:r>
    </w:p>
    <w:p w:rsidR="000E41CC" w:rsidRDefault="000E41CC" w:rsidP="004950D9">
      <w:pPr>
        <w:pStyle w:val="ac"/>
        <w:spacing w:line="209" w:lineRule="auto"/>
        <w:rPr>
          <w:rtl/>
        </w:rPr>
      </w:pPr>
      <w:r>
        <w:rPr>
          <w:rFonts w:hint="cs"/>
          <w:rtl/>
        </w:rPr>
        <w:t xml:space="preserve">وبهذا فضّل الرجل ورجّح على المرأة، قال تعالى: </w:t>
      </w:r>
      <w:r w:rsidR="004950D9">
        <w:rPr>
          <w:rFonts w:ascii="Mosawi" w:hAnsi="Mosawi"/>
          <w:rtl/>
        </w:rPr>
        <w:t>﴿</w:t>
      </w:r>
      <w:r w:rsidRPr="000E41CC">
        <w:rPr>
          <w:b/>
          <w:bCs/>
          <w:rtl/>
        </w:rPr>
        <w:t>الرِّجَالُ قَوَّامُونَ عَلَى النِّسَاء بِمَا فَضَّلَ الله بَعْضَهُمْ عَلَى بَعْضٍ وَبِمَا أَنفَقُواْ مِنْ أَمْوَالِهِمْ</w:t>
      </w:r>
      <w:r w:rsidR="004950D9">
        <w:rPr>
          <w:rFonts w:ascii="Mosawi" w:hAnsi="Mosawi"/>
          <w:rtl/>
        </w:rPr>
        <w:t>﴾</w:t>
      </w:r>
      <w:r>
        <w:rPr>
          <w:rFonts w:hint="cs"/>
          <w:rtl/>
        </w:rPr>
        <w:t xml:space="preserve"> (النساء: 34)، أي أنّ للرجل السلطة على الأمر والنهي المشروعين على المرأة، مثل سلطة الولاة على الرعايا، وذلك بسبب الفضائل المذكورة التي تفتقدها النساء، وكذلك بسبب المهر والإنفاق الذي يدفعه الرجل ويتحمّل مسؤوليّته</w:t>
      </w:r>
      <w:r w:rsidR="004950D9">
        <w:rPr>
          <w:rFonts w:ascii="Mosawi" w:hAnsi="Mosawi"/>
          <w:rtl/>
        </w:rPr>
        <w:t>»</w:t>
      </w:r>
      <w:r w:rsidRPr="00815C4C">
        <w:rPr>
          <w:rFonts w:cs="Taher"/>
          <w:vertAlign w:val="superscript"/>
          <w:rtl/>
        </w:rPr>
        <w:t>(</w:t>
      </w:r>
      <w:r w:rsidRPr="00815C4C">
        <w:rPr>
          <w:rFonts w:cs="Taher"/>
          <w:vertAlign w:val="superscript"/>
          <w:rtl/>
        </w:rPr>
        <w:footnoteReference w:id="136"/>
      </w:r>
      <w:r w:rsidRPr="00815C4C">
        <w:rPr>
          <w:rFonts w:cs="Taher"/>
          <w:vertAlign w:val="superscript"/>
          <w:rtl/>
        </w:rPr>
        <w:t>)</w:t>
      </w:r>
      <w:r>
        <w:rPr>
          <w:rFonts w:hint="cs"/>
          <w:rtl/>
        </w:rPr>
        <w:t>.</w:t>
      </w:r>
    </w:p>
    <w:p w:rsidR="000E41CC" w:rsidRDefault="000E41CC" w:rsidP="004950D9">
      <w:pPr>
        <w:pStyle w:val="ac"/>
        <w:spacing w:line="209" w:lineRule="auto"/>
        <w:rPr>
          <w:rtl/>
        </w:rPr>
      </w:pPr>
      <w:r>
        <w:rPr>
          <w:rFonts w:hint="cs"/>
          <w:rtl/>
        </w:rPr>
        <w:t>ومع الأخذ بعين الاعتبار ما كتبه فريد وجدي، ينقل تسع نقاط، يراها مبرهنةً بأدلّةٍ علمية وهي:</w:t>
      </w:r>
    </w:p>
    <w:p w:rsidR="000E41CC" w:rsidRDefault="000E41CC" w:rsidP="004950D9">
      <w:pPr>
        <w:pStyle w:val="ac"/>
        <w:spacing w:line="209" w:lineRule="auto"/>
        <w:rPr>
          <w:rtl/>
        </w:rPr>
      </w:pPr>
      <w:r>
        <w:rPr>
          <w:rFonts w:hint="cs"/>
          <w:rtl/>
        </w:rPr>
        <w:t>1ـ المرأة أضعف من الرجل جسماً، وأقلّ منه قبولاً للعلم، وهذا الضعف لا يعني تنزّل المرأة عن درجة الرجل، وإنما الوظيفة الخاصّة بها هي التي تفرض أن لا تكون أزيد منه وأرفع، كما أن ذلك هو مقتضى فطرتها الطبيعية، وهو أنه إذا بذلت جهداً لتبلغ مبلغ الرجل فإنها لن تستطيع الوصول إليه، إذ لن تتساوى والرجل، لا بدنياً ولا عقلياً.</w:t>
      </w:r>
    </w:p>
    <w:p w:rsidR="000E41CC" w:rsidRDefault="000E41CC" w:rsidP="004950D9">
      <w:pPr>
        <w:pStyle w:val="ac"/>
        <w:spacing w:line="209" w:lineRule="auto"/>
        <w:rPr>
          <w:rtl/>
        </w:rPr>
      </w:pPr>
      <w:r>
        <w:rPr>
          <w:rFonts w:hint="cs"/>
          <w:rtl/>
        </w:rPr>
        <w:t xml:space="preserve">2ـ لكلّ موجود كمال خاصّ به ينحصر فيه، وكال المرأة لا يكون بقوّة عضلاتها، ولا </w:t>
      </w:r>
      <w:r>
        <w:rPr>
          <w:rFonts w:hint="cs"/>
          <w:rtl/>
        </w:rPr>
        <w:lastRenderedPageBreak/>
        <w:t>باتساع مجال معلوماتها، إنما ينحصر في موهبتها الروحية التي يفترض بها أن تتمتّع بها، وهذه الموهبة هي أحاسيسها الرقيقة وعواطفها الفيّاضة، وهي التي تحوز في ذلك المرتبة العليا، وهذه الموهبة لا تبلغ مستواها الأرقى إلاّ تحت قيادة الرجل.</w:t>
      </w:r>
    </w:p>
    <w:p w:rsidR="000E41CC" w:rsidRDefault="000E41CC" w:rsidP="004950D9">
      <w:pPr>
        <w:pStyle w:val="ac"/>
        <w:spacing w:line="206" w:lineRule="auto"/>
        <w:rPr>
          <w:rtl/>
        </w:rPr>
      </w:pPr>
      <w:r>
        <w:rPr>
          <w:rFonts w:hint="cs"/>
          <w:rtl/>
        </w:rPr>
        <w:t>3ـ إن المرأة لا تبلغ كمالها الخاصّ جداً إلا أن تكون امرأةً لرجل وأمّاً لطفلٍ تسعى لتربيته تربية صحيحةً، وليس هذا لأجل قيامها بالوظيفة المطلوبة منها فحسب، وإنما كذلك لأنّ نموّ الملكات وإكمال التهذيب لا يحصلان إلاّ بذلك، والسبب في ذلك أنها خلقت ـ روحاً وجسماً ـ لذلك.</w:t>
      </w:r>
    </w:p>
    <w:p w:rsidR="000E41CC" w:rsidRDefault="000E41CC" w:rsidP="004950D9">
      <w:pPr>
        <w:pStyle w:val="ac"/>
        <w:spacing w:line="206" w:lineRule="auto"/>
        <w:rPr>
          <w:rtl/>
        </w:rPr>
      </w:pPr>
      <w:r>
        <w:rPr>
          <w:rFonts w:hint="cs"/>
          <w:rtl/>
        </w:rPr>
        <w:t>4ـ إن انشغال المرأة بالأعمال الرجولية سببٌ في انعدام مواهبها وإطفاء جذوة ملكاتها، وتلاشي بهجتها، ونزولها من مراتب الخلقية، بل هو موجب لفساد تركيبها وتكوينها، كما أنّه يؤدّي ـ من جهةٍ أخرى ـ إلى حدوث اختلالٍ في المجتمع، وحرج سيظل موجوداً في قلوب أبناء الأمة.</w:t>
      </w:r>
    </w:p>
    <w:p w:rsidR="000E41CC" w:rsidRDefault="000E41CC" w:rsidP="004950D9">
      <w:pPr>
        <w:pStyle w:val="ac"/>
        <w:spacing w:line="206" w:lineRule="auto"/>
        <w:rPr>
          <w:rtl/>
        </w:rPr>
      </w:pPr>
      <w:r>
        <w:rPr>
          <w:rFonts w:hint="cs"/>
          <w:rtl/>
        </w:rPr>
        <w:t>5ـ إن الحجاب ضرورةٌ للمرأة كي يصلح النوع الإنساني عموماً وصنف النساء خصوصاً؛ ذلك أنّ فيه ضماناً لاستقلال المرأة، وكفالةً لحريّتها.</w:t>
      </w:r>
    </w:p>
    <w:p w:rsidR="000E41CC" w:rsidRDefault="000E41CC" w:rsidP="004950D9">
      <w:pPr>
        <w:pStyle w:val="ac"/>
        <w:spacing w:line="206" w:lineRule="auto"/>
        <w:rPr>
          <w:rtl/>
        </w:rPr>
      </w:pPr>
      <w:r>
        <w:rPr>
          <w:rFonts w:hint="cs"/>
          <w:rtl/>
        </w:rPr>
        <w:t>6ـ لا ترى المرأة كمالها في ظلّ الحضارة المادية، بل إنها لا تسير في طريق الكمال، فعلماء أوروبا اليوم يشكون من الحالة التي وصلتها المرأة المعاصرة، بل إنّهم يسعون للحدّ من هذه الحركة والوقوف بوجهها.</w:t>
      </w:r>
    </w:p>
    <w:p w:rsidR="000E41CC" w:rsidRDefault="000E41CC" w:rsidP="004950D9">
      <w:pPr>
        <w:pStyle w:val="ac"/>
        <w:spacing w:line="206" w:lineRule="auto"/>
        <w:rPr>
          <w:rtl/>
        </w:rPr>
      </w:pPr>
      <w:r>
        <w:rPr>
          <w:rFonts w:hint="cs"/>
          <w:rtl/>
        </w:rPr>
        <w:t>7ـ لا صلاحية ولا نفع للطرق والأساليب كافّة التي تعتمد في تمام البلاد الأوروبية والأمريكية للنساء، يشهد لذلك ما قاله علماء تلك البقاع وشهدوا به.</w:t>
      </w:r>
    </w:p>
    <w:p w:rsidR="000E41CC" w:rsidRDefault="000E41CC" w:rsidP="004950D9">
      <w:pPr>
        <w:pStyle w:val="ac"/>
        <w:spacing w:line="206" w:lineRule="auto"/>
        <w:rPr>
          <w:rtl/>
        </w:rPr>
      </w:pPr>
      <w:r>
        <w:rPr>
          <w:rFonts w:hint="cs"/>
          <w:rtl/>
        </w:rPr>
        <w:t>8</w:t>
      </w:r>
      <w:r w:rsidRPr="004950D9">
        <w:rPr>
          <w:rFonts w:hint="cs"/>
          <w:sz w:val="18"/>
          <w:szCs w:val="20"/>
          <w:rtl/>
        </w:rPr>
        <w:t xml:space="preserve"> </w:t>
      </w:r>
      <w:r>
        <w:rPr>
          <w:rFonts w:hint="cs"/>
          <w:rtl/>
        </w:rPr>
        <w:t>ـ إن تعاليم الديانة الإسلامية فيما يخصّ المرأة موافقةٌ للفطرة ومنسجمةٌ مع الطبيعة النسائية تمام الموافقة والانسجام، فإنها قالبٌ تامّ كامل، كما أنها تحفظ تمام خاصّيات المرأة وملكاتها، ولو أنّ المرأة رقت وتنامت وفق القوانين الإسلامية لبلغت أعلى درجاتها وأرقى مراتبها.</w:t>
      </w:r>
    </w:p>
    <w:p w:rsidR="000E41CC" w:rsidRDefault="000E41CC" w:rsidP="004950D9">
      <w:pPr>
        <w:pStyle w:val="ac"/>
        <w:rPr>
          <w:rtl/>
        </w:rPr>
      </w:pPr>
      <w:r>
        <w:rPr>
          <w:rFonts w:hint="cs"/>
          <w:rtl/>
        </w:rPr>
        <w:t xml:space="preserve">9ـ إذا لم تسعَ المرأة المسلمة سعيَها وتبذل جهدها في مجال تحصيل العلم حتى تصل مرتبة الكمال في ذلك، فليس ذلك نقصاً فيها، اللهم إلاّ المبادئ العلمية الضرورية التي </w:t>
      </w:r>
      <w:r>
        <w:rPr>
          <w:rFonts w:hint="cs"/>
          <w:rtl/>
        </w:rPr>
        <w:lastRenderedPageBreak/>
        <w:t>يجب عليها تعلّمها</w:t>
      </w:r>
      <w:r w:rsidRPr="00815C4C">
        <w:rPr>
          <w:rFonts w:cs="Taher"/>
          <w:vertAlign w:val="superscript"/>
          <w:rtl/>
        </w:rPr>
        <w:t>(</w:t>
      </w:r>
      <w:r w:rsidRPr="00815C4C">
        <w:rPr>
          <w:rFonts w:cs="Taher"/>
          <w:vertAlign w:val="superscript"/>
          <w:rtl/>
        </w:rPr>
        <w:footnoteReference w:id="137"/>
      </w:r>
      <w:r w:rsidRPr="00815C4C">
        <w:rPr>
          <w:rFonts w:cs="Taher"/>
          <w:vertAlign w:val="superscript"/>
          <w:rtl/>
        </w:rPr>
        <w:t>)</w:t>
      </w:r>
      <w:r>
        <w:rPr>
          <w:rFonts w:hint="cs"/>
          <w:rtl/>
        </w:rPr>
        <w:t>.</w:t>
      </w:r>
    </w:p>
    <w:p w:rsidR="000E41CC" w:rsidRDefault="000E41CC" w:rsidP="004950D9">
      <w:pPr>
        <w:pStyle w:val="ac"/>
        <w:rPr>
          <w:rtl/>
        </w:rPr>
      </w:pPr>
      <w:r>
        <w:rPr>
          <w:rFonts w:hint="cs"/>
          <w:rtl/>
        </w:rPr>
        <w:t xml:space="preserve">ونقرأ في كتاب </w:t>
      </w:r>
      <w:r w:rsidRPr="002B759E">
        <w:rPr>
          <w:rFonts w:hint="cs"/>
          <w:rtl/>
        </w:rPr>
        <w:sym w:font="Islamic Units 1" w:char="F06D"/>
      </w:r>
      <w:r>
        <w:rPr>
          <w:rFonts w:hint="cs"/>
          <w:rtl/>
        </w:rPr>
        <w:t>المرأة والانتخابات</w:t>
      </w:r>
      <w:r w:rsidRPr="002B759E">
        <w:rPr>
          <w:rFonts w:hint="cs"/>
          <w:rtl/>
        </w:rPr>
        <w:sym w:font="Islamic Units 1" w:char="F06E"/>
      </w:r>
      <w:r>
        <w:rPr>
          <w:rFonts w:hint="cs"/>
          <w:rtl/>
        </w:rPr>
        <w:t xml:space="preserve"> ما يلي: </w:t>
      </w:r>
      <w:r w:rsidR="004950D9">
        <w:rPr>
          <w:rFonts w:ascii="Mosawi" w:hAnsi="Mosawi"/>
          <w:rtl/>
        </w:rPr>
        <w:t>«</w:t>
      </w:r>
      <w:r>
        <w:rPr>
          <w:rFonts w:hint="cs"/>
          <w:rtl/>
        </w:rPr>
        <w:t>للمرأة والرجل خلقةٌ مختلفة، فكلّ منهما خُلق لعملٍ خاصّ وصنع لأمر معيّن، ومراجعة الامتيازات الطبيعيّة لكلّ من الجنسين، وما اختصّا به من فكر وعقل، وبدن، وأحاسيس وعواطف تؤكّد ذلك كلّه، وهو أمرٌ واضح مشهود</w:t>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138"/>
      </w:r>
      <w:r w:rsidRPr="00815C4C">
        <w:rPr>
          <w:rFonts w:cs="Taher"/>
          <w:vertAlign w:val="superscript"/>
          <w:rtl/>
        </w:rPr>
        <w:t>)</w:t>
      </w:r>
      <w:r>
        <w:rPr>
          <w:rFonts w:hint="cs"/>
          <w:rtl/>
        </w:rPr>
        <w:t>، وقد كرّرت هذه الفكرة في مواضع عديدة من هذا الكتاب</w:t>
      </w:r>
      <w:r w:rsidRPr="00815C4C">
        <w:rPr>
          <w:rFonts w:cs="Taher"/>
          <w:vertAlign w:val="superscript"/>
          <w:rtl/>
        </w:rPr>
        <w:t>(</w:t>
      </w:r>
      <w:r w:rsidRPr="00815C4C">
        <w:rPr>
          <w:rFonts w:cs="Taher"/>
          <w:vertAlign w:val="superscript"/>
          <w:rtl/>
        </w:rPr>
        <w:footnoteReference w:id="139"/>
      </w:r>
      <w:r w:rsidRPr="00815C4C">
        <w:rPr>
          <w:rFonts w:cs="Taher"/>
          <w:vertAlign w:val="superscript"/>
          <w:rtl/>
        </w:rPr>
        <w:t>)</w:t>
      </w:r>
      <w:r>
        <w:rPr>
          <w:rFonts w:hint="cs"/>
          <w:rtl/>
        </w:rPr>
        <w:t>.</w:t>
      </w:r>
    </w:p>
    <w:p w:rsidR="000E41CC" w:rsidRDefault="000E41CC" w:rsidP="004950D9">
      <w:pPr>
        <w:pStyle w:val="ac"/>
        <w:spacing w:line="209" w:lineRule="auto"/>
        <w:rPr>
          <w:rtl/>
        </w:rPr>
      </w:pPr>
      <w:r>
        <w:rPr>
          <w:rFonts w:hint="cs"/>
          <w:rtl/>
        </w:rPr>
        <w:t xml:space="preserve">ونطالع في كتاب </w:t>
      </w:r>
      <w:r w:rsidR="004950D9">
        <w:rPr>
          <w:rFonts w:ascii="Mosawi" w:hAnsi="Mosawi"/>
          <w:rtl/>
        </w:rPr>
        <w:t>«</w:t>
      </w:r>
      <w:r>
        <w:rPr>
          <w:rFonts w:hint="cs"/>
          <w:rtl/>
        </w:rPr>
        <w:t>رسالة بديعة</w:t>
      </w:r>
      <w:r w:rsidRPr="002B759E">
        <w:rPr>
          <w:rFonts w:hint="cs"/>
          <w:rtl/>
        </w:rPr>
        <w:sym w:font="Islamic Units 1" w:char="F06E"/>
      </w:r>
      <w:r>
        <w:rPr>
          <w:rFonts w:hint="cs"/>
          <w:rtl/>
        </w:rPr>
        <w:t xml:space="preserve">: </w:t>
      </w:r>
      <w:r w:rsidR="004950D9">
        <w:rPr>
          <w:rFonts w:ascii="Mosawi" w:hAnsi="Mosawi"/>
          <w:rtl/>
        </w:rPr>
        <w:t>«</w:t>
      </w:r>
      <w:r>
        <w:rPr>
          <w:rFonts w:hint="cs"/>
          <w:rtl/>
        </w:rPr>
        <w:t xml:space="preserve">وإذا قايسنا كلّ واحد منهما مجرّداً عن الآخر بحسب المواهب الطبيعية الإلهية، فلا إشكال في تقديم الرجال على النساء من جهة البُنية القويمة، والقوّة العقلانية الحكيمة، وسعة التفكير، وقوّة التدبير </w:t>
      </w:r>
      <w:r w:rsidRPr="00AA2A63">
        <w:rPr>
          <w:rFonts w:hint="cs"/>
          <w:rtl/>
        </w:rPr>
        <w:sym w:font="Islamic Units 1" w:char="F03E"/>
      </w:r>
      <w:r w:rsidRPr="00144C5C">
        <w:rPr>
          <w:rtl/>
        </w:rPr>
        <w:t>الرِّجَالُ قَوَّامُونَ عَلَى النِّسَاء بِمَا فَضَّلَ الله بَعْضَهُمْ عَلَى بَعْضٍ وَبِمَا أَنفَقُواْ مِنْ أَمْوَالِهِمْ</w:t>
      </w:r>
      <w:r w:rsidRPr="00AA2A63">
        <w:rPr>
          <w:rFonts w:hint="cs"/>
          <w:rtl/>
        </w:rPr>
        <w:sym w:font="Islamic Units 1" w:char="F03C"/>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140"/>
      </w:r>
      <w:r w:rsidRPr="00815C4C">
        <w:rPr>
          <w:rFonts w:cs="Taher"/>
          <w:vertAlign w:val="superscript"/>
          <w:rtl/>
        </w:rPr>
        <w:t>)</w:t>
      </w:r>
      <w:r>
        <w:rPr>
          <w:rFonts w:hint="cs"/>
          <w:rtl/>
        </w:rPr>
        <w:t>.</w:t>
      </w:r>
    </w:p>
    <w:p w:rsidR="000E41CC" w:rsidRDefault="000E41CC" w:rsidP="000E41CC">
      <w:pPr>
        <w:pStyle w:val="ac"/>
        <w:rPr>
          <w:rtl/>
        </w:rPr>
      </w:pPr>
      <w:r>
        <w:rPr>
          <w:rFonts w:hint="cs"/>
          <w:rtl/>
        </w:rPr>
        <w:t xml:space="preserve">ويكتب في موضعٍ آخر يقول: </w:t>
      </w:r>
      <w:r w:rsidRPr="002B759E">
        <w:rPr>
          <w:rFonts w:hint="cs"/>
          <w:rtl/>
        </w:rPr>
        <w:sym w:font="Islamic Units 1" w:char="F06D"/>
      </w:r>
      <w:r>
        <w:rPr>
          <w:rFonts w:hint="cs"/>
          <w:rtl/>
        </w:rPr>
        <w:t>يكون الرجل شديد البطش، قويّ الأركان، متين البنيان، ذا قوّةٍ تعقل وتفكير حادّ، وإحساس متناسب، والمرأة رقيقة البنيان، لطيفة الأركان، ذات إحساس حادّ، وعاطفة قوية، وتفكير متناسب، بعكس ما يكون الرجل</w:t>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141"/>
      </w:r>
      <w:r w:rsidRPr="00815C4C">
        <w:rPr>
          <w:rFonts w:cs="Taher"/>
          <w:vertAlign w:val="superscript"/>
          <w:rtl/>
        </w:rPr>
        <w:t>)</w:t>
      </w:r>
      <w:r>
        <w:rPr>
          <w:rFonts w:hint="cs"/>
          <w:rtl/>
        </w:rPr>
        <w:t>.</w:t>
      </w:r>
    </w:p>
    <w:p w:rsidR="000E41CC" w:rsidRDefault="000E41CC" w:rsidP="000E41CC">
      <w:pPr>
        <w:pStyle w:val="ac"/>
        <w:rPr>
          <w:rtl/>
        </w:rPr>
      </w:pPr>
      <w:r>
        <w:rPr>
          <w:rFonts w:hint="cs"/>
          <w:rtl/>
        </w:rPr>
        <w:t xml:space="preserve">وهذا ما نجده في الكثير من المصادر والتأليفات التي دوّنها هذا الاتجاه مثل: </w:t>
      </w:r>
      <w:r w:rsidRPr="002B759E">
        <w:rPr>
          <w:rFonts w:hint="cs"/>
          <w:rtl/>
        </w:rPr>
        <w:sym w:font="Islamic Units 1" w:char="F06D"/>
      </w:r>
      <w:r>
        <w:rPr>
          <w:rFonts w:hint="cs"/>
          <w:rtl/>
        </w:rPr>
        <w:t>مزايا الرجل والمرأة في الإسلام</w:t>
      </w:r>
      <w:r w:rsidRPr="002B759E">
        <w:rPr>
          <w:rFonts w:hint="cs"/>
          <w:rtl/>
        </w:rPr>
        <w:sym w:font="Islamic Units 1" w:char="F06E"/>
      </w:r>
      <w:r>
        <w:rPr>
          <w:rFonts w:hint="cs"/>
          <w:rtl/>
        </w:rPr>
        <w:t xml:space="preserve"> للسيد أبي الفضل النبوي، في طرحه </w:t>
      </w:r>
      <w:r w:rsidRPr="002B759E">
        <w:rPr>
          <w:rFonts w:hint="cs"/>
          <w:rtl/>
        </w:rPr>
        <w:sym w:font="Islamic Units 1" w:char="F06D"/>
      </w:r>
      <w:r>
        <w:rPr>
          <w:rFonts w:hint="cs"/>
          <w:rtl/>
        </w:rPr>
        <w:t>اختلاف الرجل والمرأة في الخلقة الجسمانية والروحية</w:t>
      </w:r>
      <w:r w:rsidRPr="002B759E">
        <w:rPr>
          <w:rFonts w:hint="cs"/>
          <w:rtl/>
        </w:rPr>
        <w:sym w:font="Islamic Units 1" w:char="F06E"/>
      </w:r>
      <w:r>
        <w:rPr>
          <w:rFonts w:hint="cs"/>
          <w:rtl/>
        </w:rPr>
        <w:t xml:space="preserve"> (ص16)، وكذلك </w:t>
      </w:r>
      <w:r w:rsidRPr="002B759E">
        <w:rPr>
          <w:rFonts w:hint="cs"/>
          <w:rtl/>
        </w:rPr>
        <w:sym w:font="Islamic Units 1" w:char="F06D"/>
      </w:r>
      <w:r>
        <w:rPr>
          <w:rFonts w:hint="cs"/>
          <w:rtl/>
        </w:rPr>
        <w:t>آيات القرآن في اختلاف خلقة الرجل والمرأة</w:t>
      </w:r>
      <w:r w:rsidRPr="002B759E">
        <w:rPr>
          <w:rFonts w:hint="cs"/>
          <w:rtl/>
        </w:rPr>
        <w:sym w:font="Islamic Units 1" w:char="F06E"/>
      </w:r>
      <w:r>
        <w:rPr>
          <w:rFonts w:hint="cs"/>
          <w:rtl/>
        </w:rPr>
        <w:t xml:space="preserve"> (ص21 ـ 26)؛ وكذا </w:t>
      </w:r>
      <w:r w:rsidRPr="002B759E">
        <w:rPr>
          <w:rFonts w:hint="cs"/>
          <w:rtl/>
        </w:rPr>
        <w:sym w:font="Islamic Units 1" w:char="F06D"/>
      </w:r>
      <w:r>
        <w:rPr>
          <w:rFonts w:hint="cs"/>
          <w:rtl/>
        </w:rPr>
        <w:t>فلسفة الاختلاف الروحي والجسماني بين الرجل والمرأة</w:t>
      </w:r>
      <w:r w:rsidRPr="002B759E">
        <w:rPr>
          <w:rFonts w:hint="cs"/>
          <w:rtl/>
        </w:rPr>
        <w:sym w:font="Islamic Units 1" w:char="F06E"/>
      </w:r>
      <w:r>
        <w:rPr>
          <w:rFonts w:hint="cs"/>
          <w:rtl/>
        </w:rPr>
        <w:t xml:space="preserve"> (ص27 ـ 30).</w:t>
      </w:r>
    </w:p>
    <w:p w:rsidR="000E41CC" w:rsidRDefault="000E41CC" w:rsidP="000E41CC">
      <w:pPr>
        <w:pStyle w:val="ac"/>
        <w:rPr>
          <w:rtl/>
        </w:rPr>
      </w:pPr>
      <w:r>
        <w:rPr>
          <w:rFonts w:hint="cs"/>
          <w:rtl/>
        </w:rPr>
        <w:lastRenderedPageBreak/>
        <w:t xml:space="preserve">ومن هذا النوع ما جاء في كتاب </w:t>
      </w:r>
      <w:r w:rsidRPr="002B759E">
        <w:rPr>
          <w:rFonts w:hint="cs"/>
          <w:rtl/>
        </w:rPr>
        <w:sym w:font="Islamic Units 1" w:char="F06D"/>
      </w:r>
      <w:r>
        <w:rPr>
          <w:rFonts w:hint="cs"/>
          <w:rtl/>
        </w:rPr>
        <w:t>الحجاب في الإسلام</w:t>
      </w:r>
      <w:r w:rsidRPr="002B759E">
        <w:rPr>
          <w:rFonts w:hint="cs"/>
          <w:rtl/>
        </w:rPr>
        <w:sym w:font="Islamic Units 1" w:char="F06E"/>
      </w:r>
      <w:r>
        <w:rPr>
          <w:rFonts w:hint="cs"/>
          <w:rtl/>
        </w:rPr>
        <w:t xml:space="preserve"> لقوام الدين الوشنوي، تحت عنوان: </w:t>
      </w:r>
      <w:r w:rsidRPr="002B759E">
        <w:rPr>
          <w:rFonts w:hint="cs"/>
          <w:rtl/>
        </w:rPr>
        <w:sym w:font="Islamic Units 1" w:char="F06D"/>
      </w:r>
      <w:r>
        <w:rPr>
          <w:rFonts w:hint="cs"/>
          <w:rtl/>
        </w:rPr>
        <w:t>الثالث: إن تلك الطبيعة تخالف طبيعة الرجال من جهات شتى، وهي نقصان العقل، وهو العمدة، ونقصان الإيمان، ونقصان القوى، ونقصان الأنفس</w:t>
      </w:r>
      <w:r w:rsidRPr="002B759E">
        <w:rPr>
          <w:rFonts w:hint="cs"/>
          <w:rtl/>
        </w:rPr>
        <w:sym w:font="Islamic Units 1" w:char="F06E"/>
      </w:r>
      <w:r>
        <w:rPr>
          <w:rFonts w:hint="cs"/>
          <w:rtl/>
        </w:rPr>
        <w:t xml:space="preserve"> (ص37 ـ 45).</w:t>
      </w:r>
    </w:p>
    <w:p w:rsidR="000E41CC" w:rsidRDefault="000E41CC" w:rsidP="000E41CC">
      <w:pPr>
        <w:pStyle w:val="ac"/>
        <w:rPr>
          <w:spacing w:val="-6"/>
          <w:rtl/>
        </w:rPr>
      </w:pPr>
      <w:r w:rsidRPr="000915F4">
        <w:rPr>
          <w:rFonts w:hint="cs"/>
          <w:spacing w:val="-6"/>
          <w:rtl/>
        </w:rPr>
        <w:t xml:space="preserve">وكذا ما جاء في كتاب </w:t>
      </w:r>
      <w:r w:rsidRPr="000915F4">
        <w:rPr>
          <w:rFonts w:hint="cs"/>
          <w:spacing w:val="-6"/>
          <w:rtl/>
        </w:rPr>
        <w:sym w:font="Islamic Units 1" w:char="F06D"/>
      </w:r>
      <w:r w:rsidRPr="000915F4">
        <w:rPr>
          <w:rFonts w:hint="cs"/>
          <w:spacing w:val="-6"/>
          <w:rtl/>
        </w:rPr>
        <w:t>مدنيّة الإسلام روح التمدّن</w:t>
      </w:r>
      <w:r w:rsidRPr="000915F4">
        <w:rPr>
          <w:rFonts w:hint="cs"/>
          <w:spacing w:val="-6"/>
          <w:rtl/>
        </w:rPr>
        <w:sym w:font="Islamic Units 1" w:char="F06E"/>
      </w:r>
      <w:r w:rsidRPr="000915F4">
        <w:rPr>
          <w:rFonts w:hint="cs"/>
          <w:spacing w:val="-6"/>
          <w:rtl/>
        </w:rPr>
        <w:t xml:space="preserve"> للشيخ أحمد الشاهرودي</w:t>
      </w:r>
      <w:r w:rsidRPr="00815C4C">
        <w:rPr>
          <w:rFonts w:cs="Taher"/>
          <w:vertAlign w:val="superscript"/>
          <w:rtl/>
        </w:rPr>
        <w:t>(</w:t>
      </w:r>
      <w:r w:rsidRPr="00815C4C">
        <w:rPr>
          <w:rFonts w:cs="Taher"/>
          <w:vertAlign w:val="superscript"/>
          <w:rtl/>
        </w:rPr>
        <w:footnoteReference w:id="142"/>
      </w:r>
      <w:r w:rsidRPr="00815C4C">
        <w:rPr>
          <w:rFonts w:cs="Taher"/>
          <w:vertAlign w:val="superscript"/>
          <w:rtl/>
        </w:rPr>
        <w:t>)</w:t>
      </w:r>
      <w:r w:rsidRPr="000915F4">
        <w:rPr>
          <w:rFonts w:hint="cs"/>
          <w:spacing w:val="-6"/>
          <w:rtl/>
        </w:rPr>
        <w:t xml:space="preserve"> و..</w:t>
      </w:r>
    </w:p>
    <w:p w:rsidR="000E41CC" w:rsidRPr="004950D9" w:rsidRDefault="000E41CC" w:rsidP="004950D9">
      <w:pPr>
        <w:pStyle w:val="afffffc"/>
        <w:rPr>
          <w:sz w:val="18"/>
          <w:szCs w:val="16"/>
          <w:rtl/>
        </w:rPr>
      </w:pPr>
    </w:p>
    <w:p w:rsidR="000E41CC" w:rsidRDefault="000E41CC" w:rsidP="004950D9">
      <w:pPr>
        <w:pStyle w:val="2"/>
        <w:rPr>
          <w:rtl/>
        </w:rPr>
      </w:pPr>
      <w:bookmarkStart w:id="162" w:name="_Toc169521394"/>
      <w:bookmarkStart w:id="163" w:name="_Toc275127940"/>
      <w:r>
        <w:rPr>
          <w:rFonts w:hint="cs"/>
          <w:rtl/>
        </w:rPr>
        <w:t>2 ـ 2 ـ المرأة والرجل، الحقوق والتكاليف</w:t>
      </w:r>
      <w:bookmarkEnd w:id="162"/>
      <w:bookmarkEnd w:id="163"/>
    </w:p>
    <w:p w:rsidR="000E41CC" w:rsidRDefault="000E41CC" w:rsidP="004950D9">
      <w:pPr>
        <w:pStyle w:val="ac"/>
        <w:rPr>
          <w:rtl/>
        </w:rPr>
      </w:pPr>
      <w:r>
        <w:rPr>
          <w:rFonts w:hint="cs"/>
          <w:rtl/>
        </w:rPr>
        <w:t>شرح أنصار هذا الاتجاه الفوارق الحقوقية والتكليفية بين الرجل والمرأة، وإذا ما تحدّثوا عن الفوارق الطبيعيّة والخَلقية بين الطرفين فإنّما كان ذلك منهم لتأصيل الأساس وتكوين البرهان الذي تقوم عليه الفوارق الأولى، وبعبارةٍ أخرى تعدّ هذه الفوارق عندهم أمراً مسلّماً.</w:t>
      </w:r>
    </w:p>
    <w:p w:rsidR="000E41CC" w:rsidRDefault="000E41CC" w:rsidP="004950D9">
      <w:pPr>
        <w:pStyle w:val="ac"/>
        <w:rPr>
          <w:rtl/>
        </w:rPr>
      </w:pPr>
      <w:r>
        <w:rPr>
          <w:rFonts w:hint="cs"/>
          <w:rtl/>
        </w:rPr>
        <w:t xml:space="preserve">إضافةً إلى ذلك، تعرّضت بعض النتاجات الفكرية لهذا التيار ـ بصورةٍ مستقلة أو ضمنية ـ لمواضع الاختلاف الحقوقية، ففي كتاب </w:t>
      </w:r>
      <w:r w:rsidRPr="002B759E">
        <w:rPr>
          <w:rFonts w:hint="cs"/>
          <w:rtl/>
        </w:rPr>
        <w:sym w:font="Islamic Units 1" w:char="F06D"/>
      </w:r>
      <w:r>
        <w:rPr>
          <w:rFonts w:hint="cs"/>
          <w:rtl/>
        </w:rPr>
        <w:t>مزايا الرجل والمرأة في الإسلام</w:t>
      </w:r>
      <w:r w:rsidRPr="002B759E">
        <w:rPr>
          <w:rFonts w:hint="cs"/>
          <w:rtl/>
        </w:rPr>
        <w:sym w:font="Islamic Units 1" w:char="F06E"/>
      </w:r>
      <w:r>
        <w:rPr>
          <w:rFonts w:hint="cs"/>
          <w:rtl/>
        </w:rPr>
        <w:t xml:space="preserve"> جاء: </w:t>
      </w:r>
      <w:r w:rsidRPr="002B759E">
        <w:rPr>
          <w:rFonts w:hint="cs"/>
          <w:rtl/>
        </w:rPr>
        <w:sym w:font="Islamic Units 1" w:char="F06D"/>
      </w:r>
      <w:r>
        <w:rPr>
          <w:rFonts w:hint="cs"/>
          <w:rtl/>
        </w:rPr>
        <w:t>يمكن القول: إن أكثر الموارد التي تحدّث فيها الفقه الإسلامي عن فوارق بين الرجل والمرأة قد أحصيتُها تقريباً، ووجدتها قد بلغت 160 اختلافاً حكمياً وحقوقياً وأخلاقياً، وقد جمعتها في أربعة فصول باسم: العبادات، والمعاملات، والسياسات، والمعاشرة</w:t>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143"/>
      </w:r>
      <w:r w:rsidRPr="00815C4C">
        <w:rPr>
          <w:rFonts w:cs="Taher"/>
          <w:vertAlign w:val="superscript"/>
          <w:rtl/>
        </w:rPr>
        <w:t>)</w:t>
      </w:r>
      <w:r>
        <w:rPr>
          <w:rFonts w:hint="cs"/>
          <w:rtl/>
        </w:rPr>
        <w:t>.</w:t>
      </w:r>
    </w:p>
    <w:p w:rsidR="000E41CC" w:rsidRDefault="000E41CC" w:rsidP="004950D9">
      <w:pPr>
        <w:pStyle w:val="ac"/>
        <w:rPr>
          <w:rtl/>
        </w:rPr>
      </w:pPr>
      <w:r>
        <w:rPr>
          <w:rFonts w:hint="cs"/>
          <w:rtl/>
        </w:rPr>
        <w:t xml:space="preserve">أمّا في كتاب </w:t>
      </w:r>
      <w:r w:rsidRPr="002B759E">
        <w:rPr>
          <w:rFonts w:hint="cs"/>
          <w:rtl/>
        </w:rPr>
        <w:sym w:font="Islamic Units 1" w:char="F06D"/>
      </w:r>
      <w:r>
        <w:rPr>
          <w:rFonts w:hint="cs"/>
          <w:rtl/>
        </w:rPr>
        <w:t>الحجاب في الإسلام</w:t>
      </w:r>
      <w:r w:rsidRPr="002B759E">
        <w:rPr>
          <w:rFonts w:hint="cs"/>
          <w:rtl/>
        </w:rPr>
        <w:sym w:font="Islamic Units 1" w:char="F06E"/>
      </w:r>
      <w:r>
        <w:rPr>
          <w:rFonts w:hint="cs"/>
          <w:rtl/>
        </w:rPr>
        <w:t xml:space="preserve">، فيكتب المغفور له قوام الدين الوشنوي، كما ينقل الأدهمي، يقول: </w:t>
      </w:r>
      <w:r w:rsidRPr="002B759E">
        <w:rPr>
          <w:rFonts w:hint="cs"/>
          <w:rtl/>
        </w:rPr>
        <w:sym w:font="Islamic Units 1" w:char="F06D"/>
      </w:r>
      <w:r>
        <w:rPr>
          <w:rFonts w:hint="cs"/>
          <w:rtl/>
        </w:rPr>
        <w:t xml:space="preserve">وأمّا مباينة النساء للرجال من حيث الشرع، فإنّ في الرجال كثيراً من مهمّات أصول الدين وفروعه، ليس شيءٌ منها في النساء، كالنبوّة والرسالة، والخلافة، والإمامة، والجهاد، والأذان، والخطبة، والاعتكاف، وتحمّل الدية، والقسامة، والولاية في النكاح والطلاق بأكثر من واحد، والتسرّي بملك اليمين على </w:t>
      </w:r>
      <w:r>
        <w:rPr>
          <w:rFonts w:hint="cs"/>
          <w:rtl/>
        </w:rPr>
        <w:lastRenderedPageBreak/>
        <w:t>الوجه الشرعي، والمراجعة بعد الطلاق، وكون الانتساب إليه لا للزوجة، والمهر، والنفقة، والقضاء، والجمعة، والجماعة، وزيادة العقل، والدين، والنصيب في الميراث، وكونه يجب على المرأة إطاعة زوجها، والوقوف عند رضاه لا العكس، أي لا يجب عليه إطاعة أمر زوجته، بل جاء الشرع مندّداً بمن يطيع امرأته، وموعّداً له، وكون المرأة خلقت من ضلع الرجل، والمخلوق منه أفضل من المخلوق، وكون الذكر أشدّ قوّةً، وأعظم جرأةً، وأقلّ عبثاً، وأعزّ نفساً، وأكرم خلقاً، وأدوم ودّاً، وأحفظ عهداً، وأكمّ سرّاً، وأصبر على المكروه من الأنثى في كلّ ما ذكر</w:t>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144"/>
      </w:r>
      <w:r w:rsidRPr="00815C4C">
        <w:rPr>
          <w:rFonts w:cs="Taher"/>
          <w:vertAlign w:val="superscript"/>
          <w:rtl/>
        </w:rPr>
        <w:t>)</w:t>
      </w:r>
      <w:r>
        <w:rPr>
          <w:rFonts w:hint="cs"/>
          <w:rtl/>
        </w:rPr>
        <w:t>.</w:t>
      </w:r>
    </w:p>
    <w:p w:rsidR="000E41CC" w:rsidRDefault="000E41CC" w:rsidP="004950D9">
      <w:pPr>
        <w:pStyle w:val="ac"/>
        <w:rPr>
          <w:rtl/>
        </w:rPr>
      </w:pPr>
      <w:r>
        <w:rPr>
          <w:rFonts w:hint="cs"/>
          <w:rtl/>
        </w:rPr>
        <w:t>كما يشير إلى فوارق أخرى في مواضع أخرى</w:t>
      </w:r>
      <w:r w:rsidRPr="00815C4C">
        <w:rPr>
          <w:rFonts w:cs="Taher"/>
          <w:vertAlign w:val="superscript"/>
          <w:rtl/>
        </w:rPr>
        <w:t>(</w:t>
      </w:r>
      <w:r w:rsidRPr="00815C4C">
        <w:rPr>
          <w:rFonts w:cs="Taher"/>
          <w:vertAlign w:val="superscript"/>
          <w:rtl/>
        </w:rPr>
        <w:footnoteReference w:id="145"/>
      </w:r>
      <w:r w:rsidRPr="00815C4C">
        <w:rPr>
          <w:rFonts w:cs="Taher"/>
          <w:vertAlign w:val="superscript"/>
          <w:rtl/>
        </w:rPr>
        <w:t>)</w:t>
      </w:r>
      <w:r>
        <w:rPr>
          <w:rFonts w:hint="cs"/>
          <w:rtl/>
        </w:rPr>
        <w:t>.</w:t>
      </w:r>
    </w:p>
    <w:p w:rsidR="000E41CC" w:rsidRPr="00291EC8" w:rsidRDefault="000E41CC" w:rsidP="004950D9">
      <w:pPr>
        <w:pStyle w:val="ac"/>
        <w:rPr>
          <w:rtl/>
        </w:rPr>
      </w:pPr>
      <w:r w:rsidRPr="00291EC8">
        <w:rPr>
          <w:rFonts w:hint="cs"/>
          <w:rtl/>
        </w:rPr>
        <w:t xml:space="preserve">وقد بُحث في كتاب </w:t>
      </w:r>
      <w:r w:rsidRPr="00291EC8">
        <w:rPr>
          <w:rFonts w:hint="cs"/>
          <w:rtl/>
        </w:rPr>
        <w:sym w:font="Islamic Units 1" w:char="F06D"/>
      </w:r>
      <w:r w:rsidRPr="00291EC8">
        <w:rPr>
          <w:rFonts w:hint="cs"/>
          <w:rtl/>
        </w:rPr>
        <w:t>الفروق بين المرء والمرأة في نظر الشرع</w:t>
      </w:r>
      <w:r w:rsidRPr="00291EC8">
        <w:rPr>
          <w:rFonts w:hint="cs"/>
          <w:rtl/>
        </w:rPr>
        <w:sym w:font="Islamic Units 1" w:char="F06E"/>
      </w:r>
      <w:r w:rsidRPr="00291EC8">
        <w:rPr>
          <w:rFonts w:hint="cs"/>
          <w:rtl/>
        </w:rPr>
        <w:t xml:space="preserve"> عن 171 فرقاً بينهما.</w:t>
      </w:r>
    </w:p>
    <w:p w:rsidR="000E41CC" w:rsidRDefault="000E41CC" w:rsidP="004950D9">
      <w:pPr>
        <w:pStyle w:val="ac"/>
        <w:rPr>
          <w:rtl/>
        </w:rPr>
      </w:pPr>
      <w:r>
        <w:rPr>
          <w:rFonts w:hint="cs"/>
          <w:rtl/>
        </w:rPr>
        <w:t>ويجدر التذكير بأن العلامة المجلسي (1111هـ) قد صنّف رسالةً في الاختلاف بين الرجل والمرأة في الوضوء والصلاة، ذاكراً أربعة عشر اختلافاً في هذا المجال</w:t>
      </w:r>
      <w:r w:rsidRPr="00815C4C">
        <w:rPr>
          <w:rFonts w:cs="Taher"/>
          <w:vertAlign w:val="superscript"/>
          <w:rtl/>
        </w:rPr>
        <w:t>(</w:t>
      </w:r>
      <w:r w:rsidRPr="00815C4C">
        <w:rPr>
          <w:rFonts w:cs="Taher"/>
          <w:vertAlign w:val="superscript"/>
          <w:rtl/>
        </w:rPr>
        <w:footnoteReference w:id="146"/>
      </w:r>
      <w:r w:rsidRPr="00815C4C">
        <w:rPr>
          <w:rFonts w:cs="Taher"/>
          <w:vertAlign w:val="superscript"/>
          <w:rtl/>
        </w:rPr>
        <w:t>)</w:t>
      </w:r>
      <w:r>
        <w:rPr>
          <w:rFonts w:hint="cs"/>
          <w:rtl/>
        </w:rPr>
        <w:t>.</w:t>
      </w:r>
    </w:p>
    <w:p w:rsidR="000E41CC" w:rsidRPr="004950D9" w:rsidRDefault="000E41CC" w:rsidP="004950D9">
      <w:pPr>
        <w:pStyle w:val="afffffc"/>
        <w:rPr>
          <w:rtl/>
        </w:rPr>
      </w:pPr>
    </w:p>
    <w:p w:rsidR="000E41CC" w:rsidRDefault="000E41CC" w:rsidP="004950D9">
      <w:pPr>
        <w:pStyle w:val="2"/>
        <w:rPr>
          <w:rtl/>
        </w:rPr>
      </w:pPr>
      <w:bookmarkStart w:id="164" w:name="_Toc169521395"/>
      <w:bookmarkStart w:id="165" w:name="_Toc275127941"/>
      <w:r>
        <w:rPr>
          <w:rFonts w:hint="cs"/>
          <w:rtl/>
        </w:rPr>
        <w:t>3 ـ 2 ـ المرأة في الميدان الاجتماعي</w:t>
      </w:r>
      <w:bookmarkEnd w:id="164"/>
      <w:bookmarkEnd w:id="165"/>
    </w:p>
    <w:p w:rsidR="000E41CC" w:rsidRDefault="000E41CC" w:rsidP="004950D9">
      <w:pPr>
        <w:pStyle w:val="ac"/>
        <w:rPr>
          <w:rtl/>
        </w:rPr>
      </w:pPr>
      <w:r>
        <w:rPr>
          <w:rFonts w:hint="cs"/>
          <w:rtl/>
        </w:rPr>
        <w:t>إن النظرية المسلّمة المعترف بها لدى أصحاب هذا الاتجاه فيما يخصّ الجانب الاجتماعي للمرأة هي عدم الاختلاط، وقطع العلاقات، والاحتجاب.</w:t>
      </w:r>
    </w:p>
    <w:p w:rsidR="000E41CC" w:rsidRDefault="000E41CC" w:rsidP="004950D9">
      <w:pPr>
        <w:pStyle w:val="ac"/>
        <w:rPr>
          <w:rtl/>
        </w:rPr>
      </w:pPr>
      <w:r>
        <w:rPr>
          <w:rFonts w:hint="cs"/>
          <w:rtl/>
        </w:rPr>
        <w:t xml:space="preserve">وقد ذكرنا هذا الأمر عندما تحدّثنا عن كتاب </w:t>
      </w:r>
      <w:r w:rsidRPr="002B759E">
        <w:rPr>
          <w:rFonts w:hint="cs"/>
          <w:rtl/>
        </w:rPr>
        <w:sym w:font="Islamic Units 1" w:char="F06D"/>
      </w:r>
      <w:r>
        <w:rPr>
          <w:rFonts w:hint="cs"/>
          <w:rtl/>
        </w:rPr>
        <w:t>أجوبة الأستاذ على نقد كتاب مسألة الحجاب</w:t>
      </w:r>
      <w:r w:rsidRPr="002B759E">
        <w:rPr>
          <w:rFonts w:hint="cs"/>
          <w:rtl/>
        </w:rPr>
        <w:sym w:font="Islamic Units 1" w:char="F06E"/>
      </w:r>
      <w:r>
        <w:rPr>
          <w:rFonts w:hint="cs"/>
          <w:rtl/>
        </w:rPr>
        <w:t>، حيث تحدّث الكاتب عن رجحان الاحتجاب للمرأة في الدين الإسلامي</w:t>
      </w:r>
      <w:r w:rsidRPr="00815C4C">
        <w:rPr>
          <w:rFonts w:cs="Taher"/>
          <w:vertAlign w:val="superscript"/>
          <w:rtl/>
        </w:rPr>
        <w:t>(</w:t>
      </w:r>
      <w:r w:rsidRPr="00815C4C">
        <w:rPr>
          <w:rFonts w:cs="Taher"/>
          <w:vertAlign w:val="superscript"/>
          <w:rtl/>
        </w:rPr>
        <w:footnoteReference w:id="147"/>
      </w:r>
      <w:r w:rsidRPr="00815C4C">
        <w:rPr>
          <w:rFonts w:cs="Taher"/>
          <w:vertAlign w:val="superscript"/>
          <w:rtl/>
        </w:rPr>
        <w:t>)</w:t>
      </w:r>
      <w:r>
        <w:rPr>
          <w:rFonts w:hint="cs"/>
          <w:rtl/>
        </w:rPr>
        <w:t xml:space="preserve">، وهكذا عندما تحدّثنا عن كتاب </w:t>
      </w:r>
      <w:r w:rsidRPr="002B759E">
        <w:rPr>
          <w:rFonts w:hint="cs"/>
          <w:rtl/>
        </w:rPr>
        <w:sym w:font="Islamic Units 1" w:char="F06D"/>
      </w:r>
      <w:r>
        <w:rPr>
          <w:rFonts w:hint="cs"/>
          <w:rtl/>
        </w:rPr>
        <w:t>النساء في أخبار الفريقين</w:t>
      </w:r>
      <w:r w:rsidRPr="002B759E">
        <w:rPr>
          <w:rFonts w:hint="cs"/>
          <w:rtl/>
        </w:rPr>
        <w:sym w:font="Islamic Units 1" w:char="F06E"/>
      </w:r>
      <w:r>
        <w:rPr>
          <w:rFonts w:hint="cs"/>
          <w:rtl/>
        </w:rPr>
        <w:t xml:space="preserve"> أشرنا إلى ذلك، وبيّنا أن المؤلّف قد أكّد على هذا الأمر في الأحاديث رقم: 1، 10، 13، 20، 23، 27، 29، 32 و..، ونجد الحال نفسه مع مؤلّف كتاب </w:t>
      </w:r>
      <w:r w:rsidRPr="002B759E">
        <w:rPr>
          <w:rFonts w:hint="cs"/>
          <w:rtl/>
        </w:rPr>
        <w:sym w:font="Islamic Units 1" w:char="F06D"/>
      </w:r>
      <w:r>
        <w:rPr>
          <w:rFonts w:hint="cs"/>
          <w:rtl/>
        </w:rPr>
        <w:t>رسالة بديعة</w:t>
      </w:r>
      <w:r w:rsidRPr="002B759E">
        <w:rPr>
          <w:rFonts w:hint="cs"/>
          <w:rtl/>
        </w:rPr>
        <w:sym w:font="Islamic Units 1" w:char="F06E"/>
      </w:r>
      <w:r>
        <w:rPr>
          <w:rFonts w:hint="cs"/>
          <w:rtl/>
        </w:rPr>
        <w:t xml:space="preserve">؛ حيث يرفض حضور النساء في </w:t>
      </w:r>
      <w:r>
        <w:rPr>
          <w:rFonts w:hint="cs"/>
          <w:rtl/>
        </w:rPr>
        <w:lastRenderedPageBreak/>
        <w:t xml:space="preserve">مجلس الشورى الإسلامي (المجلس النيابي)، أمّا مصنفو كتاب </w:t>
      </w:r>
      <w:r w:rsidRPr="002B759E">
        <w:rPr>
          <w:rFonts w:hint="cs"/>
          <w:rtl/>
        </w:rPr>
        <w:sym w:font="Islamic Units 1" w:char="F06D"/>
      </w:r>
      <w:r>
        <w:rPr>
          <w:rFonts w:hint="cs"/>
          <w:rtl/>
        </w:rPr>
        <w:t>المرأة والانتخابات</w:t>
      </w:r>
      <w:r w:rsidRPr="002B759E">
        <w:rPr>
          <w:rFonts w:hint="cs"/>
          <w:rtl/>
        </w:rPr>
        <w:sym w:font="Islamic Units 1" w:char="F06E"/>
      </w:r>
      <w:r>
        <w:rPr>
          <w:rFonts w:hint="cs"/>
          <w:rtl/>
        </w:rPr>
        <w:t xml:space="preserve"> فقد انتقدوا مشاركة المرأة في الانتخاب، اقتراعاً وترشيحاً.</w:t>
      </w:r>
    </w:p>
    <w:p w:rsidR="000E41CC" w:rsidRPr="00291EC8" w:rsidRDefault="000E41CC" w:rsidP="004950D9">
      <w:pPr>
        <w:pStyle w:val="ac"/>
        <w:spacing w:line="209" w:lineRule="auto"/>
        <w:rPr>
          <w:rtl/>
        </w:rPr>
      </w:pPr>
      <w:r w:rsidRPr="00291EC8">
        <w:rPr>
          <w:rFonts w:hint="cs"/>
          <w:rtl/>
        </w:rPr>
        <w:t xml:space="preserve">وإذا ما غضضنا الطرف عما أسلفنا، سنجد ما يلفت النظر في آراء بعض كبار رجال الدين في تاريخ إيران في القرن الأخير، فالمغفور له الشيخ فضل الله النوري (1258 ـ 1337هـ / 1824 ـ 1910م) يصدر بياناً في يوم الاثنين، الثامن عشر من جمادى الثانية لعام 1325هـ يبيّن فيه أهدافه، وعندما يتحدّث عن ظهور الصحف والبيانات واللوائح والتصريحات و.. في ظلّ إعادة تشكيل المجلس النيابي يقول: </w:t>
      </w:r>
      <w:r w:rsidRPr="00291EC8">
        <w:rPr>
          <w:rFonts w:hint="cs"/>
          <w:rtl/>
        </w:rPr>
        <w:sym w:font="Islamic Units 1" w:char="F06D"/>
      </w:r>
      <w:r w:rsidRPr="00291EC8">
        <w:rPr>
          <w:rFonts w:hint="cs"/>
          <w:rtl/>
        </w:rPr>
        <w:t>لم يتوقع أحد، بل كان الأمر موحشاً مذهلاً للزعماء الدينيين، وأئمة الجماعات، وقاطبة المقدّسين والمتديّنين</w:t>
      </w:r>
      <w:r w:rsidRPr="00291EC8">
        <w:rPr>
          <w:rFonts w:hint="cs"/>
          <w:rtl/>
        </w:rPr>
        <w:sym w:font="Islamic Units 1" w:char="F06E"/>
      </w:r>
      <w:r w:rsidRPr="00291EC8">
        <w:rPr>
          <w:rFonts w:hint="cs"/>
          <w:rtl/>
        </w:rPr>
        <w:t>، وبعد ذلك يذكر نماذج عمّا احتوته هذه الصحف والإصدارات</w:t>
      </w:r>
      <w:r>
        <w:rPr>
          <w:rFonts w:hint="cs"/>
          <w:rtl/>
        </w:rPr>
        <w:t xml:space="preserve"> </w:t>
      </w:r>
      <w:r w:rsidRPr="00291EC8">
        <w:rPr>
          <w:rFonts w:hint="cs"/>
          <w:rtl/>
        </w:rPr>
        <w:t>من قبيل: إباحة المسكرات، وإشاعة بيوت الفحشاء، وافتتاح المدارس لتربية النسوان و..</w:t>
      </w:r>
      <w:r w:rsidRPr="00815C4C">
        <w:rPr>
          <w:rFonts w:cs="Taher"/>
          <w:vertAlign w:val="superscript"/>
          <w:rtl/>
        </w:rPr>
        <w:t>(</w:t>
      </w:r>
      <w:r w:rsidRPr="00815C4C">
        <w:rPr>
          <w:rFonts w:cs="Taher"/>
          <w:vertAlign w:val="superscript"/>
          <w:rtl/>
        </w:rPr>
        <w:footnoteReference w:id="148"/>
      </w:r>
      <w:r w:rsidRPr="00815C4C">
        <w:rPr>
          <w:rFonts w:cs="Taher"/>
          <w:vertAlign w:val="superscript"/>
          <w:rtl/>
        </w:rPr>
        <w:t>)</w:t>
      </w:r>
      <w:r w:rsidRPr="00291EC8">
        <w:rPr>
          <w:rFonts w:hint="cs"/>
          <w:rtl/>
        </w:rPr>
        <w:t>.</w:t>
      </w:r>
    </w:p>
    <w:p w:rsidR="000E41CC" w:rsidRDefault="000E41CC" w:rsidP="004950D9">
      <w:pPr>
        <w:pStyle w:val="ac"/>
        <w:spacing w:line="209" w:lineRule="auto"/>
        <w:rPr>
          <w:rtl/>
        </w:rPr>
      </w:pPr>
      <w:r>
        <w:rPr>
          <w:rFonts w:hint="cs"/>
          <w:rtl/>
        </w:rPr>
        <w:t xml:space="preserve">أمّا المغفور له السيد حسن المدرّس (1287 ـ 1357هـ)، فيتحدّث في المجلس النيابي الثاني (1329هـ)، عندما يقدّم لوائح الانتخابات رافضاً صلاحية النساء للمشاركة في البرلمان: </w:t>
      </w:r>
      <w:r w:rsidRPr="002B759E">
        <w:rPr>
          <w:rFonts w:hint="cs"/>
          <w:rtl/>
        </w:rPr>
        <w:sym w:font="Islamic Units 1" w:char="F06D"/>
      </w:r>
      <w:r>
        <w:rPr>
          <w:rFonts w:hint="cs"/>
          <w:rtl/>
        </w:rPr>
        <w:t>لقد خضّت منذ أوائل عمري وحتى اليوم في الكثير من المهالك، برّاً وبحراً، إلاّ أنني لم أشعر بالخوف أو الارتعاش، لكنّ بدني اليوم يرتجف، إن الملاحظة المسجّلة على اللجنة البرلمانية هي: أولاً: لا يصحّ إدراج النساء في لوائح المنتخبين، فالمرأة لا حقّ لها في الانتخاب، إنّ هذا الكلام كالقول بانهنّ مجنونات أو سفيهات، هذه هي الملاحظة المسجّلة، أما جوابنا فلا بد أن نقدّم برهاناً، والبرهان هو أننا كلّما تأملنا اليوم رأينا أن الله تعالى لم يضع فيهنّ هذه الطاقة والقابلية التي تجعلهنّ لائقات بحقّ الانتخاب، إن المستضعفين والمستضعفات من هذا النوع، حيث لا تكون عقولهم مستعدّة..</w:t>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149"/>
      </w:r>
      <w:r w:rsidRPr="00815C4C">
        <w:rPr>
          <w:rFonts w:cs="Taher"/>
          <w:vertAlign w:val="superscript"/>
          <w:rtl/>
        </w:rPr>
        <w:t>)</w:t>
      </w:r>
      <w:r>
        <w:rPr>
          <w:rFonts w:hint="cs"/>
          <w:rtl/>
        </w:rPr>
        <w:t>.</w:t>
      </w:r>
    </w:p>
    <w:p w:rsidR="000E41CC" w:rsidRDefault="000E41CC" w:rsidP="000E41CC">
      <w:pPr>
        <w:pStyle w:val="ac"/>
        <w:rPr>
          <w:rtl/>
        </w:rPr>
      </w:pPr>
      <w:r>
        <w:rPr>
          <w:rFonts w:hint="cs"/>
          <w:rtl/>
        </w:rPr>
        <w:t xml:space="preserve">وفي رسالةٍ لجمعٍ من مراجع التقليد وآيات الله العظام، وذلك في شهر اسفند عام </w:t>
      </w:r>
      <w:r>
        <w:rPr>
          <w:rFonts w:hint="cs"/>
          <w:rtl/>
        </w:rPr>
        <w:lastRenderedPageBreak/>
        <w:t>1341هـ . ش / 1961م، انتقد الفقهاء حضور النساء في المجلس النيابي، وخالفوا ذلك مخالفةً شديدة</w:t>
      </w:r>
      <w:r w:rsidRPr="00815C4C">
        <w:rPr>
          <w:rFonts w:cs="Taher"/>
          <w:vertAlign w:val="superscript"/>
          <w:rtl/>
        </w:rPr>
        <w:t>(</w:t>
      </w:r>
      <w:r w:rsidRPr="00815C4C">
        <w:rPr>
          <w:rFonts w:cs="Taher"/>
          <w:vertAlign w:val="superscript"/>
          <w:rtl/>
        </w:rPr>
        <w:footnoteReference w:id="150"/>
      </w:r>
      <w:r w:rsidRPr="00815C4C">
        <w:rPr>
          <w:rFonts w:cs="Taher"/>
          <w:vertAlign w:val="superscript"/>
          <w:rtl/>
        </w:rPr>
        <w:t>)</w:t>
      </w:r>
      <w:r>
        <w:rPr>
          <w:rFonts w:hint="cs"/>
          <w:rtl/>
        </w:rPr>
        <w:t>.</w:t>
      </w:r>
    </w:p>
    <w:p w:rsidR="000E41CC" w:rsidRDefault="000E41CC" w:rsidP="004950D9">
      <w:pPr>
        <w:pStyle w:val="ac"/>
        <w:rPr>
          <w:rtl/>
        </w:rPr>
      </w:pPr>
      <w:r>
        <w:rPr>
          <w:rFonts w:hint="cs"/>
          <w:rtl/>
        </w:rPr>
        <w:t>وهكذا الحال في رسالة الإمام الخميني التي أرسلها إلى السيد عَلَم في</w:t>
      </w:r>
      <w:r w:rsidR="004950D9">
        <w:rPr>
          <w:rFonts w:hint="cs"/>
          <w:rtl/>
        </w:rPr>
        <w:t xml:space="preserve"> </w:t>
      </w:r>
      <w:r>
        <w:rPr>
          <w:rFonts w:hint="cs"/>
          <w:rtl/>
        </w:rPr>
        <w:t xml:space="preserve">28/7/1341هـ . ش / 1962م، حيث جاء فيها: </w:t>
      </w:r>
      <w:r w:rsidRPr="002B759E">
        <w:rPr>
          <w:rFonts w:hint="cs"/>
          <w:rtl/>
        </w:rPr>
        <w:sym w:font="Islamic Units 1" w:char="F06D"/>
      </w:r>
      <w:r>
        <w:rPr>
          <w:rFonts w:hint="cs"/>
          <w:rtl/>
        </w:rPr>
        <w:t>إن دخول النساء إلى المجلس، وإلى المجالس البلدية، مخالف للقوانين المحكمة للإسلام</w:t>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151"/>
      </w:r>
      <w:r w:rsidRPr="00815C4C">
        <w:rPr>
          <w:rFonts w:cs="Taher"/>
          <w:vertAlign w:val="superscript"/>
          <w:rtl/>
        </w:rPr>
        <w:t>)</w:t>
      </w:r>
      <w:r>
        <w:rPr>
          <w:rFonts w:hint="cs"/>
          <w:rtl/>
        </w:rPr>
        <w:t>.</w:t>
      </w:r>
    </w:p>
    <w:p w:rsidR="000E41CC" w:rsidRDefault="000E41CC" w:rsidP="004950D9">
      <w:pPr>
        <w:pStyle w:val="ac"/>
        <w:rPr>
          <w:rtl/>
        </w:rPr>
      </w:pPr>
      <w:r>
        <w:rPr>
          <w:rFonts w:hint="cs"/>
          <w:rtl/>
        </w:rPr>
        <w:t xml:space="preserve">إلاّ أنه لابد من القول ـ في سياق فهم رؤية الإمام الخميني هذه في تلك الفترة مع مقارنتها بموقفه اللاحق الداعم للمشاركة الاجتماعية للنساء ـ : إن ما دفعه لهذا الموقف الرافض آنذاك هو الظروف السياسية والاجتماعية، إضافةً إلى المفاسد التي يمكن أن تترتّب آنذاك على </w:t>
      </w:r>
      <w:r w:rsidRPr="00797D28">
        <w:rPr>
          <w:rFonts w:hint="cs"/>
          <w:rtl/>
        </w:rPr>
        <w:t>دخول</w:t>
      </w:r>
      <w:r>
        <w:rPr>
          <w:rFonts w:hint="cs"/>
          <w:rtl/>
        </w:rPr>
        <w:t xml:space="preserve"> المرأة المجلس النيابي</w:t>
      </w:r>
      <w:r w:rsidRPr="00815C4C">
        <w:rPr>
          <w:rFonts w:cs="Taher"/>
          <w:vertAlign w:val="superscript"/>
          <w:rtl/>
        </w:rPr>
        <w:t>(</w:t>
      </w:r>
      <w:r w:rsidRPr="00815C4C">
        <w:rPr>
          <w:rFonts w:cs="Taher"/>
          <w:vertAlign w:val="superscript"/>
          <w:rtl/>
        </w:rPr>
        <w:footnoteReference w:id="152"/>
      </w:r>
      <w:r w:rsidRPr="00815C4C">
        <w:rPr>
          <w:rFonts w:cs="Taher"/>
          <w:vertAlign w:val="superscript"/>
          <w:rtl/>
        </w:rPr>
        <w:t>)</w:t>
      </w:r>
      <w:r>
        <w:rPr>
          <w:rFonts w:hint="cs"/>
          <w:rtl/>
        </w:rPr>
        <w:t>.</w:t>
      </w:r>
    </w:p>
    <w:p w:rsidR="000E41CC" w:rsidRDefault="000E41CC" w:rsidP="004950D9">
      <w:pPr>
        <w:pStyle w:val="ac"/>
        <w:rPr>
          <w:rtl/>
        </w:rPr>
      </w:pPr>
      <w:r>
        <w:rPr>
          <w:rFonts w:hint="cs"/>
          <w:rtl/>
        </w:rPr>
        <w:t>ولا بدّ عموماً من أن نأخذ بعين الاعتبار عوامل القلق والتوجّس التي كانت تجول في أذهان هؤلاء العظماء الطالبين لخير الأمّة والمجتمع الإسلامي، ذلك أن الأجواء الموجودة غير الصحيّة التي كانت سائدةً آنذاك، إضافةً إلى فتح ملفّات هذه الموضوعات الجديدة وبسرعة كان يستدعي ردّات فعل، وإنما نلفت النظر إلى ذلك لنتعرّف ـ فقط ـ على طبيعة قراءتهم للأمور.</w:t>
      </w:r>
    </w:p>
    <w:p w:rsidR="000E41CC" w:rsidRDefault="000E41CC" w:rsidP="004950D9">
      <w:pPr>
        <w:pStyle w:val="ac"/>
        <w:rPr>
          <w:rtl/>
        </w:rPr>
      </w:pPr>
      <w:r>
        <w:rPr>
          <w:rFonts w:hint="cs"/>
          <w:rtl/>
        </w:rPr>
        <w:t>وختاماً، يمكن تلخيص آراء هذا الاتجاه ونظرياته فيما يلي:</w:t>
      </w:r>
    </w:p>
    <w:p w:rsidR="000E41CC" w:rsidRDefault="000E41CC" w:rsidP="004950D9">
      <w:pPr>
        <w:pStyle w:val="ac"/>
        <w:rPr>
          <w:rtl/>
        </w:rPr>
      </w:pPr>
      <w:r>
        <w:rPr>
          <w:rFonts w:hint="cs"/>
          <w:rtl/>
        </w:rPr>
        <w:t>1ـ الاعتقاد بوجود اختلافات كثيرة بين الرجال والنساء في المجال البدني، والروحي، والعقلي، والعاطفي.</w:t>
      </w:r>
    </w:p>
    <w:p w:rsidR="000E41CC" w:rsidRDefault="000E41CC" w:rsidP="004950D9">
      <w:pPr>
        <w:pStyle w:val="ac"/>
        <w:rPr>
          <w:rtl/>
        </w:rPr>
      </w:pPr>
      <w:r>
        <w:rPr>
          <w:rFonts w:hint="cs"/>
          <w:rtl/>
        </w:rPr>
        <w:t>2ـ تقديم تصوّر خاص عن كمالات المرأة.</w:t>
      </w:r>
    </w:p>
    <w:p w:rsidR="000E41CC" w:rsidRDefault="000E41CC" w:rsidP="004950D9">
      <w:pPr>
        <w:pStyle w:val="ac"/>
        <w:rPr>
          <w:rtl/>
        </w:rPr>
      </w:pPr>
      <w:r>
        <w:rPr>
          <w:rFonts w:hint="cs"/>
          <w:rtl/>
        </w:rPr>
        <w:t>3ـ الإصرار على مقولة ملازمة البيوت، ومناهضة الحضور الاجتماعي للمرأة.</w:t>
      </w:r>
    </w:p>
    <w:p w:rsidR="000E41CC" w:rsidRDefault="000E41CC" w:rsidP="004950D9">
      <w:pPr>
        <w:pStyle w:val="ac"/>
        <w:rPr>
          <w:rtl/>
        </w:rPr>
      </w:pPr>
      <w:r>
        <w:rPr>
          <w:rFonts w:hint="cs"/>
          <w:rtl/>
        </w:rPr>
        <w:t>4ـ الاعتقاد بفوارق كثيرة بين الطرفين، حقوقياً وتكليفيّاً.</w:t>
      </w:r>
    </w:p>
    <w:p w:rsidR="000E41CC" w:rsidRPr="00575C73" w:rsidRDefault="000E41CC" w:rsidP="004950D9">
      <w:pPr>
        <w:pStyle w:val="2"/>
        <w:rPr>
          <w:sz w:val="28"/>
          <w:szCs w:val="40"/>
          <w:rtl/>
        </w:rPr>
      </w:pPr>
      <w:bookmarkStart w:id="166" w:name="_Toc169521396"/>
      <w:bookmarkStart w:id="167" w:name="_Toc275127942"/>
      <w:r w:rsidRPr="00575C73">
        <w:rPr>
          <w:rFonts w:hint="cs"/>
          <w:sz w:val="28"/>
          <w:szCs w:val="40"/>
          <w:rtl/>
        </w:rPr>
        <w:lastRenderedPageBreak/>
        <w:t>3 ـ الاتجاه التراثي: المنهج والأسلوب</w:t>
      </w:r>
      <w:bookmarkEnd w:id="166"/>
      <w:bookmarkEnd w:id="167"/>
    </w:p>
    <w:p w:rsidR="000E41CC" w:rsidRDefault="000E41CC" w:rsidP="000E41CC">
      <w:pPr>
        <w:pStyle w:val="ac"/>
        <w:rPr>
          <w:rtl/>
        </w:rPr>
      </w:pPr>
      <w:r>
        <w:rPr>
          <w:rFonts w:hint="cs"/>
          <w:rtl/>
        </w:rPr>
        <w:t>ووفقاً لما تقدّم، يمكن رسم معالم المنهج الذي اعتُمد هنا على الشكل التالي:</w:t>
      </w:r>
    </w:p>
    <w:p w:rsidR="000E41CC" w:rsidRDefault="000E41CC" w:rsidP="000E41CC">
      <w:pPr>
        <w:pStyle w:val="ac"/>
        <w:rPr>
          <w:rtl/>
        </w:rPr>
      </w:pPr>
      <w:r>
        <w:rPr>
          <w:rFonts w:hint="cs"/>
          <w:rtl/>
        </w:rPr>
        <w:t>1 ـ الاعتقاد بمفهوم التعبّد في الأحكام الدينية، بمعنى تجنّب الخوض في فلسفة التشريعات وبيان حكمتها، أو الدخول في تشريحات كلامية لها.</w:t>
      </w:r>
    </w:p>
    <w:p w:rsidR="000E41CC" w:rsidRDefault="000E41CC" w:rsidP="000E41CC">
      <w:pPr>
        <w:pStyle w:val="ac"/>
        <w:rPr>
          <w:rtl/>
        </w:rPr>
      </w:pPr>
      <w:r>
        <w:rPr>
          <w:rFonts w:hint="cs"/>
          <w:rtl/>
        </w:rPr>
        <w:t>2 ـ الاعتماد البارز على الأحاديث والروايات، دون الخوض في أيّ تصفية لها.</w:t>
      </w:r>
    </w:p>
    <w:p w:rsidR="000E41CC" w:rsidRDefault="000E41CC" w:rsidP="000E41CC">
      <w:pPr>
        <w:pStyle w:val="ac"/>
        <w:rPr>
          <w:rtl/>
        </w:rPr>
      </w:pPr>
      <w:r>
        <w:rPr>
          <w:rFonts w:hint="cs"/>
          <w:rtl/>
        </w:rPr>
        <w:t>3 ـ عدم وجود اهتمام كامل ولا مناسب بالآيات القرآنية التي تعرّضت لقضايا المرأة، لا سيما المشاركة الاجتماعية بأنواعها.</w:t>
      </w:r>
    </w:p>
    <w:p w:rsidR="000E41CC" w:rsidRDefault="000E41CC" w:rsidP="000E41CC">
      <w:pPr>
        <w:pStyle w:val="ac"/>
        <w:rPr>
          <w:rtl/>
        </w:rPr>
      </w:pPr>
      <w:r>
        <w:rPr>
          <w:rFonts w:hint="cs"/>
          <w:rtl/>
        </w:rPr>
        <w:t>4 ـ الاعتماد على العلوم الحديثة لإثبات امتيازات الطرفين.</w:t>
      </w:r>
    </w:p>
    <w:p w:rsidR="000E41CC" w:rsidRDefault="000E41CC" w:rsidP="004950D9">
      <w:pPr>
        <w:pStyle w:val="afffffc"/>
        <w:rPr>
          <w:rtl/>
        </w:rPr>
      </w:pPr>
    </w:p>
    <w:p w:rsidR="000E41CC" w:rsidRDefault="000E41CC" w:rsidP="000E41CC">
      <w:pPr>
        <w:pStyle w:val="1"/>
        <w:rPr>
          <w:rFonts w:cs="AL-Mohanad"/>
          <w:szCs w:val="27"/>
          <w:rtl/>
        </w:rPr>
      </w:pPr>
      <w:bookmarkStart w:id="168" w:name="_Toc169521397"/>
      <w:bookmarkStart w:id="169" w:name="_Toc275127943"/>
      <w:r w:rsidRPr="00D457EB">
        <w:rPr>
          <w:rFonts w:hint="cs"/>
          <w:rtl/>
        </w:rPr>
        <w:t>الاتجاه الثاني</w:t>
      </w:r>
      <w:r w:rsidRPr="003A6D60">
        <w:rPr>
          <w:rFonts w:cs="Simplified Arabic" w:hint="cs"/>
          <w:rtl/>
        </w:rPr>
        <w:t>:</w:t>
      </w:r>
      <w:r w:rsidRPr="00D457EB">
        <w:rPr>
          <w:rFonts w:hint="cs"/>
          <w:rtl/>
        </w:rPr>
        <w:t xml:space="preserve"> الاتجاه الكلامي ـ الاجتماعي </w:t>
      </w:r>
      <w:r w:rsidRPr="00D457EB">
        <w:rPr>
          <w:rFonts w:cs="Simplified Arabic" w:hint="cs"/>
          <w:rtl/>
        </w:rPr>
        <w:t>(</w:t>
      </w:r>
      <w:r w:rsidRPr="00D457EB">
        <w:rPr>
          <w:rFonts w:hint="cs"/>
          <w:rtl/>
        </w:rPr>
        <w:t>1960م</w:t>
      </w:r>
      <w:r w:rsidRPr="00367464">
        <w:rPr>
          <w:rFonts w:cs="Simplified Arabic" w:hint="cs"/>
          <w:rtl/>
        </w:rPr>
        <w:t>...</w:t>
      </w:r>
      <w:r w:rsidRPr="00D457EB">
        <w:rPr>
          <w:rFonts w:cs="Simplified Arabic" w:hint="cs"/>
          <w:rtl/>
        </w:rPr>
        <w:t>)</w:t>
      </w:r>
      <w:bookmarkEnd w:id="168"/>
      <w:bookmarkEnd w:id="169"/>
    </w:p>
    <w:p w:rsidR="000E41CC" w:rsidRDefault="000E41CC" w:rsidP="004950D9">
      <w:pPr>
        <w:pStyle w:val="ac"/>
        <w:spacing w:line="209" w:lineRule="auto"/>
        <w:rPr>
          <w:rtl/>
        </w:rPr>
      </w:pPr>
      <w:r>
        <w:rPr>
          <w:rFonts w:hint="cs"/>
          <w:rtl/>
        </w:rPr>
        <w:t xml:space="preserve">يشرع تبلور الاتجاه الثاني من العقد الستّيني الميلادي الماضي، وذلك بطباعة </w:t>
      </w:r>
      <w:r w:rsidRPr="00E06140">
        <w:rPr>
          <w:rFonts w:hint="cs"/>
          <w:rtl/>
        </w:rPr>
        <w:t>تفسير الميزان، وطرح مؤلّفه سلسلةً من النظريات المتعلّقة بالمرأة، في المجلّد الثاني والرابع منه، كما دخل هذا الاتجاه المجال الاجتماعي العام ليطرح بشكلٍ واسعٍ على بساط التداول مع مؤلفات الأستاذ الشهيد مرتضى مطهري في السبعينات من القرن العشرين، وفي هذا العقد نفسه دخل هذا الاتجاه منعطفاً جديداً مع نتاجات الدكتور على شريعتي، ثم نظريات الإمام الخميني، ليبلغ أوجه مع ما قدّمه آية الله جوادي آملي.</w:t>
      </w:r>
    </w:p>
    <w:p w:rsidR="000E41CC" w:rsidRDefault="000E41CC" w:rsidP="004950D9">
      <w:pPr>
        <w:pStyle w:val="ac"/>
        <w:spacing w:line="206" w:lineRule="auto"/>
        <w:rPr>
          <w:rtl/>
        </w:rPr>
      </w:pPr>
      <w:r>
        <w:rPr>
          <w:rFonts w:hint="cs"/>
          <w:rtl/>
        </w:rPr>
        <w:t>والمعالم العامّة لمنهاج التفكير الذي حكم هذا الاتجاه يمكن فهرستها كما يلي:</w:t>
      </w:r>
    </w:p>
    <w:p w:rsidR="000E41CC" w:rsidRDefault="000E41CC" w:rsidP="004950D9">
      <w:pPr>
        <w:pStyle w:val="ac"/>
        <w:spacing w:line="206" w:lineRule="auto"/>
        <w:rPr>
          <w:rtl/>
        </w:rPr>
      </w:pPr>
      <w:r>
        <w:rPr>
          <w:rFonts w:hint="cs"/>
          <w:rtl/>
        </w:rPr>
        <w:t>1ـ الدفاع عن الهويّة الإنسانية للمرأة، وتساويها مع الرجل، على أساس القرآن، والبرهان، والعرفان.</w:t>
      </w:r>
    </w:p>
    <w:p w:rsidR="000E41CC" w:rsidRPr="00E06140" w:rsidRDefault="000E41CC" w:rsidP="004950D9">
      <w:pPr>
        <w:pStyle w:val="ac"/>
        <w:spacing w:line="206" w:lineRule="auto"/>
        <w:rPr>
          <w:rtl/>
        </w:rPr>
      </w:pPr>
      <w:r w:rsidRPr="00E06140">
        <w:rPr>
          <w:rFonts w:hint="cs"/>
          <w:rtl/>
        </w:rPr>
        <w:t>2ـ الاعتقاد بوجود فوارق بين الطرفين في المجال النفسي، والجسدي،</w:t>
      </w:r>
      <w:r w:rsidR="004950D9">
        <w:rPr>
          <w:rFonts w:hint="cs"/>
          <w:rtl/>
        </w:rPr>
        <w:t xml:space="preserve"> </w:t>
      </w:r>
      <w:r w:rsidRPr="00E06140">
        <w:rPr>
          <w:rFonts w:hint="cs"/>
          <w:rtl/>
        </w:rPr>
        <w:t>والإرادي.</w:t>
      </w:r>
    </w:p>
    <w:p w:rsidR="000E41CC" w:rsidRDefault="000E41CC" w:rsidP="004950D9">
      <w:pPr>
        <w:pStyle w:val="ac"/>
        <w:spacing w:line="206" w:lineRule="auto"/>
        <w:rPr>
          <w:rtl/>
        </w:rPr>
      </w:pPr>
      <w:r>
        <w:rPr>
          <w:rFonts w:hint="cs"/>
          <w:rtl/>
        </w:rPr>
        <w:t>3ـ تقديم تفسير كلامي للاختلافات الفقهية والحقوقية بين الرجال والنساء.</w:t>
      </w:r>
    </w:p>
    <w:p w:rsidR="000E41CC" w:rsidRDefault="000E41CC" w:rsidP="004950D9">
      <w:pPr>
        <w:pStyle w:val="ac"/>
        <w:spacing w:line="206" w:lineRule="auto"/>
        <w:rPr>
          <w:rtl/>
        </w:rPr>
      </w:pPr>
      <w:r>
        <w:rPr>
          <w:rFonts w:hint="cs"/>
          <w:rtl/>
        </w:rPr>
        <w:t>4ـ الدفاع عن المشاركة الاجتماعية للنساء، بل والتأكيد على رجحان ذلك.</w:t>
      </w:r>
    </w:p>
    <w:p w:rsidR="000E41CC" w:rsidRDefault="000E41CC" w:rsidP="004950D9">
      <w:pPr>
        <w:pStyle w:val="ac"/>
        <w:spacing w:line="206" w:lineRule="auto"/>
        <w:rPr>
          <w:rtl/>
        </w:rPr>
      </w:pPr>
      <w:r>
        <w:rPr>
          <w:rFonts w:hint="cs"/>
          <w:rtl/>
        </w:rPr>
        <w:t>وبعد هذه العصارة الموجزة، نشرع الآن بالبحث المفصّل نسبياً حول هذا الاتجاه، ونتاجاته، ورجاله، ونظرياته، ومنهجه و..</w:t>
      </w:r>
    </w:p>
    <w:p w:rsidR="000E41CC" w:rsidRDefault="000E41CC" w:rsidP="004950D9">
      <w:pPr>
        <w:pStyle w:val="2"/>
        <w:rPr>
          <w:rtl/>
        </w:rPr>
      </w:pPr>
      <w:bookmarkStart w:id="170" w:name="_Toc169521398"/>
      <w:bookmarkStart w:id="171" w:name="_Toc275127944"/>
      <w:r>
        <w:rPr>
          <w:rFonts w:hint="cs"/>
          <w:rtl/>
        </w:rPr>
        <w:lastRenderedPageBreak/>
        <w:t>1 ـ أعمال العلامة الطباطبائي (1983م)</w:t>
      </w:r>
      <w:bookmarkEnd w:id="170"/>
      <w:bookmarkEnd w:id="171"/>
    </w:p>
    <w:p w:rsidR="000E41CC" w:rsidRDefault="000E41CC" w:rsidP="004950D9">
      <w:pPr>
        <w:pStyle w:val="ac"/>
        <w:spacing w:line="209" w:lineRule="auto"/>
        <w:rPr>
          <w:rtl/>
        </w:rPr>
      </w:pPr>
      <w:r>
        <w:rPr>
          <w:rFonts w:hint="cs"/>
          <w:rtl/>
        </w:rPr>
        <w:t xml:space="preserve">تعرّض العلامة محمد حسين الطباطبائي في المجلّدين: الثاني والرابع من تفسيره الثمين </w:t>
      </w:r>
      <w:r w:rsidRPr="002B759E">
        <w:rPr>
          <w:rFonts w:hint="cs"/>
          <w:rtl/>
        </w:rPr>
        <w:sym w:font="Islamic Units 1" w:char="F06D"/>
      </w:r>
      <w:r>
        <w:rPr>
          <w:rFonts w:hint="cs"/>
          <w:rtl/>
        </w:rPr>
        <w:t>الميزان في تفسير القرآن</w:t>
      </w:r>
      <w:r w:rsidRPr="002B759E">
        <w:rPr>
          <w:rFonts w:hint="cs"/>
          <w:rtl/>
        </w:rPr>
        <w:sym w:font="Islamic Units 1" w:char="F06E"/>
      </w:r>
      <w:r>
        <w:rPr>
          <w:rFonts w:hint="cs"/>
          <w:rtl/>
        </w:rPr>
        <w:t xml:space="preserve"> لجملةٍ من الموضوعات المرتبطة بمسألة المرأة، وقد كان تفسير الميزان دوّن وطبع في الفترة الممتدّة بين عامي 1375 ـ 1393هـ</w:t>
      </w:r>
      <w:r w:rsidRPr="00815C4C">
        <w:rPr>
          <w:rFonts w:cs="Taher"/>
          <w:vertAlign w:val="superscript"/>
          <w:rtl/>
        </w:rPr>
        <w:t>(</w:t>
      </w:r>
      <w:r w:rsidRPr="00815C4C">
        <w:rPr>
          <w:rFonts w:cs="Taher"/>
          <w:vertAlign w:val="superscript"/>
          <w:rtl/>
        </w:rPr>
        <w:footnoteReference w:id="153"/>
      </w:r>
      <w:r w:rsidRPr="00815C4C">
        <w:rPr>
          <w:rFonts w:cs="Taher"/>
          <w:vertAlign w:val="superscript"/>
          <w:rtl/>
        </w:rPr>
        <w:t>)</w:t>
      </w:r>
      <w:r>
        <w:rPr>
          <w:rFonts w:hint="cs"/>
          <w:rtl/>
        </w:rPr>
        <w:t>. المجلّد الأول والسادس طبعا ما بين 1375 ـ 1377هـ</w:t>
      </w:r>
      <w:r w:rsidRPr="00815C4C">
        <w:rPr>
          <w:rFonts w:cs="Taher"/>
          <w:vertAlign w:val="superscript"/>
          <w:rtl/>
        </w:rPr>
        <w:t>(</w:t>
      </w:r>
      <w:r w:rsidRPr="00815C4C">
        <w:rPr>
          <w:rFonts w:cs="Taher"/>
          <w:vertAlign w:val="superscript"/>
          <w:rtl/>
        </w:rPr>
        <w:footnoteReference w:id="154"/>
      </w:r>
      <w:r w:rsidRPr="00815C4C">
        <w:rPr>
          <w:rFonts w:cs="Taher"/>
          <w:vertAlign w:val="superscript"/>
          <w:rtl/>
        </w:rPr>
        <w:t>)</w:t>
      </w:r>
      <w:r>
        <w:rPr>
          <w:rFonts w:hint="cs"/>
          <w:rtl/>
        </w:rPr>
        <w:t>.</w:t>
      </w:r>
    </w:p>
    <w:p w:rsidR="000E41CC" w:rsidRDefault="000E41CC" w:rsidP="004950D9">
      <w:pPr>
        <w:pStyle w:val="ac"/>
        <w:spacing w:line="209" w:lineRule="auto"/>
        <w:rPr>
          <w:rtl/>
        </w:rPr>
      </w:pPr>
      <w:r>
        <w:rPr>
          <w:rFonts w:hint="cs"/>
          <w:rtl/>
        </w:rPr>
        <w:t>يتحدّث العلامة في الجزء الثاني من تفسيره</w:t>
      </w:r>
      <w:r w:rsidRPr="00815C4C">
        <w:rPr>
          <w:rFonts w:cs="Taher"/>
          <w:vertAlign w:val="superscript"/>
          <w:rtl/>
        </w:rPr>
        <w:t>(</w:t>
      </w:r>
      <w:r w:rsidRPr="00815C4C">
        <w:rPr>
          <w:rFonts w:cs="Taher"/>
          <w:vertAlign w:val="superscript"/>
          <w:rtl/>
        </w:rPr>
        <w:footnoteReference w:id="155"/>
      </w:r>
      <w:r w:rsidRPr="00815C4C">
        <w:rPr>
          <w:rFonts w:cs="Taher"/>
          <w:vertAlign w:val="superscript"/>
          <w:rtl/>
        </w:rPr>
        <w:t>)</w:t>
      </w:r>
      <w:r>
        <w:rPr>
          <w:rFonts w:hint="cs"/>
          <w:rtl/>
        </w:rPr>
        <w:t xml:space="preserve"> تحت عنوان </w:t>
      </w:r>
      <w:r w:rsidRPr="002B759E">
        <w:rPr>
          <w:rFonts w:hint="cs"/>
          <w:rtl/>
        </w:rPr>
        <w:sym w:font="Islamic Units 1" w:char="F06D"/>
      </w:r>
      <w:r>
        <w:rPr>
          <w:rFonts w:hint="cs"/>
          <w:rtl/>
        </w:rPr>
        <w:t>المرأة في الإسلام</w:t>
      </w:r>
      <w:r w:rsidRPr="002B759E">
        <w:rPr>
          <w:rFonts w:hint="cs"/>
          <w:rtl/>
        </w:rPr>
        <w:sym w:font="Islamic Units 1" w:char="F06E"/>
      </w:r>
      <w:r>
        <w:rPr>
          <w:rFonts w:hint="cs"/>
          <w:rtl/>
        </w:rPr>
        <w:t xml:space="preserve"> عن حالة المرأة في الأمم غير المتمدّنة، ثم يشرح حالها في الحضارة التي سبقت الإسلام، وكذلك وضعها في الوسط العربي والعصر الجاهلي، ليستنتج من جملة ما يذكره ما يلي:</w:t>
      </w:r>
    </w:p>
    <w:p w:rsidR="000E41CC" w:rsidRDefault="000E41CC" w:rsidP="004950D9">
      <w:pPr>
        <w:pStyle w:val="ac"/>
        <w:spacing w:line="209" w:lineRule="auto"/>
        <w:rPr>
          <w:rtl/>
        </w:rPr>
      </w:pPr>
      <w:r>
        <w:rPr>
          <w:rFonts w:hint="cs"/>
          <w:rtl/>
        </w:rPr>
        <w:t>1ـ إن المرأة إنسان بمستوى الحيوان أو إنسان عاجز.</w:t>
      </w:r>
    </w:p>
    <w:p w:rsidR="000E41CC" w:rsidRPr="004950D9" w:rsidRDefault="000E41CC" w:rsidP="004950D9">
      <w:pPr>
        <w:pStyle w:val="ac"/>
        <w:spacing w:line="209" w:lineRule="auto"/>
        <w:rPr>
          <w:sz w:val="29"/>
          <w:szCs w:val="29"/>
          <w:rtl/>
        </w:rPr>
      </w:pPr>
      <w:r w:rsidRPr="004950D9">
        <w:rPr>
          <w:rFonts w:hint="cs"/>
          <w:sz w:val="29"/>
          <w:szCs w:val="29"/>
          <w:rtl/>
        </w:rPr>
        <w:t>2ـ إنهم كانوا يعتبرون المرأة من الأدوات التي يحتاجها الرجال كالمسكن والخادم و..</w:t>
      </w:r>
    </w:p>
    <w:p w:rsidR="000E41CC" w:rsidRDefault="000E41CC" w:rsidP="004950D9">
      <w:pPr>
        <w:pStyle w:val="ac"/>
        <w:spacing w:line="209" w:lineRule="auto"/>
        <w:rPr>
          <w:rtl/>
        </w:rPr>
      </w:pPr>
      <w:r>
        <w:rPr>
          <w:rFonts w:hint="cs"/>
          <w:rtl/>
        </w:rPr>
        <w:t>3ـ كانوا يحرمونها من تمام الحقوق.</w:t>
      </w:r>
    </w:p>
    <w:p w:rsidR="000E41CC" w:rsidRDefault="000E41CC" w:rsidP="004950D9">
      <w:pPr>
        <w:pStyle w:val="ac"/>
        <w:spacing w:line="209" w:lineRule="auto"/>
        <w:rPr>
          <w:rtl/>
        </w:rPr>
      </w:pPr>
      <w:r>
        <w:rPr>
          <w:rFonts w:hint="cs"/>
          <w:rtl/>
        </w:rPr>
        <w:t>4ـ كانوا يرونها مستخدَمةً للرجل.</w:t>
      </w:r>
    </w:p>
    <w:p w:rsidR="000E41CC" w:rsidRDefault="000E41CC" w:rsidP="004950D9">
      <w:pPr>
        <w:pStyle w:val="ac"/>
        <w:spacing w:line="209" w:lineRule="auto"/>
        <w:rPr>
          <w:rtl/>
        </w:rPr>
      </w:pPr>
      <w:r>
        <w:rPr>
          <w:rFonts w:hint="cs"/>
          <w:rtl/>
        </w:rPr>
        <w:t>وبعد ذلك، يتحدّث العلامة عن المرأة في الإسلام، فيرى أنها في نظر الإسلام إنسان كالرجل تشترك معه في جوهرة الإنسانية، ولا أفضلية بينهما سوى بالتقوى</w:t>
      </w:r>
      <w:r w:rsidRPr="00815C4C">
        <w:rPr>
          <w:rFonts w:cs="Taher"/>
          <w:vertAlign w:val="superscript"/>
          <w:rtl/>
        </w:rPr>
        <w:t>(</w:t>
      </w:r>
      <w:r w:rsidRPr="00815C4C">
        <w:rPr>
          <w:rFonts w:cs="Taher"/>
          <w:vertAlign w:val="superscript"/>
          <w:rtl/>
        </w:rPr>
        <w:footnoteReference w:id="156"/>
      </w:r>
      <w:r w:rsidRPr="00815C4C">
        <w:rPr>
          <w:rFonts w:cs="Taher"/>
          <w:vertAlign w:val="superscript"/>
          <w:rtl/>
        </w:rPr>
        <w:t>)</w:t>
      </w:r>
      <w:r>
        <w:rPr>
          <w:rFonts w:hint="cs"/>
          <w:rtl/>
        </w:rPr>
        <w:t>، مع أنه في موضعٍ آخر يصرّح بأن متوسّط النساء متأخّر في الكمالات عن متوسّط الرجال، مسنداً ذلك إلى الاختلافات المادية، والعاطفية، والعقلانية</w:t>
      </w:r>
      <w:r w:rsidRPr="00815C4C">
        <w:rPr>
          <w:rFonts w:cs="Taher"/>
          <w:vertAlign w:val="superscript"/>
          <w:rtl/>
        </w:rPr>
        <w:t>(</w:t>
      </w:r>
      <w:r w:rsidRPr="00815C4C">
        <w:rPr>
          <w:rFonts w:cs="Taher"/>
          <w:vertAlign w:val="superscript"/>
          <w:rtl/>
        </w:rPr>
        <w:footnoteReference w:id="157"/>
      </w:r>
      <w:r w:rsidRPr="00815C4C">
        <w:rPr>
          <w:rFonts w:cs="Taher"/>
          <w:vertAlign w:val="superscript"/>
          <w:rtl/>
        </w:rPr>
        <w:t>)</w:t>
      </w:r>
      <w:r>
        <w:rPr>
          <w:rFonts w:hint="cs"/>
          <w:rtl/>
        </w:rPr>
        <w:t>.</w:t>
      </w:r>
    </w:p>
    <w:p w:rsidR="000E41CC" w:rsidRPr="004950D9" w:rsidRDefault="000E41CC" w:rsidP="004950D9">
      <w:pPr>
        <w:pStyle w:val="ac"/>
        <w:spacing w:line="209" w:lineRule="auto"/>
        <w:rPr>
          <w:sz w:val="29"/>
          <w:szCs w:val="29"/>
          <w:rtl/>
        </w:rPr>
      </w:pPr>
      <w:r w:rsidRPr="004950D9">
        <w:rPr>
          <w:rFonts w:hint="cs"/>
          <w:sz w:val="29"/>
          <w:szCs w:val="29"/>
          <w:rtl/>
        </w:rPr>
        <w:t>أمّا على الصعيد الاجتماعي، فيرى الطباطبائي أنّ المرأة تصارع الرجل مع اختلافٍ وهو: 1ـ إن المرأة يرتهن بقاء النوع الإنساني لها. 2ـ إنها وجودٌ ناعم حسّاس وعاطفي</w:t>
      </w:r>
      <w:r w:rsidRPr="004950D9">
        <w:rPr>
          <w:rFonts w:cs="Taher"/>
          <w:sz w:val="29"/>
          <w:szCs w:val="29"/>
          <w:vertAlign w:val="superscript"/>
          <w:rtl/>
        </w:rPr>
        <w:t>(</w:t>
      </w:r>
      <w:r w:rsidRPr="004950D9">
        <w:rPr>
          <w:rFonts w:cs="Taher"/>
          <w:sz w:val="29"/>
          <w:szCs w:val="29"/>
          <w:vertAlign w:val="superscript"/>
          <w:rtl/>
        </w:rPr>
        <w:footnoteReference w:id="158"/>
      </w:r>
      <w:r w:rsidRPr="004950D9">
        <w:rPr>
          <w:rFonts w:cs="Taher"/>
          <w:sz w:val="29"/>
          <w:szCs w:val="29"/>
          <w:vertAlign w:val="superscript"/>
          <w:rtl/>
        </w:rPr>
        <w:t>)</w:t>
      </w:r>
      <w:r w:rsidRPr="004950D9">
        <w:rPr>
          <w:rFonts w:hint="cs"/>
          <w:sz w:val="29"/>
          <w:szCs w:val="29"/>
          <w:rtl/>
        </w:rPr>
        <w:t>.</w:t>
      </w:r>
    </w:p>
    <w:p w:rsidR="000E41CC" w:rsidRDefault="000E41CC" w:rsidP="004950D9">
      <w:pPr>
        <w:pStyle w:val="ac"/>
        <w:spacing w:line="206" w:lineRule="auto"/>
        <w:rPr>
          <w:rtl/>
        </w:rPr>
      </w:pPr>
      <w:r>
        <w:rPr>
          <w:rFonts w:hint="cs"/>
          <w:rtl/>
        </w:rPr>
        <w:lastRenderedPageBreak/>
        <w:t>وأمّا على الصعيد الحقوقي والتشريعي، فإنّ النساء والرجال متساوون سوى في مسألة تولّي السلطة، والقضاء، والجهاد، وفي الإرث، والحجاب، والستر، والتمكين الجنسي</w:t>
      </w:r>
      <w:r w:rsidRPr="00815C4C">
        <w:rPr>
          <w:rFonts w:cs="Taher"/>
          <w:vertAlign w:val="superscript"/>
          <w:rtl/>
        </w:rPr>
        <w:t>(</w:t>
      </w:r>
      <w:r w:rsidRPr="00815C4C">
        <w:rPr>
          <w:rFonts w:cs="Taher"/>
          <w:vertAlign w:val="superscript"/>
          <w:rtl/>
        </w:rPr>
        <w:footnoteReference w:id="159"/>
      </w:r>
      <w:r w:rsidRPr="00815C4C">
        <w:rPr>
          <w:rFonts w:cs="Taher"/>
          <w:vertAlign w:val="superscript"/>
          <w:rtl/>
        </w:rPr>
        <w:t>)</w:t>
      </w:r>
      <w:r>
        <w:rPr>
          <w:rFonts w:hint="cs"/>
          <w:rtl/>
        </w:rPr>
        <w:t>.</w:t>
      </w:r>
    </w:p>
    <w:p w:rsidR="000E41CC" w:rsidRDefault="000E41CC" w:rsidP="004950D9">
      <w:pPr>
        <w:pStyle w:val="ac"/>
        <w:spacing w:line="206" w:lineRule="auto"/>
        <w:rPr>
          <w:rtl/>
        </w:rPr>
      </w:pPr>
      <w:r>
        <w:rPr>
          <w:rFonts w:hint="cs"/>
          <w:rtl/>
        </w:rPr>
        <w:t>وفي نهاية بحثه، يتعرّض الطباطبائي لمبرّرات هذا الاختلاف التشريعي، ويرى أنّ الفطرة الكامنة في الرجل والمرأة هي التي تستدعي ذلك</w:t>
      </w:r>
      <w:r w:rsidRPr="00815C4C">
        <w:rPr>
          <w:rFonts w:cs="Taher"/>
          <w:vertAlign w:val="superscript"/>
          <w:rtl/>
        </w:rPr>
        <w:t>(</w:t>
      </w:r>
      <w:r w:rsidRPr="00815C4C">
        <w:rPr>
          <w:rFonts w:cs="Taher"/>
          <w:vertAlign w:val="superscript"/>
          <w:rtl/>
        </w:rPr>
        <w:footnoteReference w:id="160"/>
      </w:r>
      <w:r w:rsidRPr="00815C4C">
        <w:rPr>
          <w:rFonts w:cs="Taher"/>
          <w:vertAlign w:val="superscript"/>
          <w:rtl/>
        </w:rPr>
        <w:t>)</w:t>
      </w:r>
      <w:r>
        <w:rPr>
          <w:rFonts w:hint="cs"/>
          <w:rtl/>
        </w:rPr>
        <w:t>.</w:t>
      </w:r>
    </w:p>
    <w:p w:rsidR="000E41CC" w:rsidRDefault="000E41CC" w:rsidP="004950D9">
      <w:pPr>
        <w:pStyle w:val="ac"/>
        <w:spacing w:line="206" w:lineRule="auto"/>
        <w:rPr>
          <w:rtl/>
        </w:rPr>
      </w:pPr>
      <w:r>
        <w:rPr>
          <w:rFonts w:hint="cs"/>
          <w:rtl/>
        </w:rPr>
        <w:t>أمّا في الجزء الرابع من الميزان، فيتركّز بحث العلامة الطباطبائي على التحليل الكلامي لجملة من البحوث الحقوقية والفقهية، كما يتعرّض لمسألة الزواج وتعدّد الزيجات وفلسفة ذلك في الإسلام</w:t>
      </w:r>
      <w:r w:rsidRPr="00815C4C">
        <w:rPr>
          <w:rFonts w:cs="Taher"/>
          <w:vertAlign w:val="superscript"/>
          <w:rtl/>
        </w:rPr>
        <w:t>(</w:t>
      </w:r>
      <w:r w:rsidRPr="00815C4C">
        <w:rPr>
          <w:rFonts w:cs="Taher"/>
          <w:vertAlign w:val="superscript"/>
          <w:rtl/>
        </w:rPr>
        <w:footnoteReference w:id="161"/>
      </w:r>
      <w:r w:rsidRPr="00815C4C">
        <w:rPr>
          <w:rFonts w:cs="Taher"/>
          <w:vertAlign w:val="superscript"/>
          <w:rtl/>
        </w:rPr>
        <w:t>)</w:t>
      </w:r>
      <w:r>
        <w:rPr>
          <w:rFonts w:hint="cs"/>
          <w:rtl/>
        </w:rPr>
        <w:t>، ولمسألة اختلاف الطرفين في الإرث</w:t>
      </w:r>
      <w:r w:rsidRPr="00815C4C">
        <w:rPr>
          <w:rFonts w:cs="Taher"/>
          <w:vertAlign w:val="superscript"/>
          <w:rtl/>
        </w:rPr>
        <w:t>(</w:t>
      </w:r>
      <w:r w:rsidRPr="00815C4C">
        <w:rPr>
          <w:rFonts w:cs="Taher"/>
          <w:vertAlign w:val="superscript"/>
          <w:rtl/>
        </w:rPr>
        <w:footnoteReference w:id="162"/>
      </w:r>
      <w:r w:rsidRPr="00815C4C">
        <w:rPr>
          <w:rFonts w:cs="Taher"/>
          <w:vertAlign w:val="superscript"/>
          <w:rtl/>
        </w:rPr>
        <w:t>)</w:t>
      </w:r>
      <w:r>
        <w:rPr>
          <w:rFonts w:hint="cs"/>
          <w:rtl/>
        </w:rPr>
        <w:t>، ولمسألة قيمومة الرجل على المرأة أيضاً</w:t>
      </w:r>
      <w:r w:rsidRPr="00815C4C">
        <w:rPr>
          <w:rFonts w:cs="Taher"/>
          <w:vertAlign w:val="superscript"/>
          <w:rtl/>
        </w:rPr>
        <w:t>(</w:t>
      </w:r>
      <w:r w:rsidRPr="00815C4C">
        <w:rPr>
          <w:rFonts w:cs="Taher"/>
          <w:vertAlign w:val="superscript"/>
          <w:rtl/>
        </w:rPr>
        <w:footnoteReference w:id="163"/>
      </w:r>
      <w:r w:rsidRPr="00815C4C">
        <w:rPr>
          <w:rFonts w:cs="Taher"/>
          <w:vertAlign w:val="superscript"/>
          <w:rtl/>
        </w:rPr>
        <w:t>)</w:t>
      </w:r>
      <w:r>
        <w:rPr>
          <w:rFonts w:hint="cs"/>
          <w:rtl/>
        </w:rPr>
        <w:t>.</w:t>
      </w:r>
    </w:p>
    <w:p w:rsidR="000E41CC" w:rsidRDefault="000E41CC" w:rsidP="004950D9">
      <w:pPr>
        <w:pStyle w:val="afffffc"/>
        <w:rPr>
          <w:rtl/>
        </w:rPr>
      </w:pPr>
    </w:p>
    <w:p w:rsidR="000E41CC" w:rsidRPr="00E724F5" w:rsidRDefault="000E41CC" w:rsidP="004950D9">
      <w:pPr>
        <w:pStyle w:val="2"/>
        <w:rPr>
          <w:rtl/>
        </w:rPr>
      </w:pPr>
      <w:bookmarkStart w:id="172" w:name="_Toc169521399"/>
      <w:bookmarkStart w:id="173" w:name="_Toc275127945"/>
      <w:r>
        <w:rPr>
          <w:rFonts w:hint="cs"/>
          <w:rtl/>
        </w:rPr>
        <w:t>2 ـ حقوق المرأة في الإسلام، ليحيى النوري</w:t>
      </w:r>
      <w:bookmarkEnd w:id="172"/>
      <w:bookmarkEnd w:id="173"/>
    </w:p>
    <w:p w:rsidR="000E41CC" w:rsidRDefault="000E41CC" w:rsidP="004950D9">
      <w:pPr>
        <w:pStyle w:val="ac"/>
        <w:spacing w:line="206" w:lineRule="auto"/>
        <w:rPr>
          <w:rtl/>
        </w:rPr>
      </w:pPr>
      <w:r>
        <w:rPr>
          <w:rFonts w:hint="cs"/>
          <w:rtl/>
        </w:rPr>
        <w:t xml:space="preserve">طبع هذا الكتاب طبعته الأولى عام 1961م، ثم تتالت طبعاته عدّة مرات. دافع المؤلّف فيه عن وجهة نظر الإسلام في موضوع المرأة ومكانتها (49 ـ 58)؛ ولذلك شرح الاختلافات الجسمية والروحية للطرفين (66 ـ 80)، من هنا توجّه لتحليل قضية الفوارق الحقوقية والتشريعية، لهذا يسعى ـ أولاً ـ للتقليل من حدّ الاختلافات المذكورة، حتى أنّه ينقل بعض الآراء غير المشهورة، مثل جواز تولّي المرأة منصب مرجعية التقليد (82)، وجواز إمامتها النساء في الصلاة (84)، ثم يحاول ـ ثانياً ـ فلسفة هذه الاختلافات الفقهية وإبانة وجه الحكمة فيها، مركّزاً على بعضها؛ ليبسط الكلام في تشريحه وتبريره مثل حقّ الطلاق للرجل (217 ـ 255)، وتعدّد الزوجات </w:t>
      </w:r>
      <w:r>
        <w:rPr>
          <w:rFonts w:hint="cs"/>
          <w:rtl/>
        </w:rPr>
        <w:lastRenderedPageBreak/>
        <w:t>(174 ـ 196)، والزواج المؤقت (197 ـ 219).</w:t>
      </w:r>
    </w:p>
    <w:p w:rsidR="000E41CC" w:rsidRDefault="000E41CC" w:rsidP="000E41CC">
      <w:pPr>
        <w:pStyle w:val="ac"/>
        <w:rPr>
          <w:rtl/>
        </w:rPr>
      </w:pPr>
      <w:r>
        <w:rPr>
          <w:rFonts w:hint="cs"/>
          <w:rtl/>
        </w:rPr>
        <w:t>هذا، وقد كتب المؤلف في الطبعة الثالثة للكتاب عام 1964م مقدّمة مفصّلة في سبعين صفحة، أضافها في بداياته.</w:t>
      </w:r>
    </w:p>
    <w:p w:rsidR="000E41CC" w:rsidRPr="004950D9" w:rsidRDefault="000E41CC" w:rsidP="004950D9">
      <w:pPr>
        <w:pStyle w:val="afffffc"/>
        <w:rPr>
          <w:sz w:val="20"/>
          <w:szCs w:val="18"/>
          <w:rtl/>
        </w:rPr>
      </w:pPr>
    </w:p>
    <w:p w:rsidR="000E41CC" w:rsidRDefault="000E41CC" w:rsidP="004950D9">
      <w:pPr>
        <w:pStyle w:val="2"/>
        <w:rPr>
          <w:rtl/>
        </w:rPr>
      </w:pPr>
      <w:bookmarkStart w:id="174" w:name="_Toc169521400"/>
      <w:bookmarkStart w:id="175" w:name="_Toc275127946"/>
      <w:r>
        <w:rPr>
          <w:rFonts w:hint="cs"/>
          <w:rtl/>
        </w:rPr>
        <w:t>3 ـ أعمال الأستاذ الشهيد مرتضى مطهري (1979م)</w:t>
      </w:r>
      <w:bookmarkEnd w:id="174"/>
      <w:bookmarkEnd w:id="175"/>
    </w:p>
    <w:p w:rsidR="000E41CC" w:rsidRDefault="000E41CC" w:rsidP="004950D9">
      <w:pPr>
        <w:pStyle w:val="ac"/>
        <w:spacing w:line="202" w:lineRule="auto"/>
        <w:rPr>
          <w:rtl/>
        </w:rPr>
      </w:pPr>
      <w:r>
        <w:rPr>
          <w:rFonts w:hint="cs"/>
          <w:rtl/>
        </w:rPr>
        <w:t>يمكن القول: إن الشهيد مطهري هو الذي نشر هذا الطراز الجديد من التفكير في العقد السبعيني من القرن العشرين، إنني أعتقد أن المطهري كان أفضل مقرّر ومبيّن لنظريات العلامة الطباطبائي، دون أن يعني ذلك التغاضي عن ما قدّمه نفسه من إبداعات وابتكارات.</w:t>
      </w:r>
    </w:p>
    <w:p w:rsidR="000E41CC" w:rsidRDefault="000E41CC" w:rsidP="004950D9">
      <w:pPr>
        <w:pStyle w:val="ac"/>
        <w:spacing w:line="202" w:lineRule="auto"/>
        <w:rPr>
          <w:rtl/>
        </w:rPr>
      </w:pPr>
      <w:r>
        <w:rPr>
          <w:rFonts w:hint="cs"/>
          <w:rtl/>
        </w:rPr>
        <w:t xml:space="preserve">لقد كتب المطهري في العام 1966 ـ 1967م سلسلةً من المقالات في مجلّة </w:t>
      </w:r>
      <w:r w:rsidRPr="002B759E">
        <w:rPr>
          <w:rFonts w:hint="cs"/>
          <w:rtl/>
        </w:rPr>
        <w:sym w:font="Islamic Units 1" w:char="F06D"/>
      </w:r>
      <w:r>
        <w:rPr>
          <w:rFonts w:hint="cs"/>
          <w:rtl/>
        </w:rPr>
        <w:t>زن روز</w:t>
      </w:r>
      <w:r w:rsidRPr="002B759E">
        <w:rPr>
          <w:rFonts w:hint="cs"/>
          <w:rtl/>
        </w:rPr>
        <w:sym w:font="Islamic Units 1" w:char="F06E"/>
      </w:r>
      <w:r>
        <w:rPr>
          <w:rFonts w:hint="cs"/>
          <w:rtl/>
        </w:rPr>
        <w:t xml:space="preserve">، حملت عنوان </w:t>
      </w:r>
      <w:r w:rsidRPr="002B759E">
        <w:rPr>
          <w:rFonts w:hint="cs"/>
          <w:rtl/>
        </w:rPr>
        <w:sym w:font="Islamic Units 1" w:char="F06D"/>
      </w:r>
      <w:r>
        <w:rPr>
          <w:rFonts w:hint="cs"/>
          <w:rtl/>
        </w:rPr>
        <w:t>المرأة في الحقوق الإسلامية</w:t>
      </w:r>
      <w:r w:rsidRPr="002B759E">
        <w:rPr>
          <w:rFonts w:hint="cs"/>
          <w:rtl/>
        </w:rPr>
        <w:sym w:font="Islamic Units 1" w:char="F06E"/>
      </w:r>
      <w:r>
        <w:rPr>
          <w:rFonts w:hint="cs"/>
          <w:rtl/>
        </w:rPr>
        <w:t xml:space="preserve">، وهي التي عادت ونشرت فيما بعد عام 1974م في كتاب حمل عنوان </w:t>
      </w:r>
      <w:r w:rsidRPr="002B759E">
        <w:rPr>
          <w:rFonts w:hint="cs"/>
          <w:rtl/>
        </w:rPr>
        <w:sym w:font="Islamic Units 1" w:char="F06D"/>
      </w:r>
      <w:r>
        <w:rPr>
          <w:rFonts w:hint="cs"/>
          <w:rtl/>
        </w:rPr>
        <w:t>نظام حقوق المرأة في الإسلام</w:t>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164"/>
      </w:r>
      <w:r w:rsidRPr="00815C4C">
        <w:rPr>
          <w:rFonts w:cs="Taher"/>
          <w:vertAlign w:val="superscript"/>
          <w:rtl/>
        </w:rPr>
        <w:t>)</w:t>
      </w:r>
      <w:r>
        <w:rPr>
          <w:rFonts w:hint="cs"/>
          <w:rtl/>
        </w:rPr>
        <w:t>.</w:t>
      </w:r>
    </w:p>
    <w:p w:rsidR="000E41CC" w:rsidRDefault="000E41CC" w:rsidP="004950D9">
      <w:pPr>
        <w:pStyle w:val="ac"/>
        <w:spacing w:line="202" w:lineRule="auto"/>
        <w:rPr>
          <w:rtl/>
        </w:rPr>
      </w:pPr>
      <w:r>
        <w:rPr>
          <w:rFonts w:hint="cs"/>
          <w:rtl/>
        </w:rPr>
        <w:t xml:space="preserve">وفي عام 1969م خرج من المطبعة كتاب </w:t>
      </w:r>
      <w:r w:rsidRPr="002B759E">
        <w:rPr>
          <w:rFonts w:hint="cs"/>
          <w:rtl/>
        </w:rPr>
        <w:sym w:font="Islamic Units 1" w:char="F06D"/>
      </w:r>
      <w:r>
        <w:rPr>
          <w:rFonts w:hint="cs"/>
          <w:rtl/>
        </w:rPr>
        <w:t>مسألة الحجاب</w:t>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165"/>
      </w:r>
      <w:r w:rsidRPr="00815C4C">
        <w:rPr>
          <w:rFonts w:cs="Taher"/>
          <w:vertAlign w:val="superscript"/>
          <w:rtl/>
        </w:rPr>
        <w:t>)</w:t>
      </w:r>
      <w:r>
        <w:rPr>
          <w:rFonts w:hint="cs"/>
          <w:rtl/>
        </w:rPr>
        <w:t>، لتشهد السنة اللاحقة (1970م) ردود المطهري على الانتقادات المسجّلة عليه، والتي طبعت بعد انتصار الثورة عام 1979م، وقد سبق أن تعرّضنا لهذا الكتاب في القسم السابق لتصنيفه ضمن المساهمات النقدية.</w:t>
      </w:r>
    </w:p>
    <w:p w:rsidR="000E41CC" w:rsidRDefault="000E41CC" w:rsidP="004950D9">
      <w:pPr>
        <w:pStyle w:val="ac"/>
        <w:spacing w:line="202" w:lineRule="auto"/>
        <w:rPr>
          <w:rtl/>
        </w:rPr>
      </w:pPr>
      <w:r>
        <w:rPr>
          <w:rFonts w:hint="cs"/>
          <w:rtl/>
        </w:rPr>
        <w:t xml:space="preserve">يبحث الأستاذ مطهري في كتاب </w:t>
      </w:r>
      <w:r w:rsidRPr="002B759E">
        <w:rPr>
          <w:rFonts w:hint="cs"/>
          <w:rtl/>
        </w:rPr>
        <w:sym w:font="Islamic Units 1" w:char="F06D"/>
      </w:r>
      <w:r>
        <w:rPr>
          <w:rFonts w:hint="cs"/>
          <w:rtl/>
        </w:rPr>
        <w:t>نظام حقوق المرأة في الإسلام</w:t>
      </w:r>
      <w:r w:rsidRPr="002B759E">
        <w:rPr>
          <w:rFonts w:hint="cs"/>
          <w:rtl/>
        </w:rPr>
        <w:sym w:font="Islamic Units 1" w:char="F06E"/>
      </w:r>
      <w:r>
        <w:rPr>
          <w:rFonts w:hint="cs"/>
          <w:rtl/>
        </w:rPr>
        <w:t xml:space="preserve"> عن الهوية الإنسانية للمرأة، مستنداً إلى الآيات القرآنية، فيثبت ـ كالعلامة الطباطبائي ـ هذه الهويّة لها (139 ـ 174)، نعم لا يفوته الحديث عن الاختلافات الجسدية، والنفسية، والعاطفية بين الطرفين، فيعتقد بها، ثم يجعلها أساساً لاختلاف الأحكام (197 ـ 222).</w:t>
      </w:r>
    </w:p>
    <w:p w:rsidR="000E41CC" w:rsidRDefault="000E41CC" w:rsidP="000E41CC">
      <w:pPr>
        <w:pStyle w:val="ac"/>
        <w:rPr>
          <w:rtl/>
        </w:rPr>
      </w:pPr>
      <w:r>
        <w:rPr>
          <w:rFonts w:hint="cs"/>
          <w:rtl/>
        </w:rPr>
        <w:t xml:space="preserve">ويواصل المطهري استعراضه، بالحديث عن التفسيرات الكلامية لمسألتي المهر </w:t>
      </w:r>
      <w:r>
        <w:rPr>
          <w:rFonts w:hint="cs"/>
          <w:rtl/>
        </w:rPr>
        <w:lastRenderedPageBreak/>
        <w:t>والنفقة (222 ـ 274)، ثم مسألة الإرث (275 ـ 360)، ثم حقّ الطلاق (287 ـ 360)، ثم تعدّد الزوجات (361 ـ 455)، ويستوعب الكتاب في طيّاته حديثاً عن مسألة الإسلام ومتطلّبات العصر، وكيفية التوفيق والتوليف بين أحكام الإسلام وتحوّلات الحياة البشرية (101 ـ 137).</w:t>
      </w:r>
    </w:p>
    <w:p w:rsidR="000E41CC" w:rsidRDefault="000E41CC" w:rsidP="000E41CC">
      <w:pPr>
        <w:pStyle w:val="ac"/>
        <w:rPr>
          <w:rtl/>
        </w:rPr>
      </w:pPr>
      <w:r>
        <w:rPr>
          <w:rFonts w:hint="cs"/>
          <w:rtl/>
        </w:rPr>
        <w:t xml:space="preserve">أمّا في كتاب </w:t>
      </w:r>
      <w:r w:rsidRPr="002B759E">
        <w:rPr>
          <w:rFonts w:hint="cs"/>
          <w:rtl/>
        </w:rPr>
        <w:sym w:font="Islamic Units 1" w:char="F06D"/>
      </w:r>
      <w:r>
        <w:rPr>
          <w:rFonts w:hint="cs"/>
          <w:rtl/>
        </w:rPr>
        <w:t>مسألة الحجاب</w:t>
      </w:r>
      <w:r w:rsidRPr="002B759E">
        <w:rPr>
          <w:rFonts w:hint="cs"/>
          <w:rtl/>
        </w:rPr>
        <w:sym w:font="Islamic Units 1" w:char="F06E"/>
      </w:r>
      <w:r>
        <w:rPr>
          <w:rFonts w:hint="cs"/>
          <w:rtl/>
        </w:rPr>
        <w:t>، فيشرع مطهري بالحديث التبريري العقلاني عن الاختلاف بين الرجل والمرأة في قضيّة الحجاب، مسجلاً سلسلة انتقادات على وجهة النظر المختلفة المنافسة له، ليعقب ذلك ببحثٍ فقهي اجتهادي، يرى فيه عدم وجوب ستر المرأة للوجه والكفّين.</w:t>
      </w:r>
    </w:p>
    <w:p w:rsidR="000E41CC" w:rsidRDefault="000E41CC" w:rsidP="000E41CC">
      <w:pPr>
        <w:pStyle w:val="ac"/>
        <w:rPr>
          <w:rtl/>
        </w:rPr>
      </w:pPr>
      <w:r>
        <w:rPr>
          <w:rFonts w:hint="cs"/>
          <w:rtl/>
        </w:rPr>
        <w:t xml:space="preserve">أمّا كتاب </w:t>
      </w:r>
      <w:r w:rsidRPr="002B759E">
        <w:rPr>
          <w:rFonts w:hint="cs"/>
          <w:rtl/>
        </w:rPr>
        <w:sym w:font="Islamic Units 1" w:char="F06D"/>
      </w:r>
      <w:r>
        <w:rPr>
          <w:rFonts w:hint="cs"/>
          <w:rtl/>
        </w:rPr>
        <w:t>أجوبة الأستاذ</w:t>
      </w:r>
      <w:r w:rsidRPr="002B759E">
        <w:rPr>
          <w:rFonts w:hint="cs"/>
          <w:rtl/>
        </w:rPr>
        <w:sym w:font="Islamic Units 1" w:char="F06E"/>
      </w:r>
      <w:r>
        <w:rPr>
          <w:rFonts w:hint="cs"/>
          <w:rtl/>
        </w:rPr>
        <w:t>، فقد تركّز على تأكيد وجهات نظره التي جاءت في كتابي: الحجاب، ونظام حقوق المرأة، محاولاً رفع الإبهام عن بعضها وإزالة الالتباس فيها</w:t>
      </w:r>
      <w:r w:rsidRPr="00815C4C">
        <w:rPr>
          <w:rFonts w:cs="Taher"/>
          <w:vertAlign w:val="superscript"/>
          <w:rtl/>
        </w:rPr>
        <w:t>(</w:t>
      </w:r>
      <w:r w:rsidRPr="00815C4C">
        <w:rPr>
          <w:rFonts w:cs="Taher"/>
          <w:vertAlign w:val="superscript"/>
          <w:rtl/>
        </w:rPr>
        <w:footnoteReference w:id="166"/>
      </w:r>
      <w:r w:rsidRPr="00815C4C">
        <w:rPr>
          <w:rFonts w:cs="Taher"/>
          <w:vertAlign w:val="superscript"/>
          <w:rtl/>
        </w:rPr>
        <w:t>)</w:t>
      </w:r>
      <w:r>
        <w:rPr>
          <w:rFonts w:hint="cs"/>
          <w:rtl/>
        </w:rPr>
        <w:t>.</w:t>
      </w:r>
    </w:p>
    <w:p w:rsidR="000E41CC" w:rsidRPr="008349EA" w:rsidRDefault="000E41CC" w:rsidP="008349EA">
      <w:pPr>
        <w:pStyle w:val="afffffc"/>
        <w:rPr>
          <w:sz w:val="18"/>
          <w:szCs w:val="16"/>
          <w:rtl/>
        </w:rPr>
      </w:pPr>
    </w:p>
    <w:p w:rsidR="000E41CC" w:rsidRDefault="000E41CC" w:rsidP="008349EA">
      <w:pPr>
        <w:pStyle w:val="2"/>
        <w:rPr>
          <w:rtl/>
        </w:rPr>
      </w:pPr>
      <w:bookmarkStart w:id="176" w:name="_Toc169521401"/>
      <w:bookmarkStart w:id="177" w:name="_Toc275127947"/>
      <w:r>
        <w:rPr>
          <w:rFonts w:hint="cs"/>
          <w:rtl/>
        </w:rPr>
        <w:t>4 ـ أعمال الدكتور علي شريعتي (1979م)</w:t>
      </w:r>
      <w:bookmarkEnd w:id="176"/>
      <w:bookmarkEnd w:id="177"/>
    </w:p>
    <w:p w:rsidR="000E41CC" w:rsidRDefault="000E41CC" w:rsidP="005067D6">
      <w:pPr>
        <w:pStyle w:val="ac"/>
        <w:rPr>
          <w:rtl/>
        </w:rPr>
      </w:pPr>
      <w:r w:rsidRPr="00380C1A">
        <w:rPr>
          <w:rFonts w:hint="cs"/>
          <w:rtl/>
        </w:rPr>
        <w:t>تعرّض</w:t>
      </w:r>
      <w:r>
        <w:rPr>
          <w:rFonts w:hint="cs"/>
          <w:rtl/>
        </w:rPr>
        <w:t xml:space="preserve"> د. علي شريعتي لمسألة المرأة في العقد السبعيني من القرن العشرين عبر عدّة كتابات ومجموعة محاضرات، وقد تحدّث فيها عن الهوية الإنسانية للمرأة من وجهة نظر الإسلام، كما تحدّث عن وجود نماذج مثالية مثل السيدة فاطمة، والسيدة زينب.</w:t>
      </w:r>
    </w:p>
    <w:p w:rsidR="000E41CC" w:rsidRDefault="000E41CC" w:rsidP="000E41CC">
      <w:pPr>
        <w:pStyle w:val="ac"/>
        <w:rPr>
          <w:rtl/>
        </w:rPr>
      </w:pPr>
      <w:r>
        <w:rPr>
          <w:rFonts w:hint="cs"/>
          <w:rtl/>
        </w:rPr>
        <w:t>وما تركه لنا شريعتي في هذا المضمار كان عبارة عن:</w:t>
      </w:r>
    </w:p>
    <w:p w:rsidR="000E41CC" w:rsidRDefault="000E41CC" w:rsidP="005067D6">
      <w:pPr>
        <w:pStyle w:val="ac"/>
        <w:rPr>
          <w:rtl/>
        </w:rPr>
      </w:pPr>
      <w:r>
        <w:rPr>
          <w:rFonts w:hint="cs"/>
          <w:rtl/>
        </w:rPr>
        <w:t>1ـ فاطمة هي فاطمة، كان تدويناً وإكمالاً لمحاضرة ألقاها في حسينية الإرشاد في طهران 26/6/1350هـ . ش / 1971م.</w:t>
      </w:r>
    </w:p>
    <w:p w:rsidR="000E41CC" w:rsidRDefault="000E41CC" w:rsidP="005067D6">
      <w:pPr>
        <w:pStyle w:val="ac"/>
        <w:rPr>
          <w:rtl/>
        </w:rPr>
      </w:pPr>
      <w:r>
        <w:rPr>
          <w:rFonts w:hint="cs"/>
          <w:rtl/>
        </w:rPr>
        <w:t>2ـ ماذا يريد العصر الحاضر من المرأة المسلمة؟ محاضرة (مدوّنة) ألقيت في حسينية الإرشاد بتاريخ: 4/4/1351هـ . ش /1972م.</w:t>
      </w:r>
    </w:p>
    <w:p w:rsidR="000E41CC" w:rsidRDefault="000E41CC" w:rsidP="005067D6">
      <w:pPr>
        <w:pStyle w:val="ac"/>
        <w:rPr>
          <w:rtl/>
        </w:rPr>
      </w:pPr>
      <w:r>
        <w:rPr>
          <w:rFonts w:hint="cs"/>
          <w:rtl/>
        </w:rPr>
        <w:t>3ـ ملتقى المرأة، ويمثل محاضراته في الأيام الفاطمية في 22 و 23 و 24، تير، 1351هـ . ش / 1972م.</w:t>
      </w:r>
    </w:p>
    <w:p w:rsidR="000E41CC" w:rsidRPr="00343A3D" w:rsidRDefault="000E41CC" w:rsidP="005067D6">
      <w:pPr>
        <w:pStyle w:val="ac"/>
        <w:rPr>
          <w:rtl/>
        </w:rPr>
      </w:pPr>
      <w:r w:rsidRPr="00343A3D">
        <w:rPr>
          <w:rFonts w:hint="cs"/>
          <w:rtl/>
        </w:rPr>
        <w:lastRenderedPageBreak/>
        <w:t>4ـ الحجاب، حوار جرى عام 1976م.</w:t>
      </w:r>
    </w:p>
    <w:p w:rsidR="000E41CC" w:rsidRDefault="000E41CC" w:rsidP="008349EA">
      <w:pPr>
        <w:pStyle w:val="ac"/>
        <w:spacing w:line="202" w:lineRule="auto"/>
        <w:rPr>
          <w:rtl/>
        </w:rPr>
      </w:pPr>
      <w:r>
        <w:rPr>
          <w:rFonts w:hint="cs"/>
          <w:rtl/>
        </w:rPr>
        <w:t xml:space="preserve">وقد نشرت هذه النتاجات الأربعة في مجموعة أعمال د. شريعتي (ج21) تحت عنوان </w:t>
      </w:r>
      <w:r w:rsidRPr="002B759E">
        <w:rPr>
          <w:rFonts w:hint="cs"/>
          <w:rtl/>
        </w:rPr>
        <w:sym w:font="Islamic Units 1" w:char="F06D"/>
      </w:r>
      <w:r>
        <w:rPr>
          <w:rFonts w:hint="cs"/>
          <w:rtl/>
        </w:rPr>
        <w:t>المرأة</w:t>
      </w:r>
      <w:r w:rsidRPr="002B759E">
        <w:rPr>
          <w:rFonts w:hint="cs"/>
          <w:rtl/>
        </w:rPr>
        <w:sym w:font="Islamic Units 1" w:char="F06E"/>
      </w:r>
      <w:r>
        <w:rPr>
          <w:rFonts w:hint="cs"/>
          <w:rtl/>
        </w:rPr>
        <w:t xml:space="preserve">، نعم كتاب </w:t>
      </w:r>
      <w:r w:rsidRPr="002B759E">
        <w:rPr>
          <w:rFonts w:hint="cs"/>
          <w:rtl/>
        </w:rPr>
        <w:sym w:font="Islamic Units 1" w:char="F06D"/>
      </w:r>
      <w:r>
        <w:rPr>
          <w:rFonts w:hint="cs"/>
          <w:rtl/>
        </w:rPr>
        <w:t>فاطمة هي فاطمة</w:t>
      </w:r>
      <w:r w:rsidRPr="002B759E">
        <w:rPr>
          <w:rFonts w:hint="cs"/>
          <w:rtl/>
        </w:rPr>
        <w:sym w:font="Islamic Units 1" w:char="F06E"/>
      </w:r>
      <w:r>
        <w:rPr>
          <w:rFonts w:hint="cs"/>
          <w:rtl/>
        </w:rPr>
        <w:t xml:space="preserve"> كان طبع مراراً وتكراراً بصورة مستقلّة عن مجموعة أعماله.</w:t>
      </w:r>
    </w:p>
    <w:p w:rsidR="000E41CC" w:rsidRDefault="000E41CC" w:rsidP="008349EA">
      <w:pPr>
        <w:pStyle w:val="ac"/>
        <w:spacing w:line="199" w:lineRule="auto"/>
        <w:rPr>
          <w:rtl/>
        </w:rPr>
      </w:pPr>
      <w:r>
        <w:rPr>
          <w:rFonts w:hint="cs"/>
          <w:rtl/>
        </w:rPr>
        <w:t>5 ـ المرأة في قلب محمد</w:t>
      </w:r>
      <w:r w:rsidR="00C86626">
        <w:rPr>
          <w:rFonts w:hint="cs"/>
          <w:rtl/>
        </w:rPr>
        <w:t>’</w:t>
      </w:r>
      <w:r>
        <w:rPr>
          <w:rFonts w:hint="cs"/>
          <w:rtl/>
        </w:rPr>
        <w:t xml:space="preserve"> وعينه، وقد طبع ضمن كتاب </w:t>
      </w:r>
      <w:r w:rsidRPr="002B759E">
        <w:rPr>
          <w:rFonts w:hint="cs"/>
          <w:rtl/>
        </w:rPr>
        <w:sym w:font="Islamic Units 1" w:char="F06D"/>
      </w:r>
      <w:r>
        <w:rPr>
          <w:rFonts w:hint="cs"/>
          <w:rtl/>
        </w:rPr>
        <w:t>الحرية وحقوق المرأة في الإسلام</w:t>
      </w:r>
      <w:r w:rsidRPr="002B759E">
        <w:rPr>
          <w:rFonts w:hint="cs"/>
          <w:rtl/>
        </w:rPr>
        <w:sym w:font="Islamic Units 1" w:char="F06E"/>
      </w:r>
      <w:r>
        <w:rPr>
          <w:rFonts w:hint="cs"/>
          <w:rtl/>
        </w:rPr>
        <w:t xml:space="preserve">، والذي يحوي عدّة مقالات ودراسات، وذلك عام 1979م، من جانب مؤسّسة </w:t>
      </w:r>
      <w:r w:rsidRPr="002B759E">
        <w:rPr>
          <w:rFonts w:hint="cs"/>
          <w:rtl/>
        </w:rPr>
        <w:sym w:font="Islamic Units 1" w:char="F06D"/>
      </w:r>
      <w:r>
        <w:rPr>
          <w:rFonts w:hint="cs"/>
          <w:rtl/>
        </w:rPr>
        <w:t>نشر ميلاد</w:t>
      </w:r>
      <w:r w:rsidRPr="002B759E">
        <w:rPr>
          <w:rFonts w:hint="cs"/>
          <w:rtl/>
        </w:rPr>
        <w:sym w:font="Islamic Units 1" w:char="F06E"/>
      </w:r>
      <w:r>
        <w:rPr>
          <w:rFonts w:hint="cs"/>
          <w:rtl/>
        </w:rPr>
        <w:t>.</w:t>
      </w:r>
    </w:p>
    <w:p w:rsidR="000E41CC" w:rsidRDefault="000E41CC" w:rsidP="008349EA">
      <w:pPr>
        <w:pStyle w:val="ac"/>
        <w:spacing w:line="202" w:lineRule="auto"/>
        <w:rPr>
          <w:rtl/>
        </w:rPr>
      </w:pPr>
      <w:r>
        <w:rPr>
          <w:rFonts w:hint="cs"/>
          <w:rtl/>
        </w:rPr>
        <w:t>ويسعى شريعتي، كما يظهر من بعض كتاباته، لتقديم أنموذج المرأة المثالية للأغلبية الساحقة من نساء مجتمعه ممّن لا يردن الخضوع لا للثقافة الغربية المفروضة، ولا للثقافة التقليدية القديمة الجاهلية</w:t>
      </w:r>
      <w:r w:rsidRPr="00815C4C">
        <w:rPr>
          <w:rFonts w:cs="Taher"/>
          <w:vertAlign w:val="superscript"/>
          <w:rtl/>
        </w:rPr>
        <w:t>(</w:t>
      </w:r>
      <w:r w:rsidRPr="00815C4C">
        <w:rPr>
          <w:rFonts w:cs="Taher"/>
          <w:vertAlign w:val="superscript"/>
          <w:rtl/>
        </w:rPr>
        <w:footnoteReference w:id="167"/>
      </w:r>
      <w:r w:rsidRPr="00815C4C">
        <w:rPr>
          <w:rFonts w:cs="Taher"/>
          <w:vertAlign w:val="superscript"/>
          <w:rtl/>
        </w:rPr>
        <w:t>)</w:t>
      </w:r>
      <w:r>
        <w:rPr>
          <w:rFonts w:hint="cs"/>
          <w:rtl/>
        </w:rPr>
        <w:t>.</w:t>
      </w:r>
    </w:p>
    <w:p w:rsidR="000E41CC" w:rsidRPr="008349EA" w:rsidRDefault="000E41CC" w:rsidP="008349EA">
      <w:pPr>
        <w:pStyle w:val="afffffc"/>
        <w:rPr>
          <w:sz w:val="16"/>
          <w:szCs w:val="14"/>
          <w:rtl/>
        </w:rPr>
      </w:pPr>
    </w:p>
    <w:p w:rsidR="000E41CC" w:rsidRPr="00343A3D" w:rsidRDefault="000E41CC" w:rsidP="008349EA">
      <w:pPr>
        <w:pStyle w:val="2"/>
        <w:rPr>
          <w:rtl/>
        </w:rPr>
      </w:pPr>
      <w:bookmarkStart w:id="178" w:name="_Toc169521402"/>
      <w:bookmarkStart w:id="179" w:name="_Toc275127948"/>
      <w:r>
        <w:rPr>
          <w:rFonts w:hint="cs"/>
          <w:rtl/>
        </w:rPr>
        <w:t>5 ـ نتاجات الإمام روح الله الخميني (1989م)</w:t>
      </w:r>
      <w:bookmarkEnd w:id="178"/>
      <w:bookmarkEnd w:id="179"/>
    </w:p>
    <w:p w:rsidR="000E41CC" w:rsidRPr="00380C1A" w:rsidRDefault="000E41CC" w:rsidP="008349EA">
      <w:pPr>
        <w:pStyle w:val="ac"/>
        <w:spacing w:line="202" w:lineRule="auto"/>
        <w:rPr>
          <w:rtl/>
        </w:rPr>
      </w:pPr>
      <w:r>
        <w:rPr>
          <w:rFonts w:hint="cs"/>
          <w:rtl/>
        </w:rPr>
        <w:t xml:space="preserve">لم يترك لنا الإمام الخميني نتاجاً مستقلاً في موضوع المرأة، وما نملكه عنه ليس إلاّ مجموعة من خطبه، وحواراته، ورسائله، أو بعض المقاطع من بعض أعماله مثل كتاب </w:t>
      </w:r>
      <w:r w:rsidRPr="002B759E">
        <w:rPr>
          <w:rFonts w:hint="cs"/>
          <w:rtl/>
        </w:rPr>
        <w:sym w:font="Islamic Units 1" w:char="F06D"/>
      </w:r>
      <w:r>
        <w:rPr>
          <w:rFonts w:hint="cs"/>
          <w:rtl/>
        </w:rPr>
        <w:t>كشف الأسرار</w:t>
      </w:r>
      <w:r w:rsidRPr="002B759E">
        <w:rPr>
          <w:rFonts w:hint="cs"/>
          <w:rtl/>
        </w:rPr>
        <w:sym w:font="Islamic Units 1" w:char="F06E"/>
      </w:r>
      <w:r>
        <w:rPr>
          <w:rFonts w:hint="cs"/>
          <w:position w:val="-2"/>
          <w:szCs w:val="29"/>
          <w:rtl/>
        </w:rPr>
        <w:t>،</w:t>
      </w:r>
      <w:r>
        <w:rPr>
          <w:rFonts w:hint="cs"/>
          <w:rtl/>
        </w:rPr>
        <w:t xml:space="preserve"> والتي كان قدّمها لنا خلال حقبتين تاريخيتين: إحداهما قبل انتصار الثورة الإسلامية عام 1979م، وثانيتهما بعد الثورة، أي ما بين عام 1979م إلى عام 1989م.</w:t>
      </w:r>
    </w:p>
    <w:p w:rsidR="000E41CC" w:rsidRDefault="000E41CC" w:rsidP="008349EA">
      <w:pPr>
        <w:pStyle w:val="ac"/>
        <w:spacing w:line="202" w:lineRule="auto"/>
        <w:rPr>
          <w:rtl/>
        </w:rPr>
      </w:pPr>
      <w:r>
        <w:rPr>
          <w:rFonts w:hint="cs"/>
          <w:rtl/>
        </w:rPr>
        <w:t xml:space="preserve">وقد جمعت مؤسّسة تنظيم ونشر آثار الإمام الخميني هذه الأعمال في المجلّد الثامن من مجموعة </w:t>
      </w:r>
      <w:r w:rsidRPr="002B759E">
        <w:rPr>
          <w:rFonts w:hint="cs"/>
          <w:rtl/>
        </w:rPr>
        <w:sym w:font="Islamic Units 1" w:char="F06D"/>
      </w:r>
      <w:r>
        <w:rPr>
          <w:rFonts w:hint="cs"/>
          <w:rtl/>
        </w:rPr>
        <w:t>تبيان</w:t>
      </w:r>
      <w:r w:rsidRPr="002B759E">
        <w:rPr>
          <w:rFonts w:hint="cs"/>
          <w:rtl/>
        </w:rPr>
        <w:sym w:font="Islamic Units 1" w:char="F06E"/>
      </w:r>
      <w:r>
        <w:rPr>
          <w:rFonts w:hint="cs"/>
          <w:rtl/>
        </w:rPr>
        <w:t xml:space="preserve">، تحت عنوان </w:t>
      </w:r>
      <w:r w:rsidRPr="002B759E">
        <w:rPr>
          <w:rFonts w:hint="cs"/>
          <w:rtl/>
        </w:rPr>
        <w:sym w:font="Islamic Units 1" w:char="F06D"/>
      </w:r>
      <w:r>
        <w:rPr>
          <w:rFonts w:hint="cs"/>
          <w:rtl/>
        </w:rPr>
        <w:t>مكانة المرأة في فكر الإمام الخميني</w:t>
      </w:r>
      <w:r w:rsidRPr="002B759E">
        <w:rPr>
          <w:rFonts w:hint="cs"/>
          <w:rtl/>
        </w:rPr>
        <w:sym w:font="Islamic Units 1" w:char="F06E"/>
      </w:r>
      <w:r>
        <w:rPr>
          <w:rFonts w:hint="cs"/>
          <w:rtl/>
        </w:rPr>
        <w:t xml:space="preserve">، ثم نشرتها عام 1995م، نعم، بعض ما جاء في هذه المجموعة كان قد نشر سابقاً بعناوين عدّة مختلفة، مثل </w:t>
      </w:r>
      <w:r w:rsidRPr="002B759E">
        <w:rPr>
          <w:rFonts w:hint="cs"/>
          <w:rtl/>
        </w:rPr>
        <w:sym w:font="Islamic Units 1" w:char="F06D"/>
      </w:r>
      <w:r>
        <w:rPr>
          <w:rFonts w:hint="cs"/>
          <w:rtl/>
        </w:rPr>
        <w:t>سمات المرأة في كلام الإمام الخميني</w:t>
      </w:r>
      <w:r w:rsidRPr="002B759E">
        <w:rPr>
          <w:rFonts w:hint="cs"/>
          <w:rtl/>
        </w:rPr>
        <w:sym w:font="Islamic Units 1" w:char="F06E"/>
      </w:r>
      <w:r>
        <w:rPr>
          <w:rFonts w:hint="cs"/>
          <w:rtl/>
        </w:rPr>
        <w:t>.</w:t>
      </w:r>
    </w:p>
    <w:p w:rsidR="000E41CC" w:rsidRDefault="000E41CC" w:rsidP="008349EA">
      <w:pPr>
        <w:pStyle w:val="ac"/>
        <w:spacing w:line="202" w:lineRule="auto"/>
        <w:rPr>
          <w:rtl/>
        </w:rPr>
      </w:pPr>
      <w:r>
        <w:rPr>
          <w:rFonts w:hint="cs"/>
          <w:rtl/>
        </w:rPr>
        <w:t xml:space="preserve">والذي يمكن استخلاصه من هذه المجموعة من الكلمات والكتابات أن الإمام الخميني كان يركّز على الهوية الإنسانية للمرأة، وتساويها مع الرجل في الكمالات </w:t>
      </w:r>
      <w:r>
        <w:rPr>
          <w:rFonts w:hint="cs"/>
          <w:rtl/>
        </w:rPr>
        <w:lastRenderedPageBreak/>
        <w:t>الإنسانية، ولهذا لابد من رفع العوائق أمام مشاركتها الاجتماعية، ثم إقحامها مجال العمل الاجتماعي ـ السياسي، والعلمي؛ لتؤدّي دورها بنشاط وحيوية، ذلك كلّه كان مصحوباً عند الخميني بالتأكيد على دور المرأة في الأمومة وحفظ الأسرة، بوصفها البناء الرئيس للمجتمع البشري.</w:t>
      </w:r>
    </w:p>
    <w:p w:rsidR="000E41CC" w:rsidRDefault="000E41CC" w:rsidP="000E41CC">
      <w:pPr>
        <w:pStyle w:val="ac"/>
        <w:rPr>
          <w:rtl/>
        </w:rPr>
      </w:pPr>
      <w:r>
        <w:rPr>
          <w:rFonts w:hint="cs"/>
          <w:rtl/>
        </w:rPr>
        <w:t>هذا، وقد كتبت مقالات، وكتب، ورسائل جامعية عديدة حول المرأة عند الإمام الخميني وتحليل آرائه في هذا المضمار، كما عقدت ملتقيات وندوات عدّة أيضاً في هذا الخصوص</w:t>
      </w:r>
      <w:r w:rsidRPr="00815C4C">
        <w:rPr>
          <w:rFonts w:cs="Taher"/>
          <w:vertAlign w:val="superscript"/>
          <w:rtl/>
        </w:rPr>
        <w:t>(</w:t>
      </w:r>
      <w:r w:rsidRPr="00815C4C">
        <w:rPr>
          <w:rFonts w:cs="Taher"/>
          <w:vertAlign w:val="superscript"/>
          <w:rtl/>
        </w:rPr>
        <w:footnoteReference w:id="168"/>
      </w:r>
      <w:r w:rsidRPr="00815C4C">
        <w:rPr>
          <w:rFonts w:cs="Taher"/>
          <w:vertAlign w:val="superscript"/>
          <w:rtl/>
        </w:rPr>
        <w:t>)</w:t>
      </w:r>
      <w:r>
        <w:rPr>
          <w:rFonts w:hint="cs"/>
          <w:rtl/>
        </w:rPr>
        <w:t>.</w:t>
      </w:r>
    </w:p>
    <w:p w:rsidR="000E41CC" w:rsidRPr="008349EA" w:rsidRDefault="000E41CC" w:rsidP="008349EA">
      <w:pPr>
        <w:pStyle w:val="afffffc"/>
        <w:rPr>
          <w:sz w:val="28"/>
          <w:szCs w:val="26"/>
          <w:rtl/>
        </w:rPr>
      </w:pPr>
    </w:p>
    <w:p w:rsidR="000E41CC" w:rsidRDefault="000E41CC" w:rsidP="008349EA">
      <w:pPr>
        <w:pStyle w:val="2"/>
        <w:rPr>
          <w:rtl/>
        </w:rPr>
      </w:pPr>
      <w:bookmarkStart w:id="180" w:name="_Toc169521403"/>
      <w:bookmarkStart w:id="181" w:name="_Toc275127949"/>
      <w:r>
        <w:rPr>
          <w:rFonts w:hint="cs"/>
          <w:rtl/>
        </w:rPr>
        <w:t>6 ـ نتاجات آية الله جوادي آملي</w:t>
      </w:r>
      <w:bookmarkEnd w:id="180"/>
      <w:bookmarkEnd w:id="181"/>
    </w:p>
    <w:p w:rsidR="000E41CC" w:rsidRDefault="000E41CC" w:rsidP="005067D6">
      <w:pPr>
        <w:pStyle w:val="ac"/>
        <w:rPr>
          <w:rtl/>
        </w:rPr>
      </w:pPr>
      <w:r>
        <w:rPr>
          <w:rFonts w:hint="cs"/>
          <w:rtl/>
        </w:rPr>
        <w:t xml:space="preserve">ألقى آية الله الشيخ عبدالله جوادي آملي دروساً لطالبات جامعة الزهراء في مدينة قم، عام 1990 ـ 1991م، وقد تعرّض أثناءها لبعض القضايا المرتبطة بالمرأة، وقد طبعت هذه السلسلة من المحاضرات في كتاب حمل عنوان </w:t>
      </w:r>
      <w:r w:rsidRPr="002B759E">
        <w:rPr>
          <w:rFonts w:hint="cs"/>
          <w:rtl/>
        </w:rPr>
        <w:sym w:font="Islamic Units 1" w:char="F06D"/>
      </w:r>
      <w:r>
        <w:rPr>
          <w:rFonts w:hint="cs"/>
          <w:rtl/>
        </w:rPr>
        <w:t>المرأة في مرآة الجمال والجلال الإلهيين</w:t>
      </w:r>
      <w:r w:rsidRPr="002B759E">
        <w:rPr>
          <w:rFonts w:hint="cs"/>
          <w:rtl/>
        </w:rPr>
        <w:sym w:font="Islamic Units 1" w:char="F06E"/>
      </w:r>
      <w:r>
        <w:rPr>
          <w:rFonts w:hint="cs"/>
          <w:rtl/>
        </w:rPr>
        <w:t xml:space="preserve"> (وقد ترجم إلى العربية)، وذلك بعد تصحيحه وإعادة صياغته، عام 1990م.</w:t>
      </w:r>
    </w:p>
    <w:p w:rsidR="000E41CC" w:rsidRDefault="000E41CC" w:rsidP="008349EA">
      <w:pPr>
        <w:pStyle w:val="ac"/>
        <w:spacing w:line="209" w:lineRule="auto"/>
        <w:rPr>
          <w:rtl/>
        </w:rPr>
      </w:pPr>
      <w:r>
        <w:rPr>
          <w:rFonts w:hint="cs"/>
          <w:rtl/>
        </w:rPr>
        <w:t xml:space="preserve">ويمكن تصنيف آية الله آملي امتداداً لأفكار العلامة الطباطبائي تماماً مثل الأستاذ مطهري، ورغم أن آملي قد تقدّم خطوةً نحو الأمام في معالجة الهوية الإنسانية للمرأة، متخطياً الاعتماد على النص القرآني لإثبات ذلك، إلى الاعتماد على كلّ من الفلسفة والعرفان أيضاً، بغية إيضاح الهوية الإنسانية في إطار هذين العلمين؛ لتنجلي أمام المختصّين بهما.. ضاعف من المساهمة التحليلية الكلامية للاختلافات الفقهية والحقوقية </w:t>
      </w:r>
      <w:r>
        <w:rPr>
          <w:rFonts w:hint="cs"/>
          <w:rtl/>
        </w:rPr>
        <w:lastRenderedPageBreak/>
        <w:t>بين الطرفين بما يتخطّى مساهمة الطباطبائي والمطهري، فتناول موضوعات عدّة هي: بلوغ المرأة (352 ـ 355)، ومرجعية المرأة (281 ـ 383)، ولزوم قضاء الولد الذكر ما فات الوالد من الصلاة والصيام (410 ـ 411)، ونبوّة المرأة (231)، وقضاء المرأة (383)، وشهادة المرأة (346 ـ 347)، واختلاف الدية (401 ـ 404)، واختلاف الإرث (404).</w:t>
      </w:r>
    </w:p>
    <w:p w:rsidR="000E41CC" w:rsidRDefault="000E41CC" w:rsidP="000E41CC">
      <w:pPr>
        <w:pStyle w:val="ac"/>
        <w:rPr>
          <w:rtl/>
        </w:rPr>
      </w:pPr>
      <w:r>
        <w:rPr>
          <w:rFonts w:hint="cs"/>
          <w:rtl/>
        </w:rPr>
        <w:t>ونستعرض هنا بعض الآراء الجديدة لآية الله آملي والتي جاءت في هذا الكتاب:</w:t>
      </w:r>
    </w:p>
    <w:p w:rsidR="000E41CC" w:rsidRDefault="000E41CC" w:rsidP="008349EA">
      <w:pPr>
        <w:pStyle w:val="ac"/>
        <w:spacing w:line="206" w:lineRule="auto"/>
        <w:rPr>
          <w:rtl/>
        </w:rPr>
      </w:pPr>
      <w:r>
        <w:rPr>
          <w:rFonts w:hint="cs"/>
          <w:rtl/>
        </w:rPr>
        <w:t>1ـ يجوز للمرأة تولّي المرجعية للنساء فقط (376).</w:t>
      </w:r>
    </w:p>
    <w:p w:rsidR="000E41CC" w:rsidRDefault="000E41CC" w:rsidP="008349EA">
      <w:pPr>
        <w:pStyle w:val="ac"/>
        <w:spacing w:line="206" w:lineRule="auto"/>
        <w:rPr>
          <w:rtl/>
        </w:rPr>
      </w:pPr>
      <w:r>
        <w:rPr>
          <w:rFonts w:hint="cs"/>
          <w:rtl/>
        </w:rPr>
        <w:t>2ـ يقبل النبوّة الإنبائية للنساء، وما يختصّ به الرجال إنما هو النبوّة التشريعية (231).</w:t>
      </w:r>
    </w:p>
    <w:p w:rsidR="000E41CC" w:rsidRDefault="000E41CC" w:rsidP="008349EA">
      <w:pPr>
        <w:pStyle w:val="ac"/>
        <w:spacing w:line="206" w:lineRule="auto"/>
        <w:rPr>
          <w:rtl/>
        </w:rPr>
      </w:pPr>
      <w:r>
        <w:rPr>
          <w:rFonts w:hint="cs"/>
          <w:rtl/>
        </w:rPr>
        <w:t>3ـ تجوز إمامة المرأة للنساء (376).</w:t>
      </w:r>
    </w:p>
    <w:p w:rsidR="000E41CC" w:rsidRDefault="000E41CC" w:rsidP="008349EA">
      <w:pPr>
        <w:pStyle w:val="ac"/>
        <w:rPr>
          <w:rtl/>
        </w:rPr>
      </w:pPr>
      <w:r>
        <w:rPr>
          <w:rFonts w:hint="cs"/>
          <w:rtl/>
        </w:rPr>
        <w:t>4ـ يجب على الولد الأكبر قضاء صيام الأم وصلاتها أيضاً (411).</w:t>
      </w:r>
    </w:p>
    <w:p w:rsidR="000E41CC" w:rsidRDefault="000E41CC" w:rsidP="000E41CC">
      <w:pPr>
        <w:pStyle w:val="ac"/>
        <w:rPr>
          <w:rtl/>
        </w:rPr>
      </w:pPr>
      <w:r>
        <w:rPr>
          <w:rFonts w:hint="cs"/>
          <w:rtl/>
        </w:rPr>
        <w:t>وفي ختام هذا البحث، لابد لنا أن نشير إلى كتابٍ آخر يواصل في طروحاته هذا المسير أيضاً، وقد كان نشر هذا الكتاب قبل هذه الكتب جميعها، واحتوى الموضوعات الدينية ودافع عنها أيضاً.</w:t>
      </w:r>
    </w:p>
    <w:p w:rsidR="000E41CC" w:rsidRDefault="000E41CC" w:rsidP="000E41CC">
      <w:pPr>
        <w:pStyle w:val="ac"/>
        <w:rPr>
          <w:rtl/>
        </w:rPr>
      </w:pPr>
      <w:r>
        <w:rPr>
          <w:rFonts w:hint="cs"/>
          <w:rtl/>
        </w:rPr>
        <w:t xml:space="preserve">وهذا الكتاب هو: </w:t>
      </w:r>
      <w:r w:rsidRPr="002B759E">
        <w:rPr>
          <w:rFonts w:hint="cs"/>
          <w:rtl/>
        </w:rPr>
        <w:sym w:font="Islamic Units 1" w:char="F06D"/>
      </w:r>
      <w:r>
        <w:rPr>
          <w:rFonts w:hint="cs"/>
          <w:rtl/>
        </w:rPr>
        <w:t>حقوق المرأة في أوروبا والإسلام</w:t>
      </w:r>
      <w:r w:rsidRPr="002B759E">
        <w:rPr>
          <w:rFonts w:hint="cs"/>
          <w:rtl/>
        </w:rPr>
        <w:sym w:font="Islamic Units 1" w:char="F06E"/>
      </w:r>
      <w:r>
        <w:rPr>
          <w:rFonts w:hint="cs"/>
          <w:rtl/>
        </w:rPr>
        <w:t xml:space="preserve"> لمؤلّفه حسن الصدر، كان الكتاب قد نشر عام 1940م، ثم أعيدت طباعته من جانب </w:t>
      </w:r>
      <w:r w:rsidRPr="002B759E">
        <w:rPr>
          <w:rFonts w:hint="cs"/>
          <w:rtl/>
        </w:rPr>
        <w:sym w:font="Islamic Units 1" w:char="F06D"/>
      </w:r>
      <w:r>
        <w:rPr>
          <w:rFonts w:hint="cs"/>
          <w:rtl/>
        </w:rPr>
        <w:t>انتشارات فراهاني</w:t>
      </w:r>
      <w:r w:rsidRPr="002B759E">
        <w:rPr>
          <w:rFonts w:hint="cs"/>
          <w:rtl/>
        </w:rPr>
        <w:sym w:font="Islamic Units 1" w:char="F06E"/>
      </w:r>
      <w:r>
        <w:rPr>
          <w:rFonts w:hint="cs"/>
          <w:rtl/>
        </w:rPr>
        <w:t xml:space="preserve"> عام 1948م.</w:t>
      </w:r>
    </w:p>
    <w:p w:rsidR="000E41CC" w:rsidRDefault="000E41CC" w:rsidP="008349EA">
      <w:pPr>
        <w:pStyle w:val="ac"/>
        <w:spacing w:line="206" w:lineRule="auto"/>
        <w:rPr>
          <w:rtl/>
        </w:rPr>
      </w:pPr>
      <w:r>
        <w:rPr>
          <w:rFonts w:hint="cs"/>
          <w:rtl/>
        </w:rPr>
        <w:t>يخصّص المؤلّف القسم الأكبر من الكتاب لأبحاث تاريخية في الثقافة والبلاد غير الإسلامية، كما يستعرض الأبحاث الحقوقية لسائر البلدان أيضاً، وضمن ذلك يذكر وجهة نظر الإسلام ثم يدافع عنها.</w:t>
      </w:r>
    </w:p>
    <w:p w:rsidR="000E41CC" w:rsidRDefault="000E41CC" w:rsidP="008349EA">
      <w:pPr>
        <w:pStyle w:val="ac"/>
        <w:spacing w:line="206" w:lineRule="auto"/>
        <w:rPr>
          <w:rtl/>
        </w:rPr>
      </w:pPr>
      <w:r>
        <w:rPr>
          <w:rFonts w:hint="cs"/>
          <w:rtl/>
        </w:rPr>
        <w:t xml:space="preserve">يذهب المؤلف في قراءته لشخصية المرأة إلى أن هناك وجهتي نظر ضعيفة في هذا المجال: إحداهما: أن ضعف النساء وعجزهنّ أمر ذاتيّ لهنّ، وثانيتهما: إن ضعفهنّ أمرٌ تاريخي وثقافي فرض عليهنّ فرضاً (262 ـ 263)، أما المؤلّف فيذهب إلى خطأ الرؤيتين؛ على أساس أنه لابدّ يقال: إن الرجل والمرأة هكذا، ولا ينبغي تصوّر ضعف </w:t>
      </w:r>
      <w:r>
        <w:rPr>
          <w:rFonts w:hint="cs"/>
          <w:rtl/>
        </w:rPr>
        <w:lastRenderedPageBreak/>
        <w:t>أحدهما وقوّة الآخر حتى نبحث عن جذور هذه المعادلة وأساسها.</w:t>
      </w:r>
    </w:p>
    <w:p w:rsidR="000E41CC" w:rsidRDefault="000E41CC" w:rsidP="005067D6">
      <w:pPr>
        <w:pStyle w:val="ac"/>
        <w:rPr>
          <w:rtl/>
        </w:rPr>
      </w:pPr>
      <w:r>
        <w:rPr>
          <w:rFonts w:hint="cs"/>
          <w:rtl/>
        </w:rPr>
        <w:t xml:space="preserve">يكتب يقول: </w:t>
      </w:r>
      <w:r w:rsidRPr="002B759E">
        <w:rPr>
          <w:rFonts w:hint="cs"/>
          <w:rtl/>
        </w:rPr>
        <w:sym w:font="Islamic Units 1" w:char="F06D"/>
      </w:r>
      <w:r>
        <w:rPr>
          <w:rFonts w:hint="cs"/>
          <w:rtl/>
        </w:rPr>
        <w:t>إن البناء الجسدي والعقلي، المادي والمعنوي، لهاتين الطبقتين، ووظيفتهما وخصائصهما، تختلف تماماً عن بعضها بعضاً، فالمرأة إنّما كوّنت لخصائص خاصة وهدف خاص محدّد، أمّا الرجل فكان خلقه لوظيفةٍ أخرى، وطورٍ آخر</w:t>
      </w:r>
      <w:r w:rsidRPr="002B759E">
        <w:rPr>
          <w:rFonts w:hint="cs"/>
          <w:rtl/>
        </w:rPr>
        <w:sym w:font="Islamic Units 1" w:char="F06E"/>
      </w:r>
      <w:r>
        <w:rPr>
          <w:rFonts w:hint="cs"/>
          <w:rtl/>
        </w:rPr>
        <w:t xml:space="preserve"> (264 ـ 265).</w:t>
      </w:r>
    </w:p>
    <w:p w:rsidR="000E41CC" w:rsidRDefault="000E41CC" w:rsidP="000E41CC">
      <w:pPr>
        <w:pStyle w:val="ac"/>
        <w:rPr>
          <w:rtl/>
        </w:rPr>
      </w:pPr>
      <w:r>
        <w:rPr>
          <w:rFonts w:hint="cs"/>
          <w:rtl/>
        </w:rPr>
        <w:t>ويعتقد الكاتب أن حوّاء خلقت من ضلع آدم (73)، لكنه يذهب إلى أن المرأة عنصر فاعل ومؤثر في الحياة الأسرية، بل يمكنها مشاركة الرجل في أغلب الشؤون الاجتماعية، في جدّه وسعيه (72)، ويذهب أيضاً إلى لزوم تعليم النساء وتربيتهنّ، وإلاّ كان العقل والإحساس الذي خلقه الله فيهنّ ـ كالرجل ـ عبثاً ولغواً(72).</w:t>
      </w:r>
    </w:p>
    <w:p w:rsidR="000E41CC" w:rsidRDefault="000E41CC" w:rsidP="000E41CC">
      <w:pPr>
        <w:pStyle w:val="ac"/>
        <w:rPr>
          <w:rtl/>
        </w:rPr>
      </w:pPr>
      <w:r>
        <w:rPr>
          <w:rFonts w:hint="cs"/>
          <w:rtl/>
        </w:rPr>
        <w:t>ويشرّح المؤلّف مبرّرات الطلاق في الإسلام وكونه تحت تصرّف الرجل، فيبيّن الحكمة في ذلك (231، 238)، وكذا الحال في دفاعه عن تعدّد الزوجات (202 ـ 207)، وقانون الإرث (260).</w:t>
      </w:r>
    </w:p>
    <w:p w:rsidR="000E41CC" w:rsidRDefault="000E41CC" w:rsidP="008349EA">
      <w:pPr>
        <w:pStyle w:val="ac"/>
        <w:spacing w:line="206" w:lineRule="auto"/>
        <w:rPr>
          <w:rtl/>
        </w:rPr>
      </w:pPr>
      <w:r>
        <w:rPr>
          <w:rFonts w:hint="cs"/>
          <w:rtl/>
        </w:rPr>
        <w:t>ونلخّص ـ في ختام الحديث ـ مهمّ آراء هذا الاتجاه ونظريّاته كالتالي:</w:t>
      </w:r>
    </w:p>
    <w:p w:rsidR="000E41CC" w:rsidRDefault="000E41CC" w:rsidP="008349EA">
      <w:pPr>
        <w:pStyle w:val="ac"/>
        <w:spacing w:line="206" w:lineRule="auto"/>
        <w:rPr>
          <w:rtl/>
        </w:rPr>
      </w:pPr>
      <w:r>
        <w:rPr>
          <w:rFonts w:hint="cs"/>
          <w:rtl/>
        </w:rPr>
        <w:t>1 ـ الاعتقاد بالهوية الإنسانية المتساوية عند الرجل والمرأة.</w:t>
      </w:r>
    </w:p>
    <w:p w:rsidR="000E41CC" w:rsidRDefault="000E41CC" w:rsidP="008349EA">
      <w:pPr>
        <w:pStyle w:val="ac"/>
        <w:spacing w:line="206" w:lineRule="auto"/>
        <w:rPr>
          <w:rtl/>
        </w:rPr>
      </w:pPr>
      <w:r>
        <w:rPr>
          <w:rFonts w:hint="cs"/>
          <w:rtl/>
        </w:rPr>
        <w:t>2 ـ الاعتقاد بوجود اختلافات بين الرجل والمرأة في بعض المجالات، مثل الاختلافات الجسدية، والنفسية، والعاطفية، وبعبارةٍ أخرى: يقلّص هذا الاتجاه دائرة الاختلافات هذه نسبةً لما كان يراه الاتجاه الأوّل.</w:t>
      </w:r>
    </w:p>
    <w:p w:rsidR="000E41CC" w:rsidRDefault="000E41CC" w:rsidP="008349EA">
      <w:pPr>
        <w:pStyle w:val="ac"/>
        <w:spacing w:line="206" w:lineRule="auto"/>
        <w:rPr>
          <w:rtl/>
        </w:rPr>
      </w:pPr>
      <w:r>
        <w:rPr>
          <w:rFonts w:hint="cs"/>
          <w:rtl/>
        </w:rPr>
        <w:t>3 ـ الاعتقاد بجواز المشاركة الاجتماعية للمرأة، بل رجحانها.</w:t>
      </w:r>
    </w:p>
    <w:p w:rsidR="000E41CC" w:rsidRDefault="000E41CC" w:rsidP="008349EA">
      <w:pPr>
        <w:pStyle w:val="ac"/>
        <w:spacing w:line="206" w:lineRule="auto"/>
        <w:rPr>
          <w:rtl/>
        </w:rPr>
      </w:pPr>
      <w:r>
        <w:rPr>
          <w:rFonts w:hint="cs"/>
          <w:rtl/>
        </w:rPr>
        <w:t>4 ـ تقديم تفسيرات كلامية عقلانية للاختلافات الحقوقية بين الرجل والمرأة.</w:t>
      </w:r>
    </w:p>
    <w:p w:rsidR="008B618B" w:rsidRDefault="008B618B" w:rsidP="008349EA">
      <w:pPr>
        <w:pStyle w:val="afffffc"/>
        <w:rPr>
          <w:rtl/>
        </w:rPr>
      </w:pPr>
    </w:p>
    <w:p w:rsidR="000E41CC" w:rsidRDefault="000E41CC" w:rsidP="000E41CC">
      <w:pPr>
        <w:pStyle w:val="1"/>
        <w:rPr>
          <w:rFonts w:cs="AL-Mohanad"/>
          <w:szCs w:val="27"/>
          <w:rtl/>
        </w:rPr>
      </w:pPr>
      <w:bookmarkStart w:id="182" w:name="_Toc169521404"/>
      <w:bookmarkStart w:id="183" w:name="_Toc275127950"/>
      <w:r w:rsidRPr="00D457EB">
        <w:rPr>
          <w:rFonts w:hint="cs"/>
          <w:rtl/>
        </w:rPr>
        <w:t>الاتجاه الكلامي ـ الاجتماعي</w:t>
      </w:r>
      <w:r w:rsidRPr="003A6D60">
        <w:rPr>
          <w:rFonts w:cs="Simplified Arabic" w:hint="cs"/>
          <w:rtl/>
        </w:rPr>
        <w:t>:</w:t>
      </w:r>
      <w:r w:rsidRPr="00D457EB">
        <w:rPr>
          <w:rFonts w:hint="cs"/>
          <w:rtl/>
        </w:rPr>
        <w:t xml:space="preserve"> المنهج والخطاب</w:t>
      </w:r>
      <w:bookmarkEnd w:id="182"/>
      <w:bookmarkEnd w:id="183"/>
    </w:p>
    <w:p w:rsidR="000E41CC" w:rsidRDefault="000E41CC" w:rsidP="008349EA">
      <w:pPr>
        <w:pStyle w:val="ac"/>
        <w:spacing w:line="209" w:lineRule="auto"/>
        <w:rPr>
          <w:rtl/>
        </w:rPr>
      </w:pPr>
      <w:r>
        <w:rPr>
          <w:rFonts w:hint="cs"/>
          <w:rtl/>
        </w:rPr>
        <w:t>وما يمكن اعتباره منهجاً لهذا الاتجاه هو:</w:t>
      </w:r>
    </w:p>
    <w:p w:rsidR="000E41CC" w:rsidRDefault="000E41CC" w:rsidP="008349EA">
      <w:pPr>
        <w:pStyle w:val="ac"/>
        <w:spacing w:line="209" w:lineRule="auto"/>
        <w:rPr>
          <w:rtl/>
        </w:rPr>
      </w:pPr>
      <w:r>
        <w:rPr>
          <w:rFonts w:hint="cs"/>
          <w:rtl/>
        </w:rPr>
        <w:t>1 ـ الاهتمام بالنصّ القرآني، سيما ما يتعلّق بشخصية المرأة وحضورها الاجتماعي.</w:t>
      </w:r>
    </w:p>
    <w:p w:rsidR="000E41CC" w:rsidRDefault="000E41CC" w:rsidP="008349EA">
      <w:pPr>
        <w:pStyle w:val="ac"/>
        <w:spacing w:line="209" w:lineRule="auto"/>
        <w:rPr>
          <w:rtl/>
        </w:rPr>
      </w:pPr>
      <w:r>
        <w:rPr>
          <w:rFonts w:hint="cs"/>
          <w:rtl/>
        </w:rPr>
        <w:t>2 ـ الاعتقاد بضرورة تصفية الأحاديث.</w:t>
      </w:r>
    </w:p>
    <w:p w:rsidR="000E41CC" w:rsidRDefault="000E41CC" w:rsidP="005067D6">
      <w:pPr>
        <w:pStyle w:val="ac"/>
        <w:rPr>
          <w:rtl/>
        </w:rPr>
      </w:pPr>
      <w:r>
        <w:rPr>
          <w:rFonts w:hint="cs"/>
          <w:rtl/>
        </w:rPr>
        <w:lastRenderedPageBreak/>
        <w:t>3 ـ الاعتقاد بضرورة التعقل في فهم النصوص الدينية وتفسير أحكامها كلامياً.</w:t>
      </w:r>
    </w:p>
    <w:p w:rsidR="000E41CC" w:rsidRDefault="000E41CC" w:rsidP="005067D6">
      <w:pPr>
        <w:pStyle w:val="ac"/>
        <w:rPr>
          <w:rtl/>
        </w:rPr>
      </w:pPr>
      <w:r>
        <w:rPr>
          <w:rFonts w:hint="cs"/>
          <w:rtl/>
        </w:rPr>
        <w:t>4 ـ الأخذ بعين الاعتبار تأثير الثقافات غير الدينية، والسعي لتصفيتها و..</w:t>
      </w:r>
    </w:p>
    <w:p w:rsidR="000E41CC" w:rsidRDefault="000E41CC" w:rsidP="008349EA">
      <w:pPr>
        <w:pStyle w:val="afffffc"/>
        <w:rPr>
          <w:rtl/>
        </w:rPr>
      </w:pPr>
    </w:p>
    <w:p w:rsidR="000E41CC" w:rsidRDefault="000E41CC" w:rsidP="000E41CC">
      <w:pPr>
        <w:pStyle w:val="1"/>
        <w:rPr>
          <w:rFonts w:cs="AL-Mohanad"/>
          <w:szCs w:val="27"/>
          <w:rtl/>
        </w:rPr>
      </w:pPr>
      <w:bookmarkStart w:id="184" w:name="_Toc169521405"/>
      <w:bookmarkStart w:id="185" w:name="_Toc275127951"/>
      <w:r w:rsidRPr="00D457EB">
        <w:rPr>
          <w:rFonts w:hint="cs"/>
          <w:rtl/>
        </w:rPr>
        <w:t>الاتجاه الثالث</w:t>
      </w:r>
      <w:r w:rsidRPr="003A6D60">
        <w:rPr>
          <w:rFonts w:cs="Simplified Arabic" w:hint="cs"/>
          <w:rtl/>
        </w:rPr>
        <w:t>:</w:t>
      </w:r>
      <w:r w:rsidRPr="00D457EB">
        <w:rPr>
          <w:rFonts w:hint="cs"/>
          <w:rtl/>
        </w:rPr>
        <w:t xml:space="preserve"> الاتجاه الفقهي ـ الحقوقي </w:t>
      </w:r>
      <w:r w:rsidRPr="00367464">
        <w:rPr>
          <w:rFonts w:cs="Simplified Arabic" w:hint="cs"/>
          <w:rtl/>
        </w:rPr>
        <w:t>(</w:t>
      </w:r>
      <w:r w:rsidRPr="00D457EB">
        <w:rPr>
          <w:rFonts w:hint="cs"/>
          <w:rtl/>
        </w:rPr>
        <w:t xml:space="preserve">2000م ـ </w:t>
      </w:r>
      <w:r w:rsidRPr="00367464">
        <w:rPr>
          <w:rFonts w:cs="Simplified Arabic" w:hint="cs"/>
          <w:rtl/>
        </w:rPr>
        <w:t>.</w:t>
      </w:r>
      <w:r>
        <w:rPr>
          <w:rFonts w:cs="Simplified Arabic" w:hint="cs"/>
          <w:rtl/>
        </w:rPr>
        <w:t>.</w:t>
      </w:r>
      <w:r w:rsidRPr="00367464">
        <w:rPr>
          <w:rFonts w:cs="Simplified Arabic" w:hint="cs"/>
          <w:rtl/>
        </w:rPr>
        <w:t>..)</w:t>
      </w:r>
      <w:bookmarkEnd w:id="184"/>
      <w:bookmarkEnd w:id="185"/>
    </w:p>
    <w:p w:rsidR="000E41CC" w:rsidRDefault="000E41CC" w:rsidP="000E41CC">
      <w:pPr>
        <w:pStyle w:val="ac"/>
        <w:rPr>
          <w:rtl/>
        </w:rPr>
      </w:pPr>
      <w:r>
        <w:rPr>
          <w:rFonts w:hint="cs"/>
          <w:rtl/>
        </w:rPr>
        <w:t>برز إلى الواجهة بداية الألفية الثالثة اتجاهٌ جديد، هو الاتجاه الثالث، ويذهب رموز هذا الاتجاه إلى الأخذ بعين الاعتبار الواقعَ ورعاية الأصول والضوابط التي تحكم الفقاهة والاجتهاد، وإعادة قراءة المصادر الدينية، معتقدين أن ذلك يساهم في التوصّل إلى نظريات جديدة على الصعيد الحقوقي.</w:t>
      </w:r>
    </w:p>
    <w:p w:rsidR="000E41CC" w:rsidRDefault="000E41CC" w:rsidP="000E41CC">
      <w:pPr>
        <w:pStyle w:val="ac"/>
        <w:rPr>
          <w:rtl/>
        </w:rPr>
      </w:pPr>
      <w:r>
        <w:rPr>
          <w:rFonts w:hint="cs"/>
          <w:rtl/>
        </w:rPr>
        <w:t>وفي الحقيقة، يقيم هذا الاتجاه كيانه على أضلاع ثلاثة هي:</w:t>
      </w:r>
    </w:p>
    <w:p w:rsidR="000E41CC" w:rsidRDefault="000E41CC" w:rsidP="005067D6">
      <w:pPr>
        <w:pStyle w:val="ac"/>
        <w:rPr>
          <w:rtl/>
        </w:rPr>
      </w:pPr>
      <w:r>
        <w:rPr>
          <w:rFonts w:hint="cs"/>
          <w:rtl/>
        </w:rPr>
        <w:t>1ـ الأخذ بعين الاعتبار الواقع الخارجي.</w:t>
      </w:r>
    </w:p>
    <w:p w:rsidR="000E41CC" w:rsidRDefault="000E41CC" w:rsidP="005067D6">
      <w:pPr>
        <w:pStyle w:val="ac"/>
        <w:rPr>
          <w:rtl/>
        </w:rPr>
      </w:pPr>
      <w:r>
        <w:rPr>
          <w:rFonts w:hint="cs"/>
          <w:rtl/>
        </w:rPr>
        <w:t>2ـ مراعاة قواعد الاجتهاد وضوابط الفعل الفقهي.</w:t>
      </w:r>
    </w:p>
    <w:p w:rsidR="000E41CC" w:rsidRDefault="000E41CC" w:rsidP="005067D6">
      <w:pPr>
        <w:pStyle w:val="ac"/>
        <w:rPr>
          <w:rtl/>
        </w:rPr>
      </w:pPr>
      <w:r>
        <w:rPr>
          <w:rFonts w:hint="cs"/>
          <w:rtl/>
        </w:rPr>
        <w:t>3ـ إعادة قراءة المصادر الدينية من جديد.</w:t>
      </w:r>
    </w:p>
    <w:p w:rsidR="000E41CC" w:rsidRDefault="000E41CC" w:rsidP="000E41CC">
      <w:pPr>
        <w:pStyle w:val="ac"/>
        <w:rPr>
          <w:rtl/>
        </w:rPr>
      </w:pPr>
      <w:r>
        <w:rPr>
          <w:rFonts w:hint="cs"/>
          <w:rtl/>
        </w:rPr>
        <w:t>لم تصلنا من هذا الاتجاه نتاجات مدَّونة تتعلّق بشخصية المرأة وهويتها الحقيقيّة، وكذا بعض المجالات الأخرى مثل الأسرة والمشاركة الاجتماعية، إلاّ أننا نظن أن هذا الاتجاه يتبنّى ـ في الحدّ الأدنى ـ أصول الاتجاه الثاني على صعيد شخصية المرأة وهويتها، فيدافع عن الهوية المشتركة للرجل والمرأة.</w:t>
      </w:r>
    </w:p>
    <w:p w:rsidR="000E41CC" w:rsidRDefault="000E41CC" w:rsidP="000E41CC">
      <w:pPr>
        <w:pStyle w:val="ac"/>
        <w:rPr>
          <w:rtl/>
        </w:rPr>
      </w:pPr>
      <w:r>
        <w:rPr>
          <w:rFonts w:hint="cs"/>
          <w:rtl/>
        </w:rPr>
        <w:t>كما أننا نرى أن رؤية هذا التيار للفوارق ما بين الرجل والمرأة تظلّ أقلّ مما هو عند الاتجاه الثاني، فضلاً عن الأوّل، وأما على صعيد المشاركة الاجتماعية فلم يصلنا شيء مكتوب وصريح يتحدّث عن ذلك، إلاّ أن لازم بعض الآراء مثل عدم شرطية الذكورة في مرجع التقليد، ورئاسة الجمهورية، والقضاء، والوليّ الفقيه و.. عدم سدّ باب المشاركة بوجه النساء.</w:t>
      </w:r>
    </w:p>
    <w:p w:rsidR="000E41CC" w:rsidRDefault="000E41CC" w:rsidP="000E41CC">
      <w:pPr>
        <w:pStyle w:val="ac"/>
        <w:rPr>
          <w:rtl/>
        </w:rPr>
      </w:pPr>
      <w:r>
        <w:rPr>
          <w:rFonts w:hint="cs"/>
          <w:rtl/>
        </w:rPr>
        <w:t>أمّا على الصعيد العائلي، فإن لازم بعض النظريات المطروحة لدى هذا الاتجاه هو الاعتقاد بحظٍّ أكبر للمرأة في هذا المضمار، مثل استقلال البنت الباكر في الزواج، وجواز خروج المرأة من منزل زوجها بغير إذنه، وبعض الموارد الأخرى.</w:t>
      </w:r>
    </w:p>
    <w:p w:rsidR="000E41CC" w:rsidRDefault="000E41CC" w:rsidP="000E41CC">
      <w:pPr>
        <w:pStyle w:val="ac"/>
        <w:rPr>
          <w:rtl/>
        </w:rPr>
      </w:pPr>
      <w:r>
        <w:rPr>
          <w:rFonts w:hint="cs"/>
          <w:rtl/>
        </w:rPr>
        <w:lastRenderedPageBreak/>
        <w:t>ونشرع ـ أولاً ـ بطرح آراء مؤسّسي هذا الاتجاه ورموزه، طبقاً للتسلسل الزمني لنشر أعمالهم، ثم نحاول الخروج بما نستنتجه منهجاً لهذا الاتجاه.</w:t>
      </w:r>
    </w:p>
    <w:p w:rsidR="000E41CC" w:rsidRDefault="000E41CC" w:rsidP="000E41CC">
      <w:pPr>
        <w:pStyle w:val="ac"/>
        <w:rPr>
          <w:rtl/>
        </w:rPr>
      </w:pPr>
    </w:p>
    <w:p w:rsidR="000E41CC" w:rsidRDefault="000E41CC" w:rsidP="008349EA">
      <w:pPr>
        <w:pStyle w:val="2"/>
        <w:rPr>
          <w:rtl/>
        </w:rPr>
      </w:pPr>
      <w:bookmarkStart w:id="186" w:name="_Toc169521406"/>
      <w:bookmarkStart w:id="187" w:name="_Toc275127952"/>
      <w:r>
        <w:rPr>
          <w:rFonts w:hint="cs"/>
          <w:rtl/>
        </w:rPr>
        <w:t>1 ـ نتاجات آية الله الشيخ يوسف الصانعي</w:t>
      </w:r>
      <w:bookmarkEnd w:id="186"/>
      <w:bookmarkEnd w:id="187"/>
    </w:p>
    <w:p w:rsidR="000E41CC" w:rsidRDefault="000E41CC" w:rsidP="008349EA">
      <w:pPr>
        <w:pStyle w:val="ac"/>
        <w:spacing w:line="211" w:lineRule="auto"/>
        <w:rPr>
          <w:rtl/>
        </w:rPr>
      </w:pPr>
      <w:r>
        <w:rPr>
          <w:rFonts w:hint="cs"/>
          <w:rtl/>
        </w:rPr>
        <w:t>آية الله صانعي رائد طرح الآراء الفقهية الجديدة على شكل فتوى في الرسالة العملية في العصر الحاضر، فرغم أنّ طرح الأبحاث النظرية والتحليلية الجديدة المتعلّقة بقضايا المرأة كان أمراً سائداً في جلسات الدرس العلمي أو عبر محاضرات فكرية، إلاّ أن إدراجها في الرسالة العملية على شكل فتوى قلّما نجده فيما يخصّ قضايا المرأة.</w:t>
      </w:r>
    </w:p>
    <w:p w:rsidR="000E41CC" w:rsidRDefault="000E41CC" w:rsidP="008349EA">
      <w:pPr>
        <w:pStyle w:val="ac"/>
        <w:spacing w:line="211" w:lineRule="auto"/>
        <w:rPr>
          <w:rtl/>
        </w:rPr>
      </w:pPr>
      <w:r>
        <w:rPr>
          <w:rFonts w:hint="cs"/>
          <w:rtl/>
        </w:rPr>
        <w:t>طبعت رسالة صانعي العملية عام 1414هـ، وقد اجتذبت فتواه المتعلقة ببلوغ الفتاة المحافل العلمية والحوزوية.</w:t>
      </w:r>
    </w:p>
    <w:p w:rsidR="000E41CC" w:rsidRDefault="000E41CC" w:rsidP="008349EA">
      <w:pPr>
        <w:pStyle w:val="ac"/>
        <w:spacing w:line="211" w:lineRule="auto"/>
        <w:rPr>
          <w:rtl/>
        </w:rPr>
      </w:pPr>
      <w:r>
        <w:rPr>
          <w:rFonts w:hint="cs"/>
          <w:rtl/>
        </w:rPr>
        <w:t xml:space="preserve">وبعد ذلك، بتنا نلاحظ آراء أخرى له في هذا المجال، إمّا ضمن استفتاء وعلى شكل فتوى صادرة، أو ضمن حوارات علمية، ويمكننا هنا ذكر حوار أجرته مجلّة </w:t>
      </w:r>
      <w:r w:rsidRPr="002B759E">
        <w:rPr>
          <w:rFonts w:hint="cs"/>
          <w:rtl/>
        </w:rPr>
        <w:sym w:font="Islamic Units 1" w:char="F06D"/>
      </w:r>
      <w:r>
        <w:rPr>
          <w:rFonts w:hint="eastAsia"/>
          <w:rtl/>
        </w:rPr>
        <w:t>بيام زن</w:t>
      </w:r>
      <w:r w:rsidRPr="002B759E">
        <w:rPr>
          <w:rFonts w:hint="cs"/>
          <w:rtl/>
        </w:rPr>
        <w:sym w:font="Islamic Units 1" w:char="F06E"/>
      </w:r>
      <w:r>
        <w:rPr>
          <w:rFonts w:hint="eastAsia"/>
          <w:rtl/>
        </w:rPr>
        <w:t xml:space="preserve"> العدد: 63، 64 معه، وكذا فصلية </w:t>
      </w:r>
      <w:r w:rsidRPr="002B759E">
        <w:rPr>
          <w:rFonts w:hint="cs"/>
          <w:rtl/>
        </w:rPr>
        <w:sym w:font="Islamic Units 1" w:char="F06D"/>
      </w:r>
      <w:r>
        <w:rPr>
          <w:rFonts w:hint="eastAsia"/>
          <w:rtl/>
        </w:rPr>
        <w:t>متين</w:t>
      </w:r>
      <w:r w:rsidRPr="002B759E">
        <w:rPr>
          <w:rFonts w:hint="cs"/>
          <w:rtl/>
        </w:rPr>
        <w:sym w:font="Islamic Units 1" w:char="F06E"/>
      </w:r>
      <w:r>
        <w:rPr>
          <w:rFonts w:hint="eastAsia"/>
          <w:rtl/>
        </w:rPr>
        <w:t>، العدد الثاني، رب</w:t>
      </w:r>
      <w:r>
        <w:rPr>
          <w:rFonts w:hint="cs"/>
          <w:rtl/>
        </w:rPr>
        <w:t>ي</w:t>
      </w:r>
      <w:r>
        <w:rPr>
          <w:rFonts w:hint="eastAsia"/>
          <w:rtl/>
        </w:rPr>
        <w:t xml:space="preserve">ع عام 1999م، كما يلاحظ بعض الموضوعات ذات الصلة في كتابه </w:t>
      </w:r>
      <w:r w:rsidRPr="002B759E">
        <w:rPr>
          <w:rFonts w:hint="cs"/>
          <w:rtl/>
        </w:rPr>
        <w:sym w:font="Islamic Units 1" w:char="F06D"/>
      </w:r>
      <w:r>
        <w:rPr>
          <w:rFonts w:hint="eastAsia"/>
          <w:rtl/>
        </w:rPr>
        <w:t>فقه الثقلين</w:t>
      </w:r>
      <w:r w:rsidRPr="002B759E">
        <w:rPr>
          <w:rFonts w:hint="cs"/>
          <w:rtl/>
        </w:rPr>
        <w:sym w:font="Islamic Units 1" w:char="F06E"/>
      </w:r>
      <w:r>
        <w:rPr>
          <w:rFonts w:hint="eastAsia"/>
          <w:rtl/>
        </w:rPr>
        <w:t xml:space="preserve"> (155 ـ 204، 208 ـ 230) أيضاً.</w:t>
      </w:r>
    </w:p>
    <w:p w:rsidR="000E41CC" w:rsidRDefault="000E41CC" w:rsidP="008349EA">
      <w:pPr>
        <w:pStyle w:val="ac"/>
        <w:spacing w:line="211" w:lineRule="auto"/>
        <w:rPr>
          <w:rtl/>
        </w:rPr>
      </w:pPr>
      <w:r>
        <w:rPr>
          <w:rFonts w:hint="cs"/>
          <w:rtl/>
        </w:rPr>
        <w:t>والموارد التي يوجد فيها للشيخ الصانعي رأيٌ جديد هي:</w:t>
      </w:r>
    </w:p>
    <w:p w:rsidR="000E41CC" w:rsidRDefault="000E41CC" w:rsidP="008349EA">
      <w:pPr>
        <w:pStyle w:val="ac"/>
        <w:spacing w:line="211" w:lineRule="auto"/>
        <w:rPr>
          <w:rtl/>
        </w:rPr>
      </w:pPr>
      <w:r>
        <w:rPr>
          <w:rFonts w:hint="cs"/>
          <w:rtl/>
        </w:rPr>
        <w:t>1ـ لا تشترط الذكورة في مرجع التقليد</w:t>
      </w:r>
      <w:r w:rsidRPr="00815C4C">
        <w:rPr>
          <w:rFonts w:cs="Taher"/>
          <w:vertAlign w:val="superscript"/>
          <w:rtl/>
        </w:rPr>
        <w:t>(</w:t>
      </w:r>
      <w:r w:rsidRPr="00815C4C">
        <w:rPr>
          <w:rFonts w:cs="Taher"/>
          <w:vertAlign w:val="superscript"/>
          <w:rtl/>
        </w:rPr>
        <w:footnoteReference w:id="169"/>
      </w:r>
      <w:r w:rsidRPr="00815C4C">
        <w:rPr>
          <w:rFonts w:cs="Taher"/>
          <w:vertAlign w:val="superscript"/>
          <w:rtl/>
        </w:rPr>
        <w:t>)</w:t>
      </w:r>
      <w:r>
        <w:rPr>
          <w:rFonts w:hint="cs"/>
          <w:rtl/>
        </w:rPr>
        <w:t>. 2ـ لا تشترط الذكورة في الولي الفقيه</w:t>
      </w:r>
      <w:r w:rsidRPr="00815C4C">
        <w:rPr>
          <w:rFonts w:cs="Taher"/>
          <w:vertAlign w:val="superscript"/>
          <w:rtl/>
        </w:rPr>
        <w:t>(</w:t>
      </w:r>
      <w:r w:rsidRPr="00815C4C">
        <w:rPr>
          <w:rFonts w:cs="Taher"/>
          <w:vertAlign w:val="superscript"/>
          <w:rtl/>
        </w:rPr>
        <w:footnoteReference w:id="170"/>
      </w:r>
      <w:r w:rsidRPr="00815C4C">
        <w:rPr>
          <w:rFonts w:cs="Taher"/>
          <w:vertAlign w:val="superscript"/>
          <w:rtl/>
        </w:rPr>
        <w:t>)</w:t>
      </w:r>
      <w:r>
        <w:rPr>
          <w:rFonts w:hint="cs"/>
          <w:rtl/>
        </w:rPr>
        <w:t>. 3ـ يمكن للمرأة تولّي منصب القضاء</w:t>
      </w:r>
      <w:r w:rsidRPr="00815C4C">
        <w:rPr>
          <w:rFonts w:cs="Taher"/>
          <w:vertAlign w:val="superscript"/>
          <w:rtl/>
        </w:rPr>
        <w:t>(</w:t>
      </w:r>
      <w:r w:rsidRPr="00815C4C">
        <w:rPr>
          <w:rFonts w:cs="Taher"/>
          <w:vertAlign w:val="superscript"/>
          <w:rtl/>
        </w:rPr>
        <w:footnoteReference w:id="171"/>
      </w:r>
      <w:r w:rsidRPr="00815C4C">
        <w:rPr>
          <w:rFonts w:cs="Taher"/>
          <w:vertAlign w:val="superscript"/>
          <w:rtl/>
        </w:rPr>
        <w:t>)</w:t>
      </w:r>
      <w:r>
        <w:rPr>
          <w:rFonts w:hint="cs"/>
          <w:rtl/>
        </w:rPr>
        <w:t>. 4ـ بلوغ البنت يكون بالحيض، وفي المرحلة اللاحقة بثلاثة عشرة سنة</w:t>
      </w:r>
      <w:r w:rsidRPr="00815C4C">
        <w:rPr>
          <w:rFonts w:cs="Taher"/>
          <w:vertAlign w:val="superscript"/>
          <w:rtl/>
        </w:rPr>
        <w:t>(</w:t>
      </w:r>
      <w:r w:rsidRPr="00815C4C">
        <w:rPr>
          <w:rFonts w:cs="Taher"/>
          <w:vertAlign w:val="superscript"/>
          <w:rtl/>
        </w:rPr>
        <w:footnoteReference w:id="172"/>
      </w:r>
      <w:r w:rsidRPr="00815C4C">
        <w:rPr>
          <w:rFonts w:cs="Taher"/>
          <w:vertAlign w:val="superscript"/>
          <w:rtl/>
        </w:rPr>
        <w:t>)</w:t>
      </w:r>
      <w:r>
        <w:rPr>
          <w:rFonts w:hint="cs"/>
          <w:rtl/>
        </w:rPr>
        <w:t xml:space="preserve">. 5ـ دية الرجل والمرأة في قتل الخطأ وشبه العمد </w:t>
      </w:r>
      <w:r>
        <w:rPr>
          <w:rFonts w:hint="cs"/>
          <w:rtl/>
        </w:rPr>
        <w:lastRenderedPageBreak/>
        <w:t>متساوية</w:t>
      </w:r>
      <w:r w:rsidRPr="00815C4C">
        <w:rPr>
          <w:rFonts w:cs="Taher"/>
          <w:vertAlign w:val="superscript"/>
          <w:rtl/>
        </w:rPr>
        <w:t>(</w:t>
      </w:r>
      <w:r w:rsidRPr="00815C4C">
        <w:rPr>
          <w:rFonts w:cs="Taher"/>
          <w:vertAlign w:val="superscript"/>
          <w:rtl/>
        </w:rPr>
        <w:footnoteReference w:id="173"/>
      </w:r>
      <w:r w:rsidRPr="00815C4C">
        <w:rPr>
          <w:rFonts w:cs="Taher"/>
          <w:vertAlign w:val="superscript"/>
          <w:rtl/>
        </w:rPr>
        <w:t>)</w:t>
      </w:r>
      <w:r>
        <w:rPr>
          <w:rFonts w:hint="cs"/>
          <w:rtl/>
        </w:rPr>
        <w:t>. 6ـ تجوز إمامة المرأة لجماعة النساء</w:t>
      </w:r>
      <w:r w:rsidRPr="00815C4C">
        <w:rPr>
          <w:rFonts w:cs="Taher"/>
          <w:vertAlign w:val="superscript"/>
          <w:rtl/>
        </w:rPr>
        <w:t>(</w:t>
      </w:r>
      <w:r w:rsidRPr="00815C4C">
        <w:rPr>
          <w:rFonts w:cs="Taher"/>
          <w:vertAlign w:val="superscript"/>
          <w:rtl/>
        </w:rPr>
        <w:footnoteReference w:id="174"/>
      </w:r>
      <w:r w:rsidRPr="00815C4C">
        <w:rPr>
          <w:rFonts w:cs="Taher"/>
          <w:vertAlign w:val="superscript"/>
          <w:rtl/>
        </w:rPr>
        <w:t>)</w:t>
      </w:r>
      <w:r>
        <w:rPr>
          <w:rFonts w:hint="cs"/>
          <w:rtl/>
        </w:rPr>
        <w:t>. 7ـ يمكن للمرأة تولّي رئاسة الجمهورية</w:t>
      </w:r>
      <w:r w:rsidRPr="00815C4C">
        <w:rPr>
          <w:rFonts w:cs="Taher"/>
          <w:vertAlign w:val="superscript"/>
          <w:rtl/>
        </w:rPr>
        <w:t>(</w:t>
      </w:r>
      <w:r w:rsidRPr="00815C4C">
        <w:rPr>
          <w:rFonts w:cs="Taher"/>
          <w:vertAlign w:val="superscript"/>
          <w:rtl/>
        </w:rPr>
        <w:footnoteReference w:id="175"/>
      </w:r>
      <w:r w:rsidRPr="00815C4C">
        <w:rPr>
          <w:rFonts w:cs="Taher"/>
          <w:vertAlign w:val="superscript"/>
          <w:rtl/>
        </w:rPr>
        <w:t>)</w:t>
      </w:r>
      <w:r>
        <w:rPr>
          <w:rFonts w:hint="cs"/>
          <w:rtl/>
        </w:rPr>
        <w:t>. 8ـ إن تعدّد الزوجات مشروط بإحراز العدالة ويمكن وضع ذلك في القوانين</w:t>
      </w:r>
      <w:r w:rsidRPr="00815C4C">
        <w:rPr>
          <w:rFonts w:cs="Taher"/>
          <w:vertAlign w:val="superscript"/>
          <w:rtl/>
        </w:rPr>
        <w:t>(</w:t>
      </w:r>
      <w:r w:rsidRPr="00815C4C">
        <w:rPr>
          <w:rFonts w:cs="Taher"/>
          <w:vertAlign w:val="superscript"/>
          <w:rtl/>
        </w:rPr>
        <w:footnoteReference w:id="176"/>
      </w:r>
      <w:r w:rsidRPr="00815C4C">
        <w:rPr>
          <w:rFonts w:cs="Taher"/>
          <w:vertAlign w:val="superscript"/>
          <w:rtl/>
        </w:rPr>
        <w:t>)</w:t>
      </w:r>
      <w:r>
        <w:rPr>
          <w:rFonts w:hint="cs"/>
          <w:rtl/>
        </w:rPr>
        <w:t>. 9 ـ تساوي الرجل والمرأة في الاستفادة من وجود العيب لفسخ النكاح</w:t>
      </w:r>
      <w:r w:rsidRPr="00815C4C">
        <w:rPr>
          <w:rFonts w:cs="Taher"/>
          <w:vertAlign w:val="superscript"/>
          <w:rtl/>
        </w:rPr>
        <w:t>(</w:t>
      </w:r>
      <w:r w:rsidRPr="00815C4C">
        <w:rPr>
          <w:rFonts w:cs="Taher"/>
          <w:vertAlign w:val="superscript"/>
          <w:rtl/>
        </w:rPr>
        <w:footnoteReference w:id="177"/>
      </w:r>
      <w:r w:rsidRPr="00815C4C">
        <w:rPr>
          <w:rFonts w:cs="Taher"/>
          <w:vertAlign w:val="superscript"/>
          <w:rtl/>
        </w:rPr>
        <w:t>)</w:t>
      </w:r>
      <w:r>
        <w:rPr>
          <w:rFonts w:hint="cs"/>
          <w:rtl/>
        </w:rPr>
        <w:t>. 10 ـ إن اشتراط خروج المرأة بإذن زوجها ثابتٌ حتى يبلغ حدّ أذية المرأة و..</w:t>
      </w:r>
      <w:r w:rsidRPr="00815C4C">
        <w:rPr>
          <w:rFonts w:cs="Taher"/>
          <w:vertAlign w:val="superscript"/>
          <w:rtl/>
        </w:rPr>
        <w:t>(</w:t>
      </w:r>
      <w:r w:rsidRPr="00815C4C">
        <w:rPr>
          <w:rFonts w:cs="Taher"/>
          <w:vertAlign w:val="superscript"/>
          <w:rtl/>
        </w:rPr>
        <w:footnoteReference w:id="178"/>
      </w:r>
      <w:r w:rsidRPr="00815C4C">
        <w:rPr>
          <w:rFonts w:cs="Taher"/>
          <w:vertAlign w:val="superscript"/>
          <w:rtl/>
        </w:rPr>
        <w:t>)</w:t>
      </w:r>
      <w:r>
        <w:rPr>
          <w:rFonts w:hint="cs"/>
          <w:rtl/>
        </w:rPr>
        <w:t>. 11 ـ لا يُشترط إذن الأب في زواج البنت البالغة الرشيدة</w:t>
      </w:r>
      <w:r w:rsidRPr="00815C4C">
        <w:rPr>
          <w:rFonts w:cs="Taher"/>
          <w:vertAlign w:val="superscript"/>
          <w:rtl/>
        </w:rPr>
        <w:t>(</w:t>
      </w:r>
      <w:r w:rsidRPr="00815C4C">
        <w:rPr>
          <w:rFonts w:cs="Taher"/>
          <w:vertAlign w:val="superscript"/>
          <w:rtl/>
        </w:rPr>
        <w:footnoteReference w:id="179"/>
      </w:r>
      <w:r w:rsidRPr="00815C4C">
        <w:rPr>
          <w:rFonts w:cs="Taher"/>
          <w:vertAlign w:val="superscript"/>
          <w:rtl/>
        </w:rPr>
        <w:t>)</w:t>
      </w:r>
      <w:r>
        <w:rPr>
          <w:rFonts w:hint="cs"/>
          <w:rtl/>
        </w:rPr>
        <w:t>. 12 ـ للصغير والصغيرة حقّ فسخ النكاح بعد بلوغ كلّ منهما</w:t>
      </w:r>
      <w:r w:rsidRPr="00815C4C">
        <w:rPr>
          <w:rFonts w:cs="Taher"/>
          <w:vertAlign w:val="superscript"/>
          <w:rtl/>
        </w:rPr>
        <w:t>(</w:t>
      </w:r>
      <w:r w:rsidRPr="00815C4C">
        <w:rPr>
          <w:rFonts w:cs="Taher"/>
          <w:vertAlign w:val="superscript"/>
          <w:rtl/>
        </w:rPr>
        <w:footnoteReference w:id="180"/>
      </w:r>
      <w:r w:rsidRPr="00815C4C">
        <w:rPr>
          <w:rFonts w:cs="Taher"/>
          <w:vertAlign w:val="superscript"/>
          <w:rtl/>
        </w:rPr>
        <w:t>)</w:t>
      </w:r>
      <w:r>
        <w:rPr>
          <w:rFonts w:hint="cs"/>
          <w:rtl/>
        </w:rPr>
        <w:t>. 13 ـ ترث المرأة من الأموال المنقولة وغير المنقولة للزوج، غايته أنها في الأموال غير المنقولة ترث من القيمة</w:t>
      </w:r>
      <w:r w:rsidRPr="00815C4C">
        <w:rPr>
          <w:rFonts w:cs="Taher"/>
          <w:vertAlign w:val="superscript"/>
          <w:rtl/>
        </w:rPr>
        <w:t>(</w:t>
      </w:r>
      <w:r w:rsidRPr="00815C4C">
        <w:rPr>
          <w:rFonts w:cs="Taher"/>
          <w:vertAlign w:val="superscript"/>
          <w:rtl/>
        </w:rPr>
        <w:footnoteReference w:id="181"/>
      </w:r>
      <w:r w:rsidRPr="00815C4C">
        <w:rPr>
          <w:rFonts w:cs="Taher"/>
          <w:vertAlign w:val="superscript"/>
          <w:rtl/>
        </w:rPr>
        <w:t>)</w:t>
      </w:r>
      <w:r>
        <w:rPr>
          <w:rFonts w:hint="cs"/>
          <w:rtl/>
        </w:rPr>
        <w:t>. 14 ـ الحبوة وإن كانت من مختصّات الولد الذكر الأكبر، إلاّ أنها تحسب له من سهمه في الإرث لا خارج السهم</w:t>
      </w:r>
      <w:r w:rsidRPr="00815C4C">
        <w:rPr>
          <w:rFonts w:cs="Taher"/>
          <w:vertAlign w:val="superscript"/>
          <w:rtl/>
        </w:rPr>
        <w:t>(</w:t>
      </w:r>
      <w:r w:rsidRPr="00815C4C">
        <w:rPr>
          <w:rFonts w:cs="Taher"/>
          <w:vertAlign w:val="superscript"/>
          <w:rtl/>
        </w:rPr>
        <w:footnoteReference w:id="182"/>
      </w:r>
      <w:r w:rsidRPr="00815C4C">
        <w:rPr>
          <w:rFonts w:cs="Taher"/>
          <w:vertAlign w:val="superscript"/>
          <w:rtl/>
        </w:rPr>
        <w:t>)</w:t>
      </w:r>
      <w:r>
        <w:rPr>
          <w:rFonts w:hint="cs"/>
          <w:rtl/>
        </w:rPr>
        <w:t>.</w:t>
      </w:r>
    </w:p>
    <w:p w:rsidR="000E41CC" w:rsidRDefault="000E41CC" w:rsidP="008349EA">
      <w:pPr>
        <w:pStyle w:val="afffffc"/>
        <w:rPr>
          <w:rtl/>
        </w:rPr>
      </w:pPr>
    </w:p>
    <w:p w:rsidR="000E41CC" w:rsidRDefault="000E41CC" w:rsidP="008349EA">
      <w:pPr>
        <w:pStyle w:val="2"/>
        <w:rPr>
          <w:rtl/>
        </w:rPr>
      </w:pPr>
      <w:bookmarkStart w:id="188" w:name="_Toc169521407"/>
      <w:bookmarkStart w:id="189" w:name="_Toc275127953"/>
      <w:r>
        <w:rPr>
          <w:rFonts w:hint="cs"/>
          <w:rtl/>
        </w:rPr>
        <w:t>2 ـ أعمال الدكتور حسين مهربور (المولود عام 1943م)</w:t>
      </w:r>
      <w:bookmarkEnd w:id="188"/>
      <w:bookmarkEnd w:id="189"/>
    </w:p>
    <w:p w:rsidR="000E41CC" w:rsidRDefault="000E41CC" w:rsidP="000E41CC">
      <w:pPr>
        <w:pStyle w:val="ac"/>
        <w:rPr>
          <w:rtl/>
        </w:rPr>
      </w:pPr>
      <w:r>
        <w:rPr>
          <w:rFonts w:hint="cs"/>
          <w:rtl/>
        </w:rPr>
        <w:t>يسعى د. مهر</w:t>
      </w:r>
      <w:r>
        <w:rPr>
          <w:rFonts w:hint="eastAsia"/>
          <w:rtl/>
        </w:rPr>
        <w:t>ب</w:t>
      </w:r>
      <w:r>
        <w:rPr>
          <w:rFonts w:hint="cs"/>
          <w:rtl/>
        </w:rPr>
        <w:t xml:space="preserve">ور في كتابه </w:t>
      </w:r>
      <w:r w:rsidRPr="002B759E">
        <w:rPr>
          <w:rFonts w:hint="cs"/>
          <w:rtl/>
        </w:rPr>
        <w:sym w:font="Islamic Units 1" w:char="F06D"/>
      </w:r>
      <w:r>
        <w:rPr>
          <w:rFonts w:hint="cs"/>
          <w:rtl/>
        </w:rPr>
        <w:t>حقوق المرأة</w:t>
      </w:r>
      <w:r w:rsidRPr="002B759E">
        <w:rPr>
          <w:rFonts w:hint="cs"/>
          <w:rtl/>
        </w:rPr>
        <w:sym w:font="Islamic Units 1" w:char="F06E"/>
      </w:r>
      <w:r>
        <w:rPr>
          <w:rFonts w:hint="cs"/>
          <w:rtl/>
        </w:rPr>
        <w:t xml:space="preserve"> الذي طبعته مؤسسة نشر صحيفة إطلاعات الإيرانية عام 2000م، ويشتمل على عشر مقالات كان كتبها في المجلات الداخلية والخارجية وألقاها في ملتقيات ومنتديات مختلفة ما بين عام 1993م وعام </w:t>
      </w:r>
      <w:r>
        <w:rPr>
          <w:rFonts w:hint="cs"/>
          <w:rtl/>
        </w:rPr>
        <w:lastRenderedPageBreak/>
        <w:t>2000م... يسعى لفتح نافذة جديدة للاجتهاد فيما يخصّ القضايا الحقوقية للمرأة والتي تحوّلت إلى أزمة وإشكالية في العصر الحديث.</w:t>
      </w:r>
    </w:p>
    <w:p w:rsidR="000E41CC" w:rsidRDefault="000E41CC" w:rsidP="008349EA">
      <w:pPr>
        <w:pStyle w:val="ac"/>
        <w:spacing w:line="199" w:lineRule="auto"/>
        <w:rPr>
          <w:rtl/>
        </w:rPr>
      </w:pPr>
      <w:r>
        <w:rPr>
          <w:rFonts w:hint="cs"/>
          <w:rtl/>
        </w:rPr>
        <w:t>يعتمد مهربور في هذه الموضوعات على القرآن الكريم للوصول إلى رأيه الجديد، مثل مسألة القصاص (248 ـ 249)، وقضاء المرأة (356 ـ 358)، وجواز نكاح البنت البالغة الباكرة العاقلة بدون إذن وليّها (84 ـ 85).</w:t>
      </w:r>
    </w:p>
    <w:p w:rsidR="000E41CC" w:rsidRDefault="000E41CC" w:rsidP="008349EA">
      <w:pPr>
        <w:pStyle w:val="ac"/>
        <w:spacing w:line="199" w:lineRule="auto"/>
        <w:rPr>
          <w:rtl/>
        </w:rPr>
      </w:pPr>
      <w:r>
        <w:rPr>
          <w:rFonts w:hint="cs"/>
          <w:rtl/>
        </w:rPr>
        <w:t>كما يحاول د. مهربور التشكيك في بعض الآراء القديمة؛ لتأمين مجال لقراءة جديدة في هذا المضمار، مثل بحثه حول مسألة الدية (277 ـ 279)، وشهادة المرأة (302 ـ 303، 309 ـ 310)، وجعل حقّ الطلاق بيد الرجل (199 ـ 203)، وتعدّد الزوجات (100 ـ 103).</w:t>
      </w:r>
    </w:p>
    <w:p w:rsidR="000E41CC" w:rsidRPr="008349EA" w:rsidRDefault="000E41CC" w:rsidP="008349EA">
      <w:pPr>
        <w:pStyle w:val="afffffc"/>
        <w:rPr>
          <w:sz w:val="22"/>
          <w:szCs w:val="20"/>
          <w:rtl/>
        </w:rPr>
      </w:pPr>
    </w:p>
    <w:p w:rsidR="000E41CC" w:rsidRDefault="000E41CC" w:rsidP="008349EA">
      <w:pPr>
        <w:pStyle w:val="2"/>
        <w:rPr>
          <w:rtl/>
        </w:rPr>
      </w:pPr>
      <w:bookmarkStart w:id="190" w:name="_Toc169521408"/>
      <w:bookmarkStart w:id="191" w:name="_Toc275127954"/>
      <w:r>
        <w:rPr>
          <w:rFonts w:hint="cs"/>
          <w:rtl/>
        </w:rPr>
        <w:t>3 ـ نتاج آية الله الشيخ إبراهيم الجنّاتي (المولود عام 1933م)</w:t>
      </w:r>
      <w:bookmarkEnd w:id="190"/>
      <w:bookmarkEnd w:id="191"/>
    </w:p>
    <w:p w:rsidR="000E41CC" w:rsidRDefault="000E41CC" w:rsidP="008349EA">
      <w:pPr>
        <w:pStyle w:val="ac"/>
        <w:spacing w:line="202" w:lineRule="auto"/>
        <w:rPr>
          <w:rtl/>
        </w:rPr>
      </w:pPr>
      <w:r>
        <w:rPr>
          <w:rFonts w:hint="cs"/>
          <w:rtl/>
        </w:rPr>
        <w:t>يعدّ آية الله الشيخ إبراهيم الجنّاتي من رادة الاتجاه التجديدي الذين حققوا تحوّلاً في مناهج الاجتهاد وأساليب الدفاع عن الفقه الإسلامي، معتمداً ـ مع الأخذ بعين الاعتبار التحوّلات الحياتية الجديدة ـ على المصادر الأصيلة للاجتهاد، وعلى هذا الأساس الفكري والأداء العلمي لم تغب قضايا المرأة عن أعماله وقراءاته، وبالرغم من عدم وجود كتاب مستقلّ له مختصّ بقضايا المرأة وحقوقها، إلاّ أنّ له مساهمات كثيرة جداً ومشاركات عديدة في ندوات وملتقيات مختلفة، كانت له فيها محاضرات أو مقالات تناول فيها القضايا الحقوقية والفقهية للنساء.</w:t>
      </w:r>
    </w:p>
    <w:p w:rsidR="000E41CC" w:rsidRDefault="000E41CC" w:rsidP="008349EA">
      <w:pPr>
        <w:pStyle w:val="ac"/>
        <w:spacing w:line="202" w:lineRule="auto"/>
        <w:rPr>
          <w:rtl/>
        </w:rPr>
      </w:pPr>
      <w:r>
        <w:rPr>
          <w:rFonts w:hint="cs"/>
          <w:rtl/>
        </w:rPr>
        <w:t>وقد نشرت الرسالة العملية لجنّاتي عام 2002م، كما طبع الجزء الثاني منها، وهو عبارة عن مجموعة استفتاءات، عام 2003م.</w:t>
      </w:r>
    </w:p>
    <w:p w:rsidR="000E41CC" w:rsidRDefault="000E41CC" w:rsidP="008349EA">
      <w:pPr>
        <w:pStyle w:val="ac"/>
        <w:spacing w:line="202" w:lineRule="auto"/>
        <w:rPr>
          <w:rtl/>
        </w:rPr>
      </w:pPr>
      <w:r>
        <w:rPr>
          <w:rFonts w:hint="cs"/>
          <w:rtl/>
        </w:rPr>
        <w:t>وقد طرح آية الله جناتي في رسالته العملية جملةً من الآراء الجديدة، وهي وإن لم تحظ بامتياز علمي وتحليلي، إلاّ أن امتيازها في صدورها على شكل فتاوى وآراء اجتهادية، فمن مزايا هذه الرسالة العملية، إضافةً إلى استعراضها تاريخ الاجتهاد ومراحله (ج1: 3 ـ 48)، وبيان خصائص الرسالة العملية (ج1: 48 ـ 57)، أنها تبيّن المنهج الاجتهادي الجديد الذي تقوم عليه هذه الفتاوى والآراء.</w:t>
      </w:r>
    </w:p>
    <w:p w:rsidR="000E41CC" w:rsidRDefault="000E41CC" w:rsidP="000E41CC">
      <w:pPr>
        <w:pStyle w:val="ac"/>
        <w:rPr>
          <w:rtl/>
        </w:rPr>
      </w:pPr>
      <w:r>
        <w:rPr>
          <w:rFonts w:hint="cs"/>
          <w:rtl/>
        </w:rPr>
        <w:lastRenderedPageBreak/>
        <w:t>ونستعرض ـ أولاً ـ ميزات هذا المنهج، ثم نعقب ذلك ـ ثانياً ـ بسرد بعض الآراء والفتاوى المتعلّقة بالمرأة.</w:t>
      </w:r>
    </w:p>
    <w:p w:rsidR="000E41CC" w:rsidRPr="008349EA" w:rsidRDefault="000E41CC" w:rsidP="008349EA">
      <w:pPr>
        <w:pStyle w:val="afffffc"/>
        <w:rPr>
          <w:sz w:val="16"/>
          <w:szCs w:val="14"/>
          <w:rtl/>
        </w:rPr>
      </w:pPr>
    </w:p>
    <w:p w:rsidR="000E41CC" w:rsidRDefault="000E41CC" w:rsidP="008349EA">
      <w:pPr>
        <w:pStyle w:val="3"/>
        <w:rPr>
          <w:rFonts w:cs="AL-Mohanad"/>
          <w:szCs w:val="27"/>
          <w:rtl/>
        </w:rPr>
      </w:pPr>
      <w:bookmarkStart w:id="192" w:name="_Toc169521409"/>
      <w:bookmarkStart w:id="193" w:name="_Toc275127955"/>
      <w:r w:rsidRPr="00D457EB">
        <w:rPr>
          <w:rFonts w:hint="cs"/>
          <w:rtl/>
        </w:rPr>
        <w:t>ميزات المنهج الاجتهادي الجديد عند جنّاتي</w:t>
      </w:r>
      <w:bookmarkEnd w:id="192"/>
      <w:bookmarkEnd w:id="193"/>
    </w:p>
    <w:p w:rsidR="000E41CC" w:rsidRDefault="000E41CC" w:rsidP="000E41CC">
      <w:pPr>
        <w:pStyle w:val="ac"/>
        <w:rPr>
          <w:rtl/>
        </w:rPr>
      </w:pPr>
      <w:r>
        <w:rPr>
          <w:rFonts w:hint="cs"/>
          <w:rtl/>
        </w:rPr>
        <w:t>من المناسب الإشارة سريعاً وعابراً لخصائص هذا المنهج الاجتهادي الجديد، وهي عبارة عن:</w:t>
      </w:r>
    </w:p>
    <w:p w:rsidR="000E41CC" w:rsidRDefault="000E41CC" w:rsidP="005067D6">
      <w:pPr>
        <w:pStyle w:val="ac"/>
        <w:rPr>
          <w:rtl/>
        </w:rPr>
      </w:pPr>
      <w:r>
        <w:rPr>
          <w:rFonts w:hint="cs"/>
          <w:rtl/>
        </w:rPr>
        <w:t>1ـ قيامه في مجال الاجتهاد على أساس الأصول المعتبرة والعناصر الرئيسة للاستنباط، وذلك عقب إعادة النظر، وكذلك رصد الظروف المحيطة بزمن صدور النص ومخاطبه، اعتماداً على منهج أصولي معتدل، يجانب النزعة الإفراطية.</w:t>
      </w:r>
    </w:p>
    <w:p w:rsidR="000E41CC" w:rsidRDefault="000E41CC" w:rsidP="005067D6">
      <w:pPr>
        <w:pStyle w:val="ac"/>
        <w:rPr>
          <w:rtl/>
        </w:rPr>
      </w:pPr>
      <w:r>
        <w:rPr>
          <w:rFonts w:hint="cs"/>
          <w:rtl/>
        </w:rPr>
        <w:t>2ـ إن هذا المنهج يشهد حضوراً في مجال الاجتهاد، على الصعيدين: النظري والعملي، وعلى صعيد الفتوى أيضاً، وهو يتجنّب المنهجين: الأخباري والأصولي القائمَين على الاحتياط.</w:t>
      </w:r>
    </w:p>
    <w:p w:rsidR="000E41CC" w:rsidRDefault="000E41CC" w:rsidP="005067D6">
      <w:pPr>
        <w:pStyle w:val="ac"/>
        <w:rPr>
          <w:rtl/>
        </w:rPr>
      </w:pPr>
      <w:r>
        <w:rPr>
          <w:rFonts w:hint="cs"/>
          <w:rtl/>
        </w:rPr>
        <w:t>3ـ تعميم الأحكام والموازين الاجتهادية للمجال الفردي، والاجتماعي، والاقتصادي، والثقافي، والطبّي، والفني، والحكومي، وهذا ما يغدو ميسوراً للمجتهد عندما يتمكّن من فهم ظروف زمانه، وحاجات المجتمع، وقضايا الدولة، بصورة متصلةٍ بمصادر الاجتهاد ومنابعه الرئيسة.</w:t>
      </w:r>
    </w:p>
    <w:p w:rsidR="000E41CC" w:rsidRDefault="000E41CC" w:rsidP="005067D6">
      <w:pPr>
        <w:pStyle w:val="ac"/>
        <w:rPr>
          <w:rtl/>
        </w:rPr>
      </w:pPr>
      <w:r>
        <w:rPr>
          <w:rFonts w:hint="cs"/>
          <w:rtl/>
        </w:rPr>
        <w:t>4ـ ممارسة عمليات التفريع والتطبيق، أي إعادة الحوادث الواقعة والفروع المستجدّة وإرجاعها إلى الأصول الأساسية، كما وتطبيق القوانين العامّة على مصاديقها الخارجية.</w:t>
      </w:r>
    </w:p>
    <w:p w:rsidR="000E41CC" w:rsidRDefault="000E41CC" w:rsidP="000E41CC">
      <w:pPr>
        <w:pStyle w:val="ac"/>
        <w:rPr>
          <w:rtl/>
        </w:rPr>
      </w:pPr>
      <w:r>
        <w:rPr>
          <w:rFonts w:hint="cs"/>
          <w:rtl/>
        </w:rPr>
        <w:t>5 ـ الدراسة الكاملة والمستوعبة لأبعاد القضايا المتناوَلة، ووزنها طبقاً لوقائع الأيّام وظروف العصر، والحقائق الخارجية وخصوصياتها.</w:t>
      </w:r>
    </w:p>
    <w:p w:rsidR="000E41CC" w:rsidRDefault="000E41CC" w:rsidP="005067D6">
      <w:pPr>
        <w:pStyle w:val="ac"/>
        <w:rPr>
          <w:rtl/>
        </w:rPr>
      </w:pPr>
      <w:r>
        <w:rPr>
          <w:rFonts w:hint="cs"/>
          <w:rtl/>
        </w:rPr>
        <w:t>6ـ دراسة مستوعبة لخصائص موضوعات الأحكام، سواء الخصائص الداخلية والخارجية، وهي التي يلعب تحوّل الزمان وظروفه دوراً كبيراً في تكوينها وبلورتها، وهو ما يبعث على إخراج الموضوع ـ ومن ثم الحكم ـ عن دائرة الأصل الشرعي الأوّل؛ ليدخل تحت أصل أو قاعدة شرعيةٍ أخرى.</w:t>
      </w:r>
    </w:p>
    <w:p w:rsidR="000E41CC" w:rsidRDefault="000E41CC" w:rsidP="005067D6">
      <w:pPr>
        <w:pStyle w:val="ac"/>
        <w:rPr>
          <w:rtl/>
        </w:rPr>
      </w:pPr>
      <w:r>
        <w:rPr>
          <w:rFonts w:hint="cs"/>
          <w:rtl/>
        </w:rPr>
        <w:t xml:space="preserve">7ـ دراسة ملاكات الأحكام في غير المسائل العبادية، أي مجال الاجتماع والحكومة، </w:t>
      </w:r>
      <w:r>
        <w:rPr>
          <w:rFonts w:hint="cs"/>
          <w:rtl/>
        </w:rPr>
        <w:lastRenderedPageBreak/>
        <w:t>وذلك عبر السبيل العقلي؛ ذلك أن معونة التحليل العقلي هنا يمكنها أن تساعدنا على التوصّل لاكتشاف ملاكات الأحكام وعللها، بحيث يسري الحكم إلى موردٍ آخر لا نصّ فيه عبر اكتشاف سريان الملاك إليه.</w:t>
      </w:r>
    </w:p>
    <w:p w:rsidR="000E41CC" w:rsidRDefault="000E41CC" w:rsidP="008349EA">
      <w:pPr>
        <w:pStyle w:val="ac"/>
        <w:spacing w:line="206" w:lineRule="auto"/>
        <w:rPr>
          <w:rtl/>
        </w:rPr>
      </w:pPr>
      <w:r>
        <w:rPr>
          <w:rFonts w:hint="cs"/>
          <w:rtl/>
        </w:rPr>
        <w:t>8ـ رعاية ما تقضيه أحوال المجتمعات والأزمنة في عملية تطبيق الأحكام وإجرائها، ذلك أنه من دون رعاية هذا الأمر من الممكن أن نخرج بنتائج مؤسفة للمجتمع ككل.</w:t>
      </w:r>
    </w:p>
    <w:p w:rsidR="000E41CC" w:rsidRDefault="000E41CC" w:rsidP="008349EA">
      <w:pPr>
        <w:pStyle w:val="ac"/>
        <w:spacing w:line="206" w:lineRule="auto"/>
        <w:rPr>
          <w:rtl/>
        </w:rPr>
      </w:pPr>
      <w:r>
        <w:rPr>
          <w:rFonts w:hint="cs"/>
          <w:rtl/>
        </w:rPr>
        <w:t>نعم، فالمطّلعون يعلمون أن نبيّ الإسلام</w:t>
      </w:r>
      <w:r w:rsidR="00C86626" w:rsidRPr="00C86626">
        <w:rPr>
          <w:rFonts w:hint="cs"/>
          <w:rtl/>
        </w:rPr>
        <w:t>’</w:t>
      </w:r>
      <w:r>
        <w:rPr>
          <w:rFonts w:hint="cs"/>
          <w:rtl/>
        </w:rPr>
        <w:t xml:space="preserve"> كان يراعي دوماً في تطبيقه للشريعة الإسلامية الإلهية ظروفَ العصر والأوضاع الزمانية، وكذا الأعراف وأحوال الناس، وثمّة نماذج عديدة لهذا الأمر، وكلّ من يريد الاطلاع على هذا الأمر يمكنه مراجعة كتابنا </w:t>
      </w:r>
      <w:r w:rsidRPr="002B759E">
        <w:rPr>
          <w:rFonts w:hint="cs"/>
          <w:rtl/>
        </w:rPr>
        <w:sym w:font="Islamic Units 1" w:char="F06D"/>
      </w:r>
      <w:r>
        <w:rPr>
          <w:rFonts w:hint="cs"/>
          <w:rtl/>
        </w:rPr>
        <w:t>المناهج العامّة للاستنباط</w:t>
      </w:r>
      <w:r w:rsidRPr="002B759E">
        <w:rPr>
          <w:rFonts w:hint="cs"/>
          <w:rtl/>
        </w:rPr>
        <w:sym w:font="Islamic Units 1" w:char="F06E"/>
      </w:r>
      <w:r>
        <w:rPr>
          <w:rFonts w:hint="cs"/>
          <w:rtl/>
        </w:rPr>
        <w:t>.</w:t>
      </w:r>
    </w:p>
    <w:p w:rsidR="000E41CC" w:rsidRDefault="000E41CC" w:rsidP="008349EA">
      <w:pPr>
        <w:pStyle w:val="ac"/>
        <w:spacing w:line="206" w:lineRule="auto"/>
        <w:rPr>
          <w:rtl/>
        </w:rPr>
      </w:pPr>
      <w:r>
        <w:rPr>
          <w:rFonts w:hint="cs"/>
          <w:rtl/>
        </w:rPr>
        <w:t>إنّ مراعاة هذا المنهج للمجتهد يمكنها أن تساعده على فهم ظروف العصر وأوضاع المجتمع، وثمّة خصائص أخرى لا حاجة لبيانها الآن.</w:t>
      </w:r>
    </w:p>
    <w:p w:rsidR="000E41CC" w:rsidRDefault="000E41CC" w:rsidP="008349EA">
      <w:pPr>
        <w:pStyle w:val="ac"/>
        <w:spacing w:line="206" w:lineRule="auto"/>
        <w:rPr>
          <w:rtl/>
        </w:rPr>
      </w:pPr>
      <w:r>
        <w:rPr>
          <w:rFonts w:hint="cs"/>
          <w:rtl/>
        </w:rPr>
        <w:t>على أية حال، إن مراعاة هذا المنهج في استنباط الأحكام لا يمكّن المجتهد من حلّ المعضلات الفردية فحسب، بل يجعله قادراً على مواجهة الأحداث والظواهر الاجتماعية والحكومية.</w:t>
      </w:r>
    </w:p>
    <w:p w:rsidR="000E41CC" w:rsidRDefault="000E41CC" w:rsidP="008349EA">
      <w:pPr>
        <w:pStyle w:val="ac"/>
        <w:spacing w:line="206" w:lineRule="auto"/>
        <w:rPr>
          <w:rtl/>
        </w:rPr>
      </w:pPr>
      <w:r>
        <w:rPr>
          <w:rFonts w:hint="cs"/>
          <w:rtl/>
        </w:rPr>
        <w:t>والذي يُلاحَظ أن تنظيم مسائل هذه الرسالة العملية التي جاءت على شكل سؤالٍ وجواب، كان يراعي في بعض المسائل الظروف المذكورة، وهو ما يؤمل أن يكون مفيداً للمؤمنين (ج2: 25 ـ 26).</w:t>
      </w:r>
    </w:p>
    <w:p w:rsidR="000E41CC" w:rsidRDefault="000E41CC" w:rsidP="000E41CC">
      <w:pPr>
        <w:pStyle w:val="ac"/>
        <w:rPr>
          <w:rtl/>
        </w:rPr>
      </w:pPr>
      <w:r>
        <w:rPr>
          <w:rFonts w:hint="cs"/>
          <w:rtl/>
        </w:rPr>
        <w:t>أمّا الآن، فنذكر بعض الآراء والنظريات الجديدة عند جناتي فيما يخصّ قضايا المرأة، وهي:</w:t>
      </w:r>
    </w:p>
    <w:p w:rsidR="000E41CC" w:rsidRDefault="005067D6" w:rsidP="000E41CC">
      <w:pPr>
        <w:pStyle w:val="ac"/>
        <w:rPr>
          <w:rtl/>
        </w:rPr>
      </w:pPr>
      <w:r>
        <w:rPr>
          <w:rFonts w:hint="cs"/>
          <w:rtl/>
        </w:rPr>
        <w:t>1</w:t>
      </w:r>
      <w:r w:rsidR="000E41CC">
        <w:rPr>
          <w:rFonts w:hint="cs"/>
          <w:rtl/>
        </w:rPr>
        <w:t>ـ لا يشترط في مرجع التقليد أن يكون ذكراً رجلاً (1: 62).</w:t>
      </w:r>
    </w:p>
    <w:p w:rsidR="000E41CC" w:rsidRDefault="005067D6" w:rsidP="000E41CC">
      <w:pPr>
        <w:pStyle w:val="ac"/>
        <w:rPr>
          <w:rtl/>
        </w:rPr>
      </w:pPr>
      <w:r>
        <w:rPr>
          <w:rFonts w:hint="cs"/>
          <w:rtl/>
        </w:rPr>
        <w:t>2</w:t>
      </w:r>
      <w:r w:rsidR="000E41CC">
        <w:rPr>
          <w:rFonts w:hint="cs"/>
          <w:rtl/>
        </w:rPr>
        <w:t>ـ يشترط في إمام الجماعة: البلوغ، والعقل، والتشيّع الإثنا عشري، والعدالة، وطهارة المولد، والأداء والقراءة الصحيحة للصلاة، وإذا ما كان المأموم ذكراً لزم أن يكون الإمام ذكراً أيضاً (1: 281).</w:t>
      </w:r>
    </w:p>
    <w:p w:rsidR="000E41CC" w:rsidRDefault="005067D6" w:rsidP="000E41CC">
      <w:pPr>
        <w:pStyle w:val="ac"/>
        <w:rPr>
          <w:rtl/>
        </w:rPr>
      </w:pPr>
      <w:r>
        <w:rPr>
          <w:rFonts w:hint="cs"/>
          <w:rtl/>
        </w:rPr>
        <w:t>3</w:t>
      </w:r>
      <w:r w:rsidR="000E41CC">
        <w:rPr>
          <w:rFonts w:hint="cs"/>
          <w:rtl/>
        </w:rPr>
        <w:t xml:space="preserve">ـ يجب الستر على المرأة لكلّ بدنها عدا الوجه والكفين عن غير المحرم، إلاّ أنه ليس </w:t>
      </w:r>
      <w:r w:rsidR="000E41CC">
        <w:rPr>
          <w:rFonts w:hint="cs"/>
          <w:rtl/>
        </w:rPr>
        <w:lastRenderedPageBreak/>
        <w:t>هناك نوعٌ خاص من اللباس، فيكفي فيه أيّ وسيلة تحقّق الستر، إلاّ أنه لا شك في أن الشادور (العباءة الإيرانية) لباس ساتر جيّد للمرأة، لكن النساء العاملات في المؤسسات الإدارية، والطبّية، والجامعات، وفي الميادين السياسية والاجتماعية يلزمهنّ ارتداء ساتر يحوي تمام الشرائط اللازمة ويكون أفضل من غيره، وهو الذي يمكّنهم أكثر من حفظه ومراعاته (1: 531 ـ 523).</w:t>
      </w:r>
    </w:p>
    <w:p w:rsidR="000E41CC" w:rsidRDefault="005067D6" w:rsidP="008349EA">
      <w:pPr>
        <w:pStyle w:val="ac"/>
        <w:spacing w:line="199" w:lineRule="auto"/>
        <w:rPr>
          <w:rtl/>
        </w:rPr>
      </w:pPr>
      <w:r>
        <w:rPr>
          <w:rFonts w:hint="cs"/>
          <w:rtl/>
        </w:rPr>
        <w:t>4</w:t>
      </w:r>
      <w:r w:rsidR="000E41CC">
        <w:rPr>
          <w:rFonts w:hint="cs"/>
          <w:rtl/>
        </w:rPr>
        <w:t>ـ لا مانع من تصدّي المرأة الحائزة على الشروط لمقام القضاء.</w:t>
      </w:r>
    </w:p>
    <w:p w:rsidR="000E41CC" w:rsidRDefault="005067D6" w:rsidP="008349EA">
      <w:pPr>
        <w:pStyle w:val="ac"/>
        <w:spacing w:line="199" w:lineRule="auto"/>
        <w:rPr>
          <w:rtl/>
        </w:rPr>
      </w:pPr>
      <w:r>
        <w:rPr>
          <w:rFonts w:hint="cs"/>
          <w:rtl/>
        </w:rPr>
        <w:t>5</w:t>
      </w:r>
      <w:r w:rsidR="000E41CC">
        <w:rPr>
          <w:rFonts w:hint="cs"/>
          <w:rtl/>
        </w:rPr>
        <w:t>ـ لا إشكال في تصدّي المرأة لسائر المناصب الاجتماعية، والسياسية، والعلمية، والثقافية، والفنية، والإدارية، والرئاسية و.. عندما يكون بمقدورها تولّيها والقيام بوظيفتها، مع مراعاة الموازين الشرعية في الستر وغيره.</w:t>
      </w:r>
    </w:p>
    <w:p w:rsidR="000E41CC" w:rsidRDefault="000E41CC" w:rsidP="008349EA">
      <w:pPr>
        <w:pStyle w:val="ac"/>
        <w:spacing w:line="199" w:lineRule="auto"/>
        <w:rPr>
          <w:rtl/>
        </w:rPr>
      </w:pPr>
      <w:r>
        <w:rPr>
          <w:rFonts w:hint="cs"/>
          <w:rtl/>
        </w:rPr>
        <w:t>6ـ لا إشكال في مواصلة النساء دراستهنّ وتعليمهنّ في الجامعات وغيرها، حتى لو كان الأساتذة رجالاً، أو كان المشاركون في جلسات الدرس من الرجال أيضاً، بشرط مراعاة الحدود الشرعية في اللباس وغيره.</w:t>
      </w:r>
    </w:p>
    <w:p w:rsidR="000E41CC" w:rsidRDefault="000E41CC" w:rsidP="008349EA">
      <w:pPr>
        <w:pStyle w:val="ac"/>
        <w:spacing w:line="199" w:lineRule="auto"/>
        <w:rPr>
          <w:rtl/>
        </w:rPr>
      </w:pPr>
      <w:r>
        <w:rPr>
          <w:rFonts w:hint="cs"/>
          <w:rtl/>
        </w:rPr>
        <w:t>7ـ لا مانع من أن تتعلّم المرأة قيادة السيارة على يد رجلٍ، فتجلس إلى جانبه، بشرط عدم استلزام ذلك لأيّ حرام.</w:t>
      </w:r>
    </w:p>
    <w:p w:rsidR="000E41CC" w:rsidRDefault="005067D6" w:rsidP="008349EA">
      <w:pPr>
        <w:pStyle w:val="ac"/>
        <w:spacing w:line="199" w:lineRule="auto"/>
        <w:rPr>
          <w:rtl/>
        </w:rPr>
      </w:pPr>
      <w:r>
        <w:rPr>
          <w:rFonts w:hint="cs"/>
          <w:rtl/>
        </w:rPr>
        <w:t>8</w:t>
      </w:r>
      <w:r w:rsidR="000E41CC">
        <w:rPr>
          <w:rFonts w:hint="cs"/>
          <w:rtl/>
        </w:rPr>
        <w:t>ـ لا يشترط إذن الأب في زواج البنت المدركة تماماً للمصلحة والمفسدة ولا تقع تحت تأثير العواطف والمشاعر، فيكون قرار الزواج في يدها (1: 532).</w:t>
      </w:r>
    </w:p>
    <w:p w:rsidR="000E41CC" w:rsidRDefault="005067D6" w:rsidP="008349EA">
      <w:pPr>
        <w:pStyle w:val="ac"/>
        <w:spacing w:line="199" w:lineRule="auto"/>
        <w:rPr>
          <w:rtl/>
        </w:rPr>
      </w:pPr>
      <w:r>
        <w:rPr>
          <w:rFonts w:hint="cs"/>
          <w:rtl/>
        </w:rPr>
        <w:t>9</w:t>
      </w:r>
      <w:r w:rsidR="000E41CC">
        <w:rPr>
          <w:rFonts w:hint="cs"/>
          <w:rtl/>
        </w:rPr>
        <w:t>ـ إن الطلاق وإن كان في يد الرجل، إلاّ أن ثمّة موارد وحالات يمكن أن يكون حقّ الطلاق فيها بيد المرأة ومنها:</w:t>
      </w:r>
    </w:p>
    <w:p w:rsidR="000E41CC" w:rsidRDefault="000E41CC" w:rsidP="008349EA">
      <w:pPr>
        <w:pStyle w:val="ac"/>
        <w:spacing w:line="199" w:lineRule="auto"/>
        <w:rPr>
          <w:rtl/>
        </w:rPr>
      </w:pPr>
      <w:r>
        <w:rPr>
          <w:rFonts w:hint="cs"/>
          <w:rtl/>
        </w:rPr>
        <w:t>أ ـ أن يقع ذلك شرطاً في ضمن العقد، إذ يمكن أخذ أيّ شرطٍ في متن العقد لا يكون مخالفاً لطبيعة العقد ذاته، لقد سهّلت الشريعة الإسلامية هذا السبيل ويسّرته حتى يكون بيد الطرف الآخر هذا الحقّ، وتحديد زمان الطلاق، وعليه، يمكن للمرأة الشرط في متن العقد أن تكون وكيلةً عن الزوج في طلاقها، لا فرق بين أن تكون هذه الوكالة مطلقةً، بمعنى أن لها ذلك في أيّ وقت، فتطلّق عنه، أو تكون مشروطةً، بمعنى أن يكون الطلاق مشروطاً بسوء معاملة الزوج أو عدم أدائه للنفقة، أو زواجه من امرأةٍ ثانية.</w:t>
      </w:r>
    </w:p>
    <w:p w:rsidR="000E41CC" w:rsidRDefault="000E41CC" w:rsidP="008349EA">
      <w:pPr>
        <w:pStyle w:val="ac"/>
        <w:spacing w:line="206" w:lineRule="auto"/>
        <w:rPr>
          <w:rtl/>
        </w:rPr>
      </w:pPr>
      <w:r>
        <w:rPr>
          <w:rFonts w:hint="cs"/>
          <w:rtl/>
        </w:rPr>
        <w:lastRenderedPageBreak/>
        <w:t>ب ـ العسر والحرج في الحياة، فحتى لو لم تضع المرأة الشرط المذكور سابقاً ضمن عقد الزواج، يمكن لها إبطال مفعول العقد في الحالات التالية:</w:t>
      </w:r>
    </w:p>
    <w:p w:rsidR="000E41CC" w:rsidRDefault="000E41CC" w:rsidP="008349EA">
      <w:pPr>
        <w:pStyle w:val="ac"/>
        <w:spacing w:line="206" w:lineRule="auto"/>
        <w:rPr>
          <w:rtl/>
        </w:rPr>
      </w:pPr>
      <w:r>
        <w:rPr>
          <w:rFonts w:hint="cs"/>
          <w:rtl/>
        </w:rPr>
        <w:t>أولاً: عدم أداء الزوج الحقوق الواجب عليه أداؤها، ولا يمكن إجباره.</w:t>
      </w:r>
    </w:p>
    <w:p w:rsidR="000E41CC" w:rsidRDefault="000E41CC" w:rsidP="008349EA">
      <w:pPr>
        <w:pStyle w:val="ac"/>
        <w:spacing w:line="206" w:lineRule="auto"/>
        <w:rPr>
          <w:rtl/>
        </w:rPr>
      </w:pPr>
      <w:r>
        <w:rPr>
          <w:rFonts w:hint="cs"/>
          <w:rtl/>
        </w:rPr>
        <w:t>ثانياً: سوء معاملة الزوج ومعاشرته لزوجته بحيث يكون تحمّل ذلك حرجاً على الزوجة.</w:t>
      </w:r>
    </w:p>
    <w:p w:rsidR="000E41CC" w:rsidRDefault="000E41CC" w:rsidP="008349EA">
      <w:pPr>
        <w:pStyle w:val="ac"/>
        <w:spacing w:line="206" w:lineRule="auto"/>
        <w:rPr>
          <w:rtl/>
        </w:rPr>
      </w:pPr>
      <w:r>
        <w:rPr>
          <w:rFonts w:hint="cs"/>
          <w:rtl/>
        </w:rPr>
        <w:t>ثالثاً: الأمراض المعدية العسيرة العلاج والتي تهدّد دوام الحياة الزوجية.</w:t>
      </w:r>
    </w:p>
    <w:p w:rsidR="000E41CC" w:rsidRDefault="000E41CC" w:rsidP="008349EA">
      <w:pPr>
        <w:pStyle w:val="ac"/>
        <w:spacing w:line="206" w:lineRule="auto"/>
        <w:rPr>
          <w:rtl/>
        </w:rPr>
      </w:pPr>
      <w:r>
        <w:rPr>
          <w:rFonts w:hint="cs"/>
          <w:rtl/>
        </w:rPr>
        <w:t>ج ـ غَيبة الزوج وفقدانه ضمن الشروط المحدّدة لذلك.</w:t>
      </w:r>
    </w:p>
    <w:p w:rsidR="000E41CC" w:rsidRDefault="000E41CC" w:rsidP="008349EA">
      <w:pPr>
        <w:pStyle w:val="ac"/>
        <w:spacing w:line="206" w:lineRule="auto"/>
        <w:rPr>
          <w:rtl/>
        </w:rPr>
      </w:pPr>
      <w:r>
        <w:rPr>
          <w:rFonts w:hint="cs"/>
          <w:rtl/>
        </w:rPr>
        <w:t>د ـ حالات وجود العيوب الخاصّة بالزوج والموجبة لحقّ فسخ عقد الزواج من دون إيقاع الطلاق (ج1: 534 ـ 535).</w:t>
      </w:r>
    </w:p>
    <w:p w:rsidR="000E41CC" w:rsidRDefault="000E41CC" w:rsidP="008349EA">
      <w:pPr>
        <w:pStyle w:val="ac"/>
        <w:spacing w:line="206" w:lineRule="auto"/>
        <w:rPr>
          <w:rtl/>
        </w:rPr>
      </w:pPr>
      <w:r>
        <w:rPr>
          <w:rFonts w:hint="cs"/>
          <w:rtl/>
        </w:rPr>
        <w:t>10 ـ يمكن للمرأة ـ ودون رضا الزوج ـ الحيلولة دون الحمل، إلاّ أنه لا يمكن للرجل دون رضا زوجته إجبارها على الحمل، أمّا لو رضيت فلا بأس (1: 535).</w:t>
      </w:r>
    </w:p>
    <w:p w:rsidR="000E41CC" w:rsidRDefault="000E41CC" w:rsidP="008349EA">
      <w:pPr>
        <w:pStyle w:val="ac"/>
        <w:spacing w:line="206" w:lineRule="auto"/>
        <w:rPr>
          <w:rtl/>
        </w:rPr>
      </w:pPr>
      <w:r>
        <w:rPr>
          <w:rFonts w:hint="cs"/>
          <w:rtl/>
        </w:rPr>
        <w:t>11 ـ للمرأة حقّ حضانة الولد الذكر إلى عامين والأنثى إلى سبع سنوات لتنتقل الحضانة بعد ذلك إلى الأب، وهذا الحكم ليس تعبّدياً لا يقبل الإسقاط، إنما هو صرف حقّ من الحقوق.. والقانون المدني يرى ذلك أيضاً.</w:t>
      </w:r>
    </w:p>
    <w:p w:rsidR="000E41CC" w:rsidRDefault="000E41CC" w:rsidP="008349EA">
      <w:pPr>
        <w:pStyle w:val="ac"/>
        <w:spacing w:line="206" w:lineRule="auto"/>
        <w:rPr>
          <w:rtl/>
        </w:rPr>
      </w:pPr>
      <w:r>
        <w:rPr>
          <w:rFonts w:hint="cs"/>
          <w:rtl/>
        </w:rPr>
        <w:t>12 ـ لم تشرّع الحضانة للوالد والوالدة بدون قيد أو شرط، إنما كان تقنينها مقيّداً بصلاحية صاحب الحق وقدرته على إدارة أمور من يتولّى حضانته، وعليه فإذا كان الوالد أو الوالدة لا يملكان صلاحية حضانة الولد من الناحية الأخلاقية، والاجتماعية، والدينية وغيرها، أو كانت لديه هذه الصلاحية لكنه لم يقم بوظيفته على الشكل الصحيح اللائق، يسقط حقّه في الحضانة، ويمكن للحاكم الشرعي حينئذٍ إحالة الولد إلى الطرف الآخر أو إلى شخص ثالث.</w:t>
      </w:r>
    </w:p>
    <w:p w:rsidR="000E41CC" w:rsidRDefault="000E41CC" w:rsidP="008349EA">
      <w:pPr>
        <w:pStyle w:val="ac"/>
        <w:spacing w:line="206" w:lineRule="auto"/>
        <w:rPr>
          <w:rtl/>
        </w:rPr>
      </w:pPr>
      <w:r>
        <w:rPr>
          <w:rFonts w:hint="cs"/>
          <w:rtl/>
        </w:rPr>
        <w:t>13 ـ إن ظهور البلوغ عند البنت يكون بالعادة الشهرية (الحيض)، أمّا إذا لم تأتها العادة الشهرية لأسباب في الطبيعة أو المزاج أو.. فعليها الرجوع إلى عادة قريباتها، فتجعل عادتهنّ زماناً لبلوغها.</w:t>
      </w:r>
    </w:p>
    <w:p w:rsidR="000E41CC" w:rsidRDefault="000E41CC" w:rsidP="000E41CC">
      <w:pPr>
        <w:pStyle w:val="ac"/>
        <w:rPr>
          <w:rtl/>
        </w:rPr>
      </w:pPr>
      <w:r>
        <w:rPr>
          <w:rFonts w:hint="cs"/>
          <w:rtl/>
        </w:rPr>
        <w:t xml:space="preserve">14 ـ لابد للمرأة من أخذ إذن الخروج من المنزل إذا كان في خروجها منافاةً لحقّ </w:t>
      </w:r>
      <w:r>
        <w:rPr>
          <w:rFonts w:hint="cs"/>
          <w:rtl/>
        </w:rPr>
        <w:lastRenderedPageBreak/>
        <w:t>الزوج، أما مع عدم المنافاة فلا يُعتبر إذنه، وعليه، ففي هذه الحالة يمكن للمرأة الخروج من منزلها دون إذن زوجها للتعلّم والتعليم، والقيام بالنشاطات الاجتماعية، أو الأعمال السياسية، مع مراعاة الحدود الإسلامية، وكذلك لها الخروج لزيارة أسرتها من والدها وأمّها و..، دون أن تحتاج إلى شرط ذلك ضمن عقد الزواج (1: 537).</w:t>
      </w:r>
    </w:p>
    <w:p w:rsidR="00A80E60" w:rsidRPr="008349EA" w:rsidRDefault="00A80E60" w:rsidP="008349EA">
      <w:pPr>
        <w:pStyle w:val="afffffc"/>
        <w:rPr>
          <w:sz w:val="18"/>
          <w:szCs w:val="16"/>
          <w:rtl/>
        </w:rPr>
      </w:pPr>
    </w:p>
    <w:p w:rsidR="000E41CC" w:rsidRDefault="000E41CC" w:rsidP="000E41CC">
      <w:pPr>
        <w:pStyle w:val="1"/>
        <w:rPr>
          <w:rFonts w:cs="AL-Mohanad"/>
          <w:szCs w:val="27"/>
          <w:rtl/>
        </w:rPr>
      </w:pPr>
      <w:bookmarkStart w:id="194" w:name="_Toc169521410"/>
      <w:bookmarkStart w:id="195" w:name="_Toc275127956"/>
      <w:r w:rsidRPr="00D457EB">
        <w:rPr>
          <w:rFonts w:hint="cs"/>
          <w:rtl/>
        </w:rPr>
        <w:t>الاتجاه الفقهي ـ الحقوقي</w:t>
      </w:r>
      <w:r w:rsidRPr="003A6D60">
        <w:rPr>
          <w:rFonts w:cs="Simplified Arabic" w:hint="cs"/>
          <w:rtl/>
        </w:rPr>
        <w:t>:</w:t>
      </w:r>
      <w:r w:rsidRPr="00D457EB">
        <w:rPr>
          <w:rFonts w:hint="cs"/>
          <w:rtl/>
        </w:rPr>
        <w:t xml:space="preserve"> المنهج والأسلوب</w:t>
      </w:r>
      <w:bookmarkEnd w:id="194"/>
      <w:bookmarkEnd w:id="195"/>
      <w:r w:rsidRPr="00D457EB">
        <w:rPr>
          <w:rFonts w:hint="cs"/>
          <w:rtl/>
        </w:rPr>
        <w:t xml:space="preserve"> </w:t>
      </w:r>
    </w:p>
    <w:p w:rsidR="000E41CC" w:rsidRDefault="000E41CC" w:rsidP="008349EA">
      <w:pPr>
        <w:pStyle w:val="ac"/>
        <w:spacing w:line="202" w:lineRule="auto"/>
        <w:rPr>
          <w:rtl/>
        </w:rPr>
      </w:pPr>
      <w:r>
        <w:rPr>
          <w:rFonts w:hint="cs"/>
          <w:rtl/>
        </w:rPr>
        <w:t>يؤكّد رجال هذا الاتجاه ـ إلى جانب الالتزام بالضوابط الفقهية المشهورة والقواعد الاجتهادية المسلّمة ـ على جملة نقاط هي:</w:t>
      </w:r>
    </w:p>
    <w:p w:rsidR="000E41CC" w:rsidRDefault="000E41CC" w:rsidP="008349EA">
      <w:pPr>
        <w:pStyle w:val="ac"/>
        <w:spacing w:line="202" w:lineRule="auto"/>
        <w:rPr>
          <w:rtl/>
        </w:rPr>
      </w:pPr>
      <w:r>
        <w:rPr>
          <w:rFonts w:hint="cs"/>
          <w:rtl/>
        </w:rPr>
        <w:t>1 ـ التركيز على القرآن الكريم في الاجتهادات الفقهية والحقوقية.</w:t>
      </w:r>
    </w:p>
    <w:p w:rsidR="000E41CC" w:rsidRDefault="000E41CC" w:rsidP="008349EA">
      <w:pPr>
        <w:pStyle w:val="ac"/>
        <w:spacing w:line="202" w:lineRule="auto"/>
        <w:rPr>
          <w:rtl/>
        </w:rPr>
      </w:pPr>
      <w:r>
        <w:rPr>
          <w:rFonts w:hint="cs"/>
          <w:rtl/>
        </w:rPr>
        <w:t>2 ـ الأخذ بعين الاعتبار واقع الحياة.</w:t>
      </w:r>
    </w:p>
    <w:p w:rsidR="000E41CC" w:rsidRDefault="000E41CC" w:rsidP="008349EA">
      <w:pPr>
        <w:pStyle w:val="ac"/>
        <w:spacing w:line="202" w:lineRule="auto"/>
        <w:rPr>
          <w:rtl/>
        </w:rPr>
      </w:pPr>
      <w:r>
        <w:rPr>
          <w:rFonts w:hint="cs"/>
          <w:rtl/>
        </w:rPr>
        <w:t>3 ـ إعادة النظر بالمصادر والمنابع الدينية.</w:t>
      </w:r>
    </w:p>
    <w:p w:rsidR="000E41CC" w:rsidRDefault="000E41CC" w:rsidP="008349EA">
      <w:pPr>
        <w:pStyle w:val="ac"/>
        <w:spacing w:line="202" w:lineRule="auto"/>
        <w:rPr>
          <w:rtl/>
        </w:rPr>
      </w:pPr>
      <w:r>
        <w:rPr>
          <w:rFonts w:hint="cs"/>
          <w:rtl/>
        </w:rPr>
        <w:t>4 ـ التفكيك بين الأحكام الدائمة الثابتة والأحكام المرحلية المؤقتة.</w:t>
      </w:r>
    </w:p>
    <w:p w:rsidR="000E41CC" w:rsidRDefault="000E41CC" w:rsidP="008349EA">
      <w:pPr>
        <w:pStyle w:val="ac"/>
        <w:spacing w:line="202" w:lineRule="auto"/>
        <w:rPr>
          <w:rtl/>
        </w:rPr>
      </w:pPr>
      <w:r>
        <w:rPr>
          <w:rFonts w:hint="cs"/>
          <w:rtl/>
        </w:rPr>
        <w:t>5 ـ الاعتقاد بإمكان كشف مقاصد الشريعة وعلل الأحكام في غير العبادات. وقد سبق أن تحدّثنا عما طرحه آية الله الجنّاتي في بحثه عن سمات المنهج الاجتهادي الجديد، وذكرنا هناك نقاطاً ثماني تعرّض هو لها، والنقاط رقم1، 5، 6، 7، 8، من تلك النقاط تعبّر عن المحاور الخمسة التي ذكرناها هنا</w:t>
      </w:r>
      <w:r w:rsidRPr="00815C4C">
        <w:rPr>
          <w:rFonts w:cs="Taher"/>
          <w:vertAlign w:val="superscript"/>
          <w:rtl/>
        </w:rPr>
        <w:t>(</w:t>
      </w:r>
      <w:r w:rsidRPr="00815C4C">
        <w:rPr>
          <w:rFonts w:cs="Taher"/>
          <w:vertAlign w:val="superscript"/>
          <w:rtl/>
        </w:rPr>
        <w:footnoteReference w:id="183"/>
      </w:r>
      <w:r w:rsidRPr="00815C4C">
        <w:rPr>
          <w:rFonts w:cs="Taher"/>
          <w:vertAlign w:val="superscript"/>
          <w:rtl/>
        </w:rPr>
        <w:t>)</w:t>
      </w:r>
      <w:r>
        <w:rPr>
          <w:rFonts w:hint="cs"/>
          <w:rtl/>
        </w:rPr>
        <w:t>.</w:t>
      </w:r>
    </w:p>
    <w:p w:rsidR="000E41CC" w:rsidRDefault="000E41CC" w:rsidP="008349EA">
      <w:pPr>
        <w:pStyle w:val="ac"/>
        <w:spacing w:line="202" w:lineRule="auto"/>
        <w:rPr>
          <w:rtl/>
        </w:rPr>
      </w:pPr>
      <w:r>
        <w:rPr>
          <w:rFonts w:hint="cs"/>
          <w:rtl/>
        </w:rPr>
        <w:t xml:space="preserve">ومن يُراجع كتاب </w:t>
      </w:r>
      <w:r w:rsidRPr="002B759E">
        <w:rPr>
          <w:rFonts w:hint="cs"/>
          <w:rtl/>
        </w:rPr>
        <w:sym w:font="Islamic Units 1" w:char="F06D"/>
      </w:r>
      <w:r>
        <w:rPr>
          <w:rFonts w:hint="cs"/>
          <w:rtl/>
        </w:rPr>
        <w:t>حقوق المرأة</w:t>
      </w:r>
      <w:r w:rsidRPr="002B759E">
        <w:rPr>
          <w:rFonts w:hint="cs"/>
          <w:rtl/>
        </w:rPr>
        <w:sym w:font="Islamic Units 1" w:char="F06E"/>
      </w:r>
      <w:r>
        <w:rPr>
          <w:rFonts w:hint="cs"/>
          <w:rtl/>
        </w:rPr>
        <w:t xml:space="preserve"> للدكتور مهر</w:t>
      </w:r>
      <w:r>
        <w:rPr>
          <w:rFonts w:hint="eastAsia"/>
          <w:rtl/>
        </w:rPr>
        <w:t>بور يلاحظ مدى إصراره في أكثر الموضوعات التي تناولها على القرآن الكريم، كما تعرّض ـ إجمالاً ـ لهذا الأمر في مقد</w:t>
      </w:r>
      <w:r>
        <w:rPr>
          <w:rFonts w:hint="cs"/>
          <w:rtl/>
        </w:rPr>
        <w:t>ّ</w:t>
      </w:r>
      <w:r>
        <w:rPr>
          <w:rFonts w:hint="eastAsia"/>
          <w:rtl/>
        </w:rPr>
        <w:t xml:space="preserve">مة كتابه، </w:t>
      </w:r>
      <w:r>
        <w:rPr>
          <w:rFonts w:hint="cs"/>
          <w:rtl/>
        </w:rPr>
        <w:t>مركّزاً</w:t>
      </w:r>
      <w:r>
        <w:rPr>
          <w:rFonts w:hint="eastAsia"/>
          <w:rtl/>
        </w:rPr>
        <w:t xml:space="preserve"> على ملاحظة واقع الحياة والظروف الموضوعية</w:t>
      </w:r>
      <w:r w:rsidRPr="00815C4C">
        <w:rPr>
          <w:rFonts w:cs="Taher"/>
          <w:vertAlign w:val="superscript"/>
          <w:rtl/>
        </w:rPr>
        <w:t>(</w:t>
      </w:r>
      <w:r w:rsidRPr="00815C4C">
        <w:rPr>
          <w:rFonts w:cs="Taher"/>
          <w:vertAlign w:val="superscript"/>
          <w:rtl/>
        </w:rPr>
        <w:footnoteReference w:id="184"/>
      </w:r>
      <w:r w:rsidRPr="00815C4C">
        <w:rPr>
          <w:rFonts w:cs="Taher"/>
          <w:vertAlign w:val="superscript"/>
          <w:rtl/>
        </w:rPr>
        <w:t>)</w:t>
      </w:r>
      <w:r>
        <w:rPr>
          <w:rFonts w:hint="eastAsia"/>
          <w:rtl/>
        </w:rPr>
        <w:t>.</w:t>
      </w:r>
    </w:p>
    <w:p w:rsidR="000E41CC" w:rsidRDefault="000E41CC" w:rsidP="008349EA">
      <w:pPr>
        <w:pStyle w:val="ac"/>
        <w:spacing w:line="202" w:lineRule="auto"/>
        <w:rPr>
          <w:rtl/>
        </w:rPr>
      </w:pPr>
      <w:r>
        <w:rPr>
          <w:rFonts w:hint="cs"/>
          <w:rtl/>
        </w:rPr>
        <w:t xml:space="preserve">والأمر الذي لابدّ لنا من إيضاحه ـ دفاعاً عن أنصار هذا الاتجاه ـ هو أن أخذ الحياة والظروف الموضوعية بعين الاعتبار لا يعني إصدار رأي فقهي على أساس هذا الواقع، وإنما يعني أن هذا الاهتمام من جانب الفقيه يجعله يطلّ بوعي أكبر على مصادر الأدلّة، </w:t>
      </w:r>
      <w:r>
        <w:rPr>
          <w:rFonts w:hint="cs"/>
          <w:rtl/>
        </w:rPr>
        <w:lastRenderedPageBreak/>
        <w:t>ولا يعني ذلك أيضاً أن الواقع الحياتي يجب فرضه وإسقاطه على النص الديني، وإنما صيرورة هذا الواقع سبباً لرؤية الزوايا المختلفة للنصوص الدينية، مما يدفع إلى ممارسة مزيد من الدقّة والضبط في الكلمات، والمصطلحات الواردة في النصوص، وكذا بُنية النصوص، وظروف صدورها و..</w:t>
      </w:r>
    </w:p>
    <w:p w:rsidR="000E41CC" w:rsidRDefault="000E41CC" w:rsidP="008349EA">
      <w:pPr>
        <w:pStyle w:val="afffffc"/>
        <w:rPr>
          <w:rtl/>
        </w:rPr>
      </w:pPr>
    </w:p>
    <w:p w:rsidR="000E41CC" w:rsidRPr="00D457EB" w:rsidRDefault="000E41CC" w:rsidP="000E41CC">
      <w:pPr>
        <w:pStyle w:val="1"/>
        <w:rPr>
          <w:rtl/>
        </w:rPr>
      </w:pPr>
      <w:bookmarkStart w:id="196" w:name="_Toc169521411"/>
      <w:bookmarkStart w:id="197" w:name="_Toc275127957"/>
      <w:r w:rsidRPr="00D457EB">
        <w:rPr>
          <w:rFonts w:hint="cs"/>
          <w:rtl/>
        </w:rPr>
        <w:t>مساهمات معاصرة في قضايا المرأة</w:t>
      </w:r>
      <w:bookmarkEnd w:id="196"/>
      <w:bookmarkEnd w:id="197"/>
    </w:p>
    <w:p w:rsidR="000E41CC" w:rsidRDefault="000E41CC" w:rsidP="000E41CC">
      <w:pPr>
        <w:pStyle w:val="ac"/>
        <w:rPr>
          <w:rtl/>
        </w:rPr>
      </w:pPr>
      <w:r>
        <w:rPr>
          <w:rFonts w:hint="cs"/>
          <w:rtl/>
        </w:rPr>
        <w:t>ونستنسب ـ لمواصلة هذا البحث ـ استعراض وجهات نظر بعض الشخصيات الأخرى التي قدّمت مساهمات في قضايا المرأة أيضاً.</w:t>
      </w:r>
    </w:p>
    <w:p w:rsidR="000E41CC" w:rsidRPr="008349EA" w:rsidRDefault="000E41CC" w:rsidP="008349EA">
      <w:pPr>
        <w:pStyle w:val="afffffc"/>
        <w:rPr>
          <w:sz w:val="22"/>
          <w:szCs w:val="20"/>
          <w:rtl/>
        </w:rPr>
      </w:pPr>
    </w:p>
    <w:p w:rsidR="000E41CC" w:rsidRDefault="000E41CC" w:rsidP="008349EA">
      <w:pPr>
        <w:pStyle w:val="2"/>
        <w:rPr>
          <w:rtl/>
        </w:rPr>
      </w:pPr>
      <w:bookmarkStart w:id="198" w:name="_Toc169521412"/>
      <w:bookmarkStart w:id="199" w:name="_Toc275127958"/>
      <w:r>
        <w:rPr>
          <w:rFonts w:hint="cs"/>
          <w:rtl/>
        </w:rPr>
        <w:t>1 ـ آراء آية الله الشيخ محمد هادي معرفت</w:t>
      </w:r>
      <w:bookmarkEnd w:id="198"/>
      <w:bookmarkEnd w:id="199"/>
    </w:p>
    <w:p w:rsidR="000E41CC" w:rsidRDefault="000E41CC" w:rsidP="000E41CC">
      <w:pPr>
        <w:pStyle w:val="ac"/>
        <w:rPr>
          <w:rtl/>
        </w:rPr>
      </w:pPr>
      <w:r w:rsidRPr="003F46BC">
        <w:rPr>
          <w:rFonts w:hint="cs"/>
          <w:rtl/>
        </w:rPr>
        <w:t xml:space="preserve">يعدّ </w:t>
      </w:r>
      <w:r>
        <w:rPr>
          <w:rFonts w:hint="cs"/>
          <w:rtl/>
        </w:rPr>
        <w:t>الشيخ معرفت من الأساتذة البارزين في الحوزة العلمية، والمراكز التعليمية العالية، وهو فقيه مشهور ومفسّر معروف أيضاً.</w:t>
      </w:r>
    </w:p>
    <w:p w:rsidR="000E41CC" w:rsidRPr="003D4C00" w:rsidRDefault="000E41CC" w:rsidP="000E41CC">
      <w:pPr>
        <w:pStyle w:val="ac"/>
        <w:rPr>
          <w:rtl/>
        </w:rPr>
      </w:pPr>
      <w:r w:rsidRPr="003D4C00">
        <w:rPr>
          <w:rFonts w:hint="cs"/>
          <w:rtl/>
        </w:rPr>
        <w:t>وبمراجعة نتاجاته لاحظنا وجود بعض الآراء الجديدة عنده في مسألة المرأة، ومنها:</w:t>
      </w:r>
    </w:p>
    <w:p w:rsidR="000E41CC" w:rsidRDefault="000E41CC" w:rsidP="00C86626">
      <w:pPr>
        <w:pStyle w:val="ac"/>
        <w:rPr>
          <w:rtl/>
        </w:rPr>
      </w:pPr>
      <w:r>
        <w:rPr>
          <w:rFonts w:hint="cs"/>
          <w:rtl/>
        </w:rPr>
        <w:t xml:space="preserve">1 ـ يذهب الشيخ معرفت في كتابه: </w:t>
      </w:r>
      <w:r w:rsidRPr="002B759E">
        <w:rPr>
          <w:rFonts w:hint="cs"/>
          <w:rtl/>
        </w:rPr>
        <w:sym w:font="Islamic Units 1" w:char="F06D"/>
      </w:r>
      <w:r>
        <w:rPr>
          <w:rFonts w:hint="cs"/>
          <w:rtl/>
        </w:rPr>
        <w:t>شبهات وردود حول القرآن الكريم</w:t>
      </w:r>
      <w:r w:rsidRPr="002B759E">
        <w:rPr>
          <w:rFonts w:hint="cs"/>
          <w:rtl/>
        </w:rPr>
        <w:sym w:font="Islamic Units 1" w:char="F06E"/>
      </w:r>
      <w:r>
        <w:rPr>
          <w:rFonts w:hint="cs"/>
          <w:rtl/>
        </w:rPr>
        <w:t xml:space="preserve"> إلى أن الآية 34 من سورة النساء، والتي تتحدّث عن ضرب المرأة وتأديبها منسوخةٌ بالنسخ التمهيدي، لذا فهو يرى أن مسألة ضرب المرأة قد نسخت تدريجياً بمرور الأيام من جانب الرسول</w:t>
      </w:r>
      <w:r w:rsidR="00C86626">
        <w:rPr>
          <w:rFonts w:hint="cs"/>
          <w:rtl/>
        </w:rPr>
        <w:t>’</w:t>
      </w:r>
      <w:r w:rsidR="00C86626" w:rsidRPr="00815C4C">
        <w:rPr>
          <w:rFonts w:cs="Taher"/>
          <w:vertAlign w:val="superscript"/>
          <w:rtl/>
        </w:rPr>
        <w:t xml:space="preserve"> </w:t>
      </w:r>
      <w:r w:rsidRPr="00815C4C">
        <w:rPr>
          <w:rFonts w:cs="Taher"/>
          <w:vertAlign w:val="superscript"/>
          <w:rtl/>
        </w:rPr>
        <w:t>(</w:t>
      </w:r>
      <w:r w:rsidRPr="00815C4C">
        <w:rPr>
          <w:rFonts w:cs="Taher"/>
          <w:vertAlign w:val="superscript"/>
          <w:rtl/>
        </w:rPr>
        <w:footnoteReference w:id="185"/>
      </w:r>
      <w:r w:rsidRPr="00815C4C">
        <w:rPr>
          <w:rFonts w:cs="Taher"/>
          <w:vertAlign w:val="superscript"/>
          <w:rtl/>
        </w:rPr>
        <w:t>)</w:t>
      </w:r>
      <w:r>
        <w:rPr>
          <w:rFonts w:hint="cs"/>
          <w:rtl/>
        </w:rPr>
        <w:t>.</w:t>
      </w:r>
    </w:p>
    <w:p w:rsidR="000E41CC" w:rsidRDefault="000E41CC" w:rsidP="000E41CC">
      <w:pPr>
        <w:pStyle w:val="ac"/>
        <w:rPr>
          <w:rtl/>
        </w:rPr>
      </w:pPr>
      <w:r>
        <w:rPr>
          <w:rFonts w:hint="cs"/>
          <w:rtl/>
        </w:rPr>
        <w:t xml:space="preserve">2 ـ يرفض العلامة معرفت في مقالةٍ له في مجلّة </w:t>
      </w:r>
      <w:r w:rsidRPr="002B759E">
        <w:rPr>
          <w:rFonts w:hint="cs"/>
          <w:rtl/>
        </w:rPr>
        <w:sym w:font="Islamic Units 1" w:char="F06D"/>
      </w:r>
      <w:r>
        <w:rPr>
          <w:rFonts w:hint="cs"/>
          <w:rtl/>
        </w:rPr>
        <w:t>دادرسي</w:t>
      </w:r>
      <w:r w:rsidRPr="002B759E">
        <w:rPr>
          <w:rFonts w:hint="cs"/>
          <w:rtl/>
        </w:rPr>
        <w:sym w:font="Islamic Units 1" w:char="F06E"/>
      </w:r>
      <w:r>
        <w:rPr>
          <w:rFonts w:hint="cs"/>
          <w:rtl/>
        </w:rPr>
        <w:t xml:space="preserve"> التمييز المشهور بين الفقهاء في مسألة عيوب فسخ النكاح بين الرجال والنساء، ويذهب إلى أن هذه العيوب تعدّ سبباً للفسخ بالنسبة للرجل والمرأة معاً</w:t>
      </w:r>
      <w:r w:rsidRPr="00815C4C">
        <w:rPr>
          <w:rFonts w:cs="Taher"/>
          <w:vertAlign w:val="superscript"/>
          <w:rtl/>
        </w:rPr>
        <w:t>(</w:t>
      </w:r>
      <w:r w:rsidRPr="00815C4C">
        <w:rPr>
          <w:rFonts w:cs="Taher"/>
          <w:vertAlign w:val="superscript"/>
          <w:rtl/>
        </w:rPr>
        <w:footnoteReference w:id="186"/>
      </w:r>
      <w:r w:rsidRPr="00815C4C">
        <w:rPr>
          <w:rFonts w:cs="Taher"/>
          <w:vertAlign w:val="superscript"/>
          <w:rtl/>
        </w:rPr>
        <w:t>)</w:t>
      </w:r>
      <w:r>
        <w:rPr>
          <w:rFonts w:hint="cs"/>
          <w:rtl/>
        </w:rPr>
        <w:t>.</w:t>
      </w:r>
    </w:p>
    <w:p w:rsidR="000E41CC" w:rsidRDefault="000E41CC" w:rsidP="000E41CC">
      <w:pPr>
        <w:pStyle w:val="ac"/>
        <w:rPr>
          <w:rtl/>
        </w:rPr>
      </w:pPr>
      <w:r>
        <w:rPr>
          <w:rFonts w:hint="cs"/>
          <w:rtl/>
        </w:rPr>
        <w:t xml:space="preserve">3 ـ يأخذ معرفت بنظرية الفيض الكاشاني في مسألة بلوغ البنت، وهو اختلاف سنّ </w:t>
      </w:r>
      <w:r>
        <w:rPr>
          <w:rFonts w:hint="cs"/>
          <w:rtl/>
        </w:rPr>
        <w:lastRenderedPageBreak/>
        <w:t>البلوغ باختلاف طبيعة التكاليف، أي أنه في العبادات مثل: الصلاة، والصوم، والحج.. يكون بلوغ البنت بثلاثة عشر عاماً أو بالحيض</w:t>
      </w:r>
      <w:r w:rsidRPr="00815C4C">
        <w:rPr>
          <w:rFonts w:cs="Taher"/>
          <w:vertAlign w:val="superscript"/>
          <w:rtl/>
        </w:rPr>
        <w:t>(</w:t>
      </w:r>
      <w:r w:rsidRPr="00815C4C">
        <w:rPr>
          <w:rFonts w:cs="Taher"/>
          <w:vertAlign w:val="superscript"/>
          <w:rtl/>
        </w:rPr>
        <w:footnoteReference w:id="187"/>
      </w:r>
      <w:r w:rsidRPr="00815C4C">
        <w:rPr>
          <w:rFonts w:cs="Taher"/>
          <w:vertAlign w:val="superscript"/>
          <w:rtl/>
        </w:rPr>
        <w:t>)</w:t>
      </w:r>
      <w:r>
        <w:rPr>
          <w:rFonts w:hint="cs"/>
          <w:rtl/>
        </w:rPr>
        <w:t>.</w:t>
      </w:r>
    </w:p>
    <w:p w:rsidR="000E41CC" w:rsidRDefault="000E41CC" w:rsidP="000E41CC">
      <w:pPr>
        <w:pStyle w:val="ac"/>
        <w:rPr>
          <w:rtl/>
        </w:rPr>
      </w:pPr>
      <w:r>
        <w:rPr>
          <w:rFonts w:hint="cs"/>
          <w:rtl/>
        </w:rPr>
        <w:t>4 ـ يرفض الشيخ معرفت في مسألة سنّ اليأس للمرأة التفصيل المشهور والقاضي بالتمييز بين المرأة القرشية وغير القرشية، معتبراً ذلك أمراً خارجاً عن البُنية الفسيولوجية العضوية للمرأة</w:t>
      </w:r>
      <w:r w:rsidRPr="00815C4C">
        <w:rPr>
          <w:rFonts w:cs="Taher"/>
          <w:vertAlign w:val="superscript"/>
          <w:rtl/>
        </w:rPr>
        <w:t>(</w:t>
      </w:r>
      <w:r w:rsidRPr="00815C4C">
        <w:rPr>
          <w:rFonts w:cs="Taher"/>
          <w:vertAlign w:val="superscript"/>
          <w:rtl/>
        </w:rPr>
        <w:footnoteReference w:id="188"/>
      </w:r>
      <w:r w:rsidRPr="00815C4C">
        <w:rPr>
          <w:rFonts w:cs="Taher"/>
          <w:vertAlign w:val="superscript"/>
          <w:rtl/>
        </w:rPr>
        <w:t>)</w:t>
      </w:r>
      <w:r>
        <w:rPr>
          <w:rFonts w:hint="cs"/>
          <w:rtl/>
        </w:rPr>
        <w:t>.</w:t>
      </w:r>
    </w:p>
    <w:p w:rsidR="000E41CC" w:rsidRDefault="000E41CC" w:rsidP="000E41CC">
      <w:pPr>
        <w:pStyle w:val="ac"/>
        <w:spacing w:line="400" w:lineRule="exact"/>
        <w:rPr>
          <w:rtl/>
        </w:rPr>
      </w:pPr>
      <w:r>
        <w:rPr>
          <w:rFonts w:hint="cs"/>
          <w:rtl/>
        </w:rPr>
        <w:t>5 ـ يثبت حقّ الحضانة للأم إلى سبع سنوات، بلا فرق بين أن يكون الطفل ذكراً أو أنثى</w:t>
      </w:r>
      <w:r w:rsidRPr="00815C4C">
        <w:rPr>
          <w:rFonts w:cs="Taher"/>
          <w:vertAlign w:val="superscript"/>
          <w:rtl/>
        </w:rPr>
        <w:t>(</w:t>
      </w:r>
      <w:r w:rsidRPr="00815C4C">
        <w:rPr>
          <w:rFonts w:cs="Taher"/>
          <w:vertAlign w:val="superscript"/>
          <w:rtl/>
        </w:rPr>
        <w:footnoteReference w:id="189"/>
      </w:r>
      <w:r w:rsidRPr="00815C4C">
        <w:rPr>
          <w:rFonts w:cs="Taher"/>
          <w:vertAlign w:val="superscript"/>
          <w:rtl/>
        </w:rPr>
        <w:t>)</w:t>
      </w:r>
      <w:r>
        <w:rPr>
          <w:rFonts w:hint="cs"/>
          <w:rtl/>
        </w:rPr>
        <w:t>.</w:t>
      </w:r>
    </w:p>
    <w:p w:rsidR="000E41CC" w:rsidRDefault="000E41CC" w:rsidP="000E41CC">
      <w:pPr>
        <w:pStyle w:val="ac"/>
        <w:rPr>
          <w:rtl/>
        </w:rPr>
      </w:pPr>
      <w:r>
        <w:rPr>
          <w:rFonts w:hint="cs"/>
          <w:rtl/>
        </w:rPr>
        <w:t xml:space="preserve"> وقد ذهب معرفت في تفسير آية: </w:t>
      </w:r>
      <w:r w:rsidRPr="00AA2A63">
        <w:rPr>
          <w:rFonts w:hint="cs"/>
          <w:rtl/>
        </w:rPr>
        <w:sym w:font="Islamic Units 1" w:char="F03E"/>
      </w:r>
      <w:r w:rsidRPr="0038551B">
        <w:rPr>
          <w:rStyle w:val="Char3"/>
          <w:rtl/>
        </w:rPr>
        <w:t>وَلِلرِّجَالِ عَلَيْهِنَّ دَرَجَةٌ</w:t>
      </w:r>
      <w:r w:rsidRPr="00AA2A63">
        <w:rPr>
          <w:rFonts w:hint="cs"/>
          <w:rtl/>
        </w:rPr>
        <w:sym w:font="Islamic Units 1" w:char="F03C"/>
      </w:r>
      <w:r>
        <w:rPr>
          <w:rFonts w:hint="cs"/>
          <w:rtl/>
        </w:rPr>
        <w:t xml:space="preserve"> (البقرة: 228)، إلى اعتبار الدرجة المذكورة القوامةَ وإدارة الرجل شؤون الأسرة، وأنها إنما منحت للرجل لما عنده من عناصر تكوينية تساعده على حمل هذه المسؤولية، ناقلاً عن محمّد عبده أن هذه الآية تضع مسؤوليةً على كاهل الزوج ووظائف، وهي إدارة مسؤولية الحياة العائلية</w:t>
      </w:r>
      <w:r w:rsidRPr="00815C4C">
        <w:rPr>
          <w:rFonts w:cs="Taher"/>
          <w:vertAlign w:val="superscript"/>
          <w:rtl/>
        </w:rPr>
        <w:t>(</w:t>
      </w:r>
      <w:r w:rsidRPr="00815C4C">
        <w:rPr>
          <w:rFonts w:cs="Taher"/>
          <w:vertAlign w:val="superscript"/>
          <w:rtl/>
        </w:rPr>
        <w:footnoteReference w:id="190"/>
      </w:r>
      <w:r w:rsidRPr="00815C4C">
        <w:rPr>
          <w:rFonts w:cs="Taher"/>
          <w:vertAlign w:val="superscript"/>
          <w:rtl/>
        </w:rPr>
        <w:t>)</w:t>
      </w:r>
      <w:r>
        <w:rPr>
          <w:rFonts w:hint="cs"/>
          <w:rtl/>
        </w:rPr>
        <w:t>.</w:t>
      </w:r>
    </w:p>
    <w:p w:rsidR="000E41CC" w:rsidRPr="008349EA" w:rsidRDefault="000E41CC" w:rsidP="008349EA">
      <w:pPr>
        <w:pStyle w:val="afffffc"/>
        <w:rPr>
          <w:sz w:val="16"/>
          <w:szCs w:val="14"/>
          <w:rtl/>
        </w:rPr>
      </w:pPr>
    </w:p>
    <w:p w:rsidR="000E41CC" w:rsidRDefault="000E41CC" w:rsidP="008349EA">
      <w:pPr>
        <w:pStyle w:val="2"/>
        <w:rPr>
          <w:rtl/>
        </w:rPr>
      </w:pPr>
      <w:bookmarkStart w:id="200" w:name="_Toc169521413"/>
      <w:bookmarkStart w:id="201" w:name="_Toc275127959"/>
      <w:r>
        <w:rPr>
          <w:rFonts w:hint="cs"/>
          <w:rtl/>
        </w:rPr>
        <w:t>2 ـ نظريات السيّد محمد الموسوي البجنوردي</w:t>
      </w:r>
      <w:bookmarkEnd w:id="200"/>
      <w:bookmarkEnd w:id="201"/>
    </w:p>
    <w:p w:rsidR="000E41CC" w:rsidRDefault="000E41CC" w:rsidP="000E41CC">
      <w:pPr>
        <w:pStyle w:val="ac"/>
        <w:rPr>
          <w:rtl/>
        </w:rPr>
      </w:pPr>
      <w:r>
        <w:rPr>
          <w:rFonts w:hint="cs"/>
          <w:rtl/>
        </w:rPr>
        <w:t>يقدّم السيد محمد البجنوردي في بعض مقالاته وحوارته ومشاركاته في بعض المؤتمرات العلمية بعضَ المواقف من قضية المرأة أبرزها:</w:t>
      </w:r>
    </w:p>
    <w:p w:rsidR="000E41CC" w:rsidRDefault="000E41CC" w:rsidP="000E41CC">
      <w:pPr>
        <w:pStyle w:val="ac"/>
        <w:rPr>
          <w:rtl/>
        </w:rPr>
      </w:pPr>
      <w:r w:rsidRPr="00514E88">
        <w:rPr>
          <w:rFonts w:hint="cs"/>
          <w:b/>
          <w:bCs/>
          <w:rtl/>
        </w:rPr>
        <w:t>أولاً:</w:t>
      </w:r>
      <w:r>
        <w:rPr>
          <w:rFonts w:hint="cs"/>
          <w:rtl/>
        </w:rPr>
        <w:t xml:space="preserve"> رفض الرأي المشهور في بلوغ البنت، معتقداً: </w:t>
      </w:r>
      <w:r w:rsidRPr="002B759E">
        <w:rPr>
          <w:rFonts w:hint="cs"/>
          <w:rtl/>
        </w:rPr>
        <w:sym w:font="Islamic Units 1" w:char="F06D"/>
      </w:r>
      <w:r>
        <w:rPr>
          <w:rFonts w:hint="cs"/>
          <w:rtl/>
        </w:rPr>
        <w:t>أن بلوغ البنت عبارة عن وصولها إلى حدّ من الرشد والنموّ الجسدي والجنسي تصبح مؤهلةً معه للإنجاب.. وعليه فالبلوغ أمر طبيعي تكويني في البشر وليس شأناً تعبدياً، وعليه فلا معنى لأن يتبع هذا الأمر التكويني سنّاً محدّدة</w:t>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191"/>
      </w:r>
      <w:r w:rsidRPr="00815C4C">
        <w:rPr>
          <w:rFonts w:cs="Taher"/>
          <w:vertAlign w:val="superscript"/>
          <w:rtl/>
        </w:rPr>
        <w:t>)</w:t>
      </w:r>
      <w:r>
        <w:rPr>
          <w:rFonts w:hint="cs"/>
          <w:rtl/>
        </w:rPr>
        <w:t>.</w:t>
      </w:r>
    </w:p>
    <w:p w:rsidR="000E41CC" w:rsidRDefault="000E41CC" w:rsidP="008349EA">
      <w:pPr>
        <w:pStyle w:val="ac"/>
        <w:spacing w:line="199" w:lineRule="auto"/>
        <w:rPr>
          <w:rtl/>
        </w:rPr>
      </w:pPr>
      <w:r w:rsidRPr="00514E88">
        <w:rPr>
          <w:rFonts w:hint="cs"/>
          <w:b/>
          <w:bCs/>
          <w:rtl/>
        </w:rPr>
        <w:lastRenderedPageBreak/>
        <w:t>ثانياً:</w:t>
      </w:r>
      <w:r>
        <w:rPr>
          <w:rFonts w:hint="cs"/>
          <w:rtl/>
        </w:rPr>
        <w:t xml:space="preserve"> يتحدّث البجنوردي حول آية القوامة فيقول: </w:t>
      </w:r>
      <w:r w:rsidRPr="002B759E">
        <w:rPr>
          <w:rFonts w:hint="cs"/>
          <w:rtl/>
        </w:rPr>
        <w:sym w:font="Islamic Units 1" w:char="F06D"/>
      </w:r>
      <w:r>
        <w:rPr>
          <w:rFonts w:hint="cs"/>
          <w:rtl/>
        </w:rPr>
        <w:t>إنّها شبهات تلك التي يثيرها بعضهم، وهو أن هذه الآية الشريفة تعلن الرجل زعيماً ورئيساً وآمراً ومسؤولاً عن المرأة في أمر المنزل، والحال أن هذه الآية لا دلالة لها أبداً على ذلك مطلقاً، على أساس أنّ البرهان العقلي يخالف ذلك؛ فالرئيس لا يعني السيد والأفضل، فسيّد القوم خادمهم، ورئيس الجماعة خادم لها، فعندما يقال في أسرة: أيها الأب، الزوج، الرجل! مسؤولية الإنفاق عليك، فلا ينبغي أن يُفهم ذلك أنه الأفضل في الأسرة أو أنه أعقل أفرادها، إنما ذلك أمر عقلاني وعرفي.</w:t>
      </w:r>
    </w:p>
    <w:p w:rsidR="000E41CC" w:rsidRDefault="000E41CC" w:rsidP="008349EA">
      <w:pPr>
        <w:pStyle w:val="ac"/>
        <w:rPr>
          <w:rtl/>
        </w:rPr>
      </w:pPr>
      <w:r>
        <w:rPr>
          <w:rFonts w:hint="cs"/>
          <w:rtl/>
        </w:rPr>
        <w:t>إنني أعتقد أن الآية لا تنفصل عن حكم العقلاء، فبإمكانك أن تسأل أي عربيّ لا يحمل خلفيةً في هذا الموضوع: ما معنى هذه الآية؟ فسيقول: يقومون بأمور النساء في إنفاقهم ومعاشهم</w:t>
      </w:r>
      <w:r w:rsidRPr="00815C4C">
        <w:rPr>
          <w:rFonts w:cs="Taher"/>
          <w:vertAlign w:val="superscript"/>
          <w:rtl/>
        </w:rPr>
        <w:t>(</w:t>
      </w:r>
      <w:r w:rsidRPr="00815C4C">
        <w:rPr>
          <w:rFonts w:cs="Taher"/>
          <w:vertAlign w:val="superscript"/>
          <w:rtl/>
        </w:rPr>
        <w:footnoteReference w:id="192"/>
      </w:r>
      <w:r w:rsidRPr="00815C4C">
        <w:rPr>
          <w:rFonts w:cs="Taher"/>
          <w:vertAlign w:val="superscript"/>
          <w:rtl/>
        </w:rPr>
        <w:t>)</w:t>
      </w:r>
      <w:r>
        <w:rPr>
          <w:rFonts w:hint="cs"/>
          <w:rtl/>
        </w:rPr>
        <w:t>.</w:t>
      </w:r>
    </w:p>
    <w:p w:rsidR="000E41CC" w:rsidRDefault="000E41CC" w:rsidP="008349EA">
      <w:pPr>
        <w:pStyle w:val="ac"/>
        <w:rPr>
          <w:rtl/>
        </w:rPr>
      </w:pPr>
      <w:r w:rsidRPr="00514E88">
        <w:rPr>
          <w:rFonts w:hint="cs"/>
          <w:b/>
          <w:bCs/>
          <w:rtl/>
        </w:rPr>
        <w:t>ثالثاً:</w:t>
      </w:r>
      <w:r>
        <w:rPr>
          <w:rFonts w:hint="cs"/>
          <w:rtl/>
        </w:rPr>
        <w:t xml:space="preserve"> وفي موقفه من الانضمام إلى لجان محو تمام أشكال التمييز ضدّ المرأة، يذهب البجنوردي إلى: </w:t>
      </w:r>
      <w:r w:rsidRPr="002B759E">
        <w:rPr>
          <w:rFonts w:hint="cs"/>
          <w:rtl/>
        </w:rPr>
        <w:sym w:font="Islamic Units 1" w:char="F06D"/>
      </w:r>
      <w:r>
        <w:rPr>
          <w:rFonts w:hint="cs"/>
          <w:rtl/>
        </w:rPr>
        <w:t>أنه يمكننا الاعتراف بذلك مع إبداء تحفّظات الشرع؛ انطلاقاً من الرؤية المتفائلة التي يحملها الفقهاء لعنصري الزمان والمكان وللفقه الحكومي أيضاً</w:t>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193"/>
      </w:r>
      <w:r w:rsidRPr="00815C4C">
        <w:rPr>
          <w:rFonts w:cs="Taher"/>
          <w:vertAlign w:val="superscript"/>
          <w:rtl/>
        </w:rPr>
        <w:t>)</w:t>
      </w:r>
      <w:r>
        <w:rPr>
          <w:rFonts w:hint="cs"/>
          <w:rtl/>
        </w:rPr>
        <w:t>.</w:t>
      </w:r>
    </w:p>
    <w:p w:rsidR="000E41CC" w:rsidRDefault="000E41CC" w:rsidP="008349EA">
      <w:pPr>
        <w:pStyle w:val="ac"/>
        <w:spacing w:line="199" w:lineRule="auto"/>
        <w:rPr>
          <w:rtl/>
        </w:rPr>
      </w:pPr>
      <w:r w:rsidRPr="00514E88">
        <w:rPr>
          <w:rFonts w:hint="cs"/>
          <w:b/>
          <w:bCs/>
          <w:rtl/>
        </w:rPr>
        <w:t>رابعاً:</w:t>
      </w:r>
      <w:r>
        <w:rPr>
          <w:rFonts w:hint="cs"/>
          <w:rtl/>
        </w:rPr>
        <w:t xml:space="preserve"> يتحدّث البجنوردي في حوارٍ له مع فصلية </w:t>
      </w:r>
      <w:r w:rsidRPr="002B759E">
        <w:rPr>
          <w:rFonts w:hint="cs"/>
          <w:rtl/>
        </w:rPr>
        <w:sym w:font="Islamic Units 1" w:char="F06D"/>
      </w:r>
      <w:r>
        <w:rPr>
          <w:rFonts w:hint="cs"/>
          <w:rtl/>
        </w:rPr>
        <w:t>فرزانه</w:t>
      </w:r>
      <w:r w:rsidRPr="002B759E">
        <w:rPr>
          <w:rFonts w:hint="cs"/>
          <w:rtl/>
        </w:rPr>
        <w:sym w:font="Islamic Units 1" w:char="F06E"/>
      </w:r>
      <w:r>
        <w:rPr>
          <w:rFonts w:hint="cs"/>
          <w:rtl/>
        </w:rPr>
        <w:t xml:space="preserve">، في عددها الثامن، شتاء عام 1996م فيقول: </w:t>
      </w:r>
      <w:r w:rsidRPr="002B759E">
        <w:rPr>
          <w:rFonts w:hint="cs"/>
          <w:rtl/>
        </w:rPr>
        <w:sym w:font="Islamic Units 1" w:char="F06D"/>
      </w:r>
      <w:r>
        <w:rPr>
          <w:rFonts w:hint="cs"/>
          <w:rtl/>
        </w:rPr>
        <w:t xml:space="preserve">.. لكنني قلت لكم: ليس كلّ ما هو في الفقه جزءٌ من الدين؛ وذلك أننا نحن الشيعة نعتقد بأنّ المجتهد يخطئ ويصيب، فكثيرة هي الموارد التي تعتبر فقهياً حقوقاً خاصة بالرجل أو المرأة أو ينظر إليها على أنها تختلف بين الرجل والمرأة يمكن إعادة النظر فيها، إنها قابلة لإعادة بحثها ودراستها مجدّداً، مثل مسألة شهادة المرأة، وكذلك إرث الزوجة من زوجها المتوفى، وكيفية القصاص وألوانه، ومسألة الديات، وتولّي المرأة القضاء، ومسائل أخرى أيضاً مرتبطة بحقوق المرأة في الفقه المدني والجزائي.. إنّ العالم اليوم ينظر إلى هذه الأحكام على أنها تمييز ضدّ المرأة، إنني أعتقد أنه لو أعاد الفقهاء والحقوقيون النظر في هذه الموارد، ثم وردوها مرّةً أخرى برؤية منفتحة </w:t>
      </w:r>
      <w:r>
        <w:rPr>
          <w:rFonts w:hint="cs"/>
          <w:rtl/>
        </w:rPr>
        <w:lastRenderedPageBreak/>
        <w:t>فإن كثيراً من هذه الأحكام سوف يتغيّر.. وعليه، أعتقد أن بالإمكان إجراء تغييرات في المواقف الفقهية من الكثير من الأحكام التي يُنظر إليها اليوم تمييزاً ضدّ المرأة</w:t>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194"/>
      </w:r>
      <w:r w:rsidRPr="00815C4C">
        <w:rPr>
          <w:rFonts w:cs="Taher"/>
          <w:vertAlign w:val="superscript"/>
          <w:rtl/>
        </w:rPr>
        <w:t>)</w:t>
      </w:r>
      <w:r>
        <w:rPr>
          <w:rFonts w:hint="cs"/>
          <w:rtl/>
        </w:rPr>
        <w:t>.</w:t>
      </w:r>
    </w:p>
    <w:p w:rsidR="000E41CC" w:rsidRDefault="000E41CC" w:rsidP="008349EA">
      <w:pPr>
        <w:pStyle w:val="ac"/>
        <w:spacing w:line="202" w:lineRule="auto"/>
        <w:rPr>
          <w:rtl/>
        </w:rPr>
      </w:pPr>
      <w:r w:rsidRPr="00514E88">
        <w:rPr>
          <w:rFonts w:hint="cs"/>
          <w:b/>
          <w:bCs/>
          <w:rtl/>
        </w:rPr>
        <w:t>خامساً:</w:t>
      </w:r>
      <w:r>
        <w:rPr>
          <w:rFonts w:hint="cs"/>
          <w:rtl/>
        </w:rPr>
        <w:t xml:space="preserve"> ويقول البجنوردي في الحوار المذكور عينه: </w:t>
      </w:r>
      <w:r w:rsidRPr="002B759E">
        <w:rPr>
          <w:rFonts w:hint="cs"/>
          <w:rtl/>
        </w:rPr>
        <w:sym w:font="Islamic Units 1" w:char="F06D"/>
      </w:r>
      <w:r>
        <w:rPr>
          <w:rFonts w:hint="cs"/>
          <w:rtl/>
        </w:rPr>
        <w:t>يقولون في الفقه: إن بإمكان الوالد أو الجدّ للأب عقد قران ابنته البالغة من العمر ثلاث أو أربع سنوات على رجلٍ يبلغ من العمر ثلاثين أو أربعين سنة، إنني أرى هذا العقد باطلاً من أساسه؛ وأذهب إلى أنه حيث كان العقد والزواج أمراً عقلانياً فإذا رأى العقلاء هذا العقد عديم المضمون والفائدة فسوف يكون عقداً باطلاً لا يملك من الصحّة شيئاً</w:t>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195"/>
      </w:r>
      <w:r w:rsidRPr="00815C4C">
        <w:rPr>
          <w:rFonts w:cs="Taher"/>
          <w:vertAlign w:val="superscript"/>
          <w:rtl/>
        </w:rPr>
        <w:t>)</w:t>
      </w:r>
      <w:r>
        <w:rPr>
          <w:rFonts w:hint="cs"/>
          <w:rtl/>
        </w:rPr>
        <w:t>.</w:t>
      </w:r>
    </w:p>
    <w:p w:rsidR="000E41CC" w:rsidRDefault="000E41CC" w:rsidP="008349EA">
      <w:pPr>
        <w:pStyle w:val="ac"/>
        <w:spacing w:line="199" w:lineRule="auto"/>
        <w:rPr>
          <w:rtl/>
        </w:rPr>
      </w:pPr>
      <w:r w:rsidRPr="00514E88">
        <w:rPr>
          <w:rFonts w:hint="cs"/>
          <w:b/>
          <w:bCs/>
          <w:rtl/>
        </w:rPr>
        <w:t>سادساً:</w:t>
      </w:r>
      <w:r>
        <w:rPr>
          <w:rFonts w:hint="cs"/>
          <w:rtl/>
        </w:rPr>
        <w:t xml:space="preserve"> ويقول أيضاً: </w:t>
      </w:r>
      <w:r w:rsidRPr="002B759E">
        <w:rPr>
          <w:rFonts w:hint="cs"/>
          <w:rtl/>
        </w:rPr>
        <w:sym w:font="Islamic Units 1" w:char="F06D"/>
      </w:r>
      <w:r>
        <w:rPr>
          <w:rFonts w:hint="cs"/>
          <w:rtl/>
        </w:rPr>
        <w:t>إن الحكم بكون دية الرجل على الضعف من دية المرأة مسبّب عن تولّي الرجل مسؤولية الإنتاج الاقتصادي فيما المرأة ليست كذلك، وإنما هي مستهلكة فقط، فإذا ما بلغنا عصراً صارت فيه المرأة إلى جانب الرجل في الإنتاج الاقتصادي، فغدت منتجةً، ولم تعد أقلّ من الرجل، فمن الممكن أن يترك ذلك أثراً على قوانين الدية، فالموضوع مرتهنٌ لنمط استنتاجاتنا من الأدلّة، إن لديّ كلاماً وبحثاً في مسألة النفقة، وأنّها تقع على عاتق الرجل، إنني أحتمل رجوع هذا الحكم إلى عدم كون المرأة متحمّلةً لأيّ مسؤولية في ذلك المجتمع، فلم تكن منتجةً بل كانت مستهلكة، وأحتمل أنه لو حصل تحوّل في وضع المرأة بحيث صارت منتجةً اقتصادياً كالرجل، وفاعلة في النموّ الاقتصادي فلن يظلّ الوضع كذلك بحيث تظلّ تقول: إنّ نفقة المرأة على الرجل.</w:t>
      </w:r>
    </w:p>
    <w:p w:rsidR="000E41CC" w:rsidRDefault="000E41CC" w:rsidP="008349EA">
      <w:pPr>
        <w:pStyle w:val="ac"/>
        <w:spacing w:line="202" w:lineRule="auto"/>
        <w:rPr>
          <w:rtl/>
        </w:rPr>
      </w:pPr>
      <w:r>
        <w:rPr>
          <w:rFonts w:hint="cs"/>
          <w:rtl/>
        </w:rPr>
        <w:t xml:space="preserve">إن الآية الشريفة تقول: </w:t>
      </w:r>
      <w:r w:rsidRPr="000E41CC">
        <w:rPr>
          <w:rFonts w:hint="cs"/>
          <w:b/>
          <w:bCs/>
          <w:rtl/>
        </w:rPr>
        <w:sym w:font="Islamic Units 1" w:char="F03E"/>
      </w:r>
      <w:r w:rsidRPr="000E41CC">
        <w:rPr>
          <w:b/>
          <w:bCs/>
          <w:rtl/>
        </w:rPr>
        <w:t>الرِّجَالُ قَوَّامُونَ عَلَى النِّسَاء بِمَا فَضَّلَ الله بَعْضَهُمْ عَلَى بَعْضٍ وَبِمَا أَنفَقُواْ مِنْ أَمْوَالِهِمْ</w:t>
      </w:r>
      <w:r w:rsidRPr="00AA2A63">
        <w:rPr>
          <w:rFonts w:hint="cs"/>
          <w:rtl/>
        </w:rPr>
        <w:sym w:font="Islamic Units 1" w:char="F03C"/>
      </w:r>
      <w:r>
        <w:rPr>
          <w:rFonts w:hint="cs"/>
          <w:rtl/>
        </w:rPr>
        <w:t>، إنها تذكر أن سرّ قوامة الرجل هو إدارته الاقتصادية للمنزل، فحيث كانت النفقة من شؤونه وعليه، فإذا ما رفعنا النفقة فمن الطبيعي أن ترتفع المسؤولية والإدارة، ذلك أن الآية تبيّن أن قوامية الرجل مبنيّةٌ على إنفاقه.</w:t>
      </w:r>
    </w:p>
    <w:p w:rsidR="000E41CC" w:rsidRDefault="000E41CC" w:rsidP="000E41CC">
      <w:pPr>
        <w:pStyle w:val="ac"/>
        <w:rPr>
          <w:rtl/>
        </w:rPr>
      </w:pPr>
      <w:r>
        <w:rPr>
          <w:rFonts w:hint="cs"/>
          <w:rtl/>
        </w:rPr>
        <w:t xml:space="preserve">واليوم انظروا في المجتمعات الأخرى غير الإسلامية، فحالها ليس قائماً على كون </w:t>
      </w:r>
      <w:r>
        <w:rPr>
          <w:rFonts w:hint="cs"/>
          <w:rtl/>
        </w:rPr>
        <w:lastRenderedPageBreak/>
        <w:t>نفقة المرأة على الرجل، في المجتمعات التي يعمل فيها الرجل والمرأة معاً ويؤمّنان مصاريف الحياة ومستلزماتها المادية، بل إن الحال عملياً كذلك في إيران؛ فالنساء عندما يعملن تدخل أموالهنّ إلى الأسرة، ويتداول الطرفان: الرجل والمرأة، هذا المال داخل المنزل.</w:t>
      </w:r>
    </w:p>
    <w:p w:rsidR="000E41CC" w:rsidRDefault="000E41CC" w:rsidP="008349EA">
      <w:pPr>
        <w:pStyle w:val="ac"/>
        <w:rPr>
          <w:rtl/>
        </w:rPr>
      </w:pPr>
      <w:r>
        <w:rPr>
          <w:rFonts w:hint="cs"/>
          <w:rtl/>
        </w:rPr>
        <w:t>إننا الآن ندرس الموضوع دراسةً نظرية، ومن وجهة نظري لابدّ من التركيز على هذا الموضوع، وهو هل تظلّ مسؤولية النفقة على الرجل في المجتمعات التي تساهم فيها المرأة ثقافياً وزراعياً وصناعياً؟! إنّ هنا تمييزاً لصالح المرأة، فنحن نحمّل الرجل متاعب النفقة على نفسه وعليها أيضاً، إنّ رأيي هنا أنه لابد من البحث الجادّ في هذا الموضوع، ولا بدّ أيضاً أن نأخذ بعين الاعتبار الظروف الحالية من ناحية الأوضاع الاقتصادية والتحوّلات الاجتماعية</w:t>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196"/>
      </w:r>
      <w:r w:rsidRPr="00815C4C">
        <w:rPr>
          <w:rFonts w:cs="Taher"/>
          <w:vertAlign w:val="superscript"/>
          <w:rtl/>
        </w:rPr>
        <w:t>)</w:t>
      </w:r>
      <w:r>
        <w:rPr>
          <w:rFonts w:hint="cs"/>
          <w:rtl/>
        </w:rPr>
        <w:t>.</w:t>
      </w:r>
    </w:p>
    <w:p w:rsidR="000E41CC" w:rsidRDefault="000E41CC" w:rsidP="008349EA">
      <w:pPr>
        <w:pStyle w:val="ac"/>
        <w:spacing w:line="211" w:lineRule="auto"/>
        <w:rPr>
          <w:rtl/>
        </w:rPr>
      </w:pPr>
      <w:r w:rsidRPr="00514E88">
        <w:rPr>
          <w:rFonts w:hint="cs"/>
          <w:b/>
          <w:bCs/>
          <w:rtl/>
        </w:rPr>
        <w:t>سابعاً:</w:t>
      </w:r>
      <w:r>
        <w:rPr>
          <w:rFonts w:hint="cs"/>
          <w:rtl/>
        </w:rPr>
        <w:t xml:space="preserve"> وحول إدارة الرجل للأسرة، يتحدّث بجنوردي في الحوار نفسه فيقول: </w:t>
      </w:r>
      <w:r w:rsidRPr="002B759E">
        <w:rPr>
          <w:rFonts w:hint="cs"/>
          <w:rtl/>
        </w:rPr>
        <w:sym w:font="Islamic Units 1" w:char="F06D"/>
      </w:r>
      <w:r>
        <w:rPr>
          <w:rFonts w:hint="cs"/>
          <w:rtl/>
        </w:rPr>
        <w:t xml:space="preserve">إنني على إيمان بأنه لا يلزمنا القول دائماً بأنّ إدارة الأسرة مسؤولية الرجل، وأنّ القرارات لابد أن يتخذها شخصٌ واحد، فأوضاع الأسر مختلفة، فإذا ما واجهتم في موضعٍ ما امرأةً أقدر من زوجها على تدبير العيش وإدارة الشؤون الأسرية فإن عليكم القول بأنّ مدير هذه الأسرة هو المرأة، إنّ هذا الأمر شبيهٌ بإدارة المجتمع، إننا في إدارة المجتمع ككل نبحث دائماً عمّن يملك إدارةً أقوى، فإذا ما خرجنا بنتيجةٍ تقضي بأنّ إدارة الأسرة ليست من مستدعيات الرجولة، وإنما هي نتيجٌ طبيعيّ للنفقة التي يقدّمها الرجل، وأنّ مسألة النفقة هذه لن يغدو لها وجود عندما تكون المرأة إلى جانب الرجل في الإنتاج، فعند ذلك يمكننا القول: إن إدارة هذه الأسرة لابد أن نكلها إلى من هو أفضل من غيره في إدارة أمر المجتمع، تماماً كإدارة المدن أو البلاد، فكلّ من كانت نشاطاته الإدارية أفضل كان أليق بصفة المدير واسمه، إنني أعتقد أن الموضوع خاضع للتحوّل، فإدارة الأسرة لا هي من مختصّات المرأة ولا الرجل، إنما هي أمرٌ توافقي </w:t>
      </w:r>
      <w:r>
        <w:rPr>
          <w:rFonts w:hint="cs"/>
          <w:rtl/>
        </w:rPr>
        <w:lastRenderedPageBreak/>
        <w:t>تواضعي تعاقدي</w:t>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197"/>
      </w:r>
      <w:r w:rsidRPr="00815C4C">
        <w:rPr>
          <w:rFonts w:cs="Taher"/>
          <w:vertAlign w:val="superscript"/>
          <w:rtl/>
        </w:rPr>
        <w:t>)</w:t>
      </w:r>
      <w:r>
        <w:rPr>
          <w:rFonts w:hint="cs"/>
          <w:rtl/>
        </w:rPr>
        <w:t>.</w:t>
      </w:r>
    </w:p>
    <w:p w:rsidR="000E41CC" w:rsidRDefault="000E41CC" w:rsidP="000E41CC">
      <w:pPr>
        <w:pStyle w:val="ac"/>
        <w:rPr>
          <w:rtl/>
        </w:rPr>
      </w:pPr>
      <w:r w:rsidRPr="00F416CB">
        <w:rPr>
          <w:rFonts w:hint="cs"/>
          <w:b/>
          <w:bCs/>
          <w:rtl/>
        </w:rPr>
        <w:t>ثامناً:</w:t>
      </w:r>
      <w:r>
        <w:rPr>
          <w:rFonts w:hint="cs"/>
          <w:rtl/>
        </w:rPr>
        <w:t xml:space="preserve"> وحول تمكين المرأة نفسها جنسياً يقول: </w:t>
      </w:r>
      <w:r w:rsidRPr="002B759E">
        <w:rPr>
          <w:rFonts w:hint="cs"/>
          <w:rtl/>
        </w:rPr>
        <w:sym w:font="Islamic Units 1" w:char="F06D"/>
      </w:r>
      <w:r>
        <w:rPr>
          <w:rFonts w:hint="cs"/>
          <w:rtl/>
        </w:rPr>
        <w:t>لا أعتقد أنه كلّما أراد الزوج ـ ولو بشكلٍ غير متعارف ـ مقاربة زوجته لزمها الاستجابة له، إنّ هذا الأمر ثنائيّ الطرفين، ففي بعض الظروف لا تتمكّن المرأة من الاستجابة أصلاً، أو تكون رغبة الزوج غير عادية تزيد عن الحدّ المعقول، وهنا لا تصبح المرأة ناشزةً، فعلى المرأة أن تمكّن نفسها للزوج ضمن الحال المتعارفة لدى سائر النساء اللواتي يعشن ظروفها، نعم في بعض الأحيان تأبى المرأة عن تمكين زوجها هادفةً إيذاءه أو الضغط عليه أو .. فتستفيد من هذا الموضوع سلاحاً لها، نعم في حالةٍ من هذا النوع يمكن للرجل الرجوع إلى القاضي وتقديم شكوى ضدّ زوجته</w:t>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198"/>
      </w:r>
      <w:r w:rsidRPr="00815C4C">
        <w:rPr>
          <w:rFonts w:cs="Taher"/>
          <w:vertAlign w:val="superscript"/>
          <w:rtl/>
        </w:rPr>
        <w:t>)</w:t>
      </w:r>
      <w:r>
        <w:rPr>
          <w:rFonts w:hint="cs"/>
          <w:rtl/>
        </w:rPr>
        <w:t>.</w:t>
      </w:r>
    </w:p>
    <w:p w:rsidR="000E41CC" w:rsidRDefault="000E41CC" w:rsidP="000E41CC">
      <w:pPr>
        <w:pStyle w:val="ac"/>
        <w:rPr>
          <w:rtl/>
        </w:rPr>
      </w:pPr>
      <w:r w:rsidRPr="00F416CB">
        <w:rPr>
          <w:rFonts w:hint="cs"/>
          <w:b/>
          <w:bCs/>
          <w:rtl/>
        </w:rPr>
        <w:t>تاسعاً:</w:t>
      </w:r>
      <w:r>
        <w:rPr>
          <w:rFonts w:hint="cs"/>
          <w:rtl/>
        </w:rPr>
        <w:t xml:space="preserve"> وحول خروج المرأة من منزلها بدون إذن زوجها يقول: </w:t>
      </w:r>
      <w:r w:rsidRPr="002B759E">
        <w:rPr>
          <w:rFonts w:hint="cs"/>
          <w:rtl/>
        </w:rPr>
        <w:sym w:font="Islamic Units 1" w:char="F06D"/>
      </w:r>
      <w:r>
        <w:rPr>
          <w:rFonts w:hint="cs"/>
          <w:rtl/>
        </w:rPr>
        <w:t>ما أذهب إليه أنّ للمرأة الخروج من منزلها إلاّ إذا كان في خروجها ما ينافي حقّ الزوجين، كما لو كان الرجل في المنزل ويريد أن يكون مع زوجته، أمّا عندما يكون الزوج نفسه في عمله، وأرادت المرأة الخروج من المنزل لعملٍ خارجه معيّن دون أن ينافي خروجها حقوق زوجها وشأنه فلا يُشترط إذن الزوج في هكذا حال، إن هذا ما أعتقد به في هذا الأمر</w:t>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199"/>
      </w:r>
      <w:r w:rsidRPr="00815C4C">
        <w:rPr>
          <w:rFonts w:cs="Taher"/>
          <w:vertAlign w:val="superscript"/>
          <w:rtl/>
        </w:rPr>
        <w:t>)</w:t>
      </w:r>
      <w:r>
        <w:rPr>
          <w:rFonts w:hint="cs"/>
          <w:rtl/>
        </w:rPr>
        <w:t>.</w:t>
      </w:r>
    </w:p>
    <w:p w:rsidR="000E41CC" w:rsidRPr="008349EA" w:rsidRDefault="000E41CC" w:rsidP="008349EA">
      <w:pPr>
        <w:pStyle w:val="afffffc"/>
        <w:rPr>
          <w:sz w:val="24"/>
          <w:szCs w:val="22"/>
          <w:rtl/>
        </w:rPr>
      </w:pPr>
    </w:p>
    <w:p w:rsidR="000E41CC" w:rsidRPr="00D457EB" w:rsidRDefault="000E41CC" w:rsidP="008349EA">
      <w:pPr>
        <w:pStyle w:val="3"/>
        <w:rPr>
          <w:rtl/>
        </w:rPr>
      </w:pPr>
      <w:bookmarkStart w:id="202" w:name="_Toc169521414"/>
      <w:bookmarkStart w:id="203" w:name="_Toc275127960"/>
      <w:r w:rsidRPr="00D457EB">
        <w:rPr>
          <w:rFonts w:hint="cs"/>
          <w:rtl/>
        </w:rPr>
        <w:t>مواقف للب</w:t>
      </w:r>
      <w:r>
        <w:rPr>
          <w:rFonts w:hint="cs"/>
          <w:rtl/>
        </w:rPr>
        <w:t>جن</w:t>
      </w:r>
      <w:r w:rsidRPr="00D457EB">
        <w:rPr>
          <w:rFonts w:hint="cs"/>
          <w:rtl/>
        </w:rPr>
        <w:t>وردي توحي بآراء مختلفة</w:t>
      </w:r>
      <w:bookmarkEnd w:id="202"/>
      <w:bookmarkEnd w:id="203"/>
    </w:p>
    <w:p w:rsidR="000E41CC" w:rsidRDefault="000E41CC" w:rsidP="000E41CC">
      <w:pPr>
        <w:pStyle w:val="ac"/>
        <w:rPr>
          <w:rtl/>
        </w:rPr>
      </w:pPr>
      <w:r>
        <w:rPr>
          <w:rFonts w:hint="cs"/>
          <w:rtl/>
        </w:rPr>
        <w:t xml:space="preserve">وتجدر الإشارة إلى أن السيد البجنوردي كان أجرى حواراً مع مجلّة </w:t>
      </w:r>
      <w:r w:rsidRPr="002B759E">
        <w:rPr>
          <w:rFonts w:hint="cs"/>
          <w:rtl/>
        </w:rPr>
        <w:sym w:font="Islamic Units 1" w:char="F06D"/>
      </w:r>
      <w:r>
        <w:rPr>
          <w:rFonts w:hint="cs"/>
          <w:rtl/>
        </w:rPr>
        <w:t>كتاب نقد</w:t>
      </w:r>
      <w:r w:rsidRPr="002B759E">
        <w:rPr>
          <w:rFonts w:hint="cs"/>
          <w:rtl/>
        </w:rPr>
        <w:sym w:font="Islamic Units 1" w:char="F06E"/>
      </w:r>
      <w:r>
        <w:rPr>
          <w:rFonts w:hint="cs"/>
          <w:rtl/>
        </w:rPr>
        <w:t xml:space="preserve"> عام 2000م، تعرّض فيه لبعض قضايا المرأة، إلاّ أنّ ما جاء في هذا الحوار ينافي بعض ما جاء في حواره السابق، فهو يقول مثلاً: </w:t>
      </w:r>
      <w:r w:rsidRPr="002B759E">
        <w:rPr>
          <w:rFonts w:hint="cs"/>
          <w:rtl/>
        </w:rPr>
        <w:sym w:font="Islamic Units 1" w:char="F06D"/>
      </w:r>
      <w:r>
        <w:rPr>
          <w:rFonts w:hint="cs"/>
          <w:rtl/>
        </w:rPr>
        <w:t xml:space="preserve">في تقنيات العالم اليوم تلاحظ خصوصيات الأفراد، ويكون لها تأثير، نعم على مستوى الحقوق العامّة لا تؤخذ خصوصيات الأفراد </w:t>
      </w:r>
      <w:r>
        <w:rPr>
          <w:rFonts w:hint="cs"/>
          <w:rtl/>
        </w:rPr>
        <w:lastRenderedPageBreak/>
        <w:t>بعين الاعتبار؛ ذلك أنه نوع من الطبيعة الإنسانية، ولا علاقة للأمر بالأمور الجنسية، لهذا تكون الحقوق متساوية.</w:t>
      </w:r>
    </w:p>
    <w:p w:rsidR="000E41CC" w:rsidRDefault="000E41CC" w:rsidP="008349EA">
      <w:pPr>
        <w:pStyle w:val="ac"/>
        <w:spacing w:line="206" w:lineRule="auto"/>
        <w:rPr>
          <w:rtl/>
        </w:rPr>
      </w:pPr>
      <w:r>
        <w:rPr>
          <w:rFonts w:hint="cs"/>
          <w:rtl/>
        </w:rPr>
        <w:t>أما في الحقوق الشخصية، فإن جنس الإنسان وسائر خصوصياته الفردية تترك تأثيراً، وقد أبدى الإسلام هنا نوعاً من الظرافة والدقة، فقد وضع النفقة مثلاً ضمن مسؤوليات الرجل وكذا المسؤوليات الاقتصادية، كما وضع دية العاقلة على عاتق الرجل، وعندما يجعل إرث المرأة على النصف من إرث الذكر فإنما ذلك لأن المرأة لا تتحمّل أيّة مسؤولية اقتصادية، وهذا معناه أن إضافة سهم الإرث للرجل لم يكن نوعاً من الامتياز له، وإنما هو أمرٌ نشأ من تناسب الوظائف والصلاحيات.</w:t>
      </w:r>
    </w:p>
    <w:p w:rsidR="000E41CC" w:rsidRDefault="000E41CC" w:rsidP="008349EA">
      <w:pPr>
        <w:pStyle w:val="ac"/>
        <w:spacing w:line="206" w:lineRule="auto"/>
        <w:rPr>
          <w:rtl/>
        </w:rPr>
      </w:pPr>
      <w:r>
        <w:rPr>
          <w:rFonts w:hint="cs"/>
          <w:rtl/>
        </w:rPr>
        <w:t>إن المقنّن هنا ينظر إلى الأمور نظرةً واقعية، وهي أن هذا الإنسان هو الذي يؤمّن لقمة العيش لهذا المنزل، بل يتحمّل مسؤوليات اقتصادية أخرى أيضاً، أمّا النساء فلسن ملزمات بأيّ مسؤولية من هذا النوع، فأن تقول ذلك لأيّ عاقل لن يرفضه، فقولنا ببعض الاختلافات ليس تمييزاً.</w:t>
      </w:r>
    </w:p>
    <w:p w:rsidR="000E41CC" w:rsidRDefault="000E41CC" w:rsidP="008349EA">
      <w:pPr>
        <w:pStyle w:val="ac"/>
        <w:spacing w:line="206" w:lineRule="auto"/>
        <w:rPr>
          <w:rtl/>
        </w:rPr>
      </w:pPr>
      <w:r>
        <w:rPr>
          <w:rFonts w:hint="cs"/>
          <w:rtl/>
        </w:rPr>
        <w:t xml:space="preserve">ومن هذا الباب مسألة الاختلاف في الديات، فهي لا تعني منحةً من الاعتبار الإنساني للرجل، إنه اشتباهٌ ما يفعله بعضهم من تصوّر أنه حيث كانت دية المرأة على النصف من دية الرجل إذاً فالرجل أفضل، إنّ هذه الأمور ليست معايير الفضل والفضيلة، وإنما ملاك التوازن بين الحقوق والواجبات، وهنا بالضبط تتحقق العدالة، فقول البارئ تعالى: </w:t>
      </w:r>
      <w:r w:rsidRPr="00AA2A63">
        <w:rPr>
          <w:rFonts w:hint="cs"/>
          <w:rtl/>
        </w:rPr>
        <w:sym w:font="Islamic Units 1" w:char="F03E"/>
      </w:r>
      <w:r w:rsidRPr="000E41CC">
        <w:rPr>
          <w:b/>
          <w:bCs/>
          <w:rtl/>
        </w:rPr>
        <w:t>لِلذَّكَرِ مِثْلُ حَظِّ الأُنثَيَيْنِ</w:t>
      </w:r>
      <w:r w:rsidRPr="00AA2A63">
        <w:rPr>
          <w:rFonts w:hint="cs"/>
          <w:rtl/>
        </w:rPr>
        <w:sym w:font="Islamic Units 1" w:char="F03C"/>
      </w:r>
      <w:r>
        <w:rPr>
          <w:rFonts w:hint="cs"/>
          <w:rtl/>
        </w:rPr>
        <w:t xml:space="preserve"> هو عين العدل والإنصاف، ولو قال غير ذلك لكان مخالفاً للعدالة.</w:t>
      </w:r>
    </w:p>
    <w:p w:rsidR="000E41CC" w:rsidRDefault="000E41CC" w:rsidP="008349EA">
      <w:pPr>
        <w:pStyle w:val="ac"/>
        <w:spacing w:line="209" w:lineRule="auto"/>
        <w:rPr>
          <w:rtl/>
        </w:rPr>
      </w:pPr>
      <w:r w:rsidRPr="00F416CB">
        <w:rPr>
          <w:rFonts w:hint="cs"/>
          <w:b/>
          <w:bCs/>
          <w:rtl/>
        </w:rPr>
        <w:t>مجلّة كتاب نقد:</w:t>
      </w:r>
      <w:r>
        <w:rPr>
          <w:rFonts w:hint="cs"/>
          <w:rtl/>
        </w:rPr>
        <w:t xml:space="preserve"> إنهم يقولون: إننا نضع النفقة عن كاهل الرجل، ونستبدلها بالمساواة في الإرث.</w:t>
      </w:r>
    </w:p>
    <w:p w:rsidR="000E41CC" w:rsidRDefault="000E41CC" w:rsidP="008349EA">
      <w:pPr>
        <w:pStyle w:val="ac"/>
        <w:spacing w:line="209" w:lineRule="auto"/>
        <w:rPr>
          <w:rtl/>
        </w:rPr>
      </w:pPr>
      <w:r w:rsidRPr="00F416CB">
        <w:rPr>
          <w:rFonts w:hint="cs"/>
          <w:b/>
          <w:bCs/>
          <w:rtl/>
        </w:rPr>
        <w:t>آية الله بجنوردي:</w:t>
      </w:r>
      <w:r>
        <w:rPr>
          <w:rFonts w:hint="cs"/>
          <w:rtl/>
        </w:rPr>
        <w:t xml:space="preserve"> إنّ هذا الأمر ليس بيدي ولا بأيديكم أن نضع أو نرفع، إنهم ولا أيّ شخص آخر من حقّه أو هو مجازٌ في فعل ذلك، إن هذا ما قالته الشريعة، أفهل لنا الحقّ في الرفع والوضع؟! وهل سيكون ذلك بنفع المرأة؟!</w:t>
      </w:r>
    </w:p>
    <w:p w:rsidR="000E41CC" w:rsidRDefault="000E41CC" w:rsidP="000E41CC">
      <w:pPr>
        <w:pStyle w:val="ac"/>
        <w:rPr>
          <w:rtl/>
        </w:rPr>
      </w:pPr>
      <w:r w:rsidRPr="00F416CB">
        <w:rPr>
          <w:rFonts w:hint="cs"/>
          <w:b/>
          <w:bCs/>
          <w:rtl/>
        </w:rPr>
        <w:t>مجلّة كتاب نقد:</w:t>
      </w:r>
      <w:r>
        <w:rPr>
          <w:rFonts w:hint="cs"/>
          <w:rtl/>
        </w:rPr>
        <w:t xml:space="preserve"> يدّعي اليوم بعض أدعياء الفكر الجديد أنه لو تمكّنا من إيجاد تحوّل </w:t>
      </w:r>
      <w:r>
        <w:rPr>
          <w:rFonts w:hint="cs"/>
          <w:rtl/>
        </w:rPr>
        <w:lastRenderedPageBreak/>
        <w:t>في الفقه الشيعي بأن نرفع النفقه ونطالب المرأة بكسب المال لحاجياتها، فإنّ بالإمكان ـ في المقابل ـ أعلان التساوي في الدية والإرث بين الطرفين، فماذا نقول لهؤلاء؟</w:t>
      </w:r>
    </w:p>
    <w:p w:rsidR="000E41CC" w:rsidRDefault="000E41CC" w:rsidP="008349EA">
      <w:pPr>
        <w:pStyle w:val="ac"/>
        <w:spacing w:line="209" w:lineRule="auto"/>
        <w:rPr>
          <w:rtl/>
        </w:rPr>
      </w:pPr>
      <w:r w:rsidRPr="00F416CB">
        <w:rPr>
          <w:rFonts w:hint="cs"/>
          <w:b/>
          <w:bCs/>
          <w:rtl/>
        </w:rPr>
        <w:t>آية الله بجنوردي:</w:t>
      </w:r>
      <w:r>
        <w:rPr>
          <w:rFonts w:hint="cs"/>
          <w:rtl/>
        </w:rPr>
        <w:t xml:space="preserve"> لابد أن نقول لهؤلاء: لا يحقّ للفضولي ذلك، إنها فضولية، فعندما أقررنا بالشريعة لزمنا الأخذ بها، إنّ لديها أحكاماً ثابتة ولا يمكننا التدخل في القوانين الثابتة، نعم، لو تغيّر الموضوع في المسائل العامة، كما قال الإمام الخميني بدخالة الزمان والمكان في الاجتهاد يمكن (نعم، كان مقصود الإمام الخميني أنّ تبدّل الموضوع يبدّل الحكم، وإلاّ فإن تبدّل الحكم دون تبدّل موضوعه محال؛ إذ </w:t>
      </w:r>
      <w:r w:rsidRPr="002B759E">
        <w:rPr>
          <w:rFonts w:hint="cs"/>
          <w:rtl/>
        </w:rPr>
        <w:sym w:font="Islamic Units 1" w:char="F06D"/>
      </w:r>
      <w:r>
        <w:rPr>
          <w:rFonts w:hint="cs"/>
          <w:rtl/>
        </w:rPr>
        <w:t>حلال محمد حلال إلى يوم القيامة وحرامه حرام إلى يوم القيامة</w:t>
      </w:r>
      <w:r w:rsidRPr="002B759E">
        <w:rPr>
          <w:rFonts w:hint="cs"/>
          <w:rtl/>
        </w:rPr>
        <w:sym w:font="Islamic Units 1" w:char="F06E"/>
      </w:r>
      <w:r>
        <w:rPr>
          <w:rFonts w:hint="cs"/>
          <w:rtl/>
        </w:rPr>
        <w:t xml:space="preserve"> فحتى النبي</w:t>
      </w:r>
      <w:r w:rsidR="00C86626" w:rsidRPr="00C86626">
        <w:rPr>
          <w:rFonts w:hint="cs"/>
          <w:rtl/>
        </w:rPr>
        <w:t>’</w:t>
      </w:r>
      <w:r>
        <w:rPr>
          <w:rFonts w:hint="cs"/>
          <w:rtl/>
        </w:rPr>
        <w:t xml:space="preserve"> لا يمكنه تبديل الحكم إلاّ عبر النسخ، ومعنى ذلك أن الحكم الصادر من الله تعالى لا يمكن لغير الله تبديله أو رفعه أو إبقاءه، أمّا أنا وأنت فلا يمكننا فعل ذلك).</w:t>
      </w:r>
    </w:p>
    <w:p w:rsidR="000E41CC" w:rsidRDefault="000E41CC" w:rsidP="008349EA">
      <w:pPr>
        <w:pStyle w:val="ac"/>
        <w:spacing w:line="209" w:lineRule="auto"/>
        <w:rPr>
          <w:rtl/>
        </w:rPr>
      </w:pPr>
      <w:r>
        <w:rPr>
          <w:rFonts w:hint="cs"/>
          <w:rtl/>
        </w:rPr>
        <w:t xml:space="preserve">إنّ هذا الكلام ليس فكراً جديداً إنما هو تلاعبٌ بأحكام الله تعالى، فلا يمكننا تغيير الأحكام الإلهية في قضايا الرجل والمرأة، ولا حقّ لنا في ذلك، فالله نفسه يقول: </w:t>
      </w:r>
      <w:r w:rsidRPr="00AA2A63">
        <w:rPr>
          <w:rFonts w:hint="cs"/>
          <w:rtl/>
        </w:rPr>
        <w:sym w:font="Islamic Units 1" w:char="F03E"/>
      </w:r>
      <w:r w:rsidRPr="000E41CC">
        <w:rPr>
          <w:b/>
          <w:bCs/>
          <w:rtl/>
        </w:rPr>
        <w:t>الرِّجَالُ قَوَّامُونَ عَلَى النِّسَاء</w:t>
      </w:r>
      <w:r w:rsidRPr="00AA2A63">
        <w:rPr>
          <w:rFonts w:hint="cs"/>
          <w:rtl/>
        </w:rPr>
        <w:sym w:font="Islamic Units 1" w:char="F03C"/>
      </w:r>
      <w:r>
        <w:rPr>
          <w:rFonts w:hint="cs"/>
          <w:rtl/>
        </w:rPr>
        <w:t>، أي أنّ مسؤولية الأسرة مادياً ترجع إلى الرجل، ولا ينبغي أن تُجبر المرأة على العمل، فلا يمكن أن نقول: إنّ هذه الآية تعني كذا وكذا، أو كذا وكذا، إن ذلك لعبٌ وتسلية بأحكام الله.</w:t>
      </w:r>
    </w:p>
    <w:p w:rsidR="000E41CC" w:rsidRDefault="000E41CC" w:rsidP="008349EA">
      <w:pPr>
        <w:pStyle w:val="ac"/>
        <w:spacing w:line="209" w:lineRule="auto"/>
        <w:rPr>
          <w:rtl/>
        </w:rPr>
      </w:pPr>
      <w:r w:rsidRPr="00F416CB">
        <w:rPr>
          <w:rFonts w:hint="cs"/>
          <w:b/>
          <w:bCs/>
          <w:rtl/>
        </w:rPr>
        <w:t>مجلّة كتاب نقد:</w:t>
      </w:r>
      <w:r>
        <w:rPr>
          <w:rFonts w:hint="cs"/>
          <w:rtl/>
        </w:rPr>
        <w:t xml:space="preserve"> ماذا لديكم في مسألة </w:t>
      </w:r>
      <w:r w:rsidRPr="002B759E">
        <w:rPr>
          <w:rFonts w:hint="cs"/>
          <w:rtl/>
        </w:rPr>
        <w:sym w:font="Islamic Units 1" w:char="F06D"/>
      </w:r>
      <w:r>
        <w:rPr>
          <w:rFonts w:hint="cs"/>
          <w:rtl/>
        </w:rPr>
        <w:t>الشهادة</w:t>
      </w:r>
      <w:r w:rsidRPr="002B759E">
        <w:rPr>
          <w:rFonts w:hint="cs"/>
          <w:rtl/>
        </w:rPr>
        <w:sym w:font="Islamic Units 1" w:char="F06E"/>
      </w:r>
      <w:r>
        <w:rPr>
          <w:rFonts w:hint="cs"/>
          <w:rtl/>
        </w:rPr>
        <w:t>؟ فقد ورد في القرآن الكريم حكمٌ صريح حولها، إلاّ أنّ لديكم كلاماً في هذا الموضوع في مكان آخر، ما تعليقكم؟</w:t>
      </w:r>
    </w:p>
    <w:p w:rsidR="000E41CC" w:rsidRDefault="000E41CC" w:rsidP="008349EA">
      <w:pPr>
        <w:pStyle w:val="ac"/>
        <w:spacing w:line="209" w:lineRule="auto"/>
        <w:rPr>
          <w:rtl/>
        </w:rPr>
      </w:pPr>
      <w:r w:rsidRPr="00F416CB">
        <w:rPr>
          <w:rFonts w:hint="cs"/>
          <w:b/>
          <w:bCs/>
          <w:rtl/>
        </w:rPr>
        <w:t>آية الله بجنوردي:</w:t>
      </w:r>
      <w:r>
        <w:rPr>
          <w:rFonts w:hint="cs"/>
          <w:rtl/>
        </w:rPr>
        <w:t xml:space="preserve"> العياذ بالله؟! إذا ما قال شخصٌ كلاماً مخالفاً للقرآن والشرع المقدّس فسيكون منكراً للضروريات، إن ما قلته ـ وهو مجرّد احتمال فقهي لتثار المسألة في دائرة التداول ـ إنها شبهة في </w:t>
      </w:r>
      <w:r w:rsidRPr="002B759E">
        <w:rPr>
          <w:rFonts w:hint="cs"/>
          <w:rtl/>
        </w:rPr>
        <w:sym w:font="Islamic Units 1" w:char="F06D"/>
      </w:r>
      <w:r>
        <w:rPr>
          <w:rFonts w:hint="cs"/>
          <w:rtl/>
        </w:rPr>
        <w:t>استيفاء الشهادة</w:t>
      </w:r>
      <w:r w:rsidRPr="002B759E">
        <w:rPr>
          <w:rFonts w:hint="cs"/>
          <w:rtl/>
        </w:rPr>
        <w:sym w:font="Islamic Units 1" w:char="F06E"/>
      </w:r>
      <w:r>
        <w:rPr>
          <w:rFonts w:hint="cs"/>
          <w:rtl/>
        </w:rPr>
        <w:t xml:space="preserve"> لا في بيان قاعدتها، فعندما لا يكون هناك رجلان يؤتى بالمرأتين </w:t>
      </w:r>
      <w:r w:rsidRPr="00AA2A63">
        <w:rPr>
          <w:rFonts w:hint="cs"/>
          <w:rtl/>
        </w:rPr>
        <w:sym w:font="Islamic Units 1" w:char="F03E"/>
      </w:r>
      <w:r w:rsidRPr="000E41CC">
        <w:rPr>
          <w:b/>
          <w:bCs/>
          <w:rtl/>
        </w:rPr>
        <w:t>فَتُذَكِّرَ إِحْدَاهُمَا الأخرى</w:t>
      </w:r>
      <w:r w:rsidRPr="00AA2A63">
        <w:rPr>
          <w:rFonts w:hint="cs"/>
          <w:rtl/>
        </w:rPr>
        <w:sym w:font="Islamic Units 1" w:char="F03C"/>
      </w:r>
      <w:r>
        <w:rPr>
          <w:rFonts w:hint="cs"/>
          <w:rtl/>
        </w:rPr>
        <w:t xml:space="preserve">، فإذا نسيت واحدة فهنا ذكّرتها الثانية، ومعنى ذلك أن المقام هو مقام استيفاء الشهادة، ونحن نحتمل أنه عندما يكون الأمر في مقام الاستيفاء فقد لا تكون المسألة قاعدةً كلية عامة لنجعل حكم الله دائماً قائماً على اعتبار شهادة الرجل تساوي شهادة امرأتين، وللحالات كافّة، وأكرّر </w:t>
      </w:r>
      <w:r>
        <w:rPr>
          <w:rFonts w:hint="cs"/>
          <w:rtl/>
        </w:rPr>
        <w:lastRenderedPageBreak/>
        <w:t>فهذا طرحٌ للمسألة لا أنه اعتقادٌ لي</w:t>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200"/>
      </w:r>
      <w:r w:rsidRPr="00815C4C">
        <w:rPr>
          <w:rFonts w:cs="Taher"/>
          <w:vertAlign w:val="superscript"/>
          <w:rtl/>
        </w:rPr>
        <w:t>)</w:t>
      </w:r>
      <w:r>
        <w:rPr>
          <w:rFonts w:hint="cs"/>
          <w:rtl/>
        </w:rPr>
        <w:t>.</w:t>
      </w:r>
    </w:p>
    <w:p w:rsidR="000E41CC" w:rsidRPr="00707350" w:rsidRDefault="000E41CC" w:rsidP="00707350">
      <w:pPr>
        <w:pStyle w:val="afffffc"/>
        <w:rPr>
          <w:sz w:val="24"/>
          <w:szCs w:val="22"/>
          <w:rtl/>
        </w:rPr>
      </w:pPr>
    </w:p>
    <w:p w:rsidR="000E41CC" w:rsidRPr="00D457EB" w:rsidRDefault="000E41CC" w:rsidP="000E41CC">
      <w:pPr>
        <w:pStyle w:val="1"/>
        <w:rPr>
          <w:rtl/>
        </w:rPr>
      </w:pPr>
      <w:bookmarkStart w:id="204" w:name="_Toc169521415"/>
      <w:bookmarkStart w:id="205" w:name="_Toc275127961"/>
      <w:r w:rsidRPr="00D457EB">
        <w:rPr>
          <w:rFonts w:hint="cs"/>
          <w:rtl/>
        </w:rPr>
        <w:t>خاتمة في مساهمات عربية جادّة في قضايا المرأة</w:t>
      </w:r>
      <w:bookmarkEnd w:id="204"/>
      <w:bookmarkEnd w:id="205"/>
    </w:p>
    <w:p w:rsidR="000E41CC" w:rsidRPr="00A91D51" w:rsidRDefault="005067D6" w:rsidP="000E41CC">
      <w:pPr>
        <w:pStyle w:val="1"/>
        <w:rPr>
          <w:rtl/>
        </w:rPr>
      </w:pPr>
      <w:bookmarkStart w:id="206" w:name="_Toc169521416"/>
      <w:bookmarkStart w:id="207" w:name="_Toc275127962"/>
      <w:r>
        <w:rPr>
          <w:rFonts w:hint="cs"/>
          <w:rtl/>
        </w:rPr>
        <w:t>1</w:t>
      </w:r>
      <w:r w:rsidR="000E41CC">
        <w:rPr>
          <w:rFonts w:hint="cs"/>
          <w:rtl/>
        </w:rPr>
        <w:t xml:space="preserve"> ـ أعمال آية الله الشيخ محمد مهدي شمس الدين</w:t>
      </w:r>
      <w:r w:rsidR="000E41CC" w:rsidRPr="00815C4C">
        <w:rPr>
          <w:rFonts w:ascii="Arno Pro Display" w:hAnsi="Arno Pro Display" w:cs="Taher"/>
          <w:b w:val="0"/>
          <w:kern w:val="0"/>
          <w:szCs w:val="30"/>
          <w:vertAlign w:val="superscript"/>
          <w:rtl/>
        </w:rPr>
        <w:t>(</w:t>
      </w:r>
      <w:r w:rsidR="000E41CC" w:rsidRPr="00815C4C">
        <w:rPr>
          <w:rFonts w:ascii="Arno Pro Display" w:hAnsi="Arno Pro Display" w:cs="Taher"/>
          <w:b w:val="0"/>
          <w:kern w:val="0"/>
          <w:szCs w:val="30"/>
          <w:vertAlign w:val="superscript"/>
          <w:rtl/>
        </w:rPr>
        <w:footnoteReference w:id="201"/>
      </w:r>
      <w:r w:rsidR="000E41CC" w:rsidRPr="00815C4C">
        <w:rPr>
          <w:rFonts w:ascii="Arno Pro Display" w:hAnsi="Arno Pro Display" w:cs="Taher"/>
          <w:b w:val="0"/>
          <w:kern w:val="0"/>
          <w:szCs w:val="30"/>
          <w:vertAlign w:val="superscript"/>
          <w:rtl/>
        </w:rPr>
        <w:t>)</w:t>
      </w:r>
      <w:bookmarkEnd w:id="206"/>
      <w:bookmarkEnd w:id="207"/>
    </w:p>
    <w:p w:rsidR="000E41CC" w:rsidRDefault="000E41CC" w:rsidP="00707350">
      <w:pPr>
        <w:pStyle w:val="ac"/>
        <w:spacing w:line="199" w:lineRule="auto"/>
        <w:rPr>
          <w:rtl/>
        </w:rPr>
      </w:pPr>
      <w:r>
        <w:rPr>
          <w:rFonts w:hint="cs"/>
          <w:rtl/>
        </w:rPr>
        <w:t xml:space="preserve"> الشيخ شمس الدين من المجتهدين والفقهاء الشيعة اللبنانيين، كان يرأس المجلس الإسلامي الشيعي الأعلى في لبنان.</w:t>
      </w:r>
    </w:p>
    <w:p w:rsidR="000E41CC" w:rsidRDefault="000E41CC" w:rsidP="00707350">
      <w:pPr>
        <w:pStyle w:val="ac"/>
        <w:rPr>
          <w:rtl/>
        </w:rPr>
      </w:pPr>
      <w:r>
        <w:rPr>
          <w:rFonts w:hint="cs"/>
          <w:rtl/>
        </w:rPr>
        <w:t xml:space="preserve">ترك لنا العلامة شمس الدين سلسلةً من أربعة مجلّدات حملت عنوان: </w:t>
      </w:r>
      <w:r w:rsidRPr="002B759E">
        <w:rPr>
          <w:rFonts w:hint="cs"/>
          <w:rtl/>
        </w:rPr>
        <w:sym w:font="Islamic Units 1" w:char="F06D"/>
      </w:r>
      <w:r>
        <w:rPr>
          <w:rFonts w:hint="cs"/>
          <w:rtl/>
        </w:rPr>
        <w:t>مسائل حرجة في فقه المرأة المسلمة</w:t>
      </w:r>
      <w:r w:rsidRPr="002B759E">
        <w:rPr>
          <w:rFonts w:hint="cs"/>
          <w:rtl/>
        </w:rPr>
        <w:sym w:font="Islamic Units 1" w:char="F06E"/>
      </w:r>
      <w:r>
        <w:rPr>
          <w:rFonts w:hint="cs"/>
          <w:rtl/>
        </w:rPr>
        <w:t xml:space="preserve">، تعرّض فيها بالبحث والتحليل الفقهيّين لبعض قضايا المرأة، </w:t>
      </w:r>
      <w:r w:rsidRPr="00707350">
        <w:rPr>
          <w:rFonts w:hint="cs"/>
          <w:sz w:val="29"/>
          <w:szCs w:val="29"/>
          <w:rtl/>
        </w:rPr>
        <w:t>وهي: الستر والنظر، أهليّة المرأة لتولّي السلطة، عمل المرأة، حقوق الزوج والزوجة.</w:t>
      </w:r>
    </w:p>
    <w:p w:rsidR="000E41CC" w:rsidRDefault="000E41CC" w:rsidP="00707350">
      <w:pPr>
        <w:pStyle w:val="ac"/>
        <w:rPr>
          <w:rtl/>
        </w:rPr>
      </w:pPr>
      <w:r>
        <w:rPr>
          <w:rFonts w:hint="cs"/>
          <w:rtl/>
        </w:rPr>
        <w:t xml:space="preserve">وقد تعرّض شمس الدين في هذا الكتاب لبعض الأسس الرائجة في الاجتهادات الفقهيّة، وأهم رأي في هذه السلسلة برز في مسألة أهلية المرأة لتولّي السلطة، وهو الموضوع الذي خصّص له شمس الدين جزءاً كاملاً من هذه السلسلة، وقد بحثت حول نتاج شمس الدين هذا بحثاً مفصّلاً في كتابي </w:t>
      </w:r>
      <w:r w:rsidRPr="002B759E">
        <w:rPr>
          <w:rFonts w:hint="cs"/>
          <w:rtl/>
        </w:rPr>
        <w:sym w:font="Islamic Units 1" w:char="F06D"/>
      </w:r>
      <w:r>
        <w:rPr>
          <w:rFonts w:hint="cs"/>
          <w:rtl/>
        </w:rPr>
        <w:t>المرأة في الفكر الإسلامي</w:t>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202"/>
      </w:r>
      <w:r w:rsidRPr="00815C4C">
        <w:rPr>
          <w:rFonts w:cs="Taher"/>
          <w:vertAlign w:val="superscript"/>
          <w:rtl/>
        </w:rPr>
        <w:t>)</w:t>
      </w:r>
      <w:r>
        <w:rPr>
          <w:rFonts w:hint="cs"/>
          <w:rtl/>
        </w:rPr>
        <w:t>.</w:t>
      </w:r>
    </w:p>
    <w:p w:rsidR="000E41CC" w:rsidRPr="00707350" w:rsidRDefault="000E41CC" w:rsidP="00707350">
      <w:pPr>
        <w:pStyle w:val="afffffc"/>
        <w:rPr>
          <w:rtl/>
        </w:rPr>
      </w:pPr>
    </w:p>
    <w:p w:rsidR="000E41CC" w:rsidRDefault="005067D6" w:rsidP="000E41CC">
      <w:pPr>
        <w:pStyle w:val="1"/>
        <w:rPr>
          <w:rtl/>
        </w:rPr>
      </w:pPr>
      <w:bookmarkStart w:id="208" w:name="_Toc169521417"/>
      <w:bookmarkStart w:id="209" w:name="_Toc275127963"/>
      <w:r>
        <w:rPr>
          <w:rFonts w:hint="cs"/>
          <w:rtl/>
        </w:rPr>
        <w:t>2</w:t>
      </w:r>
      <w:r w:rsidR="000E41CC">
        <w:rPr>
          <w:rFonts w:hint="cs"/>
          <w:rtl/>
        </w:rPr>
        <w:t xml:space="preserve"> ـ </w:t>
      </w:r>
      <w:r w:rsidR="00F32FBA">
        <w:rPr>
          <w:rFonts w:hint="cs"/>
          <w:rtl/>
        </w:rPr>
        <w:t xml:space="preserve">أعمال </w:t>
      </w:r>
      <w:r w:rsidR="000E41CC">
        <w:rPr>
          <w:rFonts w:hint="cs"/>
          <w:rtl/>
        </w:rPr>
        <w:t>العلامة السيد محمد حسين فضل الله</w:t>
      </w:r>
      <w:bookmarkEnd w:id="208"/>
      <w:bookmarkEnd w:id="209"/>
    </w:p>
    <w:p w:rsidR="000E41CC" w:rsidRDefault="000E41CC" w:rsidP="00707350">
      <w:pPr>
        <w:pStyle w:val="ac"/>
        <w:rPr>
          <w:rtl/>
        </w:rPr>
      </w:pPr>
      <w:r>
        <w:rPr>
          <w:rFonts w:hint="cs"/>
          <w:rtl/>
        </w:rPr>
        <w:t>يعدّ العلامة فضل الله من الفقهاء الشيعة البارزين في لبنان، وعلاوةً على آرائه الجديدة في قضايا المرأة، تعرّض فضل الله لهذا الموضوع في عددٍ من أعماله المنشورة، منها:</w:t>
      </w:r>
    </w:p>
    <w:p w:rsidR="000E41CC" w:rsidRDefault="000E41CC" w:rsidP="00707350">
      <w:pPr>
        <w:pStyle w:val="ac"/>
        <w:rPr>
          <w:rtl/>
        </w:rPr>
      </w:pPr>
      <w:r>
        <w:rPr>
          <w:rFonts w:hint="cs"/>
          <w:rtl/>
        </w:rPr>
        <w:t xml:space="preserve">1ـ كتاب </w:t>
      </w:r>
      <w:r w:rsidRPr="002B759E">
        <w:rPr>
          <w:rFonts w:hint="cs"/>
          <w:rtl/>
        </w:rPr>
        <w:sym w:font="Islamic Units 1" w:char="F06D"/>
      </w:r>
      <w:r>
        <w:rPr>
          <w:rFonts w:hint="cs"/>
          <w:rtl/>
        </w:rPr>
        <w:t>قراءة جديدة لفقه المرأة الحقوقي</w:t>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203"/>
      </w:r>
      <w:r w:rsidRPr="00815C4C">
        <w:rPr>
          <w:rFonts w:cs="Taher"/>
          <w:vertAlign w:val="superscript"/>
          <w:rtl/>
        </w:rPr>
        <w:t>)</w:t>
      </w:r>
      <w:r>
        <w:rPr>
          <w:rFonts w:hint="cs"/>
          <w:rtl/>
        </w:rPr>
        <w:t xml:space="preserve">، الذي تحدّثتُ عنه مفصّلاً في كتابي: </w:t>
      </w:r>
      <w:r w:rsidRPr="002B759E">
        <w:rPr>
          <w:rFonts w:hint="cs"/>
          <w:rtl/>
        </w:rPr>
        <w:lastRenderedPageBreak/>
        <w:sym w:font="Islamic Units 1" w:char="F06D"/>
      </w:r>
      <w:r>
        <w:rPr>
          <w:rFonts w:hint="cs"/>
          <w:rtl/>
        </w:rPr>
        <w:t>المرأة والثقافة الدينية</w:t>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204"/>
      </w:r>
      <w:r w:rsidRPr="00815C4C">
        <w:rPr>
          <w:rFonts w:cs="Taher"/>
          <w:vertAlign w:val="superscript"/>
          <w:rtl/>
        </w:rPr>
        <w:t>)</w:t>
      </w:r>
      <w:r>
        <w:rPr>
          <w:rFonts w:hint="cs"/>
          <w:rtl/>
        </w:rPr>
        <w:t>.</w:t>
      </w:r>
    </w:p>
    <w:p w:rsidR="000E41CC" w:rsidRDefault="000E41CC" w:rsidP="00707350">
      <w:pPr>
        <w:pStyle w:val="ac"/>
        <w:rPr>
          <w:rtl/>
        </w:rPr>
      </w:pPr>
      <w:r>
        <w:rPr>
          <w:rFonts w:hint="cs"/>
          <w:rtl/>
        </w:rPr>
        <w:t xml:space="preserve">2ـ كتاب </w:t>
      </w:r>
      <w:r w:rsidRPr="002B759E">
        <w:rPr>
          <w:rFonts w:hint="cs"/>
          <w:rtl/>
        </w:rPr>
        <w:sym w:font="Islamic Units 1" w:char="F06D"/>
      </w:r>
      <w:r>
        <w:rPr>
          <w:rFonts w:hint="cs"/>
          <w:rtl/>
        </w:rPr>
        <w:t>دنيا المرأة</w:t>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205"/>
      </w:r>
      <w:r w:rsidRPr="00815C4C">
        <w:rPr>
          <w:rFonts w:cs="Taher"/>
          <w:vertAlign w:val="superscript"/>
          <w:rtl/>
        </w:rPr>
        <w:t>)</w:t>
      </w:r>
      <w:r>
        <w:rPr>
          <w:rFonts w:hint="cs"/>
          <w:rtl/>
        </w:rPr>
        <w:t xml:space="preserve">، الذي طبع عام 1420هـ / 2000م، كما ترجم إلى اللغة الفارسية تحت عنوان </w:t>
      </w:r>
      <w:r w:rsidRPr="002B759E">
        <w:rPr>
          <w:rFonts w:hint="cs"/>
          <w:rtl/>
        </w:rPr>
        <w:sym w:font="Islamic Units 1" w:char="F06D"/>
      </w:r>
      <w:r>
        <w:rPr>
          <w:rFonts w:hint="cs"/>
          <w:rtl/>
        </w:rPr>
        <w:t>دنياي زن</w:t>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206"/>
      </w:r>
      <w:r w:rsidRPr="00815C4C">
        <w:rPr>
          <w:rFonts w:cs="Taher"/>
          <w:vertAlign w:val="superscript"/>
          <w:rtl/>
        </w:rPr>
        <w:t>)</w:t>
      </w:r>
      <w:r>
        <w:rPr>
          <w:rFonts w:hint="cs"/>
          <w:rtl/>
        </w:rPr>
        <w:t>.</w:t>
      </w:r>
    </w:p>
    <w:p w:rsidR="000E41CC" w:rsidRDefault="000E41CC" w:rsidP="00707350">
      <w:pPr>
        <w:pStyle w:val="ac"/>
        <w:rPr>
          <w:rtl/>
        </w:rPr>
      </w:pPr>
      <w:r>
        <w:rPr>
          <w:rFonts w:hint="cs"/>
          <w:rtl/>
        </w:rPr>
        <w:t xml:space="preserve">3ـ كتاب </w:t>
      </w:r>
      <w:r w:rsidRPr="002B759E">
        <w:rPr>
          <w:rFonts w:hint="cs"/>
          <w:rtl/>
        </w:rPr>
        <w:sym w:font="Islamic Units 1" w:char="F06D"/>
      </w:r>
      <w:r>
        <w:rPr>
          <w:rFonts w:hint="cs"/>
          <w:rtl/>
        </w:rPr>
        <w:t>تأمّلات إسلامية حول المرأة</w:t>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207"/>
      </w:r>
      <w:r w:rsidRPr="00815C4C">
        <w:rPr>
          <w:rFonts w:cs="Taher"/>
          <w:vertAlign w:val="superscript"/>
          <w:rtl/>
        </w:rPr>
        <w:t>)</w:t>
      </w:r>
      <w:r>
        <w:rPr>
          <w:rFonts w:hint="cs"/>
          <w:rtl/>
        </w:rPr>
        <w:t xml:space="preserve">، وقد ترجم هذا الكتاب السيد مجيد مرادي إلى اللغة الفارسية، وطُبع في مجلّة </w:t>
      </w:r>
      <w:r w:rsidRPr="002B759E">
        <w:rPr>
          <w:rFonts w:hint="cs"/>
          <w:rtl/>
        </w:rPr>
        <w:sym w:font="Islamic Units 1" w:char="F06D"/>
      </w:r>
      <w:r>
        <w:rPr>
          <w:rFonts w:hint="cs"/>
          <w:rtl/>
        </w:rPr>
        <w:t>بيام زن</w:t>
      </w:r>
      <w:r w:rsidRPr="002B759E">
        <w:rPr>
          <w:rFonts w:hint="cs"/>
          <w:rtl/>
        </w:rPr>
        <w:sym w:font="Islamic Units 1" w:char="F06E"/>
      </w:r>
      <w:r>
        <w:rPr>
          <w:rFonts w:hint="cs"/>
          <w:rtl/>
        </w:rPr>
        <w:t xml:space="preserve"> من العدد 32 ـ 45.</w:t>
      </w:r>
    </w:p>
    <w:p w:rsidR="000E41CC" w:rsidRDefault="000E41CC" w:rsidP="000E41CC">
      <w:pPr>
        <w:pStyle w:val="ac"/>
        <w:rPr>
          <w:rtl/>
        </w:rPr>
      </w:pPr>
      <w:r>
        <w:rPr>
          <w:rFonts w:hint="cs"/>
          <w:rtl/>
        </w:rPr>
        <w:t xml:space="preserve">4 ـ كتاب </w:t>
      </w:r>
      <w:r w:rsidRPr="002B759E">
        <w:rPr>
          <w:rFonts w:hint="cs"/>
          <w:rtl/>
        </w:rPr>
        <w:sym w:font="Islamic Units 1" w:char="F06D"/>
      </w:r>
      <w:r>
        <w:rPr>
          <w:rFonts w:hint="cs"/>
          <w:rtl/>
        </w:rPr>
        <w:t>وضع المرأة الحقوقي بين الثابت والمتغير</w:t>
      </w:r>
      <w:r w:rsidRPr="002B759E">
        <w:rPr>
          <w:rFonts w:hint="cs"/>
          <w:rtl/>
        </w:rPr>
        <w:sym w:font="Islamic Units 1" w:char="F06E"/>
      </w:r>
      <w:r w:rsidRPr="00815C4C">
        <w:rPr>
          <w:rFonts w:cs="Taher"/>
          <w:vertAlign w:val="superscript"/>
          <w:rtl/>
        </w:rPr>
        <w:t>(</w:t>
      </w:r>
      <w:r w:rsidRPr="00815C4C">
        <w:rPr>
          <w:rFonts w:cs="Taher"/>
          <w:vertAlign w:val="superscript"/>
          <w:rtl/>
        </w:rPr>
        <w:footnoteReference w:id="208"/>
      </w:r>
      <w:r w:rsidRPr="00815C4C">
        <w:rPr>
          <w:rFonts w:cs="Taher"/>
          <w:vertAlign w:val="superscript"/>
          <w:rtl/>
        </w:rPr>
        <w:t>)</w:t>
      </w:r>
      <w:r>
        <w:rPr>
          <w:rFonts w:hint="cs"/>
          <w:rtl/>
        </w:rPr>
        <w:t>.</w:t>
      </w:r>
    </w:p>
    <w:p w:rsidR="000E41CC" w:rsidRPr="00676761" w:rsidRDefault="000E41CC" w:rsidP="000E41CC">
      <w:pPr>
        <w:pStyle w:val="ac"/>
        <w:rPr>
          <w:rtl/>
        </w:rPr>
      </w:pPr>
      <w:r>
        <w:rPr>
          <w:rFonts w:hint="cs"/>
          <w:rtl/>
        </w:rPr>
        <w:t xml:space="preserve">وقد كرّر العلامة فضل الله في حوارٍ أجرته معه مجلّة </w:t>
      </w:r>
      <w:r w:rsidRPr="002B759E">
        <w:rPr>
          <w:rFonts w:hint="cs"/>
          <w:rtl/>
        </w:rPr>
        <w:sym w:font="Islamic Units 1" w:char="F06D"/>
      </w:r>
      <w:r>
        <w:rPr>
          <w:rFonts w:hint="cs"/>
          <w:rtl/>
        </w:rPr>
        <w:t>بيام زن</w:t>
      </w:r>
      <w:r w:rsidRPr="002B759E">
        <w:rPr>
          <w:rFonts w:hint="cs"/>
          <w:rtl/>
        </w:rPr>
        <w:sym w:font="Islamic Units 1" w:char="F06E"/>
      </w:r>
      <w:r>
        <w:rPr>
          <w:rFonts w:hint="cs"/>
          <w:rtl/>
        </w:rPr>
        <w:t xml:space="preserve"> في أعدادها: 85، 86، 102، بعض آرائه ونظريّاته وأسباب توجّهه هذا.</w:t>
      </w:r>
    </w:p>
    <w:p w:rsidR="000E41CC" w:rsidRDefault="000E41CC" w:rsidP="000E41CC">
      <w:pPr>
        <w:pStyle w:val="ac"/>
        <w:rPr>
          <w:rtl/>
        </w:rPr>
      </w:pPr>
      <w:r>
        <w:rPr>
          <w:rFonts w:hint="cs"/>
          <w:rtl/>
        </w:rPr>
        <w:t xml:space="preserve">ونذكر هنا بعض الآراء التي طرحها هذا الفقيه اللبناني في كتابه: </w:t>
      </w:r>
      <w:r w:rsidRPr="002B759E">
        <w:rPr>
          <w:rFonts w:hint="cs"/>
          <w:rtl/>
        </w:rPr>
        <w:sym w:font="Islamic Units 1" w:char="F06D"/>
      </w:r>
      <w:r>
        <w:rPr>
          <w:rFonts w:hint="cs"/>
          <w:rtl/>
        </w:rPr>
        <w:t>قراءة جديدة لفقه المرأة الحقوقي</w:t>
      </w:r>
      <w:r w:rsidRPr="002B759E">
        <w:rPr>
          <w:rFonts w:hint="cs"/>
          <w:rtl/>
        </w:rPr>
        <w:sym w:font="Islamic Units 1" w:char="F06E"/>
      </w:r>
      <w:r>
        <w:rPr>
          <w:rFonts w:hint="cs"/>
          <w:rtl/>
        </w:rPr>
        <w:t>، وهي:</w:t>
      </w:r>
    </w:p>
    <w:p w:rsidR="000E41CC" w:rsidRDefault="000E41CC" w:rsidP="00707350">
      <w:pPr>
        <w:pStyle w:val="ac"/>
        <w:rPr>
          <w:rtl/>
        </w:rPr>
      </w:pPr>
      <w:r>
        <w:rPr>
          <w:rFonts w:hint="cs"/>
          <w:rtl/>
        </w:rPr>
        <w:t>1ـ يمكن للمرأة تولّي السلطة والحكومة، ويرى أنّ دليل المنع عن ذلك روايةٌ وردت في كتاب البخاري، إلاّ أنها ترجع إلى ظروف خاصة، فلا يمكن تعميم مدلولها، وإضافةً إلى ذلك يؤيّد القرآن الكريم تولّيها السلطة عبر قصّة سليمان وبلقيس (29 ـ 31)، وإذا لم تعهد للنساء أمور السلطة في التاريخ الإسلامي فلا يشكّل ذلك دليلاً على المنع، بل كانت أسبابه نابعةً من الأعراف والعادات آنذاك (68 ـ 69).</w:t>
      </w:r>
    </w:p>
    <w:p w:rsidR="000E41CC" w:rsidRPr="00411A7A" w:rsidRDefault="000E41CC" w:rsidP="00707350">
      <w:pPr>
        <w:pStyle w:val="ac"/>
        <w:rPr>
          <w:spacing w:val="-4"/>
          <w:rtl/>
        </w:rPr>
      </w:pPr>
      <w:r w:rsidRPr="00411A7A">
        <w:rPr>
          <w:rFonts w:hint="cs"/>
          <w:spacing w:val="-4"/>
          <w:rtl/>
        </w:rPr>
        <w:t>2ـ يمكن للمرأة تولّي سدّة القضاء، والاشتغال بالحكم بين الناس في المحاكم، ودليل المنع عن ذلك مجرّد حديث ضعيف لا يصحّ الاستناد إليه (32 ـ 33، 72).</w:t>
      </w:r>
    </w:p>
    <w:p w:rsidR="000E41CC" w:rsidRPr="00411A7A" w:rsidRDefault="000E41CC" w:rsidP="000E41CC">
      <w:pPr>
        <w:pStyle w:val="ac"/>
        <w:rPr>
          <w:rtl/>
        </w:rPr>
      </w:pPr>
      <w:r w:rsidRPr="00411A7A">
        <w:rPr>
          <w:rFonts w:hint="cs"/>
          <w:rtl/>
        </w:rPr>
        <w:t>3 ـ إذا لم يوفّ رجلٌ إلى زوجته حقوقها الجنسية يمكن للمرأة مقابلته بالمثل، وقد أيّد فقهاء مثل السيد محسن الحكيم والشهيد محمد باقر الصدر هذا الرأي (61 ـ 62).</w:t>
      </w:r>
    </w:p>
    <w:p w:rsidR="000E41CC" w:rsidRDefault="000E41CC" w:rsidP="000E41CC">
      <w:pPr>
        <w:pStyle w:val="ac"/>
        <w:rPr>
          <w:rtl/>
        </w:rPr>
      </w:pPr>
      <w:r>
        <w:rPr>
          <w:rFonts w:hint="cs"/>
          <w:rtl/>
        </w:rPr>
        <w:lastRenderedPageBreak/>
        <w:t xml:space="preserve">4 ـ تتساوى المرأة والرجل في الحقوق الجنسية، تدلّ على ذلك آية: </w:t>
      </w:r>
      <w:r w:rsidRPr="00AA2A63">
        <w:rPr>
          <w:rFonts w:hint="cs"/>
          <w:rtl/>
        </w:rPr>
        <w:sym w:font="Islamic Units 1" w:char="F03E"/>
      </w:r>
      <w:r w:rsidRPr="001F65BE">
        <w:rPr>
          <w:rStyle w:val="Char3"/>
          <w:rtl/>
        </w:rPr>
        <w:t>وَلَهُنَّ مِثْلُ الَّذِي عَلَيْهِنَّ بِالْمَعْرُوفِ</w:t>
      </w:r>
      <w:r w:rsidRPr="00AA2A63">
        <w:rPr>
          <w:rFonts w:hint="cs"/>
          <w:rtl/>
        </w:rPr>
        <w:sym w:font="Islamic Units 1" w:char="F03C"/>
      </w:r>
      <w:r>
        <w:rPr>
          <w:rFonts w:hint="cs"/>
          <w:rtl/>
        </w:rPr>
        <w:t xml:space="preserve"> (البقرة: 228)، وقد خالف فضل الله بهذا القول مشهور الفقهاء (61).</w:t>
      </w:r>
    </w:p>
    <w:p w:rsidR="000E41CC" w:rsidRDefault="000E41CC" w:rsidP="000E41CC">
      <w:pPr>
        <w:pStyle w:val="ac"/>
        <w:rPr>
          <w:rtl/>
        </w:rPr>
      </w:pPr>
      <w:r>
        <w:rPr>
          <w:rFonts w:hint="cs"/>
          <w:rtl/>
        </w:rPr>
        <w:t>5 ـ يذهب السيد فضل الله إلى عدم انسجام ما جاء في نهج البلاغة حول نقصان عقل النساء وإيمانهنّ مع تعليلاته، ولهذا لابدّ من ردّ علم هذه النصوص إلى أهلها (66).</w:t>
      </w:r>
    </w:p>
    <w:p w:rsidR="000E41CC" w:rsidRDefault="000E41CC" w:rsidP="000E41CC">
      <w:pPr>
        <w:pStyle w:val="ac"/>
        <w:rPr>
          <w:rtl/>
        </w:rPr>
      </w:pPr>
      <w:r>
        <w:rPr>
          <w:rFonts w:hint="cs"/>
          <w:rtl/>
        </w:rPr>
        <w:t>6 ـ لا مانع من أن تصبح المرأة مرجعاً للتقليد (68).</w:t>
      </w:r>
    </w:p>
    <w:p w:rsidR="000E41CC" w:rsidRDefault="000E41CC" w:rsidP="00C86626">
      <w:pPr>
        <w:pStyle w:val="ac"/>
        <w:rPr>
          <w:rtl/>
        </w:rPr>
      </w:pPr>
      <w:r>
        <w:rPr>
          <w:rFonts w:hint="cs"/>
          <w:rtl/>
        </w:rPr>
        <w:t xml:space="preserve">7 ـ يرى فضل الله أن حديث: </w:t>
      </w:r>
      <w:r w:rsidRPr="002B759E">
        <w:rPr>
          <w:rFonts w:hint="cs"/>
          <w:rtl/>
        </w:rPr>
        <w:sym w:font="Islamic Units 1" w:char="F06D"/>
      </w:r>
      <w:r>
        <w:rPr>
          <w:rFonts w:hint="cs"/>
          <w:rtl/>
        </w:rPr>
        <w:t>خيرٌ للمرأة أن لا ترى الرجل وأن لا يراها الرجل</w:t>
      </w:r>
      <w:r w:rsidRPr="002B759E">
        <w:rPr>
          <w:rFonts w:hint="cs"/>
          <w:rtl/>
        </w:rPr>
        <w:sym w:font="Islamic Units 1" w:char="F06E"/>
      </w:r>
      <w:r>
        <w:rPr>
          <w:rFonts w:hint="cs"/>
          <w:rtl/>
        </w:rPr>
        <w:t xml:space="preserve"> حديثٌ غير صحيح، كما ينقل عن آية الله الخوئي اعترافه في أبحاثه الفقهية بضعف سند هذا الحديث، كما يذهب فضل الله إلى عدم إمكان الأخذ بمدلول هذا الحديث؛ ذلك أنّ السيدة الزهراء</w:t>
      </w:r>
      <w:r w:rsidRPr="000E41CC">
        <w:rPr>
          <w:rFonts w:hint="cs"/>
          <w:rtl/>
        </w:rPr>
        <w:t>÷</w:t>
      </w:r>
      <w:r>
        <w:rPr>
          <w:rFonts w:hint="cs"/>
          <w:rtl/>
        </w:rPr>
        <w:t xml:space="preserve"> كانت ترى الرجال، كما أن النبيّ</w:t>
      </w:r>
      <w:r w:rsidR="00C86626">
        <w:rPr>
          <w:rFonts w:hint="cs"/>
          <w:rtl/>
        </w:rPr>
        <w:t>’</w:t>
      </w:r>
      <w:r>
        <w:rPr>
          <w:rFonts w:hint="cs"/>
          <w:rtl/>
        </w:rPr>
        <w:t xml:space="preserve"> كان يرسل إلى الحرب بعض النساء لمداواة الجرحى (73 ـ 74).</w:t>
      </w:r>
    </w:p>
    <w:p w:rsidR="000E41CC" w:rsidRDefault="000E41CC" w:rsidP="00707350">
      <w:pPr>
        <w:pStyle w:val="ac"/>
        <w:spacing w:line="206" w:lineRule="auto"/>
        <w:rPr>
          <w:rtl/>
        </w:rPr>
      </w:pPr>
      <w:r>
        <w:rPr>
          <w:rFonts w:hint="cs"/>
          <w:rtl/>
        </w:rPr>
        <w:t xml:space="preserve">8 ـ تعدّ آية: </w:t>
      </w:r>
      <w:r w:rsidRPr="00AA2A63">
        <w:rPr>
          <w:rFonts w:hint="cs"/>
          <w:rtl/>
        </w:rPr>
        <w:sym w:font="Islamic Units 1" w:char="F03E"/>
      </w:r>
      <w:r w:rsidRPr="000E41CC">
        <w:rPr>
          <w:b/>
          <w:bCs/>
          <w:rtl/>
        </w:rPr>
        <w:t>وَلَهُنَّ مِثْلُ الَّذِي عَلَيْهِنَّ بِالْمَعْرُوفِ وَلِلرِّجَالِ عَلَيْهِنَّ دَرَجَةٌ</w:t>
      </w:r>
      <w:r w:rsidRPr="00AA2A63">
        <w:rPr>
          <w:rFonts w:hint="cs"/>
          <w:rtl/>
        </w:rPr>
        <w:sym w:font="Islamic Units 1" w:char="F03C"/>
      </w:r>
      <w:r>
        <w:rPr>
          <w:rFonts w:hint="cs"/>
          <w:rtl/>
        </w:rPr>
        <w:t xml:space="preserve"> (البقرة: 228)، حاكمةً على تمام ألوان العلاقة بين الرجل والمرأة، وأنّ الدرجة التي للرجل على المرأة هي حقّ الطلاق ومسؤوليّة النفقة (86).</w:t>
      </w:r>
    </w:p>
    <w:p w:rsidR="000E41CC" w:rsidRDefault="000E41CC" w:rsidP="00707350">
      <w:pPr>
        <w:pStyle w:val="ac"/>
        <w:spacing w:line="206" w:lineRule="auto"/>
        <w:rPr>
          <w:rtl/>
        </w:rPr>
      </w:pPr>
      <w:r>
        <w:rPr>
          <w:rFonts w:hint="cs"/>
          <w:rtl/>
        </w:rPr>
        <w:t>9 ـ لا دليل على حرمة اختلاط الرجال بالنساء بشكل عام، إنّما الحرام إبراز الذكورية والأنوثة في العلاقات الاجتماعية، فإذا بدا الرجل والمرأة بشريّين في علاقاتهما على وفق الطبيعة الإنسانية فلا دليل على الحرمة حينئذٍ (81 ـ 82).</w:t>
      </w:r>
    </w:p>
    <w:p w:rsidR="000E41CC" w:rsidRDefault="000E41CC" w:rsidP="000E41CC">
      <w:pPr>
        <w:pStyle w:val="ac"/>
        <w:rPr>
          <w:rtl/>
        </w:rPr>
      </w:pPr>
      <w:r>
        <w:rPr>
          <w:rFonts w:hint="cs"/>
          <w:rtl/>
        </w:rPr>
        <w:t>10 ـ لا يوافق فضل الله الرأيَ المشهور في بلوغ البنت، رغم أنّه يصرّح بأنه لم يُصدر فتوى في هذا المجال بعد (90).</w:t>
      </w:r>
    </w:p>
    <w:p w:rsidR="00707350" w:rsidRDefault="000E41CC" w:rsidP="002823D5">
      <w:pPr>
        <w:pStyle w:val="ac"/>
        <w:rPr>
          <w:rtl/>
        </w:rPr>
      </w:pPr>
      <w:r>
        <w:rPr>
          <w:rFonts w:hint="cs"/>
          <w:rtl/>
        </w:rPr>
        <w:t>وفي الختام، آمل أن أكون قد وفّقت لعرض تقرير إجمالي عام، وفي الوقت نفسه دقيق وأمين ومنصف، للآراء والاتجاهات السائدة، راجياً أن تكون هذه الدراسة بدايةً وأرضية تمهّد لمزيد من التحليل المعمّق والنقد المركّز والعرض العلمي لجملة القواعد والضوابط في هذا المضمار.</w:t>
      </w:r>
    </w:p>
    <w:p w:rsidR="00707350" w:rsidRDefault="00707350" w:rsidP="002823D5">
      <w:pPr>
        <w:pStyle w:val="ac"/>
        <w:rPr>
          <w:rtl/>
        </w:rPr>
        <w:sectPr w:rsidR="00707350" w:rsidSect="00EA348C">
          <w:headerReference w:type="even" r:id="rId46"/>
          <w:headerReference w:type="default" r:id="rId47"/>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A80E60" w:rsidRDefault="00A80E60" w:rsidP="002823D5">
      <w:pPr>
        <w:pStyle w:val="ac"/>
        <w:rPr>
          <w:rtl/>
        </w:rPr>
      </w:pPr>
    </w:p>
    <w:p w:rsidR="005067D6" w:rsidRDefault="005067D6">
      <w:pPr>
        <w:widowControl/>
        <w:bidi w:val="0"/>
        <w:spacing w:line="240" w:lineRule="auto"/>
        <w:ind w:firstLine="0"/>
        <w:jc w:val="left"/>
        <w:outlineLvl w:val="9"/>
        <w:rPr>
          <w:rFonts w:ascii="Arno Pro Display" w:hAnsi="Arno Pro Display"/>
          <w:sz w:val="28"/>
          <w:szCs w:val="30"/>
          <w:rtl/>
        </w:rPr>
      </w:pPr>
      <w:r>
        <w:rPr>
          <w:rtl/>
        </w:rPr>
        <w:br w:type="page"/>
      </w:r>
    </w:p>
    <w:p w:rsidR="00A80E60" w:rsidRDefault="00A80E60" w:rsidP="002823D5">
      <w:pPr>
        <w:pStyle w:val="ac"/>
        <w:rPr>
          <w:rtl/>
        </w:rPr>
        <w:sectPr w:rsidR="00A80E60" w:rsidSect="00EA348C">
          <w:headerReference w:type="even" r:id="rId48"/>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0E41CC" w:rsidRDefault="000E41CC" w:rsidP="002823D5">
      <w:pPr>
        <w:pStyle w:val="ac"/>
        <w:rPr>
          <w:rtl/>
        </w:rPr>
      </w:pPr>
    </w:p>
    <w:p w:rsidR="00A80E60" w:rsidRDefault="00A80E60" w:rsidP="00A80E60">
      <w:pPr>
        <w:pStyle w:val="ac"/>
        <w:bidi w:val="0"/>
        <w:rPr>
          <w:rtl/>
        </w:rPr>
      </w:pPr>
    </w:p>
    <w:p w:rsidR="00A80E60" w:rsidRDefault="00A80E60" w:rsidP="00A80E60">
      <w:pPr>
        <w:pStyle w:val="ac"/>
        <w:bidi w:val="0"/>
        <w:rPr>
          <w:rtl/>
        </w:rPr>
      </w:pPr>
      <w:bookmarkStart w:id="210" w:name="_Toc138334732"/>
      <w:bookmarkStart w:id="211" w:name="_Toc169521418"/>
    </w:p>
    <w:p w:rsidR="00A80E60" w:rsidRDefault="00A80E60" w:rsidP="00A80E60">
      <w:pPr>
        <w:pStyle w:val="ac"/>
        <w:bidi w:val="0"/>
        <w:rPr>
          <w:rtl/>
        </w:rPr>
      </w:pPr>
    </w:p>
    <w:p w:rsidR="00A80E60" w:rsidRDefault="00A80E60" w:rsidP="00A80E60">
      <w:pPr>
        <w:pStyle w:val="ac"/>
        <w:bidi w:val="0"/>
        <w:rPr>
          <w:rtl/>
        </w:rPr>
      </w:pPr>
    </w:p>
    <w:p w:rsidR="00A80E60" w:rsidRDefault="00A80E60" w:rsidP="00A80E60">
      <w:pPr>
        <w:pStyle w:val="ac"/>
        <w:bidi w:val="0"/>
        <w:rPr>
          <w:rtl/>
        </w:rPr>
      </w:pPr>
    </w:p>
    <w:p w:rsidR="00707350" w:rsidRDefault="00707350" w:rsidP="00A80E60">
      <w:pPr>
        <w:pStyle w:val="aff2"/>
        <w:rPr>
          <w:rtl/>
        </w:rPr>
        <w:sectPr w:rsidR="00707350" w:rsidSect="00EA348C">
          <w:headerReference w:type="even" r:id="rId49"/>
          <w:headerReference w:type="default" r:id="rId5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C87E55" w:rsidRPr="00A80E60" w:rsidRDefault="00C87E55" w:rsidP="00A80E60">
      <w:pPr>
        <w:pStyle w:val="aff2"/>
        <w:rPr>
          <w:rStyle w:val="254225CharCharChar"/>
          <w:rFonts w:cs="Ya-Ali"/>
          <w:b/>
          <w:bCs/>
          <w:kern w:val="32"/>
          <w:sz w:val="28"/>
          <w:szCs w:val="36"/>
          <w:rtl/>
          <w:lang w:eastAsia="en-US"/>
        </w:rPr>
      </w:pPr>
      <w:bookmarkStart w:id="212" w:name="_Toc275127964"/>
      <w:r w:rsidRPr="00C87E55">
        <w:rPr>
          <w:rFonts w:hint="cs"/>
          <w:rtl/>
        </w:rPr>
        <w:lastRenderedPageBreak/>
        <w:t>القصاص في الفقه الإسلامي</w:t>
      </w:r>
      <w:bookmarkEnd w:id="210"/>
      <w:bookmarkEnd w:id="211"/>
      <w:bookmarkEnd w:id="212"/>
    </w:p>
    <w:p w:rsidR="00C87E55" w:rsidRPr="009E07CC" w:rsidRDefault="00C87E55" w:rsidP="00C87E55">
      <w:pPr>
        <w:pStyle w:val="aff2"/>
        <w:rPr>
          <w:rStyle w:val="254225CharCharChar"/>
          <w:rFonts w:cs="Abz-3 (Yagut)"/>
          <w:sz w:val="36"/>
          <w:szCs w:val="36"/>
          <w:rtl/>
        </w:rPr>
      </w:pPr>
      <w:bookmarkStart w:id="213" w:name="_Toc169521419"/>
      <w:bookmarkStart w:id="214" w:name="_Toc275127965"/>
      <w:r w:rsidRPr="00C87E55">
        <w:rPr>
          <w:rFonts w:hint="cs"/>
          <w:rtl/>
        </w:rPr>
        <w:t>إبطال نظرية الفارق الجنسي والديني</w:t>
      </w:r>
      <w:bookmarkEnd w:id="213"/>
      <w:bookmarkEnd w:id="214"/>
    </w:p>
    <w:p w:rsidR="00C87E55" w:rsidRDefault="00C87E55" w:rsidP="00C87E55">
      <w:pPr>
        <w:pStyle w:val="af7"/>
        <w:rPr>
          <w:sz w:val="24"/>
          <w:szCs w:val="24"/>
        </w:rPr>
      </w:pPr>
      <w:bookmarkStart w:id="215" w:name="_Toc168326355"/>
      <w:bookmarkStart w:id="216" w:name="_Toc169521420"/>
      <w:bookmarkStart w:id="217" w:name="_Toc275127966"/>
      <w:r w:rsidRPr="00A04ACC">
        <w:rPr>
          <w:rtl/>
        </w:rPr>
        <w:t>الشيخ يوسف الصانعي</w:t>
      </w:r>
      <w:r w:rsidRPr="000E41CC">
        <w:rPr>
          <w:rFonts w:cs="Taher"/>
          <w:vertAlign w:val="superscript"/>
          <w:rtl/>
        </w:rPr>
        <w:footnoteReference w:customMarkFollows="1" w:id="209"/>
        <w:t>(*)</w:t>
      </w:r>
      <w:bookmarkEnd w:id="215"/>
      <w:bookmarkEnd w:id="216"/>
      <w:bookmarkEnd w:id="217"/>
    </w:p>
    <w:p w:rsidR="00C87E55" w:rsidRDefault="00C87E55" w:rsidP="00C87E55">
      <w:pPr>
        <w:pStyle w:val="af7"/>
        <w:spacing w:before="0"/>
        <w:ind w:left="4320" w:firstLine="720"/>
        <w:jc w:val="center"/>
        <w:rPr>
          <w:rtl/>
        </w:rPr>
      </w:pPr>
      <w:bookmarkStart w:id="218" w:name="_Toc168326356"/>
      <w:r>
        <w:rPr>
          <w:rFonts w:hint="cs"/>
          <w:rtl/>
        </w:rPr>
        <w:t xml:space="preserve">   </w:t>
      </w:r>
      <w:bookmarkStart w:id="219" w:name="_Toc275127967"/>
      <w:r w:rsidRPr="00A04ACC">
        <w:rPr>
          <w:rtl/>
        </w:rPr>
        <w:t>ترجمة: حيدر حب الله</w:t>
      </w:r>
      <w:bookmarkEnd w:id="218"/>
      <w:bookmarkEnd w:id="219"/>
    </w:p>
    <w:p w:rsidR="00707350" w:rsidRPr="00707350" w:rsidRDefault="00707350" w:rsidP="00707350">
      <w:pPr>
        <w:pStyle w:val="afffffc"/>
        <w:rPr>
          <w:sz w:val="16"/>
          <w:szCs w:val="14"/>
          <w:rtl/>
        </w:rPr>
      </w:pPr>
      <w:bookmarkStart w:id="220" w:name="_Toc169521421"/>
    </w:p>
    <w:p w:rsidR="00C87E55" w:rsidRPr="00D457EB" w:rsidRDefault="00C87E55" w:rsidP="005067D6">
      <w:pPr>
        <w:pStyle w:val="1"/>
        <w:rPr>
          <w:sz w:val="22"/>
          <w:szCs w:val="22"/>
        </w:rPr>
      </w:pPr>
      <w:bookmarkStart w:id="221" w:name="_Toc275127968"/>
      <w:r w:rsidRPr="00D457EB">
        <w:rPr>
          <w:rtl/>
        </w:rPr>
        <w:t>مدخل</w:t>
      </w:r>
      <w:bookmarkEnd w:id="220"/>
      <w:bookmarkEnd w:id="221"/>
    </w:p>
    <w:p w:rsidR="00C87E55" w:rsidRPr="00A04ACC" w:rsidRDefault="00C87E55" w:rsidP="009C1F7A">
      <w:pPr>
        <w:pStyle w:val="ac"/>
      </w:pPr>
      <w:r w:rsidRPr="00A04ACC">
        <w:rPr>
          <w:rtl/>
        </w:rPr>
        <w:t>حرمة ال</w:t>
      </w:r>
      <w:r>
        <w:rPr>
          <w:rtl/>
        </w:rPr>
        <w:t>إنسان</w:t>
      </w:r>
      <w:r w:rsidRPr="00A04ACC">
        <w:rPr>
          <w:rtl/>
        </w:rPr>
        <w:t xml:space="preserve"> وكرامته من الأصول ال</w:t>
      </w:r>
      <w:r>
        <w:rPr>
          <w:rtl/>
        </w:rPr>
        <w:t>أساس</w:t>
      </w:r>
      <w:r w:rsidRPr="00A04ACC">
        <w:rPr>
          <w:rtl/>
        </w:rPr>
        <w:t>ية المسلّمة في الديانة ال</w:t>
      </w:r>
      <w:r>
        <w:rPr>
          <w:rtl/>
        </w:rPr>
        <w:t>إسلام</w:t>
      </w:r>
      <w:r w:rsidRPr="00A04ACC">
        <w:rPr>
          <w:rtl/>
        </w:rPr>
        <w:t>ية، فنفس ال</w:t>
      </w:r>
      <w:r>
        <w:rPr>
          <w:rtl/>
        </w:rPr>
        <w:t>إنسان</w:t>
      </w:r>
      <w:r w:rsidRPr="00A04ACC">
        <w:rPr>
          <w:rtl/>
        </w:rPr>
        <w:t>، وعرضه، وكرامته، وماله وثروته، ورأيه وعقيدته.. كلّها ذات حرمة</w:t>
      </w:r>
      <w:r>
        <w:rPr>
          <w:rFonts w:hint="cs"/>
          <w:rtl/>
        </w:rPr>
        <w:t>ٍ</w:t>
      </w:r>
      <w:r w:rsidRPr="00A04ACC">
        <w:rPr>
          <w:rtl/>
        </w:rPr>
        <w:t xml:space="preserve"> وتقدير، ومن الواجب رعاية هذه الحرمة وحفظها، وقد شكّلت آلي</w:t>
      </w:r>
      <w:r>
        <w:rPr>
          <w:rFonts w:hint="cs"/>
          <w:rtl/>
        </w:rPr>
        <w:t>ّ</w:t>
      </w:r>
      <w:r w:rsidRPr="00A04ACC">
        <w:rPr>
          <w:rtl/>
        </w:rPr>
        <w:t>ات الحفاظ على هذه الحرمة،</w:t>
      </w:r>
      <w:r>
        <w:rPr>
          <w:rFonts w:hint="cs"/>
          <w:rtl/>
        </w:rPr>
        <w:t xml:space="preserve"> </w:t>
      </w:r>
      <w:r w:rsidRPr="00A04ACC">
        <w:rPr>
          <w:rtl/>
        </w:rPr>
        <w:t>وأساليب مواجهة إسقاطها</w:t>
      </w:r>
      <w:r>
        <w:rPr>
          <w:rtl/>
        </w:rPr>
        <w:t xml:space="preserve"> أو </w:t>
      </w:r>
      <w:r w:rsidRPr="00A04ACC">
        <w:rPr>
          <w:rtl/>
        </w:rPr>
        <w:t>تجاوزها.. قسماً كبيراً من المعارف الدينية.</w:t>
      </w:r>
    </w:p>
    <w:p w:rsidR="00C87E55" w:rsidRPr="00411A7A" w:rsidRDefault="00C87E55" w:rsidP="009C1F7A">
      <w:pPr>
        <w:pStyle w:val="ac"/>
        <w:rPr>
          <w:spacing w:val="-8"/>
        </w:rPr>
      </w:pPr>
      <w:r w:rsidRPr="00411A7A">
        <w:rPr>
          <w:spacing w:val="-8"/>
          <w:rtl/>
        </w:rPr>
        <w:t>الأمر الأهم</w:t>
      </w:r>
      <w:r w:rsidRPr="00411A7A">
        <w:rPr>
          <w:rFonts w:hint="cs"/>
          <w:spacing w:val="-8"/>
          <w:rtl/>
        </w:rPr>
        <w:t>ّ</w:t>
      </w:r>
      <w:r w:rsidRPr="00411A7A">
        <w:rPr>
          <w:spacing w:val="-8"/>
          <w:rtl/>
        </w:rPr>
        <w:t xml:space="preserve"> هنا من بين هذه الأمور نفس الإنسان وذاته، ذلك أن بقية الأشياء تابعة</w:t>
      </w:r>
      <w:r w:rsidRPr="00411A7A">
        <w:rPr>
          <w:rFonts w:hint="cs"/>
          <w:spacing w:val="-8"/>
          <w:rtl/>
        </w:rPr>
        <w:t>ٌ</w:t>
      </w:r>
      <w:r w:rsidRPr="00411A7A">
        <w:rPr>
          <w:spacing w:val="-8"/>
          <w:rtl/>
        </w:rPr>
        <w:t xml:space="preserve"> لها، متعلّقة بها، من هنا كان تركيز القرآن الكريم على حرمة النفس البشرية ـ بعيداً عن أ</w:t>
      </w:r>
      <w:r w:rsidRPr="00411A7A">
        <w:rPr>
          <w:rFonts w:hint="cs"/>
          <w:spacing w:val="-8"/>
          <w:rtl/>
        </w:rPr>
        <w:t>ي</w:t>
      </w:r>
      <w:r w:rsidRPr="00411A7A">
        <w:rPr>
          <w:spacing w:val="-8"/>
          <w:rtl/>
        </w:rPr>
        <w:t xml:space="preserve">ّ امتيازات طارئة ـ تركيزاً ملحوظاً، جاءت فيه كلمات نورانية خالدة، </w:t>
      </w:r>
      <w:r w:rsidRPr="00411A7A">
        <w:rPr>
          <w:rFonts w:hint="cs"/>
          <w:spacing w:val="-8"/>
          <w:rtl/>
        </w:rPr>
        <w:t>ف</w:t>
      </w:r>
      <w:r w:rsidRPr="00411A7A">
        <w:rPr>
          <w:spacing w:val="-8"/>
          <w:rtl/>
        </w:rPr>
        <w:t>كانت الحرمة التي منحها القرآن للنفس الإنسانية لا تماثلها حرمة</w:t>
      </w:r>
      <w:r w:rsidRPr="00411A7A">
        <w:rPr>
          <w:rFonts w:hint="cs"/>
          <w:spacing w:val="-8"/>
          <w:rtl/>
        </w:rPr>
        <w:t>ٌ</w:t>
      </w:r>
      <w:r w:rsidRPr="00411A7A">
        <w:rPr>
          <w:spacing w:val="-8"/>
          <w:rtl/>
        </w:rPr>
        <w:t xml:space="preserve"> في أىّ مذهب حقوقي آخر.</w:t>
      </w:r>
    </w:p>
    <w:p w:rsidR="00C87E55" w:rsidRPr="006B7863" w:rsidRDefault="00C87E55" w:rsidP="00707350">
      <w:pPr>
        <w:pStyle w:val="ac"/>
        <w:spacing w:line="202" w:lineRule="auto"/>
        <w:rPr>
          <w:rFonts w:cs="AL-Mohanad"/>
          <w:b/>
          <w:bCs/>
        </w:rPr>
      </w:pPr>
      <w:r w:rsidRPr="009C1F7A">
        <w:rPr>
          <w:rtl/>
        </w:rPr>
        <w:lastRenderedPageBreak/>
        <w:t>قال تعالى:</w:t>
      </w:r>
      <w:r w:rsidRPr="006B7863">
        <w:rPr>
          <w:rFonts w:cs="AL-Mohanad"/>
          <w:b/>
          <w:rtl/>
        </w:rPr>
        <w:t xml:space="preserve"> </w:t>
      </w:r>
      <w:r w:rsidRPr="00AA2A63">
        <w:rPr>
          <w:rFonts w:cs="AL-Mohanad" w:hint="cs"/>
          <w:rtl/>
        </w:rPr>
        <w:sym w:font="Islamic Units 1" w:char="F03E"/>
      </w:r>
      <w:r w:rsidRPr="009C1F7A">
        <w:rPr>
          <w:b/>
          <w:bCs/>
          <w:rtl/>
        </w:rPr>
        <w:t>مِنْ أَجْلِ ذَلِكَ كَتَبْنَا عَلَى بَنِي إِسْرَائِيلَ أَنَّهُ مَن قَتَلَ نَفْسًا بِغَيْرِ نَفْس أو فَسَاد فِي الأَرْضِ فَكَأَنَّمَا قَتَلَ النَّاسَ جَمِيعًا وَمَنْ أَحْيَاهَا فَكَأَنَّمَا أَحْيَا النَّاسَ جَمِيعًا وَلَقَدْ</w:t>
      </w:r>
      <w:r w:rsidR="009C1F7A" w:rsidRPr="009C1F7A">
        <w:rPr>
          <w:rFonts w:hint="cs"/>
          <w:b/>
          <w:bCs/>
          <w:rtl/>
        </w:rPr>
        <w:t xml:space="preserve"> </w:t>
      </w:r>
      <w:r w:rsidRPr="009C1F7A">
        <w:rPr>
          <w:b/>
          <w:bCs/>
          <w:rtl/>
        </w:rPr>
        <w:t>جَاءتْهُمْ رُسُلُنَا بِالبَيِّنَاتِ ثُمَّ إِنَّ كَثِيرًا مِّنْهُم بَعْدَ ذَلِكَ فِي الأَرْضِ لَمُسْرِفُونَ</w:t>
      </w:r>
      <w:r w:rsidRPr="009C1F7A">
        <w:rPr>
          <w:rFonts w:hint="cs"/>
          <w:rtl/>
        </w:rPr>
        <w:sym w:font="Islamic Units 1" w:char="F03C"/>
      </w:r>
      <w:r w:rsidR="009C1F7A">
        <w:rPr>
          <w:rFonts w:hint="cs"/>
          <w:rtl/>
        </w:rPr>
        <w:t xml:space="preserve"> </w:t>
      </w:r>
      <w:r w:rsidRPr="009C1F7A">
        <w:rPr>
          <w:rFonts w:hint="cs"/>
          <w:rtl/>
        </w:rPr>
        <w:t>(</w:t>
      </w:r>
      <w:r w:rsidRPr="009C1F7A">
        <w:rPr>
          <w:rtl/>
        </w:rPr>
        <w:t>المائدة: 33</w:t>
      </w:r>
      <w:r w:rsidRPr="009C1F7A">
        <w:rPr>
          <w:rFonts w:hint="cs"/>
          <w:rtl/>
        </w:rPr>
        <w:t>)</w:t>
      </w:r>
      <w:r w:rsidRPr="009C1F7A">
        <w:rPr>
          <w:rtl/>
        </w:rPr>
        <w:t>.</w:t>
      </w:r>
    </w:p>
    <w:p w:rsidR="00C87E55" w:rsidRPr="006B7863" w:rsidRDefault="00C87E55" w:rsidP="00707350">
      <w:pPr>
        <w:pStyle w:val="ac"/>
        <w:spacing w:line="202" w:lineRule="auto"/>
      </w:pPr>
      <w:r w:rsidRPr="006B7863">
        <w:rPr>
          <w:rtl/>
        </w:rPr>
        <w:t>وقد انعكس المبدأ عينه في روايات أئمة الدين</w:t>
      </w:r>
      <w:r w:rsidR="009C1F7A" w:rsidRPr="009C1F7A">
        <w:rPr>
          <w:rFonts w:hint="cs"/>
          <w:rtl/>
        </w:rPr>
        <w:t>^</w:t>
      </w:r>
      <w:r w:rsidRPr="006B7863">
        <w:rPr>
          <w:rtl/>
        </w:rPr>
        <w:t>، ونشير هنا</w:t>
      </w:r>
      <w:r>
        <w:rPr>
          <w:rtl/>
        </w:rPr>
        <w:t xml:space="preserve"> إلى </w:t>
      </w:r>
      <w:r w:rsidRPr="006B7863">
        <w:rPr>
          <w:rtl/>
        </w:rPr>
        <w:t>نماذج ـ فقط ـ من هذه الروايات:</w:t>
      </w:r>
    </w:p>
    <w:p w:rsidR="00C87E55" w:rsidRPr="006B7863" w:rsidRDefault="00C87E55" w:rsidP="00707350">
      <w:pPr>
        <w:pStyle w:val="ac"/>
        <w:spacing w:line="202" w:lineRule="auto"/>
      </w:pPr>
      <w:r w:rsidRPr="006B7863">
        <w:rPr>
          <w:rtl/>
        </w:rPr>
        <w:t>1ـ عن رسول الله</w:t>
      </w:r>
      <w:r w:rsidR="00C86626">
        <w:rPr>
          <w:rFonts w:hint="cs"/>
          <w:rtl/>
        </w:rPr>
        <w:t>’</w:t>
      </w:r>
      <w:r w:rsidRPr="006B7863">
        <w:rPr>
          <w:rtl/>
        </w:rPr>
        <w:t xml:space="preserve"> قال: </w:t>
      </w:r>
      <w:r w:rsidRPr="00885E99">
        <w:rPr>
          <w:rtl/>
        </w:rPr>
        <w:t>«</w:t>
      </w:r>
      <w:r w:rsidRPr="006B7863">
        <w:rPr>
          <w:rtl/>
        </w:rPr>
        <w:t>من أعان على قتل مسلم</w:t>
      </w:r>
      <w:r>
        <w:rPr>
          <w:rFonts w:hint="cs"/>
          <w:rtl/>
        </w:rPr>
        <w:t>ٍ</w:t>
      </w:r>
      <w:r w:rsidRPr="006B7863">
        <w:rPr>
          <w:rtl/>
        </w:rPr>
        <w:t xml:space="preserve"> ولو بشطر كلمة جاء يوم القيامة وهو آيس من رحمة الله»</w:t>
      </w:r>
      <w:r w:rsidRPr="00815C4C">
        <w:rPr>
          <w:rFonts w:cs="Taher"/>
          <w:vertAlign w:val="superscript"/>
          <w:rtl/>
        </w:rPr>
        <w:t>(</w:t>
      </w:r>
      <w:r w:rsidRPr="00815C4C">
        <w:rPr>
          <w:rFonts w:cs="Taher"/>
          <w:vertAlign w:val="superscript"/>
          <w:rtl/>
        </w:rPr>
        <w:footnoteReference w:id="210"/>
      </w:r>
      <w:r w:rsidRPr="00815C4C">
        <w:rPr>
          <w:rFonts w:cs="Taher"/>
          <w:vertAlign w:val="superscript"/>
          <w:rtl/>
        </w:rPr>
        <w:t>)</w:t>
      </w:r>
      <w:r w:rsidRPr="006B7863">
        <w:rPr>
          <w:rtl/>
        </w:rPr>
        <w:t>.</w:t>
      </w:r>
    </w:p>
    <w:p w:rsidR="00C87E55" w:rsidRPr="006B7863" w:rsidRDefault="00C87E55" w:rsidP="00707350">
      <w:pPr>
        <w:pStyle w:val="ac"/>
        <w:spacing w:line="202" w:lineRule="auto"/>
      </w:pPr>
      <w:r w:rsidRPr="006B7863">
        <w:rPr>
          <w:rtl/>
        </w:rPr>
        <w:t>2ـ وعن الصادق</w:t>
      </w:r>
      <w:r w:rsidR="007333E2">
        <w:rPr>
          <w:rFonts w:hint="cs"/>
          <w:rtl/>
        </w:rPr>
        <w:t>×</w:t>
      </w:r>
      <w:r w:rsidRPr="006B7863">
        <w:rPr>
          <w:rtl/>
        </w:rPr>
        <w:t xml:space="preserve"> قال: </w:t>
      </w:r>
      <w:r w:rsidRPr="00885E99">
        <w:rPr>
          <w:rtl/>
        </w:rPr>
        <w:t>«</w:t>
      </w:r>
      <w:r w:rsidRPr="006B7863">
        <w:rPr>
          <w:rtl/>
        </w:rPr>
        <w:t>لا يدخل الجنة سافكٌ للدم، ولا شارب للخمر، ولا مشاء بنميم»</w:t>
      </w:r>
      <w:r w:rsidRPr="00815C4C">
        <w:rPr>
          <w:rFonts w:cs="Taher"/>
          <w:vertAlign w:val="superscript"/>
          <w:rtl/>
        </w:rPr>
        <w:t>(</w:t>
      </w:r>
      <w:r w:rsidRPr="00815C4C">
        <w:rPr>
          <w:rFonts w:cs="Taher"/>
          <w:vertAlign w:val="superscript"/>
          <w:rtl/>
        </w:rPr>
        <w:footnoteReference w:id="211"/>
      </w:r>
      <w:r w:rsidRPr="00815C4C">
        <w:rPr>
          <w:rFonts w:cs="Taher"/>
          <w:vertAlign w:val="superscript"/>
          <w:rtl/>
        </w:rPr>
        <w:t>)</w:t>
      </w:r>
      <w:r w:rsidRPr="006B7863">
        <w:rPr>
          <w:rtl/>
        </w:rPr>
        <w:t>.</w:t>
      </w:r>
    </w:p>
    <w:p w:rsidR="00C87E55" w:rsidRPr="006B7863" w:rsidRDefault="00C87E55" w:rsidP="00707350">
      <w:pPr>
        <w:pStyle w:val="ac"/>
        <w:spacing w:line="199" w:lineRule="auto"/>
      </w:pPr>
      <w:r w:rsidRPr="006B7863">
        <w:rPr>
          <w:rtl/>
        </w:rPr>
        <w:t>ويعدّ قتل النفس في الفقه ال</w:t>
      </w:r>
      <w:r>
        <w:rPr>
          <w:rtl/>
        </w:rPr>
        <w:t>إسلام</w:t>
      </w:r>
      <w:r w:rsidRPr="006B7863">
        <w:rPr>
          <w:rtl/>
        </w:rPr>
        <w:t>ي من كبائر الذنوب، وإنما كان تشريع الدية والقصاص فيه للحيلولة دون حصول هذا الفعل القبيح والسلوك الشنيع، كما ولأجل التعويض عن بعض الخسارات التي يُحدثها.</w:t>
      </w:r>
    </w:p>
    <w:p w:rsidR="00C87E55" w:rsidRPr="006B7863" w:rsidRDefault="00C87E55" w:rsidP="00707350">
      <w:pPr>
        <w:pStyle w:val="ac"/>
        <w:spacing w:line="199" w:lineRule="auto"/>
      </w:pPr>
      <w:r w:rsidRPr="006B7863">
        <w:rPr>
          <w:rtl/>
        </w:rPr>
        <w:t>إن</w:t>
      </w:r>
      <w:r>
        <w:rPr>
          <w:rFonts w:hint="cs"/>
          <w:rtl/>
        </w:rPr>
        <w:t>ّ</w:t>
      </w:r>
      <w:r w:rsidRPr="006B7863">
        <w:rPr>
          <w:rtl/>
        </w:rPr>
        <w:t xml:space="preserve"> تخصيص قسم</w:t>
      </w:r>
      <w:r>
        <w:rPr>
          <w:rFonts w:hint="cs"/>
          <w:rtl/>
        </w:rPr>
        <w:t>ٍ</w:t>
      </w:r>
      <w:r w:rsidRPr="006B7863">
        <w:rPr>
          <w:rtl/>
        </w:rPr>
        <w:t xml:space="preserve"> من الكتب الفقهية لمباحث القصاص والديات إنما يهدف</w:t>
      </w:r>
      <w:r>
        <w:rPr>
          <w:rtl/>
        </w:rPr>
        <w:t xml:space="preserve"> إلى </w:t>
      </w:r>
      <w:r w:rsidRPr="006B7863">
        <w:rPr>
          <w:rtl/>
        </w:rPr>
        <w:t>تشريح قوانينهما والمقرّرات الواردة فيهما.</w:t>
      </w:r>
    </w:p>
    <w:p w:rsidR="00C87E55" w:rsidRPr="006B7863" w:rsidRDefault="00C87E55" w:rsidP="00707350">
      <w:pPr>
        <w:pStyle w:val="ac"/>
        <w:spacing w:line="199" w:lineRule="auto"/>
      </w:pPr>
      <w:r>
        <w:rPr>
          <w:rFonts w:hint="cs"/>
          <w:rtl/>
        </w:rPr>
        <w:t>و</w:t>
      </w:r>
      <w:r w:rsidRPr="006B7863">
        <w:rPr>
          <w:rtl/>
        </w:rPr>
        <w:t>أحد الأسئلة الرئيسة في مسألة القصاص يتمثل في تساوي</w:t>
      </w:r>
      <w:r>
        <w:rPr>
          <w:rtl/>
        </w:rPr>
        <w:t xml:space="preserve"> أو </w:t>
      </w:r>
      <w:r w:rsidRPr="006B7863">
        <w:rPr>
          <w:rtl/>
        </w:rPr>
        <w:t xml:space="preserve">عدم تساوي قصاص الرجل والمرأة، وكذا المسلم والكافر، فالرأي المشهور بين الفقهاء يقوم على </w:t>
      </w:r>
      <w:r>
        <w:rPr>
          <w:rtl/>
        </w:rPr>
        <w:t>أساس</w:t>
      </w:r>
      <w:r w:rsidRPr="006B7863">
        <w:rPr>
          <w:rtl/>
        </w:rPr>
        <w:t xml:space="preserve"> مبدأ عدم التساوي في القصاص بين الرجل والمرأة، وكذا المسلم والكافر، ومعنى ذلك أنه لو قتل رجل </w:t>
      </w:r>
      <w:r>
        <w:rPr>
          <w:rFonts w:hint="cs"/>
          <w:rtl/>
        </w:rPr>
        <w:t>ا</w:t>
      </w:r>
      <w:r>
        <w:rPr>
          <w:rtl/>
        </w:rPr>
        <w:t>مر</w:t>
      </w:r>
      <w:r w:rsidRPr="006B7863">
        <w:rPr>
          <w:rtl/>
        </w:rPr>
        <w:t>أةً فلا يمكن لأولياء</w:t>
      </w:r>
      <w:r>
        <w:rPr>
          <w:rtl/>
        </w:rPr>
        <w:t xml:space="preserve"> المرأة </w:t>
      </w:r>
      <w:r w:rsidRPr="006B7863">
        <w:rPr>
          <w:rtl/>
        </w:rPr>
        <w:t>قتله، إلاّ إذا منحوا ورثته ـ أي ورثة الرجل القاتل ـ نصف دية ال</w:t>
      </w:r>
      <w:r>
        <w:rPr>
          <w:rtl/>
        </w:rPr>
        <w:t>إنسان</w:t>
      </w:r>
      <w:r w:rsidRPr="006B7863">
        <w:rPr>
          <w:rtl/>
        </w:rPr>
        <w:t xml:space="preserve"> الكامل، أما إذا قتلت </w:t>
      </w:r>
      <w:r>
        <w:rPr>
          <w:rFonts w:hint="cs"/>
          <w:rtl/>
        </w:rPr>
        <w:t>ا</w:t>
      </w:r>
      <w:r>
        <w:rPr>
          <w:rtl/>
        </w:rPr>
        <w:t>مر</w:t>
      </w:r>
      <w:r w:rsidRPr="006B7863">
        <w:rPr>
          <w:rtl/>
        </w:rPr>
        <w:t xml:space="preserve">أةٌ رجلاً كان </w:t>
      </w:r>
      <w:r>
        <w:rPr>
          <w:rtl/>
        </w:rPr>
        <w:t>بإمكان أولياء الرجل اقتيادها به</w:t>
      </w:r>
      <w:r>
        <w:rPr>
          <w:rFonts w:hint="cs"/>
          <w:rtl/>
        </w:rPr>
        <w:t xml:space="preserve">، </w:t>
      </w:r>
      <w:r w:rsidRPr="006B7863">
        <w:rPr>
          <w:rtl/>
        </w:rPr>
        <w:t>وهكذا، يجري الحكم المذكور عينه في حالة قتل المسلم والكافر.</w:t>
      </w:r>
    </w:p>
    <w:p w:rsidR="00C87E55" w:rsidRPr="0048227F" w:rsidRDefault="00C87E55" w:rsidP="00707350">
      <w:pPr>
        <w:pStyle w:val="ac"/>
        <w:spacing w:line="202" w:lineRule="auto"/>
      </w:pPr>
      <w:r w:rsidRPr="0048227F">
        <w:rPr>
          <w:rtl/>
        </w:rPr>
        <w:t>وبعبارة أخرى، إن</w:t>
      </w:r>
      <w:r w:rsidRPr="0048227F">
        <w:rPr>
          <w:rFonts w:hint="cs"/>
          <w:rtl/>
        </w:rPr>
        <w:t>ّ</w:t>
      </w:r>
      <w:r w:rsidRPr="0048227F">
        <w:rPr>
          <w:rtl/>
        </w:rPr>
        <w:t xml:space="preserve"> الفقهاء يرون للذكورة والإسلام فضيلة وأفضليةً، لذا يعتقدون بعدم وجود مساواة في القصاص بين الرجل والمرأة، وبين المسلم والكافر أيضاً.</w:t>
      </w:r>
    </w:p>
    <w:p w:rsidR="00C87E55" w:rsidRPr="006B7863" w:rsidRDefault="00C87E55" w:rsidP="007333E2">
      <w:pPr>
        <w:pStyle w:val="ac"/>
      </w:pPr>
      <w:r w:rsidRPr="006B7863">
        <w:rPr>
          <w:rtl/>
        </w:rPr>
        <w:lastRenderedPageBreak/>
        <w:t>ويصن</w:t>
      </w:r>
      <w:r>
        <w:rPr>
          <w:rFonts w:hint="cs"/>
          <w:rtl/>
        </w:rPr>
        <w:t>ّ</w:t>
      </w:r>
      <w:r w:rsidRPr="006B7863">
        <w:rPr>
          <w:rtl/>
        </w:rPr>
        <w:t xml:space="preserve">ف السيد المرتضى (436هـ) في كتابه </w:t>
      </w:r>
      <w:r w:rsidRPr="00885E99">
        <w:rPr>
          <w:rtl/>
        </w:rPr>
        <w:t>«</w:t>
      </w:r>
      <w:r w:rsidRPr="006B7863">
        <w:rPr>
          <w:rtl/>
        </w:rPr>
        <w:t>الانتصار» عدم تساوي الرجل والمرأة في القصاص مما انفردت به الإمامية واختص</w:t>
      </w:r>
      <w:r>
        <w:rPr>
          <w:rFonts w:hint="cs"/>
          <w:rtl/>
        </w:rPr>
        <w:t>ّ</w:t>
      </w:r>
      <w:r w:rsidRPr="006B7863">
        <w:rPr>
          <w:rtl/>
        </w:rPr>
        <w:t>ت بتبنّيه</w:t>
      </w:r>
      <w:r w:rsidRPr="00815C4C">
        <w:rPr>
          <w:rFonts w:cs="Taher"/>
          <w:vertAlign w:val="superscript"/>
          <w:rtl/>
        </w:rPr>
        <w:t>(</w:t>
      </w:r>
      <w:r w:rsidRPr="00815C4C">
        <w:rPr>
          <w:rFonts w:cs="Taher"/>
          <w:vertAlign w:val="superscript"/>
          <w:rtl/>
        </w:rPr>
        <w:footnoteReference w:id="212"/>
      </w:r>
      <w:r w:rsidRPr="00815C4C">
        <w:rPr>
          <w:rFonts w:cs="Taher"/>
          <w:vertAlign w:val="superscript"/>
          <w:rtl/>
        </w:rPr>
        <w:t>)</w:t>
      </w:r>
      <w:r>
        <w:rPr>
          <w:rtl/>
        </w:rPr>
        <w:t>، كما يدّع</w:t>
      </w:r>
      <w:r>
        <w:rPr>
          <w:rFonts w:hint="cs"/>
          <w:rtl/>
        </w:rPr>
        <w:t>ي</w:t>
      </w:r>
      <w:r w:rsidRPr="006B7863">
        <w:rPr>
          <w:rtl/>
        </w:rPr>
        <w:t xml:space="preserve"> الفاضل الهندي في كتابه </w:t>
      </w:r>
      <w:r w:rsidRPr="00885E99">
        <w:rPr>
          <w:rtl/>
        </w:rPr>
        <w:t>«</w:t>
      </w:r>
      <w:r w:rsidRPr="006B7863">
        <w:rPr>
          <w:rtl/>
        </w:rPr>
        <w:t>كشف اللثام» الإجماعَ على هذا الحكم</w:t>
      </w:r>
      <w:r w:rsidRPr="00815C4C">
        <w:rPr>
          <w:rFonts w:cs="Taher"/>
          <w:vertAlign w:val="superscript"/>
          <w:rtl/>
        </w:rPr>
        <w:t>(</w:t>
      </w:r>
      <w:r w:rsidRPr="00815C4C">
        <w:rPr>
          <w:rFonts w:cs="Taher"/>
          <w:vertAlign w:val="superscript"/>
          <w:rtl/>
        </w:rPr>
        <w:footnoteReference w:id="213"/>
      </w:r>
      <w:r w:rsidRPr="00815C4C">
        <w:rPr>
          <w:rFonts w:cs="Taher"/>
          <w:vertAlign w:val="superscript"/>
          <w:rtl/>
        </w:rPr>
        <w:t>)</w:t>
      </w:r>
      <w:r w:rsidRPr="006B7863">
        <w:rPr>
          <w:rtl/>
        </w:rPr>
        <w:t>، والادعاء نفسه يذكره صاحب الجواهر أيضاً، مشيراً</w:t>
      </w:r>
      <w:r>
        <w:rPr>
          <w:rtl/>
        </w:rPr>
        <w:t xml:space="preserve"> إلى </w:t>
      </w:r>
      <w:r w:rsidRPr="006B7863">
        <w:rPr>
          <w:rtl/>
        </w:rPr>
        <w:t>أن</w:t>
      </w:r>
      <w:r>
        <w:rPr>
          <w:rFonts w:hint="cs"/>
          <w:rtl/>
        </w:rPr>
        <w:t>ّ</w:t>
      </w:r>
      <w:r w:rsidRPr="006B7863">
        <w:rPr>
          <w:rtl/>
        </w:rPr>
        <w:t xml:space="preserve"> الشيخ الصدوق في كتاب </w:t>
      </w:r>
      <w:r w:rsidRPr="00885E99">
        <w:rPr>
          <w:rtl/>
        </w:rPr>
        <w:t>«</w:t>
      </w:r>
      <w:r w:rsidRPr="006B7863">
        <w:rPr>
          <w:rtl/>
        </w:rPr>
        <w:t>المقنع» هو الفقيه الشيعي الوحيد المعارض لهذا القول</w:t>
      </w:r>
      <w:r w:rsidRPr="00815C4C">
        <w:rPr>
          <w:rFonts w:cs="Taher"/>
          <w:vertAlign w:val="superscript"/>
          <w:rtl/>
        </w:rPr>
        <w:t>(</w:t>
      </w:r>
      <w:r w:rsidRPr="00815C4C">
        <w:rPr>
          <w:rFonts w:cs="Taher"/>
          <w:vertAlign w:val="superscript"/>
          <w:rtl/>
        </w:rPr>
        <w:footnoteReference w:id="214"/>
      </w:r>
      <w:r w:rsidRPr="00815C4C">
        <w:rPr>
          <w:rFonts w:cs="Taher"/>
          <w:vertAlign w:val="superscript"/>
          <w:rtl/>
        </w:rPr>
        <w:t>)</w:t>
      </w:r>
      <w:r w:rsidRPr="006B7863">
        <w:rPr>
          <w:rtl/>
        </w:rPr>
        <w:t>.</w:t>
      </w:r>
    </w:p>
    <w:p w:rsidR="00C87E55" w:rsidRPr="006B7863" w:rsidRDefault="00C87E55" w:rsidP="007333E2">
      <w:pPr>
        <w:pStyle w:val="ac"/>
      </w:pPr>
      <w:r w:rsidRPr="006B7863">
        <w:rPr>
          <w:rtl/>
        </w:rPr>
        <w:t>على أية حال، تعدّ مسألة عدم التساوي في القصاص بين بعض أفراد ال</w:t>
      </w:r>
      <w:r>
        <w:rPr>
          <w:rtl/>
        </w:rPr>
        <w:t>إنسان</w:t>
      </w:r>
      <w:r w:rsidRPr="006B7863">
        <w:rPr>
          <w:rtl/>
        </w:rPr>
        <w:t xml:space="preserve"> من الملفات التي يجابه بها الفقه ال</w:t>
      </w:r>
      <w:r>
        <w:rPr>
          <w:rtl/>
        </w:rPr>
        <w:t>إسلامي</w:t>
      </w:r>
      <w:r>
        <w:rPr>
          <w:rFonts w:hint="cs"/>
          <w:rtl/>
        </w:rPr>
        <w:t>؛</w:t>
      </w:r>
      <w:r w:rsidRPr="006B7863">
        <w:rPr>
          <w:rtl/>
        </w:rPr>
        <w:t xml:space="preserve"> حيث يصن</w:t>
      </w:r>
      <w:r>
        <w:rPr>
          <w:rFonts w:hint="cs"/>
          <w:rtl/>
        </w:rPr>
        <w:t>ّ</w:t>
      </w:r>
      <w:r w:rsidRPr="006B7863">
        <w:rPr>
          <w:rtl/>
        </w:rPr>
        <w:t>فها بعضهم مخالفةً لحقوق</w:t>
      </w:r>
      <w:r>
        <w:rPr>
          <w:rtl/>
        </w:rPr>
        <w:t xml:space="preserve"> الإنسان، وللعدل والإنصاف أيضاً</w:t>
      </w:r>
      <w:r>
        <w:rPr>
          <w:rFonts w:hint="cs"/>
          <w:rtl/>
        </w:rPr>
        <w:t xml:space="preserve">؛ </w:t>
      </w:r>
      <w:r w:rsidRPr="006B7863">
        <w:rPr>
          <w:rtl/>
        </w:rPr>
        <w:t>ولهذا، نسعى في هذه الدراسة لممارسة قراءة معم</w:t>
      </w:r>
      <w:r>
        <w:rPr>
          <w:rFonts w:hint="cs"/>
          <w:rtl/>
        </w:rPr>
        <w:t>ّ</w:t>
      </w:r>
      <w:r w:rsidRPr="006B7863">
        <w:rPr>
          <w:rtl/>
        </w:rPr>
        <w:t>قة ومستأنفة للنصوص القرآنية وأحاديث المعصومين</w:t>
      </w:r>
      <w:r w:rsidR="007333E2" w:rsidRPr="009C1F7A">
        <w:rPr>
          <w:rFonts w:hint="cs"/>
          <w:rtl/>
        </w:rPr>
        <w:t>^</w:t>
      </w:r>
      <w:r w:rsidRPr="006B7863">
        <w:rPr>
          <w:rtl/>
        </w:rPr>
        <w:t>.</w:t>
      </w:r>
    </w:p>
    <w:p w:rsidR="00C87E55" w:rsidRPr="006B7863" w:rsidRDefault="00C87E55" w:rsidP="007333E2">
      <w:pPr>
        <w:pStyle w:val="ac"/>
      </w:pPr>
      <w:r w:rsidRPr="006B7863">
        <w:rPr>
          <w:rtl/>
        </w:rPr>
        <w:t>والرأي الذي توصّلنا إليه يقضي بتساوي القصاص بين جميع أصناف البشر، وأن</w:t>
      </w:r>
      <w:r>
        <w:rPr>
          <w:rFonts w:hint="cs"/>
          <w:rtl/>
        </w:rPr>
        <w:t>ّ</w:t>
      </w:r>
      <w:r w:rsidRPr="006B7863">
        <w:rPr>
          <w:rtl/>
        </w:rPr>
        <w:t>ه لا توجد أي</w:t>
      </w:r>
      <w:r>
        <w:rPr>
          <w:rFonts w:hint="cs"/>
          <w:rtl/>
        </w:rPr>
        <w:t>ّ</w:t>
      </w:r>
      <w:r w:rsidRPr="006B7863">
        <w:rPr>
          <w:rtl/>
        </w:rPr>
        <w:t>ة خصوصية مميّزة من ناحية الجنس والديانة، وكلّ ما كان مخالفاً لذلك فلا بدّ من توجيهه،</w:t>
      </w:r>
      <w:r>
        <w:rPr>
          <w:rtl/>
        </w:rPr>
        <w:t xml:space="preserve"> أو </w:t>
      </w:r>
      <w:r w:rsidRPr="006B7863">
        <w:rPr>
          <w:rtl/>
        </w:rPr>
        <w:t>ردّ علمه</w:t>
      </w:r>
      <w:r>
        <w:rPr>
          <w:rtl/>
        </w:rPr>
        <w:t xml:space="preserve"> إلى </w:t>
      </w:r>
      <w:r w:rsidRPr="006B7863">
        <w:rPr>
          <w:rtl/>
        </w:rPr>
        <w:t>أهله.</w:t>
      </w:r>
    </w:p>
    <w:p w:rsidR="00C87E55" w:rsidRPr="006B7863" w:rsidRDefault="00C87E55" w:rsidP="007333E2">
      <w:pPr>
        <w:pStyle w:val="ac"/>
      </w:pPr>
      <w:r w:rsidRPr="006B7863">
        <w:rPr>
          <w:rtl/>
        </w:rPr>
        <w:t xml:space="preserve">ولتحليل وجهة النظر المذكورة، نبحث الموضوع ضمن </w:t>
      </w:r>
      <w:r>
        <w:rPr>
          <w:rFonts w:hint="cs"/>
          <w:rtl/>
        </w:rPr>
        <w:t>محاور</w:t>
      </w:r>
      <w:r w:rsidRPr="006B7863">
        <w:rPr>
          <w:rtl/>
        </w:rPr>
        <w:t xml:space="preserve"> ثلاثة:</w:t>
      </w:r>
    </w:p>
    <w:p w:rsidR="00C87E55" w:rsidRPr="006B7863" w:rsidRDefault="00C87E55" w:rsidP="007333E2">
      <w:pPr>
        <w:pStyle w:val="ac"/>
      </w:pPr>
      <w:r w:rsidRPr="006B7863">
        <w:rPr>
          <w:rtl/>
        </w:rPr>
        <w:t>ال</w:t>
      </w:r>
      <w:r>
        <w:rPr>
          <w:rFonts w:hint="cs"/>
          <w:rtl/>
        </w:rPr>
        <w:t>محور</w:t>
      </w:r>
      <w:r w:rsidRPr="006B7863">
        <w:rPr>
          <w:rtl/>
        </w:rPr>
        <w:t xml:space="preserve"> الأول: مبدأ التساوي في القصاص بين البشر في القرآن الكريم.</w:t>
      </w:r>
    </w:p>
    <w:p w:rsidR="00C87E55" w:rsidRPr="006B7863" w:rsidRDefault="00C87E55" w:rsidP="007333E2">
      <w:pPr>
        <w:pStyle w:val="ac"/>
      </w:pPr>
      <w:r w:rsidRPr="006B7863">
        <w:rPr>
          <w:rtl/>
        </w:rPr>
        <w:t>ال</w:t>
      </w:r>
      <w:r>
        <w:rPr>
          <w:rFonts w:hint="cs"/>
          <w:rtl/>
        </w:rPr>
        <w:t>محور</w:t>
      </w:r>
      <w:r w:rsidRPr="006B7863">
        <w:rPr>
          <w:rtl/>
        </w:rPr>
        <w:t xml:space="preserve"> الثاني: نقد نظرية عدم التساوي في القصاص بين الرجل والمرأة.</w:t>
      </w:r>
    </w:p>
    <w:p w:rsidR="00C87E55" w:rsidRDefault="00C87E55" w:rsidP="007333E2">
      <w:pPr>
        <w:pStyle w:val="ac"/>
        <w:rPr>
          <w:rtl/>
        </w:rPr>
      </w:pPr>
      <w:r w:rsidRPr="006B7863">
        <w:rPr>
          <w:rtl/>
        </w:rPr>
        <w:t>ال</w:t>
      </w:r>
      <w:r>
        <w:rPr>
          <w:rFonts w:hint="cs"/>
          <w:rtl/>
        </w:rPr>
        <w:t>محور</w:t>
      </w:r>
      <w:r w:rsidRPr="006B7863">
        <w:rPr>
          <w:rtl/>
        </w:rPr>
        <w:t xml:space="preserve"> الثالث: نقد نظرية عدم التساوي في القصاص بين المسلم والكافر.</w:t>
      </w:r>
    </w:p>
    <w:p w:rsidR="007333E2" w:rsidRPr="006B7863" w:rsidRDefault="007333E2" w:rsidP="00707350">
      <w:pPr>
        <w:pStyle w:val="afffffc"/>
      </w:pPr>
    </w:p>
    <w:p w:rsidR="00C87E55" w:rsidRPr="002609ED" w:rsidRDefault="00C87E55" w:rsidP="005067D6">
      <w:pPr>
        <w:pStyle w:val="1"/>
      </w:pPr>
      <w:bookmarkStart w:id="222" w:name="_Toc169521422"/>
      <w:bookmarkStart w:id="223" w:name="_Toc275127969"/>
      <w:r w:rsidRPr="00D457EB">
        <w:rPr>
          <w:rFonts w:hint="cs"/>
          <w:rtl/>
        </w:rPr>
        <w:t>المحور</w:t>
      </w:r>
      <w:r w:rsidRPr="00D457EB">
        <w:rPr>
          <w:rtl/>
        </w:rPr>
        <w:t xml:space="preserve"> الأوّل</w:t>
      </w:r>
      <w:bookmarkEnd w:id="222"/>
      <w:r>
        <w:rPr>
          <w:rFonts w:hint="cs"/>
          <w:rtl/>
        </w:rPr>
        <w:t xml:space="preserve">: </w:t>
      </w:r>
      <w:bookmarkStart w:id="224" w:name="_Toc169521423"/>
      <w:r w:rsidRPr="002609ED">
        <w:rPr>
          <w:rtl/>
        </w:rPr>
        <w:t xml:space="preserve">مبدأ المساواة في القصاص </w:t>
      </w:r>
      <w:r w:rsidR="005067D6">
        <w:rPr>
          <w:rFonts w:hint="cs"/>
          <w:rtl/>
        </w:rPr>
        <w:t>في</w:t>
      </w:r>
      <w:r w:rsidRPr="002609ED">
        <w:rPr>
          <w:rtl/>
        </w:rPr>
        <w:t xml:space="preserve"> ضوء القرآن</w:t>
      </w:r>
      <w:r w:rsidR="007333E2">
        <w:rPr>
          <w:rFonts w:hint="cs"/>
          <w:rtl/>
        </w:rPr>
        <w:t xml:space="preserve"> </w:t>
      </w:r>
      <w:r w:rsidRPr="002609ED">
        <w:rPr>
          <w:rtl/>
        </w:rPr>
        <w:t>الكريم</w:t>
      </w:r>
      <w:bookmarkEnd w:id="223"/>
      <w:bookmarkEnd w:id="224"/>
    </w:p>
    <w:p w:rsidR="00C87E55" w:rsidRDefault="00C87E55" w:rsidP="007333E2">
      <w:pPr>
        <w:pStyle w:val="ac"/>
        <w:rPr>
          <w:rtl/>
        </w:rPr>
      </w:pPr>
      <w:r w:rsidRPr="006B7863">
        <w:rPr>
          <w:rtl/>
        </w:rPr>
        <w:t>ثم</w:t>
      </w:r>
      <w:r>
        <w:rPr>
          <w:rFonts w:hint="cs"/>
          <w:rtl/>
        </w:rPr>
        <w:t>ّ</w:t>
      </w:r>
      <w:r>
        <w:rPr>
          <w:rtl/>
        </w:rPr>
        <w:t>ة في القرآن الكريم طائفتان من ا</w:t>
      </w:r>
      <w:r>
        <w:rPr>
          <w:rFonts w:hint="cs"/>
          <w:rtl/>
        </w:rPr>
        <w:t>لآيات</w:t>
      </w:r>
      <w:r w:rsidRPr="006B7863">
        <w:rPr>
          <w:rtl/>
        </w:rPr>
        <w:t xml:space="preserve"> الدال</w:t>
      </w:r>
      <w:r>
        <w:rPr>
          <w:rFonts w:hint="cs"/>
          <w:rtl/>
        </w:rPr>
        <w:t>ّ</w:t>
      </w:r>
      <w:r w:rsidRPr="006B7863">
        <w:rPr>
          <w:rtl/>
        </w:rPr>
        <w:t xml:space="preserve">ة على مبدأ المساواة في القصاص، ونحاول هنا استعراض الآيات </w:t>
      </w:r>
      <w:r>
        <w:rPr>
          <w:rFonts w:hint="cs"/>
          <w:rtl/>
        </w:rPr>
        <w:t xml:space="preserve">ـ </w:t>
      </w:r>
      <w:r>
        <w:rPr>
          <w:rtl/>
        </w:rPr>
        <w:t>أولاً</w:t>
      </w:r>
      <w:r w:rsidRPr="006B7863">
        <w:rPr>
          <w:rtl/>
        </w:rPr>
        <w:t xml:space="preserve"> </w:t>
      </w:r>
      <w:r>
        <w:rPr>
          <w:rFonts w:hint="cs"/>
          <w:rtl/>
        </w:rPr>
        <w:t xml:space="preserve">ـ </w:t>
      </w:r>
      <w:r w:rsidRPr="006B7863">
        <w:rPr>
          <w:rtl/>
        </w:rPr>
        <w:t>ثم الانشغال بشرحها، وتفكيكها، وبيان كيفية دلالتها على مبدأ المساواة المذكور.</w:t>
      </w:r>
    </w:p>
    <w:p w:rsidR="00C87E55" w:rsidRPr="00D457EB" w:rsidRDefault="00C87E55" w:rsidP="00707350">
      <w:pPr>
        <w:pStyle w:val="2"/>
        <w:rPr>
          <w:szCs w:val="22"/>
        </w:rPr>
      </w:pPr>
      <w:bookmarkStart w:id="225" w:name="_Toc275127970"/>
      <w:r w:rsidRPr="00D457EB">
        <w:rPr>
          <w:rtl/>
        </w:rPr>
        <w:lastRenderedPageBreak/>
        <w:t>أ ـ الآيات الخاص</w:t>
      </w:r>
      <w:r w:rsidRPr="00D457EB">
        <w:rPr>
          <w:rFonts w:hint="cs"/>
          <w:rtl/>
        </w:rPr>
        <w:t>ّ</w:t>
      </w:r>
      <w:r w:rsidRPr="00D457EB">
        <w:rPr>
          <w:rtl/>
        </w:rPr>
        <w:t>ة</w:t>
      </w:r>
      <w:bookmarkEnd w:id="225"/>
    </w:p>
    <w:p w:rsidR="00C87E55" w:rsidRPr="00773222" w:rsidRDefault="00C87E55" w:rsidP="007333E2">
      <w:pPr>
        <w:pStyle w:val="ac"/>
        <w:rPr>
          <w:rFonts w:cs="AL-Mohanad"/>
          <w:b/>
        </w:rPr>
      </w:pPr>
      <w:r w:rsidRPr="007333E2">
        <w:rPr>
          <w:rtl/>
        </w:rPr>
        <w:t xml:space="preserve">1 ـ قال تعالى: </w:t>
      </w:r>
      <w:r w:rsidRPr="007333E2">
        <w:rPr>
          <w:rFonts w:hint="cs"/>
          <w:rtl/>
        </w:rPr>
        <w:sym w:font="Islamic Units 1" w:char="F03E"/>
      </w:r>
      <w:r w:rsidRPr="00546986">
        <w:rPr>
          <w:b/>
          <w:bCs/>
          <w:rtl/>
        </w:rPr>
        <w:t>يَا أَيُّهَا الَّذِينَ آمَنُواْ كُتِبَ عَلَيْكُمُ الْقِصَاصُ فِي الْقَتْلَى الْحُرُّ بِالْحُرِّ وَالْعَبْدُ بِالْعَبْدِ وَالأُنثَى بِالأُنثَى فَمَنْ عُفِيَ لَهُ مِنْ أَخِيهِ شَيٌْ فَاتِّبَاعٌ بِالْمَعْرُوفِ وَأَدَاء إِلَيْهِ بِإِحْسَان ذَلِكَ تَخْفِيفٌ مِّن رَّبِّكُمْ وَرَحْمَةٌ فَمَنِ اعْتَدَى بَعْدَ ذَلِكَ فَلَهُ عَذَابٌ أَلِيمٌ</w:t>
      </w:r>
      <w:r w:rsidRPr="007333E2">
        <w:rPr>
          <w:rFonts w:hint="cs"/>
          <w:rtl/>
        </w:rPr>
        <w:sym w:font="Islamic Units 1" w:char="F03C"/>
      </w:r>
      <w:r w:rsidRPr="007333E2">
        <w:rPr>
          <w:rFonts w:hint="cs"/>
          <w:rtl/>
        </w:rPr>
        <w:t xml:space="preserve"> (</w:t>
      </w:r>
      <w:r w:rsidRPr="007333E2">
        <w:rPr>
          <w:rtl/>
        </w:rPr>
        <w:t>البقرة: 178</w:t>
      </w:r>
      <w:r w:rsidRPr="007333E2">
        <w:rPr>
          <w:rFonts w:hint="cs"/>
          <w:rtl/>
        </w:rPr>
        <w:t>)</w:t>
      </w:r>
      <w:r w:rsidRPr="007333E2">
        <w:rPr>
          <w:rtl/>
        </w:rPr>
        <w:t>.</w:t>
      </w:r>
    </w:p>
    <w:p w:rsidR="00C87E55" w:rsidRPr="00546986" w:rsidRDefault="00C87E55" w:rsidP="00546986">
      <w:pPr>
        <w:pStyle w:val="ac"/>
      </w:pPr>
      <w:r w:rsidRPr="00546986">
        <w:rPr>
          <w:rtl/>
        </w:rPr>
        <w:t>2 ـ وقال سبحانه:</w:t>
      </w:r>
      <w:r w:rsidRPr="006B7863">
        <w:rPr>
          <w:b/>
          <w:rtl/>
        </w:rPr>
        <w:t xml:space="preserve"> </w:t>
      </w:r>
      <w:r w:rsidRPr="00546986">
        <w:rPr>
          <w:rFonts w:hint="cs"/>
          <w:rtl/>
        </w:rPr>
        <w:sym w:font="Islamic Units 1" w:char="F03E"/>
      </w:r>
      <w:r w:rsidRPr="00546986">
        <w:rPr>
          <w:b/>
          <w:bCs/>
          <w:rtl/>
        </w:rPr>
        <w:t>وَلَكُمْ فِي الْقِصَاصِ حَيَاةٌ يَاْ أُولِيْ الأَلْبَابِ لَعَلَّكُمْ تَتَّقُونَ</w:t>
      </w:r>
      <w:r w:rsidRPr="00546986">
        <w:rPr>
          <w:rFonts w:hint="cs"/>
          <w:rtl/>
        </w:rPr>
        <w:sym w:font="Islamic Units 1" w:char="F03C"/>
      </w:r>
      <w:r w:rsidRPr="00546986">
        <w:rPr>
          <w:rFonts w:hint="cs"/>
          <w:rtl/>
        </w:rPr>
        <w:t xml:space="preserve"> (</w:t>
      </w:r>
      <w:r w:rsidRPr="00546986">
        <w:rPr>
          <w:rtl/>
        </w:rPr>
        <w:t>البقرة: 179</w:t>
      </w:r>
      <w:r w:rsidRPr="00546986">
        <w:rPr>
          <w:rFonts w:hint="cs"/>
          <w:rtl/>
        </w:rPr>
        <w:t>)</w:t>
      </w:r>
      <w:r w:rsidRPr="00546986">
        <w:rPr>
          <w:rtl/>
        </w:rPr>
        <w:t>.</w:t>
      </w:r>
    </w:p>
    <w:p w:rsidR="00C87E55" w:rsidRPr="006B7863" w:rsidRDefault="00C87E55" w:rsidP="00546986">
      <w:pPr>
        <w:pStyle w:val="ac"/>
        <w:rPr>
          <w:rFonts w:cs="AL-Mohanad"/>
          <w:b/>
        </w:rPr>
      </w:pPr>
      <w:r w:rsidRPr="00546986">
        <w:rPr>
          <w:rtl/>
        </w:rPr>
        <w:t xml:space="preserve">3 ـ </w:t>
      </w:r>
      <w:r w:rsidRPr="00546986">
        <w:rPr>
          <w:rFonts w:hint="cs"/>
          <w:rtl/>
        </w:rPr>
        <w:sym w:font="Islamic Units 1" w:char="F03E"/>
      </w:r>
      <w:r w:rsidRPr="00546986">
        <w:rPr>
          <w:b/>
          <w:bCs/>
          <w:rtl/>
        </w:rPr>
        <w:t>وَكَتَبْنَا عَلَيْهِمْ فِيهَا أَنَّ النَّفْسَ بِالنَّفْسِ وَالْعَيْنَ بِالْعَيْنِ وَالأَنفَ بِالأَنفِ وَالأُذُنَ بِالأُذُنِ وَالسِّنَّ بِالسِّنِّ وَالْجُرُوحَ قِصَاصٌ فَمَن تَصَدَّقَ بِهِ فَهُوَ كَفَّارَةٌ لَّهُ وَمَن لَّمْ يَحْكُم بِمَا أنزَلَ الله فَأُوْلَـئِكَ هُمُ الظَّالِمُونَ</w:t>
      </w:r>
      <w:r w:rsidRPr="00546986">
        <w:rPr>
          <w:rFonts w:hint="cs"/>
          <w:rtl/>
        </w:rPr>
        <w:sym w:font="Islamic Units 1" w:char="F03C"/>
      </w:r>
      <w:r w:rsidRPr="00546986">
        <w:rPr>
          <w:rFonts w:hint="cs"/>
          <w:rtl/>
        </w:rPr>
        <w:t xml:space="preserve"> (</w:t>
      </w:r>
      <w:r w:rsidRPr="00546986">
        <w:rPr>
          <w:rtl/>
        </w:rPr>
        <w:t>المائدة: 45</w:t>
      </w:r>
      <w:r w:rsidRPr="00546986">
        <w:rPr>
          <w:rFonts w:hint="cs"/>
          <w:rtl/>
        </w:rPr>
        <w:t>)</w:t>
      </w:r>
      <w:r w:rsidRPr="00546986">
        <w:rPr>
          <w:rtl/>
        </w:rPr>
        <w:t>.</w:t>
      </w:r>
    </w:p>
    <w:p w:rsidR="00C87E55" w:rsidRDefault="00C87E55" w:rsidP="00546986">
      <w:pPr>
        <w:pStyle w:val="ac"/>
        <w:rPr>
          <w:rtl/>
        </w:rPr>
      </w:pPr>
      <w:r w:rsidRPr="00546986">
        <w:rPr>
          <w:rtl/>
        </w:rPr>
        <w:t xml:space="preserve">4 ـ وقال: </w:t>
      </w:r>
      <w:r w:rsidRPr="00546986">
        <w:rPr>
          <w:rFonts w:hint="cs"/>
          <w:rtl/>
        </w:rPr>
        <w:sym w:font="Islamic Units 1" w:char="F03E"/>
      </w:r>
      <w:r w:rsidRPr="00546986">
        <w:rPr>
          <w:b/>
          <w:bCs/>
          <w:rtl/>
        </w:rPr>
        <w:t>وَلاَ تَقْتُلُواْ النَّفْسَ الَّتِي حَرَّمَ الله اِلاَّ بِالحَقِّ وَمَن قُتِلَ مَظْلُومًا فَقَدْ جَعَلْنَا لِوَلِيِّهِ سُلْطَانًا فَلاَ يُسْرِف فِّي الْقَتْلِ إِنَّهُ كَانَ مَنْصُورًا</w:t>
      </w:r>
      <w:r w:rsidRPr="00AA2A63">
        <w:rPr>
          <w:rFonts w:cs="AL-Mohanad" w:hint="cs"/>
          <w:rtl/>
        </w:rPr>
        <w:sym w:font="Islamic Units 1" w:char="F03C"/>
      </w:r>
      <w:r>
        <w:rPr>
          <w:rFonts w:cs="AL-Mohanad" w:hint="cs"/>
          <w:b/>
          <w:rtl/>
        </w:rPr>
        <w:t xml:space="preserve"> </w:t>
      </w:r>
      <w:r w:rsidRPr="00546986">
        <w:rPr>
          <w:rFonts w:hint="cs"/>
          <w:rtl/>
        </w:rPr>
        <w:t>(</w:t>
      </w:r>
      <w:r w:rsidRPr="00546986">
        <w:rPr>
          <w:rtl/>
        </w:rPr>
        <w:t>الإسراء: 33</w:t>
      </w:r>
      <w:r w:rsidRPr="00546986">
        <w:rPr>
          <w:rFonts w:hint="cs"/>
          <w:rtl/>
        </w:rPr>
        <w:t>)</w:t>
      </w:r>
      <w:r w:rsidRPr="00546986">
        <w:rPr>
          <w:rtl/>
        </w:rPr>
        <w:t>.</w:t>
      </w:r>
    </w:p>
    <w:p w:rsidR="00546986" w:rsidRPr="006B7863" w:rsidRDefault="00546986" w:rsidP="00707350">
      <w:pPr>
        <w:pStyle w:val="afffffc"/>
      </w:pPr>
    </w:p>
    <w:p w:rsidR="00C87E55" w:rsidRPr="00D457EB" w:rsidRDefault="00C87E55" w:rsidP="00707350">
      <w:pPr>
        <w:pStyle w:val="2"/>
        <w:rPr>
          <w:szCs w:val="22"/>
        </w:rPr>
      </w:pPr>
      <w:bookmarkStart w:id="226" w:name="_Toc275127971"/>
      <w:r w:rsidRPr="00D457EB">
        <w:rPr>
          <w:rtl/>
        </w:rPr>
        <w:t>ب ـ الآيات العامّة</w:t>
      </w:r>
      <w:bookmarkEnd w:id="226"/>
    </w:p>
    <w:p w:rsidR="00C87E55" w:rsidRPr="006B7863" w:rsidRDefault="00C87E55" w:rsidP="00546986">
      <w:pPr>
        <w:pStyle w:val="ac"/>
        <w:rPr>
          <w:rFonts w:cs="AL-Mohanad"/>
          <w:b/>
        </w:rPr>
      </w:pPr>
      <w:r w:rsidRPr="00546986">
        <w:rPr>
          <w:rtl/>
        </w:rPr>
        <w:t xml:space="preserve">1ـ قال تعالى: </w:t>
      </w:r>
      <w:r w:rsidRPr="00546986">
        <w:rPr>
          <w:rFonts w:hint="cs"/>
          <w:rtl/>
        </w:rPr>
        <w:sym w:font="Islamic Units 1" w:char="F03E"/>
      </w:r>
      <w:r w:rsidRPr="00546986">
        <w:rPr>
          <w:b/>
          <w:bCs/>
          <w:rtl/>
        </w:rPr>
        <w:t xml:space="preserve">وَجَزَاء سَيِّئَة سَيِّئَةٌ مِّثْلُهَا فَمَنْ عَفَا وَأَصْلَحَ فَأَجْرُهُ عَلَى الله </w:t>
      </w:r>
      <w:r w:rsidRPr="00546986">
        <w:rPr>
          <w:rFonts w:hint="cs"/>
          <w:b/>
          <w:bCs/>
          <w:rtl/>
        </w:rPr>
        <w:t>إ</w:t>
      </w:r>
      <w:r w:rsidRPr="00546986">
        <w:rPr>
          <w:b/>
          <w:bCs/>
          <w:rtl/>
        </w:rPr>
        <w:t>ِنَّهُ لا يُحِبُّ الظَّالِمِينَ</w:t>
      </w:r>
      <w:r w:rsidRPr="00AA2A63">
        <w:rPr>
          <w:rFonts w:cs="AL-Mohanad" w:hint="cs"/>
          <w:rtl/>
        </w:rPr>
        <w:sym w:font="Islamic Units 1" w:char="F03C"/>
      </w:r>
      <w:r>
        <w:rPr>
          <w:rFonts w:cs="AL-Mohanad" w:hint="cs"/>
          <w:b/>
          <w:rtl/>
        </w:rPr>
        <w:t xml:space="preserve"> </w:t>
      </w:r>
      <w:r w:rsidRPr="00546986">
        <w:rPr>
          <w:rFonts w:hint="cs"/>
          <w:rtl/>
        </w:rPr>
        <w:t>(</w:t>
      </w:r>
      <w:r w:rsidRPr="00546986">
        <w:rPr>
          <w:rtl/>
        </w:rPr>
        <w:t>الشورى: 40</w:t>
      </w:r>
      <w:r w:rsidRPr="00546986">
        <w:rPr>
          <w:rFonts w:hint="cs"/>
          <w:rtl/>
        </w:rPr>
        <w:t>)</w:t>
      </w:r>
      <w:r w:rsidRPr="00546986">
        <w:rPr>
          <w:rtl/>
        </w:rPr>
        <w:t>.</w:t>
      </w:r>
    </w:p>
    <w:p w:rsidR="00C87E55" w:rsidRPr="006B7863" w:rsidRDefault="00C87E55" w:rsidP="00546986">
      <w:pPr>
        <w:pStyle w:val="ac"/>
        <w:rPr>
          <w:rFonts w:cs="AL-Mohanad"/>
          <w:b/>
        </w:rPr>
      </w:pPr>
      <w:r w:rsidRPr="00546986">
        <w:rPr>
          <w:rtl/>
        </w:rPr>
        <w:t xml:space="preserve">2ـ وقال: </w:t>
      </w:r>
      <w:r w:rsidRPr="00546986">
        <w:rPr>
          <w:rFonts w:hint="cs"/>
          <w:rtl/>
        </w:rPr>
        <w:sym w:font="Islamic Units 1" w:char="F03E"/>
      </w:r>
      <w:r w:rsidRPr="00546986">
        <w:rPr>
          <w:b/>
          <w:bCs/>
          <w:rtl/>
        </w:rPr>
        <w:t>وَلَمَنِ انتَصَرَ بَعْدَ ظُلْمِهِ فَأُوْلَئِكَ مَا عَلَيْهِم مِّن سَبِيل</w:t>
      </w:r>
      <w:r w:rsidRPr="00546986">
        <w:rPr>
          <w:rFonts w:hint="cs"/>
          <w:rtl/>
        </w:rPr>
        <w:sym w:font="Islamic Units 1" w:char="F03C"/>
      </w:r>
      <w:r w:rsidRPr="00546986">
        <w:rPr>
          <w:rFonts w:hint="cs"/>
          <w:rtl/>
        </w:rPr>
        <w:t xml:space="preserve"> (</w:t>
      </w:r>
      <w:r w:rsidRPr="00546986">
        <w:rPr>
          <w:rtl/>
        </w:rPr>
        <w:t>الشورى: 41</w:t>
      </w:r>
      <w:r w:rsidRPr="00546986">
        <w:rPr>
          <w:rFonts w:hint="cs"/>
          <w:rtl/>
        </w:rPr>
        <w:t>)</w:t>
      </w:r>
      <w:r w:rsidRPr="00546986">
        <w:rPr>
          <w:rtl/>
        </w:rPr>
        <w:t>.</w:t>
      </w:r>
    </w:p>
    <w:p w:rsidR="00C87E55" w:rsidRPr="006B7863" w:rsidRDefault="00C87E55" w:rsidP="00546986">
      <w:pPr>
        <w:pStyle w:val="ac"/>
        <w:rPr>
          <w:rFonts w:cs="AL-Mohanad"/>
          <w:b/>
        </w:rPr>
      </w:pPr>
      <w:r w:rsidRPr="00546986">
        <w:rPr>
          <w:rtl/>
        </w:rPr>
        <w:t>3ـ وقال:</w:t>
      </w:r>
      <w:r w:rsidRPr="006B7863">
        <w:rPr>
          <w:rFonts w:cs="AL-Mohanad"/>
          <w:b/>
          <w:rtl/>
        </w:rPr>
        <w:t xml:space="preserve"> </w:t>
      </w:r>
      <w:r w:rsidRPr="00AA2A63">
        <w:rPr>
          <w:rFonts w:cs="AL-Mohanad" w:hint="cs"/>
          <w:rtl/>
        </w:rPr>
        <w:sym w:font="Islamic Units 1" w:char="F03E"/>
      </w:r>
      <w:r w:rsidRPr="00546986">
        <w:rPr>
          <w:b/>
          <w:bCs/>
          <w:rtl/>
        </w:rPr>
        <w:t>وَإِنْ عَاقَبْتُمْ فَعَاقِبُواْ بِمِثْلِ مَا عُوقِبْتُم بِهِ وَلَئِن صَبَرْتُمْ لَهُوَ خَيْرٌ لِّلصَّابِرينَ</w:t>
      </w:r>
      <w:r w:rsidRPr="00AA2A63">
        <w:rPr>
          <w:rFonts w:cs="AL-Mohanad" w:hint="cs"/>
          <w:rtl/>
        </w:rPr>
        <w:sym w:font="Islamic Units 1" w:char="F03C"/>
      </w:r>
      <w:r>
        <w:rPr>
          <w:rFonts w:cs="AL-Mohanad" w:hint="cs"/>
          <w:b/>
          <w:rtl/>
        </w:rPr>
        <w:t xml:space="preserve"> </w:t>
      </w:r>
      <w:r w:rsidRPr="00546986">
        <w:rPr>
          <w:rFonts w:hint="cs"/>
          <w:rtl/>
        </w:rPr>
        <w:t>(</w:t>
      </w:r>
      <w:r w:rsidRPr="00546986">
        <w:rPr>
          <w:rtl/>
        </w:rPr>
        <w:t>النحل: 126</w:t>
      </w:r>
      <w:r w:rsidRPr="00546986">
        <w:rPr>
          <w:rFonts w:hint="cs"/>
          <w:rtl/>
        </w:rPr>
        <w:t>)</w:t>
      </w:r>
      <w:r w:rsidRPr="00546986">
        <w:rPr>
          <w:rtl/>
        </w:rPr>
        <w:t>.</w:t>
      </w:r>
    </w:p>
    <w:p w:rsidR="00C87E55" w:rsidRPr="006B7863" w:rsidRDefault="00C87E55" w:rsidP="00546986">
      <w:pPr>
        <w:pStyle w:val="ac"/>
        <w:rPr>
          <w:rFonts w:cs="AL-Mohanad"/>
          <w:b/>
        </w:rPr>
      </w:pPr>
      <w:r w:rsidRPr="00546986">
        <w:rPr>
          <w:rtl/>
        </w:rPr>
        <w:t xml:space="preserve">4 ـ </w:t>
      </w:r>
      <w:r w:rsidRPr="00546986">
        <w:rPr>
          <w:rFonts w:hint="cs"/>
          <w:rtl/>
        </w:rPr>
        <w:sym w:font="Islamic Units 1" w:char="F03E"/>
      </w:r>
      <w:r w:rsidRPr="00546986">
        <w:rPr>
          <w:b/>
          <w:bCs/>
          <w:rtl/>
        </w:rPr>
        <w:t>الشَّهْرُ الْحَرَامُ بِالشَّهْرِ الْحَرَامِ وَالْحُرُمَاتُ قِصَاصٌ فَمَنِ اعْتَدَى عَلَيْكُمْ فَاعْتَدُواْ عَلَيْهِ بِمِثْلِ مَا اعْتَدَى عَلَيْكُمْ وَاتَّقُواْ الله وَاعْلَمُواْ أَنَّ الله مَعَ الْمُتَّقِينَ</w:t>
      </w:r>
      <w:r w:rsidRPr="00AA2A63">
        <w:rPr>
          <w:rFonts w:cs="AL-Mohanad" w:hint="cs"/>
          <w:rtl/>
        </w:rPr>
        <w:sym w:font="Islamic Units 1" w:char="F03C"/>
      </w:r>
      <w:r>
        <w:rPr>
          <w:rFonts w:cs="AL-Mohanad" w:hint="cs"/>
          <w:b/>
          <w:rtl/>
        </w:rPr>
        <w:t xml:space="preserve"> </w:t>
      </w:r>
      <w:r w:rsidRPr="00546986">
        <w:rPr>
          <w:rFonts w:hint="cs"/>
          <w:rtl/>
        </w:rPr>
        <w:t>(</w:t>
      </w:r>
      <w:r w:rsidRPr="00546986">
        <w:rPr>
          <w:rtl/>
        </w:rPr>
        <w:t>البقرة: 194</w:t>
      </w:r>
      <w:r w:rsidRPr="00546986">
        <w:rPr>
          <w:rFonts w:hint="cs"/>
          <w:rtl/>
        </w:rPr>
        <w:t>)</w:t>
      </w:r>
      <w:r w:rsidRPr="00546986">
        <w:rPr>
          <w:rtl/>
        </w:rPr>
        <w:t>.</w:t>
      </w:r>
    </w:p>
    <w:p w:rsidR="00C87E55" w:rsidRPr="006B7863" w:rsidRDefault="00C87E55" w:rsidP="00546986">
      <w:pPr>
        <w:pStyle w:val="ac"/>
      </w:pPr>
      <w:r w:rsidRPr="006B7863">
        <w:rPr>
          <w:rtl/>
        </w:rPr>
        <w:t xml:space="preserve">إننا ندّعي أن في هذه الآيات إطلاقاً، وهي تدلّ ـ صراحةً ـ على تساوي الرجل والمرأة، الحرّ والعبد، المسلم والكافر، تماماً كما تحتوي على إطلاق بلحاظ اللون والعرق والقومية، ويؤيَّد هذا الإطلاق وتلك الصراحة في الدلالة بمذاق الشارع والمنحى العام في الكتاب والسنّة </w:t>
      </w:r>
      <w:r>
        <w:rPr>
          <w:rtl/>
        </w:rPr>
        <w:t>فيما يتعلّق بالمساواة بين الناس</w:t>
      </w:r>
      <w:r>
        <w:rPr>
          <w:rFonts w:hint="cs"/>
          <w:rtl/>
        </w:rPr>
        <w:t>؛</w:t>
      </w:r>
      <w:r w:rsidRPr="006B7863">
        <w:rPr>
          <w:rtl/>
        </w:rPr>
        <w:t xml:space="preserve"> فقد اعتبر القرآن الكريم البشر </w:t>
      </w:r>
      <w:r w:rsidRPr="006B7863">
        <w:rPr>
          <w:rtl/>
        </w:rPr>
        <w:lastRenderedPageBreak/>
        <w:t>جميعهم أبناء آدم وحواء، ولم يضع أي</w:t>
      </w:r>
      <w:r>
        <w:rPr>
          <w:rFonts w:hint="cs"/>
          <w:rtl/>
        </w:rPr>
        <w:t>ّ</w:t>
      </w:r>
      <w:r w:rsidRPr="006B7863">
        <w:rPr>
          <w:rtl/>
        </w:rPr>
        <w:t xml:space="preserve"> فرق</w:t>
      </w:r>
      <w:r>
        <w:rPr>
          <w:rFonts w:hint="cs"/>
          <w:rtl/>
        </w:rPr>
        <w:t>ٍ</w:t>
      </w:r>
      <w:r>
        <w:rPr>
          <w:rtl/>
        </w:rPr>
        <w:t xml:space="preserve"> أو </w:t>
      </w:r>
      <w:r w:rsidRPr="006B7863">
        <w:rPr>
          <w:rtl/>
        </w:rPr>
        <w:t>تمييز بينهم في مبدأ الخلقة</w:t>
      </w:r>
      <w:r>
        <w:rPr>
          <w:rtl/>
        </w:rPr>
        <w:t>، وفي الطاقات الإنسانية الكامنة</w:t>
      </w:r>
      <w:r>
        <w:rPr>
          <w:rFonts w:hint="cs"/>
          <w:rtl/>
        </w:rPr>
        <w:t xml:space="preserve">، </w:t>
      </w:r>
      <w:r w:rsidRPr="006B7863">
        <w:rPr>
          <w:rtl/>
        </w:rPr>
        <w:t xml:space="preserve">قال تعالى: </w:t>
      </w:r>
      <w:r w:rsidRPr="00AA2A63">
        <w:rPr>
          <w:rFonts w:hint="cs"/>
          <w:rtl/>
        </w:rPr>
        <w:sym w:font="Islamic Units 1" w:char="F03E"/>
      </w:r>
      <w:r w:rsidRPr="00546986">
        <w:rPr>
          <w:b/>
          <w:bCs/>
          <w:rtl/>
        </w:rPr>
        <w:t>يَا أَيُّهَا النَّاسُ اتَّقُواْ رَبَّكُمُ الَّذِي خَلَقَكُم مِّن نَّفْس وَاحِدَة وَخَلَقَ مِنْهَا زَوْجَهَا وَبَثَّ مِنْهُمَا رِجَالاً كَثِيرًا وَنِسَاء</w:t>
      </w:r>
      <w:r w:rsidRPr="00DC35D2">
        <w:rPr>
          <w:rStyle w:val="Char3"/>
          <w:rFonts w:hint="cs"/>
          <w:rtl/>
        </w:rPr>
        <w:sym w:font="Islamic Units 1" w:char="F03C"/>
      </w:r>
      <w:r>
        <w:rPr>
          <w:rFonts w:hint="cs"/>
          <w:rtl/>
        </w:rPr>
        <w:t xml:space="preserve"> (</w:t>
      </w:r>
      <w:r w:rsidRPr="006B7863">
        <w:rPr>
          <w:rtl/>
        </w:rPr>
        <w:t>النساء: 1</w:t>
      </w:r>
      <w:r>
        <w:rPr>
          <w:rFonts w:hint="cs"/>
          <w:rtl/>
        </w:rPr>
        <w:t xml:space="preserve">)، </w:t>
      </w:r>
      <w:r w:rsidRPr="006B7863">
        <w:rPr>
          <w:rtl/>
        </w:rPr>
        <w:t>كما عدّ التقوى في آية</w:t>
      </w:r>
      <w:r>
        <w:rPr>
          <w:rFonts w:hint="cs"/>
          <w:rtl/>
        </w:rPr>
        <w:t>ٍ</w:t>
      </w:r>
      <w:r w:rsidRPr="006B7863">
        <w:rPr>
          <w:rtl/>
        </w:rPr>
        <w:t xml:space="preserve"> </w:t>
      </w:r>
      <w:r>
        <w:rPr>
          <w:rtl/>
        </w:rPr>
        <w:t>أخرى</w:t>
      </w:r>
      <w:r w:rsidRPr="006B7863">
        <w:rPr>
          <w:rtl/>
        </w:rPr>
        <w:t xml:space="preserve"> </w:t>
      </w:r>
      <w:r>
        <w:rPr>
          <w:rtl/>
        </w:rPr>
        <w:t>أساس</w:t>
      </w:r>
      <w:r w:rsidRPr="006B7863">
        <w:rPr>
          <w:rtl/>
        </w:rPr>
        <w:t xml:space="preserve"> التفضيل البشري، قال سبحانه: </w:t>
      </w:r>
      <w:r w:rsidRPr="00AA2A63">
        <w:rPr>
          <w:rFonts w:hint="cs"/>
          <w:rtl/>
        </w:rPr>
        <w:sym w:font="Islamic Units 1" w:char="F03E"/>
      </w:r>
      <w:r w:rsidRPr="00546986">
        <w:rPr>
          <w:b/>
          <w:bCs/>
          <w:rtl/>
        </w:rPr>
        <w:t>يَا أَيُّهَا النَّاسُ إِنَّا خَلَقْنَاكُم مِّن ذَكَر وَأُنثَى وَجَعَلْنَاكُمْ شُعُوبًا وَقَبَائِلَ لِتَعَارَفُوا إِنَّ أَكْرَمَكُمْ عِندَ الله أَتْقَاكُمْ</w:t>
      </w:r>
      <w:r w:rsidRPr="00AA2A63">
        <w:rPr>
          <w:rFonts w:hint="cs"/>
          <w:rtl/>
        </w:rPr>
        <w:sym w:font="Islamic Units 1" w:char="F03C"/>
      </w:r>
      <w:r>
        <w:rPr>
          <w:rFonts w:hint="cs"/>
          <w:rtl/>
        </w:rPr>
        <w:t xml:space="preserve"> (</w:t>
      </w:r>
      <w:r w:rsidRPr="006B7863">
        <w:rPr>
          <w:rtl/>
        </w:rPr>
        <w:t>الحجرات: 13</w:t>
      </w:r>
      <w:r>
        <w:rPr>
          <w:rFonts w:hint="cs"/>
          <w:rtl/>
        </w:rPr>
        <w:t>)</w:t>
      </w:r>
      <w:r w:rsidRPr="006B7863">
        <w:rPr>
          <w:rtl/>
        </w:rPr>
        <w:t>.</w:t>
      </w:r>
    </w:p>
    <w:p w:rsidR="00C87E55" w:rsidRPr="006B7863" w:rsidRDefault="00C87E55" w:rsidP="00546986">
      <w:pPr>
        <w:pStyle w:val="ac"/>
      </w:pPr>
      <w:r w:rsidRPr="006B7863">
        <w:rPr>
          <w:rtl/>
        </w:rPr>
        <w:t>كما يمكن في هذا الصدد ال</w:t>
      </w:r>
      <w:r>
        <w:rPr>
          <w:rtl/>
        </w:rPr>
        <w:t xml:space="preserve">إشارة إلى </w:t>
      </w:r>
      <w:r w:rsidRPr="006B7863">
        <w:rPr>
          <w:rtl/>
        </w:rPr>
        <w:t>جملة روايات تؤك</w:t>
      </w:r>
      <w:r>
        <w:rPr>
          <w:rFonts w:hint="cs"/>
          <w:rtl/>
        </w:rPr>
        <w:t>ّ</w:t>
      </w:r>
      <w:r w:rsidRPr="006B7863">
        <w:rPr>
          <w:rtl/>
        </w:rPr>
        <w:t>د المبدأ عينه:</w:t>
      </w:r>
    </w:p>
    <w:p w:rsidR="00C87E55" w:rsidRPr="006B7863" w:rsidRDefault="00C87E55" w:rsidP="00C86626">
      <w:pPr>
        <w:pStyle w:val="ac"/>
      </w:pPr>
      <w:r w:rsidRPr="006B7863">
        <w:rPr>
          <w:rtl/>
        </w:rPr>
        <w:t>أ ـ عن رسول الله</w:t>
      </w:r>
      <w:r w:rsidR="00C86626">
        <w:rPr>
          <w:rFonts w:hint="cs"/>
          <w:rtl/>
        </w:rPr>
        <w:t>’</w:t>
      </w:r>
      <w:r w:rsidRPr="006B7863">
        <w:rPr>
          <w:rtl/>
        </w:rPr>
        <w:t xml:space="preserve">: </w:t>
      </w:r>
      <w:r w:rsidRPr="00885E99">
        <w:rPr>
          <w:rtl/>
        </w:rPr>
        <w:t>«</w:t>
      </w:r>
      <w:r w:rsidRPr="006B7863">
        <w:rPr>
          <w:rtl/>
        </w:rPr>
        <w:t>أيها الناس إن</w:t>
      </w:r>
      <w:r>
        <w:rPr>
          <w:rFonts w:hint="cs"/>
          <w:rtl/>
        </w:rPr>
        <w:t>ّ</w:t>
      </w:r>
      <w:r w:rsidRPr="006B7863">
        <w:rPr>
          <w:rtl/>
        </w:rPr>
        <w:t xml:space="preserve"> ربكم واحد، وإن أباكم واحد، كلّكم لآدم، وآدم من تراب، إن أكرمكم عند الله أتقاكم، وليس لعربي</w:t>
      </w:r>
      <w:r>
        <w:rPr>
          <w:rFonts w:hint="cs"/>
          <w:rtl/>
        </w:rPr>
        <w:t>ّ</w:t>
      </w:r>
      <w:r w:rsidRPr="006B7863">
        <w:rPr>
          <w:rtl/>
        </w:rPr>
        <w:t xml:space="preserve"> على عجمي فضل إلاّ بالتقوى»</w:t>
      </w:r>
      <w:r w:rsidRPr="00815C4C">
        <w:rPr>
          <w:rFonts w:cs="Taher"/>
          <w:vertAlign w:val="superscript"/>
          <w:rtl/>
        </w:rPr>
        <w:t>(</w:t>
      </w:r>
      <w:r w:rsidRPr="00815C4C">
        <w:rPr>
          <w:rFonts w:cs="Taher"/>
          <w:vertAlign w:val="superscript"/>
          <w:rtl/>
        </w:rPr>
        <w:footnoteReference w:id="215"/>
      </w:r>
      <w:r w:rsidRPr="00815C4C">
        <w:rPr>
          <w:rFonts w:cs="Taher"/>
          <w:vertAlign w:val="superscript"/>
          <w:rtl/>
        </w:rPr>
        <w:t>)</w:t>
      </w:r>
      <w:r w:rsidRPr="006B7863">
        <w:rPr>
          <w:rtl/>
        </w:rPr>
        <w:t>.</w:t>
      </w:r>
    </w:p>
    <w:p w:rsidR="00C87E55" w:rsidRPr="006B7863" w:rsidRDefault="00C87E55" w:rsidP="00C86626">
      <w:pPr>
        <w:pStyle w:val="ac"/>
      </w:pPr>
      <w:r w:rsidRPr="006B7863">
        <w:rPr>
          <w:rtl/>
        </w:rPr>
        <w:t>ب ـ وعنه</w:t>
      </w:r>
      <w:r w:rsidR="00C86626">
        <w:rPr>
          <w:rFonts w:hint="cs"/>
          <w:rtl/>
        </w:rPr>
        <w:t>’</w:t>
      </w:r>
      <w:r w:rsidRPr="006B7863">
        <w:rPr>
          <w:rtl/>
        </w:rPr>
        <w:t xml:space="preserve">: </w:t>
      </w:r>
      <w:r w:rsidRPr="00885E99">
        <w:rPr>
          <w:rtl/>
        </w:rPr>
        <w:t>«</w:t>
      </w:r>
      <w:r w:rsidRPr="006B7863">
        <w:rPr>
          <w:rtl/>
        </w:rPr>
        <w:t>الناس سواء كأسنان المشط»</w:t>
      </w:r>
      <w:r w:rsidRPr="00815C4C">
        <w:rPr>
          <w:rFonts w:cs="Taher"/>
          <w:vertAlign w:val="superscript"/>
          <w:rtl/>
        </w:rPr>
        <w:t>(</w:t>
      </w:r>
      <w:r w:rsidRPr="00815C4C">
        <w:rPr>
          <w:rFonts w:cs="Taher"/>
          <w:vertAlign w:val="superscript"/>
          <w:rtl/>
        </w:rPr>
        <w:footnoteReference w:id="216"/>
      </w:r>
      <w:r w:rsidRPr="00815C4C">
        <w:rPr>
          <w:rFonts w:cs="Taher"/>
          <w:vertAlign w:val="superscript"/>
          <w:rtl/>
        </w:rPr>
        <w:t>)</w:t>
      </w:r>
      <w:r w:rsidRPr="006B7863">
        <w:rPr>
          <w:rtl/>
        </w:rPr>
        <w:t>.</w:t>
      </w:r>
    </w:p>
    <w:p w:rsidR="00C87E55" w:rsidRPr="006B7863" w:rsidRDefault="00C87E55" w:rsidP="00C86626">
      <w:pPr>
        <w:pStyle w:val="ac"/>
      </w:pPr>
      <w:r w:rsidRPr="006B7863">
        <w:rPr>
          <w:rtl/>
        </w:rPr>
        <w:t>ج ـ وعنه</w:t>
      </w:r>
      <w:r w:rsidR="00C86626">
        <w:rPr>
          <w:rFonts w:hint="cs"/>
          <w:rtl/>
        </w:rPr>
        <w:t>’</w:t>
      </w:r>
      <w:r w:rsidRPr="006B7863">
        <w:rPr>
          <w:rtl/>
        </w:rPr>
        <w:t xml:space="preserve"> أيضاً: </w:t>
      </w:r>
      <w:r w:rsidRPr="00885E99">
        <w:rPr>
          <w:rtl/>
        </w:rPr>
        <w:t>«</w:t>
      </w:r>
      <w:r w:rsidRPr="006B7863">
        <w:rPr>
          <w:rtl/>
        </w:rPr>
        <w:t>فالناس اليوم كلّهم، أبيضهم وأسودهم، وقرشيهم وعربيهم وعجميهم من آدم، وإن آدم</w:t>
      </w:r>
      <w:r w:rsidR="00546986" w:rsidRPr="00546986">
        <w:rPr>
          <w:rFonts w:hint="cs"/>
          <w:rtl/>
        </w:rPr>
        <w:t>×</w:t>
      </w:r>
      <w:r w:rsidRPr="006B7863">
        <w:rPr>
          <w:rtl/>
        </w:rPr>
        <w:t xml:space="preserve"> خلقه الله من طين، وإن أحبّ الناس</w:t>
      </w:r>
      <w:r>
        <w:rPr>
          <w:rtl/>
        </w:rPr>
        <w:t xml:space="preserve"> إلى </w:t>
      </w:r>
      <w:r w:rsidRPr="006B7863">
        <w:rPr>
          <w:rtl/>
        </w:rPr>
        <w:t>الله عزوجل يوم القيامة أطوعهم له وأتقاهم»</w:t>
      </w:r>
      <w:r w:rsidRPr="00815C4C">
        <w:rPr>
          <w:rFonts w:cs="Taher"/>
          <w:vertAlign w:val="superscript"/>
          <w:rtl/>
        </w:rPr>
        <w:t>(</w:t>
      </w:r>
      <w:r w:rsidRPr="00815C4C">
        <w:rPr>
          <w:rFonts w:cs="Taher"/>
          <w:vertAlign w:val="superscript"/>
          <w:rtl/>
        </w:rPr>
        <w:footnoteReference w:id="217"/>
      </w:r>
      <w:r w:rsidRPr="00815C4C">
        <w:rPr>
          <w:rFonts w:cs="Taher"/>
          <w:vertAlign w:val="superscript"/>
          <w:rtl/>
        </w:rPr>
        <w:t>)</w:t>
      </w:r>
      <w:r w:rsidRPr="006B7863">
        <w:rPr>
          <w:rtl/>
        </w:rPr>
        <w:t>.</w:t>
      </w:r>
    </w:p>
    <w:p w:rsidR="00C87E55" w:rsidRPr="006B7863" w:rsidRDefault="00C87E55" w:rsidP="00C86626">
      <w:pPr>
        <w:pStyle w:val="ac"/>
      </w:pPr>
      <w:r w:rsidRPr="006B7863">
        <w:rPr>
          <w:rtl/>
        </w:rPr>
        <w:t>د ـ وعنه</w:t>
      </w:r>
      <w:r w:rsidR="00C86626">
        <w:rPr>
          <w:rFonts w:hint="cs"/>
          <w:rtl/>
        </w:rPr>
        <w:t>’</w:t>
      </w:r>
      <w:r w:rsidRPr="006B7863">
        <w:rPr>
          <w:rtl/>
        </w:rPr>
        <w:t xml:space="preserve"> أيضاً: </w:t>
      </w:r>
      <w:r w:rsidRPr="00885E99">
        <w:rPr>
          <w:rtl/>
        </w:rPr>
        <w:t>«</w:t>
      </w:r>
      <w:r w:rsidRPr="006B7863">
        <w:rPr>
          <w:rtl/>
        </w:rPr>
        <w:t>إن الناس من آدم</w:t>
      </w:r>
      <w:r>
        <w:rPr>
          <w:rtl/>
        </w:rPr>
        <w:t xml:space="preserve"> إلى </w:t>
      </w:r>
      <w:r w:rsidRPr="006B7863">
        <w:rPr>
          <w:rtl/>
        </w:rPr>
        <w:t>يومنا هذا، مثل أسنان المشط، لا فضل للعربي</w:t>
      </w:r>
      <w:r>
        <w:rPr>
          <w:rFonts w:hint="cs"/>
          <w:rtl/>
        </w:rPr>
        <w:t>ّ</w:t>
      </w:r>
      <w:r w:rsidRPr="006B7863">
        <w:rPr>
          <w:rtl/>
        </w:rPr>
        <w:t xml:space="preserve"> على العجمي، ولا للأحمر على الأسود إلاّ بالتقوى»</w:t>
      </w:r>
      <w:r w:rsidRPr="00815C4C">
        <w:rPr>
          <w:rFonts w:cs="Taher"/>
          <w:vertAlign w:val="superscript"/>
          <w:rtl/>
        </w:rPr>
        <w:t>(</w:t>
      </w:r>
      <w:r w:rsidRPr="00815C4C">
        <w:rPr>
          <w:rFonts w:cs="Taher"/>
          <w:vertAlign w:val="superscript"/>
          <w:rtl/>
        </w:rPr>
        <w:footnoteReference w:id="218"/>
      </w:r>
      <w:r w:rsidRPr="00815C4C">
        <w:rPr>
          <w:rFonts w:cs="Taher"/>
          <w:vertAlign w:val="superscript"/>
          <w:rtl/>
        </w:rPr>
        <w:t>)</w:t>
      </w:r>
      <w:r w:rsidRPr="006B7863">
        <w:rPr>
          <w:rtl/>
        </w:rPr>
        <w:t>.</w:t>
      </w:r>
    </w:p>
    <w:p w:rsidR="00C87E55" w:rsidRPr="006B7863" w:rsidRDefault="00C87E55" w:rsidP="00546986">
      <w:pPr>
        <w:pStyle w:val="ac"/>
      </w:pPr>
      <w:r w:rsidRPr="006B7863">
        <w:rPr>
          <w:rtl/>
        </w:rPr>
        <w:t>هـ ـ وعن علي</w:t>
      </w:r>
      <w:r w:rsidR="00546986" w:rsidRPr="00546986">
        <w:rPr>
          <w:rFonts w:hint="cs"/>
          <w:rtl/>
        </w:rPr>
        <w:t>×</w:t>
      </w:r>
      <w:r w:rsidRPr="006B7863">
        <w:rPr>
          <w:rtl/>
        </w:rPr>
        <w:t xml:space="preserve"> أنه قال: </w:t>
      </w:r>
      <w:r w:rsidRPr="00885E99">
        <w:rPr>
          <w:rtl/>
        </w:rPr>
        <w:t>«</w:t>
      </w:r>
      <w:r w:rsidRPr="006B7863">
        <w:rPr>
          <w:rtl/>
        </w:rPr>
        <w:t>الناس</w:t>
      </w:r>
      <w:r>
        <w:rPr>
          <w:rtl/>
        </w:rPr>
        <w:t xml:space="preserve"> إلى </w:t>
      </w:r>
      <w:r w:rsidRPr="006B7863">
        <w:rPr>
          <w:rtl/>
        </w:rPr>
        <w:t>آدم شرع سواء»</w:t>
      </w:r>
      <w:r w:rsidRPr="00815C4C">
        <w:rPr>
          <w:rFonts w:cs="Taher"/>
          <w:vertAlign w:val="superscript"/>
          <w:rtl/>
        </w:rPr>
        <w:t>(</w:t>
      </w:r>
      <w:r w:rsidRPr="00815C4C">
        <w:rPr>
          <w:rFonts w:cs="Taher"/>
          <w:vertAlign w:val="superscript"/>
          <w:rtl/>
        </w:rPr>
        <w:footnoteReference w:id="219"/>
      </w:r>
      <w:r w:rsidRPr="00815C4C">
        <w:rPr>
          <w:rFonts w:cs="Taher"/>
          <w:vertAlign w:val="superscript"/>
          <w:rtl/>
        </w:rPr>
        <w:t>)</w:t>
      </w:r>
      <w:r w:rsidRPr="006B7863">
        <w:rPr>
          <w:rtl/>
        </w:rPr>
        <w:t>.</w:t>
      </w:r>
    </w:p>
    <w:p w:rsidR="00C87E55" w:rsidRDefault="00C87E55" w:rsidP="00546986">
      <w:pPr>
        <w:pStyle w:val="ac"/>
        <w:rPr>
          <w:rtl/>
        </w:rPr>
      </w:pPr>
      <w:r w:rsidRPr="006B7863">
        <w:rPr>
          <w:rtl/>
        </w:rPr>
        <w:t xml:space="preserve">وخلاصة القول: إن هذه الآيات والروايات المؤيّدة بآيات وروايات </w:t>
      </w:r>
      <w:r>
        <w:rPr>
          <w:rtl/>
        </w:rPr>
        <w:t>أخرى</w:t>
      </w:r>
      <w:r w:rsidRPr="006B7863">
        <w:rPr>
          <w:rtl/>
        </w:rPr>
        <w:t xml:space="preserve"> دالّة على تساوي الناس في القصاص، ولا تستوعب أي</w:t>
      </w:r>
      <w:r>
        <w:rPr>
          <w:rFonts w:hint="cs"/>
          <w:rtl/>
        </w:rPr>
        <w:t>ّ</w:t>
      </w:r>
      <w:r w:rsidRPr="006B7863">
        <w:rPr>
          <w:rtl/>
        </w:rPr>
        <w:t xml:space="preserve"> نوع من التمييز.</w:t>
      </w:r>
    </w:p>
    <w:p w:rsidR="00C87E55" w:rsidRPr="00D457EB" w:rsidRDefault="00C87E55" w:rsidP="00707350">
      <w:pPr>
        <w:pStyle w:val="2"/>
        <w:rPr>
          <w:szCs w:val="22"/>
        </w:rPr>
      </w:pPr>
      <w:bookmarkStart w:id="227" w:name="_Toc169521424"/>
      <w:bookmarkStart w:id="228" w:name="_Toc275127972"/>
      <w:r w:rsidRPr="00D457EB">
        <w:rPr>
          <w:rtl/>
        </w:rPr>
        <w:lastRenderedPageBreak/>
        <w:t>شبهتان ناقدتان</w:t>
      </w:r>
      <w:bookmarkEnd w:id="227"/>
      <w:bookmarkEnd w:id="228"/>
    </w:p>
    <w:p w:rsidR="00C87E55" w:rsidRPr="006B7863" w:rsidRDefault="00C87E55" w:rsidP="00546986">
      <w:pPr>
        <w:pStyle w:val="ac"/>
      </w:pPr>
      <w:r w:rsidRPr="006B7863">
        <w:rPr>
          <w:rtl/>
        </w:rPr>
        <w:t>وفي قبال هذا الاستدلال، يمكن أن ت</w:t>
      </w:r>
      <w:r>
        <w:rPr>
          <w:rFonts w:hint="cs"/>
          <w:rtl/>
        </w:rPr>
        <w:t>ُ</w:t>
      </w:r>
      <w:r w:rsidRPr="006B7863">
        <w:rPr>
          <w:rtl/>
        </w:rPr>
        <w:t>طرح شبهتان، نحاول هنا استعراضهما</w:t>
      </w:r>
      <w:r>
        <w:rPr>
          <w:rFonts w:hint="cs"/>
          <w:rtl/>
        </w:rPr>
        <w:t>،</w:t>
      </w:r>
      <w:r w:rsidRPr="006B7863">
        <w:rPr>
          <w:rtl/>
        </w:rPr>
        <w:t xml:space="preserve"> ثم تسليط النقد عليهما:</w:t>
      </w:r>
    </w:p>
    <w:p w:rsidR="00C87E55" w:rsidRPr="006B7863" w:rsidRDefault="00C87E55" w:rsidP="00651EB1">
      <w:pPr>
        <w:pStyle w:val="ac"/>
      </w:pPr>
      <w:r w:rsidRPr="009F18C8">
        <w:rPr>
          <w:b/>
          <w:bCs/>
          <w:rtl/>
        </w:rPr>
        <w:t>الشبهة الأولى:</w:t>
      </w:r>
      <w:r>
        <w:rPr>
          <w:rFonts w:hint="cs"/>
          <w:rtl/>
        </w:rPr>
        <w:t xml:space="preserve"> </w:t>
      </w:r>
      <w:r w:rsidRPr="006B7863">
        <w:rPr>
          <w:rtl/>
        </w:rPr>
        <w:t>قد يقال: إن الآيات المشتملة على القصاص، مثل الآية الأولى والثانية من المجموعة الأولى، وكذا آية الانتصار، وهي الآية الرابعة من المجموعة الأولى، لا إطلاق فيها ولا شمول للتساوي في القصاص بالنسبة</w:t>
      </w:r>
      <w:r>
        <w:rPr>
          <w:rtl/>
        </w:rPr>
        <w:t xml:space="preserve"> إلى </w:t>
      </w:r>
      <w:r w:rsidRPr="006B7863">
        <w:rPr>
          <w:rtl/>
        </w:rPr>
        <w:t>الطوائف المذكورة</w:t>
      </w:r>
      <w:r w:rsidR="00651EB1">
        <w:rPr>
          <w:rFonts w:hint="cs"/>
          <w:rtl/>
        </w:rPr>
        <w:t>؛</w:t>
      </w:r>
      <w:r w:rsidRPr="006B7863">
        <w:rPr>
          <w:rtl/>
        </w:rPr>
        <w:t xml:space="preserve"> ذلك أنها تدلّ على مبدأ القصاص، وحيث كان الاختلاف في القصاص بين الرجل والمرأة وكذا بين الحرّ والعبد سائداً في تلك العصور كان معنى ذلك تأييد هذه الآيات لذلك التمييز لا العكس.</w:t>
      </w:r>
    </w:p>
    <w:p w:rsidR="00C87E55" w:rsidRPr="006B7863" w:rsidRDefault="00C87E55" w:rsidP="00546986">
      <w:pPr>
        <w:pStyle w:val="ac"/>
      </w:pPr>
      <w:r w:rsidRPr="006B7863">
        <w:rPr>
          <w:rtl/>
        </w:rPr>
        <w:t xml:space="preserve">وبعبارة </w:t>
      </w:r>
      <w:r>
        <w:rPr>
          <w:rtl/>
        </w:rPr>
        <w:t>أخرى</w:t>
      </w:r>
      <w:r w:rsidRPr="006B7863">
        <w:rPr>
          <w:rtl/>
        </w:rPr>
        <w:t>، لا يمكن الحصول على مبدأ التساوي في القصاص من هذه الآيات، ذلك أنها دالّة على مبدأ القصاص، وقد كان اللاتساوي بين الرجل والمرأة شائعاً آنذاك، وكذا بين الحرّ والعبد، وقد كانوا يطلقون عليه القصاص، فتكون الآيات شاملة</w:t>
      </w:r>
      <w:r>
        <w:rPr>
          <w:rFonts w:hint="cs"/>
          <w:rtl/>
        </w:rPr>
        <w:t>ً</w:t>
      </w:r>
      <w:r w:rsidRPr="006B7863">
        <w:rPr>
          <w:rtl/>
        </w:rPr>
        <w:t xml:space="preserve"> لهذا النوع من القصاص القائم على التمييز المذكور.</w:t>
      </w:r>
    </w:p>
    <w:p w:rsidR="00C87E55" w:rsidRPr="006B7863" w:rsidRDefault="00C87E55" w:rsidP="00C87E55">
      <w:pPr>
        <w:pStyle w:val="ac"/>
      </w:pPr>
      <w:r w:rsidRPr="006B7863">
        <w:rPr>
          <w:rtl/>
        </w:rPr>
        <w:t>وللجواب على هذا الإيراد يمكن القول:</w:t>
      </w:r>
    </w:p>
    <w:p w:rsidR="00C87E55" w:rsidRPr="006B7863" w:rsidRDefault="00C87E55" w:rsidP="00707350">
      <w:pPr>
        <w:pStyle w:val="ac"/>
        <w:spacing w:line="209" w:lineRule="auto"/>
      </w:pPr>
      <w:r w:rsidRPr="009F18C8">
        <w:rPr>
          <w:b/>
          <w:bCs/>
          <w:rtl/>
        </w:rPr>
        <w:t>أولاً:</w:t>
      </w:r>
      <w:r w:rsidRPr="006B7863">
        <w:rPr>
          <w:rtl/>
        </w:rPr>
        <w:t xml:space="preserve"> ثمّة آيات </w:t>
      </w:r>
      <w:r>
        <w:rPr>
          <w:rtl/>
        </w:rPr>
        <w:t>أخرى</w:t>
      </w:r>
      <w:r w:rsidRPr="006B7863">
        <w:rPr>
          <w:rtl/>
        </w:rPr>
        <w:t xml:space="preserve"> مثل: </w:t>
      </w:r>
      <w:r w:rsidRPr="00AA2A63">
        <w:rPr>
          <w:rFonts w:hint="cs"/>
          <w:rtl/>
        </w:rPr>
        <w:sym w:font="Islamic Units 1" w:char="F03E"/>
      </w:r>
      <w:r w:rsidRPr="00546986">
        <w:rPr>
          <w:b/>
          <w:bCs/>
          <w:rtl/>
        </w:rPr>
        <w:t>وَجَزَاء سَيِّئَة سَيِّئَةٌ مِّثْلُهَا</w:t>
      </w:r>
      <w:r w:rsidRPr="00AA2A63">
        <w:rPr>
          <w:rFonts w:hint="cs"/>
          <w:rtl/>
        </w:rPr>
        <w:sym w:font="Islamic Units 1" w:char="F03C"/>
      </w:r>
      <w:r>
        <w:rPr>
          <w:rFonts w:hint="cs"/>
          <w:rtl/>
        </w:rPr>
        <w:t xml:space="preserve"> (</w:t>
      </w:r>
      <w:r w:rsidRPr="006B7863">
        <w:rPr>
          <w:rtl/>
        </w:rPr>
        <w:t>الشورى: 40</w:t>
      </w:r>
      <w:r>
        <w:rPr>
          <w:rFonts w:hint="cs"/>
          <w:rtl/>
        </w:rPr>
        <w:t>)</w:t>
      </w:r>
      <w:r w:rsidRPr="006B7863">
        <w:rPr>
          <w:rtl/>
        </w:rPr>
        <w:t xml:space="preserve">، وكذا </w:t>
      </w:r>
      <w:r w:rsidRPr="00AA2A63">
        <w:rPr>
          <w:rFonts w:hint="cs"/>
          <w:rtl/>
        </w:rPr>
        <w:sym w:font="Islamic Units 1" w:char="F03E"/>
      </w:r>
      <w:r w:rsidRPr="00546986">
        <w:rPr>
          <w:b/>
          <w:bCs/>
          <w:rtl/>
        </w:rPr>
        <w:t>أَنَّ النَّفْسَ بِالنَّفْسِ</w:t>
      </w:r>
      <w:r w:rsidRPr="00AA2A63">
        <w:rPr>
          <w:rFonts w:hint="cs"/>
          <w:rtl/>
        </w:rPr>
        <w:sym w:font="Islamic Units 1" w:char="F03C"/>
      </w:r>
      <w:r w:rsidRPr="006B7863">
        <w:rPr>
          <w:rtl/>
        </w:rPr>
        <w:t xml:space="preserve"> </w:t>
      </w:r>
      <w:r>
        <w:rPr>
          <w:rFonts w:hint="cs"/>
          <w:rtl/>
        </w:rPr>
        <w:t>(</w:t>
      </w:r>
      <w:r w:rsidRPr="006B7863">
        <w:rPr>
          <w:rtl/>
        </w:rPr>
        <w:t>المائدة: 45</w:t>
      </w:r>
      <w:r>
        <w:rPr>
          <w:rFonts w:hint="cs"/>
          <w:rtl/>
        </w:rPr>
        <w:t>)</w:t>
      </w:r>
      <w:r w:rsidRPr="006B7863">
        <w:rPr>
          <w:rtl/>
        </w:rPr>
        <w:t>، تدلّ على المساواة وعدم التمييز، وهي كافية للاستدلال.</w:t>
      </w:r>
    </w:p>
    <w:p w:rsidR="00C87E55" w:rsidRPr="006B7863" w:rsidRDefault="00C87E55" w:rsidP="00707350">
      <w:pPr>
        <w:pStyle w:val="ac"/>
        <w:spacing w:line="209" w:lineRule="auto"/>
      </w:pPr>
      <w:r w:rsidRPr="009F18C8">
        <w:rPr>
          <w:b/>
          <w:bCs/>
          <w:rtl/>
        </w:rPr>
        <w:t>ثانياً:</w:t>
      </w:r>
      <w:r w:rsidRPr="006B7863">
        <w:rPr>
          <w:rtl/>
        </w:rPr>
        <w:t xml:space="preserve"> إن صدق القصاص مع اللامساواة في أوساط الجاهلين من تلك الأمم مبن</w:t>
      </w:r>
      <w:r>
        <w:rPr>
          <w:rFonts w:hint="cs"/>
          <w:rtl/>
        </w:rPr>
        <w:t>ي</w:t>
      </w:r>
      <w:r w:rsidRPr="006B7863">
        <w:rPr>
          <w:rtl/>
        </w:rPr>
        <w:t>ّ على العقائد الباطلة التي كانوا يحملونها، وإلاّ فالعرف ال</w:t>
      </w:r>
      <w:r>
        <w:rPr>
          <w:rtl/>
        </w:rPr>
        <w:t>إنسان</w:t>
      </w:r>
      <w:r w:rsidRPr="006B7863">
        <w:rPr>
          <w:rtl/>
        </w:rPr>
        <w:t xml:space="preserve">ي </w:t>
      </w:r>
      <w:r>
        <w:rPr>
          <w:rFonts w:hint="cs"/>
          <w:rtl/>
        </w:rPr>
        <w:t xml:space="preserve">ـ </w:t>
      </w:r>
      <w:r w:rsidRPr="006B7863">
        <w:rPr>
          <w:rtl/>
        </w:rPr>
        <w:t xml:space="preserve">بفطرته الأصلية </w:t>
      </w:r>
      <w:r>
        <w:rPr>
          <w:rFonts w:hint="cs"/>
          <w:rtl/>
        </w:rPr>
        <w:t xml:space="preserve">ـ </w:t>
      </w:r>
      <w:r w:rsidRPr="006B7863">
        <w:rPr>
          <w:rtl/>
        </w:rPr>
        <w:t>يقضي بالمساواة وعدم الاختلاف، وعليه، فصدق القصاص عندهم لا يمكن أن يجعل ملاكاً لصدق الآيات القرآنية، القائمة على الحق</w:t>
      </w:r>
      <w:r>
        <w:rPr>
          <w:rFonts w:hint="cs"/>
          <w:rtl/>
        </w:rPr>
        <w:t>ّ</w:t>
      </w:r>
      <w:r w:rsidRPr="006B7863">
        <w:rPr>
          <w:rtl/>
        </w:rPr>
        <w:t xml:space="preserve"> والحقيقة.</w:t>
      </w:r>
    </w:p>
    <w:p w:rsidR="00C87E55" w:rsidRPr="006B7863" w:rsidRDefault="00C87E55" w:rsidP="00546986">
      <w:pPr>
        <w:pStyle w:val="ac"/>
      </w:pPr>
      <w:r w:rsidRPr="009F18C8">
        <w:rPr>
          <w:b/>
          <w:bCs/>
          <w:rtl/>
        </w:rPr>
        <w:t>ثالثاً:</w:t>
      </w:r>
      <w:r w:rsidRPr="006B7863">
        <w:rPr>
          <w:rtl/>
        </w:rPr>
        <w:t xml:space="preserve"> إن</w:t>
      </w:r>
      <w:r>
        <w:rPr>
          <w:rFonts w:hint="cs"/>
          <w:rtl/>
        </w:rPr>
        <w:t>ّ</w:t>
      </w:r>
      <w:r w:rsidRPr="006B7863">
        <w:rPr>
          <w:rtl/>
        </w:rPr>
        <w:t xml:space="preserve"> العرف الحاضر في عصرنا، وهو عرف</w:t>
      </w:r>
      <w:r>
        <w:rPr>
          <w:rFonts w:hint="cs"/>
          <w:rtl/>
        </w:rPr>
        <w:t>ٌ</w:t>
      </w:r>
      <w:r w:rsidRPr="006B7863">
        <w:rPr>
          <w:rtl/>
        </w:rPr>
        <w:t xml:space="preserve"> يقوم على الإحساس الرفيع والشعور العالي والثقافة ال</w:t>
      </w:r>
      <w:r>
        <w:rPr>
          <w:rtl/>
        </w:rPr>
        <w:t>إنسان</w:t>
      </w:r>
      <w:r w:rsidRPr="006B7863">
        <w:rPr>
          <w:rtl/>
        </w:rPr>
        <w:t>ية السامية، يرى القصاص شاملاً للطوائف كاف</w:t>
      </w:r>
      <w:r>
        <w:rPr>
          <w:rFonts w:hint="cs"/>
          <w:rtl/>
        </w:rPr>
        <w:t>ّ</w:t>
      </w:r>
      <w:r w:rsidRPr="006B7863">
        <w:rPr>
          <w:rtl/>
        </w:rPr>
        <w:t>ة، وهذا هو ملاك صدق الآيات القرآنية.</w:t>
      </w:r>
    </w:p>
    <w:p w:rsidR="00C87E55" w:rsidRPr="006B7863" w:rsidRDefault="00C87E55" w:rsidP="00707350">
      <w:pPr>
        <w:pStyle w:val="ac"/>
        <w:spacing w:line="209" w:lineRule="auto"/>
      </w:pPr>
      <w:r w:rsidRPr="009F18C8">
        <w:rPr>
          <w:b/>
          <w:bCs/>
          <w:rtl/>
        </w:rPr>
        <w:lastRenderedPageBreak/>
        <w:t>رابعاً:</w:t>
      </w:r>
      <w:r w:rsidRPr="006B7863">
        <w:rPr>
          <w:rtl/>
        </w:rPr>
        <w:t xml:space="preserve"> حيث كانت ال</w:t>
      </w:r>
      <w:r>
        <w:rPr>
          <w:rtl/>
        </w:rPr>
        <w:t>أحكام</w:t>
      </w:r>
      <w:r w:rsidRPr="006B7863">
        <w:rPr>
          <w:rtl/>
        </w:rPr>
        <w:t xml:space="preserve"> مترتبةً على العناوين، مثل هذه الآيات، كان ملاك الدلالة صدق العنوان، حتى لو كانت بعض المصاديق حادثةً بعد نزول الآيات، نعم لو كانت ال</w:t>
      </w:r>
      <w:r>
        <w:rPr>
          <w:rtl/>
        </w:rPr>
        <w:t>أحكام</w:t>
      </w:r>
      <w:r w:rsidRPr="006B7863">
        <w:rPr>
          <w:rtl/>
        </w:rPr>
        <w:t xml:space="preserve"> مترتبةً على مصاديقها الخارجية، كان ملاك الدلالة حينئذ ذاك المصداق الخاص</w:t>
      </w:r>
      <w:r>
        <w:rPr>
          <w:rFonts w:hint="cs"/>
          <w:rtl/>
        </w:rPr>
        <w:t>ّ</w:t>
      </w:r>
      <w:r w:rsidRPr="006B7863">
        <w:rPr>
          <w:rtl/>
        </w:rPr>
        <w:t xml:space="preserve"> بزمان جعل الحكم.</w:t>
      </w:r>
    </w:p>
    <w:p w:rsidR="00C87E55" w:rsidRPr="006B7863" w:rsidRDefault="00C87E55" w:rsidP="00707350">
      <w:pPr>
        <w:pStyle w:val="ac"/>
        <w:spacing w:line="209" w:lineRule="auto"/>
      </w:pPr>
      <w:r w:rsidRPr="009F18C8">
        <w:rPr>
          <w:b/>
          <w:bCs/>
          <w:rtl/>
        </w:rPr>
        <w:t>الشبهة الثانية:</w:t>
      </w:r>
      <w:r>
        <w:rPr>
          <w:rFonts w:hint="cs"/>
          <w:rtl/>
        </w:rPr>
        <w:t xml:space="preserve"> </w:t>
      </w:r>
      <w:r w:rsidRPr="006B7863">
        <w:rPr>
          <w:rtl/>
        </w:rPr>
        <w:t>تدل</w:t>
      </w:r>
      <w:r>
        <w:rPr>
          <w:rFonts w:hint="cs"/>
          <w:rtl/>
        </w:rPr>
        <w:t>ّ</w:t>
      </w:r>
      <w:r w:rsidRPr="006B7863">
        <w:rPr>
          <w:rtl/>
        </w:rPr>
        <w:t xml:space="preserve"> آية: </w:t>
      </w:r>
      <w:r w:rsidRPr="00AA2A63">
        <w:rPr>
          <w:rFonts w:hint="cs"/>
          <w:rtl/>
        </w:rPr>
        <w:sym w:font="Islamic Units 1" w:char="F03E"/>
      </w:r>
      <w:r w:rsidRPr="00546986">
        <w:rPr>
          <w:b/>
          <w:bCs/>
          <w:rtl/>
        </w:rPr>
        <w:t>كُتِبَ عَلَيْكُمُ الْقِصَاصُ فِي الْقَتْلَى الْحُرُّ بِالْحُرِّ وَالْعَبْدُ بِالْعَبْدِ وَالأُنثَى بِالأُنثَى</w:t>
      </w:r>
      <w:r w:rsidRPr="00AA2A63">
        <w:rPr>
          <w:rFonts w:hint="cs"/>
          <w:rtl/>
        </w:rPr>
        <w:sym w:font="Islamic Units 1" w:char="F03C"/>
      </w:r>
      <w:r>
        <w:rPr>
          <w:rFonts w:hint="cs"/>
          <w:rtl/>
        </w:rPr>
        <w:t xml:space="preserve"> (</w:t>
      </w:r>
      <w:r w:rsidRPr="006B7863">
        <w:rPr>
          <w:rtl/>
        </w:rPr>
        <w:t>البقرة: 178</w:t>
      </w:r>
      <w:r>
        <w:rPr>
          <w:rFonts w:hint="cs"/>
          <w:rtl/>
        </w:rPr>
        <w:t>)</w:t>
      </w:r>
      <w:r w:rsidRPr="006B7863">
        <w:rPr>
          <w:rtl/>
        </w:rPr>
        <w:t>، على وجو</w:t>
      </w:r>
      <w:r>
        <w:rPr>
          <w:rtl/>
        </w:rPr>
        <w:t>د اختلاف وتمايز بين هذه الطوائف</w:t>
      </w:r>
      <w:r>
        <w:rPr>
          <w:rFonts w:hint="cs"/>
          <w:rtl/>
        </w:rPr>
        <w:t>؛</w:t>
      </w:r>
      <w:r w:rsidRPr="006B7863">
        <w:rPr>
          <w:rtl/>
        </w:rPr>
        <w:t xml:space="preserve"> إذ</w:t>
      </w:r>
      <w:r>
        <w:rPr>
          <w:rFonts w:hint="cs"/>
          <w:rtl/>
        </w:rPr>
        <w:t xml:space="preserve"> </w:t>
      </w:r>
      <w:r w:rsidRPr="006B7863">
        <w:rPr>
          <w:rtl/>
        </w:rPr>
        <w:t xml:space="preserve">تعني الآية قصاص الحرّ في مقابل الحرّ، والعبد في مقابل العبد، والرجل في مقابل الرجل، والأنثى في مقابل الأنثى، وهي </w:t>
      </w:r>
      <w:r>
        <w:rPr>
          <w:rtl/>
        </w:rPr>
        <w:t>ـ</w:t>
      </w:r>
      <w:r w:rsidRPr="006B7863">
        <w:rPr>
          <w:rtl/>
        </w:rPr>
        <w:t xml:space="preserve"> من هنا </w:t>
      </w:r>
      <w:r>
        <w:rPr>
          <w:rtl/>
        </w:rPr>
        <w:t>ـ</w:t>
      </w:r>
      <w:r w:rsidRPr="006B7863">
        <w:rPr>
          <w:rtl/>
        </w:rPr>
        <w:t xml:space="preserve"> تغدو صريحةً في عدم المساواة، ولذا تساهم في تقييد إطلاق الآيات ال</w:t>
      </w:r>
      <w:r>
        <w:rPr>
          <w:rtl/>
        </w:rPr>
        <w:t>أخرى</w:t>
      </w:r>
      <w:r w:rsidRPr="006B7863">
        <w:rPr>
          <w:rtl/>
        </w:rPr>
        <w:t>.</w:t>
      </w:r>
    </w:p>
    <w:p w:rsidR="00C87E55" w:rsidRPr="006B7863" w:rsidRDefault="00C87E55" w:rsidP="00707350">
      <w:pPr>
        <w:pStyle w:val="ac"/>
        <w:spacing w:line="209" w:lineRule="auto"/>
      </w:pPr>
      <w:r w:rsidRPr="007348B8">
        <w:rPr>
          <w:b/>
          <w:bCs/>
          <w:rtl/>
        </w:rPr>
        <w:t>والجواب:</w:t>
      </w:r>
      <w:r w:rsidRPr="006B7863">
        <w:rPr>
          <w:rtl/>
        </w:rPr>
        <w:t xml:space="preserve"> إن</w:t>
      </w:r>
      <w:r>
        <w:rPr>
          <w:rFonts w:hint="cs"/>
          <w:rtl/>
        </w:rPr>
        <w:t>ّ</w:t>
      </w:r>
      <w:r w:rsidRPr="006B7863">
        <w:rPr>
          <w:rtl/>
        </w:rPr>
        <w:t xml:space="preserve"> هذه الآية تدلّ على المساواة في هذه الفرق الثلاث، فهم متساوون فيما بينهم، ولا بدّ من إجراء عقوبة القصاص على القاتل، كائناً من كان القاتل والمقتول.</w:t>
      </w:r>
    </w:p>
    <w:p w:rsidR="00C87E55" w:rsidRPr="006B7863" w:rsidRDefault="00C87E55" w:rsidP="00707350">
      <w:pPr>
        <w:pStyle w:val="ac"/>
        <w:spacing w:line="209" w:lineRule="auto"/>
      </w:pPr>
      <w:r w:rsidRPr="007348B8">
        <w:rPr>
          <w:b/>
          <w:bCs/>
          <w:rtl/>
        </w:rPr>
        <w:t>وبيان ذلك:</w:t>
      </w:r>
      <w:r w:rsidRPr="006B7863">
        <w:rPr>
          <w:rtl/>
        </w:rPr>
        <w:t xml:space="preserve"> إن</w:t>
      </w:r>
      <w:r>
        <w:rPr>
          <w:rFonts w:hint="cs"/>
          <w:rtl/>
        </w:rPr>
        <w:t>ّ</w:t>
      </w:r>
      <w:r w:rsidRPr="006B7863">
        <w:rPr>
          <w:rtl/>
        </w:rPr>
        <w:t xml:space="preserve"> الآية ناظرة</w:t>
      </w:r>
      <w:r>
        <w:rPr>
          <w:rtl/>
        </w:rPr>
        <w:t xml:space="preserve"> إلى </w:t>
      </w:r>
      <w:r w:rsidRPr="006B7863">
        <w:rPr>
          <w:rtl/>
        </w:rPr>
        <w:t>انحصار عقوبة القصاص بالقاتل دون غيره، فإذا ما قتل حرّ حرّاً آخر فلا بدّ أن يؤخذ هو نفسه به، لا غيره، فلا يكون عبده الفدية له، يقدّم</w:t>
      </w:r>
      <w:r>
        <w:rPr>
          <w:rtl/>
        </w:rPr>
        <w:t>ه بدلاً عنه</w:t>
      </w:r>
      <w:r>
        <w:rPr>
          <w:rFonts w:hint="cs"/>
          <w:rtl/>
        </w:rPr>
        <w:t>؛</w:t>
      </w:r>
      <w:r>
        <w:rPr>
          <w:rtl/>
        </w:rPr>
        <w:t xml:space="preserve"> لأن </w:t>
      </w:r>
      <w:r w:rsidRPr="006B7863">
        <w:rPr>
          <w:rtl/>
        </w:rPr>
        <w:t>القاتل أفضل من المقتول، ولذا</w:t>
      </w:r>
      <w:r>
        <w:rPr>
          <w:rtl/>
        </w:rPr>
        <w:t xml:space="preserve"> لابد </w:t>
      </w:r>
      <w:r w:rsidRPr="006B7863">
        <w:rPr>
          <w:rtl/>
        </w:rPr>
        <w:t>أن يقد</w:t>
      </w:r>
      <w:r>
        <w:rPr>
          <w:rFonts w:hint="cs"/>
          <w:rtl/>
        </w:rPr>
        <w:t>ّ</w:t>
      </w:r>
      <w:r>
        <w:rPr>
          <w:rtl/>
        </w:rPr>
        <w:t>م عبده للقصاص</w:t>
      </w:r>
      <w:r>
        <w:rPr>
          <w:rFonts w:hint="cs"/>
          <w:rtl/>
        </w:rPr>
        <w:t>؛</w:t>
      </w:r>
      <w:r>
        <w:rPr>
          <w:rtl/>
        </w:rPr>
        <w:t xml:space="preserve"> لأن </w:t>
      </w:r>
      <w:r w:rsidRPr="006B7863">
        <w:rPr>
          <w:rtl/>
        </w:rPr>
        <w:t>الأخير يقع في ذات الرتبة ال</w:t>
      </w:r>
      <w:r>
        <w:rPr>
          <w:rtl/>
        </w:rPr>
        <w:t>اجتماع</w:t>
      </w:r>
      <w:r w:rsidRPr="006B7863">
        <w:rPr>
          <w:rtl/>
        </w:rPr>
        <w:t>ية للمقتول.</w:t>
      </w:r>
    </w:p>
    <w:p w:rsidR="00C87E55" w:rsidRPr="006B7863" w:rsidRDefault="00C87E55" w:rsidP="00C87E55">
      <w:pPr>
        <w:pStyle w:val="ac"/>
      </w:pPr>
      <w:r w:rsidRPr="006B7863">
        <w:rPr>
          <w:rtl/>
        </w:rPr>
        <w:t>وهكذا الحال لو قتل العبد عبداً آخر، فلا بد أن ينال القاتل نفسه القصاص، ولا معنى</w:t>
      </w:r>
      <w:r>
        <w:rPr>
          <w:rtl/>
        </w:rPr>
        <w:t xml:space="preserve"> لأن </w:t>
      </w:r>
      <w:r w:rsidRPr="006B7863">
        <w:rPr>
          <w:rtl/>
        </w:rPr>
        <w:t xml:space="preserve">يقال: لما كان القاتل مرتبطاً بفريق </w:t>
      </w:r>
      <w:r>
        <w:rPr>
          <w:rtl/>
        </w:rPr>
        <w:t>اجتماع</w:t>
      </w:r>
      <w:r w:rsidRPr="006B7863">
        <w:rPr>
          <w:rtl/>
        </w:rPr>
        <w:t xml:space="preserve">ي ذا طبقة كان من المطلوب أن يحاسب واحدٌ منهم ويعاقب، ومثله لو قتلت </w:t>
      </w:r>
      <w:r>
        <w:rPr>
          <w:rFonts w:hint="cs"/>
          <w:rtl/>
        </w:rPr>
        <w:t>ا</w:t>
      </w:r>
      <w:r>
        <w:rPr>
          <w:rtl/>
        </w:rPr>
        <w:t>مر</w:t>
      </w:r>
      <w:r w:rsidRPr="006B7863">
        <w:rPr>
          <w:rtl/>
        </w:rPr>
        <w:t xml:space="preserve">أةٌ </w:t>
      </w:r>
      <w:r>
        <w:rPr>
          <w:rtl/>
        </w:rPr>
        <w:t>أخرى</w:t>
      </w:r>
      <w:r w:rsidRPr="006B7863">
        <w:rPr>
          <w:rtl/>
        </w:rPr>
        <w:t>، فلا بد أن تعاقب على ذلك باقتيادها نفسها، لا أن يقدّم للقصاص رجل</w:t>
      </w:r>
      <w:r>
        <w:rPr>
          <w:rFonts w:hint="cs"/>
          <w:rtl/>
        </w:rPr>
        <w:t>ٌ</w:t>
      </w:r>
      <w:r w:rsidRPr="006B7863">
        <w:rPr>
          <w:rtl/>
        </w:rPr>
        <w:t xml:space="preserve"> مكانها بحج</w:t>
      </w:r>
      <w:r>
        <w:rPr>
          <w:rFonts w:hint="cs"/>
          <w:rtl/>
        </w:rPr>
        <w:t>ّ</w:t>
      </w:r>
      <w:r w:rsidRPr="006B7863">
        <w:rPr>
          <w:rtl/>
        </w:rPr>
        <w:t>ة أن هذه</w:t>
      </w:r>
      <w:r>
        <w:rPr>
          <w:rtl/>
        </w:rPr>
        <w:t xml:space="preserve"> المرأة </w:t>
      </w:r>
      <w:r w:rsidRPr="006B7863">
        <w:rPr>
          <w:rtl/>
        </w:rPr>
        <w:t>من طبقة الأشراف وأنها لا توازي المقتول في الرتبة والمكانة، بل ترتفع عنه، مما يدفع لتقديم رجل</w:t>
      </w:r>
      <w:r>
        <w:rPr>
          <w:rFonts w:hint="cs"/>
          <w:rtl/>
        </w:rPr>
        <w:t>ٍ</w:t>
      </w:r>
      <w:r w:rsidRPr="006B7863">
        <w:rPr>
          <w:rtl/>
        </w:rPr>
        <w:t xml:space="preserve"> للعقوبة مكانها يكون مساوياً في المكانة للمقتول.</w:t>
      </w:r>
    </w:p>
    <w:p w:rsidR="00C87E55" w:rsidRPr="006B7863" w:rsidRDefault="00C87E55" w:rsidP="00C87E55">
      <w:pPr>
        <w:pStyle w:val="ac"/>
      </w:pPr>
      <w:r w:rsidRPr="006B7863">
        <w:rPr>
          <w:rtl/>
        </w:rPr>
        <w:t>ووفقاً لذلك، لا تكون الآية غير دال</w:t>
      </w:r>
      <w:r>
        <w:rPr>
          <w:rFonts w:hint="cs"/>
          <w:rtl/>
        </w:rPr>
        <w:t>ّ</w:t>
      </w:r>
      <w:r w:rsidRPr="006B7863">
        <w:rPr>
          <w:rtl/>
        </w:rPr>
        <w:t>ة على عدم التساوي فحسب، بل تكون دالّة على مبدأ المساواة وإلغاء أشكال التمييز.</w:t>
      </w:r>
    </w:p>
    <w:p w:rsidR="00C87E55" w:rsidRPr="006B7863" w:rsidRDefault="00C87E55" w:rsidP="00C87E55">
      <w:pPr>
        <w:pStyle w:val="ac"/>
      </w:pPr>
      <w:r w:rsidRPr="006B7863">
        <w:rPr>
          <w:rtl/>
        </w:rPr>
        <w:t>ومع الأخذ بعين الاعتبار ما أسلفناه، يتضح أن</w:t>
      </w:r>
      <w:r>
        <w:rPr>
          <w:rFonts w:hint="cs"/>
          <w:rtl/>
        </w:rPr>
        <w:t>ّ</w:t>
      </w:r>
      <w:r w:rsidRPr="006B7863">
        <w:rPr>
          <w:rtl/>
        </w:rPr>
        <w:t xml:space="preserve">ه يمكن تفسير الآية بشكلين اثنين، </w:t>
      </w:r>
      <w:r w:rsidRPr="006B7863">
        <w:rPr>
          <w:rtl/>
        </w:rPr>
        <w:lastRenderedPageBreak/>
        <w:t>يثبت التمييز وعدم المساواة في القصاص وفقاً لأحدهما، فيما يثبت مبدأ المساواة طبقاً للآخر، وحيث كان التفسير الأوّل غير منسجم مع مذاق الشريعة بل مستلزم لتقييد الأدلّة ال</w:t>
      </w:r>
      <w:r>
        <w:rPr>
          <w:rtl/>
        </w:rPr>
        <w:t>أخرى</w:t>
      </w:r>
      <w:r w:rsidRPr="006B7863">
        <w:rPr>
          <w:rtl/>
        </w:rPr>
        <w:t>، وهي أدلّة يأبى لسانها عن التقييد، كان الثاني أكثر وضوحاً وجلاءً، لذا لزم الاعتماد عليه والأخذ به.</w:t>
      </w:r>
    </w:p>
    <w:p w:rsidR="00C87E55" w:rsidRPr="006B7863" w:rsidRDefault="00C87E55" w:rsidP="00707350">
      <w:pPr>
        <w:pStyle w:val="ac"/>
        <w:spacing w:line="199" w:lineRule="auto"/>
      </w:pPr>
      <w:r w:rsidRPr="006B7863">
        <w:rPr>
          <w:rtl/>
        </w:rPr>
        <w:t>من جهة</w:t>
      </w:r>
      <w:r>
        <w:rPr>
          <w:rFonts w:hint="cs"/>
          <w:rtl/>
        </w:rPr>
        <w:t>ٍ</w:t>
      </w:r>
      <w:r w:rsidRPr="006B7863">
        <w:rPr>
          <w:rtl/>
        </w:rPr>
        <w:t xml:space="preserve"> </w:t>
      </w:r>
      <w:r>
        <w:rPr>
          <w:rtl/>
        </w:rPr>
        <w:t>أخرى</w:t>
      </w:r>
      <w:r w:rsidRPr="006B7863">
        <w:rPr>
          <w:rtl/>
        </w:rPr>
        <w:t xml:space="preserve">، يتناسب التفسير الثاني للآية مع شأن نزولها، فقد ورد في مجمع البيان في ذلك: </w:t>
      </w:r>
      <w:r w:rsidRPr="00885E99">
        <w:rPr>
          <w:rtl/>
        </w:rPr>
        <w:t>«</w:t>
      </w:r>
      <w:r w:rsidRPr="006B7863">
        <w:rPr>
          <w:rtl/>
        </w:rPr>
        <w:t>نزلت هذه الآية في حيّين من العرب، لأحدهما طَوْل على الآخر، وكانوا يتزوّجون نساءهم بغير مهور، وأقسموا لنقتلنّ بالعبد من</w:t>
      </w:r>
      <w:r>
        <w:rPr>
          <w:rFonts w:hint="cs"/>
          <w:rtl/>
        </w:rPr>
        <w:t>ّ</w:t>
      </w:r>
      <w:r w:rsidRPr="006B7863">
        <w:rPr>
          <w:rtl/>
        </w:rPr>
        <w:t>ا الحرّ منهم، وبالمرأة من</w:t>
      </w:r>
      <w:r>
        <w:rPr>
          <w:rFonts w:hint="cs"/>
          <w:rtl/>
        </w:rPr>
        <w:t>ّ</w:t>
      </w:r>
      <w:r w:rsidRPr="006B7863">
        <w:rPr>
          <w:rtl/>
        </w:rPr>
        <w:t>ا الرجل منهم، وبالرجل من</w:t>
      </w:r>
      <w:r>
        <w:rPr>
          <w:rFonts w:hint="cs"/>
          <w:rtl/>
        </w:rPr>
        <w:t>ّ</w:t>
      </w:r>
      <w:r w:rsidRPr="006B7863">
        <w:rPr>
          <w:rtl/>
        </w:rPr>
        <w:t>ا الرجلين منهم، وجعلوا جراحاتهم على الضعف من جراح أولئك، حتى جاء ال</w:t>
      </w:r>
      <w:r>
        <w:rPr>
          <w:rtl/>
        </w:rPr>
        <w:t>إسلام</w:t>
      </w:r>
      <w:r w:rsidRPr="006B7863">
        <w:rPr>
          <w:rtl/>
        </w:rPr>
        <w:t>، فأنزل الله هذه الآية»</w:t>
      </w:r>
      <w:r w:rsidRPr="00815C4C">
        <w:rPr>
          <w:rFonts w:cs="Taher"/>
          <w:vertAlign w:val="superscript"/>
          <w:rtl/>
        </w:rPr>
        <w:t>(</w:t>
      </w:r>
      <w:r w:rsidRPr="00815C4C">
        <w:rPr>
          <w:rFonts w:cs="Taher"/>
          <w:vertAlign w:val="superscript"/>
          <w:rtl/>
        </w:rPr>
        <w:footnoteReference w:id="220"/>
      </w:r>
      <w:r w:rsidRPr="00815C4C">
        <w:rPr>
          <w:rFonts w:cs="Taher"/>
          <w:vertAlign w:val="superscript"/>
          <w:rtl/>
        </w:rPr>
        <w:t>)</w:t>
      </w:r>
      <w:r w:rsidRPr="006B7863">
        <w:rPr>
          <w:rtl/>
        </w:rPr>
        <w:t xml:space="preserve">، ولم يقتصر شأن النزول هذا على الطبرسي، بل جاء في تفاسير </w:t>
      </w:r>
      <w:r>
        <w:rPr>
          <w:rtl/>
        </w:rPr>
        <w:t>أخرى</w:t>
      </w:r>
      <w:r w:rsidRPr="006B7863">
        <w:rPr>
          <w:rtl/>
        </w:rPr>
        <w:t xml:space="preserve"> أيضاً</w:t>
      </w:r>
      <w:r w:rsidRPr="00815C4C">
        <w:rPr>
          <w:rFonts w:cs="Taher"/>
          <w:vertAlign w:val="superscript"/>
          <w:rtl/>
        </w:rPr>
        <w:t>(</w:t>
      </w:r>
      <w:r w:rsidRPr="00815C4C">
        <w:rPr>
          <w:rFonts w:cs="Taher"/>
          <w:vertAlign w:val="superscript"/>
          <w:rtl/>
        </w:rPr>
        <w:footnoteReference w:id="221"/>
      </w:r>
      <w:r w:rsidRPr="00815C4C">
        <w:rPr>
          <w:rFonts w:cs="Taher"/>
          <w:vertAlign w:val="superscript"/>
          <w:rtl/>
        </w:rPr>
        <w:t>)</w:t>
      </w:r>
      <w:r w:rsidRPr="006B7863">
        <w:rPr>
          <w:rtl/>
        </w:rPr>
        <w:t>.</w:t>
      </w:r>
    </w:p>
    <w:p w:rsidR="00C87E55" w:rsidRPr="006B7863" w:rsidRDefault="00C87E55" w:rsidP="00707350">
      <w:pPr>
        <w:pStyle w:val="ac"/>
        <w:spacing w:line="199" w:lineRule="auto"/>
      </w:pPr>
      <w:r w:rsidRPr="006B7863">
        <w:rPr>
          <w:rtl/>
        </w:rPr>
        <w:t>وإذا قيل: إن</w:t>
      </w:r>
      <w:r>
        <w:rPr>
          <w:rFonts w:hint="cs"/>
          <w:rtl/>
        </w:rPr>
        <w:t>ّ</w:t>
      </w:r>
      <w:r w:rsidRPr="006B7863">
        <w:rPr>
          <w:rtl/>
        </w:rPr>
        <w:t xml:space="preserve"> هذه الآية لا ظهور لها في التفسير الثاني، قلنا: لا أقلّ من احتماله، فيما الثابت إطلاق الآيات ال</w:t>
      </w:r>
      <w:r>
        <w:rPr>
          <w:rtl/>
        </w:rPr>
        <w:t>أخرى</w:t>
      </w:r>
      <w:r w:rsidRPr="006B7863">
        <w:rPr>
          <w:rtl/>
        </w:rPr>
        <w:t>.</w:t>
      </w:r>
    </w:p>
    <w:p w:rsidR="00C87E55" w:rsidRDefault="00C87E55" w:rsidP="00707350">
      <w:pPr>
        <w:pStyle w:val="ac"/>
        <w:spacing w:line="199" w:lineRule="auto"/>
        <w:rPr>
          <w:rtl/>
        </w:rPr>
      </w:pPr>
      <w:r w:rsidRPr="006B7863">
        <w:rPr>
          <w:rtl/>
        </w:rPr>
        <w:t>وبهذا توص</w:t>
      </w:r>
      <w:r>
        <w:rPr>
          <w:rFonts w:hint="cs"/>
          <w:rtl/>
        </w:rPr>
        <w:t>ّ</w:t>
      </w:r>
      <w:r w:rsidRPr="006B7863">
        <w:rPr>
          <w:rtl/>
        </w:rPr>
        <w:t>لنا ـ</w:t>
      </w:r>
      <w:r>
        <w:rPr>
          <w:rtl/>
        </w:rPr>
        <w:t xml:space="preserve"> إلى </w:t>
      </w:r>
      <w:r w:rsidRPr="006B7863">
        <w:rPr>
          <w:rtl/>
        </w:rPr>
        <w:t>هنا ـ</w:t>
      </w:r>
      <w:r>
        <w:rPr>
          <w:rtl/>
        </w:rPr>
        <w:t xml:space="preserve"> إلى </w:t>
      </w:r>
      <w:r w:rsidRPr="006B7863">
        <w:rPr>
          <w:rtl/>
        </w:rPr>
        <w:t>الدفاع عن مبدأ المساواة في القصاص بين الرجل والمرأة، والمسلم والكافر، والحرّ والعبد، اعتماداً على دلالة الآيات القرآنية وأصول الشريعة ال</w:t>
      </w:r>
      <w:r>
        <w:rPr>
          <w:rtl/>
        </w:rPr>
        <w:t>إسلام</w:t>
      </w:r>
      <w:r w:rsidRPr="006B7863">
        <w:rPr>
          <w:rtl/>
        </w:rPr>
        <w:t xml:space="preserve">ية، </w:t>
      </w:r>
      <w:r w:rsidRPr="00707350">
        <w:rPr>
          <w:sz w:val="29"/>
          <w:szCs w:val="29"/>
          <w:rtl/>
        </w:rPr>
        <w:t>ونحاول ـ عقب ذلك ـ دراسة وجهات النظر المختلفة التي تعارض نظري</w:t>
      </w:r>
      <w:r w:rsidRPr="00707350">
        <w:rPr>
          <w:rFonts w:hint="cs"/>
          <w:sz w:val="29"/>
          <w:szCs w:val="29"/>
          <w:rtl/>
        </w:rPr>
        <w:t>ّ</w:t>
      </w:r>
      <w:r w:rsidRPr="00707350">
        <w:rPr>
          <w:sz w:val="29"/>
          <w:szCs w:val="29"/>
          <w:rtl/>
        </w:rPr>
        <w:t>تنا هذه، وذلك ضمن بحثين: الأول: في الرجل والمرأة، والثاني: في المسلم والكافر.</w:t>
      </w:r>
    </w:p>
    <w:p w:rsidR="00546986" w:rsidRPr="00707350" w:rsidRDefault="00546986" w:rsidP="00707350">
      <w:pPr>
        <w:pStyle w:val="afffffc"/>
        <w:rPr>
          <w:sz w:val="22"/>
          <w:szCs w:val="20"/>
          <w:rtl/>
        </w:rPr>
      </w:pPr>
    </w:p>
    <w:p w:rsidR="00C87E55" w:rsidRPr="006C5004" w:rsidRDefault="00C87E55" w:rsidP="00546986">
      <w:pPr>
        <w:pStyle w:val="1"/>
      </w:pPr>
      <w:bookmarkStart w:id="229" w:name="_Toc169521425"/>
      <w:bookmarkStart w:id="230" w:name="_Toc275127973"/>
      <w:r w:rsidRPr="00D457EB">
        <w:rPr>
          <w:rFonts w:hint="cs"/>
          <w:rtl/>
        </w:rPr>
        <w:t>المحور</w:t>
      </w:r>
      <w:r w:rsidRPr="00D457EB">
        <w:rPr>
          <w:rtl/>
        </w:rPr>
        <w:t xml:space="preserve"> الثاني</w:t>
      </w:r>
      <w:bookmarkEnd w:id="229"/>
      <w:r>
        <w:rPr>
          <w:rFonts w:hint="cs"/>
          <w:rtl/>
        </w:rPr>
        <w:t>:</w:t>
      </w:r>
      <w:r w:rsidRPr="006C5004">
        <w:rPr>
          <w:rFonts w:hint="cs"/>
          <w:rtl/>
        </w:rPr>
        <w:t xml:space="preserve"> </w:t>
      </w:r>
      <w:bookmarkStart w:id="231" w:name="_Toc169521426"/>
      <w:r w:rsidRPr="006C5004">
        <w:rPr>
          <w:rtl/>
        </w:rPr>
        <w:t>نظرية عدم التكافؤ في القصاص</w:t>
      </w:r>
      <w:r w:rsidRPr="006C5004">
        <w:rPr>
          <w:rFonts w:hint="cs"/>
          <w:rtl/>
        </w:rPr>
        <w:t xml:space="preserve"> </w:t>
      </w:r>
      <w:r w:rsidRPr="006C5004">
        <w:rPr>
          <w:rtl/>
        </w:rPr>
        <w:t>بين الرجل والمرأة</w:t>
      </w:r>
      <w:r w:rsidRPr="006C5004">
        <w:rPr>
          <w:rFonts w:cs="Simplified Arabic"/>
          <w:rtl/>
        </w:rPr>
        <w:t>،</w:t>
      </w:r>
      <w:r w:rsidRPr="006C5004">
        <w:rPr>
          <w:rtl/>
        </w:rPr>
        <w:t xml:space="preserve"> دراسة ونقد</w:t>
      </w:r>
      <w:bookmarkEnd w:id="230"/>
      <w:bookmarkEnd w:id="231"/>
    </w:p>
    <w:p w:rsidR="00C87E55" w:rsidRPr="006B7863" w:rsidRDefault="00C87E55" w:rsidP="00707350">
      <w:pPr>
        <w:pStyle w:val="ac"/>
        <w:spacing w:line="199" w:lineRule="auto"/>
      </w:pPr>
      <w:r w:rsidRPr="006B7863">
        <w:rPr>
          <w:rtl/>
        </w:rPr>
        <w:t>لا شبهة في الفقه ال</w:t>
      </w:r>
      <w:r>
        <w:rPr>
          <w:rtl/>
        </w:rPr>
        <w:t>إسلام</w:t>
      </w:r>
      <w:r w:rsidRPr="006B7863">
        <w:rPr>
          <w:rtl/>
        </w:rPr>
        <w:t>ي في قصاص الرجل بقتل الرجل، والمرأة بقتل المرأة، وكذا</w:t>
      </w:r>
      <w:r>
        <w:rPr>
          <w:rtl/>
        </w:rPr>
        <w:t xml:space="preserve"> المرأة </w:t>
      </w:r>
      <w:r w:rsidRPr="006B7863">
        <w:rPr>
          <w:rtl/>
        </w:rPr>
        <w:t>في مقابل الرجل، أم</w:t>
      </w:r>
      <w:r>
        <w:rPr>
          <w:rFonts w:hint="cs"/>
          <w:rtl/>
        </w:rPr>
        <w:t>ّ</w:t>
      </w:r>
      <w:r w:rsidRPr="006B7863">
        <w:rPr>
          <w:rtl/>
        </w:rPr>
        <w:t>ا فيما يتعل</w:t>
      </w:r>
      <w:r>
        <w:rPr>
          <w:rFonts w:hint="cs"/>
          <w:rtl/>
        </w:rPr>
        <w:t>ّ</w:t>
      </w:r>
      <w:r w:rsidRPr="006B7863">
        <w:rPr>
          <w:rtl/>
        </w:rPr>
        <w:t>ق بقصاص الرجل بالمرأة، فقد ذهب مشهور الفقهاء</w:t>
      </w:r>
      <w:r>
        <w:rPr>
          <w:rtl/>
        </w:rPr>
        <w:t xml:space="preserve"> إلى </w:t>
      </w:r>
      <w:r w:rsidRPr="006B7863">
        <w:rPr>
          <w:rtl/>
        </w:rPr>
        <w:t>عدم إمكانية ذلك، إلاّ إذا دفع أولياء</w:t>
      </w:r>
      <w:r>
        <w:rPr>
          <w:rtl/>
        </w:rPr>
        <w:t xml:space="preserve"> المرأة </w:t>
      </w:r>
      <w:r w:rsidRPr="006B7863">
        <w:rPr>
          <w:rtl/>
        </w:rPr>
        <w:t>المقتولة نصف دية ال</w:t>
      </w:r>
      <w:r>
        <w:rPr>
          <w:rtl/>
        </w:rPr>
        <w:t xml:space="preserve">إنسان إلى </w:t>
      </w:r>
      <w:r w:rsidRPr="006B7863">
        <w:rPr>
          <w:rtl/>
        </w:rPr>
        <w:lastRenderedPageBreak/>
        <w:t>الرجل.</w:t>
      </w:r>
    </w:p>
    <w:p w:rsidR="00C87E55" w:rsidRPr="006B7863" w:rsidRDefault="00C87E55" w:rsidP="00546986">
      <w:pPr>
        <w:pStyle w:val="ac"/>
      </w:pPr>
      <w:r w:rsidRPr="006B7863">
        <w:rPr>
          <w:rtl/>
        </w:rPr>
        <w:t>والمستفاد من هذه النظرية عدم وجود تساو</w:t>
      </w:r>
      <w:r>
        <w:rPr>
          <w:rFonts w:hint="cs"/>
          <w:rtl/>
        </w:rPr>
        <w:t>ٍ</w:t>
      </w:r>
      <w:r w:rsidRPr="006B7863">
        <w:rPr>
          <w:rtl/>
        </w:rPr>
        <w:t xml:space="preserve"> في القصاص بين الرجل والمرأة، وقد ادعى صاحب الجواهر الإجماع المحصّل والمنقول على هذا الرأي</w:t>
      </w:r>
      <w:r w:rsidRPr="00815C4C">
        <w:rPr>
          <w:rFonts w:cs="Taher"/>
          <w:vertAlign w:val="superscript"/>
          <w:rtl/>
        </w:rPr>
        <w:t>(</w:t>
      </w:r>
      <w:r w:rsidRPr="00815C4C">
        <w:rPr>
          <w:rFonts w:cs="Taher"/>
          <w:vertAlign w:val="superscript"/>
          <w:rtl/>
        </w:rPr>
        <w:footnoteReference w:id="222"/>
      </w:r>
      <w:r w:rsidRPr="00815C4C">
        <w:rPr>
          <w:rFonts w:cs="Taher"/>
          <w:vertAlign w:val="superscript"/>
          <w:rtl/>
        </w:rPr>
        <w:t>)</w:t>
      </w:r>
      <w:r w:rsidRPr="006B7863">
        <w:rPr>
          <w:rtl/>
        </w:rPr>
        <w:t xml:space="preserve">، كما صرّح بالإجماع نفسه الفاضل الهندي في </w:t>
      </w:r>
      <w:r w:rsidRPr="00885E99">
        <w:rPr>
          <w:rtl/>
        </w:rPr>
        <w:t>«</w:t>
      </w:r>
      <w:r w:rsidRPr="006B7863">
        <w:rPr>
          <w:rtl/>
        </w:rPr>
        <w:t>كشف اللثام»</w:t>
      </w:r>
      <w:r w:rsidRPr="00815C4C">
        <w:rPr>
          <w:rFonts w:cs="Taher"/>
          <w:vertAlign w:val="superscript"/>
          <w:rtl/>
        </w:rPr>
        <w:t>(</w:t>
      </w:r>
      <w:r w:rsidRPr="00815C4C">
        <w:rPr>
          <w:rFonts w:cs="Taher"/>
          <w:vertAlign w:val="superscript"/>
          <w:rtl/>
        </w:rPr>
        <w:footnoteReference w:id="223"/>
      </w:r>
      <w:r w:rsidRPr="00815C4C">
        <w:rPr>
          <w:rFonts w:cs="Taher"/>
          <w:vertAlign w:val="superscript"/>
          <w:rtl/>
        </w:rPr>
        <w:t>)</w:t>
      </w:r>
      <w:r w:rsidRPr="006B7863">
        <w:rPr>
          <w:rtl/>
        </w:rPr>
        <w:t>.</w:t>
      </w:r>
    </w:p>
    <w:p w:rsidR="00C87E55" w:rsidRPr="006B7863" w:rsidRDefault="00C87E55" w:rsidP="00546986">
      <w:pPr>
        <w:pStyle w:val="ac"/>
      </w:pPr>
      <w:r w:rsidRPr="006B7863">
        <w:rPr>
          <w:rtl/>
        </w:rPr>
        <w:t xml:space="preserve">يكتب الشيخ الطوسي في </w:t>
      </w:r>
      <w:r w:rsidRPr="00885E99">
        <w:rPr>
          <w:rtl/>
        </w:rPr>
        <w:t>«</w:t>
      </w:r>
      <w:r w:rsidRPr="006B7863">
        <w:rPr>
          <w:rtl/>
        </w:rPr>
        <w:t xml:space="preserve">الخلاف»: </w:t>
      </w:r>
      <w:r w:rsidRPr="00885E99">
        <w:rPr>
          <w:rtl/>
        </w:rPr>
        <w:t>«</w:t>
      </w:r>
      <w:r w:rsidRPr="006B7863">
        <w:rPr>
          <w:rtl/>
        </w:rPr>
        <w:t xml:space="preserve">يُقتل الحرّ بالحرّة إذا ردّ أولياؤها فاضل الدية، وهو خمسة آلاف درهم، وبه قال عطاء، إلاّ أنه قال: </w:t>
      </w:r>
      <w:r w:rsidRPr="00A14924">
        <w:rPr>
          <w:rtl/>
        </w:rPr>
        <w:t>ستة</w:t>
      </w:r>
      <w:r w:rsidRPr="006B7863">
        <w:rPr>
          <w:rtl/>
        </w:rPr>
        <w:t xml:space="preserve"> آلاف درهم، وروي ذلك عن الحسن البصري، ورواه عن علي</w:t>
      </w:r>
      <w:r w:rsidR="00546986" w:rsidRPr="00546986">
        <w:rPr>
          <w:rFonts w:hint="cs"/>
          <w:rtl/>
        </w:rPr>
        <w:t>×</w:t>
      </w:r>
      <w:r w:rsidRPr="006B7863">
        <w:rPr>
          <w:rtl/>
        </w:rPr>
        <w:t>. وقال جميع الفقهاء: إن</w:t>
      </w:r>
      <w:r>
        <w:rPr>
          <w:rFonts w:hint="cs"/>
          <w:rtl/>
        </w:rPr>
        <w:t>ّ</w:t>
      </w:r>
      <w:r w:rsidRPr="006B7863">
        <w:rPr>
          <w:rtl/>
        </w:rPr>
        <w:t>ه يقتل بها، ولا يرد</w:t>
      </w:r>
      <w:r>
        <w:rPr>
          <w:rFonts w:hint="cs"/>
          <w:rtl/>
        </w:rPr>
        <w:t>ّ</w:t>
      </w:r>
      <w:r w:rsidRPr="006B7863">
        <w:rPr>
          <w:rtl/>
        </w:rPr>
        <w:t xml:space="preserve"> أولياؤها شيئاً، ورووا ذلك عن علي</w:t>
      </w:r>
      <w:r w:rsidR="00546986" w:rsidRPr="00546986">
        <w:rPr>
          <w:rFonts w:hint="cs"/>
          <w:rtl/>
        </w:rPr>
        <w:t>×</w:t>
      </w:r>
      <w:r w:rsidRPr="006B7863">
        <w:rPr>
          <w:rtl/>
        </w:rPr>
        <w:t>، وابن مسعود.</w:t>
      </w:r>
    </w:p>
    <w:p w:rsidR="00C87E55" w:rsidRPr="006B7863" w:rsidRDefault="00C87E55" w:rsidP="00546986">
      <w:pPr>
        <w:pStyle w:val="ac"/>
      </w:pPr>
      <w:r w:rsidRPr="006B7863">
        <w:rPr>
          <w:rtl/>
        </w:rPr>
        <w:t>دليل</w:t>
      </w:r>
      <w:r>
        <w:rPr>
          <w:rFonts w:hint="cs"/>
          <w:rtl/>
        </w:rPr>
        <w:t>ُ</w:t>
      </w:r>
      <w:r w:rsidRPr="006B7863">
        <w:rPr>
          <w:rtl/>
        </w:rPr>
        <w:t xml:space="preserve">نا: إجماع الفرقة وأخبارهم، وأيضاً قوله تعالى: </w:t>
      </w:r>
      <w:r w:rsidRPr="00AA2A63">
        <w:rPr>
          <w:rFonts w:hint="cs"/>
          <w:rtl/>
        </w:rPr>
        <w:sym w:font="Islamic Units 1" w:char="F03E"/>
      </w:r>
      <w:r w:rsidRPr="00546986">
        <w:rPr>
          <w:b/>
          <w:bCs/>
          <w:rtl/>
        </w:rPr>
        <w:t>وَالأُنثَى بِالأُنثَى</w:t>
      </w:r>
      <w:r w:rsidRPr="00AA2A63">
        <w:rPr>
          <w:rFonts w:hint="cs"/>
          <w:rtl/>
        </w:rPr>
        <w:sym w:font="Islamic Units 1" w:char="F03C"/>
      </w:r>
      <w:r w:rsidRPr="006B7863">
        <w:rPr>
          <w:rtl/>
        </w:rPr>
        <w:t>، فدلّ على أن الذكر لا يُقتل بالأنثى»</w:t>
      </w:r>
      <w:r w:rsidRPr="00815C4C">
        <w:rPr>
          <w:rFonts w:cs="Taher"/>
          <w:vertAlign w:val="superscript"/>
          <w:rtl/>
        </w:rPr>
        <w:t>(</w:t>
      </w:r>
      <w:r w:rsidRPr="00815C4C">
        <w:rPr>
          <w:rFonts w:cs="Taher"/>
          <w:vertAlign w:val="superscript"/>
          <w:rtl/>
        </w:rPr>
        <w:footnoteReference w:id="224"/>
      </w:r>
      <w:r w:rsidRPr="00815C4C">
        <w:rPr>
          <w:rFonts w:cs="Taher"/>
          <w:vertAlign w:val="superscript"/>
          <w:rtl/>
        </w:rPr>
        <w:t>)</w:t>
      </w:r>
      <w:r w:rsidRPr="006B7863">
        <w:rPr>
          <w:rtl/>
        </w:rPr>
        <w:t>.</w:t>
      </w:r>
    </w:p>
    <w:p w:rsidR="00C87E55" w:rsidRPr="006B7863" w:rsidRDefault="00C87E55" w:rsidP="008D7E70">
      <w:pPr>
        <w:pStyle w:val="ac"/>
      </w:pPr>
      <w:r w:rsidRPr="006B7863">
        <w:rPr>
          <w:rtl/>
        </w:rPr>
        <w:t xml:space="preserve">ويقول السيد المرتضى في </w:t>
      </w:r>
      <w:r w:rsidRPr="00885E99">
        <w:rPr>
          <w:rtl/>
        </w:rPr>
        <w:t>«</w:t>
      </w:r>
      <w:r w:rsidRPr="006B7863">
        <w:rPr>
          <w:rtl/>
        </w:rPr>
        <w:t xml:space="preserve">الانتصار»: </w:t>
      </w:r>
      <w:r w:rsidRPr="00885E99">
        <w:rPr>
          <w:rtl/>
        </w:rPr>
        <w:t>«</w:t>
      </w:r>
      <w:r w:rsidRPr="006B7863">
        <w:rPr>
          <w:rtl/>
        </w:rPr>
        <w:t>ومم</w:t>
      </w:r>
      <w:r>
        <w:rPr>
          <w:rFonts w:hint="cs"/>
          <w:rtl/>
        </w:rPr>
        <w:t>ّ</w:t>
      </w:r>
      <w:r w:rsidRPr="006B7863">
        <w:rPr>
          <w:rtl/>
        </w:rPr>
        <w:t>ا انفردت به الإمامية: أن</w:t>
      </w:r>
      <w:r>
        <w:rPr>
          <w:rFonts w:hint="cs"/>
          <w:rtl/>
        </w:rPr>
        <w:t>ّ</w:t>
      </w:r>
      <w:r w:rsidRPr="006B7863">
        <w:rPr>
          <w:rtl/>
        </w:rPr>
        <w:t xml:space="preserve"> الرجل إذا قتل</w:t>
      </w:r>
      <w:r>
        <w:rPr>
          <w:rtl/>
        </w:rPr>
        <w:t xml:space="preserve"> المرأة </w:t>
      </w:r>
      <w:r w:rsidRPr="006B7863">
        <w:rPr>
          <w:rtl/>
        </w:rPr>
        <w:t>عمداً، واختار أولياؤها الدية، كان على القاتل أن يؤد</w:t>
      </w:r>
      <w:r>
        <w:rPr>
          <w:rFonts w:hint="cs"/>
          <w:rtl/>
        </w:rPr>
        <w:t>ّ</w:t>
      </w:r>
      <w:r w:rsidRPr="006B7863">
        <w:rPr>
          <w:rtl/>
        </w:rPr>
        <w:t>يها إليهم، وهي نصف دية الرجل، فإن اختار الأولياء القود، وقتل الرجل بها، كان لهم ذلك على أن يؤد</w:t>
      </w:r>
      <w:r>
        <w:rPr>
          <w:rFonts w:hint="cs"/>
          <w:rtl/>
        </w:rPr>
        <w:t>ّ</w:t>
      </w:r>
      <w:r w:rsidRPr="006B7863">
        <w:rPr>
          <w:rtl/>
        </w:rPr>
        <w:t>وا</w:t>
      </w:r>
      <w:r>
        <w:rPr>
          <w:rtl/>
        </w:rPr>
        <w:t xml:space="preserve"> إلى </w:t>
      </w:r>
      <w:r w:rsidRPr="006B7863">
        <w:rPr>
          <w:rtl/>
        </w:rPr>
        <w:t>ورثة الرجل المقتول نصف الدية، ولا يجوز لهم أن يقتلوه إلاّ على هذا الشرط، وخالف باقي الفقهاء في ذلك، ولم يوجبوا على من قتل الرجل بالمرأة شيئاً من الدية.</w:t>
      </w:r>
    </w:p>
    <w:p w:rsidR="00C87E55" w:rsidRPr="006B7863" w:rsidRDefault="00C87E55" w:rsidP="00D537F7">
      <w:pPr>
        <w:pStyle w:val="ac"/>
      </w:pPr>
      <w:r w:rsidRPr="006B7863">
        <w:rPr>
          <w:rtl/>
        </w:rPr>
        <w:t>دليل</w:t>
      </w:r>
      <w:r>
        <w:rPr>
          <w:rFonts w:hint="cs"/>
          <w:rtl/>
        </w:rPr>
        <w:t>ُ</w:t>
      </w:r>
      <w:r w:rsidRPr="006B7863">
        <w:rPr>
          <w:rtl/>
        </w:rPr>
        <w:t>نا على صح</w:t>
      </w:r>
      <w:r>
        <w:rPr>
          <w:rFonts w:hint="cs"/>
          <w:rtl/>
        </w:rPr>
        <w:t>ّ</w:t>
      </w:r>
      <w:r w:rsidRPr="006B7863">
        <w:rPr>
          <w:rtl/>
        </w:rPr>
        <w:t>ة ما ذهبنا إليه: الإجماع المتردّد، ولأن نفس</w:t>
      </w:r>
      <w:r>
        <w:rPr>
          <w:rtl/>
        </w:rPr>
        <w:t xml:space="preserve"> المرأة </w:t>
      </w:r>
      <w:r w:rsidRPr="006B7863">
        <w:rPr>
          <w:rtl/>
        </w:rPr>
        <w:t>لا تساوي نفس الرجل، بل هي على النصف منها، فيجب إذا أخذت النفس الكاملة بالناقصة أن يردّ فضل ما بينهما»</w:t>
      </w:r>
      <w:r w:rsidRPr="00815C4C">
        <w:rPr>
          <w:rFonts w:cs="Taher"/>
          <w:vertAlign w:val="superscript"/>
          <w:rtl/>
        </w:rPr>
        <w:t>(</w:t>
      </w:r>
      <w:r w:rsidRPr="00815C4C">
        <w:rPr>
          <w:rFonts w:cs="Taher"/>
          <w:vertAlign w:val="superscript"/>
          <w:rtl/>
        </w:rPr>
        <w:footnoteReference w:id="225"/>
      </w:r>
      <w:r w:rsidRPr="00815C4C">
        <w:rPr>
          <w:rFonts w:cs="Taher"/>
          <w:vertAlign w:val="superscript"/>
          <w:rtl/>
        </w:rPr>
        <w:t>)</w:t>
      </w:r>
      <w:r w:rsidRPr="006B7863">
        <w:rPr>
          <w:rtl/>
        </w:rPr>
        <w:t>.</w:t>
      </w:r>
    </w:p>
    <w:p w:rsidR="00C87E55" w:rsidRPr="006B7863" w:rsidRDefault="00C87E55" w:rsidP="008D7E70">
      <w:pPr>
        <w:pStyle w:val="ac"/>
      </w:pPr>
      <w:r w:rsidRPr="006B7863">
        <w:rPr>
          <w:rtl/>
        </w:rPr>
        <w:t>وي</w:t>
      </w:r>
      <w:r>
        <w:rPr>
          <w:rFonts w:hint="cs"/>
          <w:rtl/>
        </w:rPr>
        <w:t>ُ</w:t>
      </w:r>
      <w:r w:rsidRPr="006B7863">
        <w:rPr>
          <w:rtl/>
        </w:rPr>
        <w:t xml:space="preserve">ستنتج </w:t>
      </w:r>
      <w:r w:rsidRPr="00A14924">
        <w:rPr>
          <w:rtl/>
        </w:rPr>
        <w:t>من</w:t>
      </w:r>
      <w:r w:rsidRPr="006B7863">
        <w:rPr>
          <w:rtl/>
        </w:rPr>
        <w:t xml:space="preserve"> هذين النص</w:t>
      </w:r>
      <w:r>
        <w:rPr>
          <w:rFonts w:hint="cs"/>
          <w:rtl/>
        </w:rPr>
        <w:t>ّ</w:t>
      </w:r>
      <w:r w:rsidRPr="006B7863">
        <w:rPr>
          <w:rtl/>
        </w:rPr>
        <w:t xml:space="preserve">ين أن فقهاء أهل السنّة متفقون على عدم لزوم دفع نصف الدية، فيما يتفق في مقابلهم فقهاء الشيعة على لزوم ذلك، والجدير ذكره أن الفقهاء </w:t>
      </w:r>
      <w:r w:rsidRPr="006B7863">
        <w:rPr>
          <w:rtl/>
        </w:rPr>
        <w:lastRenderedPageBreak/>
        <w:t>السنّة ينقلون رأيهم هذا عن الإمام علي</w:t>
      </w:r>
      <w:r w:rsidR="008D7E70">
        <w:rPr>
          <w:rFonts w:hint="cs"/>
          <w:rtl/>
        </w:rPr>
        <w:t>×</w:t>
      </w:r>
      <w:r w:rsidRPr="006B7863">
        <w:rPr>
          <w:rtl/>
        </w:rPr>
        <w:t>.</w:t>
      </w:r>
    </w:p>
    <w:p w:rsidR="00C87E55" w:rsidRDefault="00C87E55" w:rsidP="008D7E70">
      <w:pPr>
        <w:pStyle w:val="ac"/>
        <w:rPr>
          <w:rtl/>
        </w:rPr>
      </w:pPr>
      <w:r w:rsidRPr="006B7863">
        <w:rPr>
          <w:rtl/>
        </w:rPr>
        <w:t>والمستفاد من النص</w:t>
      </w:r>
      <w:r>
        <w:rPr>
          <w:rFonts w:hint="cs"/>
          <w:rtl/>
        </w:rPr>
        <w:t>ّ</w:t>
      </w:r>
      <w:r w:rsidRPr="006B7863">
        <w:rPr>
          <w:rtl/>
        </w:rPr>
        <w:t>ين المشار إليهما أن</w:t>
      </w:r>
      <w:r>
        <w:rPr>
          <w:rFonts w:hint="cs"/>
          <w:rtl/>
        </w:rPr>
        <w:t>ّ</w:t>
      </w:r>
      <w:r w:rsidRPr="006B7863">
        <w:rPr>
          <w:rtl/>
        </w:rPr>
        <w:t xml:space="preserve"> فقهاء الشيعة اعتمدوا ـ لإثبات نظريتهم هذه ـ على أدلّة أربعة هي:</w:t>
      </w:r>
      <w:r>
        <w:rPr>
          <w:rFonts w:hint="cs"/>
          <w:rtl/>
        </w:rPr>
        <w:t xml:space="preserve"> </w:t>
      </w:r>
      <w:r w:rsidRPr="006B7863">
        <w:rPr>
          <w:rtl/>
        </w:rPr>
        <w:t xml:space="preserve">1 ـ الآية 178 من سورة البقرة، أي: </w:t>
      </w:r>
      <w:r w:rsidRPr="00AA2A63">
        <w:rPr>
          <w:rFonts w:hint="cs"/>
          <w:rtl/>
        </w:rPr>
        <w:sym w:font="Islamic Units 1" w:char="F03E"/>
      </w:r>
      <w:r w:rsidRPr="008D7E70">
        <w:rPr>
          <w:b/>
          <w:bCs/>
          <w:rtl/>
        </w:rPr>
        <w:t>وَالأُنثَى بِالأُنثَى</w:t>
      </w:r>
      <w:r w:rsidRPr="00AA2A63">
        <w:rPr>
          <w:rFonts w:hint="cs"/>
          <w:rtl/>
        </w:rPr>
        <w:sym w:font="Islamic Units 1" w:char="F03C"/>
      </w:r>
      <w:r w:rsidRPr="006B7863">
        <w:rPr>
          <w:rtl/>
        </w:rPr>
        <w:t>.</w:t>
      </w:r>
    </w:p>
    <w:p w:rsidR="00C87E55" w:rsidRPr="006B7863" w:rsidRDefault="00C87E55" w:rsidP="008D7E70">
      <w:pPr>
        <w:pStyle w:val="ac"/>
      </w:pPr>
      <w:r>
        <w:rPr>
          <w:rFonts w:hint="cs"/>
          <w:rtl/>
        </w:rPr>
        <w:t xml:space="preserve"> </w:t>
      </w:r>
      <w:r w:rsidRPr="006B7863">
        <w:rPr>
          <w:rtl/>
        </w:rPr>
        <w:t>2 ـ الروايات.</w:t>
      </w:r>
      <w:r>
        <w:rPr>
          <w:rFonts w:hint="cs"/>
          <w:rtl/>
        </w:rPr>
        <w:t xml:space="preserve"> </w:t>
      </w:r>
      <w:r w:rsidRPr="006B7863">
        <w:rPr>
          <w:rtl/>
        </w:rPr>
        <w:t>3 ـ الإجماع.</w:t>
      </w:r>
      <w:r>
        <w:rPr>
          <w:rFonts w:hint="cs"/>
          <w:rtl/>
        </w:rPr>
        <w:t xml:space="preserve"> </w:t>
      </w:r>
      <w:r w:rsidRPr="006B7863">
        <w:rPr>
          <w:rtl/>
        </w:rPr>
        <w:t>4 ـ عدم تساوي دية الرجل والمرأة.</w:t>
      </w:r>
    </w:p>
    <w:p w:rsidR="00C87E55" w:rsidRDefault="00C87E55" w:rsidP="008D7E70">
      <w:pPr>
        <w:pStyle w:val="ac"/>
        <w:rPr>
          <w:rtl/>
        </w:rPr>
      </w:pPr>
      <w:r w:rsidRPr="006B7863">
        <w:rPr>
          <w:rtl/>
        </w:rPr>
        <w:t>ونحاول هنا رصد هذه الأدلّة وتفحّصها على الشكل التالي:</w:t>
      </w:r>
    </w:p>
    <w:p w:rsidR="00707350" w:rsidRPr="006B7863" w:rsidRDefault="00707350" w:rsidP="00707350">
      <w:pPr>
        <w:pStyle w:val="afffffc"/>
      </w:pPr>
    </w:p>
    <w:p w:rsidR="00C87E55" w:rsidRPr="00D457EB" w:rsidRDefault="00C87E55" w:rsidP="008D7E70">
      <w:pPr>
        <w:pStyle w:val="1"/>
      </w:pPr>
      <w:bookmarkStart w:id="232" w:name="_Toc169521427"/>
      <w:bookmarkStart w:id="233" w:name="_Toc275127974"/>
      <w:r w:rsidRPr="00D457EB">
        <w:rPr>
          <w:rtl/>
        </w:rPr>
        <w:t>أدل</w:t>
      </w:r>
      <w:r w:rsidRPr="00D457EB">
        <w:rPr>
          <w:rFonts w:hint="cs"/>
          <w:rtl/>
        </w:rPr>
        <w:t>ّ</w:t>
      </w:r>
      <w:r w:rsidRPr="00D457EB">
        <w:rPr>
          <w:rtl/>
        </w:rPr>
        <w:t>ة النظرية</w:t>
      </w:r>
      <w:r w:rsidRPr="00D457EB">
        <w:rPr>
          <w:rFonts w:hint="cs"/>
          <w:rtl/>
        </w:rPr>
        <w:t xml:space="preserve"> المشهورة في عدم التكافؤ في القصاص بين الجنسين</w:t>
      </w:r>
      <w:bookmarkEnd w:id="232"/>
      <w:bookmarkEnd w:id="233"/>
    </w:p>
    <w:p w:rsidR="00C87E55" w:rsidRPr="00040AEC" w:rsidRDefault="00C87E55" w:rsidP="00707350">
      <w:pPr>
        <w:pStyle w:val="2"/>
      </w:pPr>
      <w:bookmarkStart w:id="234" w:name="_Toc169521428"/>
      <w:bookmarkStart w:id="235" w:name="_Toc275127975"/>
      <w:r w:rsidRPr="00040AEC">
        <w:rPr>
          <w:rtl/>
        </w:rPr>
        <w:t>الدليل الأوّل: القرآن الكريم</w:t>
      </w:r>
      <w:bookmarkEnd w:id="234"/>
      <w:bookmarkEnd w:id="235"/>
    </w:p>
    <w:p w:rsidR="00C87E55" w:rsidRPr="006B7863" w:rsidRDefault="00C87E55" w:rsidP="008D7E70">
      <w:pPr>
        <w:pStyle w:val="ac"/>
      </w:pPr>
      <w:r w:rsidRPr="006B7863">
        <w:rPr>
          <w:rtl/>
        </w:rPr>
        <w:t>تقدم في القسم الأوّل بعض التوضيحات المرتبطة بهذه الآية، وقد قلنا هناك: إن هذه الآية يمكن أن تفسّر على نحوين، تكون ـ أي الآية ـ على أحدهما مستنداً لقول مشهور الشيعة، فيما تغدو على التفسير الآخر مستنداً للقول بتساوي القصاص بين الرجل والمرأة.</w:t>
      </w:r>
    </w:p>
    <w:p w:rsidR="00C87E55" w:rsidRDefault="00C87E55" w:rsidP="00707350">
      <w:pPr>
        <w:pStyle w:val="ac"/>
        <w:rPr>
          <w:rtl/>
        </w:rPr>
      </w:pPr>
      <w:r w:rsidRPr="006B7863">
        <w:rPr>
          <w:rtl/>
        </w:rPr>
        <w:t>وقد انتهينا هناك</w:t>
      </w:r>
      <w:r>
        <w:rPr>
          <w:rtl/>
        </w:rPr>
        <w:t xml:space="preserve"> إلى </w:t>
      </w:r>
      <w:r w:rsidRPr="006B7863">
        <w:rPr>
          <w:rtl/>
        </w:rPr>
        <w:t>أن شأن نزول الآية يؤيّد الاحتمال الثاني، كما أن</w:t>
      </w:r>
      <w:r>
        <w:rPr>
          <w:rFonts w:hint="cs"/>
          <w:rtl/>
        </w:rPr>
        <w:t>ّ</w:t>
      </w:r>
      <w:r w:rsidRPr="006B7863">
        <w:rPr>
          <w:rtl/>
        </w:rPr>
        <w:t xml:space="preserve">ه المستفاد من إطلاق آيات </w:t>
      </w:r>
      <w:r>
        <w:rPr>
          <w:rtl/>
        </w:rPr>
        <w:t>أخرى</w:t>
      </w:r>
      <w:r w:rsidRPr="006B7863">
        <w:rPr>
          <w:rtl/>
        </w:rPr>
        <w:t xml:space="preserve"> وصراحتها</w:t>
      </w:r>
      <w:r>
        <w:rPr>
          <w:rFonts w:hint="cs"/>
          <w:rtl/>
        </w:rPr>
        <w:t>؛</w:t>
      </w:r>
      <w:r w:rsidRPr="006B7863">
        <w:rPr>
          <w:rtl/>
        </w:rPr>
        <w:t xml:space="preserve"> وعليه رج</w:t>
      </w:r>
      <w:r>
        <w:rPr>
          <w:rFonts w:hint="cs"/>
          <w:rtl/>
        </w:rPr>
        <w:t>ّ</w:t>
      </w:r>
      <w:r w:rsidRPr="006B7863">
        <w:rPr>
          <w:rtl/>
        </w:rPr>
        <w:t>حنا التفسير القاضي بتساوي قصاص الرجل والمرأة.</w:t>
      </w:r>
    </w:p>
    <w:p w:rsidR="00006BE5" w:rsidRPr="006B7863" w:rsidRDefault="00006BE5" w:rsidP="00707350">
      <w:pPr>
        <w:pStyle w:val="afffffc"/>
      </w:pPr>
    </w:p>
    <w:p w:rsidR="00C87E55" w:rsidRPr="00040AEC" w:rsidRDefault="00C87E55" w:rsidP="00707350">
      <w:pPr>
        <w:pStyle w:val="2"/>
      </w:pPr>
      <w:bookmarkStart w:id="236" w:name="_Toc169521429"/>
      <w:bookmarkStart w:id="237" w:name="_Toc275127976"/>
      <w:r w:rsidRPr="00040AEC">
        <w:rPr>
          <w:rtl/>
        </w:rPr>
        <w:t>الدليل الثاني: الروايات</w:t>
      </w:r>
      <w:bookmarkEnd w:id="236"/>
      <w:bookmarkEnd w:id="237"/>
    </w:p>
    <w:p w:rsidR="00C87E55" w:rsidRPr="006B7863" w:rsidRDefault="00C87E55" w:rsidP="00006BE5">
      <w:pPr>
        <w:pStyle w:val="ac"/>
      </w:pPr>
      <w:r w:rsidRPr="006B7863">
        <w:rPr>
          <w:rtl/>
        </w:rPr>
        <w:t>أهمّ مستند للقول المشهور هو الأخبار والأحاديث، وهي أخبار يبلغ تعدادها في الكتب الحديثية المعتبرة خمسةَ عشر خبراً، عشرة</w:t>
      </w:r>
      <w:r>
        <w:rPr>
          <w:rFonts w:hint="cs"/>
          <w:rtl/>
        </w:rPr>
        <w:t>ٌ</w:t>
      </w:r>
      <w:r w:rsidRPr="006B7863">
        <w:rPr>
          <w:rtl/>
        </w:rPr>
        <w:t xml:space="preserve"> منها معتبر من الناحية السندية.</w:t>
      </w:r>
    </w:p>
    <w:p w:rsidR="00C87E55" w:rsidRDefault="00C87E55" w:rsidP="000B230F">
      <w:pPr>
        <w:pStyle w:val="ac"/>
        <w:rPr>
          <w:rtl/>
        </w:rPr>
      </w:pPr>
      <w:r w:rsidRPr="006B7863">
        <w:rPr>
          <w:rtl/>
        </w:rPr>
        <w:t>وقد ن</w:t>
      </w:r>
      <w:r>
        <w:rPr>
          <w:rFonts w:hint="cs"/>
          <w:rtl/>
        </w:rPr>
        <w:t>ُ</w:t>
      </w:r>
      <w:r w:rsidRPr="006B7863">
        <w:rPr>
          <w:rtl/>
        </w:rPr>
        <w:t>قلت هذه الروايات عن كبار المحدّثين و</w:t>
      </w:r>
      <w:r>
        <w:rPr>
          <w:rtl/>
        </w:rPr>
        <w:t>أصحاب</w:t>
      </w:r>
      <w:r w:rsidRPr="006B7863">
        <w:rPr>
          <w:rtl/>
        </w:rPr>
        <w:t xml:space="preserve"> الأئمة</w:t>
      </w:r>
      <w:r w:rsidR="000B230F">
        <w:rPr>
          <w:rFonts w:hint="cs"/>
          <w:rtl/>
        </w:rPr>
        <w:t>^</w:t>
      </w:r>
      <w:r>
        <w:rPr>
          <w:rFonts w:hint="cs"/>
          <w:rtl/>
        </w:rPr>
        <w:t xml:space="preserve"> </w:t>
      </w:r>
      <w:r w:rsidRPr="006B7863">
        <w:rPr>
          <w:rtl/>
        </w:rPr>
        <w:t>مثل: عبدالله بن سنان، وعبدالله بن مسكان، وعبيدالله بن علي الحلبي، وفضل بن عبدالملك، وأبي العباس البقباق، وليث بن البختري، وأبي بصير المرادي وغيرهم من الرواة الموثوقين.</w:t>
      </w:r>
    </w:p>
    <w:p w:rsidR="00C87E55" w:rsidRPr="005067D6" w:rsidRDefault="00C87E55" w:rsidP="005067D6">
      <w:pPr>
        <w:pStyle w:val="ac"/>
        <w:rPr>
          <w:b/>
          <w:bCs/>
        </w:rPr>
      </w:pPr>
      <w:r w:rsidRPr="005067D6">
        <w:rPr>
          <w:b/>
          <w:bCs/>
          <w:rtl/>
        </w:rPr>
        <w:t>وهذا بعضٌ من تلك الروايات:</w:t>
      </w:r>
    </w:p>
    <w:p w:rsidR="00C87E55" w:rsidRPr="006B7863" w:rsidRDefault="00C87E55" w:rsidP="000B230F">
      <w:pPr>
        <w:pStyle w:val="ac"/>
      </w:pPr>
      <w:r w:rsidRPr="006B7863">
        <w:rPr>
          <w:rtl/>
        </w:rPr>
        <w:t xml:space="preserve">1 ـ محمد بن يعقوب، عن محمد بن يحيى، عن أحمد بن محمد، وعن علي بن إبراهيم، عن أبيه جميعاً، عن ابن محبوب، عن عبدالله بن سنان، قال: </w:t>
      </w:r>
      <w:r w:rsidRPr="00885E99">
        <w:rPr>
          <w:rtl/>
        </w:rPr>
        <w:t>«</w:t>
      </w:r>
      <w:r w:rsidRPr="006B7863">
        <w:rPr>
          <w:rtl/>
        </w:rPr>
        <w:t>سمعت أبا عبدالله</w:t>
      </w:r>
      <w:r w:rsidR="000B230F" w:rsidRPr="000B230F">
        <w:rPr>
          <w:rFonts w:hint="cs"/>
          <w:rtl/>
        </w:rPr>
        <w:t>×</w:t>
      </w:r>
      <w:r w:rsidRPr="006B7863">
        <w:rPr>
          <w:rtl/>
        </w:rPr>
        <w:t xml:space="preserve"> </w:t>
      </w:r>
      <w:r w:rsidRPr="006B7863">
        <w:rPr>
          <w:rtl/>
        </w:rPr>
        <w:lastRenderedPageBreak/>
        <w:t>يقول: في رجل</w:t>
      </w:r>
      <w:r>
        <w:rPr>
          <w:rFonts w:hint="cs"/>
          <w:rtl/>
        </w:rPr>
        <w:t>ٍ</w:t>
      </w:r>
      <w:r w:rsidRPr="006B7863">
        <w:rPr>
          <w:rtl/>
        </w:rPr>
        <w:t xml:space="preserve"> قتل </w:t>
      </w:r>
      <w:r>
        <w:rPr>
          <w:rFonts w:hint="cs"/>
          <w:rtl/>
        </w:rPr>
        <w:t>ا</w:t>
      </w:r>
      <w:r>
        <w:rPr>
          <w:rtl/>
        </w:rPr>
        <w:t>مر</w:t>
      </w:r>
      <w:r w:rsidRPr="006B7863">
        <w:rPr>
          <w:rtl/>
        </w:rPr>
        <w:t>أته متعم</w:t>
      </w:r>
      <w:r>
        <w:rPr>
          <w:rFonts w:hint="cs"/>
          <w:rtl/>
        </w:rPr>
        <w:t>ّ</w:t>
      </w:r>
      <w:r w:rsidRPr="006B7863">
        <w:rPr>
          <w:rtl/>
        </w:rPr>
        <w:t>داً، قال: إن شاء أهل</w:t>
      </w:r>
      <w:r>
        <w:rPr>
          <w:rFonts w:hint="cs"/>
          <w:rtl/>
        </w:rPr>
        <w:t>ُ</w:t>
      </w:r>
      <w:r w:rsidRPr="006B7863">
        <w:rPr>
          <w:rtl/>
        </w:rPr>
        <w:t>ها أن يقتلوه قتلوه، ويؤد</w:t>
      </w:r>
      <w:r>
        <w:rPr>
          <w:rFonts w:hint="cs"/>
          <w:rtl/>
        </w:rPr>
        <w:t>ّ</w:t>
      </w:r>
      <w:r w:rsidRPr="006B7863">
        <w:rPr>
          <w:rtl/>
        </w:rPr>
        <w:t>وا</w:t>
      </w:r>
      <w:r>
        <w:rPr>
          <w:rtl/>
        </w:rPr>
        <w:t xml:space="preserve"> إلى </w:t>
      </w:r>
      <w:r w:rsidRPr="006B7863">
        <w:rPr>
          <w:rtl/>
        </w:rPr>
        <w:t>أهله نصف الدية، وإن شاؤوا أخذوا نصف الدية خمسة آلاف درهم»</w:t>
      </w:r>
      <w:r w:rsidRPr="00815C4C">
        <w:rPr>
          <w:rFonts w:cs="Taher"/>
          <w:vertAlign w:val="superscript"/>
          <w:rtl/>
        </w:rPr>
        <w:t>(</w:t>
      </w:r>
      <w:r w:rsidRPr="00815C4C">
        <w:rPr>
          <w:rFonts w:cs="Taher"/>
          <w:vertAlign w:val="superscript"/>
          <w:rtl/>
        </w:rPr>
        <w:footnoteReference w:id="226"/>
      </w:r>
      <w:r w:rsidRPr="00815C4C">
        <w:rPr>
          <w:rFonts w:cs="Taher"/>
          <w:vertAlign w:val="superscript"/>
          <w:rtl/>
        </w:rPr>
        <w:t>)</w:t>
      </w:r>
      <w:r w:rsidRPr="006B7863">
        <w:rPr>
          <w:rtl/>
        </w:rPr>
        <w:t>.</w:t>
      </w:r>
    </w:p>
    <w:p w:rsidR="00C87E55" w:rsidRPr="006B7863" w:rsidRDefault="00C87E55" w:rsidP="00707350">
      <w:pPr>
        <w:pStyle w:val="ac"/>
        <w:spacing w:line="199" w:lineRule="auto"/>
      </w:pPr>
      <w:r w:rsidRPr="006B7863">
        <w:rPr>
          <w:rtl/>
        </w:rPr>
        <w:t>2 ـ وعن علي</w:t>
      </w:r>
      <w:r>
        <w:rPr>
          <w:rFonts w:hint="cs"/>
          <w:rtl/>
        </w:rPr>
        <w:t>ّ</w:t>
      </w:r>
      <w:r w:rsidRPr="006B7863">
        <w:rPr>
          <w:rtl/>
        </w:rPr>
        <w:t xml:space="preserve"> بن إبراهيم، عن محمد بن عيسى، عن يونس، عن عبدالله بن مسكان، عن أبي عبدالله</w:t>
      </w:r>
      <w:r w:rsidR="000B230F" w:rsidRPr="000B230F">
        <w:rPr>
          <w:rFonts w:hint="cs"/>
          <w:rtl/>
        </w:rPr>
        <w:t>×</w:t>
      </w:r>
      <w:r w:rsidRPr="006B7863">
        <w:rPr>
          <w:rtl/>
        </w:rPr>
        <w:t xml:space="preserve"> قال: </w:t>
      </w:r>
      <w:r w:rsidRPr="00885E99">
        <w:rPr>
          <w:rtl/>
        </w:rPr>
        <w:t>«</w:t>
      </w:r>
      <w:r w:rsidRPr="006B7863">
        <w:rPr>
          <w:rtl/>
        </w:rPr>
        <w:t>إذا قتلت</w:t>
      </w:r>
      <w:r>
        <w:rPr>
          <w:rtl/>
        </w:rPr>
        <w:t xml:space="preserve"> المرأة </w:t>
      </w:r>
      <w:r w:rsidRPr="006B7863">
        <w:rPr>
          <w:rtl/>
        </w:rPr>
        <w:t>رجلاً ق</w:t>
      </w:r>
      <w:r>
        <w:rPr>
          <w:rFonts w:hint="cs"/>
          <w:rtl/>
        </w:rPr>
        <w:t>ُ</w:t>
      </w:r>
      <w:r w:rsidRPr="006B7863">
        <w:rPr>
          <w:rtl/>
        </w:rPr>
        <w:t>تلت به، وإذا قتل الرجل المرأة، فإن أرادوا القود أدّوا فضل دية الرجل (على دية المرأة) وأقادوه بها، وإن لم يفعلوا قبلوا الدية، دية</w:t>
      </w:r>
      <w:r>
        <w:rPr>
          <w:rtl/>
        </w:rPr>
        <w:t xml:space="preserve"> المرأة </w:t>
      </w:r>
      <w:r w:rsidRPr="006B7863">
        <w:rPr>
          <w:rtl/>
        </w:rPr>
        <w:t>كاملةً، ودية</w:t>
      </w:r>
      <w:r>
        <w:rPr>
          <w:rtl/>
        </w:rPr>
        <w:t xml:space="preserve"> المرأة </w:t>
      </w:r>
      <w:r w:rsidRPr="006B7863">
        <w:rPr>
          <w:rtl/>
        </w:rPr>
        <w:t>نصف دية الرجل»</w:t>
      </w:r>
      <w:r w:rsidRPr="00815C4C">
        <w:rPr>
          <w:rFonts w:cs="Taher"/>
          <w:vertAlign w:val="superscript"/>
          <w:rtl/>
        </w:rPr>
        <w:t>(</w:t>
      </w:r>
      <w:r w:rsidRPr="00815C4C">
        <w:rPr>
          <w:rFonts w:cs="Taher"/>
          <w:vertAlign w:val="superscript"/>
          <w:rtl/>
        </w:rPr>
        <w:footnoteReference w:id="227"/>
      </w:r>
      <w:r w:rsidRPr="00815C4C">
        <w:rPr>
          <w:rFonts w:cs="Taher"/>
          <w:vertAlign w:val="superscript"/>
          <w:rtl/>
        </w:rPr>
        <w:t>)</w:t>
      </w:r>
      <w:r w:rsidRPr="006B7863">
        <w:rPr>
          <w:rtl/>
        </w:rPr>
        <w:t>.</w:t>
      </w:r>
    </w:p>
    <w:p w:rsidR="00C87E55" w:rsidRPr="006B7863" w:rsidRDefault="00C87E55" w:rsidP="00707350">
      <w:pPr>
        <w:pStyle w:val="ac"/>
      </w:pPr>
      <w:r w:rsidRPr="006B7863">
        <w:rPr>
          <w:rtl/>
        </w:rPr>
        <w:t>3 ـ وعنه، عن أبيه، عن ابن أبي عمير، عن حمّاد، عن الحلبي، عن أبي عبدالله</w:t>
      </w:r>
      <w:r w:rsidR="000B230F" w:rsidRPr="000B230F">
        <w:rPr>
          <w:rFonts w:hint="cs"/>
          <w:rtl/>
        </w:rPr>
        <w:t>×</w:t>
      </w:r>
      <w:r>
        <w:rPr>
          <w:rFonts w:hint="cs"/>
          <w:rtl/>
        </w:rPr>
        <w:t xml:space="preserve"> </w:t>
      </w:r>
      <w:r w:rsidRPr="006B7863">
        <w:rPr>
          <w:rtl/>
        </w:rPr>
        <w:t xml:space="preserve">قال: </w:t>
      </w:r>
      <w:r w:rsidRPr="00885E99">
        <w:rPr>
          <w:rtl/>
        </w:rPr>
        <w:t>«</w:t>
      </w:r>
      <w:r w:rsidRPr="006B7863">
        <w:rPr>
          <w:rtl/>
        </w:rPr>
        <w:t>في الرجل يقتل</w:t>
      </w:r>
      <w:r>
        <w:rPr>
          <w:rtl/>
        </w:rPr>
        <w:t xml:space="preserve"> المرأة </w:t>
      </w:r>
      <w:r w:rsidRPr="006B7863">
        <w:rPr>
          <w:rtl/>
        </w:rPr>
        <w:t>متعمّداً، فأراد أهل</w:t>
      </w:r>
      <w:r>
        <w:rPr>
          <w:rtl/>
        </w:rPr>
        <w:t xml:space="preserve"> المرأة </w:t>
      </w:r>
      <w:r w:rsidRPr="006B7863">
        <w:rPr>
          <w:rtl/>
        </w:rPr>
        <w:t>أن يقتلوه، قال: ذاك لهم إذا أدّوا</w:t>
      </w:r>
      <w:r>
        <w:rPr>
          <w:rtl/>
        </w:rPr>
        <w:t xml:space="preserve"> إلى </w:t>
      </w:r>
      <w:r w:rsidRPr="006B7863">
        <w:rPr>
          <w:rtl/>
        </w:rPr>
        <w:t>أهله نصف الدية، وإن قبلوا الدية فلهم نصف دية الرجل، وإن قتلت</w:t>
      </w:r>
      <w:r>
        <w:rPr>
          <w:rtl/>
        </w:rPr>
        <w:t xml:space="preserve"> المرأة </w:t>
      </w:r>
      <w:r w:rsidRPr="006B7863">
        <w:rPr>
          <w:rtl/>
        </w:rPr>
        <w:t>الرجل، ق</w:t>
      </w:r>
      <w:r>
        <w:rPr>
          <w:rFonts w:hint="cs"/>
          <w:rtl/>
        </w:rPr>
        <w:t>ُ</w:t>
      </w:r>
      <w:r w:rsidRPr="006B7863">
        <w:rPr>
          <w:rtl/>
        </w:rPr>
        <w:t>تلت به، ليس لهم إلاّ نفسها»</w:t>
      </w:r>
      <w:r w:rsidRPr="00815C4C">
        <w:rPr>
          <w:rFonts w:cs="Taher"/>
          <w:vertAlign w:val="superscript"/>
          <w:rtl/>
        </w:rPr>
        <w:t>(</w:t>
      </w:r>
      <w:r w:rsidRPr="00815C4C">
        <w:rPr>
          <w:rFonts w:cs="Taher"/>
          <w:vertAlign w:val="superscript"/>
          <w:rtl/>
        </w:rPr>
        <w:footnoteReference w:id="228"/>
      </w:r>
      <w:r w:rsidRPr="00815C4C">
        <w:rPr>
          <w:rFonts w:cs="Taher"/>
          <w:vertAlign w:val="superscript"/>
          <w:rtl/>
        </w:rPr>
        <w:t>)</w:t>
      </w:r>
      <w:r w:rsidRPr="006B7863">
        <w:rPr>
          <w:rtl/>
        </w:rPr>
        <w:t>.</w:t>
      </w:r>
    </w:p>
    <w:p w:rsidR="00C87E55" w:rsidRDefault="00C87E55" w:rsidP="00707350">
      <w:pPr>
        <w:pStyle w:val="ac"/>
        <w:rPr>
          <w:rtl/>
        </w:rPr>
      </w:pPr>
      <w:r w:rsidRPr="006B7863">
        <w:rPr>
          <w:rtl/>
        </w:rPr>
        <w:t>وهكذا الحال في الروايات: 4، 5، 6، 7، 8، 9، 12، 13، 15، 19، 20، 21، من الباب نفسه (باب 33)، وهي تدلّ على هذا المطلب.</w:t>
      </w:r>
    </w:p>
    <w:p w:rsidR="000B230F" w:rsidRPr="00707350" w:rsidRDefault="000B230F" w:rsidP="00707350">
      <w:pPr>
        <w:pStyle w:val="afffffc"/>
        <w:rPr>
          <w:sz w:val="24"/>
          <w:szCs w:val="22"/>
        </w:rPr>
      </w:pPr>
    </w:p>
    <w:p w:rsidR="00C87E55" w:rsidRPr="00D457EB" w:rsidRDefault="00C87E55" w:rsidP="00707350">
      <w:pPr>
        <w:pStyle w:val="2"/>
      </w:pPr>
      <w:bookmarkStart w:id="238" w:name="_Toc169521430"/>
      <w:bookmarkStart w:id="239" w:name="_Toc275127977"/>
      <w:r w:rsidRPr="00D457EB">
        <w:rPr>
          <w:rtl/>
        </w:rPr>
        <w:t>قراءة نقدية في الروايات</w:t>
      </w:r>
      <w:bookmarkEnd w:id="238"/>
      <w:bookmarkEnd w:id="239"/>
    </w:p>
    <w:p w:rsidR="00C87E55" w:rsidRPr="006B7863" w:rsidRDefault="00C87E55" w:rsidP="00707350">
      <w:pPr>
        <w:pStyle w:val="ac"/>
        <w:spacing w:line="199" w:lineRule="auto"/>
      </w:pPr>
      <w:r w:rsidRPr="006B7863">
        <w:rPr>
          <w:rtl/>
        </w:rPr>
        <w:t>والآن، وبعد نقل هذه الروايات والاعتراف بعدم وجود شك</w:t>
      </w:r>
      <w:r>
        <w:rPr>
          <w:rFonts w:hint="cs"/>
          <w:rtl/>
        </w:rPr>
        <w:t>ّ</w:t>
      </w:r>
      <w:r>
        <w:rPr>
          <w:rtl/>
        </w:rPr>
        <w:t xml:space="preserve"> أو </w:t>
      </w:r>
      <w:r w:rsidRPr="006B7863">
        <w:rPr>
          <w:rtl/>
        </w:rPr>
        <w:t xml:space="preserve">جدل فيها بلحاظ السند ولا الدلالة، نحاول الإجابة عنها، ونرى أن هناك إيرادين </w:t>
      </w:r>
      <w:r>
        <w:rPr>
          <w:rtl/>
        </w:rPr>
        <w:t>أساس</w:t>
      </w:r>
      <w:r w:rsidRPr="006B7863">
        <w:rPr>
          <w:rtl/>
        </w:rPr>
        <w:t>ي</w:t>
      </w:r>
      <w:r>
        <w:rPr>
          <w:rFonts w:hint="cs"/>
          <w:rtl/>
        </w:rPr>
        <w:t>ّ</w:t>
      </w:r>
      <w:r w:rsidRPr="006B7863">
        <w:rPr>
          <w:rtl/>
        </w:rPr>
        <w:t>ين عليها، بما لا يجعلها ـ بعد ذلك ـ مدركاً للاستنباط، أحدهما: مخالفة القرآن، والسنّة، والعقل، وسائر القواعد والأصول ال</w:t>
      </w:r>
      <w:r>
        <w:rPr>
          <w:rtl/>
        </w:rPr>
        <w:t>إسلام</w:t>
      </w:r>
      <w:r w:rsidRPr="006B7863">
        <w:rPr>
          <w:rtl/>
        </w:rPr>
        <w:t>ية المسلّمة، وثانيهما: معارضتها للروايات ال</w:t>
      </w:r>
      <w:r>
        <w:rPr>
          <w:rtl/>
        </w:rPr>
        <w:t>أخرى</w:t>
      </w:r>
      <w:r w:rsidRPr="006B7863">
        <w:rPr>
          <w:rtl/>
        </w:rPr>
        <w:t>.</w:t>
      </w:r>
    </w:p>
    <w:p w:rsidR="00C87E55" w:rsidRDefault="00C87E55" w:rsidP="00C87E55">
      <w:pPr>
        <w:pStyle w:val="ac"/>
        <w:rPr>
          <w:rtl/>
        </w:rPr>
      </w:pPr>
      <w:r w:rsidRPr="006B7863">
        <w:rPr>
          <w:rtl/>
        </w:rPr>
        <w:t>ونركّز الآن على إجلاء هذين الاعتراضين.</w:t>
      </w:r>
    </w:p>
    <w:p w:rsidR="005A3866" w:rsidRPr="00707350" w:rsidRDefault="005A3866" w:rsidP="00707350">
      <w:pPr>
        <w:pStyle w:val="afffffc"/>
      </w:pPr>
    </w:p>
    <w:p w:rsidR="00C87E55" w:rsidRPr="00DA5264" w:rsidRDefault="00C87E55" w:rsidP="00707350">
      <w:pPr>
        <w:pStyle w:val="3"/>
      </w:pPr>
      <w:bookmarkStart w:id="240" w:name="_Toc275127978"/>
      <w:r w:rsidRPr="00DA5264">
        <w:rPr>
          <w:rtl/>
        </w:rPr>
        <w:t>1 ـ مخالفة الكتاب والسنّة والعقل</w:t>
      </w:r>
      <w:bookmarkEnd w:id="240"/>
    </w:p>
    <w:p w:rsidR="00C87E55" w:rsidRDefault="00C87E55" w:rsidP="005A3866">
      <w:pPr>
        <w:pStyle w:val="ac"/>
        <w:rPr>
          <w:rtl/>
        </w:rPr>
      </w:pPr>
      <w:r w:rsidRPr="006B7863">
        <w:rPr>
          <w:rtl/>
        </w:rPr>
        <w:t>أهم</w:t>
      </w:r>
      <w:r>
        <w:rPr>
          <w:rFonts w:hint="cs"/>
          <w:rtl/>
        </w:rPr>
        <w:t>ّ</w:t>
      </w:r>
      <w:r w:rsidRPr="006B7863">
        <w:rPr>
          <w:rtl/>
        </w:rPr>
        <w:t xml:space="preserve"> الملاحظات الناقدة لهذه الأخبار مخالفتها للكتاب والسن</w:t>
      </w:r>
      <w:r>
        <w:rPr>
          <w:rFonts w:hint="cs"/>
          <w:rtl/>
        </w:rPr>
        <w:t>ّ</w:t>
      </w:r>
      <w:r w:rsidRPr="006B7863">
        <w:rPr>
          <w:rtl/>
        </w:rPr>
        <w:t>ة والعقل، والأهم</w:t>
      </w:r>
      <w:r>
        <w:rPr>
          <w:rFonts w:hint="cs"/>
          <w:rtl/>
        </w:rPr>
        <w:t>ّ</w:t>
      </w:r>
      <w:r>
        <w:rPr>
          <w:rtl/>
        </w:rPr>
        <w:t xml:space="preserve"> من </w:t>
      </w:r>
      <w:r>
        <w:rPr>
          <w:rtl/>
        </w:rPr>
        <w:lastRenderedPageBreak/>
        <w:t>بينها مخالفة الكتاب</w:t>
      </w:r>
      <w:r>
        <w:rPr>
          <w:rFonts w:hint="cs"/>
          <w:rtl/>
        </w:rPr>
        <w:t xml:space="preserve">؛ </w:t>
      </w:r>
      <w:r w:rsidRPr="006B7863">
        <w:rPr>
          <w:rtl/>
        </w:rPr>
        <w:t>من هنا، نتحدّث عن موارد مخالفة كلّ واحد من الثلاثة، بادئين بمخالفة الكتاب العزيز:</w:t>
      </w:r>
    </w:p>
    <w:p w:rsidR="00707350" w:rsidRPr="00AB3AAA" w:rsidRDefault="00707350" w:rsidP="00AB3AAA">
      <w:pPr>
        <w:pStyle w:val="afffffc"/>
        <w:rPr>
          <w:sz w:val="40"/>
          <w:szCs w:val="38"/>
        </w:rPr>
      </w:pPr>
    </w:p>
    <w:p w:rsidR="005067D6" w:rsidRDefault="00C87E55" w:rsidP="00AB3AAA">
      <w:pPr>
        <w:pStyle w:val="4"/>
        <w:rPr>
          <w:rtl/>
        </w:rPr>
      </w:pPr>
      <w:bookmarkStart w:id="241" w:name="_Toc275127979"/>
      <w:r w:rsidRPr="00A14924">
        <w:rPr>
          <w:rtl/>
        </w:rPr>
        <w:t>أ ـ مخالفة القرآن</w:t>
      </w:r>
      <w:r w:rsidRPr="00A14924">
        <w:rPr>
          <w:rFonts w:hint="cs"/>
          <w:rtl/>
        </w:rPr>
        <w:t>:</w:t>
      </w:r>
      <w:bookmarkEnd w:id="241"/>
    </w:p>
    <w:p w:rsidR="00C87E55" w:rsidRPr="006B7863" w:rsidRDefault="00C87E55" w:rsidP="00707350">
      <w:pPr>
        <w:pStyle w:val="ac"/>
        <w:spacing w:line="206" w:lineRule="auto"/>
      </w:pPr>
      <w:r>
        <w:rPr>
          <w:rFonts w:hint="cs"/>
          <w:rtl/>
        </w:rPr>
        <w:t xml:space="preserve"> </w:t>
      </w:r>
      <w:r w:rsidRPr="006B7863">
        <w:rPr>
          <w:rtl/>
        </w:rPr>
        <w:t>تدل</w:t>
      </w:r>
      <w:r>
        <w:rPr>
          <w:rFonts w:hint="cs"/>
          <w:rtl/>
        </w:rPr>
        <w:t>ّ</w:t>
      </w:r>
      <w:r w:rsidRPr="006B7863">
        <w:rPr>
          <w:rtl/>
        </w:rPr>
        <w:t xml:space="preserve"> الروايات الكثيرة في المصادر الحديثية الشيعي</w:t>
      </w:r>
      <w:r>
        <w:rPr>
          <w:rFonts w:hint="cs"/>
          <w:rtl/>
        </w:rPr>
        <w:t>ّ</w:t>
      </w:r>
      <w:r w:rsidRPr="006B7863">
        <w:rPr>
          <w:rtl/>
        </w:rPr>
        <w:t>ة والسن</w:t>
      </w:r>
      <w:r>
        <w:rPr>
          <w:rFonts w:hint="cs"/>
          <w:rtl/>
        </w:rPr>
        <w:t>ّ</w:t>
      </w:r>
      <w:r w:rsidRPr="006B7863">
        <w:rPr>
          <w:rtl/>
        </w:rPr>
        <w:t>ية، وعددها يتجاوز الأربعين رواية، على عدم حجي</w:t>
      </w:r>
      <w:r>
        <w:rPr>
          <w:rFonts w:hint="cs"/>
          <w:rtl/>
        </w:rPr>
        <w:t>ّ</w:t>
      </w:r>
      <w:r w:rsidRPr="006B7863">
        <w:rPr>
          <w:rtl/>
        </w:rPr>
        <w:t>ة أي</w:t>
      </w:r>
      <w:r>
        <w:rPr>
          <w:rFonts w:hint="cs"/>
          <w:rtl/>
        </w:rPr>
        <w:t>ّ</w:t>
      </w:r>
      <w:r w:rsidRPr="006B7863">
        <w:rPr>
          <w:rtl/>
        </w:rPr>
        <w:t xml:space="preserve"> رواية تخالف القرآن</w:t>
      </w:r>
      <w:r>
        <w:rPr>
          <w:rtl/>
        </w:rPr>
        <w:t xml:space="preserve"> أو </w:t>
      </w:r>
      <w:r w:rsidRPr="006B7863">
        <w:rPr>
          <w:rtl/>
        </w:rPr>
        <w:t>لا تنسجم معه، ومن ثم يلزم تنحيتها جانباً، وإيكال علمها</w:t>
      </w:r>
      <w:r>
        <w:rPr>
          <w:rtl/>
        </w:rPr>
        <w:t xml:space="preserve"> إلى </w:t>
      </w:r>
      <w:r w:rsidRPr="006B7863">
        <w:rPr>
          <w:rtl/>
        </w:rPr>
        <w:t>أهلها.</w:t>
      </w:r>
    </w:p>
    <w:p w:rsidR="00C87E55" w:rsidRPr="006B7863" w:rsidRDefault="00C87E55" w:rsidP="00707350">
      <w:pPr>
        <w:pStyle w:val="ac"/>
        <w:spacing w:line="206" w:lineRule="auto"/>
      </w:pPr>
      <w:r w:rsidRPr="006B7863">
        <w:rPr>
          <w:rtl/>
        </w:rPr>
        <w:t>ويرى الشيخ الأنصاري (1281هـ) أن</w:t>
      </w:r>
      <w:r>
        <w:rPr>
          <w:rFonts w:hint="cs"/>
          <w:rtl/>
        </w:rPr>
        <w:t>ّ</w:t>
      </w:r>
      <w:r w:rsidRPr="006B7863">
        <w:rPr>
          <w:rtl/>
        </w:rPr>
        <w:t xml:space="preserve"> هذه الروايات قد بلغت في تعدادها حدّ التواتر، يقول: </w:t>
      </w:r>
      <w:r w:rsidRPr="00885E99">
        <w:rPr>
          <w:rtl/>
        </w:rPr>
        <w:t>«</w:t>
      </w:r>
      <w:r w:rsidRPr="006B7863">
        <w:rPr>
          <w:rtl/>
        </w:rPr>
        <w:t>والأخبار الواردة في طرح المخال</w:t>
      </w:r>
      <w:r>
        <w:rPr>
          <w:rFonts w:hint="cs"/>
          <w:rtl/>
        </w:rPr>
        <w:t>ِ</w:t>
      </w:r>
      <w:r w:rsidRPr="006B7863">
        <w:rPr>
          <w:rtl/>
        </w:rPr>
        <w:t>فة للكتاب والسن</w:t>
      </w:r>
      <w:r>
        <w:rPr>
          <w:rFonts w:hint="cs"/>
          <w:rtl/>
        </w:rPr>
        <w:t>ّ</w:t>
      </w:r>
      <w:r w:rsidRPr="006B7863">
        <w:rPr>
          <w:rtl/>
        </w:rPr>
        <w:t>ة، ولو مع عدم المعارض، متواترة»</w:t>
      </w:r>
      <w:r w:rsidRPr="00815C4C">
        <w:rPr>
          <w:rFonts w:cs="Taher"/>
          <w:vertAlign w:val="superscript"/>
          <w:rtl/>
        </w:rPr>
        <w:t>(</w:t>
      </w:r>
      <w:r w:rsidRPr="00815C4C">
        <w:rPr>
          <w:rFonts w:cs="Taher"/>
          <w:vertAlign w:val="superscript"/>
          <w:rtl/>
        </w:rPr>
        <w:footnoteReference w:id="229"/>
      </w:r>
      <w:r w:rsidRPr="00815C4C">
        <w:rPr>
          <w:rFonts w:cs="Taher"/>
          <w:vertAlign w:val="superscript"/>
          <w:rtl/>
        </w:rPr>
        <w:t>)</w:t>
      </w:r>
      <w:r w:rsidRPr="006B7863">
        <w:rPr>
          <w:rtl/>
        </w:rPr>
        <w:t>.</w:t>
      </w:r>
    </w:p>
    <w:p w:rsidR="00C87E55" w:rsidRPr="006B7863" w:rsidRDefault="00C87E55" w:rsidP="00707350">
      <w:pPr>
        <w:pStyle w:val="ac"/>
        <w:spacing w:line="206" w:lineRule="auto"/>
      </w:pPr>
      <w:r w:rsidRPr="006B7863">
        <w:rPr>
          <w:rtl/>
        </w:rPr>
        <w:t>ونكتفي هنا ـ لذلك ـ بنقل ثلاث من هذه الروايات هي:</w:t>
      </w:r>
    </w:p>
    <w:p w:rsidR="00C87E55" w:rsidRPr="006B7863" w:rsidRDefault="00C87E55" w:rsidP="00707350">
      <w:pPr>
        <w:pStyle w:val="ac"/>
        <w:spacing w:line="209" w:lineRule="auto"/>
      </w:pPr>
      <w:r w:rsidRPr="006B7863">
        <w:rPr>
          <w:rtl/>
        </w:rPr>
        <w:t>1ـ صحيحة هشام بن الحكم عن الإمام الصادق</w:t>
      </w:r>
      <w:r w:rsidR="005A3866" w:rsidRPr="005A3866">
        <w:rPr>
          <w:rFonts w:hint="cs"/>
          <w:rtl/>
        </w:rPr>
        <w:t>×</w:t>
      </w:r>
      <w:r w:rsidRPr="006B7863">
        <w:rPr>
          <w:rtl/>
        </w:rPr>
        <w:t xml:space="preserve">: </w:t>
      </w:r>
      <w:r w:rsidRPr="00885E99">
        <w:rPr>
          <w:rtl/>
        </w:rPr>
        <w:t>«</w:t>
      </w:r>
      <w:r w:rsidRPr="006B7863">
        <w:rPr>
          <w:rtl/>
        </w:rPr>
        <w:t>خطب النبي</w:t>
      </w:r>
      <w:r w:rsidR="00C86626">
        <w:rPr>
          <w:rFonts w:hint="cs"/>
          <w:rtl/>
        </w:rPr>
        <w:t>’</w:t>
      </w:r>
      <w:r>
        <w:rPr>
          <w:rFonts w:hint="cs"/>
          <w:rtl/>
        </w:rPr>
        <w:t xml:space="preserve"> </w:t>
      </w:r>
      <w:r w:rsidRPr="006B7863">
        <w:rPr>
          <w:rtl/>
        </w:rPr>
        <w:t>بمنى، فقال: أيها الناس! ما جاءكم عن</w:t>
      </w:r>
      <w:r>
        <w:rPr>
          <w:rFonts w:hint="cs"/>
          <w:rtl/>
        </w:rPr>
        <w:t>ّ</w:t>
      </w:r>
      <w:r w:rsidRPr="006B7863">
        <w:rPr>
          <w:rtl/>
        </w:rPr>
        <w:t>ي يوافق ك</w:t>
      </w:r>
      <w:r>
        <w:rPr>
          <w:rtl/>
        </w:rPr>
        <w:t>تاب الله فأنا قلته، وما جاءكم ي</w:t>
      </w:r>
      <w:r>
        <w:rPr>
          <w:rFonts w:hint="cs"/>
          <w:rtl/>
        </w:rPr>
        <w:t>خ</w:t>
      </w:r>
      <w:r w:rsidRPr="006B7863">
        <w:rPr>
          <w:rtl/>
        </w:rPr>
        <w:t>الف كتاب الله فلم أقله»</w:t>
      </w:r>
      <w:r w:rsidRPr="00815C4C">
        <w:rPr>
          <w:rFonts w:cs="Taher"/>
          <w:vertAlign w:val="superscript"/>
          <w:rtl/>
        </w:rPr>
        <w:t>(</w:t>
      </w:r>
      <w:r w:rsidRPr="00815C4C">
        <w:rPr>
          <w:rFonts w:cs="Taher"/>
          <w:vertAlign w:val="superscript"/>
          <w:rtl/>
        </w:rPr>
        <w:footnoteReference w:id="230"/>
      </w:r>
      <w:r w:rsidRPr="00815C4C">
        <w:rPr>
          <w:rFonts w:cs="Taher"/>
          <w:vertAlign w:val="superscript"/>
          <w:rtl/>
        </w:rPr>
        <w:t>)</w:t>
      </w:r>
      <w:r w:rsidRPr="006B7863">
        <w:rPr>
          <w:rtl/>
        </w:rPr>
        <w:t>، وقد ذكرت هذه الرواية بسند</w:t>
      </w:r>
      <w:r>
        <w:rPr>
          <w:rFonts w:hint="cs"/>
          <w:rtl/>
        </w:rPr>
        <w:t>ٍ</w:t>
      </w:r>
      <w:r w:rsidRPr="006B7863">
        <w:rPr>
          <w:rtl/>
        </w:rPr>
        <w:t xml:space="preserve"> آخر أيضاً</w:t>
      </w:r>
      <w:r w:rsidRPr="00815C4C">
        <w:rPr>
          <w:rFonts w:cs="Taher"/>
          <w:vertAlign w:val="superscript"/>
          <w:rtl/>
        </w:rPr>
        <w:t>(</w:t>
      </w:r>
      <w:r w:rsidRPr="00815C4C">
        <w:rPr>
          <w:rFonts w:cs="Taher"/>
          <w:vertAlign w:val="superscript"/>
          <w:rtl/>
        </w:rPr>
        <w:footnoteReference w:id="231"/>
      </w:r>
      <w:r w:rsidRPr="00815C4C">
        <w:rPr>
          <w:rFonts w:cs="Taher"/>
          <w:vertAlign w:val="superscript"/>
          <w:rtl/>
        </w:rPr>
        <w:t>)</w:t>
      </w:r>
      <w:r w:rsidRPr="006B7863">
        <w:rPr>
          <w:rtl/>
        </w:rPr>
        <w:t>.</w:t>
      </w:r>
    </w:p>
    <w:p w:rsidR="00C87E55" w:rsidRPr="006B7863" w:rsidRDefault="00C87E55" w:rsidP="00707350">
      <w:pPr>
        <w:pStyle w:val="ac"/>
        <w:spacing w:line="209" w:lineRule="auto"/>
      </w:pPr>
      <w:r w:rsidRPr="006B7863">
        <w:rPr>
          <w:rtl/>
        </w:rPr>
        <w:t>2ـ ينقل الإمام الجواد</w:t>
      </w:r>
      <w:r w:rsidR="005A3866" w:rsidRPr="005A3866">
        <w:rPr>
          <w:rFonts w:hint="cs"/>
          <w:rtl/>
        </w:rPr>
        <w:t>×</w:t>
      </w:r>
      <w:r w:rsidRPr="006B7863">
        <w:rPr>
          <w:rtl/>
        </w:rPr>
        <w:t xml:space="preserve">، في مناظرته </w:t>
      </w:r>
      <w:r>
        <w:rPr>
          <w:rFonts w:hint="cs"/>
          <w:rtl/>
        </w:rPr>
        <w:t xml:space="preserve">مع </w:t>
      </w:r>
      <w:r w:rsidRPr="006B7863">
        <w:rPr>
          <w:rtl/>
        </w:rPr>
        <w:t>يحيى بن أكثم، عن رسول الله</w:t>
      </w:r>
      <w:r w:rsidR="00C86626" w:rsidRPr="00C86626">
        <w:rPr>
          <w:rFonts w:hint="cs"/>
          <w:rtl/>
        </w:rPr>
        <w:t>’</w:t>
      </w:r>
      <w:r>
        <w:rPr>
          <w:rFonts w:cs="PT Bold Heading" w:hint="cs"/>
          <w:noProof/>
          <w:sz w:val="30"/>
          <w:rtl/>
        </w:rPr>
        <w:t xml:space="preserve"> </w:t>
      </w:r>
      <w:r w:rsidRPr="006B7863">
        <w:rPr>
          <w:rtl/>
        </w:rPr>
        <w:t>في حج</w:t>
      </w:r>
      <w:r>
        <w:rPr>
          <w:rFonts w:hint="cs"/>
          <w:rtl/>
        </w:rPr>
        <w:t>ّ</w:t>
      </w:r>
      <w:r w:rsidRPr="006B7863">
        <w:rPr>
          <w:rtl/>
        </w:rPr>
        <w:t xml:space="preserve">ة الوداع: </w:t>
      </w:r>
      <w:r w:rsidRPr="00885E99">
        <w:rPr>
          <w:rtl/>
        </w:rPr>
        <w:t>«</w:t>
      </w:r>
      <w:r w:rsidRPr="006B7863">
        <w:rPr>
          <w:rtl/>
        </w:rPr>
        <w:t>قد كثرت عل</w:t>
      </w:r>
      <w:r>
        <w:rPr>
          <w:rFonts w:hint="cs"/>
          <w:rtl/>
        </w:rPr>
        <w:t>ي</w:t>
      </w:r>
      <w:r w:rsidRPr="006B7863">
        <w:rPr>
          <w:rtl/>
        </w:rPr>
        <w:t>ّ الكذابة وستكثر، فمن كذب عل</w:t>
      </w:r>
      <w:r>
        <w:rPr>
          <w:rFonts w:hint="cs"/>
          <w:rtl/>
        </w:rPr>
        <w:t>ي</w:t>
      </w:r>
      <w:r w:rsidRPr="006B7863">
        <w:rPr>
          <w:rtl/>
        </w:rPr>
        <w:t xml:space="preserve"> متعمداً فليتبوّء مقعده من النار، فإذا أتاكم الحديث فاعرضوه على كتاب الله وسن</w:t>
      </w:r>
      <w:r>
        <w:rPr>
          <w:rFonts w:hint="cs"/>
          <w:rtl/>
        </w:rPr>
        <w:t>ّ</w:t>
      </w:r>
      <w:r w:rsidRPr="006B7863">
        <w:rPr>
          <w:rtl/>
        </w:rPr>
        <w:t>تي، فما وافق كتاب الله وسن</w:t>
      </w:r>
      <w:r>
        <w:rPr>
          <w:rFonts w:hint="cs"/>
          <w:rtl/>
        </w:rPr>
        <w:t>ّ</w:t>
      </w:r>
      <w:r w:rsidRPr="006B7863">
        <w:rPr>
          <w:rtl/>
        </w:rPr>
        <w:t>تي فخذوا به، وما خالف كتاب الله وسن</w:t>
      </w:r>
      <w:r>
        <w:rPr>
          <w:rFonts w:hint="cs"/>
          <w:rtl/>
        </w:rPr>
        <w:t>ّ</w:t>
      </w:r>
      <w:r w:rsidRPr="006B7863">
        <w:rPr>
          <w:rtl/>
        </w:rPr>
        <w:t>تي فلا تأخذوا به»</w:t>
      </w:r>
      <w:r w:rsidRPr="00815C4C">
        <w:rPr>
          <w:rFonts w:cs="Taher"/>
          <w:vertAlign w:val="superscript"/>
          <w:rtl/>
        </w:rPr>
        <w:t>(</w:t>
      </w:r>
      <w:r w:rsidRPr="00815C4C">
        <w:rPr>
          <w:rFonts w:cs="Taher"/>
          <w:vertAlign w:val="superscript"/>
          <w:rtl/>
        </w:rPr>
        <w:footnoteReference w:id="232"/>
      </w:r>
      <w:r w:rsidRPr="00815C4C">
        <w:rPr>
          <w:rFonts w:cs="Taher"/>
          <w:vertAlign w:val="superscript"/>
          <w:rtl/>
        </w:rPr>
        <w:t>)</w:t>
      </w:r>
      <w:r w:rsidRPr="006B7863">
        <w:rPr>
          <w:rtl/>
        </w:rPr>
        <w:t>، وقد نقلت هذه الرواية بسند آخر أيضاً</w:t>
      </w:r>
      <w:r w:rsidRPr="00815C4C">
        <w:rPr>
          <w:rFonts w:cs="Taher"/>
          <w:vertAlign w:val="superscript"/>
          <w:rtl/>
        </w:rPr>
        <w:t>(</w:t>
      </w:r>
      <w:r w:rsidRPr="00815C4C">
        <w:rPr>
          <w:rFonts w:cs="Taher"/>
          <w:vertAlign w:val="superscript"/>
          <w:rtl/>
        </w:rPr>
        <w:footnoteReference w:id="233"/>
      </w:r>
      <w:r w:rsidRPr="00815C4C">
        <w:rPr>
          <w:rFonts w:cs="Taher"/>
          <w:vertAlign w:val="superscript"/>
          <w:rtl/>
        </w:rPr>
        <w:t>)</w:t>
      </w:r>
      <w:r w:rsidRPr="006B7863">
        <w:rPr>
          <w:rtl/>
        </w:rPr>
        <w:t>.</w:t>
      </w:r>
    </w:p>
    <w:p w:rsidR="00C87E55" w:rsidRPr="006B7863" w:rsidRDefault="00C87E55" w:rsidP="005A3866">
      <w:pPr>
        <w:pStyle w:val="ac"/>
      </w:pPr>
      <w:r w:rsidRPr="006B7863">
        <w:rPr>
          <w:rtl/>
        </w:rPr>
        <w:lastRenderedPageBreak/>
        <w:t>3 ـ موثقة السكوني عن الإمام الصادق</w:t>
      </w:r>
      <w:r w:rsidR="005A3866" w:rsidRPr="005A3866">
        <w:rPr>
          <w:rFonts w:hint="cs"/>
          <w:rtl/>
        </w:rPr>
        <w:t>×</w:t>
      </w:r>
      <w:r w:rsidRPr="006B7863">
        <w:rPr>
          <w:rtl/>
        </w:rPr>
        <w:t>، عن أميرالمؤمنين</w:t>
      </w:r>
      <w:r w:rsidR="005A3866" w:rsidRPr="005A3866">
        <w:rPr>
          <w:rFonts w:hint="cs"/>
          <w:rtl/>
        </w:rPr>
        <w:t>×</w:t>
      </w:r>
      <w:r w:rsidRPr="006B7863">
        <w:rPr>
          <w:rtl/>
        </w:rPr>
        <w:t xml:space="preserve"> أن</w:t>
      </w:r>
      <w:r>
        <w:rPr>
          <w:rFonts w:hint="cs"/>
          <w:rtl/>
        </w:rPr>
        <w:t>ّ</w:t>
      </w:r>
      <w:r w:rsidRPr="006B7863">
        <w:rPr>
          <w:rtl/>
        </w:rPr>
        <w:t xml:space="preserve">ه قال: </w:t>
      </w:r>
      <w:r w:rsidRPr="00885E99">
        <w:rPr>
          <w:rtl/>
        </w:rPr>
        <w:t>«</w:t>
      </w:r>
      <w:r w:rsidRPr="006B7863">
        <w:rPr>
          <w:rtl/>
        </w:rPr>
        <w:t>إنّ على كلّ حق حقيقة، وعلى كل</w:t>
      </w:r>
      <w:r>
        <w:rPr>
          <w:rFonts w:hint="cs"/>
          <w:rtl/>
        </w:rPr>
        <w:t>ّ</w:t>
      </w:r>
      <w:r w:rsidRPr="006B7863">
        <w:rPr>
          <w:rtl/>
        </w:rPr>
        <w:t xml:space="preserve"> صواب نوراً، فما وافق كتاب الله فخذوه، وما خالف كتاب الله فدعوه»</w:t>
      </w:r>
      <w:r w:rsidRPr="00815C4C">
        <w:rPr>
          <w:rFonts w:cs="Taher"/>
          <w:vertAlign w:val="superscript"/>
          <w:rtl/>
        </w:rPr>
        <w:t>(</w:t>
      </w:r>
      <w:r w:rsidRPr="00815C4C">
        <w:rPr>
          <w:rFonts w:cs="Taher"/>
          <w:vertAlign w:val="superscript"/>
          <w:rtl/>
        </w:rPr>
        <w:footnoteReference w:id="234"/>
      </w:r>
      <w:r w:rsidRPr="00815C4C">
        <w:rPr>
          <w:rFonts w:cs="Taher"/>
          <w:vertAlign w:val="superscript"/>
          <w:rtl/>
        </w:rPr>
        <w:t>)</w:t>
      </w:r>
      <w:r w:rsidRPr="006B7863">
        <w:rPr>
          <w:rtl/>
        </w:rPr>
        <w:t xml:space="preserve">، وهذه الرواية حالها حال ما سبقها من أنها نقلت أيضاً بأسانيد </w:t>
      </w:r>
      <w:r>
        <w:rPr>
          <w:rtl/>
        </w:rPr>
        <w:t>أخرى</w:t>
      </w:r>
      <w:r w:rsidRPr="00815C4C">
        <w:rPr>
          <w:rFonts w:cs="Taher"/>
          <w:vertAlign w:val="superscript"/>
          <w:rtl/>
        </w:rPr>
        <w:t>(</w:t>
      </w:r>
      <w:r w:rsidRPr="00815C4C">
        <w:rPr>
          <w:rFonts w:cs="Taher"/>
          <w:vertAlign w:val="superscript"/>
          <w:rtl/>
        </w:rPr>
        <w:footnoteReference w:id="235"/>
      </w:r>
      <w:r w:rsidRPr="00815C4C">
        <w:rPr>
          <w:rFonts w:cs="Taher"/>
          <w:vertAlign w:val="superscript"/>
          <w:rtl/>
        </w:rPr>
        <w:t>)</w:t>
      </w:r>
      <w:r w:rsidRPr="006B7863">
        <w:rPr>
          <w:rtl/>
        </w:rPr>
        <w:t>.</w:t>
      </w:r>
    </w:p>
    <w:p w:rsidR="00C87E55" w:rsidRPr="006B7863" w:rsidRDefault="00C87E55" w:rsidP="00C87E55">
      <w:pPr>
        <w:pStyle w:val="ac"/>
      </w:pPr>
      <w:r w:rsidRPr="006B7863">
        <w:rPr>
          <w:rtl/>
        </w:rPr>
        <w:t>إن مدّعانا أن روايات عدم التساوي في القصاص بين الرجل والمرأة مخالفة للقرآن الكريم، فلا بد من تنحيتها، وتتجلّى هذه المخالفة مع ثلاث طوائف من الآيات القرآنية، نبي</w:t>
      </w:r>
      <w:r>
        <w:rPr>
          <w:rFonts w:hint="cs"/>
          <w:rtl/>
        </w:rPr>
        <w:t>ّ</w:t>
      </w:r>
      <w:r w:rsidRPr="006B7863">
        <w:rPr>
          <w:rtl/>
        </w:rPr>
        <w:t>نها كما يلي:</w:t>
      </w:r>
    </w:p>
    <w:p w:rsidR="00C87E55" w:rsidRPr="006B7863" w:rsidRDefault="00C87E55" w:rsidP="00707350">
      <w:pPr>
        <w:pStyle w:val="ac"/>
        <w:spacing w:line="199" w:lineRule="auto"/>
      </w:pPr>
      <w:r w:rsidRPr="00184D54">
        <w:rPr>
          <w:b/>
          <w:bCs/>
          <w:rtl/>
        </w:rPr>
        <w:t>الطائفة الأولى:</w:t>
      </w:r>
      <w:r w:rsidRPr="006B7863">
        <w:rPr>
          <w:rtl/>
        </w:rPr>
        <w:t xml:space="preserve"> الآيات الدال</w:t>
      </w:r>
      <w:r>
        <w:rPr>
          <w:rFonts w:hint="cs"/>
          <w:rtl/>
        </w:rPr>
        <w:t>ّ</w:t>
      </w:r>
      <w:r w:rsidRPr="006B7863">
        <w:rPr>
          <w:rtl/>
        </w:rPr>
        <w:t>ة على أن كلام الله و</w:t>
      </w:r>
      <w:r>
        <w:rPr>
          <w:rtl/>
        </w:rPr>
        <w:t>أحكام</w:t>
      </w:r>
      <w:r w:rsidRPr="006B7863">
        <w:rPr>
          <w:rtl/>
        </w:rPr>
        <w:t>ه قائمان على العدالة والحقيقة، وأنه لا يرضى الظلم والإجحاف بحق</w:t>
      </w:r>
      <w:r>
        <w:rPr>
          <w:rFonts w:hint="cs"/>
          <w:rtl/>
        </w:rPr>
        <w:t>ّ</w:t>
      </w:r>
      <w:r w:rsidRPr="006B7863">
        <w:rPr>
          <w:rtl/>
        </w:rPr>
        <w:t xml:space="preserve"> عباده، لا تكويناً ولا تشريعاً، مثل: </w:t>
      </w:r>
      <w:r w:rsidRPr="00AA2A63">
        <w:rPr>
          <w:rFonts w:hint="cs"/>
          <w:rtl/>
        </w:rPr>
        <w:sym w:font="Islamic Units 1" w:char="F03E"/>
      </w:r>
      <w:r w:rsidRPr="005A3866">
        <w:rPr>
          <w:b/>
          <w:bCs/>
          <w:rtl/>
        </w:rPr>
        <w:t>وَتَمَّتْ كَلِمَتُ رَبِّكَ صِدْقًا وَعَدْلاً</w:t>
      </w:r>
      <w:r w:rsidRPr="00AA2A63">
        <w:rPr>
          <w:rFonts w:hint="cs"/>
          <w:rtl/>
        </w:rPr>
        <w:sym w:font="Islamic Units 1" w:char="F03C"/>
      </w:r>
      <w:r>
        <w:rPr>
          <w:rFonts w:hint="cs"/>
          <w:rtl/>
        </w:rPr>
        <w:t xml:space="preserve"> </w:t>
      </w:r>
      <w:r w:rsidRPr="00707350">
        <w:rPr>
          <w:rFonts w:hint="cs"/>
          <w:sz w:val="29"/>
          <w:szCs w:val="29"/>
          <w:rtl/>
        </w:rPr>
        <w:t>(</w:t>
      </w:r>
      <w:r w:rsidRPr="00707350">
        <w:rPr>
          <w:sz w:val="29"/>
          <w:szCs w:val="29"/>
          <w:rtl/>
        </w:rPr>
        <w:t>الأنعام: 115</w:t>
      </w:r>
      <w:r w:rsidRPr="00707350">
        <w:rPr>
          <w:rFonts w:hint="cs"/>
          <w:sz w:val="29"/>
          <w:szCs w:val="29"/>
          <w:rtl/>
        </w:rPr>
        <w:t>)</w:t>
      </w:r>
      <w:r w:rsidRPr="00707350">
        <w:rPr>
          <w:sz w:val="29"/>
          <w:szCs w:val="29"/>
          <w:rtl/>
        </w:rPr>
        <w:t xml:space="preserve">، </w:t>
      </w:r>
      <w:r w:rsidRPr="00707350">
        <w:rPr>
          <w:rFonts w:hint="cs"/>
          <w:sz w:val="29"/>
          <w:szCs w:val="29"/>
          <w:rtl/>
        </w:rPr>
        <w:sym w:font="Islamic Units 1" w:char="F03E"/>
      </w:r>
      <w:r w:rsidRPr="00707350">
        <w:rPr>
          <w:b/>
          <w:bCs/>
          <w:sz w:val="29"/>
          <w:szCs w:val="29"/>
          <w:rtl/>
        </w:rPr>
        <w:t>اِنِ الْحُكْمُ إِلاَّ لِلّهِ يَقُصُّ الْحَقَّ</w:t>
      </w:r>
      <w:r w:rsidRPr="00707350">
        <w:rPr>
          <w:rFonts w:hint="cs"/>
          <w:sz w:val="29"/>
          <w:szCs w:val="29"/>
          <w:rtl/>
        </w:rPr>
        <w:sym w:font="Islamic Units 1" w:char="F03C"/>
      </w:r>
      <w:r w:rsidR="009548FA" w:rsidRPr="00707350">
        <w:rPr>
          <w:rFonts w:hint="cs"/>
          <w:sz w:val="29"/>
          <w:szCs w:val="29"/>
          <w:rtl/>
        </w:rPr>
        <w:t xml:space="preserve"> </w:t>
      </w:r>
      <w:r w:rsidRPr="00707350">
        <w:rPr>
          <w:rFonts w:hint="cs"/>
          <w:sz w:val="29"/>
          <w:szCs w:val="29"/>
          <w:rtl/>
        </w:rPr>
        <w:t>(</w:t>
      </w:r>
      <w:r w:rsidRPr="00707350">
        <w:rPr>
          <w:sz w:val="29"/>
          <w:szCs w:val="29"/>
          <w:rtl/>
        </w:rPr>
        <w:t>الأنعام: 57</w:t>
      </w:r>
      <w:r w:rsidRPr="00707350">
        <w:rPr>
          <w:rFonts w:hint="cs"/>
          <w:sz w:val="29"/>
          <w:szCs w:val="29"/>
          <w:rtl/>
        </w:rPr>
        <w:t>)</w:t>
      </w:r>
      <w:r w:rsidRPr="00707350">
        <w:rPr>
          <w:sz w:val="29"/>
          <w:szCs w:val="29"/>
          <w:rtl/>
        </w:rPr>
        <w:t xml:space="preserve">، </w:t>
      </w:r>
      <w:r w:rsidRPr="00707350">
        <w:rPr>
          <w:rFonts w:hint="cs"/>
          <w:sz w:val="29"/>
          <w:szCs w:val="29"/>
          <w:rtl/>
        </w:rPr>
        <w:sym w:font="Islamic Units 1" w:char="F03E"/>
      </w:r>
      <w:r w:rsidRPr="00707350">
        <w:rPr>
          <w:b/>
          <w:bCs/>
          <w:sz w:val="29"/>
          <w:szCs w:val="29"/>
          <w:rtl/>
        </w:rPr>
        <w:t>وَمَا رَبُّكَ بِظَلام لِّلْعَبِيدِ</w:t>
      </w:r>
      <w:r w:rsidRPr="00707350">
        <w:rPr>
          <w:rFonts w:hint="cs"/>
          <w:sz w:val="29"/>
          <w:szCs w:val="29"/>
          <w:rtl/>
        </w:rPr>
        <w:sym w:font="Islamic Units 1" w:char="F03C"/>
      </w:r>
      <w:r w:rsidRPr="00707350">
        <w:rPr>
          <w:rFonts w:hint="cs"/>
          <w:sz w:val="29"/>
          <w:szCs w:val="29"/>
          <w:rtl/>
        </w:rPr>
        <w:t xml:space="preserve"> (</w:t>
      </w:r>
      <w:r w:rsidRPr="00707350">
        <w:rPr>
          <w:sz w:val="29"/>
          <w:szCs w:val="29"/>
          <w:rtl/>
        </w:rPr>
        <w:t>فص</w:t>
      </w:r>
      <w:r w:rsidRPr="00707350">
        <w:rPr>
          <w:rFonts w:hint="cs"/>
          <w:sz w:val="29"/>
          <w:szCs w:val="29"/>
          <w:rtl/>
        </w:rPr>
        <w:t>ّ</w:t>
      </w:r>
      <w:r w:rsidRPr="00707350">
        <w:rPr>
          <w:sz w:val="29"/>
          <w:szCs w:val="29"/>
          <w:rtl/>
        </w:rPr>
        <w:t>لت: 46، وآل عمران: 182، والأنفال: 51، والحج: 10، وق: 29</w:t>
      </w:r>
      <w:r w:rsidRPr="00707350">
        <w:rPr>
          <w:rFonts w:hint="cs"/>
          <w:sz w:val="29"/>
          <w:szCs w:val="29"/>
          <w:rtl/>
        </w:rPr>
        <w:t>)</w:t>
      </w:r>
      <w:r w:rsidRPr="00707350">
        <w:rPr>
          <w:sz w:val="29"/>
          <w:szCs w:val="29"/>
          <w:rtl/>
        </w:rPr>
        <w:t xml:space="preserve">، </w:t>
      </w:r>
      <w:r w:rsidRPr="00AA2A63">
        <w:rPr>
          <w:rFonts w:hint="cs"/>
          <w:rtl/>
        </w:rPr>
        <w:sym w:font="Islamic Units 1" w:char="F03E"/>
      </w:r>
      <w:r w:rsidRPr="009548FA">
        <w:rPr>
          <w:rFonts w:hint="cs"/>
          <w:b/>
          <w:bCs/>
          <w:rtl/>
        </w:rPr>
        <w:t>إ</w:t>
      </w:r>
      <w:r w:rsidRPr="009548FA">
        <w:rPr>
          <w:b/>
          <w:bCs/>
          <w:rtl/>
        </w:rPr>
        <w:t>نَّ الله لاَ يَظْلِمُ النَّاسَ شَيْئًا وَلَـكِنَّ النَّاسَ أَنفُسَهُمْ يَظْلِمُونَ</w:t>
      </w:r>
      <w:r w:rsidRPr="00AA2A63">
        <w:rPr>
          <w:rFonts w:hint="cs"/>
          <w:rtl/>
        </w:rPr>
        <w:sym w:font="Islamic Units 1" w:char="F03C"/>
      </w:r>
      <w:r>
        <w:rPr>
          <w:rFonts w:hint="cs"/>
          <w:rtl/>
        </w:rPr>
        <w:t xml:space="preserve"> (</w:t>
      </w:r>
      <w:r w:rsidRPr="006B7863">
        <w:rPr>
          <w:rtl/>
        </w:rPr>
        <w:t>يونس: 44</w:t>
      </w:r>
      <w:r>
        <w:rPr>
          <w:rFonts w:hint="cs"/>
          <w:rtl/>
        </w:rPr>
        <w:t>)</w:t>
      </w:r>
      <w:r w:rsidRPr="006B7863">
        <w:rPr>
          <w:rtl/>
        </w:rPr>
        <w:t xml:space="preserve">، </w:t>
      </w:r>
      <w:r w:rsidRPr="009548FA">
        <w:rPr>
          <w:rFonts w:hint="cs"/>
          <w:b/>
          <w:bCs/>
          <w:rtl/>
        </w:rPr>
        <w:sym w:font="Islamic Units 1" w:char="F03E"/>
      </w:r>
      <w:r w:rsidRPr="009548FA">
        <w:rPr>
          <w:rFonts w:hint="cs"/>
          <w:b/>
          <w:bCs/>
          <w:rtl/>
        </w:rPr>
        <w:t>إ</w:t>
      </w:r>
      <w:r w:rsidRPr="009548FA">
        <w:rPr>
          <w:b/>
          <w:bCs/>
          <w:rtl/>
        </w:rPr>
        <w:t>نَّ الله لاَ يَظْلِمُ مِثْقَالَ ذَرَّة وَإِن تَكُ حَسَنَةً</w:t>
      </w:r>
      <w:r w:rsidRPr="009548FA">
        <w:rPr>
          <w:rFonts w:hint="cs"/>
          <w:b/>
          <w:bCs/>
          <w:rtl/>
        </w:rPr>
        <w:t>...</w:t>
      </w:r>
      <w:r w:rsidRPr="009548FA">
        <w:rPr>
          <w:rFonts w:hint="cs"/>
          <w:b/>
          <w:bCs/>
          <w:rtl/>
        </w:rPr>
        <w:sym w:font="Islamic Units 1" w:char="F03C"/>
      </w:r>
      <w:r>
        <w:rPr>
          <w:rFonts w:hint="cs"/>
          <w:rtl/>
        </w:rPr>
        <w:t xml:space="preserve"> (</w:t>
      </w:r>
      <w:r w:rsidRPr="006B7863">
        <w:rPr>
          <w:rtl/>
        </w:rPr>
        <w:t>النساء: 40</w:t>
      </w:r>
      <w:r>
        <w:rPr>
          <w:rFonts w:hint="cs"/>
          <w:rtl/>
        </w:rPr>
        <w:t>)</w:t>
      </w:r>
      <w:r w:rsidRPr="006B7863">
        <w:rPr>
          <w:rtl/>
        </w:rPr>
        <w:t xml:space="preserve">، </w:t>
      </w:r>
      <w:r w:rsidRPr="009548FA">
        <w:rPr>
          <w:rFonts w:hint="cs"/>
          <w:b/>
          <w:bCs/>
          <w:rtl/>
        </w:rPr>
        <w:sym w:font="Islamic Units 1" w:char="F03E"/>
      </w:r>
      <w:r w:rsidRPr="009548FA">
        <w:rPr>
          <w:b/>
          <w:bCs/>
          <w:rtl/>
        </w:rPr>
        <w:t>وَمَا الله يُرِيدُ ظُلْمًا لِّلْعِبَادِ</w:t>
      </w:r>
      <w:r w:rsidRPr="009548FA">
        <w:rPr>
          <w:rFonts w:hint="cs"/>
          <w:b/>
          <w:bCs/>
          <w:rtl/>
        </w:rPr>
        <w:sym w:font="Islamic Units 1" w:char="F03C"/>
      </w:r>
      <w:r>
        <w:rPr>
          <w:rFonts w:hint="cs"/>
          <w:rtl/>
        </w:rPr>
        <w:t xml:space="preserve"> (</w:t>
      </w:r>
      <w:r w:rsidRPr="006B7863">
        <w:rPr>
          <w:rtl/>
        </w:rPr>
        <w:t>غافر: 41</w:t>
      </w:r>
      <w:r>
        <w:rPr>
          <w:rFonts w:hint="cs"/>
          <w:rtl/>
        </w:rPr>
        <w:t>)</w:t>
      </w:r>
      <w:r w:rsidRPr="006B7863">
        <w:rPr>
          <w:rtl/>
        </w:rPr>
        <w:t xml:space="preserve">، </w:t>
      </w:r>
      <w:r w:rsidRPr="009548FA">
        <w:rPr>
          <w:rFonts w:hint="cs"/>
          <w:b/>
          <w:bCs/>
          <w:rtl/>
        </w:rPr>
        <w:sym w:font="Islamic Units 1" w:char="F03E"/>
      </w:r>
      <w:r w:rsidRPr="009548FA">
        <w:rPr>
          <w:b/>
          <w:bCs/>
          <w:rtl/>
        </w:rPr>
        <w:t>وَالله لاَ يُحِبُّ الظَّالِمِينَ</w:t>
      </w:r>
      <w:r w:rsidRPr="009548FA">
        <w:rPr>
          <w:rFonts w:hint="cs"/>
          <w:b/>
          <w:bCs/>
          <w:rtl/>
        </w:rPr>
        <w:sym w:font="Islamic Units 1" w:char="F03C"/>
      </w:r>
      <w:r w:rsidRPr="009548FA">
        <w:rPr>
          <w:rFonts w:hint="cs"/>
          <w:b/>
          <w:bCs/>
          <w:rtl/>
        </w:rPr>
        <w:t xml:space="preserve"> </w:t>
      </w:r>
      <w:r>
        <w:rPr>
          <w:rFonts w:hint="cs"/>
          <w:rtl/>
        </w:rPr>
        <w:t>(</w:t>
      </w:r>
      <w:r w:rsidRPr="006B7863">
        <w:rPr>
          <w:rtl/>
        </w:rPr>
        <w:t>آل عمران: 57، 140</w:t>
      </w:r>
      <w:r>
        <w:rPr>
          <w:rFonts w:hint="cs"/>
          <w:rtl/>
        </w:rPr>
        <w:t>)</w:t>
      </w:r>
      <w:r w:rsidRPr="006B7863">
        <w:rPr>
          <w:rtl/>
        </w:rPr>
        <w:t>.</w:t>
      </w:r>
    </w:p>
    <w:p w:rsidR="00C87E55" w:rsidRPr="006B7863" w:rsidRDefault="00C87E55" w:rsidP="00707350">
      <w:pPr>
        <w:pStyle w:val="ac"/>
        <w:spacing w:line="199" w:lineRule="auto"/>
      </w:pPr>
      <w:r w:rsidRPr="006B7863">
        <w:rPr>
          <w:rtl/>
        </w:rPr>
        <w:t>إن</w:t>
      </w:r>
      <w:r>
        <w:rPr>
          <w:rFonts w:hint="cs"/>
          <w:rtl/>
        </w:rPr>
        <w:t>ّ</w:t>
      </w:r>
      <w:r w:rsidRPr="006B7863">
        <w:rPr>
          <w:rtl/>
        </w:rPr>
        <w:t xml:space="preserve"> هذه الآيات تنفي الظلم والجور عن الله تعالى، وتنزّهه عنهما، هذا من جهة، ومن جهة </w:t>
      </w:r>
      <w:r>
        <w:rPr>
          <w:rtl/>
        </w:rPr>
        <w:t>أخرى</w:t>
      </w:r>
      <w:r w:rsidRPr="006B7863">
        <w:rPr>
          <w:rtl/>
        </w:rPr>
        <w:t xml:space="preserve"> يرى الناس أن</w:t>
      </w:r>
      <w:r>
        <w:rPr>
          <w:rFonts w:hint="cs"/>
          <w:rtl/>
        </w:rPr>
        <w:t>ّ</w:t>
      </w:r>
      <w:r w:rsidRPr="006B7863">
        <w:rPr>
          <w:rtl/>
        </w:rPr>
        <w:t xml:space="preserve"> وضع تمييز</w:t>
      </w:r>
      <w:r>
        <w:rPr>
          <w:rFonts w:hint="cs"/>
          <w:rtl/>
        </w:rPr>
        <w:t>ٍ</w:t>
      </w:r>
      <w:r w:rsidRPr="006B7863">
        <w:rPr>
          <w:rtl/>
        </w:rPr>
        <w:t xml:space="preserve"> في القصاص بين الرجل والمرأة، وإجبار أولياء</w:t>
      </w:r>
      <w:r>
        <w:rPr>
          <w:rtl/>
        </w:rPr>
        <w:t xml:space="preserve"> المرأة </w:t>
      </w:r>
      <w:r w:rsidRPr="006B7863">
        <w:rPr>
          <w:rtl/>
        </w:rPr>
        <w:t>على دفع نصف الدية ظلم</w:t>
      </w:r>
      <w:r>
        <w:rPr>
          <w:rFonts w:hint="cs"/>
          <w:rtl/>
        </w:rPr>
        <w:t>ٌ</w:t>
      </w:r>
      <w:r w:rsidRPr="006B7863">
        <w:rPr>
          <w:rtl/>
        </w:rPr>
        <w:t>، بعيد عن الحقيقة والعدالة، ذلك أن</w:t>
      </w:r>
      <w:r>
        <w:rPr>
          <w:rFonts w:hint="cs"/>
          <w:rtl/>
        </w:rPr>
        <w:t>ّ</w:t>
      </w:r>
      <w:r w:rsidRPr="006B7863">
        <w:rPr>
          <w:rtl/>
        </w:rPr>
        <w:t xml:space="preserve"> النساء يساوين الرجل في الهوية ال</w:t>
      </w:r>
      <w:r>
        <w:rPr>
          <w:rtl/>
        </w:rPr>
        <w:t>إنسان</w:t>
      </w:r>
      <w:r w:rsidRPr="006B7863">
        <w:rPr>
          <w:rtl/>
        </w:rPr>
        <w:t>ية وفي الحقوق ال</w:t>
      </w:r>
      <w:r>
        <w:rPr>
          <w:rtl/>
        </w:rPr>
        <w:t>اجتماع</w:t>
      </w:r>
      <w:r w:rsidRPr="006B7863">
        <w:rPr>
          <w:rtl/>
        </w:rPr>
        <w:t>ية والاقتصادية، والعقل يشهد على هذا التساوي، كما يؤي</w:t>
      </w:r>
      <w:r>
        <w:rPr>
          <w:rFonts w:hint="cs"/>
          <w:rtl/>
        </w:rPr>
        <w:t>ّ</w:t>
      </w:r>
      <w:r w:rsidRPr="006B7863">
        <w:rPr>
          <w:rtl/>
        </w:rPr>
        <w:t>ده الكتاب والسنّة.</w:t>
      </w:r>
    </w:p>
    <w:p w:rsidR="00C87E55" w:rsidRPr="006B7863" w:rsidRDefault="00C87E55" w:rsidP="00707350">
      <w:pPr>
        <w:pStyle w:val="ac"/>
        <w:spacing w:line="199" w:lineRule="auto"/>
        <w:rPr>
          <w:rFonts w:cs="AL-Mohanad"/>
          <w:b/>
          <w:bCs/>
        </w:rPr>
      </w:pPr>
      <w:r w:rsidRPr="00184D54">
        <w:rPr>
          <w:rtl/>
        </w:rPr>
        <w:t>يقول الله تعالى في كتابه عن الرجل والمرأة</w:t>
      </w:r>
      <w:r w:rsidRPr="006B7863">
        <w:rPr>
          <w:rFonts w:cs="AL-Mohanad"/>
          <w:b/>
          <w:bCs/>
          <w:rtl/>
        </w:rPr>
        <w:t xml:space="preserve">: </w:t>
      </w:r>
      <w:r w:rsidRPr="00AA2A63">
        <w:rPr>
          <w:rFonts w:cs="AL-Mohanad" w:hint="cs"/>
          <w:rtl/>
        </w:rPr>
        <w:sym w:font="Islamic Units 1" w:char="F03E"/>
      </w:r>
      <w:r w:rsidRPr="009548FA">
        <w:rPr>
          <w:b/>
          <w:bCs/>
          <w:rtl/>
        </w:rPr>
        <w:t>يَا أَيُّهَا النَّاسُ اتَّقُواْ رَبَّكُمُ الَّذِي خَلَقَكُم مِّن نَّفْس وَاحِدَة وَخَلَقَ مِنْهَا زَوْجَهَا وَبَثَّ مِنْهُمَا رِجَالاً كَثِيرًا وَنِسَاء</w:t>
      </w:r>
      <w:r w:rsidRPr="00AA2A63">
        <w:rPr>
          <w:rFonts w:cs="AL-Mohanad" w:hint="cs"/>
          <w:rtl/>
        </w:rPr>
        <w:sym w:font="Islamic Units 1" w:char="F03C"/>
      </w:r>
      <w:r>
        <w:rPr>
          <w:rFonts w:cs="AL-Mohanad" w:hint="cs"/>
          <w:b/>
          <w:bCs/>
          <w:rtl/>
        </w:rPr>
        <w:t xml:space="preserve"> </w:t>
      </w:r>
      <w:r w:rsidRPr="00184D54">
        <w:rPr>
          <w:rFonts w:hint="cs"/>
          <w:rtl/>
        </w:rPr>
        <w:t>(</w:t>
      </w:r>
      <w:r w:rsidRPr="00184D54">
        <w:rPr>
          <w:rtl/>
        </w:rPr>
        <w:t>النساء: 1</w:t>
      </w:r>
      <w:r w:rsidRPr="00184D54">
        <w:rPr>
          <w:rFonts w:hint="cs"/>
          <w:rtl/>
        </w:rPr>
        <w:t>)</w:t>
      </w:r>
      <w:r w:rsidRPr="00184D54">
        <w:rPr>
          <w:rtl/>
        </w:rPr>
        <w:t>،</w:t>
      </w:r>
      <w:r w:rsidRPr="006B7863">
        <w:rPr>
          <w:rFonts w:cs="AL-Mohanad"/>
          <w:b/>
          <w:bCs/>
          <w:rtl/>
        </w:rPr>
        <w:t xml:space="preserve"> </w:t>
      </w:r>
      <w:r w:rsidRPr="00184D54">
        <w:rPr>
          <w:rtl/>
        </w:rPr>
        <w:t>فقد تحد</w:t>
      </w:r>
      <w:r w:rsidRPr="00184D54">
        <w:rPr>
          <w:rFonts w:hint="cs"/>
          <w:rtl/>
        </w:rPr>
        <w:t>ّ</w:t>
      </w:r>
      <w:r w:rsidRPr="00184D54">
        <w:rPr>
          <w:rtl/>
        </w:rPr>
        <w:t>ثت هذه الآية عن التقوى لله بوصفه رباً ومدب</w:t>
      </w:r>
      <w:r w:rsidRPr="00184D54">
        <w:rPr>
          <w:rFonts w:hint="cs"/>
          <w:rtl/>
        </w:rPr>
        <w:t>ّ</w:t>
      </w:r>
      <w:r w:rsidRPr="00184D54">
        <w:rPr>
          <w:rtl/>
        </w:rPr>
        <w:t>راً ومربياً للناس، خلافاً لآيات أخرى جا</w:t>
      </w:r>
      <w:r w:rsidRPr="00184D54">
        <w:rPr>
          <w:rFonts w:hint="cs"/>
          <w:rtl/>
        </w:rPr>
        <w:t>ء</w:t>
      </w:r>
      <w:r w:rsidRPr="00184D54">
        <w:rPr>
          <w:rtl/>
        </w:rPr>
        <w:t xml:space="preserve"> فيها الأمر بالتقوى مطلقاً مثل: </w:t>
      </w:r>
      <w:r w:rsidRPr="00AA2A63">
        <w:rPr>
          <w:rFonts w:cs="AL-Mohanad" w:hint="cs"/>
          <w:rtl/>
        </w:rPr>
        <w:sym w:font="Islamic Units 1" w:char="F03E"/>
      </w:r>
      <w:r w:rsidRPr="009548FA">
        <w:rPr>
          <w:b/>
          <w:bCs/>
          <w:rtl/>
        </w:rPr>
        <w:t>اتَّقُواْ</w:t>
      </w:r>
      <w:r w:rsidRPr="00AA2A63">
        <w:rPr>
          <w:rFonts w:cs="AL-Mohanad" w:hint="cs"/>
          <w:rtl/>
        </w:rPr>
        <w:sym w:font="Islamic Units 1" w:char="F03C"/>
      </w:r>
      <w:r>
        <w:rPr>
          <w:rFonts w:cs="AL-Mohanad" w:hint="cs"/>
          <w:b/>
          <w:bCs/>
          <w:rtl/>
        </w:rPr>
        <w:t xml:space="preserve"> </w:t>
      </w:r>
      <w:r w:rsidRPr="00184D54">
        <w:rPr>
          <w:rFonts w:hint="cs"/>
          <w:rtl/>
        </w:rPr>
        <w:t>(</w:t>
      </w:r>
      <w:r w:rsidRPr="00184D54">
        <w:rPr>
          <w:rtl/>
        </w:rPr>
        <w:t>البقرة: 103، 212</w:t>
      </w:r>
      <w:r w:rsidRPr="00184D54">
        <w:rPr>
          <w:rFonts w:hint="cs"/>
          <w:rtl/>
        </w:rPr>
        <w:t>)</w:t>
      </w:r>
      <w:r w:rsidRPr="00184D54">
        <w:rPr>
          <w:rtl/>
        </w:rPr>
        <w:t xml:space="preserve"> و..</w:t>
      </w:r>
    </w:p>
    <w:p w:rsidR="00C87E55" w:rsidRPr="006B7863" w:rsidRDefault="00C87E55" w:rsidP="009548FA">
      <w:pPr>
        <w:pStyle w:val="ac"/>
      </w:pPr>
      <w:r w:rsidRPr="006B7863">
        <w:rPr>
          <w:rtl/>
        </w:rPr>
        <w:lastRenderedPageBreak/>
        <w:t xml:space="preserve">والذي يبدو أن هذه النسبة والإضافة </w:t>
      </w:r>
      <w:r w:rsidRPr="00AA2A63">
        <w:rPr>
          <w:rFonts w:hint="cs"/>
          <w:rtl/>
        </w:rPr>
        <w:sym w:font="Islamic Units 1" w:char="F03E"/>
      </w:r>
      <w:r w:rsidRPr="009548FA">
        <w:rPr>
          <w:b/>
          <w:bCs/>
          <w:rtl/>
        </w:rPr>
        <w:t>رَبَّكُمُ</w:t>
      </w:r>
      <w:r w:rsidRPr="00AA2A63">
        <w:rPr>
          <w:rFonts w:hint="cs"/>
          <w:rtl/>
        </w:rPr>
        <w:sym w:font="Islamic Units 1" w:char="F03C"/>
      </w:r>
      <w:r w:rsidRPr="006B7863">
        <w:rPr>
          <w:rtl/>
        </w:rPr>
        <w:t xml:space="preserve"> تريد إيصال فكرة ما، وهي أن</w:t>
      </w:r>
      <w:r>
        <w:rPr>
          <w:rFonts w:hint="cs"/>
          <w:rtl/>
        </w:rPr>
        <w:t>ّ</w:t>
      </w:r>
      <w:r w:rsidRPr="006B7863">
        <w:rPr>
          <w:rtl/>
        </w:rPr>
        <w:t xml:space="preserve"> الناس متساوون في حقيقة ال</w:t>
      </w:r>
      <w:r>
        <w:rPr>
          <w:rtl/>
        </w:rPr>
        <w:t>إنسان</w:t>
      </w:r>
      <w:r w:rsidRPr="006B7863">
        <w:rPr>
          <w:rtl/>
        </w:rPr>
        <w:t>ية، وأنه ليس ثم</w:t>
      </w:r>
      <w:r>
        <w:rPr>
          <w:rFonts w:hint="cs"/>
          <w:rtl/>
        </w:rPr>
        <w:t>ّ</w:t>
      </w:r>
      <w:r w:rsidRPr="006B7863">
        <w:rPr>
          <w:rtl/>
        </w:rPr>
        <w:t>ة فرق أبداً بين الرجل والمرأة، والكبير والصغير، والقادر والعاجز، وبعد ذلك ت</w:t>
      </w:r>
      <w:r>
        <w:rPr>
          <w:rtl/>
        </w:rPr>
        <w:t>أمر</w:t>
      </w:r>
      <w:r w:rsidRPr="006B7863">
        <w:rPr>
          <w:rtl/>
        </w:rPr>
        <w:t xml:space="preserve"> بالتقوى والورع، وعدم ظلم بعضِكم بعضَكم الآخر، الرجل للمرأة، الكبير للصغير، القادر للعاجز، المولى للعبد، كما أن مساحة هذه التقوى واسعة أيضاً تستوعب تمام الميادين الاقت</w:t>
      </w:r>
      <w:r>
        <w:rPr>
          <w:rtl/>
        </w:rPr>
        <w:t>صادية، والسياسية، والقانونية و.</w:t>
      </w:r>
      <w:r w:rsidRPr="006B7863">
        <w:rPr>
          <w:rtl/>
        </w:rPr>
        <w:t>.</w:t>
      </w:r>
    </w:p>
    <w:p w:rsidR="00C87E55" w:rsidRPr="006B7863" w:rsidRDefault="00C87E55" w:rsidP="009548FA">
      <w:pPr>
        <w:pStyle w:val="ac"/>
      </w:pPr>
      <w:r w:rsidRPr="006B7863">
        <w:rPr>
          <w:rtl/>
        </w:rPr>
        <w:t>وعليه، يغدو البشر مأمورين ـ بهذه الآية ـ بتجن</w:t>
      </w:r>
      <w:r>
        <w:rPr>
          <w:rFonts w:hint="cs"/>
          <w:rtl/>
        </w:rPr>
        <w:t>ّ</w:t>
      </w:r>
      <w:r w:rsidRPr="006B7863">
        <w:rPr>
          <w:rtl/>
        </w:rPr>
        <w:t>ب كل ما يعدّه العرف والعقلاء ظلماً، والله أولى وأليق أن لا يفعل ذلك.</w:t>
      </w:r>
    </w:p>
    <w:p w:rsidR="00C87E55" w:rsidRPr="006B7863" w:rsidRDefault="00C87E55" w:rsidP="009548FA">
      <w:pPr>
        <w:pStyle w:val="ac"/>
      </w:pPr>
      <w:r w:rsidRPr="006B7863">
        <w:rPr>
          <w:rtl/>
        </w:rPr>
        <w:t>وبناء</w:t>
      </w:r>
      <w:r>
        <w:rPr>
          <w:rFonts w:hint="cs"/>
          <w:rtl/>
        </w:rPr>
        <w:t>ً</w:t>
      </w:r>
      <w:r w:rsidRPr="006B7863">
        <w:rPr>
          <w:rtl/>
        </w:rPr>
        <w:t xml:space="preserve"> على ما تقد</w:t>
      </w:r>
      <w:r>
        <w:rPr>
          <w:rFonts w:hint="cs"/>
          <w:rtl/>
        </w:rPr>
        <w:t>ّ</w:t>
      </w:r>
      <w:r w:rsidRPr="006B7863">
        <w:rPr>
          <w:rtl/>
        </w:rPr>
        <w:t>م، تكون الآية دالةً على تساوي الناس، ونفي أشكال التمييز في ال</w:t>
      </w:r>
      <w:r>
        <w:rPr>
          <w:rtl/>
        </w:rPr>
        <w:t>أحكام</w:t>
      </w:r>
      <w:r w:rsidRPr="006B7863">
        <w:rPr>
          <w:rtl/>
        </w:rPr>
        <w:t xml:space="preserve"> والقوانين بينهم، دلالةً واضحةً لا تقبل التشكيك.</w:t>
      </w:r>
    </w:p>
    <w:p w:rsidR="00C87E55" w:rsidRPr="006B7863" w:rsidRDefault="00C87E55" w:rsidP="00707350">
      <w:pPr>
        <w:pStyle w:val="ac"/>
        <w:spacing w:line="209" w:lineRule="auto"/>
        <w:rPr>
          <w:rFonts w:cs="AL-Mohanad"/>
          <w:b/>
        </w:rPr>
      </w:pPr>
      <w:r w:rsidRPr="009548FA">
        <w:rPr>
          <w:rtl/>
        </w:rPr>
        <w:t>وثم</w:t>
      </w:r>
      <w:r w:rsidRPr="009548FA">
        <w:rPr>
          <w:rFonts w:hint="cs"/>
          <w:rtl/>
        </w:rPr>
        <w:t>ّ</w:t>
      </w:r>
      <w:r w:rsidRPr="009548FA">
        <w:rPr>
          <w:rtl/>
        </w:rPr>
        <w:t>ة آيات أخرى عديدة أيضاً تدلّ على هذا التساوي مثل:</w:t>
      </w:r>
      <w:r w:rsidRPr="006B7863">
        <w:rPr>
          <w:rFonts w:cs="AL-Mohanad"/>
          <w:b/>
          <w:rtl/>
        </w:rPr>
        <w:t xml:space="preserve"> </w:t>
      </w:r>
      <w:r w:rsidRPr="00AA2A63">
        <w:rPr>
          <w:rFonts w:cs="AL-Mohanad" w:hint="cs"/>
          <w:rtl/>
        </w:rPr>
        <w:sym w:font="Islamic Units 1" w:char="F03E"/>
      </w:r>
      <w:r w:rsidRPr="00707120">
        <w:rPr>
          <w:b/>
          <w:bCs/>
          <w:rtl/>
        </w:rPr>
        <w:t>اِنَّا خَلَقْنَاكُم مِّن ذَكَر وَأُنثَى وَجَعَلْنَاكُمْ شُعُوبًا وَقَبَائِلَ لِتَعَارَفُوا إِنَّ أَكْرَمَكُمْ عِندَ الله أَتْقَاكُمْ</w:t>
      </w:r>
      <w:r w:rsidRPr="00AA2A63">
        <w:rPr>
          <w:rFonts w:cs="AL-Mohanad" w:hint="cs"/>
          <w:rtl/>
        </w:rPr>
        <w:sym w:font="Islamic Units 1" w:char="F03C"/>
      </w:r>
      <w:r>
        <w:rPr>
          <w:rFonts w:cs="AL-Mohanad" w:hint="cs"/>
          <w:b/>
          <w:rtl/>
        </w:rPr>
        <w:t xml:space="preserve"> </w:t>
      </w:r>
      <w:r w:rsidRPr="00184D54">
        <w:rPr>
          <w:rFonts w:hint="cs"/>
          <w:rtl/>
        </w:rPr>
        <w:t>(</w:t>
      </w:r>
      <w:r w:rsidRPr="00184D54">
        <w:rPr>
          <w:rtl/>
        </w:rPr>
        <w:t>الحجرات: 13</w:t>
      </w:r>
      <w:r w:rsidRPr="00184D54">
        <w:rPr>
          <w:rFonts w:hint="cs"/>
          <w:rtl/>
        </w:rPr>
        <w:t>)، و</w:t>
      </w:r>
      <w:r w:rsidRPr="00AA2A63">
        <w:rPr>
          <w:rFonts w:cs="AL-Mohanad" w:hint="cs"/>
          <w:rtl/>
        </w:rPr>
        <w:sym w:font="Islamic Units 1" w:char="F03E"/>
      </w:r>
      <w:r w:rsidRPr="00707120">
        <w:rPr>
          <w:b/>
          <w:bCs/>
          <w:rtl/>
        </w:rPr>
        <w:t>ثُمَّ أَنشَأْنَاهُ خَلْقًا آخَرَ فَتَبَارَكَ الله أَحْسَنُ الْخَالِقِينَ</w:t>
      </w:r>
      <w:r w:rsidRPr="00AA2A63">
        <w:rPr>
          <w:rFonts w:cs="AL-Mohanad" w:hint="cs"/>
          <w:rtl/>
        </w:rPr>
        <w:sym w:font="Islamic Units 1" w:char="F03C"/>
      </w:r>
      <w:r>
        <w:rPr>
          <w:rFonts w:cs="AL-Mohanad" w:hint="cs"/>
          <w:b/>
          <w:rtl/>
        </w:rPr>
        <w:t xml:space="preserve"> </w:t>
      </w:r>
      <w:r w:rsidRPr="00184D54">
        <w:rPr>
          <w:rFonts w:hint="cs"/>
          <w:rtl/>
        </w:rPr>
        <w:t>(</w:t>
      </w:r>
      <w:r w:rsidRPr="00184D54">
        <w:rPr>
          <w:rtl/>
        </w:rPr>
        <w:t>المؤمنون: 14</w:t>
      </w:r>
      <w:r w:rsidRPr="00184D54">
        <w:rPr>
          <w:rFonts w:hint="cs"/>
          <w:rtl/>
        </w:rPr>
        <w:t>)</w:t>
      </w:r>
      <w:r w:rsidRPr="00184D54">
        <w:rPr>
          <w:rtl/>
        </w:rPr>
        <w:t>.</w:t>
      </w:r>
    </w:p>
    <w:p w:rsidR="00C87E55" w:rsidRPr="006B7863" w:rsidRDefault="00C87E55" w:rsidP="00707350">
      <w:pPr>
        <w:pStyle w:val="ac"/>
        <w:spacing w:line="209" w:lineRule="auto"/>
      </w:pPr>
      <w:r w:rsidRPr="006B7863">
        <w:rPr>
          <w:rtl/>
        </w:rPr>
        <w:t>كما تدلّ الروايات التي أوردناها سابقاً على هذا التساوي أيضاً.</w:t>
      </w:r>
    </w:p>
    <w:p w:rsidR="00C87E55" w:rsidRPr="006B7863" w:rsidRDefault="00C87E55" w:rsidP="00707350">
      <w:pPr>
        <w:pStyle w:val="ac"/>
        <w:spacing w:line="209" w:lineRule="auto"/>
        <w:rPr>
          <w:rFonts w:cs="AL-Mohanad"/>
          <w:b/>
        </w:rPr>
      </w:pPr>
      <w:r w:rsidRPr="00707120">
        <w:rPr>
          <w:bCs/>
          <w:rtl/>
        </w:rPr>
        <w:t>الطائفة الثانية:</w:t>
      </w:r>
      <w:r w:rsidRPr="006B7863">
        <w:rPr>
          <w:rFonts w:cs="AL-Mohanad"/>
          <w:b/>
          <w:rtl/>
        </w:rPr>
        <w:t xml:space="preserve"> </w:t>
      </w:r>
      <w:r w:rsidRPr="00713B4A">
        <w:rPr>
          <w:rtl/>
        </w:rPr>
        <w:t>من الآيات القرآنية التي تعارضها روايات التمييز في القصاص بين الرجل والمرأة هي</w:t>
      </w:r>
      <w:r w:rsidRPr="00713B4A">
        <w:rPr>
          <w:rFonts w:hint="cs"/>
          <w:rtl/>
        </w:rPr>
        <w:t xml:space="preserve"> قوله تعالى</w:t>
      </w:r>
      <w:r>
        <w:rPr>
          <w:rFonts w:cs="AL-Mohanad" w:hint="cs"/>
          <w:b/>
          <w:rtl/>
        </w:rPr>
        <w:t xml:space="preserve"> :</w:t>
      </w:r>
      <w:r>
        <w:rPr>
          <w:rFonts w:cs="AL-Mohanad" w:hint="cs"/>
          <w:rtl/>
        </w:rPr>
        <w:t xml:space="preserve"> </w:t>
      </w:r>
      <w:r w:rsidRPr="00AA2A63">
        <w:rPr>
          <w:rFonts w:cs="AL-Mohanad" w:hint="cs"/>
          <w:rtl/>
        </w:rPr>
        <w:sym w:font="Islamic Units 1" w:char="F03E"/>
      </w:r>
      <w:r w:rsidRPr="00707120">
        <w:rPr>
          <w:b/>
          <w:bCs/>
          <w:rtl/>
        </w:rPr>
        <w:t>وَكَتَبْنَا عَلَيْهِمْ فِيهَا أَنَّ النَّفْسَ بِالنَّفْسِ وَالْعَيْنَ بِالْعَيْنِ وَالأَنفَ بِالأَنفِ وَالأُذُنَ بِالأُذُنِ وَالسِّنَّ بِالسِّنِّ وَالْجُرُوحَ قِصَاصٌ</w:t>
      </w:r>
      <w:r w:rsidRPr="00AA2A63">
        <w:rPr>
          <w:rFonts w:cs="AL-Mohanad" w:hint="cs"/>
          <w:rtl/>
        </w:rPr>
        <w:sym w:font="Islamic Units 1" w:char="F03C"/>
      </w:r>
      <w:r>
        <w:rPr>
          <w:rFonts w:cs="AL-Mohanad" w:hint="cs"/>
          <w:b/>
          <w:rtl/>
        </w:rPr>
        <w:t xml:space="preserve"> </w:t>
      </w:r>
      <w:r w:rsidRPr="00713B4A">
        <w:rPr>
          <w:rFonts w:hint="cs"/>
          <w:rtl/>
        </w:rPr>
        <w:t>(</w:t>
      </w:r>
      <w:r w:rsidRPr="00713B4A">
        <w:rPr>
          <w:rtl/>
        </w:rPr>
        <w:t>المائدة: 45</w:t>
      </w:r>
      <w:r w:rsidRPr="00713B4A">
        <w:rPr>
          <w:rFonts w:hint="cs"/>
          <w:rtl/>
        </w:rPr>
        <w:t>)</w:t>
      </w:r>
      <w:r w:rsidRPr="00713B4A">
        <w:rPr>
          <w:rtl/>
        </w:rPr>
        <w:t>.</w:t>
      </w:r>
    </w:p>
    <w:p w:rsidR="00C87E55" w:rsidRPr="006B7863" w:rsidRDefault="00C87E55" w:rsidP="009548FA">
      <w:pPr>
        <w:pStyle w:val="ac"/>
      </w:pPr>
      <w:r w:rsidRPr="006B7863">
        <w:rPr>
          <w:rtl/>
        </w:rPr>
        <w:t>تدلّ هذه الآية ـ بصراحة ـ أن لا تفاوت في أرواح الناس، فدم</w:t>
      </w:r>
      <w:r>
        <w:rPr>
          <w:rFonts w:hint="cs"/>
          <w:rtl/>
        </w:rPr>
        <w:t>ُ</w:t>
      </w:r>
      <w:r w:rsidRPr="006B7863">
        <w:rPr>
          <w:rtl/>
        </w:rPr>
        <w:t xml:space="preserve"> أحدهم ليس بأ</w:t>
      </w:r>
      <w:r>
        <w:rPr>
          <w:rFonts w:hint="cs"/>
          <w:rtl/>
        </w:rPr>
        <w:t>شدّ</w:t>
      </w:r>
      <w:r w:rsidRPr="006B7863">
        <w:rPr>
          <w:rtl/>
        </w:rPr>
        <w:t xml:space="preserve"> لوناً من الآخر، ومعنى ذلك أننا لو رأينا هذا التمييز في الدم في رواية</w:t>
      </w:r>
      <w:r>
        <w:rPr>
          <w:rFonts w:hint="cs"/>
          <w:rtl/>
        </w:rPr>
        <w:t>ٍ</w:t>
      </w:r>
      <w:r w:rsidRPr="006B7863">
        <w:rPr>
          <w:rtl/>
        </w:rPr>
        <w:t xml:space="preserve"> من الروايات فلا بد من طرحه جانباً.</w:t>
      </w:r>
    </w:p>
    <w:p w:rsidR="00C87E55" w:rsidRPr="006B7863" w:rsidRDefault="00C87E55" w:rsidP="00C87E55">
      <w:pPr>
        <w:pStyle w:val="ac"/>
      </w:pPr>
      <w:r w:rsidRPr="006B7863">
        <w:rPr>
          <w:rtl/>
        </w:rPr>
        <w:t>إلاّ أن التمسّك بهذه الآية وإطلاقها، يواجه جملةً من الانتقادات المذكورة، التي نحاول هنا استحضارها، ثم نقدها، وهي:</w:t>
      </w:r>
    </w:p>
    <w:p w:rsidR="00C87E55" w:rsidRPr="006B7863" w:rsidRDefault="00C87E55" w:rsidP="00C87E55">
      <w:pPr>
        <w:pStyle w:val="ac"/>
      </w:pPr>
      <w:r w:rsidRPr="00713B4A">
        <w:rPr>
          <w:rFonts w:hint="cs"/>
          <w:b/>
          <w:bCs/>
          <w:rtl/>
        </w:rPr>
        <w:t>الانتقاد</w:t>
      </w:r>
      <w:r w:rsidRPr="00713B4A">
        <w:rPr>
          <w:b/>
          <w:bCs/>
          <w:rtl/>
        </w:rPr>
        <w:t xml:space="preserve"> الأوّل:</w:t>
      </w:r>
      <w:r w:rsidRPr="006B7863">
        <w:rPr>
          <w:rtl/>
        </w:rPr>
        <w:t xml:space="preserve"> إن</w:t>
      </w:r>
      <w:r>
        <w:rPr>
          <w:rFonts w:hint="cs"/>
          <w:rtl/>
        </w:rPr>
        <w:t>ّ</w:t>
      </w:r>
      <w:r w:rsidRPr="006B7863">
        <w:rPr>
          <w:rtl/>
        </w:rPr>
        <w:t xml:space="preserve"> هذه الآية بصدد تشريع مبدأ القصاص، فليس لها إطلاق من ناحية كيفية إجرائه وتطبيقه، من هنا، فما ذكرته الروايات يحتمل أن يكون شرحاً </w:t>
      </w:r>
      <w:r w:rsidRPr="006B7863">
        <w:rPr>
          <w:rtl/>
        </w:rPr>
        <w:lastRenderedPageBreak/>
        <w:t>وتوضيحاً لهذا المبدأ العام، دون أن يعني مغايرةً له</w:t>
      </w:r>
      <w:r>
        <w:rPr>
          <w:rtl/>
        </w:rPr>
        <w:t xml:space="preserve"> أو </w:t>
      </w:r>
      <w:r w:rsidRPr="006B7863">
        <w:rPr>
          <w:rtl/>
        </w:rPr>
        <w:t>منافاة.</w:t>
      </w:r>
    </w:p>
    <w:p w:rsidR="00C87E55" w:rsidRPr="006B7863" w:rsidRDefault="00C87E55" w:rsidP="00AB3AAA">
      <w:pPr>
        <w:pStyle w:val="ac"/>
        <w:spacing w:line="199" w:lineRule="auto"/>
      </w:pPr>
      <w:r w:rsidRPr="006B7863">
        <w:rPr>
          <w:rtl/>
        </w:rPr>
        <w:t xml:space="preserve">وفي الجواب عن هذا </w:t>
      </w:r>
      <w:r>
        <w:rPr>
          <w:rFonts w:hint="cs"/>
          <w:rtl/>
        </w:rPr>
        <w:t>الانتقاد</w:t>
      </w:r>
      <w:r w:rsidRPr="006B7863">
        <w:rPr>
          <w:rtl/>
        </w:rPr>
        <w:t xml:space="preserve"> يقال:</w:t>
      </w:r>
    </w:p>
    <w:p w:rsidR="00C87E55" w:rsidRPr="006B7863" w:rsidRDefault="00C87E55" w:rsidP="00AB3AAA">
      <w:pPr>
        <w:pStyle w:val="ac"/>
        <w:spacing w:line="199" w:lineRule="auto"/>
      </w:pPr>
      <w:r w:rsidRPr="00713B4A">
        <w:rPr>
          <w:b/>
          <w:bCs/>
          <w:rtl/>
        </w:rPr>
        <w:t>أولاً:</w:t>
      </w:r>
      <w:r w:rsidRPr="006B7863">
        <w:rPr>
          <w:rtl/>
        </w:rPr>
        <w:t xml:space="preserve"> إن</w:t>
      </w:r>
      <w:r>
        <w:rPr>
          <w:rFonts w:hint="cs"/>
          <w:rtl/>
        </w:rPr>
        <w:t>ّ</w:t>
      </w:r>
      <w:r w:rsidRPr="006B7863">
        <w:rPr>
          <w:rtl/>
        </w:rPr>
        <w:t xml:space="preserve"> القاعدة الأولية في تمام آيات القرآن هي الإطلاق والتبيين، ذلك أنه وصف نفسه بـ </w:t>
      </w:r>
      <w:r w:rsidRPr="00AA2A63">
        <w:rPr>
          <w:rFonts w:hint="cs"/>
          <w:rtl/>
        </w:rPr>
        <w:sym w:font="Islamic Units 1" w:char="F03E"/>
      </w:r>
      <w:r w:rsidRPr="00707120">
        <w:rPr>
          <w:b/>
          <w:bCs/>
          <w:rtl/>
        </w:rPr>
        <w:t>تِبْيَانًا لِّكُلِّ شَيْ</w:t>
      </w:r>
      <w:r w:rsidRPr="00AA2A63">
        <w:rPr>
          <w:rFonts w:hint="cs"/>
          <w:rtl/>
        </w:rPr>
        <w:sym w:font="Islamic Units 1" w:char="F03C"/>
      </w:r>
      <w:r>
        <w:rPr>
          <w:rFonts w:hint="cs"/>
          <w:rtl/>
        </w:rPr>
        <w:t xml:space="preserve"> (</w:t>
      </w:r>
      <w:r w:rsidRPr="006B7863">
        <w:rPr>
          <w:rtl/>
        </w:rPr>
        <w:t>النحل: 89</w:t>
      </w:r>
      <w:r>
        <w:rPr>
          <w:rFonts w:hint="cs"/>
          <w:rtl/>
        </w:rPr>
        <w:t>)</w:t>
      </w:r>
      <w:r w:rsidRPr="006B7863">
        <w:rPr>
          <w:rtl/>
        </w:rPr>
        <w:t xml:space="preserve">، </w:t>
      </w:r>
      <w:r w:rsidRPr="00AA2A63">
        <w:rPr>
          <w:rFonts w:hint="cs"/>
          <w:rtl/>
        </w:rPr>
        <w:sym w:font="Islamic Units 1" w:char="F03E"/>
      </w:r>
      <w:r w:rsidRPr="00707120">
        <w:rPr>
          <w:b/>
          <w:bCs/>
          <w:rtl/>
        </w:rPr>
        <w:t>لِسَانٌ عَرَبِيٌّ مُّبِينٌ</w:t>
      </w:r>
      <w:r w:rsidRPr="00AA2A63">
        <w:rPr>
          <w:rFonts w:hint="cs"/>
          <w:rtl/>
        </w:rPr>
        <w:sym w:font="Islamic Units 1" w:char="F03C"/>
      </w:r>
      <w:r>
        <w:rPr>
          <w:rFonts w:hint="cs"/>
          <w:rtl/>
        </w:rPr>
        <w:t xml:space="preserve"> (</w:t>
      </w:r>
      <w:r w:rsidRPr="006B7863">
        <w:rPr>
          <w:rtl/>
        </w:rPr>
        <w:t>النحل: 103</w:t>
      </w:r>
      <w:r>
        <w:rPr>
          <w:rFonts w:hint="cs"/>
          <w:rtl/>
        </w:rPr>
        <w:t>)</w:t>
      </w:r>
      <w:r w:rsidRPr="006B7863">
        <w:rPr>
          <w:rtl/>
        </w:rPr>
        <w:t>.</w:t>
      </w:r>
    </w:p>
    <w:p w:rsidR="00C87E55" w:rsidRPr="006B7863" w:rsidRDefault="00C87E55" w:rsidP="00AB3AAA">
      <w:pPr>
        <w:pStyle w:val="ac"/>
        <w:spacing w:line="199" w:lineRule="auto"/>
      </w:pPr>
      <w:r w:rsidRPr="005067D6">
        <w:rPr>
          <w:b/>
          <w:bCs/>
          <w:rtl/>
        </w:rPr>
        <w:t>ثانياً:</w:t>
      </w:r>
      <w:r w:rsidRPr="006B7863">
        <w:rPr>
          <w:rtl/>
        </w:rPr>
        <w:t xml:space="preserve"> إن تعداد مصاديق القصاص في الأعضاء من قبيل العين، والأنف، والأذن، والسن </w:t>
      </w:r>
      <w:r w:rsidRPr="00AA2A63">
        <w:rPr>
          <w:rFonts w:hint="cs"/>
          <w:rtl/>
        </w:rPr>
        <w:sym w:font="Islamic Units 1" w:char="F03E"/>
      </w:r>
      <w:r w:rsidRPr="00707120">
        <w:rPr>
          <w:b/>
          <w:bCs/>
          <w:rtl/>
        </w:rPr>
        <w:t>الْعَيْنَ بِالْعَيْنِ وَالأَنفَ بِالأَنفِ وَالأُذُنَ بِالأُذُنِ وَالسِّنَّ بِالسِّنِّ</w:t>
      </w:r>
      <w:r w:rsidRPr="00AA2A63">
        <w:rPr>
          <w:rFonts w:hint="cs"/>
          <w:rtl/>
        </w:rPr>
        <w:sym w:font="Islamic Units 1" w:char="F03C"/>
      </w:r>
      <w:r w:rsidRPr="006B7863">
        <w:rPr>
          <w:rtl/>
        </w:rPr>
        <w:t>، ثم بيان القاعدة الكلية العام</w:t>
      </w:r>
      <w:r>
        <w:rPr>
          <w:rFonts w:hint="cs"/>
          <w:rtl/>
        </w:rPr>
        <w:t>ّ</w:t>
      </w:r>
      <w:r w:rsidRPr="006B7863">
        <w:rPr>
          <w:rtl/>
        </w:rPr>
        <w:t xml:space="preserve">ة في قصاص الجراحات: </w:t>
      </w:r>
      <w:r w:rsidRPr="00AA2A63">
        <w:rPr>
          <w:rFonts w:hint="cs"/>
          <w:rtl/>
        </w:rPr>
        <w:sym w:font="Islamic Units 1" w:char="F03E"/>
      </w:r>
      <w:r w:rsidRPr="00707120">
        <w:rPr>
          <w:b/>
          <w:bCs/>
          <w:rtl/>
        </w:rPr>
        <w:t>وَالْجُرُوحَ قِصَاصٌ</w:t>
      </w:r>
      <w:r w:rsidRPr="00AA2A63">
        <w:rPr>
          <w:rFonts w:hint="cs"/>
          <w:rtl/>
        </w:rPr>
        <w:sym w:font="Islamic Units 1" w:char="F03C"/>
      </w:r>
      <w:r>
        <w:rPr>
          <w:rFonts w:hint="cs"/>
          <w:rtl/>
        </w:rPr>
        <w:t xml:space="preserve"> </w:t>
      </w:r>
      <w:r w:rsidRPr="006B7863">
        <w:rPr>
          <w:rtl/>
        </w:rPr>
        <w:t>شاهد صارخ على وجود الإطلاق في الآية، وكونها في مقام تشريعه وتقنينه.</w:t>
      </w:r>
    </w:p>
    <w:p w:rsidR="00C87E55" w:rsidRPr="006B7863" w:rsidRDefault="00C87E55" w:rsidP="00AB3AAA">
      <w:pPr>
        <w:pStyle w:val="ac"/>
        <w:spacing w:line="199" w:lineRule="auto"/>
      </w:pPr>
      <w:r w:rsidRPr="00713B4A">
        <w:rPr>
          <w:b/>
          <w:bCs/>
          <w:rtl/>
        </w:rPr>
        <w:t>ثالثاً:</w:t>
      </w:r>
      <w:r w:rsidRPr="006B7863">
        <w:rPr>
          <w:rtl/>
        </w:rPr>
        <w:t xml:space="preserve"> لقد فهم فقهاء ومحد</w:t>
      </w:r>
      <w:r>
        <w:rPr>
          <w:rFonts w:hint="cs"/>
          <w:rtl/>
        </w:rPr>
        <w:t>ّ</w:t>
      </w:r>
      <w:r w:rsidRPr="006B7863">
        <w:rPr>
          <w:rtl/>
        </w:rPr>
        <w:t>ثون كبار ـ مثل الشيخ الطوسي ـ</w:t>
      </w:r>
      <w:r>
        <w:rPr>
          <w:rtl/>
        </w:rPr>
        <w:t xml:space="preserve"> من هذه الآية الإطلاق والشمولية</w:t>
      </w:r>
      <w:r>
        <w:rPr>
          <w:rFonts w:hint="cs"/>
          <w:rtl/>
        </w:rPr>
        <w:t xml:space="preserve">؛ </w:t>
      </w:r>
      <w:r w:rsidRPr="006B7863">
        <w:rPr>
          <w:rtl/>
        </w:rPr>
        <w:t>ففي كتاب تهذيب ال</w:t>
      </w:r>
      <w:r>
        <w:rPr>
          <w:rtl/>
        </w:rPr>
        <w:t>أحكام</w:t>
      </w:r>
      <w:r w:rsidRPr="006B7863">
        <w:rPr>
          <w:rtl/>
        </w:rPr>
        <w:t xml:space="preserve"> وعقب نقله رواية أبي مريم الأنصاري عن أبي جعفر</w:t>
      </w:r>
      <w:r w:rsidR="00707120" w:rsidRPr="00707120">
        <w:rPr>
          <w:rFonts w:hint="cs"/>
          <w:rtl/>
        </w:rPr>
        <w:t>×</w:t>
      </w:r>
      <w:r w:rsidRPr="006B7863">
        <w:rPr>
          <w:rtl/>
        </w:rPr>
        <w:t xml:space="preserve">: </w:t>
      </w:r>
      <w:r w:rsidRPr="00885E99">
        <w:rPr>
          <w:rtl/>
        </w:rPr>
        <w:t>«</w:t>
      </w:r>
      <w:r w:rsidRPr="006B7863">
        <w:rPr>
          <w:rtl/>
        </w:rPr>
        <w:t xml:space="preserve">في </w:t>
      </w:r>
      <w:r>
        <w:rPr>
          <w:rFonts w:hint="cs"/>
          <w:rtl/>
        </w:rPr>
        <w:t>ا</w:t>
      </w:r>
      <w:r>
        <w:rPr>
          <w:rtl/>
        </w:rPr>
        <w:t>مر</w:t>
      </w:r>
      <w:r w:rsidRPr="006B7863">
        <w:rPr>
          <w:rtl/>
        </w:rPr>
        <w:t>أة</w:t>
      </w:r>
      <w:r>
        <w:rPr>
          <w:rFonts w:hint="cs"/>
          <w:rtl/>
        </w:rPr>
        <w:t>ٍ</w:t>
      </w:r>
      <w:r w:rsidRPr="006B7863">
        <w:rPr>
          <w:rtl/>
        </w:rPr>
        <w:t xml:space="preserve"> قتلت رجلاً، قال: تقتل ويؤدّي وليها بقية الدم»</w:t>
      </w:r>
      <w:r w:rsidRPr="00815C4C">
        <w:rPr>
          <w:rFonts w:cs="Taher"/>
          <w:vertAlign w:val="superscript"/>
          <w:rtl/>
        </w:rPr>
        <w:t>(</w:t>
      </w:r>
      <w:r w:rsidRPr="00815C4C">
        <w:rPr>
          <w:rFonts w:cs="Taher"/>
          <w:vertAlign w:val="superscript"/>
          <w:rtl/>
        </w:rPr>
        <w:footnoteReference w:id="236"/>
      </w:r>
      <w:r w:rsidRPr="00815C4C">
        <w:rPr>
          <w:rFonts w:cs="Taher"/>
          <w:vertAlign w:val="superscript"/>
          <w:rtl/>
        </w:rPr>
        <w:t>)</w:t>
      </w:r>
      <w:r w:rsidRPr="006B7863">
        <w:rPr>
          <w:rtl/>
        </w:rPr>
        <w:t xml:space="preserve">... يكتب الشيخ الطوسي: </w:t>
      </w:r>
      <w:r w:rsidRPr="00885E99">
        <w:rPr>
          <w:rtl/>
        </w:rPr>
        <w:t>«</w:t>
      </w:r>
      <w:r w:rsidRPr="006B7863">
        <w:rPr>
          <w:rtl/>
        </w:rPr>
        <w:t>هذه الرواية شاذة، ما رواها غير أبي مريم الأنصاري، وإن تكر</w:t>
      </w:r>
      <w:r>
        <w:rPr>
          <w:rFonts w:hint="cs"/>
          <w:rtl/>
        </w:rPr>
        <w:t>ّ</w:t>
      </w:r>
      <w:r w:rsidRPr="006B7863">
        <w:rPr>
          <w:rtl/>
        </w:rPr>
        <w:t xml:space="preserve">رت في الكتب في مواضع، وهي مع هذا مخالفة للأخبار كلّها، ولظاهر القرآن، قال الله تعالى: </w:t>
      </w:r>
      <w:r w:rsidRPr="00AA2A63">
        <w:rPr>
          <w:rFonts w:hint="cs"/>
          <w:rtl/>
        </w:rPr>
        <w:sym w:font="Islamic Units 1" w:char="F03E"/>
      </w:r>
      <w:r w:rsidRPr="00707120">
        <w:rPr>
          <w:b/>
          <w:bCs/>
          <w:rtl/>
        </w:rPr>
        <w:t>وَكَتَبْنَا عَلَيْهِمْ فِيهَا أَنَّ النَّفْسَ بِالنَّفْسِ وَالْعَيْنَ بِالْعَيْنِ</w:t>
      </w:r>
      <w:r w:rsidRPr="00AA2A63">
        <w:rPr>
          <w:rFonts w:hint="cs"/>
          <w:rtl/>
        </w:rPr>
        <w:sym w:font="Islamic Units 1" w:char="F03C"/>
      </w:r>
      <w:r w:rsidRPr="006B7863">
        <w:rPr>
          <w:rtl/>
        </w:rPr>
        <w:t>، فحكم أن النفس بالنفس ولم يذكر معها شي آخر»</w:t>
      </w:r>
      <w:r w:rsidRPr="00815C4C">
        <w:rPr>
          <w:rFonts w:cs="Taher"/>
          <w:vertAlign w:val="superscript"/>
          <w:rtl/>
        </w:rPr>
        <w:t>(</w:t>
      </w:r>
      <w:r w:rsidRPr="00815C4C">
        <w:rPr>
          <w:rFonts w:cs="Taher"/>
          <w:vertAlign w:val="superscript"/>
          <w:rtl/>
        </w:rPr>
        <w:footnoteReference w:id="237"/>
      </w:r>
      <w:r w:rsidRPr="00815C4C">
        <w:rPr>
          <w:rFonts w:cs="Taher"/>
          <w:vertAlign w:val="superscript"/>
          <w:rtl/>
        </w:rPr>
        <w:t>)</w:t>
      </w:r>
      <w:r w:rsidRPr="006B7863">
        <w:rPr>
          <w:rtl/>
        </w:rPr>
        <w:t>.</w:t>
      </w:r>
    </w:p>
    <w:p w:rsidR="00C87E55" w:rsidRPr="006B7863" w:rsidRDefault="00C87E55" w:rsidP="00AB3AAA">
      <w:pPr>
        <w:pStyle w:val="ac"/>
        <w:spacing w:line="199" w:lineRule="auto"/>
      </w:pPr>
      <w:r w:rsidRPr="006B7863">
        <w:rPr>
          <w:rtl/>
        </w:rPr>
        <w:t>وبهذه الفقرة يُعلم أن الشيخ الطوسي يرى الآية في مقام البيان، ويقرّ بأن لها إطلاقاً وشمولاً، وهو ـ لذلك ـ يطرح الرواية بوصفها مخالفةً للقرآن الكريم.</w:t>
      </w:r>
    </w:p>
    <w:p w:rsidR="00C87E55" w:rsidRPr="00713B4A" w:rsidRDefault="00C87E55" w:rsidP="00AB3AAA">
      <w:pPr>
        <w:pStyle w:val="ac"/>
        <w:spacing w:line="199" w:lineRule="auto"/>
      </w:pPr>
      <w:r w:rsidRPr="00713B4A">
        <w:rPr>
          <w:rFonts w:hint="cs"/>
          <w:b/>
          <w:bCs/>
          <w:rtl/>
        </w:rPr>
        <w:t>الانتقاد</w:t>
      </w:r>
      <w:r w:rsidRPr="00713B4A">
        <w:rPr>
          <w:b/>
          <w:bCs/>
          <w:rtl/>
        </w:rPr>
        <w:t xml:space="preserve"> الثاني:</w:t>
      </w:r>
      <w:r w:rsidRPr="006B7863">
        <w:rPr>
          <w:b/>
          <w:bCs/>
          <w:rtl/>
        </w:rPr>
        <w:t xml:space="preserve"> </w:t>
      </w:r>
      <w:r w:rsidRPr="00713B4A">
        <w:rPr>
          <w:rtl/>
        </w:rPr>
        <w:t>ذكر بعض</w:t>
      </w:r>
      <w:r w:rsidRPr="00713B4A">
        <w:rPr>
          <w:rFonts w:hint="cs"/>
          <w:rtl/>
        </w:rPr>
        <w:t>ُ</w:t>
      </w:r>
      <w:r w:rsidRPr="00713B4A">
        <w:rPr>
          <w:rtl/>
        </w:rPr>
        <w:t>هم أن هذه الآية تحكي عن تلك الأحكام التي تتعلّق في التوراة ببني إسرائيل، وعلاوةً على ذلك فقد نسخت بقوله تعالى</w:t>
      </w:r>
      <w:r w:rsidRPr="006B7863">
        <w:rPr>
          <w:b/>
          <w:bCs/>
          <w:rtl/>
        </w:rPr>
        <w:t xml:space="preserve">: </w:t>
      </w:r>
      <w:r w:rsidRPr="00AA2A63">
        <w:rPr>
          <w:rFonts w:hint="cs"/>
          <w:rtl/>
        </w:rPr>
        <w:sym w:font="Islamic Units 1" w:char="F03E"/>
      </w:r>
      <w:r w:rsidRPr="00AB3AAA">
        <w:rPr>
          <w:b/>
          <w:bCs/>
          <w:rtl/>
        </w:rPr>
        <w:t>يَا أَيُّهَا الَّذِينَ آمَنُواْ كُتِبَ عَلَيْكُمُ الْقِصَاصُ فِي الْقَتْلَى الْحُرُّ بِالْحُرِّ وَالْعَبْدُ بِالْعَبْدِ وَالأُنثَى بِالأُنثَى</w:t>
      </w:r>
      <w:r w:rsidRPr="00AA2A63">
        <w:rPr>
          <w:rFonts w:hint="cs"/>
          <w:rtl/>
        </w:rPr>
        <w:sym w:font="Islamic Units 1" w:char="F03C"/>
      </w:r>
      <w:r>
        <w:rPr>
          <w:rFonts w:hint="cs"/>
          <w:b/>
          <w:bCs/>
          <w:rtl/>
        </w:rPr>
        <w:t xml:space="preserve"> </w:t>
      </w:r>
      <w:r w:rsidRPr="00713B4A">
        <w:rPr>
          <w:rFonts w:hint="cs"/>
          <w:rtl/>
        </w:rPr>
        <w:t>(</w:t>
      </w:r>
      <w:r w:rsidRPr="00713B4A">
        <w:rPr>
          <w:rtl/>
        </w:rPr>
        <w:t>البقرة: 178</w:t>
      </w:r>
      <w:r w:rsidRPr="00713B4A">
        <w:rPr>
          <w:rFonts w:hint="cs"/>
          <w:rtl/>
        </w:rPr>
        <w:t>)</w:t>
      </w:r>
      <w:r w:rsidRPr="00713B4A">
        <w:rPr>
          <w:rtl/>
        </w:rPr>
        <w:t>.</w:t>
      </w:r>
    </w:p>
    <w:p w:rsidR="00C87E55" w:rsidRPr="006B7863" w:rsidRDefault="00C87E55" w:rsidP="00C87E55">
      <w:pPr>
        <w:pStyle w:val="ac"/>
        <w:rPr>
          <w:rFonts w:cs="AL-Mohanad"/>
          <w:b/>
          <w:bCs/>
        </w:rPr>
      </w:pPr>
      <w:r w:rsidRPr="00713B4A">
        <w:rPr>
          <w:rtl/>
        </w:rPr>
        <w:t>وقد صُرّح بهذا الأمر أيضاً في بعض الروايات الشيعية</w:t>
      </w:r>
      <w:r w:rsidRPr="00713B4A">
        <w:rPr>
          <w:rFonts w:hint="cs"/>
          <w:rtl/>
        </w:rPr>
        <w:t>؛</w:t>
      </w:r>
      <w:r w:rsidRPr="00713B4A">
        <w:rPr>
          <w:rtl/>
        </w:rPr>
        <w:t xml:space="preserve"> فعن عل</w:t>
      </w:r>
      <w:r w:rsidRPr="00713B4A">
        <w:rPr>
          <w:rFonts w:hint="cs"/>
          <w:rtl/>
        </w:rPr>
        <w:t>ي</w:t>
      </w:r>
      <w:r w:rsidRPr="00713B4A">
        <w:rPr>
          <w:rtl/>
        </w:rPr>
        <w:t xml:space="preserve"> بن إبراهيم في </w:t>
      </w:r>
      <w:r w:rsidRPr="00713B4A">
        <w:rPr>
          <w:rtl/>
        </w:rPr>
        <w:lastRenderedPageBreak/>
        <w:t>تفسير</w:t>
      </w:r>
      <w:r w:rsidRPr="006B7863">
        <w:rPr>
          <w:rFonts w:cs="AL-Mohanad"/>
          <w:b/>
          <w:bCs/>
          <w:rtl/>
        </w:rPr>
        <w:t xml:space="preserve"> </w:t>
      </w:r>
      <w:r w:rsidRPr="00713B4A">
        <w:rPr>
          <w:rtl/>
        </w:rPr>
        <w:t>قوله تعالى:</w:t>
      </w:r>
      <w:r w:rsidRPr="006B7863">
        <w:rPr>
          <w:rFonts w:cs="AL-Mohanad"/>
          <w:b/>
          <w:bCs/>
          <w:rtl/>
        </w:rPr>
        <w:t xml:space="preserve"> </w:t>
      </w:r>
      <w:r w:rsidRPr="00AA2A63">
        <w:rPr>
          <w:rFonts w:cs="AL-Mohanad" w:hint="cs"/>
          <w:rtl/>
        </w:rPr>
        <w:sym w:font="Islamic Units 1" w:char="F03E"/>
      </w:r>
      <w:r w:rsidRPr="00707120">
        <w:rPr>
          <w:b/>
          <w:bCs/>
          <w:rtl/>
        </w:rPr>
        <w:t>وَكَتَبْنَا عَلَيْهِمْ فِيهَا</w:t>
      </w:r>
      <w:r w:rsidRPr="00AA2A63">
        <w:rPr>
          <w:rFonts w:cs="AL-Mohanad" w:hint="cs"/>
          <w:rtl/>
        </w:rPr>
        <w:sym w:font="Islamic Units 1" w:char="F03C"/>
      </w:r>
      <w:r>
        <w:rPr>
          <w:rFonts w:cs="AL-Mohanad" w:hint="cs"/>
          <w:b/>
          <w:bCs/>
          <w:rtl/>
        </w:rPr>
        <w:t xml:space="preserve"> </w:t>
      </w:r>
      <w:r w:rsidRPr="00713B4A">
        <w:rPr>
          <w:rtl/>
        </w:rPr>
        <w:t>قال: يعني في التوراة،</w:t>
      </w:r>
      <w:r w:rsidRPr="006B7863">
        <w:rPr>
          <w:rFonts w:cs="AL-Mohanad"/>
          <w:b/>
          <w:bCs/>
          <w:rtl/>
        </w:rPr>
        <w:t xml:space="preserve"> </w:t>
      </w:r>
      <w:r w:rsidRPr="00AA2A63">
        <w:rPr>
          <w:rFonts w:cs="AL-Mohanad" w:hint="cs"/>
          <w:rtl/>
        </w:rPr>
        <w:sym w:font="Islamic Units 1" w:char="F03E"/>
      </w:r>
      <w:r w:rsidRPr="00707120">
        <w:rPr>
          <w:b/>
          <w:bCs/>
          <w:rtl/>
        </w:rPr>
        <w:t>أَنَّ النَّفْسَ بِالنَّفْسِ وَالْعَيْنَ بِالْعَيْنِ وَالأَنفَ بِالأَنفِ وَالأُذُنَ بِالأُذُنِ وَالسِّنَّ بِالسِّنِّ وَالْجُرُوحَ قِصَاصٌ</w:t>
      </w:r>
      <w:r w:rsidRPr="00AA2A63">
        <w:rPr>
          <w:rFonts w:cs="AL-Mohanad" w:hint="cs"/>
          <w:rtl/>
        </w:rPr>
        <w:sym w:font="Islamic Units 1" w:char="F03C"/>
      </w:r>
      <w:r w:rsidRPr="006B7863">
        <w:rPr>
          <w:rFonts w:cs="AL-Mohanad"/>
          <w:b/>
          <w:bCs/>
          <w:rtl/>
        </w:rPr>
        <w:t xml:space="preserve">، </w:t>
      </w:r>
      <w:r w:rsidRPr="00713B4A">
        <w:rPr>
          <w:rtl/>
        </w:rPr>
        <w:t xml:space="preserve">فهي منسوخة بقوله: </w:t>
      </w:r>
      <w:r w:rsidRPr="00AA2A63">
        <w:rPr>
          <w:rFonts w:cs="AL-Mohanad" w:hint="cs"/>
          <w:rtl/>
        </w:rPr>
        <w:sym w:font="Islamic Units 1" w:char="F03E"/>
      </w:r>
      <w:r w:rsidRPr="002E337E">
        <w:rPr>
          <w:b/>
          <w:bCs/>
          <w:rtl/>
        </w:rPr>
        <w:t>كُتِبَ عَلَيْكُمُ الْقِصَاصُ فِي الْقَتْلَى الْحُرُّ بِالْحُرِّ وَالْعَبْدُ بِالْعَبْدِ وَالأُنثَى بِالأُنثَى</w:t>
      </w:r>
      <w:r w:rsidRPr="002E337E">
        <w:rPr>
          <w:rFonts w:hint="cs"/>
          <w:rtl/>
        </w:rPr>
        <w:sym w:font="Islamic Units 1" w:char="F03C"/>
      </w:r>
      <w:r w:rsidRPr="002E337E">
        <w:rPr>
          <w:rtl/>
        </w:rPr>
        <w:t xml:space="preserve">، وقولُه: </w:t>
      </w:r>
      <w:r w:rsidRPr="002E337E">
        <w:rPr>
          <w:rFonts w:hint="cs"/>
          <w:rtl/>
        </w:rPr>
        <w:sym w:font="Islamic Units 1" w:char="F03E"/>
      </w:r>
      <w:r w:rsidRPr="002E337E">
        <w:rPr>
          <w:b/>
          <w:bCs/>
          <w:rtl/>
        </w:rPr>
        <w:t>وَالْجُرُوحَ قِصَاصٌ</w:t>
      </w:r>
      <w:r w:rsidRPr="00AA2A63">
        <w:rPr>
          <w:rFonts w:cs="AL-Mohanad" w:hint="cs"/>
          <w:rtl/>
        </w:rPr>
        <w:sym w:font="Islamic Units 1" w:char="F03C"/>
      </w:r>
      <w:r>
        <w:rPr>
          <w:rFonts w:cs="AL-Mohanad" w:hint="cs"/>
          <w:b/>
          <w:bCs/>
          <w:rtl/>
        </w:rPr>
        <w:t xml:space="preserve"> </w:t>
      </w:r>
      <w:r w:rsidRPr="00713B4A">
        <w:rPr>
          <w:rtl/>
        </w:rPr>
        <w:t>لم تنسخ»</w:t>
      </w:r>
      <w:r w:rsidRPr="00815C4C">
        <w:rPr>
          <w:rFonts w:cs="Taher"/>
          <w:vertAlign w:val="superscript"/>
          <w:rtl/>
        </w:rPr>
        <w:t>(</w:t>
      </w:r>
      <w:r w:rsidRPr="00815C4C">
        <w:rPr>
          <w:rFonts w:cs="Taher"/>
          <w:vertAlign w:val="superscript"/>
          <w:rtl/>
        </w:rPr>
        <w:footnoteReference w:id="238"/>
      </w:r>
      <w:r w:rsidRPr="00815C4C">
        <w:rPr>
          <w:rFonts w:cs="Taher"/>
          <w:vertAlign w:val="superscript"/>
          <w:rtl/>
        </w:rPr>
        <w:t>)</w:t>
      </w:r>
      <w:r w:rsidRPr="006B7863">
        <w:rPr>
          <w:rFonts w:cs="AL-Mohanad"/>
          <w:b/>
          <w:bCs/>
          <w:rtl/>
        </w:rPr>
        <w:t>.</w:t>
      </w:r>
    </w:p>
    <w:p w:rsidR="00C87E55" w:rsidRDefault="00C87E55" w:rsidP="00C87E55">
      <w:pPr>
        <w:pStyle w:val="ac"/>
        <w:rPr>
          <w:rtl/>
        </w:rPr>
      </w:pPr>
      <w:r w:rsidRPr="006B7863">
        <w:rPr>
          <w:rtl/>
        </w:rPr>
        <w:t>وبناءً عليه، فمخالفة الروايات لهذه الآية لن يغدو مشكلاً بعد فرض كونها منسوخة.</w:t>
      </w:r>
    </w:p>
    <w:p w:rsidR="00C87E55" w:rsidRPr="00935CC0" w:rsidRDefault="00C87E55" w:rsidP="00935CC0">
      <w:pPr>
        <w:pStyle w:val="ac"/>
        <w:rPr>
          <w:b/>
          <w:bCs/>
        </w:rPr>
      </w:pPr>
      <w:r w:rsidRPr="00935CC0">
        <w:rPr>
          <w:b/>
          <w:bCs/>
          <w:rtl/>
        </w:rPr>
        <w:t xml:space="preserve">والجواب عن هذا </w:t>
      </w:r>
      <w:r w:rsidRPr="00935CC0">
        <w:rPr>
          <w:rFonts w:hint="cs"/>
          <w:b/>
          <w:bCs/>
          <w:rtl/>
        </w:rPr>
        <w:t>الانتقاد</w:t>
      </w:r>
      <w:r w:rsidRPr="00935CC0">
        <w:rPr>
          <w:b/>
          <w:bCs/>
          <w:rtl/>
        </w:rPr>
        <w:t>:</w:t>
      </w:r>
    </w:p>
    <w:p w:rsidR="00C87E55" w:rsidRPr="006B7863" w:rsidRDefault="00C87E55" w:rsidP="002E337E">
      <w:pPr>
        <w:pStyle w:val="ac"/>
      </w:pPr>
      <w:r w:rsidRPr="00713B4A">
        <w:rPr>
          <w:b/>
          <w:bCs/>
          <w:rtl/>
        </w:rPr>
        <w:t>أولاً:</w:t>
      </w:r>
      <w:r w:rsidRPr="006B7863">
        <w:rPr>
          <w:rtl/>
        </w:rPr>
        <w:t xml:space="preserve"> إن</w:t>
      </w:r>
      <w:r>
        <w:rPr>
          <w:rFonts w:hint="cs"/>
          <w:rtl/>
        </w:rPr>
        <w:t>ّ</w:t>
      </w:r>
      <w:r w:rsidRPr="006B7863">
        <w:rPr>
          <w:rtl/>
        </w:rPr>
        <w:t xml:space="preserve"> هذه الآية عامة لا تختص</w:t>
      </w:r>
      <w:r>
        <w:rPr>
          <w:rFonts w:hint="cs"/>
          <w:rtl/>
        </w:rPr>
        <w:t>ّ</w:t>
      </w:r>
      <w:r w:rsidRPr="006B7863">
        <w:rPr>
          <w:rtl/>
        </w:rPr>
        <w:t xml:space="preserve"> ببني إسرائيل، يشهد لذلك ذيلها، قال تعالى: </w:t>
      </w:r>
      <w:r w:rsidRPr="00AA2A63">
        <w:rPr>
          <w:rFonts w:hint="cs"/>
          <w:rtl/>
        </w:rPr>
        <w:sym w:font="Islamic Units 1" w:char="F03E"/>
      </w:r>
      <w:r w:rsidRPr="002E337E">
        <w:rPr>
          <w:b/>
          <w:bCs/>
          <w:rtl/>
        </w:rPr>
        <w:t>وَمَن لَّمْ يَحْكُم بِمَا أنزَلَ الله فَأُوْلَـئِكَ هُمُ الظَّالِمُونَ</w:t>
      </w:r>
      <w:r w:rsidRPr="00AA2A63">
        <w:rPr>
          <w:rFonts w:hint="cs"/>
          <w:rtl/>
        </w:rPr>
        <w:sym w:font="Islamic Units 1" w:char="F03C"/>
      </w:r>
      <w:r>
        <w:rPr>
          <w:rFonts w:hint="cs"/>
          <w:rtl/>
        </w:rPr>
        <w:t xml:space="preserve"> (</w:t>
      </w:r>
      <w:r w:rsidRPr="006B7863">
        <w:rPr>
          <w:rtl/>
        </w:rPr>
        <w:t>المائدة: 45</w:t>
      </w:r>
      <w:r>
        <w:rPr>
          <w:rFonts w:hint="cs"/>
          <w:rtl/>
        </w:rPr>
        <w:t>)،</w:t>
      </w:r>
      <w:r w:rsidRPr="006B7863">
        <w:rPr>
          <w:rtl/>
        </w:rPr>
        <w:t xml:space="preserve"> ذلك أن</w:t>
      </w:r>
      <w:r>
        <w:rPr>
          <w:rFonts w:hint="cs"/>
          <w:rtl/>
        </w:rPr>
        <w:t>ّ</w:t>
      </w:r>
      <w:r w:rsidRPr="006B7863">
        <w:rPr>
          <w:rtl/>
        </w:rPr>
        <w:t xml:space="preserve"> عمومية الموصول (من) دالّة على عمومية الحكم.</w:t>
      </w:r>
    </w:p>
    <w:p w:rsidR="00C87E55" w:rsidRPr="006B7863" w:rsidRDefault="00C87E55" w:rsidP="002E337E">
      <w:pPr>
        <w:pStyle w:val="ac"/>
      </w:pPr>
      <w:r w:rsidRPr="00451160">
        <w:rPr>
          <w:b/>
          <w:bCs/>
          <w:rtl/>
        </w:rPr>
        <w:t>ثانياً:</w:t>
      </w:r>
      <w:r w:rsidRPr="006B7863">
        <w:rPr>
          <w:rtl/>
        </w:rPr>
        <w:t xml:space="preserve"> إن</w:t>
      </w:r>
      <w:r>
        <w:rPr>
          <w:rFonts w:hint="cs"/>
          <w:rtl/>
        </w:rPr>
        <w:t>ّ</w:t>
      </w:r>
      <w:r>
        <w:rPr>
          <w:rtl/>
        </w:rPr>
        <w:t xml:space="preserve"> هذه الآية غير منسوخة</w:t>
      </w:r>
      <w:r>
        <w:rPr>
          <w:rFonts w:hint="cs"/>
          <w:rtl/>
        </w:rPr>
        <w:t>؛</w:t>
      </w:r>
      <w:r w:rsidRPr="006B7863">
        <w:rPr>
          <w:rtl/>
        </w:rPr>
        <w:t xml:space="preserve"> إذ ورد عن زرارة عن الإمام الباقر</w:t>
      </w:r>
      <w:r>
        <w:rPr>
          <w:rtl/>
        </w:rPr>
        <w:t xml:space="preserve"> أو </w:t>
      </w:r>
      <w:r w:rsidRPr="006B7863">
        <w:rPr>
          <w:rtl/>
        </w:rPr>
        <w:t>الصادق</w:t>
      </w:r>
      <w:r w:rsidR="002E337E" w:rsidRPr="002E337E">
        <w:rPr>
          <w:rFonts w:hint="cs"/>
          <w:rtl/>
        </w:rPr>
        <w:t>×</w:t>
      </w:r>
      <w:r w:rsidRPr="006B7863">
        <w:rPr>
          <w:rtl/>
        </w:rPr>
        <w:t xml:space="preserve"> أنها من محكمات القرآن، فعن زرارة عن أحدهما</w:t>
      </w:r>
      <w:r w:rsidRPr="00F51544">
        <w:rPr>
          <w:rFonts w:cs="PT Bold Heading" w:hint="cs"/>
          <w:noProof/>
          <w:sz w:val="30"/>
          <w:rtl/>
        </w:rPr>
        <w:sym w:font="Roumouz0" w:char="F027"/>
      </w:r>
      <w:r>
        <w:rPr>
          <w:rFonts w:cs="PT Bold Heading" w:hint="cs"/>
          <w:noProof/>
          <w:sz w:val="30"/>
          <w:rtl/>
        </w:rPr>
        <w:t xml:space="preserve"> </w:t>
      </w:r>
      <w:r w:rsidRPr="00885E99">
        <w:rPr>
          <w:rtl/>
        </w:rPr>
        <w:t>«</w:t>
      </w:r>
      <w:r w:rsidRPr="006B7863">
        <w:rPr>
          <w:rtl/>
        </w:rPr>
        <w:t xml:space="preserve">في قوله عزوجل: </w:t>
      </w:r>
      <w:r w:rsidRPr="00AA2A63">
        <w:rPr>
          <w:rFonts w:hint="cs"/>
          <w:rtl/>
        </w:rPr>
        <w:sym w:font="Islamic Units 1" w:char="F03E"/>
      </w:r>
      <w:r w:rsidRPr="002E337E">
        <w:rPr>
          <w:b/>
          <w:bCs/>
          <w:rtl/>
        </w:rPr>
        <w:t>النَّفْسَ بِالنَّفْسِ وَالْعَيْنَ بِالْعَيْنِ وَالأَنفَ بِالأَنفِ</w:t>
      </w:r>
      <w:r w:rsidRPr="00AA2A63">
        <w:rPr>
          <w:rFonts w:hint="cs"/>
          <w:rtl/>
        </w:rPr>
        <w:sym w:font="Islamic Units 1" w:char="F03C"/>
      </w:r>
      <w:r>
        <w:rPr>
          <w:rFonts w:hint="cs"/>
          <w:rtl/>
        </w:rPr>
        <w:t xml:space="preserve"> </w:t>
      </w:r>
      <w:r w:rsidRPr="006B7863">
        <w:rPr>
          <w:rtl/>
        </w:rPr>
        <w:t>قال: هي محكمة»</w:t>
      </w:r>
      <w:r w:rsidRPr="00815C4C">
        <w:rPr>
          <w:rFonts w:cs="Taher"/>
          <w:vertAlign w:val="superscript"/>
          <w:rtl/>
        </w:rPr>
        <w:t>(</w:t>
      </w:r>
      <w:r w:rsidRPr="00815C4C">
        <w:rPr>
          <w:rFonts w:cs="Taher"/>
          <w:vertAlign w:val="superscript"/>
          <w:rtl/>
        </w:rPr>
        <w:footnoteReference w:id="239"/>
      </w:r>
      <w:r w:rsidRPr="00815C4C">
        <w:rPr>
          <w:rFonts w:cs="Taher"/>
          <w:vertAlign w:val="superscript"/>
          <w:rtl/>
        </w:rPr>
        <w:t>)</w:t>
      </w:r>
      <w:r w:rsidRPr="006B7863">
        <w:rPr>
          <w:rtl/>
        </w:rPr>
        <w:t>.</w:t>
      </w:r>
    </w:p>
    <w:p w:rsidR="00C87E55" w:rsidRPr="006B7863" w:rsidRDefault="00C87E55" w:rsidP="002E337E">
      <w:pPr>
        <w:pStyle w:val="ac"/>
      </w:pPr>
      <w:r w:rsidRPr="006B7863">
        <w:rPr>
          <w:rtl/>
        </w:rPr>
        <w:t>ومن الواضح أن الآية المحكمة لا تكون منسوخة</w:t>
      </w:r>
      <w:r>
        <w:rPr>
          <w:rFonts w:hint="cs"/>
          <w:rtl/>
        </w:rPr>
        <w:t>ً</w:t>
      </w:r>
      <w:r w:rsidRPr="006B7863">
        <w:rPr>
          <w:rtl/>
        </w:rPr>
        <w:t>، كما أن</w:t>
      </w:r>
      <w:r>
        <w:rPr>
          <w:rFonts w:hint="cs"/>
          <w:rtl/>
        </w:rPr>
        <w:t>ّ</w:t>
      </w:r>
      <w:r w:rsidRPr="006B7863">
        <w:rPr>
          <w:rtl/>
        </w:rPr>
        <w:t xml:space="preserve"> رواية علي بن إبراهيم لا يمكن الاعتماد عليها، ذلك أنه لا يُحرز صح</w:t>
      </w:r>
      <w:r>
        <w:rPr>
          <w:rFonts w:hint="cs"/>
          <w:rtl/>
        </w:rPr>
        <w:t>ّ</w:t>
      </w:r>
      <w:r w:rsidRPr="006B7863">
        <w:rPr>
          <w:rtl/>
        </w:rPr>
        <w:t>ة نسبة هذا الكتاب إليه، فضلاً عن أن نسبة هذه المنقولات الواردة فيه</w:t>
      </w:r>
      <w:r>
        <w:rPr>
          <w:rtl/>
        </w:rPr>
        <w:t xml:space="preserve"> إلى </w:t>
      </w:r>
      <w:r w:rsidRPr="006B7863">
        <w:rPr>
          <w:rtl/>
        </w:rPr>
        <w:t>المعصوم</w:t>
      </w:r>
      <w:r w:rsidR="002E337E" w:rsidRPr="002E337E">
        <w:rPr>
          <w:rFonts w:hint="cs"/>
          <w:rtl/>
        </w:rPr>
        <w:t>×</w:t>
      </w:r>
      <w:r w:rsidRPr="006B7863">
        <w:rPr>
          <w:rtl/>
        </w:rPr>
        <w:t xml:space="preserve"> غير ثابتة، كما أن سند هذه الرواية الخاص</w:t>
      </w:r>
      <w:r>
        <w:rPr>
          <w:rFonts w:hint="cs"/>
          <w:rtl/>
        </w:rPr>
        <w:t>ّ</w:t>
      </w:r>
      <w:r w:rsidRPr="006B7863">
        <w:rPr>
          <w:rtl/>
        </w:rPr>
        <w:t>ة بالمقام ضعيف أيضاً.</w:t>
      </w:r>
    </w:p>
    <w:p w:rsidR="00C87E55" w:rsidRPr="006B7863" w:rsidRDefault="00C87E55" w:rsidP="00C87E55">
      <w:pPr>
        <w:pStyle w:val="ac"/>
      </w:pPr>
      <w:r w:rsidRPr="006B7863">
        <w:rPr>
          <w:rtl/>
        </w:rPr>
        <w:t>وقد صرّح محدثون وفقهاء كبار مثل الشيخ الطوسي</w:t>
      </w:r>
      <w:r w:rsidRPr="00815C4C">
        <w:rPr>
          <w:rFonts w:cs="Taher"/>
          <w:vertAlign w:val="superscript"/>
          <w:rtl/>
        </w:rPr>
        <w:t>(</w:t>
      </w:r>
      <w:r w:rsidRPr="00815C4C">
        <w:rPr>
          <w:rFonts w:cs="Taher"/>
          <w:vertAlign w:val="superscript"/>
          <w:rtl/>
        </w:rPr>
        <w:footnoteReference w:id="240"/>
      </w:r>
      <w:r w:rsidRPr="00815C4C">
        <w:rPr>
          <w:rFonts w:cs="Taher"/>
          <w:vertAlign w:val="superscript"/>
          <w:rtl/>
        </w:rPr>
        <w:t>)</w:t>
      </w:r>
      <w:r w:rsidRPr="006B7863">
        <w:rPr>
          <w:rtl/>
        </w:rPr>
        <w:t xml:space="preserve"> والفاضل المقداد السيوري</w:t>
      </w:r>
      <w:r w:rsidRPr="00815C4C">
        <w:rPr>
          <w:rFonts w:cs="Taher"/>
          <w:vertAlign w:val="superscript"/>
          <w:rtl/>
        </w:rPr>
        <w:t>(</w:t>
      </w:r>
      <w:r w:rsidRPr="00815C4C">
        <w:rPr>
          <w:rFonts w:cs="Taher"/>
          <w:vertAlign w:val="superscript"/>
          <w:rtl/>
        </w:rPr>
        <w:footnoteReference w:id="241"/>
      </w:r>
      <w:r w:rsidRPr="00815C4C">
        <w:rPr>
          <w:rFonts w:cs="Taher"/>
          <w:vertAlign w:val="superscript"/>
          <w:rtl/>
        </w:rPr>
        <w:t>)</w:t>
      </w:r>
      <w:r w:rsidRPr="006B7863">
        <w:rPr>
          <w:rtl/>
        </w:rPr>
        <w:t xml:space="preserve"> وسائر المفس</w:t>
      </w:r>
      <w:r>
        <w:rPr>
          <w:rFonts w:hint="cs"/>
          <w:rtl/>
        </w:rPr>
        <w:t>ّ</w:t>
      </w:r>
      <w:r w:rsidRPr="006B7863">
        <w:rPr>
          <w:rtl/>
        </w:rPr>
        <w:t>رين بعدم نسخ هذه الآية.</w:t>
      </w:r>
    </w:p>
    <w:p w:rsidR="00C87E55" w:rsidRPr="006B7863" w:rsidRDefault="00C87E55" w:rsidP="00C87E55">
      <w:pPr>
        <w:pStyle w:val="ac"/>
      </w:pPr>
      <w:r w:rsidRPr="006B7863">
        <w:rPr>
          <w:rtl/>
        </w:rPr>
        <w:t xml:space="preserve">يكتب العلامة الطباطبائي في تفسير الميزان يقول: </w:t>
      </w:r>
      <w:r w:rsidRPr="00885E99">
        <w:rPr>
          <w:rtl/>
        </w:rPr>
        <w:t>«</w:t>
      </w:r>
      <w:r w:rsidRPr="006B7863">
        <w:rPr>
          <w:rtl/>
        </w:rPr>
        <w:t xml:space="preserve">ونسبة هذه الآية: </w:t>
      </w:r>
      <w:r w:rsidRPr="00AA2A63">
        <w:rPr>
          <w:rFonts w:hint="cs"/>
          <w:rtl/>
        </w:rPr>
        <w:sym w:font="Islamic Units 1" w:char="F03E"/>
      </w:r>
      <w:r w:rsidRPr="002E337E">
        <w:rPr>
          <w:b/>
          <w:bCs/>
          <w:rtl/>
        </w:rPr>
        <w:t xml:space="preserve">الْحُرُّ بِالْحُرِّ </w:t>
      </w:r>
      <w:r w:rsidRPr="002E337E">
        <w:rPr>
          <w:b/>
          <w:bCs/>
          <w:rtl/>
        </w:rPr>
        <w:lastRenderedPageBreak/>
        <w:t>وَالْعَبْدُ بِالْعَبْدِ</w:t>
      </w:r>
      <w:r w:rsidRPr="002E337E">
        <w:rPr>
          <w:rFonts w:hint="cs"/>
          <w:b/>
          <w:bCs/>
          <w:rtl/>
        </w:rPr>
        <w:sym w:font="Islamic Units 1" w:char="F03C"/>
      </w:r>
      <w:r w:rsidRPr="002E337E">
        <w:rPr>
          <w:rFonts w:hint="cs"/>
          <w:b/>
          <w:bCs/>
          <w:rtl/>
        </w:rPr>
        <w:t xml:space="preserve"> </w:t>
      </w:r>
      <w:r>
        <w:rPr>
          <w:rFonts w:hint="cs"/>
          <w:rtl/>
        </w:rPr>
        <w:t>(</w:t>
      </w:r>
      <w:r w:rsidRPr="006B7863">
        <w:rPr>
          <w:rtl/>
        </w:rPr>
        <w:t>البقرة: 178</w:t>
      </w:r>
      <w:r>
        <w:rPr>
          <w:rFonts w:hint="cs"/>
          <w:rtl/>
        </w:rPr>
        <w:t>)</w:t>
      </w:r>
      <w:r>
        <w:rPr>
          <w:rtl/>
        </w:rPr>
        <w:t xml:space="preserve"> إلى </w:t>
      </w:r>
      <w:r w:rsidRPr="006B7863">
        <w:rPr>
          <w:rtl/>
        </w:rPr>
        <w:t xml:space="preserve">قوله تعالى: </w:t>
      </w:r>
      <w:r w:rsidRPr="00AA2A63">
        <w:rPr>
          <w:rFonts w:hint="cs"/>
          <w:rtl/>
        </w:rPr>
        <w:sym w:font="Islamic Units 1" w:char="F03E"/>
      </w:r>
      <w:r w:rsidRPr="002E337E">
        <w:rPr>
          <w:b/>
          <w:bCs/>
          <w:rtl/>
        </w:rPr>
        <w:t>أَنَّ النَّفْسَ بِالنَّفْسِ وَالْعَيْنَ بِالْعَيْنِ</w:t>
      </w:r>
      <w:r w:rsidRPr="00AA2A63">
        <w:rPr>
          <w:rFonts w:hint="cs"/>
          <w:rtl/>
        </w:rPr>
        <w:sym w:font="Islamic Units 1" w:char="F03C"/>
      </w:r>
      <w:r>
        <w:rPr>
          <w:rFonts w:hint="cs"/>
          <w:rtl/>
        </w:rPr>
        <w:t xml:space="preserve"> (</w:t>
      </w:r>
      <w:r w:rsidRPr="006B7863">
        <w:rPr>
          <w:rtl/>
        </w:rPr>
        <w:t>المائدة: 45</w:t>
      </w:r>
      <w:r>
        <w:rPr>
          <w:rFonts w:hint="cs"/>
          <w:rtl/>
        </w:rPr>
        <w:t>)</w:t>
      </w:r>
      <w:r w:rsidRPr="006B7863">
        <w:rPr>
          <w:rtl/>
        </w:rPr>
        <w:t>، نسبة التفسير، فلا وجه لما ربما يقال: إن</w:t>
      </w:r>
      <w:r>
        <w:rPr>
          <w:rFonts w:hint="cs"/>
          <w:rtl/>
        </w:rPr>
        <w:t>ّ</w:t>
      </w:r>
      <w:r w:rsidRPr="006B7863">
        <w:rPr>
          <w:rtl/>
        </w:rPr>
        <w:t xml:space="preserve"> هذه الآية ناسخة لتلك الآية، فلا ي</w:t>
      </w:r>
      <w:r>
        <w:rPr>
          <w:rFonts w:hint="cs"/>
          <w:rtl/>
        </w:rPr>
        <w:t>ُ</w:t>
      </w:r>
      <w:r w:rsidRPr="006B7863">
        <w:rPr>
          <w:rtl/>
        </w:rPr>
        <w:t>قتل حرّ بعبد ولا رجل ب</w:t>
      </w:r>
      <w:r>
        <w:rPr>
          <w:rFonts w:hint="cs"/>
          <w:rtl/>
        </w:rPr>
        <w:t>ا</w:t>
      </w:r>
      <w:r>
        <w:rPr>
          <w:rtl/>
        </w:rPr>
        <w:t>مر</w:t>
      </w:r>
      <w:r w:rsidRPr="006B7863">
        <w:rPr>
          <w:rtl/>
        </w:rPr>
        <w:t>أة»</w:t>
      </w:r>
      <w:r w:rsidRPr="00815C4C">
        <w:rPr>
          <w:rFonts w:cs="Taher"/>
          <w:vertAlign w:val="superscript"/>
          <w:rtl/>
        </w:rPr>
        <w:t>(</w:t>
      </w:r>
      <w:r w:rsidRPr="00815C4C">
        <w:rPr>
          <w:rFonts w:cs="Taher"/>
          <w:vertAlign w:val="superscript"/>
          <w:rtl/>
        </w:rPr>
        <w:footnoteReference w:id="242"/>
      </w:r>
      <w:r w:rsidRPr="00815C4C">
        <w:rPr>
          <w:rFonts w:cs="Taher"/>
          <w:vertAlign w:val="superscript"/>
          <w:rtl/>
        </w:rPr>
        <w:t>)</w:t>
      </w:r>
      <w:r w:rsidRPr="006B7863">
        <w:rPr>
          <w:rtl/>
        </w:rPr>
        <w:t>.</w:t>
      </w:r>
    </w:p>
    <w:p w:rsidR="00C87E55" w:rsidRPr="006B7863" w:rsidRDefault="00C87E55" w:rsidP="00AB3AAA">
      <w:pPr>
        <w:pStyle w:val="ac"/>
        <w:spacing w:line="206" w:lineRule="auto"/>
      </w:pPr>
      <w:r w:rsidRPr="006B7863">
        <w:rPr>
          <w:rtl/>
        </w:rPr>
        <w:t>وبناءً عليه، تبي</w:t>
      </w:r>
      <w:r>
        <w:rPr>
          <w:rFonts w:hint="cs"/>
          <w:rtl/>
        </w:rPr>
        <w:t>ّ</w:t>
      </w:r>
      <w:r w:rsidRPr="006B7863">
        <w:rPr>
          <w:rtl/>
        </w:rPr>
        <w:t>ن آية سورة البقرة المصاديق، وتقع في مقام نفي بعض الأوهام والخرافات الجاهلية في مجال القصاص، كما أشرنا</w:t>
      </w:r>
      <w:r>
        <w:rPr>
          <w:rtl/>
        </w:rPr>
        <w:t xml:space="preserve"> إلى </w:t>
      </w:r>
      <w:r w:rsidRPr="006B7863">
        <w:rPr>
          <w:rtl/>
        </w:rPr>
        <w:t>ذلك من قبل.</w:t>
      </w:r>
    </w:p>
    <w:p w:rsidR="00C87E55" w:rsidRPr="006B7863" w:rsidRDefault="00C87E55" w:rsidP="00AB3AAA">
      <w:pPr>
        <w:pStyle w:val="ac"/>
        <w:spacing w:line="206" w:lineRule="auto"/>
      </w:pPr>
      <w:r w:rsidRPr="00451160">
        <w:rPr>
          <w:b/>
          <w:bCs/>
          <w:rtl/>
        </w:rPr>
        <w:t>الطائفة الثالثة:</w:t>
      </w:r>
      <w:r w:rsidRPr="006B7863">
        <w:rPr>
          <w:rtl/>
        </w:rPr>
        <w:t xml:space="preserve"> قوله تعالى: </w:t>
      </w:r>
      <w:r w:rsidRPr="00AA2A63">
        <w:rPr>
          <w:rFonts w:hint="cs"/>
          <w:rtl/>
        </w:rPr>
        <w:sym w:font="Islamic Units 1" w:char="F03E"/>
      </w:r>
      <w:r w:rsidRPr="002E337E">
        <w:rPr>
          <w:b/>
          <w:bCs/>
          <w:rtl/>
        </w:rPr>
        <w:t>وَلَكُمْ فِي الْقِصَاصِ حَيَاةٌ يَاْ أُولِيْ الأَلْبَابِ لَعَلَّكُمْ تَتَّقُونَ</w:t>
      </w:r>
      <w:r w:rsidRPr="00AA2A63">
        <w:rPr>
          <w:rFonts w:hint="cs"/>
          <w:rtl/>
        </w:rPr>
        <w:sym w:font="Islamic Units 1" w:char="F03C"/>
      </w:r>
      <w:r>
        <w:rPr>
          <w:rFonts w:hint="cs"/>
          <w:rtl/>
        </w:rPr>
        <w:t xml:space="preserve"> (</w:t>
      </w:r>
      <w:r w:rsidRPr="006B7863">
        <w:rPr>
          <w:rtl/>
        </w:rPr>
        <w:t>البقرة: 179</w:t>
      </w:r>
      <w:r>
        <w:rPr>
          <w:rFonts w:hint="cs"/>
          <w:rtl/>
        </w:rPr>
        <w:t>)؛ ف</w:t>
      </w:r>
      <w:r w:rsidRPr="006B7863">
        <w:rPr>
          <w:rtl/>
        </w:rPr>
        <w:t>معنى الآية ـ بتوضيح ما ـ أن</w:t>
      </w:r>
      <w:r>
        <w:rPr>
          <w:rFonts w:hint="cs"/>
          <w:rtl/>
        </w:rPr>
        <w:t>ّ</w:t>
      </w:r>
      <w:r w:rsidRPr="006B7863">
        <w:rPr>
          <w:rtl/>
        </w:rPr>
        <w:t xml:space="preserve"> القصاص، ويعني المقابلة بالمثل، لا يمكن تحق</w:t>
      </w:r>
      <w:r>
        <w:rPr>
          <w:rFonts w:hint="cs"/>
          <w:rtl/>
        </w:rPr>
        <w:t>ّ</w:t>
      </w:r>
      <w:r w:rsidRPr="006B7863">
        <w:rPr>
          <w:rtl/>
        </w:rPr>
        <w:t xml:space="preserve">قه إلاّ إذا اكتفي في مورد قتل الرجل والمرأة بالقتل فقط، أي أنه إذا قتل رجلٌ </w:t>
      </w:r>
      <w:r>
        <w:rPr>
          <w:rFonts w:hint="cs"/>
          <w:rtl/>
        </w:rPr>
        <w:t>ا</w:t>
      </w:r>
      <w:r>
        <w:rPr>
          <w:rtl/>
        </w:rPr>
        <w:t>مر</w:t>
      </w:r>
      <w:r w:rsidRPr="006B7863">
        <w:rPr>
          <w:rtl/>
        </w:rPr>
        <w:t>أة</w:t>
      </w:r>
      <w:r>
        <w:rPr>
          <w:rtl/>
        </w:rPr>
        <w:t xml:space="preserve"> أو </w:t>
      </w:r>
      <w:r w:rsidRPr="006B7863">
        <w:rPr>
          <w:rtl/>
        </w:rPr>
        <w:t>قتلت</w:t>
      </w:r>
      <w:r>
        <w:rPr>
          <w:rtl/>
        </w:rPr>
        <w:t xml:space="preserve"> المرأة </w:t>
      </w:r>
      <w:r w:rsidRPr="006B7863">
        <w:rPr>
          <w:rtl/>
        </w:rPr>
        <w:t>رجلاً فإنهما يقتلان بفعلهما، أما إذا حصلت ضميمة</w:t>
      </w:r>
      <w:r>
        <w:rPr>
          <w:rFonts w:hint="cs"/>
          <w:rtl/>
        </w:rPr>
        <w:t>ٌ</w:t>
      </w:r>
      <w:r>
        <w:rPr>
          <w:rtl/>
        </w:rPr>
        <w:t xml:space="preserve"> إلى </w:t>
      </w:r>
      <w:r w:rsidRPr="006B7863">
        <w:rPr>
          <w:rtl/>
        </w:rPr>
        <w:t>جانب القتل، كما هو رأي المشهور في قصاص الرجل، حيث يذهبون</w:t>
      </w:r>
      <w:r>
        <w:rPr>
          <w:rtl/>
        </w:rPr>
        <w:t xml:space="preserve"> إلى </w:t>
      </w:r>
      <w:r w:rsidRPr="006B7863">
        <w:rPr>
          <w:rtl/>
        </w:rPr>
        <w:t>لزوم إعطاء أوليائه نصف دية ال</w:t>
      </w:r>
      <w:r>
        <w:rPr>
          <w:rtl/>
        </w:rPr>
        <w:t>إنسان</w:t>
      </w:r>
      <w:r w:rsidRPr="006B7863">
        <w:rPr>
          <w:rtl/>
        </w:rPr>
        <w:t xml:space="preserve"> كاملةً.. فإن</w:t>
      </w:r>
      <w:r>
        <w:rPr>
          <w:rFonts w:hint="cs"/>
          <w:rtl/>
        </w:rPr>
        <w:t>ّ</w:t>
      </w:r>
      <w:r w:rsidRPr="006B7863">
        <w:rPr>
          <w:rtl/>
        </w:rPr>
        <w:t xml:space="preserve"> المقابلة بالمثل لا تتحق</w:t>
      </w:r>
      <w:r>
        <w:rPr>
          <w:rFonts w:hint="cs"/>
          <w:rtl/>
        </w:rPr>
        <w:t>ّ</w:t>
      </w:r>
      <w:r w:rsidRPr="006B7863">
        <w:rPr>
          <w:rtl/>
        </w:rPr>
        <w:t>ق.</w:t>
      </w:r>
    </w:p>
    <w:p w:rsidR="00C87E55" w:rsidRPr="006B7863" w:rsidRDefault="00C87E55" w:rsidP="00AB3AAA">
      <w:pPr>
        <w:pStyle w:val="ac"/>
        <w:spacing w:line="206" w:lineRule="auto"/>
      </w:pPr>
      <w:r w:rsidRPr="00C12F2C">
        <w:rPr>
          <w:b/>
          <w:bCs/>
          <w:rtl/>
        </w:rPr>
        <w:t>وخلاصة القول:</w:t>
      </w:r>
      <w:r w:rsidRPr="006B7863">
        <w:rPr>
          <w:rtl/>
        </w:rPr>
        <w:t xml:space="preserve"> إن</w:t>
      </w:r>
      <w:r>
        <w:rPr>
          <w:rFonts w:hint="cs"/>
          <w:rtl/>
        </w:rPr>
        <w:t>ّ</w:t>
      </w:r>
      <w:r w:rsidRPr="006B7863">
        <w:rPr>
          <w:rtl/>
        </w:rPr>
        <w:t xml:space="preserve"> الأخبار والروايات التي ذكرناها تخالف هذه الطوائف القرآنية الثلاث، ومن ثم يجب طرحها جانباً، ولا يمكن الاعتماد على مثلها في الحكم والإفتاء.</w:t>
      </w:r>
    </w:p>
    <w:p w:rsidR="00C87E55" w:rsidRPr="006B7863" w:rsidRDefault="00C87E55" w:rsidP="00AB3AAA">
      <w:pPr>
        <w:pStyle w:val="ac"/>
        <w:spacing w:line="206" w:lineRule="auto"/>
      </w:pPr>
      <w:r w:rsidRPr="006B7863">
        <w:rPr>
          <w:rtl/>
        </w:rPr>
        <w:t>إلاّ أن انتقادات وإيرادات وشبهات يمكن أن تسجّل على استدلالنا هذا،</w:t>
      </w:r>
      <w:r>
        <w:rPr>
          <w:rtl/>
        </w:rPr>
        <w:t xml:space="preserve"> لابد </w:t>
      </w:r>
      <w:r w:rsidRPr="006B7863">
        <w:rPr>
          <w:rtl/>
        </w:rPr>
        <w:t>لنا من ذكرها، ثم نقدها والجواب عنها</w:t>
      </w:r>
      <w:r>
        <w:rPr>
          <w:rFonts w:hint="cs"/>
          <w:rtl/>
        </w:rPr>
        <w:t>،</w:t>
      </w:r>
      <w:r w:rsidRPr="006B7863">
        <w:rPr>
          <w:rtl/>
        </w:rPr>
        <w:t xml:space="preserve"> وهي:</w:t>
      </w:r>
    </w:p>
    <w:p w:rsidR="00C87E55" w:rsidRPr="006B7863" w:rsidRDefault="00C87E55" w:rsidP="00AB3AAA">
      <w:pPr>
        <w:pStyle w:val="ac"/>
        <w:spacing w:line="209" w:lineRule="auto"/>
      </w:pPr>
      <w:r w:rsidRPr="00C12F2C">
        <w:rPr>
          <w:b/>
          <w:bCs/>
          <w:rtl/>
        </w:rPr>
        <w:t>الملاحظة الأولى:</w:t>
      </w:r>
      <w:r w:rsidRPr="006B7863">
        <w:rPr>
          <w:rtl/>
        </w:rPr>
        <w:t xml:space="preserve"> إن</w:t>
      </w:r>
      <w:r>
        <w:rPr>
          <w:rFonts w:hint="cs"/>
          <w:rtl/>
        </w:rPr>
        <w:t>ّ</w:t>
      </w:r>
      <w:r w:rsidRPr="006B7863">
        <w:rPr>
          <w:rtl/>
        </w:rPr>
        <w:t xml:space="preserve"> النسبة بين الأخبار القائلة بالتمييز في القصاص وبين الآيات المذكورة المدّعى وقوع التنافي معها، هي نسبة الإطلاق والتقييد، بمعنى أن آيات القصاص تشرّع القاعدة العامة والصورة الكلية والقانون المطلق فيه، فتبي</w:t>
      </w:r>
      <w:r>
        <w:rPr>
          <w:rFonts w:hint="cs"/>
          <w:rtl/>
        </w:rPr>
        <w:t>ّ</w:t>
      </w:r>
      <w:r w:rsidRPr="006B7863">
        <w:rPr>
          <w:rtl/>
        </w:rPr>
        <w:t>ن قانون التساوي في القصاص، أم</w:t>
      </w:r>
      <w:r>
        <w:rPr>
          <w:rFonts w:hint="cs"/>
          <w:rtl/>
        </w:rPr>
        <w:t>ّ</w:t>
      </w:r>
      <w:r w:rsidRPr="006B7863">
        <w:rPr>
          <w:rtl/>
        </w:rPr>
        <w:t>ا الروايات والأخبار فتقيّدها في بعض الصور، كصورة القصاص من الرجل القاتل، حيث تشير</w:t>
      </w:r>
      <w:r>
        <w:rPr>
          <w:rtl/>
        </w:rPr>
        <w:t xml:space="preserve"> إلى </w:t>
      </w:r>
      <w:r w:rsidRPr="006B7863">
        <w:rPr>
          <w:rtl/>
        </w:rPr>
        <w:t>ضرورة دفع نصف الدية في مورده.</w:t>
      </w:r>
    </w:p>
    <w:p w:rsidR="00C87E55" w:rsidRPr="006B7863" w:rsidRDefault="00C87E55" w:rsidP="00AB3AAA">
      <w:pPr>
        <w:pStyle w:val="ac"/>
        <w:spacing w:line="206" w:lineRule="auto"/>
      </w:pPr>
      <w:r w:rsidRPr="006B7863">
        <w:rPr>
          <w:rtl/>
        </w:rPr>
        <w:t>ومن الواضح أن</w:t>
      </w:r>
      <w:r>
        <w:rPr>
          <w:rFonts w:hint="cs"/>
          <w:rtl/>
        </w:rPr>
        <w:t>ّ</w:t>
      </w:r>
      <w:r w:rsidRPr="006B7863">
        <w:rPr>
          <w:rtl/>
        </w:rPr>
        <w:t xml:space="preserve"> علاقة الإطلاق والتقييد لا تعني ـ على الإطلاق ـ أي مخالفة</w:t>
      </w:r>
      <w:r>
        <w:rPr>
          <w:rtl/>
        </w:rPr>
        <w:t xml:space="preserve"> أو </w:t>
      </w:r>
      <w:r w:rsidRPr="006B7863">
        <w:rPr>
          <w:rtl/>
        </w:rPr>
        <w:t xml:space="preserve">مغايرة حتى تسقط هذه الروايات المقيّدة عن الحجية والاعتبار، وبعبارة </w:t>
      </w:r>
      <w:r>
        <w:rPr>
          <w:rtl/>
        </w:rPr>
        <w:t>أخرى</w:t>
      </w:r>
      <w:r w:rsidRPr="006B7863">
        <w:rPr>
          <w:rtl/>
        </w:rPr>
        <w:t xml:space="preserve">: كلّما </w:t>
      </w:r>
      <w:r w:rsidRPr="006B7863">
        <w:rPr>
          <w:rtl/>
        </w:rPr>
        <w:lastRenderedPageBreak/>
        <w:t>كانت المخالفة بين الآيات والروايات على نحو التباين الكلي لزم طرح الأخبار المخالفة للقرآن جانباً، أم</w:t>
      </w:r>
      <w:r>
        <w:rPr>
          <w:rFonts w:hint="cs"/>
          <w:rtl/>
        </w:rPr>
        <w:t>ّ</w:t>
      </w:r>
      <w:r w:rsidRPr="006B7863">
        <w:rPr>
          <w:rtl/>
        </w:rPr>
        <w:t>ا إذا كانت هذه المخالفة على نحو العموم والخصوص المطلق، فإن العلاقة بين الآيات والروايات سوف تغدو علاقة الإطلاق والتقييد، مم</w:t>
      </w:r>
      <w:r>
        <w:rPr>
          <w:rFonts w:hint="cs"/>
          <w:rtl/>
        </w:rPr>
        <w:t>ّ</w:t>
      </w:r>
      <w:r w:rsidRPr="006B7863">
        <w:rPr>
          <w:rtl/>
        </w:rPr>
        <w:t>ا يعني أن خروج الحكم المقي</w:t>
      </w:r>
      <w:r>
        <w:rPr>
          <w:rFonts w:hint="cs"/>
          <w:rtl/>
        </w:rPr>
        <w:t>ّ</w:t>
      </w:r>
      <w:r w:rsidRPr="006B7863">
        <w:rPr>
          <w:rtl/>
        </w:rPr>
        <w:t>د عن دائرة الحكم الكلي العام ليس نحواً من المخالفة للكتاب.</w:t>
      </w:r>
    </w:p>
    <w:p w:rsidR="00C87E55" w:rsidRPr="006B7863" w:rsidRDefault="00C87E55" w:rsidP="00C87E55">
      <w:pPr>
        <w:pStyle w:val="ac"/>
      </w:pPr>
      <w:r w:rsidRPr="00C12F2C">
        <w:rPr>
          <w:b/>
          <w:bCs/>
          <w:rtl/>
        </w:rPr>
        <w:t>والجواب:</w:t>
      </w:r>
      <w:r>
        <w:rPr>
          <w:rtl/>
        </w:rPr>
        <w:t xml:space="preserve"> </w:t>
      </w:r>
      <w:r>
        <w:rPr>
          <w:rFonts w:hint="cs"/>
          <w:rtl/>
        </w:rPr>
        <w:t>إ</w:t>
      </w:r>
      <w:r w:rsidRPr="006B7863">
        <w:rPr>
          <w:rtl/>
        </w:rPr>
        <w:t>ن</w:t>
      </w:r>
      <w:r>
        <w:rPr>
          <w:rFonts w:hint="cs"/>
          <w:rtl/>
        </w:rPr>
        <w:t>ّ</w:t>
      </w:r>
      <w:r>
        <w:rPr>
          <w:rtl/>
        </w:rPr>
        <w:t xml:space="preserve"> بعض الإطلاقات ربما تج</w:t>
      </w:r>
      <w:r>
        <w:rPr>
          <w:rFonts w:hint="cs"/>
          <w:rtl/>
        </w:rPr>
        <w:t>يء</w:t>
      </w:r>
      <w:r w:rsidRPr="006B7863">
        <w:rPr>
          <w:rtl/>
        </w:rPr>
        <w:t xml:space="preserve"> آبيةً عن التقييد والاستثناء، فهل يمكن القول: إن الله تعالى لا يظلم عباده كما نصّ على ذلك: </w:t>
      </w:r>
      <w:r w:rsidRPr="00AA2A63">
        <w:rPr>
          <w:rFonts w:hint="cs"/>
          <w:rtl/>
        </w:rPr>
        <w:sym w:font="Islamic Units 1" w:char="F03E"/>
      </w:r>
      <w:r w:rsidRPr="002E337E">
        <w:rPr>
          <w:b/>
          <w:bCs/>
          <w:rtl/>
        </w:rPr>
        <w:t>وَمَا رَبُّكَ بِظَلام لِّلْعَبِيدِ</w:t>
      </w:r>
      <w:r w:rsidRPr="00AA2A63">
        <w:rPr>
          <w:rFonts w:hint="cs"/>
          <w:rtl/>
        </w:rPr>
        <w:sym w:font="Islamic Units 1" w:char="F03C"/>
      </w:r>
      <w:r>
        <w:rPr>
          <w:rFonts w:hint="cs"/>
          <w:rtl/>
        </w:rPr>
        <w:t xml:space="preserve"> (</w:t>
      </w:r>
      <w:r w:rsidRPr="006B7863">
        <w:rPr>
          <w:rtl/>
        </w:rPr>
        <w:t>فصلت: 46، آل عمران: 182، الأنفال: 51، الحج: 10، ق: 29</w:t>
      </w:r>
      <w:r>
        <w:rPr>
          <w:rFonts w:hint="cs"/>
          <w:rtl/>
        </w:rPr>
        <w:t>)</w:t>
      </w:r>
      <w:r w:rsidRPr="006B7863">
        <w:rPr>
          <w:rtl/>
        </w:rPr>
        <w:t>، إلاّ في مورد قصاص الرجل والمرأة، فيكون ظالماً لهم؟!! هل يمكن القول</w:t>
      </w:r>
      <w:r>
        <w:rPr>
          <w:rFonts w:hint="cs"/>
          <w:rtl/>
        </w:rPr>
        <w:t>:</w:t>
      </w:r>
      <w:r w:rsidRPr="006B7863">
        <w:rPr>
          <w:rtl/>
        </w:rPr>
        <w:t xml:space="preserve"> إن</w:t>
      </w:r>
      <w:r>
        <w:rPr>
          <w:rFonts w:hint="cs"/>
          <w:rtl/>
        </w:rPr>
        <w:t>ّ</w:t>
      </w:r>
      <w:r w:rsidRPr="006B7863">
        <w:rPr>
          <w:rtl/>
        </w:rPr>
        <w:t xml:space="preserve"> حكم الله تعالى قائم على الحق والحقيقة، كما قال: </w:t>
      </w:r>
      <w:r w:rsidRPr="00AA2A63">
        <w:rPr>
          <w:rFonts w:hint="cs"/>
          <w:rtl/>
        </w:rPr>
        <w:sym w:font="Islamic Units 1" w:char="F03E"/>
      </w:r>
      <w:r w:rsidRPr="0098342A">
        <w:rPr>
          <w:b/>
          <w:bCs/>
          <w:rtl/>
        </w:rPr>
        <w:t>اِنِ الْحُكْمُ إِلاَّ لِلّهِ يَقُصُّ</w:t>
      </w:r>
      <w:r w:rsidRPr="0098342A">
        <w:rPr>
          <w:rFonts w:hint="cs"/>
          <w:b/>
          <w:bCs/>
          <w:rtl/>
        </w:rPr>
        <w:t>...</w:t>
      </w:r>
      <w:r w:rsidRPr="00AA2A63">
        <w:rPr>
          <w:rFonts w:hint="cs"/>
          <w:rtl/>
        </w:rPr>
        <w:sym w:font="Islamic Units 1" w:char="F03C"/>
      </w:r>
      <w:r>
        <w:rPr>
          <w:rFonts w:hint="cs"/>
          <w:rtl/>
        </w:rPr>
        <w:t xml:space="preserve"> </w:t>
      </w:r>
      <w:r w:rsidRPr="006B7863">
        <w:rPr>
          <w:rtl/>
        </w:rPr>
        <w:t>إلاّ في مورد قصاص الرجل والمرأة، بحيث لا يكون حكمه هناك على الحق!!؟</w:t>
      </w:r>
    </w:p>
    <w:p w:rsidR="00C87E55" w:rsidRPr="006B7863" w:rsidRDefault="00C87E55" w:rsidP="00C87E55">
      <w:pPr>
        <w:pStyle w:val="ac"/>
      </w:pPr>
      <w:r w:rsidRPr="006B7863">
        <w:rPr>
          <w:rtl/>
        </w:rPr>
        <w:t>فالإباء عن التقييد يعني أن</w:t>
      </w:r>
      <w:r>
        <w:rPr>
          <w:rFonts w:hint="cs"/>
          <w:rtl/>
        </w:rPr>
        <w:t>ّ</w:t>
      </w:r>
      <w:r w:rsidRPr="006B7863">
        <w:rPr>
          <w:rtl/>
        </w:rPr>
        <w:t xml:space="preserve"> العرف يرى نسبة هذا الاستثناء</w:t>
      </w:r>
      <w:r>
        <w:rPr>
          <w:rtl/>
        </w:rPr>
        <w:t xml:space="preserve"> إلى </w:t>
      </w:r>
      <w:r w:rsidRPr="006B7863">
        <w:rPr>
          <w:rtl/>
        </w:rPr>
        <w:t>الله تعالى وإلى أئمة الدين ـ وهم حافظو ال</w:t>
      </w:r>
      <w:r>
        <w:rPr>
          <w:rtl/>
        </w:rPr>
        <w:t>أحكام</w:t>
      </w:r>
      <w:r w:rsidRPr="006B7863">
        <w:rPr>
          <w:rtl/>
        </w:rPr>
        <w:t xml:space="preserve"> والحدود الإلهية ـ قبيحاً.</w:t>
      </w:r>
    </w:p>
    <w:p w:rsidR="00C87E55" w:rsidRPr="006B7863" w:rsidRDefault="00C87E55" w:rsidP="00AB3AAA">
      <w:pPr>
        <w:pStyle w:val="ac"/>
      </w:pPr>
      <w:r w:rsidRPr="00BF4733">
        <w:rPr>
          <w:b/>
          <w:bCs/>
          <w:rtl/>
        </w:rPr>
        <w:t>الملاحظة الثانية:</w:t>
      </w:r>
      <w:r w:rsidRPr="00DA5264">
        <w:rPr>
          <w:rtl/>
        </w:rPr>
        <w:t xml:space="preserve"> </w:t>
      </w:r>
      <w:r w:rsidRPr="00AB3AAA">
        <w:rPr>
          <w:sz w:val="26"/>
          <w:szCs w:val="28"/>
          <w:rtl/>
        </w:rPr>
        <w:t>إن</w:t>
      </w:r>
      <w:r w:rsidRPr="00AB3AAA">
        <w:rPr>
          <w:rFonts w:hint="cs"/>
          <w:sz w:val="26"/>
          <w:szCs w:val="28"/>
          <w:rtl/>
        </w:rPr>
        <w:t>ّ</w:t>
      </w:r>
      <w:r w:rsidRPr="00AB3AAA">
        <w:rPr>
          <w:sz w:val="26"/>
          <w:szCs w:val="28"/>
          <w:rtl/>
        </w:rPr>
        <w:t xml:space="preserve"> المخاطب </w:t>
      </w:r>
      <w:r w:rsidRPr="006B7863">
        <w:rPr>
          <w:rtl/>
        </w:rPr>
        <w:t>الرئيس في الآيات القرآنية هم الأئمة</w:t>
      </w:r>
      <w:r w:rsidR="00AB3AAA">
        <w:rPr>
          <w:rFonts w:hint="cs"/>
          <w:rtl/>
        </w:rPr>
        <w:t xml:space="preserve"> </w:t>
      </w:r>
      <w:r w:rsidRPr="006B7863">
        <w:rPr>
          <w:rtl/>
        </w:rPr>
        <w:t>المعصومون</w:t>
      </w:r>
      <w:r w:rsidR="005067D6" w:rsidRPr="00AB3AAA">
        <w:rPr>
          <w:rFonts w:hint="cs"/>
          <w:sz w:val="26"/>
          <w:szCs w:val="28"/>
          <w:rtl/>
        </w:rPr>
        <w:t>^</w:t>
      </w:r>
      <w:r w:rsidRPr="006B7863">
        <w:rPr>
          <w:rtl/>
        </w:rPr>
        <w:t>، وإذا ما صدر عنهم رواية</w:t>
      </w:r>
      <w:r>
        <w:rPr>
          <w:rtl/>
        </w:rPr>
        <w:t xml:space="preserve"> أو </w:t>
      </w:r>
      <w:r w:rsidRPr="006B7863">
        <w:rPr>
          <w:rtl/>
        </w:rPr>
        <w:t>حديث نظن</w:t>
      </w:r>
      <w:r>
        <w:rPr>
          <w:rFonts w:hint="cs"/>
          <w:rtl/>
        </w:rPr>
        <w:t>ّ</w:t>
      </w:r>
      <w:r w:rsidRPr="006B7863">
        <w:rPr>
          <w:rtl/>
        </w:rPr>
        <w:t>ه نحن مخالفاً للقرآن، فإن</w:t>
      </w:r>
      <w:r>
        <w:rPr>
          <w:rFonts w:hint="cs"/>
          <w:rtl/>
        </w:rPr>
        <w:t>ّ</w:t>
      </w:r>
      <w:r w:rsidRPr="006B7863">
        <w:rPr>
          <w:rtl/>
        </w:rPr>
        <w:t xml:space="preserve"> هذا يعني أن مضمون هذا الحديث لم يكن ـ من وجهة نظرهم ـ مخالفاً للكتاب، وعندما لا يكون كذلك لا يسقط عن الاعتبار والحجية، ومعنى ذلك وحصيلته: إمكان الأخذ بهذه الروايات والعمل على وفقها.</w:t>
      </w:r>
    </w:p>
    <w:p w:rsidR="00C87E55" w:rsidRPr="006B7863" w:rsidRDefault="00C87E55" w:rsidP="00AB3AAA">
      <w:pPr>
        <w:pStyle w:val="ac"/>
        <w:spacing w:line="209" w:lineRule="auto"/>
      </w:pPr>
      <w:r w:rsidRPr="00BF4733">
        <w:rPr>
          <w:b/>
          <w:bCs/>
          <w:rtl/>
        </w:rPr>
        <w:t>والجواب:</w:t>
      </w:r>
      <w:r w:rsidRPr="006B7863">
        <w:rPr>
          <w:rtl/>
        </w:rPr>
        <w:t xml:space="preserve"> إن</w:t>
      </w:r>
      <w:r>
        <w:rPr>
          <w:rFonts w:hint="cs"/>
          <w:rtl/>
        </w:rPr>
        <w:t>ّ</w:t>
      </w:r>
      <w:r w:rsidRPr="006B7863">
        <w:rPr>
          <w:rtl/>
        </w:rPr>
        <w:t xml:space="preserve"> عرض الحديث على الكتاب إنما جاء لتمييز الأحاديث المعتبرة عن غيرها، ولكشف الأحاديث الباطلة، فلكي نكتشف الروايات المجعولة على لسان النبي</w:t>
      </w:r>
      <w:r w:rsidR="00C86626">
        <w:rPr>
          <w:rFonts w:hint="cs"/>
          <w:rtl/>
        </w:rPr>
        <w:t>’</w:t>
      </w:r>
      <w:r w:rsidRPr="006B7863">
        <w:rPr>
          <w:rtl/>
        </w:rPr>
        <w:t xml:space="preserve"> والأئمة</w:t>
      </w:r>
      <w:r w:rsidR="0098342A" w:rsidRPr="0098342A">
        <w:rPr>
          <w:rFonts w:hint="cs"/>
          <w:rtl/>
          <w:lang w:eastAsia="ar-SA"/>
        </w:rPr>
        <w:t>^</w:t>
      </w:r>
      <w:r w:rsidRPr="006B7863">
        <w:rPr>
          <w:rtl/>
        </w:rPr>
        <w:t xml:space="preserve"> منحنا أهل</w:t>
      </w:r>
      <w:r>
        <w:rPr>
          <w:rFonts w:hint="cs"/>
          <w:rtl/>
        </w:rPr>
        <w:t>ُ</w:t>
      </w:r>
      <w:r w:rsidRPr="006B7863">
        <w:rPr>
          <w:rtl/>
        </w:rPr>
        <w:t xml:space="preserve"> البيت</w:t>
      </w:r>
      <w:r w:rsidR="0098342A" w:rsidRPr="0098342A">
        <w:rPr>
          <w:rFonts w:hint="cs"/>
          <w:rtl/>
          <w:lang w:eastAsia="ar-SA"/>
        </w:rPr>
        <w:t>^</w:t>
      </w:r>
      <w:r w:rsidRPr="006B7863">
        <w:rPr>
          <w:rtl/>
        </w:rPr>
        <w:t xml:space="preserve"> سبيلاً ومعياراً يمكن عبره الوقوف على مدسوس الأخبار، فالمخاطب بأخبار العرض عرف المسلمين، فإذا ما رأى هذا العرف خبراً</w:t>
      </w:r>
      <w:r>
        <w:rPr>
          <w:rtl/>
        </w:rPr>
        <w:t xml:space="preserve"> أو </w:t>
      </w:r>
      <w:r w:rsidRPr="006B7863">
        <w:rPr>
          <w:rtl/>
        </w:rPr>
        <w:t>روايةً مخالفةً للكتاب بعد عرضها عليه، كان لزاماً عليه طرحها وإقصاؤها، أما إذا قلنا بأن تحديد مخالفة رواية</w:t>
      </w:r>
      <w:r>
        <w:rPr>
          <w:rFonts w:hint="cs"/>
          <w:rtl/>
        </w:rPr>
        <w:t>ٍ</w:t>
      </w:r>
      <w:r w:rsidRPr="006B7863">
        <w:rPr>
          <w:rtl/>
        </w:rPr>
        <w:t xml:space="preserve"> للكتاب </w:t>
      </w:r>
      <w:r>
        <w:rPr>
          <w:rtl/>
        </w:rPr>
        <w:t>أمر</w:t>
      </w:r>
      <w:r>
        <w:rPr>
          <w:rFonts w:hint="cs"/>
          <w:rtl/>
        </w:rPr>
        <w:t>ٌ</w:t>
      </w:r>
      <w:r w:rsidRPr="006B7863">
        <w:rPr>
          <w:rtl/>
        </w:rPr>
        <w:t xml:space="preserve"> يتكفل به النبي</w:t>
      </w:r>
      <w:r w:rsidR="00C86626">
        <w:rPr>
          <w:rFonts w:hint="cs"/>
          <w:rtl/>
        </w:rPr>
        <w:t>’</w:t>
      </w:r>
      <w:r>
        <w:rPr>
          <w:rFonts w:hint="cs"/>
          <w:rtl/>
        </w:rPr>
        <w:t xml:space="preserve"> </w:t>
      </w:r>
      <w:r w:rsidRPr="006B7863">
        <w:rPr>
          <w:rtl/>
        </w:rPr>
        <w:t>والأئمة</w:t>
      </w:r>
      <w:r w:rsidR="0098342A" w:rsidRPr="0098342A">
        <w:rPr>
          <w:rFonts w:hint="cs"/>
          <w:rtl/>
          <w:lang w:eastAsia="ar-SA"/>
        </w:rPr>
        <w:t>^</w:t>
      </w:r>
      <w:r w:rsidRPr="006B7863">
        <w:rPr>
          <w:rtl/>
        </w:rPr>
        <w:t xml:space="preserve"> أنفسهم لا غير فإن هذا يعني فقداننا المعيار، ومن ثم أ</w:t>
      </w:r>
      <w:r>
        <w:rPr>
          <w:rFonts w:hint="cs"/>
          <w:rtl/>
        </w:rPr>
        <w:t>ي</w:t>
      </w:r>
      <w:r w:rsidRPr="006B7863">
        <w:rPr>
          <w:rtl/>
        </w:rPr>
        <w:t xml:space="preserve">ّ معنى لأخبار العرض على الكتاب؟! </w:t>
      </w:r>
      <w:r w:rsidRPr="006B7863">
        <w:rPr>
          <w:rtl/>
        </w:rPr>
        <w:lastRenderedPageBreak/>
        <w:t>أفهل يمكن الوصول</w:t>
      </w:r>
      <w:r>
        <w:rPr>
          <w:rtl/>
        </w:rPr>
        <w:t xml:space="preserve"> إلى </w:t>
      </w:r>
      <w:r w:rsidRPr="006B7863">
        <w:rPr>
          <w:rtl/>
        </w:rPr>
        <w:t xml:space="preserve">المعصوم دائماً؟! ماذا يفعل عموم المسلمين إزاء ظاهرة الوضع والدسّ في الأحاديث؟! وبعبارة </w:t>
      </w:r>
      <w:r>
        <w:rPr>
          <w:rtl/>
        </w:rPr>
        <w:t>أخرى</w:t>
      </w:r>
      <w:r w:rsidRPr="006B7863">
        <w:rPr>
          <w:rtl/>
        </w:rPr>
        <w:t xml:space="preserve"> جامعة وأكثر وضوحاً: إن معنى هذا الكلام لغوية تعيين معيار وميزان لكشف الأحاديث.</w:t>
      </w:r>
    </w:p>
    <w:p w:rsidR="00C87E55" w:rsidRPr="006B7863" w:rsidRDefault="00C87E55" w:rsidP="00AB3AAA">
      <w:pPr>
        <w:pStyle w:val="ac"/>
        <w:spacing w:line="202" w:lineRule="auto"/>
      </w:pPr>
      <w:r w:rsidRPr="006B7863">
        <w:rPr>
          <w:rtl/>
        </w:rPr>
        <w:t xml:space="preserve">وقد صوّر </w:t>
      </w:r>
      <w:r>
        <w:rPr>
          <w:rFonts w:hint="cs"/>
          <w:rtl/>
        </w:rPr>
        <w:t xml:space="preserve">المحقق النجفي </w:t>
      </w:r>
      <w:r w:rsidRPr="006B7863">
        <w:rPr>
          <w:rtl/>
        </w:rPr>
        <w:t xml:space="preserve">صاحب الجواهر هذا المطلب عندما بحث تعارض أخبار </w:t>
      </w:r>
      <w:r w:rsidRPr="00885E99">
        <w:rPr>
          <w:rtl/>
        </w:rPr>
        <w:t>«</w:t>
      </w:r>
      <w:r w:rsidRPr="006B7863">
        <w:rPr>
          <w:rtl/>
        </w:rPr>
        <w:t>المواسعة والمضايقة»</w:t>
      </w:r>
      <w:r w:rsidRPr="00815C4C">
        <w:rPr>
          <w:rFonts w:cs="Taher"/>
          <w:vertAlign w:val="superscript"/>
          <w:rtl/>
        </w:rPr>
        <w:t>(</w:t>
      </w:r>
      <w:r w:rsidRPr="00815C4C">
        <w:rPr>
          <w:rFonts w:cs="Taher"/>
          <w:vertAlign w:val="superscript"/>
          <w:rtl/>
        </w:rPr>
        <w:footnoteReference w:id="243"/>
      </w:r>
      <w:r w:rsidRPr="00815C4C">
        <w:rPr>
          <w:rFonts w:cs="Taher"/>
          <w:vertAlign w:val="superscript"/>
          <w:rtl/>
        </w:rPr>
        <w:t>)</w:t>
      </w:r>
      <w:r w:rsidRPr="006B7863">
        <w:rPr>
          <w:rtl/>
        </w:rPr>
        <w:t xml:space="preserve">، تصويراً رائعاً، ورأى أن أخبار العرض جاءت: </w:t>
      </w:r>
      <w:r w:rsidRPr="00885E99">
        <w:rPr>
          <w:rtl/>
        </w:rPr>
        <w:t>«</w:t>
      </w:r>
      <w:r w:rsidRPr="006B7863">
        <w:rPr>
          <w:rtl/>
        </w:rPr>
        <w:t>للتمييز بين الصادق والكاذب، من حيث إنه كثر الكذابة من أهل الأهواء والبدع عن النبي</w:t>
      </w:r>
      <w:r w:rsidR="00C86626">
        <w:rPr>
          <w:rFonts w:hint="cs"/>
          <w:rtl/>
        </w:rPr>
        <w:t>’</w:t>
      </w:r>
      <w:r>
        <w:rPr>
          <w:rFonts w:hint="cs"/>
          <w:rtl/>
        </w:rPr>
        <w:t xml:space="preserve"> </w:t>
      </w:r>
      <w:r w:rsidRPr="006B7863">
        <w:rPr>
          <w:rtl/>
        </w:rPr>
        <w:t>والأئمة</w:t>
      </w:r>
      <w:r w:rsidR="0098342A" w:rsidRPr="0098342A">
        <w:rPr>
          <w:rFonts w:hint="cs"/>
          <w:rtl/>
          <w:lang w:eastAsia="ar-SA"/>
        </w:rPr>
        <w:t>^</w:t>
      </w:r>
      <w:r w:rsidRPr="006B7863">
        <w:rPr>
          <w:rtl/>
        </w:rPr>
        <w:t xml:space="preserve"> في حياتهم وبعد موتهم</w:t>
      </w:r>
      <w:r w:rsidR="00651EB1">
        <w:rPr>
          <w:rFonts w:hint="cs"/>
          <w:rtl/>
        </w:rPr>
        <w:t>؛</w:t>
      </w:r>
      <w:r w:rsidRPr="006B7863">
        <w:rPr>
          <w:rtl/>
        </w:rPr>
        <w:t xml:space="preserve"> لتحصيل الأغراض الدنياوية، ولما رأى جماعة منهم أن الأئمة</w:t>
      </w:r>
      <w:r w:rsidR="0098342A" w:rsidRPr="0098342A">
        <w:rPr>
          <w:rFonts w:hint="cs"/>
          <w:rtl/>
          <w:lang w:eastAsia="ar-SA"/>
        </w:rPr>
        <w:t>^</w:t>
      </w:r>
      <w:r w:rsidRPr="006B7863">
        <w:rPr>
          <w:rtl/>
        </w:rPr>
        <w:t xml:space="preserve"> حكموا بكثير مما اشتهر خلافه بين الناس، ولا سيما العام</w:t>
      </w:r>
      <w:r>
        <w:rPr>
          <w:rFonts w:hint="cs"/>
          <w:rtl/>
        </w:rPr>
        <w:t>ّ</w:t>
      </w:r>
      <w:r w:rsidRPr="006B7863">
        <w:rPr>
          <w:rtl/>
        </w:rPr>
        <w:t>ة، وكشفوا عن المراد بكثير من الآيات والروايات مما هو بعيد</w:t>
      </w:r>
      <w:r>
        <w:rPr>
          <w:rtl/>
        </w:rPr>
        <w:t xml:space="preserve"> إلى </w:t>
      </w:r>
      <w:r w:rsidRPr="006B7863">
        <w:rPr>
          <w:rtl/>
        </w:rPr>
        <w:t xml:space="preserve">الأذهان، بل لا يصل إليه </w:t>
      </w:r>
      <w:r>
        <w:rPr>
          <w:rFonts w:hint="cs"/>
          <w:rtl/>
        </w:rPr>
        <w:t xml:space="preserve">ـ </w:t>
      </w:r>
      <w:r w:rsidRPr="006B7863">
        <w:rPr>
          <w:rtl/>
        </w:rPr>
        <w:t xml:space="preserve">عدا المعصوم </w:t>
      </w:r>
      <w:r>
        <w:rPr>
          <w:rFonts w:hint="cs"/>
          <w:rtl/>
        </w:rPr>
        <w:t xml:space="preserve">ـ </w:t>
      </w:r>
      <w:r w:rsidRPr="006B7863">
        <w:rPr>
          <w:rtl/>
        </w:rPr>
        <w:t>أحد</w:t>
      </w:r>
      <w:r>
        <w:rPr>
          <w:rFonts w:hint="cs"/>
          <w:rtl/>
        </w:rPr>
        <w:t>ٌ</w:t>
      </w:r>
      <w:r w:rsidRPr="006B7863">
        <w:rPr>
          <w:rtl/>
        </w:rPr>
        <w:t xml:space="preserve"> من أفراد ال</w:t>
      </w:r>
      <w:r>
        <w:rPr>
          <w:rtl/>
        </w:rPr>
        <w:t>إنسان</w:t>
      </w:r>
      <w:r w:rsidRPr="006B7863">
        <w:rPr>
          <w:rtl/>
        </w:rPr>
        <w:t>، جعلوا ذلك وسيلة</w:t>
      </w:r>
      <w:r>
        <w:rPr>
          <w:rFonts w:hint="cs"/>
          <w:rtl/>
        </w:rPr>
        <w:t>ً</w:t>
      </w:r>
      <w:r>
        <w:rPr>
          <w:rtl/>
        </w:rPr>
        <w:t xml:space="preserve"> إلى </w:t>
      </w:r>
      <w:r w:rsidRPr="006B7863">
        <w:rPr>
          <w:rtl/>
        </w:rPr>
        <w:t xml:space="preserve">الاقتحام على نسبة كثير من الأكاذيب إليهم، واختلاق الأضاليل والبدع عليهم، فمن هنا </w:t>
      </w:r>
      <w:r>
        <w:rPr>
          <w:rtl/>
        </w:rPr>
        <w:t>أمر</w:t>
      </w:r>
      <w:r w:rsidRPr="006B7863">
        <w:rPr>
          <w:rtl/>
        </w:rPr>
        <w:t xml:space="preserve"> الأئمة</w:t>
      </w:r>
      <w:r w:rsidR="0098342A" w:rsidRPr="0098342A">
        <w:rPr>
          <w:rFonts w:hint="cs"/>
          <w:rtl/>
          <w:lang w:eastAsia="ar-SA"/>
        </w:rPr>
        <w:t>^</w:t>
      </w:r>
      <w:r>
        <w:rPr>
          <w:rFonts w:hint="cs"/>
          <w:rtl/>
        </w:rPr>
        <w:t xml:space="preserve"> </w:t>
      </w:r>
      <w:r w:rsidRPr="006B7863">
        <w:rPr>
          <w:rtl/>
        </w:rPr>
        <w:t>بالعرض على الكتاب</w:t>
      </w:r>
      <w:r w:rsidR="0098342A">
        <w:rPr>
          <w:rFonts w:hint="cs"/>
          <w:rtl/>
        </w:rPr>
        <w:t>؛</w:t>
      </w:r>
      <w:r w:rsidRPr="006B7863">
        <w:rPr>
          <w:rtl/>
        </w:rPr>
        <w:t xml:space="preserve"> لسلامته من الكذب والاختلاق، لكن من المعلوم إرادة النصوص القرآنية منه</w:t>
      </w:r>
      <w:r>
        <w:rPr>
          <w:rtl/>
        </w:rPr>
        <w:t xml:space="preserve"> أو </w:t>
      </w:r>
      <w:r w:rsidRPr="006B7863">
        <w:rPr>
          <w:rtl/>
        </w:rPr>
        <w:t>الظواهر التي لا يحتاج فهم معناها</w:t>
      </w:r>
      <w:r>
        <w:rPr>
          <w:rtl/>
        </w:rPr>
        <w:t xml:space="preserve"> إلى </w:t>
      </w:r>
      <w:r w:rsidRPr="006B7863">
        <w:rPr>
          <w:rtl/>
        </w:rPr>
        <w:t>العصمة الربانية،</w:t>
      </w:r>
      <w:r>
        <w:rPr>
          <w:rtl/>
        </w:rPr>
        <w:t xml:space="preserve"> أو </w:t>
      </w:r>
      <w:r w:rsidRPr="006B7863">
        <w:rPr>
          <w:rtl/>
        </w:rPr>
        <w:t>احتاج لكن على سبيل التنبيه للغير بحيث يكون بعد الوقوف هو الظاهر المراد لديه، لا الآيات التي ورد تفسيرها بالأخبار الظن</w:t>
      </w:r>
      <w:r>
        <w:rPr>
          <w:rFonts w:hint="cs"/>
          <w:rtl/>
        </w:rPr>
        <w:t>ّ</w:t>
      </w:r>
      <w:r w:rsidRPr="006B7863">
        <w:rPr>
          <w:rtl/>
        </w:rPr>
        <w:t>ية التي تلحق من جهتها بالبطون الخفية، وعلى فرض صح</w:t>
      </w:r>
      <w:r>
        <w:rPr>
          <w:rFonts w:hint="cs"/>
          <w:rtl/>
        </w:rPr>
        <w:t>ّ</w:t>
      </w:r>
      <w:r w:rsidRPr="006B7863">
        <w:rPr>
          <w:rtl/>
        </w:rPr>
        <w:t>تها بالسرّ المخزون والعلم المكنون، إذ ذاك في الحقيقة عرض على الخبر الذي لا مزية له على المعروض، ضرورةَ أن الكذوب كما يمكنه اختلاق الكذب على الأئمة</w:t>
      </w:r>
      <w:r w:rsidR="0098342A" w:rsidRPr="0098342A">
        <w:rPr>
          <w:rFonts w:hint="cs"/>
          <w:rtl/>
          <w:lang w:eastAsia="ar-SA"/>
        </w:rPr>
        <w:t>^</w:t>
      </w:r>
      <w:r>
        <w:rPr>
          <w:rFonts w:cs="PT Bold Heading" w:hint="cs"/>
          <w:noProof/>
          <w:sz w:val="30"/>
          <w:rtl/>
        </w:rPr>
        <w:t xml:space="preserve"> </w:t>
      </w:r>
      <w:r w:rsidRPr="006B7863">
        <w:rPr>
          <w:rtl/>
        </w:rPr>
        <w:t>فيما لا يتعلّق بالتفسير، كذلك يمكنه الاختلاق فيما يتعلّق به، بل قيل: لقد طعن في الرجال على جملة من أرباب التفسير الذين شأنهم نقل الأخبار في ذلك عن الأئمة</w:t>
      </w:r>
      <w:r w:rsidR="0098342A" w:rsidRPr="0098342A">
        <w:rPr>
          <w:rFonts w:hint="cs"/>
          <w:rtl/>
          <w:lang w:eastAsia="ar-SA"/>
        </w:rPr>
        <w:t>^</w:t>
      </w:r>
      <w:r w:rsidRPr="006B7863">
        <w:rPr>
          <w:rtl/>
        </w:rPr>
        <w:t>، كما طعن على أرباب الأخبار، ووجد في التفاسير المنقولة عنهم</w:t>
      </w:r>
      <w:r w:rsidR="0098342A" w:rsidRPr="0098342A">
        <w:rPr>
          <w:rFonts w:hint="cs"/>
          <w:rtl/>
          <w:lang w:eastAsia="ar-SA"/>
        </w:rPr>
        <w:t>^</w:t>
      </w:r>
      <w:r>
        <w:rPr>
          <w:rFonts w:cs="PT Bold Heading" w:hint="cs"/>
          <w:noProof/>
          <w:sz w:val="30"/>
          <w:rtl/>
        </w:rPr>
        <w:t xml:space="preserve"> </w:t>
      </w:r>
      <w:r w:rsidRPr="006B7863">
        <w:rPr>
          <w:rtl/>
        </w:rPr>
        <w:lastRenderedPageBreak/>
        <w:t>أكاذيب وأباطيل، كما وجدت في غيرها من الأخبار، فدعوى بعض الناس إرادة الأعم</w:t>
      </w:r>
      <w:r>
        <w:rPr>
          <w:rFonts w:hint="cs"/>
          <w:rtl/>
        </w:rPr>
        <w:t>ّ</w:t>
      </w:r>
      <w:r w:rsidRPr="006B7863">
        <w:rPr>
          <w:rtl/>
        </w:rPr>
        <w:t xml:space="preserve"> من ذلك مما لا يصغى إليها، وإن بالغ في تأييدها وتشييدها، بل شن</w:t>
      </w:r>
      <w:r>
        <w:rPr>
          <w:rFonts w:hint="cs"/>
          <w:rtl/>
        </w:rPr>
        <w:t>ّ</w:t>
      </w:r>
      <w:r w:rsidRPr="006B7863">
        <w:rPr>
          <w:rtl/>
        </w:rPr>
        <w:t>ع على ال</w:t>
      </w:r>
      <w:r>
        <w:rPr>
          <w:rtl/>
        </w:rPr>
        <w:t>أصحاب</w:t>
      </w:r>
      <w:r w:rsidRPr="006B7863">
        <w:rPr>
          <w:rtl/>
        </w:rPr>
        <w:t xml:space="preserve"> بما غيرهم أولى به عند ذوي الألباب»</w:t>
      </w:r>
      <w:r w:rsidRPr="00815C4C">
        <w:rPr>
          <w:rFonts w:cs="Taher"/>
          <w:vertAlign w:val="superscript"/>
          <w:rtl/>
        </w:rPr>
        <w:t>(</w:t>
      </w:r>
      <w:r w:rsidRPr="00815C4C">
        <w:rPr>
          <w:rFonts w:cs="Taher"/>
          <w:vertAlign w:val="superscript"/>
          <w:rtl/>
        </w:rPr>
        <w:footnoteReference w:id="244"/>
      </w:r>
      <w:r w:rsidRPr="00815C4C">
        <w:rPr>
          <w:rFonts w:cs="Taher"/>
          <w:vertAlign w:val="superscript"/>
          <w:rtl/>
        </w:rPr>
        <w:t>)</w:t>
      </w:r>
      <w:r w:rsidRPr="006B7863">
        <w:rPr>
          <w:rtl/>
        </w:rPr>
        <w:t>.</w:t>
      </w:r>
    </w:p>
    <w:p w:rsidR="00C87E55" w:rsidRPr="006B7863" w:rsidRDefault="00C87E55" w:rsidP="00AB3AAA">
      <w:pPr>
        <w:pStyle w:val="ac"/>
        <w:spacing w:line="209" w:lineRule="auto"/>
      </w:pPr>
      <w:r w:rsidRPr="00E44CCF">
        <w:rPr>
          <w:b/>
          <w:bCs/>
          <w:rtl/>
        </w:rPr>
        <w:t>الملاحظة الثالثة:</w:t>
      </w:r>
      <w:r w:rsidRPr="006B7863">
        <w:rPr>
          <w:rtl/>
        </w:rPr>
        <w:t xml:space="preserve"> ومن الممكن أن يقال: إن تشريع التمييز بين الرجل والمرأة في القصاص يعدّ ـ في النظام الإلهي الأتمّ والأكمل ـ عين العدل والإنصاف، ذلك أن الله تعالى يعلم من المصالح ما لا نعلمه نحن، </w:t>
      </w:r>
      <w:r w:rsidRPr="00AA2A63">
        <w:rPr>
          <w:rFonts w:hint="cs"/>
          <w:rtl/>
        </w:rPr>
        <w:sym w:font="Islamic Units 1" w:char="F03E"/>
      </w:r>
      <w:r w:rsidRPr="0098342A">
        <w:rPr>
          <w:b/>
          <w:bCs/>
          <w:rtl/>
        </w:rPr>
        <w:t>وَمَا أُوتِيتُم مِّن الْعِلْمِ إِلاَّ قَلِيلاً</w:t>
      </w:r>
      <w:r w:rsidRPr="00AA2A63">
        <w:rPr>
          <w:rFonts w:hint="cs"/>
          <w:rtl/>
        </w:rPr>
        <w:sym w:font="Islamic Units 1" w:char="F03C"/>
      </w:r>
      <w:r>
        <w:rPr>
          <w:rFonts w:hint="cs"/>
          <w:rtl/>
        </w:rPr>
        <w:t xml:space="preserve"> (</w:t>
      </w:r>
      <w:r w:rsidRPr="006B7863">
        <w:rPr>
          <w:rtl/>
        </w:rPr>
        <w:t>الإسراء: 85</w:t>
      </w:r>
      <w:r>
        <w:rPr>
          <w:rFonts w:hint="cs"/>
          <w:rtl/>
        </w:rPr>
        <w:t>)</w:t>
      </w:r>
      <w:r w:rsidRPr="006B7863">
        <w:rPr>
          <w:rtl/>
        </w:rPr>
        <w:t>، وعليه، فمن الممكن أن يكون الحكم الذي نراه بنظرنا ظالماً غير عادل ولا منصف عينَ العدل والعدالة والحقيقة عند الله سبحانه، وهو خير الحاكمين.</w:t>
      </w:r>
    </w:p>
    <w:p w:rsidR="00C87E55" w:rsidRPr="006B7863" w:rsidRDefault="00C87E55" w:rsidP="00AB3AAA">
      <w:pPr>
        <w:pStyle w:val="ac"/>
        <w:spacing w:line="209" w:lineRule="auto"/>
      </w:pPr>
      <w:r w:rsidRPr="00E44CCF">
        <w:rPr>
          <w:b/>
          <w:bCs/>
          <w:rtl/>
        </w:rPr>
        <w:t>والجواب:</w:t>
      </w:r>
      <w:r w:rsidRPr="006B7863">
        <w:rPr>
          <w:rtl/>
        </w:rPr>
        <w:t xml:space="preserve"> إن</w:t>
      </w:r>
      <w:r>
        <w:rPr>
          <w:rFonts w:hint="cs"/>
          <w:rtl/>
        </w:rPr>
        <w:t>ّ</w:t>
      </w:r>
      <w:r w:rsidRPr="006B7863">
        <w:rPr>
          <w:rtl/>
        </w:rPr>
        <w:t xml:space="preserve"> ال</w:t>
      </w:r>
      <w:r>
        <w:rPr>
          <w:rtl/>
        </w:rPr>
        <w:t>أمر كذلك في عالم الواقع والثبوت</w:t>
      </w:r>
      <w:r>
        <w:rPr>
          <w:rFonts w:hint="cs"/>
          <w:rtl/>
        </w:rPr>
        <w:t>؛</w:t>
      </w:r>
      <w:r w:rsidRPr="006B7863">
        <w:rPr>
          <w:rtl/>
        </w:rPr>
        <w:t xml:space="preserve"> ذلك أنه لو ثبت حكم</w:t>
      </w:r>
      <w:r>
        <w:rPr>
          <w:rFonts w:hint="cs"/>
          <w:rtl/>
        </w:rPr>
        <w:t>ٌ</w:t>
      </w:r>
      <w:r w:rsidRPr="006B7863">
        <w:rPr>
          <w:rtl/>
        </w:rPr>
        <w:t xml:space="preserve"> من ال</w:t>
      </w:r>
      <w:r>
        <w:rPr>
          <w:rtl/>
        </w:rPr>
        <w:t>أحكام</w:t>
      </w:r>
      <w:r w:rsidRPr="006B7863">
        <w:rPr>
          <w:rtl/>
        </w:rPr>
        <w:t xml:space="preserve"> على نحو القطع واليقين من قبل الله تعالى، فيما كان من وجهة نظرنا مخالفاً للعدل والحقيقة، لوجبت نسبته</w:t>
      </w:r>
      <w:r>
        <w:rPr>
          <w:rtl/>
        </w:rPr>
        <w:t xml:space="preserve"> إلى </w:t>
      </w:r>
      <w:r w:rsidRPr="006B7863">
        <w:rPr>
          <w:rtl/>
        </w:rPr>
        <w:t>الله تعالى، وسيكون في علمنا نقص</w:t>
      </w:r>
      <w:r>
        <w:rPr>
          <w:rFonts w:hint="cs"/>
          <w:rtl/>
        </w:rPr>
        <w:t>ٌ</w:t>
      </w:r>
      <w:r w:rsidRPr="006B7863">
        <w:rPr>
          <w:rtl/>
        </w:rPr>
        <w:t xml:space="preserve"> وخلل، أما في مقام الإثبات واكتشاف</w:t>
      </w:r>
      <w:r>
        <w:rPr>
          <w:rtl/>
        </w:rPr>
        <w:t xml:space="preserve"> أو </w:t>
      </w:r>
      <w:r w:rsidRPr="006B7863">
        <w:rPr>
          <w:rtl/>
        </w:rPr>
        <w:t>تمييز الحكم الإلهي كما واستنباطه واستخراجه من الأدلّة الظنيّة ـ التي يعتمد عليها معظم الفقه ـ فإن ال</w:t>
      </w:r>
      <w:r>
        <w:rPr>
          <w:rtl/>
        </w:rPr>
        <w:t>أمر</w:t>
      </w:r>
      <w:r w:rsidRPr="006B7863">
        <w:rPr>
          <w:rtl/>
        </w:rPr>
        <w:t xml:space="preserve"> لا يكون كذلك، وإنما يلزم في البداية أن لا يكون هذا الحكم المستخرج من الأدلّة الظنية غير منسجم مع الظواهر القرآنية، وإذا ما قلنا هنا بإمكان أن يكون هذا الحكم المدلول عليه بالأخبار الظنية عدلاً وحقاً عند الله سبحانه، فإن</w:t>
      </w:r>
      <w:r>
        <w:rPr>
          <w:rFonts w:hint="cs"/>
          <w:rtl/>
        </w:rPr>
        <w:t>ّ</w:t>
      </w:r>
      <w:r w:rsidRPr="006B7863">
        <w:rPr>
          <w:rtl/>
        </w:rPr>
        <w:t xml:space="preserve"> معيارية العرض على الكتاب سوف تتلاشى تلقائياً.</w:t>
      </w:r>
    </w:p>
    <w:p w:rsidR="00C87E55" w:rsidRPr="006B7863" w:rsidRDefault="00C87E55" w:rsidP="00AB3AAA">
      <w:pPr>
        <w:pStyle w:val="ac"/>
        <w:spacing w:line="209" w:lineRule="auto"/>
      </w:pPr>
      <w:r w:rsidRPr="007D501F">
        <w:rPr>
          <w:rtl/>
        </w:rPr>
        <w:t>وبعبارة</w:t>
      </w:r>
      <w:r>
        <w:rPr>
          <w:rFonts w:hint="cs"/>
          <w:rtl/>
        </w:rPr>
        <w:t>ٍ</w:t>
      </w:r>
      <w:r w:rsidRPr="007D501F">
        <w:rPr>
          <w:rtl/>
        </w:rPr>
        <w:t xml:space="preserve"> </w:t>
      </w:r>
      <w:r>
        <w:rPr>
          <w:rtl/>
        </w:rPr>
        <w:t>أخرى</w:t>
      </w:r>
      <w:r w:rsidRPr="007D501F">
        <w:rPr>
          <w:rtl/>
        </w:rPr>
        <w:t>:</w:t>
      </w:r>
      <w:r>
        <w:rPr>
          <w:rtl/>
        </w:rPr>
        <w:t xml:space="preserve"> لابد </w:t>
      </w:r>
      <w:r>
        <w:rPr>
          <w:rFonts w:hint="cs"/>
          <w:rtl/>
        </w:rPr>
        <w:t xml:space="preserve">ـ </w:t>
      </w:r>
      <w:r w:rsidRPr="006B7863">
        <w:rPr>
          <w:rtl/>
        </w:rPr>
        <w:t xml:space="preserve">لتمييز الخبر الصحيح عن غيره </w:t>
      </w:r>
      <w:r>
        <w:rPr>
          <w:rFonts w:hint="cs"/>
          <w:rtl/>
        </w:rPr>
        <w:t xml:space="preserve">ـ </w:t>
      </w:r>
      <w:r w:rsidRPr="006B7863">
        <w:rPr>
          <w:rtl/>
        </w:rPr>
        <w:t>من عرضه على ظاهر الكتاب، أما لو كان الحكم قد ثبت بالقطع واليقين، وتمّ التأكد من قول أئمة الدين له بوصفه حكماً إلهياً تبليغياً، فإن احتمال كونه عدلاً وحقاً عند الله تعالى في نظامه التشريعي سوف يكون مؤثراً وسيمنعنا عن رفضه</w:t>
      </w:r>
      <w:r>
        <w:rPr>
          <w:rtl/>
        </w:rPr>
        <w:t xml:space="preserve"> أو </w:t>
      </w:r>
      <w:r w:rsidRPr="006B7863">
        <w:rPr>
          <w:rtl/>
        </w:rPr>
        <w:t>ردّه، وفي غير الأدلة اليقينية الثابتة، وهي التي جاءت أخبار العرض لتمييزها وتقويمها، لا يمكن إثارة احتمال من هذا النوع</w:t>
      </w:r>
      <w:r>
        <w:rPr>
          <w:rtl/>
        </w:rPr>
        <w:t xml:space="preserve"> أو </w:t>
      </w:r>
      <w:r w:rsidRPr="006B7863">
        <w:rPr>
          <w:rtl/>
        </w:rPr>
        <w:t>التمس</w:t>
      </w:r>
      <w:r>
        <w:rPr>
          <w:rFonts w:hint="cs"/>
          <w:rtl/>
        </w:rPr>
        <w:t>ّ</w:t>
      </w:r>
      <w:r w:rsidRPr="006B7863">
        <w:rPr>
          <w:rtl/>
        </w:rPr>
        <w:t>ك به، إذ لازمه إلغاء نظام العرض على الكتاب من رأس.</w:t>
      </w:r>
    </w:p>
    <w:p w:rsidR="00C87E55" w:rsidRPr="006B7863" w:rsidRDefault="00C87E55" w:rsidP="00AB3AAA">
      <w:pPr>
        <w:pStyle w:val="ac"/>
        <w:spacing w:line="211" w:lineRule="auto"/>
      </w:pPr>
      <w:r w:rsidRPr="006B7863">
        <w:rPr>
          <w:rtl/>
        </w:rPr>
        <w:lastRenderedPageBreak/>
        <w:t>وللأستاذ الشهيد مرتضى مطهري كلام</w:t>
      </w:r>
      <w:r>
        <w:rPr>
          <w:rFonts w:hint="cs"/>
          <w:rtl/>
        </w:rPr>
        <w:t>ٌ</w:t>
      </w:r>
      <w:r w:rsidRPr="006B7863">
        <w:rPr>
          <w:rtl/>
        </w:rPr>
        <w:t xml:space="preserve"> رائع وبديع في هذا المجال، إنه يقول: </w:t>
      </w:r>
      <w:r w:rsidRPr="00885E99">
        <w:rPr>
          <w:rtl/>
        </w:rPr>
        <w:t>«</w:t>
      </w:r>
      <w:r w:rsidRPr="006B7863">
        <w:rPr>
          <w:rtl/>
        </w:rPr>
        <w:t>مبدأ العدالة من المقاييس ال</w:t>
      </w:r>
      <w:r>
        <w:rPr>
          <w:rtl/>
        </w:rPr>
        <w:t>إسلام</w:t>
      </w:r>
      <w:r w:rsidRPr="006B7863">
        <w:rPr>
          <w:rtl/>
        </w:rPr>
        <w:t>ية، التي</w:t>
      </w:r>
      <w:r>
        <w:rPr>
          <w:rtl/>
        </w:rPr>
        <w:t xml:space="preserve"> لابد </w:t>
      </w:r>
      <w:r w:rsidRPr="006B7863">
        <w:rPr>
          <w:rtl/>
        </w:rPr>
        <w:t>من النظر لمعرفة ما يوافقه وينطبق عليه، فالعدالة تقع في سلسلة علل ال</w:t>
      </w:r>
      <w:r>
        <w:rPr>
          <w:rtl/>
        </w:rPr>
        <w:t>أحكام</w:t>
      </w:r>
      <w:r w:rsidRPr="006B7863">
        <w:rPr>
          <w:rtl/>
        </w:rPr>
        <w:t>، لا معلولاتها، فليس كل</w:t>
      </w:r>
      <w:r>
        <w:rPr>
          <w:rFonts w:hint="cs"/>
          <w:rtl/>
        </w:rPr>
        <w:t>ّ</w:t>
      </w:r>
      <w:r w:rsidRPr="006B7863">
        <w:rPr>
          <w:rtl/>
        </w:rPr>
        <w:t xml:space="preserve"> ما قاله الدين عدل، بل كلّ ما هو عدل قاله الدين، وهذا هو معنى معيارية العدالة للدين، إذاً، فلا بد من أن نبحث: هل الدين معيار العدالة</w:t>
      </w:r>
      <w:r>
        <w:rPr>
          <w:rtl/>
        </w:rPr>
        <w:t xml:space="preserve"> أو </w:t>
      </w:r>
      <w:r w:rsidRPr="006B7863">
        <w:rPr>
          <w:rtl/>
        </w:rPr>
        <w:t>العدالة معيار الدين؟ إن</w:t>
      </w:r>
      <w:r>
        <w:rPr>
          <w:rFonts w:hint="cs"/>
          <w:rtl/>
        </w:rPr>
        <w:t>ّ</w:t>
      </w:r>
      <w:r w:rsidRPr="006B7863">
        <w:rPr>
          <w:rtl/>
        </w:rPr>
        <w:t xml:space="preserve"> النظرية التقديسية تقضي بأن نقول: الدين معيار العدالة، إلاّ أن الحقيقة ليست كذلك، فهذا يشبه تماماً ما يقال في باب الحسن والقبح العقليين، فالسائد في أوساط المتكل</w:t>
      </w:r>
      <w:r>
        <w:rPr>
          <w:rFonts w:hint="cs"/>
          <w:rtl/>
        </w:rPr>
        <w:t>ّ</w:t>
      </w:r>
      <w:r w:rsidRPr="006B7863">
        <w:rPr>
          <w:rtl/>
        </w:rPr>
        <w:t xml:space="preserve">مين الشيعة والمعتزلة الذين أصبحوا به عدليةً، أن العدل مقياس الدين لا الدين مقياس العدل. من هنا، كان العقل واحداً من الأدلّة الشرعية، حتى قالوا: </w:t>
      </w:r>
      <w:r w:rsidRPr="00885E99">
        <w:rPr>
          <w:rtl/>
        </w:rPr>
        <w:t>«</w:t>
      </w:r>
      <w:r w:rsidRPr="006B7863">
        <w:rPr>
          <w:rtl/>
        </w:rPr>
        <w:t>العدل والتوحيد علَويان، والجبر والتشبيه أمويان».</w:t>
      </w:r>
    </w:p>
    <w:p w:rsidR="00C87E55" w:rsidRPr="006B7863" w:rsidRDefault="00C87E55" w:rsidP="00AB3AAA">
      <w:pPr>
        <w:pStyle w:val="ac"/>
        <w:spacing w:line="211" w:lineRule="auto"/>
      </w:pPr>
      <w:r w:rsidRPr="006B7863">
        <w:rPr>
          <w:rtl/>
        </w:rPr>
        <w:t>لقد عدّوا الدين ـ في الجاهلية ـ مقياساً للعدالة والحسن والقبح، ولهذا ينقل الله سبحانه عنهم في سورة الأعراف أنهم ينسبون كل</w:t>
      </w:r>
      <w:r>
        <w:rPr>
          <w:rFonts w:hint="cs"/>
          <w:rtl/>
        </w:rPr>
        <w:t>ّ</w:t>
      </w:r>
      <w:r w:rsidRPr="006B7863">
        <w:rPr>
          <w:rtl/>
        </w:rPr>
        <w:t xml:space="preserve"> عمل قبيح</w:t>
      </w:r>
      <w:r>
        <w:rPr>
          <w:rtl/>
        </w:rPr>
        <w:t xml:space="preserve"> إلى </w:t>
      </w:r>
      <w:r w:rsidRPr="006B7863">
        <w:rPr>
          <w:rtl/>
        </w:rPr>
        <w:t>الدين</w:t>
      </w:r>
      <w:r>
        <w:rPr>
          <w:rFonts w:hint="cs"/>
          <w:rtl/>
        </w:rPr>
        <w:t>،</w:t>
      </w:r>
      <w:r w:rsidRPr="006B7863">
        <w:rPr>
          <w:rtl/>
        </w:rPr>
        <w:t xml:space="preserve"> والقرآن يقول: </w:t>
      </w:r>
      <w:r w:rsidRPr="0098342A">
        <w:rPr>
          <w:rFonts w:hint="cs"/>
          <w:b/>
          <w:bCs/>
          <w:rtl/>
        </w:rPr>
        <w:sym w:font="Islamic Units 1" w:char="F03E"/>
      </w:r>
      <w:r w:rsidRPr="0098342A">
        <w:rPr>
          <w:b/>
          <w:bCs/>
          <w:rtl/>
        </w:rPr>
        <w:t>.. قُلْ إِنَّ الله لاَ يَأمر بِالْفَحْشَاء..</w:t>
      </w:r>
      <w:r w:rsidRPr="0098342A">
        <w:rPr>
          <w:rFonts w:hint="cs"/>
          <w:b/>
          <w:bCs/>
          <w:rtl/>
        </w:rPr>
        <w:sym w:font="Islamic Units 1" w:char="F03C"/>
      </w:r>
      <w:r w:rsidRPr="005E2452">
        <w:rPr>
          <w:rStyle w:val="Char3"/>
          <w:rFonts w:hint="cs"/>
          <w:rtl/>
        </w:rPr>
        <w:t xml:space="preserve"> </w:t>
      </w:r>
      <w:r w:rsidRPr="00172F8F">
        <w:rPr>
          <w:rFonts w:hint="cs"/>
          <w:rtl/>
        </w:rPr>
        <w:t>(</w:t>
      </w:r>
      <w:r w:rsidRPr="00172F8F">
        <w:rPr>
          <w:rtl/>
        </w:rPr>
        <w:t>الأعراف: 27 ـ 28</w:t>
      </w:r>
      <w:r w:rsidRPr="00172F8F">
        <w:rPr>
          <w:rFonts w:hint="cs"/>
          <w:rtl/>
        </w:rPr>
        <w:t>)</w:t>
      </w:r>
      <w:r w:rsidRPr="00172F8F">
        <w:rPr>
          <w:rtl/>
        </w:rPr>
        <w:t>»</w:t>
      </w:r>
      <w:r w:rsidRPr="00815C4C">
        <w:rPr>
          <w:rFonts w:cs="Taher"/>
          <w:vertAlign w:val="superscript"/>
          <w:rtl/>
        </w:rPr>
        <w:t>(</w:t>
      </w:r>
      <w:r w:rsidRPr="00815C4C">
        <w:rPr>
          <w:rFonts w:cs="Taher"/>
          <w:vertAlign w:val="superscript"/>
          <w:rtl/>
        </w:rPr>
        <w:footnoteReference w:id="245"/>
      </w:r>
      <w:r w:rsidRPr="00815C4C">
        <w:rPr>
          <w:rFonts w:cs="Taher"/>
          <w:vertAlign w:val="superscript"/>
          <w:rtl/>
        </w:rPr>
        <w:t>)</w:t>
      </w:r>
      <w:r w:rsidRPr="006B7863">
        <w:rPr>
          <w:rtl/>
        </w:rPr>
        <w:t>.</w:t>
      </w:r>
    </w:p>
    <w:p w:rsidR="00C87E55" w:rsidRPr="006B7863" w:rsidRDefault="00C87E55" w:rsidP="00AB3AAA">
      <w:pPr>
        <w:pStyle w:val="ac"/>
        <w:spacing w:line="211" w:lineRule="auto"/>
      </w:pPr>
      <w:r w:rsidRPr="005E2452">
        <w:rPr>
          <w:b/>
          <w:bCs/>
          <w:rtl/>
        </w:rPr>
        <w:t>الملاحظة الرابعة:</w:t>
      </w:r>
      <w:r w:rsidRPr="006B7863">
        <w:rPr>
          <w:rtl/>
        </w:rPr>
        <w:t xml:space="preserve"> قد يقال: إن لازم كلامكم هذا طرح اعتبار خمسة عشر حديثاً، نقلها المحدّثون الكبار، ومن بينها روايات صحيحة.</w:t>
      </w:r>
    </w:p>
    <w:p w:rsidR="00C87E55" w:rsidRPr="006B7863" w:rsidRDefault="00C87E55" w:rsidP="00AB3AAA">
      <w:pPr>
        <w:pStyle w:val="ac"/>
      </w:pPr>
      <w:r w:rsidRPr="005E2452">
        <w:rPr>
          <w:b/>
          <w:bCs/>
          <w:rtl/>
        </w:rPr>
        <w:t>والجواب:</w:t>
      </w:r>
      <w:r w:rsidRPr="007D501F">
        <w:rPr>
          <w:rtl/>
        </w:rPr>
        <w:t xml:space="preserve"> </w:t>
      </w:r>
      <w:r>
        <w:rPr>
          <w:rtl/>
        </w:rPr>
        <w:t>إن هذا مجرّد استبعاد ليس إلاّ</w:t>
      </w:r>
      <w:r w:rsidRPr="006B7863">
        <w:rPr>
          <w:rtl/>
        </w:rPr>
        <w:t>، ولا يمكن أن يصمد مقابل القواعد والضوابط العلمية لتق</w:t>
      </w:r>
      <w:r>
        <w:rPr>
          <w:rFonts w:hint="cs"/>
          <w:rtl/>
        </w:rPr>
        <w:t>و</w:t>
      </w:r>
      <w:r w:rsidRPr="006B7863">
        <w:rPr>
          <w:rtl/>
        </w:rPr>
        <w:t>يم الأحاديث، ألم تدلّ الروايات الكثيرة على تحريف القرآن؟! لقد بلغ عدد هذه الروايات حد</w:t>
      </w:r>
      <w:r>
        <w:rPr>
          <w:rFonts w:hint="cs"/>
          <w:rtl/>
        </w:rPr>
        <w:t>ّ</w:t>
      </w:r>
      <w:r w:rsidRPr="006B7863">
        <w:rPr>
          <w:rtl/>
        </w:rPr>
        <w:t xml:space="preserve">اً دفع العلامة المجلسي </w:t>
      </w:r>
      <w:r>
        <w:rPr>
          <w:rFonts w:hint="cs"/>
          <w:rtl/>
        </w:rPr>
        <w:t xml:space="preserve">(1111هـ) </w:t>
      </w:r>
      <w:r w:rsidRPr="006B7863">
        <w:rPr>
          <w:rtl/>
        </w:rPr>
        <w:t>للقول بتواترها، وأنها تضارع ـ من حيث الكم</w:t>
      </w:r>
      <w:r>
        <w:rPr>
          <w:rFonts w:hint="cs"/>
          <w:rtl/>
        </w:rPr>
        <w:t>ّ</w:t>
      </w:r>
      <w:r w:rsidRPr="006B7863">
        <w:rPr>
          <w:rtl/>
        </w:rPr>
        <w:t xml:space="preserve"> ـ الروايات المرتبطة بموضوع الإمامة نفسها</w:t>
      </w:r>
      <w:r w:rsidRPr="00815C4C">
        <w:rPr>
          <w:rFonts w:cs="Taher"/>
          <w:vertAlign w:val="superscript"/>
          <w:rtl/>
        </w:rPr>
        <w:t>(</w:t>
      </w:r>
      <w:r w:rsidRPr="00815C4C">
        <w:rPr>
          <w:rFonts w:cs="Taher"/>
          <w:vertAlign w:val="superscript"/>
          <w:rtl/>
        </w:rPr>
        <w:footnoteReference w:id="246"/>
      </w:r>
      <w:r w:rsidRPr="00815C4C">
        <w:rPr>
          <w:rFonts w:cs="Taher"/>
          <w:vertAlign w:val="superscript"/>
          <w:rtl/>
        </w:rPr>
        <w:t>)</w:t>
      </w:r>
      <w:r w:rsidRPr="006B7863">
        <w:rPr>
          <w:rtl/>
        </w:rPr>
        <w:t>، لكن مع ذلك كلّه لا يمكن التسليم بمضمونها، ذلك أنها تخالف القرآن المجيد.</w:t>
      </w:r>
    </w:p>
    <w:p w:rsidR="00C87E55" w:rsidRPr="006B7863" w:rsidRDefault="00C87E55" w:rsidP="0098342A">
      <w:pPr>
        <w:pStyle w:val="ac"/>
      </w:pPr>
      <w:r w:rsidRPr="006B7863">
        <w:rPr>
          <w:rtl/>
        </w:rPr>
        <w:t>من جانب</w:t>
      </w:r>
      <w:r>
        <w:rPr>
          <w:rFonts w:hint="cs"/>
          <w:rtl/>
        </w:rPr>
        <w:t>ٍ</w:t>
      </w:r>
      <w:r w:rsidRPr="006B7863">
        <w:rPr>
          <w:rtl/>
        </w:rPr>
        <w:t xml:space="preserve"> آخر، ثم</w:t>
      </w:r>
      <w:r>
        <w:rPr>
          <w:rFonts w:hint="cs"/>
          <w:rtl/>
        </w:rPr>
        <w:t>ّ</w:t>
      </w:r>
      <w:r w:rsidRPr="006B7863">
        <w:rPr>
          <w:rtl/>
        </w:rPr>
        <w:t xml:space="preserve">ة روايات في الكتب الأربعة تبدو مخالفتها للقرآن ومغايرتها له </w:t>
      </w:r>
      <w:r w:rsidRPr="006B7863">
        <w:rPr>
          <w:rtl/>
        </w:rPr>
        <w:lastRenderedPageBreak/>
        <w:t>أوضح من الشمس وأبين من الأمس، ففي الكافي</w:t>
      </w:r>
      <w:r w:rsidRPr="00815C4C">
        <w:rPr>
          <w:rFonts w:cs="Taher"/>
          <w:vertAlign w:val="superscript"/>
          <w:rtl/>
        </w:rPr>
        <w:t>(</w:t>
      </w:r>
      <w:r w:rsidRPr="00815C4C">
        <w:rPr>
          <w:rFonts w:cs="Taher"/>
          <w:vertAlign w:val="superscript"/>
          <w:rtl/>
        </w:rPr>
        <w:footnoteReference w:id="247"/>
      </w:r>
      <w:r w:rsidRPr="00815C4C">
        <w:rPr>
          <w:rFonts w:cs="Taher"/>
          <w:vertAlign w:val="superscript"/>
          <w:rtl/>
        </w:rPr>
        <w:t>)</w:t>
      </w:r>
      <w:r w:rsidRPr="006B7863">
        <w:rPr>
          <w:rtl/>
        </w:rPr>
        <w:t>، ومن لا يحضره الفقيه</w:t>
      </w:r>
      <w:r w:rsidRPr="00815C4C">
        <w:rPr>
          <w:rFonts w:cs="Taher"/>
          <w:vertAlign w:val="superscript"/>
          <w:rtl/>
        </w:rPr>
        <w:t>(</w:t>
      </w:r>
      <w:r w:rsidRPr="00815C4C">
        <w:rPr>
          <w:rFonts w:cs="Taher"/>
          <w:vertAlign w:val="superscript"/>
          <w:rtl/>
        </w:rPr>
        <w:footnoteReference w:id="248"/>
      </w:r>
      <w:r w:rsidRPr="00815C4C">
        <w:rPr>
          <w:rFonts w:cs="Taher"/>
          <w:vertAlign w:val="superscript"/>
          <w:rtl/>
        </w:rPr>
        <w:t>)</w:t>
      </w:r>
      <w:r w:rsidRPr="006B7863">
        <w:rPr>
          <w:rtl/>
        </w:rPr>
        <w:t>، وتهذيب ال</w:t>
      </w:r>
      <w:r>
        <w:rPr>
          <w:rtl/>
        </w:rPr>
        <w:t>أحكام</w:t>
      </w:r>
      <w:r w:rsidRPr="00815C4C">
        <w:rPr>
          <w:rFonts w:cs="Taher"/>
          <w:vertAlign w:val="superscript"/>
          <w:rtl/>
        </w:rPr>
        <w:t>(</w:t>
      </w:r>
      <w:r w:rsidRPr="00815C4C">
        <w:rPr>
          <w:rFonts w:cs="Taher"/>
          <w:vertAlign w:val="superscript"/>
          <w:rtl/>
        </w:rPr>
        <w:footnoteReference w:id="249"/>
      </w:r>
      <w:r w:rsidRPr="00815C4C">
        <w:rPr>
          <w:rFonts w:cs="Taher"/>
          <w:vertAlign w:val="superscript"/>
          <w:rtl/>
        </w:rPr>
        <w:t>)</w:t>
      </w:r>
      <w:r w:rsidRPr="006B7863">
        <w:rPr>
          <w:rtl/>
        </w:rPr>
        <w:t xml:space="preserve">، ثمّة رواية تتحدّث عن حكم الرجم في القرآن الكريم، وهذه هي الآية ـ بحسب الرواية طبعاً ـ: </w:t>
      </w:r>
      <w:r w:rsidRPr="00885E99">
        <w:rPr>
          <w:rtl/>
        </w:rPr>
        <w:t>«</w:t>
      </w:r>
      <w:r w:rsidRPr="006B7863">
        <w:rPr>
          <w:rtl/>
        </w:rPr>
        <w:t>الشيخ والشيخة فارجم</w:t>
      </w:r>
      <w:r>
        <w:rPr>
          <w:rtl/>
        </w:rPr>
        <w:t>وهما البتة، فإنهما قضيا الشهوة»</w:t>
      </w:r>
      <w:r>
        <w:rPr>
          <w:rFonts w:hint="cs"/>
          <w:rtl/>
        </w:rPr>
        <w:t xml:space="preserve">، </w:t>
      </w:r>
      <w:r w:rsidRPr="006B7863">
        <w:rPr>
          <w:rtl/>
        </w:rPr>
        <w:t>أفهل يمكن القول: إن هذه الآية حذفت من القرآن الكريم؟!</w:t>
      </w:r>
    </w:p>
    <w:p w:rsidR="00C87E55" w:rsidRPr="006B7863" w:rsidRDefault="00C87E55" w:rsidP="0098342A">
      <w:pPr>
        <w:pStyle w:val="ac"/>
      </w:pPr>
      <w:r w:rsidRPr="006B7863">
        <w:rPr>
          <w:rtl/>
        </w:rPr>
        <w:t>نعم، مع هذا الدسّ والجعل الوافر في الأحاديث والأخبار لا يغدو هناك وجه لمثل هذه الاستبعادات.</w:t>
      </w:r>
    </w:p>
    <w:p w:rsidR="00C87E55" w:rsidRPr="006B7863" w:rsidRDefault="00C87E55" w:rsidP="0098342A">
      <w:pPr>
        <w:pStyle w:val="ac"/>
      </w:pPr>
      <w:r w:rsidRPr="006B7863">
        <w:rPr>
          <w:rtl/>
        </w:rPr>
        <w:t>لقد تحدّث الإمام الصادق عن أن المغيرة بن سعيد قد وضع الكثير من الروايات، كما لعن الإمام الرضا</w:t>
      </w:r>
      <w:r w:rsidR="0098342A" w:rsidRPr="0098342A">
        <w:rPr>
          <w:rFonts w:hint="cs"/>
          <w:rtl/>
        </w:rPr>
        <w:t>×</w:t>
      </w:r>
      <w:r>
        <w:rPr>
          <w:rtl/>
        </w:rPr>
        <w:t xml:space="preserve"> أبا الخطاب</w:t>
      </w:r>
      <w:r>
        <w:rPr>
          <w:rFonts w:hint="cs"/>
          <w:rtl/>
        </w:rPr>
        <w:t>؛</w:t>
      </w:r>
      <w:r w:rsidRPr="006B7863">
        <w:rPr>
          <w:rtl/>
        </w:rPr>
        <w:t xml:space="preserve"> حيث دسّ هو و</w:t>
      </w:r>
      <w:r>
        <w:rPr>
          <w:rtl/>
        </w:rPr>
        <w:t>أصحاب</w:t>
      </w:r>
      <w:r w:rsidRPr="006B7863">
        <w:rPr>
          <w:rtl/>
        </w:rPr>
        <w:t>ه الكثير من الروايات في مطاوي أحاديث الإمام الصادق</w:t>
      </w:r>
      <w:r w:rsidR="0098342A" w:rsidRPr="0098342A">
        <w:rPr>
          <w:rFonts w:hint="cs"/>
          <w:rtl/>
        </w:rPr>
        <w:t>×</w:t>
      </w:r>
      <w:r w:rsidRPr="00815C4C">
        <w:rPr>
          <w:rFonts w:cs="Taher"/>
          <w:vertAlign w:val="superscript"/>
          <w:rtl/>
        </w:rPr>
        <w:t>(</w:t>
      </w:r>
      <w:r w:rsidRPr="00815C4C">
        <w:rPr>
          <w:rFonts w:cs="Taher"/>
          <w:vertAlign w:val="superscript"/>
          <w:rtl/>
        </w:rPr>
        <w:footnoteReference w:id="250"/>
      </w:r>
      <w:r w:rsidRPr="00815C4C">
        <w:rPr>
          <w:rFonts w:cs="Taher"/>
          <w:vertAlign w:val="superscript"/>
          <w:rtl/>
        </w:rPr>
        <w:t>)</w:t>
      </w:r>
      <w:r w:rsidRPr="006B7863">
        <w:rPr>
          <w:rtl/>
        </w:rPr>
        <w:t>.</w:t>
      </w:r>
    </w:p>
    <w:p w:rsidR="00C87E55" w:rsidRPr="006B7863" w:rsidRDefault="00C87E55" w:rsidP="0098342A">
      <w:pPr>
        <w:pStyle w:val="ac"/>
      </w:pPr>
      <w:r w:rsidRPr="005E2452">
        <w:rPr>
          <w:b/>
          <w:bCs/>
          <w:rtl/>
        </w:rPr>
        <w:t>الملاحظة الخامسة:</w:t>
      </w:r>
      <w:r w:rsidRPr="007D501F">
        <w:rPr>
          <w:rtl/>
        </w:rPr>
        <w:t xml:space="preserve"> </w:t>
      </w:r>
      <w:r w:rsidRPr="006B7863">
        <w:rPr>
          <w:rtl/>
        </w:rPr>
        <w:t>وربما يورد علينا أن الدسّ والجعل في هذه الموضوعات، التي لا تملك بُعداً سياسياً ولا عقائدياً، لا فائدة منه.</w:t>
      </w:r>
    </w:p>
    <w:p w:rsidR="00C87E55" w:rsidRPr="006B7863" w:rsidRDefault="00C87E55" w:rsidP="005067D6">
      <w:pPr>
        <w:pStyle w:val="ac"/>
      </w:pPr>
      <w:r w:rsidRPr="004772D7">
        <w:rPr>
          <w:b/>
          <w:bCs/>
          <w:rtl/>
        </w:rPr>
        <w:t>والجواب:</w:t>
      </w:r>
      <w:r w:rsidRPr="007D501F">
        <w:rPr>
          <w:rtl/>
        </w:rPr>
        <w:t xml:space="preserve"> </w:t>
      </w:r>
      <w:r w:rsidRPr="006B7863">
        <w:rPr>
          <w:rtl/>
        </w:rPr>
        <w:t>إن إيجاد النفور وتشويه صورة الأئمة المعصومين</w:t>
      </w:r>
      <w:r w:rsidR="005067D6" w:rsidRPr="005067D6">
        <w:rPr>
          <w:rFonts w:hint="cs"/>
          <w:rtl/>
        </w:rPr>
        <w:t>^</w:t>
      </w:r>
      <w:r w:rsidRPr="006B7863">
        <w:rPr>
          <w:rtl/>
        </w:rPr>
        <w:t xml:space="preserve"> بين الناس، لا سيما النساء منهم، يمكن أن يكون دافعاً من دوافع الوضع والدس</w:t>
      </w:r>
      <w:r>
        <w:rPr>
          <w:rFonts w:hint="cs"/>
          <w:rtl/>
        </w:rPr>
        <w:t>ّ</w:t>
      </w:r>
      <w:r w:rsidRPr="006B7863">
        <w:rPr>
          <w:rtl/>
        </w:rPr>
        <w:t xml:space="preserve"> هنا، تماماً كما يصدق هذا الاحتمال في مورد أخبار تحريف القرآن، فأهل السنّة لم يكونوا قائلين بتحريف القرآن، ولذا كان وضع هذه الأخبار لإحداث القطيعة والنفور مع المذهب الشيعي.</w:t>
      </w:r>
    </w:p>
    <w:p w:rsidR="00C87E55" w:rsidRPr="006B7863" w:rsidRDefault="00C87E55" w:rsidP="0098342A">
      <w:pPr>
        <w:pStyle w:val="ac"/>
      </w:pPr>
      <w:r w:rsidRPr="004772D7">
        <w:rPr>
          <w:b/>
          <w:bCs/>
          <w:rtl/>
        </w:rPr>
        <w:t>الملاحظة السادسة:</w:t>
      </w:r>
      <w:r w:rsidRPr="007D501F">
        <w:rPr>
          <w:rtl/>
        </w:rPr>
        <w:t xml:space="preserve"> </w:t>
      </w:r>
      <w:r w:rsidRPr="006B7863">
        <w:rPr>
          <w:rtl/>
        </w:rPr>
        <w:t>قد يقال: إن التمييز في القصاص بين الرجل والمرأة إنما جاء من كون نفقة</w:t>
      </w:r>
      <w:r>
        <w:rPr>
          <w:rtl/>
        </w:rPr>
        <w:t xml:space="preserve"> المرأة </w:t>
      </w:r>
      <w:r w:rsidRPr="006B7863">
        <w:rPr>
          <w:rtl/>
        </w:rPr>
        <w:t>على الرجل، وأن</w:t>
      </w:r>
      <w:r>
        <w:rPr>
          <w:rFonts w:hint="cs"/>
          <w:rtl/>
        </w:rPr>
        <w:t>ّ</w:t>
      </w:r>
      <w:r w:rsidRPr="006B7863">
        <w:rPr>
          <w:rtl/>
        </w:rPr>
        <w:t xml:space="preserve"> الأخير هو </w:t>
      </w:r>
      <w:r>
        <w:rPr>
          <w:rtl/>
        </w:rPr>
        <w:t>أساس</w:t>
      </w:r>
      <w:r w:rsidRPr="006B7863">
        <w:rPr>
          <w:rtl/>
        </w:rPr>
        <w:t xml:space="preserve"> اقتصاد ال</w:t>
      </w:r>
      <w:r>
        <w:rPr>
          <w:rtl/>
        </w:rPr>
        <w:t>أسرة</w:t>
      </w:r>
      <w:r w:rsidRPr="006B7863">
        <w:rPr>
          <w:rtl/>
        </w:rPr>
        <w:t xml:space="preserve"> وعمودها، ولهذا فإذا كان القاتل رجلاً ثم أرادوا القصاص منه لزمهم أن يدفعوا</w:t>
      </w:r>
      <w:r>
        <w:rPr>
          <w:rtl/>
        </w:rPr>
        <w:t xml:space="preserve"> إلى </w:t>
      </w:r>
      <w:r w:rsidRPr="006B7863">
        <w:rPr>
          <w:rtl/>
        </w:rPr>
        <w:t>أسرته نصف دية ال</w:t>
      </w:r>
      <w:r>
        <w:rPr>
          <w:rtl/>
        </w:rPr>
        <w:t>إنسان</w:t>
      </w:r>
      <w:r w:rsidRPr="006B7863">
        <w:rPr>
          <w:rtl/>
        </w:rPr>
        <w:t>.</w:t>
      </w:r>
    </w:p>
    <w:p w:rsidR="00C87E55" w:rsidRPr="006B7863" w:rsidRDefault="00C87E55" w:rsidP="0098342A">
      <w:pPr>
        <w:pStyle w:val="ac"/>
      </w:pPr>
      <w:r w:rsidRPr="004772D7">
        <w:rPr>
          <w:b/>
          <w:bCs/>
          <w:rtl/>
        </w:rPr>
        <w:t>والجواب:</w:t>
      </w:r>
      <w:r w:rsidRPr="006B7863">
        <w:rPr>
          <w:rtl/>
        </w:rPr>
        <w:t xml:space="preserve"> إن هذا التبرير لا </w:t>
      </w:r>
      <w:r>
        <w:rPr>
          <w:rtl/>
        </w:rPr>
        <w:t>أساس</w:t>
      </w:r>
      <w:r w:rsidRPr="006B7863">
        <w:rPr>
          <w:rtl/>
        </w:rPr>
        <w:t xml:space="preserve"> ديني</w:t>
      </w:r>
      <w:r>
        <w:rPr>
          <w:rFonts w:hint="cs"/>
          <w:rtl/>
        </w:rPr>
        <w:t>ّ</w:t>
      </w:r>
      <w:r>
        <w:rPr>
          <w:rtl/>
        </w:rPr>
        <w:t xml:space="preserve"> ولا علمي له</w:t>
      </w:r>
      <w:r>
        <w:rPr>
          <w:rFonts w:hint="cs"/>
          <w:rtl/>
        </w:rPr>
        <w:t>؛</w:t>
      </w:r>
      <w:r w:rsidRPr="006B7863">
        <w:rPr>
          <w:rtl/>
        </w:rPr>
        <w:t xml:space="preserve"> ذلك أنه من اللازم صدقه </w:t>
      </w:r>
      <w:r w:rsidRPr="006B7863">
        <w:rPr>
          <w:rtl/>
        </w:rPr>
        <w:lastRenderedPageBreak/>
        <w:t>على الأطفال الصغار، والع</w:t>
      </w:r>
      <w:r>
        <w:rPr>
          <w:rtl/>
        </w:rPr>
        <w:t>جزة الكبار، والرجال المقعدين و.</w:t>
      </w:r>
      <w:r w:rsidRPr="006B7863">
        <w:rPr>
          <w:rtl/>
        </w:rPr>
        <w:t>. مم</w:t>
      </w:r>
      <w:r>
        <w:rPr>
          <w:rFonts w:hint="cs"/>
          <w:rtl/>
        </w:rPr>
        <w:t>ّ</w:t>
      </w:r>
      <w:r w:rsidRPr="006B7863">
        <w:rPr>
          <w:rtl/>
        </w:rPr>
        <w:t>ن لا يرتهن لهم اقتصاد ال</w:t>
      </w:r>
      <w:r>
        <w:rPr>
          <w:rtl/>
        </w:rPr>
        <w:t>أسرة</w:t>
      </w:r>
      <w:r w:rsidRPr="006B7863">
        <w:rPr>
          <w:rtl/>
        </w:rPr>
        <w:t>، وكذا يلزم صدقه على</w:t>
      </w:r>
      <w:r>
        <w:rPr>
          <w:rtl/>
        </w:rPr>
        <w:t xml:space="preserve"> المرأة </w:t>
      </w:r>
      <w:r w:rsidRPr="006B7863">
        <w:rPr>
          <w:rtl/>
        </w:rPr>
        <w:t>العاملة، وهي كثيرة اليوم، رغم أنهم لا يرضون بذلك.</w:t>
      </w:r>
    </w:p>
    <w:p w:rsidR="00C87E55" w:rsidRDefault="00C87E55" w:rsidP="0098342A">
      <w:pPr>
        <w:pStyle w:val="ac"/>
        <w:rPr>
          <w:rtl/>
        </w:rPr>
      </w:pPr>
      <w:r w:rsidRPr="006B7863">
        <w:rPr>
          <w:rtl/>
        </w:rPr>
        <w:t>إضافةً</w:t>
      </w:r>
      <w:r>
        <w:rPr>
          <w:rtl/>
        </w:rPr>
        <w:t xml:space="preserve"> إلى </w:t>
      </w:r>
      <w:r w:rsidRPr="006B7863">
        <w:rPr>
          <w:rtl/>
        </w:rPr>
        <w:t>ذلك، فالدية مقابل الدم، أي أن</w:t>
      </w:r>
      <w:r>
        <w:rPr>
          <w:rFonts w:hint="cs"/>
          <w:rtl/>
        </w:rPr>
        <w:t>ّ</w:t>
      </w:r>
      <w:r w:rsidRPr="006B7863">
        <w:rPr>
          <w:rtl/>
        </w:rPr>
        <w:t>ها قيمته، كما جاء معناها كذلك في كتب اللغة مثل مفردات الراغب الإصفهاني</w:t>
      </w:r>
      <w:r w:rsidRPr="00815C4C">
        <w:rPr>
          <w:rFonts w:cs="Taher"/>
          <w:vertAlign w:val="superscript"/>
          <w:rtl/>
        </w:rPr>
        <w:t>(</w:t>
      </w:r>
      <w:r w:rsidRPr="00815C4C">
        <w:rPr>
          <w:rFonts w:cs="Taher"/>
          <w:vertAlign w:val="superscript"/>
          <w:rtl/>
        </w:rPr>
        <w:footnoteReference w:id="251"/>
      </w:r>
      <w:r w:rsidRPr="00815C4C">
        <w:rPr>
          <w:rFonts w:cs="Taher"/>
          <w:vertAlign w:val="superscript"/>
          <w:rtl/>
        </w:rPr>
        <w:t>)</w:t>
      </w:r>
      <w:r w:rsidRPr="006B7863">
        <w:rPr>
          <w:rtl/>
        </w:rPr>
        <w:t>، ومن ثم لا علاقة لها إطلاقاً بموضوع الاقتصاد والمعيشة.</w:t>
      </w:r>
    </w:p>
    <w:p w:rsidR="00AB3AAA" w:rsidRPr="00AB3AAA" w:rsidRDefault="00AB3AAA" w:rsidP="00AB3AAA">
      <w:pPr>
        <w:pStyle w:val="afffffc"/>
        <w:rPr>
          <w:sz w:val="24"/>
          <w:szCs w:val="22"/>
        </w:rPr>
      </w:pPr>
    </w:p>
    <w:p w:rsidR="00C87E55" w:rsidRPr="007D501F" w:rsidRDefault="00C87E55" w:rsidP="00AB3AAA">
      <w:pPr>
        <w:pStyle w:val="4"/>
      </w:pPr>
      <w:bookmarkStart w:id="242" w:name="_Toc275127980"/>
      <w:r>
        <w:rPr>
          <w:rtl/>
        </w:rPr>
        <w:t>ب ـ مخالفة الروايات والأخبار</w:t>
      </w:r>
      <w:bookmarkEnd w:id="242"/>
    </w:p>
    <w:p w:rsidR="00C87E55" w:rsidRDefault="00C87E55" w:rsidP="0098342A">
      <w:pPr>
        <w:pStyle w:val="ac"/>
        <w:rPr>
          <w:rtl/>
        </w:rPr>
      </w:pPr>
      <w:r w:rsidRPr="006B7863">
        <w:rPr>
          <w:rtl/>
        </w:rPr>
        <w:t>وتخالف الرواياتُ هنا ـ إضافةً</w:t>
      </w:r>
      <w:r>
        <w:rPr>
          <w:rtl/>
        </w:rPr>
        <w:t xml:space="preserve"> إلى </w:t>
      </w:r>
      <w:r w:rsidRPr="006B7863">
        <w:rPr>
          <w:rtl/>
        </w:rPr>
        <w:t>آيات القرآن كما تقدّم ـ الأخبارَ الدالّة على عدل الله سبحانه وحكمته، والتي تنفي ـ كذلك ـ الظلم عنه والجور، وهذه الروايات كثيرة لا ترديد في يقينيتها وتواترها.</w:t>
      </w:r>
    </w:p>
    <w:p w:rsidR="0098342A" w:rsidRPr="00AB3AAA" w:rsidRDefault="0098342A" w:rsidP="00AB3AAA">
      <w:pPr>
        <w:pStyle w:val="afffffc"/>
      </w:pPr>
    </w:p>
    <w:p w:rsidR="00C87E55" w:rsidRPr="007D501F" w:rsidRDefault="00C87E55" w:rsidP="00AB3AAA">
      <w:pPr>
        <w:pStyle w:val="4"/>
      </w:pPr>
      <w:bookmarkStart w:id="243" w:name="_Toc275127981"/>
      <w:r w:rsidRPr="007D501F">
        <w:rPr>
          <w:rtl/>
        </w:rPr>
        <w:t>ج ـ مخالفة العقل</w:t>
      </w:r>
      <w:bookmarkEnd w:id="243"/>
    </w:p>
    <w:p w:rsidR="00C87E55" w:rsidRDefault="00C87E55" w:rsidP="00C87E55">
      <w:pPr>
        <w:pStyle w:val="ac"/>
        <w:rPr>
          <w:rtl/>
        </w:rPr>
      </w:pPr>
      <w:r w:rsidRPr="006B7863">
        <w:rPr>
          <w:rtl/>
        </w:rPr>
        <w:t>لا ينسجم التمييز في القصاص مع القواعد العقلائية المسلّمة وال</w:t>
      </w:r>
      <w:r>
        <w:rPr>
          <w:rtl/>
        </w:rPr>
        <w:t>أحكام العقلية اليقينية</w:t>
      </w:r>
      <w:r>
        <w:rPr>
          <w:rFonts w:hint="cs"/>
          <w:rtl/>
        </w:rPr>
        <w:t>؛</w:t>
      </w:r>
      <w:r w:rsidRPr="006B7863">
        <w:rPr>
          <w:rtl/>
        </w:rPr>
        <w:t xml:space="preserve"> ذلك أن العقل يعدّ الظلم من الله قبيحاً، وصدوره عنه تعالى محالاً، ومن الواضح أن التمييز في الدية والقصاص مصداق بارز وظلم شاخص.</w:t>
      </w:r>
    </w:p>
    <w:p w:rsidR="0098342A" w:rsidRPr="00AB3AAA" w:rsidRDefault="0098342A" w:rsidP="00AB3AAA">
      <w:pPr>
        <w:pStyle w:val="afffffc"/>
        <w:rPr>
          <w:sz w:val="20"/>
          <w:szCs w:val="18"/>
          <w:rtl/>
        </w:rPr>
      </w:pPr>
    </w:p>
    <w:p w:rsidR="00C87E55" w:rsidRPr="00D457EB" w:rsidRDefault="00C87E55" w:rsidP="00AB3AAA">
      <w:pPr>
        <w:pStyle w:val="3"/>
      </w:pPr>
      <w:bookmarkStart w:id="244" w:name="_Toc169521431"/>
      <w:bookmarkStart w:id="245" w:name="_Toc275127982"/>
      <w:r w:rsidRPr="00D457EB">
        <w:rPr>
          <w:rtl/>
        </w:rPr>
        <w:t>2 ـ معارضة الروايات الأخرى</w:t>
      </w:r>
      <w:bookmarkEnd w:id="244"/>
      <w:bookmarkEnd w:id="245"/>
    </w:p>
    <w:p w:rsidR="00C87E55" w:rsidRPr="006B7863" w:rsidRDefault="00C87E55" w:rsidP="0098342A">
      <w:pPr>
        <w:pStyle w:val="ac"/>
      </w:pPr>
      <w:r w:rsidRPr="006B7863">
        <w:rPr>
          <w:rtl/>
        </w:rPr>
        <w:t>تعارض ـ كما أشرنا لذلك ـ روايات</w:t>
      </w:r>
      <w:r>
        <w:rPr>
          <w:rFonts w:hint="cs"/>
          <w:rtl/>
        </w:rPr>
        <w:t>ُ</w:t>
      </w:r>
      <w:r w:rsidRPr="006B7863">
        <w:rPr>
          <w:rtl/>
        </w:rPr>
        <w:t xml:space="preserve"> التمييز في القصاص بين الرجل والمرأة عدّةَ روايات تثبت خلافها وهي:</w:t>
      </w:r>
    </w:p>
    <w:p w:rsidR="00C87E55" w:rsidRPr="006B7863" w:rsidRDefault="00C87E55" w:rsidP="005067D6">
      <w:pPr>
        <w:pStyle w:val="ac"/>
      </w:pPr>
      <w:r w:rsidRPr="006B7863">
        <w:rPr>
          <w:rtl/>
        </w:rPr>
        <w:t>1 ـ صحيحة أبي مريم الأنصاري ـ وهو عبدالغفار بن القاسم ـ عن أبي جعفر</w:t>
      </w:r>
      <w:r w:rsidR="005067D6">
        <w:rPr>
          <w:rFonts w:hint="cs"/>
          <w:sz w:val="27"/>
          <w:rtl/>
        </w:rPr>
        <w:t>×</w:t>
      </w:r>
      <w:r>
        <w:rPr>
          <w:rFonts w:cs="PT Bold Heading" w:hint="cs"/>
          <w:noProof/>
          <w:sz w:val="30"/>
          <w:rtl/>
        </w:rPr>
        <w:t xml:space="preserve"> </w:t>
      </w:r>
      <w:r w:rsidRPr="006B7863">
        <w:rPr>
          <w:rtl/>
        </w:rPr>
        <w:t xml:space="preserve">قال: «في </w:t>
      </w:r>
      <w:r>
        <w:rPr>
          <w:rFonts w:hint="cs"/>
          <w:rtl/>
        </w:rPr>
        <w:t>ا</w:t>
      </w:r>
      <w:r>
        <w:rPr>
          <w:rtl/>
        </w:rPr>
        <w:t>مر</w:t>
      </w:r>
      <w:r w:rsidRPr="006B7863">
        <w:rPr>
          <w:rtl/>
        </w:rPr>
        <w:t>أة قتلت رجلاً، قا</w:t>
      </w:r>
      <w:r>
        <w:rPr>
          <w:rtl/>
        </w:rPr>
        <w:t>ل: تقتل ويؤدي وليها بقية المال»</w:t>
      </w:r>
      <w:r>
        <w:rPr>
          <w:rFonts w:hint="cs"/>
          <w:rtl/>
        </w:rPr>
        <w:t xml:space="preserve">، </w:t>
      </w:r>
      <w:r w:rsidRPr="006B7863">
        <w:rPr>
          <w:rtl/>
        </w:rPr>
        <w:t>وفي رواية محمد بن علي بن محبوب: «بقية الدية»</w:t>
      </w:r>
      <w:r w:rsidRPr="00815C4C">
        <w:rPr>
          <w:rFonts w:cs="Taher"/>
          <w:vertAlign w:val="superscript"/>
          <w:rtl/>
        </w:rPr>
        <w:t>(</w:t>
      </w:r>
      <w:r w:rsidRPr="00815C4C">
        <w:rPr>
          <w:rFonts w:cs="Taher"/>
          <w:vertAlign w:val="superscript"/>
          <w:rtl/>
        </w:rPr>
        <w:footnoteReference w:id="252"/>
      </w:r>
      <w:r w:rsidRPr="00815C4C">
        <w:rPr>
          <w:rFonts w:cs="Taher"/>
          <w:vertAlign w:val="superscript"/>
          <w:rtl/>
        </w:rPr>
        <w:t>)</w:t>
      </w:r>
      <w:r w:rsidRPr="006B7863">
        <w:rPr>
          <w:rtl/>
        </w:rPr>
        <w:t>.</w:t>
      </w:r>
    </w:p>
    <w:p w:rsidR="00C87E55" w:rsidRPr="006B7863" w:rsidRDefault="00C87E55" w:rsidP="0098342A">
      <w:pPr>
        <w:pStyle w:val="ac"/>
      </w:pPr>
      <w:r w:rsidRPr="006B7863">
        <w:rPr>
          <w:rtl/>
        </w:rPr>
        <w:lastRenderedPageBreak/>
        <w:t>وقد نقلت هذه الرواية ـ كما صرّح الشيخ الطوسي ـ في كتب متعدّدة، رغم أن راويها أبو مريم وكونها شاذّة</w:t>
      </w:r>
      <w:r w:rsidRPr="00815C4C">
        <w:rPr>
          <w:rFonts w:cs="Taher"/>
          <w:vertAlign w:val="superscript"/>
          <w:rtl/>
        </w:rPr>
        <w:t>(</w:t>
      </w:r>
      <w:r w:rsidRPr="00815C4C">
        <w:rPr>
          <w:rFonts w:cs="Taher"/>
          <w:vertAlign w:val="superscript"/>
          <w:rtl/>
        </w:rPr>
        <w:footnoteReference w:id="253"/>
      </w:r>
      <w:r w:rsidRPr="00815C4C">
        <w:rPr>
          <w:rFonts w:cs="Taher"/>
          <w:vertAlign w:val="superscript"/>
          <w:rtl/>
        </w:rPr>
        <w:t>)</w:t>
      </w:r>
      <w:r w:rsidRPr="006B7863">
        <w:rPr>
          <w:rtl/>
        </w:rPr>
        <w:t>.</w:t>
      </w:r>
    </w:p>
    <w:p w:rsidR="00C87E55" w:rsidRPr="006B7863" w:rsidRDefault="00C87E55" w:rsidP="0098342A">
      <w:pPr>
        <w:pStyle w:val="ac"/>
      </w:pPr>
      <w:r w:rsidRPr="006B7863">
        <w:rPr>
          <w:rtl/>
        </w:rPr>
        <w:t>2 ـ موثقة السكوني عن أبي عبدالله</w:t>
      </w:r>
      <w:r w:rsidR="0098342A" w:rsidRPr="0098342A">
        <w:rPr>
          <w:rFonts w:hint="cs"/>
          <w:rtl/>
        </w:rPr>
        <w:t>×</w:t>
      </w:r>
      <w:r w:rsidRPr="006B7863">
        <w:rPr>
          <w:rtl/>
        </w:rPr>
        <w:t>: «إن أميرالمؤمنين</w:t>
      </w:r>
      <w:r w:rsidR="0098342A" w:rsidRPr="0098342A">
        <w:rPr>
          <w:rFonts w:hint="cs"/>
          <w:rtl/>
        </w:rPr>
        <w:t>×</w:t>
      </w:r>
      <w:r w:rsidRPr="006B7863">
        <w:rPr>
          <w:rtl/>
        </w:rPr>
        <w:t xml:space="preserve"> قتل رجلاً ب</w:t>
      </w:r>
      <w:r>
        <w:rPr>
          <w:rFonts w:hint="cs"/>
          <w:rtl/>
        </w:rPr>
        <w:t>ا</w:t>
      </w:r>
      <w:r>
        <w:rPr>
          <w:rtl/>
        </w:rPr>
        <w:t>مر</w:t>
      </w:r>
      <w:r w:rsidRPr="006B7863">
        <w:rPr>
          <w:rtl/>
        </w:rPr>
        <w:t xml:space="preserve">أة قتلها عمداً، وقتل </w:t>
      </w:r>
      <w:r>
        <w:rPr>
          <w:rFonts w:hint="cs"/>
          <w:rtl/>
        </w:rPr>
        <w:t>ا</w:t>
      </w:r>
      <w:r>
        <w:rPr>
          <w:rtl/>
        </w:rPr>
        <w:t>مر</w:t>
      </w:r>
      <w:r w:rsidRPr="006B7863">
        <w:rPr>
          <w:rtl/>
        </w:rPr>
        <w:t>أةً قتلت رجلاً عمداً»</w:t>
      </w:r>
      <w:r w:rsidRPr="00815C4C">
        <w:rPr>
          <w:rFonts w:cs="Taher"/>
          <w:vertAlign w:val="superscript"/>
          <w:rtl/>
        </w:rPr>
        <w:t>(</w:t>
      </w:r>
      <w:r w:rsidRPr="00815C4C">
        <w:rPr>
          <w:rFonts w:cs="Taher"/>
          <w:vertAlign w:val="superscript"/>
          <w:rtl/>
        </w:rPr>
        <w:footnoteReference w:id="254"/>
      </w:r>
      <w:r w:rsidRPr="00815C4C">
        <w:rPr>
          <w:rFonts w:cs="Taher"/>
          <w:vertAlign w:val="superscript"/>
          <w:rtl/>
        </w:rPr>
        <w:t>)</w:t>
      </w:r>
      <w:r w:rsidRPr="006B7863">
        <w:rPr>
          <w:rtl/>
        </w:rPr>
        <w:t>.</w:t>
      </w:r>
    </w:p>
    <w:p w:rsidR="00C87E55" w:rsidRPr="006B7863" w:rsidRDefault="00C87E55" w:rsidP="0098342A">
      <w:pPr>
        <w:pStyle w:val="ac"/>
      </w:pPr>
      <w:r w:rsidRPr="006B7863">
        <w:rPr>
          <w:rtl/>
        </w:rPr>
        <w:t>3 ـ خبر إسحاق بن عم</w:t>
      </w:r>
      <w:r>
        <w:rPr>
          <w:rFonts w:hint="cs"/>
          <w:rtl/>
        </w:rPr>
        <w:t>ّ</w:t>
      </w:r>
      <w:r w:rsidRPr="006B7863">
        <w:rPr>
          <w:rtl/>
        </w:rPr>
        <w:t>ار عن جعفر</w:t>
      </w:r>
      <w:r w:rsidR="0098342A" w:rsidRPr="0098342A">
        <w:rPr>
          <w:rFonts w:hint="cs"/>
          <w:rtl/>
        </w:rPr>
        <w:t>×</w:t>
      </w:r>
      <w:r w:rsidRPr="006B7863">
        <w:rPr>
          <w:rtl/>
        </w:rPr>
        <w:t>: «إن</w:t>
      </w:r>
      <w:r>
        <w:rPr>
          <w:rFonts w:hint="cs"/>
          <w:rtl/>
        </w:rPr>
        <w:t>ّ</w:t>
      </w:r>
      <w:r w:rsidRPr="006B7863">
        <w:rPr>
          <w:rtl/>
        </w:rPr>
        <w:t xml:space="preserve"> رجلاً قتل </w:t>
      </w:r>
      <w:r>
        <w:rPr>
          <w:rFonts w:hint="cs"/>
          <w:rtl/>
        </w:rPr>
        <w:t>ا</w:t>
      </w:r>
      <w:r>
        <w:rPr>
          <w:rtl/>
        </w:rPr>
        <w:t>مر</w:t>
      </w:r>
      <w:r w:rsidRPr="006B7863">
        <w:rPr>
          <w:rtl/>
        </w:rPr>
        <w:t>أة، فلم يجعل عل</w:t>
      </w:r>
      <w:r>
        <w:rPr>
          <w:rFonts w:hint="cs"/>
          <w:rtl/>
        </w:rPr>
        <w:t>ي</w:t>
      </w:r>
      <w:r w:rsidRPr="006B7863">
        <w:rPr>
          <w:rtl/>
        </w:rPr>
        <w:t>ّ</w:t>
      </w:r>
      <w:r w:rsidR="0098342A" w:rsidRPr="0098342A">
        <w:rPr>
          <w:rFonts w:hint="cs"/>
          <w:rtl/>
        </w:rPr>
        <w:t>×</w:t>
      </w:r>
      <w:r>
        <w:rPr>
          <w:rFonts w:cs="PT Bold Heading" w:hint="cs"/>
          <w:noProof/>
          <w:sz w:val="30"/>
          <w:rtl/>
        </w:rPr>
        <w:t xml:space="preserve"> </w:t>
      </w:r>
      <w:r w:rsidRPr="006B7863">
        <w:rPr>
          <w:rtl/>
        </w:rPr>
        <w:t>بينهما قصاصاً، وألزمه الدية»</w:t>
      </w:r>
      <w:r w:rsidRPr="00815C4C">
        <w:rPr>
          <w:rFonts w:cs="Taher"/>
          <w:vertAlign w:val="superscript"/>
          <w:rtl/>
        </w:rPr>
        <w:t>(</w:t>
      </w:r>
      <w:r w:rsidRPr="00815C4C">
        <w:rPr>
          <w:rFonts w:cs="Taher"/>
          <w:vertAlign w:val="superscript"/>
          <w:rtl/>
        </w:rPr>
        <w:footnoteReference w:id="255"/>
      </w:r>
      <w:r w:rsidRPr="00815C4C">
        <w:rPr>
          <w:rFonts w:cs="Taher"/>
          <w:vertAlign w:val="superscript"/>
          <w:rtl/>
        </w:rPr>
        <w:t>)</w:t>
      </w:r>
      <w:r w:rsidRPr="006B7863">
        <w:rPr>
          <w:rtl/>
        </w:rPr>
        <w:t>.</w:t>
      </w:r>
    </w:p>
    <w:p w:rsidR="00C87E55" w:rsidRPr="006B7863" w:rsidRDefault="00C87E55" w:rsidP="0098342A">
      <w:pPr>
        <w:pStyle w:val="ac"/>
      </w:pPr>
      <w:r w:rsidRPr="006B7863">
        <w:rPr>
          <w:rtl/>
        </w:rPr>
        <w:t>إن</w:t>
      </w:r>
      <w:r>
        <w:rPr>
          <w:rFonts w:hint="cs"/>
          <w:rtl/>
        </w:rPr>
        <w:t>ّ</w:t>
      </w:r>
      <w:r w:rsidRPr="006B7863">
        <w:rPr>
          <w:rtl/>
        </w:rPr>
        <w:t xml:space="preserve"> هذه الروايات الثلاث مختلفة من حيث المضمون، فالأولى منها تقضي بلزوم دفع نصف الدية ـ في قصاص</w:t>
      </w:r>
      <w:r>
        <w:rPr>
          <w:rtl/>
        </w:rPr>
        <w:t xml:space="preserve"> المرأة </w:t>
      </w:r>
      <w:r w:rsidRPr="006B7863">
        <w:rPr>
          <w:rtl/>
        </w:rPr>
        <w:t>ـ ل</w:t>
      </w:r>
      <w:r>
        <w:rPr>
          <w:rtl/>
        </w:rPr>
        <w:t>أسرة</w:t>
      </w:r>
      <w:r w:rsidRPr="006B7863">
        <w:rPr>
          <w:rtl/>
        </w:rPr>
        <w:t xml:space="preserve"> الرجل المقتول، أما الرواية الثانية فلا تضع فرقاً بين الرجل والمرأة في القصاص، فيما تنفي الرواية الثالثة القصاص عن الرجل القاتل، لكن رغم هذا الاختلاف كلّه ما بين هذه الروايات الثلاث إلاّ أنها تعارض الطائفة الأولى من الروايات.</w:t>
      </w:r>
    </w:p>
    <w:p w:rsidR="00C87E55" w:rsidRPr="006B7863" w:rsidRDefault="00C87E55" w:rsidP="0098342A">
      <w:pPr>
        <w:pStyle w:val="ac"/>
      </w:pPr>
      <w:r w:rsidRPr="006B7863">
        <w:rPr>
          <w:rtl/>
        </w:rPr>
        <w:t>وعليه، فالعمل بمضمونها مشكل وصعب، والمفترض الحكم بالتساقط في الجميع، ومن ثم</w:t>
      </w:r>
      <w:r>
        <w:rPr>
          <w:rFonts w:hint="cs"/>
          <w:rtl/>
        </w:rPr>
        <w:t>ّ</w:t>
      </w:r>
      <w:r w:rsidRPr="006B7863">
        <w:rPr>
          <w:rtl/>
        </w:rPr>
        <w:t xml:space="preserve"> جعل المستند في تساوي القصاص الأدلّة القرآنية، وعليه، فالرواية الثانية، وهي موثقة السكوني، تصرّح بمبدأ التساوي في القصاص، خلافاً للروايات السابقة التي تضع فرقاً فيه بين الرجل والمرأة، وبعد إيقاع المعارضة بين الطرفين يمكن القول برجحان كفّة موثقة السكوني</w:t>
      </w:r>
      <w:r w:rsidR="0098342A">
        <w:rPr>
          <w:rFonts w:hint="cs"/>
          <w:rtl/>
        </w:rPr>
        <w:t>؛</w:t>
      </w:r>
      <w:r w:rsidRPr="006B7863">
        <w:rPr>
          <w:rtl/>
        </w:rPr>
        <w:t xml:space="preserve"> نظراً لموافقتها للكتاب، ومن ثم</w:t>
      </w:r>
      <w:r>
        <w:rPr>
          <w:rFonts w:hint="cs"/>
          <w:rtl/>
        </w:rPr>
        <w:t>ّ</w:t>
      </w:r>
      <w:r w:rsidRPr="006B7863">
        <w:rPr>
          <w:rtl/>
        </w:rPr>
        <w:t xml:space="preserve"> جعلها </w:t>
      </w:r>
      <w:r>
        <w:rPr>
          <w:rtl/>
        </w:rPr>
        <w:t>أساس</w:t>
      </w:r>
      <w:r w:rsidRPr="006B7863">
        <w:rPr>
          <w:rtl/>
        </w:rPr>
        <w:t>اً للعمل.</w:t>
      </w:r>
    </w:p>
    <w:p w:rsidR="00C87E55" w:rsidRDefault="00C87E55" w:rsidP="00651EB1">
      <w:pPr>
        <w:pStyle w:val="ac"/>
        <w:rPr>
          <w:rtl/>
        </w:rPr>
      </w:pPr>
      <w:r w:rsidRPr="006B7863">
        <w:rPr>
          <w:rtl/>
        </w:rPr>
        <w:t>نعم، على فرض صدور الروايات ال</w:t>
      </w:r>
      <w:r>
        <w:rPr>
          <w:rtl/>
        </w:rPr>
        <w:t>أخرى</w:t>
      </w:r>
      <w:r w:rsidRPr="006B7863">
        <w:rPr>
          <w:rtl/>
        </w:rPr>
        <w:t xml:space="preserve"> ينبغي التزام الصمت والسكوت فيها،</w:t>
      </w:r>
      <w:r>
        <w:rPr>
          <w:rtl/>
        </w:rPr>
        <w:t xml:space="preserve"> أو </w:t>
      </w:r>
      <w:r w:rsidRPr="006B7863">
        <w:rPr>
          <w:rtl/>
        </w:rPr>
        <w:t>إيكال علمها</w:t>
      </w:r>
      <w:r>
        <w:rPr>
          <w:rtl/>
        </w:rPr>
        <w:t xml:space="preserve"> إلى </w:t>
      </w:r>
      <w:r w:rsidRPr="006B7863">
        <w:rPr>
          <w:rtl/>
        </w:rPr>
        <w:t>أهلها.</w:t>
      </w:r>
    </w:p>
    <w:p w:rsidR="0098342A" w:rsidRPr="00AB3AAA" w:rsidRDefault="0098342A" w:rsidP="00AB3AAA">
      <w:pPr>
        <w:pStyle w:val="afffffc"/>
        <w:rPr>
          <w:sz w:val="28"/>
          <w:szCs w:val="26"/>
        </w:rPr>
      </w:pPr>
    </w:p>
    <w:p w:rsidR="00C87E55" w:rsidRPr="00D457EB" w:rsidRDefault="00C87E55" w:rsidP="00AB3AAA">
      <w:pPr>
        <w:pStyle w:val="2"/>
      </w:pPr>
      <w:bookmarkStart w:id="246" w:name="_Toc169521432"/>
      <w:bookmarkStart w:id="247" w:name="_Toc275127983"/>
      <w:r w:rsidRPr="00D457EB">
        <w:rPr>
          <w:rtl/>
        </w:rPr>
        <w:t>الدليل الثالث</w:t>
      </w:r>
      <w:r w:rsidRPr="003A6D60">
        <w:rPr>
          <w:rFonts w:cs="Simplified Arabic"/>
          <w:rtl/>
        </w:rPr>
        <w:t>:</w:t>
      </w:r>
      <w:r w:rsidRPr="00D457EB">
        <w:rPr>
          <w:rtl/>
        </w:rPr>
        <w:t xml:space="preserve"> الإجماع</w:t>
      </w:r>
      <w:bookmarkEnd w:id="246"/>
      <w:bookmarkEnd w:id="247"/>
    </w:p>
    <w:p w:rsidR="00C87E55" w:rsidRPr="006B7863" w:rsidRDefault="00C87E55" w:rsidP="00651EB1">
      <w:pPr>
        <w:pStyle w:val="ac"/>
      </w:pPr>
      <w:r w:rsidRPr="006B7863">
        <w:rPr>
          <w:rtl/>
        </w:rPr>
        <w:t xml:space="preserve">ثالث أدلّة القائلين بالتمييز في القصاص بين الرجل والمرأة هو الإجماع، كما أشرنا </w:t>
      </w:r>
      <w:r w:rsidRPr="006B7863">
        <w:rPr>
          <w:rtl/>
        </w:rPr>
        <w:lastRenderedPageBreak/>
        <w:t>إليه لدى نقل كلمات الفقهاء.</w:t>
      </w:r>
    </w:p>
    <w:p w:rsidR="00C87E55" w:rsidRPr="006B7863" w:rsidRDefault="00C87E55" w:rsidP="00651EB1">
      <w:pPr>
        <w:pStyle w:val="ac"/>
      </w:pPr>
      <w:r w:rsidRPr="006B7863">
        <w:rPr>
          <w:rtl/>
        </w:rPr>
        <w:t>إلاّ أن المفترض القول هنا: إن المسائل الاجتهادية التي ذكرت أدل</w:t>
      </w:r>
      <w:r>
        <w:rPr>
          <w:rFonts w:hint="cs"/>
          <w:rtl/>
        </w:rPr>
        <w:t>ّ</w:t>
      </w:r>
      <w:r w:rsidRPr="006B7863">
        <w:rPr>
          <w:rtl/>
        </w:rPr>
        <w:t>تها، كما ووقع فيها الخلاف، لا مجال للاستناد فيها</w:t>
      </w:r>
      <w:r>
        <w:rPr>
          <w:rtl/>
        </w:rPr>
        <w:t xml:space="preserve"> إلى </w:t>
      </w:r>
      <w:r w:rsidRPr="006B7863">
        <w:rPr>
          <w:rtl/>
        </w:rPr>
        <w:t>الإجماع</w:t>
      </w:r>
      <w:r w:rsidR="00651EB1">
        <w:rPr>
          <w:rFonts w:hint="cs"/>
          <w:rtl/>
        </w:rPr>
        <w:t>؛</w:t>
      </w:r>
      <w:r w:rsidRPr="006B7863">
        <w:rPr>
          <w:rtl/>
        </w:rPr>
        <w:t xml:space="preserve"> إذ الإجماع مدرك يمكن الأخذ به عندما لا يتسنّى مدرك آخر من قرآن</w:t>
      </w:r>
      <w:r>
        <w:rPr>
          <w:rtl/>
        </w:rPr>
        <w:t xml:space="preserve"> أو </w:t>
      </w:r>
      <w:r w:rsidRPr="006B7863">
        <w:rPr>
          <w:rtl/>
        </w:rPr>
        <w:t>سنّة.</w:t>
      </w:r>
    </w:p>
    <w:p w:rsidR="00C87E55" w:rsidRPr="006B7863" w:rsidRDefault="00C87E55" w:rsidP="0098342A">
      <w:pPr>
        <w:pStyle w:val="ac"/>
      </w:pPr>
      <w:r w:rsidRPr="006B7863">
        <w:rPr>
          <w:rtl/>
        </w:rPr>
        <w:t>إضافةً</w:t>
      </w:r>
      <w:r>
        <w:rPr>
          <w:rtl/>
        </w:rPr>
        <w:t xml:space="preserve"> إلى </w:t>
      </w:r>
      <w:r w:rsidRPr="006B7863">
        <w:rPr>
          <w:rtl/>
        </w:rPr>
        <w:t>ذلك، يخدش المحقق الأردبيلي في الإجماع هنا، معبراً عنه بقوله: «كأنه إجماع».</w:t>
      </w:r>
    </w:p>
    <w:p w:rsidR="00C87E55" w:rsidRDefault="00C87E55" w:rsidP="0098342A">
      <w:pPr>
        <w:pStyle w:val="ac"/>
        <w:rPr>
          <w:rtl/>
        </w:rPr>
      </w:pPr>
      <w:r w:rsidRPr="006B7863">
        <w:rPr>
          <w:rtl/>
        </w:rPr>
        <w:t>أضف</w:t>
      </w:r>
      <w:r>
        <w:rPr>
          <w:rtl/>
        </w:rPr>
        <w:t xml:space="preserve"> إلى </w:t>
      </w:r>
      <w:r w:rsidRPr="006B7863">
        <w:rPr>
          <w:rtl/>
        </w:rPr>
        <w:t>ذلك، إن هذا الإجماع منقول، وقد لمسنا من مدّعيه ـ مثل الشيخ الطوسي ـ نقضاً من جانبهم له في مواضع كثيرة، يقول صاحب الحدائق: «قد وقفت على رسالة لشيخنا الشهيد الثاني، قد عدّ فيها الإجماعات التي ناقض الشيخ (الطوسي) فيها نفسه في مسألة واحدة، انتهى عددها</w:t>
      </w:r>
      <w:r>
        <w:rPr>
          <w:rtl/>
        </w:rPr>
        <w:t xml:space="preserve"> إلى </w:t>
      </w:r>
      <w:r w:rsidRPr="006B7863">
        <w:rPr>
          <w:rtl/>
        </w:rPr>
        <w:t>نيف وسبعين مسألة»</w:t>
      </w:r>
      <w:r w:rsidRPr="00815C4C">
        <w:rPr>
          <w:rFonts w:cs="Taher"/>
          <w:vertAlign w:val="superscript"/>
          <w:rtl/>
        </w:rPr>
        <w:t>(</w:t>
      </w:r>
      <w:r w:rsidRPr="00815C4C">
        <w:rPr>
          <w:rFonts w:cs="Taher"/>
          <w:vertAlign w:val="superscript"/>
          <w:rtl/>
        </w:rPr>
        <w:footnoteReference w:id="256"/>
      </w:r>
      <w:r w:rsidRPr="00815C4C">
        <w:rPr>
          <w:rFonts w:cs="Taher"/>
          <w:vertAlign w:val="superscript"/>
          <w:rtl/>
        </w:rPr>
        <w:t>)</w:t>
      </w:r>
      <w:r w:rsidRPr="006B7863">
        <w:rPr>
          <w:rtl/>
        </w:rPr>
        <w:t>.</w:t>
      </w:r>
    </w:p>
    <w:p w:rsidR="0098342A" w:rsidRPr="006B7863" w:rsidRDefault="0098342A" w:rsidP="00AB3AAA">
      <w:pPr>
        <w:pStyle w:val="afffffc"/>
      </w:pPr>
    </w:p>
    <w:p w:rsidR="00C87E55" w:rsidRPr="00D457EB" w:rsidRDefault="00C87E55" w:rsidP="00AB3AAA">
      <w:pPr>
        <w:pStyle w:val="2"/>
      </w:pPr>
      <w:bookmarkStart w:id="248" w:name="_Toc169521433"/>
      <w:bookmarkStart w:id="249" w:name="_Toc275127984"/>
      <w:r w:rsidRPr="00D457EB">
        <w:rPr>
          <w:rtl/>
        </w:rPr>
        <w:t>الدليل الرابع</w:t>
      </w:r>
      <w:r w:rsidRPr="003A6D60">
        <w:rPr>
          <w:rFonts w:cs="Simplified Arabic"/>
          <w:rtl/>
        </w:rPr>
        <w:t>:</w:t>
      </w:r>
      <w:r w:rsidRPr="00D457EB">
        <w:rPr>
          <w:rtl/>
        </w:rPr>
        <w:t xml:space="preserve"> التمييز في الدية بين الرجل والمرأة</w:t>
      </w:r>
      <w:bookmarkEnd w:id="248"/>
      <w:bookmarkEnd w:id="249"/>
    </w:p>
    <w:p w:rsidR="00C87E55" w:rsidRPr="00973E08" w:rsidRDefault="00C87E55" w:rsidP="0098342A">
      <w:pPr>
        <w:pStyle w:val="ac"/>
      </w:pPr>
      <w:r w:rsidRPr="00973E08">
        <w:rPr>
          <w:rtl/>
        </w:rPr>
        <w:t>ومن أدلّة القائلين بالتمييز في القصاص بين الرجل والمرأة تفاوتهما في الديات، ولازم هذا التفاوت لزوم دفع نصف الدية لأولياء الرجل القاتل على تقدير الاقتصاص منه.</w:t>
      </w:r>
    </w:p>
    <w:p w:rsidR="00C87E55" w:rsidRPr="006B7863" w:rsidRDefault="00C87E55" w:rsidP="0098342A">
      <w:pPr>
        <w:pStyle w:val="ac"/>
      </w:pPr>
      <w:r w:rsidRPr="006B7863">
        <w:rPr>
          <w:rtl/>
        </w:rPr>
        <w:t>إلاّ أن هذا الدليل ناقص من جهات عدّة هي:</w:t>
      </w:r>
    </w:p>
    <w:p w:rsidR="00C87E55" w:rsidRPr="006B7863" w:rsidRDefault="00C87E55" w:rsidP="0098342A">
      <w:pPr>
        <w:pStyle w:val="ac"/>
      </w:pPr>
      <w:r w:rsidRPr="00973E08">
        <w:rPr>
          <w:b/>
          <w:bCs/>
          <w:rtl/>
        </w:rPr>
        <w:t>أولاً:</w:t>
      </w:r>
      <w:r w:rsidRPr="006B7863">
        <w:rPr>
          <w:rtl/>
        </w:rPr>
        <w:t xml:space="preserve"> إذا صحّ ذلك، لزم على</w:t>
      </w:r>
      <w:r>
        <w:rPr>
          <w:rtl/>
        </w:rPr>
        <w:t xml:space="preserve"> المرأة </w:t>
      </w:r>
      <w:r w:rsidRPr="006B7863">
        <w:rPr>
          <w:rtl/>
        </w:rPr>
        <w:t>القاتلة دفع نصف دية ال</w:t>
      </w:r>
      <w:r>
        <w:rPr>
          <w:rtl/>
        </w:rPr>
        <w:t>إنسان</w:t>
      </w:r>
      <w:r w:rsidRPr="006B7863">
        <w:rPr>
          <w:rtl/>
        </w:rPr>
        <w:t xml:space="preserve"> لأولياء الرجل المقتول، على تقدير أخذ القصاص منها، والحال أن</w:t>
      </w:r>
      <w:r>
        <w:rPr>
          <w:rFonts w:hint="cs"/>
          <w:rtl/>
        </w:rPr>
        <w:t>ّ</w:t>
      </w:r>
      <w:r w:rsidRPr="006B7863">
        <w:rPr>
          <w:rtl/>
        </w:rPr>
        <w:t xml:space="preserve"> مشهور الفقهاء لا يذهبون</w:t>
      </w:r>
      <w:r>
        <w:rPr>
          <w:rtl/>
        </w:rPr>
        <w:t xml:space="preserve"> إلى </w:t>
      </w:r>
      <w:r w:rsidRPr="006B7863">
        <w:rPr>
          <w:rtl/>
        </w:rPr>
        <w:t>ذلك.</w:t>
      </w:r>
    </w:p>
    <w:p w:rsidR="00C87E55" w:rsidRPr="006B7863" w:rsidRDefault="00C87E55" w:rsidP="0098342A">
      <w:pPr>
        <w:pStyle w:val="ac"/>
      </w:pPr>
      <w:r w:rsidRPr="00973E08">
        <w:rPr>
          <w:b/>
          <w:bCs/>
          <w:rtl/>
        </w:rPr>
        <w:t>ثانياً:</w:t>
      </w:r>
      <w:r w:rsidRPr="006B7863">
        <w:rPr>
          <w:rtl/>
        </w:rPr>
        <w:t xml:space="preserve"> ورد في بعض روايات القصاص التعليل التالي: «لا يجني الجاني على أكثر من نفسه»</w:t>
      </w:r>
      <w:r w:rsidRPr="00815C4C">
        <w:rPr>
          <w:rFonts w:cs="Taher"/>
          <w:vertAlign w:val="superscript"/>
          <w:rtl/>
        </w:rPr>
        <w:t>(</w:t>
      </w:r>
      <w:r w:rsidRPr="00815C4C">
        <w:rPr>
          <w:rFonts w:cs="Taher"/>
          <w:vertAlign w:val="superscript"/>
          <w:rtl/>
        </w:rPr>
        <w:footnoteReference w:id="257"/>
      </w:r>
      <w:r w:rsidRPr="00815C4C">
        <w:rPr>
          <w:rFonts w:cs="Taher"/>
          <w:vertAlign w:val="superscript"/>
          <w:rtl/>
        </w:rPr>
        <w:t>)</w:t>
      </w:r>
      <w:r w:rsidRPr="006B7863">
        <w:rPr>
          <w:rtl/>
        </w:rPr>
        <w:t>، فهذا الكلام اجتهاد</w:t>
      </w:r>
      <w:r>
        <w:rPr>
          <w:rFonts w:hint="cs"/>
          <w:rtl/>
        </w:rPr>
        <w:t>ٌ</w:t>
      </w:r>
      <w:r w:rsidRPr="006B7863">
        <w:rPr>
          <w:rtl/>
        </w:rPr>
        <w:t xml:space="preserve"> في مقابل النص.</w:t>
      </w:r>
    </w:p>
    <w:p w:rsidR="00C87E55" w:rsidRDefault="00C87E55" w:rsidP="0098342A">
      <w:pPr>
        <w:pStyle w:val="ac"/>
        <w:rPr>
          <w:rtl/>
        </w:rPr>
      </w:pPr>
      <w:r w:rsidRPr="00973E08">
        <w:rPr>
          <w:b/>
          <w:bCs/>
          <w:rtl/>
        </w:rPr>
        <w:t>ثالثاً:</w:t>
      </w:r>
      <w:r w:rsidRPr="006B7863">
        <w:rPr>
          <w:rtl/>
        </w:rPr>
        <w:t xml:space="preserve"> إننا نرفض أصل المبنى، وهو وجود تفاوت في الدية بين الرجل والمرأة، فالأقوى تساوي الرجل والمرأة فيها، وقد بحثنا ذلك في رسالة </w:t>
      </w:r>
      <w:r>
        <w:rPr>
          <w:rtl/>
        </w:rPr>
        <w:t>أخرى</w:t>
      </w:r>
      <w:r w:rsidRPr="006B7863">
        <w:rPr>
          <w:rtl/>
        </w:rPr>
        <w:t xml:space="preserve"> بشكل مفص</w:t>
      </w:r>
      <w:r>
        <w:rPr>
          <w:rFonts w:hint="cs"/>
          <w:rtl/>
        </w:rPr>
        <w:t>ّ</w:t>
      </w:r>
      <w:r w:rsidRPr="006B7863">
        <w:rPr>
          <w:rtl/>
        </w:rPr>
        <w:t>ل</w:t>
      </w:r>
      <w:r w:rsidRPr="00815C4C">
        <w:rPr>
          <w:rFonts w:cs="Taher"/>
          <w:vertAlign w:val="superscript"/>
          <w:rtl/>
        </w:rPr>
        <w:t>(</w:t>
      </w:r>
      <w:r w:rsidRPr="00815C4C">
        <w:rPr>
          <w:rFonts w:cs="Taher"/>
          <w:vertAlign w:val="superscript"/>
          <w:rtl/>
        </w:rPr>
        <w:footnoteReference w:id="258"/>
      </w:r>
      <w:r w:rsidRPr="00815C4C">
        <w:rPr>
          <w:rFonts w:cs="Taher"/>
          <w:vertAlign w:val="superscript"/>
          <w:rtl/>
        </w:rPr>
        <w:t>)</w:t>
      </w:r>
      <w:r w:rsidRPr="006B7863">
        <w:rPr>
          <w:rtl/>
        </w:rPr>
        <w:t>.</w:t>
      </w:r>
    </w:p>
    <w:p w:rsidR="00C87E55" w:rsidRPr="00D457EB" w:rsidRDefault="00C87E55" w:rsidP="00AB3AAA">
      <w:pPr>
        <w:pStyle w:val="1"/>
        <w:rPr>
          <w:szCs w:val="22"/>
        </w:rPr>
      </w:pPr>
      <w:bookmarkStart w:id="250" w:name="_Toc169521434"/>
      <w:bookmarkStart w:id="251" w:name="_Toc275127985"/>
      <w:r w:rsidRPr="00D457EB">
        <w:rPr>
          <w:rtl/>
        </w:rPr>
        <w:lastRenderedPageBreak/>
        <w:t>تكملة</w:t>
      </w:r>
      <w:r w:rsidRPr="003A6D60">
        <w:rPr>
          <w:rtl/>
        </w:rPr>
        <w:t>:</w:t>
      </w:r>
      <w:r w:rsidRPr="00D457EB">
        <w:rPr>
          <w:rtl/>
        </w:rPr>
        <w:t xml:space="preserve"> قصاص الأعضاء</w:t>
      </w:r>
      <w:bookmarkEnd w:id="250"/>
      <w:bookmarkEnd w:id="251"/>
    </w:p>
    <w:p w:rsidR="00C87E55" w:rsidRPr="006B7863" w:rsidRDefault="00C87E55" w:rsidP="00AB3AAA">
      <w:pPr>
        <w:pStyle w:val="ac"/>
        <w:spacing w:line="209" w:lineRule="auto"/>
      </w:pPr>
      <w:r w:rsidRPr="006B7863">
        <w:rPr>
          <w:rtl/>
        </w:rPr>
        <w:t>ما قلناه حت</w:t>
      </w:r>
      <w:r>
        <w:rPr>
          <w:rFonts w:hint="cs"/>
          <w:rtl/>
        </w:rPr>
        <w:t>ّ</w:t>
      </w:r>
      <w:r w:rsidRPr="006B7863">
        <w:rPr>
          <w:rtl/>
        </w:rPr>
        <w:t>ى الآن مختص</w:t>
      </w:r>
      <w:r>
        <w:rPr>
          <w:rFonts w:hint="cs"/>
          <w:rtl/>
        </w:rPr>
        <w:t>ّ</w:t>
      </w:r>
      <w:r w:rsidRPr="006B7863">
        <w:rPr>
          <w:rtl/>
        </w:rPr>
        <w:t xml:space="preserve"> بقصاص النفس، وقد استنتجنا عدم وجود أي اختلاف </w:t>
      </w:r>
      <w:r w:rsidRPr="00651EB1">
        <w:rPr>
          <w:rtl/>
        </w:rPr>
        <w:t>في قصاص النفس بين الرجل</w:t>
      </w:r>
      <w:r w:rsidRPr="006B7863">
        <w:rPr>
          <w:rtl/>
        </w:rPr>
        <w:t xml:space="preserve"> والمرأة، وأن القاتل بالقتل العمدي يؤخذ منه القصاص، كائناً من كان، دون حاجة</w:t>
      </w:r>
      <w:r>
        <w:rPr>
          <w:rtl/>
        </w:rPr>
        <w:t xml:space="preserve"> إلى </w:t>
      </w:r>
      <w:r w:rsidRPr="006B7863">
        <w:rPr>
          <w:rtl/>
        </w:rPr>
        <w:t>دفع نصف الدية.</w:t>
      </w:r>
    </w:p>
    <w:p w:rsidR="00C87E55" w:rsidRPr="006B7863" w:rsidRDefault="00C87E55" w:rsidP="00AB3AAA">
      <w:pPr>
        <w:pStyle w:val="ac"/>
        <w:spacing w:line="209" w:lineRule="auto"/>
      </w:pPr>
      <w:r w:rsidRPr="006B7863">
        <w:rPr>
          <w:rtl/>
        </w:rPr>
        <w:t>وهذا ما نراه تماماً في دية الأعضاء، أي أنه لا اختلاف في قصاصها بين الرجل والمرأة، فلا حاجة لإتمام القصاص</w:t>
      </w:r>
      <w:r>
        <w:rPr>
          <w:rtl/>
        </w:rPr>
        <w:t xml:space="preserve"> إلى </w:t>
      </w:r>
      <w:r w:rsidRPr="006B7863">
        <w:rPr>
          <w:rtl/>
        </w:rPr>
        <w:t>دفع الدية، إلاّ أن مشهور الفقهاء يذهبون</w:t>
      </w:r>
      <w:r>
        <w:rPr>
          <w:rtl/>
        </w:rPr>
        <w:t xml:space="preserve"> إلى </w:t>
      </w:r>
      <w:r w:rsidRPr="006B7863">
        <w:rPr>
          <w:rtl/>
        </w:rPr>
        <w:t>أنه لو تجاوزت الجراحات ثلث الدية فإن دية</w:t>
      </w:r>
      <w:r>
        <w:rPr>
          <w:rtl/>
        </w:rPr>
        <w:t xml:space="preserve"> المرأة </w:t>
      </w:r>
      <w:r w:rsidRPr="006B7863">
        <w:rPr>
          <w:rtl/>
        </w:rPr>
        <w:t>ستكون نصف دية الرجل، فإذا ما أرادوا الاقتصاص من الرجل فإن عليهم أن يدفعوا نصف دية ذلك العضو</w:t>
      </w:r>
      <w:r>
        <w:rPr>
          <w:rtl/>
        </w:rPr>
        <w:t xml:space="preserve"> إلى </w:t>
      </w:r>
      <w:r w:rsidRPr="006B7863">
        <w:rPr>
          <w:rtl/>
        </w:rPr>
        <w:t xml:space="preserve">أسرته، والمدرك الذي اعتمده المشهور لذلك </w:t>
      </w:r>
      <w:r>
        <w:rPr>
          <w:rtl/>
        </w:rPr>
        <w:t>أمر</w:t>
      </w:r>
      <w:r w:rsidRPr="006B7863">
        <w:rPr>
          <w:rtl/>
        </w:rPr>
        <w:t>ان: أحدهما مجموعة من الروايات الواردة في الموضوع، وثانيهما اختلاف الدية بين الرجل والمرأة، ونحاول هنا رصد هذين الدليلين، وتحليلهما على نحو الإجمال.</w:t>
      </w:r>
    </w:p>
    <w:p w:rsidR="00C87E55" w:rsidRPr="006B7863" w:rsidRDefault="00C87E55" w:rsidP="00AB3AAA">
      <w:pPr>
        <w:pStyle w:val="ac"/>
        <w:spacing w:line="209" w:lineRule="auto"/>
      </w:pPr>
      <w:r w:rsidRPr="006B7863">
        <w:rPr>
          <w:rtl/>
        </w:rPr>
        <w:t>لا تتعدى الروايات المنقولة في هذا المضمار العشرة، وهذه بعضها:</w:t>
      </w:r>
    </w:p>
    <w:p w:rsidR="00C87E55" w:rsidRPr="006B7863" w:rsidRDefault="00C87E55" w:rsidP="00AB3AAA">
      <w:pPr>
        <w:pStyle w:val="ac"/>
        <w:spacing w:line="209" w:lineRule="auto"/>
      </w:pPr>
      <w:r w:rsidRPr="006B7863">
        <w:rPr>
          <w:rtl/>
        </w:rPr>
        <w:t>1 ـ صحيحة جميل بن در</w:t>
      </w:r>
      <w:r>
        <w:rPr>
          <w:rFonts w:hint="cs"/>
          <w:rtl/>
        </w:rPr>
        <w:t>ّ</w:t>
      </w:r>
      <w:r w:rsidRPr="006B7863">
        <w:rPr>
          <w:rtl/>
        </w:rPr>
        <w:t>اج قال: «سألت أبا عبدالله</w:t>
      </w:r>
      <w:r w:rsidR="0098342A" w:rsidRPr="0098342A">
        <w:rPr>
          <w:rFonts w:hint="cs"/>
          <w:rtl/>
        </w:rPr>
        <w:t>×</w:t>
      </w:r>
      <w:r w:rsidRPr="006B7863">
        <w:rPr>
          <w:rtl/>
        </w:rPr>
        <w:t xml:space="preserve"> عن</w:t>
      </w:r>
      <w:r>
        <w:rPr>
          <w:rtl/>
        </w:rPr>
        <w:t xml:space="preserve"> المرأة </w:t>
      </w:r>
      <w:r w:rsidRPr="006B7863">
        <w:rPr>
          <w:rtl/>
        </w:rPr>
        <w:t>بينها وبين الرجل قصاص، قال: نعم، في الجراحات حتى تبلغ الثلث سواء، فإذا بلغت الثلث سواء ارتفع الرجل وسفلت المرأة»</w:t>
      </w:r>
      <w:r w:rsidRPr="00815C4C">
        <w:rPr>
          <w:rFonts w:cs="Taher"/>
          <w:vertAlign w:val="superscript"/>
          <w:rtl/>
        </w:rPr>
        <w:t>(</w:t>
      </w:r>
      <w:r w:rsidRPr="00815C4C">
        <w:rPr>
          <w:rFonts w:cs="Taher"/>
          <w:vertAlign w:val="superscript"/>
          <w:rtl/>
        </w:rPr>
        <w:footnoteReference w:id="259"/>
      </w:r>
      <w:r w:rsidRPr="00815C4C">
        <w:rPr>
          <w:rFonts w:cs="Taher"/>
          <w:vertAlign w:val="superscript"/>
          <w:rtl/>
        </w:rPr>
        <w:t>)</w:t>
      </w:r>
      <w:r w:rsidRPr="006B7863">
        <w:rPr>
          <w:rtl/>
        </w:rPr>
        <w:t>.</w:t>
      </w:r>
    </w:p>
    <w:p w:rsidR="00C87E55" w:rsidRPr="006B7863" w:rsidRDefault="00C87E55" w:rsidP="00AB3AAA">
      <w:pPr>
        <w:pStyle w:val="ac"/>
        <w:spacing w:line="209" w:lineRule="auto"/>
      </w:pPr>
      <w:r w:rsidRPr="006B7863">
        <w:rPr>
          <w:rtl/>
        </w:rPr>
        <w:t>2 ـ صحيحة الحلبي عن أبي عبدالله</w:t>
      </w:r>
      <w:r w:rsidR="0098342A" w:rsidRPr="0098342A">
        <w:rPr>
          <w:rFonts w:hint="cs"/>
          <w:rtl/>
        </w:rPr>
        <w:t>×</w:t>
      </w:r>
      <w:r w:rsidRPr="006B7863">
        <w:rPr>
          <w:rtl/>
        </w:rPr>
        <w:t xml:space="preserve"> ـ في حديث ـ قال: «جراحات الرجال والنساء سواء، سنّ</w:t>
      </w:r>
      <w:r>
        <w:rPr>
          <w:rtl/>
        </w:rPr>
        <w:t xml:space="preserve"> المرأة </w:t>
      </w:r>
      <w:r w:rsidRPr="006B7863">
        <w:rPr>
          <w:rtl/>
        </w:rPr>
        <w:t>بسنّ الرجل، وموضحة</w:t>
      </w:r>
      <w:r>
        <w:rPr>
          <w:rtl/>
        </w:rPr>
        <w:t xml:space="preserve"> المرأة </w:t>
      </w:r>
      <w:r w:rsidRPr="006B7863">
        <w:rPr>
          <w:rtl/>
        </w:rPr>
        <w:t>بموضحة الرجل، وإصبع</w:t>
      </w:r>
      <w:r>
        <w:rPr>
          <w:rtl/>
        </w:rPr>
        <w:t xml:space="preserve"> المرأة </w:t>
      </w:r>
      <w:r w:rsidRPr="006B7863">
        <w:rPr>
          <w:rtl/>
        </w:rPr>
        <w:t>بإصبع الرجل حتى تبلغ الجراحة ثلث الدية، فإذا بلغت ثلث الدية ضعفت دية الرجل على دية المرأة»</w:t>
      </w:r>
      <w:r w:rsidRPr="00815C4C">
        <w:rPr>
          <w:rFonts w:cs="Taher"/>
          <w:vertAlign w:val="superscript"/>
          <w:rtl/>
        </w:rPr>
        <w:t>(</w:t>
      </w:r>
      <w:r w:rsidRPr="00815C4C">
        <w:rPr>
          <w:rFonts w:cs="Taher"/>
          <w:vertAlign w:val="superscript"/>
          <w:rtl/>
        </w:rPr>
        <w:footnoteReference w:id="260"/>
      </w:r>
      <w:r w:rsidRPr="00815C4C">
        <w:rPr>
          <w:rFonts w:cs="Taher"/>
          <w:vertAlign w:val="superscript"/>
          <w:rtl/>
        </w:rPr>
        <w:t>)</w:t>
      </w:r>
      <w:r w:rsidRPr="006B7863">
        <w:rPr>
          <w:rtl/>
        </w:rPr>
        <w:t>.</w:t>
      </w:r>
    </w:p>
    <w:p w:rsidR="00C87E55" w:rsidRPr="006B7863" w:rsidRDefault="00C87E55" w:rsidP="00AB3AAA">
      <w:pPr>
        <w:pStyle w:val="ac"/>
        <w:spacing w:line="209" w:lineRule="auto"/>
      </w:pPr>
      <w:r w:rsidRPr="006B7863">
        <w:rPr>
          <w:rtl/>
        </w:rPr>
        <w:t>3 ـ عن أبي بصير، قال: «سألت أبا عبدالله</w:t>
      </w:r>
      <w:r w:rsidR="0098342A" w:rsidRPr="0098342A">
        <w:rPr>
          <w:rFonts w:hint="cs"/>
          <w:rtl/>
        </w:rPr>
        <w:t>×</w:t>
      </w:r>
      <w:r w:rsidRPr="006B7863">
        <w:rPr>
          <w:rtl/>
        </w:rPr>
        <w:t xml:space="preserve"> عن الجراحات، فقال: جراحة</w:t>
      </w:r>
      <w:r>
        <w:rPr>
          <w:rtl/>
        </w:rPr>
        <w:t xml:space="preserve"> المرأة </w:t>
      </w:r>
      <w:r w:rsidRPr="006B7863">
        <w:rPr>
          <w:rtl/>
        </w:rPr>
        <w:t xml:space="preserve">مثل جراحة الرجل حتى ثلث الدية، فإذا بلغت ثلث الدية سواء، أضعفت جراحة </w:t>
      </w:r>
      <w:r w:rsidRPr="006B7863">
        <w:rPr>
          <w:rtl/>
        </w:rPr>
        <w:lastRenderedPageBreak/>
        <w:t>الرجل ضعفين على جراحة المرأة، وسنّ الرجل وسن</w:t>
      </w:r>
      <w:r>
        <w:rPr>
          <w:rtl/>
        </w:rPr>
        <w:t xml:space="preserve"> المرأة سواء.</w:t>
      </w:r>
      <w:r w:rsidRPr="006B7863">
        <w:rPr>
          <w:rtl/>
        </w:rPr>
        <w:t>.»</w:t>
      </w:r>
      <w:r w:rsidRPr="00815C4C">
        <w:rPr>
          <w:rFonts w:cs="Taher"/>
          <w:vertAlign w:val="superscript"/>
          <w:rtl/>
        </w:rPr>
        <w:t>(</w:t>
      </w:r>
      <w:r w:rsidRPr="00815C4C">
        <w:rPr>
          <w:rFonts w:cs="Taher"/>
          <w:vertAlign w:val="superscript"/>
          <w:rtl/>
        </w:rPr>
        <w:footnoteReference w:id="261"/>
      </w:r>
      <w:r w:rsidRPr="00815C4C">
        <w:rPr>
          <w:rFonts w:cs="Taher"/>
          <w:vertAlign w:val="superscript"/>
          <w:rtl/>
        </w:rPr>
        <w:t>)</w:t>
      </w:r>
      <w:r w:rsidRPr="006B7863">
        <w:rPr>
          <w:rtl/>
        </w:rPr>
        <w:t>.</w:t>
      </w:r>
    </w:p>
    <w:p w:rsidR="00C87E55" w:rsidRPr="00DF7D95" w:rsidRDefault="00C87E55" w:rsidP="00AB3AAA">
      <w:pPr>
        <w:pStyle w:val="ac"/>
        <w:spacing w:line="199" w:lineRule="auto"/>
      </w:pPr>
      <w:r w:rsidRPr="00DF7D95">
        <w:rPr>
          <w:rtl/>
        </w:rPr>
        <w:t>إلاّ أن الاستدلال بهذه الروايات يواجه مشكلات جادّة، حتى أنها تمنعها من أن تتحوّل إلى مستند فقهي، فتلغي فيها اعتبار المدركية، وهذه المشكلات والإيرادات هي:</w:t>
      </w:r>
    </w:p>
    <w:p w:rsidR="00C87E55" w:rsidRPr="006B7863" w:rsidRDefault="00C87E55" w:rsidP="00AB3AAA">
      <w:pPr>
        <w:pStyle w:val="ac"/>
      </w:pPr>
      <w:r w:rsidRPr="005127BA">
        <w:rPr>
          <w:b/>
          <w:bCs/>
          <w:rtl/>
        </w:rPr>
        <w:t>الإشكال الأوّل:</w:t>
      </w:r>
      <w:r w:rsidRPr="006B7863">
        <w:rPr>
          <w:rtl/>
        </w:rPr>
        <w:t xml:space="preserve"> تعارض هذه الأحاديث الكثير من الآيات والروايات التي تصنف التشريع الإلهي بالحق</w:t>
      </w:r>
      <w:r>
        <w:rPr>
          <w:rFonts w:hint="cs"/>
          <w:rtl/>
        </w:rPr>
        <w:t>ّ</w:t>
      </w:r>
      <w:r w:rsidRPr="006B7863">
        <w:rPr>
          <w:rtl/>
        </w:rPr>
        <w:t xml:space="preserve"> والعدل، وتنز</w:t>
      </w:r>
      <w:r>
        <w:rPr>
          <w:rFonts w:hint="cs"/>
          <w:rtl/>
        </w:rPr>
        <w:t>ّ</w:t>
      </w:r>
      <w:r w:rsidRPr="006B7863">
        <w:rPr>
          <w:rtl/>
        </w:rPr>
        <w:t>ه ساحة المولى سبحانه وتعالى عن الظلم والجور والإجحاف، فكيف يمكن الحكم بلزوم أن تدفع</w:t>
      </w:r>
      <w:r>
        <w:rPr>
          <w:rtl/>
        </w:rPr>
        <w:t xml:space="preserve"> المرأة </w:t>
      </w:r>
      <w:r w:rsidRPr="006B7863">
        <w:rPr>
          <w:rtl/>
        </w:rPr>
        <w:t>التي قطعت أصابعها ـ ظلماً وعدواناً ـ تفاوت الدية عندما تطالب بقصاص الرجل الجاني؟!</w:t>
      </w:r>
    </w:p>
    <w:p w:rsidR="00C87E55" w:rsidRPr="006B7863" w:rsidRDefault="00C87E55" w:rsidP="00AB3AAA">
      <w:pPr>
        <w:pStyle w:val="ac"/>
        <w:spacing w:line="199" w:lineRule="auto"/>
      </w:pPr>
      <w:r w:rsidRPr="006B7863">
        <w:rPr>
          <w:rtl/>
        </w:rPr>
        <w:t>إن هذا الكلام يغاير ـ كما تقدّم معنا في قصاص النفس ـ تمام تلك الآيات والروايات، ولا يمكن جعل هذه الروايات مخصّصةً للآيات والأخبا</w:t>
      </w:r>
      <w:r>
        <w:rPr>
          <w:rtl/>
        </w:rPr>
        <w:t>ر الدالّة على تشريع العدل والحق</w:t>
      </w:r>
      <w:r>
        <w:rPr>
          <w:rFonts w:hint="cs"/>
          <w:rtl/>
        </w:rPr>
        <w:t>؛</w:t>
      </w:r>
      <w:r w:rsidRPr="006B7863">
        <w:rPr>
          <w:rtl/>
        </w:rPr>
        <w:t xml:space="preserve"> ذلك أن الفئة الأخيرة آبية عن التخصيص، كما أوضحناه في المباحث السابقة.</w:t>
      </w:r>
    </w:p>
    <w:p w:rsidR="00C87E55" w:rsidRPr="006B7863" w:rsidRDefault="00C87E55" w:rsidP="00AB3AAA">
      <w:pPr>
        <w:pStyle w:val="ac"/>
      </w:pPr>
      <w:r w:rsidRPr="005127BA">
        <w:rPr>
          <w:b/>
          <w:bCs/>
          <w:rtl/>
        </w:rPr>
        <w:t>الإشكال الثاني:</w:t>
      </w:r>
      <w:r w:rsidRPr="006B7863">
        <w:rPr>
          <w:rtl/>
        </w:rPr>
        <w:t xml:space="preserve"> تخالف هذه الروايات الآيات الخاصّة بالقصاص، قال تعالى: </w:t>
      </w:r>
      <w:r w:rsidR="00651EB1">
        <w:rPr>
          <w:rFonts w:ascii="Mosawi" w:hAnsi="Mosawi"/>
          <w:rtl/>
        </w:rPr>
        <w:t>﴿</w:t>
      </w:r>
      <w:r w:rsidRPr="0098342A">
        <w:rPr>
          <w:b/>
          <w:bCs/>
          <w:rtl/>
        </w:rPr>
        <w:t>وَالج</w:t>
      </w:r>
      <w:r w:rsidR="00651EB1">
        <w:rPr>
          <w:rFonts w:hint="cs"/>
          <w:b/>
          <w:bCs/>
          <w:rtl/>
        </w:rPr>
        <w:t>ُ</w:t>
      </w:r>
      <w:r w:rsidRPr="0098342A">
        <w:rPr>
          <w:b/>
          <w:bCs/>
          <w:rtl/>
        </w:rPr>
        <w:t>رُوحَ قِصَاصٌ</w:t>
      </w:r>
      <w:r w:rsidR="00651EB1">
        <w:rPr>
          <w:rFonts w:ascii="Mosawi" w:hAnsi="Mosawi"/>
          <w:rtl/>
        </w:rPr>
        <w:t>﴾</w:t>
      </w:r>
      <w:r>
        <w:rPr>
          <w:rFonts w:hint="cs"/>
          <w:rtl/>
        </w:rPr>
        <w:t xml:space="preserve"> (</w:t>
      </w:r>
      <w:r w:rsidRPr="006B7863">
        <w:rPr>
          <w:rtl/>
        </w:rPr>
        <w:t>المائدة: 45</w:t>
      </w:r>
      <w:r>
        <w:rPr>
          <w:rFonts w:hint="cs"/>
          <w:rtl/>
        </w:rPr>
        <w:t>)</w:t>
      </w:r>
      <w:r w:rsidRPr="006B7863">
        <w:rPr>
          <w:rtl/>
        </w:rPr>
        <w:t xml:space="preserve">، وقال: </w:t>
      </w:r>
      <w:r w:rsidR="00651EB1">
        <w:rPr>
          <w:rFonts w:ascii="Mosawi" w:hAnsi="Mosawi"/>
          <w:rtl/>
        </w:rPr>
        <w:t>﴿</w:t>
      </w:r>
      <w:r w:rsidRPr="0098342A">
        <w:rPr>
          <w:b/>
          <w:bCs/>
          <w:rtl/>
        </w:rPr>
        <w:t>وَالحُرُمَاتُ قِصَاصٌ</w:t>
      </w:r>
      <w:r w:rsidR="00651EB1">
        <w:rPr>
          <w:rFonts w:ascii="Mosawi" w:hAnsi="Mosawi"/>
          <w:b/>
          <w:bCs/>
          <w:rtl/>
        </w:rPr>
        <w:t>﴾</w:t>
      </w:r>
      <w:r>
        <w:rPr>
          <w:rFonts w:hint="cs"/>
          <w:rtl/>
        </w:rPr>
        <w:t xml:space="preserve"> (</w:t>
      </w:r>
      <w:r w:rsidRPr="006B7863">
        <w:rPr>
          <w:rtl/>
        </w:rPr>
        <w:t>البقرة: 194</w:t>
      </w:r>
      <w:r>
        <w:rPr>
          <w:rFonts w:hint="cs"/>
          <w:rtl/>
        </w:rPr>
        <w:t xml:space="preserve">)، </w:t>
      </w:r>
      <w:r w:rsidRPr="006B7863">
        <w:rPr>
          <w:rtl/>
        </w:rPr>
        <w:t xml:space="preserve">ومقتضى القصاص </w:t>
      </w:r>
      <w:r>
        <w:rPr>
          <w:rFonts w:hint="cs"/>
          <w:rtl/>
        </w:rPr>
        <w:t xml:space="preserve">ـ </w:t>
      </w:r>
      <w:r w:rsidRPr="006B7863">
        <w:rPr>
          <w:rtl/>
        </w:rPr>
        <w:t xml:space="preserve">في نظر اللغة والعرف </w:t>
      </w:r>
      <w:r>
        <w:rPr>
          <w:rFonts w:hint="cs"/>
          <w:rtl/>
        </w:rPr>
        <w:t xml:space="preserve">ـ </w:t>
      </w:r>
      <w:r w:rsidRPr="006B7863">
        <w:rPr>
          <w:rtl/>
        </w:rPr>
        <w:t>التساوي، فإذا عنى القصاص في مورد أذية الرجل للرجل</w:t>
      </w:r>
      <w:r>
        <w:rPr>
          <w:rtl/>
        </w:rPr>
        <w:t xml:space="preserve"> أو المرأة </w:t>
      </w:r>
      <w:r w:rsidRPr="006B7863">
        <w:rPr>
          <w:rtl/>
        </w:rPr>
        <w:t>للمرأة خصوص إيراد نفس الأذية والجراحات على الجاني، لزم أن يعني في مورد قصاص الرجل والمرأة ذلك أيضاً، فيما يكون دفع المبلغ الإضافي مخالفاً للمعنى اللغوي والعرفي، وعليه فهذه الروا</w:t>
      </w:r>
      <w:r>
        <w:rPr>
          <w:rtl/>
        </w:rPr>
        <w:t>يات تخالف مقتضى الآيات المذكورة</w:t>
      </w:r>
      <w:r>
        <w:rPr>
          <w:rFonts w:hint="cs"/>
          <w:rtl/>
        </w:rPr>
        <w:t xml:space="preserve">، </w:t>
      </w:r>
      <w:r w:rsidRPr="006B7863">
        <w:rPr>
          <w:rtl/>
        </w:rPr>
        <w:t>كما أن احتمال التخصيص منتف هنا نظراً لإباء الآيات عنه.</w:t>
      </w:r>
    </w:p>
    <w:p w:rsidR="00C87E55" w:rsidRPr="006B7863" w:rsidRDefault="00C87E55" w:rsidP="00AB3AAA">
      <w:pPr>
        <w:pStyle w:val="ac"/>
        <w:spacing w:line="199" w:lineRule="auto"/>
      </w:pPr>
      <w:r w:rsidRPr="006B7863">
        <w:rPr>
          <w:rtl/>
        </w:rPr>
        <w:t>ولا يمكن القول أيضاً بحكومة</w:t>
      </w:r>
      <w:r w:rsidRPr="00815C4C">
        <w:rPr>
          <w:rFonts w:cs="Taher"/>
          <w:vertAlign w:val="superscript"/>
          <w:rtl/>
        </w:rPr>
        <w:t>(</w:t>
      </w:r>
      <w:r w:rsidRPr="00815C4C">
        <w:rPr>
          <w:rFonts w:cs="Taher"/>
          <w:vertAlign w:val="superscript"/>
          <w:rtl/>
        </w:rPr>
        <w:footnoteReference w:id="262"/>
      </w:r>
      <w:r w:rsidRPr="00815C4C">
        <w:rPr>
          <w:rFonts w:cs="Taher"/>
          <w:vertAlign w:val="superscript"/>
          <w:rtl/>
        </w:rPr>
        <w:t>)</w:t>
      </w:r>
      <w:r w:rsidRPr="006B7863">
        <w:rPr>
          <w:rtl/>
        </w:rPr>
        <w:t xml:space="preserve"> هذه الروايات على تلك الآيات، فمعنى القصاص وإن كان التساوي في حدّ نفسه إلاّ أن هذه الروايات</w:t>
      </w:r>
      <w:r>
        <w:rPr>
          <w:rtl/>
        </w:rPr>
        <w:t xml:space="preserve"> تقوم بتوسعته، وتمارس بسطاً فيه</w:t>
      </w:r>
      <w:r>
        <w:rPr>
          <w:rFonts w:hint="cs"/>
          <w:rtl/>
        </w:rPr>
        <w:t>؛</w:t>
      </w:r>
      <w:r w:rsidRPr="006B7863">
        <w:rPr>
          <w:rtl/>
        </w:rPr>
        <w:t xml:space="preserve"> ذلك أن لسانها ليس لسان التفسير وبيان الموضوع، بل لسان التشريع وبيان </w:t>
      </w:r>
      <w:r w:rsidRPr="006B7863">
        <w:rPr>
          <w:rtl/>
        </w:rPr>
        <w:lastRenderedPageBreak/>
        <w:t>الحكم، ولا تصدق الحكومة إلاّ عندما تكون العلاقة بين دليل</w:t>
      </w:r>
      <w:r>
        <w:rPr>
          <w:rFonts w:hint="cs"/>
          <w:rtl/>
        </w:rPr>
        <w:t>ٍ</w:t>
      </w:r>
      <w:r w:rsidRPr="006B7863">
        <w:rPr>
          <w:rtl/>
        </w:rPr>
        <w:t xml:space="preserve"> وآخر علاقة المفسِّر بالمفسَّر، أي علاقة التفسير وبيان الموضوع.</w:t>
      </w:r>
    </w:p>
    <w:p w:rsidR="00C87E55" w:rsidRPr="006B7863" w:rsidRDefault="00C87E55" w:rsidP="00AB3AAA">
      <w:pPr>
        <w:pStyle w:val="ac"/>
        <w:spacing w:line="209" w:lineRule="auto"/>
      </w:pPr>
      <w:r w:rsidRPr="009B46BE">
        <w:rPr>
          <w:b/>
          <w:bCs/>
          <w:rtl/>
        </w:rPr>
        <w:t>الإشكال الثالث:</w:t>
      </w:r>
      <w:r w:rsidRPr="006B7863">
        <w:rPr>
          <w:rtl/>
        </w:rPr>
        <w:t xml:space="preserve"> يلزم من هذه الروايات تساوي الرجل والمرأة في الدية في قصاص العضو ما لم يبلغ الثلث، فإذا بلغه تتحوّل دية</w:t>
      </w:r>
      <w:r>
        <w:rPr>
          <w:rtl/>
        </w:rPr>
        <w:t xml:space="preserve"> المرأة إلى </w:t>
      </w:r>
      <w:r w:rsidRPr="006B7863">
        <w:rPr>
          <w:rtl/>
        </w:rPr>
        <w:t>نصف دية الرجل، ومعنى ذلك أنه سواء كان الجارح رجلاً</w:t>
      </w:r>
      <w:r>
        <w:rPr>
          <w:rtl/>
        </w:rPr>
        <w:t xml:space="preserve"> أو </w:t>
      </w:r>
      <w:r>
        <w:rPr>
          <w:rFonts w:hint="cs"/>
          <w:rtl/>
        </w:rPr>
        <w:t>ا</w:t>
      </w:r>
      <w:r>
        <w:rPr>
          <w:rtl/>
        </w:rPr>
        <w:t>مر</w:t>
      </w:r>
      <w:r w:rsidRPr="006B7863">
        <w:rPr>
          <w:rtl/>
        </w:rPr>
        <w:t>أةً يلزم عند إجراء القصاص دفع نصف دية ذلك العضو للرجل، فإذا جنى الرجل على</w:t>
      </w:r>
      <w:r>
        <w:rPr>
          <w:rtl/>
        </w:rPr>
        <w:t xml:space="preserve"> المرأة </w:t>
      </w:r>
      <w:r w:rsidRPr="006B7863">
        <w:rPr>
          <w:rtl/>
        </w:rPr>
        <w:t>جناية جروح يؤخذ بالقصاص، ويدفع ما زاد على الدية، وإذا ما جنت</w:t>
      </w:r>
      <w:r>
        <w:rPr>
          <w:rtl/>
        </w:rPr>
        <w:t xml:space="preserve"> المرأة </w:t>
      </w:r>
      <w:r w:rsidRPr="006B7863">
        <w:rPr>
          <w:rtl/>
        </w:rPr>
        <w:t>على الرجل جناية جروح أخذت هي ال</w:t>
      </w:r>
      <w:r>
        <w:rPr>
          <w:rtl/>
        </w:rPr>
        <w:t>أخرى</w:t>
      </w:r>
      <w:r w:rsidRPr="006B7863">
        <w:rPr>
          <w:rtl/>
        </w:rPr>
        <w:t xml:space="preserve"> بالقصاص وعليها أن تدفع الزائد من الدية، والحال أن رأي المشهور في هذه الأخبار اختصاص دفع الزائد عن الدية بصورة كون الجارح رجلاً لا غير.</w:t>
      </w:r>
    </w:p>
    <w:p w:rsidR="00C87E55" w:rsidRPr="006B7863" w:rsidRDefault="00C87E55" w:rsidP="00AB3AAA">
      <w:pPr>
        <w:pStyle w:val="ac"/>
        <w:spacing w:line="209" w:lineRule="auto"/>
      </w:pPr>
      <w:r w:rsidRPr="009B46BE">
        <w:rPr>
          <w:b/>
          <w:bCs/>
          <w:rtl/>
        </w:rPr>
        <w:t>الإشكال الرابع:</w:t>
      </w:r>
      <w:r w:rsidRPr="006B7863">
        <w:rPr>
          <w:rtl/>
        </w:rPr>
        <w:t xml:space="preserve"> تخالف هذه الروايات بعضَ الروايات ال</w:t>
      </w:r>
      <w:r>
        <w:rPr>
          <w:rtl/>
        </w:rPr>
        <w:t>أخرى</w:t>
      </w:r>
      <w:r w:rsidRPr="006B7863">
        <w:rPr>
          <w:rtl/>
        </w:rPr>
        <w:t xml:space="preserve"> الواصلة إلينا في هذا الموضوع ذات مضمون مختلف.</w:t>
      </w:r>
    </w:p>
    <w:p w:rsidR="00C87E55" w:rsidRPr="006B7863" w:rsidRDefault="00C87E55" w:rsidP="00AB3AAA">
      <w:pPr>
        <w:pStyle w:val="ac"/>
        <w:spacing w:line="209" w:lineRule="auto"/>
      </w:pPr>
      <w:r w:rsidRPr="009B46BE">
        <w:rPr>
          <w:b/>
          <w:bCs/>
          <w:rtl/>
        </w:rPr>
        <w:t>وتوضيح ذلك:</w:t>
      </w:r>
      <w:r w:rsidRPr="00103572">
        <w:rPr>
          <w:rtl/>
        </w:rPr>
        <w:t xml:space="preserve"> </w:t>
      </w:r>
      <w:r w:rsidRPr="006B7863">
        <w:rPr>
          <w:rtl/>
        </w:rPr>
        <w:t xml:space="preserve">إن هناك ثلاثة مضامين </w:t>
      </w:r>
      <w:r>
        <w:rPr>
          <w:rtl/>
        </w:rPr>
        <w:t>أخرى</w:t>
      </w:r>
      <w:r w:rsidRPr="006B7863">
        <w:rPr>
          <w:rtl/>
        </w:rPr>
        <w:t xml:space="preserve"> في الروايات غير الروايات التي أشرنا</w:t>
      </w:r>
      <w:r>
        <w:rPr>
          <w:rtl/>
        </w:rPr>
        <w:t xml:space="preserve"> إلى </w:t>
      </w:r>
      <w:r w:rsidRPr="006B7863">
        <w:rPr>
          <w:rtl/>
        </w:rPr>
        <w:t>بعضها، جاء فيها الحديث عن قصاص الأعضاء في الرجل والمرأة، وكلّها متنافية مع بعضها، وهذه الطوائف الثلاث هي:</w:t>
      </w:r>
    </w:p>
    <w:p w:rsidR="00C87E55" w:rsidRPr="006B7863" w:rsidRDefault="00C87E55" w:rsidP="00AB3AAA">
      <w:pPr>
        <w:pStyle w:val="ac"/>
        <w:spacing w:line="209" w:lineRule="auto"/>
      </w:pPr>
      <w:r w:rsidRPr="006B7863">
        <w:rPr>
          <w:rtl/>
        </w:rPr>
        <w:t>أ ـ الطائفة الدالّة على تساوي الرجل والمرأة حتى الثلث، أما ما زاد عنه فتكون دية الرجل فيه ثلثين فيما دية</w:t>
      </w:r>
      <w:r>
        <w:rPr>
          <w:rtl/>
        </w:rPr>
        <w:t xml:space="preserve"> المرأة الثلث</w:t>
      </w:r>
      <w:r>
        <w:rPr>
          <w:rFonts w:hint="cs"/>
          <w:rtl/>
        </w:rPr>
        <w:t xml:space="preserve">، </w:t>
      </w:r>
      <w:r w:rsidRPr="006B7863">
        <w:rPr>
          <w:rtl/>
        </w:rPr>
        <w:t>ففي صحيحة الحلبي، قال: «سئل أبو عبدالله</w:t>
      </w:r>
      <w:r w:rsidR="005067D6">
        <w:rPr>
          <w:rFonts w:hint="cs"/>
          <w:sz w:val="27"/>
          <w:rtl/>
        </w:rPr>
        <w:t>×</w:t>
      </w:r>
      <w:r w:rsidRPr="006B7863">
        <w:rPr>
          <w:rtl/>
        </w:rPr>
        <w:t xml:space="preserve"> عن جراحات الرجال والنساء في الديات والقصاص سواء؟ فقال: الرجال والنساء في القصاص السنّ بالسن، والشجّة بالشجة، والإصبع بالإصبع سواء، حتى تبلغ الجراحات ثلث الدية، فإذا جازت الثلث صيرت دية الرجل في الجراحات ثلثي الدية، ودية النساء ثلث الدية»</w:t>
      </w:r>
      <w:r w:rsidRPr="00815C4C">
        <w:rPr>
          <w:rFonts w:cs="Taher"/>
          <w:vertAlign w:val="superscript"/>
          <w:rtl/>
        </w:rPr>
        <w:t>(</w:t>
      </w:r>
      <w:r w:rsidRPr="00815C4C">
        <w:rPr>
          <w:rFonts w:cs="Taher"/>
          <w:vertAlign w:val="superscript"/>
          <w:rtl/>
        </w:rPr>
        <w:footnoteReference w:id="263"/>
      </w:r>
      <w:r w:rsidRPr="00815C4C">
        <w:rPr>
          <w:rFonts w:cs="Taher"/>
          <w:vertAlign w:val="superscript"/>
          <w:rtl/>
        </w:rPr>
        <w:t>)</w:t>
      </w:r>
      <w:r w:rsidRPr="006B7863">
        <w:rPr>
          <w:rtl/>
        </w:rPr>
        <w:t>.</w:t>
      </w:r>
    </w:p>
    <w:p w:rsidR="00C87E55" w:rsidRPr="006B7863" w:rsidRDefault="00C87E55" w:rsidP="002C6818">
      <w:pPr>
        <w:pStyle w:val="ac"/>
      </w:pPr>
      <w:r w:rsidRPr="006B7863">
        <w:rPr>
          <w:rtl/>
        </w:rPr>
        <w:t>ب ـ الطائفة الدالّة على أن دية الجراحات في النساء نصف دية جراحات الرجال دائماً، ففي موثقة أبي مريم، عن أبي جعفر</w:t>
      </w:r>
      <w:r w:rsidR="002C6818" w:rsidRPr="002C6818">
        <w:rPr>
          <w:rFonts w:hint="cs"/>
          <w:rtl/>
        </w:rPr>
        <w:t>×</w:t>
      </w:r>
      <w:r w:rsidRPr="006B7863">
        <w:rPr>
          <w:rtl/>
        </w:rPr>
        <w:t>، قال: «جراحات النساء على</w:t>
      </w:r>
      <w:r>
        <w:rPr>
          <w:rtl/>
        </w:rPr>
        <w:t xml:space="preserve"> النصف من </w:t>
      </w:r>
      <w:r>
        <w:rPr>
          <w:rtl/>
        </w:rPr>
        <w:lastRenderedPageBreak/>
        <w:t>جراحات الرجل في كلّ ش</w:t>
      </w:r>
      <w:r>
        <w:rPr>
          <w:rFonts w:hint="cs"/>
          <w:rtl/>
        </w:rPr>
        <w:t>يء</w:t>
      </w:r>
      <w:r w:rsidRPr="006B7863">
        <w:rPr>
          <w:rtl/>
        </w:rPr>
        <w:t>»</w:t>
      </w:r>
      <w:r w:rsidRPr="00815C4C">
        <w:rPr>
          <w:rFonts w:cs="Taher"/>
          <w:vertAlign w:val="superscript"/>
          <w:rtl/>
        </w:rPr>
        <w:t>(</w:t>
      </w:r>
      <w:r w:rsidRPr="00815C4C">
        <w:rPr>
          <w:rFonts w:cs="Taher"/>
          <w:vertAlign w:val="superscript"/>
          <w:rtl/>
        </w:rPr>
        <w:footnoteReference w:id="264"/>
      </w:r>
      <w:r w:rsidRPr="00815C4C">
        <w:rPr>
          <w:rFonts w:cs="Taher"/>
          <w:vertAlign w:val="superscript"/>
          <w:rtl/>
        </w:rPr>
        <w:t>)</w:t>
      </w:r>
      <w:r w:rsidRPr="006B7863">
        <w:rPr>
          <w:rtl/>
        </w:rPr>
        <w:t>.</w:t>
      </w:r>
    </w:p>
    <w:p w:rsidR="00C87E55" w:rsidRPr="006B7863" w:rsidRDefault="00C87E55" w:rsidP="00AB3AAA">
      <w:pPr>
        <w:pStyle w:val="ac"/>
        <w:spacing w:line="199" w:lineRule="auto"/>
      </w:pPr>
      <w:r w:rsidRPr="006B7863">
        <w:rPr>
          <w:rtl/>
        </w:rPr>
        <w:t>ج ـ الطائفة الدال</w:t>
      </w:r>
      <w:r>
        <w:rPr>
          <w:rFonts w:hint="cs"/>
          <w:rtl/>
        </w:rPr>
        <w:t>ّ</w:t>
      </w:r>
      <w:r w:rsidRPr="006B7863">
        <w:rPr>
          <w:rtl/>
        </w:rPr>
        <w:t>ة على تساوي دية الرجل والمرأة</w:t>
      </w:r>
      <w:r>
        <w:rPr>
          <w:rtl/>
        </w:rPr>
        <w:t xml:space="preserve"> إلى </w:t>
      </w:r>
      <w:r w:rsidRPr="006B7863">
        <w:rPr>
          <w:rtl/>
        </w:rPr>
        <w:t>ثلث دية المرأة، لا ثلث دية ال</w:t>
      </w:r>
      <w:r>
        <w:rPr>
          <w:rtl/>
        </w:rPr>
        <w:t>إنسان</w:t>
      </w:r>
      <w:r w:rsidRPr="006B7863">
        <w:rPr>
          <w:rtl/>
        </w:rPr>
        <w:t xml:space="preserve"> كاملة، وبعد ذلك تغدو دية الرجل ضعفي دية المرأة، فعن ابن أبي يعفور قال: «سألت أبا عبدالله</w:t>
      </w:r>
      <w:r w:rsidR="002C6818" w:rsidRPr="002C6818">
        <w:rPr>
          <w:rFonts w:hint="cs"/>
          <w:rtl/>
        </w:rPr>
        <w:t>×</w:t>
      </w:r>
      <w:r w:rsidRPr="006B7863">
        <w:rPr>
          <w:rtl/>
        </w:rPr>
        <w:t xml:space="preserve"> عن رجل قطع إصبع </w:t>
      </w:r>
      <w:r>
        <w:rPr>
          <w:rFonts w:hint="cs"/>
          <w:rtl/>
        </w:rPr>
        <w:t>ا</w:t>
      </w:r>
      <w:r>
        <w:rPr>
          <w:rtl/>
        </w:rPr>
        <w:t>مر</w:t>
      </w:r>
      <w:r w:rsidRPr="006B7863">
        <w:rPr>
          <w:rtl/>
        </w:rPr>
        <w:t>أة، قال: تقطع إصبعه حتى تنتهي</w:t>
      </w:r>
      <w:r>
        <w:rPr>
          <w:rtl/>
        </w:rPr>
        <w:t xml:space="preserve"> إلى </w:t>
      </w:r>
      <w:r w:rsidRPr="006B7863">
        <w:rPr>
          <w:rtl/>
        </w:rPr>
        <w:t>ثلث المرأة، فإذا جازت الثلث أضعف الرجل»</w:t>
      </w:r>
      <w:r w:rsidRPr="00815C4C">
        <w:rPr>
          <w:rFonts w:cs="Taher"/>
          <w:vertAlign w:val="superscript"/>
          <w:rtl/>
        </w:rPr>
        <w:t>(</w:t>
      </w:r>
      <w:r w:rsidRPr="00815C4C">
        <w:rPr>
          <w:rFonts w:cs="Taher"/>
          <w:vertAlign w:val="superscript"/>
          <w:rtl/>
        </w:rPr>
        <w:footnoteReference w:id="265"/>
      </w:r>
      <w:r w:rsidRPr="00815C4C">
        <w:rPr>
          <w:rFonts w:cs="Taher"/>
          <w:vertAlign w:val="superscript"/>
          <w:rtl/>
        </w:rPr>
        <w:t>)</w:t>
      </w:r>
      <w:r w:rsidRPr="006B7863">
        <w:rPr>
          <w:rtl/>
        </w:rPr>
        <w:t>.</w:t>
      </w:r>
    </w:p>
    <w:p w:rsidR="00C87E55" w:rsidRPr="006B7863" w:rsidRDefault="00C87E55" w:rsidP="00AB3AAA">
      <w:pPr>
        <w:pStyle w:val="ac"/>
        <w:spacing w:line="199" w:lineRule="auto"/>
      </w:pPr>
      <w:r w:rsidRPr="006B7863">
        <w:rPr>
          <w:rtl/>
        </w:rPr>
        <w:t>وبناءً عليه، هناك أربعة تصوّرات في باب قصاص الأعضاء بين الرجل والمرأة، وهي تصوّرات مختلفة قدّمتها لنا الروايات نفسها، ولا يمكن إقرار جمع عرفي بين هذه الطوائف الأربع من الأخبار الدالّة على هذه المضامين الأربعة، كأن نفترض بعضها عاماً كالطائفة الثانية من الطوائف الثلاث الأخيرة، فيما تكون ال</w:t>
      </w:r>
      <w:r>
        <w:rPr>
          <w:rtl/>
        </w:rPr>
        <w:t>أخرى</w:t>
      </w:r>
      <w:r w:rsidRPr="006B7863">
        <w:rPr>
          <w:rtl/>
        </w:rPr>
        <w:t xml:space="preserve"> مقيدةً، ذلك أن لسان جميعها لسان بيان الحكم الشرعي والقاعدة الكلية والضابطة العامة، فعلى سبيل المثال، يلاحظ الطائفة الثانية</w:t>
      </w:r>
      <w:r>
        <w:rPr>
          <w:rtl/>
        </w:rPr>
        <w:t xml:space="preserve"> المذكورة في تعبيرها: «في كلّ ش</w:t>
      </w:r>
      <w:r>
        <w:rPr>
          <w:rFonts w:hint="cs"/>
          <w:rtl/>
        </w:rPr>
        <w:t>يء</w:t>
      </w:r>
      <w:r w:rsidRPr="006B7863">
        <w:rPr>
          <w:rtl/>
        </w:rPr>
        <w:t>»، كيف تبيّن قاعدة عامّةً، دون أن تفسح في المجال لتخصيصها.</w:t>
      </w:r>
    </w:p>
    <w:p w:rsidR="00C87E55" w:rsidRPr="006B7863" w:rsidRDefault="00C87E55" w:rsidP="00AB3AAA">
      <w:pPr>
        <w:pStyle w:val="ac"/>
        <w:spacing w:line="199" w:lineRule="auto"/>
      </w:pPr>
      <w:r w:rsidRPr="006B7863">
        <w:rPr>
          <w:rtl/>
        </w:rPr>
        <w:t>مضافاً</w:t>
      </w:r>
      <w:r>
        <w:rPr>
          <w:rtl/>
        </w:rPr>
        <w:t xml:space="preserve"> إلى </w:t>
      </w:r>
      <w:r w:rsidRPr="006B7863">
        <w:rPr>
          <w:rtl/>
        </w:rPr>
        <w:t>ذلك، فقد جاءت الروايات العام</w:t>
      </w:r>
      <w:r>
        <w:rPr>
          <w:rFonts w:hint="cs"/>
          <w:rtl/>
        </w:rPr>
        <w:t>ّ</w:t>
      </w:r>
      <w:r w:rsidRPr="006B7863">
        <w:rPr>
          <w:rtl/>
        </w:rPr>
        <w:t xml:space="preserve">ة </w:t>
      </w:r>
      <w:r>
        <w:rPr>
          <w:rFonts w:hint="cs"/>
          <w:rtl/>
        </w:rPr>
        <w:t xml:space="preserve">في </w:t>
      </w:r>
      <w:r w:rsidRPr="006B7863">
        <w:rPr>
          <w:rtl/>
        </w:rPr>
        <w:t>عصر الإمام الباقر</w:t>
      </w:r>
      <w:r w:rsidR="002C6818" w:rsidRPr="002C6818">
        <w:rPr>
          <w:rFonts w:hint="cs"/>
          <w:rtl/>
        </w:rPr>
        <w:t>×</w:t>
      </w:r>
      <w:r w:rsidRPr="006B7863">
        <w:rPr>
          <w:rtl/>
        </w:rPr>
        <w:t xml:space="preserve">، فيما الروايات المقيدة </w:t>
      </w:r>
      <w:r>
        <w:rPr>
          <w:rFonts w:hint="cs"/>
          <w:rtl/>
        </w:rPr>
        <w:t xml:space="preserve">في </w:t>
      </w:r>
      <w:r w:rsidRPr="006B7863">
        <w:rPr>
          <w:rtl/>
        </w:rPr>
        <w:t>عصر الصادق</w:t>
      </w:r>
      <w:r w:rsidR="002C6818" w:rsidRPr="002C6818">
        <w:rPr>
          <w:rFonts w:hint="cs"/>
          <w:rtl/>
        </w:rPr>
        <w:t>×</w:t>
      </w:r>
      <w:r w:rsidRPr="006B7863">
        <w:rPr>
          <w:rtl/>
        </w:rPr>
        <w:t>، وذلك فيما نقل إلينا، ومن الواضح هنا أنه لو كان هناك تقييد للزم تأخير البيان عن وقت الحاجة.</w:t>
      </w:r>
    </w:p>
    <w:p w:rsidR="00C87E55" w:rsidRPr="006B7863" w:rsidRDefault="00C87E55" w:rsidP="00AB3AAA">
      <w:pPr>
        <w:pStyle w:val="ac"/>
        <w:spacing w:line="199" w:lineRule="auto"/>
      </w:pPr>
      <w:r w:rsidRPr="006B7863">
        <w:rPr>
          <w:rtl/>
        </w:rPr>
        <w:t>وعليه، وبعد استقرار التعارض بين هذه الروايات، وعدم إمكان الجمع بينها، تصل نوبتها</w:t>
      </w:r>
      <w:r>
        <w:rPr>
          <w:rtl/>
        </w:rPr>
        <w:t xml:space="preserve"> إلى </w:t>
      </w:r>
      <w:r w:rsidRPr="006B7863">
        <w:rPr>
          <w:rtl/>
        </w:rPr>
        <w:t>التساقط، لتعود الآيات القرآنية المعيار ال</w:t>
      </w:r>
      <w:r>
        <w:rPr>
          <w:rtl/>
        </w:rPr>
        <w:t>أساس</w:t>
      </w:r>
      <w:r w:rsidRPr="006B7863">
        <w:rPr>
          <w:rtl/>
        </w:rPr>
        <w:t xml:space="preserve"> في الحكم هنا، ولا يم</w:t>
      </w:r>
      <w:r>
        <w:rPr>
          <w:rtl/>
        </w:rPr>
        <w:t>كن القول هنا بالتخيير</w:t>
      </w:r>
      <w:r>
        <w:rPr>
          <w:rFonts w:hint="cs"/>
          <w:rtl/>
        </w:rPr>
        <w:t>؛</w:t>
      </w:r>
      <w:r w:rsidRPr="006B7863">
        <w:rPr>
          <w:rtl/>
        </w:rPr>
        <w:t xml:space="preserve"> إذ إن</w:t>
      </w:r>
      <w:r>
        <w:rPr>
          <w:rFonts w:hint="cs"/>
          <w:rtl/>
        </w:rPr>
        <w:t>ّ</w:t>
      </w:r>
      <w:r w:rsidRPr="006B7863">
        <w:rPr>
          <w:rtl/>
        </w:rPr>
        <w:t xml:space="preserve"> روايات التخيير منصرفة عن الموارد التي يكون فيها بين الطوائف المتعارضة اختلاف</w:t>
      </w:r>
      <w:r>
        <w:rPr>
          <w:rFonts w:hint="cs"/>
          <w:rtl/>
        </w:rPr>
        <w:t>ٌ</w:t>
      </w:r>
      <w:r w:rsidRPr="006B7863">
        <w:rPr>
          <w:rtl/>
        </w:rPr>
        <w:t xml:space="preserve"> فاحش.</w:t>
      </w:r>
    </w:p>
    <w:p w:rsidR="00C87E55" w:rsidRPr="006B7863" w:rsidRDefault="00C87E55" w:rsidP="00651EB1">
      <w:pPr>
        <w:pStyle w:val="ac"/>
      </w:pPr>
      <w:r w:rsidRPr="006B7863">
        <w:rPr>
          <w:rtl/>
        </w:rPr>
        <w:t>وقد يقال بترجيح الطائفة التي استند إليها المشهور على الطوائف الثلاث ال</w:t>
      </w:r>
      <w:r>
        <w:rPr>
          <w:rtl/>
        </w:rPr>
        <w:t>أخرى</w:t>
      </w:r>
      <w:r>
        <w:rPr>
          <w:rFonts w:hint="cs"/>
          <w:rtl/>
        </w:rPr>
        <w:t>؛</w:t>
      </w:r>
      <w:r w:rsidRPr="006B7863">
        <w:rPr>
          <w:rtl/>
        </w:rPr>
        <w:t xml:space="preserve"> وذلك باعتبار دعمها من جانب الشهرة نفسها، فتكون الشهرة موجبةً لتقديمها على نظيراتها.</w:t>
      </w:r>
    </w:p>
    <w:p w:rsidR="00C87E55" w:rsidRPr="006B7863" w:rsidRDefault="00C87E55" w:rsidP="002C6818">
      <w:pPr>
        <w:pStyle w:val="ac"/>
      </w:pPr>
      <w:r w:rsidRPr="006B7863">
        <w:rPr>
          <w:rtl/>
        </w:rPr>
        <w:lastRenderedPageBreak/>
        <w:t>إلاّ أنه يمكن الجواب عن ذلك:</w:t>
      </w:r>
    </w:p>
    <w:p w:rsidR="00C87E55" w:rsidRPr="006B7863" w:rsidRDefault="00C87E55" w:rsidP="00651EB1">
      <w:pPr>
        <w:pStyle w:val="ac"/>
      </w:pPr>
      <w:r w:rsidRPr="009B46BE">
        <w:rPr>
          <w:b/>
          <w:bCs/>
          <w:rtl/>
        </w:rPr>
        <w:t>أولاً</w:t>
      </w:r>
      <w:r w:rsidRPr="00103572">
        <w:rPr>
          <w:rtl/>
        </w:rPr>
        <w:t>:</w:t>
      </w:r>
      <w:r w:rsidRPr="006B7863">
        <w:rPr>
          <w:rtl/>
        </w:rPr>
        <w:t xml:space="preserve"> لا نحرز في المسألة شهرةً فتوائيةً قوية، كما لا يوجد ادعاء للإجماع سوى في كتابي: الخلاف، والغنية، كما أن</w:t>
      </w:r>
      <w:r>
        <w:rPr>
          <w:rFonts w:hint="cs"/>
          <w:rtl/>
        </w:rPr>
        <w:t>ّ</w:t>
      </w:r>
      <w:r w:rsidRPr="006B7863">
        <w:rPr>
          <w:rtl/>
        </w:rPr>
        <w:t xml:space="preserve"> صاحب الجواهر إنما نقل الإجماع عن كتاب الخلاف.</w:t>
      </w:r>
    </w:p>
    <w:p w:rsidR="00C87E55" w:rsidRDefault="00C87E55" w:rsidP="00651EB1">
      <w:pPr>
        <w:pStyle w:val="ac"/>
        <w:rPr>
          <w:rtl/>
        </w:rPr>
      </w:pPr>
      <w:r w:rsidRPr="009B46BE">
        <w:rPr>
          <w:b/>
          <w:bCs/>
          <w:rtl/>
        </w:rPr>
        <w:t>ثانياً</w:t>
      </w:r>
      <w:r w:rsidRPr="00103572">
        <w:rPr>
          <w:rtl/>
        </w:rPr>
        <w:t>:</w:t>
      </w:r>
      <w:r w:rsidRPr="006B7863">
        <w:rPr>
          <w:rtl/>
        </w:rPr>
        <w:t xml:space="preserve"> لا تحكي هذه الشهرة عن انعقاد شهرة عملية لهذه الطائفة في أوساط رجال الحديث والروايات عصر الإمامين: الباقر والصادق</w:t>
      </w:r>
      <w:r w:rsidRPr="00F51544">
        <w:rPr>
          <w:rFonts w:cs="PT Bold Heading" w:hint="cs"/>
          <w:noProof/>
          <w:sz w:val="30"/>
          <w:rtl/>
        </w:rPr>
        <w:sym w:font="Roumouz0" w:char="F027"/>
      </w:r>
      <w:r w:rsidRPr="006B7863">
        <w:rPr>
          <w:rtl/>
        </w:rPr>
        <w:t>، ذلك أنه نقلت روايات مختلفة في هذا الإطار، ومن ثم لا مرجع نستند إليه يكشف لنا انعقاد الشهرة العملية في أوساط أهل الحديث، وهي الشهرة التي تصنّف مرجّحاً من مرج</w:t>
      </w:r>
      <w:r>
        <w:rPr>
          <w:rFonts w:hint="cs"/>
          <w:rtl/>
        </w:rPr>
        <w:t>ّ</w:t>
      </w:r>
      <w:r w:rsidRPr="006B7863">
        <w:rPr>
          <w:rtl/>
        </w:rPr>
        <w:t>حات باب التعارض</w:t>
      </w:r>
      <w:r w:rsidRPr="00815C4C">
        <w:rPr>
          <w:rFonts w:cs="Taher"/>
          <w:vertAlign w:val="superscript"/>
          <w:rtl/>
        </w:rPr>
        <w:t>(</w:t>
      </w:r>
      <w:r w:rsidRPr="00815C4C">
        <w:rPr>
          <w:rFonts w:cs="Taher"/>
          <w:vertAlign w:val="superscript"/>
          <w:rtl/>
        </w:rPr>
        <w:footnoteReference w:id="266"/>
      </w:r>
      <w:r w:rsidRPr="00815C4C">
        <w:rPr>
          <w:rFonts w:cs="Taher"/>
          <w:vertAlign w:val="superscript"/>
          <w:rtl/>
        </w:rPr>
        <w:t>)</w:t>
      </w:r>
      <w:r w:rsidRPr="006B7863">
        <w:rPr>
          <w:rtl/>
        </w:rPr>
        <w:t>.</w:t>
      </w:r>
    </w:p>
    <w:p w:rsidR="002C6818" w:rsidRPr="00AB3AAA" w:rsidRDefault="002C6818" w:rsidP="00AB3AAA">
      <w:pPr>
        <w:pStyle w:val="afffffc"/>
        <w:rPr>
          <w:sz w:val="28"/>
          <w:szCs w:val="26"/>
        </w:rPr>
      </w:pPr>
    </w:p>
    <w:p w:rsidR="00C87E55" w:rsidRPr="00C71112" w:rsidRDefault="00C87E55" w:rsidP="002C6818">
      <w:pPr>
        <w:pStyle w:val="1"/>
      </w:pPr>
      <w:bookmarkStart w:id="252" w:name="_Toc169521436"/>
      <w:bookmarkStart w:id="253" w:name="_Toc275127986"/>
      <w:r w:rsidRPr="00D457EB">
        <w:rPr>
          <w:rFonts w:hint="cs"/>
          <w:rtl/>
        </w:rPr>
        <w:t>المحور</w:t>
      </w:r>
      <w:r w:rsidRPr="00D457EB">
        <w:rPr>
          <w:rtl/>
        </w:rPr>
        <w:t xml:space="preserve"> الثالث</w:t>
      </w:r>
      <w:bookmarkEnd w:id="252"/>
      <w:r>
        <w:rPr>
          <w:rFonts w:hint="cs"/>
          <w:rtl/>
        </w:rPr>
        <w:t>:</w:t>
      </w:r>
      <w:bookmarkStart w:id="254" w:name="_Toc169521437"/>
      <w:r>
        <w:rPr>
          <w:rFonts w:hint="cs"/>
          <w:rtl/>
        </w:rPr>
        <w:t xml:space="preserve"> </w:t>
      </w:r>
      <w:r w:rsidRPr="00C71112">
        <w:rPr>
          <w:rtl/>
        </w:rPr>
        <w:t>نظرية عدم التساوي في القصاص بين المسلم وغيره</w:t>
      </w:r>
      <w:r w:rsidRPr="00C71112">
        <w:rPr>
          <w:rFonts w:cs="Simplified Arabic" w:hint="cs"/>
          <w:rtl/>
        </w:rPr>
        <w:t>،</w:t>
      </w:r>
      <w:r w:rsidRPr="00C71112">
        <w:rPr>
          <w:rFonts w:hint="cs"/>
          <w:rtl/>
        </w:rPr>
        <w:t xml:space="preserve"> </w:t>
      </w:r>
      <w:r w:rsidRPr="00C71112">
        <w:rPr>
          <w:rtl/>
        </w:rPr>
        <w:t>دراسة ونقد</w:t>
      </w:r>
      <w:bookmarkEnd w:id="253"/>
      <w:bookmarkEnd w:id="254"/>
    </w:p>
    <w:p w:rsidR="00C87E55" w:rsidRPr="006B7863" w:rsidRDefault="00C87E55" w:rsidP="002C6818">
      <w:pPr>
        <w:pStyle w:val="ac"/>
      </w:pPr>
      <w:r w:rsidRPr="006B7863">
        <w:rPr>
          <w:rtl/>
        </w:rPr>
        <w:t>تقتضي الآيات القرآنية ـ كما بي</w:t>
      </w:r>
      <w:r>
        <w:rPr>
          <w:rFonts w:hint="cs"/>
          <w:rtl/>
        </w:rPr>
        <w:t>ّ</w:t>
      </w:r>
      <w:r w:rsidRPr="006B7863">
        <w:rPr>
          <w:rtl/>
        </w:rPr>
        <w:t xml:space="preserve">ناه في </w:t>
      </w:r>
      <w:r>
        <w:rPr>
          <w:rFonts w:hint="cs"/>
          <w:rtl/>
        </w:rPr>
        <w:t>المحور</w:t>
      </w:r>
      <w:r w:rsidRPr="006B7863">
        <w:rPr>
          <w:rtl/>
        </w:rPr>
        <w:t xml:space="preserve"> الأول ـ تساوي القصاص بين المسلم وغير المسلم، ومن ثم لا يكون التماثل في الدين شرطاً للمساواة فيه.</w:t>
      </w:r>
    </w:p>
    <w:p w:rsidR="00C87E55" w:rsidRDefault="00C87E55" w:rsidP="00651EB1">
      <w:pPr>
        <w:pStyle w:val="ac"/>
        <w:rPr>
          <w:rtl/>
        </w:rPr>
      </w:pPr>
      <w:r w:rsidRPr="006B7863">
        <w:rPr>
          <w:rtl/>
        </w:rPr>
        <w:t>إلاّ أن مشهور فقهاء الشيعة يخالفون هذا الرأي، ويشرطون في إجراء القصاص وإنفاذه ال</w:t>
      </w:r>
      <w:r>
        <w:rPr>
          <w:rtl/>
        </w:rPr>
        <w:t>إسلام</w:t>
      </w:r>
      <w:r>
        <w:rPr>
          <w:rFonts w:hint="cs"/>
          <w:rtl/>
        </w:rPr>
        <w:t>َ</w:t>
      </w:r>
      <w:r w:rsidRPr="006B7863">
        <w:rPr>
          <w:rtl/>
        </w:rPr>
        <w:t>، ويختلف رأي المشهور بين قتل المسلم لغير</w:t>
      </w:r>
      <w:r>
        <w:rPr>
          <w:rtl/>
        </w:rPr>
        <w:t>ه، وقتل غيره له</w:t>
      </w:r>
      <w:r>
        <w:rPr>
          <w:rFonts w:hint="cs"/>
          <w:rtl/>
        </w:rPr>
        <w:t>؛</w:t>
      </w:r>
      <w:r w:rsidRPr="006B7863">
        <w:rPr>
          <w:rtl/>
        </w:rPr>
        <w:t xml:space="preserve"> لهذا نحاول بحث الصورتين معاً، كل</w:t>
      </w:r>
      <w:r>
        <w:rPr>
          <w:rFonts w:hint="cs"/>
          <w:rtl/>
        </w:rPr>
        <w:t>ّ</w:t>
      </w:r>
      <w:r w:rsidRPr="006B7863">
        <w:rPr>
          <w:rtl/>
        </w:rPr>
        <w:t xml:space="preserve"> واحدة</w:t>
      </w:r>
      <w:r>
        <w:rPr>
          <w:rFonts w:hint="cs"/>
          <w:rtl/>
        </w:rPr>
        <w:t>ٍ</w:t>
      </w:r>
      <w:r w:rsidRPr="006B7863">
        <w:rPr>
          <w:rtl/>
        </w:rPr>
        <w:t xml:space="preserve"> منهما على حدة.</w:t>
      </w:r>
    </w:p>
    <w:p w:rsidR="002C6818" w:rsidRPr="00AB3AAA" w:rsidRDefault="002C6818" w:rsidP="00AB3AAA">
      <w:pPr>
        <w:pStyle w:val="afffffc"/>
        <w:rPr>
          <w:sz w:val="30"/>
          <w:szCs w:val="28"/>
        </w:rPr>
      </w:pPr>
    </w:p>
    <w:p w:rsidR="00C87E55" w:rsidRPr="00D457EB" w:rsidRDefault="00C87E55" w:rsidP="002C6818">
      <w:pPr>
        <w:pStyle w:val="1"/>
        <w:rPr>
          <w:szCs w:val="22"/>
        </w:rPr>
      </w:pPr>
      <w:bookmarkStart w:id="255" w:name="_Toc169521438"/>
      <w:bookmarkStart w:id="256" w:name="_Toc275127987"/>
      <w:r w:rsidRPr="00D457EB">
        <w:rPr>
          <w:rtl/>
        </w:rPr>
        <w:t>الصورة الأولى</w:t>
      </w:r>
      <w:r w:rsidRPr="003A6D60">
        <w:rPr>
          <w:rFonts w:cs="Simplified Arabic"/>
          <w:rtl/>
        </w:rPr>
        <w:t>:</w:t>
      </w:r>
      <w:r w:rsidRPr="00D457EB">
        <w:rPr>
          <w:rtl/>
        </w:rPr>
        <w:t xml:space="preserve"> قتل المسلم لغير المسلم</w:t>
      </w:r>
      <w:bookmarkEnd w:id="255"/>
      <w:bookmarkEnd w:id="256"/>
    </w:p>
    <w:p w:rsidR="00C87E55" w:rsidRPr="006B7863" w:rsidRDefault="00C87E55" w:rsidP="002C6818">
      <w:pPr>
        <w:pStyle w:val="ac"/>
      </w:pPr>
      <w:r w:rsidRPr="006B7863">
        <w:rPr>
          <w:rtl/>
        </w:rPr>
        <w:t>المشهور بين الفقهاء أن</w:t>
      </w:r>
      <w:r>
        <w:rPr>
          <w:rFonts w:hint="cs"/>
          <w:rtl/>
        </w:rPr>
        <w:t>ّ</w:t>
      </w:r>
      <w:r w:rsidRPr="006B7863">
        <w:rPr>
          <w:rtl/>
        </w:rPr>
        <w:t xml:space="preserve"> المسلم لو قتل غير المسلم فلا يُقاد به، وإنما عليه ـ </w:t>
      </w:r>
      <w:r>
        <w:rPr>
          <w:rtl/>
        </w:rPr>
        <w:t>فقط ـ دفع دية غير المسلم لأسرته</w:t>
      </w:r>
      <w:r>
        <w:rPr>
          <w:rFonts w:hint="cs"/>
          <w:rtl/>
        </w:rPr>
        <w:t xml:space="preserve">، </w:t>
      </w:r>
      <w:r w:rsidRPr="006B7863">
        <w:rPr>
          <w:rtl/>
        </w:rPr>
        <w:t>يقول صاحب الجواهر: «لا ي</w:t>
      </w:r>
      <w:r>
        <w:rPr>
          <w:rFonts w:hint="cs"/>
          <w:rtl/>
        </w:rPr>
        <w:t>ُ</w:t>
      </w:r>
      <w:r w:rsidRPr="006B7863">
        <w:rPr>
          <w:rtl/>
        </w:rPr>
        <w:t>قتل مسلم</w:t>
      </w:r>
      <w:r>
        <w:rPr>
          <w:rFonts w:hint="cs"/>
          <w:rtl/>
        </w:rPr>
        <w:t>ٌ</w:t>
      </w:r>
      <w:r w:rsidRPr="006B7863">
        <w:rPr>
          <w:rtl/>
        </w:rPr>
        <w:t xml:space="preserve"> بكافر مع عدم الاعتياد، ذم</w:t>
      </w:r>
      <w:r>
        <w:rPr>
          <w:rFonts w:hint="cs"/>
          <w:rtl/>
        </w:rPr>
        <w:t>ّ</w:t>
      </w:r>
      <w:r w:rsidRPr="006B7863">
        <w:rPr>
          <w:rtl/>
        </w:rPr>
        <w:t>ياً كان</w:t>
      </w:r>
      <w:r>
        <w:rPr>
          <w:rtl/>
        </w:rPr>
        <w:t xml:space="preserve"> أو </w:t>
      </w:r>
      <w:r w:rsidRPr="006B7863">
        <w:rPr>
          <w:rtl/>
        </w:rPr>
        <w:t>مستأمناً</w:t>
      </w:r>
      <w:r>
        <w:rPr>
          <w:rtl/>
        </w:rPr>
        <w:t xml:space="preserve"> أو </w:t>
      </w:r>
      <w:r w:rsidRPr="006B7863">
        <w:rPr>
          <w:rtl/>
        </w:rPr>
        <w:t>حربياً، بلا خلاف</w:t>
      </w:r>
      <w:r>
        <w:rPr>
          <w:rFonts w:hint="cs"/>
          <w:rtl/>
        </w:rPr>
        <w:t>ٍ</w:t>
      </w:r>
      <w:r w:rsidRPr="006B7863">
        <w:rPr>
          <w:rtl/>
        </w:rPr>
        <w:t xml:space="preserve"> معتدّ به أجده فيه بيننا، بل الإجماع بقسميه عليه»</w:t>
      </w:r>
      <w:r w:rsidRPr="00815C4C">
        <w:rPr>
          <w:rFonts w:cs="Taher"/>
          <w:vertAlign w:val="superscript"/>
          <w:rtl/>
        </w:rPr>
        <w:t>(</w:t>
      </w:r>
      <w:r w:rsidRPr="00815C4C">
        <w:rPr>
          <w:rFonts w:cs="Taher"/>
          <w:vertAlign w:val="superscript"/>
          <w:rtl/>
        </w:rPr>
        <w:footnoteReference w:id="267"/>
      </w:r>
      <w:r w:rsidRPr="00815C4C">
        <w:rPr>
          <w:rFonts w:cs="Taher"/>
          <w:vertAlign w:val="superscript"/>
          <w:rtl/>
        </w:rPr>
        <w:t>)</w:t>
      </w:r>
      <w:r w:rsidRPr="006B7863">
        <w:rPr>
          <w:rtl/>
        </w:rPr>
        <w:t>.</w:t>
      </w:r>
    </w:p>
    <w:p w:rsidR="00C87E55" w:rsidRPr="006B7863" w:rsidRDefault="00C87E55" w:rsidP="00651EB1">
      <w:pPr>
        <w:pStyle w:val="ac"/>
      </w:pPr>
      <w:r w:rsidRPr="006B7863">
        <w:rPr>
          <w:rtl/>
        </w:rPr>
        <w:lastRenderedPageBreak/>
        <w:t xml:space="preserve">والمخالف الشيعي الوحيد هنا هو الشيخ الصدوق </w:t>
      </w:r>
      <w:r>
        <w:rPr>
          <w:rFonts w:hint="cs"/>
          <w:rtl/>
        </w:rPr>
        <w:t xml:space="preserve">(381هـ) </w:t>
      </w:r>
      <w:r w:rsidRPr="006B7863">
        <w:rPr>
          <w:rtl/>
        </w:rPr>
        <w:t>في كتاب المقنع، إذ يقول: «وإذا قطع المسلم يد المعاهد خُيّر أولياء المعاهد، فإن شاؤوا أخذوا دية يده، وإن شاؤوا قطعوا يد المسلم، وأد</w:t>
      </w:r>
      <w:r>
        <w:rPr>
          <w:rFonts w:hint="cs"/>
          <w:rtl/>
        </w:rPr>
        <w:t>ّ</w:t>
      </w:r>
      <w:r w:rsidRPr="006B7863">
        <w:rPr>
          <w:rtl/>
        </w:rPr>
        <w:t>وا إليه فضل ما بين الديتين، وإذا قتله المسلم صُنع كذلك»</w:t>
      </w:r>
      <w:r w:rsidRPr="00815C4C">
        <w:rPr>
          <w:rFonts w:cs="Taher"/>
          <w:vertAlign w:val="superscript"/>
          <w:rtl/>
        </w:rPr>
        <w:t>(</w:t>
      </w:r>
      <w:r w:rsidRPr="00815C4C">
        <w:rPr>
          <w:rFonts w:cs="Taher"/>
          <w:vertAlign w:val="superscript"/>
          <w:rtl/>
        </w:rPr>
        <w:footnoteReference w:id="268"/>
      </w:r>
      <w:r w:rsidRPr="00815C4C">
        <w:rPr>
          <w:rFonts w:cs="Taher"/>
          <w:vertAlign w:val="superscript"/>
          <w:rtl/>
        </w:rPr>
        <w:t>)</w:t>
      </w:r>
      <w:r w:rsidRPr="006B7863">
        <w:rPr>
          <w:rtl/>
        </w:rPr>
        <w:t>.</w:t>
      </w:r>
    </w:p>
    <w:p w:rsidR="00C87E55" w:rsidRPr="006B7863" w:rsidRDefault="00C87E55" w:rsidP="00651EB1">
      <w:pPr>
        <w:pStyle w:val="ac"/>
      </w:pPr>
      <w:r w:rsidRPr="006B7863">
        <w:rPr>
          <w:rtl/>
        </w:rPr>
        <w:t>ويذهب الشيخ الصدوق في كتاب من لا يحضره الفقيه</w:t>
      </w:r>
      <w:r>
        <w:rPr>
          <w:rtl/>
        </w:rPr>
        <w:t xml:space="preserve"> إلى </w:t>
      </w:r>
      <w:r w:rsidRPr="006B7863">
        <w:rPr>
          <w:rtl/>
        </w:rPr>
        <w:t>قتل المسلم الذي يقتل كافراً ذمياً، إلاّ أن ذلك ليس من باب القصاص، وإن</w:t>
      </w:r>
      <w:r>
        <w:rPr>
          <w:rFonts w:hint="cs"/>
          <w:rtl/>
        </w:rPr>
        <w:t>ّ</w:t>
      </w:r>
      <w:r w:rsidRPr="006B7863">
        <w:rPr>
          <w:rtl/>
        </w:rPr>
        <w:t>ما من جهة مخالفته لإمام المسلمين في المعاهدات التي أمضاها، يقول في هذا الإطار: «وعلى من خالف الإمام في قتل واحد</w:t>
      </w:r>
      <w:r>
        <w:rPr>
          <w:rFonts w:hint="cs"/>
          <w:rtl/>
        </w:rPr>
        <w:t>ٍ</w:t>
      </w:r>
      <w:r w:rsidRPr="006B7863">
        <w:rPr>
          <w:rtl/>
        </w:rPr>
        <w:t xml:space="preserve"> منهم متعم</w:t>
      </w:r>
      <w:r>
        <w:rPr>
          <w:rFonts w:hint="cs"/>
          <w:rtl/>
        </w:rPr>
        <w:t>ّ</w:t>
      </w:r>
      <w:r w:rsidRPr="006B7863">
        <w:rPr>
          <w:rtl/>
        </w:rPr>
        <w:t>داً القتلُ</w:t>
      </w:r>
      <w:r w:rsidR="00651EB1">
        <w:rPr>
          <w:rFonts w:hint="cs"/>
          <w:rtl/>
        </w:rPr>
        <w:t>؛</w:t>
      </w:r>
      <w:r w:rsidRPr="006B7863">
        <w:rPr>
          <w:rtl/>
        </w:rPr>
        <w:t xml:space="preserve"> لخلافه على إمام المسلمين، لا لحرمة الذمي»</w:t>
      </w:r>
      <w:r w:rsidRPr="00815C4C">
        <w:rPr>
          <w:rFonts w:cs="Taher"/>
          <w:vertAlign w:val="superscript"/>
          <w:rtl/>
        </w:rPr>
        <w:t>(</w:t>
      </w:r>
      <w:r w:rsidRPr="00815C4C">
        <w:rPr>
          <w:rFonts w:cs="Taher"/>
          <w:vertAlign w:val="superscript"/>
          <w:rtl/>
        </w:rPr>
        <w:footnoteReference w:id="269"/>
      </w:r>
      <w:r w:rsidRPr="00815C4C">
        <w:rPr>
          <w:rFonts w:cs="Taher"/>
          <w:vertAlign w:val="superscript"/>
          <w:rtl/>
        </w:rPr>
        <w:t>)</w:t>
      </w:r>
      <w:r w:rsidRPr="006B7863">
        <w:rPr>
          <w:rtl/>
        </w:rPr>
        <w:t>.</w:t>
      </w:r>
    </w:p>
    <w:p w:rsidR="00C87E55" w:rsidRPr="006B7863" w:rsidRDefault="00C87E55" w:rsidP="002C6818">
      <w:pPr>
        <w:pStyle w:val="ac"/>
      </w:pPr>
      <w:r w:rsidRPr="006B7863">
        <w:rPr>
          <w:rtl/>
        </w:rPr>
        <w:t>وهكذا يفتي فريق من الفقهاء ـ كابن الجنيد والحلب</w:t>
      </w:r>
      <w:r>
        <w:rPr>
          <w:rtl/>
        </w:rPr>
        <w:t>ي ـ بقتل المسلم المعتاد قتل</w:t>
      </w:r>
      <w:r>
        <w:rPr>
          <w:rFonts w:hint="cs"/>
          <w:rtl/>
        </w:rPr>
        <w:t>َ</w:t>
      </w:r>
      <w:r w:rsidRPr="006B7863">
        <w:rPr>
          <w:rtl/>
        </w:rPr>
        <w:t xml:space="preserve"> الكافر بحيث تكرّر منه الفعل، لكن لا من باب القصاص، بل بعنوان العقوبة.</w:t>
      </w:r>
    </w:p>
    <w:p w:rsidR="00C87E55" w:rsidRDefault="00C87E55" w:rsidP="002C6818">
      <w:pPr>
        <w:pStyle w:val="ac"/>
        <w:rPr>
          <w:rtl/>
        </w:rPr>
      </w:pPr>
      <w:r w:rsidRPr="006B7863">
        <w:rPr>
          <w:rtl/>
        </w:rPr>
        <w:t>من هنا، لا يصحّ عدّ رأي هذين الفقيهين، وكذا رأي الصدوق في كتاب من لا يحضره الفقيه، رأياً مخالفاً للقول المشهور هنا، فالمخالفة الوحيدة إنما صدرت من الصدوق في كتاب المقنع.</w:t>
      </w:r>
    </w:p>
    <w:p w:rsidR="002C6818" w:rsidRPr="00AB3AAA" w:rsidRDefault="002C6818" w:rsidP="00AB3AAA">
      <w:pPr>
        <w:pStyle w:val="afffffc"/>
        <w:rPr>
          <w:sz w:val="30"/>
          <w:szCs w:val="28"/>
        </w:rPr>
      </w:pPr>
    </w:p>
    <w:p w:rsidR="00C87E55" w:rsidRPr="00D457EB" w:rsidRDefault="00C87E55" w:rsidP="002C6818">
      <w:pPr>
        <w:pStyle w:val="1"/>
        <w:rPr>
          <w:szCs w:val="22"/>
        </w:rPr>
      </w:pPr>
      <w:bookmarkStart w:id="257" w:name="_Toc169521439"/>
      <w:bookmarkStart w:id="258" w:name="_Toc275127988"/>
      <w:r w:rsidRPr="00D457EB">
        <w:rPr>
          <w:rtl/>
        </w:rPr>
        <w:t>أدلّة النظرية المشهورة</w:t>
      </w:r>
      <w:r w:rsidRPr="003A6D60">
        <w:rPr>
          <w:rFonts w:cs="Simplified Arabic"/>
          <w:rtl/>
        </w:rPr>
        <w:t>،</w:t>
      </w:r>
      <w:r w:rsidRPr="00D457EB">
        <w:rPr>
          <w:rtl/>
        </w:rPr>
        <w:t xml:space="preserve"> وقفات نقدية</w:t>
      </w:r>
      <w:bookmarkEnd w:id="257"/>
      <w:bookmarkEnd w:id="258"/>
    </w:p>
    <w:p w:rsidR="00C87E55" w:rsidRDefault="00C87E55" w:rsidP="002C6818">
      <w:pPr>
        <w:pStyle w:val="ac"/>
        <w:rPr>
          <w:rtl/>
        </w:rPr>
      </w:pPr>
      <w:r w:rsidRPr="006B7863">
        <w:rPr>
          <w:rtl/>
        </w:rPr>
        <w:t>هذا، وقد استند مشهور الفقهاء ـ لإثبات ما ذهبوا إليه ـ</w:t>
      </w:r>
      <w:r>
        <w:rPr>
          <w:rtl/>
        </w:rPr>
        <w:t xml:space="preserve"> إلى </w:t>
      </w:r>
      <w:r w:rsidRPr="006B7863">
        <w:rPr>
          <w:rtl/>
        </w:rPr>
        <w:t>القرآن</w:t>
      </w:r>
      <w:r>
        <w:rPr>
          <w:rFonts w:hint="cs"/>
          <w:rtl/>
        </w:rPr>
        <w:t>،</w:t>
      </w:r>
      <w:r w:rsidRPr="006B7863">
        <w:rPr>
          <w:rtl/>
        </w:rPr>
        <w:t xml:space="preserve"> والسنّة</w:t>
      </w:r>
      <w:r>
        <w:rPr>
          <w:rFonts w:hint="cs"/>
          <w:rtl/>
        </w:rPr>
        <w:t>،</w:t>
      </w:r>
      <w:r w:rsidRPr="006B7863">
        <w:rPr>
          <w:rtl/>
        </w:rPr>
        <w:t xml:space="preserve"> والإجماع.</w:t>
      </w:r>
    </w:p>
    <w:p w:rsidR="002C6818" w:rsidRPr="00AB3AAA" w:rsidRDefault="002C6818" w:rsidP="00AB3AAA">
      <w:pPr>
        <w:pStyle w:val="afffffc"/>
        <w:rPr>
          <w:sz w:val="28"/>
          <w:szCs w:val="26"/>
        </w:rPr>
      </w:pPr>
    </w:p>
    <w:p w:rsidR="00C87E55" w:rsidRPr="00103572" w:rsidRDefault="00C87E55" w:rsidP="00AB3AAA">
      <w:pPr>
        <w:pStyle w:val="2"/>
      </w:pPr>
      <w:bookmarkStart w:id="259" w:name="_Toc169521440"/>
      <w:bookmarkStart w:id="260" w:name="_Toc275127989"/>
      <w:r w:rsidRPr="00103572">
        <w:rPr>
          <w:rtl/>
        </w:rPr>
        <w:t>الدليل الأول: النص</w:t>
      </w:r>
      <w:r>
        <w:rPr>
          <w:rFonts w:hint="cs"/>
          <w:rtl/>
        </w:rPr>
        <w:t>ّ</w:t>
      </w:r>
      <w:r w:rsidRPr="00103572">
        <w:rPr>
          <w:rtl/>
        </w:rPr>
        <w:t xml:space="preserve"> القرآني</w:t>
      </w:r>
      <w:bookmarkEnd w:id="259"/>
      <w:bookmarkEnd w:id="260"/>
    </w:p>
    <w:p w:rsidR="00C87E55" w:rsidRPr="006B7863" w:rsidRDefault="00C87E55" w:rsidP="002C6818">
      <w:pPr>
        <w:pStyle w:val="ac"/>
        <w:rPr>
          <w:rFonts w:cs="AL-Mohanad"/>
          <w:bCs/>
          <w:sz w:val="26"/>
          <w:szCs w:val="27"/>
        </w:rPr>
      </w:pPr>
      <w:r w:rsidRPr="002C6818">
        <w:rPr>
          <w:rtl/>
        </w:rPr>
        <w:t xml:space="preserve">والآية الوحيدة التي استدلّ بها هنا هي: </w:t>
      </w:r>
      <w:r w:rsidRPr="002C6818">
        <w:rPr>
          <w:rFonts w:hint="cs"/>
          <w:b/>
          <w:bCs/>
          <w:rtl/>
        </w:rPr>
        <w:sym w:font="Islamic Units 1" w:char="F03E"/>
      </w:r>
      <w:r w:rsidRPr="002C6818">
        <w:rPr>
          <w:b/>
          <w:bCs/>
          <w:rtl/>
        </w:rPr>
        <w:t>وَلَن يَجْعَلَ الله لِلْكَافِرِينَ عَلَى الْمُؤْمِنِينَ سَبِيلاً</w:t>
      </w:r>
      <w:r w:rsidRPr="002C6818">
        <w:rPr>
          <w:rFonts w:hint="cs"/>
          <w:b/>
          <w:bCs/>
          <w:rtl/>
        </w:rPr>
        <w:sym w:font="Islamic Units 1" w:char="F03C"/>
      </w:r>
      <w:r w:rsidRPr="002C6818">
        <w:rPr>
          <w:rFonts w:hint="cs"/>
          <w:rtl/>
        </w:rPr>
        <w:t xml:space="preserve"> (</w:t>
      </w:r>
      <w:r w:rsidRPr="002C6818">
        <w:rPr>
          <w:rtl/>
        </w:rPr>
        <w:t>النساء: 141</w:t>
      </w:r>
      <w:r w:rsidRPr="002C6818">
        <w:rPr>
          <w:rFonts w:hint="cs"/>
          <w:rtl/>
        </w:rPr>
        <w:t>)؛ ف</w:t>
      </w:r>
      <w:r w:rsidRPr="002C6818">
        <w:rPr>
          <w:rtl/>
        </w:rPr>
        <w:t xml:space="preserve">قد وقع الاستدلال بها للمرّة الأولى من جانب الشيخ الطوسي في كتاب الخلاف، </w:t>
      </w:r>
      <w:r w:rsidRPr="002C6818">
        <w:rPr>
          <w:rFonts w:hint="cs"/>
          <w:rtl/>
        </w:rPr>
        <w:t>حيث</w:t>
      </w:r>
      <w:r w:rsidRPr="002C6818">
        <w:rPr>
          <w:rtl/>
        </w:rPr>
        <w:t xml:space="preserve"> كتب ـ يبيّن الاستدلال ـ ما يلي: «والمراد بالآية النهي </w:t>
      </w:r>
      <w:r w:rsidRPr="002C6818">
        <w:rPr>
          <w:rtl/>
        </w:rPr>
        <w:lastRenderedPageBreak/>
        <w:t>لا الخبر، لأنه لو كان المراد الخبر لكان كذباً»</w:t>
      </w:r>
      <w:r w:rsidRPr="00815C4C">
        <w:rPr>
          <w:rFonts w:cs="Taher"/>
          <w:vertAlign w:val="superscript"/>
          <w:rtl/>
        </w:rPr>
        <w:t>(</w:t>
      </w:r>
      <w:r w:rsidRPr="00815C4C">
        <w:rPr>
          <w:rFonts w:cs="Taher"/>
          <w:vertAlign w:val="superscript"/>
          <w:rtl/>
        </w:rPr>
        <w:footnoteReference w:id="270"/>
      </w:r>
      <w:r w:rsidRPr="00815C4C">
        <w:rPr>
          <w:rFonts w:cs="Taher"/>
          <w:vertAlign w:val="superscript"/>
          <w:rtl/>
        </w:rPr>
        <w:t>)</w:t>
      </w:r>
      <w:r w:rsidRPr="006B7863">
        <w:rPr>
          <w:rFonts w:cs="AL-Mohanad"/>
          <w:bCs/>
          <w:sz w:val="26"/>
          <w:szCs w:val="27"/>
          <w:rtl/>
        </w:rPr>
        <w:t>.</w:t>
      </w:r>
    </w:p>
    <w:p w:rsidR="00C87E55" w:rsidRPr="006B7863" w:rsidRDefault="00C87E55" w:rsidP="00C87E55">
      <w:pPr>
        <w:pStyle w:val="ac"/>
      </w:pPr>
      <w:r w:rsidRPr="006B7863">
        <w:rPr>
          <w:rtl/>
        </w:rPr>
        <w:t>إلاّ أننا نرى أنه لا يمكن الاستدلال بهذه الآية، وذلك:</w:t>
      </w:r>
    </w:p>
    <w:p w:rsidR="00C87E55" w:rsidRPr="006B7863" w:rsidRDefault="00C87E55" w:rsidP="00AB3AAA">
      <w:pPr>
        <w:pStyle w:val="ac"/>
        <w:spacing w:line="199" w:lineRule="auto"/>
      </w:pPr>
      <w:r w:rsidRPr="006B7863">
        <w:rPr>
          <w:rtl/>
        </w:rPr>
        <w:t>1ـ إذا كان هذا هو معنى الآية، فلا بدّ أيضاً من عدم إجراء حدّ السرقة وسائر الحدود والتعزيرات على المسلمين، أي أن</w:t>
      </w:r>
      <w:r>
        <w:rPr>
          <w:rFonts w:hint="cs"/>
          <w:rtl/>
        </w:rPr>
        <w:t>ّ</w:t>
      </w:r>
      <w:r w:rsidRPr="006B7863">
        <w:rPr>
          <w:rtl/>
        </w:rPr>
        <w:t>ه لو سرق مسلمٌ غير</w:t>
      </w:r>
      <w:r>
        <w:rPr>
          <w:rFonts w:hint="cs"/>
          <w:rtl/>
        </w:rPr>
        <w:t>َ</w:t>
      </w:r>
      <w:r w:rsidRPr="006B7863">
        <w:rPr>
          <w:rtl/>
        </w:rPr>
        <w:t xml:space="preserve"> مسلم فلا يقام عليه الحدّ، وهكذا يلزم علينا أن لا نعتبر المسلم ضامناً ـ بالضمان القهري</w:t>
      </w:r>
      <w:r>
        <w:rPr>
          <w:rtl/>
        </w:rPr>
        <w:t xml:space="preserve"> أو </w:t>
      </w:r>
      <w:r w:rsidRPr="006B7863">
        <w:rPr>
          <w:rtl/>
        </w:rPr>
        <w:t>الجعلي ـ بما يعود نفعه لغير المسلم.</w:t>
      </w:r>
    </w:p>
    <w:p w:rsidR="00C87E55" w:rsidRPr="006B7863" w:rsidRDefault="00C87E55" w:rsidP="00AB3AAA">
      <w:pPr>
        <w:pStyle w:val="ac"/>
        <w:spacing w:line="199" w:lineRule="auto"/>
      </w:pPr>
      <w:r w:rsidRPr="006B7863">
        <w:rPr>
          <w:rtl/>
        </w:rPr>
        <w:t>2ـ إن تشريع القانون بغية حصول الناس على حقوقها لا يعدّ في نظر العرف والعقلاء سلطةً</w:t>
      </w:r>
      <w:r>
        <w:rPr>
          <w:rtl/>
        </w:rPr>
        <w:t xml:space="preserve"> أو </w:t>
      </w:r>
      <w:r w:rsidRPr="006B7863">
        <w:rPr>
          <w:rtl/>
        </w:rPr>
        <w:t>سيطرة.</w:t>
      </w:r>
    </w:p>
    <w:p w:rsidR="00C87E55" w:rsidRPr="006B7863" w:rsidRDefault="00C87E55" w:rsidP="00AB3AAA">
      <w:pPr>
        <w:pStyle w:val="ac"/>
        <w:spacing w:line="199" w:lineRule="auto"/>
      </w:pPr>
      <w:r w:rsidRPr="006B7863">
        <w:rPr>
          <w:rtl/>
        </w:rPr>
        <w:t>3ـ إذا سلّمنا أن جعل القوانين لتحصيل الناس حقوقها نحوٌ من السلطة والسيطرة</w:t>
      </w:r>
      <w:r>
        <w:rPr>
          <w:rFonts w:hint="cs"/>
          <w:rtl/>
        </w:rPr>
        <w:t>،</w:t>
      </w:r>
      <w:r w:rsidRPr="006B7863">
        <w:rPr>
          <w:rtl/>
        </w:rPr>
        <w:t xml:space="preserve"> فعلينا أن نقرّ بأن الآية المذكورة قد نفت هذا النوع من السلطة عن الكافر، إلاّ أن الكافر في المصطلح القرآني أخصّ من غير المسلم، بمعنى أن القرآن لا يرى كل شخص غير مسلم كافراً، إنما خصوص العالم بالحقيقة، المعرض عنها، الجاحد لها، وهؤلاء لا يشكّلون من مجموع غير المسلمين سوى فئة قليلة.</w:t>
      </w:r>
    </w:p>
    <w:p w:rsidR="00C87E55" w:rsidRPr="006B7863" w:rsidRDefault="00C87E55" w:rsidP="00AB3AAA">
      <w:pPr>
        <w:pStyle w:val="ac"/>
        <w:spacing w:line="199" w:lineRule="auto"/>
      </w:pPr>
      <w:r w:rsidRPr="006B7863">
        <w:rPr>
          <w:rtl/>
        </w:rPr>
        <w:t xml:space="preserve">وعليه، فلا يمكن الحكم بعدم تساوي القصاص بين المسلم </w:t>
      </w:r>
      <w:r>
        <w:rPr>
          <w:rtl/>
        </w:rPr>
        <w:t>ومطلق من لا يصنَّف مسلماً</w:t>
      </w:r>
      <w:r>
        <w:rPr>
          <w:rFonts w:hint="cs"/>
          <w:rtl/>
        </w:rPr>
        <w:t xml:space="preserve">، </w:t>
      </w:r>
      <w:r w:rsidRPr="006B7863">
        <w:rPr>
          <w:rtl/>
        </w:rPr>
        <w:t>نعم، سوف يكون هذا الحرمان القانوني في حق</w:t>
      </w:r>
      <w:r>
        <w:rPr>
          <w:rFonts w:hint="cs"/>
          <w:rtl/>
        </w:rPr>
        <w:t>ّ</w:t>
      </w:r>
      <w:r w:rsidRPr="006B7863">
        <w:rPr>
          <w:rtl/>
        </w:rPr>
        <w:t xml:space="preserve"> مثل هذا الكافر نوعاً من العقوبة له والجزاء، يقول الشيخ الصدوق في بداية باب ميراث أهل الملل: «وأن</w:t>
      </w:r>
      <w:r>
        <w:rPr>
          <w:rFonts w:hint="cs"/>
          <w:rtl/>
        </w:rPr>
        <w:t>ّ</w:t>
      </w:r>
      <w:r w:rsidRPr="006B7863">
        <w:rPr>
          <w:rtl/>
        </w:rPr>
        <w:t xml:space="preserve"> الله عزوجل إنما حرّم على الكفار الميراث</w:t>
      </w:r>
      <w:r w:rsidR="00651EB1">
        <w:rPr>
          <w:rFonts w:hint="cs"/>
          <w:rtl/>
        </w:rPr>
        <w:t>؛</w:t>
      </w:r>
      <w:r w:rsidRPr="006B7863">
        <w:rPr>
          <w:rtl/>
        </w:rPr>
        <w:t xml:space="preserve"> عقوبةً لهم بكفرهم، كما حرّمه على القاتل عقوبةً لقتله»</w:t>
      </w:r>
      <w:r w:rsidRPr="00815C4C">
        <w:rPr>
          <w:rFonts w:cs="Taher"/>
          <w:vertAlign w:val="superscript"/>
          <w:rtl/>
        </w:rPr>
        <w:t>(</w:t>
      </w:r>
      <w:r w:rsidRPr="00815C4C">
        <w:rPr>
          <w:rFonts w:cs="Taher"/>
          <w:vertAlign w:val="superscript"/>
          <w:rtl/>
        </w:rPr>
        <w:footnoteReference w:id="271"/>
      </w:r>
      <w:r w:rsidRPr="00815C4C">
        <w:rPr>
          <w:rFonts w:cs="Taher"/>
          <w:vertAlign w:val="superscript"/>
          <w:rtl/>
        </w:rPr>
        <w:t>)</w:t>
      </w:r>
      <w:r w:rsidRPr="006B7863">
        <w:rPr>
          <w:rtl/>
        </w:rPr>
        <w:t>.</w:t>
      </w:r>
    </w:p>
    <w:p w:rsidR="00C87E55" w:rsidRPr="006B7863" w:rsidRDefault="00C87E55" w:rsidP="00AB3AAA">
      <w:pPr>
        <w:pStyle w:val="ac"/>
      </w:pPr>
      <w:r w:rsidRPr="006B7863">
        <w:rPr>
          <w:rtl/>
        </w:rPr>
        <w:t>وبعيداً عن ذلك، يلزم على تقدير القول بعدم تساوي الكافر والمسلم في القصاص انتفاء هذا التساوي عندما يكون وارث المقتول مسلماً، إذ لا تكون هناك سلطةٌ للكافر على المسلم، والحال أن</w:t>
      </w:r>
      <w:r>
        <w:rPr>
          <w:rFonts w:hint="cs"/>
          <w:rtl/>
        </w:rPr>
        <w:t>ّ</w:t>
      </w:r>
      <w:r w:rsidRPr="006B7863">
        <w:rPr>
          <w:rtl/>
        </w:rPr>
        <w:t xml:space="preserve"> أحداً لم ي</w:t>
      </w:r>
      <w:r>
        <w:rPr>
          <w:rFonts w:hint="cs"/>
          <w:rtl/>
        </w:rPr>
        <w:t>ُ</w:t>
      </w:r>
      <w:r w:rsidRPr="006B7863">
        <w:rPr>
          <w:rtl/>
        </w:rPr>
        <w:t>ف</w:t>
      </w:r>
      <w:r>
        <w:rPr>
          <w:rFonts w:hint="cs"/>
          <w:rtl/>
        </w:rPr>
        <w:t>ْ</w:t>
      </w:r>
      <w:r w:rsidRPr="006B7863">
        <w:rPr>
          <w:rtl/>
        </w:rPr>
        <w:t>ت</w:t>
      </w:r>
      <w:r>
        <w:rPr>
          <w:rFonts w:hint="cs"/>
          <w:rtl/>
        </w:rPr>
        <w:t xml:space="preserve">ِ </w:t>
      </w:r>
      <w:r w:rsidRPr="006B7863">
        <w:rPr>
          <w:rtl/>
        </w:rPr>
        <w:t>بذلك.</w:t>
      </w:r>
    </w:p>
    <w:p w:rsidR="00C87E55" w:rsidRDefault="00C87E55" w:rsidP="002C6818">
      <w:pPr>
        <w:pStyle w:val="ac"/>
        <w:rPr>
          <w:rtl/>
        </w:rPr>
      </w:pPr>
      <w:r w:rsidRPr="006B7863">
        <w:rPr>
          <w:rtl/>
        </w:rPr>
        <w:t>4 ـ وتخط</w:t>
      </w:r>
      <w:r>
        <w:rPr>
          <w:rFonts w:hint="cs"/>
          <w:rtl/>
        </w:rPr>
        <w:t>ّ</w:t>
      </w:r>
      <w:r w:rsidRPr="006B7863">
        <w:rPr>
          <w:rtl/>
        </w:rPr>
        <w:t>ياً لتمام ما تقد</w:t>
      </w:r>
      <w:r>
        <w:rPr>
          <w:rFonts w:hint="cs"/>
          <w:rtl/>
        </w:rPr>
        <w:t>ّ</w:t>
      </w:r>
      <w:r w:rsidRPr="006B7863">
        <w:rPr>
          <w:rtl/>
        </w:rPr>
        <w:t>م</w:t>
      </w:r>
      <w:r>
        <w:rPr>
          <w:rFonts w:hint="cs"/>
          <w:rtl/>
        </w:rPr>
        <w:t>،</w:t>
      </w:r>
      <w:r w:rsidRPr="006B7863">
        <w:rPr>
          <w:rtl/>
        </w:rPr>
        <w:t xml:space="preserve"> نرى أن هذه الآية تماثل قاعدتي</w:t>
      </w:r>
      <w:r>
        <w:rPr>
          <w:rFonts w:hint="cs"/>
          <w:rtl/>
        </w:rPr>
        <w:t>:</w:t>
      </w:r>
      <w:r w:rsidRPr="006B7863">
        <w:rPr>
          <w:rtl/>
        </w:rPr>
        <w:t xml:space="preserve"> لا ضرر، ولا حرج، في </w:t>
      </w:r>
      <w:r w:rsidRPr="006B7863">
        <w:rPr>
          <w:rtl/>
        </w:rPr>
        <w:lastRenderedPageBreak/>
        <w:t>نفيها السلطة والسبيل من جانب الله تعالى، أي أن تلك السلطة الناتجة عن التشريعات والقوانين الإلهية لم ت</w:t>
      </w:r>
      <w:r>
        <w:rPr>
          <w:rFonts w:hint="cs"/>
          <w:rtl/>
        </w:rPr>
        <w:t>ُ</w:t>
      </w:r>
      <w:r w:rsidRPr="006B7863">
        <w:rPr>
          <w:rtl/>
        </w:rPr>
        <w:t xml:space="preserve">جعل للكافر على المسلمين، وعليه، فإذا أقدم مسلم على </w:t>
      </w:r>
      <w:r>
        <w:rPr>
          <w:rtl/>
        </w:rPr>
        <w:t>أمر</w:t>
      </w:r>
      <w:r w:rsidRPr="006B7863">
        <w:rPr>
          <w:rtl/>
        </w:rPr>
        <w:t>، كالإقدام على الضرر، فإن قاعدة «لا ضرر» لا تكون شاملةً له، وهكذا إذا أقدم على قتل غير المسلم، فإنه يكون قد منح الآخرين سلطةً على نفسه، لا أن</w:t>
      </w:r>
      <w:r>
        <w:rPr>
          <w:rFonts w:hint="cs"/>
          <w:rtl/>
        </w:rPr>
        <w:t>ّ</w:t>
      </w:r>
      <w:r w:rsidRPr="006B7863">
        <w:rPr>
          <w:rtl/>
        </w:rPr>
        <w:t xml:space="preserve"> الله منحهم إياها بتشريعه، حتى يكون هذا العطاء الإلهي منتفياً بالآية الكريمة.</w:t>
      </w:r>
    </w:p>
    <w:p w:rsidR="002C6818" w:rsidRPr="00AB3AAA" w:rsidRDefault="002C6818" w:rsidP="00AB3AAA">
      <w:pPr>
        <w:pStyle w:val="afffffc"/>
        <w:rPr>
          <w:sz w:val="22"/>
          <w:szCs w:val="20"/>
        </w:rPr>
      </w:pPr>
    </w:p>
    <w:p w:rsidR="00C87E55" w:rsidRPr="00103572" w:rsidRDefault="00C87E55" w:rsidP="00AB3AAA">
      <w:pPr>
        <w:pStyle w:val="2"/>
      </w:pPr>
      <w:bookmarkStart w:id="261" w:name="_Toc169521441"/>
      <w:bookmarkStart w:id="262" w:name="_Toc275127990"/>
      <w:r w:rsidRPr="00103572">
        <w:rPr>
          <w:rtl/>
        </w:rPr>
        <w:t>الدليل الثاني: السنّة الشريفة</w:t>
      </w:r>
      <w:bookmarkEnd w:id="261"/>
      <w:bookmarkEnd w:id="262"/>
    </w:p>
    <w:p w:rsidR="00C87E55" w:rsidRDefault="00C87E55" w:rsidP="00AB3AAA">
      <w:pPr>
        <w:pStyle w:val="ac"/>
        <w:spacing w:line="199" w:lineRule="auto"/>
        <w:rPr>
          <w:rtl/>
        </w:rPr>
      </w:pPr>
      <w:r w:rsidRPr="006B7863">
        <w:rPr>
          <w:rtl/>
        </w:rPr>
        <w:t>الدليل الثاني من أدلّة القائلين بهذه النظرية عبارة عن خمس روايات منقولة في المصادر الحديثية الشيعية، لكن مع ذلك، فقد عدّها الشهيد الثاني كثيرةً</w:t>
      </w:r>
      <w:r w:rsidRPr="00815C4C">
        <w:rPr>
          <w:rFonts w:cs="Taher"/>
          <w:vertAlign w:val="superscript"/>
          <w:rtl/>
        </w:rPr>
        <w:t>(</w:t>
      </w:r>
      <w:r w:rsidRPr="00815C4C">
        <w:rPr>
          <w:rFonts w:cs="Taher"/>
          <w:vertAlign w:val="superscript"/>
          <w:rtl/>
        </w:rPr>
        <w:footnoteReference w:id="272"/>
      </w:r>
      <w:r w:rsidRPr="00815C4C">
        <w:rPr>
          <w:rFonts w:cs="Taher"/>
          <w:vertAlign w:val="superscript"/>
          <w:rtl/>
        </w:rPr>
        <w:t>)</w:t>
      </w:r>
      <w:r w:rsidRPr="006B7863">
        <w:rPr>
          <w:rtl/>
        </w:rPr>
        <w:t>، فيما اعتبرها صاحب الجواهر مستفيضةً</w:t>
      </w:r>
      <w:r>
        <w:rPr>
          <w:rtl/>
        </w:rPr>
        <w:t xml:space="preserve"> أو </w:t>
      </w:r>
      <w:r w:rsidRPr="006B7863">
        <w:rPr>
          <w:rtl/>
        </w:rPr>
        <w:t>متواترة</w:t>
      </w:r>
      <w:r w:rsidRPr="00815C4C">
        <w:rPr>
          <w:rFonts w:cs="Taher"/>
          <w:vertAlign w:val="superscript"/>
          <w:rtl/>
        </w:rPr>
        <w:t>(</w:t>
      </w:r>
      <w:r w:rsidRPr="00815C4C">
        <w:rPr>
          <w:rFonts w:cs="Taher"/>
          <w:vertAlign w:val="superscript"/>
          <w:rtl/>
        </w:rPr>
        <w:footnoteReference w:id="273"/>
      </w:r>
      <w:r w:rsidRPr="00815C4C">
        <w:rPr>
          <w:rFonts w:cs="Taher"/>
          <w:vertAlign w:val="superscript"/>
          <w:rtl/>
        </w:rPr>
        <w:t>)</w:t>
      </w:r>
      <w:r w:rsidRPr="006B7863">
        <w:rPr>
          <w:rtl/>
        </w:rPr>
        <w:t>.</w:t>
      </w:r>
    </w:p>
    <w:p w:rsidR="00C87E55" w:rsidRPr="00935CC0" w:rsidRDefault="00C87E55" w:rsidP="00AB3AAA">
      <w:pPr>
        <w:pStyle w:val="ac"/>
        <w:spacing w:line="199" w:lineRule="auto"/>
        <w:rPr>
          <w:b/>
          <w:bCs/>
        </w:rPr>
      </w:pPr>
      <w:r w:rsidRPr="00935CC0">
        <w:rPr>
          <w:b/>
          <w:bCs/>
          <w:rtl/>
        </w:rPr>
        <w:t>والروايات الخمس هي:</w:t>
      </w:r>
    </w:p>
    <w:p w:rsidR="00C87E55" w:rsidRPr="006B7863" w:rsidRDefault="00C87E55" w:rsidP="00AB3AAA">
      <w:pPr>
        <w:pStyle w:val="ac"/>
        <w:spacing w:line="199" w:lineRule="auto"/>
      </w:pPr>
      <w:r w:rsidRPr="006B7863">
        <w:rPr>
          <w:rtl/>
        </w:rPr>
        <w:t>1 ـ صحيحة إسماعيل بن الفضل الهاشمي، قال: «سألت أبا عبدالله</w:t>
      </w:r>
      <w:r w:rsidR="002C6818" w:rsidRPr="002C6818">
        <w:rPr>
          <w:rFonts w:hint="cs"/>
          <w:rtl/>
        </w:rPr>
        <w:t>×</w:t>
      </w:r>
      <w:r w:rsidRPr="006B7863">
        <w:rPr>
          <w:rtl/>
        </w:rPr>
        <w:t xml:space="preserve"> عن دماء المجوس واليهود والنصارى هل عليهم وعلى من قتلهم شيء، إذا غش</w:t>
      </w:r>
      <w:r>
        <w:rPr>
          <w:rtl/>
        </w:rPr>
        <w:t>وا المسلمين وأظهروا العداوة لهم</w:t>
      </w:r>
      <w:r>
        <w:rPr>
          <w:rFonts w:hint="cs"/>
          <w:rtl/>
        </w:rPr>
        <w:t>؟</w:t>
      </w:r>
      <w:r w:rsidRPr="006B7863">
        <w:rPr>
          <w:rtl/>
        </w:rPr>
        <w:t xml:space="preserve"> قال: لا، إلاّ أن يكون متعوّداً لقتلهم، قال: وسألته عن المسلم هل يُقتل بأهل الذمّة وأهل الكتاب إذا قتلهم؟ قال: لا، إلاّ أن يكون معتاداً لذلك لا يدع قتلهم، فيُقتل وهو صاغر»</w:t>
      </w:r>
      <w:r w:rsidRPr="00815C4C">
        <w:rPr>
          <w:rFonts w:cs="Taher"/>
          <w:vertAlign w:val="superscript"/>
          <w:rtl/>
        </w:rPr>
        <w:t>(</w:t>
      </w:r>
      <w:r w:rsidRPr="00815C4C">
        <w:rPr>
          <w:rFonts w:cs="Taher"/>
          <w:vertAlign w:val="superscript"/>
          <w:rtl/>
        </w:rPr>
        <w:footnoteReference w:id="274"/>
      </w:r>
      <w:r w:rsidRPr="00815C4C">
        <w:rPr>
          <w:rFonts w:cs="Taher"/>
          <w:vertAlign w:val="superscript"/>
          <w:rtl/>
        </w:rPr>
        <w:t>)</w:t>
      </w:r>
      <w:r w:rsidRPr="006B7863">
        <w:rPr>
          <w:rtl/>
        </w:rPr>
        <w:t>.</w:t>
      </w:r>
    </w:p>
    <w:p w:rsidR="00C87E55" w:rsidRPr="006B7863" w:rsidRDefault="00C87E55" w:rsidP="00AB3AAA">
      <w:pPr>
        <w:pStyle w:val="ac"/>
        <w:spacing w:line="199" w:lineRule="auto"/>
      </w:pPr>
      <w:r w:rsidRPr="006B7863">
        <w:rPr>
          <w:rtl/>
        </w:rPr>
        <w:t>2 ـ وعن إسماعيل بن الفضل، قال: «سألت أبا عبدالله</w:t>
      </w:r>
      <w:r w:rsidR="002C6818" w:rsidRPr="002C6818">
        <w:rPr>
          <w:rFonts w:hint="cs"/>
          <w:rtl/>
        </w:rPr>
        <w:t>×</w:t>
      </w:r>
      <w:r w:rsidRPr="006B7863">
        <w:rPr>
          <w:rtl/>
        </w:rPr>
        <w:t xml:space="preserve"> عن المسلم هل يقتل بأهل الذمّة؟ قال: لا، إلاّ أن يكون متعو</w:t>
      </w:r>
      <w:r>
        <w:rPr>
          <w:rFonts w:hint="cs"/>
          <w:rtl/>
        </w:rPr>
        <w:t>ّ</w:t>
      </w:r>
      <w:r w:rsidRPr="006B7863">
        <w:rPr>
          <w:rtl/>
        </w:rPr>
        <w:t>داً لقتلهم، فيقتل وهو صاغر»</w:t>
      </w:r>
      <w:r w:rsidRPr="00651EB1">
        <w:rPr>
          <w:rFonts w:cs="Taher"/>
          <w:vertAlign w:val="superscript"/>
          <w:rtl/>
        </w:rPr>
        <w:t>(</w:t>
      </w:r>
      <w:r w:rsidRPr="00651EB1">
        <w:rPr>
          <w:rFonts w:cs="Taher"/>
          <w:vertAlign w:val="superscript"/>
          <w:rtl/>
        </w:rPr>
        <w:footnoteReference w:id="275"/>
      </w:r>
      <w:r w:rsidRPr="00651EB1">
        <w:rPr>
          <w:rFonts w:cs="Taher"/>
          <w:vertAlign w:val="superscript"/>
          <w:rtl/>
        </w:rPr>
        <w:t>)</w:t>
      </w:r>
      <w:r w:rsidRPr="006B7863">
        <w:rPr>
          <w:rtl/>
        </w:rPr>
        <w:t>.</w:t>
      </w:r>
    </w:p>
    <w:p w:rsidR="00C87E55" w:rsidRPr="006B7863" w:rsidRDefault="00C87E55" w:rsidP="00AB3AAA">
      <w:pPr>
        <w:pStyle w:val="ac"/>
        <w:spacing w:line="199" w:lineRule="auto"/>
      </w:pPr>
      <w:r w:rsidRPr="006B7863">
        <w:rPr>
          <w:rtl/>
        </w:rPr>
        <w:t>3 ـ وعن إسماعيل بن الفضل الهاشمي، عن أبي عبدالله</w:t>
      </w:r>
      <w:r w:rsidR="002C6818" w:rsidRPr="002C6818">
        <w:rPr>
          <w:rFonts w:hint="cs"/>
          <w:rtl/>
        </w:rPr>
        <w:t>×</w:t>
      </w:r>
      <w:r w:rsidRPr="006B7863">
        <w:rPr>
          <w:rtl/>
        </w:rPr>
        <w:t>، قال: «قلت له: رجل قتل رجلاً من أهل الذمة، قال: لا يقتل به، إلاّ أن يكون متعوّداً للقتل»</w:t>
      </w:r>
      <w:r w:rsidRPr="00815C4C">
        <w:rPr>
          <w:rFonts w:cs="Taher"/>
          <w:vertAlign w:val="superscript"/>
          <w:rtl/>
        </w:rPr>
        <w:t>(</w:t>
      </w:r>
      <w:r w:rsidRPr="00815C4C">
        <w:rPr>
          <w:rFonts w:cs="Taher"/>
          <w:vertAlign w:val="superscript"/>
          <w:rtl/>
        </w:rPr>
        <w:footnoteReference w:id="276"/>
      </w:r>
      <w:r w:rsidRPr="00815C4C">
        <w:rPr>
          <w:rFonts w:cs="Taher"/>
          <w:vertAlign w:val="superscript"/>
          <w:rtl/>
        </w:rPr>
        <w:t>)</w:t>
      </w:r>
      <w:r w:rsidRPr="006B7863">
        <w:rPr>
          <w:rtl/>
        </w:rPr>
        <w:t>.</w:t>
      </w:r>
    </w:p>
    <w:p w:rsidR="00C87E55" w:rsidRPr="006B7863" w:rsidRDefault="00C87E55" w:rsidP="00AB3AAA">
      <w:pPr>
        <w:pStyle w:val="ac"/>
        <w:spacing w:line="199" w:lineRule="auto"/>
      </w:pPr>
      <w:r w:rsidRPr="006B7863">
        <w:rPr>
          <w:rtl/>
        </w:rPr>
        <w:lastRenderedPageBreak/>
        <w:t>4 ـ صحيحة محمد بن الفضل عن أبي الحسن الرضا</w:t>
      </w:r>
      <w:r w:rsidR="002C6818" w:rsidRPr="002C6818">
        <w:rPr>
          <w:rFonts w:hint="cs"/>
          <w:rtl/>
        </w:rPr>
        <w:t>×</w:t>
      </w:r>
      <w:r w:rsidRPr="006B7863">
        <w:rPr>
          <w:rtl/>
        </w:rPr>
        <w:t>.. وذكر نص الحديث الأوّل بعينه</w:t>
      </w:r>
      <w:r w:rsidRPr="00815C4C">
        <w:rPr>
          <w:rFonts w:cs="Taher"/>
          <w:vertAlign w:val="superscript"/>
          <w:rtl/>
        </w:rPr>
        <w:t>(</w:t>
      </w:r>
      <w:r w:rsidRPr="00815C4C">
        <w:rPr>
          <w:rFonts w:cs="Taher"/>
          <w:vertAlign w:val="superscript"/>
          <w:rtl/>
        </w:rPr>
        <w:footnoteReference w:id="277"/>
      </w:r>
      <w:r w:rsidRPr="00815C4C">
        <w:rPr>
          <w:rFonts w:cs="Taher"/>
          <w:vertAlign w:val="superscript"/>
          <w:rtl/>
        </w:rPr>
        <w:t>)</w:t>
      </w:r>
      <w:r w:rsidRPr="006B7863">
        <w:rPr>
          <w:rtl/>
        </w:rPr>
        <w:t>.</w:t>
      </w:r>
    </w:p>
    <w:p w:rsidR="00C87E55" w:rsidRPr="006B7863" w:rsidRDefault="00C87E55" w:rsidP="00AB3AAA">
      <w:pPr>
        <w:pStyle w:val="ac"/>
        <w:spacing w:line="199" w:lineRule="auto"/>
      </w:pPr>
      <w:r w:rsidRPr="006B7863">
        <w:rPr>
          <w:rtl/>
        </w:rPr>
        <w:t>5 ـ صحيحة محمد بن قيس عن أبي جعفر</w:t>
      </w:r>
      <w:r w:rsidR="002C6818" w:rsidRPr="002C6818">
        <w:rPr>
          <w:rFonts w:hint="cs"/>
          <w:rtl/>
        </w:rPr>
        <w:t>×</w:t>
      </w:r>
      <w:r w:rsidRPr="006B7863">
        <w:rPr>
          <w:rtl/>
        </w:rPr>
        <w:t>: «لا يُقاد مسلم</w:t>
      </w:r>
      <w:r>
        <w:rPr>
          <w:rFonts w:hint="cs"/>
          <w:rtl/>
        </w:rPr>
        <w:t>ٌ</w:t>
      </w:r>
      <w:r w:rsidRPr="006B7863">
        <w:rPr>
          <w:rtl/>
        </w:rPr>
        <w:t xml:space="preserve"> بذمّي في القتل، ولا في الجراحات، ولكن يؤخذ من المسلم جنايته للذمي على قدر دية الذمّي، ثمانمائة درهم»</w:t>
      </w:r>
      <w:r w:rsidRPr="00815C4C">
        <w:rPr>
          <w:rFonts w:cs="Taher"/>
          <w:vertAlign w:val="superscript"/>
          <w:rtl/>
        </w:rPr>
        <w:t>(</w:t>
      </w:r>
      <w:r w:rsidRPr="00815C4C">
        <w:rPr>
          <w:rFonts w:cs="Taher"/>
          <w:vertAlign w:val="superscript"/>
          <w:rtl/>
        </w:rPr>
        <w:footnoteReference w:id="278"/>
      </w:r>
      <w:r w:rsidRPr="00815C4C">
        <w:rPr>
          <w:rFonts w:cs="Taher"/>
          <w:vertAlign w:val="superscript"/>
          <w:rtl/>
        </w:rPr>
        <w:t>)</w:t>
      </w:r>
      <w:r w:rsidRPr="006B7863">
        <w:rPr>
          <w:rtl/>
        </w:rPr>
        <w:t>.</w:t>
      </w:r>
    </w:p>
    <w:p w:rsidR="00C87E55" w:rsidRPr="006B7863" w:rsidRDefault="00C87E55" w:rsidP="00AB3AAA">
      <w:pPr>
        <w:pStyle w:val="ac"/>
        <w:spacing w:line="199" w:lineRule="auto"/>
      </w:pPr>
      <w:r w:rsidRPr="006B7863">
        <w:rPr>
          <w:rtl/>
        </w:rPr>
        <w:t>والذي يبدو أن الاستدلال بهذه الروايات الخمس على رأي المشهور ليس محكماً</w:t>
      </w:r>
      <w:r w:rsidR="00651EB1">
        <w:rPr>
          <w:rFonts w:hint="cs"/>
          <w:rtl/>
        </w:rPr>
        <w:t>؛</w:t>
      </w:r>
      <w:r w:rsidRPr="006B7863">
        <w:rPr>
          <w:rtl/>
        </w:rPr>
        <w:t xml:space="preserve"> وذلك:</w:t>
      </w:r>
    </w:p>
    <w:p w:rsidR="00C87E55" w:rsidRPr="006B7863" w:rsidRDefault="00C87E55" w:rsidP="00AB3AAA">
      <w:pPr>
        <w:pStyle w:val="ac"/>
        <w:spacing w:line="199" w:lineRule="auto"/>
      </w:pPr>
      <w:r w:rsidRPr="00103572">
        <w:rPr>
          <w:rtl/>
        </w:rPr>
        <w:t>أولاً:</w:t>
      </w:r>
      <w:r w:rsidRPr="006B7863">
        <w:rPr>
          <w:rtl/>
        </w:rPr>
        <w:t xml:space="preserve"> إن الأحاديث الأربعة الأولى لا ترتبط بقصاص المسلم أمام غيره، إنما بعقوبة المسلم الذي اعتاد قتل غير المسلمين، فالحكم هنا بقتله إنما جاء من باب معاقبته ومجازاته لا من باب القصاص</w:t>
      </w:r>
      <w:r>
        <w:rPr>
          <w:rtl/>
        </w:rPr>
        <w:t xml:space="preserve"> أو </w:t>
      </w:r>
      <w:r w:rsidRPr="006B7863">
        <w:rPr>
          <w:rtl/>
        </w:rPr>
        <w:t>القود.</w:t>
      </w:r>
    </w:p>
    <w:p w:rsidR="00C87E55" w:rsidRPr="006B7863" w:rsidRDefault="00C87E55" w:rsidP="00AB3AAA">
      <w:pPr>
        <w:pStyle w:val="ac"/>
      </w:pPr>
      <w:r w:rsidRPr="006B7863">
        <w:rPr>
          <w:rtl/>
        </w:rPr>
        <w:t>والشاهد على ذلك، إضافةً</w:t>
      </w:r>
      <w:r>
        <w:rPr>
          <w:rtl/>
        </w:rPr>
        <w:t xml:space="preserve"> إلى </w:t>
      </w:r>
      <w:r w:rsidRPr="006B7863">
        <w:rPr>
          <w:rtl/>
        </w:rPr>
        <w:t>تعبير «متعوّداً» المكرّر في الأحاديث الأربعة، عدم استخدام تعابير القصاص والقود وما شابههما في جملة هذه الأحاديث، إذ لو كان الحكم في سياق موضوع القصاص لكان</w:t>
      </w:r>
      <w:r>
        <w:rPr>
          <w:rtl/>
        </w:rPr>
        <w:t xml:space="preserve"> لابد </w:t>
      </w:r>
      <w:r w:rsidRPr="006B7863">
        <w:rPr>
          <w:rtl/>
        </w:rPr>
        <w:t>ـ كما ه</w:t>
      </w:r>
      <w:r>
        <w:rPr>
          <w:rFonts w:hint="cs"/>
          <w:rtl/>
        </w:rPr>
        <w:t>ي</w:t>
      </w:r>
      <w:r w:rsidRPr="006B7863">
        <w:rPr>
          <w:rtl/>
        </w:rPr>
        <w:t xml:space="preserve"> الحال في سائر روايات القصاص ـ من استخدام هذه التعابير وأمثالها.</w:t>
      </w:r>
    </w:p>
    <w:p w:rsidR="00C87E55" w:rsidRPr="006B7863" w:rsidRDefault="00C87E55" w:rsidP="00AB3AAA">
      <w:pPr>
        <w:pStyle w:val="ac"/>
        <w:spacing w:line="199" w:lineRule="auto"/>
      </w:pPr>
      <w:r w:rsidRPr="006B7863">
        <w:rPr>
          <w:rtl/>
        </w:rPr>
        <w:t>والشاهد الآخر الذي يمكنه دعم هذا الاستنتاج أنه لا يوجد أ</w:t>
      </w:r>
      <w:r>
        <w:rPr>
          <w:rFonts w:hint="cs"/>
          <w:rtl/>
        </w:rPr>
        <w:t>ي</w:t>
      </w:r>
      <w:r w:rsidRPr="006B7863">
        <w:rPr>
          <w:rtl/>
        </w:rPr>
        <w:t xml:space="preserve">ّ </w:t>
      </w:r>
      <w:r>
        <w:rPr>
          <w:rtl/>
        </w:rPr>
        <w:t>إشارة</w:t>
      </w:r>
      <w:r w:rsidRPr="006B7863">
        <w:rPr>
          <w:rtl/>
        </w:rPr>
        <w:t xml:space="preserve"> في الروايات الأربع إطلاقاً</w:t>
      </w:r>
      <w:r>
        <w:rPr>
          <w:rtl/>
        </w:rPr>
        <w:t xml:space="preserve"> إلى </w:t>
      </w:r>
      <w:r w:rsidRPr="006B7863">
        <w:rPr>
          <w:rtl/>
        </w:rPr>
        <w:t>مطالبة أولياء الدم بالقصاص، وأ</w:t>
      </w:r>
      <w:r>
        <w:rPr>
          <w:rFonts w:hint="cs"/>
          <w:rtl/>
        </w:rPr>
        <w:t>ي</w:t>
      </w:r>
      <w:r w:rsidRPr="006B7863">
        <w:rPr>
          <w:rtl/>
        </w:rPr>
        <w:t xml:space="preserve">ّ </w:t>
      </w:r>
      <w:r>
        <w:rPr>
          <w:rtl/>
        </w:rPr>
        <w:t>أسرة</w:t>
      </w:r>
      <w:r w:rsidRPr="006B7863">
        <w:rPr>
          <w:rtl/>
        </w:rPr>
        <w:t xml:space="preserve"> من أسر المقتولين يلزمها المطالبة به، جميعها</w:t>
      </w:r>
      <w:r>
        <w:rPr>
          <w:rtl/>
        </w:rPr>
        <w:t xml:space="preserve"> أو </w:t>
      </w:r>
      <w:r w:rsidRPr="006B7863">
        <w:rPr>
          <w:rtl/>
        </w:rPr>
        <w:t>الأخيرة؟ كما أن الروايات الأربع لم تتحدّث عن ردّ تفاوت الدية، وأنه</w:t>
      </w:r>
      <w:r>
        <w:rPr>
          <w:rtl/>
        </w:rPr>
        <w:t xml:space="preserve"> إلى </w:t>
      </w:r>
      <w:r w:rsidRPr="006B7863">
        <w:rPr>
          <w:rtl/>
        </w:rPr>
        <w:t>أ</w:t>
      </w:r>
      <w:r>
        <w:rPr>
          <w:rFonts w:hint="cs"/>
          <w:rtl/>
        </w:rPr>
        <w:t>ي</w:t>
      </w:r>
      <w:r w:rsidRPr="006B7863">
        <w:rPr>
          <w:rtl/>
        </w:rPr>
        <w:t xml:space="preserve">ّ </w:t>
      </w:r>
      <w:r>
        <w:rPr>
          <w:rtl/>
        </w:rPr>
        <w:t>أسرة</w:t>
      </w:r>
      <w:r w:rsidRPr="006B7863">
        <w:rPr>
          <w:rtl/>
        </w:rPr>
        <w:t xml:space="preserve"> يرجع؟</w:t>
      </w:r>
      <w:r>
        <w:rPr>
          <w:rFonts w:hint="cs"/>
          <w:rtl/>
        </w:rPr>
        <w:t xml:space="preserve"> </w:t>
      </w:r>
      <w:r w:rsidRPr="006B7863">
        <w:rPr>
          <w:rtl/>
        </w:rPr>
        <w:t>إن</w:t>
      </w:r>
      <w:r>
        <w:rPr>
          <w:rFonts w:hint="cs"/>
          <w:rtl/>
        </w:rPr>
        <w:t>ّ</w:t>
      </w:r>
      <w:r w:rsidRPr="006B7863">
        <w:rPr>
          <w:rtl/>
        </w:rPr>
        <w:t xml:space="preserve"> عدم إثارة هذه الموضوعات شاهد دالّ على عدم ارتباط هذه الأحاديث بباب القصاص، وإلاّ لزم تورّطها في إبهام</w:t>
      </w:r>
      <w:r>
        <w:rPr>
          <w:rFonts w:hint="cs"/>
          <w:rtl/>
        </w:rPr>
        <w:t>ٍ</w:t>
      </w:r>
      <w:r w:rsidRPr="006B7863">
        <w:rPr>
          <w:rtl/>
        </w:rPr>
        <w:t xml:space="preserve"> شديد من هذه الجهات.</w:t>
      </w:r>
    </w:p>
    <w:p w:rsidR="00C87E55" w:rsidRPr="006B7863" w:rsidRDefault="00C87E55" w:rsidP="002C6818">
      <w:pPr>
        <w:pStyle w:val="ac"/>
      </w:pPr>
      <w:r w:rsidRPr="006B7863">
        <w:rPr>
          <w:rtl/>
        </w:rPr>
        <w:t>وعليه، فهذه الروايات الأربع ظاهرة في الحدّ والعقوبة، لا القصاص والقود، ومن ثم لا يمكن جعلها مستنداً للحكم هنا، وإذا ما شكّك شخص</w:t>
      </w:r>
      <w:r>
        <w:rPr>
          <w:rFonts w:hint="cs"/>
          <w:rtl/>
        </w:rPr>
        <w:t>ٌ</w:t>
      </w:r>
      <w:r w:rsidRPr="006B7863">
        <w:rPr>
          <w:rtl/>
        </w:rPr>
        <w:t xml:space="preserve"> ما في ظهور هذه الروايات فيما قلناه، فلا أقلّ من وجود احتمال حقيقي</w:t>
      </w:r>
      <w:r>
        <w:rPr>
          <w:rFonts w:hint="cs"/>
          <w:rtl/>
        </w:rPr>
        <w:t>ّ</w:t>
      </w:r>
      <w:r w:rsidRPr="006B7863">
        <w:rPr>
          <w:rtl/>
        </w:rPr>
        <w:t xml:space="preserve"> جاد</w:t>
      </w:r>
      <w:r>
        <w:rPr>
          <w:rFonts w:hint="cs"/>
          <w:rtl/>
        </w:rPr>
        <w:t>ّ</w:t>
      </w:r>
      <w:r w:rsidRPr="006B7863">
        <w:rPr>
          <w:rtl/>
        </w:rPr>
        <w:t xml:space="preserve">، ومعه لا يمكن </w:t>
      </w:r>
      <w:r>
        <w:rPr>
          <w:rtl/>
        </w:rPr>
        <w:t xml:space="preserve">الاعتماد </w:t>
      </w:r>
      <w:r>
        <w:rPr>
          <w:rtl/>
        </w:rPr>
        <w:lastRenderedPageBreak/>
        <w:t>عليها في الحكم بالقصاص</w:t>
      </w:r>
      <w:r>
        <w:rPr>
          <w:rFonts w:hint="cs"/>
          <w:rtl/>
        </w:rPr>
        <w:t>؛</w:t>
      </w:r>
      <w:r w:rsidRPr="006B7863">
        <w:rPr>
          <w:rtl/>
        </w:rPr>
        <w:t xml:space="preserve"> لانتفاء ظهورها فيه مع وجود احتمال</w:t>
      </w:r>
      <w:r>
        <w:rPr>
          <w:rFonts w:hint="cs"/>
          <w:rtl/>
        </w:rPr>
        <w:t>ٍ</w:t>
      </w:r>
      <w:r w:rsidRPr="006B7863">
        <w:rPr>
          <w:rtl/>
        </w:rPr>
        <w:t xml:space="preserve"> بهذه القوّة هنا.</w:t>
      </w:r>
    </w:p>
    <w:p w:rsidR="00C87E55" w:rsidRPr="006B7863" w:rsidRDefault="00C87E55" w:rsidP="00AB3AAA">
      <w:pPr>
        <w:pStyle w:val="ac"/>
        <w:spacing w:line="199" w:lineRule="auto"/>
      </w:pPr>
      <w:r w:rsidRPr="006B7863">
        <w:rPr>
          <w:rtl/>
        </w:rPr>
        <w:t>وعليه، فلا يوجد في الحقيقة سوى حديث واحد للقول المشهور، وهو الحديث الخامس.</w:t>
      </w:r>
    </w:p>
    <w:p w:rsidR="00C87E55" w:rsidRPr="006B7863" w:rsidRDefault="00C87E55" w:rsidP="00AB3AAA">
      <w:pPr>
        <w:pStyle w:val="ac"/>
        <w:spacing w:line="199" w:lineRule="auto"/>
      </w:pPr>
      <w:r w:rsidRPr="00207F91">
        <w:rPr>
          <w:b/>
          <w:bCs/>
          <w:rtl/>
        </w:rPr>
        <w:t>ثانياً</w:t>
      </w:r>
      <w:r w:rsidRPr="00103572">
        <w:rPr>
          <w:rtl/>
        </w:rPr>
        <w:t>:</w:t>
      </w:r>
      <w:r w:rsidRPr="006B7863">
        <w:rPr>
          <w:rtl/>
        </w:rPr>
        <w:t xml:space="preserve"> وبعيداً عن الإيراد الأوّل، تعارض هذه الروايات جملةَ روايات </w:t>
      </w:r>
      <w:r>
        <w:rPr>
          <w:rtl/>
        </w:rPr>
        <w:t>أخرى</w:t>
      </w:r>
      <w:r w:rsidRPr="006B7863">
        <w:rPr>
          <w:rtl/>
        </w:rPr>
        <w:t xml:space="preserve"> تجوّز قصاص المسلم </w:t>
      </w:r>
      <w:r>
        <w:rPr>
          <w:rFonts w:hint="cs"/>
          <w:rtl/>
        </w:rPr>
        <w:t>ب</w:t>
      </w:r>
      <w:r w:rsidRPr="006B7863">
        <w:rPr>
          <w:rtl/>
        </w:rPr>
        <w:t>غير المسلم مثل:</w:t>
      </w:r>
    </w:p>
    <w:p w:rsidR="00C87E55" w:rsidRPr="006B7863" w:rsidRDefault="00C87E55" w:rsidP="00AB3AAA">
      <w:pPr>
        <w:pStyle w:val="ac"/>
        <w:spacing w:line="199" w:lineRule="auto"/>
      </w:pPr>
      <w:r w:rsidRPr="006B7863">
        <w:rPr>
          <w:rtl/>
        </w:rPr>
        <w:t>1ـ صحيحة ابن مسكان، عن أبي عبدالله</w:t>
      </w:r>
      <w:r w:rsidR="002C6818" w:rsidRPr="002C6818">
        <w:rPr>
          <w:rFonts w:hint="cs"/>
          <w:rtl/>
        </w:rPr>
        <w:t>×</w:t>
      </w:r>
      <w:r w:rsidRPr="006B7863">
        <w:rPr>
          <w:rtl/>
        </w:rPr>
        <w:t>، قال: «إذا قتل المسلم يهودياً</w:t>
      </w:r>
      <w:r>
        <w:rPr>
          <w:rtl/>
        </w:rPr>
        <w:t xml:space="preserve"> أو </w:t>
      </w:r>
      <w:r w:rsidRPr="006B7863">
        <w:rPr>
          <w:rtl/>
        </w:rPr>
        <w:t>نصرانياً</w:t>
      </w:r>
      <w:r>
        <w:rPr>
          <w:rtl/>
        </w:rPr>
        <w:t xml:space="preserve"> أو </w:t>
      </w:r>
      <w:r w:rsidRPr="006B7863">
        <w:rPr>
          <w:rtl/>
        </w:rPr>
        <w:t>مجوسياً، فأرادوا أن يقيدوا، ردّوا فضل دية المسلم وأقادوه»</w:t>
      </w:r>
      <w:r w:rsidRPr="00815C4C">
        <w:rPr>
          <w:rFonts w:cs="Taher"/>
          <w:vertAlign w:val="superscript"/>
          <w:rtl/>
        </w:rPr>
        <w:t>(</w:t>
      </w:r>
      <w:r w:rsidRPr="00815C4C">
        <w:rPr>
          <w:rFonts w:cs="Taher"/>
          <w:vertAlign w:val="superscript"/>
          <w:rtl/>
        </w:rPr>
        <w:footnoteReference w:id="279"/>
      </w:r>
      <w:r w:rsidRPr="00815C4C">
        <w:rPr>
          <w:rFonts w:cs="Taher"/>
          <w:vertAlign w:val="superscript"/>
          <w:rtl/>
        </w:rPr>
        <w:t>)</w:t>
      </w:r>
      <w:r w:rsidRPr="006B7863">
        <w:rPr>
          <w:rtl/>
        </w:rPr>
        <w:t>.</w:t>
      </w:r>
    </w:p>
    <w:p w:rsidR="00C87E55" w:rsidRPr="006B7863" w:rsidRDefault="00C87E55" w:rsidP="00AB3AAA">
      <w:pPr>
        <w:pStyle w:val="ac"/>
        <w:spacing w:line="199" w:lineRule="auto"/>
      </w:pPr>
      <w:r w:rsidRPr="006B7863">
        <w:rPr>
          <w:rtl/>
        </w:rPr>
        <w:t>2 ـ وعن أبي بصير، عن أبي عبدالله</w:t>
      </w:r>
      <w:r w:rsidR="002C6818" w:rsidRPr="002C6818">
        <w:rPr>
          <w:rFonts w:hint="cs"/>
          <w:rtl/>
        </w:rPr>
        <w:t>×</w:t>
      </w:r>
      <w:r w:rsidRPr="006B7863">
        <w:rPr>
          <w:rtl/>
        </w:rPr>
        <w:t>، قال: «إذا قتل المسلم النصراني، فأراد أهل النصراني أن يقتلوه، قتلوه، وأدّوا فضل ما بين الديتين»</w:t>
      </w:r>
      <w:r w:rsidRPr="00815C4C">
        <w:rPr>
          <w:rFonts w:cs="Taher"/>
          <w:vertAlign w:val="superscript"/>
          <w:rtl/>
        </w:rPr>
        <w:t>(</w:t>
      </w:r>
      <w:r w:rsidRPr="00815C4C">
        <w:rPr>
          <w:rFonts w:cs="Taher"/>
          <w:vertAlign w:val="superscript"/>
          <w:rtl/>
        </w:rPr>
        <w:footnoteReference w:id="280"/>
      </w:r>
      <w:r w:rsidRPr="00815C4C">
        <w:rPr>
          <w:rFonts w:cs="Taher"/>
          <w:vertAlign w:val="superscript"/>
          <w:rtl/>
        </w:rPr>
        <w:t>)</w:t>
      </w:r>
      <w:r w:rsidRPr="006B7863">
        <w:rPr>
          <w:rtl/>
        </w:rPr>
        <w:t>.</w:t>
      </w:r>
    </w:p>
    <w:p w:rsidR="00C87E55" w:rsidRPr="006B7863" w:rsidRDefault="00C87E55" w:rsidP="00AB3AAA">
      <w:pPr>
        <w:pStyle w:val="ac"/>
        <w:spacing w:line="199" w:lineRule="auto"/>
      </w:pPr>
      <w:r w:rsidRPr="006B7863">
        <w:rPr>
          <w:rtl/>
        </w:rPr>
        <w:t>3 ـ موثقة سماعة، عن أبي عبدالله</w:t>
      </w:r>
      <w:r w:rsidR="002C6818" w:rsidRPr="002C6818">
        <w:rPr>
          <w:rFonts w:hint="cs"/>
          <w:rtl/>
        </w:rPr>
        <w:t>×</w:t>
      </w:r>
      <w:r w:rsidRPr="006B7863">
        <w:rPr>
          <w:rtl/>
        </w:rPr>
        <w:t>: «في رجل قتل رجلاً من أهل الذمّة، فقال: هذا حديث شديد لا يحتمله الناس، ولكن يعطي الذمي دية المسلم، ثم يقتل به المسلم»</w:t>
      </w:r>
      <w:r w:rsidRPr="00815C4C">
        <w:rPr>
          <w:rFonts w:cs="Taher"/>
          <w:vertAlign w:val="superscript"/>
          <w:rtl/>
        </w:rPr>
        <w:t>(</w:t>
      </w:r>
      <w:r w:rsidRPr="00815C4C">
        <w:rPr>
          <w:rFonts w:cs="Taher"/>
          <w:vertAlign w:val="superscript"/>
          <w:rtl/>
        </w:rPr>
        <w:footnoteReference w:id="281"/>
      </w:r>
      <w:r w:rsidRPr="00815C4C">
        <w:rPr>
          <w:rFonts w:cs="Taher"/>
          <w:vertAlign w:val="superscript"/>
          <w:rtl/>
        </w:rPr>
        <w:t>)</w:t>
      </w:r>
      <w:r w:rsidRPr="006B7863">
        <w:rPr>
          <w:rtl/>
        </w:rPr>
        <w:t>.</w:t>
      </w:r>
    </w:p>
    <w:p w:rsidR="00C87E55" w:rsidRPr="006B7863" w:rsidRDefault="00C87E55" w:rsidP="00AB3AAA">
      <w:pPr>
        <w:pStyle w:val="ac"/>
        <w:spacing w:line="199" w:lineRule="auto"/>
      </w:pPr>
      <w:r w:rsidRPr="006B7863">
        <w:rPr>
          <w:rtl/>
        </w:rPr>
        <w:t>والظاهر أن مقصود الإمام من شدّة ال</w:t>
      </w:r>
      <w:r>
        <w:rPr>
          <w:rtl/>
        </w:rPr>
        <w:t>أمر</w:t>
      </w:r>
      <w:r w:rsidRPr="006B7863">
        <w:rPr>
          <w:rtl/>
        </w:rPr>
        <w:t xml:space="preserve"> بحيث لا يحتملها الناس، أن المسلمين يظنون عدم قصاص المسلم بغيره</w:t>
      </w:r>
      <w:r w:rsidR="002C6818">
        <w:rPr>
          <w:rFonts w:hint="cs"/>
          <w:rtl/>
        </w:rPr>
        <w:t>؛</w:t>
      </w:r>
      <w:r w:rsidRPr="006B7863">
        <w:rPr>
          <w:rtl/>
        </w:rPr>
        <w:t xml:space="preserve"> نظراً لأفضلية ال</w:t>
      </w:r>
      <w:r>
        <w:rPr>
          <w:rtl/>
        </w:rPr>
        <w:t>إسلام</w:t>
      </w:r>
      <w:r w:rsidRPr="006B7863">
        <w:rPr>
          <w:rtl/>
        </w:rPr>
        <w:t xml:space="preserve"> وعظمته، بينما يجيب الإمام</w:t>
      </w:r>
      <w:r w:rsidR="002C6818" w:rsidRPr="002C6818">
        <w:rPr>
          <w:rFonts w:hint="cs"/>
          <w:rtl/>
        </w:rPr>
        <w:t>×</w:t>
      </w:r>
      <w:r w:rsidRPr="006B7863">
        <w:rPr>
          <w:rtl/>
        </w:rPr>
        <w:t xml:space="preserve"> بالقصاص، غايته أنه يلزم دفع تفاوت الدية</w:t>
      </w:r>
      <w:r>
        <w:rPr>
          <w:rtl/>
        </w:rPr>
        <w:t xml:space="preserve"> إلى </w:t>
      </w:r>
      <w:r w:rsidRPr="006B7863">
        <w:rPr>
          <w:rtl/>
        </w:rPr>
        <w:t>عائلة المسلم الجاني قبل قصاصه.</w:t>
      </w:r>
    </w:p>
    <w:p w:rsidR="00C87E55" w:rsidRPr="006B7863" w:rsidRDefault="00C87E55" w:rsidP="00AB3AAA">
      <w:pPr>
        <w:pStyle w:val="ac"/>
      </w:pPr>
      <w:r w:rsidRPr="006B7863">
        <w:rPr>
          <w:rtl/>
        </w:rPr>
        <w:t xml:space="preserve">وحيث كانت روايات الباب معارضةً لروايات </w:t>
      </w:r>
      <w:r>
        <w:rPr>
          <w:rtl/>
        </w:rPr>
        <w:t>أخرى</w:t>
      </w:r>
      <w:r w:rsidRPr="006B7863">
        <w:rPr>
          <w:rtl/>
        </w:rPr>
        <w:t>، لز</w:t>
      </w:r>
      <w:r>
        <w:rPr>
          <w:rtl/>
        </w:rPr>
        <w:t>م ترجيح الروايات الثلاث الأخيرة</w:t>
      </w:r>
      <w:r>
        <w:rPr>
          <w:rFonts w:hint="cs"/>
          <w:rtl/>
        </w:rPr>
        <w:t>؛</w:t>
      </w:r>
      <w:r w:rsidRPr="006B7863">
        <w:rPr>
          <w:rtl/>
        </w:rPr>
        <w:t xml:space="preserve"> انطلاقاً من موافقتها لآيات القصاص، فتكون هذه الأحاديث ـ في المحصّلة النهائية ـ </w:t>
      </w:r>
      <w:r>
        <w:rPr>
          <w:rtl/>
        </w:rPr>
        <w:t>أساس</w:t>
      </w:r>
      <w:r w:rsidRPr="006B7863">
        <w:rPr>
          <w:rtl/>
        </w:rPr>
        <w:t>اً للاستنتاج الفقهي هنا.</w:t>
      </w:r>
    </w:p>
    <w:p w:rsidR="00C87E55" w:rsidRPr="006B7863" w:rsidRDefault="00C87E55" w:rsidP="002C6818">
      <w:pPr>
        <w:pStyle w:val="ac"/>
      </w:pPr>
      <w:r w:rsidRPr="006B7863">
        <w:rPr>
          <w:rtl/>
        </w:rPr>
        <w:t xml:space="preserve">وقد أعمل صاحب الجواهر الترجيح بين هذه الروايات بطريقة </w:t>
      </w:r>
      <w:r>
        <w:rPr>
          <w:rtl/>
        </w:rPr>
        <w:t>أخرى</w:t>
      </w:r>
      <w:r w:rsidRPr="006B7863">
        <w:rPr>
          <w:rtl/>
        </w:rPr>
        <w:t xml:space="preserve">، إنه يقول: إن هذه الروايات الثلاث الأخيرة تخالف آية نفي السبيل، ومن ثم يلزم ترجيح تلك </w:t>
      </w:r>
      <w:r w:rsidRPr="006B7863">
        <w:rPr>
          <w:rtl/>
        </w:rPr>
        <w:lastRenderedPageBreak/>
        <w:t>الروايات عليها</w:t>
      </w:r>
      <w:r w:rsidRPr="00815C4C">
        <w:rPr>
          <w:rFonts w:cs="Taher"/>
          <w:vertAlign w:val="superscript"/>
          <w:rtl/>
        </w:rPr>
        <w:t>(</w:t>
      </w:r>
      <w:r w:rsidRPr="00815C4C">
        <w:rPr>
          <w:rFonts w:cs="Taher"/>
          <w:vertAlign w:val="superscript"/>
          <w:rtl/>
        </w:rPr>
        <w:footnoteReference w:id="282"/>
      </w:r>
      <w:r w:rsidRPr="00815C4C">
        <w:rPr>
          <w:rFonts w:cs="Taher"/>
          <w:vertAlign w:val="superscript"/>
          <w:rtl/>
        </w:rPr>
        <w:t>)</w:t>
      </w:r>
      <w:r w:rsidRPr="006B7863">
        <w:rPr>
          <w:rtl/>
        </w:rPr>
        <w:t>، إلاّ أنه ـ وكما مرّ سابقاً ـ لا تملك آية نفي السبيل دلالةً فيما نحن فيه، وهذا معناه فقدان مخالفتها للمعنى، ومن ثم لا تكون سبباً للرجحان.</w:t>
      </w:r>
    </w:p>
    <w:p w:rsidR="00C87E55" w:rsidRPr="006B7863" w:rsidRDefault="00C87E55" w:rsidP="00651EB1">
      <w:pPr>
        <w:pStyle w:val="ac"/>
      </w:pPr>
      <w:r w:rsidRPr="006B7863">
        <w:rPr>
          <w:rtl/>
        </w:rPr>
        <w:t>والمطلب الذي بيّناه في معارضة الروايات الثلاث وترجيحها يقع على حسب رأي المشهور في باب دية المسلم وغيره، وإلاّ فإن هذه الروايات تخالف هي أيضاً النص القرآني</w:t>
      </w:r>
      <w:r w:rsidR="00651EB1">
        <w:rPr>
          <w:rFonts w:hint="cs"/>
          <w:rtl/>
        </w:rPr>
        <w:t>؛</w:t>
      </w:r>
      <w:r w:rsidRPr="006B7863">
        <w:rPr>
          <w:rtl/>
        </w:rPr>
        <w:t xml:space="preserve"> طبقاً لما مرّ معنا في </w:t>
      </w:r>
      <w:r>
        <w:rPr>
          <w:rFonts w:hint="cs"/>
          <w:rtl/>
        </w:rPr>
        <w:t>المحور</w:t>
      </w:r>
      <w:r w:rsidRPr="006B7863">
        <w:rPr>
          <w:rtl/>
        </w:rPr>
        <w:t xml:space="preserve"> الأوّل من أن الآيات القرآنية لا ترى الدين شرطاً في القصاص، ومعنى ذلك أن هذه الروايات عينها ينبغي طرحها أيضاً.</w:t>
      </w:r>
    </w:p>
    <w:p w:rsidR="00C87E55" w:rsidRPr="006B7863" w:rsidRDefault="00C87E55" w:rsidP="002C6818">
      <w:pPr>
        <w:pStyle w:val="ac"/>
      </w:pPr>
      <w:r w:rsidRPr="006B7863">
        <w:rPr>
          <w:rtl/>
        </w:rPr>
        <w:t>ومن بين مجموع الروايات المنقولة، أي الروايات الخمس الأولى والروايات الثلاث اللاحقة ليس هناك من رواية تام</w:t>
      </w:r>
      <w:r>
        <w:rPr>
          <w:rFonts w:hint="cs"/>
          <w:rtl/>
        </w:rPr>
        <w:t>ّ</w:t>
      </w:r>
      <w:r w:rsidRPr="006B7863">
        <w:rPr>
          <w:rtl/>
        </w:rPr>
        <w:t>ة سنداً ومتناً موافقة للقرآن الكريم عدا صحيحة محمد بن قيس، وهي التي تدلّ على أن قصاص المسلم وغيره يقع دون حاجة</w:t>
      </w:r>
      <w:r>
        <w:rPr>
          <w:rtl/>
        </w:rPr>
        <w:t xml:space="preserve"> إلى </w:t>
      </w:r>
      <w:r w:rsidRPr="006B7863">
        <w:rPr>
          <w:rtl/>
        </w:rPr>
        <w:t>دفع فاضل الدية.</w:t>
      </w:r>
    </w:p>
    <w:p w:rsidR="00C87E55" w:rsidRDefault="00C87E55" w:rsidP="002C6818">
      <w:pPr>
        <w:pStyle w:val="ac"/>
        <w:rPr>
          <w:rtl/>
        </w:rPr>
      </w:pPr>
      <w:r w:rsidRPr="006B7863">
        <w:rPr>
          <w:rtl/>
        </w:rPr>
        <w:t xml:space="preserve">وبعبارة </w:t>
      </w:r>
      <w:r>
        <w:rPr>
          <w:rtl/>
        </w:rPr>
        <w:t>أخرى</w:t>
      </w:r>
      <w:r w:rsidRPr="006B7863">
        <w:rPr>
          <w:rtl/>
        </w:rPr>
        <w:t>، أربع ر</w:t>
      </w:r>
      <w:r>
        <w:rPr>
          <w:rtl/>
        </w:rPr>
        <w:t>وايات من مجموع الروايات الثماني</w:t>
      </w:r>
      <w:r w:rsidRPr="006B7863">
        <w:rPr>
          <w:rtl/>
        </w:rPr>
        <w:t xml:space="preserve"> التي مرّت معنا، تتعلّق بالعقوبة والحدّ، وهي التي تدلّ على حالة اعتياد المسلم قت</w:t>
      </w:r>
      <w:r>
        <w:rPr>
          <w:rtl/>
        </w:rPr>
        <w:t>ل غير المسلمين، فيما تخالف ثلاث</w:t>
      </w:r>
      <w:r w:rsidRPr="006B7863">
        <w:rPr>
          <w:rtl/>
        </w:rPr>
        <w:t xml:space="preserve"> </w:t>
      </w:r>
      <w:r>
        <w:rPr>
          <w:rtl/>
        </w:rPr>
        <w:t>أخرى</w:t>
      </w:r>
      <w:r w:rsidRPr="006B7863">
        <w:rPr>
          <w:rtl/>
        </w:rPr>
        <w:t xml:space="preserve"> القرآن الكريم من حيث دلالتها على تفاوت المسلم وغيره في القصاص، ومن ثم لا تكون حجةً، وعليه، فلا يبقى في البين عدا رواية واحدة تام</w:t>
      </w:r>
      <w:r>
        <w:rPr>
          <w:rFonts w:hint="cs"/>
          <w:rtl/>
        </w:rPr>
        <w:t>ّ</w:t>
      </w:r>
      <w:r w:rsidRPr="006B7863">
        <w:rPr>
          <w:rtl/>
        </w:rPr>
        <w:t>ة سنداً ومتناً، ألا وهي صحيحة محمد بن قيس</w:t>
      </w:r>
      <w:r>
        <w:rPr>
          <w:rFonts w:hint="cs"/>
          <w:rtl/>
        </w:rPr>
        <w:t>، ولكنّها غير موافقة للقرآن الكريم</w:t>
      </w:r>
      <w:r w:rsidRPr="006B7863">
        <w:rPr>
          <w:rtl/>
        </w:rPr>
        <w:t>.</w:t>
      </w:r>
    </w:p>
    <w:p w:rsidR="002C6818" w:rsidRPr="00AB3AAA" w:rsidRDefault="002C6818" w:rsidP="00AB3AAA">
      <w:pPr>
        <w:pStyle w:val="afffffc"/>
        <w:rPr>
          <w:sz w:val="28"/>
          <w:szCs w:val="26"/>
        </w:rPr>
      </w:pPr>
    </w:p>
    <w:p w:rsidR="00C87E55" w:rsidRPr="00DC4984" w:rsidRDefault="00C87E55" w:rsidP="00AB3AAA">
      <w:pPr>
        <w:pStyle w:val="2"/>
      </w:pPr>
      <w:bookmarkStart w:id="263" w:name="_Toc169521442"/>
      <w:bookmarkStart w:id="264" w:name="_Toc275127991"/>
      <w:r w:rsidRPr="00DC4984">
        <w:rPr>
          <w:rtl/>
        </w:rPr>
        <w:t>الدليل الثالث: الإجماع</w:t>
      </w:r>
      <w:bookmarkEnd w:id="263"/>
      <w:bookmarkEnd w:id="264"/>
    </w:p>
    <w:p w:rsidR="00C87E55" w:rsidRPr="006B7863" w:rsidRDefault="00C87E55" w:rsidP="002C6818">
      <w:pPr>
        <w:pStyle w:val="ac"/>
      </w:pPr>
      <w:r w:rsidRPr="006B7863">
        <w:rPr>
          <w:rtl/>
        </w:rPr>
        <w:t>الإجماع ثالث أدلّة المشهور هنا، بيد أنه غير تام أيضاً، وذلك:</w:t>
      </w:r>
    </w:p>
    <w:p w:rsidR="00C87E55" w:rsidRPr="006B7863" w:rsidRDefault="00C87E55" w:rsidP="002C6818">
      <w:pPr>
        <w:pStyle w:val="ac"/>
      </w:pPr>
      <w:r w:rsidRPr="00342F04">
        <w:rPr>
          <w:b/>
          <w:bCs/>
          <w:rtl/>
        </w:rPr>
        <w:t>أولاً</w:t>
      </w:r>
      <w:r w:rsidRPr="00DC4984">
        <w:rPr>
          <w:rtl/>
        </w:rPr>
        <w:t>:</w:t>
      </w:r>
      <w:r w:rsidRPr="006B7863">
        <w:rPr>
          <w:rtl/>
        </w:rPr>
        <w:t xml:space="preserve"> يخالف الشيخ الصدوق المشهور في كتاب المقنع، مم</w:t>
      </w:r>
      <w:r>
        <w:rPr>
          <w:rFonts w:hint="cs"/>
          <w:rtl/>
        </w:rPr>
        <w:t>ّ</w:t>
      </w:r>
      <w:r w:rsidRPr="006B7863">
        <w:rPr>
          <w:rtl/>
        </w:rPr>
        <w:t>ا بإمكانه أن يُحدث خللاً في الإجماع.</w:t>
      </w:r>
    </w:p>
    <w:p w:rsidR="00C87E55" w:rsidRDefault="00C87E55" w:rsidP="00AB3AAA">
      <w:pPr>
        <w:pStyle w:val="ac"/>
        <w:jc w:val="lowKashida"/>
        <w:rPr>
          <w:rtl/>
        </w:rPr>
      </w:pPr>
      <w:r w:rsidRPr="00342F04">
        <w:rPr>
          <w:b/>
          <w:bCs/>
          <w:rtl/>
        </w:rPr>
        <w:t>ثانياً</w:t>
      </w:r>
      <w:r w:rsidRPr="00DC4984">
        <w:rPr>
          <w:rtl/>
        </w:rPr>
        <w:t>:</w:t>
      </w:r>
      <w:r w:rsidRPr="006B7863">
        <w:rPr>
          <w:rtl/>
        </w:rPr>
        <w:t xml:space="preserve"> لا مجال للاستدلال بالإجماع مع وجود الآيات والروايات القرآنية والحديثية</w:t>
      </w:r>
      <w:r w:rsidRPr="00815C4C">
        <w:rPr>
          <w:rFonts w:cs="Taher"/>
          <w:vertAlign w:val="superscript"/>
          <w:rtl/>
        </w:rPr>
        <w:t>(</w:t>
      </w:r>
      <w:r w:rsidRPr="00815C4C">
        <w:rPr>
          <w:rFonts w:cs="Taher"/>
          <w:vertAlign w:val="superscript"/>
          <w:rtl/>
        </w:rPr>
        <w:footnoteReference w:id="283"/>
      </w:r>
      <w:r w:rsidRPr="00815C4C">
        <w:rPr>
          <w:rFonts w:cs="Taher"/>
          <w:vertAlign w:val="superscript"/>
          <w:rtl/>
        </w:rPr>
        <w:t>)</w:t>
      </w:r>
      <w:r w:rsidRPr="006B7863">
        <w:rPr>
          <w:rtl/>
        </w:rPr>
        <w:t>.</w:t>
      </w:r>
    </w:p>
    <w:p w:rsidR="00C87E55" w:rsidRPr="00D457EB" w:rsidRDefault="00C87E55" w:rsidP="002C6818">
      <w:pPr>
        <w:pStyle w:val="1"/>
        <w:rPr>
          <w:szCs w:val="22"/>
        </w:rPr>
      </w:pPr>
      <w:bookmarkStart w:id="265" w:name="_Toc169521443"/>
      <w:bookmarkStart w:id="266" w:name="_Toc275127992"/>
      <w:r w:rsidRPr="00D457EB">
        <w:rPr>
          <w:rtl/>
        </w:rPr>
        <w:lastRenderedPageBreak/>
        <w:t>الصورة الثانية</w:t>
      </w:r>
      <w:r w:rsidRPr="003A6D60">
        <w:rPr>
          <w:rFonts w:cs="Simplified Arabic"/>
          <w:rtl/>
        </w:rPr>
        <w:t>:</w:t>
      </w:r>
      <w:r w:rsidRPr="00D457EB">
        <w:rPr>
          <w:rtl/>
        </w:rPr>
        <w:t xml:space="preserve"> قتل غير المسلم للمسلم</w:t>
      </w:r>
      <w:bookmarkEnd w:id="265"/>
      <w:bookmarkEnd w:id="266"/>
    </w:p>
    <w:p w:rsidR="00C87E55" w:rsidRDefault="00C87E55" w:rsidP="00AB3AAA">
      <w:pPr>
        <w:pStyle w:val="ac"/>
        <w:spacing w:line="199" w:lineRule="auto"/>
        <w:rPr>
          <w:rtl/>
        </w:rPr>
      </w:pPr>
      <w:r w:rsidRPr="006B7863">
        <w:rPr>
          <w:rtl/>
        </w:rPr>
        <w:t>ذهب مشهور الفقهاء</w:t>
      </w:r>
      <w:r>
        <w:rPr>
          <w:rtl/>
        </w:rPr>
        <w:t xml:space="preserve"> إلى </w:t>
      </w:r>
      <w:r w:rsidRPr="006B7863">
        <w:rPr>
          <w:rtl/>
        </w:rPr>
        <w:t xml:space="preserve">أن الكافر الذمي إذا قتل ـ عمداً ـ </w:t>
      </w:r>
      <w:r>
        <w:rPr>
          <w:rtl/>
        </w:rPr>
        <w:t>إنسان</w:t>
      </w:r>
      <w:r w:rsidRPr="006B7863">
        <w:rPr>
          <w:rtl/>
        </w:rPr>
        <w:t>اً مسلماً كان هو وأمواله تحت تصرّف أولياء المسلم المقتول، فيتخي</w:t>
      </w:r>
      <w:r>
        <w:rPr>
          <w:rFonts w:hint="cs"/>
          <w:rtl/>
        </w:rPr>
        <w:t>ّ</w:t>
      </w:r>
      <w:r w:rsidRPr="006B7863">
        <w:rPr>
          <w:rtl/>
        </w:rPr>
        <w:t>رون بين قتله</w:t>
      </w:r>
      <w:r>
        <w:rPr>
          <w:rtl/>
        </w:rPr>
        <w:t xml:space="preserve"> أو استرقاقه وجعله عبداً لهم</w:t>
      </w:r>
      <w:r>
        <w:rPr>
          <w:rFonts w:hint="cs"/>
          <w:rtl/>
        </w:rPr>
        <w:t xml:space="preserve">، </w:t>
      </w:r>
      <w:r w:rsidRPr="006B7863">
        <w:rPr>
          <w:rtl/>
        </w:rPr>
        <w:t>يقول صاحب الجواهر: «على المشهور بين ال</w:t>
      </w:r>
      <w:r>
        <w:rPr>
          <w:rtl/>
        </w:rPr>
        <w:t>أصحاب</w:t>
      </w:r>
      <w:r w:rsidRPr="006B7863">
        <w:rPr>
          <w:rtl/>
        </w:rPr>
        <w:t xml:space="preserve"> نقلاً وتحصيلاً، بل في الانتصار (للمرتضى) والسرائر (لابن إدريس) والروضة (للشهيد الثاني) وظاهر النكت الإجماع عليه»</w:t>
      </w:r>
      <w:r w:rsidRPr="00815C4C">
        <w:rPr>
          <w:rFonts w:cs="Taher"/>
          <w:vertAlign w:val="superscript"/>
          <w:rtl/>
        </w:rPr>
        <w:t>(</w:t>
      </w:r>
      <w:r w:rsidRPr="00815C4C">
        <w:rPr>
          <w:rFonts w:cs="Taher"/>
          <w:vertAlign w:val="superscript"/>
          <w:rtl/>
        </w:rPr>
        <w:footnoteReference w:id="284"/>
      </w:r>
      <w:r w:rsidRPr="00815C4C">
        <w:rPr>
          <w:rFonts w:cs="Taher"/>
          <w:vertAlign w:val="superscript"/>
          <w:rtl/>
        </w:rPr>
        <w:t>)</w:t>
      </w:r>
      <w:r w:rsidRPr="006B7863">
        <w:rPr>
          <w:rtl/>
        </w:rPr>
        <w:t>.</w:t>
      </w:r>
    </w:p>
    <w:p w:rsidR="002C6818" w:rsidRPr="00AB3AAA" w:rsidRDefault="002C6818" w:rsidP="00AB3AAA">
      <w:pPr>
        <w:pStyle w:val="afffffc"/>
        <w:rPr>
          <w:sz w:val="20"/>
          <w:szCs w:val="18"/>
        </w:rPr>
      </w:pPr>
    </w:p>
    <w:p w:rsidR="00C87E55" w:rsidRPr="00D457EB" w:rsidRDefault="00C87E55" w:rsidP="002C6818">
      <w:pPr>
        <w:pStyle w:val="1"/>
      </w:pPr>
      <w:bookmarkStart w:id="267" w:name="_Toc169521444"/>
      <w:bookmarkStart w:id="268" w:name="_Toc275127993"/>
      <w:r w:rsidRPr="00D457EB">
        <w:rPr>
          <w:rtl/>
        </w:rPr>
        <w:t>أدلّة النظرية المشهورة ومناقشتها</w:t>
      </w:r>
      <w:bookmarkEnd w:id="267"/>
      <w:bookmarkEnd w:id="268"/>
    </w:p>
    <w:p w:rsidR="00C87E55" w:rsidRDefault="00C87E55" w:rsidP="00AB3AAA">
      <w:pPr>
        <w:pStyle w:val="ac"/>
        <w:spacing w:line="194" w:lineRule="auto"/>
        <w:rPr>
          <w:rtl/>
        </w:rPr>
      </w:pPr>
      <w:r w:rsidRPr="006B7863">
        <w:rPr>
          <w:rtl/>
        </w:rPr>
        <w:t xml:space="preserve">وقد اعتمد المشهور في قولهم هذا على دليلين اثنين: أحدهما السنّة الشريفة، وثانيهما الإجماع، ونحاول هنا </w:t>
      </w:r>
      <w:r w:rsidRPr="002C6818">
        <w:rPr>
          <w:rtl/>
        </w:rPr>
        <w:t>ت</w:t>
      </w:r>
      <w:r w:rsidRPr="006B7863">
        <w:rPr>
          <w:rtl/>
        </w:rPr>
        <w:t>حليل هذين الدليلين ودراستهما:</w:t>
      </w:r>
    </w:p>
    <w:p w:rsidR="002C6818" w:rsidRPr="00AB3AAA" w:rsidRDefault="002C6818" w:rsidP="00AB3AAA">
      <w:pPr>
        <w:pStyle w:val="afffffc"/>
        <w:rPr>
          <w:sz w:val="20"/>
          <w:szCs w:val="18"/>
        </w:rPr>
      </w:pPr>
    </w:p>
    <w:p w:rsidR="00C87E55" w:rsidRPr="00DC4984" w:rsidRDefault="00C87E55" w:rsidP="00AB3AAA">
      <w:pPr>
        <w:pStyle w:val="2"/>
      </w:pPr>
      <w:bookmarkStart w:id="269" w:name="_Toc169521445"/>
      <w:bookmarkStart w:id="270" w:name="_Toc275127994"/>
      <w:r w:rsidRPr="00DC4984">
        <w:rPr>
          <w:rtl/>
        </w:rPr>
        <w:t>الدليل الأول: السنّة</w:t>
      </w:r>
      <w:bookmarkEnd w:id="269"/>
      <w:bookmarkEnd w:id="270"/>
    </w:p>
    <w:p w:rsidR="00C87E55" w:rsidRPr="006B7863" w:rsidRDefault="00C87E55" w:rsidP="00AB3AAA">
      <w:pPr>
        <w:pStyle w:val="ac"/>
        <w:spacing w:line="202" w:lineRule="auto"/>
      </w:pPr>
      <w:r w:rsidRPr="006B7863">
        <w:rPr>
          <w:rtl/>
        </w:rPr>
        <w:t>لم ينقل في هذا المجال سوى حديث</w:t>
      </w:r>
      <w:r>
        <w:rPr>
          <w:rFonts w:hint="cs"/>
          <w:rtl/>
        </w:rPr>
        <w:t>ا</w:t>
      </w:r>
      <w:r w:rsidRPr="006B7863">
        <w:rPr>
          <w:rtl/>
        </w:rPr>
        <w:t>ن اثن</w:t>
      </w:r>
      <w:r>
        <w:rPr>
          <w:rFonts w:hint="cs"/>
          <w:rtl/>
        </w:rPr>
        <w:t>ا</w:t>
      </w:r>
      <w:r w:rsidRPr="006B7863">
        <w:rPr>
          <w:rtl/>
        </w:rPr>
        <w:t>ن: أحدهما صحيحة ضريس، وثانيهما صحيحة عبدالله بن سنان، وهذا نصّ الخبرين:</w:t>
      </w:r>
    </w:p>
    <w:p w:rsidR="00C87E55" w:rsidRPr="006B7863" w:rsidRDefault="00C87E55" w:rsidP="00AB3AAA">
      <w:pPr>
        <w:pStyle w:val="ac"/>
        <w:spacing w:line="199" w:lineRule="auto"/>
      </w:pPr>
      <w:r w:rsidRPr="006B7863">
        <w:rPr>
          <w:rtl/>
        </w:rPr>
        <w:t>1 ـ صحيحة ضريس عن أبي جعفر</w:t>
      </w:r>
      <w:r w:rsidR="002C6818" w:rsidRPr="002C6818">
        <w:rPr>
          <w:rFonts w:hint="cs"/>
          <w:rtl/>
        </w:rPr>
        <w:t>×</w:t>
      </w:r>
      <w:r w:rsidRPr="006B7863">
        <w:rPr>
          <w:rtl/>
        </w:rPr>
        <w:t>: «في نصراني قتل مسلماً، فلمّا أخذ أسلم، قال: أقتله به. قيل: وإن لم يسلم، قال: يدفع</w:t>
      </w:r>
      <w:r>
        <w:rPr>
          <w:rtl/>
        </w:rPr>
        <w:t xml:space="preserve"> إلى </w:t>
      </w:r>
      <w:r w:rsidRPr="006B7863">
        <w:rPr>
          <w:rtl/>
        </w:rPr>
        <w:t>أولياء المقتول، فإن شاؤوا قتلوا، وإن شاؤوا عفوا، وإن شاؤوا استرق</w:t>
      </w:r>
      <w:r>
        <w:rPr>
          <w:rFonts w:hint="cs"/>
          <w:rtl/>
        </w:rPr>
        <w:t>ّ</w:t>
      </w:r>
      <w:r w:rsidRPr="006B7863">
        <w:rPr>
          <w:rtl/>
        </w:rPr>
        <w:t>وا، قيل: وإن كان معه مال، قال: دفع</w:t>
      </w:r>
      <w:r>
        <w:rPr>
          <w:rtl/>
        </w:rPr>
        <w:t xml:space="preserve"> إلى </w:t>
      </w:r>
      <w:r w:rsidRPr="006B7863">
        <w:rPr>
          <w:rtl/>
        </w:rPr>
        <w:t>أولياء المقتول هو وماله»</w:t>
      </w:r>
      <w:r w:rsidRPr="00815C4C">
        <w:rPr>
          <w:rFonts w:cs="Taher"/>
          <w:vertAlign w:val="superscript"/>
          <w:rtl/>
        </w:rPr>
        <w:t>(</w:t>
      </w:r>
      <w:r w:rsidRPr="00815C4C">
        <w:rPr>
          <w:rFonts w:cs="Taher"/>
          <w:vertAlign w:val="superscript"/>
          <w:rtl/>
        </w:rPr>
        <w:footnoteReference w:id="285"/>
      </w:r>
      <w:r w:rsidRPr="00815C4C">
        <w:rPr>
          <w:rFonts w:cs="Taher"/>
          <w:vertAlign w:val="superscript"/>
          <w:rtl/>
        </w:rPr>
        <w:t>)</w:t>
      </w:r>
      <w:r w:rsidRPr="006B7863">
        <w:rPr>
          <w:rtl/>
        </w:rPr>
        <w:t>.</w:t>
      </w:r>
    </w:p>
    <w:p w:rsidR="00C87E55" w:rsidRPr="006B7863" w:rsidRDefault="00C87E55" w:rsidP="00AB3AAA">
      <w:pPr>
        <w:pStyle w:val="ac"/>
        <w:spacing w:line="199" w:lineRule="auto"/>
      </w:pPr>
      <w:r w:rsidRPr="006B7863">
        <w:rPr>
          <w:rtl/>
        </w:rPr>
        <w:t>2 ـ صحيحة عبدالله بن سنان، عن الصادق</w:t>
      </w:r>
      <w:r w:rsidR="002C6818" w:rsidRPr="002C6818">
        <w:rPr>
          <w:rFonts w:hint="cs"/>
          <w:rtl/>
        </w:rPr>
        <w:t>×</w:t>
      </w:r>
      <w:r w:rsidRPr="006B7863">
        <w:rPr>
          <w:rtl/>
        </w:rPr>
        <w:t>: «في نصراني قتل مسلماً، فلم</w:t>
      </w:r>
      <w:r>
        <w:rPr>
          <w:rFonts w:hint="cs"/>
          <w:rtl/>
        </w:rPr>
        <w:t>ّ</w:t>
      </w:r>
      <w:r w:rsidRPr="006B7863">
        <w:rPr>
          <w:rtl/>
        </w:rPr>
        <w:t>ا أخذ أسلم، قال: أقتله، قيل: فإن لم يسلم؟ قال: يدفع</w:t>
      </w:r>
      <w:r>
        <w:rPr>
          <w:rtl/>
        </w:rPr>
        <w:t xml:space="preserve"> إلى </w:t>
      </w:r>
      <w:r w:rsidRPr="006B7863">
        <w:rPr>
          <w:rtl/>
        </w:rPr>
        <w:t>أولياء المقتول هو وماله»</w:t>
      </w:r>
      <w:r w:rsidRPr="00815C4C">
        <w:rPr>
          <w:rFonts w:cs="Taher"/>
          <w:vertAlign w:val="superscript"/>
          <w:rtl/>
        </w:rPr>
        <w:t>(</w:t>
      </w:r>
      <w:r w:rsidRPr="00815C4C">
        <w:rPr>
          <w:rFonts w:cs="Taher"/>
          <w:vertAlign w:val="superscript"/>
          <w:rtl/>
        </w:rPr>
        <w:footnoteReference w:id="286"/>
      </w:r>
      <w:r w:rsidRPr="00815C4C">
        <w:rPr>
          <w:rFonts w:cs="Taher"/>
          <w:vertAlign w:val="superscript"/>
          <w:rtl/>
        </w:rPr>
        <w:t>)</w:t>
      </w:r>
      <w:r w:rsidRPr="006B7863">
        <w:rPr>
          <w:rtl/>
        </w:rPr>
        <w:t>.</w:t>
      </w:r>
    </w:p>
    <w:p w:rsidR="00C87E55" w:rsidRPr="006B7863" w:rsidRDefault="00C87E55" w:rsidP="002C6818">
      <w:pPr>
        <w:pStyle w:val="ac"/>
      </w:pPr>
      <w:r w:rsidRPr="006B7863">
        <w:rPr>
          <w:rtl/>
        </w:rPr>
        <w:t>إلاّ أن الاستدلال بهاتين الروايتين مشكل وذلك:</w:t>
      </w:r>
    </w:p>
    <w:p w:rsidR="00C87E55" w:rsidRPr="006B7863" w:rsidRDefault="00C87E55" w:rsidP="002C6818">
      <w:pPr>
        <w:pStyle w:val="ac"/>
      </w:pPr>
      <w:r w:rsidRPr="003F07CF">
        <w:rPr>
          <w:b/>
          <w:bCs/>
          <w:rtl/>
        </w:rPr>
        <w:t>أولاً</w:t>
      </w:r>
      <w:r w:rsidRPr="00DC4984">
        <w:rPr>
          <w:rtl/>
        </w:rPr>
        <w:t>:</w:t>
      </w:r>
      <w:r w:rsidRPr="006B7863">
        <w:rPr>
          <w:rtl/>
        </w:rPr>
        <w:t xml:space="preserve"> تخالف الروايتان القواعدَ المسلّمة شرعاً وعقلائياً في باب القصاص، كما </w:t>
      </w:r>
      <w:r w:rsidRPr="006B7863">
        <w:rPr>
          <w:rtl/>
        </w:rPr>
        <w:lastRenderedPageBreak/>
        <w:t>تخالف احترام مال الآخرين، وحيث كانت حجي</w:t>
      </w:r>
      <w:r>
        <w:rPr>
          <w:rFonts w:hint="cs"/>
          <w:rtl/>
        </w:rPr>
        <w:t>ّ</w:t>
      </w:r>
      <w:r w:rsidRPr="006B7863">
        <w:rPr>
          <w:rtl/>
        </w:rPr>
        <w:t>ة خبر الواحد من باب السيرة العقلائية، فلا يشمل دليل الحجية مورداً من هذا النوع.</w:t>
      </w:r>
    </w:p>
    <w:p w:rsidR="00C87E55" w:rsidRPr="006B7863" w:rsidRDefault="00C87E55" w:rsidP="000218F4">
      <w:pPr>
        <w:pStyle w:val="ac"/>
        <w:spacing w:line="211" w:lineRule="auto"/>
      </w:pPr>
      <w:r w:rsidRPr="003F07CF">
        <w:rPr>
          <w:b/>
          <w:bCs/>
          <w:rtl/>
        </w:rPr>
        <w:t>ثانياً</w:t>
      </w:r>
      <w:r w:rsidRPr="00DC4984">
        <w:rPr>
          <w:rtl/>
        </w:rPr>
        <w:t>:</w:t>
      </w:r>
      <w:r w:rsidRPr="006B7863">
        <w:rPr>
          <w:rtl/>
        </w:rPr>
        <w:t xml:space="preserve"> إن السؤال في الروايتين معاً يدور حول نصراني قتل مسلماً، إلاّ أن جهة السؤال غير محدّدة، ومع الأخذ بعين الاعتبار وجود مثل هذا الإبهام يمكن أن يكون الجواب خاص</w:t>
      </w:r>
      <w:r>
        <w:rPr>
          <w:rFonts w:hint="cs"/>
          <w:rtl/>
        </w:rPr>
        <w:t>ّ</w:t>
      </w:r>
      <w:r w:rsidRPr="006B7863">
        <w:rPr>
          <w:rtl/>
        </w:rPr>
        <w:t>اً بذلك المورد، فتكون الرواية قضيةً شخصية لا يمكن تعميم حكمها، وبذلك لا يبقى إطلاق لهذين الحديثين ولا عموم.</w:t>
      </w:r>
    </w:p>
    <w:p w:rsidR="00C87E55" w:rsidRPr="000F534D" w:rsidRDefault="00C87E55" w:rsidP="000218F4">
      <w:pPr>
        <w:pStyle w:val="ac"/>
        <w:spacing w:line="211" w:lineRule="auto"/>
      </w:pPr>
      <w:r w:rsidRPr="000F534D">
        <w:rPr>
          <w:b/>
          <w:bCs/>
          <w:rtl/>
        </w:rPr>
        <w:t>ثالثاً</w:t>
      </w:r>
      <w:r w:rsidRPr="000F534D">
        <w:rPr>
          <w:rtl/>
        </w:rPr>
        <w:t>: مورد السؤال في الحديثين معاً اليهودي، ووفقاً لذلك لابد من تخصيص الحكم باليهودي، كا تقتضيه ظواهر الحديثين، أو تعميم الحكم لمطلق غير المسلم، وهذا معناه أنه لا دليل على اختصاص الحكم بالذمي كما هو الوارد في كلمات الفقهاء.</w:t>
      </w:r>
    </w:p>
    <w:p w:rsidR="00C87E55" w:rsidRDefault="00C87E55" w:rsidP="000218F4">
      <w:pPr>
        <w:pStyle w:val="ac"/>
        <w:spacing w:line="211" w:lineRule="auto"/>
        <w:rPr>
          <w:rtl/>
        </w:rPr>
      </w:pPr>
      <w:r w:rsidRPr="006B7863">
        <w:rPr>
          <w:rtl/>
        </w:rPr>
        <w:t>وبملاحظة الانتقادات المذكورة على الروايتين</w:t>
      </w:r>
      <w:r>
        <w:rPr>
          <w:rFonts w:hint="cs"/>
          <w:rtl/>
        </w:rPr>
        <w:t>،</w:t>
      </w:r>
      <w:r w:rsidRPr="006B7863">
        <w:rPr>
          <w:rtl/>
        </w:rPr>
        <w:t xml:space="preserve"> لا يمكن الأخذ برأي المشهور، فيكون العمل بالقواعد الشرعية والعقلائية أكثر انسجاماً مع الاحتياط.</w:t>
      </w:r>
    </w:p>
    <w:p w:rsidR="002C6818" w:rsidRPr="006B7863" w:rsidRDefault="002C6818" w:rsidP="00AB3AAA">
      <w:pPr>
        <w:pStyle w:val="afffffc"/>
      </w:pPr>
    </w:p>
    <w:p w:rsidR="00C87E55" w:rsidRPr="00DC4984" w:rsidRDefault="00C87E55" w:rsidP="00AB3AAA">
      <w:pPr>
        <w:pStyle w:val="2"/>
      </w:pPr>
      <w:bookmarkStart w:id="271" w:name="_Toc169521446"/>
      <w:bookmarkStart w:id="272" w:name="_Toc275127995"/>
      <w:r w:rsidRPr="00DC4984">
        <w:rPr>
          <w:rtl/>
        </w:rPr>
        <w:t>الدليل الثاني: الإجماع</w:t>
      </w:r>
      <w:bookmarkEnd w:id="271"/>
      <w:bookmarkEnd w:id="272"/>
    </w:p>
    <w:p w:rsidR="00C87E55" w:rsidRPr="006B7863" w:rsidRDefault="00C87E55" w:rsidP="002C6818">
      <w:pPr>
        <w:pStyle w:val="ac"/>
      </w:pPr>
      <w:r w:rsidRPr="006B7863">
        <w:rPr>
          <w:rtl/>
        </w:rPr>
        <w:t>الدليل الثاني الذي ذكروه داعماً لهذا الرأي هو الإجماع، لكن لا يمكن الاعتماد عليه هنا، وذلك:</w:t>
      </w:r>
    </w:p>
    <w:p w:rsidR="00C87E55" w:rsidRPr="006B7863" w:rsidRDefault="00C87E55" w:rsidP="002C6818">
      <w:pPr>
        <w:pStyle w:val="ac"/>
      </w:pPr>
      <w:r w:rsidRPr="003F07CF">
        <w:rPr>
          <w:b/>
          <w:bCs/>
          <w:rtl/>
        </w:rPr>
        <w:t>أولاً</w:t>
      </w:r>
      <w:r w:rsidRPr="00DC4984">
        <w:rPr>
          <w:rtl/>
        </w:rPr>
        <w:t>:</w:t>
      </w:r>
      <w:r w:rsidRPr="006B7863">
        <w:rPr>
          <w:rtl/>
        </w:rPr>
        <w:t xml:space="preserve"> إنه إجماع منقول غير محصّل، يخالفه الشيخ الصدوق، كما ينقل ذلك المحقق الأردبيلي</w:t>
      </w:r>
      <w:r w:rsidRPr="00815C4C">
        <w:rPr>
          <w:rFonts w:cs="Taher"/>
          <w:vertAlign w:val="superscript"/>
          <w:rtl/>
        </w:rPr>
        <w:t>(</w:t>
      </w:r>
      <w:r w:rsidRPr="00815C4C">
        <w:rPr>
          <w:rFonts w:cs="Taher"/>
          <w:vertAlign w:val="superscript"/>
          <w:rtl/>
        </w:rPr>
        <w:footnoteReference w:id="287"/>
      </w:r>
      <w:r w:rsidRPr="00815C4C">
        <w:rPr>
          <w:rFonts w:cs="Taher"/>
          <w:vertAlign w:val="superscript"/>
          <w:rtl/>
        </w:rPr>
        <w:t>)</w:t>
      </w:r>
      <w:r w:rsidRPr="006B7863">
        <w:rPr>
          <w:rtl/>
        </w:rPr>
        <w:t>.</w:t>
      </w:r>
    </w:p>
    <w:p w:rsidR="00C87E55" w:rsidRDefault="00C87E55" w:rsidP="002C6818">
      <w:pPr>
        <w:pStyle w:val="ac"/>
        <w:rPr>
          <w:rtl/>
        </w:rPr>
      </w:pPr>
      <w:r w:rsidRPr="003F07CF">
        <w:rPr>
          <w:b/>
          <w:bCs/>
          <w:rtl/>
        </w:rPr>
        <w:t>ثانياً</w:t>
      </w:r>
      <w:r w:rsidRPr="00DC4984">
        <w:rPr>
          <w:rtl/>
        </w:rPr>
        <w:t>:</w:t>
      </w:r>
      <w:r w:rsidRPr="006B7863">
        <w:rPr>
          <w:rtl/>
        </w:rPr>
        <w:t xml:space="preserve"> إنه إجما</w:t>
      </w:r>
      <w:r>
        <w:rPr>
          <w:rtl/>
        </w:rPr>
        <w:t>ع مدركي مع وجود هاتين الروايتين</w:t>
      </w:r>
      <w:r>
        <w:rPr>
          <w:rFonts w:hint="cs"/>
          <w:rtl/>
        </w:rPr>
        <w:t>؛</w:t>
      </w:r>
      <w:r w:rsidRPr="006B7863">
        <w:rPr>
          <w:rtl/>
        </w:rPr>
        <w:t xml:space="preserve"> فلا يمكنه أن يكون دليلاً مستقلاً للحكم هنا</w:t>
      </w:r>
      <w:r w:rsidRPr="00815C4C">
        <w:rPr>
          <w:rFonts w:cs="Taher"/>
          <w:vertAlign w:val="superscript"/>
          <w:rtl/>
        </w:rPr>
        <w:t>(</w:t>
      </w:r>
      <w:r w:rsidRPr="00815C4C">
        <w:rPr>
          <w:rFonts w:cs="Taher"/>
          <w:vertAlign w:val="superscript"/>
          <w:rtl/>
        </w:rPr>
        <w:footnoteReference w:id="288"/>
      </w:r>
      <w:r w:rsidRPr="00815C4C">
        <w:rPr>
          <w:rFonts w:cs="Taher"/>
          <w:vertAlign w:val="superscript"/>
          <w:rtl/>
        </w:rPr>
        <w:t>)</w:t>
      </w:r>
      <w:r w:rsidRPr="006B7863">
        <w:rPr>
          <w:rtl/>
        </w:rPr>
        <w:t>.</w:t>
      </w:r>
    </w:p>
    <w:p w:rsidR="002C6818" w:rsidRPr="006B7863" w:rsidRDefault="002C6818" w:rsidP="00AB3AAA">
      <w:pPr>
        <w:pStyle w:val="afffffc"/>
      </w:pPr>
    </w:p>
    <w:p w:rsidR="00C87E55" w:rsidRPr="00D457EB" w:rsidRDefault="00C87E55" w:rsidP="00AB3AAA">
      <w:pPr>
        <w:pStyle w:val="1"/>
      </w:pPr>
      <w:bookmarkStart w:id="273" w:name="_Toc169521447"/>
      <w:bookmarkStart w:id="274" w:name="_Toc275127996"/>
      <w:r w:rsidRPr="00D457EB">
        <w:rPr>
          <w:rtl/>
        </w:rPr>
        <w:t>خلاصة واستنتاج</w:t>
      </w:r>
      <w:bookmarkEnd w:id="273"/>
      <w:bookmarkEnd w:id="274"/>
    </w:p>
    <w:p w:rsidR="00C87E55" w:rsidRPr="006B7863" w:rsidRDefault="00C87E55" w:rsidP="002C6818">
      <w:pPr>
        <w:pStyle w:val="ac"/>
      </w:pPr>
      <w:r w:rsidRPr="006B7863">
        <w:rPr>
          <w:rtl/>
        </w:rPr>
        <w:t xml:space="preserve">وحصيلة الكلام في باب القصاص عدم اشتراط التساوي في الجنسية (الذكورة </w:t>
      </w:r>
      <w:r w:rsidRPr="006B7863">
        <w:rPr>
          <w:rtl/>
        </w:rPr>
        <w:lastRenderedPageBreak/>
        <w:t>والأنوثة) في القصاص، ولا التساوي في الدين (ال</w:t>
      </w:r>
      <w:r>
        <w:rPr>
          <w:rtl/>
        </w:rPr>
        <w:t>إسلام</w:t>
      </w:r>
      <w:r w:rsidRPr="006B7863">
        <w:rPr>
          <w:rtl/>
        </w:rPr>
        <w:t>)، بل تدلّ الآيات القرآنية وتقتضي احترامَ نفس ال</w:t>
      </w:r>
      <w:r>
        <w:rPr>
          <w:rtl/>
        </w:rPr>
        <w:t>إنسان</w:t>
      </w:r>
      <w:r w:rsidRPr="006B7863">
        <w:rPr>
          <w:rtl/>
        </w:rPr>
        <w:t>، فكلّ من يُقدم ـ عمداً ـ على قتل الآخر يحق</w:t>
      </w:r>
      <w:r>
        <w:rPr>
          <w:rFonts w:hint="cs"/>
          <w:rtl/>
        </w:rPr>
        <w:t>ّ</w:t>
      </w:r>
      <w:r w:rsidRPr="006B7863">
        <w:rPr>
          <w:rtl/>
        </w:rPr>
        <w:t xml:space="preserve"> لأولياء المقتول إجراء القصاص عليه، دون دفع فاضل الدية.</w:t>
      </w:r>
    </w:p>
    <w:p w:rsidR="003246D4" w:rsidRDefault="00C87E55" w:rsidP="00651EB1">
      <w:pPr>
        <w:pStyle w:val="ac"/>
        <w:rPr>
          <w:rtl/>
        </w:rPr>
      </w:pPr>
      <w:r w:rsidRPr="006B7863">
        <w:rPr>
          <w:rtl/>
        </w:rPr>
        <w:t>أما الرواي</w:t>
      </w:r>
      <w:r>
        <w:rPr>
          <w:rtl/>
        </w:rPr>
        <w:t xml:space="preserve">ات الواردة في المسألة فهي أعجز </w:t>
      </w:r>
      <w:r>
        <w:rPr>
          <w:rFonts w:hint="cs"/>
          <w:rtl/>
        </w:rPr>
        <w:t>م</w:t>
      </w:r>
      <w:r w:rsidRPr="006B7863">
        <w:rPr>
          <w:rtl/>
        </w:rPr>
        <w:t>ن أن تقع مرجعاً للإفتاء</w:t>
      </w:r>
      <w:r>
        <w:rPr>
          <w:rtl/>
        </w:rPr>
        <w:t xml:space="preserve"> أو </w:t>
      </w:r>
      <w:r w:rsidRPr="006B7863">
        <w:rPr>
          <w:rtl/>
        </w:rPr>
        <w:t>إبداء الرأي الفقهي</w:t>
      </w:r>
      <w:r w:rsidR="00651EB1">
        <w:rPr>
          <w:rFonts w:hint="cs"/>
          <w:rtl/>
        </w:rPr>
        <w:t>؛</w:t>
      </w:r>
      <w:r w:rsidRPr="006B7863">
        <w:rPr>
          <w:rtl/>
        </w:rPr>
        <w:t xml:space="preserve"> نظراً لمخالفتها القرآن الكريم، إضافةً</w:t>
      </w:r>
      <w:r>
        <w:rPr>
          <w:rtl/>
        </w:rPr>
        <w:t xml:space="preserve"> إلى </w:t>
      </w:r>
      <w:r w:rsidRPr="006B7863">
        <w:rPr>
          <w:rtl/>
        </w:rPr>
        <w:t>جملة من الإيرادات المسجّلة عليها على صعيد فقه الحديث</w:t>
      </w:r>
      <w:r w:rsidR="003246D4">
        <w:rPr>
          <w:rFonts w:hint="cs"/>
          <w:rtl/>
        </w:rPr>
        <w:t>.</w:t>
      </w:r>
    </w:p>
    <w:p w:rsidR="003246D4" w:rsidRDefault="003246D4" w:rsidP="00C87E55">
      <w:pPr>
        <w:pStyle w:val="ac"/>
        <w:rPr>
          <w:rtl/>
        </w:rPr>
        <w:sectPr w:rsidR="003246D4" w:rsidSect="00EA348C">
          <w:headerReference w:type="even" r:id="rId51"/>
          <w:headerReference w:type="default" r:id="rId52"/>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C87E55" w:rsidRDefault="00C87E55" w:rsidP="00C87E55">
      <w:pPr>
        <w:pStyle w:val="ac"/>
        <w:rPr>
          <w:rtl/>
        </w:rPr>
      </w:pPr>
    </w:p>
    <w:p w:rsidR="00C87E55" w:rsidRDefault="00C87E55">
      <w:pPr>
        <w:widowControl/>
        <w:bidi w:val="0"/>
        <w:spacing w:line="240" w:lineRule="auto"/>
        <w:ind w:firstLine="0"/>
        <w:jc w:val="left"/>
        <w:outlineLvl w:val="9"/>
        <w:rPr>
          <w:rFonts w:ascii="Arno Pro Display" w:hAnsi="Arno Pro Display"/>
          <w:sz w:val="28"/>
          <w:szCs w:val="30"/>
          <w:rtl/>
        </w:rPr>
      </w:pPr>
      <w:r>
        <w:rPr>
          <w:rtl/>
        </w:rPr>
        <w:br w:type="page"/>
      </w:r>
    </w:p>
    <w:p w:rsidR="000218F4" w:rsidRDefault="000218F4">
      <w:pPr>
        <w:widowControl/>
        <w:bidi w:val="0"/>
        <w:spacing w:line="240" w:lineRule="auto"/>
        <w:ind w:firstLine="0"/>
        <w:jc w:val="left"/>
        <w:outlineLvl w:val="9"/>
        <w:rPr>
          <w:rFonts w:ascii="Arno Pro Display" w:hAnsi="Arno Pro Display"/>
          <w:sz w:val="28"/>
          <w:szCs w:val="30"/>
          <w:rtl/>
        </w:rPr>
      </w:pPr>
      <w:r>
        <w:rPr>
          <w:rtl/>
        </w:rPr>
        <w:lastRenderedPageBreak/>
        <w:br w:type="page"/>
      </w:r>
    </w:p>
    <w:p w:rsidR="00C87E55" w:rsidRDefault="00C87E55" w:rsidP="00C87E55">
      <w:pPr>
        <w:pStyle w:val="ac"/>
        <w:rPr>
          <w:rtl/>
        </w:rPr>
      </w:pPr>
    </w:p>
    <w:p w:rsidR="00C832C0" w:rsidRDefault="00C832C0" w:rsidP="00C87E55">
      <w:pPr>
        <w:pStyle w:val="ac"/>
        <w:rPr>
          <w:rtl/>
        </w:rPr>
      </w:pPr>
    </w:p>
    <w:p w:rsidR="00C832C0" w:rsidRDefault="00C832C0" w:rsidP="00C87E55">
      <w:pPr>
        <w:pStyle w:val="ac"/>
        <w:rPr>
          <w:rtl/>
        </w:rPr>
      </w:pPr>
    </w:p>
    <w:p w:rsidR="00C832C0" w:rsidRDefault="00C832C0" w:rsidP="00C87E55">
      <w:pPr>
        <w:pStyle w:val="ac"/>
        <w:rPr>
          <w:rtl/>
        </w:rPr>
      </w:pPr>
    </w:p>
    <w:p w:rsidR="00C832C0" w:rsidRDefault="00C832C0" w:rsidP="00C87E55">
      <w:pPr>
        <w:pStyle w:val="ac"/>
        <w:rPr>
          <w:rtl/>
        </w:rPr>
      </w:pPr>
    </w:p>
    <w:p w:rsidR="003246D4" w:rsidRDefault="003246D4" w:rsidP="00C832C0">
      <w:pPr>
        <w:pStyle w:val="aff2"/>
        <w:rPr>
          <w:rtl/>
        </w:rPr>
        <w:sectPr w:rsidR="003246D4" w:rsidSect="00EA348C">
          <w:headerReference w:type="even" r:id="rId53"/>
          <w:headerReference w:type="default" r:id="rId5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C832C0" w:rsidRDefault="00C832C0" w:rsidP="00C832C0">
      <w:pPr>
        <w:pStyle w:val="aff2"/>
        <w:rPr>
          <w:rtl/>
        </w:rPr>
      </w:pPr>
      <w:bookmarkStart w:id="275" w:name="_Toc275127997"/>
      <w:r>
        <w:rPr>
          <w:rFonts w:hint="cs"/>
          <w:rtl/>
        </w:rPr>
        <w:lastRenderedPageBreak/>
        <w:t>المرأة ومرجعية الإفتاء</w:t>
      </w:r>
      <w:bookmarkEnd w:id="275"/>
    </w:p>
    <w:p w:rsidR="00C832C0" w:rsidRPr="00C832C0" w:rsidRDefault="00C832C0" w:rsidP="00C832C0">
      <w:pPr>
        <w:pStyle w:val="aff2"/>
        <w:rPr>
          <w:sz w:val="22"/>
          <w:szCs w:val="40"/>
          <w:rtl/>
        </w:rPr>
      </w:pPr>
      <w:bookmarkStart w:id="276" w:name="_Toc275127998"/>
      <w:r w:rsidRPr="00C832C0">
        <w:rPr>
          <w:rFonts w:hint="cs"/>
          <w:sz w:val="22"/>
          <w:szCs w:val="40"/>
          <w:rtl/>
        </w:rPr>
        <w:t>دراسة فقهية استدلالية حول شرعية تقليد المرأة</w:t>
      </w:r>
      <w:bookmarkEnd w:id="276"/>
    </w:p>
    <w:p w:rsidR="00C832C0" w:rsidRDefault="00C832C0" w:rsidP="00C832C0">
      <w:pPr>
        <w:pStyle w:val="af7"/>
        <w:rPr>
          <w:rtl/>
        </w:rPr>
      </w:pPr>
      <w:bookmarkStart w:id="277" w:name="_Toc275127999"/>
      <w:r>
        <w:rPr>
          <w:rFonts w:hint="cs"/>
          <w:rtl/>
        </w:rPr>
        <w:t>حيدر حب الله</w:t>
      </w:r>
      <w:bookmarkEnd w:id="277"/>
    </w:p>
    <w:p w:rsidR="000218F4" w:rsidRPr="000218F4" w:rsidRDefault="000218F4" w:rsidP="000218F4">
      <w:pPr>
        <w:pStyle w:val="afffffc"/>
        <w:rPr>
          <w:sz w:val="20"/>
          <w:szCs w:val="18"/>
          <w:rtl/>
        </w:rPr>
      </w:pPr>
    </w:p>
    <w:p w:rsidR="00C832C0" w:rsidRDefault="00C832C0" w:rsidP="00C832C0">
      <w:pPr>
        <w:pStyle w:val="1"/>
        <w:rPr>
          <w:rStyle w:val="affffff6"/>
          <w:rFonts w:hint="default"/>
          <w:sz w:val="32"/>
          <w:szCs w:val="32"/>
          <w:rtl/>
        </w:rPr>
      </w:pPr>
      <w:bookmarkStart w:id="278" w:name="_Toc275128000"/>
      <w:r>
        <w:rPr>
          <w:rFonts w:hint="cs"/>
          <w:rtl/>
        </w:rPr>
        <w:t>تمهيد</w:t>
      </w:r>
      <w:bookmarkEnd w:id="278"/>
    </w:p>
    <w:p w:rsidR="00C832C0" w:rsidRDefault="00C832C0" w:rsidP="00C832C0">
      <w:pPr>
        <w:pStyle w:val="ac"/>
        <w:rPr>
          <w:rFonts w:cs="DanaFajr"/>
          <w:sz w:val="24"/>
          <w:rtl/>
        </w:rPr>
      </w:pPr>
      <w:r>
        <w:rPr>
          <w:rFonts w:hint="cs"/>
          <w:rtl/>
        </w:rPr>
        <w:t>تناول الفقه الإسلامي في القرن الأخير قضايا المرأة بطرق مختلفة، وقدّمت في هذا المجال رؤى وتصوّرات، وبحجم تنوّع النتائج كانت هناك آليات متنوعة أيضاً في تناول الموضوع، وكانت الآليات المدرسية في الاجتهاد الفقهي واحدةً من مناهج طَرْق قضايا المرأة، وقد قدمت هناك أيضاً نتائج مختلفة وجديدة.</w:t>
      </w:r>
    </w:p>
    <w:p w:rsidR="00C832C0" w:rsidRDefault="00C832C0" w:rsidP="00A90E63">
      <w:pPr>
        <w:pStyle w:val="ac"/>
      </w:pPr>
      <w:r>
        <w:rPr>
          <w:rFonts w:hint="cs"/>
          <w:rtl/>
        </w:rPr>
        <w:t xml:space="preserve">بدوري، سأحاول في هذه الدراسة </w:t>
      </w:r>
      <w:r w:rsidR="00A90E63">
        <w:rPr>
          <w:rFonts w:hint="cs"/>
          <w:rtl/>
        </w:rPr>
        <w:t>ـ</w:t>
      </w:r>
      <w:r>
        <w:rPr>
          <w:rFonts w:hint="cs"/>
          <w:rtl/>
        </w:rPr>
        <w:t xml:space="preserve"> وبإيجاز </w:t>
      </w:r>
      <w:r w:rsidR="00A90E63">
        <w:rPr>
          <w:rFonts w:hint="cs"/>
          <w:rtl/>
        </w:rPr>
        <w:t>ـ</w:t>
      </w:r>
      <w:r>
        <w:rPr>
          <w:rFonts w:hint="cs"/>
          <w:rtl/>
        </w:rPr>
        <w:t xml:space="preserve"> تناول موضوع إشكالي في الثقافة الإسلامية اليوم، سيما في الوسط الشيعي، وهو ثنائي المرأة والمرجعية الإفتائية الدينية، ولما كان الموضوع منتمياً إلى مقولة الفقه الإسلامي، وهدفت الدراسة إلى قراءته من هذه الزاوية، كان من الطبيعي أن نقترب </w:t>
      </w:r>
      <w:r w:rsidR="00A90E63">
        <w:rPr>
          <w:rFonts w:hint="cs"/>
          <w:rtl/>
        </w:rPr>
        <w:t>ـ</w:t>
      </w:r>
      <w:r>
        <w:rPr>
          <w:rFonts w:hint="cs"/>
          <w:rtl/>
        </w:rPr>
        <w:t xml:space="preserve"> ولو بعض الشيء </w:t>
      </w:r>
      <w:r w:rsidR="00A90E63">
        <w:rPr>
          <w:rFonts w:hint="cs"/>
          <w:rtl/>
        </w:rPr>
        <w:t>ـ</w:t>
      </w:r>
      <w:r>
        <w:rPr>
          <w:rFonts w:hint="cs"/>
          <w:rtl/>
        </w:rPr>
        <w:t xml:space="preserve"> من لغة هذا الفقه، لهذا أستميح القارئ العذر في استخدام المصطلحات التخصّصية، اللهم إلا إذا كان من أهل الاختصاص أيضاً.</w:t>
      </w:r>
    </w:p>
    <w:p w:rsidR="00A90E63" w:rsidRDefault="00A90E63" w:rsidP="000218F4">
      <w:pPr>
        <w:pStyle w:val="afffffc"/>
        <w:rPr>
          <w:rtl/>
        </w:rPr>
      </w:pPr>
    </w:p>
    <w:p w:rsidR="00C832C0" w:rsidRDefault="00C832C0" w:rsidP="00A90E63">
      <w:pPr>
        <w:pStyle w:val="1"/>
        <w:rPr>
          <w:rStyle w:val="affffff6"/>
          <w:rFonts w:hint="default"/>
          <w:rtl/>
        </w:rPr>
      </w:pPr>
      <w:bookmarkStart w:id="279" w:name="_Toc275128001"/>
      <w:r w:rsidRPr="00A90E63">
        <w:rPr>
          <w:rtl/>
        </w:rPr>
        <w:t>نقطة البحث ومادة الموضوع، تشريح المكوّنات</w:t>
      </w:r>
      <w:bookmarkEnd w:id="279"/>
    </w:p>
    <w:p w:rsidR="00C832C0" w:rsidRDefault="00C832C0" w:rsidP="00A90E63">
      <w:pPr>
        <w:pStyle w:val="ac"/>
        <w:rPr>
          <w:rFonts w:cs="DanaFajr"/>
          <w:szCs w:val="32"/>
          <w:rtl/>
        </w:rPr>
      </w:pPr>
      <w:r>
        <w:rPr>
          <w:rFonts w:hint="cs"/>
          <w:rtl/>
        </w:rPr>
        <w:t xml:space="preserve">المسألة التي يدور هذا البحث حولها تتعلّق بقضايا الاجتهاد والتقليد في الفقه </w:t>
      </w:r>
      <w:r>
        <w:rPr>
          <w:rFonts w:hint="cs"/>
          <w:rtl/>
        </w:rPr>
        <w:lastRenderedPageBreak/>
        <w:t xml:space="preserve">الإسلامي وينبني البحث هنا </w:t>
      </w:r>
      <w:r w:rsidR="00A90E63">
        <w:rPr>
          <w:rFonts w:hint="cs"/>
          <w:rtl/>
        </w:rPr>
        <w:t>ـ</w:t>
      </w:r>
      <w:r>
        <w:rPr>
          <w:rFonts w:hint="cs"/>
          <w:rtl/>
        </w:rPr>
        <w:t xml:space="preserve"> تبعاً لذلك </w:t>
      </w:r>
      <w:r w:rsidR="00A90E63">
        <w:rPr>
          <w:rFonts w:hint="cs"/>
          <w:rtl/>
        </w:rPr>
        <w:t>ـ</w:t>
      </w:r>
      <w:r>
        <w:rPr>
          <w:rFonts w:hint="cs"/>
          <w:rtl/>
        </w:rPr>
        <w:t xml:space="preserve"> على تجاوز بعض المسلّمات الفقهية في هذا المضمار، وحيث ذكرت في المصادر الفقهية شروط للمقلّد، استعرض الفقه واحداً من هذه الشروط، ألا وهو الذكورة، أي لابد في مرجع التقليد من أن يكون ذكراً رجلاً فلا يمكن له أن يكون أنثى، مهما بلغ من العلم، لا من ناحية عدم الاعتقاد بإمكان بلوغ المرأة مرتبة الاجتهاد على المعروف، بل من زاوية حقوقية تمنعها من التصدي لمقام الإفتاء، كي يرجع إليها الآخرون في ذلك، وعليه: </w:t>
      </w:r>
    </w:p>
    <w:p w:rsidR="00C832C0" w:rsidRDefault="00C832C0" w:rsidP="000218F4">
      <w:pPr>
        <w:pStyle w:val="ac"/>
        <w:spacing w:line="209" w:lineRule="auto"/>
        <w:rPr>
          <w:rtl/>
        </w:rPr>
      </w:pPr>
      <w:r>
        <w:rPr>
          <w:rFonts w:hint="cs"/>
          <w:b/>
          <w:bCs/>
          <w:rtl/>
        </w:rPr>
        <w:t>أولاً:</w:t>
      </w:r>
      <w:r>
        <w:rPr>
          <w:rFonts w:hint="cs"/>
          <w:rtl/>
        </w:rPr>
        <w:t xml:space="preserve"> لا نزاع </w:t>
      </w:r>
      <w:r w:rsidR="00A90E63">
        <w:rPr>
          <w:rFonts w:hint="cs"/>
          <w:rtl/>
        </w:rPr>
        <w:t>ـ</w:t>
      </w:r>
      <w:r>
        <w:rPr>
          <w:rFonts w:hint="cs"/>
          <w:rtl/>
        </w:rPr>
        <w:t xml:space="preserve"> معتدّ به </w:t>
      </w:r>
      <w:r w:rsidR="00A90E63">
        <w:rPr>
          <w:rFonts w:hint="cs"/>
          <w:rtl/>
        </w:rPr>
        <w:t>ـ</w:t>
      </w:r>
      <w:r>
        <w:rPr>
          <w:rFonts w:hint="cs"/>
          <w:rtl/>
        </w:rPr>
        <w:t xml:space="preserve"> في إمكانية بلوغ المرأة مكانة الاجتهاد، تماماً كما هو الحال بالنسبة للرجال، والتاريخ شاهد على ذلك.</w:t>
      </w:r>
    </w:p>
    <w:p w:rsidR="00C832C0" w:rsidRDefault="00C832C0" w:rsidP="000218F4">
      <w:pPr>
        <w:pStyle w:val="ac"/>
        <w:spacing w:line="209" w:lineRule="auto"/>
        <w:rPr>
          <w:rtl/>
        </w:rPr>
      </w:pPr>
      <w:r>
        <w:rPr>
          <w:rFonts w:hint="cs"/>
          <w:b/>
          <w:bCs/>
          <w:rtl/>
        </w:rPr>
        <w:t>ثانياً:</w:t>
      </w:r>
      <w:r>
        <w:rPr>
          <w:rFonts w:hint="cs"/>
          <w:rtl/>
        </w:rPr>
        <w:t xml:space="preserve"> لا تتعلّق دراستنا بالموضوعات ذات الصلة، من قبيل تصدّي المرأة لمنصب إمامة المسلمين بمختلف معانيها، أو تصديها منصب القضاء، أو إمامتها للجماعة أو مسألة الأخذ بشهادتها أو ما شابه ذلك، فهذه الموضوعات مختلفة من الزاوية الموضوعية عن محور دراستنا، وإن كان البحث الاجتهادي </w:t>
      </w:r>
      <w:r w:rsidR="00A90E63">
        <w:rPr>
          <w:rFonts w:hint="cs"/>
          <w:rtl/>
        </w:rPr>
        <w:t>ـ</w:t>
      </w:r>
      <w:r>
        <w:rPr>
          <w:rFonts w:hint="cs"/>
          <w:rtl/>
        </w:rPr>
        <w:t xml:space="preserve"> كما سنرى </w:t>
      </w:r>
      <w:r w:rsidR="00A90E63">
        <w:rPr>
          <w:rFonts w:hint="cs"/>
          <w:rtl/>
        </w:rPr>
        <w:t>ـ</w:t>
      </w:r>
      <w:r>
        <w:rPr>
          <w:rFonts w:hint="cs"/>
          <w:rtl/>
        </w:rPr>
        <w:t xml:space="preserve"> يستعين بها في الحصول على نتائج فقهية داخل موضوعنا هنا.</w:t>
      </w:r>
    </w:p>
    <w:p w:rsidR="00C832C0" w:rsidRDefault="00C832C0" w:rsidP="000218F4">
      <w:pPr>
        <w:pStyle w:val="ac"/>
        <w:spacing w:line="209" w:lineRule="auto"/>
        <w:rPr>
          <w:rtl/>
        </w:rPr>
      </w:pPr>
      <w:r>
        <w:rPr>
          <w:rFonts w:hint="cs"/>
          <w:rtl/>
        </w:rPr>
        <w:t>وسوف نلاحظ وجهة نظر تربط بين مسألة الإفتاء والولاية، وسنتطرق لها بإذن الله تعالى.</w:t>
      </w:r>
    </w:p>
    <w:p w:rsidR="00C832C0" w:rsidRDefault="00C832C0" w:rsidP="000218F4">
      <w:pPr>
        <w:pStyle w:val="ac"/>
        <w:spacing w:line="209" w:lineRule="auto"/>
        <w:rPr>
          <w:b/>
          <w:bCs/>
          <w:rtl/>
        </w:rPr>
      </w:pPr>
      <w:r>
        <w:rPr>
          <w:rFonts w:hint="cs"/>
          <w:b/>
          <w:bCs/>
          <w:rtl/>
        </w:rPr>
        <w:t>ثالثاً:</w:t>
      </w:r>
      <w:r>
        <w:rPr>
          <w:rFonts w:hint="cs"/>
          <w:rtl/>
        </w:rPr>
        <w:t xml:space="preserve"> إن موضوعات مثل قضاء المرأة وولايتها وشهادتها وإمامتها للجماعة و.. سوف نفترضها في هذه الدراسة مسلّمة، وإلا فنحن نعتقد بإمكان النقاش في بعضها، لكننا سنتعامل معها بوصفها ثوابت مؤكّدة قدر الإمكان، وعلى سبيل المثال فقط نذكر أن الشيخ مرتضى الأنصاري (1281هـ) يصرّح في كتاب القضاء والشهادات بأنه لا دليل على شرطية الذكورة في القاضي بحيث تكون معتبرةً، عدا ادّعاء غير واحدٍ من الفقهاء عدمَ الخلاف</w:t>
      </w:r>
      <w:r w:rsidRPr="00815C4C">
        <w:rPr>
          <w:rFonts w:cs="Taher" w:hint="cs"/>
          <w:vertAlign w:val="superscript"/>
          <w:rtl/>
        </w:rPr>
        <w:t>(</w:t>
      </w:r>
      <w:r w:rsidRPr="00815C4C">
        <w:rPr>
          <w:rFonts w:cs="Taher"/>
          <w:vertAlign w:val="superscript"/>
          <w:rtl/>
        </w:rPr>
        <w:footnoteReference w:id="289"/>
      </w:r>
      <w:r w:rsidRPr="00815C4C">
        <w:rPr>
          <w:rFonts w:cs="Taher" w:hint="cs"/>
          <w:vertAlign w:val="superscript"/>
          <w:rtl/>
        </w:rPr>
        <w:t>)</w:t>
      </w:r>
      <w:r>
        <w:rPr>
          <w:rFonts w:hint="cs"/>
          <w:b/>
          <w:bCs/>
          <w:rtl/>
        </w:rPr>
        <w:t xml:space="preserve">، </w:t>
      </w:r>
      <w:r>
        <w:rPr>
          <w:rFonts w:hint="cs"/>
          <w:rtl/>
        </w:rPr>
        <w:t>وهذه شهادة ليست بالهيّنة،</w:t>
      </w:r>
      <w:r>
        <w:rPr>
          <w:rFonts w:hint="cs"/>
          <w:b/>
          <w:bCs/>
          <w:rtl/>
        </w:rPr>
        <w:t xml:space="preserve"> </w:t>
      </w:r>
      <w:r>
        <w:rPr>
          <w:rFonts w:hint="cs"/>
          <w:rtl/>
        </w:rPr>
        <w:t xml:space="preserve">لكننا سنغض الطرف عن هذا الموضوع </w:t>
      </w:r>
      <w:r w:rsidR="00651EB1">
        <w:rPr>
          <w:rFonts w:hint="cs"/>
          <w:rtl/>
        </w:rPr>
        <w:t>الآن</w:t>
      </w:r>
      <w:r>
        <w:rPr>
          <w:rFonts w:hint="cs"/>
          <w:rtl/>
        </w:rPr>
        <w:t xml:space="preserve"> وأمثاله.</w:t>
      </w:r>
    </w:p>
    <w:p w:rsidR="00C832C0" w:rsidRDefault="00C832C0" w:rsidP="00A90E63">
      <w:pPr>
        <w:pStyle w:val="ac"/>
      </w:pPr>
      <w:r>
        <w:rPr>
          <w:rFonts w:hint="cs"/>
          <w:b/>
          <w:bCs/>
          <w:rtl/>
        </w:rPr>
        <w:lastRenderedPageBreak/>
        <w:t>رابعاً:</w:t>
      </w:r>
      <w:r>
        <w:rPr>
          <w:rFonts w:hint="cs"/>
          <w:rtl/>
        </w:rPr>
        <w:t xml:space="preserve"> تستوعب مسألتنا تقليد المرأة المجتهدة نفسها من جهة، كما وتقليد غيرها لها من جهة ثانية، فليس البحث في رجوع الغير إليها فحسب، بل حتى في تقليدها لنفسها على تقدير بلوغها مرتبة الاجتهاد، وإن كان الجدل الفقهي متركّزاً </w:t>
      </w:r>
      <w:r w:rsidR="00A90E63">
        <w:rPr>
          <w:rFonts w:hint="cs"/>
          <w:rtl/>
        </w:rPr>
        <w:t>ـ</w:t>
      </w:r>
      <w:r>
        <w:rPr>
          <w:rFonts w:hint="cs"/>
          <w:rtl/>
        </w:rPr>
        <w:t xml:space="preserve"> بشكل أكبر </w:t>
      </w:r>
      <w:r w:rsidR="00A90E63">
        <w:rPr>
          <w:rFonts w:hint="cs"/>
          <w:rtl/>
        </w:rPr>
        <w:t>ـ</w:t>
      </w:r>
      <w:r>
        <w:rPr>
          <w:rFonts w:hint="cs"/>
          <w:rtl/>
        </w:rPr>
        <w:t xml:space="preserve"> على المحور الأول، أي تقليد الغير لها.</w:t>
      </w:r>
    </w:p>
    <w:p w:rsidR="00A90E63" w:rsidRPr="000218F4" w:rsidRDefault="00A90E63" w:rsidP="000218F4">
      <w:pPr>
        <w:pStyle w:val="afffffc"/>
        <w:rPr>
          <w:sz w:val="20"/>
          <w:szCs w:val="18"/>
          <w:rtl/>
        </w:rPr>
      </w:pPr>
    </w:p>
    <w:p w:rsidR="00C832C0" w:rsidRDefault="00C832C0" w:rsidP="00A90E63">
      <w:pPr>
        <w:pStyle w:val="1"/>
        <w:rPr>
          <w:rtl/>
        </w:rPr>
      </w:pPr>
      <w:bookmarkStart w:id="280" w:name="_Toc275128002"/>
      <w:r>
        <w:rPr>
          <w:rFonts w:hint="cs"/>
          <w:rtl/>
        </w:rPr>
        <w:t>الرصد التاريخي للفقه الإسلامي</w:t>
      </w:r>
      <w:bookmarkEnd w:id="280"/>
    </w:p>
    <w:p w:rsidR="00C832C0" w:rsidRDefault="00C832C0" w:rsidP="00A90E63">
      <w:pPr>
        <w:pStyle w:val="ac"/>
        <w:rPr>
          <w:rtl/>
        </w:rPr>
      </w:pPr>
      <w:r>
        <w:rPr>
          <w:rFonts w:hint="cs"/>
          <w:rtl/>
        </w:rPr>
        <w:t xml:space="preserve">تبدو المعطيات التاريخية لهذا الموضوع </w:t>
      </w:r>
      <w:r w:rsidR="00A90E63">
        <w:rPr>
          <w:rFonts w:hint="cs"/>
          <w:rtl/>
        </w:rPr>
        <w:t>ـ</w:t>
      </w:r>
      <w:r>
        <w:rPr>
          <w:rFonts w:hint="cs"/>
          <w:rtl/>
        </w:rPr>
        <w:t xml:space="preserve"> أي موضوع المرجعية الافتائية </w:t>
      </w:r>
      <w:r w:rsidR="00A90E63">
        <w:rPr>
          <w:rFonts w:hint="cs"/>
          <w:rtl/>
        </w:rPr>
        <w:t>ـ</w:t>
      </w:r>
      <w:r>
        <w:rPr>
          <w:rFonts w:hint="cs"/>
          <w:rtl/>
        </w:rPr>
        <w:t xml:space="preserve"> غير متكافئة بين الفقه الشيعي والفقه السنّي، فلم نجد ظهوراً جاداً له في الفقه السني مؤخراً، على خلاف الحال في الفقه الشيعي، ولعل السبب في ذلك يرجع إلى ظاهرة الانحسار النسبي لموضوعة التقليد نفسها في الفقه السني قياساً بما عليه الحال في الفقه الشيعي، فلم يتم تناول مسألة المرجعية سنياً كما تلقاها الفكر الشيعي لتأخذ حيّزاً كبيراً من الحياة الشيعية مؤخّراً.</w:t>
      </w:r>
    </w:p>
    <w:p w:rsidR="00C832C0" w:rsidRDefault="00C832C0" w:rsidP="000218F4">
      <w:pPr>
        <w:pStyle w:val="ac"/>
        <w:rPr>
          <w:rtl/>
        </w:rPr>
      </w:pPr>
      <w:r>
        <w:rPr>
          <w:rFonts w:hint="cs"/>
          <w:rtl/>
        </w:rPr>
        <w:t>على أيّة حال، يبدو أن الفقه السني، أو غير الإمامي، لم يشرط ـ بالاتفاق أو شبه الاتفاق على الأقل ـ منصب الإفتاء بالذكورة، فابن حزم الأندلسي (456هـ) يتعرّض في «الإحكام في أصول الأحكام» لشروط الاجتهاد والمُفتي والمستفتي، دون أن يشير إطلاقاً إلى شرط الذكورة</w:t>
      </w:r>
      <w:r w:rsidRPr="00815C4C">
        <w:rPr>
          <w:rFonts w:cs="Taher" w:hint="cs"/>
          <w:vertAlign w:val="superscript"/>
          <w:rtl/>
        </w:rPr>
        <w:t>(</w:t>
      </w:r>
      <w:r w:rsidRPr="00815C4C">
        <w:rPr>
          <w:rFonts w:cs="Taher"/>
          <w:vertAlign w:val="superscript"/>
          <w:rtl/>
        </w:rPr>
        <w:footnoteReference w:id="290"/>
      </w:r>
      <w:r w:rsidRPr="00815C4C">
        <w:rPr>
          <w:rFonts w:cs="Taher" w:hint="cs"/>
          <w:vertAlign w:val="superscript"/>
          <w:rtl/>
        </w:rPr>
        <w:t>)</w:t>
      </w:r>
      <w:r>
        <w:rPr>
          <w:rFonts w:hint="cs"/>
          <w:rtl/>
        </w:rPr>
        <w:t>. وعلى المنوال نفسه، يعقد أبو إسحاق الشيرازي (476هـ) في كتاب اللمع باباً خاصاً بشروط المُفتي والمستفتي دون أن يذكر شرط الذكورة، ولو على نحو القيل</w:t>
      </w:r>
      <w:r w:rsidRPr="00815C4C">
        <w:rPr>
          <w:rFonts w:cs="Taher" w:hint="cs"/>
          <w:vertAlign w:val="superscript"/>
          <w:rtl/>
        </w:rPr>
        <w:t>(</w:t>
      </w:r>
      <w:r w:rsidRPr="00815C4C">
        <w:rPr>
          <w:rFonts w:cs="Taher"/>
          <w:vertAlign w:val="superscript"/>
          <w:rtl/>
        </w:rPr>
        <w:footnoteReference w:id="291"/>
      </w:r>
      <w:r w:rsidRPr="00815C4C">
        <w:rPr>
          <w:rFonts w:cs="Taher" w:hint="cs"/>
          <w:vertAlign w:val="superscript"/>
          <w:rtl/>
        </w:rPr>
        <w:t>)</w:t>
      </w:r>
      <w:r>
        <w:rPr>
          <w:rFonts w:hint="cs"/>
          <w:rtl/>
        </w:rPr>
        <w:t>، وهكذا الحال مع الغزالي (505هـ) في مباحث الاجتهاد والتقليد من كتاب المستصفى</w:t>
      </w:r>
      <w:r w:rsidRPr="00815C4C">
        <w:rPr>
          <w:rFonts w:cs="Taher" w:hint="cs"/>
          <w:vertAlign w:val="superscript"/>
          <w:rtl/>
        </w:rPr>
        <w:t>(</w:t>
      </w:r>
      <w:r w:rsidRPr="00815C4C">
        <w:rPr>
          <w:rFonts w:cs="Taher"/>
          <w:vertAlign w:val="superscript"/>
          <w:rtl/>
        </w:rPr>
        <w:footnoteReference w:id="292"/>
      </w:r>
      <w:r w:rsidRPr="00815C4C">
        <w:rPr>
          <w:rFonts w:cs="Taher" w:hint="cs"/>
          <w:vertAlign w:val="superscript"/>
          <w:rtl/>
        </w:rPr>
        <w:t>)</w:t>
      </w:r>
      <w:r>
        <w:rPr>
          <w:rFonts w:hint="cs"/>
          <w:rtl/>
        </w:rPr>
        <w:t xml:space="preserve">، إذ لم يكن هناك </w:t>
      </w:r>
      <w:r w:rsidR="00A90E63">
        <w:rPr>
          <w:rFonts w:hint="cs"/>
          <w:rtl/>
        </w:rPr>
        <w:t>ـ</w:t>
      </w:r>
      <w:r>
        <w:rPr>
          <w:rFonts w:hint="cs"/>
          <w:rtl/>
        </w:rPr>
        <w:t xml:space="preserve"> وكذا في فواتح الرحموت للأنصاري المطبوع على هامشه</w:t>
      </w:r>
      <w:r w:rsidRPr="00815C4C">
        <w:rPr>
          <w:rFonts w:cs="Taher" w:hint="cs"/>
          <w:vertAlign w:val="superscript"/>
          <w:rtl/>
        </w:rPr>
        <w:t>(</w:t>
      </w:r>
      <w:r w:rsidRPr="00815C4C">
        <w:rPr>
          <w:rFonts w:cs="Taher"/>
          <w:vertAlign w:val="superscript"/>
          <w:rtl/>
        </w:rPr>
        <w:footnoteReference w:id="293"/>
      </w:r>
      <w:r w:rsidRPr="00815C4C">
        <w:rPr>
          <w:rFonts w:cs="Taher" w:hint="cs"/>
          <w:vertAlign w:val="superscript"/>
          <w:rtl/>
        </w:rPr>
        <w:t>)</w:t>
      </w:r>
      <w:r w:rsidR="00A90E63">
        <w:rPr>
          <w:rFonts w:hint="cs"/>
          <w:rtl/>
        </w:rPr>
        <w:t>ـ</w:t>
      </w:r>
      <w:r>
        <w:rPr>
          <w:rFonts w:hint="cs"/>
          <w:rtl/>
        </w:rPr>
        <w:t xml:space="preserve"> أي عين أو أثر لمسألة الذكورة في الاجتهاد أو التقليد.</w:t>
      </w:r>
    </w:p>
    <w:p w:rsidR="00C832C0" w:rsidRDefault="00C832C0" w:rsidP="000218F4">
      <w:pPr>
        <w:pStyle w:val="ac"/>
        <w:spacing w:line="199" w:lineRule="auto"/>
        <w:rPr>
          <w:rtl/>
        </w:rPr>
      </w:pPr>
      <w:r>
        <w:rPr>
          <w:rFonts w:hint="cs"/>
          <w:rtl/>
        </w:rPr>
        <w:lastRenderedPageBreak/>
        <w:t>وهكذا يصرّح الشيخ حسن العطار، صاحب الحاشية المعروفة على جمع الجوامع للسبكي، بعدم اشتراط الذكورة في المجتهد، لإمكان الاجتهاد لهنّ رغم نقص عقولهن</w:t>
      </w:r>
      <w:r w:rsidRPr="00815C4C">
        <w:rPr>
          <w:rFonts w:cs="Taher" w:hint="cs"/>
          <w:vertAlign w:val="superscript"/>
          <w:rtl/>
        </w:rPr>
        <w:t>(</w:t>
      </w:r>
      <w:r w:rsidRPr="00815C4C">
        <w:rPr>
          <w:rFonts w:cs="Taher"/>
          <w:vertAlign w:val="superscript"/>
          <w:rtl/>
        </w:rPr>
        <w:footnoteReference w:id="294"/>
      </w:r>
      <w:r w:rsidRPr="00815C4C">
        <w:rPr>
          <w:rFonts w:cs="Taher" w:hint="cs"/>
          <w:vertAlign w:val="superscript"/>
          <w:rtl/>
        </w:rPr>
        <w:t>)</w:t>
      </w:r>
      <w:r>
        <w:rPr>
          <w:rFonts w:hint="cs"/>
          <w:rtl/>
        </w:rPr>
        <w:t>، وإن كان كلامه في الاجتهاد بالمدلول المطابقي.</w:t>
      </w:r>
    </w:p>
    <w:p w:rsidR="00C832C0" w:rsidRDefault="00C832C0" w:rsidP="000218F4">
      <w:pPr>
        <w:pStyle w:val="ac"/>
        <w:spacing w:line="199" w:lineRule="auto"/>
        <w:rPr>
          <w:rtl/>
        </w:rPr>
      </w:pPr>
      <w:r>
        <w:rPr>
          <w:rFonts w:hint="cs"/>
          <w:rtl/>
        </w:rPr>
        <w:t xml:space="preserve">ولمزيد من تأكيد الموضوع في المشهد السني، ينقل ابن قدامة المقدسي (620هـ) في المغني أنه حكي عن ابن جرير الطبري قوله بجواز تولّي المرأة القضاء، ثم يجيب عنه </w:t>
      </w:r>
      <w:r w:rsidR="00A90E63">
        <w:rPr>
          <w:rFonts w:hint="cs"/>
          <w:rtl/>
        </w:rPr>
        <w:t>ـ</w:t>
      </w:r>
      <w:r>
        <w:rPr>
          <w:rFonts w:hint="cs"/>
          <w:rtl/>
        </w:rPr>
        <w:t xml:space="preserve"> أي ابن قدامة </w:t>
      </w:r>
      <w:r w:rsidR="00A90E63">
        <w:rPr>
          <w:rFonts w:hint="cs"/>
          <w:rtl/>
        </w:rPr>
        <w:t>ـ</w:t>
      </w:r>
      <w:r>
        <w:rPr>
          <w:rFonts w:hint="cs"/>
          <w:rtl/>
        </w:rPr>
        <w:t xml:space="preserve"> بأنه يجوز لها أن تكون مفتيةً لا قاضية، مرسلاً أمر إفتائها إرسال الواضحات</w:t>
      </w:r>
      <w:r w:rsidRPr="00815C4C">
        <w:rPr>
          <w:rFonts w:cs="Taher" w:hint="cs"/>
          <w:vertAlign w:val="superscript"/>
          <w:rtl/>
        </w:rPr>
        <w:t>(</w:t>
      </w:r>
      <w:r w:rsidRPr="00815C4C">
        <w:rPr>
          <w:rFonts w:cs="Taher"/>
          <w:vertAlign w:val="superscript"/>
          <w:rtl/>
        </w:rPr>
        <w:footnoteReference w:id="295"/>
      </w:r>
      <w:r w:rsidRPr="00815C4C">
        <w:rPr>
          <w:rFonts w:cs="Taher" w:hint="cs"/>
          <w:vertAlign w:val="superscript"/>
          <w:rtl/>
        </w:rPr>
        <w:t>)</w:t>
      </w:r>
      <w:r>
        <w:rPr>
          <w:rFonts w:hint="cs"/>
          <w:rtl/>
        </w:rPr>
        <w:t>.</w:t>
      </w:r>
    </w:p>
    <w:p w:rsidR="00C832C0" w:rsidRDefault="00C832C0" w:rsidP="000218F4">
      <w:pPr>
        <w:pStyle w:val="ac"/>
        <w:spacing w:line="199" w:lineRule="auto"/>
        <w:rPr>
          <w:rtl/>
        </w:rPr>
      </w:pPr>
      <w:r>
        <w:rPr>
          <w:rFonts w:hint="cs"/>
          <w:rtl/>
        </w:rPr>
        <w:t>وفي كتاب أدب المفتي والمستفتي لابن الصلاح الشهرزوري (643هـ) تصريح بعد اشتراط الذكورة في المفتي</w:t>
      </w:r>
      <w:r w:rsidRPr="00815C4C">
        <w:rPr>
          <w:rFonts w:cs="Taher" w:hint="cs"/>
          <w:vertAlign w:val="superscript"/>
          <w:rtl/>
        </w:rPr>
        <w:t>(</w:t>
      </w:r>
      <w:r w:rsidRPr="00815C4C">
        <w:rPr>
          <w:rFonts w:cs="Taher"/>
          <w:vertAlign w:val="superscript"/>
          <w:rtl/>
        </w:rPr>
        <w:footnoteReference w:id="296"/>
      </w:r>
      <w:r w:rsidRPr="00815C4C">
        <w:rPr>
          <w:rFonts w:cs="Taher" w:hint="cs"/>
          <w:vertAlign w:val="superscript"/>
          <w:rtl/>
        </w:rPr>
        <w:t>)</w:t>
      </w:r>
      <w:r>
        <w:rPr>
          <w:rFonts w:hint="cs"/>
          <w:rtl/>
        </w:rPr>
        <w:t>،</w:t>
      </w:r>
      <w:r w:rsidR="00A90E63">
        <w:rPr>
          <w:rFonts w:hint="cs"/>
          <w:rtl/>
        </w:rPr>
        <w:t xml:space="preserve"> </w:t>
      </w:r>
      <w:r>
        <w:rPr>
          <w:rFonts w:hint="cs"/>
          <w:rtl/>
        </w:rPr>
        <w:t xml:space="preserve">وينصّ الإمام النووي (676هـ) في المجموع </w:t>
      </w:r>
      <w:r w:rsidR="00A90E63">
        <w:rPr>
          <w:rFonts w:hint="cs"/>
          <w:rtl/>
        </w:rPr>
        <w:t>ـ</w:t>
      </w:r>
      <w:r>
        <w:rPr>
          <w:rFonts w:hint="cs"/>
          <w:rtl/>
        </w:rPr>
        <w:t xml:space="preserve"> بعد ذكر جملة شروط في المُفتي </w:t>
      </w:r>
      <w:r w:rsidR="00A90E63">
        <w:rPr>
          <w:rFonts w:hint="cs"/>
          <w:rtl/>
        </w:rPr>
        <w:t>ـ</w:t>
      </w:r>
      <w:r>
        <w:rPr>
          <w:rFonts w:hint="cs"/>
          <w:rtl/>
        </w:rPr>
        <w:t xml:space="preserve"> على تساوي الرجل والمرأة في الإفتاء، وعدم اشتراط الذكورة، مرسلاً الأمر </w:t>
      </w:r>
      <w:r w:rsidR="00A90E63">
        <w:rPr>
          <w:rFonts w:hint="cs"/>
          <w:rtl/>
        </w:rPr>
        <w:t>ـ</w:t>
      </w:r>
      <w:r>
        <w:rPr>
          <w:rFonts w:hint="cs"/>
          <w:rtl/>
        </w:rPr>
        <w:t xml:space="preserve"> ككثيرين غيره </w:t>
      </w:r>
      <w:r w:rsidR="00A90E63">
        <w:rPr>
          <w:rFonts w:hint="cs"/>
          <w:rtl/>
        </w:rPr>
        <w:t>ـ</w:t>
      </w:r>
      <w:r>
        <w:rPr>
          <w:rFonts w:hint="cs"/>
          <w:rtl/>
        </w:rPr>
        <w:t xml:space="preserve"> إرسال المسلّمات</w:t>
      </w:r>
      <w:r w:rsidRPr="00815C4C">
        <w:rPr>
          <w:rFonts w:cs="Taher" w:hint="cs"/>
          <w:vertAlign w:val="superscript"/>
          <w:rtl/>
        </w:rPr>
        <w:t>(</w:t>
      </w:r>
      <w:r w:rsidRPr="00815C4C">
        <w:rPr>
          <w:rFonts w:cs="Taher"/>
          <w:vertAlign w:val="superscript"/>
          <w:rtl/>
        </w:rPr>
        <w:footnoteReference w:id="297"/>
      </w:r>
      <w:r w:rsidRPr="00815C4C">
        <w:rPr>
          <w:rFonts w:cs="Taher" w:hint="cs"/>
          <w:vertAlign w:val="superscript"/>
          <w:rtl/>
        </w:rPr>
        <w:t>)</w:t>
      </w:r>
      <w:r>
        <w:rPr>
          <w:rFonts w:hint="cs"/>
          <w:rtl/>
        </w:rPr>
        <w:t>.</w:t>
      </w:r>
    </w:p>
    <w:p w:rsidR="00C832C0" w:rsidRDefault="00C832C0" w:rsidP="00A90E63">
      <w:pPr>
        <w:pStyle w:val="ac"/>
        <w:rPr>
          <w:rtl/>
        </w:rPr>
      </w:pPr>
      <w:r>
        <w:rPr>
          <w:rFonts w:hint="cs"/>
          <w:rtl/>
        </w:rPr>
        <w:t>وفي روضة الطالبين لمحيي الدين النووي (676هـ) لا ينصّ كما في المجموع على عدم المنع عن إفتاء المرأة، لكنه يستعرض شروط المفتي ويبحث فيها، دون إشارة إلى الذكورة ونحوها</w:t>
      </w:r>
      <w:r w:rsidRPr="00815C4C">
        <w:rPr>
          <w:rFonts w:cs="Taher" w:hint="cs"/>
          <w:vertAlign w:val="superscript"/>
          <w:rtl/>
        </w:rPr>
        <w:t>(</w:t>
      </w:r>
      <w:r w:rsidRPr="00815C4C">
        <w:rPr>
          <w:rFonts w:cs="Taher"/>
          <w:vertAlign w:val="superscript"/>
          <w:rtl/>
        </w:rPr>
        <w:footnoteReference w:id="298"/>
      </w:r>
      <w:r w:rsidRPr="00815C4C">
        <w:rPr>
          <w:rFonts w:cs="Taher" w:hint="cs"/>
          <w:vertAlign w:val="superscript"/>
          <w:rtl/>
        </w:rPr>
        <w:t>)</w:t>
      </w:r>
      <w:r>
        <w:rPr>
          <w:rFonts w:hint="cs"/>
          <w:rtl/>
        </w:rPr>
        <w:t>.</w:t>
      </w:r>
    </w:p>
    <w:p w:rsidR="00C832C0" w:rsidRDefault="00C832C0" w:rsidP="00A90E63">
      <w:pPr>
        <w:pStyle w:val="ac"/>
        <w:rPr>
          <w:rtl/>
        </w:rPr>
      </w:pPr>
      <w:r>
        <w:rPr>
          <w:rFonts w:hint="cs"/>
          <w:rtl/>
        </w:rPr>
        <w:t xml:space="preserve">ويستعرض ابن قيم الجوزية (751هـ) في كتابه «أعلام الموقعين عن رب العالمين» ما يسمّيه: المكثرين والمتوسّطين والمقلّين في الإفتاء، ناصّاً على أنّ منهم جميعاً الرجال والنساء، ذاكراً أسامي بعض النساء في كل فريق من الفرقاء الثلاثة منهنّ: عائشة، وأم </w:t>
      </w:r>
      <w:r>
        <w:rPr>
          <w:rFonts w:hint="cs"/>
          <w:rtl/>
        </w:rPr>
        <w:lastRenderedPageBreak/>
        <w:t>سلمة، وأم عطية، وصفية، وحفصة، وحبيبة و...</w:t>
      </w:r>
      <w:r w:rsidRPr="00815C4C">
        <w:rPr>
          <w:rFonts w:cs="Taher" w:hint="cs"/>
          <w:vertAlign w:val="superscript"/>
          <w:rtl/>
        </w:rPr>
        <w:t>(</w:t>
      </w:r>
      <w:r w:rsidRPr="00815C4C">
        <w:rPr>
          <w:rFonts w:cs="Taher"/>
          <w:vertAlign w:val="superscript"/>
          <w:rtl/>
        </w:rPr>
        <w:footnoteReference w:id="299"/>
      </w:r>
      <w:r w:rsidRPr="00815C4C">
        <w:rPr>
          <w:rFonts w:cs="Taher" w:hint="cs"/>
          <w:vertAlign w:val="superscript"/>
          <w:rtl/>
        </w:rPr>
        <w:t>)</w:t>
      </w:r>
      <w:r>
        <w:rPr>
          <w:rFonts w:hint="cs"/>
          <w:rtl/>
        </w:rPr>
        <w:t>.</w:t>
      </w:r>
    </w:p>
    <w:p w:rsidR="00C832C0" w:rsidRDefault="00C832C0" w:rsidP="00A90E63">
      <w:pPr>
        <w:pStyle w:val="ac"/>
        <w:rPr>
          <w:rtl/>
        </w:rPr>
      </w:pPr>
      <w:r>
        <w:rPr>
          <w:rFonts w:hint="cs"/>
          <w:rtl/>
        </w:rPr>
        <w:t>ومن النصوص الحاسمة مؤخّراً، نص موسوعة الفقه الإسلامي الكويتية، حيث ذكرت أنّ عدم اشتراط الذكورة في المُفتي حكم اتفاقي</w:t>
      </w:r>
      <w:r w:rsidRPr="00815C4C">
        <w:rPr>
          <w:rFonts w:cs="Taher" w:hint="cs"/>
          <w:vertAlign w:val="superscript"/>
          <w:rtl/>
        </w:rPr>
        <w:t>(</w:t>
      </w:r>
      <w:r w:rsidRPr="00815C4C">
        <w:rPr>
          <w:rFonts w:cs="Taher"/>
          <w:vertAlign w:val="superscript"/>
          <w:rtl/>
        </w:rPr>
        <w:footnoteReference w:id="300"/>
      </w:r>
      <w:r w:rsidRPr="00815C4C">
        <w:rPr>
          <w:rFonts w:cs="Taher" w:hint="cs"/>
          <w:vertAlign w:val="superscript"/>
          <w:rtl/>
        </w:rPr>
        <w:t>)</w:t>
      </w:r>
      <w:r>
        <w:rPr>
          <w:rFonts w:hint="cs"/>
          <w:rtl/>
        </w:rPr>
        <w:t>.</w:t>
      </w:r>
    </w:p>
    <w:p w:rsidR="00C832C0" w:rsidRDefault="00C832C0" w:rsidP="000218F4">
      <w:pPr>
        <w:pStyle w:val="ac"/>
        <w:spacing w:line="206" w:lineRule="auto"/>
        <w:rPr>
          <w:rtl/>
        </w:rPr>
      </w:pPr>
      <w:r>
        <w:rPr>
          <w:rFonts w:hint="cs"/>
          <w:rtl/>
        </w:rPr>
        <w:t>وهكذا نجد تتالياً في النصوص السنيّة ترفض هذه الشرطية، ففي الفتاوى الهندية (مذهب أبي حنيفة) أنه لا تشترط الذكورة في المُفتي ولا الحرية</w:t>
      </w:r>
      <w:r w:rsidRPr="00815C4C">
        <w:rPr>
          <w:rFonts w:cs="Taher" w:hint="cs"/>
          <w:vertAlign w:val="superscript"/>
          <w:rtl/>
        </w:rPr>
        <w:t>(</w:t>
      </w:r>
      <w:r w:rsidRPr="00815C4C">
        <w:rPr>
          <w:rFonts w:cs="Taher"/>
          <w:vertAlign w:val="superscript"/>
          <w:rtl/>
        </w:rPr>
        <w:footnoteReference w:id="301"/>
      </w:r>
      <w:r w:rsidRPr="00815C4C">
        <w:rPr>
          <w:rFonts w:cs="Taher" w:hint="cs"/>
          <w:vertAlign w:val="superscript"/>
          <w:rtl/>
        </w:rPr>
        <w:t>)</w:t>
      </w:r>
      <w:r>
        <w:rPr>
          <w:rFonts w:hint="cs"/>
          <w:rtl/>
        </w:rPr>
        <w:t>، وفي كشاف القناع للبهوتي (1051هـ) أنّه تصحّ فتوى العبد والمرأة و..</w:t>
      </w:r>
      <w:r w:rsidRPr="00815C4C">
        <w:rPr>
          <w:rFonts w:cs="Taher" w:hint="cs"/>
          <w:vertAlign w:val="superscript"/>
          <w:rtl/>
        </w:rPr>
        <w:t>(</w:t>
      </w:r>
      <w:r w:rsidRPr="00815C4C">
        <w:rPr>
          <w:rFonts w:cs="Taher"/>
          <w:vertAlign w:val="superscript"/>
          <w:rtl/>
        </w:rPr>
        <w:footnoteReference w:id="302"/>
      </w:r>
      <w:r w:rsidRPr="00815C4C">
        <w:rPr>
          <w:rFonts w:cs="Taher" w:hint="cs"/>
          <w:vertAlign w:val="superscript"/>
          <w:rtl/>
        </w:rPr>
        <w:t>)</w:t>
      </w:r>
      <w:r>
        <w:rPr>
          <w:rFonts w:hint="cs"/>
          <w:rtl/>
        </w:rPr>
        <w:t>، وقد ذكر علاء الدين الحصفكي (1088هـ) في «الدر المختار» عدم شرطية الذكورة ولا الحرية ولا النطق في الإفتاء</w:t>
      </w:r>
      <w:r w:rsidRPr="00815C4C">
        <w:rPr>
          <w:rFonts w:cs="Taher" w:hint="cs"/>
          <w:vertAlign w:val="superscript"/>
          <w:rtl/>
        </w:rPr>
        <w:t>(</w:t>
      </w:r>
      <w:r w:rsidRPr="00815C4C">
        <w:rPr>
          <w:rFonts w:cs="Taher"/>
          <w:vertAlign w:val="superscript"/>
          <w:rtl/>
        </w:rPr>
        <w:footnoteReference w:id="303"/>
      </w:r>
      <w:r w:rsidRPr="00815C4C">
        <w:rPr>
          <w:rFonts w:cs="Taher" w:hint="cs"/>
          <w:vertAlign w:val="superscript"/>
          <w:rtl/>
        </w:rPr>
        <w:t>)</w:t>
      </w:r>
      <w:r>
        <w:rPr>
          <w:rFonts w:hint="cs"/>
          <w:rtl/>
        </w:rPr>
        <w:t>.</w:t>
      </w:r>
    </w:p>
    <w:p w:rsidR="00C832C0" w:rsidRDefault="00C832C0" w:rsidP="000218F4">
      <w:pPr>
        <w:pStyle w:val="ac"/>
        <w:spacing w:line="206" w:lineRule="auto"/>
        <w:rPr>
          <w:rtl/>
        </w:rPr>
      </w:pPr>
      <w:r>
        <w:rPr>
          <w:rFonts w:hint="cs"/>
          <w:rtl/>
        </w:rPr>
        <w:t xml:space="preserve">أما على صعيد الفقه الشيعي، فقد لاحظنا بعد مراجعة الموضوع في المصادر الفقهية أنّ أوّل من أثار هذا البحث كان الشهيد الثاني (965هـ) في مباحث القضاء من كتاب الروضة البهية، مدعياً الإجماع عليه </w:t>
      </w:r>
      <w:r w:rsidR="00A90E63">
        <w:rPr>
          <w:rFonts w:hint="cs"/>
          <w:rtl/>
        </w:rPr>
        <w:t>ـ</w:t>
      </w:r>
      <w:r>
        <w:rPr>
          <w:rFonts w:hint="cs"/>
          <w:rtl/>
        </w:rPr>
        <w:t xml:space="preserve"> على خلاف في تفسير ادّعائه هذا </w:t>
      </w:r>
      <w:r w:rsidR="00A90E63">
        <w:rPr>
          <w:rFonts w:hint="cs"/>
          <w:rtl/>
        </w:rPr>
        <w:t>ـ</w:t>
      </w:r>
      <w:r>
        <w:rPr>
          <w:rFonts w:hint="cs"/>
          <w:rtl/>
        </w:rPr>
        <w:t xml:space="preserve"> حيث قال: «وفي الغيبة ينفذ قضاء الفقيه الجامع لشرائط الإفتاء وهي: البلوغ، والعقل، والذكورة، والإيمان، والعدالة، وطهارة المولد إجماعاً، والكتابة، والحرية، والبصر على الأشهر..»</w:t>
      </w:r>
      <w:r w:rsidRPr="00815C4C">
        <w:rPr>
          <w:rFonts w:cs="Taher" w:hint="cs"/>
          <w:vertAlign w:val="superscript"/>
          <w:rtl/>
        </w:rPr>
        <w:t>(</w:t>
      </w:r>
      <w:r w:rsidRPr="00815C4C">
        <w:rPr>
          <w:rFonts w:cs="Taher"/>
          <w:vertAlign w:val="superscript"/>
          <w:rtl/>
        </w:rPr>
        <w:footnoteReference w:id="304"/>
      </w:r>
      <w:r w:rsidRPr="00815C4C">
        <w:rPr>
          <w:rFonts w:cs="Taher" w:hint="cs"/>
          <w:vertAlign w:val="superscript"/>
          <w:rtl/>
        </w:rPr>
        <w:t>)</w:t>
      </w:r>
      <w:r>
        <w:rPr>
          <w:rFonts w:hint="cs"/>
          <w:rtl/>
        </w:rPr>
        <w:t>.</w:t>
      </w:r>
    </w:p>
    <w:p w:rsidR="00C832C0" w:rsidRDefault="00C832C0" w:rsidP="000218F4">
      <w:pPr>
        <w:pStyle w:val="ac"/>
        <w:spacing w:line="209" w:lineRule="auto"/>
        <w:rPr>
          <w:rtl/>
        </w:rPr>
      </w:pPr>
      <w:r>
        <w:rPr>
          <w:rFonts w:hint="cs"/>
          <w:rtl/>
        </w:rPr>
        <w:t xml:space="preserve">وحيث لم يكن مبحث الاجتهاد والتقليد متداولاً </w:t>
      </w:r>
      <w:r w:rsidR="00A90E63">
        <w:rPr>
          <w:rFonts w:hint="cs"/>
          <w:rtl/>
        </w:rPr>
        <w:t>ـ</w:t>
      </w:r>
      <w:r>
        <w:rPr>
          <w:rFonts w:hint="cs"/>
          <w:rtl/>
        </w:rPr>
        <w:t xml:space="preserve"> باستقلال </w:t>
      </w:r>
      <w:r w:rsidR="00A90E63">
        <w:rPr>
          <w:rFonts w:hint="cs"/>
          <w:rtl/>
        </w:rPr>
        <w:t>ـ</w:t>
      </w:r>
      <w:r>
        <w:rPr>
          <w:rFonts w:hint="cs"/>
          <w:rtl/>
        </w:rPr>
        <w:t xml:space="preserve"> في المصنّفات الفقهية الإمامية، كانت موضوعاته تدرس في علم أصول الفقه، وأحياناً في بحث الأمر بالمعروف والنهي عن المنكر في الفقه نفسه، وقد لاحظنا ثلاثة أنواع من المصادر الأصولية التي عالجت هذا البحث هي:</w:t>
      </w:r>
    </w:p>
    <w:p w:rsidR="00C832C0" w:rsidRDefault="00C832C0" w:rsidP="000218F4">
      <w:pPr>
        <w:pStyle w:val="ac"/>
        <w:spacing w:line="199" w:lineRule="auto"/>
        <w:rPr>
          <w:rtl/>
        </w:rPr>
      </w:pPr>
      <w:r>
        <w:rPr>
          <w:rFonts w:hint="cs"/>
          <w:rtl/>
        </w:rPr>
        <w:lastRenderedPageBreak/>
        <w:t>1</w:t>
      </w:r>
      <w:r w:rsidR="00A90E63">
        <w:rPr>
          <w:rFonts w:hint="cs"/>
          <w:rtl/>
        </w:rPr>
        <w:t>ـ</w:t>
      </w:r>
      <w:r>
        <w:rPr>
          <w:rFonts w:hint="cs"/>
          <w:rtl/>
        </w:rPr>
        <w:t xml:space="preserve"> المصادر التي تقع قبل حقبة الحركة الأخباريّة، أي قبل القرن العاشر الهجري، وقد تعرّضت هذه الكتب الأصولية في مباحث الاجتهاد والتقليد منها لمباحث مثل التصويب والتخطئة، وتعريف حقيقة الاجتهاد، وبيان أن أحكام النبي</w:t>
      </w:r>
      <w:r w:rsidR="00C86626">
        <w:rPr>
          <w:rFonts w:hint="cs"/>
          <w:rtl/>
        </w:rPr>
        <w:t>’</w:t>
      </w:r>
      <w:r>
        <w:rPr>
          <w:rFonts w:hint="cs"/>
          <w:rtl/>
        </w:rPr>
        <w:t xml:space="preserve"> ليست اجتهادية، وجواز أو عدم جواز التقليد في أصول الدين، وبيان ما يتوقف عليه الاجتهاد من علوم و..</w:t>
      </w:r>
    </w:p>
    <w:p w:rsidR="00C832C0" w:rsidRDefault="00C832C0" w:rsidP="000218F4">
      <w:pPr>
        <w:pStyle w:val="ac"/>
        <w:spacing w:line="199" w:lineRule="auto"/>
        <w:rPr>
          <w:rtl/>
        </w:rPr>
      </w:pPr>
      <w:r>
        <w:rPr>
          <w:rFonts w:hint="cs"/>
          <w:rtl/>
        </w:rPr>
        <w:t>ولم نجد في هذه المصادر ذكراً لشرطية الرجولة في المُفتي، رغم أنها أفردت بحثاً حمل عنوان: صفات أو صفة المُفتي والمستفتي، فليراجع مثل «الذريعة إلى أصول الشريعة» للسيد المرتضى (436هـ)، و«العدّة» للطوسي (460هـ)، ومعارج الأصول للمحقق الحلي (676هـ)، وتهذيب الوصول إلى علم الأصول، وكذلك مبادئ الوصول للعلامة الحلي (725هـ)، و..</w:t>
      </w:r>
      <w:r w:rsidRPr="00815C4C">
        <w:rPr>
          <w:rFonts w:cs="Taher" w:hint="cs"/>
          <w:vertAlign w:val="superscript"/>
          <w:rtl/>
        </w:rPr>
        <w:t>(</w:t>
      </w:r>
      <w:r w:rsidRPr="00815C4C">
        <w:rPr>
          <w:rFonts w:cs="Taher"/>
          <w:vertAlign w:val="superscript"/>
          <w:rtl/>
        </w:rPr>
        <w:footnoteReference w:id="305"/>
      </w:r>
      <w:r w:rsidRPr="00815C4C">
        <w:rPr>
          <w:rFonts w:cs="Taher" w:hint="cs"/>
          <w:vertAlign w:val="superscript"/>
          <w:rtl/>
        </w:rPr>
        <w:t>)</w:t>
      </w:r>
      <w:r>
        <w:rPr>
          <w:rFonts w:hint="cs"/>
          <w:rtl/>
        </w:rPr>
        <w:t>.</w:t>
      </w:r>
    </w:p>
    <w:p w:rsidR="00C832C0" w:rsidRDefault="00C832C0" w:rsidP="000218F4">
      <w:pPr>
        <w:pStyle w:val="ac"/>
        <w:rPr>
          <w:rtl/>
        </w:rPr>
      </w:pPr>
      <w:r>
        <w:rPr>
          <w:rFonts w:hint="cs"/>
          <w:rtl/>
        </w:rPr>
        <w:t>2</w:t>
      </w:r>
      <w:r w:rsidR="00A90E63">
        <w:rPr>
          <w:rFonts w:hint="cs"/>
          <w:rtl/>
        </w:rPr>
        <w:t>ـ</w:t>
      </w:r>
      <w:r>
        <w:rPr>
          <w:rFonts w:hint="cs"/>
          <w:rtl/>
        </w:rPr>
        <w:t xml:space="preserve"> المصادر التي جاءت في إطار الصراع الأخباري </w:t>
      </w:r>
      <w:r w:rsidR="00A90E63">
        <w:rPr>
          <w:rFonts w:hint="cs"/>
          <w:rtl/>
        </w:rPr>
        <w:t>ـ</w:t>
      </w:r>
      <w:r>
        <w:rPr>
          <w:rFonts w:hint="cs"/>
          <w:rtl/>
        </w:rPr>
        <w:t xml:space="preserve"> الأصولي، ولم نجد فيها حديثاً عن هذا الموضوع إطلاقاً، فلتراجع مصنّفات الوحيد البهبهاني (1205هـ) على سبيل المثال، مثل كتابي الفوائد الحائرية، والرسائل الأصولية، للتأكّد من ذلك</w:t>
      </w:r>
      <w:r w:rsidRPr="00815C4C">
        <w:rPr>
          <w:rFonts w:cs="Taher" w:hint="cs"/>
          <w:vertAlign w:val="superscript"/>
          <w:rtl/>
        </w:rPr>
        <w:t>(</w:t>
      </w:r>
      <w:r w:rsidRPr="00815C4C">
        <w:rPr>
          <w:rFonts w:cs="Taher"/>
          <w:vertAlign w:val="superscript"/>
          <w:rtl/>
        </w:rPr>
        <w:footnoteReference w:id="306"/>
      </w:r>
      <w:r w:rsidRPr="00815C4C">
        <w:rPr>
          <w:rFonts w:cs="Taher" w:hint="cs"/>
          <w:vertAlign w:val="superscript"/>
          <w:rtl/>
        </w:rPr>
        <w:t>)</w:t>
      </w:r>
      <w:r>
        <w:rPr>
          <w:rFonts w:hint="cs"/>
          <w:rtl/>
        </w:rPr>
        <w:t>.</w:t>
      </w:r>
    </w:p>
    <w:p w:rsidR="00C832C0" w:rsidRDefault="00C832C0" w:rsidP="000218F4">
      <w:pPr>
        <w:pStyle w:val="ac"/>
        <w:rPr>
          <w:rtl/>
        </w:rPr>
      </w:pPr>
      <w:r>
        <w:rPr>
          <w:rFonts w:hint="cs"/>
          <w:rtl/>
        </w:rPr>
        <w:t xml:space="preserve"> 3</w:t>
      </w:r>
      <w:r w:rsidR="00A90E63">
        <w:rPr>
          <w:rFonts w:hint="cs"/>
          <w:rtl/>
        </w:rPr>
        <w:t>ـ</w:t>
      </w:r>
      <w:r>
        <w:rPr>
          <w:rFonts w:hint="cs"/>
          <w:rtl/>
        </w:rPr>
        <w:t xml:space="preserve"> المصادر الأصولية المتأخرة التي عالجت في خاتمتها مباحث الاجتهاد والتقليد، وقد تعرّضت هناك لحقيقة الاجتهاد، وما يحتاج إليه فيه، كما تعرّضت لشروط المقلّد ذاكرةً منها الحياة، والأعلمية، وتعرّضت أيضاً لمبحث الاجتهاد المتجزئ، كما تناولت مبحث التخطئة والتصويب و..</w:t>
      </w:r>
    </w:p>
    <w:p w:rsidR="00C832C0" w:rsidRDefault="00C832C0" w:rsidP="000218F4">
      <w:pPr>
        <w:pStyle w:val="ac"/>
        <w:spacing w:line="199" w:lineRule="auto"/>
        <w:rPr>
          <w:rtl/>
        </w:rPr>
      </w:pPr>
      <w:r>
        <w:rPr>
          <w:rFonts w:hint="cs"/>
          <w:rtl/>
        </w:rPr>
        <w:lastRenderedPageBreak/>
        <w:t xml:space="preserve">وهذا النوع من المصنّفات لم نجد فيه ذكراً لشرطية الذكورة، رغم التعرّض لبعض شروط مرجع التقليد، كالحياة والأعلمية، فليلحظ في ذلك ما كتبه </w:t>
      </w:r>
      <w:r w:rsidR="00A90E63">
        <w:rPr>
          <w:rFonts w:hint="cs"/>
          <w:rtl/>
        </w:rPr>
        <w:t>ـ</w:t>
      </w:r>
      <w:r>
        <w:rPr>
          <w:rFonts w:hint="cs"/>
          <w:rtl/>
        </w:rPr>
        <w:t xml:space="preserve"> على سبيل المثال </w:t>
      </w:r>
      <w:r w:rsidR="00A90E63">
        <w:rPr>
          <w:rFonts w:hint="cs"/>
          <w:rtl/>
        </w:rPr>
        <w:t>ـ</w:t>
      </w:r>
      <w:r>
        <w:rPr>
          <w:rFonts w:hint="cs"/>
          <w:rtl/>
        </w:rPr>
        <w:t xml:space="preserve"> الشيخ حسن في معالم الدين، والشيخ البهائي في زبدة الأصول، والخراساني في كفاية الأصول، والمشكيني في حواشي الكفاية، والعراقي في مقالات الأصول، وكذلك في نهاية الأفكار، والإصفهاني في نهاية الدراية، والخوئي في مصباح الأصول و..</w:t>
      </w:r>
      <w:r w:rsidRPr="00815C4C">
        <w:rPr>
          <w:rFonts w:cs="Taher" w:hint="cs"/>
          <w:vertAlign w:val="superscript"/>
          <w:rtl/>
        </w:rPr>
        <w:t>(</w:t>
      </w:r>
      <w:r w:rsidRPr="00815C4C">
        <w:rPr>
          <w:rFonts w:cs="Taher"/>
          <w:vertAlign w:val="superscript"/>
          <w:rtl/>
        </w:rPr>
        <w:footnoteReference w:id="307"/>
      </w:r>
      <w:r w:rsidRPr="00815C4C">
        <w:rPr>
          <w:rFonts w:cs="Taher" w:hint="cs"/>
          <w:vertAlign w:val="superscript"/>
          <w:rtl/>
        </w:rPr>
        <w:t>)</w:t>
      </w:r>
      <w:r>
        <w:rPr>
          <w:rFonts w:hint="cs"/>
          <w:rtl/>
        </w:rPr>
        <w:t>، وقد شذّت بعض الكتب الأصولية عن ذلك، فتعرّضت لموضوع الذكورة، وستظهر في مطاوي هذا البحث، إن شاء الله تعالى.</w:t>
      </w:r>
    </w:p>
    <w:p w:rsidR="00C832C0" w:rsidRDefault="00C832C0" w:rsidP="000218F4">
      <w:pPr>
        <w:pStyle w:val="ac"/>
        <w:spacing w:line="202" w:lineRule="auto"/>
        <w:rPr>
          <w:rtl/>
        </w:rPr>
      </w:pPr>
      <w:r>
        <w:rPr>
          <w:rFonts w:hint="cs"/>
          <w:rtl/>
        </w:rPr>
        <w:t>وقد لاحظنا أن هذا البحث لم يلقَ حضوراً في الميدان الفقهي، رغم الإشارة السالفة للشهيد الثاني في الروضة، وإذا لقي حضوراً فهو ضعيف وبسيط جداً، حتى أن الشيخ الأنصاري (1281هـ) المعروف بتفريعاته الفقهية يخصّص رسالةً للاجتهاد والتقليد، ويفصّل فيها شروط المقلَّد ولا يذكر عدا البلوغ والعقل والإيمان والاجتهاد، باحثاً في الحياة والأعلمية، دون أن يشير بتاتاً إلى فكرة الذكورة</w:t>
      </w:r>
      <w:r w:rsidRPr="00815C4C">
        <w:rPr>
          <w:rFonts w:cs="Taher" w:hint="cs"/>
          <w:vertAlign w:val="superscript"/>
          <w:rtl/>
        </w:rPr>
        <w:t>(</w:t>
      </w:r>
      <w:r w:rsidRPr="00815C4C">
        <w:rPr>
          <w:rFonts w:cs="Taher"/>
          <w:vertAlign w:val="superscript"/>
          <w:rtl/>
        </w:rPr>
        <w:footnoteReference w:id="308"/>
      </w:r>
      <w:r w:rsidRPr="00815C4C">
        <w:rPr>
          <w:rFonts w:cs="Taher" w:hint="cs"/>
          <w:vertAlign w:val="superscript"/>
          <w:rtl/>
        </w:rPr>
        <w:t>)</w:t>
      </w:r>
      <w:r>
        <w:rPr>
          <w:rFonts w:hint="cs"/>
          <w:rtl/>
        </w:rPr>
        <w:t>، وسوف نضيف لدى الحديث عن دليل الإجماع  المقام على شرطية الذكورة كلاماً آخر أيضاً يفيد في تكوين صورةٍ تاريخية.</w:t>
      </w:r>
    </w:p>
    <w:p w:rsidR="00C832C0" w:rsidRDefault="00C832C0" w:rsidP="00A90E63">
      <w:pPr>
        <w:pStyle w:val="ac"/>
        <w:rPr>
          <w:rtl/>
        </w:rPr>
      </w:pPr>
      <w:r>
        <w:rPr>
          <w:rFonts w:hint="cs"/>
          <w:rtl/>
        </w:rPr>
        <w:t>وقد استمرّ الوضع على هذا المنوال إلى أن جاء السيد محمد كاظم اليزدي (1337هـ) وذكر شرط الذكورة في مرجع التقليد في كتابه «العروة الوثقى»</w:t>
      </w:r>
      <w:r w:rsidRPr="00815C4C">
        <w:rPr>
          <w:rFonts w:cs="Taher" w:hint="cs"/>
          <w:vertAlign w:val="superscript"/>
          <w:rtl/>
        </w:rPr>
        <w:t>(</w:t>
      </w:r>
      <w:r w:rsidRPr="00815C4C">
        <w:rPr>
          <w:rFonts w:cs="Taher"/>
          <w:vertAlign w:val="superscript"/>
          <w:rtl/>
        </w:rPr>
        <w:footnoteReference w:id="309"/>
      </w:r>
      <w:r w:rsidRPr="00815C4C">
        <w:rPr>
          <w:rFonts w:cs="Taher" w:hint="cs"/>
          <w:vertAlign w:val="superscript"/>
          <w:rtl/>
        </w:rPr>
        <w:t>)</w:t>
      </w:r>
      <w:r>
        <w:rPr>
          <w:rFonts w:hint="cs"/>
          <w:rtl/>
        </w:rPr>
        <w:t xml:space="preserve">، وذلك بدايات القرن العشرين الميلادي، حيث تحوّل هذا الموضوع </w:t>
      </w:r>
      <w:r w:rsidR="00A90E63">
        <w:rPr>
          <w:rFonts w:hint="cs"/>
          <w:rtl/>
        </w:rPr>
        <w:t>ـ</w:t>
      </w:r>
      <w:r>
        <w:rPr>
          <w:rFonts w:hint="cs"/>
          <w:rtl/>
        </w:rPr>
        <w:t xml:space="preserve"> تبعاً لتحوّل كتاب العروة </w:t>
      </w:r>
      <w:r>
        <w:rPr>
          <w:rFonts w:hint="cs"/>
          <w:rtl/>
        </w:rPr>
        <w:lastRenderedPageBreak/>
        <w:t xml:space="preserve">إلى مادة تدور حولها الدراسات الفقهية </w:t>
      </w:r>
      <w:r w:rsidR="00A90E63">
        <w:rPr>
          <w:rFonts w:hint="cs"/>
          <w:rtl/>
        </w:rPr>
        <w:t>ـ</w:t>
      </w:r>
      <w:r>
        <w:rPr>
          <w:rFonts w:hint="cs"/>
          <w:rtl/>
        </w:rPr>
        <w:t xml:space="preserve"> إلى مادة تدرس في الفقه الإمامي على نطاق واسع، وشاهدنا له حضوراً جاداً في البحث الفقهي منذ تلك الفترة وحتى عصرنا الحاضر.</w:t>
      </w:r>
    </w:p>
    <w:p w:rsidR="00C832C0" w:rsidRDefault="00C832C0" w:rsidP="00A90E63">
      <w:pPr>
        <w:pStyle w:val="ac"/>
        <w:rPr>
          <w:rtl/>
        </w:rPr>
      </w:pPr>
      <w:r>
        <w:rPr>
          <w:rFonts w:hint="cs"/>
          <w:rtl/>
        </w:rPr>
        <w:t>ولرصد المشهد في الفترة الأخيرة، لاحظنا وجود رأيين في هذا المجال:</w:t>
      </w:r>
    </w:p>
    <w:p w:rsidR="00C832C0" w:rsidRDefault="00C832C0" w:rsidP="000218F4">
      <w:pPr>
        <w:pStyle w:val="ac"/>
        <w:spacing w:line="202" w:lineRule="auto"/>
        <w:rPr>
          <w:rtl/>
        </w:rPr>
      </w:pPr>
      <w:r w:rsidRPr="00A90E63">
        <w:rPr>
          <w:b/>
          <w:bCs/>
          <w:rtl/>
        </w:rPr>
        <w:t>الرأي الأول:</w:t>
      </w:r>
      <w:r w:rsidRPr="00A90E63">
        <w:rPr>
          <w:rFonts w:hint="cs"/>
          <w:rtl/>
        </w:rPr>
        <w:t xml:space="preserve"> وهو</w:t>
      </w:r>
      <w:r>
        <w:rPr>
          <w:rFonts w:hint="cs"/>
          <w:rtl/>
        </w:rPr>
        <w:t xml:space="preserve"> الرأي السائد مؤخّراً، ويتبنّى وجهة نظر صاحب العروة في اشتراط الذكورة، ومن أنصار هذا الرأي </w:t>
      </w:r>
      <w:r w:rsidR="00A90E63">
        <w:rPr>
          <w:rFonts w:hint="cs"/>
          <w:rtl/>
        </w:rPr>
        <w:t>ـ</w:t>
      </w:r>
      <w:r>
        <w:rPr>
          <w:rFonts w:hint="cs"/>
          <w:rtl/>
        </w:rPr>
        <w:t xml:space="preserve"> غير اليزدي صاحب العروة </w:t>
      </w:r>
      <w:r w:rsidR="00A90E63">
        <w:rPr>
          <w:rFonts w:hint="cs"/>
          <w:rtl/>
        </w:rPr>
        <w:t>ـ</w:t>
      </w:r>
      <w:r>
        <w:rPr>
          <w:rFonts w:hint="cs"/>
          <w:rtl/>
        </w:rPr>
        <w:t xml:space="preserve"> كل من المحقق الجواهري (1340هـ)، والفيروزآبادي (1345هـ)، والميرزا النائيني (1355هـ)، والشيخ عبد الكريم الحائري (1355هـ)، والمحقق العراقي (1361هـ)، ومحمد حسين كاشف الغطاء (1373هـ) والسيد حسين البروجردي (1380هـ)، وعبد الهادي الشيرازي (1382هـ)، والشيخ محمد رضا آل ياسين (1370هـ)، وآية الله محمد الخوانساري (1405هـ)، والإمام الخميني (1409هـ) والسيد الخوئي</w:t>
      </w:r>
      <w:r w:rsidR="00A90E63">
        <w:rPr>
          <w:rFonts w:hint="cs"/>
          <w:rtl/>
        </w:rPr>
        <w:t xml:space="preserve"> </w:t>
      </w:r>
      <w:r>
        <w:rPr>
          <w:rFonts w:hint="cs"/>
          <w:rtl/>
        </w:rPr>
        <w:t>(1413هـ)، والسيد الكلبيكاني (1414هـ)</w:t>
      </w:r>
      <w:r w:rsidRPr="00815C4C">
        <w:rPr>
          <w:rFonts w:cs="Taher" w:hint="cs"/>
          <w:vertAlign w:val="superscript"/>
          <w:rtl/>
        </w:rPr>
        <w:t>(</w:t>
      </w:r>
      <w:r w:rsidRPr="00815C4C">
        <w:rPr>
          <w:rFonts w:cs="Taher"/>
          <w:vertAlign w:val="superscript"/>
          <w:rtl/>
        </w:rPr>
        <w:footnoteReference w:id="310"/>
      </w:r>
      <w:r w:rsidRPr="00815C4C">
        <w:rPr>
          <w:rFonts w:cs="Taher" w:hint="cs"/>
          <w:vertAlign w:val="superscript"/>
          <w:rtl/>
        </w:rPr>
        <w:t>)</w:t>
      </w:r>
      <w:r>
        <w:rPr>
          <w:rFonts w:hint="cs"/>
          <w:rtl/>
        </w:rPr>
        <w:t>.</w:t>
      </w:r>
    </w:p>
    <w:p w:rsidR="00C832C0" w:rsidRDefault="00C832C0" w:rsidP="00A90E63">
      <w:pPr>
        <w:pStyle w:val="ac"/>
        <w:rPr>
          <w:rtl/>
        </w:rPr>
      </w:pPr>
      <w:r>
        <w:rPr>
          <w:rFonts w:hint="cs"/>
          <w:rtl/>
        </w:rPr>
        <w:t>وقد استمرّت هيمنة هذا الرأي على الموقف الفقهي حتى العصر الحاضر، حيث يذهب أكثر مراجع التقليد المعاصرين إلى هذه الشرطية، كالسيد السيستاني، والشيخ التبريزي، والوحيد الخراساني، والشيخ محمد تقي البهجت، والسيد محمد سعيد الطباطبائي الحكيم، و..</w:t>
      </w:r>
      <w:r w:rsidRPr="00815C4C">
        <w:rPr>
          <w:rFonts w:cs="Taher" w:hint="cs"/>
          <w:vertAlign w:val="superscript"/>
          <w:rtl/>
        </w:rPr>
        <w:t>(</w:t>
      </w:r>
      <w:r w:rsidRPr="00815C4C">
        <w:rPr>
          <w:rFonts w:cs="Taher"/>
          <w:vertAlign w:val="superscript"/>
          <w:rtl/>
        </w:rPr>
        <w:footnoteReference w:id="311"/>
      </w:r>
      <w:r w:rsidRPr="00815C4C">
        <w:rPr>
          <w:rFonts w:cs="Taher" w:hint="cs"/>
          <w:vertAlign w:val="superscript"/>
          <w:rtl/>
        </w:rPr>
        <w:t>)</w:t>
      </w:r>
      <w:r>
        <w:rPr>
          <w:rFonts w:hint="cs"/>
          <w:rtl/>
        </w:rPr>
        <w:t xml:space="preserve">، وقبل صاحب العروة، وجدنا تبنّي هذا الموقف من بعض </w:t>
      </w:r>
      <w:r>
        <w:rPr>
          <w:rFonts w:hint="cs"/>
          <w:rtl/>
        </w:rPr>
        <w:lastRenderedPageBreak/>
        <w:t>الفقهاء من أمثال السيد المجاهد محمد الطباطبائي (1242هـ) في كتابه «مفاتيح الأصول»</w:t>
      </w:r>
      <w:r w:rsidRPr="00815C4C">
        <w:rPr>
          <w:rFonts w:cs="Taher" w:hint="cs"/>
          <w:vertAlign w:val="superscript"/>
          <w:rtl/>
        </w:rPr>
        <w:t>(</w:t>
      </w:r>
      <w:r w:rsidRPr="00815C4C">
        <w:rPr>
          <w:rFonts w:cs="Taher"/>
          <w:vertAlign w:val="superscript"/>
          <w:rtl/>
        </w:rPr>
        <w:footnoteReference w:id="312"/>
      </w:r>
      <w:r w:rsidRPr="00815C4C">
        <w:rPr>
          <w:rFonts w:cs="Taher" w:hint="cs"/>
          <w:vertAlign w:val="superscript"/>
          <w:rtl/>
        </w:rPr>
        <w:t>)</w:t>
      </w:r>
      <w:r>
        <w:rPr>
          <w:rFonts w:hint="cs"/>
          <w:rtl/>
        </w:rPr>
        <w:t>.</w:t>
      </w:r>
    </w:p>
    <w:p w:rsidR="00C832C0" w:rsidRDefault="00C832C0" w:rsidP="00A90E63">
      <w:pPr>
        <w:pStyle w:val="ac"/>
        <w:rPr>
          <w:rtl/>
        </w:rPr>
      </w:pPr>
      <w:r w:rsidRPr="00A90E63">
        <w:rPr>
          <w:b/>
          <w:bCs/>
          <w:rtl/>
        </w:rPr>
        <w:t>الرأي الثاني:</w:t>
      </w:r>
      <w:r>
        <w:rPr>
          <w:rFonts w:hint="cs"/>
          <w:rtl/>
        </w:rPr>
        <w:t xml:space="preserve"> وهو الرأي المخالف لما ساد في الفترة الأخيرة بالخصوص، وقد ذهب إليه المحقق الإصفهاني (1365هـ) في رسالته في الاجتهاد والتقليد، متوقّفاً فقط في موضوع التسالم</w:t>
      </w:r>
      <w:r w:rsidRPr="00815C4C">
        <w:rPr>
          <w:rFonts w:cs="Taher" w:hint="cs"/>
          <w:vertAlign w:val="superscript"/>
          <w:rtl/>
        </w:rPr>
        <w:t>(</w:t>
      </w:r>
      <w:r w:rsidRPr="00815C4C">
        <w:rPr>
          <w:rFonts w:cs="Taher"/>
          <w:vertAlign w:val="superscript"/>
          <w:rtl/>
        </w:rPr>
        <w:footnoteReference w:id="313"/>
      </w:r>
      <w:r w:rsidRPr="00815C4C">
        <w:rPr>
          <w:rFonts w:cs="Taher" w:hint="cs"/>
          <w:vertAlign w:val="superscript"/>
          <w:rtl/>
        </w:rPr>
        <w:t>)</w:t>
      </w:r>
      <w:r>
        <w:rPr>
          <w:rFonts w:hint="cs"/>
          <w:rtl/>
        </w:rPr>
        <w:t>، والسيد محسن الحكيم (1390هـ) في المستمسك</w:t>
      </w:r>
      <w:r w:rsidRPr="00815C4C">
        <w:rPr>
          <w:rFonts w:cs="Taher" w:hint="cs"/>
          <w:vertAlign w:val="superscript"/>
          <w:rtl/>
        </w:rPr>
        <w:t>(</w:t>
      </w:r>
      <w:r w:rsidRPr="00815C4C">
        <w:rPr>
          <w:rFonts w:cs="Taher"/>
          <w:vertAlign w:val="superscript"/>
          <w:rtl/>
        </w:rPr>
        <w:footnoteReference w:id="314"/>
      </w:r>
      <w:r w:rsidRPr="00815C4C">
        <w:rPr>
          <w:rFonts w:cs="Taher" w:hint="cs"/>
          <w:vertAlign w:val="superscript"/>
          <w:rtl/>
        </w:rPr>
        <w:t>)</w:t>
      </w:r>
      <w:r>
        <w:rPr>
          <w:rFonts w:hint="cs"/>
          <w:rtl/>
        </w:rPr>
        <w:t>، وإن كانا لم يعلّقا على العروة في شرط الذكورة، مما يعني تبنّيهما هذا الرأي علمياً لا فتوائياً</w:t>
      </w:r>
      <w:r w:rsidRPr="00815C4C">
        <w:rPr>
          <w:rFonts w:cs="Taher" w:hint="cs"/>
          <w:vertAlign w:val="superscript"/>
          <w:rtl/>
        </w:rPr>
        <w:t>(</w:t>
      </w:r>
      <w:r w:rsidRPr="00815C4C">
        <w:rPr>
          <w:rFonts w:cs="Taher"/>
          <w:vertAlign w:val="superscript"/>
          <w:rtl/>
        </w:rPr>
        <w:footnoteReference w:id="315"/>
      </w:r>
      <w:r w:rsidRPr="00815C4C">
        <w:rPr>
          <w:rFonts w:cs="Taher" w:hint="cs"/>
          <w:vertAlign w:val="superscript"/>
          <w:rtl/>
        </w:rPr>
        <w:t>)</w:t>
      </w:r>
      <w:r>
        <w:rPr>
          <w:rFonts w:hint="cs"/>
          <w:rtl/>
        </w:rPr>
        <w:t>.</w:t>
      </w:r>
    </w:p>
    <w:p w:rsidR="00C832C0" w:rsidRDefault="00C832C0" w:rsidP="00A90E63">
      <w:pPr>
        <w:pStyle w:val="ac"/>
        <w:rPr>
          <w:rtl/>
        </w:rPr>
      </w:pPr>
      <w:r>
        <w:rPr>
          <w:rFonts w:hint="cs"/>
          <w:rtl/>
        </w:rPr>
        <w:t>وممن ذهب إلى هذا القول أيضاً السيد رضا الصدر</w:t>
      </w:r>
      <w:r w:rsidRPr="00815C4C">
        <w:rPr>
          <w:rFonts w:cs="Taher" w:hint="cs"/>
          <w:vertAlign w:val="superscript"/>
          <w:rtl/>
        </w:rPr>
        <w:t>(</w:t>
      </w:r>
      <w:r w:rsidRPr="00815C4C">
        <w:rPr>
          <w:rFonts w:cs="Taher"/>
          <w:vertAlign w:val="superscript"/>
          <w:rtl/>
        </w:rPr>
        <w:footnoteReference w:id="316"/>
      </w:r>
      <w:r w:rsidRPr="00815C4C">
        <w:rPr>
          <w:rFonts w:cs="Taher" w:hint="cs"/>
          <w:vertAlign w:val="superscript"/>
          <w:rtl/>
        </w:rPr>
        <w:t>)</w:t>
      </w:r>
      <w:r>
        <w:rPr>
          <w:rFonts w:hint="cs"/>
          <w:rtl/>
        </w:rPr>
        <w:t>، والشيخ محمّد مهدي شمس الدين</w:t>
      </w:r>
      <w:r w:rsidRPr="00815C4C">
        <w:rPr>
          <w:rFonts w:cs="Taher" w:hint="cs"/>
          <w:vertAlign w:val="superscript"/>
          <w:rtl/>
        </w:rPr>
        <w:t>(</w:t>
      </w:r>
      <w:r w:rsidRPr="00815C4C">
        <w:rPr>
          <w:rFonts w:cs="Taher"/>
          <w:vertAlign w:val="superscript"/>
          <w:rtl/>
        </w:rPr>
        <w:footnoteReference w:id="317"/>
      </w:r>
      <w:r w:rsidRPr="00815C4C">
        <w:rPr>
          <w:rFonts w:cs="Taher" w:hint="cs"/>
          <w:vertAlign w:val="superscript"/>
          <w:rtl/>
        </w:rPr>
        <w:t>)</w:t>
      </w:r>
      <w:r>
        <w:rPr>
          <w:rFonts w:hint="cs"/>
          <w:rtl/>
        </w:rPr>
        <w:t>، كما مال إليه العلامة السيد محمد حسين فضل الله</w:t>
      </w:r>
      <w:r w:rsidRPr="00815C4C">
        <w:rPr>
          <w:rFonts w:cs="Taher" w:hint="cs"/>
          <w:vertAlign w:val="superscript"/>
          <w:rtl/>
        </w:rPr>
        <w:t>(</w:t>
      </w:r>
      <w:r w:rsidRPr="00815C4C">
        <w:rPr>
          <w:rFonts w:cs="Taher"/>
          <w:vertAlign w:val="superscript"/>
          <w:rtl/>
        </w:rPr>
        <w:footnoteReference w:id="318"/>
      </w:r>
      <w:r w:rsidRPr="00815C4C">
        <w:rPr>
          <w:rFonts w:cs="Taher" w:hint="cs"/>
          <w:vertAlign w:val="superscript"/>
          <w:rtl/>
        </w:rPr>
        <w:t>)</w:t>
      </w:r>
      <w:r>
        <w:rPr>
          <w:rFonts w:hint="cs"/>
          <w:rtl/>
        </w:rPr>
        <w:t>، وتبناه الشيخ محمد الجيلاني</w:t>
      </w:r>
      <w:r w:rsidRPr="00815C4C">
        <w:rPr>
          <w:rFonts w:cs="Taher" w:hint="cs"/>
          <w:vertAlign w:val="superscript"/>
          <w:rtl/>
        </w:rPr>
        <w:t>(</w:t>
      </w:r>
      <w:r w:rsidRPr="00815C4C">
        <w:rPr>
          <w:rFonts w:cs="Taher"/>
          <w:vertAlign w:val="superscript"/>
          <w:rtl/>
        </w:rPr>
        <w:footnoteReference w:id="319"/>
      </w:r>
      <w:r w:rsidRPr="00815C4C">
        <w:rPr>
          <w:rFonts w:cs="Taher" w:hint="cs"/>
          <w:vertAlign w:val="superscript"/>
          <w:rtl/>
        </w:rPr>
        <w:t>)</w:t>
      </w:r>
      <w:r>
        <w:rPr>
          <w:rFonts w:hint="cs"/>
          <w:rtl/>
        </w:rPr>
        <w:t>، ولم يذكره صريحاً كشرطٍ الشيخ يوسف الصانعي في رسالته: توضيح المسائل</w:t>
      </w:r>
      <w:r w:rsidRPr="00815C4C">
        <w:rPr>
          <w:rFonts w:cs="Taher" w:hint="cs"/>
          <w:vertAlign w:val="superscript"/>
          <w:rtl/>
        </w:rPr>
        <w:t>(</w:t>
      </w:r>
      <w:r w:rsidRPr="00815C4C">
        <w:rPr>
          <w:rFonts w:cs="Taher"/>
          <w:vertAlign w:val="superscript"/>
          <w:rtl/>
        </w:rPr>
        <w:footnoteReference w:id="320"/>
      </w:r>
      <w:r w:rsidRPr="00815C4C">
        <w:rPr>
          <w:rFonts w:cs="Taher" w:hint="cs"/>
          <w:vertAlign w:val="superscript"/>
          <w:rtl/>
        </w:rPr>
        <w:t>)</w:t>
      </w:r>
      <w:r>
        <w:rPr>
          <w:rFonts w:hint="cs"/>
          <w:rtl/>
        </w:rPr>
        <w:t>، وهو الظاهر من السيد تقي القمي أيضاً في مباني منهاج الصالحين</w:t>
      </w:r>
      <w:r w:rsidRPr="00815C4C">
        <w:rPr>
          <w:rFonts w:cs="Taher" w:hint="cs"/>
          <w:vertAlign w:val="superscript"/>
          <w:rtl/>
        </w:rPr>
        <w:t>(</w:t>
      </w:r>
      <w:r w:rsidRPr="00815C4C">
        <w:rPr>
          <w:rFonts w:cs="Taher"/>
          <w:vertAlign w:val="superscript"/>
          <w:rtl/>
        </w:rPr>
        <w:footnoteReference w:id="321"/>
      </w:r>
      <w:r w:rsidRPr="00815C4C">
        <w:rPr>
          <w:rFonts w:cs="Taher" w:hint="cs"/>
          <w:vertAlign w:val="superscript"/>
          <w:rtl/>
        </w:rPr>
        <w:t>)</w:t>
      </w:r>
      <w:r>
        <w:rPr>
          <w:rFonts w:hint="cs"/>
          <w:rtl/>
        </w:rPr>
        <w:t xml:space="preserve">، ومن </w:t>
      </w:r>
      <w:r>
        <w:rPr>
          <w:rFonts w:hint="cs"/>
          <w:rtl/>
        </w:rPr>
        <w:lastRenderedPageBreak/>
        <w:t>شريعتمدار الجزائري في النور المبين</w:t>
      </w:r>
      <w:r w:rsidRPr="00815C4C">
        <w:rPr>
          <w:rFonts w:cs="Taher" w:hint="cs"/>
          <w:vertAlign w:val="superscript"/>
          <w:rtl/>
        </w:rPr>
        <w:t>(</w:t>
      </w:r>
      <w:r w:rsidRPr="00815C4C">
        <w:rPr>
          <w:rFonts w:cs="Taher"/>
          <w:vertAlign w:val="superscript"/>
          <w:rtl/>
        </w:rPr>
        <w:footnoteReference w:id="322"/>
      </w:r>
      <w:r w:rsidRPr="00815C4C">
        <w:rPr>
          <w:rFonts w:cs="Taher" w:hint="cs"/>
          <w:vertAlign w:val="superscript"/>
          <w:rtl/>
        </w:rPr>
        <w:t>)</w:t>
      </w:r>
      <w:r>
        <w:rPr>
          <w:rFonts w:hint="cs"/>
          <w:rtl/>
        </w:rPr>
        <w:t>.</w:t>
      </w:r>
    </w:p>
    <w:p w:rsidR="00C832C0" w:rsidRDefault="00C832C0" w:rsidP="00A90E63">
      <w:pPr>
        <w:pStyle w:val="ac"/>
        <w:rPr>
          <w:rtl/>
        </w:rPr>
      </w:pPr>
      <w:r>
        <w:rPr>
          <w:rFonts w:hint="cs"/>
          <w:rtl/>
        </w:rPr>
        <w:t>كانت هذه صورة موجزة للمشهد التاريخي والمعاصر فقهياً من مسألة شرطية الذكورة، وسوف نستعين بهذه الصورة في الأبحاث القادمة إن شاء الله تعالى.</w:t>
      </w:r>
    </w:p>
    <w:p w:rsidR="00C832C0" w:rsidRDefault="00C832C0" w:rsidP="00A90E63">
      <w:pPr>
        <w:pStyle w:val="ac"/>
        <w:rPr>
          <w:rtl/>
        </w:rPr>
      </w:pPr>
      <w:r>
        <w:rPr>
          <w:rFonts w:hint="cs"/>
          <w:rtl/>
        </w:rPr>
        <w:t xml:space="preserve">ونحاول </w:t>
      </w:r>
      <w:r w:rsidR="00A90E63">
        <w:rPr>
          <w:rFonts w:hint="cs"/>
          <w:rtl/>
        </w:rPr>
        <w:t>ـ</w:t>
      </w:r>
      <w:r>
        <w:rPr>
          <w:rFonts w:hint="cs"/>
          <w:rtl/>
        </w:rPr>
        <w:t xml:space="preserve"> بدايةً </w:t>
      </w:r>
      <w:r w:rsidR="00A90E63">
        <w:rPr>
          <w:rFonts w:hint="cs"/>
          <w:rtl/>
        </w:rPr>
        <w:t>ـ</w:t>
      </w:r>
      <w:r>
        <w:rPr>
          <w:rFonts w:hint="cs"/>
          <w:rtl/>
        </w:rPr>
        <w:t xml:space="preserve"> استعراض موقف النظرية القائلة بعدم شرطية الذكورة في مرجع التقليد، ثم نعقبها بذكر أدلّة النظرية الذاهبة إلى هذه الشرطية، لنحاول بعد ذلك الخروج بنتيجة وموقف.</w:t>
      </w:r>
    </w:p>
    <w:p w:rsidR="00A90E63" w:rsidRPr="000218F4" w:rsidRDefault="00A90E63" w:rsidP="000218F4">
      <w:pPr>
        <w:pStyle w:val="afffffc"/>
        <w:rPr>
          <w:sz w:val="18"/>
          <w:szCs w:val="16"/>
          <w:rtl/>
        </w:rPr>
      </w:pPr>
    </w:p>
    <w:p w:rsidR="00C832C0" w:rsidRPr="00651EB1" w:rsidRDefault="00C832C0" w:rsidP="00651EB1">
      <w:pPr>
        <w:pStyle w:val="1"/>
        <w:rPr>
          <w:rtl/>
        </w:rPr>
      </w:pPr>
      <w:bookmarkStart w:id="281" w:name="_Toc275128003"/>
      <w:r w:rsidRPr="00651EB1">
        <w:rPr>
          <w:rFonts w:hint="cs"/>
          <w:rtl/>
        </w:rPr>
        <w:t>نظرية شرعيّة تقليد المرأة أو عدم اشتراط الذكورة في مرجع التقليد</w:t>
      </w:r>
      <w:bookmarkEnd w:id="281"/>
    </w:p>
    <w:p w:rsidR="00C832C0" w:rsidRDefault="00C832C0" w:rsidP="00A90E63">
      <w:pPr>
        <w:pStyle w:val="ac"/>
        <w:rPr>
          <w:rtl/>
        </w:rPr>
      </w:pPr>
      <w:r>
        <w:rPr>
          <w:rFonts w:hint="cs"/>
          <w:rtl/>
        </w:rPr>
        <w:t>وحاصل ما يمكن إقامته من أدلة لإثبات عدم اشتراط الذكورة في مرجع التقليد ما يلي:</w:t>
      </w:r>
    </w:p>
    <w:p w:rsidR="00C832C0" w:rsidRDefault="00C832C0" w:rsidP="000218F4">
      <w:pPr>
        <w:pStyle w:val="ac"/>
        <w:spacing w:line="199" w:lineRule="auto"/>
        <w:rPr>
          <w:rtl/>
        </w:rPr>
      </w:pPr>
      <w:r w:rsidRPr="00A90E63">
        <w:rPr>
          <w:b/>
          <w:bCs/>
          <w:rtl/>
        </w:rPr>
        <w:t>الدليل الأول:</w:t>
      </w:r>
      <w:r>
        <w:rPr>
          <w:rFonts w:hint="cs"/>
          <w:rtl/>
        </w:rPr>
        <w:t xml:space="preserve"> إن مبدأ قدرة المرأة على بلوغ مرتبة الاجتهاد، مما لا إشكال فيه من الناحية التكوينية، بل قد حصل ذلك تاريخياً، كما تشهد له كتب التاريخ والتراجم وغيرها، وهذا معناه أن المرأة ببلوغها مرتبة الاجتهاد يحصل لها القطع واليقين بالحكم الواقعي أو الظاهري، ومعه كيف يجوز لها تقليد غيرها ممن قد يخالفها الرأي؟! ومن ثم لا تكون مشمولةً للبناء العقلائي في رجوع الجاهل إلى العالم بعد فرض خروجها عن الجهل. </w:t>
      </w:r>
    </w:p>
    <w:p w:rsidR="00C832C0" w:rsidRDefault="00C832C0" w:rsidP="000218F4">
      <w:pPr>
        <w:pStyle w:val="ac"/>
        <w:spacing w:line="199" w:lineRule="auto"/>
        <w:rPr>
          <w:rtl/>
        </w:rPr>
      </w:pPr>
      <w:r>
        <w:rPr>
          <w:rFonts w:hint="cs"/>
          <w:rtl/>
        </w:rPr>
        <w:t xml:space="preserve">وبعبارةٍ أخرى، إن ما دلّ على عدم جواز تقليد المجتهد لغيره </w:t>
      </w:r>
      <w:r w:rsidR="00A90E63">
        <w:rPr>
          <w:rFonts w:hint="cs"/>
          <w:rtl/>
        </w:rPr>
        <w:t>ـ</w:t>
      </w:r>
      <w:r>
        <w:rPr>
          <w:rFonts w:hint="cs"/>
          <w:rtl/>
        </w:rPr>
        <w:t xml:space="preserve"> أو عدم لزومه عليه كما هو مبنى جماعة </w:t>
      </w:r>
      <w:r w:rsidR="00A90E63">
        <w:rPr>
          <w:rFonts w:hint="cs"/>
          <w:rtl/>
        </w:rPr>
        <w:t>ـ</w:t>
      </w:r>
      <w:r>
        <w:rPr>
          <w:rFonts w:hint="cs"/>
          <w:rtl/>
        </w:rPr>
        <w:t xml:space="preserve"> يجري في المرأة تماماً كما يجري في الرجل، فلا معنى لإلزامها بالتقليد بعد بلوغها مرتبة الاجتهاد. </w:t>
      </w:r>
    </w:p>
    <w:p w:rsidR="00C832C0" w:rsidRDefault="00C832C0" w:rsidP="000218F4">
      <w:pPr>
        <w:pStyle w:val="ac"/>
        <w:spacing w:line="199" w:lineRule="auto"/>
        <w:rPr>
          <w:rtl/>
        </w:rPr>
      </w:pPr>
      <w:r>
        <w:rPr>
          <w:rFonts w:hint="cs"/>
          <w:rtl/>
        </w:rPr>
        <w:t xml:space="preserve">وهذا الدليل يثبت </w:t>
      </w:r>
      <w:r w:rsidR="00A90E63">
        <w:rPr>
          <w:rFonts w:hint="cs"/>
          <w:rtl/>
        </w:rPr>
        <w:t>ـ</w:t>
      </w:r>
      <w:r>
        <w:rPr>
          <w:rFonts w:hint="cs"/>
          <w:rtl/>
        </w:rPr>
        <w:t xml:space="preserve"> فقط </w:t>
      </w:r>
      <w:r w:rsidR="00A90E63">
        <w:rPr>
          <w:rFonts w:hint="cs"/>
          <w:rtl/>
        </w:rPr>
        <w:t>ـ</w:t>
      </w:r>
      <w:r>
        <w:rPr>
          <w:rFonts w:hint="cs"/>
          <w:rtl/>
        </w:rPr>
        <w:t xml:space="preserve"> شرعيّة تقليد المرأة نفسها، إذا بلغت مرحلة الاجتهاد، وقد يقال: إنّه يحتاج لإتمامه إلى نقض وجهة النظر القادمة، والتي تقول بأن في رأي المرأة نقصاً، الأمر الذي قد يلغي </w:t>
      </w:r>
      <w:r w:rsidR="00A90E63">
        <w:rPr>
          <w:rFonts w:hint="cs"/>
          <w:rtl/>
        </w:rPr>
        <w:t>ـ</w:t>
      </w:r>
      <w:r>
        <w:rPr>
          <w:rFonts w:hint="cs"/>
          <w:rtl/>
        </w:rPr>
        <w:t xml:space="preserve"> ولو تعبّداً </w:t>
      </w:r>
      <w:r w:rsidR="00A90E63">
        <w:rPr>
          <w:rFonts w:hint="cs"/>
          <w:rtl/>
        </w:rPr>
        <w:t>ـ</w:t>
      </w:r>
      <w:r>
        <w:rPr>
          <w:rFonts w:hint="cs"/>
          <w:rtl/>
        </w:rPr>
        <w:t xml:space="preserve"> شرعية تقليدها لذاتها، إلا أنّ هذا الكلام لا محلّ له هنا حتى لو تمّت تلك النظرية فإن المفروض حصول القطع لها بالواقع أو </w:t>
      </w:r>
      <w:r>
        <w:rPr>
          <w:rFonts w:hint="cs"/>
          <w:rtl/>
        </w:rPr>
        <w:lastRenderedPageBreak/>
        <w:t xml:space="preserve">الظاهر، ولا معنى لسلب الحجية عن هذا القطع بعد حصوله، إلا إذا بنينا في مباحث أصول الفقه على إمكان ذلك بعد اعتبار قطعها بحكم القطع الذاتي، والخلاف مبنائيّ. وسوف نتعرّض لهذا الرأي </w:t>
      </w:r>
      <w:r w:rsidR="00A90E63">
        <w:rPr>
          <w:rFonts w:hint="cs"/>
          <w:rtl/>
        </w:rPr>
        <w:t>ـ</w:t>
      </w:r>
      <w:r>
        <w:rPr>
          <w:rFonts w:hint="cs"/>
          <w:rtl/>
        </w:rPr>
        <w:t xml:space="preserve"> أي نقصان رأي المرأة وعدم الاعتداد باجتهادها </w:t>
      </w:r>
      <w:r w:rsidR="00A90E63">
        <w:rPr>
          <w:rFonts w:hint="cs"/>
          <w:rtl/>
        </w:rPr>
        <w:t>ـ</w:t>
      </w:r>
      <w:r>
        <w:rPr>
          <w:rFonts w:hint="cs"/>
          <w:rtl/>
        </w:rPr>
        <w:t xml:space="preserve"> وندرسه ضمن أدلّة القول باشتراط الذكورة في الإفتاء.</w:t>
      </w:r>
    </w:p>
    <w:p w:rsidR="00C832C0" w:rsidRDefault="00C832C0" w:rsidP="000218F4">
      <w:pPr>
        <w:pStyle w:val="ac"/>
        <w:spacing w:line="209" w:lineRule="auto"/>
        <w:rPr>
          <w:rtl/>
        </w:rPr>
      </w:pPr>
      <w:r w:rsidRPr="00A90E63">
        <w:rPr>
          <w:b/>
          <w:bCs/>
          <w:rtl/>
        </w:rPr>
        <w:t>الدليل الثاني:</w:t>
      </w:r>
      <w:r>
        <w:rPr>
          <w:rFonts w:hint="cs"/>
          <w:rtl/>
        </w:rPr>
        <w:t xml:space="preserve"> التمسّك بالأدلّة العامة المثبتة لمبدأ التقليد، فإن في هذه الأدلّة إطلاقاً يشمل كون المقلَّد أنثى، وأبرز هذه الأدلة:</w:t>
      </w:r>
    </w:p>
    <w:p w:rsidR="00C832C0" w:rsidRDefault="00C832C0" w:rsidP="000218F4">
      <w:pPr>
        <w:pStyle w:val="ac"/>
        <w:spacing w:line="209" w:lineRule="auto"/>
        <w:rPr>
          <w:rtl/>
        </w:rPr>
      </w:pPr>
      <w:r>
        <w:rPr>
          <w:rFonts w:hint="cs"/>
          <w:b/>
          <w:bCs/>
          <w:rtl/>
        </w:rPr>
        <w:t>أولاً:</w:t>
      </w:r>
      <w:r>
        <w:rPr>
          <w:rFonts w:hint="cs"/>
          <w:rtl/>
        </w:rPr>
        <w:t xml:space="preserve"> العمومات والمطلقات اللفظية الواردة في الكتاب والسنّة من مثل: </w:t>
      </w:r>
      <w:r>
        <w:sym w:font="Islamic Units 2" w:char="003E"/>
      </w:r>
      <w:r>
        <w:rPr>
          <w:rFonts w:hint="cs"/>
          <w:b/>
          <w:bCs/>
          <w:noProof/>
          <w:rtl/>
        </w:rPr>
        <w:t>فَاسْأَلُواْ أَهْلَ الذِّكْرِ إِن كُنتُمْ لاَ تَعْلَمُونَ</w:t>
      </w:r>
      <w:r>
        <w:rPr>
          <w:noProof/>
        </w:rPr>
        <w:sym w:font="Islamic Units 2" w:char="003C"/>
      </w:r>
      <w:r>
        <w:rPr>
          <w:rFonts w:hint="cs"/>
          <w:rtl/>
        </w:rPr>
        <w:t xml:space="preserve"> </w:t>
      </w:r>
      <w:r>
        <w:rPr>
          <w:rFonts w:hint="cs"/>
          <w:sz w:val="20"/>
          <w:rtl/>
        </w:rPr>
        <w:t>الأنبياء: 7</w:t>
      </w:r>
      <w:r>
        <w:rPr>
          <w:rFonts w:hint="cs"/>
          <w:rtl/>
        </w:rPr>
        <w:t>، و</w:t>
      </w:r>
      <w:r>
        <w:sym w:font="Islamic Units 2" w:char="003E"/>
      </w:r>
      <w:r>
        <w:rPr>
          <w:rFonts w:hint="cs"/>
          <w:b/>
          <w:bCs/>
          <w:noProof/>
          <w:rtl/>
        </w:rPr>
        <w:t>فَلَوْلاَ نَفَرَ مِن كُلِّ فِرْقَةٍ مِّنْهُمْ طَآئِفَةٌ لِّيَتَفَقَّهُواْ فِي الدِّينِ وَ</w:t>
      </w:r>
      <w:r>
        <w:rPr>
          <w:rFonts w:hint="cs"/>
          <w:rtl/>
        </w:rPr>
        <w:t>..</w:t>
      </w:r>
      <w:r>
        <w:rPr>
          <w:rFonts w:hint="cs"/>
        </w:rPr>
        <w:t xml:space="preserve"> </w:t>
      </w:r>
      <w:r>
        <w:sym w:font="Islamic Units 2" w:char="003C"/>
      </w:r>
      <w:r>
        <w:rPr>
          <w:rFonts w:hint="cs"/>
          <w:sz w:val="20"/>
          <w:rtl/>
        </w:rPr>
        <w:t>التوبة: 122</w:t>
      </w:r>
      <w:r>
        <w:rPr>
          <w:rFonts w:hint="cs"/>
          <w:rtl/>
        </w:rPr>
        <w:t>، إلى غيرها من الأدلّة العامة غير المقيّدة بقيد الذكورة.</w:t>
      </w:r>
    </w:p>
    <w:p w:rsidR="00C832C0" w:rsidRDefault="00C832C0" w:rsidP="000218F4">
      <w:pPr>
        <w:pStyle w:val="ac"/>
        <w:spacing w:line="209" w:lineRule="auto"/>
        <w:rPr>
          <w:rtl/>
        </w:rPr>
      </w:pPr>
      <w:r>
        <w:rPr>
          <w:rFonts w:hint="cs"/>
          <w:b/>
          <w:bCs/>
          <w:rtl/>
        </w:rPr>
        <w:t>ثانياً:</w:t>
      </w:r>
      <w:r>
        <w:rPr>
          <w:rFonts w:hint="cs"/>
          <w:rtl/>
        </w:rPr>
        <w:t xml:space="preserve"> الارتكاز والسيرة العقلائية القائمة على رجوع الجاهل إلى العالم، بلا فرقٍ </w:t>
      </w:r>
      <w:r w:rsidR="00A90E63">
        <w:rPr>
          <w:rFonts w:hint="cs"/>
          <w:rtl/>
        </w:rPr>
        <w:t>ـ</w:t>
      </w:r>
      <w:r>
        <w:rPr>
          <w:rFonts w:hint="cs"/>
          <w:rtl/>
        </w:rPr>
        <w:t xml:space="preserve"> جزماً </w:t>
      </w:r>
      <w:r w:rsidR="00A90E63">
        <w:rPr>
          <w:rFonts w:hint="cs"/>
          <w:rtl/>
        </w:rPr>
        <w:t>ـ</w:t>
      </w:r>
      <w:r>
        <w:rPr>
          <w:rFonts w:hint="cs"/>
          <w:rtl/>
        </w:rPr>
        <w:t xml:space="preserve"> بين كون العالم ذكراً أو أنثى، فإن هذا المبدأ يعمل به العقلاء غير ناظرين فيه إلى الجنس المرجوع إليه من الذكورة والأنوثة، وهذا معناه قيام ارتكازهم وبنائهم على الرجوع حتى إلى الأنثى دون وجود ردع شرعي عن هذا البناء</w:t>
      </w:r>
      <w:r w:rsidRPr="00815C4C">
        <w:rPr>
          <w:rFonts w:cs="Taher" w:hint="cs"/>
          <w:vertAlign w:val="superscript"/>
          <w:rtl/>
        </w:rPr>
        <w:t>(</w:t>
      </w:r>
      <w:r w:rsidRPr="00815C4C">
        <w:rPr>
          <w:rFonts w:cs="Taher"/>
          <w:vertAlign w:val="superscript"/>
          <w:rtl/>
        </w:rPr>
        <w:footnoteReference w:id="323"/>
      </w:r>
      <w:r w:rsidRPr="00815C4C">
        <w:rPr>
          <w:rFonts w:cs="Taher" w:hint="cs"/>
          <w:vertAlign w:val="superscript"/>
          <w:rtl/>
        </w:rPr>
        <w:t>)</w:t>
      </w:r>
      <w:r>
        <w:rPr>
          <w:rFonts w:hint="cs"/>
          <w:rtl/>
        </w:rPr>
        <w:t>.</w:t>
      </w:r>
    </w:p>
    <w:p w:rsidR="00C832C0" w:rsidRDefault="00C832C0" w:rsidP="000218F4">
      <w:pPr>
        <w:pStyle w:val="ac"/>
        <w:spacing w:line="209" w:lineRule="auto"/>
        <w:rPr>
          <w:rtl/>
        </w:rPr>
      </w:pPr>
      <w:r>
        <w:rPr>
          <w:rFonts w:hint="cs"/>
          <w:rtl/>
        </w:rPr>
        <w:t>وهذا الدليل ربما يناقش من جهات:</w:t>
      </w:r>
    </w:p>
    <w:p w:rsidR="00C832C0" w:rsidRDefault="00C832C0" w:rsidP="000218F4">
      <w:pPr>
        <w:pStyle w:val="ac"/>
        <w:spacing w:line="209" w:lineRule="auto"/>
        <w:rPr>
          <w:rtl/>
        </w:rPr>
      </w:pPr>
      <w:r>
        <w:rPr>
          <w:rFonts w:hint="cs"/>
          <w:b/>
          <w:bCs/>
          <w:rtl/>
        </w:rPr>
        <w:t>الأولى:</w:t>
      </w:r>
      <w:r>
        <w:rPr>
          <w:rFonts w:hint="cs"/>
          <w:rtl/>
        </w:rPr>
        <w:t xml:space="preserve"> إن الأدلة اللفظية ليست في مقام البيان من حيث شروط الرجوع إلى أهل الذكر أو غيرهم، وإنما هي بصدد تأسيس مبدأ الرجوع إلى العالم، ومعه لا يمكن التمسّك بإطلاقها لنفي شرطيةٍ ما أو قيد مخصوص. </w:t>
      </w:r>
    </w:p>
    <w:p w:rsidR="00C832C0" w:rsidRDefault="00C832C0" w:rsidP="000218F4">
      <w:pPr>
        <w:pStyle w:val="ac"/>
        <w:spacing w:line="209" w:lineRule="auto"/>
        <w:rPr>
          <w:rtl/>
        </w:rPr>
      </w:pPr>
      <w:r>
        <w:rPr>
          <w:rFonts w:hint="cs"/>
          <w:b/>
          <w:bCs/>
          <w:rtl/>
        </w:rPr>
        <w:t>والجواب:</w:t>
      </w:r>
      <w:r>
        <w:rPr>
          <w:rFonts w:hint="cs"/>
          <w:rtl/>
        </w:rPr>
        <w:t xml:space="preserve"> إن النوع الأول من أدلة التقليد، ليس تأسيساً لمبدأ تشريعي جديد، بل هو إرشاد إلى المرتكز العقلائي العام في رجوع الجاهل إلى العالم، ومعه تتحدّد مساحته تبعاً للمرتكز المرشد إليه، وحيث أثبتنا انعقاد السيرة العقلائية على الرجوع مطلقاً، كانت دلالة النصوص متّسعةً من هذه الناحية أيضاً.</w:t>
      </w:r>
    </w:p>
    <w:p w:rsidR="00C832C0" w:rsidRDefault="00C832C0" w:rsidP="00A90E63">
      <w:pPr>
        <w:pStyle w:val="ac"/>
        <w:rPr>
          <w:rtl/>
        </w:rPr>
      </w:pPr>
      <w:r>
        <w:rPr>
          <w:rFonts w:hint="cs"/>
          <w:rtl/>
        </w:rPr>
        <w:lastRenderedPageBreak/>
        <w:t>وبعبارةٍ أخرى، الإطلاق منعقدٌ في المرشَد إليه لا في الإرشاد، وفي المدلول عليه لا في الدلالة، وهذا كاف للتمسّك بالنصوص العامة لنفي شرطية الذكورة أو نحوها.</w:t>
      </w:r>
    </w:p>
    <w:p w:rsidR="00C832C0" w:rsidRDefault="00C832C0" w:rsidP="00A90E63">
      <w:pPr>
        <w:pStyle w:val="ac"/>
        <w:rPr>
          <w:rtl/>
        </w:rPr>
      </w:pPr>
      <w:r>
        <w:rPr>
          <w:rFonts w:hint="cs"/>
          <w:rtl/>
        </w:rPr>
        <w:t>نعم، لن تكون الأدلة اللفظية مستقلةً حينئذٍ عن الارتكاز العقلائي، وهذا ممّا لا ضير فيه، بعد أن كان استدلالنا بمجموع النوعين من الأدلة، كما هو ظاهر.</w:t>
      </w:r>
    </w:p>
    <w:p w:rsidR="00C832C0" w:rsidRDefault="00C832C0" w:rsidP="00A90E63">
      <w:pPr>
        <w:pStyle w:val="ac"/>
        <w:rPr>
          <w:b/>
          <w:bCs/>
          <w:rtl/>
        </w:rPr>
      </w:pPr>
      <w:r>
        <w:rPr>
          <w:rFonts w:hint="cs"/>
          <w:b/>
          <w:bCs/>
          <w:rtl/>
        </w:rPr>
        <w:t xml:space="preserve">الثانية: </w:t>
      </w:r>
      <w:r>
        <w:rPr>
          <w:rFonts w:hint="cs"/>
          <w:rtl/>
        </w:rPr>
        <w:t>إن هذه الإطلاقات منصرفة إلى الرجل، لعدم معهودية تصدّي النساء لشؤون الإفتاء، ومعه لا مجال للتمسّك بها، فإن الانصراف يهدم الإطلاق، كما هو المقرّر في أصول الفقه</w:t>
      </w:r>
      <w:r w:rsidRPr="00815C4C">
        <w:rPr>
          <w:rFonts w:cs="Taher" w:hint="cs"/>
          <w:vertAlign w:val="superscript"/>
          <w:rtl/>
        </w:rPr>
        <w:t>(</w:t>
      </w:r>
      <w:r w:rsidRPr="00815C4C">
        <w:rPr>
          <w:rFonts w:cs="Taher"/>
          <w:vertAlign w:val="superscript"/>
          <w:rtl/>
        </w:rPr>
        <w:footnoteReference w:id="324"/>
      </w:r>
      <w:r w:rsidRPr="00815C4C">
        <w:rPr>
          <w:rFonts w:cs="Taher" w:hint="cs"/>
          <w:vertAlign w:val="superscript"/>
          <w:rtl/>
        </w:rPr>
        <w:t>)</w:t>
      </w:r>
      <w:r>
        <w:rPr>
          <w:rFonts w:hint="cs"/>
          <w:rtl/>
        </w:rPr>
        <w:t>.</w:t>
      </w:r>
    </w:p>
    <w:p w:rsidR="00C832C0" w:rsidRDefault="00C832C0" w:rsidP="00A90E63">
      <w:pPr>
        <w:pStyle w:val="ac"/>
        <w:rPr>
          <w:rtl/>
        </w:rPr>
      </w:pPr>
      <w:r>
        <w:rPr>
          <w:rFonts w:hint="cs"/>
          <w:b/>
          <w:bCs/>
          <w:rtl/>
        </w:rPr>
        <w:t xml:space="preserve">والجواب: </w:t>
      </w:r>
      <w:r>
        <w:rPr>
          <w:rFonts w:hint="cs"/>
          <w:rtl/>
        </w:rPr>
        <w:t>إنه من غير الواضح منشأ دعوى الانصراف هذه، فهل يراد ادعاء أن مثل عنوان أهل الذكر أو ما جاءت فيه ضمائر منفصلة مثل«ارجعوا إلى من...» منصرف استعمالاً للرجال، وهو ما لا يخفى ضعفه ووهنه، وعليه فالانصراف المدّعى هنا ناشئ عن كثرة الفقهاء الذكور، مما يعني أن نشوءه منطلق من كثرة الوجود لا كثرة الاستعمال، وهو غير موجب لهدم الإطلاق على ما قرر في أصول الفقه أيضاً.</w:t>
      </w:r>
    </w:p>
    <w:p w:rsidR="00C832C0" w:rsidRDefault="00C832C0" w:rsidP="00A90E63">
      <w:pPr>
        <w:pStyle w:val="ac"/>
        <w:rPr>
          <w:rtl/>
        </w:rPr>
      </w:pPr>
      <w:r>
        <w:rPr>
          <w:rFonts w:hint="cs"/>
          <w:rtl/>
        </w:rPr>
        <w:t xml:space="preserve">هذا، مضافاً إلى أنّ هذه المناقشة </w:t>
      </w:r>
      <w:r w:rsidR="00A90E63">
        <w:rPr>
          <w:rFonts w:hint="cs"/>
          <w:rtl/>
        </w:rPr>
        <w:t>ـ</w:t>
      </w:r>
      <w:r>
        <w:rPr>
          <w:rFonts w:hint="cs"/>
          <w:rtl/>
        </w:rPr>
        <w:t xml:space="preserve"> إن تمّت </w:t>
      </w:r>
      <w:r w:rsidR="00A90E63">
        <w:rPr>
          <w:rFonts w:hint="cs"/>
          <w:rtl/>
        </w:rPr>
        <w:t>ـ</w:t>
      </w:r>
      <w:r>
        <w:rPr>
          <w:rFonts w:hint="cs"/>
          <w:rtl/>
        </w:rPr>
        <w:t xml:space="preserve"> فإنّما تتمّ في الأدلّة اللفظية التي يتصوّر فيها انصراف يهدم الإطلاق، لا في مثل الارتكاز العقلائي الدائر أمره بين الوجود واليقين وعدمهما، مما يلغي فيه معنى النص الإطلاقي حتى يجري الحديث فيه عن الانصراف، كما هو واضح.</w:t>
      </w:r>
    </w:p>
    <w:p w:rsidR="00C832C0" w:rsidRDefault="00C832C0" w:rsidP="00A90E63">
      <w:pPr>
        <w:pStyle w:val="ac"/>
        <w:rPr>
          <w:rtl/>
        </w:rPr>
      </w:pPr>
      <w:r>
        <w:rPr>
          <w:rFonts w:hint="cs"/>
          <w:b/>
          <w:bCs/>
          <w:rtl/>
        </w:rPr>
        <w:t>الثالثة:</w:t>
      </w:r>
      <w:r>
        <w:rPr>
          <w:rFonts w:hint="cs"/>
          <w:rtl/>
        </w:rPr>
        <w:t xml:space="preserve"> إن المستدلّ غفل عن العمومات العليا التي خصّصتها أدلّة شرعية التقليد نفسها، وهذه الأدلة هي عمومات ومطلقات النهي عن العمل بالظن، خرج منه الظن التقليدي (والمراد بالظن التقليدي هنا مطلق عدم العلم في مورد الرجوع إلى قول الغير)، وبقي الباقي تحت العموم، وعليه، فلو شك في مورد أنه مشمول لدليل التقليد، </w:t>
      </w:r>
      <w:r>
        <w:rPr>
          <w:rFonts w:hint="cs"/>
          <w:rtl/>
        </w:rPr>
        <w:lastRenderedPageBreak/>
        <w:t>كما في حال الأنثى، جرى الرجوع إلى عمومات النهي عن اتّباع الظن لإثبات عدم الجواز، مما يعني عدم شرعيّة التقليد بحسب النتيجة.</w:t>
      </w:r>
    </w:p>
    <w:p w:rsidR="00C832C0" w:rsidRDefault="00C832C0" w:rsidP="000218F4">
      <w:pPr>
        <w:pStyle w:val="ac"/>
        <w:spacing w:line="209" w:lineRule="auto"/>
        <w:rPr>
          <w:rtl/>
        </w:rPr>
      </w:pPr>
      <w:r>
        <w:rPr>
          <w:rFonts w:hint="cs"/>
          <w:rtl/>
        </w:rPr>
        <w:t>وبعبارة أخرى، المحرز تخصيص أدلة التقليد لعمومات النهي في مورد الرجل، ومعه يبقى غيره تحت العمومات ولا يكون مشمولاً لأدلّة الجواز</w:t>
      </w:r>
      <w:r w:rsidRPr="00815C4C">
        <w:rPr>
          <w:rFonts w:cs="Taher" w:hint="cs"/>
          <w:vertAlign w:val="superscript"/>
          <w:rtl/>
        </w:rPr>
        <w:t>(</w:t>
      </w:r>
      <w:r w:rsidRPr="00815C4C">
        <w:rPr>
          <w:rFonts w:cs="Taher"/>
          <w:vertAlign w:val="superscript"/>
          <w:rtl/>
        </w:rPr>
        <w:footnoteReference w:id="325"/>
      </w:r>
      <w:r w:rsidRPr="00815C4C">
        <w:rPr>
          <w:rFonts w:cs="Taher" w:hint="cs"/>
          <w:vertAlign w:val="superscript"/>
          <w:rtl/>
        </w:rPr>
        <w:t>)</w:t>
      </w:r>
      <w:r>
        <w:rPr>
          <w:rFonts w:hint="cs"/>
          <w:rtl/>
        </w:rPr>
        <w:t>.</w:t>
      </w:r>
    </w:p>
    <w:p w:rsidR="00C832C0" w:rsidRDefault="00C832C0" w:rsidP="000218F4">
      <w:pPr>
        <w:pStyle w:val="ac"/>
        <w:spacing w:line="209" w:lineRule="auto"/>
        <w:rPr>
          <w:rtl/>
        </w:rPr>
      </w:pPr>
      <w:r>
        <w:rPr>
          <w:rFonts w:hint="cs"/>
          <w:b/>
          <w:bCs/>
          <w:rtl/>
        </w:rPr>
        <w:t xml:space="preserve">ويرد عليه: </w:t>
      </w:r>
      <w:r>
        <w:rPr>
          <w:rFonts w:hint="cs"/>
          <w:rtl/>
        </w:rPr>
        <w:t>إن مفروض المستشكل وقوع الشك في أدلة التقليد ومدى دلالتها على الشمول لغير الرجل، وهو ما ينفيه المستدل بادعائه انعقاد الإطلاقات والعمومات على الشمول لغير الرجل مع عدم وجود انصراف فيها، أو قيام الارتكاز مع عدم الردع، ومعه كيف يمكن إدخال المرأة في دائرة عمومات النهي بعد التأكّد من شمول المخصّص المنفصل لها؟!</w:t>
      </w:r>
    </w:p>
    <w:p w:rsidR="00C832C0" w:rsidRDefault="00C832C0" w:rsidP="000218F4">
      <w:pPr>
        <w:pStyle w:val="ac"/>
        <w:spacing w:line="209" w:lineRule="auto"/>
        <w:rPr>
          <w:rtl/>
        </w:rPr>
      </w:pPr>
      <w:r>
        <w:rPr>
          <w:rFonts w:hint="cs"/>
          <w:b/>
          <w:bCs/>
          <w:rtl/>
        </w:rPr>
        <w:t>الرابعة:</w:t>
      </w:r>
      <w:r>
        <w:rPr>
          <w:rFonts w:hint="cs"/>
          <w:rtl/>
        </w:rPr>
        <w:t xml:space="preserve"> إنّ شرط التمسّك بالسيرة العقلائية كونها جاريةً عصر المعصومين، وهو أمرٌ غير محرزٍ في المقام، فلم تتصدّ المرأة للإفتاء في عصرهم حتى يكون سكوتهم حجةً وإمضاءً</w:t>
      </w:r>
      <w:r w:rsidRPr="00815C4C">
        <w:rPr>
          <w:rFonts w:cs="Taher" w:hint="cs"/>
          <w:vertAlign w:val="superscript"/>
          <w:rtl/>
        </w:rPr>
        <w:t>(</w:t>
      </w:r>
      <w:r w:rsidRPr="00815C4C">
        <w:rPr>
          <w:rFonts w:cs="Taher"/>
          <w:vertAlign w:val="superscript"/>
          <w:rtl/>
        </w:rPr>
        <w:footnoteReference w:id="326"/>
      </w:r>
      <w:r w:rsidRPr="00815C4C">
        <w:rPr>
          <w:rFonts w:cs="Taher" w:hint="cs"/>
          <w:vertAlign w:val="superscript"/>
          <w:rtl/>
        </w:rPr>
        <w:t>)</w:t>
      </w:r>
      <w:r>
        <w:rPr>
          <w:rFonts w:hint="cs"/>
          <w:rtl/>
        </w:rPr>
        <w:t>.</w:t>
      </w:r>
    </w:p>
    <w:p w:rsidR="00C832C0" w:rsidRDefault="00C832C0" w:rsidP="000218F4">
      <w:pPr>
        <w:pStyle w:val="ac"/>
        <w:spacing w:line="209" w:lineRule="auto"/>
        <w:rPr>
          <w:rtl/>
        </w:rPr>
      </w:pPr>
      <w:r>
        <w:rPr>
          <w:rFonts w:hint="cs"/>
          <w:b/>
          <w:bCs/>
          <w:rtl/>
        </w:rPr>
        <w:t>والجواب</w:t>
      </w:r>
      <w:r>
        <w:rPr>
          <w:rFonts w:hint="cs"/>
          <w:rtl/>
        </w:rPr>
        <w:t xml:space="preserve"> ما قرّروه في علم أصول الفقه بمباحث موسّعة نسبياً من أن العبرة في الإمضاء هو إمضاء النكتة العقلائية المرتكزة لا الواقع العملي للعقلاء، وهذا البناء الذهني العقلائي المرتكز كافٍ في إمضاء الشارع للسيرة، على ما حقّقوه مفصلاً، فالخلاف مبنائي.</w:t>
      </w:r>
    </w:p>
    <w:p w:rsidR="00C832C0" w:rsidRDefault="00C832C0" w:rsidP="000218F4">
      <w:pPr>
        <w:pStyle w:val="ac"/>
        <w:spacing w:line="209" w:lineRule="auto"/>
        <w:rPr>
          <w:rtl/>
        </w:rPr>
      </w:pPr>
      <w:r>
        <w:rPr>
          <w:rFonts w:hint="cs"/>
          <w:rtl/>
        </w:rPr>
        <w:t xml:space="preserve">وبهذا ظهر صحّة التمسّك بأدلة شرعية التقليد سيما منها الارتكاز العقلائي، نعم، هذا الدليل موقوف على عدم وجود مخصص أو مقيد للعمومات والمطلقات المجوّزة للتقليد، وكذلك على عدم وجود رادع عن السيرة والبناء العقلائي، وقد ذكر أنصار عدم جواز تقليد المرأة أدلة قالوا: إنها مخصصة أو مقيدة أو رادعة، فلابد من بحثها ليعرف </w:t>
      </w:r>
      <w:r w:rsidR="00A90E63">
        <w:rPr>
          <w:rFonts w:hint="cs"/>
          <w:rtl/>
        </w:rPr>
        <w:t>ـ</w:t>
      </w:r>
      <w:r>
        <w:rPr>
          <w:rFonts w:hint="cs"/>
          <w:rtl/>
        </w:rPr>
        <w:t xml:space="preserve"> عبر ذلك </w:t>
      </w:r>
      <w:r w:rsidR="00A90E63">
        <w:rPr>
          <w:rFonts w:hint="cs"/>
          <w:rtl/>
        </w:rPr>
        <w:t>ـ</w:t>
      </w:r>
      <w:r>
        <w:rPr>
          <w:rFonts w:hint="cs"/>
          <w:rtl/>
        </w:rPr>
        <w:t xml:space="preserve"> سلامة هذا الاستدلال.</w:t>
      </w:r>
    </w:p>
    <w:p w:rsidR="00C832C0" w:rsidRDefault="00C832C0" w:rsidP="000218F4">
      <w:pPr>
        <w:pStyle w:val="ac"/>
        <w:spacing w:line="202" w:lineRule="auto"/>
        <w:rPr>
          <w:rtl/>
        </w:rPr>
      </w:pPr>
      <w:r w:rsidRPr="00A90E63">
        <w:rPr>
          <w:b/>
          <w:bCs/>
          <w:rtl/>
        </w:rPr>
        <w:lastRenderedPageBreak/>
        <w:t>الدليل الثالث:</w:t>
      </w:r>
      <w:r>
        <w:rPr>
          <w:rFonts w:hint="cs"/>
          <w:b/>
          <w:bCs/>
          <w:rtl/>
        </w:rPr>
        <w:t xml:space="preserve"> </w:t>
      </w:r>
      <w:r>
        <w:rPr>
          <w:rFonts w:hint="cs"/>
          <w:rtl/>
        </w:rPr>
        <w:t>ما ذكره بعض الفقهاء المتأخّرين من التمسّك بصحيحة عبد الرحمن بن الحجاج عن أبي عبد الله</w:t>
      </w:r>
      <w:r w:rsidR="00A90E63">
        <w:rPr>
          <w:rFonts w:hint="cs"/>
          <w:rtl/>
        </w:rPr>
        <w:t>×</w:t>
      </w:r>
      <w:r>
        <w:rPr>
          <w:rFonts w:hint="cs"/>
          <w:rtl/>
        </w:rPr>
        <w:t xml:space="preserve"> </w:t>
      </w:r>
      <w:r w:rsidR="00A90E63">
        <w:rPr>
          <w:rFonts w:hint="cs"/>
          <w:rtl/>
        </w:rPr>
        <w:t>ـ</w:t>
      </w:r>
      <w:r>
        <w:rPr>
          <w:rFonts w:hint="cs"/>
          <w:rtl/>
        </w:rPr>
        <w:t xml:space="preserve"> في حديث </w:t>
      </w:r>
      <w:r w:rsidR="00A90E63">
        <w:rPr>
          <w:rFonts w:hint="cs"/>
          <w:rtl/>
        </w:rPr>
        <w:t>ـ</w:t>
      </w:r>
      <w:r>
        <w:rPr>
          <w:rFonts w:hint="cs"/>
          <w:rtl/>
        </w:rPr>
        <w:t xml:space="preserve"> قال: «قلت له: إن معنا صبياً مولوداً، فكيف نصنع به؟ فقال: مُر أمّه تلقى حميدة، فتسألها كيف تصنع بصبيانها؟ فأتتها، فسألتها كيف تصنع؟ فقالت: إذا كان يوم التروية فأحرموا عنه، وجرّدوه، وغسّلوه كما يجرّد المحرم، وقفوا به المواقف، فإذا كان يوم النحر فارموا عنه واحلقوا رأسه، ثم زوروا به البيت، ومُري الجارية أن تطوف به في البيت وبين الصفا والمروة»</w:t>
      </w:r>
      <w:r w:rsidRPr="00815C4C">
        <w:rPr>
          <w:rFonts w:cs="Taher" w:hint="cs"/>
          <w:vertAlign w:val="superscript"/>
          <w:rtl/>
        </w:rPr>
        <w:t>(</w:t>
      </w:r>
      <w:r w:rsidRPr="00815C4C">
        <w:rPr>
          <w:rFonts w:cs="Taher"/>
          <w:vertAlign w:val="superscript"/>
          <w:rtl/>
        </w:rPr>
        <w:footnoteReference w:id="327"/>
      </w:r>
      <w:r w:rsidRPr="00815C4C">
        <w:rPr>
          <w:rFonts w:cs="Taher" w:hint="cs"/>
          <w:vertAlign w:val="superscript"/>
          <w:rtl/>
        </w:rPr>
        <w:t>)</w:t>
      </w:r>
      <w:r>
        <w:rPr>
          <w:rFonts w:hint="cs"/>
          <w:rtl/>
        </w:rPr>
        <w:t>.</w:t>
      </w:r>
    </w:p>
    <w:p w:rsidR="00C832C0" w:rsidRDefault="00C832C0" w:rsidP="000218F4">
      <w:pPr>
        <w:pStyle w:val="ac"/>
        <w:spacing w:line="202" w:lineRule="auto"/>
        <w:rPr>
          <w:rtl/>
        </w:rPr>
      </w:pPr>
      <w:r>
        <w:rPr>
          <w:rFonts w:hint="cs"/>
          <w:rtl/>
        </w:rPr>
        <w:t>وتقريب الاستدلال بالرواية أن الإرجاع إلى حميدة كان إرجاعاً في الحكم لا في أخذ الحديث، مضافاً إلى أن حميدة نفسها بحسب الرواية عينها، لم تنقل للمرأة حديثاً أو ترو لها رواية، بل أعطتها حكماً شرعياً، مما يدلّل على أن المقام مقام إفتاءٍ وتقليد لا مقام روايةٍ أو نقل</w:t>
      </w:r>
      <w:r w:rsidRPr="00815C4C">
        <w:rPr>
          <w:rFonts w:cs="Taher" w:hint="cs"/>
          <w:vertAlign w:val="superscript"/>
          <w:rtl/>
        </w:rPr>
        <w:t>(</w:t>
      </w:r>
      <w:r w:rsidRPr="00815C4C">
        <w:rPr>
          <w:rFonts w:cs="Taher"/>
          <w:vertAlign w:val="superscript"/>
          <w:rtl/>
        </w:rPr>
        <w:footnoteReference w:id="328"/>
      </w:r>
      <w:r w:rsidRPr="00815C4C">
        <w:rPr>
          <w:rFonts w:cs="Taher" w:hint="cs"/>
          <w:vertAlign w:val="superscript"/>
          <w:rtl/>
        </w:rPr>
        <w:t>)</w:t>
      </w:r>
      <w:r>
        <w:rPr>
          <w:rFonts w:hint="cs"/>
          <w:rtl/>
        </w:rPr>
        <w:t>.</w:t>
      </w:r>
    </w:p>
    <w:p w:rsidR="00C832C0" w:rsidRDefault="00C832C0" w:rsidP="000218F4">
      <w:pPr>
        <w:pStyle w:val="ac"/>
        <w:spacing w:line="202" w:lineRule="auto"/>
        <w:rPr>
          <w:rtl/>
        </w:rPr>
      </w:pPr>
      <w:r>
        <w:rPr>
          <w:rFonts w:hint="cs"/>
          <w:b/>
          <w:bCs/>
          <w:rtl/>
        </w:rPr>
        <w:t xml:space="preserve"> ونوقش: </w:t>
      </w:r>
      <w:r>
        <w:rPr>
          <w:rFonts w:hint="cs"/>
          <w:rtl/>
        </w:rPr>
        <w:t>الاستدلال بالرواية بأنها غير ظاهرة في الحكم والإفتاء بقدر ما هي ظاهرة في نقل الحكم وتعليمه، فلا معنى للتسرية في غير محلّها</w:t>
      </w:r>
      <w:r w:rsidRPr="00815C4C">
        <w:rPr>
          <w:rFonts w:cs="Taher" w:hint="cs"/>
          <w:vertAlign w:val="superscript"/>
          <w:rtl/>
        </w:rPr>
        <w:t>(</w:t>
      </w:r>
      <w:r w:rsidRPr="00815C4C">
        <w:rPr>
          <w:rFonts w:cs="Taher"/>
          <w:vertAlign w:val="superscript"/>
          <w:rtl/>
        </w:rPr>
        <w:footnoteReference w:id="329"/>
      </w:r>
      <w:r w:rsidRPr="00815C4C">
        <w:rPr>
          <w:rFonts w:cs="Taher" w:hint="cs"/>
          <w:vertAlign w:val="superscript"/>
          <w:rtl/>
        </w:rPr>
        <w:t>)</w:t>
      </w:r>
      <w:r>
        <w:rPr>
          <w:rFonts w:hint="cs"/>
          <w:rtl/>
        </w:rPr>
        <w:t>.</w:t>
      </w:r>
    </w:p>
    <w:p w:rsidR="00C832C0" w:rsidRDefault="00C832C0" w:rsidP="000218F4">
      <w:pPr>
        <w:pStyle w:val="ac"/>
        <w:spacing w:line="202" w:lineRule="auto"/>
        <w:rPr>
          <w:rtl/>
        </w:rPr>
      </w:pPr>
      <w:r>
        <w:rPr>
          <w:rFonts w:hint="cs"/>
          <w:b/>
          <w:bCs/>
          <w:rtl/>
        </w:rPr>
        <w:t>ويجاب عنه</w:t>
      </w:r>
      <w:r>
        <w:rPr>
          <w:rFonts w:hint="cs"/>
          <w:rtl/>
        </w:rPr>
        <w:t xml:space="preserve"> بأن نقل الحكم لا على شكل رواية هو عين الإفتاء في تلك الأيام، أفهل كان سائر الفقهاء في تلك العصور ـ أي في النصف الأول من القرن الثاني </w:t>
      </w:r>
      <w:r w:rsidR="00A90E63">
        <w:rPr>
          <w:rFonts w:hint="cs"/>
          <w:rtl/>
        </w:rPr>
        <w:t>ـ</w:t>
      </w:r>
      <w:r>
        <w:rPr>
          <w:rFonts w:hint="cs"/>
          <w:rtl/>
        </w:rPr>
        <w:t xml:space="preserve"> يقومون في ممارساتهم الاجتهادية بأكثر من فهم النص الحرفي للمعصوم</w:t>
      </w:r>
      <w:r w:rsidR="00E470F2">
        <w:rPr>
          <w:rFonts w:hint="cs"/>
          <w:rtl/>
        </w:rPr>
        <w:t>×</w:t>
      </w:r>
      <w:r>
        <w:rPr>
          <w:rFonts w:hint="cs"/>
          <w:rtl/>
        </w:rPr>
        <w:t>، ثم ينقلون ما فهموه للناس؟!</w:t>
      </w:r>
    </w:p>
    <w:p w:rsidR="00C832C0" w:rsidRDefault="00C832C0" w:rsidP="000218F4">
      <w:pPr>
        <w:pStyle w:val="ac"/>
        <w:spacing w:line="202" w:lineRule="auto"/>
        <w:rPr>
          <w:rtl/>
        </w:rPr>
      </w:pPr>
      <w:r>
        <w:rPr>
          <w:rFonts w:hint="cs"/>
          <w:rtl/>
        </w:rPr>
        <w:t xml:space="preserve">إلا أن مثل هذه الرواية قاصرة في لغتها </w:t>
      </w:r>
      <w:r w:rsidR="00A90E63">
        <w:rPr>
          <w:rFonts w:hint="cs"/>
          <w:rtl/>
        </w:rPr>
        <w:t>ـ</w:t>
      </w:r>
      <w:r>
        <w:rPr>
          <w:rFonts w:hint="cs"/>
          <w:rtl/>
        </w:rPr>
        <w:t xml:space="preserve"> إنصافاً </w:t>
      </w:r>
      <w:r w:rsidR="00A90E63">
        <w:rPr>
          <w:rFonts w:hint="cs"/>
          <w:rtl/>
        </w:rPr>
        <w:t>ـ</w:t>
      </w:r>
      <w:r>
        <w:rPr>
          <w:rFonts w:hint="cs"/>
          <w:rtl/>
        </w:rPr>
        <w:t xml:space="preserve"> عن إفادة جواز تقليد المرأة، ذلك أن هناك احتمالاً </w:t>
      </w:r>
      <w:r w:rsidR="00A90E63">
        <w:rPr>
          <w:rFonts w:hint="cs"/>
          <w:rtl/>
        </w:rPr>
        <w:t>ـ</w:t>
      </w:r>
      <w:r>
        <w:rPr>
          <w:rFonts w:hint="cs"/>
          <w:rtl/>
        </w:rPr>
        <w:t xml:space="preserve"> استوقفني </w:t>
      </w:r>
      <w:r w:rsidR="00A90E63">
        <w:rPr>
          <w:rFonts w:hint="cs"/>
          <w:rtl/>
        </w:rPr>
        <w:t>ـ</w:t>
      </w:r>
      <w:r>
        <w:rPr>
          <w:rFonts w:hint="cs"/>
          <w:rtl/>
        </w:rPr>
        <w:t xml:space="preserve"> في أن يكون مراد الإمام</w:t>
      </w:r>
      <w:r w:rsidR="00E470F2">
        <w:rPr>
          <w:rFonts w:hint="cs"/>
          <w:rtl/>
        </w:rPr>
        <w:t>×</w:t>
      </w:r>
      <w:r>
        <w:rPr>
          <w:rFonts w:hint="cs"/>
          <w:rtl/>
        </w:rPr>
        <w:t>، أن تُسأل حميدة كيف تصنع هي بصبيانها، خصوصاً مع استخدام صيغة الجمع في الصبيان مع أنّ المرأة السائلة كان معها صبي واحد، لكن حميدة أجابت بصيغة الحكم دون صيغة الإخبار، وهذا معناه أن الإمام إنما أرجع إليها لتخبر ماذا تصنع هي مما عرفته عن الإمام</w:t>
      </w:r>
      <w:r w:rsidR="00E470F2">
        <w:rPr>
          <w:rFonts w:hint="cs"/>
          <w:rtl/>
        </w:rPr>
        <w:t>×</w:t>
      </w:r>
      <w:r>
        <w:rPr>
          <w:rFonts w:hint="cs"/>
          <w:rtl/>
        </w:rPr>
        <w:t>، ويكون</w:t>
      </w:r>
      <w:r w:rsidR="00E470F2">
        <w:rPr>
          <w:rFonts w:hint="cs"/>
          <w:rtl/>
        </w:rPr>
        <w:t>×</w:t>
      </w:r>
      <w:r>
        <w:rPr>
          <w:rFonts w:hint="cs"/>
          <w:rtl/>
        </w:rPr>
        <w:t xml:space="preserve"> </w:t>
      </w:r>
      <w:r>
        <w:rPr>
          <w:rFonts w:hint="cs"/>
          <w:rtl/>
        </w:rPr>
        <w:lastRenderedPageBreak/>
        <w:t>ممضياً فعلها هذا.</w:t>
      </w:r>
    </w:p>
    <w:p w:rsidR="00C832C0" w:rsidRDefault="00C832C0" w:rsidP="000218F4">
      <w:pPr>
        <w:pStyle w:val="ac"/>
        <w:spacing w:line="209" w:lineRule="auto"/>
        <w:rPr>
          <w:rtl/>
        </w:rPr>
      </w:pPr>
      <w:r w:rsidRPr="00A90E63">
        <w:rPr>
          <w:b/>
          <w:bCs/>
          <w:rtl/>
        </w:rPr>
        <w:t>الدليل الرابع:</w:t>
      </w:r>
      <w:r>
        <w:rPr>
          <w:rFonts w:hint="cs"/>
          <w:rtl/>
        </w:rPr>
        <w:t xml:space="preserve"> التمسّك بسكوت الأئمة</w:t>
      </w:r>
      <w:r w:rsidR="00E470F2">
        <w:rPr>
          <w:rFonts w:hint="cs"/>
          <w:rtl/>
        </w:rPr>
        <w:t>^</w:t>
      </w:r>
      <w:r>
        <w:rPr>
          <w:rFonts w:hint="cs"/>
          <w:rtl/>
        </w:rPr>
        <w:t xml:space="preserve"> عن إفتاء عائشة، بل عن اتفاق أهل السنّة على جواز تقليد المرأة، وقد كان الأمران </w:t>
      </w:r>
      <w:r w:rsidR="00A90E63">
        <w:rPr>
          <w:rFonts w:hint="cs"/>
          <w:rtl/>
        </w:rPr>
        <w:t>ـ</w:t>
      </w:r>
      <w:r>
        <w:rPr>
          <w:rFonts w:hint="cs"/>
          <w:rtl/>
        </w:rPr>
        <w:t xml:space="preserve"> أي إفتاء عائشة وإجماع أهل السنة على الجواز </w:t>
      </w:r>
      <w:r w:rsidR="00A90E63">
        <w:rPr>
          <w:rFonts w:hint="cs"/>
          <w:rtl/>
        </w:rPr>
        <w:t>ـ</w:t>
      </w:r>
      <w:r>
        <w:rPr>
          <w:rFonts w:hint="cs"/>
          <w:rtl/>
        </w:rPr>
        <w:t xml:space="preserve"> بمرأى من أهل البيت</w:t>
      </w:r>
      <w:r w:rsidR="00E470F2">
        <w:rPr>
          <w:rFonts w:hint="cs"/>
          <w:rtl/>
        </w:rPr>
        <w:t>^</w:t>
      </w:r>
      <w:r>
        <w:rPr>
          <w:rFonts w:hint="cs"/>
          <w:rtl/>
        </w:rPr>
        <w:t xml:space="preserve"> ومسمع، ولم يصدر منهم شيء، ولو صدر لوصلنا شيء منه، مما يدلّ بمجموعه على الإمضاء</w:t>
      </w:r>
      <w:r w:rsidRPr="00815C4C">
        <w:rPr>
          <w:rFonts w:cs="Taher" w:hint="cs"/>
          <w:vertAlign w:val="superscript"/>
          <w:rtl/>
        </w:rPr>
        <w:t>(</w:t>
      </w:r>
      <w:r w:rsidRPr="00815C4C">
        <w:rPr>
          <w:rFonts w:cs="Taher"/>
          <w:vertAlign w:val="superscript"/>
          <w:rtl/>
        </w:rPr>
        <w:footnoteReference w:id="330"/>
      </w:r>
      <w:r w:rsidRPr="00815C4C">
        <w:rPr>
          <w:rFonts w:cs="Taher" w:hint="cs"/>
          <w:vertAlign w:val="superscript"/>
          <w:rtl/>
        </w:rPr>
        <w:t>)</w:t>
      </w:r>
      <w:r>
        <w:rPr>
          <w:rFonts w:hint="cs"/>
          <w:rtl/>
        </w:rPr>
        <w:t>.</w:t>
      </w:r>
    </w:p>
    <w:p w:rsidR="00C832C0" w:rsidRDefault="00C832C0" w:rsidP="000218F4">
      <w:pPr>
        <w:pStyle w:val="ac"/>
        <w:spacing w:line="209" w:lineRule="auto"/>
        <w:rPr>
          <w:rtl/>
        </w:rPr>
      </w:pPr>
      <w:r>
        <w:rPr>
          <w:rFonts w:hint="cs"/>
          <w:rtl/>
        </w:rPr>
        <w:t>وهذا الاستدلال كأنه مبني على ما نسب إلى السيد البروجردي من أن الفقه الإمامي بمثابة الحاشية على فقه أهل السنة، بحيث يلزم الأئمة</w:t>
      </w:r>
      <w:r w:rsidR="00E470F2">
        <w:rPr>
          <w:rFonts w:hint="cs"/>
          <w:rtl/>
        </w:rPr>
        <w:t>^</w:t>
      </w:r>
      <w:r>
        <w:rPr>
          <w:rFonts w:hint="cs"/>
          <w:rtl/>
        </w:rPr>
        <w:t xml:space="preserve"> ببيان ما يخالف الحق في ذلك الفقه، فبعد افتراض إجماع الفقه السني على الجواز وسكوت الأئمة</w:t>
      </w:r>
      <w:r w:rsidR="00E470F2">
        <w:rPr>
          <w:rFonts w:hint="cs"/>
          <w:rtl/>
        </w:rPr>
        <w:t>^</w:t>
      </w:r>
      <w:r>
        <w:rPr>
          <w:rFonts w:hint="cs"/>
          <w:rtl/>
        </w:rPr>
        <w:t xml:space="preserve"> يعلم رضاهم بما اتفق عليه أهل السنة.</w:t>
      </w:r>
    </w:p>
    <w:p w:rsidR="00C832C0" w:rsidRDefault="00C832C0" w:rsidP="000218F4">
      <w:pPr>
        <w:pStyle w:val="ac"/>
        <w:spacing w:line="209" w:lineRule="auto"/>
        <w:rPr>
          <w:rtl/>
        </w:rPr>
      </w:pPr>
      <w:r>
        <w:rPr>
          <w:rFonts w:hint="cs"/>
          <w:b/>
          <w:bCs/>
          <w:rtl/>
        </w:rPr>
        <w:t>وقد يناقش</w:t>
      </w:r>
      <w:r>
        <w:rPr>
          <w:rFonts w:hint="cs"/>
          <w:rtl/>
        </w:rPr>
        <w:t xml:space="preserve"> هذا الدليل من ناحيتين:</w:t>
      </w:r>
    </w:p>
    <w:p w:rsidR="00C832C0" w:rsidRDefault="00C832C0" w:rsidP="000218F4">
      <w:pPr>
        <w:pStyle w:val="ac"/>
        <w:spacing w:line="209" w:lineRule="auto"/>
        <w:rPr>
          <w:rtl/>
        </w:rPr>
      </w:pPr>
      <w:r>
        <w:rPr>
          <w:rFonts w:hint="cs"/>
          <w:b/>
          <w:bCs/>
          <w:rtl/>
        </w:rPr>
        <w:t>الناحية الأولى:</w:t>
      </w:r>
      <w:r>
        <w:rPr>
          <w:rFonts w:hint="cs"/>
          <w:rtl/>
        </w:rPr>
        <w:t xml:space="preserve"> إن الشقّ الثاني منه، وهو إجماع أهل السنّة على الجواز بمرأى من أهل البيت، يمكن التوقّف فيه، فالمعلومات التاريخية التي وصلتنا حول هذا الموضوع لا تحكي عن الموقف السنّي في تلك الحقبة بوضوح، نعم، هي تحكي عن بدايات القرن الرابع الهجري تقريباً فما بعد، وهذا يعني نهايات الغيبة الصغرى، ومن ثم لا دليل على أنّ موضوعاً من هذا القبيل كان مطروحاً على بساط البحث الجادّ في القرون الثلاثة الهجرية الأولى، نعم، نُسب إلى أبي حنيفة كلام في المرأة القاضية، لكنه </w:t>
      </w:r>
      <w:r w:rsidR="00A90E63">
        <w:rPr>
          <w:rFonts w:hint="cs"/>
          <w:rtl/>
        </w:rPr>
        <w:t>ـ</w:t>
      </w:r>
      <w:r>
        <w:rPr>
          <w:rFonts w:hint="cs"/>
          <w:rtl/>
        </w:rPr>
        <w:t xml:space="preserve"> على تقدير صدوره </w:t>
      </w:r>
      <w:r w:rsidR="00A90E63">
        <w:rPr>
          <w:rFonts w:hint="cs"/>
          <w:rtl/>
        </w:rPr>
        <w:t>ـ</w:t>
      </w:r>
      <w:r>
        <w:rPr>
          <w:rFonts w:hint="cs"/>
          <w:rtl/>
        </w:rPr>
        <w:t xml:space="preserve"> لا يعلم أنّه بحيث كان رائجاً يستدعي تصدّي الأئمة له.</w:t>
      </w:r>
    </w:p>
    <w:p w:rsidR="00C832C0" w:rsidRDefault="00C832C0" w:rsidP="000218F4">
      <w:pPr>
        <w:pStyle w:val="ac"/>
        <w:rPr>
          <w:rtl/>
        </w:rPr>
      </w:pPr>
      <w:r>
        <w:rPr>
          <w:rFonts w:hint="cs"/>
          <w:rtl/>
        </w:rPr>
        <w:t>وبعبارةٍ أخرى، يحتمل أن لا يكون هذا الموضوع في تلك الحقبة مثاراً أصلاً في الوسط السنّي بشكل جادّ، أو يكون مثاراً على نطاق محدود دون أن يدخل ساحة التداول العام، والشواهد التاريخية لا تؤكّد ذلك بحجم اليقين به، وإن كان الاحتمال المعتدّ به موجوداً، ومعنى ذلك عدم إمكان التمسّك بالسكوت لإثبات الإمضاء، كما هو معلوم.</w:t>
      </w:r>
    </w:p>
    <w:p w:rsidR="00C832C0" w:rsidRDefault="00C832C0" w:rsidP="000218F4">
      <w:pPr>
        <w:pStyle w:val="ac"/>
        <w:spacing w:line="199" w:lineRule="auto"/>
        <w:rPr>
          <w:rtl/>
        </w:rPr>
      </w:pPr>
      <w:r>
        <w:rPr>
          <w:rFonts w:hint="cs"/>
          <w:b/>
          <w:bCs/>
          <w:rtl/>
        </w:rPr>
        <w:lastRenderedPageBreak/>
        <w:t>الناحية الثانية:</w:t>
      </w:r>
      <w:r>
        <w:rPr>
          <w:rFonts w:hint="cs"/>
          <w:rtl/>
        </w:rPr>
        <w:t xml:space="preserve"> إنه من غير الضروري أن يكون ردع الأئمة</w:t>
      </w:r>
      <w:r w:rsidR="00E470F2">
        <w:rPr>
          <w:rFonts w:hint="cs"/>
          <w:rtl/>
        </w:rPr>
        <w:t>^</w:t>
      </w:r>
      <w:r>
        <w:rPr>
          <w:rFonts w:hint="cs"/>
          <w:rtl/>
        </w:rPr>
        <w:t xml:space="preserve"> عن خطأ ما في الثقافة الإسلامية والفقه السنّي عبر إصدار نصّ معارض لمضمون ما اتفق عليه أهل السنّة أو فعلته بعض نساء الصدر الأول، فإن هذا أحد أشكال الردع وبيان الخطأ، وثمة شكل آخر يتبلور عبر تكوين وعي متشرّعي لا يسمح بانعقاد حكم من قبيل ما اتفق عليه الفقه السنّي، بل يراه بارتكازه منافياً للشريعة، وهذا كافٍ في تحقيق الردع وبيان الحق، ومن غير البعيد أن يكون أهل البيت</w:t>
      </w:r>
      <w:r w:rsidR="00E470F2">
        <w:rPr>
          <w:rFonts w:hint="cs"/>
          <w:rtl/>
        </w:rPr>
        <w:t>^</w:t>
      </w:r>
      <w:r>
        <w:t xml:space="preserve"> </w:t>
      </w:r>
      <w:r>
        <w:rPr>
          <w:rFonts w:hint="cs"/>
          <w:rtl/>
        </w:rPr>
        <w:t xml:space="preserve">قد استخدموا هذا السبيل عبر عشرات من النصوص التي تفيد تنحّي المرأة عن مثل هذه المجالات، مثل إمامة الجماعة، ومنصب القضاء، والشهادة، إضافة إلى ما دلّ على عدم تولّيها شيئاً، وما دلّ على ضعفها، ونقصان عقلها، وعدم مشاورتها وما شابه ذلك، فإنّ هذا الحجم الهائل من النصوص يمكنه </w:t>
      </w:r>
      <w:r w:rsidR="00A90E63">
        <w:rPr>
          <w:rFonts w:hint="cs"/>
          <w:rtl/>
        </w:rPr>
        <w:t>ـ</w:t>
      </w:r>
      <w:r>
        <w:rPr>
          <w:rFonts w:hint="cs"/>
          <w:rtl/>
        </w:rPr>
        <w:t xml:space="preserve"> بتراكمه </w:t>
      </w:r>
      <w:r w:rsidR="00A90E63">
        <w:rPr>
          <w:rFonts w:hint="cs"/>
          <w:rtl/>
        </w:rPr>
        <w:t>ـ</w:t>
      </w:r>
      <w:r>
        <w:rPr>
          <w:rFonts w:hint="cs"/>
          <w:rtl/>
        </w:rPr>
        <w:t xml:space="preserve"> أن يساهم في تكوين ارتكاز متشرّعي رادع بنفسه، يكون له من قوّة الردع ما قد لا يكون لنصّ صريح.</w:t>
      </w:r>
    </w:p>
    <w:p w:rsidR="00C832C0" w:rsidRDefault="00C832C0" w:rsidP="000218F4">
      <w:pPr>
        <w:pStyle w:val="ac"/>
        <w:spacing w:line="202" w:lineRule="auto"/>
        <w:rPr>
          <w:rtl/>
        </w:rPr>
      </w:pPr>
      <w:r>
        <w:rPr>
          <w:rFonts w:hint="cs"/>
          <w:b/>
          <w:bCs/>
          <w:rtl/>
        </w:rPr>
        <w:t>وما قلناه في هذه المناقشة</w:t>
      </w:r>
      <w:r>
        <w:rPr>
          <w:rFonts w:hint="cs"/>
          <w:rtl/>
        </w:rPr>
        <w:t xml:space="preserve"> بناحيتها الثانية في غاية المتانة من وجهة نظرنا، بيد أنها تفتقر إلى إثبات مفرداتها، وسوف نتعرّض لاحقاً لهذه المفردات التي قد يدّعى مساهمتها في تكوين بناء متشرعي، لنرى مدى جدوائيّتها في ذلك، بل حتى لو فرض صحّة هذه المفردات، ليس هناك ما يؤكّد وجود ردع ارتكازي متشرعي نتيجتها، ذلك أن هذه النصوص عرفتها الساحة السنّية </w:t>
      </w:r>
      <w:r w:rsidR="00A90E63">
        <w:rPr>
          <w:rFonts w:hint="cs"/>
          <w:rtl/>
        </w:rPr>
        <w:t>ـ</w:t>
      </w:r>
      <w:r>
        <w:rPr>
          <w:rFonts w:hint="cs"/>
          <w:rtl/>
        </w:rPr>
        <w:t xml:space="preserve"> ولو بعد حقبة الحضور </w:t>
      </w:r>
      <w:r w:rsidR="00A90E63">
        <w:rPr>
          <w:rFonts w:hint="cs"/>
          <w:rtl/>
        </w:rPr>
        <w:t>ـ</w:t>
      </w:r>
      <w:r>
        <w:rPr>
          <w:rFonts w:hint="cs"/>
          <w:rtl/>
        </w:rPr>
        <w:t xml:space="preserve"> ربما شبه ما عرفها المناخ الشيعي، والمفترض أنها لم تفعل فعلها في تكوين ردع ارتكازي في المجتمع الديني السنّي ما قد ينفي ضمانها تحقيق الردع في المجتمع الشيعي، ولا أقلّ من الشك القويّ المضعف للمناقشة.</w:t>
      </w:r>
    </w:p>
    <w:p w:rsidR="00C832C0" w:rsidRDefault="00C832C0" w:rsidP="00F04A58">
      <w:pPr>
        <w:pStyle w:val="ac"/>
        <w:rPr>
          <w:rtl/>
        </w:rPr>
      </w:pPr>
      <w:r w:rsidRPr="00F04A58">
        <w:rPr>
          <w:b/>
          <w:bCs/>
          <w:rtl/>
        </w:rPr>
        <w:t>الدليل الخامس:</w:t>
      </w:r>
      <w:r>
        <w:rPr>
          <w:rFonts w:hint="cs"/>
          <w:rtl/>
        </w:rPr>
        <w:t xml:space="preserve"> التمسّك بما دلّ على حجية الرواية، حيث صرّحوا فيها بعدم الفرق بين الرجل والمرأة</w:t>
      </w:r>
      <w:r w:rsidRPr="00815C4C">
        <w:rPr>
          <w:rFonts w:cs="Taher" w:hint="cs"/>
          <w:vertAlign w:val="superscript"/>
          <w:rtl/>
        </w:rPr>
        <w:t>(</w:t>
      </w:r>
      <w:r w:rsidRPr="00815C4C">
        <w:rPr>
          <w:rFonts w:cs="Taher"/>
          <w:vertAlign w:val="superscript"/>
          <w:rtl/>
        </w:rPr>
        <w:footnoteReference w:id="331"/>
      </w:r>
      <w:r w:rsidRPr="00815C4C">
        <w:rPr>
          <w:rFonts w:cs="Taher" w:hint="cs"/>
          <w:vertAlign w:val="superscript"/>
          <w:rtl/>
        </w:rPr>
        <w:t>)</w:t>
      </w:r>
      <w:r>
        <w:rPr>
          <w:rFonts w:hint="cs"/>
          <w:rtl/>
        </w:rPr>
        <w:t xml:space="preserve">، مع ادعاء أن الملاك في باب الرواية والإفتاء واحد، والوجه في هذا الكلام أن أدلّة حجية الرواية مثل آية النفر وسؤال أهل الذكر هي بعينها أدلّة حجية </w:t>
      </w:r>
      <w:r>
        <w:rPr>
          <w:rFonts w:hint="cs"/>
          <w:rtl/>
        </w:rPr>
        <w:lastRenderedPageBreak/>
        <w:t>الفتوى، فكيف يمكن التمسّك بإطلاقها في الرواية لجواز رواية المرأة دون الفتوى حتى يحكم بعدم جواز تقليدها؟!</w:t>
      </w:r>
      <w:r w:rsidRPr="00815C4C">
        <w:rPr>
          <w:rFonts w:cs="Taher" w:hint="cs"/>
          <w:vertAlign w:val="superscript"/>
          <w:rtl/>
        </w:rPr>
        <w:t>(</w:t>
      </w:r>
      <w:r w:rsidRPr="00815C4C">
        <w:rPr>
          <w:rFonts w:cs="Taher"/>
          <w:vertAlign w:val="superscript"/>
          <w:rtl/>
        </w:rPr>
        <w:footnoteReference w:id="332"/>
      </w:r>
      <w:r w:rsidRPr="00815C4C">
        <w:rPr>
          <w:rFonts w:cs="Taher" w:hint="cs"/>
          <w:vertAlign w:val="superscript"/>
          <w:rtl/>
        </w:rPr>
        <w:t>)</w:t>
      </w:r>
      <w:r>
        <w:rPr>
          <w:rFonts w:hint="cs"/>
          <w:rtl/>
        </w:rPr>
        <w:t>.</w:t>
      </w:r>
    </w:p>
    <w:p w:rsidR="00C832C0" w:rsidRDefault="00C832C0" w:rsidP="000218F4">
      <w:pPr>
        <w:pStyle w:val="ac"/>
        <w:spacing w:line="199" w:lineRule="auto"/>
        <w:rPr>
          <w:rtl/>
        </w:rPr>
      </w:pPr>
      <w:r>
        <w:rPr>
          <w:rFonts w:hint="cs"/>
          <w:rtl/>
        </w:rPr>
        <w:t xml:space="preserve">إلا أن هذا الوجه قابل للمناقشة، وذلك: </w:t>
      </w:r>
    </w:p>
    <w:p w:rsidR="00C832C0" w:rsidRDefault="00C832C0" w:rsidP="000218F4">
      <w:pPr>
        <w:pStyle w:val="ac"/>
        <w:spacing w:line="199" w:lineRule="auto"/>
        <w:rPr>
          <w:rtl/>
        </w:rPr>
      </w:pPr>
      <w:r>
        <w:rPr>
          <w:rFonts w:hint="cs"/>
          <w:b/>
          <w:bCs/>
          <w:rtl/>
        </w:rPr>
        <w:t>أولاً:</w:t>
      </w:r>
      <w:r>
        <w:rPr>
          <w:rFonts w:hint="cs"/>
          <w:rtl/>
        </w:rPr>
        <w:t xml:space="preserve"> إن أدلّة الفتوى والرواية مختلفة على بعض المباني، فآية النبأ من أهمّ الأدلة اللفظية عند كثير من الأصوليين على حجية الخبر، إلا أنه لا شأن لها بالفتوى، فلا دليل على وحدة المدرك فيهما دائماً.</w:t>
      </w:r>
    </w:p>
    <w:p w:rsidR="00C832C0" w:rsidRDefault="00C832C0" w:rsidP="000218F4">
      <w:pPr>
        <w:pStyle w:val="ac"/>
        <w:spacing w:line="199" w:lineRule="auto"/>
        <w:rPr>
          <w:rtl/>
        </w:rPr>
      </w:pPr>
      <w:r>
        <w:rPr>
          <w:rFonts w:hint="cs"/>
          <w:b/>
          <w:bCs/>
          <w:rtl/>
        </w:rPr>
        <w:t>ثانياً:</w:t>
      </w:r>
      <w:r>
        <w:rPr>
          <w:rFonts w:hint="cs"/>
          <w:rtl/>
        </w:rPr>
        <w:t xml:space="preserve"> إن بناء العقلاء وإن قام على الأخذ بالخبر والفتوى معاً، إلا أن نكتة الملاك مختلفة، فتلك من باب الظن بإصابة الواقع، وهذا من باب الرجوع إلى أهل الخبرة، ومن الواضح أن الخبر يؤخذ به من باب حسيّته، أما قول أهل الخبرة فيؤخذ به من باب حدسيّته، ولعلّ وحدة الجانب الحسّي بين الرجل والمرأة يجيز الأخذ بروايتها، فيما تتدخل نكتة الحدسيّة للمنع الشرعي عنه، انطلاقاً من رؤية شرعية لعقل المرأة ورأيها أو انطلاقاً من رؤية لمستلزمات وظيفة المرجعية من الاختلاط وغيره.</w:t>
      </w:r>
    </w:p>
    <w:p w:rsidR="00C832C0" w:rsidRDefault="00C832C0" w:rsidP="000218F4">
      <w:pPr>
        <w:pStyle w:val="ac"/>
        <w:spacing w:line="199" w:lineRule="auto"/>
        <w:rPr>
          <w:rtl/>
        </w:rPr>
      </w:pPr>
      <w:r>
        <w:rPr>
          <w:rFonts w:hint="cs"/>
          <w:rtl/>
        </w:rPr>
        <w:t xml:space="preserve">وبعبارةٍ ثانية، وحدة الدليل تفيد اقتضاء الإطلاق في الفتوى والرواية، وهذا ممّا يسلّم به الجميع أن مثل السيرة العقلائية </w:t>
      </w:r>
      <w:r w:rsidR="00A90E63">
        <w:rPr>
          <w:rFonts w:hint="cs"/>
          <w:rtl/>
        </w:rPr>
        <w:t>ـ</w:t>
      </w:r>
      <w:r>
        <w:rPr>
          <w:rFonts w:hint="cs"/>
          <w:rtl/>
        </w:rPr>
        <w:t xml:space="preserve"> على الأقل </w:t>
      </w:r>
      <w:r w:rsidR="00A90E63">
        <w:rPr>
          <w:rFonts w:hint="cs"/>
          <w:rtl/>
        </w:rPr>
        <w:t>ـ</w:t>
      </w:r>
      <w:r>
        <w:rPr>
          <w:rFonts w:hint="cs"/>
          <w:rtl/>
        </w:rPr>
        <w:t xml:space="preserve"> شاملٌ في الموردين للرجل والمرأة، إلا أن هذا لا يمنع من ورود دليل خاص في الفتوى دونه في الرواية؛ لاختلاف خصوصيات الحسيّة والحدسيّة أو التصدّي لمنصب الإفتاء دونه في الرواية، وعليه فلم يقدّم هذا الدليل شيئاً علاوةً على ما اقتضاه الدليل الثاني المتقدّم، فتبقى دلالته موقوفةً على عدم ورود دليل مخصّص للعمومات أو رادع للسيرة.</w:t>
      </w:r>
    </w:p>
    <w:p w:rsidR="00C832C0" w:rsidRDefault="00C832C0" w:rsidP="000218F4">
      <w:pPr>
        <w:pStyle w:val="ac"/>
        <w:rPr>
          <w:rtl/>
        </w:rPr>
      </w:pPr>
      <w:r>
        <w:rPr>
          <w:rFonts w:hint="cs"/>
          <w:rtl/>
        </w:rPr>
        <w:t xml:space="preserve">نعم، ينفع هذا الاستدلال لردّ دعوى الانصراف إلى الرجل </w:t>
      </w:r>
      <w:r w:rsidR="00A90E63">
        <w:rPr>
          <w:rFonts w:hint="cs"/>
          <w:rtl/>
        </w:rPr>
        <w:t>ـ</w:t>
      </w:r>
      <w:r>
        <w:rPr>
          <w:rFonts w:hint="cs"/>
          <w:rtl/>
        </w:rPr>
        <w:t xml:space="preserve"> في الجملة </w:t>
      </w:r>
      <w:r w:rsidR="00A90E63">
        <w:rPr>
          <w:rFonts w:hint="cs"/>
          <w:rtl/>
        </w:rPr>
        <w:t>ـ</w:t>
      </w:r>
      <w:r>
        <w:rPr>
          <w:rFonts w:hint="cs"/>
          <w:rtl/>
        </w:rPr>
        <w:t xml:space="preserve"> في خصوص الفتوى، فيصلح نقداً عليهم بعدم ادعائهم الانصراف في أمر الرواية.</w:t>
      </w:r>
    </w:p>
    <w:p w:rsidR="00C832C0" w:rsidRDefault="00C832C0" w:rsidP="000218F4">
      <w:pPr>
        <w:pStyle w:val="ac"/>
        <w:rPr>
          <w:rtl/>
        </w:rPr>
      </w:pPr>
      <w:r>
        <w:rPr>
          <w:rFonts w:hint="cs"/>
          <w:b/>
          <w:bCs/>
          <w:rtl/>
        </w:rPr>
        <w:t>والمتحصّل</w:t>
      </w:r>
      <w:r>
        <w:rPr>
          <w:rFonts w:hint="cs"/>
          <w:rtl/>
        </w:rPr>
        <w:t xml:space="preserve"> من أدلّة شرعيّة تقليد المرأة صحّة الدليلين الأول والثاني على الأقل، لإثبات جواز تقليدها نفسها وتقليد غيرها لها، على أن يكون ذلك </w:t>
      </w:r>
      <w:r w:rsidR="00A90E63">
        <w:rPr>
          <w:rFonts w:hint="cs"/>
          <w:rtl/>
        </w:rPr>
        <w:t>ـ</w:t>
      </w:r>
      <w:r>
        <w:rPr>
          <w:rFonts w:hint="cs"/>
          <w:rtl/>
        </w:rPr>
        <w:t xml:space="preserve"> في الثاني </w:t>
      </w:r>
      <w:r w:rsidR="00A90E63">
        <w:rPr>
          <w:rFonts w:hint="cs"/>
          <w:rtl/>
        </w:rPr>
        <w:t>ـ</w:t>
      </w:r>
      <w:r>
        <w:rPr>
          <w:rFonts w:hint="cs"/>
          <w:rtl/>
        </w:rPr>
        <w:t xml:space="preserve"> موقوفاً </w:t>
      </w:r>
      <w:r>
        <w:rPr>
          <w:rFonts w:hint="cs"/>
          <w:rtl/>
        </w:rPr>
        <w:lastRenderedPageBreak/>
        <w:t>على معرفة حال أدلّة الطرف الآخر.</w:t>
      </w:r>
    </w:p>
    <w:p w:rsidR="00F04A58" w:rsidRPr="000218F4" w:rsidRDefault="00F04A58" w:rsidP="000218F4">
      <w:pPr>
        <w:pStyle w:val="afffffc"/>
        <w:rPr>
          <w:sz w:val="18"/>
          <w:szCs w:val="16"/>
          <w:rtl/>
        </w:rPr>
      </w:pPr>
    </w:p>
    <w:p w:rsidR="00C832C0" w:rsidRDefault="00C832C0" w:rsidP="00F04A58">
      <w:pPr>
        <w:pStyle w:val="1"/>
        <w:rPr>
          <w:rtl/>
        </w:rPr>
      </w:pPr>
      <w:bookmarkStart w:id="282" w:name="_Toc275128004"/>
      <w:r>
        <w:rPr>
          <w:rFonts w:hint="cs"/>
          <w:rtl/>
        </w:rPr>
        <w:t>نظرية بطلان تقليد المرأة أو شرطية الرجوليّة في المرجعيّة</w:t>
      </w:r>
      <w:r w:rsidR="00E470F2">
        <w:rPr>
          <w:rFonts w:hint="cs"/>
          <w:rtl/>
        </w:rPr>
        <w:t>، قراءة نقدية</w:t>
      </w:r>
      <w:bookmarkEnd w:id="282"/>
    </w:p>
    <w:p w:rsidR="00C832C0" w:rsidRDefault="00C832C0" w:rsidP="00E470F2">
      <w:pPr>
        <w:pStyle w:val="ac"/>
        <w:rPr>
          <w:rtl/>
        </w:rPr>
      </w:pPr>
      <w:r>
        <w:rPr>
          <w:rFonts w:hint="cs"/>
          <w:rtl/>
        </w:rPr>
        <w:t>وجملة الوجوه المذكورة أو التي يمكن أن تذكر لتأييد هذه النظرية ما يلي:</w:t>
      </w:r>
    </w:p>
    <w:p w:rsidR="00C832C0" w:rsidRDefault="00C832C0" w:rsidP="000218F4">
      <w:pPr>
        <w:pStyle w:val="ac"/>
        <w:spacing w:line="202" w:lineRule="auto"/>
        <w:rPr>
          <w:rtl/>
        </w:rPr>
      </w:pPr>
      <w:r w:rsidRPr="00F04A58">
        <w:rPr>
          <w:b/>
          <w:bCs/>
          <w:rtl/>
        </w:rPr>
        <w:t>الوجه الأول:</w:t>
      </w:r>
      <w:r>
        <w:rPr>
          <w:rFonts w:hint="cs"/>
          <w:rtl/>
        </w:rPr>
        <w:t xml:space="preserve"> التمسّك بالإجماع المدّعى في لسان الشهيد الثاني</w:t>
      </w:r>
      <w:r w:rsidR="00F04A58">
        <w:rPr>
          <w:rFonts w:hint="cs"/>
          <w:szCs w:val="36"/>
          <w:rtl/>
        </w:rPr>
        <w:t>&amp;</w:t>
      </w:r>
      <w:r>
        <w:rPr>
          <w:rFonts w:hint="cs"/>
          <w:rtl/>
        </w:rPr>
        <w:t xml:space="preserve"> على ما جاء في عبارة الروضة</w:t>
      </w:r>
      <w:r w:rsidRPr="00815C4C">
        <w:rPr>
          <w:rFonts w:cs="Taher" w:hint="cs"/>
          <w:vertAlign w:val="superscript"/>
          <w:rtl/>
        </w:rPr>
        <w:t>(</w:t>
      </w:r>
      <w:r w:rsidRPr="00815C4C">
        <w:rPr>
          <w:rFonts w:cs="Taher"/>
          <w:vertAlign w:val="superscript"/>
          <w:rtl/>
        </w:rPr>
        <w:footnoteReference w:id="333"/>
      </w:r>
      <w:r w:rsidRPr="00815C4C">
        <w:rPr>
          <w:rFonts w:cs="Taher" w:hint="cs"/>
          <w:vertAlign w:val="superscript"/>
          <w:rtl/>
        </w:rPr>
        <w:t>)</w:t>
      </w:r>
      <w:r>
        <w:rPr>
          <w:rFonts w:hint="cs"/>
          <w:rtl/>
        </w:rPr>
        <w:t>، إضافةً إلى القول بأنه المشهور المعروف عند الإمامية</w:t>
      </w:r>
      <w:r w:rsidRPr="00815C4C">
        <w:rPr>
          <w:rFonts w:cs="Taher" w:hint="cs"/>
          <w:vertAlign w:val="superscript"/>
          <w:rtl/>
        </w:rPr>
        <w:t>(</w:t>
      </w:r>
      <w:r w:rsidRPr="00815C4C">
        <w:rPr>
          <w:rFonts w:cs="Taher"/>
          <w:vertAlign w:val="superscript"/>
          <w:rtl/>
        </w:rPr>
        <w:footnoteReference w:id="334"/>
      </w:r>
      <w:r w:rsidRPr="00815C4C">
        <w:rPr>
          <w:rFonts w:cs="Taher" w:hint="cs"/>
          <w:vertAlign w:val="superscript"/>
          <w:rtl/>
        </w:rPr>
        <w:t>)</w:t>
      </w:r>
      <w:r>
        <w:rPr>
          <w:rFonts w:hint="cs"/>
          <w:rtl/>
        </w:rPr>
        <w:t>، أو المتسالم</w:t>
      </w:r>
      <w:r w:rsidRPr="00815C4C">
        <w:rPr>
          <w:rFonts w:cs="Taher" w:hint="cs"/>
          <w:vertAlign w:val="superscript"/>
          <w:rtl/>
        </w:rPr>
        <w:t>(</w:t>
      </w:r>
      <w:r w:rsidRPr="00815C4C">
        <w:rPr>
          <w:rFonts w:cs="Taher"/>
          <w:vertAlign w:val="superscript"/>
          <w:rtl/>
        </w:rPr>
        <w:footnoteReference w:id="335"/>
      </w:r>
      <w:r w:rsidRPr="00815C4C">
        <w:rPr>
          <w:rFonts w:cs="Taher" w:hint="cs"/>
          <w:vertAlign w:val="superscript"/>
          <w:rtl/>
        </w:rPr>
        <w:t>)</w:t>
      </w:r>
      <w:r>
        <w:rPr>
          <w:rFonts w:hint="cs"/>
          <w:rtl/>
        </w:rPr>
        <w:t>.</w:t>
      </w:r>
    </w:p>
    <w:p w:rsidR="00C832C0" w:rsidRDefault="00C832C0" w:rsidP="000218F4">
      <w:pPr>
        <w:pStyle w:val="ac"/>
        <w:spacing w:line="202" w:lineRule="auto"/>
        <w:rPr>
          <w:rtl/>
        </w:rPr>
      </w:pPr>
      <w:r>
        <w:rPr>
          <w:rFonts w:hint="cs"/>
          <w:b/>
          <w:bCs/>
          <w:rtl/>
        </w:rPr>
        <w:t>ويناقش أولاً:</w:t>
      </w:r>
      <w:r>
        <w:rPr>
          <w:rFonts w:hint="cs"/>
          <w:rtl/>
        </w:rPr>
        <w:t xml:space="preserve"> إن البحث التاريخي الذي استعرضناه بداية هذه الدراسة يؤكّد عدم وجود إجماع شيعي، ولا حتى شهرة شيعية في هذا الموضوع، لا أقلّ من عدم إحرازه، فقبل الشهيد الثاني في القرن العاشر الهجري لا عين ولا أثر لهذا الموضوع في المصنّفات الفقهية والأصولية والكلاميّة، وحتى بعده لم يظهر لهذه الفكرة حضور فاعل إلا بعد صاحب العروة في القرن الرابع عشر الهجري، فأيّ مستند لدعوى الإجماع الشيعي أو الشهرة على شرطية الذكورة في المرجعية؟!</w:t>
      </w:r>
    </w:p>
    <w:p w:rsidR="00C832C0" w:rsidRDefault="00C832C0" w:rsidP="000218F4">
      <w:pPr>
        <w:pStyle w:val="ac"/>
        <w:spacing w:line="202" w:lineRule="auto"/>
        <w:rPr>
          <w:rtl/>
        </w:rPr>
      </w:pPr>
      <w:r>
        <w:rPr>
          <w:rFonts w:hint="cs"/>
          <w:b/>
          <w:bCs/>
          <w:rtl/>
        </w:rPr>
        <w:t>ثانياً:</w:t>
      </w:r>
      <w:r>
        <w:rPr>
          <w:rFonts w:hint="cs"/>
          <w:rtl/>
        </w:rPr>
        <w:t xml:space="preserve"> إن شواهد النصوص القديمة لا تخلو من تأييد نظرية الشرطية فحسب بل تعزز احتمال عدم وجودها، فعندما تذكر في المصنفات الأصولية الشيعية الرئيسية قبل القرن العاشر شروط المُفتي والمستفتي لا تذكر شرطية الذكورة إطلاقاً، رغم أن المقام </w:t>
      </w:r>
      <w:r>
        <w:rPr>
          <w:rFonts w:hint="cs"/>
          <w:rtl/>
        </w:rPr>
        <w:lastRenderedPageBreak/>
        <w:t>مقام بيان صفات المُفتي، مما يشكّل قرينة احتمالية قوية على عدم انعقاد موقف على مثل هذه الشرطية آنذاك، وإلا لبيّنوها في هذا البحث، أو أوكلوا بيانها إلى موضعٍ آخر، فهذا العلامة الحلّي يذكر في باب الأمر بالمعروف من قواعد الأحكام صفات المفتي ولا يأتي على ذكر الرجولية</w:t>
      </w:r>
      <w:r w:rsidRPr="00815C4C">
        <w:rPr>
          <w:rFonts w:cs="Taher" w:hint="cs"/>
          <w:vertAlign w:val="superscript"/>
          <w:rtl/>
        </w:rPr>
        <w:t>(</w:t>
      </w:r>
      <w:r w:rsidRPr="00815C4C">
        <w:rPr>
          <w:rFonts w:cs="Taher"/>
          <w:vertAlign w:val="superscript"/>
          <w:rtl/>
        </w:rPr>
        <w:footnoteReference w:id="336"/>
      </w:r>
      <w:r w:rsidRPr="00815C4C">
        <w:rPr>
          <w:rFonts w:cs="Taher" w:hint="cs"/>
          <w:vertAlign w:val="superscript"/>
          <w:rtl/>
        </w:rPr>
        <w:t>)</w:t>
      </w:r>
      <w:r>
        <w:rPr>
          <w:rFonts w:hint="cs"/>
          <w:rtl/>
        </w:rPr>
        <w:t>، ومثله الشهيد الأوّل في مقدمة كتاب ذكرى الشيعة</w:t>
      </w:r>
      <w:r w:rsidRPr="00815C4C">
        <w:rPr>
          <w:rFonts w:cs="Taher" w:hint="cs"/>
          <w:vertAlign w:val="superscript"/>
          <w:rtl/>
        </w:rPr>
        <w:t>(</w:t>
      </w:r>
      <w:r w:rsidRPr="00815C4C">
        <w:rPr>
          <w:rFonts w:cs="Taher"/>
          <w:vertAlign w:val="superscript"/>
          <w:rtl/>
        </w:rPr>
        <w:footnoteReference w:id="337"/>
      </w:r>
      <w:r w:rsidRPr="00815C4C">
        <w:rPr>
          <w:rFonts w:cs="Taher" w:hint="cs"/>
          <w:vertAlign w:val="superscript"/>
          <w:rtl/>
        </w:rPr>
        <w:t>)</w:t>
      </w:r>
      <w:r>
        <w:rPr>
          <w:rFonts w:hint="cs"/>
          <w:rtl/>
        </w:rPr>
        <w:t>، حيث يذكر ثلاثة عشر صفةً في المفتي، والأمر عينه مع المحقق الكركي في خاتمة رسالته في صلاة الجمعة</w:t>
      </w:r>
      <w:r w:rsidRPr="00815C4C">
        <w:rPr>
          <w:rFonts w:cs="Taher" w:hint="cs"/>
          <w:vertAlign w:val="superscript"/>
          <w:rtl/>
        </w:rPr>
        <w:t>(</w:t>
      </w:r>
      <w:r w:rsidRPr="00815C4C">
        <w:rPr>
          <w:rFonts w:cs="Taher"/>
          <w:vertAlign w:val="superscript"/>
          <w:rtl/>
        </w:rPr>
        <w:footnoteReference w:id="338"/>
      </w:r>
      <w:r w:rsidRPr="00815C4C">
        <w:rPr>
          <w:rFonts w:cs="Taher" w:hint="cs"/>
          <w:vertAlign w:val="superscript"/>
          <w:rtl/>
        </w:rPr>
        <w:t>)</w:t>
      </w:r>
      <w:r>
        <w:rPr>
          <w:rFonts w:hint="cs"/>
          <w:rtl/>
        </w:rPr>
        <w:t>.</w:t>
      </w:r>
    </w:p>
    <w:p w:rsidR="00C832C0" w:rsidRDefault="00C832C0" w:rsidP="000218F4">
      <w:pPr>
        <w:pStyle w:val="ac"/>
        <w:spacing w:line="202" w:lineRule="auto"/>
        <w:rPr>
          <w:rtl/>
        </w:rPr>
      </w:pPr>
      <w:r>
        <w:rPr>
          <w:rFonts w:hint="cs"/>
          <w:rtl/>
        </w:rPr>
        <w:t xml:space="preserve">بل إن ملاحظة المصادر السنيّة في بحث شروط المُفتي والمستفتي تؤكّد لنا أن البحث الشيعي جاء متناسقاً معها من حيث عدم شرطية الذكورة، فأبو إسحاق الشيرازي (476هـ) يعقد في كتاب «اللمع في أصول الفقه» باباً لذكر صفة المُفتي والمستفتي دون إشارة إلى شرطية الذكورة، كما لا نجد في «المستصفى» للغزالي (505هـ) «وفواتح الرحموت» في مبحث الاجتهاد والتقليد عيناً ولا أثراً لهذا الشرط، وهكذا الحال في الباب عينه من كتاب </w:t>
      </w:r>
      <w:r w:rsidR="00E470F2" w:rsidRPr="00617008">
        <w:rPr>
          <w:rtl/>
        </w:rPr>
        <w:t>«</w:t>
      </w:r>
      <w:r>
        <w:rPr>
          <w:rFonts w:hint="cs"/>
          <w:rtl/>
        </w:rPr>
        <w:t>الإحكام في أصول الأحكام</w:t>
      </w:r>
      <w:r w:rsidR="00E470F2" w:rsidRPr="00617008">
        <w:rPr>
          <w:rtl/>
        </w:rPr>
        <w:t>»</w:t>
      </w:r>
      <w:r>
        <w:rPr>
          <w:rFonts w:hint="cs"/>
          <w:rtl/>
        </w:rPr>
        <w:t xml:space="preserve"> لابن حزم الأندلسي وغيرها من مصادر الأصول السنية التي استعرضنا شطراً منها سابقاً، فإذا كان الموقف الشيعي مخالفاً كان لابد أن يظهر الفرق في هذا البحث بالذات من كتب أصول الفقه، وهو ما لم نجده إطلاقاً، كما يظهر بالمقارنة، سيّما مع تقارب تقسيمات أصول الفقه الشيعي وأبحاثه في تلك الحقبة مع أصول الفقه السنّي، كما يعرفه الباحث في تاريخ علم أصول الفقه، بحيث يشعر الإنسان أنّ أحدها كان حاشيةً أو تعليقاً على الآخر، فراجع المصادر الأصوليّة للطرفين في القرنين الخامس والسادس الهجريّين.</w:t>
      </w:r>
    </w:p>
    <w:p w:rsidR="00C832C0" w:rsidRDefault="00C832C0" w:rsidP="000218F4">
      <w:pPr>
        <w:pStyle w:val="ac"/>
        <w:spacing w:line="202" w:lineRule="auto"/>
        <w:rPr>
          <w:rtl/>
        </w:rPr>
      </w:pPr>
      <w:r>
        <w:rPr>
          <w:rFonts w:hint="cs"/>
          <w:b/>
          <w:bCs/>
          <w:rtl/>
        </w:rPr>
        <w:t>ثالثاً:</w:t>
      </w:r>
      <w:r>
        <w:rPr>
          <w:rFonts w:hint="cs"/>
          <w:rtl/>
        </w:rPr>
        <w:t xml:space="preserve"> على تقدير انعقاد إجماع أو شهرة شيعيّة أو حتّى إسلامية على الشرطية، من المحتمل جداً كون هذا الإجماع مدركياً مستنداً إلى جملة الأدلّة التي ستَرِدُ معنا عمّا قريب، ومع احتمال المدركية، إن لم نقل بالظن بها على تقدير انعقاد الإجماع، لا يعود </w:t>
      </w:r>
      <w:r>
        <w:rPr>
          <w:rFonts w:hint="cs"/>
          <w:rtl/>
        </w:rPr>
        <w:lastRenderedPageBreak/>
        <w:t>الإجماع حجة، كما هو الصحيح في علم أصول الفقه.</w:t>
      </w:r>
    </w:p>
    <w:p w:rsidR="00C832C0" w:rsidRDefault="00C832C0" w:rsidP="000218F4">
      <w:pPr>
        <w:pStyle w:val="ac"/>
        <w:spacing w:line="209" w:lineRule="auto"/>
        <w:rPr>
          <w:rtl/>
        </w:rPr>
      </w:pPr>
      <w:r>
        <w:rPr>
          <w:rFonts w:hint="cs"/>
          <w:b/>
          <w:bCs/>
          <w:rtl/>
        </w:rPr>
        <w:t>رابعاً:</w:t>
      </w:r>
      <w:r>
        <w:rPr>
          <w:rFonts w:hint="cs"/>
          <w:rtl/>
        </w:rPr>
        <w:t xml:space="preserve"> إن الإجماعات المنقولة غير حجّة كبروياً، فكيف بهذا الإجماع المدّعى من جانب الشهيد الثاني مع ما فيه من الوهن من ناحية:</w:t>
      </w:r>
    </w:p>
    <w:p w:rsidR="00C832C0" w:rsidRDefault="00C832C0" w:rsidP="000218F4">
      <w:pPr>
        <w:pStyle w:val="ac"/>
        <w:spacing w:line="209" w:lineRule="auto"/>
        <w:rPr>
          <w:rtl/>
        </w:rPr>
      </w:pPr>
      <w:r w:rsidRPr="00E470F2">
        <w:rPr>
          <w:rFonts w:hint="cs"/>
          <w:b/>
          <w:bCs/>
          <w:rtl/>
        </w:rPr>
        <w:t xml:space="preserve">أ </w:t>
      </w:r>
      <w:r w:rsidR="00A90E63" w:rsidRPr="00E470F2">
        <w:rPr>
          <w:rFonts w:hint="cs"/>
          <w:b/>
          <w:bCs/>
          <w:rtl/>
        </w:rPr>
        <w:t>ـ</w:t>
      </w:r>
      <w:r>
        <w:rPr>
          <w:rFonts w:hint="cs"/>
          <w:rtl/>
        </w:rPr>
        <w:t xml:space="preserve"> رصدنا للمصنّفات التي لم نجد لها ذكراً لهذا الموضوع إطلاقاً ولو بالإشارة.</w:t>
      </w:r>
    </w:p>
    <w:p w:rsidR="00C832C0" w:rsidRDefault="00C832C0" w:rsidP="000218F4">
      <w:pPr>
        <w:pStyle w:val="ac"/>
        <w:spacing w:line="209" w:lineRule="auto"/>
        <w:rPr>
          <w:rtl/>
        </w:rPr>
      </w:pPr>
      <w:r w:rsidRPr="00E470F2">
        <w:rPr>
          <w:rFonts w:hint="cs"/>
          <w:b/>
          <w:bCs/>
          <w:rtl/>
        </w:rPr>
        <w:t xml:space="preserve">ب </w:t>
      </w:r>
      <w:r w:rsidR="00A90E63" w:rsidRPr="00E470F2">
        <w:rPr>
          <w:rFonts w:hint="cs"/>
          <w:b/>
          <w:bCs/>
          <w:rtl/>
        </w:rPr>
        <w:t>ـ</w:t>
      </w:r>
      <w:r>
        <w:rPr>
          <w:rFonts w:hint="cs"/>
          <w:rtl/>
        </w:rPr>
        <w:t xml:space="preserve"> عدم تكرّر ظاهرة ادّعاء الإجماع في هذا الموضوع بعد الشهيد الثاني بمقدار معتدّ به، حتى من جانب أنصار نظرية الشرطية أنفسهم، مما يدلّ على توقّفهم </w:t>
      </w:r>
      <w:r w:rsidR="00A90E63">
        <w:rPr>
          <w:rFonts w:hint="cs"/>
          <w:rtl/>
        </w:rPr>
        <w:t>ـ</w:t>
      </w:r>
      <w:r>
        <w:rPr>
          <w:rFonts w:hint="cs"/>
          <w:rtl/>
        </w:rPr>
        <w:t xml:space="preserve"> لا أقل </w:t>
      </w:r>
      <w:r w:rsidR="00A90E63">
        <w:rPr>
          <w:rFonts w:hint="cs"/>
          <w:rtl/>
        </w:rPr>
        <w:t>ـ</w:t>
      </w:r>
      <w:r>
        <w:rPr>
          <w:rFonts w:hint="cs"/>
          <w:rtl/>
        </w:rPr>
        <w:t xml:space="preserve"> في تصحيح إجماع الشهيد الثاني، وإلا لما اكتفوا بالإجماع المنقول عنه نفسه كما هو ظاهر، وادّعاؤهم الإجماع على الشرطية في منصب القضاء لا يحسن الخلط بينه وبين مقامنا هنا، كما حصل مع غير واحدٍ من متأخّري المتأخّرين.</w:t>
      </w:r>
    </w:p>
    <w:p w:rsidR="00C832C0" w:rsidRDefault="00C832C0" w:rsidP="000218F4">
      <w:pPr>
        <w:pStyle w:val="ac"/>
        <w:spacing w:line="209" w:lineRule="auto"/>
        <w:rPr>
          <w:rtl/>
        </w:rPr>
      </w:pPr>
      <w:r w:rsidRPr="00E470F2">
        <w:rPr>
          <w:rFonts w:hint="cs"/>
          <w:b/>
          <w:bCs/>
          <w:rtl/>
        </w:rPr>
        <w:t xml:space="preserve">ج </w:t>
      </w:r>
      <w:r w:rsidR="00A90E63" w:rsidRPr="00E470F2">
        <w:rPr>
          <w:rFonts w:hint="cs"/>
          <w:b/>
          <w:bCs/>
          <w:rtl/>
        </w:rPr>
        <w:t>ـ</w:t>
      </w:r>
      <w:r>
        <w:rPr>
          <w:rFonts w:hint="cs"/>
          <w:rtl/>
        </w:rPr>
        <w:t xml:space="preserve"> ما قيل عن وجود ارتباك في نصّ الشهيد الثاني نفسه وتسامح، فذِكر الشهيد الثاني الإيمان والعقل والعدالة شرائط للقضاء صحيح، لكنها ليست من شروط الاجتهاد.</w:t>
      </w:r>
    </w:p>
    <w:p w:rsidR="00C832C0" w:rsidRDefault="00C832C0" w:rsidP="000218F4">
      <w:pPr>
        <w:pStyle w:val="ac"/>
        <w:spacing w:line="209" w:lineRule="auto"/>
        <w:rPr>
          <w:rtl/>
        </w:rPr>
      </w:pPr>
      <w:r>
        <w:rPr>
          <w:rFonts w:hint="cs"/>
          <w:rtl/>
        </w:rPr>
        <w:t>وهذا الإشكال الذي ينقله صاحب مفاتيح الأصول عن الشيخ علي سبط الشهيد الثاني</w:t>
      </w:r>
      <w:r w:rsidRPr="00815C4C">
        <w:rPr>
          <w:rFonts w:cs="Taher" w:hint="cs"/>
          <w:vertAlign w:val="superscript"/>
          <w:rtl/>
        </w:rPr>
        <w:t>(</w:t>
      </w:r>
      <w:r w:rsidRPr="00815C4C">
        <w:rPr>
          <w:rFonts w:cs="Taher"/>
          <w:vertAlign w:val="superscript"/>
          <w:rtl/>
        </w:rPr>
        <w:footnoteReference w:id="339"/>
      </w:r>
      <w:r w:rsidRPr="00815C4C">
        <w:rPr>
          <w:rFonts w:cs="Taher" w:hint="cs"/>
          <w:vertAlign w:val="superscript"/>
          <w:rtl/>
        </w:rPr>
        <w:t>)</w:t>
      </w:r>
      <w:r>
        <w:rPr>
          <w:rFonts w:hint="cs"/>
          <w:rtl/>
        </w:rPr>
        <w:t xml:space="preserve"> ربما يكون محلّ كلام في الرصد التاريخي، إلا أن لي وقفة سؤال مع الشهيد الثاني من ناحية ثانية، فقد ذكر بعد عدّة صفحات على نصّه المذكور عند الحديث عن قاضي التحكيم أن «استجماعه لشرائط الفتوى شرط إجماعاً، وكذا بلوغه، وعقله، وطهارة مولده، وغلبة حفظه، وعدالته، وإنما يقع الاشتباه في الباقي»</w:t>
      </w:r>
      <w:r w:rsidRPr="00815C4C">
        <w:rPr>
          <w:rFonts w:cs="Taher" w:hint="cs"/>
          <w:vertAlign w:val="superscript"/>
          <w:rtl/>
        </w:rPr>
        <w:t>(</w:t>
      </w:r>
      <w:r w:rsidRPr="00815C4C">
        <w:rPr>
          <w:rFonts w:cs="Taher"/>
          <w:vertAlign w:val="superscript"/>
          <w:rtl/>
        </w:rPr>
        <w:footnoteReference w:id="340"/>
      </w:r>
      <w:r w:rsidRPr="00815C4C">
        <w:rPr>
          <w:rFonts w:cs="Taher" w:hint="cs"/>
          <w:vertAlign w:val="superscript"/>
          <w:rtl/>
        </w:rPr>
        <w:t>)</w:t>
      </w:r>
      <w:r>
        <w:rPr>
          <w:rFonts w:hint="cs"/>
          <w:rtl/>
        </w:rPr>
        <w:t xml:space="preserve">، فنحن لم نفقه ما هي شرائط الفتوى؟! فهناك عدّ منها </w:t>
      </w:r>
      <w:r w:rsidR="00A90E63">
        <w:rPr>
          <w:rFonts w:hint="cs"/>
          <w:rtl/>
        </w:rPr>
        <w:t>ـ</w:t>
      </w:r>
      <w:r>
        <w:rPr>
          <w:rFonts w:hint="cs"/>
          <w:rtl/>
        </w:rPr>
        <w:t xml:space="preserve"> إجماعاً </w:t>
      </w:r>
      <w:r w:rsidR="00A90E63">
        <w:rPr>
          <w:rFonts w:hint="cs"/>
          <w:rtl/>
        </w:rPr>
        <w:t>ـ</w:t>
      </w:r>
      <w:r>
        <w:rPr>
          <w:rFonts w:hint="cs"/>
          <w:rtl/>
        </w:rPr>
        <w:t xml:space="preserve"> البلوغ والعقل وطهارة المولد، فكيف فصل هذه الثلاثة عن شرائط الفتوى في هذا النص؟! فإذا كان البلوغ غير شروط الفتوى لم يكن نصّه السابق مدعياً فيه الإجماع على كون البلوغ من شرائط الفتوى، بل ادعاؤه الإجماع يكون على اشتراط القضاء بالبلوغ، ولعلّه لذا احتمل صاحب الفصول أن </w:t>
      </w:r>
      <w:r>
        <w:rPr>
          <w:rFonts w:hint="cs"/>
          <w:rtl/>
        </w:rPr>
        <w:lastRenderedPageBreak/>
        <w:t xml:space="preserve">يكون مراد الشهيد الثاني من الإفتاء خصوص القضاء وإن استظهر </w:t>
      </w:r>
      <w:r w:rsidR="00A90E63">
        <w:rPr>
          <w:rFonts w:hint="cs"/>
          <w:rtl/>
        </w:rPr>
        <w:t>ـ</w:t>
      </w:r>
      <w:r>
        <w:rPr>
          <w:rFonts w:hint="cs"/>
          <w:rtl/>
        </w:rPr>
        <w:t xml:space="preserve"> أي صاحب الفصول </w:t>
      </w:r>
      <w:r w:rsidR="00A90E63">
        <w:rPr>
          <w:rFonts w:hint="cs"/>
          <w:rtl/>
        </w:rPr>
        <w:t>ـ</w:t>
      </w:r>
      <w:r>
        <w:rPr>
          <w:rFonts w:hint="cs"/>
          <w:rtl/>
        </w:rPr>
        <w:t xml:space="preserve"> بعد ذلك الفتوى منه</w:t>
      </w:r>
      <w:r w:rsidRPr="00815C4C">
        <w:rPr>
          <w:rFonts w:cs="Taher" w:hint="cs"/>
          <w:vertAlign w:val="superscript"/>
          <w:rtl/>
        </w:rPr>
        <w:t>(</w:t>
      </w:r>
      <w:r w:rsidRPr="00815C4C">
        <w:rPr>
          <w:rFonts w:cs="Taher"/>
          <w:vertAlign w:val="superscript"/>
          <w:rtl/>
        </w:rPr>
        <w:footnoteReference w:id="341"/>
      </w:r>
      <w:r w:rsidRPr="00815C4C">
        <w:rPr>
          <w:rFonts w:cs="Taher" w:hint="cs"/>
          <w:vertAlign w:val="superscript"/>
          <w:rtl/>
        </w:rPr>
        <w:t>)</w:t>
      </w:r>
      <w:r>
        <w:rPr>
          <w:rFonts w:hint="cs"/>
          <w:rtl/>
        </w:rPr>
        <w:t>.</w:t>
      </w:r>
    </w:p>
    <w:p w:rsidR="00C832C0" w:rsidRDefault="00C832C0" w:rsidP="00F04A58">
      <w:pPr>
        <w:pStyle w:val="ac"/>
        <w:rPr>
          <w:rtl/>
        </w:rPr>
      </w:pPr>
      <w:r>
        <w:rPr>
          <w:rFonts w:hint="cs"/>
          <w:rtl/>
        </w:rPr>
        <w:t xml:space="preserve">وعبارة الشهيد الثاني </w:t>
      </w:r>
      <w:r w:rsidR="00A90E63">
        <w:rPr>
          <w:rFonts w:hint="cs"/>
          <w:rtl/>
        </w:rPr>
        <w:t>ـ</w:t>
      </w:r>
      <w:r>
        <w:rPr>
          <w:rFonts w:hint="cs"/>
          <w:rtl/>
        </w:rPr>
        <w:t xml:space="preserve"> بعد جملة الملاحظات </w:t>
      </w:r>
      <w:r w:rsidR="00A90E63">
        <w:rPr>
          <w:rFonts w:hint="cs"/>
          <w:rtl/>
        </w:rPr>
        <w:t>ـ</w:t>
      </w:r>
      <w:r>
        <w:rPr>
          <w:rFonts w:hint="cs"/>
          <w:rtl/>
        </w:rPr>
        <w:t xml:space="preserve"> لا تكاد تكون واضحةً، سيما وأن أحداً لم يتحدّث عن مثل البصر والكتابة في شرائط الفتوى قبله حسب الظاهر، ولو كان لم يكن بالمعروف والمشهور، بل إن الشهيد الثاني نفسه ذكر شروط المفتي في كتابه «منية المريد» وحصرها في الإسلام، والتكليف، والعدالة، والفقاهة، مشيراً إلى قضية شرط الأعلمية والحياة</w:t>
      </w:r>
      <w:r w:rsidRPr="00815C4C">
        <w:rPr>
          <w:rFonts w:cs="Taher" w:hint="cs"/>
          <w:vertAlign w:val="superscript"/>
          <w:rtl/>
        </w:rPr>
        <w:t>(</w:t>
      </w:r>
      <w:r w:rsidRPr="00815C4C">
        <w:rPr>
          <w:rFonts w:cs="Taher"/>
          <w:vertAlign w:val="superscript"/>
          <w:rtl/>
        </w:rPr>
        <w:footnoteReference w:id="342"/>
      </w:r>
      <w:r w:rsidRPr="00815C4C">
        <w:rPr>
          <w:rFonts w:cs="Taher" w:hint="cs"/>
          <w:vertAlign w:val="superscript"/>
          <w:rtl/>
        </w:rPr>
        <w:t>)</w:t>
      </w:r>
      <w:r>
        <w:rPr>
          <w:rFonts w:hint="cs"/>
          <w:rtl/>
        </w:rPr>
        <w:t>، ولو كانت الذكورة شرطاً لذكرها، وإن كانت درجة دلالة كلامه في منية المريد غير قوية لاعتبارات مقامية وسياقية، تعود إلى طبيعة الكتاب، لكنها على أيّ حال ذات درجة من الدلالة.</w:t>
      </w:r>
    </w:p>
    <w:p w:rsidR="00C832C0" w:rsidRDefault="00C832C0" w:rsidP="00F04A58">
      <w:pPr>
        <w:pStyle w:val="ac"/>
        <w:rPr>
          <w:rtl/>
        </w:rPr>
      </w:pPr>
      <w:r w:rsidRPr="00E470F2">
        <w:rPr>
          <w:rFonts w:hint="cs"/>
          <w:b/>
          <w:bCs/>
          <w:rtl/>
        </w:rPr>
        <w:t xml:space="preserve">د </w:t>
      </w:r>
      <w:r w:rsidR="00A90E63" w:rsidRPr="00E470F2">
        <w:rPr>
          <w:rFonts w:hint="cs"/>
          <w:b/>
          <w:bCs/>
          <w:rtl/>
        </w:rPr>
        <w:t>ـ</w:t>
      </w:r>
      <w:r>
        <w:rPr>
          <w:rFonts w:hint="cs"/>
          <w:rtl/>
        </w:rPr>
        <w:t xml:space="preserve"> ثمّة نصّ فيه نحو معارضة لكلام الشهيد الثاني، يظهر منه الإجماع أو مشهوريّة عدم اشتراط الذكورة في المفتي، ويعود النص للقرن الثاني عشر الهجري، أي بعد قرنين فقط من عصر الشهيد الثاني، وصاحب النص هو المحقق محمد إسماعيل الخواجوئي المازندراني (1173هـ)؛ إذ كتب رسالةً في شرائط المفتي، نصّ فيها أنهم: «يعتبرون الذكورية والحرية في القاضي دونهما (أي المفتي والمجتهد)»</w:t>
      </w:r>
      <w:r w:rsidRPr="00815C4C">
        <w:rPr>
          <w:rFonts w:cs="Taher" w:hint="cs"/>
          <w:vertAlign w:val="superscript"/>
          <w:rtl/>
        </w:rPr>
        <w:t>(</w:t>
      </w:r>
      <w:r w:rsidRPr="00815C4C">
        <w:rPr>
          <w:rFonts w:cs="Taher"/>
          <w:vertAlign w:val="superscript"/>
          <w:rtl/>
        </w:rPr>
        <w:footnoteReference w:id="343"/>
      </w:r>
      <w:r w:rsidRPr="00815C4C">
        <w:rPr>
          <w:rFonts w:cs="Taher" w:hint="cs"/>
          <w:vertAlign w:val="superscript"/>
          <w:rtl/>
        </w:rPr>
        <w:t>)</w:t>
      </w:r>
      <w:r>
        <w:rPr>
          <w:rFonts w:hint="cs"/>
          <w:rtl/>
        </w:rPr>
        <w:t>.</w:t>
      </w:r>
    </w:p>
    <w:p w:rsidR="00C832C0" w:rsidRDefault="00C832C0" w:rsidP="00F04A58">
      <w:pPr>
        <w:pStyle w:val="ac"/>
        <w:rPr>
          <w:rtl/>
        </w:rPr>
      </w:pPr>
      <w:r>
        <w:rPr>
          <w:rFonts w:hint="cs"/>
          <w:rtl/>
        </w:rPr>
        <w:t xml:space="preserve">وظاهر الجمع في «يعتبرون» أنه يعود إلى الفقهاء، مما يؤكّد مشهوريّة </w:t>
      </w:r>
      <w:r w:rsidR="00A90E63">
        <w:rPr>
          <w:rFonts w:hint="cs"/>
          <w:rtl/>
        </w:rPr>
        <w:t>ـ</w:t>
      </w:r>
      <w:r>
        <w:rPr>
          <w:rFonts w:hint="cs"/>
          <w:rtl/>
        </w:rPr>
        <w:t xml:space="preserve"> على الأقل </w:t>
      </w:r>
      <w:r w:rsidR="00A90E63">
        <w:rPr>
          <w:rFonts w:hint="cs"/>
          <w:rtl/>
        </w:rPr>
        <w:t>ـ</w:t>
      </w:r>
      <w:r>
        <w:rPr>
          <w:rFonts w:hint="cs"/>
          <w:rtl/>
        </w:rPr>
        <w:t xml:space="preserve"> القول بعدم اشتراط الذكورة في اجتهاد المجتهد ولا في إفتائه، مما يشكّل قرينةً عكسيّةً على دعوى الإجماع من الشهيد الثاني.</w:t>
      </w:r>
    </w:p>
    <w:p w:rsidR="00C832C0" w:rsidRDefault="00C832C0" w:rsidP="00F04A58">
      <w:pPr>
        <w:pStyle w:val="ac"/>
        <w:rPr>
          <w:rtl/>
        </w:rPr>
      </w:pPr>
      <w:r>
        <w:rPr>
          <w:rFonts w:hint="cs"/>
          <w:rtl/>
        </w:rPr>
        <w:t>هذا، وقد صرّح السيد محمد المجاهد الطباطبائي (1242هـ) بأنّه لم يشر أحد من علماء الأصول إلى اشتراط الذكورة</w:t>
      </w:r>
      <w:r w:rsidRPr="00815C4C">
        <w:rPr>
          <w:rFonts w:cs="Taher" w:hint="cs"/>
          <w:vertAlign w:val="superscript"/>
          <w:rtl/>
        </w:rPr>
        <w:t>(</w:t>
      </w:r>
      <w:r w:rsidRPr="00815C4C">
        <w:rPr>
          <w:rFonts w:cs="Taher"/>
          <w:vertAlign w:val="superscript"/>
          <w:rtl/>
        </w:rPr>
        <w:footnoteReference w:id="344"/>
      </w:r>
      <w:r w:rsidRPr="00815C4C">
        <w:rPr>
          <w:rFonts w:cs="Taher" w:hint="cs"/>
          <w:vertAlign w:val="superscript"/>
          <w:rtl/>
        </w:rPr>
        <w:t>)</w:t>
      </w:r>
      <w:r>
        <w:rPr>
          <w:rFonts w:hint="cs"/>
          <w:rtl/>
        </w:rPr>
        <w:t xml:space="preserve">، رغم قوله هو نفسه بالاشتراط، كما أتى صاحب </w:t>
      </w:r>
      <w:r>
        <w:rPr>
          <w:rFonts w:hint="cs"/>
          <w:rtl/>
        </w:rPr>
        <w:lastRenderedPageBreak/>
        <w:t>الفصول على هذا البحث مقتصراً فقط على نقل كلام الشهيد الثاني، مع أنه توسّع في الشروط الأخرى للمفتي، دون أن يبت بهذا الشرط، أو يذكر أدلّةً أو بحثاً أو أقوال فيه، مما له دلالة معبّرة</w:t>
      </w:r>
      <w:r w:rsidRPr="00815C4C">
        <w:rPr>
          <w:rFonts w:cs="Taher" w:hint="cs"/>
          <w:vertAlign w:val="superscript"/>
          <w:rtl/>
        </w:rPr>
        <w:t>(</w:t>
      </w:r>
      <w:r w:rsidRPr="00815C4C">
        <w:rPr>
          <w:rFonts w:cs="Taher"/>
          <w:vertAlign w:val="superscript"/>
          <w:rtl/>
        </w:rPr>
        <w:footnoteReference w:id="345"/>
      </w:r>
      <w:r w:rsidRPr="00815C4C">
        <w:rPr>
          <w:rFonts w:cs="Taher" w:hint="cs"/>
          <w:vertAlign w:val="superscript"/>
          <w:rtl/>
        </w:rPr>
        <w:t>)</w:t>
      </w:r>
      <w:r>
        <w:rPr>
          <w:rFonts w:hint="cs"/>
          <w:rtl/>
        </w:rPr>
        <w:t>.</w:t>
      </w:r>
    </w:p>
    <w:p w:rsidR="00C832C0" w:rsidRDefault="00C832C0" w:rsidP="00F04A58">
      <w:pPr>
        <w:pStyle w:val="ac"/>
        <w:rPr>
          <w:rtl/>
        </w:rPr>
      </w:pPr>
      <w:r w:rsidRPr="00E470F2">
        <w:rPr>
          <w:rFonts w:hint="cs"/>
          <w:b/>
          <w:bCs/>
          <w:rtl/>
        </w:rPr>
        <w:t xml:space="preserve">هـ </w:t>
      </w:r>
      <w:r w:rsidR="00A90E63" w:rsidRPr="00E470F2">
        <w:rPr>
          <w:rFonts w:hint="cs"/>
          <w:b/>
          <w:bCs/>
          <w:rtl/>
        </w:rPr>
        <w:t>ـ</w:t>
      </w:r>
      <w:r>
        <w:rPr>
          <w:rFonts w:hint="cs"/>
          <w:rtl/>
        </w:rPr>
        <w:t xml:space="preserve"> ما ذكره بعض المعاصرين من أن الشهيد الثاني نفسه في بحث الأمر بالمعروف والنهي عن المنكر من كتاب الروضة قد ذكر صفات المفتي دون أن يتعرّض لصفة الذكورة</w:t>
      </w:r>
      <w:r w:rsidRPr="00815C4C">
        <w:rPr>
          <w:rFonts w:cs="Taher" w:hint="cs"/>
          <w:vertAlign w:val="superscript"/>
          <w:rtl/>
        </w:rPr>
        <w:t>(</w:t>
      </w:r>
      <w:r w:rsidRPr="00815C4C">
        <w:rPr>
          <w:rFonts w:cs="Taher"/>
          <w:vertAlign w:val="superscript"/>
          <w:rtl/>
        </w:rPr>
        <w:footnoteReference w:id="346"/>
      </w:r>
      <w:r w:rsidRPr="00815C4C">
        <w:rPr>
          <w:rFonts w:cs="Taher" w:hint="cs"/>
          <w:vertAlign w:val="superscript"/>
          <w:rtl/>
        </w:rPr>
        <w:t>)</w:t>
      </w:r>
      <w:r>
        <w:rPr>
          <w:rFonts w:hint="cs"/>
          <w:rtl/>
        </w:rPr>
        <w:t>، مما يدلّ على أنّ مراده هنا صفات القاضي</w:t>
      </w:r>
      <w:r w:rsidRPr="00815C4C">
        <w:rPr>
          <w:rFonts w:cs="Taher" w:hint="cs"/>
          <w:vertAlign w:val="superscript"/>
          <w:rtl/>
        </w:rPr>
        <w:t>(</w:t>
      </w:r>
      <w:r w:rsidRPr="00815C4C">
        <w:rPr>
          <w:rFonts w:cs="Taher"/>
          <w:vertAlign w:val="superscript"/>
          <w:rtl/>
        </w:rPr>
        <w:footnoteReference w:id="347"/>
      </w:r>
      <w:r w:rsidRPr="00815C4C">
        <w:rPr>
          <w:rFonts w:cs="Taher" w:hint="cs"/>
          <w:vertAlign w:val="superscript"/>
          <w:rtl/>
        </w:rPr>
        <w:t>)</w:t>
      </w:r>
      <w:r>
        <w:rPr>
          <w:rFonts w:hint="cs"/>
          <w:rtl/>
        </w:rPr>
        <w:t>.</w:t>
      </w:r>
    </w:p>
    <w:p w:rsidR="00C832C0" w:rsidRDefault="00C832C0" w:rsidP="00F04A58">
      <w:pPr>
        <w:pStyle w:val="ac"/>
        <w:rPr>
          <w:rtl/>
        </w:rPr>
      </w:pPr>
      <w:r>
        <w:rPr>
          <w:rFonts w:hint="cs"/>
          <w:rtl/>
        </w:rPr>
        <w:t>والمتحصّل عدم وجود أي دليل على إجماع أو شهرة شيعيّة على شرط الذكورة، بل ربما أمكننا ادعاء الإجماع أو الشهرة على عدم الشرطية، لا أقلّ قبل القرن العاشر الهجري وفق البيانات المتقدّمة.</w:t>
      </w:r>
    </w:p>
    <w:p w:rsidR="00C832C0" w:rsidRDefault="00C832C0" w:rsidP="00F04A58">
      <w:pPr>
        <w:pStyle w:val="ac"/>
        <w:rPr>
          <w:rtl/>
        </w:rPr>
      </w:pPr>
      <w:r w:rsidRPr="00F04A58">
        <w:rPr>
          <w:b/>
          <w:bCs/>
          <w:rtl/>
        </w:rPr>
        <w:t>الوجه الثاني:</w:t>
      </w:r>
      <w:r>
        <w:rPr>
          <w:rFonts w:hint="cs"/>
          <w:rtl/>
        </w:rPr>
        <w:t xml:space="preserve"> التمسّك بجملة من الروايات التي ادّعي تخصيصها الإفتاء بالرجل، أو ردعها عن الرجوع إلى المرأة، بحيث تكون مفيدةً لتقييد المطلقات وتخصيص العمومات، وهذه الروايات هي:</w:t>
      </w:r>
    </w:p>
    <w:p w:rsidR="00C832C0" w:rsidRDefault="00C832C0" w:rsidP="00C86626">
      <w:pPr>
        <w:pStyle w:val="ac"/>
        <w:rPr>
          <w:rtl/>
        </w:rPr>
      </w:pPr>
      <w:r w:rsidRPr="00F04A58">
        <w:rPr>
          <w:b/>
          <w:bCs/>
          <w:rtl/>
        </w:rPr>
        <w:t>الرواية الأولى:</w:t>
      </w:r>
      <w:r>
        <w:rPr>
          <w:rFonts w:hint="cs"/>
          <w:rtl/>
        </w:rPr>
        <w:t xml:space="preserve"> </w:t>
      </w:r>
      <w:r w:rsidRPr="000218F4">
        <w:rPr>
          <w:rFonts w:hint="cs"/>
          <w:sz w:val="29"/>
          <w:szCs w:val="29"/>
          <w:rtl/>
        </w:rPr>
        <w:t>حسنة أبي خديجة سالم بن مكرم الجمّال قال: «قال أبو عبد الله جعفر بن محمد الصادق</w:t>
      </w:r>
      <w:r w:rsidR="00C86626" w:rsidRPr="000218F4">
        <w:rPr>
          <w:rFonts w:hint="cs"/>
          <w:sz w:val="29"/>
          <w:szCs w:val="29"/>
          <w:rtl/>
        </w:rPr>
        <w:t>‘</w:t>
      </w:r>
      <w:r w:rsidRPr="000218F4">
        <w:rPr>
          <w:rFonts w:hint="cs"/>
          <w:sz w:val="29"/>
          <w:szCs w:val="29"/>
          <w:rtl/>
        </w:rPr>
        <w:t>: إياكم أن يحاكم بعضكم بعضاً إلى أهل الجور، ولكن انظروا إلى رجل منكم يعلم شيئاً من قضايانا فاجعلوه بينكم، فإني قد جعلته قاضياً، فتحاكموا إليه»</w:t>
      </w:r>
      <w:r w:rsidRPr="000218F4">
        <w:rPr>
          <w:rFonts w:cs="Taher" w:hint="cs"/>
          <w:sz w:val="29"/>
          <w:szCs w:val="29"/>
          <w:vertAlign w:val="superscript"/>
          <w:rtl/>
        </w:rPr>
        <w:t>(</w:t>
      </w:r>
      <w:r w:rsidRPr="000218F4">
        <w:rPr>
          <w:rFonts w:cs="Taher"/>
          <w:sz w:val="29"/>
          <w:szCs w:val="29"/>
          <w:vertAlign w:val="superscript"/>
          <w:rtl/>
        </w:rPr>
        <w:footnoteReference w:id="348"/>
      </w:r>
      <w:r w:rsidRPr="000218F4">
        <w:rPr>
          <w:rFonts w:cs="Taher" w:hint="cs"/>
          <w:sz w:val="29"/>
          <w:szCs w:val="29"/>
          <w:vertAlign w:val="superscript"/>
          <w:rtl/>
        </w:rPr>
        <w:t>)</w:t>
      </w:r>
      <w:r w:rsidRPr="000218F4">
        <w:rPr>
          <w:rFonts w:hint="cs"/>
          <w:sz w:val="29"/>
          <w:szCs w:val="29"/>
          <w:rtl/>
        </w:rPr>
        <w:t>.</w:t>
      </w:r>
    </w:p>
    <w:p w:rsidR="00C832C0" w:rsidRDefault="00C832C0" w:rsidP="00F04A58">
      <w:pPr>
        <w:pStyle w:val="ac"/>
        <w:rPr>
          <w:rtl/>
        </w:rPr>
      </w:pPr>
      <w:r>
        <w:rPr>
          <w:rFonts w:hint="cs"/>
          <w:rtl/>
        </w:rPr>
        <w:t>وتقريب الاستدلال بالرواية: أنها أحالت إلى الرجل مما يدلّ على أن الذي يمكن الرجوع إليه في التقليد والفتوى إنما هو الرجل دون المرأة، وبذلك تتقيّد المطلقات ويُردع عن المرتكزات</w:t>
      </w:r>
      <w:r w:rsidRPr="00815C4C">
        <w:rPr>
          <w:rFonts w:cs="Taher" w:hint="cs"/>
          <w:vertAlign w:val="superscript"/>
          <w:rtl/>
        </w:rPr>
        <w:t>(</w:t>
      </w:r>
      <w:r w:rsidRPr="00815C4C">
        <w:rPr>
          <w:rFonts w:cs="Taher"/>
          <w:vertAlign w:val="superscript"/>
          <w:rtl/>
        </w:rPr>
        <w:footnoteReference w:id="349"/>
      </w:r>
      <w:r w:rsidRPr="00815C4C">
        <w:rPr>
          <w:rFonts w:cs="Taher" w:hint="cs"/>
          <w:vertAlign w:val="superscript"/>
          <w:rtl/>
        </w:rPr>
        <w:t>)</w:t>
      </w:r>
      <w:r>
        <w:rPr>
          <w:rFonts w:hint="cs"/>
          <w:rtl/>
        </w:rPr>
        <w:t>.</w:t>
      </w:r>
    </w:p>
    <w:p w:rsidR="00C832C0" w:rsidRPr="00F04A58" w:rsidRDefault="00C832C0" w:rsidP="00F04A58">
      <w:pPr>
        <w:pStyle w:val="ac"/>
        <w:rPr>
          <w:b/>
          <w:bCs/>
          <w:rtl/>
        </w:rPr>
      </w:pPr>
      <w:r w:rsidRPr="00F04A58">
        <w:rPr>
          <w:rFonts w:hint="cs"/>
          <w:b/>
          <w:bCs/>
          <w:rtl/>
        </w:rPr>
        <w:lastRenderedPageBreak/>
        <w:t>إلا أن هذه الرواية يمكن مناقشتها من جهات:</w:t>
      </w:r>
    </w:p>
    <w:p w:rsidR="00C832C0" w:rsidRDefault="00C832C0" w:rsidP="00F04A58">
      <w:pPr>
        <w:pStyle w:val="ac"/>
        <w:rPr>
          <w:rtl/>
        </w:rPr>
      </w:pPr>
      <w:r>
        <w:rPr>
          <w:rFonts w:hint="cs"/>
          <w:b/>
          <w:bCs/>
          <w:rtl/>
        </w:rPr>
        <w:t>الأولى:</w:t>
      </w:r>
      <w:r>
        <w:rPr>
          <w:rFonts w:hint="cs"/>
          <w:rtl/>
        </w:rPr>
        <w:t xml:space="preserve"> إنها واردة مورد القضاء، فتدلّ على عدم إمكان كون المرأة قاضية، والإفتاء غير القضاء، ومعه فلا يمكن تسرية الحكم من القضاء إلى الإفتاء، فتكون الرواية أجنبيةً عن مقام بحثنا</w:t>
      </w:r>
      <w:r w:rsidRPr="00815C4C">
        <w:rPr>
          <w:rFonts w:cs="Taher" w:hint="cs"/>
          <w:vertAlign w:val="superscript"/>
          <w:rtl/>
        </w:rPr>
        <w:t>(</w:t>
      </w:r>
      <w:r w:rsidRPr="00815C4C">
        <w:rPr>
          <w:rFonts w:cs="Taher"/>
          <w:vertAlign w:val="superscript"/>
          <w:rtl/>
        </w:rPr>
        <w:footnoteReference w:id="350"/>
      </w:r>
      <w:r w:rsidRPr="00815C4C">
        <w:rPr>
          <w:rFonts w:cs="Taher" w:hint="cs"/>
          <w:vertAlign w:val="superscript"/>
          <w:rtl/>
        </w:rPr>
        <w:t>)</w:t>
      </w:r>
      <w:r>
        <w:rPr>
          <w:rFonts w:hint="cs"/>
          <w:rtl/>
        </w:rPr>
        <w:t>.</w:t>
      </w:r>
    </w:p>
    <w:p w:rsidR="00C832C0" w:rsidRDefault="00C832C0" w:rsidP="00F04A58">
      <w:pPr>
        <w:pStyle w:val="ac"/>
        <w:rPr>
          <w:rtl/>
        </w:rPr>
      </w:pPr>
      <w:r>
        <w:rPr>
          <w:rFonts w:hint="cs"/>
          <w:b/>
          <w:bCs/>
          <w:rtl/>
        </w:rPr>
        <w:t>وقد أجيب</w:t>
      </w:r>
      <w:r>
        <w:rPr>
          <w:rFonts w:hint="cs"/>
          <w:rtl/>
        </w:rPr>
        <w:t xml:space="preserve"> عن هذه المناقشة بادعاء الأولوية، فإذا كان القضاء مشروطاً فيه الذكورة، وهو مجرّد حكم بين شخصين، فإن الإفتاء أولى بهذه الشرطية بعد كونه شاملاً لعموم الناس وأكثر أثراً في حياتهم، ولا أقل من التساوي، مما يفرض تسرية الحكم من القضاء إلى الإفتاء</w:t>
      </w:r>
      <w:r w:rsidRPr="00815C4C">
        <w:rPr>
          <w:rFonts w:cs="Taher" w:hint="cs"/>
          <w:vertAlign w:val="superscript"/>
          <w:rtl/>
        </w:rPr>
        <w:t>(</w:t>
      </w:r>
      <w:r w:rsidRPr="00815C4C">
        <w:rPr>
          <w:rFonts w:cs="Taher"/>
          <w:vertAlign w:val="superscript"/>
          <w:rtl/>
        </w:rPr>
        <w:footnoteReference w:id="351"/>
      </w:r>
      <w:r w:rsidRPr="00815C4C">
        <w:rPr>
          <w:rFonts w:cs="Taher" w:hint="cs"/>
          <w:vertAlign w:val="superscript"/>
          <w:rtl/>
        </w:rPr>
        <w:t>)</w:t>
      </w:r>
      <w:r>
        <w:rPr>
          <w:rFonts w:hint="cs"/>
          <w:rtl/>
        </w:rPr>
        <w:t>.</w:t>
      </w:r>
    </w:p>
    <w:p w:rsidR="00C832C0" w:rsidRDefault="00C832C0" w:rsidP="00F04A58">
      <w:pPr>
        <w:pStyle w:val="ac"/>
        <w:rPr>
          <w:rtl/>
        </w:rPr>
      </w:pPr>
      <w:r>
        <w:rPr>
          <w:rFonts w:hint="cs"/>
          <w:rtl/>
        </w:rPr>
        <w:t>وهذا الجواب ذو نكتة عامة، إذ يمكن عبره التمسّك بمجمل أدلة شرطية الذكورة في القاضي لإثباتها في المُفتي ومرجع التقليد، ومن ثم لا يكون منحصراً بحسنة أبي خديجة</w:t>
      </w:r>
      <w:r w:rsidRPr="00815C4C">
        <w:rPr>
          <w:rFonts w:cs="Taher" w:hint="cs"/>
          <w:vertAlign w:val="superscript"/>
          <w:rtl/>
        </w:rPr>
        <w:t>(</w:t>
      </w:r>
      <w:r w:rsidRPr="00815C4C">
        <w:rPr>
          <w:rFonts w:cs="Taher"/>
          <w:vertAlign w:val="superscript"/>
          <w:rtl/>
        </w:rPr>
        <w:footnoteReference w:id="352"/>
      </w:r>
      <w:r w:rsidRPr="00815C4C">
        <w:rPr>
          <w:rFonts w:cs="Taher" w:hint="cs"/>
          <w:vertAlign w:val="superscript"/>
          <w:rtl/>
        </w:rPr>
        <w:t>)</w:t>
      </w:r>
      <w:r>
        <w:rPr>
          <w:rFonts w:hint="cs"/>
          <w:rtl/>
        </w:rPr>
        <w:t>.</w:t>
      </w:r>
    </w:p>
    <w:p w:rsidR="00C832C0" w:rsidRDefault="00C832C0" w:rsidP="00F04A58">
      <w:pPr>
        <w:pStyle w:val="ac"/>
        <w:rPr>
          <w:rtl/>
        </w:rPr>
      </w:pPr>
      <w:r>
        <w:rPr>
          <w:rFonts w:hint="cs"/>
          <w:b/>
          <w:bCs/>
          <w:rtl/>
        </w:rPr>
        <w:lastRenderedPageBreak/>
        <w:t>ويرد عليه</w:t>
      </w:r>
      <w:r>
        <w:rPr>
          <w:rFonts w:hint="cs"/>
          <w:rtl/>
        </w:rPr>
        <w:t xml:space="preserve"> أن باب القضاء </w:t>
      </w:r>
      <w:r w:rsidR="00A90E63">
        <w:rPr>
          <w:rFonts w:hint="cs"/>
          <w:rtl/>
        </w:rPr>
        <w:t>ـ</w:t>
      </w:r>
      <w:r>
        <w:rPr>
          <w:rFonts w:hint="cs"/>
          <w:rtl/>
        </w:rPr>
        <w:t xml:space="preserve"> على ما ذكره بعض المتأخرين </w:t>
      </w:r>
      <w:r w:rsidR="00A90E63">
        <w:rPr>
          <w:rFonts w:hint="cs"/>
          <w:rtl/>
        </w:rPr>
        <w:t>ـ</w:t>
      </w:r>
      <w:r>
        <w:rPr>
          <w:rFonts w:hint="cs"/>
          <w:rtl/>
        </w:rPr>
        <w:t xml:space="preserve"> مختلف تماماً عن باب الإفتاء، ففي مورده نزاع وغضب واضطراب، أما في الإفتاء فهناك تسليم ومعرفة وطلب، ومن الممكن جداً أن يؤخذ في المورد الأول اشتراط الذكورة؛ نظراً للحاجة إلى عدم العاطفة أو الاضطراب أو الإحساس، على خلاف موارد الإفتاء، إذ لا أثر لهذه القضايا فيها، فهذا الفارق يصلح لإثارة احتمال جادّ في الفرق يمنع عن تسرية الحكم أو إثبات الأولوية</w:t>
      </w:r>
      <w:r w:rsidRPr="00815C4C">
        <w:rPr>
          <w:rFonts w:cs="Taher" w:hint="cs"/>
          <w:vertAlign w:val="superscript"/>
          <w:rtl/>
        </w:rPr>
        <w:t>(</w:t>
      </w:r>
      <w:r w:rsidRPr="00815C4C">
        <w:rPr>
          <w:rFonts w:cs="Taher"/>
          <w:vertAlign w:val="superscript"/>
          <w:rtl/>
        </w:rPr>
        <w:footnoteReference w:id="353"/>
      </w:r>
      <w:r w:rsidRPr="00815C4C">
        <w:rPr>
          <w:rFonts w:cs="Taher" w:hint="cs"/>
          <w:vertAlign w:val="superscript"/>
          <w:rtl/>
        </w:rPr>
        <w:t>)</w:t>
      </w:r>
      <w:r>
        <w:rPr>
          <w:rFonts w:hint="cs"/>
          <w:rtl/>
        </w:rPr>
        <w:t>.</w:t>
      </w:r>
    </w:p>
    <w:p w:rsidR="00C832C0" w:rsidRDefault="00C832C0" w:rsidP="000218F4">
      <w:pPr>
        <w:pStyle w:val="ac"/>
        <w:spacing w:line="209" w:lineRule="auto"/>
        <w:rPr>
          <w:rtl/>
        </w:rPr>
      </w:pPr>
      <w:r>
        <w:rPr>
          <w:rFonts w:hint="cs"/>
          <w:b/>
          <w:bCs/>
          <w:rtl/>
        </w:rPr>
        <w:t>إلا أن</w:t>
      </w:r>
      <w:r>
        <w:rPr>
          <w:rFonts w:hint="cs"/>
          <w:rtl/>
        </w:rPr>
        <w:t xml:space="preserve"> هذا الإيراد </w:t>
      </w:r>
      <w:r w:rsidR="00A90E63">
        <w:rPr>
          <w:rFonts w:hint="cs"/>
          <w:rtl/>
        </w:rPr>
        <w:t>ـ</w:t>
      </w:r>
      <w:r>
        <w:rPr>
          <w:rFonts w:hint="cs"/>
          <w:rtl/>
        </w:rPr>
        <w:t xml:space="preserve"> على صحّته </w:t>
      </w:r>
      <w:r w:rsidR="00A90E63">
        <w:rPr>
          <w:rFonts w:hint="cs"/>
          <w:rtl/>
        </w:rPr>
        <w:t>ـ</w:t>
      </w:r>
      <w:r>
        <w:rPr>
          <w:rFonts w:hint="cs"/>
          <w:rtl/>
        </w:rPr>
        <w:t xml:space="preserve"> غير تام من الجهات جميعها، ذلك أن حالة الغضب والنـزاع المذكورين يواجههما القاضي في الحالات المتعارفة، ولعلّ بالإمكان تجنيب القاضي التورّط في فورة غضب المتنازعين بما قد يؤدّي إلى اضطرابه نفسه بتحويل القضية إليه مدوّنةً دون أن يلتقي أطراف النـزاع ضمن نظام إداري يمكن تحقيقه هذا من جهة، ومن جهة أخرى من غير المعلوم أن الحالات العاطفية بعيدة عن عمل الإفتاء سيما في القضايا الحسّاسة في الاجتماع البشري التي يواجهها الفقيه كل عصر، فتصوّر العملية الاجتهادية عملية سكونية تصوّر كلاسيكي ينسجم مع نمط واحد من أنماط الممارسة الاجتهادية، وفهم واحد لها، وهو نمط غير معلوم صوابه أو على الأقل الانحصار به، ومن ثم يكون احتمال التأثيرات النفسية في الفقيه وارداً أيضاً، وإذا كان هذا الاحتمال أضعف قدراً منه في باب القضاء فإن خطورة المحتمل وشموليته </w:t>
      </w:r>
      <w:r w:rsidR="00A90E63">
        <w:rPr>
          <w:rFonts w:hint="cs"/>
          <w:rtl/>
        </w:rPr>
        <w:t>ـ</w:t>
      </w:r>
      <w:r>
        <w:rPr>
          <w:rFonts w:hint="cs"/>
          <w:rtl/>
        </w:rPr>
        <w:t xml:space="preserve"> كما بيّنه المستدل </w:t>
      </w:r>
      <w:r w:rsidR="00A90E63">
        <w:rPr>
          <w:rFonts w:hint="cs"/>
          <w:rtl/>
        </w:rPr>
        <w:t>ـ</w:t>
      </w:r>
      <w:r>
        <w:rPr>
          <w:rFonts w:hint="cs"/>
          <w:rtl/>
        </w:rPr>
        <w:t xml:space="preserve"> قد تجبر ضعف الاحتمال وتخلق توازناً وتساوياً بين موردي القضاء والإفتاء.</w:t>
      </w:r>
    </w:p>
    <w:p w:rsidR="00C832C0" w:rsidRDefault="00C832C0" w:rsidP="000218F4">
      <w:pPr>
        <w:pStyle w:val="ac"/>
        <w:spacing w:line="209" w:lineRule="auto"/>
        <w:rPr>
          <w:rtl/>
        </w:rPr>
      </w:pPr>
      <w:r>
        <w:rPr>
          <w:rFonts w:hint="cs"/>
          <w:rtl/>
        </w:rPr>
        <w:t>والمتحصّل أننّا غير قادرين على الجزم بتسرية الحكم ولا بعدم تسريته بعد هذا النقض والإبرام، وهذا كاف في ردّ الاستدلال بالرواية المذكورة.</w:t>
      </w:r>
    </w:p>
    <w:p w:rsidR="00C832C0" w:rsidRDefault="00C832C0" w:rsidP="00F04A58">
      <w:pPr>
        <w:pStyle w:val="ac"/>
        <w:rPr>
          <w:rtl/>
        </w:rPr>
      </w:pPr>
      <w:r>
        <w:rPr>
          <w:rFonts w:hint="cs"/>
          <w:b/>
          <w:bCs/>
          <w:rtl/>
        </w:rPr>
        <w:t>الثانية:</w:t>
      </w:r>
      <w:r>
        <w:rPr>
          <w:rFonts w:hint="cs"/>
          <w:rtl/>
        </w:rPr>
        <w:t xml:space="preserve"> ما أفاده السيد الخوئي وغيره من أن عنوان الرجل الذي أخذ في لسان الرواية إنما جاء على ما هو الغالب آنذاك في القضاء، إذ الرواية جاءت لبيان القاضي الشرعي مقابل قضاة الجور الذين كانوا آنذاك، وأغلبهم من الرجال، وهذا معناه أن </w:t>
      </w:r>
      <w:r>
        <w:rPr>
          <w:rFonts w:hint="cs"/>
          <w:rtl/>
        </w:rPr>
        <w:lastRenderedPageBreak/>
        <w:t>عنوان الرجل ليس عنواناً تعبدياً بل غالبياً، وفي مثله لا يكون احترازياً لنفي غيره كما هو معروف</w:t>
      </w:r>
      <w:r w:rsidRPr="00815C4C">
        <w:rPr>
          <w:rFonts w:cs="Taher" w:hint="cs"/>
          <w:vertAlign w:val="superscript"/>
          <w:rtl/>
        </w:rPr>
        <w:t>(</w:t>
      </w:r>
      <w:r w:rsidRPr="00815C4C">
        <w:rPr>
          <w:rFonts w:cs="Taher"/>
          <w:vertAlign w:val="superscript"/>
          <w:rtl/>
        </w:rPr>
        <w:footnoteReference w:id="354"/>
      </w:r>
      <w:r w:rsidRPr="00815C4C">
        <w:rPr>
          <w:rFonts w:cs="Taher" w:hint="cs"/>
          <w:vertAlign w:val="superscript"/>
          <w:rtl/>
        </w:rPr>
        <w:t>)</w:t>
      </w:r>
      <w:r>
        <w:rPr>
          <w:rFonts w:hint="cs"/>
          <w:rtl/>
        </w:rPr>
        <w:t>.</w:t>
      </w:r>
    </w:p>
    <w:p w:rsidR="00C832C0" w:rsidRDefault="00C832C0" w:rsidP="00F04A58">
      <w:pPr>
        <w:pStyle w:val="ac"/>
        <w:rPr>
          <w:rtl/>
        </w:rPr>
      </w:pPr>
      <w:r>
        <w:rPr>
          <w:rFonts w:hint="cs"/>
          <w:rtl/>
        </w:rPr>
        <w:t xml:space="preserve">وإن شئت بيان المناقشة من ناحية أخرى أمكن القول </w:t>
      </w:r>
      <w:r w:rsidR="00A90E63">
        <w:rPr>
          <w:rFonts w:hint="cs"/>
          <w:rtl/>
        </w:rPr>
        <w:t>ـ</w:t>
      </w:r>
      <w:r>
        <w:rPr>
          <w:rFonts w:hint="cs"/>
          <w:rtl/>
        </w:rPr>
        <w:t xml:space="preserve"> كما ذكره آية الله الصدر </w:t>
      </w:r>
      <w:r w:rsidR="00A90E63">
        <w:rPr>
          <w:rFonts w:hint="cs"/>
          <w:rtl/>
        </w:rPr>
        <w:t>ـ</w:t>
      </w:r>
      <w:r>
        <w:rPr>
          <w:rFonts w:hint="cs"/>
          <w:rtl/>
        </w:rPr>
        <w:t xml:space="preserve"> بأن عنوان الرجل إنما أتي به على نحو المثالية لمطلق القاضي لا على نحو الموضوعية النافية لغيره، وهذا معناه أن الرواية لا تريد أخذ قيد الرجولة في القضاء نفسه فضلاً عن الإفتاء</w:t>
      </w:r>
      <w:r w:rsidRPr="00815C4C">
        <w:rPr>
          <w:rFonts w:cs="Taher" w:hint="cs"/>
          <w:vertAlign w:val="superscript"/>
          <w:rtl/>
        </w:rPr>
        <w:t>(</w:t>
      </w:r>
      <w:r w:rsidRPr="00815C4C">
        <w:rPr>
          <w:rFonts w:cs="Taher"/>
          <w:vertAlign w:val="superscript"/>
          <w:rtl/>
        </w:rPr>
        <w:footnoteReference w:id="355"/>
      </w:r>
      <w:r w:rsidRPr="00815C4C">
        <w:rPr>
          <w:rFonts w:cs="Taher" w:hint="cs"/>
          <w:vertAlign w:val="superscript"/>
          <w:rtl/>
        </w:rPr>
        <w:t>)</w:t>
      </w:r>
      <w:r>
        <w:rPr>
          <w:rFonts w:hint="cs"/>
          <w:rtl/>
        </w:rPr>
        <w:t>.</w:t>
      </w:r>
    </w:p>
    <w:p w:rsidR="00C832C0" w:rsidRDefault="00C832C0" w:rsidP="000218F4">
      <w:pPr>
        <w:pStyle w:val="ac"/>
        <w:spacing w:line="209" w:lineRule="auto"/>
        <w:rPr>
          <w:rtl/>
        </w:rPr>
      </w:pPr>
      <w:r>
        <w:rPr>
          <w:rFonts w:hint="cs"/>
          <w:rtl/>
        </w:rPr>
        <w:t>ولمزيد من تطوير هذا الكلام يمكن الاستعانة بصياغة العلامة شمس الدين حيث اعتبر أن كثيراً من تكاليف الكتاب والسنة قد وردت بصيغة المذكّر مع شمولها للأنثى بالاتفاق</w:t>
      </w:r>
      <w:r w:rsidRPr="00815C4C">
        <w:rPr>
          <w:rFonts w:cs="Taher" w:hint="cs"/>
          <w:vertAlign w:val="superscript"/>
          <w:rtl/>
        </w:rPr>
        <w:t>(</w:t>
      </w:r>
      <w:r w:rsidRPr="00815C4C">
        <w:rPr>
          <w:rFonts w:cs="Taher"/>
          <w:vertAlign w:val="superscript"/>
          <w:rtl/>
        </w:rPr>
        <w:footnoteReference w:id="356"/>
      </w:r>
      <w:r w:rsidRPr="00815C4C">
        <w:rPr>
          <w:rFonts w:cs="Taher" w:hint="cs"/>
          <w:vertAlign w:val="superscript"/>
          <w:rtl/>
        </w:rPr>
        <w:t>)</w:t>
      </w:r>
      <w:r>
        <w:rPr>
          <w:rFonts w:hint="cs"/>
          <w:rtl/>
        </w:rPr>
        <w:t>.</w:t>
      </w:r>
    </w:p>
    <w:p w:rsidR="00C832C0" w:rsidRDefault="00C832C0" w:rsidP="000218F4">
      <w:pPr>
        <w:pStyle w:val="ac"/>
        <w:spacing w:line="209" w:lineRule="auto"/>
        <w:rPr>
          <w:rtl/>
        </w:rPr>
      </w:pPr>
      <w:r>
        <w:rPr>
          <w:rFonts w:hint="cs"/>
          <w:b/>
          <w:bCs/>
          <w:rtl/>
        </w:rPr>
        <w:t>وهذه المناقشة</w:t>
      </w:r>
      <w:r>
        <w:rPr>
          <w:rFonts w:hint="cs"/>
          <w:rtl/>
        </w:rPr>
        <w:t xml:space="preserve"> متينة، فإن مبدأ الموضوعية في العناوين المأخوذة في ألسنة الأدلّة يمكن الخروج عنه عند وجود قرينة، وهي متوفّرة هنا، بالبيانات المبرزة آنفاً، ولا أقلّ من أنّ شدّة احتمال الطريقيّة في العنوان تمنع عن حمله على الموضوعية، فإنّ أصالة الموضوعية في العناوين المأخوذة في ألسنة الأدلّة ليست سوى بالظهور والتباني العقلائي في باب المحاورات، فإذا شككنا </w:t>
      </w:r>
      <w:r w:rsidR="00A90E63">
        <w:rPr>
          <w:rFonts w:hint="cs"/>
          <w:rtl/>
        </w:rPr>
        <w:t>ـ</w:t>
      </w:r>
      <w:r>
        <w:rPr>
          <w:rFonts w:hint="cs"/>
          <w:rtl/>
        </w:rPr>
        <w:t xml:space="preserve"> وهو كذلك هنا إن لم نقل بالاطمئنان </w:t>
      </w:r>
      <w:r w:rsidR="00A90E63">
        <w:rPr>
          <w:rFonts w:hint="cs"/>
          <w:rtl/>
        </w:rPr>
        <w:t>ـ</w:t>
      </w:r>
      <w:r>
        <w:rPr>
          <w:rFonts w:hint="cs"/>
          <w:rtl/>
        </w:rPr>
        <w:t xml:space="preserve"> في إرادة العنوان على نحو الموضوعية شكّاً معتدّاً به عند العقلاء، فلا يُحرز انعقاد السيرة العقلائية على العمل بأصالة الموضوعية، فينقلب الدليل مجملاً يؤخذ فيه بالقدر المتيقن إن كان، وهو هنا الرجل، دون أن ينفي غيره، أي المرأة، وهو المطلوب.</w:t>
      </w:r>
    </w:p>
    <w:p w:rsidR="00C832C0" w:rsidRDefault="00C832C0" w:rsidP="00F04A58">
      <w:pPr>
        <w:pStyle w:val="ac"/>
        <w:rPr>
          <w:rtl/>
        </w:rPr>
      </w:pPr>
      <w:r>
        <w:rPr>
          <w:rFonts w:hint="cs"/>
          <w:rtl/>
        </w:rPr>
        <w:t xml:space="preserve">نعم، الصيغة التي ذكرها العلامة شمس الدين يمكن تسجيل ملاحظة عليها من </w:t>
      </w:r>
      <w:r>
        <w:rPr>
          <w:rFonts w:hint="cs"/>
          <w:rtl/>
        </w:rPr>
        <w:lastRenderedPageBreak/>
        <w:t>ناحيتين:</w:t>
      </w:r>
    </w:p>
    <w:p w:rsidR="00C832C0" w:rsidRDefault="00C832C0" w:rsidP="000218F4">
      <w:pPr>
        <w:pStyle w:val="ac"/>
        <w:spacing w:line="199" w:lineRule="auto"/>
        <w:rPr>
          <w:rtl/>
        </w:rPr>
      </w:pPr>
      <w:r w:rsidRPr="00E470F2">
        <w:rPr>
          <w:rFonts w:hint="cs"/>
          <w:b/>
          <w:bCs/>
          <w:rtl/>
        </w:rPr>
        <w:t xml:space="preserve">أ </w:t>
      </w:r>
      <w:r w:rsidR="00A90E63" w:rsidRPr="00E470F2">
        <w:rPr>
          <w:rFonts w:hint="cs"/>
          <w:b/>
          <w:bCs/>
          <w:rtl/>
        </w:rPr>
        <w:t>ـ</w:t>
      </w:r>
      <w:r>
        <w:rPr>
          <w:rFonts w:hint="cs"/>
          <w:rtl/>
        </w:rPr>
        <w:t xml:space="preserve"> إن النصوص التي ذكر أنها جاءت بخطاب المذكّر، وعمّمها علماء المسلمين لغير الرجل، نصوصٌ غير خاصة بالرجل، بل عامّة له ولغيره، غايته أنها جاءت بصيغة المذكّر على سبيل التغليب، مثل: الذين آمنوا، المؤمنون، المسلمون و..، وهذا ما يختلف عن مثل المقام، حيث استخدمت عبارة أو كلمة لا يصحّ التغليب فيها بمعناه المصطلح في علوم اللغة، وهي الرجل، ومثل هذا الاستخدام مختلف تماماً عن استخدام مفهوم المؤمن الشامل بمضمونه الدلالي للرجل والمرأة، والمختصّ بصيغته اللغوية بالرجل؛ للتغليب المعروف في لغة العرب، فعنوان الرجل لا يمكن أن يشمل المرأة بالتغليب على خلاف عنوان المؤمن.</w:t>
      </w:r>
    </w:p>
    <w:p w:rsidR="00C832C0" w:rsidRDefault="00C832C0" w:rsidP="000218F4">
      <w:pPr>
        <w:pStyle w:val="ac"/>
        <w:spacing w:line="199" w:lineRule="auto"/>
        <w:rPr>
          <w:rtl/>
        </w:rPr>
      </w:pPr>
      <w:r w:rsidRPr="00E470F2">
        <w:rPr>
          <w:rFonts w:hint="cs"/>
          <w:b/>
          <w:bCs/>
          <w:rtl/>
        </w:rPr>
        <w:t xml:space="preserve">ب </w:t>
      </w:r>
      <w:r w:rsidR="00A90E63" w:rsidRPr="00E470F2">
        <w:rPr>
          <w:rFonts w:hint="cs"/>
          <w:b/>
          <w:bCs/>
          <w:rtl/>
        </w:rPr>
        <w:t>ـ</w:t>
      </w:r>
      <w:r>
        <w:rPr>
          <w:rFonts w:hint="cs"/>
          <w:rtl/>
        </w:rPr>
        <w:t xml:space="preserve"> قد يقال: إن الخطابات المذكّرة الواردة في الكتاب والسنّة خاصّة بالرجل من حيث ذاتها، وأن تعميمها لغيره إنما جاء من دليل خارجي هو قاعدة اشتراك الأحكام بين الذكور والإناث، وهذا المبنى وإن رفضناه، إلا أن تبنّيه لفقيهٍ هنا من شأنه أن يغيّر الرؤية، ذلك أن هذه القاعدة قد لا يُحرز جريانها في مثل الموارد المشكوكة من حيث بنية النص ودلالته، كالذي نحن فيه، إذ ربما لا إطلاق لها يرجع إليه، وإنّما كانت أدلّتها العمدة من نوع الأدلّة اللبيّة كالإجماع والضرورة</w:t>
      </w:r>
      <w:r w:rsidRPr="00815C4C">
        <w:rPr>
          <w:rFonts w:cs="Taher" w:hint="cs"/>
          <w:vertAlign w:val="superscript"/>
          <w:rtl/>
        </w:rPr>
        <w:t>(</w:t>
      </w:r>
      <w:r w:rsidRPr="00815C4C">
        <w:rPr>
          <w:rFonts w:cs="Taher"/>
          <w:vertAlign w:val="superscript"/>
          <w:rtl/>
        </w:rPr>
        <w:footnoteReference w:id="357"/>
      </w:r>
      <w:r w:rsidRPr="00815C4C">
        <w:rPr>
          <w:rFonts w:cs="Taher" w:hint="cs"/>
          <w:vertAlign w:val="superscript"/>
          <w:rtl/>
        </w:rPr>
        <w:t>)</w:t>
      </w:r>
      <w:r>
        <w:rPr>
          <w:rFonts w:hint="cs"/>
          <w:rtl/>
        </w:rPr>
        <w:t>.</w:t>
      </w:r>
    </w:p>
    <w:p w:rsidR="00C832C0" w:rsidRDefault="00C832C0" w:rsidP="00F04A58">
      <w:pPr>
        <w:pStyle w:val="ac"/>
        <w:rPr>
          <w:rtl/>
        </w:rPr>
      </w:pPr>
      <w:r>
        <w:rPr>
          <w:rFonts w:hint="cs"/>
          <w:rtl/>
        </w:rPr>
        <w:t>ووفقاً لذلك كلّه، فإصرار بعض العلماء على موضوعيّة عنوان الرجل في غير محلّه</w:t>
      </w:r>
      <w:r w:rsidRPr="00815C4C">
        <w:rPr>
          <w:rFonts w:cs="Taher" w:hint="cs"/>
          <w:vertAlign w:val="superscript"/>
          <w:rtl/>
        </w:rPr>
        <w:t>(</w:t>
      </w:r>
      <w:r w:rsidRPr="00815C4C">
        <w:rPr>
          <w:rFonts w:cs="Taher"/>
          <w:vertAlign w:val="superscript"/>
          <w:rtl/>
        </w:rPr>
        <w:footnoteReference w:id="358"/>
      </w:r>
      <w:r w:rsidRPr="00815C4C">
        <w:rPr>
          <w:rFonts w:cs="Taher" w:hint="cs"/>
          <w:vertAlign w:val="superscript"/>
          <w:rtl/>
        </w:rPr>
        <w:t>)</w:t>
      </w:r>
      <w:r>
        <w:rPr>
          <w:rFonts w:hint="cs"/>
          <w:rtl/>
        </w:rPr>
        <w:t xml:space="preserve">، أفهل يصرّون على ذلك لو جاء سؤال عن رجل نجّس يده كيف يطهّرها؟ ويحكمون </w:t>
      </w:r>
      <w:r>
        <w:rPr>
          <w:rFonts w:hint="cs"/>
          <w:rtl/>
        </w:rPr>
        <w:lastRenderedPageBreak/>
        <w:t>باختصاصه بالرجل، مع أن العديد من الروايات جاءت على هذه الطريقة، فراجع مصادر الحديث لتتأكّد كم مرّة استخدم عنوان الرجل وتمّ تسرية الحكم إلى غيره.</w:t>
      </w:r>
    </w:p>
    <w:p w:rsidR="00C832C0" w:rsidRDefault="00C832C0" w:rsidP="000218F4">
      <w:pPr>
        <w:pStyle w:val="ac"/>
        <w:spacing w:line="209" w:lineRule="auto"/>
        <w:rPr>
          <w:rtl/>
        </w:rPr>
      </w:pPr>
      <w:r>
        <w:rPr>
          <w:rFonts w:hint="cs"/>
          <w:rtl/>
        </w:rPr>
        <w:t>هذا، وقد أجاب بعض المعاصرين عن إشكال الغالبية بأنه إنما يمنع الأخذ بالإطلاق عندما يكون إطلاق في البين يعمّ مورد القيد وعدمه، أما هنا فلا يوجد إطلاق في أدلّة القضاء</w:t>
      </w:r>
      <w:r w:rsidRPr="00815C4C">
        <w:rPr>
          <w:rFonts w:cs="Taher" w:hint="cs"/>
          <w:vertAlign w:val="superscript"/>
          <w:rtl/>
        </w:rPr>
        <w:t>(</w:t>
      </w:r>
      <w:r w:rsidRPr="00815C4C">
        <w:rPr>
          <w:rFonts w:cs="Taher"/>
          <w:vertAlign w:val="superscript"/>
          <w:rtl/>
        </w:rPr>
        <w:footnoteReference w:id="359"/>
      </w:r>
      <w:r w:rsidRPr="00815C4C">
        <w:rPr>
          <w:rFonts w:cs="Taher" w:hint="cs"/>
          <w:vertAlign w:val="superscript"/>
          <w:rtl/>
        </w:rPr>
        <w:t>)</w:t>
      </w:r>
      <w:r>
        <w:rPr>
          <w:rFonts w:hint="cs"/>
          <w:rtl/>
        </w:rPr>
        <w:t xml:space="preserve">. </w:t>
      </w:r>
    </w:p>
    <w:p w:rsidR="00C832C0" w:rsidRDefault="00C832C0" w:rsidP="000218F4">
      <w:pPr>
        <w:pStyle w:val="ac"/>
        <w:spacing w:line="209" w:lineRule="auto"/>
        <w:rPr>
          <w:rtl/>
        </w:rPr>
      </w:pPr>
      <w:r>
        <w:rPr>
          <w:rFonts w:hint="cs"/>
          <w:rtl/>
        </w:rPr>
        <w:t>وهذا كلام صحيح لو أردنا جعل المدرك في تقليد المرأة حسنةَ أبي خديجة، نعم، فهي لا تصلح أن تعمّم، إلا أننا لا نريد جعل الحسنة المذكورة مدركاً لعدم الاشتراط بقدر ما نريد إبطال جعلها مدركاً للاشتراط، كما يظهر ممّن ناقشها عادةً.</w:t>
      </w:r>
    </w:p>
    <w:p w:rsidR="00C832C0" w:rsidRDefault="00C832C0" w:rsidP="000218F4">
      <w:pPr>
        <w:pStyle w:val="ac"/>
        <w:spacing w:line="209" w:lineRule="auto"/>
        <w:rPr>
          <w:rtl/>
        </w:rPr>
      </w:pPr>
      <w:r>
        <w:rPr>
          <w:rFonts w:hint="cs"/>
          <w:b/>
          <w:bCs/>
          <w:rtl/>
        </w:rPr>
        <w:t>الثالثة:</w:t>
      </w:r>
      <w:r>
        <w:rPr>
          <w:rFonts w:hint="cs"/>
          <w:rtl/>
        </w:rPr>
        <w:t xml:space="preserve"> إنّ التمسّك بهذه الرواية إنما يقوم على مفهوم اللقب أو الوصف، وهما غير ثابتين في الأصول، كقاعدة عامة، ومع التنـزل عن ذلك ولو بتبنّي مفهوم السالبة الجزئية الذي ذهب إليه أمثال السيد الخوئي في بحث المفاهيم من أصول الفقه</w:t>
      </w:r>
      <w:r w:rsidRPr="00815C4C">
        <w:rPr>
          <w:rFonts w:cs="Taher" w:hint="cs"/>
          <w:vertAlign w:val="superscript"/>
          <w:rtl/>
        </w:rPr>
        <w:t>(</w:t>
      </w:r>
      <w:r w:rsidRPr="00815C4C">
        <w:rPr>
          <w:rFonts w:cs="Taher"/>
          <w:vertAlign w:val="superscript"/>
          <w:rtl/>
        </w:rPr>
        <w:footnoteReference w:id="360"/>
      </w:r>
      <w:r w:rsidRPr="00815C4C">
        <w:rPr>
          <w:rFonts w:cs="Taher" w:hint="cs"/>
          <w:vertAlign w:val="superscript"/>
          <w:rtl/>
        </w:rPr>
        <w:t>)</w:t>
      </w:r>
      <w:r>
        <w:rPr>
          <w:rFonts w:hint="cs"/>
          <w:rtl/>
        </w:rPr>
        <w:t>، أو القول بكونه في مقام البيان من حيث القيود بتفاصيلها، يمكن القول بأن مثل رواية أو روايتين لا يصلحان ردعاً عن بناء العقلاء على رجوع الجاهل إلى العالم دون تمييز بين الرجل والمرأة، مع غض النظر عن الروايات الأخرى التي أشرنا إلى تكوينها بناءً متشرعياً رادعاً كما ستأتي مناقشتها.</w:t>
      </w:r>
    </w:p>
    <w:p w:rsidR="00C832C0" w:rsidRDefault="00C832C0" w:rsidP="000218F4">
      <w:pPr>
        <w:pStyle w:val="ac"/>
        <w:spacing w:line="209" w:lineRule="auto"/>
        <w:rPr>
          <w:rtl/>
        </w:rPr>
      </w:pPr>
      <w:r>
        <w:rPr>
          <w:rFonts w:hint="cs"/>
          <w:rtl/>
        </w:rPr>
        <w:t xml:space="preserve">وبعبارة أخرى، ربما تصلح رواية أو روايات بهذه الدرجة من الدلالة في تخصيص عمومات لفظية كعمومات التقليد، إلا أنّها لا تصلح </w:t>
      </w:r>
      <w:r w:rsidR="00A90E63">
        <w:rPr>
          <w:rFonts w:hint="cs"/>
          <w:rtl/>
        </w:rPr>
        <w:t>ـ</w:t>
      </w:r>
      <w:r>
        <w:rPr>
          <w:rFonts w:hint="cs"/>
          <w:rtl/>
        </w:rPr>
        <w:t xml:space="preserve"> لوحدها </w:t>
      </w:r>
      <w:r w:rsidR="00A90E63">
        <w:rPr>
          <w:rFonts w:hint="cs"/>
          <w:rtl/>
        </w:rPr>
        <w:t>ـ</w:t>
      </w:r>
      <w:r>
        <w:rPr>
          <w:rFonts w:hint="cs"/>
          <w:rtl/>
        </w:rPr>
        <w:t xml:space="preserve"> رادعاً عن ارتكاز عقلائي راسخ في رجوع الجاهل إلى العالم دون تمييز في جنسيته، تماماً كما لا تصلح رواية أو روايتان بهذه الدلالة في الردع عن حجية الظهور المؤسّسة عقلائياً والراسخة في حياة العقلاء، اللهم إلا إذا قيل بإمكان ذلك بعد أن كانت الرواية لا تريد الردع عن هذا الارتكاز مطلقاً، بل تحديد دائرته بغير الفتوى والقضاء.</w:t>
      </w:r>
    </w:p>
    <w:p w:rsidR="00C832C0" w:rsidRDefault="00C832C0" w:rsidP="000218F4">
      <w:pPr>
        <w:pStyle w:val="ac"/>
        <w:spacing w:line="209" w:lineRule="auto"/>
        <w:rPr>
          <w:rtl/>
        </w:rPr>
      </w:pPr>
      <w:r w:rsidRPr="00F04A58">
        <w:rPr>
          <w:b/>
          <w:bCs/>
          <w:rtl/>
        </w:rPr>
        <w:lastRenderedPageBreak/>
        <w:t>الرواية الثانية:</w:t>
      </w:r>
      <w:r>
        <w:rPr>
          <w:rFonts w:hint="cs"/>
          <w:rtl/>
        </w:rPr>
        <w:t xml:space="preserve"> مقبولة عمر بن حنظلة قال: «سألت أبا عبد الله</w:t>
      </w:r>
      <w:r w:rsidR="00E470F2">
        <w:rPr>
          <w:rFonts w:hint="cs"/>
          <w:rtl/>
        </w:rPr>
        <w:t>×</w:t>
      </w:r>
      <w:r>
        <w:rPr>
          <w:rFonts w:hint="cs"/>
          <w:rtl/>
        </w:rPr>
        <w:t xml:space="preserve"> عن رجلين من أصحابنا بينهما منازعة في دين أو ميراث، قلت: فكيف يصنعان؟ قال: ينظران من كان منكم ممن قد روى حديثنا، ونظر في حلالنا وحرامنا، وعرف أحكامنا فليرضوا به حكماً، فإني قد جعلته عليكم حاكماً، فإذا حكم بحكمنا فلم يقبل منه، فإنما استخفّ بحكم الله وعليه ردّ»</w:t>
      </w:r>
      <w:r w:rsidRPr="00815C4C">
        <w:rPr>
          <w:rFonts w:cs="Taher" w:hint="cs"/>
          <w:vertAlign w:val="superscript"/>
          <w:rtl/>
        </w:rPr>
        <w:t>(</w:t>
      </w:r>
      <w:r w:rsidRPr="00815C4C">
        <w:rPr>
          <w:rFonts w:cs="Taher"/>
          <w:vertAlign w:val="superscript"/>
          <w:rtl/>
        </w:rPr>
        <w:footnoteReference w:id="361"/>
      </w:r>
      <w:r w:rsidRPr="00815C4C">
        <w:rPr>
          <w:rFonts w:cs="Taher" w:hint="cs"/>
          <w:vertAlign w:val="superscript"/>
          <w:rtl/>
        </w:rPr>
        <w:t>)</w:t>
      </w:r>
      <w:r>
        <w:rPr>
          <w:rFonts w:hint="cs"/>
          <w:rtl/>
        </w:rPr>
        <w:t>، ومثل هذه المقبولة الخبر المعروف: «أما من كان من الفقهاء صائناً لنفسه ..»</w:t>
      </w:r>
      <w:r w:rsidRPr="00815C4C">
        <w:rPr>
          <w:rFonts w:cs="Taher" w:hint="cs"/>
          <w:vertAlign w:val="superscript"/>
          <w:rtl/>
        </w:rPr>
        <w:t>(</w:t>
      </w:r>
      <w:r w:rsidRPr="00815C4C">
        <w:rPr>
          <w:rFonts w:cs="Taher"/>
          <w:vertAlign w:val="superscript"/>
          <w:rtl/>
        </w:rPr>
        <w:footnoteReference w:id="362"/>
      </w:r>
      <w:r w:rsidRPr="00815C4C">
        <w:rPr>
          <w:rFonts w:cs="Taher" w:hint="cs"/>
          <w:vertAlign w:val="superscript"/>
          <w:rtl/>
        </w:rPr>
        <w:t>)</w:t>
      </w:r>
      <w:r>
        <w:rPr>
          <w:rFonts w:hint="cs"/>
          <w:rtl/>
        </w:rPr>
        <w:t>.</w:t>
      </w:r>
    </w:p>
    <w:p w:rsidR="00C832C0" w:rsidRDefault="00C832C0" w:rsidP="000218F4">
      <w:pPr>
        <w:pStyle w:val="ac"/>
        <w:spacing w:line="209" w:lineRule="auto"/>
        <w:rPr>
          <w:rtl/>
        </w:rPr>
      </w:pPr>
      <w:r>
        <w:rPr>
          <w:rFonts w:hint="cs"/>
          <w:b/>
          <w:bCs/>
          <w:rtl/>
        </w:rPr>
        <w:t xml:space="preserve">وقد نوقشت </w:t>
      </w:r>
      <w:r>
        <w:rPr>
          <w:rFonts w:hint="cs"/>
          <w:rtl/>
        </w:rPr>
        <w:t>هذه الرواية بما نوقشت به سابقتها، ويجري الكلام فيها كما جرى فيها تماماً</w:t>
      </w:r>
      <w:r w:rsidRPr="00815C4C">
        <w:rPr>
          <w:rFonts w:cs="Taher" w:hint="cs"/>
          <w:vertAlign w:val="superscript"/>
          <w:rtl/>
        </w:rPr>
        <w:t>(</w:t>
      </w:r>
      <w:r w:rsidRPr="00815C4C">
        <w:rPr>
          <w:rFonts w:cs="Taher"/>
          <w:vertAlign w:val="superscript"/>
          <w:rtl/>
        </w:rPr>
        <w:footnoteReference w:id="363"/>
      </w:r>
      <w:r w:rsidRPr="00815C4C">
        <w:rPr>
          <w:rFonts w:cs="Taher" w:hint="cs"/>
          <w:vertAlign w:val="superscript"/>
          <w:rtl/>
        </w:rPr>
        <w:t>)</w:t>
      </w:r>
      <w:r>
        <w:rPr>
          <w:rFonts w:hint="cs"/>
          <w:rtl/>
        </w:rPr>
        <w:t xml:space="preserve">، مضافاً إلى مناقشات خاصّة بها وهي: </w:t>
      </w:r>
    </w:p>
    <w:p w:rsidR="00C832C0" w:rsidRDefault="00C832C0" w:rsidP="000218F4">
      <w:pPr>
        <w:pStyle w:val="ac"/>
        <w:spacing w:line="209" w:lineRule="auto"/>
        <w:rPr>
          <w:rtl/>
        </w:rPr>
      </w:pPr>
      <w:r>
        <w:rPr>
          <w:rFonts w:hint="cs"/>
          <w:b/>
          <w:bCs/>
          <w:rtl/>
        </w:rPr>
        <w:t>المناقشة الأولى:</w:t>
      </w:r>
      <w:r>
        <w:rPr>
          <w:rFonts w:hint="cs"/>
          <w:rtl/>
        </w:rPr>
        <w:t xml:space="preserve"> إن جملة «من كان منكم» لا تدلّ على الرجل، إذ هذا التعبير يشمل الذكر والأنثى</w:t>
      </w:r>
      <w:r w:rsidRPr="00815C4C">
        <w:rPr>
          <w:rFonts w:cs="Taher" w:hint="cs"/>
          <w:vertAlign w:val="superscript"/>
          <w:rtl/>
        </w:rPr>
        <w:t>(</w:t>
      </w:r>
      <w:r w:rsidRPr="00815C4C">
        <w:rPr>
          <w:rFonts w:cs="Taher"/>
          <w:vertAlign w:val="superscript"/>
          <w:rtl/>
        </w:rPr>
        <w:footnoteReference w:id="364"/>
      </w:r>
      <w:r w:rsidRPr="00815C4C">
        <w:rPr>
          <w:rFonts w:cs="Taher" w:hint="cs"/>
          <w:vertAlign w:val="superscript"/>
          <w:rtl/>
        </w:rPr>
        <w:t>)</w:t>
      </w:r>
      <w:r>
        <w:rPr>
          <w:rFonts w:hint="cs"/>
          <w:rtl/>
        </w:rPr>
        <w:t>، والتذكير فيه تغليبي، كما هو المتعارف في اللغة العربية، وفي ألسنة التشريعات الواردة في الكتاب والسنة، ومعه لا مجال لتوهّم الاختصاص بالرجل.</w:t>
      </w:r>
    </w:p>
    <w:p w:rsidR="00C832C0" w:rsidRDefault="00C832C0" w:rsidP="000218F4">
      <w:pPr>
        <w:pStyle w:val="ac"/>
        <w:spacing w:line="209" w:lineRule="auto"/>
        <w:rPr>
          <w:rtl/>
        </w:rPr>
      </w:pPr>
      <w:r>
        <w:rPr>
          <w:rFonts w:hint="cs"/>
          <w:rtl/>
        </w:rPr>
        <w:t>وقد ردّ هذه المناقشة المرعشي النجفي (1411هـ) بأنها قد تتمّ في كلمة «من»، أما كلمة «منكم» فهي ظاهرة في الرجولية</w:t>
      </w:r>
      <w:r w:rsidRPr="00815C4C">
        <w:rPr>
          <w:rFonts w:cs="Taher" w:hint="cs"/>
          <w:vertAlign w:val="superscript"/>
          <w:rtl/>
        </w:rPr>
        <w:t>(</w:t>
      </w:r>
      <w:r w:rsidRPr="00815C4C">
        <w:rPr>
          <w:rFonts w:cs="Taher"/>
          <w:vertAlign w:val="superscript"/>
          <w:rtl/>
        </w:rPr>
        <w:footnoteReference w:id="365"/>
      </w:r>
      <w:r w:rsidRPr="00815C4C">
        <w:rPr>
          <w:rFonts w:cs="Taher" w:hint="cs"/>
          <w:vertAlign w:val="superscript"/>
          <w:rtl/>
        </w:rPr>
        <w:t>)</w:t>
      </w:r>
      <w:r>
        <w:rPr>
          <w:rFonts w:hint="cs"/>
          <w:rtl/>
        </w:rPr>
        <w:t>.</w:t>
      </w:r>
    </w:p>
    <w:p w:rsidR="00C832C0" w:rsidRDefault="00C832C0" w:rsidP="000218F4">
      <w:pPr>
        <w:pStyle w:val="ac"/>
        <w:spacing w:line="209" w:lineRule="auto"/>
        <w:rPr>
          <w:rtl/>
        </w:rPr>
      </w:pPr>
      <w:r>
        <w:rPr>
          <w:rFonts w:hint="cs"/>
          <w:rtl/>
        </w:rPr>
        <w:t xml:space="preserve">إلا أنّ هذا الردّ لا يرد على البيان الذي ذكرناه للمناقشة من التغليب، واستعمال مثل «منكم» في النصوص الدينية في الأعم الحاكي عن الجماعة بقطع النظر عن الجنس لا يكاد يحصى، ومعه لا يحصل ظهور دالّ في الاختصاص بالرجل لمن راجع مجمل نصوص الكتاب والسنّة، نعم قد لا يحصل منها ظهور في الأعمّ، وهذا ليس بضائر بعد </w:t>
      </w:r>
      <w:r>
        <w:rPr>
          <w:rFonts w:hint="cs"/>
          <w:rtl/>
        </w:rPr>
        <w:lastRenderedPageBreak/>
        <w:t>أن كان المطلوب إثبات عدم كون المقبولة دليلاً للشرطية، لا كونها دليلاً لعدمها.</w:t>
      </w:r>
    </w:p>
    <w:p w:rsidR="00C832C0" w:rsidRDefault="00C832C0" w:rsidP="000218F4">
      <w:pPr>
        <w:pStyle w:val="ac"/>
        <w:spacing w:line="199" w:lineRule="auto"/>
        <w:rPr>
          <w:rtl/>
        </w:rPr>
      </w:pPr>
      <w:r>
        <w:rPr>
          <w:rFonts w:hint="cs"/>
          <w:b/>
          <w:bCs/>
          <w:rtl/>
        </w:rPr>
        <w:t xml:space="preserve">المناقشة الثانية: </w:t>
      </w:r>
      <w:r>
        <w:rPr>
          <w:rFonts w:hint="cs"/>
          <w:rtl/>
        </w:rPr>
        <w:t>ما أفاده السيد الخوئي أيضاً وغيره من أن الرواية ضعيفة السند بابن حنظلة نفسه، إذ لم يرد فيه توثيق في المصادر الرجالية، والرواية الواردة في توثيقه ثمّة في سندها يزيد بن خليفة، وهو غير موثّق إلا على مبنى توثيق من يروي عنه أحد المشايخ الثلاثة ونحو ذلك، والمبنى مرفوض في علم الرجال</w:t>
      </w:r>
      <w:r w:rsidRPr="00815C4C">
        <w:rPr>
          <w:rFonts w:cs="Taher" w:hint="cs"/>
          <w:vertAlign w:val="superscript"/>
          <w:rtl/>
        </w:rPr>
        <w:t>(</w:t>
      </w:r>
      <w:r w:rsidRPr="00815C4C">
        <w:rPr>
          <w:rFonts w:cs="Taher"/>
          <w:vertAlign w:val="superscript"/>
          <w:rtl/>
        </w:rPr>
        <w:footnoteReference w:id="366"/>
      </w:r>
      <w:r w:rsidRPr="00815C4C">
        <w:rPr>
          <w:rFonts w:cs="Taher" w:hint="cs"/>
          <w:vertAlign w:val="superscript"/>
          <w:rtl/>
        </w:rPr>
        <w:t>)</w:t>
      </w:r>
      <w:r>
        <w:rPr>
          <w:rFonts w:hint="cs"/>
          <w:rtl/>
        </w:rPr>
        <w:t>.</w:t>
      </w:r>
    </w:p>
    <w:p w:rsidR="00C832C0" w:rsidRDefault="00C832C0" w:rsidP="000218F4">
      <w:pPr>
        <w:pStyle w:val="ac"/>
        <w:spacing w:line="199" w:lineRule="auto"/>
        <w:rPr>
          <w:rtl/>
        </w:rPr>
      </w:pPr>
      <w:r>
        <w:rPr>
          <w:rFonts w:hint="cs"/>
          <w:rtl/>
        </w:rPr>
        <w:t>أما القول بعمل الأصحاب بالرواية ولهذا سمّيت بالمقبولة وهو يجبر ضعفها السندي، فقد اختلفت كلمات الخوئي فيه بين كتبه، ففي بعضها أقرّ بذلك ورآه موجباً لإمكان الأخذ بها، فيما رفض ذلك في بعض كتبه الأخرى</w:t>
      </w:r>
      <w:r w:rsidRPr="00815C4C">
        <w:rPr>
          <w:rFonts w:cs="Taher" w:hint="cs"/>
          <w:vertAlign w:val="superscript"/>
          <w:rtl/>
        </w:rPr>
        <w:t>(</w:t>
      </w:r>
      <w:r w:rsidRPr="00815C4C">
        <w:rPr>
          <w:rFonts w:cs="Taher"/>
          <w:vertAlign w:val="superscript"/>
          <w:rtl/>
        </w:rPr>
        <w:footnoteReference w:id="367"/>
      </w:r>
      <w:r w:rsidRPr="00815C4C">
        <w:rPr>
          <w:rFonts w:cs="Taher" w:hint="cs"/>
          <w:vertAlign w:val="superscript"/>
          <w:rtl/>
        </w:rPr>
        <w:t>)</w:t>
      </w:r>
      <w:r>
        <w:rPr>
          <w:rFonts w:hint="cs"/>
          <w:rtl/>
        </w:rPr>
        <w:t>.</w:t>
      </w:r>
    </w:p>
    <w:p w:rsidR="00C832C0" w:rsidRDefault="00C832C0" w:rsidP="000218F4">
      <w:pPr>
        <w:pStyle w:val="ac"/>
        <w:spacing w:line="199" w:lineRule="auto"/>
        <w:rPr>
          <w:b/>
          <w:bCs/>
          <w:szCs w:val="36"/>
          <w:rtl/>
        </w:rPr>
      </w:pPr>
      <w:r>
        <w:rPr>
          <w:rFonts w:hint="cs"/>
          <w:b/>
          <w:bCs/>
          <w:rtl/>
        </w:rPr>
        <w:t xml:space="preserve">المناقشة الثالثة: </w:t>
      </w:r>
      <w:r>
        <w:rPr>
          <w:rFonts w:hint="cs"/>
          <w:rtl/>
        </w:rPr>
        <w:t>إن كلام الإمام</w:t>
      </w:r>
      <w:r w:rsidR="00E470F2">
        <w:rPr>
          <w:rFonts w:hint="cs"/>
          <w:rtl/>
        </w:rPr>
        <w:t>×</w:t>
      </w:r>
      <w:r>
        <w:rPr>
          <w:rFonts w:hint="cs"/>
          <w:rtl/>
        </w:rPr>
        <w:t xml:space="preserve"> في المقبولة إنما جاء بحسب فرض السائل وكلامه لا ابتداءً منه، ومعه فلا دلالة فيها على الاشتراط</w:t>
      </w:r>
      <w:r w:rsidRPr="00815C4C">
        <w:rPr>
          <w:rFonts w:cs="Taher" w:hint="cs"/>
          <w:vertAlign w:val="superscript"/>
          <w:rtl/>
        </w:rPr>
        <w:t>(</w:t>
      </w:r>
      <w:r w:rsidRPr="00815C4C">
        <w:rPr>
          <w:rFonts w:cs="Taher"/>
          <w:vertAlign w:val="superscript"/>
          <w:rtl/>
        </w:rPr>
        <w:footnoteReference w:id="368"/>
      </w:r>
      <w:r w:rsidRPr="00815C4C">
        <w:rPr>
          <w:rFonts w:cs="Taher" w:hint="cs"/>
          <w:vertAlign w:val="superscript"/>
          <w:rtl/>
        </w:rPr>
        <w:t>)</w:t>
      </w:r>
      <w:r>
        <w:rPr>
          <w:rFonts w:hint="cs"/>
          <w:rtl/>
        </w:rPr>
        <w:t>.</w:t>
      </w:r>
    </w:p>
    <w:p w:rsidR="00C832C0" w:rsidRDefault="00C832C0" w:rsidP="000218F4">
      <w:pPr>
        <w:pStyle w:val="ac"/>
        <w:spacing w:line="199" w:lineRule="auto"/>
        <w:rPr>
          <w:szCs w:val="32"/>
          <w:rtl/>
        </w:rPr>
      </w:pPr>
      <w:r>
        <w:rPr>
          <w:rFonts w:hint="cs"/>
          <w:b/>
          <w:bCs/>
          <w:rtl/>
        </w:rPr>
        <w:t xml:space="preserve">ويجاب: </w:t>
      </w:r>
      <w:r>
        <w:rPr>
          <w:rFonts w:hint="cs"/>
          <w:rtl/>
        </w:rPr>
        <w:t>إن السائل قد سأل أولاً عمّن رجع إلى السلطان لحلّ مشكله القضائي، فنهاه الإمام</w:t>
      </w:r>
      <w:r w:rsidR="00E470F2">
        <w:rPr>
          <w:rFonts w:hint="cs"/>
          <w:rtl/>
        </w:rPr>
        <w:t>×</w:t>
      </w:r>
      <w:r>
        <w:rPr>
          <w:rFonts w:hint="cs"/>
          <w:rtl/>
        </w:rPr>
        <w:t>، ثم سأله : فكيف يصنعان؟ فأجاب بجملة الشاهد، فلم يقع فرض في كلام السائل، بل طلب بيان ما يجب فعله كقاعدة عامة، فيكون التذكير في لسان الإمام ابتدائياً لا تابعاً لكلام السائل.</w:t>
      </w:r>
    </w:p>
    <w:p w:rsidR="00C832C0" w:rsidRDefault="00C832C0" w:rsidP="000218F4">
      <w:pPr>
        <w:pStyle w:val="ac"/>
        <w:spacing w:line="199" w:lineRule="auto"/>
        <w:rPr>
          <w:rtl/>
        </w:rPr>
      </w:pPr>
      <w:r w:rsidRPr="00F04A58">
        <w:rPr>
          <w:b/>
          <w:bCs/>
          <w:rtl/>
        </w:rPr>
        <w:t>الرواية الثالثة</w:t>
      </w:r>
      <w:r w:rsidRPr="00815C4C">
        <w:rPr>
          <w:rFonts w:cs="Taher"/>
          <w:vertAlign w:val="superscript"/>
          <w:rtl/>
        </w:rPr>
        <w:t>(</w:t>
      </w:r>
      <w:r w:rsidRPr="00815C4C">
        <w:rPr>
          <w:rFonts w:cs="Taher"/>
          <w:vertAlign w:val="superscript"/>
          <w:rtl/>
        </w:rPr>
        <w:footnoteReference w:id="369"/>
      </w:r>
      <w:r w:rsidRPr="00815C4C">
        <w:rPr>
          <w:rFonts w:cs="Taher"/>
          <w:vertAlign w:val="superscript"/>
          <w:rtl/>
        </w:rPr>
        <w:t>)</w:t>
      </w:r>
      <w:r w:rsidRPr="00F04A58">
        <w:rPr>
          <w:b/>
          <w:bCs/>
          <w:rtl/>
        </w:rPr>
        <w:t>:</w:t>
      </w:r>
      <w:r>
        <w:rPr>
          <w:rFonts w:hint="cs"/>
          <w:rtl/>
        </w:rPr>
        <w:t xml:space="preserve"> خبر عامر بن عبد الله بن جذاعة قال: «قلت لأبي عبد الله</w:t>
      </w:r>
      <w:r w:rsidR="00E470F2">
        <w:rPr>
          <w:rFonts w:hint="cs"/>
          <w:rtl/>
        </w:rPr>
        <w:t>×</w:t>
      </w:r>
      <w:r>
        <w:rPr>
          <w:rFonts w:hint="cs"/>
          <w:rtl/>
        </w:rPr>
        <w:t xml:space="preserve">: إن امرأتي تقول بقول زرارة ومحمد بن مسلم في الاستطاعة وترى رأيهما؟ فقال: ما للنساء وللرأي والقول لها، إنهما ليسا بشيء في ولاية، قال: فجئت إلى امرأتي فحدثتها، فرجعت </w:t>
      </w:r>
      <w:r>
        <w:rPr>
          <w:rFonts w:hint="cs"/>
          <w:rtl/>
        </w:rPr>
        <w:lastRenderedPageBreak/>
        <w:t>عن ذلك القول»</w:t>
      </w:r>
      <w:r w:rsidRPr="00815C4C">
        <w:rPr>
          <w:rFonts w:cs="Taher" w:hint="cs"/>
          <w:vertAlign w:val="superscript"/>
          <w:rtl/>
        </w:rPr>
        <w:t>(</w:t>
      </w:r>
      <w:r w:rsidRPr="00815C4C">
        <w:rPr>
          <w:rFonts w:cs="Taher"/>
          <w:vertAlign w:val="superscript"/>
          <w:rtl/>
        </w:rPr>
        <w:footnoteReference w:id="370"/>
      </w:r>
      <w:r w:rsidRPr="00815C4C">
        <w:rPr>
          <w:rFonts w:cs="Taher" w:hint="cs"/>
          <w:vertAlign w:val="superscript"/>
          <w:rtl/>
        </w:rPr>
        <w:t>)</w:t>
      </w:r>
      <w:r>
        <w:rPr>
          <w:rFonts w:hint="cs"/>
          <w:rtl/>
        </w:rPr>
        <w:t>.</w:t>
      </w:r>
    </w:p>
    <w:p w:rsidR="00C832C0" w:rsidRDefault="00C832C0" w:rsidP="00F04A58">
      <w:pPr>
        <w:pStyle w:val="ac"/>
        <w:rPr>
          <w:rtl/>
        </w:rPr>
      </w:pPr>
      <w:r>
        <w:rPr>
          <w:rFonts w:hint="cs"/>
          <w:rtl/>
        </w:rPr>
        <w:t>وتقريب الاستدلال بالرواية ظهورها في عدم اعتبار رأي المرأة، مما يعني أنها ليست أهلاً للفتوى</w:t>
      </w:r>
      <w:r w:rsidRPr="00815C4C">
        <w:rPr>
          <w:rFonts w:cs="Taher" w:hint="cs"/>
          <w:vertAlign w:val="superscript"/>
          <w:rtl/>
        </w:rPr>
        <w:t>(</w:t>
      </w:r>
      <w:r w:rsidRPr="00815C4C">
        <w:rPr>
          <w:rFonts w:cs="Taher"/>
          <w:vertAlign w:val="superscript"/>
          <w:rtl/>
        </w:rPr>
        <w:footnoteReference w:id="371"/>
      </w:r>
      <w:r w:rsidRPr="00815C4C">
        <w:rPr>
          <w:rFonts w:cs="Taher" w:hint="cs"/>
          <w:vertAlign w:val="superscript"/>
          <w:rtl/>
        </w:rPr>
        <w:t>)</w:t>
      </w:r>
      <w:r>
        <w:rPr>
          <w:rFonts w:hint="cs"/>
          <w:rtl/>
        </w:rPr>
        <w:t>.</w:t>
      </w:r>
    </w:p>
    <w:p w:rsidR="00C832C0" w:rsidRDefault="00C832C0" w:rsidP="00F04A58">
      <w:pPr>
        <w:pStyle w:val="ac"/>
        <w:rPr>
          <w:rtl/>
        </w:rPr>
      </w:pPr>
      <w:r>
        <w:rPr>
          <w:rFonts w:hint="cs"/>
          <w:b/>
          <w:bCs/>
          <w:rtl/>
        </w:rPr>
        <w:t xml:space="preserve">ويناقش أولاً: </w:t>
      </w:r>
      <w:r>
        <w:rPr>
          <w:rFonts w:hint="cs"/>
          <w:rtl/>
        </w:rPr>
        <w:t>بضعف الرواية سنداً</w:t>
      </w:r>
      <w:r w:rsidRPr="00815C4C">
        <w:rPr>
          <w:rFonts w:cs="Taher" w:hint="cs"/>
          <w:vertAlign w:val="superscript"/>
          <w:rtl/>
        </w:rPr>
        <w:t>(</w:t>
      </w:r>
      <w:r w:rsidRPr="00815C4C">
        <w:rPr>
          <w:rFonts w:cs="Taher"/>
          <w:vertAlign w:val="superscript"/>
          <w:rtl/>
        </w:rPr>
        <w:footnoteReference w:id="372"/>
      </w:r>
      <w:r w:rsidRPr="00815C4C">
        <w:rPr>
          <w:rFonts w:cs="Taher" w:hint="cs"/>
          <w:vertAlign w:val="superscript"/>
          <w:rtl/>
        </w:rPr>
        <w:t>)</w:t>
      </w:r>
      <w:r>
        <w:rPr>
          <w:rFonts w:hint="cs"/>
          <w:rtl/>
        </w:rPr>
        <w:t>.</w:t>
      </w:r>
    </w:p>
    <w:p w:rsidR="00C832C0" w:rsidRDefault="00C832C0" w:rsidP="000218F4">
      <w:pPr>
        <w:pStyle w:val="ac"/>
        <w:spacing w:line="211" w:lineRule="auto"/>
        <w:rPr>
          <w:rtl/>
        </w:rPr>
      </w:pPr>
      <w:r>
        <w:rPr>
          <w:rFonts w:hint="cs"/>
          <w:rtl/>
        </w:rPr>
        <w:t>وهذه المناقشة في محلّها، ففي سندها عامر بن عبد الله بن جذاعة الذي لا سبيل لتوثيقه إلا على مبنى كامل الزيارات، وليس بثابت، مع أنه من مشايخه غير المباشرين</w:t>
      </w:r>
      <w:r w:rsidRPr="00815C4C">
        <w:rPr>
          <w:rFonts w:cs="Taher" w:hint="cs"/>
          <w:vertAlign w:val="superscript"/>
          <w:rtl/>
        </w:rPr>
        <w:t>(</w:t>
      </w:r>
      <w:r w:rsidRPr="00815C4C">
        <w:rPr>
          <w:rFonts w:cs="Taher"/>
          <w:vertAlign w:val="superscript"/>
          <w:rtl/>
        </w:rPr>
        <w:footnoteReference w:id="373"/>
      </w:r>
      <w:r w:rsidRPr="00815C4C">
        <w:rPr>
          <w:rFonts w:cs="Taher" w:hint="cs"/>
          <w:vertAlign w:val="superscript"/>
          <w:rtl/>
        </w:rPr>
        <w:t>)</w:t>
      </w:r>
      <w:r>
        <w:rPr>
          <w:rFonts w:hint="cs"/>
          <w:rtl/>
        </w:rPr>
        <w:t xml:space="preserve">، ولعلّه لهذا لم يوثقه </w:t>
      </w:r>
      <w:r w:rsidR="00A90E63">
        <w:rPr>
          <w:rFonts w:hint="cs"/>
          <w:rtl/>
        </w:rPr>
        <w:t>ـ</w:t>
      </w:r>
      <w:r>
        <w:rPr>
          <w:rFonts w:hint="cs"/>
          <w:rtl/>
        </w:rPr>
        <w:t xml:space="preserve"> مثلاً </w:t>
      </w:r>
      <w:r w:rsidR="00A90E63">
        <w:rPr>
          <w:rFonts w:hint="cs"/>
          <w:rtl/>
        </w:rPr>
        <w:t>ـ</w:t>
      </w:r>
      <w:r>
        <w:rPr>
          <w:rFonts w:hint="cs"/>
          <w:rtl/>
        </w:rPr>
        <w:t xml:space="preserve"> السيد تقي القمي المعاصر</w:t>
      </w:r>
      <w:r w:rsidRPr="00815C4C">
        <w:rPr>
          <w:rFonts w:cs="Taher" w:hint="cs"/>
          <w:vertAlign w:val="superscript"/>
          <w:rtl/>
        </w:rPr>
        <w:t>(</w:t>
      </w:r>
      <w:r w:rsidRPr="00815C4C">
        <w:rPr>
          <w:rFonts w:cs="Taher"/>
          <w:vertAlign w:val="superscript"/>
          <w:rtl/>
        </w:rPr>
        <w:footnoteReference w:id="374"/>
      </w:r>
      <w:r w:rsidRPr="00815C4C">
        <w:rPr>
          <w:rFonts w:cs="Taher" w:hint="cs"/>
          <w:vertAlign w:val="superscript"/>
          <w:rtl/>
        </w:rPr>
        <w:t>)</w:t>
      </w:r>
      <w:r>
        <w:rPr>
          <w:rFonts w:hint="cs"/>
          <w:rtl/>
        </w:rPr>
        <w:t>.</w:t>
      </w:r>
    </w:p>
    <w:p w:rsidR="00C832C0" w:rsidRDefault="00C832C0" w:rsidP="000218F4">
      <w:pPr>
        <w:pStyle w:val="ac"/>
        <w:spacing w:line="211" w:lineRule="auto"/>
        <w:rPr>
          <w:rtl/>
        </w:rPr>
      </w:pPr>
      <w:r>
        <w:rPr>
          <w:rFonts w:hint="cs"/>
          <w:rtl/>
        </w:rPr>
        <w:t>هذا مضافاً إلى أنّ في الرواية طعناً بزرارة ومحمد بن مسلم، ممّا يدخلها في سياق التعارض مع روايات كثيرة أخرى مادحة، ويضعّف من قوّتها السنديّة.</w:t>
      </w:r>
    </w:p>
    <w:p w:rsidR="00C832C0" w:rsidRDefault="00C832C0" w:rsidP="000218F4">
      <w:pPr>
        <w:pStyle w:val="ac"/>
        <w:spacing w:line="211" w:lineRule="auto"/>
        <w:rPr>
          <w:rtl/>
        </w:rPr>
      </w:pPr>
      <w:r>
        <w:rPr>
          <w:rFonts w:hint="cs"/>
          <w:b/>
          <w:bCs/>
          <w:rtl/>
        </w:rPr>
        <w:t xml:space="preserve">وثانياً: </w:t>
      </w:r>
      <w:r>
        <w:rPr>
          <w:rFonts w:hint="cs"/>
          <w:rtl/>
        </w:rPr>
        <w:t>إن مسألة الاستطاعة إنما تدور في أصول الدين التي لا يجوز الاعتماد فيها على التقليد، بل لابد من البرهان، وإلا لزم عدم اعتدادها في الفروع حتى بالنسبة لعمل نفسها، وهو معلوم البطلان</w:t>
      </w:r>
      <w:r w:rsidRPr="00815C4C">
        <w:rPr>
          <w:rFonts w:cs="Taher" w:hint="cs"/>
          <w:vertAlign w:val="superscript"/>
          <w:rtl/>
        </w:rPr>
        <w:t>(</w:t>
      </w:r>
      <w:r w:rsidRPr="00815C4C">
        <w:rPr>
          <w:rFonts w:cs="Taher"/>
          <w:vertAlign w:val="superscript"/>
          <w:rtl/>
        </w:rPr>
        <w:footnoteReference w:id="375"/>
      </w:r>
      <w:r w:rsidRPr="00815C4C">
        <w:rPr>
          <w:rFonts w:cs="Taher" w:hint="cs"/>
          <w:vertAlign w:val="superscript"/>
          <w:rtl/>
        </w:rPr>
        <w:t>)</w:t>
      </w:r>
      <w:r>
        <w:rPr>
          <w:rFonts w:hint="cs"/>
          <w:rtl/>
        </w:rPr>
        <w:t>.</w:t>
      </w:r>
    </w:p>
    <w:p w:rsidR="00C832C0" w:rsidRDefault="00C832C0" w:rsidP="000218F4">
      <w:pPr>
        <w:pStyle w:val="ac"/>
        <w:spacing w:line="211" w:lineRule="auto"/>
        <w:rPr>
          <w:rtl/>
        </w:rPr>
      </w:pPr>
      <w:r>
        <w:rPr>
          <w:rFonts w:hint="cs"/>
          <w:rtl/>
        </w:rPr>
        <w:t>إلا أن هذه المناقشة في غير محلّها، وذلك أن محلّ الشاهد في الرواية هو البون الشاسع الذي يعقده الإمام</w:t>
      </w:r>
      <w:r w:rsidR="00E470F2">
        <w:rPr>
          <w:rFonts w:hint="cs"/>
          <w:rtl/>
        </w:rPr>
        <w:t>×</w:t>
      </w:r>
      <w:r>
        <w:rPr>
          <w:rFonts w:hint="cs"/>
          <w:rtl/>
        </w:rPr>
        <w:t xml:space="preserve"> بين النساء والرأي كأنه يسخر منهنّ، ويراهنّ دون هذا الشأن، ومعه لا فرق في موضوع البحث بين كون الأمر اعتقادياً أو فرعياً، إذ لو كانت القضية قضية عدم جواز التقليد لما صح له</w:t>
      </w:r>
      <w:r w:rsidR="00E470F2">
        <w:rPr>
          <w:rFonts w:hint="cs"/>
          <w:rtl/>
        </w:rPr>
        <w:t>×</w:t>
      </w:r>
      <w:r>
        <w:rPr>
          <w:rFonts w:hint="cs"/>
          <w:rtl/>
        </w:rPr>
        <w:t xml:space="preserve"> ذكر ما قال، بل كان لابد له من الإشارة إلى عدم الحقّ لها في الأخذ بقول زرارة ومحمد بن مسلم، بل عليها النظر أو اتخاذ وسيلة </w:t>
      </w:r>
      <w:r>
        <w:rPr>
          <w:rFonts w:hint="cs"/>
          <w:rtl/>
        </w:rPr>
        <w:lastRenderedPageBreak/>
        <w:t>أخرى، فلسان الرواية يدفع ما قيل في هذه المناقشة.</w:t>
      </w:r>
    </w:p>
    <w:p w:rsidR="00C832C0" w:rsidRDefault="00C832C0" w:rsidP="00F04A58">
      <w:pPr>
        <w:pStyle w:val="ac"/>
        <w:rPr>
          <w:rtl/>
        </w:rPr>
      </w:pPr>
      <w:r w:rsidRPr="00F04A58">
        <w:rPr>
          <w:b/>
          <w:bCs/>
          <w:rtl/>
        </w:rPr>
        <w:t>الرواية الرابعة و...</w:t>
      </w:r>
      <w:r>
        <w:rPr>
          <w:rFonts w:hint="cs"/>
          <w:b/>
          <w:bCs/>
          <w:rtl/>
        </w:rPr>
        <w:t xml:space="preserve"> </w:t>
      </w:r>
      <w:r>
        <w:rPr>
          <w:rFonts w:hint="cs"/>
          <w:rtl/>
        </w:rPr>
        <w:t>جملة النصوص الدالّة على أن المرأة ناقصة العقل، وأنها عيّ وعورة، وأن الشارع لا يراها في الرأي كالرجل،</w:t>
      </w:r>
      <w:r>
        <w:rPr>
          <w:rFonts w:hint="cs"/>
          <w:b/>
          <w:bCs/>
          <w:rtl/>
        </w:rPr>
        <w:t xml:space="preserve"> </w:t>
      </w:r>
      <w:r>
        <w:rPr>
          <w:rFonts w:hint="cs"/>
          <w:rtl/>
        </w:rPr>
        <w:t>وما جاء في باب الشهادة من علّة</w:t>
      </w:r>
      <w:r>
        <w:rPr>
          <w:rFonts w:hint="cs"/>
          <w:b/>
          <w:bCs/>
          <w:rtl/>
        </w:rPr>
        <w:t xml:space="preserve"> </w:t>
      </w:r>
      <w:r>
        <w:rPr>
          <w:rFonts w:hint="cs"/>
          <w:rtl/>
        </w:rPr>
        <w:t xml:space="preserve">عدم الأخذ </w:t>
      </w:r>
      <w:r w:rsidR="00A90E63">
        <w:rPr>
          <w:rFonts w:hint="cs"/>
          <w:rtl/>
        </w:rPr>
        <w:t>ـ</w:t>
      </w:r>
      <w:r>
        <w:rPr>
          <w:rFonts w:hint="cs"/>
          <w:rtl/>
        </w:rPr>
        <w:t xml:space="preserve"> أحياناً </w:t>
      </w:r>
      <w:r w:rsidR="00A90E63">
        <w:rPr>
          <w:rFonts w:hint="cs"/>
          <w:rtl/>
        </w:rPr>
        <w:t>ـ</w:t>
      </w:r>
      <w:r>
        <w:rPr>
          <w:rFonts w:hint="cs"/>
          <w:rtl/>
        </w:rPr>
        <w:t xml:space="preserve"> بشهادتها منفردةً وما شابه ذلك، من عدم مشاورتها أو مع مخالفتها وما شابه ذلك، من مثل عدم تصدّيها للنبوة أو الإمامة</w:t>
      </w:r>
      <w:r w:rsidRPr="00815C4C">
        <w:rPr>
          <w:rFonts w:cs="Taher" w:hint="cs"/>
          <w:vertAlign w:val="superscript"/>
          <w:rtl/>
        </w:rPr>
        <w:t>(</w:t>
      </w:r>
      <w:r w:rsidRPr="00815C4C">
        <w:rPr>
          <w:rFonts w:cs="Taher"/>
          <w:vertAlign w:val="superscript"/>
          <w:rtl/>
        </w:rPr>
        <w:footnoteReference w:id="376"/>
      </w:r>
      <w:r w:rsidRPr="00815C4C">
        <w:rPr>
          <w:rFonts w:cs="Taher" w:hint="cs"/>
          <w:vertAlign w:val="superscript"/>
          <w:rtl/>
        </w:rPr>
        <w:t>)</w:t>
      </w:r>
      <w:r>
        <w:rPr>
          <w:rFonts w:hint="cs"/>
          <w:rtl/>
        </w:rPr>
        <w:t>، وعدم معهودية تولية المعصومين لها في شيء، حتى مع وجود عالمات و...، فإن جملة هذه النصوص تكوّن وعياً رادعاً عن بلوغها مكانة المرجعية ومنصب الإفتاء</w:t>
      </w:r>
      <w:r w:rsidRPr="00815C4C">
        <w:rPr>
          <w:rFonts w:cs="Taher" w:hint="cs"/>
          <w:vertAlign w:val="superscript"/>
          <w:rtl/>
        </w:rPr>
        <w:t>(</w:t>
      </w:r>
      <w:r w:rsidRPr="00815C4C">
        <w:rPr>
          <w:rFonts w:cs="Taher"/>
          <w:vertAlign w:val="superscript"/>
          <w:rtl/>
        </w:rPr>
        <w:footnoteReference w:id="377"/>
      </w:r>
      <w:r w:rsidRPr="00815C4C">
        <w:rPr>
          <w:rFonts w:cs="Taher" w:hint="cs"/>
          <w:vertAlign w:val="superscript"/>
          <w:rtl/>
        </w:rPr>
        <w:t>)</w:t>
      </w:r>
      <w:r>
        <w:rPr>
          <w:rFonts w:hint="cs"/>
          <w:rtl/>
        </w:rPr>
        <w:t>.</w:t>
      </w:r>
    </w:p>
    <w:p w:rsidR="00C832C0" w:rsidRDefault="00C832C0" w:rsidP="00F04A58">
      <w:pPr>
        <w:pStyle w:val="ac"/>
        <w:rPr>
          <w:rtl/>
        </w:rPr>
      </w:pPr>
      <w:r>
        <w:rPr>
          <w:rFonts w:hint="cs"/>
          <w:rtl/>
        </w:rPr>
        <w:t>ونذكر هنا مهمّ هذه الروايات على الشكل التالي:</w:t>
      </w:r>
    </w:p>
    <w:p w:rsidR="00C832C0" w:rsidRDefault="00C832C0" w:rsidP="00F56506">
      <w:pPr>
        <w:pStyle w:val="ac"/>
        <w:rPr>
          <w:rtl/>
        </w:rPr>
      </w:pPr>
      <w:r>
        <w:rPr>
          <w:rFonts w:hint="cs"/>
          <w:b/>
          <w:bCs/>
          <w:rtl/>
        </w:rPr>
        <w:t>الرواية الأولى:</w:t>
      </w:r>
      <w:r>
        <w:rPr>
          <w:rFonts w:hint="cs"/>
          <w:rtl/>
        </w:rPr>
        <w:t xml:space="preserve"> عن السكوني عن أبي عبد الله</w:t>
      </w:r>
      <w:r w:rsidR="00E470F2">
        <w:rPr>
          <w:rFonts w:hint="cs"/>
          <w:rtl/>
        </w:rPr>
        <w:t>×</w:t>
      </w:r>
      <w:r>
        <w:rPr>
          <w:rFonts w:hint="cs"/>
          <w:rtl/>
        </w:rPr>
        <w:t xml:space="preserve"> قال: «قال رسول الله</w:t>
      </w:r>
      <w:r w:rsidR="00F56506">
        <w:rPr>
          <w:rFonts w:hint="cs"/>
          <w:rtl/>
        </w:rPr>
        <w:t>’</w:t>
      </w:r>
      <w:r>
        <w:rPr>
          <w:rFonts w:hint="cs"/>
          <w:rtl/>
        </w:rPr>
        <w:t>: إنما المرأة لعبة، من اتخذها فلا يضيعها»</w:t>
      </w:r>
      <w:r w:rsidRPr="00815C4C">
        <w:rPr>
          <w:rFonts w:cs="Taher" w:hint="cs"/>
          <w:vertAlign w:val="superscript"/>
          <w:rtl/>
        </w:rPr>
        <w:t>(</w:t>
      </w:r>
      <w:r w:rsidRPr="00815C4C">
        <w:rPr>
          <w:rFonts w:cs="Taher"/>
          <w:vertAlign w:val="superscript"/>
          <w:rtl/>
        </w:rPr>
        <w:footnoteReference w:id="378"/>
      </w:r>
      <w:r w:rsidRPr="00815C4C">
        <w:rPr>
          <w:rFonts w:cs="Taher" w:hint="cs"/>
          <w:vertAlign w:val="superscript"/>
          <w:rtl/>
        </w:rPr>
        <w:t>)</w:t>
      </w:r>
      <w:r>
        <w:rPr>
          <w:rFonts w:hint="cs"/>
          <w:rtl/>
        </w:rPr>
        <w:t>.</w:t>
      </w:r>
    </w:p>
    <w:p w:rsidR="00C832C0" w:rsidRDefault="00C832C0" w:rsidP="00F56506">
      <w:pPr>
        <w:pStyle w:val="ac"/>
        <w:rPr>
          <w:rtl/>
        </w:rPr>
      </w:pPr>
      <w:r>
        <w:rPr>
          <w:rFonts w:hint="cs"/>
          <w:b/>
          <w:bCs/>
          <w:rtl/>
        </w:rPr>
        <w:t>الرواية الثانية:</w:t>
      </w:r>
      <w:r>
        <w:rPr>
          <w:rFonts w:hint="cs"/>
          <w:rtl/>
        </w:rPr>
        <w:t xml:space="preserve"> في وصية النبي</w:t>
      </w:r>
      <w:r w:rsidR="00F56506">
        <w:rPr>
          <w:rFonts w:hint="cs"/>
          <w:rtl/>
        </w:rPr>
        <w:t>’</w:t>
      </w:r>
      <w:r>
        <w:rPr>
          <w:rFonts w:hint="cs"/>
          <w:rtl/>
        </w:rPr>
        <w:t xml:space="preserve"> لعلي</w:t>
      </w:r>
      <w:r w:rsidR="00E470F2">
        <w:rPr>
          <w:rFonts w:hint="cs"/>
          <w:rtl/>
        </w:rPr>
        <w:t>×</w:t>
      </w:r>
      <w:r>
        <w:rPr>
          <w:rFonts w:hint="cs"/>
          <w:rtl/>
        </w:rPr>
        <w:t xml:space="preserve"> قال: «يا علي! ليس على النساء جمعة... ولا تولّي القضاء، ولا تستشار، و...»</w:t>
      </w:r>
      <w:r w:rsidRPr="00815C4C">
        <w:rPr>
          <w:rFonts w:cs="Taher" w:hint="cs"/>
          <w:vertAlign w:val="superscript"/>
          <w:rtl/>
        </w:rPr>
        <w:t>(</w:t>
      </w:r>
      <w:r w:rsidRPr="00815C4C">
        <w:rPr>
          <w:rFonts w:cs="Taher"/>
          <w:vertAlign w:val="superscript"/>
          <w:rtl/>
        </w:rPr>
        <w:footnoteReference w:id="379"/>
      </w:r>
      <w:r w:rsidRPr="00815C4C">
        <w:rPr>
          <w:rFonts w:cs="Taher" w:hint="cs"/>
          <w:vertAlign w:val="superscript"/>
          <w:rtl/>
        </w:rPr>
        <w:t>)</w:t>
      </w:r>
      <w:r>
        <w:rPr>
          <w:rFonts w:hint="cs"/>
          <w:rtl/>
        </w:rPr>
        <w:t>.</w:t>
      </w:r>
    </w:p>
    <w:p w:rsidR="00C832C0" w:rsidRDefault="00C832C0" w:rsidP="00E470F2">
      <w:pPr>
        <w:pStyle w:val="ac"/>
        <w:rPr>
          <w:rtl/>
        </w:rPr>
      </w:pPr>
      <w:r>
        <w:rPr>
          <w:rFonts w:hint="cs"/>
          <w:b/>
          <w:bCs/>
          <w:rtl/>
        </w:rPr>
        <w:t>الرواية الثالثة:</w:t>
      </w:r>
      <w:r>
        <w:rPr>
          <w:rFonts w:hint="cs"/>
          <w:rtl/>
        </w:rPr>
        <w:t xml:space="preserve"> عن علي</w:t>
      </w:r>
      <w:r w:rsidR="00E470F2">
        <w:rPr>
          <w:rFonts w:hint="cs"/>
          <w:rtl/>
        </w:rPr>
        <w:t>×</w:t>
      </w:r>
      <w:r>
        <w:rPr>
          <w:rFonts w:hint="cs"/>
          <w:rtl/>
        </w:rPr>
        <w:t xml:space="preserve"> في النهج: «يأتي على الناس زمان لا يقرب فيه إلا الماحل... فعند ذلك يكون السلطان بمشورة النساء وإمارة الصبيان...»</w:t>
      </w:r>
      <w:r w:rsidRPr="00815C4C">
        <w:rPr>
          <w:rFonts w:cs="Taher" w:hint="cs"/>
          <w:vertAlign w:val="superscript"/>
          <w:rtl/>
        </w:rPr>
        <w:t>(</w:t>
      </w:r>
      <w:r w:rsidRPr="00815C4C">
        <w:rPr>
          <w:rFonts w:cs="Taher"/>
          <w:vertAlign w:val="superscript"/>
          <w:rtl/>
        </w:rPr>
        <w:footnoteReference w:id="380"/>
      </w:r>
      <w:r w:rsidRPr="00815C4C">
        <w:rPr>
          <w:rFonts w:cs="Taher" w:hint="cs"/>
          <w:vertAlign w:val="superscript"/>
          <w:rtl/>
        </w:rPr>
        <w:t>)</w:t>
      </w:r>
      <w:r>
        <w:rPr>
          <w:rFonts w:hint="cs"/>
          <w:rtl/>
        </w:rPr>
        <w:t>.</w:t>
      </w:r>
    </w:p>
    <w:p w:rsidR="00C832C0" w:rsidRDefault="00C832C0" w:rsidP="00E470F2">
      <w:pPr>
        <w:pStyle w:val="ac"/>
        <w:rPr>
          <w:rtl/>
        </w:rPr>
      </w:pPr>
      <w:r>
        <w:rPr>
          <w:rFonts w:hint="cs"/>
          <w:b/>
          <w:bCs/>
          <w:rtl/>
        </w:rPr>
        <w:t>الرواية الرابعة:</w:t>
      </w:r>
      <w:r>
        <w:rPr>
          <w:rFonts w:hint="cs"/>
          <w:rtl/>
        </w:rPr>
        <w:t xml:space="preserve"> عن أمير المؤمنين علي</w:t>
      </w:r>
      <w:r w:rsidR="00E470F2">
        <w:rPr>
          <w:rFonts w:hint="cs"/>
          <w:rtl/>
        </w:rPr>
        <w:t>×</w:t>
      </w:r>
      <w:r>
        <w:rPr>
          <w:rFonts w:hint="cs"/>
          <w:rtl/>
        </w:rPr>
        <w:t xml:space="preserve"> في رسالته إلى الحسن</w:t>
      </w:r>
      <w:r w:rsidR="00E470F2">
        <w:rPr>
          <w:rFonts w:hint="cs"/>
          <w:rtl/>
        </w:rPr>
        <w:t>×</w:t>
      </w:r>
      <w:r>
        <w:rPr>
          <w:rFonts w:hint="cs"/>
          <w:rtl/>
        </w:rPr>
        <w:t xml:space="preserve">: «إياك </w:t>
      </w:r>
      <w:r>
        <w:rPr>
          <w:rFonts w:hint="cs"/>
          <w:rtl/>
        </w:rPr>
        <w:lastRenderedPageBreak/>
        <w:t>ومشاورة النساء، فإن رأيهن إلى الأفن، وعزمهن إلى الوهن...»</w:t>
      </w:r>
      <w:r w:rsidRPr="00815C4C">
        <w:rPr>
          <w:rFonts w:cs="Taher" w:hint="cs"/>
          <w:vertAlign w:val="superscript"/>
          <w:rtl/>
        </w:rPr>
        <w:t>(</w:t>
      </w:r>
      <w:r w:rsidRPr="00815C4C">
        <w:rPr>
          <w:rFonts w:cs="Taher"/>
          <w:vertAlign w:val="superscript"/>
          <w:rtl/>
        </w:rPr>
        <w:footnoteReference w:id="381"/>
      </w:r>
      <w:r w:rsidRPr="00815C4C">
        <w:rPr>
          <w:rFonts w:cs="Taher" w:hint="cs"/>
          <w:vertAlign w:val="superscript"/>
          <w:rtl/>
        </w:rPr>
        <w:t>)</w:t>
      </w:r>
      <w:r>
        <w:rPr>
          <w:rFonts w:hint="cs"/>
          <w:rtl/>
        </w:rPr>
        <w:t>.</w:t>
      </w:r>
    </w:p>
    <w:p w:rsidR="00C832C0" w:rsidRDefault="00C832C0" w:rsidP="00E470F2">
      <w:pPr>
        <w:pStyle w:val="ac"/>
        <w:rPr>
          <w:rtl/>
        </w:rPr>
      </w:pPr>
      <w:r>
        <w:rPr>
          <w:rFonts w:hint="cs"/>
          <w:b/>
          <w:bCs/>
          <w:rtl/>
        </w:rPr>
        <w:t>الرواية الخامسة:</w:t>
      </w:r>
      <w:r>
        <w:rPr>
          <w:rFonts w:hint="cs"/>
          <w:rtl/>
        </w:rPr>
        <w:t xml:space="preserve"> عن أمير المؤمنين علي</w:t>
      </w:r>
      <w:r w:rsidR="00E470F2">
        <w:rPr>
          <w:rFonts w:hint="cs"/>
          <w:rtl/>
        </w:rPr>
        <w:t>×</w:t>
      </w:r>
      <w:r>
        <w:rPr>
          <w:rFonts w:hint="cs"/>
          <w:rtl/>
        </w:rPr>
        <w:t>: «... ولا تهيجوا امرأة بأذى، وإن شتمن أعراضكم، وسببن أمراءكم وصلحاءكم، فإنهنّ ضعاف القوى، والأنفس، والعقول...»</w:t>
      </w:r>
      <w:r w:rsidRPr="00815C4C">
        <w:rPr>
          <w:rFonts w:cs="Taher" w:hint="cs"/>
          <w:vertAlign w:val="superscript"/>
          <w:rtl/>
        </w:rPr>
        <w:t>(</w:t>
      </w:r>
      <w:r w:rsidRPr="00815C4C">
        <w:rPr>
          <w:rFonts w:cs="Taher"/>
          <w:vertAlign w:val="superscript"/>
          <w:rtl/>
        </w:rPr>
        <w:footnoteReference w:id="382"/>
      </w:r>
      <w:r w:rsidRPr="00815C4C">
        <w:rPr>
          <w:rFonts w:cs="Taher" w:hint="cs"/>
          <w:vertAlign w:val="superscript"/>
          <w:rtl/>
        </w:rPr>
        <w:t>)</w:t>
      </w:r>
      <w:r>
        <w:rPr>
          <w:rFonts w:hint="cs"/>
          <w:rtl/>
        </w:rPr>
        <w:t xml:space="preserve">. </w:t>
      </w:r>
    </w:p>
    <w:p w:rsidR="00C832C0" w:rsidRDefault="00C832C0" w:rsidP="000218F4">
      <w:pPr>
        <w:pStyle w:val="ac"/>
        <w:spacing w:line="199" w:lineRule="auto"/>
        <w:rPr>
          <w:rtl/>
        </w:rPr>
      </w:pPr>
      <w:r>
        <w:rPr>
          <w:rFonts w:hint="cs"/>
          <w:b/>
          <w:bCs/>
          <w:rtl/>
        </w:rPr>
        <w:t>الرواية السادسة:</w:t>
      </w:r>
      <w:r>
        <w:rPr>
          <w:rFonts w:hint="cs"/>
          <w:rtl/>
        </w:rPr>
        <w:t xml:space="preserve"> وعن علي</w:t>
      </w:r>
      <w:r w:rsidR="00E470F2">
        <w:rPr>
          <w:rFonts w:hint="cs"/>
          <w:rtl/>
        </w:rPr>
        <w:t>×</w:t>
      </w:r>
      <w:r>
        <w:rPr>
          <w:rFonts w:hint="cs"/>
          <w:rtl/>
        </w:rPr>
        <w:t>: «معاشر الناس! إن النساء نواقص الإيمان، نواقص العقول، ونواقص الحظوظ... وأما نقصان عقولهنّ فشهادة الامرأتين منهنّ كشهادة الرجل الواحد...»</w:t>
      </w:r>
      <w:r w:rsidRPr="00815C4C">
        <w:rPr>
          <w:rFonts w:cs="Taher" w:hint="cs"/>
          <w:vertAlign w:val="superscript"/>
          <w:rtl/>
        </w:rPr>
        <w:t>(</w:t>
      </w:r>
      <w:r w:rsidRPr="00815C4C">
        <w:rPr>
          <w:rFonts w:cs="Taher"/>
          <w:vertAlign w:val="superscript"/>
          <w:rtl/>
        </w:rPr>
        <w:footnoteReference w:id="383"/>
      </w:r>
      <w:r w:rsidRPr="00815C4C">
        <w:rPr>
          <w:rFonts w:cs="Taher" w:hint="cs"/>
          <w:vertAlign w:val="superscript"/>
          <w:rtl/>
        </w:rPr>
        <w:t>)</w:t>
      </w:r>
      <w:r>
        <w:rPr>
          <w:rFonts w:hint="cs"/>
          <w:rtl/>
        </w:rPr>
        <w:t>.</w:t>
      </w:r>
    </w:p>
    <w:p w:rsidR="00C832C0" w:rsidRDefault="00C832C0" w:rsidP="000218F4">
      <w:pPr>
        <w:pStyle w:val="ac"/>
        <w:spacing w:line="199" w:lineRule="auto"/>
        <w:rPr>
          <w:rtl/>
        </w:rPr>
      </w:pPr>
      <w:r>
        <w:rPr>
          <w:rFonts w:hint="cs"/>
          <w:b/>
          <w:bCs/>
          <w:rtl/>
        </w:rPr>
        <w:t xml:space="preserve">الرواية السابعة: </w:t>
      </w:r>
      <w:r>
        <w:rPr>
          <w:rFonts w:hint="cs"/>
          <w:rtl/>
        </w:rPr>
        <w:t>عنه</w:t>
      </w:r>
      <w:r w:rsidR="00E470F2">
        <w:rPr>
          <w:rFonts w:hint="cs"/>
          <w:rtl/>
        </w:rPr>
        <w:t>×</w:t>
      </w:r>
      <w:r>
        <w:rPr>
          <w:rFonts w:hint="cs"/>
          <w:rtl/>
        </w:rPr>
        <w:t xml:space="preserve"> أنه قال: «النساء عيّ وعورة، فاستروا العورة بالبيوت، واستروا العيّ بالسكوت»</w:t>
      </w:r>
      <w:r w:rsidRPr="00815C4C">
        <w:rPr>
          <w:rFonts w:cs="Taher" w:hint="cs"/>
          <w:vertAlign w:val="superscript"/>
          <w:rtl/>
        </w:rPr>
        <w:t>(</w:t>
      </w:r>
      <w:r w:rsidRPr="00815C4C">
        <w:rPr>
          <w:rFonts w:cs="Taher"/>
          <w:vertAlign w:val="superscript"/>
          <w:rtl/>
        </w:rPr>
        <w:footnoteReference w:id="384"/>
      </w:r>
      <w:r w:rsidRPr="00815C4C">
        <w:rPr>
          <w:rFonts w:cs="Taher" w:hint="cs"/>
          <w:vertAlign w:val="superscript"/>
          <w:rtl/>
        </w:rPr>
        <w:t>)</w:t>
      </w:r>
      <w:r>
        <w:rPr>
          <w:rFonts w:hint="cs"/>
          <w:rtl/>
        </w:rPr>
        <w:t>.</w:t>
      </w:r>
    </w:p>
    <w:p w:rsidR="00C832C0" w:rsidRDefault="00C832C0" w:rsidP="000218F4">
      <w:pPr>
        <w:pStyle w:val="ac"/>
        <w:spacing w:line="199" w:lineRule="auto"/>
        <w:rPr>
          <w:rtl/>
        </w:rPr>
      </w:pPr>
      <w:r>
        <w:rPr>
          <w:rFonts w:hint="cs"/>
          <w:rtl/>
        </w:rPr>
        <w:t>وهذه المجموعة من النصوص التي اعتبرها السيد محمد سعيد الطباطبائي الحكيم عمدة الدليل على عدم تقليد المرأة</w:t>
      </w:r>
      <w:r w:rsidRPr="00815C4C">
        <w:rPr>
          <w:rFonts w:cs="Taher" w:hint="cs"/>
          <w:vertAlign w:val="superscript"/>
          <w:rtl/>
        </w:rPr>
        <w:t>(</w:t>
      </w:r>
      <w:r w:rsidRPr="00815C4C">
        <w:rPr>
          <w:rFonts w:cs="Taher"/>
          <w:vertAlign w:val="superscript"/>
          <w:rtl/>
        </w:rPr>
        <w:footnoteReference w:id="385"/>
      </w:r>
      <w:r w:rsidRPr="00815C4C">
        <w:rPr>
          <w:rFonts w:cs="Taher" w:hint="cs"/>
          <w:vertAlign w:val="superscript"/>
          <w:rtl/>
        </w:rPr>
        <w:t>)</w:t>
      </w:r>
      <w:r>
        <w:rPr>
          <w:rFonts w:hint="cs"/>
          <w:rtl/>
        </w:rPr>
        <w:t xml:space="preserve"> قابلة للمناقشة من جهات عديدة جداً، مما قد يستدعي الإطالة في البحث، إلا أننا نكتفي بالإشارة إلى نقاط:</w:t>
      </w:r>
    </w:p>
    <w:p w:rsidR="00C832C0" w:rsidRDefault="00C832C0" w:rsidP="000218F4">
      <w:pPr>
        <w:pStyle w:val="ac"/>
        <w:spacing w:line="199" w:lineRule="auto"/>
        <w:rPr>
          <w:rtl/>
        </w:rPr>
      </w:pPr>
      <w:r>
        <w:rPr>
          <w:rFonts w:hint="cs"/>
          <w:b/>
          <w:bCs/>
          <w:rtl/>
        </w:rPr>
        <w:t>النقطة الأولى:</w:t>
      </w:r>
      <w:r>
        <w:rPr>
          <w:rFonts w:hint="cs"/>
          <w:rtl/>
        </w:rPr>
        <w:t xml:space="preserve"> إن هذه الروايات بأجمعها ضعيفة السند إما بالإرسال، كما فيما ورد منها في نهج البلاغة، وإما بجهالة بعض الرواة أو ضعف بعض الطرق، فلم يصحّ منها </w:t>
      </w:r>
      <w:r w:rsidR="00A90E63">
        <w:rPr>
          <w:rFonts w:hint="cs"/>
          <w:rtl/>
        </w:rPr>
        <w:t>ـ</w:t>
      </w:r>
      <w:r>
        <w:rPr>
          <w:rFonts w:hint="cs"/>
          <w:rtl/>
        </w:rPr>
        <w:t xml:space="preserve"> عند التحقيق </w:t>
      </w:r>
      <w:r w:rsidR="00A90E63">
        <w:rPr>
          <w:rFonts w:hint="cs"/>
          <w:rtl/>
        </w:rPr>
        <w:t>ـ</w:t>
      </w:r>
      <w:r>
        <w:rPr>
          <w:rFonts w:hint="cs"/>
          <w:rtl/>
        </w:rPr>
        <w:t xml:space="preserve"> أي رواية إلا ما سنورده.</w:t>
      </w:r>
    </w:p>
    <w:p w:rsidR="00C832C0" w:rsidRDefault="00C832C0" w:rsidP="000218F4">
      <w:pPr>
        <w:pStyle w:val="ac"/>
        <w:spacing w:line="199" w:lineRule="auto"/>
        <w:rPr>
          <w:rtl/>
        </w:rPr>
      </w:pPr>
      <w:r>
        <w:rPr>
          <w:rFonts w:hint="cs"/>
          <w:rtl/>
        </w:rPr>
        <w:t xml:space="preserve">و بيان ذلك: </w:t>
      </w:r>
    </w:p>
    <w:p w:rsidR="00C832C0" w:rsidRDefault="00C832C0" w:rsidP="000218F4">
      <w:pPr>
        <w:pStyle w:val="ac"/>
        <w:spacing w:line="199" w:lineRule="auto"/>
        <w:rPr>
          <w:rtl/>
        </w:rPr>
      </w:pPr>
      <w:r>
        <w:rPr>
          <w:rFonts w:hint="cs"/>
          <w:rtl/>
        </w:rPr>
        <w:t xml:space="preserve">أ </w:t>
      </w:r>
      <w:r w:rsidR="00A90E63">
        <w:rPr>
          <w:rFonts w:hint="cs"/>
          <w:rtl/>
        </w:rPr>
        <w:t>ـ</w:t>
      </w:r>
      <w:r>
        <w:rPr>
          <w:rFonts w:hint="cs"/>
          <w:rtl/>
        </w:rPr>
        <w:t xml:space="preserve"> أن ما دل من النصوص على نقصان عقل المرأة، أو ضعف عقلها، ضعيف، فخبر مالك بن أعين (الرواية الخامسة المتقدمة) ضعيفة السند بالإرسال جداً، وفق ما جاء في </w:t>
      </w:r>
      <w:r>
        <w:rPr>
          <w:rFonts w:hint="cs"/>
          <w:rtl/>
        </w:rPr>
        <w:lastRenderedPageBreak/>
        <w:t>الكافي، وكذلك الحال في الرواية السادسة، إذ قد ذكرت في نهج البلاغة ووسائل الشيعة وغيرهما مرسلةً.</w:t>
      </w:r>
    </w:p>
    <w:p w:rsidR="00C832C0" w:rsidRDefault="00C832C0" w:rsidP="00F56506">
      <w:pPr>
        <w:pStyle w:val="ac"/>
        <w:rPr>
          <w:rtl/>
        </w:rPr>
      </w:pPr>
      <w:r>
        <w:rPr>
          <w:rFonts w:hint="cs"/>
          <w:rtl/>
        </w:rPr>
        <w:t xml:space="preserve">ب ـ وأما ما دلّ على النهي عن مشاورة النساء، أو المشاورة والمخالفة، فوصية </w:t>
      </w:r>
      <w:r>
        <w:rPr>
          <w:rFonts w:hint="cs"/>
          <w:rtl/>
        </w:rPr>
        <w:br/>
        <w:t>النبي</w:t>
      </w:r>
      <w:r w:rsidR="00F56506">
        <w:rPr>
          <w:rFonts w:hint="cs"/>
          <w:rtl/>
        </w:rPr>
        <w:t>’</w:t>
      </w:r>
      <w:r>
        <w:rPr>
          <w:rFonts w:hint="cs"/>
          <w:rtl/>
        </w:rPr>
        <w:t xml:space="preserve"> لعلي</w:t>
      </w:r>
      <w:r w:rsidR="00E470F2">
        <w:rPr>
          <w:rFonts w:hint="cs"/>
          <w:rtl/>
        </w:rPr>
        <w:t>×</w:t>
      </w:r>
      <w:r>
        <w:rPr>
          <w:rFonts w:hint="cs"/>
          <w:rtl/>
        </w:rPr>
        <w:t xml:space="preserve"> ضعيفة السند بحماد بن عمرو وأنس بن محمد فهما مجهولان</w:t>
      </w:r>
      <w:r w:rsidRPr="00815C4C">
        <w:rPr>
          <w:rFonts w:cs="Taher" w:hint="cs"/>
          <w:vertAlign w:val="superscript"/>
          <w:rtl/>
        </w:rPr>
        <w:t>(</w:t>
      </w:r>
      <w:r w:rsidRPr="00815C4C">
        <w:rPr>
          <w:rFonts w:cs="Taher"/>
          <w:vertAlign w:val="superscript"/>
          <w:rtl/>
        </w:rPr>
        <w:footnoteReference w:id="386"/>
      </w:r>
      <w:r w:rsidRPr="00815C4C">
        <w:rPr>
          <w:rFonts w:cs="Taher" w:hint="cs"/>
          <w:vertAlign w:val="superscript"/>
          <w:rtl/>
        </w:rPr>
        <w:t>)</w:t>
      </w:r>
      <w:r>
        <w:rPr>
          <w:rFonts w:hint="cs"/>
          <w:rtl/>
        </w:rPr>
        <w:t>، لا فرق في ذلك ما جاء في وسائل الشيعة أو من لا يحضره الفقيه أو الخصال، وأما رواية النهج (الرواية الثالثة) فهي ضعيفة السند بالإرسال، وأما وصية الإمام علي</w:t>
      </w:r>
      <w:r w:rsidR="00E470F2">
        <w:rPr>
          <w:rFonts w:hint="cs"/>
          <w:rtl/>
        </w:rPr>
        <w:t>×</w:t>
      </w:r>
      <w:r>
        <w:rPr>
          <w:rFonts w:hint="cs"/>
          <w:rtl/>
        </w:rPr>
        <w:t xml:space="preserve"> لولده الحسن</w:t>
      </w:r>
      <w:r w:rsidR="00E470F2">
        <w:rPr>
          <w:rFonts w:hint="cs"/>
          <w:rtl/>
        </w:rPr>
        <w:t>×</w:t>
      </w:r>
      <w:r>
        <w:rPr>
          <w:rFonts w:hint="cs"/>
          <w:rtl/>
        </w:rPr>
        <w:t xml:space="preserve"> (أو لولده محمد بن الحنفية وفق بعض الروايات) فلها أكثر من سند، أحدها ضعيف بالإرسال بعد أبي عبد الله الأشعري، وثانيها ضعيف بالإرسال بعد العاصمي، أما ثالثها فضعيف </w:t>
      </w:r>
      <w:r w:rsidR="00A90E63">
        <w:rPr>
          <w:rFonts w:hint="cs"/>
          <w:rtl/>
        </w:rPr>
        <w:t>ـ</w:t>
      </w:r>
      <w:r>
        <w:rPr>
          <w:rFonts w:hint="cs"/>
          <w:rtl/>
        </w:rPr>
        <w:t xml:space="preserve"> لا أقل </w:t>
      </w:r>
      <w:r w:rsidR="00A90E63">
        <w:rPr>
          <w:rFonts w:hint="cs"/>
          <w:rtl/>
        </w:rPr>
        <w:t>ـ</w:t>
      </w:r>
      <w:r>
        <w:rPr>
          <w:rFonts w:hint="cs"/>
          <w:rtl/>
        </w:rPr>
        <w:t xml:space="preserve"> بجهالة علي بن عبدك بل إهماله حسب الظاهر</w:t>
      </w:r>
      <w:r w:rsidRPr="00815C4C">
        <w:rPr>
          <w:rFonts w:cs="Taher" w:hint="cs"/>
          <w:vertAlign w:val="superscript"/>
          <w:rtl/>
        </w:rPr>
        <w:t>(</w:t>
      </w:r>
      <w:r w:rsidRPr="00815C4C">
        <w:rPr>
          <w:rFonts w:cs="Taher"/>
          <w:vertAlign w:val="superscript"/>
          <w:rtl/>
        </w:rPr>
        <w:footnoteReference w:id="387"/>
      </w:r>
      <w:r w:rsidRPr="00815C4C">
        <w:rPr>
          <w:rFonts w:cs="Taher" w:hint="cs"/>
          <w:vertAlign w:val="superscript"/>
          <w:rtl/>
        </w:rPr>
        <w:t>)</w:t>
      </w:r>
      <w:r>
        <w:rPr>
          <w:rFonts w:hint="cs"/>
          <w:rtl/>
        </w:rPr>
        <w:t xml:space="preserve">، أما رابعها فهو سند نهج البلاغة المرسل، وكذا الحال في سند الحراني في تحف العقول، حيث يبتلي بالإرسال، وخبر أبي عبد الله البرقي فهو مرفوع، وخبر يعقوب بن يزيد فهو مرسل، وخبر عمرو بن عثمان فهو مرسل، وخبر جابر وهو ضعيف </w:t>
      </w:r>
      <w:r w:rsidR="00A90E63">
        <w:rPr>
          <w:rFonts w:hint="cs"/>
          <w:rtl/>
        </w:rPr>
        <w:t>ـ</w:t>
      </w:r>
      <w:r>
        <w:rPr>
          <w:rFonts w:hint="cs"/>
          <w:rtl/>
        </w:rPr>
        <w:t xml:space="preserve"> لا أقل </w:t>
      </w:r>
      <w:r w:rsidR="00A90E63">
        <w:rPr>
          <w:rFonts w:hint="cs"/>
          <w:rtl/>
        </w:rPr>
        <w:t>ـ</w:t>
      </w:r>
      <w:r>
        <w:rPr>
          <w:rFonts w:hint="cs"/>
          <w:rtl/>
        </w:rPr>
        <w:t xml:space="preserve"> بعمرو بن شمر الضعيف جداً..</w:t>
      </w:r>
      <w:r w:rsidRPr="00815C4C">
        <w:rPr>
          <w:rFonts w:cs="Taher" w:hint="cs"/>
          <w:vertAlign w:val="superscript"/>
          <w:rtl/>
        </w:rPr>
        <w:t>(</w:t>
      </w:r>
      <w:r w:rsidRPr="00815C4C">
        <w:rPr>
          <w:rFonts w:cs="Taher"/>
          <w:vertAlign w:val="superscript"/>
          <w:rtl/>
        </w:rPr>
        <w:footnoteReference w:id="388"/>
      </w:r>
      <w:r w:rsidRPr="00815C4C">
        <w:rPr>
          <w:rFonts w:cs="Taher" w:hint="cs"/>
          <w:vertAlign w:val="superscript"/>
          <w:rtl/>
        </w:rPr>
        <w:t>)</w:t>
      </w:r>
      <w:r>
        <w:rPr>
          <w:rFonts w:hint="cs"/>
          <w:rtl/>
        </w:rPr>
        <w:t>، وهكذا خبر إسحاق بن عمار للرفع، وخبر يعقوب بن يزيد للإرسال والرفع، وخبر الواسطي للرفع، وخبر عمرو بن عثمان للإرسال وجهالة بعض الرواة بل ضعفهم</w:t>
      </w:r>
      <w:r w:rsidRPr="00815C4C">
        <w:rPr>
          <w:rFonts w:cs="Taher" w:hint="cs"/>
          <w:vertAlign w:val="superscript"/>
          <w:rtl/>
        </w:rPr>
        <w:t>(</w:t>
      </w:r>
      <w:r w:rsidRPr="00815C4C">
        <w:rPr>
          <w:rFonts w:cs="Taher"/>
          <w:vertAlign w:val="superscript"/>
          <w:rtl/>
        </w:rPr>
        <w:footnoteReference w:id="389"/>
      </w:r>
      <w:r w:rsidRPr="00815C4C">
        <w:rPr>
          <w:rFonts w:cs="Taher" w:hint="cs"/>
          <w:vertAlign w:val="superscript"/>
          <w:rtl/>
        </w:rPr>
        <w:t>)</w:t>
      </w:r>
      <w:r>
        <w:rPr>
          <w:rFonts w:hint="cs"/>
          <w:rtl/>
        </w:rPr>
        <w:t>.</w:t>
      </w:r>
    </w:p>
    <w:p w:rsidR="00C832C0" w:rsidRDefault="00C832C0" w:rsidP="000218F4">
      <w:pPr>
        <w:pStyle w:val="ac"/>
        <w:spacing w:line="199" w:lineRule="auto"/>
        <w:rPr>
          <w:rtl/>
        </w:rPr>
      </w:pPr>
      <w:r>
        <w:rPr>
          <w:rFonts w:hint="cs"/>
          <w:rtl/>
        </w:rPr>
        <w:lastRenderedPageBreak/>
        <w:t xml:space="preserve">ج </w:t>
      </w:r>
      <w:r w:rsidR="00A90E63">
        <w:rPr>
          <w:rFonts w:hint="cs"/>
          <w:rtl/>
        </w:rPr>
        <w:t>ـ</w:t>
      </w:r>
      <w:r>
        <w:rPr>
          <w:rFonts w:hint="cs"/>
          <w:rtl/>
        </w:rPr>
        <w:t xml:space="preserve"> أما رواية العيّ والسكوت فهي ضعيفة بإرسال الصدوق من جهة أحد سنديها، وإرسال الطوسي في الأمالي من جهة سندها الآخر، إضافةً إلى جهالة أبي المفضل على تقدير كونه الخراساني، وتضعيفه على تقدير كونه الشيباني</w:t>
      </w:r>
      <w:r w:rsidRPr="00815C4C">
        <w:rPr>
          <w:rFonts w:cs="Taher" w:hint="cs"/>
          <w:vertAlign w:val="superscript"/>
          <w:rtl/>
        </w:rPr>
        <w:t>(</w:t>
      </w:r>
      <w:r w:rsidRPr="00815C4C">
        <w:rPr>
          <w:rFonts w:cs="Taher"/>
          <w:vertAlign w:val="superscript"/>
          <w:rtl/>
        </w:rPr>
        <w:footnoteReference w:id="390"/>
      </w:r>
      <w:r w:rsidRPr="00815C4C">
        <w:rPr>
          <w:rFonts w:cs="Taher" w:hint="cs"/>
          <w:vertAlign w:val="superscript"/>
          <w:rtl/>
        </w:rPr>
        <w:t>)</w:t>
      </w:r>
      <w:r>
        <w:rPr>
          <w:rFonts w:hint="cs"/>
          <w:rtl/>
        </w:rPr>
        <w:t>، نعم هناك رواية معتبرة السند تبيّن أن المرأة عورة، لكن هذا لا علاقة له بضعف الرأي و..</w:t>
      </w:r>
    </w:p>
    <w:p w:rsidR="00C832C0" w:rsidRDefault="00C832C0" w:rsidP="000218F4">
      <w:pPr>
        <w:pStyle w:val="ac"/>
        <w:spacing w:line="199" w:lineRule="auto"/>
        <w:rPr>
          <w:rtl/>
        </w:rPr>
      </w:pPr>
      <w:r>
        <w:rPr>
          <w:rFonts w:hint="cs"/>
          <w:rtl/>
        </w:rPr>
        <w:t>نعم، الرواية الأولى عن السكوني معتبرة السند على المعروف.</w:t>
      </w:r>
    </w:p>
    <w:p w:rsidR="00C832C0" w:rsidRDefault="00C832C0" w:rsidP="000218F4">
      <w:pPr>
        <w:pStyle w:val="ac"/>
        <w:spacing w:line="199" w:lineRule="auto"/>
        <w:rPr>
          <w:rtl/>
        </w:rPr>
      </w:pPr>
      <w:r>
        <w:rPr>
          <w:rFonts w:hint="cs"/>
          <w:rtl/>
        </w:rPr>
        <w:t>وهكذا الرواية التي يرويها الكليني عن الصادق</w:t>
      </w:r>
      <w:r w:rsidR="00E470F2">
        <w:rPr>
          <w:rFonts w:hint="cs"/>
          <w:rtl/>
        </w:rPr>
        <w:t>×</w:t>
      </w:r>
      <w:r>
        <w:rPr>
          <w:rFonts w:hint="cs"/>
          <w:rtl/>
        </w:rPr>
        <w:t xml:space="preserve"> قال: «ذكر رسول الله</w:t>
      </w:r>
      <w:r w:rsidR="00F56506">
        <w:rPr>
          <w:rFonts w:hint="cs"/>
          <w:rtl/>
        </w:rPr>
        <w:t>’</w:t>
      </w:r>
      <w:r>
        <w:rPr>
          <w:rFonts w:hint="cs"/>
          <w:rtl/>
        </w:rPr>
        <w:t xml:space="preserve"> النساء، فقال: اعصوهن في المعروف قبل أن يأمرنكم بالمنكر، وتعوّذوا بالله من شرارهن، وكونوا من خيارهنّ على حذر»</w:t>
      </w:r>
      <w:r w:rsidRPr="00815C4C">
        <w:rPr>
          <w:rFonts w:cs="Taher" w:hint="cs"/>
          <w:vertAlign w:val="superscript"/>
          <w:rtl/>
        </w:rPr>
        <w:t>(</w:t>
      </w:r>
      <w:r w:rsidRPr="00815C4C">
        <w:rPr>
          <w:rFonts w:cs="Taher"/>
          <w:vertAlign w:val="superscript"/>
          <w:rtl/>
        </w:rPr>
        <w:footnoteReference w:id="391"/>
      </w:r>
      <w:r w:rsidRPr="00815C4C">
        <w:rPr>
          <w:rFonts w:cs="Taher" w:hint="cs"/>
          <w:vertAlign w:val="superscript"/>
          <w:rtl/>
        </w:rPr>
        <w:t>)</w:t>
      </w:r>
      <w:r>
        <w:rPr>
          <w:rFonts w:hint="cs"/>
          <w:rtl/>
        </w:rPr>
        <w:t>.</w:t>
      </w:r>
    </w:p>
    <w:p w:rsidR="00C832C0" w:rsidRDefault="00C832C0" w:rsidP="000218F4">
      <w:pPr>
        <w:pStyle w:val="ac"/>
        <w:spacing w:line="199" w:lineRule="auto"/>
        <w:rPr>
          <w:rtl/>
        </w:rPr>
      </w:pPr>
      <w:r>
        <w:rPr>
          <w:rFonts w:hint="cs"/>
          <w:b/>
          <w:bCs/>
          <w:rtl/>
        </w:rPr>
        <w:t>النقطة الثانية:</w:t>
      </w:r>
      <w:r>
        <w:rPr>
          <w:rFonts w:hint="cs"/>
          <w:rtl/>
        </w:rPr>
        <w:t xml:space="preserve"> إن هناك نكتة </w:t>
      </w:r>
      <w:r w:rsidR="00A90E63">
        <w:rPr>
          <w:rFonts w:hint="cs"/>
          <w:rtl/>
        </w:rPr>
        <w:t>ـ</w:t>
      </w:r>
      <w:r>
        <w:rPr>
          <w:rFonts w:hint="cs"/>
          <w:rtl/>
        </w:rPr>
        <w:t xml:space="preserve"> يجدر ملاحظتها في هذه الطائفة من الروايات </w:t>
      </w:r>
      <w:r w:rsidR="00A90E63">
        <w:rPr>
          <w:rFonts w:hint="cs"/>
          <w:rtl/>
        </w:rPr>
        <w:t>ـ</w:t>
      </w:r>
      <w:r>
        <w:rPr>
          <w:rFonts w:hint="cs"/>
          <w:rtl/>
        </w:rPr>
        <w:t xml:space="preserve"> وهي نكتة تضعف درجة الوثوق بها، وحيث كان الثابت عندنا حجية الخبر الموثوق لا الثقة كان من الضروري رصد درجة الوثوق هنا.</w:t>
      </w:r>
    </w:p>
    <w:p w:rsidR="00C832C0" w:rsidRDefault="00C832C0" w:rsidP="000218F4">
      <w:pPr>
        <w:pStyle w:val="ac"/>
        <w:rPr>
          <w:sz w:val="32"/>
          <w:rtl/>
        </w:rPr>
      </w:pPr>
      <w:r>
        <w:rPr>
          <w:rFonts w:hint="cs"/>
          <w:rtl/>
        </w:rPr>
        <w:t xml:space="preserve">والنكتة التي نثيرها في المقام أن رواة هذه النصوص هم من الرجال، والرجال </w:t>
      </w:r>
      <w:r w:rsidR="00A90E63">
        <w:rPr>
          <w:rFonts w:hint="cs"/>
          <w:rtl/>
        </w:rPr>
        <w:t>ـ</w:t>
      </w:r>
      <w:r>
        <w:rPr>
          <w:rFonts w:hint="cs"/>
          <w:rtl/>
        </w:rPr>
        <w:t xml:space="preserve"> سيما في الثقافة القديمة </w:t>
      </w:r>
      <w:r w:rsidR="00A90E63">
        <w:rPr>
          <w:rFonts w:hint="cs"/>
          <w:rtl/>
        </w:rPr>
        <w:t>ـ</w:t>
      </w:r>
      <w:r>
        <w:rPr>
          <w:rFonts w:hint="cs"/>
          <w:rtl/>
        </w:rPr>
        <w:t xml:space="preserve"> لهم مصلحة كبيرة في إثارة هذا النوع من النصوص، وعليه فاحتمال وضعها من جانب الرواة يغدو أكبر قياساً بالموضوعات الأخرى، مما يصعّب درجة الوثوق بها مع كثرتها، سيما بعد افتراض ضعفها السندي، وهذه النكتة كبروية هامة، تساعد على إضعاف قوّة الضخّ الاحتمالي في الروايات نتيجة كثرتها.</w:t>
      </w:r>
    </w:p>
    <w:p w:rsidR="00C832C0" w:rsidRDefault="00C832C0" w:rsidP="00E470F2">
      <w:pPr>
        <w:pStyle w:val="ac"/>
        <w:rPr>
          <w:rtl/>
        </w:rPr>
      </w:pPr>
      <w:r>
        <w:rPr>
          <w:rFonts w:hint="cs"/>
          <w:rtl/>
        </w:rPr>
        <w:t xml:space="preserve">ويضاف إلى ذلك </w:t>
      </w:r>
      <w:r w:rsidR="00A90E63">
        <w:rPr>
          <w:rFonts w:hint="cs"/>
          <w:rtl/>
        </w:rPr>
        <w:t>ـ</w:t>
      </w:r>
      <w:r>
        <w:rPr>
          <w:rFonts w:hint="cs"/>
          <w:rtl/>
        </w:rPr>
        <w:t xml:space="preserve"> بعد الضعف السندي للروايات </w:t>
      </w:r>
      <w:r w:rsidR="00A90E63">
        <w:rPr>
          <w:rFonts w:hint="cs"/>
          <w:rtl/>
        </w:rPr>
        <w:t>ـ</w:t>
      </w:r>
      <w:r>
        <w:rPr>
          <w:rFonts w:hint="cs"/>
          <w:rtl/>
        </w:rPr>
        <w:t xml:space="preserve"> أنّ الملفت في هذا النوع من النصوص وروده بكثرة عن </w:t>
      </w:r>
      <w:r w:rsidRPr="00F04A58">
        <w:rPr>
          <w:rFonts w:hint="cs"/>
          <w:rtl/>
        </w:rPr>
        <w:t>أمير المؤمنين علي</w:t>
      </w:r>
      <w:r w:rsidR="00E470F2">
        <w:rPr>
          <w:rFonts w:hint="cs"/>
          <w:rtl/>
        </w:rPr>
        <w:t>×</w:t>
      </w:r>
      <w:r w:rsidRPr="00F04A58">
        <w:rPr>
          <w:rtl/>
        </w:rPr>
        <w:t xml:space="preserve">، وقد أدّى ذلك إلى ظهور تفسير </w:t>
      </w:r>
      <w:r w:rsidRPr="00F04A58">
        <w:rPr>
          <w:rtl/>
        </w:rPr>
        <w:lastRenderedPageBreak/>
        <w:t xml:space="preserve">لدى بعضهم في كون المراد من المرأة هنا، عائشة زوج النبي </w:t>
      </w:r>
      <w:r w:rsidRPr="00F04A58">
        <w:sym w:font="Islamic Units 1" w:char="0036"/>
      </w:r>
      <w:r w:rsidRPr="00F04A58">
        <w:rPr>
          <w:rtl/>
        </w:rPr>
        <w:t xml:space="preserve">، فتكون الروايات إرشاداً إلى امرأة بعينها لا مطلق المرأة، ونحن لا نريد ترجيح هذا الفرض فعلاً، بقدر ما نريد القول بأن هناك احتمالاً آخر أيضاً في أن تكون الروايات </w:t>
      </w:r>
      <w:r w:rsidR="00A90E63" w:rsidRPr="00F04A58">
        <w:rPr>
          <w:rtl/>
        </w:rPr>
        <w:t>ـ</w:t>
      </w:r>
      <w:r w:rsidRPr="00F04A58">
        <w:rPr>
          <w:rtl/>
        </w:rPr>
        <w:t xml:space="preserve"> وهي ضعيفة </w:t>
      </w:r>
      <w:r w:rsidR="00A90E63" w:rsidRPr="00F04A58">
        <w:rPr>
          <w:rtl/>
        </w:rPr>
        <w:t>ـ</w:t>
      </w:r>
      <w:r w:rsidRPr="00F04A58">
        <w:rPr>
          <w:rtl/>
        </w:rPr>
        <w:t xml:space="preserve"> من جعل بعض الشيعة ضدّ عائشة، بمعنى أنهم ينسبون هذا الكلام إلى علي</w:t>
      </w:r>
      <w:r w:rsidR="00E470F2">
        <w:rPr>
          <w:rFonts w:hint="cs"/>
          <w:rtl/>
        </w:rPr>
        <w:t>×</w:t>
      </w:r>
      <w:r w:rsidRPr="00F04A58">
        <w:rPr>
          <w:rtl/>
        </w:rPr>
        <w:t xml:space="preserve"> في مطلق المرأة استطراقاً لتضعيف عائشة، وظهور هذا الاحتمال المعزّز بكثرة الروايات عن علي</w:t>
      </w:r>
      <w:r w:rsidR="00E470F2">
        <w:rPr>
          <w:rFonts w:hint="cs"/>
          <w:rtl/>
        </w:rPr>
        <w:t>×</w:t>
      </w:r>
      <w:r w:rsidRPr="00F04A58">
        <w:rPr>
          <w:rtl/>
        </w:rPr>
        <w:t xml:space="preserve"> وإن لم يقم عليه دليل، غير أنّه </w:t>
      </w:r>
      <w:r w:rsidR="00A90E63" w:rsidRPr="00F04A58">
        <w:rPr>
          <w:rtl/>
        </w:rPr>
        <w:t>ـ</w:t>
      </w:r>
      <w:r w:rsidRPr="00F04A58">
        <w:rPr>
          <w:rtl/>
        </w:rPr>
        <w:t xml:space="preserve"> ما دام منطقياً وتقتضيه طبيعة الأشياء </w:t>
      </w:r>
      <w:r w:rsidR="00A90E63" w:rsidRPr="00F04A58">
        <w:rPr>
          <w:rtl/>
        </w:rPr>
        <w:t>ـ</w:t>
      </w:r>
      <w:r w:rsidRPr="00F04A58">
        <w:rPr>
          <w:rtl/>
        </w:rPr>
        <w:t xml:space="preserve"> يضعّف </w:t>
      </w:r>
      <w:r w:rsidR="00A90E63" w:rsidRPr="00F04A58">
        <w:rPr>
          <w:rtl/>
        </w:rPr>
        <w:t>ـ</w:t>
      </w:r>
      <w:r w:rsidRPr="00F04A58">
        <w:rPr>
          <w:rtl/>
        </w:rPr>
        <w:t xml:space="preserve"> كما قلنا </w:t>
      </w:r>
      <w:r w:rsidR="00A90E63" w:rsidRPr="00F04A58">
        <w:rPr>
          <w:rtl/>
        </w:rPr>
        <w:t>ـ</w:t>
      </w:r>
      <w:r w:rsidRPr="00F04A58">
        <w:rPr>
          <w:rtl/>
        </w:rPr>
        <w:t xml:space="preserve"> من قوّة الضخّ الاحتمالي في النصوص، فيمنعها </w:t>
      </w:r>
      <w:r w:rsidR="00A90E63" w:rsidRPr="00F04A58">
        <w:rPr>
          <w:rtl/>
        </w:rPr>
        <w:t>ـ</w:t>
      </w:r>
      <w:r w:rsidRPr="00F04A58">
        <w:rPr>
          <w:rtl/>
        </w:rPr>
        <w:t xml:space="preserve"> إلى جانب الضعف السندي </w:t>
      </w:r>
      <w:r w:rsidR="00A90E63" w:rsidRPr="00F04A58">
        <w:rPr>
          <w:rtl/>
        </w:rPr>
        <w:t>ـ</w:t>
      </w:r>
      <w:r w:rsidRPr="00F04A58">
        <w:rPr>
          <w:rtl/>
        </w:rPr>
        <w:t xml:space="preserve"> عن تحصيل الوثوق رغم بعض الكثرة النسبية فيها.</w:t>
      </w:r>
    </w:p>
    <w:p w:rsidR="00C832C0" w:rsidRDefault="00C832C0" w:rsidP="000218F4">
      <w:pPr>
        <w:pStyle w:val="ac"/>
        <w:spacing w:line="209" w:lineRule="auto"/>
        <w:rPr>
          <w:rtl/>
        </w:rPr>
      </w:pPr>
      <w:r>
        <w:rPr>
          <w:rFonts w:hint="cs"/>
          <w:b/>
          <w:bCs/>
          <w:rtl/>
        </w:rPr>
        <w:t>النقطة الثالثة:</w:t>
      </w:r>
      <w:r>
        <w:rPr>
          <w:rFonts w:hint="cs"/>
          <w:rtl/>
        </w:rPr>
        <w:t xml:space="preserve"> إن الرواية الصحيحة للكليني المشار إليها في هذا المقام لا دلالة لها على ما نحن فيه أصلاً، فإن الظاهر منها، لا أقلّ من عدم الظهور في غيره، حالة العلاقة الزوجية، فإن المنصرف إلى الذهن من سماع هذا النصّ هو تلك الصورة، ومن غير البعيد وجود خصوصية هناك تختلف تمام الاختلاف عن الرجوع إلى متخصّص في العلوم المختلفة إذا كان امرأة، ومثل هذه الرواية في الظهور في الدائرة الأسرية جملة من الروايات الأخرى.</w:t>
      </w:r>
    </w:p>
    <w:p w:rsidR="00C832C0" w:rsidRDefault="00C832C0" w:rsidP="000218F4">
      <w:pPr>
        <w:pStyle w:val="ac"/>
        <w:spacing w:line="209" w:lineRule="auto"/>
        <w:rPr>
          <w:rtl/>
        </w:rPr>
      </w:pPr>
      <w:r>
        <w:rPr>
          <w:rFonts w:hint="cs"/>
          <w:rtl/>
        </w:rPr>
        <w:t>وعلى المنوال نفسه، مثل خبر السكوني الصحيح السند على المعروف وغيره ممّا صحّ سنده، إذ إنّ التعبير بجملة: من اتخذها، شاهد واضح على أنّ المراد الحديث عن العلاقة الزوجية أو الفردية بين الرجل والمرأة، لا العلاقات العلمية أو غيرها، مما لا يصدق معه تعبير: اتخذها، وهذا ما يسلّط الضوء على كلمة: لعبة، الواردة في الرواية نفسها، ولهذا وجدنا الحرّ العاملي يدرج هذه الرواية في أبواب النكاح تحت عنوان استحباب إكرام الزوجة</w:t>
      </w:r>
      <w:r w:rsidRPr="00815C4C">
        <w:rPr>
          <w:rFonts w:cs="Taher" w:hint="cs"/>
          <w:vertAlign w:val="superscript"/>
          <w:rtl/>
        </w:rPr>
        <w:t>(</w:t>
      </w:r>
      <w:r w:rsidRPr="00815C4C">
        <w:rPr>
          <w:rFonts w:cs="Taher"/>
          <w:vertAlign w:val="superscript"/>
          <w:rtl/>
        </w:rPr>
        <w:footnoteReference w:id="392"/>
      </w:r>
      <w:r w:rsidRPr="00815C4C">
        <w:rPr>
          <w:rFonts w:cs="Taher" w:hint="cs"/>
          <w:vertAlign w:val="superscript"/>
          <w:rtl/>
        </w:rPr>
        <w:t>)</w:t>
      </w:r>
      <w:r>
        <w:rPr>
          <w:rFonts w:hint="cs"/>
          <w:rtl/>
        </w:rPr>
        <w:t>.</w:t>
      </w:r>
    </w:p>
    <w:p w:rsidR="00C832C0" w:rsidRDefault="00C832C0" w:rsidP="000218F4">
      <w:pPr>
        <w:pStyle w:val="ac"/>
        <w:spacing w:line="209" w:lineRule="auto"/>
        <w:rPr>
          <w:rtl/>
        </w:rPr>
      </w:pPr>
      <w:r>
        <w:rPr>
          <w:rFonts w:hint="cs"/>
          <w:b/>
          <w:bCs/>
          <w:rtl/>
        </w:rPr>
        <w:t>النقطة الرابعة:</w:t>
      </w:r>
      <w:r>
        <w:rPr>
          <w:rFonts w:hint="cs"/>
          <w:rtl/>
        </w:rPr>
        <w:t xml:space="preserve"> إننا لم نفقه ماذا يريد المستدلّ بالضبط أن يعطينا باستدلاله هذا؟! </w:t>
      </w:r>
    </w:p>
    <w:p w:rsidR="00C832C0" w:rsidRDefault="00C832C0" w:rsidP="000218F4">
      <w:pPr>
        <w:pStyle w:val="ac"/>
        <w:spacing w:line="209" w:lineRule="auto"/>
        <w:rPr>
          <w:rtl/>
        </w:rPr>
      </w:pPr>
      <w:r>
        <w:rPr>
          <w:rFonts w:hint="cs"/>
          <w:rtl/>
        </w:rPr>
        <w:t xml:space="preserve">أ </w:t>
      </w:r>
      <w:r w:rsidR="00A90E63">
        <w:rPr>
          <w:rFonts w:hint="cs"/>
          <w:rtl/>
        </w:rPr>
        <w:t>ـ</w:t>
      </w:r>
      <w:r>
        <w:rPr>
          <w:rFonts w:hint="cs"/>
          <w:rtl/>
        </w:rPr>
        <w:t xml:space="preserve"> هل يريد إثبات كبرى عدم كونها كالرجل في الرأي، بمعنى أنّ كلّ رجلٍ أعلم </w:t>
      </w:r>
      <w:r>
        <w:rPr>
          <w:rFonts w:hint="cs"/>
          <w:rtl/>
        </w:rPr>
        <w:lastRenderedPageBreak/>
        <w:t>من كلّ امرأةٍ دائماً، فهذا لا يدلّ على منع تقليدها إلا على القول بلزوم تقليد الأعلم، وربما لا نقول به، فيكون الاستدلال أخصّ من المدعى، علاوة على أنه لا يثبت المنع عن تقليدها لو لم يتصدّ الرجل للاجتهاد أصلاً، فضلاً عن اليقين خارجاً ببطلان هذا التعميم.</w:t>
      </w:r>
    </w:p>
    <w:p w:rsidR="00C832C0" w:rsidRDefault="00C832C0" w:rsidP="000218F4">
      <w:pPr>
        <w:pStyle w:val="ac"/>
        <w:spacing w:line="209" w:lineRule="auto"/>
        <w:rPr>
          <w:rtl/>
        </w:rPr>
      </w:pPr>
      <w:r>
        <w:rPr>
          <w:rFonts w:hint="cs"/>
          <w:rtl/>
        </w:rPr>
        <w:t xml:space="preserve">ب </w:t>
      </w:r>
      <w:r w:rsidR="00A90E63">
        <w:rPr>
          <w:rFonts w:hint="cs"/>
          <w:rtl/>
        </w:rPr>
        <w:t>ـ</w:t>
      </w:r>
      <w:r>
        <w:rPr>
          <w:rFonts w:hint="cs"/>
          <w:rtl/>
        </w:rPr>
        <w:t xml:space="preserve"> أم يريد أن يثبت عدم جواز الرجوع إليها في القضايا العلمية، مما لازمه عدم الرجوع إلى النساء في كل قضية علمية، إذ لا معنى لتجزئة الدليل بلحاظ القضايا الفقهية والقضايا الطبية والاقتصادية وغيرها، بعد أن لم يكن فيه أي مؤشر على التحديد في القضايا الفقهية أو الدينية، أفهل يقال بعدم جواز الرجوع إلى الطبيبة مع وجود الرجل لاحتمال الضرر المأمورِين عقلاً بدفعه؟! وأمثال ذلك من الفروض التي تلزم على تقدير الأخذ بالقاعدة المقرّرة في كلام هذا الفقيه وغيره، الأمر الذي يجعل الأدلّة الأخرى مخصّصة لهذا الدليل، ما قد يلزم منه تخصيص الأكثر المستهجن عرفاً.</w:t>
      </w:r>
    </w:p>
    <w:p w:rsidR="00C832C0" w:rsidRDefault="00C832C0" w:rsidP="000218F4">
      <w:pPr>
        <w:pStyle w:val="ac"/>
        <w:spacing w:line="209" w:lineRule="auto"/>
        <w:rPr>
          <w:rtl/>
        </w:rPr>
      </w:pPr>
      <w:r>
        <w:rPr>
          <w:rFonts w:hint="cs"/>
          <w:rtl/>
        </w:rPr>
        <w:t xml:space="preserve">ج </w:t>
      </w:r>
      <w:r w:rsidR="00A90E63">
        <w:rPr>
          <w:rFonts w:hint="cs"/>
          <w:rtl/>
        </w:rPr>
        <w:t>ـ</w:t>
      </w:r>
      <w:r>
        <w:rPr>
          <w:rFonts w:hint="cs"/>
          <w:rtl/>
        </w:rPr>
        <w:t xml:space="preserve"> ثم هل يريد جعل ذلك أمراً تعبّدياً أم حكاية واقعية؟ مع أن التعبدية بعيدة عن لسان هذه الأدلة المسوقة في قضايا خبرية واضحة، وعليه، فإن أريد تأكيد حقيقة غالبية في النساء، فلا يعني ذلك عدم جواز تقليد المرأة بعد شهادة أهل الخبرة والفقهاء بأعلميّتها مثلاً، فإن هذه الروايات لا تكون صادقةً في هذا المورد مع خروج هذه المرأة باليقين عن الطابع الغالبي في النساء، وهو مفروض مسألتنا، وأما إن أريد بيان موجبة كليّة بمعنى أنّ النساء كلّهنّ لا يفقهن ولا علم لهنّ ولا وعي ولا ذكاء و.. فهو ما نقطع ببطلانه، مما يشكّل قرينة من الخارج والعيان على عدم الصدور عن المعصوم</w:t>
      </w:r>
      <w:r w:rsidR="00E470F2">
        <w:rPr>
          <w:rFonts w:hint="cs"/>
          <w:rtl/>
        </w:rPr>
        <w:t>×</w:t>
      </w:r>
      <w:r>
        <w:rPr>
          <w:rFonts w:hint="cs"/>
          <w:rtl/>
        </w:rPr>
        <w:t xml:space="preserve"> أو لا أقلّ من ردّ علم الرواية إلى أهلها.</w:t>
      </w:r>
    </w:p>
    <w:p w:rsidR="00C832C0" w:rsidRDefault="00C832C0" w:rsidP="00E470F2">
      <w:pPr>
        <w:pStyle w:val="ac"/>
        <w:rPr>
          <w:rtl/>
        </w:rPr>
      </w:pPr>
      <w:r>
        <w:rPr>
          <w:rFonts w:hint="cs"/>
          <w:rtl/>
        </w:rPr>
        <w:t xml:space="preserve">د </w:t>
      </w:r>
      <w:r w:rsidR="00A90E63">
        <w:rPr>
          <w:rFonts w:hint="cs"/>
          <w:rtl/>
        </w:rPr>
        <w:t>ـ</w:t>
      </w:r>
      <w:r>
        <w:rPr>
          <w:rFonts w:hint="cs"/>
          <w:rtl/>
        </w:rPr>
        <w:t xml:space="preserve"> وقد يقال: إنّ الحالة الغالبة هي الموجبة لاتخاذ حكم عام حذراً من التورّط في اتّباع غير المؤهّلة، وهذا الاحتمال لا بأس به، لكنّه يواجه مناقشة، وهي أنه إذا كان نظر الإمام</w:t>
      </w:r>
      <w:r w:rsidR="00E470F2">
        <w:rPr>
          <w:rFonts w:hint="cs"/>
          <w:rtl/>
        </w:rPr>
        <w:t>×</w:t>
      </w:r>
      <w:r>
        <w:rPr>
          <w:rFonts w:hint="cs"/>
          <w:rtl/>
        </w:rPr>
        <w:t xml:space="preserve"> من التحفّظ عن الرجوع إلى المرأة حالتها الغالبة (المتخلّفة) فإننا نسأل هل ما زال الوضع على ما كان عليه في عصر الحضور؟ ألم يحدث تطوّر أو تغيّر في الحالة الغالبة، يمنعنا على الأقل من التمسّك بإطلاق النصوص، ما دمنا نفسّره بالرعاية </w:t>
      </w:r>
      <w:r>
        <w:rPr>
          <w:rFonts w:hint="cs"/>
          <w:rtl/>
        </w:rPr>
        <w:lastRenderedPageBreak/>
        <w:t>والحذر من التورّط نظراً لحالة غالبة متخلّفة؟!</w:t>
      </w:r>
    </w:p>
    <w:p w:rsidR="00C832C0" w:rsidRDefault="00C832C0" w:rsidP="000218F4">
      <w:pPr>
        <w:pStyle w:val="ac"/>
        <w:spacing w:line="209" w:lineRule="auto"/>
        <w:rPr>
          <w:rtl/>
        </w:rPr>
      </w:pPr>
      <w:r>
        <w:rPr>
          <w:rFonts w:hint="cs"/>
          <w:rtl/>
        </w:rPr>
        <w:t xml:space="preserve">وبعبارةٍ أخرى، نحن لا نريد هنا إثبات تاريخيّة تلك النصوص، بقدر ما نريد إثبات أن التعميم فيها، مع وجود نساء كفوءات عالمات، إنّما جاء </w:t>
      </w:r>
      <w:r w:rsidR="00A90E63">
        <w:rPr>
          <w:rFonts w:hint="cs"/>
          <w:rtl/>
        </w:rPr>
        <w:t>ـ</w:t>
      </w:r>
      <w:r>
        <w:rPr>
          <w:rFonts w:hint="cs"/>
          <w:rtl/>
        </w:rPr>
        <w:t xml:space="preserve"> وفق الافتراض الذي نعالجه </w:t>
      </w:r>
      <w:r w:rsidR="00A90E63">
        <w:rPr>
          <w:rFonts w:hint="cs"/>
          <w:rtl/>
        </w:rPr>
        <w:t>ـ</w:t>
      </w:r>
      <w:r>
        <w:rPr>
          <w:rFonts w:hint="cs"/>
          <w:rtl/>
        </w:rPr>
        <w:t xml:space="preserve"> حذراً من التورّط في الحالة الغالبة أو عيّنةٍ منها، ومعه ألا يؤدّي ذلك إلى شلّ الإطلاق عند تغيّر الحالة الغالبة على وضع المرأة؟ فإذا كانت جملة «ما للنساء والرأي»، قد أطلقت باعتبار الحالة الغالبة لتمنعنا عن الرجوع حتى إلى العالمة الفاهمة واقعاً من النساء، فإنّ هذه الجملة عينها سوف يُشلّ إطلاقها حينما تصبح الحالة الغالبة على العكس تماماً، وإلا كان خُلْف فرض كون التعميم احتياطياً بلحاظ الحالة الغالبة، كما هو واضح.</w:t>
      </w:r>
    </w:p>
    <w:p w:rsidR="00C832C0" w:rsidRDefault="00C832C0" w:rsidP="000218F4">
      <w:pPr>
        <w:pStyle w:val="ac"/>
        <w:spacing w:line="209" w:lineRule="auto"/>
        <w:rPr>
          <w:rtl/>
        </w:rPr>
      </w:pPr>
      <w:r>
        <w:rPr>
          <w:rFonts w:hint="cs"/>
          <w:b/>
          <w:bCs/>
          <w:rtl/>
        </w:rPr>
        <w:t>النقطة الخامسة:</w:t>
      </w:r>
      <w:r>
        <w:rPr>
          <w:rFonts w:hint="cs"/>
          <w:rtl/>
        </w:rPr>
        <w:t xml:space="preserve"> إن عدم معهودية تولّي المرأة النبوّة أو الإمامة أو نحو ذلك، لا يفيد في المقام شيئاً، إذ لعلّ لهذين المقامين خصوصية مميزة، تضاعف من حجم الشروط فيهما، وهو أمر محتمل جداً، سيما بعد اصطباغهما بطابع غيبي، فتسرية الحكم من النبوّة و.. إلى ما هو دونها عمل يقع على النقيض من قياس الأولوية، فلاحظ.</w:t>
      </w:r>
    </w:p>
    <w:p w:rsidR="00C832C0" w:rsidRDefault="00C832C0" w:rsidP="00F04A58">
      <w:pPr>
        <w:pStyle w:val="ac"/>
        <w:rPr>
          <w:rtl/>
        </w:rPr>
      </w:pPr>
      <w:r>
        <w:rPr>
          <w:rFonts w:hint="cs"/>
          <w:rtl/>
        </w:rPr>
        <w:t>هذا، مضافاً إلى أنّ منصب النبوة أو الإمامة يختلف تماماً عن الإفتاء، ففي النبوّة ما هو أزيد من نقل فتوى أو حكم، بل فيها ولاية وتغيير وما شابه ذلك، على خلاف الحال في الإفتاء المتمحّض لعرض نظريات علمية بحتة لا غير، مما لا علاقة له بولاية أو عمل ميداني، كما سنشير إليه قريباً.</w:t>
      </w:r>
    </w:p>
    <w:p w:rsidR="00C832C0" w:rsidRDefault="00C832C0" w:rsidP="00C86626">
      <w:pPr>
        <w:pStyle w:val="ac"/>
        <w:rPr>
          <w:rtl/>
        </w:rPr>
      </w:pPr>
      <w:r>
        <w:rPr>
          <w:rFonts w:hint="cs"/>
          <w:b/>
          <w:bCs/>
          <w:rtl/>
        </w:rPr>
        <w:t>النقطة السادسة:</w:t>
      </w:r>
      <w:r>
        <w:rPr>
          <w:rFonts w:hint="cs"/>
          <w:rtl/>
        </w:rPr>
        <w:t xml:space="preserve"> إن عدم معهودية تولية النبي</w:t>
      </w:r>
      <w:r w:rsidR="00C86626">
        <w:rPr>
          <w:rFonts w:hint="cs"/>
          <w:rtl/>
        </w:rPr>
        <w:t>’</w:t>
      </w:r>
      <w:r>
        <w:rPr>
          <w:rFonts w:hint="cs"/>
          <w:rtl/>
        </w:rPr>
        <w:t xml:space="preserve"> والأئمة</w:t>
      </w:r>
      <w:r w:rsidR="00F04A58">
        <w:rPr>
          <w:rFonts w:hint="cs"/>
          <w:rtl/>
        </w:rPr>
        <w:t>^</w:t>
      </w:r>
      <w:r>
        <w:rPr>
          <w:rFonts w:hint="cs"/>
          <w:rtl/>
        </w:rPr>
        <w:t xml:space="preserve"> لواحدةٍ من النساء أمرٌ لا يصحّ دليلاً في المقام، والسبب في ذلك ظاهرة الأميّة النسوية الواسعة النطاق في مجتمع المسلمين، مما يجعل المرأة العالمة بمثابة الأمر النادر الذي إن لم يُرجِع إليه المعصوم لا يكون ذلك منه إلا لندرة الابتلاء، وهذا معناه أنّ عدم الإرجاع قد يكون لندرة المرأة العالمة، مع الاعتراف بمبدأ وجودها، إضافةً إلى عدم الحاجة إلى هذا الإرجاع، أو اعتماداً على مقتضى السيرة العقلائية الحاكمة بالرجوع للعالم، ذكراً كان أو أنثى، وعدم توليتها القضاء أو غيره أجنبي عن بحثنا، كما أشرنا ونشير لاحقاً.</w:t>
      </w:r>
    </w:p>
    <w:p w:rsidR="00C832C0" w:rsidRDefault="00C832C0" w:rsidP="000218F4">
      <w:pPr>
        <w:pStyle w:val="ac"/>
        <w:spacing w:line="199" w:lineRule="auto"/>
        <w:rPr>
          <w:rtl/>
        </w:rPr>
      </w:pPr>
      <w:r w:rsidRPr="00F04A58">
        <w:rPr>
          <w:b/>
          <w:bCs/>
          <w:rtl/>
        </w:rPr>
        <w:lastRenderedPageBreak/>
        <w:t>الوجه الثالث:</w:t>
      </w:r>
      <w:r>
        <w:rPr>
          <w:rFonts w:hint="cs"/>
          <w:rtl/>
        </w:rPr>
        <w:t xml:space="preserve"> ما ذكره السيد الخوئي رحمه الله وغيره من أن مذاق الشارع قد انعقد على أن الوظيفة المرغوبة للمرأة هي التحجّب والستر وتصدّي الأمور البيتية، دون التدخّل فيما ينافي ذلك، والإفتاء فيه مثل هذه المنافاة، فإنه موجب لاختلاطها بالرجال وسماع صوتها لهم وما شابه ذلك، فإذا لم يكن يرضى بإمامتها للجماعة كيف يرخّص بتصدّيها للإفتاء والقيام بأمور المسلمين والزعامة الكبرى</w:t>
      </w:r>
      <w:r w:rsidRPr="00815C4C">
        <w:rPr>
          <w:rFonts w:cs="Taher" w:hint="cs"/>
          <w:vertAlign w:val="superscript"/>
          <w:rtl/>
        </w:rPr>
        <w:t>(</w:t>
      </w:r>
      <w:r w:rsidRPr="00815C4C">
        <w:rPr>
          <w:rFonts w:cs="Taher"/>
          <w:vertAlign w:val="superscript"/>
          <w:rtl/>
        </w:rPr>
        <w:footnoteReference w:id="393"/>
      </w:r>
      <w:r w:rsidRPr="00815C4C">
        <w:rPr>
          <w:rFonts w:cs="Taher" w:hint="cs"/>
          <w:vertAlign w:val="superscript"/>
          <w:rtl/>
        </w:rPr>
        <w:t>)</w:t>
      </w:r>
      <w:r>
        <w:rPr>
          <w:rFonts w:hint="cs"/>
          <w:rtl/>
        </w:rPr>
        <w:t>؟!</w:t>
      </w:r>
    </w:p>
    <w:p w:rsidR="00C832C0" w:rsidRDefault="00C832C0" w:rsidP="000218F4">
      <w:pPr>
        <w:pStyle w:val="ac"/>
        <w:spacing w:line="199" w:lineRule="auto"/>
        <w:rPr>
          <w:rtl/>
        </w:rPr>
      </w:pPr>
      <w:r>
        <w:rPr>
          <w:rFonts w:hint="cs"/>
          <w:rtl/>
        </w:rPr>
        <w:t>وقد تعرّض هذا الوجه لمناقشات عدة، ويمكن تعرّضه لغيرها أيضاً، وهي:</w:t>
      </w:r>
    </w:p>
    <w:p w:rsidR="00C832C0" w:rsidRDefault="00C832C0" w:rsidP="000218F4">
      <w:pPr>
        <w:pStyle w:val="ac"/>
        <w:spacing w:line="199" w:lineRule="auto"/>
        <w:rPr>
          <w:rtl/>
        </w:rPr>
      </w:pPr>
      <w:r>
        <w:rPr>
          <w:rFonts w:hint="cs"/>
          <w:b/>
          <w:bCs/>
          <w:rtl/>
        </w:rPr>
        <w:t>أولاً:</w:t>
      </w:r>
      <w:r>
        <w:rPr>
          <w:rFonts w:hint="cs"/>
          <w:rtl/>
        </w:rPr>
        <w:t xml:space="preserve"> إن الشواهد التي ذكرها المستدل لم تثبت في الفقه الإسلامي بشكل حاسم بل وقع فيها خلاف بين الفقهاء أنفسهم، عدا أمر الحجاب، ومعه كيف نشيد حكماً من نوع عدم جواز الإفتاء والتقليد على معطيات من هذا القبيل؟!</w:t>
      </w:r>
      <w:r w:rsidRPr="00815C4C">
        <w:rPr>
          <w:rFonts w:cs="Taher" w:hint="cs"/>
          <w:vertAlign w:val="superscript"/>
          <w:rtl/>
        </w:rPr>
        <w:t>(</w:t>
      </w:r>
      <w:r w:rsidRPr="00815C4C">
        <w:rPr>
          <w:rFonts w:cs="Taher"/>
          <w:vertAlign w:val="superscript"/>
          <w:rtl/>
        </w:rPr>
        <w:footnoteReference w:id="394"/>
      </w:r>
      <w:r w:rsidRPr="00815C4C">
        <w:rPr>
          <w:rFonts w:cs="Taher" w:hint="cs"/>
          <w:vertAlign w:val="superscript"/>
          <w:rtl/>
        </w:rPr>
        <w:t>)</w:t>
      </w:r>
      <w:r>
        <w:rPr>
          <w:rFonts w:hint="cs"/>
          <w:rtl/>
        </w:rPr>
        <w:t>.</w:t>
      </w:r>
    </w:p>
    <w:p w:rsidR="00C832C0" w:rsidRDefault="00C832C0" w:rsidP="000218F4">
      <w:pPr>
        <w:pStyle w:val="ac"/>
        <w:rPr>
          <w:rtl/>
        </w:rPr>
      </w:pPr>
      <w:r>
        <w:rPr>
          <w:rFonts w:hint="cs"/>
          <w:rtl/>
        </w:rPr>
        <w:t>وهذه المناقشة بهذه الصياغة لا بأس بها، بيد أنه يمكن تطويرها قليلاً بالقول: إن السيد الخوئي نفسه لا يقول بحرمة سماع صوتها ولا بحرمة اختلاطها إذا لم يصاحب محرماً آخر، كما لا يقول بوجوب تصدّيها للشؤون البيتية بالعنوان الأولي</w:t>
      </w:r>
      <w:r w:rsidRPr="00815C4C">
        <w:rPr>
          <w:rFonts w:cs="Taher" w:hint="cs"/>
          <w:vertAlign w:val="superscript"/>
          <w:rtl/>
        </w:rPr>
        <w:t>(</w:t>
      </w:r>
      <w:r w:rsidRPr="00815C4C">
        <w:rPr>
          <w:rFonts w:cs="Taher"/>
          <w:vertAlign w:val="superscript"/>
          <w:rtl/>
        </w:rPr>
        <w:footnoteReference w:id="395"/>
      </w:r>
      <w:r w:rsidRPr="00815C4C">
        <w:rPr>
          <w:rFonts w:cs="Taher" w:hint="cs"/>
          <w:vertAlign w:val="superscript"/>
          <w:rtl/>
        </w:rPr>
        <w:t>)</w:t>
      </w:r>
      <w:r>
        <w:rPr>
          <w:rFonts w:hint="cs"/>
          <w:rtl/>
        </w:rPr>
        <w:t>، فكيف التزم بأنّ مثل هذه الأمور غير الثابتة عنده نفسه يمكن أن يثبت بها حكم شرعي آخر؟!</w:t>
      </w:r>
    </w:p>
    <w:p w:rsidR="00C832C0" w:rsidRDefault="00C832C0" w:rsidP="000218F4">
      <w:pPr>
        <w:pStyle w:val="ac"/>
        <w:spacing w:line="199" w:lineRule="auto"/>
        <w:rPr>
          <w:rtl/>
        </w:rPr>
      </w:pPr>
      <w:r>
        <w:rPr>
          <w:rFonts w:hint="cs"/>
          <w:rtl/>
        </w:rPr>
        <w:t>وهذه المناقشة بصياغتيها ربما يجاب عليها بأن السيد الخوئي لا يريد الاستدلال على عدم مشروعيّة تقليد المرأة بأحكام إلزامية متعلّقة بالعيّنات التي ذكرها، بل يريد حشد شواهد على تحديد مذاق الشارع، وأنه أكثر رغبةً في انشغالها بالشأن المنـزلي من تصدّيها للشأن العام، وهذا كافٍ بالنسبة إليه حتى لو لم يثبت الإلزام في الموارد المذكورة.</w:t>
      </w:r>
    </w:p>
    <w:p w:rsidR="00C832C0" w:rsidRDefault="00C832C0" w:rsidP="000218F4">
      <w:pPr>
        <w:pStyle w:val="ac"/>
        <w:spacing w:line="199" w:lineRule="auto"/>
        <w:rPr>
          <w:rtl/>
        </w:rPr>
      </w:pPr>
      <w:r>
        <w:rPr>
          <w:rFonts w:hint="cs"/>
          <w:rtl/>
        </w:rPr>
        <w:lastRenderedPageBreak/>
        <w:t>وهذا الردّ مناقش بأن مبدأ المرغوبية المذكورة إن دلّ فإنما يدل على عدم وجوب أو عدم استحباب تصديها لشأن الإفتاء، لا عدم مشروعية تقليدها أو حرمة إفتاءها على تقدير التصدّي، وبينهما فرق واضح، فإن الأوّل من شؤون الحكم التكليفي، فيما الثاني من شؤون الحكم الوضعي، وفي جانبٍ منه حكم تكليفي مختلف.</w:t>
      </w:r>
    </w:p>
    <w:p w:rsidR="00C832C0" w:rsidRDefault="00C832C0" w:rsidP="000218F4">
      <w:pPr>
        <w:pStyle w:val="ac"/>
        <w:spacing w:line="199" w:lineRule="auto"/>
        <w:rPr>
          <w:rtl/>
        </w:rPr>
      </w:pPr>
      <w:r>
        <w:rPr>
          <w:rFonts w:hint="cs"/>
          <w:b/>
          <w:bCs/>
          <w:rtl/>
        </w:rPr>
        <w:t>ثانياً:</w:t>
      </w:r>
      <w:r>
        <w:rPr>
          <w:rFonts w:hint="cs"/>
          <w:rtl/>
        </w:rPr>
        <w:t xml:space="preserve"> إن الدليل أخصّ من المدعى، ذلك أن الإفتاء لا يستلزم الاختلاط بالرجال أو التورّط في السفور وترك الحجاب دائماً، بل يمكن تصوّره مع المحافظة على هذا الشأن</w:t>
      </w:r>
      <w:r w:rsidRPr="00815C4C">
        <w:rPr>
          <w:rFonts w:cs="Taher" w:hint="cs"/>
          <w:vertAlign w:val="superscript"/>
          <w:rtl/>
        </w:rPr>
        <w:t>(</w:t>
      </w:r>
      <w:r w:rsidRPr="00815C4C">
        <w:rPr>
          <w:rFonts w:cs="Taher"/>
          <w:vertAlign w:val="superscript"/>
          <w:rtl/>
        </w:rPr>
        <w:footnoteReference w:id="396"/>
      </w:r>
      <w:r w:rsidRPr="00815C4C">
        <w:rPr>
          <w:rFonts w:cs="Taher" w:hint="cs"/>
          <w:vertAlign w:val="superscript"/>
          <w:rtl/>
        </w:rPr>
        <w:t>)</w:t>
      </w:r>
      <w:r>
        <w:rPr>
          <w:rFonts w:hint="cs"/>
          <w:rtl/>
        </w:rPr>
        <w:t>.</w:t>
      </w:r>
    </w:p>
    <w:p w:rsidR="00C832C0" w:rsidRDefault="00C832C0" w:rsidP="000218F4">
      <w:pPr>
        <w:pStyle w:val="ac"/>
        <w:spacing w:line="199" w:lineRule="auto"/>
        <w:rPr>
          <w:rtl/>
        </w:rPr>
      </w:pPr>
      <w:r>
        <w:rPr>
          <w:rFonts w:hint="cs"/>
          <w:rtl/>
        </w:rPr>
        <w:t>وهذا الوجه تام أيضاً، وما اعتيد في المُفتي أن يختلط بغير جنسه شأن إداري خارجي يمكن إعادة تكييفه وفق الحكم الشرعي، على تقدير حرمة الاختلاط، وليس بحرام..، وقد أثبتت تجارب خارجية إمكانيّة ذلك.</w:t>
      </w:r>
    </w:p>
    <w:p w:rsidR="00C832C0" w:rsidRDefault="00C832C0" w:rsidP="000218F4">
      <w:pPr>
        <w:pStyle w:val="ac"/>
        <w:rPr>
          <w:rtl/>
        </w:rPr>
      </w:pPr>
      <w:r>
        <w:rPr>
          <w:rFonts w:hint="cs"/>
          <w:b/>
          <w:bCs/>
          <w:rtl/>
        </w:rPr>
        <w:t>ثالثاً:</w:t>
      </w:r>
      <w:r>
        <w:rPr>
          <w:rFonts w:hint="cs"/>
          <w:rtl/>
        </w:rPr>
        <w:t xml:space="preserve"> إن عدم إمامة المرأة للصلاة لا ربط له بما نحن فيه، فلعلّ في الصلاة خصوصية وهي شأن تعبّدي</w:t>
      </w:r>
      <w:r w:rsidRPr="00815C4C">
        <w:rPr>
          <w:rFonts w:cs="Taher" w:hint="cs"/>
          <w:vertAlign w:val="superscript"/>
          <w:rtl/>
        </w:rPr>
        <w:t>(</w:t>
      </w:r>
      <w:r w:rsidRPr="00815C4C">
        <w:rPr>
          <w:rFonts w:cs="Taher"/>
          <w:vertAlign w:val="superscript"/>
          <w:rtl/>
        </w:rPr>
        <w:footnoteReference w:id="397"/>
      </w:r>
      <w:r w:rsidRPr="00815C4C">
        <w:rPr>
          <w:rFonts w:cs="Taher" w:hint="cs"/>
          <w:vertAlign w:val="superscript"/>
          <w:rtl/>
        </w:rPr>
        <w:t>)</w:t>
      </w:r>
      <w:r>
        <w:rPr>
          <w:rFonts w:hint="cs"/>
          <w:rtl/>
        </w:rPr>
        <w:t>، أو لعلّه من ناحية كون إمامة الجماعة تعبيراً عن منصب في المجتمع الإسلامي لم يكن يتصدّى له غير أولي الأمر من المسلمين أو ما شابه ذلك، أفهل يستدلّ بهذا الدليل للمنع عن الأخذ برواية المرأة أو الرجوع إليها في مختلف شؤون الحياة بوصفها من أهل الخبرة، وربما تتحوّل إلى رمز اجتماعي، بحجّة المنع عن إمامتها؟!</w:t>
      </w:r>
    </w:p>
    <w:p w:rsidR="00C832C0" w:rsidRDefault="00C832C0" w:rsidP="000218F4">
      <w:pPr>
        <w:pStyle w:val="ac"/>
        <w:spacing w:line="199" w:lineRule="auto"/>
        <w:rPr>
          <w:rtl/>
        </w:rPr>
      </w:pPr>
      <w:r>
        <w:rPr>
          <w:rFonts w:hint="cs"/>
          <w:rtl/>
        </w:rPr>
        <w:t xml:space="preserve">ونحن نستغرب كيف تشدّد السيد الخوئي في الأولوية في باب القضاء مع أنه أبعد عن التعبدية من باب الصلاة؟! كما نستغرب من الذي يتمسّكون بمثل هذه الأولويات </w:t>
      </w:r>
      <w:r>
        <w:rPr>
          <w:rFonts w:hint="cs"/>
          <w:rtl/>
        </w:rPr>
        <w:lastRenderedPageBreak/>
        <w:t>هنا، كيف يمنعون مثلاً عن تصديّها للإفتاء ويسمحون أن تكون مالكةً مثلاً لشركة اقتصاديّة متعدّدة الجنسيات، بحيث تتحكّم فيها بمصائر الناس؟! أو تكون مستشارةً لشؤون الأمن القومي للدولة الإسلامية! أو تكون ناشطةً اجتماعية وثقافية تقود مشروعاً فكرياً تغييرياً ما دامت بعيدة عن عنوان التقليد، أو ما شابه ذلك من عشرات الأمثلة المحكوم بجوازها في الفقه لا أقلّ عند الأغلب، فلو كان هناك دليل على التمييز قبلنا به فنحن لا نؤمن بالقياس، أمّا أخذ الأولوية في جانب وإهمالها في جانب آخر، فهو غير واضح إنصافاً.</w:t>
      </w:r>
    </w:p>
    <w:p w:rsidR="00C832C0" w:rsidRDefault="00C832C0" w:rsidP="00F04A58">
      <w:pPr>
        <w:pStyle w:val="ac"/>
        <w:rPr>
          <w:rtl/>
        </w:rPr>
      </w:pPr>
      <w:r>
        <w:rPr>
          <w:rFonts w:hint="cs"/>
          <w:b/>
          <w:bCs/>
          <w:rtl/>
        </w:rPr>
        <w:t>رابعاً:</w:t>
      </w:r>
      <w:r>
        <w:rPr>
          <w:rFonts w:hint="cs"/>
          <w:rtl/>
        </w:rPr>
        <w:t xml:space="preserve"> إن التمسّك بدليل المنع عن إمامة المرأة يثبت عدم جواز تقليد الرجال لها لا النساء، فإن إمامتها لهنّ ثابتة على ما هو التحقيق، فكيف يمكن البتّ عموماً بعدم جواز تقليدها مطلقاً؟!</w:t>
      </w:r>
    </w:p>
    <w:p w:rsidR="00C832C0" w:rsidRDefault="00C832C0" w:rsidP="00F04A58">
      <w:pPr>
        <w:pStyle w:val="ac"/>
        <w:rPr>
          <w:rtl/>
        </w:rPr>
      </w:pPr>
      <w:r>
        <w:rPr>
          <w:rFonts w:hint="cs"/>
          <w:rtl/>
        </w:rPr>
        <w:t>وقد أجاب الفقيه المعاصر الفاضل اللنكراني عن هذا الإشكال الذي أثاره هو نفسه، بدعوى عدم الفصل، فبعد عدم جواز تقليد الرجال لها لا يجوز للنساء تقليدها</w:t>
      </w:r>
      <w:r w:rsidRPr="00815C4C">
        <w:rPr>
          <w:rFonts w:cs="Taher" w:hint="cs"/>
          <w:vertAlign w:val="superscript"/>
          <w:rtl/>
        </w:rPr>
        <w:t>(</w:t>
      </w:r>
      <w:r w:rsidRPr="00815C4C">
        <w:rPr>
          <w:rFonts w:cs="Taher"/>
          <w:vertAlign w:val="superscript"/>
          <w:rtl/>
        </w:rPr>
        <w:footnoteReference w:id="398"/>
      </w:r>
      <w:r w:rsidRPr="00815C4C">
        <w:rPr>
          <w:rFonts w:cs="Taher" w:hint="cs"/>
          <w:vertAlign w:val="superscript"/>
          <w:rtl/>
        </w:rPr>
        <w:t>)</w:t>
      </w:r>
      <w:r>
        <w:rPr>
          <w:rFonts w:hint="cs"/>
          <w:rtl/>
        </w:rPr>
        <w:t>.</w:t>
      </w:r>
    </w:p>
    <w:p w:rsidR="00C832C0" w:rsidRDefault="00C832C0" w:rsidP="00F04A58">
      <w:pPr>
        <w:pStyle w:val="ac"/>
        <w:rPr>
          <w:rtl/>
        </w:rPr>
      </w:pPr>
      <w:r>
        <w:rPr>
          <w:rFonts w:hint="cs"/>
          <w:rtl/>
        </w:rPr>
        <w:t>وكلامه غير واضح، فمن أين نجزم بعدم الفصل، والمسألة متأخّرة، غير مبحوثة في كتب الفقهاء، كما أثبتنا في البحث التاريخي المتقدّم؟! وهل انعقد عليها إجماع مركّب أو قريب منه وهي جديدة بينهم؟! أم هل قام دليل أو ارتكاز يمنع هذا الفصل؟! إنّ مجرّد عدم معهودية هذا الفصل في المسار التاريخي للإفتاء لا يبرّر منعه فقهياً لو قام عليه دليل، فإن عدم المعهوديّة لا يعطي سوى استغراباً أو استبعاداً ذاتياً لا يقف أمام الأدلّة على تقدير ثبوتها.</w:t>
      </w:r>
    </w:p>
    <w:p w:rsidR="00C832C0" w:rsidRDefault="00C832C0" w:rsidP="00F04A58">
      <w:pPr>
        <w:pStyle w:val="ac"/>
        <w:rPr>
          <w:rStyle w:val="affffff6"/>
          <w:rFonts w:hint="default"/>
          <w:sz w:val="32"/>
          <w:szCs w:val="32"/>
          <w:rtl/>
        </w:rPr>
      </w:pPr>
      <w:r w:rsidRPr="00F04A58">
        <w:rPr>
          <w:b/>
          <w:bCs/>
          <w:rtl/>
        </w:rPr>
        <w:t>الوجه الرابع:</w:t>
      </w:r>
      <w:r>
        <w:rPr>
          <w:rStyle w:val="affffff6"/>
          <w:rFonts w:hint="default"/>
          <w:rtl/>
        </w:rPr>
        <w:t xml:space="preserve"> </w:t>
      </w:r>
      <w:r w:rsidRPr="00F04A58">
        <w:rPr>
          <w:rtl/>
        </w:rPr>
        <w:t>التمسّك بقانون دوران الأمر بين التعيين والتخيير، ممّا يعني لزوم الإتيان بمورد التعيين وهو هنا الرجل</w:t>
      </w:r>
      <w:r w:rsidRPr="00815C4C">
        <w:rPr>
          <w:rFonts w:cs="Taher"/>
          <w:vertAlign w:val="superscript"/>
          <w:rtl/>
        </w:rPr>
        <w:t>(</w:t>
      </w:r>
      <w:r w:rsidRPr="00815C4C">
        <w:rPr>
          <w:rFonts w:cs="Taher"/>
          <w:vertAlign w:val="superscript"/>
          <w:rtl/>
        </w:rPr>
        <w:footnoteReference w:id="399"/>
      </w:r>
      <w:r w:rsidRPr="00815C4C">
        <w:rPr>
          <w:rFonts w:cs="Taher"/>
          <w:vertAlign w:val="superscript"/>
          <w:rtl/>
        </w:rPr>
        <w:t>)</w:t>
      </w:r>
      <w:r w:rsidRPr="00F04A58">
        <w:rPr>
          <w:rtl/>
        </w:rPr>
        <w:t>.</w:t>
      </w:r>
    </w:p>
    <w:p w:rsidR="00C832C0" w:rsidRDefault="00C832C0" w:rsidP="000218F4">
      <w:pPr>
        <w:pStyle w:val="ac"/>
        <w:spacing w:line="199" w:lineRule="auto"/>
        <w:rPr>
          <w:rStyle w:val="affffff6"/>
          <w:rFonts w:hint="default"/>
          <w:sz w:val="32"/>
          <w:szCs w:val="32"/>
          <w:rtl/>
        </w:rPr>
      </w:pPr>
      <w:r>
        <w:rPr>
          <w:rFonts w:hint="cs"/>
          <w:bCs/>
          <w:rtl/>
        </w:rPr>
        <w:lastRenderedPageBreak/>
        <w:t>ويرد عليه:</w:t>
      </w:r>
      <w:r w:rsidRPr="00F56506">
        <w:rPr>
          <w:rtl/>
        </w:rPr>
        <w:t xml:space="preserve"> إن دوران الأمر كذلك مشروطٌ بحصول الشك وفقدان الدليل، والحال أننا نملك مطلقات وعمومات وسيرة عقلائية راسخة، كما أننا ناقشنا تمام الأدلة كما ظهر وسيظهر، ومعه لا معنى للرجوع إلى الأصول العملية بعد فرض قيام الأمارات المعتبرة.</w:t>
      </w:r>
    </w:p>
    <w:p w:rsidR="00C832C0" w:rsidRDefault="00C832C0" w:rsidP="000218F4">
      <w:pPr>
        <w:pStyle w:val="ac"/>
        <w:spacing w:line="199" w:lineRule="auto"/>
        <w:rPr>
          <w:rFonts w:cs="DanaFajr"/>
          <w:rtl/>
        </w:rPr>
      </w:pPr>
      <w:r w:rsidRPr="00F04A58">
        <w:rPr>
          <w:b/>
          <w:bCs/>
          <w:rtl/>
        </w:rPr>
        <w:t>الوجه الخامس:</w:t>
      </w:r>
      <w:r>
        <w:rPr>
          <w:rFonts w:hint="cs"/>
          <w:rtl/>
        </w:rPr>
        <w:t xml:space="preserve"> التمسّك بالسيرة المتشرّعية القائمة على عدم تصدّي المرأة شؤون القضاء والإفتاء ونحو ذلك، فإن المتشرّعة يرفضون مثل هذا التصدّي للمرأة، رغم وجود مجتهدات ولم يعهد منهم الترحيب بمثل ذلك، مما يكشف كشفاً إنياً عن عدم جعل هذه المناصب لها في الشريعة الإسلامية</w:t>
      </w:r>
      <w:r w:rsidRPr="00815C4C">
        <w:rPr>
          <w:rFonts w:cs="Taher" w:hint="cs"/>
          <w:vertAlign w:val="superscript"/>
          <w:rtl/>
        </w:rPr>
        <w:t>(</w:t>
      </w:r>
      <w:r w:rsidRPr="00815C4C">
        <w:rPr>
          <w:rFonts w:cs="Taher"/>
          <w:vertAlign w:val="superscript"/>
          <w:rtl/>
        </w:rPr>
        <w:footnoteReference w:id="400"/>
      </w:r>
      <w:r w:rsidRPr="00815C4C">
        <w:rPr>
          <w:rFonts w:cs="Taher" w:hint="cs"/>
          <w:vertAlign w:val="superscript"/>
          <w:rtl/>
        </w:rPr>
        <w:t>)</w:t>
      </w:r>
      <w:r>
        <w:rPr>
          <w:rFonts w:hint="cs"/>
          <w:rtl/>
        </w:rPr>
        <w:t>.</w:t>
      </w:r>
    </w:p>
    <w:p w:rsidR="00C832C0" w:rsidRDefault="00C832C0" w:rsidP="000218F4">
      <w:pPr>
        <w:pStyle w:val="ac"/>
        <w:spacing w:line="199" w:lineRule="auto"/>
        <w:rPr>
          <w:rtl/>
        </w:rPr>
      </w:pPr>
      <w:r>
        <w:rPr>
          <w:rFonts w:hint="cs"/>
          <w:bCs/>
          <w:rtl/>
        </w:rPr>
        <w:t>ويناقش</w:t>
      </w:r>
      <w:r>
        <w:rPr>
          <w:rFonts w:hint="cs"/>
          <w:rtl/>
        </w:rPr>
        <w:t xml:space="preserve"> بأن شرط دلالة السيرة المتشرعية انعدام احتمال وجود منشأ آخر لها غير صاحب الشريعة وتعاليمه، وتوفّر أمر من هذا النوع في غاية البعد هنا، فإن الثقافة السابقة سواء في المجتمع الإسلامي أو غيره لم تكن ثقافة غير ذكورية، بل كان ينظر للمرأة عادةً على أنها غير مؤهّلة لتصدي مناصب من هذا النوع، لندرة المؤهلات، وقلّة المتعلّمات منهن، وتفشي الأمية بينهنّ على نطاق واسع، بحيث كان نظام الحياة الاجتماعي، وطبيعة الحياة الاقتصادية يمنعان عن تصدّيها لذلك، سيما في العقل العربي المتحسّس من هذا الموضوع، ومن موضوع المرأة عموماً.</w:t>
      </w:r>
    </w:p>
    <w:p w:rsidR="00C832C0" w:rsidRDefault="00C832C0" w:rsidP="000218F4">
      <w:pPr>
        <w:pStyle w:val="ac"/>
        <w:spacing w:line="202" w:lineRule="auto"/>
        <w:rPr>
          <w:rtl/>
        </w:rPr>
      </w:pPr>
      <w:r>
        <w:rPr>
          <w:rFonts w:hint="cs"/>
          <w:rtl/>
        </w:rPr>
        <w:t>وهذا معناه، أننا لا نحرز سيرةً متشرّعيةً مؤسّسةً من جانب الشارع، كما هو الحال في العبادات، بل سيرة عفوية ناشئة عن ثقافة اجتماعية عامة كانت قبل الإسلام وبقيت في المجتمع الإسلامي وغيره، ككثيرٍ من العادات الأخرى.</w:t>
      </w:r>
    </w:p>
    <w:p w:rsidR="00C832C0" w:rsidRDefault="00C832C0" w:rsidP="000218F4">
      <w:pPr>
        <w:pStyle w:val="ac"/>
        <w:spacing w:line="202" w:lineRule="auto"/>
        <w:rPr>
          <w:rtl/>
        </w:rPr>
      </w:pPr>
      <w:r>
        <w:rPr>
          <w:rFonts w:hint="cs"/>
          <w:rtl/>
        </w:rPr>
        <w:t xml:space="preserve">نعم، ثمة تساؤل كبروي وعام، وهو أنه لو كان الإسلام يسمح للمرأة بالتصدّي، لصدر منه شيء من هذا القبيل، فمن الغريب أننا لا نجد نصوصاً إسلامية تدعم صيرورة المرأة قاضيةً أو مفتيةً أو حاكمةً أو متصديةً لشؤون الرجال، فلو كان هذا جائزاً لبيّنته الشريعة وكشفت خطأ الاعتقاد العام الزائف حول المرأة، ولمّا لم يتبيّن، </w:t>
      </w:r>
      <w:r>
        <w:rPr>
          <w:rFonts w:hint="cs"/>
          <w:rtl/>
        </w:rPr>
        <w:lastRenderedPageBreak/>
        <w:t>عرفنا إمضاء الشارع لهذا التوجه الاجتماعي العام وهذا المرتكز العام الراسخ إزاء المرأة، وهو المطلوب.</w:t>
      </w:r>
    </w:p>
    <w:p w:rsidR="00C832C0" w:rsidRPr="00F56506" w:rsidRDefault="00C832C0" w:rsidP="00F04A58">
      <w:pPr>
        <w:pStyle w:val="ac"/>
        <w:rPr>
          <w:b/>
          <w:bCs/>
          <w:rtl/>
        </w:rPr>
      </w:pPr>
      <w:r w:rsidRPr="00F56506">
        <w:rPr>
          <w:rFonts w:hint="cs"/>
          <w:b/>
          <w:bCs/>
          <w:rtl/>
        </w:rPr>
        <w:t>والجواب عن هذه الملاحظة يمكن أن يكون عبر ذكر نقاط:</w:t>
      </w:r>
    </w:p>
    <w:p w:rsidR="00C832C0" w:rsidRDefault="00C832C0" w:rsidP="00F04A58">
      <w:pPr>
        <w:pStyle w:val="ac"/>
        <w:rPr>
          <w:rtl/>
        </w:rPr>
      </w:pPr>
      <w:r>
        <w:rPr>
          <w:rFonts w:hint="cs"/>
          <w:b/>
          <w:bCs/>
          <w:rtl/>
        </w:rPr>
        <w:t>أولاً:</w:t>
      </w:r>
      <w:r>
        <w:rPr>
          <w:rFonts w:hint="cs"/>
          <w:rtl/>
        </w:rPr>
        <w:t xml:space="preserve"> هناك فرق بين تجويز الإسلام شيئاً وبين دعوته له، فمن الممكن أن يجيز الإسلام عملاً ما إلا أنه لا يدعو له، وما أكثر المباحات التي لا يدعو لها الدين ولا يركّز عليها، بل يكفيه فيها بيان عام يرشد لإباحتها.</w:t>
      </w:r>
    </w:p>
    <w:p w:rsidR="00C832C0" w:rsidRDefault="00C832C0" w:rsidP="000218F4">
      <w:pPr>
        <w:pStyle w:val="ac"/>
        <w:spacing w:line="209" w:lineRule="auto"/>
        <w:rPr>
          <w:rtl/>
        </w:rPr>
      </w:pPr>
      <w:r>
        <w:rPr>
          <w:rFonts w:hint="cs"/>
          <w:b/>
          <w:bCs/>
          <w:rtl/>
        </w:rPr>
        <w:t>ثانياً:</w:t>
      </w:r>
      <w:r>
        <w:rPr>
          <w:rFonts w:hint="cs"/>
          <w:rtl/>
        </w:rPr>
        <w:t xml:space="preserve"> إننا لا نحرز امتعاض المتشرّعة من تولّي المرأة على تقدير كفاءتها، وعلينا أن نفكّك الظاهرة بشكل أكبر، فإذا كان الفقه السنّي مجيزاً إفتاء المرأة، وكان دخول عائشة زوج النبي</w:t>
      </w:r>
      <w:r w:rsidR="00C86626">
        <w:rPr>
          <w:rFonts w:hint="cs"/>
          <w:rtl/>
        </w:rPr>
        <w:t>’</w:t>
      </w:r>
      <w:r>
        <w:rPr>
          <w:rFonts w:hint="cs"/>
          <w:rtl/>
        </w:rPr>
        <w:t xml:space="preserve"> على هذا الخطّ قد سعى في إيجاد موقف إيجابي لهم إزاء هذا الموضوع، ولم نجد نصوصاً شيعية مؤكّدة تدعم ذهاب أصحاب الأئمة وفقهاء الطائفة الشيعية في القرون الخمسة الهجرية الأولى إلى عدم الرجوع إلى المرأة في الإفتاء، وإذا لم ينقل لنا التاريخ امرأةً تصدّت للإفتاء في الوسط الشيعي </w:t>
      </w:r>
      <w:r w:rsidR="00A90E63">
        <w:rPr>
          <w:rFonts w:hint="cs"/>
          <w:rtl/>
        </w:rPr>
        <w:t>ـ</w:t>
      </w:r>
      <w:r>
        <w:rPr>
          <w:rFonts w:hint="cs"/>
          <w:rtl/>
        </w:rPr>
        <w:t xml:space="preserve"> فضلاً عن غيره </w:t>
      </w:r>
      <w:r w:rsidR="00A90E63">
        <w:rPr>
          <w:rFonts w:hint="cs"/>
          <w:rtl/>
        </w:rPr>
        <w:t>ـ</w:t>
      </w:r>
      <w:r>
        <w:rPr>
          <w:rFonts w:hint="cs"/>
          <w:rtl/>
        </w:rPr>
        <w:t xml:space="preserve"> خلال تلك الحقبة وجوبهت بالويل والثبور، وإذا كان مقام الإفتاء مقام نقل العلم والرجوع إلى أهل الخبرة لا مقام حكم وولاية وتصدي كما أشرنا مراراً... مع ذلك كلّه كيف يمكننا الجزم بوجود ارتكاز سلبي إزاء إفتاء المرأة لم يواجهه الشارع حتى يكون ذلك منه علامة الإمضاء والإقرار؟!</w:t>
      </w:r>
    </w:p>
    <w:p w:rsidR="00C832C0" w:rsidRDefault="00C832C0" w:rsidP="000218F4">
      <w:pPr>
        <w:pStyle w:val="ac"/>
        <w:spacing w:line="209" w:lineRule="auto"/>
        <w:rPr>
          <w:rtl/>
        </w:rPr>
      </w:pPr>
      <w:r>
        <w:rPr>
          <w:rFonts w:hint="cs"/>
          <w:rtl/>
        </w:rPr>
        <w:t xml:space="preserve">وتجدر الإشارة إلى أننا لا نريد هنا إحراز عدم وجود سيرة، بل يكفينا عدم الإحراز، فليلاحظ ذلك جيداً، ومما يشهد له </w:t>
      </w:r>
      <w:r w:rsidR="00A90E63">
        <w:rPr>
          <w:rFonts w:hint="cs"/>
          <w:rtl/>
        </w:rPr>
        <w:t>ـ</w:t>
      </w:r>
      <w:r>
        <w:rPr>
          <w:rFonts w:hint="cs"/>
          <w:rtl/>
        </w:rPr>
        <w:t xml:space="preserve"> ولو بدرجة ضعيفة </w:t>
      </w:r>
      <w:r w:rsidR="00A90E63">
        <w:rPr>
          <w:rFonts w:hint="cs"/>
          <w:rtl/>
        </w:rPr>
        <w:t>ـ</w:t>
      </w:r>
      <w:r>
        <w:rPr>
          <w:rFonts w:hint="cs"/>
          <w:rtl/>
        </w:rPr>
        <w:t xml:space="preserve"> الترحيب الديني مؤخراً ببعض الأنشطة النسوية بعد أن تغيّر حال المرأة.</w:t>
      </w:r>
    </w:p>
    <w:p w:rsidR="00C832C0" w:rsidRDefault="00C832C0" w:rsidP="00F04A58">
      <w:pPr>
        <w:pStyle w:val="ac"/>
        <w:rPr>
          <w:rtl/>
        </w:rPr>
      </w:pPr>
      <w:r>
        <w:rPr>
          <w:rFonts w:hint="cs"/>
          <w:b/>
          <w:bCs/>
          <w:rtl/>
        </w:rPr>
        <w:t>ثالثاً:</w:t>
      </w:r>
      <w:r>
        <w:rPr>
          <w:rFonts w:hint="cs"/>
          <w:rtl/>
        </w:rPr>
        <w:t xml:space="preserve"> إن الفقه قانون ينظّم الحياة كيفما كانت، ومن غير المعلوم أن هدف الفقه الإسلامي حصول تنمية في المجتمع لنقله مثلاً من المجتمع الزراعي إلى الصناعي أو من الصناعي إلى ما بعد الصناعي (المعاصر)، وهذا موضوع بالغ الحساسية نَكِلُ البرهنة عليه إلى مجال آخر من علم الكلام الجديد، لكن وفقاً لذلك يمكن القول: إن عدم ضخّ الفقه الإسلامي روح البعث والنشاط في المجتمع النسوي لتشكيل كيانات نسوية </w:t>
      </w:r>
      <w:r>
        <w:rPr>
          <w:rFonts w:hint="cs"/>
          <w:rtl/>
        </w:rPr>
        <w:lastRenderedPageBreak/>
        <w:t>وتأمين حضور نسوي فاعل في الاجتماع الإسلامي، إنما جاء لأنه غير معني بذلك، إذ ذلك تابع لمسيرة التطور الطبيعية للمجتمع من الناحية العلمية والثقافية، وليس من المعلوم تدخّل الفقه في قضايا من هذا النوع.</w:t>
      </w:r>
    </w:p>
    <w:p w:rsidR="00C832C0" w:rsidRDefault="00C832C0" w:rsidP="000218F4">
      <w:pPr>
        <w:pStyle w:val="ac"/>
        <w:spacing w:line="209" w:lineRule="auto"/>
        <w:rPr>
          <w:rtl/>
        </w:rPr>
      </w:pPr>
      <w:r>
        <w:rPr>
          <w:rFonts w:hint="cs"/>
          <w:rtl/>
        </w:rPr>
        <w:t>نعم، يمكن أن يتدخل الإسلام عموماً في إفساح المجال لتكوّن ثقافة من هذا القبيل دون الردع عنها، وهذا أمرٌ آخر، أما المساهمة في صنع هذا الواقع الجديد، فلعلّه موكول إلى البشر أنفسهم تبعاً لظروفهم ووعيهم وثقافتهم.</w:t>
      </w:r>
    </w:p>
    <w:p w:rsidR="00C832C0" w:rsidRDefault="00C832C0" w:rsidP="000218F4">
      <w:pPr>
        <w:pStyle w:val="ac"/>
        <w:spacing w:line="209" w:lineRule="auto"/>
        <w:rPr>
          <w:rtl/>
        </w:rPr>
      </w:pPr>
      <w:r>
        <w:rPr>
          <w:rFonts w:hint="cs"/>
          <w:rtl/>
        </w:rPr>
        <w:t>ولا نريد هنا إثبات السالبة الكلية بين الإسلام وموضوع التنمية بهذا المعنى المشار إليه بل إثبات السالبة الجزئية، المساوق لمنع الموجبة الكليّة، ولا أقلّ من عدم إحراز اهتمامه بهذا الأمر هنا.</w:t>
      </w:r>
    </w:p>
    <w:p w:rsidR="00C832C0" w:rsidRDefault="00C832C0" w:rsidP="000218F4">
      <w:pPr>
        <w:pStyle w:val="ac"/>
        <w:spacing w:line="209" w:lineRule="auto"/>
        <w:rPr>
          <w:rtl/>
        </w:rPr>
      </w:pPr>
      <w:r>
        <w:rPr>
          <w:rFonts w:hint="cs"/>
          <w:b/>
          <w:bCs/>
          <w:rtl/>
        </w:rPr>
        <w:t>رابعاً:</w:t>
      </w:r>
      <w:r>
        <w:rPr>
          <w:rFonts w:hint="cs"/>
          <w:rtl/>
        </w:rPr>
        <w:t xml:space="preserve"> ثمّة خلط كبير يقع في بعض المصنفات الفقهية ذات الدرجة الثانية غالباً وغير المتّسمة بالتخصصية، عبر حشد معطيات فقهية كثيرة قد يقال: إنها لا تقع لصالح المرأة، مثل: إمامة الجماعة، والشهادة، والقضاء، وتولّي السلطة والقيادة، و... آخذين هذا الحشد بنصوصه الدينية أخذ المسلّمات، دون تفكيك معطياته كلاً على حدة، وهذا ما أوجب في بعض الموضوعات التباساً هائلاً، بل أوجب التورّط فيما يشبه القياس دون دراسة متأنية، فقد اتخذوا من القضاء، والشهادة، وإمامة الجماعة عناصر ثلاثة لتكوين نظام ردع فقهي للمرأة عن مجالات أخرى، والحال أنه من الممكن أن يكون لهذه الثلاثة خصوصيتها، بل يمكن أن لا تكون ثابتة أصلاً، كما هو الحال في القضاء على احتمال قوي، وفي تولّي السلطة، فلا يصحّ إرسال الشواهد إرسال المسلّمات، والتمسّك في كل محور بالمحور الآخر، والاتكاء على نصوص ضعيفة سنداً وبعضها دلالةً لتعميم أحكام في مجالات مختلفة، يبرّر ذلك كلّه الارتياح النفسي المنبثق من موافقة المشهور عند المتأخرين.</w:t>
      </w:r>
    </w:p>
    <w:p w:rsidR="00C832C0" w:rsidRDefault="00C832C0" w:rsidP="00F04A58">
      <w:pPr>
        <w:pStyle w:val="ac"/>
        <w:rPr>
          <w:rtl/>
        </w:rPr>
      </w:pPr>
      <w:r>
        <w:rPr>
          <w:rFonts w:hint="cs"/>
          <w:rtl/>
        </w:rPr>
        <w:t xml:space="preserve">في المقابل هناك تغييب لبعض المعطيات التي تكون لصالح المرأة، ومن شأنها أن تساعد في تكوين صورة مختلفة عنها، وتصوّر ممارسة عامة لهذه الصورة قد يغيّر من نظرنا للأمور، غاية ما في الأمر أنه لا توجد لها ممارسات اجتماعية، وذلك بسبب ضغط </w:t>
      </w:r>
      <w:r>
        <w:rPr>
          <w:rFonts w:hint="cs"/>
          <w:rtl/>
        </w:rPr>
        <w:lastRenderedPageBreak/>
        <w:t>اجتماعي واسع على المرأة، لا أساس له في الفقه الإسلامي حتى على المعروف بين الفقهاء أنفسهم.</w:t>
      </w:r>
    </w:p>
    <w:p w:rsidR="00C832C0" w:rsidRDefault="00C832C0" w:rsidP="000218F4">
      <w:pPr>
        <w:pStyle w:val="ac"/>
        <w:spacing w:line="209" w:lineRule="auto"/>
        <w:rPr>
          <w:rtl/>
        </w:rPr>
      </w:pPr>
      <w:r>
        <w:rPr>
          <w:rFonts w:hint="cs"/>
          <w:b/>
          <w:bCs/>
          <w:rtl/>
        </w:rPr>
        <w:t>خامساً:</w:t>
      </w:r>
      <w:r>
        <w:rPr>
          <w:rFonts w:hint="cs"/>
          <w:rtl/>
        </w:rPr>
        <w:t xml:space="preserve"> لنفرض وجود ارتكاز عام ضدّ تصدّي المرأة مجالات الحياة الاجتماعية وشؤون المناصب والولايات والإدارات و.. ونفرض عدم قيام الإسلام بمواجهة هذا الارتكاز، إلا أن هذا لا يفيد شيئاً هنا، والسبب أن الإفتاء بما هو هو لا علاقة له بالمنصب أو الولاية، وأن هذه العلاقة المركوزة في الأذهان اليوم علاقة تاريخية نشأت عبر التلازم الطويل بين المفتي والحاكم والقاضي والمجتهد في التاريخ الشيعي، فقد كان مراجع التقليد قضاةً، ومفتين، وحكّاماً (بالمعنى الفقهي)، ومتولّين لشؤون الأخماس والزكوات و... ومتصدّين </w:t>
      </w:r>
      <w:r w:rsidR="00A90E63">
        <w:rPr>
          <w:rFonts w:hint="cs"/>
          <w:rtl/>
        </w:rPr>
        <w:t>ـ</w:t>
      </w:r>
      <w:r>
        <w:rPr>
          <w:rFonts w:hint="cs"/>
          <w:rtl/>
        </w:rPr>
        <w:t xml:space="preserve"> لا أقلّ بعضهم </w:t>
      </w:r>
      <w:r w:rsidR="00A90E63">
        <w:rPr>
          <w:rFonts w:hint="cs"/>
          <w:rtl/>
        </w:rPr>
        <w:t>ـ</w:t>
      </w:r>
      <w:r>
        <w:rPr>
          <w:rFonts w:hint="cs"/>
          <w:rtl/>
        </w:rPr>
        <w:t xml:space="preserve"> لشؤون السياسة والاجتماع، وهذا التصاحب التاريخي بين المرجعية العامة للفقيه وإفتائه هو ما أدّى لتصوير الإفتاء منصباً أو ولاية، فيما لا علاقة له بذلك بتاتاً، إنما هو نحو رجوع الجاهل إلى أهل العلم، وسؤالهم عمّا اعتقدوه بعد نظرهم فيما تخصّصوا فيه، فهل الرجوع للطبيب للاستشارة نحو ولاية له أو منصب قيادي في المجتمع؟ أو هل التعلّم من المؤرخ أو الاقتصادي والاستفادة من خبراته علمياً نحو ولاية له على الطرف الآخر؟!</w:t>
      </w:r>
    </w:p>
    <w:p w:rsidR="00C832C0" w:rsidRDefault="00C832C0" w:rsidP="000218F4">
      <w:pPr>
        <w:pStyle w:val="ac"/>
        <w:spacing w:line="209" w:lineRule="auto"/>
        <w:rPr>
          <w:rtl/>
        </w:rPr>
      </w:pPr>
      <w:r>
        <w:rPr>
          <w:rFonts w:hint="cs"/>
          <w:rtl/>
        </w:rPr>
        <w:t>نعم، التصاحب التاريخي والاندماج الزمني الذي حصل بين عناوين مختلفة، أدى إلى تصوّر المرجع أو المفتي والياً وله سلطنة على المجتمع بما هو مفتي، والحال أن الأمر ليس كذلك، وهذا معناه أن العناوين مفكّكة من حيث طبيعتها الفقهية، فإذا كان للمرأة مكانة يمكن تقليدها معها جاز الرجوع إليها في شؤون الفقه، فيما يكون الحاكم أو المرجع العام شخصاً آخر هو الذي يسأل عن الموضوعات أو المنازعات أو غير ذلك، وعدم معهودية هذا النوع أو استغرابه إنما جاء بسبب القرن الأكيد عبر الامتداد الزمني لهذه العناوين مع بعضها البعض.</w:t>
      </w:r>
    </w:p>
    <w:p w:rsidR="00C832C0" w:rsidRDefault="00C832C0" w:rsidP="00F04A58">
      <w:pPr>
        <w:pStyle w:val="ac"/>
        <w:rPr>
          <w:rtl/>
        </w:rPr>
      </w:pPr>
      <w:r>
        <w:rPr>
          <w:rFonts w:hint="cs"/>
          <w:rtl/>
        </w:rPr>
        <w:t xml:space="preserve">نريد بهذه الإطالة إعادة فهم مبسّط غير محمّل بإرث زمني لمفهوم الإفتاء، وهذا الفهم هو الذي تساعد عليه الأدلة، ومؤسّسة المرجعية </w:t>
      </w:r>
      <w:r w:rsidR="00A90E63">
        <w:rPr>
          <w:rFonts w:hint="cs"/>
          <w:rtl/>
        </w:rPr>
        <w:t>ـ</w:t>
      </w:r>
      <w:r>
        <w:rPr>
          <w:rFonts w:hint="cs"/>
          <w:rtl/>
        </w:rPr>
        <w:t xml:space="preserve"> بوصفها هيكليّة إداريّة </w:t>
      </w:r>
      <w:r w:rsidR="00A90E63">
        <w:rPr>
          <w:rFonts w:hint="cs"/>
          <w:rtl/>
        </w:rPr>
        <w:t>ـ</w:t>
      </w:r>
      <w:r>
        <w:rPr>
          <w:rFonts w:hint="cs"/>
          <w:rtl/>
        </w:rPr>
        <w:t xml:space="preserve"> هي الملزمة بالتكيّف مع الدليل لا العكس، ولعلّ هذا هو مراد من قال بأنّ البحث في إفتاء </w:t>
      </w:r>
      <w:r>
        <w:rPr>
          <w:rFonts w:hint="cs"/>
          <w:rtl/>
        </w:rPr>
        <w:lastRenderedPageBreak/>
        <w:t>المرأة لا في إثبات سائر مناصب المجتهد لها كالمحقق الإصفهاني</w:t>
      </w:r>
      <w:r w:rsidRPr="00815C4C">
        <w:rPr>
          <w:rFonts w:cs="Taher" w:hint="cs"/>
          <w:vertAlign w:val="superscript"/>
          <w:rtl/>
        </w:rPr>
        <w:t>(</w:t>
      </w:r>
      <w:r w:rsidRPr="00815C4C">
        <w:rPr>
          <w:rFonts w:cs="Taher"/>
          <w:vertAlign w:val="superscript"/>
          <w:rtl/>
        </w:rPr>
        <w:footnoteReference w:id="401"/>
      </w:r>
      <w:r w:rsidRPr="00815C4C">
        <w:rPr>
          <w:rFonts w:cs="Taher" w:hint="cs"/>
          <w:vertAlign w:val="superscript"/>
          <w:rtl/>
        </w:rPr>
        <w:t>)</w:t>
      </w:r>
      <w:r>
        <w:rPr>
          <w:rFonts w:hint="cs"/>
          <w:rtl/>
        </w:rPr>
        <w:t>.</w:t>
      </w:r>
    </w:p>
    <w:p w:rsidR="00C832C0" w:rsidRDefault="00C832C0" w:rsidP="00F04A58">
      <w:pPr>
        <w:pStyle w:val="ac"/>
        <w:rPr>
          <w:rtl/>
        </w:rPr>
      </w:pPr>
      <w:r>
        <w:rPr>
          <w:rFonts w:hint="cs"/>
          <w:rtl/>
        </w:rPr>
        <w:t xml:space="preserve">لكن لكي تكتمل الصورة الصحيحة لهذا الكلام ليغدو مقنعاً من الضروري إعادة تكوين مفهوم التقليد، وكذلك فكّ العلاقة بين الإفتاء والتدخّل في القضايا الموضوعية، مما صار رائجاً في الفترة الأخيرة، بحيث غدت الكثير من الفتاوى تشخيصاً للموضوعات </w:t>
      </w:r>
      <w:r w:rsidR="00A90E63">
        <w:rPr>
          <w:rFonts w:hint="cs"/>
          <w:rtl/>
        </w:rPr>
        <w:t>ـ</w:t>
      </w:r>
      <w:r>
        <w:rPr>
          <w:rFonts w:hint="cs"/>
          <w:rtl/>
        </w:rPr>
        <w:t xml:space="preserve"> بلغة الفتوى </w:t>
      </w:r>
      <w:r w:rsidR="00A90E63">
        <w:rPr>
          <w:rFonts w:hint="cs"/>
          <w:rtl/>
        </w:rPr>
        <w:t>ـ</w:t>
      </w:r>
      <w:r>
        <w:rPr>
          <w:rFonts w:hint="cs"/>
          <w:rtl/>
        </w:rPr>
        <w:t xml:space="preserve"> أكثر من كونها رصداً للمجعولات الشرعية الكلية على الموضوعات الكلّية، كما أن موضوع الأعلمية قد يعيق بشكل بالغ اكتمال الصورة عند بعض، فلا بدّ من تكميل الصورة في أجزاء أخرى لكي يصبح هذا الكلام واضحاً، وهو ما نراه كذلك، وإن لم يكن مجال لبحثه بالتفصيل فعلاً.</w:t>
      </w:r>
    </w:p>
    <w:p w:rsidR="00C832C0" w:rsidRDefault="00C832C0" w:rsidP="00F04A58">
      <w:pPr>
        <w:pStyle w:val="ac"/>
        <w:rPr>
          <w:rtl/>
        </w:rPr>
      </w:pPr>
      <w:r>
        <w:rPr>
          <w:rFonts w:hint="cs"/>
          <w:rtl/>
        </w:rPr>
        <w:t>من هنا، يجدر التركيز على أنّ التصوّر النهائي لموضوع من هذا النوع رهين إعادة تكوين مفاهيم على صلة به، وإلا فإذا أصرّ باحثٌ على انحصار مفهوم مرجعية الإفتاء بالمعنى الذي للمرجع اليوم، سيما ما له من ولايات في شأن الأخماس والزكوات، بل والسياسات، والقضاء، والنفوذ الاجتماعي المهيمن بشكل بالغ وغيرها، فإنّ المناقشة الأخيرة قد لا تتمّ معه، وتبقى المناقشات الأخرى قائمة.</w:t>
      </w:r>
    </w:p>
    <w:p w:rsidR="00F04A58" w:rsidRPr="00E24C1D" w:rsidRDefault="00F04A58" w:rsidP="000218F4">
      <w:pPr>
        <w:pStyle w:val="afffffc"/>
        <w:rPr>
          <w:sz w:val="16"/>
          <w:szCs w:val="14"/>
          <w:rtl/>
        </w:rPr>
      </w:pPr>
    </w:p>
    <w:p w:rsidR="00C832C0" w:rsidRPr="00F04A58" w:rsidRDefault="00C832C0" w:rsidP="00F04A58">
      <w:pPr>
        <w:pStyle w:val="1"/>
        <w:rPr>
          <w:rtl/>
        </w:rPr>
      </w:pPr>
      <w:bookmarkStart w:id="283" w:name="_Toc275128005"/>
      <w:r w:rsidRPr="00F04A58">
        <w:rPr>
          <w:rtl/>
        </w:rPr>
        <w:t>تلخيص واستنتاج</w:t>
      </w:r>
      <w:bookmarkEnd w:id="283"/>
    </w:p>
    <w:p w:rsidR="00C832C0" w:rsidRDefault="00C832C0" w:rsidP="00F04A58">
      <w:pPr>
        <w:pStyle w:val="ac"/>
        <w:rPr>
          <w:rFonts w:cs="DanaFajr"/>
          <w:rtl/>
        </w:rPr>
      </w:pPr>
      <w:r>
        <w:rPr>
          <w:rFonts w:hint="cs"/>
          <w:rtl/>
        </w:rPr>
        <w:t>توصّلنا من خلال رصد المعطيات المتوفّرة إلى أنّه يمكن للمرأة أن تكون مجتهدةً، كما يمكنها تقليد نفسها عند الاجتهاد، بل يجب عليها ذلك تكليفاً ووضعاً، ويمكن للآخرين تقليدها بلا فرقٍ بين الرجال والنساء، نعم، ولايتها وقضاؤها وشهادتها وإمامتها للجماعة أمرٌ آخر، فإذا قلنا بوحدة المرجعية الإفتائية والقيادة السياسية وحكمنا بعدم تولّيها السلطة لم يجز تقليدها، وإلا جاز.</w:t>
      </w:r>
    </w:p>
    <w:p w:rsidR="003246D4" w:rsidRPr="00E24C1D" w:rsidRDefault="00C832C0" w:rsidP="00F04A58">
      <w:pPr>
        <w:pStyle w:val="ac"/>
        <w:rPr>
          <w:rFonts w:cs="Times New Roman"/>
          <w:sz w:val="29"/>
          <w:szCs w:val="29"/>
          <w:rtl/>
        </w:rPr>
        <w:sectPr w:rsidR="003246D4" w:rsidRPr="00E24C1D" w:rsidSect="00EA348C">
          <w:headerReference w:type="even" r:id="rId55"/>
          <w:headerReference w:type="default" r:id="rId5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r w:rsidRPr="00E24C1D">
        <w:rPr>
          <w:rFonts w:hint="cs"/>
          <w:sz w:val="29"/>
          <w:szCs w:val="29"/>
          <w:rtl/>
        </w:rPr>
        <w:t>وعليه، فتصدّي المرأة الحاوية لسائر شرائط الإفتاء.. تصدّيها للمرجعية الإفتائية جائز لا محذور فيه، وتقليدها كذلك، على أن لا يلزم منه أيّ محذور شرعيّ آخر، كما هو واضح.</w:t>
      </w:r>
      <w:r w:rsidRPr="00E24C1D">
        <w:rPr>
          <w:rFonts w:cs="Times New Roman"/>
          <w:sz w:val="29"/>
          <w:szCs w:val="29"/>
          <w:rtl/>
        </w:rPr>
        <w:t xml:space="preserve"> </w:t>
      </w:r>
    </w:p>
    <w:p w:rsidR="00F04A58" w:rsidRDefault="00F04A58" w:rsidP="00F04A58">
      <w:pPr>
        <w:pStyle w:val="ac"/>
        <w:rPr>
          <w:rFonts w:cs="Times New Roman"/>
          <w:szCs w:val="24"/>
          <w:rtl/>
        </w:rPr>
      </w:pPr>
    </w:p>
    <w:p w:rsidR="00F04A58" w:rsidRDefault="00F04A58">
      <w:pPr>
        <w:widowControl/>
        <w:bidi w:val="0"/>
        <w:spacing w:line="240" w:lineRule="auto"/>
        <w:ind w:firstLine="0"/>
        <w:jc w:val="left"/>
        <w:outlineLvl w:val="9"/>
        <w:rPr>
          <w:rFonts w:ascii="Arno Pro Display" w:hAnsi="Arno Pro Display" w:cs="Times New Roman"/>
          <w:sz w:val="28"/>
          <w:szCs w:val="24"/>
          <w:rtl/>
        </w:rPr>
      </w:pPr>
      <w:r>
        <w:rPr>
          <w:rFonts w:cs="Times New Roman"/>
          <w:szCs w:val="24"/>
          <w:rtl/>
        </w:rPr>
        <w:br w:type="page"/>
      </w:r>
    </w:p>
    <w:p w:rsidR="00C832C0" w:rsidRDefault="00C832C0" w:rsidP="00F04A58">
      <w:pPr>
        <w:pStyle w:val="ac"/>
        <w:rPr>
          <w:rtl/>
        </w:rPr>
      </w:pPr>
    </w:p>
    <w:p w:rsidR="00F04A58" w:rsidRDefault="00F04A58" w:rsidP="00F04A58">
      <w:pPr>
        <w:pStyle w:val="ac"/>
        <w:rPr>
          <w:rtl/>
        </w:rPr>
      </w:pPr>
    </w:p>
    <w:p w:rsidR="00F04A58" w:rsidRDefault="00F04A58" w:rsidP="00F04A58">
      <w:pPr>
        <w:pStyle w:val="ac"/>
        <w:rPr>
          <w:rtl/>
        </w:rPr>
      </w:pPr>
    </w:p>
    <w:p w:rsidR="00F04A58" w:rsidRDefault="00F04A58" w:rsidP="00F04A58">
      <w:pPr>
        <w:pStyle w:val="ac"/>
        <w:rPr>
          <w:rtl/>
        </w:rPr>
      </w:pPr>
    </w:p>
    <w:p w:rsidR="00F04A58" w:rsidRDefault="00F04A58" w:rsidP="00F04A58">
      <w:pPr>
        <w:pStyle w:val="ac"/>
        <w:rPr>
          <w:rtl/>
        </w:rPr>
      </w:pPr>
    </w:p>
    <w:p w:rsidR="003246D4" w:rsidRDefault="003246D4" w:rsidP="00F04A58">
      <w:pPr>
        <w:pStyle w:val="aff2"/>
        <w:rPr>
          <w:rtl/>
        </w:rPr>
        <w:sectPr w:rsidR="003246D4" w:rsidSect="00EA348C">
          <w:headerReference w:type="even" r:id="rId57"/>
          <w:headerReference w:type="default" r:id="rId58"/>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F04A58" w:rsidRDefault="00F04A58" w:rsidP="00F04A58">
      <w:pPr>
        <w:pStyle w:val="aff2"/>
        <w:rPr>
          <w:rtl/>
        </w:rPr>
      </w:pPr>
      <w:bookmarkStart w:id="284" w:name="_Toc275128006"/>
      <w:r>
        <w:rPr>
          <w:rFonts w:hint="cs"/>
          <w:rtl/>
        </w:rPr>
        <w:lastRenderedPageBreak/>
        <w:t>زواج الكتابيّة في الفقه الإسلامي</w:t>
      </w:r>
      <w:bookmarkEnd w:id="284"/>
    </w:p>
    <w:p w:rsidR="00F04A58" w:rsidRPr="00F04A58" w:rsidRDefault="00F04A58" w:rsidP="00F04A58">
      <w:pPr>
        <w:pStyle w:val="aff2"/>
        <w:rPr>
          <w:sz w:val="22"/>
          <w:szCs w:val="40"/>
          <w:rtl/>
        </w:rPr>
      </w:pPr>
      <w:bookmarkStart w:id="285" w:name="_Toc275128007"/>
      <w:r w:rsidRPr="00F04A58">
        <w:rPr>
          <w:rFonts w:hint="cs"/>
          <w:sz w:val="22"/>
          <w:szCs w:val="40"/>
          <w:rtl/>
        </w:rPr>
        <w:t>دراسة استدلاليّة مقارنة</w:t>
      </w:r>
      <w:bookmarkEnd w:id="285"/>
    </w:p>
    <w:p w:rsidR="00F04A58" w:rsidRPr="00366C30" w:rsidRDefault="00F04A58" w:rsidP="00F04A58">
      <w:pPr>
        <w:pStyle w:val="af7"/>
        <w:rPr>
          <w:rFonts w:cs="AL-Mohanad"/>
          <w:szCs w:val="27"/>
          <w:rtl/>
        </w:rPr>
      </w:pPr>
      <w:bookmarkStart w:id="286" w:name="_Toc275128008"/>
      <w:r>
        <w:rPr>
          <w:rFonts w:hint="cs"/>
          <w:rtl/>
        </w:rPr>
        <w:t>د. علي بابائي آريا</w:t>
      </w:r>
      <w:r w:rsidRPr="00C5711B">
        <w:rPr>
          <w:rStyle w:val="FootnoteReference"/>
          <w:rFonts w:cs="md_ameli"/>
          <w:b/>
          <w:bCs w:val="0"/>
          <w:sz w:val="36"/>
          <w:szCs w:val="36"/>
          <w:rtl/>
        </w:rPr>
        <w:footnoteReference w:customMarkFollows="1" w:id="402"/>
        <w:t>(*)</w:t>
      </w:r>
      <w:bookmarkEnd w:id="286"/>
    </w:p>
    <w:p w:rsidR="00F04A58" w:rsidRPr="00E24C1D" w:rsidRDefault="00F04A58" w:rsidP="00F04A58">
      <w:pPr>
        <w:pStyle w:val="ac"/>
        <w:rPr>
          <w:sz w:val="2"/>
          <w:szCs w:val="4"/>
          <w:rtl/>
        </w:rPr>
      </w:pPr>
    </w:p>
    <w:p w:rsidR="00F04A58" w:rsidRDefault="00F04A58" w:rsidP="00F04A58">
      <w:pPr>
        <w:pStyle w:val="1"/>
        <w:rPr>
          <w:rtl/>
        </w:rPr>
      </w:pPr>
      <w:bookmarkStart w:id="287" w:name="_Toc275128009"/>
      <w:r>
        <w:rPr>
          <w:rFonts w:hint="cs"/>
          <w:rtl/>
        </w:rPr>
        <w:t>المقدّمة</w:t>
      </w:r>
      <w:bookmarkEnd w:id="287"/>
    </w:p>
    <w:p w:rsidR="00F04A58" w:rsidRPr="00366C30" w:rsidRDefault="00F04A58" w:rsidP="00F04A58">
      <w:pPr>
        <w:pStyle w:val="ac"/>
        <w:rPr>
          <w:rtl/>
        </w:rPr>
      </w:pPr>
      <w:r w:rsidRPr="00366C30">
        <w:rPr>
          <w:rFonts w:hint="cs"/>
          <w:rtl/>
        </w:rPr>
        <w:t>إنّ العلاقات الثقافية القائمة بين الشعوب المختلفة في عصرنا هذا تستدعي مزيداً من الدراسة والبحث في بعض المسائل الشّرعية التي أفتى بها الفقهاء المتقدّمون، ومن أهمّ تلك المسائل ما يتعلّق بأهل الكتاب؛ كمسألة نجاستهم الذاتيّة، التي يبتلى بها كثيرٌ من المسلمين</w:t>
      </w:r>
      <w:r>
        <w:rPr>
          <w:rFonts w:hint="cs"/>
          <w:rtl/>
        </w:rPr>
        <w:t>،</w:t>
      </w:r>
      <w:r w:rsidRPr="00366C30">
        <w:rPr>
          <w:rFonts w:hint="cs"/>
          <w:rtl/>
        </w:rPr>
        <w:t xml:space="preserve"> لضرورة التعامل معهم والاختلاط بهم وتلقّي العلم منهم وغير ذلك من الأمور الواضحة. والذي نريد عرضه هنا هو موضوع المناكحة بينهم وبين المسلمين، وهي القضيّة التي قد باتت تتصدّر لائحةً من الموضوعات التي تستدعي إعادة النّظر فيها بدقّة متناهية.</w:t>
      </w:r>
    </w:p>
    <w:p w:rsidR="00F04A58" w:rsidRPr="00E24C1D" w:rsidRDefault="00F04A58" w:rsidP="00E24C1D">
      <w:pPr>
        <w:pStyle w:val="afffffc"/>
        <w:rPr>
          <w:sz w:val="20"/>
          <w:szCs w:val="18"/>
          <w:rtl/>
        </w:rPr>
      </w:pPr>
    </w:p>
    <w:p w:rsidR="00F04A58" w:rsidRDefault="00F04A58" w:rsidP="00F04A58">
      <w:pPr>
        <w:pStyle w:val="1"/>
        <w:rPr>
          <w:rtl/>
        </w:rPr>
      </w:pPr>
      <w:bookmarkStart w:id="288" w:name="_Toc275128010"/>
      <w:r>
        <w:rPr>
          <w:rFonts w:hint="cs"/>
          <w:rtl/>
        </w:rPr>
        <w:t>النظريات الفقهية في الزواج من الكتابية</w:t>
      </w:r>
      <w:bookmarkEnd w:id="288"/>
    </w:p>
    <w:p w:rsidR="00F04A58" w:rsidRPr="00366C30" w:rsidRDefault="00F04A58" w:rsidP="00F56506">
      <w:pPr>
        <w:pStyle w:val="ac"/>
        <w:rPr>
          <w:rtl/>
        </w:rPr>
      </w:pPr>
      <w:r w:rsidRPr="00366C30">
        <w:rPr>
          <w:rFonts w:hint="cs"/>
          <w:rtl/>
        </w:rPr>
        <w:t>اختلفوا في نكاح الكتابيّة</w:t>
      </w:r>
      <w:r w:rsidRPr="00815C4C">
        <w:rPr>
          <w:rFonts w:cs="Taher"/>
          <w:vertAlign w:val="superscript"/>
          <w:rtl/>
        </w:rPr>
        <w:t>(</w:t>
      </w:r>
      <w:r w:rsidRPr="00815C4C">
        <w:rPr>
          <w:rFonts w:cs="Taher"/>
          <w:vertAlign w:val="superscript"/>
          <w:rtl/>
        </w:rPr>
        <w:footnoteReference w:id="403"/>
      </w:r>
      <w:r w:rsidRPr="00815C4C">
        <w:rPr>
          <w:rFonts w:cs="Taher"/>
          <w:vertAlign w:val="superscript"/>
          <w:rtl/>
        </w:rPr>
        <w:t>)</w:t>
      </w:r>
      <w:r w:rsidRPr="00366C30">
        <w:rPr>
          <w:rFonts w:hint="cs"/>
          <w:rtl/>
        </w:rPr>
        <w:t xml:space="preserve"> على ثلاثة أقوال:</w:t>
      </w:r>
    </w:p>
    <w:p w:rsidR="00F04A58" w:rsidRPr="00366C30" w:rsidRDefault="00F04A58" w:rsidP="00E24C1D">
      <w:pPr>
        <w:pStyle w:val="ac"/>
        <w:spacing w:line="211" w:lineRule="auto"/>
        <w:rPr>
          <w:rtl/>
        </w:rPr>
      </w:pPr>
      <w:r w:rsidRPr="00366C30">
        <w:rPr>
          <w:rFonts w:hint="cs"/>
          <w:rtl/>
        </w:rPr>
        <w:lastRenderedPageBreak/>
        <w:t>1ـ المنع مطلقاً، وهو قول المفيد</w:t>
      </w:r>
      <w:r w:rsidRPr="00815C4C">
        <w:rPr>
          <w:rFonts w:cs="Taher"/>
          <w:vertAlign w:val="superscript"/>
          <w:rtl/>
        </w:rPr>
        <w:t>(</w:t>
      </w:r>
      <w:r w:rsidRPr="00815C4C">
        <w:rPr>
          <w:rFonts w:cs="Taher"/>
          <w:vertAlign w:val="superscript"/>
          <w:rtl/>
        </w:rPr>
        <w:footnoteReference w:id="404"/>
      </w:r>
      <w:r w:rsidRPr="00815C4C">
        <w:rPr>
          <w:rFonts w:cs="Taher"/>
          <w:vertAlign w:val="superscript"/>
          <w:rtl/>
        </w:rPr>
        <w:t>)</w:t>
      </w:r>
      <w:r>
        <w:rPr>
          <w:rFonts w:cs="Simplified Arabic" w:hint="cs"/>
          <w:bCs/>
          <w:color w:val="000000"/>
          <w:position w:val="4"/>
          <w:sz w:val="26"/>
          <w:szCs w:val="26"/>
          <w:vertAlign w:val="superscript"/>
          <w:rtl/>
        </w:rPr>
        <w:t xml:space="preserve"> </w:t>
      </w:r>
      <w:r w:rsidRPr="00366C30">
        <w:rPr>
          <w:rFonts w:hint="cs"/>
          <w:rtl/>
        </w:rPr>
        <w:t>والمرتضى</w:t>
      </w:r>
      <w:r w:rsidRPr="00815C4C">
        <w:rPr>
          <w:rFonts w:cs="Taher"/>
          <w:vertAlign w:val="superscript"/>
          <w:rtl/>
        </w:rPr>
        <w:t>(</w:t>
      </w:r>
      <w:r w:rsidRPr="00815C4C">
        <w:rPr>
          <w:rFonts w:cs="Taher"/>
          <w:vertAlign w:val="superscript"/>
          <w:rtl/>
        </w:rPr>
        <w:footnoteReference w:id="405"/>
      </w:r>
      <w:r w:rsidRPr="00815C4C">
        <w:rPr>
          <w:rFonts w:cs="Taher"/>
          <w:vertAlign w:val="superscript"/>
          <w:rtl/>
        </w:rPr>
        <w:t>)</w:t>
      </w:r>
      <w:r>
        <w:rPr>
          <w:rFonts w:cs="Simplified Arabic" w:hint="cs"/>
          <w:bCs/>
          <w:color w:val="000000"/>
          <w:position w:val="4"/>
          <w:sz w:val="26"/>
          <w:szCs w:val="26"/>
          <w:vertAlign w:val="superscript"/>
          <w:rtl/>
        </w:rPr>
        <w:t xml:space="preserve"> </w:t>
      </w:r>
      <w:r w:rsidRPr="00366C30">
        <w:rPr>
          <w:rFonts w:hint="cs"/>
          <w:rtl/>
        </w:rPr>
        <w:t>وابن إدريس</w:t>
      </w:r>
      <w:r w:rsidRPr="00815C4C">
        <w:rPr>
          <w:rFonts w:cs="Taher"/>
          <w:vertAlign w:val="superscript"/>
          <w:rtl/>
        </w:rPr>
        <w:t>(</w:t>
      </w:r>
      <w:r w:rsidRPr="00815C4C">
        <w:rPr>
          <w:rFonts w:cs="Taher"/>
          <w:vertAlign w:val="superscript"/>
          <w:rtl/>
        </w:rPr>
        <w:footnoteReference w:id="406"/>
      </w:r>
      <w:r w:rsidRPr="00815C4C">
        <w:rPr>
          <w:rFonts w:cs="Taher"/>
          <w:vertAlign w:val="superscript"/>
          <w:rtl/>
        </w:rPr>
        <w:t>)</w:t>
      </w:r>
      <w:r w:rsidRPr="00366C30">
        <w:rPr>
          <w:rFonts w:hint="cs"/>
          <w:rtl/>
        </w:rPr>
        <w:t xml:space="preserve"> والطبرسي</w:t>
      </w:r>
      <w:r w:rsidRPr="00815C4C">
        <w:rPr>
          <w:rFonts w:cs="Taher"/>
          <w:vertAlign w:val="superscript"/>
          <w:rtl/>
        </w:rPr>
        <w:t>(</w:t>
      </w:r>
      <w:r w:rsidRPr="00815C4C">
        <w:rPr>
          <w:rFonts w:cs="Taher"/>
          <w:vertAlign w:val="superscript"/>
          <w:rtl/>
        </w:rPr>
        <w:footnoteReference w:id="407"/>
      </w:r>
      <w:r w:rsidRPr="00815C4C">
        <w:rPr>
          <w:rFonts w:cs="Taher"/>
          <w:vertAlign w:val="superscript"/>
          <w:rtl/>
        </w:rPr>
        <w:t>)</w:t>
      </w:r>
      <w:r w:rsidRPr="00366C30">
        <w:rPr>
          <w:rFonts w:hint="cs"/>
          <w:rtl/>
        </w:rPr>
        <w:t xml:space="preserve"> والمقداد</w:t>
      </w:r>
      <w:r w:rsidRPr="00815C4C">
        <w:rPr>
          <w:rFonts w:cs="Taher"/>
          <w:vertAlign w:val="superscript"/>
          <w:rtl/>
        </w:rPr>
        <w:t>(</w:t>
      </w:r>
      <w:r w:rsidRPr="00815C4C">
        <w:rPr>
          <w:rFonts w:cs="Taher"/>
          <w:vertAlign w:val="superscript"/>
          <w:rtl/>
        </w:rPr>
        <w:footnoteReference w:id="408"/>
      </w:r>
      <w:r w:rsidRPr="00815C4C">
        <w:rPr>
          <w:rFonts w:cs="Taher"/>
          <w:vertAlign w:val="superscript"/>
          <w:rtl/>
        </w:rPr>
        <w:t>)</w:t>
      </w:r>
      <w:r w:rsidRPr="00366C30">
        <w:rPr>
          <w:rFonts w:hint="cs"/>
          <w:rtl/>
        </w:rPr>
        <w:t xml:space="preserve"> والحرّ العامليّ</w:t>
      </w:r>
      <w:r w:rsidRPr="00815C4C">
        <w:rPr>
          <w:rFonts w:cs="Taher"/>
          <w:vertAlign w:val="superscript"/>
          <w:rtl/>
        </w:rPr>
        <w:t>(</w:t>
      </w:r>
      <w:r w:rsidRPr="00815C4C">
        <w:rPr>
          <w:rFonts w:cs="Taher"/>
          <w:vertAlign w:val="superscript"/>
          <w:rtl/>
        </w:rPr>
        <w:footnoteReference w:id="409"/>
      </w:r>
      <w:r w:rsidRPr="00815C4C">
        <w:rPr>
          <w:rFonts w:cs="Taher"/>
          <w:vertAlign w:val="superscript"/>
          <w:rtl/>
        </w:rPr>
        <w:t>)</w:t>
      </w:r>
      <w:r w:rsidRPr="00366C30">
        <w:rPr>
          <w:rFonts w:hint="cs"/>
          <w:rtl/>
        </w:rPr>
        <w:t>، واعتمد عليه أبو العباس</w:t>
      </w:r>
      <w:r w:rsidRPr="00815C4C">
        <w:rPr>
          <w:rFonts w:cs="Taher"/>
          <w:vertAlign w:val="superscript"/>
          <w:rtl/>
        </w:rPr>
        <w:t>(</w:t>
      </w:r>
      <w:r w:rsidRPr="00815C4C">
        <w:rPr>
          <w:rFonts w:cs="Taher"/>
          <w:vertAlign w:val="superscript"/>
          <w:rtl/>
        </w:rPr>
        <w:footnoteReference w:id="410"/>
      </w:r>
      <w:r w:rsidRPr="00815C4C">
        <w:rPr>
          <w:rFonts w:cs="Taher"/>
          <w:vertAlign w:val="superscript"/>
          <w:rtl/>
        </w:rPr>
        <w:t>)</w:t>
      </w:r>
      <w:r>
        <w:rPr>
          <w:rFonts w:hint="cs"/>
          <w:rtl/>
        </w:rPr>
        <w:t xml:space="preserve">، </w:t>
      </w:r>
      <w:r w:rsidRPr="00366C30">
        <w:rPr>
          <w:rFonts w:hint="cs"/>
          <w:rtl/>
        </w:rPr>
        <w:t>واختاره فخر المحققين</w:t>
      </w:r>
      <w:r w:rsidRPr="00815C4C">
        <w:rPr>
          <w:rFonts w:cs="Taher"/>
          <w:vertAlign w:val="superscript"/>
          <w:rtl/>
        </w:rPr>
        <w:t>(</w:t>
      </w:r>
      <w:r w:rsidRPr="00815C4C">
        <w:rPr>
          <w:rFonts w:cs="Taher"/>
          <w:vertAlign w:val="superscript"/>
          <w:rtl/>
        </w:rPr>
        <w:footnoteReference w:id="411"/>
      </w:r>
      <w:r w:rsidRPr="00815C4C">
        <w:rPr>
          <w:rFonts w:cs="Taher"/>
          <w:vertAlign w:val="superscript"/>
          <w:rtl/>
        </w:rPr>
        <w:t>)</w:t>
      </w:r>
      <w:r w:rsidRPr="00366C30">
        <w:rPr>
          <w:rFonts w:hint="cs"/>
          <w:rtl/>
        </w:rPr>
        <w:t xml:space="preserve"> من الشيعة الإماميّة. كما ذهب إليه الهادي والقاسم والنفس الزكيّة وجميع المتأخرين من الزيديّة</w:t>
      </w:r>
      <w:r w:rsidRPr="00815C4C">
        <w:rPr>
          <w:rFonts w:cs="Taher"/>
          <w:vertAlign w:val="superscript"/>
          <w:rtl/>
        </w:rPr>
        <w:t>(</w:t>
      </w:r>
      <w:r w:rsidRPr="00815C4C">
        <w:rPr>
          <w:rFonts w:cs="Taher"/>
          <w:vertAlign w:val="superscript"/>
          <w:rtl/>
        </w:rPr>
        <w:footnoteReference w:id="412"/>
      </w:r>
      <w:r w:rsidRPr="00815C4C">
        <w:rPr>
          <w:rFonts w:cs="Taher"/>
          <w:vertAlign w:val="superscript"/>
          <w:rtl/>
        </w:rPr>
        <w:t>)</w:t>
      </w:r>
      <w:r w:rsidRPr="00366C30">
        <w:rPr>
          <w:rFonts w:hint="cs"/>
          <w:rtl/>
        </w:rPr>
        <w:t>.</w:t>
      </w:r>
    </w:p>
    <w:p w:rsidR="00F04A58" w:rsidRPr="00366C30" w:rsidRDefault="00F04A58" w:rsidP="00E24C1D">
      <w:pPr>
        <w:pStyle w:val="ac"/>
        <w:spacing w:line="211" w:lineRule="auto"/>
        <w:rPr>
          <w:rtl/>
        </w:rPr>
      </w:pPr>
      <w:r w:rsidRPr="00366C30">
        <w:rPr>
          <w:rFonts w:hint="cs"/>
          <w:rtl/>
        </w:rPr>
        <w:t xml:space="preserve">2ـ التفصيل بين المتعة والدائم، بتجويز الأوّل ومنع الثاني؛ وهو المشهور بين </w:t>
      </w:r>
      <w:r>
        <w:rPr>
          <w:rtl/>
        </w:rPr>
        <w:br/>
      </w:r>
      <w:r w:rsidRPr="00366C30">
        <w:rPr>
          <w:rFonts w:hint="cs"/>
          <w:rtl/>
        </w:rPr>
        <w:t>الإماميّة؛ فممّن ذهب إليه الطوسي</w:t>
      </w:r>
      <w:r w:rsidRPr="00815C4C">
        <w:rPr>
          <w:rFonts w:cs="Taher"/>
          <w:vertAlign w:val="superscript"/>
          <w:rtl/>
        </w:rPr>
        <w:t>(</w:t>
      </w:r>
      <w:r w:rsidRPr="00815C4C">
        <w:rPr>
          <w:rFonts w:cs="Taher"/>
          <w:vertAlign w:val="superscript"/>
          <w:rtl/>
        </w:rPr>
        <w:footnoteReference w:id="413"/>
      </w:r>
      <w:r w:rsidRPr="00815C4C">
        <w:rPr>
          <w:rFonts w:cs="Taher"/>
          <w:vertAlign w:val="superscript"/>
          <w:rtl/>
        </w:rPr>
        <w:t>)</w:t>
      </w:r>
      <w:r w:rsidRPr="00366C30">
        <w:rPr>
          <w:rFonts w:hint="cs"/>
          <w:rtl/>
        </w:rPr>
        <w:t xml:space="preserve"> وأبو الصّلاح</w:t>
      </w:r>
      <w:r w:rsidRPr="00815C4C">
        <w:rPr>
          <w:rFonts w:cs="Taher"/>
          <w:vertAlign w:val="superscript"/>
          <w:rtl/>
        </w:rPr>
        <w:t>(</w:t>
      </w:r>
      <w:r w:rsidRPr="00815C4C">
        <w:rPr>
          <w:rFonts w:cs="Taher"/>
          <w:vertAlign w:val="superscript"/>
          <w:rtl/>
        </w:rPr>
        <w:footnoteReference w:id="414"/>
      </w:r>
      <w:r w:rsidRPr="00815C4C">
        <w:rPr>
          <w:rFonts w:cs="Taher"/>
          <w:vertAlign w:val="superscript"/>
          <w:rtl/>
        </w:rPr>
        <w:t>)</w:t>
      </w:r>
      <w:r w:rsidRPr="00366C30">
        <w:rPr>
          <w:rFonts w:hint="cs"/>
          <w:rtl/>
        </w:rPr>
        <w:t xml:space="preserve"> وابن البرّاج</w:t>
      </w:r>
      <w:r w:rsidRPr="00815C4C">
        <w:rPr>
          <w:rFonts w:cs="Taher"/>
          <w:vertAlign w:val="superscript"/>
          <w:rtl/>
        </w:rPr>
        <w:t>(</w:t>
      </w:r>
      <w:r w:rsidRPr="00815C4C">
        <w:rPr>
          <w:rFonts w:cs="Taher"/>
          <w:vertAlign w:val="superscript"/>
          <w:rtl/>
        </w:rPr>
        <w:footnoteReference w:id="415"/>
      </w:r>
      <w:r w:rsidRPr="00815C4C">
        <w:rPr>
          <w:rFonts w:cs="Taher"/>
          <w:vertAlign w:val="superscript"/>
          <w:rtl/>
        </w:rPr>
        <w:t>)</w:t>
      </w:r>
      <w:r w:rsidRPr="00366C30">
        <w:rPr>
          <w:rFonts w:hint="cs"/>
          <w:rtl/>
        </w:rPr>
        <w:t xml:space="preserve"> وسلاّر</w:t>
      </w:r>
      <w:r w:rsidRPr="00815C4C">
        <w:rPr>
          <w:rFonts w:cs="Taher"/>
          <w:vertAlign w:val="superscript"/>
          <w:rtl/>
        </w:rPr>
        <w:t>(</w:t>
      </w:r>
      <w:r w:rsidRPr="00815C4C">
        <w:rPr>
          <w:rFonts w:cs="Taher"/>
          <w:vertAlign w:val="superscript"/>
          <w:rtl/>
        </w:rPr>
        <w:footnoteReference w:id="416"/>
      </w:r>
      <w:r w:rsidRPr="00815C4C">
        <w:rPr>
          <w:rFonts w:cs="Taher"/>
          <w:vertAlign w:val="superscript"/>
          <w:rtl/>
        </w:rPr>
        <w:t>)</w:t>
      </w:r>
      <w:r w:rsidRPr="00366C30">
        <w:rPr>
          <w:rFonts w:hint="cs"/>
          <w:rtl/>
        </w:rPr>
        <w:t xml:space="preserve"> والعلامة</w:t>
      </w:r>
      <w:r w:rsidRPr="00815C4C">
        <w:rPr>
          <w:rFonts w:cs="Taher"/>
          <w:vertAlign w:val="superscript"/>
          <w:rtl/>
        </w:rPr>
        <w:t>(</w:t>
      </w:r>
      <w:r w:rsidRPr="00815C4C">
        <w:rPr>
          <w:rFonts w:cs="Taher"/>
          <w:vertAlign w:val="superscript"/>
          <w:rtl/>
        </w:rPr>
        <w:footnoteReference w:id="417"/>
      </w:r>
      <w:r w:rsidRPr="00815C4C">
        <w:rPr>
          <w:rFonts w:cs="Taher"/>
          <w:vertAlign w:val="superscript"/>
          <w:rtl/>
        </w:rPr>
        <w:t>)</w:t>
      </w:r>
      <w:r w:rsidRPr="00366C30">
        <w:rPr>
          <w:rFonts w:hint="cs"/>
          <w:rtl/>
        </w:rPr>
        <w:t xml:space="preserve"> والمحقق</w:t>
      </w:r>
      <w:r w:rsidRPr="00815C4C">
        <w:rPr>
          <w:rFonts w:cs="Taher"/>
          <w:vertAlign w:val="superscript"/>
          <w:rtl/>
        </w:rPr>
        <w:t>(</w:t>
      </w:r>
      <w:r w:rsidRPr="00815C4C">
        <w:rPr>
          <w:rFonts w:cs="Taher"/>
          <w:vertAlign w:val="superscript"/>
          <w:rtl/>
        </w:rPr>
        <w:footnoteReference w:id="418"/>
      </w:r>
      <w:r w:rsidRPr="00815C4C">
        <w:rPr>
          <w:rFonts w:cs="Taher"/>
          <w:vertAlign w:val="superscript"/>
          <w:rtl/>
        </w:rPr>
        <w:t>)</w:t>
      </w:r>
      <w:r w:rsidRPr="00366C30">
        <w:rPr>
          <w:rFonts w:hint="cs"/>
          <w:rtl/>
        </w:rPr>
        <w:t xml:space="preserve"> والشهيد الأوّل</w:t>
      </w:r>
      <w:r w:rsidRPr="00815C4C">
        <w:rPr>
          <w:rFonts w:cs="Taher"/>
          <w:vertAlign w:val="superscript"/>
          <w:rtl/>
        </w:rPr>
        <w:t>(</w:t>
      </w:r>
      <w:r w:rsidRPr="00815C4C">
        <w:rPr>
          <w:rFonts w:cs="Taher"/>
          <w:vertAlign w:val="superscript"/>
          <w:rtl/>
        </w:rPr>
        <w:footnoteReference w:id="419"/>
      </w:r>
      <w:r w:rsidRPr="00815C4C">
        <w:rPr>
          <w:rFonts w:cs="Taher"/>
          <w:vertAlign w:val="superscript"/>
          <w:rtl/>
        </w:rPr>
        <w:t>)</w:t>
      </w:r>
      <w:r w:rsidRPr="00366C30">
        <w:rPr>
          <w:rFonts w:hint="cs"/>
          <w:rtl/>
        </w:rPr>
        <w:t xml:space="preserve"> وأكثر المعاصرين، وأشهرهم الإمام الخميني</w:t>
      </w:r>
      <w:r w:rsidRPr="00815C4C">
        <w:rPr>
          <w:rFonts w:cs="Taher"/>
          <w:vertAlign w:val="superscript"/>
          <w:rtl/>
        </w:rPr>
        <w:t>(</w:t>
      </w:r>
      <w:r w:rsidRPr="00815C4C">
        <w:rPr>
          <w:rFonts w:cs="Taher"/>
          <w:vertAlign w:val="superscript"/>
          <w:rtl/>
        </w:rPr>
        <w:footnoteReference w:id="420"/>
      </w:r>
      <w:r w:rsidRPr="00815C4C">
        <w:rPr>
          <w:rFonts w:cs="Taher"/>
          <w:vertAlign w:val="superscript"/>
          <w:rtl/>
        </w:rPr>
        <w:t>)</w:t>
      </w:r>
      <w:r w:rsidRPr="00366C30">
        <w:rPr>
          <w:rFonts w:hint="cs"/>
          <w:rtl/>
        </w:rPr>
        <w:t>.</w:t>
      </w:r>
    </w:p>
    <w:p w:rsidR="00F04A58" w:rsidRPr="00366C30" w:rsidRDefault="00F04A58" w:rsidP="00E24C1D">
      <w:pPr>
        <w:pStyle w:val="ac"/>
        <w:rPr>
          <w:rtl/>
        </w:rPr>
      </w:pPr>
      <w:r w:rsidRPr="00366C30">
        <w:rPr>
          <w:rFonts w:hint="cs"/>
          <w:rtl/>
        </w:rPr>
        <w:lastRenderedPageBreak/>
        <w:t>3ـ الجواز مطلقاً؛ وهو قول جمهور أهل السنّة بأجمعهم</w:t>
      </w:r>
      <w:r w:rsidRPr="00815C4C">
        <w:rPr>
          <w:rFonts w:cs="Taher"/>
          <w:vertAlign w:val="superscript"/>
          <w:rtl/>
        </w:rPr>
        <w:t>(</w:t>
      </w:r>
      <w:r w:rsidRPr="00815C4C">
        <w:rPr>
          <w:rFonts w:cs="Taher"/>
          <w:vertAlign w:val="superscript"/>
          <w:rtl/>
        </w:rPr>
        <w:footnoteReference w:id="421"/>
      </w:r>
      <w:r w:rsidRPr="00815C4C">
        <w:rPr>
          <w:rFonts w:cs="Taher"/>
          <w:vertAlign w:val="superscript"/>
          <w:rtl/>
        </w:rPr>
        <w:t>)</w:t>
      </w:r>
      <w:r w:rsidRPr="00366C30">
        <w:rPr>
          <w:rFonts w:hint="cs"/>
          <w:rtl/>
        </w:rPr>
        <w:t xml:space="preserve">. كما قال ابن قدامة الحنبلي: </w:t>
      </w:r>
      <w:r w:rsidRPr="006A4ECD">
        <w:rPr>
          <w:rFonts w:cs="Abz-2 (Badr)" w:hint="cs"/>
          <w:rtl/>
        </w:rPr>
        <w:t>&lt;</w:t>
      </w:r>
      <w:r w:rsidRPr="00366C30">
        <w:rPr>
          <w:rFonts w:hint="cs"/>
          <w:rtl/>
        </w:rPr>
        <w:t>ليس بين أهل العلم بحمد الله اختلاف في حلّ حرائر نساء أهل الكتاب، وممّن روي عنه عمر وعثمان وطلحة وحذيفة وسلمان وجابر وغيرهم. قال ابن المنذر: ولا يصحّ عن أحد من الأوائل أنّه حرّم ذلك. وروى الخلال باسناده أنّ حذيفة وطلحة والجارود بن المعلى وأذينة العبدي تزوَّجوا نساءً من أهل الكتاب. وبه قال سائر أهل العلم، وحرّمته الإماميّة</w:t>
      </w:r>
      <w:r w:rsidRPr="006A4ECD">
        <w:rPr>
          <w:rFonts w:cs="Abz-2 (Badr)" w:hint="cs"/>
          <w:rtl/>
        </w:rPr>
        <w:t>&gt;</w:t>
      </w:r>
      <w:r w:rsidRPr="00815C4C">
        <w:rPr>
          <w:rFonts w:cs="Taher"/>
          <w:vertAlign w:val="superscript"/>
          <w:rtl/>
        </w:rPr>
        <w:t>(</w:t>
      </w:r>
      <w:r w:rsidRPr="00815C4C">
        <w:rPr>
          <w:rFonts w:cs="Taher"/>
          <w:vertAlign w:val="superscript"/>
          <w:rtl/>
        </w:rPr>
        <w:footnoteReference w:id="422"/>
      </w:r>
      <w:r w:rsidRPr="00815C4C">
        <w:rPr>
          <w:rFonts w:cs="Taher"/>
          <w:vertAlign w:val="superscript"/>
          <w:rtl/>
        </w:rPr>
        <w:t>)</w:t>
      </w:r>
      <w:r>
        <w:rPr>
          <w:rFonts w:hint="cs"/>
          <w:rtl/>
        </w:rPr>
        <w:t xml:space="preserve">، </w:t>
      </w:r>
      <w:r w:rsidRPr="00366C30">
        <w:rPr>
          <w:rFonts w:hint="cs"/>
          <w:rtl/>
        </w:rPr>
        <w:t xml:space="preserve">ومن هذا ظهر انفراد الإماميّة بالمنع. كما صرّح بذلك المرتضى؛ حيث قال: </w:t>
      </w:r>
      <w:r w:rsidRPr="006A4ECD">
        <w:rPr>
          <w:rFonts w:cs="Abz-2 (Badr)" w:hint="cs"/>
          <w:rtl/>
        </w:rPr>
        <w:t>&lt;</w:t>
      </w:r>
      <w:r w:rsidRPr="00366C30">
        <w:rPr>
          <w:rFonts w:hint="cs"/>
          <w:rtl/>
        </w:rPr>
        <w:t>وممّا انفردت به الإماميّة حظر نكاح الكتابيّات، وباقي الفقهاء يجيزون ذلك</w:t>
      </w:r>
      <w:r w:rsidRPr="006A4ECD">
        <w:rPr>
          <w:rFonts w:cs="Abz-2 (Badr)" w:hint="cs"/>
          <w:rtl/>
        </w:rPr>
        <w:t>&gt;</w:t>
      </w:r>
      <w:r w:rsidRPr="00815C4C">
        <w:rPr>
          <w:rFonts w:cs="Taher"/>
          <w:vertAlign w:val="superscript"/>
          <w:rtl/>
        </w:rPr>
        <w:t>(</w:t>
      </w:r>
      <w:r w:rsidRPr="00815C4C">
        <w:rPr>
          <w:rFonts w:cs="Taher"/>
          <w:vertAlign w:val="superscript"/>
          <w:rtl/>
        </w:rPr>
        <w:footnoteReference w:id="423"/>
      </w:r>
      <w:r w:rsidRPr="00815C4C">
        <w:rPr>
          <w:rFonts w:cs="Taher"/>
          <w:vertAlign w:val="superscript"/>
          <w:rtl/>
        </w:rPr>
        <w:t>)</w:t>
      </w:r>
      <w:r w:rsidRPr="00366C30">
        <w:rPr>
          <w:rFonts w:hint="cs"/>
          <w:rtl/>
        </w:rPr>
        <w:t>. وممّن أجازه مطلقاً من الإماميّة ابن أبي عقيل</w:t>
      </w:r>
      <w:r w:rsidRPr="00815C4C">
        <w:rPr>
          <w:rFonts w:cs="Taher"/>
          <w:vertAlign w:val="superscript"/>
          <w:rtl/>
        </w:rPr>
        <w:t>(</w:t>
      </w:r>
      <w:r w:rsidRPr="00815C4C">
        <w:rPr>
          <w:rFonts w:cs="Taher"/>
          <w:vertAlign w:val="superscript"/>
          <w:rtl/>
        </w:rPr>
        <w:footnoteReference w:id="424"/>
      </w:r>
      <w:r w:rsidRPr="00815C4C">
        <w:rPr>
          <w:rFonts w:cs="Taher"/>
          <w:vertAlign w:val="superscript"/>
          <w:rtl/>
        </w:rPr>
        <w:t>)</w:t>
      </w:r>
      <w:r w:rsidRPr="00366C30">
        <w:rPr>
          <w:rFonts w:hint="cs"/>
          <w:rtl/>
        </w:rPr>
        <w:t xml:space="preserve"> وابن بابويه</w:t>
      </w:r>
      <w:r w:rsidRPr="00815C4C">
        <w:rPr>
          <w:rFonts w:cs="Taher"/>
          <w:vertAlign w:val="superscript"/>
          <w:rtl/>
        </w:rPr>
        <w:t>(</w:t>
      </w:r>
      <w:r w:rsidRPr="00815C4C">
        <w:rPr>
          <w:rFonts w:cs="Taher"/>
          <w:vertAlign w:val="superscript"/>
          <w:rtl/>
        </w:rPr>
        <w:footnoteReference w:id="425"/>
      </w:r>
      <w:r w:rsidRPr="00815C4C">
        <w:rPr>
          <w:rFonts w:cs="Taher"/>
          <w:vertAlign w:val="superscript"/>
          <w:rtl/>
        </w:rPr>
        <w:t>)</w:t>
      </w:r>
      <w:r w:rsidRPr="00366C30">
        <w:rPr>
          <w:rFonts w:hint="cs"/>
          <w:rtl/>
        </w:rPr>
        <w:t xml:space="preserve"> والشهيد الثاني</w:t>
      </w:r>
      <w:r w:rsidRPr="00815C4C">
        <w:rPr>
          <w:rFonts w:cs="Taher"/>
          <w:vertAlign w:val="superscript"/>
          <w:rtl/>
        </w:rPr>
        <w:t>(</w:t>
      </w:r>
      <w:r w:rsidRPr="00815C4C">
        <w:rPr>
          <w:rFonts w:cs="Taher"/>
          <w:vertAlign w:val="superscript"/>
          <w:rtl/>
        </w:rPr>
        <w:footnoteReference w:id="426"/>
      </w:r>
      <w:r w:rsidRPr="00815C4C">
        <w:rPr>
          <w:rFonts w:cs="Taher"/>
          <w:vertAlign w:val="superscript"/>
          <w:rtl/>
        </w:rPr>
        <w:t>)</w:t>
      </w:r>
      <w:r w:rsidRPr="00366C30">
        <w:rPr>
          <w:rFonts w:hint="cs"/>
          <w:rtl/>
        </w:rPr>
        <w:t xml:space="preserve"> والفيض الكاشاني</w:t>
      </w:r>
      <w:r w:rsidRPr="00815C4C">
        <w:rPr>
          <w:rFonts w:cs="Taher"/>
          <w:vertAlign w:val="superscript"/>
          <w:rtl/>
        </w:rPr>
        <w:t>(</w:t>
      </w:r>
      <w:r w:rsidRPr="00815C4C">
        <w:rPr>
          <w:rFonts w:cs="Taher"/>
          <w:vertAlign w:val="superscript"/>
          <w:rtl/>
        </w:rPr>
        <w:footnoteReference w:id="427"/>
      </w:r>
      <w:r w:rsidRPr="00815C4C">
        <w:rPr>
          <w:rFonts w:cs="Taher"/>
          <w:vertAlign w:val="superscript"/>
          <w:rtl/>
        </w:rPr>
        <w:t>)</w:t>
      </w:r>
      <w:r w:rsidRPr="00366C30">
        <w:rPr>
          <w:rFonts w:hint="cs"/>
          <w:rtl/>
        </w:rPr>
        <w:t xml:space="preserve"> وصاحب الجواهر</w:t>
      </w:r>
      <w:r w:rsidRPr="00815C4C">
        <w:rPr>
          <w:rFonts w:cs="Taher"/>
          <w:vertAlign w:val="superscript"/>
          <w:rtl/>
        </w:rPr>
        <w:t>(</w:t>
      </w:r>
      <w:r w:rsidRPr="00815C4C">
        <w:rPr>
          <w:rFonts w:cs="Taher"/>
          <w:vertAlign w:val="superscript"/>
          <w:rtl/>
        </w:rPr>
        <w:footnoteReference w:id="428"/>
      </w:r>
      <w:r w:rsidRPr="00815C4C">
        <w:rPr>
          <w:rFonts w:cs="Taher"/>
          <w:vertAlign w:val="superscript"/>
          <w:rtl/>
        </w:rPr>
        <w:t>)</w:t>
      </w:r>
      <w:r w:rsidRPr="00366C30">
        <w:rPr>
          <w:rFonts w:hint="cs"/>
          <w:rtl/>
        </w:rPr>
        <w:t xml:space="preserve"> والمحقّق الخوئيّ مع الاحتياط</w:t>
      </w:r>
      <w:r w:rsidRPr="00815C4C">
        <w:rPr>
          <w:rFonts w:cs="Taher"/>
          <w:vertAlign w:val="superscript"/>
          <w:rtl/>
        </w:rPr>
        <w:t>(</w:t>
      </w:r>
      <w:r w:rsidRPr="00815C4C">
        <w:rPr>
          <w:rFonts w:cs="Taher"/>
          <w:vertAlign w:val="superscript"/>
          <w:rtl/>
        </w:rPr>
        <w:footnoteReference w:id="429"/>
      </w:r>
      <w:r w:rsidRPr="00815C4C">
        <w:rPr>
          <w:rFonts w:cs="Taher"/>
          <w:vertAlign w:val="superscript"/>
          <w:rtl/>
        </w:rPr>
        <w:t>)</w:t>
      </w:r>
      <w:r w:rsidRPr="00366C30">
        <w:rPr>
          <w:rFonts w:hint="cs"/>
          <w:rtl/>
        </w:rPr>
        <w:t xml:space="preserve"> ومثله المحقق ال</w:t>
      </w:r>
      <w:r>
        <w:rPr>
          <w:rFonts w:hint="cs"/>
          <w:rtl/>
        </w:rPr>
        <w:t>إ</w:t>
      </w:r>
      <w:r w:rsidRPr="00366C30">
        <w:rPr>
          <w:rFonts w:hint="cs"/>
          <w:rtl/>
        </w:rPr>
        <w:t>صفهاني</w:t>
      </w:r>
      <w:r w:rsidRPr="00815C4C">
        <w:rPr>
          <w:rFonts w:cs="Taher"/>
          <w:vertAlign w:val="superscript"/>
          <w:rtl/>
        </w:rPr>
        <w:t>(</w:t>
      </w:r>
      <w:r w:rsidRPr="00815C4C">
        <w:rPr>
          <w:rFonts w:cs="Taher"/>
          <w:vertAlign w:val="superscript"/>
          <w:rtl/>
        </w:rPr>
        <w:footnoteReference w:id="430"/>
      </w:r>
      <w:r w:rsidRPr="00815C4C">
        <w:rPr>
          <w:rFonts w:cs="Taher"/>
          <w:vertAlign w:val="superscript"/>
          <w:rtl/>
        </w:rPr>
        <w:t>)</w:t>
      </w:r>
      <w:r w:rsidRPr="00366C30">
        <w:rPr>
          <w:rFonts w:hint="cs"/>
          <w:rtl/>
        </w:rPr>
        <w:t>.</w:t>
      </w:r>
    </w:p>
    <w:p w:rsidR="00F04A58" w:rsidRPr="00366C30" w:rsidRDefault="00F04A58" w:rsidP="00E24C1D">
      <w:pPr>
        <w:pStyle w:val="afffffc"/>
        <w:rPr>
          <w:rtl/>
        </w:rPr>
      </w:pPr>
    </w:p>
    <w:p w:rsidR="00F04A58" w:rsidRDefault="00F04A58" w:rsidP="00F04A58">
      <w:pPr>
        <w:pStyle w:val="1"/>
        <w:rPr>
          <w:rtl/>
        </w:rPr>
      </w:pPr>
      <w:bookmarkStart w:id="289" w:name="_Toc275128011"/>
      <w:r>
        <w:rPr>
          <w:rFonts w:hint="cs"/>
          <w:rtl/>
        </w:rPr>
        <w:t>موقف القانون المدنيّ في البلاد الإسلاميّة</w:t>
      </w:r>
      <w:bookmarkEnd w:id="289"/>
    </w:p>
    <w:p w:rsidR="00F04A58" w:rsidRPr="00366C30" w:rsidRDefault="00F04A58" w:rsidP="00F04A58">
      <w:pPr>
        <w:pStyle w:val="ac"/>
        <w:rPr>
          <w:rtl/>
        </w:rPr>
      </w:pPr>
      <w:r w:rsidRPr="00366C30">
        <w:rPr>
          <w:rFonts w:hint="cs"/>
          <w:b/>
          <w:bCs/>
          <w:rtl/>
        </w:rPr>
        <w:t>إيران:</w:t>
      </w:r>
      <w:r w:rsidRPr="00366C30">
        <w:rPr>
          <w:rFonts w:hint="cs"/>
          <w:rtl/>
        </w:rPr>
        <w:t xml:space="preserve"> يمنع القانون المدنيّ الإيراني نكاح المسلمة بغير المسلم (المادّة 1059) ويسكت عمّا نحن فيه من نكاح المسلم بغير المسلمة من كتابيّة أو من غيرها. فهل يمكن حمل سكوته على التجويز؟ قال بعض المحققين: نعم، إلا أنّ المسكوت عنه من القانون </w:t>
      </w:r>
      <w:r w:rsidRPr="00366C30">
        <w:rPr>
          <w:rFonts w:hint="cs"/>
          <w:rtl/>
        </w:rPr>
        <w:lastRenderedPageBreak/>
        <w:t>يدور مع المشهور من فتاو</w:t>
      </w:r>
      <w:r>
        <w:rPr>
          <w:rFonts w:hint="cs"/>
          <w:rtl/>
        </w:rPr>
        <w:t>ى</w:t>
      </w:r>
      <w:r w:rsidRPr="00366C30">
        <w:rPr>
          <w:rFonts w:hint="cs"/>
          <w:rtl/>
        </w:rPr>
        <w:t xml:space="preserve"> الفقهاء</w:t>
      </w:r>
      <w:r w:rsidRPr="00815C4C">
        <w:rPr>
          <w:rFonts w:cs="Taher"/>
          <w:vertAlign w:val="superscript"/>
          <w:rtl/>
        </w:rPr>
        <w:t>(</w:t>
      </w:r>
      <w:r w:rsidRPr="00815C4C">
        <w:rPr>
          <w:rFonts w:cs="Taher"/>
          <w:vertAlign w:val="superscript"/>
          <w:rtl/>
        </w:rPr>
        <w:footnoteReference w:id="431"/>
      </w:r>
      <w:r w:rsidRPr="00815C4C">
        <w:rPr>
          <w:rFonts w:cs="Taher"/>
          <w:vertAlign w:val="superscript"/>
          <w:rtl/>
        </w:rPr>
        <w:t>)</w:t>
      </w:r>
      <w:r w:rsidRPr="00366C30">
        <w:rPr>
          <w:rFonts w:hint="cs"/>
          <w:rtl/>
        </w:rPr>
        <w:t>، والمشهور هو التفصيل كما علمت.</w:t>
      </w:r>
    </w:p>
    <w:p w:rsidR="00F04A58" w:rsidRPr="00366C30" w:rsidRDefault="00F04A58" w:rsidP="00E24C1D">
      <w:pPr>
        <w:pStyle w:val="ac"/>
        <w:spacing w:line="202" w:lineRule="auto"/>
        <w:rPr>
          <w:rtl/>
        </w:rPr>
      </w:pPr>
      <w:r w:rsidRPr="00366C30">
        <w:rPr>
          <w:rFonts w:hint="cs"/>
          <w:rtl/>
        </w:rPr>
        <w:t>وأمّا المادّتان 1060 و 1061 فهما أجنبيتان عمّا نحن فيه؛ لأنّهما تعلّقا</w:t>
      </w:r>
      <w:r>
        <w:rPr>
          <w:rFonts w:hint="cs"/>
          <w:rtl/>
        </w:rPr>
        <w:t>ن</w:t>
      </w:r>
      <w:r w:rsidRPr="00366C30">
        <w:rPr>
          <w:rFonts w:hint="cs"/>
          <w:rtl/>
        </w:rPr>
        <w:t xml:space="preserve"> نكاح الإيرانيّة بالأجنبي ـ وإن كان مسلماً ـ ونكاح عمّال الدولة بالأجنبيّة وإن كانت مسلمةً على الإذن الدوليّ. واللائح من سياقهما أنّ المقنّن يطلب بهما مصالح الدولة السياسيّة. وهذا خارج عمّا نحن بصدده من البحث الفقهي.</w:t>
      </w:r>
    </w:p>
    <w:p w:rsidR="00F04A58" w:rsidRPr="00366C30" w:rsidRDefault="00F04A58" w:rsidP="00E24C1D">
      <w:pPr>
        <w:pStyle w:val="ac"/>
        <w:spacing w:line="202" w:lineRule="auto"/>
        <w:rPr>
          <w:rtl/>
        </w:rPr>
      </w:pPr>
      <w:r w:rsidRPr="00366C30">
        <w:rPr>
          <w:rFonts w:hint="cs"/>
          <w:b/>
          <w:bCs/>
          <w:rtl/>
        </w:rPr>
        <w:t>سوريا:</w:t>
      </w:r>
      <w:r w:rsidRPr="00366C30">
        <w:rPr>
          <w:rFonts w:hint="cs"/>
          <w:rtl/>
        </w:rPr>
        <w:t xml:space="preserve"> ينصّ قانون الأحوال الشخصيّة السوري بأنّ </w:t>
      </w:r>
      <w:r w:rsidRPr="006A4ECD">
        <w:rPr>
          <w:rFonts w:cs="Abz-2 (Badr)" w:hint="cs"/>
          <w:rtl/>
        </w:rPr>
        <w:t>&lt;</w:t>
      </w:r>
      <w:r w:rsidRPr="00366C30">
        <w:rPr>
          <w:rFonts w:hint="cs"/>
          <w:rtl/>
        </w:rPr>
        <w:t>زواج المسلمة بغير المسلم باطل</w:t>
      </w:r>
      <w:r w:rsidRPr="006A4ECD">
        <w:rPr>
          <w:rFonts w:cs="Abz-2 (Badr)" w:hint="cs"/>
          <w:rtl/>
        </w:rPr>
        <w:t>&gt;</w:t>
      </w:r>
      <w:r w:rsidRPr="00366C30">
        <w:rPr>
          <w:rFonts w:hint="cs"/>
          <w:rtl/>
        </w:rPr>
        <w:t xml:space="preserve"> (المادّة 48، الفقرة الثانية) بمعنى أنّه لا ينعقد أصلاً؛ فلا يترتّب عليه أثر من آثار الزواج الصحيح ولا ينشأ عنه التزام من قبل أحد الطرفين نحو الآخر، بل يعتبره الشارع كأنّه غير موجود سواء كان قبل الدخول أم بعده</w:t>
      </w:r>
      <w:r w:rsidRPr="00815C4C">
        <w:rPr>
          <w:rFonts w:cs="Taher"/>
          <w:vertAlign w:val="superscript"/>
          <w:rtl/>
        </w:rPr>
        <w:t>(</w:t>
      </w:r>
      <w:r w:rsidRPr="00815C4C">
        <w:rPr>
          <w:rFonts w:cs="Taher"/>
          <w:vertAlign w:val="superscript"/>
          <w:rtl/>
        </w:rPr>
        <w:footnoteReference w:id="432"/>
      </w:r>
      <w:r w:rsidRPr="00815C4C">
        <w:rPr>
          <w:rFonts w:cs="Taher"/>
          <w:vertAlign w:val="superscript"/>
          <w:rtl/>
        </w:rPr>
        <w:t>)</w:t>
      </w:r>
      <w:r w:rsidRPr="00366C30">
        <w:rPr>
          <w:rFonts w:hint="cs"/>
          <w:rtl/>
        </w:rPr>
        <w:t>. ولا يخفى أنّه ساكت أيضاً عن نكاح المسلم بغير المسلمة. فهل يمكن حمل سكوته على التجويز مطلقاً؟ أمّا في غير الكتابيّة فلا يمكن ذلك، لأنّه إجماعيّ الأمّة كما علمت. وأمّا في الكتابيّة فيمكن مطلقاً، لأنّ جوازه مفروغٌ عنه عندهم خلافاً للقانون الإيراني.</w:t>
      </w:r>
    </w:p>
    <w:p w:rsidR="00F04A58" w:rsidRPr="00366C30" w:rsidRDefault="00F04A58" w:rsidP="00E24C1D">
      <w:pPr>
        <w:pStyle w:val="ac"/>
        <w:spacing w:line="202" w:lineRule="auto"/>
        <w:rPr>
          <w:rtl/>
        </w:rPr>
      </w:pPr>
      <w:r w:rsidRPr="00366C30">
        <w:rPr>
          <w:rFonts w:hint="cs"/>
          <w:b/>
          <w:bCs/>
          <w:rtl/>
        </w:rPr>
        <w:t>العراق:</w:t>
      </w:r>
      <w:r w:rsidRPr="00366C30">
        <w:rPr>
          <w:rFonts w:hint="cs"/>
          <w:rtl/>
        </w:rPr>
        <w:t xml:space="preserve"> ينصّ قانون الأحوال الشخصيّة العراقيّ رقم 188 لسنة 1959م في مادّته السّابعة عشرة: </w:t>
      </w:r>
      <w:r w:rsidRPr="006A4ECD">
        <w:rPr>
          <w:rFonts w:cs="Abz-2 (Badr)" w:hint="cs"/>
          <w:rtl/>
        </w:rPr>
        <w:t>&lt;</w:t>
      </w:r>
      <w:r w:rsidRPr="00366C30">
        <w:rPr>
          <w:rFonts w:hint="cs"/>
          <w:rtl/>
        </w:rPr>
        <w:t>يصحّ للمسلم ان يتزوّج كتابيّةً</w:t>
      </w:r>
      <w:r w:rsidRPr="006A4ECD">
        <w:rPr>
          <w:rFonts w:cs="Abz-2 (Badr)" w:hint="cs"/>
          <w:rtl/>
        </w:rPr>
        <w:t>&gt;</w:t>
      </w:r>
      <w:r w:rsidRPr="00366C30">
        <w:rPr>
          <w:rFonts w:hint="cs"/>
          <w:rtl/>
        </w:rPr>
        <w:t>. وهذا صريح في موضوعنا، وقد اشترط القانون العراقي تسجيل عقد الزواج في المحكمة المختصّة، وهي هنا المحكمة الشرعيّة؛ لأنّ الزوج مسلمٌ وعلى هذا يجري العمل في المحاكم الشرعيّة في العراق</w:t>
      </w:r>
      <w:r w:rsidRPr="00815C4C">
        <w:rPr>
          <w:rFonts w:cs="Taher"/>
          <w:vertAlign w:val="superscript"/>
          <w:rtl/>
        </w:rPr>
        <w:t>(</w:t>
      </w:r>
      <w:r w:rsidRPr="00815C4C">
        <w:rPr>
          <w:rFonts w:cs="Taher"/>
          <w:vertAlign w:val="superscript"/>
          <w:rtl/>
        </w:rPr>
        <w:footnoteReference w:id="433"/>
      </w:r>
      <w:r w:rsidRPr="00815C4C">
        <w:rPr>
          <w:rFonts w:cs="Taher"/>
          <w:vertAlign w:val="superscript"/>
          <w:rtl/>
        </w:rPr>
        <w:t>)</w:t>
      </w:r>
      <w:r w:rsidRPr="00366C30">
        <w:rPr>
          <w:rFonts w:hint="cs"/>
          <w:rtl/>
        </w:rPr>
        <w:t>.</w:t>
      </w:r>
    </w:p>
    <w:p w:rsidR="00F04A58" w:rsidRPr="00366C30" w:rsidRDefault="00F04A58" w:rsidP="00E24C1D">
      <w:pPr>
        <w:pStyle w:val="ac"/>
        <w:spacing w:line="202" w:lineRule="auto"/>
        <w:rPr>
          <w:rtl/>
        </w:rPr>
      </w:pPr>
      <w:r w:rsidRPr="00366C30">
        <w:rPr>
          <w:rFonts w:hint="cs"/>
          <w:b/>
          <w:bCs/>
          <w:rtl/>
        </w:rPr>
        <w:t>مصر:</w:t>
      </w:r>
      <w:r w:rsidRPr="00366C30">
        <w:rPr>
          <w:rFonts w:hint="cs"/>
          <w:rtl/>
        </w:rPr>
        <w:t xml:space="preserve"> لم يضع مشروع قانون الأحوال الشخصيّة المصريّ أحكاماً لزواج غير المسلمين أو زواج الكتابيّات إلا ما وضعه تحت باب الفسخ لاختلاف الدّين، وهو موضوع المواد من 149 إلى 151 ينصّ فيها: يصحّ زواج المسلم بالكتابيّة، نصرانّيةً كانت أو يهوديّة، ذميّة أو غير ذميّة، وإن كره الزواج بغير الذمّيّات. يصحّ زواج الكتابيّة على المسلمة والمسلمة على الكتابيّة وهما في القسم سيّان. لا تتزوّج المسلمة إلا مسلماً، </w:t>
      </w:r>
      <w:r w:rsidRPr="00366C30">
        <w:rPr>
          <w:rFonts w:hint="cs"/>
          <w:rtl/>
        </w:rPr>
        <w:lastRenderedPageBreak/>
        <w:t>فلا يجوز تزوّجها مشركاً ولا كتابيّاً يهودّياً أو نصرانيّاً ولا ينعقد النكاح أصلاً. والرّأي المفت</w:t>
      </w:r>
      <w:r>
        <w:rPr>
          <w:rFonts w:hint="cs"/>
          <w:rtl/>
        </w:rPr>
        <w:t>ى</w:t>
      </w:r>
      <w:r w:rsidRPr="00366C30">
        <w:rPr>
          <w:rFonts w:hint="cs"/>
          <w:rtl/>
        </w:rPr>
        <w:t xml:space="preserve"> به في مصر أنّه زواج باطل لا يثبت به نسب ولا توارث</w:t>
      </w:r>
      <w:r w:rsidRPr="00815C4C">
        <w:rPr>
          <w:rFonts w:cs="Taher"/>
          <w:vertAlign w:val="superscript"/>
          <w:rtl/>
        </w:rPr>
        <w:t>(</w:t>
      </w:r>
      <w:r w:rsidRPr="00815C4C">
        <w:rPr>
          <w:rFonts w:cs="Taher"/>
          <w:vertAlign w:val="superscript"/>
          <w:rtl/>
        </w:rPr>
        <w:footnoteReference w:id="434"/>
      </w:r>
      <w:r w:rsidRPr="00815C4C">
        <w:rPr>
          <w:rFonts w:cs="Taher"/>
          <w:vertAlign w:val="superscript"/>
          <w:rtl/>
        </w:rPr>
        <w:t>)</w:t>
      </w:r>
      <w:r w:rsidRPr="00366C30">
        <w:rPr>
          <w:rFonts w:hint="cs"/>
          <w:rtl/>
        </w:rPr>
        <w:t>.</w:t>
      </w:r>
    </w:p>
    <w:p w:rsidR="00F04A58" w:rsidRPr="00366C30" w:rsidRDefault="00F04A58" w:rsidP="00F04A58">
      <w:pPr>
        <w:pStyle w:val="ac"/>
        <w:rPr>
          <w:rFonts w:cs="AL-Mohanad"/>
          <w:sz w:val="29"/>
          <w:szCs w:val="27"/>
          <w:rtl/>
        </w:rPr>
      </w:pPr>
      <w:r w:rsidRPr="00061DFA">
        <w:rPr>
          <w:rFonts w:hint="cs"/>
          <w:b/>
          <w:bCs/>
          <w:rtl/>
        </w:rPr>
        <w:t>لبنان:</w:t>
      </w:r>
      <w:r w:rsidRPr="00F04A58">
        <w:rPr>
          <w:rFonts w:hint="cs"/>
          <w:rtl/>
        </w:rPr>
        <w:t xml:space="preserve"> لم ينصّ قانون حقوق العائلة إلا على نوع واحد من الزواج الباطل هو زواج المسلمة من غير المسلم (المادّة 8). أمّا زواج المسلم من غير المسلمة فجائز إذا كانت من أهل الكتاب</w:t>
      </w:r>
      <w:r w:rsidRPr="00815C4C">
        <w:rPr>
          <w:rFonts w:cs="Taher"/>
          <w:vertAlign w:val="superscript"/>
          <w:rtl/>
        </w:rPr>
        <w:t>(</w:t>
      </w:r>
      <w:r w:rsidRPr="00815C4C">
        <w:rPr>
          <w:rFonts w:cs="Taher"/>
          <w:vertAlign w:val="superscript"/>
          <w:rtl/>
        </w:rPr>
        <w:footnoteReference w:id="435"/>
      </w:r>
      <w:r w:rsidRPr="00815C4C">
        <w:rPr>
          <w:rFonts w:cs="Taher"/>
          <w:vertAlign w:val="superscript"/>
          <w:rtl/>
        </w:rPr>
        <w:t>)</w:t>
      </w:r>
      <w:r w:rsidRPr="00F04A58">
        <w:rPr>
          <w:rFonts w:hint="cs"/>
          <w:rtl/>
        </w:rPr>
        <w:t>. وممّا يلفت النظر أنّ المحاكم الشرعيّة الجعفرية في لبنان تزوّج المسلم من الكتابيّة دواماً وتسجّل</w:t>
      </w:r>
      <w:r w:rsidRPr="00366C30">
        <w:rPr>
          <w:rFonts w:cs="AL-Mohanad" w:hint="cs"/>
          <w:sz w:val="29"/>
          <w:szCs w:val="27"/>
          <w:rtl/>
        </w:rPr>
        <w:t xml:space="preserve"> الزواج وترتّب عليه جميع الآثار</w:t>
      </w:r>
      <w:r w:rsidRPr="00815C4C">
        <w:rPr>
          <w:rFonts w:cs="Taher"/>
          <w:vertAlign w:val="superscript"/>
          <w:rtl/>
        </w:rPr>
        <w:t>(</w:t>
      </w:r>
      <w:r w:rsidRPr="00815C4C">
        <w:rPr>
          <w:rFonts w:cs="Taher"/>
          <w:vertAlign w:val="superscript"/>
          <w:rtl/>
        </w:rPr>
        <w:footnoteReference w:id="436"/>
      </w:r>
      <w:r w:rsidRPr="00815C4C">
        <w:rPr>
          <w:rFonts w:cs="Taher"/>
          <w:vertAlign w:val="superscript"/>
          <w:rtl/>
        </w:rPr>
        <w:t>)</w:t>
      </w:r>
      <w:r w:rsidRPr="00366C30">
        <w:rPr>
          <w:rFonts w:cs="AL-Mohanad" w:hint="cs"/>
          <w:sz w:val="29"/>
          <w:szCs w:val="27"/>
          <w:rtl/>
        </w:rPr>
        <w:t>، وهذا خلاف المشهور.</w:t>
      </w:r>
    </w:p>
    <w:p w:rsidR="00F04A58" w:rsidRPr="00E24C1D" w:rsidRDefault="00F04A58" w:rsidP="00E24C1D">
      <w:pPr>
        <w:pStyle w:val="afffffc"/>
        <w:rPr>
          <w:sz w:val="18"/>
          <w:szCs w:val="16"/>
          <w:rtl/>
        </w:rPr>
      </w:pPr>
    </w:p>
    <w:p w:rsidR="00F04A58" w:rsidRPr="00005F48" w:rsidRDefault="00F04A58" w:rsidP="00061DFA">
      <w:pPr>
        <w:pStyle w:val="1"/>
        <w:rPr>
          <w:rtl/>
        </w:rPr>
      </w:pPr>
      <w:bookmarkStart w:id="290" w:name="_Toc275128012"/>
      <w:r>
        <w:rPr>
          <w:rFonts w:hint="cs"/>
          <w:rtl/>
        </w:rPr>
        <w:t>مسألة التزويج مع اختلاف الدِّين، دراسة ونقد</w:t>
      </w:r>
      <w:bookmarkEnd w:id="290"/>
    </w:p>
    <w:p w:rsidR="00F04A58" w:rsidRPr="00691DE6" w:rsidRDefault="00F04A58" w:rsidP="00E24C1D">
      <w:pPr>
        <w:pStyle w:val="2"/>
        <w:rPr>
          <w:rtl/>
        </w:rPr>
      </w:pPr>
      <w:bookmarkStart w:id="291" w:name="_Toc275128013"/>
      <w:r>
        <w:rPr>
          <w:rFonts w:hint="cs"/>
          <w:rtl/>
        </w:rPr>
        <w:t>1 ـ أدلّة نظرية الحظر المطلق للزواج من أهل الكتاب</w:t>
      </w:r>
      <w:bookmarkEnd w:id="291"/>
    </w:p>
    <w:p w:rsidR="00F04A58" w:rsidRPr="00366C30" w:rsidRDefault="00F04A58" w:rsidP="00061DFA">
      <w:pPr>
        <w:pStyle w:val="ac"/>
        <w:rPr>
          <w:rtl/>
        </w:rPr>
      </w:pPr>
      <w:r w:rsidRPr="00366C30">
        <w:rPr>
          <w:rFonts w:hint="cs"/>
          <w:rtl/>
        </w:rPr>
        <w:t>استدلوا للمنع بثلاثة: الكتاب والسنّة والإجماع، وانضمّ إليها أصالة المنع والاحتياط.</w:t>
      </w:r>
    </w:p>
    <w:p w:rsidR="00F04A58" w:rsidRPr="00366C30" w:rsidRDefault="00F04A58" w:rsidP="00061DFA">
      <w:pPr>
        <w:pStyle w:val="ac"/>
        <w:rPr>
          <w:rFonts w:cs="AL-Mohanad"/>
          <w:rtl/>
        </w:rPr>
      </w:pPr>
      <w:r w:rsidRPr="00061DFA">
        <w:rPr>
          <w:rFonts w:hint="cs"/>
          <w:rtl/>
        </w:rPr>
        <w:t xml:space="preserve">أ ـ أمّا دليل الكتاب، فمّما يستدلّ به منه قوله تعالى: </w:t>
      </w:r>
      <w:r w:rsidRPr="00D51EB8">
        <w:rPr>
          <w:rFonts w:cs="AL-Mohanad" w:hint="cs"/>
          <w:rtl/>
        </w:rPr>
        <w:sym w:font="Islamic Units 1" w:char="F03E"/>
      </w:r>
      <w:r w:rsidRPr="00061DFA">
        <w:rPr>
          <w:b/>
          <w:bCs/>
          <w:sz w:val="36"/>
          <w:rtl/>
        </w:rPr>
        <w:t>وَلاَ تَنكِحُواْ الْمُشْرِكَاتِ حَتَّى يُؤْمِنَّ وَلأَمَةٌ مُّؤْمِنَةٌ خَيْرٌ مِّن مُّشْرِكَةٍ وَلَوْ أَعْجَبَتْكُمْ وَلاَ تُنكِحُواْ الْمُشِرِكِينَ حَتَّى يُؤْمِنُواْ وَلَعَبْدٌ مُّؤْمِنٌ خَيْرٌ مِّن مُّشْرِكٍ وَلَوْ أَعْجَبَكُمْ أُوْلَـئِكَ يَدْعُونَ إلى النَّار</w:t>
      </w:r>
      <w:r w:rsidRPr="00D51EB8">
        <w:rPr>
          <w:rFonts w:cs="AL-Mohanad"/>
          <w:rtl/>
        </w:rPr>
        <w:sym w:font="Islamic Units 1" w:char="F03C"/>
      </w:r>
      <w:r w:rsidRPr="00366C30">
        <w:rPr>
          <w:rFonts w:cs="AL-Mohanad" w:hint="cs"/>
          <w:rtl/>
        </w:rPr>
        <w:t xml:space="preserve"> </w:t>
      </w:r>
      <w:r w:rsidRPr="00061DFA">
        <w:rPr>
          <w:rFonts w:hint="cs"/>
          <w:rtl/>
        </w:rPr>
        <w:t>(البقرة: 221)، وقوله تعالى:</w:t>
      </w:r>
      <w:r w:rsidRPr="00366C30">
        <w:rPr>
          <w:rFonts w:cs="AL-Mohanad" w:hint="cs"/>
          <w:rtl/>
        </w:rPr>
        <w:t xml:space="preserve"> </w:t>
      </w:r>
      <w:r w:rsidRPr="00D51EB8">
        <w:rPr>
          <w:rFonts w:cs="AL-Mohanad" w:hint="cs"/>
          <w:rtl/>
        </w:rPr>
        <w:sym w:font="Islamic Units 1" w:char="F03E"/>
      </w:r>
      <w:r w:rsidRPr="00061DFA">
        <w:rPr>
          <w:b/>
          <w:bCs/>
          <w:sz w:val="36"/>
          <w:rtl/>
        </w:rPr>
        <w:t>وَلا تُمْسِكُوا بِعِصَمِ الْكَوَافِرِ</w:t>
      </w:r>
      <w:r w:rsidRPr="00061DFA">
        <w:rPr>
          <w:rFonts w:cs="AL-Mohanad"/>
          <w:b/>
          <w:bCs/>
          <w:rtl/>
        </w:rPr>
        <w:sym w:font="Islamic Units 1" w:char="F03C"/>
      </w:r>
      <w:r w:rsidRPr="00366C30">
        <w:rPr>
          <w:rFonts w:cs="AL-Mohanad" w:hint="cs"/>
          <w:rtl/>
        </w:rPr>
        <w:t xml:space="preserve"> </w:t>
      </w:r>
      <w:r w:rsidRPr="00061DFA">
        <w:rPr>
          <w:rFonts w:hint="cs"/>
          <w:rtl/>
        </w:rPr>
        <w:t xml:space="preserve">(الممتحنة: 10)، وقوله تعالى: </w:t>
      </w:r>
      <w:r w:rsidRPr="00D51EB8">
        <w:rPr>
          <w:rFonts w:cs="AL-Mohanad" w:hint="cs"/>
          <w:rtl/>
        </w:rPr>
        <w:sym w:font="Islamic Units 1" w:char="F03E"/>
      </w:r>
      <w:r w:rsidRPr="00061DFA">
        <w:rPr>
          <w:b/>
          <w:bCs/>
          <w:sz w:val="36"/>
          <w:rtl/>
        </w:rPr>
        <w:t>وَمِنْ آيَاتِهِ أَنْ خَلَقَ لَكُم مِّنْ أَنفُسِكُمْ أَزْوَاجا</w:t>
      </w:r>
      <w:r w:rsidRPr="00061DFA">
        <w:rPr>
          <w:rFonts w:hint="cs"/>
          <w:b/>
          <w:bCs/>
          <w:sz w:val="36"/>
          <w:rtl/>
        </w:rPr>
        <w:t>ً</w:t>
      </w:r>
      <w:r w:rsidRPr="00061DFA">
        <w:rPr>
          <w:b/>
          <w:bCs/>
          <w:sz w:val="36"/>
          <w:rtl/>
        </w:rPr>
        <w:t xml:space="preserve"> لِّتَسْكُنُوا إِلَيْهَا وَجَعَلَ بَيْنَكُم مَّوَدَّةً وَرَحْمَةً</w:t>
      </w:r>
      <w:r w:rsidRPr="00D51EB8">
        <w:rPr>
          <w:rFonts w:cs="AL-Mohanad"/>
          <w:rtl/>
        </w:rPr>
        <w:sym w:font="Islamic Units 1" w:char="F03C"/>
      </w:r>
      <w:r w:rsidRPr="00366C30">
        <w:rPr>
          <w:rFonts w:cs="AL-Mohanad" w:hint="cs"/>
          <w:rtl/>
        </w:rPr>
        <w:t xml:space="preserve"> </w:t>
      </w:r>
      <w:r w:rsidRPr="00061DFA">
        <w:rPr>
          <w:rFonts w:hint="cs"/>
          <w:rtl/>
        </w:rPr>
        <w:t>(الروم: 11)، بضميمة قوله تعالى:</w:t>
      </w:r>
      <w:r w:rsidRPr="00366C30">
        <w:rPr>
          <w:rFonts w:cs="AL-Mohanad" w:hint="cs"/>
          <w:rtl/>
        </w:rPr>
        <w:t xml:space="preserve"> </w:t>
      </w:r>
      <w:r w:rsidRPr="00D51EB8">
        <w:rPr>
          <w:rFonts w:cs="AL-Mohanad" w:hint="cs"/>
          <w:rtl/>
        </w:rPr>
        <w:sym w:font="Islamic Units 1" w:char="F03E"/>
      </w:r>
      <w:r w:rsidRPr="00061DFA">
        <w:rPr>
          <w:b/>
          <w:bCs/>
          <w:sz w:val="36"/>
          <w:rtl/>
        </w:rPr>
        <w:t>لا تَجِدُ قَوْما</w:t>
      </w:r>
      <w:r w:rsidRPr="00061DFA">
        <w:rPr>
          <w:rFonts w:hint="cs"/>
          <w:b/>
          <w:bCs/>
          <w:sz w:val="36"/>
          <w:rtl/>
        </w:rPr>
        <w:t>ً</w:t>
      </w:r>
      <w:r w:rsidRPr="00061DFA">
        <w:rPr>
          <w:b/>
          <w:bCs/>
          <w:sz w:val="36"/>
          <w:rtl/>
        </w:rPr>
        <w:t xml:space="preserve"> يُؤْمِنُونَ بِالله وَالْيَوْمِ الْآخِرِ يُوَادُّونَ مَنْ حَادَّ الله وَرَسُولَهُ</w:t>
      </w:r>
      <w:r w:rsidRPr="00D51EB8">
        <w:rPr>
          <w:rFonts w:cs="AL-Mohanad"/>
          <w:rtl/>
        </w:rPr>
        <w:sym w:font="Islamic Units 1" w:char="F03C"/>
      </w:r>
      <w:r w:rsidRPr="00366C30">
        <w:rPr>
          <w:rFonts w:cs="AL-Mohanad" w:hint="cs"/>
          <w:rtl/>
        </w:rPr>
        <w:t xml:space="preserve"> (المجادلة: 22)، </w:t>
      </w:r>
      <w:r w:rsidRPr="00691551">
        <w:rPr>
          <w:rFonts w:hint="cs"/>
          <w:rtl/>
        </w:rPr>
        <w:t>وقوله تعالى:</w:t>
      </w:r>
      <w:r w:rsidRPr="00366C30">
        <w:rPr>
          <w:rFonts w:cs="AL-Mohanad" w:hint="cs"/>
          <w:rtl/>
        </w:rPr>
        <w:t xml:space="preserve"> </w:t>
      </w:r>
      <w:r w:rsidRPr="00D51EB8">
        <w:rPr>
          <w:rFonts w:cs="AL-Mohanad" w:hint="cs"/>
          <w:rtl/>
        </w:rPr>
        <w:sym w:font="Islamic Units 1" w:char="F03E"/>
      </w:r>
      <w:r w:rsidRPr="00691551">
        <w:rPr>
          <w:b/>
          <w:bCs/>
          <w:sz w:val="36"/>
          <w:rtl/>
        </w:rPr>
        <w:t>لا يَسْتَوِي أَصْحَابُ النَّارِ وَأَصْحَابُ الْجَنَّةِ</w:t>
      </w:r>
      <w:r w:rsidRPr="00D51EB8">
        <w:rPr>
          <w:rFonts w:cs="AL-Mohanad"/>
          <w:rtl/>
        </w:rPr>
        <w:sym w:font="Islamic Units 1" w:char="F03C"/>
      </w:r>
      <w:r w:rsidRPr="00366C30">
        <w:rPr>
          <w:rFonts w:cs="AL-Mohanad" w:hint="cs"/>
          <w:rtl/>
        </w:rPr>
        <w:t xml:space="preserve"> (الحشر: 20).</w:t>
      </w:r>
    </w:p>
    <w:p w:rsidR="00F04A58" w:rsidRPr="00366C30" w:rsidRDefault="00F04A58" w:rsidP="00E24C1D">
      <w:pPr>
        <w:pStyle w:val="ac"/>
        <w:spacing w:line="199" w:lineRule="auto"/>
        <w:rPr>
          <w:rtl/>
        </w:rPr>
      </w:pPr>
      <w:r w:rsidRPr="00366C30">
        <w:rPr>
          <w:rFonts w:hint="cs"/>
          <w:rtl/>
        </w:rPr>
        <w:t xml:space="preserve">وكيفية الاستدلال أنّه لا ريب في دلالة قوله تعالى: </w:t>
      </w:r>
      <w:r w:rsidRPr="00D51EB8">
        <w:rPr>
          <w:rFonts w:hint="cs"/>
          <w:rtl/>
        </w:rPr>
        <w:sym w:font="Islamic Units 1" w:char="F03E"/>
      </w:r>
      <w:r w:rsidRPr="00691551">
        <w:rPr>
          <w:b/>
          <w:bCs/>
          <w:rtl/>
        </w:rPr>
        <w:t>وَلاَ تَنكِحُواْ الْمُشْرِكَاتِ</w:t>
      </w:r>
      <w:r w:rsidRPr="00691551">
        <w:rPr>
          <w:rFonts w:hint="cs"/>
          <w:b/>
          <w:bCs/>
          <w:rtl/>
        </w:rPr>
        <w:t>...</w:t>
      </w:r>
      <w:r w:rsidRPr="00D51EB8">
        <w:rPr>
          <w:rtl/>
        </w:rPr>
        <w:sym w:font="Islamic Units 1" w:char="F03C"/>
      </w:r>
      <w:r w:rsidRPr="00366C30">
        <w:rPr>
          <w:rFonts w:hint="cs"/>
          <w:rtl/>
        </w:rPr>
        <w:t xml:space="preserve"> على منع النكاح مطلقاً؛ لأنّ تعليق النهي على الغاية التي هي الإيمان يدلّ على اشتراطه </w:t>
      </w:r>
      <w:r w:rsidRPr="00366C30">
        <w:rPr>
          <w:rFonts w:hint="cs"/>
          <w:rtl/>
        </w:rPr>
        <w:lastRenderedPageBreak/>
        <w:t xml:space="preserve">في النكاح، بل تعقيب النهي بقوله تعالى: </w:t>
      </w:r>
      <w:r w:rsidRPr="00D51EB8">
        <w:rPr>
          <w:rFonts w:hint="cs"/>
          <w:rtl/>
        </w:rPr>
        <w:sym w:font="Islamic Units 1" w:char="F03E"/>
      </w:r>
      <w:r w:rsidRPr="00691551">
        <w:rPr>
          <w:b/>
          <w:bCs/>
          <w:rtl/>
        </w:rPr>
        <w:t>أُوْلَـئِكَ يَدْعُونَ إلى النَّارِ</w:t>
      </w:r>
      <w:r w:rsidRPr="00D51EB8">
        <w:rPr>
          <w:rtl/>
        </w:rPr>
        <w:sym w:font="Islamic Units 1" w:char="F03C"/>
      </w:r>
      <w:r w:rsidRPr="00366C30">
        <w:rPr>
          <w:rFonts w:hint="cs"/>
          <w:rtl/>
        </w:rPr>
        <w:t xml:space="preserve"> يقتضي كونه علّة للمنع؛ فإنّ الزّوجين ربّما أخذ أحدهما من دين صاحبه فيدعو ذلك إلى دخول النّار، وهذا المعنى مط</w:t>
      </w:r>
      <w:r>
        <w:rPr>
          <w:rFonts w:hint="cs"/>
          <w:rtl/>
        </w:rPr>
        <w:t>ّ</w:t>
      </w:r>
      <w:r w:rsidRPr="00366C30">
        <w:rPr>
          <w:rFonts w:hint="cs"/>
          <w:rtl/>
        </w:rPr>
        <w:t xml:space="preserve">رد يجري في جميع أقسام الكفر، ولا اختصاص له بالشرك، كما أنّه قيل: إنّ اليهود والنصارى من المشركين أيضاً؛ لقول النصارى بالأقانيم الثلاثة، وقد قال الله تعالى: </w:t>
      </w:r>
      <w:r w:rsidRPr="00D51EB8">
        <w:rPr>
          <w:rFonts w:hint="cs"/>
          <w:rtl/>
        </w:rPr>
        <w:sym w:font="Islamic Units 1" w:char="F03E"/>
      </w:r>
      <w:r w:rsidRPr="00691551">
        <w:rPr>
          <w:b/>
          <w:bCs/>
          <w:rtl/>
        </w:rPr>
        <w:t>وَقَالَتِ الْيَهُودُ عُزَيْرٌ ابْنُ الله وَقَالَتْ النَّصَارَى الْمَسِيحُ ابْنُ الله</w:t>
      </w:r>
      <w:r w:rsidRPr="00D51EB8">
        <w:rPr>
          <w:rtl/>
        </w:rPr>
        <w:sym w:font="Islamic Units 1" w:char="F03C"/>
      </w:r>
      <w:r w:rsidRPr="00366C30">
        <w:rPr>
          <w:rFonts w:hint="cs"/>
          <w:rtl/>
        </w:rPr>
        <w:t xml:space="preserve"> (التوبة: 30)، وقال أيضاً: </w:t>
      </w:r>
      <w:r w:rsidRPr="00D51EB8">
        <w:rPr>
          <w:rFonts w:hint="cs"/>
          <w:rtl/>
        </w:rPr>
        <w:sym w:font="Islamic Units 1" w:char="F03E"/>
      </w:r>
      <w:r w:rsidRPr="00691551">
        <w:rPr>
          <w:b/>
          <w:bCs/>
          <w:rtl/>
        </w:rPr>
        <w:t>اتَّخَذُواْ أَحْبَارَهُمْ وَرُهْبَانَهُمْ أَرْبَابا</w:t>
      </w:r>
      <w:r w:rsidRPr="00691551">
        <w:rPr>
          <w:rFonts w:hint="cs"/>
          <w:b/>
          <w:bCs/>
          <w:rtl/>
        </w:rPr>
        <w:t>ً</w:t>
      </w:r>
      <w:r w:rsidRPr="00691551">
        <w:rPr>
          <w:b/>
          <w:bCs/>
          <w:rtl/>
        </w:rPr>
        <w:t xml:space="preserve"> مِّن دُونِ الله وَالْمَسِيحَ ابْنَ مَرْيَمَ وَمَا أُمِرُواْ إِلاَّ لِيَعْبُدُوا إِلَـها</w:t>
      </w:r>
      <w:r w:rsidRPr="00691551">
        <w:rPr>
          <w:rFonts w:hint="cs"/>
          <w:b/>
          <w:bCs/>
          <w:rtl/>
        </w:rPr>
        <w:t>ً</w:t>
      </w:r>
      <w:r w:rsidRPr="00691551">
        <w:rPr>
          <w:b/>
          <w:bCs/>
          <w:rtl/>
        </w:rPr>
        <w:t xml:space="preserve"> وَاحِدا</w:t>
      </w:r>
      <w:r w:rsidRPr="00691551">
        <w:rPr>
          <w:rFonts w:hint="cs"/>
          <w:b/>
          <w:bCs/>
          <w:rtl/>
        </w:rPr>
        <w:t>ً</w:t>
      </w:r>
      <w:r w:rsidRPr="00691551">
        <w:rPr>
          <w:b/>
          <w:bCs/>
          <w:rtl/>
        </w:rPr>
        <w:t xml:space="preserve"> لاَّ إِلَـهَ إِلاَّ هُوَ سُبْحَانَهُ عَمَّا يُشْرِكُونَ</w:t>
      </w:r>
      <w:r w:rsidRPr="00D51EB8">
        <w:rPr>
          <w:rtl/>
        </w:rPr>
        <w:sym w:font="Islamic Units 1" w:char="F03C"/>
      </w:r>
      <w:r w:rsidRPr="00366C30">
        <w:rPr>
          <w:rFonts w:hint="cs"/>
          <w:rtl/>
        </w:rPr>
        <w:t xml:space="preserve"> (التوبة: 31)، والإشراك كما يتحقّق بإثبات إله آخر مع الله سبحانه كذلك يتحقق بإثبات إله غيره، فتكون الآية حينئذ دالّة على المطلوب</w:t>
      </w:r>
      <w:r w:rsidRPr="00815C4C">
        <w:rPr>
          <w:rFonts w:cs="Taher"/>
          <w:vertAlign w:val="superscript"/>
          <w:rtl/>
        </w:rPr>
        <w:t>(</w:t>
      </w:r>
      <w:r w:rsidRPr="00815C4C">
        <w:rPr>
          <w:rFonts w:cs="Taher"/>
          <w:vertAlign w:val="superscript"/>
          <w:rtl/>
        </w:rPr>
        <w:footnoteReference w:id="437"/>
      </w:r>
      <w:r w:rsidRPr="00815C4C">
        <w:rPr>
          <w:rFonts w:cs="Taher"/>
          <w:vertAlign w:val="superscript"/>
          <w:rtl/>
        </w:rPr>
        <w:t>)</w:t>
      </w:r>
      <w:r w:rsidRPr="00366C30">
        <w:rPr>
          <w:rFonts w:hint="cs"/>
          <w:rtl/>
        </w:rPr>
        <w:t>.</w:t>
      </w:r>
    </w:p>
    <w:p w:rsidR="00F04A58" w:rsidRPr="00366C30" w:rsidRDefault="00F04A58" w:rsidP="00E24C1D">
      <w:pPr>
        <w:pStyle w:val="ac"/>
        <w:spacing w:line="202" w:lineRule="auto"/>
        <w:rPr>
          <w:rtl/>
        </w:rPr>
      </w:pPr>
      <w:r w:rsidRPr="00366C30">
        <w:rPr>
          <w:rFonts w:hint="cs"/>
          <w:rtl/>
        </w:rPr>
        <w:t xml:space="preserve">بل قوله تعالى: </w:t>
      </w:r>
      <w:r w:rsidRPr="00D51EB8">
        <w:rPr>
          <w:rFonts w:hint="cs"/>
          <w:rtl/>
        </w:rPr>
        <w:sym w:font="Islamic Units 1" w:char="F03E"/>
      </w:r>
      <w:r w:rsidRPr="00691551">
        <w:rPr>
          <w:b/>
          <w:bCs/>
          <w:rtl/>
        </w:rPr>
        <w:t>وَلا تُمْسِكُوا بِعِصَمِ الْكَوَافِر</w:t>
      </w:r>
      <w:r w:rsidRPr="00D51EB8">
        <w:rPr>
          <w:rtl/>
        </w:rPr>
        <w:sym w:font="Islamic Units 1" w:char="F03C"/>
      </w:r>
      <w:r w:rsidRPr="00366C30">
        <w:rPr>
          <w:rFonts w:hint="cs"/>
          <w:rtl/>
        </w:rPr>
        <w:t xml:space="preserve"> دالّ على المطلوب أيضاً؛ فإنّ العِصَم جمع عصمة، وهي ما يُعتصَم به من عقد أو ملك؛ لأنّ المرأة بالنكاح تُعصَم من غير زوجها، والكوافر جمع كافرة؛ فالمراد نهي المؤمنين عن المقام على نكاح الكافرات لانقطاع العصمة بين الطرفين بالإسلام، وقد روي </w:t>
      </w:r>
      <w:r w:rsidRPr="006A4ECD">
        <w:rPr>
          <w:rFonts w:cs="Abz-2 (Badr)" w:hint="cs"/>
          <w:rtl/>
        </w:rPr>
        <w:t>&lt;</w:t>
      </w:r>
      <w:r w:rsidRPr="00366C30">
        <w:rPr>
          <w:rFonts w:hint="cs"/>
          <w:rtl/>
        </w:rPr>
        <w:t>إنّها لمّا نزلت أطلق المسلمون نساءهم ا</w:t>
      </w:r>
      <w:r>
        <w:rPr>
          <w:rFonts w:hint="cs"/>
          <w:rtl/>
        </w:rPr>
        <w:t>ل</w:t>
      </w:r>
      <w:r w:rsidRPr="00366C30">
        <w:rPr>
          <w:rFonts w:hint="cs"/>
          <w:rtl/>
        </w:rPr>
        <w:t>ل</w:t>
      </w:r>
      <w:r>
        <w:rPr>
          <w:rFonts w:hint="cs"/>
          <w:rtl/>
        </w:rPr>
        <w:t>ا</w:t>
      </w:r>
      <w:r w:rsidRPr="00366C30">
        <w:rPr>
          <w:rFonts w:hint="cs"/>
          <w:rtl/>
        </w:rPr>
        <w:t>تي لم يهاجرن حتى تزوج بهنّ الكفار</w:t>
      </w:r>
      <w:r w:rsidRPr="006A4ECD">
        <w:rPr>
          <w:rFonts w:cs="Abz-2 (Badr)" w:hint="cs"/>
          <w:rtl/>
        </w:rPr>
        <w:t>&gt;</w:t>
      </w:r>
      <w:r w:rsidRPr="00366C30">
        <w:rPr>
          <w:rFonts w:hint="cs"/>
          <w:rtl/>
        </w:rPr>
        <w:t>. وفي مرسل عليّ بن إبراهيم عن أبي جعفر</w:t>
      </w:r>
      <w:r w:rsidR="005067D6">
        <w:rPr>
          <w:rFonts w:hint="cs"/>
          <w:sz w:val="27"/>
          <w:rtl/>
        </w:rPr>
        <w:t>×</w:t>
      </w:r>
      <w:r w:rsidRPr="00366C30">
        <w:rPr>
          <w:rFonts w:hint="cs"/>
          <w:rtl/>
        </w:rPr>
        <w:t xml:space="preserve"> في تفسيرها: </w:t>
      </w:r>
      <w:r w:rsidRPr="006A4ECD">
        <w:rPr>
          <w:rFonts w:cs="Abz-2 (Badr)" w:hint="cs"/>
          <w:rtl/>
        </w:rPr>
        <w:t>&lt;</w:t>
      </w:r>
      <w:r w:rsidRPr="00366C30">
        <w:rPr>
          <w:rFonts w:hint="cs"/>
          <w:rtl/>
        </w:rPr>
        <w:t>من كانت عنده امرأة كافرة على غير ملّة الإسلام ـ وهو على ملّة الإسلام ـ فليعرض عليها الإسلام، فإن قبلت فهي امرأته وإلاّ فهي بريئة منه؛ نهى الله أن يُمسك بعصمهم</w:t>
      </w:r>
      <w:r w:rsidRPr="006A4ECD">
        <w:rPr>
          <w:rFonts w:cs="Abz-2 (Badr)" w:hint="cs"/>
          <w:rtl/>
        </w:rPr>
        <w:t>&gt;</w:t>
      </w:r>
      <w:r w:rsidRPr="00366C30">
        <w:rPr>
          <w:rFonts w:hint="cs"/>
          <w:rtl/>
        </w:rPr>
        <w:t>. ومتى ثبت انقطاع العصمة الثابتة بالنكاح السابق لزم منه عدم تأثير النكاح اللاحق بل لعلّه أولى. بل يمكن إرادة الأعمّ من السابق واللاحق من الإمساك المنهيّ عنه فيها؛ فإنّ الاستدامة من لوازم التحصيل عادة والمنع من اللازم يقتضي المنع من الملزوم، وعلى كلّ حال فلا ريب في دلالتها على ذلك من غير اختصاص بالمشركات وإن نزلت فيهنّ على ما قيل؛ لأنّ العبرة بعموم اللفظ لا بخصوص السبب</w:t>
      </w:r>
      <w:r w:rsidRPr="00815C4C">
        <w:rPr>
          <w:rFonts w:cs="Taher"/>
          <w:vertAlign w:val="superscript"/>
          <w:rtl/>
        </w:rPr>
        <w:t>(</w:t>
      </w:r>
      <w:r w:rsidRPr="00815C4C">
        <w:rPr>
          <w:rFonts w:cs="Taher"/>
          <w:vertAlign w:val="superscript"/>
          <w:rtl/>
        </w:rPr>
        <w:footnoteReference w:id="438"/>
      </w:r>
      <w:r w:rsidRPr="00815C4C">
        <w:rPr>
          <w:rFonts w:cs="Taher"/>
          <w:vertAlign w:val="superscript"/>
          <w:rtl/>
        </w:rPr>
        <w:t>)</w:t>
      </w:r>
      <w:r w:rsidRPr="00366C30">
        <w:rPr>
          <w:rFonts w:hint="cs"/>
          <w:rtl/>
        </w:rPr>
        <w:t>.</w:t>
      </w:r>
    </w:p>
    <w:p w:rsidR="00F04A58" w:rsidRPr="00366C30" w:rsidRDefault="00F04A58" w:rsidP="00E24C1D">
      <w:pPr>
        <w:pStyle w:val="ac"/>
        <w:spacing w:line="202" w:lineRule="auto"/>
        <w:rPr>
          <w:rFonts w:cs="AL-Mohanad"/>
          <w:rtl/>
        </w:rPr>
      </w:pPr>
      <w:r w:rsidRPr="00691551">
        <w:rPr>
          <w:rFonts w:hint="cs"/>
          <w:rtl/>
        </w:rPr>
        <w:lastRenderedPageBreak/>
        <w:t>هذا إلى جانب قوله تعالى:</w:t>
      </w:r>
      <w:r w:rsidRPr="00366C30">
        <w:rPr>
          <w:rFonts w:cs="AL-Mohanad" w:hint="cs"/>
          <w:rtl/>
        </w:rPr>
        <w:t xml:space="preserve"> </w:t>
      </w:r>
      <w:r w:rsidRPr="00D51EB8">
        <w:rPr>
          <w:rFonts w:cs="AL-Mohanad" w:hint="cs"/>
          <w:rtl/>
        </w:rPr>
        <w:sym w:font="Islamic Units 1" w:char="F03E"/>
      </w:r>
      <w:r w:rsidRPr="00691551">
        <w:rPr>
          <w:b/>
          <w:bCs/>
          <w:rtl/>
        </w:rPr>
        <w:t>وَجَعَلَ بَيْنَكُم مَّوَدَّةً وَرَحْمَةً</w:t>
      </w:r>
      <w:r w:rsidRPr="00D51EB8">
        <w:rPr>
          <w:rFonts w:cs="AL-Mohanad"/>
          <w:rtl/>
        </w:rPr>
        <w:sym w:font="Islamic Units 1" w:char="F03C"/>
      </w:r>
      <w:r w:rsidRPr="00366C30">
        <w:rPr>
          <w:rFonts w:cs="AL-Mohanad" w:hint="cs"/>
          <w:rtl/>
        </w:rPr>
        <w:t xml:space="preserve"> مع </w:t>
      </w:r>
      <w:r w:rsidRPr="00D51EB8">
        <w:rPr>
          <w:rFonts w:cs="AL-Mohanad" w:hint="cs"/>
          <w:rtl/>
        </w:rPr>
        <w:sym w:font="Islamic Units 1" w:char="F03E"/>
      </w:r>
      <w:r w:rsidRPr="001338CB">
        <w:rPr>
          <w:b/>
          <w:bCs/>
          <w:sz w:val="36"/>
          <w:rtl/>
        </w:rPr>
        <w:t>لا تَجِدُ قَوْما</w:t>
      </w:r>
      <w:r w:rsidRPr="001338CB">
        <w:rPr>
          <w:rFonts w:hint="cs"/>
          <w:b/>
          <w:bCs/>
          <w:sz w:val="36"/>
          <w:rtl/>
        </w:rPr>
        <w:t>ً</w:t>
      </w:r>
      <w:r w:rsidRPr="001338CB">
        <w:rPr>
          <w:b/>
          <w:bCs/>
          <w:sz w:val="36"/>
          <w:rtl/>
        </w:rPr>
        <w:t xml:space="preserve"> يُؤْمِنُونَ بِالله وَالْيَوْمِ الْآخِرِ يُوَادُّونَ مَنْ حَادَّ الله وَرَسُولَهُ</w:t>
      </w:r>
      <w:r w:rsidRPr="00D51EB8">
        <w:rPr>
          <w:rFonts w:cs="AL-Mohanad"/>
          <w:rtl/>
        </w:rPr>
        <w:sym w:font="Islamic Units 1" w:char="F03C"/>
      </w:r>
      <w:r w:rsidRPr="001338CB">
        <w:rPr>
          <w:rFonts w:hint="cs"/>
          <w:rtl/>
        </w:rPr>
        <w:t xml:space="preserve">؛ فمن المعلوم أنّ المودّة الممدوحة في الآية الأولى لا تجتمع مع المودّة المنهيّ عنها في الآية الثانية؛ فكأنّ النكاح في مثل هذا يصبح مقدّمةً للحرام. بل إنّ قوله تعالى: </w:t>
      </w:r>
      <w:r w:rsidRPr="001338CB">
        <w:rPr>
          <w:rFonts w:hint="cs"/>
          <w:rtl/>
        </w:rPr>
        <w:sym w:font="Islamic Units 1" w:char="F03E"/>
      </w:r>
      <w:r w:rsidRPr="001338CB">
        <w:rPr>
          <w:b/>
          <w:bCs/>
          <w:sz w:val="36"/>
          <w:rtl/>
        </w:rPr>
        <w:t>لا يَسْتَوِي أَصْحَابُ النَّارِ وَأَصْحَابُ الْجَنَّةِ</w:t>
      </w:r>
      <w:r w:rsidRPr="001338CB">
        <w:rPr>
          <w:rtl/>
        </w:rPr>
        <w:sym w:font="Islamic Units 1" w:char="F03C"/>
      </w:r>
      <w:r w:rsidRPr="00366C30">
        <w:rPr>
          <w:rFonts w:cs="AL-Mohanad" w:hint="cs"/>
          <w:rtl/>
        </w:rPr>
        <w:t xml:space="preserve"> </w:t>
      </w:r>
      <w:r w:rsidRPr="001338CB">
        <w:rPr>
          <w:rFonts w:hint="cs"/>
          <w:rtl/>
        </w:rPr>
        <w:t>يبدو منه نفي التساوي في سائر الأحكام التي من جملتها المناكحة</w:t>
      </w:r>
      <w:r w:rsidRPr="00815C4C">
        <w:rPr>
          <w:rFonts w:cs="Taher"/>
          <w:vertAlign w:val="superscript"/>
          <w:rtl/>
        </w:rPr>
        <w:t>(</w:t>
      </w:r>
      <w:r w:rsidRPr="00815C4C">
        <w:rPr>
          <w:rFonts w:cs="Taher"/>
          <w:vertAlign w:val="superscript"/>
          <w:rtl/>
        </w:rPr>
        <w:footnoteReference w:id="439"/>
      </w:r>
      <w:r w:rsidRPr="00815C4C">
        <w:rPr>
          <w:rFonts w:cs="Taher"/>
          <w:vertAlign w:val="superscript"/>
          <w:rtl/>
        </w:rPr>
        <w:t>)</w:t>
      </w:r>
      <w:r w:rsidRPr="001338CB">
        <w:rPr>
          <w:rFonts w:hint="cs"/>
          <w:rtl/>
        </w:rPr>
        <w:t>.</w:t>
      </w:r>
    </w:p>
    <w:p w:rsidR="00F04A58" w:rsidRPr="001338CB" w:rsidRDefault="00F04A58" w:rsidP="00E24C1D">
      <w:pPr>
        <w:pStyle w:val="ac"/>
        <w:spacing w:line="202" w:lineRule="auto"/>
        <w:rPr>
          <w:rtl/>
        </w:rPr>
      </w:pPr>
      <w:r w:rsidRPr="001338CB">
        <w:rPr>
          <w:rFonts w:hint="cs"/>
          <w:rtl/>
        </w:rPr>
        <w:t>ولا ينبغي للمعارض أن يستدلّ بآية المائدة، أعني قوله تعالى:</w:t>
      </w:r>
      <w:r w:rsidRPr="00366C30">
        <w:rPr>
          <w:rFonts w:cs="AL-Mohanad" w:hint="cs"/>
          <w:rtl/>
        </w:rPr>
        <w:t xml:space="preserve"> </w:t>
      </w:r>
      <w:r w:rsidRPr="00D51EB8">
        <w:rPr>
          <w:rFonts w:cs="AL-Mohanad" w:hint="cs"/>
          <w:rtl/>
        </w:rPr>
        <w:sym w:font="Islamic Units 1" w:char="F03E"/>
      </w:r>
      <w:r w:rsidRPr="001338CB">
        <w:rPr>
          <w:b/>
          <w:bCs/>
          <w:rtl/>
        </w:rPr>
        <w:t xml:space="preserve">الْيَوْمَ أُحِلَّ لَكُمُ الطَّيِّبَاتُ </w:t>
      </w:r>
      <w:r w:rsidRPr="001338CB">
        <w:rPr>
          <w:rFonts w:hint="cs"/>
          <w:b/>
          <w:bCs/>
          <w:rtl/>
        </w:rPr>
        <w:t xml:space="preserve">ـ إلى قوله ـ </w:t>
      </w:r>
      <w:r w:rsidRPr="001338CB">
        <w:rPr>
          <w:b/>
          <w:bCs/>
          <w:rtl/>
        </w:rPr>
        <w:t>وَالْمُحْصَنَاتُ مِنَ الْمُؤْمِنَاتِ وَالْمُحْصَنَاتُ مِنَ الَّذِينَ أُوتُواْ الْكِتَابَ مِن قَبْلِكُمْ</w:t>
      </w:r>
      <w:r w:rsidRPr="00D51EB8">
        <w:rPr>
          <w:rFonts w:cs="AL-Mohanad"/>
          <w:rtl/>
        </w:rPr>
        <w:sym w:font="Islamic Units 1" w:char="F03C"/>
      </w:r>
      <w:r w:rsidRPr="00366C30">
        <w:rPr>
          <w:rFonts w:cs="AL-Mohanad" w:hint="cs"/>
          <w:rtl/>
        </w:rPr>
        <w:t xml:space="preserve"> </w:t>
      </w:r>
      <w:r w:rsidRPr="001338CB">
        <w:rPr>
          <w:rFonts w:hint="cs"/>
          <w:rtl/>
        </w:rPr>
        <w:t>(المائدة: 5)؛ لأنها منسوخة بآية البقرة أو آية الممتحنة. كما روي في الأحاديث، منها صحيح زرارة عن أبي جعفر</w:t>
      </w:r>
      <w:r w:rsidR="005067D6">
        <w:rPr>
          <w:rFonts w:hint="cs"/>
          <w:sz w:val="27"/>
          <w:rtl/>
        </w:rPr>
        <w:t>×</w:t>
      </w:r>
      <w:r w:rsidRPr="001338CB">
        <w:rPr>
          <w:rFonts w:hint="cs"/>
          <w:rtl/>
        </w:rPr>
        <w:t xml:space="preserve"> قال: سألته عن قول الله سبحانه:</w:t>
      </w:r>
      <w:r w:rsidRPr="00366C30">
        <w:rPr>
          <w:rFonts w:cs="AL-Mohanad" w:hint="cs"/>
          <w:rtl/>
        </w:rPr>
        <w:t xml:space="preserve"> </w:t>
      </w:r>
      <w:r w:rsidRPr="00D51EB8">
        <w:rPr>
          <w:rFonts w:cs="AL-Mohanad" w:hint="cs"/>
          <w:rtl/>
        </w:rPr>
        <w:sym w:font="Islamic Units 1" w:char="F03E"/>
      </w:r>
      <w:r w:rsidRPr="001338CB">
        <w:rPr>
          <w:b/>
          <w:bCs/>
          <w:rtl/>
        </w:rPr>
        <w:t>وَالْمُحْصَنَاتُ مِنَ الَّذِينَ أُوتُواْ الْكِتَابَ مِن قَبْلِكُمْ</w:t>
      </w:r>
      <w:r w:rsidRPr="00D51EB8">
        <w:rPr>
          <w:rFonts w:cs="AL-Mohanad"/>
          <w:rtl/>
        </w:rPr>
        <w:sym w:font="Islamic Units 1" w:char="F03C"/>
      </w:r>
      <w:r w:rsidRPr="00366C30">
        <w:rPr>
          <w:rFonts w:cs="AL-Mohanad" w:hint="cs"/>
          <w:rtl/>
        </w:rPr>
        <w:t xml:space="preserve"> </w:t>
      </w:r>
      <w:r w:rsidRPr="001338CB">
        <w:rPr>
          <w:rFonts w:hint="cs"/>
          <w:rtl/>
        </w:rPr>
        <w:t xml:space="preserve">فقال: هذه منسوخة بقوله: </w:t>
      </w:r>
      <w:r w:rsidRPr="001338CB">
        <w:rPr>
          <w:rFonts w:hint="cs"/>
          <w:rtl/>
        </w:rPr>
        <w:sym w:font="Islamic Units 1" w:char="F03E"/>
      </w:r>
      <w:r w:rsidRPr="001338CB">
        <w:rPr>
          <w:b/>
          <w:bCs/>
          <w:rtl/>
        </w:rPr>
        <w:t>وَلا تُمْسِكُوا بِعِصَمِ الْكَوَافِرِ</w:t>
      </w:r>
      <w:r w:rsidRPr="00D51EB8">
        <w:rPr>
          <w:rFonts w:cs="AL-Mohanad"/>
          <w:rtl/>
        </w:rPr>
        <w:sym w:font="Islamic Units 1" w:char="F03C"/>
      </w:r>
      <w:r w:rsidRPr="00815C4C">
        <w:rPr>
          <w:rFonts w:cs="Taher"/>
          <w:vertAlign w:val="superscript"/>
          <w:rtl/>
        </w:rPr>
        <w:t>(</w:t>
      </w:r>
      <w:r w:rsidRPr="00815C4C">
        <w:rPr>
          <w:rFonts w:cs="Taher"/>
          <w:vertAlign w:val="superscript"/>
          <w:rtl/>
        </w:rPr>
        <w:footnoteReference w:id="440"/>
      </w:r>
      <w:r w:rsidRPr="00815C4C">
        <w:rPr>
          <w:rFonts w:cs="Taher"/>
          <w:vertAlign w:val="superscript"/>
          <w:rtl/>
        </w:rPr>
        <w:t>)</w:t>
      </w:r>
      <w:r w:rsidRPr="00366C30">
        <w:rPr>
          <w:rFonts w:cs="AL-Mohanad" w:hint="cs"/>
          <w:rtl/>
        </w:rPr>
        <w:t xml:space="preserve">. </w:t>
      </w:r>
      <w:r w:rsidRPr="001338CB">
        <w:rPr>
          <w:rFonts w:hint="cs"/>
          <w:rtl/>
        </w:rPr>
        <w:t>وموثق ابن الجهم قال: قال لي أبو الحسن الرضا</w:t>
      </w:r>
      <w:r w:rsidR="005067D6">
        <w:rPr>
          <w:rFonts w:hint="cs"/>
          <w:sz w:val="27"/>
          <w:rtl/>
        </w:rPr>
        <w:t>×</w:t>
      </w:r>
      <w:r w:rsidRPr="001338CB">
        <w:rPr>
          <w:rFonts w:hint="cs"/>
          <w:rtl/>
        </w:rPr>
        <w:t xml:space="preserve">: </w:t>
      </w:r>
      <w:r w:rsidR="001338CB">
        <w:rPr>
          <w:rFonts w:hint="eastAsia"/>
          <w:rtl/>
        </w:rPr>
        <w:t>«</w:t>
      </w:r>
      <w:r w:rsidRPr="001338CB">
        <w:rPr>
          <w:rFonts w:hint="cs"/>
          <w:rtl/>
        </w:rPr>
        <w:t xml:space="preserve">يا أبا محمد! ما تقول في رجل تزوّج نصرانيّة على مسلمة؟ قلت: جعلت فداك، وما قولي بين يديك؟! قال: لتقولنّ فإنّ ذلك يُعلم به قولي؛ قلت: لا يجوز تزويج النصرانيّة على مسلمة ولا غير مسلمة، قال: ولم؟! قلت: لقول الله عزّ وجلّ: </w:t>
      </w:r>
      <w:r w:rsidRPr="001338CB">
        <w:rPr>
          <w:rFonts w:hint="cs"/>
          <w:rtl/>
        </w:rPr>
        <w:sym w:font="Islamic Units 1" w:char="F03E"/>
      </w:r>
      <w:r w:rsidRPr="001338CB">
        <w:rPr>
          <w:b/>
          <w:bCs/>
          <w:rtl/>
        </w:rPr>
        <w:t>وَلاَ تَنكِحُواْ الْمُشْرِكَاتِ حَتَّى يُؤْمِنَّ</w:t>
      </w:r>
      <w:r w:rsidRPr="001338CB">
        <w:rPr>
          <w:rtl/>
        </w:rPr>
        <w:sym w:font="Islamic Units 1" w:char="F03C"/>
      </w:r>
      <w:r w:rsidRPr="001338CB">
        <w:rPr>
          <w:rFonts w:hint="cs"/>
          <w:rtl/>
        </w:rPr>
        <w:t xml:space="preserve">؛ قال: فما تقول في هذه الآية: </w:t>
      </w:r>
      <w:r w:rsidRPr="001338CB">
        <w:rPr>
          <w:rFonts w:hint="cs"/>
          <w:rtl/>
        </w:rPr>
        <w:sym w:font="Islamic Units 1" w:char="F03E"/>
      </w:r>
      <w:r w:rsidRPr="001338CB">
        <w:rPr>
          <w:b/>
          <w:bCs/>
          <w:rtl/>
        </w:rPr>
        <w:t>وَالْمُحْصَنَاتُ مِنَ الَّذِينَ أُوتُواْ الْكِتَابَ مِن قَبْلِكُمْ</w:t>
      </w:r>
      <w:r w:rsidRPr="001338CB">
        <w:rPr>
          <w:rtl/>
        </w:rPr>
        <w:sym w:font="Islamic Units 1" w:char="F03C"/>
      </w:r>
      <w:r w:rsidRPr="001338CB">
        <w:rPr>
          <w:rFonts w:hint="cs"/>
          <w:rtl/>
        </w:rPr>
        <w:t xml:space="preserve">؟ قلت: فقوله: </w:t>
      </w:r>
      <w:r w:rsidRPr="001338CB">
        <w:rPr>
          <w:rFonts w:hint="cs"/>
          <w:rtl/>
        </w:rPr>
        <w:sym w:font="Islamic Units 1" w:char="F03E"/>
      </w:r>
      <w:r w:rsidRPr="001338CB">
        <w:rPr>
          <w:b/>
          <w:bCs/>
          <w:rtl/>
        </w:rPr>
        <w:t>وَلاَ تَنكِحُواْ الْمُشْرِكَاتِ</w:t>
      </w:r>
      <w:r w:rsidRPr="001338CB">
        <w:rPr>
          <w:rtl/>
        </w:rPr>
        <w:sym w:font="Islamic Units 1" w:char="F03C"/>
      </w:r>
      <w:r w:rsidRPr="001338CB">
        <w:rPr>
          <w:rFonts w:hint="cs"/>
          <w:rtl/>
        </w:rPr>
        <w:t xml:space="preserve"> نسخت هذه الآية؛ فتبسّم وسكت</w:t>
      </w:r>
      <w:r w:rsidR="001338CB">
        <w:rPr>
          <w:rFonts w:hint="eastAsia"/>
          <w:rtl/>
        </w:rPr>
        <w:t>»</w:t>
      </w:r>
      <w:r w:rsidRPr="00815C4C">
        <w:rPr>
          <w:rFonts w:cs="Taher"/>
          <w:vertAlign w:val="superscript"/>
          <w:rtl/>
        </w:rPr>
        <w:t>(</w:t>
      </w:r>
      <w:r w:rsidRPr="00815C4C">
        <w:rPr>
          <w:rFonts w:cs="Taher"/>
          <w:vertAlign w:val="superscript"/>
          <w:rtl/>
        </w:rPr>
        <w:footnoteReference w:id="441"/>
      </w:r>
      <w:r w:rsidRPr="00815C4C">
        <w:rPr>
          <w:rFonts w:cs="Taher"/>
          <w:vertAlign w:val="superscript"/>
          <w:rtl/>
        </w:rPr>
        <w:t>)</w:t>
      </w:r>
      <w:r w:rsidRPr="001338CB">
        <w:rPr>
          <w:rFonts w:hint="cs"/>
          <w:rtl/>
        </w:rPr>
        <w:t xml:space="preserve"> وهو التقرير.</w:t>
      </w:r>
    </w:p>
    <w:p w:rsidR="00F04A58" w:rsidRPr="00366C30" w:rsidRDefault="00F04A58" w:rsidP="00E24C1D">
      <w:pPr>
        <w:pStyle w:val="ac"/>
        <w:spacing w:line="202" w:lineRule="auto"/>
        <w:rPr>
          <w:rtl/>
        </w:rPr>
      </w:pPr>
      <w:r w:rsidRPr="00366C30">
        <w:rPr>
          <w:rFonts w:hint="cs"/>
          <w:b/>
          <w:bCs/>
          <w:rtl/>
        </w:rPr>
        <w:t>ب ـ وأمّا دليل السنّة،</w:t>
      </w:r>
      <w:r w:rsidRPr="00366C30">
        <w:rPr>
          <w:rFonts w:hint="cs"/>
          <w:rtl/>
        </w:rPr>
        <w:t xml:space="preserve"> فيستدلّ منها بما روي عن أهل البيت</w:t>
      </w:r>
      <w:r w:rsidR="005067D6">
        <w:rPr>
          <w:rFonts w:hint="cs"/>
          <w:rtl/>
        </w:rPr>
        <w:t>^</w:t>
      </w:r>
      <w:r w:rsidRPr="00366C30">
        <w:rPr>
          <w:rFonts w:hint="cs"/>
          <w:rtl/>
        </w:rPr>
        <w:t xml:space="preserve"> في منع نكاح الكتابيّة؛ كخبر زرارة عن أبي جعفر</w:t>
      </w:r>
      <w:r w:rsidR="005067D6">
        <w:rPr>
          <w:rFonts w:hint="cs"/>
          <w:sz w:val="27"/>
          <w:rtl/>
        </w:rPr>
        <w:t>×</w:t>
      </w:r>
      <w:r w:rsidRPr="00366C30">
        <w:rPr>
          <w:rFonts w:hint="cs"/>
          <w:rtl/>
        </w:rPr>
        <w:t xml:space="preserve"> قال: </w:t>
      </w:r>
      <w:r w:rsidR="00D6234C">
        <w:rPr>
          <w:rFonts w:hint="eastAsia"/>
          <w:rtl/>
        </w:rPr>
        <w:t>«</w:t>
      </w:r>
      <w:r w:rsidRPr="00366C30">
        <w:rPr>
          <w:rFonts w:hint="cs"/>
          <w:rtl/>
        </w:rPr>
        <w:t xml:space="preserve">لا ينبغي نكاح أهل الكتاب، قلت: وأين تحريمه؟ قال: قوله: </w:t>
      </w:r>
      <w:r w:rsidRPr="00D51EB8">
        <w:rPr>
          <w:rFonts w:hint="cs"/>
          <w:rtl/>
        </w:rPr>
        <w:sym w:font="Islamic Units 1" w:char="F03E"/>
      </w:r>
      <w:r w:rsidRPr="001338CB">
        <w:rPr>
          <w:b/>
          <w:bCs/>
          <w:rtl/>
        </w:rPr>
        <w:t>وَلا تُمْسِكُوا بِعِصَمِ الْكَوَافِر</w:t>
      </w:r>
      <w:r w:rsidRPr="00D51EB8">
        <w:rPr>
          <w:rtl/>
        </w:rPr>
        <w:sym w:font="Islamic Units 1" w:char="F03C"/>
      </w:r>
      <w:r w:rsidR="00D6234C">
        <w:rPr>
          <w:rFonts w:hint="eastAsia"/>
          <w:rtl/>
        </w:rPr>
        <w:t>»</w:t>
      </w:r>
      <w:r w:rsidRPr="00366C30">
        <w:rPr>
          <w:rFonts w:hint="cs"/>
          <w:rtl/>
        </w:rPr>
        <w:t>. وصحيح ابن سنان عن أبي عبدالله</w:t>
      </w:r>
      <w:r w:rsidR="005067D6">
        <w:rPr>
          <w:rFonts w:hint="cs"/>
          <w:sz w:val="27"/>
          <w:rtl/>
        </w:rPr>
        <w:t>×</w:t>
      </w:r>
      <w:r w:rsidRPr="00366C30">
        <w:rPr>
          <w:rFonts w:hint="cs"/>
          <w:rtl/>
        </w:rPr>
        <w:t xml:space="preserve"> قال: وما أحبّ للرجل المسلم أن يتزوّج اليهوديّة ولا النصرانيّة مخافة أن </w:t>
      </w:r>
      <w:r w:rsidRPr="00366C30">
        <w:rPr>
          <w:rFonts w:hint="cs"/>
          <w:rtl/>
        </w:rPr>
        <w:lastRenderedPageBreak/>
        <w:t>يتهوّد ولده أو يتنصّر</w:t>
      </w:r>
      <w:r w:rsidRPr="006A4ECD">
        <w:rPr>
          <w:rFonts w:cs="Abz-2 (Badr)" w:hint="cs"/>
          <w:rtl/>
        </w:rPr>
        <w:t>&gt;</w:t>
      </w:r>
      <w:r>
        <w:rPr>
          <w:rFonts w:cs="Abz-2 (Badr)" w:hint="cs"/>
          <w:rtl/>
        </w:rPr>
        <w:t>،</w:t>
      </w:r>
      <w:r w:rsidRPr="00366C30">
        <w:rPr>
          <w:rFonts w:hint="cs"/>
          <w:rtl/>
        </w:rPr>
        <w:t xml:space="preserve"> وخبر محمد بن مسلم عن أبي جعفر</w:t>
      </w:r>
      <w:r w:rsidR="005067D6">
        <w:rPr>
          <w:rFonts w:hint="cs"/>
          <w:sz w:val="27"/>
          <w:rtl/>
        </w:rPr>
        <w:t>×</w:t>
      </w:r>
      <w:r w:rsidRPr="00366C30">
        <w:rPr>
          <w:rFonts w:hint="cs"/>
          <w:rtl/>
        </w:rPr>
        <w:t xml:space="preserve"> قال: </w:t>
      </w:r>
      <w:r w:rsidRPr="006A4ECD">
        <w:rPr>
          <w:rFonts w:cs="Abz-2 (Badr)" w:hint="cs"/>
          <w:rtl/>
        </w:rPr>
        <w:t>&lt;</w:t>
      </w:r>
      <w:r w:rsidRPr="00366C30">
        <w:rPr>
          <w:rFonts w:hint="cs"/>
          <w:rtl/>
        </w:rPr>
        <w:t>سألته عن نصارى العرب أتؤكل ذبائحهم؟ فقال: كان عليّ</w:t>
      </w:r>
      <w:r w:rsidR="005067D6">
        <w:rPr>
          <w:rFonts w:hint="cs"/>
          <w:sz w:val="27"/>
          <w:rtl/>
        </w:rPr>
        <w:t>×</w:t>
      </w:r>
      <w:r w:rsidRPr="00366C30">
        <w:rPr>
          <w:rFonts w:hint="cs"/>
          <w:rtl/>
        </w:rPr>
        <w:t xml:space="preserve"> ينهى عن ذبائحهم وعن صيدهم وعن مناكحتهم</w:t>
      </w:r>
      <w:r w:rsidRPr="006A4ECD">
        <w:rPr>
          <w:rFonts w:cs="Abz-2 (Badr)" w:hint="cs"/>
          <w:rtl/>
        </w:rPr>
        <w:t>&gt;</w:t>
      </w:r>
      <w:r>
        <w:rPr>
          <w:rFonts w:cs="Abz-2 (Badr)" w:hint="cs"/>
          <w:rtl/>
        </w:rPr>
        <w:t>،</w:t>
      </w:r>
      <w:r w:rsidRPr="00366C30">
        <w:rPr>
          <w:rFonts w:hint="cs"/>
          <w:rtl/>
        </w:rPr>
        <w:t xml:space="preserve"> وخبر أبي بصير</w:t>
      </w:r>
      <w:r>
        <w:rPr>
          <w:rFonts w:cs="Abz-2 (Badr)" w:hint="cs"/>
          <w:rtl/>
        </w:rPr>
        <w:t xml:space="preserve">، </w:t>
      </w:r>
      <w:r w:rsidRPr="00366C30">
        <w:rPr>
          <w:rFonts w:hint="cs"/>
          <w:rtl/>
        </w:rPr>
        <w:t xml:space="preserve">قال: </w:t>
      </w:r>
      <w:r w:rsidRPr="006A4ECD">
        <w:rPr>
          <w:rFonts w:cs="Abz-2 (Badr)" w:hint="cs"/>
          <w:rtl/>
        </w:rPr>
        <w:t>&lt;</w:t>
      </w:r>
      <w:r w:rsidRPr="00366C30">
        <w:rPr>
          <w:rFonts w:hint="cs"/>
          <w:rtl/>
        </w:rPr>
        <w:t>سألت أبا عبدالله</w:t>
      </w:r>
      <w:r w:rsidR="005067D6">
        <w:rPr>
          <w:rFonts w:hint="cs"/>
          <w:sz w:val="27"/>
          <w:rtl/>
        </w:rPr>
        <w:t>×</w:t>
      </w:r>
      <w:r w:rsidRPr="00366C30">
        <w:rPr>
          <w:rFonts w:hint="cs"/>
          <w:rtl/>
        </w:rPr>
        <w:t xml:space="preserve"> عن تزويج اليهودّية والنصرانية؟ قال: لا</w:t>
      </w:r>
      <w:r w:rsidRPr="006A4ECD">
        <w:rPr>
          <w:rFonts w:cs="Abz-2 (Badr)" w:hint="cs"/>
          <w:rtl/>
        </w:rPr>
        <w:t>&gt;</w:t>
      </w:r>
      <w:r w:rsidRPr="00815C4C">
        <w:rPr>
          <w:rFonts w:cs="Taher"/>
          <w:vertAlign w:val="superscript"/>
          <w:rtl/>
        </w:rPr>
        <w:t>(</w:t>
      </w:r>
      <w:r w:rsidRPr="00815C4C">
        <w:rPr>
          <w:rFonts w:cs="Taher"/>
          <w:vertAlign w:val="superscript"/>
          <w:rtl/>
        </w:rPr>
        <w:footnoteReference w:id="442"/>
      </w:r>
      <w:r w:rsidRPr="00815C4C">
        <w:rPr>
          <w:rFonts w:cs="Taher"/>
          <w:vertAlign w:val="superscript"/>
          <w:rtl/>
        </w:rPr>
        <w:t>)</w:t>
      </w:r>
      <w:r w:rsidRPr="00366C30">
        <w:rPr>
          <w:rFonts w:hint="cs"/>
          <w:rtl/>
        </w:rPr>
        <w:t>، إضافةً إلى ما تقدّم من أخبار النسخ.</w:t>
      </w:r>
    </w:p>
    <w:p w:rsidR="00F04A58" w:rsidRPr="00366C30" w:rsidRDefault="00F04A58" w:rsidP="00E24C1D">
      <w:pPr>
        <w:pStyle w:val="ac"/>
        <w:spacing w:line="209" w:lineRule="auto"/>
        <w:rPr>
          <w:rtl/>
        </w:rPr>
      </w:pPr>
      <w:r w:rsidRPr="00366C30">
        <w:rPr>
          <w:rFonts w:hint="cs"/>
          <w:b/>
          <w:bCs/>
          <w:rtl/>
        </w:rPr>
        <w:t>ج ـ وأمّا دليل الإجماع،</w:t>
      </w:r>
      <w:r w:rsidRPr="00366C30">
        <w:rPr>
          <w:rFonts w:hint="cs"/>
          <w:rtl/>
        </w:rPr>
        <w:t xml:space="preserve"> فقد ادّعاه المرتضى قائلاً:</w:t>
      </w:r>
      <w:r w:rsidRPr="00D6234C">
        <w:rPr>
          <w:rFonts w:hint="cs"/>
          <w:rtl/>
        </w:rPr>
        <w:t xml:space="preserve"> </w:t>
      </w:r>
      <w:r w:rsidR="00D6234C">
        <w:rPr>
          <w:rFonts w:hint="eastAsia"/>
          <w:rtl/>
        </w:rPr>
        <w:t>«</w:t>
      </w:r>
      <w:r w:rsidRPr="00D6234C">
        <w:rPr>
          <w:rFonts w:hint="cs"/>
          <w:rtl/>
        </w:rPr>
        <w:t>وممّا</w:t>
      </w:r>
      <w:r w:rsidRPr="00366C30">
        <w:rPr>
          <w:rFonts w:hint="cs"/>
          <w:rtl/>
        </w:rPr>
        <w:t xml:space="preserve"> انفردت به الإماميّة حظر نكاح الكتابيّة، وباقي الفقهاء يجيزون ذلك، دليلنا بعد الإجماع المتقدم..</w:t>
      </w:r>
      <w:r w:rsidR="00D6234C">
        <w:rPr>
          <w:rFonts w:hint="eastAsia"/>
          <w:rtl/>
        </w:rPr>
        <w:t>»</w:t>
      </w:r>
      <w:r w:rsidRPr="00815C4C">
        <w:rPr>
          <w:rFonts w:cs="Taher"/>
          <w:vertAlign w:val="superscript"/>
          <w:rtl/>
        </w:rPr>
        <w:t>(</w:t>
      </w:r>
      <w:r w:rsidRPr="00815C4C">
        <w:rPr>
          <w:rFonts w:cs="Taher"/>
          <w:vertAlign w:val="superscript"/>
          <w:rtl/>
        </w:rPr>
        <w:footnoteReference w:id="443"/>
      </w:r>
      <w:r w:rsidRPr="00815C4C">
        <w:rPr>
          <w:rFonts w:cs="Taher"/>
          <w:vertAlign w:val="superscript"/>
          <w:rtl/>
        </w:rPr>
        <w:t>)</w:t>
      </w:r>
      <w:r w:rsidRPr="00366C30">
        <w:rPr>
          <w:rFonts w:hint="cs"/>
          <w:rtl/>
        </w:rPr>
        <w:t>. والظاهر أنّه منفرد بهذه الدّعوى.</w:t>
      </w:r>
    </w:p>
    <w:p w:rsidR="00F04A58" w:rsidRPr="00366C30" w:rsidRDefault="00F04A58" w:rsidP="00E24C1D">
      <w:pPr>
        <w:pStyle w:val="ac"/>
        <w:spacing w:line="209" w:lineRule="auto"/>
        <w:rPr>
          <w:rFonts w:cs="AL-Mohanad"/>
          <w:sz w:val="29"/>
          <w:szCs w:val="27"/>
          <w:rtl/>
        </w:rPr>
      </w:pPr>
      <w:r w:rsidRPr="00F56506">
        <w:rPr>
          <w:rFonts w:hint="cs"/>
          <w:b/>
          <w:bCs/>
          <w:rtl/>
        </w:rPr>
        <w:t>د ـ وأمّا أصالة الاحتياط والمنع،</w:t>
      </w:r>
      <w:r w:rsidRPr="00F56506">
        <w:rPr>
          <w:rFonts w:hint="cs"/>
          <w:rtl/>
        </w:rPr>
        <w:t xml:space="preserve"> فلا يخفى أنّه إذا تعارض الدليلان على جواز نكاحٍ أو عدمه، فالأصل هو العدم؛ لموافقة الاحتياط الشرعي؛ ولعلّ المحقق الخوئي أشار إلى هذا حيث قال: </w:t>
      </w:r>
      <w:r w:rsidR="00D6234C" w:rsidRPr="00F56506">
        <w:rPr>
          <w:rFonts w:hint="eastAsia"/>
          <w:rtl/>
        </w:rPr>
        <w:t>«</w:t>
      </w:r>
      <w:r w:rsidRPr="00F56506">
        <w:rPr>
          <w:rFonts w:hint="cs"/>
          <w:rtl/>
        </w:rPr>
        <w:t>الاحتياط لا ينبغي تركه</w:t>
      </w:r>
      <w:r w:rsidR="00D6234C" w:rsidRPr="00F56506">
        <w:rPr>
          <w:rFonts w:hint="eastAsia"/>
          <w:rtl/>
        </w:rPr>
        <w:t>»</w:t>
      </w:r>
      <w:r w:rsidRPr="00815C4C">
        <w:rPr>
          <w:rFonts w:cs="Taher"/>
          <w:vertAlign w:val="superscript"/>
          <w:rtl/>
        </w:rPr>
        <w:t>(</w:t>
      </w:r>
      <w:r w:rsidRPr="00815C4C">
        <w:rPr>
          <w:rFonts w:cs="Taher"/>
          <w:vertAlign w:val="superscript"/>
          <w:rtl/>
        </w:rPr>
        <w:footnoteReference w:id="444"/>
      </w:r>
      <w:r w:rsidRPr="00815C4C">
        <w:rPr>
          <w:rFonts w:cs="Taher"/>
          <w:vertAlign w:val="superscript"/>
          <w:rtl/>
        </w:rPr>
        <w:t>)</w:t>
      </w:r>
      <w:r w:rsidRPr="00F56506">
        <w:rPr>
          <w:rFonts w:hint="cs"/>
          <w:rtl/>
        </w:rPr>
        <w:t>، وكذلك المحقق الإصفهاني</w:t>
      </w:r>
      <w:r w:rsidRPr="00815C4C">
        <w:rPr>
          <w:rFonts w:cs="Taher"/>
          <w:vertAlign w:val="superscript"/>
          <w:rtl/>
        </w:rPr>
        <w:t>(</w:t>
      </w:r>
      <w:r w:rsidRPr="00815C4C">
        <w:rPr>
          <w:rFonts w:cs="Taher"/>
          <w:vertAlign w:val="superscript"/>
          <w:rtl/>
        </w:rPr>
        <w:footnoteReference w:id="445"/>
      </w:r>
      <w:r w:rsidRPr="00815C4C">
        <w:rPr>
          <w:rFonts w:cs="Taher"/>
          <w:vertAlign w:val="superscript"/>
          <w:rtl/>
        </w:rPr>
        <w:t>)</w:t>
      </w:r>
      <w:r w:rsidRPr="00F56506">
        <w:rPr>
          <w:rFonts w:hint="cs"/>
          <w:rtl/>
        </w:rPr>
        <w:t>. وهذا الأصل قويّ جداً؛ فللمانعين عن هذا الزواج أن يقولوا: إنّا لا نحتاج إلى أيّ دليل للمنع؛ لأنّه هو الأصل والخروج عنه يحتاج إلى الدليل؛ فإذا وجدنا أدلّة القائلين بالتفصيل والجواز غير كافية للخروج نتمسّك بالأصل؛ ونقول بالمنع مطلقاً.</w:t>
      </w:r>
    </w:p>
    <w:p w:rsidR="00F04A58" w:rsidRPr="00366C30" w:rsidRDefault="00F04A58" w:rsidP="00E24C1D">
      <w:pPr>
        <w:pStyle w:val="afffffc"/>
        <w:rPr>
          <w:rtl/>
        </w:rPr>
      </w:pPr>
    </w:p>
    <w:p w:rsidR="00F04A58" w:rsidRDefault="00F04A58" w:rsidP="00E24C1D">
      <w:pPr>
        <w:pStyle w:val="2"/>
        <w:rPr>
          <w:rtl/>
        </w:rPr>
      </w:pPr>
      <w:bookmarkStart w:id="292" w:name="_Toc275128014"/>
      <w:r>
        <w:rPr>
          <w:rFonts w:hint="cs"/>
          <w:rtl/>
        </w:rPr>
        <w:t>وقفات نقدية مع مستندات نظرية الحظر المطلق لزواج مختلفي الدِّين</w:t>
      </w:r>
      <w:bookmarkEnd w:id="292"/>
    </w:p>
    <w:p w:rsidR="00F04A58" w:rsidRPr="00366C30" w:rsidRDefault="00F04A58" w:rsidP="00D6234C">
      <w:pPr>
        <w:pStyle w:val="ac"/>
        <w:rPr>
          <w:rtl/>
        </w:rPr>
      </w:pPr>
      <w:r w:rsidRPr="00366C30">
        <w:rPr>
          <w:rFonts w:hint="cs"/>
          <w:b/>
          <w:bCs/>
          <w:rtl/>
        </w:rPr>
        <w:t>أ ـ وقفة مع دليل الكتاب:</w:t>
      </w:r>
      <w:r w:rsidRPr="00366C30">
        <w:rPr>
          <w:rFonts w:hint="cs"/>
          <w:rtl/>
        </w:rPr>
        <w:t xml:space="preserve"> إذا ألقينا نظرة</w:t>
      </w:r>
      <w:r>
        <w:rPr>
          <w:rFonts w:hint="cs"/>
          <w:rtl/>
        </w:rPr>
        <w:t>ً</w:t>
      </w:r>
      <w:r w:rsidRPr="00366C30">
        <w:rPr>
          <w:rFonts w:hint="cs"/>
          <w:rtl/>
        </w:rPr>
        <w:t xml:space="preserve"> على استدلالاتهم هنا نراها تحمل مغالطات عديدة لفظيّة وغيرها؛ لذا لابدّ من ترتيبها في صورة قياس منطقي؛ كي يظهر ما فيها من خلل:</w:t>
      </w:r>
    </w:p>
    <w:p w:rsidR="00F04A58" w:rsidRPr="00366C30" w:rsidRDefault="00F04A58" w:rsidP="00F56506">
      <w:pPr>
        <w:pStyle w:val="ac"/>
        <w:rPr>
          <w:rtl/>
        </w:rPr>
      </w:pPr>
      <w:r w:rsidRPr="00366C30">
        <w:rPr>
          <w:rFonts w:hint="cs"/>
          <w:rtl/>
        </w:rPr>
        <w:t xml:space="preserve">1 ـ أمّا استدلالهم بآية البقرة، فيحمل قياساً منطقيّاً من الشكل الأول، صورته: </w:t>
      </w:r>
      <w:r w:rsidRPr="00366C30">
        <w:rPr>
          <w:rFonts w:hint="cs"/>
          <w:rtl/>
        </w:rPr>
        <w:lastRenderedPageBreak/>
        <w:t>اليهوديات والنصرانيات مشركات</w:t>
      </w:r>
      <w:r w:rsidR="00E24C1D">
        <w:rPr>
          <w:rFonts w:hint="cs"/>
          <w:rtl/>
        </w:rPr>
        <w:t xml:space="preserve"> </w:t>
      </w:r>
      <w:r w:rsidRPr="00E24C1D">
        <w:rPr>
          <w:rFonts w:asciiTheme="majorBidi" w:hAnsiTheme="majorBidi" w:cstheme="majorBidi"/>
          <w:rtl/>
        </w:rPr>
        <w:t>+</w:t>
      </w:r>
      <w:r w:rsidRPr="00366C30">
        <w:rPr>
          <w:rFonts w:hint="cs"/>
          <w:rtl/>
        </w:rPr>
        <w:t xml:space="preserve"> وكلّ مشركات نكاحهنّ حرام = نكاح اليهوديات والنصرانيات حرام. أما المقدّمة الأولى؛ فلقوله تعالى: </w:t>
      </w:r>
      <w:r w:rsidRPr="00D51EB8">
        <w:rPr>
          <w:rFonts w:hint="cs"/>
          <w:rtl/>
        </w:rPr>
        <w:sym w:font="Islamic Units 1" w:char="F03E"/>
      </w:r>
      <w:r w:rsidRPr="00D6234C">
        <w:rPr>
          <w:b/>
          <w:bCs/>
          <w:rtl/>
        </w:rPr>
        <w:t xml:space="preserve">وَقَالَتِ الْيَهُودُ عُزَيْرٌ ابْنُ الله وَقَالَتْ النَّصَارَى الْمَسِيحُ ابْنُ الله ذَلِكَ قَوْلُهُم بِأَفْوَاهِهِمْ يُضَاهِؤُونَ قَوْلَ الَّذِينَ كَفَرُواْ مِن قَبْلُ قَاتَلَهُمُ الله أَنَّى يُؤْفَكُونَ </w:t>
      </w:r>
      <w:r w:rsidRPr="00D6234C">
        <w:rPr>
          <w:rFonts w:hint="cs"/>
          <w:b/>
          <w:bCs/>
          <w:rtl/>
        </w:rPr>
        <w:t xml:space="preserve">* </w:t>
      </w:r>
      <w:r w:rsidRPr="00D6234C">
        <w:rPr>
          <w:b/>
          <w:bCs/>
          <w:rtl/>
        </w:rPr>
        <w:t>اتَّخَذُواْ أَحْبَارَهُمْ وَرُهْبَانَهُمْ أَرْبَابا</w:t>
      </w:r>
      <w:r w:rsidRPr="00D6234C">
        <w:rPr>
          <w:rFonts w:hint="cs"/>
          <w:b/>
          <w:bCs/>
          <w:rtl/>
        </w:rPr>
        <w:t>ً</w:t>
      </w:r>
      <w:r w:rsidRPr="00D6234C">
        <w:rPr>
          <w:b/>
          <w:bCs/>
          <w:rtl/>
        </w:rPr>
        <w:t xml:space="preserve"> مِّن دُونِ الله وَالْمَسِيحَ ابْنَ مَرْيَمَ وَمَا أُمِرُواْ إِلاَّ لِيَعْبُدُواْ إِلَـها</w:t>
      </w:r>
      <w:r w:rsidRPr="00D6234C">
        <w:rPr>
          <w:rFonts w:hint="cs"/>
          <w:b/>
          <w:bCs/>
          <w:rtl/>
        </w:rPr>
        <w:t>ً</w:t>
      </w:r>
      <w:r w:rsidRPr="00D6234C">
        <w:rPr>
          <w:b/>
          <w:bCs/>
          <w:rtl/>
        </w:rPr>
        <w:t xml:space="preserve"> وَاحِدا</w:t>
      </w:r>
      <w:r w:rsidRPr="00D6234C">
        <w:rPr>
          <w:rFonts w:hint="cs"/>
          <w:b/>
          <w:bCs/>
          <w:rtl/>
        </w:rPr>
        <w:t>ً</w:t>
      </w:r>
      <w:r w:rsidRPr="00D6234C">
        <w:rPr>
          <w:b/>
          <w:bCs/>
          <w:rtl/>
        </w:rPr>
        <w:t xml:space="preserve"> لا إِلَـهَ إِلاَّ هُوَ سُبْحَانَهُ عَمَّا يُشْرِكُونَ</w:t>
      </w:r>
      <w:r w:rsidRPr="00D51EB8">
        <w:rPr>
          <w:rtl/>
        </w:rPr>
        <w:sym w:font="Islamic Units 1" w:char="F03C"/>
      </w:r>
      <w:r w:rsidRPr="00366C30">
        <w:rPr>
          <w:rFonts w:hint="cs"/>
          <w:rtl/>
        </w:rPr>
        <w:t xml:space="preserve"> (التوبة: 30)، وأمّا المقدّمة الثانية؛ فلقوله تعالى: </w:t>
      </w:r>
      <w:r w:rsidRPr="00D51EB8">
        <w:rPr>
          <w:rFonts w:hint="cs"/>
          <w:rtl/>
        </w:rPr>
        <w:sym w:font="Islamic Units 1" w:char="F03E"/>
      </w:r>
      <w:r w:rsidRPr="00D6234C">
        <w:rPr>
          <w:b/>
          <w:bCs/>
          <w:rtl/>
        </w:rPr>
        <w:t>وَلاَ تَنكِحُواْ الْمُشْرِكَاتِ حَتَّى يُؤْمِنَّ</w:t>
      </w:r>
      <w:r w:rsidRPr="00D51EB8">
        <w:rPr>
          <w:rtl/>
        </w:rPr>
        <w:sym w:font="Islamic Units 1" w:char="F03C"/>
      </w:r>
      <w:r w:rsidR="00D6234C">
        <w:rPr>
          <w:rFonts w:hint="cs"/>
          <w:rtl/>
        </w:rPr>
        <w:t xml:space="preserve"> </w:t>
      </w:r>
      <w:r>
        <w:rPr>
          <w:rFonts w:hint="cs"/>
          <w:rtl/>
        </w:rPr>
        <w:t xml:space="preserve">(البقرة: 220)، </w:t>
      </w:r>
      <w:r w:rsidRPr="00366C30">
        <w:rPr>
          <w:rFonts w:hint="cs"/>
          <w:rtl/>
        </w:rPr>
        <w:t>والجمع المعرّف بلام الجنس (المشركات) يفيد العموم</w:t>
      </w:r>
      <w:r w:rsidRPr="00815C4C">
        <w:rPr>
          <w:rFonts w:cs="Taher"/>
          <w:vertAlign w:val="superscript"/>
          <w:rtl/>
        </w:rPr>
        <w:t>(</w:t>
      </w:r>
      <w:r w:rsidRPr="00815C4C">
        <w:rPr>
          <w:rFonts w:cs="Taher"/>
          <w:vertAlign w:val="superscript"/>
          <w:rtl/>
        </w:rPr>
        <w:footnoteReference w:id="446"/>
      </w:r>
      <w:r w:rsidRPr="00815C4C">
        <w:rPr>
          <w:rFonts w:cs="Taher"/>
          <w:vertAlign w:val="superscript"/>
          <w:rtl/>
        </w:rPr>
        <w:t>)</w:t>
      </w:r>
      <w:r w:rsidRPr="00366C30">
        <w:rPr>
          <w:rFonts w:hint="cs"/>
          <w:rtl/>
        </w:rPr>
        <w:t>.</w:t>
      </w:r>
    </w:p>
    <w:p w:rsidR="00F04A58" w:rsidRPr="00366C30" w:rsidRDefault="00F04A58" w:rsidP="00E24C1D">
      <w:pPr>
        <w:pStyle w:val="ac"/>
        <w:rPr>
          <w:rtl/>
        </w:rPr>
      </w:pPr>
      <w:r w:rsidRPr="00366C30">
        <w:rPr>
          <w:rFonts w:hint="cs"/>
          <w:rtl/>
        </w:rPr>
        <w:t xml:space="preserve">لكنّ هذا القياس لا يخلو من مغالطة لفظيّة؛ وذلك أنّ العنصر الأوسط ـ وهو المشركات ـ لم يتكرّر بعينه في المقدّمتين؛ لأنّ الشرك مفهومٌ مشكّك ومشترك لفظي. و </w:t>
      </w:r>
      <w:r w:rsidRPr="006A4ECD">
        <w:rPr>
          <w:rFonts w:cs="Abz-2 (Badr)" w:hint="cs"/>
          <w:rtl/>
        </w:rPr>
        <w:t>&lt;</w:t>
      </w:r>
      <w:r w:rsidRPr="00366C30">
        <w:rPr>
          <w:rFonts w:hint="cs"/>
          <w:rtl/>
        </w:rPr>
        <w:t>في القرآن غير ظاهر الإطلاق على أهل الكتاب بل إنّما أطلق فيما يعلم مصداقه على غيرهم من الكفار</w:t>
      </w:r>
      <w:r w:rsidRPr="006A4ECD">
        <w:rPr>
          <w:rFonts w:cs="Abz-2 (Badr)" w:hint="cs"/>
          <w:rtl/>
        </w:rPr>
        <w:t>&gt;</w:t>
      </w:r>
      <w:r w:rsidRPr="00815C4C">
        <w:rPr>
          <w:rFonts w:cs="Taher"/>
          <w:vertAlign w:val="superscript"/>
          <w:rtl/>
        </w:rPr>
        <w:t>(</w:t>
      </w:r>
      <w:r w:rsidRPr="00815C4C">
        <w:rPr>
          <w:rFonts w:cs="Taher"/>
          <w:vertAlign w:val="superscript"/>
          <w:rtl/>
        </w:rPr>
        <w:footnoteReference w:id="447"/>
      </w:r>
      <w:r w:rsidRPr="00815C4C">
        <w:rPr>
          <w:rFonts w:cs="Taher"/>
          <w:vertAlign w:val="superscript"/>
          <w:rtl/>
        </w:rPr>
        <w:t>)</w:t>
      </w:r>
      <w:r w:rsidRPr="00366C30">
        <w:rPr>
          <w:rFonts w:hint="cs"/>
          <w:rtl/>
        </w:rPr>
        <w:t xml:space="preserve">، كقوله تعالى: </w:t>
      </w:r>
      <w:r w:rsidRPr="00D51EB8">
        <w:rPr>
          <w:rFonts w:hint="cs"/>
          <w:rtl/>
        </w:rPr>
        <w:sym w:font="Islamic Units 1" w:char="F03E"/>
      </w:r>
      <w:r w:rsidRPr="00D6234C">
        <w:rPr>
          <w:b/>
          <w:bCs/>
          <w:rtl/>
        </w:rPr>
        <w:t>لَمْ يَكُنِ الَّذِينَ كَفَرُوا مِنْ أَهْلِ الْكِتَابِ وَالْمُشْرِكِينَ مُنفَكِّينَ حَتَّى تَأْتِيَهُمُ الْبَيِّنَةُ</w:t>
      </w:r>
      <w:r w:rsidRPr="00D51EB8">
        <w:rPr>
          <w:rtl/>
        </w:rPr>
        <w:sym w:font="Islamic Units 1" w:char="F03C"/>
      </w:r>
      <w:r w:rsidRPr="00366C30">
        <w:rPr>
          <w:rFonts w:hint="cs"/>
          <w:rtl/>
        </w:rPr>
        <w:t xml:space="preserve"> (البيّنة: 1)، وقوله تعالى ـ وهو أظهر دلالةً ـ: </w:t>
      </w:r>
      <w:r w:rsidRPr="00D51EB8">
        <w:rPr>
          <w:rFonts w:hint="cs"/>
          <w:rtl/>
        </w:rPr>
        <w:sym w:font="Islamic Units 1" w:char="F03E"/>
      </w:r>
      <w:r w:rsidRPr="00D6234C">
        <w:rPr>
          <w:b/>
          <w:bCs/>
          <w:rtl/>
        </w:rPr>
        <w:t>إِنَّ الَّذِينَ آمَنُوا وَالَّذِينَ هَادُوا وَالصَّابِئِينَ وَالنَّصَارَى وَالْمَجُوسَ وَالَّذِينَ أَشْرَكُوا إِنَّ الله يَفْصِلُ بَيْنَهُمْ يَوْمَ الْقِيَامَةِ</w:t>
      </w:r>
      <w:r w:rsidRPr="00D51EB8">
        <w:rPr>
          <w:rtl/>
        </w:rPr>
        <w:sym w:font="Islamic Units 1" w:char="F03C"/>
      </w:r>
      <w:r w:rsidRPr="00366C30">
        <w:rPr>
          <w:rFonts w:hint="cs"/>
          <w:rtl/>
        </w:rPr>
        <w:t xml:space="preserve"> (الحج: 17)، فالله تعالى ميّز كلّ فرقة بـ </w:t>
      </w:r>
      <w:r w:rsidRPr="006A4ECD">
        <w:rPr>
          <w:rFonts w:cs="Abz-2 (Badr)" w:hint="cs"/>
          <w:rtl/>
        </w:rPr>
        <w:t>&lt;</w:t>
      </w:r>
      <w:r w:rsidRPr="00366C30">
        <w:rPr>
          <w:rFonts w:hint="cs"/>
          <w:rtl/>
        </w:rPr>
        <w:t>الذين</w:t>
      </w:r>
      <w:r w:rsidRPr="006A4ECD">
        <w:rPr>
          <w:rFonts w:cs="Abz-2 (Badr)" w:hint="cs"/>
          <w:rtl/>
        </w:rPr>
        <w:t>&gt;</w:t>
      </w:r>
      <w:r w:rsidRPr="00366C30">
        <w:rPr>
          <w:rFonts w:hint="cs"/>
          <w:rtl/>
        </w:rPr>
        <w:t xml:space="preserve"> وصرّح بوقوع الفصل الدالّ على مغايرتهم يوم القيامة. بل و </w:t>
      </w:r>
      <w:r w:rsidRPr="006A4ECD">
        <w:rPr>
          <w:rFonts w:cs="Abz-2 (Badr)" w:hint="cs"/>
          <w:rtl/>
        </w:rPr>
        <w:t>&lt;</w:t>
      </w:r>
      <w:r w:rsidRPr="00366C30">
        <w:rPr>
          <w:rFonts w:hint="cs"/>
          <w:rtl/>
        </w:rPr>
        <w:t>ظاهر العطف يقتضي مغايرةً بين المعطوف والمعطوف عليه</w:t>
      </w:r>
      <w:r w:rsidRPr="006A4ECD">
        <w:rPr>
          <w:rFonts w:cs="Abz-2 (Badr)" w:hint="cs"/>
          <w:rtl/>
        </w:rPr>
        <w:t>&gt;</w:t>
      </w:r>
      <w:r w:rsidRPr="00815C4C">
        <w:rPr>
          <w:rFonts w:cs="Taher"/>
          <w:vertAlign w:val="superscript"/>
          <w:rtl/>
        </w:rPr>
        <w:t>(</w:t>
      </w:r>
      <w:r w:rsidRPr="00815C4C">
        <w:rPr>
          <w:rFonts w:cs="Taher"/>
          <w:vertAlign w:val="superscript"/>
          <w:rtl/>
        </w:rPr>
        <w:footnoteReference w:id="448"/>
      </w:r>
      <w:r w:rsidRPr="00815C4C">
        <w:rPr>
          <w:rFonts w:cs="Taher"/>
          <w:vertAlign w:val="superscript"/>
          <w:rtl/>
        </w:rPr>
        <w:t>)</w:t>
      </w:r>
      <w:r w:rsidRPr="00366C30">
        <w:rPr>
          <w:rFonts w:hint="cs"/>
          <w:rtl/>
        </w:rPr>
        <w:t xml:space="preserve">. وعليه فظاهر: </w:t>
      </w:r>
      <w:r w:rsidRPr="00D51EB8">
        <w:rPr>
          <w:rFonts w:hint="cs"/>
          <w:rtl/>
        </w:rPr>
        <w:sym w:font="Islamic Units 1" w:char="F03E"/>
      </w:r>
      <w:r w:rsidRPr="00D6234C">
        <w:rPr>
          <w:b/>
          <w:bCs/>
          <w:rtl/>
        </w:rPr>
        <w:t>وَلاَ تَنكِحُواْ الْمُشْرِكَاتِ</w:t>
      </w:r>
      <w:r w:rsidRPr="00D51EB8">
        <w:rPr>
          <w:rtl/>
        </w:rPr>
        <w:sym w:font="Islamic Units 1" w:char="F03C"/>
      </w:r>
      <w:r w:rsidRPr="00366C30">
        <w:rPr>
          <w:rFonts w:hint="cs"/>
          <w:rtl/>
        </w:rPr>
        <w:t xml:space="preserve"> قصرٌ للتحريم على المشركات من الوثنيّات دون أهل الكتاب</w:t>
      </w:r>
      <w:r w:rsidRPr="00815C4C">
        <w:rPr>
          <w:rFonts w:cs="Taher"/>
          <w:vertAlign w:val="superscript"/>
          <w:rtl/>
        </w:rPr>
        <w:t>(</w:t>
      </w:r>
      <w:r w:rsidRPr="00815C4C">
        <w:rPr>
          <w:rFonts w:cs="Taher"/>
          <w:vertAlign w:val="superscript"/>
          <w:rtl/>
        </w:rPr>
        <w:footnoteReference w:id="449"/>
      </w:r>
      <w:r w:rsidRPr="00815C4C">
        <w:rPr>
          <w:rFonts w:cs="Taher"/>
          <w:vertAlign w:val="superscript"/>
          <w:rtl/>
        </w:rPr>
        <w:t>)</w:t>
      </w:r>
      <w:r w:rsidRPr="00366C30">
        <w:rPr>
          <w:rFonts w:hint="cs"/>
          <w:rtl/>
        </w:rPr>
        <w:t>.</w:t>
      </w:r>
    </w:p>
    <w:p w:rsidR="00F04A58" w:rsidRPr="00366C30" w:rsidRDefault="00F04A58" w:rsidP="00E24C1D">
      <w:pPr>
        <w:pStyle w:val="ac"/>
        <w:spacing w:line="199" w:lineRule="auto"/>
        <w:rPr>
          <w:rtl/>
        </w:rPr>
      </w:pPr>
      <w:r w:rsidRPr="00366C30">
        <w:rPr>
          <w:rFonts w:hint="cs"/>
          <w:rtl/>
        </w:rPr>
        <w:t>وأمّا الاستدلال بـ</w:t>
      </w:r>
      <w:r>
        <w:rPr>
          <w:rFonts w:hint="cs"/>
          <w:rtl/>
        </w:rPr>
        <w:t xml:space="preserve"> </w:t>
      </w:r>
      <w:r w:rsidRPr="00D51EB8">
        <w:rPr>
          <w:rFonts w:hint="cs"/>
          <w:rtl/>
        </w:rPr>
        <w:sym w:font="Islamic Units 1" w:char="F03E"/>
      </w:r>
      <w:r w:rsidRPr="00D6234C">
        <w:rPr>
          <w:b/>
          <w:bCs/>
          <w:rtl/>
        </w:rPr>
        <w:t>أُوْلَئِكَ يَدْعُونَ إِلَى النَّارِ</w:t>
      </w:r>
      <w:r w:rsidRPr="00D51EB8">
        <w:rPr>
          <w:rtl/>
        </w:rPr>
        <w:sym w:font="Islamic Units 1" w:char="F03C"/>
      </w:r>
      <w:r>
        <w:rPr>
          <w:rFonts w:cs="Abz-2 (Badr)" w:hint="cs"/>
          <w:rtl/>
        </w:rPr>
        <w:t xml:space="preserve"> </w:t>
      </w:r>
      <w:r w:rsidRPr="00366C30">
        <w:rPr>
          <w:rFonts w:hint="cs"/>
          <w:rtl/>
        </w:rPr>
        <w:t xml:space="preserve">على </w:t>
      </w:r>
      <w:r>
        <w:rPr>
          <w:rFonts w:hint="cs"/>
          <w:rtl/>
        </w:rPr>
        <w:t>أ</w:t>
      </w:r>
      <w:r w:rsidRPr="00366C30">
        <w:rPr>
          <w:rFonts w:hint="cs"/>
          <w:rtl/>
        </w:rPr>
        <w:t xml:space="preserve">ساس أنّها سبب للمنع، فمردود بإمكان أن يكون المراد منها حدّاً معيّناً من الدّعوة أو نوعاً خاصّاً منها كالدّعوة إلى الكفر بالله واليوم الآخر مثلاً ممّا لا يصدر عن أهل الكتاب قطعاً لإيمانهم بالله واليوم </w:t>
      </w:r>
      <w:r w:rsidRPr="00366C30">
        <w:rPr>
          <w:rFonts w:hint="cs"/>
          <w:rtl/>
        </w:rPr>
        <w:lastRenderedPageBreak/>
        <w:t>الآخر.</w:t>
      </w:r>
    </w:p>
    <w:p w:rsidR="00F04A58" w:rsidRPr="00366C30" w:rsidRDefault="00F04A58" w:rsidP="00F56506">
      <w:pPr>
        <w:pStyle w:val="ac"/>
        <w:rPr>
          <w:rtl/>
        </w:rPr>
      </w:pPr>
      <w:r w:rsidRPr="00366C30">
        <w:rPr>
          <w:rFonts w:hint="cs"/>
          <w:rtl/>
        </w:rPr>
        <w:t xml:space="preserve">2ـ أمّا استدلالهم بآية الممتحنة، فيحمل قياساً منطقيّاً من الشكل الأول؛ صورته: النكاح تمسّكٌ بعصمة ـ وكلّ تمسّك بكلّ واحدة من عصم الكوافر حرام </w:t>
      </w:r>
      <w:r>
        <w:rPr>
          <w:rFonts w:hint="cs"/>
          <w:rtl/>
        </w:rPr>
        <w:t>ـ</w:t>
      </w:r>
      <w:r w:rsidRPr="00366C30">
        <w:rPr>
          <w:rFonts w:hint="cs"/>
          <w:rtl/>
        </w:rPr>
        <w:t xml:space="preserve"> نكاح الكوافر حرام؛ أمّا المقدّمة الأولى فواضحة؛ إذ بين الزوجين عصمة، وأمّا الثانية؛ فلقوله تعالى: </w:t>
      </w:r>
      <w:r w:rsidRPr="00D51EB8">
        <w:rPr>
          <w:rFonts w:hint="cs"/>
          <w:rtl/>
        </w:rPr>
        <w:sym w:font="Islamic Units 1" w:char="F03E"/>
      </w:r>
      <w:r w:rsidRPr="00D6234C">
        <w:rPr>
          <w:b/>
          <w:bCs/>
          <w:rtl/>
        </w:rPr>
        <w:t>وَلا تُمْسِكُوا بِعِصَمِ الْكَوَافِر</w:t>
      </w:r>
      <w:r w:rsidRPr="00D51EB8">
        <w:rPr>
          <w:rtl/>
        </w:rPr>
        <w:sym w:font="Islamic Units 1" w:char="F03C"/>
      </w:r>
      <w:r w:rsidRPr="00366C30">
        <w:rPr>
          <w:rFonts w:hint="cs"/>
          <w:rtl/>
        </w:rPr>
        <w:t xml:space="preserve"> والجمع المضاف (عصم الكوافر) يفيد العموم</w:t>
      </w:r>
      <w:r w:rsidRPr="00815C4C">
        <w:rPr>
          <w:rFonts w:cs="Taher"/>
          <w:vertAlign w:val="superscript"/>
          <w:rtl/>
        </w:rPr>
        <w:t>(</w:t>
      </w:r>
      <w:r w:rsidRPr="00815C4C">
        <w:rPr>
          <w:rFonts w:cs="Taher"/>
          <w:vertAlign w:val="superscript"/>
          <w:rtl/>
        </w:rPr>
        <w:footnoteReference w:id="450"/>
      </w:r>
      <w:r w:rsidRPr="00815C4C">
        <w:rPr>
          <w:rFonts w:cs="Taher"/>
          <w:vertAlign w:val="superscript"/>
          <w:rtl/>
        </w:rPr>
        <w:t>)</w:t>
      </w:r>
      <w:r w:rsidRPr="00366C30">
        <w:rPr>
          <w:rFonts w:hint="cs"/>
          <w:rtl/>
        </w:rPr>
        <w:t>.</w:t>
      </w:r>
    </w:p>
    <w:p w:rsidR="00F04A58" w:rsidRPr="00366C30" w:rsidRDefault="00F04A58" w:rsidP="00D6234C">
      <w:pPr>
        <w:pStyle w:val="ac"/>
        <w:rPr>
          <w:rtl/>
        </w:rPr>
      </w:pPr>
      <w:r w:rsidRPr="00366C30">
        <w:rPr>
          <w:rFonts w:hint="cs"/>
          <w:rtl/>
        </w:rPr>
        <w:t xml:space="preserve">لكنّ يناقش هذا الكلام </w:t>
      </w:r>
      <w:r w:rsidR="00D6234C" w:rsidRPr="00617008">
        <w:rPr>
          <w:rFonts w:hint="eastAsia"/>
          <w:rtl/>
        </w:rPr>
        <w:t>«</w:t>
      </w:r>
      <w:r w:rsidRPr="00366C30">
        <w:rPr>
          <w:rFonts w:hint="cs"/>
          <w:rtl/>
        </w:rPr>
        <w:t>بأنّ المراد بالكوافر هنا عبدة الأوثان ممّن لا يجوز ابتداءً نكاحهنّ، فهي خاصّة بالكوافر من غير أهل الكتاب</w:t>
      </w:r>
      <w:r w:rsidR="00D6234C" w:rsidRPr="00617008">
        <w:rPr>
          <w:rFonts w:hint="eastAsia"/>
          <w:rtl/>
        </w:rPr>
        <w:t>»</w:t>
      </w:r>
      <w:r w:rsidRPr="00815C4C">
        <w:rPr>
          <w:rFonts w:cs="Taher"/>
          <w:vertAlign w:val="superscript"/>
          <w:rtl/>
        </w:rPr>
        <w:t>(</w:t>
      </w:r>
      <w:r w:rsidRPr="00815C4C">
        <w:rPr>
          <w:rFonts w:cs="Taher"/>
          <w:vertAlign w:val="superscript"/>
          <w:rtl/>
        </w:rPr>
        <w:footnoteReference w:id="451"/>
      </w:r>
      <w:r w:rsidRPr="00815C4C">
        <w:rPr>
          <w:rFonts w:cs="Taher"/>
          <w:vertAlign w:val="superscript"/>
          <w:rtl/>
        </w:rPr>
        <w:t>)</w:t>
      </w:r>
      <w:r w:rsidRPr="00366C30">
        <w:rPr>
          <w:rFonts w:hint="cs"/>
          <w:rtl/>
        </w:rPr>
        <w:t xml:space="preserve"> يضاف إليه ما نصّ عليه المفسّرون من أنّ ظاهر الآية أنّ من آمن من الرّجال وتحته زوجة كافرة يحرم عليه الإمساك بعصمتها، أي إبقائها على الزوجية السّابقة إلاّ أن تؤمن فتمسك بعصمتها فلا دلالة لها على النكاح ال</w:t>
      </w:r>
      <w:r>
        <w:rPr>
          <w:rFonts w:hint="cs"/>
          <w:rtl/>
        </w:rPr>
        <w:t>ا</w:t>
      </w:r>
      <w:r w:rsidRPr="00366C30">
        <w:rPr>
          <w:rFonts w:hint="cs"/>
          <w:rtl/>
        </w:rPr>
        <w:t>بتدائيّ للكتابيّة</w:t>
      </w:r>
      <w:r w:rsidRPr="00815C4C">
        <w:rPr>
          <w:rFonts w:cs="Taher"/>
          <w:vertAlign w:val="superscript"/>
          <w:rtl/>
        </w:rPr>
        <w:t>(</w:t>
      </w:r>
      <w:r w:rsidRPr="00815C4C">
        <w:rPr>
          <w:rFonts w:cs="Taher"/>
          <w:vertAlign w:val="superscript"/>
          <w:rtl/>
        </w:rPr>
        <w:footnoteReference w:id="452"/>
      </w:r>
      <w:r w:rsidRPr="00815C4C">
        <w:rPr>
          <w:rFonts w:cs="Taher"/>
          <w:vertAlign w:val="superscript"/>
          <w:rtl/>
        </w:rPr>
        <w:t>)</w:t>
      </w:r>
      <w:r w:rsidRPr="00366C30">
        <w:rPr>
          <w:rFonts w:hint="cs"/>
          <w:rtl/>
        </w:rPr>
        <w:t xml:space="preserve">. وفي كتاب مسالك الأفهام للشهيد الثاني: </w:t>
      </w:r>
      <w:r w:rsidRPr="006A4ECD">
        <w:rPr>
          <w:rFonts w:cs="Abz-2 (Badr)" w:hint="cs"/>
          <w:rtl/>
        </w:rPr>
        <w:t>&lt;</w:t>
      </w:r>
      <w:r w:rsidRPr="00366C30">
        <w:rPr>
          <w:rFonts w:hint="cs"/>
          <w:rtl/>
        </w:rPr>
        <w:t>إنّ الآية ليست صريحة في إرادة النكاح ولا فيما هو أعمّ منه</w:t>
      </w:r>
      <w:r w:rsidRPr="006A4ECD">
        <w:rPr>
          <w:rFonts w:cs="Abz-2 (Badr)" w:hint="cs"/>
          <w:rtl/>
        </w:rPr>
        <w:t>&gt;</w:t>
      </w:r>
      <w:r w:rsidRPr="00815C4C">
        <w:rPr>
          <w:rFonts w:cs="Taher"/>
          <w:vertAlign w:val="superscript"/>
          <w:rtl/>
        </w:rPr>
        <w:t>(</w:t>
      </w:r>
      <w:r w:rsidRPr="00815C4C">
        <w:rPr>
          <w:rFonts w:cs="Taher"/>
          <w:vertAlign w:val="superscript"/>
          <w:rtl/>
        </w:rPr>
        <w:footnoteReference w:id="453"/>
      </w:r>
      <w:r w:rsidRPr="00815C4C">
        <w:rPr>
          <w:rFonts w:cs="Taher"/>
          <w:vertAlign w:val="superscript"/>
          <w:rtl/>
        </w:rPr>
        <w:t>)</w:t>
      </w:r>
      <w:r w:rsidRPr="00366C30">
        <w:rPr>
          <w:rFonts w:hint="cs"/>
          <w:rtl/>
        </w:rPr>
        <w:t>.</w:t>
      </w:r>
    </w:p>
    <w:p w:rsidR="00F04A58" w:rsidRPr="00366C30" w:rsidRDefault="00F04A58" w:rsidP="00F56506">
      <w:pPr>
        <w:pStyle w:val="ac"/>
        <w:rPr>
          <w:rtl/>
        </w:rPr>
      </w:pPr>
      <w:r w:rsidRPr="00366C30">
        <w:rPr>
          <w:rFonts w:hint="cs"/>
          <w:rtl/>
        </w:rPr>
        <w:t xml:space="preserve">3ـ وأمّا </w:t>
      </w:r>
      <w:r>
        <w:rPr>
          <w:rFonts w:hint="cs"/>
          <w:rtl/>
        </w:rPr>
        <w:t>ا</w:t>
      </w:r>
      <w:r w:rsidRPr="00366C30">
        <w:rPr>
          <w:rFonts w:hint="cs"/>
          <w:rtl/>
        </w:rPr>
        <w:t xml:space="preserve">ستدلالهم بآية المودّة فيحمل قياساً منطقيّاً، صورته: إنّ النكاح مستلزم للمودّة؛ لقوله تعالى: </w:t>
      </w:r>
      <w:r w:rsidRPr="00D51EB8">
        <w:rPr>
          <w:rFonts w:hint="cs"/>
          <w:rtl/>
        </w:rPr>
        <w:sym w:font="Islamic Units 1" w:char="F03E"/>
      </w:r>
      <w:r w:rsidRPr="00D6234C">
        <w:rPr>
          <w:b/>
          <w:bCs/>
          <w:rtl/>
        </w:rPr>
        <w:t>وَجَعَلَ بَيْنَكُم مَّوَدَّةً وَرَحْمَةً</w:t>
      </w:r>
      <w:r w:rsidRPr="00D51EB8">
        <w:rPr>
          <w:rtl/>
        </w:rPr>
        <w:sym w:font="Islamic Units 1" w:char="F03C"/>
      </w:r>
      <w:r w:rsidRPr="00366C30">
        <w:rPr>
          <w:rFonts w:hint="cs"/>
          <w:rtl/>
        </w:rPr>
        <w:t xml:space="preserve">. وكلّ مودّة لكل كافر حرام؛ لقوله تعالى: </w:t>
      </w:r>
      <w:r w:rsidRPr="00D51EB8">
        <w:rPr>
          <w:rFonts w:hint="cs"/>
          <w:rtl/>
        </w:rPr>
        <w:sym w:font="Islamic Units 1" w:char="F03E"/>
      </w:r>
      <w:r w:rsidRPr="00D6234C">
        <w:rPr>
          <w:b/>
          <w:bCs/>
          <w:rtl/>
        </w:rPr>
        <w:t>لا تَجِدُ قَوْما</w:t>
      </w:r>
      <w:r w:rsidRPr="00D6234C">
        <w:rPr>
          <w:rFonts w:hint="cs"/>
          <w:b/>
          <w:bCs/>
          <w:rtl/>
        </w:rPr>
        <w:t>ً</w:t>
      </w:r>
      <w:r w:rsidRPr="00D6234C">
        <w:rPr>
          <w:b/>
          <w:bCs/>
          <w:rtl/>
        </w:rPr>
        <w:t xml:space="preserve"> يُؤْمِنُونَ بِالله وَالْيَوْمِ الْآخِرِ يُوَادُّونَ مَنْ حَادَّ الله وَرَسُولَهُ</w:t>
      </w:r>
      <w:r w:rsidRPr="00D51EB8">
        <w:rPr>
          <w:rtl/>
        </w:rPr>
        <w:sym w:font="Islamic Units 1" w:char="F03C"/>
      </w:r>
      <w:r w:rsidRPr="00815C4C">
        <w:rPr>
          <w:rFonts w:cs="Taher"/>
          <w:vertAlign w:val="superscript"/>
          <w:rtl/>
        </w:rPr>
        <w:t>(</w:t>
      </w:r>
      <w:r w:rsidRPr="00815C4C">
        <w:rPr>
          <w:rFonts w:cs="Taher"/>
          <w:vertAlign w:val="superscript"/>
          <w:rtl/>
        </w:rPr>
        <w:footnoteReference w:id="454"/>
      </w:r>
      <w:r w:rsidRPr="00815C4C">
        <w:rPr>
          <w:rFonts w:cs="Taher"/>
          <w:vertAlign w:val="superscript"/>
          <w:rtl/>
        </w:rPr>
        <w:t>)</w:t>
      </w:r>
      <w:r w:rsidRPr="00366C30">
        <w:rPr>
          <w:rFonts w:hint="cs"/>
          <w:rtl/>
        </w:rPr>
        <w:t>.</w:t>
      </w:r>
    </w:p>
    <w:p w:rsidR="00F04A58" w:rsidRPr="00366C30" w:rsidRDefault="00F04A58" w:rsidP="00D6234C">
      <w:pPr>
        <w:pStyle w:val="ac"/>
        <w:rPr>
          <w:rtl/>
        </w:rPr>
      </w:pPr>
      <w:r w:rsidRPr="00366C30">
        <w:rPr>
          <w:rFonts w:hint="cs"/>
          <w:rtl/>
        </w:rPr>
        <w:t xml:space="preserve">لكنّ المقدّمة الأولى هنا فيها مغالطة؛ لأن المودّة ليست مستبطنة في النكاح نفسه الذي هو عقد أو أثر لعقد؛ فلا ملازمة بين المودّة وأصل النكاح. كما يمكن ـ وما أكثر ذلك ـ أن يكون الزوجان لا مودّة بينهما في حياتهما المشتركة ولا تنتفي الزوجيّة بانتفاء المودّة كما هو واضح. بل ويمكن أن يكون النكاح لغاية غير المودّة والمحبّة، كما نشاهد اليوم فريقاً من الشبّان يتزوّجون هوايةً للمال والجمال؛ وعليه فالآية </w:t>
      </w:r>
      <w:r w:rsidRPr="006A4ECD">
        <w:rPr>
          <w:rFonts w:cs="Abz-2 (Badr)" w:hint="cs"/>
          <w:rtl/>
        </w:rPr>
        <w:t>&lt;</w:t>
      </w:r>
      <w:r w:rsidRPr="00366C30">
        <w:rPr>
          <w:rFonts w:hint="cs"/>
          <w:rtl/>
        </w:rPr>
        <w:t xml:space="preserve">محمولة على </w:t>
      </w:r>
      <w:r w:rsidRPr="00366C30">
        <w:rPr>
          <w:rFonts w:hint="cs"/>
          <w:rtl/>
        </w:rPr>
        <w:lastRenderedPageBreak/>
        <w:t>الغالب لتحقق النشوز والشقاق المنافيين للمودّة قطعاً</w:t>
      </w:r>
      <w:r w:rsidRPr="006A4ECD">
        <w:rPr>
          <w:rFonts w:cs="Abz-2 (Badr)" w:hint="cs"/>
          <w:rtl/>
        </w:rPr>
        <w:t>&gt;</w:t>
      </w:r>
      <w:r w:rsidRPr="00815C4C">
        <w:rPr>
          <w:rFonts w:cs="Taher"/>
          <w:vertAlign w:val="superscript"/>
          <w:rtl/>
        </w:rPr>
        <w:t>(</w:t>
      </w:r>
      <w:r w:rsidRPr="00815C4C">
        <w:rPr>
          <w:rFonts w:cs="Taher"/>
          <w:vertAlign w:val="superscript"/>
          <w:rtl/>
        </w:rPr>
        <w:footnoteReference w:id="455"/>
      </w:r>
      <w:r w:rsidRPr="00815C4C">
        <w:rPr>
          <w:rFonts w:cs="Taher"/>
          <w:vertAlign w:val="superscript"/>
          <w:rtl/>
        </w:rPr>
        <w:t>)</w:t>
      </w:r>
      <w:r w:rsidRPr="00366C30">
        <w:rPr>
          <w:rFonts w:hint="cs"/>
          <w:rtl/>
        </w:rPr>
        <w:t>.</w:t>
      </w:r>
    </w:p>
    <w:p w:rsidR="00F04A58" w:rsidRPr="00366C30" w:rsidRDefault="00F04A58" w:rsidP="00E24C1D">
      <w:pPr>
        <w:pStyle w:val="ac"/>
        <w:spacing w:line="206" w:lineRule="auto"/>
        <w:rPr>
          <w:rtl/>
        </w:rPr>
      </w:pPr>
      <w:r w:rsidRPr="00366C30">
        <w:rPr>
          <w:rFonts w:hint="cs"/>
          <w:rtl/>
        </w:rPr>
        <w:t xml:space="preserve">كما أنّ المودّة المنهيّ عنها هي المودّة من حيث هي المحادّة ظاهراً. ومن الواضح أنّها لا تجتمع من هذه الحيثيّة مع الإيمان بالله واليوم الآخر، فلذا </w:t>
      </w:r>
      <w:r w:rsidR="000331D1">
        <w:rPr>
          <w:rFonts w:ascii="Mosawi" w:hAnsi="Mosawi"/>
          <w:b/>
          <w:bCs/>
          <w:rtl/>
        </w:rPr>
        <w:t>﴿</w:t>
      </w:r>
      <w:r w:rsidRPr="00D6234C">
        <w:rPr>
          <w:b/>
          <w:bCs/>
          <w:rtl/>
        </w:rPr>
        <w:t>لا تَجِدُ قَوْما</w:t>
      </w:r>
      <w:r w:rsidRPr="00D6234C">
        <w:rPr>
          <w:rFonts w:hint="cs"/>
          <w:b/>
          <w:bCs/>
          <w:rtl/>
        </w:rPr>
        <w:t>ً</w:t>
      </w:r>
      <w:r w:rsidRPr="00D6234C">
        <w:rPr>
          <w:b/>
          <w:bCs/>
          <w:rtl/>
        </w:rPr>
        <w:t xml:space="preserve"> يُؤْمِنُونَ بِالله وَالْيَوْمِ الْآخِرِ</w:t>
      </w:r>
      <w:r w:rsidR="000331D1">
        <w:rPr>
          <w:rFonts w:ascii="Mosawi" w:hAnsi="Mosawi"/>
          <w:b/>
          <w:bCs/>
          <w:rtl/>
        </w:rPr>
        <w:t>﴾</w:t>
      </w:r>
      <w:r w:rsidRPr="00366C30">
        <w:rPr>
          <w:rFonts w:hint="cs"/>
          <w:rtl/>
        </w:rPr>
        <w:t xml:space="preserve"> كذلك. وأمّا من سائر الحيثيات فلا تتعرّض إليها الآية فيما يبدو. بل عسى أن تدلّ آيات كثيرة على جواز المودّة والمحبّة من حيث الإنسانيّة مثلاً أو الوالديّة والولدية أو حيثيات أخرى غير الكفر والعقائد الباطلة، كقوله تعالى: </w:t>
      </w:r>
      <w:r w:rsidR="000331D1">
        <w:rPr>
          <w:rFonts w:ascii="Mosawi" w:hAnsi="Mosawi"/>
          <w:rtl/>
        </w:rPr>
        <w:t>﴿</w:t>
      </w:r>
      <w:r w:rsidRPr="00D6234C">
        <w:rPr>
          <w:b/>
          <w:bCs/>
          <w:rtl/>
        </w:rPr>
        <w:t>عَسَى الله أَن يَجْعَلَ بَيْنَكُمْ وَبَيْنَ الَّذِينَ عَادَيْتُم مِّنْهُم مَّوَدَّةً وَالله قَدِيرٌ</w:t>
      </w:r>
      <w:r w:rsidRPr="00D6234C">
        <w:rPr>
          <w:rFonts w:hint="cs"/>
          <w:b/>
          <w:bCs/>
          <w:rtl/>
        </w:rPr>
        <w:t xml:space="preserve"> ـ إلى قوله ـ: </w:t>
      </w:r>
      <w:r w:rsidRPr="00D6234C">
        <w:rPr>
          <w:b/>
          <w:bCs/>
          <w:rtl/>
        </w:rPr>
        <w:t>لا يَنْهَاكُمُ الله عَنِ الَّذِينَ لَمْ يُقَاتِلُوكُمْ فِي الدِّينِ وَلَمْ يُخْرِجُوكُم مِّن دِيَارِكُمْ أَن تَبَرُّوهُمْ وَتُقْسِطُوا إِلَيْهِمْ</w:t>
      </w:r>
      <w:r w:rsidR="000331D1">
        <w:rPr>
          <w:rFonts w:ascii="Mosawi" w:hAnsi="Mosawi"/>
          <w:b/>
          <w:bCs/>
          <w:rtl/>
        </w:rPr>
        <w:t>﴾</w:t>
      </w:r>
      <w:r w:rsidRPr="00366C30">
        <w:rPr>
          <w:rFonts w:hint="cs"/>
          <w:rtl/>
        </w:rPr>
        <w:t xml:space="preserve"> (الممتحنة: 7 ـ 8)، إن كان البرّ دالاً على المودّة بدلالة التزامية. وقوله تعالى في سياق مدح المسلمين وذمّ أهل الكتاب: </w:t>
      </w:r>
      <w:r w:rsidRPr="00D51EB8">
        <w:rPr>
          <w:rFonts w:hint="cs"/>
          <w:rtl/>
        </w:rPr>
        <w:sym w:font="Islamic Units 1" w:char="F03E"/>
      </w:r>
      <w:r w:rsidRPr="00D6234C">
        <w:rPr>
          <w:b/>
          <w:bCs/>
          <w:rtl/>
        </w:rPr>
        <w:t>هَا</w:t>
      </w:r>
      <w:r w:rsidR="00D6234C">
        <w:rPr>
          <w:rFonts w:hint="cs"/>
          <w:b/>
          <w:bCs/>
          <w:rtl/>
        </w:rPr>
        <w:t xml:space="preserve"> </w:t>
      </w:r>
      <w:r w:rsidRPr="00D6234C">
        <w:rPr>
          <w:b/>
          <w:bCs/>
          <w:rtl/>
        </w:rPr>
        <w:t>أَنتُمْ أُوْلاء تُحِبُّونَهُمْ وَلاَ يُحِبُّونَكُمْ وَتُؤْمِنُونَ بِالْكِتَابِ كُلِّهِ</w:t>
      </w:r>
      <w:r w:rsidRPr="00D51EB8">
        <w:rPr>
          <w:rtl/>
        </w:rPr>
        <w:sym w:font="Islamic Units 1" w:char="F03C"/>
      </w:r>
      <w:r>
        <w:rPr>
          <w:rFonts w:hint="cs"/>
          <w:rtl/>
        </w:rPr>
        <w:t xml:space="preserve"> (آل عمران: 119)</w:t>
      </w:r>
      <w:r w:rsidRPr="00366C30">
        <w:rPr>
          <w:rFonts w:hint="cs"/>
          <w:rtl/>
        </w:rPr>
        <w:t xml:space="preserve">؛ فتعقيب الوصف بقوله تعالى: </w:t>
      </w:r>
      <w:r w:rsidRPr="00D51EB8">
        <w:rPr>
          <w:rFonts w:hint="cs"/>
          <w:rtl/>
        </w:rPr>
        <w:sym w:font="Islamic Units 1" w:char="F03E"/>
      </w:r>
      <w:r w:rsidRPr="00D6234C">
        <w:rPr>
          <w:b/>
          <w:bCs/>
          <w:rtl/>
        </w:rPr>
        <w:t>وَتُؤْمِنُونَ بِالْكِتَابِ كُلِّهِ</w:t>
      </w:r>
      <w:r w:rsidRPr="00D51EB8">
        <w:rPr>
          <w:rtl/>
        </w:rPr>
        <w:sym w:font="Islamic Units 1" w:char="F03C"/>
      </w:r>
      <w:r w:rsidRPr="00366C30">
        <w:rPr>
          <w:rFonts w:hint="cs"/>
          <w:rtl/>
        </w:rPr>
        <w:t xml:space="preserve"> يقتضي كونه علّة للمحبّة الممدوحة ظاهراً. وقوله تعالى في إحسان الوالدين مطلقاً من دون تقييده بالإسلام: </w:t>
      </w:r>
      <w:r w:rsidRPr="00D51EB8">
        <w:rPr>
          <w:rFonts w:hint="cs"/>
          <w:rtl/>
        </w:rPr>
        <w:sym w:font="Islamic Units 1" w:char="F03E"/>
      </w:r>
      <w:r w:rsidRPr="006B634E">
        <w:rPr>
          <w:b/>
          <w:bCs/>
          <w:rtl/>
        </w:rPr>
        <w:t>وَاخْفِضْ لَهُمَا جَنَاحَ الذُّلِّ مِنَ الرَّحْمَةِ</w:t>
      </w:r>
      <w:r w:rsidRPr="00D51EB8">
        <w:rPr>
          <w:rtl/>
        </w:rPr>
        <w:sym w:font="Islamic Units 1" w:char="F03C"/>
      </w:r>
      <w:r w:rsidRPr="00366C30">
        <w:rPr>
          <w:rFonts w:hint="cs"/>
          <w:rtl/>
        </w:rPr>
        <w:t xml:space="preserve"> (الإسراء: 24)، وصريح قوله: </w:t>
      </w:r>
      <w:r w:rsidRPr="006B634E">
        <w:rPr>
          <w:rFonts w:hint="cs"/>
          <w:b/>
          <w:bCs/>
          <w:rtl/>
        </w:rPr>
        <w:sym w:font="Islamic Units 1" w:char="F03E"/>
      </w:r>
      <w:r w:rsidRPr="006B634E">
        <w:rPr>
          <w:b/>
          <w:bCs/>
          <w:rtl/>
        </w:rPr>
        <w:t>وَإِن جَاهَدَاكَ عَلى أَن تُشْرِكَ بِي مَا لَيْسَ لَكَ بِهِ عِلْمٌ فَلا تُطِعْهُمَا وَصَاحِبْهُمَا فِي الدُّنْيَا مَعْرُوفا</w:t>
      </w:r>
      <w:r w:rsidRPr="006B634E">
        <w:rPr>
          <w:rFonts w:hint="cs"/>
          <w:b/>
          <w:bCs/>
          <w:rtl/>
        </w:rPr>
        <w:t>ً</w:t>
      </w:r>
      <w:r w:rsidRPr="006B634E">
        <w:rPr>
          <w:b/>
          <w:bCs/>
          <w:rtl/>
        </w:rPr>
        <w:sym w:font="Islamic Units 1" w:char="F03C"/>
      </w:r>
      <w:r w:rsidRPr="00366C30">
        <w:rPr>
          <w:rFonts w:hint="cs"/>
          <w:rtl/>
        </w:rPr>
        <w:t xml:space="preserve"> (لقمان: 15).</w:t>
      </w:r>
    </w:p>
    <w:p w:rsidR="00F04A58" w:rsidRPr="00366C30" w:rsidRDefault="00F04A58" w:rsidP="00E24C1D">
      <w:pPr>
        <w:pStyle w:val="ac"/>
        <w:spacing w:line="209" w:lineRule="auto"/>
        <w:rPr>
          <w:rtl/>
        </w:rPr>
      </w:pPr>
      <w:r w:rsidRPr="00366C30">
        <w:rPr>
          <w:rFonts w:hint="cs"/>
          <w:rtl/>
        </w:rPr>
        <w:t>هذا كلّه ممّا يدلّ على جواز المودّة والمحبّة لغير المسلمين لا من حيث عقائدهم الباطلة؛ مضافاً إلى أن من حادّ الله ورسوله في الآية يحتمل أن يكون أخصّ مطلقاً من الكافر، بمعنى أنّه مَن جحد من الكفار ظاهراً دون من كان جاهلاً أو غافلاً من عامّتهم، كما عليه اليوم أكثر أهل الكتاب.</w:t>
      </w:r>
    </w:p>
    <w:p w:rsidR="00F04A58" w:rsidRPr="00366C30" w:rsidRDefault="00F04A58" w:rsidP="00F56506">
      <w:pPr>
        <w:pStyle w:val="ac"/>
        <w:rPr>
          <w:rtl/>
        </w:rPr>
      </w:pPr>
      <w:r w:rsidRPr="00366C30">
        <w:rPr>
          <w:rFonts w:hint="cs"/>
          <w:rtl/>
        </w:rPr>
        <w:t xml:space="preserve">4ـ وأمّا استدلالهم بآية الاستواء فيحمل قياساً منطقيّاً من الشكل الأوّل أيضاً صورته: إنّ أهل الكتاب والمسلمين متغايرون في الشرع؛ لقوله تعالى: </w:t>
      </w:r>
      <w:r w:rsidRPr="00D51EB8">
        <w:rPr>
          <w:rFonts w:hint="cs"/>
          <w:rtl/>
        </w:rPr>
        <w:sym w:font="Islamic Units 1" w:char="F03E"/>
      </w:r>
      <w:r w:rsidRPr="006B634E">
        <w:rPr>
          <w:b/>
          <w:bCs/>
          <w:rtl/>
        </w:rPr>
        <w:t>لا يَسْتَوِي أَصْحَابُ النَّارِ وَأَصْحَابُ الْجَنَّةِ</w:t>
      </w:r>
      <w:r w:rsidRPr="00D51EB8">
        <w:rPr>
          <w:rtl/>
        </w:rPr>
        <w:sym w:font="Islamic Units 1" w:char="F03C"/>
      </w:r>
      <w:r w:rsidRPr="00366C30">
        <w:rPr>
          <w:rFonts w:hint="cs"/>
          <w:rtl/>
        </w:rPr>
        <w:t xml:space="preserve">؛ وكلّ متغايرين في الشرع متغايران في جميع الأحكام، </w:t>
      </w:r>
      <w:r w:rsidRPr="00366C30">
        <w:rPr>
          <w:rFonts w:hint="cs"/>
          <w:rtl/>
        </w:rPr>
        <w:lastRenderedPageBreak/>
        <w:t>ومن جملة الأحكام المناكحة</w:t>
      </w:r>
      <w:r w:rsidRPr="00815C4C">
        <w:rPr>
          <w:rFonts w:cs="Taher"/>
          <w:vertAlign w:val="superscript"/>
          <w:rtl/>
        </w:rPr>
        <w:t>(</w:t>
      </w:r>
      <w:r w:rsidRPr="00815C4C">
        <w:rPr>
          <w:rFonts w:cs="Taher"/>
          <w:vertAlign w:val="superscript"/>
          <w:rtl/>
        </w:rPr>
        <w:footnoteReference w:id="456"/>
      </w:r>
      <w:r w:rsidRPr="00815C4C">
        <w:rPr>
          <w:rFonts w:cs="Taher"/>
          <w:vertAlign w:val="superscript"/>
          <w:rtl/>
        </w:rPr>
        <w:t>)</w:t>
      </w:r>
      <w:r w:rsidRPr="00366C30">
        <w:rPr>
          <w:rFonts w:hint="cs"/>
          <w:rtl/>
        </w:rPr>
        <w:t>.</w:t>
      </w:r>
    </w:p>
    <w:p w:rsidR="00F04A58" w:rsidRPr="00366C30" w:rsidRDefault="00F04A58" w:rsidP="006B634E">
      <w:pPr>
        <w:pStyle w:val="ac"/>
        <w:rPr>
          <w:rtl/>
        </w:rPr>
      </w:pPr>
      <w:r w:rsidRPr="00366C30">
        <w:rPr>
          <w:rFonts w:hint="cs"/>
          <w:rtl/>
        </w:rPr>
        <w:t>لكنّ مقدّمتي هذا الدليل قائمتان على استقراء ناقص؛ إذ بين المسلم وأهل الكتاب لا يوجد تباين محض، بل هناك قواسم مشتركة من الإيمان بالله واليوم الآخر وقبول الرسالة بشكل عام وال</w:t>
      </w:r>
      <w:r>
        <w:rPr>
          <w:rFonts w:hint="cs"/>
          <w:rtl/>
        </w:rPr>
        <w:t>ا</w:t>
      </w:r>
      <w:r w:rsidRPr="00366C30">
        <w:rPr>
          <w:rFonts w:hint="cs"/>
          <w:rtl/>
        </w:rPr>
        <w:t xml:space="preserve">لتزام بكثير من المحاسن الأخلاقية. بل روي ما يدلّ على مشابهة المسلمين بأهل الكتاب </w:t>
      </w:r>
      <w:r w:rsidRPr="006A4ECD">
        <w:rPr>
          <w:rFonts w:cs="Abz-2 (Badr)" w:hint="cs"/>
          <w:rtl/>
        </w:rPr>
        <w:t>&lt;</w:t>
      </w:r>
      <w:r w:rsidRPr="00366C30">
        <w:rPr>
          <w:rFonts w:hint="cs"/>
          <w:rtl/>
        </w:rPr>
        <w:t>حذو القذة بالقذة</w:t>
      </w:r>
      <w:r w:rsidRPr="006A4ECD">
        <w:rPr>
          <w:rFonts w:cs="Abz-2 (Badr)" w:hint="cs"/>
          <w:rtl/>
        </w:rPr>
        <w:t>&gt;</w:t>
      </w:r>
      <w:r w:rsidRPr="00815C4C">
        <w:rPr>
          <w:rFonts w:cs="Taher"/>
          <w:vertAlign w:val="superscript"/>
          <w:rtl/>
        </w:rPr>
        <w:t>(</w:t>
      </w:r>
      <w:r w:rsidRPr="00815C4C">
        <w:rPr>
          <w:rFonts w:cs="Taher"/>
          <w:vertAlign w:val="superscript"/>
          <w:rtl/>
        </w:rPr>
        <w:footnoteReference w:id="457"/>
      </w:r>
      <w:r w:rsidRPr="00815C4C">
        <w:rPr>
          <w:rFonts w:cs="Taher"/>
          <w:vertAlign w:val="superscript"/>
          <w:rtl/>
        </w:rPr>
        <w:t>)</w:t>
      </w:r>
      <w:r w:rsidRPr="00366C30">
        <w:rPr>
          <w:rFonts w:hint="cs"/>
          <w:rtl/>
        </w:rPr>
        <w:t>.</w:t>
      </w:r>
    </w:p>
    <w:p w:rsidR="00F04A58" w:rsidRPr="00366C30" w:rsidRDefault="00F04A58" w:rsidP="006B634E">
      <w:pPr>
        <w:pStyle w:val="ac"/>
        <w:rPr>
          <w:rtl/>
        </w:rPr>
      </w:pPr>
      <w:r w:rsidRPr="00366C30">
        <w:rPr>
          <w:rFonts w:hint="cs"/>
          <w:rtl/>
        </w:rPr>
        <w:t xml:space="preserve">فما المراد بنفي التساوي في المناكحة؟! فإذا عنى أنّ الزواج بالكتابيّة باطل لعدم وجود تساوي؛ فهذا ما لا نسلّمه، كما أنّ لازمه بطلان نكاح الفاسقة من المسلمات؛ </w:t>
      </w:r>
      <w:r>
        <w:rPr>
          <w:rtl/>
        </w:rPr>
        <w:br/>
      </w:r>
      <w:r w:rsidRPr="00366C30">
        <w:rPr>
          <w:rFonts w:hint="cs"/>
          <w:rtl/>
        </w:rPr>
        <w:t xml:space="preserve">لقوله تعالى: </w:t>
      </w:r>
      <w:r w:rsidRPr="00D51EB8">
        <w:rPr>
          <w:rFonts w:hint="cs"/>
          <w:rtl/>
        </w:rPr>
        <w:sym w:font="Islamic Units 1" w:char="F03E"/>
      </w:r>
      <w:r w:rsidRPr="006B634E">
        <w:rPr>
          <w:b/>
          <w:bCs/>
          <w:rtl/>
        </w:rPr>
        <w:t>أَفَمَن كَانَ مُؤْمِنا</w:t>
      </w:r>
      <w:r w:rsidRPr="006B634E">
        <w:rPr>
          <w:rFonts w:hint="cs"/>
          <w:b/>
          <w:bCs/>
          <w:rtl/>
        </w:rPr>
        <w:t>ً</w:t>
      </w:r>
      <w:r w:rsidRPr="006B634E">
        <w:rPr>
          <w:b/>
          <w:bCs/>
          <w:rtl/>
        </w:rPr>
        <w:t xml:space="preserve"> كَمَن كَانَ فَاسِقا</w:t>
      </w:r>
      <w:r w:rsidRPr="006B634E">
        <w:rPr>
          <w:rFonts w:hint="cs"/>
          <w:b/>
          <w:bCs/>
          <w:rtl/>
        </w:rPr>
        <w:t>ً</w:t>
      </w:r>
      <w:r w:rsidRPr="006B634E">
        <w:rPr>
          <w:b/>
          <w:bCs/>
          <w:rtl/>
        </w:rPr>
        <w:t xml:space="preserve"> لا يَسْتَوُونَ</w:t>
      </w:r>
      <w:r w:rsidRPr="006B634E">
        <w:rPr>
          <w:b/>
          <w:bCs/>
          <w:rtl/>
        </w:rPr>
        <w:sym w:font="Islamic Units 1" w:char="F03C"/>
      </w:r>
      <w:r w:rsidRPr="00366C30">
        <w:rPr>
          <w:rFonts w:hint="cs"/>
          <w:rtl/>
        </w:rPr>
        <w:t xml:space="preserve"> (السجدة: 18)، خاصّة وأنّ مفهوم </w:t>
      </w:r>
      <w:r w:rsidRPr="006A4ECD">
        <w:rPr>
          <w:rFonts w:cs="Abz-2 (Badr)" w:hint="cs"/>
          <w:rtl/>
        </w:rPr>
        <w:t>&lt;</w:t>
      </w:r>
      <w:r w:rsidRPr="00366C30">
        <w:rPr>
          <w:rFonts w:hint="cs"/>
          <w:rtl/>
        </w:rPr>
        <w:t>أصحاب النار</w:t>
      </w:r>
      <w:r w:rsidRPr="006A4ECD">
        <w:rPr>
          <w:rFonts w:cs="Abz-2 (Badr)" w:hint="cs"/>
          <w:rtl/>
        </w:rPr>
        <w:t>&gt;</w:t>
      </w:r>
      <w:r w:rsidRPr="00366C30">
        <w:rPr>
          <w:rFonts w:hint="cs"/>
          <w:rtl/>
        </w:rPr>
        <w:t xml:space="preserve"> يعمّ أهل الكتاب والفسّاق من المسلمين. بل لو جاز الاستدلال بمثل آية الاستواء لجاز الاستدلال بقوله تعالى: </w:t>
      </w:r>
      <w:r w:rsidRPr="00D51EB8">
        <w:rPr>
          <w:rFonts w:hint="cs"/>
          <w:rtl/>
        </w:rPr>
        <w:sym w:font="Islamic Units 1" w:char="F03E"/>
      </w:r>
      <w:r w:rsidRPr="006B634E">
        <w:rPr>
          <w:b/>
          <w:bCs/>
          <w:rtl/>
        </w:rPr>
        <w:t>هَلْ يَسْتَوِي الَّذِينَ يَعْلَمُونَ وَالَّذِينَ لا يَعْلَمُونَ</w:t>
      </w:r>
      <w:r w:rsidRPr="00D51EB8">
        <w:rPr>
          <w:rtl/>
        </w:rPr>
        <w:sym w:font="Islamic Units 1" w:char="F03C"/>
      </w:r>
      <w:r>
        <w:rPr>
          <w:rFonts w:cs="Simplified Arabic" w:hint="cs"/>
          <w:bCs/>
          <w:color w:val="000000"/>
          <w:position w:val="4"/>
          <w:sz w:val="26"/>
          <w:szCs w:val="26"/>
          <w:vertAlign w:val="superscript"/>
          <w:rtl/>
        </w:rPr>
        <w:t xml:space="preserve"> </w:t>
      </w:r>
      <w:r w:rsidRPr="00366C30">
        <w:rPr>
          <w:rFonts w:hint="cs"/>
          <w:rtl/>
        </w:rPr>
        <w:t xml:space="preserve">(الزمر: 9)، نعم، حكي عن بعضهم أنّ </w:t>
      </w:r>
      <w:r w:rsidR="006B634E" w:rsidRPr="00617008">
        <w:rPr>
          <w:rFonts w:hint="eastAsia"/>
          <w:rtl/>
        </w:rPr>
        <w:t>«</w:t>
      </w:r>
      <w:r w:rsidRPr="00366C30">
        <w:rPr>
          <w:rFonts w:hint="cs"/>
          <w:rtl/>
        </w:rPr>
        <w:t>الجاهل ليس كفواً لعالمة</w:t>
      </w:r>
      <w:r w:rsidR="006B634E" w:rsidRPr="00617008">
        <w:rPr>
          <w:rFonts w:hint="eastAsia"/>
          <w:rtl/>
        </w:rPr>
        <w:t>»</w:t>
      </w:r>
      <w:r w:rsidRPr="00815C4C">
        <w:rPr>
          <w:rFonts w:cs="Taher"/>
          <w:vertAlign w:val="superscript"/>
          <w:rtl/>
        </w:rPr>
        <w:t>(</w:t>
      </w:r>
      <w:r w:rsidRPr="00815C4C">
        <w:rPr>
          <w:rFonts w:cs="Taher"/>
          <w:vertAlign w:val="superscript"/>
          <w:rtl/>
        </w:rPr>
        <w:footnoteReference w:id="458"/>
      </w:r>
      <w:r w:rsidRPr="00815C4C">
        <w:rPr>
          <w:rFonts w:cs="Taher"/>
          <w:vertAlign w:val="superscript"/>
          <w:rtl/>
        </w:rPr>
        <w:t>)</w:t>
      </w:r>
      <w:r w:rsidRPr="00366C30">
        <w:rPr>
          <w:rFonts w:hint="cs"/>
          <w:rtl/>
        </w:rPr>
        <w:t xml:space="preserve"> لكنّه يختلف بكثير عن القول ببطلان زواجهما.</w:t>
      </w:r>
    </w:p>
    <w:p w:rsidR="00F04A58" w:rsidRPr="00366C30" w:rsidRDefault="00F04A58" w:rsidP="006B634E">
      <w:pPr>
        <w:pStyle w:val="ac"/>
        <w:rPr>
          <w:rtl/>
        </w:rPr>
      </w:pPr>
      <w:r w:rsidRPr="00366C30">
        <w:rPr>
          <w:rFonts w:hint="cs"/>
          <w:b/>
          <w:bCs/>
          <w:rtl/>
        </w:rPr>
        <w:t>ب ـ وقفة مع دليل السنّة:</w:t>
      </w:r>
      <w:r w:rsidRPr="00366C30">
        <w:rPr>
          <w:rFonts w:hint="cs"/>
          <w:rtl/>
        </w:rPr>
        <w:t xml:space="preserve"> أمّا ما استدلوا به من الأحاديث فضعيف لثلاثة أسباب:</w:t>
      </w:r>
    </w:p>
    <w:p w:rsidR="00F04A58" w:rsidRPr="00366C30" w:rsidRDefault="00F04A58" w:rsidP="00E24C1D">
      <w:pPr>
        <w:pStyle w:val="ac"/>
        <w:spacing w:line="209" w:lineRule="auto"/>
        <w:rPr>
          <w:rtl/>
        </w:rPr>
      </w:pPr>
      <w:r w:rsidRPr="00366C30">
        <w:rPr>
          <w:rFonts w:hint="cs"/>
          <w:rtl/>
        </w:rPr>
        <w:t>1ـ عدم وجود دلالة على التحريم في مثل خبر زرارة عن أبي جعفر</w:t>
      </w:r>
      <w:r w:rsidR="005067D6">
        <w:rPr>
          <w:rFonts w:hint="cs"/>
          <w:sz w:val="27"/>
          <w:rtl/>
        </w:rPr>
        <w:t>×</w:t>
      </w:r>
      <w:r w:rsidRPr="00366C30">
        <w:rPr>
          <w:rFonts w:hint="cs"/>
          <w:rtl/>
        </w:rPr>
        <w:t xml:space="preserve">: </w:t>
      </w:r>
      <w:r w:rsidR="00F56506" w:rsidRPr="00617008">
        <w:rPr>
          <w:rtl/>
        </w:rPr>
        <w:t>«</w:t>
      </w:r>
      <w:r w:rsidRPr="00366C30">
        <w:rPr>
          <w:rFonts w:hint="cs"/>
          <w:rtl/>
        </w:rPr>
        <w:t>لا ينبغي نكاح أهل الكتاب</w:t>
      </w:r>
      <w:r w:rsidR="00F56506" w:rsidRPr="00617008">
        <w:rPr>
          <w:rtl/>
        </w:rPr>
        <w:t>»</w:t>
      </w:r>
      <w:r w:rsidRPr="00366C30">
        <w:rPr>
          <w:rFonts w:hint="cs"/>
          <w:rtl/>
        </w:rPr>
        <w:t xml:space="preserve"> حتى لو فهم زرارة منه التحريم؛ حيث قال: </w:t>
      </w:r>
      <w:r w:rsidR="00F56506" w:rsidRPr="00617008">
        <w:rPr>
          <w:rtl/>
        </w:rPr>
        <w:t>«</w:t>
      </w:r>
      <w:r w:rsidRPr="00366C30">
        <w:rPr>
          <w:rFonts w:hint="cs"/>
          <w:rtl/>
        </w:rPr>
        <w:t>وأين تحريمه</w:t>
      </w:r>
      <w:r w:rsidR="00F56506" w:rsidRPr="00617008">
        <w:rPr>
          <w:rtl/>
        </w:rPr>
        <w:t>»</w:t>
      </w:r>
      <w:r w:rsidRPr="00366C30">
        <w:rPr>
          <w:rFonts w:hint="cs"/>
          <w:rtl/>
        </w:rPr>
        <w:t>؟ وكذا خبر محمّد بن مسلم حيث يَحتَمل الكراهة، مع أنّه سأل الإمام</w:t>
      </w:r>
      <w:r w:rsidR="005067D6">
        <w:rPr>
          <w:rFonts w:hint="cs"/>
          <w:sz w:val="27"/>
          <w:rtl/>
        </w:rPr>
        <w:t>×</w:t>
      </w:r>
      <w:r w:rsidRPr="00366C30">
        <w:rPr>
          <w:rFonts w:hint="cs"/>
          <w:rtl/>
        </w:rPr>
        <w:t xml:space="preserve"> عن نصارى العرب لا مطلق النصارى، وهم أهل البادية ممّن لا يلتزم بشريعة النصرانيّة أحياناً ولا يُحسن الذبحَ والصّيدَ والنّظافة عادةً ولا يلتزم بكثير من الآداب الإنسانيّة غالباً ممّا له دخل في المناكحة؛ ويؤيّد هذا الأمر ما روي عن أبي جعفر</w:t>
      </w:r>
      <w:r w:rsidR="005067D6">
        <w:rPr>
          <w:rFonts w:hint="cs"/>
          <w:sz w:val="27"/>
          <w:rtl/>
        </w:rPr>
        <w:t>×</w:t>
      </w:r>
      <w:r w:rsidRPr="00366C30">
        <w:rPr>
          <w:rFonts w:hint="cs"/>
          <w:rtl/>
        </w:rPr>
        <w:t xml:space="preserve"> أنه قال:</w:t>
      </w:r>
      <w:r>
        <w:rPr>
          <w:rFonts w:cs="Abz-2 (Badr)" w:hint="cs"/>
          <w:rtl/>
        </w:rPr>
        <w:t xml:space="preserve"> </w:t>
      </w:r>
      <w:r w:rsidRPr="006A4ECD">
        <w:rPr>
          <w:rFonts w:cs="Abz-2 (Badr)" w:hint="cs"/>
          <w:rtl/>
        </w:rPr>
        <w:t>&lt;</w:t>
      </w:r>
      <w:r w:rsidRPr="00366C30">
        <w:rPr>
          <w:rFonts w:hint="cs"/>
          <w:rtl/>
        </w:rPr>
        <w:t>قال أمير المؤمنين</w:t>
      </w:r>
      <w:r w:rsidR="005067D6">
        <w:rPr>
          <w:rFonts w:hint="cs"/>
          <w:sz w:val="27"/>
          <w:rtl/>
        </w:rPr>
        <w:t>×</w:t>
      </w:r>
      <w:r w:rsidRPr="00366C30">
        <w:rPr>
          <w:rFonts w:hint="cs"/>
          <w:rtl/>
        </w:rPr>
        <w:t xml:space="preserve">: </w:t>
      </w:r>
      <w:r w:rsidRPr="00366C30">
        <w:rPr>
          <w:rFonts w:hint="cs"/>
          <w:rtl/>
        </w:rPr>
        <w:lastRenderedPageBreak/>
        <w:t>لا تأكلوا ذبيحة نصارى العرب فإنهم ليسوا أهل الكتاب</w:t>
      </w:r>
      <w:r w:rsidRPr="006A4ECD">
        <w:rPr>
          <w:rFonts w:cs="Abz-2 (Badr)" w:hint="cs"/>
          <w:rtl/>
        </w:rPr>
        <w:t>&gt;</w:t>
      </w:r>
      <w:r w:rsidRPr="00815C4C">
        <w:rPr>
          <w:rFonts w:cs="Taher"/>
          <w:vertAlign w:val="superscript"/>
          <w:rtl/>
        </w:rPr>
        <w:t>(</w:t>
      </w:r>
      <w:r w:rsidRPr="00815C4C">
        <w:rPr>
          <w:rFonts w:cs="Taher"/>
          <w:vertAlign w:val="superscript"/>
          <w:rtl/>
        </w:rPr>
        <w:footnoteReference w:id="459"/>
      </w:r>
      <w:r w:rsidRPr="00815C4C">
        <w:rPr>
          <w:rFonts w:cs="Taher"/>
          <w:vertAlign w:val="superscript"/>
          <w:rtl/>
        </w:rPr>
        <w:t>)</w:t>
      </w:r>
      <w:r w:rsidRPr="00366C30">
        <w:rPr>
          <w:rFonts w:hint="cs"/>
          <w:rtl/>
        </w:rPr>
        <w:t>، وهو ما يفهم منه الحكومة على أدلّة الجواز والتحريم بإخراج نصارى العرب عن أهل الكتاب؛ فمن المحتمل جداً ـ بل هو الظاهر ـ أن يكون النهي مختصّاً بتلك الجماعة المسؤول عنها. وهذا هو الحال في خبر أبي بصير، بل إنّه يتضمّن دعوى نسخ آية المائدة؛ وهي دعوى غير صحيحة يقيناً، كما سيأتي.</w:t>
      </w:r>
    </w:p>
    <w:p w:rsidR="00F04A58" w:rsidRPr="00366C30" w:rsidRDefault="00F04A58" w:rsidP="00E24C1D">
      <w:pPr>
        <w:pStyle w:val="ac"/>
        <w:spacing w:line="211" w:lineRule="auto"/>
        <w:rPr>
          <w:rtl/>
        </w:rPr>
      </w:pPr>
      <w:r w:rsidRPr="00366C30">
        <w:rPr>
          <w:rFonts w:hint="cs"/>
          <w:rtl/>
        </w:rPr>
        <w:t>وبعض الروايات ظاهر في الكراهة؛ كصحيح ابن سنان عن أبي عبدالله</w:t>
      </w:r>
      <w:r w:rsidR="005067D6">
        <w:rPr>
          <w:rFonts w:hint="cs"/>
          <w:sz w:val="27"/>
          <w:rtl/>
        </w:rPr>
        <w:t>×</w:t>
      </w:r>
      <w:r w:rsidRPr="00366C30">
        <w:rPr>
          <w:rFonts w:hint="cs"/>
          <w:rtl/>
        </w:rPr>
        <w:t xml:space="preserve">: </w:t>
      </w:r>
      <w:r w:rsidR="00F56506" w:rsidRPr="006A4ECD">
        <w:rPr>
          <w:rFonts w:cs="Abz-2 (Badr)" w:hint="cs"/>
          <w:rtl/>
        </w:rPr>
        <w:t>&lt;</w:t>
      </w:r>
      <w:r w:rsidRPr="00366C30">
        <w:rPr>
          <w:rFonts w:hint="cs"/>
          <w:rtl/>
        </w:rPr>
        <w:t>وما أحبّ للرجل المسلم أن يتزوج اليهوديّة ولا النصرانيّة مخافة أن يتهوّد ولده أو يتنصّر</w:t>
      </w:r>
      <w:r w:rsidRPr="006A4ECD">
        <w:rPr>
          <w:rFonts w:cs="Abz-2 (Badr)" w:hint="cs"/>
          <w:rtl/>
        </w:rPr>
        <w:t>&gt;</w:t>
      </w:r>
      <w:r w:rsidRPr="00366C30">
        <w:rPr>
          <w:rFonts w:hint="cs"/>
          <w:rtl/>
        </w:rPr>
        <w:t xml:space="preserve">. بل نحن نرى في تتمّة خبر ابن سنان قال: </w:t>
      </w:r>
      <w:r w:rsidRPr="006A4ECD">
        <w:rPr>
          <w:rFonts w:cs="Abz-2 (Badr)" w:hint="cs"/>
          <w:rtl/>
        </w:rPr>
        <w:t>&lt;</w:t>
      </w:r>
      <w:r w:rsidRPr="00366C30">
        <w:rPr>
          <w:rFonts w:hint="cs"/>
          <w:rtl/>
        </w:rPr>
        <w:t>سأله أبي ـ وأنا أسمع ـ عن نكاح اليهودية والنصرانيّة، فقال: نكاحهما أحبّ إليّ من نكاح الناصبيّة، ولا أحبّ للرّجل المسلم..</w:t>
      </w:r>
      <w:r w:rsidRPr="006A4ECD">
        <w:rPr>
          <w:rFonts w:cs="Abz-2 (Badr)" w:hint="cs"/>
          <w:rtl/>
        </w:rPr>
        <w:t>&gt;</w:t>
      </w:r>
      <w:r w:rsidRPr="00366C30">
        <w:rPr>
          <w:rFonts w:hint="cs"/>
          <w:rtl/>
        </w:rPr>
        <w:t>؛ وهذا معناه دلالة الخبر على الجواز؛ والعجب من حذف مطلع الرواية، ثمّ الاستناد إلى القسم الأخير منها!</w:t>
      </w:r>
    </w:p>
    <w:p w:rsidR="00F04A58" w:rsidRPr="00366C30" w:rsidRDefault="00F04A58" w:rsidP="00E24C1D">
      <w:pPr>
        <w:pStyle w:val="ac"/>
        <w:spacing w:line="211" w:lineRule="auto"/>
        <w:rPr>
          <w:rtl/>
        </w:rPr>
      </w:pPr>
      <w:r w:rsidRPr="00366C30">
        <w:rPr>
          <w:rFonts w:hint="cs"/>
          <w:rtl/>
        </w:rPr>
        <w:t>2ـ معارضة هذه الروايات لنصّ القرآن الحاكم بحليّة نكاح أهل الكتاب صريحاً بلفظ التحليل؛ ممّا يسقط حجيّتها بعد هذا التعارض الواضح؛ لأنّ النسبة بينهما هي التباين لا العموم والخصوص.</w:t>
      </w:r>
    </w:p>
    <w:p w:rsidR="00F04A58" w:rsidRPr="00366C30" w:rsidRDefault="00F04A58" w:rsidP="00E24C1D">
      <w:pPr>
        <w:pStyle w:val="ac"/>
        <w:spacing w:line="211" w:lineRule="auto"/>
        <w:rPr>
          <w:rtl/>
        </w:rPr>
      </w:pPr>
      <w:r w:rsidRPr="00366C30">
        <w:rPr>
          <w:rFonts w:hint="cs"/>
          <w:rtl/>
        </w:rPr>
        <w:t>3ـ معارضة هذه الأحاديث للروايات الدالّة على الترخيص في الزواج منهنّ، وسوف تعرف أنّها مستفيضة أو متواترة دالّة منطوقاً ومفهوماً</w:t>
      </w:r>
      <w:r w:rsidRPr="00815C4C">
        <w:rPr>
          <w:rFonts w:cs="Taher"/>
          <w:vertAlign w:val="superscript"/>
          <w:rtl/>
        </w:rPr>
        <w:t>(</w:t>
      </w:r>
      <w:r w:rsidRPr="00815C4C">
        <w:rPr>
          <w:rFonts w:cs="Taher"/>
          <w:vertAlign w:val="superscript"/>
          <w:rtl/>
        </w:rPr>
        <w:footnoteReference w:id="460"/>
      </w:r>
      <w:r w:rsidRPr="00815C4C">
        <w:rPr>
          <w:rFonts w:cs="Taher"/>
          <w:vertAlign w:val="superscript"/>
          <w:rtl/>
        </w:rPr>
        <w:t>)</w:t>
      </w:r>
      <w:r w:rsidRPr="00366C30">
        <w:rPr>
          <w:rFonts w:hint="cs"/>
          <w:rtl/>
        </w:rPr>
        <w:t>.</w:t>
      </w:r>
    </w:p>
    <w:p w:rsidR="00F04A58" w:rsidRPr="00366C30" w:rsidRDefault="00F04A58" w:rsidP="00E24C1D">
      <w:pPr>
        <w:pStyle w:val="ac"/>
        <w:spacing w:line="211" w:lineRule="auto"/>
        <w:rPr>
          <w:rtl/>
        </w:rPr>
      </w:pPr>
      <w:r w:rsidRPr="00366C30">
        <w:rPr>
          <w:rFonts w:hint="cs"/>
          <w:b/>
          <w:bCs/>
          <w:rtl/>
        </w:rPr>
        <w:t>ج ـ وقفة مع دليل الإجماع:</w:t>
      </w:r>
      <w:r w:rsidRPr="00366C30">
        <w:rPr>
          <w:rFonts w:hint="cs"/>
          <w:rtl/>
        </w:rPr>
        <w:t xml:space="preserve"> إنّ دعوى الإجماع هنا غريبة جداً؛ لأنّ نظرية المنع المطلق لم يسبقها إجماع ولم يلحقها، بل </w:t>
      </w:r>
      <w:r w:rsidRPr="006A4ECD">
        <w:rPr>
          <w:rFonts w:cs="Abz-2 (Badr)" w:hint="cs"/>
          <w:rtl/>
        </w:rPr>
        <w:t>&lt;</w:t>
      </w:r>
      <w:r w:rsidRPr="00366C30">
        <w:rPr>
          <w:rFonts w:hint="cs"/>
          <w:rtl/>
        </w:rPr>
        <w:t>المتبيّن خلافه خصوصاً في المتعة وملك اليمين</w:t>
      </w:r>
      <w:r w:rsidRPr="006A4ECD">
        <w:rPr>
          <w:rFonts w:cs="Abz-2 (Badr)" w:hint="cs"/>
          <w:rtl/>
        </w:rPr>
        <w:t>&gt;</w:t>
      </w:r>
      <w:r w:rsidRPr="00815C4C">
        <w:rPr>
          <w:rFonts w:cs="Taher"/>
          <w:vertAlign w:val="superscript"/>
          <w:rtl/>
        </w:rPr>
        <w:t>(</w:t>
      </w:r>
      <w:r w:rsidRPr="00815C4C">
        <w:rPr>
          <w:rFonts w:cs="Taher"/>
          <w:vertAlign w:val="superscript"/>
          <w:rtl/>
        </w:rPr>
        <w:footnoteReference w:id="461"/>
      </w:r>
      <w:r w:rsidRPr="00815C4C">
        <w:rPr>
          <w:rFonts w:cs="Taher"/>
          <w:vertAlign w:val="superscript"/>
          <w:rtl/>
        </w:rPr>
        <w:t>)</w:t>
      </w:r>
      <w:r w:rsidRPr="00366C30">
        <w:rPr>
          <w:rFonts w:hint="cs"/>
          <w:rtl/>
        </w:rPr>
        <w:t>؛ فلعلّ المرتضى المدّعي للإجماع هنا لم يبلغه خلاف ابن أبي عقيل وغيره من المتقدّمين، أو قصد من الإجماع غيرَ المصطلح.</w:t>
      </w:r>
    </w:p>
    <w:p w:rsidR="00F04A58" w:rsidRPr="00366C30" w:rsidRDefault="00F04A58" w:rsidP="006B634E">
      <w:pPr>
        <w:pStyle w:val="ac"/>
        <w:rPr>
          <w:rtl/>
        </w:rPr>
      </w:pPr>
      <w:r w:rsidRPr="00366C30">
        <w:rPr>
          <w:rFonts w:hint="cs"/>
          <w:b/>
          <w:bCs/>
          <w:rtl/>
        </w:rPr>
        <w:lastRenderedPageBreak/>
        <w:t>د ـ وقفة مع قاعدة الاحتياط:</w:t>
      </w:r>
      <w:r w:rsidRPr="00366C30">
        <w:rPr>
          <w:rFonts w:hint="cs"/>
          <w:rtl/>
        </w:rPr>
        <w:t xml:space="preserve"> إنّ قاعدة الاحتياط هنا ملغيّة بقوله تعالى: </w:t>
      </w:r>
      <w:r w:rsidRPr="006B634E">
        <w:rPr>
          <w:rFonts w:hint="cs"/>
          <w:b/>
          <w:bCs/>
          <w:rtl/>
        </w:rPr>
        <w:sym w:font="Islamic Units 1" w:char="F03E"/>
      </w:r>
      <w:r w:rsidRPr="006B634E">
        <w:rPr>
          <w:rFonts w:hint="cs"/>
          <w:b/>
          <w:bCs/>
          <w:rtl/>
        </w:rPr>
        <w:t xml:space="preserve">وأحِلّ لَكُمْ </w:t>
      </w:r>
      <w:r w:rsidRPr="006B634E">
        <w:rPr>
          <w:b/>
          <w:bCs/>
          <w:rtl/>
        </w:rPr>
        <w:t>مَّا وَرَاء ذَلِكُمْ أَن تَبْتَغُوا بِأَمْوَالِكُم مُّحْصِنِينَ غَيْرَ مُسَافِحِينَ</w:t>
      </w:r>
      <w:r w:rsidRPr="006B634E">
        <w:rPr>
          <w:b/>
          <w:bCs/>
          <w:rtl/>
        </w:rPr>
        <w:sym w:font="Islamic Units 1" w:char="F03C"/>
      </w:r>
      <w:r w:rsidRPr="006B634E">
        <w:rPr>
          <w:rFonts w:hint="cs"/>
          <w:b/>
          <w:bCs/>
          <w:rtl/>
        </w:rPr>
        <w:t xml:space="preserve"> </w:t>
      </w:r>
      <w:r w:rsidRPr="00366C30">
        <w:rPr>
          <w:rFonts w:hint="cs"/>
          <w:rtl/>
        </w:rPr>
        <w:t>(النساء: 42)، حيث جاء هذا المقطع بعد إحصاء المحرّمات من النساء</w:t>
      </w:r>
      <w:r w:rsidRPr="00F96354">
        <w:rPr>
          <w:rFonts w:hint="cs"/>
          <w:rtl/>
        </w:rPr>
        <w:t>؛ فتمثل هذه الآية مبدأ وقانوناً سارياً في سائر أصناف النساء، ومنهنّ الكتابيات، إلاّ</w:t>
      </w:r>
      <w:r w:rsidRPr="00366C30">
        <w:rPr>
          <w:rFonts w:hint="cs"/>
          <w:rtl/>
        </w:rPr>
        <w:t xml:space="preserve"> أن يقال: إنّ الآية ليست في مقام الإحصاء حيث لم تذكر المشركات المحرّم نكاحهنّ إجماعاً. وحتى لو سلّمنا بهذا الإشكال لا محلّ لقاعدة المنع مع وجود الأدلة على الخلاف وكذلك أصالة الاحتياط. وسيأتي.</w:t>
      </w:r>
    </w:p>
    <w:p w:rsidR="00F04A58" w:rsidRPr="00E24C1D" w:rsidRDefault="00F04A58" w:rsidP="00E24C1D">
      <w:pPr>
        <w:pStyle w:val="afffffc"/>
        <w:rPr>
          <w:sz w:val="16"/>
          <w:szCs w:val="14"/>
          <w:rtl/>
        </w:rPr>
      </w:pPr>
    </w:p>
    <w:p w:rsidR="00F04A58" w:rsidRDefault="00F04A58" w:rsidP="00E24C1D">
      <w:pPr>
        <w:pStyle w:val="2"/>
        <w:rPr>
          <w:rtl/>
        </w:rPr>
      </w:pPr>
      <w:bookmarkStart w:id="293" w:name="_Toc275128015"/>
      <w:r>
        <w:rPr>
          <w:rFonts w:hint="cs"/>
          <w:rtl/>
        </w:rPr>
        <w:t>2 ـ أدلّة نظرية التفصيل بين زواجي المتعة والدائم</w:t>
      </w:r>
      <w:bookmarkEnd w:id="293"/>
    </w:p>
    <w:p w:rsidR="00F04A58" w:rsidRPr="00366C30" w:rsidRDefault="00F04A58" w:rsidP="00E24C1D">
      <w:pPr>
        <w:pStyle w:val="ac"/>
        <w:spacing w:line="202" w:lineRule="auto"/>
        <w:rPr>
          <w:rtl/>
        </w:rPr>
      </w:pPr>
      <w:r w:rsidRPr="00366C30">
        <w:rPr>
          <w:rFonts w:hint="cs"/>
          <w:rtl/>
        </w:rPr>
        <w:t>استدلّ أنصار نظرية التفصيل هنا بدليلين اثنين: الكتاب والسنّة، إلى جانب الشهرة.</w:t>
      </w:r>
    </w:p>
    <w:p w:rsidR="00F04A58" w:rsidRPr="00366C30" w:rsidRDefault="00F04A58" w:rsidP="00E24C1D">
      <w:pPr>
        <w:pStyle w:val="ac"/>
        <w:spacing w:line="202" w:lineRule="auto"/>
        <w:rPr>
          <w:rtl/>
        </w:rPr>
      </w:pPr>
      <w:r w:rsidRPr="00366C30">
        <w:rPr>
          <w:rFonts w:hint="cs"/>
          <w:b/>
          <w:rtl/>
        </w:rPr>
        <w:t>أ</w:t>
      </w:r>
      <w:r w:rsidR="000331D1">
        <w:rPr>
          <w:rFonts w:hint="cs"/>
          <w:b/>
          <w:rtl/>
        </w:rPr>
        <w:t xml:space="preserve"> </w:t>
      </w:r>
      <w:r w:rsidRPr="00366C30">
        <w:rPr>
          <w:rFonts w:hint="cs"/>
          <w:b/>
          <w:rtl/>
        </w:rPr>
        <w:t>ـ أمّا دليل الكتاب:</w:t>
      </w:r>
      <w:r w:rsidRPr="00366C30">
        <w:rPr>
          <w:rFonts w:hint="cs"/>
          <w:rtl/>
        </w:rPr>
        <w:t xml:space="preserve"> فهو قوله تعالى: </w:t>
      </w:r>
      <w:r w:rsidR="000331D1">
        <w:rPr>
          <w:rFonts w:ascii="Mosawi" w:hAnsi="Mosawi"/>
          <w:rtl/>
        </w:rPr>
        <w:t>﴿</w:t>
      </w:r>
      <w:r w:rsidRPr="000331D1">
        <w:rPr>
          <w:b/>
          <w:bCs/>
          <w:rtl/>
        </w:rPr>
        <w:t xml:space="preserve">الْيَوْمَ أُحِلَّ لَكُمُ الطَّيِّبَاتُ وَطَعَامُ الَّذِينَ </w:t>
      </w:r>
      <w:r w:rsidRPr="000331D1">
        <w:rPr>
          <w:rFonts w:hint="cs"/>
          <w:b/>
          <w:bCs/>
          <w:rtl/>
        </w:rPr>
        <w:br/>
      </w:r>
      <w:r w:rsidRPr="000331D1">
        <w:rPr>
          <w:b/>
          <w:bCs/>
          <w:rtl/>
        </w:rPr>
        <w:t>أُوتُوا الْكِتَابَ حِلٌّ لَّكُمْ وَطَعَامُكُمْ حِلُّ لَّهُمْ وَالْمُحْصَنَاتُ مِنَ الْمُؤْمِنَاتِ وَالْمُحْصَنَاتُ مِنَ الَّذِينَ أُوتُوا الْكِتَابَ مِن قَبْلِكُمْ إِذَا آتَيْتُمُوهُنَّ أُجُورَهُنَّ مُحْصِنِينَ غَيْرَ مُسَافِحِينَ وَلاَ مُتَّخِذِي أَخْدَانٍ</w:t>
      </w:r>
      <w:r w:rsidR="000331D1">
        <w:rPr>
          <w:rFonts w:ascii="Mosawi" w:hAnsi="Mosawi"/>
          <w:rtl/>
        </w:rPr>
        <w:t>﴾</w:t>
      </w:r>
      <w:r>
        <w:rPr>
          <w:rFonts w:hint="cs"/>
          <w:rtl/>
        </w:rPr>
        <w:t xml:space="preserve"> </w:t>
      </w:r>
      <w:r w:rsidRPr="00366C30">
        <w:rPr>
          <w:rFonts w:hint="cs"/>
          <w:rtl/>
        </w:rPr>
        <w:t>(المائدة: 5).</w:t>
      </w:r>
    </w:p>
    <w:p w:rsidR="00F04A58" w:rsidRPr="00366C30" w:rsidRDefault="00F04A58" w:rsidP="00E24C1D">
      <w:pPr>
        <w:pStyle w:val="ac"/>
        <w:spacing w:line="202" w:lineRule="auto"/>
        <w:rPr>
          <w:rtl/>
        </w:rPr>
      </w:pPr>
      <w:r w:rsidRPr="00366C30">
        <w:rPr>
          <w:rFonts w:hint="cs"/>
          <w:rtl/>
        </w:rPr>
        <w:t xml:space="preserve">ولا نقاش في دلالة هذه الآية على جواز زواج الكتابيّات؛ وفرضية نسخها بآيتي البقرة والممتحنة ـ مع تأخّرها نزولاً ـ ممّا يدفعه العقل؛ لاستحالة نسخ السابق اللاحقَّ؛ لذا يجوز نكاحهنّ؛ إلا أنّ باقي الآية ـ أعني قوله تعالى: </w:t>
      </w:r>
      <w:r w:rsidRPr="00D51EB8">
        <w:rPr>
          <w:rFonts w:hint="cs"/>
          <w:rtl/>
        </w:rPr>
        <w:sym w:font="Islamic Units 1" w:char="F03E"/>
      </w:r>
      <w:r w:rsidRPr="006B634E">
        <w:rPr>
          <w:b/>
          <w:bCs/>
          <w:rtl/>
        </w:rPr>
        <w:t>إِذَا آتَيْتُمُوهُنَّ أُجُورَهُنَّ</w:t>
      </w:r>
      <w:r w:rsidRPr="00D51EB8">
        <w:rPr>
          <w:rtl/>
        </w:rPr>
        <w:sym w:font="Islamic Units 1" w:char="F03C"/>
      </w:r>
      <w:r w:rsidRPr="00366C30">
        <w:rPr>
          <w:rFonts w:hint="cs"/>
          <w:rtl/>
        </w:rPr>
        <w:t xml:space="preserve"> ـ دالّ على نوع خاصّ من النكاح، وهو المتعة لا الدائم؛ على أساس أنّ </w:t>
      </w:r>
      <w:r w:rsidRPr="006A4ECD">
        <w:rPr>
          <w:rFonts w:cs="Abz-2 (Badr)" w:hint="cs"/>
          <w:rtl/>
        </w:rPr>
        <w:t>&lt;</w:t>
      </w:r>
      <w:r w:rsidRPr="00366C30">
        <w:rPr>
          <w:rFonts w:hint="cs"/>
          <w:rtl/>
        </w:rPr>
        <w:t>الأجر</w:t>
      </w:r>
      <w:r w:rsidRPr="006A4ECD">
        <w:rPr>
          <w:rFonts w:cs="Abz-2 (Badr)" w:hint="cs"/>
          <w:rtl/>
        </w:rPr>
        <w:t>&gt;</w:t>
      </w:r>
      <w:r w:rsidRPr="00366C30">
        <w:rPr>
          <w:rFonts w:hint="cs"/>
          <w:rtl/>
        </w:rPr>
        <w:t xml:space="preserve"> في القرآن إنّما يطلق على عوض يصالح عليه في الزواج المؤقّت، على خلاف الدائم </w:t>
      </w:r>
      <w:r w:rsidRPr="006A4ECD">
        <w:rPr>
          <w:rFonts w:cs="Abz-2 (Badr)" w:hint="cs"/>
          <w:rtl/>
        </w:rPr>
        <w:t>&lt;</w:t>
      </w:r>
      <w:r w:rsidRPr="00366C30">
        <w:rPr>
          <w:rFonts w:hint="cs"/>
          <w:rtl/>
        </w:rPr>
        <w:t>فإنّ عوضه يسمّ</w:t>
      </w:r>
      <w:r>
        <w:rPr>
          <w:rFonts w:hint="cs"/>
          <w:rtl/>
        </w:rPr>
        <w:t>ى</w:t>
      </w:r>
      <w:r w:rsidRPr="00366C30">
        <w:rPr>
          <w:rFonts w:hint="cs"/>
          <w:rtl/>
        </w:rPr>
        <w:t xml:space="preserve"> بالمَهر والصّداق ونحوهما</w:t>
      </w:r>
      <w:r w:rsidRPr="006A4ECD">
        <w:rPr>
          <w:rFonts w:cs="Abz-2 (Badr)" w:hint="cs"/>
          <w:rtl/>
        </w:rPr>
        <w:t>&gt;</w:t>
      </w:r>
      <w:r w:rsidRPr="00815C4C">
        <w:rPr>
          <w:rFonts w:cs="Taher"/>
          <w:vertAlign w:val="superscript"/>
          <w:rtl/>
        </w:rPr>
        <w:t>(</w:t>
      </w:r>
      <w:r w:rsidRPr="00815C4C">
        <w:rPr>
          <w:rFonts w:cs="Taher"/>
          <w:vertAlign w:val="superscript"/>
          <w:rtl/>
        </w:rPr>
        <w:footnoteReference w:id="462"/>
      </w:r>
      <w:r w:rsidRPr="00815C4C">
        <w:rPr>
          <w:rFonts w:cs="Taher"/>
          <w:vertAlign w:val="superscript"/>
          <w:rtl/>
        </w:rPr>
        <w:t>)</w:t>
      </w:r>
      <w:r w:rsidRPr="00366C30">
        <w:rPr>
          <w:rFonts w:hint="cs"/>
          <w:rtl/>
        </w:rPr>
        <w:t xml:space="preserve">. ويشهد على ذلك قوله تعالى: </w:t>
      </w:r>
      <w:r w:rsidRPr="00D51EB8">
        <w:rPr>
          <w:rFonts w:hint="cs"/>
          <w:rtl/>
        </w:rPr>
        <w:sym w:font="Islamic Units 1" w:char="F03E"/>
      </w:r>
      <w:r w:rsidRPr="003B44ED">
        <w:rPr>
          <w:b/>
          <w:bCs/>
          <w:rtl/>
        </w:rPr>
        <w:t>فَمَا اسْتَمْتَعْتُم بِهِ مِنْهُنَّ فَآتُوهُنَّ أُجُورَهُنَّ فَرِيضَةً</w:t>
      </w:r>
      <w:r w:rsidRPr="00D51EB8">
        <w:rPr>
          <w:rtl/>
        </w:rPr>
        <w:sym w:font="Islamic Units 1" w:char="F03C"/>
      </w:r>
      <w:r w:rsidRPr="00366C30">
        <w:rPr>
          <w:rFonts w:hint="cs"/>
          <w:rtl/>
        </w:rPr>
        <w:t xml:space="preserve"> (النساء: 24)، قال ابن عباس والسّدي: هو المتعة إلى أجل مسمّ</w:t>
      </w:r>
      <w:r>
        <w:rPr>
          <w:rFonts w:hint="cs"/>
          <w:rtl/>
        </w:rPr>
        <w:t>ى</w:t>
      </w:r>
      <w:r w:rsidRPr="00366C30">
        <w:rPr>
          <w:rFonts w:hint="cs"/>
          <w:rtl/>
        </w:rPr>
        <w:t xml:space="preserve"> وهو مذهبنا؛ لأنّ لفظ الاستمتاع إذا أطلق لا يستفاد منه في الشرع إلا العقد المؤجّل ولو كان المراد به عقد النكاح الدائم لوجب لها جميع المهر بنفس العقد؛ </w:t>
      </w:r>
      <w:r w:rsidRPr="00366C30">
        <w:rPr>
          <w:rFonts w:hint="cs"/>
          <w:rtl/>
        </w:rPr>
        <w:lastRenderedPageBreak/>
        <w:t xml:space="preserve">لأنّه قال: </w:t>
      </w:r>
      <w:r w:rsidRPr="00D51EB8">
        <w:rPr>
          <w:rFonts w:hint="cs"/>
          <w:rtl/>
        </w:rPr>
        <w:sym w:font="Islamic Units 1" w:char="F03E"/>
      </w:r>
      <w:r w:rsidRPr="003B44ED">
        <w:rPr>
          <w:b/>
          <w:bCs/>
          <w:rtl/>
        </w:rPr>
        <w:t>فَآتُوهُنَّ أُجُورَهُنَّ</w:t>
      </w:r>
      <w:r w:rsidRPr="00D51EB8">
        <w:rPr>
          <w:rtl/>
        </w:rPr>
        <w:sym w:font="Islamic Units 1" w:char="F03C"/>
      </w:r>
      <w:r w:rsidRPr="00366C30">
        <w:rPr>
          <w:rFonts w:hint="cs"/>
          <w:rtl/>
        </w:rPr>
        <w:t xml:space="preserve"> يعني مهورهنّ عند أكثر المفسّرين، وذلك غير واجب بلا خلاف، وإنّما يجب الأجر بكماله في عقد المتعة</w:t>
      </w:r>
      <w:r w:rsidRPr="00815C4C">
        <w:rPr>
          <w:rFonts w:cs="Taher"/>
          <w:vertAlign w:val="superscript"/>
          <w:rtl/>
        </w:rPr>
        <w:t>(</w:t>
      </w:r>
      <w:r w:rsidRPr="00815C4C">
        <w:rPr>
          <w:rFonts w:cs="Taher"/>
          <w:vertAlign w:val="superscript"/>
          <w:rtl/>
        </w:rPr>
        <w:footnoteReference w:id="463"/>
      </w:r>
      <w:r w:rsidRPr="00815C4C">
        <w:rPr>
          <w:rFonts w:cs="Taher"/>
          <w:vertAlign w:val="superscript"/>
          <w:rtl/>
        </w:rPr>
        <w:t>)</w:t>
      </w:r>
      <w:r w:rsidRPr="00366C30">
        <w:rPr>
          <w:rFonts w:hint="cs"/>
          <w:rtl/>
        </w:rPr>
        <w:t>، ويؤكّد ذلك أيضاً ما روي عن أبي بصير قال: سألت أبا جعفر</w:t>
      </w:r>
      <w:r w:rsidR="003B44ED">
        <w:rPr>
          <w:rFonts w:hint="cs"/>
          <w:sz w:val="27"/>
          <w:rtl/>
        </w:rPr>
        <w:t>×</w:t>
      </w:r>
      <w:r w:rsidRPr="00366C30">
        <w:rPr>
          <w:rFonts w:hint="cs"/>
          <w:rtl/>
        </w:rPr>
        <w:t xml:space="preserve"> عن المتعة فقال:</w:t>
      </w:r>
      <w:r w:rsidRPr="006A4ECD">
        <w:rPr>
          <w:rFonts w:cs="Abz-2 (Badr)" w:hint="cs"/>
          <w:rtl/>
        </w:rPr>
        <w:t xml:space="preserve"> &lt;</w:t>
      </w:r>
      <w:r w:rsidRPr="00366C30">
        <w:rPr>
          <w:rFonts w:hint="cs"/>
          <w:rtl/>
        </w:rPr>
        <w:t xml:space="preserve">نزلت في القرآن: </w:t>
      </w:r>
      <w:r w:rsidRPr="00D51EB8">
        <w:rPr>
          <w:rFonts w:hint="cs"/>
          <w:rtl/>
        </w:rPr>
        <w:sym w:font="Islamic Units 1" w:char="F03E"/>
      </w:r>
      <w:r w:rsidRPr="003B44ED">
        <w:rPr>
          <w:b/>
          <w:bCs/>
          <w:rtl/>
        </w:rPr>
        <w:t>فَمَا اسْتَمْتَعْتُم بِهِ مِنْهُنَّ فَآتُوهُنَّ أُجُورَهُنَّ فَرِيضَةً</w:t>
      </w:r>
      <w:r w:rsidRPr="00D51EB8">
        <w:rPr>
          <w:rtl/>
        </w:rPr>
        <w:sym w:font="Islamic Units 1" w:char="F03C"/>
      </w:r>
      <w:r w:rsidRPr="006A4ECD">
        <w:rPr>
          <w:rFonts w:cs="Abz-2 (Badr)" w:hint="cs"/>
          <w:rtl/>
        </w:rPr>
        <w:t>&gt;</w:t>
      </w:r>
      <w:r w:rsidRPr="00366C30">
        <w:rPr>
          <w:rFonts w:hint="cs"/>
          <w:rtl/>
        </w:rPr>
        <w:t>، وقراءة ابن عباس..</w:t>
      </w:r>
      <w:r w:rsidRPr="00815C4C">
        <w:rPr>
          <w:rFonts w:cs="Taher"/>
          <w:vertAlign w:val="superscript"/>
          <w:rtl/>
        </w:rPr>
        <w:t>(</w:t>
      </w:r>
      <w:r w:rsidRPr="00815C4C">
        <w:rPr>
          <w:rFonts w:cs="Taher"/>
          <w:vertAlign w:val="superscript"/>
          <w:rtl/>
        </w:rPr>
        <w:footnoteReference w:id="464"/>
      </w:r>
      <w:r w:rsidRPr="00815C4C">
        <w:rPr>
          <w:rFonts w:cs="Taher"/>
          <w:vertAlign w:val="superscript"/>
          <w:rtl/>
        </w:rPr>
        <w:t>)</w:t>
      </w:r>
      <w:r w:rsidRPr="00366C30">
        <w:rPr>
          <w:rFonts w:hint="cs"/>
          <w:rtl/>
        </w:rPr>
        <w:t xml:space="preserve">. وأمّا قوله تعالى: </w:t>
      </w:r>
      <w:r w:rsidRPr="00D51EB8">
        <w:rPr>
          <w:rFonts w:hint="cs"/>
          <w:rtl/>
        </w:rPr>
        <w:sym w:font="Islamic Units 1" w:char="F03E"/>
      </w:r>
      <w:r w:rsidRPr="003B44ED">
        <w:rPr>
          <w:b/>
          <w:bCs/>
          <w:rtl/>
        </w:rPr>
        <w:t>وَلاَ تَنكِحُوا الْمُشْرِكَاتِ</w:t>
      </w:r>
      <w:r w:rsidRPr="00D51EB8">
        <w:rPr>
          <w:rtl/>
        </w:rPr>
        <w:sym w:font="Islamic Units 1" w:char="F03C"/>
      </w:r>
      <w:r w:rsidRPr="00366C30">
        <w:rPr>
          <w:rFonts w:hint="cs"/>
          <w:rtl/>
        </w:rPr>
        <w:t xml:space="preserve"> فهي غير منسوخة بهذه الآية؛ لأنّ ما يباح في هذه الآية هو النكاح المؤقت فقط، والمنهيّ عنه في آية البقرة هو النكاح الدائم؛ وبهذا يرتفع التعارض بين الآيتين، وكذلك في آية الممتحنة، أعني قوله تعالى: </w:t>
      </w:r>
      <w:r w:rsidRPr="00D51EB8">
        <w:rPr>
          <w:rFonts w:hint="cs"/>
          <w:rtl/>
        </w:rPr>
        <w:sym w:font="Islamic Units 1" w:char="F03E"/>
      </w:r>
      <w:r w:rsidRPr="003B44ED">
        <w:rPr>
          <w:b/>
          <w:bCs/>
          <w:rtl/>
        </w:rPr>
        <w:t>وَلا تُمْسِكُوا بِعِصَمِ الْكَوَافِر</w:t>
      </w:r>
      <w:r w:rsidRPr="00D51EB8">
        <w:rPr>
          <w:rtl/>
        </w:rPr>
        <w:sym w:font="Islamic Units 1" w:char="F03C"/>
      </w:r>
      <w:r w:rsidRPr="00366C30">
        <w:rPr>
          <w:rFonts w:hint="cs"/>
          <w:rtl/>
        </w:rPr>
        <w:t>.</w:t>
      </w:r>
    </w:p>
    <w:p w:rsidR="00F04A58" w:rsidRPr="00366C30" w:rsidRDefault="00F04A58" w:rsidP="005067D6">
      <w:pPr>
        <w:pStyle w:val="ac"/>
        <w:rPr>
          <w:rtl/>
        </w:rPr>
      </w:pPr>
      <w:r w:rsidRPr="00366C30">
        <w:rPr>
          <w:rFonts w:hint="cs"/>
          <w:b/>
          <w:bCs/>
          <w:rtl/>
        </w:rPr>
        <w:t>ب ـ وأمّا دليل السنّة:</w:t>
      </w:r>
      <w:r w:rsidRPr="00366C30">
        <w:rPr>
          <w:rFonts w:hint="cs"/>
          <w:rtl/>
        </w:rPr>
        <w:t xml:space="preserve"> فهو يتكوّن عبر جمع فئتين من الرّوايات: التي تمنع نكاح الكتابيّة مطلقاً، كما مضت في أدلة المانعين، والتي تجيز الزواج منها متعةً؛ مثل خبر التفليسيّ عن الرّضا</w:t>
      </w:r>
      <w:r w:rsidR="005067D6">
        <w:rPr>
          <w:rFonts w:hint="cs"/>
          <w:sz w:val="27"/>
          <w:rtl/>
        </w:rPr>
        <w:t>×</w:t>
      </w:r>
      <w:r w:rsidRPr="00366C30">
        <w:rPr>
          <w:rFonts w:hint="cs"/>
          <w:rtl/>
        </w:rPr>
        <w:t xml:space="preserve">: </w:t>
      </w:r>
      <w:r w:rsidRPr="006A4ECD">
        <w:rPr>
          <w:rFonts w:cs="Abz-2 (Badr)" w:hint="cs"/>
          <w:rtl/>
        </w:rPr>
        <w:t>&lt;</w:t>
      </w:r>
      <w:r w:rsidRPr="00366C30">
        <w:rPr>
          <w:rFonts w:hint="cs"/>
          <w:rtl/>
        </w:rPr>
        <w:t>يتمتّع الرجل من اليهوديّة والنصرانيّة؟ قال: يتمتّع من الحرّة المؤمنة وهي أعظم حرمة منها</w:t>
      </w:r>
      <w:r w:rsidRPr="006A4ECD">
        <w:rPr>
          <w:rFonts w:cs="Abz-2 (Badr)" w:hint="cs"/>
          <w:rtl/>
        </w:rPr>
        <w:t>&gt;</w:t>
      </w:r>
      <w:r w:rsidRPr="00815C4C">
        <w:rPr>
          <w:rFonts w:cs="Taher"/>
          <w:vertAlign w:val="superscript"/>
          <w:rtl/>
        </w:rPr>
        <w:t>(</w:t>
      </w:r>
      <w:r w:rsidRPr="00815C4C">
        <w:rPr>
          <w:rFonts w:cs="Taher"/>
          <w:vertAlign w:val="superscript"/>
          <w:rtl/>
        </w:rPr>
        <w:footnoteReference w:id="465"/>
      </w:r>
      <w:r w:rsidRPr="00815C4C">
        <w:rPr>
          <w:rFonts w:cs="Taher"/>
          <w:vertAlign w:val="superscript"/>
          <w:rtl/>
        </w:rPr>
        <w:t>)</w:t>
      </w:r>
      <w:r w:rsidRPr="00366C30">
        <w:rPr>
          <w:rFonts w:hint="cs"/>
          <w:rtl/>
        </w:rPr>
        <w:t xml:space="preserve">، وخبر زرارة: </w:t>
      </w:r>
      <w:r w:rsidRPr="006A4ECD">
        <w:rPr>
          <w:rFonts w:cs="Abz-2 (Badr)" w:hint="cs"/>
          <w:rtl/>
        </w:rPr>
        <w:t>&lt;</w:t>
      </w:r>
      <w:r w:rsidRPr="00366C30">
        <w:rPr>
          <w:rFonts w:hint="cs"/>
          <w:rtl/>
        </w:rPr>
        <w:t>سمعته</w:t>
      </w:r>
      <w:r w:rsidR="005067D6">
        <w:rPr>
          <w:rFonts w:hint="cs"/>
          <w:sz w:val="27"/>
          <w:rtl/>
        </w:rPr>
        <w:t>×</w:t>
      </w:r>
      <w:r w:rsidRPr="00366C30">
        <w:rPr>
          <w:rFonts w:hint="cs"/>
          <w:rtl/>
        </w:rPr>
        <w:t xml:space="preserve"> يقول: لا بأس أن يتزوج اليهوديّة والنصرانيّة متعةً وعنده امرأة</w:t>
      </w:r>
      <w:r w:rsidRPr="006A4ECD">
        <w:rPr>
          <w:rFonts w:cs="Abz-2 (Badr)" w:hint="cs"/>
          <w:rtl/>
        </w:rPr>
        <w:t>&gt;</w:t>
      </w:r>
      <w:r w:rsidRPr="00366C30">
        <w:rPr>
          <w:rFonts w:hint="cs"/>
          <w:rtl/>
        </w:rPr>
        <w:t xml:space="preserve">، وموثق الأشعري: </w:t>
      </w:r>
      <w:r w:rsidRPr="006A4ECD">
        <w:rPr>
          <w:rFonts w:cs="Abz-2 (Badr)" w:hint="cs"/>
          <w:rtl/>
        </w:rPr>
        <w:t>&lt;</w:t>
      </w:r>
      <w:r w:rsidRPr="00366C30">
        <w:rPr>
          <w:rFonts w:hint="cs"/>
          <w:rtl/>
        </w:rPr>
        <w:t>سألته</w:t>
      </w:r>
      <w:r w:rsidR="005067D6">
        <w:rPr>
          <w:rFonts w:hint="cs"/>
          <w:sz w:val="27"/>
          <w:rtl/>
        </w:rPr>
        <w:t>×</w:t>
      </w:r>
      <w:r w:rsidRPr="00366C30">
        <w:rPr>
          <w:rFonts w:hint="cs"/>
          <w:rtl/>
        </w:rPr>
        <w:t xml:space="preserve"> عن الرجل يتمتّع من اليهوديّة والنصرانيّة فقال: لا أرى بذلك بأساً</w:t>
      </w:r>
      <w:r w:rsidRPr="006A4ECD">
        <w:rPr>
          <w:rFonts w:cs="Abz-2 (Badr)" w:hint="cs"/>
          <w:rtl/>
        </w:rPr>
        <w:t>&gt;</w:t>
      </w:r>
      <w:r w:rsidRPr="00366C30">
        <w:rPr>
          <w:rFonts w:hint="cs"/>
          <w:rtl/>
        </w:rPr>
        <w:t>، ومرسل ابن فضّال عن أبي عبدالله</w:t>
      </w:r>
      <w:r w:rsidR="005067D6">
        <w:rPr>
          <w:rFonts w:hint="cs"/>
          <w:sz w:val="27"/>
          <w:rtl/>
        </w:rPr>
        <w:t>×</w:t>
      </w:r>
      <w:r w:rsidRPr="00366C30">
        <w:rPr>
          <w:rFonts w:hint="cs"/>
          <w:rtl/>
        </w:rPr>
        <w:t xml:space="preserve">: </w:t>
      </w:r>
      <w:r w:rsidRPr="006A4ECD">
        <w:rPr>
          <w:rFonts w:cs="Abz-2 (Badr)" w:hint="cs"/>
          <w:rtl/>
        </w:rPr>
        <w:t>&lt;</w:t>
      </w:r>
      <w:r w:rsidRPr="00366C30">
        <w:rPr>
          <w:rFonts w:hint="cs"/>
          <w:rtl/>
        </w:rPr>
        <w:t>لا بأس أن يتمتّع الرجل باليهوديّة والنصرانيّة وعنده حرّة</w:t>
      </w:r>
      <w:r w:rsidRPr="006A4ECD">
        <w:rPr>
          <w:rFonts w:cs="Abz-2 (Badr)" w:hint="cs"/>
          <w:rtl/>
        </w:rPr>
        <w:t>&gt;</w:t>
      </w:r>
      <w:r w:rsidRPr="00815C4C">
        <w:rPr>
          <w:rFonts w:cs="Taher"/>
          <w:vertAlign w:val="superscript"/>
          <w:rtl/>
        </w:rPr>
        <w:t>(</w:t>
      </w:r>
      <w:r w:rsidRPr="00815C4C">
        <w:rPr>
          <w:rFonts w:cs="Taher"/>
          <w:vertAlign w:val="superscript"/>
          <w:rtl/>
        </w:rPr>
        <w:footnoteReference w:id="466"/>
      </w:r>
      <w:r w:rsidRPr="00815C4C">
        <w:rPr>
          <w:rFonts w:cs="Taher"/>
          <w:vertAlign w:val="superscript"/>
          <w:rtl/>
        </w:rPr>
        <w:t>)</w:t>
      </w:r>
      <w:r w:rsidRPr="00366C30">
        <w:rPr>
          <w:rFonts w:hint="cs"/>
          <w:rtl/>
        </w:rPr>
        <w:t>. ومقتضى الجمع بين هذه الأخبار حمل المنع على الزواج الدائم وحمل الجواز على المتعة. وإن شئت قلت: إنّ المنع المطلق ثابت بإطلاق أخباره إلاّ ما خرج من تحته بالروايات المقيّدة، وهو المتعة، فيبق</w:t>
      </w:r>
      <w:r>
        <w:rPr>
          <w:rFonts w:hint="cs"/>
          <w:rtl/>
        </w:rPr>
        <w:t>ى</w:t>
      </w:r>
      <w:r w:rsidRPr="00366C30">
        <w:rPr>
          <w:rFonts w:hint="cs"/>
          <w:rtl/>
        </w:rPr>
        <w:t xml:space="preserve"> الدّائم تحت إطلاق المنع.</w:t>
      </w:r>
    </w:p>
    <w:p w:rsidR="00F04A58" w:rsidRDefault="00F04A58" w:rsidP="003B44ED">
      <w:pPr>
        <w:pStyle w:val="ac"/>
        <w:rPr>
          <w:rtl/>
        </w:rPr>
      </w:pPr>
      <w:r w:rsidRPr="00366C30">
        <w:rPr>
          <w:rFonts w:hint="cs"/>
          <w:b/>
          <w:bCs/>
          <w:rtl/>
        </w:rPr>
        <w:t>ج ـ وأمّا دليل الشهرة:</w:t>
      </w:r>
      <w:r w:rsidRPr="00366C30">
        <w:rPr>
          <w:rFonts w:hint="cs"/>
          <w:rtl/>
        </w:rPr>
        <w:t xml:space="preserve"> فليس خافياً أنّ فقهاء الشيعة منذ القديم قالوا بهذا التفصيل بين المتعة والدائم، حيث أجازوا الأوّل ومنعوا الثاني، وهذه هي الشهرة العملية المطابقة للرواية المرجّحة عند التعارض، قال في المبسوط: </w:t>
      </w:r>
      <w:r w:rsidRPr="006A4ECD">
        <w:rPr>
          <w:rFonts w:cs="Abz-2 (Badr)" w:hint="cs"/>
          <w:rtl/>
        </w:rPr>
        <w:t>&lt;</w:t>
      </w:r>
      <w:r w:rsidRPr="00366C30">
        <w:rPr>
          <w:rFonts w:hint="cs"/>
          <w:rtl/>
        </w:rPr>
        <w:t>قد أجاز أصحابنا كل</w:t>
      </w:r>
      <w:r>
        <w:rPr>
          <w:rFonts w:hint="cs"/>
          <w:rtl/>
        </w:rPr>
        <w:t>ّ</w:t>
      </w:r>
      <w:r w:rsidRPr="00366C30">
        <w:rPr>
          <w:rFonts w:hint="cs"/>
          <w:rtl/>
        </w:rPr>
        <w:t xml:space="preserve">هم </w:t>
      </w:r>
      <w:r w:rsidRPr="00366C30">
        <w:rPr>
          <w:rFonts w:hint="cs"/>
          <w:rtl/>
        </w:rPr>
        <w:lastRenderedPageBreak/>
        <w:t>التمتّع بالكتابيّة</w:t>
      </w:r>
      <w:r w:rsidRPr="006A4ECD">
        <w:rPr>
          <w:rFonts w:cs="Abz-2 (Badr)" w:hint="cs"/>
          <w:rtl/>
        </w:rPr>
        <w:t>&gt;</w:t>
      </w:r>
      <w:r w:rsidRPr="00815C4C">
        <w:rPr>
          <w:rFonts w:cs="Taher"/>
          <w:vertAlign w:val="superscript"/>
          <w:rtl/>
        </w:rPr>
        <w:t>(</w:t>
      </w:r>
      <w:r w:rsidRPr="00815C4C">
        <w:rPr>
          <w:rFonts w:cs="Taher"/>
          <w:vertAlign w:val="superscript"/>
          <w:rtl/>
        </w:rPr>
        <w:footnoteReference w:id="467"/>
      </w:r>
      <w:r w:rsidRPr="00815C4C">
        <w:rPr>
          <w:rFonts w:cs="Taher"/>
          <w:vertAlign w:val="superscript"/>
          <w:rtl/>
        </w:rPr>
        <w:t>)</w:t>
      </w:r>
      <w:r w:rsidRPr="00366C30">
        <w:rPr>
          <w:rFonts w:hint="cs"/>
          <w:rtl/>
        </w:rPr>
        <w:t>.</w:t>
      </w:r>
    </w:p>
    <w:p w:rsidR="003B44ED" w:rsidRPr="00366C30" w:rsidRDefault="003B44ED" w:rsidP="00E24C1D">
      <w:pPr>
        <w:pStyle w:val="afffffc"/>
        <w:rPr>
          <w:rtl/>
        </w:rPr>
      </w:pPr>
    </w:p>
    <w:p w:rsidR="00F04A58" w:rsidRDefault="00F04A58" w:rsidP="00E24C1D">
      <w:pPr>
        <w:pStyle w:val="2"/>
        <w:rPr>
          <w:rtl/>
        </w:rPr>
      </w:pPr>
      <w:bookmarkStart w:id="294" w:name="_Toc275128016"/>
      <w:r>
        <w:rPr>
          <w:rFonts w:hint="cs"/>
          <w:rtl/>
        </w:rPr>
        <w:t>مناقشة لأدلّة نظرية التفصيل بين الدائم والمؤقّت</w:t>
      </w:r>
      <w:bookmarkEnd w:id="294"/>
    </w:p>
    <w:p w:rsidR="00F04A58" w:rsidRPr="00366C30" w:rsidRDefault="00F04A58" w:rsidP="00E24C1D">
      <w:pPr>
        <w:pStyle w:val="ac"/>
        <w:spacing w:line="211" w:lineRule="auto"/>
        <w:rPr>
          <w:rtl/>
        </w:rPr>
      </w:pPr>
      <w:r w:rsidRPr="00366C30">
        <w:rPr>
          <w:rFonts w:hint="cs"/>
          <w:b/>
          <w:bCs/>
          <w:rtl/>
        </w:rPr>
        <w:t>أ ـ أمّا دليل الكتاب:</w:t>
      </w:r>
      <w:r w:rsidRPr="00366C30">
        <w:rPr>
          <w:rFonts w:hint="cs"/>
          <w:rtl/>
        </w:rPr>
        <w:t xml:space="preserve"> فاعتمادهم فيه على كلمة الأجور في قوله تعالى: </w:t>
      </w:r>
      <w:r w:rsidRPr="00D51EB8">
        <w:rPr>
          <w:rFonts w:hint="cs"/>
          <w:rtl/>
        </w:rPr>
        <w:sym w:font="Islamic Units 1" w:char="F03E"/>
      </w:r>
      <w:r w:rsidRPr="003B44ED">
        <w:rPr>
          <w:b/>
          <w:bCs/>
          <w:rtl/>
        </w:rPr>
        <w:t>إِذَا آتَيْتُمُوهُنَّ أُجُورَهُنَّ مُحْصِنِينَ</w:t>
      </w:r>
      <w:r w:rsidRPr="00D51EB8">
        <w:rPr>
          <w:rtl/>
        </w:rPr>
        <w:sym w:font="Islamic Units 1" w:char="F03C"/>
      </w:r>
      <w:r w:rsidRPr="00366C30">
        <w:rPr>
          <w:rFonts w:hint="cs"/>
          <w:rtl/>
        </w:rPr>
        <w:t xml:space="preserve"> (المائدة: 5)، حيث فهموا من الأجور عوض المتعة، وهذا واضح الضعف؛ </w:t>
      </w:r>
      <w:r w:rsidRPr="006A4ECD">
        <w:rPr>
          <w:rFonts w:cs="Abz-2 (Badr)" w:hint="cs"/>
          <w:rtl/>
        </w:rPr>
        <w:t>&lt;</w:t>
      </w:r>
      <w:r w:rsidRPr="00366C30">
        <w:rPr>
          <w:rFonts w:hint="cs"/>
          <w:rtl/>
        </w:rPr>
        <w:t>لأنّ الأجر يطلق على مطلق المهر</w:t>
      </w:r>
      <w:r w:rsidRPr="006A4ECD">
        <w:rPr>
          <w:rFonts w:cs="Abz-2 (Badr)" w:hint="cs"/>
          <w:rtl/>
        </w:rPr>
        <w:t>&gt;</w:t>
      </w:r>
      <w:r w:rsidRPr="00815C4C">
        <w:rPr>
          <w:rFonts w:cs="Taher"/>
          <w:vertAlign w:val="superscript"/>
          <w:rtl/>
        </w:rPr>
        <w:t>(</w:t>
      </w:r>
      <w:r w:rsidRPr="00815C4C">
        <w:rPr>
          <w:rFonts w:cs="Taher"/>
          <w:vertAlign w:val="superscript"/>
          <w:rtl/>
        </w:rPr>
        <w:footnoteReference w:id="468"/>
      </w:r>
      <w:r w:rsidRPr="00815C4C">
        <w:rPr>
          <w:rFonts w:cs="Taher"/>
          <w:vertAlign w:val="superscript"/>
          <w:rtl/>
        </w:rPr>
        <w:t>)</w:t>
      </w:r>
      <w:r w:rsidRPr="00366C30">
        <w:rPr>
          <w:rFonts w:hint="cs"/>
          <w:rtl/>
        </w:rPr>
        <w:t xml:space="preserve">، كما في آية أخرى: </w:t>
      </w:r>
      <w:r w:rsidRPr="003B44ED">
        <w:rPr>
          <w:rFonts w:hint="cs"/>
          <w:b/>
          <w:bCs/>
          <w:rtl/>
        </w:rPr>
        <w:sym w:font="Islamic Units 1" w:char="F03E"/>
      </w:r>
      <w:r w:rsidRPr="003B44ED">
        <w:rPr>
          <w:b/>
          <w:bCs/>
          <w:rtl/>
        </w:rPr>
        <w:t>فَانكِحُوهُنَّ بِإِذْنِ أَهْلِهِنَّ وَآتُوهُنَّ أُجُورَهُنَّ بِالْمَعْرُوفِ</w:t>
      </w:r>
      <w:r w:rsidRPr="003B44ED">
        <w:rPr>
          <w:b/>
          <w:bCs/>
          <w:rtl/>
        </w:rPr>
        <w:sym w:font="Islamic Units 1" w:char="F03C"/>
      </w:r>
      <w:r w:rsidRPr="003B44ED">
        <w:rPr>
          <w:rFonts w:hint="cs"/>
          <w:b/>
          <w:bCs/>
          <w:rtl/>
        </w:rPr>
        <w:t xml:space="preserve"> </w:t>
      </w:r>
      <w:r w:rsidRPr="00366C30">
        <w:rPr>
          <w:rFonts w:hint="cs"/>
          <w:rtl/>
        </w:rPr>
        <w:t xml:space="preserve">(النساء: 25)، أي </w:t>
      </w:r>
      <w:r w:rsidRPr="006A4ECD">
        <w:rPr>
          <w:rFonts w:cs="Abz-2 (Badr)" w:hint="cs"/>
          <w:rtl/>
        </w:rPr>
        <w:t>&lt;</w:t>
      </w:r>
      <w:r w:rsidRPr="00366C30">
        <w:rPr>
          <w:rFonts w:hint="cs"/>
          <w:rtl/>
        </w:rPr>
        <w:t>مهورهنّ</w:t>
      </w:r>
      <w:r w:rsidRPr="006A4ECD">
        <w:rPr>
          <w:rFonts w:cs="Abz-2 (Badr)" w:hint="cs"/>
          <w:rtl/>
        </w:rPr>
        <w:t>&gt;</w:t>
      </w:r>
      <w:r w:rsidRPr="00366C30">
        <w:rPr>
          <w:rFonts w:hint="cs"/>
          <w:rtl/>
        </w:rPr>
        <w:t xml:space="preserve"> بلا خلاف؛ كما أنّ الآية قد اشتملت على المحصنات من المؤمنات والمحصنات من أهل الكتاب، والمراد أجور الجميع؛ ولا شك في عدم اختصاص الجواز في المؤمنات بالتمتّع واحتمال اختصاص القيد بالكتابيّات يدفعه ظهور الآية في خلافه</w:t>
      </w:r>
      <w:r w:rsidRPr="00815C4C">
        <w:rPr>
          <w:rFonts w:cs="Taher"/>
          <w:vertAlign w:val="superscript"/>
          <w:rtl/>
        </w:rPr>
        <w:t>(</w:t>
      </w:r>
      <w:r w:rsidRPr="00815C4C">
        <w:rPr>
          <w:rFonts w:cs="Taher"/>
          <w:vertAlign w:val="superscript"/>
          <w:rtl/>
        </w:rPr>
        <w:footnoteReference w:id="469"/>
      </w:r>
      <w:r w:rsidRPr="00815C4C">
        <w:rPr>
          <w:rFonts w:cs="Taher"/>
          <w:vertAlign w:val="superscript"/>
          <w:rtl/>
        </w:rPr>
        <w:t>)</w:t>
      </w:r>
      <w:r w:rsidRPr="00366C30">
        <w:rPr>
          <w:rFonts w:hint="cs"/>
          <w:rtl/>
        </w:rPr>
        <w:t>.</w:t>
      </w:r>
    </w:p>
    <w:p w:rsidR="00F04A58" w:rsidRPr="00366C30" w:rsidRDefault="00F04A58" w:rsidP="00E24C1D">
      <w:pPr>
        <w:pStyle w:val="ac"/>
        <w:spacing w:line="211" w:lineRule="auto"/>
        <w:rPr>
          <w:rtl/>
        </w:rPr>
      </w:pPr>
      <w:r w:rsidRPr="00366C30">
        <w:rPr>
          <w:rFonts w:hint="cs"/>
          <w:rtl/>
        </w:rPr>
        <w:t xml:space="preserve">وأمّا قوله تعالى: </w:t>
      </w:r>
      <w:r w:rsidRPr="003B44ED">
        <w:rPr>
          <w:rFonts w:hint="cs"/>
          <w:b/>
          <w:bCs/>
          <w:rtl/>
        </w:rPr>
        <w:sym w:font="Islamic Units 1" w:char="F03E"/>
      </w:r>
      <w:r w:rsidRPr="003B44ED">
        <w:rPr>
          <w:b/>
          <w:bCs/>
          <w:rtl/>
        </w:rPr>
        <w:t>فَمَا اسْتَمْتَعْتُم بِهِ مِنْهُنَّ فَآتُوهُنَّ أُجُورَهُنَّ فَرِيضَةً</w:t>
      </w:r>
      <w:r w:rsidRPr="003B44ED">
        <w:rPr>
          <w:b/>
          <w:bCs/>
          <w:rtl/>
        </w:rPr>
        <w:sym w:font="Islamic Units 1" w:char="F03C"/>
      </w:r>
      <w:r w:rsidRPr="00366C30">
        <w:rPr>
          <w:rFonts w:hint="cs"/>
          <w:rtl/>
        </w:rPr>
        <w:t xml:space="preserve"> (النساء: 24)، فليس بشاهد على ذلك؛ لأنّ مراده ـ أعني المتعة ـ إنّما يفهم من قرينة أخرى تكون في الآية أحياناً كلفظ </w:t>
      </w:r>
      <w:r w:rsidRPr="006A4ECD">
        <w:rPr>
          <w:rFonts w:cs="Abz-2 (Badr)" w:hint="cs"/>
          <w:rtl/>
        </w:rPr>
        <w:t>&lt;</w:t>
      </w:r>
      <w:r w:rsidRPr="00366C30">
        <w:rPr>
          <w:rFonts w:hint="cs"/>
          <w:rtl/>
        </w:rPr>
        <w:t>الاستمتاع</w:t>
      </w:r>
      <w:r w:rsidRPr="006A4ECD">
        <w:rPr>
          <w:rFonts w:cs="Abz-2 (Badr)" w:hint="cs"/>
          <w:rtl/>
        </w:rPr>
        <w:t>&gt;</w:t>
      </w:r>
      <w:r w:rsidRPr="00366C30">
        <w:rPr>
          <w:rFonts w:hint="cs"/>
          <w:rtl/>
        </w:rPr>
        <w:t>، أو من الأحاديث.</w:t>
      </w:r>
    </w:p>
    <w:p w:rsidR="00F04A58" w:rsidRPr="00366C30" w:rsidRDefault="00F04A58" w:rsidP="00E24C1D">
      <w:pPr>
        <w:pStyle w:val="ac"/>
        <w:spacing w:line="211" w:lineRule="auto"/>
        <w:rPr>
          <w:rtl/>
        </w:rPr>
      </w:pPr>
      <w:r w:rsidRPr="00366C30">
        <w:rPr>
          <w:rFonts w:hint="cs"/>
          <w:b/>
          <w:bCs/>
          <w:rtl/>
        </w:rPr>
        <w:t>ب ـ وأمّا دليل السنّة:</w:t>
      </w:r>
      <w:r w:rsidRPr="00366C30">
        <w:rPr>
          <w:rFonts w:hint="cs"/>
          <w:rtl/>
        </w:rPr>
        <w:t xml:space="preserve"> فالجمع الذي مارسوه بين الروايات مخالف للقاعدة؛ لأنّ أخبار المنع المطلق تعارض أخبار الجواز المطلق ـ كما سيأتي في أدلّة المجوّزين ـ والجمع ينبغي أن يكون بينهما على القاعدة؛ ثمّ تقييد مطلق المنع قبل خلاصه عن معارضة مطلق الجواز ـ مع أنّه غير ثابت الحجيّة لأجل المعارضة ـ خطأ واضح. ولا يخفى أنّ الأخبار الدالة على جواز المتعة لا تدلّ ـ بأيّ نحو من أنحاء الدلالة ـ على عدم جواز الدائم، ولا ملازمة بينهما كما هو واضح؛ بل ربّما تكون الملازمة بين جواز المتعة وجواز الدائم، وسيأتي الكلام عنها، إن شاء الله.</w:t>
      </w:r>
    </w:p>
    <w:p w:rsidR="00F04A58" w:rsidRDefault="00F04A58" w:rsidP="003B44ED">
      <w:pPr>
        <w:pStyle w:val="ac"/>
        <w:rPr>
          <w:rtl/>
        </w:rPr>
      </w:pPr>
      <w:r w:rsidRPr="00366C30">
        <w:rPr>
          <w:rFonts w:hint="cs"/>
          <w:b/>
          <w:bCs/>
          <w:rtl/>
        </w:rPr>
        <w:lastRenderedPageBreak/>
        <w:t xml:space="preserve">ج ـ وأمّا دليل الشهرة: </w:t>
      </w:r>
      <w:r w:rsidRPr="00366C30">
        <w:rPr>
          <w:rFonts w:hint="cs"/>
          <w:rtl/>
        </w:rPr>
        <w:t>فالحق ـ خلافاً لما قاله الشيخ محمد رضا المظفر</w:t>
      </w:r>
      <w:r w:rsidRPr="00815C4C">
        <w:rPr>
          <w:rFonts w:cs="Taher"/>
          <w:vertAlign w:val="superscript"/>
          <w:rtl/>
        </w:rPr>
        <w:t>(</w:t>
      </w:r>
      <w:r w:rsidRPr="00815C4C">
        <w:rPr>
          <w:rFonts w:cs="Taher"/>
          <w:vertAlign w:val="superscript"/>
          <w:rtl/>
        </w:rPr>
        <w:footnoteReference w:id="470"/>
      </w:r>
      <w:r w:rsidRPr="00815C4C">
        <w:rPr>
          <w:rFonts w:cs="Taher"/>
          <w:vertAlign w:val="superscript"/>
          <w:rtl/>
        </w:rPr>
        <w:t>)</w:t>
      </w:r>
      <w:r w:rsidRPr="00366C30">
        <w:rPr>
          <w:rFonts w:hint="cs"/>
          <w:rtl/>
        </w:rPr>
        <w:t xml:space="preserve"> ـ أنّه لا مبرّر لاتّباع المشهور المتبيّن خلافه من الأدلة، والشهرة على قسمين: الشهرة الروائيّة والشهرة الفتوائيّة. والحجّة أولها لإيجادها الظنّ بصدور الحديث، أمّا الثانية فقد أجمع الفقهاء على أنّها ليست بحجّة ولا يستدلّ بها على شيء خصوصاً إذا كانت في المتأخّرين، والذي يبدو أنّ شهرة الق</w:t>
      </w:r>
      <w:r>
        <w:rPr>
          <w:rFonts w:hint="cs"/>
          <w:rtl/>
        </w:rPr>
        <w:t>ول بالتفصيل شهرةٌ فتوائيّة لا ر</w:t>
      </w:r>
      <w:r w:rsidRPr="00366C30">
        <w:rPr>
          <w:rFonts w:hint="cs"/>
          <w:rtl/>
        </w:rPr>
        <w:t>وائية، بل يمكن أن يقال: إنّ الشهرة الروائيّة هي شهرة القول بالجواز المطلق وله شواهد كثيرة، كالروايات الواردة في ميراث الزوجة الكتابيّة وحقوقها ممّا هو متفرّع على جواز نكاحها الدائم، إضافةً إلى ما تقدّم من إجماع الصحابة والتابعين وعدم ثبوت الخلاف في صدر الإسلام.</w:t>
      </w:r>
    </w:p>
    <w:p w:rsidR="00BE2F7D" w:rsidRPr="00E24C1D" w:rsidRDefault="00BE2F7D" w:rsidP="00E24C1D">
      <w:pPr>
        <w:pStyle w:val="afffffc"/>
        <w:rPr>
          <w:sz w:val="18"/>
          <w:szCs w:val="16"/>
          <w:rtl/>
        </w:rPr>
      </w:pPr>
    </w:p>
    <w:p w:rsidR="00F04A58" w:rsidRDefault="00F04A58" w:rsidP="00E24C1D">
      <w:pPr>
        <w:pStyle w:val="2"/>
        <w:rPr>
          <w:rtl/>
        </w:rPr>
      </w:pPr>
      <w:bookmarkStart w:id="295" w:name="_Toc275128017"/>
      <w:r>
        <w:rPr>
          <w:rFonts w:hint="cs"/>
          <w:rtl/>
        </w:rPr>
        <w:t>3ـ أدلّة نظرية الترخيص المطلق في الزواج من الكتابيّات</w:t>
      </w:r>
      <w:bookmarkEnd w:id="295"/>
    </w:p>
    <w:p w:rsidR="00F04A58" w:rsidRPr="00366C30" w:rsidRDefault="00F04A58" w:rsidP="00E24C1D">
      <w:pPr>
        <w:pStyle w:val="ac"/>
        <w:spacing w:line="199" w:lineRule="auto"/>
        <w:rPr>
          <w:rtl/>
        </w:rPr>
      </w:pPr>
      <w:r w:rsidRPr="00366C30">
        <w:rPr>
          <w:rFonts w:hint="cs"/>
          <w:rtl/>
        </w:rPr>
        <w:t>استدلّ المرحوم محمد جواد مغنية للجواز بأدلّة ثلاثة: عمومات التجويز، الكتاب، والسنّة.</w:t>
      </w:r>
    </w:p>
    <w:p w:rsidR="00F04A58" w:rsidRPr="00366C30" w:rsidRDefault="00F04A58" w:rsidP="00E24C1D">
      <w:pPr>
        <w:pStyle w:val="ac"/>
        <w:spacing w:line="199" w:lineRule="auto"/>
        <w:rPr>
          <w:rtl/>
        </w:rPr>
      </w:pPr>
      <w:r w:rsidRPr="00366C30">
        <w:rPr>
          <w:rFonts w:hint="cs"/>
          <w:b/>
          <w:bCs/>
          <w:rtl/>
        </w:rPr>
        <w:t>أ ـ عمومات التجويز:</w:t>
      </w:r>
      <w:r w:rsidRPr="00366C30">
        <w:rPr>
          <w:rFonts w:hint="cs"/>
          <w:rtl/>
        </w:rPr>
        <w:t xml:space="preserve"> وهي الأدلة الدالة على إباحة الزواج بوجه عامّ، خرج منه زواج المسلم بالمشركة والمسلمة بالمشرك والكتابي، وبقي ما عدا ذلك مشمولاً للعمومات والإطلاقات.</w:t>
      </w:r>
    </w:p>
    <w:p w:rsidR="00F04A58" w:rsidRPr="00E535A4" w:rsidRDefault="00F04A58" w:rsidP="00E24C1D">
      <w:pPr>
        <w:pStyle w:val="ac"/>
        <w:spacing w:line="199" w:lineRule="auto"/>
        <w:rPr>
          <w:rtl/>
        </w:rPr>
      </w:pPr>
      <w:r w:rsidRPr="00BE2F7D">
        <w:rPr>
          <w:rFonts w:hint="cs"/>
          <w:b/>
          <w:bCs/>
          <w:rtl/>
        </w:rPr>
        <w:t>ب ـ نصوص القرآن:</w:t>
      </w:r>
      <w:r w:rsidRPr="00BE2F7D">
        <w:rPr>
          <w:rFonts w:hint="cs"/>
          <w:rtl/>
        </w:rPr>
        <w:t xml:space="preserve"> وهي قوله تعالى:</w:t>
      </w:r>
      <w:r w:rsidRPr="00366C30">
        <w:rPr>
          <w:rFonts w:cs="AL-Mohanad" w:hint="cs"/>
          <w:rtl/>
        </w:rPr>
        <w:t xml:space="preserve"> </w:t>
      </w:r>
      <w:r w:rsidRPr="00D51EB8">
        <w:rPr>
          <w:rFonts w:cs="AL-Mohanad" w:hint="cs"/>
          <w:rtl/>
        </w:rPr>
        <w:sym w:font="Islamic Units 1" w:char="F03E"/>
      </w:r>
      <w:r w:rsidRPr="00BE2F7D">
        <w:rPr>
          <w:b/>
          <w:bCs/>
          <w:sz w:val="36"/>
          <w:rtl/>
        </w:rPr>
        <w:t>الْيَوْمَ أُحِلَّ لَكُمُ الطَّيِّبَاتُ وَطَعَامُ الَّذِينَ أُوتُوا الْكِتَابَ حِلٌّ لَّكُمْ وَطَعَامُكُمْ حِلُّ لَّهُمْ وَالْمُحْصَنَاتُ مِنَ الْمُؤْمِنَاتِ وَالْمُحْصَنَاتُ مِنَ الَّذِينَ أُوتُوا الْكِتَابَ مِن قَبْلِكُمْ</w:t>
      </w:r>
      <w:r w:rsidRPr="00D51EB8">
        <w:rPr>
          <w:rFonts w:cs="AL-Mohanad"/>
          <w:rtl/>
        </w:rPr>
        <w:sym w:font="Islamic Units 1" w:char="F03C"/>
      </w:r>
      <w:r w:rsidRPr="00E535A4">
        <w:rPr>
          <w:rFonts w:hint="cs"/>
          <w:rtl/>
        </w:rPr>
        <w:t xml:space="preserve"> (المائدة: 5)، فإنّ هذه الآية ظاهرة في حلّ أهل الكتاب دواماً ومتعةً وملك يمين. أمّا قوله سبحانه:</w:t>
      </w:r>
      <w:r w:rsidRPr="00366C30">
        <w:rPr>
          <w:rFonts w:cs="AL-Mohanad" w:hint="cs"/>
          <w:rtl/>
        </w:rPr>
        <w:t xml:space="preserve"> </w:t>
      </w:r>
      <w:r w:rsidRPr="00D51EB8">
        <w:rPr>
          <w:rFonts w:cs="AL-Mohanad" w:hint="cs"/>
          <w:rtl/>
        </w:rPr>
        <w:sym w:font="Islamic Units 1" w:char="F03E"/>
      </w:r>
      <w:r w:rsidRPr="00E535A4">
        <w:rPr>
          <w:b/>
          <w:bCs/>
          <w:rtl/>
        </w:rPr>
        <w:t>وَلاَ تَنكِحُوا الْمُشْرِكَاتِ حَتَّى يُؤْمِنَّ</w:t>
      </w:r>
      <w:r w:rsidRPr="00D51EB8">
        <w:rPr>
          <w:rFonts w:cs="AL-Mohanad"/>
          <w:rtl/>
        </w:rPr>
        <w:sym w:font="Islamic Units 1" w:char="F03C"/>
      </w:r>
      <w:r w:rsidRPr="00366C30">
        <w:rPr>
          <w:rFonts w:cs="AL-Mohanad" w:hint="cs"/>
          <w:rtl/>
        </w:rPr>
        <w:t xml:space="preserve"> </w:t>
      </w:r>
      <w:r w:rsidRPr="00E535A4">
        <w:rPr>
          <w:rFonts w:hint="cs"/>
          <w:rtl/>
        </w:rPr>
        <w:t xml:space="preserve">(البقرة: 221)، فهو خاصّ بالمشركات وهنّ غير الكتابيّات. وأمّا آية </w:t>
      </w:r>
      <w:r w:rsidRPr="00E535A4">
        <w:rPr>
          <w:rFonts w:hint="cs"/>
          <w:b/>
          <w:bCs/>
          <w:rtl/>
        </w:rPr>
        <w:sym w:font="Islamic Units 1" w:char="F03E"/>
      </w:r>
      <w:r w:rsidRPr="00E535A4">
        <w:rPr>
          <w:b/>
          <w:bCs/>
          <w:rtl/>
        </w:rPr>
        <w:t>وَلا تُمْسِكُوا بِعِصَمِ الْكَوَافِر</w:t>
      </w:r>
      <w:r w:rsidRPr="00D51EB8">
        <w:rPr>
          <w:rFonts w:cs="AL-Mohanad"/>
          <w:rtl/>
        </w:rPr>
        <w:sym w:font="Islamic Units 1" w:char="F03C"/>
      </w:r>
      <w:r w:rsidRPr="00366C30">
        <w:rPr>
          <w:rFonts w:cs="AL-Mohanad" w:hint="cs"/>
          <w:rtl/>
        </w:rPr>
        <w:t xml:space="preserve"> </w:t>
      </w:r>
      <w:r w:rsidRPr="00E535A4">
        <w:rPr>
          <w:rFonts w:hint="cs"/>
          <w:rtl/>
        </w:rPr>
        <w:t>(الممتحنة: 10)، فليست صريحةً في الزواج؛ لأنّ الإمساك بالعصم كما يُكنى به عن الزواج يُكنّى به عن غيره أيضاً.</w:t>
      </w:r>
    </w:p>
    <w:p w:rsidR="00F04A58" w:rsidRDefault="00F04A58" w:rsidP="005067D6">
      <w:pPr>
        <w:pStyle w:val="ac"/>
        <w:rPr>
          <w:rtl/>
        </w:rPr>
      </w:pPr>
      <w:r w:rsidRPr="00366C30">
        <w:rPr>
          <w:rFonts w:hint="cs"/>
          <w:b/>
          <w:bCs/>
          <w:rtl/>
        </w:rPr>
        <w:t>ج ـ نصوص السنّة:</w:t>
      </w:r>
      <w:r w:rsidRPr="00366C30">
        <w:rPr>
          <w:rFonts w:hint="cs"/>
          <w:rtl/>
        </w:rPr>
        <w:t xml:space="preserve"> وهي الروايات الكثيرة عن أهل البيت</w:t>
      </w:r>
      <w:r w:rsidR="005067D6">
        <w:rPr>
          <w:rFonts w:hint="cs"/>
          <w:rtl/>
        </w:rPr>
        <w:t>^</w:t>
      </w:r>
      <w:r w:rsidRPr="00366C30">
        <w:rPr>
          <w:rFonts w:hint="cs"/>
          <w:rtl/>
        </w:rPr>
        <w:t xml:space="preserve">، وهي الأساس هنا </w:t>
      </w:r>
      <w:r w:rsidRPr="00366C30">
        <w:rPr>
          <w:rFonts w:hint="cs"/>
          <w:rtl/>
        </w:rPr>
        <w:lastRenderedPageBreak/>
        <w:t>في الموضوع، وقد ذكرها صاحب الوسائل والجواهر ووصفها هذا بالمستفيضة، أي بلغت حدّاً من الكثرة يقرب من التواتر؛ منها أنّ رجلاً سأل الإمام الصّادق</w:t>
      </w:r>
      <w:r w:rsidR="005067D6">
        <w:rPr>
          <w:rFonts w:hint="cs"/>
          <w:sz w:val="27"/>
          <w:rtl/>
        </w:rPr>
        <w:t>×</w:t>
      </w:r>
      <w:r w:rsidRPr="00366C30">
        <w:rPr>
          <w:rFonts w:hint="cs"/>
          <w:rtl/>
        </w:rPr>
        <w:t xml:space="preserve"> عن رجل مؤمن يتزوّج اليهوديّة والنصرانيّة فقال الإمام:</w:t>
      </w:r>
      <w:r>
        <w:rPr>
          <w:rFonts w:cs="Abz-2 (Badr)" w:hint="cs"/>
          <w:rtl/>
        </w:rPr>
        <w:t xml:space="preserve"> </w:t>
      </w:r>
      <w:r w:rsidRPr="006A4ECD">
        <w:rPr>
          <w:rFonts w:cs="Abz-2 (Badr)" w:hint="cs"/>
          <w:rtl/>
        </w:rPr>
        <w:t>&lt;</w:t>
      </w:r>
      <w:r w:rsidRPr="00366C30">
        <w:rPr>
          <w:rFonts w:hint="cs"/>
          <w:rtl/>
        </w:rPr>
        <w:t>إذا أصاب المسلمة فماذا يصنع باليهوديّة والنصرانيّة؟ قال السائل: يكون له فيها الهو</w:t>
      </w:r>
      <w:r>
        <w:rPr>
          <w:rFonts w:hint="cs"/>
          <w:rtl/>
        </w:rPr>
        <w:t>ى</w:t>
      </w:r>
      <w:r w:rsidRPr="00366C30">
        <w:rPr>
          <w:rFonts w:hint="cs"/>
          <w:rtl/>
        </w:rPr>
        <w:t>؛ فقال الإمام: إن فعل فليمنعها من شرب الخمر وأكل لحم الخنزير، واعلم أنّ له في دينه غضاضة</w:t>
      </w:r>
      <w:r w:rsidRPr="006A4ECD">
        <w:rPr>
          <w:rFonts w:cs="Abz-2 (Badr)" w:hint="cs"/>
          <w:rtl/>
        </w:rPr>
        <w:t>&gt;</w:t>
      </w:r>
      <w:r>
        <w:rPr>
          <w:rFonts w:cs="Abz-2 (Badr)" w:hint="cs"/>
          <w:rtl/>
        </w:rPr>
        <w:t>،</w:t>
      </w:r>
      <w:r w:rsidRPr="00366C30">
        <w:rPr>
          <w:rFonts w:hint="cs"/>
          <w:rtl/>
        </w:rPr>
        <w:t xml:space="preserve"> فلم يمنع الإمام السائل من الزواج بالكتابيّة بل أذن له بذلك حيث قال: </w:t>
      </w:r>
      <w:r w:rsidRPr="006A4ECD">
        <w:rPr>
          <w:rFonts w:cs="Abz-2 (Badr)" w:hint="cs"/>
          <w:rtl/>
        </w:rPr>
        <w:t>&lt;</w:t>
      </w:r>
      <w:r w:rsidRPr="00366C30">
        <w:rPr>
          <w:rFonts w:hint="cs"/>
          <w:rtl/>
        </w:rPr>
        <w:t>إن فعل فليمنعها من شرب الخمر</w:t>
      </w:r>
      <w:r w:rsidRPr="006A4ECD">
        <w:rPr>
          <w:rFonts w:cs="Abz-2 (Badr)" w:hint="cs"/>
          <w:rtl/>
        </w:rPr>
        <w:t>&gt;</w:t>
      </w:r>
      <w:r w:rsidRPr="00366C30">
        <w:rPr>
          <w:rFonts w:hint="cs"/>
          <w:rtl/>
        </w:rPr>
        <w:t xml:space="preserve"> هذا من حيث الدّلالة. أمّا من حيث السند فقال صاحب المسالك: </w:t>
      </w:r>
      <w:r w:rsidRPr="006A4ECD">
        <w:rPr>
          <w:rFonts w:cs="Abz-2 (Badr)" w:hint="cs"/>
          <w:rtl/>
        </w:rPr>
        <w:t>&lt;</w:t>
      </w:r>
      <w:r w:rsidRPr="00366C30">
        <w:rPr>
          <w:rFonts w:hint="cs"/>
          <w:rtl/>
        </w:rPr>
        <w:t>إن هذه الرواية أوضح ما في الباب سنداً؛ لأنّ طريقها صحيح، وفيها إشارة إلى كراهيّة التزويج المذكور فيمكن حمل النهي الوارد عنه على الكراهة جمعاً بين الروايات ـ ثم قال: ـ وقد انته</w:t>
      </w:r>
      <w:r>
        <w:rPr>
          <w:rFonts w:hint="cs"/>
          <w:rtl/>
        </w:rPr>
        <w:t>ى</w:t>
      </w:r>
      <w:r w:rsidRPr="00366C30">
        <w:rPr>
          <w:rFonts w:hint="cs"/>
          <w:rtl/>
        </w:rPr>
        <w:t xml:space="preserve"> الفقهاء في الخلاف والأدلّة إلى ما لا طائل تحته</w:t>
      </w:r>
      <w:r w:rsidRPr="006A4ECD">
        <w:rPr>
          <w:rFonts w:cs="Abz-2 (Badr)" w:hint="cs"/>
          <w:rtl/>
        </w:rPr>
        <w:t>&gt;</w:t>
      </w:r>
      <w:r w:rsidRPr="00815C4C">
        <w:rPr>
          <w:rFonts w:cs="Taher"/>
          <w:vertAlign w:val="superscript"/>
          <w:rtl/>
        </w:rPr>
        <w:t>(</w:t>
      </w:r>
      <w:r w:rsidRPr="00815C4C">
        <w:rPr>
          <w:rFonts w:cs="Taher"/>
          <w:vertAlign w:val="superscript"/>
          <w:rtl/>
        </w:rPr>
        <w:footnoteReference w:id="471"/>
      </w:r>
      <w:r w:rsidRPr="00815C4C">
        <w:rPr>
          <w:rFonts w:cs="Taher"/>
          <w:vertAlign w:val="superscript"/>
          <w:rtl/>
        </w:rPr>
        <w:t>)</w:t>
      </w:r>
      <w:r w:rsidRPr="00366C30">
        <w:rPr>
          <w:rFonts w:hint="cs"/>
          <w:rtl/>
        </w:rPr>
        <w:t>.</w:t>
      </w:r>
    </w:p>
    <w:p w:rsidR="003246D4" w:rsidRPr="00E24C1D" w:rsidRDefault="003246D4" w:rsidP="00E24C1D">
      <w:pPr>
        <w:pStyle w:val="afffffc"/>
        <w:rPr>
          <w:sz w:val="16"/>
          <w:szCs w:val="14"/>
          <w:rtl/>
        </w:rPr>
      </w:pPr>
    </w:p>
    <w:p w:rsidR="00F04A58" w:rsidRDefault="00F04A58" w:rsidP="00E24C1D">
      <w:pPr>
        <w:pStyle w:val="2"/>
        <w:rPr>
          <w:rtl/>
        </w:rPr>
      </w:pPr>
      <w:bookmarkStart w:id="296" w:name="_Toc275128018"/>
      <w:r>
        <w:rPr>
          <w:rFonts w:hint="cs"/>
          <w:rtl/>
        </w:rPr>
        <w:t>أدلة الترخيص المطلق، تطوير ومنافحة</w:t>
      </w:r>
      <w:bookmarkEnd w:id="296"/>
    </w:p>
    <w:p w:rsidR="00F04A58" w:rsidRPr="00366C30" w:rsidRDefault="00F04A58" w:rsidP="00E535A4">
      <w:pPr>
        <w:pStyle w:val="ac"/>
        <w:rPr>
          <w:rtl/>
        </w:rPr>
      </w:pPr>
      <w:r w:rsidRPr="00366C30">
        <w:rPr>
          <w:rFonts w:hint="cs"/>
          <w:rtl/>
        </w:rPr>
        <w:t>الإنصاف أن النظرية الثالثة ـ مع كون المشهور خلافها ـ من أوضح النظريات الفقهية، وقد عرفت ما يُستدلّ به عليها،لكنّ المفترض لفت النظر إلى بعض الأمور:</w:t>
      </w:r>
    </w:p>
    <w:p w:rsidR="00F04A58" w:rsidRPr="00366C30" w:rsidRDefault="00F04A58" w:rsidP="00E24C1D">
      <w:pPr>
        <w:pStyle w:val="ac"/>
        <w:spacing w:line="199" w:lineRule="auto"/>
        <w:rPr>
          <w:rtl/>
        </w:rPr>
      </w:pPr>
      <w:r w:rsidRPr="00366C30">
        <w:rPr>
          <w:rFonts w:hint="cs"/>
          <w:b/>
          <w:bCs/>
          <w:rtl/>
        </w:rPr>
        <w:t>أولاً:</w:t>
      </w:r>
      <w:r w:rsidRPr="00366C30">
        <w:rPr>
          <w:rFonts w:hint="cs"/>
          <w:rtl/>
        </w:rPr>
        <w:t xml:space="preserve"> إنّ عمومات التجويز ليست دليلاً مستقلاً هنا، بل هي من نوع الأصول، بمعنى أنه لمّا لم يُحرز الخروج عن ذلك بأدلّة المانعين والمفصّلين يبقى في مكانه شاملاً للكتابيّات. والظاهر أنّ مرادهم من عمومات تجويز النكاح قوله تعالى: </w:t>
      </w:r>
      <w:r w:rsidRPr="00E535A4">
        <w:rPr>
          <w:rFonts w:hint="cs"/>
          <w:b/>
          <w:bCs/>
          <w:rtl/>
        </w:rPr>
        <w:sym w:font="Islamic Units 1" w:char="F03E"/>
      </w:r>
      <w:r w:rsidRPr="00E535A4">
        <w:rPr>
          <w:b/>
          <w:bCs/>
          <w:rtl/>
        </w:rPr>
        <w:t>وَأَنكِحُوا الْأَيَامَى مِنكُمْ</w:t>
      </w:r>
      <w:r w:rsidRPr="00E535A4">
        <w:rPr>
          <w:b/>
          <w:bCs/>
          <w:rtl/>
        </w:rPr>
        <w:sym w:font="Islamic Units 1" w:char="F03C"/>
      </w:r>
      <w:r w:rsidRPr="00366C30">
        <w:rPr>
          <w:rFonts w:hint="cs"/>
          <w:rtl/>
        </w:rPr>
        <w:t xml:space="preserve"> (النور: 32)، لكنّه ليس بعام؛ لأنّ قوله: </w:t>
      </w:r>
      <w:r w:rsidRPr="006A4ECD">
        <w:rPr>
          <w:rFonts w:cs="Abz-2 (Badr)" w:hint="cs"/>
          <w:rtl/>
        </w:rPr>
        <w:t>&lt;</w:t>
      </w:r>
      <w:r w:rsidRPr="00366C30">
        <w:rPr>
          <w:rFonts w:hint="cs"/>
          <w:rtl/>
        </w:rPr>
        <w:t>منكم</w:t>
      </w:r>
      <w:r w:rsidRPr="006A4ECD">
        <w:rPr>
          <w:rFonts w:cs="Abz-2 (Badr)" w:hint="cs"/>
          <w:rtl/>
        </w:rPr>
        <w:t>&gt;</w:t>
      </w:r>
      <w:r w:rsidRPr="00366C30">
        <w:rPr>
          <w:rFonts w:hint="cs"/>
          <w:rtl/>
        </w:rPr>
        <w:t xml:space="preserve"> يخصّص العامّ، يعني: منكم أنتم المسلمين؛ فلعلّ مرادهم قوله تعالى بعد ذكر المحرّمات: </w:t>
      </w:r>
      <w:r w:rsidRPr="00D51EB8">
        <w:rPr>
          <w:rFonts w:hint="cs"/>
          <w:rtl/>
        </w:rPr>
        <w:sym w:font="Islamic Units 1" w:char="F03E"/>
      </w:r>
      <w:r w:rsidRPr="0040282F">
        <w:rPr>
          <w:b/>
          <w:bCs/>
          <w:rtl/>
        </w:rPr>
        <w:t>وَأُحِلَّ لَكُم مَّا وَرَاء ذَلِكُمْ أَن تَبْتَغُواْ بِأَمْوَالِكُم مُّحْصِنِينَ</w:t>
      </w:r>
      <w:r w:rsidRPr="0040282F">
        <w:rPr>
          <w:b/>
          <w:bCs/>
          <w:rtl/>
        </w:rPr>
        <w:sym w:font="Islamic Units 1" w:char="F03C"/>
      </w:r>
      <w:r w:rsidRPr="0040282F">
        <w:rPr>
          <w:rFonts w:hint="cs"/>
          <w:b/>
          <w:bCs/>
          <w:rtl/>
        </w:rPr>
        <w:t xml:space="preserve"> </w:t>
      </w:r>
      <w:r w:rsidRPr="00366C30">
        <w:rPr>
          <w:rFonts w:hint="cs"/>
          <w:rtl/>
        </w:rPr>
        <w:t xml:space="preserve">(النساء: 24)، لكنّه ليس من عمومات التجويز، بل هو ممّا خرج عن عمومات التحريم؛ لأنّ الأصل في الفروج هو التحريم كما هو ظاهر الآية. نعم، قوله تعالى: </w:t>
      </w:r>
      <w:r w:rsidRPr="0040282F">
        <w:rPr>
          <w:rFonts w:hint="cs"/>
          <w:b/>
          <w:bCs/>
          <w:rtl/>
        </w:rPr>
        <w:sym w:font="Islamic Units 1" w:char="F03E"/>
      </w:r>
      <w:r w:rsidRPr="0040282F">
        <w:rPr>
          <w:b/>
          <w:bCs/>
          <w:rtl/>
        </w:rPr>
        <w:t>فَانكِحُواْ مَا طَابَ لَكُم مِّنَ النِّسَاء مَثْنَى وَثُلاَثَ وَرُبَاعَ</w:t>
      </w:r>
      <w:r w:rsidRPr="0040282F">
        <w:rPr>
          <w:b/>
          <w:bCs/>
          <w:rtl/>
        </w:rPr>
        <w:sym w:font="Islamic Units 1" w:char="F03C"/>
      </w:r>
      <w:r>
        <w:rPr>
          <w:rFonts w:hint="cs"/>
          <w:rtl/>
        </w:rPr>
        <w:t xml:space="preserve"> </w:t>
      </w:r>
      <w:r w:rsidRPr="00366C30">
        <w:rPr>
          <w:rFonts w:hint="cs"/>
          <w:rtl/>
        </w:rPr>
        <w:t xml:space="preserve">(النساء: 3) عامّ؛ لكنه ـ فيما يبدو ـ ليس في مقام بيان من يجوز نكاحها من </w:t>
      </w:r>
      <w:r w:rsidRPr="00366C30">
        <w:rPr>
          <w:rFonts w:hint="cs"/>
          <w:rtl/>
        </w:rPr>
        <w:lastRenderedPageBreak/>
        <w:t>النساء بل يكون في مقام التحديد العددي للزواج، فلا يبقى للعامّ ظهور.</w:t>
      </w:r>
    </w:p>
    <w:p w:rsidR="00F04A58" w:rsidRPr="00366C30" w:rsidRDefault="00F04A58" w:rsidP="0040282F">
      <w:pPr>
        <w:pStyle w:val="ac"/>
        <w:rPr>
          <w:rtl/>
        </w:rPr>
      </w:pPr>
      <w:r w:rsidRPr="00366C30">
        <w:rPr>
          <w:rFonts w:hint="cs"/>
          <w:rtl/>
        </w:rPr>
        <w:t>هذا حول عمومات الكتاب، أمّا عمومات السنّة، فالمهم منها بصدد بيان شرعيّة أصل النكاح واستحبابه في الجملة؛ لذا لزم البحث عن أدلّة أخرى لموضوعنا هنا.</w:t>
      </w:r>
    </w:p>
    <w:p w:rsidR="00F04A58" w:rsidRPr="0040282F" w:rsidRDefault="00F04A58" w:rsidP="00E24C1D">
      <w:pPr>
        <w:pStyle w:val="afffffc"/>
        <w:spacing w:line="204" w:lineRule="auto"/>
        <w:rPr>
          <w:rStyle w:val="Char"/>
          <w:rtl/>
        </w:rPr>
      </w:pPr>
      <w:r w:rsidRPr="0040282F">
        <w:rPr>
          <w:rStyle w:val="Char"/>
          <w:rFonts w:hint="cs"/>
          <w:b/>
          <w:bCs/>
          <w:rtl/>
        </w:rPr>
        <w:t>ثانياً:</w:t>
      </w:r>
      <w:r w:rsidR="0040282F">
        <w:rPr>
          <w:rStyle w:val="Char"/>
          <w:rFonts w:hint="cs"/>
          <w:b/>
          <w:bCs/>
          <w:rtl/>
        </w:rPr>
        <w:t xml:space="preserve"> </w:t>
      </w:r>
      <w:r w:rsidRPr="0040282F">
        <w:rPr>
          <w:rStyle w:val="Char"/>
          <w:rFonts w:hint="cs"/>
          <w:rtl/>
        </w:rPr>
        <w:t>إنّ قوله تعالى:</w:t>
      </w:r>
      <w:r w:rsidRPr="00366C30">
        <w:rPr>
          <w:rFonts w:cs="AL-Mohanad" w:hint="cs"/>
          <w:sz w:val="29"/>
          <w:szCs w:val="27"/>
          <w:rtl/>
        </w:rPr>
        <w:t xml:space="preserve"> </w:t>
      </w:r>
      <w:r w:rsidRPr="00D51EB8">
        <w:rPr>
          <w:rFonts w:cs="AL-Mohanad" w:hint="cs"/>
          <w:rtl/>
        </w:rPr>
        <w:sym w:font="Islamic Units 1" w:char="F03E"/>
      </w:r>
      <w:r w:rsidRPr="0040282F">
        <w:rPr>
          <w:rStyle w:val="Char"/>
          <w:b/>
          <w:bCs/>
          <w:rtl/>
        </w:rPr>
        <w:t>أُحِلَّ لَكُمُ الطَّيِّبَاتُ</w:t>
      </w:r>
      <w:r w:rsidRPr="0040282F">
        <w:rPr>
          <w:rStyle w:val="Char"/>
          <w:rFonts w:hint="cs"/>
          <w:b/>
          <w:bCs/>
          <w:rtl/>
        </w:rPr>
        <w:t>...</w:t>
      </w:r>
      <w:r w:rsidR="0040282F">
        <w:rPr>
          <w:rStyle w:val="Char"/>
          <w:rFonts w:hint="cs"/>
          <w:b/>
          <w:bCs/>
          <w:rtl/>
        </w:rPr>
        <w:t xml:space="preserve"> </w:t>
      </w:r>
      <w:r w:rsidRPr="0040282F">
        <w:rPr>
          <w:rStyle w:val="Char"/>
          <w:b/>
          <w:bCs/>
          <w:rtl/>
        </w:rPr>
        <w:t>وَالْمُحْصَنَاتُ مِنَ الْمُؤْمِنَاتِ وَالْمُحْصَنَاتُ مِنَ الَّذِينَ أُوتُواْ الْكِتَابَ مِن قَبْلِكُمْ</w:t>
      </w:r>
      <w:r w:rsidRPr="00D51EB8">
        <w:rPr>
          <w:rFonts w:cs="AL-Mohanad"/>
          <w:rtl/>
        </w:rPr>
        <w:sym w:font="Islamic Units 1" w:char="F03C"/>
      </w:r>
      <w:r w:rsidRPr="00366C30">
        <w:rPr>
          <w:rFonts w:cs="AL-Mohanad" w:hint="cs"/>
          <w:sz w:val="29"/>
          <w:szCs w:val="27"/>
          <w:rtl/>
        </w:rPr>
        <w:t xml:space="preserve"> </w:t>
      </w:r>
      <w:r w:rsidRPr="0040282F">
        <w:rPr>
          <w:rStyle w:val="Char"/>
          <w:rFonts w:hint="cs"/>
          <w:rtl/>
        </w:rPr>
        <w:t>(المائدة: 5)، نصّ دالّ هنا، وما قالوا فيه لا يخلو من تكلّف، حيث ناقشوا من جهتين:</w:t>
      </w:r>
    </w:p>
    <w:p w:rsidR="00F04A58" w:rsidRPr="00366C30" w:rsidRDefault="00F04A58" w:rsidP="000331D1">
      <w:pPr>
        <w:pStyle w:val="ac"/>
        <w:rPr>
          <w:rtl/>
        </w:rPr>
      </w:pPr>
      <w:r w:rsidRPr="000331D1">
        <w:rPr>
          <w:rFonts w:hint="cs"/>
          <w:b/>
          <w:bCs/>
          <w:rtl/>
        </w:rPr>
        <w:t xml:space="preserve">الأولى: </w:t>
      </w:r>
      <w:r w:rsidRPr="00366C30">
        <w:rPr>
          <w:rFonts w:hint="cs"/>
          <w:rtl/>
        </w:rPr>
        <w:t xml:space="preserve">دعوى النسخ، بافتراض أنّ هذه الآية منسوخة بآية البقرة: </w:t>
      </w:r>
      <w:r w:rsidR="000331D1">
        <w:rPr>
          <w:rFonts w:ascii="Mosawi" w:hAnsi="Mosawi"/>
          <w:b/>
          <w:bCs/>
          <w:rtl/>
        </w:rPr>
        <w:t>﴿</w:t>
      </w:r>
      <w:r w:rsidRPr="0040282F">
        <w:rPr>
          <w:b/>
          <w:bCs/>
          <w:rtl/>
        </w:rPr>
        <w:t>وَلاَ تَنكِحُوا الْمُشْرِكَاتِ</w:t>
      </w:r>
      <w:r w:rsidR="000331D1">
        <w:rPr>
          <w:rFonts w:ascii="Mosawi" w:hAnsi="Mosawi"/>
          <w:b/>
          <w:bCs/>
          <w:rtl/>
        </w:rPr>
        <w:t>﴾</w:t>
      </w:r>
      <w:r>
        <w:rPr>
          <w:rFonts w:cs="Abz-2 (Badr)" w:hint="cs"/>
          <w:rtl/>
        </w:rPr>
        <w:t xml:space="preserve"> </w:t>
      </w:r>
      <w:r w:rsidRPr="00366C30">
        <w:rPr>
          <w:rFonts w:hint="cs"/>
          <w:rtl/>
        </w:rPr>
        <w:t xml:space="preserve">وآية الممتحنة: </w:t>
      </w:r>
      <w:r w:rsidR="000331D1">
        <w:rPr>
          <w:rFonts w:ascii="Mosawi" w:hAnsi="Mosawi"/>
          <w:b/>
          <w:bCs/>
          <w:rtl/>
        </w:rPr>
        <w:t>﴿</w:t>
      </w:r>
      <w:r w:rsidRPr="0040282F">
        <w:rPr>
          <w:b/>
          <w:bCs/>
          <w:rtl/>
        </w:rPr>
        <w:t>وَلاَ تُمْسِكُوا بِعِصَمِ الْكَوَافِرِ</w:t>
      </w:r>
      <w:r w:rsidR="000331D1">
        <w:rPr>
          <w:rFonts w:ascii="Mosawi" w:hAnsi="Mosawi"/>
          <w:b/>
          <w:bCs/>
          <w:rtl/>
        </w:rPr>
        <w:t>﴾</w:t>
      </w:r>
      <w:r w:rsidRPr="0040282F">
        <w:rPr>
          <w:rFonts w:hint="cs"/>
          <w:b/>
          <w:bCs/>
          <w:rtl/>
        </w:rPr>
        <w:t>،</w:t>
      </w:r>
      <w:r>
        <w:rPr>
          <w:rFonts w:cs="Abz-2 (Badr)" w:hint="cs"/>
          <w:rtl/>
        </w:rPr>
        <w:t xml:space="preserve"> </w:t>
      </w:r>
      <w:r w:rsidRPr="00366C30">
        <w:rPr>
          <w:rFonts w:hint="cs"/>
          <w:rtl/>
        </w:rPr>
        <w:t>واستشهدوا على ذلك بما رواه زرارة عن أبي جعفر</w:t>
      </w:r>
      <w:r w:rsidR="005067D6">
        <w:rPr>
          <w:rFonts w:hint="cs"/>
          <w:sz w:val="27"/>
          <w:rtl/>
        </w:rPr>
        <w:t>×</w:t>
      </w:r>
      <w:r w:rsidRPr="00366C30">
        <w:rPr>
          <w:rFonts w:hint="cs"/>
          <w:rtl/>
        </w:rPr>
        <w:t xml:space="preserve"> قال:</w:t>
      </w:r>
      <w:r>
        <w:rPr>
          <w:rFonts w:cs="Abz-2 (Badr)" w:hint="cs"/>
          <w:rtl/>
        </w:rPr>
        <w:t xml:space="preserve"> </w:t>
      </w:r>
      <w:r w:rsidRPr="006A4ECD">
        <w:rPr>
          <w:rFonts w:cs="Abz-2 (Badr)" w:hint="cs"/>
          <w:rtl/>
        </w:rPr>
        <w:t>&lt;</w:t>
      </w:r>
      <w:r w:rsidRPr="00366C30">
        <w:rPr>
          <w:rFonts w:hint="cs"/>
          <w:rtl/>
        </w:rPr>
        <w:t xml:space="preserve">هذه ـ الآية ـ منسوخة بقوله: </w:t>
      </w:r>
      <w:r w:rsidR="000331D1">
        <w:rPr>
          <w:rFonts w:ascii="Mosawi" w:hAnsi="Mosawi"/>
          <w:b/>
          <w:bCs/>
          <w:rtl/>
        </w:rPr>
        <w:t>﴿</w:t>
      </w:r>
      <w:r w:rsidRPr="0040282F">
        <w:rPr>
          <w:b/>
          <w:bCs/>
          <w:rtl/>
        </w:rPr>
        <w:t>وَلاَ تُمْسِكُوا بِعِصَمِ الْكَوَافِرِ</w:t>
      </w:r>
      <w:r w:rsidR="000331D1">
        <w:rPr>
          <w:rFonts w:ascii="Mosawi" w:hAnsi="Mosawi"/>
          <w:b/>
          <w:bCs/>
          <w:rtl/>
        </w:rPr>
        <w:t>﴾</w:t>
      </w:r>
      <w:r w:rsidRPr="006A4ECD">
        <w:rPr>
          <w:rFonts w:cs="Abz-2 (Badr)" w:hint="cs"/>
          <w:rtl/>
        </w:rPr>
        <w:t>&gt;</w:t>
      </w:r>
      <w:r w:rsidRPr="00815C4C">
        <w:rPr>
          <w:rFonts w:cs="Taher"/>
          <w:vertAlign w:val="superscript"/>
          <w:rtl/>
        </w:rPr>
        <w:t>(</w:t>
      </w:r>
      <w:r w:rsidRPr="00815C4C">
        <w:rPr>
          <w:rFonts w:cs="Taher"/>
          <w:vertAlign w:val="superscript"/>
          <w:rtl/>
        </w:rPr>
        <w:footnoteReference w:id="472"/>
      </w:r>
      <w:r w:rsidRPr="00815C4C">
        <w:rPr>
          <w:rFonts w:cs="Taher"/>
          <w:vertAlign w:val="superscript"/>
          <w:rtl/>
        </w:rPr>
        <w:t>)</w:t>
      </w:r>
      <w:r w:rsidRPr="00366C30">
        <w:rPr>
          <w:rFonts w:hint="cs"/>
          <w:rtl/>
        </w:rPr>
        <w:t xml:space="preserve"> وما قاله ابن الجهم بحضور الرضا</w:t>
      </w:r>
      <w:r w:rsidR="005067D6">
        <w:rPr>
          <w:rFonts w:hint="cs"/>
          <w:sz w:val="27"/>
          <w:rtl/>
        </w:rPr>
        <w:t>×</w:t>
      </w:r>
      <w:r w:rsidRPr="00366C30">
        <w:rPr>
          <w:rFonts w:hint="cs"/>
          <w:rtl/>
        </w:rPr>
        <w:t xml:space="preserve"> من أنّ هذه الآية منسوخة بقوله تعالى: </w:t>
      </w:r>
      <w:r w:rsidR="000331D1">
        <w:rPr>
          <w:rFonts w:ascii="Mosawi" w:hAnsi="Mosawi"/>
          <w:rtl/>
        </w:rPr>
        <w:t>﴿</w:t>
      </w:r>
      <w:r w:rsidRPr="0040282F">
        <w:rPr>
          <w:b/>
          <w:bCs/>
          <w:rtl/>
        </w:rPr>
        <w:t>وَلاَ تَنكِحُوا الْمُشْرِكَاتِ</w:t>
      </w:r>
      <w:r w:rsidR="000331D1">
        <w:rPr>
          <w:rFonts w:ascii="Mosawi" w:hAnsi="Mosawi"/>
          <w:rtl/>
        </w:rPr>
        <w:t>﴾</w:t>
      </w:r>
      <w:r w:rsidRPr="00366C30">
        <w:rPr>
          <w:rFonts w:hint="cs"/>
          <w:rtl/>
        </w:rPr>
        <w:t xml:space="preserve"> فتبسّم الإمام تجاهه وسكت</w:t>
      </w:r>
      <w:r w:rsidRPr="00815C4C">
        <w:rPr>
          <w:rFonts w:cs="Taher"/>
          <w:vertAlign w:val="superscript"/>
          <w:rtl/>
        </w:rPr>
        <w:t>(</w:t>
      </w:r>
      <w:r w:rsidRPr="00815C4C">
        <w:rPr>
          <w:rFonts w:cs="Taher"/>
          <w:vertAlign w:val="superscript"/>
          <w:rtl/>
        </w:rPr>
        <w:footnoteReference w:id="473"/>
      </w:r>
      <w:r w:rsidRPr="00815C4C">
        <w:rPr>
          <w:rFonts w:cs="Taher"/>
          <w:vertAlign w:val="superscript"/>
          <w:rtl/>
        </w:rPr>
        <w:t>)</w:t>
      </w:r>
      <w:r w:rsidRPr="00366C30">
        <w:rPr>
          <w:rFonts w:hint="cs"/>
          <w:rtl/>
        </w:rPr>
        <w:t>.</w:t>
      </w:r>
    </w:p>
    <w:p w:rsidR="00F04A58" w:rsidRPr="00366C30" w:rsidRDefault="00F04A58" w:rsidP="005067D6">
      <w:pPr>
        <w:pStyle w:val="ac"/>
        <w:rPr>
          <w:rtl/>
        </w:rPr>
      </w:pPr>
      <w:r w:rsidRPr="00366C30">
        <w:rPr>
          <w:rFonts w:hint="cs"/>
          <w:rtl/>
        </w:rPr>
        <w:t xml:space="preserve">لكنّ هذا الكلام غير معقول؛ </w:t>
      </w:r>
      <w:r w:rsidRPr="006A4ECD">
        <w:rPr>
          <w:rFonts w:cs="Abz-2 (Badr)" w:hint="cs"/>
          <w:rtl/>
        </w:rPr>
        <w:t>&lt;</w:t>
      </w:r>
      <w:r w:rsidRPr="00366C30">
        <w:rPr>
          <w:rFonts w:hint="cs"/>
          <w:rtl/>
        </w:rPr>
        <w:t>لأنّ سورة البقرة أوّل سورة نزلت بالمدينة بعد الهجرة، وسورة الممتحنة نزلت بالمدينة قبل فتح مكّة وسورة المائدة آخر سورة نزلت على رسول الله</w:t>
      </w:r>
      <w:r w:rsidR="00C86626">
        <w:rPr>
          <w:rFonts w:hint="cs"/>
          <w:sz w:val="27"/>
          <w:rtl/>
        </w:rPr>
        <w:t>’</w:t>
      </w:r>
      <w:r w:rsidRPr="00366C30">
        <w:rPr>
          <w:rFonts w:hint="cs"/>
          <w:rtl/>
        </w:rPr>
        <w:t xml:space="preserve"> ناسخةً غير منسوخة، ولا معنى لنسخ السابق اللاحق</w:t>
      </w:r>
      <w:r w:rsidRPr="006A4ECD">
        <w:rPr>
          <w:rFonts w:cs="Abz-2 (Badr)" w:hint="cs"/>
          <w:rtl/>
        </w:rPr>
        <w:t>&gt;</w:t>
      </w:r>
      <w:r w:rsidRPr="00815C4C">
        <w:rPr>
          <w:rFonts w:cs="Taher"/>
          <w:vertAlign w:val="superscript"/>
          <w:rtl/>
        </w:rPr>
        <w:t>(</w:t>
      </w:r>
      <w:r w:rsidRPr="00815C4C">
        <w:rPr>
          <w:rFonts w:cs="Taher"/>
          <w:vertAlign w:val="superscript"/>
          <w:rtl/>
        </w:rPr>
        <w:footnoteReference w:id="474"/>
      </w:r>
      <w:r w:rsidRPr="00815C4C">
        <w:rPr>
          <w:rFonts w:cs="Taher"/>
          <w:vertAlign w:val="superscript"/>
          <w:rtl/>
        </w:rPr>
        <w:t>)</w:t>
      </w:r>
      <w:r w:rsidRPr="00366C30">
        <w:rPr>
          <w:rFonts w:hint="cs"/>
          <w:rtl/>
        </w:rPr>
        <w:t>، بل هو ملحق بالمُحال، إضافةً إلى ما روي عن رسول الله</w:t>
      </w:r>
      <w:r w:rsidR="00C86626">
        <w:rPr>
          <w:rFonts w:hint="cs"/>
          <w:sz w:val="27"/>
          <w:rtl/>
        </w:rPr>
        <w:t>’</w:t>
      </w:r>
      <w:r w:rsidRPr="00366C30">
        <w:rPr>
          <w:rFonts w:hint="cs"/>
          <w:rtl/>
        </w:rPr>
        <w:t xml:space="preserve"> أنّه قال: </w:t>
      </w:r>
      <w:r w:rsidRPr="006A4ECD">
        <w:rPr>
          <w:rFonts w:cs="Abz-2 (Badr)" w:hint="cs"/>
          <w:rtl/>
        </w:rPr>
        <w:t>&lt;</w:t>
      </w:r>
      <w:r w:rsidRPr="00366C30">
        <w:rPr>
          <w:rFonts w:hint="cs"/>
          <w:rtl/>
        </w:rPr>
        <w:t>إنّ سورة المائدة آخر القرآن نزولاً فأحلّوا حلالها وحرّموا حرامَها</w:t>
      </w:r>
      <w:r w:rsidRPr="006A4ECD">
        <w:rPr>
          <w:rFonts w:cs="Abz-2 (Badr)" w:hint="cs"/>
          <w:rtl/>
        </w:rPr>
        <w:t>&gt;</w:t>
      </w:r>
      <w:r w:rsidRPr="00815C4C">
        <w:rPr>
          <w:rFonts w:cs="Taher"/>
          <w:vertAlign w:val="superscript"/>
          <w:rtl/>
        </w:rPr>
        <w:t>(</w:t>
      </w:r>
      <w:r w:rsidRPr="00815C4C">
        <w:rPr>
          <w:rFonts w:cs="Taher"/>
          <w:vertAlign w:val="superscript"/>
          <w:rtl/>
        </w:rPr>
        <w:footnoteReference w:id="475"/>
      </w:r>
      <w:r w:rsidRPr="00815C4C">
        <w:rPr>
          <w:rFonts w:cs="Taher"/>
          <w:vertAlign w:val="superscript"/>
          <w:rtl/>
        </w:rPr>
        <w:t>)</w:t>
      </w:r>
      <w:r w:rsidRPr="00366C30">
        <w:rPr>
          <w:rFonts w:hint="cs"/>
          <w:rtl/>
        </w:rPr>
        <w:t>. بل يدلّ على انتفاء النسخ في خصوص هذه الآية ـ بل هي ناسخة لما ادّعوا نسخها به ـ : ما رواه السيّد في المحكيّ من رسالة المحكم والمتشابه نقلاً عن تفسير النعمانيّ بإسناده عن عليّ</w:t>
      </w:r>
      <w:r w:rsidR="005067D6">
        <w:rPr>
          <w:rFonts w:hint="cs"/>
          <w:sz w:val="27"/>
          <w:rtl/>
        </w:rPr>
        <w:t>×</w:t>
      </w:r>
      <w:r w:rsidRPr="00366C30">
        <w:rPr>
          <w:rFonts w:hint="cs"/>
          <w:rtl/>
        </w:rPr>
        <w:t xml:space="preserve"> قال: </w:t>
      </w:r>
      <w:r w:rsidRPr="006A4ECD">
        <w:rPr>
          <w:rFonts w:cs="Abz-2 (Badr)" w:hint="cs"/>
          <w:rtl/>
        </w:rPr>
        <w:t>&lt;</w:t>
      </w:r>
      <w:r w:rsidRPr="00366C30">
        <w:rPr>
          <w:rFonts w:hint="cs"/>
          <w:rtl/>
        </w:rPr>
        <w:t xml:space="preserve">وأمّا الآيات التي نصفها منسوخ ونصفها متروك بحاله لم ينسخ وما جاء من الرخصة في العزيمة، فقوله تعالى: </w:t>
      </w:r>
      <w:r w:rsidRPr="00D51EB8">
        <w:rPr>
          <w:rFonts w:hint="cs"/>
          <w:rtl/>
        </w:rPr>
        <w:sym w:font="Islamic Units 1" w:char="F03E"/>
      </w:r>
      <w:r w:rsidRPr="006833F7">
        <w:rPr>
          <w:b/>
          <w:bCs/>
          <w:rtl/>
        </w:rPr>
        <w:t>وَلاَ تَنكِحُوا الْمُشْرِكَاتِ</w:t>
      </w:r>
      <w:r w:rsidRPr="00D51EB8">
        <w:rPr>
          <w:rtl/>
        </w:rPr>
        <w:sym w:font="Islamic Units 1" w:char="F03C"/>
      </w:r>
      <w:r w:rsidRPr="00366C30">
        <w:rPr>
          <w:rFonts w:hint="cs"/>
          <w:rtl/>
        </w:rPr>
        <w:t xml:space="preserve"> إلى آخرها، وذلك أنّ المسلمين كانوا </w:t>
      </w:r>
      <w:r w:rsidRPr="00366C30">
        <w:rPr>
          <w:rFonts w:hint="cs"/>
          <w:rtl/>
        </w:rPr>
        <w:lastRenderedPageBreak/>
        <w:t xml:space="preserve">ينكحون في أهل الكتاب من اليهود والنصارى وينكحونهم حتّى نزلت هذه الآية نهياً أن ينكح المسلم في المشرك أو ينكحونه، ثمّ قال الله تعالى في سورة المائدة ما نسخ هذه الآية فقال: </w:t>
      </w:r>
      <w:r w:rsidRPr="006A4ECD">
        <w:rPr>
          <w:rFonts w:cs="Abz-2 (Badr)" w:hint="cs"/>
          <w:rtl/>
        </w:rPr>
        <w:t>&lt;</w:t>
      </w:r>
      <w:r w:rsidRPr="00366C30">
        <w:rPr>
          <w:rFonts w:hint="cs"/>
          <w:rtl/>
        </w:rPr>
        <w:t>والمحصنات..</w:t>
      </w:r>
      <w:r w:rsidRPr="006A4ECD">
        <w:rPr>
          <w:rFonts w:cs="Abz-2 (Badr)" w:hint="cs"/>
          <w:rtl/>
        </w:rPr>
        <w:t>&gt;</w:t>
      </w:r>
      <w:r w:rsidRPr="00366C30">
        <w:rPr>
          <w:rFonts w:hint="cs"/>
          <w:rtl/>
        </w:rPr>
        <w:t xml:space="preserve">، فأطلق الله تعالى مناكحتهنّ بعد أن كان نهى وترك قوله: </w:t>
      </w:r>
      <w:r w:rsidRPr="006A4ECD">
        <w:rPr>
          <w:rFonts w:cs="Abz-2 (Badr)" w:hint="cs"/>
          <w:rtl/>
        </w:rPr>
        <w:t>&lt;</w:t>
      </w:r>
      <w:r w:rsidRPr="00366C30">
        <w:rPr>
          <w:rFonts w:hint="cs"/>
          <w:rtl/>
        </w:rPr>
        <w:t>ولا تنكحوا المشركين حتّى يؤمنوا</w:t>
      </w:r>
      <w:r w:rsidRPr="006A4ECD">
        <w:rPr>
          <w:rFonts w:cs="Abz-2 (Badr)" w:hint="cs"/>
          <w:rtl/>
        </w:rPr>
        <w:t>&gt;</w:t>
      </w:r>
      <w:r w:rsidRPr="00366C30">
        <w:rPr>
          <w:rFonts w:hint="cs"/>
          <w:rtl/>
        </w:rPr>
        <w:t xml:space="preserve"> على حاله لم ينسخه</w:t>
      </w:r>
      <w:r w:rsidRPr="006A4ECD">
        <w:rPr>
          <w:rFonts w:cs="Abz-2 (Badr)" w:hint="cs"/>
          <w:rtl/>
        </w:rPr>
        <w:t>&gt;</w:t>
      </w:r>
      <w:r w:rsidRPr="00815C4C">
        <w:rPr>
          <w:rFonts w:cs="Taher"/>
          <w:vertAlign w:val="superscript"/>
          <w:rtl/>
        </w:rPr>
        <w:t>(</w:t>
      </w:r>
      <w:r w:rsidRPr="00815C4C">
        <w:rPr>
          <w:rFonts w:cs="Taher"/>
          <w:vertAlign w:val="superscript"/>
          <w:rtl/>
        </w:rPr>
        <w:footnoteReference w:id="476"/>
      </w:r>
      <w:r w:rsidRPr="00815C4C">
        <w:rPr>
          <w:rFonts w:cs="Taher"/>
          <w:vertAlign w:val="superscript"/>
          <w:rtl/>
        </w:rPr>
        <w:t>)</w:t>
      </w:r>
      <w:r w:rsidRPr="00366C30">
        <w:rPr>
          <w:rFonts w:hint="cs"/>
          <w:rtl/>
        </w:rPr>
        <w:t>.</w:t>
      </w:r>
    </w:p>
    <w:p w:rsidR="00F04A58" w:rsidRPr="00366C30" w:rsidRDefault="00F04A58" w:rsidP="00E24C1D">
      <w:pPr>
        <w:pStyle w:val="ac"/>
        <w:spacing w:line="202" w:lineRule="auto"/>
        <w:rPr>
          <w:rtl/>
        </w:rPr>
      </w:pPr>
      <w:r w:rsidRPr="00366C30">
        <w:rPr>
          <w:rFonts w:hint="cs"/>
          <w:rtl/>
        </w:rPr>
        <w:t>وأمّا الروايتان الدّالتان على نسخ آية المائدة فغير مقبولتين بالضرورة، بل إنّ الثانية منهما غير صريحة في الموضوع، ويمكن أن يكون تبسّم الإمام</w:t>
      </w:r>
      <w:r w:rsidR="005067D6">
        <w:rPr>
          <w:rFonts w:hint="cs"/>
          <w:sz w:val="27"/>
          <w:rtl/>
        </w:rPr>
        <w:t>×</w:t>
      </w:r>
      <w:r w:rsidRPr="00366C30">
        <w:rPr>
          <w:rFonts w:hint="cs"/>
          <w:rtl/>
        </w:rPr>
        <w:t xml:space="preserve"> من باب التعجّب والاستبعاد، وهذا قريب جدّاً.</w:t>
      </w:r>
    </w:p>
    <w:p w:rsidR="00F04A58" w:rsidRPr="00366C30" w:rsidRDefault="00F04A58" w:rsidP="00E24C1D">
      <w:pPr>
        <w:pStyle w:val="ac"/>
        <w:spacing w:line="202" w:lineRule="auto"/>
        <w:rPr>
          <w:rtl/>
        </w:rPr>
      </w:pPr>
      <w:r w:rsidRPr="000331D1">
        <w:rPr>
          <w:rFonts w:hint="cs"/>
          <w:b/>
          <w:bCs/>
          <w:rtl/>
        </w:rPr>
        <w:t>الثانية:</w:t>
      </w:r>
      <w:r w:rsidRPr="00366C30">
        <w:rPr>
          <w:rFonts w:hint="cs"/>
          <w:rtl/>
        </w:rPr>
        <w:t xml:space="preserve"> قال بعض المانعين في تأويل الآية: </w:t>
      </w:r>
      <w:r w:rsidRPr="006A4ECD">
        <w:rPr>
          <w:rFonts w:cs="Abz-2 (Badr)" w:hint="cs"/>
          <w:rtl/>
        </w:rPr>
        <w:t>&lt;</w:t>
      </w:r>
      <w:r w:rsidRPr="00366C30">
        <w:rPr>
          <w:rFonts w:hint="cs"/>
          <w:rtl/>
        </w:rPr>
        <w:t>قد يجوز قبل ورود هذا أن يفرّق الشرع بين المؤمنة التي لم تكن قطّ كافرة وبين من كانت كافرة ثم آمنت، ففي بيان ذلك والجمع بين الأمرين في الإباحة فائدة</w:t>
      </w:r>
      <w:r w:rsidRPr="006A4ECD">
        <w:rPr>
          <w:rFonts w:cs="Abz-2 (Badr)" w:hint="cs"/>
          <w:rtl/>
        </w:rPr>
        <w:t>&gt;</w:t>
      </w:r>
      <w:r w:rsidRPr="00815C4C">
        <w:rPr>
          <w:rFonts w:cs="Taher"/>
          <w:vertAlign w:val="superscript"/>
          <w:rtl/>
        </w:rPr>
        <w:t>(</w:t>
      </w:r>
      <w:r w:rsidRPr="00815C4C">
        <w:rPr>
          <w:rFonts w:cs="Taher"/>
          <w:vertAlign w:val="superscript"/>
          <w:rtl/>
        </w:rPr>
        <w:footnoteReference w:id="477"/>
      </w:r>
      <w:r w:rsidRPr="00815C4C">
        <w:rPr>
          <w:rFonts w:cs="Taher"/>
          <w:vertAlign w:val="superscript"/>
          <w:rtl/>
        </w:rPr>
        <w:t>)</w:t>
      </w:r>
      <w:r w:rsidRPr="00366C30">
        <w:rPr>
          <w:rFonts w:hint="cs"/>
          <w:rtl/>
        </w:rPr>
        <w:t xml:space="preserve">. يعني بذلك أنّ </w:t>
      </w:r>
      <w:r w:rsidRPr="006A4ECD">
        <w:rPr>
          <w:rFonts w:cs="Abz-2 (Badr)" w:hint="cs"/>
          <w:rtl/>
        </w:rPr>
        <w:t>&lt;</w:t>
      </w:r>
      <w:r w:rsidRPr="00366C30">
        <w:rPr>
          <w:rFonts w:hint="cs"/>
          <w:rtl/>
        </w:rPr>
        <w:t>المحصنات من المؤمنات</w:t>
      </w:r>
      <w:r w:rsidRPr="006A4ECD">
        <w:rPr>
          <w:rFonts w:cs="Abz-2 (Badr)" w:hint="cs"/>
          <w:rtl/>
        </w:rPr>
        <w:t>&gt;</w:t>
      </w:r>
      <w:r w:rsidRPr="00366C30">
        <w:rPr>
          <w:rFonts w:hint="cs"/>
          <w:rtl/>
        </w:rPr>
        <w:t xml:space="preserve"> من لم تكن قطّ كافرة، و </w:t>
      </w:r>
      <w:r w:rsidRPr="006A4ECD">
        <w:rPr>
          <w:rFonts w:cs="Abz-2 (Badr)" w:hint="cs"/>
          <w:rtl/>
        </w:rPr>
        <w:t>&lt;</w:t>
      </w:r>
      <w:r w:rsidRPr="00366C30">
        <w:rPr>
          <w:rFonts w:hint="cs"/>
          <w:rtl/>
        </w:rPr>
        <w:t>المحصنات من الذين أوتوا الكتاب من قبلكم</w:t>
      </w:r>
      <w:r w:rsidRPr="006A4ECD">
        <w:rPr>
          <w:rFonts w:cs="Abz-2 (Badr)" w:hint="cs"/>
          <w:rtl/>
        </w:rPr>
        <w:t>&gt;</w:t>
      </w:r>
      <w:r w:rsidRPr="00366C30">
        <w:rPr>
          <w:rFonts w:hint="cs"/>
          <w:rtl/>
        </w:rPr>
        <w:t xml:space="preserve"> من كانت كافرةً ثم آمنت! وهذا تكلّف ظاهر وتحكّم.</w:t>
      </w:r>
    </w:p>
    <w:p w:rsidR="00F04A58" w:rsidRPr="00366C30" w:rsidRDefault="00F04A58" w:rsidP="00E24C1D">
      <w:pPr>
        <w:pStyle w:val="ac"/>
        <w:spacing w:line="202" w:lineRule="auto"/>
        <w:rPr>
          <w:rtl/>
        </w:rPr>
      </w:pPr>
      <w:r w:rsidRPr="00366C30">
        <w:rPr>
          <w:rFonts w:hint="cs"/>
          <w:b/>
          <w:bCs/>
          <w:rtl/>
        </w:rPr>
        <w:t>ثالثاً:</w:t>
      </w:r>
      <w:r w:rsidRPr="00366C30">
        <w:rPr>
          <w:rFonts w:hint="cs"/>
          <w:rtl/>
        </w:rPr>
        <w:t xml:space="preserve"> هناك نصوص في السنّة مثل صحيح أبي بصير عن أبي جعفر</w:t>
      </w:r>
      <w:r w:rsidR="005067D6">
        <w:rPr>
          <w:rFonts w:hint="cs"/>
          <w:sz w:val="27"/>
          <w:rtl/>
        </w:rPr>
        <w:t>×</w:t>
      </w:r>
      <w:r w:rsidRPr="00366C30">
        <w:rPr>
          <w:rFonts w:hint="cs"/>
          <w:rtl/>
        </w:rPr>
        <w:t xml:space="preserve"> قال: </w:t>
      </w:r>
      <w:r w:rsidRPr="006A4ECD">
        <w:rPr>
          <w:rFonts w:cs="Abz-2 (Badr)" w:hint="cs"/>
          <w:rtl/>
        </w:rPr>
        <w:t>&lt;</w:t>
      </w:r>
      <w:r w:rsidRPr="00366C30">
        <w:rPr>
          <w:rFonts w:hint="cs"/>
          <w:rtl/>
        </w:rPr>
        <w:t>سألته عن رجل له امرأة نصرانيّة له أن يتزوّج عليها يهوديّة؟ فقال: إنّ أهل الكتاب مماليك للإمام وذلك موسّع منّا عليكم خاصّة، فلا بأس أن يتزوّج..</w:t>
      </w:r>
      <w:r w:rsidRPr="006A4ECD">
        <w:rPr>
          <w:rFonts w:cs="Abz-2 (Badr)" w:hint="cs"/>
          <w:rtl/>
        </w:rPr>
        <w:t>&gt;</w:t>
      </w:r>
      <w:r w:rsidRPr="00366C30">
        <w:rPr>
          <w:rFonts w:hint="cs"/>
          <w:rtl/>
        </w:rPr>
        <w:t xml:space="preserve"> ومنها صحيح أبي مريم الأنصاريّ عن أبي جعفر</w:t>
      </w:r>
      <w:r w:rsidR="005067D6">
        <w:rPr>
          <w:rFonts w:hint="cs"/>
          <w:sz w:val="27"/>
          <w:rtl/>
        </w:rPr>
        <w:t>×</w:t>
      </w:r>
      <w:r w:rsidRPr="00366C30">
        <w:rPr>
          <w:rFonts w:hint="cs"/>
          <w:rtl/>
        </w:rPr>
        <w:t xml:space="preserve"> قال: </w:t>
      </w:r>
      <w:r w:rsidRPr="006A4ECD">
        <w:rPr>
          <w:rFonts w:cs="Abz-2 (Badr)" w:hint="cs"/>
          <w:rtl/>
        </w:rPr>
        <w:t>&lt;</w:t>
      </w:r>
      <w:r w:rsidRPr="00366C30">
        <w:rPr>
          <w:rFonts w:hint="cs"/>
          <w:rtl/>
        </w:rPr>
        <w:t>سألته عن طعام أهل الكتاب ونكاحهم حلال هو؟ فقال: نعم، قال: كانت تحت طلحة يهودية</w:t>
      </w:r>
      <w:r w:rsidRPr="006A4ECD">
        <w:rPr>
          <w:rFonts w:cs="Abz-2 (Badr)" w:hint="cs"/>
          <w:rtl/>
        </w:rPr>
        <w:t>&gt;</w:t>
      </w:r>
      <w:r>
        <w:rPr>
          <w:rFonts w:hint="cs"/>
          <w:rtl/>
        </w:rPr>
        <w:t>،</w:t>
      </w:r>
      <w:r w:rsidRPr="00366C30">
        <w:rPr>
          <w:rFonts w:hint="cs"/>
          <w:rtl/>
        </w:rPr>
        <w:t xml:space="preserve"> ومنها صحيح محمد بن مسلم عنه</w:t>
      </w:r>
      <w:r w:rsidR="005067D6">
        <w:rPr>
          <w:rFonts w:hint="cs"/>
          <w:sz w:val="27"/>
          <w:rtl/>
        </w:rPr>
        <w:t>×</w:t>
      </w:r>
      <w:r w:rsidRPr="00366C30">
        <w:rPr>
          <w:rFonts w:hint="cs"/>
          <w:rtl/>
        </w:rPr>
        <w:t xml:space="preserve">  قال: </w:t>
      </w:r>
      <w:r w:rsidRPr="006A4ECD">
        <w:rPr>
          <w:rFonts w:cs="Abz-2 (Badr)" w:hint="cs"/>
          <w:rtl/>
        </w:rPr>
        <w:t>&lt;</w:t>
      </w:r>
      <w:r w:rsidRPr="00366C30">
        <w:rPr>
          <w:rFonts w:hint="cs"/>
          <w:rtl/>
        </w:rPr>
        <w:t>سألته عن نكاح اليهوديّة والنصرانيّة؟ فقال: لا بأس به، أما علمت أنه كانت تحت طلحة بن عبدالله يهوديّة على عهد رسول الله</w:t>
      </w:r>
      <w:r w:rsidR="00C86626">
        <w:rPr>
          <w:rFonts w:hint="cs"/>
          <w:sz w:val="27"/>
          <w:rtl/>
        </w:rPr>
        <w:t>’</w:t>
      </w:r>
      <w:r>
        <w:rPr>
          <w:rFonts w:hint="cs"/>
          <w:rtl/>
        </w:rPr>
        <w:t>؟</w:t>
      </w:r>
      <w:r w:rsidRPr="006A4ECD">
        <w:rPr>
          <w:rFonts w:cs="Abz-2 (Badr)" w:hint="cs"/>
          <w:rtl/>
        </w:rPr>
        <w:t>&gt;</w:t>
      </w:r>
      <w:r w:rsidRPr="00815C4C">
        <w:rPr>
          <w:rFonts w:cs="Taher"/>
          <w:vertAlign w:val="superscript"/>
          <w:rtl/>
        </w:rPr>
        <w:t>(</w:t>
      </w:r>
      <w:r w:rsidRPr="00815C4C">
        <w:rPr>
          <w:rFonts w:cs="Taher"/>
          <w:vertAlign w:val="superscript"/>
          <w:rtl/>
        </w:rPr>
        <w:footnoteReference w:id="478"/>
      </w:r>
      <w:r w:rsidRPr="00815C4C">
        <w:rPr>
          <w:rFonts w:cs="Taher"/>
          <w:vertAlign w:val="superscript"/>
          <w:rtl/>
        </w:rPr>
        <w:t>)</w:t>
      </w:r>
      <w:r>
        <w:rPr>
          <w:rFonts w:hint="cs"/>
          <w:rtl/>
        </w:rPr>
        <w:t xml:space="preserve"> </w:t>
      </w:r>
      <w:r w:rsidRPr="00366C30">
        <w:rPr>
          <w:rFonts w:hint="cs"/>
          <w:rtl/>
        </w:rPr>
        <w:t>بل روي في بعض أبواب الإرث ما يستظهر منه أنّ جواز نكاح الكتابيّة مطلقاً كان مفروغاً عنه عند الأئمة</w:t>
      </w:r>
      <w:r w:rsidR="005067D6">
        <w:rPr>
          <w:rFonts w:hint="cs"/>
          <w:rtl/>
        </w:rPr>
        <w:t>^</w:t>
      </w:r>
      <w:r w:rsidRPr="00366C30">
        <w:rPr>
          <w:rFonts w:hint="cs"/>
          <w:rtl/>
        </w:rPr>
        <w:t xml:space="preserve"> وعند شيعتهم؛ كصحيح أبي ولاد قال: سمعت أبا عبدالله</w:t>
      </w:r>
      <w:r w:rsidR="005067D6">
        <w:rPr>
          <w:rFonts w:hint="cs"/>
          <w:sz w:val="27"/>
          <w:rtl/>
        </w:rPr>
        <w:t>×</w:t>
      </w:r>
      <w:r w:rsidRPr="00366C30">
        <w:rPr>
          <w:rFonts w:hint="cs"/>
          <w:rtl/>
        </w:rPr>
        <w:t xml:space="preserve"> يقول: </w:t>
      </w:r>
      <w:r w:rsidRPr="006A4ECD">
        <w:rPr>
          <w:rFonts w:cs="Abz-2 (Badr)" w:hint="cs"/>
          <w:rtl/>
        </w:rPr>
        <w:lastRenderedPageBreak/>
        <w:t>&lt;</w:t>
      </w:r>
      <w:r w:rsidRPr="00366C30">
        <w:rPr>
          <w:rFonts w:hint="cs"/>
          <w:rtl/>
        </w:rPr>
        <w:t>المسلم يرث امرأته الذميّة وهي لا ترثه</w:t>
      </w:r>
      <w:r w:rsidRPr="006A4ECD">
        <w:rPr>
          <w:rFonts w:cs="Abz-2 (Badr)" w:hint="cs"/>
          <w:rtl/>
        </w:rPr>
        <w:t>&gt;</w:t>
      </w:r>
      <w:r w:rsidRPr="00815C4C">
        <w:rPr>
          <w:rFonts w:cs="Taher"/>
          <w:vertAlign w:val="superscript"/>
          <w:rtl/>
        </w:rPr>
        <w:t>(</w:t>
      </w:r>
      <w:r w:rsidRPr="00815C4C">
        <w:rPr>
          <w:rFonts w:cs="Taher"/>
          <w:vertAlign w:val="superscript"/>
          <w:rtl/>
        </w:rPr>
        <w:footnoteReference w:id="479"/>
      </w:r>
      <w:r w:rsidRPr="00815C4C">
        <w:rPr>
          <w:rFonts w:cs="Taher"/>
          <w:vertAlign w:val="superscript"/>
          <w:rtl/>
        </w:rPr>
        <w:t>)</w:t>
      </w:r>
      <w:r w:rsidRPr="00366C30">
        <w:rPr>
          <w:rFonts w:hint="cs"/>
          <w:rtl/>
        </w:rPr>
        <w:t>. وصحيح جميل عنه</w:t>
      </w:r>
      <w:r w:rsidR="005067D6">
        <w:rPr>
          <w:rFonts w:hint="cs"/>
          <w:sz w:val="27"/>
          <w:rtl/>
        </w:rPr>
        <w:t>×</w:t>
      </w:r>
      <w:r w:rsidRPr="00366C30">
        <w:rPr>
          <w:rFonts w:hint="cs"/>
          <w:rtl/>
        </w:rPr>
        <w:t xml:space="preserve"> في الزوج المسلم واليهوديّة والنصرانيّة أنه قال: </w:t>
      </w:r>
      <w:r w:rsidRPr="006A4ECD">
        <w:rPr>
          <w:rFonts w:cs="Abz-2 (Badr)" w:hint="cs"/>
          <w:rtl/>
        </w:rPr>
        <w:t>&lt;</w:t>
      </w:r>
      <w:r w:rsidRPr="00366C30">
        <w:rPr>
          <w:rFonts w:hint="cs"/>
          <w:rtl/>
        </w:rPr>
        <w:t>لا يتوارثان</w:t>
      </w:r>
      <w:r w:rsidRPr="006A4ECD">
        <w:rPr>
          <w:rFonts w:cs="Abz-2 (Badr)" w:hint="cs"/>
          <w:rtl/>
        </w:rPr>
        <w:t>&gt;</w:t>
      </w:r>
      <w:r w:rsidRPr="00815C4C">
        <w:rPr>
          <w:rFonts w:cs="Taher"/>
          <w:vertAlign w:val="superscript"/>
          <w:rtl/>
        </w:rPr>
        <w:t>(</w:t>
      </w:r>
      <w:r w:rsidRPr="00815C4C">
        <w:rPr>
          <w:rFonts w:cs="Taher"/>
          <w:vertAlign w:val="superscript"/>
          <w:rtl/>
        </w:rPr>
        <w:footnoteReference w:id="480"/>
      </w:r>
      <w:r w:rsidRPr="00815C4C">
        <w:rPr>
          <w:rFonts w:cs="Taher"/>
          <w:vertAlign w:val="superscript"/>
          <w:rtl/>
        </w:rPr>
        <w:t>)</w:t>
      </w:r>
      <w:r w:rsidRPr="00366C30">
        <w:rPr>
          <w:rFonts w:hint="cs"/>
          <w:rtl/>
        </w:rPr>
        <w:t>، وهذه المجموعة من الأخبار ممّا يرجّح على غيرها قطعاً لموافقتها الكتاب دلالةً، وسندُ غير واحد منها صحيح، ومع التعادل بين المجموعتين ـ أي الجواز والمنع ـ يجمع بينهما بحمل الأولى على الإباحة وحمل الثانية على الكراهة، كما يقال ذلك في أصول الفقه.</w:t>
      </w:r>
    </w:p>
    <w:p w:rsidR="00F04A58" w:rsidRPr="00366C30" w:rsidRDefault="00F04A58" w:rsidP="00E24C1D">
      <w:pPr>
        <w:pStyle w:val="ac"/>
        <w:rPr>
          <w:rtl/>
        </w:rPr>
      </w:pPr>
      <w:r w:rsidRPr="00366C30">
        <w:rPr>
          <w:rFonts w:hint="cs"/>
          <w:rtl/>
        </w:rPr>
        <w:t xml:space="preserve">ويمكن أن يقال: إنّ مجموعة الجواز من الروايات واردة مورد التقيّة؛ لأنّ القول بالجواز المطلق متّفق عليه بين أهل السنّة، ويقرّب هذا أنّ في عدّة منها ذكر طلحة، ومن المعلوم أنه لا حجّة في فعله إلاّ عندهم. ولكن يردّ هذا الكلام </w:t>
      </w:r>
      <w:r w:rsidRPr="006A4ECD">
        <w:rPr>
          <w:rFonts w:cs="Abz-2 (Badr)" w:hint="cs"/>
          <w:rtl/>
        </w:rPr>
        <w:t>&lt;</w:t>
      </w:r>
      <w:r w:rsidRPr="00366C30">
        <w:rPr>
          <w:rFonts w:hint="cs"/>
          <w:rtl/>
        </w:rPr>
        <w:t>أنّ جملة من رواة تلك النّصوص ممّن لا يعطون جراب النورة، على أنّ فيها ما ينافي التقيّة كالخبر المشتمل على كونهنّ ملكاً للإمام وغيره. كلّ ذلك مع عدم المعارض الذي يحمل لأجله الخبر على التقيّة المسقطة لحجّيته وعدم الإشعار في شيء منها بذلك كما هو المتعارف في الأخبار الواردة مورد التقيّة. والاستدلال بفعل طلحة باعتبار تقرير النبيّ</w:t>
      </w:r>
      <w:r w:rsidR="00C86626">
        <w:rPr>
          <w:rFonts w:hint="cs"/>
          <w:sz w:val="27"/>
          <w:rtl/>
        </w:rPr>
        <w:t>’</w:t>
      </w:r>
      <w:r w:rsidRPr="00366C30">
        <w:rPr>
          <w:rFonts w:hint="cs"/>
          <w:rtl/>
        </w:rPr>
        <w:t xml:space="preserve"> له، وعليه فلا دلالة فيه على ذلك</w:t>
      </w:r>
      <w:r>
        <w:rPr>
          <w:rFonts w:hint="cs"/>
          <w:rtl/>
        </w:rPr>
        <w:t>،</w:t>
      </w:r>
      <w:r w:rsidRPr="00366C30">
        <w:rPr>
          <w:rFonts w:hint="cs"/>
          <w:rtl/>
        </w:rPr>
        <w:t xml:space="preserve"> كما هو واضح</w:t>
      </w:r>
      <w:r w:rsidRPr="006A4ECD">
        <w:rPr>
          <w:rFonts w:cs="Abz-2 (Badr)" w:hint="cs"/>
          <w:rtl/>
        </w:rPr>
        <w:t>&gt;</w:t>
      </w:r>
      <w:r w:rsidRPr="00815C4C">
        <w:rPr>
          <w:rFonts w:cs="Taher"/>
          <w:vertAlign w:val="superscript"/>
          <w:rtl/>
        </w:rPr>
        <w:t>(</w:t>
      </w:r>
      <w:r w:rsidRPr="00815C4C">
        <w:rPr>
          <w:rFonts w:cs="Taher"/>
          <w:vertAlign w:val="superscript"/>
          <w:rtl/>
        </w:rPr>
        <w:footnoteReference w:id="481"/>
      </w:r>
      <w:r w:rsidRPr="00815C4C">
        <w:rPr>
          <w:rFonts w:cs="Taher"/>
          <w:vertAlign w:val="superscript"/>
          <w:rtl/>
        </w:rPr>
        <w:t>)</w:t>
      </w:r>
      <w:r w:rsidRPr="00366C30">
        <w:rPr>
          <w:rFonts w:hint="cs"/>
          <w:rtl/>
        </w:rPr>
        <w:t>.</w:t>
      </w:r>
    </w:p>
    <w:p w:rsidR="00F04A58" w:rsidRPr="00366C30" w:rsidRDefault="00F04A58" w:rsidP="00E24C1D">
      <w:pPr>
        <w:pStyle w:val="ac"/>
        <w:rPr>
          <w:rtl/>
        </w:rPr>
      </w:pPr>
      <w:r w:rsidRPr="00366C30">
        <w:rPr>
          <w:rFonts w:hint="cs"/>
          <w:rtl/>
        </w:rPr>
        <w:t>ودعوى أنّ موافقة أهل السنّة كافية لترجيح الطرف الأخر حسب أصول الشيعة مرفوضة؛ لأنّ ترجيح كلّ ما يخالف أهل السنّة مطلقاً ممّا لا أصل له من العقل.</w:t>
      </w:r>
    </w:p>
    <w:p w:rsidR="00F04A58" w:rsidRPr="00E24C1D" w:rsidRDefault="00F04A58" w:rsidP="00E24C1D">
      <w:pPr>
        <w:pStyle w:val="afffffc"/>
        <w:rPr>
          <w:sz w:val="12"/>
          <w:szCs w:val="10"/>
          <w:rtl/>
        </w:rPr>
      </w:pPr>
    </w:p>
    <w:p w:rsidR="00F04A58" w:rsidRDefault="00F04A58" w:rsidP="00E24C1D">
      <w:pPr>
        <w:pStyle w:val="2"/>
      </w:pPr>
      <w:bookmarkStart w:id="297" w:name="_Toc275128019"/>
      <w:r>
        <w:rPr>
          <w:rFonts w:hint="cs"/>
          <w:rtl/>
        </w:rPr>
        <w:t>مقولة الترابط بين الزواجين: الدائم والمنقطع في نكاح الكتابية</w:t>
      </w:r>
      <w:bookmarkEnd w:id="297"/>
    </w:p>
    <w:p w:rsidR="00F04A58" w:rsidRPr="00366C30" w:rsidRDefault="00F04A58" w:rsidP="00E24C1D">
      <w:pPr>
        <w:pStyle w:val="ac"/>
        <w:rPr>
          <w:rtl/>
        </w:rPr>
      </w:pPr>
      <w:r w:rsidRPr="00366C30">
        <w:rPr>
          <w:rFonts w:hint="cs"/>
          <w:rtl/>
        </w:rPr>
        <w:t>يمكن أن يقال: إنّ العلّة المنصوصة ـ عند المفصّلين ـ في منع نكاح الكتابيّة دواماً هي مخافة أن تدعوه الكتابيّة إلى النار</w:t>
      </w:r>
      <w:r w:rsidRPr="00815C4C">
        <w:rPr>
          <w:rFonts w:cs="Taher"/>
          <w:vertAlign w:val="superscript"/>
          <w:rtl/>
        </w:rPr>
        <w:t>(</w:t>
      </w:r>
      <w:r w:rsidRPr="00815C4C">
        <w:rPr>
          <w:rFonts w:cs="Taher"/>
          <w:vertAlign w:val="superscript"/>
          <w:rtl/>
        </w:rPr>
        <w:footnoteReference w:id="482"/>
      </w:r>
      <w:r w:rsidRPr="00815C4C">
        <w:rPr>
          <w:rFonts w:cs="Taher"/>
          <w:vertAlign w:val="superscript"/>
          <w:rtl/>
        </w:rPr>
        <w:t>)</w:t>
      </w:r>
      <w:r w:rsidRPr="00366C30">
        <w:rPr>
          <w:rFonts w:hint="cs"/>
          <w:rtl/>
        </w:rPr>
        <w:t>، وأن يتهوّد ولده أو يتنصّر</w:t>
      </w:r>
      <w:r w:rsidRPr="00815C4C">
        <w:rPr>
          <w:rFonts w:cs="Taher"/>
          <w:vertAlign w:val="superscript"/>
          <w:rtl/>
        </w:rPr>
        <w:t>(</w:t>
      </w:r>
      <w:r w:rsidRPr="00815C4C">
        <w:rPr>
          <w:rFonts w:cs="Taher"/>
          <w:vertAlign w:val="superscript"/>
          <w:rtl/>
        </w:rPr>
        <w:footnoteReference w:id="483"/>
      </w:r>
      <w:r w:rsidRPr="00815C4C">
        <w:rPr>
          <w:rFonts w:cs="Taher"/>
          <w:vertAlign w:val="superscript"/>
          <w:rtl/>
        </w:rPr>
        <w:t>)</w:t>
      </w:r>
      <w:r w:rsidRPr="00366C30">
        <w:rPr>
          <w:rFonts w:hint="cs"/>
          <w:rtl/>
        </w:rPr>
        <w:t xml:space="preserve">، ومثل ذلك ممّا تضمّنته الآيات والرّوايات. وهذه العلة موجودة أيضاً في الزواج المنقطع؛ إذ من الجائز </w:t>
      </w:r>
      <w:r w:rsidRPr="00366C30">
        <w:rPr>
          <w:rFonts w:hint="cs"/>
          <w:rtl/>
        </w:rPr>
        <w:lastRenderedPageBreak/>
        <w:t>شرعاً ـ وعلى مبدأ المفصّلين ـ أن يتزوّج المسلم بالكتابيّة إلى أجل بعيد جدّاً مثل خمسين سنة أو أقصى من ذلك، بحيث تصير المتعة مطابقة في الآثار للدّائم، خصوصاً إذا شرط الولد والميراث ـ ولو من جانب ـ وغيرهما من حقوق الزوجين الدائمين في ضمن العقد؛ وبهذا تُلغى فائدة القول بالتفصيل، وهذا يدلّ على عدم صحّته أيضاً؛ فالصحيح أنّ الشارع إمّا لا يجيز نكاح الكتابيّة مطلقاً أو يجيزه مطلقاً، ولا معنى للتفصيل، وكأنّنا نخرج بقاعدة تقول: كلّ من يصحّ نك</w:t>
      </w:r>
      <w:r>
        <w:rPr>
          <w:rFonts w:hint="cs"/>
          <w:rtl/>
        </w:rPr>
        <w:t>ا</w:t>
      </w:r>
      <w:r w:rsidRPr="00366C30">
        <w:rPr>
          <w:rFonts w:hint="cs"/>
          <w:rtl/>
        </w:rPr>
        <w:t>حها متعةً يصحّ نكاحها دواماً.</w:t>
      </w:r>
    </w:p>
    <w:p w:rsidR="00F04A58" w:rsidRPr="00E24C1D" w:rsidRDefault="00F04A58" w:rsidP="00E24C1D">
      <w:pPr>
        <w:pStyle w:val="afffffc"/>
        <w:rPr>
          <w:sz w:val="18"/>
          <w:szCs w:val="16"/>
          <w:rtl/>
        </w:rPr>
      </w:pPr>
    </w:p>
    <w:p w:rsidR="00F04A58" w:rsidRPr="00366C30" w:rsidRDefault="00F04A58" w:rsidP="006833F7">
      <w:pPr>
        <w:pStyle w:val="1"/>
        <w:rPr>
          <w:rFonts w:cs="AL-Mohanad"/>
          <w:sz w:val="29"/>
          <w:szCs w:val="27"/>
          <w:rtl/>
        </w:rPr>
      </w:pPr>
      <w:bookmarkStart w:id="298" w:name="_Toc275128020"/>
      <w:r w:rsidRPr="006034B7">
        <w:rPr>
          <w:rFonts w:hint="cs"/>
          <w:rtl/>
        </w:rPr>
        <w:t xml:space="preserve">مسألة التأثير الديني </w:t>
      </w:r>
      <w:r>
        <w:rPr>
          <w:rFonts w:hint="cs"/>
          <w:rtl/>
        </w:rPr>
        <w:t>على الأسرة في</w:t>
      </w:r>
      <w:r w:rsidRPr="006034B7">
        <w:rPr>
          <w:rFonts w:hint="cs"/>
          <w:rtl/>
        </w:rPr>
        <w:t xml:space="preserve"> الزواج من الكتابيات</w:t>
      </w:r>
      <w:bookmarkEnd w:id="298"/>
    </w:p>
    <w:p w:rsidR="00F04A58" w:rsidRPr="00366C30" w:rsidRDefault="00F04A58" w:rsidP="00E24C1D">
      <w:pPr>
        <w:pStyle w:val="ac"/>
        <w:rPr>
          <w:rtl/>
        </w:rPr>
      </w:pPr>
      <w:r w:rsidRPr="00366C30">
        <w:rPr>
          <w:rFonts w:hint="cs"/>
          <w:rtl/>
        </w:rPr>
        <w:t xml:space="preserve">إنّ الحديث عن تأثير الزوجة الكتابيّة على زوجها بدعوته إلى النار وحملها الأولاد على الضلالة الدينية يجري أيضاً في مجموعة من المسلمات، كما يشهد على ذلك قوله تعالى: </w:t>
      </w:r>
      <w:r w:rsidRPr="006833F7">
        <w:rPr>
          <w:rFonts w:hint="cs"/>
          <w:b/>
          <w:bCs/>
          <w:rtl/>
        </w:rPr>
        <w:sym w:font="Islamic Units 1" w:char="F03E"/>
      </w:r>
      <w:r w:rsidRPr="006833F7">
        <w:rPr>
          <w:b/>
          <w:bCs/>
          <w:rtl/>
        </w:rPr>
        <w:t>يَا أَيُّهَا الَّذِينَ آمَنُوا إِنَّ مِنْ أَزْوَاجِكُمْ وَأَوْلادِكُمْ عَدُوّا</w:t>
      </w:r>
      <w:r w:rsidRPr="006833F7">
        <w:rPr>
          <w:rFonts w:hint="cs"/>
          <w:b/>
          <w:bCs/>
          <w:rtl/>
        </w:rPr>
        <w:t>ً</w:t>
      </w:r>
      <w:r w:rsidRPr="006833F7">
        <w:rPr>
          <w:b/>
          <w:bCs/>
          <w:rtl/>
        </w:rPr>
        <w:t xml:space="preserve"> لَّكُمْ فَاحْذَرُوهُمْ</w:t>
      </w:r>
      <w:r w:rsidRPr="00D51EB8">
        <w:rPr>
          <w:rtl/>
        </w:rPr>
        <w:sym w:font="Islamic Units 1" w:char="F03C"/>
      </w:r>
      <w:r w:rsidRPr="00366C30">
        <w:rPr>
          <w:rFonts w:hint="cs"/>
          <w:rtl/>
        </w:rPr>
        <w:t xml:space="preserve"> (التغابن: 14)، إلى جانب الاتجاه العالمي في عصرنا نحو التسامح الدينيّ وحرّية العقيدة، ممّا يوجد عادةً في كثير من أهل الكتاب.</w:t>
      </w:r>
    </w:p>
    <w:p w:rsidR="00F04A58" w:rsidRPr="00366C30" w:rsidRDefault="00F04A58" w:rsidP="00E24C1D">
      <w:pPr>
        <w:pStyle w:val="ac"/>
        <w:rPr>
          <w:rtl/>
        </w:rPr>
      </w:pPr>
      <w:r w:rsidRPr="00366C30">
        <w:rPr>
          <w:rFonts w:hint="cs"/>
          <w:rtl/>
        </w:rPr>
        <w:t>والنتيجة: أنّ النظريّة الثالثة ـ أي جواز نكاح الكتابيّة مطلقاً ـ هي الصحيحة.</w:t>
      </w:r>
    </w:p>
    <w:p w:rsidR="00F04A58" w:rsidRPr="00E24C1D" w:rsidRDefault="00F04A58" w:rsidP="00E24C1D">
      <w:pPr>
        <w:pStyle w:val="afffffc"/>
        <w:rPr>
          <w:sz w:val="18"/>
          <w:szCs w:val="16"/>
          <w:rtl/>
        </w:rPr>
      </w:pPr>
    </w:p>
    <w:p w:rsidR="00F04A58" w:rsidRDefault="00F04A58" w:rsidP="000331D1">
      <w:pPr>
        <w:pStyle w:val="1"/>
        <w:rPr>
          <w:rtl/>
        </w:rPr>
      </w:pPr>
      <w:bookmarkStart w:id="299" w:name="_Toc275128021"/>
      <w:r>
        <w:rPr>
          <w:rFonts w:hint="cs"/>
          <w:rtl/>
        </w:rPr>
        <w:t xml:space="preserve">حكمة </w:t>
      </w:r>
      <w:r w:rsidR="000331D1">
        <w:rPr>
          <w:rFonts w:hint="cs"/>
          <w:rtl/>
        </w:rPr>
        <w:t>الترخيص في</w:t>
      </w:r>
      <w:r>
        <w:rPr>
          <w:rFonts w:hint="cs"/>
          <w:rtl/>
        </w:rPr>
        <w:t xml:space="preserve"> نكاح الكتابيّة</w:t>
      </w:r>
      <w:bookmarkEnd w:id="299"/>
    </w:p>
    <w:p w:rsidR="00F04A58" w:rsidRPr="00366C30" w:rsidRDefault="00F04A58" w:rsidP="00E24C1D">
      <w:pPr>
        <w:pStyle w:val="ac"/>
        <w:rPr>
          <w:rtl/>
        </w:rPr>
      </w:pPr>
      <w:r w:rsidRPr="00366C30">
        <w:rPr>
          <w:rFonts w:hint="cs"/>
          <w:rtl/>
        </w:rPr>
        <w:t>هنا سؤال يجدر الجواب عنه: لماذا يجوز نكاح الكتابيّة مطلقاً مع أنه لا يجوز نكاح المشركة؟ ولماذا لا يجوز تزويج المسلمة بالكتابي؟ ما سبب هذا التفريق بين المسلم والمسلمة؟</w:t>
      </w:r>
    </w:p>
    <w:p w:rsidR="00F04A58" w:rsidRPr="00366C30" w:rsidRDefault="00F04A58" w:rsidP="00E24C1D">
      <w:pPr>
        <w:pStyle w:val="ac"/>
        <w:spacing w:line="199" w:lineRule="auto"/>
        <w:rPr>
          <w:rtl/>
        </w:rPr>
      </w:pPr>
      <w:r w:rsidRPr="00366C30">
        <w:rPr>
          <w:rFonts w:hint="cs"/>
          <w:rtl/>
        </w:rPr>
        <w:t>لابدّ لفهم الحكمة في ذلك أن ننظر في الحقائق التالية:</w:t>
      </w:r>
    </w:p>
    <w:p w:rsidR="00F04A58" w:rsidRPr="00366C30" w:rsidRDefault="00F04A58" w:rsidP="00E24C1D">
      <w:pPr>
        <w:pStyle w:val="ac"/>
        <w:spacing w:line="199" w:lineRule="auto"/>
        <w:rPr>
          <w:rtl/>
        </w:rPr>
      </w:pPr>
      <w:r w:rsidRPr="00366C30">
        <w:rPr>
          <w:rFonts w:hint="cs"/>
          <w:rtl/>
        </w:rPr>
        <w:t>1 ـ إنّ للزوج رئاسة الأسرة والقوامة على الزوجة والسلطة الأدبيّة عليها في كلّ شرائع العالم وقوانينه، وله القدرة على التأثير عليها في أفكارها واتجاهاتها أكثر ممّا للمرأة على الرجل في الأعمّ الأغلب النابع من طبيعة المرأة على السواء</w:t>
      </w:r>
      <w:r w:rsidRPr="00815C4C">
        <w:rPr>
          <w:rFonts w:cs="Taher"/>
          <w:vertAlign w:val="superscript"/>
          <w:rtl/>
        </w:rPr>
        <w:t>(</w:t>
      </w:r>
      <w:r w:rsidRPr="00815C4C">
        <w:rPr>
          <w:rFonts w:cs="Taher"/>
          <w:vertAlign w:val="superscript"/>
          <w:rtl/>
        </w:rPr>
        <w:footnoteReference w:id="484"/>
      </w:r>
      <w:r w:rsidRPr="00815C4C">
        <w:rPr>
          <w:rFonts w:cs="Taher"/>
          <w:vertAlign w:val="superscript"/>
          <w:rtl/>
        </w:rPr>
        <w:t>)</w:t>
      </w:r>
      <w:r w:rsidRPr="00366C30">
        <w:rPr>
          <w:rFonts w:hint="cs"/>
          <w:rtl/>
        </w:rPr>
        <w:t>.</w:t>
      </w:r>
    </w:p>
    <w:p w:rsidR="00F04A58" w:rsidRPr="00366C30" w:rsidRDefault="00F04A58" w:rsidP="00E24C1D">
      <w:pPr>
        <w:pStyle w:val="ac"/>
        <w:spacing w:line="209" w:lineRule="auto"/>
        <w:rPr>
          <w:rtl/>
        </w:rPr>
      </w:pPr>
      <w:r w:rsidRPr="00366C30">
        <w:rPr>
          <w:rFonts w:hint="cs"/>
          <w:rtl/>
        </w:rPr>
        <w:lastRenderedPageBreak/>
        <w:t xml:space="preserve">2 ـ إنّ الإسلام يذعن بالديانتين اليهوديّة والنصرانيّة ويعترف بأنهما من عند الله سبحانه وأنّه وقع فيهما تحريف، ويأمر أتباعه المسلمين بأن يقولوا: </w:t>
      </w:r>
      <w:r w:rsidRPr="00D51EB8">
        <w:rPr>
          <w:rFonts w:hint="cs"/>
          <w:rtl/>
        </w:rPr>
        <w:sym w:font="Islamic Units 1" w:char="F03E"/>
      </w:r>
      <w:r w:rsidRPr="001F26A9">
        <w:rPr>
          <w:b/>
          <w:bCs/>
          <w:rtl/>
        </w:rPr>
        <w:t>آمَنَّا بِالله وَمَ</w:t>
      </w:r>
      <w:r w:rsidRPr="001F26A9">
        <w:rPr>
          <w:rFonts w:hint="cs"/>
          <w:b/>
          <w:bCs/>
          <w:rtl/>
        </w:rPr>
        <w:t>ا</w:t>
      </w:r>
      <w:r w:rsidRPr="001F26A9">
        <w:rPr>
          <w:b/>
          <w:bCs/>
          <w:rtl/>
        </w:rPr>
        <w:t xml:space="preserve"> أُنزِلَ إِلَيْنَا وَمَا أُنزِلَ إلى إِبْرَاهِيمَ وَإِسْمَاعِيلَ وَإِسْحَقَ وَيَعْقُوبَ وَالأسْبَاطِ وَمَا أُوتِيَ مُوسَى وَعِيسَى وَمَا أُوتِيَ النَّبِيُّونَ مِن رَّبِّهِمْ لاَ نُفَرِّقُ بَيْنَ أَحَدٍ مِّنْهُمْ وَنَحْنُ لَهُ مُسْلِمُونَ</w:t>
      </w:r>
      <w:r w:rsidRPr="00D51EB8">
        <w:rPr>
          <w:rtl/>
        </w:rPr>
        <w:sym w:font="Islamic Units 1" w:char="F03C"/>
      </w:r>
      <w:r>
        <w:rPr>
          <w:rFonts w:cs="Simplified Arabic" w:hint="cs"/>
          <w:bCs/>
          <w:color w:val="000000"/>
          <w:position w:val="4"/>
          <w:sz w:val="26"/>
          <w:szCs w:val="26"/>
          <w:vertAlign w:val="superscript"/>
          <w:rtl/>
        </w:rPr>
        <w:t xml:space="preserve"> </w:t>
      </w:r>
      <w:r w:rsidRPr="00366C30">
        <w:rPr>
          <w:rFonts w:hint="cs"/>
          <w:rtl/>
        </w:rPr>
        <w:t>(البقرة: 136)، ولذا لا يجوز للمسلم أن يسبّ نبيّاً من الأنبياء ومنهم موسى وعيسى</w:t>
      </w:r>
      <w:r w:rsidRPr="00366C30">
        <w:rPr>
          <w:sz w:val="27"/>
          <w:rtl/>
        </w:rPr>
        <w:sym w:font="Roumouz" w:char="F027"/>
      </w:r>
      <w:r w:rsidRPr="00366C30">
        <w:rPr>
          <w:rFonts w:hint="cs"/>
          <w:rtl/>
        </w:rPr>
        <w:t>. بل لو فعل ذلك كان كافراً بحكم الإسلام وخارجاً عن الدين ومهدوراً دمه كما روي عن رسول الله</w:t>
      </w:r>
      <w:r w:rsidR="00C86626">
        <w:rPr>
          <w:rFonts w:hint="cs"/>
          <w:sz w:val="27"/>
          <w:rtl/>
        </w:rPr>
        <w:t>’</w:t>
      </w:r>
      <w:r w:rsidRPr="00366C30">
        <w:rPr>
          <w:rFonts w:hint="cs"/>
          <w:rtl/>
        </w:rPr>
        <w:t xml:space="preserve"> قال: </w:t>
      </w:r>
      <w:r w:rsidRPr="006A4ECD">
        <w:rPr>
          <w:rFonts w:cs="Abz-2 (Badr)" w:hint="cs"/>
          <w:rtl/>
        </w:rPr>
        <w:t>&lt;</w:t>
      </w:r>
      <w:r w:rsidRPr="00366C30">
        <w:rPr>
          <w:rFonts w:hint="cs"/>
          <w:rtl/>
        </w:rPr>
        <w:t>من سبّ نبيّاً من الأنبياء فاقتلوه</w:t>
      </w:r>
      <w:r w:rsidRPr="006A4ECD">
        <w:rPr>
          <w:rFonts w:cs="Abz-2 (Badr)" w:hint="cs"/>
          <w:rtl/>
        </w:rPr>
        <w:t>&gt;</w:t>
      </w:r>
      <w:r w:rsidRPr="00815C4C">
        <w:rPr>
          <w:rFonts w:cs="Taher"/>
          <w:vertAlign w:val="superscript"/>
          <w:rtl/>
        </w:rPr>
        <w:t>(</w:t>
      </w:r>
      <w:r w:rsidRPr="00815C4C">
        <w:rPr>
          <w:rFonts w:cs="Taher"/>
          <w:vertAlign w:val="superscript"/>
          <w:rtl/>
        </w:rPr>
        <w:footnoteReference w:id="485"/>
      </w:r>
      <w:r w:rsidRPr="00815C4C">
        <w:rPr>
          <w:rFonts w:cs="Taher"/>
          <w:vertAlign w:val="superscript"/>
          <w:rtl/>
        </w:rPr>
        <w:t>)</w:t>
      </w:r>
      <w:r w:rsidRPr="00366C30">
        <w:rPr>
          <w:rFonts w:hint="cs"/>
          <w:rtl/>
        </w:rPr>
        <w:t xml:space="preserve">، فيُؤخذ </w:t>
      </w:r>
      <w:r>
        <w:rPr>
          <w:rFonts w:hint="cs"/>
          <w:rtl/>
        </w:rPr>
        <w:t>م</w:t>
      </w:r>
      <w:r w:rsidRPr="00366C30">
        <w:rPr>
          <w:rFonts w:hint="cs"/>
          <w:rtl/>
        </w:rPr>
        <w:t>نه ماله ويُفرّق بينه وبين زوجته. وهذا ضمان بيّن أمام زوجته الكتابيّة أن لا يحاول إيذاءها في عقيدتها الدينيّة.</w:t>
      </w:r>
    </w:p>
    <w:p w:rsidR="00F04A58" w:rsidRPr="00366C30" w:rsidRDefault="00F04A58" w:rsidP="00E24C1D">
      <w:pPr>
        <w:pStyle w:val="ac"/>
        <w:spacing w:line="209" w:lineRule="auto"/>
        <w:rPr>
          <w:rtl/>
        </w:rPr>
      </w:pPr>
      <w:r w:rsidRPr="00366C30">
        <w:rPr>
          <w:rFonts w:hint="cs"/>
          <w:rtl/>
        </w:rPr>
        <w:t>3 ـ وأمّا الديانتان اليهوديّة والنصرانيّة فلا تعترفان بديانة الإسلام ولا تذعنان بأنها من عند الله سبحانه، بل تقولان فيها: إنها مختلقة من عند محمد</w:t>
      </w:r>
      <w:r w:rsidR="00C86626">
        <w:rPr>
          <w:rFonts w:hint="cs"/>
          <w:sz w:val="27"/>
          <w:rtl/>
        </w:rPr>
        <w:t>’</w:t>
      </w:r>
      <w:r w:rsidRPr="00366C30">
        <w:rPr>
          <w:rFonts w:hint="cs"/>
          <w:rtl/>
        </w:rPr>
        <w:t xml:space="preserve"> ولذا لا تمنعان أتباعهما من القول فيها وإظهار التكذيب لها مع الإمكان. فلا يبقى أيّ ضمان لليهوديّ والنصرانيّ ـ بعدما عرفت من قوّة تأثير الزّوج أمام زوجته المسلمة ـ أن يكفّ عن إيذائها وممارسة الضغوط العاطفيّة عليها. وفي هذا تصدّع الأسرة وشقاء الحياة الزوجيّة، مع إمكان التأثير الديني للزّوجة المسلمة خصوصاً إذا كانت ضعيفة في إيمانها.</w:t>
      </w:r>
    </w:p>
    <w:p w:rsidR="00F04A58" w:rsidRPr="00366C30" w:rsidRDefault="00F04A58" w:rsidP="00E24C1D">
      <w:pPr>
        <w:pStyle w:val="ac"/>
        <w:spacing w:line="209" w:lineRule="auto"/>
        <w:rPr>
          <w:rtl/>
        </w:rPr>
      </w:pPr>
      <w:r w:rsidRPr="00366C30">
        <w:rPr>
          <w:rFonts w:hint="cs"/>
          <w:rtl/>
        </w:rPr>
        <w:t>لهذا بادرت الشريعة إلى سدّ هذه الذريعة؛ فحرّمت زواج المسلمة بغير المسلم ولم تفرّق بين وثنيّ وكتابيّ؛ لأنّ العلّة واحدة فيهما معاً؛ فليس تعصّباً ولا أنانّية ولا استعلاءً على النّاس أن يبيح الإسلام للرّجل المسلم أن يتزوّج المرأة الكتابيّة ولا يبيح للرّجل الكتابيّ أن يتزوّج المرأة المسلمة، بل هو تقدير دقيق لكلّ حالة من الحالتين، ولو أمعن النّظر فيهما ذو رأي غير متعصّب لما خرج إلاّ بهذا الحكم</w:t>
      </w:r>
      <w:r w:rsidRPr="00815C4C">
        <w:rPr>
          <w:rFonts w:cs="Taher"/>
          <w:vertAlign w:val="superscript"/>
          <w:rtl/>
        </w:rPr>
        <w:t>(</w:t>
      </w:r>
      <w:r w:rsidRPr="00815C4C">
        <w:rPr>
          <w:rFonts w:cs="Taher"/>
          <w:vertAlign w:val="superscript"/>
          <w:rtl/>
        </w:rPr>
        <w:footnoteReference w:id="486"/>
      </w:r>
      <w:r w:rsidRPr="00815C4C">
        <w:rPr>
          <w:rFonts w:cs="Taher"/>
          <w:vertAlign w:val="superscript"/>
          <w:rtl/>
        </w:rPr>
        <w:t>)</w:t>
      </w:r>
      <w:r w:rsidRPr="00366C30">
        <w:rPr>
          <w:rFonts w:hint="cs"/>
          <w:rtl/>
        </w:rPr>
        <w:t>.</w:t>
      </w:r>
    </w:p>
    <w:p w:rsidR="00F04A58" w:rsidRPr="00366C30" w:rsidRDefault="00F04A58" w:rsidP="00C86626">
      <w:pPr>
        <w:pStyle w:val="ac"/>
        <w:rPr>
          <w:rtl/>
        </w:rPr>
      </w:pPr>
      <w:r w:rsidRPr="00366C30">
        <w:rPr>
          <w:rFonts w:hint="cs"/>
          <w:rtl/>
        </w:rPr>
        <w:lastRenderedPageBreak/>
        <w:t>والحكمة في حلّ زواج الكتابيّة دون المشركة، أنّ الكتابيّة تتّفق مع المسلم في الإيمان بالله واليوم الآخر وكثير من الفضائل، واختلافهما إنّما هو في رسالة محمّد</w:t>
      </w:r>
      <w:r w:rsidR="00C86626">
        <w:rPr>
          <w:rFonts w:hint="cs"/>
          <w:sz w:val="27"/>
          <w:rtl/>
        </w:rPr>
        <w:t>’</w:t>
      </w:r>
      <w:r w:rsidRPr="00366C30">
        <w:rPr>
          <w:rFonts w:hint="cs"/>
          <w:rtl/>
        </w:rPr>
        <w:t xml:space="preserve"> وما جاء به من كتاب؛ فلهذا الاتفاق حلّ الزواج بها لإمكان العشرة بينهما المحقّقة للأغراض التي شرّع لها الزواج في الجملة</w:t>
      </w:r>
      <w:r w:rsidRPr="00815C4C">
        <w:rPr>
          <w:rFonts w:cs="Taher"/>
          <w:vertAlign w:val="superscript"/>
          <w:rtl/>
        </w:rPr>
        <w:t>(</w:t>
      </w:r>
      <w:r w:rsidRPr="00815C4C">
        <w:rPr>
          <w:rFonts w:cs="Taher"/>
          <w:vertAlign w:val="superscript"/>
          <w:rtl/>
        </w:rPr>
        <w:footnoteReference w:id="487"/>
      </w:r>
      <w:r w:rsidRPr="00815C4C">
        <w:rPr>
          <w:rFonts w:cs="Taher"/>
          <w:vertAlign w:val="superscript"/>
          <w:rtl/>
        </w:rPr>
        <w:t>)</w:t>
      </w:r>
      <w:r w:rsidRPr="00366C30">
        <w:rPr>
          <w:rFonts w:hint="cs"/>
          <w:rtl/>
        </w:rPr>
        <w:t>، أمّا المشركة فلا تتّفق في شيء من العقائد الرّئيسة مع المسلم؛ فمن البعيد جدّاً أن يجتمع الشرك والتوحيد في بيت واحد! هذا ما لا يكون تماماً كاجتماع الضدّين.</w:t>
      </w:r>
    </w:p>
    <w:p w:rsidR="00F04A58" w:rsidRPr="00366C30" w:rsidRDefault="00F04A58" w:rsidP="00E24C1D">
      <w:pPr>
        <w:pStyle w:val="afffffc"/>
        <w:rPr>
          <w:rtl/>
        </w:rPr>
      </w:pPr>
    </w:p>
    <w:p w:rsidR="00F04A58" w:rsidRDefault="00F04A58" w:rsidP="001F26A9">
      <w:pPr>
        <w:pStyle w:val="1"/>
        <w:rPr>
          <w:rtl/>
        </w:rPr>
      </w:pPr>
      <w:bookmarkStart w:id="300" w:name="_Toc275128022"/>
      <w:r>
        <w:rPr>
          <w:rFonts w:hint="cs"/>
          <w:rtl/>
        </w:rPr>
        <w:t>حقوق الزّوجة الكتابيّة</w:t>
      </w:r>
      <w:bookmarkEnd w:id="300"/>
    </w:p>
    <w:p w:rsidR="00F04A58" w:rsidRPr="00366C30" w:rsidRDefault="00F04A58" w:rsidP="001F26A9">
      <w:pPr>
        <w:pStyle w:val="ac"/>
        <w:rPr>
          <w:rtl/>
        </w:rPr>
      </w:pPr>
      <w:r w:rsidRPr="00366C30">
        <w:rPr>
          <w:rFonts w:hint="cs"/>
          <w:rtl/>
        </w:rPr>
        <w:t>الحديث عن حقوق الزوجة الكتابيّة يكون من ناحيتين:</w:t>
      </w:r>
    </w:p>
    <w:p w:rsidR="00F04A58" w:rsidRDefault="00F04A58" w:rsidP="00E24C1D">
      <w:pPr>
        <w:pStyle w:val="afffffc"/>
        <w:rPr>
          <w:rtl/>
        </w:rPr>
      </w:pPr>
    </w:p>
    <w:p w:rsidR="00F04A58" w:rsidRPr="00366C30" w:rsidRDefault="00F04A58" w:rsidP="00E24C1D">
      <w:pPr>
        <w:pStyle w:val="2"/>
        <w:rPr>
          <w:rFonts w:cs="AL-Mohanad"/>
          <w:sz w:val="29"/>
          <w:szCs w:val="27"/>
          <w:rtl/>
        </w:rPr>
      </w:pPr>
      <w:bookmarkStart w:id="301" w:name="_Toc275128023"/>
      <w:r>
        <w:rPr>
          <w:rFonts w:hint="cs"/>
          <w:rtl/>
        </w:rPr>
        <w:t>1 ـ الحقوق ال</w:t>
      </w:r>
      <w:r w:rsidRPr="00580C85">
        <w:rPr>
          <w:rFonts w:hint="cs"/>
          <w:rtl/>
        </w:rPr>
        <w:t>مشترك</w:t>
      </w:r>
      <w:r>
        <w:rPr>
          <w:rFonts w:hint="cs"/>
          <w:rtl/>
        </w:rPr>
        <w:t>ة</w:t>
      </w:r>
      <w:r w:rsidRPr="00580C85">
        <w:rPr>
          <w:rFonts w:hint="cs"/>
          <w:rtl/>
        </w:rPr>
        <w:t xml:space="preserve"> بين الزوجة الكتابيّة والزوجة المسلمة</w:t>
      </w:r>
      <w:bookmarkEnd w:id="301"/>
    </w:p>
    <w:p w:rsidR="00F04A58" w:rsidRDefault="00F04A58" w:rsidP="000331D1">
      <w:pPr>
        <w:pStyle w:val="ac"/>
        <w:rPr>
          <w:rtl/>
        </w:rPr>
      </w:pPr>
      <w:r w:rsidRPr="00366C30">
        <w:rPr>
          <w:rFonts w:hint="cs"/>
          <w:rtl/>
        </w:rPr>
        <w:t>قال الشيخ الطوسيّ</w:t>
      </w:r>
      <w:r w:rsidR="000331D1">
        <w:rPr>
          <w:rFonts w:hint="cs"/>
          <w:sz w:val="27"/>
          <w:rtl/>
        </w:rPr>
        <w:t>&amp;</w:t>
      </w:r>
      <w:r w:rsidRPr="00366C30">
        <w:rPr>
          <w:rFonts w:hint="cs"/>
          <w:rtl/>
        </w:rPr>
        <w:t xml:space="preserve">: </w:t>
      </w:r>
      <w:r w:rsidRPr="006A4ECD">
        <w:rPr>
          <w:rFonts w:cs="Abz-2 (Badr)" w:hint="cs"/>
          <w:rtl/>
        </w:rPr>
        <w:t>&lt;</w:t>
      </w:r>
      <w:r w:rsidRPr="00366C30">
        <w:rPr>
          <w:rFonts w:hint="cs"/>
          <w:rtl/>
        </w:rPr>
        <w:t>إنّ لها ـ يعني الزوجة الكتابيّة ـ على زوجها حقاً ولزوجها عليها حقّ؛ تستحقّ عليه المهر والنفقة والسكنى والقَسم وأحكام المولى وتطالب عند انتهاء المدّة بالفئة أو الطلاق كالمسلمة، وأمّا الخدمة فلا يجب عليها لزوجها</w:t>
      </w:r>
      <w:r w:rsidRPr="006A4ECD">
        <w:rPr>
          <w:rFonts w:cs="Abz-2 (Badr)" w:hint="cs"/>
          <w:rtl/>
        </w:rPr>
        <w:t>&gt;</w:t>
      </w:r>
      <w:r w:rsidRPr="00815C4C">
        <w:rPr>
          <w:rFonts w:cs="Taher"/>
          <w:vertAlign w:val="superscript"/>
          <w:rtl/>
        </w:rPr>
        <w:t>(</w:t>
      </w:r>
      <w:r w:rsidRPr="00815C4C">
        <w:rPr>
          <w:rFonts w:cs="Taher"/>
          <w:vertAlign w:val="superscript"/>
          <w:rtl/>
        </w:rPr>
        <w:footnoteReference w:id="488"/>
      </w:r>
      <w:r w:rsidRPr="00815C4C">
        <w:rPr>
          <w:rFonts w:cs="Taher"/>
          <w:vertAlign w:val="superscript"/>
          <w:rtl/>
        </w:rPr>
        <w:t>)</w:t>
      </w:r>
      <w:r w:rsidRPr="00366C30">
        <w:rPr>
          <w:rFonts w:hint="cs"/>
          <w:rtl/>
        </w:rPr>
        <w:t xml:space="preserve">، وقال النوويّ: </w:t>
      </w:r>
      <w:r w:rsidRPr="006A4ECD">
        <w:rPr>
          <w:rFonts w:cs="Abz-2 (Badr)" w:hint="cs"/>
          <w:rtl/>
        </w:rPr>
        <w:t>&lt;</w:t>
      </w:r>
      <w:r w:rsidRPr="00366C30">
        <w:rPr>
          <w:rFonts w:hint="cs"/>
          <w:rtl/>
        </w:rPr>
        <w:t>الكتابيّة كالمسلمة في النفقة والقَسم والطلاق وعامّة أحكام النكاح</w:t>
      </w:r>
      <w:r w:rsidRPr="006A4ECD">
        <w:rPr>
          <w:rFonts w:cs="Abz-2 (Badr)" w:hint="cs"/>
          <w:rtl/>
        </w:rPr>
        <w:t>&gt;</w:t>
      </w:r>
      <w:r w:rsidRPr="00815C4C">
        <w:rPr>
          <w:rFonts w:cs="Taher"/>
          <w:vertAlign w:val="superscript"/>
          <w:rtl/>
        </w:rPr>
        <w:t>(</w:t>
      </w:r>
      <w:r w:rsidRPr="00815C4C">
        <w:rPr>
          <w:rFonts w:cs="Taher"/>
          <w:vertAlign w:val="superscript"/>
          <w:rtl/>
        </w:rPr>
        <w:footnoteReference w:id="489"/>
      </w:r>
      <w:r w:rsidRPr="00815C4C">
        <w:rPr>
          <w:rFonts w:cs="Taher"/>
          <w:vertAlign w:val="superscript"/>
          <w:rtl/>
        </w:rPr>
        <w:t>)</w:t>
      </w:r>
      <w:r w:rsidRPr="00366C30">
        <w:rPr>
          <w:rFonts w:hint="cs"/>
          <w:rtl/>
        </w:rPr>
        <w:t>. فكأنّه لا خلاف بين أهل ا</w:t>
      </w:r>
      <w:r>
        <w:rPr>
          <w:rFonts w:hint="cs"/>
          <w:rtl/>
        </w:rPr>
        <w:t>ل</w:t>
      </w:r>
      <w:r w:rsidRPr="00366C30">
        <w:rPr>
          <w:rFonts w:hint="cs"/>
          <w:rtl/>
        </w:rPr>
        <w:t>سنّة والشيعة في ثبوت هذه الحقوق للزوجة الكتابيّة، لكنّ الخلاف في الناحية الثانية.</w:t>
      </w:r>
    </w:p>
    <w:p w:rsidR="001F26A9" w:rsidRPr="00E24C1D" w:rsidRDefault="001F26A9" w:rsidP="00E24C1D">
      <w:pPr>
        <w:pStyle w:val="afffffc"/>
        <w:rPr>
          <w:sz w:val="24"/>
          <w:szCs w:val="22"/>
          <w:rtl/>
        </w:rPr>
      </w:pPr>
    </w:p>
    <w:p w:rsidR="00F04A58" w:rsidRPr="00366C30" w:rsidRDefault="00F04A58" w:rsidP="00E24C1D">
      <w:pPr>
        <w:pStyle w:val="2"/>
        <w:rPr>
          <w:rFonts w:cs="AL-Mohanad"/>
          <w:sz w:val="29"/>
          <w:szCs w:val="27"/>
          <w:rtl/>
        </w:rPr>
      </w:pPr>
      <w:bookmarkStart w:id="302" w:name="_Toc275128024"/>
      <w:r w:rsidRPr="00270586">
        <w:rPr>
          <w:rFonts w:hint="cs"/>
          <w:rtl/>
        </w:rPr>
        <w:t>2 ـ الحقوق المتمايزة بين الزوجة الكتابيّة والزوجة المسلمة</w:t>
      </w:r>
      <w:bookmarkEnd w:id="302"/>
    </w:p>
    <w:p w:rsidR="00F04A58" w:rsidRPr="00366C30" w:rsidRDefault="00F04A58" w:rsidP="001F26A9">
      <w:pPr>
        <w:pStyle w:val="ac"/>
        <w:rPr>
          <w:rtl/>
        </w:rPr>
      </w:pPr>
      <w:r w:rsidRPr="00366C30">
        <w:rPr>
          <w:rFonts w:hint="cs"/>
          <w:rtl/>
        </w:rPr>
        <w:t>أعني ما يختص بالزوجة الكتابيّة دون المسلمة، وهو يحوي جملة نقاط:</w:t>
      </w:r>
    </w:p>
    <w:p w:rsidR="00F04A58" w:rsidRPr="00366C30" w:rsidRDefault="00F04A58" w:rsidP="001F26A9">
      <w:pPr>
        <w:pStyle w:val="ac"/>
        <w:rPr>
          <w:rtl/>
        </w:rPr>
      </w:pPr>
      <w:r w:rsidRPr="00366C30">
        <w:rPr>
          <w:rFonts w:hint="cs"/>
          <w:b/>
          <w:bCs/>
          <w:rtl/>
        </w:rPr>
        <w:t>1 ـ الزوجة الكتابيّة بين الإجبار على أحكام الإسلام وحريّة الاختيار:</w:t>
      </w:r>
      <w:r w:rsidRPr="00366C30">
        <w:rPr>
          <w:rFonts w:hint="cs"/>
          <w:rtl/>
        </w:rPr>
        <w:t xml:space="preserve"> هل للزوج </w:t>
      </w:r>
      <w:r w:rsidRPr="00366C30">
        <w:rPr>
          <w:rFonts w:hint="cs"/>
          <w:rtl/>
        </w:rPr>
        <w:lastRenderedPageBreak/>
        <w:t>المسلم إجبار زوجته الكتابيّة على مراعاة الأحكام الإسلاميّة مثل الحجاب والغسل من الجنابة وغير ذلك ممّا هو في معتقدها غير واجب؟</w:t>
      </w:r>
    </w:p>
    <w:p w:rsidR="00F04A58" w:rsidRPr="00366C30" w:rsidRDefault="00F04A58" w:rsidP="00925049">
      <w:pPr>
        <w:pStyle w:val="ac"/>
        <w:spacing w:line="211" w:lineRule="auto"/>
        <w:rPr>
          <w:rtl/>
        </w:rPr>
      </w:pPr>
      <w:r w:rsidRPr="00366C30">
        <w:rPr>
          <w:rFonts w:hint="cs"/>
          <w:rtl/>
        </w:rPr>
        <w:t>فيه قولان؛ أحدهما ليس له ذلك والثاني له إجبارها، والأوّل هو ما اختاره الشيخ الطوسي</w:t>
      </w:r>
      <w:r w:rsidRPr="00815C4C">
        <w:rPr>
          <w:rFonts w:cs="Taher"/>
          <w:vertAlign w:val="superscript"/>
          <w:rtl/>
        </w:rPr>
        <w:t>(</w:t>
      </w:r>
      <w:r w:rsidRPr="00815C4C">
        <w:rPr>
          <w:rFonts w:cs="Taher"/>
          <w:vertAlign w:val="superscript"/>
          <w:rtl/>
        </w:rPr>
        <w:footnoteReference w:id="490"/>
      </w:r>
      <w:r w:rsidRPr="00815C4C">
        <w:rPr>
          <w:rFonts w:cs="Taher"/>
          <w:vertAlign w:val="superscript"/>
          <w:rtl/>
        </w:rPr>
        <w:t>)</w:t>
      </w:r>
      <w:r w:rsidRPr="00366C30">
        <w:rPr>
          <w:rFonts w:hint="cs"/>
          <w:rtl/>
        </w:rPr>
        <w:t xml:space="preserve"> وهو الصحيح؛ لأصالة البراءة، ولأنّ العمل بالأحكام الإسلاميّة فرع قبول الإسلام. فمتى لم يجز إجبار الزوجة الكتابية على أصل الإسلام كيف يجوز إجبارها على فروعه؟</w:t>
      </w:r>
    </w:p>
    <w:p w:rsidR="00F04A58" w:rsidRPr="00366C30" w:rsidRDefault="00F04A58" w:rsidP="00925049">
      <w:pPr>
        <w:pStyle w:val="ac"/>
        <w:spacing w:line="211" w:lineRule="auto"/>
        <w:rPr>
          <w:rtl/>
        </w:rPr>
      </w:pPr>
      <w:r w:rsidRPr="00366C30">
        <w:rPr>
          <w:rFonts w:hint="cs"/>
          <w:b/>
          <w:bCs/>
          <w:rtl/>
        </w:rPr>
        <w:t>2 ـ الزوجة الكتابيّة بين المنع عن محظورات الأعمال وحقّ الاختيار والحريّة:</w:t>
      </w:r>
      <w:r w:rsidRPr="00366C30">
        <w:rPr>
          <w:rFonts w:hint="cs"/>
          <w:rtl/>
        </w:rPr>
        <w:t xml:space="preserve"> هل للزّوج المسلم منع زوجته الكتابية من الأعمال المحظورة التي هي في دينها مباحة كشرب الخمر وأكل لحم الخنزير؟</w:t>
      </w:r>
    </w:p>
    <w:p w:rsidR="00F04A58" w:rsidRPr="00366C30" w:rsidRDefault="00F04A58" w:rsidP="00925049">
      <w:pPr>
        <w:pStyle w:val="ac"/>
        <w:spacing w:line="211" w:lineRule="auto"/>
        <w:rPr>
          <w:rtl/>
        </w:rPr>
      </w:pPr>
      <w:r w:rsidRPr="00366C30">
        <w:rPr>
          <w:rFonts w:hint="cs"/>
          <w:rtl/>
        </w:rPr>
        <w:t>للفقهاء هنا مبدأ متفق عليه، وهو: كل مانع من الاستمتاع بالزوجة الكتابية عليها إزالته، أمّا ما لا يمنع الاستمتاع بل يمنع كماله فعندهم فيه قولان: أقواهما أنه لا يجب عليها؛ لأنّ الأصل براءة الذمّة، أمّا منعها من شرب المسكر من الخمر فله ذلك قدر ما يسكرها</w:t>
      </w:r>
      <w:r w:rsidRPr="00815C4C">
        <w:rPr>
          <w:rFonts w:cs="Taher"/>
          <w:vertAlign w:val="superscript"/>
          <w:rtl/>
        </w:rPr>
        <w:t>(</w:t>
      </w:r>
      <w:r w:rsidRPr="00815C4C">
        <w:rPr>
          <w:rFonts w:cs="Taher"/>
          <w:vertAlign w:val="superscript"/>
          <w:rtl/>
        </w:rPr>
        <w:footnoteReference w:id="491"/>
      </w:r>
      <w:r w:rsidRPr="00815C4C">
        <w:rPr>
          <w:rFonts w:cs="Taher"/>
          <w:vertAlign w:val="superscript"/>
          <w:rtl/>
        </w:rPr>
        <w:t>)</w:t>
      </w:r>
      <w:r w:rsidRPr="00366C30">
        <w:rPr>
          <w:rFonts w:hint="cs"/>
          <w:rtl/>
        </w:rPr>
        <w:t xml:space="preserve">. لا من جهة منع الاستمتاع؛ لأنّ الاستمتاع بها في حالة السكر ممكن. بل لما روي في الصحيح أنّه: </w:t>
      </w:r>
      <w:r w:rsidRPr="006A4ECD">
        <w:rPr>
          <w:rFonts w:cs="Abz-2 (Badr)" w:hint="cs"/>
          <w:rtl/>
        </w:rPr>
        <w:t>&lt;</w:t>
      </w:r>
      <w:r w:rsidRPr="00366C30">
        <w:rPr>
          <w:rFonts w:hint="cs"/>
          <w:rtl/>
        </w:rPr>
        <w:t>إن فعل فليمنعها من شرب الخمر وأكل لحم الخنزير</w:t>
      </w:r>
      <w:r w:rsidRPr="006A4ECD">
        <w:rPr>
          <w:rFonts w:cs="Abz-2 (Badr)" w:hint="cs"/>
          <w:rtl/>
        </w:rPr>
        <w:t>&gt;</w:t>
      </w:r>
      <w:r w:rsidRPr="00815C4C">
        <w:rPr>
          <w:rFonts w:cs="Taher"/>
          <w:vertAlign w:val="superscript"/>
          <w:rtl/>
        </w:rPr>
        <w:t>(</w:t>
      </w:r>
      <w:r w:rsidRPr="00815C4C">
        <w:rPr>
          <w:rFonts w:cs="Taher"/>
          <w:vertAlign w:val="superscript"/>
          <w:rtl/>
        </w:rPr>
        <w:footnoteReference w:id="492"/>
      </w:r>
      <w:r w:rsidRPr="00815C4C">
        <w:rPr>
          <w:rFonts w:cs="Taher"/>
          <w:vertAlign w:val="superscript"/>
          <w:rtl/>
        </w:rPr>
        <w:t>)</w:t>
      </w:r>
      <w:r w:rsidRPr="00366C30">
        <w:rPr>
          <w:rFonts w:hint="cs"/>
          <w:rtl/>
        </w:rPr>
        <w:t xml:space="preserve"> وهو ظاهر في وجوب منعها مطلقاً، ولعلّ ذلك لتأثير الخمر في الخُلق والخَلق والنسل وغير ذلك ممّا هو مذكور في محلّه.</w:t>
      </w:r>
    </w:p>
    <w:p w:rsidR="00F04A58" w:rsidRPr="00366C30" w:rsidRDefault="00F04A58" w:rsidP="00925049">
      <w:pPr>
        <w:pStyle w:val="ac"/>
        <w:spacing w:line="211" w:lineRule="auto"/>
        <w:rPr>
          <w:rtl/>
        </w:rPr>
      </w:pPr>
      <w:r w:rsidRPr="00366C30">
        <w:rPr>
          <w:rFonts w:hint="cs"/>
          <w:rtl/>
        </w:rPr>
        <w:t>وأمّا منعها من أكل لحم الخنزير قيل: فيه قولان أقربهما أنّه ليس له ذلك</w:t>
      </w:r>
      <w:r w:rsidRPr="00815C4C">
        <w:rPr>
          <w:rFonts w:cs="Taher"/>
          <w:vertAlign w:val="superscript"/>
          <w:rtl/>
        </w:rPr>
        <w:t>(</w:t>
      </w:r>
      <w:r w:rsidRPr="00815C4C">
        <w:rPr>
          <w:rFonts w:cs="Taher"/>
          <w:vertAlign w:val="superscript"/>
          <w:rtl/>
        </w:rPr>
        <w:footnoteReference w:id="493"/>
      </w:r>
      <w:r w:rsidRPr="00815C4C">
        <w:rPr>
          <w:rFonts w:cs="Taher"/>
          <w:vertAlign w:val="superscript"/>
          <w:rtl/>
        </w:rPr>
        <w:t>)</w:t>
      </w:r>
      <w:r w:rsidRPr="00366C30">
        <w:rPr>
          <w:rFonts w:hint="cs"/>
          <w:rtl/>
        </w:rPr>
        <w:t xml:space="preserve">؛ لما يقتضيه أصل الإباحة، نعم يعارضه ظاهر الصحيح المتقدم. وأمّا اللباس فلها لبس ما شاءت إذا كان طاهراً نظيفاً، سواء كان من الديباج أو غيره، فلها لبس الحرير الحلال </w:t>
      </w:r>
      <w:r w:rsidRPr="00366C30">
        <w:rPr>
          <w:rFonts w:hint="cs"/>
          <w:rtl/>
        </w:rPr>
        <w:lastRenderedPageBreak/>
        <w:t>لهنّ</w:t>
      </w:r>
      <w:r w:rsidRPr="00815C4C">
        <w:rPr>
          <w:rFonts w:cs="Taher"/>
          <w:vertAlign w:val="superscript"/>
          <w:rtl/>
        </w:rPr>
        <w:t>(</w:t>
      </w:r>
      <w:r w:rsidRPr="00815C4C">
        <w:rPr>
          <w:rFonts w:cs="Taher"/>
          <w:vertAlign w:val="superscript"/>
          <w:rtl/>
        </w:rPr>
        <w:footnoteReference w:id="494"/>
      </w:r>
      <w:r w:rsidRPr="00815C4C">
        <w:rPr>
          <w:rFonts w:cs="Taher"/>
          <w:vertAlign w:val="superscript"/>
          <w:rtl/>
        </w:rPr>
        <w:t>)</w:t>
      </w:r>
      <w:r w:rsidRPr="00366C30">
        <w:rPr>
          <w:rFonts w:hint="cs"/>
          <w:rtl/>
        </w:rPr>
        <w:t>. وقيل: تمنع الكتابية من البيَع والكنائس</w:t>
      </w:r>
      <w:r w:rsidRPr="00815C4C">
        <w:rPr>
          <w:rFonts w:cs="Taher"/>
          <w:vertAlign w:val="superscript"/>
          <w:rtl/>
        </w:rPr>
        <w:t>(</w:t>
      </w:r>
      <w:r w:rsidRPr="00815C4C">
        <w:rPr>
          <w:rFonts w:cs="Taher"/>
          <w:vertAlign w:val="superscript"/>
          <w:rtl/>
        </w:rPr>
        <w:footnoteReference w:id="495"/>
      </w:r>
      <w:r w:rsidRPr="00815C4C">
        <w:rPr>
          <w:rFonts w:cs="Taher"/>
          <w:vertAlign w:val="superscript"/>
          <w:rtl/>
        </w:rPr>
        <w:t>)</w:t>
      </w:r>
      <w:r w:rsidRPr="00366C30">
        <w:rPr>
          <w:rFonts w:hint="cs"/>
          <w:rtl/>
        </w:rPr>
        <w:t xml:space="preserve">. فهل مرادهم حرمة خروجها بدون إذن الزوج؟ الظاهر من قولهم حرمة ذلك مطلقاً إلى البيع والكنائس، لكنّه مردود بأنه لا دليل عليه، بل هو من نوع الاستحسانات. نعم، إذا كان المراد وجوب طاعة الزوج في الخروج أو عدمه فهو مصرّح به في الشريعة القرآنية بل والإنجيلية أيضاً حيث جاء: </w:t>
      </w:r>
      <w:r w:rsidRPr="006A4ECD">
        <w:rPr>
          <w:rFonts w:cs="Abz-2 (Badr)" w:hint="cs"/>
          <w:rtl/>
        </w:rPr>
        <w:t>&lt;</w:t>
      </w:r>
      <w:r w:rsidRPr="00366C30">
        <w:rPr>
          <w:rFonts w:hint="cs"/>
          <w:rtl/>
        </w:rPr>
        <w:t>يا أيتها النساء! أطعن أزواجكنّ كما ينبغي في الله</w:t>
      </w:r>
      <w:r w:rsidRPr="006A4ECD">
        <w:rPr>
          <w:rFonts w:cs="Abz-2 (Badr)" w:hint="cs"/>
          <w:rtl/>
        </w:rPr>
        <w:t>&gt;</w:t>
      </w:r>
      <w:r w:rsidRPr="00815C4C">
        <w:rPr>
          <w:rFonts w:cs="Taher"/>
          <w:vertAlign w:val="superscript"/>
          <w:rtl/>
        </w:rPr>
        <w:t>(</w:t>
      </w:r>
      <w:r w:rsidRPr="00815C4C">
        <w:rPr>
          <w:rFonts w:cs="Taher"/>
          <w:vertAlign w:val="superscript"/>
          <w:rtl/>
        </w:rPr>
        <w:footnoteReference w:id="496"/>
      </w:r>
      <w:r w:rsidRPr="00815C4C">
        <w:rPr>
          <w:rFonts w:cs="Taher"/>
          <w:vertAlign w:val="superscript"/>
          <w:rtl/>
        </w:rPr>
        <w:t>)</w:t>
      </w:r>
      <w:r w:rsidRPr="00366C30">
        <w:rPr>
          <w:rFonts w:hint="cs"/>
          <w:rtl/>
        </w:rPr>
        <w:t xml:space="preserve"> وجاء: </w:t>
      </w:r>
      <w:r w:rsidRPr="006A4ECD">
        <w:rPr>
          <w:rFonts w:cs="Abz-2 (Badr)" w:hint="cs"/>
          <w:rtl/>
        </w:rPr>
        <w:t>&lt;</w:t>
      </w:r>
      <w:r w:rsidRPr="00366C30">
        <w:rPr>
          <w:rFonts w:hint="cs"/>
          <w:rtl/>
        </w:rPr>
        <w:t>وليكن علاقات عفيفات مخدّرات محسنات مطيعات لأزواجهنّ</w:t>
      </w:r>
      <w:r w:rsidRPr="006A4ECD">
        <w:rPr>
          <w:rFonts w:cs="Abz-2 (Badr)" w:hint="cs"/>
          <w:rtl/>
        </w:rPr>
        <w:t>&gt;</w:t>
      </w:r>
      <w:r w:rsidRPr="00815C4C">
        <w:rPr>
          <w:rFonts w:cs="Taher"/>
          <w:vertAlign w:val="superscript"/>
          <w:rtl/>
        </w:rPr>
        <w:t>(</w:t>
      </w:r>
      <w:r w:rsidRPr="00815C4C">
        <w:rPr>
          <w:rFonts w:cs="Taher"/>
          <w:vertAlign w:val="superscript"/>
          <w:rtl/>
        </w:rPr>
        <w:footnoteReference w:id="497"/>
      </w:r>
      <w:r w:rsidRPr="00815C4C">
        <w:rPr>
          <w:rFonts w:cs="Taher"/>
          <w:vertAlign w:val="superscript"/>
          <w:rtl/>
        </w:rPr>
        <w:t>)</w:t>
      </w:r>
      <w:r w:rsidRPr="00366C30">
        <w:rPr>
          <w:rFonts w:hint="cs"/>
          <w:rtl/>
        </w:rPr>
        <w:t xml:space="preserve"> ومثل ذلك في التوراة وغيرها من كتبهم؛ فلذا يجب على الكتابيّات طاعة أزواجهنّ المسلمين بحكم شرائعهنّ.</w:t>
      </w:r>
    </w:p>
    <w:p w:rsidR="00F04A58" w:rsidRPr="00366C30" w:rsidRDefault="00F04A58" w:rsidP="00925049">
      <w:pPr>
        <w:pStyle w:val="ac"/>
        <w:spacing w:line="211" w:lineRule="auto"/>
        <w:rPr>
          <w:rtl/>
        </w:rPr>
      </w:pPr>
      <w:r w:rsidRPr="00366C30">
        <w:rPr>
          <w:rFonts w:hint="cs"/>
          <w:b/>
          <w:bCs/>
          <w:rtl/>
        </w:rPr>
        <w:t>3 ـ قانون الإرث بين الزوج المسلم والزوجة الكتابيّة:</w:t>
      </w:r>
      <w:r w:rsidRPr="00366C30">
        <w:rPr>
          <w:rFonts w:hint="cs"/>
          <w:rtl/>
        </w:rPr>
        <w:t xml:space="preserve"> وقع خلاف بين الفريقين المسلمين، فقال الجمهور: لا، مطلقاً؛ لقول النبي</w:t>
      </w:r>
      <w:r w:rsidR="00C86626">
        <w:rPr>
          <w:rFonts w:hint="cs"/>
          <w:sz w:val="27"/>
          <w:rtl/>
        </w:rPr>
        <w:t>’</w:t>
      </w:r>
      <w:r w:rsidRPr="00366C30">
        <w:rPr>
          <w:rFonts w:hint="cs"/>
          <w:rtl/>
        </w:rPr>
        <w:t xml:space="preserve">: </w:t>
      </w:r>
      <w:r w:rsidRPr="006A4ECD">
        <w:rPr>
          <w:rFonts w:cs="Abz-2 (Badr)" w:hint="cs"/>
          <w:rtl/>
        </w:rPr>
        <w:t>&lt;</w:t>
      </w:r>
      <w:r w:rsidRPr="00366C30">
        <w:rPr>
          <w:rFonts w:hint="cs"/>
          <w:rtl/>
        </w:rPr>
        <w:t>لا يرث المسلم الكافر ولا الكافر المسلم</w:t>
      </w:r>
      <w:r w:rsidRPr="006A4ECD">
        <w:rPr>
          <w:rFonts w:cs="Abz-2 (Badr)" w:hint="cs"/>
          <w:rtl/>
        </w:rPr>
        <w:t>&gt;</w:t>
      </w:r>
      <w:r w:rsidRPr="00815C4C">
        <w:rPr>
          <w:rFonts w:cs="Taher"/>
          <w:vertAlign w:val="superscript"/>
          <w:rtl/>
        </w:rPr>
        <w:t>(</w:t>
      </w:r>
      <w:r w:rsidRPr="00815C4C">
        <w:rPr>
          <w:rFonts w:cs="Taher"/>
          <w:vertAlign w:val="superscript"/>
          <w:rtl/>
        </w:rPr>
        <w:footnoteReference w:id="498"/>
      </w:r>
      <w:r w:rsidRPr="00815C4C">
        <w:rPr>
          <w:rFonts w:cs="Taher"/>
          <w:vertAlign w:val="superscript"/>
          <w:rtl/>
        </w:rPr>
        <w:t>)</w:t>
      </w:r>
      <w:r w:rsidRPr="00366C30">
        <w:rPr>
          <w:rFonts w:hint="cs"/>
          <w:rtl/>
        </w:rPr>
        <w:t xml:space="preserve"> نعم، روي عن عمر ومعاذ ومعاوية أنهم ورّثوا المسلم من الكافر ولم يورّثوا الكافر من المسلم، وحكي ذلك عن محمد بن الحنفية وعلي بن الحسين وسعيد بن المسيب ومسروق وعبدالله بن معقل والشعبي والنخعي ويحيى بن يعمر وإسحاق، وليس بموثوق عنهم</w:t>
      </w:r>
      <w:r w:rsidRPr="00815C4C">
        <w:rPr>
          <w:rFonts w:cs="Taher"/>
          <w:vertAlign w:val="superscript"/>
          <w:rtl/>
        </w:rPr>
        <w:t>(</w:t>
      </w:r>
      <w:r w:rsidRPr="00815C4C">
        <w:rPr>
          <w:rFonts w:cs="Taher"/>
          <w:vertAlign w:val="superscript"/>
          <w:rtl/>
        </w:rPr>
        <w:footnoteReference w:id="499"/>
      </w:r>
      <w:r w:rsidRPr="00815C4C">
        <w:rPr>
          <w:rFonts w:cs="Taher"/>
          <w:vertAlign w:val="superscript"/>
          <w:rtl/>
        </w:rPr>
        <w:t>)</w:t>
      </w:r>
      <w:r w:rsidRPr="00366C30">
        <w:rPr>
          <w:rFonts w:hint="cs"/>
          <w:rtl/>
        </w:rPr>
        <w:t>، ولو صحّ عنهم فلم يصحّ الإجماع.</w:t>
      </w:r>
    </w:p>
    <w:p w:rsidR="00F04A58" w:rsidRPr="00366C30" w:rsidRDefault="00F04A58" w:rsidP="00925049">
      <w:pPr>
        <w:pStyle w:val="ac"/>
        <w:spacing w:line="211" w:lineRule="auto"/>
        <w:rPr>
          <w:rtl/>
        </w:rPr>
      </w:pPr>
      <w:r w:rsidRPr="00366C30">
        <w:rPr>
          <w:rFonts w:hint="cs"/>
          <w:rtl/>
        </w:rPr>
        <w:t>وقالت الإماميّة: المسلم يرث زوجته الكتابية وهي لا ترثه إجماعاً</w:t>
      </w:r>
      <w:r w:rsidRPr="00815C4C">
        <w:rPr>
          <w:rFonts w:cs="Taher"/>
          <w:vertAlign w:val="superscript"/>
          <w:rtl/>
        </w:rPr>
        <w:t>(</w:t>
      </w:r>
      <w:r w:rsidRPr="00815C4C">
        <w:rPr>
          <w:rFonts w:cs="Taher"/>
          <w:vertAlign w:val="superscript"/>
          <w:rtl/>
        </w:rPr>
        <w:footnoteReference w:id="500"/>
      </w:r>
      <w:r w:rsidRPr="00815C4C">
        <w:rPr>
          <w:rFonts w:cs="Taher"/>
          <w:vertAlign w:val="superscript"/>
          <w:rtl/>
        </w:rPr>
        <w:t>)</w:t>
      </w:r>
      <w:r w:rsidRPr="00366C30">
        <w:rPr>
          <w:rFonts w:hint="cs"/>
          <w:rtl/>
        </w:rPr>
        <w:t>، وفي ذلك روايات عن أهل البيت</w:t>
      </w:r>
      <w:r w:rsidR="005067D6">
        <w:rPr>
          <w:rFonts w:hint="cs"/>
          <w:rtl/>
        </w:rPr>
        <w:t>^</w:t>
      </w:r>
      <w:r w:rsidRPr="00366C30">
        <w:rPr>
          <w:rFonts w:hint="cs"/>
          <w:rtl/>
        </w:rPr>
        <w:t>؛ منها قول الإمام الصادق</w:t>
      </w:r>
      <w:r w:rsidR="005067D6">
        <w:rPr>
          <w:rFonts w:hint="cs"/>
          <w:sz w:val="27"/>
          <w:rtl/>
        </w:rPr>
        <w:t>×</w:t>
      </w:r>
      <w:r w:rsidRPr="00366C30">
        <w:rPr>
          <w:rFonts w:hint="cs"/>
          <w:rtl/>
        </w:rPr>
        <w:t xml:space="preserve">: </w:t>
      </w:r>
      <w:r w:rsidRPr="006A4ECD">
        <w:rPr>
          <w:rFonts w:cs="Abz-2 (Badr)" w:hint="cs"/>
          <w:rtl/>
        </w:rPr>
        <w:t>&lt;</w:t>
      </w:r>
      <w:r w:rsidRPr="00366C30">
        <w:rPr>
          <w:rFonts w:hint="cs"/>
          <w:rtl/>
        </w:rPr>
        <w:t>المسلم يرث امرأته الذميّة وهي لا ترثه</w:t>
      </w:r>
      <w:r w:rsidRPr="006A4ECD">
        <w:rPr>
          <w:rFonts w:cs="Abz-2 (Badr)" w:hint="cs"/>
          <w:rtl/>
        </w:rPr>
        <w:t>&gt;</w:t>
      </w:r>
      <w:r w:rsidRPr="00815C4C">
        <w:rPr>
          <w:rFonts w:cs="Taher"/>
          <w:vertAlign w:val="superscript"/>
          <w:rtl/>
        </w:rPr>
        <w:t>(</w:t>
      </w:r>
      <w:r w:rsidRPr="00815C4C">
        <w:rPr>
          <w:rFonts w:cs="Taher"/>
          <w:vertAlign w:val="superscript"/>
          <w:rtl/>
        </w:rPr>
        <w:footnoteReference w:id="501"/>
      </w:r>
      <w:r w:rsidRPr="00815C4C">
        <w:rPr>
          <w:rFonts w:cs="Taher"/>
          <w:vertAlign w:val="superscript"/>
          <w:rtl/>
        </w:rPr>
        <w:t>)</w:t>
      </w:r>
      <w:r w:rsidRPr="00366C30">
        <w:rPr>
          <w:rFonts w:hint="cs"/>
          <w:rtl/>
        </w:rPr>
        <w:t>، وهو نصّ صحيح فلا سبيل إلى تخطّيه.</w:t>
      </w:r>
    </w:p>
    <w:p w:rsidR="00F04A58" w:rsidRPr="00366C30" w:rsidRDefault="00F04A58" w:rsidP="00925049">
      <w:pPr>
        <w:pStyle w:val="ac"/>
        <w:spacing w:line="199" w:lineRule="auto"/>
        <w:rPr>
          <w:rtl/>
        </w:rPr>
      </w:pPr>
      <w:r w:rsidRPr="00366C30">
        <w:rPr>
          <w:rFonts w:hint="cs"/>
          <w:b/>
          <w:bCs/>
          <w:rtl/>
        </w:rPr>
        <w:lastRenderedPageBreak/>
        <w:t>4ـ حدّ المسلم إذا قذف زوجته الكتابية:</w:t>
      </w:r>
      <w:r w:rsidRPr="00366C30">
        <w:rPr>
          <w:rFonts w:hint="cs"/>
          <w:rtl/>
        </w:rPr>
        <w:t xml:space="preserve"> يعدّ الإسلام شرطاً من شروط الإحصان عند جمهور أهل السنّة</w:t>
      </w:r>
      <w:r w:rsidRPr="00815C4C">
        <w:rPr>
          <w:rFonts w:cs="Taher"/>
          <w:vertAlign w:val="superscript"/>
          <w:rtl/>
        </w:rPr>
        <w:t>(</w:t>
      </w:r>
      <w:r w:rsidRPr="00815C4C">
        <w:rPr>
          <w:rFonts w:cs="Taher"/>
          <w:vertAlign w:val="superscript"/>
          <w:rtl/>
        </w:rPr>
        <w:footnoteReference w:id="502"/>
      </w:r>
      <w:r w:rsidRPr="00815C4C">
        <w:rPr>
          <w:rFonts w:cs="Taher"/>
          <w:vertAlign w:val="superscript"/>
          <w:rtl/>
        </w:rPr>
        <w:t>)</w:t>
      </w:r>
      <w:r>
        <w:rPr>
          <w:rFonts w:hint="cs"/>
          <w:rtl/>
        </w:rPr>
        <w:t xml:space="preserve">، </w:t>
      </w:r>
      <w:r w:rsidRPr="00366C30">
        <w:rPr>
          <w:rFonts w:hint="cs"/>
          <w:rtl/>
        </w:rPr>
        <w:t>وكذلك عند الإماميّة؛ فإذا قدف المسلم زوجته الكتابية فلا حدّ عليه وإنّما يعزّر</w:t>
      </w:r>
      <w:r w:rsidRPr="00815C4C">
        <w:rPr>
          <w:rFonts w:cs="Taher"/>
          <w:vertAlign w:val="superscript"/>
          <w:rtl/>
        </w:rPr>
        <w:t>(</w:t>
      </w:r>
      <w:r w:rsidRPr="00815C4C">
        <w:rPr>
          <w:rFonts w:cs="Taher"/>
          <w:vertAlign w:val="superscript"/>
          <w:rtl/>
        </w:rPr>
        <w:footnoteReference w:id="503"/>
      </w:r>
      <w:r w:rsidRPr="00815C4C">
        <w:rPr>
          <w:rFonts w:cs="Taher"/>
          <w:vertAlign w:val="superscript"/>
          <w:rtl/>
        </w:rPr>
        <w:t>)</w:t>
      </w:r>
      <w:r w:rsidRPr="00366C30">
        <w:rPr>
          <w:rFonts w:hint="cs"/>
          <w:rtl/>
        </w:rPr>
        <w:t xml:space="preserve"> وليس الإسلام بشرط عند الظاهرية، ولذا قالوا: يحدّ المسلم حدّ القذف إذا قذف ذميّةً</w:t>
      </w:r>
      <w:r w:rsidRPr="00815C4C">
        <w:rPr>
          <w:rFonts w:cs="Taher"/>
          <w:vertAlign w:val="superscript"/>
          <w:rtl/>
        </w:rPr>
        <w:t>(</w:t>
      </w:r>
      <w:r w:rsidRPr="00815C4C">
        <w:rPr>
          <w:rFonts w:cs="Taher"/>
          <w:vertAlign w:val="superscript"/>
          <w:rtl/>
        </w:rPr>
        <w:footnoteReference w:id="504"/>
      </w:r>
      <w:r w:rsidRPr="00815C4C">
        <w:rPr>
          <w:rFonts w:cs="Taher"/>
          <w:vertAlign w:val="superscript"/>
          <w:rtl/>
        </w:rPr>
        <w:t>)</w:t>
      </w:r>
      <w:r w:rsidRPr="00366C30">
        <w:rPr>
          <w:rFonts w:hint="cs"/>
          <w:rtl/>
        </w:rPr>
        <w:t>. وعلى رأي سعيد بن المسيّب وابن أبي ليلى، إذا قذف المسلم ذميّةً ولها ولد مسلم فعليه في هذه الحالة حدّ القذف</w:t>
      </w:r>
      <w:r w:rsidRPr="00815C4C">
        <w:rPr>
          <w:rFonts w:cs="Taher"/>
          <w:vertAlign w:val="superscript"/>
          <w:rtl/>
        </w:rPr>
        <w:t>(</w:t>
      </w:r>
      <w:r w:rsidRPr="00815C4C">
        <w:rPr>
          <w:rFonts w:cs="Taher"/>
          <w:vertAlign w:val="superscript"/>
          <w:rtl/>
        </w:rPr>
        <w:footnoteReference w:id="505"/>
      </w:r>
      <w:r w:rsidRPr="00815C4C">
        <w:rPr>
          <w:rFonts w:cs="Taher"/>
          <w:vertAlign w:val="superscript"/>
          <w:rtl/>
        </w:rPr>
        <w:t>)</w:t>
      </w:r>
      <w:r w:rsidRPr="00366C30">
        <w:rPr>
          <w:rFonts w:hint="cs"/>
          <w:rtl/>
        </w:rPr>
        <w:t>، وهذا لا يخلو من وجه؛ للأصل، ولما روي عن أبي عبدالله</w:t>
      </w:r>
      <w:r w:rsidR="005067D6">
        <w:rPr>
          <w:rFonts w:hint="cs"/>
          <w:sz w:val="27"/>
          <w:rtl/>
        </w:rPr>
        <w:t>×</w:t>
      </w:r>
      <w:r w:rsidRPr="00366C30">
        <w:rPr>
          <w:rFonts w:hint="cs"/>
          <w:rtl/>
        </w:rPr>
        <w:t xml:space="preserve"> قال: </w:t>
      </w:r>
      <w:r w:rsidRPr="006A4ECD">
        <w:rPr>
          <w:rFonts w:cs="Abz-2 (Badr)" w:hint="cs"/>
          <w:rtl/>
        </w:rPr>
        <w:t>&lt;</w:t>
      </w:r>
      <w:r w:rsidRPr="00366C30">
        <w:rPr>
          <w:rFonts w:hint="cs"/>
          <w:rtl/>
        </w:rPr>
        <w:t>إذا قذف المسلم مشركةً زوجُها مسلم أو ابنها أو قذف مشركاً وله ولد مسلم، فقال المسلم يطلب الحدّ، جلد القاذف حدّ القذف</w:t>
      </w:r>
      <w:r w:rsidRPr="006A4ECD">
        <w:rPr>
          <w:rFonts w:cs="Abz-2 (Badr)" w:hint="cs"/>
          <w:rtl/>
        </w:rPr>
        <w:t>&gt;</w:t>
      </w:r>
      <w:r w:rsidRPr="00366C30">
        <w:rPr>
          <w:rFonts w:hint="cs"/>
          <w:rtl/>
        </w:rPr>
        <w:t xml:space="preserve">، وكذلك ما رواه أحمد بن محمد بن عيسى في نوادره: </w:t>
      </w:r>
      <w:r w:rsidRPr="006A4ECD">
        <w:rPr>
          <w:rFonts w:cs="Abz-2 (Badr)" w:hint="cs"/>
          <w:rtl/>
        </w:rPr>
        <w:t>&lt;</w:t>
      </w:r>
      <w:r w:rsidRPr="00366C30">
        <w:rPr>
          <w:rFonts w:hint="cs"/>
          <w:rtl/>
        </w:rPr>
        <w:t>إن اليهوديّة والنصرانيّة متى كانت تحت المسلم فقذف ابنها يحدّ القاذف؛ لأنّ المسلم قد حصنها</w:t>
      </w:r>
      <w:r w:rsidRPr="006A4ECD">
        <w:rPr>
          <w:rFonts w:cs="Abz-2 (Badr)" w:hint="cs"/>
          <w:rtl/>
        </w:rPr>
        <w:t>&gt;</w:t>
      </w:r>
      <w:r w:rsidRPr="00815C4C">
        <w:rPr>
          <w:rFonts w:cs="Taher"/>
          <w:vertAlign w:val="superscript"/>
          <w:rtl/>
        </w:rPr>
        <w:t>(</w:t>
      </w:r>
      <w:r w:rsidRPr="00815C4C">
        <w:rPr>
          <w:rFonts w:cs="Taher"/>
          <w:vertAlign w:val="superscript"/>
          <w:rtl/>
        </w:rPr>
        <w:footnoteReference w:id="506"/>
      </w:r>
      <w:r w:rsidRPr="00815C4C">
        <w:rPr>
          <w:rFonts w:cs="Taher"/>
          <w:vertAlign w:val="superscript"/>
          <w:rtl/>
        </w:rPr>
        <w:t>)</w:t>
      </w:r>
      <w:r w:rsidRPr="00366C30">
        <w:rPr>
          <w:rFonts w:hint="cs"/>
          <w:rtl/>
        </w:rPr>
        <w:t>. ولا فرق بين أن يكون القاذف أجنبياً أو الزّوج نفسه؛ لأنّ العلة المنصوصة ـ وهي الإحصان بالمسلم ـ موجودة في الحالتين.</w:t>
      </w:r>
    </w:p>
    <w:p w:rsidR="00F04A58" w:rsidRPr="00366C30" w:rsidRDefault="00F04A58" w:rsidP="00925049">
      <w:pPr>
        <w:pStyle w:val="ac"/>
        <w:spacing w:line="202" w:lineRule="auto"/>
        <w:rPr>
          <w:rtl/>
        </w:rPr>
      </w:pPr>
      <w:r w:rsidRPr="00366C30">
        <w:rPr>
          <w:rFonts w:hint="cs"/>
          <w:b/>
          <w:bCs/>
          <w:rtl/>
        </w:rPr>
        <w:t>5 ـ حقّ الزوجة الكتابية في القَسَم بين الزوجات:</w:t>
      </w:r>
      <w:r w:rsidRPr="00366C30">
        <w:rPr>
          <w:rFonts w:hint="cs"/>
          <w:rtl/>
        </w:rPr>
        <w:t xml:space="preserve"> قالوا: للكتابية الحرّة نصف القَسم مثل ما يكون للأمة</w:t>
      </w:r>
      <w:r w:rsidRPr="00815C4C">
        <w:rPr>
          <w:rFonts w:cs="Taher"/>
          <w:vertAlign w:val="superscript"/>
          <w:rtl/>
        </w:rPr>
        <w:t>(</w:t>
      </w:r>
      <w:r w:rsidRPr="00815C4C">
        <w:rPr>
          <w:rFonts w:cs="Taher"/>
          <w:vertAlign w:val="superscript"/>
          <w:rtl/>
        </w:rPr>
        <w:footnoteReference w:id="507"/>
      </w:r>
      <w:r w:rsidRPr="00815C4C">
        <w:rPr>
          <w:rFonts w:cs="Taher"/>
          <w:vertAlign w:val="superscript"/>
          <w:rtl/>
        </w:rPr>
        <w:t>)</w:t>
      </w:r>
      <w:r w:rsidRPr="00366C30">
        <w:rPr>
          <w:rFonts w:hint="cs"/>
          <w:rtl/>
        </w:rPr>
        <w:t xml:space="preserve">، وخالف فيه الشهيد الثاني؛ حيث قال: </w:t>
      </w:r>
      <w:r w:rsidRPr="006A4ECD">
        <w:rPr>
          <w:rFonts w:cs="Abz-2 (Badr)" w:hint="cs"/>
          <w:rtl/>
        </w:rPr>
        <w:t>&lt;</w:t>
      </w:r>
      <w:r w:rsidRPr="00366C30">
        <w:rPr>
          <w:rFonts w:hint="cs"/>
          <w:rtl/>
        </w:rPr>
        <w:t>مساواة الحرّة الكتابيّة للأمة في القسمة لا نصّ عليه ظاهراً، لكنه مشهور بين الأصحاب، وذكر ابن إدريس أنه مرويّ. وربّما استدلّ له باقتضاء الإسلام أن يعلو على غيره ولا يُعلى عليه؛ فلو ساوت المسلمة لزم عدم العلوّ، وفيه نظر؛ لأنّ مثل ذلك لا يقاوم الأدلّة العامة المتناولة لها. وعلو الإسلام يتحقق في غير أداء الحقوق الشرعية؛ فإنّ المسلم والكافر فيه سواء</w:t>
      </w:r>
      <w:r w:rsidRPr="006A4ECD">
        <w:rPr>
          <w:rFonts w:cs="Abz-2 (Badr)" w:hint="cs"/>
          <w:rtl/>
        </w:rPr>
        <w:t>&gt;</w:t>
      </w:r>
      <w:r w:rsidRPr="00815C4C">
        <w:rPr>
          <w:rFonts w:cs="Taher"/>
          <w:vertAlign w:val="superscript"/>
          <w:rtl/>
        </w:rPr>
        <w:t>(</w:t>
      </w:r>
      <w:r w:rsidRPr="00815C4C">
        <w:rPr>
          <w:rFonts w:cs="Taher"/>
          <w:vertAlign w:val="superscript"/>
          <w:rtl/>
        </w:rPr>
        <w:footnoteReference w:id="508"/>
      </w:r>
      <w:r w:rsidRPr="00815C4C">
        <w:rPr>
          <w:rFonts w:cs="Taher"/>
          <w:vertAlign w:val="superscript"/>
          <w:rtl/>
        </w:rPr>
        <w:t>)</w:t>
      </w:r>
      <w:r w:rsidRPr="00366C30">
        <w:rPr>
          <w:rFonts w:hint="cs"/>
          <w:rtl/>
        </w:rPr>
        <w:t>.</w:t>
      </w:r>
    </w:p>
    <w:p w:rsidR="00F04A58" w:rsidRPr="00366C30" w:rsidRDefault="00F04A58" w:rsidP="005067D6">
      <w:pPr>
        <w:pStyle w:val="ac"/>
        <w:rPr>
          <w:rtl/>
        </w:rPr>
      </w:pPr>
      <w:r w:rsidRPr="00366C30">
        <w:rPr>
          <w:rFonts w:hint="cs"/>
          <w:rtl/>
        </w:rPr>
        <w:lastRenderedPageBreak/>
        <w:t>والحقّ ما قاله ابن إدريس؛ فقد رو</w:t>
      </w:r>
      <w:r>
        <w:rPr>
          <w:rFonts w:hint="cs"/>
          <w:rtl/>
        </w:rPr>
        <w:t>ى</w:t>
      </w:r>
      <w:r w:rsidRPr="00366C30">
        <w:rPr>
          <w:rFonts w:hint="cs"/>
          <w:rtl/>
        </w:rPr>
        <w:t xml:space="preserve"> عبدالرحمن بن أبي عبدالله قال: سألت أبا عبدالله</w:t>
      </w:r>
      <w:r w:rsidR="005067D6">
        <w:rPr>
          <w:rFonts w:hint="cs"/>
          <w:sz w:val="27"/>
          <w:rtl/>
        </w:rPr>
        <w:t>×</w:t>
      </w:r>
      <w:r w:rsidRPr="00366C30">
        <w:rPr>
          <w:rFonts w:hint="cs"/>
          <w:rtl/>
        </w:rPr>
        <w:t xml:space="preserve">: هل للرجل أن يتزوّج النصرانيّة على المسلمة والأمة على الحرّة؟ فقال: </w:t>
      </w:r>
      <w:r w:rsidRPr="006A4ECD">
        <w:rPr>
          <w:rFonts w:cs="Abz-2 (Badr)" w:hint="cs"/>
          <w:rtl/>
        </w:rPr>
        <w:t>&lt;</w:t>
      </w:r>
      <w:r w:rsidRPr="00366C30">
        <w:rPr>
          <w:rFonts w:hint="cs"/>
          <w:rtl/>
        </w:rPr>
        <w:t>لا تزوّج واحدة منهما على المسلمة وتزوّج المسلمة على الأمة والنصرانيّة، وللمسلمة الثلثان وللأمة والنصرانيّة الثلث</w:t>
      </w:r>
      <w:r w:rsidRPr="006A4ECD">
        <w:rPr>
          <w:rFonts w:cs="Abz-2 (Badr)" w:hint="cs"/>
          <w:rtl/>
        </w:rPr>
        <w:t>&gt;</w:t>
      </w:r>
      <w:r w:rsidRPr="00815C4C">
        <w:rPr>
          <w:rFonts w:cs="Taher"/>
          <w:vertAlign w:val="superscript"/>
          <w:rtl/>
        </w:rPr>
        <w:t>(</w:t>
      </w:r>
      <w:r w:rsidRPr="00815C4C">
        <w:rPr>
          <w:rFonts w:cs="Taher"/>
          <w:vertAlign w:val="superscript"/>
          <w:rtl/>
        </w:rPr>
        <w:footnoteReference w:id="509"/>
      </w:r>
      <w:r w:rsidRPr="00815C4C">
        <w:rPr>
          <w:rFonts w:cs="Taher"/>
          <w:vertAlign w:val="superscript"/>
          <w:rtl/>
        </w:rPr>
        <w:t>)</w:t>
      </w:r>
      <w:r w:rsidRPr="00366C30">
        <w:rPr>
          <w:rFonts w:hint="cs"/>
          <w:rtl/>
        </w:rPr>
        <w:t>. إلا أنّ في الإسناد ضعف بعبد الله بن محمد وهو مجهول الحال فلا يوجد في شأنه جرحٌ ولا تعديل</w:t>
      </w:r>
      <w:r w:rsidRPr="00815C4C">
        <w:rPr>
          <w:rFonts w:cs="Taher"/>
          <w:vertAlign w:val="superscript"/>
          <w:rtl/>
        </w:rPr>
        <w:t>(</w:t>
      </w:r>
      <w:r w:rsidRPr="00815C4C">
        <w:rPr>
          <w:rFonts w:cs="Taher"/>
          <w:vertAlign w:val="superscript"/>
          <w:rtl/>
        </w:rPr>
        <w:footnoteReference w:id="510"/>
      </w:r>
      <w:r w:rsidRPr="00815C4C">
        <w:rPr>
          <w:rFonts w:cs="Taher"/>
          <w:vertAlign w:val="superscript"/>
          <w:rtl/>
        </w:rPr>
        <w:t>)</w:t>
      </w:r>
      <w:r w:rsidRPr="00366C30">
        <w:rPr>
          <w:rFonts w:hint="cs"/>
          <w:rtl/>
        </w:rPr>
        <w:t>. كما أنّ أبان بن عثمان ـ وهو في طريقه ـ من الناووسية على ما صرّح به الفاضل الكشي</w:t>
      </w:r>
      <w:r w:rsidRPr="00815C4C">
        <w:rPr>
          <w:rFonts w:cs="Taher"/>
          <w:vertAlign w:val="superscript"/>
          <w:rtl/>
        </w:rPr>
        <w:t>(</w:t>
      </w:r>
      <w:r w:rsidRPr="00815C4C">
        <w:rPr>
          <w:rFonts w:cs="Taher"/>
          <w:vertAlign w:val="superscript"/>
          <w:rtl/>
        </w:rPr>
        <w:footnoteReference w:id="511"/>
      </w:r>
      <w:r w:rsidRPr="00815C4C">
        <w:rPr>
          <w:rFonts w:cs="Taher"/>
          <w:vertAlign w:val="superscript"/>
          <w:rtl/>
        </w:rPr>
        <w:t>)</w:t>
      </w:r>
      <w:r w:rsidRPr="00366C30">
        <w:rPr>
          <w:rFonts w:hint="cs"/>
          <w:rtl/>
        </w:rPr>
        <w:t>؛ فالخبر لا يقيّد الإطلاقات الواردة في الأخبار الصحيحة، مع أنّ القَسم مبنيّ على حاجة جسمية متساوية بين الكتابيّة والمسلمة، والأصل أيضاً عدم التفاوت؛ وعليه فالحقّ ما قاله الشهيد الثاني.</w:t>
      </w:r>
    </w:p>
    <w:p w:rsidR="00F04A58" w:rsidRPr="00925049" w:rsidRDefault="00F04A58" w:rsidP="00925049">
      <w:pPr>
        <w:pStyle w:val="afffffc"/>
        <w:rPr>
          <w:sz w:val="20"/>
          <w:szCs w:val="18"/>
          <w:rtl/>
        </w:rPr>
      </w:pPr>
    </w:p>
    <w:p w:rsidR="00F04A58" w:rsidRDefault="00F04A58" w:rsidP="001F26A9">
      <w:pPr>
        <w:pStyle w:val="1"/>
        <w:rPr>
          <w:rtl/>
        </w:rPr>
      </w:pPr>
      <w:bookmarkStart w:id="303" w:name="_Toc275128025"/>
      <w:r>
        <w:rPr>
          <w:rFonts w:hint="cs"/>
          <w:rtl/>
        </w:rPr>
        <w:t>نتائج البحث</w:t>
      </w:r>
      <w:bookmarkEnd w:id="303"/>
    </w:p>
    <w:p w:rsidR="00F04A58" w:rsidRPr="00366C30" w:rsidRDefault="00F04A58" w:rsidP="001F26A9">
      <w:pPr>
        <w:pStyle w:val="ac"/>
        <w:rPr>
          <w:rtl/>
        </w:rPr>
      </w:pPr>
      <w:r w:rsidRPr="00366C30">
        <w:rPr>
          <w:rFonts w:hint="cs"/>
          <w:rtl/>
        </w:rPr>
        <w:t>1 ـ المشهور بين الإماميّة القول بجواز التمتّع بالكتابيّة وحرمة النكاح الدائم، وهو موقف القانون المدني في إيران، أمّا المتفق عليه بين أهل السنّة فهو جواز الدائم، وهو موقف القانون المدني في سوريا والعراق ومصر ولبنان.</w:t>
      </w:r>
    </w:p>
    <w:p w:rsidR="00F04A58" w:rsidRPr="00366C30" w:rsidRDefault="00F04A58" w:rsidP="001F26A9">
      <w:pPr>
        <w:pStyle w:val="ac"/>
        <w:rPr>
          <w:rtl/>
        </w:rPr>
      </w:pPr>
      <w:r w:rsidRPr="00366C30">
        <w:rPr>
          <w:rFonts w:hint="cs"/>
          <w:rtl/>
        </w:rPr>
        <w:t>2 ـ القول بحرمة نكاح الكتابيّة مطلقاً ضعيفٌ من حيث الاستدلال بالكتاب والسنّة والإجماع وأصالة المنع والاحتياط.</w:t>
      </w:r>
    </w:p>
    <w:p w:rsidR="00F04A58" w:rsidRPr="00366C30" w:rsidRDefault="00F04A58" w:rsidP="001F26A9">
      <w:pPr>
        <w:pStyle w:val="ac"/>
        <w:rPr>
          <w:rtl/>
        </w:rPr>
      </w:pPr>
      <w:r w:rsidRPr="00366C30">
        <w:rPr>
          <w:rFonts w:hint="cs"/>
          <w:rtl/>
        </w:rPr>
        <w:t>3 ـ القول بالتفصيل بين المتعة والدائم بتجويز الأوّل ومنع الثاني ـ مع أنه مشهور الإماميّة ـ ضعيفٌ من حيث الاستدلال بالكتاب والسنّة والشهرة الفتوائيّة.</w:t>
      </w:r>
    </w:p>
    <w:p w:rsidR="00F04A58" w:rsidRPr="00366C30" w:rsidRDefault="00F04A58" w:rsidP="001F26A9">
      <w:pPr>
        <w:pStyle w:val="ac"/>
        <w:rPr>
          <w:rtl/>
        </w:rPr>
      </w:pPr>
      <w:r w:rsidRPr="00366C30">
        <w:rPr>
          <w:rFonts w:hint="cs"/>
          <w:rtl/>
        </w:rPr>
        <w:t>4 ـ الصحيح جواز نكاح الكتابية متعةً ودواماً؛ لصريح الكتاب والنصوص المستفيضة المرجّحة، بعد عدم صحّة القولين الآخَرين.</w:t>
      </w:r>
    </w:p>
    <w:p w:rsidR="00F04A58" w:rsidRPr="00366C30" w:rsidRDefault="00F04A58" w:rsidP="001F26A9">
      <w:pPr>
        <w:pStyle w:val="ac"/>
        <w:rPr>
          <w:rtl/>
        </w:rPr>
      </w:pPr>
      <w:r w:rsidRPr="00366C30">
        <w:rPr>
          <w:rFonts w:hint="cs"/>
          <w:rtl/>
        </w:rPr>
        <w:t>5 ـ الحكمة من زواج الكتابيّة هو اتفاقها مع المسلم في الإيمان بالله واليوم الآخر وكثير من الفضائل الإنسانيّة ممّا لا يوجد في غير الكتابية من المشركات.</w:t>
      </w:r>
    </w:p>
    <w:p w:rsidR="003246D4" w:rsidRDefault="00F04A58" w:rsidP="001F26A9">
      <w:pPr>
        <w:pStyle w:val="ac"/>
        <w:rPr>
          <w:rtl/>
        </w:rPr>
      </w:pPr>
      <w:r w:rsidRPr="00366C30">
        <w:rPr>
          <w:rFonts w:hint="cs"/>
          <w:rtl/>
        </w:rPr>
        <w:lastRenderedPageBreak/>
        <w:t>6 ـ الزوجة الكتابية كالزوجة المسلمة في جميع الحقوق غير التوارث، فإنّ الكتابية لا ترث زوجها المسلم. وليس للمسلم إجبار زوجته الكتابية على مراعاة أحكام الإسلام أو منعها من الأعمال المحظورة التي هي في دينها مباحة، إلاّ من الخمر ولحم الخنزير، ويقام الحدّ على المسلم إن قذفها، ولا فرق بين الكتابية والمسلمة في القَسم بين الزوجات، خلافاً للمشهور.</w:t>
      </w:r>
    </w:p>
    <w:p w:rsidR="003246D4" w:rsidRDefault="003246D4" w:rsidP="001F26A9">
      <w:pPr>
        <w:pStyle w:val="ac"/>
        <w:rPr>
          <w:rtl/>
        </w:rPr>
        <w:sectPr w:rsidR="003246D4" w:rsidSect="00EA348C">
          <w:headerReference w:type="even" r:id="rId59"/>
          <w:headerReference w:type="default" r:id="rId6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F04A58" w:rsidRDefault="00F04A58" w:rsidP="001F26A9">
      <w:pPr>
        <w:pStyle w:val="ac"/>
        <w:rPr>
          <w:rtl/>
        </w:rPr>
      </w:pPr>
    </w:p>
    <w:p w:rsidR="00F04A58" w:rsidRDefault="00F04A58" w:rsidP="00F04A58">
      <w:pPr>
        <w:pStyle w:val="ac"/>
        <w:rPr>
          <w:rFonts w:cs="Times New Roman"/>
          <w:szCs w:val="24"/>
          <w:rtl/>
        </w:rPr>
      </w:pPr>
    </w:p>
    <w:p w:rsidR="00C832C0" w:rsidRDefault="00C832C0" w:rsidP="00F04A58">
      <w:pPr>
        <w:pStyle w:val="ac"/>
        <w:rPr>
          <w:rtl/>
        </w:rPr>
      </w:pPr>
      <w:r>
        <w:rPr>
          <w:rtl/>
        </w:rPr>
        <w:br w:type="page"/>
      </w:r>
    </w:p>
    <w:p w:rsidR="00925049" w:rsidRDefault="00925049">
      <w:pPr>
        <w:widowControl/>
        <w:bidi w:val="0"/>
        <w:spacing w:line="240" w:lineRule="auto"/>
        <w:ind w:firstLine="0"/>
        <w:jc w:val="left"/>
        <w:outlineLvl w:val="9"/>
        <w:rPr>
          <w:rFonts w:ascii="Arno Pro Display" w:hAnsi="Arno Pro Display"/>
          <w:sz w:val="28"/>
          <w:szCs w:val="30"/>
          <w:rtl/>
        </w:rPr>
      </w:pPr>
      <w:r>
        <w:rPr>
          <w:rtl/>
        </w:rPr>
        <w:lastRenderedPageBreak/>
        <w:br w:type="page"/>
      </w:r>
    </w:p>
    <w:p w:rsidR="00C832C0" w:rsidRDefault="00C832C0" w:rsidP="00212162">
      <w:pPr>
        <w:pStyle w:val="ac"/>
        <w:rPr>
          <w:rtl/>
        </w:rPr>
      </w:pPr>
    </w:p>
    <w:p w:rsidR="00212162" w:rsidRDefault="00212162" w:rsidP="00C87E55">
      <w:pPr>
        <w:pStyle w:val="ac"/>
        <w:rPr>
          <w:rtl/>
        </w:rPr>
      </w:pPr>
    </w:p>
    <w:p w:rsidR="00212162" w:rsidRDefault="00212162" w:rsidP="00C87E55">
      <w:pPr>
        <w:pStyle w:val="ac"/>
        <w:rPr>
          <w:rtl/>
        </w:rPr>
      </w:pPr>
    </w:p>
    <w:p w:rsidR="00212162" w:rsidRDefault="00212162" w:rsidP="00C87E55">
      <w:pPr>
        <w:pStyle w:val="ac"/>
        <w:rPr>
          <w:rtl/>
        </w:rPr>
      </w:pPr>
    </w:p>
    <w:p w:rsidR="00212162" w:rsidRDefault="00212162" w:rsidP="00C87E55">
      <w:pPr>
        <w:pStyle w:val="ac"/>
        <w:rPr>
          <w:rtl/>
        </w:rPr>
      </w:pPr>
    </w:p>
    <w:p w:rsidR="003246D4" w:rsidRDefault="003246D4" w:rsidP="00212162">
      <w:pPr>
        <w:pStyle w:val="aff2"/>
        <w:rPr>
          <w:rtl/>
        </w:rPr>
        <w:sectPr w:rsidR="003246D4" w:rsidSect="00EA348C">
          <w:headerReference w:type="even" r:id="rId61"/>
          <w:headerReference w:type="default" r:id="rId62"/>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212162" w:rsidRPr="00212162" w:rsidRDefault="00212162" w:rsidP="00925049">
      <w:pPr>
        <w:pStyle w:val="aff2"/>
        <w:rPr>
          <w:rtl/>
        </w:rPr>
      </w:pPr>
      <w:bookmarkStart w:id="304" w:name="_Toc275128026"/>
      <w:r>
        <w:rPr>
          <w:rFonts w:hint="cs"/>
          <w:rtl/>
        </w:rPr>
        <w:lastRenderedPageBreak/>
        <w:t>نظرية تعويض المطلقة تعسّفاً</w:t>
      </w:r>
      <w:r w:rsidR="00925049">
        <w:rPr>
          <w:rFonts w:hint="cs"/>
          <w:rtl/>
        </w:rPr>
        <w:t xml:space="preserve"> </w:t>
      </w:r>
      <w:r w:rsidRPr="00212162">
        <w:rPr>
          <w:rFonts w:hint="cs"/>
          <w:rtl/>
        </w:rPr>
        <w:t>في الشريعة والقانون</w:t>
      </w:r>
      <w:bookmarkEnd w:id="304"/>
    </w:p>
    <w:p w:rsidR="00212162" w:rsidRPr="00212162" w:rsidRDefault="00212162" w:rsidP="00212162">
      <w:pPr>
        <w:pStyle w:val="aff2"/>
        <w:rPr>
          <w:sz w:val="22"/>
          <w:szCs w:val="40"/>
        </w:rPr>
      </w:pPr>
      <w:bookmarkStart w:id="305" w:name="_Toc141678685"/>
      <w:bookmarkStart w:id="306" w:name="_Toc275128027"/>
      <w:r w:rsidRPr="00212162">
        <w:rPr>
          <w:rFonts w:hint="cs"/>
          <w:sz w:val="22"/>
          <w:szCs w:val="40"/>
          <w:rtl/>
        </w:rPr>
        <w:t>قراءة نقدية</w:t>
      </w:r>
      <w:bookmarkEnd w:id="305"/>
      <w:bookmarkEnd w:id="306"/>
    </w:p>
    <w:p w:rsidR="00212162" w:rsidRDefault="00212162" w:rsidP="00212162">
      <w:pPr>
        <w:pStyle w:val="af7"/>
        <w:rPr>
          <w:rtl/>
        </w:rPr>
      </w:pPr>
      <w:bookmarkStart w:id="307" w:name="_Toc141678686"/>
      <w:bookmarkStart w:id="308" w:name="_Toc275128028"/>
      <w:r>
        <w:rPr>
          <w:rFonts w:hint="cs"/>
          <w:rtl/>
        </w:rPr>
        <w:t>د. عبدالأمير كاظم زاهد</w:t>
      </w:r>
      <w:r w:rsidRPr="007A5648">
        <w:rPr>
          <w:rStyle w:val="FootnoteReference"/>
          <w:rFonts w:cs="md_ameli"/>
          <w:b/>
          <w:bCs w:val="0"/>
          <w:sz w:val="36"/>
          <w:szCs w:val="36"/>
          <w:rtl/>
        </w:rPr>
        <w:footnoteReference w:customMarkFollows="1" w:id="512"/>
        <w:t>(*)</w:t>
      </w:r>
      <w:bookmarkEnd w:id="307"/>
      <w:bookmarkEnd w:id="308"/>
    </w:p>
    <w:p w:rsidR="00212162" w:rsidRPr="00925049" w:rsidRDefault="00212162" w:rsidP="00925049">
      <w:pPr>
        <w:pStyle w:val="afffffc"/>
        <w:rPr>
          <w:sz w:val="12"/>
          <w:szCs w:val="10"/>
          <w:rtl/>
        </w:rPr>
      </w:pPr>
    </w:p>
    <w:p w:rsidR="00212162" w:rsidRPr="008F7560" w:rsidRDefault="00212162" w:rsidP="00925049">
      <w:pPr>
        <w:pStyle w:val="1"/>
      </w:pPr>
      <w:bookmarkStart w:id="309" w:name="_Toc275128029"/>
      <w:r>
        <w:rPr>
          <w:rFonts w:hint="cs"/>
          <w:rtl/>
        </w:rPr>
        <w:t>مفهوم التعسّف والطلاق التعسّفي</w:t>
      </w:r>
      <w:bookmarkEnd w:id="309"/>
    </w:p>
    <w:p w:rsidR="00212162" w:rsidRPr="00AC0714" w:rsidRDefault="00212162" w:rsidP="00925049">
      <w:pPr>
        <w:pStyle w:val="2"/>
        <w:rPr>
          <w:rtl/>
        </w:rPr>
      </w:pPr>
      <w:bookmarkStart w:id="310" w:name="_Toc275128030"/>
      <w:r>
        <w:rPr>
          <w:rFonts w:hint="cs"/>
          <w:rtl/>
        </w:rPr>
        <w:t xml:space="preserve">1 ـ </w:t>
      </w:r>
      <w:r w:rsidRPr="00AC0714">
        <w:rPr>
          <w:rFonts w:hint="cs"/>
          <w:rtl/>
        </w:rPr>
        <w:t>مفهوم التعس</w:t>
      </w:r>
      <w:r>
        <w:rPr>
          <w:rFonts w:hint="cs"/>
          <w:rtl/>
        </w:rPr>
        <w:t>ّ</w:t>
      </w:r>
      <w:r w:rsidRPr="00AC0714">
        <w:rPr>
          <w:rFonts w:hint="cs"/>
          <w:rtl/>
        </w:rPr>
        <w:t>ف</w:t>
      </w:r>
      <w:bookmarkEnd w:id="310"/>
    </w:p>
    <w:p w:rsidR="00212162" w:rsidRPr="00524BEA" w:rsidRDefault="00212162" w:rsidP="00212162">
      <w:pPr>
        <w:pStyle w:val="ac"/>
        <w:rPr>
          <w:rtl/>
        </w:rPr>
      </w:pPr>
      <w:r w:rsidRPr="00524BEA">
        <w:rPr>
          <w:rFonts w:hint="cs"/>
          <w:rtl/>
        </w:rPr>
        <w:t>يرتكز مفهوم التعسّف في الفقه الإسلامي ـ كما تؤصّله النصوص ـ على أساسين اثنين:</w:t>
      </w:r>
    </w:p>
    <w:p w:rsidR="00212162" w:rsidRPr="00524BEA" w:rsidRDefault="00212162" w:rsidP="00C86626">
      <w:pPr>
        <w:pStyle w:val="ac"/>
        <w:rPr>
          <w:rtl/>
        </w:rPr>
      </w:pPr>
      <w:r w:rsidRPr="00524BEA">
        <w:rPr>
          <w:rFonts w:hint="cs"/>
          <w:b/>
          <w:bCs/>
          <w:rtl/>
        </w:rPr>
        <w:t>الأول: الأساس النفسي،</w:t>
      </w:r>
      <w:r w:rsidRPr="00524BEA">
        <w:rPr>
          <w:rFonts w:hint="cs"/>
          <w:rtl/>
        </w:rPr>
        <w:t xml:space="preserve"> وهو الإرادة الباطنة للمتعسّف، التي يعبّر عنها في سلوكه بالرغبة بإيقاع الضرر بشخصٍ آخر، والأساس النظري لهذا هو حديث الرسول</w:t>
      </w:r>
      <w:r w:rsidR="00C86626">
        <w:rPr>
          <w:rFonts w:hint="cs"/>
          <w:sz w:val="26"/>
          <w:rtl/>
        </w:rPr>
        <w:t>’</w:t>
      </w:r>
      <w:r w:rsidRPr="00524BEA">
        <w:rPr>
          <w:rFonts w:hint="cs"/>
          <w:sz w:val="26"/>
          <w:rtl/>
        </w:rPr>
        <w:t xml:space="preserve">: </w:t>
      </w:r>
      <w:r w:rsidRPr="00524BEA">
        <w:rPr>
          <w:rtl/>
        </w:rPr>
        <w:t>«</w:t>
      </w:r>
      <w:r w:rsidRPr="00524BEA">
        <w:rPr>
          <w:rFonts w:hint="cs"/>
          <w:b/>
          <w:bCs/>
          <w:sz w:val="26"/>
          <w:rtl/>
        </w:rPr>
        <w:t>إنما الأعمال بالنيّات، ولكل امرئ ما نوى</w:t>
      </w:r>
      <w:r w:rsidRPr="00524BEA">
        <w:rPr>
          <w:rtl/>
        </w:rPr>
        <w:t>»</w:t>
      </w:r>
      <w:r w:rsidRPr="00815C4C">
        <w:rPr>
          <w:rFonts w:cs="Taher"/>
          <w:vertAlign w:val="superscript"/>
          <w:rtl/>
        </w:rPr>
        <w:t>(</w:t>
      </w:r>
      <w:r w:rsidRPr="00815C4C">
        <w:rPr>
          <w:rFonts w:cs="Taher"/>
          <w:vertAlign w:val="superscript"/>
          <w:rtl/>
        </w:rPr>
        <w:footnoteReference w:id="513"/>
      </w:r>
      <w:r w:rsidRPr="00815C4C">
        <w:rPr>
          <w:rFonts w:cs="Taher"/>
          <w:vertAlign w:val="superscript"/>
          <w:rtl/>
        </w:rPr>
        <w:t>)</w:t>
      </w:r>
      <w:r w:rsidRPr="00524BEA">
        <w:rPr>
          <w:rFonts w:hint="cs"/>
          <w:rtl/>
        </w:rPr>
        <w:t>.</w:t>
      </w:r>
    </w:p>
    <w:p w:rsidR="00212162" w:rsidRPr="00524BEA" w:rsidRDefault="00212162" w:rsidP="00C86626">
      <w:pPr>
        <w:pStyle w:val="ac"/>
        <w:rPr>
          <w:rtl/>
        </w:rPr>
      </w:pPr>
      <w:r w:rsidRPr="00524BEA">
        <w:rPr>
          <w:rFonts w:hint="cs"/>
          <w:b/>
          <w:bCs/>
          <w:rtl/>
        </w:rPr>
        <w:t>الثاني: الأساس المادي</w:t>
      </w:r>
      <w:r w:rsidRPr="00524BEA">
        <w:rPr>
          <w:rFonts w:hint="cs"/>
          <w:rtl/>
        </w:rPr>
        <w:t>، وهو المتمثل بإيقاع الضرر المادي المعبّر عن إرادة الضرر، وان كانت باطنة، ويحكم ذلك قوله</w:t>
      </w:r>
      <w:r w:rsidR="00C86626">
        <w:rPr>
          <w:rFonts w:hint="cs"/>
          <w:sz w:val="26"/>
          <w:rtl/>
        </w:rPr>
        <w:t>’</w:t>
      </w:r>
      <w:r w:rsidRPr="00524BEA">
        <w:rPr>
          <w:rFonts w:hint="cs"/>
          <w:rtl/>
        </w:rPr>
        <w:t xml:space="preserve">: </w:t>
      </w:r>
      <w:r w:rsidRPr="00524BEA">
        <w:rPr>
          <w:rtl/>
        </w:rPr>
        <w:t>«</w:t>
      </w:r>
      <w:r w:rsidRPr="00524BEA">
        <w:rPr>
          <w:rFonts w:hint="cs"/>
          <w:b/>
          <w:bCs/>
          <w:rtl/>
        </w:rPr>
        <w:t>لا ضرر ولا ضرار</w:t>
      </w:r>
      <w:r w:rsidRPr="00524BEA">
        <w:rPr>
          <w:rtl/>
        </w:rPr>
        <w:t>»</w:t>
      </w:r>
      <w:r w:rsidRPr="00815C4C">
        <w:rPr>
          <w:rFonts w:cs="Taher"/>
          <w:vertAlign w:val="superscript"/>
          <w:rtl/>
        </w:rPr>
        <w:t>(</w:t>
      </w:r>
      <w:r w:rsidRPr="00815C4C">
        <w:rPr>
          <w:rFonts w:cs="Taher"/>
          <w:vertAlign w:val="superscript"/>
          <w:rtl/>
        </w:rPr>
        <w:footnoteReference w:id="514"/>
      </w:r>
      <w:r w:rsidRPr="00815C4C">
        <w:rPr>
          <w:rFonts w:cs="Taher"/>
          <w:vertAlign w:val="superscript"/>
          <w:rtl/>
        </w:rPr>
        <w:t>)</w:t>
      </w:r>
      <w:r w:rsidRPr="00524BEA">
        <w:rPr>
          <w:rFonts w:hint="cs"/>
          <w:rtl/>
        </w:rPr>
        <w:t>.</w:t>
      </w:r>
    </w:p>
    <w:p w:rsidR="00212162" w:rsidRPr="00524BEA" w:rsidRDefault="00212162" w:rsidP="00212162">
      <w:pPr>
        <w:pStyle w:val="ac"/>
        <w:rPr>
          <w:rtl/>
        </w:rPr>
      </w:pPr>
      <w:r w:rsidRPr="00524BEA">
        <w:rPr>
          <w:rFonts w:hint="cs"/>
          <w:rtl/>
        </w:rPr>
        <w:lastRenderedPageBreak/>
        <w:t>ولا تخلو حالةٌ من حالات التعسّف عن إحدى هاتين الناحيتين، إن لم تجتمعا فيها؛ فإلى هذين الأساسين تُردّ حالات التعسّف جميعها.</w:t>
      </w:r>
    </w:p>
    <w:p w:rsidR="00212162" w:rsidRPr="00524BEA" w:rsidRDefault="00212162" w:rsidP="00212162">
      <w:pPr>
        <w:pStyle w:val="ac"/>
        <w:rPr>
          <w:rtl/>
        </w:rPr>
      </w:pPr>
      <w:r w:rsidRPr="00524BEA">
        <w:rPr>
          <w:rFonts w:hint="cs"/>
          <w:rtl/>
        </w:rPr>
        <w:t>ومن الجدير بالذكر أن مصطلح التعسّف لم يجر على لسان الفقهاء الأقدمين، فهو متأخّر في الأبحاث الفقهية، وقد سبقتها إليه الأبحاث القانونية، بل لم يعرف في مباحث الفقهاء كنظريةٍ عامة</w:t>
      </w:r>
      <w:r>
        <w:rPr>
          <w:rFonts w:hint="cs"/>
          <w:rtl/>
        </w:rPr>
        <w:t>،</w:t>
      </w:r>
      <w:r w:rsidRPr="00524BEA">
        <w:rPr>
          <w:rFonts w:hint="cs"/>
          <w:rtl/>
        </w:rPr>
        <w:t xml:space="preserve"> وإن كانوا قد بحثوا مصاديقه في ثنايا المسائل المتعدّدة، ومن الأبحاث المتأخرة في الفقه نحاول عرض أبرز تعريفاتهم لمفهوم التعسّف.</w:t>
      </w:r>
    </w:p>
    <w:p w:rsidR="00212162" w:rsidRPr="00524BEA" w:rsidRDefault="00212162" w:rsidP="00D537F7">
      <w:pPr>
        <w:pStyle w:val="ac"/>
        <w:rPr>
          <w:rtl/>
        </w:rPr>
      </w:pPr>
      <w:r w:rsidRPr="00524BEA">
        <w:rPr>
          <w:rFonts w:hint="cs"/>
          <w:rtl/>
        </w:rPr>
        <w:t xml:space="preserve">1 ـ عرّفه أبو سنه: </w:t>
      </w:r>
      <w:r w:rsidRPr="00524BEA">
        <w:rPr>
          <w:rtl/>
        </w:rPr>
        <w:t>«</w:t>
      </w:r>
      <w:r w:rsidRPr="00524BEA">
        <w:rPr>
          <w:rFonts w:hint="cs"/>
          <w:rtl/>
        </w:rPr>
        <w:t>استعمال الإنسان لحقّه على وجهٍ غير مشروع</w:t>
      </w:r>
      <w:r w:rsidRPr="00524BEA">
        <w:rPr>
          <w:rtl/>
        </w:rPr>
        <w:t>»</w:t>
      </w:r>
      <w:r w:rsidRPr="00815C4C">
        <w:rPr>
          <w:rFonts w:cs="Taher"/>
          <w:vertAlign w:val="superscript"/>
          <w:rtl/>
        </w:rPr>
        <w:t>(</w:t>
      </w:r>
      <w:r w:rsidRPr="00815C4C">
        <w:rPr>
          <w:rFonts w:cs="Taher"/>
          <w:vertAlign w:val="superscript"/>
          <w:rtl/>
        </w:rPr>
        <w:footnoteReference w:id="515"/>
      </w:r>
      <w:r w:rsidRPr="00815C4C">
        <w:rPr>
          <w:rFonts w:cs="Taher"/>
          <w:vertAlign w:val="superscript"/>
          <w:rtl/>
        </w:rPr>
        <w:t>)</w:t>
      </w:r>
      <w:r w:rsidRPr="00524BEA">
        <w:rPr>
          <w:rFonts w:hint="cs"/>
          <w:rtl/>
        </w:rPr>
        <w:t>.</w:t>
      </w:r>
    </w:p>
    <w:p w:rsidR="00212162" w:rsidRPr="00524BEA" w:rsidRDefault="00212162" w:rsidP="00D537F7">
      <w:pPr>
        <w:pStyle w:val="ac"/>
        <w:rPr>
          <w:rtl/>
        </w:rPr>
      </w:pPr>
      <w:r w:rsidRPr="00524BEA">
        <w:rPr>
          <w:rFonts w:hint="cs"/>
          <w:rtl/>
        </w:rPr>
        <w:t xml:space="preserve">2 ـ وعرّفه في مكان آخر: </w:t>
      </w:r>
      <w:r w:rsidRPr="00524BEA">
        <w:rPr>
          <w:rtl/>
        </w:rPr>
        <w:t>«</w:t>
      </w:r>
      <w:r w:rsidRPr="00524BEA">
        <w:rPr>
          <w:rFonts w:hint="cs"/>
          <w:rtl/>
        </w:rPr>
        <w:t>تصرّف الإنسان في استيفاء حقّه تصرفاً غير معتاد شرعاً</w:t>
      </w:r>
      <w:r w:rsidRPr="00524BEA">
        <w:rPr>
          <w:rtl/>
        </w:rPr>
        <w:t>»</w:t>
      </w:r>
      <w:r w:rsidRPr="00815C4C">
        <w:rPr>
          <w:rFonts w:cs="Taher"/>
          <w:vertAlign w:val="superscript"/>
          <w:rtl/>
        </w:rPr>
        <w:t>(</w:t>
      </w:r>
      <w:r w:rsidRPr="00815C4C">
        <w:rPr>
          <w:rFonts w:cs="Taher"/>
          <w:vertAlign w:val="superscript"/>
          <w:rtl/>
        </w:rPr>
        <w:footnoteReference w:id="516"/>
      </w:r>
      <w:r w:rsidRPr="00815C4C">
        <w:rPr>
          <w:rFonts w:cs="Taher"/>
          <w:vertAlign w:val="superscript"/>
          <w:rtl/>
        </w:rPr>
        <w:t>)</w:t>
      </w:r>
      <w:r w:rsidRPr="00524BEA">
        <w:rPr>
          <w:rFonts w:hint="cs"/>
          <w:rtl/>
        </w:rPr>
        <w:t>.</w:t>
      </w:r>
    </w:p>
    <w:p w:rsidR="00212162" w:rsidRPr="00524BEA" w:rsidRDefault="00212162" w:rsidP="00D537F7">
      <w:pPr>
        <w:pStyle w:val="ac"/>
        <w:rPr>
          <w:rtl/>
        </w:rPr>
      </w:pPr>
      <w:r w:rsidRPr="00524BEA">
        <w:rPr>
          <w:rFonts w:hint="cs"/>
          <w:rtl/>
        </w:rPr>
        <w:t xml:space="preserve">3 ـ وناقش د. فتحي الدريني تعاريفه ونقدها، ثم عرّفه بأنه: </w:t>
      </w:r>
      <w:r w:rsidRPr="00524BEA">
        <w:rPr>
          <w:rtl/>
        </w:rPr>
        <w:t>«</w:t>
      </w:r>
      <w:r w:rsidRPr="00524BEA">
        <w:rPr>
          <w:rFonts w:hint="cs"/>
          <w:rtl/>
        </w:rPr>
        <w:t>مناقضة قصد الشارع في تصرّف مأذون فيه شرعاً بحسب الأصل</w:t>
      </w:r>
      <w:r w:rsidRPr="00524BEA">
        <w:rPr>
          <w:rtl/>
        </w:rPr>
        <w:t>»</w:t>
      </w:r>
      <w:r w:rsidRPr="00815C4C">
        <w:rPr>
          <w:rFonts w:cs="Taher"/>
          <w:vertAlign w:val="superscript"/>
          <w:rtl/>
        </w:rPr>
        <w:t>(</w:t>
      </w:r>
      <w:r w:rsidRPr="00815C4C">
        <w:rPr>
          <w:rFonts w:cs="Taher"/>
          <w:vertAlign w:val="superscript"/>
          <w:rtl/>
        </w:rPr>
        <w:footnoteReference w:id="517"/>
      </w:r>
      <w:r w:rsidRPr="00815C4C">
        <w:rPr>
          <w:rFonts w:cs="Taher"/>
          <w:vertAlign w:val="superscript"/>
          <w:rtl/>
        </w:rPr>
        <w:t>)</w:t>
      </w:r>
      <w:r w:rsidRPr="00524BEA">
        <w:rPr>
          <w:rFonts w:hint="cs"/>
          <w:rtl/>
        </w:rPr>
        <w:t>.</w:t>
      </w:r>
    </w:p>
    <w:p w:rsidR="00212162" w:rsidRPr="00524BEA" w:rsidRDefault="00212162" w:rsidP="00212162">
      <w:pPr>
        <w:pStyle w:val="ac"/>
        <w:rPr>
          <w:rtl/>
        </w:rPr>
      </w:pPr>
      <w:r w:rsidRPr="00524BEA">
        <w:rPr>
          <w:rFonts w:hint="cs"/>
          <w:rtl/>
        </w:rPr>
        <w:t xml:space="preserve">وهذا مستفادٌ ـ فيما يبدو ـ من أبحاث بعض الفقهاء المتقدّمين كأبي إسحق الشاطبي؛ حيث يقرّب مفهوم التعسّف بقوله: </w:t>
      </w:r>
      <w:r w:rsidRPr="00524BEA">
        <w:rPr>
          <w:rtl/>
        </w:rPr>
        <w:t>«</w:t>
      </w:r>
      <w:r w:rsidRPr="00524BEA">
        <w:rPr>
          <w:rFonts w:hint="cs"/>
          <w:rtl/>
        </w:rPr>
        <w:t xml:space="preserve">إنّ في الشريعة قواعد عامة تسري على استعمال جميع الحقوق، فالمباح يصير غير مباح بمقاصد المستعمل لذلك المباح، فصاحب الحقّ له أن يستعمل حقه، ولكن لابد أن يتساءل في أيّ غرض؟ وإلى أيّ مدى؟ وبأية كيفية؟ فلو استعمل الشخص حقّه المباح له لتحقيق مقاصد غير مشروعة بحيث تصبح نتائج استعماله لحقّه غير عادلة ومجحفة بحقوق الآخرين، فهذا من التعسّف وكذلك طريقة استعماله لحقّه.. هل تمّت بيقظة وتبصّر؟ فإن لم تتم كذلك فهو متعسف، لذلك قيل: يشترط لممارسة الشخص لحقّه واستيفائه له ملاحظة المقاصد، والنتائج، والطرق، فهذه </w:t>
      </w:r>
      <w:r w:rsidRPr="00524BEA">
        <w:rPr>
          <w:rFonts w:hint="cs"/>
          <w:rtl/>
        </w:rPr>
        <w:lastRenderedPageBreak/>
        <w:t>العناصر الثلاثة هي عناصر لمفهوم التعسّف.</w:t>
      </w:r>
    </w:p>
    <w:p w:rsidR="00212162" w:rsidRPr="00524BEA" w:rsidRDefault="00212162" w:rsidP="00B60D3A">
      <w:pPr>
        <w:pStyle w:val="ac"/>
        <w:rPr>
          <w:rtl/>
        </w:rPr>
      </w:pPr>
      <w:r w:rsidRPr="00524BEA">
        <w:rPr>
          <w:rFonts w:hint="cs"/>
          <w:rtl/>
        </w:rPr>
        <w:t>هذا من جه</w:t>
      </w:r>
      <w:r>
        <w:rPr>
          <w:rFonts w:hint="cs"/>
          <w:rtl/>
        </w:rPr>
        <w:t>ة</w:t>
      </w:r>
      <w:r w:rsidRPr="00524BEA">
        <w:rPr>
          <w:rFonts w:hint="cs"/>
          <w:rtl/>
        </w:rPr>
        <w:t xml:space="preserve">، ومن جهة </w:t>
      </w:r>
      <w:r>
        <w:rPr>
          <w:rFonts w:hint="cs"/>
          <w:rtl/>
        </w:rPr>
        <w:t>أ</w:t>
      </w:r>
      <w:r w:rsidRPr="00524BEA">
        <w:rPr>
          <w:rFonts w:hint="cs"/>
          <w:rtl/>
        </w:rPr>
        <w:t>خرى: يلاحظ أن القواعد الأخلاقيّة لها صلةٌ وثيقة بنظرية التعسف</w:t>
      </w:r>
      <w:r w:rsidRPr="00815C4C">
        <w:rPr>
          <w:rFonts w:cs="Taher"/>
          <w:vertAlign w:val="superscript"/>
          <w:rtl/>
        </w:rPr>
        <w:t>(</w:t>
      </w:r>
      <w:r w:rsidRPr="00815C4C">
        <w:rPr>
          <w:rFonts w:cs="Taher"/>
          <w:vertAlign w:val="superscript"/>
          <w:rtl/>
        </w:rPr>
        <w:footnoteReference w:id="518"/>
      </w:r>
      <w:r w:rsidRPr="00815C4C">
        <w:rPr>
          <w:rFonts w:cs="Taher"/>
          <w:vertAlign w:val="superscript"/>
          <w:rtl/>
        </w:rPr>
        <w:t>)</w:t>
      </w:r>
      <w:r w:rsidRPr="00524BEA">
        <w:rPr>
          <w:rFonts w:hint="cs"/>
          <w:rtl/>
        </w:rPr>
        <w:t>، وهذا أمرٌ لم يعترض عليه الفقهاء المسلمون</w:t>
      </w:r>
      <w:r>
        <w:rPr>
          <w:rFonts w:hint="cs"/>
          <w:rtl/>
        </w:rPr>
        <w:t>،</w:t>
      </w:r>
      <w:r w:rsidRPr="00524BEA">
        <w:rPr>
          <w:rFonts w:hint="cs"/>
          <w:rtl/>
        </w:rPr>
        <w:t xml:space="preserve"> لإيمانهم أن مزجاً لا ينفكّ بين الفقه (القانون الشرعي) والأخلاق، بينما يوجّه أهل القانون نقداً بالغاً للخلط بين القاعدة الأخلاقية والقاعدة القانونية، غير أن المزج بين قواعد القانون وقواعد الأخلاق في الفقه واضح جداً؛ فإنّ مخالفة القاعدة الأخلاقية (بإرادة باطنة) غالباً ما يكون جزاؤه أخروياً، لا قضائياً دنيوياً، ومثال ذلك: أن شخصاً لو استخدم حالة جوازٍ قانوني واستبطن قصد الضرر أو مطلق مخالفة القاعدة الأخلاقية، فإنّ للإرادة الباطنة ـ غير المشار اليها بقرائن مادية سلوكية ظاهرة ـ يظل حسابها حساباً ديّانياً أخرويّاً وهذا هو مشهور آراء الفقهاء. لكنّ هذا الرأي يقابله: أن للقاضي أن يمنع المستعمل لحقٍّ قانوني له إذا دلّت القرائن على أنّه مصحوب بقصد الإضرار، ويدعمون رأيهم بأن القانون الشرعي (الفقه) لا يحث صاحب الحقّ على مجرّد التزام الحدّ المأذون له به، بل يحثه على بلوغ مرتبة الإحسان والتسامح في استعماله لحقوقه؛ لقوله تعالى:</w:t>
      </w:r>
      <w:r w:rsidRPr="00524BEA">
        <w:rPr>
          <w:rFonts w:hint="cs"/>
          <w:sz w:val="26"/>
          <w:rtl/>
        </w:rPr>
        <w:sym w:font="Islamic Units 1" w:char="F03E"/>
      </w:r>
      <w:r w:rsidRPr="00B60D3A">
        <w:rPr>
          <w:b/>
          <w:bCs/>
          <w:rtl/>
        </w:rPr>
        <w:t>إِنَّ الله يَأْمُرُ بِالْعَدْلِ وَالإِحْسَانِ</w:t>
      </w:r>
      <w:r w:rsidRPr="00B60D3A">
        <w:rPr>
          <w:b/>
          <w:bCs/>
          <w:rtl/>
        </w:rPr>
        <w:sym w:font="Islamic Units 1" w:char="F03C"/>
      </w:r>
      <w:r w:rsidRPr="00B60D3A">
        <w:rPr>
          <w:rFonts w:hint="cs"/>
          <w:b/>
          <w:bCs/>
          <w:rtl/>
        </w:rPr>
        <w:t xml:space="preserve"> </w:t>
      </w:r>
      <w:r w:rsidRPr="00524BEA">
        <w:rPr>
          <w:rFonts w:hint="cs"/>
          <w:rtl/>
        </w:rPr>
        <w:t>(النحل: 90).</w:t>
      </w:r>
    </w:p>
    <w:p w:rsidR="00212162" w:rsidRPr="00524BEA" w:rsidRDefault="00212162" w:rsidP="00B60D3A">
      <w:pPr>
        <w:pStyle w:val="ac"/>
        <w:rPr>
          <w:rtl/>
        </w:rPr>
      </w:pPr>
      <w:r w:rsidRPr="00524BEA">
        <w:rPr>
          <w:rFonts w:hint="cs"/>
          <w:rtl/>
        </w:rPr>
        <w:t>من جهةٍ ثالثة، فإن تحديد مفهوم التعسّف ـ بما تقدّم ـ يشير إلى أنّ له نطاقاً واسعاً في الفقه، منها في البيوع المنهي عنها، وأحكام تلقّي الركبان، والبيع على البيع، والسؤم على السؤم، والنجش، وبيع الحاضر للبادي، وفسخ العقد بالأعذار الملجئة، وعلى مستوى الأحوال الشخصية: الطلاق التعسّفي، وإجبار الزوجة على المطاوعة، وإجبار الزوج على استحداث بيتٍ مستقلّ للزوجة، ومجموعة من الأحكام يمكن أن تستغلّ تعسّفاً.</w:t>
      </w:r>
    </w:p>
    <w:p w:rsidR="00212162" w:rsidRPr="00925049" w:rsidRDefault="00212162" w:rsidP="00925049">
      <w:pPr>
        <w:pStyle w:val="afffffc"/>
        <w:rPr>
          <w:sz w:val="18"/>
          <w:szCs w:val="16"/>
          <w:rtl/>
        </w:rPr>
      </w:pPr>
    </w:p>
    <w:p w:rsidR="00212162" w:rsidRDefault="00212162" w:rsidP="00925049">
      <w:pPr>
        <w:pStyle w:val="2"/>
        <w:rPr>
          <w:rtl/>
        </w:rPr>
      </w:pPr>
      <w:bookmarkStart w:id="311" w:name="_Toc275128031"/>
      <w:r>
        <w:rPr>
          <w:rFonts w:hint="cs"/>
          <w:rtl/>
        </w:rPr>
        <w:t>2 ـ الطلاق التعسّفي والقانون العراقي</w:t>
      </w:r>
      <w:bookmarkEnd w:id="311"/>
    </w:p>
    <w:p w:rsidR="00212162" w:rsidRPr="00524BEA" w:rsidRDefault="00212162" w:rsidP="00D537F7">
      <w:pPr>
        <w:pStyle w:val="ac"/>
        <w:rPr>
          <w:rtl/>
        </w:rPr>
      </w:pPr>
      <w:r w:rsidRPr="00524BEA">
        <w:rPr>
          <w:rFonts w:hint="cs"/>
          <w:rtl/>
        </w:rPr>
        <w:t xml:space="preserve">يعرّف الفقهاء الطلاق بأنه: </w:t>
      </w:r>
      <w:r w:rsidRPr="00524BEA">
        <w:rPr>
          <w:rtl/>
        </w:rPr>
        <w:t>«</w:t>
      </w:r>
      <w:r w:rsidRPr="00524BEA">
        <w:rPr>
          <w:rFonts w:hint="cs"/>
          <w:rtl/>
        </w:rPr>
        <w:t>إزالة قيد النكاح بصيغة: أنت طالق وشبهها</w:t>
      </w:r>
      <w:r w:rsidRPr="00524BEA">
        <w:rPr>
          <w:rtl/>
        </w:rPr>
        <w:t>»</w:t>
      </w:r>
      <w:r w:rsidRPr="00815C4C">
        <w:rPr>
          <w:rFonts w:cs="Taher"/>
          <w:vertAlign w:val="superscript"/>
          <w:rtl/>
        </w:rPr>
        <w:t>(</w:t>
      </w:r>
      <w:r w:rsidRPr="00815C4C">
        <w:rPr>
          <w:rFonts w:cs="Taher"/>
          <w:vertAlign w:val="superscript"/>
          <w:rtl/>
        </w:rPr>
        <w:footnoteReference w:id="519"/>
      </w:r>
      <w:r w:rsidRPr="00815C4C">
        <w:rPr>
          <w:rFonts w:cs="Taher"/>
          <w:vertAlign w:val="superscript"/>
          <w:rtl/>
        </w:rPr>
        <w:t>)</w:t>
      </w:r>
      <w:r w:rsidRPr="00524BEA">
        <w:rPr>
          <w:rFonts w:hint="cs"/>
          <w:rtl/>
        </w:rPr>
        <w:t>.</w:t>
      </w:r>
    </w:p>
    <w:p w:rsidR="00212162" w:rsidRPr="00524BEA" w:rsidRDefault="00212162" w:rsidP="00D537F7">
      <w:pPr>
        <w:pStyle w:val="ac"/>
        <w:rPr>
          <w:rtl/>
        </w:rPr>
      </w:pPr>
      <w:r w:rsidRPr="00524BEA">
        <w:rPr>
          <w:rFonts w:hint="cs"/>
          <w:rtl/>
        </w:rPr>
        <w:lastRenderedPageBreak/>
        <w:t xml:space="preserve">وقد نصّت المادة (34) من قانون الأحوال الشخصية العراقي رقم 188 لسنة 1959م، أنه </w:t>
      </w:r>
      <w:r w:rsidRPr="00524BEA">
        <w:rPr>
          <w:rtl/>
        </w:rPr>
        <w:t>«</w:t>
      </w:r>
      <w:r w:rsidRPr="00524BEA">
        <w:rPr>
          <w:rFonts w:hint="cs"/>
          <w:rtl/>
        </w:rPr>
        <w:t>رفع قيد الزواج بإيقاعٍ من الزوج أو من الزوجة إن وكّلت به أو فُوّضت، أو حصل من القاضي عند تعذّر استمرار الحياة الزوجية</w:t>
      </w:r>
      <w:r w:rsidRPr="00524BEA">
        <w:rPr>
          <w:rtl/>
        </w:rPr>
        <w:t>»</w:t>
      </w:r>
      <w:r w:rsidRPr="00815C4C">
        <w:rPr>
          <w:rFonts w:cs="Taher"/>
          <w:vertAlign w:val="superscript"/>
          <w:rtl/>
        </w:rPr>
        <w:t>(</w:t>
      </w:r>
      <w:r w:rsidRPr="00815C4C">
        <w:rPr>
          <w:rFonts w:cs="Taher"/>
          <w:vertAlign w:val="superscript"/>
          <w:rtl/>
        </w:rPr>
        <w:footnoteReference w:id="520"/>
      </w:r>
      <w:r w:rsidRPr="00815C4C">
        <w:rPr>
          <w:rFonts w:cs="Taher"/>
          <w:vertAlign w:val="superscript"/>
          <w:rtl/>
        </w:rPr>
        <w:t>)</w:t>
      </w:r>
      <w:r w:rsidRPr="00524BEA">
        <w:rPr>
          <w:rFonts w:hint="cs"/>
          <w:rtl/>
        </w:rPr>
        <w:t>.</w:t>
      </w:r>
    </w:p>
    <w:p w:rsidR="00212162" w:rsidRPr="00524BEA" w:rsidRDefault="00212162" w:rsidP="00D537F7">
      <w:pPr>
        <w:pStyle w:val="ac"/>
        <w:rPr>
          <w:rtl/>
        </w:rPr>
      </w:pPr>
      <w:r w:rsidRPr="00524BEA">
        <w:rPr>
          <w:rFonts w:hint="cs"/>
          <w:rtl/>
        </w:rPr>
        <w:t>وقد نظ</w:t>
      </w:r>
      <w:r>
        <w:rPr>
          <w:rFonts w:hint="cs"/>
          <w:rtl/>
        </w:rPr>
        <w:t>ّ</w:t>
      </w:r>
      <w:r w:rsidRPr="00524BEA">
        <w:rPr>
          <w:rFonts w:hint="cs"/>
          <w:rtl/>
        </w:rPr>
        <w:t xml:space="preserve">م الفقه والقانون عملية الطلاق والتفريق في أحكامهما، وبناء على منطوق ودلالة الحديث النبوي الشريف </w:t>
      </w:r>
      <w:r w:rsidRPr="00524BEA">
        <w:rPr>
          <w:rtl/>
        </w:rPr>
        <w:t>«</w:t>
      </w:r>
      <w:r w:rsidRPr="00524BEA">
        <w:rPr>
          <w:rFonts w:hint="cs"/>
          <w:rtl/>
        </w:rPr>
        <w:t>أبغض الحلال إلى الله الطلاق</w:t>
      </w:r>
      <w:r w:rsidRPr="00524BEA">
        <w:rPr>
          <w:rtl/>
        </w:rPr>
        <w:t>»</w:t>
      </w:r>
      <w:r w:rsidRPr="00815C4C">
        <w:rPr>
          <w:rFonts w:cs="Taher"/>
          <w:vertAlign w:val="superscript"/>
          <w:rtl/>
        </w:rPr>
        <w:t>(</w:t>
      </w:r>
      <w:r w:rsidRPr="00815C4C">
        <w:rPr>
          <w:rFonts w:cs="Taher"/>
          <w:vertAlign w:val="superscript"/>
          <w:rtl/>
        </w:rPr>
        <w:footnoteReference w:id="521"/>
      </w:r>
      <w:r w:rsidRPr="00815C4C">
        <w:rPr>
          <w:rFonts w:cs="Taher"/>
          <w:vertAlign w:val="superscript"/>
          <w:rtl/>
        </w:rPr>
        <w:t>)</w:t>
      </w:r>
      <w:r w:rsidRPr="00524BEA">
        <w:rPr>
          <w:rFonts w:hint="cs"/>
          <w:rtl/>
        </w:rPr>
        <w:t>، فهو في إطلاق أوضاعه مبغوض من الله تعالى، ما لم يكن علاجاً لوضعٍ لا يُرجى إصلاحه، فلو خلا من حاجةٍ ماسّة أو سبب فهو تفريط في بناء الأسرة، وبناء الأسرة مقصدٌ شرعي، وكون الطلاق في الأصل إيقاعاً يُصدره الزوج بإرادته المنفردة، يمكّنه أن يوقعه طبيعياً وأن يوقعه متعسّفاً، والتعسف إذا حصل فإن القانون العراقي قبل التعديل عام 1985م لم يتعرّض للطلاق التعسفي، إلا أنه أدخل في قانون الأحوا</w:t>
      </w:r>
      <w:r>
        <w:rPr>
          <w:rFonts w:hint="cs"/>
          <w:rtl/>
        </w:rPr>
        <w:t>ل الشخصيه بالتعديل رقم (51) لسنة</w:t>
      </w:r>
      <w:r w:rsidRPr="00524BEA">
        <w:rPr>
          <w:rFonts w:hint="cs"/>
          <w:rtl/>
        </w:rPr>
        <w:t xml:space="preserve"> 1985م</w:t>
      </w:r>
      <w:r>
        <w:rPr>
          <w:rFonts w:hint="cs"/>
          <w:rtl/>
        </w:rPr>
        <w:t>،</w:t>
      </w:r>
      <w:r w:rsidRPr="00524BEA">
        <w:rPr>
          <w:rFonts w:hint="cs"/>
          <w:rtl/>
        </w:rPr>
        <w:t xml:space="preserve"> والمنشور في الوقائع العراقية عدد (3052) في 1/7/1985م.</w:t>
      </w:r>
    </w:p>
    <w:p w:rsidR="00212162" w:rsidRPr="00524BEA" w:rsidRDefault="00212162" w:rsidP="00D537F7">
      <w:pPr>
        <w:pStyle w:val="ac"/>
        <w:rPr>
          <w:rtl/>
        </w:rPr>
      </w:pPr>
      <w:r w:rsidRPr="00524BEA">
        <w:rPr>
          <w:rFonts w:hint="cs"/>
          <w:rtl/>
        </w:rPr>
        <w:t xml:space="preserve">وقد جاء في الأسباب الموجبة لتشريعه: </w:t>
      </w:r>
      <w:r w:rsidRPr="00524BEA">
        <w:rPr>
          <w:rtl/>
        </w:rPr>
        <w:t>«</w:t>
      </w:r>
      <w:r w:rsidRPr="00524BEA">
        <w:rPr>
          <w:rFonts w:hint="cs"/>
          <w:rtl/>
        </w:rPr>
        <w:t xml:space="preserve">إنه حماية للزوجة من إيقاع الزوج الطلاق عليها تعسفاً، ويعوّضها عما يصيبها من ضررٍ من جراء ذلك، وضماناً لعيشها، وحفظاً لكرامتها، ولأجلها شرّع هذا القانون، وأدخلت في القانون الفقرة (3) من المادة (39) التي تنصّ على أنه </w:t>
      </w:r>
      <w:r w:rsidRPr="00524BEA">
        <w:rPr>
          <w:rtl/>
        </w:rPr>
        <w:t>«</w:t>
      </w:r>
      <w:r w:rsidRPr="00524BEA">
        <w:rPr>
          <w:rFonts w:hint="cs"/>
          <w:rtl/>
        </w:rPr>
        <w:t>إذا طلّق الزوج زوجته، وتبيّن للمحكمة أنّ الزوج متعسّف في طلاقها، وأن الزوجة أصابها ضررٌ من جراء ذلك، تحكم المحكمة ـ بطلبٍ منها ـ على مطلّقها بتعويضٍ يتناسب وحالته المادية ودرجة تعسّفه، ويقدر جملة على أن لا يتجاوز نفقتها لمدة سنتين، علاوة على حقوقها الثابتة الأخرى</w:t>
      </w:r>
      <w:r w:rsidRPr="00524BEA">
        <w:rPr>
          <w:rtl/>
        </w:rPr>
        <w:t>»</w:t>
      </w:r>
      <w:r w:rsidRPr="00815C4C">
        <w:rPr>
          <w:rFonts w:cs="Taher"/>
          <w:vertAlign w:val="superscript"/>
          <w:rtl/>
        </w:rPr>
        <w:t>(</w:t>
      </w:r>
      <w:r w:rsidRPr="00815C4C">
        <w:rPr>
          <w:rFonts w:cs="Taher"/>
          <w:vertAlign w:val="superscript"/>
          <w:rtl/>
        </w:rPr>
        <w:footnoteReference w:id="522"/>
      </w:r>
      <w:r w:rsidRPr="00815C4C">
        <w:rPr>
          <w:rFonts w:cs="Taher"/>
          <w:vertAlign w:val="superscript"/>
          <w:rtl/>
        </w:rPr>
        <w:t>)</w:t>
      </w:r>
      <w:r w:rsidRPr="00524BEA">
        <w:rPr>
          <w:rFonts w:hint="cs"/>
          <w:rtl/>
        </w:rPr>
        <w:t>.</w:t>
      </w:r>
    </w:p>
    <w:p w:rsidR="00212162" w:rsidRPr="00524BEA" w:rsidRDefault="00212162" w:rsidP="00B60D3A">
      <w:pPr>
        <w:pStyle w:val="ac"/>
        <w:rPr>
          <w:rtl/>
        </w:rPr>
      </w:pPr>
      <w:r w:rsidRPr="00524BEA">
        <w:rPr>
          <w:rFonts w:hint="cs"/>
          <w:rtl/>
        </w:rPr>
        <w:t xml:space="preserve">وقد جرى العمل، منذ ذلك التاريخ، على ذلك وأصدرت محكمة تمييز العراق قرارات تمييزية مصادقة لأحكام صدرت من محاكم الأحوال الشخصية، تحكم فيها على </w:t>
      </w:r>
      <w:r w:rsidRPr="00524BEA">
        <w:rPr>
          <w:rFonts w:hint="cs"/>
          <w:rtl/>
        </w:rPr>
        <w:lastRenderedPageBreak/>
        <w:t>أشخاص طلّقوا زوجاتهم بنفقة التعسف</w:t>
      </w:r>
      <w:r w:rsidRPr="00815C4C">
        <w:rPr>
          <w:rFonts w:cs="Taher"/>
          <w:vertAlign w:val="superscript"/>
          <w:rtl/>
        </w:rPr>
        <w:t>(</w:t>
      </w:r>
      <w:r w:rsidRPr="00815C4C">
        <w:rPr>
          <w:rFonts w:cs="Taher"/>
          <w:vertAlign w:val="superscript"/>
          <w:rtl/>
        </w:rPr>
        <w:footnoteReference w:id="523"/>
      </w:r>
      <w:r w:rsidRPr="00815C4C">
        <w:rPr>
          <w:rFonts w:cs="Taher"/>
          <w:vertAlign w:val="superscript"/>
          <w:rtl/>
        </w:rPr>
        <w:t>)</w:t>
      </w:r>
      <w:r w:rsidRPr="00524BEA">
        <w:rPr>
          <w:rFonts w:hint="cs"/>
          <w:rtl/>
        </w:rPr>
        <w:t>.</w:t>
      </w:r>
    </w:p>
    <w:p w:rsidR="00212162" w:rsidRPr="00524BEA" w:rsidRDefault="00212162" w:rsidP="00B60D3A">
      <w:pPr>
        <w:pStyle w:val="ac"/>
        <w:rPr>
          <w:rtl/>
        </w:rPr>
      </w:pPr>
      <w:r w:rsidRPr="00524BEA">
        <w:rPr>
          <w:rFonts w:hint="cs"/>
          <w:rtl/>
        </w:rPr>
        <w:t>ويشار إلى أنّ هذا التعديل وما ترتب عليه من إضافةٍ لقانون الأحوال الشخصية العراقي حصل إبان الحرب بين (صدام حسين) والجمهورية الإسلامية الإيرانية، فقد كثر الطلاق بسبب أوضاع الحرب مما أدى إلى إجراء يقلّل من كثرته وما يقرّب المرأة من السلطه آنذاك،</w:t>
      </w:r>
      <w:r>
        <w:rPr>
          <w:rFonts w:hint="cs"/>
          <w:rtl/>
        </w:rPr>
        <w:t xml:space="preserve"> وكان</w:t>
      </w:r>
      <w:r w:rsidRPr="00524BEA">
        <w:rPr>
          <w:rFonts w:hint="cs"/>
          <w:rtl/>
        </w:rPr>
        <w:t xml:space="preserve"> التعديل قد تمّ بمرسوم</w:t>
      </w:r>
      <w:r>
        <w:rPr>
          <w:rFonts w:hint="cs"/>
          <w:rtl/>
        </w:rPr>
        <w:t>،</w:t>
      </w:r>
      <w:r w:rsidRPr="00524BEA">
        <w:rPr>
          <w:rFonts w:hint="cs"/>
          <w:rtl/>
        </w:rPr>
        <w:t xml:space="preserve"> ولأجل نقد هذا التعديل </w:t>
      </w:r>
      <w:r>
        <w:rPr>
          <w:rFonts w:hint="cs"/>
          <w:rtl/>
        </w:rPr>
        <w:t xml:space="preserve">ـ </w:t>
      </w:r>
      <w:r w:rsidRPr="00524BEA">
        <w:rPr>
          <w:rFonts w:hint="cs"/>
          <w:rtl/>
        </w:rPr>
        <w:t xml:space="preserve">لا من جهة صلاحية المشرّع </w:t>
      </w:r>
      <w:r>
        <w:rPr>
          <w:rFonts w:hint="cs"/>
          <w:rtl/>
        </w:rPr>
        <w:t xml:space="preserve">ـ </w:t>
      </w:r>
      <w:r w:rsidRPr="00524BEA">
        <w:rPr>
          <w:rFonts w:hint="cs"/>
          <w:rtl/>
        </w:rPr>
        <w:t>إنما من جهه نقد التشريع جاء هذا البحث.</w:t>
      </w:r>
    </w:p>
    <w:p w:rsidR="00212162" w:rsidRPr="00524BEA" w:rsidRDefault="00212162" w:rsidP="00925049">
      <w:pPr>
        <w:pStyle w:val="afffffc"/>
        <w:rPr>
          <w:rtl/>
        </w:rPr>
      </w:pPr>
    </w:p>
    <w:p w:rsidR="00212162" w:rsidRDefault="00212162" w:rsidP="00B60D3A">
      <w:pPr>
        <w:pStyle w:val="1"/>
        <w:rPr>
          <w:rtl/>
        </w:rPr>
      </w:pPr>
      <w:bookmarkStart w:id="312" w:name="_Toc275128032"/>
      <w:r>
        <w:rPr>
          <w:rFonts w:hint="cs"/>
          <w:rtl/>
        </w:rPr>
        <w:t>صور التعسّف في الطلاق وقيوده</w:t>
      </w:r>
      <w:bookmarkEnd w:id="312"/>
    </w:p>
    <w:p w:rsidR="00212162" w:rsidRDefault="00212162" w:rsidP="00925049">
      <w:pPr>
        <w:pStyle w:val="2"/>
        <w:rPr>
          <w:rtl/>
        </w:rPr>
      </w:pPr>
      <w:bookmarkStart w:id="313" w:name="_Toc275128033"/>
      <w:r>
        <w:rPr>
          <w:rFonts w:hint="cs"/>
          <w:rtl/>
        </w:rPr>
        <w:t>1 ـ صورة التعسّف في الطلاق</w:t>
      </w:r>
      <w:bookmarkEnd w:id="313"/>
    </w:p>
    <w:p w:rsidR="00212162" w:rsidRPr="00524BEA" w:rsidRDefault="00212162" w:rsidP="00B60D3A">
      <w:pPr>
        <w:pStyle w:val="ac"/>
        <w:rPr>
          <w:rtl/>
        </w:rPr>
      </w:pPr>
      <w:r w:rsidRPr="00524BEA">
        <w:rPr>
          <w:rFonts w:hint="cs"/>
          <w:rtl/>
        </w:rPr>
        <w:t>إن شروط الحكم للزوجة المطلقة تعسفاً، كما تنصّ عليها الفقرة (3) من المادة (39)، تتحدّد بـ:</w:t>
      </w:r>
    </w:p>
    <w:p w:rsidR="00212162" w:rsidRPr="00524BEA" w:rsidRDefault="00212162" w:rsidP="00925049">
      <w:pPr>
        <w:pStyle w:val="ac"/>
        <w:spacing w:line="206" w:lineRule="auto"/>
        <w:rPr>
          <w:rtl/>
        </w:rPr>
      </w:pPr>
      <w:r w:rsidRPr="00524BEA">
        <w:rPr>
          <w:rFonts w:hint="cs"/>
          <w:rtl/>
        </w:rPr>
        <w:t>1 ـ أن يتضح للمحكمة أن الزوج متعسّف.</w:t>
      </w:r>
    </w:p>
    <w:p w:rsidR="00212162" w:rsidRPr="00524BEA" w:rsidRDefault="00212162" w:rsidP="00925049">
      <w:pPr>
        <w:pStyle w:val="ac"/>
        <w:spacing w:line="209" w:lineRule="auto"/>
        <w:rPr>
          <w:rtl/>
        </w:rPr>
      </w:pPr>
      <w:r w:rsidRPr="00524BEA">
        <w:rPr>
          <w:rFonts w:hint="cs"/>
          <w:rtl/>
        </w:rPr>
        <w:t>وهنا يرد سؤال: كيف يتسنّى للمحكمة أن تتبيّن التعسف؟ وما المعايير الضابطة لمعرفة التعسّف ودرجته، فهذا يفتح الباب أمام اجتهاد القاضي.</w:t>
      </w:r>
    </w:p>
    <w:p w:rsidR="00212162" w:rsidRPr="00524BEA" w:rsidRDefault="00212162" w:rsidP="00925049">
      <w:pPr>
        <w:pStyle w:val="ac"/>
        <w:spacing w:line="209" w:lineRule="auto"/>
        <w:rPr>
          <w:rtl/>
        </w:rPr>
      </w:pPr>
      <w:r w:rsidRPr="00524BEA">
        <w:rPr>
          <w:rFonts w:hint="cs"/>
          <w:rtl/>
        </w:rPr>
        <w:t>2 ـ أن يتبيّن للمحكمة أنّ الزوجة أصابها ضررٌ من جراء ذلك، ولم تفصح الفقرة (3) من المادة (39) نوع الضرر (مادي، اعتباري)، وحجمه ومقداره؛ لأن الضرر واقع لا محالة في أغلب حالاته.</w:t>
      </w:r>
    </w:p>
    <w:p w:rsidR="00212162" w:rsidRPr="00524BEA" w:rsidRDefault="00212162" w:rsidP="00925049">
      <w:pPr>
        <w:pStyle w:val="ac"/>
        <w:spacing w:line="206" w:lineRule="auto"/>
        <w:rPr>
          <w:rtl/>
        </w:rPr>
      </w:pPr>
      <w:r w:rsidRPr="00524BEA">
        <w:rPr>
          <w:rFonts w:hint="cs"/>
          <w:rtl/>
        </w:rPr>
        <w:t>3 ـ نصّت الفقرة أن التعويض يلزم أن يتناسب مع أمرين:</w:t>
      </w:r>
    </w:p>
    <w:p w:rsidR="00212162" w:rsidRPr="00524BEA" w:rsidRDefault="00212162" w:rsidP="00925049">
      <w:pPr>
        <w:pStyle w:val="ac"/>
        <w:spacing w:line="206" w:lineRule="auto"/>
        <w:rPr>
          <w:rtl/>
        </w:rPr>
      </w:pPr>
      <w:r w:rsidRPr="00524BEA">
        <w:rPr>
          <w:rFonts w:hint="cs"/>
          <w:rtl/>
        </w:rPr>
        <w:t>أ ـ الحالة المادية للزوج.</w:t>
      </w:r>
    </w:p>
    <w:p w:rsidR="00212162" w:rsidRPr="00524BEA" w:rsidRDefault="00212162" w:rsidP="00925049">
      <w:pPr>
        <w:pStyle w:val="ac"/>
        <w:spacing w:line="206" w:lineRule="auto"/>
        <w:rPr>
          <w:rtl/>
        </w:rPr>
      </w:pPr>
      <w:r w:rsidRPr="00524BEA">
        <w:rPr>
          <w:rFonts w:hint="cs"/>
          <w:rtl/>
        </w:rPr>
        <w:t>ب ـ درجة التعسّف.</w:t>
      </w:r>
    </w:p>
    <w:p w:rsidR="00212162" w:rsidRPr="00524BEA" w:rsidRDefault="00212162" w:rsidP="00925049">
      <w:pPr>
        <w:pStyle w:val="ac"/>
        <w:spacing w:line="206" w:lineRule="auto"/>
        <w:rPr>
          <w:rtl/>
        </w:rPr>
      </w:pPr>
      <w:r w:rsidRPr="00524BEA">
        <w:rPr>
          <w:rFonts w:hint="cs"/>
          <w:rtl/>
        </w:rPr>
        <w:t xml:space="preserve">فلو افترضنا أن الحالة المادية متدنية أو متوسطة، فإن المحكمة لا يمكنها أن تحكم بالتعويض ـ حتى مع تبيّنها أنه متعسف، وبذلك يكون تعسّف الفقير لا عقوبة عليه، </w:t>
      </w:r>
      <w:r>
        <w:rPr>
          <w:rFonts w:hint="cs"/>
          <w:rtl/>
        </w:rPr>
        <w:lastRenderedPageBreak/>
        <w:t>وتعسف المليء</w:t>
      </w:r>
      <w:r w:rsidRPr="00524BEA">
        <w:rPr>
          <w:rFonts w:hint="cs"/>
          <w:rtl/>
        </w:rPr>
        <w:t xml:space="preserve"> خاضع للعقوبة، وهذا ما يشكّل اضطراباً آخر في التشريع، أما درجة التعسّف فلا يعرف معيارٌ لتحديدها، ولم توضحه التعليمات واللوائح أو القانون، سوى ما يتصوّره القاضي عن:</w:t>
      </w:r>
    </w:p>
    <w:p w:rsidR="00212162" w:rsidRPr="00524BEA" w:rsidRDefault="00212162" w:rsidP="00925049">
      <w:pPr>
        <w:pStyle w:val="ac"/>
        <w:spacing w:line="209" w:lineRule="auto"/>
        <w:rPr>
          <w:rtl/>
        </w:rPr>
      </w:pPr>
      <w:r w:rsidRPr="00524BEA">
        <w:rPr>
          <w:rFonts w:hint="cs"/>
          <w:rtl/>
        </w:rPr>
        <w:t>1 ـ كيفية إيقاعه.</w:t>
      </w:r>
    </w:p>
    <w:p w:rsidR="00212162" w:rsidRPr="00524BEA" w:rsidRDefault="00212162" w:rsidP="00925049">
      <w:pPr>
        <w:pStyle w:val="ac"/>
        <w:spacing w:line="209" w:lineRule="auto"/>
        <w:rPr>
          <w:rtl/>
        </w:rPr>
      </w:pPr>
      <w:r w:rsidRPr="00524BEA">
        <w:rPr>
          <w:rFonts w:hint="cs"/>
          <w:rtl/>
        </w:rPr>
        <w:t>2 ـ البواعث الدافعة إليه إذا توصّل إليها، وهذا ممّا لا يتوصّل إليه بيُسر.</w:t>
      </w:r>
    </w:p>
    <w:p w:rsidR="00212162" w:rsidRPr="00524BEA" w:rsidRDefault="00212162" w:rsidP="00925049">
      <w:pPr>
        <w:pStyle w:val="ac"/>
        <w:spacing w:line="209" w:lineRule="auto"/>
        <w:rPr>
          <w:rtl/>
        </w:rPr>
      </w:pPr>
      <w:r>
        <w:rPr>
          <w:rFonts w:hint="cs"/>
          <w:rtl/>
        </w:rPr>
        <w:t>3 ـ والأسس الفقهية التي يبني</w:t>
      </w:r>
      <w:r w:rsidRPr="00524BEA">
        <w:rPr>
          <w:rFonts w:hint="cs"/>
          <w:rtl/>
        </w:rPr>
        <w:t xml:space="preserve"> الفقهاء جواز أو كراهة الطلاق عليها.</w:t>
      </w:r>
    </w:p>
    <w:p w:rsidR="00212162" w:rsidRPr="00524BEA" w:rsidRDefault="00212162" w:rsidP="00925049">
      <w:pPr>
        <w:pStyle w:val="ac"/>
        <w:spacing w:line="209" w:lineRule="auto"/>
        <w:rPr>
          <w:rtl/>
        </w:rPr>
      </w:pPr>
      <w:r w:rsidRPr="00524BEA">
        <w:rPr>
          <w:rFonts w:hint="cs"/>
          <w:rtl/>
        </w:rPr>
        <w:t>أمّا كيفية إيقاعه، فالقرائن الدالة على اختياره كيفيته مسبّبة لجرح معنوي، أو هدر لمكانة المرأة، كان عليه أن يتحاشاها، وكل كيفية ينتج عنها ضرر غير معتاد للمرأة، ربما تكون كاشفةً عن التعسف، وإذا ظهرت بواعث ضررية بالقرائن والأفعال فإنها كاشفة عنه.</w:t>
      </w:r>
    </w:p>
    <w:p w:rsidR="00212162" w:rsidRPr="00524BEA" w:rsidRDefault="00212162" w:rsidP="00925049">
      <w:pPr>
        <w:pStyle w:val="ac"/>
        <w:spacing w:line="209" w:lineRule="auto"/>
        <w:rPr>
          <w:rtl/>
        </w:rPr>
      </w:pPr>
      <w:r w:rsidRPr="00524BEA">
        <w:rPr>
          <w:rFonts w:hint="cs"/>
          <w:rtl/>
        </w:rPr>
        <w:t>ومن جهةٍ فقهية، ربما يُستند في التعسّف على رأيٍ للفقهاء في أسس حكم الطلاق بلا سببٍ موجب؛ فالفقهاء ـ كما هو واضح ـ اختلفوا في حكم الطلاق بلا سبب، فمع استقامة حال الزوجين كانوا على قولين:</w:t>
      </w:r>
    </w:p>
    <w:p w:rsidR="00212162" w:rsidRPr="00524BEA" w:rsidRDefault="00212162" w:rsidP="00925049">
      <w:pPr>
        <w:pStyle w:val="ac"/>
        <w:spacing w:line="211" w:lineRule="auto"/>
        <w:rPr>
          <w:rtl/>
        </w:rPr>
      </w:pPr>
      <w:r w:rsidRPr="00524BEA">
        <w:rPr>
          <w:rFonts w:hint="cs"/>
          <w:rtl/>
        </w:rPr>
        <w:t>أحدهما: إنه محرّم إذا كان لغير حاجة، ونُسب هذا الرأي للإمام أحمد.</w:t>
      </w:r>
    </w:p>
    <w:p w:rsidR="00212162" w:rsidRPr="00524BEA" w:rsidRDefault="00212162" w:rsidP="00925049">
      <w:pPr>
        <w:pStyle w:val="ac"/>
        <w:spacing w:line="211" w:lineRule="auto"/>
        <w:rPr>
          <w:rtl/>
        </w:rPr>
      </w:pPr>
      <w:r w:rsidRPr="00524BEA">
        <w:rPr>
          <w:rFonts w:hint="cs"/>
          <w:rtl/>
        </w:rPr>
        <w:t>ثانيهما: وهو مشهور الحنابلة أنه مكروه</w:t>
      </w:r>
      <w:r w:rsidRPr="00815C4C">
        <w:rPr>
          <w:rFonts w:cs="Taher"/>
          <w:vertAlign w:val="superscript"/>
          <w:rtl/>
        </w:rPr>
        <w:t>(</w:t>
      </w:r>
      <w:r w:rsidRPr="00815C4C">
        <w:rPr>
          <w:rFonts w:cs="Taher"/>
          <w:vertAlign w:val="superscript"/>
          <w:rtl/>
        </w:rPr>
        <w:footnoteReference w:id="524"/>
      </w:r>
      <w:r w:rsidRPr="00815C4C">
        <w:rPr>
          <w:rFonts w:cs="Taher"/>
          <w:vertAlign w:val="superscript"/>
          <w:rtl/>
        </w:rPr>
        <w:t>)</w:t>
      </w:r>
      <w:r w:rsidRPr="00524BEA">
        <w:rPr>
          <w:rFonts w:hint="cs"/>
          <w:rtl/>
        </w:rPr>
        <w:t>.</w:t>
      </w:r>
    </w:p>
    <w:p w:rsidR="00212162" w:rsidRPr="00524BEA" w:rsidRDefault="00212162" w:rsidP="00925049">
      <w:pPr>
        <w:pStyle w:val="ac"/>
        <w:spacing w:line="211" w:lineRule="auto"/>
        <w:rPr>
          <w:rtl/>
        </w:rPr>
      </w:pPr>
      <w:r w:rsidRPr="00524BEA">
        <w:rPr>
          <w:rFonts w:hint="cs"/>
          <w:rtl/>
        </w:rPr>
        <w:t>وذكر الدمشقي أنه مع استقامة حال الزوجين يصبح الطلاق مكروهاً بالاتفاق، بل قال أبو حنيفة بتحريمه</w:t>
      </w:r>
      <w:r w:rsidRPr="00815C4C">
        <w:rPr>
          <w:rFonts w:cs="Taher"/>
          <w:vertAlign w:val="superscript"/>
          <w:rtl/>
        </w:rPr>
        <w:t>(</w:t>
      </w:r>
      <w:r w:rsidRPr="00815C4C">
        <w:rPr>
          <w:rFonts w:cs="Taher"/>
          <w:vertAlign w:val="superscript"/>
          <w:rtl/>
        </w:rPr>
        <w:footnoteReference w:id="525"/>
      </w:r>
      <w:r w:rsidRPr="00815C4C">
        <w:rPr>
          <w:rFonts w:cs="Taher"/>
          <w:vertAlign w:val="superscript"/>
          <w:rtl/>
        </w:rPr>
        <w:t>)</w:t>
      </w:r>
      <w:r w:rsidRPr="00524BEA">
        <w:rPr>
          <w:rFonts w:hint="cs"/>
          <w:rtl/>
        </w:rPr>
        <w:t>.</w:t>
      </w:r>
    </w:p>
    <w:p w:rsidR="00212162" w:rsidRPr="00524BEA" w:rsidRDefault="00212162" w:rsidP="00925049">
      <w:pPr>
        <w:pStyle w:val="ac"/>
        <w:spacing w:line="209" w:lineRule="auto"/>
        <w:rPr>
          <w:rtl/>
        </w:rPr>
      </w:pPr>
      <w:r w:rsidRPr="00524BEA">
        <w:rPr>
          <w:rFonts w:hint="cs"/>
          <w:rtl/>
        </w:rPr>
        <w:t xml:space="preserve">إن اختلاف الفقهاء في أصل الطلاق هل الإباحة أم الحظر؟ يصحّ أساساً نظرياً للكشف عن التعسّف فيه وعقوبته؛ فالقائلين بالحظر إلى أن يقوم ما يدعو إليه، لما يفترض في المتعسّف أنه لم يطلق ـ تحت ضغط سبب ما ـ فإنه يكون قد أتى بمكروه </w:t>
      </w:r>
      <w:r w:rsidRPr="00524BEA">
        <w:rPr>
          <w:rFonts w:hint="cs"/>
          <w:rtl/>
        </w:rPr>
        <w:lastRenderedPageBreak/>
        <w:t>شرعي ترتب عليه ضرر مادي، وحصل بقصدٍ ضرري؛ وعليه فهو يستحقّ أن يعاقب</w:t>
      </w:r>
      <w:r>
        <w:rPr>
          <w:rFonts w:hint="cs"/>
          <w:rtl/>
        </w:rPr>
        <w:t>؛</w:t>
      </w:r>
      <w:r w:rsidRPr="00524BEA">
        <w:rPr>
          <w:rFonts w:hint="cs"/>
          <w:rtl/>
        </w:rPr>
        <w:t xml:space="preserve"> تعزيراً له على هذا الفعل</w:t>
      </w:r>
      <w:r w:rsidRPr="00815C4C">
        <w:rPr>
          <w:rFonts w:cs="Taher"/>
          <w:vertAlign w:val="superscript"/>
          <w:rtl/>
        </w:rPr>
        <w:t>(</w:t>
      </w:r>
      <w:r w:rsidRPr="00815C4C">
        <w:rPr>
          <w:rFonts w:cs="Taher"/>
          <w:vertAlign w:val="superscript"/>
          <w:rtl/>
        </w:rPr>
        <w:footnoteReference w:id="526"/>
      </w:r>
      <w:r w:rsidRPr="00815C4C">
        <w:rPr>
          <w:rFonts w:cs="Taher"/>
          <w:vertAlign w:val="superscript"/>
          <w:rtl/>
        </w:rPr>
        <w:t>)</w:t>
      </w:r>
      <w:r w:rsidRPr="00524BEA">
        <w:rPr>
          <w:rFonts w:hint="cs"/>
          <w:rtl/>
        </w:rPr>
        <w:t>.</w:t>
      </w:r>
    </w:p>
    <w:p w:rsidR="00212162" w:rsidRPr="00524BEA" w:rsidRDefault="00212162" w:rsidP="00925049">
      <w:pPr>
        <w:pStyle w:val="ac"/>
        <w:spacing w:line="199" w:lineRule="auto"/>
        <w:rPr>
          <w:rtl/>
        </w:rPr>
      </w:pPr>
      <w:r w:rsidRPr="00524BEA">
        <w:rPr>
          <w:rFonts w:hint="cs"/>
          <w:rtl/>
        </w:rPr>
        <w:t>إذن، فالطلاق إن وقع موافقاً للقانون في مضمونه ومقاصده ونواياه ونتائجه فإنه مباح، وإن وقع موافقاً للقانون في مظهره فقط فإنه في الأقل على الكراهة، أما التعويض فلأجل السبب المفقود من تصرّفه المناقض لمقصود الشارع؛ ولذا فإن اعتبار الزوج متعسفاً يحصل إذا قصد بطلاقه غير القصد الشرعي؛ فيكون التعسف مبنياً على مناقضة قصد الشارع.</w:t>
      </w:r>
    </w:p>
    <w:p w:rsidR="00212162" w:rsidRPr="00524BEA" w:rsidRDefault="00212162" w:rsidP="00925049">
      <w:pPr>
        <w:pStyle w:val="ac"/>
        <w:spacing w:line="199" w:lineRule="auto"/>
        <w:rPr>
          <w:rtl/>
        </w:rPr>
      </w:pPr>
      <w:r w:rsidRPr="00524BEA">
        <w:rPr>
          <w:rFonts w:hint="cs"/>
          <w:rtl/>
        </w:rPr>
        <w:t>وخلاصة القول: إن الطلاق مباح، إذا كان خالياً من قصد الإضرار، أو خلا من سببٍ شرعي وجيه على رأي من يرى إباحته مطلقاً، ومع كونه كذلك فإن الفقهاء فيه على قولين:</w:t>
      </w:r>
    </w:p>
    <w:p w:rsidR="00212162" w:rsidRPr="00524BEA" w:rsidRDefault="00212162" w:rsidP="00925049">
      <w:pPr>
        <w:pStyle w:val="ac"/>
        <w:spacing w:line="199" w:lineRule="auto"/>
        <w:rPr>
          <w:rtl/>
        </w:rPr>
      </w:pPr>
      <w:r w:rsidRPr="00524BEA">
        <w:rPr>
          <w:rFonts w:hint="cs"/>
          <w:rtl/>
        </w:rPr>
        <w:t>أ ـ إنه يقع قضاءً ويحاسب ديانةً وأخروياً، وليس لأحد تقييد إرادة الزوج أو فرض شرط أو عقوبة عليه.</w:t>
      </w:r>
    </w:p>
    <w:p w:rsidR="00212162" w:rsidRPr="00524BEA" w:rsidRDefault="00212162" w:rsidP="00925049">
      <w:pPr>
        <w:pStyle w:val="ac"/>
        <w:rPr>
          <w:rtl/>
        </w:rPr>
      </w:pPr>
      <w:r w:rsidRPr="00524BEA">
        <w:rPr>
          <w:rFonts w:hint="cs"/>
          <w:rtl/>
        </w:rPr>
        <w:t>ب ـ إنه يقع قضاءً وعلى المتعسّف تعويض المطلّقة، تعويضاً مناسباً للضرر الواقع عليها.</w:t>
      </w:r>
    </w:p>
    <w:p w:rsidR="00212162" w:rsidRPr="00524BEA" w:rsidRDefault="00212162" w:rsidP="00925049">
      <w:pPr>
        <w:pStyle w:val="ac"/>
        <w:spacing w:line="202" w:lineRule="auto"/>
        <w:rPr>
          <w:rtl/>
        </w:rPr>
      </w:pPr>
      <w:r w:rsidRPr="00524BEA">
        <w:rPr>
          <w:rFonts w:hint="cs"/>
          <w:rtl/>
        </w:rPr>
        <w:t>وسترد تفاصيل أخرى في الموازنة بين القولين.</w:t>
      </w:r>
    </w:p>
    <w:p w:rsidR="00212162" w:rsidRPr="00925049" w:rsidRDefault="00212162" w:rsidP="00925049">
      <w:pPr>
        <w:pStyle w:val="afffffc"/>
        <w:rPr>
          <w:sz w:val="16"/>
          <w:szCs w:val="14"/>
          <w:rtl/>
        </w:rPr>
      </w:pPr>
    </w:p>
    <w:p w:rsidR="00212162" w:rsidRDefault="00212162" w:rsidP="00925049">
      <w:pPr>
        <w:pStyle w:val="2"/>
        <w:rPr>
          <w:rtl/>
        </w:rPr>
      </w:pPr>
      <w:bookmarkStart w:id="314" w:name="_Toc275128034"/>
      <w:r>
        <w:rPr>
          <w:rFonts w:hint="cs"/>
          <w:rtl/>
        </w:rPr>
        <w:t>2 ـ أدلّة تحريم التعسف</w:t>
      </w:r>
      <w:bookmarkEnd w:id="314"/>
    </w:p>
    <w:p w:rsidR="00212162" w:rsidRPr="00524BEA" w:rsidRDefault="00212162" w:rsidP="000F35A5">
      <w:pPr>
        <w:pStyle w:val="ac"/>
        <w:rPr>
          <w:rtl/>
        </w:rPr>
      </w:pPr>
      <w:r w:rsidRPr="00524BEA">
        <w:rPr>
          <w:rFonts w:hint="cs"/>
          <w:rtl/>
        </w:rPr>
        <w:t>هل التعسّف باستعمال الحق محرّم شرعاً؟ وما الأدلّة على ذلك؟</w:t>
      </w:r>
    </w:p>
    <w:p w:rsidR="00212162" w:rsidRPr="00524BEA" w:rsidRDefault="00212162" w:rsidP="000F35A5">
      <w:pPr>
        <w:pStyle w:val="ac"/>
        <w:rPr>
          <w:rtl/>
        </w:rPr>
      </w:pPr>
      <w:r w:rsidRPr="00524BEA">
        <w:rPr>
          <w:rFonts w:hint="cs"/>
          <w:rtl/>
        </w:rPr>
        <w:t>والجواب: اتفقت كلمة الفقهاء على الحرمة الشرعية للتعسّف كحكمٍ تكليفي، وسيرد الحكم الوضعي له، أمّا أدلتهم على الحرمة فهي:</w:t>
      </w:r>
    </w:p>
    <w:p w:rsidR="00212162" w:rsidRPr="00524BEA" w:rsidRDefault="00212162" w:rsidP="000F35A5">
      <w:pPr>
        <w:pStyle w:val="ac"/>
        <w:rPr>
          <w:rtl/>
        </w:rPr>
      </w:pPr>
      <w:r w:rsidRPr="00524BEA">
        <w:rPr>
          <w:rFonts w:hint="cs"/>
          <w:rtl/>
        </w:rPr>
        <w:t>1 ـ قوله تعالى</w:t>
      </w:r>
      <w:r w:rsidRPr="00524BEA">
        <w:rPr>
          <w:rFonts w:hint="cs"/>
          <w:sz w:val="26"/>
          <w:rtl/>
        </w:rPr>
        <w:sym w:font="Islamic Units 1" w:char="F03E"/>
      </w:r>
      <w:r w:rsidRPr="000F35A5">
        <w:rPr>
          <w:b/>
          <w:bCs/>
          <w:rtl/>
        </w:rPr>
        <w:t>وَلاَ تُمْسِكُوهُنَّ ضِرَارًا لَّتَعْتَدُواْ</w:t>
      </w:r>
      <w:r w:rsidRPr="000F35A5">
        <w:rPr>
          <w:b/>
          <w:bCs/>
          <w:rtl/>
        </w:rPr>
        <w:sym w:font="Islamic Units 1" w:char="F03C"/>
      </w:r>
      <w:r w:rsidRPr="00524BEA">
        <w:rPr>
          <w:rFonts w:hint="cs"/>
          <w:rtl/>
        </w:rPr>
        <w:t xml:space="preserve"> (البقرة: 231).</w:t>
      </w:r>
    </w:p>
    <w:p w:rsidR="00212162" w:rsidRPr="00524BEA" w:rsidRDefault="00212162" w:rsidP="000F35A5">
      <w:pPr>
        <w:pStyle w:val="ac"/>
        <w:rPr>
          <w:rtl/>
        </w:rPr>
      </w:pPr>
      <w:r w:rsidRPr="00524BEA">
        <w:rPr>
          <w:rFonts w:hint="cs"/>
          <w:rtl/>
        </w:rPr>
        <w:t xml:space="preserve">أخرج مالك والطبري في سبب نزولها أنّ الرجل كان يطلّق ويراجع قبل العدّة ليطيل العدّة عليها أو المتضيق النفقة في العدة إضراراً فورد النهي، وهو موجبٌ لحرمة </w:t>
      </w:r>
      <w:r w:rsidRPr="00524BEA">
        <w:rPr>
          <w:rFonts w:hint="cs"/>
          <w:rtl/>
        </w:rPr>
        <w:lastRenderedPageBreak/>
        <w:t>التصرّف، أي لا تراجعوهنّ بنيّة إطالة العدّة، ومعلومٌ أن الرجعة حقٌّ للزوج بل هي مندوبة، لكن المشرّع (الله تعالى) نهى عنها إذا أجراها بقصدٍ غير مشروع</w:t>
      </w:r>
      <w:r w:rsidRPr="00815C4C">
        <w:rPr>
          <w:rFonts w:cs="Taher"/>
          <w:vertAlign w:val="superscript"/>
          <w:rtl/>
        </w:rPr>
        <w:t>(</w:t>
      </w:r>
      <w:r w:rsidRPr="00815C4C">
        <w:rPr>
          <w:rFonts w:cs="Taher"/>
          <w:vertAlign w:val="superscript"/>
          <w:rtl/>
        </w:rPr>
        <w:footnoteReference w:id="527"/>
      </w:r>
      <w:r w:rsidRPr="00815C4C">
        <w:rPr>
          <w:rFonts w:cs="Taher"/>
          <w:vertAlign w:val="superscript"/>
          <w:rtl/>
        </w:rPr>
        <w:t>)</w:t>
      </w:r>
      <w:r w:rsidRPr="00524BEA">
        <w:rPr>
          <w:rFonts w:hint="cs"/>
          <w:rtl/>
        </w:rPr>
        <w:t>.</w:t>
      </w:r>
    </w:p>
    <w:p w:rsidR="00212162" w:rsidRPr="00524BEA" w:rsidRDefault="00212162" w:rsidP="000F35A5">
      <w:pPr>
        <w:pStyle w:val="ac"/>
        <w:rPr>
          <w:rtl/>
        </w:rPr>
      </w:pPr>
      <w:r w:rsidRPr="00524BEA">
        <w:rPr>
          <w:rFonts w:hint="cs"/>
          <w:rtl/>
        </w:rPr>
        <w:t xml:space="preserve">2 ـ قوله تعالى: </w:t>
      </w:r>
      <w:r w:rsidRPr="00524BEA">
        <w:rPr>
          <w:rFonts w:hint="cs"/>
          <w:sz w:val="26"/>
          <w:rtl/>
        </w:rPr>
        <w:sym w:font="Islamic Units 1" w:char="F03E"/>
      </w:r>
      <w:r w:rsidRPr="000F35A5">
        <w:rPr>
          <w:rFonts w:hint="cs"/>
          <w:b/>
          <w:bCs/>
          <w:rtl/>
        </w:rPr>
        <w:t>مِن بَعْدِ وَصِيَّةٍ يُوصَى بِهَآ أَوْ دَيْنٍ غَيْرَ مُضَآرٍّ</w:t>
      </w:r>
      <w:r w:rsidRPr="00524BEA">
        <w:rPr>
          <w:sz w:val="26"/>
          <w:rtl/>
        </w:rPr>
        <w:sym w:font="Islamic Units 1" w:char="F03C"/>
      </w:r>
      <w:r w:rsidRPr="00524BEA">
        <w:rPr>
          <w:rFonts w:hint="cs"/>
          <w:rtl/>
        </w:rPr>
        <w:t xml:space="preserve"> (النساء:12).</w:t>
      </w:r>
    </w:p>
    <w:p w:rsidR="00212162" w:rsidRPr="00524BEA" w:rsidRDefault="00212162" w:rsidP="000F35A5">
      <w:pPr>
        <w:pStyle w:val="ac"/>
        <w:rPr>
          <w:rtl/>
        </w:rPr>
      </w:pPr>
      <w:r w:rsidRPr="00524BEA">
        <w:rPr>
          <w:rFonts w:hint="cs"/>
          <w:rtl/>
        </w:rPr>
        <w:t>وواضحٌ أن الإقرار بالوصية بين الوجوب والندب، وكذا الدين للدائن، فإذا كانت صورته صورة وصية أو دين ومضمونه تبرع أو هبة ينقلب الحكم إلى الحرمة؛ لقصد الإضرار.</w:t>
      </w:r>
    </w:p>
    <w:p w:rsidR="00212162" w:rsidRPr="00524BEA" w:rsidRDefault="00212162" w:rsidP="000F35A5">
      <w:pPr>
        <w:pStyle w:val="ac"/>
        <w:rPr>
          <w:rtl/>
        </w:rPr>
      </w:pPr>
      <w:r w:rsidRPr="00524BEA">
        <w:rPr>
          <w:rFonts w:hint="cs"/>
          <w:rtl/>
        </w:rPr>
        <w:t>3 ـ حديث الضرر المتقدّم، ومن سبب نزوله تظهر حرمة التصرّف الضرري عموماً.</w:t>
      </w:r>
    </w:p>
    <w:p w:rsidR="00212162" w:rsidRPr="00524BEA" w:rsidRDefault="00212162" w:rsidP="000F35A5">
      <w:pPr>
        <w:pStyle w:val="ac"/>
        <w:rPr>
          <w:rtl/>
        </w:rPr>
      </w:pPr>
      <w:r w:rsidRPr="00524BEA">
        <w:rPr>
          <w:rFonts w:hint="cs"/>
          <w:rtl/>
        </w:rPr>
        <w:t>4 ـ حديث النيّات المتقدم.</w:t>
      </w:r>
    </w:p>
    <w:p w:rsidR="00212162" w:rsidRPr="00524BEA" w:rsidRDefault="00212162" w:rsidP="000F35A5">
      <w:pPr>
        <w:pStyle w:val="ac"/>
        <w:rPr>
          <w:rtl/>
        </w:rPr>
      </w:pPr>
      <w:r w:rsidRPr="00524BEA">
        <w:rPr>
          <w:rFonts w:hint="cs"/>
          <w:rtl/>
        </w:rPr>
        <w:t>5 ـ حرمة التعاون على الإثم.</w:t>
      </w:r>
    </w:p>
    <w:p w:rsidR="00212162" w:rsidRPr="00524BEA" w:rsidRDefault="00212162" w:rsidP="000F35A5">
      <w:pPr>
        <w:pStyle w:val="ac"/>
        <w:rPr>
          <w:rtl/>
        </w:rPr>
      </w:pPr>
      <w:r w:rsidRPr="00524BEA">
        <w:rPr>
          <w:rFonts w:hint="cs"/>
          <w:rtl/>
        </w:rPr>
        <w:t xml:space="preserve">من هذه وغيرها، تظهر لنا حرمة التعسف </w:t>
      </w:r>
      <w:r>
        <w:rPr>
          <w:rFonts w:hint="cs"/>
          <w:rtl/>
        </w:rPr>
        <w:t xml:space="preserve">ـ </w:t>
      </w:r>
      <w:r w:rsidRPr="00524BEA">
        <w:rPr>
          <w:rFonts w:hint="cs"/>
          <w:rtl/>
        </w:rPr>
        <w:t xml:space="preserve">مجملاً </w:t>
      </w:r>
      <w:r>
        <w:rPr>
          <w:rFonts w:hint="cs"/>
          <w:rtl/>
        </w:rPr>
        <w:t xml:space="preserve">ـ </w:t>
      </w:r>
      <w:r w:rsidRPr="00524BEA">
        <w:rPr>
          <w:rFonts w:hint="cs"/>
          <w:rtl/>
        </w:rPr>
        <w:t>من حيث هو مفهوم كلّي.</w:t>
      </w:r>
    </w:p>
    <w:p w:rsidR="00212162" w:rsidRPr="00925049" w:rsidRDefault="00212162" w:rsidP="00925049">
      <w:pPr>
        <w:pStyle w:val="afffffc"/>
        <w:rPr>
          <w:sz w:val="22"/>
          <w:szCs w:val="20"/>
          <w:rtl/>
        </w:rPr>
      </w:pPr>
    </w:p>
    <w:p w:rsidR="00212162" w:rsidRDefault="00212162" w:rsidP="00925049">
      <w:pPr>
        <w:pStyle w:val="2"/>
        <w:rPr>
          <w:rtl/>
        </w:rPr>
      </w:pPr>
      <w:bookmarkStart w:id="315" w:name="_Toc275128035"/>
      <w:r>
        <w:rPr>
          <w:rFonts w:hint="cs"/>
          <w:rtl/>
        </w:rPr>
        <w:t>3 ـ جزاء التعسّف</w:t>
      </w:r>
      <w:bookmarkEnd w:id="315"/>
    </w:p>
    <w:p w:rsidR="00212162" w:rsidRPr="00524BEA" w:rsidRDefault="00212162" w:rsidP="000F35A5">
      <w:pPr>
        <w:pStyle w:val="ac"/>
        <w:rPr>
          <w:rtl/>
        </w:rPr>
      </w:pPr>
      <w:r w:rsidRPr="00524BEA">
        <w:rPr>
          <w:rFonts w:hint="cs"/>
          <w:rtl/>
        </w:rPr>
        <w:t xml:space="preserve">الأصل في جزاء التعسف هو الجزاء الأخروي؛ لارتباطه بالمقاصد والأغراض التي يصعب الوقوف عليها وإثباتها، فيقوم </w:t>
      </w:r>
      <w:r>
        <w:rPr>
          <w:rFonts w:hint="cs"/>
          <w:rtl/>
        </w:rPr>
        <w:t xml:space="preserve">الجزاء </w:t>
      </w:r>
      <w:r w:rsidRPr="00524BEA">
        <w:rPr>
          <w:rFonts w:hint="cs"/>
          <w:rtl/>
        </w:rPr>
        <w:t>الأخروي بدوره في الزجر والردع والمنع ديانةً، وقد يكون باباً ينفذ منه الاجتهاد إلى المنع القضائي إذا ما دعت المصلحة وأسعفتها القواعد العامة، وقد يصار ـ وفي ذلك خلافٌ سيأتي ـ إلى الحكم بالضمان عند العجز عن إزالة الضرر.</w:t>
      </w:r>
    </w:p>
    <w:p w:rsidR="00212162" w:rsidRPr="00925049" w:rsidRDefault="00212162" w:rsidP="00925049">
      <w:pPr>
        <w:pStyle w:val="afffffc"/>
        <w:rPr>
          <w:sz w:val="24"/>
          <w:szCs w:val="22"/>
          <w:rtl/>
        </w:rPr>
      </w:pPr>
    </w:p>
    <w:p w:rsidR="00212162" w:rsidRDefault="00212162" w:rsidP="00925049">
      <w:pPr>
        <w:pStyle w:val="2"/>
        <w:rPr>
          <w:rtl/>
        </w:rPr>
      </w:pPr>
      <w:bookmarkStart w:id="316" w:name="_Toc275128036"/>
      <w:r>
        <w:rPr>
          <w:rFonts w:hint="cs"/>
          <w:rtl/>
        </w:rPr>
        <w:t>4 ـ معايير التعسّف</w:t>
      </w:r>
      <w:bookmarkEnd w:id="316"/>
    </w:p>
    <w:p w:rsidR="00212162" w:rsidRPr="00524BEA" w:rsidRDefault="00212162" w:rsidP="000F35A5">
      <w:pPr>
        <w:pStyle w:val="ac"/>
        <w:rPr>
          <w:rtl/>
        </w:rPr>
      </w:pPr>
      <w:r w:rsidRPr="00524BEA">
        <w:rPr>
          <w:rFonts w:hint="cs"/>
          <w:rtl/>
        </w:rPr>
        <w:t>لأجل فقدان الضابط لمعرفة التعس</w:t>
      </w:r>
      <w:r>
        <w:rPr>
          <w:rFonts w:hint="cs"/>
          <w:rtl/>
        </w:rPr>
        <w:t>ّ</w:t>
      </w:r>
      <w:r w:rsidRPr="00524BEA">
        <w:rPr>
          <w:rFonts w:hint="cs"/>
          <w:rtl/>
        </w:rPr>
        <w:t>ف بوصفه معياراً يهتدي به القاضي، لابد من عرض معايير التعسف وهي:</w:t>
      </w:r>
    </w:p>
    <w:p w:rsidR="00212162" w:rsidRPr="00524BEA" w:rsidRDefault="00212162" w:rsidP="00925049">
      <w:pPr>
        <w:pStyle w:val="ac"/>
        <w:spacing w:line="202" w:lineRule="auto"/>
        <w:rPr>
          <w:rtl/>
        </w:rPr>
      </w:pPr>
      <w:r w:rsidRPr="00524BEA">
        <w:rPr>
          <w:rFonts w:hint="cs"/>
          <w:rtl/>
        </w:rPr>
        <w:t xml:space="preserve">1 ـ قصد الإضرار في استخدام المباحات والمندوبات والمكروهات، فمثلاً لو تزوّج </w:t>
      </w:r>
      <w:r w:rsidRPr="00524BEA">
        <w:rPr>
          <w:rFonts w:hint="cs"/>
          <w:rtl/>
        </w:rPr>
        <w:lastRenderedPageBreak/>
        <w:t xml:space="preserve">شخصٌ زوجةً إضراراً بزوجته الأولى، فهو متعسف، وكذا لو طلّق زوجته بقصد الإضرار بأهلها أو بها؛ فهذه الأمور جائزة بالعنوان الأولي، إلا أنها لما حصلت لغرض الإضرار صارت من التعسّف، وجزاء هذا النمط من التعسف أنّه بعد ثبوت إرادة الضرر في استخدام الحقّ إذا ثبت للقاضي، فله أن يعزّره؛ لما قاله فريقٌ من العلماء: </w:t>
      </w:r>
      <w:r w:rsidRPr="00524BEA">
        <w:rPr>
          <w:rtl/>
        </w:rPr>
        <w:t>«</w:t>
      </w:r>
      <w:r w:rsidRPr="00524BEA">
        <w:rPr>
          <w:rFonts w:hint="cs"/>
          <w:rtl/>
        </w:rPr>
        <w:t>أنه إذا انكشف للحاكم أنّ</w:t>
      </w:r>
      <w:r>
        <w:rPr>
          <w:rFonts w:hint="cs"/>
          <w:rtl/>
        </w:rPr>
        <w:t xml:space="preserve"> المدعي</w:t>
      </w:r>
      <w:r w:rsidRPr="00524BEA">
        <w:rPr>
          <w:rFonts w:hint="cs"/>
          <w:rtl/>
        </w:rPr>
        <w:t xml:space="preserve"> مبطل في دعواه، فإنه يؤدّبه؛ لينقطع أهل الباطل</w:t>
      </w:r>
      <w:r w:rsidRPr="00524BEA">
        <w:rPr>
          <w:rtl/>
        </w:rPr>
        <w:t>»</w:t>
      </w:r>
      <w:r w:rsidRPr="00815C4C">
        <w:rPr>
          <w:rFonts w:cs="Taher"/>
          <w:vertAlign w:val="superscript"/>
          <w:rtl/>
        </w:rPr>
        <w:t>(</w:t>
      </w:r>
      <w:r w:rsidRPr="00815C4C">
        <w:rPr>
          <w:rFonts w:cs="Taher"/>
          <w:vertAlign w:val="superscript"/>
          <w:rtl/>
        </w:rPr>
        <w:footnoteReference w:id="528"/>
      </w:r>
      <w:r w:rsidRPr="00815C4C">
        <w:rPr>
          <w:rFonts w:cs="Taher"/>
          <w:vertAlign w:val="superscript"/>
          <w:rtl/>
        </w:rPr>
        <w:t>)</w:t>
      </w:r>
      <w:r w:rsidRPr="00524BEA">
        <w:rPr>
          <w:rFonts w:hint="cs"/>
          <w:rtl/>
        </w:rPr>
        <w:t>، وهو ما يقابل في القانون إشغال السلطات القضائية بدعوى صورية أو ضررية، أو من جنس الدعوى الكيدية، ومن ذلك الإقرار بدَين صوري؛ للإضرار بالدائنين.</w:t>
      </w:r>
    </w:p>
    <w:p w:rsidR="00212162" w:rsidRPr="00524BEA" w:rsidRDefault="00212162" w:rsidP="00925049">
      <w:pPr>
        <w:pStyle w:val="ac"/>
        <w:spacing w:line="202" w:lineRule="auto"/>
        <w:rPr>
          <w:rtl/>
        </w:rPr>
      </w:pPr>
      <w:r w:rsidRPr="00524BEA">
        <w:rPr>
          <w:rFonts w:hint="cs"/>
          <w:rtl/>
        </w:rPr>
        <w:t>2 ـ أن يقصد غرضاً غير مشروع مغاير للأغراض الشرعية، كمن أعطى للقاضي هديةً يقصد بها الرشوة، أو البيع الذي يقصد به الربا، وزواج التحليل بقصد تحليل المطلقة ثلاثاً لزوجها الأول، وحكم هذا النمط كحكم سابقه.</w:t>
      </w:r>
    </w:p>
    <w:p w:rsidR="00212162" w:rsidRPr="00524BEA" w:rsidRDefault="00212162" w:rsidP="00925049">
      <w:pPr>
        <w:pStyle w:val="ac"/>
        <w:spacing w:line="199" w:lineRule="auto"/>
        <w:rPr>
          <w:rtl/>
        </w:rPr>
      </w:pPr>
      <w:r w:rsidRPr="00524BEA">
        <w:rPr>
          <w:rFonts w:hint="cs"/>
          <w:rtl/>
        </w:rPr>
        <w:t>3 ـ أن يقصد تحقيق مصلحة مشروعة، أو دفع ضرر عن نفسه، إلا أنّ ذلك ينتج عنه ضرر لاحق بالغير أعظم من المصلحة المجلوبة والضرر المدفوع، كالاحتكار، وحكمه إزالة الضرر والتعزير؛ فلو طلّق لرغبة زوجة</w:t>
      </w:r>
      <w:r>
        <w:rPr>
          <w:rFonts w:hint="cs"/>
          <w:rtl/>
        </w:rPr>
        <w:t>ٍ</w:t>
      </w:r>
      <w:r w:rsidRPr="00524BEA">
        <w:rPr>
          <w:rFonts w:hint="cs"/>
          <w:rtl/>
        </w:rPr>
        <w:t xml:space="preserve"> أخرى، فله مصلحة، ولكن ينتج عنه ضرر بالغير.</w:t>
      </w:r>
    </w:p>
    <w:p w:rsidR="00212162" w:rsidRPr="00524BEA" w:rsidRDefault="00212162" w:rsidP="00925049">
      <w:pPr>
        <w:pStyle w:val="ac"/>
        <w:spacing w:line="199" w:lineRule="auto"/>
        <w:rPr>
          <w:rtl/>
        </w:rPr>
      </w:pPr>
      <w:r w:rsidRPr="00524BEA">
        <w:rPr>
          <w:rFonts w:hint="cs"/>
          <w:rtl/>
        </w:rPr>
        <w:t>4 ـ أن يستعمل حقّه بما لم يتعارف عليه بين الناس، كمن سقى زرعه بشكلٍ غير معتاد فتلف زرع جاره، أو من يحمّل المأجور فوق طاقته، وحكم هذه الصورة من جهة الحكم التكليفي هو الحرمة، ومن جهة الحكم الوضعي وجوب الضمان.</w:t>
      </w:r>
    </w:p>
    <w:p w:rsidR="00212162" w:rsidRPr="00524BEA" w:rsidRDefault="00212162" w:rsidP="00925049">
      <w:pPr>
        <w:pStyle w:val="ac"/>
        <w:spacing w:line="199" w:lineRule="auto"/>
        <w:rPr>
          <w:rtl/>
        </w:rPr>
      </w:pPr>
      <w:r w:rsidRPr="00524BEA">
        <w:rPr>
          <w:rFonts w:hint="cs"/>
          <w:rtl/>
        </w:rPr>
        <w:t>5 ـ أن يستعمل حقّه، وهو ذو طبيعة يتطلّب لاستعماله له احتراسٌ معي</w:t>
      </w:r>
      <w:r>
        <w:rPr>
          <w:rFonts w:hint="cs"/>
          <w:rtl/>
        </w:rPr>
        <w:t>ّ</w:t>
      </w:r>
      <w:r w:rsidRPr="00524BEA">
        <w:rPr>
          <w:rFonts w:hint="cs"/>
          <w:rtl/>
        </w:rPr>
        <w:t>ن، ولا يحترس المتعسّف في استعماله لهذا الحقّ؛ فيفضي إلى الإضرار؛ كمن أراد أن يصيد طيراً فطاش سهمه وأصاب إنساناً، أو من استعمل في الدفاع الشرعي سلاحاً لا تدعو إليه الضرورة</w:t>
      </w:r>
      <w:r w:rsidRPr="00815C4C">
        <w:rPr>
          <w:rFonts w:cs="Taher"/>
          <w:vertAlign w:val="superscript"/>
          <w:rtl/>
        </w:rPr>
        <w:t>(</w:t>
      </w:r>
      <w:r w:rsidRPr="00815C4C">
        <w:rPr>
          <w:rFonts w:cs="Taher"/>
          <w:vertAlign w:val="superscript"/>
          <w:rtl/>
        </w:rPr>
        <w:footnoteReference w:id="529"/>
      </w:r>
      <w:r w:rsidRPr="00815C4C">
        <w:rPr>
          <w:rFonts w:cs="Taher"/>
          <w:vertAlign w:val="superscript"/>
          <w:rtl/>
        </w:rPr>
        <w:t>)</w:t>
      </w:r>
      <w:r w:rsidRPr="00524BEA">
        <w:rPr>
          <w:rFonts w:hint="cs"/>
          <w:rtl/>
        </w:rPr>
        <w:t>، وفي هذه الحالة يترتب على عدم احتراسه أضرارٌ؛ فيقع عليه الضمان قطعاً والتعزير على رأي.</w:t>
      </w:r>
    </w:p>
    <w:p w:rsidR="00212162" w:rsidRPr="00524BEA" w:rsidRDefault="00212162" w:rsidP="00925049">
      <w:pPr>
        <w:pStyle w:val="ac"/>
        <w:spacing w:line="209" w:lineRule="auto"/>
        <w:rPr>
          <w:rtl/>
        </w:rPr>
      </w:pPr>
      <w:r w:rsidRPr="00524BEA">
        <w:rPr>
          <w:rFonts w:hint="cs"/>
          <w:rtl/>
        </w:rPr>
        <w:lastRenderedPageBreak/>
        <w:t>وترجع الأربعة الأولى من هذه المعايير الخمسة، إلى قاعدة سدّ الذرائع؛ لأنّ مآلات الأفعال معتبرة في الشريعة للحكم على الأفعال ـ جوازاً أو حرمةً ـ فبيع السلاح لوحده جائز، ولكن إذا بيع لأهل الفتنة انقلب حراماً، والكذب لوحده حرامٌ، لكن لو استخدم لإصلاح ذات البين صار جائزاً، والطلاق لوحده مباحٌ أو مكروه، لكنه إذا كان تحت قصد الإضرار تحوّل إلى الحرمة؛ لحرمة القصد المذكور</w:t>
      </w:r>
      <w:r>
        <w:rPr>
          <w:rFonts w:hint="cs"/>
          <w:rtl/>
        </w:rPr>
        <w:t>،</w:t>
      </w:r>
      <w:r w:rsidRPr="00524BEA">
        <w:rPr>
          <w:rFonts w:hint="cs"/>
          <w:rtl/>
        </w:rPr>
        <w:t xml:space="preserve"> لاسيما إذا قصد به غرضاً غير مشروعٍ، كما لو طلّق امرأةً ليس لها من يضم</w:t>
      </w:r>
      <w:r>
        <w:rPr>
          <w:rFonts w:hint="cs"/>
          <w:rtl/>
        </w:rPr>
        <w:t>ن</w:t>
      </w:r>
      <w:r w:rsidRPr="00524BEA">
        <w:rPr>
          <w:rFonts w:hint="cs"/>
          <w:rtl/>
        </w:rPr>
        <w:t xml:space="preserve">ها، فهنا يلعب العنوان الثانوي دوراً هاماً في حرمتها، كما لو قصد بطلاقه مصلحةً مشروعة كإرضاء الأبوين، أو إرضاء زوجةٍ أخرى، لكن كان ضرر الطلاق على المطلّقة أكبر، ولو طلّق امرأةً يضرّ طلاقها بوضعها الاجتماعي؛ لغرض التأثير على وضعها الاجتماعي هذا، أو لو طلّقها في ظروفٍ يشتبه الناس أنه طلّقها لمسٍّ في عفتها، فهذا كلّه </w:t>
      </w:r>
      <w:r>
        <w:rPr>
          <w:rFonts w:hint="cs"/>
          <w:rtl/>
        </w:rPr>
        <w:t xml:space="preserve">ـ </w:t>
      </w:r>
      <w:r w:rsidRPr="00524BEA">
        <w:rPr>
          <w:rFonts w:hint="cs"/>
          <w:rtl/>
        </w:rPr>
        <w:t xml:space="preserve">مع القصد </w:t>
      </w:r>
      <w:r>
        <w:rPr>
          <w:rFonts w:hint="cs"/>
          <w:rtl/>
        </w:rPr>
        <w:t xml:space="preserve">ـ </w:t>
      </w:r>
      <w:r w:rsidRPr="00524BEA">
        <w:rPr>
          <w:rFonts w:hint="cs"/>
          <w:rtl/>
        </w:rPr>
        <w:t>لا يخلو من شبهة التحريم.</w:t>
      </w:r>
    </w:p>
    <w:p w:rsidR="00212162" w:rsidRPr="00524BEA" w:rsidRDefault="00212162" w:rsidP="00925049">
      <w:pPr>
        <w:pStyle w:val="ac"/>
        <w:spacing w:line="209" w:lineRule="auto"/>
        <w:rPr>
          <w:rtl/>
        </w:rPr>
      </w:pPr>
      <w:r w:rsidRPr="00524BEA">
        <w:rPr>
          <w:rFonts w:hint="cs"/>
          <w:rtl/>
        </w:rPr>
        <w:t>وترتكز فكرة تحريم التعسّف على الخطأ التقصيري أو المسؤولية التقصيرية، مما كان يطلق عليه الفقهاء عنوان التعدّي والتفريط، والتعدّي إما مباشرةً أو بالتسبّب، لكنّه في مجال الفقهاء الذين يجوّزون ضمان الضرر يبنونه على قاعدة ضمان العقد</w:t>
      </w:r>
      <w:r w:rsidRPr="00815C4C">
        <w:rPr>
          <w:rFonts w:cs="Taher"/>
          <w:vertAlign w:val="superscript"/>
          <w:rtl/>
        </w:rPr>
        <w:t>(</w:t>
      </w:r>
      <w:r w:rsidRPr="00815C4C">
        <w:rPr>
          <w:rFonts w:cs="Taher"/>
          <w:vertAlign w:val="superscript"/>
          <w:rtl/>
        </w:rPr>
        <w:footnoteReference w:id="530"/>
      </w:r>
      <w:r w:rsidRPr="00815C4C">
        <w:rPr>
          <w:rFonts w:cs="Taher"/>
          <w:vertAlign w:val="superscript"/>
          <w:rtl/>
        </w:rPr>
        <w:t>)</w:t>
      </w:r>
      <w:r w:rsidRPr="00524BEA">
        <w:rPr>
          <w:rFonts w:hint="cs"/>
          <w:rtl/>
        </w:rPr>
        <w:t>.</w:t>
      </w:r>
    </w:p>
    <w:p w:rsidR="00212162" w:rsidRPr="00524BEA" w:rsidRDefault="00212162" w:rsidP="00925049">
      <w:pPr>
        <w:pStyle w:val="ac"/>
        <w:rPr>
          <w:rtl/>
        </w:rPr>
      </w:pPr>
      <w:r w:rsidRPr="00524BEA">
        <w:rPr>
          <w:rFonts w:hint="cs"/>
          <w:rtl/>
        </w:rPr>
        <w:t xml:space="preserve"> والذي يترجّح عندي أن المعيار الأول مبني على حرمة قصد الضرر، ويكشف التعسّف من خلال ملاحظة الأضرار غير الاعتيادية الناتجة عن طلاقٍ تعسفي، أما المعيار الثاني، فلمخالفة النظام العام، وأما الثالث فلعدم الموازنة بين مصلحة الزوج والمضرّة الحاصلة للمطلقة، وأمّا الرابع فمبني على مخالفة عرف العقلاء، فيما يبنى الخامس على عدم الاحتراس فيما يجب مراعاته، وكل المعايير مبنية على أساس فلسفي، وهو أنّ حقّ الفرد (الحق الشخصي) في الشريعة لا يمكن أن يكون حقاً خاصّاً محضاً، إنما للمجتمع حصّة في حقوقه يلزمه مراعاتها.</w:t>
      </w:r>
    </w:p>
    <w:p w:rsidR="00212162" w:rsidRPr="00524BEA" w:rsidRDefault="00212162" w:rsidP="000F35A5">
      <w:pPr>
        <w:pStyle w:val="ac"/>
        <w:rPr>
          <w:rtl/>
        </w:rPr>
      </w:pPr>
      <w:r w:rsidRPr="00524BEA">
        <w:rPr>
          <w:rFonts w:hint="cs"/>
          <w:rtl/>
        </w:rPr>
        <w:t>ويتضح هنا أن نظرية التعسف متفر</w:t>
      </w:r>
      <w:r>
        <w:rPr>
          <w:rFonts w:hint="cs"/>
          <w:rtl/>
        </w:rPr>
        <w:t>ّ</w:t>
      </w:r>
      <w:r w:rsidRPr="00524BEA">
        <w:rPr>
          <w:rFonts w:hint="cs"/>
          <w:rtl/>
        </w:rPr>
        <w:t xml:space="preserve">عة على نظرية الحق في الشريعة، الواسعة النطاق </w:t>
      </w:r>
      <w:r w:rsidRPr="00524BEA">
        <w:rPr>
          <w:rFonts w:hint="cs"/>
          <w:rtl/>
        </w:rPr>
        <w:lastRenderedPageBreak/>
        <w:t>والمضبوطة في فروعها، والفقه الإسلامي ـ فيما نرى ـ أكثر ضبطاً لها من القانون السويسري الذي يبني التعس</w:t>
      </w:r>
      <w:r>
        <w:rPr>
          <w:rFonts w:hint="cs"/>
          <w:rtl/>
        </w:rPr>
        <w:t>ّ</w:t>
      </w:r>
      <w:r w:rsidRPr="00524BEA">
        <w:rPr>
          <w:rFonts w:hint="cs"/>
          <w:rtl/>
        </w:rPr>
        <w:t>ف فقط على سوء النية، والقانون الروسي الذي يبنيه على مخالفة النظام العام فقط</w:t>
      </w:r>
      <w:r w:rsidRPr="00815C4C">
        <w:rPr>
          <w:rFonts w:cs="Taher"/>
          <w:vertAlign w:val="superscript"/>
          <w:rtl/>
        </w:rPr>
        <w:t>(</w:t>
      </w:r>
      <w:r w:rsidRPr="00815C4C">
        <w:rPr>
          <w:rFonts w:cs="Taher"/>
          <w:vertAlign w:val="superscript"/>
          <w:rtl/>
        </w:rPr>
        <w:footnoteReference w:id="531"/>
      </w:r>
      <w:r w:rsidRPr="00815C4C">
        <w:rPr>
          <w:rFonts w:cs="Taher"/>
          <w:vertAlign w:val="superscript"/>
          <w:rtl/>
        </w:rPr>
        <w:t>)</w:t>
      </w:r>
      <w:r w:rsidRPr="00524BEA">
        <w:rPr>
          <w:rFonts w:hint="cs"/>
          <w:rtl/>
        </w:rPr>
        <w:t>.</w:t>
      </w:r>
    </w:p>
    <w:p w:rsidR="00212162" w:rsidRPr="00925049" w:rsidRDefault="00212162" w:rsidP="00925049">
      <w:pPr>
        <w:pStyle w:val="afffffc"/>
        <w:rPr>
          <w:sz w:val="18"/>
          <w:szCs w:val="16"/>
          <w:rtl/>
        </w:rPr>
      </w:pPr>
    </w:p>
    <w:p w:rsidR="00212162" w:rsidRDefault="00212162" w:rsidP="00925049">
      <w:pPr>
        <w:pStyle w:val="2"/>
        <w:rPr>
          <w:rtl/>
        </w:rPr>
      </w:pPr>
      <w:bookmarkStart w:id="317" w:name="_Toc275128037"/>
      <w:r>
        <w:rPr>
          <w:rFonts w:hint="cs"/>
          <w:rtl/>
        </w:rPr>
        <w:t>5 ـ الآثار المترتبة على التعسف</w:t>
      </w:r>
      <w:bookmarkEnd w:id="317"/>
    </w:p>
    <w:p w:rsidR="00212162" w:rsidRPr="00524BEA" w:rsidRDefault="00212162" w:rsidP="00925049">
      <w:pPr>
        <w:pStyle w:val="ac"/>
        <w:spacing w:line="202" w:lineRule="auto"/>
        <w:rPr>
          <w:rtl/>
        </w:rPr>
      </w:pPr>
      <w:r w:rsidRPr="00524BEA">
        <w:rPr>
          <w:rFonts w:hint="cs"/>
          <w:rtl/>
        </w:rPr>
        <w:t xml:space="preserve">لكلّ فعل حكم تكليفي، هو واحدٌ من الأحكام الخمسة، وربما له حكم وضعي كأن يكون سبباً أو شرطاً أو مانعاً، وقد يكون الحكم التكليفي </w:t>
      </w:r>
      <w:r>
        <w:rPr>
          <w:rFonts w:hint="cs"/>
          <w:rtl/>
        </w:rPr>
        <w:t xml:space="preserve">ـ </w:t>
      </w:r>
      <w:r w:rsidRPr="00524BEA">
        <w:rPr>
          <w:rFonts w:hint="cs"/>
          <w:rtl/>
        </w:rPr>
        <w:t xml:space="preserve">كالحرمة مثلاً </w:t>
      </w:r>
      <w:r>
        <w:rPr>
          <w:rFonts w:hint="cs"/>
          <w:rtl/>
        </w:rPr>
        <w:t xml:space="preserve">ـ </w:t>
      </w:r>
      <w:r w:rsidRPr="00524BEA">
        <w:rPr>
          <w:rFonts w:hint="cs"/>
          <w:rtl/>
        </w:rPr>
        <w:t>ممّا له جزاء، ويتعدّد الجزاء بين الديني الأخروي والدنيوي القضائي، والتعسّف نطاقه النوايا والإرادة الباطنة التي لا يستطيع القضاء إثباتها بطرقه المعروفة ومعاييره الصحيحة؛ لأن أكثر أسباب الرخصة فيه خفيّة لا يذكرها المسلم، فربما لو سأل القاضي عن السبب لأدى إعلانه إلى ضرر بالغ بالزوجة، والأسباب النفسية لو اد</w:t>
      </w:r>
      <w:r>
        <w:rPr>
          <w:rFonts w:hint="cs"/>
          <w:rtl/>
        </w:rPr>
        <w:t>ّ</w:t>
      </w:r>
      <w:r w:rsidRPr="00524BEA">
        <w:rPr>
          <w:rFonts w:hint="cs"/>
          <w:rtl/>
        </w:rPr>
        <w:t>عاها فلا إثبات عليها غير إقراره؛ لأن منعقد الزواج أسباب عاطفية، لكن لو توضّحت الأسباب أو الأضرار أو الغرض المناقض لمعتاد الشرع أو لو ثبت للقاضي أن المطلّق يحقّق فيه مصلحة لا يوازيها الضرر الواقع على المطلقة، أو أنه استعمل حقّه خارج المتعارف أو كونه لم يحترس فيما يلزمه الاحتراس فيه، فهل يمنعه القاضي من إيقاع الطلاق؟</w:t>
      </w:r>
    </w:p>
    <w:p w:rsidR="00212162" w:rsidRPr="00524BEA" w:rsidRDefault="00212162" w:rsidP="00925049">
      <w:pPr>
        <w:pStyle w:val="ac"/>
        <w:spacing w:line="199" w:lineRule="auto"/>
        <w:rPr>
          <w:rtl/>
        </w:rPr>
      </w:pPr>
      <w:r w:rsidRPr="00524BEA">
        <w:rPr>
          <w:rFonts w:hint="cs"/>
          <w:rtl/>
        </w:rPr>
        <w:t>الحق</w:t>
      </w:r>
      <w:r>
        <w:rPr>
          <w:rFonts w:hint="cs"/>
          <w:rtl/>
        </w:rPr>
        <w:t>ّ</w:t>
      </w:r>
      <w:r w:rsidRPr="00524BEA">
        <w:rPr>
          <w:rFonts w:hint="cs"/>
          <w:rtl/>
        </w:rPr>
        <w:t xml:space="preserve"> أن منع الزوج من الطلاق لم يقل به واحدٌ من الفقهاء، فلا يعالج هذا النمط من التعسّف بردّ الدعوى، ولا يمكن أن يُقاس الطلاق التعسفي على وصية الضرار لحرمان الورثة أو الدائنين أو الإقرار بدين صوري، إن واحداً من آثار التعسف هو إبطال الدعوى وتحجيز استيفاء الحقّ متى ثبت التعسف، لكن هذا الأثر لا يمكن اعتماده في حالة الطلاق حتى مع ثبوت التعسّف من قبل الزوج.</w:t>
      </w:r>
    </w:p>
    <w:p w:rsidR="00212162" w:rsidRPr="00524BEA" w:rsidRDefault="00212162" w:rsidP="00925049">
      <w:pPr>
        <w:pStyle w:val="ac"/>
        <w:spacing w:line="202" w:lineRule="auto"/>
        <w:rPr>
          <w:rtl/>
        </w:rPr>
      </w:pPr>
      <w:r w:rsidRPr="00524BEA">
        <w:rPr>
          <w:rFonts w:hint="cs"/>
          <w:rtl/>
        </w:rPr>
        <w:t xml:space="preserve">وثاني الآثار هو رفع الضرر الناتج عن التعسف، كمن بنى في ملكه ما يسدّ على جاره الضوء أو الهواء، فالقضاء يأمره بإزالة سبب الضرر، ولو حكم القاضي بإزالة الضرر لأمره بإعادتها، وهو بحكم ما لو منعه من إيقاع الطلاق، وحيث إن هذا مخالفٌ </w:t>
      </w:r>
      <w:r w:rsidRPr="00524BEA">
        <w:rPr>
          <w:rFonts w:hint="cs"/>
          <w:rtl/>
        </w:rPr>
        <w:lastRenderedPageBreak/>
        <w:t>للنص والإجماع، فلا يعالَج به فعل التعسف في طلاق الزوج، فلم يبق إلا التعزير، وهو إمّا مادي أو معنوي، والتعزير المعنوي هو تقييد حرية الزوج في تعاقدٍ جديد، أو غير ذلك، والمادي هو الحكم عليه بتعويض مالي مناسب.</w:t>
      </w:r>
    </w:p>
    <w:p w:rsidR="00212162" w:rsidRPr="00925049" w:rsidRDefault="00212162" w:rsidP="00925049">
      <w:pPr>
        <w:pStyle w:val="afffffc"/>
        <w:rPr>
          <w:sz w:val="18"/>
          <w:szCs w:val="16"/>
          <w:rtl/>
        </w:rPr>
      </w:pPr>
    </w:p>
    <w:p w:rsidR="00212162" w:rsidRDefault="00212162" w:rsidP="000F35A5">
      <w:pPr>
        <w:pStyle w:val="1"/>
        <w:rPr>
          <w:rtl/>
        </w:rPr>
      </w:pPr>
      <w:bookmarkStart w:id="318" w:name="_Toc275128038"/>
      <w:r>
        <w:rPr>
          <w:rFonts w:hint="cs"/>
          <w:rtl/>
        </w:rPr>
        <w:t>ثبوت التعويض المالي على الزوج المطلّق تعسّفاً</w:t>
      </w:r>
      <w:bookmarkEnd w:id="318"/>
    </w:p>
    <w:p w:rsidR="00212162" w:rsidRPr="00524BEA" w:rsidRDefault="00212162" w:rsidP="000F35A5">
      <w:pPr>
        <w:pStyle w:val="ac"/>
        <w:rPr>
          <w:rtl/>
        </w:rPr>
      </w:pPr>
      <w:r w:rsidRPr="00524BEA">
        <w:rPr>
          <w:rFonts w:hint="cs"/>
          <w:rtl/>
        </w:rPr>
        <w:t>تقدم أن الفقرة (3) من المادة (39) من قانون الأحوال الشخصية العراقي، قد أخذت بجواز الحكم عليه بتعويضٍ مالي وفقاً للشروط التي أثبتتها المادة أعلاه، وتأصيل ذلك في الفقه والقانون جارٍ على مجموعة أصول أدّى اختلاف الفقهاء في تحديد دلالتها إلى انقسامهم إلى فريقين:</w:t>
      </w:r>
    </w:p>
    <w:p w:rsidR="00212162" w:rsidRPr="00524BEA" w:rsidRDefault="00212162" w:rsidP="000F35A5">
      <w:pPr>
        <w:pStyle w:val="ac"/>
        <w:rPr>
          <w:rtl/>
        </w:rPr>
      </w:pPr>
      <w:r w:rsidRPr="00524BEA">
        <w:rPr>
          <w:rFonts w:hint="cs"/>
          <w:b/>
          <w:bCs/>
          <w:rtl/>
        </w:rPr>
        <w:t>الفريق الأول:</w:t>
      </w:r>
      <w:r w:rsidRPr="00524BEA">
        <w:rPr>
          <w:rFonts w:hint="cs"/>
          <w:rtl/>
        </w:rPr>
        <w:t xml:space="preserve"> لم ير صحّة أو جواز تعزيره بتعويضٍ مالي للزوجة، واستدل على ذلك بأدلّة متعدّدة.</w:t>
      </w:r>
    </w:p>
    <w:p w:rsidR="00212162" w:rsidRPr="00524BEA" w:rsidRDefault="00212162" w:rsidP="000F35A5">
      <w:pPr>
        <w:pStyle w:val="ac"/>
        <w:rPr>
          <w:rtl/>
        </w:rPr>
      </w:pPr>
      <w:r w:rsidRPr="00524BEA">
        <w:rPr>
          <w:rFonts w:hint="cs"/>
          <w:b/>
          <w:bCs/>
          <w:rtl/>
        </w:rPr>
        <w:t>الفريق الثاني:</w:t>
      </w:r>
      <w:r w:rsidRPr="00524BEA">
        <w:rPr>
          <w:rFonts w:hint="cs"/>
          <w:rtl/>
        </w:rPr>
        <w:t xml:space="preserve"> وقد أيّد صحة الحكم عليه بتعويض مالي للزوجة متى ثبت أنه متعسّف، وقد بُني الخلاف ـ أساساً ـ على مجموعة أدلّة:</w:t>
      </w:r>
    </w:p>
    <w:p w:rsidR="00212162" w:rsidRPr="00925049" w:rsidRDefault="00212162" w:rsidP="00925049">
      <w:pPr>
        <w:pStyle w:val="afffffc"/>
        <w:rPr>
          <w:sz w:val="18"/>
          <w:szCs w:val="16"/>
          <w:rtl/>
        </w:rPr>
      </w:pPr>
    </w:p>
    <w:p w:rsidR="00212162" w:rsidRDefault="00212162" w:rsidP="00925049">
      <w:pPr>
        <w:pStyle w:val="2"/>
        <w:rPr>
          <w:rtl/>
        </w:rPr>
      </w:pPr>
      <w:bookmarkStart w:id="319" w:name="_Toc275128039"/>
      <w:r>
        <w:rPr>
          <w:rFonts w:hint="cs"/>
          <w:rtl/>
        </w:rPr>
        <w:t>1 ـ نظرية تجويز التعويض المالي، الأدلّة والبراهين</w:t>
      </w:r>
      <w:bookmarkEnd w:id="319"/>
    </w:p>
    <w:p w:rsidR="00212162" w:rsidRPr="00524BEA" w:rsidRDefault="00212162" w:rsidP="000F35A5">
      <w:pPr>
        <w:pStyle w:val="ac"/>
        <w:rPr>
          <w:rtl/>
        </w:rPr>
      </w:pPr>
      <w:r w:rsidRPr="00524BEA">
        <w:rPr>
          <w:rFonts w:hint="cs"/>
          <w:rtl/>
        </w:rPr>
        <w:t>استدل مجيزو تعزير المطلّق تعسفاً بعدّة أدلة، نوردها ومناقشتها فيما يأتي:</w:t>
      </w:r>
    </w:p>
    <w:p w:rsidR="00212162" w:rsidRPr="00524BEA" w:rsidRDefault="00212162" w:rsidP="000F35A5">
      <w:pPr>
        <w:pStyle w:val="ac"/>
        <w:rPr>
          <w:rtl/>
        </w:rPr>
      </w:pPr>
      <w:r w:rsidRPr="00524BEA">
        <w:rPr>
          <w:rFonts w:hint="cs"/>
          <w:rtl/>
        </w:rPr>
        <w:t>1 ـ حكم الطلاق: لقد قام الإجماع على أنه مكروه في حالة استقامة الزوجين، وقال أحمد وأبو حنيفة: إنه مع استقامة حال الزوجين حرام</w:t>
      </w:r>
      <w:r w:rsidRPr="00815C4C">
        <w:rPr>
          <w:rFonts w:cs="Taher"/>
          <w:vertAlign w:val="superscript"/>
          <w:rtl/>
        </w:rPr>
        <w:t>(</w:t>
      </w:r>
      <w:r w:rsidRPr="00815C4C">
        <w:rPr>
          <w:rFonts w:cs="Taher"/>
          <w:vertAlign w:val="superscript"/>
          <w:rtl/>
        </w:rPr>
        <w:footnoteReference w:id="532"/>
      </w:r>
      <w:r w:rsidRPr="00815C4C">
        <w:rPr>
          <w:rFonts w:cs="Taher"/>
          <w:vertAlign w:val="superscript"/>
          <w:rtl/>
        </w:rPr>
        <w:t>)</w:t>
      </w:r>
      <w:r w:rsidRPr="00524BEA">
        <w:rPr>
          <w:rFonts w:hint="cs"/>
          <w:rtl/>
        </w:rPr>
        <w:t>، فمتى قيل: إنه مكروه حتى تقوم له حاجة واضحة ومحدّدة فإيقاعه بدونها هو عمل مكروه شرعاً، فإذا أدّى إلى ضرر لزم تعويض المتضرّر، مع تعذر إزالة الضرر.</w:t>
      </w:r>
    </w:p>
    <w:p w:rsidR="00212162" w:rsidRPr="00524BEA" w:rsidRDefault="00212162" w:rsidP="000F35A5">
      <w:pPr>
        <w:pStyle w:val="ac"/>
        <w:rPr>
          <w:rtl/>
        </w:rPr>
      </w:pPr>
      <w:r w:rsidRPr="00524BEA">
        <w:rPr>
          <w:rFonts w:hint="cs"/>
          <w:rtl/>
        </w:rPr>
        <w:t>ويردّ المانعون بأ</w:t>
      </w:r>
      <w:r>
        <w:rPr>
          <w:rFonts w:hint="cs"/>
          <w:rtl/>
        </w:rPr>
        <w:t>ن</w:t>
      </w:r>
      <w:r w:rsidRPr="00524BEA">
        <w:rPr>
          <w:rFonts w:hint="cs"/>
          <w:rtl/>
        </w:rPr>
        <w:t xml:space="preserve"> الطلاق مباح في حال الحاجة إليه، ومكروهٌ مع عدم الحاجة، والمباح والمكروه يقعان في دائرة الجائز في الشريعة، وحيث هو جائز فلا ضمان للضرر الناتج عن فعلٍ له حكم الجائز؛ لقاعدة أن الجواز الشرعي ينافي الضمان.</w:t>
      </w:r>
    </w:p>
    <w:p w:rsidR="00212162" w:rsidRPr="00524BEA" w:rsidRDefault="00212162" w:rsidP="00925049">
      <w:pPr>
        <w:pStyle w:val="ac"/>
        <w:spacing w:line="199" w:lineRule="auto"/>
        <w:rPr>
          <w:rtl/>
        </w:rPr>
      </w:pPr>
      <w:r w:rsidRPr="00524BEA">
        <w:rPr>
          <w:rFonts w:hint="cs"/>
          <w:rtl/>
        </w:rPr>
        <w:lastRenderedPageBreak/>
        <w:t xml:space="preserve">2 ـ استدلّ المجيزون لحكم التعويض المالي بقوله تعالى: </w:t>
      </w:r>
      <w:r w:rsidRPr="00524BEA">
        <w:rPr>
          <w:rFonts w:hint="cs"/>
          <w:sz w:val="26"/>
          <w:rtl/>
        </w:rPr>
        <w:sym w:font="Islamic Units 1" w:char="F03E"/>
      </w:r>
      <w:r w:rsidRPr="000F35A5">
        <w:rPr>
          <w:b/>
          <w:bCs/>
          <w:rtl/>
        </w:rPr>
        <w:t>فَإِنْ أَطَعْنَكُمْ فَلاَ تَبْغُواْ عَلَيْهِنَّ سَبِيلاً</w:t>
      </w:r>
      <w:r w:rsidRPr="000F35A5">
        <w:rPr>
          <w:b/>
          <w:bCs/>
          <w:rtl/>
        </w:rPr>
        <w:sym w:font="Islamic Units 1" w:char="F03C"/>
      </w:r>
      <w:r w:rsidRPr="000F35A5">
        <w:rPr>
          <w:rFonts w:hint="cs"/>
          <w:b/>
          <w:bCs/>
          <w:rtl/>
        </w:rPr>
        <w:t xml:space="preserve"> </w:t>
      </w:r>
      <w:r w:rsidRPr="00524BEA">
        <w:rPr>
          <w:rFonts w:hint="cs"/>
          <w:sz w:val="26"/>
          <w:rtl/>
        </w:rPr>
        <w:t>(النساء: 34)، ف</w:t>
      </w:r>
      <w:r w:rsidRPr="00524BEA">
        <w:rPr>
          <w:rFonts w:hint="cs"/>
          <w:rtl/>
        </w:rPr>
        <w:t>الآية واضحة في أنّ الطلاق بغيٌ مع طاعة الزوجة، والبغي موجبٌ للتعزير.</w:t>
      </w:r>
    </w:p>
    <w:p w:rsidR="00212162" w:rsidRPr="00524BEA" w:rsidRDefault="00212162" w:rsidP="00925049">
      <w:pPr>
        <w:pStyle w:val="ac"/>
        <w:spacing w:line="199" w:lineRule="auto"/>
        <w:rPr>
          <w:rtl/>
        </w:rPr>
      </w:pPr>
      <w:r w:rsidRPr="00524BEA">
        <w:rPr>
          <w:rFonts w:hint="cs"/>
          <w:rtl/>
        </w:rPr>
        <w:t>ويجاب بأنّه نهيٌ شرعي مقتضاه الحرمة، ولا يرتبط بالضمان.</w:t>
      </w:r>
    </w:p>
    <w:p w:rsidR="00212162" w:rsidRPr="00524BEA" w:rsidRDefault="00212162" w:rsidP="00925049">
      <w:pPr>
        <w:pStyle w:val="ac"/>
        <w:spacing w:line="199" w:lineRule="auto"/>
        <w:rPr>
          <w:rtl/>
        </w:rPr>
      </w:pPr>
      <w:r w:rsidRPr="00524BEA">
        <w:rPr>
          <w:rFonts w:hint="cs"/>
          <w:rtl/>
        </w:rPr>
        <w:t>3ـ قوله</w:t>
      </w:r>
      <w:r w:rsidR="00C86626">
        <w:rPr>
          <w:rFonts w:hint="cs"/>
          <w:sz w:val="26"/>
          <w:rtl/>
        </w:rPr>
        <w:t>’</w:t>
      </w:r>
      <w:r w:rsidRPr="00524BEA">
        <w:rPr>
          <w:rFonts w:hint="cs"/>
          <w:rtl/>
        </w:rPr>
        <w:t xml:space="preserve">: </w:t>
      </w:r>
      <w:r w:rsidRPr="00524BEA">
        <w:rPr>
          <w:rtl/>
        </w:rPr>
        <w:t>«</w:t>
      </w:r>
      <w:r w:rsidRPr="00524BEA">
        <w:rPr>
          <w:rFonts w:hint="cs"/>
          <w:rtl/>
        </w:rPr>
        <w:t>لا تطلّقوا النساء إلا من ريبة، فإنّ الله لا يحبّ الذواقين ولا الذواقات</w:t>
      </w:r>
      <w:r w:rsidRPr="00524BEA">
        <w:rPr>
          <w:rtl/>
        </w:rPr>
        <w:t>»</w:t>
      </w:r>
      <w:r w:rsidRPr="00815C4C">
        <w:rPr>
          <w:rFonts w:cs="Taher"/>
          <w:vertAlign w:val="superscript"/>
          <w:rtl/>
        </w:rPr>
        <w:t>(</w:t>
      </w:r>
      <w:r w:rsidRPr="00815C4C">
        <w:rPr>
          <w:rFonts w:cs="Taher"/>
          <w:vertAlign w:val="superscript"/>
          <w:rtl/>
        </w:rPr>
        <w:footnoteReference w:id="533"/>
      </w:r>
      <w:r w:rsidRPr="00815C4C">
        <w:rPr>
          <w:rFonts w:cs="Taher"/>
          <w:vertAlign w:val="superscript"/>
          <w:rtl/>
        </w:rPr>
        <w:t>)</w:t>
      </w:r>
      <w:r w:rsidRPr="00524BEA">
        <w:rPr>
          <w:rFonts w:hint="cs"/>
          <w:rtl/>
        </w:rPr>
        <w:t>.</w:t>
      </w:r>
    </w:p>
    <w:p w:rsidR="00212162" w:rsidRPr="00524BEA" w:rsidRDefault="00212162" w:rsidP="00925049">
      <w:pPr>
        <w:pStyle w:val="ac"/>
        <w:spacing w:line="199" w:lineRule="auto"/>
        <w:rPr>
          <w:rtl/>
        </w:rPr>
      </w:pPr>
      <w:r w:rsidRPr="00524BEA">
        <w:rPr>
          <w:rFonts w:hint="cs"/>
          <w:rtl/>
        </w:rPr>
        <w:t>ويردّ بأن الحديث ضعيفٌ؛ فلا يصلح مستنداً.</w:t>
      </w:r>
    </w:p>
    <w:p w:rsidR="00212162" w:rsidRPr="00524BEA" w:rsidRDefault="00212162" w:rsidP="00925049">
      <w:pPr>
        <w:pStyle w:val="ac"/>
        <w:rPr>
          <w:rtl/>
        </w:rPr>
      </w:pPr>
      <w:r w:rsidRPr="00524BEA">
        <w:rPr>
          <w:rFonts w:hint="cs"/>
          <w:rtl/>
        </w:rPr>
        <w:t>4ـ ولأن الطلاق لغير ما سببٍ سفهٌ وظلم، وكفرانٌ بنعمة الله، وقطع لما أمر الله به أن يوصل، وجنايةٌ على الزوجة والأولاد والمجتمع، فحيث هو قطع لهذه النعمة، وقطع النعمة لا يجوز إلا إذا زالت صفتها، فيكون حراماً كإتلاف المال فلابد من ضبط إيقاعه.</w:t>
      </w:r>
    </w:p>
    <w:p w:rsidR="00212162" w:rsidRPr="00524BEA" w:rsidRDefault="00212162" w:rsidP="00925049">
      <w:pPr>
        <w:pStyle w:val="ac"/>
        <w:spacing w:line="199" w:lineRule="auto"/>
        <w:rPr>
          <w:rtl/>
        </w:rPr>
      </w:pPr>
      <w:r w:rsidRPr="00524BEA">
        <w:rPr>
          <w:rFonts w:hint="cs"/>
          <w:rtl/>
        </w:rPr>
        <w:t>5ـ ولأن الزواج في الأصل عقدٌ أبدي لا ينهيه أحد العاقدين بإرادة منفردة، إلا لحاجة وتعذر استمرار العقد، فإنما أجيز فسخ النكاح للحاجة، ويبقى الأمر على حكم الأصل، وهو أبدية العقد؛ من هنا يتضح أن ضمان العقد هو الأساس الذي يُبنى عليه التعويض.</w:t>
      </w:r>
    </w:p>
    <w:p w:rsidR="00212162" w:rsidRPr="00524BEA" w:rsidRDefault="00212162" w:rsidP="00925049">
      <w:pPr>
        <w:pStyle w:val="ac"/>
        <w:spacing w:line="199" w:lineRule="auto"/>
        <w:rPr>
          <w:rtl/>
        </w:rPr>
      </w:pPr>
      <w:r w:rsidRPr="00524BEA">
        <w:rPr>
          <w:rFonts w:hint="cs"/>
          <w:rtl/>
        </w:rPr>
        <w:t>ومجموع هذه الأدلّة يوضح أن الطلاق بلا حاجة أو لسبب الإيذاء عملٌ محرم، فهو إذاً مخالفٌ للنظام العام، ومجرد مخالفة النظام العام تكفي سبباً للحكم عليه بتعزيره بالتعويض المالي، لكن لبيت المال وليس للزوجة، إذا جعلناه ضمن نطاق التعزير، وليس ضمن دائرة الضمان الشخصي.</w:t>
      </w:r>
    </w:p>
    <w:p w:rsidR="00212162" w:rsidRPr="00524BEA" w:rsidRDefault="00212162" w:rsidP="00925049">
      <w:pPr>
        <w:pStyle w:val="ac"/>
        <w:spacing w:line="199" w:lineRule="auto"/>
        <w:rPr>
          <w:rtl/>
        </w:rPr>
      </w:pPr>
      <w:r w:rsidRPr="00524BEA">
        <w:rPr>
          <w:rFonts w:hint="cs"/>
          <w:rtl/>
        </w:rPr>
        <w:t>أمّا إذا كيّفناه على أنه بغيٌ على الزوجة فيستقيم أمر التعويض المالي لها، ولا يسلم لصحّة التعويض المالي للزوجة إلا الدليل الثاني من أدلة المجيزين، وهو ظنّي الدلالة.</w:t>
      </w:r>
    </w:p>
    <w:p w:rsidR="00212162" w:rsidRPr="00925049" w:rsidRDefault="00212162" w:rsidP="00925049">
      <w:pPr>
        <w:pStyle w:val="afffffc"/>
        <w:rPr>
          <w:sz w:val="24"/>
          <w:szCs w:val="22"/>
          <w:rtl/>
        </w:rPr>
      </w:pPr>
    </w:p>
    <w:p w:rsidR="00212162" w:rsidRDefault="00212162" w:rsidP="00925049">
      <w:pPr>
        <w:pStyle w:val="2"/>
        <w:rPr>
          <w:rtl/>
        </w:rPr>
      </w:pPr>
      <w:bookmarkStart w:id="320" w:name="_Toc275128040"/>
      <w:r>
        <w:rPr>
          <w:rFonts w:hint="cs"/>
          <w:rtl/>
        </w:rPr>
        <w:t>2 ـ نظرية رفض التعويض المالي، كشف المستندات</w:t>
      </w:r>
      <w:bookmarkEnd w:id="320"/>
    </w:p>
    <w:p w:rsidR="00212162" w:rsidRPr="00524BEA" w:rsidRDefault="00212162" w:rsidP="005C72B0">
      <w:pPr>
        <w:pStyle w:val="ac"/>
        <w:rPr>
          <w:rtl/>
        </w:rPr>
      </w:pPr>
      <w:r w:rsidRPr="00524BEA">
        <w:rPr>
          <w:rFonts w:hint="cs"/>
          <w:rtl/>
        </w:rPr>
        <w:t xml:space="preserve">أمّا أدلة المانعين، فإنهم يرون أن التعويض المالي ليس له أصل في الشريعة؛ لمجموعة </w:t>
      </w:r>
      <w:r w:rsidRPr="00524BEA">
        <w:rPr>
          <w:rFonts w:hint="cs"/>
          <w:rtl/>
        </w:rPr>
        <w:lastRenderedPageBreak/>
        <w:t>أدلة منها:</w:t>
      </w:r>
    </w:p>
    <w:p w:rsidR="00212162" w:rsidRPr="00524BEA" w:rsidRDefault="00212162" w:rsidP="00925049">
      <w:pPr>
        <w:pStyle w:val="ac"/>
        <w:spacing w:line="209" w:lineRule="auto"/>
        <w:rPr>
          <w:rtl/>
        </w:rPr>
      </w:pPr>
      <w:r w:rsidRPr="00524BEA">
        <w:rPr>
          <w:rFonts w:hint="cs"/>
          <w:rtl/>
        </w:rPr>
        <w:t xml:space="preserve">1 ـ قوله تعالى: </w:t>
      </w:r>
      <w:r w:rsidRPr="00524BEA">
        <w:rPr>
          <w:rFonts w:hint="cs"/>
          <w:sz w:val="26"/>
          <w:rtl/>
        </w:rPr>
        <w:sym w:font="Islamic Units 1" w:char="F03E"/>
      </w:r>
      <w:r w:rsidRPr="005C72B0">
        <w:rPr>
          <w:b/>
          <w:bCs/>
          <w:rtl/>
        </w:rPr>
        <w:t>لاَّ جُنَاحَ عَلَيْكُمْ إِن طَلَّقْتُمُ النِّسَاء مَا لَمْ تَمَسُّوهُنُّ أَوْ تَفْرِضُواْ لَهُنَّ فَرِيضَةً</w:t>
      </w:r>
      <w:r w:rsidRPr="00524BEA">
        <w:rPr>
          <w:sz w:val="26"/>
          <w:rtl/>
        </w:rPr>
        <w:sym w:font="Islamic Units 1" w:char="F03C"/>
      </w:r>
      <w:r w:rsidRPr="00524BEA">
        <w:rPr>
          <w:rFonts w:hint="cs"/>
          <w:rtl/>
        </w:rPr>
        <w:t xml:space="preserve"> (البقرة: 236)، وقد استفادوا من الآية حليّة أو إباحة الطلاق، والإباحة العامة تنافي الضمان.</w:t>
      </w:r>
    </w:p>
    <w:p w:rsidR="00212162" w:rsidRPr="00524BEA" w:rsidRDefault="00212162" w:rsidP="00925049">
      <w:pPr>
        <w:pStyle w:val="ac"/>
        <w:spacing w:line="209" w:lineRule="auto"/>
        <w:rPr>
          <w:rtl/>
        </w:rPr>
      </w:pPr>
      <w:r w:rsidRPr="00524BEA">
        <w:rPr>
          <w:rFonts w:hint="cs"/>
          <w:rtl/>
        </w:rPr>
        <w:t>لكنّ الاستدلال بالآية ليس صحيحاً؛ وذلك أنّها تجيز الطلاق في صورة عدم المسيس، فليست مشرّعةً لعموم جواز الطلاق كما أريد تكييفها للاستدلال، إنما هي في مقام نفي الجناح في طلاق من لم تمسّ بعد، وقد فسّرها المفسرون تفسيراً يوضح مقام التشريع الناظرة له، وهي ـ فيما أرى ـ أجنبية عن المورد الذي نحن فيه</w:t>
      </w:r>
      <w:r w:rsidRPr="00815C4C">
        <w:rPr>
          <w:rFonts w:cs="Taher"/>
          <w:vertAlign w:val="superscript"/>
          <w:rtl/>
        </w:rPr>
        <w:t>(</w:t>
      </w:r>
      <w:r w:rsidRPr="00815C4C">
        <w:rPr>
          <w:rFonts w:cs="Taher"/>
          <w:vertAlign w:val="superscript"/>
          <w:rtl/>
        </w:rPr>
        <w:footnoteReference w:id="534"/>
      </w:r>
      <w:r w:rsidRPr="00815C4C">
        <w:rPr>
          <w:rFonts w:cs="Taher"/>
          <w:vertAlign w:val="superscript"/>
          <w:rtl/>
        </w:rPr>
        <w:t>)</w:t>
      </w:r>
      <w:r w:rsidRPr="00524BEA">
        <w:rPr>
          <w:rFonts w:hint="cs"/>
          <w:rtl/>
        </w:rPr>
        <w:t>؛ لأنها في مجال إعطاء المهر وعدمه إذا طلقها لسبب ما، قبل المسيس وفي حالة عدم فرض مهر لها؛ لأن المدخول بها وليس لها مهر تستحقّ نصف المهر، فكيف حال من لم يسمّ لها مهر ولم تمسّ، فهل تطلق؟</w:t>
      </w:r>
    </w:p>
    <w:p w:rsidR="00212162" w:rsidRPr="00524BEA" w:rsidRDefault="00212162" w:rsidP="00925049">
      <w:pPr>
        <w:pStyle w:val="ac"/>
        <w:spacing w:line="209" w:lineRule="auto"/>
        <w:rPr>
          <w:rtl/>
        </w:rPr>
      </w:pPr>
      <w:r w:rsidRPr="00524BEA">
        <w:rPr>
          <w:rFonts w:hint="cs"/>
          <w:rtl/>
        </w:rPr>
        <w:t xml:space="preserve">وقد جاء الجواب بالنص القرآني، نعم وبشروط منها فرض مهر مِثل، واستحقاق نصفه، وأنه قبل المسيس لا بدعة فيه، وكذا لو كان قبل فرض المهر، وعن البيضاوي أنه فهم من الآية أن غير الممسوسة لا تطلق حتى تفرضوا لها فريضة، أي المهر؛ رداً على من توهّم أنه لا يقع على غير الممسوسة أو غير المفروض لها المهر؛ وعليه فلا يؤخذ من لفظة </w:t>
      </w:r>
      <w:r w:rsidRPr="00A715A3">
        <w:sym w:font="Islamic Units 1" w:char="F03E"/>
      </w:r>
      <w:r w:rsidRPr="00524BEA">
        <w:rPr>
          <w:rFonts w:hint="cs"/>
          <w:rtl/>
        </w:rPr>
        <w:t>لا جناح</w:t>
      </w:r>
      <w:r w:rsidRPr="00A715A3">
        <w:sym w:font="Islamic Units 1" w:char="F03C"/>
      </w:r>
      <w:r w:rsidRPr="00524BEA">
        <w:rPr>
          <w:rFonts w:hint="cs"/>
          <w:rtl/>
        </w:rPr>
        <w:t xml:space="preserve"> إباحة الطلاق مطلقاً، وإن كنّا مع الحكم الذي ادّعوه، إلا أنّ الدليل المساق لا يساعد على استفادة مثل هذا الحكم</w:t>
      </w:r>
      <w:r w:rsidRPr="00815C4C">
        <w:rPr>
          <w:rFonts w:cs="Taher"/>
          <w:vertAlign w:val="superscript"/>
          <w:rtl/>
        </w:rPr>
        <w:t>(</w:t>
      </w:r>
      <w:r w:rsidRPr="00815C4C">
        <w:rPr>
          <w:rFonts w:cs="Taher"/>
          <w:vertAlign w:val="superscript"/>
          <w:rtl/>
        </w:rPr>
        <w:footnoteReference w:id="535"/>
      </w:r>
      <w:r w:rsidRPr="00815C4C">
        <w:rPr>
          <w:rFonts w:cs="Taher"/>
          <w:vertAlign w:val="superscript"/>
          <w:rtl/>
        </w:rPr>
        <w:t>)</w:t>
      </w:r>
      <w:r w:rsidRPr="00524BEA">
        <w:rPr>
          <w:rFonts w:hint="cs"/>
          <w:rtl/>
        </w:rPr>
        <w:t>.</w:t>
      </w:r>
    </w:p>
    <w:p w:rsidR="00212162" w:rsidRPr="00524BEA" w:rsidRDefault="00212162" w:rsidP="00C86626">
      <w:pPr>
        <w:pStyle w:val="ac"/>
        <w:rPr>
          <w:rtl/>
        </w:rPr>
      </w:pPr>
      <w:r w:rsidRPr="00524BEA">
        <w:rPr>
          <w:rFonts w:hint="cs"/>
          <w:rtl/>
        </w:rPr>
        <w:t>2 ـ إن النبي</w:t>
      </w:r>
      <w:r w:rsidR="00C86626">
        <w:rPr>
          <w:rFonts w:hint="cs"/>
          <w:sz w:val="26"/>
          <w:rtl/>
        </w:rPr>
        <w:t>’</w:t>
      </w:r>
      <w:r w:rsidRPr="00524BEA">
        <w:rPr>
          <w:rFonts w:hint="cs"/>
          <w:rtl/>
        </w:rPr>
        <w:t xml:space="preserve"> طلّق حفص</w:t>
      </w:r>
      <w:r>
        <w:rPr>
          <w:rFonts w:hint="cs"/>
          <w:rtl/>
        </w:rPr>
        <w:t>ة</w:t>
      </w:r>
      <w:r w:rsidRPr="00815C4C">
        <w:rPr>
          <w:rFonts w:cs="Taher"/>
          <w:vertAlign w:val="superscript"/>
          <w:rtl/>
        </w:rPr>
        <w:t>(</w:t>
      </w:r>
      <w:r w:rsidRPr="00815C4C">
        <w:rPr>
          <w:rFonts w:cs="Taher"/>
          <w:vertAlign w:val="superscript"/>
          <w:rtl/>
        </w:rPr>
        <w:footnoteReference w:id="536"/>
      </w:r>
      <w:r w:rsidRPr="00815C4C">
        <w:rPr>
          <w:rFonts w:cs="Taher"/>
          <w:vertAlign w:val="superscript"/>
          <w:rtl/>
        </w:rPr>
        <w:t>)</w:t>
      </w:r>
      <w:r w:rsidRPr="00524BEA">
        <w:rPr>
          <w:rFonts w:hint="cs"/>
          <w:rtl/>
        </w:rPr>
        <w:t xml:space="preserve">، وكذا طلّق كثيرٌ من الصحابة نساءهم، ولو كان </w:t>
      </w:r>
      <w:r w:rsidRPr="00524BEA">
        <w:rPr>
          <w:rFonts w:hint="cs"/>
          <w:rtl/>
        </w:rPr>
        <w:lastRenderedPageBreak/>
        <w:t>محظوراً أو عليه تَبِعة تعويضيّة لظهر في التشريع، ولو كان الطلاق مرتبطاً بالحاجة لكانوا يسألون عن وجه الحاجة، ولذلك فإن الطلاق أمرٌ متروك للزوج، ولو كان متعسفاً فعقابه أخروي.</w:t>
      </w:r>
    </w:p>
    <w:p w:rsidR="00212162" w:rsidRPr="00524BEA" w:rsidRDefault="00212162" w:rsidP="00925049">
      <w:pPr>
        <w:pStyle w:val="ac"/>
        <w:spacing w:line="209" w:lineRule="auto"/>
        <w:rPr>
          <w:rtl/>
        </w:rPr>
      </w:pPr>
      <w:r w:rsidRPr="00524BEA">
        <w:rPr>
          <w:rFonts w:hint="cs"/>
          <w:rtl/>
        </w:rPr>
        <w:t>ويردّ أن النبي والصحابة ربما طلّقوا غير مضارّين، بل النبي كذلك قطعاً لعصمته، والسؤال عن الحاجة لم يرد في التشريع ولوائح صحة الطلاق، وهذا خارجٌ عمّا نحن فيه من وجود قرائن التعسف الظاهرة للمحكمة، ولا يمكن الاستناد إلى سوابق تختلف في حيثياتها مع الحالة المدروسة، وهو الطلاق التعسفي.</w:t>
      </w:r>
    </w:p>
    <w:p w:rsidR="00212162" w:rsidRPr="00524BEA" w:rsidRDefault="00212162" w:rsidP="00925049">
      <w:pPr>
        <w:pStyle w:val="ac"/>
        <w:spacing w:line="209" w:lineRule="auto"/>
        <w:rPr>
          <w:rtl/>
        </w:rPr>
      </w:pPr>
      <w:r w:rsidRPr="00524BEA">
        <w:rPr>
          <w:rFonts w:hint="cs"/>
          <w:rtl/>
        </w:rPr>
        <w:t>3 ـ لما لم يكن في الشريعة نصٌّ جليّ على تعويض المطلقة، فالأمر مسكوتٌ عنه؛ وحيث إنّ الطلاق جائز بإطلاقه أو مكروه أو حتى محرم ولكن لم يترتب عليه تعويض مالي في نصٍّ شرعي، وإذا عرفنا أن نصوص القرآن في الطلاق من قبيل البيان التفصيلي، إذاً فلا مجال للاستصلاح والاستحسان قبالة جواز الطلاق عموماً بمقتضى النص، وحيث لا اجتهاد في معرض النص، ولا تقيّد المصلحة أو الاستحسان النصّ المطلق، ولا تخصّص عموماته.. فلا حجّة على الإطلاق على صحّة فرض التعويض على الزوج.</w:t>
      </w:r>
    </w:p>
    <w:p w:rsidR="00212162" w:rsidRPr="00524BEA" w:rsidRDefault="00212162" w:rsidP="00925049">
      <w:pPr>
        <w:pStyle w:val="ac"/>
        <w:spacing w:line="209" w:lineRule="auto"/>
        <w:rPr>
          <w:rtl/>
        </w:rPr>
      </w:pPr>
      <w:r w:rsidRPr="00524BEA">
        <w:rPr>
          <w:rFonts w:hint="cs"/>
          <w:rtl/>
        </w:rPr>
        <w:t>4 ـ لما كان الطلاق الصحيح بشروطه نافذاً وجائزاً شرعاً، فإن أيّ فعل جائز لو ترتب على فعله ضررٌ فلا ضمان؛ لأن الجواز الشرعي ينافي الضمان، بل لو ألزمناه بالتعويض فكأننا منعناه من فعلٍ جائز، وهذا تحكّمٌ في الشرع.</w:t>
      </w:r>
    </w:p>
    <w:p w:rsidR="00212162" w:rsidRPr="00524BEA" w:rsidRDefault="00212162" w:rsidP="005C72B0">
      <w:pPr>
        <w:pStyle w:val="ac"/>
        <w:rPr>
          <w:rtl/>
        </w:rPr>
      </w:pPr>
      <w:r w:rsidRPr="00524BEA">
        <w:rPr>
          <w:rFonts w:hint="cs"/>
          <w:rtl/>
        </w:rPr>
        <w:t>5 ـ على رأي من يرى أن الطلاق حرام ما لم تقم له حاجة، فهذا أولاً أمر غير منضبط؛ لأن الحاجة قد تكون خفيةً لا يضبطها القضاء ولا تخضع لوسائل الإثبات، بل قد تكون مما يجب ستره؛ ففي إعلان السبب مضرّة أكبر للزوجة.</w:t>
      </w:r>
    </w:p>
    <w:p w:rsidR="00212162" w:rsidRPr="00524BEA" w:rsidRDefault="00212162" w:rsidP="005C72B0">
      <w:pPr>
        <w:pStyle w:val="ac"/>
        <w:rPr>
          <w:rtl/>
        </w:rPr>
      </w:pPr>
      <w:r w:rsidRPr="00524BEA">
        <w:rPr>
          <w:rFonts w:hint="cs"/>
          <w:rtl/>
        </w:rPr>
        <w:t>6 ـ لما لم يتضمّن عقد الزواج شرطاً صريحاً أو ضمنيّاً بعدم الفسخ إلا لحاجة، وكان ذلك من جهة المشرّع فهو فهم اجتهادي مختلَف فيه كما تقدّم؛ لأنه مخالف للنظام العام، فالعقد وحده لا يعد أساساً للتعويض المالي في حالة الطلاق التعسّفي.</w:t>
      </w:r>
    </w:p>
    <w:p w:rsidR="00212162" w:rsidRDefault="00212162" w:rsidP="005C72B0">
      <w:pPr>
        <w:pStyle w:val="ac"/>
        <w:rPr>
          <w:rtl/>
        </w:rPr>
      </w:pPr>
      <w:r w:rsidRPr="00524BEA">
        <w:rPr>
          <w:rFonts w:hint="cs"/>
          <w:rtl/>
        </w:rPr>
        <w:t xml:space="preserve">7 ـ إن المتفق عليه أن المطلق تعسفاً آثم ديانةً، إلا أن نقل الإثم الديانتي إلى العقوبة القضائية يحتاج إلى دليل؛ لأن الإثم الديانتي يقع بين العبد وربّه، فنقله إلى ما بين العبد </w:t>
      </w:r>
      <w:r w:rsidRPr="00524BEA">
        <w:rPr>
          <w:rFonts w:hint="cs"/>
          <w:rtl/>
        </w:rPr>
        <w:lastRenderedPageBreak/>
        <w:t>والعبد نقلٌ من نطاقٍ إلى آخر مغاير له، وفقدان الدليل على صحّة نقل ما هو ديانتي إلى ما هو قضائي يجعله استحساناً</w:t>
      </w:r>
      <w:r>
        <w:rPr>
          <w:rFonts w:hint="cs"/>
          <w:rtl/>
        </w:rPr>
        <w:t>،</w:t>
      </w:r>
      <w:r w:rsidRPr="00524BEA">
        <w:rPr>
          <w:rFonts w:hint="cs"/>
          <w:rtl/>
        </w:rPr>
        <w:t xml:space="preserve"> لا يستدلّ به على صحّة التعويض.</w:t>
      </w:r>
    </w:p>
    <w:p w:rsidR="005C72B0" w:rsidRPr="00524BEA" w:rsidRDefault="005C72B0" w:rsidP="00925049">
      <w:pPr>
        <w:pStyle w:val="afffffc"/>
        <w:rPr>
          <w:rtl/>
        </w:rPr>
      </w:pPr>
    </w:p>
    <w:p w:rsidR="00212162" w:rsidRDefault="00212162" w:rsidP="00925049">
      <w:pPr>
        <w:pStyle w:val="2"/>
        <w:rPr>
          <w:rtl/>
        </w:rPr>
      </w:pPr>
      <w:bookmarkStart w:id="321" w:name="_Toc275128041"/>
      <w:r>
        <w:rPr>
          <w:rFonts w:hint="cs"/>
          <w:rtl/>
        </w:rPr>
        <w:t>3 ـ ردود المجيزين لنفقة التعسّف</w:t>
      </w:r>
      <w:bookmarkEnd w:id="321"/>
    </w:p>
    <w:p w:rsidR="00212162" w:rsidRPr="00524BEA" w:rsidRDefault="00212162" w:rsidP="005C72B0">
      <w:pPr>
        <w:pStyle w:val="ac"/>
        <w:rPr>
          <w:rtl/>
        </w:rPr>
      </w:pPr>
      <w:r w:rsidRPr="00524BEA">
        <w:rPr>
          <w:rFonts w:hint="cs"/>
          <w:rtl/>
        </w:rPr>
        <w:t>أ ـ إنه قد ثبت أن الطلاق ـ مع استقامة حال الزوجين ـ مكروه، فإذا لم تكن هناك حاجة فهو محرّم، وحيث جرّ هذا المحرّم ضرراً على الزوجة والأولاد والمجتمع فهو مثل ردّ عين المغصوب، وضمان المتلف، وحيث لا إمكان لإزالة عين الضرر المترتب على الطلاق الذي هو سبب تضرّر الغير، فليس إلا التعويض المالي عنه.</w:t>
      </w:r>
    </w:p>
    <w:p w:rsidR="00212162" w:rsidRPr="00524BEA" w:rsidRDefault="00212162" w:rsidP="005C72B0">
      <w:pPr>
        <w:pStyle w:val="ac"/>
        <w:rPr>
          <w:rtl/>
        </w:rPr>
      </w:pPr>
      <w:r w:rsidRPr="00524BEA">
        <w:rPr>
          <w:rFonts w:hint="cs"/>
          <w:rtl/>
        </w:rPr>
        <w:t>ب ـ إن المطلّق تعسفاً مسؤول عن تصرّفه مسؤوليةً تقصيرية؛ لأنه مقصّر في تدارك اندفاعه النفسي السلبي وتعقّله ورشده، وحيث يتعذر إعادة الحال إلى حالته السابقة لزم التعويض، والفقه الإسلامي لما ثبت فيه تعويض المال المتلف فبتحقيق المناط يمكن نقله إلى تعويض الضرر الأدبي أو المعنوي، وحيث إن باب التعزير يسع ذلك، وقول أبي يوسف لضمان أرش الألم يسع ذلك أيضاً، وحيث لا عبرة في عدم تعرّض الفقهاء السابقين للضرر المستقبلي كحجّةٍ لمنع نفقة التعسف.. صارت النفقة من باب المستجدّات التي لها حيثيات شرعية وجيهة.</w:t>
      </w:r>
    </w:p>
    <w:p w:rsidR="00212162" w:rsidRPr="00524BEA" w:rsidRDefault="00212162" w:rsidP="00925049">
      <w:pPr>
        <w:pStyle w:val="ac"/>
        <w:spacing w:line="209" w:lineRule="auto"/>
        <w:rPr>
          <w:rtl/>
        </w:rPr>
      </w:pPr>
      <w:r w:rsidRPr="00524BEA">
        <w:rPr>
          <w:rFonts w:hint="cs"/>
          <w:rtl/>
        </w:rPr>
        <w:t>ج ـ يمكن تكييف التعويض، أي نفقة التعسف، بأنه مما ترتب على مسؤولية تعاقدية، حيث إن عقد الزواج دائمي، والزوجة ملتزمةٌ به، فإذا طلّقها متعسفاً لغير حاجة فكأنه أخلّ بالعقد؛ لذا فإن التعويض مترتبٌ على طبيعة العقد نفسه.</w:t>
      </w:r>
    </w:p>
    <w:p w:rsidR="00212162" w:rsidRPr="00524BEA" w:rsidRDefault="00212162" w:rsidP="00925049">
      <w:pPr>
        <w:pStyle w:val="ac"/>
        <w:spacing w:line="209" w:lineRule="auto"/>
        <w:rPr>
          <w:rtl/>
        </w:rPr>
      </w:pPr>
      <w:r w:rsidRPr="00524BEA">
        <w:rPr>
          <w:rFonts w:hint="cs"/>
          <w:rtl/>
        </w:rPr>
        <w:t xml:space="preserve">د ـ حيث إن الشريعة مبنيةٌ على جلب المصالح ودفع المفاسد، فإن الحكمة في جواز التعويض تقليل حالات الطلاق الكيدي، أو ما كانت وراءه نزوةٌ عابرة، وذلك لوجود عدد من الناس </w:t>
      </w:r>
      <w:r>
        <w:rPr>
          <w:rFonts w:hint="cs"/>
          <w:rtl/>
        </w:rPr>
        <w:t xml:space="preserve">المتفاوتين </w:t>
      </w:r>
      <w:r w:rsidRPr="00524BEA">
        <w:rPr>
          <w:rFonts w:hint="cs"/>
          <w:rtl/>
        </w:rPr>
        <w:t>في النبل والاستقامة فلا يعاملون معاملةً واحدة.</w:t>
      </w:r>
    </w:p>
    <w:p w:rsidR="00212162" w:rsidRPr="00524BEA" w:rsidRDefault="00212162" w:rsidP="00925049">
      <w:pPr>
        <w:pStyle w:val="ac"/>
        <w:spacing w:line="209" w:lineRule="auto"/>
        <w:rPr>
          <w:rtl/>
        </w:rPr>
      </w:pPr>
      <w:r w:rsidRPr="00524BEA">
        <w:rPr>
          <w:rFonts w:hint="cs"/>
          <w:rtl/>
        </w:rPr>
        <w:t>هـ ـ إن تعويض المطلقة تعسفاً جزءٌ من حقوقها التي كفلتها الشريعة كالمهر المؤجل ونفقة العدّة، والسكني، فله حكم مثيلاتها.</w:t>
      </w:r>
    </w:p>
    <w:p w:rsidR="00212162" w:rsidRPr="00524BEA" w:rsidRDefault="00212162" w:rsidP="00925049">
      <w:pPr>
        <w:pStyle w:val="ac"/>
        <w:spacing w:line="209" w:lineRule="auto"/>
        <w:rPr>
          <w:rtl/>
        </w:rPr>
      </w:pPr>
      <w:r w:rsidRPr="00524BEA">
        <w:rPr>
          <w:rFonts w:hint="cs"/>
          <w:rtl/>
        </w:rPr>
        <w:t xml:space="preserve">و ـ لم تخل آية قرآنية تعرّضت للطلاق من توكيد للمعروف والنهي عن الإساءة </w:t>
      </w:r>
      <w:r w:rsidRPr="00524BEA">
        <w:rPr>
          <w:rFonts w:hint="cs"/>
          <w:rtl/>
        </w:rPr>
        <w:lastRenderedPageBreak/>
        <w:t>والإيذاء؛ فتعزيره منسجمٌ مع مقاصد الشريعة.</w:t>
      </w:r>
    </w:p>
    <w:p w:rsidR="00212162" w:rsidRPr="00925049" w:rsidRDefault="00212162" w:rsidP="00925049">
      <w:pPr>
        <w:pStyle w:val="ac"/>
        <w:spacing w:line="202" w:lineRule="auto"/>
        <w:rPr>
          <w:sz w:val="29"/>
          <w:szCs w:val="29"/>
          <w:rtl/>
        </w:rPr>
      </w:pPr>
      <w:r w:rsidRPr="00925049">
        <w:rPr>
          <w:rFonts w:hint="cs"/>
          <w:sz w:val="29"/>
          <w:szCs w:val="29"/>
          <w:rtl/>
        </w:rPr>
        <w:t>زـ قوله تعالى:</w:t>
      </w:r>
      <w:r w:rsidRPr="00925049">
        <w:rPr>
          <w:rFonts w:hint="cs"/>
          <w:b/>
          <w:bCs/>
          <w:sz w:val="29"/>
          <w:szCs w:val="29"/>
          <w:rtl/>
        </w:rPr>
        <w:sym w:font="Islamic Units 1" w:char="F03E"/>
      </w:r>
      <w:r w:rsidRPr="00925049">
        <w:rPr>
          <w:rFonts w:hint="cs"/>
          <w:b/>
          <w:bCs/>
          <w:sz w:val="29"/>
          <w:szCs w:val="29"/>
          <w:rtl/>
        </w:rPr>
        <w:t>وَإِذَا طَلَّقْتُمُ النَّسَاء فَبَلَغْنَ أَجَلَهُنَّ فَأَمْسِكُوهُنَّ بِمَعْرُوفٍ أَوْ سَرِّحُوهُنَّ بِمَعْرُوفٍ</w:t>
      </w:r>
      <w:r w:rsidRPr="00925049">
        <w:rPr>
          <w:b/>
          <w:bCs/>
          <w:sz w:val="29"/>
          <w:szCs w:val="29"/>
          <w:rtl/>
        </w:rPr>
        <w:sym w:font="Islamic Units 1" w:char="F03C"/>
      </w:r>
      <w:r w:rsidRPr="00925049">
        <w:rPr>
          <w:rFonts w:hint="cs"/>
          <w:b/>
          <w:bCs/>
          <w:sz w:val="29"/>
          <w:szCs w:val="29"/>
          <w:rtl/>
        </w:rPr>
        <w:t xml:space="preserve"> </w:t>
      </w:r>
      <w:r w:rsidRPr="00925049">
        <w:rPr>
          <w:rFonts w:hint="cs"/>
          <w:sz w:val="29"/>
          <w:szCs w:val="29"/>
          <w:rtl/>
        </w:rPr>
        <w:t>(البقرة: 231)، والمعروف يقتضي عدم الإضرار؛ لأنه منكر نقيض المعروف، فمتى سرّحها بإضرار وجب عليه تعويضها عن الضرر المتحقق أو المتوقّع.</w:t>
      </w:r>
    </w:p>
    <w:p w:rsidR="00212162" w:rsidRPr="00524BEA" w:rsidRDefault="00212162" w:rsidP="00925049">
      <w:pPr>
        <w:pStyle w:val="ac"/>
        <w:spacing w:line="202" w:lineRule="auto"/>
        <w:rPr>
          <w:rFonts w:cs="AL-Mohanad"/>
          <w:rtl/>
        </w:rPr>
      </w:pPr>
      <w:r w:rsidRPr="00925049">
        <w:rPr>
          <w:rFonts w:hint="cs"/>
          <w:rtl/>
        </w:rPr>
        <w:t>ح ـ قوله تعالى:</w:t>
      </w:r>
      <w:r w:rsidRPr="00925049">
        <w:rPr>
          <w:rFonts w:hint="cs"/>
          <w:rtl/>
        </w:rPr>
        <w:sym w:font="Islamic Units 1" w:char="F03E"/>
      </w:r>
      <w:r w:rsidRPr="005C72B0">
        <w:rPr>
          <w:rFonts w:hint="cs"/>
          <w:b/>
          <w:bCs/>
          <w:rtl/>
        </w:rPr>
        <w:t>لاَّ جُنَاحَ عَلَيْكُمْ إِن طَلَّقْتُمُ النِّسَاء مَا لَمْ تَمَسُّوهُنُّ أَوْ تَفْرِضُواْ لَهُنَّ فَرِيضَةً وَمَتِّعُوهُنَّ عَلَى الْمُوسِعِ قَدَرُهُ وَعَلَى الْمُقْتِرِ قَدْرُهُ مَتَاعًا بِالْمَعْرُوفِ حَقًّا عَلَى الْمُحْسِنِينَ</w:t>
      </w:r>
      <w:r w:rsidRPr="00524BEA">
        <w:rPr>
          <w:rFonts w:cs="AL-Mohanad"/>
          <w:sz w:val="26"/>
          <w:rtl/>
        </w:rPr>
        <w:sym w:font="Islamic Units 1" w:char="F03C"/>
      </w:r>
      <w:r w:rsidRPr="00524BEA">
        <w:rPr>
          <w:rFonts w:cs="AL-Mohanad" w:hint="cs"/>
          <w:sz w:val="26"/>
          <w:rtl/>
        </w:rPr>
        <w:t xml:space="preserve"> </w:t>
      </w:r>
      <w:r w:rsidRPr="00925049">
        <w:rPr>
          <w:rFonts w:hint="cs"/>
          <w:rtl/>
        </w:rPr>
        <w:t>(البقرة: 236)</w:t>
      </w:r>
      <w:r w:rsidRPr="00925049">
        <w:rPr>
          <w:rFonts w:cs="Taher"/>
          <w:vertAlign w:val="superscript"/>
          <w:rtl/>
        </w:rPr>
        <w:t>(</w:t>
      </w:r>
      <w:r w:rsidRPr="00925049">
        <w:rPr>
          <w:rFonts w:cs="Taher"/>
          <w:vertAlign w:val="superscript"/>
          <w:rtl/>
        </w:rPr>
        <w:footnoteReference w:id="537"/>
      </w:r>
      <w:r w:rsidRPr="00925049">
        <w:rPr>
          <w:rFonts w:cs="Taher"/>
          <w:vertAlign w:val="superscript"/>
          <w:rtl/>
        </w:rPr>
        <w:t>)</w:t>
      </w:r>
      <w:r w:rsidRPr="00925049">
        <w:rPr>
          <w:rFonts w:hint="cs"/>
          <w:rtl/>
        </w:rPr>
        <w:t xml:space="preserve"> والتعويض جزءٌ من المتاع.</w:t>
      </w:r>
    </w:p>
    <w:p w:rsidR="00212162" w:rsidRPr="00524BEA" w:rsidRDefault="00212162" w:rsidP="00925049">
      <w:pPr>
        <w:pStyle w:val="ac"/>
        <w:spacing w:line="202" w:lineRule="auto"/>
        <w:rPr>
          <w:rtl/>
        </w:rPr>
      </w:pPr>
      <w:r w:rsidRPr="00524BEA">
        <w:rPr>
          <w:rFonts w:hint="cs"/>
          <w:rtl/>
        </w:rPr>
        <w:t>ويناقش أنّ هذه الآية في من طُلقت قبل المسيس ولم يفرض لها مهر، ومتعة التي لم يدخل بها ولا سمّي لها صداق، أن يفرض لها متعة، وفي الآية لفظان (حقاً) و(المحسنين)، والأول يشير إلى الوجوب، والثاني مشعرٌ بالاستحباب، إلا أن النصوص من طرق أهل البيت تفسّر الحكم بالوجوب.</w:t>
      </w:r>
    </w:p>
    <w:p w:rsidR="00212162" w:rsidRPr="00524BEA" w:rsidRDefault="00212162" w:rsidP="00925049">
      <w:pPr>
        <w:pStyle w:val="ac"/>
        <w:spacing w:line="202" w:lineRule="auto"/>
        <w:rPr>
          <w:rtl/>
        </w:rPr>
      </w:pPr>
      <w:r w:rsidRPr="00524BEA">
        <w:rPr>
          <w:rFonts w:hint="cs"/>
          <w:rtl/>
        </w:rPr>
        <w:t>قال ابن عباس: المتاع خادم وكسوة ورزق، وهو المروي عن الأئمة</w:t>
      </w:r>
      <w:r w:rsidR="00C86626">
        <w:rPr>
          <w:rFonts w:hint="cs"/>
          <w:sz w:val="26"/>
          <w:rtl/>
        </w:rPr>
        <w:t>^</w:t>
      </w:r>
      <w:r w:rsidRPr="00524BEA">
        <w:rPr>
          <w:rFonts w:hint="cs"/>
          <w:rtl/>
        </w:rPr>
        <w:t>، وقيل: نصف مهر مثلها عن أبي حنيفة، وفي وجوب المتعة لكلّ مطلقة خلاف على ثلاثة أقوال:</w:t>
      </w:r>
    </w:p>
    <w:p w:rsidR="00212162" w:rsidRPr="00524BEA" w:rsidRDefault="00212162" w:rsidP="00925049">
      <w:pPr>
        <w:pStyle w:val="ac"/>
        <w:spacing w:line="202" w:lineRule="auto"/>
        <w:rPr>
          <w:rtl/>
        </w:rPr>
      </w:pPr>
      <w:r w:rsidRPr="00524BEA">
        <w:rPr>
          <w:rFonts w:hint="cs"/>
          <w:rtl/>
        </w:rPr>
        <w:t>الأول: إنها لكل مطلقة إلا المختلعة والمبارية والملاعنة، وهو رأي أبو العالية.</w:t>
      </w:r>
    </w:p>
    <w:p w:rsidR="00212162" w:rsidRPr="00524BEA" w:rsidRDefault="00212162" w:rsidP="00925049">
      <w:pPr>
        <w:pStyle w:val="ac"/>
        <w:spacing w:line="202" w:lineRule="auto"/>
        <w:rPr>
          <w:rtl/>
        </w:rPr>
      </w:pPr>
      <w:r w:rsidRPr="00524BEA">
        <w:rPr>
          <w:rFonts w:hint="cs"/>
          <w:rtl/>
        </w:rPr>
        <w:t>الثاني: للتي لم يسمّ لها صداق خاصّة، وهو مذهب أهل البيت وسعيد بن المسيب.</w:t>
      </w:r>
    </w:p>
    <w:p w:rsidR="00212162" w:rsidRPr="00524BEA" w:rsidRDefault="00212162" w:rsidP="00925049">
      <w:pPr>
        <w:pStyle w:val="ac"/>
        <w:rPr>
          <w:rtl/>
        </w:rPr>
      </w:pPr>
      <w:r w:rsidRPr="00524BEA">
        <w:rPr>
          <w:rFonts w:hint="cs"/>
          <w:rtl/>
        </w:rPr>
        <w:t>الثالث: لكل مطلّقة على وجه الاستحباب.</w:t>
      </w:r>
    </w:p>
    <w:p w:rsidR="00212162" w:rsidRPr="00524BEA" w:rsidRDefault="00212162" w:rsidP="00925049">
      <w:pPr>
        <w:pStyle w:val="ac"/>
        <w:rPr>
          <w:rtl/>
        </w:rPr>
      </w:pPr>
      <w:r w:rsidRPr="00524BEA">
        <w:rPr>
          <w:rFonts w:hint="cs"/>
          <w:rtl/>
        </w:rPr>
        <w:t>وقال فقهاء العراق ـ وهم ممّن اعتبر القول الثاني ـ : إنه يجبر السلطان الزوج على أن يمتّعها، وذهب فقهاء المدينه إلى أنه يؤمر بها ولا يجبر عليها</w:t>
      </w:r>
      <w:r w:rsidRPr="00815C4C">
        <w:rPr>
          <w:rFonts w:cs="Taher"/>
          <w:vertAlign w:val="superscript"/>
          <w:rtl/>
        </w:rPr>
        <w:t>(</w:t>
      </w:r>
      <w:r w:rsidRPr="00815C4C">
        <w:rPr>
          <w:rFonts w:cs="Taher"/>
          <w:vertAlign w:val="superscript"/>
          <w:rtl/>
        </w:rPr>
        <w:footnoteReference w:id="538"/>
      </w:r>
      <w:r w:rsidRPr="00815C4C">
        <w:rPr>
          <w:rFonts w:cs="Taher"/>
          <w:vertAlign w:val="superscript"/>
          <w:rtl/>
        </w:rPr>
        <w:t>)</w:t>
      </w:r>
      <w:r w:rsidRPr="00524BEA">
        <w:rPr>
          <w:rFonts w:hint="cs"/>
          <w:rtl/>
        </w:rPr>
        <w:t>.</w:t>
      </w:r>
    </w:p>
    <w:p w:rsidR="00212162" w:rsidRPr="00524BEA" w:rsidRDefault="00212162" w:rsidP="00925049">
      <w:pPr>
        <w:pStyle w:val="ac"/>
        <w:spacing w:line="202" w:lineRule="auto"/>
        <w:rPr>
          <w:rtl/>
        </w:rPr>
      </w:pPr>
      <w:r w:rsidRPr="00524BEA">
        <w:rPr>
          <w:rFonts w:hint="cs"/>
          <w:rtl/>
        </w:rPr>
        <w:t>ط ـ قيل: وطلاق الرجل المتعسف، وإن كان فيه حلٌّ لمشكلة الزوج، إلا أنّه لا يصحّ أن يكون أساساً لخلق مشكلة للزوجة، من هنا حمت الشريعة مصالحها بالتعويض المادي</w:t>
      </w:r>
      <w:r w:rsidRPr="00815C4C">
        <w:rPr>
          <w:rFonts w:cs="Taher"/>
          <w:vertAlign w:val="superscript"/>
          <w:rtl/>
        </w:rPr>
        <w:t>(</w:t>
      </w:r>
      <w:r w:rsidRPr="00815C4C">
        <w:rPr>
          <w:rFonts w:cs="Taher"/>
          <w:vertAlign w:val="superscript"/>
          <w:rtl/>
        </w:rPr>
        <w:footnoteReference w:id="539"/>
      </w:r>
      <w:r w:rsidRPr="00815C4C">
        <w:rPr>
          <w:rFonts w:cs="Taher"/>
          <w:vertAlign w:val="superscript"/>
          <w:rtl/>
        </w:rPr>
        <w:t>)</w:t>
      </w:r>
      <w:r w:rsidRPr="00524BEA">
        <w:rPr>
          <w:rFonts w:hint="cs"/>
          <w:rtl/>
        </w:rPr>
        <w:t>.</w:t>
      </w:r>
    </w:p>
    <w:p w:rsidR="00212162" w:rsidRPr="00524BEA" w:rsidRDefault="00212162" w:rsidP="00925049">
      <w:pPr>
        <w:pStyle w:val="ac"/>
        <w:spacing w:line="211" w:lineRule="auto"/>
        <w:rPr>
          <w:rtl/>
        </w:rPr>
      </w:pPr>
      <w:r w:rsidRPr="00524BEA">
        <w:rPr>
          <w:rFonts w:hint="cs"/>
          <w:rtl/>
        </w:rPr>
        <w:lastRenderedPageBreak/>
        <w:t>إنّ كل حقّ في الشريعة غالباً ما يُصاحبه أو ينشأ عنه في الغالب ضررٌ للآخرين، فإذا كان الطلاق حقاً للرجل يوقعه بإرادته ليحلّ مشكلته، فلابد من مراعاة حقّ الزوجة، طالما استفاد من طلاقه غنم، ولكل غنم غرم.</w:t>
      </w:r>
    </w:p>
    <w:p w:rsidR="00212162" w:rsidRPr="00925049" w:rsidRDefault="00212162" w:rsidP="00925049">
      <w:pPr>
        <w:pStyle w:val="afffffc"/>
        <w:rPr>
          <w:sz w:val="32"/>
          <w:szCs w:val="30"/>
          <w:rtl/>
        </w:rPr>
      </w:pPr>
    </w:p>
    <w:p w:rsidR="00212162" w:rsidRDefault="00212162" w:rsidP="00925049">
      <w:pPr>
        <w:pStyle w:val="2"/>
        <w:rPr>
          <w:rtl/>
        </w:rPr>
      </w:pPr>
      <w:bookmarkStart w:id="322" w:name="_Toc275128042"/>
      <w:r>
        <w:rPr>
          <w:rFonts w:hint="cs"/>
          <w:rtl/>
        </w:rPr>
        <w:t>4 ـ مناقشة الردود</w:t>
      </w:r>
      <w:bookmarkEnd w:id="322"/>
    </w:p>
    <w:p w:rsidR="00212162" w:rsidRPr="00524BEA" w:rsidRDefault="00212162" w:rsidP="005D5BE3">
      <w:pPr>
        <w:pStyle w:val="ac"/>
        <w:rPr>
          <w:rtl/>
        </w:rPr>
      </w:pPr>
      <w:r w:rsidRPr="00524BEA">
        <w:rPr>
          <w:rFonts w:hint="cs"/>
          <w:rtl/>
        </w:rPr>
        <w:t>أ ـ إنّهم يتخطّون إصرار الفقهاء المسلمين في أنهم لا يعرضون الضرر المعنوي بالمال ويقيسونه على الضرر المادي، والقياس فيه فارق أو يحتاج إلى دليل لإلحاقه.</w:t>
      </w:r>
    </w:p>
    <w:p w:rsidR="00212162" w:rsidRPr="00524BEA" w:rsidRDefault="00212162" w:rsidP="005D5BE3">
      <w:pPr>
        <w:pStyle w:val="ac"/>
        <w:rPr>
          <w:rtl/>
        </w:rPr>
      </w:pPr>
      <w:r w:rsidRPr="00524BEA">
        <w:rPr>
          <w:rFonts w:hint="cs"/>
          <w:rtl/>
        </w:rPr>
        <w:t>ب ـ ويتخطّون قاعدة الجواز الشرعي ينافي الضمان، بل حتى الطلاق المحرّم، فعقوبته ديانتية، وجرّها إلى القضائية الدنيوية مبنى على استحسانٍ محض.</w:t>
      </w:r>
    </w:p>
    <w:p w:rsidR="00212162" w:rsidRPr="00524BEA" w:rsidRDefault="00212162" w:rsidP="005D5BE3">
      <w:pPr>
        <w:pStyle w:val="ac"/>
        <w:rPr>
          <w:rtl/>
        </w:rPr>
      </w:pPr>
      <w:r w:rsidRPr="00524BEA">
        <w:rPr>
          <w:rFonts w:hint="cs"/>
          <w:rtl/>
        </w:rPr>
        <w:t>ج ـ وهم يبنون تعويض التعسّف على مسؤولية تقصيرية، مع أنّ إثباتها صعب، ومعه فالعقوبة ديانتية، ويتخطّون أن التعزير على ما لا يصحّ شرعاً، والطلاق جائز شرعاً، وأرش الألم عند أبي يوسف جاء من جرّاء عمل مادي كالضرب والشجّ الذي عليه دية، وإلا لم فرع من ذلك، ويتخطّون عدم تعرّض الفقهاء للضرر المتوقع المستقبلي؛ لأن الضرر المعوّض لابد أن يكون واقعاً لا متوقّعاً.</w:t>
      </w:r>
    </w:p>
    <w:p w:rsidR="00212162" w:rsidRPr="00524BEA" w:rsidRDefault="00212162" w:rsidP="005D5BE3">
      <w:pPr>
        <w:pStyle w:val="ac"/>
        <w:rPr>
          <w:rtl/>
        </w:rPr>
      </w:pPr>
      <w:r w:rsidRPr="00524BEA">
        <w:rPr>
          <w:rFonts w:hint="cs"/>
          <w:rtl/>
        </w:rPr>
        <w:t>د ـ أمّا قولهم: إن الزواج مسؤولية تعاقدية ترتّبت على المطلق تعسفاً، فهو غير صحيح في رأينا؛ لجواز فسخه بالنظام العام، والفسخ ليس إخلالا بالعقد وليس التعويض مترتباً على طبيعة العقد</w:t>
      </w:r>
      <w:r w:rsidRPr="00815C4C">
        <w:rPr>
          <w:rFonts w:cs="Taher"/>
          <w:vertAlign w:val="superscript"/>
          <w:rtl/>
        </w:rPr>
        <w:t>(</w:t>
      </w:r>
      <w:r w:rsidRPr="00815C4C">
        <w:rPr>
          <w:rFonts w:cs="Taher"/>
          <w:vertAlign w:val="superscript"/>
          <w:rtl/>
        </w:rPr>
        <w:footnoteReference w:id="540"/>
      </w:r>
      <w:r w:rsidRPr="00815C4C">
        <w:rPr>
          <w:rFonts w:cs="Taher"/>
          <w:vertAlign w:val="superscript"/>
          <w:rtl/>
        </w:rPr>
        <w:t>)</w:t>
      </w:r>
      <w:r w:rsidRPr="00524BEA">
        <w:rPr>
          <w:rFonts w:hint="cs"/>
          <w:rtl/>
        </w:rPr>
        <w:t>، أما تقليل حالات الطلاق التعسفي بالتعويض المالي، فهذا مما لا يعدّ أصلاً ودليلاً شرعياً، فالحكمة في التشريعات لا تصلح دليلاً شرعياً.</w:t>
      </w:r>
    </w:p>
    <w:p w:rsidR="00212162" w:rsidRPr="00524BEA" w:rsidRDefault="00212162" w:rsidP="005D5BE3">
      <w:pPr>
        <w:pStyle w:val="ac"/>
        <w:rPr>
          <w:rtl/>
        </w:rPr>
      </w:pPr>
      <w:r w:rsidRPr="00524BEA">
        <w:rPr>
          <w:rFonts w:hint="cs"/>
          <w:rtl/>
        </w:rPr>
        <w:t>هـ ـ ولا عبرة بمساواتهم بين نفقة التعسف، وحقوقها الشرعية الثابتة كالمهر المؤجل لأنه دين ونفقة العدة، لأنه ثبت بنصّ صريح، وإلحاق نفقة التعسّف الاجتهادية والمختلف فيها بما ورد به نصّ تحكّمٌ في الشرع.</w:t>
      </w:r>
    </w:p>
    <w:p w:rsidR="00212162" w:rsidRDefault="00212162" w:rsidP="005D5BE3">
      <w:pPr>
        <w:pStyle w:val="1"/>
        <w:rPr>
          <w:rtl/>
        </w:rPr>
      </w:pPr>
      <w:bookmarkStart w:id="323" w:name="_Toc275128043"/>
      <w:r>
        <w:rPr>
          <w:rFonts w:hint="cs"/>
          <w:rtl/>
        </w:rPr>
        <w:lastRenderedPageBreak/>
        <w:t>الخاتمة ونتيجة البحث</w:t>
      </w:r>
      <w:bookmarkEnd w:id="323"/>
    </w:p>
    <w:p w:rsidR="00212162" w:rsidRPr="00524BEA" w:rsidRDefault="00212162" w:rsidP="00D537F7">
      <w:pPr>
        <w:pStyle w:val="ac"/>
        <w:rPr>
          <w:rtl/>
        </w:rPr>
      </w:pPr>
      <w:r w:rsidRPr="00524BEA">
        <w:rPr>
          <w:rFonts w:hint="cs"/>
          <w:rtl/>
        </w:rPr>
        <w:t xml:space="preserve">يقول الشيخ محمد أبو زهرة: </w:t>
      </w:r>
      <w:r w:rsidRPr="00524BEA">
        <w:rPr>
          <w:rtl/>
        </w:rPr>
        <w:t>«</w:t>
      </w:r>
      <w:r w:rsidRPr="00524BEA">
        <w:rPr>
          <w:rFonts w:hint="cs"/>
          <w:rtl/>
        </w:rPr>
        <w:t>إن المحاكم التي سلكت مسلك التعويض في التعسّف هي الأقل عدداً في مصر، أما أكثر المحاكم فقد استقرّ أمرُها أنه لا تعويض في الطلاق، ومع ذلك فقد اقترح مشروع سنة 1956م في مصر أنه إذا كان الطلاق بعد الدخول بغير رضاها فلها متعة نفقة سنة بعد انتهاء العدّة</w:t>
      </w:r>
      <w:r w:rsidRPr="00524BEA">
        <w:rPr>
          <w:rtl/>
        </w:rPr>
        <w:t>»</w:t>
      </w:r>
      <w:r w:rsidRPr="00815C4C">
        <w:rPr>
          <w:rFonts w:cs="Taher"/>
          <w:vertAlign w:val="superscript"/>
          <w:rtl/>
        </w:rPr>
        <w:t>(</w:t>
      </w:r>
      <w:r w:rsidRPr="00815C4C">
        <w:rPr>
          <w:rFonts w:cs="Taher"/>
          <w:vertAlign w:val="superscript"/>
          <w:rtl/>
        </w:rPr>
        <w:footnoteReference w:id="541"/>
      </w:r>
      <w:r w:rsidRPr="00815C4C">
        <w:rPr>
          <w:rFonts w:cs="Taher"/>
          <w:vertAlign w:val="superscript"/>
          <w:rtl/>
        </w:rPr>
        <w:t>)</w:t>
      </w:r>
      <w:r w:rsidRPr="00524BEA">
        <w:rPr>
          <w:rFonts w:hint="cs"/>
          <w:rtl/>
        </w:rPr>
        <w:t>.</w:t>
      </w:r>
    </w:p>
    <w:p w:rsidR="00212162" w:rsidRPr="00524BEA" w:rsidRDefault="00212162" w:rsidP="005D5BE3">
      <w:pPr>
        <w:pStyle w:val="ac"/>
        <w:rPr>
          <w:rtl/>
        </w:rPr>
      </w:pPr>
      <w:r w:rsidRPr="00524BEA">
        <w:rPr>
          <w:rFonts w:hint="cs"/>
          <w:rtl/>
        </w:rPr>
        <w:t>وقد أثبتنا أن ليس لهذا مستند شرعي صحيح، فكيف بقانون الأحوال الشخصية العراقي الذي يقرّر أنّ لها نفقة سنتين، علاوة على حقوقها الثابتة.</w:t>
      </w:r>
    </w:p>
    <w:p w:rsidR="003246D4" w:rsidRDefault="00212162" w:rsidP="005D5BE3">
      <w:pPr>
        <w:pStyle w:val="ac"/>
        <w:rPr>
          <w:rtl/>
        </w:rPr>
      </w:pPr>
      <w:r w:rsidRPr="00524BEA">
        <w:rPr>
          <w:rFonts w:hint="cs"/>
          <w:rtl/>
        </w:rPr>
        <w:t>لذلك فإن المادة (39) في فقرتها (3) مما يجب إلغاؤه أو تعديله؛ لأنه لا يستند إلى أساسٍ سليم، فضلاً عن أن التحقق من كون الزوج متعسفاً في طلاقه، وأن الزوجة أصابها ضرر مسألة متروكة لتقدير المحكمة، وحيث لا يصحّ إحالة مثل هذه القضية إلى الخبراء</w:t>
      </w:r>
      <w:r w:rsidRPr="00815C4C">
        <w:rPr>
          <w:rFonts w:cs="Taher"/>
          <w:vertAlign w:val="superscript"/>
          <w:rtl/>
        </w:rPr>
        <w:t>(</w:t>
      </w:r>
      <w:r w:rsidRPr="00815C4C">
        <w:rPr>
          <w:rFonts w:cs="Taher"/>
          <w:vertAlign w:val="superscript"/>
          <w:rtl/>
        </w:rPr>
        <w:footnoteReference w:id="542"/>
      </w:r>
      <w:r w:rsidRPr="00815C4C">
        <w:rPr>
          <w:rFonts w:cs="Taher"/>
          <w:vertAlign w:val="superscript"/>
          <w:rtl/>
        </w:rPr>
        <w:t>)</w:t>
      </w:r>
      <w:r w:rsidRPr="00524BEA">
        <w:rPr>
          <w:rFonts w:hint="cs"/>
          <w:rtl/>
        </w:rPr>
        <w:t>؛ فإنها تعطي للقاضي سلطة واسعة بلا أدواتٍ لتقدير التعسّف ولتقدير الضرر الذي يلحق الزوجة، وعليه، فإن الموضوع برمّته يحتاج إلى تعديل أو إلغاء وإحالة الأمر إلى العقوبة الدينية.</w:t>
      </w:r>
    </w:p>
    <w:p w:rsidR="003246D4" w:rsidRDefault="003246D4" w:rsidP="005D5BE3">
      <w:pPr>
        <w:pStyle w:val="ac"/>
        <w:rPr>
          <w:rtl/>
        </w:rPr>
        <w:sectPr w:rsidR="003246D4" w:rsidSect="00EA348C">
          <w:headerReference w:type="even" r:id="rId63"/>
          <w:headerReference w:type="default" r:id="rId6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5D5BE3" w:rsidRDefault="005D5BE3" w:rsidP="005D5BE3">
      <w:pPr>
        <w:pStyle w:val="ac"/>
        <w:rPr>
          <w:rtl/>
        </w:rPr>
      </w:pPr>
    </w:p>
    <w:p w:rsidR="003246D4" w:rsidRDefault="005D5BE3" w:rsidP="003246D4">
      <w:pPr>
        <w:widowControl/>
        <w:bidi w:val="0"/>
        <w:spacing w:line="240" w:lineRule="auto"/>
        <w:ind w:firstLine="0"/>
        <w:jc w:val="left"/>
        <w:outlineLvl w:val="9"/>
        <w:rPr>
          <w:rtl/>
        </w:rPr>
      </w:pPr>
      <w:r>
        <w:rPr>
          <w:rtl/>
        </w:rPr>
        <w:br w:type="page"/>
      </w:r>
    </w:p>
    <w:p w:rsidR="003246D4" w:rsidRDefault="003246D4" w:rsidP="003246D4">
      <w:pPr>
        <w:pStyle w:val="ac"/>
        <w:rPr>
          <w:rtl/>
        </w:rPr>
      </w:pPr>
    </w:p>
    <w:p w:rsidR="003246D4" w:rsidRDefault="003246D4" w:rsidP="003246D4">
      <w:pPr>
        <w:pStyle w:val="ac"/>
        <w:rPr>
          <w:rtl/>
        </w:rPr>
      </w:pPr>
    </w:p>
    <w:p w:rsidR="003246D4" w:rsidRDefault="003246D4" w:rsidP="003246D4">
      <w:pPr>
        <w:pStyle w:val="ac"/>
        <w:rPr>
          <w:rtl/>
        </w:rPr>
      </w:pPr>
    </w:p>
    <w:p w:rsidR="003246D4" w:rsidRDefault="003246D4" w:rsidP="003246D4">
      <w:pPr>
        <w:pStyle w:val="ac"/>
        <w:rPr>
          <w:rtl/>
        </w:rPr>
      </w:pPr>
    </w:p>
    <w:p w:rsidR="003246D4" w:rsidRDefault="003246D4" w:rsidP="003246D4">
      <w:pPr>
        <w:pStyle w:val="ac"/>
        <w:rPr>
          <w:rtl/>
        </w:rPr>
      </w:pPr>
    </w:p>
    <w:p w:rsidR="003246D4" w:rsidRDefault="003246D4" w:rsidP="00B97DA2">
      <w:pPr>
        <w:pStyle w:val="aff2"/>
        <w:rPr>
          <w:rtl/>
        </w:rPr>
        <w:sectPr w:rsidR="003246D4" w:rsidSect="00EA348C">
          <w:headerReference w:type="even" r:id="rId65"/>
          <w:headerReference w:type="default" r:id="rId6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601F43" w:rsidRDefault="00601F43" w:rsidP="00B97DA2">
      <w:pPr>
        <w:pStyle w:val="aff2"/>
        <w:rPr>
          <w:rtl/>
        </w:rPr>
      </w:pPr>
      <w:bookmarkStart w:id="324" w:name="_Toc275128044"/>
      <w:r>
        <w:rPr>
          <w:rFonts w:hint="cs"/>
          <w:rtl/>
        </w:rPr>
        <w:lastRenderedPageBreak/>
        <w:t>بلوغ الأنثى</w:t>
      </w:r>
      <w:bookmarkEnd w:id="324"/>
    </w:p>
    <w:p w:rsidR="00601F43" w:rsidRPr="00B97DA2" w:rsidRDefault="00601F43" w:rsidP="00B97DA2">
      <w:pPr>
        <w:pStyle w:val="aff2"/>
        <w:rPr>
          <w:sz w:val="22"/>
          <w:szCs w:val="40"/>
          <w:rtl/>
        </w:rPr>
      </w:pPr>
      <w:bookmarkStart w:id="325" w:name="_Toc275128045"/>
      <w:r w:rsidRPr="00B97DA2">
        <w:rPr>
          <w:rFonts w:hint="cs"/>
          <w:sz w:val="22"/>
          <w:szCs w:val="40"/>
          <w:rtl/>
        </w:rPr>
        <w:t>دراسة استدلالية جديدة في علامات البلوغ</w:t>
      </w:r>
      <w:bookmarkEnd w:id="325"/>
    </w:p>
    <w:p w:rsidR="00601F43" w:rsidRDefault="00601F43" w:rsidP="00B97DA2">
      <w:pPr>
        <w:pStyle w:val="af7"/>
        <w:rPr>
          <w:rtl/>
        </w:rPr>
      </w:pPr>
      <w:bookmarkStart w:id="326" w:name="_Toc275128046"/>
      <w:r>
        <w:rPr>
          <w:rFonts w:hint="cs"/>
          <w:rtl/>
        </w:rPr>
        <w:t>الشيخ حسن حسين البشيري</w:t>
      </w:r>
      <w:r w:rsidRPr="00F44FF5">
        <w:rPr>
          <w:rStyle w:val="FootnoteReference"/>
          <w:rFonts w:cs="md_ameli"/>
          <w:b/>
          <w:bCs w:val="0"/>
          <w:sz w:val="36"/>
          <w:szCs w:val="36"/>
          <w:rtl/>
        </w:rPr>
        <w:footnoteReference w:customMarkFollows="1" w:id="543"/>
        <w:t>(*)</w:t>
      </w:r>
      <w:bookmarkEnd w:id="326"/>
    </w:p>
    <w:p w:rsidR="00B97DA2" w:rsidRPr="00925049" w:rsidRDefault="00B97DA2" w:rsidP="00B97DA2">
      <w:pPr>
        <w:pStyle w:val="ac"/>
        <w:rPr>
          <w:sz w:val="30"/>
          <w:szCs w:val="32"/>
        </w:rPr>
      </w:pPr>
    </w:p>
    <w:p w:rsidR="00601F43" w:rsidRDefault="00601F43" w:rsidP="00B97DA2">
      <w:pPr>
        <w:pStyle w:val="1"/>
        <w:rPr>
          <w:rtl/>
        </w:rPr>
      </w:pPr>
      <w:bookmarkStart w:id="327" w:name="_Toc275128047"/>
      <w:r>
        <w:rPr>
          <w:rFonts w:hint="cs"/>
          <w:rtl/>
        </w:rPr>
        <w:t>مدخل</w:t>
      </w:r>
      <w:bookmarkEnd w:id="327"/>
    </w:p>
    <w:p w:rsidR="00601F43" w:rsidRPr="00CD4BDD" w:rsidRDefault="00601F43" w:rsidP="00B97DA2">
      <w:pPr>
        <w:pStyle w:val="ac"/>
        <w:rPr>
          <w:rtl/>
        </w:rPr>
      </w:pPr>
      <w:r w:rsidRPr="00CD4BDD">
        <w:rPr>
          <w:rFonts w:hint="cs"/>
          <w:rtl/>
        </w:rPr>
        <w:t>تعرّضنا في بحث سابق</w:t>
      </w:r>
      <w:r w:rsidRPr="00815C4C">
        <w:rPr>
          <w:rFonts w:cs="Taher" w:hint="cs"/>
          <w:vertAlign w:val="superscript"/>
          <w:rtl/>
        </w:rPr>
        <w:t>(</w:t>
      </w:r>
      <w:r w:rsidRPr="00815C4C">
        <w:rPr>
          <w:rFonts w:cs="Taher"/>
          <w:vertAlign w:val="superscript"/>
          <w:rtl/>
        </w:rPr>
        <w:footnoteReference w:id="544"/>
      </w:r>
      <w:r w:rsidRPr="00815C4C">
        <w:rPr>
          <w:rFonts w:cs="Taher" w:hint="cs"/>
          <w:vertAlign w:val="superscript"/>
          <w:rtl/>
        </w:rPr>
        <w:t>)</w:t>
      </w:r>
      <w:r w:rsidRPr="00CD4BDD">
        <w:rPr>
          <w:rFonts w:hint="cs"/>
          <w:rtl/>
        </w:rPr>
        <w:t xml:space="preserve"> عن علامات بلوغ الذكر عند الفريقين، وذكرنا أقوالهم وأدلتهم، وانتهينا إلى أن بلوغ </w:t>
      </w:r>
      <w:r w:rsidRPr="00935CC0">
        <w:rPr>
          <w:rFonts w:hint="cs"/>
          <w:rtl/>
        </w:rPr>
        <w:t>الذكر</w:t>
      </w:r>
      <w:r w:rsidRPr="00CD4BDD">
        <w:rPr>
          <w:rFonts w:hint="cs"/>
          <w:rtl/>
        </w:rPr>
        <w:t xml:space="preserve"> يكون بأحد أمرين: إما بالاحتلام والإنزال أو بإتمام ثلاث عشرة سنة والدخول في أربع عشرة سنة قمرية، وأثبتنا أن ما هو المشهور بين علماء الإمامية من تحقّق البلوغ بالإنبات أو بإتمام خمس عشرة غير صحيح، وإليك الآن بحث علامات بلوغ الأنثى، راجين من المولى العزيز الحكيم أن يوفقنا لإكماله وأن يسدّدنا للصواب.</w:t>
      </w:r>
    </w:p>
    <w:p w:rsidR="00601F43" w:rsidRPr="00CD4BDD" w:rsidRDefault="00601F43" w:rsidP="00925049">
      <w:pPr>
        <w:pStyle w:val="afffffc"/>
        <w:rPr>
          <w:rtl/>
        </w:rPr>
      </w:pPr>
    </w:p>
    <w:p w:rsidR="00601F43" w:rsidRDefault="00601F43" w:rsidP="00B97DA2">
      <w:pPr>
        <w:pStyle w:val="1"/>
        <w:rPr>
          <w:rtl/>
        </w:rPr>
      </w:pPr>
      <w:bookmarkStart w:id="328" w:name="_Toc275128048"/>
      <w:r>
        <w:rPr>
          <w:rFonts w:hint="cs"/>
          <w:rtl/>
        </w:rPr>
        <w:t>علامات البلوغ عند أهل السنّة</w:t>
      </w:r>
      <w:bookmarkEnd w:id="328"/>
    </w:p>
    <w:p w:rsidR="00601F43" w:rsidRPr="00CD4BDD" w:rsidRDefault="00601F43" w:rsidP="00925049">
      <w:pPr>
        <w:pStyle w:val="ac"/>
        <w:spacing w:line="199" w:lineRule="auto"/>
        <w:rPr>
          <w:rtl/>
        </w:rPr>
      </w:pPr>
      <w:r w:rsidRPr="00CD4BDD">
        <w:rPr>
          <w:rFonts w:hint="cs"/>
          <w:rtl/>
        </w:rPr>
        <w:t xml:space="preserve">قالت الحنفية: يعرف بلوغ الأنثى بالحيض والحبل بإكمال خمس عشرة سنة، وقال أبو حنيفة: بل بإكمال سبع عشرة سنة. وقالت المالكية: يعرف بلوغها بالحيض والحبل </w:t>
      </w:r>
      <w:r w:rsidRPr="00CD4BDD">
        <w:rPr>
          <w:rFonts w:hint="cs"/>
          <w:rtl/>
        </w:rPr>
        <w:lastRenderedPageBreak/>
        <w:t>وإنبات شعر العانة الخشن والإنزال وبإتمام اثني عشرة سنة، وقيل: بالدخول فيها</w:t>
      </w:r>
      <w:r w:rsidRPr="00815C4C">
        <w:rPr>
          <w:rFonts w:cs="Taher" w:hint="cs"/>
          <w:vertAlign w:val="superscript"/>
          <w:rtl/>
        </w:rPr>
        <w:t>(</w:t>
      </w:r>
      <w:r w:rsidRPr="00815C4C">
        <w:rPr>
          <w:rFonts w:cs="Taher"/>
          <w:vertAlign w:val="superscript"/>
          <w:rtl/>
        </w:rPr>
        <w:footnoteReference w:id="545"/>
      </w:r>
      <w:r w:rsidRPr="00815C4C">
        <w:rPr>
          <w:rFonts w:cs="Taher" w:hint="cs"/>
          <w:vertAlign w:val="superscript"/>
          <w:rtl/>
        </w:rPr>
        <w:t>)</w:t>
      </w:r>
      <w:r w:rsidRPr="00CD4BDD">
        <w:rPr>
          <w:rFonts w:hint="cs"/>
          <w:rtl/>
        </w:rPr>
        <w:t>. وقالت الشافعية: يعرف بلوغ الأنثى بالإمناء والحيض وإتمام خمس عشرة سنة والإنبات. وقالت الحنابلة: يحصل بلوغها بالإنزال وبنبات شعر العانة وبالحيض والحمل وبإكمال خمس عشرة سنة</w:t>
      </w:r>
      <w:r w:rsidRPr="00815C4C">
        <w:rPr>
          <w:rFonts w:cs="Taher" w:hint="cs"/>
          <w:vertAlign w:val="superscript"/>
          <w:rtl/>
        </w:rPr>
        <w:t>(</w:t>
      </w:r>
      <w:r w:rsidRPr="00815C4C">
        <w:rPr>
          <w:rFonts w:cs="Taher"/>
          <w:vertAlign w:val="superscript"/>
          <w:rtl/>
        </w:rPr>
        <w:footnoteReference w:id="546"/>
      </w:r>
      <w:r w:rsidRPr="00815C4C">
        <w:rPr>
          <w:rFonts w:cs="Taher" w:hint="cs"/>
          <w:vertAlign w:val="superscript"/>
          <w:rtl/>
        </w:rPr>
        <w:t>)</w:t>
      </w:r>
      <w:r w:rsidRPr="00CD4BDD">
        <w:rPr>
          <w:rFonts w:hint="cs"/>
          <w:rtl/>
        </w:rPr>
        <w:t>.</w:t>
      </w:r>
    </w:p>
    <w:p w:rsidR="00601F43" w:rsidRPr="00CD4BDD" w:rsidRDefault="00601F43" w:rsidP="00925049">
      <w:pPr>
        <w:pStyle w:val="ac"/>
        <w:spacing w:line="199" w:lineRule="auto"/>
        <w:rPr>
          <w:rtl/>
        </w:rPr>
      </w:pPr>
      <w:r w:rsidRPr="00CD4BDD">
        <w:rPr>
          <w:rFonts w:hint="cs"/>
          <w:rtl/>
        </w:rPr>
        <w:t>أقول: أما تحقق البلوغ بالإمناء والحيض فمما لا إشكال فيه ولا شبهة؛ للآيات والروايات الآتية، وأما تحققه بالإنبات وإكمال خمس عشرة سنة فلقضيتي: ابن عمر وعطية القرظي، وقد أبطلنا الاستدلال بهما في البحث السابق عن بلوغ الذكر فلا نعيد</w:t>
      </w:r>
      <w:r w:rsidRPr="00815C4C">
        <w:rPr>
          <w:rFonts w:cs="Taher" w:hint="cs"/>
          <w:vertAlign w:val="superscript"/>
          <w:rtl/>
        </w:rPr>
        <w:t>(</w:t>
      </w:r>
      <w:r w:rsidRPr="00815C4C">
        <w:rPr>
          <w:rFonts w:cs="Taher"/>
          <w:vertAlign w:val="superscript"/>
          <w:rtl/>
        </w:rPr>
        <w:footnoteReference w:id="547"/>
      </w:r>
      <w:r w:rsidRPr="00815C4C">
        <w:rPr>
          <w:rFonts w:cs="Taher" w:hint="cs"/>
          <w:vertAlign w:val="superscript"/>
          <w:rtl/>
        </w:rPr>
        <w:t>)</w:t>
      </w:r>
      <w:r w:rsidRPr="00CD4BDD">
        <w:rPr>
          <w:rFonts w:hint="cs"/>
          <w:rtl/>
        </w:rPr>
        <w:t>. كما أبطلنا دليل القائل بإكمال ثماني عشرة سنة.</w:t>
      </w:r>
    </w:p>
    <w:p w:rsidR="00601F43" w:rsidRPr="00925049" w:rsidRDefault="00601F43" w:rsidP="00925049">
      <w:pPr>
        <w:pStyle w:val="afffffc"/>
        <w:rPr>
          <w:sz w:val="16"/>
          <w:szCs w:val="14"/>
          <w:rtl/>
        </w:rPr>
      </w:pPr>
    </w:p>
    <w:p w:rsidR="00601F43" w:rsidRDefault="00601F43" w:rsidP="00B97DA2">
      <w:pPr>
        <w:pStyle w:val="1"/>
        <w:rPr>
          <w:rtl/>
        </w:rPr>
      </w:pPr>
      <w:bookmarkStart w:id="329" w:name="_Toc275128049"/>
      <w:r>
        <w:rPr>
          <w:rFonts w:hint="cs"/>
          <w:rtl/>
        </w:rPr>
        <w:t>علامات البلوغ في المذهب الإمامي</w:t>
      </w:r>
      <w:bookmarkEnd w:id="329"/>
    </w:p>
    <w:p w:rsidR="00601F43" w:rsidRPr="00CD4BDD" w:rsidRDefault="00601F43" w:rsidP="00925049">
      <w:pPr>
        <w:pStyle w:val="ac"/>
        <w:spacing w:line="199" w:lineRule="auto"/>
        <w:rPr>
          <w:rtl/>
        </w:rPr>
      </w:pPr>
      <w:r w:rsidRPr="00CD4BDD">
        <w:rPr>
          <w:rFonts w:hint="cs"/>
          <w:rtl/>
        </w:rPr>
        <w:t>المعروف المشهور بين فقهاء الإمامية أن بلوغ المرأة يكون بأحد أمور: إما بالإنزال وإما بالحيض أو بالنبات وإما بإكمال تسع سنين، وإليك آراء القدماء منهم التي احتجّ بها بعض المتأخرين:</w:t>
      </w:r>
    </w:p>
    <w:p w:rsidR="00601F43" w:rsidRPr="00925049" w:rsidRDefault="00601F43" w:rsidP="00925049">
      <w:pPr>
        <w:pStyle w:val="afffffc"/>
        <w:rPr>
          <w:sz w:val="18"/>
          <w:szCs w:val="16"/>
          <w:rtl/>
        </w:rPr>
      </w:pPr>
    </w:p>
    <w:p w:rsidR="00601F43" w:rsidRDefault="00601F43" w:rsidP="00B97DA2">
      <w:pPr>
        <w:pStyle w:val="1"/>
        <w:rPr>
          <w:rtl/>
        </w:rPr>
      </w:pPr>
      <w:bookmarkStart w:id="330" w:name="_Toc275128050"/>
      <w:r>
        <w:rPr>
          <w:rFonts w:hint="cs"/>
          <w:rtl/>
        </w:rPr>
        <w:t>أقوال العلماء</w:t>
      </w:r>
      <w:bookmarkEnd w:id="330"/>
    </w:p>
    <w:p w:rsidR="00601F43" w:rsidRPr="00CD4BDD" w:rsidRDefault="00601F43" w:rsidP="00925049">
      <w:pPr>
        <w:pStyle w:val="ac"/>
        <w:spacing w:line="199" w:lineRule="auto"/>
        <w:rPr>
          <w:rtl/>
        </w:rPr>
      </w:pPr>
      <w:r w:rsidRPr="00CD4BDD">
        <w:rPr>
          <w:rFonts w:hint="cs"/>
          <w:rtl/>
        </w:rPr>
        <w:t>1ـ الشيخ الصدوق (381هـ): قال في كتابه المقنع: وروي عن أبي عبد الله</w:t>
      </w:r>
      <w:r w:rsidR="00B97DA2">
        <w:rPr>
          <w:rFonts w:hint="cs"/>
          <w:rtl/>
        </w:rPr>
        <w:t>×</w:t>
      </w:r>
      <w:r w:rsidRPr="00CD4BDD">
        <w:rPr>
          <w:rFonts w:hint="cs"/>
          <w:rtl/>
        </w:rPr>
        <w:t xml:space="preserve"> أنه قال: </w:t>
      </w:r>
      <w:r w:rsidRPr="00A0774B">
        <w:rPr>
          <w:rFonts w:cs="md_ameli" w:hint="cs"/>
          <w:sz w:val="32"/>
          <w:szCs w:val="32"/>
          <w:rtl/>
        </w:rPr>
        <w:t>&gt;</w:t>
      </w:r>
      <w:r w:rsidRPr="00CD4BDD">
        <w:rPr>
          <w:rFonts w:hint="cs"/>
          <w:rtl/>
        </w:rPr>
        <w:t>على الصبي إذا احتلم الصيام وعلى المرأة إذا حاضت الصيام والخمار، إلا أن تكون مملوكة فإنه ليس عليها خمار، إلا أن تحب أن تختمر، وعليها الصيام</w:t>
      </w:r>
      <w:r w:rsidRPr="00A0774B">
        <w:rPr>
          <w:rFonts w:cs="md_ameli" w:hint="cs"/>
          <w:sz w:val="32"/>
          <w:szCs w:val="32"/>
          <w:rtl/>
        </w:rPr>
        <w:t>&lt;</w:t>
      </w:r>
      <w:r w:rsidRPr="00815C4C">
        <w:rPr>
          <w:rFonts w:cs="Taher" w:hint="cs"/>
          <w:vertAlign w:val="superscript"/>
          <w:rtl/>
        </w:rPr>
        <w:t>(</w:t>
      </w:r>
      <w:r w:rsidRPr="00815C4C">
        <w:rPr>
          <w:rFonts w:cs="Taher"/>
          <w:vertAlign w:val="superscript"/>
          <w:rtl/>
        </w:rPr>
        <w:footnoteReference w:id="548"/>
      </w:r>
      <w:r w:rsidRPr="00815C4C">
        <w:rPr>
          <w:rFonts w:cs="Taher" w:hint="cs"/>
          <w:vertAlign w:val="superscript"/>
          <w:rtl/>
        </w:rPr>
        <w:t>)</w:t>
      </w:r>
      <w:r w:rsidRPr="00CD4BDD">
        <w:rPr>
          <w:rFonts w:hint="cs"/>
          <w:rtl/>
        </w:rPr>
        <w:t>.</w:t>
      </w:r>
    </w:p>
    <w:p w:rsidR="00601F43" w:rsidRDefault="00601F43" w:rsidP="00925049">
      <w:pPr>
        <w:pStyle w:val="ac"/>
        <w:spacing w:line="199" w:lineRule="auto"/>
        <w:rPr>
          <w:rFonts w:cs="md_ameli"/>
          <w:rtl/>
        </w:rPr>
      </w:pPr>
      <w:r w:rsidRPr="00CD4BDD">
        <w:rPr>
          <w:rFonts w:hint="cs"/>
          <w:rtl/>
        </w:rPr>
        <w:t xml:space="preserve">وقال ـ بعد أن أورد الروايات في الحدّ الذي يؤخذ فيه الصبيان بالصوم، منها الرواية المتقدمة ـ قال: وهذه الأخبار كلها متفقة المعاني، يؤخذ الصبي بالصيام إذا بلغ تسع سنين إلى أربع عشرة سنة أو خمس عشرة سنة وإلى الاحتلام، وكذلك المرأة إلى الحيض </w:t>
      </w:r>
      <w:r w:rsidRPr="00CD4BDD">
        <w:rPr>
          <w:rFonts w:hint="cs"/>
          <w:rtl/>
        </w:rPr>
        <w:lastRenderedPageBreak/>
        <w:t>ووجوب عليهما بعد الاحتلام والحيض، وما قبل ذلك تأديب</w:t>
      </w:r>
      <w:r w:rsidRPr="00815C4C">
        <w:rPr>
          <w:rFonts w:cs="Taher" w:hint="cs"/>
          <w:vertAlign w:val="superscript"/>
          <w:rtl/>
        </w:rPr>
        <w:t>(</w:t>
      </w:r>
      <w:r w:rsidRPr="00815C4C">
        <w:rPr>
          <w:rFonts w:cs="Taher"/>
          <w:vertAlign w:val="superscript"/>
          <w:rtl/>
        </w:rPr>
        <w:footnoteReference w:id="549"/>
      </w:r>
      <w:r w:rsidRPr="00815C4C">
        <w:rPr>
          <w:rFonts w:cs="Taher" w:hint="cs"/>
          <w:vertAlign w:val="superscript"/>
          <w:rtl/>
        </w:rPr>
        <w:t>)</w:t>
      </w:r>
      <w:r>
        <w:rPr>
          <w:rFonts w:cs="md_ameli" w:hint="cs"/>
          <w:rtl/>
        </w:rPr>
        <w:t>.</w:t>
      </w:r>
    </w:p>
    <w:p w:rsidR="00601F43" w:rsidRPr="00CD4BDD" w:rsidRDefault="00601F43" w:rsidP="00925049">
      <w:pPr>
        <w:pStyle w:val="ac"/>
        <w:spacing w:line="202" w:lineRule="auto"/>
        <w:rPr>
          <w:rtl/>
        </w:rPr>
      </w:pPr>
      <w:r w:rsidRPr="00CD4BDD">
        <w:rPr>
          <w:rFonts w:hint="cs"/>
          <w:rtl/>
        </w:rPr>
        <w:t>وظاهره في كلا الكتابين ـ المعبّرَين عن فتواه ـ عدم العبرة في وجوب الصوم والحجاب إلا بالحيض دون العلامات الأخرى، لكن هذا لا يعني أنه ـ الصدوق ـ لا يرى بلوغ الجارية تسع سنين بلوغاً مطلقاً، وإنما ذلك خاص بالصوم أو بمطلق العبادات، وأما في غيرها فإنّه يبتنى روايات التسع في انقطاع يتم الجارية وجواز الدخول بها وإقامة الحد عليها أو لها</w:t>
      </w:r>
      <w:r w:rsidRPr="00815C4C">
        <w:rPr>
          <w:rFonts w:cs="Taher" w:hint="cs"/>
          <w:vertAlign w:val="superscript"/>
          <w:rtl/>
        </w:rPr>
        <w:t>(</w:t>
      </w:r>
      <w:r w:rsidRPr="00815C4C">
        <w:rPr>
          <w:rFonts w:cs="Taher"/>
          <w:vertAlign w:val="superscript"/>
          <w:rtl/>
        </w:rPr>
        <w:footnoteReference w:id="550"/>
      </w:r>
      <w:r w:rsidRPr="00815C4C">
        <w:rPr>
          <w:rFonts w:cs="Taher" w:hint="cs"/>
          <w:vertAlign w:val="superscript"/>
          <w:rtl/>
        </w:rPr>
        <w:t>)</w:t>
      </w:r>
      <w:r w:rsidRPr="00CD4BDD">
        <w:rPr>
          <w:rFonts w:hint="cs"/>
          <w:rtl/>
        </w:rPr>
        <w:t>، فظاهره التفصيل بين آثار البلوغ الشرعية، ولذلك أورد في كتاب الحج من الفقيه</w:t>
      </w:r>
      <w:r w:rsidRPr="00815C4C">
        <w:rPr>
          <w:rFonts w:cs="Taher" w:hint="cs"/>
          <w:vertAlign w:val="superscript"/>
          <w:rtl/>
        </w:rPr>
        <w:t>(</w:t>
      </w:r>
      <w:r w:rsidRPr="00815C4C">
        <w:rPr>
          <w:rFonts w:cs="Taher"/>
          <w:vertAlign w:val="superscript"/>
          <w:rtl/>
        </w:rPr>
        <w:footnoteReference w:id="551"/>
      </w:r>
      <w:r w:rsidRPr="00815C4C">
        <w:rPr>
          <w:rFonts w:cs="Taher" w:hint="cs"/>
          <w:vertAlign w:val="superscript"/>
          <w:rtl/>
        </w:rPr>
        <w:t>)</w:t>
      </w:r>
      <w:r w:rsidRPr="00CD4BDD">
        <w:rPr>
          <w:rFonts w:hint="cs"/>
          <w:rtl/>
        </w:rPr>
        <w:t xml:space="preserve"> رواية إسحاق بن عمار في أن الحج يجب على الجارية إذا طمثت، وروى في باب أدب المرأة في الصلاة رواية يونس بن يعقوب عن أبي عبد الله</w:t>
      </w:r>
      <w:r w:rsidR="00B97DA2">
        <w:rPr>
          <w:rFonts w:hint="cs"/>
          <w:rtl/>
        </w:rPr>
        <w:t>×</w:t>
      </w:r>
      <w:r w:rsidRPr="00CD4BDD">
        <w:rPr>
          <w:rFonts w:hint="cs"/>
          <w:rtl/>
        </w:rPr>
        <w:t xml:space="preserve"> في الرجل يصلي في ثوب واحد؟ قال: نعم، قلت: فالمرأة؟ قال: لا، ولا يصلح للحرة إذا حاضت إلا الخمار إلا أن لا تحدّه</w:t>
      </w:r>
      <w:r w:rsidRPr="00815C4C">
        <w:rPr>
          <w:rFonts w:cs="Taher" w:hint="cs"/>
          <w:vertAlign w:val="superscript"/>
          <w:rtl/>
        </w:rPr>
        <w:t>(</w:t>
      </w:r>
      <w:r w:rsidRPr="00815C4C">
        <w:rPr>
          <w:rFonts w:cs="Taher"/>
          <w:vertAlign w:val="superscript"/>
          <w:rtl/>
        </w:rPr>
        <w:footnoteReference w:id="552"/>
      </w:r>
      <w:r w:rsidRPr="00815C4C">
        <w:rPr>
          <w:rFonts w:cs="Taher" w:hint="cs"/>
          <w:vertAlign w:val="superscript"/>
          <w:rtl/>
        </w:rPr>
        <w:t>)</w:t>
      </w:r>
      <w:r w:rsidRPr="00CD4BDD">
        <w:rPr>
          <w:rFonts w:hint="cs"/>
          <w:rtl/>
        </w:rPr>
        <w:t>، وخلاصة الكلام أن ظاهر الصدوق أنه أبقى كل رواية في موردها ولم يعمّمها إلى غيره، خلافاً لما هو المعروف من وحدة معنى البلوغ وآثاره ولوازمه الشرعية.</w:t>
      </w:r>
    </w:p>
    <w:p w:rsidR="00601F43" w:rsidRPr="00CD4BDD" w:rsidRDefault="00601F43" w:rsidP="00925049">
      <w:pPr>
        <w:pStyle w:val="ac"/>
        <w:spacing w:line="199" w:lineRule="auto"/>
        <w:rPr>
          <w:rtl/>
        </w:rPr>
      </w:pPr>
      <w:r w:rsidRPr="00CD4BDD">
        <w:rPr>
          <w:rFonts w:hint="cs"/>
          <w:rtl/>
        </w:rPr>
        <w:t>2 ـ الشيخ المفيد (413هـ)، ولم أجد له ـ حسب تتبعي ـ رأياً متكاملاً في مسألة البلوغ، إلا أنه يظهر منه إناطته وجوب الصوم على المرأة بالحيض، حيث حكم في باب حكم من بلغ في شهر رمضان بأن الجارية إذا بلغت في شهر رمضان المحيض أثناء الشهر استقبلته ولم تقض ما فاتها من الصوم</w:t>
      </w:r>
      <w:r w:rsidRPr="00815C4C">
        <w:rPr>
          <w:rFonts w:cs="Taher" w:hint="cs"/>
          <w:vertAlign w:val="superscript"/>
          <w:rtl/>
        </w:rPr>
        <w:t>(</w:t>
      </w:r>
      <w:r w:rsidRPr="00815C4C">
        <w:rPr>
          <w:rFonts w:cs="Taher"/>
          <w:vertAlign w:val="superscript"/>
          <w:rtl/>
        </w:rPr>
        <w:footnoteReference w:id="553"/>
      </w:r>
      <w:r w:rsidRPr="00815C4C">
        <w:rPr>
          <w:rFonts w:cs="Taher" w:hint="cs"/>
          <w:vertAlign w:val="superscript"/>
          <w:rtl/>
        </w:rPr>
        <w:t>)</w:t>
      </w:r>
      <w:r w:rsidRPr="00CD4BDD">
        <w:rPr>
          <w:rFonts w:hint="cs"/>
          <w:rtl/>
        </w:rPr>
        <w:t>، ولو كان يرى وجوب الصوم بالسنّ لبيّنه لا محالة، لأنه ـ وهو تسع سنوات ـ متقدّم على الحيض كما سيأتي توضيحه، كما أنه يرى سنّ الحيض</w:t>
      </w:r>
      <w:r w:rsidRPr="00815C4C">
        <w:rPr>
          <w:rFonts w:cs="Taher" w:hint="cs"/>
          <w:vertAlign w:val="superscript"/>
          <w:rtl/>
        </w:rPr>
        <w:t>(</w:t>
      </w:r>
      <w:r w:rsidRPr="00815C4C">
        <w:rPr>
          <w:rFonts w:cs="Taher"/>
          <w:vertAlign w:val="superscript"/>
          <w:rtl/>
        </w:rPr>
        <w:footnoteReference w:id="554"/>
      </w:r>
      <w:r w:rsidRPr="00815C4C">
        <w:rPr>
          <w:rFonts w:cs="Taher" w:hint="cs"/>
          <w:vertAlign w:val="superscript"/>
          <w:rtl/>
        </w:rPr>
        <w:t>)</w:t>
      </w:r>
      <w:r w:rsidRPr="00CD4BDD">
        <w:rPr>
          <w:rFonts w:hint="cs"/>
          <w:rtl/>
        </w:rPr>
        <w:t xml:space="preserve"> وجواز الدخول بالجارية</w:t>
      </w:r>
      <w:r w:rsidRPr="00815C4C">
        <w:rPr>
          <w:rFonts w:cs="Taher" w:hint="cs"/>
          <w:vertAlign w:val="superscript"/>
          <w:rtl/>
        </w:rPr>
        <w:t>(</w:t>
      </w:r>
      <w:r w:rsidRPr="00815C4C">
        <w:rPr>
          <w:rFonts w:cs="Taher"/>
          <w:vertAlign w:val="superscript"/>
          <w:rtl/>
        </w:rPr>
        <w:footnoteReference w:id="555"/>
      </w:r>
      <w:r w:rsidRPr="00815C4C">
        <w:rPr>
          <w:rFonts w:cs="Taher" w:hint="cs"/>
          <w:vertAlign w:val="superscript"/>
          <w:rtl/>
        </w:rPr>
        <w:t>)</w:t>
      </w:r>
      <w:r w:rsidRPr="00CD4BDD">
        <w:rPr>
          <w:rFonts w:hint="cs"/>
          <w:rtl/>
        </w:rPr>
        <w:t xml:space="preserve"> تسع سنوات، فيظهر من الشيخ المفيد </w:t>
      </w:r>
      <w:r w:rsidRPr="00CD4BDD">
        <w:rPr>
          <w:rFonts w:hint="cs"/>
          <w:rtl/>
        </w:rPr>
        <w:lastRenderedPageBreak/>
        <w:t>كشيخه الصدوق التفريق بين آثار البلوغ، فلا تغفل عن ذلك.</w:t>
      </w:r>
    </w:p>
    <w:p w:rsidR="00601F43" w:rsidRPr="00CD4BDD" w:rsidRDefault="00601F43" w:rsidP="00925049">
      <w:pPr>
        <w:pStyle w:val="ac"/>
        <w:spacing w:line="209" w:lineRule="auto"/>
        <w:rPr>
          <w:rtl/>
        </w:rPr>
      </w:pPr>
      <w:r w:rsidRPr="00CD4BDD">
        <w:rPr>
          <w:rFonts w:hint="cs"/>
          <w:rtl/>
        </w:rPr>
        <w:t>3 ـ السيد المرتضى (436هـ)، ذكر ما ذكره أستاذه المفيد في مسألة الصوم في رسالته، فالكلام عين الكلام</w:t>
      </w:r>
      <w:r w:rsidRPr="00815C4C">
        <w:rPr>
          <w:rFonts w:cs="Taher" w:hint="cs"/>
          <w:vertAlign w:val="superscript"/>
          <w:rtl/>
        </w:rPr>
        <w:t>(</w:t>
      </w:r>
      <w:r w:rsidRPr="00815C4C">
        <w:rPr>
          <w:rFonts w:cs="Taher"/>
          <w:vertAlign w:val="superscript"/>
          <w:rtl/>
        </w:rPr>
        <w:footnoteReference w:id="556"/>
      </w:r>
      <w:r w:rsidRPr="00815C4C">
        <w:rPr>
          <w:rFonts w:cs="Taher" w:hint="cs"/>
          <w:vertAlign w:val="superscript"/>
          <w:rtl/>
        </w:rPr>
        <w:t>)</w:t>
      </w:r>
      <w:r w:rsidRPr="00CD4BDD">
        <w:rPr>
          <w:rFonts w:hint="cs"/>
          <w:rtl/>
        </w:rPr>
        <w:t>.</w:t>
      </w:r>
    </w:p>
    <w:p w:rsidR="00601F43" w:rsidRPr="00777D85" w:rsidRDefault="00601F43" w:rsidP="00925049">
      <w:pPr>
        <w:pStyle w:val="ac"/>
        <w:spacing w:line="209" w:lineRule="auto"/>
        <w:rPr>
          <w:rFonts w:cs="md_ameli"/>
          <w:rtl/>
        </w:rPr>
      </w:pPr>
      <w:r w:rsidRPr="00CD4BDD">
        <w:rPr>
          <w:rFonts w:hint="cs"/>
          <w:rtl/>
        </w:rPr>
        <w:t>4 ـ الشيخ الطوسي (460هـ)، وقد تعددت آراؤه في مسألة بلوغ النساء، ففي الخلاف</w:t>
      </w:r>
      <w:r w:rsidRPr="00815C4C">
        <w:rPr>
          <w:rFonts w:cs="Taher" w:hint="cs"/>
          <w:vertAlign w:val="superscript"/>
          <w:rtl/>
        </w:rPr>
        <w:t>(</w:t>
      </w:r>
      <w:r w:rsidRPr="00815C4C">
        <w:rPr>
          <w:rFonts w:cs="Taher"/>
          <w:vertAlign w:val="superscript"/>
          <w:rtl/>
        </w:rPr>
        <w:footnoteReference w:id="557"/>
      </w:r>
      <w:r w:rsidRPr="00815C4C">
        <w:rPr>
          <w:rFonts w:cs="Taher" w:hint="cs"/>
          <w:vertAlign w:val="superscript"/>
          <w:rtl/>
        </w:rPr>
        <w:t>)</w:t>
      </w:r>
      <w:r w:rsidRPr="00CD4BDD">
        <w:rPr>
          <w:rFonts w:hint="cs"/>
          <w:rtl/>
        </w:rPr>
        <w:t xml:space="preserve"> ادعى الإجماع ودلالة الأخبار على بلوغها بتسع سنين، وفي كتاب حجر المبسوط</w:t>
      </w:r>
      <w:r w:rsidRPr="00815C4C">
        <w:rPr>
          <w:rFonts w:cs="Taher" w:hint="cs"/>
          <w:vertAlign w:val="superscript"/>
          <w:rtl/>
        </w:rPr>
        <w:t>(</w:t>
      </w:r>
      <w:r w:rsidRPr="00815C4C">
        <w:rPr>
          <w:rFonts w:cs="Taher"/>
          <w:vertAlign w:val="superscript"/>
          <w:rtl/>
        </w:rPr>
        <w:footnoteReference w:id="558"/>
      </w:r>
      <w:r w:rsidRPr="00815C4C">
        <w:rPr>
          <w:rFonts w:cs="Taher" w:hint="cs"/>
          <w:vertAlign w:val="superscript"/>
          <w:rtl/>
        </w:rPr>
        <w:t>)</w:t>
      </w:r>
      <w:r w:rsidRPr="00CD4BDD">
        <w:rPr>
          <w:rFonts w:hint="cs"/>
          <w:rtl/>
        </w:rPr>
        <w:t xml:space="preserve"> أفتى بتحقق البلوغ في النساء بخروج المني والحيض والحمل والإنبات والسنّ وهو (تسع) سنين، وروي ـ حسب قوله ـ عشر سنين، لكننا نراه يخالف هذا الرأي في صوم المبسوط</w:t>
      </w:r>
      <w:r w:rsidRPr="00815C4C">
        <w:rPr>
          <w:rFonts w:cs="Taher" w:hint="cs"/>
          <w:vertAlign w:val="superscript"/>
          <w:rtl/>
        </w:rPr>
        <w:t>(</w:t>
      </w:r>
      <w:r w:rsidRPr="00815C4C">
        <w:rPr>
          <w:rFonts w:cs="Taher"/>
          <w:vertAlign w:val="superscript"/>
          <w:rtl/>
        </w:rPr>
        <w:footnoteReference w:id="559"/>
      </w:r>
      <w:r w:rsidRPr="00815C4C">
        <w:rPr>
          <w:rFonts w:cs="Taher" w:hint="cs"/>
          <w:vertAlign w:val="superscript"/>
          <w:rtl/>
        </w:rPr>
        <w:t>)</w:t>
      </w:r>
      <w:r w:rsidRPr="00CD4BDD">
        <w:rPr>
          <w:rFonts w:hint="cs"/>
          <w:rtl/>
        </w:rPr>
        <w:t xml:space="preserve"> فيقول: وأما البلوغ فهو شرط في وجوب العبادات الشرعية، وحدّه هو الاحتلام في الرجال والحيض في النساء أو الإنبات أو الإشعار أو يكمل له خمس عشرة سنة والمرأة تبلغ (عشر) سنين، ولكنه يخالف ذلك كلّه ويتفرد برأي آخر لم يذهب إليه غير أهل السنّة وهو بلوغ المرأة بخمس عشرة سنة، فهذا كلامه في حدود المبسوط</w:t>
      </w:r>
      <w:r w:rsidRPr="00815C4C">
        <w:rPr>
          <w:rFonts w:cs="Taher" w:hint="cs"/>
          <w:vertAlign w:val="superscript"/>
          <w:rtl/>
        </w:rPr>
        <w:t>(</w:t>
      </w:r>
      <w:r w:rsidRPr="00815C4C">
        <w:rPr>
          <w:rFonts w:cs="Taher"/>
          <w:vertAlign w:val="superscript"/>
          <w:rtl/>
        </w:rPr>
        <w:footnoteReference w:id="560"/>
      </w:r>
      <w:r w:rsidRPr="00815C4C">
        <w:rPr>
          <w:rFonts w:cs="Taher" w:hint="cs"/>
          <w:vertAlign w:val="superscript"/>
          <w:rtl/>
        </w:rPr>
        <w:t>)</w:t>
      </w:r>
      <w:r w:rsidRPr="00CD4BDD">
        <w:rPr>
          <w:rFonts w:hint="cs"/>
          <w:rtl/>
        </w:rPr>
        <w:t>: متى بلغ الغلام أو الجارية (خمس عشرة) سنة فقد بلغ سواء أنزل أو لم ينزل.. وأما الإنبات فهو أن ينبت الغلام أو الجارية الشعر الخشن حول الفرج... ثم قال: هذا ما يشترك فيه الجارية والغلام، وأما ما يختصّ به الجارية فالحيض فمتى حاضت فقد بلغت، وإن حملت لم يكن الحمل بلوغاً لكنه دلالة على البلوغ؛ فإن الحمل لا يكون إلا عن إنزال الماء الدافق وهو بلوغ</w:t>
      </w:r>
      <w:r>
        <w:rPr>
          <w:rFonts w:cs="md_ameli" w:hint="cs"/>
          <w:sz w:val="32"/>
          <w:szCs w:val="32"/>
          <w:rtl/>
        </w:rPr>
        <w:t>.</w:t>
      </w:r>
    </w:p>
    <w:p w:rsidR="00601F43" w:rsidRPr="00925049" w:rsidRDefault="00601F43" w:rsidP="00D537F7">
      <w:pPr>
        <w:pStyle w:val="ac"/>
        <w:rPr>
          <w:sz w:val="29"/>
          <w:szCs w:val="29"/>
          <w:rtl/>
        </w:rPr>
      </w:pPr>
      <w:r w:rsidRPr="00925049">
        <w:rPr>
          <w:rFonts w:hint="cs"/>
          <w:sz w:val="29"/>
          <w:szCs w:val="29"/>
          <w:rtl/>
        </w:rPr>
        <w:t>فهذه هي فتاوى الطوسي في مسألة بلوغ المرأة؛ فتارة يراه في تسع سنين كما في الخلاف وموضع من المبسوط والنهاية</w:t>
      </w:r>
      <w:r w:rsidRPr="00925049">
        <w:rPr>
          <w:rFonts w:cs="Taher" w:hint="cs"/>
          <w:sz w:val="29"/>
          <w:szCs w:val="29"/>
          <w:vertAlign w:val="superscript"/>
          <w:rtl/>
        </w:rPr>
        <w:t>(</w:t>
      </w:r>
      <w:r w:rsidRPr="00925049">
        <w:rPr>
          <w:rFonts w:cs="Taher"/>
          <w:sz w:val="29"/>
          <w:szCs w:val="29"/>
          <w:vertAlign w:val="superscript"/>
          <w:rtl/>
        </w:rPr>
        <w:footnoteReference w:id="561"/>
      </w:r>
      <w:r w:rsidRPr="00925049">
        <w:rPr>
          <w:rFonts w:cs="Taher" w:hint="cs"/>
          <w:sz w:val="29"/>
          <w:szCs w:val="29"/>
          <w:vertAlign w:val="superscript"/>
          <w:rtl/>
        </w:rPr>
        <w:t>)</w:t>
      </w:r>
      <w:r w:rsidRPr="00925049">
        <w:rPr>
          <w:rFonts w:hint="cs"/>
          <w:sz w:val="29"/>
          <w:szCs w:val="29"/>
          <w:rtl/>
        </w:rPr>
        <w:t>، وأخرى في عشر سنين، وثالثة في خمس عشرة سنة.</w:t>
      </w:r>
    </w:p>
    <w:p w:rsidR="00601F43" w:rsidRPr="00CD4BDD" w:rsidRDefault="00601F43" w:rsidP="00E52F7A">
      <w:pPr>
        <w:pStyle w:val="ac"/>
        <w:spacing w:line="209" w:lineRule="auto"/>
        <w:rPr>
          <w:rtl/>
        </w:rPr>
      </w:pPr>
      <w:r w:rsidRPr="00CD4BDD">
        <w:rPr>
          <w:rFonts w:hint="cs"/>
          <w:rtl/>
        </w:rPr>
        <w:lastRenderedPageBreak/>
        <w:t>5 ـ ابن حمزة الطوسي (560هـ)، قال في كتاب خمس الوسيلة</w:t>
      </w:r>
      <w:r w:rsidRPr="00815C4C">
        <w:rPr>
          <w:rFonts w:cs="Taher" w:hint="cs"/>
          <w:vertAlign w:val="superscript"/>
          <w:rtl/>
        </w:rPr>
        <w:t>(</w:t>
      </w:r>
      <w:r w:rsidRPr="00815C4C">
        <w:rPr>
          <w:rFonts w:cs="Taher"/>
          <w:vertAlign w:val="superscript"/>
          <w:rtl/>
        </w:rPr>
        <w:footnoteReference w:id="562"/>
      </w:r>
      <w:r w:rsidRPr="00815C4C">
        <w:rPr>
          <w:rFonts w:cs="Taher" w:hint="cs"/>
          <w:vertAlign w:val="superscript"/>
          <w:rtl/>
        </w:rPr>
        <w:t>)</w:t>
      </w:r>
      <w:r w:rsidRPr="00CD4BDD">
        <w:rPr>
          <w:rFonts w:hint="cs"/>
          <w:rtl/>
        </w:rPr>
        <w:t>:</w:t>
      </w:r>
      <w:r>
        <w:rPr>
          <w:rFonts w:cs="md_ameli" w:hint="cs"/>
          <w:rtl/>
        </w:rPr>
        <w:t xml:space="preserve"> &gt;</w:t>
      </w:r>
      <w:r w:rsidRPr="00CD4BDD">
        <w:rPr>
          <w:rFonts w:hint="cs"/>
          <w:rtl/>
        </w:rPr>
        <w:t>وبلوغ الرجل يحصل بأحد ثلاثة أشياء: الاحتلام والإنبات وتمام خمس عشرة سنة، وبلوغ المرأة بأحد شيئين: الحيض، وتمام (عشر) سنين، والحبل علامة البلوغ</w:t>
      </w:r>
      <w:r>
        <w:rPr>
          <w:rFonts w:cs="md_ameli" w:hint="cs"/>
          <w:rtl/>
        </w:rPr>
        <w:t>&lt;</w:t>
      </w:r>
      <w:r w:rsidRPr="00CD4BDD">
        <w:rPr>
          <w:rFonts w:hint="cs"/>
          <w:rtl/>
        </w:rPr>
        <w:t>. نعم تراجع عنه وقال بالتسع في كتاب النكاح.</w:t>
      </w:r>
    </w:p>
    <w:p w:rsidR="00601F43" w:rsidRPr="00CD4BDD" w:rsidRDefault="00601F43" w:rsidP="00E52F7A">
      <w:pPr>
        <w:pStyle w:val="ac"/>
        <w:spacing w:line="209" w:lineRule="auto"/>
        <w:rPr>
          <w:rtl/>
        </w:rPr>
      </w:pPr>
      <w:r w:rsidRPr="00CD4BDD">
        <w:rPr>
          <w:rFonts w:hint="cs"/>
          <w:rtl/>
        </w:rPr>
        <w:t>6 ـ القاضي ابن البراج (481هـ)</w:t>
      </w:r>
      <w:r w:rsidRPr="00815C4C">
        <w:rPr>
          <w:rFonts w:cs="Taher" w:hint="cs"/>
          <w:vertAlign w:val="superscript"/>
          <w:rtl/>
        </w:rPr>
        <w:t>(</w:t>
      </w:r>
      <w:r w:rsidRPr="00815C4C">
        <w:rPr>
          <w:rFonts w:cs="Taher"/>
          <w:vertAlign w:val="superscript"/>
          <w:rtl/>
        </w:rPr>
        <w:footnoteReference w:id="563"/>
      </w:r>
      <w:r w:rsidRPr="00815C4C">
        <w:rPr>
          <w:rFonts w:cs="Taher" w:hint="cs"/>
          <w:vertAlign w:val="superscript"/>
          <w:rtl/>
        </w:rPr>
        <w:t>)</w:t>
      </w:r>
      <w:r w:rsidRPr="00CD4BDD">
        <w:rPr>
          <w:rFonts w:hint="cs"/>
          <w:rtl/>
        </w:rPr>
        <w:t xml:space="preserve"> قال: </w:t>
      </w:r>
      <w:r>
        <w:rPr>
          <w:rFonts w:cs="md_ameli" w:hint="cs"/>
          <w:rtl/>
        </w:rPr>
        <w:t>&gt;</w:t>
      </w:r>
      <w:r w:rsidRPr="00CD4BDD">
        <w:rPr>
          <w:rFonts w:hint="cs"/>
          <w:rtl/>
        </w:rPr>
        <w:t>وحدّ بلوغ المرأة تسع سنين</w:t>
      </w:r>
      <w:r>
        <w:rPr>
          <w:rFonts w:cs="md_ameli" w:hint="cs"/>
          <w:rtl/>
        </w:rPr>
        <w:t>&lt;</w:t>
      </w:r>
      <w:r w:rsidRPr="00CD4BDD">
        <w:rPr>
          <w:rFonts w:hint="cs"/>
          <w:rtl/>
        </w:rPr>
        <w:t>.</w:t>
      </w:r>
    </w:p>
    <w:p w:rsidR="00601F43" w:rsidRPr="00CD4BDD" w:rsidRDefault="00601F43" w:rsidP="00E52F7A">
      <w:pPr>
        <w:pStyle w:val="ac"/>
        <w:spacing w:line="209" w:lineRule="auto"/>
        <w:rPr>
          <w:rtl/>
        </w:rPr>
      </w:pPr>
      <w:r w:rsidRPr="00CD4BDD">
        <w:rPr>
          <w:rFonts w:hint="cs"/>
          <w:rtl/>
        </w:rPr>
        <w:t>7 ـ ابن زهرة الحلبي (585)</w:t>
      </w:r>
      <w:r w:rsidRPr="00815C4C">
        <w:rPr>
          <w:rFonts w:cs="Taher" w:hint="cs"/>
          <w:vertAlign w:val="superscript"/>
          <w:rtl/>
        </w:rPr>
        <w:t>(</w:t>
      </w:r>
      <w:r w:rsidRPr="00815C4C">
        <w:rPr>
          <w:rFonts w:cs="Taher"/>
          <w:vertAlign w:val="superscript"/>
          <w:rtl/>
        </w:rPr>
        <w:footnoteReference w:id="564"/>
      </w:r>
      <w:r w:rsidRPr="00815C4C">
        <w:rPr>
          <w:rFonts w:cs="Taher" w:hint="cs"/>
          <w:vertAlign w:val="superscript"/>
          <w:rtl/>
        </w:rPr>
        <w:t>)</w:t>
      </w:r>
      <w:r w:rsidRPr="00CD4BDD">
        <w:rPr>
          <w:rFonts w:hint="cs"/>
          <w:rtl/>
        </w:rPr>
        <w:t xml:space="preserve"> قال: </w:t>
      </w:r>
      <w:r>
        <w:rPr>
          <w:rFonts w:cs="md_ameli" w:hint="cs"/>
          <w:rtl/>
        </w:rPr>
        <w:t>&gt;</w:t>
      </w:r>
      <w:r w:rsidRPr="00CD4BDD">
        <w:rPr>
          <w:rFonts w:hint="cs"/>
          <w:rtl/>
        </w:rPr>
        <w:t>البلوغ يكون بأحد خمسة أشياء: السنّ وظهور المني والحيض والحمل والإنبات، الدليل إجماع الطائفة وحدّ السن في الغلام خمس عشرة سنة، وفي الجارية تسع سنين بدليل الإجماع المشار إليه</w:t>
      </w:r>
      <w:r>
        <w:rPr>
          <w:rFonts w:cs="md_ameli" w:hint="cs"/>
          <w:rtl/>
        </w:rPr>
        <w:t>&lt;</w:t>
      </w:r>
      <w:r w:rsidRPr="00CD4BDD">
        <w:rPr>
          <w:rFonts w:hint="cs"/>
          <w:rtl/>
        </w:rPr>
        <w:t>.</w:t>
      </w:r>
    </w:p>
    <w:p w:rsidR="00601F43" w:rsidRPr="00CD4BDD" w:rsidRDefault="00601F43" w:rsidP="00E52F7A">
      <w:pPr>
        <w:pStyle w:val="ac"/>
        <w:spacing w:line="209" w:lineRule="auto"/>
        <w:rPr>
          <w:rtl/>
        </w:rPr>
      </w:pPr>
      <w:r w:rsidRPr="00CD4BDD">
        <w:rPr>
          <w:rFonts w:hint="cs"/>
          <w:rtl/>
        </w:rPr>
        <w:t>8 ـ ابن إدريس الحلي (596هـ)</w:t>
      </w:r>
      <w:r w:rsidRPr="00815C4C">
        <w:rPr>
          <w:rFonts w:cs="Taher" w:hint="cs"/>
          <w:vertAlign w:val="superscript"/>
          <w:rtl/>
        </w:rPr>
        <w:t>(</w:t>
      </w:r>
      <w:r w:rsidRPr="00815C4C">
        <w:rPr>
          <w:rFonts w:cs="Taher"/>
          <w:vertAlign w:val="superscript"/>
          <w:rtl/>
        </w:rPr>
        <w:footnoteReference w:id="565"/>
      </w:r>
      <w:r w:rsidRPr="00815C4C">
        <w:rPr>
          <w:rFonts w:cs="Taher" w:hint="cs"/>
          <w:vertAlign w:val="superscript"/>
          <w:rtl/>
        </w:rPr>
        <w:t>)</w:t>
      </w:r>
      <w:r w:rsidRPr="00CD4BDD">
        <w:rPr>
          <w:rFonts w:hint="cs"/>
          <w:rtl/>
        </w:rPr>
        <w:t xml:space="preserve"> قال: </w:t>
      </w:r>
      <w:r>
        <w:rPr>
          <w:rFonts w:cs="md_ameli" w:hint="cs"/>
          <w:rtl/>
        </w:rPr>
        <w:t>&gt;</w:t>
      </w:r>
      <w:r w:rsidRPr="00CD4BDD">
        <w:rPr>
          <w:rFonts w:hint="cs"/>
          <w:rtl/>
        </w:rPr>
        <w:t>وامرأة تعرف بلوغها من خمس طرائق: إما الاحتلام، أو الإنبات أو بلوغ تسع سنين، وذكر شيخنا أبو جعفر في مبسوطه في كتاب الصوم: عشر سنين، وفي نهايته تسع سنين، وهو الصحيح الظاهر في المذهب؛ لأنه لا خلاف بينهم أن حدّ بلوغ المرأة تسع سنين.. والحيض والحمل</w:t>
      </w:r>
      <w:r>
        <w:rPr>
          <w:rFonts w:cs="md_ameli" w:hint="cs"/>
          <w:rtl/>
        </w:rPr>
        <w:t>&lt;</w:t>
      </w:r>
      <w:r w:rsidRPr="00CD4BDD">
        <w:rPr>
          <w:rFonts w:hint="cs"/>
          <w:rtl/>
        </w:rPr>
        <w:t>.</w:t>
      </w:r>
    </w:p>
    <w:p w:rsidR="00601F43" w:rsidRPr="00CD4BDD" w:rsidRDefault="00601F43" w:rsidP="00E52F7A">
      <w:pPr>
        <w:pStyle w:val="ac"/>
        <w:spacing w:line="209" w:lineRule="auto"/>
        <w:rPr>
          <w:rtl/>
        </w:rPr>
      </w:pPr>
      <w:r w:rsidRPr="00CD4BDD">
        <w:rPr>
          <w:rFonts w:hint="cs"/>
          <w:rtl/>
        </w:rPr>
        <w:t>9ـ المحقق الحلي (677هـ)</w:t>
      </w:r>
      <w:r w:rsidRPr="00815C4C">
        <w:rPr>
          <w:rFonts w:cs="Taher" w:hint="cs"/>
          <w:vertAlign w:val="superscript"/>
          <w:rtl/>
        </w:rPr>
        <w:t>(</w:t>
      </w:r>
      <w:r w:rsidRPr="00815C4C">
        <w:rPr>
          <w:rFonts w:cs="Taher"/>
          <w:vertAlign w:val="superscript"/>
          <w:rtl/>
        </w:rPr>
        <w:footnoteReference w:id="566"/>
      </w:r>
      <w:r w:rsidRPr="00815C4C">
        <w:rPr>
          <w:rFonts w:cs="Taher" w:hint="cs"/>
          <w:vertAlign w:val="superscript"/>
          <w:rtl/>
        </w:rPr>
        <w:t>)</w:t>
      </w:r>
      <w:r w:rsidRPr="00CD4BDD">
        <w:rPr>
          <w:rFonts w:hint="cs"/>
          <w:rtl/>
        </w:rPr>
        <w:t>، وذكر ما يقرب من كلام ابن إدريس.</w:t>
      </w:r>
    </w:p>
    <w:p w:rsidR="00601F43" w:rsidRPr="00CD4BDD" w:rsidRDefault="00601F43" w:rsidP="00E52F7A">
      <w:pPr>
        <w:pStyle w:val="ac"/>
        <w:spacing w:line="209" w:lineRule="auto"/>
        <w:rPr>
          <w:rtl/>
        </w:rPr>
      </w:pPr>
      <w:r w:rsidRPr="00CD4BDD">
        <w:rPr>
          <w:rFonts w:hint="cs"/>
          <w:rtl/>
        </w:rPr>
        <w:t>10 ـ يحيى بن سعيد الحلي (689) قال</w:t>
      </w:r>
      <w:r w:rsidRPr="00815C4C">
        <w:rPr>
          <w:rFonts w:cs="Taher" w:hint="cs"/>
          <w:vertAlign w:val="superscript"/>
          <w:rtl/>
        </w:rPr>
        <w:t>(</w:t>
      </w:r>
      <w:r w:rsidRPr="00815C4C">
        <w:rPr>
          <w:rFonts w:cs="Taher"/>
          <w:vertAlign w:val="superscript"/>
          <w:rtl/>
        </w:rPr>
        <w:footnoteReference w:id="567"/>
      </w:r>
      <w:r w:rsidRPr="00815C4C">
        <w:rPr>
          <w:rFonts w:cs="Taher" w:hint="cs"/>
          <w:vertAlign w:val="superscript"/>
          <w:rtl/>
        </w:rPr>
        <w:t>)</w:t>
      </w:r>
      <w:r w:rsidRPr="00CD4BDD">
        <w:rPr>
          <w:rFonts w:hint="cs"/>
          <w:rtl/>
        </w:rPr>
        <w:t>:</w:t>
      </w:r>
      <w:r>
        <w:rPr>
          <w:rFonts w:cs="md_ameli" w:hint="cs"/>
          <w:rtl/>
        </w:rPr>
        <w:t xml:space="preserve"> &gt;</w:t>
      </w:r>
      <w:r w:rsidRPr="00CD4BDD">
        <w:rPr>
          <w:rFonts w:hint="cs"/>
          <w:rtl/>
        </w:rPr>
        <w:t>وبلوغ المرأة والرجل بالاحتلام وإنبات العانة، وتختصّ المرأة بالحيض وبلوغ (عشر) سنين، والرجل بخمس عشرة سنة</w:t>
      </w:r>
      <w:r>
        <w:rPr>
          <w:rFonts w:cs="md_ameli" w:hint="cs"/>
          <w:rtl/>
        </w:rPr>
        <w:t>&lt;</w:t>
      </w:r>
      <w:r w:rsidRPr="00CD4BDD">
        <w:rPr>
          <w:rFonts w:hint="cs"/>
          <w:rtl/>
        </w:rPr>
        <w:t>.</w:t>
      </w:r>
    </w:p>
    <w:p w:rsidR="00601F43" w:rsidRPr="00CD4BDD" w:rsidRDefault="00601F43" w:rsidP="00E52F7A">
      <w:pPr>
        <w:pStyle w:val="ac"/>
        <w:spacing w:line="209" w:lineRule="auto"/>
        <w:rPr>
          <w:spacing w:val="-8"/>
          <w:rtl/>
        </w:rPr>
      </w:pPr>
      <w:r w:rsidRPr="00CD4BDD">
        <w:rPr>
          <w:rFonts w:hint="cs"/>
          <w:spacing w:val="-8"/>
          <w:rtl/>
        </w:rPr>
        <w:t>1</w:t>
      </w:r>
      <w:r w:rsidR="00E52F7A">
        <w:rPr>
          <w:rFonts w:hint="cs"/>
          <w:spacing w:val="-8"/>
          <w:rtl/>
        </w:rPr>
        <w:t>1</w:t>
      </w:r>
      <w:r w:rsidRPr="00CD4BDD">
        <w:rPr>
          <w:rFonts w:hint="cs"/>
          <w:spacing w:val="-8"/>
          <w:rtl/>
        </w:rPr>
        <w:t>ـ العلامة الحلي (726) قال في القواعد</w:t>
      </w:r>
      <w:r w:rsidRPr="00815C4C">
        <w:rPr>
          <w:rFonts w:cs="Taher" w:hint="cs"/>
          <w:vertAlign w:val="superscript"/>
          <w:rtl/>
        </w:rPr>
        <w:t>(</w:t>
      </w:r>
      <w:r w:rsidRPr="00815C4C">
        <w:rPr>
          <w:rFonts w:cs="Taher"/>
          <w:vertAlign w:val="superscript"/>
          <w:rtl/>
        </w:rPr>
        <w:footnoteReference w:id="568"/>
      </w:r>
      <w:r w:rsidRPr="00815C4C">
        <w:rPr>
          <w:rFonts w:cs="Taher" w:hint="cs"/>
          <w:vertAlign w:val="superscript"/>
          <w:rtl/>
        </w:rPr>
        <w:t>)</w:t>
      </w:r>
      <w:r w:rsidRPr="00CD4BDD">
        <w:rPr>
          <w:rFonts w:hint="cs"/>
          <w:spacing w:val="-8"/>
          <w:rtl/>
        </w:rPr>
        <w:t>:</w:t>
      </w:r>
      <w:r>
        <w:rPr>
          <w:rFonts w:cs="md_ameli" w:hint="cs"/>
          <w:spacing w:val="-8"/>
          <w:rtl/>
        </w:rPr>
        <w:t xml:space="preserve"> </w:t>
      </w:r>
      <w:r w:rsidRPr="00D420F8">
        <w:rPr>
          <w:rFonts w:cs="md_ameli" w:hint="cs"/>
          <w:spacing w:val="-8"/>
          <w:rtl/>
        </w:rPr>
        <w:t>&gt;</w:t>
      </w:r>
      <w:r w:rsidRPr="00CD4BDD">
        <w:rPr>
          <w:rFonts w:hint="cs"/>
          <w:spacing w:val="-8"/>
          <w:rtl/>
        </w:rPr>
        <w:t>ويلزمان (الصبي والصبية) به قهراً عند البلوغ، وهو يحصل بالاحتلام أو الإنبات أو بلوغ الصبي خمس عشرة سنة والأنثى تسعاً</w:t>
      </w:r>
      <w:r w:rsidRPr="00D420F8">
        <w:rPr>
          <w:rFonts w:cs="md_ameli" w:hint="cs"/>
          <w:spacing w:val="-8"/>
          <w:rtl/>
        </w:rPr>
        <w:t>&lt;</w:t>
      </w:r>
      <w:r w:rsidRPr="00CD4BDD">
        <w:rPr>
          <w:rFonts w:hint="cs"/>
          <w:spacing w:val="-8"/>
          <w:rtl/>
        </w:rPr>
        <w:t>.</w:t>
      </w:r>
    </w:p>
    <w:p w:rsidR="00601F43" w:rsidRPr="00CD4BDD" w:rsidRDefault="00601F43" w:rsidP="00B97DA2">
      <w:pPr>
        <w:pStyle w:val="ac"/>
        <w:rPr>
          <w:rtl/>
        </w:rPr>
      </w:pPr>
      <w:r w:rsidRPr="00CD4BDD">
        <w:rPr>
          <w:rFonts w:hint="cs"/>
          <w:rtl/>
        </w:rPr>
        <w:lastRenderedPageBreak/>
        <w:t>كانت هذه آراء وأقوال علمائنا السابقين الذين يعتنى بأقوالهم وفتاواهم، ولا داعي لذكر أقوال من بعدهم ونقل عباراتهم، خصوصاً بعد أن اشتهرت الفتوى بين المتأخرين بتحقق بلوغ الأنثى بالإنزال أو الحيض أو الإنبات أو تسع سنين، فلنبحث عن أدلة هذه العلامات.</w:t>
      </w:r>
    </w:p>
    <w:p w:rsidR="00601F43" w:rsidRPr="00E52F7A" w:rsidRDefault="00601F43" w:rsidP="00E52F7A">
      <w:pPr>
        <w:pStyle w:val="afffffc"/>
        <w:rPr>
          <w:sz w:val="22"/>
          <w:szCs w:val="20"/>
          <w:rtl/>
        </w:rPr>
      </w:pPr>
    </w:p>
    <w:p w:rsidR="00601F43" w:rsidRDefault="00601F43" w:rsidP="00B97DA2">
      <w:pPr>
        <w:pStyle w:val="1"/>
        <w:rPr>
          <w:rtl/>
        </w:rPr>
      </w:pPr>
      <w:bookmarkStart w:id="331" w:name="_Toc275128051"/>
      <w:r>
        <w:rPr>
          <w:rFonts w:hint="cs"/>
          <w:rtl/>
        </w:rPr>
        <w:t>علامات البلوغ في الأنثى</w:t>
      </w:r>
      <w:bookmarkEnd w:id="331"/>
    </w:p>
    <w:p w:rsidR="00601F43" w:rsidRDefault="00601F43" w:rsidP="00E52F7A">
      <w:pPr>
        <w:pStyle w:val="2"/>
        <w:rPr>
          <w:rtl/>
        </w:rPr>
      </w:pPr>
      <w:bookmarkStart w:id="332" w:name="_Toc275128052"/>
      <w:r>
        <w:rPr>
          <w:rFonts w:hint="cs"/>
          <w:rtl/>
        </w:rPr>
        <w:t>العلامة الأولى: الإنزال</w:t>
      </w:r>
      <w:bookmarkEnd w:id="332"/>
    </w:p>
    <w:p w:rsidR="00601F43" w:rsidRPr="00CD4BDD" w:rsidRDefault="00601F43" w:rsidP="00D537F7">
      <w:pPr>
        <w:pStyle w:val="ac"/>
        <w:rPr>
          <w:rtl/>
        </w:rPr>
      </w:pPr>
      <w:r w:rsidRPr="00CD4BDD">
        <w:rPr>
          <w:rFonts w:hint="cs"/>
          <w:rtl/>
        </w:rPr>
        <w:t xml:space="preserve">ولا ريب في كون الاحتلام ـ بل مطلق الإنزال ـ سبباً تاماً لبلوغ المرأة، كما اتفقت عليه فتاوى الأصحاب التي قد ذكرنا بعضها. ويدل عليه إطلاق الآيات التي رتبت أحكام البالغين على الاحتلام، مثل قوله تعالى: </w:t>
      </w:r>
      <w:r>
        <w:rPr>
          <w:rFonts w:cs="md_ameli" w:hint="cs"/>
          <w:rtl/>
        </w:rPr>
        <w:t>{</w:t>
      </w:r>
      <w:r w:rsidRPr="00CD4BDD">
        <w:rPr>
          <w:b/>
          <w:bCs/>
          <w:rtl/>
        </w:rPr>
        <w:t>وَابْتَلُوا الْيَتَامَى حَتَّى إِذَا بَلَغُوا النِّكَاحَ فَإِنْ آنَسْتُمْ مِنْهُمْ رُشْداً فَادْفَعُوا إِلَيْهِمْ</w:t>
      </w:r>
      <w:r>
        <w:rPr>
          <w:rFonts w:cs="md_ameli" w:hint="cs"/>
          <w:rtl/>
        </w:rPr>
        <w:t xml:space="preserve">} </w:t>
      </w:r>
      <w:r w:rsidRPr="00CD4BDD">
        <w:rPr>
          <w:rFonts w:hint="cs"/>
          <w:rtl/>
        </w:rPr>
        <w:t xml:space="preserve">(النساء: 6)، وقوله عز وجل: </w:t>
      </w:r>
      <w:r>
        <w:rPr>
          <w:rFonts w:cs="md_ameli" w:hint="cs"/>
          <w:rtl/>
        </w:rPr>
        <w:t>{</w:t>
      </w:r>
      <w:r w:rsidRPr="00CD4BDD">
        <w:rPr>
          <w:b/>
          <w:bCs/>
          <w:rtl/>
        </w:rPr>
        <w:t>وَإِذَا بَلَغَ الْأَطْفَالُ مِنْكُمُ الْحُلُمَ فَلْيَسْتَأْذِنُوا كَمَا اسْتَأْذَنَ الَّذِينَ مِنْ قَبْلِهِمْ</w:t>
      </w:r>
      <w:r>
        <w:rPr>
          <w:rFonts w:cs="md_ameli" w:hint="cs"/>
          <w:rtl/>
        </w:rPr>
        <w:t>}</w:t>
      </w:r>
      <w:r w:rsidRPr="00CD4BDD">
        <w:rPr>
          <w:rFonts w:ascii="md_ameli" w:hAnsi="md_ameli" w:hint="cs"/>
          <w:vertAlign w:val="superscript"/>
          <w:rtl/>
        </w:rPr>
        <w:t xml:space="preserve"> </w:t>
      </w:r>
      <w:r w:rsidRPr="00CD4BDD">
        <w:rPr>
          <w:rFonts w:hint="cs"/>
          <w:rtl/>
        </w:rPr>
        <w:t xml:space="preserve">(النور: 6)، ويدلّ عليه أيضاً إطلاق النبوي ـ بناء على صحّته ـ رفع القلم عن ثلاثة: </w:t>
      </w:r>
      <w:r>
        <w:rPr>
          <w:rFonts w:cs="md_ameli" w:hint="cs"/>
          <w:rtl/>
        </w:rPr>
        <w:t>&gt;</w:t>
      </w:r>
      <w:r w:rsidRPr="00CD4BDD">
        <w:rPr>
          <w:rFonts w:hint="cs"/>
          <w:rtl/>
        </w:rPr>
        <w:t>عن الصبي حتى يحتلم، وعن المجنون حتى يفيق، وعن النائم حتى ينتبه</w:t>
      </w:r>
      <w:r>
        <w:rPr>
          <w:rFonts w:cs="md_ameli" w:hint="cs"/>
          <w:rtl/>
        </w:rPr>
        <w:t>&lt;</w:t>
      </w:r>
      <w:r w:rsidRPr="00815C4C">
        <w:rPr>
          <w:rFonts w:cs="Taher" w:hint="cs"/>
          <w:vertAlign w:val="superscript"/>
          <w:rtl/>
        </w:rPr>
        <w:t>(</w:t>
      </w:r>
      <w:r w:rsidRPr="00815C4C">
        <w:rPr>
          <w:rFonts w:cs="Taher"/>
          <w:vertAlign w:val="superscript"/>
          <w:rtl/>
        </w:rPr>
        <w:footnoteReference w:id="569"/>
      </w:r>
      <w:r w:rsidRPr="00815C4C">
        <w:rPr>
          <w:rFonts w:cs="Taher" w:hint="cs"/>
          <w:vertAlign w:val="superscript"/>
          <w:rtl/>
        </w:rPr>
        <w:t>)</w:t>
      </w:r>
      <w:r w:rsidRPr="00CD4BDD">
        <w:rPr>
          <w:rFonts w:hint="cs"/>
          <w:rtl/>
        </w:rPr>
        <w:t>، كما يدل عليه أيضاً إطلاق أو عموم روايات أخرى.</w:t>
      </w:r>
    </w:p>
    <w:p w:rsidR="00601F43" w:rsidRPr="00E52F7A" w:rsidRDefault="00601F43" w:rsidP="00E52F7A">
      <w:pPr>
        <w:pStyle w:val="afffffc"/>
        <w:rPr>
          <w:sz w:val="22"/>
          <w:szCs w:val="20"/>
          <w:rtl/>
        </w:rPr>
      </w:pPr>
    </w:p>
    <w:p w:rsidR="00601F43" w:rsidRDefault="00601F43" w:rsidP="00E52F7A">
      <w:pPr>
        <w:pStyle w:val="2"/>
        <w:rPr>
          <w:rtl/>
        </w:rPr>
      </w:pPr>
      <w:bookmarkStart w:id="333" w:name="_Toc275128053"/>
      <w:r>
        <w:rPr>
          <w:rFonts w:hint="cs"/>
          <w:rtl/>
        </w:rPr>
        <w:t>العلامة الثانية: الحيض</w:t>
      </w:r>
      <w:bookmarkEnd w:id="333"/>
    </w:p>
    <w:p w:rsidR="00601F43" w:rsidRPr="005A1713" w:rsidRDefault="00601F43" w:rsidP="00E52F7A">
      <w:pPr>
        <w:pStyle w:val="ac"/>
        <w:spacing w:line="199" w:lineRule="auto"/>
        <w:rPr>
          <w:rFonts w:cs="md_ameli"/>
          <w:rtl/>
        </w:rPr>
      </w:pPr>
      <w:r w:rsidRPr="00CD4BDD">
        <w:rPr>
          <w:rFonts w:hint="cs"/>
          <w:rtl/>
        </w:rPr>
        <w:t>وقد اتفقت كلمات السنّة والشيعة على أن الحيض بلوغ، وأنه سبب من أسبابه، كما هو واضح من فتاواهم وكلماتهم المتقدمة وغيرها، نعم خالف المحقق الحلي في الشرائع</w:t>
      </w:r>
      <w:r w:rsidRPr="00815C4C">
        <w:rPr>
          <w:rFonts w:cs="Taher" w:hint="cs"/>
          <w:vertAlign w:val="superscript"/>
          <w:rtl/>
        </w:rPr>
        <w:t>(</w:t>
      </w:r>
      <w:r w:rsidRPr="00815C4C">
        <w:rPr>
          <w:rFonts w:cs="Taher"/>
          <w:vertAlign w:val="superscript"/>
          <w:rtl/>
        </w:rPr>
        <w:footnoteReference w:id="570"/>
      </w:r>
      <w:r w:rsidRPr="00815C4C">
        <w:rPr>
          <w:rFonts w:cs="Taher" w:hint="cs"/>
          <w:vertAlign w:val="superscript"/>
          <w:rtl/>
        </w:rPr>
        <w:t>)</w:t>
      </w:r>
      <w:r w:rsidRPr="00CD4BDD">
        <w:rPr>
          <w:rFonts w:hint="cs"/>
          <w:rtl/>
        </w:rPr>
        <w:t xml:space="preserve"> فقال: </w:t>
      </w:r>
      <w:r>
        <w:rPr>
          <w:rFonts w:cs="md_ameli" w:hint="cs"/>
          <w:rtl/>
        </w:rPr>
        <w:t>&gt;</w:t>
      </w:r>
      <w:r w:rsidRPr="00CD4BDD">
        <w:rPr>
          <w:rFonts w:hint="cs"/>
          <w:rtl/>
        </w:rPr>
        <w:t>أما الحمل والحيض فليسا بلوغاً في حق النساء، بل قد يكونان دليلاً على سبق البلوغ</w:t>
      </w:r>
      <w:r>
        <w:rPr>
          <w:rFonts w:cs="md_ameli" w:hint="cs"/>
          <w:rtl/>
        </w:rPr>
        <w:t>&lt;</w:t>
      </w:r>
      <w:r w:rsidRPr="00CD4BDD">
        <w:rPr>
          <w:rFonts w:hint="cs"/>
          <w:rtl/>
        </w:rPr>
        <w:t xml:space="preserve">، وهو ـ كما ترى ـ قول مخالف لسائر الأقوال التي ذكرناها، والتي هي ظاهرة بل بعضها صريح في كون الحيض بلوغاً بنفسه لا أنه دليل وكاشف عن سبق </w:t>
      </w:r>
      <w:r w:rsidRPr="00CD4BDD">
        <w:rPr>
          <w:rFonts w:hint="cs"/>
          <w:rtl/>
        </w:rPr>
        <w:lastRenderedPageBreak/>
        <w:t>البلوغ بغيره، فلاحظ؛ فمن العجيب دعوى صاحب الجواهر</w:t>
      </w:r>
      <w:r w:rsidRPr="00815C4C">
        <w:rPr>
          <w:rFonts w:cs="Taher" w:hint="cs"/>
          <w:vertAlign w:val="superscript"/>
          <w:rtl/>
        </w:rPr>
        <w:t>(</w:t>
      </w:r>
      <w:r w:rsidRPr="00815C4C">
        <w:rPr>
          <w:rFonts w:cs="Taher"/>
          <w:vertAlign w:val="superscript"/>
          <w:rtl/>
        </w:rPr>
        <w:footnoteReference w:id="571"/>
      </w:r>
      <w:r w:rsidRPr="00815C4C">
        <w:rPr>
          <w:rFonts w:cs="Taher" w:hint="cs"/>
          <w:vertAlign w:val="superscript"/>
          <w:rtl/>
        </w:rPr>
        <w:t>)</w:t>
      </w:r>
      <w:r w:rsidRPr="00CD4BDD">
        <w:rPr>
          <w:rFonts w:hint="cs"/>
          <w:rtl/>
        </w:rPr>
        <w:t xml:space="preserve"> عدم خلاف معتدّ به على عدم كون الحيض بلوغاً للنساء! بل نجد العكس هو الموجود في كلمات الأصحاب؛ فقد ادعى كثير الإجماع على كون الحيض بلوغاً، وقد تقدّم بعضه؛ ولذلك قال في المسالك</w:t>
      </w:r>
      <w:r w:rsidRPr="00815C4C">
        <w:rPr>
          <w:rFonts w:cs="Taher" w:hint="cs"/>
          <w:vertAlign w:val="superscript"/>
          <w:rtl/>
        </w:rPr>
        <w:t>(</w:t>
      </w:r>
      <w:r w:rsidRPr="00815C4C">
        <w:rPr>
          <w:rFonts w:cs="Taher"/>
          <w:vertAlign w:val="superscript"/>
          <w:rtl/>
        </w:rPr>
        <w:footnoteReference w:id="572"/>
      </w:r>
      <w:r w:rsidRPr="00815C4C">
        <w:rPr>
          <w:rFonts w:cs="Taher" w:hint="cs"/>
          <w:vertAlign w:val="superscript"/>
          <w:rtl/>
        </w:rPr>
        <w:t>)</w:t>
      </w:r>
      <w:r w:rsidRPr="00CD4BDD">
        <w:rPr>
          <w:rFonts w:hint="cs"/>
          <w:rtl/>
        </w:rPr>
        <w:t xml:space="preserve">: </w:t>
      </w:r>
      <w:r w:rsidRPr="00C907BA">
        <w:rPr>
          <w:rFonts w:cs="md_ameli" w:hint="cs"/>
          <w:sz w:val="32"/>
          <w:szCs w:val="32"/>
          <w:rtl/>
        </w:rPr>
        <w:t>&gt;</w:t>
      </w:r>
      <w:r w:rsidRPr="00CD4BDD">
        <w:rPr>
          <w:rFonts w:hint="cs"/>
          <w:rtl/>
        </w:rPr>
        <w:t xml:space="preserve">لا خلاف في كونهما (الحيض والحمل) دليلين على سبق البلوغ، كما لا خلاف في كونهما بلوغاً في نفسهما، ثم قال: إذا تقرّر ذلك، فقول المصنف: </w:t>
      </w:r>
      <w:r w:rsidRPr="00C907BA">
        <w:rPr>
          <w:rFonts w:cs="md_ameli" w:hint="cs"/>
          <w:sz w:val="32"/>
          <w:szCs w:val="32"/>
          <w:rtl/>
        </w:rPr>
        <w:t>&gt;</w:t>
      </w:r>
      <w:r w:rsidRPr="00CD4BDD">
        <w:rPr>
          <w:rFonts w:hint="cs"/>
          <w:rtl/>
        </w:rPr>
        <w:t>بل قد يكونان دليلاً</w:t>
      </w:r>
      <w:r w:rsidRPr="00C907BA">
        <w:rPr>
          <w:rFonts w:cs="md_ameli" w:hint="cs"/>
          <w:sz w:val="32"/>
          <w:szCs w:val="32"/>
          <w:rtl/>
        </w:rPr>
        <w:t>&lt;</w:t>
      </w:r>
      <w:r w:rsidRPr="00CD4BDD">
        <w:rPr>
          <w:rFonts w:hint="cs"/>
          <w:rtl/>
        </w:rPr>
        <w:t xml:space="preserve"> ليس لتردّده في دلالتهما لأنها إجماعية، خصوصاً السنّ، فدلالتهما على البلوغ بحيث يتوقف علمه عليهما نادر فناسبه التقليل..</w:t>
      </w:r>
      <w:r w:rsidRPr="00C907BA">
        <w:rPr>
          <w:rFonts w:cs="md_ameli" w:hint="cs"/>
          <w:sz w:val="32"/>
          <w:szCs w:val="32"/>
          <w:rtl/>
        </w:rPr>
        <w:t>&lt;</w:t>
      </w:r>
      <w:r>
        <w:rPr>
          <w:rFonts w:cs="md_ameli" w:hint="cs"/>
          <w:rtl/>
        </w:rPr>
        <w:t>.</w:t>
      </w:r>
    </w:p>
    <w:p w:rsidR="00601F43" w:rsidRPr="00CD4BDD" w:rsidRDefault="00601F43" w:rsidP="00E52F7A">
      <w:pPr>
        <w:pStyle w:val="ac"/>
        <w:spacing w:line="202" w:lineRule="auto"/>
        <w:rPr>
          <w:rtl/>
        </w:rPr>
      </w:pPr>
      <w:r w:rsidRPr="00CD4BDD">
        <w:rPr>
          <w:rFonts w:hint="cs"/>
          <w:rtl/>
        </w:rPr>
        <w:t>وعلى كل حال، فيدل على كون الحيض بلوغاً من طرق أهل السنّة عدة أخبار ـ ليست حجة عندنا ـ كقوله</w:t>
      </w:r>
      <w:r w:rsidR="00C86626">
        <w:rPr>
          <w:rFonts w:hint="cs"/>
          <w:rtl/>
        </w:rPr>
        <w:t>’</w:t>
      </w:r>
      <w:r w:rsidRPr="00CD4BDD">
        <w:rPr>
          <w:rFonts w:hint="cs"/>
          <w:rtl/>
        </w:rPr>
        <w:t xml:space="preserve">: </w:t>
      </w:r>
      <w:r>
        <w:rPr>
          <w:rFonts w:cs="md_ameli" w:hint="cs"/>
          <w:rtl/>
        </w:rPr>
        <w:t>&gt;</w:t>
      </w:r>
      <w:r w:rsidRPr="00CD4BDD">
        <w:rPr>
          <w:rFonts w:hint="cs"/>
          <w:rtl/>
        </w:rPr>
        <w:t>لا تقبل صلاة حائض إلا بخمار</w:t>
      </w:r>
      <w:r w:rsidRPr="00C907BA">
        <w:rPr>
          <w:rFonts w:cs="md_ameli" w:hint="cs"/>
          <w:sz w:val="32"/>
          <w:szCs w:val="32"/>
          <w:rtl/>
        </w:rPr>
        <w:t>&lt;</w:t>
      </w:r>
      <w:r w:rsidRPr="00815C4C">
        <w:rPr>
          <w:rFonts w:cs="Taher" w:hint="cs"/>
          <w:vertAlign w:val="superscript"/>
          <w:rtl/>
        </w:rPr>
        <w:t>(</w:t>
      </w:r>
      <w:r w:rsidRPr="00815C4C">
        <w:rPr>
          <w:rFonts w:cs="Taher"/>
          <w:vertAlign w:val="superscript"/>
          <w:rtl/>
        </w:rPr>
        <w:footnoteReference w:id="573"/>
      </w:r>
      <w:r w:rsidRPr="00815C4C">
        <w:rPr>
          <w:rFonts w:cs="Taher" w:hint="cs"/>
          <w:vertAlign w:val="superscript"/>
          <w:rtl/>
        </w:rPr>
        <w:t>)</w:t>
      </w:r>
      <w:r w:rsidRPr="00CD4BDD">
        <w:rPr>
          <w:rFonts w:hint="cs"/>
          <w:rtl/>
        </w:rPr>
        <w:t>، وقوله</w:t>
      </w:r>
      <w:r w:rsidR="00C86626">
        <w:rPr>
          <w:rFonts w:hint="cs"/>
          <w:rtl/>
        </w:rPr>
        <w:t>’</w:t>
      </w:r>
      <w:r w:rsidRPr="00CD4BDD">
        <w:rPr>
          <w:rFonts w:hint="cs"/>
          <w:rtl/>
        </w:rPr>
        <w:t>:</w:t>
      </w:r>
      <w:r>
        <w:rPr>
          <w:rFonts w:cs="md_ameli" w:hint="cs"/>
          <w:rtl/>
        </w:rPr>
        <w:t xml:space="preserve"> &gt;</w:t>
      </w:r>
      <w:r w:rsidRPr="00CD4BDD">
        <w:rPr>
          <w:rFonts w:hint="cs"/>
          <w:rtl/>
        </w:rPr>
        <w:t>إذا بلغت المحيض لا يصلح أن يرى منها إلا هذا</w:t>
      </w:r>
      <w:r w:rsidRPr="00C907BA">
        <w:rPr>
          <w:rFonts w:cs="md_ameli" w:hint="cs"/>
          <w:sz w:val="32"/>
          <w:szCs w:val="32"/>
          <w:rtl/>
        </w:rPr>
        <w:t>&lt;</w:t>
      </w:r>
      <w:r>
        <w:rPr>
          <w:rFonts w:cs="md_ameli" w:hint="cs"/>
          <w:sz w:val="32"/>
          <w:szCs w:val="32"/>
          <w:rtl/>
        </w:rPr>
        <w:t>،</w:t>
      </w:r>
      <w:r w:rsidRPr="00CD4BDD">
        <w:rPr>
          <w:rFonts w:hint="cs"/>
          <w:rtl/>
        </w:rPr>
        <w:t xml:space="preserve"> وأشار إلى الوجه والكفين</w:t>
      </w:r>
      <w:r w:rsidRPr="00815C4C">
        <w:rPr>
          <w:rFonts w:cs="Taher" w:hint="cs"/>
          <w:vertAlign w:val="superscript"/>
          <w:rtl/>
        </w:rPr>
        <w:t>(</w:t>
      </w:r>
      <w:r w:rsidRPr="00815C4C">
        <w:rPr>
          <w:rFonts w:cs="Taher"/>
          <w:vertAlign w:val="superscript"/>
          <w:rtl/>
        </w:rPr>
        <w:footnoteReference w:id="574"/>
      </w:r>
      <w:r w:rsidRPr="00815C4C">
        <w:rPr>
          <w:rFonts w:cs="Taher" w:hint="cs"/>
          <w:vertAlign w:val="superscript"/>
          <w:rtl/>
        </w:rPr>
        <w:t>)</w:t>
      </w:r>
      <w:r w:rsidRPr="00CD4BDD">
        <w:rPr>
          <w:rFonts w:hint="cs"/>
          <w:rtl/>
        </w:rPr>
        <w:t>. وأما من طريق أصحابنا، فقد استفاضت النصوص الدالة على علامية الحيض للبلوغ، وهي كما يلي:</w:t>
      </w:r>
    </w:p>
    <w:p w:rsidR="00601F43" w:rsidRPr="00CD4BDD" w:rsidRDefault="00601F43" w:rsidP="00E52F7A">
      <w:pPr>
        <w:pStyle w:val="ac"/>
        <w:spacing w:line="209" w:lineRule="auto"/>
        <w:rPr>
          <w:rtl/>
        </w:rPr>
      </w:pPr>
      <w:r w:rsidRPr="00CD4BDD">
        <w:rPr>
          <w:rFonts w:hint="cs"/>
          <w:rtl/>
        </w:rPr>
        <w:t>1 ـ صحيح محمد بن مسلم عن أبي جعفر</w:t>
      </w:r>
      <w:r w:rsidR="00343D5C">
        <w:rPr>
          <w:rFonts w:hint="cs"/>
          <w:rtl/>
        </w:rPr>
        <w:t>×</w:t>
      </w:r>
      <w:r w:rsidRPr="00CD4BDD">
        <w:rPr>
          <w:rFonts w:hint="cs"/>
          <w:rtl/>
        </w:rPr>
        <w:t xml:space="preserve"> قال: </w:t>
      </w:r>
      <w:r>
        <w:rPr>
          <w:rFonts w:cs="md_ameli" w:hint="cs"/>
          <w:rtl/>
        </w:rPr>
        <w:t>&gt;</w:t>
      </w:r>
      <w:r w:rsidRPr="00CD4BDD">
        <w:rPr>
          <w:rFonts w:hint="cs"/>
          <w:rtl/>
        </w:rPr>
        <w:t>لا يصلح بجارية إذا حاضت إلا أن تختمر إلا أن لا تجده</w:t>
      </w:r>
      <w:r>
        <w:rPr>
          <w:rFonts w:cs="md_ameli" w:hint="cs"/>
          <w:rtl/>
        </w:rPr>
        <w:t>&lt;</w:t>
      </w:r>
      <w:r w:rsidRPr="00815C4C">
        <w:rPr>
          <w:rFonts w:cs="Taher" w:hint="cs"/>
          <w:vertAlign w:val="superscript"/>
          <w:rtl/>
        </w:rPr>
        <w:t>(</w:t>
      </w:r>
      <w:r w:rsidRPr="00815C4C">
        <w:rPr>
          <w:rFonts w:cs="Taher"/>
          <w:vertAlign w:val="superscript"/>
          <w:rtl/>
        </w:rPr>
        <w:footnoteReference w:id="575"/>
      </w:r>
      <w:r w:rsidRPr="00815C4C">
        <w:rPr>
          <w:rFonts w:cs="Taher" w:hint="cs"/>
          <w:vertAlign w:val="superscript"/>
          <w:rtl/>
        </w:rPr>
        <w:t>)</w:t>
      </w:r>
      <w:r w:rsidRPr="00CD4BDD">
        <w:rPr>
          <w:rFonts w:hint="cs"/>
          <w:rtl/>
        </w:rPr>
        <w:t>.</w:t>
      </w:r>
    </w:p>
    <w:p w:rsidR="00601F43" w:rsidRPr="00CD4BDD" w:rsidRDefault="00601F43" w:rsidP="00E52F7A">
      <w:pPr>
        <w:pStyle w:val="ac"/>
        <w:rPr>
          <w:rtl/>
        </w:rPr>
      </w:pPr>
      <w:r w:rsidRPr="00CD4BDD">
        <w:rPr>
          <w:rFonts w:hint="cs"/>
          <w:rtl/>
        </w:rPr>
        <w:t>2 ـ الصحيح القوي عن عبد الرحمن بن الحجاج قال: سألت أبا إبراهيم</w:t>
      </w:r>
      <w:r w:rsidR="00343D5C">
        <w:rPr>
          <w:rFonts w:hint="cs"/>
          <w:rtl/>
        </w:rPr>
        <w:t>×</w:t>
      </w:r>
      <w:r w:rsidRPr="00CD4BDD">
        <w:rPr>
          <w:rFonts w:hint="cs"/>
          <w:rtl/>
        </w:rPr>
        <w:t xml:space="preserve"> عن الجارية التي لم تدرك، متى ينبغي لها أن تغطي رأسها للصلاة ممن ليس بينها وبينه محرم؟ ومتى يجب عليها أن تقنع رأسها للصلاة؟ قال: </w:t>
      </w:r>
      <w:r>
        <w:rPr>
          <w:rFonts w:cs="md_ameli" w:hint="cs"/>
          <w:rtl/>
        </w:rPr>
        <w:t>&gt;</w:t>
      </w:r>
      <w:r w:rsidRPr="00CD4BDD">
        <w:rPr>
          <w:rFonts w:hint="cs"/>
          <w:rtl/>
        </w:rPr>
        <w:t>لا تغطي رأسها حتى تحرم عليها الصلاة</w:t>
      </w:r>
      <w:r>
        <w:rPr>
          <w:rFonts w:cs="md_ameli" w:hint="cs"/>
          <w:rtl/>
        </w:rPr>
        <w:t>&lt;</w:t>
      </w:r>
      <w:r w:rsidRPr="00815C4C">
        <w:rPr>
          <w:rFonts w:cs="Taher" w:hint="cs"/>
          <w:vertAlign w:val="superscript"/>
          <w:rtl/>
        </w:rPr>
        <w:t>(</w:t>
      </w:r>
      <w:r w:rsidRPr="00815C4C">
        <w:rPr>
          <w:rFonts w:cs="Taher"/>
          <w:vertAlign w:val="superscript"/>
          <w:rtl/>
        </w:rPr>
        <w:footnoteReference w:id="576"/>
      </w:r>
      <w:r w:rsidRPr="00815C4C">
        <w:rPr>
          <w:rFonts w:cs="Taher" w:hint="cs"/>
          <w:vertAlign w:val="superscript"/>
          <w:rtl/>
        </w:rPr>
        <w:t>)</w:t>
      </w:r>
      <w:r w:rsidRPr="00CD4BDD">
        <w:rPr>
          <w:rFonts w:hint="cs"/>
          <w:rtl/>
        </w:rPr>
        <w:t>. ورواه الصدوق في العلل</w:t>
      </w:r>
      <w:r w:rsidRPr="00815C4C">
        <w:rPr>
          <w:rFonts w:cs="Taher" w:hint="cs"/>
          <w:vertAlign w:val="superscript"/>
          <w:rtl/>
        </w:rPr>
        <w:t>(</w:t>
      </w:r>
      <w:r w:rsidRPr="00815C4C">
        <w:rPr>
          <w:rFonts w:cs="Taher"/>
          <w:vertAlign w:val="superscript"/>
          <w:rtl/>
        </w:rPr>
        <w:footnoteReference w:id="577"/>
      </w:r>
      <w:r w:rsidRPr="00815C4C">
        <w:rPr>
          <w:rFonts w:cs="Taher" w:hint="cs"/>
          <w:vertAlign w:val="superscript"/>
          <w:rtl/>
        </w:rPr>
        <w:t>)</w:t>
      </w:r>
      <w:r w:rsidRPr="00CD4BDD">
        <w:rPr>
          <w:rFonts w:hint="cs"/>
          <w:rtl/>
        </w:rPr>
        <w:t xml:space="preserve">، ومن الواضح أن حرمة الصلاة عليها كناية </w:t>
      </w:r>
      <w:r w:rsidRPr="00CD4BDD">
        <w:rPr>
          <w:rFonts w:hint="cs"/>
          <w:rtl/>
        </w:rPr>
        <w:lastRenderedPageBreak/>
        <w:t>عن الحيض.</w:t>
      </w:r>
    </w:p>
    <w:p w:rsidR="00601F43" w:rsidRPr="00CD4BDD" w:rsidRDefault="00601F43" w:rsidP="00E52F7A">
      <w:pPr>
        <w:pStyle w:val="ac"/>
        <w:spacing w:line="202" w:lineRule="auto"/>
        <w:rPr>
          <w:rtl/>
        </w:rPr>
      </w:pPr>
      <w:r w:rsidRPr="00CD4BDD">
        <w:rPr>
          <w:rFonts w:hint="cs"/>
          <w:rtl/>
        </w:rPr>
        <w:t>وقد دلت الصحيحتان على تعليق وجوب الخمار والحجاب عن الأجنبي وفي الصلاة على الحيض، بينما دلّت الأخيرة على عدم وجوب الصلاة عليها قبل الحيض، لأنه لا صلاة واجبة إلا مع الساتر كما هو واضح، فعدم وجوب الستر على الجارية قبل الحيض في الصلاة لازمه عدم وجوب الصلاة عليها؛ إذ لا يحتمل فقهياً وجوبها عليها من دون حجاب وساتر.</w:t>
      </w:r>
    </w:p>
    <w:p w:rsidR="00601F43" w:rsidRPr="00CD4BDD" w:rsidRDefault="00601F43" w:rsidP="00E52F7A">
      <w:pPr>
        <w:pStyle w:val="ac"/>
        <w:spacing w:line="202" w:lineRule="auto"/>
        <w:rPr>
          <w:rtl/>
        </w:rPr>
      </w:pPr>
      <w:r w:rsidRPr="00CD4BDD">
        <w:rPr>
          <w:rFonts w:hint="cs"/>
          <w:rtl/>
        </w:rPr>
        <w:t>3 ـ ما رواه الصدوق</w:t>
      </w:r>
      <w:r w:rsidRPr="00815C4C">
        <w:rPr>
          <w:rFonts w:cs="Taher" w:hint="cs"/>
          <w:vertAlign w:val="superscript"/>
          <w:rtl/>
        </w:rPr>
        <w:t>(</w:t>
      </w:r>
      <w:r w:rsidRPr="00815C4C">
        <w:rPr>
          <w:rFonts w:cs="Taher"/>
          <w:vertAlign w:val="superscript"/>
          <w:rtl/>
        </w:rPr>
        <w:footnoteReference w:id="578"/>
      </w:r>
      <w:r w:rsidRPr="00815C4C">
        <w:rPr>
          <w:rFonts w:cs="Taher" w:hint="cs"/>
          <w:vertAlign w:val="superscript"/>
          <w:rtl/>
        </w:rPr>
        <w:t>)</w:t>
      </w:r>
      <w:r w:rsidRPr="00CD4BDD">
        <w:rPr>
          <w:rFonts w:hint="cs"/>
          <w:rtl/>
        </w:rPr>
        <w:t xml:space="preserve"> بإسناده عن يونس بن يعقوب، أنه </w:t>
      </w:r>
      <w:r w:rsidRPr="003F530A">
        <w:rPr>
          <w:rFonts w:cs="md_ameli" w:hint="cs"/>
          <w:rtl/>
        </w:rPr>
        <w:t>&gt;</w:t>
      </w:r>
      <w:r w:rsidRPr="00CD4BDD">
        <w:rPr>
          <w:rFonts w:hint="cs"/>
          <w:rtl/>
        </w:rPr>
        <w:t>سأل أبا عبد الله</w:t>
      </w:r>
      <w:r w:rsidR="00343D5C">
        <w:rPr>
          <w:rFonts w:hint="cs"/>
          <w:rtl/>
        </w:rPr>
        <w:t>×</w:t>
      </w:r>
      <w:r w:rsidRPr="00CD4BDD">
        <w:rPr>
          <w:rFonts w:hint="cs"/>
          <w:rtl/>
        </w:rPr>
        <w:t xml:space="preserve"> عن الرجل يصلي في ثوب واحد؟ قال: نعم. قال: قلت: فالمرأة؟ قال: لا، ولا يصلح للمرأة إذا حاضت إلا الخمار، إلا أن لا تجده</w:t>
      </w:r>
      <w:r>
        <w:rPr>
          <w:rFonts w:cs="md_ameli" w:hint="cs"/>
          <w:rtl/>
        </w:rPr>
        <w:t>&lt;</w:t>
      </w:r>
      <w:r w:rsidRPr="00CD4BDD">
        <w:rPr>
          <w:rFonts w:hint="cs"/>
          <w:rtl/>
        </w:rPr>
        <w:t>. وظاهره الكلام في الصلاة ووجوب الستر على المرأة فيها إذا حاضت، نعم في طريق الصدوق إلى يونس، الحكم بن مسكين الذي لم يوثق في الرجال عدا وروده في كامل الزيارات الذي ليس له اعتبار على الصحيح، إلا أن هناك قرائن وشواهد على وثاقة الرجل وعدالته، من قبيل كونه ذا كتاب وأصل، ورواية الأجلاء عنه، واستشهاد العمل برواياته، مما يكشف عن حُسن ظاهر حاله الذي هو من الأمارات المعتبرة عندنا على وثاقة الراوي، وتفصيل الكلام موكول إلى علم الرجال.</w:t>
      </w:r>
    </w:p>
    <w:p w:rsidR="00601F43" w:rsidRPr="00CD4BDD" w:rsidRDefault="00601F43" w:rsidP="00E52F7A">
      <w:pPr>
        <w:pStyle w:val="ac"/>
        <w:spacing w:line="202" w:lineRule="auto"/>
        <w:rPr>
          <w:rtl/>
        </w:rPr>
      </w:pPr>
      <w:r w:rsidRPr="00CD4BDD">
        <w:rPr>
          <w:rFonts w:hint="cs"/>
          <w:rtl/>
        </w:rPr>
        <w:t>4 ـ رواية أبي البختري</w:t>
      </w:r>
      <w:r w:rsidRPr="00815C4C">
        <w:rPr>
          <w:rFonts w:cs="Taher" w:hint="cs"/>
          <w:vertAlign w:val="superscript"/>
          <w:rtl/>
        </w:rPr>
        <w:t>(</w:t>
      </w:r>
      <w:r w:rsidRPr="00815C4C">
        <w:rPr>
          <w:rFonts w:cs="Taher"/>
          <w:vertAlign w:val="superscript"/>
          <w:rtl/>
        </w:rPr>
        <w:footnoteReference w:id="579"/>
      </w:r>
      <w:r w:rsidRPr="00815C4C">
        <w:rPr>
          <w:rFonts w:cs="Taher" w:hint="cs"/>
          <w:vertAlign w:val="superscript"/>
          <w:rtl/>
        </w:rPr>
        <w:t>)</w:t>
      </w:r>
      <w:r w:rsidRPr="00CD4BDD">
        <w:rPr>
          <w:rFonts w:hint="cs"/>
          <w:rtl/>
        </w:rPr>
        <w:t xml:space="preserve"> ـ التي وردت في قرب الإسناد ـ عن جعفر بن محمد عن أبيه عن علي</w:t>
      </w:r>
      <w:r w:rsidR="00343D5C">
        <w:rPr>
          <w:rFonts w:hint="cs"/>
          <w:rtl/>
        </w:rPr>
        <w:t>×</w:t>
      </w:r>
      <w:r w:rsidRPr="00CD4BDD">
        <w:rPr>
          <w:rFonts w:hint="cs"/>
          <w:rtl/>
        </w:rPr>
        <w:t xml:space="preserve"> قال: </w:t>
      </w:r>
      <w:r>
        <w:rPr>
          <w:rFonts w:cs="md_ameli" w:hint="cs"/>
          <w:rtl/>
        </w:rPr>
        <w:t>&gt;</w:t>
      </w:r>
      <w:r w:rsidRPr="00CD4BDD">
        <w:rPr>
          <w:rFonts w:hint="cs"/>
          <w:rtl/>
        </w:rPr>
        <w:t>إذا حاضت الجارية فلا تصلّي إلا بخمار</w:t>
      </w:r>
      <w:r>
        <w:rPr>
          <w:rFonts w:cs="md_ameli" w:hint="cs"/>
          <w:rtl/>
        </w:rPr>
        <w:t>&lt;</w:t>
      </w:r>
      <w:r w:rsidRPr="00CD4BDD">
        <w:rPr>
          <w:rFonts w:hint="cs"/>
          <w:rtl/>
        </w:rPr>
        <w:t>. وتقريب الدلالة فيها كسابقتها، إلا أنها ضعيفة بأبي البختري.</w:t>
      </w:r>
    </w:p>
    <w:p w:rsidR="00601F43" w:rsidRPr="00CD4BDD" w:rsidRDefault="00601F43" w:rsidP="00E52F7A">
      <w:pPr>
        <w:pStyle w:val="ac"/>
        <w:spacing w:line="202" w:lineRule="auto"/>
        <w:rPr>
          <w:rtl/>
        </w:rPr>
      </w:pPr>
      <w:r w:rsidRPr="00CD4BDD">
        <w:rPr>
          <w:rFonts w:hint="cs"/>
          <w:rtl/>
        </w:rPr>
        <w:t>5 ـ ما رواه الشيخ الطوسي</w:t>
      </w:r>
      <w:r w:rsidRPr="00815C4C">
        <w:rPr>
          <w:rFonts w:cs="Taher" w:hint="cs"/>
          <w:vertAlign w:val="superscript"/>
          <w:rtl/>
        </w:rPr>
        <w:t>(</w:t>
      </w:r>
      <w:r w:rsidRPr="00815C4C">
        <w:rPr>
          <w:rFonts w:cs="Taher"/>
          <w:vertAlign w:val="superscript"/>
          <w:rtl/>
        </w:rPr>
        <w:footnoteReference w:id="580"/>
      </w:r>
      <w:r w:rsidRPr="00815C4C">
        <w:rPr>
          <w:rFonts w:cs="Taher" w:hint="cs"/>
          <w:vertAlign w:val="superscript"/>
          <w:rtl/>
        </w:rPr>
        <w:t>)</w:t>
      </w:r>
      <w:r w:rsidRPr="00CD4BDD">
        <w:rPr>
          <w:rFonts w:hint="cs"/>
          <w:rtl/>
        </w:rPr>
        <w:t xml:space="preserve"> منفرداً عن أبي بصير عن أبي عبد الله</w:t>
      </w:r>
      <w:r w:rsidR="00343D5C">
        <w:rPr>
          <w:rFonts w:hint="cs"/>
          <w:rtl/>
        </w:rPr>
        <w:t>×</w:t>
      </w:r>
      <w:r w:rsidRPr="00CD4BDD">
        <w:rPr>
          <w:rFonts w:hint="cs"/>
          <w:rtl/>
        </w:rPr>
        <w:t xml:space="preserve"> أنه قال: </w:t>
      </w:r>
      <w:r>
        <w:rPr>
          <w:rFonts w:cs="md_ameli" w:hint="cs"/>
          <w:rtl/>
        </w:rPr>
        <w:t>&gt;</w:t>
      </w:r>
      <w:r w:rsidRPr="00CD4BDD">
        <w:rPr>
          <w:rFonts w:hint="cs"/>
          <w:rtl/>
        </w:rPr>
        <w:t>على الصبي إذا احتلم الصيام، وعلى الجارية إذا حاضت الصيام والخمار إلا أن تكون مملوكة؛ فإنه ليس عليها خمار إلا أن تحب أن تختمر، وعليها الصيام</w:t>
      </w:r>
      <w:r>
        <w:rPr>
          <w:rFonts w:cs="md_ameli" w:hint="cs"/>
          <w:rtl/>
        </w:rPr>
        <w:t>&lt;</w:t>
      </w:r>
      <w:r w:rsidRPr="00CD4BDD">
        <w:rPr>
          <w:rFonts w:hint="cs"/>
          <w:rtl/>
        </w:rPr>
        <w:t>.</w:t>
      </w:r>
    </w:p>
    <w:p w:rsidR="00601F43" w:rsidRPr="00CD4BDD" w:rsidRDefault="00601F43" w:rsidP="00E52F7A">
      <w:pPr>
        <w:pStyle w:val="ac"/>
        <w:spacing w:line="202" w:lineRule="auto"/>
        <w:rPr>
          <w:rtl/>
        </w:rPr>
      </w:pPr>
      <w:r w:rsidRPr="00CD4BDD">
        <w:rPr>
          <w:rFonts w:hint="cs"/>
          <w:rtl/>
        </w:rPr>
        <w:lastRenderedPageBreak/>
        <w:t>ونلاحظ أنّ هذه الرواية أناطت الصوم أيضاً بالحيض، ويستفاد من مفهوم الشرط فيها عدم وجوب الصوم عليها قبل الحيض، نعم يمكن المناقشة في سندها من جهة القاسم بن محمد وهو الجوهري، وعلي بن أبي حمزة البطائني الواقفي، وفي كليهما كلام معروف في علم الرجال.</w:t>
      </w:r>
    </w:p>
    <w:p w:rsidR="00601F43" w:rsidRPr="00CD4BDD" w:rsidRDefault="00601F43" w:rsidP="00E52F7A">
      <w:pPr>
        <w:pStyle w:val="ac"/>
        <w:spacing w:line="202" w:lineRule="auto"/>
        <w:rPr>
          <w:rtl/>
        </w:rPr>
      </w:pPr>
      <w:r w:rsidRPr="00CD4BDD">
        <w:rPr>
          <w:rFonts w:hint="cs"/>
          <w:rtl/>
        </w:rPr>
        <w:t>6 ـ ما رواه الصدوق</w:t>
      </w:r>
      <w:r w:rsidRPr="00815C4C">
        <w:rPr>
          <w:rFonts w:cs="Taher" w:hint="cs"/>
          <w:vertAlign w:val="superscript"/>
          <w:rtl/>
        </w:rPr>
        <w:t>(</w:t>
      </w:r>
      <w:r w:rsidRPr="00815C4C">
        <w:rPr>
          <w:rFonts w:cs="Taher"/>
          <w:vertAlign w:val="superscript"/>
          <w:rtl/>
        </w:rPr>
        <w:footnoteReference w:id="581"/>
      </w:r>
      <w:r w:rsidRPr="00815C4C">
        <w:rPr>
          <w:rFonts w:cs="Taher" w:hint="cs"/>
          <w:vertAlign w:val="superscript"/>
          <w:rtl/>
        </w:rPr>
        <w:t>)</w:t>
      </w:r>
      <w:r w:rsidRPr="00CD4BDD">
        <w:rPr>
          <w:rFonts w:hint="cs"/>
          <w:rtl/>
        </w:rPr>
        <w:t xml:space="preserve"> مرسلاً قال: وفي خبر آخر: </w:t>
      </w:r>
      <w:r>
        <w:rPr>
          <w:rFonts w:cs="md_ameli" w:hint="cs"/>
          <w:rtl/>
        </w:rPr>
        <w:t>&gt;</w:t>
      </w:r>
      <w:r w:rsidRPr="00CD4BDD">
        <w:rPr>
          <w:rFonts w:hint="cs"/>
          <w:rtl/>
        </w:rPr>
        <w:t>على الصبي إذا احتلم الصيام وعلى المرأة إذا حاضت الصيام</w:t>
      </w:r>
      <w:r>
        <w:rPr>
          <w:rFonts w:cs="md_ameli" w:hint="cs"/>
          <w:rtl/>
        </w:rPr>
        <w:t>&lt;</w:t>
      </w:r>
      <w:r w:rsidRPr="00CD4BDD">
        <w:rPr>
          <w:rFonts w:hint="cs"/>
          <w:rtl/>
        </w:rPr>
        <w:t>. ويحتمل قوياً أن تكون هذه الرواية نفس سابقتها، والإرسال يسقطها عن الحجية.</w:t>
      </w:r>
    </w:p>
    <w:p w:rsidR="00601F43" w:rsidRPr="00CD4BDD" w:rsidRDefault="00601F43" w:rsidP="00E52F7A">
      <w:pPr>
        <w:pStyle w:val="ac"/>
        <w:spacing w:line="202" w:lineRule="auto"/>
        <w:rPr>
          <w:rtl/>
        </w:rPr>
      </w:pPr>
      <w:r w:rsidRPr="00CD4BDD">
        <w:rPr>
          <w:rFonts w:hint="cs"/>
          <w:rtl/>
        </w:rPr>
        <w:t>7 ـ ما رواه الصدوق</w:t>
      </w:r>
      <w:r w:rsidRPr="00815C4C">
        <w:rPr>
          <w:rFonts w:cs="Taher" w:hint="cs"/>
          <w:vertAlign w:val="superscript"/>
          <w:rtl/>
        </w:rPr>
        <w:t>(</w:t>
      </w:r>
      <w:r w:rsidRPr="00815C4C">
        <w:rPr>
          <w:rFonts w:cs="Taher"/>
          <w:vertAlign w:val="superscript"/>
          <w:rtl/>
        </w:rPr>
        <w:footnoteReference w:id="582"/>
      </w:r>
      <w:r w:rsidRPr="00815C4C">
        <w:rPr>
          <w:rFonts w:cs="Taher" w:hint="cs"/>
          <w:vertAlign w:val="superscript"/>
          <w:rtl/>
        </w:rPr>
        <w:t>)</w:t>
      </w:r>
      <w:r w:rsidRPr="00CD4BDD">
        <w:rPr>
          <w:rFonts w:hint="cs"/>
          <w:rtl/>
        </w:rPr>
        <w:t xml:space="preserve"> في الصحيح عن إسحاق بن عمار قال: </w:t>
      </w:r>
      <w:r>
        <w:rPr>
          <w:rFonts w:cs="md_ameli" w:hint="cs"/>
          <w:rtl/>
        </w:rPr>
        <w:t>&gt;</w:t>
      </w:r>
      <w:r w:rsidRPr="00CD4BDD">
        <w:rPr>
          <w:rFonts w:hint="cs"/>
          <w:rtl/>
        </w:rPr>
        <w:t>سألت أبا الحسن</w:t>
      </w:r>
      <w:r w:rsidR="00343D5C">
        <w:rPr>
          <w:rFonts w:hint="cs"/>
          <w:rtl/>
        </w:rPr>
        <w:t>×</w:t>
      </w:r>
      <w:r w:rsidRPr="00CD4BDD">
        <w:rPr>
          <w:rFonts w:hint="cs"/>
          <w:rtl/>
        </w:rPr>
        <w:t xml:space="preserve"> عن ابن عشر سنين يحج؟ قال: عليه حجة الإسلام إذا احتلم، وكذلك الجارية عليها الحج إذا طمثت</w:t>
      </w:r>
      <w:r>
        <w:rPr>
          <w:rFonts w:cs="md_ameli" w:hint="cs"/>
          <w:rtl/>
        </w:rPr>
        <w:t>&lt;</w:t>
      </w:r>
      <w:r w:rsidRPr="00CD4BDD">
        <w:rPr>
          <w:rFonts w:hint="cs"/>
          <w:rtl/>
        </w:rPr>
        <w:t>.</w:t>
      </w:r>
    </w:p>
    <w:p w:rsidR="00601F43" w:rsidRPr="00CD4BDD" w:rsidRDefault="00601F43" w:rsidP="00E52F7A">
      <w:pPr>
        <w:pStyle w:val="ac"/>
        <w:spacing w:line="202" w:lineRule="auto"/>
        <w:rPr>
          <w:rtl/>
        </w:rPr>
      </w:pPr>
      <w:r w:rsidRPr="00CD4BDD">
        <w:rPr>
          <w:rFonts w:hint="cs"/>
          <w:rtl/>
        </w:rPr>
        <w:t>8 ـ ما رواه الشيخ والكليني</w:t>
      </w:r>
      <w:r w:rsidRPr="00815C4C">
        <w:rPr>
          <w:rFonts w:cs="Taher" w:hint="cs"/>
          <w:vertAlign w:val="superscript"/>
          <w:rtl/>
        </w:rPr>
        <w:t>(</w:t>
      </w:r>
      <w:r w:rsidRPr="00815C4C">
        <w:rPr>
          <w:rFonts w:cs="Taher"/>
          <w:vertAlign w:val="superscript"/>
          <w:rtl/>
        </w:rPr>
        <w:footnoteReference w:id="583"/>
      </w:r>
      <w:r w:rsidRPr="00815C4C">
        <w:rPr>
          <w:rFonts w:cs="Taher" w:hint="cs"/>
          <w:vertAlign w:val="superscript"/>
          <w:rtl/>
        </w:rPr>
        <w:t>)</w:t>
      </w:r>
      <w:r w:rsidRPr="00CD4BDD">
        <w:rPr>
          <w:rFonts w:hint="cs"/>
          <w:rtl/>
        </w:rPr>
        <w:t xml:space="preserve"> بإسنادهما عن شهاب عن أبي عبد الله</w:t>
      </w:r>
      <w:r w:rsidR="00343D5C">
        <w:rPr>
          <w:rFonts w:hint="cs"/>
          <w:rtl/>
        </w:rPr>
        <w:t>×</w:t>
      </w:r>
      <w:r w:rsidRPr="00CD4BDD">
        <w:rPr>
          <w:rFonts w:hint="cs"/>
          <w:rtl/>
        </w:rPr>
        <w:t xml:space="preserve"> ـ في حديث ـ قال: </w:t>
      </w:r>
      <w:r>
        <w:rPr>
          <w:rFonts w:cs="md_ameli" w:hint="cs"/>
          <w:rtl/>
        </w:rPr>
        <w:t>&gt;</w:t>
      </w:r>
      <w:r w:rsidRPr="00CD4BDD">
        <w:rPr>
          <w:rFonts w:hint="cs"/>
          <w:rtl/>
        </w:rPr>
        <w:t>سألته عن ابن عشر سنين، يحج؟ قال: عليه حجة الإسلام إذا احتلم، وكذلك الجارية عليها الحج إذا طمثت</w:t>
      </w:r>
      <w:r>
        <w:rPr>
          <w:rFonts w:cs="md_ameli" w:hint="cs"/>
          <w:rtl/>
        </w:rPr>
        <w:t>&lt;</w:t>
      </w:r>
      <w:r w:rsidRPr="00CD4BDD">
        <w:rPr>
          <w:rFonts w:hint="cs"/>
          <w:rtl/>
        </w:rPr>
        <w:t>، وليس في هذه الرواية من يطعن عليه سوى سهل بن زياد الآدمي. إلا أن الصحيحة السابقة عليها كافية في اعتبار الحيض بلوغاً لوجوب الحج، فلا حجّ قبل الطمث والحيض، على ما هو ظاهر الرواية الأولى.</w:t>
      </w:r>
    </w:p>
    <w:p w:rsidR="00601F43" w:rsidRPr="00CD4BDD" w:rsidRDefault="00601F43" w:rsidP="00E52F7A">
      <w:pPr>
        <w:pStyle w:val="ac"/>
        <w:spacing w:line="202" w:lineRule="auto"/>
        <w:rPr>
          <w:rtl/>
        </w:rPr>
      </w:pPr>
      <w:r w:rsidRPr="00CD4BDD">
        <w:rPr>
          <w:rFonts w:hint="cs"/>
          <w:rtl/>
        </w:rPr>
        <w:t>9 ـ ما رواه المشايخ</w:t>
      </w:r>
      <w:r w:rsidRPr="00815C4C">
        <w:rPr>
          <w:rFonts w:cs="Taher" w:hint="cs"/>
          <w:vertAlign w:val="superscript"/>
          <w:rtl/>
        </w:rPr>
        <w:t>(</w:t>
      </w:r>
      <w:r w:rsidRPr="00815C4C">
        <w:rPr>
          <w:rFonts w:cs="Taher"/>
          <w:vertAlign w:val="superscript"/>
          <w:rtl/>
        </w:rPr>
        <w:footnoteReference w:id="584"/>
      </w:r>
      <w:r w:rsidRPr="00815C4C">
        <w:rPr>
          <w:rFonts w:cs="Taher" w:hint="cs"/>
          <w:vertAlign w:val="superscript"/>
          <w:rtl/>
        </w:rPr>
        <w:t>)</w:t>
      </w:r>
      <w:r w:rsidRPr="00CD4BDD">
        <w:rPr>
          <w:rFonts w:hint="cs"/>
          <w:rtl/>
        </w:rPr>
        <w:t xml:space="preserve"> الثلاثة في الموثق بأسانيدهم عن أبي مريم قال: </w:t>
      </w:r>
      <w:r>
        <w:rPr>
          <w:rFonts w:cs="md_ameli" w:hint="cs"/>
          <w:rtl/>
        </w:rPr>
        <w:t>&gt;</w:t>
      </w:r>
      <w:r w:rsidRPr="00CD4BDD">
        <w:rPr>
          <w:rFonts w:hint="cs"/>
          <w:rtl/>
        </w:rPr>
        <w:t>سألت أبا عبد الله</w:t>
      </w:r>
      <w:r w:rsidR="00343D5C">
        <w:rPr>
          <w:rFonts w:hint="cs"/>
          <w:rtl/>
        </w:rPr>
        <w:t>×</w:t>
      </w:r>
      <w:r w:rsidRPr="00CD4BDD">
        <w:rPr>
          <w:rFonts w:hint="cs"/>
          <w:rtl/>
        </w:rPr>
        <w:t xml:space="preserve"> في آخر ما لقيته، عن غلام لم يبلغ الحلم وقع على امرأة أو فجر بإمرأة أيّ شيء يصنع بهما؟ قال: يضرب الغلام دون الحدّ، ويقام على المرأة الحد، قلت: جارية لم تبلغ وجدت مع رجل يفجر بها قال: تضرب الجارية دون الحد ويقام على الرجل الحد</w:t>
      </w:r>
      <w:r>
        <w:rPr>
          <w:rFonts w:cs="md_ameli" w:hint="cs"/>
          <w:rtl/>
        </w:rPr>
        <w:t>&lt;</w:t>
      </w:r>
      <w:r w:rsidRPr="00CD4BDD">
        <w:rPr>
          <w:rFonts w:hint="cs"/>
          <w:rtl/>
        </w:rPr>
        <w:t xml:space="preserve">. وهذا بناء على أن المراد بقوله: (لم تبلغ) لم تبلغ مبلغ النساء من المحيض، لا المعنى </w:t>
      </w:r>
      <w:r w:rsidRPr="00CD4BDD">
        <w:rPr>
          <w:rFonts w:hint="cs"/>
          <w:rtl/>
        </w:rPr>
        <w:lastRenderedPageBreak/>
        <w:t>المصطلح للبلوغ.</w:t>
      </w:r>
    </w:p>
    <w:p w:rsidR="00601F43" w:rsidRPr="00CD4BDD" w:rsidRDefault="00601F43" w:rsidP="00E52F7A">
      <w:pPr>
        <w:pStyle w:val="ac"/>
        <w:spacing w:line="199" w:lineRule="auto"/>
        <w:rPr>
          <w:rtl/>
        </w:rPr>
      </w:pPr>
      <w:r w:rsidRPr="00CD4BDD">
        <w:rPr>
          <w:rFonts w:hint="cs"/>
          <w:rtl/>
        </w:rPr>
        <w:t>10 ـ ما رواه أبو بصير</w:t>
      </w:r>
      <w:r w:rsidRPr="00815C4C">
        <w:rPr>
          <w:rFonts w:cs="Taher" w:hint="cs"/>
          <w:vertAlign w:val="superscript"/>
          <w:rtl/>
        </w:rPr>
        <w:t>(</w:t>
      </w:r>
      <w:r w:rsidRPr="00815C4C">
        <w:rPr>
          <w:rFonts w:cs="Taher"/>
          <w:vertAlign w:val="superscript"/>
          <w:rtl/>
        </w:rPr>
        <w:footnoteReference w:id="585"/>
      </w:r>
      <w:r w:rsidRPr="00815C4C">
        <w:rPr>
          <w:rFonts w:cs="Taher" w:hint="cs"/>
          <w:vertAlign w:val="superscript"/>
          <w:rtl/>
        </w:rPr>
        <w:t>)</w:t>
      </w:r>
      <w:r w:rsidRPr="00CD4BDD">
        <w:rPr>
          <w:rFonts w:hint="cs"/>
          <w:rtl/>
        </w:rPr>
        <w:t xml:space="preserve"> في الصحيح قال: </w:t>
      </w:r>
      <w:r>
        <w:rPr>
          <w:rFonts w:cs="md_ameli" w:hint="cs"/>
          <w:rtl/>
        </w:rPr>
        <w:t>&gt;</w:t>
      </w:r>
      <w:r w:rsidRPr="00CD4BDD">
        <w:rPr>
          <w:rFonts w:hint="cs"/>
          <w:rtl/>
        </w:rPr>
        <w:t>وسألت أبا عبد الله</w:t>
      </w:r>
      <w:r w:rsidR="00343D5C">
        <w:rPr>
          <w:rFonts w:hint="cs"/>
          <w:rtl/>
        </w:rPr>
        <w:t>×</w:t>
      </w:r>
      <w:r w:rsidRPr="00CD4BDD">
        <w:rPr>
          <w:rFonts w:hint="cs"/>
          <w:rtl/>
        </w:rPr>
        <w:t>عن الرجل يقذف الجارية الصغيرة؟ قال: لا يجلد إلا أن تكون أدركت أو قاربت</w:t>
      </w:r>
      <w:r>
        <w:rPr>
          <w:rFonts w:cs="md_ameli" w:hint="cs"/>
          <w:rtl/>
        </w:rPr>
        <w:t>&lt;</w:t>
      </w:r>
      <w:r w:rsidRPr="00CD4BDD">
        <w:rPr>
          <w:rFonts w:hint="cs"/>
          <w:rtl/>
        </w:rPr>
        <w:t>.</w:t>
      </w:r>
    </w:p>
    <w:p w:rsidR="00601F43" w:rsidRPr="00CD4BDD" w:rsidRDefault="00601F43" w:rsidP="00E52F7A">
      <w:pPr>
        <w:pStyle w:val="ac"/>
        <w:spacing w:line="199" w:lineRule="auto"/>
        <w:rPr>
          <w:rtl/>
        </w:rPr>
      </w:pPr>
      <w:r w:rsidRPr="00CD4BDD">
        <w:rPr>
          <w:rFonts w:hint="cs"/>
          <w:rtl/>
        </w:rPr>
        <w:t>وهذه الرواية رواها الكليني</w:t>
      </w:r>
      <w:r w:rsidRPr="00815C4C">
        <w:rPr>
          <w:rFonts w:cs="Taher" w:hint="cs"/>
          <w:vertAlign w:val="superscript"/>
          <w:rtl/>
        </w:rPr>
        <w:t>(</w:t>
      </w:r>
      <w:r w:rsidRPr="00815C4C">
        <w:rPr>
          <w:rFonts w:cs="Taher"/>
          <w:vertAlign w:val="superscript"/>
          <w:rtl/>
        </w:rPr>
        <w:footnoteReference w:id="586"/>
      </w:r>
      <w:r w:rsidRPr="00815C4C">
        <w:rPr>
          <w:rFonts w:cs="Taher" w:hint="cs"/>
          <w:vertAlign w:val="superscript"/>
          <w:rtl/>
        </w:rPr>
        <w:t>)</w:t>
      </w:r>
      <w:r w:rsidRPr="00CD4BDD">
        <w:rPr>
          <w:rFonts w:ascii="md_ameli" w:hAnsi="md_ameli" w:hint="cs"/>
          <w:vertAlign w:val="superscript"/>
          <w:rtl/>
        </w:rPr>
        <w:t xml:space="preserve"> </w:t>
      </w:r>
      <w:r w:rsidRPr="00CD4BDD">
        <w:rPr>
          <w:rFonts w:hint="cs"/>
          <w:rtl/>
        </w:rPr>
        <w:t>بسند فيه سهل بن زياد وهو ضعيف، وبسند آخر</w:t>
      </w:r>
      <w:r w:rsidRPr="00815C4C">
        <w:rPr>
          <w:rFonts w:cs="Taher" w:hint="cs"/>
          <w:vertAlign w:val="superscript"/>
          <w:rtl/>
        </w:rPr>
        <w:t>(</w:t>
      </w:r>
      <w:r w:rsidRPr="00815C4C">
        <w:rPr>
          <w:rFonts w:cs="Taher"/>
          <w:vertAlign w:val="superscript"/>
          <w:rtl/>
        </w:rPr>
        <w:footnoteReference w:id="587"/>
      </w:r>
      <w:r w:rsidRPr="00815C4C">
        <w:rPr>
          <w:rFonts w:cs="Taher" w:hint="cs"/>
          <w:vertAlign w:val="superscript"/>
          <w:rtl/>
        </w:rPr>
        <w:t>)</w:t>
      </w:r>
      <w:r w:rsidRPr="00CD4BDD">
        <w:rPr>
          <w:rFonts w:ascii="md_ameli" w:hAnsi="md_ameli" w:hint="cs"/>
          <w:vertAlign w:val="superscript"/>
          <w:rtl/>
        </w:rPr>
        <w:t xml:space="preserve"> </w:t>
      </w:r>
      <w:r w:rsidRPr="00CD4BDD">
        <w:rPr>
          <w:rFonts w:hint="cs"/>
          <w:rtl/>
        </w:rPr>
        <w:t>فيه إرسال وهو مضعّف له، كما رواها الشيخ بإسناده عن سهل، لكن رواها الصدوق في العلل بسند صحيح لا طعن فيه</w:t>
      </w:r>
      <w:r w:rsidRPr="00815C4C">
        <w:rPr>
          <w:rFonts w:cs="Taher" w:hint="cs"/>
          <w:vertAlign w:val="superscript"/>
          <w:rtl/>
        </w:rPr>
        <w:t>(</w:t>
      </w:r>
      <w:r w:rsidRPr="00815C4C">
        <w:rPr>
          <w:rFonts w:cs="Taher"/>
          <w:vertAlign w:val="superscript"/>
          <w:rtl/>
        </w:rPr>
        <w:footnoteReference w:id="588"/>
      </w:r>
      <w:r w:rsidRPr="00815C4C">
        <w:rPr>
          <w:rFonts w:cs="Taher" w:hint="cs"/>
          <w:vertAlign w:val="superscript"/>
          <w:rtl/>
        </w:rPr>
        <w:t>)</w:t>
      </w:r>
      <w:r w:rsidRPr="00CD4BDD">
        <w:rPr>
          <w:rFonts w:hint="cs"/>
          <w:rtl/>
        </w:rPr>
        <w:t>.</w:t>
      </w:r>
    </w:p>
    <w:p w:rsidR="00601F43" w:rsidRPr="00CD4BDD" w:rsidRDefault="00601F43" w:rsidP="00E52F7A">
      <w:pPr>
        <w:pStyle w:val="ac"/>
        <w:spacing w:line="199" w:lineRule="auto"/>
        <w:rPr>
          <w:rtl/>
        </w:rPr>
      </w:pPr>
      <w:r w:rsidRPr="00CD4BDD">
        <w:rPr>
          <w:rFonts w:hint="cs"/>
          <w:rtl/>
        </w:rPr>
        <w:t>هذا من حيث السند، وأما من حيث الدلالة، فقوله: إلا أن تكون أدركت، يعني بالإدراك إدراك ما تدركه النساء وهو الحيض، فإن هذا هو المناسب والظاهر من إدراك النساء، فليس المراد به البلوغ الاصطلاحي بالاحتلام أو الإنبات أو التسع سنوات، وهذا يعني أن بلوغ المرأة بالحيض، فإذا بلغت المحيض جلد قاذفها وإلا فلا.</w:t>
      </w:r>
    </w:p>
    <w:p w:rsidR="00601F43" w:rsidRPr="00CD4BDD" w:rsidRDefault="00601F43" w:rsidP="00E52F7A">
      <w:pPr>
        <w:pStyle w:val="ac"/>
        <w:spacing w:line="199" w:lineRule="auto"/>
        <w:rPr>
          <w:rtl/>
        </w:rPr>
      </w:pPr>
      <w:r w:rsidRPr="00CD4BDD">
        <w:rPr>
          <w:rFonts w:hint="cs"/>
          <w:rtl/>
        </w:rPr>
        <w:t>1</w:t>
      </w:r>
      <w:r w:rsidR="00C12E83">
        <w:rPr>
          <w:rFonts w:hint="cs"/>
          <w:rtl/>
        </w:rPr>
        <w:t>1</w:t>
      </w:r>
      <w:r w:rsidRPr="00CD4BDD">
        <w:rPr>
          <w:rFonts w:hint="cs"/>
          <w:rtl/>
        </w:rPr>
        <w:t xml:space="preserve"> ـ ما رواه الكليني</w:t>
      </w:r>
      <w:r w:rsidRPr="00815C4C">
        <w:rPr>
          <w:rFonts w:cs="Taher" w:hint="cs"/>
          <w:vertAlign w:val="superscript"/>
          <w:rtl/>
        </w:rPr>
        <w:t>(</w:t>
      </w:r>
      <w:r w:rsidRPr="00815C4C">
        <w:rPr>
          <w:rFonts w:cs="Taher"/>
          <w:vertAlign w:val="superscript"/>
          <w:rtl/>
        </w:rPr>
        <w:footnoteReference w:id="589"/>
      </w:r>
      <w:r w:rsidRPr="00815C4C">
        <w:rPr>
          <w:rFonts w:cs="Taher" w:hint="cs"/>
          <w:vertAlign w:val="superscript"/>
          <w:rtl/>
        </w:rPr>
        <w:t>)</w:t>
      </w:r>
      <w:r w:rsidRPr="00CD4BDD">
        <w:rPr>
          <w:rFonts w:hint="cs"/>
          <w:rtl/>
        </w:rPr>
        <w:t xml:space="preserve"> في الصحيح عن أبي بصير عن أبي عبد الله</w:t>
      </w:r>
      <w:r w:rsidR="00343D5C">
        <w:rPr>
          <w:rFonts w:hint="cs"/>
          <w:rtl/>
        </w:rPr>
        <w:t>×</w:t>
      </w:r>
      <w:r>
        <w:rPr>
          <w:rFonts w:cs="md_ameli" w:hint="cs"/>
          <w:rtl/>
        </w:rPr>
        <w:t>،</w:t>
      </w:r>
      <w:r w:rsidRPr="00CD4BDD">
        <w:rPr>
          <w:rFonts w:hint="cs"/>
          <w:rtl/>
        </w:rPr>
        <w:t xml:space="preserve"> في الرجل يقذف الصبية؟ قال: </w:t>
      </w:r>
      <w:r>
        <w:rPr>
          <w:rFonts w:cs="md_ameli" w:hint="cs"/>
          <w:rtl/>
        </w:rPr>
        <w:t>&gt;</w:t>
      </w:r>
      <w:r w:rsidRPr="00CD4BDD">
        <w:rPr>
          <w:rFonts w:hint="cs"/>
          <w:rtl/>
        </w:rPr>
        <w:t>لا، حتى تبلغ</w:t>
      </w:r>
      <w:r>
        <w:rPr>
          <w:rFonts w:cs="md_ameli" w:hint="cs"/>
          <w:rtl/>
        </w:rPr>
        <w:t>&lt;</w:t>
      </w:r>
      <w:r w:rsidRPr="00CD4BDD">
        <w:rPr>
          <w:rFonts w:hint="cs"/>
          <w:rtl/>
        </w:rPr>
        <w:t>. وتقريب دلالتها كالسابق. بل الظاهر أن هذه الرواية عين الرواية السابقة؛ لأن أسانيدها جميعاً تنتهي إلى عاصم بن حميد عن أبي بصير، فالظاهر أنّهما واحدة مصدرها كتاب عاصم المشهور المعتمد لدى الأصحاب.</w:t>
      </w:r>
    </w:p>
    <w:p w:rsidR="00601F43" w:rsidRPr="00CD4BDD" w:rsidRDefault="00601F43" w:rsidP="00E52F7A">
      <w:pPr>
        <w:pStyle w:val="ac"/>
        <w:spacing w:line="202" w:lineRule="auto"/>
        <w:rPr>
          <w:rtl/>
        </w:rPr>
      </w:pPr>
      <w:r w:rsidRPr="00CD4BDD">
        <w:rPr>
          <w:rFonts w:hint="cs"/>
          <w:rtl/>
        </w:rPr>
        <w:t>1</w:t>
      </w:r>
      <w:r w:rsidR="00C12E83">
        <w:rPr>
          <w:rFonts w:hint="cs"/>
          <w:rtl/>
        </w:rPr>
        <w:t>2</w:t>
      </w:r>
      <w:r w:rsidRPr="00CD4BDD">
        <w:rPr>
          <w:rFonts w:hint="cs"/>
          <w:rtl/>
        </w:rPr>
        <w:t xml:space="preserve"> ـ ما رواه الكليني</w:t>
      </w:r>
      <w:r w:rsidRPr="00815C4C">
        <w:rPr>
          <w:rFonts w:cs="Taher" w:hint="cs"/>
          <w:vertAlign w:val="superscript"/>
          <w:rtl/>
        </w:rPr>
        <w:t>(</w:t>
      </w:r>
      <w:r w:rsidRPr="00815C4C">
        <w:rPr>
          <w:rFonts w:cs="Taher"/>
          <w:vertAlign w:val="superscript"/>
          <w:rtl/>
        </w:rPr>
        <w:footnoteReference w:id="590"/>
      </w:r>
      <w:r w:rsidRPr="00815C4C">
        <w:rPr>
          <w:rFonts w:cs="Taher" w:hint="cs"/>
          <w:vertAlign w:val="superscript"/>
          <w:rtl/>
        </w:rPr>
        <w:t>)</w:t>
      </w:r>
      <w:r w:rsidRPr="00CD4BDD">
        <w:rPr>
          <w:rFonts w:hint="cs"/>
          <w:rtl/>
        </w:rPr>
        <w:t xml:space="preserve"> بإسناده المعروف عن السكوني عن أبي عبد الله</w:t>
      </w:r>
      <w:r w:rsidR="00343D5C">
        <w:rPr>
          <w:rFonts w:hint="cs"/>
          <w:rtl/>
        </w:rPr>
        <w:t>×</w:t>
      </w:r>
      <w:r w:rsidRPr="00CD4BDD">
        <w:rPr>
          <w:rFonts w:hint="cs"/>
          <w:rtl/>
        </w:rPr>
        <w:t xml:space="preserve"> قال: </w:t>
      </w:r>
      <w:r>
        <w:rPr>
          <w:rFonts w:cs="md_ameli" w:hint="cs"/>
          <w:rtl/>
        </w:rPr>
        <w:t>&gt;</w:t>
      </w:r>
      <w:r w:rsidRPr="00CD4BDD">
        <w:rPr>
          <w:rFonts w:hint="cs"/>
          <w:rtl/>
        </w:rPr>
        <w:t>أتي علي</w:t>
      </w:r>
      <w:r w:rsidR="00DB2260">
        <w:rPr>
          <w:rFonts w:hint="cs"/>
          <w:rtl/>
        </w:rPr>
        <w:t>×</w:t>
      </w:r>
      <w:r w:rsidRPr="00CD4BDD">
        <w:rPr>
          <w:rFonts w:hint="cs"/>
          <w:rtl/>
        </w:rPr>
        <w:t xml:space="preserve"> بجارية لم تحض قد سرقت، فضربها أسواطاً ولم يقطعها</w:t>
      </w:r>
      <w:r>
        <w:rPr>
          <w:rFonts w:cs="md_ameli" w:hint="cs"/>
          <w:rtl/>
        </w:rPr>
        <w:t>&lt;</w:t>
      </w:r>
      <w:r w:rsidRPr="00CD4BDD">
        <w:rPr>
          <w:rFonts w:hint="cs"/>
          <w:rtl/>
        </w:rPr>
        <w:t>. وهي رواية ضعيفة بالحسين بن يزيد النوفلي بطريق الكليني، لكنها موثقة بإسناد الشيخ الطوسي</w:t>
      </w:r>
      <w:r w:rsidRPr="00815C4C">
        <w:rPr>
          <w:rFonts w:cs="Taher" w:hint="cs"/>
          <w:vertAlign w:val="superscript"/>
          <w:rtl/>
        </w:rPr>
        <w:t>(</w:t>
      </w:r>
      <w:r w:rsidRPr="00815C4C">
        <w:rPr>
          <w:rFonts w:cs="Taher"/>
          <w:vertAlign w:val="superscript"/>
          <w:rtl/>
        </w:rPr>
        <w:footnoteReference w:id="591"/>
      </w:r>
      <w:r w:rsidRPr="00815C4C">
        <w:rPr>
          <w:rFonts w:cs="Taher" w:hint="cs"/>
          <w:vertAlign w:val="superscript"/>
          <w:rtl/>
        </w:rPr>
        <w:t>)</w:t>
      </w:r>
      <w:r w:rsidRPr="00CD4BDD">
        <w:rPr>
          <w:rFonts w:hint="cs"/>
          <w:rtl/>
        </w:rPr>
        <w:t xml:space="preserve">؛ لأنه رواها بإسناده عن الحسين بن سعيد عن فضالة عن إسماعيل بن أبي زياد السكوني، </w:t>
      </w:r>
      <w:r w:rsidRPr="00CD4BDD">
        <w:rPr>
          <w:rFonts w:hint="cs"/>
          <w:rtl/>
        </w:rPr>
        <w:lastRenderedPageBreak/>
        <w:t>فالحديث من كتاب السكوني المعروف.</w:t>
      </w:r>
    </w:p>
    <w:p w:rsidR="00601F43" w:rsidRPr="00CD4BDD" w:rsidRDefault="00601F43" w:rsidP="00343D5C">
      <w:pPr>
        <w:pStyle w:val="ac"/>
        <w:rPr>
          <w:rtl/>
        </w:rPr>
      </w:pPr>
      <w:r w:rsidRPr="00CD4BDD">
        <w:rPr>
          <w:rFonts w:hint="cs"/>
          <w:rtl/>
        </w:rPr>
        <w:t>والرواية ظاهرة في موضوعية الحيض لقطع اليد، فوصف الجارية بأنها لم تحض تعليلٌ لعدم القطع، فيكون الحيض علّةً للقطع، وهو معنى البلوغ به، أي بالحيض.</w:t>
      </w:r>
    </w:p>
    <w:p w:rsidR="00601F43" w:rsidRPr="00CD4BDD" w:rsidRDefault="00601F43" w:rsidP="00C12E83">
      <w:pPr>
        <w:pStyle w:val="ac"/>
        <w:rPr>
          <w:rtl/>
        </w:rPr>
      </w:pPr>
      <w:r w:rsidRPr="00CD4BDD">
        <w:rPr>
          <w:rFonts w:hint="cs"/>
          <w:rtl/>
        </w:rPr>
        <w:t>1</w:t>
      </w:r>
      <w:r w:rsidR="00C12E83">
        <w:rPr>
          <w:rFonts w:hint="cs"/>
          <w:rtl/>
        </w:rPr>
        <w:t>3</w:t>
      </w:r>
      <w:r w:rsidRPr="00CD4BDD">
        <w:rPr>
          <w:rFonts w:hint="cs"/>
          <w:rtl/>
        </w:rPr>
        <w:t xml:space="preserve"> ـ خبر عمار الساباطي</w:t>
      </w:r>
      <w:r w:rsidRPr="00815C4C">
        <w:rPr>
          <w:rFonts w:cs="Taher" w:hint="cs"/>
          <w:vertAlign w:val="superscript"/>
          <w:rtl/>
        </w:rPr>
        <w:t>(</w:t>
      </w:r>
      <w:r w:rsidRPr="00815C4C">
        <w:rPr>
          <w:rFonts w:cs="Taher"/>
          <w:vertAlign w:val="superscript"/>
          <w:rtl/>
        </w:rPr>
        <w:footnoteReference w:id="592"/>
      </w:r>
      <w:r w:rsidRPr="00815C4C">
        <w:rPr>
          <w:rFonts w:cs="Taher" w:hint="cs"/>
          <w:vertAlign w:val="superscript"/>
          <w:rtl/>
        </w:rPr>
        <w:t>)</w:t>
      </w:r>
      <w:r w:rsidRPr="00CD4BDD">
        <w:rPr>
          <w:rFonts w:hint="cs"/>
          <w:rtl/>
        </w:rPr>
        <w:t xml:space="preserve"> في الموثق عن أبي عبد الله</w:t>
      </w:r>
      <w:r w:rsidR="00343D5C">
        <w:rPr>
          <w:rFonts w:hint="cs"/>
          <w:rtl/>
        </w:rPr>
        <w:t>×</w:t>
      </w:r>
      <w:r w:rsidRPr="00CD4BDD">
        <w:rPr>
          <w:rFonts w:hint="cs"/>
          <w:rtl/>
        </w:rPr>
        <w:t xml:space="preserve"> قال: </w:t>
      </w:r>
      <w:r>
        <w:rPr>
          <w:rFonts w:cs="md_ameli" w:hint="cs"/>
          <w:rtl/>
        </w:rPr>
        <w:t>&gt;</w:t>
      </w:r>
      <w:r w:rsidRPr="00CD4BDD">
        <w:rPr>
          <w:rFonts w:hint="cs"/>
          <w:rtl/>
        </w:rPr>
        <w:t>سألته عن الغلام متى تجب عليه الصلاة؟ فقال: إذا أتى عليه ثلاث عشرة سنة، فإن احتلم قبل ذلك فقد وجبت عليه الصلاة، وجرى عليه القلم، والجارية مثل ذلك إن أتي لها ثلاث عشرة سنة أو حاضت قبل ذلك</w:t>
      </w:r>
      <w:r>
        <w:rPr>
          <w:rFonts w:cs="md_ameli" w:hint="cs"/>
          <w:rtl/>
        </w:rPr>
        <w:t>&lt;</w:t>
      </w:r>
      <w:r w:rsidRPr="00CD4BDD">
        <w:rPr>
          <w:rFonts w:hint="cs"/>
          <w:rtl/>
        </w:rPr>
        <w:t>.</w:t>
      </w:r>
    </w:p>
    <w:p w:rsidR="00601F43" w:rsidRPr="00CD4BDD" w:rsidRDefault="00601F43" w:rsidP="00343D5C">
      <w:pPr>
        <w:pStyle w:val="ac"/>
        <w:rPr>
          <w:rtl/>
        </w:rPr>
      </w:pPr>
      <w:r w:rsidRPr="00CD4BDD">
        <w:rPr>
          <w:rFonts w:hint="cs"/>
          <w:rtl/>
        </w:rPr>
        <w:t>فمن الناحية السندية الخبر معتبر ـ وسيأتي تفصيل الكلام فيه ـ وقد دلّ على أن الحيض موضوع لتوجّه التكاليف الإلزامية عليها، سواء كانت تكاليف عبادية أم توصلية، فهي جميعاً لا تتوجه إلى البنت ما لم تحض أو تكمل ثلاث عشرة سنة.</w:t>
      </w:r>
    </w:p>
    <w:p w:rsidR="00601F43" w:rsidRPr="00CD4BDD" w:rsidRDefault="00601F43" w:rsidP="00343D5C">
      <w:pPr>
        <w:pStyle w:val="ac"/>
        <w:rPr>
          <w:rtl/>
        </w:rPr>
      </w:pPr>
      <w:r w:rsidRPr="00CD4BDD">
        <w:rPr>
          <w:rFonts w:hint="cs"/>
          <w:rtl/>
        </w:rPr>
        <w:t>هذه بعض روايات البلوغ بالمحيض، وهناك روايات أخرى تأتي الإشارة إليها في العلامة الخامسة، وقد ثبتث بها علامية الحيض للبلوغ، بل قد يقال: إنها تدلّ على عدم مسبّبية الإنزال لبلوغ المرأة، باعتبار أن بعضها ـ كالأخير ـ ذكرت الغلام بالاحتلام، وبلوغ المرأة بالحيض، والتفصيل قاطع للشركة، لكنه يندفع بأن عدم الإشارة لاحتلامها إنما هو لأجل قلّة وندرة بلوغها بالاحتلام قياساً للرجل، وإنما العادة جرت على بلوغها بالحيض فاقتصرت الروايات عليه.</w:t>
      </w:r>
    </w:p>
    <w:p w:rsidR="00601F43" w:rsidRPr="00E52F7A" w:rsidRDefault="00601F43" w:rsidP="00E52F7A">
      <w:pPr>
        <w:pStyle w:val="afffffc"/>
        <w:rPr>
          <w:sz w:val="18"/>
          <w:szCs w:val="16"/>
          <w:rtl/>
        </w:rPr>
      </w:pPr>
    </w:p>
    <w:p w:rsidR="00601F43" w:rsidRDefault="00601F43" w:rsidP="00E52F7A">
      <w:pPr>
        <w:pStyle w:val="2"/>
        <w:rPr>
          <w:rtl/>
        </w:rPr>
      </w:pPr>
      <w:bookmarkStart w:id="334" w:name="_Toc275128054"/>
      <w:r>
        <w:rPr>
          <w:rFonts w:hint="cs"/>
          <w:rtl/>
        </w:rPr>
        <w:t>العلامة الثالثة: الحمل</w:t>
      </w:r>
      <w:bookmarkEnd w:id="334"/>
    </w:p>
    <w:p w:rsidR="00601F43" w:rsidRDefault="00601F43" w:rsidP="00DB2260">
      <w:pPr>
        <w:pStyle w:val="ac"/>
        <w:rPr>
          <w:rtl/>
        </w:rPr>
      </w:pPr>
      <w:r w:rsidRPr="00CD4BDD">
        <w:rPr>
          <w:rFonts w:hint="cs"/>
          <w:rtl/>
        </w:rPr>
        <w:t>وقد ذكره بعضهم دليلاً على سبق البلوغ بالحيض أو الإنزال، ولا بأس به بناء على ما هو المعروف من تكوّن الولد من اختلاط ماء الرجل والمرأة، وقضاء العادة بتقدّم الحيض على الحمل،فالحمل ليس بلوغاً بنفسه؛ لعدم الدليل، بل علامة على سبقه بالإنزال أو الحيض</w:t>
      </w:r>
      <w:r w:rsidRPr="00815C4C">
        <w:rPr>
          <w:rFonts w:cs="Taher" w:hint="cs"/>
          <w:vertAlign w:val="superscript"/>
          <w:rtl/>
        </w:rPr>
        <w:t>(</w:t>
      </w:r>
      <w:r w:rsidRPr="00815C4C">
        <w:rPr>
          <w:rFonts w:cs="Taher"/>
          <w:vertAlign w:val="superscript"/>
          <w:rtl/>
        </w:rPr>
        <w:footnoteReference w:id="593"/>
      </w:r>
      <w:r w:rsidRPr="00815C4C">
        <w:rPr>
          <w:rFonts w:cs="Taher" w:hint="cs"/>
          <w:vertAlign w:val="superscript"/>
          <w:rtl/>
        </w:rPr>
        <w:t>)</w:t>
      </w:r>
      <w:r w:rsidRPr="00CD4BDD">
        <w:rPr>
          <w:rFonts w:hint="cs"/>
          <w:rtl/>
        </w:rPr>
        <w:t xml:space="preserve">. </w:t>
      </w:r>
    </w:p>
    <w:p w:rsidR="00601F43" w:rsidRDefault="00601F43" w:rsidP="00E52F7A">
      <w:pPr>
        <w:pStyle w:val="2"/>
        <w:rPr>
          <w:rtl/>
        </w:rPr>
      </w:pPr>
      <w:bookmarkStart w:id="335" w:name="_Toc275128055"/>
      <w:r>
        <w:rPr>
          <w:rFonts w:hint="cs"/>
          <w:rtl/>
        </w:rPr>
        <w:lastRenderedPageBreak/>
        <w:t>العلامة الرابعة : الإنبات</w:t>
      </w:r>
      <w:bookmarkEnd w:id="335"/>
    </w:p>
    <w:p w:rsidR="00601F43" w:rsidRPr="00CD4BDD" w:rsidRDefault="00601F43" w:rsidP="00C12E83">
      <w:pPr>
        <w:pStyle w:val="ac"/>
        <w:rPr>
          <w:rtl/>
        </w:rPr>
      </w:pPr>
      <w:r w:rsidRPr="00CD4BDD">
        <w:rPr>
          <w:rFonts w:hint="cs"/>
          <w:rtl/>
        </w:rPr>
        <w:t>وقد استدلّ على كونه سبباً أو دليلاً على البلوغ في الإناث بالإجماع</w:t>
      </w:r>
      <w:r w:rsidRPr="00815C4C">
        <w:rPr>
          <w:rFonts w:cs="Taher" w:hint="cs"/>
          <w:bCs/>
          <w:vertAlign w:val="superscript"/>
          <w:rtl/>
        </w:rPr>
        <w:t>(</w:t>
      </w:r>
      <w:r w:rsidRPr="00815C4C">
        <w:rPr>
          <w:rFonts w:cs="Taher"/>
          <w:bCs/>
          <w:vertAlign w:val="superscript"/>
          <w:rtl/>
        </w:rPr>
        <w:footnoteReference w:id="594"/>
      </w:r>
      <w:r w:rsidRPr="00815C4C">
        <w:rPr>
          <w:rFonts w:cs="Taher" w:hint="cs"/>
          <w:bCs/>
          <w:vertAlign w:val="superscript"/>
          <w:rtl/>
        </w:rPr>
        <w:t>)</w:t>
      </w:r>
      <w:r w:rsidRPr="00CD4BDD">
        <w:rPr>
          <w:rFonts w:hint="cs"/>
          <w:rtl/>
        </w:rPr>
        <w:t xml:space="preserve"> والروايات:</w:t>
      </w:r>
    </w:p>
    <w:p w:rsidR="00601F43" w:rsidRPr="00CD4BDD" w:rsidRDefault="00601F43" w:rsidP="00DB2260">
      <w:pPr>
        <w:pStyle w:val="ac"/>
        <w:rPr>
          <w:rtl/>
        </w:rPr>
      </w:pPr>
      <w:r w:rsidRPr="00CD4BDD">
        <w:rPr>
          <w:rFonts w:hint="cs"/>
          <w:rtl/>
        </w:rPr>
        <w:t>أ ـ أما الإجماع، فهو ممنوع صغرى وكبرى، فقد مرّت عليك كلمات أصحابنا القدماء وعرفت أنّ بعضهم لم يعتبر الإنبات بلوغاً في الإناث فراجع، وعلى فرض تحققه فهو مدركيٌّ لا محالة، ومدركه معلومٌ لدينا محرز عندنا، كما يتضح لمن راجع عبارات الأصحاب، فلا يكون حجةً.</w:t>
      </w:r>
    </w:p>
    <w:p w:rsidR="00601F43" w:rsidRPr="00CD4BDD" w:rsidRDefault="00601F43" w:rsidP="00DB2260">
      <w:pPr>
        <w:pStyle w:val="ac"/>
        <w:rPr>
          <w:rtl/>
        </w:rPr>
      </w:pPr>
      <w:r w:rsidRPr="00CD4BDD">
        <w:rPr>
          <w:rFonts w:hint="cs"/>
          <w:rtl/>
        </w:rPr>
        <w:t>ب ـ وأما الروايات، فهي ما ذكرناه في بحثنا عن بلوغ الذكر، ونشير إليها هنا باختصار:</w:t>
      </w:r>
    </w:p>
    <w:p w:rsidR="00601F43" w:rsidRPr="00CD4BDD" w:rsidRDefault="00601F43" w:rsidP="00C86626">
      <w:pPr>
        <w:pStyle w:val="ac"/>
        <w:rPr>
          <w:rtl/>
        </w:rPr>
      </w:pPr>
      <w:r w:rsidRPr="00CD4BDD">
        <w:rPr>
          <w:rFonts w:hint="cs"/>
          <w:rtl/>
        </w:rPr>
        <w:t>1 ـ رواية أبي البختري، عن جعفر بن محمد عن أبيه</w:t>
      </w:r>
      <w:r w:rsidR="00DB2260">
        <w:rPr>
          <w:rFonts w:hint="cs"/>
          <w:rtl/>
        </w:rPr>
        <w:t>×</w:t>
      </w:r>
      <w:r w:rsidRPr="00CD4BDD">
        <w:rPr>
          <w:rFonts w:hint="cs"/>
          <w:rtl/>
        </w:rPr>
        <w:t xml:space="preserve"> أنه قال : </w:t>
      </w:r>
      <w:r>
        <w:rPr>
          <w:rFonts w:cs="md_ameli" w:hint="cs"/>
          <w:rtl/>
        </w:rPr>
        <w:t>&gt;</w:t>
      </w:r>
      <w:r w:rsidRPr="00CD4BDD">
        <w:rPr>
          <w:rFonts w:hint="cs"/>
          <w:rtl/>
        </w:rPr>
        <w:t>عرضهم رسول الله</w:t>
      </w:r>
      <w:r w:rsidR="00C86626">
        <w:rPr>
          <w:rFonts w:hint="cs"/>
          <w:rtl/>
        </w:rPr>
        <w:t>’</w:t>
      </w:r>
      <w:r w:rsidRPr="00CD4BDD">
        <w:rPr>
          <w:rFonts w:hint="cs"/>
          <w:rtl/>
        </w:rPr>
        <w:t xml:space="preserve"> يومئذٍٍ ـ يعني قريظة ـ على العانات؛ فمن وجد أنبت قتله، ومن لم يجد أنبت ألحقه بالذراري</w:t>
      </w:r>
      <w:r>
        <w:rPr>
          <w:rFonts w:cs="md_ameli" w:hint="cs"/>
          <w:rtl/>
        </w:rPr>
        <w:t>&lt;</w:t>
      </w:r>
      <w:r w:rsidRPr="00815C4C">
        <w:rPr>
          <w:rFonts w:cs="Taher" w:hint="cs"/>
          <w:vertAlign w:val="superscript"/>
          <w:rtl/>
        </w:rPr>
        <w:t>(</w:t>
      </w:r>
      <w:r w:rsidRPr="00815C4C">
        <w:rPr>
          <w:rFonts w:cs="Taher"/>
          <w:vertAlign w:val="superscript"/>
          <w:rtl/>
        </w:rPr>
        <w:footnoteReference w:id="595"/>
      </w:r>
      <w:r w:rsidRPr="00815C4C">
        <w:rPr>
          <w:rFonts w:cs="Taher" w:hint="cs"/>
          <w:vertAlign w:val="superscript"/>
          <w:rtl/>
        </w:rPr>
        <w:t>)</w:t>
      </w:r>
      <w:r w:rsidRPr="00CD4BDD">
        <w:rPr>
          <w:rFonts w:hint="cs"/>
          <w:rtl/>
        </w:rPr>
        <w:t>، وهي ضعيفة سنداً بأبي البختري وهب بن وهب، ودلالةً أيضاً.</w:t>
      </w:r>
    </w:p>
    <w:p w:rsidR="00601F43" w:rsidRPr="00CD4BDD" w:rsidRDefault="00601F43" w:rsidP="00D537F7">
      <w:pPr>
        <w:pStyle w:val="ac"/>
        <w:rPr>
          <w:rtl/>
        </w:rPr>
      </w:pPr>
      <w:r w:rsidRPr="00CD4BDD">
        <w:rPr>
          <w:rFonts w:hint="cs"/>
          <w:rtl/>
        </w:rPr>
        <w:t>2 ـ رواية حمران ـ التي تقدّمت في بحثنا السابق ـ والتي ذكرت علامات بلوغ الذكر بالاحتلام والنبات وبلوغ خمس عشرة سنة، ثم ذكرت: إن الجارية ليست مثل الغلام، إن الجارية إذا تزوّجت ودخل بها ولها تسع سنين ذهب عنها اليتم...</w:t>
      </w:r>
      <w:r w:rsidRPr="00815C4C">
        <w:rPr>
          <w:rFonts w:cs="Taher" w:hint="cs"/>
          <w:vertAlign w:val="superscript"/>
          <w:rtl/>
        </w:rPr>
        <w:t>(</w:t>
      </w:r>
      <w:r w:rsidRPr="00815C4C">
        <w:rPr>
          <w:rFonts w:cs="Taher"/>
          <w:vertAlign w:val="superscript"/>
          <w:rtl/>
        </w:rPr>
        <w:footnoteReference w:id="596"/>
      </w:r>
      <w:r w:rsidRPr="00815C4C">
        <w:rPr>
          <w:rFonts w:cs="Taher" w:hint="cs"/>
          <w:vertAlign w:val="superscript"/>
          <w:rtl/>
        </w:rPr>
        <w:t>)</w:t>
      </w:r>
      <w:r w:rsidRPr="00CD4BDD">
        <w:rPr>
          <w:rFonts w:hint="cs"/>
          <w:rtl/>
        </w:rPr>
        <w:t>. وهي ضعيفة سنداً بعبد العزيز العبدي فقد ضعّفه النجاشي، ودلالةً بأن الإمام</w:t>
      </w:r>
      <w:r w:rsidR="00DB2260">
        <w:rPr>
          <w:rFonts w:hint="cs"/>
          <w:rtl/>
        </w:rPr>
        <w:t xml:space="preserve">× </w:t>
      </w:r>
      <w:r w:rsidRPr="00CD4BDD">
        <w:rPr>
          <w:rFonts w:hint="cs"/>
          <w:rtl/>
        </w:rPr>
        <w:t>إنما ذكر الإنبات علامة لبلوغ الذكر، وأما الأنثى فقد ذكر لها علامة أخرى وهي بلوغ تسع سنين، بل إنها على العكس أدلّ؛ لأن التفصيل قاطع للشركة، فظاهرها أن الإنبات ليس علامةً لبلوغ الأنثى لقوله</w:t>
      </w:r>
      <w:r w:rsidR="00DB2260">
        <w:rPr>
          <w:rFonts w:hint="cs"/>
          <w:rtl/>
        </w:rPr>
        <w:t>×</w:t>
      </w:r>
      <w:r w:rsidRPr="00CD4BDD">
        <w:rPr>
          <w:rFonts w:hint="cs"/>
          <w:rtl/>
        </w:rPr>
        <w:t xml:space="preserve">: </w:t>
      </w:r>
      <w:r>
        <w:rPr>
          <w:rFonts w:cs="md_ameli" w:hint="cs"/>
          <w:rtl/>
        </w:rPr>
        <w:t>&gt;</w:t>
      </w:r>
      <w:r w:rsidRPr="00CD4BDD">
        <w:rPr>
          <w:rFonts w:hint="cs"/>
          <w:rtl/>
        </w:rPr>
        <w:t>إن الجارية ليست مثل الغلام</w:t>
      </w:r>
      <w:r>
        <w:rPr>
          <w:rFonts w:cs="md_ameli" w:hint="cs"/>
          <w:rtl/>
        </w:rPr>
        <w:t>&lt;</w:t>
      </w:r>
      <w:r w:rsidRPr="00CD4BDD">
        <w:rPr>
          <w:rFonts w:hint="cs"/>
          <w:rtl/>
        </w:rPr>
        <w:t>.</w:t>
      </w:r>
    </w:p>
    <w:p w:rsidR="00601F43" w:rsidRPr="00CD4BDD" w:rsidRDefault="00601F43" w:rsidP="00DB2260">
      <w:pPr>
        <w:pStyle w:val="ac"/>
        <w:rPr>
          <w:rtl/>
        </w:rPr>
      </w:pPr>
      <w:r w:rsidRPr="00CD4BDD">
        <w:rPr>
          <w:rFonts w:hint="cs"/>
          <w:rtl/>
        </w:rPr>
        <w:t>3 ـ رواية يزيد الكناسي</w:t>
      </w:r>
      <w:r w:rsidRPr="00815C4C">
        <w:rPr>
          <w:rFonts w:cs="Taher" w:hint="cs"/>
          <w:vertAlign w:val="superscript"/>
          <w:rtl/>
        </w:rPr>
        <w:t>(</w:t>
      </w:r>
      <w:r w:rsidRPr="00815C4C">
        <w:rPr>
          <w:rFonts w:cs="Taher"/>
          <w:vertAlign w:val="superscript"/>
          <w:rtl/>
        </w:rPr>
        <w:footnoteReference w:id="597"/>
      </w:r>
      <w:r w:rsidRPr="00815C4C">
        <w:rPr>
          <w:rFonts w:cs="Taher" w:hint="cs"/>
          <w:vertAlign w:val="superscript"/>
          <w:rtl/>
        </w:rPr>
        <w:t>)</w:t>
      </w:r>
      <w:r w:rsidRPr="00CD4BDD">
        <w:rPr>
          <w:rFonts w:hint="cs"/>
          <w:rtl/>
        </w:rPr>
        <w:t>، وهي في ضعف السند والدلالة كسابقتها؛ لأنهما متشابهتان في المدلول، وسيأتي إن شاء الله تعالى ما ينفع المقام في العلامة التالية.</w:t>
      </w:r>
    </w:p>
    <w:p w:rsidR="00601F43" w:rsidRPr="00CD4BDD" w:rsidRDefault="00601F43" w:rsidP="00DB2260">
      <w:pPr>
        <w:pStyle w:val="ac"/>
        <w:rPr>
          <w:rtl/>
        </w:rPr>
      </w:pPr>
      <w:r w:rsidRPr="00CD4BDD">
        <w:rPr>
          <w:rFonts w:hint="cs"/>
          <w:rtl/>
        </w:rPr>
        <w:lastRenderedPageBreak/>
        <w:t>وبهذا اتضح أنه لا دليل على كون الإنبات علامة على بلوغ المرأة كالرجل عندنا، بل إن روايات البلوغ بالحيض تدلّ بالإطلاق المقامي على نفي هذه العلامة؛ لأنها في مقام بيان موجبات البلوغ وأسبابه فلاحظ.</w:t>
      </w:r>
    </w:p>
    <w:p w:rsidR="00601F43" w:rsidRPr="00CD4BDD" w:rsidRDefault="00601F43" w:rsidP="00E52F7A">
      <w:pPr>
        <w:pStyle w:val="afffffc"/>
        <w:rPr>
          <w:rtl/>
        </w:rPr>
      </w:pPr>
    </w:p>
    <w:p w:rsidR="00601F43" w:rsidRPr="006D644B" w:rsidRDefault="00601F43" w:rsidP="00E52F7A">
      <w:pPr>
        <w:pStyle w:val="2"/>
        <w:rPr>
          <w:rStyle w:val="Char4"/>
          <w:rtl/>
        </w:rPr>
      </w:pPr>
      <w:bookmarkStart w:id="336" w:name="_Toc275128056"/>
      <w:r w:rsidRPr="00DB2260">
        <w:rPr>
          <w:rFonts w:hint="cs"/>
          <w:rtl/>
        </w:rPr>
        <w:t>العلامة الخامسة: إكمال تسع سنين</w:t>
      </w:r>
      <w:bookmarkEnd w:id="336"/>
    </w:p>
    <w:p w:rsidR="00601F43" w:rsidRPr="00CD4BDD" w:rsidRDefault="00601F43" w:rsidP="00DB2260">
      <w:pPr>
        <w:pStyle w:val="ac"/>
        <w:rPr>
          <w:rtl/>
        </w:rPr>
      </w:pPr>
      <w:r w:rsidRPr="00CD4BDD">
        <w:rPr>
          <w:rFonts w:hint="cs"/>
          <w:rtl/>
        </w:rPr>
        <w:t>وهي من أشهر علامات بلوغ النساء في عصرنا لدى الفقهاء والمقلّدين، بل نجد أن بعضهم أهمل سائر العلامات واقتصر على هذه العلامة لسبقها على غيرها دائماً، فلابد من البحث فيها بشيء من التفصيل والتدقيق، وليعلم أنّ القائلين بعلامة تسع سنين يرونها سبباً تاماً للبلوغ لا أنها كاشفة عن سبق البلوغ بغيرها.</w:t>
      </w:r>
    </w:p>
    <w:p w:rsidR="00601F43" w:rsidRPr="00CD4BDD" w:rsidRDefault="00601F43" w:rsidP="008912B9">
      <w:pPr>
        <w:pStyle w:val="ac"/>
        <w:rPr>
          <w:rtl/>
        </w:rPr>
      </w:pPr>
      <w:r w:rsidRPr="00CD4BDD">
        <w:rPr>
          <w:rFonts w:hint="cs"/>
          <w:rtl/>
        </w:rPr>
        <w:t>وإليك أدلة البلوغ بتسع سنين:</w:t>
      </w:r>
    </w:p>
    <w:p w:rsidR="00601F43" w:rsidRPr="00E52F7A" w:rsidRDefault="00601F43" w:rsidP="00E52F7A">
      <w:pPr>
        <w:pStyle w:val="afffffc"/>
        <w:rPr>
          <w:sz w:val="18"/>
          <w:szCs w:val="16"/>
          <w:rtl/>
        </w:rPr>
      </w:pPr>
    </w:p>
    <w:p w:rsidR="00601F43" w:rsidRPr="00C802DD" w:rsidRDefault="00601F43" w:rsidP="00E52F7A">
      <w:pPr>
        <w:pStyle w:val="3"/>
        <w:rPr>
          <w:rtl/>
        </w:rPr>
      </w:pPr>
      <w:bookmarkStart w:id="337" w:name="_Toc275128057"/>
      <w:r>
        <w:rPr>
          <w:rFonts w:hint="cs"/>
          <w:rtl/>
        </w:rPr>
        <w:t>الدليل الأول: الإجماع</w:t>
      </w:r>
      <w:bookmarkEnd w:id="337"/>
    </w:p>
    <w:p w:rsidR="00601F43" w:rsidRPr="00CD4BDD" w:rsidRDefault="00601F43" w:rsidP="008912B9">
      <w:pPr>
        <w:pStyle w:val="ac"/>
        <w:rPr>
          <w:rtl/>
        </w:rPr>
      </w:pPr>
      <w:r w:rsidRPr="00CD4BDD">
        <w:rPr>
          <w:rFonts w:hint="cs"/>
          <w:rtl/>
        </w:rPr>
        <w:t>وقد ادّعاه غير واحد من الأعلام، كما تقدم في كلمات بعضهم عند عرضنا لآراء الإمامية.</w:t>
      </w:r>
    </w:p>
    <w:p w:rsidR="00601F43" w:rsidRPr="00CD4BDD" w:rsidRDefault="00601F43" w:rsidP="008912B9">
      <w:pPr>
        <w:pStyle w:val="ac"/>
        <w:rPr>
          <w:rtl/>
        </w:rPr>
      </w:pPr>
      <w:r w:rsidRPr="00CD4BDD">
        <w:rPr>
          <w:rFonts w:hint="cs"/>
          <w:b/>
          <w:bCs/>
          <w:rtl/>
        </w:rPr>
        <w:t>ويرد عليه: أولاً:</w:t>
      </w:r>
      <w:r w:rsidRPr="00CD4BDD">
        <w:rPr>
          <w:rFonts w:hint="cs"/>
          <w:rtl/>
        </w:rPr>
        <w:t xml:space="preserve"> بعدم تحقق الإجماع على القول ببلوغها بتسع سنين، كيف، وقد نقلنا لك فتاوى الأصحاب، أفلم ترَ مخالفة الصدوق والمفيد والمرتضى؟ ألم يمرّ عليك تعدّد أقوال شيخ الطائفة الطوسي؟ فتارةً قال بتسع سنين، وادعى عليه الإجماع! وأخرى قال بعشر سنين، وثالثة بخمس عشرة سنة، مع أنه أول من ادّعى الإجماع على التسع في الخلاف، وأخذ به من جاء بعده، أوليس أفتى ابن حمزة الطوسي وابن سعيد الحلي ببلوغها بتمام عشر سنين؟ فبعد هذا الخلاف كيف يمكن دعوى الإجماع على البلوغ بالتسع؟ بل حتى الشهرة غير معلومة لدى القدماء، وإنما حصلت الشهرة والإجماع بعد العلامة الحلي في القرن الثامن الهجري حتى استقرّت عليه فتاوى المتأخرين، وصار مَن يناقش فيه كأنه يناقش في ضروريات المذهب!</w:t>
      </w:r>
    </w:p>
    <w:p w:rsidR="00601F43" w:rsidRPr="008A1C76" w:rsidRDefault="00601F43" w:rsidP="008912B9">
      <w:pPr>
        <w:pStyle w:val="ac"/>
        <w:rPr>
          <w:spacing w:val="-8"/>
          <w:rtl/>
        </w:rPr>
      </w:pPr>
      <w:r w:rsidRPr="008A1C76">
        <w:rPr>
          <w:rFonts w:hint="cs"/>
          <w:b/>
          <w:bCs/>
          <w:spacing w:val="-8"/>
          <w:rtl/>
        </w:rPr>
        <w:t>ثانياً:</w:t>
      </w:r>
      <w:r w:rsidRPr="008A1C76">
        <w:rPr>
          <w:rFonts w:hint="cs"/>
          <w:spacing w:val="-8"/>
          <w:rtl/>
        </w:rPr>
        <w:t xml:space="preserve"> هب أنّ الإجماع قد تحقّق لكنه ليس بحجة، لأنه معلوم المدرك والمستند، فقد استندوا إلى الروايات والأخبار الظاهرة في بلوغها التسع سنوات، كما استدل بعض المتأخرين عن </w:t>
      </w:r>
      <w:r w:rsidRPr="008A1C76">
        <w:rPr>
          <w:rFonts w:hint="cs"/>
          <w:spacing w:val="-8"/>
          <w:rtl/>
        </w:rPr>
        <w:lastRenderedPageBreak/>
        <w:t>الشيخ بالإجماع الذي ادّعاه الشيخ وخالفه بنفسه، فهو إجماع مدركي، ولا أقلّ من احتماله، والحجة حينئذٍ مدركه إن تمّ لا الإجماع نفسه كما هو محقق في علم أصول الفقه.</w:t>
      </w:r>
    </w:p>
    <w:p w:rsidR="00601F43" w:rsidRPr="00E52F7A" w:rsidRDefault="00601F43" w:rsidP="00E52F7A">
      <w:pPr>
        <w:pStyle w:val="afffffc"/>
        <w:rPr>
          <w:sz w:val="18"/>
          <w:szCs w:val="16"/>
          <w:rtl/>
        </w:rPr>
      </w:pPr>
    </w:p>
    <w:p w:rsidR="00601F43" w:rsidRDefault="00601F43" w:rsidP="00E52F7A">
      <w:pPr>
        <w:pStyle w:val="3"/>
        <w:rPr>
          <w:rtl/>
        </w:rPr>
      </w:pPr>
      <w:bookmarkStart w:id="338" w:name="_Toc275128058"/>
      <w:r>
        <w:rPr>
          <w:rFonts w:hint="cs"/>
          <w:rtl/>
        </w:rPr>
        <w:t>الدليل الثاني: الروايات</w:t>
      </w:r>
      <w:bookmarkEnd w:id="338"/>
    </w:p>
    <w:p w:rsidR="00601F43" w:rsidRDefault="00601F43" w:rsidP="00C12E83">
      <w:pPr>
        <w:pStyle w:val="ac"/>
        <w:rPr>
          <w:rtl/>
        </w:rPr>
      </w:pPr>
      <w:r w:rsidRPr="00CD4BDD">
        <w:rPr>
          <w:rFonts w:hint="cs"/>
          <w:rtl/>
        </w:rPr>
        <w:t>وهي عدة مجموعات:</w:t>
      </w:r>
    </w:p>
    <w:p w:rsidR="00601F43" w:rsidRPr="00E52F7A" w:rsidRDefault="00601F43" w:rsidP="00E52F7A">
      <w:pPr>
        <w:pStyle w:val="afffffc"/>
        <w:rPr>
          <w:sz w:val="16"/>
          <w:szCs w:val="14"/>
          <w:rtl/>
        </w:rPr>
      </w:pPr>
    </w:p>
    <w:p w:rsidR="00601F43" w:rsidRDefault="00601F43" w:rsidP="00E52F7A">
      <w:pPr>
        <w:pStyle w:val="4"/>
        <w:rPr>
          <w:rtl/>
        </w:rPr>
      </w:pPr>
      <w:r w:rsidRPr="00870347">
        <w:rPr>
          <w:rFonts w:hint="cs"/>
          <w:rtl/>
        </w:rPr>
        <w:t xml:space="preserve"> </w:t>
      </w:r>
      <w:bookmarkStart w:id="339" w:name="_Toc275128059"/>
      <w:r>
        <w:rPr>
          <w:rFonts w:hint="cs"/>
          <w:rtl/>
        </w:rPr>
        <w:t>المجموعة الأولى: روايات البلوغ والمؤاخذة في تسع سنين</w:t>
      </w:r>
      <w:bookmarkEnd w:id="339"/>
    </w:p>
    <w:p w:rsidR="00601F43" w:rsidRPr="00CD4BDD" w:rsidRDefault="00601F43" w:rsidP="00E52F7A">
      <w:pPr>
        <w:pStyle w:val="ac"/>
        <w:spacing w:line="199" w:lineRule="auto"/>
        <w:rPr>
          <w:rtl/>
        </w:rPr>
      </w:pPr>
      <w:r w:rsidRPr="00CD4BDD">
        <w:rPr>
          <w:rFonts w:hint="cs"/>
          <w:rtl/>
        </w:rPr>
        <w:t>1 ـ خبر حمران بن أعين عن أبي جعفر</w:t>
      </w:r>
      <w:r w:rsidR="008912B9" w:rsidRPr="008912B9">
        <w:rPr>
          <w:rFonts w:hint="cs"/>
          <w:rtl/>
        </w:rPr>
        <w:t>×</w:t>
      </w:r>
      <w:r w:rsidRPr="00CD4BDD">
        <w:rPr>
          <w:rFonts w:hint="cs"/>
          <w:rtl/>
        </w:rPr>
        <w:t xml:space="preserve"> في حديث: </w:t>
      </w:r>
      <w:r>
        <w:rPr>
          <w:rFonts w:cs="md_ameli" w:hint="cs"/>
          <w:rtl/>
        </w:rPr>
        <w:t>&gt;</w:t>
      </w:r>
      <w:r w:rsidRPr="00CD4BDD">
        <w:rPr>
          <w:rFonts w:hint="cs"/>
          <w:rtl/>
        </w:rPr>
        <w:t>قال: إن الجارية ليست مثل الغلام، إن الجارية إذا تزوجت ودخل بها ولها تسع سنين ذهب عنها اليتم، ودفع لها مالها، وجاز أمرها في الشراء والبيع، وأقيمت عليها الحدود التامة وأخذ لها وبها</w:t>
      </w:r>
      <w:r>
        <w:rPr>
          <w:rFonts w:cs="md_ameli" w:hint="cs"/>
          <w:rtl/>
        </w:rPr>
        <w:t>&lt;</w:t>
      </w:r>
      <w:r w:rsidRPr="00815C4C">
        <w:rPr>
          <w:rFonts w:cs="Taher" w:hint="cs"/>
          <w:vertAlign w:val="superscript"/>
          <w:rtl/>
        </w:rPr>
        <w:t>(</w:t>
      </w:r>
      <w:r w:rsidRPr="00815C4C">
        <w:rPr>
          <w:rFonts w:cs="Taher"/>
          <w:vertAlign w:val="superscript"/>
          <w:rtl/>
        </w:rPr>
        <w:footnoteReference w:id="598"/>
      </w:r>
      <w:r w:rsidRPr="00815C4C">
        <w:rPr>
          <w:rFonts w:cs="Taher" w:hint="cs"/>
          <w:vertAlign w:val="superscript"/>
          <w:rtl/>
        </w:rPr>
        <w:t>)</w:t>
      </w:r>
      <w:r w:rsidRPr="00CD4BDD">
        <w:rPr>
          <w:rFonts w:hint="cs"/>
          <w:rtl/>
        </w:rPr>
        <w:t>.</w:t>
      </w:r>
    </w:p>
    <w:p w:rsidR="00601F43" w:rsidRPr="00CD4BDD" w:rsidRDefault="00601F43" w:rsidP="00E52F7A">
      <w:pPr>
        <w:pStyle w:val="ac"/>
        <w:spacing w:line="199" w:lineRule="auto"/>
        <w:rPr>
          <w:rtl/>
        </w:rPr>
      </w:pPr>
      <w:r w:rsidRPr="00CD4BDD">
        <w:rPr>
          <w:rFonts w:hint="cs"/>
          <w:b/>
          <w:bCs/>
          <w:rtl/>
        </w:rPr>
        <w:t>ويلاحظ على هذا الخبر:</w:t>
      </w:r>
      <w:r w:rsidRPr="00CD4BDD">
        <w:rPr>
          <w:rFonts w:hint="cs"/>
          <w:rtl/>
        </w:rPr>
        <w:t xml:space="preserve"> </w:t>
      </w:r>
      <w:r w:rsidRPr="00CD4BDD">
        <w:rPr>
          <w:rFonts w:hint="cs"/>
          <w:b/>
          <w:bCs/>
          <w:rtl/>
        </w:rPr>
        <w:t>أولاً:</w:t>
      </w:r>
      <w:r w:rsidRPr="00CD4BDD">
        <w:rPr>
          <w:rFonts w:hint="cs"/>
          <w:rtl/>
        </w:rPr>
        <w:t xml:space="preserve"> إنه ضعيف سنداً بعبد العزيز العبدي الذي ضعّفه النجاشي صريحاً</w:t>
      </w:r>
      <w:r w:rsidRPr="00815C4C">
        <w:rPr>
          <w:rFonts w:cs="Taher" w:hint="cs"/>
          <w:vertAlign w:val="superscript"/>
          <w:rtl/>
        </w:rPr>
        <w:t>(</w:t>
      </w:r>
      <w:r w:rsidRPr="00815C4C">
        <w:rPr>
          <w:rFonts w:cs="Taher"/>
          <w:vertAlign w:val="superscript"/>
          <w:rtl/>
        </w:rPr>
        <w:footnoteReference w:id="599"/>
      </w:r>
      <w:r w:rsidRPr="00815C4C">
        <w:rPr>
          <w:rFonts w:cs="Taher" w:hint="cs"/>
          <w:vertAlign w:val="superscript"/>
          <w:rtl/>
        </w:rPr>
        <w:t>)</w:t>
      </w:r>
      <w:r w:rsidRPr="00CD4BDD">
        <w:rPr>
          <w:rFonts w:hint="cs"/>
          <w:rtl/>
        </w:rPr>
        <w:t>، فلا عبرة برواية الحسن بن محبوب عنه، حتى بناء على أنه لا يروي إلا عن ثقة، وبحمزة بن حمران، فإنه لم يوثق في الرجال.</w:t>
      </w:r>
    </w:p>
    <w:p w:rsidR="00601F43" w:rsidRPr="00CD4BDD" w:rsidRDefault="00601F43" w:rsidP="00E52F7A">
      <w:pPr>
        <w:pStyle w:val="ac"/>
        <w:spacing w:line="199" w:lineRule="auto"/>
        <w:rPr>
          <w:rtl/>
        </w:rPr>
      </w:pPr>
      <w:r w:rsidRPr="00CD4BDD">
        <w:rPr>
          <w:rFonts w:hint="cs"/>
          <w:b/>
          <w:bCs/>
          <w:rtl/>
        </w:rPr>
        <w:t>وثانياً:</w:t>
      </w:r>
      <w:r w:rsidRPr="00CD4BDD">
        <w:rPr>
          <w:rFonts w:hint="cs"/>
          <w:rtl/>
        </w:rPr>
        <w:t xml:space="preserve"> إنه ضعيف دلالة، فإن قوله</w:t>
      </w:r>
      <w:r w:rsidR="008912B9">
        <w:rPr>
          <w:rFonts w:hint="cs"/>
          <w:rtl/>
        </w:rPr>
        <w:t>×</w:t>
      </w:r>
      <w:r w:rsidRPr="00CD4BDD">
        <w:rPr>
          <w:rFonts w:hint="cs"/>
          <w:rtl/>
        </w:rPr>
        <w:t xml:space="preserve">: إذا تزوجت ودخل بها ولها تسع سنين، إن أخذناه بظاهره ـ كما هو اللازم ـ فمعناه أنه يشترط في بلوغها ـ غير التسع سنين ـ الزواج والدخول، وهو أمر لم يفت به أحد ولا يحتمله أيّ فقيه، ولا يثبت به رأي المشهور من البلوغ بمجرد إتمام تسع سنين سواء تزوجت أم لا، دخل بها أم لا، وإن صرفناه ـ قوله المذكور ـ عن ظاهره وقلنا: إن المراد بزواجها والدخول بها وصولُها إلى مرتبة من الكمال البدني بحيث يمكن فيها ذلك وإن لم يتحقق خارجاً، فلا يثبت حينئذٍ رأي المشهور أيضاً، إذ حينئذٍ لا يكون للتسع سنين خصوصية وسببية للبلوغ، بل لابد من الانتظار لوصولها إلى تلك المرتبة ـ وهي مرتبة إمكان الحيض فعلاً ـ كأن تبلغ سنّ الثانية عشر أو الثالثة عشر في عصرنا ومناطقنا، مع أنّ المفروض الأخذ بظاهر الحديث؛ لظهور العناوين في الموضوعية، وإذا لم يمكن ذلك فلا يعيّن المصير إلى الكناية أو </w:t>
      </w:r>
      <w:r w:rsidRPr="00CD4BDD">
        <w:rPr>
          <w:rFonts w:hint="cs"/>
          <w:rtl/>
        </w:rPr>
        <w:lastRenderedPageBreak/>
        <w:t>المجاز، بل يبقى الحديث مجملاً ويردّ علمه إلى أهله.</w:t>
      </w:r>
    </w:p>
    <w:p w:rsidR="00601F43" w:rsidRPr="00CD4BDD" w:rsidRDefault="00601F43" w:rsidP="008912B9">
      <w:pPr>
        <w:pStyle w:val="ac"/>
        <w:rPr>
          <w:rtl/>
        </w:rPr>
      </w:pPr>
      <w:r w:rsidRPr="00CD4BDD">
        <w:rPr>
          <w:rFonts w:hint="cs"/>
          <w:rtl/>
        </w:rPr>
        <w:t>ثم إن الرواية لم تتطرّق لوجوب العبادات عليها بالتسع، وإنما ذكرت غيرها.</w:t>
      </w:r>
    </w:p>
    <w:p w:rsidR="00601F43" w:rsidRPr="00CD4BDD" w:rsidRDefault="00601F43" w:rsidP="00E52F7A">
      <w:pPr>
        <w:pStyle w:val="ac"/>
        <w:spacing w:line="209" w:lineRule="auto"/>
        <w:rPr>
          <w:rtl/>
        </w:rPr>
      </w:pPr>
      <w:r w:rsidRPr="00CD4BDD">
        <w:rPr>
          <w:rFonts w:hint="cs"/>
          <w:rtl/>
        </w:rPr>
        <w:t>2 ـ خبر يزيد الكناسي عن أبي جعفر</w:t>
      </w:r>
      <w:r w:rsidR="008912B9">
        <w:rPr>
          <w:rFonts w:hint="cs"/>
          <w:rtl/>
        </w:rPr>
        <w:t>×</w:t>
      </w:r>
      <w:r w:rsidRPr="00CD4BDD">
        <w:rPr>
          <w:rFonts w:hint="cs"/>
          <w:rtl/>
        </w:rPr>
        <w:t xml:space="preserve"> قال: </w:t>
      </w:r>
      <w:r>
        <w:rPr>
          <w:rFonts w:cs="md_ameli" w:hint="cs"/>
          <w:rtl/>
        </w:rPr>
        <w:t>&gt;</w:t>
      </w:r>
      <w:r w:rsidRPr="00CD4BDD">
        <w:rPr>
          <w:rFonts w:hint="cs"/>
          <w:rtl/>
        </w:rPr>
        <w:t>الجارية إذا بلغت تسع سنين ذهب عنها اليتم وزوّجت، وأقيمت عليها الحدود التامة لها وعليها</w:t>
      </w:r>
      <w:r>
        <w:rPr>
          <w:rFonts w:cs="md_ameli" w:hint="cs"/>
          <w:rtl/>
        </w:rPr>
        <w:t>&lt;</w:t>
      </w:r>
      <w:r w:rsidRPr="00815C4C">
        <w:rPr>
          <w:rFonts w:cs="Taher" w:hint="cs"/>
          <w:vertAlign w:val="superscript"/>
          <w:rtl/>
        </w:rPr>
        <w:t>(</w:t>
      </w:r>
      <w:r w:rsidRPr="00815C4C">
        <w:rPr>
          <w:rFonts w:cs="Taher"/>
          <w:vertAlign w:val="superscript"/>
          <w:rtl/>
        </w:rPr>
        <w:footnoteReference w:id="600"/>
      </w:r>
      <w:r w:rsidRPr="00815C4C">
        <w:rPr>
          <w:rFonts w:cs="Taher" w:hint="cs"/>
          <w:vertAlign w:val="superscript"/>
          <w:rtl/>
        </w:rPr>
        <w:t>)</w:t>
      </w:r>
      <w:r w:rsidRPr="00CD4BDD">
        <w:rPr>
          <w:rFonts w:hint="cs"/>
          <w:rtl/>
        </w:rPr>
        <w:t>، وقد رواها الكليني</w:t>
      </w:r>
      <w:r w:rsidRPr="00815C4C">
        <w:rPr>
          <w:rFonts w:cs="Taher" w:hint="cs"/>
          <w:vertAlign w:val="superscript"/>
          <w:rtl/>
        </w:rPr>
        <w:t>(</w:t>
      </w:r>
      <w:r w:rsidRPr="00815C4C">
        <w:rPr>
          <w:rFonts w:cs="Taher"/>
          <w:vertAlign w:val="superscript"/>
          <w:rtl/>
        </w:rPr>
        <w:footnoteReference w:id="601"/>
      </w:r>
      <w:r w:rsidRPr="00815C4C">
        <w:rPr>
          <w:rFonts w:cs="Taher" w:hint="cs"/>
          <w:vertAlign w:val="superscript"/>
          <w:rtl/>
        </w:rPr>
        <w:t>)</w:t>
      </w:r>
      <w:r w:rsidRPr="00CD4BDD">
        <w:rPr>
          <w:rFonts w:hint="cs"/>
          <w:rtl/>
        </w:rPr>
        <w:t xml:space="preserve"> والطوسي</w:t>
      </w:r>
      <w:r w:rsidRPr="00815C4C">
        <w:rPr>
          <w:rFonts w:cs="Taher" w:hint="cs"/>
          <w:vertAlign w:val="superscript"/>
          <w:rtl/>
        </w:rPr>
        <w:t>(</w:t>
      </w:r>
      <w:r w:rsidRPr="00815C4C">
        <w:rPr>
          <w:rFonts w:cs="Taher"/>
          <w:vertAlign w:val="superscript"/>
          <w:rtl/>
        </w:rPr>
        <w:footnoteReference w:id="602"/>
      </w:r>
      <w:r w:rsidRPr="00815C4C">
        <w:rPr>
          <w:rFonts w:cs="Taher" w:hint="cs"/>
          <w:vertAlign w:val="superscript"/>
          <w:rtl/>
        </w:rPr>
        <w:t>)</w:t>
      </w:r>
      <w:r w:rsidRPr="00CD4BDD">
        <w:rPr>
          <w:rFonts w:hint="cs"/>
          <w:rtl/>
        </w:rPr>
        <w:t>.</w:t>
      </w:r>
    </w:p>
    <w:p w:rsidR="00601F43" w:rsidRPr="00CD4BDD" w:rsidRDefault="00601F43" w:rsidP="00E52F7A">
      <w:pPr>
        <w:pStyle w:val="ac"/>
        <w:spacing w:line="209" w:lineRule="auto"/>
        <w:rPr>
          <w:rtl/>
        </w:rPr>
      </w:pPr>
      <w:r w:rsidRPr="00CD4BDD">
        <w:rPr>
          <w:rFonts w:hint="cs"/>
          <w:b/>
          <w:bCs/>
          <w:rtl/>
        </w:rPr>
        <w:t>ويلاحظ عليه:</w:t>
      </w:r>
      <w:r w:rsidRPr="00CD4BDD">
        <w:rPr>
          <w:rFonts w:hint="cs"/>
          <w:rtl/>
        </w:rPr>
        <w:t xml:space="preserve"> </w:t>
      </w:r>
      <w:r w:rsidRPr="00CD4BDD">
        <w:rPr>
          <w:rFonts w:hint="cs"/>
          <w:b/>
          <w:bCs/>
          <w:rtl/>
        </w:rPr>
        <w:t>أولاً:</w:t>
      </w:r>
      <w:r w:rsidRPr="00CD4BDD">
        <w:rPr>
          <w:rFonts w:hint="cs"/>
          <w:rtl/>
        </w:rPr>
        <w:t xml:space="preserve"> بضعف سنده؛ فإن يزيد الكناسي لم يوثق لا بتوثيق خاص ولا عام، واحتمال اتحاده مع يزيد أبي خالد القماط الثقة فاسد جداً؛ لأن الرواة عن الكناسي هم: أبو أيوب الخزاز وجميل بن صالح وعلي بن رئاب وهشام بن سالم</w:t>
      </w:r>
      <w:r w:rsidRPr="00815C4C">
        <w:rPr>
          <w:rFonts w:cs="Taher" w:hint="cs"/>
          <w:vertAlign w:val="superscript"/>
          <w:rtl/>
        </w:rPr>
        <w:t>(</w:t>
      </w:r>
      <w:r w:rsidRPr="00815C4C">
        <w:rPr>
          <w:rFonts w:cs="Taher"/>
          <w:vertAlign w:val="superscript"/>
          <w:rtl/>
        </w:rPr>
        <w:footnoteReference w:id="603"/>
      </w:r>
      <w:r w:rsidRPr="00815C4C">
        <w:rPr>
          <w:rFonts w:cs="Taher" w:hint="cs"/>
          <w:vertAlign w:val="superscript"/>
          <w:rtl/>
        </w:rPr>
        <w:t>)</w:t>
      </w:r>
      <w:r w:rsidRPr="00CD4BDD">
        <w:rPr>
          <w:rFonts w:hint="cs"/>
          <w:rtl/>
        </w:rPr>
        <w:t>، وليس أحد من هؤلاء روى عن القماط، كما أن الكناسي لم يرو إلا عن الإمام الباقر</w:t>
      </w:r>
      <w:r w:rsidR="008912B9">
        <w:rPr>
          <w:rFonts w:hint="cs"/>
          <w:rtl/>
        </w:rPr>
        <w:t>×</w:t>
      </w:r>
      <w:r w:rsidRPr="00CD4BDD">
        <w:rPr>
          <w:rFonts w:hint="cs"/>
          <w:rtl/>
        </w:rPr>
        <w:t xml:space="preserve"> إلا رواية عن الإمام الصادق</w:t>
      </w:r>
      <w:r w:rsidR="008912B9">
        <w:rPr>
          <w:rFonts w:hint="cs"/>
          <w:rtl/>
        </w:rPr>
        <w:t>×</w:t>
      </w:r>
      <w:r w:rsidRPr="00CD4BDD">
        <w:rPr>
          <w:rFonts w:hint="cs"/>
          <w:rtl/>
        </w:rPr>
        <w:t>، والحال أن القماط روى كثيراً عن الصادق كما روى عن آخرين، وليس له عن الباقر إلا روايتان، فاختلاف الراوي والمروي عنه يكشف بوضوح عن تعدّد الرجلين، ولذلك أفرد البرقي كلاً منهما في رجاله.</w:t>
      </w:r>
    </w:p>
    <w:p w:rsidR="00601F43" w:rsidRPr="00CD4BDD" w:rsidRDefault="00601F43" w:rsidP="00E52F7A">
      <w:pPr>
        <w:pStyle w:val="ac"/>
        <w:rPr>
          <w:rtl/>
        </w:rPr>
      </w:pPr>
      <w:r w:rsidRPr="00CD4BDD">
        <w:rPr>
          <w:rFonts w:hint="cs"/>
          <w:b/>
          <w:bCs/>
          <w:rtl/>
        </w:rPr>
        <w:t>ثانياً:</w:t>
      </w:r>
      <w:r w:rsidRPr="00CD4BDD">
        <w:rPr>
          <w:rFonts w:hint="cs"/>
          <w:rtl/>
        </w:rPr>
        <w:t xml:space="preserve"> إن المتتبع يجد أن هذا الخبر هو نفس الخبر الذي رواه الشيخ</w:t>
      </w:r>
      <w:r w:rsidRPr="00815C4C">
        <w:rPr>
          <w:rFonts w:cs="Taher" w:hint="cs"/>
          <w:vertAlign w:val="superscript"/>
          <w:rtl/>
        </w:rPr>
        <w:t>(</w:t>
      </w:r>
      <w:r w:rsidRPr="00815C4C">
        <w:rPr>
          <w:rFonts w:cs="Taher"/>
          <w:vertAlign w:val="superscript"/>
          <w:rtl/>
        </w:rPr>
        <w:footnoteReference w:id="604"/>
      </w:r>
      <w:r w:rsidRPr="00815C4C">
        <w:rPr>
          <w:rFonts w:cs="Taher" w:hint="cs"/>
          <w:vertAlign w:val="superscript"/>
          <w:rtl/>
        </w:rPr>
        <w:t>)</w:t>
      </w:r>
      <w:r w:rsidRPr="00CD4BDD">
        <w:rPr>
          <w:rFonts w:ascii="md_ameli" w:hAnsi="md_ameli" w:hint="cs"/>
          <w:vertAlign w:val="superscript"/>
          <w:rtl/>
        </w:rPr>
        <w:t xml:space="preserve"> </w:t>
      </w:r>
      <w:r w:rsidRPr="00CD4BDD">
        <w:rPr>
          <w:rFonts w:hint="cs"/>
          <w:rtl/>
        </w:rPr>
        <w:t xml:space="preserve">في موضع آخر بصورة أكثر تفصيلاً وبالسند نفسه، لكنه فيه: قلت: </w:t>
      </w:r>
      <w:r>
        <w:rPr>
          <w:rFonts w:cs="md_ameli" w:hint="cs"/>
          <w:rtl/>
        </w:rPr>
        <w:t>&gt;</w:t>
      </w:r>
      <w:r w:rsidRPr="00CD4BDD">
        <w:rPr>
          <w:rFonts w:hint="cs"/>
          <w:rtl/>
        </w:rPr>
        <w:t>أفتقام عليها الحدود وتؤخذ بها وهي في تلك الحال وإنما لها تسع سنين ولم تدرك مدرك النساء في الحيض؟ قال: نعم، إذا دخلت على زوجها ولها تسع سنين ذهب عنها اليتم ودفع إليها مالها، وأقيمت الحدود التامة عليها ولها..</w:t>
      </w:r>
      <w:r>
        <w:rPr>
          <w:rFonts w:cs="md_ameli" w:hint="cs"/>
          <w:rtl/>
        </w:rPr>
        <w:t>&lt;</w:t>
      </w:r>
      <w:r w:rsidRPr="00CD4BDD">
        <w:rPr>
          <w:rFonts w:hint="cs"/>
          <w:rtl/>
        </w:rPr>
        <w:t xml:space="preserve">، وبما أن كلتا النسختين والنقلين محتمل في نفسه فيرد عليه الإشكال الثاني على الرواية السابقة بناء على هذا النقل؛ لأنه أيضاً قيّد التسع بالزواج </w:t>
      </w:r>
      <w:r w:rsidRPr="00CD4BDD">
        <w:rPr>
          <w:rFonts w:hint="cs"/>
          <w:rtl/>
        </w:rPr>
        <w:lastRenderedPageBreak/>
        <w:t>والدخول.</w:t>
      </w:r>
    </w:p>
    <w:p w:rsidR="00601F43" w:rsidRPr="00CD4BDD" w:rsidRDefault="00601F43" w:rsidP="00E52F7A">
      <w:pPr>
        <w:pStyle w:val="ac"/>
        <w:spacing w:line="202" w:lineRule="auto"/>
        <w:rPr>
          <w:rtl/>
        </w:rPr>
      </w:pPr>
      <w:r w:rsidRPr="00CD4BDD">
        <w:rPr>
          <w:rFonts w:hint="cs"/>
          <w:rtl/>
        </w:rPr>
        <w:t>3 ـ مرسلة الصدوق</w:t>
      </w:r>
      <w:r w:rsidRPr="00815C4C">
        <w:rPr>
          <w:rFonts w:cs="Taher" w:hint="cs"/>
          <w:vertAlign w:val="superscript"/>
          <w:rtl/>
        </w:rPr>
        <w:t>(</w:t>
      </w:r>
      <w:r w:rsidRPr="00815C4C">
        <w:rPr>
          <w:rFonts w:cs="Taher"/>
          <w:vertAlign w:val="superscript"/>
          <w:rtl/>
        </w:rPr>
        <w:footnoteReference w:id="605"/>
      </w:r>
      <w:r w:rsidRPr="00815C4C">
        <w:rPr>
          <w:rFonts w:cs="Taher" w:hint="cs"/>
          <w:vertAlign w:val="superscript"/>
          <w:rtl/>
        </w:rPr>
        <w:t>)</w:t>
      </w:r>
      <w:r w:rsidRPr="00CD4BDD">
        <w:rPr>
          <w:rFonts w:ascii="md_ameli" w:hAnsi="md_ameli" w:hint="cs"/>
          <w:vertAlign w:val="superscript"/>
          <w:rtl/>
        </w:rPr>
        <w:t xml:space="preserve"> </w:t>
      </w:r>
      <w:r w:rsidRPr="00CD4BDD">
        <w:rPr>
          <w:rFonts w:hint="cs"/>
          <w:rtl/>
        </w:rPr>
        <w:t>قال: وقال أبو عبد الله</w:t>
      </w:r>
      <w:r w:rsidR="008912B9">
        <w:rPr>
          <w:rFonts w:hint="cs"/>
          <w:rtl/>
        </w:rPr>
        <w:t>×</w:t>
      </w:r>
      <w:r w:rsidRPr="00CD4BDD">
        <w:rPr>
          <w:rFonts w:hint="cs"/>
          <w:rtl/>
        </w:rPr>
        <w:t xml:space="preserve">: </w:t>
      </w:r>
      <w:r>
        <w:rPr>
          <w:rFonts w:cs="md_ameli" w:hint="cs"/>
          <w:rtl/>
        </w:rPr>
        <w:t>&gt;</w:t>
      </w:r>
      <w:r w:rsidRPr="00CD4BDD">
        <w:rPr>
          <w:rFonts w:hint="cs"/>
          <w:rtl/>
        </w:rPr>
        <w:t>إذا بلغت الجارية تسع سنين دفع اليها مالها وجاز أمرها في مالها، وأقيمت الحدود التامة لها وعليها</w:t>
      </w:r>
      <w:r>
        <w:rPr>
          <w:rFonts w:cs="md_ameli" w:hint="cs"/>
          <w:rtl/>
        </w:rPr>
        <w:t>&lt;</w:t>
      </w:r>
      <w:r w:rsidRPr="00CD4BDD">
        <w:rPr>
          <w:rFonts w:hint="cs"/>
          <w:rtl/>
        </w:rPr>
        <w:t>، وهي ضعيفة بالإرسال، وبالوثوق بأنّ سند الصدوق لها هو عينه أحد السندين السابقين الضعيفين، وإن رواها هو عن الصادق</w:t>
      </w:r>
      <w:r w:rsidR="008912B9">
        <w:rPr>
          <w:rFonts w:hint="cs"/>
          <w:rtl/>
        </w:rPr>
        <w:t>×</w:t>
      </w:r>
      <w:r w:rsidRPr="00CD4BDD">
        <w:rPr>
          <w:rFonts w:hint="cs"/>
          <w:rtl/>
        </w:rPr>
        <w:t>. وما قيل من أنّ الصدوق إذا أرسل الرواية بنحو (قال الصادق، أو قال النبي،لا بنحو روي عنه) دلّ على صحتها وحجيّتها عنده وعندنا، قولٌ غير صحيح، كما أثبتناه في محلّه، فلا فرق بين مرسلات الصدوق في الضعف والوهن.</w:t>
      </w:r>
    </w:p>
    <w:p w:rsidR="00601F43" w:rsidRPr="00CD4BDD" w:rsidRDefault="00601F43" w:rsidP="00E52F7A">
      <w:pPr>
        <w:pStyle w:val="ac"/>
        <w:spacing w:line="202" w:lineRule="auto"/>
        <w:rPr>
          <w:rtl/>
        </w:rPr>
      </w:pPr>
      <w:r w:rsidRPr="00CD4BDD">
        <w:rPr>
          <w:rFonts w:hint="cs"/>
          <w:rtl/>
        </w:rPr>
        <w:t>4 ـ رواية الشيخ الطوسي</w:t>
      </w:r>
      <w:r w:rsidRPr="00815C4C">
        <w:rPr>
          <w:rFonts w:cs="Taher" w:hint="cs"/>
          <w:vertAlign w:val="superscript"/>
          <w:rtl/>
        </w:rPr>
        <w:t>(</w:t>
      </w:r>
      <w:r w:rsidRPr="00815C4C">
        <w:rPr>
          <w:rFonts w:cs="Taher"/>
          <w:vertAlign w:val="superscript"/>
          <w:rtl/>
        </w:rPr>
        <w:footnoteReference w:id="606"/>
      </w:r>
      <w:r w:rsidRPr="00815C4C">
        <w:rPr>
          <w:rFonts w:cs="Taher" w:hint="cs"/>
          <w:vertAlign w:val="superscript"/>
          <w:rtl/>
        </w:rPr>
        <w:t>)</w:t>
      </w:r>
      <w:r w:rsidRPr="00CD4BDD">
        <w:rPr>
          <w:rFonts w:hint="cs"/>
          <w:rtl/>
        </w:rPr>
        <w:t xml:space="preserve"> بإسناده إلى سليمان بن حفص المروزي، عن الرجل</w:t>
      </w:r>
      <w:r w:rsidR="008912B9">
        <w:rPr>
          <w:rFonts w:hint="cs"/>
          <w:rtl/>
        </w:rPr>
        <w:t>×</w:t>
      </w:r>
      <w:r w:rsidRPr="00CD4BDD">
        <w:rPr>
          <w:rFonts w:hint="cs"/>
          <w:rtl/>
        </w:rPr>
        <w:t xml:space="preserve"> قال: </w:t>
      </w:r>
      <w:r>
        <w:rPr>
          <w:rFonts w:cs="md_ameli" w:hint="cs"/>
          <w:rtl/>
        </w:rPr>
        <w:t>&gt;</w:t>
      </w:r>
      <w:r w:rsidRPr="00CD4BDD">
        <w:rPr>
          <w:rFonts w:hint="cs"/>
          <w:rtl/>
        </w:rPr>
        <w:t>إذا تمّ للغلام ثمان سنين فجائز أمره، وقد وجبت عليه الفرائض والحدود، وإذا تمّ للجارية تسع سنين فذلك</w:t>
      </w:r>
      <w:r>
        <w:rPr>
          <w:rFonts w:cs="md_ameli" w:hint="cs"/>
          <w:rtl/>
        </w:rPr>
        <w:t>&lt;</w:t>
      </w:r>
      <w:r w:rsidRPr="00CD4BDD">
        <w:rPr>
          <w:rFonts w:hint="cs"/>
          <w:rtl/>
        </w:rPr>
        <w:t>. وهي ضعيفة سنداً بسليمان بن حفص فإنه لم يوثق، وإن ورد في كامل الزيارات، لما حقّقناه في محلّه من عدم وثاقة جميع رواته، سيما وأن هذه الرواية من كتاب نوادر الحكمة عن محمد بن عيسى اليقطيني الذي ضعفه القميون والشيخ الطوسي ـ وإن كان ثقة عندنا ـ فهي رواية تفرد بها نوادر الحكمة والشيخ، فالاعتماد عليها في غاية الإشكال، هذا من حيث السند، وأما من حيث الدلالة فيضعّفها أنها اعتبرت بلوغ الغلام بثمان سنين، وهو مقطوع البطلان، فلابد من توجيهها بتوجيه آخر، كأن يراد بها استحباب الفرائض عليه ويراد من الحدود التعزيرات، وحينئذٍ فبقرينة السياق يحمل بلوغ الجارية فيها على هذا المعنى أيضاً.</w:t>
      </w:r>
    </w:p>
    <w:p w:rsidR="00601F43" w:rsidRPr="00CD4BDD" w:rsidRDefault="00601F43" w:rsidP="00E52F7A">
      <w:pPr>
        <w:pStyle w:val="ac"/>
        <w:spacing w:line="202" w:lineRule="auto"/>
        <w:rPr>
          <w:rtl/>
        </w:rPr>
      </w:pPr>
      <w:r w:rsidRPr="00CD4BDD">
        <w:rPr>
          <w:rFonts w:hint="cs"/>
          <w:rtl/>
        </w:rPr>
        <w:t>5 ـ مرسلة ابن أبي عمير</w:t>
      </w:r>
      <w:r w:rsidRPr="00815C4C">
        <w:rPr>
          <w:rFonts w:cs="Taher" w:hint="cs"/>
          <w:vertAlign w:val="superscript"/>
          <w:rtl/>
        </w:rPr>
        <w:t>(</w:t>
      </w:r>
      <w:r w:rsidRPr="00815C4C">
        <w:rPr>
          <w:rFonts w:cs="Taher"/>
          <w:vertAlign w:val="superscript"/>
          <w:rtl/>
        </w:rPr>
        <w:footnoteReference w:id="607"/>
      </w:r>
      <w:r w:rsidRPr="00815C4C">
        <w:rPr>
          <w:rFonts w:cs="Taher" w:hint="cs"/>
          <w:vertAlign w:val="superscript"/>
          <w:rtl/>
        </w:rPr>
        <w:t>)</w:t>
      </w:r>
      <w:r w:rsidRPr="00CD4BDD">
        <w:rPr>
          <w:rFonts w:hint="cs"/>
          <w:rtl/>
        </w:rPr>
        <w:t xml:space="preserve"> عن رجل، عن أبي عبد الله</w:t>
      </w:r>
      <w:r w:rsidR="008912B9">
        <w:rPr>
          <w:rFonts w:hint="cs"/>
          <w:rtl/>
        </w:rPr>
        <w:t>×</w:t>
      </w:r>
      <w:r w:rsidRPr="00CD4BDD">
        <w:rPr>
          <w:rFonts w:hint="cs"/>
          <w:rtl/>
        </w:rPr>
        <w:t xml:space="preserve"> قال: </w:t>
      </w:r>
      <w:r>
        <w:rPr>
          <w:rFonts w:cs="md_ameli" w:hint="cs"/>
          <w:rtl/>
        </w:rPr>
        <w:t>&gt;</w:t>
      </w:r>
      <w:r w:rsidRPr="00CD4BDD">
        <w:rPr>
          <w:rFonts w:hint="cs"/>
          <w:rtl/>
        </w:rPr>
        <w:t xml:space="preserve">قلت: الجارية ابنة كم لا تستصبى؟ أبنت ست أو سبع؟ فقال: لا، إبنة تسع لا تستصبى، وأجمعوا كلهم على أن ابنة تسع لا تستصبى إلا أن يكون في عقلها ضعف، وإلا فإذا بلغت تسعاً فقد </w:t>
      </w:r>
      <w:r w:rsidRPr="00CD4BDD">
        <w:rPr>
          <w:rFonts w:hint="cs"/>
          <w:rtl/>
        </w:rPr>
        <w:lastRenderedPageBreak/>
        <w:t>بلغت</w:t>
      </w:r>
      <w:r w:rsidRPr="00150BD8">
        <w:rPr>
          <w:rFonts w:cs="md_ameli" w:hint="cs"/>
          <w:szCs w:val="26"/>
          <w:rtl/>
        </w:rPr>
        <w:t>&lt;</w:t>
      </w:r>
      <w:r w:rsidRPr="00CD4BDD">
        <w:rPr>
          <w:rFonts w:hint="cs"/>
          <w:rtl/>
        </w:rPr>
        <w:t>، والمراد بقوله: (لا تستصبى) إما لا تعدّ صبية بل تعدّ بالغةً، وإما أنها لا تخدع في النكاح والعقد. والرواية تفرّد بنقلها الكليني في الكافي</w:t>
      </w:r>
      <w:r w:rsidRPr="00815C4C">
        <w:rPr>
          <w:rFonts w:cs="Taher" w:hint="cs"/>
          <w:vertAlign w:val="superscript"/>
          <w:rtl/>
        </w:rPr>
        <w:t>(</w:t>
      </w:r>
      <w:r w:rsidRPr="00815C4C">
        <w:rPr>
          <w:rFonts w:cs="Taher"/>
          <w:vertAlign w:val="superscript"/>
          <w:rtl/>
        </w:rPr>
        <w:footnoteReference w:id="608"/>
      </w:r>
      <w:r w:rsidRPr="00815C4C">
        <w:rPr>
          <w:rFonts w:cs="Taher" w:hint="cs"/>
          <w:vertAlign w:val="superscript"/>
          <w:rtl/>
        </w:rPr>
        <w:t>)</w:t>
      </w:r>
      <w:r w:rsidRPr="00CD4BDD">
        <w:rPr>
          <w:rFonts w:hint="cs"/>
          <w:rtl/>
        </w:rPr>
        <w:t xml:space="preserve"> في باب الأبكار، ونقلها صاحب الوسائل في باب عدم جواز التمتع بالبنت قبل البلوغ بغير ولي، والظاهر أنها من كتب محمد بن أبي عمير.</w:t>
      </w:r>
    </w:p>
    <w:p w:rsidR="00601F43" w:rsidRPr="00CD4BDD" w:rsidRDefault="00601F43" w:rsidP="00E52F7A">
      <w:pPr>
        <w:pStyle w:val="ac"/>
        <w:spacing w:line="199" w:lineRule="auto"/>
        <w:rPr>
          <w:rtl/>
        </w:rPr>
      </w:pPr>
      <w:r w:rsidRPr="00CD4BDD">
        <w:rPr>
          <w:rFonts w:hint="cs"/>
          <w:b/>
          <w:bCs/>
          <w:rtl/>
        </w:rPr>
        <w:t>ويرد عليها:</w:t>
      </w:r>
      <w:r w:rsidRPr="00CD4BDD">
        <w:rPr>
          <w:rFonts w:hint="cs"/>
          <w:rtl/>
        </w:rPr>
        <w:t xml:space="preserve"> </w:t>
      </w:r>
      <w:r w:rsidRPr="00CD4BDD">
        <w:rPr>
          <w:rFonts w:hint="cs"/>
          <w:b/>
          <w:bCs/>
          <w:rtl/>
        </w:rPr>
        <w:t>أولاً:</w:t>
      </w:r>
      <w:r w:rsidRPr="00CD4BDD">
        <w:rPr>
          <w:rFonts w:hint="cs"/>
          <w:rtl/>
        </w:rPr>
        <w:t xml:space="preserve"> إنها ضعيفة بالإرسال، فمرسلات ابن أبي عمير كمرسلات غيره ليست حجةً على التحقيق.</w:t>
      </w:r>
    </w:p>
    <w:p w:rsidR="00601F43" w:rsidRPr="00CD4BDD" w:rsidRDefault="00601F43" w:rsidP="00E52F7A">
      <w:pPr>
        <w:pStyle w:val="ac"/>
        <w:spacing w:line="199" w:lineRule="auto"/>
        <w:rPr>
          <w:rtl/>
        </w:rPr>
      </w:pPr>
      <w:r w:rsidRPr="00CD4BDD">
        <w:rPr>
          <w:rFonts w:hint="cs"/>
          <w:b/>
          <w:bCs/>
          <w:rtl/>
        </w:rPr>
        <w:t>ثانياً:</w:t>
      </w:r>
      <w:r w:rsidRPr="00CD4BDD">
        <w:rPr>
          <w:rFonts w:hint="cs"/>
          <w:rtl/>
        </w:rPr>
        <w:t xml:space="preserve"> إنه لم يظهر من السؤال والجواب أنه سؤال عن بلوغ الجارية شرعاً ليكون الجواب بالتسع دليلاً على البلوغ به، بل الظاهر أن السؤال عن جواز النكاح على الجارية الصغيرة وهي غير مخدوعة بحيث لا يكون لها حقّ الفسخ بعد ذلك، أي أنّ السؤال عن رشد الجارية عقلاً بحيث لا تكون مخدوعةً، فأجاب الإمام بأنها إذا بلغت تسع سنين فلا تكون كذلك إلا أن يكون في عقلها ضعف، مما يعني أنّ السن المذكور ليس له خصوصية، بل الموضوع هو الرشد العقلي والفكري، وإنما السنّ طريقٌ لذلك، فلابد من مراعاة الكمال العقلي ـ كمراعاة الكمال البدني في الدخول بها ـ للعقد عليها، ويشهد ما قلناه قوله</w:t>
      </w:r>
      <w:r w:rsidR="008912B9">
        <w:rPr>
          <w:rFonts w:hint="cs"/>
          <w:rtl/>
        </w:rPr>
        <w:t>×</w:t>
      </w:r>
      <w:r w:rsidRPr="00CD4BDD">
        <w:rPr>
          <w:rFonts w:hint="cs"/>
          <w:rtl/>
        </w:rPr>
        <w:t xml:space="preserve">: </w:t>
      </w:r>
      <w:r>
        <w:rPr>
          <w:rFonts w:cs="md_ameli" w:hint="cs"/>
          <w:rtl/>
        </w:rPr>
        <w:t>&gt;</w:t>
      </w:r>
      <w:r w:rsidRPr="00CD4BDD">
        <w:rPr>
          <w:rFonts w:hint="cs"/>
          <w:rtl/>
        </w:rPr>
        <w:t>إلا أن يكون في عقلها ضعف</w:t>
      </w:r>
      <w:r>
        <w:rPr>
          <w:rFonts w:cs="md_ameli" w:hint="cs"/>
          <w:rtl/>
        </w:rPr>
        <w:t>&lt;</w:t>
      </w:r>
      <w:r w:rsidRPr="00CD4BDD">
        <w:rPr>
          <w:rFonts w:hint="cs"/>
          <w:rtl/>
        </w:rPr>
        <w:t xml:space="preserve">، وقوله: </w:t>
      </w:r>
      <w:r>
        <w:rPr>
          <w:rFonts w:cs="md_ameli" w:hint="cs"/>
          <w:rtl/>
        </w:rPr>
        <w:t>&gt;</w:t>
      </w:r>
      <w:r w:rsidRPr="00CD4BDD">
        <w:rPr>
          <w:rFonts w:hint="cs"/>
          <w:rtl/>
        </w:rPr>
        <w:t>وأجمعوا كلّهم على أن ابنة تسع لا تستصبى</w:t>
      </w:r>
      <w:r>
        <w:rPr>
          <w:rFonts w:cs="md_ameli" w:hint="cs"/>
          <w:rtl/>
        </w:rPr>
        <w:t>&lt;</w:t>
      </w:r>
      <w:r w:rsidRPr="00CD4BDD">
        <w:rPr>
          <w:rFonts w:hint="cs"/>
          <w:rtl/>
        </w:rPr>
        <w:t xml:space="preserve">، فإن المراد من الإجماع هو إجماع عامة الناس ورأيهم وتصوّرهم للموضوع، وهو البلوغ الفكري بتسع سنين، لا إجماع الفقهاء فإنه خلاف الواقع كما مرّ عليك؛ حيث إن عامة الفقهاء ذهبوا إلى أن البلوغ بالحيض أو بخمس عشرة سنة أو أكثر، فتبين أن المراد بقوله: </w:t>
      </w:r>
      <w:r>
        <w:rPr>
          <w:rFonts w:cs="md_ameli" w:hint="cs"/>
          <w:rtl/>
        </w:rPr>
        <w:t>&gt;</w:t>
      </w:r>
      <w:r w:rsidRPr="00CD4BDD">
        <w:rPr>
          <w:rFonts w:hint="cs"/>
          <w:rtl/>
        </w:rPr>
        <w:t>وإلا فإذا بلغت تسعاً فقد بلغت</w:t>
      </w:r>
      <w:r>
        <w:rPr>
          <w:rFonts w:cs="md_ameli" w:hint="cs"/>
          <w:rtl/>
        </w:rPr>
        <w:t>&lt;</w:t>
      </w:r>
      <w:r w:rsidRPr="00CD4BDD">
        <w:rPr>
          <w:rFonts w:hint="cs"/>
          <w:rtl/>
        </w:rPr>
        <w:t>، إنما يراد به ذلك، لا البلوغ الاصطلاحي بحيث تترتب عليه آثاره الفقهية كلها. ومثل هذه الرواية الروايةُ التالية:</w:t>
      </w:r>
    </w:p>
    <w:p w:rsidR="00601F43" w:rsidRPr="00CD4BDD" w:rsidRDefault="00601F43" w:rsidP="00D537F7">
      <w:pPr>
        <w:pStyle w:val="ac"/>
        <w:rPr>
          <w:rtl/>
        </w:rPr>
      </w:pPr>
      <w:r w:rsidRPr="00CD4BDD">
        <w:rPr>
          <w:rFonts w:hint="cs"/>
          <w:rtl/>
        </w:rPr>
        <w:t>6 ـ عن محمد بن هاشم عن أبي الحسن الأول</w:t>
      </w:r>
      <w:r w:rsidR="00A67CCA">
        <w:rPr>
          <w:rFonts w:hint="cs"/>
          <w:rtl/>
        </w:rPr>
        <w:t>×</w:t>
      </w:r>
      <w:r w:rsidRPr="00CD4BDD">
        <w:rPr>
          <w:rFonts w:hint="cs"/>
          <w:rtl/>
        </w:rPr>
        <w:t xml:space="preserve"> قال: </w:t>
      </w:r>
      <w:r>
        <w:rPr>
          <w:rFonts w:cs="md_ameli" w:hint="cs"/>
          <w:rtl/>
        </w:rPr>
        <w:t>&gt;</w:t>
      </w:r>
      <w:r w:rsidRPr="00CD4BDD">
        <w:rPr>
          <w:rFonts w:hint="cs"/>
          <w:rtl/>
        </w:rPr>
        <w:t>إذا تزوّجت البكر بنت تسع سنين فليست مخدوعة</w:t>
      </w:r>
      <w:r>
        <w:rPr>
          <w:rFonts w:cs="md_ameli" w:hint="cs"/>
          <w:rtl/>
        </w:rPr>
        <w:t>&lt;</w:t>
      </w:r>
      <w:r w:rsidRPr="00815C4C">
        <w:rPr>
          <w:rFonts w:cs="Taher" w:hint="cs"/>
          <w:vertAlign w:val="superscript"/>
          <w:rtl/>
        </w:rPr>
        <w:t>(</w:t>
      </w:r>
      <w:r w:rsidRPr="00815C4C">
        <w:rPr>
          <w:rFonts w:cs="Taher"/>
          <w:vertAlign w:val="superscript"/>
          <w:rtl/>
        </w:rPr>
        <w:footnoteReference w:id="609"/>
      </w:r>
      <w:r w:rsidRPr="00815C4C">
        <w:rPr>
          <w:rFonts w:cs="Taher" w:hint="cs"/>
          <w:vertAlign w:val="superscript"/>
          <w:rtl/>
        </w:rPr>
        <w:t>)</w:t>
      </w:r>
      <w:r w:rsidRPr="00CD4BDD">
        <w:rPr>
          <w:rFonts w:hint="cs"/>
          <w:rtl/>
        </w:rPr>
        <w:t>.</w:t>
      </w:r>
    </w:p>
    <w:p w:rsidR="00601F43" w:rsidRPr="00CD4BDD" w:rsidRDefault="00601F43" w:rsidP="00E52F7A">
      <w:pPr>
        <w:pStyle w:val="ac"/>
        <w:spacing w:line="199" w:lineRule="auto"/>
        <w:rPr>
          <w:rtl/>
        </w:rPr>
      </w:pPr>
      <w:r w:rsidRPr="00CD4BDD">
        <w:rPr>
          <w:rFonts w:hint="cs"/>
          <w:rtl/>
        </w:rPr>
        <w:lastRenderedPageBreak/>
        <w:t xml:space="preserve">وهي رواية رواها الشيخ بإسناده عن الصفار منفرداً، وهي ضعيفة بعدّة مجاهيل، ومعارضة بروايته الأخرى عن محمد بن مسلم، قال: </w:t>
      </w:r>
      <w:r>
        <w:rPr>
          <w:rFonts w:cs="md_ameli" w:hint="cs"/>
          <w:rtl/>
        </w:rPr>
        <w:t>&gt;</w:t>
      </w:r>
      <w:r w:rsidRPr="00CD4BDD">
        <w:rPr>
          <w:rFonts w:hint="cs"/>
          <w:rtl/>
        </w:rPr>
        <w:t>سألته عن الجارية يتمتع منها الرجل؟ قال: نعم، إلا أن تكون صبية تخدع، قال: قلت: أصلحك الله، وكم الحدّ الذي إذا بلغته لم تخدع؟ قال: بنت عشر سنين</w:t>
      </w:r>
      <w:r w:rsidRPr="00617008">
        <w:rPr>
          <w:rFonts w:hint="cs"/>
          <w:rtl/>
        </w:rPr>
        <w:t>»</w:t>
      </w:r>
      <w:r w:rsidRPr="00815C4C">
        <w:rPr>
          <w:rFonts w:cs="Taher" w:hint="cs"/>
          <w:vertAlign w:val="superscript"/>
          <w:rtl/>
        </w:rPr>
        <w:t>(</w:t>
      </w:r>
      <w:r w:rsidRPr="00815C4C">
        <w:rPr>
          <w:rFonts w:cs="Taher"/>
          <w:vertAlign w:val="superscript"/>
          <w:rtl/>
        </w:rPr>
        <w:footnoteReference w:id="610"/>
      </w:r>
      <w:r w:rsidRPr="00815C4C">
        <w:rPr>
          <w:rFonts w:cs="Taher" w:hint="cs"/>
          <w:vertAlign w:val="superscript"/>
          <w:rtl/>
        </w:rPr>
        <w:t>)</w:t>
      </w:r>
      <w:r w:rsidRPr="00CD4BDD">
        <w:rPr>
          <w:rFonts w:hint="cs"/>
          <w:rtl/>
        </w:rPr>
        <w:t>، وهي أيضاً ضعيفة بإبراهيم بن محرز الخثعمي لجهالته.</w:t>
      </w:r>
    </w:p>
    <w:p w:rsidR="00601F43" w:rsidRPr="00CD4BDD" w:rsidRDefault="00601F43" w:rsidP="00E52F7A">
      <w:pPr>
        <w:pStyle w:val="ac"/>
        <w:spacing w:line="199" w:lineRule="auto"/>
        <w:rPr>
          <w:rtl/>
        </w:rPr>
      </w:pPr>
      <w:r w:rsidRPr="00CD4BDD">
        <w:rPr>
          <w:rFonts w:hint="cs"/>
          <w:rtl/>
        </w:rPr>
        <w:t>وبالجملة السؤال والجواب في هذه الروايات إنما هو عن البلوغ العرفي للصبية من حيث الرشد العقلي والذهني، وأنه في أي سنّ يتحقق ذلك، فأجاب الإمام ـ حسب الرواية ـ بالتسع أو العشر، وهذا أمر يختلف من زمان إلى زمان ومن مكان إلى مكان، والمهم تحقق الرشد العقلي الذي به لا تكون الصبية مخدوعة، وإنما السنّ مأخوذٌ على نحو الطريقية والكاشفية عن ذلك.</w:t>
      </w:r>
    </w:p>
    <w:p w:rsidR="00601F43" w:rsidRPr="00CD4BDD" w:rsidRDefault="00601F43" w:rsidP="00E52F7A">
      <w:pPr>
        <w:pStyle w:val="ac"/>
        <w:spacing w:line="199" w:lineRule="auto"/>
        <w:rPr>
          <w:rtl/>
        </w:rPr>
      </w:pPr>
      <w:r w:rsidRPr="00CD4BDD">
        <w:rPr>
          <w:rFonts w:hint="cs"/>
          <w:rtl/>
        </w:rPr>
        <w:t>7 ـ مرسلة ابن أبي عمير الأخرى، والتي رواها الصدوق في الخصال عن ابن أبي عمير عن غير واحد عن أبي عبد الله</w:t>
      </w:r>
      <w:r w:rsidR="00A67CCA">
        <w:rPr>
          <w:rFonts w:hint="cs"/>
          <w:rtl/>
        </w:rPr>
        <w:t>×</w:t>
      </w:r>
      <w:r w:rsidRPr="00CD4BDD">
        <w:rPr>
          <w:rFonts w:hint="cs"/>
          <w:rtl/>
        </w:rPr>
        <w:t xml:space="preserve"> قال: </w:t>
      </w:r>
      <w:r>
        <w:rPr>
          <w:rFonts w:cs="md_ameli" w:hint="cs"/>
          <w:rtl/>
        </w:rPr>
        <w:t>&gt;</w:t>
      </w:r>
      <w:r w:rsidRPr="00CD4BDD">
        <w:rPr>
          <w:rFonts w:hint="cs"/>
          <w:rtl/>
        </w:rPr>
        <w:t>حدّ بلوغ المرأة تسع سنين</w:t>
      </w:r>
      <w:r>
        <w:rPr>
          <w:rFonts w:cs="md_ameli" w:hint="cs"/>
          <w:rtl/>
        </w:rPr>
        <w:t>&lt;</w:t>
      </w:r>
      <w:r w:rsidRPr="00815C4C">
        <w:rPr>
          <w:rFonts w:cs="Taher" w:hint="cs"/>
          <w:vertAlign w:val="superscript"/>
          <w:rtl/>
        </w:rPr>
        <w:t>(</w:t>
      </w:r>
      <w:r w:rsidRPr="00815C4C">
        <w:rPr>
          <w:rFonts w:cs="Taher"/>
          <w:vertAlign w:val="superscript"/>
          <w:rtl/>
        </w:rPr>
        <w:footnoteReference w:id="611"/>
      </w:r>
      <w:r w:rsidRPr="00815C4C">
        <w:rPr>
          <w:rFonts w:cs="Taher" w:hint="cs"/>
          <w:vertAlign w:val="superscript"/>
          <w:rtl/>
        </w:rPr>
        <w:t>)</w:t>
      </w:r>
      <w:r w:rsidRPr="00CD4BDD">
        <w:rPr>
          <w:rFonts w:hint="cs"/>
          <w:rtl/>
        </w:rPr>
        <w:t>.</w:t>
      </w:r>
    </w:p>
    <w:p w:rsidR="00601F43" w:rsidRPr="00CD4BDD" w:rsidRDefault="00601F43" w:rsidP="00E52F7A">
      <w:pPr>
        <w:pStyle w:val="ac"/>
        <w:spacing w:line="199" w:lineRule="auto"/>
        <w:rPr>
          <w:rtl/>
        </w:rPr>
      </w:pPr>
      <w:r w:rsidRPr="00CD4BDD">
        <w:rPr>
          <w:rFonts w:hint="cs"/>
          <w:b/>
          <w:bCs/>
          <w:rtl/>
        </w:rPr>
        <w:t>ويلاحظ عليها: أولاً:</w:t>
      </w:r>
      <w:r w:rsidRPr="00CD4BDD">
        <w:rPr>
          <w:rFonts w:hint="cs"/>
          <w:rtl/>
        </w:rPr>
        <w:t xml:space="preserve"> ضعفها بالإرسال، وإن كان المرسل ابن أبي عمير.</w:t>
      </w:r>
    </w:p>
    <w:p w:rsidR="00601F43" w:rsidRPr="00CD4BDD" w:rsidRDefault="00601F43" w:rsidP="00E52F7A">
      <w:pPr>
        <w:pStyle w:val="ac"/>
        <w:rPr>
          <w:rtl/>
        </w:rPr>
      </w:pPr>
      <w:r w:rsidRPr="00CD4BDD">
        <w:rPr>
          <w:rFonts w:hint="cs"/>
          <w:rtl/>
        </w:rPr>
        <w:t>إن قلت: إن ابن أبي عمير أرسلها عن (غير واحد)، وهو ظاهر في ثلاثة فما فوق، ومن المستبعد جداً أن يكونوا غير موثقين كلّهم، ولا أقلّ من وثاقة واحد منهم، فتكون الرواية موثوقة الصدور وإن كانت مرسلة.</w:t>
      </w:r>
    </w:p>
    <w:p w:rsidR="00601F43" w:rsidRPr="00CD4BDD" w:rsidRDefault="00601F43" w:rsidP="00E52F7A">
      <w:pPr>
        <w:pStyle w:val="ac"/>
        <w:spacing w:line="199" w:lineRule="auto"/>
        <w:rPr>
          <w:rtl/>
        </w:rPr>
      </w:pPr>
      <w:r w:rsidRPr="00CD4BDD">
        <w:rPr>
          <w:rFonts w:hint="cs"/>
          <w:rtl/>
        </w:rPr>
        <w:t>قلت: إننا تارة نبني على أنّ ابن أبي عمير لا يروي ولا يرسل أو فقط لا يرسل إلا عن ثقة، وأخرى لا نبني على ذلك، فإن بنينا على الأول فالرواية معتبرة كالمسندة عن الثقة، بلا فرق بين أن يكون الإرسال عن واحد أو عن رجل مثلاً، وأما إذا بنينا على أن ابن أبي عمير كغيره من الرواة قد يروي ويرسل عن الثقة وقد يروي ويرسل عن الضعيف ـ وقد روى عن الضعاف أمثال أبي البختري ويونس بن ظبيان ومحمد بن سنان وغيرهم ـ فلا ينفع ذلك الوجه لإثبات حجية الرواية، وذلك لأمرين:</w:t>
      </w:r>
    </w:p>
    <w:p w:rsidR="00601F43" w:rsidRPr="00CD4BDD" w:rsidRDefault="00601F43" w:rsidP="00E52F7A">
      <w:pPr>
        <w:pStyle w:val="ac"/>
        <w:spacing w:line="206" w:lineRule="auto"/>
        <w:rPr>
          <w:rtl/>
        </w:rPr>
      </w:pPr>
      <w:r w:rsidRPr="00CD4BDD">
        <w:rPr>
          <w:rFonts w:hint="cs"/>
          <w:rtl/>
        </w:rPr>
        <w:lastRenderedPageBreak/>
        <w:t>أحدهما أن مقولة أنّ التعبير بـ (غير واحد) ظاهر في ثلاثة فما فوق غير واضحة عندنا، فإنّ ظاهره اللغوي والبدوي هو شموله للاثنين أيضاً، فمن أين استظهر دلالته على الثلاثة فما فوق وعدم دلالته على الاثنين؟ وأي قرينة تثبت ذلك؟ ويشهد لما قلناه ما رواه الكليني</w:t>
      </w:r>
      <w:r w:rsidRPr="00815C4C">
        <w:rPr>
          <w:rFonts w:cs="Taher" w:hint="cs"/>
          <w:vertAlign w:val="superscript"/>
          <w:rtl/>
        </w:rPr>
        <w:t>(</w:t>
      </w:r>
      <w:r w:rsidRPr="00815C4C">
        <w:rPr>
          <w:rFonts w:cs="Taher"/>
          <w:vertAlign w:val="superscript"/>
          <w:rtl/>
        </w:rPr>
        <w:footnoteReference w:id="612"/>
      </w:r>
      <w:r w:rsidRPr="00815C4C">
        <w:rPr>
          <w:rFonts w:cs="Taher" w:hint="cs"/>
          <w:vertAlign w:val="superscript"/>
          <w:rtl/>
        </w:rPr>
        <w:t>)</w:t>
      </w:r>
      <w:r w:rsidRPr="00CD4BDD">
        <w:rPr>
          <w:rFonts w:hint="cs"/>
          <w:rtl/>
        </w:rPr>
        <w:t xml:space="preserve"> بإسناده عن حنان بن سدير قال: </w:t>
      </w:r>
      <w:r>
        <w:rPr>
          <w:rFonts w:cs="md_ameli" w:hint="cs"/>
          <w:rtl/>
        </w:rPr>
        <w:t>&gt;</w:t>
      </w:r>
      <w:r w:rsidRPr="00CD4BDD">
        <w:rPr>
          <w:rFonts w:hint="cs"/>
          <w:rtl/>
        </w:rPr>
        <w:t>دخلنا على أبي عبد الله</w:t>
      </w:r>
      <w:r w:rsidR="00A67CCA">
        <w:rPr>
          <w:rFonts w:hint="cs"/>
          <w:rtl/>
        </w:rPr>
        <w:t>×</w:t>
      </w:r>
      <w:r w:rsidRPr="00CD4BDD">
        <w:rPr>
          <w:rFonts w:hint="cs"/>
          <w:rtl/>
        </w:rPr>
        <w:t xml:space="preserve"> ومعنا فرقد الحجام فقال له: جعلت فداك إني أعمل عملاً وقد سألت عنه (غير واحد ولا اثنين) فزعموا أنه عمل مكروه...</w:t>
      </w:r>
      <w:r>
        <w:rPr>
          <w:rFonts w:cs="md_ameli" w:hint="cs"/>
          <w:rtl/>
        </w:rPr>
        <w:t>&lt;</w:t>
      </w:r>
      <w:r w:rsidRPr="00CD4BDD">
        <w:rPr>
          <w:rFonts w:hint="cs"/>
          <w:rtl/>
        </w:rPr>
        <w:t>، ولذلك لو روى شخص عن (غير واحد) ثم قال: قصدت رجلين فقط لم يكن كاذباً عند الناس، مما يعني شموله للاثنين فما فوق، خصوصاً أننا تتبّعنا روايات محمد بن أبي عمير فوجدنا رواياته المسندة عن ثلاثة فما فوق قليلة جداً مع أن مراسيله عن (غير واحد) كثيرة، مما يعني شمول ذلك التعبير للاثنين أيضاً، وعليه فيضعف الوثوق والاطمئنان بمرسلاته عن (غير واحد) إلا مع القرائن الأخرى.</w:t>
      </w:r>
    </w:p>
    <w:p w:rsidR="00601F43" w:rsidRPr="00CD4BDD" w:rsidRDefault="00601F43" w:rsidP="00E52F7A">
      <w:pPr>
        <w:pStyle w:val="ac"/>
        <w:spacing w:line="206" w:lineRule="auto"/>
        <w:rPr>
          <w:rtl/>
        </w:rPr>
      </w:pPr>
      <w:r w:rsidRPr="00CD4BDD">
        <w:rPr>
          <w:rFonts w:hint="cs"/>
          <w:rtl/>
        </w:rPr>
        <w:t>وثانيهما أن محمد بن أبي عمير روى عما يقارب الأربعمائة شخص وراوٍ، ونصف هؤلاء تقريباً لم يوثقوا في الرجال ولم تثبت وثاقتهم، بل منهم من ضعّفه الرجاليون، وحينئذٍ فمن أين لنا الوثوق بأن واحداً من (الثلاثة) ثقة حتماً؟ أو لا يمكن أن يكونوا كلّهم ممّن لم يوثقوا ولم يعلم حالهم؟ ودعوى أن ثلاثة أشخاص إذا رووا روايةً يبعد احتمال كذبهم أو خطئهم واشتباههم جميعاً فيها؛ فنطمئن بصدق الرواية وصدورها، دعوى بلا دليل؛ لأن المفروض عدم العلم بحالهم من حيث الوثاقة والضبط والأمانة.</w:t>
      </w:r>
    </w:p>
    <w:p w:rsidR="00601F43" w:rsidRPr="00CD4BDD" w:rsidRDefault="00601F43" w:rsidP="00A67CCA">
      <w:pPr>
        <w:pStyle w:val="ac"/>
        <w:rPr>
          <w:rtl/>
        </w:rPr>
      </w:pPr>
      <w:r w:rsidRPr="00CD4BDD">
        <w:rPr>
          <w:rFonts w:hint="cs"/>
          <w:rtl/>
        </w:rPr>
        <w:t>نعم قد تكون هناك قرائن خارجية تعيّن بعض الرواة أو تبين حاله فيتولّد لنا الاطمئنان بالصدور، لكنها منتفية في هذه الرواية، سوى أن الراوي فيها هو ابن أبي عمير، وهو مع جلالته وعظمته في الطائفة قد روى عن الضعاف وعن مجهولي الحال.</w:t>
      </w:r>
    </w:p>
    <w:p w:rsidR="00601F43" w:rsidRPr="00CD4BDD" w:rsidRDefault="00601F43" w:rsidP="00A67CCA">
      <w:pPr>
        <w:pStyle w:val="ac"/>
        <w:rPr>
          <w:rtl/>
        </w:rPr>
      </w:pPr>
      <w:r w:rsidRPr="00CD4BDD">
        <w:rPr>
          <w:rFonts w:hint="cs"/>
          <w:rtl/>
        </w:rPr>
        <w:t xml:space="preserve">وإذا أضفنا إلى ذلك احتمال أن تكون هذه المرسلة هي عين مرسلته السابقه؛ نظراً لوحدة السند إلا في المرسل عنه، وتقارب ذيل السابقة مع متن هذه، لزم منه تردّد </w:t>
      </w:r>
      <w:r w:rsidRPr="00CD4BDD">
        <w:rPr>
          <w:rFonts w:hint="cs"/>
          <w:rtl/>
        </w:rPr>
        <w:lastRenderedPageBreak/>
        <w:t>المرسل عنه بين (رجل) وبين (غير واحد)، الأمر الذي يسقط الاستدلال والاستفادة من الإرسال بـ (غير واحد)، خصوصاً وأنّ هذه المرسلة قد انفرد بها الصدوق في كتابه الخصال، فلم يذكرها في كتب فتاواه كما لم يذكرها غيره، مما يوجب الوهن في الرواية، خصوصاً عند من يرى أنّ موضوع حجية خبر الواحد هو الوثوق بالصدور لا مجرد وثاقة الراوي.</w:t>
      </w:r>
    </w:p>
    <w:p w:rsidR="00601F43" w:rsidRPr="00CD4BDD" w:rsidRDefault="00601F43" w:rsidP="00E52F7A">
      <w:pPr>
        <w:pStyle w:val="ac"/>
        <w:spacing w:line="199" w:lineRule="auto"/>
        <w:rPr>
          <w:rtl/>
        </w:rPr>
      </w:pPr>
      <w:r w:rsidRPr="00CD4BDD">
        <w:rPr>
          <w:rFonts w:hint="cs"/>
          <w:b/>
          <w:bCs/>
          <w:rtl/>
        </w:rPr>
        <w:t>ثانياً:</w:t>
      </w:r>
      <w:r w:rsidRPr="00CD4BDD">
        <w:rPr>
          <w:rFonts w:hint="cs"/>
          <w:rtl/>
        </w:rPr>
        <w:t xml:space="preserve"> إن المستدل استظهر من المرسلة أنها بصدد بيان البلوغ الاصطلاحي لدى الفقهاء، بمعنى بيان الحدّ الذي تكلّف فيه الصبية بالتكاليف الإلزامية، لكن هناك احتمال آخر في الرواية وهو أنها بصدد بيان حدّ البلوغ التكويني والطبيعي للمرأة، وهو تسع سنين آنذاك، أي أنه قبل تسع سنين لا تكون امرأةً لأنها لا تحيض، وبهذا تكون هذه الرواية مطابقة لمضامين الروايات التي دلّت على أن الجارية قبل تسع سنين لا تحيض</w:t>
      </w:r>
      <w:r w:rsidRPr="00815C4C">
        <w:rPr>
          <w:rFonts w:cs="Taher" w:hint="cs"/>
          <w:vertAlign w:val="superscript"/>
          <w:rtl/>
        </w:rPr>
        <w:t>(</w:t>
      </w:r>
      <w:r w:rsidRPr="00815C4C">
        <w:rPr>
          <w:rFonts w:cs="Taher"/>
          <w:vertAlign w:val="superscript"/>
          <w:rtl/>
        </w:rPr>
        <w:footnoteReference w:id="613"/>
      </w:r>
      <w:r w:rsidRPr="00815C4C">
        <w:rPr>
          <w:rFonts w:cs="Taher" w:hint="cs"/>
          <w:vertAlign w:val="superscript"/>
          <w:rtl/>
        </w:rPr>
        <w:t>)</w:t>
      </w:r>
      <w:r w:rsidRPr="00CD4BDD">
        <w:rPr>
          <w:rFonts w:hint="cs"/>
          <w:rtl/>
        </w:rPr>
        <w:t>، فلا يجوز الدخول بها ولا عدّة عليها. وبعبارة أخرى: إن الرواية بصدد بيان الحد الأدنى من حيث السن للبلوغ بالحيض، وأنه قبل تسع سنين لا تبلغ بالحيض، وإنما البلوغ بعدها.</w:t>
      </w:r>
    </w:p>
    <w:p w:rsidR="00601F43" w:rsidRPr="00CD4BDD" w:rsidRDefault="00601F43" w:rsidP="00E52F7A">
      <w:pPr>
        <w:pStyle w:val="ac"/>
        <w:rPr>
          <w:rtl/>
        </w:rPr>
      </w:pPr>
      <w:r w:rsidRPr="00CD4BDD">
        <w:rPr>
          <w:rFonts w:hint="cs"/>
          <w:rtl/>
        </w:rPr>
        <w:t>8 ـ رواية عبد الله بن سنان</w:t>
      </w:r>
      <w:r w:rsidRPr="00815C4C">
        <w:rPr>
          <w:rFonts w:cs="Taher" w:hint="cs"/>
          <w:vertAlign w:val="superscript"/>
          <w:rtl/>
        </w:rPr>
        <w:t>(</w:t>
      </w:r>
      <w:r w:rsidRPr="00815C4C">
        <w:rPr>
          <w:rFonts w:cs="Taher"/>
          <w:vertAlign w:val="superscript"/>
          <w:rtl/>
        </w:rPr>
        <w:footnoteReference w:id="614"/>
      </w:r>
      <w:r w:rsidRPr="00815C4C">
        <w:rPr>
          <w:rFonts w:cs="Taher" w:hint="cs"/>
          <w:vertAlign w:val="superscript"/>
          <w:rtl/>
        </w:rPr>
        <w:t>)</w:t>
      </w:r>
      <w:r w:rsidRPr="00CD4BDD">
        <w:rPr>
          <w:rFonts w:hint="cs"/>
          <w:rtl/>
        </w:rPr>
        <w:t xml:space="preserve"> التي رواها الكليني والطوسي، ففي رواية الكليني جاء عن أبي عبد الله</w:t>
      </w:r>
      <w:r w:rsidR="00A67CCA">
        <w:rPr>
          <w:rFonts w:hint="cs"/>
          <w:rtl/>
        </w:rPr>
        <w:t>×</w:t>
      </w:r>
      <w:r w:rsidRPr="00CD4BDD">
        <w:rPr>
          <w:rFonts w:hint="cs"/>
          <w:rtl/>
        </w:rPr>
        <w:t xml:space="preserve"> قال: </w:t>
      </w:r>
      <w:r>
        <w:rPr>
          <w:rFonts w:cs="md_ameli" w:hint="cs"/>
          <w:rtl/>
        </w:rPr>
        <w:t>&gt;</w:t>
      </w:r>
      <w:r w:rsidRPr="00CD4BDD">
        <w:rPr>
          <w:rFonts w:hint="cs"/>
          <w:rtl/>
        </w:rPr>
        <w:t>إذا بلغ الغلام ثلاث عشرة سنة كتبت له الحسنة وكتبت عليه السيئة وعوقب، وإذا بلغت الجارية تسع سنين فكذلك، وذلك أنها تحيض لتسع سنين</w:t>
      </w:r>
      <w:r>
        <w:rPr>
          <w:rFonts w:cs="md_ameli" w:hint="cs"/>
          <w:rtl/>
        </w:rPr>
        <w:t>&lt;</w:t>
      </w:r>
      <w:r w:rsidRPr="00CD4BDD">
        <w:rPr>
          <w:rFonts w:hint="cs"/>
          <w:rtl/>
        </w:rPr>
        <w:t xml:space="preserve">. </w:t>
      </w:r>
    </w:p>
    <w:p w:rsidR="00601F43" w:rsidRPr="00CD4BDD" w:rsidRDefault="00601F43" w:rsidP="00E52F7A">
      <w:pPr>
        <w:pStyle w:val="ac"/>
        <w:spacing w:line="199" w:lineRule="auto"/>
        <w:rPr>
          <w:rtl/>
        </w:rPr>
      </w:pPr>
      <w:r w:rsidRPr="00CD4BDD">
        <w:rPr>
          <w:rFonts w:hint="cs"/>
          <w:b/>
          <w:bCs/>
          <w:rtl/>
        </w:rPr>
        <w:t>ويلاحظ عليها: أولاً:</w:t>
      </w:r>
      <w:r w:rsidRPr="00CD4BDD">
        <w:rPr>
          <w:rFonts w:hint="cs"/>
          <w:rtl/>
        </w:rPr>
        <w:t xml:space="preserve"> إنها ضعيفة سنداً بآدم بياع اللؤلؤ وهو آدم بن المتوكل</w:t>
      </w:r>
      <w:r w:rsidR="00EE06ED">
        <w:rPr>
          <w:rFonts w:hint="cs"/>
          <w:rtl/>
        </w:rPr>
        <w:t>،</w:t>
      </w:r>
      <w:r w:rsidRPr="00CD4BDD">
        <w:rPr>
          <w:rFonts w:hint="cs"/>
          <w:rtl/>
        </w:rPr>
        <w:t xml:space="preserve"> فإنه وإن وثّق في النسخة الموجودة من رجال النجاشي، لكن الظاهر خلوّ نسختي العلامة وابن داوود من التوثيق، فلا يمكن الاعتماد على النسخ المطبوعة</w:t>
      </w:r>
      <w:r w:rsidRPr="00815C4C">
        <w:rPr>
          <w:rFonts w:cs="Taher" w:hint="cs"/>
          <w:vertAlign w:val="superscript"/>
          <w:rtl/>
        </w:rPr>
        <w:t>(</w:t>
      </w:r>
      <w:r w:rsidRPr="00815C4C">
        <w:rPr>
          <w:rFonts w:cs="Taher"/>
          <w:vertAlign w:val="superscript"/>
          <w:rtl/>
        </w:rPr>
        <w:footnoteReference w:id="615"/>
      </w:r>
      <w:r w:rsidRPr="00815C4C">
        <w:rPr>
          <w:rFonts w:cs="Taher" w:hint="cs"/>
          <w:vertAlign w:val="superscript"/>
          <w:rtl/>
        </w:rPr>
        <w:t>)</w:t>
      </w:r>
      <w:r w:rsidRPr="00CD4BDD">
        <w:rPr>
          <w:rFonts w:hint="cs"/>
          <w:rtl/>
        </w:rPr>
        <w:t>.</w:t>
      </w:r>
    </w:p>
    <w:p w:rsidR="00601F43" w:rsidRDefault="00601F43" w:rsidP="00A67CCA">
      <w:pPr>
        <w:pStyle w:val="ac"/>
        <w:rPr>
          <w:rtl/>
        </w:rPr>
      </w:pPr>
      <w:r w:rsidRPr="00CD4BDD">
        <w:rPr>
          <w:rFonts w:hint="cs"/>
          <w:b/>
          <w:bCs/>
          <w:rtl/>
        </w:rPr>
        <w:t>ثانياً:</w:t>
      </w:r>
      <w:r w:rsidRPr="00CD4BDD">
        <w:rPr>
          <w:rFonts w:hint="cs"/>
          <w:rtl/>
        </w:rPr>
        <w:t xml:space="preserve"> إنها تدلّ على أنّ الحيض هو الأصل والموضوع للمؤاخذة لا التسع سنين، </w:t>
      </w:r>
      <w:r w:rsidRPr="00CD4BDD">
        <w:rPr>
          <w:rFonts w:hint="cs"/>
          <w:rtl/>
        </w:rPr>
        <w:lastRenderedPageBreak/>
        <w:t>خلافاً لما هو مطلوب المستدل، وعليه فلابد من ملاحظة الحيض لا السنّ، فلو لم تحض في سن التاسعة فلا تكون بالغة، واحتمال أن المراد إمكان الحيض يدفعه ظهور اللفظ في الفعلية، مع أنه حنيئذٍ لابد من ملاحظة الإمكان وهو يختلف باختلاف الزمان والمكان.</w:t>
      </w:r>
    </w:p>
    <w:p w:rsidR="00601F43" w:rsidRPr="00E52F7A" w:rsidRDefault="00601F43" w:rsidP="00E52F7A">
      <w:pPr>
        <w:pStyle w:val="afffffc"/>
        <w:rPr>
          <w:sz w:val="22"/>
          <w:szCs w:val="20"/>
          <w:rtl/>
        </w:rPr>
      </w:pPr>
    </w:p>
    <w:p w:rsidR="00601F43" w:rsidRDefault="00601F43" w:rsidP="00E52F7A">
      <w:pPr>
        <w:pStyle w:val="4"/>
        <w:rPr>
          <w:rtl/>
        </w:rPr>
      </w:pPr>
      <w:bookmarkStart w:id="340" w:name="_Toc275128060"/>
      <w:r>
        <w:rPr>
          <w:rFonts w:hint="cs"/>
          <w:rtl/>
        </w:rPr>
        <w:t>محاولة للدفاع عن ضعف سند المجموعة الأولى</w:t>
      </w:r>
      <w:bookmarkEnd w:id="340"/>
    </w:p>
    <w:p w:rsidR="00601F43" w:rsidRPr="00CD4BDD" w:rsidRDefault="00601F43" w:rsidP="00A67CCA">
      <w:pPr>
        <w:pStyle w:val="ac"/>
        <w:rPr>
          <w:rtl/>
        </w:rPr>
      </w:pPr>
      <w:r w:rsidRPr="00CD4BDD">
        <w:rPr>
          <w:rFonts w:hint="cs"/>
          <w:rtl/>
        </w:rPr>
        <w:t>هذه هي روايات البلوغ بتسع سنين، وقد عرفت أنها جميعاً ضعيفة سنداً بل ودلالة، فلم يتم منها شيء، لكن قد يقال ـ كما قالوا ـ: إن عمل المشهور بهذه الروايات يجبر ضعفها ويجعلها موثوقة الصدور فتكون معتبرة، لكن يرد على هذه الدعوى:</w:t>
      </w:r>
    </w:p>
    <w:p w:rsidR="00601F43" w:rsidRPr="00CD4BDD" w:rsidRDefault="00601F43" w:rsidP="00A67CCA">
      <w:pPr>
        <w:pStyle w:val="ac"/>
        <w:rPr>
          <w:rtl/>
        </w:rPr>
      </w:pPr>
      <w:r w:rsidRPr="00CD4BDD">
        <w:rPr>
          <w:rFonts w:hint="cs"/>
          <w:b/>
          <w:bCs/>
          <w:rtl/>
        </w:rPr>
        <w:t>أولاً:</w:t>
      </w:r>
      <w:r w:rsidRPr="00CD4BDD">
        <w:rPr>
          <w:rFonts w:hint="cs"/>
          <w:rtl/>
        </w:rPr>
        <w:t xml:space="preserve"> قد حقّقنا في محله مفصّلاً أنّ عمل المشهور لا يجبر ضعف السند كما لا يجبر ضعف الدلالة بالاتفاق.</w:t>
      </w:r>
    </w:p>
    <w:p w:rsidR="00601F43" w:rsidRPr="00CD4BDD" w:rsidRDefault="00601F43" w:rsidP="00A67CCA">
      <w:pPr>
        <w:pStyle w:val="ac"/>
        <w:rPr>
          <w:rtl/>
        </w:rPr>
      </w:pPr>
      <w:r w:rsidRPr="00CD4BDD">
        <w:rPr>
          <w:rFonts w:hint="cs"/>
          <w:b/>
          <w:bCs/>
          <w:rtl/>
        </w:rPr>
        <w:t>ثانياً:</w:t>
      </w:r>
      <w:r w:rsidRPr="00CD4BDD">
        <w:rPr>
          <w:rFonts w:hint="cs"/>
          <w:rtl/>
        </w:rPr>
        <w:t xml:space="preserve"> إن المعتبر هو عمل مشهور القدماء، وقد عرفت أن المشهور بينهم ليس ذلك، فقد خالف الصدوق والمفيد والمرتضى في الصوم، وتعدّدت آراء الطوسي كابن حمزة الطوسي، فيستكشف من ذلك أنّ المسألة لم تكن واضحة بحيث لا مجال للخلاف فيها.</w:t>
      </w:r>
    </w:p>
    <w:p w:rsidR="00601F43" w:rsidRPr="00CD4BDD" w:rsidRDefault="00601F43" w:rsidP="00A67CCA">
      <w:pPr>
        <w:pStyle w:val="ac"/>
        <w:rPr>
          <w:rtl/>
        </w:rPr>
      </w:pPr>
      <w:r w:rsidRPr="00CD4BDD">
        <w:rPr>
          <w:rFonts w:hint="cs"/>
          <w:b/>
          <w:bCs/>
          <w:rtl/>
        </w:rPr>
        <w:t>ثالثاً:</w:t>
      </w:r>
      <w:r w:rsidRPr="00CD4BDD">
        <w:rPr>
          <w:rFonts w:hint="cs"/>
          <w:rtl/>
        </w:rPr>
        <w:t xml:space="preserve"> لم يعلم استناد المشهور إلى هذه الروايات، فهذه مرسلة ابن أبي عمير الثانية لم يستدلّ بها أحد، بل لم يذكرها غير الصدوق في كتاب الخصال؛ فكيف يمكن جبر ضعفها بدعوى عمل المشهور بها؟!</w:t>
      </w:r>
    </w:p>
    <w:p w:rsidR="00601F43" w:rsidRPr="00E52F7A" w:rsidRDefault="00601F43" w:rsidP="00E52F7A">
      <w:pPr>
        <w:pStyle w:val="afffffc"/>
        <w:rPr>
          <w:sz w:val="20"/>
          <w:szCs w:val="18"/>
          <w:rtl/>
        </w:rPr>
      </w:pPr>
    </w:p>
    <w:p w:rsidR="00601F43" w:rsidRDefault="00601F43" w:rsidP="00E52F7A">
      <w:pPr>
        <w:pStyle w:val="4"/>
        <w:rPr>
          <w:rtl/>
        </w:rPr>
      </w:pPr>
      <w:bookmarkStart w:id="341" w:name="_Toc275128061"/>
      <w:r>
        <w:rPr>
          <w:rFonts w:hint="cs"/>
          <w:rtl/>
        </w:rPr>
        <w:t>الجواب العام على روايات البلوغ بالتسع</w:t>
      </w:r>
      <w:bookmarkEnd w:id="341"/>
    </w:p>
    <w:p w:rsidR="00601F43" w:rsidRPr="00CD4BDD" w:rsidRDefault="00601F43" w:rsidP="00A67CCA">
      <w:pPr>
        <w:pStyle w:val="ac"/>
        <w:rPr>
          <w:rtl/>
        </w:rPr>
      </w:pPr>
      <w:r w:rsidRPr="00CD4BDD">
        <w:rPr>
          <w:rFonts w:hint="cs"/>
          <w:rtl/>
        </w:rPr>
        <w:t>ولنا ـ مضافاً إلى كل ما تقدم ـ جواب عام على روايات البلوغ بتسع سنين وحاصله: إن المجمع عليه بينهم ـ تبعاً لبعض الروايات ـ أن المرأة لا تحيض قبل تسع سنين حتى أنه لو خرج منها دم فهو ليس من الحيض شرعاً، وإنما الحيض بالتسع فما بعد، كما أنّ مقارنة الحيض لتسع سنين قليل ونادر، ولذلك قال الشافعي في كتابه الأم</w:t>
      </w:r>
      <w:r w:rsidRPr="00815C4C">
        <w:rPr>
          <w:rFonts w:cs="Taher" w:hint="cs"/>
          <w:vertAlign w:val="superscript"/>
          <w:rtl/>
        </w:rPr>
        <w:t>(</w:t>
      </w:r>
      <w:r w:rsidRPr="00815C4C">
        <w:rPr>
          <w:rFonts w:cs="Taher"/>
          <w:vertAlign w:val="superscript"/>
          <w:rtl/>
        </w:rPr>
        <w:footnoteReference w:id="616"/>
      </w:r>
      <w:r w:rsidRPr="00815C4C">
        <w:rPr>
          <w:rFonts w:cs="Taher" w:hint="cs"/>
          <w:vertAlign w:val="superscript"/>
          <w:rtl/>
        </w:rPr>
        <w:t>)</w:t>
      </w:r>
      <w:r w:rsidRPr="00CD4BDD">
        <w:rPr>
          <w:rFonts w:hint="cs"/>
          <w:rtl/>
        </w:rPr>
        <w:t>: وأعجل مَن سمعت به من النساء حضن نساء تهامة يحضن لتسع سنين.</w:t>
      </w:r>
    </w:p>
    <w:p w:rsidR="00601F43" w:rsidRPr="00CD4BDD" w:rsidRDefault="00601F43" w:rsidP="00E52F7A">
      <w:pPr>
        <w:pStyle w:val="ac"/>
        <w:spacing w:line="209" w:lineRule="auto"/>
        <w:rPr>
          <w:rtl/>
        </w:rPr>
      </w:pPr>
      <w:r w:rsidRPr="00CD4BDD">
        <w:rPr>
          <w:rFonts w:hint="cs"/>
          <w:rtl/>
        </w:rPr>
        <w:lastRenderedPageBreak/>
        <w:t>وبناء على ذلك نقول: إنّ روايات البلوغ بالحيض بنفسها تنافي وتعارض روايات البلوغ بتسع سنين، إذ لو كان البلوغ بالتسع لصرّحت الروايات الواردة في البلوغ بأنها تبلغ في تسع سنين، وللصلاة والصوم والحج.. بالحيض؛ لأنّ السن المذكور متقدم دائماً أو غالباً على الحيض، فلماذا علّقت الروايات البلوغ بالحيض؟ كما هو مضمون الروايات الكثيرة المتقدمة الدالة على البلوغ بالحيض، فروايات البلوغ بالحيض بنفسها دليل واضح على البلوغ بالحيض وعدم حصوله بتسع سنين وإلا لذكرته واقتصرت عليه، كما هي الحال في فتاوى بعض المعاصرين</w:t>
      </w:r>
      <w:r w:rsidRPr="00815C4C">
        <w:rPr>
          <w:rFonts w:cs="Taher" w:hint="cs"/>
          <w:vertAlign w:val="superscript"/>
          <w:rtl/>
        </w:rPr>
        <w:t>(</w:t>
      </w:r>
      <w:r w:rsidRPr="00815C4C">
        <w:rPr>
          <w:rFonts w:cs="Taher"/>
          <w:vertAlign w:val="superscript"/>
          <w:rtl/>
        </w:rPr>
        <w:footnoteReference w:id="617"/>
      </w:r>
      <w:r w:rsidRPr="00815C4C">
        <w:rPr>
          <w:rFonts w:cs="Taher" w:hint="cs"/>
          <w:vertAlign w:val="superscript"/>
          <w:rtl/>
        </w:rPr>
        <w:t>)</w:t>
      </w:r>
      <w:r w:rsidRPr="00CD4BDD">
        <w:rPr>
          <w:rFonts w:hint="cs"/>
          <w:rtl/>
        </w:rPr>
        <w:t>.</w:t>
      </w:r>
    </w:p>
    <w:p w:rsidR="00601F43" w:rsidRPr="00CD4BDD" w:rsidRDefault="00601F43" w:rsidP="00E52F7A">
      <w:pPr>
        <w:pStyle w:val="ac"/>
        <w:spacing w:line="209" w:lineRule="auto"/>
        <w:rPr>
          <w:rtl/>
        </w:rPr>
      </w:pPr>
      <w:r w:rsidRPr="00CD4BDD">
        <w:rPr>
          <w:rFonts w:hint="cs"/>
          <w:b/>
          <w:bCs/>
          <w:rtl/>
        </w:rPr>
        <w:t>وبتقريب آخر</w:t>
      </w:r>
      <w:r w:rsidRPr="00CD4BDD">
        <w:rPr>
          <w:rFonts w:hint="cs"/>
          <w:rtl/>
        </w:rPr>
        <w:t>: بناء على ما ذكرناه من تقدّم التسع على الحيض، تقع معارضة بين طائفتي الروايات؛ روايات البلوغ بتسع سنين ـ على فرض صحتها وتماميتها سنداً ودلالة ـ وروايات البلوغ بالحيض؛ لأن جعل البلوغ بالسنّ المذكور يعني لغوية جعله بالحيض لتأخره عنه، كما أنّ جعله بالحيض يعني عدم العبرة بالسنّ وعدم كونه سبباً للبلوغ وإلا لكان الجعل المذكور لغواً أيضاً؛ لتقدّم السنّ المذكور على الحيض.</w:t>
      </w:r>
    </w:p>
    <w:p w:rsidR="00601F43" w:rsidRPr="00CD4BDD" w:rsidRDefault="00601F43" w:rsidP="00E52F7A">
      <w:pPr>
        <w:pStyle w:val="ac"/>
        <w:spacing w:line="209" w:lineRule="auto"/>
        <w:rPr>
          <w:rtl/>
        </w:rPr>
      </w:pPr>
      <w:r w:rsidRPr="00CD4BDD">
        <w:rPr>
          <w:rFonts w:hint="cs"/>
          <w:rtl/>
        </w:rPr>
        <w:t>وفي مقام حلّ هذا التعارض هناك عدة وجوه محتملة ابتداءً:</w:t>
      </w:r>
    </w:p>
    <w:p w:rsidR="00601F43" w:rsidRPr="00CD4BDD" w:rsidRDefault="00601F43" w:rsidP="00E52F7A">
      <w:pPr>
        <w:pStyle w:val="ac"/>
        <w:spacing w:line="209" w:lineRule="auto"/>
        <w:rPr>
          <w:rtl/>
        </w:rPr>
      </w:pPr>
      <w:r w:rsidRPr="00CD4BDD">
        <w:rPr>
          <w:rFonts w:hint="cs"/>
          <w:b/>
          <w:bCs/>
          <w:rtl/>
        </w:rPr>
        <w:t>الوجه الأول:</w:t>
      </w:r>
      <w:r w:rsidRPr="00CD4BDD">
        <w:rPr>
          <w:rFonts w:hint="cs"/>
          <w:rtl/>
        </w:rPr>
        <w:t xml:space="preserve"> الجمع بين الطائفتين بلزوم اجتماع الحيض مع إتمام المرأة تسع سنين، فمتى حاضت ولها تسع سنين فقد بلغت وإلا فلا، وهذا يعني جعل كلاً من الحيض والسنّ جزء علةٍ للبلوغ .</w:t>
      </w:r>
    </w:p>
    <w:p w:rsidR="00601F43" w:rsidRPr="00CD4BDD" w:rsidRDefault="00601F43" w:rsidP="00E52F7A">
      <w:pPr>
        <w:pStyle w:val="ac"/>
        <w:rPr>
          <w:rtl/>
        </w:rPr>
      </w:pPr>
      <w:r w:rsidRPr="00CD4BDD">
        <w:rPr>
          <w:rFonts w:hint="cs"/>
          <w:rtl/>
        </w:rPr>
        <w:t xml:space="preserve">وهذا الوجه ضعيف جداً، </w:t>
      </w:r>
      <w:r w:rsidRPr="00CD4BDD">
        <w:rPr>
          <w:rFonts w:hint="cs"/>
          <w:b/>
          <w:bCs/>
          <w:rtl/>
        </w:rPr>
        <w:t>أما أولاً:</w:t>
      </w:r>
      <w:r w:rsidRPr="00CD4BDD">
        <w:rPr>
          <w:rFonts w:hint="cs"/>
          <w:rtl/>
        </w:rPr>
        <w:t xml:space="preserve"> فلأنّ هذه المسألة تكون حينئذٍ من فروع البحث المعروف في الأصول، وهو تعدّد الشرط واتحاد الجزاء في جملتين شرطيتين، وقد حقق هناك أن التقييد يكون بـ (أو) لا بالواو، فبيّنت عليّة كل شرط بشكل مستقل، وتفصيله موكول إلى محلّه. </w:t>
      </w:r>
    </w:p>
    <w:p w:rsidR="00601F43" w:rsidRPr="00CD4BDD" w:rsidRDefault="00601F43" w:rsidP="00E52F7A">
      <w:pPr>
        <w:pStyle w:val="ac"/>
        <w:spacing w:line="209" w:lineRule="auto"/>
        <w:rPr>
          <w:rtl/>
        </w:rPr>
      </w:pPr>
      <w:r w:rsidRPr="00CD4BDD">
        <w:rPr>
          <w:rFonts w:hint="cs"/>
          <w:b/>
          <w:bCs/>
          <w:rtl/>
        </w:rPr>
        <w:t>وأما ثانياً:</w:t>
      </w:r>
      <w:r w:rsidRPr="00CD4BDD">
        <w:rPr>
          <w:rFonts w:hint="cs"/>
          <w:rtl/>
        </w:rPr>
        <w:t xml:space="preserve"> فلأجل ندرة اقتران الحيض مع بلوغ التسع سنين، فلا يصحّ حمل كل هذه الروايات من الطائفتين على هذا الفرض النادر.</w:t>
      </w:r>
    </w:p>
    <w:p w:rsidR="00601F43" w:rsidRPr="00CD4BDD" w:rsidRDefault="00601F43" w:rsidP="00A67CCA">
      <w:pPr>
        <w:pStyle w:val="ac"/>
        <w:rPr>
          <w:rtl/>
        </w:rPr>
      </w:pPr>
      <w:r w:rsidRPr="00CD4BDD">
        <w:rPr>
          <w:rFonts w:hint="cs"/>
          <w:b/>
          <w:bCs/>
          <w:rtl/>
        </w:rPr>
        <w:lastRenderedPageBreak/>
        <w:t>وأما ثالثاً:</w:t>
      </w:r>
      <w:r w:rsidRPr="00CD4BDD">
        <w:rPr>
          <w:rFonts w:hint="cs"/>
          <w:rtl/>
        </w:rPr>
        <w:t xml:space="preserve"> فلأنه غير محتمل فقهياً في نفسه، ولم يفت به أحد من فقهاء الفريقين.</w:t>
      </w:r>
    </w:p>
    <w:p w:rsidR="00601F43" w:rsidRPr="00CD4BDD" w:rsidRDefault="00601F43" w:rsidP="00A67CCA">
      <w:pPr>
        <w:pStyle w:val="ac"/>
        <w:rPr>
          <w:rtl/>
        </w:rPr>
      </w:pPr>
      <w:r w:rsidRPr="00CD4BDD">
        <w:rPr>
          <w:rFonts w:hint="cs"/>
          <w:b/>
          <w:bCs/>
          <w:rtl/>
        </w:rPr>
        <w:t>الوجه الثاني:</w:t>
      </w:r>
      <w:r w:rsidRPr="00CD4BDD">
        <w:rPr>
          <w:rFonts w:hint="cs"/>
          <w:rtl/>
        </w:rPr>
        <w:t xml:space="preserve"> حمل روايات البلوغ بالحيض على إمكان الحيض واستعداد المرأة له، لا تحقّقه فعلاً وخارجاً، وبما أنّ الحيض ممكن في تسع سنين، فيؤخذ بكلتا الطائفتين من الروايات.</w:t>
      </w:r>
    </w:p>
    <w:p w:rsidR="00601F43" w:rsidRPr="00CD4BDD" w:rsidRDefault="00601F43" w:rsidP="00E52F7A">
      <w:pPr>
        <w:pStyle w:val="ac"/>
        <w:spacing w:line="209" w:lineRule="auto"/>
        <w:rPr>
          <w:rtl/>
        </w:rPr>
      </w:pPr>
      <w:r w:rsidRPr="00CD4BDD">
        <w:rPr>
          <w:rFonts w:hint="cs"/>
          <w:rtl/>
        </w:rPr>
        <w:t>وهذا الوجه أيضاً ضعيف وذلك لأمور:</w:t>
      </w:r>
      <w:r w:rsidRPr="00CD4BDD">
        <w:rPr>
          <w:rFonts w:hint="cs"/>
          <w:b/>
          <w:bCs/>
          <w:rtl/>
        </w:rPr>
        <w:t xml:space="preserve"> الأول</w:t>
      </w:r>
      <w:r w:rsidRPr="00CD4BDD">
        <w:rPr>
          <w:rFonts w:hint="cs"/>
          <w:rtl/>
        </w:rPr>
        <w:t>: إنه خلاف ظهور روايات الحيض في فعليته وحصوله خارجاً.</w:t>
      </w:r>
      <w:r w:rsidRPr="00CD4BDD">
        <w:rPr>
          <w:rFonts w:hint="cs"/>
          <w:b/>
          <w:bCs/>
          <w:rtl/>
        </w:rPr>
        <w:t xml:space="preserve"> الثاني</w:t>
      </w:r>
      <w:r w:rsidRPr="00CD4BDD">
        <w:rPr>
          <w:rFonts w:hint="cs"/>
          <w:rtl/>
        </w:rPr>
        <w:t>: إباء بعض روايات البلوغ بالحيض عن هذا الحمل، وصراحتها في أنّ حصول الحيض خارجاً هو ملاك البلوغ، مثل صحيحة عبد الرحمن بن الحجاج المتقدمة عن أبي إبراهيم</w:t>
      </w:r>
      <w:r w:rsidR="00A67CCA">
        <w:rPr>
          <w:rFonts w:hint="cs"/>
          <w:rtl/>
        </w:rPr>
        <w:t>×</w:t>
      </w:r>
      <w:r w:rsidRPr="00CD4BDD">
        <w:rPr>
          <w:rFonts w:hint="cs"/>
          <w:rtl/>
        </w:rPr>
        <w:t xml:space="preserve"> قال: </w:t>
      </w:r>
      <w:r>
        <w:rPr>
          <w:rFonts w:cs="md_ameli" w:hint="cs"/>
          <w:rtl/>
        </w:rPr>
        <w:t>&gt;</w:t>
      </w:r>
      <w:r w:rsidRPr="00CD4BDD">
        <w:rPr>
          <w:rFonts w:hint="cs"/>
          <w:rtl/>
        </w:rPr>
        <w:t>سألت أبا إبراهيم</w:t>
      </w:r>
      <w:r w:rsidR="00A67CCA">
        <w:rPr>
          <w:rFonts w:hint="cs"/>
          <w:rtl/>
        </w:rPr>
        <w:t>×</w:t>
      </w:r>
      <w:r w:rsidRPr="00CD4BDD">
        <w:rPr>
          <w:rFonts w:hint="cs"/>
          <w:rtl/>
        </w:rPr>
        <w:t>: عن الجارية التي لم تدرك متى ينبغي لها أن تغطي رأسها ممّن ليس بينها وبينه محرم؟ ومتى يجب عليها أن تقنع رأسها للصلاة: قال: لا تغطي رأسها حتى تحرم عليها الصلاة</w:t>
      </w:r>
      <w:r>
        <w:rPr>
          <w:rFonts w:cs="md_ameli" w:hint="cs"/>
          <w:rtl/>
        </w:rPr>
        <w:t>&lt;</w:t>
      </w:r>
      <w:r w:rsidRPr="00815C4C">
        <w:rPr>
          <w:rFonts w:cs="Taher" w:hint="cs"/>
          <w:vertAlign w:val="superscript"/>
          <w:rtl/>
        </w:rPr>
        <w:t>(</w:t>
      </w:r>
      <w:r w:rsidRPr="00815C4C">
        <w:rPr>
          <w:rFonts w:cs="Taher"/>
          <w:vertAlign w:val="superscript"/>
          <w:rtl/>
        </w:rPr>
        <w:footnoteReference w:id="618"/>
      </w:r>
      <w:r w:rsidRPr="00815C4C">
        <w:rPr>
          <w:rFonts w:cs="Taher" w:hint="cs"/>
          <w:vertAlign w:val="superscript"/>
          <w:rtl/>
        </w:rPr>
        <w:t>)</w:t>
      </w:r>
      <w:r w:rsidRPr="00CD4BDD">
        <w:rPr>
          <w:rFonts w:hint="cs"/>
          <w:rtl/>
        </w:rPr>
        <w:t>. فإن حرمة الصلاة عليها إنما تكون بحصول الحيض منها خارجاً لا إمكاناً كما هو واضح، ومثلها روايات وجوب الحج عليها بالحيض، فإنها ذكرت احتلام الغلام مع حيض الجارية، بل وغيرها من الروايات المتقدمة الآبية على الحمل على الحيض الإمكاني والتقديري.</w:t>
      </w:r>
    </w:p>
    <w:p w:rsidR="00601F43" w:rsidRPr="00CD4BDD" w:rsidRDefault="00601F43" w:rsidP="00E52F7A">
      <w:pPr>
        <w:pStyle w:val="ac"/>
        <w:rPr>
          <w:rtl/>
        </w:rPr>
      </w:pPr>
      <w:r w:rsidRPr="00CD4BDD">
        <w:rPr>
          <w:rFonts w:hint="cs"/>
          <w:b/>
          <w:bCs/>
          <w:rtl/>
        </w:rPr>
        <w:t>الوجه الثالث</w:t>
      </w:r>
      <w:r w:rsidRPr="00CD4BDD">
        <w:rPr>
          <w:rFonts w:hint="cs"/>
          <w:rtl/>
        </w:rPr>
        <w:t>: تقييد مفهوم كل من الشرطيتين المستفادتين من الروايات بـ (أو)، والشرطيتان هما: (إذا بلغت تسع سنين فقد بلغت) و (إذا حاضت فقد بلغت)، وينتج منه حكم الشارع بالبلوغ إما بتسع سنين وإما بالحيض، كما هو ظاهر فتاوى السابقين، فأيهما تحقّق فقد حصل البلوغ، ويكون كلّ منهما سبباً تاماً للبلوغ.</w:t>
      </w:r>
    </w:p>
    <w:p w:rsidR="00601F43" w:rsidRPr="00CD4BDD" w:rsidRDefault="00601F43" w:rsidP="00E52F7A">
      <w:pPr>
        <w:pStyle w:val="ac"/>
        <w:spacing w:line="209" w:lineRule="auto"/>
        <w:rPr>
          <w:rtl/>
        </w:rPr>
      </w:pPr>
      <w:r w:rsidRPr="00CD4BDD">
        <w:rPr>
          <w:rFonts w:hint="cs"/>
          <w:rtl/>
        </w:rPr>
        <w:t xml:space="preserve">لكن يرد عليه ما تقدم من استحالة هذا الجمع في المقام، لأن المفروض أنّ الحيض إما متأخر عن التسع ـ كما هو الغالب ـ وإمّا مقارن، وفي كلا التقديرين تستحيل علامية الحيض؛ لأنّها تكون لغواً، مع جعل السنّ علامة، وتوهم أنّ الحيض يكون علامةً لمجهولة السنّ، فاسد جداً؛ لأنه مع الجهل بالسنّ لا يعلم بحصول الحيض شرعاً، فما قبل التسع ليس حيضاً حتى إذا جهل تاريخه بالنسبة لعمر المرأة، وبعبارة أخرى: إن </w:t>
      </w:r>
      <w:r w:rsidRPr="00CD4BDD">
        <w:rPr>
          <w:rFonts w:hint="cs"/>
          <w:rtl/>
        </w:rPr>
        <w:lastRenderedPageBreak/>
        <w:t>التمسك بروايات الحيض في مجهولة السنّ تمسّك بالعام في الشبهة المصداقية، وهو غير صحيح.</w:t>
      </w:r>
    </w:p>
    <w:p w:rsidR="00601F43" w:rsidRPr="00CD4BDD" w:rsidRDefault="00601F43" w:rsidP="00E52F7A">
      <w:pPr>
        <w:pStyle w:val="ac"/>
        <w:spacing w:line="199" w:lineRule="auto"/>
        <w:rPr>
          <w:rtl/>
        </w:rPr>
      </w:pPr>
      <w:r w:rsidRPr="00CD4BDD">
        <w:rPr>
          <w:rFonts w:hint="cs"/>
          <w:b/>
          <w:bCs/>
          <w:rtl/>
        </w:rPr>
        <w:t>الوجه الرابع</w:t>
      </w:r>
      <w:r w:rsidRPr="00CD4BDD">
        <w:rPr>
          <w:rFonts w:hint="cs"/>
          <w:rtl/>
        </w:rPr>
        <w:t>: إن روايات البلوغ بالتسع مشهورة عند الأصحاب وعليها العمل في الفتاوى، فتقدّم على روايات البلوغ بالحيض لأنها شاذة فتطرح.</w:t>
      </w:r>
    </w:p>
    <w:p w:rsidR="00601F43" w:rsidRPr="00CD4BDD" w:rsidRDefault="00601F43" w:rsidP="00E52F7A">
      <w:pPr>
        <w:pStyle w:val="ac"/>
        <w:spacing w:line="199" w:lineRule="auto"/>
        <w:rPr>
          <w:sz w:val="27"/>
          <w:rtl/>
        </w:rPr>
      </w:pPr>
      <w:r w:rsidRPr="00CD4BDD">
        <w:rPr>
          <w:rFonts w:hint="cs"/>
          <w:sz w:val="27"/>
          <w:rtl/>
        </w:rPr>
        <w:t>ويلاحظ عليه أولاً: إنه خلاف ما اشتهر بينهم من عدم صحّة الترجيح بالشهرة بين المتعارضين. وثانياً: إنه يتم إذا لم يكن في البين جمعٌ عرفي، وسيأتيك بيانه. وثالثاً: إن روايات البلوغ بالحيض أيضاً مشهورة، وقد وردت في أهم الكتب والأصول الحديثية عند الشيعة، وأفتى بمضمون بعضها القدماء، بل إنها أشهر وأكثر من روايات التسع من حيث مصادرها والرواة لها، فكيف يدّعى أنها شاذة؟</w:t>
      </w:r>
    </w:p>
    <w:p w:rsidR="00601F43" w:rsidRPr="00CD4BDD" w:rsidRDefault="00601F43" w:rsidP="00E52F7A">
      <w:pPr>
        <w:pStyle w:val="ac"/>
        <w:spacing w:line="199" w:lineRule="auto"/>
        <w:rPr>
          <w:sz w:val="27"/>
          <w:rtl/>
        </w:rPr>
      </w:pPr>
      <w:r w:rsidRPr="00CD4BDD">
        <w:rPr>
          <w:rFonts w:hint="cs"/>
          <w:b/>
          <w:bCs/>
          <w:sz w:val="27"/>
          <w:rtl/>
        </w:rPr>
        <w:t>الوجه الخامس:</w:t>
      </w:r>
      <w:r w:rsidRPr="00CD4BDD">
        <w:rPr>
          <w:rFonts w:hint="cs"/>
          <w:sz w:val="27"/>
          <w:rtl/>
        </w:rPr>
        <w:t xml:space="preserve"> حمل روايات البلوغ بالحيض على التقية لموافقتها أهل السنّة.</w:t>
      </w:r>
    </w:p>
    <w:p w:rsidR="00601F43" w:rsidRPr="00CD4BDD" w:rsidRDefault="00601F43" w:rsidP="00E52F7A">
      <w:pPr>
        <w:pStyle w:val="ac"/>
        <w:spacing w:line="199" w:lineRule="auto"/>
        <w:rPr>
          <w:sz w:val="27"/>
          <w:rtl/>
        </w:rPr>
      </w:pPr>
      <w:r w:rsidRPr="00CD4BDD">
        <w:rPr>
          <w:rFonts w:hint="cs"/>
          <w:sz w:val="27"/>
          <w:rtl/>
        </w:rPr>
        <w:t>وهذا الوجه بعيد غايته؛ لأن تلك الروايات كثيرة لا يحتمل فيها التقية، مع أنّ بعضها ورد من دون أن يطرح سؤال على الإمام فيضطرّ للجواب بالتقية، وبعضها نقل واقعة قد حدثت في زمن أمير المؤمنين</w:t>
      </w:r>
      <w:r w:rsidR="00A67CCA">
        <w:rPr>
          <w:rFonts w:hint="cs"/>
          <w:sz w:val="27"/>
          <w:rtl/>
        </w:rPr>
        <w:t>×</w:t>
      </w:r>
      <w:r w:rsidRPr="00CD4BDD">
        <w:rPr>
          <w:rFonts w:hint="cs"/>
          <w:sz w:val="27"/>
          <w:rtl/>
        </w:rPr>
        <w:t>، مضافاً إلى أن بعضها ورد في موارد خاصة كالخمار في الصلاة وعن المحارم وكالحج والصوم، وليس لها معارض في موردها، وإنما المعارضة ـ إن تمّت ـ بلسان عام يمكن تخصيصه أو تقييده بها، فإن الحمل على التقية فرع عدم إمكان الجمع العرفي واستقرار التعارض بين الطائفتين.</w:t>
      </w:r>
    </w:p>
    <w:p w:rsidR="00601F43" w:rsidRPr="00CD4BDD" w:rsidRDefault="00601F43" w:rsidP="00E52F7A">
      <w:pPr>
        <w:pStyle w:val="ac"/>
        <w:spacing w:line="199" w:lineRule="auto"/>
        <w:rPr>
          <w:sz w:val="27"/>
          <w:rtl/>
        </w:rPr>
      </w:pPr>
      <w:r w:rsidRPr="00CD4BDD">
        <w:rPr>
          <w:rFonts w:hint="cs"/>
          <w:b/>
          <w:bCs/>
          <w:sz w:val="27"/>
          <w:rtl/>
        </w:rPr>
        <w:t>الوجه السادس:</w:t>
      </w:r>
      <w:r w:rsidRPr="00CD4BDD">
        <w:rPr>
          <w:rFonts w:hint="cs"/>
          <w:sz w:val="27"/>
          <w:rtl/>
        </w:rPr>
        <w:t xml:space="preserve"> الحكم بتساقط كلا الطائفتين والرجوع إلى الأصل العملي.</w:t>
      </w:r>
    </w:p>
    <w:p w:rsidR="00601F43" w:rsidRPr="00CD4BDD" w:rsidRDefault="00601F43" w:rsidP="00E52F7A">
      <w:pPr>
        <w:pStyle w:val="ac"/>
        <w:spacing w:line="199" w:lineRule="auto"/>
        <w:rPr>
          <w:sz w:val="27"/>
          <w:rtl/>
        </w:rPr>
      </w:pPr>
      <w:r w:rsidRPr="00CD4BDD">
        <w:rPr>
          <w:rFonts w:hint="cs"/>
          <w:sz w:val="27"/>
          <w:rtl/>
        </w:rPr>
        <w:t>وهذا الوجه ـ مع عدم صحّته ـ لازمه خلاف مذهب المشهور؛ لأنّ المتيقن بلوغ المرأة بالحيض، وقبله ليس لنا يقين بالبلوغ، فيمكن إجراء الاستصحاب أو أصالة البراءة حتى تبلغ، فما لم تطمث لا تعدّ بالغة شرعاً، حتى تصل إلى سنّ نتيقن ببلوغها فيه شرعاً.</w:t>
      </w:r>
    </w:p>
    <w:p w:rsidR="00601F43" w:rsidRPr="00CD4BDD" w:rsidRDefault="00601F43" w:rsidP="00E52F7A">
      <w:pPr>
        <w:pStyle w:val="ac"/>
        <w:spacing w:line="199" w:lineRule="auto"/>
        <w:rPr>
          <w:sz w:val="27"/>
          <w:rtl/>
        </w:rPr>
      </w:pPr>
      <w:r w:rsidRPr="00CD4BDD">
        <w:rPr>
          <w:rFonts w:hint="cs"/>
          <w:b/>
          <w:bCs/>
          <w:sz w:val="27"/>
          <w:rtl/>
        </w:rPr>
        <w:t>الوجه السابع:</w:t>
      </w:r>
      <w:r w:rsidRPr="00CD4BDD">
        <w:rPr>
          <w:rFonts w:hint="cs"/>
          <w:sz w:val="27"/>
          <w:rtl/>
        </w:rPr>
        <w:t xml:space="preserve"> حمل روايات البلوغ بالتسع على الطريقية والمشيرية إلى حصول الحيض، بمعنى أنّ السنّ ليس له خصوصية وعلّية للبلوغ، وإنما ذكر في بعض الروايات لأجل حصول الحيض في ذلك السن أحياناً، فأريد منه الحيض الذي يتحقق به البلوغ، أو قل: إن المراد السنّ التقريبي لا الدقّي الحقيقي، ويؤيد هذا الوجه ـ بل يدل عليه بناء </w:t>
      </w:r>
      <w:r w:rsidRPr="00CD4BDD">
        <w:rPr>
          <w:rFonts w:hint="cs"/>
          <w:sz w:val="27"/>
          <w:rtl/>
        </w:rPr>
        <w:lastRenderedPageBreak/>
        <w:t>على وثاقة آدم بياع اللؤلؤ كما ذهب إليه السيد الخوئي ـ رواية عبد الله بن سنان المتقدمة عن أبي عبد الله</w:t>
      </w:r>
      <w:r w:rsidR="00A67CCA">
        <w:rPr>
          <w:rFonts w:hint="cs"/>
          <w:sz w:val="27"/>
          <w:rtl/>
        </w:rPr>
        <w:t>×</w:t>
      </w:r>
      <w:r w:rsidRPr="00CD4BDD">
        <w:rPr>
          <w:rFonts w:hint="cs"/>
          <w:sz w:val="27"/>
          <w:rtl/>
        </w:rPr>
        <w:t xml:space="preserve"> قال: </w:t>
      </w:r>
      <w:r>
        <w:rPr>
          <w:rFonts w:cs="md_ameli" w:hint="cs"/>
          <w:rtl/>
        </w:rPr>
        <w:t>&gt;</w:t>
      </w:r>
      <w:r w:rsidRPr="00CD4BDD">
        <w:rPr>
          <w:rFonts w:hint="cs"/>
          <w:sz w:val="27"/>
          <w:rtl/>
        </w:rPr>
        <w:t>إذا بلغ الغلام ثلاث عشرة سنة كتبت له الحسنة وكتبت عليه السيئة وعوقب، وإذا بلغت الجاربة تسع سنين فكذلك، وذلك أنها تحيض لتسع سنين</w:t>
      </w:r>
      <w:r w:rsidRPr="00617008">
        <w:rPr>
          <w:rFonts w:hint="eastAsia"/>
          <w:rtl/>
        </w:rPr>
        <w:t>»</w:t>
      </w:r>
      <w:r w:rsidRPr="00815C4C">
        <w:rPr>
          <w:rFonts w:cs="Taher" w:hint="cs"/>
          <w:vertAlign w:val="superscript"/>
          <w:rtl/>
        </w:rPr>
        <w:t>(</w:t>
      </w:r>
      <w:r w:rsidRPr="00815C4C">
        <w:rPr>
          <w:rFonts w:cs="Taher"/>
          <w:vertAlign w:val="superscript"/>
          <w:rtl/>
        </w:rPr>
        <w:footnoteReference w:id="619"/>
      </w:r>
      <w:r w:rsidRPr="00815C4C">
        <w:rPr>
          <w:rFonts w:cs="Taher" w:hint="cs"/>
          <w:vertAlign w:val="superscript"/>
          <w:rtl/>
        </w:rPr>
        <w:t>)</w:t>
      </w:r>
      <w:r w:rsidRPr="00CD4BDD">
        <w:rPr>
          <w:rFonts w:hint="cs"/>
          <w:sz w:val="27"/>
          <w:rtl/>
        </w:rPr>
        <w:t>.</w:t>
      </w:r>
    </w:p>
    <w:p w:rsidR="00601F43" w:rsidRPr="00CD4BDD" w:rsidRDefault="00601F43" w:rsidP="00E52F7A">
      <w:pPr>
        <w:pStyle w:val="ac"/>
        <w:spacing w:line="199" w:lineRule="auto"/>
        <w:rPr>
          <w:rtl/>
        </w:rPr>
      </w:pPr>
      <w:r w:rsidRPr="00CD4BDD">
        <w:rPr>
          <w:rFonts w:hint="cs"/>
          <w:b/>
          <w:bCs/>
          <w:rtl/>
        </w:rPr>
        <w:t>الوجه الثامن:</w:t>
      </w:r>
      <w:r w:rsidRPr="00CD4BDD">
        <w:rPr>
          <w:rFonts w:hint="cs"/>
          <w:rtl/>
        </w:rPr>
        <w:t xml:space="preserve"> حمل روايات البلوغ بالسنّ على استحباب الأعمال عليها دون اللزوم والوجوب، وحمل المؤاخذة الواردة في بعضها على المؤاخذة التعزيرية والتأديبية، وما شابه ذلك مما يعدّ أقل كلفة لغير البالغ، ومما يقرب هذا الوجه أنه جمع عرفي بالنظر إلى ظهور وصراحة روايات البلوغ بالحيض في عدم المؤاخذة وعدم تكليفها بالخمار والصلاة والحج وغيرها قبله، وبعبارة أخرى: إنّ روايات الحيض نصّ في عدم البلوغ قبل الحيض وروايات التسع ظاهرة فيه وفي المؤاخذة والإلزام؛ فيحمل الظاهر على النص الصريح، ويستفاد الاستحباب وشبهه، كما قلنا ذلك في رواية بلوغ الصبي بثمان سنين المتقدّمة.</w:t>
      </w:r>
    </w:p>
    <w:p w:rsidR="00601F43" w:rsidRPr="00CD4BDD" w:rsidRDefault="00601F43" w:rsidP="00E52F7A">
      <w:pPr>
        <w:pStyle w:val="ac"/>
        <w:spacing w:line="199" w:lineRule="auto"/>
        <w:rPr>
          <w:rtl/>
        </w:rPr>
      </w:pPr>
      <w:r w:rsidRPr="00CD4BDD">
        <w:rPr>
          <w:rFonts w:hint="cs"/>
          <w:rtl/>
        </w:rPr>
        <w:t>ولو قطعنا النظر عن كل ما تقدم، وعن إيقاع المعارضة بين روايات البلوغ بالحيض وروايات البلوغ بالتسع، لكن لا ينبغي الغفلة عن معارضة روايات التسع لموثقة عمار الساباطي ـ المتقدمة والآتية ـ والتي حدّدت البلوغ بثلاث عشرة سنة، وبعد عدم وجود مرجح لإحداهما ـ بناء على تمامية روايات التسع ـ على الأخرى، يتساقطان، وتكون روايات البلوغ بالحيض سالمة عن المعارض فيؤخذ بها.</w:t>
      </w:r>
    </w:p>
    <w:p w:rsidR="00601F43" w:rsidRPr="00CD4BDD" w:rsidRDefault="00601F43" w:rsidP="00E52F7A">
      <w:pPr>
        <w:pStyle w:val="ac"/>
        <w:spacing w:line="199" w:lineRule="auto"/>
        <w:rPr>
          <w:rtl/>
        </w:rPr>
      </w:pPr>
      <w:r w:rsidRPr="00CD4BDD">
        <w:rPr>
          <w:rFonts w:hint="cs"/>
          <w:rtl/>
        </w:rPr>
        <w:t>وهكذا يتبين من جميع ما فصلناه وقدمناه لك، عدم تمامية أخبار البلوغ بالتسع (المجموعة الأولى)، وثبت أنّ الصحيح هو علامية الحيض على بلوغ المرأة من دون معارض.</w:t>
      </w:r>
    </w:p>
    <w:p w:rsidR="00601F43" w:rsidRPr="00E52F7A" w:rsidRDefault="00601F43" w:rsidP="00A67CCA">
      <w:pPr>
        <w:pStyle w:val="ac"/>
        <w:rPr>
          <w:sz w:val="22"/>
          <w:szCs w:val="24"/>
          <w:rtl/>
        </w:rPr>
      </w:pPr>
    </w:p>
    <w:p w:rsidR="00601F43" w:rsidRPr="001A49EF" w:rsidRDefault="00601F43" w:rsidP="00E52F7A">
      <w:pPr>
        <w:pStyle w:val="4"/>
        <w:rPr>
          <w:rtl/>
        </w:rPr>
      </w:pPr>
      <w:bookmarkStart w:id="342" w:name="_Toc275128062"/>
      <w:r>
        <w:rPr>
          <w:rFonts w:hint="cs"/>
          <w:rtl/>
        </w:rPr>
        <w:t xml:space="preserve">المجموعة </w:t>
      </w:r>
      <w:r w:rsidRPr="001A49EF">
        <w:rPr>
          <w:rFonts w:hint="cs"/>
          <w:rtl/>
        </w:rPr>
        <w:t>الثانية</w:t>
      </w:r>
      <w:r>
        <w:rPr>
          <w:rFonts w:hint="cs"/>
          <w:rtl/>
        </w:rPr>
        <w:t>: روايات عدم جواز الدخول قبل سنّ التسع</w:t>
      </w:r>
      <w:bookmarkEnd w:id="342"/>
    </w:p>
    <w:p w:rsidR="00601F43" w:rsidRPr="00CD4BDD" w:rsidRDefault="00601F43" w:rsidP="00A67CCA">
      <w:pPr>
        <w:pStyle w:val="ac"/>
        <w:rPr>
          <w:rtl/>
        </w:rPr>
      </w:pPr>
      <w:r w:rsidRPr="00CD4BDD">
        <w:rPr>
          <w:rFonts w:hint="cs"/>
          <w:rtl/>
        </w:rPr>
        <w:t xml:space="preserve">وهي روايات عدم جواز الدخول بالزوجة قبل تسع سنين، وأنه لو دخل بها قبل </w:t>
      </w:r>
      <w:r w:rsidRPr="00CD4BDD">
        <w:rPr>
          <w:rFonts w:hint="cs"/>
          <w:rtl/>
        </w:rPr>
        <w:lastRenderedPageBreak/>
        <w:t>ذلك فعيبت أو أفضاها فهو ضامن، وهي روايات كثيرة أفتى بمضمونها الأصحاب، واستدل بها بعض المتأخرين</w:t>
      </w:r>
      <w:r w:rsidRPr="00815C4C">
        <w:rPr>
          <w:rFonts w:cs="Taher" w:hint="cs"/>
          <w:vertAlign w:val="superscript"/>
          <w:rtl/>
        </w:rPr>
        <w:t>(</w:t>
      </w:r>
      <w:r w:rsidRPr="00815C4C">
        <w:rPr>
          <w:rFonts w:cs="Taher"/>
          <w:vertAlign w:val="superscript"/>
          <w:rtl/>
        </w:rPr>
        <w:footnoteReference w:id="620"/>
      </w:r>
      <w:r w:rsidRPr="00815C4C">
        <w:rPr>
          <w:rFonts w:cs="Taher" w:hint="cs"/>
          <w:vertAlign w:val="superscript"/>
          <w:rtl/>
        </w:rPr>
        <w:t>)</w:t>
      </w:r>
      <w:r w:rsidRPr="00CD4BDD">
        <w:rPr>
          <w:rFonts w:hint="cs"/>
          <w:rtl/>
        </w:rPr>
        <w:t xml:space="preserve"> على بلوغ المرأة بتسع سنين مطلقاً، باعتبار دلالتها على جواز الدخول بعد التسع مما يعني بلوغها فيه، وإليك بعض تلك الأخبار:</w:t>
      </w:r>
    </w:p>
    <w:p w:rsidR="00601F43" w:rsidRPr="00CD4BDD" w:rsidRDefault="00601F43" w:rsidP="00E52F7A">
      <w:pPr>
        <w:pStyle w:val="ac"/>
        <w:spacing w:line="206" w:lineRule="auto"/>
        <w:rPr>
          <w:rtl/>
        </w:rPr>
      </w:pPr>
      <w:r w:rsidRPr="00CD4BDD">
        <w:rPr>
          <w:rFonts w:hint="cs"/>
          <w:rtl/>
        </w:rPr>
        <w:t>1ـ صحيحة الحلبي عن أبي عبد الله</w:t>
      </w:r>
      <w:r w:rsidR="00A67CCA">
        <w:rPr>
          <w:rFonts w:hint="cs"/>
          <w:rtl/>
        </w:rPr>
        <w:t>×</w:t>
      </w:r>
      <w:r w:rsidRPr="00CD4BDD">
        <w:rPr>
          <w:rFonts w:hint="cs"/>
          <w:rtl/>
        </w:rPr>
        <w:t xml:space="preserve"> قال: قال: </w:t>
      </w:r>
      <w:r>
        <w:rPr>
          <w:rFonts w:cs="md_ameli" w:hint="cs"/>
          <w:rtl/>
        </w:rPr>
        <w:t>&gt;</w:t>
      </w:r>
      <w:r w:rsidRPr="00CD4BDD">
        <w:rPr>
          <w:rFonts w:hint="cs"/>
          <w:rtl/>
        </w:rPr>
        <w:t>إذا تزوج الرجل الجارية وهي صغيرة فلا يدخل بها حتى يأتي لها تسع سنين</w:t>
      </w:r>
      <w:r>
        <w:rPr>
          <w:rFonts w:cs="md_ameli" w:hint="cs"/>
          <w:rtl/>
        </w:rPr>
        <w:t>&lt;</w:t>
      </w:r>
      <w:r w:rsidRPr="00815C4C">
        <w:rPr>
          <w:rFonts w:cs="Taher" w:hint="cs"/>
          <w:vertAlign w:val="superscript"/>
          <w:rtl/>
        </w:rPr>
        <w:t>(</w:t>
      </w:r>
      <w:r w:rsidRPr="00815C4C">
        <w:rPr>
          <w:rFonts w:cs="Taher"/>
          <w:vertAlign w:val="superscript"/>
          <w:rtl/>
        </w:rPr>
        <w:footnoteReference w:id="621"/>
      </w:r>
      <w:r w:rsidRPr="00815C4C">
        <w:rPr>
          <w:rFonts w:cs="Taher" w:hint="cs"/>
          <w:vertAlign w:val="superscript"/>
          <w:rtl/>
        </w:rPr>
        <w:t>)</w:t>
      </w:r>
      <w:r w:rsidRPr="00CD4BDD">
        <w:rPr>
          <w:rFonts w:hint="cs"/>
          <w:rtl/>
        </w:rPr>
        <w:t>.</w:t>
      </w:r>
    </w:p>
    <w:p w:rsidR="00601F43" w:rsidRPr="00CD4BDD" w:rsidRDefault="00601F43" w:rsidP="00E52F7A">
      <w:pPr>
        <w:pStyle w:val="ac"/>
        <w:spacing w:line="206" w:lineRule="auto"/>
        <w:rPr>
          <w:rtl/>
        </w:rPr>
      </w:pPr>
      <w:r w:rsidRPr="00CD4BDD">
        <w:rPr>
          <w:rFonts w:hint="cs"/>
          <w:rtl/>
        </w:rPr>
        <w:t>2ـ صحيحته الثانية عن أبي عبد الله</w:t>
      </w:r>
      <w:r w:rsidR="00A67CCA">
        <w:rPr>
          <w:rFonts w:hint="cs"/>
          <w:rtl/>
        </w:rPr>
        <w:t>×</w:t>
      </w:r>
      <w:r w:rsidRPr="00CD4BDD">
        <w:rPr>
          <w:rFonts w:hint="cs"/>
          <w:rtl/>
        </w:rPr>
        <w:t xml:space="preserve"> قال: </w:t>
      </w:r>
      <w:r>
        <w:rPr>
          <w:rFonts w:cs="md_ameli" w:hint="cs"/>
          <w:rtl/>
        </w:rPr>
        <w:t>&gt;</w:t>
      </w:r>
      <w:r w:rsidRPr="00CD4BDD">
        <w:rPr>
          <w:rFonts w:hint="cs"/>
          <w:rtl/>
        </w:rPr>
        <w:t>من وطىء امرأته قبل تسع سنين فأصابها فعيبت فهو ضامن</w:t>
      </w:r>
      <w:r>
        <w:rPr>
          <w:rFonts w:cs="md_ameli" w:hint="cs"/>
          <w:rtl/>
        </w:rPr>
        <w:t>&lt;</w:t>
      </w:r>
      <w:r w:rsidRPr="00815C4C">
        <w:rPr>
          <w:rFonts w:cs="Taher" w:hint="cs"/>
          <w:vertAlign w:val="superscript"/>
          <w:rtl/>
        </w:rPr>
        <w:t>(</w:t>
      </w:r>
      <w:r w:rsidRPr="00815C4C">
        <w:rPr>
          <w:rFonts w:cs="Taher"/>
          <w:vertAlign w:val="superscript"/>
          <w:rtl/>
        </w:rPr>
        <w:footnoteReference w:id="622"/>
      </w:r>
      <w:r w:rsidRPr="00815C4C">
        <w:rPr>
          <w:rFonts w:cs="Taher" w:hint="cs"/>
          <w:vertAlign w:val="superscript"/>
          <w:rtl/>
        </w:rPr>
        <w:t>)</w:t>
      </w:r>
      <w:r w:rsidRPr="00CD4BDD">
        <w:rPr>
          <w:rFonts w:hint="cs"/>
          <w:rtl/>
        </w:rPr>
        <w:t>.</w:t>
      </w:r>
    </w:p>
    <w:p w:rsidR="00601F43" w:rsidRPr="00CD4BDD" w:rsidRDefault="00601F43" w:rsidP="00E52F7A">
      <w:pPr>
        <w:pStyle w:val="ac"/>
        <w:spacing w:line="206" w:lineRule="auto"/>
        <w:rPr>
          <w:rtl/>
        </w:rPr>
      </w:pPr>
      <w:r w:rsidRPr="00CD4BDD">
        <w:rPr>
          <w:rFonts w:hint="cs"/>
          <w:rtl/>
        </w:rPr>
        <w:t>3ـ صحيحة زرارة ـ بناء على وثاقة موسى بن بكر كما هو الحقّ ـ عن أبي جعفر</w:t>
      </w:r>
      <w:r w:rsidR="00A67CCA">
        <w:rPr>
          <w:rFonts w:hint="cs"/>
          <w:rtl/>
        </w:rPr>
        <w:t>×</w:t>
      </w:r>
      <w:r w:rsidRPr="00CD4BDD">
        <w:rPr>
          <w:rFonts w:hint="cs"/>
          <w:rtl/>
        </w:rPr>
        <w:t xml:space="preserve"> قال: </w:t>
      </w:r>
      <w:r>
        <w:rPr>
          <w:rFonts w:cs="md_ameli" w:hint="cs"/>
          <w:rtl/>
        </w:rPr>
        <w:t>&gt;</w:t>
      </w:r>
      <w:r w:rsidRPr="00CD4BDD">
        <w:rPr>
          <w:rFonts w:hint="cs"/>
          <w:rtl/>
        </w:rPr>
        <w:t>لا يدخل بالجارية حتى يأتي لها تسع سنين أو عشر سنين</w:t>
      </w:r>
      <w:r>
        <w:rPr>
          <w:rFonts w:cs="md_ameli" w:hint="cs"/>
          <w:rtl/>
        </w:rPr>
        <w:t>&lt;</w:t>
      </w:r>
      <w:r w:rsidRPr="00CD4BDD">
        <w:rPr>
          <w:rFonts w:hint="cs"/>
          <w:rtl/>
        </w:rPr>
        <w:t xml:space="preserve">، وفي رواية الخصال: وقال ـ يعني زرارة ـ: </w:t>
      </w:r>
      <w:r>
        <w:rPr>
          <w:rFonts w:cs="md_ameli" w:hint="cs"/>
          <w:rtl/>
        </w:rPr>
        <w:t>&gt;</w:t>
      </w:r>
      <w:r w:rsidRPr="00CD4BDD">
        <w:rPr>
          <w:rFonts w:hint="cs"/>
          <w:rtl/>
        </w:rPr>
        <w:t>أنا سمعته يقول: تسع أو عشر</w:t>
      </w:r>
      <w:r>
        <w:rPr>
          <w:rFonts w:cs="md_ameli" w:hint="cs"/>
          <w:rtl/>
        </w:rPr>
        <w:t>&lt;</w:t>
      </w:r>
      <w:r w:rsidRPr="00815C4C">
        <w:rPr>
          <w:rFonts w:cs="Taher" w:hint="cs"/>
          <w:vertAlign w:val="superscript"/>
          <w:rtl/>
        </w:rPr>
        <w:t>(</w:t>
      </w:r>
      <w:r w:rsidRPr="00815C4C">
        <w:rPr>
          <w:rFonts w:cs="Taher"/>
          <w:vertAlign w:val="superscript"/>
          <w:rtl/>
        </w:rPr>
        <w:footnoteReference w:id="623"/>
      </w:r>
      <w:r w:rsidRPr="00815C4C">
        <w:rPr>
          <w:rFonts w:cs="Taher" w:hint="cs"/>
          <w:vertAlign w:val="superscript"/>
          <w:rtl/>
        </w:rPr>
        <w:t>)</w:t>
      </w:r>
      <w:r w:rsidRPr="00CD4BDD">
        <w:rPr>
          <w:rFonts w:hint="cs"/>
          <w:rtl/>
        </w:rPr>
        <w:t>، وقد رواها المشايخ الثلاثة في كتب الحديث.</w:t>
      </w:r>
    </w:p>
    <w:p w:rsidR="00601F43" w:rsidRPr="00CD4BDD" w:rsidRDefault="00601F43" w:rsidP="00E52F7A">
      <w:pPr>
        <w:pStyle w:val="ac"/>
        <w:spacing w:line="206" w:lineRule="auto"/>
        <w:rPr>
          <w:rtl/>
        </w:rPr>
      </w:pPr>
      <w:r w:rsidRPr="00CD4BDD">
        <w:rPr>
          <w:rFonts w:hint="cs"/>
          <w:rtl/>
        </w:rPr>
        <w:t>4ـ رواية أبي بصير عن أبي عبد الله</w:t>
      </w:r>
      <w:r w:rsidR="00A67CCA">
        <w:rPr>
          <w:rFonts w:hint="cs"/>
          <w:rtl/>
        </w:rPr>
        <w:t>×</w:t>
      </w:r>
      <w:r w:rsidRPr="00CD4BDD">
        <w:rPr>
          <w:rFonts w:hint="cs"/>
          <w:rtl/>
        </w:rPr>
        <w:t xml:space="preserve"> قال: </w:t>
      </w:r>
      <w:r>
        <w:rPr>
          <w:rFonts w:cs="md_ameli" w:hint="cs"/>
          <w:rtl/>
        </w:rPr>
        <w:t>&gt;</w:t>
      </w:r>
      <w:r w:rsidRPr="00CD4BDD">
        <w:rPr>
          <w:rFonts w:hint="cs"/>
          <w:rtl/>
        </w:rPr>
        <w:t>لا يدخل بالجارية حتى يأتي لها تسع سنين أو عشر</w:t>
      </w:r>
      <w:r>
        <w:rPr>
          <w:rFonts w:cs="md_ameli" w:hint="cs"/>
          <w:rtl/>
        </w:rPr>
        <w:t>&lt;</w:t>
      </w:r>
      <w:r w:rsidRPr="00815C4C">
        <w:rPr>
          <w:rFonts w:cs="Taher" w:hint="cs"/>
          <w:vertAlign w:val="superscript"/>
          <w:rtl/>
        </w:rPr>
        <w:t>(</w:t>
      </w:r>
      <w:r w:rsidRPr="00815C4C">
        <w:rPr>
          <w:rFonts w:cs="Taher"/>
          <w:vertAlign w:val="superscript"/>
          <w:rtl/>
        </w:rPr>
        <w:footnoteReference w:id="624"/>
      </w:r>
      <w:r w:rsidRPr="00815C4C">
        <w:rPr>
          <w:rFonts w:cs="Taher" w:hint="cs"/>
          <w:vertAlign w:val="superscript"/>
          <w:rtl/>
        </w:rPr>
        <w:t>)</w:t>
      </w:r>
      <w:r w:rsidRPr="00CD4BDD">
        <w:rPr>
          <w:rFonts w:hint="cs"/>
          <w:rtl/>
        </w:rPr>
        <w:t>. رواها الكليني والطوسي، لكن في السند سهل بن زياد.</w:t>
      </w:r>
    </w:p>
    <w:p w:rsidR="00601F43" w:rsidRPr="00CD4BDD" w:rsidRDefault="00601F43" w:rsidP="00E52F7A">
      <w:pPr>
        <w:pStyle w:val="ac"/>
        <w:spacing w:line="206" w:lineRule="auto"/>
        <w:rPr>
          <w:rtl/>
        </w:rPr>
      </w:pPr>
      <w:r w:rsidRPr="00CD4BDD">
        <w:rPr>
          <w:rFonts w:hint="cs"/>
          <w:rtl/>
        </w:rPr>
        <w:t>5ـ صحيحة حمران عن أبي عبد الله</w:t>
      </w:r>
      <w:r w:rsidR="00A67CCA">
        <w:rPr>
          <w:rFonts w:hint="cs"/>
          <w:rtl/>
        </w:rPr>
        <w:t>×</w:t>
      </w:r>
      <w:r w:rsidRPr="00CD4BDD">
        <w:rPr>
          <w:rFonts w:hint="cs"/>
          <w:rtl/>
        </w:rPr>
        <w:t xml:space="preserve"> قال: </w:t>
      </w:r>
      <w:r>
        <w:rPr>
          <w:rFonts w:cs="md_ameli" w:hint="cs"/>
          <w:rtl/>
        </w:rPr>
        <w:t>&gt;</w:t>
      </w:r>
      <w:r w:rsidRPr="00CD4BDD">
        <w:rPr>
          <w:rFonts w:hint="cs"/>
          <w:rtl/>
        </w:rPr>
        <w:t>سئل عن رجل تزوج جارية بكراً لم تدرك فلما دخل بها افتضها فأفضاها؟ فقال: إن كان دخل بها حين دخل بها ولها تسع سنين فلا شيء عليه، وإن كانت لم تبلغ تسع سنين أو كان لها أقلّ من ذلك بقليل حين دخل بها فافتضّها فإنه قد أفسدها وعطلها على الأزواج فعلى الإمام أن يغرمه ديتها، وإن أمسكها ولم يطلقها حتى تموت فلا شيء عليه</w:t>
      </w:r>
      <w:r>
        <w:rPr>
          <w:rFonts w:cs="md_ameli" w:hint="cs"/>
          <w:rtl/>
        </w:rPr>
        <w:t>&lt;</w:t>
      </w:r>
      <w:r w:rsidRPr="00815C4C">
        <w:rPr>
          <w:rFonts w:cs="Taher" w:hint="cs"/>
          <w:vertAlign w:val="superscript"/>
          <w:rtl/>
        </w:rPr>
        <w:t>(</w:t>
      </w:r>
      <w:r w:rsidRPr="00815C4C">
        <w:rPr>
          <w:rFonts w:cs="Taher"/>
          <w:vertAlign w:val="superscript"/>
          <w:rtl/>
        </w:rPr>
        <w:footnoteReference w:id="625"/>
      </w:r>
      <w:r w:rsidRPr="00815C4C">
        <w:rPr>
          <w:rFonts w:cs="Taher" w:hint="cs"/>
          <w:vertAlign w:val="superscript"/>
          <w:rtl/>
        </w:rPr>
        <w:t>)</w:t>
      </w:r>
      <w:r w:rsidRPr="00CD4BDD">
        <w:rPr>
          <w:rFonts w:hint="cs"/>
          <w:rtl/>
        </w:rPr>
        <w:t>.</w:t>
      </w:r>
    </w:p>
    <w:p w:rsidR="00601F43" w:rsidRPr="00CD4BDD" w:rsidRDefault="00601F43" w:rsidP="00A67CCA">
      <w:pPr>
        <w:pStyle w:val="ac"/>
        <w:rPr>
          <w:rtl/>
        </w:rPr>
      </w:pPr>
      <w:r w:rsidRPr="00CD4BDD">
        <w:rPr>
          <w:rFonts w:hint="cs"/>
          <w:rtl/>
        </w:rPr>
        <w:lastRenderedPageBreak/>
        <w:t>ونلاحظ على هذه الروايات:</w:t>
      </w:r>
    </w:p>
    <w:p w:rsidR="00601F43" w:rsidRPr="00CD4BDD" w:rsidRDefault="00601F43" w:rsidP="00E52F7A">
      <w:pPr>
        <w:pStyle w:val="ac"/>
        <w:spacing w:line="209" w:lineRule="auto"/>
        <w:rPr>
          <w:rtl/>
        </w:rPr>
      </w:pPr>
      <w:r w:rsidRPr="00CD4BDD">
        <w:rPr>
          <w:rFonts w:hint="cs"/>
          <w:b/>
          <w:bCs/>
          <w:rtl/>
        </w:rPr>
        <w:t>أولاً:</w:t>
      </w:r>
      <w:r w:rsidRPr="00CD4BDD">
        <w:rPr>
          <w:rFonts w:hint="cs"/>
          <w:rtl/>
        </w:rPr>
        <w:t xml:space="preserve"> إنها متعارضة فيما بينها، فبعضها حكمت بتسع سنين وبعضها بتسع أو عشر، وبعضها ـ وهي رواية غياث بن إبراهيم</w:t>
      </w:r>
      <w:r w:rsidRPr="00815C4C">
        <w:rPr>
          <w:rFonts w:cs="Taher" w:hint="cs"/>
          <w:vertAlign w:val="superscript"/>
          <w:rtl/>
        </w:rPr>
        <w:t>(</w:t>
      </w:r>
      <w:r w:rsidRPr="00815C4C">
        <w:rPr>
          <w:rFonts w:cs="Taher"/>
          <w:vertAlign w:val="superscript"/>
          <w:rtl/>
        </w:rPr>
        <w:footnoteReference w:id="626"/>
      </w:r>
      <w:r w:rsidRPr="00815C4C">
        <w:rPr>
          <w:rFonts w:cs="Taher" w:hint="cs"/>
          <w:vertAlign w:val="superscript"/>
          <w:rtl/>
        </w:rPr>
        <w:t>)</w:t>
      </w:r>
      <w:r w:rsidRPr="00CD4BDD">
        <w:rPr>
          <w:rFonts w:hint="cs"/>
          <w:rtl/>
        </w:rPr>
        <w:t xml:space="preserve"> ـ بعشر سنين، ومع هذا التعارض كيف يصحّ الحكم بجواز الدخول بعد تسع سنين سواء كان لها قابلية الزواج أم لا؟</w:t>
      </w:r>
    </w:p>
    <w:p w:rsidR="00601F43" w:rsidRPr="00CD4BDD" w:rsidRDefault="00601F43" w:rsidP="00E52F7A">
      <w:pPr>
        <w:pStyle w:val="ac"/>
        <w:spacing w:line="206" w:lineRule="auto"/>
        <w:rPr>
          <w:rtl/>
        </w:rPr>
      </w:pPr>
      <w:r w:rsidRPr="00CD4BDD">
        <w:rPr>
          <w:rFonts w:hint="cs"/>
          <w:b/>
          <w:bCs/>
          <w:rtl/>
        </w:rPr>
        <w:t>ثانياً:</w:t>
      </w:r>
      <w:r w:rsidRPr="00CD4BDD">
        <w:rPr>
          <w:rFonts w:hint="cs"/>
          <w:rtl/>
        </w:rPr>
        <w:t xml:space="preserve"> قد عرفت الترديد بين التسع والعشر في صحيحة زرارة ورواية أبي بصير، وصرّحت الأولى بأن الترديد من الإمام نفسه، ونعلم جيداً أنّ الترديد بين الأقل والأكثر في الأحكام غير معقول إذا أريد به الترديد الحقيقي، بأن يحكم بعدم جواز الدخول قبل تسع سنين أو عشر سنين، وجوازه بعدهما؛ وذلك لتحقق موضوع الحكم دائماً بوجود الأقل فيلغو الأكثر كما هو واضح، فيتضح من جميع هذه المقدمات أن الترديد ليس حقيقياً بل ليس العدد والسنّ إلا للإشارة إلى موضوع آخر، وهو بلوغ المرأة مرحلةً من الرشد الجسمي بحيث يمكن فيها الحيض، كما تتحلّى بالرشد البدني بحيث لا تصاب بأذى ـ كالإفضاء ـ إذا دخل بها، وهذا يعني أن التسع أو العشر ليس لها موضوعية في جواز الدخول وعدمه، بل هما طريقان للبلوغ البدني، ونرى أنّ هذا هو الجمع المعقول للروايات المتعارضة، وأنه التفسير المقبول للترديد في بعضها.</w:t>
      </w:r>
    </w:p>
    <w:p w:rsidR="00601F43" w:rsidRPr="00CD4BDD" w:rsidRDefault="00601F43" w:rsidP="00E52F7A">
      <w:pPr>
        <w:pStyle w:val="ac"/>
        <w:spacing w:line="206" w:lineRule="auto"/>
        <w:rPr>
          <w:rtl/>
        </w:rPr>
      </w:pPr>
      <w:r w:rsidRPr="00CD4BDD">
        <w:rPr>
          <w:rFonts w:hint="cs"/>
          <w:b/>
          <w:bCs/>
          <w:rtl/>
        </w:rPr>
        <w:t>ثالثاً:</w:t>
      </w:r>
      <w:r w:rsidRPr="00CD4BDD">
        <w:rPr>
          <w:rFonts w:hint="cs"/>
          <w:rtl/>
        </w:rPr>
        <w:t xml:space="preserve"> وهو أهم هذه الملاحظات، وحاصله: سلمنا أنّ هذه الطائفة من الروايات قد حكمت بعدم جواز الدخول قبل تسع سنين وجوازه بعدها مطلقاً، لكنه لا ربط له بتاتاً بالبلوغ المبحوث عنه، فإنّ ما نبحث عنه هو زمان تكلّف البنت بالتكاليف الإلزامية ونفوذ أمرها في المعاملات، وجريان الأحكام الجزائية عليها، وبعبارة أخرى: متى تكون كسائر المكلّفين البالغين في الأحكام؟ فالبحث عن المكلّف فيما نحن فيه، بينما البحث في روايات المجموعة الثانية عن موضوع التكليف لتكليف آخر متعلّق بالزوج، ولا ربط بين الأمرين، فلو قلنا بأنه يجوز للزوج أن يدخل بالمرأة بعد تسع سنين ـ كما هو مضمون بعض هذه الروايات ـ فهذا لا يعني أنه حينئذٍ تكون مكلّفةً بالصلاة والصوم </w:t>
      </w:r>
      <w:r w:rsidRPr="00CD4BDD">
        <w:rPr>
          <w:rFonts w:hint="cs"/>
          <w:rtl/>
        </w:rPr>
        <w:lastRenderedPageBreak/>
        <w:t>والحج وتجري عليها ولها الأحكام الجزائية.. بل يصحّ ويمكن ـ عقلاً وعرفاً وفتوى ـ أن يكون الموضوع لهذه التكاليف الحيض وتحقّق الطمث خارجاً لا إمكاناً، ويكون موضوع جواز الدخول بالمرأة إتمام تسع سنين، وأنه لو دخل بها قبلها فأفضاها كان ضامناً.. ولذلك لو حكم الشارع ـ كما هو كذلك ـ بأنه تجب صلاة الميت على الطفل إذا تمّ له ست سنين فلا يعني أنه يبلغ ويكلَّف بذلك، ولو حكم الشارع ـ كما أفتى به بعضهم ـ بوجوب الستر على المرأة عن الطفل إذا كان مميزاً ولم يبلغ الحلم فلا يلزم منه بلوغه بالتمييز بل حكموا ببلوغه بالاحتلام أو إكمال خمس عشرة سنة والإنبات.</w:t>
      </w:r>
    </w:p>
    <w:p w:rsidR="00601F43" w:rsidRPr="00CD4BDD" w:rsidRDefault="00601F43" w:rsidP="00E52F7A">
      <w:pPr>
        <w:pStyle w:val="ac"/>
        <w:spacing w:line="202" w:lineRule="auto"/>
        <w:rPr>
          <w:rtl/>
        </w:rPr>
      </w:pPr>
      <w:r w:rsidRPr="00CD4BDD">
        <w:rPr>
          <w:rFonts w:hint="cs"/>
          <w:rtl/>
        </w:rPr>
        <w:t>ومما يقرّب لك ما نقول ـ مضافاً إلى ذلك ـ أمور:</w:t>
      </w:r>
    </w:p>
    <w:p w:rsidR="00601F43" w:rsidRPr="00CD4BDD" w:rsidRDefault="00601F43" w:rsidP="00E52F7A">
      <w:pPr>
        <w:pStyle w:val="ac"/>
        <w:spacing w:line="202" w:lineRule="auto"/>
        <w:rPr>
          <w:rtl/>
        </w:rPr>
      </w:pPr>
      <w:r w:rsidRPr="00CD4BDD">
        <w:rPr>
          <w:rFonts w:hint="cs"/>
          <w:b/>
          <w:bCs/>
          <w:rtl/>
        </w:rPr>
        <w:t>الأول:</w:t>
      </w:r>
      <w:r w:rsidRPr="00CD4BDD">
        <w:rPr>
          <w:rFonts w:hint="cs"/>
          <w:rtl/>
        </w:rPr>
        <w:t xml:space="preserve"> إنّ أهل السنّة قد أفتوا ببلوغ المرأة بالحيض أو بإكمال خمس عشرة سنة أو بأكثر منها، لكنهم أفتوا بعدم جواز الدخول بها قبل تسع سنين وجوازه بعدها</w:t>
      </w:r>
      <w:r w:rsidRPr="00815C4C">
        <w:rPr>
          <w:rFonts w:cs="Taher" w:hint="cs"/>
          <w:vertAlign w:val="superscript"/>
          <w:rtl/>
        </w:rPr>
        <w:t>(</w:t>
      </w:r>
      <w:r w:rsidRPr="00815C4C">
        <w:rPr>
          <w:rFonts w:cs="Taher"/>
          <w:vertAlign w:val="superscript"/>
          <w:rtl/>
        </w:rPr>
        <w:footnoteReference w:id="627"/>
      </w:r>
      <w:r w:rsidRPr="00815C4C">
        <w:rPr>
          <w:rFonts w:cs="Taher" w:hint="cs"/>
          <w:vertAlign w:val="superscript"/>
          <w:rtl/>
        </w:rPr>
        <w:t>)</w:t>
      </w:r>
      <w:r w:rsidRPr="00CD4BDD">
        <w:rPr>
          <w:rFonts w:hint="cs"/>
          <w:rtl/>
        </w:rPr>
        <w:t>.</w:t>
      </w:r>
    </w:p>
    <w:p w:rsidR="00601F43" w:rsidRPr="00CD4BDD" w:rsidRDefault="00601F43" w:rsidP="00E52F7A">
      <w:pPr>
        <w:pStyle w:val="ac"/>
        <w:spacing w:line="202" w:lineRule="auto"/>
        <w:rPr>
          <w:rtl/>
        </w:rPr>
      </w:pPr>
      <w:r w:rsidRPr="00CD4BDD">
        <w:rPr>
          <w:rFonts w:hint="cs"/>
          <w:b/>
          <w:bCs/>
          <w:rtl/>
        </w:rPr>
        <w:t>الثاني</w:t>
      </w:r>
      <w:r w:rsidRPr="00CD4BDD">
        <w:rPr>
          <w:rFonts w:hint="cs"/>
          <w:rtl/>
        </w:rPr>
        <w:t>: ما تقدّم عن فتاوى فقهائنا القدماء؛ حيث فرقوا بين سنّ جواز الدخول بالمرأة، وبين الموضوع الذي يتحقّق به البلوغ فيجب عليها الصوم وغيره.</w:t>
      </w:r>
    </w:p>
    <w:p w:rsidR="00601F43" w:rsidRPr="00CD4BDD" w:rsidRDefault="00601F43" w:rsidP="00E52F7A">
      <w:pPr>
        <w:pStyle w:val="ac"/>
        <w:spacing w:line="202" w:lineRule="auto"/>
        <w:rPr>
          <w:rtl/>
        </w:rPr>
      </w:pPr>
      <w:r w:rsidRPr="00CD4BDD">
        <w:rPr>
          <w:rFonts w:hint="cs"/>
          <w:b/>
          <w:bCs/>
          <w:rtl/>
        </w:rPr>
        <w:t>الثالث</w:t>
      </w:r>
      <w:r w:rsidRPr="00CD4BDD">
        <w:rPr>
          <w:rFonts w:hint="cs"/>
          <w:rtl/>
        </w:rPr>
        <w:t>: إنّ فقهاءنا ـ مع حكمهم بأنّ بلوغ الغلام يتحقّق بالاحتلام أو الإنبات أو إتمام خمس عشرة سنة ـ حكموا بجواز صدقته ووقفه وعتقه بل حتى طلاقه إذا أكمل عشر سنين، تبعاً للروايات الواردة فيها، فلا ضيرَ إذاً في التفكيك بين موارد البلوغ وآثاره، مع أنّ موردنا ليس من باب التفكيك وإنما اختلاف الموضوع كما قدّمنا.</w:t>
      </w:r>
    </w:p>
    <w:p w:rsidR="00601F43" w:rsidRPr="00CD4BDD" w:rsidRDefault="00601F43" w:rsidP="00E52F7A">
      <w:pPr>
        <w:pStyle w:val="ac"/>
        <w:spacing w:line="202" w:lineRule="auto"/>
        <w:rPr>
          <w:rtl/>
        </w:rPr>
      </w:pPr>
      <w:r w:rsidRPr="00CD4BDD">
        <w:rPr>
          <w:rFonts w:hint="cs"/>
          <w:rtl/>
        </w:rPr>
        <w:t>فاتضح أنّ المجموعة الثانية من الروايات أجنبية عما نحن فيه.</w:t>
      </w:r>
    </w:p>
    <w:p w:rsidR="00601F43" w:rsidRPr="00E52F7A" w:rsidRDefault="00601F43" w:rsidP="00E52F7A">
      <w:pPr>
        <w:pStyle w:val="afffffc"/>
        <w:rPr>
          <w:sz w:val="18"/>
          <w:szCs w:val="16"/>
          <w:rtl/>
        </w:rPr>
      </w:pPr>
    </w:p>
    <w:p w:rsidR="00601F43" w:rsidRPr="00033D8C" w:rsidRDefault="00601F43" w:rsidP="00E52F7A">
      <w:pPr>
        <w:pStyle w:val="4"/>
        <w:rPr>
          <w:rtl/>
        </w:rPr>
      </w:pPr>
      <w:bookmarkStart w:id="343" w:name="_Toc275128063"/>
      <w:r w:rsidRPr="00033D8C">
        <w:rPr>
          <w:rFonts w:hint="cs"/>
          <w:rtl/>
        </w:rPr>
        <w:t>ال</w:t>
      </w:r>
      <w:r>
        <w:rPr>
          <w:rFonts w:hint="cs"/>
          <w:rtl/>
        </w:rPr>
        <w:t>مجموعة</w:t>
      </w:r>
      <w:r w:rsidRPr="00033D8C">
        <w:rPr>
          <w:rFonts w:hint="cs"/>
          <w:rtl/>
        </w:rPr>
        <w:t xml:space="preserve"> الثالثة</w:t>
      </w:r>
      <w:r>
        <w:rPr>
          <w:rFonts w:hint="cs"/>
          <w:rtl/>
        </w:rPr>
        <w:t>: أخبار العِدّة</w:t>
      </w:r>
      <w:bookmarkEnd w:id="343"/>
    </w:p>
    <w:p w:rsidR="00601F43" w:rsidRPr="00CD4BDD" w:rsidRDefault="00601F43" w:rsidP="00E52F7A">
      <w:pPr>
        <w:pStyle w:val="ac"/>
        <w:spacing w:line="200" w:lineRule="auto"/>
        <w:rPr>
          <w:rtl/>
        </w:rPr>
      </w:pPr>
      <w:r w:rsidRPr="00CD4BDD">
        <w:rPr>
          <w:rFonts w:hint="cs"/>
          <w:rtl/>
        </w:rPr>
        <w:t>وهي الروايات التي تتحدّث عن عدة المرأة إذا كانت لا تحيض، وليست في سنّ الحيض، وهي ـ كما في بعض الروايات ـ التي لم تكمل تسع سنين، فتذكر لها أحكاماً خاصة تختلف عن أحكام المرأة التي تحيض، فيستكشف منها بلوغ المرأة بالتسع، وإليك بعض هذه الروايات:</w:t>
      </w:r>
    </w:p>
    <w:p w:rsidR="00601F43" w:rsidRPr="00CD4BDD" w:rsidRDefault="00601F43" w:rsidP="00E52F7A">
      <w:pPr>
        <w:pStyle w:val="ac"/>
        <w:rPr>
          <w:rtl/>
        </w:rPr>
      </w:pPr>
      <w:r w:rsidRPr="00CD4BDD">
        <w:rPr>
          <w:rFonts w:hint="cs"/>
          <w:rtl/>
        </w:rPr>
        <w:lastRenderedPageBreak/>
        <w:t>1ـ صحيحة حماد بن عثمان عن أبي عبد الله</w:t>
      </w:r>
      <w:r w:rsidR="00A67CCA">
        <w:rPr>
          <w:rFonts w:hint="cs"/>
          <w:rtl/>
        </w:rPr>
        <w:t>×</w:t>
      </w:r>
      <w:r w:rsidRPr="00CD4BDD">
        <w:rPr>
          <w:rFonts w:hint="cs"/>
          <w:rtl/>
        </w:rPr>
        <w:t xml:space="preserve"> قال: </w:t>
      </w:r>
      <w:r>
        <w:rPr>
          <w:rFonts w:cs="md_ameli" w:hint="cs"/>
          <w:rtl/>
        </w:rPr>
        <w:t>&gt;</w:t>
      </w:r>
      <w:r w:rsidRPr="00CD4BDD">
        <w:rPr>
          <w:rFonts w:hint="cs"/>
          <w:rtl/>
        </w:rPr>
        <w:t>سألته عن التي قد يئست من المحيض والتي لا يحيض مثلها، قال: ليس عليها عدة</w:t>
      </w:r>
      <w:r>
        <w:rPr>
          <w:rFonts w:cs="md_ameli" w:hint="cs"/>
          <w:rtl/>
        </w:rPr>
        <w:t>&lt;</w:t>
      </w:r>
      <w:r w:rsidRPr="00815C4C">
        <w:rPr>
          <w:rFonts w:cs="Taher" w:hint="cs"/>
          <w:vertAlign w:val="superscript"/>
          <w:rtl/>
        </w:rPr>
        <w:t>(</w:t>
      </w:r>
      <w:r w:rsidRPr="00815C4C">
        <w:rPr>
          <w:rFonts w:cs="Taher"/>
          <w:vertAlign w:val="superscript"/>
          <w:rtl/>
        </w:rPr>
        <w:footnoteReference w:id="628"/>
      </w:r>
      <w:r w:rsidRPr="00815C4C">
        <w:rPr>
          <w:rFonts w:cs="Taher" w:hint="cs"/>
          <w:vertAlign w:val="superscript"/>
          <w:rtl/>
        </w:rPr>
        <w:t>)</w:t>
      </w:r>
      <w:r w:rsidRPr="00CD4BDD">
        <w:rPr>
          <w:rFonts w:hint="cs"/>
          <w:rtl/>
        </w:rPr>
        <w:t>.</w:t>
      </w:r>
    </w:p>
    <w:p w:rsidR="00601F43" w:rsidRPr="00CD4BDD" w:rsidRDefault="00601F43" w:rsidP="00E52F7A">
      <w:pPr>
        <w:pStyle w:val="ac"/>
        <w:rPr>
          <w:rtl/>
        </w:rPr>
      </w:pPr>
      <w:r w:rsidRPr="00CD4BDD">
        <w:rPr>
          <w:rFonts w:hint="cs"/>
          <w:rtl/>
        </w:rPr>
        <w:t xml:space="preserve">2ـ مرسلة جميل بن دراج التي نقلها المشايخ الثلاثة عن أحدهما: </w:t>
      </w:r>
      <w:r>
        <w:rPr>
          <w:rFonts w:cs="md_ameli" w:hint="cs"/>
          <w:rtl/>
        </w:rPr>
        <w:t>&gt;</w:t>
      </w:r>
      <w:r w:rsidRPr="00CD4BDD">
        <w:rPr>
          <w:rFonts w:hint="cs"/>
          <w:rtl/>
        </w:rPr>
        <w:t>في الرجل يطلّق الصبية التي لم تبلغ ولا يحمل مثلها، وقد كان دخل بها، والمرأة التي قد يئست من المحيض وارتفع حيضها فلا يلد مثلها، قال: ليس عليهما عدّة وإن دخل بهما</w:t>
      </w:r>
      <w:r>
        <w:rPr>
          <w:rFonts w:cs="md_ameli" w:hint="cs"/>
          <w:rtl/>
        </w:rPr>
        <w:t>&lt;</w:t>
      </w:r>
      <w:r w:rsidRPr="00815C4C">
        <w:rPr>
          <w:rFonts w:cs="Taher" w:hint="cs"/>
          <w:vertAlign w:val="superscript"/>
          <w:rtl/>
        </w:rPr>
        <w:t>(</w:t>
      </w:r>
      <w:r w:rsidRPr="00815C4C">
        <w:rPr>
          <w:rFonts w:cs="Taher"/>
          <w:vertAlign w:val="superscript"/>
          <w:rtl/>
        </w:rPr>
        <w:footnoteReference w:id="629"/>
      </w:r>
      <w:r w:rsidRPr="00815C4C">
        <w:rPr>
          <w:rFonts w:cs="Taher" w:hint="cs"/>
          <w:vertAlign w:val="superscript"/>
          <w:rtl/>
        </w:rPr>
        <w:t>)</w:t>
      </w:r>
      <w:r w:rsidRPr="00CD4BDD">
        <w:rPr>
          <w:rFonts w:hint="cs"/>
          <w:rtl/>
        </w:rPr>
        <w:t>.</w:t>
      </w:r>
    </w:p>
    <w:p w:rsidR="00601F43" w:rsidRPr="00CD4BDD" w:rsidRDefault="00601F43" w:rsidP="00E52F7A">
      <w:pPr>
        <w:pStyle w:val="ac"/>
        <w:rPr>
          <w:rtl/>
        </w:rPr>
      </w:pPr>
      <w:r w:rsidRPr="00CD4BDD">
        <w:rPr>
          <w:rFonts w:hint="cs"/>
          <w:rtl/>
        </w:rPr>
        <w:t>3ـ رواية عبد الرحمن بن الحجاج قال أبو عبد الله</w:t>
      </w:r>
      <w:r w:rsidR="00A67CCA">
        <w:rPr>
          <w:rFonts w:hint="cs"/>
          <w:rtl/>
        </w:rPr>
        <w:t>×</w:t>
      </w:r>
      <w:r w:rsidRPr="00CD4BDD">
        <w:rPr>
          <w:rFonts w:hint="cs"/>
          <w:rtl/>
        </w:rPr>
        <w:t xml:space="preserve">: </w:t>
      </w:r>
      <w:r>
        <w:rPr>
          <w:rFonts w:cs="md_ameli" w:hint="cs"/>
          <w:rtl/>
        </w:rPr>
        <w:t>&gt;</w:t>
      </w:r>
      <w:r w:rsidRPr="00CD4BDD">
        <w:rPr>
          <w:rFonts w:hint="cs"/>
          <w:rtl/>
        </w:rPr>
        <w:t>ثلاث يتزوّجن على كل حال: التي لم تحض ومثلها لا تحيض، قال: قلت: وما حدّها؟ قال: إذا أتى لها أقلّ من تسع سنين، والتي لم يدخل بها، والتي قد يئست من المحيض ومثلها لا تحيض، قلت: وما حدّها؟ قال: إذا كان لها خمسون سنة</w:t>
      </w:r>
      <w:r>
        <w:rPr>
          <w:rFonts w:cs="md_ameli" w:hint="cs"/>
          <w:rtl/>
        </w:rPr>
        <w:t>&lt;</w:t>
      </w:r>
      <w:r w:rsidRPr="00815C4C">
        <w:rPr>
          <w:rFonts w:cs="Taher" w:hint="cs"/>
          <w:vertAlign w:val="superscript"/>
          <w:rtl/>
        </w:rPr>
        <w:t>(</w:t>
      </w:r>
      <w:r w:rsidRPr="00815C4C">
        <w:rPr>
          <w:rFonts w:cs="Taher"/>
          <w:vertAlign w:val="superscript"/>
          <w:rtl/>
        </w:rPr>
        <w:footnoteReference w:id="630"/>
      </w:r>
      <w:r w:rsidRPr="00815C4C">
        <w:rPr>
          <w:rFonts w:cs="Taher" w:hint="cs"/>
          <w:vertAlign w:val="superscript"/>
          <w:rtl/>
        </w:rPr>
        <w:t>)</w:t>
      </w:r>
      <w:r w:rsidRPr="00CD4BDD">
        <w:rPr>
          <w:rFonts w:hint="cs"/>
          <w:rtl/>
        </w:rPr>
        <w:t>.</w:t>
      </w:r>
    </w:p>
    <w:p w:rsidR="00601F43" w:rsidRPr="00CD4BDD" w:rsidRDefault="00601F43" w:rsidP="00A67CCA">
      <w:pPr>
        <w:pStyle w:val="ac"/>
        <w:rPr>
          <w:rtl/>
        </w:rPr>
      </w:pPr>
      <w:r w:rsidRPr="00CD4BDD">
        <w:rPr>
          <w:rFonts w:hint="cs"/>
          <w:rtl/>
        </w:rPr>
        <w:t>والجواب عن هذه المجموعة واضح ـ بعد الإحاطة بما ذكرناه في المجموعة الثانية ـ إذ يرد عليها:</w:t>
      </w:r>
    </w:p>
    <w:p w:rsidR="00601F43" w:rsidRPr="00CD4BDD" w:rsidRDefault="00601F43" w:rsidP="00A67CCA">
      <w:pPr>
        <w:pStyle w:val="ac"/>
        <w:rPr>
          <w:rtl/>
        </w:rPr>
      </w:pPr>
      <w:r w:rsidRPr="00CD4BDD">
        <w:rPr>
          <w:rFonts w:hint="cs"/>
          <w:b/>
          <w:bCs/>
          <w:rtl/>
        </w:rPr>
        <w:t>أولاً:</w:t>
      </w:r>
      <w:r w:rsidRPr="00CD4BDD">
        <w:rPr>
          <w:rFonts w:hint="cs"/>
          <w:rtl/>
        </w:rPr>
        <w:t xml:space="preserve"> إنّ الروايات الصحيحة منها لم تحدّد السنّ الذي لا تحيض فيه المرأة، وإنما اعتبرت موضوع عدم العدة هو المرأة التي لا تحيض ومثلها لا تحيض، وهذا يشمل ما بعد التاسعة إذا كانت كذلك، وأما رواية عبد الرحمن بن الحجاج فهي ضعيفة بسهل بن زياد، بإسناد الكليني</w:t>
      </w:r>
      <w:r w:rsidRPr="00815C4C">
        <w:rPr>
          <w:rFonts w:cs="Taher" w:hint="cs"/>
          <w:vertAlign w:val="superscript"/>
          <w:rtl/>
        </w:rPr>
        <w:t>(</w:t>
      </w:r>
      <w:r w:rsidRPr="00815C4C">
        <w:rPr>
          <w:rFonts w:cs="Taher"/>
          <w:vertAlign w:val="superscript"/>
          <w:rtl/>
        </w:rPr>
        <w:footnoteReference w:id="631"/>
      </w:r>
      <w:r w:rsidRPr="00815C4C">
        <w:rPr>
          <w:rFonts w:cs="Taher" w:hint="cs"/>
          <w:vertAlign w:val="superscript"/>
          <w:rtl/>
        </w:rPr>
        <w:t>)</w:t>
      </w:r>
      <w:r w:rsidRPr="00CD4BDD">
        <w:rPr>
          <w:rFonts w:hint="cs"/>
          <w:rtl/>
        </w:rPr>
        <w:t>.</w:t>
      </w:r>
    </w:p>
    <w:p w:rsidR="00601F43" w:rsidRPr="00CD4BDD" w:rsidRDefault="00601F43" w:rsidP="00A67CCA">
      <w:pPr>
        <w:pStyle w:val="ac"/>
        <w:rPr>
          <w:rtl/>
        </w:rPr>
      </w:pPr>
      <w:r w:rsidRPr="00CD4BDD">
        <w:rPr>
          <w:rFonts w:hint="cs"/>
          <w:b/>
          <w:bCs/>
          <w:rtl/>
        </w:rPr>
        <w:lastRenderedPageBreak/>
        <w:t>ثانياً:</w:t>
      </w:r>
      <w:r w:rsidRPr="00CD4BDD">
        <w:rPr>
          <w:rFonts w:hint="cs"/>
          <w:rtl/>
        </w:rPr>
        <w:t xml:space="preserve"> لا ربط ولا ملازمة بين عدم العدة لمن لم تكمل التسع وبين عدم تحقق البلوغ الشرعي بالتسع وتحققه بعده بالحيض وغيره، كما أوضحناه في روايات المجموعة الثانية، كيف ولازمه أن غير المدخول بها أيضاً لا تكون بالغة، لأنه لا عدة لها حسب هذه الروايات! فلا ينبغي الاعتذار بكلمة (تسع سنين) في هاتين الطائفتين وربطها بالبلوغ الشرعي، بل المفهوم من هذه الروايات أن علة عدم العدة هو عدم احتمال الحمل في هذه الطوائف من النساء، فمتى لم تحتمل الحبل فلا عدة عليها، فتدبر.</w:t>
      </w:r>
    </w:p>
    <w:p w:rsidR="00601F43" w:rsidRPr="00E52F7A" w:rsidRDefault="00601F43" w:rsidP="00E52F7A">
      <w:pPr>
        <w:pStyle w:val="afffffc"/>
        <w:rPr>
          <w:sz w:val="18"/>
          <w:szCs w:val="16"/>
          <w:rtl/>
        </w:rPr>
      </w:pPr>
    </w:p>
    <w:p w:rsidR="00601F43" w:rsidRPr="00D068D3" w:rsidRDefault="00601F43" w:rsidP="00E52F7A">
      <w:pPr>
        <w:pStyle w:val="3"/>
        <w:rPr>
          <w:rtl/>
        </w:rPr>
      </w:pPr>
      <w:bookmarkStart w:id="344" w:name="_Toc275128064"/>
      <w:r w:rsidRPr="00D068D3">
        <w:rPr>
          <w:rFonts w:hint="cs"/>
          <w:rtl/>
        </w:rPr>
        <w:t xml:space="preserve">نتيجة البحث في روايات البلوغ </w:t>
      </w:r>
      <w:r>
        <w:rPr>
          <w:rFonts w:hint="cs"/>
          <w:rtl/>
        </w:rPr>
        <w:t>بالت</w:t>
      </w:r>
      <w:r w:rsidRPr="00D068D3">
        <w:rPr>
          <w:rFonts w:hint="cs"/>
          <w:rtl/>
        </w:rPr>
        <w:t>سع سنين</w:t>
      </w:r>
      <w:bookmarkEnd w:id="344"/>
    </w:p>
    <w:p w:rsidR="00601F43" w:rsidRPr="00CD4BDD" w:rsidRDefault="00601F43" w:rsidP="00A67CCA">
      <w:pPr>
        <w:pStyle w:val="ac"/>
        <w:rPr>
          <w:rtl/>
        </w:rPr>
      </w:pPr>
      <w:r w:rsidRPr="00CD4BDD">
        <w:rPr>
          <w:rFonts w:hint="cs"/>
          <w:rtl/>
        </w:rPr>
        <w:t>اتضح ـ إلى الآن ـ أنه لم يتم الدليل ـ من الإجماع والروايات ـ على بلوغ الأنثى بتسع سنين، كما تبين أن بلوغها يكون بالاحتلام أو الحيض بلا إشكال ولا شبهة، لكن هل هناك سنّ محدّد لبلوغها وتكليفها غير ما ذكره المشهور؟ هذا سنبيّنه لك قريباً إن شاء الله تعالى.</w:t>
      </w:r>
    </w:p>
    <w:p w:rsidR="00601F43" w:rsidRPr="00CD4BDD" w:rsidRDefault="00601F43" w:rsidP="00E52F7A">
      <w:pPr>
        <w:pStyle w:val="afffffc"/>
        <w:rPr>
          <w:rtl/>
        </w:rPr>
      </w:pPr>
    </w:p>
    <w:p w:rsidR="00601F43" w:rsidRPr="00D068D3" w:rsidRDefault="00601F43" w:rsidP="00E52F7A">
      <w:pPr>
        <w:pStyle w:val="1"/>
        <w:rPr>
          <w:rtl/>
        </w:rPr>
      </w:pPr>
      <w:bookmarkStart w:id="345" w:name="_Toc275128065"/>
      <w:r>
        <w:rPr>
          <w:rFonts w:hint="cs"/>
          <w:rtl/>
        </w:rPr>
        <w:t xml:space="preserve">نظرية </w:t>
      </w:r>
      <w:r w:rsidRPr="00D068D3">
        <w:rPr>
          <w:rFonts w:hint="cs"/>
          <w:rtl/>
        </w:rPr>
        <w:t>بلوغ ال</w:t>
      </w:r>
      <w:r>
        <w:rPr>
          <w:rFonts w:hint="cs"/>
          <w:rtl/>
        </w:rPr>
        <w:t>أنثى</w:t>
      </w:r>
      <w:r w:rsidRPr="00D068D3">
        <w:rPr>
          <w:rFonts w:hint="cs"/>
          <w:rtl/>
        </w:rPr>
        <w:t xml:space="preserve"> </w:t>
      </w:r>
      <w:r>
        <w:rPr>
          <w:rFonts w:hint="cs"/>
          <w:rtl/>
        </w:rPr>
        <w:t>بعشر سنين، وقفة نقديّة</w:t>
      </w:r>
      <w:bookmarkEnd w:id="345"/>
    </w:p>
    <w:p w:rsidR="00601F43" w:rsidRPr="00CD4BDD" w:rsidRDefault="00601F43" w:rsidP="00A67CCA">
      <w:pPr>
        <w:pStyle w:val="ac"/>
        <w:rPr>
          <w:rtl/>
        </w:rPr>
      </w:pPr>
      <w:r w:rsidRPr="00CD4BDD">
        <w:rPr>
          <w:rFonts w:hint="cs"/>
          <w:rtl/>
        </w:rPr>
        <w:t>تقدم سابقاً ـ ضمن عرضنا لكلمات العلماء السابقين ـ أن الشيخ الطوسي ذهب في أحد أقواله وابن حمزة في أحد قوليه، وابن سعيد الحلي، ذهبوا إلى أن بلوغ النساء يتحقق بعشر سنين، خلافاً لرأي المشهور من تحقّقه بالتسع، فما هو مستند ومدرك هذا القول؟</w:t>
      </w:r>
    </w:p>
    <w:p w:rsidR="00601F43" w:rsidRPr="00CD4BDD" w:rsidRDefault="00601F43" w:rsidP="00A67CCA">
      <w:pPr>
        <w:pStyle w:val="ac"/>
        <w:rPr>
          <w:rtl/>
        </w:rPr>
      </w:pPr>
      <w:r w:rsidRPr="00CD4BDD">
        <w:rPr>
          <w:rFonts w:hint="cs"/>
          <w:rtl/>
        </w:rPr>
        <w:t>والجواب: إننا لم نجد مستنداً مقبولاً لهذا القول سوى ما أرسله الشيخ نفسه في المبسوط من قوله: وروي عشر سنين</w:t>
      </w:r>
      <w:r w:rsidRPr="00815C4C">
        <w:rPr>
          <w:rFonts w:cs="Taher" w:hint="cs"/>
          <w:vertAlign w:val="superscript"/>
          <w:rtl/>
        </w:rPr>
        <w:t>(</w:t>
      </w:r>
      <w:r w:rsidRPr="00815C4C">
        <w:rPr>
          <w:rFonts w:cs="Taher"/>
          <w:vertAlign w:val="superscript"/>
          <w:rtl/>
        </w:rPr>
        <w:footnoteReference w:id="632"/>
      </w:r>
      <w:r w:rsidRPr="00815C4C">
        <w:rPr>
          <w:rFonts w:cs="Taher" w:hint="cs"/>
          <w:vertAlign w:val="superscript"/>
          <w:rtl/>
        </w:rPr>
        <w:t>)</w:t>
      </w:r>
      <w:r w:rsidRPr="00CD4BDD">
        <w:rPr>
          <w:rFonts w:hint="cs"/>
          <w:rtl/>
        </w:rPr>
        <w:t>، لكنّ إرساله يمنعنا من قبوله والاحتجاج به، نعم تقدّم في روايات المجموعة الأولى خبر محمد بن مسلم في أنّ الجارية لا تخدع إذا بلغت عشر سنين، لكن سبق أنه أجنبي عما نحن فيه، ونحوه خبر غياث بن إبراهيم</w:t>
      </w:r>
      <w:r w:rsidRPr="00815C4C">
        <w:rPr>
          <w:rFonts w:cs="Taher" w:hint="cs"/>
          <w:vertAlign w:val="superscript"/>
          <w:rtl/>
        </w:rPr>
        <w:t>(</w:t>
      </w:r>
      <w:r w:rsidRPr="00815C4C">
        <w:rPr>
          <w:rFonts w:cs="Taher"/>
          <w:vertAlign w:val="superscript"/>
          <w:rtl/>
        </w:rPr>
        <w:footnoteReference w:id="633"/>
      </w:r>
      <w:r w:rsidRPr="00815C4C">
        <w:rPr>
          <w:rFonts w:cs="Taher" w:hint="cs"/>
          <w:vertAlign w:val="superscript"/>
          <w:rtl/>
        </w:rPr>
        <w:t>)</w:t>
      </w:r>
      <w:r w:rsidRPr="00CD4BDD">
        <w:rPr>
          <w:rFonts w:hint="cs"/>
          <w:rtl/>
        </w:rPr>
        <w:t xml:space="preserve"> في أنّ الجارية لا توطأ لأقل من عشر سنين، فإن فعل فعيبت ضمن.</w:t>
      </w:r>
    </w:p>
    <w:p w:rsidR="00601F43" w:rsidRPr="00CD4BDD" w:rsidRDefault="00601F43" w:rsidP="00A67CCA">
      <w:pPr>
        <w:pStyle w:val="ac"/>
        <w:rPr>
          <w:rtl/>
        </w:rPr>
      </w:pPr>
      <w:r w:rsidRPr="00CD4BDD">
        <w:rPr>
          <w:rFonts w:hint="cs"/>
          <w:rtl/>
        </w:rPr>
        <w:lastRenderedPageBreak/>
        <w:t>فتبين أنّ هذا القول أيضاً غير صحيح.</w:t>
      </w:r>
    </w:p>
    <w:p w:rsidR="00601F43" w:rsidRPr="00CD4BDD" w:rsidRDefault="00601F43" w:rsidP="00A67CCA">
      <w:pPr>
        <w:pStyle w:val="ac"/>
        <w:rPr>
          <w:rtl/>
        </w:rPr>
      </w:pPr>
      <w:r w:rsidRPr="00CD4BDD">
        <w:rPr>
          <w:rFonts w:hint="cs"/>
          <w:rtl/>
        </w:rPr>
        <w:t>كما أن رأي الشيخ الآخر في المبسوط من بلوغها بخمس عشرة سنة غير صحيح أيضاً، فلم يذهب إليه ـ فيما نعلم ـ أحد من علمائنا، وليس له مستند سوى تعميم ما ورد في الغلام والصبي للجارية والصبية، لكنه غير صحيح؛ لأن ما ورد في ذلك من طريقنا قد ميَّز بين بلوغهما، فذكر لبلوغ كلّ منهما علامة غير الأخرى فلاحظ.</w:t>
      </w:r>
    </w:p>
    <w:p w:rsidR="00601F43" w:rsidRPr="00CD4BDD" w:rsidRDefault="00601F43" w:rsidP="00E52F7A">
      <w:pPr>
        <w:pStyle w:val="afffffc"/>
        <w:rPr>
          <w:rtl/>
        </w:rPr>
      </w:pPr>
    </w:p>
    <w:p w:rsidR="00601F43" w:rsidRPr="00D97D3C" w:rsidRDefault="00601F43" w:rsidP="00E52F7A">
      <w:pPr>
        <w:pStyle w:val="1"/>
        <w:rPr>
          <w:rtl/>
        </w:rPr>
      </w:pPr>
      <w:bookmarkStart w:id="346" w:name="_Toc275128066"/>
      <w:r>
        <w:rPr>
          <w:rFonts w:hint="cs"/>
          <w:rtl/>
        </w:rPr>
        <w:t>النظرية ال</w:t>
      </w:r>
      <w:r w:rsidRPr="00D97D3C">
        <w:rPr>
          <w:rFonts w:hint="cs"/>
          <w:rtl/>
        </w:rPr>
        <w:t>مختار</w:t>
      </w:r>
      <w:r>
        <w:rPr>
          <w:rFonts w:hint="cs"/>
          <w:rtl/>
        </w:rPr>
        <w:t>ة</w:t>
      </w:r>
      <w:r w:rsidRPr="00D97D3C">
        <w:rPr>
          <w:rFonts w:hint="cs"/>
          <w:rtl/>
        </w:rPr>
        <w:t xml:space="preserve"> في سن</w:t>
      </w:r>
      <w:r>
        <w:rPr>
          <w:rFonts w:hint="cs"/>
          <w:rtl/>
        </w:rPr>
        <w:t>ّ</w:t>
      </w:r>
      <w:r w:rsidRPr="00D97D3C">
        <w:rPr>
          <w:rFonts w:hint="cs"/>
          <w:rtl/>
        </w:rPr>
        <w:t xml:space="preserve"> بلوغ المرأة</w:t>
      </w:r>
      <w:r>
        <w:rPr>
          <w:rFonts w:hint="cs"/>
          <w:rtl/>
        </w:rPr>
        <w:t>، إتمام ثلاث عشرة سنة</w:t>
      </w:r>
      <w:bookmarkEnd w:id="346"/>
      <w:r>
        <w:rPr>
          <w:rFonts w:hint="cs"/>
          <w:rtl/>
        </w:rPr>
        <w:t xml:space="preserve"> </w:t>
      </w:r>
    </w:p>
    <w:p w:rsidR="00601F43" w:rsidRPr="00CD4BDD" w:rsidRDefault="00601F43" w:rsidP="00E52F7A">
      <w:pPr>
        <w:pStyle w:val="ac"/>
        <w:spacing w:line="209" w:lineRule="auto"/>
        <w:rPr>
          <w:rtl/>
        </w:rPr>
      </w:pPr>
      <w:r w:rsidRPr="00CD4BDD">
        <w:rPr>
          <w:rFonts w:hint="cs"/>
          <w:rtl/>
        </w:rPr>
        <w:t>وبعد أن بيّنا الإشكالات والملاحظات على القول ببلوغ المرأة بتسع سنين وعشر سنين بما لا يمكن الاعتماد على كلا القولين، نرى أن سنّ بلوغها هو إتمام ثلاث عشرة سنة قمرية، كما قلنا في سنّ بلوغ الذكر، إلا أن تحتلم أو تطمث قبل ذلك فتبلغ بذلك.</w:t>
      </w:r>
    </w:p>
    <w:p w:rsidR="00601F43" w:rsidRPr="00CD4BDD" w:rsidRDefault="00601F43" w:rsidP="00A67CCA">
      <w:pPr>
        <w:pStyle w:val="ac"/>
        <w:rPr>
          <w:rtl/>
        </w:rPr>
      </w:pPr>
      <w:r w:rsidRPr="00CD4BDD">
        <w:rPr>
          <w:rFonts w:hint="cs"/>
          <w:rtl/>
        </w:rPr>
        <w:t>والمستند لهذا الرأي عبارة عمّا يلي:</w:t>
      </w:r>
    </w:p>
    <w:p w:rsidR="00601F43" w:rsidRPr="00CD4BDD" w:rsidRDefault="00601F43" w:rsidP="00E52F7A">
      <w:pPr>
        <w:pStyle w:val="ac"/>
        <w:spacing w:line="206" w:lineRule="auto"/>
        <w:rPr>
          <w:rtl/>
        </w:rPr>
      </w:pPr>
      <w:r w:rsidRPr="00CD4BDD">
        <w:rPr>
          <w:rFonts w:hint="cs"/>
          <w:b/>
          <w:bCs/>
          <w:rtl/>
        </w:rPr>
        <w:t>الدليل الأول:</w:t>
      </w:r>
      <w:r w:rsidRPr="00CD4BDD">
        <w:rPr>
          <w:rFonts w:hint="cs"/>
          <w:rtl/>
        </w:rPr>
        <w:t xml:space="preserve"> قد أبطلنا القول ببلوغها بتسع سنين وعشر سنين، وأثبتنا بلوغها بالحيض والاحتلام، فإذا لم تحض ولم تحتلم، فلا شك في بلوغها بإتمام ثلاث عشرة سنة، وذلك أننا أثبتنا في بحثنا السابق عن بلوغ الذكر أنّ الصحيح بلوغه بالاحتلام أو إتمام ثلاث عشرة سنة، ولا نحتمل ـ فقهياً ـ أن يكون سنّ بلوغ الأنثى أطول من سنّ بلوغ الذكر؛ إذ لم يذهب أحد من فقهاء الفريقين إلى ذلك، بل المشهور بين أصحابنا أنّ سن بلوغها أقصر من سنّ بلوغه بست سنين، بل يمكن أن يدعى أنّ أخبار بلوغ الذكر بثلاث عشرة سنة شاملة للأنثى أيضاً، إما لإطلاقها اللفظي، أو لقاعدة الاشتراك بين الرجال والنساء في الأحكام إلا ما خرج بالدليل، والمفروض عدمه فيما نحن فيه، ويمكن أن يؤيد ما قلناه بأنّ حيضهنّ يحصل غالباً بين سنّ الحادية عشر والثالثة عشر، وهذا يناسب جعل سنّ الثالثة عشر بلوغاً لهنّ من حيث السن.</w:t>
      </w:r>
    </w:p>
    <w:p w:rsidR="00601F43" w:rsidRPr="00E52F7A" w:rsidRDefault="00601F43" w:rsidP="00E52F7A">
      <w:pPr>
        <w:pStyle w:val="ac"/>
        <w:jc w:val="lowKashida"/>
        <w:rPr>
          <w:sz w:val="30"/>
          <w:rtl/>
        </w:rPr>
      </w:pPr>
      <w:r w:rsidRPr="00E52F7A">
        <w:rPr>
          <w:rFonts w:hint="cs"/>
          <w:b/>
          <w:bCs/>
          <w:sz w:val="30"/>
          <w:rtl/>
        </w:rPr>
        <w:t>الدليل الثاني:</w:t>
      </w:r>
      <w:r w:rsidRPr="00E52F7A">
        <w:rPr>
          <w:rFonts w:hint="cs"/>
          <w:sz w:val="30"/>
          <w:rtl/>
        </w:rPr>
        <w:t xml:space="preserve"> موثقة عمار الساباطي التي رواها الشيخ في التهذيب</w:t>
      </w:r>
      <w:r w:rsidRPr="00E52F7A">
        <w:rPr>
          <w:rFonts w:cs="Taher" w:hint="cs"/>
          <w:sz w:val="30"/>
          <w:vertAlign w:val="superscript"/>
          <w:rtl/>
        </w:rPr>
        <w:t>(</w:t>
      </w:r>
      <w:r w:rsidRPr="00E52F7A">
        <w:rPr>
          <w:rFonts w:cs="Taher"/>
          <w:sz w:val="30"/>
          <w:vertAlign w:val="superscript"/>
          <w:rtl/>
        </w:rPr>
        <w:footnoteReference w:id="634"/>
      </w:r>
      <w:r w:rsidRPr="00E52F7A">
        <w:rPr>
          <w:rFonts w:cs="Taher" w:hint="cs"/>
          <w:sz w:val="30"/>
          <w:vertAlign w:val="superscript"/>
          <w:rtl/>
        </w:rPr>
        <w:t>)</w:t>
      </w:r>
      <w:r w:rsidRPr="00E52F7A">
        <w:rPr>
          <w:rFonts w:hint="cs"/>
          <w:sz w:val="30"/>
          <w:rtl/>
        </w:rPr>
        <w:t xml:space="preserve"> </w:t>
      </w:r>
      <w:r w:rsidRPr="00E52F7A">
        <w:rPr>
          <w:rFonts w:hint="cs"/>
          <w:sz w:val="30"/>
          <w:rtl/>
        </w:rPr>
        <w:lastRenderedPageBreak/>
        <w:t>والاستبصار</w:t>
      </w:r>
      <w:r w:rsidRPr="00E52F7A">
        <w:rPr>
          <w:rFonts w:cs="Taher" w:hint="cs"/>
          <w:sz w:val="30"/>
          <w:vertAlign w:val="superscript"/>
          <w:rtl/>
        </w:rPr>
        <w:t>(</w:t>
      </w:r>
      <w:r w:rsidRPr="00E52F7A">
        <w:rPr>
          <w:rFonts w:cs="Taher"/>
          <w:sz w:val="30"/>
          <w:vertAlign w:val="superscript"/>
          <w:rtl/>
        </w:rPr>
        <w:footnoteReference w:id="635"/>
      </w:r>
      <w:r w:rsidRPr="00E52F7A">
        <w:rPr>
          <w:rFonts w:cs="Taher" w:hint="cs"/>
          <w:sz w:val="30"/>
          <w:vertAlign w:val="superscript"/>
          <w:rtl/>
        </w:rPr>
        <w:t>)</w:t>
      </w:r>
      <w:r w:rsidR="00EE06ED" w:rsidRPr="00E52F7A">
        <w:rPr>
          <w:rFonts w:hint="cs"/>
          <w:sz w:val="30"/>
          <w:rtl/>
        </w:rPr>
        <w:t>،</w:t>
      </w:r>
      <w:r w:rsidRPr="00E52F7A">
        <w:rPr>
          <w:rFonts w:hint="cs"/>
          <w:sz w:val="30"/>
          <w:rtl/>
        </w:rPr>
        <w:t xml:space="preserve"> عن أبي عبد الله</w:t>
      </w:r>
      <w:r w:rsidR="00A67CCA" w:rsidRPr="00E52F7A">
        <w:rPr>
          <w:rFonts w:hint="cs"/>
          <w:sz w:val="30"/>
          <w:rtl/>
        </w:rPr>
        <w:t>×</w:t>
      </w:r>
      <w:r w:rsidRPr="00E52F7A">
        <w:rPr>
          <w:rFonts w:hint="cs"/>
          <w:sz w:val="30"/>
          <w:rtl/>
        </w:rPr>
        <w:t xml:space="preserve"> قال: </w:t>
      </w:r>
      <w:r w:rsidRPr="00E52F7A">
        <w:rPr>
          <w:rFonts w:cs="md_ameli" w:hint="cs"/>
          <w:sz w:val="30"/>
          <w:rtl/>
        </w:rPr>
        <w:t>&gt;</w:t>
      </w:r>
      <w:r w:rsidRPr="00E52F7A">
        <w:rPr>
          <w:rFonts w:hint="cs"/>
          <w:sz w:val="30"/>
          <w:rtl/>
        </w:rPr>
        <w:t>سألته عن الغلام متى تجب عليه الصلاة؟ قال: إذا أتى عليه ثلاث عشرة سنة، فإن احتلم قبل ذلك فقد وجبت عليه الصلاة وجرى عليه القلم، والجارية مثل ذلك إن أتى لها ثلاث عشرة سنة أو حاضت قبل ذلك، فقد وجبت عليها الصلاة وجرى عليها القلم</w:t>
      </w:r>
      <w:r w:rsidRPr="00E52F7A">
        <w:rPr>
          <w:rFonts w:cs="md_ameli" w:hint="cs"/>
          <w:sz w:val="30"/>
          <w:rtl/>
        </w:rPr>
        <w:t>&lt;</w:t>
      </w:r>
      <w:r w:rsidRPr="00E52F7A">
        <w:rPr>
          <w:rFonts w:hint="cs"/>
          <w:sz w:val="30"/>
          <w:rtl/>
        </w:rPr>
        <w:t>.</w:t>
      </w:r>
    </w:p>
    <w:p w:rsidR="00601F43" w:rsidRPr="00CD4BDD" w:rsidRDefault="00601F43" w:rsidP="00A67CCA">
      <w:pPr>
        <w:pStyle w:val="ac"/>
        <w:rPr>
          <w:rtl/>
        </w:rPr>
      </w:pPr>
      <w:r w:rsidRPr="00CD4BDD">
        <w:rPr>
          <w:rFonts w:hint="cs"/>
          <w:rtl/>
        </w:rPr>
        <w:t>وإسناد الشيخ إلى ابن محبوب صحيح في الفهرست، والرواة من الحسن إلى عمار وإن كانوا من الفطحية لكنهم ثقات، قد نصّوا على وثاقتهم، خصوصاً عمار الساباطي ـ الذي يظهر أن الرواية من كتابه ـ فقد وثقه المفيد والشيخ والنجاشي، بل نسبوا قبول رواياته إلى الطائفة، وقال الشيخ عن كتابه: إنه كتاب كبير جيد معتمد</w:t>
      </w:r>
      <w:r w:rsidRPr="00815C4C">
        <w:rPr>
          <w:rFonts w:cs="Taher" w:hint="cs"/>
          <w:vertAlign w:val="superscript"/>
          <w:rtl/>
        </w:rPr>
        <w:t>(</w:t>
      </w:r>
      <w:r w:rsidRPr="00815C4C">
        <w:rPr>
          <w:rFonts w:cs="Taher"/>
          <w:vertAlign w:val="superscript"/>
          <w:rtl/>
        </w:rPr>
        <w:footnoteReference w:id="636"/>
      </w:r>
      <w:r w:rsidRPr="00815C4C">
        <w:rPr>
          <w:rFonts w:cs="Taher" w:hint="cs"/>
          <w:vertAlign w:val="superscript"/>
          <w:rtl/>
        </w:rPr>
        <w:t>)</w:t>
      </w:r>
      <w:r w:rsidRPr="00CD4BDD">
        <w:rPr>
          <w:rFonts w:hint="cs"/>
          <w:rtl/>
        </w:rPr>
        <w:t>، فمن الغريب أن يستشكل في قبول رواياته والاعتماد عليها، أو يقال: إن رواياته مضطربة المتون والألفاظ غريبة المعنى و..</w:t>
      </w:r>
      <w:r w:rsidRPr="00815C4C">
        <w:rPr>
          <w:rFonts w:cs="Taher" w:hint="cs"/>
          <w:vertAlign w:val="superscript"/>
          <w:rtl/>
        </w:rPr>
        <w:t>(</w:t>
      </w:r>
      <w:r w:rsidRPr="00815C4C">
        <w:rPr>
          <w:rFonts w:cs="Taher"/>
          <w:vertAlign w:val="superscript"/>
          <w:rtl/>
        </w:rPr>
        <w:footnoteReference w:id="637"/>
      </w:r>
      <w:r w:rsidRPr="00815C4C">
        <w:rPr>
          <w:rFonts w:cs="Taher" w:hint="cs"/>
          <w:vertAlign w:val="superscript"/>
          <w:rtl/>
        </w:rPr>
        <w:t>)</w:t>
      </w:r>
      <w:r w:rsidRPr="00CD4BDD">
        <w:rPr>
          <w:rFonts w:hint="cs"/>
          <w:rtl/>
        </w:rPr>
        <w:t xml:space="preserve">؛ إذ كيف خفي ذلك على فطاحل علمائنا الرجاليين؟! فلم نجد من وصفه بذلك حتى ابن الغضائري المعروف بقدحه للرجال، كما وصفوا بعض الرواة بالتخليط والاضطراب، نعم لا شك في اضطراب بعض رواياته وانفراده ببعض الأحاديث، لكن ذلك مطّرد بين الرواة، فكم من رواية لأجلاء الرواة قد ردّها العلماء لاضطرابها أو لمخالفتها للمشهور أو الكتاب والسنّة؟ وقد تتبعت له روايات كثيرة فوجدتها سالمة عن العيوب والإشكال موافقة للقواعد والأصول، فلا إشكال في وثاقة الرجل بل وقبول رواياته وكتابه، فهذه الرواية لا إشكال في حجيتها من حيث هي، كما أنّ دلالتها على البلوغ بالحيض أو إكمال ثلاث عشرة سنة تامة لا خدشة فيها. </w:t>
      </w:r>
    </w:p>
    <w:p w:rsidR="00601F43" w:rsidRPr="00CD4BDD" w:rsidRDefault="00601F43" w:rsidP="00A67CCA">
      <w:pPr>
        <w:pStyle w:val="ac"/>
        <w:rPr>
          <w:rtl/>
        </w:rPr>
      </w:pPr>
      <w:r w:rsidRPr="00CD4BDD">
        <w:rPr>
          <w:rFonts w:hint="cs"/>
          <w:rtl/>
        </w:rPr>
        <w:t>نعم أشكل على الرواية المذكورة بإشكالات أخرى ينبغي الجواب عنها:</w:t>
      </w:r>
    </w:p>
    <w:p w:rsidR="00601F43" w:rsidRPr="00CD4BDD" w:rsidRDefault="00601F43" w:rsidP="00A67CCA">
      <w:pPr>
        <w:pStyle w:val="ac"/>
        <w:rPr>
          <w:rtl/>
        </w:rPr>
      </w:pPr>
      <w:r w:rsidRPr="00CD4BDD">
        <w:rPr>
          <w:rFonts w:hint="cs"/>
          <w:b/>
          <w:bCs/>
          <w:rtl/>
        </w:rPr>
        <w:t>الإشكال الأول</w:t>
      </w:r>
      <w:r w:rsidRPr="00CD4BDD">
        <w:rPr>
          <w:rFonts w:hint="cs"/>
          <w:rtl/>
        </w:rPr>
        <w:t xml:space="preserve">: إن صدر الموثقة في بلوغ الغلام في ثلاث عشرة سنة مخالف لفتوى العلماء ببلوغه بخمس عشرة سنة، فتسقط الرواية عن الحجية؛ لأنها تضمّنت أمراً غير </w:t>
      </w:r>
      <w:r w:rsidRPr="00CD4BDD">
        <w:rPr>
          <w:rFonts w:hint="cs"/>
          <w:rtl/>
        </w:rPr>
        <w:lastRenderedPageBreak/>
        <w:t>صحيح.</w:t>
      </w:r>
    </w:p>
    <w:p w:rsidR="00601F43" w:rsidRPr="00CD4BDD" w:rsidRDefault="00601F43" w:rsidP="00A67CCA">
      <w:pPr>
        <w:pStyle w:val="ac"/>
        <w:rPr>
          <w:rtl/>
        </w:rPr>
      </w:pPr>
      <w:r w:rsidRPr="00CD4BDD">
        <w:rPr>
          <w:rFonts w:hint="cs"/>
          <w:b/>
          <w:bCs/>
          <w:rtl/>
        </w:rPr>
        <w:t>وجوابه: أولاً:</w:t>
      </w:r>
      <w:r w:rsidRPr="00CD4BDD">
        <w:rPr>
          <w:rFonts w:hint="cs"/>
          <w:rtl/>
        </w:rPr>
        <w:t xml:space="preserve"> إنّ تضمّن الرواية لأمر غير صحيح لا يسقطها عن الحجية كما حقّق في محلّه.</w:t>
      </w:r>
    </w:p>
    <w:p w:rsidR="00601F43" w:rsidRPr="00CD4BDD" w:rsidRDefault="00601F43" w:rsidP="00A67CCA">
      <w:pPr>
        <w:pStyle w:val="ac"/>
        <w:rPr>
          <w:rtl/>
        </w:rPr>
      </w:pPr>
      <w:r w:rsidRPr="00CD4BDD">
        <w:rPr>
          <w:rFonts w:hint="cs"/>
          <w:b/>
          <w:bCs/>
          <w:rtl/>
        </w:rPr>
        <w:t>ثانياً</w:t>
      </w:r>
      <w:r w:rsidRPr="00CD4BDD">
        <w:rPr>
          <w:rFonts w:hint="cs"/>
          <w:rtl/>
        </w:rPr>
        <w:t>: قد أثبتنا أنّ الصحيح هو خلاف المشهور، وأنّ بلوغ الصبي إنما هو بالاحتلام أو إتمام ثلاث عشرة سنة، فما تضمّنته الموثقة هو الصحيح، بل إن ذلك من أمارات قوة هذه الرواية وصحّتها لا العكس.</w:t>
      </w:r>
    </w:p>
    <w:p w:rsidR="00601F43" w:rsidRPr="00CD4BDD" w:rsidRDefault="00601F43" w:rsidP="00A67CCA">
      <w:pPr>
        <w:pStyle w:val="ac"/>
        <w:rPr>
          <w:rtl/>
        </w:rPr>
      </w:pPr>
      <w:r w:rsidRPr="00CD4BDD">
        <w:rPr>
          <w:rFonts w:hint="cs"/>
          <w:b/>
          <w:bCs/>
          <w:rtl/>
        </w:rPr>
        <w:t>الإشكال الثاني</w:t>
      </w:r>
      <w:r w:rsidRPr="00CD4BDD">
        <w:rPr>
          <w:rFonts w:hint="cs"/>
          <w:rtl/>
        </w:rPr>
        <w:t>: إنّ ذيلها الوارد في بلوغ الأنثى قد أعرض عنه الأصحاب، فتسقط عن الحجية؛ لأنه لم يفت أحد من فقهائنا ببلوغ المرأة في ثلاث عشرة سنة، ويعني ذلك أنهم قد عثروا على خلل في الرواية فأعرضوا عنها.</w:t>
      </w:r>
    </w:p>
    <w:p w:rsidR="00601F43" w:rsidRPr="00CD4BDD" w:rsidRDefault="00601F43" w:rsidP="00A67CCA">
      <w:pPr>
        <w:pStyle w:val="ac"/>
        <w:rPr>
          <w:rtl/>
        </w:rPr>
      </w:pPr>
      <w:r w:rsidRPr="00CD4BDD">
        <w:rPr>
          <w:rFonts w:hint="cs"/>
          <w:b/>
          <w:bCs/>
          <w:rtl/>
        </w:rPr>
        <w:t>ويلاحظ عليه: أولاً:</w:t>
      </w:r>
      <w:r w:rsidRPr="00CD4BDD">
        <w:rPr>
          <w:rFonts w:hint="cs"/>
          <w:rtl/>
        </w:rPr>
        <w:t xml:space="preserve"> إننا لا نقبل بكبرى انكسار الرواية الصحيحة بإعراض المشهور، كما هو مبنى السيد الخوئي.</w:t>
      </w:r>
    </w:p>
    <w:p w:rsidR="00601F43" w:rsidRPr="00CD4BDD" w:rsidRDefault="00601F43" w:rsidP="00A67CCA">
      <w:pPr>
        <w:pStyle w:val="ac"/>
        <w:rPr>
          <w:rtl/>
        </w:rPr>
      </w:pPr>
      <w:r w:rsidRPr="00CD4BDD">
        <w:rPr>
          <w:rFonts w:hint="cs"/>
          <w:b/>
          <w:bCs/>
          <w:rtl/>
        </w:rPr>
        <w:t>ثانياً</w:t>
      </w:r>
      <w:r w:rsidRPr="00CD4BDD">
        <w:rPr>
          <w:rFonts w:hint="cs"/>
          <w:rtl/>
        </w:rPr>
        <w:t>: إن الإعراض إنما يؤثر في ضعف الرواية إذا لم نعلم وجهه ولم نحدس بسببه، وفي ما نحن فيه نرى أن إعراض المشهور إنما هو لترجيحهم لروايات البلوغ بالتسع وأخذهم بها، فالإعراض منطلقٌ من قاعدة وأصل اجتهادي ليس حجة علينا، نعم لو لم يكن للموثقة معارض ولو موهوم، لكان للإعراض تأثيره في تضعيف الرواية، لكن ليس الأمر كذلك، بل لعل إعراضهم لأجل وروده في كتب الفطحية، فرجّحوا ما رواه الإمامية عليهم، وهذا أيضاً ليس حجة علينا، خصوصاً بعد عدم تمامية روايات أصحابنا سنداً ودلالة، فكيف يصحّ رفض هذه الرواية؟! على أنه يظهر من الطوسي في الاستبصار قبوله بمضمون هذه الرواية وعمله بها.</w:t>
      </w:r>
    </w:p>
    <w:p w:rsidR="00601F43" w:rsidRPr="00CD4BDD" w:rsidRDefault="00601F43" w:rsidP="00E52F7A">
      <w:pPr>
        <w:pStyle w:val="afffffc"/>
        <w:rPr>
          <w:rtl/>
        </w:rPr>
      </w:pPr>
    </w:p>
    <w:p w:rsidR="00601F43" w:rsidRDefault="00601F43" w:rsidP="00A67CCA">
      <w:pPr>
        <w:pStyle w:val="1"/>
        <w:rPr>
          <w:rtl/>
        </w:rPr>
      </w:pPr>
      <w:bookmarkStart w:id="347" w:name="_Toc275128067"/>
      <w:r>
        <w:rPr>
          <w:rFonts w:hint="cs"/>
          <w:rtl/>
        </w:rPr>
        <w:t>نتيجة البحث في بلوغ الأنثى</w:t>
      </w:r>
      <w:bookmarkEnd w:id="347"/>
    </w:p>
    <w:p w:rsidR="00E52F7A" w:rsidRDefault="00601F43" w:rsidP="00A67CCA">
      <w:pPr>
        <w:pStyle w:val="ac"/>
        <w:rPr>
          <w:rtl/>
        </w:rPr>
      </w:pPr>
      <w:r w:rsidRPr="00CD4BDD">
        <w:rPr>
          <w:rFonts w:hint="cs"/>
          <w:b/>
          <w:bCs/>
          <w:rtl/>
        </w:rPr>
        <w:t>ثبت بما قدّمناه بالتفصيل أن</w:t>
      </w:r>
      <w:r w:rsidRPr="00CD4BDD">
        <w:rPr>
          <w:rFonts w:hint="cs"/>
          <w:rtl/>
        </w:rPr>
        <w:t xml:space="preserve"> </w:t>
      </w:r>
      <w:r w:rsidRPr="00CD4BDD">
        <w:rPr>
          <w:rFonts w:hint="cs"/>
          <w:b/>
          <w:bCs/>
          <w:rtl/>
        </w:rPr>
        <w:t>بلوغ المرأة إنما هو بالاحتلام أو الحيض أو إتمام ثلاث عشرة سنة قمرية</w:t>
      </w:r>
      <w:r w:rsidRPr="00CD4BDD">
        <w:rPr>
          <w:rFonts w:hint="cs"/>
          <w:rtl/>
        </w:rPr>
        <w:t xml:space="preserve">، كما أثبتا سابقاً أن بلوغ الذكر بالاحتلام أو إتمام ثلاث عشرة سنة، فلا فرق بين الذكر والأنثى في البلوغ بالسنّ، ولو وسوس فقيه في جميع ما بيناه فلا شك في </w:t>
      </w:r>
      <w:r w:rsidRPr="00CD4BDD">
        <w:rPr>
          <w:rFonts w:hint="cs"/>
          <w:rtl/>
        </w:rPr>
        <w:lastRenderedPageBreak/>
        <w:t>لزوم الاحتياط بأن تقوم بالعبادات بعد تسع سنين، لكن لا يجوز أمرها في المعاملات والمعاوضات ولا يقام عليها الحدّ قبل الحيض أو إتمام ثلاث عشرة سنة، فالاحتياط يختلف باختلاف موارده، فتدبّر.</w:t>
      </w:r>
    </w:p>
    <w:p w:rsidR="00E52F7A" w:rsidRDefault="00E52F7A" w:rsidP="00A67CCA">
      <w:pPr>
        <w:pStyle w:val="ac"/>
        <w:rPr>
          <w:rtl/>
        </w:rPr>
        <w:sectPr w:rsidR="00E52F7A" w:rsidSect="00EA348C">
          <w:headerReference w:type="even" r:id="rId67"/>
          <w:headerReference w:type="default" r:id="rId68"/>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3246D4" w:rsidRDefault="003246D4" w:rsidP="00A67CCA">
      <w:pPr>
        <w:pStyle w:val="ac"/>
        <w:rPr>
          <w:rtl/>
        </w:rPr>
      </w:pPr>
    </w:p>
    <w:p w:rsidR="00E507AC" w:rsidRDefault="00E507AC">
      <w:pPr>
        <w:widowControl/>
        <w:bidi w:val="0"/>
        <w:spacing w:line="240" w:lineRule="auto"/>
        <w:ind w:firstLine="0"/>
        <w:jc w:val="left"/>
        <w:outlineLvl w:val="9"/>
        <w:rPr>
          <w:rFonts w:ascii="Arno Pro Display" w:hAnsi="Arno Pro Display"/>
          <w:sz w:val="28"/>
          <w:szCs w:val="30"/>
          <w:rtl/>
        </w:rPr>
      </w:pPr>
      <w:r>
        <w:rPr>
          <w:rtl/>
        </w:rPr>
        <w:br w:type="page"/>
      </w:r>
    </w:p>
    <w:p w:rsidR="003246D4" w:rsidRDefault="003246D4" w:rsidP="00A67CCA">
      <w:pPr>
        <w:pStyle w:val="ac"/>
        <w:rPr>
          <w:rtl/>
        </w:rPr>
        <w:sectPr w:rsidR="003246D4" w:rsidSect="00EA348C">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601F43" w:rsidRDefault="00601F43" w:rsidP="00E52F7A">
      <w:pPr>
        <w:pStyle w:val="ac"/>
        <w:rPr>
          <w:rtl/>
        </w:rPr>
      </w:pPr>
    </w:p>
    <w:p w:rsidR="003246D4" w:rsidRDefault="003246D4" w:rsidP="00E52F7A">
      <w:pPr>
        <w:pStyle w:val="ac"/>
        <w:bidi w:val="0"/>
        <w:rPr>
          <w:rtl/>
        </w:rPr>
      </w:pPr>
    </w:p>
    <w:p w:rsidR="003246D4" w:rsidRPr="00E52F7A" w:rsidRDefault="003246D4" w:rsidP="00E52F7A">
      <w:pPr>
        <w:pStyle w:val="ac"/>
        <w:bidi w:val="0"/>
        <w:rPr>
          <w:sz w:val="2"/>
          <w:szCs w:val="2"/>
          <w:rtl/>
        </w:rPr>
      </w:pPr>
    </w:p>
    <w:p w:rsidR="003246D4" w:rsidRPr="00E52F7A" w:rsidRDefault="003246D4" w:rsidP="00E52F7A">
      <w:pPr>
        <w:pStyle w:val="ac"/>
        <w:bidi w:val="0"/>
        <w:rPr>
          <w:rtl/>
        </w:rPr>
      </w:pPr>
    </w:p>
    <w:p w:rsidR="003246D4" w:rsidRDefault="003246D4" w:rsidP="00E52F7A">
      <w:pPr>
        <w:pStyle w:val="ac"/>
        <w:bidi w:val="0"/>
        <w:rPr>
          <w:rtl/>
        </w:rPr>
      </w:pPr>
    </w:p>
    <w:p w:rsidR="00E52F7A" w:rsidRDefault="00E52F7A" w:rsidP="00E52F7A">
      <w:pPr>
        <w:pStyle w:val="ac"/>
        <w:rPr>
          <w:rtl/>
        </w:rPr>
        <w:sectPr w:rsidR="00E52F7A" w:rsidSect="00EA348C">
          <w:headerReference w:type="even" r:id="rId69"/>
          <w:headerReference w:type="default" r:id="rId7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A67CCA" w:rsidRDefault="00A67CCA" w:rsidP="003246D4">
      <w:pPr>
        <w:pStyle w:val="aff2"/>
        <w:rPr>
          <w:rtl/>
        </w:rPr>
      </w:pPr>
      <w:bookmarkStart w:id="348" w:name="_Toc275128068"/>
      <w:r>
        <w:rPr>
          <w:rFonts w:hint="cs"/>
          <w:rtl/>
        </w:rPr>
        <w:lastRenderedPageBreak/>
        <w:t>الزواج العرفي</w:t>
      </w:r>
      <w:bookmarkEnd w:id="348"/>
    </w:p>
    <w:p w:rsidR="00A67CCA" w:rsidRPr="00A67CCA" w:rsidRDefault="00A67CCA" w:rsidP="003246D4">
      <w:pPr>
        <w:pStyle w:val="aff2"/>
        <w:rPr>
          <w:rFonts w:cs="AL-Mohanad"/>
          <w:sz w:val="19"/>
          <w:szCs w:val="17"/>
          <w:rtl/>
        </w:rPr>
      </w:pPr>
      <w:bookmarkStart w:id="349" w:name="_Toc275128069"/>
      <w:r w:rsidRPr="00A67CCA">
        <w:rPr>
          <w:rFonts w:hint="cs"/>
          <w:sz w:val="22"/>
          <w:szCs w:val="40"/>
          <w:rtl/>
        </w:rPr>
        <w:t>في الشريعة والقانون</w:t>
      </w:r>
      <w:bookmarkEnd w:id="349"/>
    </w:p>
    <w:p w:rsidR="00A67CCA" w:rsidRPr="00DD5ED6" w:rsidRDefault="00A67CCA" w:rsidP="00A67CCA">
      <w:pPr>
        <w:pStyle w:val="af7"/>
        <w:rPr>
          <w:rFonts w:cs="AL-Mohanad"/>
          <w:szCs w:val="27"/>
          <w:rtl/>
        </w:rPr>
      </w:pPr>
      <w:bookmarkStart w:id="350" w:name="_Toc275128070"/>
      <w:r>
        <w:rPr>
          <w:rFonts w:hint="cs"/>
          <w:rtl/>
        </w:rPr>
        <w:t>السيد مصطفى أحمد أبو الخير</w:t>
      </w:r>
      <w:r w:rsidRPr="007A5648">
        <w:rPr>
          <w:rStyle w:val="FootnoteReference"/>
          <w:rFonts w:cs="md_ameli"/>
          <w:b/>
          <w:bCs w:val="0"/>
          <w:sz w:val="36"/>
          <w:szCs w:val="36"/>
          <w:rtl/>
        </w:rPr>
        <w:footnoteReference w:customMarkFollows="1" w:id="638"/>
        <w:t>(*)</w:t>
      </w:r>
      <w:bookmarkEnd w:id="350"/>
    </w:p>
    <w:p w:rsidR="00A67CCA" w:rsidRPr="00E52F7A" w:rsidRDefault="00A67CCA" w:rsidP="00E52F7A">
      <w:pPr>
        <w:pStyle w:val="afffffc"/>
        <w:rPr>
          <w:rtl/>
        </w:rPr>
      </w:pPr>
    </w:p>
    <w:p w:rsidR="00A67CCA" w:rsidRDefault="00A67CCA" w:rsidP="00A67CCA">
      <w:pPr>
        <w:pStyle w:val="1"/>
        <w:rPr>
          <w:rtl/>
        </w:rPr>
      </w:pPr>
      <w:bookmarkStart w:id="351" w:name="_Toc275128071"/>
      <w:r>
        <w:rPr>
          <w:rFonts w:hint="cs"/>
          <w:rtl/>
        </w:rPr>
        <w:t>مقدمة</w:t>
      </w:r>
      <w:bookmarkEnd w:id="351"/>
    </w:p>
    <w:p w:rsidR="00A67CCA" w:rsidRPr="00DD5ED6" w:rsidRDefault="00A67CCA" w:rsidP="00E52F7A">
      <w:pPr>
        <w:pStyle w:val="ac"/>
        <w:spacing w:line="199" w:lineRule="auto"/>
        <w:rPr>
          <w:rtl/>
        </w:rPr>
      </w:pPr>
      <w:r w:rsidRPr="00DD5ED6">
        <w:rPr>
          <w:rFonts w:hint="cs"/>
          <w:rtl/>
        </w:rPr>
        <w:t>الأسرة أساس المجتمع، وأهم لبنة من لبناته؛ لأنّه يتكوّن من مجموعة من الأسر والتي ترتبط ببعضها البعض، ويكون المجتمع قوياً متماسكاً إذا كانت الأسرة كذلك، أما إذا كانت ضعيفةً غير متماسكة، وغير قائمة على أساس قوي متين، وبذلك فإنها تكون منحلّة، فإن المجتمع بدوره يتدهور وينحل، بل وينهار، ولا تكون له قائمة، ولا يكون للدولة وجود مستمر.</w:t>
      </w:r>
    </w:p>
    <w:p w:rsidR="00A67CCA" w:rsidRPr="00DD5ED6" w:rsidRDefault="00A67CCA" w:rsidP="00E52F7A">
      <w:pPr>
        <w:pStyle w:val="ac"/>
        <w:spacing w:line="199" w:lineRule="auto"/>
        <w:rPr>
          <w:rtl/>
        </w:rPr>
      </w:pPr>
      <w:r w:rsidRPr="00DD5ED6">
        <w:rPr>
          <w:rFonts w:hint="cs"/>
          <w:rtl/>
        </w:rPr>
        <w:t xml:space="preserve">لقد عنى القرآن الكريم بترابط الأسرة وتأكيد المودة والرحمة بين أفرادها، فأورد في محكم آياته أنّ الناس جميعاً أصلهم واحد، خلقهم الله سبحانه وتعالى من ذكر وأثنى، وأكّد على أهميّة رباط الأسرة المتين في قوله تعالى: </w:t>
      </w:r>
      <w:r w:rsidR="00935CC0" w:rsidRPr="00935CC0">
        <w:rPr>
          <w:rtl/>
        </w:rPr>
        <w:t>﴿</w:t>
      </w:r>
      <w:r w:rsidRPr="00A67CCA">
        <w:rPr>
          <w:b/>
          <w:bCs/>
          <w:rtl/>
        </w:rPr>
        <w:t>يَا أَيُّهَا النَّاسُ إِنَّا خَلَقْنَاكُم مِّن ذَكَرٍ وَأُنثَى وَجَعَلْنَاكُمْ شُعُوبًا وَقَبَائِلَ لِتَعَارَفُوا إِنَّ أَكْرَمَكُمْ عِندَ الله أَتْقَاكُمْ</w:t>
      </w:r>
      <w:r w:rsidR="00935CC0" w:rsidRPr="00935CC0">
        <w:rPr>
          <w:rtl/>
        </w:rPr>
        <w:t>﴾</w:t>
      </w:r>
      <w:r w:rsidRPr="00DD5ED6">
        <w:rPr>
          <w:rFonts w:hint="cs"/>
          <w:rtl/>
        </w:rPr>
        <w:t>، حيث تدلّنا هذه الآية الكريمة على أن الزواج هو أصل الأسرة، فما خلق الله الذكر والأنثى إلا للزواج، والذي به تتكوّن، وفي ظلّه تنمو وتقوى وتزدهر فيقوى بها المجتمع والأمة</w:t>
      </w:r>
      <w:r w:rsidRPr="00815C4C">
        <w:rPr>
          <w:rFonts w:cs="Taher"/>
          <w:vertAlign w:val="superscript"/>
          <w:rtl/>
        </w:rPr>
        <w:t>(</w:t>
      </w:r>
      <w:r w:rsidRPr="00815C4C">
        <w:rPr>
          <w:rFonts w:cs="Taher"/>
          <w:vertAlign w:val="superscript"/>
          <w:rtl/>
        </w:rPr>
        <w:footnoteReference w:id="639"/>
      </w:r>
      <w:r w:rsidRPr="00815C4C">
        <w:rPr>
          <w:rFonts w:cs="Taher"/>
          <w:vertAlign w:val="superscript"/>
          <w:rtl/>
        </w:rPr>
        <w:t>)</w:t>
      </w:r>
      <w:r w:rsidRPr="00DD5ED6">
        <w:rPr>
          <w:rFonts w:hint="cs"/>
          <w:rtl/>
        </w:rPr>
        <w:t>.</w:t>
      </w:r>
    </w:p>
    <w:p w:rsidR="00A67CCA" w:rsidRPr="00DD5ED6" w:rsidRDefault="00A67CCA" w:rsidP="00E52F7A">
      <w:pPr>
        <w:pStyle w:val="ac"/>
        <w:spacing w:line="211" w:lineRule="auto"/>
        <w:rPr>
          <w:rtl/>
        </w:rPr>
      </w:pPr>
      <w:r w:rsidRPr="00DD5ED6">
        <w:rPr>
          <w:rFonts w:hint="cs"/>
          <w:rtl/>
        </w:rPr>
        <w:lastRenderedPageBreak/>
        <w:t>والاصل في النساء الحرمة، كما أن الأصل في الغريزة الجنسية المحافظة، فقد</w:t>
      </w:r>
      <w:r>
        <w:rPr>
          <w:rFonts w:hint="cs"/>
          <w:rtl/>
        </w:rPr>
        <w:t xml:space="preserve"> </w:t>
      </w:r>
      <w:r w:rsidRPr="00DD5ED6">
        <w:rPr>
          <w:rFonts w:hint="cs"/>
          <w:rtl/>
        </w:rPr>
        <w:t>قال رسول الله</w:t>
      </w:r>
      <w:r w:rsidR="00E52F7A">
        <w:rPr>
          <w:rFonts w:hint="cs"/>
          <w:rtl/>
        </w:rPr>
        <w:t>’</w:t>
      </w:r>
      <w:r w:rsidRPr="00DD5ED6">
        <w:rPr>
          <w:rFonts w:hint="cs"/>
          <w:rtl/>
        </w:rPr>
        <w:t xml:space="preserve">: </w:t>
      </w:r>
      <w:r>
        <w:rPr>
          <w:rFonts w:hint="cs"/>
          <w:rtl/>
        </w:rPr>
        <w:t>«</w:t>
      </w:r>
      <w:r w:rsidRPr="00DD5ED6">
        <w:rPr>
          <w:rFonts w:hint="cs"/>
          <w:rtl/>
        </w:rPr>
        <w:t>احتفظ بمنيّك فإنه عصب الحياة</w:t>
      </w:r>
      <w:r>
        <w:rPr>
          <w:rFonts w:hint="cs"/>
          <w:rtl/>
        </w:rPr>
        <w:t>»</w:t>
      </w:r>
      <w:r w:rsidRPr="00DD5ED6">
        <w:rPr>
          <w:rFonts w:hint="cs"/>
          <w:rtl/>
        </w:rPr>
        <w:t>، إلا عن طريق واحد لا ثاني له، والذي يُسمح فيه للغريزة الجنسية أن تنطلق وتتحرك، هذا الطريق هو الزواج الشرعي، وكلّ ما عداه محرّم شرعاً، ليس في الإسلام فقط ولكن في جميع الأديان وقد جعل له عقاب مغلّظ، الرجم للمحصن (المتزوج) والجلد لغيره، وقد بيّن القرآن الكريم هذا الطريق وحدّده؛ فقال سبحانه وتعالى:</w:t>
      </w:r>
      <w:r w:rsidRPr="00935CC0">
        <w:rPr>
          <w:rFonts w:hint="cs"/>
          <w:rtl/>
        </w:rPr>
        <w:t xml:space="preserve"> </w:t>
      </w:r>
      <w:r w:rsidR="00935CC0">
        <w:rPr>
          <w:rFonts w:ascii="Mosawi" w:hAnsi="Mosawi"/>
          <w:rtl/>
        </w:rPr>
        <w:t>﴿</w:t>
      </w:r>
      <w:r w:rsidRPr="00A67CCA">
        <w:rPr>
          <w:b/>
          <w:bCs/>
          <w:rtl/>
        </w:rPr>
        <w:t>وَالَّذِينَ هُمْ لِفُرُوجِهِمْ حَافِظُونَ</w:t>
      </w:r>
      <w:r w:rsidRPr="00A67CCA">
        <w:rPr>
          <w:rFonts w:hint="cs"/>
          <w:b/>
          <w:bCs/>
          <w:rtl/>
        </w:rPr>
        <w:t xml:space="preserve"> * </w:t>
      </w:r>
      <w:r w:rsidRPr="00A67CCA">
        <w:rPr>
          <w:b/>
          <w:bCs/>
          <w:rtl/>
        </w:rPr>
        <w:t>إِلا عَلَى أَزْوَاجِهِمْ أو مَا مَلَكَتْ أَيْمَانُهُمْ فَإِنَّهُمْ غَيْرُ مَلُومِينَ</w:t>
      </w:r>
      <w:r w:rsidRPr="00A67CCA">
        <w:rPr>
          <w:rFonts w:hint="cs"/>
          <w:b/>
          <w:bCs/>
          <w:rtl/>
        </w:rPr>
        <w:t xml:space="preserve"> * </w:t>
      </w:r>
      <w:r w:rsidRPr="00A67CCA">
        <w:rPr>
          <w:b/>
          <w:bCs/>
          <w:rtl/>
        </w:rPr>
        <w:t>فَمَنِ ابْتَغَى وَرَاء ذَلِكَ فَأُوْلَئِكَ هُمُ الْعَادُونَ</w:t>
      </w:r>
      <w:r w:rsidRPr="00A67CCA">
        <w:rPr>
          <w:rFonts w:hint="cs"/>
          <w:b/>
          <w:bCs/>
        </w:rPr>
        <w:sym w:font="Islamic Units 1" w:char="F03C"/>
      </w:r>
      <w:r w:rsidRPr="00DD5ED6">
        <w:rPr>
          <w:rFonts w:hint="cs"/>
          <w:rtl/>
        </w:rPr>
        <w:t xml:space="preserve"> (المؤمنون: 4</w:t>
      </w:r>
      <w:r>
        <w:rPr>
          <w:rFonts w:hint="cs"/>
          <w:rtl/>
        </w:rPr>
        <w:t xml:space="preserve"> ـ </w:t>
      </w:r>
      <w:r w:rsidRPr="00DD5ED6">
        <w:rPr>
          <w:rFonts w:hint="cs"/>
          <w:rtl/>
        </w:rPr>
        <w:t>7).</w:t>
      </w:r>
    </w:p>
    <w:p w:rsidR="00A67CCA" w:rsidRPr="00DD5ED6" w:rsidRDefault="00A67CCA" w:rsidP="00E52F7A">
      <w:pPr>
        <w:pStyle w:val="ac"/>
        <w:spacing w:line="211" w:lineRule="auto"/>
        <w:rPr>
          <w:rtl/>
        </w:rPr>
      </w:pPr>
      <w:r w:rsidRPr="00DD5ED6">
        <w:rPr>
          <w:rFonts w:hint="cs"/>
          <w:rtl/>
        </w:rPr>
        <w:t>الزواج عهدٌ وميثاق غليظ، وعقد، لكنه دون سائرالعقود والعهود، فقد ميّزه الإسلام عن سائر العقود، حيث اشترط فيه أركاناً وشروطاً، لا توجد في غيره من العقود، كما لا يقاس عليها في أيّ عقد من العقود، من أجل ذلك كان ميثاقاً غليظاً</w:t>
      </w:r>
      <w:r w:rsidRPr="00815C4C">
        <w:rPr>
          <w:rFonts w:cs="Taher"/>
          <w:vertAlign w:val="superscript"/>
          <w:rtl/>
        </w:rPr>
        <w:t>(</w:t>
      </w:r>
      <w:r w:rsidRPr="00815C4C">
        <w:rPr>
          <w:rFonts w:cs="Taher"/>
          <w:vertAlign w:val="superscript"/>
          <w:rtl/>
        </w:rPr>
        <w:footnoteReference w:id="640"/>
      </w:r>
      <w:r w:rsidRPr="00815C4C">
        <w:rPr>
          <w:rFonts w:cs="Taher"/>
          <w:vertAlign w:val="superscript"/>
          <w:rtl/>
        </w:rPr>
        <w:t>)</w:t>
      </w:r>
      <w:r w:rsidRPr="00DD5ED6">
        <w:rPr>
          <w:rFonts w:hint="cs"/>
          <w:rtl/>
        </w:rPr>
        <w:t xml:space="preserve">، قال تعالى: </w:t>
      </w:r>
      <w:r w:rsidRPr="00935CC0">
        <w:rPr>
          <w:rFonts w:ascii="Mosawi" w:hAnsi="Mosawi" w:hint="cs"/>
        </w:rPr>
        <w:sym w:font="Islamic Units 1" w:char="F03E"/>
      </w:r>
      <w:r w:rsidRPr="00A67CCA">
        <w:rPr>
          <w:b/>
          <w:bCs/>
          <w:rtl/>
        </w:rPr>
        <w:t>وَإِنْ أَرَدتُّمُ اسْتِبْدَالَ زَوْجٍ مَّكَانَ زَوْجٍ وَآتَيْتُمْ إِحْدَاهُنَّ قِنطَارًا فَلاَ تَأْخُذُواْ مِنْهُ شَيْئًا أَتَأْخُذُونَهُ بُهْتَاناً وَإِثْماً مُّبِيناً</w:t>
      </w:r>
      <w:r w:rsidRPr="00A67CCA">
        <w:rPr>
          <w:rFonts w:hint="cs"/>
          <w:b/>
          <w:bCs/>
          <w:rtl/>
        </w:rPr>
        <w:t xml:space="preserve"> * </w:t>
      </w:r>
      <w:r w:rsidRPr="00A67CCA">
        <w:rPr>
          <w:b/>
          <w:bCs/>
          <w:rtl/>
        </w:rPr>
        <w:t>وَكَيْفَ تَأْخُذُونَهُ وَقَدْ أَفْضَى بَعْضُكُمْ إلى بَعْضٍ وَأَخَذْنَ مِنكُم مِّيثَاقًا غَلِيظًا</w:t>
      </w:r>
      <w:r w:rsidRPr="00935CC0">
        <w:rPr>
          <w:rFonts w:ascii="Mosawi" w:hAnsi="Mosawi" w:hint="cs"/>
        </w:rPr>
        <w:sym w:font="Islamic Units 1" w:char="F03C"/>
      </w:r>
      <w:r w:rsidRPr="00DD5ED6">
        <w:rPr>
          <w:rFonts w:hint="cs"/>
          <w:rtl/>
        </w:rPr>
        <w:t xml:space="preserve"> (النساء: 20).</w:t>
      </w:r>
    </w:p>
    <w:p w:rsidR="00A67CCA" w:rsidRPr="00DD5ED6" w:rsidRDefault="00A67CCA" w:rsidP="00E52F7A">
      <w:pPr>
        <w:pStyle w:val="ac"/>
        <w:spacing w:line="211" w:lineRule="auto"/>
        <w:rPr>
          <w:rtl/>
        </w:rPr>
      </w:pPr>
      <w:r w:rsidRPr="00DD5ED6">
        <w:rPr>
          <w:rFonts w:hint="cs"/>
          <w:rtl/>
        </w:rPr>
        <w:t>ولا توجد كلمة (ميثاق) في القرآن الكريم، وحيث يأمر الله عباده بتوحيده وعبادته، والعمل بأحكامه، من أجل ذلك ألحق الله سبحانه وتعالى عقد الزواج بالعبادات، لا بالمعاملات كسائر العقود، مثل البيع، الرهن، الهبة، والدين، وغيرها من العقود المسمّاة وغير المسماة في الشريعة الإسلامية.</w:t>
      </w:r>
    </w:p>
    <w:p w:rsidR="00A67CCA" w:rsidRPr="00DD5ED6" w:rsidRDefault="00A67CCA" w:rsidP="00E52F7A">
      <w:pPr>
        <w:pStyle w:val="ac"/>
        <w:spacing w:line="211" w:lineRule="auto"/>
        <w:rPr>
          <w:rtl/>
        </w:rPr>
      </w:pPr>
      <w:r w:rsidRPr="00DD5ED6">
        <w:rPr>
          <w:rFonts w:hint="cs"/>
          <w:rtl/>
        </w:rPr>
        <w:t>وقد وصف القرآن الكريم العلاقة بين الزوجين، أدقّ وصف فقال:</w:t>
      </w:r>
      <w:r w:rsidRPr="00935CC0">
        <w:rPr>
          <w:rFonts w:ascii="Mosawi" w:hAnsi="Mosawi" w:hint="cs"/>
          <w:rtl/>
        </w:rPr>
        <w:t xml:space="preserve"> </w:t>
      </w:r>
      <w:r w:rsidRPr="00935CC0">
        <w:rPr>
          <w:rFonts w:ascii="Mosawi" w:hAnsi="Mosawi" w:hint="cs"/>
        </w:rPr>
        <w:sym w:font="Islamic Units 1" w:char="F03E"/>
      </w:r>
      <w:r w:rsidRPr="00A67CCA">
        <w:rPr>
          <w:b/>
          <w:bCs/>
          <w:rtl/>
        </w:rPr>
        <w:t>هُنَّ لِبَاسٌ لَّكُمْ وَأَنتُمْ لِبَاسٌ لَّهُنَّ</w:t>
      </w:r>
      <w:r w:rsidRPr="00935CC0">
        <w:rPr>
          <w:rFonts w:ascii="Mosawi" w:hAnsi="Mosawi" w:hint="cs"/>
        </w:rPr>
        <w:sym w:font="Islamic Units 1" w:char="F03C"/>
      </w:r>
      <w:r w:rsidRPr="00DD5ED6">
        <w:rPr>
          <w:rFonts w:hint="cs"/>
          <w:rtl/>
        </w:rPr>
        <w:t xml:space="preserve"> (البقرة: 17).</w:t>
      </w:r>
      <w:r>
        <w:rPr>
          <w:rFonts w:hint="cs"/>
          <w:rtl/>
        </w:rPr>
        <w:t xml:space="preserve"> </w:t>
      </w:r>
      <w:r w:rsidRPr="00DD5ED6">
        <w:rPr>
          <w:rFonts w:hint="cs"/>
          <w:rtl/>
        </w:rPr>
        <w:t xml:space="preserve">ثم ذكر الله أنّ ثمرة هذا الرباط المقدّس المحاط </w:t>
      </w:r>
      <w:r w:rsidRPr="00DD5ED6">
        <w:rPr>
          <w:rFonts w:hint="cs"/>
          <w:rtl/>
        </w:rPr>
        <w:lastRenderedPageBreak/>
        <w:t>بكلّ هذه الأركان والشروط، هي البنين والأحفاد</w:t>
      </w:r>
      <w:r w:rsidRPr="00815C4C">
        <w:rPr>
          <w:rFonts w:cs="Taher"/>
          <w:vertAlign w:val="superscript"/>
          <w:rtl/>
        </w:rPr>
        <w:t>(</w:t>
      </w:r>
      <w:r w:rsidRPr="00815C4C">
        <w:rPr>
          <w:rFonts w:cs="Taher"/>
          <w:vertAlign w:val="superscript"/>
          <w:rtl/>
        </w:rPr>
        <w:footnoteReference w:id="641"/>
      </w:r>
      <w:r w:rsidRPr="00815C4C">
        <w:rPr>
          <w:rFonts w:cs="Taher"/>
          <w:vertAlign w:val="superscript"/>
          <w:rtl/>
        </w:rPr>
        <w:t>)</w:t>
      </w:r>
      <w:r w:rsidRPr="00DD5ED6">
        <w:rPr>
          <w:rFonts w:hint="cs"/>
          <w:rtl/>
        </w:rPr>
        <w:t xml:space="preserve">؛ ليعمروا الأرض وليعبدوا الله سبحانه وتعالى فقال: </w:t>
      </w:r>
      <w:r w:rsidRPr="00935CC0">
        <w:rPr>
          <w:rFonts w:ascii="Mosawi" w:hAnsi="Mosawi" w:hint="cs"/>
        </w:rPr>
        <w:sym w:font="Islamic Units 1" w:char="F03E"/>
      </w:r>
      <w:r w:rsidRPr="00A67CCA">
        <w:rPr>
          <w:b/>
          <w:bCs/>
          <w:rtl/>
        </w:rPr>
        <w:t>وَالله جَعَلَ لَكُم مِّنْ أَنفُسِكُمْ أَزْوَاجًا وَجَعَلَ لَكُم مِّنْ أَزْوَاجِكُم بَنِينَ وَحَفَدَةً وَرَزَقَكُم مِّنَ الطَّيِّبَاتِ</w:t>
      </w:r>
      <w:r w:rsidRPr="00935CC0">
        <w:rPr>
          <w:rFonts w:ascii="Mosawi" w:hAnsi="Mosawi" w:hint="cs"/>
        </w:rPr>
        <w:sym w:font="Islamic Units 1" w:char="F03C"/>
      </w:r>
      <w:r w:rsidRPr="00DD5ED6">
        <w:rPr>
          <w:rFonts w:hint="cs"/>
          <w:rtl/>
        </w:rPr>
        <w:t xml:space="preserve"> (النحل: 72)؛ ولذلك أخذت العلاقة الزوجية حظاً وافراً من الأحكام، فقد عنى بها القرآن الكريم أيّما عناية، فجاءت آياته مبينةً أحكامها، وداعية إلى المحافظة عليها، والتمسّك بها، كما جاءت السنّة النبوية المطهّرة مفسّرةً وموضحة لكل ما يتعلّق بأحكام العلاقة الزوجية، وهناك العديد من الأحاديث النبوية الشارحة لأركان وشروط عقد الزواج، وحقوق كلّ من الزوجين، وقد رفع القرآن الكريم الزواج إلى درجة الآيات المعجزات؛ فقال تعالى: </w:t>
      </w:r>
      <w:r w:rsidRPr="00935CC0">
        <w:rPr>
          <w:rFonts w:ascii="Mosawi" w:hAnsi="Mosawi" w:hint="cs"/>
        </w:rPr>
        <w:sym w:font="Islamic Units 1" w:char="F03E"/>
      </w:r>
      <w:r w:rsidRPr="00A67CCA">
        <w:rPr>
          <w:b/>
          <w:bCs/>
          <w:rtl/>
        </w:rPr>
        <w:t>مِنْ آيَاتِهِ أَنْ خَلَقَ لَكُم مِّنْ أَنفُسِكُمْ أَزْوَاجًا لِّتَسْكُنُوا إِلَيْهَا وَجَعَلَ بَيْنَكُم مَّوَدَّةً وَرَحْمَةً</w:t>
      </w:r>
      <w:r w:rsidRPr="00935CC0">
        <w:rPr>
          <w:rFonts w:ascii="Mosawi" w:hAnsi="Mosawi" w:hint="cs"/>
        </w:rPr>
        <w:sym w:font="Islamic Units 1" w:char="F03C"/>
      </w:r>
      <w:r w:rsidRPr="00DD5ED6">
        <w:rPr>
          <w:rFonts w:hint="cs"/>
          <w:rtl/>
        </w:rPr>
        <w:t xml:space="preserve"> (الروم: 31).</w:t>
      </w:r>
    </w:p>
    <w:p w:rsidR="00A67CCA" w:rsidRPr="00DD5ED6" w:rsidRDefault="00A67CCA" w:rsidP="00A67CCA">
      <w:pPr>
        <w:pStyle w:val="ac"/>
        <w:rPr>
          <w:rtl/>
        </w:rPr>
      </w:pPr>
      <w:r w:rsidRPr="00DD5ED6">
        <w:rPr>
          <w:rFonts w:hint="cs"/>
          <w:rtl/>
        </w:rPr>
        <w:t>وقد جرى عمل المس</w:t>
      </w:r>
      <w:r>
        <w:rPr>
          <w:rFonts w:hint="cs"/>
          <w:rtl/>
        </w:rPr>
        <w:t>ل</w:t>
      </w:r>
      <w:r w:rsidRPr="00DD5ED6">
        <w:rPr>
          <w:rFonts w:hint="cs"/>
          <w:rtl/>
        </w:rPr>
        <w:t>مين دائماً على إخضاع عقد الزواج وما ينشأ عنه من حقوق، وما يترتب عليه من التزامات، لأحكام الشريعة الإسلامية جملة وتفصيلاً، لذلك كان اهتمام المشرّعين من مختلف الأنظمة القانونية بهذا العقد، وبالقوانين الخاصّة بالأسرة، والتي يطلق عليها: قوانين الأحوال الشخصية؛ لشدّة اتصالها بحياة الإنسان</w:t>
      </w:r>
      <w:r w:rsidRPr="00815C4C">
        <w:rPr>
          <w:rFonts w:cs="Taher"/>
          <w:vertAlign w:val="superscript"/>
          <w:rtl/>
        </w:rPr>
        <w:t>(</w:t>
      </w:r>
      <w:r w:rsidRPr="00815C4C">
        <w:rPr>
          <w:rFonts w:cs="Taher"/>
          <w:vertAlign w:val="superscript"/>
          <w:rtl/>
        </w:rPr>
        <w:footnoteReference w:id="642"/>
      </w:r>
      <w:r w:rsidRPr="00815C4C">
        <w:rPr>
          <w:rFonts w:cs="Taher"/>
          <w:vertAlign w:val="superscript"/>
          <w:rtl/>
        </w:rPr>
        <w:t>)</w:t>
      </w:r>
      <w:r w:rsidRPr="00DD5ED6">
        <w:rPr>
          <w:rFonts w:hint="cs"/>
          <w:rtl/>
        </w:rPr>
        <w:t>.</w:t>
      </w:r>
    </w:p>
    <w:p w:rsidR="00A67CCA" w:rsidRPr="00DD5ED6" w:rsidRDefault="00A67CCA" w:rsidP="00A67CCA">
      <w:pPr>
        <w:pStyle w:val="ac"/>
        <w:rPr>
          <w:rtl/>
        </w:rPr>
      </w:pPr>
      <w:r w:rsidRPr="00DD5ED6">
        <w:rPr>
          <w:rFonts w:hint="cs"/>
          <w:rtl/>
        </w:rPr>
        <w:t>والزواج الصحيح في نظر الإسلام، ليس له إلا وجهٌ واحد، إذ هو علاقة شرعيّة تقوم بين رجل وامرأة، بعد أن تتوافر فيها وتتحقق لها تمام الأركان والشروط التي نصّت عليها الشريعة الإسلامية، من إيجاب وقبول وصدق وعلانية وشهادة عدل، وولاية وكفاءة إلى غير ذلك من الشروط والأركان التي يتعيّن توافرها من أجل قيام هذه الرابطة المقدّسة بصورةٍ شرعية، وتنتج آثارها</w:t>
      </w:r>
      <w:r w:rsidRPr="00815C4C">
        <w:rPr>
          <w:rFonts w:cs="Taher"/>
          <w:vertAlign w:val="superscript"/>
          <w:rtl/>
        </w:rPr>
        <w:t>(</w:t>
      </w:r>
      <w:r w:rsidRPr="00815C4C">
        <w:rPr>
          <w:rFonts w:cs="Taher"/>
          <w:vertAlign w:val="superscript"/>
          <w:rtl/>
        </w:rPr>
        <w:footnoteReference w:id="643"/>
      </w:r>
      <w:r w:rsidRPr="00815C4C">
        <w:rPr>
          <w:rFonts w:cs="Taher"/>
          <w:vertAlign w:val="superscript"/>
          <w:rtl/>
        </w:rPr>
        <w:t>)</w:t>
      </w:r>
      <w:r w:rsidRPr="00DD5ED6">
        <w:rPr>
          <w:rFonts w:hint="cs"/>
          <w:rtl/>
        </w:rPr>
        <w:t>.</w:t>
      </w:r>
    </w:p>
    <w:p w:rsidR="00A67CCA" w:rsidRPr="00F944DB" w:rsidRDefault="00A67CCA" w:rsidP="00A67CCA">
      <w:pPr>
        <w:pStyle w:val="1"/>
        <w:rPr>
          <w:rtl/>
        </w:rPr>
      </w:pPr>
      <w:bookmarkStart w:id="352" w:name="_Toc275128072"/>
      <w:r w:rsidRPr="00F944DB">
        <w:rPr>
          <w:rFonts w:hint="cs"/>
          <w:rtl/>
        </w:rPr>
        <w:lastRenderedPageBreak/>
        <w:t>المبحث الأول</w:t>
      </w:r>
      <w:r>
        <w:rPr>
          <w:rFonts w:hint="cs"/>
          <w:rtl/>
        </w:rPr>
        <w:t xml:space="preserve">: </w:t>
      </w:r>
      <w:r w:rsidRPr="00F944DB">
        <w:rPr>
          <w:rFonts w:hint="cs"/>
          <w:rtl/>
        </w:rPr>
        <w:t>الزواج في الشريعة ال</w:t>
      </w:r>
      <w:r>
        <w:rPr>
          <w:rFonts w:hint="cs"/>
          <w:rtl/>
        </w:rPr>
        <w:t>إسلام</w:t>
      </w:r>
      <w:r w:rsidRPr="00F944DB">
        <w:rPr>
          <w:rFonts w:hint="cs"/>
          <w:rtl/>
        </w:rPr>
        <w:t>ية</w:t>
      </w:r>
      <w:bookmarkEnd w:id="352"/>
    </w:p>
    <w:p w:rsidR="00A67CCA" w:rsidRDefault="00A67CCA" w:rsidP="00E52F7A">
      <w:pPr>
        <w:pStyle w:val="2"/>
        <w:rPr>
          <w:rtl/>
        </w:rPr>
      </w:pPr>
      <w:bookmarkStart w:id="353" w:name="_Toc275128073"/>
      <w:r>
        <w:rPr>
          <w:rFonts w:hint="cs"/>
          <w:rtl/>
        </w:rPr>
        <w:t>أولاً: تعريف الزواج</w:t>
      </w:r>
      <w:r w:rsidRPr="00815C4C">
        <w:rPr>
          <w:rFonts w:ascii="Arno Pro Display" w:hAnsi="Arno Pro Display" w:cs="Taher"/>
          <w:szCs w:val="30"/>
          <w:vertAlign w:val="superscript"/>
          <w:rtl/>
        </w:rPr>
        <w:t>(</w:t>
      </w:r>
      <w:r w:rsidRPr="00815C4C">
        <w:rPr>
          <w:rFonts w:ascii="Arno Pro Display" w:hAnsi="Arno Pro Display" w:cs="Taher"/>
          <w:szCs w:val="30"/>
          <w:vertAlign w:val="superscript"/>
          <w:rtl/>
        </w:rPr>
        <w:footnoteReference w:id="644"/>
      </w:r>
      <w:r w:rsidRPr="00815C4C">
        <w:rPr>
          <w:rFonts w:ascii="Arno Pro Display" w:hAnsi="Arno Pro Display" w:cs="Taher"/>
          <w:szCs w:val="30"/>
          <w:vertAlign w:val="superscript"/>
          <w:rtl/>
        </w:rPr>
        <w:t>)</w:t>
      </w:r>
      <w:bookmarkEnd w:id="353"/>
    </w:p>
    <w:p w:rsidR="00A67CCA" w:rsidRPr="00DD5ED6" w:rsidRDefault="00A67CCA" w:rsidP="00A67CCA">
      <w:pPr>
        <w:pStyle w:val="ac"/>
        <w:rPr>
          <w:rtl/>
        </w:rPr>
      </w:pPr>
      <w:r w:rsidRPr="00DD5ED6">
        <w:rPr>
          <w:rFonts w:hint="cs"/>
          <w:rtl/>
        </w:rPr>
        <w:t>يطلق عليه لفظ (زواج)، كما يطلق عليه أيضاً لفظ (نكاح)، واللفظ الأول ذكر في القرآن الكريم كما ذكر في السنّة، وهو اللفظ الدارج بين الناس. أما لفظ (نكاح) فهو لفظ شائع بين السادة الفقهاء في الشريعة الإسلامية، وقد ورد اللفظان في آيات القرآن الكريم بمعنى واحد.</w:t>
      </w:r>
    </w:p>
    <w:p w:rsidR="00A67CCA" w:rsidRPr="00DD5ED6" w:rsidRDefault="00A67CCA" w:rsidP="00A67CCA">
      <w:pPr>
        <w:pStyle w:val="ac"/>
        <w:rPr>
          <w:rtl/>
        </w:rPr>
      </w:pPr>
      <w:r w:rsidRPr="00DD5ED6">
        <w:rPr>
          <w:rFonts w:hint="cs"/>
          <w:rtl/>
        </w:rPr>
        <w:t xml:space="preserve">والزواج لغةً، بمعنى الاقتران، وقد جاء في القرآن الكريم بهذا المعنى؛ فقال تعالى: </w:t>
      </w:r>
      <w:r w:rsidRPr="00935CC0">
        <w:rPr>
          <w:rFonts w:ascii="Mosawi" w:hAnsi="Mosawi" w:hint="cs"/>
        </w:rPr>
        <w:sym w:font="Islamic Units 1" w:char="F03E"/>
      </w:r>
      <w:r w:rsidRPr="00A67CCA">
        <w:rPr>
          <w:b/>
          <w:bCs/>
          <w:rtl/>
        </w:rPr>
        <w:t>وَزَوَّجْنَاهُم بِحُورٍ عِينٍ</w:t>
      </w:r>
      <w:r w:rsidRPr="00A67CCA">
        <w:rPr>
          <w:rFonts w:hint="cs"/>
          <w:b/>
          <w:bCs/>
        </w:rPr>
        <w:sym w:font="Islamic Units 1" w:char="F03C"/>
      </w:r>
      <w:r w:rsidRPr="00DD5ED6">
        <w:rPr>
          <w:rFonts w:hint="cs"/>
          <w:rtl/>
        </w:rPr>
        <w:t xml:space="preserve"> (الدخان: 45)، أي قرنّاهم بحور عين، والعامّة يطلقون عليه أحياناً: عقد القران، كما يكتب في دعاوى الزواج، أما اللفظ الشائع فهو (الكتاب) رمزاً لتقديسه.</w:t>
      </w:r>
    </w:p>
    <w:p w:rsidR="00A67CCA" w:rsidRDefault="00A67CCA" w:rsidP="00A67CCA">
      <w:pPr>
        <w:pStyle w:val="ac"/>
        <w:rPr>
          <w:rtl/>
        </w:rPr>
      </w:pPr>
      <w:r w:rsidRPr="00DD5ED6">
        <w:rPr>
          <w:rFonts w:hint="cs"/>
          <w:rtl/>
        </w:rPr>
        <w:t>أمّا النكاح لغةً، فمعناه الوطء، وقال بعض: الضم</w:t>
      </w:r>
      <w:r>
        <w:rPr>
          <w:rFonts w:hint="cs"/>
          <w:rtl/>
        </w:rPr>
        <w:t>،</w:t>
      </w:r>
      <w:r w:rsidRPr="00DD5ED6">
        <w:rPr>
          <w:rFonts w:hint="cs"/>
          <w:rtl/>
        </w:rPr>
        <w:t xml:space="preserve"> وقد جاءت كلمة (النكاح) في السنّة الن</w:t>
      </w:r>
      <w:r>
        <w:rPr>
          <w:rFonts w:hint="cs"/>
          <w:rtl/>
        </w:rPr>
        <w:t>ب</w:t>
      </w:r>
      <w:r w:rsidRPr="00DD5ED6">
        <w:rPr>
          <w:rFonts w:hint="cs"/>
          <w:rtl/>
        </w:rPr>
        <w:t xml:space="preserve">وية الشريفة بمعنى الاتصال الجنسي، قال رسول الله </w:t>
      </w:r>
      <w:r w:rsidRPr="00DD5ED6">
        <w:rPr>
          <w:rtl/>
        </w:rPr>
        <w:sym w:font="Islamic Units 1" w:char="0032"/>
      </w:r>
      <w:r w:rsidRPr="00DD5ED6">
        <w:rPr>
          <w:rFonts w:hint="cs"/>
          <w:rtl/>
        </w:rPr>
        <w:t xml:space="preserve">: </w:t>
      </w:r>
      <w:r w:rsidRPr="00617008">
        <w:rPr>
          <w:rtl/>
        </w:rPr>
        <w:t>«</w:t>
      </w:r>
      <w:r w:rsidRPr="00DD5ED6">
        <w:rPr>
          <w:rFonts w:hint="cs"/>
          <w:rtl/>
        </w:rPr>
        <w:t>بل للرجل من امرأته الحائض كل شيء إلا النكاح</w:t>
      </w:r>
      <w:r w:rsidRPr="00617008">
        <w:rPr>
          <w:rtl/>
        </w:rPr>
        <w:t>»</w:t>
      </w:r>
      <w:r w:rsidRPr="00DD5ED6">
        <w:rPr>
          <w:rFonts w:hint="cs"/>
          <w:rtl/>
        </w:rPr>
        <w:t>.</w:t>
      </w:r>
    </w:p>
    <w:p w:rsidR="00A67CCA" w:rsidRPr="00E52F7A" w:rsidRDefault="00A67CCA" w:rsidP="00FC2087">
      <w:pPr>
        <w:pStyle w:val="afffffc"/>
        <w:rPr>
          <w:rtl/>
        </w:rPr>
      </w:pPr>
    </w:p>
    <w:p w:rsidR="00A67CCA" w:rsidRDefault="00A67CCA" w:rsidP="00E52F7A">
      <w:pPr>
        <w:pStyle w:val="2"/>
        <w:rPr>
          <w:rtl/>
        </w:rPr>
      </w:pPr>
      <w:bookmarkStart w:id="354" w:name="_Toc275128074"/>
      <w:r>
        <w:rPr>
          <w:rFonts w:hint="cs"/>
          <w:rtl/>
        </w:rPr>
        <w:t>تعريف عقد الزواج عند الفقهاء</w:t>
      </w:r>
      <w:r w:rsidRPr="00815C4C">
        <w:rPr>
          <w:rFonts w:ascii="Arno Pro Display" w:hAnsi="Arno Pro Display" w:cs="Taher"/>
          <w:szCs w:val="30"/>
          <w:vertAlign w:val="superscript"/>
          <w:rtl/>
        </w:rPr>
        <w:t>(</w:t>
      </w:r>
      <w:r w:rsidRPr="00815C4C">
        <w:rPr>
          <w:rFonts w:ascii="Arno Pro Display" w:hAnsi="Arno Pro Display" w:cs="Taher"/>
          <w:szCs w:val="30"/>
          <w:vertAlign w:val="superscript"/>
          <w:rtl/>
        </w:rPr>
        <w:footnoteReference w:id="645"/>
      </w:r>
      <w:r w:rsidRPr="00815C4C">
        <w:rPr>
          <w:rFonts w:ascii="Arno Pro Display" w:hAnsi="Arno Pro Display" w:cs="Taher"/>
          <w:szCs w:val="30"/>
          <w:vertAlign w:val="superscript"/>
          <w:rtl/>
        </w:rPr>
        <w:t>)</w:t>
      </w:r>
      <w:bookmarkEnd w:id="354"/>
    </w:p>
    <w:p w:rsidR="00A67CCA" w:rsidRPr="00DD5ED6" w:rsidRDefault="00A67CCA" w:rsidP="00A67CCA">
      <w:pPr>
        <w:pStyle w:val="ac"/>
        <w:rPr>
          <w:rtl/>
        </w:rPr>
      </w:pPr>
      <w:r w:rsidRPr="00DD5ED6">
        <w:rPr>
          <w:rFonts w:hint="cs"/>
          <w:rtl/>
        </w:rPr>
        <w:t xml:space="preserve">عرّف الحنفية الزواج بأنه </w:t>
      </w:r>
      <w:r w:rsidRPr="00617008">
        <w:rPr>
          <w:rFonts w:hint="cs"/>
          <w:rtl/>
        </w:rPr>
        <w:t>«</w:t>
      </w:r>
      <w:r w:rsidRPr="00DD5ED6">
        <w:rPr>
          <w:rFonts w:hint="cs"/>
          <w:rtl/>
        </w:rPr>
        <w:t>عقد وضع لتملّك المتعة بالأنثى قصداً</w:t>
      </w:r>
      <w:r w:rsidRPr="00617008">
        <w:rPr>
          <w:rFonts w:hint="cs"/>
          <w:rtl/>
        </w:rPr>
        <w:t>»</w:t>
      </w:r>
      <w:r w:rsidRPr="00DD5ED6">
        <w:rPr>
          <w:rFonts w:hint="cs"/>
          <w:rtl/>
        </w:rPr>
        <w:t xml:space="preserve">، والمقصود بتملك المتعة هو إباحة استمتاع الرجل بالمرأة، وعرّفه بعضهم بأنه: </w:t>
      </w:r>
      <w:r w:rsidRPr="00617008">
        <w:rPr>
          <w:rFonts w:hint="cs"/>
          <w:rtl/>
        </w:rPr>
        <w:t>«</w:t>
      </w:r>
      <w:r w:rsidRPr="00DD5ED6">
        <w:rPr>
          <w:rFonts w:hint="cs"/>
          <w:rtl/>
        </w:rPr>
        <w:t>عقد يتضمن إباحة وطء بلفظ إنكاح أو تزويج</w:t>
      </w:r>
      <w:r w:rsidRPr="00617008">
        <w:rPr>
          <w:rFonts w:hint="cs"/>
          <w:rtl/>
        </w:rPr>
        <w:t>»</w:t>
      </w:r>
      <w:r w:rsidRPr="00DD5ED6">
        <w:rPr>
          <w:rFonts w:hint="cs"/>
          <w:rtl/>
        </w:rPr>
        <w:t xml:space="preserve">، كما عُرف بأنه: </w:t>
      </w:r>
      <w:r w:rsidRPr="00617008">
        <w:rPr>
          <w:rtl/>
        </w:rPr>
        <w:t>«</w:t>
      </w:r>
      <w:r w:rsidRPr="00DD5ED6">
        <w:rPr>
          <w:rFonts w:hint="cs"/>
          <w:rtl/>
        </w:rPr>
        <w:t>عقد حلّ تمتع بأنثى غير محرم بصيغة</w:t>
      </w:r>
      <w:r w:rsidRPr="00617008">
        <w:rPr>
          <w:rFonts w:hint="cs"/>
          <w:rtl/>
        </w:rPr>
        <w:t>»</w:t>
      </w:r>
      <w:r w:rsidRPr="00DD5ED6">
        <w:rPr>
          <w:rFonts w:hint="cs"/>
          <w:rtl/>
        </w:rPr>
        <w:t xml:space="preserve">، وعرف بـ: </w:t>
      </w:r>
      <w:r w:rsidRPr="00617008">
        <w:rPr>
          <w:rFonts w:hint="cs"/>
          <w:rtl/>
        </w:rPr>
        <w:t>«</w:t>
      </w:r>
      <w:r w:rsidRPr="00DD5ED6">
        <w:rPr>
          <w:rFonts w:hint="cs"/>
          <w:rtl/>
        </w:rPr>
        <w:t>عقد يفيد ملك المتعة قصداً</w:t>
      </w:r>
      <w:r w:rsidRPr="00617008">
        <w:rPr>
          <w:rFonts w:hint="cs"/>
          <w:rtl/>
        </w:rPr>
        <w:t>»</w:t>
      </w:r>
      <w:r w:rsidRPr="00815C4C">
        <w:rPr>
          <w:rFonts w:cs="Taher"/>
          <w:vertAlign w:val="superscript"/>
          <w:rtl/>
        </w:rPr>
        <w:t>(</w:t>
      </w:r>
      <w:r w:rsidRPr="00815C4C">
        <w:rPr>
          <w:rFonts w:cs="Taher"/>
          <w:vertAlign w:val="superscript"/>
          <w:rtl/>
        </w:rPr>
        <w:footnoteReference w:id="646"/>
      </w:r>
      <w:r w:rsidRPr="00815C4C">
        <w:rPr>
          <w:rFonts w:cs="Taher"/>
          <w:vertAlign w:val="superscript"/>
          <w:rtl/>
        </w:rPr>
        <w:t>)</w:t>
      </w:r>
      <w:r w:rsidRPr="00DD5ED6">
        <w:rPr>
          <w:rFonts w:hint="cs"/>
          <w:rtl/>
        </w:rPr>
        <w:t>.</w:t>
      </w:r>
    </w:p>
    <w:p w:rsidR="00A67CCA" w:rsidRDefault="00A67CCA" w:rsidP="00FC2087">
      <w:pPr>
        <w:pStyle w:val="2"/>
        <w:rPr>
          <w:rtl/>
        </w:rPr>
      </w:pPr>
      <w:bookmarkStart w:id="355" w:name="_Toc275128075"/>
      <w:r>
        <w:rPr>
          <w:rFonts w:hint="cs"/>
          <w:rtl/>
        </w:rPr>
        <w:lastRenderedPageBreak/>
        <w:t>ثانياً: حكمة الزواج</w:t>
      </w:r>
      <w:r w:rsidRPr="00815C4C">
        <w:rPr>
          <w:rFonts w:ascii="Arno Pro Display" w:hAnsi="Arno Pro Display" w:cs="Taher"/>
          <w:szCs w:val="30"/>
          <w:vertAlign w:val="superscript"/>
          <w:rtl/>
        </w:rPr>
        <w:t>(</w:t>
      </w:r>
      <w:r w:rsidRPr="00815C4C">
        <w:rPr>
          <w:rFonts w:ascii="Arno Pro Display" w:hAnsi="Arno Pro Display" w:cs="Taher"/>
          <w:szCs w:val="30"/>
          <w:vertAlign w:val="superscript"/>
          <w:rtl/>
        </w:rPr>
        <w:footnoteReference w:id="647"/>
      </w:r>
      <w:r w:rsidRPr="00815C4C">
        <w:rPr>
          <w:rFonts w:ascii="Arno Pro Display" w:hAnsi="Arno Pro Display" w:cs="Taher"/>
          <w:szCs w:val="30"/>
          <w:vertAlign w:val="superscript"/>
          <w:rtl/>
        </w:rPr>
        <w:t>)</w:t>
      </w:r>
      <w:bookmarkEnd w:id="355"/>
    </w:p>
    <w:p w:rsidR="00A67CCA" w:rsidRPr="00DD5ED6" w:rsidRDefault="00A67CCA" w:rsidP="00FC2087">
      <w:pPr>
        <w:pStyle w:val="ac"/>
        <w:rPr>
          <w:rtl/>
        </w:rPr>
      </w:pPr>
      <w:r w:rsidRPr="00DD5ED6">
        <w:rPr>
          <w:rFonts w:hint="cs"/>
          <w:rtl/>
        </w:rPr>
        <w:t>لم يشرّع الله سبحانه وتعالى الزواج إلا لحكمة يعلمها، يغيب عن علمنا القاصر بعضها، وندرك بعضها الآخر، ومن حكمه: 1</w:t>
      </w:r>
      <w:r>
        <w:rPr>
          <w:rFonts w:hint="cs"/>
          <w:rtl/>
        </w:rPr>
        <w:t xml:space="preserve">ـ </w:t>
      </w:r>
      <w:r w:rsidRPr="00DD5ED6">
        <w:rPr>
          <w:rFonts w:hint="cs"/>
          <w:rtl/>
        </w:rPr>
        <w:t>بقاء النوع الإنساني على الصورة الكاملة. 2</w:t>
      </w:r>
      <w:r>
        <w:rPr>
          <w:rFonts w:hint="cs"/>
          <w:rtl/>
        </w:rPr>
        <w:t xml:space="preserve">ـ </w:t>
      </w:r>
      <w:r w:rsidRPr="00DD5ED6">
        <w:rPr>
          <w:rFonts w:hint="cs"/>
          <w:rtl/>
        </w:rPr>
        <w:t>التحصين للزوجين من الوقوع في الرذيلة (الزنا). 3</w:t>
      </w:r>
      <w:r>
        <w:rPr>
          <w:rFonts w:hint="cs"/>
          <w:rtl/>
        </w:rPr>
        <w:t xml:space="preserve">ـ </w:t>
      </w:r>
      <w:r w:rsidRPr="00DD5ED6">
        <w:rPr>
          <w:rFonts w:hint="cs"/>
          <w:rtl/>
        </w:rPr>
        <w:t>الترويح عن النفس، وتحصيل المؤانسة بمجالسة المرأة (الزوجة) والنظر إليها، وملاعبتها، ومداعبتها، وهذا يؤدي إلى راحة القلب، وتقويته على العبادة؛ فالمرأة خلقت من الرجل فجُعل همّها فيه. 4</w:t>
      </w:r>
      <w:r>
        <w:rPr>
          <w:rFonts w:hint="cs"/>
          <w:rtl/>
        </w:rPr>
        <w:t xml:space="preserve">ـ </w:t>
      </w:r>
      <w:r w:rsidRPr="00DD5ED6">
        <w:rPr>
          <w:rFonts w:hint="cs"/>
          <w:rtl/>
        </w:rPr>
        <w:t>فراغ عقل وقلب الرجل من تدبير شؤون المنزل، والتكفل بأشكال الطبخ والكنس، والفرش، وتن</w:t>
      </w:r>
      <w:r>
        <w:rPr>
          <w:rFonts w:hint="cs"/>
          <w:rtl/>
        </w:rPr>
        <w:t>ظ</w:t>
      </w:r>
      <w:r w:rsidRPr="00DD5ED6">
        <w:rPr>
          <w:rFonts w:hint="cs"/>
          <w:rtl/>
        </w:rPr>
        <w:t>يف الأواني، والملابس، وتهيئة أسباب المعيشة حتى يتفرّغ لعمارة الأرض، فإذا كان الرجال يبنون المصانع، فإن المرأة هي التي تبني الرجال. 5</w:t>
      </w:r>
      <w:r>
        <w:rPr>
          <w:rFonts w:hint="cs"/>
          <w:rtl/>
        </w:rPr>
        <w:t xml:space="preserve">ـ </w:t>
      </w:r>
      <w:r w:rsidRPr="00DD5ED6">
        <w:rPr>
          <w:rFonts w:hint="cs"/>
          <w:rtl/>
        </w:rPr>
        <w:t>مجاهدة النفس وترويضها على أن تراعي وتتولّى مصالح غيرها، وأن تقوم بحقوق الزوجة والأولاد، وأن تُحسن تربيتهم، ومس</w:t>
      </w:r>
      <w:r>
        <w:rPr>
          <w:rFonts w:hint="cs"/>
          <w:rtl/>
        </w:rPr>
        <w:t>و</w:t>
      </w:r>
      <w:r w:rsidRPr="00DD5ED6">
        <w:rPr>
          <w:rFonts w:hint="cs"/>
          <w:rtl/>
        </w:rPr>
        <w:t>ؤلية الرجل عن البقية مسؤولية عظيمة الشأن، فقد قال رسول الله</w:t>
      </w:r>
      <w:r w:rsidR="00FC2087">
        <w:rPr>
          <w:rFonts w:hint="cs"/>
          <w:rtl/>
        </w:rPr>
        <w:t>’</w:t>
      </w:r>
      <w:r w:rsidRPr="00DD5ED6">
        <w:rPr>
          <w:rFonts w:hint="cs"/>
          <w:rtl/>
        </w:rPr>
        <w:t xml:space="preserve">: </w:t>
      </w:r>
      <w:r w:rsidRPr="00617008">
        <w:rPr>
          <w:rFonts w:hint="cs"/>
          <w:rtl/>
        </w:rPr>
        <w:t>«</w:t>
      </w:r>
      <w:r w:rsidRPr="00DD5ED6">
        <w:rPr>
          <w:rFonts w:hint="cs"/>
          <w:rtl/>
        </w:rPr>
        <w:t>إن هناك ذنوباً لا يكفرها صلاة وصوم إنما يكفرها السعي على العمل</w:t>
      </w:r>
      <w:r w:rsidRPr="00617008">
        <w:rPr>
          <w:rFonts w:hint="cs"/>
          <w:rtl/>
        </w:rPr>
        <w:t>»</w:t>
      </w:r>
      <w:r w:rsidRPr="00DD5ED6">
        <w:rPr>
          <w:rFonts w:hint="cs"/>
          <w:rtl/>
        </w:rPr>
        <w:t>.</w:t>
      </w:r>
    </w:p>
    <w:p w:rsidR="00A67CCA" w:rsidRPr="00FC2087" w:rsidRDefault="00A67CCA" w:rsidP="00FC2087">
      <w:pPr>
        <w:pStyle w:val="afffffc"/>
        <w:rPr>
          <w:sz w:val="22"/>
          <w:szCs w:val="20"/>
          <w:rtl/>
        </w:rPr>
      </w:pPr>
    </w:p>
    <w:p w:rsidR="00A67CCA" w:rsidRDefault="00A67CCA" w:rsidP="00FC2087">
      <w:pPr>
        <w:pStyle w:val="2"/>
        <w:rPr>
          <w:rtl/>
        </w:rPr>
      </w:pPr>
      <w:bookmarkStart w:id="356" w:name="_Toc275128076"/>
      <w:r>
        <w:rPr>
          <w:rFonts w:hint="cs"/>
          <w:rtl/>
        </w:rPr>
        <w:t>ثالثاً: الترغيب في الزواج</w:t>
      </w:r>
      <w:r w:rsidRPr="00815C4C">
        <w:rPr>
          <w:rFonts w:ascii="Arno Pro Display" w:hAnsi="Arno Pro Display" w:cs="Taher"/>
          <w:szCs w:val="30"/>
          <w:vertAlign w:val="superscript"/>
          <w:rtl/>
        </w:rPr>
        <w:t>(</w:t>
      </w:r>
      <w:r w:rsidRPr="00815C4C">
        <w:rPr>
          <w:rFonts w:ascii="Arno Pro Display" w:hAnsi="Arno Pro Display" w:cs="Taher"/>
          <w:szCs w:val="30"/>
          <w:vertAlign w:val="superscript"/>
          <w:rtl/>
        </w:rPr>
        <w:footnoteReference w:id="648"/>
      </w:r>
      <w:r w:rsidRPr="00815C4C">
        <w:rPr>
          <w:rFonts w:ascii="Arno Pro Display" w:hAnsi="Arno Pro Display" w:cs="Taher"/>
          <w:szCs w:val="30"/>
          <w:vertAlign w:val="superscript"/>
          <w:rtl/>
        </w:rPr>
        <w:t>)</w:t>
      </w:r>
      <w:bookmarkEnd w:id="356"/>
    </w:p>
    <w:p w:rsidR="00A67CCA" w:rsidRPr="00DD5ED6" w:rsidRDefault="00A67CCA" w:rsidP="00A67CCA">
      <w:pPr>
        <w:pStyle w:val="ac"/>
        <w:rPr>
          <w:rtl/>
        </w:rPr>
      </w:pPr>
      <w:r w:rsidRPr="00DD5ED6">
        <w:rPr>
          <w:rFonts w:hint="cs"/>
          <w:rtl/>
        </w:rPr>
        <w:t xml:space="preserve">لقد رغبنا الله سبحانه وتعالى؛ فقال في الحث عليه في صيغة الأمر: </w:t>
      </w:r>
      <w:r w:rsidRPr="00935CC0">
        <w:rPr>
          <w:rFonts w:ascii="Mosawi" w:hAnsi="Mosawi" w:hint="cs"/>
        </w:rPr>
        <w:sym w:font="Islamic Units 1" w:char="F03E"/>
      </w:r>
      <w:r w:rsidRPr="00A67CCA">
        <w:rPr>
          <w:b/>
          <w:bCs/>
          <w:rtl/>
        </w:rPr>
        <w:t>وَأَنكِحُوا الْأَيَامَى مِنكُمْ وَالصَّالِحِينَ مِنْ عِبَادِكُمْ وَإِمَائِكُمْ</w:t>
      </w:r>
      <w:r w:rsidRPr="00935CC0">
        <w:rPr>
          <w:rFonts w:ascii="Mosawi" w:hAnsi="Mosawi" w:hint="cs"/>
        </w:rPr>
        <w:sym w:font="Islamic Units 1" w:char="F03C"/>
      </w:r>
      <w:r w:rsidRPr="00DD5ED6">
        <w:rPr>
          <w:rFonts w:hint="cs"/>
          <w:rtl/>
        </w:rPr>
        <w:t xml:space="preserve"> (النور: 32)، وقال: </w:t>
      </w:r>
      <w:r w:rsidRPr="00935CC0">
        <w:rPr>
          <w:rFonts w:ascii="Mosawi" w:hAnsi="Mosawi" w:hint="cs"/>
        </w:rPr>
        <w:sym w:font="Islamic Units 1" w:char="F03E"/>
      </w:r>
      <w:r w:rsidRPr="00A67CCA">
        <w:rPr>
          <w:b/>
          <w:bCs/>
          <w:rtl/>
        </w:rPr>
        <w:t>فَلاَ تَعْضُلُوهُنَّ أَن يَنكِحْنَ أَزْوَاجَهُنَّ</w:t>
      </w:r>
      <w:r w:rsidRPr="00935CC0">
        <w:rPr>
          <w:rFonts w:ascii="Mosawi" w:hAnsi="Mosawi" w:hint="cs"/>
        </w:rPr>
        <w:sym w:font="Islamic Units 1" w:char="F03C"/>
      </w:r>
      <w:r w:rsidRPr="00DD5ED6">
        <w:rPr>
          <w:rFonts w:hint="cs"/>
          <w:rtl/>
        </w:rPr>
        <w:t xml:space="preserve"> (البقرة: 232)، والعضل بمعنى: المنع؛ فقد نهانا سبحانه وتعالى عن منع النساء من الزواج إن أردنا تحصّنا، أي زواجاً، وقال تعالى في مدح الرسل: </w:t>
      </w:r>
      <w:r w:rsidRPr="00935CC0">
        <w:rPr>
          <w:rFonts w:ascii="Mosawi" w:hAnsi="Mosawi" w:hint="cs"/>
        </w:rPr>
        <w:sym w:font="Islamic Units 1" w:char="F03E"/>
      </w:r>
      <w:r w:rsidRPr="00A67CCA">
        <w:rPr>
          <w:b/>
          <w:bCs/>
          <w:rtl/>
        </w:rPr>
        <w:t>وَلَقَدْ أَرْسَلْنَا رُسُلاً مِّن قَبْلِكَ وَجَعَلْنَا لَهُمْ أَزْوَاجًا وَذُرِّيَّةً</w:t>
      </w:r>
      <w:r w:rsidRPr="00935CC0">
        <w:rPr>
          <w:rFonts w:ascii="Mosawi" w:hAnsi="Mosawi" w:hint="cs"/>
        </w:rPr>
        <w:sym w:font="Islamic Units 1" w:char="F03C"/>
      </w:r>
      <w:r w:rsidRPr="00DD5ED6">
        <w:rPr>
          <w:rFonts w:hint="cs"/>
          <w:rtl/>
        </w:rPr>
        <w:t xml:space="preserve"> (الرعد: 38)، وذلك في </w:t>
      </w:r>
      <w:r w:rsidRPr="00DD5ED6">
        <w:rPr>
          <w:rFonts w:hint="cs"/>
          <w:rtl/>
        </w:rPr>
        <w:lastRenderedPageBreak/>
        <w:t xml:space="preserve">معرض الامتنان عليهم، وقال تعالى عن أوليائه: </w:t>
      </w:r>
      <w:r w:rsidRPr="00935CC0">
        <w:rPr>
          <w:rFonts w:ascii="Mosawi" w:hAnsi="Mosawi" w:hint="cs"/>
        </w:rPr>
        <w:sym w:font="Islamic Units 1" w:char="F03E"/>
      </w:r>
      <w:r w:rsidRPr="00A67CCA">
        <w:rPr>
          <w:b/>
          <w:bCs/>
          <w:rtl/>
        </w:rPr>
        <w:t>وَالَّذِينَ يَقُولُونَ رَبَّنَا هَبْ لَنَا مِنْ أَزْوَاجِنَا وَذُرِّيَّاتِنَا قُرَّةَ أَعْيُنٍ</w:t>
      </w:r>
      <w:r w:rsidRPr="00A67CCA">
        <w:rPr>
          <w:rFonts w:hint="cs"/>
          <w:b/>
          <w:bCs/>
        </w:rPr>
        <w:sym w:font="Islamic Units 1" w:char="F03C"/>
      </w:r>
      <w:r w:rsidRPr="00A67CCA">
        <w:rPr>
          <w:rFonts w:hint="cs"/>
          <w:b/>
          <w:bCs/>
          <w:rtl/>
        </w:rPr>
        <w:t xml:space="preserve"> </w:t>
      </w:r>
      <w:r w:rsidRPr="00DD5ED6">
        <w:rPr>
          <w:rFonts w:hint="cs"/>
          <w:rtl/>
        </w:rPr>
        <w:t>(الفرقان: 74).</w:t>
      </w:r>
    </w:p>
    <w:p w:rsidR="00A67CCA" w:rsidRPr="00DD5ED6" w:rsidRDefault="00A67CCA" w:rsidP="00FC2087">
      <w:pPr>
        <w:pStyle w:val="ac"/>
        <w:spacing w:line="197" w:lineRule="auto"/>
        <w:rPr>
          <w:rtl/>
        </w:rPr>
      </w:pPr>
      <w:r w:rsidRPr="00DD5ED6">
        <w:rPr>
          <w:rFonts w:hint="cs"/>
          <w:rtl/>
        </w:rPr>
        <w:t>أمّا السنّة النبوية الشريفة، فقد وردت أحاديث كثيرة عن رسول الله</w:t>
      </w:r>
      <w:r w:rsidR="00C86626">
        <w:rPr>
          <w:rFonts w:hint="cs"/>
          <w:rtl/>
        </w:rPr>
        <w:t>’</w:t>
      </w:r>
      <w:r w:rsidRPr="00DD5ED6">
        <w:rPr>
          <w:rFonts w:hint="cs"/>
          <w:rtl/>
        </w:rPr>
        <w:t xml:space="preserve"> يرغّبنا ويحضّنا فيها بل يأمرنا بالزواج، ومن هذه الأحاديث قوله</w:t>
      </w:r>
      <w:r w:rsidR="00C86626">
        <w:rPr>
          <w:rFonts w:hint="cs"/>
          <w:rtl/>
        </w:rPr>
        <w:t>’</w:t>
      </w:r>
      <w:r w:rsidRPr="00DD5ED6">
        <w:rPr>
          <w:rFonts w:hint="cs"/>
          <w:rtl/>
        </w:rPr>
        <w:t xml:space="preserve">: </w:t>
      </w:r>
      <w:r w:rsidRPr="00617008">
        <w:rPr>
          <w:rtl/>
        </w:rPr>
        <w:t>«</w:t>
      </w:r>
      <w:r w:rsidRPr="00DD5ED6">
        <w:rPr>
          <w:rFonts w:hint="cs"/>
          <w:rtl/>
        </w:rPr>
        <w:t>النكاح من سنّتي فمن رغب عن سنّتي فقد رغب عني</w:t>
      </w:r>
      <w:r w:rsidRPr="00617008">
        <w:rPr>
          <w:rtl/>
        </w:rPr>
        <w:t>»</w:t>
      </w:r>
      <w:r w:rsidRPr="00DD5ED6">
        <w:rPr>
          <w:rFonts w:hint="cs"/>
          <w:sz w:val="29"/>
          <w:rtl/>
        </w:rPr>
        <w:t>،</w:t>
      </w:r>
      <w:r w:rsidRPr="00DD5ED6">
        <w:rPr>
          <w:rFonts w:hint="cs"/>
          <w:rtl/>
        </w:rPr>
        <w:t xml:space="preserve"> أخرجه أبو يعلى في سنده من حديث ابن عباس بسندٍ حسن، وقال: </w:t>
      </w:r>
      <w:r w:rsidRPr="00617008">
        <w:rPr>
          <w:rtl/>
        </w:rPr>
        <w:t>«</w:t>
      </w:r>
      <w:r w:rsidRPr="00DD5ED6">
        <w:rPr>
          <w:rFonts w:hint="cs"/>
          <w:rtl/>
        </w:rPr>
        <w:t>النكاح سنّتي، فمن أحبّ فطرتي فليستنّ بسنتي</w:t>
      </w:r>
      <w:r w:rsidRPr="00617008">
        <w:rPr>
          <w:rtl/>
        </w:rPr>
        <w:t>»</w:t>
      </w:r>
      <w:r w:rsidRPr="00DD5ED6">
        <w:rPr>
          <w:rFonts w:hint="cs"/>
          <w:sz w:val="29"/>
          <w:rtl/>
        </w:rPr>
        <w:t>،</w:t>
      </w:r>
      <w:r w:rsidRPr="00DD5ED6">
        <w:rPr>
          <w:rFonts w:hint="cs"/>
          <w:rtl/>
        </w:rPr>
        <w:t xml:space="preserve"> أخرجه أبو بكر بن مردويه في تفسيره من حديث ابن عمر، وقال أيضاً: </w:t>
      </w:r>
      <w:r w:rsidRPr="00617008">
        <w:rPr>
          <w:rtl/>
        </w:rPr>
        <w:t>«</w:t>
      </w:r>
      <w:r w:rsidRPr="00DD5ED6">
        <w:rPr>
          <w:rFonts w:hint="cs"/>
          <w:rtl/>
        </w:rPr>
        <w:t>تنكاحوا تكاثروا فإني أباهي بكم الأمم يوم القيامة وحتى بالسقط</w:t>
      </w:r>
      <w:r w:rsidRPr="00617008">
        <w:rPr>
          <w:rtl/>
        </w:rPr>
        <w:t>»</w:t>
      </w:r>
      <w:r w:rsidRPr="00DD5ED6">
        <w:rPr>
          <w:rFonts w:hint="cs"/>
          <w:sz w:val="29"/>
          <w:rtl/>
        </w:rPr>
        <w:t>،</w:t>
      </w:r>
      <w:r w:rsidRPr="00DD5ED6">
        <w:rPr>
          <w:rFonts w:hint="cs"/>
          <w:rtl/>
        </w:rPr>
        <w:t xml:space="preserve"> رواه أبو منصور الديلمي في مسند الفردوس من ح</w:t>
      </w:r>
      <w:r>
        <w:rPr>
          <w:rFonts w:hint="cs"/>
          <w:rtl/>
        </w:rPr>
        <w:t>د</w:t>
      </w:r>
      <w:r w:rsidRPr="00DD5ED6">
        <w:rPr>
          <w:rFonts w:hint="cs"/>
          <w:rtl/>
        </w:rPr>
        <w:t xml:space="preserve">يث أبي سعيد بسندٍ ضعيف، وقال أيضاً: </w:t>
      </w:r>
      <w:r w:rsidRPr="00617008">
        <w:rPr>
          <w:rtl/>
        </w:rPr>
        <w:t>«</w:t>
      </w:r>
      <w:r w:rsidRPr="00DD5ED6">
        <w:rPr>
          <w:rFonts w:hint="cs"/>
          <w:rtl/>
        </w:rPr>
        <w:t>من ترك التزويج مخافة العيلة فليس منّا</w:t>
      </w:r>
      <w:r w:rsidRPr="00617008">
        <w:rPr>
          <w:rtl/>
        </w:rPr>
        <w:t>»</w:t>
      </w:r>
      <w:r w:rsidRPr="00DD5ED6">
        <w:rPr>
          <w:rFonts w:hint="cs"/>
          <w:sz w:val="29"/>
          <w:rtl/>
        </w:rPr>
        <w:t>،</w:t>
      </w:r>
      <w:r>
        <w:rPr>
          <w:rFonts w:hint="cs"/>
          <w:rtl/>
        </w:rPr>
        <w:t xml:space="preserve"> أخرجه ابن ماجة</w:t>
      </w:r>
      <w:r w:rsidRPr="00DD5ED6">
        <w:rPr>
          <w:rFonts w:hint="cs"/>
          <w:rtl/>
        </w:rPr>
        <w:t xml:space="preserve"> من حديث السيدة عائشة، وفيه ذمّ لعلة الامتناع عن الزواج لا لأصل الترك، وقال: </w:t>
      </w:r>
      <w:r w:rsidRPr="00617008">
        <w:rPr>
          <w:rtl/>
        </w:rPr>
        <w:t>«</w:t>
      </w:r>
      <w:r w:rsidRPr="00DD5ED6">
        <w:rPr>
          <w:rFonts w:hint="cs"/>
          <w:rtl/>
        </w:rPr>
        <w:t>من كان ذا طول فليتزوّج</w:t>
      </w:r>
      <w:r w:rsidRPr="00617008">
        <w:rPr>
          <w:rtl/>
        </w:rPr>
        <w:t>»</w:t>
      </w:r>
      <w:r w:rsidRPr="00DD5ED6">
        <w:rPr>
          <w:rFonts w:hint="cs"/>
          <w:rtl/>
        </w:rPr>
        <w:t xml:space="preserve">، وقال: </w:t>
      </w:r>
      <w:r w:rsidRPr="00617008">
        <w:rPr>
          <w:rtl/>
        </w:rPr>
        <w:t>«</w:t>
      </w:r>
      <w:r w:rsidRPr="00DD5ED6">
        <w:rPr>
          <w:rFonts w:hint="cs"/>
          <w:rtl/>
        </w:rPr>
        <w:t>يا معشر الشباب من استطاع منكم الباءة فليتزوّج</w:t>
      </w:r>
      <w:r>
        <w:rPr>
          <w:rFonts w:hint="cs"/>
          <w:rtl/>
        </w:rPr>
        <w:t>؛</w:t>
      </w:r>
      <w:r w:rsidRPr="00DD5ED6">
        <w:rPr>
          <w:rFonts w:hint="cs"/>
          <w:rtl/>
        </w:rPr>
        <w:t xml:space="preserve"> فإنه أحصن للفرج وأغضّ للبصر</w:t>
      </w:r>
      <w:r w:rsidRPr="00617008">
        <w:rPr>
          <w:rtl/>
        </w:rPr>
        <w:t>»</w:t>
      </w:r>
      <w:r w:rsidRPr="00DD5ED6">
        <w:rPr>
          <w:rFonts w:hint="cs"/>
          <w:rtl/>
        </w:rPr>
        <w:t>، متفق عليه من حديث ابن مسعود.</w:t>
      </w:r>
    </w:p>
    <w:p w:rsidR="00A67CCA" w:rsidRPr="00FC2087" w:rsidRDefault="00A67CCA" w:rsidP="00FC2087">
      <w:pPr>
        <w:pStyle w:val="afffffc"/>
        <w:rPr>
          <w:sz w:val="14"/>
          <w:szCs w:val="12"/>
          <w:rtl/>
        </w:rPr>
      </w:pPr>
    </w:p>
    <w:p w:rsidR="00A67CCA" w:rsidRDefault="00A67CCA" w:rsidP="00FC2087">
      <w:pPr>
        <w:pStyle w:val="2"/>
        <w:rPr>
          <w:rtl/>
        </w:rPr>
      </w:pPr>
      <w:bookmarkStart w:id="357" w:name="_Toc275128077"/>
      <w:r>
        <w:rPr>
          <w:rFonts w:hint="cs"/>
          <w:rtl/>
        </w:rPr>
        <w:t>رابعاً: فوائد الزواج</w:t>
      </w:r>
      <w:r w:rsidRPr="00815C4C">
        <w:rPr>
          <w:rFonts w:ascii="Arno Pro Display" w:hAnsi="Arno Pro Display" w:cs="Taher"/>
          <w:szCs w:val="30"/>
          <w:vertAlign w:val="superscript"/>
          <w:rtl/>
        </w:rPr>
        <w:t>(</w:t>
      </w:r>
      <w:r w:rsidRPr="00815C4C">
        <w:rPr>
          <w:rFonts w:ascii="Arno Pro Display" w:hAnsi="Arno Pro Display" w:cs="Taher"/>
          <w:szCs w:val="30"/>
          <w:vertAlign w:val="superscript"/>
          <w:rtl/>
        </w:rPr>
        <w:footnoteReference w:id="649"/>
      </w:r>
      <w:r w:rsidRPr="00815C4C">
        <w:rPr>
          <w:rFonts w:ascii="Arno Pro Display" w:hAnsi="Arno Pro Display" w:cs="Taher"/>
          <w:szCs w:val="30"/>
          <w:vertAlign w:val="superscript"/>
          <w:rtl/>
        </w:rPr>
        <w:t>)</w:t>
      </w:r>
      <w:bookmarkEnd w:id="357"/>
    </w:p>
    <w:p w:rsidR="00A67CCA" w:rsidRPr="00DD5ED6" w:rsidRDefault="00A67CCA" w:rsidP="00FC2087">
      <w:pPr>
        <w:pStyle w:val="ac"/>
        <w:spacing w:line="168" w:lineRule="auto"/>
        <w:rPr>
          <w:rtl/>
        </w:rPr>
      </w:pPr>
      <w:r w:rsidRPr="00DD5ED6">
        <w:rPr>
          <w:rFonts w:hint="cs"/>
          <w:rtl/>
        </w:rPr>
        <w:t>من أهمّ فوائد الزواج ما يلي:</w:t>
      </w:r>
    </w:p>
    <w:p w:rsidR="00A67CCA" w:rsidRPr="00DD5ED6" w:rsidRDefault="00A67CCA" w:rsidP="00FC2087">
      <w:pPr>
        <w:pStyle w:val="ac"/>
        <w:spacing w:line="199" w:lineRule="auto"/>
        <w:rPr>
          <w:rtl/>
        </w:rPr>
      </w:pPr>
      <w:r w:rsidRPr="00DD5ED6">
        <w:rPr>
          <w:rFonts w:hint="cs"/>
          <w:b/>
          <w:bCs/>
          <w:rtl/>
        </w:rPr>
        <w:t>الفائدة الأولى</w:t>
      </w:r>
      <w:r w:rsidRPr="00815C4C">
        <w:rPr>
          <w:rFonts w:cs="Taher"/>
          <w:vertAlign w:val="superscript"/>
          <w:rtl/>
        </w:rPr>
        <w:t>(</w:t>
      </w:r>
      <w:r w:rsidRPr="00815C4C">
        <w:rPr>
          <w:rFonts w:cs="Taher"/>
          <w:vertAlign w:val="superscript"/>
          <w:rtl/>
        </w:rPr>
        <w:footnoteReference w:id="650"/>
      </w:r>
      <w:r w:rsidRPr="00815C4C">
        <w:rPr>
          <w:rFonts w:cs="Taher"/>
          <w:vertAlign w:val="superscript"/>
          <w:rtl/>
        </w:rPr>
        <w:t>)</w:t>
      </w:r>
      <w:r w:rsidRPr="00DD5ED6">
        <w:rPr>
          <w:rFonts w:hint="cs"/>
          <w:b/>
          <w:bCs/>
          <w:rtl/>
        </w:rPr>
        <w:t>:</w:t>
      </w:r>
      <w:r w:rsidRPr="00DD5ED6">
        <w:rPr>
          <w:rFonts w:hint="cs"/>
          <w:rtl/>
        </w:rPr>
        <w:t xml:space="preserve"> الولد، وهو الأصل وله وضع النكاح، وما يترتب عليه من موافقة محبة الله بالسعي في تحصيل الولد لإبقاء جنس الإنسان وطلب محبّة رسول الله</w:t>
      </w:r>
      <w:r w:rsidR="00C86626">
        <w:rPr>
          <w:rFonts w:hint="cs"/>
          <w:rtl/>
        </w:rPr>
        <w:t>’</w:t>
      </w:r>
      <w:r w:rsidRPr="00DD5ED6">
        <w:rPr>
          <w:rFonts w:hint="cs"/>
          <w:rtl/>
        </w:rPr>
        <w:t xml:space="preserve"> من تكثير مباهاته، وكذلك طلب التبرّك بدعاء الولد الصالح بعد الوفاة والشفاعة بموت الولد الصغير إذا مات قبله، كما قال رسول الله</w:t>
      </w:r>
      <w:r w:rsidR="00C86626">
        <w:rPr>
          <w:rFonts w:hint="cs"/>
          <w:rtl/>
        </w:rPr>
        <w:t>’</w:t>
      </w:r>
      <w:r w:rsidRPr="00DD5ED6">
        <w:rPr>
          <w:rFonts w:hint="cs"/>
          <w:rtl/>
        </w:rPr>
        <w:t xml:space="preserve">: </w:t>
      </w:r>
      <w:r w:rsidRPr="00617008">
        <w:rPr>
          <w:rtl/>
        </w:rPr>
        <w:t>«</w:t>
      </w:r>
      <w:r w:rsidRPr="00DD5ED6">
        <w:rPr>
          <w:rFonts w:hint="cs"/>
          <w:rtl/>
        </w:rPr>
        <w:t>إن الطفل يجرّ بأبوبيه إلى الجنة</w:t>
      </w:r>
      <w:r w:rsidRPr="00617008">
        <w:rPr>
          <w:rtl/>
        </w:rPr>
        <w:t>»</w:t>
      </w:r>
      <w:r w:rsidRPr="00DD5ED6">
        <w:rPr>
          <w:rFonts w:hint="cs"/>
          <w:rtl/>
        </w:rPr>
        <w:t xml:space="preserve">، وقال: </w:t>
      </w:r>
      <w:r w:rsidRPr="00617008">
        <w:rPr>
          <w:rtl/>
        </w:rPr>
        <w:t>«</w:t>
      </w:r>
      <w:r w:rsidRPr="00DD5ED6">
        <w:rPr>
          <w:rFonts w:hint="cs"/>
          <w:rtl/>
        </w:rPr>
        <w:t>إذا مات ابن آدم انقطع عمله إلا من ثلاث: ولد صالح يدعو له</w:t>
      </w:r>
      <w:r w:rsidRPr="00617008">
        <w:rPr>
          <w:rtl/>
        </w:rPr>
        <w:t>»</w:t>
      </w:r>
      <w:r w:rsidRPr="00DD5ED6">
        <w:rPr>
          <w:rFonts w:hint="cs"/>
          <w:rtl/>
        </w:rPr>
        <w:t>.</w:t>
      </w:r>
    </w:p>
    <w:p w:rsidR="00A67CCA" w:rsidRPr="00DD5ED6" w:rsidRDefault="00A67CCA" w:rsidP="00C86626">
      <w:pPr>
        <w:pStyle w:val="ac"/>
        <w:rPr>
          <w:rtl/>
        </w:rPr>
      </w:pPr>
      <w:r w:rsidRPr="00DD5ED6">
        <w:rPr>
          <w:rFonts w:hint="cs"/>
          <w:b/>
          <w:bCs/>
          <w:rtl/>
        </w:rPr>
        <w:t>الفائدة الثانية</w:t>
      </w:r>
      <w:r w:rsidRPr="00815C4C">
        <w:rPr>
          <w:rFonts w:cs="Taher"/>
          <w:vertAlign w:val="superscript"/>
          <w:rtl/>
        </w:rPr>
        <w:t>(</w:t>
      </w:r>
      <w:r w:rsidRPr="00815C4C">
        <w:rPr>
          <w:rFonts w:cs="Taher"/>
          <w:vertAlign w:val="superscript"/>
          <w:rtl/>
        </w:rPr>
        <w:footnoteReference w:id="651"/>
      </w:r>
      <w:r w:rsidRPr="00815C4C">
        <w:rPr>
          <w:rFonts w:cs="Taher"/>
          <w:vertAlign w:val="superscript"/>
          <w:rtl/>
        </w:rPr>
        <w:t>)</w:t>
      </w:r>
      <w:r w:rsidRPr="00DD5ED6">
        <w:rPr>
          <w:rFonts w:hint="cs"/>
          <w:b/>
          <w:bCs/>
          <w:rtl/>
        </w:rPr>
        <w:t>:</w:t>
      </w:r>
      <w:r w:rsidRPr="00DD5ED6">
        <w:rPr>
          <w:rFonts w:hint="cs"/>
          <w:rtl/>
        </w:rPr>
        <w:t xml:space="preserve"> التحصّن من الش</w:t>
      </w:r>
      <w:r>
        <w:rPr>
          <w:rFonts w:hint="cs"/>
          <w:rtl/>
        </w:rPr>
        <w:t>ي</w:t>
      </w:r>
      <w:r w:rsidRPr="00DD5ED6">
        <w:rPr>
          <w:rFonts w:hint="cs"/>
          <w:rtl/>
        </w:rPr>
        <w:t xml:space="preserve">طان، ورفع غوائل الشهوة وغضّ البصر، وحفظ </w:t>
      </w:r>
      <w:r w:rsidRPr="00DD5ED6">
        <w:rPr>
          <w:rFonts w:hint="cs"/>
          <w:rtl/>
        </w:rPr>
        <w:lastRenderedPageBreak/>
        <w:t>الفرج، فقد قال رسول الل</w:t>
      </w:r>
      <w:r>
        <w:rPr>
          <w:rFonts w:hint="cs"/>
          <w:rtl/>
        </w:rPr>
        <w:t>ه</w:t>
      </w:r>
      <w:r w:rsidR="00C86626">
        <w:rPr>
          <w:rFonts w:hint="cs"/>
          <w:rtl/>
        </w:rPr>
        <w:t>’</w:t>
      </w:r>
      <w:r w:rsidRPr="00DD5ED6">
        <w:rPr>
          <w:rFonts w:hint="cs"/>
          <w:rtl/>
        </w:rPr>
        <w:t xml:space="preserve">: </w:t>
      </w:r>
      <w:r w:rsidRPr="00617008">
        <w:rPr>
          <w:rtl/>
        </w:rPr>
        <w:t>«</w:t>
      </w:r>
      <w:r w:rsidRPr="00DD5ED6">
        <w:rPr>
          <w:rFonts w:hint="cs"/>
          <w:rtl/>
        </w:rPr>
        <w:t>من نكح فقد حصن نصف دينه، فليتق الله في الشطر الآخر</w:t>
      </w:r>
      <w:r w:rsidRPr="00617008">
        <w:rPr>
          <w:rtl/>
        </w:rPr>
        <w:t>»</w:t>
      </w:r>
      <w:r w:rsidRPr="00DD5ED6">
        <w:rPr>
          <w:rFonts w:hint="cs"/>
          <w:rtl/>
        </w:rPr>
        <w:t>.</w:t>
      </w:r>
    </w:p>
    <w:p w:rsidR="00A67CCA" w:rsidRPr="00DD5ED6" w:rsidRDefault="00A67CCA" w:rsidP="00A67CCA">
      <w:pPr>
        <w:pStyle w:val="ac"/>
        <w:rPr>
          <w:rtl/>
        </w:rPr>
      </w:pPr>
      <w:r w:rsidRPr="00DD5ED6">
        <w:rPr>
          <w:rFonts w:hint="cs"/>
          <w:b/>
          <w:bCs/>
          <w:rtl/>
        </w:rPr>
        <w:t>الفائدة الثالثة:</w:t>
      </w:r>
      <w:r w:rsidRPr="00DD5ED6">
        <w:rPr>
          <w:rFonts w:hint="cs"/>
          <w:rtl/>
        </w:rPr>
        <w:t xml:space="preserve"> ترويح النفس و</w:t>
      </w:r>
      <w:r>
        <w:rPr>
          <w:rFonts w:hint="cs"/>
          <w:rtl/>
        </w:rPr>
        <w:t>إ</w:t>
      </w:r>
      <w:r w:rsidRPr="00DD5ED6">
        <w:rPr>
          <w:rFonts w:hint="cs"/>
          <w:rtl/>
        </w:rPr>
        <w:t>يناسها بالمجالسة والنظر والمداعبة والملاعبة مع المرأة (الزوجة) وراحة القلب وتقويته على عمل العبادة.</w:t>
      </w:r>
    </w:p>
    <w:p w:rsidR="00A67CCA" w:rsidRPr="00DD5ED6" w:rsidRDefault="00A67CCA" w:rsidP="00A67CCA">
      <w:pPr>
        <w:pStyle w:val="ac"/>
        <w:rPr>
          <w:rtl/>
        </w:rPr>
      </w:pPr>
      <w:r w:rsidRPr="00DD5ED6">
        <w:rPr>
          <w:rFonts w:hint="cs"/>
          <w:b/>
          <w:bCs/>
          <w:rtl/>
        </w:rPr>
        <w:t>الفائدة الرابعة:</w:t>
      </w:r>
      <w:r w:rsidRPr="00DD5ED6">
        <w:rPr>
          <w:rFonts w:hint="cs"/>
          <w:rtl/>
        </w:rPr>
        <w:t xml:space="preserve"> تفريغ القلب من تدبير المنزل والتكفّل بشغل المطبخ، والكنس والفرش.</w:t>
      </w:r>
    </w:p>
    <w:p w:rsidR="00A67CCA" w:rsidRPr="00DD5ED6" w:rsidRDefault="00A67CCA" w:rsidP="00A67CCA">
      <w:pPr>
        <w:pStyle w:val="ac"/>
        <w:rPr>
          <w:rtl/>
        </w:rPr>
      </w:pPr>
      <w:r w:rsidRPr="00DD5ED6">
        <w:rPr>
          <w:rFonts w:hint="cs"/>
          <w:b/>
          <w:bCs/>
          <w:rtl/>
        </w:rPr>
        <w:t>الفائدة</w:t>
      </w:r>
      <w:r>
        <w:rPr>
          <w:rFonts w:hint="cs"/>
          <w:b/>
          <w:bCs/>
          <w:rtl/>
        </w:rPr>
        <w:t xml:space="preserve"> </w:t>
      </w:r>
      <w:r w:rsidRPr="00DD5ED6">
        <w:rPr>
          <w:rFonts w:hint="cs"/>
          <w:b/>
          <w:bCs/>
          <w:rtl/>
        </w:rPr>
        <w:t>الخامسة:</w:t>
      </w:r>
      <w:r w:rsidRPr="00DD5ED6">
        <w:rPr>
          <w:rFonts w:hint="cs"/>
          <w:rtl/>
        </w:rPr>
        <w:t xml:space="preserve"> مجاهدة النفس ورياضها بالرعاية والولاية والقيام بحقوق الأهل والصبر على أخلاقهنّ، واحتمال الأذى منهنّ، والسعي في إصلاحهنّ وإرشادهن إلى طريق الدين والاجتهاد، وكسب الحلال وتربية الأولاد.</w:t>
      </w:r>
    </w:p>
    <w:p w:rsidR="00A67CCA" w:rsidRPr="00FC2087" w:rsidRDefault="00A67CCA" w:rsidP="00FC2087">
      <w:pPr>
        <w:pStyle w:val="afffffc"/>
        <w:rPr>
          <w:sz w:val="18"/>
          <w:szCs w:val="16"/>
          <w:rtl/>
        </w:rPr>
      </w:pPr>
    </w:p>
    <w:p w:rsidR="00A67CCA" w:rsidRDefault="00A67CCA" w:rsidP="00FC2087">
      <w:pPr>
        <w:pStyle w:val="2"/>
        <w:rPr>
          <w:rtl/>
        </w:rPr>
      </w:pPr>
      <w:bookmarkStart w:id="358" w:name="_Toc275128078"/>
      <w:r>
        <w:rPr>
          <w:rFonts w:hint="cs"/>
          <w:rtl/>
        </w:rPr>
        <w:t>خامساً: أركان عقد الزواج</w:t>
      </w:r>
      <w:r w:rsidRPr="00815C4C">
        <w:rPr>
          <w:rFonts w:ascii="Arno Pro Display" w:hAnsi="Arno Pro Display" w:cs="Taher"/>
          <w:szCs w:val="30"/>
          <w:vertAlign w:val="superscript"/>
          <w:rtl/>
        </w:rPr>
        <w:t>(</w:t>
      </w:r>
      <w:r w:rsidRPr="00815C4C">
        <w:rPr>
          <w:rFonts w:ascii="Arno Pro Display" w:hAnsi="Arno Pro Display" w:cs="Taher"/>
          <w:szCs w:val="30"/>
          <w:vertAlign w:val="superscript"/>
          <w:rtl/>
        </w:rPr>
        <w:footnoteReference w:id="652"/>
      </w:r>
      <w:r w:rsidRPr="00815C4C">
        <w:rPr>
          <w:rFonts w:ascii="Arno Pro Display" w:hAnsi="Arno Pro Display" w:cs="Taher"/>
          <w:szCs w:val="30"/>
          <w:vertAlign w:val="superscript"/>
          <w:rtl/>
        </w:rPr>
        <w:t>)</w:t>
      </w:r>
      <w:bookmarkEnd w:id="358"/>
    </w:p>
    <w:p w:rsidR="00A67CCA" w:rsidRPr="00DD5ED6" w:rsidRDefault="00A67CCA" w:rsidP="00A67CCA">
      <w:pPr>
        <w:pStyle w:val="ac"/>
        <w:rPr>
          <w:rtl/>
        </w:rPr>
      </w:pPr>
      <w:r w:rsidRPr="00DD5ED6">
        <w:rPr>
          <w:rFonts w:hint="cs"/>
          <w:rtl/>
        </w:rPr>
        <w:t>اختلف الفقهاء في تحديد أركان عقد الزواج، بل اختلفوا أيضاً في معنى الركن؛ فعرّفه بعضٌ بأنه: (جزء من حقيقة الشيء)، كما عرّفه بعض آخر بـ(الجانب الأقوى للشيء)، ومن التعريفات أيضاً: (ما تتوقّف عليه حقيقة الشيء)، (ما كان جزءاً من ماهية الشيء) و (ما لا توجد الحقيقة الشرعية بدونه).</w:t>
      </w:r>
    </w:p>
    <w:p w:rsidR="00A67CCA" w:rsidRPr="00DD5ED6" w:rsidRDefault="00A67CCA" w:rsidP="00FC2087">
      <w:pPr>
        <w:pStyle w:val="ac"/>
        <w:spacing w:line="199" w:lineRule="auto"/>
        <w:rPr>
          <w:rtl/>
        </w:rPr>
      </w:pPr>
      <w:r w:rsidRPr="00DD5ED6">
        <w:rPr>
          <w:rFonts w:hint="cs"/>
          <w:rtl/>
        </w:rPr>
        <w:t>لم يتفق العلماء على أركان عقد الزواج؛ فالحنفية وبعض الحنابلة يرون أن عقد الزواج له ركنٌ واحد فقط، وهو الصيغة أي الإيجاب والقبول، وبعض الحنابلة يرون ذلك أيضاً، أما الشافعية فيرون أن أركان عقد الزواج خمسة هي: الصيغة، الزوج، الزوجة، الولي، والشاهدان، بينما يرى المالكية أن أركان عقد الزواج ثلاثة هي: الصيغة، المحل (الزوج والزوجة) والولي.</w:t>
      </w:r>
    </w:p>
    <w:p w:rsidR="00A67CCA" w:rsidRPr="00DD5ED6" w:rsidRDefault="00A67CCA" w:rsidP="00FC2087">
      <w:pPr>
        <w:pStyle w:val="ac"/>
        <w:rPr>
          <w:rtl/>
        </w:rPr>
      </w:pPr>
      <w:r w:rsidRPr="00DD5ED6">
        <w:rPr>
          <w:rFonts w:hint="cs"/>
          <w:rtl/>
        </w:rPr>
        <w:t xml:space="preserve">وحتى الفقهاء الذين </w:t>
      </w:r>
      <w:r>
        <w:rPr>
          <w:rFonts w:hint="cs"/>
          <w:rtl/>
        </w:rPr>
        <w:t>ا</w:t>
      </w:r>
      <w:r w:rsidRPr="00DD5ED6">
        <w:rPr>
          <w:rFonts w:hint="cs"/>
          <w:rtl/>
        </w:rPr>
        <w:t>تفقوا على تحديد أركان عقد الزواج، اختلفوا</w:t>
      </w:r>
      <w:r>
        <w:rPr>
          <w:rFonts w:hint="cs"/>
          <w:rtl/>
        </w:rPr>
        <w:t xml:space="preserve"> </w:t>
      </w:r>
      <w:r w:rsidRPr="00DD5ED6">
        <w:rPr>
          <w:rFonts w:hint="cs"/>
          <w:rtl/>
        </w:rPr>
        <w:t xml:space="preserve">في تعيّنها؛ حيث يجعل الشافعية الشاهدين ركناً مع الولي والصيغة والزوج والزوجة، بينما يجعل المالكية </w:t>
      </w:r>
      <w:r w:rsidRPr="00DD5ED6">
        <w:rPr>
          <w:rFonts w:hint="cs"/>
          <w:rtl/>
        </w:rPr>
        <w:lastRenderedPageBreak/>
        <w:t>الصداق ركناً خامساً مع الولي، والصيغة، والزوج والزوجة.</w:t>
      </w:r>
    </w:p>
    <w:p w:rsidR="00A67CCA" w:rsidRPr="00DD5ED6" w:rsidRDefault="00A67CCA" w:rsidP="00FC2087">
      <w:pPr>
        <w:pStyle w:val="ac"/>
        <w:spacing w:line="209" w:lineRule="auto"/>
        <w:rPr>
          <w:rtl/>
        </w:rPr>
      </w:pPr>
      <w:r w:rsidRPr="00DD5ED6">
        <w:rPr>
          <w:rFonts w:hint="cs"/>
          <w:rtl/>
        </w:rPr>
        <w:t>وتعميماً للفائدة المرجوة، نتكلم عن كلّ أركان عقد الزواج، حتى التي اختلف الفقهاء في تحديدها، ويرجع اختلافهم في ذلك إلى أنهم يختلفون في الأمور التي لابدّ منها فيه، ولذلك فقد وجدنا المالكية والشافعية والحنابلة يعدّون الولي مما لابدّ منه في عقد الزواج فضلاً عن كونه مما يتوقف عليه حقيقة الشيء، لذلك فهم يعدّونه ركناً في العقد، وخالفهم في ذلك الحنفية؛ فلا يرون الولي ركناً؛ لأنه يجوز عندهم أن تتولّى المرأة عقد الزواج لنفسها وغيرها.</w:t>
      </w:r>
    </w:p>
    <w:p w:rsidR="00A67CCA" w:rsidRPr="00DD5ED6" w:rsidRDefault="00A67CCA" w:rsidP="00FC2087">
      <w:pPr>
        <w:pStyle w:val="ac"/>
        <w:spacing w:line="209" w:lineRule="auto"/>
        <w:rPr>
          <w:rtl/>
        </w:rPr>
      </w:pPr>
      <w:r w:rsidRPr="00DD5ED6">
        <w:rPr>
          <w:rFonts w:hint="cs"/>
          <w:rtl/>
        </w:rPr>
        <w:t>ومن أسباب اختلافهم في تحديد أركان عقد الزواج أيضاً، أنه قد يكون لبعض الأمور التي ليست جزءاً من حقيقة الشيء أهميّة خاصة بالنسبة لهذا الشيء، حتى تصبح</w:t>
      </w:r>
      <w:r>
        <w:rPr>
          <w:rFonts w:hint="cs"/>
          <w:rtl/>
        </w:rPr>
        <w:t xml:space="preserve"> ـ </w:t>
      </w:r>
      <w:r w:rsidRPr="00DD5ED6">
        <w:rPr>
          <w:rFonts w:hint="cs"/>
          <w:rtl/>
        </w:rPr>
        <w:t>نظراً لأهميتها</w:t>
      </w:r>
      <w:r>
        <w:rPr>
          <w:rFonts w:hint="cs"/>
          <w:rtl/>
        </w:rPr>
        <w:t xml:space="preserve"> ـ </w:t>
      </w:r>
      <w:r w:rsidRPr="00DD5ED6">
        <w:rPr>
          <w:rFonts w:hint="cs"/>
          <w:rtl/>
        </w:rPr>
        <w:t>كالجزء من هذا الشيء؛ فيسمّيها بعض الفقهاء ركناً مجازاً، مع أنها ليست في الحقيقة كذلك؛ لأنها خارجة عن حقيقة الشيء، وذلك مثل الشاهدين، فالحنفية وغيرهم يعدّونهما شرطاً من شروط عقد الزواج، لكنّ الشافعية</w:t>
      </w:r>
      <w:r>
        <w:rPr>
          <w:rFonts w:hint="cs"/>
          <w:rtl/>
        </w:rPr>
        <w:t xml:space="preserve"> ـ </w:t>
      </w:r>
      <w:r w:rsidRPr="00DD5ED6">
        <w:rPr>
          <w:rFonts w:hint="cs"/>
          <w:rtl/>
        </w:rPr>
        <w:t>أو معظمهم</w:t>
      </w:r>
      <w:r>
        <w:rPr>
          <w:rFonts w:hint="cs"/>
          <w:rtl/>
        </w:rPr>
        <w:t xml:space="preserve"> ـ </w:t>
      </w:r>
      <w:r w:rsidRPr="00DD5ED6">
        <w:rPr>
          <w:rFonts w:hint="cs"/>
          <w:rtl/>
        </w:rPr>
        <w:t>يعدونهما ركناً من أركانه؛ لأن للشاهدين أهمية خاصة بالنسبة للعقد.</w:t>
      </w:r>
    </w:p>
    <w:p w:rsidR="00A67CCA" w:rsidRPr="00DD5ED6" w:rsidRDefault="00A67CCA" w:rsidP="00FC2087">
      <w:pPr>
        <w:pStyle w:val="ac"/>
        <w:spacing w:line="209" w:lineRule="auto"/>
        <w:rPr>
          <w:rtl/>
        </w:rPr>
      </w:pPr>
      <w:r w:rsidRPr="00DD5ED6">
        <w:rPr>
          <w:rFonts w:hint="cs"/>
          <w:rtl/>
        </w:rPr>
        <w:t>ونتحدث بعدُ عن أركان عقد الزواج، كل ركن على حدة.</w:t>
      </w:r>
    </w:p>
    <w:p w:rsidR="00A67CCA" w:rsidRPr="00DD5ED6" w:rsidRDefault="00A67CCA" w:rsidP="00FC2087">
      <w:pPr>
        <w:pStyle w:val="ac"/>
        <w:rPr>
          <w:rtl/>
        </w:rPr>
      </w:pPr>
      <w:r w:rsidRPr="00DD5ED6">
        <w:rPr>
          <w:rFonts w:hint="cs"/>
          <w:b/>
          <w:bCs/>
          <w:rtl/>
        </w:rPr>
        <w:t>الركن الأول: الصيغة</w:t>
      </w:r>
      <w:r w:rsidRPr="00815C4C">
        <w:rPr>
          <w:rFonts w:cs="Taher"/>
          <w:vertAlign w:val="superscript"/>
          <w:rtl/>
        </w:rPr>
        <w:t>(</w:t>
      </w:r>
      <w:r w:rsidRPr="00815C4C">
        <w:rPr>
          <w:rFonts w:cs="Taher"/>
          <w:vertAlign w:val="superscript"/>
          <w:rtl/>
        </w:rPr>
        <w:footnoteReference w:id="653"/>
      </w:r>
      <w:r w:rsidRPr="00815C4C">
        <w:rPr>
          <w:rFonts w:cs="Taher"/>
          <w:vertAlign w:val="superscript"/>
          <w:rtl/>
        </w:rPr>
        <w:t>)</w:t>
      </w:r>
      <w:r w:rsidRPr="00DD5ED6">
        <w:rPr>
          <w:rFonts w:hint="cs"/>
          <w:b/>
          <w:bCs/>
          <w:rtl/>
        </w:rPr>
        <w:t>،</w:t>
      </w:r>
      <w:r w:rsidRPr="00DD5ED6">
        <w:rPr>
          <w:rFonts w:hint="cs"/>
          <w:rtl/>
        </w:rPr>
        <w:t xml:space="preserve"> وقد عرّفها الفقهاء بأنها: (لفظ يدلّ على التأبيد مدى الحياة، كأنكحت أو ملكت، وبعت كذلك، ووهبت بتسمية صداق)، وتتمّ بالإيجاب والقبول، وهما اللفظان الصادران من طرفي العقد على الوجه المخصوص، وأكثر الفقهاء يعتبرون ما يصدر عن وليّ الزوجة إيجاباً وما يصدر من الزوج قبولاً، سواء تقدّم هذا أو ذاك، ووجود الإيجاب والقبول في عقد الزواج متفق عليه بين الفقهاء؛ وذلك لأن الزواج عقدٌ كسائر العقود لابدّ فيه من إيجاب وقبول، لكن العبرة في العقود بالمعاني لا بالألفاظ والمباني، والفقهاء متفقون على صحّة الزواج إذا وقع بلفظ النكاح والتزويج وما اشتقّ منهما، والرأي الراجح أنه لم يرد حصرٌ للألفاظ التي يصحّ بها عقد </w:t>
      </w:r>
      <w:r w:rsidRPr="00DD5ED6">
        <w:rPr>
          <w:rFonts w:hint="cs"/>
          <w:rtl/>
        </w:rPr>
        <w:lastRenderedPageBreak/>
        <w:t>الزواج في النصوص الشرعية.</w:t>
      </w:r>
    </w:p>
    <w:p w:rsidR="00A67CCA" w:rsidRPr="00DD5ED6" w:rsidRDefault="00A67CCA" w:rsidP="00FC2087">
      <w:pPr>
        <w:pStyle w:val="ac"/>
        <w:spacing w:line="199" w:lineRule="auto"/>
        <w:rPr>
          <w:rtl/>
        </w:rPr>
      </w:pPr>
      <w:r w:rsidRPr="00DD5ED6">
        <w:rPr>
          <w:rFonts w:hint="cs"/>
          <w:rtl/>
        </w:rPr>
        <w:t>أمّا شروط الصيغة، فهي التأبيد</w:t>
      </w:r>
      <w:r>
        <w:rPr>
          <w:rFonts w:hint="cs"/>
          <w:rtl/>
        </w:rPr>
        <w:t xml:space="preserve"> ـ </w:t>
      </w:r>
      <w:r w:rsidRPr="00DD5ED6">
        <w:rPr>
          <w:rFonts w:hint="cs"/>
          <w:rtl/>
        </w:rPr>
        <w:t>عدم التأقيت</w:t>
      </w:r>
      <w:r>
        <w:rPr>
          <w:rFonts w:hint="cs"/>
          <w:rtl/>
        </w:rPr>
        <w:t xml:space="preserve"> ـ </w:t>
      </w:r>
      <w:r w:rsidRPr="00DD5ED6">
        <w:rPr>
          <w:rFonts w:hint="cs"/>
          <w:rtl/>
        </w:rPr>
        <w:t>كأن يقول الزوج: زوّجني ابنتك ثلاثة أشهر، وإذا كان الزواج مؤقتاً فلا يصحّ عند المذاهب الأربعة؛ لأنّ هذا هو زواج المتعة المتفق عندهم على حرمته، فقد كان هذا الزواج مباحاً في بداية الإسلام، لكنّه نسخ في حديث رسول الله</w:t>
      </w:r>
      <w:r w:rsidR="00C86626">
        <w:rPr>
          <w:rFonts w:hint="cs"/>
          <w:rtl/>
        </w:rPr>
        <w:t>’</w:t>
      </w:r>
      <w:r w:rsidRPr="00DD5ED6">
        <w:rPr>
          <w:rFonts w:hint="cs"/>
          <w:rtl/>
        </w:rPr>
        <w:t xml:space="preserve"> الذي قال فيه: </w:t>
      </w:r>
      <w:r w:rsidRPr="00617008">
        <w:rPr>
          <w:rtl/>
        </w:rPr>
        <w:t>«</w:t>
      </w:r>
      <w:r w:rsidRPr="00DD5ED6">
        <w:rPr>
          <w:rFonts w:hint="cs"/>
          <w:rtl/>
        </w:rPr>
        <w:t>حرّمت عليكم زواج المتعة، وأكل لحم الحمر الأهلية</w:t>
      </w:r>
      <w:r w:rsidRPr="00617008">
        <w:rPr>
          <w:rtl/>
        </w:rPr>
        <w:t>»</w:t>
      </w:r>
      <w:r w:rsidRPr="00DD5ED6">
        <w:rPr>
          <w:rFonts w:hint="cs"/>
          <w:rtl/>
        </w:rPr>
        <w:t>، وخالفت في ذلك الإمامية فأحلّته.</w:t>
      </w:r>
    </w:p>
    <w:p w:rsidR="00A67CCA" w:rsidRPr="00DD5ED6" w:rsidRDefault="00A67CCA" w:rsidP="00FC2087">
      <w:pPr>
        <w:pStyle w:val="ac"/>
        <w:spacing w:line="199" w:lineRule="auto"/>
        <w:rPr>
          <w:rtl/>
        </w:rPr>
      </w:pPr>
      <w:r w:rsidRPr="00DD5ED6">
        <w:rPr>
          <w:rFonts w:hint="cs"/>
          <w:b/>
          <w:bCs/>
          <w:rtl/>
        </w:rPr>
        <w:t>الركن الثاني: المحل (الزوجة، الزوج)</w:t>
      </w:r>
      <w:r w:rsidRPr="00815C4C">
        <w:rPr>
          <w:rFonts w:cs="Taher"/>
          <w:vertAlign w:val="superscript"/>
          <w:rtl/>
        </w:rPr>
        <w:t>(</w:t>
      </w:r>
      <w:r w:rsidRPr="00815C4C">
        <w:rPr>
          <w:rFonts w:cs="Taher"/>
          <w:vertAlign w:val="superscript"/>
          <w:rtl/>
        </w:rPr>
        <w:footnoteReference w:id="654"/>
      </w:r>
      <w:r w:rsidRPr="00815C4C">
        <w:rPr>
          <w:rFonts w:cs="Taher"/>
          <w:vertAlign w:val="superscript"/>
          <w:rtl/>
        </w:rPr>
        <w:t>)</w:t>
      </w:r>
      <w:r w:rsidRPr="00DD5ED6">
        <w:rPr>
          <w:rFonts w:hint="cs"/>
          <w:b/>
          <w:bCs/>
          <w:rtl/>
        </w:rPr>
        <w:t>،</w:t>
      </w:r>
      <w:r w:rsidRPr="00DD5ED6">
        <w:rPr>
          <w:rFonts w:hint="cs"/>
          <w:rtl/>
        </w:rPr>
        <w:t xml:space="preserve"> والمقصود بمحلّ العقد هنا، الزوج والزوجة، فبعض الفقهاء اعتبر الزوج ركناً والزوجة ركناً آخر، وقد اشترط الفقهاء في كلّ منهما</w:t>
      </w:r>
      <w:r>
        <w:rPr>
          <w:rFonts w:hint="cs"/>
          <w:rtl/>
        </w:rPr>
        <w:t xml:space="preserve"> ـ </w:t>
      </w:r>
      <w:r w:rsidRPr="00DD5ED6">
        <w:rPr>
          <w:rFonts w:hint="cs"/>
          <w:rtl/>
        </w:rPr>
        <w:t>الزوج والزوجة</w:t>
      </w:r>
      <w:r>
        <w:rPr>
          <w:rFonts w:hint="cs"/>
          <w:rtl/>
        </w:rPr>
        <w:t xml:space="preserve"> ـ </w:t>
      </w:r>
      <w:r w:rsidRPr="00DD5ED6">
        <w:rPr>
          <w:rFonts w:hint="cs"/>
          <w:rtl/>
        </w:rPr>
        <w:t>شروطاً معينة هي: 1</w:t>
      </w:r>
      <w:r>
        <w:rPr>
          <w:rFonts w:hint="cs"/>
          <w:rtl/>
        </w:rPr>
        <w:t xml:space="preserve"> ـ </w:t>
      </w:r>
      <w:r w:rsidRPr="00DD5ED6">
        <w:rPr>
          <w:rFonts w:hint="cs"/>
          <w:rtl/>
        </w:rPr>
        <w:t>الإسلام. 2</w:t>
      </w:r>
      <w:r>
        <w:rPr>
          <w:rFonts w:hint="cs"/>
          <w:rtl/>
        </w:rPr>
        <w:t xml:space="preserve"> ـ </w:t>
      </w:r>
      <w:r w:rsidRPr="00DD5ED6">
        <w:rPr>
          <w:rFonts w:hint="cs"/>
          <w:rtl/>
        </w:rPr>
        <w:t>البلوغ. 3</w:t>
      </w:r>
      <w:r>
        <w:rPr>
          <w:rFonts w:hint="cs"/>
          <w:rtl/>
        </w:rPr>
        <w:t xml:space="preserve"> ـ </w:t>
      </w:r>
      <w:r w:rsidRPr="00DD5ED6">
        <w:rPr>
          <w:rFonts w:hint="cs"/>
          <w:rtl/>
        </w:rPr>
        <w:t>العقل، فضلاً عن خلوّهما من الموانع الشرعية مثل الرضاعة، كما جاء في حديث رسول الله</w:t>
      </w:r>
      <w:r w:rsidR="00C86626">
        <w:rPr>
          <w:rFonts w:hint="cs"/>
          <w:rtl/>
        </w:rPr>
        <w:t>’</w:t>
      </w:r>
      <w:r w:rsidRPr="00DD5ED6">
        <w:rPr>
          <w:rFonts w:hint="cs"/>
          <w:rtl/>
        </w:rPr>
        <w:t xml:space="preserve">: </w:t>
      </w:r>
      <w:r w:rsidRPr="00617008">
        <w:rPr>
          <w:rtl/>
        </w:rPr>
        <w:t>«</w:t>
      </w:r>
      <w:r w:rsidRPr="00DD5ED6">
        <w:rPr>
          <w:rFonts w:hint="cs"/>
          <w:rtl/>
        </w:rPr>
        <w:t>يحرم من الرضاعة ما يحرم من النسب</w:t>
      </w:r>
      <w:r w:rsidRPr="00617008">
        <w:rPr>
          <w:rtl/>
        </w:rPr>
        <w:t>»</w:t>
      </w:r>
      <w:r w:rsidRPr="00DD5ED6">
        <w:rPr>
          <w:rFonts w:hint="cs"/>
          <w:rtl/>
        </w:rPr>
        <w:t>، أو أن يكونا من ذوي الأرحام المحرّم الزواج منهم مثل</w:t>
      </w:r>
      <w:r>
        <w:rPr>
          <w:rFonts w:hint="cs"/>
          <w:rtl/>
        </w:rPr>
        <w:t>:</w:t>
      </w:r>
      <w:r w:rsidRPr="00DD5ED6">
        <w:rPr>
          <w:rFonts w:hint="cs"/>
          <w:rtl/>
        </w:rPr>
        <w:t xml:space="preserve"> الأخت، </w:t>
      </w:r>
      <w:r>
        <w:rPr>
          <w:rFonts w:hint="cs"/>
          <w:rtl/>
        </w:rPr>
        <w:t>و</w:t>
      </w:r>
      <w:r w:rsidRPr="00DD5ED6">
        <w:rPr>
          <w:rFonts w:hint="cs"/>
          <w:rtl/>
        </w:rPr>
        <w:t xml:space="preserve">الأمّ، </w:t>
      </w:r>
      <w:r>
        <w:rPr>
          <w:rFonts w:hint="cs"/>
          <w:rtl/>
        </w:rPr>
        <w:t>و</w:t>
      </w:r>
      <w:r w:rsidRPr="00DD5ED6">
        <w:rPr>
          <w:rFonts w:hint="cs"/>
          <w:rtl/>
        </w:rPr>
        <w:t>العمة، والخالة، وبنت الأخ، وبنت الأخت، كما جاء في الآية 23 من سورة النساء صريحاً.</w:t>
      </w:r>
    </w:p>
    <w:p w:rsidR="00A67CCA" w:rsidRPr="00DD5ED6" w:rsidRDefault="00A67CCA" w:rsidP="00FC2087">
      <w:pPr>
        <w:pStyle w:val="ac"/>
        <w:spacing w:line="199" w:lineRule="auto"/>
        <w:rPr>
          <w:rtl/>
        </w:rPr>
      </w:pPr>
      <w:r w:rsidRPr="00DD5ED6">
        <w:rPr>
          <w:rFonts w:hint="cs"/>
          <w:b/>
          <w:bCs/>
          <w:rtl/>
        </w:rPr>
        <w:t>الركن الثالث: الولاية</w:t>
      </w:r>
      <w:r w:rsidRPr="00815C4C">
        <w:rPr>
          <w:rFonts w:cs="Taher"/>
          <w:vertAlign w:val="superscript"/>
          <w:rtl/>
        </w:rPr>
        <w:t>(</w:t>
      </w:r>
      <w:r w:rsidRPr="00815C4C">
        <w:rPr>
          <w:rFonts w:cs="Taher"/>
          <w:vertAlign w:val="superscript"/>
          <w:rtl/>
        </w:rPr>
        <w:footnoteReference w:id="655"/>
      </w:r>
      <w:r w:rsidRPr="00815C4C">
        <w:rPr>
          <w:rFonts w:cs="Taher"/>
          <w:vertAlign w:val="superscript"/>
          <w:rtl/>
        </w:rPr>
        <w:t>)</w:t>
      </w:r>
      <w:r w:rsidRPr="00DD5ED6">
        <w:rPr>
          <w:rFonts w:hint="cs"/>
          <w:b/>
          <w:bCs/>
          <w:rtl/>
        </w:rPr>
        <w:t>،</w:t>
      </w:r>
      <w:r w:rsidRPr="00DD5ED6">
        <w:rPr>
          <w:rFonts w:hint="cs"/>
          <w:rtl/>
        </w:rPr>
        <w:t xml:space="preserve"> وتعني</w:t>
      </w:r>
      <w:r>
        <w:rPr>
          <w:rFonts w:hint="cs"/>
          <w:rtl/>
        </w:rPr>
        <w:t xml:space="preserve"> ـ </w:t>
      </w:r>
      <w:r w:rsidRPr="00DD5ED6">
        <w:rPr>
          <w:rFonts w:hint="cs"/>
          <w:rtl/>
        </w:rPr>
        <w:t>لغةً</w:t>
      </w:r>
      <w:r>
        <w:rPr>
          <w:rFonts w:hint="cs"/>
          <w:rtl/>
        </w:rPr>
        <w:t xml:space="preserve"> ـ </w:t>
      </w:r>
      <w:r w:rsidRPr="00DD5ED6">
        <w:rPr>
          <w:rFonts w:hint="cs"/>
          <w:rtl/>
        </w:rPr>
        <w:t>النصرة، أما معناها الفقهي، فهي سلطة يقرّرها الشرع لشخص، يكون لصاحبها بمقتضاها القدرة على إنشاء العقود والتصرفات النافذة، دون أن تتوقف على إجازة أحد.</w:t>
      </w:r>
    </w:p>
    <w:p w:rsidR="00A67CCA" w:rsidRPr="00DD5ED6" w:rsidRDefault="00A67CCA" w:rsidP="00FC2087">
      <w:pPr>
        <w:pStyle w:val="ac"/>
        <w:spacing w:line="199" w:lineRule="auto"/>
        <w:rPr>
          <w:rtl/>
        </w:rPr>
      </w:pPr>
      <w:r w:rsidRPr="00DD5ED6">
        <w:rPr>
          <w:rFonts w:hint="cs"/>
          <w:rtl/>
        </w:rPr>
        <w:t>وتنقسم الولاية في الفقه الإسلامي إلى قسمين:</w:t>
      </w:r>
    </w:p>
    <w:p w:rsidR="00A67CCA" w:rsidRPr="00DD5ED6" w:rsidRDefault="00A67CCA" w:rsidP="00FC2087">
      <w:pPr>
        <w:pStyle w:val="ac"/>
        <w:spacing w:line="199" w:lineRule="auto"/>
        <w:rPr>
          <w:rtl/>
        </w:rPr>
      </w:pPr>
      <w:r w:rsidRPr="00DD5ED6">
        <w:rPr>
          <w:rFonts w:hint="cs"/>
          <w:rtl/>
        </w:rPr>
        <w:t xml:space="preserve">الأول: الولاية القاصرة، وهي السلطة التي يقرّرها </w:t>
      </w:r>
      <w:r>
        <w:rPr>
          <w:rFonts w:hint="cs"/>
          <w:rtl/>
        </w:rPr>
        <w:t xml:space="preserve">الشرعُ </w:t>
      </w:r>
      <w:r w:rsidRPr="00DD5ED6">
        <w:rPr>
          <w:rFonts w:hint="cs"/>
          <w:rtl/>
        </w:rPr>
        <w:t>للشخص على نفسه.</w:t>
      </w:r>
    </w:p>
    <w:p w:rsidR="00A67CCA" w:rsidRPr="00DD5ED6" w:rsidRDefault="00A67CCA" w:rsidP="00FC2087">
      <w:pPr>
        <w:pStyle w:val="ac"/>
        <w:spacing w:line="199" w:lineRule="auto"/>
        <w:rPr>
          <w:rtl/>
        </w:rPr>
      </w:pPr>
      <w:r w:rsidRPr="00DD5ED6">
        <w:rPr>
          <w:rFonts w:hint="cs"/>
          <w:rtl/>
        </w:rPr>
        <w:t>الثاني: الولاية المتعدّية أو التامة، وهي السلطة التي يقرّرها الشرع للشخص على غيره، فينفذ بمقتضاها قوله على الغير، سواء رضى أم أبى، وتنقسم هذه الولاية إلى قسمين هما:</w:t>
      </w:r>
    </w:p>
    <w:p w:rsidR="00A67CCA" w:rsidRPr="00DD5ED6" w:rsidRDefault="00A67CCA" w:rsidP="00FC2087">
      <w:pPr>
        <w:pStyle w:val="ac"/>
        <w:rPr>
          <w:rtl/>
        </w:rPr>
      </w:pPr>
      <w:r w:rsidRPr="00DD5ED6">
        <w:rPr>
          <w:rFonts w:hint="cs"/>
          <w:rtl/>
        </w:rPr>
        <w:t>1</w:t>
      </w:r>
      <w:r>
        <w:rPr>
          <w:rFonts w:hint="cs"/>
          <w:rtl/>
        </w:rPr>
        <w:t xml:space="preserve">ـ </w:t>
      </w:r>
      <w:r w:rsidRPr="00DD5ED6">
        <w:rPr>
          <w:rFonts w:hint="cs"/>
          <w:rtl/>
        </w:rPr>
        <w:t xml:space="preserve">الولاية العامة: وهي ما كان سبب إثباتها سبباً عاماً، كالولاية الثابتة لرئيس </w:t>
      </w:r>
      <w:r w:rsidRPr="00DD5ED6">
        <w:rPr>
          <w:rFonts w:hint="cs"/>
          <w:rtl/>
        </w:rPr>
        <w:lastRenderedPageBreak/>
        <w:t>الدولة على أفراد الشعب، وولاية القضاء والشهادة.</w:t>
      </w:r>
    </w:p>
    <w:p w:rsidR="00A67CCA" w:rsidRPr="00DD5ED6" w:rsidRDefault="00A67CCA" w:rsidP="00A67CCA">
      <w:pPr>
        <w:pStyle w:val="ac"/>
        <w:rPr>
          <w:rtl/>
        </w:rPr>
      </w:pPr>
      <w:r w:rsidRPr="00DD5ED6">
        <w:rPr>
          <w:rFonts w:hint="cs"/>
          <w:rtl/>
        </w:rPr>
        <w:t>2</w:t>
      </w:r>
      <w:r>
        <w:rPr>
          <w:rFonts w:hint="cs"/>
          <w:rtl/>
        </w:rPr>
        <w:t xml:space="preserve"> ـ </w:t>
      </w:r>
      <w:r w:rsidRPr="00DD5ED6">
        <w:rPr>
          <w:rFonts w:hint="cs"/>
          <w:rtl/>
        </w:rPr>
        <w:t>الولاية الخاصة: وهي التي تنشأ عن سبب خاص وليس عاماً، وهي بدورها تنقسم أيضاً إلى قسمين هما:</w:t>
      </w:r>
    </w:p>
    <w:p w:rsidR="00A67CCA" w:rsidRPr="00DD5ED6" w:rsidRDefault="00A67CCA" w:rsidP="00A67CCA">
      <w:pPr>
        <w:pStyle w:val="ac"/>
        <w:rPr>
          <w:rtl/>
        </w:rPr>
      </w:pPr>
      <w:r w:rsidRPr="00DD5ED6">
        <w:rPr>
          <w:rFonts w:hint="cs"/>
          <w:rtl/>
        </w:rPr>
        <w:t>أ</w:t>
      </w:r>
      <w:r>
        <w:rPr>
          <w:rFonts w:hint="cs"/>
          <w:rtl/>
        </w:rPr>
        <w:t xml:space="preserve"> ـ </w:t>
      </w:r>
      <w:r w:rsidRPr="00DD5ED6">
        <w:rPr>
          <w:rFonts w:hint="cs"/>
          <w:rtl/>
        </w:rPr>
        <w:t>الولاية المالية: وهي السلطة المقرّرة للشخص والتي يكون بمقتضاها لصاحبها القدرة على إنشاء العقود المالية الخاصّة بالغير النافذة دون توقّف على أحد.</w:t>
      </w:r>
    </w:p>
    <w:p w:rsidR="00A67CCA" w:rsidRPr="00DD5ED6" w:rsidRDefault="00A67CCA" w:rsidP="00A67CCA">
      <w:pPr>
        <w:pStyle w:val="ac"/>
        <w:rPr>
          <w:rtl/>
        </w:rPr>
      </w:pPr>
      <w:r w:rsidRPr="00DD5ED6">
        <w:rPr>
          <w:rFonts w:hint="cs"/>
          <w:rtl/>
        </w:rPr>
        <w:t>ب</w:t>
      </w:r>
      <w:r>
        <w:rPr>
          <w:rFonts w:hint="cs"/>
          <w:rtl/>
        </w:rPr>
        <w:t xml:space="preserve"> ـ </w:t>
      </w:r>
      <w:r w:rsidRPr="00DD5ED6">
        <w:rPr>
          <w:rFonts w:hint="cs"/>
          <w:rtl/>
        </w:rPr>
        <w:t>الولاية على النفس: وهي السلطة المقرّرة للشخص والتي يكون بمقتضاها لصاحبها القدرة على إنشاء عقد الزواج الخاصّ بالغير نافذاً، دون توقف على إجازة من أحد، وهي بدورها تنقسم إلى قسمين، وهي المعنية بالبحث هنا، وهما:</w:t>
      </w:r>
    </w:p>
    <w:p w:rsidR="00A67CCA" w:rsidRPr="00DD5ED6" w:rsidRDefault="00A67CCA" w:rsidP="00FC2087">
      <w:pPr>
        <w:pStyle w:val="ac"/>
        <w:spacing w:line="209" w:lineRule="auto"/>
        <w:rPr>
          <w:rtl/>
        </w:rPr>
      </w:pPr>
      <w:r w:rsidRPr="00DD5ED6">
        <w:rPr>
          <w:rFonts w:hint="cs"/>
          <w:rtl/>
        </w:rPr>
        <w:t>1</w:t>
      </w:r>
      <w:r>
        <w:rPr>
          <w:rFonts w:hint="cs"/>
          <w:rtl/>
        </w:rPr>
        <w:t xml:space="preserve"> ـ </w:t>
      </w:r>
      <w:r w:rsidRPr="00DD5ED6">
        <w:rPr>
          <w:rFonts w:hint="cs"/>
          <w:rtl/>
        </w:rPr>
        <w:t>ولاية إجبار واستبداد (أي انفراد بالأمر)، وهي التي ينفرد فيها الشخص بإنشاء عقد الزواج دون مشاركة الولي عليه في ذلك، كالولاية الثابتة للأب على ابنته البكر غير البالغة أو البالغة.</w:t>
      </w:r>
    </w:p>
    <w:p w:rsidR="00A67CCA" w:rsidRPr="00DD5ED6" w:rsidRDefault="00A67CCA" w:rsidP="00FC2087">
      <w:pPr>
        <w:pStyle w:val="ac"/>
        <w:spacing w:line="209" w:lineRule="auto"/>
        <w:rPr>
          <w:rtl/>
        </w:rPr>
      </w:pPr>
      <w:r w:rsidRPr="00DD5ED6">
        <w:rPr>
          <w:rFonts w:hint="cs"/>
          <w:rtl/>
        </w:rPr>
        <w:t>2</w:t>
      </w:r>
      <w:r>
        <w:rPr>
          <w:rFonts w:hint="cs"/>
          <w:rtl/>
        </w:rPr>
        <w:t xml:space="preserve"> ـ </w:t>
      </w:r>
      <w:r w:rsidRPr="00DD5ED6">
        <w:rPr>
          <w:rFonts w:hint="cs"/>
          <w:rtl/>
        </w:rPr>
        <w:t>ولاية شركة واختيار: وهي التي يكون لصاحبها الحقّ في أن يتولّى عقد الزواج بعد الاشتراك مع المرأة في اختيار الزوج، كالولاية الثابتة للأب مع ابنته الثيّب.</w:t>
      </w:r>
    </w:p>
    <w:p w:rsidR="00A67CCA" w:rsidRPr="00DD5ED6" w:rsidRDefault="00A67CCA" w:rsidP="00FC2087">
      <w:pPr>
        <w:pStyle w:val="ac"/>
        <w:spacing w:line="209" w:lineRule="auto"/>
        <w:rPr>
          <w:rtl/>
        </w:rPr>
      </w:pPr>
      <w:r w:rsidRPr="00DD5ED6">
        <w:rPr>
          <w:rFonts w:hint="cs"/>
          <w:rtl/>
        </w:rPr>
        <w:t>وجمهور الفقهاء يرون أن الولي ركنٌ من أركان عقد الزواج، فلا يصحّ الزواج بعبارة المرأة، إلا أنّ بعض الفقهاء يرون خلاف ذلك</w:t>
      </w:r>
      <w:r>
        <w:rPr>
          <w:rFonts w:hint="cs"/>
          <w:rtl/>
        </w:rPr>
        <w:t>،</w:t>
      </w:r>
      <w:r w:rsidRPr="00DD5ED6">
        <w:rPr>
          <w:rFonts w:hint="cs"/>
          <w:rtl/>
        </w:rPr>
        <w:t xml:space="preserve"> منهم أبو حنيفة، ولكن المتفق عليه عدم جواز عقد الزواج إلا بولي؛ طبقاً لحديث رسول الله</w:t>
      </w:r>
      <w:r w:rsidR="00C86626">
        <w:rPr>
          <w:rFonts w:hint="cs"/>
          <w:rtl/>
        </w:rPr>
        <w:t>’</w:t>
      </w:r>
      <w:r w:rsidRPr="00DD5ED6">
        <w:rPr>
          <w:rFonts w:hint="cs"/>
          <w:rtl/>
        </w:rPr>
        <w:t xml:space="preserve"> الذي قال عن أبي مدس: </w:t>
      </w:r>
      <w:r w:rsidRPr="00617008">
        <w:rPr>
          <w:rtl/>
        </w:rPr>
        <w:t>«</w:t>
      </w:r>
      <w:r w:rsidRPr="00DD5ED6">
        <w:rPr>
          <w:rFonts w:hint="cs"/>
          <w:rtl/>
        </w:rPr>
        <w:t>لا نكاح إلا بولي وشاهدين عدل</w:t>
      </w:r>
      <w:r w:rsidRPr="00617008">
        <w:rPr>
          <w:rtl/>
        </w:rPr>
        <w:t>»</w:t>
      </w:r>
      <w:r w:rsidRPr="00DD5ED6">
        <w:rPr>
          <w:rFonts w:hint="cs"/>
          <w:rtl/>
        </w:rPr>
        <w:t xml:space="preserve">، كما رواه الخمسة إلا النسائي، وقال أيضاً: </w:t>
      </w:r>
      <w:r w:rsidRPr="00617008">
        <w:rPr>
          <w:rtl/>
        </w:rPr>
        <w:t>«</w:t>
      </w:r>
      <w:r w:rsidRPr="00DD5ED6">
        <w:rPr>
          <w:rFonts w:hint="cs"/>
          <w:rtl/>
        </w:rPr>
        <w:t>لا نكاح إلا بولي وشاهدين عدل، وما كان من نكاح غير ذلك فهو باطل</w:t>
      </w:r>
      <w:r w:rsidRPr="00617008">
        <w:rPr>
          <w:rtl/>
        </w:rPr>
        <w:t>»</w:t>
      </w:r>
      <w:r w:rsidRPr="00DD5ED6">
        <w:rPr>
          <w:rFonts w:hint="cs"/>
          <w:rtl/>
        </w:rPr>
        <w:t>، رواه ابن حبّان في صحيحه، وقال أيضاً: عن سليمان بن موسى عن الزهري عن عروة عن عائشة، أن النبي</w:t>
      </w:r>
      <w:r w:rsidR="00C86626">
        <w:rPr>
          <w:rFonts w:hint="cs"/>
          <w:rtl/>
        </w:rPr>
        <w:t>’</w:t>
      </w:r>
      <w:r>
        <w:rPr>
          <w:rFonts w:hint="cs"/>
          <w:color w:val="000000"/>
          <w:rtl/>
        </w:rPr>
        <w:t xml:space="preserve"> </w:t>
      </w:r>
      <w:r w:rsidRPr="00DD5ED6">
        <w:rPr>
          <w:rFonts w:hint="cs"/>
          <w:rtl/>
        </w:rPr>
        <w:t xml:space="preserve">قال: </w:t>
      </w:r>
      <w:r w:rsidRPr="00617008">
        <w:rPr>
          <w:rtl/>
        </w:rPr>
        <w:t>«</w:t>
      </w:r>
      <w:r w:rsidRPr="00DD5ED6">
        <w:rPr>
          <w:rFonts w:hint="cs"/>
          <w:rtl/>
        </w:rPr>
        <w:t>أيّما امرأة نكحت بغير إذن وليها فنكاحها باطل، فإن دخل بها فلها المهر بما استحلّ من فرجها، فإن اشتجروا فالسلطان ولي من لا ولي له</w:t>
      </w:r>
      <w:r w:rsidRPr="00617008">
        <w:rPr>
          <w:rtl/>
        </w:rPr>
        <w:t>»</w:t>
      </w:r>
      <w:r w:rsidRPr="00DD5ED6">
        <w:rPr>
          <w:rFonts w:hint="cs"/>
          <w:rtl/>
        </w:rPr>
        <w:t>، رواه الخمسة إلا النسائي.</w:t>
      </w:r>
    </w:p>
    <w:p w:rsidR="00A67CCA" w:rsidRPr="00DD5ED6" w:rsidRDefault="00A67CCA" w:rsidP="00A67CCA">
      <w:pPr>
        <w:pStyle w:val="ac"/>
        <w:rPr>
          <w:rtl/>
        </w:rPr>
      </w:pPr>
      <w:r w:rsidRPr="00DD5ED6">
        <w:rPr>
          <w:rFonts w:hint="cs"/>
          <w:rtl/>
        </w:rPr>
        <w:t xml:space="preserve">ولذلك؛ حرّم جمهور فقهاء أهل السنّة الزواج بدون ولي، نذكر منهم، </w:t>
      </w:r>
      <w:r>
        <w:rPr>
          <w:rFonts w:hint="cs"/>
          <w:rtl/>
        </w:rPr>
        <w:t>عمر بن الخطاب، وعلي بن أبي طالب</w:t>
      </w:r>
      <w:r w:rsidRPr="00DD5ED6">
        <w:rPr>
          <w:rFonts w:hint="cs"/>
          <w:rtl/>
        </w:rPr>
        <w:t xml:space="preserve">، والسيدة عائشة، وعبدالله بن مسعود، وأبو هريرة، حتى </w:t>
      </w:r>
      <w:r w:rsidRPr="00DD5ED6">
        <w:rPr>
          <w:rFonts w:hint="cs"/>
          <w:rtl/>
        </w:rPr>
        <w:lastRenderedPageBreak/>
        <w:t>أن ابن المنذر قال: إنه لا يعرف عن أحد من الصحابة عمل أو قال بخلاف ذلك، وقال بذلك أيضاً، سعيد بن المسيب، والحسن البصري، وخامس الخلفاء الراشدين عمر بن عبدالعزيز، وجابر بن زيد، والإمام الثوري، وابن أبي ليلى، والشافعي، وابن حنبل، والإمام مالك في رواية أشهب عنه.</w:t>
      </w:r>
    </w:p>
    <w:p w:rsidR="00A67CCA" w:rsidRPr="00FC2087" w:rsidRDefault="00A67CCA" w:rsidP="00FC2087">
      <w:pPr>
        <w:pStyle w:val="afffffc"/>
        <w:rPr>
          <w:sz w:val="18"/>
          <w:szCs w:val="16"/>
          <w:rtl/>
        </w:rPr>
      </w:pPr>
    </w:p>
    <w:p w:rsidR="00A67CCA" w:rsidRPr="00DD5ED6" w:rsidRDefault="00A67CCA" w:rsidP="00FC2087">
      <w:pPr>
        <w:pStyle w:val="2"/>
        <w:rPr>
          <w:rFonts w:cs="AL-Mohanad"/>
          <w:szCs w:val="27"/>
          <w:rtl/>
        </w:rPr>
      </w:pPr>
      <w:bookmarkStart w:id="359" w:name="_Toc275128079"/>
      <w:r w:rsidRPr="00C57806">
        <w:rPr>
          <w:rFonts w:hint="cs"/>
          <w:rtl/>
        </w:rPr>
        <w:t>أدلّة عدم شرعية تزويج المرأة نفسها</w:t>
      </w:r>
      <w:bookmarkEnd w:id="359"/>
    </w:p>
    <w:p w:rsidR="00A67CCA" w:rsidRPr="00DD5ED6" w:rsidRDefault="00A67CCA" w:rsidP="00A67CCA">
      <w:pPr>
        <w:pStyle w:val="ac"/>
        <w:rPr>
          <w:rtl/>
        </w:rPr>
      </w:pPr>
      <w:r w:rsidRPr="00DD5ED6">
        <w:rPr>
          <w:rFonts w:hint="cs"/>
          <w:rtl/>
        </w:rPr>
        <w:t>وقد استدلّوا على ذلك من:</w:t>
      </w:r>
    </w:p>
    <w:p w:rsidR="00A67CCA" w:rsidRPr="00DD5ED6" w:rsidRDefault="00A67CCA" w:rsidP="00FC2087">
      <w:pPr>
        <w:pStyle w:val="ac"/>
        <w:spacing w:line="202" w:lineRule="auto"/>
        <w:rPr>
          <w:rFonts w:cs="AL-Mohanad"/>
          <w:rtl/>
        </w:rPr>
      </w:pPr>
      <w:r w:rsidRPr="00C12E83">
        <w:rPr>
          <w:rFonts w:hint="cs"/>
          <w:b/>
          <w:bCs/>
          <w:rtl/>
        </w:rPr>
        <w:t>أولاً:</w:t>
      </w:r>
      <w:r w:rsidRPr="00C12E83">
        <w:rPr>
          <w:rFonts w:hint="cs"/>
          <w:rtl/>
        </w:rPr>
        <w:t xml:space="preserve"> القرآن الكريم، قال تعالى:</w:t>
      </w:r>
      <w:r w:rsidRPr="00DD5ED6">
        <w:rPr>
          <w:rFonts w:cs="AL-Mohanad" w:hint="cs"/>
          <w:rtl/>
        </w:rPr>
        <w:t xml:space="preserve"> </w:t>
      </w:r>
      <w:r w:rsidRPr="00531A26">
        <w:rPr>
          <w:rFonts w:cs="AL-Mohanad" w:hint="cs"/>
          <w:sz w:val="26"/>
          <w:szCs w:val="26"/>
        </w:rPr>
        <w:sym w:font="Islamic Units 1" w:char="F03E"/>
      </w:r>
      <w:r w:rsidRPr="00C12E83">
        <w:rPr>
          <w:b/>
          <w:bCs/>
          <w:rtl/>
        </w:rPr>
        <w:t>إِذَا طَلَّقْتُمُ النِّسَاء فَبَلَغْنَ أَجَلَهُنَّ فَلاَ تَعْضُلُوهُنَّ أَن يَنكِحْنَ أَزْوَاجَهُنَّ إذا تَرَاضَوْاْ بَيْنَهُم بِالْمَعْرُوفِ</w:t>
      </w:r>
      <w:r w:rsidRPr="00531A26">
        <w:rPr>
          <w:rFonts w:cs="AL-Mohanad" w:hint="cs"/>
          <w:sz w:val="26"/>
          <w:szCs w:val="26"/>
        </w:rPr>
        <w:sym w:font="Islamic Units 1" w:char="F03C"/>
      </w:r>
      <w:r w:rsidRPr="00DD5ED6">
        <w:rPr>
          <w:rFonts w:cs="AL-Mohanad" w:hint="cs"/>
          <w:rtl/>
        </w:rPr>
        <w:t xml:space="preserve"> </w:t>
      </w:r>
      <w:r w:rsidRPr="00A67CCA">
        <w:rPr>
          <w:rFonts w:hint="cs"/>
          <w:rtl/>
        </w:rPr>
        <w:t>(البقرة: 232)،</w:t>
      </w:r>
      <w:r w:rsidRPr="00DD5ED6">
        <w:rPr>
          <w:rFonts w:cs="AL-Mohanad" w:hint="cs"/>
          <w:rtl/>
        </w:rPr>
        <w:t xml:space="preserve"> </w:t>
      </w:r>
      <w:r w:rsidRPr="00A67CCA">
        <w:rPr>
          <w:rFonts w:hint="cs"/>
          <w:rtl/>
        </w:rPr>
        <w:t>والعضل يعني المنع، فهذه الآية الكريمة تدلّ على أن الزواج لا يصحّ بعبارة المرأة، وذلك لأنّ الأمر موجّه إلى الرجال، وليس للنساء، والمرأة التي نزلت فيها هذه الآية كانت ثيّباً، ولو كان يجوز لها أن تعقد زواجها لزوّجت نفسها، ولما كان هناك داع إلى نهي الأولياء عن عضل، أي منع النساء من الزواج.</w:t>
      </w:r>
    </w:p>
    <w:p w:rsidR="00A67CCA" w:rsidRPr="00DD5ED6" w:rsidRDefault="00A67CCA" w:rsidP="00FC2087">
      <w:pPr>
        <w:pStyle w:val="ac"/>
        <w:spacing w:line="202" w:lineRule="auto"/>
        <w:rPr>
          <w:rtl/>
        </w:rPr>
      </w:pPr>
      <w:r w:rsidRPr="00DD5ED6">
        <w:rPr>
          <w:rFonts w:hint="cs"/>
          <w:rtl/>
        </w:rPr>
        <w:t>وقد نزلت هذه الآية الكريمة بسبب معقل بن يسار، وكان قد زوّج أخته من رجل، فطلّقها، ثم بعد انقضاء عدّتها مدةً، جاء يخطبها من أخيها معقل، فقال له معقل: زوّجتك، وأفرشتك، وأكرمتك، فطلّقتها، ثم جئت تخطبها، لا والله لا تعد إليك أبداً، وكان الرجل لا بأس به، وكانت المرأة تحبّ أن ترجع إليه، فأنزل الله هذه الآية، فقال معقل لرسول الله: الآن أفعل يا رسول الله، ثم زوّجها إيّاه.</w:t>
      </w:r>
    </w:p>
    <w:p w:rsidR="00A67CCA" w:rsidRPr="00DD5ED6" w:rsidRDefault="00A67CCA" w:rsidP="00FC2087">
      <w:pPr>
        <w:pStyle w:val="ac"/>
        <w:spacing w:line="202" w:lineRule="auto"/>
        <w:rPr>
          <w:rtl/>
        </w:rPr>
      </w:pPr>
      <w:r w:rsidRPr="00DD5ED6">
        <w:rPr>
          <w:rFonts w:hint="cs"/>
          <w:b/>
          <w:bCs/>
          <w:rtl/>
        </w:rPr>
        <w:t>ثانياً:</w:t>
      </w:r>
      <w:r w:rsidRPr="00DD5ED6">
        <w:rPr>
          <w:rFonts w:hint="cs"/>
          <w:rtl/>
        </w:rPr>
        <w:t xml:space="preserve"> قوله تعالى: </w:t>
      </w:r>
      <w:r w:rsidRPr="00935CC0">
        <w:rPr>
          <w:rFonts w:ascii="Mosawi" w:hAnsi="Mosawi" w:hint="cs"/>
        </w:rPr>
        <w:sym w:font="Islamic Units 1" w:char="F03E"/>
      </w:r>
      <w:r w:rsidRPr="00A67CCA">
        <w:rPr>
          <w:b/>
          <w:bCs/>
          <w:rtl/>
        </w:rPr>
        <w:t>فَانكِحُوهُنَّ بِإِذْنِ أَهْلِهِنَّ</w:t>
      </w:r>
      <w:r w:rsidRPr="00A67CCA">
        <w:rPr>
          <w:rFonts w:hint="cs"/>
          <w:b/>
          <w:bCs/>
        </w:rPr>
        <w:sym w:font="Islamic Units 1" w:char="F03C"/>
      </w:r>
      <w:r w:rsidRPr="00DD5ED6">
        <w:rPr>
          <w:rFonts w:hint="cs"/>
          <w:rtl/>
        </w:rPr>
        <w:t xml:space="preserve"> (النساء: 25)، أي تزوّجوهن بإذن أوليائهنّ، وقال تعالى: </w:t>
      </w:r>
      <w:r w:rsidRPr="00935CC0">
        <w:rPr>
          <w:rFonts w:ascii="Mosawi" w:hAnsi="Mosawi" w:hint="cs"/>
        </w:rPr>
        <w:sym w:font="Islamic Units 1" w:char="F03E"/>
      </w:r>
      <w:r w:rsidRPr="00A67CCA">
        <w:rPr>
          <w:b/>
          <w:bCs/>
          <w:rtl/>
        </w:rPr>
        <w:t>أَنكِحُوا الأَيَامَى مِنكُمْ</w:t>
      </w:r>
      <w:r w:rsidRPr="00A67CCA">
        <w:rPr>
          <w:rFonts w:hint="cs"/>
          <w:b/>
          <w:bCs/>
        </w:rPr>
        <w:sym w:font="Islamic Units 1" w:char="F03C"/>
      </w:r>
      <w:r w:rsidRPr="00DD5ED6">
        <w:rPr>
          <w:rFonts w:hint="cs"/>
          <w:rtl/>
        </w:rPr>
        <w:t xml:space="preserve"> (النور: 32)، فلو كان للنساء ولايةٌ على أنفسهنّ لكان التكليف يتوجّه إليهن، كما في سائر التصرّفات الخاصّة بهنّ، كما في قوله تعالى: </w:t>
      </w:r>
      <w:r w:rsidRPr="00935CC0">
        <w:rPr>
          <w:rFonts w:ascii="Mosawi" w:hAnsi="Mosawi" w:hint="cs"/>
        </w:rPr>
        <w:sym w:font="Islamic Units 1" w:char="F03E"/>
      </w:r>
      <w:r w:rsidRPr="00A67CCA">
        <w:rPr>
          <w:b/>
          <w:bCs/>
          <w:rtl/>
        </w:rPr>
        <w:t>وَالْمُطَلَّقَاتُ يَتَرَبَّصْنَ بِأَنفُسِهِنَّ ثَلاَثَةَ قُرُوَءٍ</w:t>
      </w:r>
      <w:r w:rsidRPr="00A67CCA">
        <w:rPr>
          <w:rFonts w:hint="cs"/>
          <w:b/>
          <w:bCs/>
        </w:rPr>
        <w:sym w:font="Islamic Units 1" w:char="F03C"/>
      </w:r>
      <w:r w:rsidRPr="00DD5ED6">
        <w:rPr>
          <w:rFonts w:hint="cs"/>
          <w:rtl/>
        </w:rPr>
        <w:t xml:space="preserve"> (البقرة: 227)، وقوله عزوجل أيضاً:</w:t>
      </w:r>
      <w:r w:rsidRPr="00935CC0">
        <w:rPr>
          <w:rFonts w:ascii="Mosawi" w:hAnsi="Mosawi" w:hint="cs"/>
          <w:rtl/>
        </w:rPr>
        <w:t xml:space="preserve"> </w:t>
      </w:r>
      <w:r w:rsidRPr="00935CC0">
        <w:rPr>
          <w:rFonts w:ascii="Mosawi" w:hAnsi="Mosawi" w:hint="cs"/>
        </w:rPr>
        <w:sym w:font="Islamic Units 1" w:char="F03E"/>
      </w:r>
      <w:r w:rsidRPr="00A67CCA">
        <w:rPr>
          <w:b/>
          <w:bCs/>
          <w:rtl/>
        </w:rPr>
        <w:t>قُل لِّلْمُؤْمِنَاتِ يَغْضُضْنَ مِنْ أَبْصَارِهِنَّ وَيَحْفَظْنَ فُرُوجَهُنَّ وَلا يُبْدِينَ زِينَتَهُنَّ إِلا مَا ظَهَرَ مِنْهَا وَلْيَضْرِبْنَ بِخُمُرِهِنَّ عَلَى جُيُوبِهِنَّ</w:t>
      </w:r>
      <w:r w:rsidRPr="00935CC0">
        <w:rPr>
          <w:rFonts w:ascii="Mosawi" w:hAnsi="Mosawi" w:hint="cs"/>
        </w:rPr>
        <w:sym w:font="Islamic Units 1" w:char="F03C"/>
      </w:r>
      <w:r w:rsidRPr="00DD5ED6">
        <w:rPr>
          <w:rFonts w:hint="cs"/>
          <w:rtl/>
        </w:rPr>
        <w:t xml:space="preserve"> (النور: 31)، فلو كان أولياؤهن بالنسبة إليهنّ كالأجانب، فلا يتوجّه التكليف إليهم بشيء مما يختصّ </w:t>
      </w:r>
      <w:r w:rsidRPr="00DD5ED6">
        <w:rPr>
          <w:rFonts w:hint="cs"/>
          <w:rtl/>
        </w:rPr>
        <w:lastRenderedPageBreak/>
        <w:t>بزواجهنّ، كما لم يتوجّه التكليف إلى الأولياء فيما يتعلّق بالتصرفات التي تجوز للنساء، مثل البيع، والشراء، والإجارة، والرهن، والهبة، وغير ذلك من التصرّفات التي يجوز للمرأة أن تستقلّ بها.</w:t>
      </w:r>
    </w:p>
    <w:p w:rsidR="00A67CCA" w:rsidRPr="00DD5ED6" w:rsidRDefault="00A67CCA" w:rsidP="00FC2087">
      <w:pPr>
        <w:pStyle w:val="ac"/>
        <w:spacing w:line="209" w:lineRule="auto"/>
        <w:rPr>
          <w:rtl/>
        </w:rPr>
      </w:pPr>
      <w:r w:rsidRPr="00DD5ED6">
        <w:rPr>
          <w:rFonts w:hint="cs"/>
          <w:sz w:val="29"/>
          <w:rtl/>
        </w:rPr>
        <w:t>أمّا أدلّة عدم شرعية الزواج دون الولي من السنّة النبوية المطهرة ف</w:t>
      </w:r>
      <w:r w:rsidRPr="00DD5ED6">
        <w:rPr>
          <w:rFonts w:hint="cs"/>
          <w:rtl/>
        </w:rPr>
        <w:t>كثيرة، نذكر منها، قوله</w:t>
      </w:r>
      <w:r w:rsidR="00C86626">
        <w:rPr>
          <w:rFonts w:hint="cs"/>
          <w:rtl/>
        </w:rPr>
        <w:t>’</w:t>
      </w:r>
      <w:r w:rsidRPr="00DD5ED6">
        <w:rPr>
          <w:rFonts w:hint="cs"/>
          <w:rtl/>
        </w:rPr>
        <w:t xml:space="preserve">: </w:t>
      </w:r>
      <w:r w:rsidRPr="00617008">
        <w:rPr>
          <w:rtl/>
        </w:rPr>
        <w:t>«</w:t>
      </w:r>
      <w:r w:rsidRPr="00DD5ED6">
        <w:rPr>
          <w:rFonts w:hint="cs"/>
          <w:rtl/>
        </w:rPr>
        <w:t>لا نكاح إلا بولي وشاهدي عدل، وما كان من نكاح غير ذلك فهو باطل</w:t>
      </w:r>
      <w:r w:rsidRPr="00617008">
        <w:rPr>
          <w:rtl/>
        </w:rPr>
        <w:t>»</w:t>
      </w:r>
      <w:r w:rsidRPr="00DD5ED6">
        <w:rPr>
          <w:rFonts w:hint="cs"/>
          <w:sz w:val="29"/>
          <w:rtl/>
        </w:rPr>
        <w:t>،</w:t>
      </w:r>
      <w:r w:rsidRPr="00DD5ED6">
        <w:rPr>
          <w:rFonts w:hint="cs"/>
          <w:rtl/>
        </w:rPr>
        <w:t xml:space="preserve"> رواه ابن حبان في صحيحه، وقال: </w:t>
      </w:r>
      <w:r w:rsidRPr="00617008">
        <w:rPr>
          <w:rtl/>
        </w:rPr>
        <w:t>«</w:t>
      </w:r>
      <w:r w:rsidRPr="00DD5ED6">
        <w:rPr>
          <w:rFonts w:hint="cs"/>
          <w:rtl/>
        </w:rPr>
        <w:t>لا نكاح إلا بولي وشاهدي عدل</w:t>
      </w:r>
      <w:r w:rsidRPr="00617008">
        <w:rPr>
          <w:rtl/>
        </w:rPr>
        <w:t>»</w:t>
      </w:r>
      <w:r w:rsidRPr="00DD5ED6">
        <w:rPr>
          <w:rFonts w:hint="cs"/>
          <w:rtl/>
        </w:rPr>
        <w:t>، رواه الخمسة إلا النسائي، وعن سليمان بن يونس عن الزهري عن عروة عن عائشة قالت: قال رسول الله</w:t>
      </w:r>
      <w:r w:rsidR="00C86626">
        <w:rPr>
          <w:rFonts w:hint="cs"/>
          <w:rtl/>
        </w:rPr>
        <w:t>’</w:t>
      </w:r>
      <w:r w:rsidRPr="00DD5ED6">
        <w:rPr>
          <w:rFonts w:hint="cs"/>
          <w:rtl/>
        </w:rPr>
        <w:t xml:space="preserve">: </w:t>
      </w:r>
      <w:r w:rsidRPr="00617008">
        <w:rPr>
          <w:rtl/>
        </w:rPr>
        <w:t>«</w:t>
      </w:r>
      <w:r w:rsidRPr="00DD5ED6">
        <w:rPr>
          <w:rFonts w:hint="cs"/>
          <w:rtl/>
        </w:rPr>
        <w:t>أيما امرأة نكحت نفسها بغير إذن وليها فنكاحها باطل، فنكاحها باطل، فنكاحها باطل، فإن دخل بها، فلها المهر بما استحلّ من فرجها، فإن اشتجروا فالسلطان وليّ من لا ولي له</w:t>
      </w:r>
      <w:r w:rsidRPr="00617008">
        <w:rPr>
          <w:rtl/>
        </w:rPr>
        <w:t>»</w:t>
      </w:r>
      <w:r w:rsidRPr="00DD5ED6">
        <w:rPr>
          <w:rFonts w:hint="cs"/>
          <w:sz w:val="29"/>
          <w:rtl/>
        </w:rPr>
        <w:t>،</w:t>
      </w:r>
      <w:r w:rsidRPr="00DD5ED6">
        <w:rPr>
          <w:rFonts w:hint="cs"/>
          <w:rtl/>
        </w:rPr>
        <w:t xml:space="preserve"> رواه الخمسة إلا النسائي.</w:t>
      </w:r>
    </w:p>
    <w:p w:rsidR="00A67CCA" w:rsidRPr="00DD5ED6" w:rsidRDefault="00A67CCA" w:rsidP="00FC2087">
      <w:pPr>
        <w:pStyle w:val="ac"/>
        <w:spacing w:line="209" w:lineRule="auto"/>
        <w:rPr>
          <w:rtl/>
        </w:rPr>
      </w:pPr>
      <w:r w:rsidRPr="00DD5ED6">
        <w:rPr>
          <w:rFonts w:hint="cs"/>
          <w:rtl/>
        </w:rPr>
        <w:t>تدلّ الأحاديث السابقة</w:t>
      </w:r>
      <w:r>
        <w:rPr>
          <w:rFonts w:hint="cs"/>
          <w:rtl/>
        </w:rPr>
        <w:t xml:space="preserve"> ـ </w:t>
      </w:r>
      <w:r w:rsidRPr="00DD5ED6">
        <w:rPr>
          <w:rFonts w:hint="cs"/>
          <w:rtl/>
        </w:rPr>
        <w:t>خاصّة الأول والثاني الذي هو تكملة للأول</w:t>
      </w:r>
      <w:r>
        <w:rPr>
          <w:rFonts w:hint="cs"/>
          <w:rtl/>
        </w:rPr>
        <w:t xml:space="preserve"> ـ </w:t>
      </w:r>
      <w:r w:rsidRPr="00DD5ED6">
        <w:rPr>
          <w:rFonts w:hint="cs"/>
          <w:rtl/>
        </w:rPr>
        <w:t>أنّ النبي</w:t>
      </w:r>
      <w:r w:rsidR="00C86626">
        <w:rPr>
          <w:rFonts w:hint="cs"/>
          <w:rtl/>
        </w:rPr>
        <w:t>’</w:t>
      </w:r>
      <w:r w:rsidRPr="00DD5ED6">
        <w:rPr>
          <w:rFonts w:hint="cs"/>
          <w:rtl/>
        </w:rPr>
        <w:t xml:space="preserve"> قد نهى عن أن تتولّى المرأة عقد الزواج مطلقاً، أي سواء أكانت تتولاه بطريق الوكالة عن غيرها أو تعقد لنفسها أو تعقد لغيرها سواء أكانت أصيلة في العقد، أم لا، والنهي يقتضي فساد المنهيّ عنه؛ فبطلانه، فالزواج الذي تعقده المرأة بعبارتها فاسدٌ وباطل، أما الحديث الثالث، فهو صريح لا يحتاج إلى إيضاح في بطلان الزواج بغير ولي، وإذا تحدّثنا بلغة القانون الوضعي فهو باطل بطلاناً مطلقاً؛ لتكرار عبارة (فنكاحها باطل) ثلاث مرات</w:t>
      </w:r>
      <w:r w:rsidRPr="00815C4C">
        <w:rPr>
          <w:rFonts w:cs="Taher"/>
          <w:vertAlign w:val="superscript"/>
          <w:rtl/>
        </w:rPr>
        <w:t>(</w:t>
      </w:r>
      <w:r w:rsidRPr="00815C4C">
        <w:rPr>
          <w:rFonts w:cs="Taher"/>
          <w:vertAlign w:val="superscript"/>
          <w:rtl/>
        </w:rPr>
        <w:footnoteReference w:id="656"/>
      </w:r>
      <w:r w:rsidRPr="00815C4C">
        <w:rPr>
          <w:rFonts w:cs="Taher"/>
          <w:vertAlign w:val="superscript"/>
          <w:rtl/>
        </w:rPr>
        <w:t>)</w:t>
      </w:r>
      <w:r w:rsidRPr="00DD5ED6">
        <w:rPr>
          <w:rFonts w:hint="cs"/>
          <w:rtl/>
        </w:rPr>
        <w:t>.</w:t>
      </w:r>
    </w:p>
    <w:p w:rsidR="00A67CCA" w:rsidRPr="00DD5ED6" w:rsidRDefault="00A67CCA" w:rsidP="00FC2087">
      <w:pPr>
        <w:pStyle w:val="ac"/>
        <w:spacing w:line="209" w:lineRule="auto"/>
        <w:rPr>
          <w:rtl/>
        </w:rPr>
      </w:pPr>
      <w:r w:rsidRPr="00DD5ED6">
        <w:rPr>
          <w:rFonts w:hint="cs"/>
          <w:rtl/>
        </w:rPr>
        <w:t>وقد اشترط الفقهاء عدّة شروط في الولي في عقد الزواج هي:</w:t>
      </w:r>
    </w:p>
    <w:p w:rsidR="00A67CCA" w:rsidRPr="00DD5ED6" w:rsidRDefault="00A67CCA" w:rsidP="00FC2087">
      <w:pPr>
        <w:pStyle w:val="ac"/>
        <w:spacing w:line="209" w:lineRule="auto"/>
        <w:rPr>
          <w:rtl/>
        </w:rPr>
      </w:pPr>
      <w:r w:rsidRPr="00DD5ED6">
        <w:rPr>
          <w:rFonts w:hint="cs"/>
          <w:rtl/>
        </w:rPr>
        <w:t>1</w:t>
      </w:r>
      <w:r>
        <w:rPr>
          <w:rFonts w:hint="cs"/>
          <w:rtl/>
        </w:rPr>
        <w:t xml:space="preserve"> ـ </w:t>
      </w:r>
      <w:r w:rsidRPr="00DD5ED6">
        <w:rPr>
          <w:rFonts w:hint="cs"/>
          <w:rtl/>
        </w:rPr>
        <w:t>الذكورة: وقد سبق بيان الآيات والأحاديث الدالّة على منع أو عدم جواز أن تتولّى المرأة عقد الزواج لها أو لغيرها.</w:t>
      </w:r>
    </w:p>
    <w:p w:rsidR="00A67CCA" w:rsidRPr="00DD5ED6" w:rsidRDefault="00A67CCA" w:rsidP="00FC2087">
      <w:pPr>
        <w:pStyle w:val="ac"/>
        <w:spacing w:line="209" w:lineRule="auto"/>
        <w:rPr>
          <w:rtl/>
        </w:rPr>
      </w:pPr>
      <w:r w:rsidRPr="00DD5ED6">
        <w:rPr>
          <w:rFonts w:hint="cs"/>
          <w:rtl/>
        </w:rPr>
        <w:t>2</w:t>
      </w:r>
      <w:r>
        <w:rPr>
          <w:rFonts w:hint="cs"/>
          <w:rtl/>
        </w:rPr>
        <w:t xml:space="preserve"> ـ </w:t>
      </w:r>
      <w:r w:rsidRPr="00DD5ED6">
        <w:rPr>
          <w:rFonts w:hint="cs"/>
          <w:rtl/>
        </w:rPr>
        <w:t>العقل: وهو شرط بديهي وضروري في كلّ التصرفات، وليس في الزواج فقط؛ فليس لغير العاقل ولاية على نفسه، فلا يكون له ولاية على غيره من باب أولى.</w:t>
      </w:r>
    </w:p>
    <w:p w:rsidR="00A67CCA" w:rsidRPr="00DD5ED6" w:rsidRDefault="00A67CCA" w:rsidP="00FC2087">
      <w:pPr>
        <w:pStyle w:val="ac"/>
        <w:spacing w:line="211" w:lineRule="auto"/>
        <w:rPr>
          <w:rtl/>
        </w:rPr>
      </w:pPr>
      <w:r w:rsidRPr="00DD5ED6">
        <w:rPr>
          <w:rFonts w:hint="cs"/>
          <w:rtl/>
        </w:rPr>
        <w:lastRenderedPageBreak/>
        <w:t>3</w:t>
      </w:r>
      <w:r>
        <w:rPr>
          <w:rFonts w:hint="cs"/>
          <w:rtl/>
        </w:rPr>
        <w:t xml:space="preserve"> ـ </w:t>
      </w:r>
      <w:r w:rsidRPr="00DD5ED6">
        <w:rPr>
          <w:rFonts w:hint="cs"/>
          <w:rtl/>
        </w:rPr>
        <w:t xml:space="preserve">الإسلام: وهذا شرط ضروري؛ لأنّ غير المسلم ليست له ولاية على المسلم، قال تعالى: </w:t>
      </w:r>
      <w:r w:rsidRPr="00935CC0">
        <w:rPr>
          <w:rFonts w:ascii="Mosawi" w:hAnsi="Mosawi" w:hint="cs"/>
        </w:rPr>
        <w:sym w:font="Islamic Units 1" w:char="F03E"/>
      </w:r>
      <w:r w:rsidRPr="00A67CCA">
        <w:rPr>
          <w:b/>
          <w:bCs/>
          <w:rtl/>
        </w:rPr>
        <w:t>لَن يَجْعَلَ الله لِلْكَافِرِينَ عَلَى الْمُؤْمِنِينَ سَبِيلاً</w:t>
      </w:r>
      <w:r w:rsidRPr="00935CC0">
        <w:rPr>
          <w:rFonts w:ascii="Mosawi" w:hAnsi="Mosawi" w:hint="cs"/>
        </w:rPr>
        <w:sym w:font="Islamic Units 1" w:char="F03C"/>
      </w:r>
      <w:r w:rsidRPr="00DD5ED6">
        <w:rPr>
          <w:rFonts w:hint="cs"/>
          <w:rtl/>
        </w:rPr>
        <w:t xml:space="preserve"> (النساء: 14)، كما أن عقد الزواج في الإٍسلام من العبادات، فلا يصحّ لغير المسلم أن يأتي شيئاً من أمور العبادة في الإسلام.</w:t>
      </w:r>
    </w:p>
    <w:p w:rsidR="00A67CCA" w:rsidRPr="00DD5ED6" w:rsidRDefault="00A67CCA" w:rsidP="00FC2087">
      <w:pPr>
        <w:pStyle w:val="ac"/>
        <w:spacing w:line="211" w:lineRule="auto"/>
        <w:rPr>
          <w:rtl/>
        </w:rPr>
      </w:pPr>
      <w:r w:rsidRPr="00DD5ED6">
        <w:rPr>
          <w:rFonts w:hint="cs"/>
          <w:rtl/>
        </w:rPr>
        <w:t>4</w:t>
      </w:r>
      <w:r>
        <w:rPr>
          <w:rFonts w:hint="cs"/>
          <w:rtl/>
        </w:rPr>
        <w:t xml:space="preserve"> ـ </w:t>
      </w:r>
      <w:r w:rsidRPr="00DD5ED6">
        <w:rPr>
          <w:rFonts w:hint="cs"/>
          <w:rtl/>
        </w:rPr>
        <w:t>البلوغ: فلا ولاية للصبي القاصر على نفسه، فلا يجوز أن تكون له ولاية على غيره، ففاقد الشيء لا يعطيه.</w:t>
      </w:r>
    </w:p>
    <w:p w:rsidR="00A67CCA" w:rsidRPr="00DD5ED6" w:rsidRDefault="00A67CCA" w:rsidP="00FC2087">
      <w:pPr>
        <w:pStyle w:val="ac"/>
        <w:spacing w:line="211" w:lineRule="auto"/>
        <w:rPr>
          <w:rtl/>
        </w:rPr>
      </w:pPr>
      <w:r w:rsidRPr="00DD5ED6">
        <w:rPr>
          <w:rFonts w:hint="cs"/>
          <w:rtl/>
        </w:rPr>
        <w:t>5</w:t>
      </w:r>
      <w:r>
        <w:rPr>
          <w:rFonts w:hint="cs"/>
          <w:rtl/>
        </w:rPr>
        <w:t xml:space="preserve"> ـ </w:t>
      </w:r>
      <w:r w:rsidRPr="00DD5ED6">
        <w:rPr>
          <w:rFonts w:hint="cs"/>
          <w:rtl/>
        </w:rPr>
        <w:t>عدم الإحرام بالحجّ أو العمرة: وهذا شرط مؤقت بزمن، هو وقت الإحرام؛ لأنّ المحرم لا يجوز له أن يعقد عقد زواج، ولا أن يأتي امرأته، فمن باب أولى ليس له ولاية الزواج أيضاً.</w:t>
      </w:r>
    </w:p>
    <w:p w:rsidR="00A67CCA" w:rsidRPr="00DD5ED6" w:rsidRDefault="00A67CCA" w:rsidP="00FC2087">
      <w:pPr>
        <w:pStyle w:val="ac"/>
        <w:rPr>
          <w:rtl/>
        </w:rPr>
      </w:pPr>
      <w:r w:rsidRPr="00DD5ED6">
        <w:rPr>
          <w:rFonts w:hint="cs"/>
          <w:rtl/>
        </w:rPr>
        <w:t>6</w:t>
      </w:r>
      <w:r>
        <w:rPr>
          <w:rFonts w:hint="cs"/>
          <w:rtl/>
        </w:rPr>
        <w:t xml:space="preserve"> ـ </w:t>
      </w:r>
      <w:r w:rsidRPr="00DD5ED6">
        <w:rPr>
          <w:rFonts w:hint="cs"/>
          <w:rtl/>
        </w:rPr>
        <w:t>العدالة: أي أن يكون مجتنباً لارتكاب الكبائر، وفي هذا الشرط خلافات تفصيلية.</w:t>
      </w:r>
    </w:p>
    <w:p w:rsidR="00A67CCA" w:rsidRPr="00DD5ED6" w:rsidRDefault="00A67CCA" w:rsidP="00FC2087">
      <w:pPr>
        <w:pStyle w:val="afffffc"/>
        <w:rPr>
          <w:rtl/>
        </w:rPr>
      </w:pPr>
    </w:p>
    <w:p w:rsidR="00A67CCA" w:rsidRPr="00C57806" w:rsidRDefault="00A67CCA" w:rsidP="00FC2087">
      <w:pPr>
        <w:pStyle w:val="2"/>
        <w:rPr>
          <w:rtl/>
        </w:rPr>
      </w:pPr>
      <w:bookmarkStart w:id="360" w:name="_Toc275128080"/>
      <w:r w:rsidRPr="00C57806">
        <w:rPr>
          <w:rFonts w:hint="cs"/>
          <w:rtl/>
        </w:rPr>
        <w:t>من تجوز ولايته</w:t>
      </w:r>
      <w:r w:rsidRPr="00815C4C">
        <w:rPr>
          <w:rFonts w:ascii="Arno Pro Display" w:hAnsi="Arno Pro Display" w:cs="Taher"/>
          <w:szCs w:val="30"/>
          <w:vertAlign w:val="superscript"/>
          <w:rtl/>
        </w:rPr>
        <w:t>(</w:t>
      </w:r>
      <w:r w:rsidRPr="00815C4C">
        <w:rPr>
          <w:rFonts w:ascii="Arno Pro Display" w:hAnsi="Arno Pro Display" w:cs="Taher"/>
          <w:szCs w:val="30"/>
          <w:vertAlign w:val="superscript"/>
          <w:rtl/>
        </w:rPr>
        <w:footnoteReference w:id="657"/>
      </w:r>
      <w:r w:rsidRPr="00815C4C">
        <w:rPr>
          <w:rFonts w:ascii="Arno Pro Display" w:hAnsi="Arno Pro Display" w:cs="Taher"/>
          <w:szCs w:val="30"/>
          <w:vertAlign w:val="superscript"/>
          <w:rtl/>
        </w:rPr>
        <w:t>)</w:t>
      </w:r>
      <w:bookmarkEnd w:id="360"/>
    </w:p>
    <w:p w:rsidR="00A67CCA" w:rsidRPr="00DD5ED6" w:rsidRDefault="00A67CCA" w:rsidP="00A67CCA">
      <w:pPr>
        <w:pStyle w:val="ac"/>
        <w:rPr>
          <w:rtl/>
        </w:rPr>
      </w:pPr>
      <w:r w:rsidRPr="00DD5ED6">
        <w:rPr>
          <w:rFonts w:hint="cs"/>
          <w:rtl/>
        </w:rPr>
        <w:t>اختلف الفقهاء فيمن تجوز ولايتهم؛ فجمهور فقهاء المذاهب الأربعة، ومنهم الإمام مالك، والشافعي، وأحمد بن حنبل وغيرهم، يرون أن الأولياء في الزواج، هم العصبة، والعصبة هم الأقارب من الذكور الذين تثبت قرابتهم بواسطة الذكورة، أما القرابة عن طريق الأنثى فليسوا بعصبة، ولا تجوز ولايتهم في عقد الزواج، أمّا الحنفية فيرون أن كلّ من له حقّ الميراث، سواء أكان بالفرض أو بالتعصيب، له الولاية في الزواج.</w:t>
      </w:r>
    </w:p>
    <w:p w:rsidR="00A67CCA" w:rsidRPr="00DD5ED6" w:rsidRDefault="00A67CCA" w:rsidP="00FC2087">
      <w:pPr>
        <w:pStyle w:val="ac"/>
        <w:rPr>
          <w:rtl/>
        </w:rPr>
      </w:pPr>
      <w:r w:rsidRPr="00DD5ED6">
        <w:rPr>
          <w:rFonts w:hint="cs"/>
          <w:rtl/>
        </w:rPr>
        <w:t>أمّا المرأة التي لا ولي لها، فإن لم تختر بنفسها وليها، فالسلطان ولي من لا ولي له، وقد زوّج النجاشي رسول الله، وإذا وجد الكفء للمرأة فليس للولي منع المرأة من الزواج، فقد قال رسول الله</w:t>
      </w:r>
      <w:r w:rsidR="00C86626">
        <w:rPr>
          <w:rFonts w:hint="cs"/>
          <w:rtl/>
        </w:rPr>
        <w:t>’</w:t>
      </w:r>
      <w:r w:rsidRPr="00DD5ED6">
        <w:rPr>
          <w:rFonts w:hint="cs"/>
          <w:rtl/>
        </w:rPr>
        <w:t xml:space="preserve">: </w:t>
      </w:r>
      <w:r w:rsidRPr="00617008">
        <w:rPr>
          <w:rtl/>
        </w:rPr>
        <w:t>«</w:t>
      </w:r>
      <w:r w:rsidRPr="00DD5ED6">
        <w:rPr>
          <w:rFonts w:hint="cs"/>
          <w:rtl/>
        </w:rPr>
        <w:t>إذا جاءكم من ترضون دينه وخلقه فزوجوه</w:t>
      </w:r>
      <w:r>
        <w:rPr>
          <w:rFonts w:hint="cs"/>
          <w:rtl/>
        </w:rPr>
        <w:t xml:space="preserve"> ـ </w:t>
      </w:r>
      <w:r w:rsidRPr="00DD5ED6">
        <w:rPr>
          <w:rFonts w:hint="cs"/>
          <w:rtl/>
        </w:rPr>
        <w:t>وفي رواية ف</w:t>
      </w:r>
      <w:r>
        <w:rPr>
          <w:rFonts w:hint="cs"/>
          <w:rtl/>
        </w:rPr>
        <w:t>أ</w:t>
      </w:r>
      <w:r w:rsidRPr="00DD5ED6">
        <w:rPr>
          <w:rFonts w:hint="cs"/>
          <w:rtl/>
        </w:rPr>
        <w:t>نكحوه</w:t>
      </w:r>
      <w:r>
        <w:rPr>
          <w:rFonts w:hint="cs"/>
          <w:rtl/>
        </w:rPr>
        <w:t xml:space="preserve"> ـ </w:t>
      </w:r>
      <w:r w:rsidRPr="00DD5ED6">
        <w:rPr>
          <w:rFonts w:hint="cs"/>
          <w:rtl/>
        </w:rPr>
        <w:t xml:space="preserve">إن لم تفعلوا تكن فتنة في الأرض وفسادٌ كبير، قالوا: يا رسول الله، وإن كان </w:t>
      </w:r>
      <w:r w:rsidRPr="00DD5ED6">
        <w:rPr>
          <w:rFonts w:hint="cs"/>
          <w:rtl/>
        </w:rPr>
        <w:lastRenderedPageBreak/>
        <w:t>فيه! قال: إذا جاءكم من ترضون دينه وخلقه فأنكحوه، ثلاثة مرات</w:t>
      </w:r>
      <w:r w:rsidRPr="00617008">
        <w:rPr>
          <w:rtl/>
        </w:rPr>
        <w:t>»</w:t>
      </w:r>
      <w:r w:rsidRPr="00DD5ED6">
        <w:rPr>
          <w:rFonts w:hint="cs"/>
          <w:rtl/>
        </w:rPr>
        <w:t>. رواه الترمذي بإسناد حسن عن أبي حاتم.</w:t>
      </w:r>
    </w:p>
    <w:p w:rsidR="00A67CCA" w:rsidRPr="00DD5ED6" w:rsidRDefault="00A67CCA" w:rsidP="00FC2087">
      <w:pPr>
        <w:pStyle w:val="ac"/>
        <w:spacing w:line="199" w:lineRule="auto"/>
        <w:rPr>
          <w:rtl/>
        </w:rPr>
      </w:pPr>
      <w:r w:rsidRPr="00DD5ED6">
        <w:rPr>
          <w:rFonts w:hint="cs"/>
          <w:rtl/>
        </w:rPr>
        <w:t>أمّا المرأة الثيّب البالغة، فتستأذن الأب، استدلالاً بما رو</w:t>
      </w:r>
      <w:r>
        <w:rPr>
          <w:rFonts w:hint="cs"/>
          <w:rtl/>
        </w:rPr>
        <w:t>ي</w:t>
      </w:r>
      <w:r w:rsidRPr="00DD5ED6">
        <w:rPr>
          <w:rFonts w:hint="cs"/>
          <w:rtl/>
        </w:rPr>
        <w:t xml:space="preserve"> عن خنساء بنت خدام الأنصارية أن أباها زوّجها وهي ثيب وبالغة، فأتت رسول الله</w:t>
      </w:r>
      <w:r w:rsidR="00C86626">
        <w:rPr>
          <w:rFonts w:hint="cs"/>
          <w:rtl/>
        </w:rPr>
        <w:t>’</w:t>
      </w:r>
      <w:r w:rsidRPr="00DD5ED6">
        <w:rPr>
          <w:rFonts w:hint="cs"/>
          <w:rtl/>
        </w:rPr>
        <w:t xml:space="preserve">، فردّ نكاحها، وقال: </w:t>
      </w:r>
      <w:r w:rsidRPr="00617008">
        <w:rPr>
          <w:rtl/>
        </w:rPr>
        <w:t>«</w:t>
      </w:r>
      <w:r w:rsidRPr="00DD5ED6">
        <w:rPr>
          <w:rFonts w:hint="cs"/>
          <w:rtl/>
        </w:rPr>
        <w:t>لا تنكح الأيم حتى تستأمر، ولا تنكح البكر حتى تستأذن، فقالوا: يا رسول الله! وكيف إذنها؟ قال: أن تسكت</w:t>
      </w:r>
      <w:r w:rsidRPr="00617008">
        <w:rPr>
          <w:rtl/>
        </w:rPr>
        <w:t>»</w:t>
      </w:r>
      <w:r w:rsidRPr="00DD5ED6">
        <w:rPr>
          <w:rFonts w:hint="cs"/>
          <w:rtl/>
        </w:rPr>
        <w:t>.</w:t>
      </w:r>
    </w:p>
    <w:p w:rsidR="00A67CCA" w:rsidRPr="00DD5ED6" w:rsidRDefault="00A67CCA" w:rsidP="00FC2087">
      <w:pPr>
        <w:pStyle w:val="ac"/>
        <w:spacing w:line="202" w:lineRule="auto"/>
        <w:rPr>
          <w:rtl/>
        </w:rPr>
      </w:pPr>
      <w:r w:rsidRPr="00DD5ED6">
        <w:rPr>
          <w:rFonts w:hint="cs"/>
          <w:b/>
          <w:bCs/>
          <w:rtl/>
        </w:rPr>
        <w:t>الركن الرابع: الشهود</w:t>
      </w:r>
      <w:r w:rsidRPr="00815C4C">
        <w:rPr>
          <w:rFonts w:cs="Taher"/>
          <w:vertAlign w:val="superscript"/>
          <w:rtl/>
        </w:rPr>
        <w:t>(</w:t>
      </w:r>
      <w:r w:rsidRPr="00815C4C">
        <w:rPr>
          <w:rFonts w:cs="Taher"/>
          <w:vertAlign w:val="superscript"/>
          <w:rtl/>
        </w:rPr>
        <w:footnoteReference w:id="658"/>
      </w:r>
      <w:r w:rsidRPr="00815C4C">
        <w:rPr>
          <w:rFonts w:cs="Taher"/>
          <w:vertAlign w:val="superscript"/>
          <w:rtl/>
        </w:rPr>
        <w:t>)</w:t>
      </w:r>
      <w:r w:rsidRPr="00DD5ED6">
        <w:rPr>
          <w:rFonts w:hint="cs"/>
          <w:b/>
          <w:bCs/>
          <w:rtl/>
        </w:rPr>
        <w:t>،</w:t>
      </w:r>
      <w:r w:rsidRPr="00DD5ED6">
        <w:rPr>
          <w:rFonts w:hint="cs"/>
          <w:rtl/>
        </w:rPr>
        <w:t xml:space="preserve"> شرّع الإشهاد على عقد الزواج لكونه من ألوان الإعلان عن قيام الرابطة الزوجية الشرعية بين رجل وامرأة؛ وذلك للتفرقة بين الزواج الشرعي القائم على الأسس الإسلامية وبين السفاح الذي يحدث في السر، ولابدّ في عقد الزواج من شاهدين على الفقه السنّي</w:t>
      </w:r>
      <w:r>
        <w:rPr>
          <w:rFonts w:hint="cs"/>
          <w:rtl/>
        </w:rPr>
        <w:t xml:space="preserve"> دون الشيعي</w:t>
      </w:r>
      <w:r w:rsidRPr="00DD5ED6">
        <w:rPr>
          <w:rFonts w:hint="cs"/>
          <w:rtl/>
        </w:rPr>
        <w:t>، أي لا ينعقد العقد إلا بحضور شاهدين، وقد اختلف الفقهاء في كون الشهادة من أركان عقد الزواج أم أنّها شرطٌ من شروطه، ونحن نرى أن الشهادة ركنٌ من أركانه؛ لقوله</w:t>
      </w:r>
      <w:r w:rsidR="00C86626">
        <w:rPr>
          <w:rFonts w:hint="cs"/>
          <w:rtl/>
        </w:rPr>
        <w:t>’</w:t>
      </w:r>
      <w:r w:rsidRPr="00DD5ED6">
        <w:rPr>
          <w:rFonts w:hint="cs"/>
          <w:rtl/>
        </w:rPr>
        <w:t xml:space="preserve"> في الحديث الصحيح: </w:t>
      </w:r>
      <w:r w:rsidRPr="00617008">
        <w:rPr>
          <w:rtl/>
        </w:rPr>
        <w:t>«</w:t>
      </w:r>
      <w:r w:rsidRPr="00DD5ED6">
        <w:rPr>
          <w:rFonts w:hint="cs"/>
          <w:rtl/>
        </w:rPr>
        <w:t>لا نكاح إلا بوليّ وشاهدي عدل</w:t>
      </w:r>
      <w:r w:rsidRPr="00617008">
        <w:rPr>
          <w:rtl/>
        </w:rPr>
        <w:t>»</w:t>
      </w:r>
      <w:r w:rsidRPr="00DD5ED6">
        <w:rPr>
          <w:rFonts w:hint="cs"/>
          <w:rtl/>
        </w:rPr>
        <w:t>، فقد ساوى الحديث بين الولي الذي بغيابه يبطل العقد وبين الشهود، وبذلك يكون الشهود من أركان عقد الزواج وليس شرطاً من شروطه، وممّا يدلّ على ذلك أيضاً قول رسول الله</w:t>
      </w:r>
      <w:r w:rsidR="00C86626">
        <w:rPr>
          <w:rFonts w:hint="cs"/>
          <w:rtl/>
        </w:rPr>
        <w:t>’</w:t>
      </w:r>
      <w:r w:rsidRPr="00DD5ED6">
        <w:rPr>
          <w:rFonts w:hint="cs"/>
          <w:rtl/>
        </w:rPr>
        <w:t xml:space="preserve">: </w:t>
      </w:r>
      <w:r w:rsidRPr="00617008">
        <w:rPr>
          <w:rtl/>
        </w:rPr>
        <w:t>«</w:t>
      </w:r>
      <w:r w:rsidRPr="00DD5ED6">
        <w:rPr>
          <w:rFonts w:hint="cs"/>
          <w:rtl/>
        </w:rPr>
        <w:t>البغايا اللائي ينكحن أنفسهنّ بغير بينة</w:t>
      </w:r>
      <w:r w:rsidRPr="00617008">
        <w:rPr>
          <w:rtl/>
        </w:rPr>
        <w:t>»</w:t>
      </w:r>
      <w:r w:rsidRPr="00DD5ED6">
        <w:rPr>
          <w:rFonts w:hint="cs"/>
          <w:rtl/>
        </w:rPr>
        <w:t xml:space="preserve"> أي شهود.</w:t>
      </w:r>
    </w:p>
    <w:p w:rsidR="00A67CCA" w:rsidRPr="00DD5ED6" w:rsidRDefault="00A67CCA" w:rsidP="00FC2087">
      <w:pPr>
        <w:pStyle w:val="ac"/>
        <w:spacing w:line="202" w:lineRule="auto"/>
        <w:rPr>
          <w:rtl/>
        </w:rPr>
      </w:pPr>
      <w:r w:rsidRPr="00DD5ED6">
        <w:rPr>
          <w:rFonts w:hint="cs"/>
          <w:rtl/>
        </w:rPr>
        <w:t xml:space="preserve">وقد </w:t>
      </w:r>
      <w:r>
        <w:rPr>
          <w:rFonts w:hint="cs"/>
          <w:rtl/>
        </w:rPr>
        <w:t>ا</w:t>
      </w:r>
      <w:r w:rsidRPr="00DD5ED6">
        <w:rPr>
          <w:rFonts w:hint="cs"/>
          <w:rtl/>
        </w:rPr>
        <w:t>شترط الفقهاء في الشهود بعض الشروط هي: 1</w:t>
      </w:r>
      <w:r>
        <w:rPr>
          <w:rFonts w:hint="cs"/>
          <w:rtl/>
        </w:rPr>
        <w:t xml:space="preserve"> ـ </w:t>
      </w:r>
      <w:r w:rsidRPr="00DD5ED6">
        <w:rPr>
          <w:rFonts w:hint="cs"/>
          <w:rtl/>
        </w:rPr>
        <w:t>الإسلام. 2</w:t>
      </w:r>
      <w:r>
        <w:rPr>
          <w:rFonts w:hint="cs"/>
          <w:rtl/>
        </w:rPr>
        <w:t xml:space="preserve"> ـ </w:t>
      </w:r>
      <w:r w:rsidRPr="00DD5ED6">
        <w:rPr>
          <w:rFonts w:hint="cs"/>
          <w:rtl/>
        </w:rPr>
        <w:t>العقل.</w:t>
      </w:r>
      <w:r>
        <w:rPr>
          <w:rtl/>
        </w:rPr>
        <w:br/>
      </w:r>
      <w:r w:rsidRPr="00DD5ED6">
        <w:rPr>
          <w:rFonts w:hint="cs"/>
          <w:rtl/>
        </w:rPr>
        <w:t>3</w:t>
      </w:r>
      <w:r>
        <w:rPr>
          <w:rFonts w:hint="cs"/>
          <w:rtl/>
        </w:rPr>
        <w:t xml:space="preserve"> ـ </w:t>
      </w:r>
      <w:r w:rsidRPr="00DD5ED6">
        <w:rPr>
          <w:rFonts w:hint="cs"/>
          <w:rtl/>
        </w:rPr>
        <w:t>العدالة، أي اجتناب الكبائر. 4</w:t>
      </w:r>
      <w:r>
        <w:rPr>
          <w:rFonts w:hint="cs"/>
          <w:rtl/>
        </w:rPr>
        <w:t xml:space="preserve"> ـ </w:t>
      </w:r>
      <w:r w:rsidRPr="00DD5ED6">
        <w:rPr>
          <w:rFonts w:hint="cs"/>
          <w:rtl/>
        </w:rPr>
        <w:t>البلوغ.</w:t>
      </w:r>
      <w:r>
        <w:rPr>
          <w:rFonts w:hint="cs"/>
          <w:rtl/>
        </w:rPr>
        <w:t xml:space="preserve"> </w:t>
      </w:r>
      <w:r w:rsidRPr="00DD5ED6">
        <w:rPr>
          <w:rFonts w:hint="cs"/>
          <w:rtl/>
        </w:rPr>
        <w:t>5</w:t>
      </w:r>
      <w:r>
        <w:rPr>
          <w:rFonts w:hint="cs"/>
          <w:rtl/>
        </w:rPr>
        <w:t xml:space="preserve"> ـ </w:t>
      </w:r>
      <w:r w:rsidRPr="00DD5ED6">
        <w:rPr>
          <w:rFonts w:hint="cs"/>
          <w:rtl/>
        </w:rPr>
        <w:t>الذكورة. 6</w:t>
      </w:r>
      <w:r>
        <w:rPr>
          <w:rFonts w:hint="cs"/>
          <w:rtl/>
        </w:rPr>
        <w:t xml:space="preserve"> ـ </w:t>
      </w:r>
      <w:r w:rsidRPr="00DD5ED6">
        <w:rPr>
          <w:rFonts w:hint="cs"/>
          <w:rtl/>
        </w:rPr>
        <w:t>ألا يكون أصمّ وأخرس، وهذا شرط بديهي حتى يفهم ما يُقال وما يقول، وقد سبق أن درسنا هذه الشروط.</w:t>
      </w:r>
    </w:p>
    <w:p w:rsidR="00A67CCA" w:rsidRPr="00DD5ED6" w:rsidRDefault="00A67CCA" w:rsidP="00FC2087">
      <w:pPr>
        <w:pStyle w:val="ac"/>
        <w:spacing w:line="202" w:lineRule="auto"/>
        <w:rPr>
          <w:rtl/>
        </w:rPr>
      </w:pPr>
      <w:r w:rsidRPr="00DD5ED6">
        <w:rPr>
          <w:rFonts w:hint="cs"/>
          <w:b/>
          <w:bCs/>
          <w:rtl/>
        </w:rPr>
        <w:t>حكم المهر</w:t>
      </w:r>
      <w:r w:rsidRPr="00815C4C">
        <w:rPr>
          <w:rFonts w:cs="Taher"/>
          <w:vertAlign w:val="superscript"/>
          <w:rtl/>
        </w:rPr>
        <w:t>(</w:t>
      </w:r>
      <w:r w:rsidRPr="00815C4C">
        <w:rPr>
          <w:rFonts w:cs="Taher"/>
          <w:vertAlign w:val="superscript"/>
          <w:rtl/>
        </w:rPr>
        <w:footnoteReference w:id="659"/>
      </w:r>
      <w:r w:rsidRPr="00815C4C">
        <w:rPr>
          <w:rFonts w:cs="Taher"/>
          <w:vertAlign w:val="superscript"/>
          <w:rtl/>
        </w:rPr>
        <w:t>)</w:t>
      </w:r>
      <w:r w:rsidRPr="00DD5ED6">
        <w:rPr>
          <w:rFonts w:hint="cs"/>
          <w:b/>
          <w:bCs/>
          <w:rtl/>
        </w:rPr>
        <w:t>:</w:t>
      </w:r>
      <w:r w:rsidRPr="00DD5ED6">
        <w:rPr>
          <w:rFonts w:hint="cs"/>
          <w:rtl/>
        </w:rPr>
        <w:t xml:space="preserve"> جمهور فقهاء السنّة متفق على أنّ المهر لس ركناً من أركان عقد الزواج، إلا المالكية، فقد عدّوه ركناً من أركان عقد الزواج، كما أنه ليس شرطاً من </w:t>
      </w:r>
      <w:r w:rsidRPr="00DD5ED6">
        <w:rPr>
          <w:rFonts w:hint="cs"/>
          <w:rtl/>
        </w:rPr>
        <w:lastRenderedPageBreak/>
        <w:t>شروطه، بل هو حقّ للمرأة، وهو أثر من الآثار التي ترتّب على عقد الزواج، ولا يملك الزوج ولا الزوجة ولا أولياؤها إخلاء طرف الزوج منه، وقد ثبت بأدلّة من القرآن الكريم والسنّة النبوية وجوب المهر.</w:t>
      </w:r>
    </w:p>
    <w:p w:rsidR="00A67CCA" w:rsidRPr="00DD5ED6" w:rsidRDefault="00A67CCA" w:rsidP="00FC2087">
      <w:pPr>
        <w:pStyle w:val="ac"/>
        <w:spacing w:line="199" w:lineRule="auto"/>
        <w:rPr>
          <w:rFonts w:cs="AL-Mohanad"/>
          <w:rtl/>
        </w:rPr>
      </w:pPr>
      <w:r w:rsidRPr="00A67CCA">
        <w:rPr>
          <w:rFonts w:hint="cs"/>
          <w:rtl/>
        </w:rPr>
        <w:t xml:space="preserve">أما القرآن الكريم، فقال تعالى: </w:t>
      </w:r>
      <w:r w:rsidRPr="00A67CCA">
        <w:rPr>
          <w:rFonts w:hint="cs"/>
        </w:rPr>
        <w:sym w:font="Islamic Units 1" w:char="F03E"/>
      </w:r>
      <w:r w:rsidRPr="00A67CCA">
        <w:rPr>
          <w:b/>
          <w:bCs/>
          <w:rtl/>
        </w:rPr>
        <w:t>وَأُحِلَّ لَكُم مَّا وَرَاء ذَلِكُمْ أَن تَبْتَغُواْ بِأَمْوَالِكُم مُّحْصِنِينَ غَيْرَ مُسَافِحِينَ فَمَا اسْتَمْتَعْتُم بِهِ مِنْهُنَّ فَآتُوهُنَّ أُجُورَهُنَّ فَرِيضَةً</w:t>
      </w:r>
      <w:r w:rsidRPr="00A67CCA">
        <w:rPr>
          <w:rFonts w:hint="cs"/>
          <w:b/>
          <w:bCs/>
        </w:rPr>
        <w:sym w:font="Islamic Units 1" w:char="F03C"/>
      </w:r>
      <w:r w:rsidRPr="00A67CCA">
        <w:rPr>
          <w:rFonts w:hint="cs"/>
          <w:rtl/>
        </w:rPr>
        <w:t xml:space="preserve"> (النساء: 4)، حيث تبين هذه الآية أن المهر فريضة من الفرائض</w:t>
      </w:r>
      <w:r w:rsidRPr="00815C4C">
        <w:rPr>
          <w:rFonts w:cs="Taher"/>
          <w:vertAlign w:val="superscript"/>
          <w:rtl/>
        </w:rPr>
        <w:t>(</w:t>
      </w:r>
      <w:r w:rsidRPr="00815C4C">
        <w:rPr>
          <w:rFonts w:cs="Taher"/>
          <w:vertAlign w:val="superscript"/>
          <w:rtl/>
        </w:rPr>
        <w:footnoteReference w:id="660"/>
      </w:r>
      <w:r w:rsidRPr="00815C4C">
        <w:rPr>
          <w:rFonts w:cs="Taher"/>
          <w:vertAlign w:val="superscript"/>
          <w:rtl/>
        </w:rPr>
        <w:t>)</w:t>
      </w:r>
      <w:r w:rsidRPr="00A67CCA">
        <w:rPr>
          <w:rFonts w:hint="cs"/>
          <w:rtl/>
        </w:rPr>
        <w:t>.</w:t>
      </w:r>
    </w:p>
    <w:p w:rsidR="00A67CCA" w:rsidRPr="00FC2087" w:rsidRDefault="00A67CCA" w:rsidP="00FC2087">
      <w:pPr>
        <w:pStyle w:val="afffffc"/>
        <w:rPr>
          <w:sz w:val="16"/>
          <w:szCs w:val="14"/>
          <w:rtl/>
        </w:rPr>
      </w:pPr>
    </w:p>
    <w:p w:rsidR="00A67CCA" w:rsidRPr="00DD5ED6" w:rsidRDefault="00A67CCA" w:rsidP="00FC2087">
      <w:pPr>
        <w:pStyle w:val="2"/>
        <w:rPr>
          <w:rFonts w:cs="AL-Mohanad"/>
          <w:szCs w:val="27"/>
          <w:rtl/>
        </w:rPr>
      </w:pPr>
      <w:bookmarkStart w:id="361" w:name="_Toc275128081"/>
      <w:r w:rsidRPr="00C57806">
        <w:rPr>
          <w:rFonts w:hint="cs"/>
          <w:rtl/>
        </w:rPr>
        <w:t>الكفاءة في الزواج</w:t>
      </w:r>
      <w:r w:rsidRPr="00815C4C">
        <w:rPr>
          <w:rFonts w:ascii="Arno Pro Display" w:hAnsi="Arno Pro Display" w:cs="Taher"/>
          <w:szCs w:val="30"/>
          <w:vertAlign w:val="superscript"/>
          <w:rtl/>
        </w:rPr>
        <w:t>(</w:t>
      </w:r>
      <w:r w:rsidRPr="00815C4C">
        <w:rPr>
          <w:rFonts w:ascii="Arno Pro Display" w:hAnsi="Arno Pro Display" w:cs="Taher"/>
          <w:szCs w:val="30"/>
          <w:vertAlign w:val="superscript"/>
          <w:rtl/>
        </w:rPr>
        <w:footnoteReference w:id="661"/>
      </w:r>
      <w:r w:rsidRPr="00815C4C">
        <w:rPr>
          <w:rFonts w:ascii="Arno Pro Display" w:hAnsi="Arno Pro Display" w:cs="Taher"/>
          <w:szCs w:val="30"/>
          <w:vertAlign w:val="superscript"/>
          <w:rtl/>
        </w:rPr>
        <w:t>)</w:t>
      </w:r>
      <w:bookmarkEnd w:id="361"/>
    </w:p>
    <w:p w:rsidR="00A67CCA" w:rsidRPr="00DD5ED6" w:rsidRDefault="00A67CCA" w:rsidP="00FC2087">
      <w:pPr>
        <w:pStyle w:val="ac"/>
        <w:spacing w:line="199" w:lineRule="auto"/>
        <w:rPr>
          <w:rtl/>
        </w:rPr>
      </w:pPr>
      <w:r w:rsidRPr="00DD5ED6">
        <w:rPr>
          <w:rFonts w:hint="cs"/>
          <w:rtl/>
        </w:rPr>
        <w:t>الكفاءة</w:t>
      </w:r>
      <w:r>
        <w:rPr>
          <w:rFonts w:hint="cs"/>
          <w:rtl/>
        </w:rPr>
        <w:t xml:space="preserve"> ـ </w:t>
      </w:r>
      <w:r w:rsidRPr="00DD5ED6">
        <w:rPr>
          <w:rFonts w:hint="cs"/>
          <w:rtl/>
        </w:rPr>
        <w:t>لغةً</w:t>
      </w:r>
      <w:r>
        <w:rPr>
          <w:rFonts w:hint="cs"/>
          <w:rtl/>
        </w:rPr>
        <w:t xml:space="preserve"> ـ </w:t>
      </w:r>
      <w:r w:rsidRPr="00DD5ED6">
        <w:rPr>
          <w:rFonts w:hint="cs"/>
          <w:rtl/>
        </w:rPr>
        <w:t>المماثلة والمساواة، والمقصود بها في الزواج أن يكون الزوجان متساويين في أمور خاصّة، يترتب على عدم التساوي فيها أن لا تستقيم حياتهما في الغالب، وقد استدلّ لذلك بما روي عن علي بن أبي طالب</w:t>
      </w:r>
      <w:r>
        <w:rPr>
          <w:rFonts w:hint="cs"/>
          <w:color w:val="000000"/>
          <w:rtl/>
        </w:rPr>
        <w:t>×</w:t>
      </w:r>
      <w:r w:rsidRPr="00DD5ED6">
        <w:rPr>
          <w:rFonts w:hint="cs"/>
          <w:rtl/>
        </w:rPr>
        <w:t>، قال: قال رسول الله</w:t>
      </w:r>
      <w:r w:rsidR="00C86626">
        <w:rPr>
          <w:rFonts w:hint="cs"/>
          <w:rtl/>
        </w:rPr>
        <w:t>’</w:t>
      </w:r>
      <w:r w:rsidRPr="00DD5ED6">
        <w:rPr>
          <w:rFonts w:hint="cs"/>
          <w:rtl/>
        </w:rPr>
        <w:t>:</w:t>
      </w:r>
      <w:r w:rsidRPr="00DD5ED6">
        <w:rPr>
          <w:rFonts w:hint="cs"/>
          <w:sz w:val="29"/>
          <w:rtl/>
        </w:rPr>
        <w:t xml:space="preserve"> </w:t>
      </w:r>
      <w:r w:rsidRPr="00617008">
        <w:rPr>
          <w:rtl/>
        </w:rPr>
        <w:t>«</w:t>
      </w:r>
      <w:r w:rsidRPr="00DD5ED6">
        <w:rPr>
          <w:rFonts w:hint="cs"/>
          <w:rtl/>
        </w:rPr>
        <w:t>ثلاث لا تؤخرها: الصلاة إذا أتت، الجنازة إذا حضرت، الأيم إذا وجد كف</w:t>
      </w:r>
      <w:r>
        <w:rPr>
          <w:rFonts w:hint="cs"/>
          <w:rtl/>
        </w:rPr>
        <w:t>ؤ</w:t>
      </w:r>
      <w:r w:rsidRPr="00DD5ED6">
        <w:rPr>
          <w:rFonts w:hint="cs"/>
          <w:rtl/>
        </w:rPr>
        <w:t>ها</w:t>
      </w:r>
      <w:r w:rsidRPr="00617008">
        <w:rPr>
          <w:rtl/>
        </w:rPr>
        <w:t>»</w:t>
      </w:r>
      <w:r w:rsidRPr="00DD5ED6">
        <w:rPr>
          <w:rFonts w:hint="cs"/>
          <w:rtl/>
        </w:rPr>
        <w:t>، وما روي عن عائشة، أن رسول الله</w:t>
      </w:r>
      <w:r w:rsidR="00C86626">
        <w:rPr>
          <w:rFonts w:hint="cs"/>
          <w:rtl/>
        </w:rPr>
        <w:t>’</w:t>
      </w:r>
      <w:r w:rsidRPr="00DD5ED6">
        <w:rPr>
          <w:rFonts w:hint="cs"/>
          <w:rtl/>
        </w:rPr>
        <w:t xml:space="preserve"> قال: </w:t>
      </w:r>
      <w:r w:rsidRPr="00617008">
        <w:rPr>
          <w:rtl/>
        </w:rPr>
        <w:t>«</w:t>
      </w:r>
      <w:r w:rsidRPr="00DD5ED6">
        <w:rPr>
          <w:rFonts w:hint="cs"/>
          <w:rtl/>
        </w:rPr>
        <w:t>أنكحوا الأكفاء</w:t>
      </w:r>
      <w:r w:rsidRPr="00617008">
        <w:rPr>
          <w:rtl/>
        </w:rPr>
        <w:t>»</w:t>
      </w:r>
      <w:r w:rsidRPr="00DD5ED6">
        <w:rPr>
          <w:rFonts w:hint="cs"/>
          <w:rtl/>
        </w:rPr>
        <w:t>، وما روي عن عمر بن الخطاب قال:</w:t>
      </w:r>
      <w:r w:rsidRPr="00DD5ED6">
        <w:rPr>
          <w:rFonts w:hint="cs"/>
          <w:sz w:val="29"/>
          <w:rtl/>
        </w:rPr>
        <w:t xml:space="preserve"> </w:t>
      </w:r>
      <w:r w:rsidRPr="00617008">
        <w:rPr>
          <w:rtl/>
        </w:rPr>
        <w:t>«</w:t>
      </w:r>
      <w:r w:rsidRPr="00DD5ED6">
        <w:rPr>
          <w:rFonts w:hint="cs"/>
          <w:rtl/>
        </w:rPr>
        <w:t>لأمنعنّ فروج ذوات الأحساب إلا من الأكفاء</w:t>
      </w:r>
      <w:r w:rsidRPr="00617008">
        <w:rPr>
          <w:rtl/>
        </w:rPr>
        <w:t>»</w:t>
      </w:r>
      <w:r w:rsidRPr="00DD5ED6">
        <w:rPr>
          <w:rFonts w:hint="cs"/>
          <w:rtl/>
        </w:rPr>
        <w:t xml:space="preserve">، فضلاً عن الحديث السابق: </w:t>
      </w:r>
      <w:r w:rsidRPr="00617008">
        <w:rPr>
          <w:rtl/>
        </w:rPr>
        <w:t>«</w:t>
      </w:r>
      <w:r w:rsidRPr="00DD5ED6">
        <w:rPr>
          <w:rFonts w:hint="cs"/>
          <w:rtl/>
        </w:rPr>
        <w:t>إذا جاءكم من ترضون دينه وخلقه فزوّجوه، أو فأنكحوه</w:t>
      </w:r>
      <w:r w:rsidRPr="00617008">
        <w:rPr>
          <w:rtl/>
        </w:rPr>
        <w:t>»</w:t>
      </w:r>
      <w:r w:rsidRPr="00DD5ED6">
        <w:rPr>
          <w:rFonts w:hint="cs"/>
          <w:rtl/>
        </w:rPr>
        <w:t>.</w:t>
      </w:r>
    </w:p>
    <w:p w:rsidR="00A67CCA" w:rsidRPr="00DD5ED6" w:rsidRDefault="00A67CCA" w:rsidP="00FC2087">
      <w:pPr>
        <w:pStyle w:val="ac"/>
        <w:spacing w:line="199" w:lineRule="auto"/>
        <w:rPr>
          <w:rtl/>
        </w:rPr>
      </w:pPr>
      <w:r w:rsidRPr="00DD5ED6">
        <w:rPr>
          <w:rFonts w:hint="cs"/>
          <w:rtl/>
        </w:rPr>
        <w:t>والكفاءة ليست شرطاً من شروط صحّة الزوج، لكنّها حقّ من حقوق المرأة، والمقصود بها ألا يكون الرجل أقلّ من المرأة مكانةً وأخلاقاً، أو على صعيد المركز الاجتماعي، وهي تكريم للمرأة، وهي شرط في الرجل دون المرأة، أما وقت الاعتبار بالكفاءة فهو وقت إنشاء عقد الزواج، فإن تخلّفت بعد ذلك فلا يعتدّ بها.</w:t>
      </w:r>
    </w:p>
    <w:p w:rsidR="00A67CCA" w:rsidRPr="00FC2087" w:rsidRDefault="00A67CCA" w:rsidP="00FC2087">
      <w:pPr>
        <w:pStyle w:val="afffffc"/>
        <w:spacing w:line="199" w:lineRule="auto"/>
        <w:rPr>
          <w:sz w:val="22"/>
          <w:szCs w:val="20"/>
          <w:rtl/>
        </w:rPr>
      </w:pPr>
    </w:p>
    <w:p w:rsidR="00A67CCA" w:rsidRPr="00DD5ED6" w:rsidRDefault="00A67CCA" w:rsidP="00FC2087">
      <w:pPr>
        <w:pStyle w:val="2"/>
        <w:rPr>
          <w:rFonts w:cs="AL-Mohanad"/>
          <w:szCs w:val="27"/>
          <w:rtl/>
        </w:rPr>
      </w:pPr>
      <w:bookmarkStart w:id="362" w:name="_Toc275128082"/>
      <w:r w:rsidRPr="00C57806">
        <w:rPr>
          <w:rFonts w:hint="cs"/>
          <w:rtl/>
        </w:rPr>
        <w:t>شرط مستحدث للزواج في القانون الوضعي، شرط التوثيق</w:t>
      </w:r>
      <w:bookmarkEnd w:id="362"/>
    </w:p>
    <w:p w:rsidR="00A67CCA" w:rsidRPr="00DD5ED6" w:rsidRDefault="00A67CCA" w:rsidP="00A67CCA">
      <w:pPr>
        <w:pStyle w:val="ac"/>
        <w:rPr>
          <w:rtl/>
        </w:rPr>
      </w:pPr>
      <w:r w:rsidRPr="00DD5ED6">
        <w:rPr>
          <w:rFonts w:hint="cs"/>
          <w:rtl/>
        </w:rPr>
        <w:t xml:space="preserve">ما سلف ذكره حتى الآن هو الأركان المطلوبة شرعاً في عقد الزواج، فإذا تخلّف </w:t>
      </w:r>
      <w:r w:rsidRPr="00DD5ED6">
        <w:rPr>
          <w:rFonts w:hint="cs"/>
          <w:rtl/>
        </w:rPr>
        <w:lastRenderedPageBreak/>
        <w:t>أحدها بطل الزواج، أما اليوم، فقد أضاف القانون الوضعي في مصر، شرطاً إلى ما سلف، وهو التوثيق الذي نصّ عليه في الرسوم بقانون رقم (78) لسنة 1931م، من المادة (99) منه.</w:t>
      </w:r>
    </w:p>
    <w:p w:rsidR="00A67CCA" w:rsidRPr="00DD5ED6" w:rsidRDefault="00A67CCA" w:rsidP="00A67CCA">
      <w:pPr>
        <w:pStyle w:val="ac"/>
        <w:rPr>
          <w:rtl/>
        </w:rPr>
      </w:pPr>
      <w:r w:rsidRPr="00DD5ED6">
        <w:rPr>
          <w:rFonts w:hint="cs"/>
          <w:rtl/>
        </w:rPr>
        <w:t>وهذا الشرط لما كان لا يحلّ حراماً، ولا يحرم حلالاً، فهو من شروط صحّة عقد الزواج لكنّه لا يعدّ ركناً، إلا أنه يمكن اعتباره جزءاً من ركن الإشهاد ويندرج تحت حكمه، مما يجعله لازماً في هذه الأيام، بعد أن فسدت الذمم وخرجت النفوس، وأصبحت المادّة هي معيار كل شيء. فلا جناح علينا إذا لم نأخذ بها بشرط أن يكون عقد الزواج مكتمل الأركان السابق الحديث عنها، إلا أنّ الضرورة في الوقت الحاضر تفرض علينا فرضاً الأخذ بالتوثيق؛ لأنه ليس فيه ضرر، كما أنه أنفع للزوجين وأوليائهم والناس جميعاً، بعد أن كثرت الناس كثيرا</w:t>
      </w:r>
      <w:r>
        <w:rPr>
          <w:rFonts w:hint="cs"/>
          <w:rtl/>
        </w:rPr>
        <w:t>ً</w:t>
      </w:r>
      <w:r w:rsidRPr="00DD5ED6">
        <w:rPr>
          <w:rFonts w:hint="cs"/>
          <w:rtl/>
        </w:rPr>
        <w:t>، وظهر الفساد في البر والبحر بما كسبت أيدي هؤلاء الناس.</w:t>
      </w:r>
    </w:p>
    <w:p w:rsidR="00A67CCA" w:rsidRPr="00FC2087" w:rsidRDefault="00A67CCA" w:rsidP="00FC2087">
      <w:pPr>
        <w:pStyle w:val="afffffc"/>
        <w:rPr>
          <w:sz w:val="14"/>
          <w:szCs w:val="12"/>
          <w:rtl/>
        </w:rPr>
      </w:pPr>
    </w:p>
    <w:p w:rsidR="00A67CCA" w:rsidRPr="00CD3FAA" w:rsidRDefault="00A67CCA" w:rsidP="00A67CCA">
      <w:pPr>
        <w:pStyle w:val="1"/>
        <w:rPr>
          <w:rtl/>
        </w:rPr>
      </w:pPr>
      <w:bookmarkStart w:id="363" w:name="_Toc275128083"/>
      <w:r w:rsidRPr="00CD3FAA">
        <w:rPr>
          <w:rFonts w:hint="cs"/>
          <w:rtl/>
        </w:rPr>
        <w:t>المبحث الثاني</w:t>
      </w:r>
      <w:r>
        <w:rPr>
          <w:rFonts w:hint="cs"/>
          <w:rtl/>
        </w:rPr>
        <w:t xml:space="preserve">: </w:t>
      </w:r>
      <w:r w:rsidRPr="00CD3FAA">
        <w:rPr>
          <w:rFonts w:hint="cs"/>
          <w:rtl/>
        </w:rPr>
        <w:t>أنكحة مختلف عليها</w:t>
      </w:r>
      <w:bookmarkEnd w:id="363"/>
    </w:p>
    <w:p w:rsidR="00A67CCA" w:rsidRDefault="00A67CCA" w:rsidP="00FC2087">
      <w:pPr>
        <w:pStyle w:val="2"/>
        <w:rPr>
          <w:rtl/>
        </w:rPr>
      </w:pPr>
      <w:bookmarkStart w:id="364" w:name="_Toc275128084"/>
      <w:r>
        <w:rPr>
          <w:rFonts w:hint="cs"/>
          <w:rtl/>
        </w:rPr>
        <w:t>أولاًً: زواج المسيار</w:t>
      </w:r>
      <w:r w:rsidRPr="00815C4C">
        <w:rPr>
          <w:rFonts w:ascii="Arno Pro Display" w:hAnsi="Arno Pro Display" w:cs="Taher"/>
          <w:szCs w:val="30"/>
          <w:vertAlign w:val="superscript"/>
          <w:rtl/>
        </w:rPr>
        <w:t>(</w:t>
      </w:r>
      <w:r w:rsidRPr="00815C4C">
        <w:rPr>
          <w:rFonts w:ascii="Arno Pro Display" w:hAnsi="Arno Pro Display" w:cs="Taher"/>
          <w:szCs w:val="30"/>
          <w:vertAlign w:val="superscript"/>
          <w:rtl/>
        </w:rPr>
        <w:footnoteReference w:id="662"/>
      </w:r>
      <w:r w:rsidRPr="00815C4C">
        <w:rPr>
          <w:rFonts w:ascii="Arno Pro Display" w:hAnsi="Arno Pro Display" w:cs="Taher"/>
          <w:szCs w:val="30"/>
          <w:vertAlign w:val="superscript"/>
          <w:rtl/>
        </w:rPr>
        <w:t>)</w:t>
      </w:r>
      <w:bookmarkEnd w:id="364"/>
    </w:p>
    <w:p w:rsidR="00A67CCA" w:rsidRPr="00DD5ED6" w:rsidRDefault="00A67CCA" w:rsidP="00A67CCA">
      <w:pPr>
        <w:pStyle w:val="ac"/>
        <w:rPr>
          <w:rtl/>
        </w:rPr>
      </w:pPr>
      <w:r w:rsidRPr="00DD5ED6">
        <w:rPr>
          <w:rFonts w:hint="cs"/>
          <w:b/>
          <w:bCs/>
          <w:rtl/>
        </w:rPr>
        <w:t>1</w:t>
      </w:r>
      <w:r>
        <w:rPr>
          <w:rFonts w:hint="cs"/>
          <w:b/>
          <w:bCs/>
          <w:rtl/>
        </w:rPr>
        <w:t xml:space="preserve"> ـ </w:t>
      </w:r>
      <w:r w:rsidRPr="00DD5ED6">
        <w:rPr>
          <w:rFonts w:hint="cs"/>
          <w:b/>
          <w:bCs/>
          <w:rtl/>
        </w:rPr>
        <w:t>ماهية زواج المسيار:</w:t>
      </w:r>
      <w:r w:rsidRPr="00DD5ED6">
        <w:rPr>
          <w:rFonts w:hint="cs"/>
          <w:rtl/>
        </w:rPr>
        <w:t xml:space="preserve"> سمّي بذلك لأنّ الرجل يسير على المرأة من بيتها، أو بيت أبيها، أي يأتيها وهو سائر، وسمّي كذلك بزواج الفهاريات؛ لأنّ الرجل كان يقضي النهار فقط مع المرأة، نسبةً إلى لغة أهل نجد.</w:t>
      </w:r>
    </w:p>
    <w:p w:rsidR="00A67CCA" w:rsidRPr="00DD5ED6" w:rsidRDefault="00A67CCA" w:rsidP="00A67CCA">
      <w:pPr>
        <w:pStyle w:val="ac"/>
        <w:rPr>
          <w:rtl/>
        </w:rPr>
      </w:pPr>
      <w:r w:rsidRPr="00DD5ED6">
        <w:rPr>
          <w:rFonts w:hint="cs"/>
          <w:rtl/>
        </w:rPr>
        <w:t>وهذا الزواج كان معروفاً في أيام الإسلام الأولى، ويقوم على شرط إقامة الزوجة في بيت أبيها أو بيتها، ويأتيها زوجها فمتى شاء أتى أو حينما يمرّ على البلد الذي تقيم فيها.</w:t>
      </w:r>
    </w:p>
    <w:p w:rsidR="00A67CCA" w:rsidRPr="00DD5ED6" w:rsidRDefault="00A67CCA" w:rsidP="00A67CCA">
      <w:pPr>
        <w:pStyle w:val="ac"/>
        <w:rPr>
          <w:rtl/>
        </w:rPr>
      </w:pPr>
      <w:r w:rsidRPr="00DD5ED6">
        <w:rPr>
          <w:rFonts w:hint="cs"/>
          <w:rtl/>
        </w:rPr>
        <w:t xml:space="preserve">ولفظ مسيار له أصلٌ في التاريخ قديماً وحديثاً، فمن تابع تاريخ الرحّالة الأوائل يجد أن بعضهم كان يحلّ ببلدة طلباً للعلم أو الرزق، ويمكث فيها فترة تطول أو تقصر، </w:t>
      </w:r>
      <w:r w:rsidRPr="00DD5ED6">
        <w:rPr>
          <w:rFonts w:hint="cs"/>
          <w:rtl/>
        </w:rPr>
        <w:lastRenderedPageBreak/>
        <w:t>ويتزوج من هذه البلد، وقد يولد له ولد، ثم بعد ذلك يتابع هجرته ويرحل إلى بلد آخر، إكمالاً لمسيرته تاركاً زوجته وأولاده، إما بطلاق أو بغيره، وتوافق الزوجة على ذلك.</w:t>
      </w:r>
    </w:p>
    <w:p w:rsidR="00A67CCA" w:rsidRPr="00DD5ED6" w:rsidRDefault="00A67CCA" w:rsidP="00A67CCA">
      <w:pPr>
        <w:pStyle w:val="ac"/>
        <w:rPr>
          <w:rtl/>
        </w:rPr>
      </w:pPr>
      <w:r w:rsidRPr="00DD5ED6">
        <w:rPr>
          <w:rFonts w:hint="cs"/>
          <w:b/>
          <w:bCs/>
          <w:rtl/>
        </w:rPr>
        <w:t>2</w:t>
      </w:r>
      <w:r>
        <w:rPr>
          <w:rFonts w:hint="cs"/>
          <w:b/>
          <w:bCs/>
          <w:rtl/>
        </w:rPr>
        <w:t xml:space="preserve"> ـ </w:t>
      </w:r>
      <w:r w:rsidRPr="00DD5ED6">
        <w:rPr>
          <w:rFonts w:hint="cs"/>
          <w:b/>
          <w:bCs/>
          <w:rtl/>
        </w:rPr>
        <w:t xml:space="preserve">حكم زواج المسيار في الشريعة الإسلامية: </w:t>
      </w:r>
      <w:r w:rsidRPr="00DD5ED6">
        <w:rPr>
          <w:rFonts w:hint="cs"/>
          <w:rtl/>
        </w:rPr>
        <w:t>اختلف الفقهاء في حكم زواج المسيار، ما بين مُحل له ومحرم، وحاكمٍ بالكراهة، وسوف نستعرض آراء كلّ فريق منهم مع التعقيب، ونذكر رأينا في النهاية.</w:t>
      </w:r>
    </w:p>
    <w:p w:rsidR="00A67CCA" w:rsidRPr="00DD5ED6" w:rsidRDefault="00A67CCA" w:rsidP="00FC2087">
      <w:pPr>
        <w:pStyle w:val="ac"/>
        <w:spacing w:line="209" w:lineRule="auto"/>
        <w:rPr>
          <w:rtl/>
        </w:rPr>
      </w:pPr>
      <w:r w:rsidRPr="00DD5ED6">
        <w:rPr>
          <w:rFonts w:hint="cs"/>
          <w:b/>
          <w:bCs/>
          <w:rtl/>
        </w:rPr>
        <w:t xml:space="preserve">الفريق الأول: </w:t>
      </w:r>
      <w:r w:rsidRPr="00DD5ED6">
        <w:rPr>
          <w:rFonts w:hint="cs"/>
          <w:rtl/>
        </w:rPr>
        <w:t xml:space="preserve">ويرى أن زواج المسيار </w:t>
      </w:r>
      <w:r>
        <w:rPr>
          <w:rFonts w:hint="cs"/>
          <w:rtl/>
        </w:rPr>
        <w:t>ح</w:t>
      </w:r>
      <w:r w:rsidRPr="00DD5ED6">
        <w:rPr>
          <w:rFonts w:hint="cs"/>
          <w:rtl/>
        </w:rPr>
        <w:t>لال، والقائلون بذلك جماعة منهم فضيلة المفتي الدكتور نصر فريد واصل، والدكتور عبد الصبور شاهين، وفضيلة الشيخ محمد عاشور وكيل الأزهر الشريف، والدكتورة آمنة نصير عميدة كلية الدراسات الإسلامية للبنات، وجامعة الأزهر، شريطة أن تكون القوامة للمرأة، وأن يكون ذلك في بلد الحالة الاقتصادية فيه مرتفعة، بحيث تملك الفتاة فيه كلّ مقوّمات الحياة من شقة وسيارة وغيرها.</w:t>
      </w:r>
    </w:p>
    <w:p w:rsidR="00A67CCA" w:rsidRPr="00DD5ED6" w:rsidRDefault="00A67CCA" w:rsidP="00FC2087">
      <w:pPr>
        <w:pStyle w:val="ac"/>
        <w:spacing w:line="209" w:lineRule="auto"/>
        <w:rPr>
          <w:rtl/>
        </w:rPr>
      </w:pPr>
      <w:r w:rsidRPr="00DD5ED6">
        <w:rPr>
          <w:rFonts w:hint="cs"/>
          <w:rtl/>
        </w:rPr>
        <w:t>أمّا أدلة القائلين بحلّ زواج المسيار، فمن أباحه ذكر أنّه لابدّ أن تتوافر فيه شروط وأركان عقد الزواج في الشريعة الإسلامية، والمتفق عليها من جمهور الفقهاء</w:t>
      </w:r>
      <w:r>
        <w:rPr>
          <w:rFonts w:hint="cs"/>
          <w:rtl/>
        </w:rPr>
        <w:t xml:space="preserve"> ـ </w:t>
      </w:r>
      <w:r w:rsidRPr="00DD5ED6">
        <w:rPr>
          <w:rFonts w:hint="cs"/>
          <w:rtl/>
        </w:rPr>
        <w:t>والسابق بيانها في المبحث الأول</w:t>
      </w:r>
      <w:r>
        <w:rPr>
          <w:rFonts w:hint="cs"/>
          <w:rtl/>
        </w:rPr>
        <w:t xml:space="preserve"> ـ </w:t>
      </w:r>
      <w:r w:rsidRPr="00DD5ED6">
        <w:rPr>
          <w:rFonts w:hint="cs"/>
          <w:rtl/>
        </w:rPr>
        <w:t>لأن هذه الأركان والشروط هي التي تفرّق بين النكاح والسفاح، وأضافوا أن كلّ زواج تتوافر فيه هذه الأركان والشروط يكون صحيحاً بصرف النظر عن مسمّاه، ما دام غير محدّد المدة.</w:t>
      </w:r>
    </w:p>
    <w:p w:rsidR="00A67CCA" w:rsidRPr="00DD5ED6" w:rsidRDefault="00A67CCA" w:rsidP="00FC2087">
      <w:pPr>
        <w:pStyle w:val="ac"/>
        <w:spacing w:line="209" w:lineRule="auto"/>
        <w:rPr>
          <w:rtl/>
        </w:rPr>
      </w:pPr>
      <w:r w:rsidRPr="00DD5ED6">
        <w:rPr>
          <w:rFonts w:hint="cs"/>
          <w:b/>
          <w:bCs/>
          <w:rtl/>
        </w:rPr>
        <w:t xml:space="preserve">الفريق الثاني: </w:t>
      </w:r>
      <w:r w:rsidRPr="00DD5ED6">
        <w:rPr>
          <w:rFonts w:hint="cs"/>
          <w:rtl/>
        </w:rPr>
        <w:t>ويرون حرمة زواج المسيار، ومنهم الدكتور محمد فؤاد شاكر رئيس قسم الحديث بجامعة عين شمس، والدكتورة ملكة يوسف أستاذ الفقه الإسلامي، و</w:t>
      </w:r>
      <w:r>
        <w:rPr>
          <w:rFonts w:hint="cs"/>
          <w:rtl/>
        </w:rPr>
        <w:t xml:space="preserve">قد </w:t>
      </w:r>
      <w:r w:rsidRPr="00DD5ED6">
        <w:rPr>
          <w:rFonts w:hint="cs"/>
          <w:rtl/>
        </w:rPr>
        <w:t>ذكر الدكتور شاكر أن الإمام أحمد بن حنبل حرّم مثل هذا الزواج، كما ذكرت الدكتور معاذ صالح أن بعض الفقهاء من التابعين حرّم هذا النوع من الزواج ومنهم الحسن البصري، وكذلك حكم ببطلان هذا الزواج شيخ الإسلام ابن تيمية.</w:t>
      </w:r>
    </w:p>
    <w:p w:rsidR="00A67CCA" w:rsidRPr="00DD5ED6" w:rsidRDefault="00A67CCA" w:rsidP="00A67CCA">
      <w:pPr>
        <w:pStyle w:val="ac"/>
        <w:rPr>
          <w:rtl/>
        </w:rPr>
      </w:pPr>
      <w:r w:rsidRPr="00DD5ED6">
        <w:rPr>
          <w:rFonts w:hint="cs"/>
          <w:rtl/>
        </w:rPr>
        <w:t xml:space="preserve">أمّا أدلة هذا الفريق، فقد قال عنه الإمام أحمد بن حنبل: </w:t>
      </w:r>
      <w:r w:rsidRPr="00617008">
        <w:rPr>
          <w:rtl/>
        </w:rPr>
        <w:t>«</w:t>
      </w:r>
      <w:r w:rsidRPr="00DD5ED6">
        <w:rPr>
          <w:rFonts w:hint="cs"/>
          <w:rtl/>
        </w:rPr>
        <w:t>ليس هذا من زواج أهل الإسلام</w:t>
      </w:r>
      <w:r w:rsidRPr="00617008">
        <w:rPr>
          <w:rtl/>
        </w:rPr>
        <w:t>»</w:t>
      </w:r>
      <w:r w:rsidRPr="00DD5ED6">
        <w:rPr>
          <w:rFonts w:hint="cs"/>
          <w:rtl/>
        </w:rPr>
        <w:t xml:space="preserve">، ويظلّ معلقاً برغبة الزواج عندما يأتي إليها ويمكث عندها بعض الوقت </w:t>
      </w:r>
      <w:r w:rsidRPr="00DD5ED6">
        <w:rPr>
          <w:rFonts w:hint="cs"/>
          <w:rtl/>
        </w:rPr>
        <w:lastRenderedPageBreak/>
        <w:t>ليلاً أو نهاراً.</w:t>
      </w:r>
    </w:p>
    <w:p w:rsidR="00A67CCA" w:rsidRPr="00DD5ED6" w:rsidRDefault="00A67CCA" w:rsidP="00FC2087">
      <w:pPr>
        <w:pStyle w:val="ac"/>
        <w:spacing w:line="211" w:lineRule="auto"/>
        <w:rPr>
          <w:rtl/>
        </w:rPr>
      </w:pPr>
      <w:r w:rsidRPr="00DD5ED6">
        <w:rPr>
          <w:rFonts w:hint="cs"/>
          <w:b/>
          <w:bCs/>
          <w:rtl/>
        </w:rPr>
        <w:t xml:space="preserve">الفريق الثالث: </w:t>
      </w:r>
      <w:r w:rsidRPr="00DD5ED6">
        <w:rPr>
          <w:rFonts w:hint="cs"/>
          <w:rtl/>
        </w:rPr>
        <w:t>وهم القائلون بكراهة زواج المسيار، ومنهم الدكتورة سعاد صالح عميد كلية الدراسات الإسلامية والعربية للبنات في الأزهر، وهي ترى أن الأثر المترتب على هذا الزواج يجعله مكروهاً؛ لأنّ فيه تغريراً وخداعاً عندما يغضّ نيّته عن الزوجة وعن وليها، مما جعل بعض الفقهاء يذهب إلى التحريم، لكن هناك بعض المجتمعات الإسلامية التي تفرض فيها الضرورة الاجتماعية هذا الزواج نظراً لزيادة نسبة العنوسة عند الفتيات، وقد أدى هذا النوع من الزواج إلى التخفيف من مشكلة العنوسة، والتي بدأت تظهر في بلداننا، وخاصة في القاهرة الكبرى، وما إعلانات الزواج في الصحف عنّا ببعيد.</w:t>
      </w:r>
    </w:p>
    <w:p w:rsidR="00A67CCA" w:rsidRPr="00DD5ED6" w:rsidRDefault="00A67CCA" w:rsidP="00FC2087">
      <w:pPr>
        <w:pStyle w:val="ac"/>
        <w:spacing w:line="211" w:lineRule="auto"/>
        <w:rPr>
          <w:rtl/>
        </w:rPr>
      </w:pPr>
      <w:r w:rsidRPr="00DD5ED6">
        <w:rPr>
          <w:rFonts w:hint="cs"/>
          <w:rtl/>
        </w:rPr>
        <w:t xml:space="preserve">من جماع ما سلف، يبين أن الذين قالوا بحلّ زواج المسيار اشترطوا فيه أن تتوافر فيه جميع أركان شروط عقد الزواج، ونحن نرى قباحة هذا النوع من الزواج، ولذلك لحل مشكلة العنوسة في مصر، فالمرأة التي لا تتزوج أو تزوجت وطلقت أو رمّلت، تصاب عادة بأمراض نفسية من الوحدة، فضلاً عن أن الجهاز التناسلي للمرأة في حالة عدم استعماله تصاب المرأة </w:t>
      </w:r>
      <w:r w:rsidRPr="00FC2087">
        <w:rPr>
          <w:rFonts w:hint="cs"/>
          <w:sz w:val="31"/>
          <w:szCs w:val="31"/>
          <w:rtl/>
        </w:rPr>
        <w:t>باضطراب نفسي يؤثر على تعاملها مع الناس، ومنهنّ من تمرض نفسياً؛ فهذا الجهاز خلق للاستعمال لا للإهمال ولا حرج في الدين والعلم؛ فلا تستح المرأة من ذلك ولا الرجل، فالغريزة من فطرة الإنسان، ومن يتجاهلها يعادي الفطرة، والإسلام دين الفطرة، فهب أن رجلاً عمل في القاهرة وهو مقيم ومتزوج من إحدى المحافظات الأخرى، وهب امرأةً غير متزوّجة ومقيمة بمفردها في شقة، وهما من الجيران، هل يتزوّجان أم يزنيان فيقعان في الزنا وهو محتمل في مثل هذه الظروف، لذا نحن نقول: زواجٌ مختلف عليه خيرٌ من زنا</w:t>
      </w:r>
      <w:r w:rsidRPr="00DD5ED6">
        <w:rPr>
          <w:rFonts w:hint="cs"/>
          <w:rtl/>
        </w:rPr>
        <w:t xml:space="preserve"> مجمع عليه، والحدود تدرأ بالشبهات.</w:t>
      </w:r>
    </w:p>
    <w:p w:rsidR="00A67CCA" w:rsidRPr="00DD5ED6" w:rsidRDefault="00A67CCA" w:rsidP="00FC2087">
      <w:pPr>
        <w:pStyle w:val="ac"/>
        <w:spacing w:line="211" w:lineRule="auto"/>
        <w:rPr>
          <w:rtl/>
        </w:rPr>
      </w:pPr>
      <w:r w:rsidRPr="00DD5ED6">
        <w:rPr>
          <w:rFonts w:hint="cs"/>
          <w:rtl/>
        </w:rPr>
        <w:t>من هنا، نذهب إلى ما ذهب إليه أنصار الرأي الأول، ونخالف من ذهب إلى غير ذلك.</w:t>
      </w:r>
    </w:p>
    <w:p w:rsidR="00A67CCA" w:rsidRPr="00FC2087" w:rsidRDefault="00A67CCA" w:rsidP="00FC2087">
      <w:pPr>
        <w:pStyle w:val="ac"/>
        <w:spacing w:line="211" w:lineRule="auto"/>
        <w:rPr>
          <w:sz w:val="20"/>
          <w:szCs w:val="18"/>
          <w:rtl/>
        </w:rPr>
      </w:pPr>
    </w:p>
    <w:p w:rsidR="00A67CCA" w:rsidRDefault="00A67CCA" w:rsidP="00FC2087">
      <w:pPr>
        <w:pStyle w:val="2"/>
        <w:rPr>
          <w:rtl/>
        </w:rPr>
      </w:pPr>
      <w:bookmarkStart w:id="365" w:name="_Toc275128085"/>
      <w:r>
        <w:rPr>
          <w:rFonts w:hint="cs"/>
          <w:rtl/>
        </w:rPr>
        <w:lastRenderedPageBreak/>
        <w:t>ثانياً: نكاح الشغار</w:t>
      </w:r>
      <w:r w:rsidRPr="00815C4C">
        <w:rPr>
          <w:rFonts w:ascii="Arno Pro Display" w:hAnsi="Arno Pro Display" w:cs="Taher"/>
          <w:szCs w:val="30"/>
          <w:vertAlign w:val="superscript"/>
          <w:rtl/>
        </w:rPr>
        <w:t>(</w:t>
      </w:r>
      <w:r w:rsidRPr="00815C4C">
        <w:rPr>
          <w:rFonts w:ascii="Arno Pro Display" w:hAnsi="Arno Pro Display" w:cs="Taher"/>
          <w:szCs w:val="30"/>
          <w:vertAlign w:val="superscript"/>
          <w:rtl/>
        </w:rPr>
        <w:footnoteReference w:id="663"/>
      </w:r>
      <w:r w:rsidRPr="00815C4C">
        <w:rPr>
          <w:rFonts w:ascii="Arno Pro Display" w:hAnsi="Arno Pro Display" w:cs="Taher"/>
          <w:szCs w:val="30"/>
          <w:vertAlign w:val="superscript"/>
          <w:rtl/>
        </w:rPr>
        <w:t>)</w:t>
      </w:r>
      <w:bookmarkEnd w:id="365"/>
    </w:p>
    <w:p w:rsidR="00A67CCA" w:rsidRPr="00DD5ED6" w:rsidRDefault="00A67CCA" w:rsidP="00FC2087">
      <w:pPr>
        <w:pStyle w:val="ac"/>
        <w:spacing w:line="202" w:lineRule="auto"/>
        <w:rPr>
          <w:rtl/>
        </w:rPr>
      </w:pPr>
      <w:r w:rsidRPr="00DD5ED6">
        <w:rPr>
          <w:rFonts w:hint="cs"/>
          <w:rtl/>
        </w:rPr>
        <w:t>نكاح الشغار أن يقول وليّ المرأة: زوّجتك بنتي على أن تزوّجني بنتك، ويكون بضع كل منهما صداق الأخرى، فيقبل ذلك، والبضع الفرج، والدليل على حرمة هذا الزواج هو الحديث النبوي المروي عن النبي</w:t>
      </w:r>
      <w:r w:rsidR="00C86626">
        <w:rPr>
          <w:rFonts w:hint="cs"/>
          <w:rtl/>
        </w:rPr>
        <w:t>’</w:t>
      </w:r>
      <w:r w:rsidRPr="00DD5ED6">
        <w:rPr>
          <w:rFonts w:hint="cs"/>
          <w:rtl/>
        </w:rPr>
        <w:t>: حدّثنا عبدالله بن يوسف، أخبرنا مالك، عن نافع، عن ابن عمر، أنّ النبي</w:t>
      </w:r>
      <w:r w:rsidR="00C86626">
        <w:rPr>
          <w:rFonts w:hint="cs"/>
          <w:rtl/>
        </w:rPr>
        <w:t>’</w:t>
      </w:r>
      <w:r w:rsidRPr="00DD5ED6">
        <w:rPr>
          <w:rFonts w:hint="cs"/>
          <w:rtl/>
        </w:rPr>
        <w:t xml:space="preserve"> نهى عن الشغار، والشغار يكون بأن يزوّج كلّ وليّ وليّته للأخر دون صداق مسمى</w:t>
      </w:r>
      <w:r>
        <w:rPr>
          <w:rFonts w:hint="cs"/>
          <w:rtl/>
        </w:rPr>
        <w:t xml:space="preserve"> ـ </w:t>
      </w:r>
      <w:r w:rsidRPr="00DD5ED6">
        <w:rPr>
          <w:rFonts w:hint="cs"/>
          <w:rtl/>
        </w:rPr>
        <w:t>أي خلو بضع كلّ منهما من الصداق</w:t>
      </w:r>
      <w:r>
        <w:rPr>
          <w:rFonts w:hint="cs"/>
          <w:rtl/>
        </w:rPr>
        <w:t xml:space="preserve"> ـ </w:t>
      </w:r>
      <w:r w:rsidRPr="00DD5ED6">
        <w:rPr>
          <w:rFonts w:hint="cs"/>
          <w:rtl/>
        </w:rPr>
        <w:t>وجعل الفرج هو الصداق</w:t>
      </w:r>
      <w:r w:rsidRPr="00617008">
        <w:rPr>
          <w:rtl/>
        </w:rPr>
        <w:t>»</w:t>
      </w:r>
      <w:r w:rsidRPr="00DD5ED6">
        <w:rPr>
          <w:rFonts w:hint="cs"/>
          <w:rtl/>
        </w:rPr>
        <w:t>.</w:t>
      </w:r>
    </w:p>
    <w:p w:rsidR="00A67CCA" w:rsidRPr="00DD5ED6" w:rsidRDefault="00A67CCA" w:rsidP="00FC2087">
      <w:pPr>
        <w:pStyle w:val="ac"/>
        <w:spacing w:line="202" w:lineRule="auto"/>
        <w:rPr>
          <w:rtl/>
        </w:rPr>
      </w:pPr>
      <w:r w:rsidRPr="00DD5ED6">
        <w:rPr>
          <w:rFonts w:hint="cs"/>
          <w:rtl/>
        </w:rPr>
        <w:t>وقد أجمع العلماء على أنّ نكاح الشغار لا يجوز، واختلفوا في صحّته؛ فالجمهور على البطلان، وفي رواية عن الإمام مالك يفسخ قبل الدخول لا بعده، ومثل ذلك ذهب الأوزاعي، وذهب الحنفية إلى صحّته مع وجوب مهر المثل لكلّ منهما، وأيّده في ذلك كلّ من قول الزهري، ومكحول، والثوري، والليث بن سعد، وفي رواية عن أحمد واسحاق وأبي ثور، كذلك قال الشافعي، وقد قال الشافعي: إن النساء محرّمات إلا ما أحلّ الله أو ملك يمين، فإذا ورد النهي عن نكاح تأكّد التحريم.</w:t>
      </w:r>
    </w:p>
    <w:p w:rsidR="00A67CCA" w:rsidRPr="00DD5ED6" w:rsidRDefault="00A67CCA" w:rsidP="00FC2087">
      <w:pPr>
        <w:pStyle w:val="ac"/>
        <w:spacing w:line="202" w:lineRule="auto"/>
        <w:rPr>
          <w:rtl/>
        </w:rPr>
      </w:pPr>
      <w:r w:rsidRPr="00DD5ED6">
        <w:rPr>
          <w:rFonts w:hint="cs"/>
          <w:rtl/>
        </w:rPr>
        <w:t>وقال بعضٌ: إن لم يجعلا البضع صداقاً بأن سكتا عن ذلك فيهما صحّ نكاح كلّ منهما؛ لأنه ليس فيه إلا شرط عقد، وهو لا يفسد النكاح، ويجب مهر المثل لكلّ واحدة</w:t>
      </w:r>
      <w:r w:rsidRPr="00815C4C">
        <w:rPr>
          <w:rFonts w:cs="Taher"/>
          <w:vertAlign w:val="superscript"/>
          <w:rtl/>
        </w:rPr>
        <w:t>(</w:t>
      </w:r>
      <w:r w:rsidRPr="00815C4C">
        <w:rPr>
          <w:rFonts w:cs="Taher"/>
          <w:vertAlign w:val="superscript"/>
          <w:rtl/>
        </w:rPr>
        <w:footnoteReference w:id="664"/>
      </w:r>
      <w:r w:rsidRPr="00815C4C">
        <w:rPr>
          <w:rFonts w:cs="Taher"/>
          <w:vertAlign w:val="superscript"/>
          <w:rtl/>
        </w:rPr>
        <w:t>)</w:t>
      </w:r>
      <w:r w:rsidRPr="00DD5ED6">
        <w:rPr>
          <w:rFonts w:hint="cs"/>
          <w:rtl/>
        </w:rPr>
        <w:t>، والذي نراه أنّ المنهي عنه من النبي دائماً فاسد وباطل، وهذا منه.</w:t>
      </w:r>
    </w:p>
    <w:p w:rsidR="00A67CCA" w:rsidRPr="00FC2087" w:rsidRDefault="00A67CCA" w:rsidP="00FC2087">
      <w:pPr>
        <w:pStyle w:val="afffffc"/>
        <w:rPr>
          <w:sz w:val="16"/>
          <w:szCs w:val="14"/>
          <w:rtl/>
        </w:rPr>
      </w:pPr>
    </w:p>
    <w:p w:rsidR="00A67CCA" w:rsidRPr="0047470F" w:rsidRDefault="00A67CCA" w:rsidP="00A67CCA">
      <w:pPr>
        <w:pStyle w:val="1"/>
        <w:rPr>
          <w:rtl/>
        </w:rPr>
      </w:pPr>
      <w:bookmarkStart w:id="366" w:name="_Toc275128086"/>
      <w:r w:rsidRPr="0047470F">
        <w:rPr>
          <w:rFonts w:hint="cs"/>
          <w:rtl/>
        </w:rPr>
        <w:t>المبحث الثالث</w:t>
      </w:r>
      <w:r>
        <w:rPr>
          <w:rFonts w:hint="cs"/>
          <w:rtl/>
        </w:rPr>
        <w:t xml:space="preserve">: </w:t>
      </w:r>
      <w:r w:rsidRPr="0047470F">
        <w:rPr>
          <w:rFonts w:hint="cs"/>
          <w:rtl/>
        </w:rPr>
        <w:t>حكم الزواج العرفي في الشريعة ال</w:t>
      </w:r>
      <w:r>
        <w:rPr>
          <w:rFonts w:hint="cs"/>
          <w:rtl/>
        </w:rPr>
        <w:t>إسلام</w:t>
      </w:r>
      <w:r w:rsidRPr="0047470F">
        <w:rPr>
          <w:rFonts w:hint="cs"/>
          <w:rtl/>
        </w:rPr>
        <w:t>ية</w:t>
      </w:r>
      <w:bookmarkEnd w:id="366"/>
    </w:p>
    <w:p w:rsidR="00A67CCA" w:rsidRDefault="00A67CCA" w:rsidP="00FC2087">
      <w:pPr>
        <w:pStyle w:val="1"/>
        <w:spacing w:line="180" w:lineRule="auto"/>
        <w:rPr>
          <w:rtl/>
        </w:rPr>
      </w:pPr>
      <w:bookmarkStart w:id="367" w:name="_Toc275128087"/>
      <w:r>
        <w:rPr>
          <w:rFonts w:hint="cs"/>
          <w:rtl/>
        </w:rPr>
        <w:t>حقيقة الزواج العرفي</w:t>
      </w:r>
      <w:bookmarkEnd w:id="367"/>
    </w:p>
    <w:p w:rsidR="00A67CCA" w:rsidRPr="00DD5ED6" w:rsidRDefault="00A67CCA" w:rsidP="00A67CCA">
      <w:pPr>
        <w:pStyle w:val="ac"/>
        <w:rPr>
          <w:rtl/>
        </w:rPr>
      </w:pPr>
      <w:r w:rsidRPr="00DD5ED6">
        <w:rPr>
          <w:rFonts w:hint="cs"/>
          <w:rtl/>
        </w:rPr>
        <w:t>الزواج العرفي</w:t>
      </w:r>
      <w:r>
        <w:rPr>
          <w:rFonts w:hint="cs"/>
          <w:rtl/>
        </w:rPr>
        <w:t xml:space="preserve"> ـ </w:t>
      </w:r>
      <w:r w:rsidRPr="00DD5ED6">
        <w:rPr>
          <w:rFonts w:hint="cs"/>
          <w:rtl/>
        </w:rPr>
        <w:t>والمنتشر حالياً خاصّة بين شباب الجامعات في مصر</w:t>
      </w:r>
      <w:r>
        <w:rPr>
          <w:rFonts w:hint="cs"/>
          <w:rtl/>
        </w:rPr>
        <w:t xml:space="preserve"> ـ </w:t>
      </w:r>
      <w:r w:rsidRPr="00DD5ED6">
        <w:rPr>
          <w:rFonts w:hint="cs"/>
          <w:rtl/>
        </w:rPr>
        <w:t>عبارة عن ورقة يكتبها رجلٌ أو شاب إلى امرأة أو فتاة، يقرّ فيها بأنه تزوّج هذه المرأة أو الفتاة، وقد يُشهد عليها بعض الزملاء، أو قد تكون الورقة خالية من الشهود، مع ذكر مهرٍ رمزي.</w:t>
      </w:r>
    </w:p>
    <w:p w:rsidR="00A67CCA" w:rsidRPr="00DD5ED6" w:rsidRDefault="00A67CCA" w:rsidP="00FC2087">
      <w:pPr>
        <w:pStyle w:val="ac"/>
        <w:spacing w:line="209" w:lineRule="auto"/>
        <w:rPr>
          <w:rtl/>
        </w:rPr>
      </w:pPr>
      <w:r w:rsidRPr="00DD5ED6">
        <w:rPr>
          <w:rFonts w:hint="cs"/>
          <w:rtl/>
        </w:rPr>
        <w:lastRenderedPageBreak/>
        <w:t>هذه الورقة، لا تعتبر عقد زواج بأيّ حال من الأحوال، بل هي عقد اتفاق على الزنا؛ لخلوّها من جلّ أركان وشروط عقد الزواج في الإسلام، وليس كما يدعى بعضهم من أنّه زواج مكتمل الأركان والشروط، غايته غير موثق لدى المأذون، طبقاً للمادة (99) من المرسوم بقانون رقم 87 لسنة1931م، وهذا النوع باطل بطلاناً مطلقاً، إذا تحدّثنا بلغة الفقه القانوني الوضعي، أما في الشريعة فهو باطل.</w:t>
      </w:r>
    </w:p>
    <w:p w:rsidR="00A67CCA" w:rsidRPr="00DD5ED6" w:rsidRDefault="00A67CCA" w:rsidP="00FC2087">
      <w:pPr>
        <w:pStyle w:val="ac"/>
        <w:spacing w:line="209" w:lineRule="auto"/>
        <w:rPr>
          <w:rtl/>
        </w:rPr>
      </w:pPr>
      <w:r w:rsidRPr="00DD5ED6">
        <w:rPr>
          <w:rFonts w:hint="cs"/>
          <w:rtl/>
        </w:rPr>
        <w:t>لقد خلطت بعض الآراء بين الزواج العرفي المعاصر السالف ذكره، وبين الزواج في العهد الإسلامي السابق على التوثيق، بصورة لو استخدمنا مصطلحاتها لأضفينا الشرعية على علاقات العشق في المجتمعات الغربية باعتبارها نوعاً من تعدّد الزوجات، ولاعتبرناه</w:t>
      </w:r>
      <w:r>
        <w:rPr>
          <w:rFonts w:hint="cs"/>
          <w:rtl/>
        </w:rPr>
        <w:t>ا</w:t>
      </w:r>
      <w:r w:rsidRPr="00DD5ED6">
        <w:rPr>
          <w:rFonts w:hint="cs"/>
          <w:rtl/>
        </w:rPr>
        <w:t xml:space="preserve"> تطبيقا رشيداً أو فطرياً لتعدّد الزوجات في الإسلام</w:t>
      </w:r>
      <w:r w:rsidRPr="00815C4C">
        <w:rPr>
          <w:rFonts w:cs="Taher"/>
          <w:vertAlign w:val="superscript"/>
          <w:rtl/>
        </w:rPr>
        <w:t>(</w:t>
      </w:r>
      <w:r w:rsidRPr="00815C4C">
        <w:rPr>
          <w:rFonts w:cs="Taher"/>
          <w:vertAlign w:val="superscript"/>
          <w:rtl/>
        </w:rPr>
        <w:footnoteReference w:id="665"/>
      </w:r>
      <w:r w:rsidRPr="00815C4C">
        <w:rPr>
          <w:rFonts w:cs="Taher"/>
          <w:vertAlign w:val="superscript"/>
          <w:rtl/>
        </w:rPr>
        <w:t>)</w:t>
      </w:r>
      <w:r w:rsidRPr="00DD5ED6">
        <w:rPr>
          <w:rFonts w:hint="cs"/>
          <w:rtl/>
        </w:rPr>
        <w:t>.</w:t>
      </w:r>
    </w:p>
    <w:p w:rsidR="00A67CCA" w:rsidRPr="00DD5ED6" w:rsidRDefault="00A67CCA" w:rsidP="00FC2087">
      <w:pPr>
        <w:pStyle w:val="ac"/>
        <w:spacing w:line="209" w:lineRule="auto"/>
        <w:rPr>
          <w:rtl/>
        </w:rPr>
      </w:pPr>
      <w:r w:rsidRPr="00DD5ED6">
        <w:rPr>
          <w:rFonts w:hint="cs"/>
          <w:rtl/>
        </w:rPr>
        <w:t>إنّ المنحرفين هم الذين استخدموا هذا المصطلح (زواج عرفي)، وقد استخدموه لجعل العلاقة غير المشروعة مقبولةً نفسياً، كما أنه يريح ضمير مرتكب الزنا</w:t>
      </w:r>
      <w:r w:rsidRPr="00815C4C">
        <w:rPr>
          <w:rFonts w:cs="Taher"/>
          <w:vertAlign w:val="superscript"/>
          <w:rtl/>
        </w:rPr>
        <w:t>(</w:t>
      </w:r>
      <w:r w:rsidRPr="00815C4C">
        <w:rPr>
          <w:rFonts w:cs="Taher"/>
          <w:vertAlign w:val="superscript"/>
          <w:rtl/>
        </w:rPr>
        <w:footnoteReference w:id="666"/>
      </w:r>
      <w:r w:rsidRPr="00815C4C">
        <w:rPr>
          <w:rFonts w:cs="Taher"/>
          <w:vertAlign w:val="superscript"/>
          <w:rtl/>
        </w:rPr>
        <w:t>)</w:t>
      </w:r>
      <w:r w:rsidRPr="00DD5ED6">
        <w:rPr>
          <w:rFonts w:hint="cs"/>
          <w:rtl/>
        </w:rPr>
        <w:t>، والمشكلة في الزواج العرفي ليست نظرية، بمعنى أن الزواج العرفي يعني الزواج الإسلامي المعتاد، ولكنه غير موثق كما سبق أن ذكرنا آنفاً، وبالتالي يكون شرعياً، بحيث ينحصر الخلاف في التوثيق من عدمه، ومن ثمّ لا يطال أركان الزواج الأخرى في الإسلام من الولي، وشاهدي عدل، والإشهار والإعلان، كما أن الخلاف في ضرورة تطابق هذه الأركان الثوابت بكل تمايزاتها بين المذاهب المختلفة، مع الواقعة الجديدة المسمّاة بالزواج العرفي في مصر في أواخر القرن العشرين، فليس المهمّ الأسماء بل المضمون؟</w:t>
      </w:r>
    </w:p>
    <w:p w:rsidR="00A67CCA" w:rsidRPr="00DD5ED6" w:rsidRDefault="00A67CCA" w:rsidP="00A67CCA">
      <w:pPr>
        <w:pStyle w:val="ac"/>
        <w:rPr>
          <w:rtl/>
        </w:rPr>
      </w:pPr>
      <w:r w:rsidRPr="00DD5ED6">
        <w:rPr>
          <w:rFonts w:hint="cs"/>
          <w:rtl/>
        </w:rPr>
        <w:t xml:space="preserve">إنّ السائد في الزواج العرفي هو السرية، بلا إعلان أو إشهار، وبلا ولي وبلا شهود غالباً، ويفتقد إلى معظم أركان عقد الزواج، فهو ليس بزواج بل زنا إجماعاً؛ فكلّ أشكال الزواج العرفي السرّي في مصر الآن ملوثة وغير شرعية، إن الفقه يطبّق النص </w:t>
      </w:r>
      <w:r w:rsidRPr="00DD5ED6">
        <w:rPr>
          <w:rFonts w:hint="cs"/>
          <w:rtl/>
        </w:rPr>
        <w:lastRenderedPageBreak/>
        <w:t>على الواقع، والواقع أن الزواج العرفي السائد هو الزواج السرّي الباطل شرعاً، بل هو عقد مكتوب على الزنا، ولا تنطبق عليه ضوابط العلاقة الزوجية في الإسلام.</w:t>
      </w:r>
    </w:p>
    <w:p w:rsidR="00A67CCA" w:rsidRPr="00DD5ED6" w:rsidRDefault="00A67CCA" w:rsidP="00FC2087">
      <w:pPr>
        <w:pStyle w:val="ac"/>
        <w:spacing w:line="211" w:lineRule="auto"/>
        <w:rPr>
          <w:rtl/>
        </w:rPr>
      </w:pPr>
      <w:r w:rsidRPr="00DD5ED6">
        <w:rPr>
          <w:rFonts w:hint="cs"/>
          <w:rtl/>
        </w:rPr>
        <w:t>ويذكر بعض الشيوخ منذ فترة كلاماً غير متسق حول الزواج العرفي، فيقول بعضهم: إنه جائز، لكنّه مكروه، ويقول آخرون: مكروه كراهةً تصل إلى التحريم، وهم يردّدون</w:t>
      </w:r>
      <w:r>
        <w:rPr>
          <w:rFonts w:hint="cs"/>
          <w:rtl/>
        </w:rPr>
        <w:t xml:space="preserve"> ـ </w:t>
      </w:r>
      <w:r w:rsidRPr="00DD5ED6">
        <w:rPr>
          <w:rFonts w:hint="cs"/>
          <w:rtl/>
        </w:rPr>
        <w:t>تضليلاً</w:t>
      </w:r>
      <w:r>
        <w:rPr>
          <w:rFonts w:hint="cs"/>
          <w:rtl/>
        </w:rPr>
        <w:t xml:space="preserve"> ـ </w:t>
      </w:r>
      <w:r w:rsidRPr="00DD5ED6">
        <w:rPr>
          <w:rFonts w:hint="cs"/>
          <w:rtl/>
        </w:rPr>
        <w:t xml:space="preserve">أن الزواج العرفي هو الذي كان موجوداً في أيام الإسلام الأولى، حيث لم يكن هناك مأذون، وهذا حقّ يراد به باطل؛ لأنّ المشكلة ليست في عدم وثيق العقد، وإنّما في عدم توافر الأركان والشروط الشرعية المطلوبة في الزواج حتى يكون شرعياً؛ فيجب أن نفرّق بين الزواج مكتمل الأركان والشروط طبقاً لأحكام الشريعة الإسلامية. وبين الزواج السرّي السائد الآن، فالأول زواجٌ صحيح وشرعي، ومن الأولى إطلاق لفظ (عرفي) عليه؛ لأنه متعارف عليه </w:t>
      </w:r>
      <w:r>
        <w:rPr>
          <w:rFonts w:hint="cs"/>
          <w:rtl/>
        </w:rPr>
        <w:t xml:space="preserve">عند </w:t>
      </w:r>
      <w:r w:rsidRPr="00DD5ED6">
        <w:rPr>
          <w:rFonts w:hint="cs"/>
          <w:rtl/>
        </w:rPr>
        <w:t>الناس وأصبح معروفاً، والمعروف عرفاً كالمشروط شرطاً، وقد أصبح عرفاً سائداً في حياة الناس من كثرة تواتر أعمالهم وأحوالهم عليه، أما الثاني، فلا يصحّ شرعاً أن يطلق عليه (زواج)؛ لأنّ هذه الكلمة لها مكانتها في الإسلام، لا تقل عن مكانة الصوم والصلاة؛ فالزواج عبادة، كأيّ عبادة في الإسلام، لها أركان وشروط ينبغي أن تتوافر حتى تتمّ وتكتمل وتكون صحيحةً، أما دون ذلك فليس بعبادة، إذاً فليس بزواج، أما إذا أطلقنا عليه تعبير الزواج العرفي فسيكون ذلك تحايلاً على أحكام الشريعة الإسلامية، بل هو زنا، ويصح أن يطلق عليه: عقد زنا مكتوب أو اتفاق زنا</w:t>
      </w:r>
      <w:r w:rsidRPr="00815C4C">
        <w:rPr>
          <w:rFonts w:cs="Taher"/>
          <w:vertAlign w:val="superscript"/>
          <w:rtl/>
        </w:rPr>
        <w:t>(</w:t>
      </w:r>
      <w:r w:rsidRPr="00815C4C">
        <w:rPr>
          <w:rFonts w:cs="Taher"/>
          <w:vertAlign w:val="superscript"/>
          <w:rtl/>
        </w:rPr>
        <w:footnoteReference w:id="667"/>
      </w:r>
      <w:r w:rsidRPr="00815C4C">
        <w:rPr>
          <w:rFonts w:cs="Taher"/>
          <w:vertAlign w:val="superscript"/>
          <w:rtl/>
        </w:rPr>
        <w:t>)</w:t>
      </w:r>
      <w:r w:rsidRPr="00DD5ED6">
        <w:rPr>
          <w:rFonts w:hint="cs"/>
          <w:rtl/>
        </w:rPr>
        <w:t>.</w:t>
      </w:r>
    </w:p>
    <w:p w:rsidR="00A67CCA" w:rsidRPr="00DD5ED6" w:rsidRDefault="00A67CCA" w:rsidP="00FC2087">
      <w:pPr>
        <w:pStyle w:val="ac"/>
        <w:spacing w:line="211" w:lineRule="auto"/>
        <w:rPr>
          <w:rtl/>
        </w:rPr>
      </w:pPr>
      <w:r w:rsidRPr="00DD5ED6">
        <w:rPr>
          <w:rFonts w:hint="cs"/>
          <w:rtl/>
        </w:rPr>
        <w:t xml:space="preserve">وقد أيّد فضيلة المفتي الدكتور نصر فريد واصل مفتي الجمهورية ما نقول، وقال: إنّ مجمع البحوث الإسلامية اتخذ قراراً باعتبار الزواج العرفي زنا؛ لأنه لا تتوافر فيه أركان عقد الزواج الصحيح، وأضاف فضيلته: إنّ المجمع أرسل توجيهاته في هذا الشأن إلى </w:t>
      </w:r>
      <w:r w:rsidRPr="00DD5ED6">
        <w:rPr>
          <w:rFonts w:hint="cs"/>
          <w:rtl/>
        </w:rPr>
        <w:lastRenderedPageBreak/>
        <w:t>مجلس الشعب، وإلى فضيلة الإمام الأكبر، وزاد على ما سبق: لا يكفي عدم الاعتراف بهذا الزواج، وإنما يجب أن تكون هناك عقوبة تعزيرية للمخالفين، وطالب فضيلته بتعديل المواد الخاصّة بالزواج العرفي من القانون، وفقاً لتوجيهات المجمع محافظةً على المجتمع وغلقاً لهذا الباب الذي يمكنه أن يدمّر شباناً، ويسقط الدولة في مزبلة التاريخ الذي لا يرحم، ولنا في التاريخ مثال على ذلك، حينما صرّح رئيس وزراء فرنسا بعد الحرب العالمية: لم تهزمنا الحرب، ولكن هزمتنا النساء؛ بانحلالهنّ؛ فهل بعد قول أهل الذكر قول.</w:t>
      </w:r>
    </w:p>
    <w:p w:rsidR="00A67CCA" w:rsidRPr="00DD5ED6" w:rsidRDefault="00A67CCA" w:rsidP="00A67CCA">
      <w:pPr>
        <w:pStyle w:val="ac"/>
        <w:rPr>
          <w:rtl/>
        </w:rPr>
      </w:pPr>
      <w:r w:rsidRPr="00DD5ED6">
        <w:rPr>
          <w:rFonts w:hint="cs"/>
          <w:rtl/>
        </w:rPr>
        <w:t xml:space="preserve">ونحن لا نملك ولا يسعنا سوى أن نؤيّد ما ذهب إليه مجمع البحوث الإسلامية وأهله أهل الذكر، قال تعالى: </w:t>
      </w:r>
      <w:r w:rsidRPr="00935CC0">
        <w:rPr>
          <w:rFonts w:ascii="Mosawi" w:hAnsi="Mosawi" w:hint="cs"/>
        </w:rPr>
        <w:sym w:font="Islamic Units 1" w:char="F03E"/>
      </w:r>
      <w:r w:rsidRPr="00A67CCA">
        <w:rPr>
          <w:b/>
          <w:bCs/>
          <w:rtl/>
        </w:rPr>
        <w:t>فَاسْأَلُواْ أهل الذِّكْرِ إِن كُنتُمْ لاَ تَعْلَمُونَ</w:t>
      </w:r>
      <w:r w:rsidRPr="00935CC0">
        <w:rPr>
          <w:rFonts w:ascii="Mosawi" w:hAnsi="Mosawi" w:hint="cs"/>
        </w:rPr>
        <w:sym w:font="Islamic Units 1" w:char="F03C"/>
      </w:r>
      <w:r w:rsidRPr="00DD5ED6">
        <w:rPr>
          <w:rFonts w:hint="cs"/>
          <w:rtl/>
        </w:rPr>
        <w:t>.</w:t>
      </w:r>
    </w:p>
    <w:p w:rsidR="00A67CCA" w:rsidRPr="00DD5ED6" w:rsidRDefault="00A67CCA" w:rsidP="00FC2087">
      <w:pPr>
        <w:pStyle w:val="afffffc"/>
        <w:rPr>
          <w:rtl/>
        </w:rPr>
      </w:pPr>
    </w:p>
    <w:p w:rsidR="00A67CCA" w:rsidRPr="00410C09" w:rsidRDefault="00A67CCA" w:rsidP="00A67CCA">
      <w:pPr>
        <w:pStyle w:val="1"/>
        <w:rPr>
          <w:rtl/>
        </w:rPr>
      </w:pPr>
      <w:bookmarkStart w:id="368" w:name="_Toc275128088"/>
      <w:r w:rsidRPr="00410C09">
        <w:rPr>
          <w:rFonts w:hint="cs"/>
          <w:rtl/>
        </w:rPr>
        <w:t>الزواج العرفي في القانون المصري</w:t>
      </w:r>
      <w:bookmarkEnd w:id="368"/>
    </w:p>
    <w:p w:rsidR="00A67CCA" w:rsidRPr="000B2E1A" w:rsidRDefault="00A67CCA" w:rsidP="00FC2087">
      <w:pPr>
        <w:pStyle w:val="2"/>
        <w:rPr>
          <w:rtl/>
        </w:rPr>
      </w:pPr>
      <w:bookmarkStart w:id="369" w:name="_Toc275128089"/>
      <w:r w:rsidRPr="000B2E1A">
        <w:rPr>
          <w:rFonts w:hint="cs"/>
          <w:rtl/>
        </w:rPr>
        <w:t>المبحث الأول</w:t>
      </w:r>
      <w:r>
        <w:rPr>
          <w:rFonts w:hint="cs"/>
          <w:rtl/>
        </w:rPr>
        <w:t xml:space="preserve">: </w:t>
      </w:r>
      <w:r w:rsidRPr="000B2E1A">
        <w:rPr>
          <w:rFonts w:hint="cs"/>
          <w:rtl/>
        </w:rPr>
        <w:t>الزواج العرفي في قوانين الأ</w:t>
      </w:r>
      <w:r>
        <w:rPr>
          <w:rFonts w:hint="cs"/>
          <w:rtl/>
        </w:rPr>
        <w:t>ح</w:t>
      </w:r>
      <w:r w:rsidRPr="000B2E1A">
        <w:rPr>
          <w:rFonts w:hint="cs"/>
          <w:rtl/>
        </w:rPr>
        <w:t>و</w:t>
      </w:r>
      <w:r>
        <w:rPr>
          <w:rFonts w:hint="cs"/>
          <w:rtl/>
        </w:rPr>
        <w:t>ا</w:t>
      </w:r>
      <w:r w:rsidRPr="000B2E1A">
        <w:rPr>
          <w:rFonts w:hint="cs"/>
          <w:rtl/>
        </w:rPr>
        <w:t>ل الشخصية</w:t>
      </w:r>
      <w:r>
        <w:rPr>
          <w:rFonts w:hint="cs"/>
          <w:rtl/>
        </w:rPr>
        <w:t xml:space="preserve"> </w:t>
      </w:r>
      <w:r w:rsidRPr="000B2E1A">
        <w:rPr>
          <w:rFonts w:hint="cs"/>
          <w:rtl/>
        </w:rPr>
        <w:t>حتى عام 1999م</w:t>
      </w:r>
      <w:bookmarkEnd w:id="369"/>
    </w:p>
    <w:p w:rsidR="00A67CCA" w:rsidRPr="00DD5ED6" w:rsidRDefault="00A67CCA" w:rsidP="00A67CCA">
      <w:pPr>
        <w:pStyle w:val="ac"/>
        <w:rPr>
          <w:rtl/>
        </w:rPr>
      </w:pPr>
      <w:r w:rsidRPr="00DD5ED6">
        <w:rPr>
          <w:rFonts w:hint="cs"/>
          <w:rtl/>
        </w:rPr>
        <w:t>عندما صدرت أول لائحة للمأذونين عام 1890م، والمشتملة على اختيار المأذون وواجباته، لم يكن فيها ما يشير إلى وجوب التوثيق في عقد الزواج، وقبل هذا العام لم تكن توجد قواعد تشير إلى التوثيق، لكن عقد الزواج كان مكتمل الأركان والشروط الشرعية التي تتطلّبها الشريعة الإسلامية فيه، رغم أنه قد يكتب في ورقة لكنّها غير موثقة (أي عرفية) وأحياناً قد لا يكتب.</w:t>
      </w:r>
    </w:p>
    <w:p w:rsidR="00A67CCA" w:rsidRPr="00DD5ED6" w:rsidRDefault="00A67CCA" w:rsidP="00A67CCA">
      <w:pPr>
        <w:pStyle w:val="ac"/>
        <w:rPr>
          <w:rtl/>
        </w:rPr>
      </w:pPr>
      <w:r w:rsidRPr="00DD5ED6">
        <w:rPr>
          <w:rFonts w:hint="cs"/>
          <w:rtl/>
        </w:rPr>
        <w:t>وفي 22 ذي الحجة سنة 1314هـ</w:t>
      </w:r>
      <w:r>
        <w:rPr>
          <w:rFonts w:hint="cs"/>
          <w:rtl/>
        </w:rPr>
        <w:t xml:space="preserve"> ـ </w:t>
      </w:r>
      <w:r w:rsidRPr="00DD5ED6">
        <w:rPr>
          <w:rFonts w:hint="cs"/>
          <w:rtl/>
        </w:rPr>
        <w:t>27 مايو 1897م، صدر الأمر العالي بلائحة ترتيب المحاكم الشرعية، والتي نصّت في المادة الثالثة منها على عدم سماع دعوى الزوجية أو الاقرار بها بعد وفاة أحد الزوجين، إلا إذا كانت الدعوى مؤيدة بأوراق خالية من شبهة التصنّع، تثبت العلاقة الزوجية</w:t>
      </w:r>
      <w:r w:rsidRPr="00815C4C">
        <w:rPr>
          <w:rFonts w:cs="Taher"/>
          <w:vertAlign w:val="superscript"/>
          <w:rtl/>
        </w:rPr>
        <w:t>(</w:t>
      </w:r>
      <w:r w:rsidRPr="00815C4C">
        <w:rPr>
          <w:rFonts w:cs="Taher"/>
          <w:vertAlign w:val="superscript"/>
          <w:rtl/>
        </w:rPr>
        <w:footnoteReference w:id="668"/>
      </w:r>
      <w:r w:rsidRPr="00815C4C">
        <w:rPr>
          <w:rFonts w:cs="Taher"/>
          <w:vertAlign w:val="superscript"/>
          <w:rtl/>
        </w:rPr>
        <w:t>)</w:t>
      </w:r>
      <w:r w:rsidRPr="00DD5ED6">
        <w:rPr>
          <w:rFonts w:hint="cs"/>
          <w:rtl/>
        </w:rPr>
        <w:t>.</w:t>
      </w:r>
    </w:p>
    <w:p w:rsidR="00A67CCA" w:rsidRPr="00DD5ED6" w:rsidRDefault="00A67CCA" w:rsidP="00A67CCA">
      <w:pPr>
        <w:pStyle w:val="ac"/>
        <w:rPr>
          <w:rtl/>
        </w:rPr>
      </w:pPr>
      <w:r w:rsidRPr="00DD5ED6">
        <w:rPr>
          <w:rFonts w:hint="cs"/>
          <w:rtl/>
        </w:rPr>
        <w:t xml:space="preserve">وفي 1910م، صدرت لائحة جديدة، خطت خطوةً للأمام في موضوع توثيق عقد </w:t>
      </w:r>
      <w:r w:rsidRPr="00DD5ED6">
        <w:rPr>
          <w:rFonts w:hint="cs"/>
          <w:rtl/>
        </w:rPr>
        <w:lastRenderedPageBreak/>
        <w:t xml:space="preserve">الزواج، إذ نصّت في المادة (81) منها على أن </w:t>
      </w:r>
      <w:r w:rsidRPr="00617008">
        <w:rPr>
          <w:rFonts w:hint="cs"/>
          <w:rtl/>
        </w:rPr>
        <w:t>«</w:t>
      </w:r>
      <w:r w:rsidRPr="00DD5ED6">
        <w:rPr>
          <w:rFonts w:hint="cs"/>
          <w:rtl/>
        </w:rPr>
        <w:t>دعوى الزوجية أو الإقرار بها</w:t>
      </w:r>
      <w:r>
        <w:rPr>
          <w:rFonts w:hint="cs"/>
          <w:rtl/>
        </w:rPr>
        <w:t xml:space="preserve"> ـ </w:t>
      </w:r>
      <w:r w:rsidRPr="00DD5ED6">
        <w:rPr>
          <w:rFonts w:hint="cs"/>
          <w:rtl/>
        </w:rPr>
        <w:t>بعد وفاة الزوجين أو أحدهما</w:t>
      </w:r>
      <w:r>
        <w:rPr>
          <w:rFonts w:hint="cs"/>
          <w:rtl/>
        </w:rPr>
        <w:t xml:space="preserve"> ـ </w:t>
      </w:r>
      <w:r w:rsidRPr="00DD5ED6">
        <w:rPr>
          <w:rFonts w:hint="cs"/>
          <w:rtl/>
        </w:rPr>
        <w:t>لا تسمع من أحد الزوجين أو غيرهما عند الإنكار، في الحوادث الواقعة من سنة 1911م، إلا إذا كانت الدعوى ثابتة بأوراق رسمية، أو أوراق عرفية مكتوبة كلّها بخط المتوفى، وعليها توقيعه</w:t>
      </w:r>
      <w:r w:rsidRPr="00617008">
        <w:rPr>
          <w:rFonts w:hint="cs"/>
          <w:rtl/>
        </w:rPr>
        <w:t>»</w:t>
      </w:r>
      <w:r w:rsidRPr="00815C4C">
        <w:rPr>
          <w:rFonts w:cs="Taher"/>
          <w:vertAlign w:val="superscript"/>
          <w:rtl/>
        </w:rPr>
        <w:t>(</w:t>
      </w:r>
      <w:r w:rsidRPr="00815C4C">
        <w:rPr>
          <w:rFonts w:cs="Taher"/>
          <w:vertAlign w:val="superscript"/>
          <w:rtl/>
        </w:rPr>
        <w:footnoteReference w:id="669"/>
      </w:r>
      <w:r w:rsidRPr="00815C4C">
        <w:rPr>
          <w:rFonts w:cs="Taher"/>
          <w:vertAlign w:val="superscript"/>
          <w:rtl/>
        </w:rPr>
        <w:t>)</w:t>
      </w:r>
      <w:r w:rsidRPr="00DD5ED6">
        <w:rPr>
          <w:rFonts w:hint="cs"/>
          <w:rtl/>
        </w:rPr>
        <w:t>.</w:t>
      </w:r>
    </w:p>
    <w:p w:rsidR="00A67CCA" w:rsidRPr="00DD5ED6" w:rsidRDefault="00A67CCA" w:rsidP="00FC2087">
      <w:pPr>
        <w:pStyle w:val="ac"/>
        <w:spacing w:line="202" w:lineRule="auto"/>
        <w:rPr>
          <w:rtl/>
        </w:rPr>
      </w:pPr>
      <w:r w:rsidRPr="00DD5ED6">
        <w:rPr>
          <w:rFonts w:hint="cs"/>
          <w:rtl/>
        </w:rPr>
        <w:t>من خلال نصّ المادة السالفة، يتبيّن أن المشرّع قد تقدّم خطوةً نحو توثيق عقد الزواج، وذلك باشتراط أن تكون الدعوى ثابتة بأوراق رسمية، أو أوراق عرفية مكتوبة كلّها بخط المتوفى وعليها توقيعه، هذه المادة وإن لم تشترط صراحةً توثيق العقد، إلا أنها اعتبرت ذلك شرطاً لسماع دعوى الزوجية عند الإنكار، ونحبّ أن نوضح هنا أن هذا الزواج كان مكتمل الأركان والشروط طبقاً لأحكام الشريعة الإسلامية؛ فالتوثيق مطلوب مع اكتمال الأركان.</w:t>
      </w:r>
    </w:p>
    <w:p w:rsidR="00A67CCA" w:rsidRPr="00DD5ED6" w:rsidRDefault="00A67CCA" w:rsidP="00FC2087">
      <w:pPr>
        <w:pStyle w:val="ac"/>
        <w:spacing w:line="202" w:lineRule="auto"/>
        <w:rPr>
          <w:rtl/>
        </w:rPr>
      </w:pPr>
      <w:r w:rsidRPr="00DD5ED6">
        <w:rPr>
          <w:rFonts w:hint="cs"/>
          <w:rtl/>
        </w:rPr>
        <w:t>ثم صدر القانون رقم (25) لسنة 1920م، الخاص بالنفقة وبعض مسائل الأحوال الشخصية، والمنشور بجريدة الوقائع في 15 يوليو 1920م، وجه واحد العدد (61)، لكنّه لم يتعرّض لعقد الزواج من ناحية التوثيق، أي أنّ المادة (81) من لائحة 1910م هي الواجبة التطبيق، أي أنّها ما زالت سائرة المفعول</w:t>
      </w:r>
      <w:r w:rsidRPr="00815C4C">
        <w:rPr>
          <w:rFonts w:cs="Taher"/>
          <w:vertAlign w:val="superscript"/>
          <w:rtl/>
        </w:rPr>
        <w:t>(</w:t>
      </w:r>
      <w:r w:rsidRPr="00815C4C">
        <w:rPr>
          <w:rFonts w:cs="Taher"/>
          <w:vertAlign w:val="superscript"/>
          <w:rtl/>
        </w:rPr>
        <w:footnoteReference w:id="670"/>
      </w:r>
      <w:r w:rsidRPr="00815C4C">
        <w:rPr>
          <w:rFonts w:cs="Taher"/>
          <w:vertAlign w:val="superscript"/>
          <w:rtl/>
        </w:rPr>
        <w:t>)</w:t>
      </w:r>
      <w:r w:rsidRPr="00DD5ED6">
        <w:rPr>
          <w:rFonts w:hint="cs"/>
          <w:rtl/>
        </w:rPr>
        <w:t>.</w:t>
      </w:r>
    </w:p>
    <w:p w:rsidR="00A67CCA" w:rsidRPr="00DD5ED6" w:rsidRDefault="00A67CCA" w:rsidP="00FC2087">
      <w:pPr>
        <w:pStyle w:val="ac"/>
        <w:spacing w:line="202" w:lineRule="auto"/>
        <w:rPr>
          <w:rtl/>
        </w:rPr>
      </w:pPr>
      <w:r w:rsidRPr="00DD5ED6">
        <w:rPr>
          <w:rFonts w:hint="cs"/>
          <w:rtl/>
        </w:rPr>
        <w:t xml:space="preserve">ثم صدر القانون رقم (25) لسنة 1929م، والذي صدر بسراي عابدين </w:t>
      </w:r>
      <w:r>
        <w:rPr>
          <w:rFonts w:hint="cs"/>
          <w:rtl/>
        </w:rPr>
        <w:t>في</w:t>
      </w:r>
      <w:r w:rsidRPr="00DD5ED6">
        <w:rPr>
          <w:rFonts w:hint="cs"/>
          <w:rtl/>
        </w:rPr>
        <w:t xml:space="preserve"> 28 رمضان 1347هـ، 10 مارس 1929م، والمنشور في الوقائع المصرية من 25 مارس 1929م، العدد (27) ويقع في (25) مادة، دون أن يتعرّض لموضوع توثيق عقد الزواج من قريب أو بعيد، أي أن المادة (81) سالفة الذكر ما زالت نافذة المفعول وواجبة التطبيق في سماع دعوى الزوجية عند الإنكار</w:t>
      </w:r>
      <w:r w:rsidRPr="00815C4C">
        <w:rPr>
          <w:rFonts w:cs="Taher"/>
          <w:vertAlign w:val="superscript"/>
          <w:rtl/>
        </w:rPr>
        <w:t>(</w:t>
      </w:r>
      <w:r w:rsidRPr="00815C4C">
        <w:rPr>
          <w:rFonts w:cs="Taher"/>
          <w:vertAlign w:val="superscript"/>
          <w:rtl/>
        </w:rPr>
        <w:footnoteReference w:id="671"/>
      </w:r>
      <w:r w:rsidRPr="00815C4C">
        <w:rPr>
          <w:rFonts w:cs="Taher"/>
          <w:vertAlign w:val="superscript"/>
          <w:rtl/>
        </w:rPr>
        <w:t>)</w:t>
      </w:r>
      <w:r w:rsidRPr="00DD5ED6">
        <w:rPr>
          <w:rFonts w:hint="cs"/>
          <w:rtl/>
        </w:rPr>
        <w:t>.</w:t>
      </w:r>
    </w:p>
    <w:p w:rsidR="00A67CCA" w:rsidRPr="00DD5ED6" w:rsidRDefault="00A67CCA" w:rsidP="00A67CCA">
      <w:pPr>
        <w:pStyle w:val="ac"/>
        <w:rPr>
          <w:rtl/>
        </w:rPr>
      </w:pPr>
      <w:r w:rsidRPr="00DD5ED6">
        <w:rPr>
          <w:rFonts w:hint="cs"/>
          <w:rtl/>
        </w:rPr>
        <w:t xml:space="preserve">ثم صدر المرسوم بقانون رقم (78) لسنة 1931م، والمشتمل على لائحة جديدة </w:t>
      </w:r>
      <w:r w:rsidRPr="00DD5ED6">
        <w:rPr>
          <w:rFonts w:hint="cs"/>
          <w:rtl/>
        </w:rPr>
        <w:lastRenderedPageBreak/>
        <w:t>لترتيب المحاكم الشرعية، والإجراءات المتعلّقة بها، والمنشور بجريدة الوقائع المصرية، العدد (53) غير عادي، والصادر في 20 / 5/ 1931م، وقد صدر بسراي عابدين في 24 / ذي الحجة 1349هـ، 12 مايو 1931م، والتي نصّت في المادة (99) منها على ما يأتي</w:t>
      </w:r>
      <w:r w:rsidRPr="00815C4C">
        <w:rPr>
          <w:rFonts w:cs="Taher"/>
          <w:vertAlign w:val="superscript"/>
          <w:rtl/>
        </w:rPr>
        <w:t>(</w:t>
      </w:r>
      <w:r w:rsidRPr="00815C4C">
        <w:rPr>
          <w:rFonts w:cs="Taher"/>
          <w:vertAlign w:val="superscript"/>
          <w:rtl/>
        </w:rPr>
        <w:footnoteReference w:id="672"/>
      </w:r>
      <w:r w:rsidRPr="00815C4C">
        <w:rPr>
          <w:rFonts w:cs="Taher"/>
          <w:vertAlign w:val="superscript"/>
          <w:rtl/>
        </w:rPr>
        <w:t>)</w:t>
      </w:r>
      <w:r w:rsidRPr="00DD5ED6">
        <w:rPr>
          <w:rFonts w:hint="cs"/>
          <w:rtl/>
        </w:rPr>
        <w:t>:</w:t>
      </w:r>
      <w:r>
        <w:rPr>
          <w:rFonts w:hint="cs"/>
          <w:sz w:val="29"/>
          <w:rtl/>
        </w:rPr>
        <w:t xml:space="preserve"> </w:t>
      </w:r>
      <w:r w:rsidRPr="00617008">
        <w:rPr>
          <w:rFonts w:hint="cs"/>
          <w:rtl/>
        </w:rPr>
        <w:t>«</w:t>
      </w:r>
      <w:r w:rsidRPr="00DD5ED6">
        <w:rPr>
          <w:rFonts w:hint="cs"/>
          <w:rtl/>
        </w:rPr>
        <w:t>لا تُسمع</w:t>
      </w:r>
      <w:r>
        <w:rPr>
          <w:rFonts w:hint="cs"/>
          <w:rtl/>
        </w:rPr>
        <w:t xml:space="preserve"> ـ </w:t>
      </w:r>
      <w:r w:rsidRPr="00DD5ED6">
        <w:rPr>
          <w:rFonts w:hint="cs"/>
          <w:rtl/>
        </w:rPr>
        <w:t>عند الإنكار</w:t>
      </w:r>
      <w:r>
        <w:rPr>
          <w:rFonts w:hint="cs"/>
          <w:rtl/>
        </w:rPr>
        <w:t xml:space="preserve"> ـ </w:t>
      </w:r>
      <w:r w:rsidRPr="00DD5ED6">
        <w:rPr>
          <w:rFonts w:hint="cs"/>
          <w:rtl/>
        </w:rPr>
        <w:t xml:space="preserve">دعوى الزوجية أو الطلاق أو الإقرار بهما بعد وفاة أحد الزوجين في الحوادث السابقة على سنة 1911م، سواء أكانت مقامة من أحد الزوجين أو من غيره، إلا إذا كانت مؤيّدةً بأوراق خالية من شبهة التزوير، وتدلّ على صحّتها، ومع ذلك يجوز سماع دعوى الزوجية أو الإقرار بها المقامة من أحد الزوجين في الحوادث السابقة على سنة ألف وثمانمائة وسبع وتسعين فقط بشهادة الشهود، وبشرط أن تكون الزوجية معروفة بالشهرة العامّة، ولا يجوز سماع دعوى ما ذكر كلّه من أحد الزوجين أو من غيره في الحوادث الواقعة من سنة ألف وتسعمائة وإحدى عشر أفرنكية، إلا إذا كانت ثابتة بأوراق رسمية أو مكتوبة كلّها بخط المتوفى وعليها </w:t>
      </w:r>
      <w:r>
        <w:rPr>
          <w:rFonts w:hint="cs"/>
          <w:rtl/>
        </w:rPr>
        <w:t>إ</w:t>
      </w:r>
      <w:r w:rsidRPr="00DD5ED6">
        <w:rPr>
          <w:rFonts w:hint="cs"/>
          <w:rtl/>
        </w:rPr>
        <w:t>مضاؤه كذلك</w:t>
      </w:r>
      <w:r w:rsidRPr="00617008">
        <w:rPr>
          <w:rFonts w:hint="cs"/>
          <w:rtl/>
        </w:rPr>
        <w:t>»</w:t>
      </w:r>
      <w:r w:rsidRPr="00DD5ED6">
        <w:rPr>
          <w:rFonts w:hint="cs"/>
          <w:rtl/>
        </w:rPr>
        <w:t>.</w:t>
      </w:r>
    </w:p>
    <w:p w:rsidR="00A67CCA" w:rsidRPr="00DD5ED6" w:rsidRDefault="00A67CCA" w:rsidP="00A67CCA">
      <w:pPr>
        <w:pStyle w:val="ac"/>
        <w:rPr>
          <w:rtl/>
        </w:rPr>
      </w:pPr>
      <w:r w:rsidRPr="00617008">
        <w:rPr>
          <w:rFonts w:hint="cs"/>
          <w:rtl/>
        </w:rPr>
        <w:t>«</w:t>
      </w:r>
      <w:r w:rsidRPr="00DD5ED6">
        <w:rPr>
          <w:rFonts w:hint="cs"/>
          <w:rtl/>
        </w:rPr>
        <w:t>ولا تسمع عند الإنكار دعوى الزوجية أو الإقرار بها، إلا إذا كانت ثابتة بوثيقة رسمية في الحوادث الواقعة من أول أغطس 1931م. ولا تسمع دعوى الزوجية إذا كان سنّ الزوجة تقلّ عن ست عشرة سنة هجرية، أو كان سنّ الزوج تقل عن ثماني عشرة سنة هجرية إلا بأمرٍ منّا</w:t>
      </w:r>
      <w:r w:rsidRPr="00617008">
        <w:rPr>
          <w:rFonts w:hint="cs"/>
          <w:rtl/>
        </w:rPr>
        <w:t>»</w:t>
      </w:r>
      <w:r w:rsidRPr="00815C4C">
        <w:rPr>
          <w:rFonts w:cs="Taher"/>
          <w:vertAlign w:val="superscript"/>
          <w:rtl/>
        </w:rPr>
        <w:t>(</w:t>
      </w:r>
      <w:r w:rsidRPr="00815C4C">
        <w:rPr>
          <w:rFonts w:cs="Taher"/>
          <w:vertAlign w:val="superscript"/>
          <w:rtl/>
        </w:rPr>
        <w:footnoteReference w:id="673"/>
      </w:r>
      <w:r w:rsidRPr="00815C4C">
        <w:rPr>
          <w:rFonts w:cs="Taher"/>
          <w:vertAlign w:val="superscript"/>
          <w:rtl/>
        </w:rPr>
        <w:t>)</w:t>
      </w:r>
      <w:r w:rsidRPr="00DD5ED6">
        <w:rPr>
          <w:rFonts w:hint="cs"/>
          <w:rtl/>
        </w:rPr>
        <w:t>.</w:t>
      </w:r>
    </w:p>
    <w:p w:rsidR="00A67CCA" w:rsidRPr="00DD5ED6" w:rsidRDefault="00A67CCA" w:rsidP="00A67CCA">
      <w:pPr>
        <w:pStyle w:val="ac"/>
        <w:rPr>
          <w:rtl/>
        </w:rPr>
      </w:pPr>
      <w:r>
        <w:rPr>
          <w:rFonts w:hint="cs"/>
          <w:rtl/>
        </w:rPr>
        <w:t>و</w:t>
      </w:r>
      <w:r w:rsidRPr="00DD5ED6">
        <w:rPr>
          <w:rFonts w:hint="cs"/>
          <w:rtl/>
        </w:rPr>
        <w:t>قد عدلت هذه الفقرة بالقانون رقم (88) لسنة 1951م، الوقائع المصرية، العدد 50 في 7 / 6 / 1951م.</w:t>
      </w:r>
    </w:p>
    <w:p w:rsidR="00A67CCA" w:rsidRPr="00DD5ED6" w:rsidRDefault="00A67CCA" w:rsidP="00A67CCA">
      <w:pPr>
        <w:pStyle w:val="ac"/>
        <w:rPr>
          <w:rtl/>
        </w:rPr>
      </w:pPr>
      <w:r w:rsidRPr="00DD5ED6">
        <w:rPr>
          <w:rFonts w:hint="cs"/>
          <w:rtl/>
        </w:rPr>
        <w:t>وهذه الفقرة لا تعنينا في البحث، وما يهمّنا الفقرات الثلاث السابقة.</w:t>
      </w:r>
    </w:p>
    <w:p w:rsidR="00A67CCA" w:rsidRPr="00DD5ED6" w:rsidRDefault="00A67CCA" w:rsidP="00A67CCA">
      <w:pPr>
        <w:pStyle w:val="ac"/>
        <w:rPr>
          <w:rtl/>
        </w:rPr>
      </w:pPr>
      <w:r w:rsidRPr="00DD5ED6">
        <w:rPr>
          <w:rFonts w:hint="cs"/>
          <w:rtl/>
        </w:rPr>
        <w:t xml:space="preserve">هذه المادة سالفة الذكر، لخصّت الطريق الذي قطعه المشرّع منذ عام 1798 وحتى </w:t>
      </w:r>
      <w:r w:rsidRPr="00DD5ED6">
        <w:rPr>
          <w:rFonts w:hint="cs"/>
          <w:rtl/>
        </w:rPr>
        <w:lastRenderedPageBreak/>
        <w:t>عام 1931م، في فقراته الثلاث، بحيث بدت كلّ فقرة من الفقرات قد خطت خطوةً نحو نهاية الطريق، ألا وهو توثيق الزواج، فالفقرة الأولى حصرت سماع دعوى الزوجية أو الطلاق أو الإقرار بهما من الحوادث السابقة على عام 1891م، بما إذا كانت بين أوراق الدعوى أوراق صحيحة تثبت هذه العلاقة، وخالية من التزوير وتدلّ على صحّة العلاقة؛ فالمشرّع هنا وإن لم يوجب التوثيق صراحةً، لكنّه اشترط ذلك ونبّه إلى ضرورته لسماع أو عدم سماع دعوى الزوجية أو الطلاق وحدّد مدّة هذه الفقرة في الحوادث السابقة على عام 1911م.</w:t>
      </w:r>
    </w:p>
    <w:p w:rsidR="00A67CCA" w:rsidRPr="00DD5ED6" w:rsidRDefault="00A67CCA" w:rsidP="00FC2087">
      <w:pPr>
        <w:pStyle w:val="ac"/>
        <w:spacing w:line="209" w:lineRule="auto"/>
        <w:rPr>
          <w:rtl/>
        </w:rPr>
      </w:pPr>
      <w:r w:rsidRPr="00DD5ED6">
        <w:rPr>
          <w:rFonts w:hint="cs"/>
          <w:rtl/>
        </w:rPr>
        <w:t>أما الفقرة الثانية من ذات المادة، فقد أعادت الزمن إلى الوراء، حيث نصّت على الحوادث قبل عام 1798م، فبالإمكان إثبات الزواج بشهادة الشهود، شرط أن تكون العلاقة الزوجية معروفةً لدى الناس، أي أن زوجية سيدة معيّنة لرجل معيّن أمرٌ معروف، وذلك في الحوادث السابقة على عام 1978 وحتى عام 1911م.</w:t>
      </w:r>
    </w:p>
    <w:p w:rsidR="00A67CCA" w:rsidRPr="00DD5ED6" w:rsidRDefault="00A67CCA" w:rsidP="00FC2087">
      <w:pPr>
        <w:pStyle w:val="ac"/>
        <w:spacing w:line="209" w:lineRule="auto"/>
        <w:rPr>
          <w:rtl/>
        </w:rPr>
      </w:pPr>
      <w:r w:rsidRPr="00DD5ED6">
        <w:rPr>
          <w:rFonts w:hint="cs"/>
          <w:rtl/>
        </w:rPr>
        <w:t>أما الحوادث الواقعة بعد عام 1911م، فلا يجوز إثبات العلاقة الزوجية بشهادة الشهود فيها حتى وإن كانت معروفةً لدى الناس كافّة، فاشترطت المادّة السابقة، أن تكون العلاقة الزوجية ثابتة بأوراق رسمية، أي موثقة لدى إحدى الجهات الرسمية بالدولة أو بأوراق عرفية، شريطة أن تكون مكتوبة كلّها بخطّ المتوفى، بل زاد احتياطاً أكثر أن تكون هذه الأوراق العرفية عليها توقيع أحد الزوجين؛ وبهذا يتضح أنه ليس بأيّ كتابة تثبت العلاقة الزوجية.</w:t>
      </w:r>
    </w:p>
    <w:p w:rsidR="00A67CCA" w:rsidRPr="00DD5ED6" w:rsidRDefault="00A67CCA" w:rsidP="00A67CCA">
      <w:pPr>
        <w:pStyle w:val="ac"/>
        <w:rPr>
          <w:rtl/>
        </w:rPr>
      </w:pPr>
      <w:r w:rsidRPr="00DD5ED6">
        <w:rPr>
          <w:rFonts w:hint="cs"/>
          <w:rtl/>
        </w:rPr>
        <w:t>أمّا الفقرة الثالثة، والتي حدّدت المادةُ مجالها الزمني في المدة من أغسطس عام 1931م وحتى عام 1911م، فيتضح منها أنّ القانون عدد شروطاً للاعتداد بالعلاقة الزوجية عند الإنكار هي:</w:t>
      </w:r>
    </w:p>
    <w:p w:rsidR="00A67CCA" w:rsidRPr="00DD5ED6" w:rsidRDefault="00A67CCA" w:rsidP="00A67CCA">
      <w:pPr>
        <w:pStyle w:val="ac"/>
        <w:rPr>
          <w:rtl/>
        </w:rPr>
      </w:pPr>
      <w:r w:rsidRPr="00DD5ED6">
        <w:rPr>
          <w:rFonts w:hint="cs"/>
          <w:rtl/>
        </w:rPr>
        <w:t>أولاً: أن تكون واقعة الزوجية حادثة في الفترة من عام 1911م وحتى آخر يوليو عام 1931م.</w:t>
      </w:r>
    </w:p>
    <w:p w:rsidR="00A67CCA" w:rsidRPr="00DD5ED6" w:rsidRDefault="00A67CCA" w:rsidP="00A67CCA">
      <w:pPr>
        <w:pStyle w:val="ac"/>
        <w:rPr>
          <w:rtl/>
        </w:rPr>
      </w:pPr>
      <w:r w:rsidRPr="00DD5ED6">
        <w:rPr>
          <w:rFonts w:hint="cs"/>
          <w:rtl/>
        </w:rPr>
        <w:t xml:space="preserve">ثانياً: أن تكون العلاقة الزوجية ثابتة بوثيقة زواج رسمية أعدّت خصيصاً لذلك ومحررة بواسطة موظف، هو المأذون الذي يتكفل بإثباتها في المحكمة الواقعة بدائرة </w:t>
      </w:r>
      <w:r w:rsidRPr="00DD5ED6">
        <w:rPr>
          <w:rFonts w:hint="cs"/>
          <w:rtl/>
        </w:rPr>
        <w:lastRenderedPageBreak/>
        <w:t>الزواج، أمّا إذا لم تثبت العلاقة الزوجية في هذه الوثيقة الرسمية (قسيمة الزواج) والصادرة من الدولة، فلا تُسمع دعوى الزوجية أو الطلاق، وذلك عند الإنكار.</w:t>
      </w:r>
    </w:p>
    <w:p w:rsidR="00A67CCA" w:rsidRPr="00DD5ED6" w:rsidRDefault="00A67CCA" w:rsidP="00FC2087">
      <w:pPr>
        <w:pStyle w:val="ac"/>
        <w:spacing w:line="211" w:lineRule="auto"/>
        <w:rPr>
          <w:rtl/>
        </w:rPr>
      </w:pPr>
      <w:r w:rsidRPr="00DD5ED6">
        <w:rPr>
          <w:rFonts w:hint="cs"/>
          <w:rtl/>
        </w:rPr>
        <w:t>ومع كلّ ما سبق، ينبغي أن يكون عقد الزواج، المنعقد في تمام الحالات السابقة، مكتمل الأركان والشروط الشرعية طبقاً لأحكام الشريعة الإسلامية من ولي، وشاهدي عدل، وإعلان وإشهار، فإن التوثيق لا يترتب عليه تصحيح عقد باطل شرعي، فالمعيار من عقد الزواج الشرعي توافر الأركان والشروط الشرعية في العقد، أما إذا تخلّف ركنٌ أو أكثر بطل العقل حتى ولو وثق بألف وثيقة.</w:t>
      </w:r>
    </w:p>
    <w:p w:rsidR="00A67CCA" w:rsidRPr="00DD5ED6" w:rsidRDefault="00A67CCA" w:rsidP="00FC2087">
      <w:pPr>
        <w:pStyle w:val="ac"/>
        <w:spacing w:line="211" w:lineRule="auto"/>
        <w:rPr>
          <w:rtl/>
        </w:rPr>
      </w:pPr>
      <w:r w:rsidRPr="00DD5ED6">
        <w:rPr>
          <w:rFonts w:hint="cs"/>
          <w:rtl/>
        </w:rPr>
        <w:t>أما الفترة من أول أغسطس عام 1931م وحتى نهاية عام 1999م، فإنّ المادة (99) من المرسوم بقانون رقم (78) الصادر من 1931م هي الواجبة التطبيق خاصّة الفقرة الثالثة، أي لابدّ لسماع دعوى الزوجية مع الإنكار أو الطلاق أن يكون عقد الزواج مكتمل الأركان والشروط الشرعية طبقاً لأحكام الشريعة الإسلامية، إضافة إلى التوثيق لدى المأذون الشرعي.</w:t>
      </w:r>
    </w:p>
    <w:p w:rsidR="00A67CCA" w:rsidRPr="00DD5ED6" w:rsidRDefault="00A67CCA" w:rsidP="00FC2087">
      <w:pPr>
        <w:pStyle w:val="ac"/>
        <w:spacing w:line="211" w:lineRule="auto"/>
        <w:rPr>
          <w:rtl/>
        </w:rPr>
      </w:pPr>
      <w:r w:rsidRPr="00DD5ED6">
        <w:rPr>
          <w:rFonts w:hint="cs"/>
          <w:rtl/>
        </w:rPr>
        <w:t>ثم صدرت عدّة قوانين خاصّة بالأحوال الشخصية، منها القانون رقم (628) لسنة 1955م، والخاصّ ببعض الإجراءات من قضايا الأحوال الشخصية والوقف، ولم يتعرّض للتوثيق، أي سماع دعوى الزوجية والطلاق عند الإنكار، ثم صدر القانون رقم (62) لسنة 1976م، بشأن تعديل بعض أحكام النفقات، ثم القانون رقم (100) لسنة 1985م، بشأن أوضاع واجراءات إعلان وتسليم إشهار الطلاق إلى المطلقة، وإخطار الزوجة الثانية بالزواج الجديد، ولم يتعرّض هذا القانون أيضاً لموضوع البحث.</w:t>
      </w:r>
    </w:p>
    <w:p w:rsidR="00A67CCA" w:rsidRPr="00FC2087" w:rsidRDefault="00A67CCA" w:rsidP="00FC2087">
      <w:pPr>
        <w:pStyle w:val="afffffc"/>
        <w:rPr>
          <w:rtl/>
        </w:rPr>
      </w:pPr>
    </w:p>
    <w:p w:rsidR="00A67CCA" w:rsidRDefault="00A67CCA" w:rsidP="00FC2087">
      <w:pPr>
        <w:pStyle w:val="2"/>
        <w:rPr>
          <w:rtl/>
        </w:rPr>
      </w:pPr>
      <w:bookmarkStart w:id="370" w:name="_Toc275128090"/>
      <w:r>
        <w:rPr>
          <w:rFonts w:hint="cs"/>
          <w:rtl/>
        </w:rPr>
        <w:t>المبحث الثاني: الزواج العرفي في القانون رقم (1) لسنة 2000م</w:t>
      </w:r>
      <w:bookmarkEnd w:id="370"/>
    </w:p>
    <w:p w:rsidR="00A67CCA" w:rsidRPr="00DD5ED6" w:rsidRDefault="00A67CCA" w:rsidP="00A67CCA">
      <w:pPr>
        <w:pStyle w:val="ac"/>
        <w:rPr>
          <w:rtl/>
        </w:rPr>
      </w:pPr>
      <w:r w:rsidRPr="00DD5ED6">
        <w:rPr>
          <w:rFonts w:hint="cs"/>
          <w:rtl/>
        </w:rPr>
        <w:t>أثار صدور القانون رقم (1) لسنة 2000م، ردود فعل واسعة النطاق، من مختلف فئات الشعب، فلم تتوقّف المسألة عند القانونيين فقط، سواء أرباب القضاء الواقف (المحامون)، أو أرباب القضاء الجالس (القضاة)، وعلى كلّ المستويات.</w:t>
      </w:r>
    </w:p>
    <w:p w:rsidR="00A67CCA" w:rsidRPr="00DD5ED6" w:rsidRDefault="00A67CCA" w:rsidP="00FC2087">
      <w:pPr>
        <w:pStyle w:val="ac"/>
        <w:rPr>
          <w:rtl/>
        </w:rPr>
      </w:pPr>
      <w:r w:rsidRPr="00DD5ED6">
        <w:rPr>
          <w:rFonts w:hint="cs"/>
          <w:rtl/>
        </w:rPr>
        <w:t xml:space="preserve">وقد طرح القانون السابق للمناقشة العلنية على صفحات الجرائد والمجلات السيارة </w:t>
      </w:r>
      <w:r w:rsidRPr="00DD5ED6">
        <w:rPr>
          <w:rFonts w:hint="cs"/>
          <w:rtl/>
        </w:rPr>
        <w:lastRenderedPageBreak/>
        <w:t>كلّها في مصر، ولم تخلُ جريدةٌ في مصر ولا مجلة إلا وساهمت في الحملة سواء تأييداً أو رفضاً، تحمّساً أو مناهضة، وشهدت الساحات الصحفية، وحتى ساحات مجلس الشعب، العديد من المناقشات الساخنة، وردود الأفعال العالمية، حتّى أنّ بعض النواب احتجّوا على القانون، أثناء مناقشته في مجلس الشعب، وانسحبوا من الجلسة الخاصّة بمناقشته.</w:t>
      </w:r>
    </w:p>
    <w:p w:rsidR="00A67CCA" w:rsidRPr="00DD5ED6" w:rsidRDefault="00A67CCA" w:rsidP="00FC2087">
      <w:pPr>
        <w:pStyle w:val="ac"/>
        <w:spacing w:line="211" w:lineRule="auto"/>
        <w:rPr>
          <w:rtl/>
        </w:rPr>
      </w:pPr>
      <w:r w:rsidRPr="00DD5ED6">
        <w:rPr>
          <w:rFonts w:hint="cs"/>
          <w:rtl/>
        </w:rPr>
        <w:t>وكانت أكثر المواد مناقشةً واعتراضاً في هذا القانون، المادة (20) الخاصّة بأحكام الخلع، والمادة (17) الخاصّة بالتطليق من الزواج، وهي محور بحثنا.</w:t>
      </w:r>
    </w:p>
    <w:p w:rsidR="00A67CCA" w:rsidRPr="00DD5ED6" w:rsidRDefault="00A67CCA" w:rsidP="00FC2087">
      <w:pPr>
        <w:pStyle w:val="ac"/>
        <w:rPr>
          <w:rtl/>
        </w:rPr>
      </w:pPr>
      <w:r w:rsidRPr="00DD5ED6">
        <w:rPr>
          <w:rFonts w:hint="cs"/>
          <w:rtl/>
        </w:rPr>
        <w:t>هذا، وانقسم الفقه القانوني حول نصّ المادة (17) من القانون رقم (1) لسنة 2000م، حتى وهي ما تزال جنيناً، أي في مشروع القانون، وانشطر إلى فريقين: الأول يناهض ويعارض نصّ المادة (17) بشدّة والمبدأ الذي تنصّ عليه، وكذا الصياغة، والثاني يقرّ المبدأ الذي نصّت عليه المادة (17/2)، لكنّ بعض أنصار هذا الفريق نفسه كان يحتجّ ويعترض على صياغة المادّة.</w:t>
      </w:r>
    </w:p>
    <w:p w:rsidR="00A67CCA" w:rsidRPr="00DD5ED6" w:rsidRDefault="00A67CCA" w:rsidP="00FC2087">
      <w:pPr>
        <w:pStyle w:val="ac"/>
        <w:rPr>
          <w:rtl/>
        </w:rPr>
      </w:pPr>
      <w:r w:rsidRPr="00DD5ED6">
        <w:rPr>
          <w:rFonts w:hint="cs"/>
          <w:rtl/>
        </w:rPr>
        <w:t>بدورنا سنقوم بدراسة رأي كل فريق على حدة بدقة وإمعان؛ ونذكر بدايةً نصّ المادة (17/2) التي وقعت محلّ الخلاف والبحث.</w:t>
      </w:r>
    </w:p>
    <w:p w:rsidR="00A67CCA" w:rsidRPr="00DD5ED6" w:rsidRDefault="00A67CCA" w:rsidP="00FC2087">
      <w:pPr>
        <w:pStyle w:val="ac"/>
        <w:rPr>
          <w:rtl/>
        </w:rPr>
      </w:pPr>
      <w:r w:rsidRPr="00DD5ED6">
        <w:rPr>
          <w:rFonts w:hint="cs"/>
          <w:rtl/>
        </w:rPr>
        <w:t xml:space="preserve">تقول المادّة: </w:t>
      </w:r>
      <w:r w:rsidRPr="00617008">
        <w:rPr>
          <w:rFonts w:hint="cs"/>
          <w:rtl/>
        </w:rPr>
        <w:t>«</w:t>
      </w:r>
      <w:r w:rsidRPr="00DD5ED6">
        <w:rPr>
          <w:rFonts w:hint="cs"/>
          <w:rtl/>
        </w:rPr>
        <w:t>.. ولا تقبل عند الإنكار الدعاوى الناشئة عن عقد الزواج من الوقائع اللاحقة على أول أغسطس سنة 1931م ما لم يكن الزواج ثابتاً بوثيقة رسميّة، ومع ذلك تقبل دعوى التطليق أو الفسخ بحسب الأحوال دون غيرهما إذا كان الزواج ثابتاً بأيّة كتابة</w:t>
      </w:r>
      <w:r w:rsidRPr="00617008">
        <w:rPr>
          <w:rFonts w:hint="cs"/>
          <w:rtl/>
        </w:rPr>
        <w:t>»</w:t>
      </w:r>
      <w:r w:rsidRPr="00DD5ED6">
        <w:rPr>
          <w:rFonts w:hint="cs"/>
          <w:rtl/>
        </w:rPr>
        <w:t>.</w:t>
      </w:r>
    </w:p>
    <w:p w:rsidR="00A67CCA" w:rsidRPr="00DD5ED6" w:rsidRDefault="00A67CCA" w:rsidP="00FC2087">
      <w:pPr>
        <w:pStyle w:val="ac"/>
        <w:rPr>
          <w:rtl/>
        </w:rPr>
      </w:pPr>
      <w:r w:rsidRPr="00DD5ED6">
        <w:rPr>
          <w:rFonts w:hint="cs"/>
          <w:rtl/>
        </w:rPr>
        <w:t xml:space="preserve">من مطالعة نصّ المادة (17/2) يتضح أن القانون رقم (1) لسنة 2000م قد أضاف فقرةً جديدة لنصّ المادة (99) من المرسوم بقانون (78) لسنة 1931م، وهي محور البحث، حيث تقول هذه الفقرة: </w:t>
      </w:r>
      <w:r w:rsidRPr="00617008">
        <w:rPr>
          <w:rFonts w:hint="cs"/>
          <w:rtl/>
        </w:rPr>
        <w:t>«</w:t>
      </w:r>
      <w:r w:rsidRPr="00DD5ED6">
        <w:rPr>
          <w:rFonts w:hint="cs"/>
          <w:rtl/>
        </w:rPr>
        <w:t>ومع ذلك تقبل دعوى التطليق أو الفسخ بحسب الأحوال دون غيرهما إذا كان الزواج ثابتاً بأيّة كتابة</w:t>
      </w:r>
      <w:r w:rsidRPr="00617008">
        <w:rPr>
          <w:rFonts w:hint="cs"/>
          <w:rtl/>
        </w:rPr>
        <w:t>»</w:t>
      </w:r>
      <w:r w:rsidRPr="00DD5ED6">
        <w:rPr>
          <w:rFonts w:hint="cs"/>
          <w:rtl/>
        </w:rPr>
        <w:t>.</w:t>
      </w:r>
    </w:p>
    <w:p w:rsidR="00A67CCA" w:rsidRDefault="00A67CCA" w:rsidP="00FC2087">
      <w:pPr>
        <w:pStyle w:val="ac"/>
        <w:spacing w:line="211" w:lineRule="auto"/>
        <w:rPr>
          <w:rtl/>
        </w:rPr>
      </w:pPr>
      <w:r w:rsidRPr="00DD5ED6">
        <w:rPr>
          <w:rFonts w:hint="cs"/>
          <w:rtl/>
        </w:rPr>
        <w:t>هذه الفقرة هي التي أثارت الاعتراضات وكثرت حولها المناقشات، حتى قبل أن يقرّها مجلس الشعب، وتصبح قانوناً.</w:t>
      </w:r>
    </w:p>
    <w:p w:rsidR="00A67CCA" w:rsidRPr="00DD5ED6" w:rsidRDefault="00A67CCA" w:rsidP="00FC2087">
      <w:pPr>
        <w:pStyle w:val="2"/>
        <w:rPr>
          <w:rtl/>
        </w:rPr>
      </w:pPr>
      <w:bookmarkStart w:id="371" w:name="_Toc275128091"/>
      <w:r>
        <w:rPr>
          <w:rFonts w:hint="cs"/>
          <w:rtl/>
        </w:rPr>
        <w:lastRenderedPageBreak/>
        <w:t>الاتجاهات والمواقف من المادة (17/2)</w:t>
      </w:r>
      <w:bookmarkEnd w:id="371"/>
    </w:p>
    <w:p w:rsidR="00A67CCA" w:rsidRPr="00DD5ED6" w:rsidRDefault="00A67CCA" w:rsidP="00FC2087">
      <w:pPr>
        <w:pStyle w:val="ac"/>
        <w:spacing w:line="202" w:lineRule="auto"/>
        <w:rPr>
          <w:rtl/>
        </w:rPr>
      </w:pPr>
      <w:r w:rsidRPr="00DD5ED6">
        <w:rPr>
          <w:rFonts w:hint="cs"/>
          <w:b/>
          <w:bCs/>
          <w:rtl/>
        </w:rPr>
        <w:t xml:space="preserve">الفريق الأول: </w:t>
      </w:r>
      <w:r w:rsidRPr="00DD5ED6">
        <w:rPr>
          <w:rFonts w:hint="cs"/>
          <w:rtl/>
        </w:rPr>
        <w:t>وهو المعارض لنصّ المادة (17/2)</w:t>
      </w:r>
      <w:r w:rsidRPr="00815C4C">
        <w:rPr>
          <w:rFonts w:cs="Taher"/>
          <w:vertAlign w:val="superscript"/>
          <w:rtl/>
        </w:rPr>
        <w:t>(</w:t>
      </w:r>
      <w:r w:rsidRPr="00815C4C">
        <w:rPr>
          <w:rFonts w:cs="Taher"/>
          <w:vertAlign w:val="superscript"/>
          <w:rtl/>
        </w:rPr>
        <w:footnoteReference w:id="674"/>
      </w:r>
      <w:r w:rsidRPr="00815C4C">
        <w:rPr>
          <w:rFonts w:cs="Taher"/>
          <w:vertAlign w:val="superscript"/>
          <w:rtl/>
        </w:rPr>
        <w:t>)</w:t>
      </w:r>
      <w:r w:rsidRPr="00DD5ED6">
        <w:rPr>
          <w:rFonts w:hint="cs"/>
          <w:rtl/>
        </w:rPr>
        <w:t>، ويلخّص رأي هذا الفريق في كون الزواج العرفي ليس زواجاً بل هو زنا، وإنما أطلقت عبارة (زواج عرفي) للتغرير بالمرأة، وأن هذا الذي يسمّونه زواجاً ليس بزواج؛ لافتقاده معظمَ أركان الزواج وشروطه التي ذكرناها سابقا</w:t>
      </w:r>
      <w:r>
        <w:rPr>
          <w:rFonts w:hint="cs"/>
          <w:rtl/>
        </w:rPr>
        <w:t>ً</w:t>
      </w:r>
      <w:r w:rsidRPr="00DD5ED6">
        <w:rPr>
          <w:rFonts w:hint="cs"/>
          <w:rtl/>
        </w:rPr>
        <w:t>، أما ما يحدث الآن في جامعات مصر بين شبابها وشاباتها من كتابة ورقة يقرّ فيها الشاب أو الرجل بأنّ الفتاة أو المرأة المذكورة في الورقة هي زوجته، فهذا ليس بزواج، وإنّما اتفاق على الزنا، ولم يرقَ حتى إلى مرتبة الزواج الفاسد، وذلك لغياب معظم أركان وشروط عقد الزواج منه، كلّ ما في الأمر أنّ الشباب يريد</w:t>
      </w:r>
      <w:r>
        <w:rPr>
          <w:rFonts w:hint="cs"/>
          <w:rtl/>
        </w:rPr>
        <w:t>ون</w:t>
      </w:r>
      <w:r w:rsidRPr="00DD5ED6">
        <w:rPr>
          <w:rFonts w:hint="cs"/>
          <w:rtl/>
        </w:rPr>
        <w:t xml:space="preserve"> إفراغ شهوتهم الجنسية فضلاً عن الهروب من تحمّل مسؤولية البيت والزوجة والأولاد، أي مسؤولية تكوين أسرة، من هنا اتخذ أداةً دون الزنا؛ لإشباع الغريزة الجنسية؛ فما أقدمت عليه المادة (17/2) من القانون رقم (1) لسنة 2000م، اعتراف بزواج غير شرعي، لا يزيد عن علاقة مخادنة بين اثنين.</w:t>
      </w:r>
    </w:p>
    <w:p w:rsidR="00A67CCA" w:rsidRPr="00DD5ED6" w:rsidRDefault="00A67CCA" w:rsidP="00FC2087">
      <w:pPr>
        <w:pStyle w:val="ac"/>
        <w:spacing w:line="202" w:lineRule="auto"/>
        <w:rPr>
          <w:rtl/>
        </w:rPr>
      </w:pPr>
      <w:r w:rsidRPr="00DD5ED6">
        <w:rPr>
          <w:rFonts w:hint="cs"/>
          <w:rtl/>
        </w:rPr>
        <w:t>وهذا ما جاء صراحةً في المذكرة التفسيرية، ص14 للقانون (1) لسنة 2000م، والتي وصفت الزواج العرفي بأنه (وصمة)، وأن الغرض من هذا النصّ هو أن يفتح للمرأة آفاقاً للدخول في زوجيّة شرعية موثقة، لكنّ الخروج من الوصمة إلى الشرعية الموثقة معناه الاعتراف بالانتقال من الزنا</w:t>
      </w:r>
      <w:r>
        <w:rPr>
          <w:rFonts w:hint="cs"/>
          <w:rtl/>
        </w:rPr>
        <w:t xml:space="preserve"> ـ </w:t>
      </w:r>
      <w:r w:rsidRPr="00DD5ED6">
        <w:rPr>
          <w:rFonts w:hint="cs"/>
          <w:rtl/>
        </w:rPr>
        <w:t>الزواج السرّي</w:t>
      </w:r>
      <w:r>
        <w:rPr>
          <w:rFonts w:hint="cs"/>
          <w:rtl/>
        </w:rPr>
        <w:t xml:space="preserve"> ـ </w:t>
      </w:r>
      <w:r w:rsidRPr="00DD5ED6">
        <w:rPr>
          <w:rFonts w:hint="cs"/>
          <w:rtl/>
        </w:rPr>
        <w:t>كما يجب أن يطلق عليه، أو عقد اتفاق على الزنا، إلى زواج شرعي</w:t>
      </w:r>
      <w:r w:rsidRPr="00815C4C">
        <w:rPr>
          <w:rFonts w:cs="Taher"/>
          <w:vertAlign w:val="superscript"/>
          <w:rtl/>
        </w:rPr>
        <w:t>(</w:t>
      </w:r>
      <w:r w:rsidRPr="00815C4C">
        <w:rPr>
          <w:rFonts w:cs="Taher"/>
          <w:vertAlign w:val="superscript"/>
          <w:rtl/>
        </w:rPr>
        <w:footnoteReference w:id="675"/>
      </w:r>
      <w:r w:rsidRPr="00815C4C">
        <w:rPr>
          <w:rFonts w:cs="Taher"/>
          <w:vertAlign w:val="superscript"/>
          <w:rtl/>
        </w:rPr>
        <w:t>)</w:t>
      </w:r>
      <w:r w:rsidRPr="00DD5ED6">
        <w:rPr>
          <w:rFonts w:hint="cs"/>
          <w:rtl/>
        </w:rPr>
        <w:t>.</w:t>
      </w:r>
    </w:p>
    <w:p w:rsidR="00A67CCA" w:rsidRPr="00DD5ED6" w:rsidRDefault="00A67CCA" w:rsidP="00FC2087">
      <w:pPr>
        <w:pStyle w:val="ac"/>
        <w:spacing w:line="202" w:lineRule="auto"/>
        <w:rPr>
          <w:rtl/>
        </w:rPr>
      </w:pPr>
      <w:r w:rsidRPr="00DD5ED6">
        <w:rPr>
          <w:rFonts w:hint="cs"/>
          <w:rtl/>
        </w:rPr>
        <w:t xml:space="preserve">ويرفض هذا الفريق إقرار الزواج إلا عبر التوثيق مع توافر الأركان والشروط الشرعية، وذلك بسبب فساد الذمم، حيث أصبح يسيراً على بعضهم إنكار العلاقة الزوجية أو اعتبار ادّعائها زوراً وبهتاناً، أو نكاية وتشهيراً، أو لجني منفعة رخيصة، أو عرض زائل، لذلك كان لزاماً على المشرّع الوضعي ضرورة التدخل لمواجهة كلّ هذا </w:t>
      </w:r>
      <w:r w:rsidRPr="00DD5ED6">
        <w:rPr>
          <w:rFonts w:hint="cs"/>
          <w:rtl/>
        </w:rPr>
        <w:lastRenderedPageBreak/>
        <w:t>التحايل، وهم يعتبرون هذا النوع من الزواج إحدى صور الخلل الاجتماعي المنتشر اليوم في مصر.</w:t>
      </w:r>
    </w:p>
    <w:p w:rsidR="00A67CCA" w:rsidRPr="00DD5ED6" w:rsidRDefault="00A67CCA" w:rsidP="00FC2087">
      <w:pPr>
        <w:pStyle w:val="ac"/>
        <w:spacing w:line="199" w:lineRule="auto"/>
        <w:rPr>
          <w:rtl/>
        </w:rPr>
      </w:pPr>
      <w:r w:rsidRPr="00DD5ED6">
        <w:rPr>
          <w:rFonts w:hint="cs"/>
          <w:rtl/>
        </w:rPr>
        <w:t>ويرى أنصار هذا الفريق أنّ المادة (17/2) من هذا القانون من أهمّ أهداف مؤتمر السكّان بالقاهرة، ومؤتمر المرأة في بكين، وهو خطوة على طريق تنحية الشريعة الإسلامية من قوانين الأحوال الشخصية للوصول إلى علمانيّتها، وجعل عقد الزواج عقداً مدنيّاً، كأيّ عقد من العقود المدنية، والدليل على ذلك أيضاً أن القانون نصّ على اعتماد التاريخ الميلادي في احتساب مدّة العدة بدلاً من التاريخ الهجري، أي إخراجه من دائرة المعاملات والمساومات، خلافاً لما أراده الله سبحانه وتعالى.</w:t>
      </w:r>
    </w:p>
    <w:p w:rsidR="00A67CCA" w:rsidRPr="00DD5ED6" w:rsidRDefault="00A67CCA" w:rsidP="00FC2087">
      <w:pPr>
        <w:pStyle w:val="ac"/>
        <w:rPr>
          <w:rtl/>
        </w:rPr>
      </w:pPr>
      <w:r w:rsidRPr="00DD5ED6">
        <w:rPr>
          <w:rFonts w:hint="cs"/>
          <w:rtl/>
        </w:rPr>
        <w:t>وفي القانون نفسه، نصّ على ضرورة توثيق الطلاق في حالة الزواج الشرعي، بينما يكتفى في الزواج العرفي (السرّي) بأية كتابة أو عبارة لا تليق بمكانة عقد الزواج وأهميته القصوى في المجتمع</w:t>
      </w:r>
      <w:r w:rsidRPr="00815C4C">
        <w:rPr>
          <w:rFonts w:cs="Taher"/>
          <w:vertAlign w:val="superscript"/>
          <w:rtl/>
        </w:rPr>
        <w:t>(</w:t>
      </w:r>
      <w:r w:rsidRPr="00815C4C">
        <w:rPr>
          <w:rFonts w:cs="Taher"/>
          <w:vertAlign w:val="superscript"/>
          <w:rtl/>
        </w:rPr>
        <w:footnoteReference w:id="676"/>
      </w:r>
      <w:r w:rsidRPr="00815C4C">
        <w:rPr>
          <w:rFonts w:cs="Taher"/>
          <w:vertAlign w:val="superscript"/>
          <w:rtl/>
        </w:rPr>
        <w:t>)</w:t>
      </w:r>
      <w:r w:rsidRPr="00DD5ED6">
        <w:rPr>
          <w:rFonts w:hint="cs"/>
          <w:rtl/>
        </w:rPr>
        <w:t>، إنّ القانون وإن لم يعترف بالزواج العرفي صراحةً، إلا أنه اعترف بالطلاق منه، والطلاق لا يكون إلا من زواج، وقد يكون المشرّع فعل هذا خوفاً من مواجهة العلماء والفقهاء.</w:t>
      </w:r>
    </w:p>
    <w:p w:rsidR="00A67CCA" w:rsidRPr="00DD5ED6" w:rsidRDefault="00A67CCA" w:rsidP="00FC2087">
      <w:pPr>
        <w:pStyle w:val="ac"/>
        <w:spacing w:line="199" w:lineRule="auto"/>
        <w:rPr>
          <w:rtl/>
        </w:rPr>
      </w:pPr>
      <w:r w:rsidRPr="00DD5ED6">
        <w:rPr>
          <w:rFonts w:hint="cs"/>
          <w:rtl/>
        </w:rPr>
        <w:t>إنّ الزواج العرفي يجب أن يفسّر بمفهوم الناس له في ظلّ تجدّد ممارساتهم لهذا المفهوم، وهم يطلقون عليه: تدليس زواج عرفي، فلا يعني في الحقيقة زواجاً جدّياً، والمرأة هي الخاسر الأكبر منه، كما لا يمثل نواةً لمؤسّسة زوجية، فهو يستهدف مخالفة الشرع صراحةً؛ لأنّه لا يستهدف ولادة وتنشئة أطفال، ولا ينطبق عليه أحكام المواريث الشرعية، ويمحو الحدود الفاصلة بين علاقات العشق (الزنا)، وعلاقات الزواج المؤسّسية، ولا يمثل أيّ نوع من المصاهرة بين العائلات، كما لا يعمّق صلة الرحم بل يسيء إليها</w:t>
      </w:r>
      <w:r w:rsidRPr="00815C4C">
        <w:rPr>
          <w:rFonts w:cs="Taher"/>
          <w:vertAlign w:val="superscript"/>
          <w:rtl/>
        </w:rPr>
        <w:t>(</w:t>
      </w:r>
      <w:r w:rsidRPr="00815C4C">
        <w:rPr>
          <w:rFonts w:cs="Taher"/>
          <w:vertAlign w:val="superscript"/>
          <w:rtl/>
        </w:rPr>
        <w:footnoteReference w:id="677"/>
      </w:r>
      <w:r w:rsidRPr="00815C4C">
        <w:rPr>
          <w:rFonts w:cs="Taher"/>
          <w:vertAlign w:val="superscript"/>
          <w:rtl/>
        </w:rPr>
        <w:t>)</w:t>
      </w:r>
      <w:r w:rsidRPr="00DD5ED6">
        <w:rPr>
          <w:rFonts w:hint="cs"/>
          <w:rtl/>
        </w:rPr>
        <w:t>.</w:t>
      </w:r>
    </w:p>
    <w:p w:rsidR="00A67CCA" w:rsidRPr="00DD5ED6" w:rsidRDefault="00A67CCA" w:rsidP="00FC2087">
      <w:pPr>
        <w:pStyle w:val="ac"/>
        <w:spacing w:line="199" w:lineRule="auto"/>
        <w:rPr>
          <w:rtl/>
        </w:rPr>
      </w:pPr>
      <w:r w:rsidRPr="00DD5ED6">
        <w:rPr>
          <w:rFonts w:hint="cs"/>
          <w:rtl/>
        </w:rPr>
        <w:t xml:space="preserve">وخلاصة ما انتهى إليه رأي هذا الفريق: أنّ المادة 17/2 من القانون رقم (1) لسنة 2000م قد اعترفت بزواج غير متوافر الشروط والأركان المنصوص عليها في الشريعة </w:t>
      </w:r>
      <w:r w:rsidRPr="00DD5ED6">
        <w:rPr>
          <w:rFonts w:hint="cs"/>
          <w:rtl/>
        </w:rPr>
        <w:lastRenderedPageBreak/>
        <w:t>الإسلامية، وذلك بإباحة الطلاق ممّا يسمى</w:t>
      </w:r>
      <w:r>
        <w:rPr>
          <w:rFonts w:hint="cs"/>
          <w:rtl/>
        </w:rPr>
        <w:t xml:space="preserve"> ـ </w:t>
      </w:r>
      <w:r w:rsidRPr="00DD5ED6">
        <w:rPr>
          <w:rFonts w:hint="cs"/>
          <w:rtl/>
        </w:rPr>
        <w:t>زوراً</w:t>
      </w:r>
      <w:r>
        <w:rPr>
          <w:rFonts w:hint="cs"/>
          <w:rtl/>
        </w:rPr>
        <w:t xml:space="preserve"> ـ </w:t>
      </w:r>
      <w:r w:rsidRPr="00DD5ED6">
        <w:rPr>
          <w:rFonts w:hint="cs"/>
          <w:rtl/>
        </w:rPr>
        <w:t>زواجاً عرفياً، والطلاق لا يكون إلا من زواج صحيح شرعاً، وهو ما لا يتوفر في ما يسمى بالزواج العرفي.</w:t>
      </w:r>
    </w:p>
    <w:p w:rsidR="00A67CCA" w:rsidRPr="00DD5ED6" w:rsidRDefault="00A67CCA" w:rsidP="00FC2087">
      <w:pPr>
        <w:pStyle w:val="ac"/>
        <w:spacing w:line="209" w:lineRule="auto"/>
        <w:rPr>
          <w:rtl/>
        </w:rPr>
      </w:pPr>
      <w:r w:rsidRPr="00DD5ED6">
        <w:rPr>
          <w:rFonts w:hint="cs"/>
          <w:rtl/>
        </w:rPr>
        <w:t xml:space="preserve">كما أن عبارة: (أية كتابة) الواردة في المادة (17/2) لا تليق بمكانة عقد الزواج في الإسلام، فإنها تفتح الباب للأدعياء للنصب واللعب في عبادة من أهم وأعظم العبادات في الإسلام، والتي قال عنها ربّنا في كتابه الكريم: </w:t>
      </w:r>
      <w:r w:rsidRPr="00230E53">
        <w:rPr>
          <w:rFonts w:hint="cs"/>
        </w:rPr>
        <w:sym w:font="Islamic Units 1" w:char="F03E"/>
      </w:r>
      <w:r w:rsidRPr="00FC2087">
        <w:rPr>
          <w:rFonts w:hint="cs"/>
          <w:b/>
          <w:bCs/>
          <w:rtl/>
        </w:rPr>
        <w:t>ميثاقاً غليظاً</w:t>
      </w:r>
      <w:r>
        <w:rPr>
          <w:rFonts w:hint="cs"/>
        </w:rPr>
        <w:sym w:font="Islamic Units 1" w:char="F03C"/>
      </w:r>
      <w:r w:rsidRPr="00DD5ED6">
        <w:rPr>
          <w:rFonts w:hint="cs"/>
          <w:rtl/>
        </w:rPr>
        <w:t>، وهل الميثاق الغليظ يكون بأية كتابة؟ وإذا كان القانون المدني لا يعترف بالدَّين إذا تجاوز مائتي جنيهاً إلا إذا كانت ثابتةً بالكتابة الصريحة وليس بأية كتابة؛ ممّا يجعل هذه المادة مخالفة لنصّ المادة الثانية من الدستور المصري الدائم الصادر في 28/10/1971م، فهل عقد الزواج تقلّ قيمته</w:t>
      </w:r>
      <w:r>
        <w:rPr>
          <w:rFonts w:hint="cs"/>
          <w:rtl/>
        </w:rPr>
        <w:t xml:space="preserve"> ـ </w:t>
      </w:r>
      <w:r w:rsidRPr="00DD5ED6">
        <w:rPr>
          <w:rFonts w:hint="cs"/>
          <w:rtl/>
        </w:rPr>
        <w:t>في نظر القانون</w:t>
      </w:r>
      <w:r>
        <w:rPr>
          <w:rFonts w:hint="cs"/>
          <w:rtl/>
        </w:rPr>
        <w:t xml:space="preserve"> ـ </w:t>
      </w:r>
      <w:r w:rsidRPr="00DD5ED6">
        <w:rPr>
          <w:rFonts w:hint="cs"/>
          <w:rtl/>
        </w:rPr>
        <w:t>عن مائتي جنيه أو أيّ عقار، مهما بلغت قيمته؛ لأن الملكية في العقار لا تكون إلا بالتسجيل؟</w:t>
      </w:r>
      <w:r w:rsidRPr="00815C4C">
        <w:rPr>
          <w:rFonts w:cs="Taher"/>
          <w:vertAlign w:val="superscript"/>
          <w:rtl/>
        </w:rPr>
        <w:t>(</w:t>
      </w:r>
      <w:r w:rsidRPr="00815C4C">
        <w:rPr>
          <w:rFonts w:cs="Taher"/>
          <w:vertAlign w:val="superscript"/>
          <w:rtl/>
        </w:rPr>
        <w:footnoteReference w:id="678"/>
      </w:r>
      <w:r w:rsidRPr="00815C4C">
        <w:rPr>
          <w:rFonts w:cs="Taher"/>
          <w:vertAlign w:val="superscript"/>
          <w:rtl/>
        </w:rPr>
        <w:t>)</w:t>
      </w:r>
      <w:r w:rsidRPr="00DD5ED6">
        <w:rPr>
          <w:rFonts w:hint="cs"/>
          <w:rtl/>
        </w:rPr>
        <w:t>.</w:t>
      </w:r>
    </w:p>
    <w:p w:rsidR="00A67CCA" w:rsidRPr="00DD5ED6" w:rsidRDefault="00A67CCA" w:rsidP="00FC2087">
      <w:pPr>
        <w:pStyle w:val="ac"/>
        <w:spacing w:line="209" w:lineRule="auto"/>
        <w:rPr>
          <w:rtl/>
        </w:rPr>
      </w:pPr>
      <w:r w:rsidRPr="00DD5ED6">
        <w:rPr>
          <w:rFonts w:hint="cs"/>
          <w:rtl/>
        </w:rPr>
        <w:t>إنّ قول بعضهم: إنّ الزواج العرفي زواج مكتمل الأركان والشروط الشرعية، لكنّه غير موثق لدى المأذون، تدليس، فقد رأينا ونرى في الواقع خلاف ذلك، وهم يقولون: إنّ الزواج يمكن إثباته بفتح حساب لدى البنك باسم امرأة بصفتها زوجة، وكذلك دفتر زوار الفندق إذا ثبت فيه أن المرأة التي معه هي زوجته دون حاجة إلى إثبات آخر كبطاقة عائلية أو قسيمة زواج، فهل هذا ممّا توافرت فيه الأركان والشروط التي تحدّثنا عنها سابقاً، والمبيّنة تفصيلاً دقيقاً في كتب الفقه الإسلامي؟ إنّ السؤال لا يحتاج إلى إجابة؛ لأنه ليس مع العين أين؟!</w:t>
      </w:r>
    </w:p>
    <w:p w:rsidR="00A67CCA" w:rsidRPr="00DD5ED6" w:rsidRDefault="00A67CCA" w:rsidP="00FC2087">
      <w:pPr>
        <w:pStyle w:val="ac"/>
        <w:spacing w:line="209" w:lineRule="auto"/>
        <w:rPr>
          <w:rtl/>
        </w:rPr>
      </w:pPr>
      <w:r w:rsidRPr="00DD5ED6">
        <w:rPr>
          <w:rFonts w:hint="cs"/>
          <w:rtl/>
        </w:rPr>
        <w:t>فضلاً عن ذلك، فإن مجمع البحوث الإسلامية، وهي الجهة التي حدّدها القانون للفصل في مدى موافقة القوانين للشريعة الإسلامية، قد أصدر فتوى بتحريم هذا الزواج المسمّى</w:t>
      </w:r>
      <w:r>
        <w:rPr>
          <w:rFonts w:hint="cs"/>
          <w:rtl/>
        </w:rPr>
        <w:t xml:space="preserve"> ـ </w:t>
      </w:r>
      <w:r w:rsidRPr="00DD5ED6">
        <w:rPr>
          <w:rFonts w:hint="cs"/>
          <w:rtl/>
        </w:rPr>
        <w:t>زوراً وبهتاناً</w:t>
      </w:r>
      <w:r>
        <w:rPr>
          <w:rFonts w:hint="cs"/>
          <w:rtl/>
        </w:rPr>
        <w:t xml:space="preserve"> ـ </w:t>
      </w:r>
      <w:r w:rsidRPr="00DD5ED6">
        <w:rPr>
          <w:rFonts w:hint="cs"/>
          <w:rtl/>
        </w:rPr>
        <w:t>زواجاً، واعتبره زناً، وطالب بمعاقبة من يقوم عليه، وقد صرّح بذلك فضيلة المفتي في جريدة صوت الأزهر (الشروق) العدد (20) بالسنة الأولى، وأضاف فضيلته: إنه</w:t>
      </w:r>
      <w:r>
        <w:rPr>
          <w:rFonts w:hint="cs"/>
          <w:rtl/>
        </w:rPr>
        <w:t xml:space="preserve"> ـ </w:t>
      </w:r>
      <w:r w:rsidRPr="00DD5ED6">
        <w:rPr>
          <w:rFonts w:hint="cs"/>
          <w:rtl/>
        </w:rPr>
        <w:t>والمجمع</w:t>
      </w:r>
      <w:r>
        <w:rPr>
          <w:rFonts w:hint="cs"/>
          <w:rtl/>
        </w:rPr>
        <w:t xml:space="preserve"> ـ </w:t>
      </w:r>
      <w:r w:rsidRPr="00DD5ED6">
        <w:rPr>
          <w:rFonts w:hint="cs"/>
          <w:rtl/>
        </w:rPr>
        <w:t xml:space="preserve">بعث بذلك إلى مجلس الشعب والشورى، مما </w:t>
      </w:r>
      <w:r w:rsidRPr="00DD5ED6">
        <w:rPr>
          <w:rFonts w:hint="cs"/>
          <w:rtl/>
        </w:rPr>
        <w:lastRenderedPageBreak/>
        <w:t>يؤكّد أن المادة (17/2) قد خالفت صحيح نصّ المادة الثانية من الدستور.</w:t>
      </w:r>
    </w:p>
    <w:p w:rsidR="00A67CCA" w:rsidRPr="00DD5ED6" w:rsidRDefault="00A67CCA" w:rsidP="00601A99">
      <w:pPr>
        <w:pStyle w:val="ac"/>
        <w:spacing w:line="209" w:lineRule="auto"/>
        <w:rPr>
          <w:rtl/>
        </w:rPr>
      </w:pPr>
      <w:r w:rsidRPr="00DD5ED6">
        <w:rPr>
          <w:rFonts w:hint="cs"/>
          <w:rtl/>
        </w:rPr>
        <w:t>كما استقرّ قضاء النقض على ذلك</w:t>
      </w:r>
      <w:r>
        <w:rPr>
          <w:rFonts w:hint="cs"/>
          <w:rtl/>
        </w:rPr>
        <w:t>،</w:t>
      </w:r>
      <w:r w:rsidRPr="00DD5ED6">
        <w:rPr>
          <w:rFonts w:hint="cs"/>
          <w:rtl/>
        </w:rPr>
        <w:t xml:space="preserve"> ونذكر هنا بعض الأحكام الصادرة في هذا الشأن، فمنها: (إنّ الزواج الذي لا يحضره شهود زواج فاسد)، طق رقم 14 سنة 22ق جلسة 1217 / 1966، س17، ص1811، وطق رقم 35 سنة 46هـ جلسة 31 / 5/ 1978م، س29، ص1379</w:t>
      </w:r>
      <w:r w:rsidRPr="00815C4C">
        <w:rPr>
          <w:rFonts w:cs="Taher"/>
          <w:vertAlign w:val="superscript"/>
          <w:rtl/>
        </w:rPr>
        <w:t>(</w:t>
      </w:r>
      <w:r w:rsidRPr="00815C4C">
        <w:rPr>
          <w:rFonts w:cs="Taher"/>
          <w:vertAlign w:val="superscript"/>
          <w:rtl/>
        </w:rPr>
        <w:footnoteReference w:id="679"/>
      </w:r>
      <w:r w:rsidRPr="00815C4C">
        <w:rPr>
          <w:rFonts w:cs="Taher"/>
          <w:vertAlign w:val="superscript"/>
          <w:rtl/>
        </w:rPr>
        <w:t>)</w:t>
      </w:r>
      <w:r w:rsidRPr="00DD5ED6">
        <w:rPr>
          <w:rFonts w:hint="cs"/>
          <w:rtl/>
        </w:rPr>
        <w:t>.</w:t>
      </w:r>
    </w:p>
    <w:p w:rsidR="00A67CCA" w:rsidRPr="00DD5ED6" w:rsidRDefault="00A67CCA" w:rsidP="00D537F7">
      <w:pPr>
        <w:pStyle w:val="ac"/>
        <w:rPr>
          <w:rtl/>
        </w:rPr>
      </w:pPr>
      <w:r w:rsidRPr="00DD5ED6">
        <w:rPr>
          <w:rFonts w:hint="cs"/>
          <w:rtl/>
        </w:rPr>
        <w:t>كما قضت المحكمة بـأنّ (بطلان الزواج هو الجزاء المترتب على عدم استجماع شروط إنشائه، الموضوعية منها والشكلية، وهو ينس</w:t>
      </w:r>
      <w:r>
        <w:rPr>
          <w:rFonts w:hint="cs"/>
          <w:rtl/>
        </w:rPr>
        <w:t>ح</w:t>
      </w:r>
      <w:r w:rsidRPr="00DD5ED6">
        <w:rPr>
          <w:rFonts w:hint="cs"/>
          <w:rtl/>
        </w:rPr>
        <w:t>ب على الماضي؛ بحيث يعتبر الزواج لم يتم أصلاً)</w:t>
      </w:r>
      <w:r w:rsidRPr="00815C4C">
        <w:rPr>
          <w:rFonts w:cs="Taher"/>
          <w:vertAlign w:val="superscript"/>
          <w:rtl/>
        </w:rPr>
        <w:t>(</w:t>
      </w:r>
      <w:r w:rsidRPr="00815C4C">
        <w:rPr>
          <w:rFonts w:cs="Taher"/>
          <w:vertAlign w:val="superscript"/>
          <w:rtl/>
        </w:rPr>
        <w:footnoteReference w:id="680"/>
      </w:r>
      <w:r w:rsidRPr="00815C4C">
        <w:rPr>
          <w:rFonts w:cs="Taher"/>
          <w:vertAlign w:val="superscript"/>
          <w:rtl/>
        </w:rPr>
        <w:t>)</w:t>
      </w:r>
      <w:r w:rsidRPr="00DD5ED6">
        <w:rPr>
          <w:rFonts w:hint="cs"/>
          <w:rtl/>
        </w:rPr>
        <w:t>. طق رقم (16) سنة 42ق جلسة 19/11/ 1975م، المرجع السابق، ص168، المبدأ رقم: 311؛ وانظر الموسوعة الذهبية للقواعد القانونية التي قرّرتها محكمة النقص المصرية منذ أنشائها عام 1931م</w:t>
      </w:r>
      <w:r>
        <w:rPr>
          <w:rFonts w:hint="cs"/>
          <w:rtl/>
        </w:rPr>
        <w:t xml:space="preserve"> ـ </w:t>
      </w:r>
      <w:r w:rsidRPr="00DD5ED6">
        <w:rPr>
          <w:rFonts w:hint="cs"/>
          <w:rtl/>
        </w:rPr>
        <w:t>الأصدار المدني</w:t>
      </w:r>
      <w:r>
        <w:rPr>
          <w:rFonts w:hint="cs"/>
          <w:rtl/>
        </w:rPr>
        <w:t xml:space="preserve"> ـ </w:t>
      </w:r>
      <w:r w:rsidRPr="00DD5ED6">
        <w:rPr>
          <w:rFonts w:hint="cs"/>
          <w:rtl/>
        </w:rPr>
        <w:t>الجزء الثاني، طبعة 1982م، إصدار الدار العربية للموسوعات، المبادئ 301، 316، 311، ص163، 170، 168</w:t>
      </w:r>
      <w:r w:rsidRPr="00815C4C">
        <w:rPr>
          <w:rFonts w:cs="Taher"/>
          <w:vertAlign w:val="superscript"/>
          <w:rtl/>
        </w:rPr>
        <w:t>(</w:t>
      </w:r>
      <w:r w:rsidRPr="00815C4C">
        <w:rPr>
          <w:rFonts w:cs="Taher"/>
          <w:vertAlign w:val="superscript"/>
          <w:rtl/>
        </w:rPr>
        <w:footnoteReference w:id="681"/>
      </w:r>
      <w:r w:rsidRPr="00815C4C">
        <w:rPr>
          <w:rFonts w:cs="Taher"/>
          <w:vertAlign w:val="superscript"/>
          <w:rtl/>
        </w:rPr>
        <w:t>)</w:t>
      </w:r>
      <w:r w:rsidRPr="00DD5ED6">
        <w:rPr>
          <w:rFonts w:hint="cs"/>
          <w:rtl/>
        </w:rPr>
        <w:t>.</w:t>
      </w:r>
    </w:p>
    <w:p w:rsidR="00A67CCA" w:rsidRPr="00DD5ED6" w:rsidRDefault="00A67CCA" w:rsidP="00A67CCA">
      <w:pPr>
        <w:pStyle w:val="ac"/>
        <w:rPr>
          <w:rtl/>
        </w:rPr>
      </w:pPr>
      <w:r w:rsidRPr="00DD5ED6">
        <w:rPr>
          <w:rFonts w:hint="cs"/>
          <w:rtl/>
        </w:rPr>
        <w:t xml:space="preserve">إذن، كيف يتمّ الطلاق من زواج باطل وفاسد، والطلاق لا يكون إلا من زواج صحيح شرعاً، فهل الزواج بأيّة كتابة زواج صحيح شرعي؟! إنّ ما يطلقون عليه زواجاً عرفياً، وهو في نظر مجمع البحوث الإسلامية زنا، ضار أساساً بالمرأة، وإنّ القانون رقم (1) لسنة 2000م المادة (17/2) حينما نصّ على التطليق أو الفسخ منه فهو يعني اعترافاً منه بهذا النوع، ولا يحتجّ بعضهم بالقول: إنّ هذا الاعتراف لمعالجة الحالات الموجودة، وليس اعترافاً كاملاً بالزواج الباطل؛ إذ لماذا لم تحدّدوا مدّةً معيّنة لسماع دعوى التطليق أو الفسخ، بعدها لا يجوز سماع هذه الدعوى أو تلك، بدلاً من </w:t>
      </w:r>
      <w:r w:rsidRPr="00DD5ED6">
        <w:rPr>
          <w:rFonts w:hint="cs"/>
          <w:rtl/>
        </w:rPr>
        <w:lastRenderedPageBreak/>
        <w:t>ترك الباب مفتوحاً على مصراعيه للزنا</w:t>
      </w:r>
      <w:r w:rsidRPr="00815C4C">
        <w:rPr>
          <w:rFonts w:cs="Taher"/>
          <w:vertAlign w:val="superscript"/>
          <w:rtl/>
        </w:rPr>
        <w:t>(</w:t>
      </w:r>
      <w:r w:rsidRPr="00815C4C">
        <w:rPr>
          <w:rFonts w:cs="Taher"/>
          <w:vertAlign w:val="superscript"/>
          <w:rtl/>
        </w:rPr>
        <w:footnoteReference w:id="682"/>
      </w:r>
      <w:r w:rsidRPr="00815C4C">
        <w:rPr>
          <w:rFonts w:cs="Taher"/>
          <w:vertAlign w:val="superscript"/>
          <w:rtl/>
        </w:rPr>
        <w:t>)</w:t>
      </w:r>
      <w:r w:rsidRPr="00DD5ED6">
        <w:rPr>
          <w:rFonts w:hint="cs"/>
          <w:rtl/>
        </w:rPr>
        <w:t>.</w:t>
      </w:r>
    </w:p>
    <w:p w:rsidR="00A67CCA" w:rsidRPr="00DD5ED6" w:rsidRDefault="00A67CCA" w:rsidP="00601A99">
      <w:pPr>
        <w:pStyle w:val="ac"/>
        <w:spacing w:line="202" w:lineRule="auto"/>
        <w:rPr>
          <w:rtl/>
        </w:rPr>
      </w:pPr>
      <w:r w:rsidRPr="00DD5ED6">
        <w:rPr>
          <w:rFonts w:hint="cs"/>
          <w:b/>
          <w:bCs/>
          <w:rtl/>
        </w:rPr>
        <w:t xml:space="preserve">الفريق الثاني: </w:t>
      </w:r>
      <w:r w:rsidRPr="00DD5ED6">
        <w:rPr>
          <w:rFonts w:hint="cs"/>
          <w:rtl/>
        </w:rPr>
        <w:t>وهو الذي يؤيد نصّ المادة (17/2) من القانون رقم (1) لسنة 2000م، ويرى أصحاب هذا الرأي أنّ القانون خيراً فعل حينما نصّ على سماع دعوى التطليق أو الفسخ من الزواج العرفي؛ لأنّ ذلك حلٌ لمشكلة باتت تؤرّق المجتمع المصري وتنخر في عظامه، وهم يرون أن الزواج العرفي مكتمل الأركان والشروط، لكنّه لم يوثق لدى المأذون فقط، أما ما يطلبه الإسلام من أركان وشروط فهي متوافرة في هذا الزواج، وأنّ عدم التوثيق طبقاً للمادة (99) من المرسوم بقانون رقم 78 لسنة 1931م، لا يؤثر على قيام العلاقة الزوجية؛ لأنّ الأركان والشروط الشرعية متوافرة في العقد، فضلاً عن أن التوثيق لم يكن معمولا</w:t>
      </w:r>
      <w:r>
        <w:rPr>
          <w:rFonts w:hint="cs"/>
          <w:rtl/>
        </w:rPr>
        <w:t>ً</w:t>
      </w:r>
      <w:r w:rsidRPr="00DD5ED6">
        <w:rPr>
          <w:rFonts w:hint="cs"/>
          <w:rtl/>
        </w:rPr>
        <w:t xml:space="preserve"> به أيام الإسلام الأولى، كما أنه يوجد حالياً بعض القرى والنجوع في مصر لا توثق عقد الزواج، ومع ذلك فهو زواج قائم وصحيح شرعاً، ولم يشكّك أحد في قيام العلاقة بمثل هذا العقد</w:t>
      </w:r>
      <w:r w:rsidRPr="00815C4C">
        <w:rPr>
          <w:rFonts w:cs="Taher"/>
          <w:vertAlign w:val="superscript"/>
          <w:rtl/>
        </w:rPr>
        <w:t>(</w:t>
      </w:r>
      <w:r w:rsidRPr="00815C4C">
        <w:rPr>
          <w:rFonts w:cs="Taher"/>
          <w:vertAlign w:val="superscript"/>
          <w:rtl/>
        </w:rPr>
        <w:footnoteReference w:id="683"/>
      </w:r>
      <w:r w:rsidRPr="00815C4C">
        <w:rPr>
          <w:rFonts w:cs="Taher"/>
          <w:vertAlign w:val="superscript"/>
          <w:rtl/>
        </w:rPr>
        <w:t>)</w:t>
      </w:r>
      <w:r w:rsidRPr="00DD5ED6">
        <w:rPr>
          <w:rFonts w:hint="cs"/>
          <w:rtl/>
        </w:rPr>
        <w:t>.</w:t>
      </w:r>
    </w:p>
    <w:p w:rsidR="00A67CCA" w:rsidRPr="00DD5ED6" w:rsidRDefault="00A67CCA" w:rsidP="00601A99">
      <w:pPr>
        <w:pStyle w:val="ac"/>
        <w:spacing w:line="202" w:lineRule="auto"/>
        <w:rPr>
          <w:rtl/>
        </w:rPr>
      </w:pPr>
      <w:r w:rsidRPr="00DD5ED6">
        <w:rPr>
          <w:rFonts w:hint="cs"/>
          <w:rtl/>
        </w:rPr>
        <w:t xml:space="preserve">وقد قال المستشار الدكتور فتحي نجيب، مهندس القانون ورئيس محكمة النقض بالنصّ في جريدة الأهرام ما يلي: </w:t>
      </w:r>
      <w:r w:rsidRPr="00617008">
        <w:rPr>
          <w:rFonts w:hint="cs"/>
          <w:rtl/>
        </w:rPr>
        <w:t>«</w:t>
      </w:r>
      <w:r w:rsidRPr="00DD5ED6">
        <w:rPr>
          <w:rFonts w:hint="cs"/>
          <w:rtl/>
        </w:rPr>
        <w:t>من هذا الزواج ما يعرف بالزواج السرّي، وهو الشائع بين الشباب في الجامعة اليوم، وإن كان فقد شرط العلانية ليس هو المفسد للعقد، بل وفقد أيّ ركن آخر، ونحن ضدّه ونحاربه، والحقيقة أننا نفتح الباب لتصفيته؛ لكي يتيسّر لكل من وقعت فيه وتريد تصحيح وضعها في المجتمع والحياة أن تجد لها منفذاً وباباً للتخلّص من هذه العلاقة والتحوّل إلى حياة طبيعية وزواج شرعي صحيح متكامل الأركان</w:t>
      </w:r>
      <w:r w:rsidRPr="00617008">
        <w:rPr>
          <w:rFonts w:hint="cs"/>
          <w:rtl/>
        </w:rPr>
        <w:t>»</w:t>
      </w:r>
      <w:r w:rsidRPr="00815C4C">
        <w:rPr>
          <w:rFonts w:cs="Taher"/>
          <w:vertAlign w:val="superscript"/>
          <w:rtl/>
        </w:rPr>
        <w:t>(</w:t>
      </w:r>
      <w:r w:rsidRPr="00815C4C">
        <w:rPr>
          <w:rFonts w:cs="Taher"/>
          <w:vertAlign w:val="superscript"/>
          <w:rtl/>
        </w:rPr>
        <w:footnoteReference w:id="684"/>
      </w:r>
      <w:r w:rsidRPr="00815C4C">
        <w:rPr>
          <w:rFonts w:cs="Taher"/>
          <w:vertAlign w:val="superscript"/>
          <w:rtl/>
        </w:rPr>
        <w:t>)</w:t>
      </w:r>
      <w:r>
        <w:rPr>
          <w:rFonts w:hint="cs"/>
          <w:rtl/>
        </w:rPr>
        <w:t xml:space="preserve">، </w:t>
      </w:r>
      <w:r w:rsidRPr="00DD5ED6">
        <w:rPr>
          <w:rFonts w:hint="cs"/>
          <w:rtl/>
        </w:rPr>
        <w:t>جريدة الأهرام الصادرة في 2/2/2000م: 3.</w:t>
      </w:r>
    </w:p>
    <w:p w:rsidR="00A67CCA" w:rsidRPr="00DD5ED6" w:rsidRDefault="00A67CCA" w:rsidP="00A67CCA">
      <w:pPr>
        <w:pStyle w:val="ac"/>
        <w:rPr>
          <w:rtl/>
        </w:rPr>
      </w:pPr>
      <w:r w:rsidRPr="00DD5ED6">
        <w:rPr>
          <w:rFonts w:hint="cs"/>
          <w:rtl/>
        </w:rPr>
        <w:t xml:space="preserve">وهل ما يحدث في الواقع سوى ما سمّاه بالزواج السرّي الذي نحاربه ونقف ضدّه، ومع ذلك اعترف به وقننه؟ ثم إنّ المعروض حالياً على القضاء بلغ حوالي 12 ألف دعوى تطليق من زواج سرّي، وأنتم أدرى وأعلم، هل رأيتم في إحداهنّ ما يخالف ما </w:t>
      </w:r>
      <w:r w:rsidRPr="00DD5ED6">
        <w:rPr>
          <w:rFonts w:hint="cs"/>
          <w:rtl/>
        </w:rPr>
        <w:lastRenderedPageBreak/>
        <w:t>ذكرته، وهل الحرب تكون بالاعتراف والتقنين لما هو فاسد وباطل وتحليله بدلاً من تحريمه ومعاقبة كلّ من يُقدم عليه، كما أوحى بذلك مجمع البحوث الإسلامية المختصّ</w:t>
      </w:r>
      <w:r>
        <w:rPr>
          <w:rFonts w:hint="cs"/>
          <w:rtl/>
        </w:rPr>
        <w:t xml:space="preserve"> ـ </w:t>
      </w:r>
      <w:r w:rsidRPr="00DD5ED6">
        <w:rPr>
          <w:rFonts w:hint="cs"/>
          <w:rtl/>
        </w:rPr>
        <w:t>قانوناً</w:t>
      </w:r>
      <w:r>
        <w:rPr>
          <w:rFonts w:hint="cs"/>
          <w:rtl/>
        </w:rPr>
        <w:t xml:space="preserve"> ـ </w:t>
      </w:r>
      <w:r w:rsidRPr="00DD5ED6">
        <w:rPr>
          <w:rFonts w:hint="cs"/>
          <w:rtl/>
        </w:rPr>
        <w:t>بالفصل في مسألة حلّ أو حرمة أيّ قانون مطابق أو مخالف للشريعة الإسلامية طبقاً للمادة الثانية من الدستور المصري الواجب أحكامه وتطبيقه، وما رأ</w:t>
      </w:r>
      <w:r>
        <w:rPr>
          <w:rFonts w:hint="cs"/>
          <w:rtl/>
        </w:rPr>
        <w:t>ي</w:t>
      </w:r>
      <w:r w:rsidRPr="00DD5ED6">
        <w:rPr>
          <w:rFonts w:hint="cs"/>
          <w:rtl/>
        </w:rPr>
        <w:t xml:space="preserve"> سيادتكم في فتوى المجمع؟!</w:t>
      </w:r>
    </w:p>
    <w:p w:rsidR="00A67CCA" w:rsidRPr="00DD5ED6" w:rsidRDefault="00A67CCA" w:rsidP="00601A99">
      <w:pPr>
        <w:pStyle w:val="ac"/>
        <w:spacing w:line="202" w:lineRule="auto"/>
        <w:rPr>
          <w:rtl/>
        </w:rPr>
      </w:pPr>
      <w:r w:rsidRPr="00DD5ED6">
        <w:rPr>
          <w:rFonts w:hint="cs"/>
          <w:rtl/>
        </w:rPr>
        <w:t>فضلاً عمّا سبق، أضاف أنصار هذا الرأي أنّ حرمان المرأة المتزوّجة عرفياً من حقّ التطليق أو الفسخ، هو حرمانٌ من حقّ دستوري نصّ عليه الدستور، وهو حقّ التقاضي، وكفله لجميع المواطنين، فضلاً عن مخالفة ذلك لمبادئ العدل والإسلام، كما أنّ حقّ التقاضي حقّ إنساني، لا يجوز حرمان أي إنسان منه</w:t>
      </w:r>
      <w:r w:rsidRPr="00815C4C">
        <w:rPr>
          <w:rFonts w:cs="Taher"/>
          <w:vertAlign w:val="superscript"/>
          <w:rtl/>
        </w:rPr>
        <w:t>(</w:t>
      </w:r>
      <w:r w:rsidRPr="00815C4C">
        <w:rPr>
          <w:rFonts w:cs="Taher"/>
          <w:vertAlign w:val="superscript"/>
          <w:rtl/>
        </w:rPr>
        <w:footnoteReference w:id="685"/>
      </w:r>
      <w:r w:rsidRPr="00815C4C">
        <w:rPr>
          <w:rFonts w:cs="Taher"/>
          <w:vertAlign w:val="superscript"/>
          <w:rtl/>
        </w:rPr>
        <w:t>)</w:t>
      </w:r>
      <w:r w:rsidRPr="00DD5ED6">
        <w:rPr>
          <w:rFonts w:hint="cs"/>
          <w:rtl/>
        </w:rPr>
        <w:t>.</w:t>
      </w:r>
    </w:p>
    <w:p w:rsidR="00A67CCA" w:rsidRPr="00DD5ED6" w:rsidRDefault="00A67CCA" w:rsidP="00601A99">
      <w:pPr>
        <w:pStyle w:val="ac"/>
        <w:spacing w:line="202" w:lineRule="auto"/>
        <w:rPr>
          <w:rtl/>
        </w:rPr>
      </w:pPr>
      <w:r w:rsidRPr="00DD5ED6">
        <w:rPr>
          <w:rFonts w:hint="cs"/>
          <w:rtl/>
        </w:rPr>
        <w:t>إنّ حقّ التقاضي حق دستوري كفله الدستور لجميع المواطنين، لكن أليس من حقّ المشرع أن يقيّد هذا الحق لمنع التعسّف في استعماله، وقد فعل المشرّع ذلك حيث نصّ في حالات معينة على عدم جواز رفع الدعوى في حالات السبّ والقذف إذا مضت عليها ثلاثة شهور من علم المجني عليه، وكذلك عدم سماع دعوى العامل للمطالبة بحقّ من حقوقه بعد مرور عام من انتهاء خدمته، كما ورد في القانون المدني، وإيقاف دعوى الزنا على شكوى من الزوج أو الزوجة؟</w:t>
      </w:r>
      <w:r w:rsidRPr="00815C4C">
        <w:rPr>
          <w:rFonts w:cs="Taher"/>
          <w:vertAlign w:val="superscript"/>
          <w:rtl/>
        </w:rPr>
        <w:t>(</w:t>
      </w:r>
      <w:r w:rsidRPr="00815C4C">
        <w:rPr>
          <w:rFonts w:cs="Taher"/>
          <w:vertAlign w:val="superscript"/>
          <w:rtl/>
        </w:rPr>
        <w:footnoteReference w:id="686"/>
      </w:r>
      <w:r w:rsidRPr="00815C4C">
        <w:rPr>
          <w:rFonts w:cs="Taher"/>
          <w:vertAlign w:val="superscript"/>
          <w:rtl/>
        </w:rPr>
        <w:t>)</w:t>
      </w:r>
      <w:r w:rsidRPr="00DD5ED6">
        <w:rPr>
          <w:rFonts w:hint="cs"/>
          <w:rtl/>
        </w:rPr>
        <w:t>.</w:t>
      </w:r>
    </w:p>
    <w:p w:rsidR="00A67CCA" w:rsidRPr="00DD5ED6" w:rsidRDefault="00A67CCA" w:rsidP="00601A99">
      <w:pPr>
        <w:pStyle w:val="ac"/>
        <w:spacing w:line="202" w:lineRule="auto"/>
        <w:rPr>
          <w:rtl/>
        </w:rPr>
      </w:pPr>
      <w:r w:rsidRPr="00DD5ED6">
        <w:rPr>
          <w:rFonts w:hint="cs"/>
          <w:rtl/>
        </w:rPr>
        <w:t>ممّا سلف، يبين أنّ المشرّع قنّن ونظم حقّ التقاضي بحيث لا يعرف الناس استعماله مما يعرّضهم للمساءلة القانونية في إساءة استعمال الحق، ألم يكن أولى بالمشرّع أن ينصّ على حرمان من تقدّم أو من يقوم بهذا النوع من الزواج السرّي؟</w:t>
      </w:r>
      <w:r w:rsidRPr="00815C4C">
        <w:rPr>
          <w:rFonts w:cs="Taher"/>
          <w:vertAlign w:val="superscript"/>
          <w:rtl/>
        </w:rPr>
        <w:t>(</w:t>
      </w:r>
      <w:r w:rsidRPr="00815C4C">
        <w:rPr>
          <w:rFonts w:cs="Taher"/>
          <w:vertAlign w:val="superscript"/>
          <w:rtl/>
        </w:rPr>
        <w:footnoteReference w:id="687"/>
      </w:r>
      <w:r w:rsidRPr="00815C4C">
        <w:rPr>
          <w:rFonts w:cs="Taher"/>
          <w:vertAlign w:val="superscript"/>
          <w:rtl/>
        </w:rPr>
        <w:t>)</w:t>
      </w:r>
      <w:r w:rsidRPr="00DD5ED6">
        <w:rPr>
          <w:rFonts w:hint="cs"/>
          <w:rtl/>
        </w:rPr>
        <w:t>.</w:t>
      </w:r>
    </w:p>
    <w:p w:rsidR="00A67CCA" w:rsidRPr="00DD5ED6" w:rsidRDefault="00A67CCA" w:rsidP="00A67CCA">
      <w:pPr>
        <w:pStyle w:val="ac"/>
        <w:rPr>
          <w:rtl/>
        </w:rPr>
      </w:pPr>
      <w:r w:rsidRPr="00DD5ED6">
        <w:rPr>
          <w:rFonts w:hint="cs"/>
          <w:rtl/>
        </w:rPr>
        <w:t>وبخلاصة ما سلف يتضح لنا تهافت الرأي الثاني وتعارض حججه مع بعضها، ممّا يدلّ على فساده وبطلانه.</w:t>
      </w:r>
    </w:p>
    <w:p w:rsidR="00A67CCA" w:rsidRDefault="00A67CCA" w:rsidP="00A67CCA">
      <w:pPr>
        <w:pStyle w:val="1"/>
        <w:rPr>
          <w:rtl/>
        </w:rPr>
      </w:pPr>
      <w:bookmarkStart w:id="372" w:name="_Toc275128092"/>
      <w:r>
        <w:rPr>
          <w:rFonts w:hint="cs"/>
          <w:rtl/>
        </w:rPr>
        <w:lastRenderedPageBreak/>
        <w:t>خاتمة البحث</w:t>
      </w:r>
      <w:bookmarkEnd w:id="372"/>
    </w:p>
    <w:p w:rsidR="00A67CCA" w:rsidRDefault="00A67CCA" w:rsidP="00A67CCA">
      <w:pPr>
        <w:pStyle w:val="ac"/>
        <w:rPr>
          <w:rtl/>
        </w:rPr>
      </w:pPr>
      <w:r w:rsidRPr="00DD5ED6">
        <w:rPr>
          <w:rFonts w:hint="cs"/>
          <w:rtl/>
        </w:rPr>
        <w:t>نخلص</w:t>
      </w:r>
      <w:r>
        <w:rPr>
          <w:rFonts w:hint="cs"/>
          <w:rtl/>
        </w:rPr>
        <w:t xml:space="preserve"> ـ </w:t>
      </w:r>
      <w:r w:rsidRPr="00DD5ED6">
        <w:rPr>
          <w:rFonts w:hint="cs"/>
          <w:rtl/>
        </w:rPr>
        <w:t>نهايةً</w:t>
      </w:r>
      <w:r>
        <w:rPr>
          <w:rFonts w:hint="cs"/>
          <w:rtl/>
        </w:rPr>
        <w:t xml:space="preserve"> ـ </w:t>
      </w:r>
      <w:r w:rsidRPr="00DD5ED6">
        <w:rPr>
          <w:rFonts w:hint="cs"/>
          <w:rtl/>
        </w:rPr>
        <w:t>إلى رأينا في الزواج العرفي في الشريعة والقانون:</w:t>
      </w:r>
    </w:p>
    <w:p w:rsidR="00A67CCA" w:rsidRPr="00601A99" w:rsidRDefault="00A67CCA" w:rsidP="00601A99">
      <w:pPr>
        <w:pStyle w:val="afffffc"/>
        <w:rPr>
          <w:sz w:val="20"/>
          <w:szCs w:val="18"/>
          <w:rtl/>
        </w:rPr>
      </w:pPr>
    </w:p>
    <w:p w:rsidR="00A67CCA" w:rsidRPr="00DD5ED6" w:rsidRDefault="00A67CCA" w:rsidP="00A67CCA">
      <w:pPr>
        <w:pStyle w:val="1"/>
        <w:rPr>
          <w:rtl/>
        </w:rPr>
      </w:pPr>
      <w:bookmarkStart w:id="373" w:name="_Toc275128093"/>
      <w:r w:rsidRPr="00DD5ED6">
        <w:rPr>
          <w:rFonts w:hint="cs"/>
          <w:rtl/>
        </w:rPr>
        <w:t>أولاً: في الشريعة الإسلامية</w:t>
      </w:r>
      <w:bookmarkEnd w:id="373"/>
    </w:p>
    <w:p w:rsidR="00A67CCA" w:rsidRPr="00DD5ED6" w:rsidRDefault="00A67CCA" w:rsidP="00601A99">
      <w:pPr>
        <w:pStyle w:val="ac"/>
        <w:spacing w:line="199" w:lineRule="auto"/>
        <w:rPr>
          <w:rtl/>
        </w:rPr>
      </w:pPr>
      <w:r w:rsidRPr="00DD5ED6">
        <w:rPr>
          <w:rFonts w:hint="cs"/>
          <w:rtl/>
        </w:rPr>
        <w:t>اشترطت الشريعة الإسلامية في عقد الزواج عدة أركان وشروط يجب توافرها في هذا العقد، وإذا لم تتوافر أو تخلّف ركن من هذه الأركان سواء الولي، أو الشهود، أو الإعلان، فإنّ الزواج يعدّ باطلاً ويجب التفريق فيه فوراً، حتى ولو لم يثبت في وثيقة رسمية، فإن الإثبات في الوثيقة لا يصحّح البطلان في عقد النكاح الذي لم تتوافر فيه هذه الأركان جميعها.</w:t>
      </w:r>
    </w:p>
    <w:p w:rsidR="00A67CCA" w:rsidRDefault="00A67CCA" w:rsidP="00601A99">
      <w:pPr>
        <w:pStyle w:val="ac"/>
        <w:spacing w:line="199" w:lineRule="auto"/>
        <w:rPr>
          <w:rtl/>
        </w:rPr>
      </w:pPr>
      <w:r w:rsidRPr="00DD5ED6">
        <w:rPr>
          <w:rFonts w:hint="cs"/>
          <w:rtl/>
        </w:rPr>
        <w:t>أمّا ما يحدث حالياً في مصر، ممّا يسمى بالزواج العرفي، فهو تدليس وزور وبهتان، من كتابة ورقة بين شاب وفتاة أو بين رجل وامرأة، يقرّ فيها هذا الشاب أو ذاك الرجل بأنّ هذه الفتاة أو المرأة هي زوجة له شرعاً، فليس هذا بزواج، بل أطلقنا عليه (عقد زنا مكتوب)، وقد ذهب إلى ما ذهبنا إليه مجمع البحوث الإسلامية وعلى رأسه فضيلة المفتي.</w:t>
      </w:r>
    </w:p>
    <w:p w:rsidR="00A67CCA" w:rsidRPr="00601A99" w:rsidRDefault="00A67CCA" w:rsidP="00601A99">
      <w:pPr>
        <w:pStyle w:val="afffffc"/>
        <w:rPr>
          <w:sz w:val="18"/>
          <w:szCs w:val="16"/>
          <w:rtl/>
        </w:rPr>
      </w:pPr>
    </w:p>
    <w:p w:rsidR="00A67CCA" w:rsidRPr="00DD5ED6" w:rsidRDefault="00A67CCA" w:rsidP="00A67CCA">
      <w:pPr>
        <w:pStyle w:val="1"/>
        <w:rPr>
          <w:rtl/>
        </w:rPr>
      </w:pPr>
      <w:bookmarkStart w:id="374" w:name="_Toc275128094"/>
      <w:r w:rsidRPr="00DD5ED6">
        <w:rPr>
          <w:rFonts w:hint="cs"/>
          <w:rtl/>
        </w:rPr>
        <w:t>ثانياً: في القانون المصري</w:t>
      </w:r>
      <w:bookmarkEnd w:id="374"/>
    </w:p>
    <w:p w:rsidR="00A67CCA" w:rsidRPr="00DD5ED6" w:rsidRDefault="00A67CCA" w:rsidP="00601A99">
      <w:pPr>
        <w:pStyle w:val="ac"/>
        <w:spacing w:line="199" w:lineRule="auto"/>
        <w:rPr>
          <w:rtl/>
        </w:rPr>
      </w:pPr>
      <w:r w:rsidRPr="00DD5ED6">
        <w:rPr>
          <w:rFonts w:hint="cs"/>
          <w:rtl/>
        </w:rPr>
        <w:t>إنّ القوانين الصادرة قبل عام 2000م خاصّة المرسوم بقانون رقم (78) لسنة 1931م المادة (99) منه وإن اشترطت</w:t>
      </w:r>
      <w:r>
        <w:rPr>
          <w:rFonts w:hint="cs"/>
          <w:rtl/>
        </w:rPr>
        <w:t xml:space="preserve"> ـ </w:t>
      </w:r>
      <w:r w:rsidRPr="00DD5ED6">
        <w:rPr>
          <w:rFonts w:hint="cs"/>
          <w:rtl/>
        </w:rPr>
        <w:t>لسماع دعوى الزوجية أوالطلاق في المحاكمة</w:t>
      </w:r>
      <w:r>
        <w:rPr>
          <w:rFonts w:hint="cs"/>
          <w:rtl/>
        </w:rPr>
        <w:t xml:space="preserve"> ـ </w:t>
      </w:r>
      <w:r w:rsidRPr="00DD5ED6">
        <w:rPr>
          <w:rFonts w:hint="cs"/>
          <w:rtl/>
        </w:rPr>
        <w:t>أن يكون الزواج موثقاً لدى المأذون في قسيمة معدّة خصيصاً لذلك، فإن هذه المادة وإن لم تشترط صراحةً أن يتوافر عقد الزواج على الأركان والشروط، إلا أن هذه الشروط ضرورية، وبدونها لا يكون هناك عقد زواج، وقد انتهت إلى ذلك محكمة النقض في العديد من أحكامها التي تواترت عليها؛ فالقانون هنا يفترض أساساً أن العقد صحيح؛ لأن الطلاق لا يكون إلا من زواج صحيح، وإلا كان هذا الزواج مخالفاً للشريعة الإسلامية وللدستور، خاصّة المادة الثانية منه، فلا التوثيق يصحّح البطلان، ولا يضفي على العقد شرعيةً، فهو شرط وضع لمصلحة مرسلة أكّدها الواقع والوقائع.</w:t>
      </w:r>
    </w:p>
    <w:p w:rsidR="00A67CCA" w:rsidRPr="00DD5ED6" w:rsidRDefault="00A67CCA" w:rsidP="00601A99">
      <w:pPr>
        <w:pStyle w:val="ac"/>
        <w:spacing w:line="199" w:lineRule="auto"/>
        <w:rPr>
          <w:rtl/>
        </w:rPr>
      </w:pPr>
      <w:r w:rsidRPr="00DD5ED6">
        <w:rPr>
          <w:rFonts w:hint="cs"/>
          <w:rtl/>
        </w:rPr>
        <w:lastRenderedPageBreak/>
        <w:t>أما الحال في القانون رقم (1) لسنة 2000م، فقد انقسم الفقهاء حول المادة (17/2) من هذا القانون إلى فريقين: الأول عارض وناهض ما ذهبت إليه هذه المادة (17/2)، والثاني أيّد ووافق على المبدأ الذي نصّت عليه، وهو قبول دعوى التطليق والفسخ من عقد الزواج إذا كان ثابتاً بأيّة كتابة، وعليه ففساد نصّ المادة (17/2) يكون للأساب التالية:</w:t>
      </w:r>
    </w:p>
    <w:p w:rsidR="00A67CCA" w:rsidRPr="00DD5ED6" w:rsidRDefault="00A67CCA" w:rsidP="00601A99">
      <w:pPr>
        <w:pStyle w:val="ac"/>
        <w:spacing w:line="199" w:lineRule="auto"/>
        <w:rPr>
          <w:rtl/>
        </w:rPr>
      </w:pPr>
      <w:r w:rsidRPr="00DD5ED6">
        <w:rPr>
          <w:rFonts w:hint="cs"/>
          <w:rtl/>
        </w:rPr>
        <w:t>1</w:t>
      </w:r>
      <w:r>
        <w:rPr>
          <w:rFonts w:hint="cs"/>
          <w:rtl/>
        </w:rPr>
        <w:t xml:space="preserve">ـ </w:t>
      </w:r>
      <w:r w:rsidRPr="00DD5ED6">
        <w:rPr>
          <w:rFonts w:hint="cs"/>
          <w:rtl/>
        </w:rPr>
        <w:t>مخالفة نص المادة (17/2) للمادة الثانية من الدستور الدائم الصادر من 28/9/1971م</w:t>
      </w:r>
      <w:r>
        <w:rPr>
          <w:rFonts w:hint="cs"/>
          <w:rtl/>
        </w:rPr>
        <w:t>؛</w:t>
      </w:r>
      <w:r w:rsidRPr="00DD5ED6">
        <w:rPr>
          <w:rFonts w:hint="cs"/>
          <w:rtl/>
        </w:rPr>
        <w:t xml:space="preserve"> لمخالفتها الشريعة الإسلامية.</w:t>
      </w:r>
    </w:p>
    <w:p w:rsidR="00A67CCA" w:rsidRPr="00DD5ED6" w:rsidRDefault="00A67CCA" w:rsidP="00601A99">
      <w:pPr>
        <w:pStyle w:val="ac"/>
        <w:spacing w:line="199" w:lineRule="auto"/>
        <w:rPr>
          <w:rtl/>
        </w:rPr>
      </w:pPr>
      <w:r w:rsidRPr="00DD5ED6">
        <w:rPr>
          <w:rFonts w:hint="cs"/>
          <w:rtl/>
        </w:rPr>
        <w:t>2</w:t>
      </w:r>
      <w:r>
        <w:rPr>
          <w:rFonts w:hint="cs"/>
          <w:rtl/>
        </w:rPr>
        <w:t xml:space="preserve">ـ </w:t>
      </w:r>
      <w:r w:rsidRPr="00DD5ED6">
        <w:rPr>
          <w:rFonts w:hint="cs"/>
          <w:rtl/>
        </w:rPr>
        <w:t>مخالفة نص المادة (17/2) لأحكام محكمة النقض التي تواترت على بطلان عقد الزواج، إذا لم يكن مستوفياً لشروطه وأركانه في الإسلام، وقد سبق أن أوردنا بعض هذه الأحكام.</w:t>
      </w:r>
    </w:p>
    <w:p w:rsidR="00A67CCA" w:rsidRPr="00DD5ED6" w:rsidRDefault="00A67CCA" w:rsidP="00601A99">
      <w:pPr>
        <w:pStyle w:val="ac"/>
        <w:spacing w:line="199" w:lineRule="auto"/>
        <w:rPr>
          <w:rtl/>
        </w:rPr>
      </w:pPr>
      <w:r w:rsidRPr="00DD5ED6">
        <w:rPr>
          <w:rFonts w:hint="cs"/>
          <w:rtl/>
        </w:rPr>
        <w:t>3</w:t>
      </w:r>
      <w:r>
        <w:rPr>
          <w:rFonts w:hint="cs"/>
          <w:rtl/>
        </w:rPr>
        <w:t xml:space="preserve">ـ </w:t>
      </w:r>
      <w:r w:rsidRPr="00DD5ED6">
        <w:rPr>
          <w:rFonts w:hint="cs"/>
          <w:rtl/>
        </w:rPr>
        <w:t>مخالفة نصّ المادة (17/2) للقاعدة القانونية التي تقول: إنّ ما بني على الباطل فهو باطل، فإذا كان الزواج العرفي باطلاً، فإن الكلام المترتب عليه يكون باطلاً.</w:t>
      </w:r>
    </w:p>
    <w:p w:rsidR="00A67CCA" w:rsidRPr="00DD5ED6" w:rsidRDefault="00A67CCA" w:rsidP="00601A99">
      <w:pPr>
        <w:pStyle w:val="ac"/>
        <w:spacing w:line="199" w:lineRule="auto"/>
        <w:rPr>
          <w:rtl/>
        </w:rPr>
      </w:pPr>
      <w:r w:rsidRPr="00DD5ED6">
        <w:rPr>
          <w:rFonts w:hint="cs"/>
          <w:rtl/>
        </w:rPr>
        <w:t>4</w:t>
      </w:r>
      <w:r>
        <w:rPr>
          <w:rFonts w:hint="cs"/>
          <w:rtl/>
        </w:rPr>
        <w:t xml:space="preserve">ـ </w:t>
      </w:r>
      <w:r w:rsidRPr="00DD5ED6">
        <w:rPr>
          <w:rFonts w:hint="cs"/>
          <w:rtl/>
        </w:rPr>
        <w:t>مخالفة نصّ المادة (17/2) لما صدر عن مجمع البحوث الإسلامية المختصّ</w:t>
      </w:r>
      <w:r>
        <w:rPr>
          <w:rFonts w:hint="cs"/>
          <w:rtl/>
        </w:rPr>
        <w:t xml:space="preserve"> ـ </w:t>
      </w:r>
      <w:r w:rsidRPr="00DD5ED6">
        <w:rPr>
          <w:rFonts w:hint="cs"/>
          <w:rtl/>
        </w:rPr>
        <w:t>قانوناً</w:t>
      </w:r>
      <w:r>
        <w:rPr>
          <w:rFonts w:hint="cs"/>
          <w:rtl/>
        </w:rPr>
        <w:t xml:space="preserve"> ـ </w:t>
      </w:r>
      <w:r w:rsidRPr="00DD5ED6">
        <w:rPr>
          <w:rFonts w:hint="cs"/>
          <w:rtl/>
        </w:rPr>
        <w:t>في البتّ في مدى موافقة مشاريع القوانين للشريعة الإسلامية، وبذلك تكون هذه المادة مخالفة للشريعة والدستور.</w:t>
      </w:r>
    </w:p>
    <w:p w:rsidR="00A67CCA" w:rsidRPr="00DD5ED6" w:rsidRDefault="00A67CCA" w:rsidP="00601A99">
      <w:pPr>
        <w:pStyle w:val="ac"/>
        <w:spacing w:line="199" w:lineRule="auto"/>
        <w:rPr>
          <w:rtl/>
        </w:rPr>
      </w:pPr>
      <w:r w:rsidRPr="00DD5ED6">
        <w:rPr>
          <w:rFonts w:hint="cs"/>
          <w:rtl/>
        </w:rPr>
        <w:t>5</w:t>
      </w:r>
      <w:r>
        <w:rPr>
          <w:rFonts w:hint="cs"/>
          <w:rtl/>
        </w:rPr>
        <w:t xml:space="preserve">ـ </w:t>
      </w:r>
      <w:r w:rsidRPr="00DD5ED6">
        <w:rPr>
          <w:rFonts w:hint="cs"/>
          <w:rtl/>
        </w:rPr>
        <w:t>إنّ المادة (17/2) ليست وسيلةً للقضاء على هذا النوع من الزواج بل إنّها تشجعه، وإلا لم يكن ذلك كذلك، فلماذا لم يحدّد القانون مدة معينة بعدها يسقط الحقّ في رفع دعوى التطليق أو الفسخ؟</w:t>
      </w:r>
    </w:p>
    <w:p w:rsidR="00A67CCA" w:rsidRPr="00DD5ED6" w:rsidRDefault="00A67CCA" w:rsidP="00601A99">
      <w:pPr>
        <w:pStyle w:val="ac"/>
        <w:spacing w:line="199" w:lineRule="auto"/>
        <w:rPr>
          <w:rtl/>
        </w:rPr>
      </w:pPr>
      <w:r w:rsidRPr="00DD5ED6">
        <w:rPr>
          <w:rFonts w:hint="cs"/>
          <w:rtl/>
        </w:rPr>
        <w:t>6</w:t>
      </w:r>
      <w:r>
        <w:rPr>
          <w:rFonts w:hint="cs"/>
          <w:rtl/>
        </w:rPr>
        <w:t xml:space="preserve">ـ </w:t>
      </w:r>
      <w:r w:rsidRPr="00DD5ED6">
        <w:rPr>
          <w:rFonts w:hint="cs"/>
          <w:rtl/>
        </w:rPr>
        <w:t xml:space="preserve">إنّ الله سبحانه وتعالى أطلق على عقد الزواج </w:t>
      </w:r>
      <w:r>
        <w:rPr>
          <w:rFonts w:hint="cs"/>
        </w:rPr>
        <w:sym w:font="Islamic Units 1" w:char="F03E"/>
      </w:r>
      <w:r w:rsidRPr="004A546B">
        <w:rPr>
          <w:rFonts w:cs="Abz-2 (Badr)" w:hint="cs"/>
          <w:b/>
          <w:bCs/>
          <w:spacing w:val="10"/>
          <w:sz w:val="29"/>
          <w:rtl/>
        </w:rPr>
        <w:t>ميثاقاً غليظا</w:t>
      </w:r>
      <w:r w:rsidRPr="00DD5ED6">
        <w:rPr>
          <w:rFonts w:hint="cs"/>
          <w:rtl/>
        </w:rPr>
        <w:t>ً</w:t>
      </w:r>
      <w:r>
        <w:rPr>
          <w:rFonts w:hint="cs"/>
        </w:rPr>
        <w:sym w:font="Islamic Units 1" w:char="F03C"/>
      </w:r>
      <w:r w:rsidRPr="00DD5ED6">
        <w:rPr>
          <w:rFonts w:hint="cs"/>
          <w:rtl/>
        </w:rPr>
        <w:t>، والقانون رقم (1) لسنة 2000م المادة 17/2 تطلق عليه: (بأية كتابة)، فهل الميثاق الغليظ يكون بأيّة كتابة؟ هذا ما يجعل تلك المادة تحطّ من قدر وأهمية الزواج مما يؤيّد مخالفتها للشريعة الإسلامية وللمادة الثانية من الدستور.</w:t>
      </w:r>
    </w:p>
    <w:p w:rsidR="00EE06ED" w:rsidRDefault="00A67CCA" w:rsidP="00601A99">
      <w:pPr>
        <w:pStyle w:val="ac"/>
        <w:spacing w:line="199" w:lineRule="auto"/>
        <w:rPr>
          <w:rtl/>
        </w:rPr>
      </w:pPr>
      <w:r w:rsidRPr="00DD5ED6">
        <w:rPr>
          <w:rFonts w:hint="cs"/>
          <w:rtl/>
        </w:rPr>
        <w:t>ممّا سلف، يتضح بطلان المادة (17/2) من القانون رقم (1) لسنة 2000م؛ لمخالفتها المادة الثانية من الدستور والشريعة الإسلامية، وأنّ الزواج العرفي ليس زواجاً بل زنا، وقد اتخذه الناس سبيلاً له.</w:t>
      </w:r>
    </w:p>
    <w:p w:rsidR="00EE06ED" w:rsidRDefault="00EE06ED" w:rsidP="00EE06ED">
      <w:pPr>
        <w:pStyle w:val="ac"/>
        <w:spacing w:line="209" w:lineRule="auto"/>
        <w:rPr>
          <w:rtl/>
        </w:rPr>
        <w:sectPr w:rsidR="00EE06ED" w:rsidSect="00EA348C">
          <w:headerReference w:type="even" r:id="rId71"/>
          <w:headerReference w:type="default" r:id="rId72"/>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601A99" w:rsidRDefault="00601A99">
      <w:pPr>
        <w:widowControl/>
        <w:bidi w:val="0"/>
        <w:spacing w:line="240" w:lineRule="auto"/>
        <w:ind w:firstLine="0"/>
        <w:jc w:val="left"/>
        <w:outlineLvl w:val="9"/>
        <w:rPr>
          <w:rFonts w:ascii="Arno Pro Display" w:hAnsi="Arno Pro Display"/>
          <w:sz w:val="28"/>
          <w:szCs w:val="30"/>
          <w:rtl/>
        </w:rPr>
      </w:pPr>
      <w:r>
        <w:rPr>
          <w:rtl/>
        </w:rPr>
        <w:lastRenderedPageBreak/>
        <w:br w:type="page"/>
      </w:r>
    </w:p>
    <w:p w:rsidR="00A67CCA" w:rsidRDefault="00A67CCA" w:rsidP="00EE06ED">
      <w:pPr>
        <w:pStyle w:val="ac"/>
        <w:spacing w:line="209" w:lineRule="auto"/>
        <w:rPr>
          <w:rtl/>
        </w:rPr>
      </w:pPr>
    </w:p>
    <w:p w:rsidR="00A67CCA" w:rsidRPr="002649A0" w:rsidRDefault="00A67CCA" w:rsidP="00A67CCA">
      <w:pPr>
        <w:pStyle w:val="ac"/>
        <w:rPr>
          <w:sz w:val="14"/>
          <w:szCs w:val="16"/>
          <w:rtl/>
        </w:rPr>
      </w:pPr>
    </w:p>
    <w:p w:rsidR="00A67CCA" w:rsidRDefault="00A67CCA" w:rsidP="00A67CCA">
      <w:pPr>
        <w:pStyle w:val="ac"/>
        <w:rPr>
          <w:rtl/>
        </w:rPr>
      </w:pPr>
    </w:p>
    <w:p w:rsidR="00A67CCA" w:rsidRDefault="00A67CCA" w:rsidP="00A67CCA">
      <w:pPr>
        <w:pStyle w:val="ac"/>
        <w:rPr>
          <w:rtl/>
        </w:rPr>
      </w:pPr>
    </w:p>
    <w:p w:rsidR="00A67CCA" w:rsidRDefault="00A67CCA" w:rsidP="00A67CCA">
      <w:pPr>
        <w:pStyle w:val="ac"/>
        <w:rPr>
          <w:rtl/>
        </w:rPr>
      </w:pPr>
    </w:p>
    <w:p w:rsidR="00EE06ED" w:rsidRDefault="00EE06ED" w:rsidP="00592460">
      <w:pPr>
        <w:pStyle w:val="aff2"/>
        <w:rPr>
          <w:rtl/>
        </w:rPr>
        <w:sectPr w:rsidR="00EE06ED" w:rsidSect="00EA348C">
          <w:headerReference w:type="even" r:id="rId73"/>
          <w:headerReference w:type="default" r:id="rId7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C12E83" w:rsidRDefault="00592460" w:rsidP="00C12E83">
      <w:pPr>
        <w:pStyle w:val="aff2"/>
        <w:rPr>
          <w:rtl/>
        </w:rPr>
      </w:pPr>
      <w:bookmarkStart w:id="375" w:name="_Toc275128095"/>
      <w:r w:rsidRPr="00FC1947">
        <w:rPr>
          <w:rtl/>
        </w:rPr>
        <w:lastRenderedPageBreak/>
        <w:t>حقوق الزّوجة الجنسيّة</w:t>
      </w:r>
      <w:bookmarkEnd w:id="375"/>
    </w:p>
    <w:p w:rsidR="00C12E83" w:rsidRPr="002649A0" w:rsidRDefault="00C12E83" w:rsidP="00C12E83">
      <w:pPr>
        <w:pStyle w:val="aff2"/>
        <w:rPr>
          <w:sz w:val="40"/>
          <w:szCs w:val="40"/>
          <w:rtl/>
        </w:rPr>
      </w:pPr>
      <w:bookmarkStart w:id="376" w:name="_Toc275128096"/>
      <w:r w:rsidRPr="002649A0">
        <w:rPr>
          <w:rFonts w:hint="cs"/>
          <w:sz w:val="40"/>
          <w:szCs w:val="40"/>
          <w:rtl/>
        </w:rPr>
        <w:t>دراسة فقهية استدلالية</w:t>
      </w:r>
      <w:bookmarkEnd w:id="376"/>
    </w:p>
    <w:p w:rsidR="00592460" w:rsidRDefault="00592460" w:rsidP="00592460">
      <w:pPr>
        <w:pStyle w:val="af7"/>
        <w:rPr>
          <w:rtl/>
        </w:rPr>
      </w:pPr>
      <w:bookmarkStart w:id="377" w:name="_Toc275128097"/>
      <w:r>
        <w:rPr>
          <w:rFonts w:hint="cs"/>
          <w:rtl/>
        </w:rPr>
        <w:t>حيدر حب الله</w:t>
      </w:r>
      <w:bookmarkEnd w:id="377"/>
    </w:p>
    <w:p w:rsidR="00592460" w:rsidRPr="002649A0" w:rsidRDefault="00592460" w:rsidP="00592460">
      <w:pPr>
        <w:pStyle w:val="ac"/>
        <w:rPr>
          <w:sz w:val="2"/>
          <w:szCs w:val="2"/>
          <w:rtl/>
        </w:rPr>
      </w:pPr>
    </w:p>
    <w:p w:rsidR="00592460" w:rsidRPr="00FC1947" w:rsidRDefault="00592460" w:rsidP="00592460">
      <w:pPr>
        <w:pStyle w:val="1"/>
        <w:rPr>
          <w:rtl/>
        </w:rPr>
      </w:pPr>
      <w:bookmarkStart w:id="378" w:name="_Toc275128098"/>
      <w:r w:rsidRPr="00FC1947">
        <w:rPr>
          <w:rtl/>
        </w:rPr>
        <w:t>تمهيد</w:t>
      </w:r>
      <w:bookmarkEnd w:id="378"/>
    </w:p>
    <w:p w:rsidR="00592460" w:rsidRPr="00FC1947" w:rsidRDefault="00592460" w:rsidP="00C12E83">
      <w:pPr>
        <w:pStyle w:val="ac"/>
        <w:rPr>
          <w:rtl/>
        </w:rPr>
      </w:pPr>
      <w:r w:rsidRPr="00FC1947">
        <w:rPr>
          <w:rtl/>
        </w:rPr>
        <w:t>شهد القرن الحالي حركةً نشطةً وواسعةً</w:t>
      </w:r>
      <w:r w:rsidR="00F32FBA">
        <w:rPr>
          <w:rFonts w:hint="cs"/>
          <w:rtl/>
        </w:rPr>
        <w:t>،</w:t>
      </w:r>
      <w:r w:rsidRPr="00FC1947">
        <w:rPr>
          <w:rtl/>
        </w:rPr>
        <w:t xml:space="preserve"> استهدفت إعادة النظر في مختلف قضايا المرأة</w:t>
      </w:r>
      <w:r w:rsidR="00EE06ED">
        <w:rPr>
          <w:rtl/>
        </w:rPr>
        <w:t>،</w:t>
      </w:r>
      <w:r w:rsidRPr="00FC1947">
        <w:rPr>
          <w:rtl/>
        </w:rPr>
        <w:t xml:space="preserve"> وقد ألقى هذا الأمر بظلاله على الساحة الفكرية الإسلامية مولداً حركةً فكريةً إسلاميةً أخذت على عاتقها إعادة برمجة الرؤية التي نحملها كمسلمين حول المرأة.</w:t>
      </w:r>
    </w:p>
    <w:p w:rsidR="00592460" w:rsidRPr="00FC1947" w:rsidRDefault="00592460" w:rsidP="00C12E83">
      <w:pPr>
        <w:pStyle w:val="ac"/>
        <w:rPr>
          <w:rtl/>
        </w:rPr>
      </w:pPr>
      <w:r w:rsidRPr="00FC1947">
        <w:rPr>
          <w:rtl/>
        </w:rPr>
        <w:t>على خط آخر</w:t>
      </w:r>
      <w:r w:rsidR="00C12E83">
        <w:rPr>
          <w:rFonts w:hint="cs"/>
          <w:rtl/>
        </w:rPr>
        <w:t>،</w:t>
      </w:r>
      <w:r w:rsidRPr="00FC1947">
        <w:rPr>
          <w:rtl/>
        </w:rPr>
        <w:t xml:space="preserve"> أخذ موضوع الجنس حيزاً كبيراً من جهود واهتمامات علماء القرن الميلادي العشرين سواء منهم علماء النفس أو ال</w:t>
      </w:r>
      <w:r w:rsidR="00C12E83">
        <w:rPr>
          <w:rFonts w:hint="cs"/>
          <w:rtl/>
        </w:rPr>
        <w:t>ا</w:t>
      </w:r>
      <w:r w:rsidRPr="00FC1947">
        <w:rPr>
          <w:rtl/>
        </w:rPr>
        <w:t>جتماع أو الأخلاق أو الدّين أو...</w:t>
      </w:r>
    </w:p>
    <w:p w:rsidR="00592460" w:rsidRPr="00FC1947" w:rsidRDefault="00592460" w:rsidP="00592460">
      <w:pPr>
        <w:pStyle w:val="ac"/>
        <w:rPr>
          <w:rFonts w:ascii="Arabic Transparent" w:hAnsi="Arabic Transparent"/>
          <w:rtl/>
        </w:rPr>
      </w:pPr>
      <w:r w:rsidRPr="00FC1947">
        <w:rPr>
          <w:rFonts w:ascii="Arabic Transparent" w:hAnsi="Arabic Transparent"/>
          <w:rtl/>
        </w:rPr>
        <w:t>وكنتيجة طبيعية ومنطقية كان ملتقى هذين المحورين ـ</w:t>
      </w:r>
      <w:r>
        <w:rPr>
          <w:rFonts w:ascii="Arabic Transparent" w:hAnsi="Arabic Transparent" w:hint="cs"/>
          <w:rtl/>
        </w:rPr>
        <w:t xml:space="preserve"> </w:t>
      </w:r>
      <w:r w:rsidRPr="00FC1947">
        <w:rPr>
          <w:rFonts w:ascii="Arabic Transparent" w:hAnsi="Arabic Transparent"/>
          <w:rtl/>
        </w:rPr>
        <w:t>أي المرأة والجنس ـ هو الآخر على درجة عالية من السخونة</w:t>
      </w:r>
      <w:r w:rsidR="00F32FBA">
        <w:rPr>
          <w:rFonts w:ascii="Arabic Transparent" w:hAnsi="Arabic Transparent" w:hint="cs"/>
          <w:rtl/>
        </w:rPr>
        <w:t>،</w:t>
      </w:r>
      <w:r w:rsidRPr="00FC1947">
        <w:rPr>
          <w:rFonts w:ascii="Arabic Transparent" w:hAnsi="Arabic Transparent"/>
          <w:rtl/>
        </w:rPr>
        <w:t xml:space="preserve"> تبعاً للحساسيّة ا</w:t>
      </w:r>
      <w:r w:rsidR="00C12E83">
        <w:rPr>
          <w:rFonts w:ascii="Arabic Transparent" w:hAnsi="Arabic Transparent"/>
          <w:rtl/>
        </w:rPr>
        <w:t>لتي يلعبها موضوعا المرأة والجنس</w:t>
      </w:r>
      <w:r w:rsidR="00C12E83">
        <w:rPr>
          <w:rFonts w:ascii="Arabic Transparent" w:hAnsi="Arabic Transparent" w:hint="cs"/>
          <w:rtl/>
        </w:rPr>
        <w:t xml:space="preserve"> بصورة منفردة.</w:t>
      </w:r>
    </w:p>
    <w:p w:rsidR="00592460" w:rsidRPr="00FC1947" w:rsidRDefault="00592460" w:rsidP="00592460">
      <w:pPr>
        <w:pStyle w:val="ac"/>
        <w:rPr>
          <w:rtl/>
        </w:rPr>
      </w:pPr>
      <w:r w:rsidRPr="00FC1947">
        <w:rPr>
          <w:rtl/>
        </w:rPr>
        <w:t>ومن هنا</w:t>
      </w:r>
      <w:r w:rsidR="00C12E83">
        <w:rPr>
          <w:rFonts w:hint="cs"/>
          <w:rtl/>
        </w:rPr>
        <w:t>،</w:t>
      </w:r>
      <w:r w:rsidRPr="00FC1947">
        <w:rPr>
          <w:rtl/>
        </w:rPr>
        <w:t xml:space="preserve"> تبرز الحاجة لتحديد الموقف بدقّة إزاء مسألة العلاقة بين المرأة والجنس</w:t>
      </w:r>
      <w:r>
        <w:rPr>
          <w:rFonts w:hint="cs"/>
          <w:rtl/>
        </w:rPr>
        <w:t>،</w:t>
      </w:r>
      <w:r w:rsidRPr="00FC1947">
        <w:rPr>
          <w:rtl/>
        </w:rPr>
        <w:t xml:space="preserve"> وتتكشّف على هذا الأساس واحدة من المسائل الهامّة في تحديد مفردة من مفردات هذه العلاقة وجانب من جوانبها</w:t>
      </w:r>
      <w:r w:rsidR="00C12E83">
        <w:rPr>
          <w:rFonts w:hint="cs"/>
          <w:rtl/>
        </w:rPr>
        <w:t>،</w:t>
      </w:r>
      <w:r w:rsidRPr="00FC1947">
        <w:rPr>
          <w:rtl/>
        </w:rPr>
        <w:t xml:space="preserve"> ألا وهي مسألة الحق الجنسي للزوجة.</w:t>
      </w:r>
    </w:p>
    <w:p w:rsidR="00592460" w:rsidRDefault="00592460" w:rsidP="002649A0">
      <w:pPr>
        <w:pStyle w:val="ac"/>
        <w:rPr>
          <w:rtl/>
        </w:rPr>
      </w:pPr>
      <w:r w:rsidRPr="00FC1947">
        <w:rPr>
          <w:rtl/>
        </w:rPr>
        <w:t>وحيث إن علم الفقه ـ إسلامياً ـ هو العلم المعنيّ بتحديد موضوع الحقوق والواجبات ومفرداتهما</w:t>
      </w:r>
      <w:r w:rsidR="00C12E83">
        <w:rPr>
          <w:rFonts w:hint="cs"/>
          <w:rtl/>
        </w:rPr>
        <w:t>،</w:t>
      </w:r>
      <w:r w:rsidRPr="00FC1947">
        <w:rPr>
          <w:rtl/>
        </w:rPr>
        <w:t xml:space="preserve"> كان موضوع الحق الجنسي للزوجة موضوعاً فقهياً قانونياً بالدرجة الأولى</w:t>
      </w:r>
      <w:r w:rsidR="00C12E83">
        <w:rPr>
          <w:rFonts w:hint="cs"/>
          <w:rtl/>
        </w:rPr>
        <w:t>،</w:t>
      </w:r>
      <w:r w:rsidRPr="00FC1947">
        <w:rPr>
          <w:rtl/>
        </w:rPr>
        <w:t xml:space="preserve"> وإن كان ينبني ويرتكز على خلفية فكرية ورؤية فلسفية للإنسان</w:t>
      </w:r>
      <w:r>
        <w:rPr>
          <w:rFonts w:hint="cs"/>
          <w:rtl/>
        </w:rPr>
        <w:t>،</w:t>
      </w:r>
      <w:r w:rsidRPr="00FC1947">
        <w:rPr>
          <w:rtl/>
        </w:rPr>
        <w:t xml:space="preserve"> ومن </w:t>
      </w:r>
      <w:r w:rsidRPr="00FC1947">
        <w:rPr>
          <w:rtl/>
        </w:rPr>
        <w:lastRenderedPageBreak/>
        <w:t>هنا تبرز الحاجة إلى محاولة تأصيل موقف قانونيّ إسلامي من هذا الموضوع</w:t>
      </w:r>
      <w:r w:rsidR="00EE06ED">
        <w:rPr>
          <w:rtl/>
        </w:rPr>
        <w:t>،</w:t>
      </w:r>
      <w:r w:rsidRPr="00FC1947">
        <w:rPr>
          <w:rtl/>
        </w:rPr>
        <w:t xml:space="preserve"> وهو ما سوف تحاول هذه الصفحات فعله.</w:t>
      </w:r>
    </w:p>
    <w:p w:rsidR="00C12E83" w:rsidRPr="002649A0" w:rsidRDefault="00C12E83" w:rsidP="002649A0">
      <w:pPr>
        <w:pStyle w:val="afffffc"/>
        <w:rPr>
          <w:sz w:val="22"/>
          <w:szCs w:val="20"/>
          <w:rtl/>
        </w:rPr>
      </w:pPr>
    </w:p>
    <w:p w:rsidR="00C12E83" w:rsidRPr="00FC1947" w:rsidRDefault="00C12E83" w:rsidP="00C12E83">
      <w:pPr>
        <w:pStyle w:val="1"/>
        <w:rPr>
          <w:rtl/>
        </w:rPr>
      </w:pPr>
      <w:bookmarkStart w:id="379" w:name="_Toc275128099"/>
      <w:r>
        <w:rPr>
          <w:rFonts w:hint="cs"/>
          <w:rtl/>
        </w:rPr>
        <w:t>التاريخ الفقهي للمسألة</w:t>
      </w:r>
      <w:bookmarkEnd w:id="379"/>
      <w:r>
        <w:rPr>
          <w:rFonts w:hint="cs"/>
          <w:rtl/>
        </w:rPr>
        <w:t xml:space="preserve"> </w:t>
      </w:r>
    </w:p>
    <w:p w:rsidR="00592460" w:rsidRPr="00FC1947" w:rsidRDefault="00592460" w:rsidP="002649A0">
      <w:pPr>
        <w:pStyle w:val="ac"/>
        <w:rPr>
          <w:rtl/>
        </w:rPr>
      </w:pPr>
      <w:r w:rsidRPr="00FC1947">
        <w:rPr>
          <w:rtl/>
        </w:rPr>
        <w:t xml:space="preserve">وقد أثارت هذه المسألة في مسارها التاريخي مواقف على المستوى الإسلامي </w:t>
      </w:r>
      <w:r w:rsidR="00C12E83">
        <w:rPr>
          <w:rFonts w:hint="cs"/>
          <w:rtl/>
        </w:rPr>
        <w:t>ا</w:t>
      </w:r>
      <w:r w:rsidRPr="00FC1947">
        <w:rPr>
          <w:rtl/>
        </w:rPr>
        <w:t>تسمت بشيء من التباين:</w:t>
      </w:r>
    </w:p>
    <w:p w:rsidR="00592460" w:rsidRPr="00FC1947" w:rsidRDefault="00592460" w:rsidP="002649A0">
      <w:pPr>
        <w:pStyle w:val="ac"/>
        <w:rPr>
          <w:rtl/>
        </w:rPr>
      </w:pPr>
      <w:r w:rsidRPr="00C12E83">
        <w:rPr>
          <w:b/>
          <w:bCs/>
          <w:rtl/>
        </w:rPr>
        <w:t>1ـ أما على مستوى فقه السنّة</w:t>
      </w:r>
      <w:r w:rsidR="00C12E83" w:rsidRPr="00C12E83">
        <w:rPr>
          <w:rFonts w:hint="cs"/>
          <w:b/>
          <w:bCs/>
          <w:rtl/>
        </w:rPr>
        <w:t>،</w:t>
      </w:r>
      <w:r w:rsidRPr="00FC1947">
        <w:rPr>
          <w:rtl/>
        </w:rPr>
        <w:t xml:space="preserve"> فقد ذكرت عدة آراء فقهية لعل أبرزها:</w:t>
      </w:r>
    </w:p>
    <w:p w:rsidR="00592460" w:rsidRPr="00FC1947" w:rsidRDefault="00592460" w:rsidP="002649A0">
      <w:pPr>
        <w:pStyle w:val="ac"/>
        <w:rPr>
          <w:rtl/>
        </w:rPr>
      </w:pPr>
      <w:r w:rsidRPr="00FC1947">
        <w:rPr>
          <w:rtl/>
        </w:rPr>
        <w:t>أ ـ وجهة نظر ترى أن حق المرأة يتمثّل في مقاربة واحدة فقط طوال فترة الزوجية وإن كان الأفضل للرجل أن يعفّها</w:t>
      </w:r>
      <w:r w:rsidR="00EE06ED">
        <w:rPr>
          <w:rFonts w:hint="cs"/>
          <w:rtl/>
        </w:rPr>
        <w:t>،</w:t>
      </w:r>
      <w:r w:rsidRPr="00FC1947">
        <w:rPr>
          <w:rtl/>
        </w:rPr>
        <w:t xml:space="preserve"> وقد نقل هذا الرأي عن أبي حنيفة النّعمان.</w:t>
      </w:r>
    </w:p>
    <w:p w:rsidR="00592460" w:rsidRPr="00FC1947" w:rsidRDefault="00592460" w:rsidP="002649A0">
      <w:pPr>
        <w:pStyle w:val="ac"/>
        <w:rPr>
          <w:rtl/>
        </w:rPr>
      </w:pPr>
      <w:r w:rsidRPr="00FC1947">
        <w:rPr>
          <w:rtl/>
        </w:rPr>
        <w:t xml:space="preserve">ب ـ إنه لا حق لها أساساً وبصورة مطلقة </w:t>
      </w:r>
      <w:r w:rsidR="00EE06ED">
        <w:rPr>
          <w:rtl/>
        </w:rPr>
        <w:t>،</w:t>
      </w:r>
      <w:r w:rsidRPr="00FC1947">
        <w:rPr>
          <w:rtl/>
        </w:rPr>
        <w:t xml:space="preserve"> وهو الموقف الذي تبنّته مدرسة الإمام الشافعي.</w:t>
      </w:r>
    </w:p>
    <w:p w:rsidR="00592460" w:rsidRPr="00FC1947" w:rsidRDefault="00592460" w:rsidP="002649A0">
      <w:pPr>
        <w:pStyle w:val="ac"/>
        <w:rPr>
          <w:rtl/>
        </w:rPr>
      </w:pPr>
      <w:r w:rsidRPr="00FC1947">
        <w:rPr>
          <w:rtl/>
        </w:rPr>
        <w:t>ج ـ إن حقّها يتمثل في مقاربة واحدة كل أربع ليال، وهو رأي مستظهر من كلمات الغزالي، وقد ذهبت إليه المالكية.</w:t>
      </w:r>
    </w:p>
    <w:p w:rsidR="00592460" w:rsidRPr="00FC1947" w:rsidRDefault="00592460" w:rsidP="002649A0">
      <w:pPr>
        <w:pStyle w:val="ac"/>
        <w:rPr>
          <w:rtl/>
        </w:rPr>
      </w:pPr>
      <w:r w:rsidRPr="00FC1947">
        <w:rPr>
          <w:rtl/>
        </w:rPr>
        <w:t>د ـ إن لها الحق مرةً واحدةً في كل طهر</w:t>
      </w:r>
      <w:r w:rsidR="00F32FBA">
        <w:rPr>
          <w:rFonts w:hint="cs"/>
          <w:rtl/>
        </w:rPr>
        <w:t>،</w:t>
      </w:r>
      <w:r w:rsidRPr="00FC1947">
        <w:rPr>
          <w:rtl/>
        </w:rPr>
        <w:t xml:space="preserve"> كما هو رأي ابن حزم الظاهري.</w:t>
      </w:r>
    </w:p>
    <w:p w:rsidR="00592460" w:rsidRPr="00FC1947" w:rsidRDefault="00592460" w:rsidP="002649A0">
      <w:pPr>
        <w:pStyle w:val="ac"/>
        <w:rPr>
          <w:rtl/>
        </w:rPr>
      </w:pPr>
      <w:r w:rsidRPr="00FC1947">
        <w:rPr>
          <w:rtl/>
        </w:rPr>
        <w:t>هـ ـ إن لها الحق مرة واحدة كل أربعة أشهر</w:t>
      </w:r>
      <w:r w:rsidR="00F32FBA">
        <w:rPr>
          <w:rFonts w:hint="cs"/>
          <w:rtl/>
        </w:rPr>
        <w:t>،</w:t>
      </w:r>
      <w:r w:rsidRPr="00FC1947">
        <w:rPr>
          <w:rtl/>
        </w:rPr>
        <w:t xml:space="preserve"> كما هو رأي الحنابلة.</w:t>
      </w:r>
    </w:p>
    <w:p w:rsidR="00592460" w:rsidRPr="00FC1947" w:rsidRDefault="00592460" w:rsidP="002649A0">
      <w:pPr>
        <w:pStyle w:val="ac"/>
        <w:rPr>
          <w:rtl/>
        </w:rPr>
      </w:pPr>
      <w:r w:rsidRPr="00FC1947">
        <w:rPr>
          <w:rtl/>
        </w:rPr>
        <w:t>و ـ إنه لا تقدير زمنيّ لهذا الحق</w:t>
      </w:r>
      <w:r w:rsidR="00C12E83">
        <w:rPr>
          <w:rFonts w:hint="cs"/>
          <w:rtl/>
        </w:rPr>
        <w:t>،</w:t>
      </w:r>
      <w:r w:rsidRPr="00FC1947">
        <w:rPr>
          <w:rtl/>
        </w:rPr>
        <w:t xml:space="preserve"> وإنما مناط المسألة هو تحقّق التحصين لها واكتفائها</w:t>
      </w:r>
      <w:r w:rsidR="00F32FBA">
        <w:rPr>
          <w:rFonts w:hint="cs"/>
          <w:rtl/>
        </w:rPr>
        <w:t>،</w:t>
      </w:r>
      <w:r w:rsidRPr="00FC1947">
        <w:rPr>
          <w:rtl/>
        </w:rPr>
        <w:t xml:space="preserve"> وهو رأي ابن تيمية</w:t>
      </w:r>
      <w:r w:rsidR="00F32FBA">
        <w:rPr>
          <w:rFonts w:hint="cs"/>
          <w:rtl/>
        </w:rPr>
        <w:t>،</w:t>
      </w:r>
      <w:r w:rsidRPr="00FC1947">
        <w:rPr>
          <w:rtl/>
        </w:rPr>
        <w:t xml:space="preserve"> وله مؤيّدون في وسط الباحثين المعاصرين في الفقه السنّي أمثال الدكتور عبد الكريم زيدان</w:t>
      </w:r>
      <w:r w:rsidRPr="00815C4C">
        <w:rPr>
          <w:rFonts w:cs="Taher"/>
          <w:vertAlign w:val="superscript"/>
          <w:rtl/>
        </w:rPr>
        <w:t>(</w:t>
      </w:r>
      <w:r w:rsidRPr="00815C4C">
        <w:rPr>
          <w:rFonts w:cs="Taher"/>
          <w:vertAlign w:val="superscript"/>
          <w:rtl/>
        </w:rPr>
        <w:footnoteReference w:id="688"/>
      </w:r>
      <w:r w:rsidRPr="00815C4C">
        <w:rPr>
          <w:rFonts w:cs="Taher"/>
          <w:vertAlign w:val="superscript"/>
          <w:rtl/>
        </w:rPr>
        <w:t>)</w:t>
      </w:r>
      <w:r w:rsidRPr="00FC1947">
        <w:rPr>
          <w:rtl/>
        </w:rPr>
        <w:t>.</w:t>
      </w:r>
    </w:p>
    <w:p w:rsidR="00592460" w:rsidRPr="00FC1947" w:rsidRDefault="00592460" w:rsidP="002649A0">
      <w:pPr>
        <w:pStyle w:val="ac"/>
        <w:rPr>
          <w:rtl/>
        </w:rPr>
      </w:pPr>
      <w:r w:rsidRPr="00C12E83">
        <w:rPr>
          <w:b/>
          <w:bCs/>
          <w:rtl/>
        </w:rPr>
        <w:t>2 ـ وأما الفقه الشيعي</w:t>
      </w:r>
      <w:r w:rsidR="00C12E83" w:rsidRPr="00C12E83">
        <w:rPr>
          <w:rFonts w:hint="cs"/>
          <w:b/>
          <w:bCs/>
          <w:rtl/>
        </w:rPr>
        <w:t>،</w:t>
      </w:r>
      <w:r w:rsidRPr="00FC1947">
        <w:rPr>
          <w:rtl/>
        </w:rPr>
        <w:t xml:space="preserve"> فوفق ما هو مطروح قد اتخذ ـ وبصورة عامّة ـ موقفاً شبه موحّد ـ تاريخياً ـ إزاء مسألة الحقّ الجنسي للزوجة</w:t>
      </w:r>
      <w:r w:rsidR="00C12E83">
        <w:rPr>
          <w:rFonts w:hint="cs"/>
          <w:rtl/>
        </w:rPr>
        <w:t>،</w:t>
      </w:r>
      <w:r w:rsidRPr="00FC1947">
        <w:rPr>
          <w:rtl/>
        </w:rPr>
        <w:t xml:space="preserve"> حيث ذهب إلى أن لها حق الإتصال الجنسي على زوجها مرة واحدة كل أربعة أشهر هجرية قمرية</w:t>
      </w:r>
      <w:r w:rsidR="00EE06ED">
        <w:rPr>
          <w:rtl/>
        </w:rPr>
        <w:t>،</w:t>
      </w:r>
      <w:r w:rsidRPr="00FC1947">
        <w:rPr>
          <w:rtl/>
        </w:rPr>
        <w:t xml:space="preserve"> وليس لها حق في المقاربة </w:t>
      </w:r>
      <w:r w:rsidRPr="00FC1947">
        <w:rPr>
          <w:rtl/>
        </w:rPr>
        <w:lastRenderedPageBreak/>
        <w:t>زائداً على ذلك.</w:t>
      </w:r>
    </w:p>
    <w:p w:rsidR="00592460" w:rsidRPr="00FC1947" w:rsidRDefault="00592460" w:rsidP="002649A0">
      <w:pPr>
        <w:pStyle w:val="ac"/>
        <w:spacing w:line="209" w:lineRule="auto"/>
        <w:rPr>
          <w:rtl/>
        </w:rPr>
      </w:pPr>
      <w:r w:rsidRPr="00FC1947">
        <w:rPr>
          <w:rtl/>
        </w:rPr>
        <w:t xml:space="preserve">وقد ذهب بعض الفقهاء إلى </w:t>
      </w:r>
      <w:r w:rsidR="00B21374">
        <w:rPr>
          <w:rFonts w:hint="cs"/>
          <w:rtl/>
        </w:rPr>
        <w:t>إ</w:t>
      </w:r>
      <w:r w:rsidRPr="00FC1947">
        <w:rPr>
          <w:rtl/>
        </w:rPr>
        <w:t>لزام الرجل بمقاربة زوجته أزيد من هذا المقدار حسبما تقتضيه الظروف فيما لو كان اقتصاره على مجامعتها مرة واحدة في هذه المدة موجباً لوقوعها في الحرام كالزنا</w:t>
      </w:r>
      <w:r w:rsidRPr="00815C4C">
        <w:rPr>
          <w:rFonts w:cs="Taher"/>
          <w:vertAlign w:val="superscript"/>
          <w:rtl/>
        </w:rPr>
        <w:t>(</w:t>
      </w:r>
      <w:r w:rsidRPr="00815C4C">
        <w:rPr>
          <w:rFonts w:cs="Taher"/>
          <w:vertAlign w:val="superscript"/>
          <w:rtl/>
        </w:rPr>
        <w:footnoteReference w:id="689"/>
      </w:r>
      <w:r w:rsidRPr="00815C4C">
        <w:rPr>
          <w:rFonts w:cs="Taher"/>
          <w:vertAlign w:val="superscript"/>
          <w:rtl/>
        </w:rPr>
        <w:t>)</w:t>
      </w:r>
      <w:r w:rsidR="00B21374" w:rsidRPr="00B21374">
        <w:rPr>
          <w:rFonts w:cs="Taher" w:hint="cs"/>
          <w:rtl/>
        </w:rPr>
        <w:t>،</w:t>
      </w:r>
      <w:r w:rsidRPr="00FC1947">
        <w:rPr>
          <w:rtl/>
        </w:rPr>
        <w:t xml:space="preserve"> حيث يكون مطالباً بتجنيبها من الوقوع في المعصية</w:t>
      </w:r>
      <w:r w:rsidR="00B21374">
        <w:rPr>
          <w:rFonts w:hint="cs"/>
          <w:rtl/>
        </w:rPr>
        <w:t>،</w:t>
      </w:r>
      <w:r w:rsidRPr="00FC1947">
        <w:rPr>
          <w:rtl/>
        </w:rPr>
        <w:t xml:space="preserve"> استناداً إلى كونه مأموراً بأن يقي أهله من النار</w:t>
      </w:r>
      <w:r w:rsidR="00B21374">
        <w:rPr>
          <w:rFonts w:hint="cs"/>
          <w:rtl/>
        </w:rPr>
        <w:t>،</w:t>
      </w:r>
      <w:r w:rsidRPr="00FC1947">
        <w:rPr>
          <w:rtl/>
        </w:rPr>
        <w:t xml:space="preserve"> كما دلّت عليه الآية الكريمة</w:t>
      </w:r>
      <w:r w:rsidRPr="00815C4C">
        <w:rPr>
          <w:rFonts w:cs="Taher"/>
          <w:vertAlign w:val="superscript"/>
          <w:rtl/>
        </w:rPr>
        <w:t>(</w:t>
      </w:r>
      <w:r w:rsidRPr="00815C4C">
        <w:rPr>
          <w:rFonts w:cs="Taher"/>
          <w:vertAlign w:val="superscript"/>
          <w:rtl/>
        </w:rPr>
        <w:footnoteReference w:id="690"/>
      </w:r>
      <w:r w:rsidRPr="00815C4C">
        <w:rPr>
          <w:rFonts w:cs="Taher"/>
          <w:vertAlign w:val="superscript"/>
          <w:rtl/>
        </w:rPr>
        <w:t>)</w:t>
      </w:r>
      <w:r w:rsidR="00B21374">
        <w:rPr>
          <w:rFonts w:hint="cs"/>
          <w:rtl/>
        </w:rPr>
        <w:t xml:space="preserve">: </w:t>
      </w:r>
      <w:r>
        <w:rPr>
          <w:rFonts w:hint="cs"/>
          <w:rtl/>
        </w:rPr>
        <w:t>﴿</w:t>
      </w:r>
      <w:r w:rsidR="00B21374" w:rsidRPr="00B21374">
        <w:rPr>
          <w:b/>
          <w:bCs/>
          <w:rtl/>
        </w:rPr>
        <w:t>يَا أَيُّهَا الَّذِينَ آمَنُوا قُوا أَنفُسَكُمْ وَأَهْلِيكُمْ نَارًا وَقُودُهَا النَّاسُ وَالحِجَارَةُ</w:t>
      </w:r>
      <w:r>
        <w:rPr>
          <w:rFonts w:hint="cs"/>
          <w:rtl/>
        </w:rPr>
        <w:t>﴾</w:t>
      </w:r>
      <w:r w:rsidRPr="00592460">
        <w:rPr>
          <w:rFonts w:ascii="Arabic Transparent" w:hAnsi="Arabic Transparent" w:cs="DanaFajr"/>
          <w:szCs w:val="28"/>
          <w:rtl/>
        </w:rPr>
        <w:t xml:space="preserve"> </w:t>
      </w:r>
      <w:r w:rsidRPr="00592460">
        <w:rPr>
          <w:rFonts w:hint="cs"/>
          <w:rtl/>
        </w:rPr>
        <w:t>(</w:t>
      </w:r>
      <w:r w:rsidRPr="00592460">
        <w:rPr>
          <w:rtl/>
        </w:rPr>
        <w:t>التحريم:</w:t>
      </w:r>
      <w:r w:rsidRPr="00592460">
        <w:rPr>
          <w:rFonts w:hint="cs"/>
          <w:rtl/>
        </w:rPr>
        <w:t xml:space="preserve"> </w:t>
      </w:r>
      <w:r w:rsidRPr="00592460">
        <w:rPr>
          <w:rtl/>
        </w:rPr>
        <w:t>6</w:t>
      </w:r>
      <w:r w:rsidRPr="00592460">
        <w:rPr>
          <w:rFonts w:hint="cs"/>
          <w:rtl/>
        </w:rPr>
        <w:t>)</w:t>
      </w:r>
      <w:r w:rsidRPr="00592460">
        <w:rPr>
          <w:rtl/>
        </w:rPr>
        <w:t>.</w:t>
      </w:r>
    </w:p>
    <w:p w:rsidR="00592460" w:rsidRPr="00FC1947" w:rsidRDefault="00592460" w:rsidP="002649A0">
      <w:pPr>
        <w:pStyle w:val="ac"/>
        <w:spacing w:line="209" w:lineRule="auto"/>
        <w:rPr>
          <w:rtl/>
        </w:rPr>
      </w:pPr>
      <w:r w:rsidRPr="00FC1947">
        <w:rPr>
          <w:rtl/>
        </w:rPr>
        <w:t>غير أنه قد ظهرت في الفترة الأخيرة وجهة نظر رافضة لهذه الرؤية فقهياً، وقد حاولت وجهة النظر هذه أن توسّع من هذا الحق الجنسي للزوجة إلى الدرجة التي تماثل فيها حق الرجل ـ كزوج ـ جنسياً، وذلك من دون إعطاء أيّ اعتبار لفكرة وضع تحديد زمني ما للمقاربة الجنسية</w:t>
      </w:r>
      <w:r w:rsidRPr="00815C4C">
        <w:rPr>
          <w:rFonts w:cs="Taher"/>
          <w:vertAlign w:val="superscript"/>
          <w:rtl/>
        </w:rPr>
        <w:t>(</w:t>
      </w:r>
      <w:r w:rsidRPr="00815C4C">
        <w:rPr>
          <w:rFonts w:cs="Taher"/>
          <w:vertAlign w:val="superscript"/>
          <w:rtl/>
        </w:rPr>
        <w:footnoteReference w:id="691"/>
      </w:r>
      <w:r w:rsidRPr="00815C4C">
        <w:rPr>
          <w:rFonts w:cs="Taher"/>
          <w:vertAlign w:val="superscript"/>
          <w:rtl/>
        </w:rPr>
        <w:t>)</w:t>
      </w:r>
      <w:r w:rsidRPr="00FC1947">
        <w:rPr>
          <w:rtl/>
        </w:rPr>
        <w:t>.</w:t>
      </w:r>
    </w:p>
    <w:p w:rsidR="00592460" w:rsidRPr="00FC1947" w:rsidRDefault="00592460" w:rsidP="002649A0">
      <w:pPr>
        <w:pStyle w:val="ac"/>
        <w:rPr>
          <w:rtl/>
        </w:rPr>
      </w:pPr>
      <w:r w:rsidRPr="00FC1947">
        <w:rPr>
          <w:rtl/>
        </w:rPr>
        <w:t xml:space="preserve">والذي لا بد من التركيز عليه هنا </w:t>
      </w:r>
      <w:r w:rsidR="00B21374">
        <w:rPr>
          <w:rFonts w:hint="cs"/>
          <w:rtl/>
        </w:rPr>
        <w:t xml:space="preserve">ـ </w:t>
      </w:r>
      <w:r w:rsidRPr="00FC1947">
        <w:rPr>
          <w:rtl/>
        </w:rPr>
        <w:t xml:space="preserve">كانطلاق للبحث </w:t>
      </w:r>
      <w:r w:rsidR="00B21374">
        <w:rPr>
          <w:rFonts w:hint="cs"/>
          <w:rtl/>
        </w:rPr>
        <w:t xml:space="preserve">ـ </w:t>
      </w:r>
      <w:r w:rsidRPr="00FC1947">
        <w:rPr>
          <w:rtl/>
        </w:rPr>
        <w:t>هو أن الذي يبدو من الدراسات الفقهيّة أن المبدأ الأوّلي في موضوع الحق الجنسي للمرأة هو عدم ثبوت حق لها في ذلك ما لم تصل إلى درجة أن يصدق عليها أنها معلّقة، وأن فكرة الأشهر الأربعة جاءت في مقام الإلزام لتضع حداً لتلك الرخصة العامّة الثابتة على الرجل فيما يتعل</w:t>
      </w:r>
      <w:r w:rsidR="00B21374">
        <w:rPr>
          <w:rFonts w:hint="cs"/>
          <w:rtl/>
        </w:rPr>
        <w:t>ّ</w:t>
      </w:r>
      <w:r w:rsidRPr="00FC1947">
        <w:rPr>
          <w:rtl/>
        </w:rPr>
        <w:t>ق بحق زوجته الجنسي عليه</w:t>
      </w:r>
      <w:r w:rsidR="00B21374">
        <w:rPr>
          <w:rFonts w:hint="cs"/>
          <w:rtl/>
        </w:rPr>
        <w:t>،</w:t>
      </w:r>
      <w:r w:rsidRPr="00FC1947">
        <w:rPr>
          <w:rtl/>
        </w:rPr>
        <w:t xml:space="preserve"> لا لتجمّد من إطلاق أو عموم دليل ملزم ثبت في المرحلة السابقة، والذي يشهد على هذا الأمر هو أن</w:t>
      </w:r>
      <w:r w:rsidR="00B21374">
        <w:rPr>
          <w:rFonts w:hint="cs"/>
          <w:rtl/>
        </w:rPr>
        <w:t>ّ</w:t>
      </w:r>
      <w:r w:rsidRPr="00FC1947">
        <w:rPr>
          <w:rtl/>
        </w:rPr>
        <w:t xml:space="preserve"> الفقهاء</w:t>
      </w:r>
      <w:r>
        <w:rPr>
          <w:rFonts w:hint="cs"/>
          <w:rtl/>
        </w:rPr>
        <w:t xml:space="preserve"> </w:t>
      </w:r>
      <w:r w:rsidRPr="00FC1947">
        <w:rPr>
          <w:rtl/>
        </w:rPr>
        <w:t>لم يتعرّضوا في سياق بحثهم إلى دليل إلزامي فوقاني حتى يقوموا بعرض أدلّة التحديد الزماني عليه ويقايسوا نسبتها إليه</w:t>
      </w:r>
      <w:r w:rsidR="00EE06ED">
        <w:rPr>
          <w:rtl/>
        </w:rPr>
        <w:t>،</w:t>
      </w:r>
      <w:r w:rsidRPr="00FC1947">
        <w:rPr>
          <w:rtl/>
        </w:rPr>
        <w:t xml:space="preserve"> كما أنّهم</w:t>
      </w:r>
      <w:r>
        <w:rPr>
          <w:rFonts w:hint="cs"/>
          <w:rtl/>
        </w:rPr>
        <w:t xml:space="preserve"> </w:t>
      </w:r>
      <w:r w:rsidRPr="00FC1947">
        <w:rPr>
          <w:rtl/>
        </w:rPr>
        <w:t xml:space="preserve">قد قاموا بعدة مناقشات لأدلة التّحديد الزماني بأربعة أشهر تؤكّد هذه </w:t>
      </w:r>
      <w:r w:rsidRPr="00FC1947">
        <w:rPr>
          <w:rtl/>
        </w:rPr>
        <w:lastRenderedPageBreak/>
        <w:t>المقولة</w:t>
      </w:r>
      <w:r w:rsidR="00B21374">
        <w:rPr>
          <w:rFonts w:hint="cs"/>
          <w:rtl/>
        </w:rPr>
        <w:t>؛</w:t>
      </w:r>
      <w:r w:rsidRPr="00FC1947">
        <w:rPr>
          <w:rtl/>
        </w:rPr>
        <w:t xml:space="preserve"> فقد ناقشوا شمولها للزوجة غير الشّابة أو اختصاصها بالشّابة أو شمولها للزوجة المنقطعة أو لمن سافر عنها زوجها أو...  وهناك في مقام استعراضهم هذا الموضوع اقتصروا على دراسة المقدار الذي يثبته الدليل المحدّد للأربعة أشهر من دون أن يحاولوا إدخال أي دليل إلزامي عام</w:t>
      </w:r>
      <w:r w:rsidR="00CC4C19">
        <w:rPr>
          <w:rFonts w:hint="cs"/>
          <w:rtl/>
        </w:rPr>
        <w:t>،</w:t>
      </w:r>
      <w:r w:rsidRPr="00FC1947">
        <w:rPr>
          <w:rtl/>
        </w:rPr>
        <w:t xml:space="preserve"> أو غير عام</w:t>
      </w:r>
      <w:r w:rsidR="007F75C5">
        <w:rPr>
          <w:rFonts w:hint="cs"/>
          <w:rtl/>
        </w:rPr>
        <w:t>،</w:t>
      </w:r>
      <w:r w:rsidRPr="00FC1947">
        <w:rPr>
          <w:rtl/>
        </w:rPr>
        <w:t xml:space="preserve"> مما يعزّز أنهم لو كانوا يعتقدون بأصالة الإلزام هنا لرجعوا إليها ولم يتركوا الأمر للأصول العملية المؤمّنة.</w:t>
      </w:r>
    </w:p>
    <w:p w:rsidR="00592460" w:rsidRPr="00FC1947" w:rsidRDefault="00592460" w:rsidP="00592460">
      <w:pPr>
        <w:pStyle w:val="ac"/>
        <w:rPr>
          <w:rtl/>
        </w:rPr>
      </w:pPr>
      <w:r w:rsidRPr="00FC1947">
        <w:rPr>
          <w:rtl/>
        </w:rPr>
        <w:t>وعلى أي حال</w:t>
      </w:r>
      <w:r w:rsidR="00CC4C19">
        <w:rPr>
          <w:rFonts w:hint="cs"/>
          <w:rtl/>
        </w:rPr>
        <w:t>،</w:t>
      </w:r>
      <w:r w:rsidRPr="00FC1947">
        <w:rPr>
          <w:rtl/>
        </w:rPr>
        <w:t xml:space="preserve"> لا بد من استعراض النظريّة المعروفة ـ أي نظرية التّحديد الزماني ـ وما يمكن أن يثبتها من الأدلة</w:t>
      </w:r>
      <w:r w:rsidR="00CC4C19">
        <w:rPr>
          <w:rFonts w:hint="cs"/>
          <w:rtl/>
        </w:rPr>
        <w:t>،</w:t>
      </w:r>
      <w:r w:rsidRPr="00FC1947">
        <w:rPr>
          <w:rtl/>
        </w:rPr>
        <w:t xml:space="preserve"> ثم نطلّ على النظرية الأخرى لمحاكمتها أيضاً إن</w:t>
      </w:r>
      <w:r w:rsidR="00CC4C19">
        <w:rPr>
          <w:rFonts w:hint="cs"/>
          <w:rtl/>
        </w:rPr>
        <w:t xml:space="preserve"> </w:t>
      </w:r>
      <w:r w:rsidRPr="00FC1947">
        <w:rPr>
          <w:rtl/>
        </w:rPr>
        <w:t xml:space="preserve">شاء الله تعالى. </w:t>
      </w:r>
    </w:p>
    <w:p w:rsidR="00592460" w:rsidRPr="002649A0" w:rsidRDefault="00592460" w:rsidP="002649A0">
      <w:pPr>
        <w:pStyle w:val="afffffc"/>
        <w:rPr>
          <w:sz w:val="22"/>
          <w:szCs w:val="20"/>
          <w:rtl/>
        </w:rPr>
      </w:pPr>
    </w:p>
    <w:p w:rsidR="00592460" w:rsidRPr="00FC1947" w:rsidRDefault="00592460" w:rsidP="00592460">
      <w:pPr>
        <w:pStyle w:val="1"/>
        <w:rPr>
          <w:rtl/>
        </w:rPr>
      </w:pPr>
      <w:bookmarkStart w:id="380" w:name="_Toc275128100"/>
      <w:r w:rsidRPr="00FC1947">
        <w:rPr>
          <w:rtl/>
        </w:rPr>
        <w:t>نظريّة التحديد الزماني</w:t>
      </w:r>
      <w:bookmarkEnd w:id="380"/>
    </w:p>
    <w:p w:rsidR="00592460" w:rsidRPr="00FC1947" w:rsidRDefault="00592460" w:rsidP="00CC4C19">
      <w:pPr>
        <w:pStyle w:val="ac"/>
        <w:rPr>
          <w:rtl/>
        </w:rPr>
      </w:pPr>
      <w:r w:rsidRPr="00FC1947">
        <w:rPr>
          <w:rtl/>
        </w:rPr>
        <w:t>وهي التي تحرّم على الرجل ترك ال</w:t>
      </w:r>
      <w:r w:rsidR="00CC4C19">
        <w:rPr>
          <w:rFonts w:hint="cs"/>
          <w:rtl/>
        </w:rPr>
        <w:t>ا</w:t>
      </w:r>
      <w:r w:rsidRPr="00FC1947">
        <w:rPr>
          <w:rtl/>
        </w:rPr>
        <w:t>تصال الجنسي بزوجته ـ بالمعنى الكامل للكلمة ـ أكثر</w:t>
      </w:r>
      <w:r w:rsidR="00CC4C19">
        <w:rPr>
          <w:rFonts w:hint="cs"/>
          <w:rtl/>
        </w:rPr>
        <w:t xml:space="preserve"> </w:t>
      </w:r>
      <w:r w:rsidRPr="00FC1947">
        <w:rPr>
          <w:rtl/>
        </w:rPr>
        <w:t>من أربعة أشهر هجريّة قمريّة</w:t>
      </w:r>
      <w:r w:rsidRPr="00815C4C">
        <w:rPr>
          <w:rFonts w:cs="Taher"/>
          <w:vertAlign w:val="superscript"/>
          <w:rtl/>
        </w:rPr>
        <w:t>(</w:t>
      </w:r>
      <w:r w:rsidRPr="00815C4C">
        <w:rPr>
          <w:rFonts w:cs="Taher"/>
          <w:vertAlign w:val="superscript"/>
          <w:rtl/>
        </w:rPr>
        <w:footnoteReference w:id="692"/>
      </w:r>
      <w:r w:rsidRPr="00815C4C">
        <w:rPr>
          <w:rFonts w:cs="Taher"/>
          <w:vertAlign w:val="superscript"/>
          <w:rtl/>
        </w:rPr>
        <w:t>)</w:t>
      </w:r>
      <w:r w:rsidR="00CC4C19">
        <w:rPr>
          <w:rFonts w:hint="cs"/>
          <w:rtl/>
        </w:rPr>
        <w:t xml:space="preserve">، </w:t>
      </w:r>
      <w:r w:rsidRPr="00FC1947">
        <w:rPr>
          <w:rtl/>
        </w:rPr>
        <w:t>وقد ذهب إليها جمع من الفقهاء كالشيخ الطوسي</w:t>
      </w:r>
      <w:r w:rsidRPr="00815C4C">
        <w:rPr>
          <w:rFonts w:cs="Taher"/>
          <w:vertAlign w:val="superscript"/>
          <w:rtl/>
        </w:rPr>
        <w:t>(</w:t>
      </w:r>
      <w:r w:rsidRPr="00815C4C">
        <w:rPr>
          <w:rFonts w:cs="Taher"/>
          <w:vertAlign w:val="superscript"/>
          <w:rtl/>
        </w:rPr>
        <w:footnoteReference w:id="693"/>
      </w:r>
      <w:r w:rsidRPr="00815C4C">
        <w:rPr>
          <w:rFonts w:cs="Taher"/>
          <w:vertAlign w:val="superscript"/>
          <w:rtl/>
        </w:rPr>
        <w:t>)</w:t>
      </w:r>
      <w:r w:rsidR="00CC4C19">
        <w:rPr>
          <w:rFonts w:hint="cs"/>
          <w:rtl/>
        </w:rPr>
        <w:t xml:space="preserve">، </w:t>
      </w:r>
      <w:r w:rsidRPr="00FC1947">
        <w:rPr>
          <w:rtl/>
        </w:rPr>
        <w:t xml:space="preserve">والقاضي </w:t>
      </w:r>
      <w:r w:rsidR="00CC4C19">
        <w:rPr>
          <w:rFonts w:hint="cs"/>
          <w:rtl/>
        </w:rPr>
        <w:t>ا</w:t>
      </w:r>
      <w:r w:rsidRPr="00FC1947">
        <w:rPr>
          <w:rtl/>
        </w:rPr>
        <w:t>بن البرّاج</w:t>
      </w:r>
      <w:r w:rsidRPr="00815C4C">
        <w:rPr>
          <w:rFonts w:cs="Taher"/>
          <w:vertAlign w:val="superscript"/>
          <w:rtl/>
        </w:rPr>
        <w:t>(</w:t>
      </w:r>
      <w:r w:rsidRPr="00815C4C">
        <w:rPr>
          <w:rFonts w:cs="Taher"/>
          <w:vertAlign w:val="superscript"/>
          <w:rtl/>
        </w:rPr>
        <w:footnoteReference w:id="694"/>
      </w:r>
      <w:r w:rsidRPr="00815C4C">
        <w:rPr>
          <w:rFonts w:cs="Taher"/>
          <w:vertAlign w:val="superscript"/>
          <w:rtl/>
        </w:rPr>
        <w:t>)</w:t>
      </w:r>
      <w:r w:rsidR="00CC4C19">
        <w:rPr>
          <w:rFonts w:hint="cs"/>
          <w:rtl/>
        </w:rPr>
        <w:t xml:space="preserve">، </w:t>
      </w:r>
      <w:r w:rsidRPr="00FC1947">
        <w:rPr>
          <w:rtl/>
        </w:rPr>
        <w:t>وابن إدريس</w:t>
      </w:r>
      <w:r w:rsidRPr="00815C4C">
        <w:rPr>
          <w:rFonts w:cs="Taher"/>
          <w:vertAlign w:val="superscript"/>
          <w:rtl/>
        </w:rPr>
        <w:t>(</w:t>
      </w:r>
      <w:r w:rsidRPr="00815C4C">
        <w:rPr>
          <w:rFonts w:cs="Taher"/>
          <w:vertAlign w:val="superscript"/>
          <w:rtl/>
        </w:rPr>
        <w:footnoteReference w:id="695"/>
      </w:r>
      <w:r w:rsidRPr="00815C4C">
        <w:rPr>
          <w:rFonts w:cs="Taher"/>
          <w:vertAlign w:val="superscript"/>
          <w:rtl/>
        </w:rPr>
        <w:t>)</w:t>
      </w:r>
      <w:r w:rsidR="00CC4C19">
        <w:rPr>
          <w:rFonts w:hint="cs"/>
          <w:rtl/>
        </w:rPr>
        <w:t xml:space="preserve">، </w:t>
      </w:r>
      <w:r w:rsidRPr="00FC1947">
        <w:rPr>
          <w:rtl/>
        </w:rPr>
        <w:t>والمحقق الحلّي</w:t>
      </w:r>
      <w:r w:rsidRPr="00815C4C">
        <w:rPr>
          <w:rFonts w:cs="Taher"/>
          <w:vertAlign w:val="superscript"/>
          <w:rtl/>
        </w:rPr>
        <w:t>(</w:t>
      </w:r>
      <w:r w:rsidRPr="00815C4C">
        <w:rPr>
          <w:rFonts w:cs="Taher"/>
          <w:vertAlign w:val="superscript"/>
          <w:rtl/>
        </w:rPr>
        <w:footnoteReference w:id="696"/>
      </w:r>
      <w:r w:rsidRPr="00815C4C">
        <w:rPr>
          <w:rFonts w:cs="Taher"/>
          <w:vertAlign w:val="superscript"/>
          <w:rtl/>
        </w:rPr>
        <w:t>)</w:t>
      </w:r>
      <w:r w:rsidR="00CC4C19">
        <w:rPr>
          <w:rFonts w:hint="cs"/>
          <w:rtl/>
        </w:rPr>
        <w:t xml:space="preserve">، </w:t>
      </w:r>
      <w:r w:rsidRPr="00FC1947">
        <w:rPr>
          <w:rtl/>
        </w:rPr>
        <w:t>والعلامة الحلّي</w:t>
      </w:r>
      <w:r w:rsidRPr="00815C4C">
        <w:rPr>
          <w:rFonts w:cs="Taher"/>
          <w:vertAlign w:val="superscript"/>
          <w:rtl/>
        </w:rPr>
        <w:t>(</w:t>
      </w:r>
      <w:r w:rsidRPr="00815C4C">
        <w:rPr>
          <w:rFonts w:cs="Taher"/>
          <w:vertAlign w:val="superscript"/>
          <w:rtl/>
        </w:rPr>
        <w:footnoteReference w:id="697"/>
      </w:r>
      <w:r w:rsidRPr="00815C4C">
        <w:rPr>
          <w:rFonts w:cs="Taher"/>
          <w:vertAlign w:val="superscript"/>
          <w:rtl/>
        </w:rPr>
        <w:t>)</w:t>
      </w:r>
      <w:r w:rsidR="00CC4C19">
        <w:rPr>
          <w:rFonts w:hint="cs"/>
          <w:rtl/>
        </w:rPr>
        <w:t xml:space="preserve">، </w:t>
      </w:r>
      <w:r w:rsidRPr="00FC1947">
        <w:rPr>
          <w:rtl/>
        </w:rPr>
        <w:t>وقطب الدّين البيهقيّ الكيدري</w:t>
      </w:r>
      <w:r w:rsidRPr="00815C4C">
        <w:rPr>
          <w:rFonts w:cs="Taher"/>
          <w:vertAlign w:val="superscript"/>
          <w:rtl/>
        </w:rPr>
        <w:t>(</w:t>
      </w:r>
      <w:r w:rsidRPr="00815C4C">
        <w:rPr>
          <w:rFonts w:cs="Taher"/>
          <w:vertAlign w:val="superscript"/>
          <w:rtl/>
        </w:rPr>
        <w:footnoteReference w:id="698"/>
      </w:r>
      <w:r w:rsidRPr="00815C4C">
        <w:rPr>
          <w:rFonts w:cs="Taher"/>
          <w:vertAlign w:val="superscript"/>
          <w:rtl/>
        </w:rPr>
        <w:t>)</w:t>
      </w:r>
      <w:r w:rsidR="00CC4C19">
        <w:rPr>
          <w:rFonts w:hint="cs"/>
          <w:rtl/>
        </w:rPr>
        <w:t xml:space="preserve">، </w:t>
      </w:r>
      <w:r w:rsidRPr="00FC1947">
        <w:rPr>
          <w:rtl/>
        </w:rPr>
        <w:t>والشهيدين الأول</w:t>
      </w:r>
      <w:r w:rsidRPr="00815C4C">
        <w:rPr>
          <w:rFonts w:cs="Taher"/>
          <w:vertAlign w:val="superscript"/>
          <w:rtl/>
        </w:rPr>
        <w:t>(</w:t>
      </w:r>
      <w:r w:rsidRPr="00815C4C">
        <w:rPr>
          <w:rFonts w:cs="Taher"/>
          <w:vertAlign w:val="superscript"/>
          <w:rtl/>
        </w:rPr>
        <w:footnoteReference w:id="699"/>
      </w:r>
      <w:r w:rsidRPr="00815C4C">
        <w:rPr>
          <w:rFonts w:cs="Taher"/>
          <w:vertAlign w:val="superscript"/>
          <w:rtl/>
        </w:rPr>
        <w:t>)</w:t>
      </w:r>
      <w:r w:rsidR="00CC4C19">
        <w:rPr>
          <w:rFonts w:hint="cs"/>
          <w:rtl/>
        </w:rPr>
        <w:t xml:space="preserve">، </w:t>
      </w:r>
      <w:r w:rsidRPr="00FC1947">
        <w:rPr>
          <w:rtl/>
        </w:rPr>
        <w:t>والثاني</w:t>
      </w:r>
      <w:r w:rsidRPr="00815C4C">
        <w:rPr>
          <w:rFonts w:cs="Taher"/>
          <w:vertAlign w:val="superscript"/>
          <w:rtl/>
        </w:rPr>
        <w:t>(</w:t>
      </w:r>
      <w:r w:rsidRPr="00815C4C">
        <w:rPr>
          <w:rFonts w:cs="Taher"/>
          <w:vertAlign w:val="superscript"/>
          <w:rtl/>
        </w:rPr>
        <w:footnoteReference w:id="700"/>
      </w:r>
      <w:r w:rsidRPr="00815C4C">
        <w:rPr>
          <w:rFonts w:cs="Taher"/>
          <w:vertAlign w:val="superscript"/>
          <w:rtl/>
        </w:rPr>
        <w:t>)</w:t>
      </w:r>
      <w:r w:rsidR="00CC4C19">
        <w:rPr>
          <w:rFonts w:hint="cs"/>
          <w:rtl/>
        </w:rPr>
        <w:t xml:space="preserve">، </w:t>
      </w:r>
      <w:r w:rsidRPr="00FC1947">
        <w:rPr>
          <w:rtl/>
        </w:rPr>
        <w:t xml:space="preserve">والسيّد </w:t>
      </w:r>
      <w:r w:rsidRPr="00FC1947">
        <w:rPr>
          <w:rtl/>
        </w:rPr>
        <w:lastRenderedPageBreak/>
        <w:t>العاملي صاحب المدارك</w:t>
      </w:r>
      <w:r w:rsidRPr="00815C4C">
        <w:rPr>
          <w:rFonts w:cs="Taher"/>
          <w:vertAlign w:val="superscript"/>
          <w:rtl/>
        </w:rPr>
        <w:t>(</w:t>
      </w:r>
      <w:r w:rsidRPr="00815C4C">
        <w:rPr>
          <w:rFonts w:cs="Taher"/>
          <w:vertAlign w:val="superscript"/>
          <w:rtl/>
        </w:rPr>
        <w:footnoteReference w:id="701"/>
      </w:r>
      <w:r w:rsidRPr="00815C4C">
        <w:rPr>
          <w:rFonts w:cs="Taher"/>
          <w:vertAlign w:val="superscript"/>
          <w:rtl/>
        </w:rPr>
        <w:t>)</w:t>
      </w:r>
      <w:r w:rsidR="00CC4C19">
        <w:rPr>
          <w:rFonts w:hint="cs"/>
          <w:rtl/>
        </w:rPr>
        <w:t xml:space="preserve">، </w:t>
      </w:r>
      <w:r w:rsidRPr="00FC1947">
        <w:rPr>
          <w:rtl/>
        </w:rPr>
        <w:t>والفيض الكاشاني</w:t>
      </w:r>
      <w:r w:rsidRPr="00815C4C">
        <w:rPr>
          <w:rFonts w:cs="Taher"/>
          <w:vertAlign w:val="superscript"/>
          <w:rtl/>
        </w:rPr>
        <w:t>(</w:t>
      </w:r>
      <w:r w:rsidRPr="00815C4C">
        <w:rPr>
          <w:rFonts w:cs="Taher"/>
          <w:vertAlign w:val="superscript"/>
          <w:rtl/>
        </w:rPr>
        <w:footnoteReference w:id="702"/>
      </w:r>
      <w:r w:rsidRPr="00815C4C">
        <w:rPr>
          <w:rFonts w:cs="Taher"/>
          <w:vertAlign w:val="superscript"/>
          <w:rtl/>
        </w:rPr>
        <w:t>)</w:t>
      </w:r>
      <w:r w:rsidR="00CC4C19">
        <w:rPr>
          <w:rFonts w:hint="cs"/>
          <w:rtl/>
        </w:rPr>
        <w:t xml:space="preserve">، </w:t>
      </w:r>
      <w:r w:rsidRPr="00FC1947">
        <w:rPr>
          <w:rtl/>
        </w:rPr>
        <w:t>والمحقق النّراقي</w:t>
      </w:r>
      <w:r w:rsidRPr="00815C4C">
        <w:rPr>
          <w:rFonts w:cs="Taher"/>
          <w:vertAlign w:val="superscript"/>
          <w:rtl/>
        </w:rPr>
        <w:t>(</w:t>
      </w:r>
      <w:r w:rsidRPr="00815C4C">
        <w:rPr>
          <w:rFonts w:cs="Taher"/>
          <w:vertAlign w:val="superscript"/>
          <w:rtl/>
        </w:rPr>
        <w:footnoteReference w:id="703"/>
      </w:r>
      <w:r w:rsidRPr="00815C4C">
        <w:rPr>
          <w:rFonts w:cs="Taher"/>
          <w:vertAlign w:val="superscript"/>
          <w:rtl/>
        </w:rPr>
        <w:t>)</w:t>
      </w:r>
      <w:r w:rsidR="00CC4C19">
        <w:rPr>
          <w:rFonts w:hint="cs"/>
          <w:rtl/>
        </w:rPr>
        <w:t xml:space="preserve">، </w:t>
      </w:r>
      <w:r w:rsidRPr="00FC1947">
        <w:rPr>
          <w:rtl/>
        </w:rPr>
        <w:t>والحرّ العاملي</w:t>
      </w:r>
      <w:r w:rsidRPr="00815C4C">
        <w:rPr>
          <w:rFonts w:cs="Taher"/>
          <w:vertAlign w:val="superscript"/>
          <w:rtl/>
        </w:rPr>
        <w:t>(</w:t>
      </w:r>
      <w:r w:rsidRPr="00815C4C">
        <w:rPr>
          <w:rFonts w:cs="Taher"/>
          <w:vertAlign w:val="superscript"/>
          <w:rtl/>
        </w:rPr>
        <w:footnoteReference w:id="704"/>
      </w:r>
      <w:r w:rsidRPr="00815C4C">
        <w:rPr>
          <w:rFonts w:cs="Taher"/>
          <w:vertAlign w:val="superscript"/>
          <w:rtl/>
        </w:rPr>
        <w:t>)</w:t>
      </w:r>
      <w:r w:rsidR="00CC4C19">
        <w:rPr>
          <w:rFonts w:hint="cs"/>
          <w:rtl/>
        </w:rPr>
        <w:t xml:space="preserve">، </w:t>
      </w:r>
      <w:r w:rsidRPr="00FC1947">
        <w:rPr>
          <w:rtl/>
        </w:rPr>
        <w:t>والسيد اليزدي</w:t>
      </w:r>
      <w:r w:rsidRPr="00815C4C">
        <w:rPr>
          <w:rFonts w:cs="Taher"/>
          <w:vertAlign w:val="superscript"/>
          <w:rtl/>
        </w:rPr>
        <w:t>(</w:t>
      </w:r>
      <w:r w:rsidRPr="00815C4C">
        <w:rPr>
          <w:rFonts w:cs="Taher"/>
          <w:vertAlign w:val="superscript"/>
          <w:rtl/>
        </w:rPr>
        <w:footnoteReference w:id="705"/>
      </w:r>
      <w:r w:rsidRPr="00815C4C">
        <w:rPr>
          <w:rFonts w:cs="Taher"/>
          <w:vertAlign w:val="superscript"/>
          <w:rtl/>
        </w:rPr>
        <w:t>)</w:t>
      </w:r>
      <w:r w:rsidR="00CC4C19">
        <w:rPr>
          <w:rFonts w:hint="cs"/>
          <w:rtl/>
        </w:rPr>
        <w:t xml:space="preserve">، </w:t>
      </w:r>
      <w:r w:rsidRPr="00FC1947">
        <w:rPr>
          <w:rtl/>
        </w:rPr>
        <w:t>والمحقّق العراقي</w:t>
      </w:r>
      <w:r w:rsidRPr="00815C4C">
        <w:rPr>
          <w:rFonts w:cs="Taher"/>
          <w:vertAlign w:val="superscript"/>
          <w:rtl/>
        </w:rPr>
        <w:t>(</w:t>
      </w:r>
      <w:r w:rsidRPr="00815C4C">
        <w:rPr>
          <w:rFonts w:cs="Taher"/>
          <w:vertAlign w:val="superscript"/>
          <w:rtl/>
        </w:rPr>
        <w:footnoteReference w:id="706"/>
      </w:r>
      <w:r w:rsidRPr="00815C4C">
        <w:rPr>
          <w:rFonts w:cs="Taher"/>
          <w:vertAlign w:val="superscript"/>
          <w:rtl/>
        </w:rPr>
        <w:t>)</w:t>
      </w:r>
      <w:r w:rsidR="00CC4C19">
        <w:rPr>
          <w:rFonts w:hint="cs"/>
          <w:rtl/>
        </w:rPr>
        <w:t xml:space="preserve">، </w:t>
      </w:r>
      <w:r w:rsidRPr="00FC1947">
        <w:rPr>
          <w:rtl/>
        </w:rPr>
        <w:t>والسيد الحكيم</w:t>
      </w:r>
      <w:r w:rsidRPr="00815C4C">
        <w:rPr>
          <w:rFonts w:cs="Taher"/>
          <w:vertAlign w:val="superscript"/>
          <w:rtl/>
        </w:rPr>
        <w:t>(</w:t>
      </w:r>
      <w:r w:rsidRPr="00815C4C">
        <w:rPr>
          <w:rFonts w:cs="Taher"/>
          <w:vertAlign w:val="superscript"/>
          <w:rtl/>
        </w:rPr>
        <w:footnoteReference w:id="707"/>
      </w:r>
      <w:r w:rsidRPr="00815C4C">
        <w:rPr>
          <w:rFonts w:cs="Taher"/>
          <w:vertAlign w:val="superscript"/>
          <w:rtl/>
        </w:rPr>
        <w:t>)</w:t>
      </w:r>
      <w:r w:rsidR="00CC4C19">
        <w:rPr>
          <w:rFonts w:hint="cs"/>
          <w:rtl/>
        </w:rPr>
        <w:t xml:space="preserve">، </w:t>
      </w:r>
      <w:r w:rsidRPr="00FC1947">
        <w:rPr>
          <w:rtl/>
        </w:rPr>
        <w:t>والسيد الخوئي</w:t>
      </w:r>
      <w:r w:rsidRPr="00815C4C">
        <w:rPr>
          <w:rFonts w:cs="Taher"/>
          <w:vertAlign w:val="superscript"/>
          <w:rtl/>
        </w:rPr>
        <w:t>(</w:t>
      </w:r>
      <w:r w:rsidRPr="00815C4C">
        <w:rPr>
          <w:rFonts w:cs="Taher"/>
          <w:vertAlign w:val="superscript"/>
          <w:rtl/>
        </w:rPr>
        <w:footnoteReference w:id="708"/>
      </w:r>
      <w:r w:rsidRPr="00815C4C">
        <w:rPr>
          <w:rFonts w:cs="Taher"/>
          <w:vertAlign w:val="superscript"/>
          <w:rtl/>
        </w:rPr>
        <w:t>)</w:t>
      </w:r>
      <w:r w:rsidR="00CC4C19">
        <w:rPr>
          <w:rFonts w:hint="cs"/>
          <w:rtl/>
        </w:rPr>
        <w:t xml:space="preserve">، </w:t>
      </w:r>
      <w:r w:rsidRPr="00FC1947">
        <w:rPr>
          <w:rtl/>
        </w:rPr>
        <w:t>والإمام الخميني</w:t>
      </w:r>
      <w:r w:rsidRPr="00815C4C">
        <w:rPr>
          <w:rFonts w:cs="Taher"/>
          <w:vertAlign w:val="superscript"/>
          <w:rtl/>
        </w:rPr>
        <w:t>(</w:t>
      </w:r>
      <w:r w:rsidRPr="00815C4C">
        <w:rPr>
          <w:rFonts w:cs="Taher"/>
          <w:vertAlign w:val="superscript"/>
          <w:rtl/>
        </w:rPr>
        <w:footnoteReference w:id="709"/>
      </w:r>
      <w:r w:rsidRPr="00815C4C">
        <w:rPr>
          <w:rFonts w:cs="Taher"/>
          <w:vertAlign w:val="superscript"/>
          <w:rtl/>
        </w:rPr>
        <w:t>)</w:t>
      </w:r>
      <w:r w:rsidR="00CC4C19" w:rsidRPr="00CC4C19">
        <w:rPr>
          <w:rFonts w:cs="Taher" w:hint="cs"/>
          <w:rtl/>
        </w:rPr>
        <w:t>.</w:t>
      </w:r>
    </w:p>
    <w:p w:rsidR="00592460" w:rsidRDefault="00592460" w:rsidP="00CC4C19">
      <w:pPr>
        <w:pStyle w:val="ac"/>
      </w:pPr>
      <w:r w:rsidRPr="00FC1947">
        <w:rPr>
          <w:rtl/>
        </w:rPr>
        <w:t>وقد وصف هذا القول في كلمات الفقهاء بأنه المشهور</w:t>
      </w:r>
      <w:r w:rsidRPr="00815C4C">
        <w:rPr>
          <w:rFonts w:cs="Taher"/>
          <w:vertAlign w:val="superscript"/>
          <w:rtl/>
        </w:rPr>
        <w:t>(</w:t>
      </w:r>
      <w:r w:rsidRPr="00815C4C">
        <w:rPr>
          <w:rFonts w:cs="Taher"/>
          <w:vertAlign w:val="superscript"/>
          <w:rtl/>
        </w:rPr>
        <w:footnoteReference w:id="710"/>
      </w:r>
      <w:r w:rsidRPr="00815C4C">
        <w:rPr>
          <w:rFonts w:cs="Taher"/>
          <w:vertAlign w:val="superscript"/>
          <w:rtl/>
        </w:rPr>
        <w:t>)</w:t>
      </w:r>
      <w:r w:rsidR="00CC4C19">
        <w:rPr>
          <w:rFonts w:hint="cs"/>
          <w:rtl/>
        </w:rPr>
        <w:t xml:space="preserve">، </w:t>
      </w:r>
      <w:r w:rsidRPr="00FC1947">
        <w:rPr>
          <w:rtl/>
        </w:rPr>
        <w:t>والمعروف من مذهب الأصحاب</w:t>
      </w:r>
      <w:r w:rsidRPr="00815C4C">
        <w:rPr>
          <w:rFonts w:cs="Taher"/>
          <w:vertAlign w:val="superscript"/>
          <w:rtl/>
        </w:rPr>
        <w:t>(</w:t>
      </w:r>
      <w:r w:rsidRPr="00815C4C">
        <w:rPr>
          <w:rFonts w:cs="Taher"/>
          <w:vertAlign w:val="superscript"/>
          <w:rtl/>
        </w:rPr>
        <w:footnoteReference w:id="711"/>
      </w:r>
      <w:r w:rsidRPr="00815C4C">
        <w:rPr>
          <w:rFonts w:cs="Taher"/>
          <w:vertAlign w:val="superscript"/>
          <w:rtl/>
        </w:rPr>
        <w:t>)</w:t>
      </w:r>
      <w:r w:rsidR="00CC4C19">
        <w:rPr>
          <w:rFonts w:hint="cs"/>
          <w:rtl/>
        </w:rPr>
        <w:t xml:space="preserve">، </w:t>
      </w:r>
      <w:r w:rsidRPr="00FC1947">
        <w:rPr>
          <w:rtl/>
        </w:rPr>
        <w:t>وأنه موضع وفاق</w:t>
      </w:r>
      <w:r w:rsidRPr="00815C4C">
        <w:rPr>
          <w:rFonts w:cs="Taher"/>
          <w:vertAlign w:val="superscript"/>
          <w:rtl/>
        </w:rPr>
        <w:t>(</w:t>
      </w:r>
      <w:r w:rsidRPr="00815C4C">
        <w:rPr>
          <w:rFonts w:cs="Taher"/>
          <w:vertAlign w:val="superscript"/>
          <w:rtl/>
        </w:rPr>
        <w:footnoteReference w:id="712"/>
      </w:r>
      <w:r w:rsidRPr="00815C4C">
        <w:rPr>
          <w:rFonts w:cs="Taher"/>
          <w:vertAlign w:val="superscript"/>
          <w:rtl/>
        </w:rPr>
        <w:t>)</w:t>
      </w:r>
      <w:r w:rsidR="00CC4C19">
        <w:rPr>
          <w:rFonts w:hint="cs"/>
          <w:rtl/>
        </w:rPr>
        <w:t xml:space="preserve">، </w:t>
      </w:r>
      <w:r w:rsidRPr="00FC1947">
        <w:rPr>
          <w:rtl/>
        </w:rPr>
        <w:t>وأن عليه الإجماع</w:t>
      </w:r>
      <w:r w:rsidRPr="00815C4C">
        <w:rPr>
          <w:rFonts w:cs="Taher"/>
          <w:vertAlign w:val="superscript"/>
          <w:rtl/>
        </w:rPr>
        <w:t>(</w:t>
      </w:r>
      <w:r w:rsidRPr="00815C4C">
        <w:rPr>
          <w:rFonts w:cs="Taher"/>
          <w:vertAlign w:val="superscript"/>
          <w:rtl/>
        </w:rPr>
        <w:footnoteReference w:id="713"/>
      </w:r>
      <w:r w:rsidRPr="00815C4C">
        <w:rPr>
          <w:rFonts w:cs="Taher"/>
          <w:vertAlign w:val="superscript"/>
          <w:rtl/>
        </w:rPr>
        <w:t>)</w:t>
      </w:r>
      <w:r w:rsidRPr="00FC1947">
        <w:rPr>
          <w:rtl/>
        </w:rPr>
        <w:t>.</w:t>
      </w:r>
    </w:p>
    <w:p w:rsidR="002649A0" w:rsidRPr="002649A0" w:rsidRDefault="002649A0" w:rsidP="002649A0">
      <w:pPr>
        <w:pStyle w:val="afffffc"/>
        <w:rPr>
          <w:sz w:val="22"/>
          <w:szCs w:val="20"/>
          <w:rtl/>
        </w:rPr>
      </w:pPr>
    </w:p>
    <w:p w:rsidR="00CC4C19" w:rsidRPr="00FC1947" w:rsidRDefault="00CC4C19" w:rsidP="007F75C5">
      <w:pPr>
        <w:pStyle w:val="1"/>
        <w:rPr>
          <w:rtl/>
        </w:rPr>
      </w:pPr>
      <w:bookmarkStart w:id="381" w:name="_Toc275128101"/>
      <w:r>
        <w:rPr>
          <w:rFonts w:hint="cs"/>
          <w:rtl/>
        </w:rPr>
        <w:t>أدلّة نظرية الت</w:t>
      </w:r>
      <w:r w:rsidR="007F75C5">
        <w:rPr>
          <w:rFonts w:hint="cs"/>
          <w:rtl/>
        </w:rPr>
        <w:t>ح</w:t>
      </w:r>
      <w:r>
        <w:rPr>
          <w:rFonts w:hint="cs"/>
          <w:rtl/>
        </w:rPr>
        <w:t>ديد الزماني</w:t>
      </w:r>
      <w:bookmarkEnd w:id="381"/>
    </w:p>
    <w:p w:rsidR="00592460" w:rsidRPr="00FC1947" w:rsidRDefault="00592460" w:rsidP="00592460">
      <w:pPr>
        <w:pStyle w:val="ac"/>
        <w:rPr>
          <w:rtl/>
        </w:rPr>
      </w:pPr>
      <w:r w:rsidRPr="00FC1947">
        <w:rPr>
          <w:rtl/>
        </w:rPr>
        <w:t>وعلى أية حال</w:t>
      </w:r>
      <w:r w:rsidR="00CC4C19">
        <w:rPr>
          <w:rFonts w:hint="cs"/>
          <w:rtl/>
        </w:rPr>
        <w:t>،</w:t>
      </w:r>
      <w:r w:rsidRPr="00FC1947">
        <w:rPr>
          <w:rtl/>
        </w:rPr>
        <w:t xml:space="preserve"> فأبرز ما تعرضوا له أو ما يمكن ذكره من أدلّة لتدعيم هذا القول وجوه هي:</w:t>
      </w:r>
    </w:p>
    <w:p w:rsidR="00592460" w:rsidRPr="00FC1947" w:rsidRDefault="00592460" w:rsidP="00592460">
      <w:pPr>
        <w:pStyle w:val="ac"/>
        <w:rPr>
          <w:rtl/>
        </w:rPr>
      </w:pPr>
      <w:r w:rsidRPr="00FC1947">
        <w:rPr>
          <w:b/>
          <w:bCs/>
          <w:rtl/>
        </w:rPr>
        <w:t>الوجه الأول:</w:t>
      </w:r>
      <w:r w:rsidRPr="00FC1947">
        <w:rPr>
          <w:rtl/>
        </w:rPr>
        <w:t xml:space="preserve"> التمسّك بالإجماع</w:t>
      </w:r>
      <w:r w:rsidR="00CC4C19">
        <w:rPr>
          <w:rFonts w:hint="cs"/>
          <w:rtl/>
        </w:rPr>
        <w:t>،</w:t>
      </w:r>
      <w:r w:rsidRPr="00FC1947">
        <w:rPr>
          <w:rtl/>
        </w:rPr>
        <w:t xml:space="preserve"> وعدم الخلاف</w:t>
      </w:r>
      <w:r w:rsidR="00CC4C19">
        <w:rPr>
          <w:rFonts w:hint="cs"/>
          <w:rtl/>
        </w:rPr>
        <w:t>،</w:t>
      </w:r>
      <w:r w:rsidRPr="00FC1947">
        <w:rPr>
          <w:rtl/>
        </w:rPr>
        <w:t xml:space="preserve"> ونحو ذلك من التعابير التي تقدّم ذكرها</w:t>
      </w:r>
      <w:r w:rsidR="00CC4C19">
        <w:rPr>
          <w:rFonts w:hint="cs"/>
          <w:rtl/>
        </w:rPr>
        <w:t>؛</w:t>
      </w:r>
      <w:r w:rsidRPr="00FC1947">
        <w:rPr>
          <w:rtl/>
        </w:rPr>
        <w:t xml:space="preserve"> فإنه كاشف عن الحكم الشرعي</w:t>
      </w:r>
      <w:r w:rsidRPr="00815C4C">
        <w:rPr>
          <w:rFonts w:cs="Taher"/>
          <w:vertAlign w:val="superscript"/>
          <w:rtl/>
        </w:rPr>
        <w:t>(</w:t>
      </w:r>
      <w:r w:rsidRPr="00815C4C">
        <w:rPr>
          <w:rFonts w:cs="Taher"/>
          <w:vertAlign w:val="superscript"/>
          <w:rtl/>
        </w:rPr>
        <w:footnoteReference w:id="714"/>
      </w:r>
      <w:r w:rsidRPr="00815C4C">
        <w:rPr>
          <w:rFonts w:cs="Taher"/>
          <w:vertAlign w:val="superscript"/>
          <w:rtl/>
        </w:rPr>
        <w:t>)</w:t>
      </w:r>
      <w:r w:rsidRPr="00FC1947">
        <w:rPr>
          <w:rtl/>
        </w:rPr>
        <w:t>.</w:t>
      </w:r>
    </w:p>
    <w:p w:rsidR="00592460" w:rsidRPr="00FC1947" w:rsidRDefault="00592460" w:rsidP="00CC4C19">
      <w:pPr>
        <w:pStyle w:val="ac"/>
        <w:rPr>
          <w:rtl/>
        </w:rPr>
      </w:pPr>
      <w:r w:rsidRPr="00CC4C19">
        <w:rPr>
          <w:b/>
          <w:bCs/>
          <w:rtl/>
        </w:rPr>
        <w:lastRenderedPageBreak/>
        <w:t xml:space="preserve">وقد يناقش أولاً: </w:t>
      </w:r>
      <w:r w:rsidRPr="00FC1947">
        <w:rPr>
          <w:rtl/>
        </w:rPr>
        <w:t>بأن هذا الإجماع غير واضح ولا يوجد وفق ما بأيدينا ما يؤكّده</w:t>
      </w:r>
      <w:r w:rsidR="00CC4C19">
        <w:rPr>
          <w:rFonts w:hint="cs"/>
          <w:rtl/>
        </w:rPr>
        <w:t>؛</w:t>
      </w:r>
      <w:r w:rsidRPr="00FC1947">
        <w:rPr>
          <w:rtl/>
        </w:rPr>
        <w:t xml:space="preserve"> وذلك أن المهمّ في تكوين كاشفيّة الإجماع هو الطبقة المتقدّمة من الفقهاء، وهؤلاء لا يظهر منهم ـ</w:t>
      </w:r>
      <w:r w:rsidR="00563D50">
        <w:rPr>
          <w:rFonts w:hint="cs"/>
          <w:rtl/>
        </w:rPr>
        <w:t xml:space="preserve"> </w:t>
      </w:r>
      <w:r w:rsidRPr="00FC1947">
        <w:rPr>
          <w:rtl/>
        </w:rPr>
        <w:t>حسب تتبعي</w:t>
      </w:r>
      <w:r w:rsidR="00CC4C19">
        <w:rPr>
          <w:rFonts w:hint="cs"/>
          <w:rtl/>
        </w:rPr>
        <w:t xml:space="preserve"> </w:t>
      </w:r>
      <w:r w:rsidRPr="00FC1947">
        <w:rPr>
          <w:rtl/>
        </w:rPr>
        <w:t>ـ</w:t>
      </w:r>
      <w:r w:rsidR="00CC4C19">
        <w:rPr>
          <w:rFonts w:hint="cs"/>
          <w:rtl/>
        </w:rPr>
        <w:t xml:space="preserve"> </w:t>
      </w:r>
      <w:r w:rsidRPr="00FC1947">
        <w:rPr>
          <w:rtl/>
        </w:rPr>
        <w:t>أيّ موقف أو تعرّض لفكرة من هذا القبيل</w:t>
      </w:r>
      <w:r w:rsidR="00CC4C19">
        <w:rPr>
          <w:rFonts w:hint="cs"/>
          <w:rtl/>
        </w:rPr>
        <w:t>،</w:t>
      </w:r>
      <w:r w:rsidRPr="00FC1947">
        <w:rPr>
          <w:rtl/>
        </w:rPr>
        <w:t xml:space="preserve"> فالشيخ المفيد والسيد المرتضى وابن حمزة وأبو الصّلاح الحلبي والشيخ الصّدوق في كتبه الفقهيّة</w:t>
      </w:r>
      <w:r w:rsidRPr="00815C4C">
        <w:rPr>
          <w:rFonts w:cs="Taher"/>
          <w:vertAlign w:val="superscript"/>
          <w:rtl/>
        </w:rPr>
        <w:t>(</w:t>
      </w:r>
      <w:r w:rsidRPr="00815C4C">
        <w:rPr>
          <w:rFonts w:cs="Taher"/>
          <w:vertAlign w:val="superscript"/>
          <w:rtl/>
        </w:rPr>
        <w:footnoteReference w:id="715"/>
      </w:r>
      <w:r w:rsidRPr="00815C4C">
        <w:rPr>
          <w:rFonts w:cs="Taher"/>
          <w:vertAlign w:val="superscript"/>
          <w:rtl/>
        </w:rPr>
        <w:t>)</w:t>
      </w:r>
      <w:r w:rsidRPr="00FC1947">
        <w:rPr>
          <w:rtl/>
        </w:rPr>
        <w:t xml:space="preserve"> وإبن زهرة الحلبي وسلاّر الديلمي وابن الجنيد ال</w:t>
      </w:r>
      <w:r w:rsidR="00CC4C19">
        <w:rPr>
          <w:rFonts w:hint="cs"/>
          <w:rtl/>
        </w:rPr>
        <w:t>ا</w:t>
      </w:r>
      <w:r w:rsidRPr="00FC1947">
        <w:rPr>
          <w:rtl/>
        </w:rPr>
        <w:t>سكافي والحسن ابن أبي عقيل العماني والجعفي</w:t>
      </w:r>
      <w:r w:rsidR="00CC4C19">
        <w:rPr>
          <w:rFonts w:hint="cs"/>
          <w:rtl/>
        </w:rPr>
        <w:t>،</w:t>
      </w:r>
      <w:r w:rsidRPr="00FC1947">
        <w:rPr>
          <w:rtl/>
        </w:rPr>
        <w:t xml:space="preserve"> وأيضاً من المتأخرين المحقّق الأردبيلي والشيخ الهمداني والسيد العاملي صاحب مفتاح الكرامة وربما غيرهم</w:t>
      </w:r>
      <w:r w:rsidR="00CC4C19">
        <w:rPr>
          <w:rFonts w:hint="cs"/>
          <w:rtl/>
        </w:rPr>
        <w:t>،</w:t>
      </w:r>
      <w:r w:rsidRPr="00FC1947">
        <w:rPr>
          <w:rtl/>
        </w:rPr>
        <w:t xml:space="preserve"> لم أعثر لهم على كلام في أصل المسألة</w:t>
      </w:r>
      <w:r w:rsidR="00CC4C19">
        <w:rPr>
          <w:rFonts w:hint="cs"/>
          <w:rtl/>
        </w:rPr>
        <w:t>،</w:t>
      </w:r>
      <w:r w:rsidRPr="00FC1947">
        <w:rPr>
          <w:rtl/>
        </w:rPr>
        <w:t xml:space="preserve"> ومعه كيف نطمئن أو نجزم بانعقاد الإجماع على هذا القول</w:t>
      </w:r>
      <w:r w:rsidR="00CC4C19">
        <w:rPr>
          <w:rFonts w:hint="cs"/>
          <w:rtl/>
        </w:rPr>
        <w:t>؟!</w:t>
      </w:r>
    </w:p>
    <w:p w:rsidR="00592460" w:rsidRPr="00FC1947" w:rsidRDefault="00592460" w:rsidP="00CC4C19">
      <w:pPr>
        <w:pStyle w:val="ac"/>
        <w:rPr>
          <w:rtl/>
        </w:rPr>
      </w:pPr>
      <w:r w:rsidRPr="00FC1947">
        <w:rPr>
          <w:rtl/>
        </w:rPr>
        <w:t>والذي يظهر أن أوّل من طرح هذه الفتوى في كتبه الفقهيّة هو الشيخ أبو جعفر الطّوسي</w:t>
      </w:r>
      <w:r w:rsidR="00CC4C19">
        <w:rPr>
          <w:rFonts w:hint="cs"/>
          <w:rtl/>
        </w:rPr>
        <w:t xml:space="preserve"> (460 هـ)</w:t>
      </w:r>
      <w:r w:rsidRPr="00815C4C">
        <w:rPr>
          <w:rFonts w:cs="Taher"/>
          <w:vertAlign w:val="superscript"/>
          <w:rtl/>
        </w:rPr>
        <w:t>(</w:t>
      </w:r>
      <w:r w:rsidRPr="00815C4C">
        <w:rPr>
          <w:rFonts w:cs="Taher"/>
          <w:vertAlign w:val="superscript"/>
          <w:rtl/>
        </w:rPr>
        <w:footnoteReference w:id="716"/>
      </w:r>
      <w:r w:rsidRPr="00815C4C">
        <w:rPr>
          <w:rFonts w:cs="Taher"/>
          <w:vertAlign w:val="superscript"/>
          <w:rtl/>
        </w:rPr>
        <w:t>)</w:t>
      </w:r>
      <w:r w:rsidR="00CC4C19">
        <w:rPr>
          <w:rFonts w:hint="cs"/>
          <w:rtl/>
        </w:rPr>
        <w:t xml:space="preserve">، </w:t>
      </w:r>
      <w:r w:rsidRPr="00FC1947">
        <w:rPr>
          <w:rtl/>
        </w:rPr>
        <w:t>ولا يظهر أيّ أثر لها قبله</w:t>
      </w:r>
      <w:r w:rsidR="00CC4C19">
        <w:rPr>
          <w:rFonts w:hint="cs"/>
          <w:rtl/>
        </w:rPr>
        <w:t>،</w:t>
      </w:r>
      <w:r w:rsidRPr="00FC1947">
        <w:rPr>
          <w:rtl/>
        </w:rPr>
        <w:t xml:space="preserve"> سوى الرّواية التي رواها الشيخ الصّدوق في كتابه الحديثيّ </w:t>
      </w:r>
      <w:r>
        <w:rPr>
          <w:rFonts w:hint="cs"/>
          <w:rtl/>
        </w:rPr>
        <w:t>«</w:t>
      </w:r>
      <w:r w:rsidR="00CC4C19">
        <w:rPr>
          <w:rFonts w:hint="cs"/>
          <w:rtl/>
        </w:rPr>
        <w:t xml:space="preserve">كتاب </w:t>
      </w:r>
      <w:r w:rsidRPr="00FC1947">
        <w:rPr>
          <w:rtl/>
        </w:rPr>
        <w:t>من لا يحضره الفقيه</w:t>
      </w:r>
      <w:r>
        <w:rPr>
          <w:rFonts w:hint="cs"/>
          <w:rtl/>
        </w:rPr>
        <w:t>»</w:t>
      </w:r>
      <w:r w:rsidRPr="00815C4C">
        <w:rPr>
          <w:rFonts w:cs="Taher"/>
          <w:vertAlign w:val="superscript"/>
          <w:rtl/>
        </w:rPr>
        <w:t>(</w:t>
      </w:r>
      <w:r w:rsidRPr="00815C4C">
        <w:rPr>
          <w:rFonts w:cs="Taher"/>
          <w:vertAlign w:val="superscript"/>
          <w:rtl/>
        </w:rPr>
        <w:footnoteReference w:id="717"/>
      </w:r>
      <w:r w:rsidRPr="00815C4C">
        <w:rPr>
          <w:rFonts w:cs="Taher"/>
          <w:vertAlign w:val="superscript"/>
          <w:rtl/>
        </w:rPr>
        <w:t>)</w:t>
      </w:r>
      <w:r w:rsidRPr="00FC1947">
        <w:rPr>
          <w:rtl/>
        </w:rPr>
        <w:t>، ولو سلّمنا أنّ ما يذكره الشيخ الصّدوق في هذا الكتاب يمثّل موقفه الفقهي وفق ما توحي به مقدمة الكتاب فإن هذا لا يؤكّد لنا أنه اختار هذا القول هنا</w:t>
      </w:r>
      <w:r w:rsidR="00CC4C19">
        <w:rPr>
          <w:rFonts w:hint="cs"/>
          <w:rtl/>
        </w:rPr>
        <w:t>؛</w:t>
      </w:r>
      <w:r w:rsidRPr="00FC1947">
        <w:rPr>
          <w:rtl/>
        </w:rPr>
        <w:t xml:space="preserve"> لأن الرواية التي نقلها قابلة وبصورة ملفتة لتفسير آخر كما سيأتي، ومعه كيف نتأكّد أنه قد فهم من هذا النص تلك الرؤية المعروفة</w:t>
      </w:r>
      <w:r w:rsidR="00CC4C19">
        <w:rPr>
          <w:rFonts w:hint="cs"/>
          <w:rtl/>
        </w:rPr>
        <w:t>؟</w:t>
      </w:r>
    </w:p>
    <w:p w:rsidR="00592460" w:rsidRPr="00FC1947" w:rsidRDefault="00592460" w:rsidP="007F75C5">
      <w:pPr>
        <w:pStyle w:val="ac"/>
        <w:rPr>
          <w:rtl/>
        </w:rPr>
      </w:pPr>
      <w:r w:rsidRPr="00FC1947">
        <w:rPr>
          <w:rtl/>
        </w:rPr>
        <w:t>وبناءً على ذلك</w:t>
      </w:r>
      <w:r w:rsidR="00CC4C19">
        <w:rPr>
          <w:rFonts w:hint="cs"/>
          <w:rtl/>
        </w:rPr>
        <w:t>،</w:t>
      </w:r>
      <w:r w:rsidRPr="00FC1947">
        <w:rPr>
          <w:rtl/>
        </w:rPr>
        <w:t xml:space="preserve"> لا يوجد ما يؤكّد وجود مقولة بهذا المعنى بين متقدّمي الفقهاء ما قبل الشيخ الطوسي</w:t>
      </w:r>
      <w:r w:rsidR="00CC4C19">
        <w:rPr>
          <w:rFonts w:hint="cs"/>
          <w:rtl/>
        </w:rPr>
        <w:t>،</w:t>
      </w:r>
      <w:r w:rsidRPr="00FC1947">
        <w:rPr>
          <w:rtl/>
        </w:rPr>
        <w:t xml:space="preserve"> فكيف نتأكّد من اتفاقهم عليها؟</w:t>
      </w:r>
      <w:r w:rsidR="00CC4C19">
        <w:rPr>
          <w:rFonts w:hint="cs"/>
          <w:rtl/>
        </w:rPr>
        <w:t>!</w:t>
      </w:r>
      <w:r w:rsidRPr="00FC1947">
        <w:rPr>
          <w:rtl/>
        </w:rPr>
        <w:t xml:space="preserve"> كما أن الذين ادّعوا الإجماع من الفقهاء لم يكن أقدم واحد فيهم سوى صاحب المسالك (911 ـ 965هـ) والذي تفصله مسافة كبيرة عن الشيخ الطّوسي</w:t>
      </w:r>
      <w:r w:rsidR="003E5026">
        <w:rPr>
          <w:rFonts w:hint="cs"/>
          <w:rtl/>
        </w:rPr>
        <w:t>،</w:t>
      </w:r>
      <w:r w:rsidRPr="00FC1947">
        <w:rPr>
          <w:rtl/>
        </w:rPr>
        <w:t xml:space="preserve"> وليس شخصاً قريباً جداً من العصر الفقهي الأول حتى يكون كلامه بحكم المؤشّر القويّ على وجود هذه النظرية في تلك الحقبة</w:t>
      </w:r>
      <w:r w:rsidR="003E5026">
        <w:rPr>
          <w:rFonts w:hint="cs"/>
          <w:rtl/>
        </w:rPr>
        <w:t>؛</w:t>
      </w:r>
      <w:r w:rsidRPr="00FC1947">
        <w:rPr>
          <w:rtl/>
        </w:rPr>
        <w:t xml:space="preserve"> </w:t>
      </w:r>
      <w:r w:rsidRPr="00FC1947">
        <w:rPr>
          <w:rtl/>
        </w:rPr>
        <w:lastRenderedPageBreak/>
        <w:t>لأنه قد يكون افتراضه الإجماع ناشئاً من عدم احتماله مخالفة الطبقات اللاحقة من الفقهاء لحكم كان موجوداً لدى الطبقة الأولى</w:t>
      </w:r>
      <w:r w:rsidR="003E5026">
        <w:rPr>
          <w:rFonts w:hint="cs"/>
          <w:rtl/>
        </w:rPr>
        <w:t>، لا</w:t>
      </w:r>
      <w:r w:rsidRPr="00FC1947">
        <w:rPr>
          <w:rtl/>
        </w:rPr>
        <w:t>سيما وأنهم لم يشيروا إلى رؤية أخرى هنا</w:t>
      </w:r>
      <w:r w:rsidR="003E5026">
        <w:rPr>
          <w:rFonts w:hint="cs"/>
          <w:rtl/>
        </w:rPr>
        <w:t>،</w:t>
      </w:r>
      <w:r w:rsidRPr="00FC1947">
        <w:rPr>
          <w:rtl/>
        </w:rPr>
        <w:t xml:space="preserve"> مما يعزز من </w:t>
      </w:r>
      <w:r w:rsidR="003E5026">
        <w:rPr>
          <w:rFonts w:hint="cs"/>
          <w:rtl/>
        </w:rPr>
        <w:t>ا</w:t>
      </w:r>
      <w:r w:rsidRPr="00FC1947">
        <w:rPr>
          <w:rtl/>
        </w:rPr>
        <w:t xml:space="preserve">حتمال أن يكون الموقف الفقهي القديم متلائماً مع ما ذهب إليه الفقهاء اللاحقون، وافتراض أن الشّهيد الثاني قد اعتمد على معطيات لا تتّسم كلها بالحسيّة ليس بالإفتراض البعيد لمن خبر نمط تعامل الفقهاء </w:t>
      </w:r>
      <w:r w:rsidR="003E5026">
        <w:rPr>
          <w:rFonts w:hint="cs"/>
          <w:rtl/>
        </w:rPr>
        <w:t>ـ لا</w:t>
      </w:r>
      <w:r w:rsidRPr="00FC1947">
        <w:rPr>
          <w:rtl/>
        </w:rPr>
        <w:t xml:space="preserve">سيما المتأخرين </w:t>
      </w:r>
      <w:r w:rsidR="003E5026">
        <w:rPr>
          <w:rFonts w:hint="cs"/>
          <w:rtl/>
        </w:rPr>
        <w:t xml:space="preserve">ـ </w:t>
      </w:r>
      <w:r w:rsidRPr="00FC1947">
        <w:rPr>
          <w:rtl/>
        </w:rPr>
        <w:t>مع التحقيق التاريخي للفتاوى والأفكار الفقهيّة</w:t>
      </w:r>
      <w:r w:rsidRPr="00815C4C">
        <w:rPr>
          <w:rFonts w:cs="Taher"/>
          <w:vertAlign w:val="superscript"/>
          <w:rtl/>
        </w:rPr>
        <w:t>(</w:t>
      </w:r>
      <w:r w:rsidRPr="00815C4C">
        <w:rPr>
          <w:rFonts w:cs="Taher"/>
          <w:vertAlign w:val="superscript"/>
          <w:rtl/>
        </w:rPr>
        <w:footnoteReference w:id="718"/>
      </w:r>
      <w:r w:rsidRPr="00815C4C">
        <w:rPr>
          <w:rFonts w:cs="Taher"/>
          <w:vertAlign w:val="superscript"/>
          <w:rtl/>
        </w:rPr>
        <w:t>)</w:t>
      </w:r>
      <w:r w:rsidRPr="00FC1947">
        <w:rPr>
          <w:rtl/>
        </w:rPr>
        <w:t>.</w:t>
      </w:r>
      <w:r w:rsidR="003E5026">
        <w:rPr>
          <w:rFonts w:hint="cs"/>
          <w:rtl/>
        </w:rPr>
        <w:t xml:space="preserve"> </w:t>
      </w:r>
      <w:r w:rsidR="007F75C5">
        <w:rPr>
          <w:rFonts w:hint="cs"/>
          <w:rtl/>
        </w:rPr>
        <w:t>وهذا التحليل</w:t>
      </w:r>
      <w:r w:rsidR="003E5026">
        <w:rPr>
          <w:rFonts w:hint="cs"/>
          <w:rtl/>
        </w:rPr>
        <w:t xml:space="preserve"> الحدسي ـ لو تمّ ـ فهو قد يوحي بوجود هذه الفكرة ما قبل الشيخ الطوسي، لكنّ مسألة الإجماع أو الشهرة تبقى غير مؤكّدة.</w:t>
      </w:r>
    </w:p>
    <w:p w:rsidR="00592460" w:rsidRPr="00FC1947" w:rsidRDefault="00592460" w:rsidP="002649A0">
      <w:pPr>
        <w:pStyle w:val="ac"/>
        <w:rPr>
          <w:rtl/>
        </w:rPr>
      </w:pPr>
      <w:r w:rsidRPr="00FC1947">
        <w:rPr>
          <w:b/>
          <w:bCs/>
          <w:rtl/>
        </w:rPr>
        <w:t>وثانياً:</w:t>
      </w:r>
      <w:r w:rsidRPr="00FC1947">
        <w:rPr>
          <w:rtl/>
        </w:rPr>
        <w:t xml:space="preserve"> إن الإجماع هنا على تقدير واقعيّته محتمل المدركيّة</w:t>
      </w:r>
      <w:r w:rsidR="003E5026">
        <w:rPr>
          <w:rFonts w:hint="cs"/>
          <w:rtl/>
        </w:rPr>
        <w:t>، لا</w:t>
      </w:r>
      <w:r w:rsidRPr="00FC1947">
        <w:rPr>
          <w:rtl/>
        </w:rPr>
        <w:t>سيما وأنّ الرواية العمدة التي استند إليها الفقهاء في إثبات الحكم فيما بعد كانت مرويّة في كتب الحديث المتقدّمة ككتب الصدوق والطوسي</w:t>
      </w:r>
      <w:r w:rsidR="003E5026">
        <w:rPr>
          <w:rFonts w:hint="cs"/>
          <w:rtl/>
        </w:rPr>
        <w:t>،</w:t>
      </w:r>
      <w:r w:rsidRPr="00FC1947">
        <w:rPr>
          <w:rtl/>
        </w:rPr>
        <w:t xml:space="preserve"> مما يعني كونها متداولة في الوسط الفقهي تبعاً لتداول التراث الحديثي ككل في هذا الوسط</w:t>
      </w:r>
      <w:r w:rsidR="007F75C5">
        <w:rPr>
          <w:rFonts w:hint="cs"/>
          <w:rtl/>
        </w:rPr>
        <w:t>،</w:t>
      </w:r>
      <w:r w:rsidRPr="00FC1947">
        <w:rPr>
          <w:rtl/>
        </w:rPr>
        <w:t xml:space="preserve"> الأمر الذي يقوّي من احتمال اعتماد الفقهاء عليها</w:t>
      </w:r>
      <w:r w:rsidR="003E5026">
        <w:rPr>
          <w:rFonts w:hint="cs"/>
          <w:rtl/>
        </w:rPr>
        <w:t>،</w:t>
      </w:r>
      <w:r w:rsidRPr="00FC1947">
        <w:rPr>
          <w:rtl/>
        </w:rPr>
        <w:t xml:space="preserve"> فضلاً عن تصريح بعضهم بذلك مما يعني مدركيّة (أو لا أقل ال</w:t>
      </w:r>
      <w:r w:rsidR="003E5026">
        <w:rPr>
          <w:rFonts w:hint="cs"/>
          <w:rtl/>
        </w:rPr>
        <w:t>ا</w:t>
      </w:r>
      <w:r w:rsidRPr="00FC1947">
        <w:rPr>
          <w:rtl/>
        </w:rPr>
        <w:t xml:space="preserve">حتمال) هذا الإجماع وبالتالي سقوطه عن الحجيّة. </w:t>
      </w:r>
    </w:p>
    <w:p w:rsidR="00592460" w:rsidRPr="00FC1947" w:rsidRDefault="00592460" w:rsidP="002649A0">
      <w:pPr>
        <w:pStyle w:val="ac"/>
        <w:rPr>
          <w:rtl/>
        </w:rPr>
      </w:pPr>
      <w:r w:rsidRPr="00FC1947">
        <w:rPr>
          <w:b/>
          <w:bCs/>
          <w:rtl/>
        </w:rPr>
        <w:t>الوجه الثّاني:</w:t>
      </w:r>
      <w:r w:rsidRPr="00FC1947">
        <w:rPr>
          <w:rtl/>
        </w:rPr>
        <w:t xml:space="preserve"> </w:t>
      </w:r>
      <w:r w:rsidR="003E5026">
        <w:rPr>
          <w:rFonts w:hint="cs"/>
          <w:rtl/>
        </w:rPr>
        <w:t>ا</w:t>
      </w:r>
      <w:r w:rsidRPr="00FC1947">
        <w:rPr>
          <w:rtl/>
        </w:rPr>
        <w:t>عتماد أدلّة نفي العسر والحرج من جهة أو نفي الضّرر من جهة أخرى</w:t>
      </w:r>
      <w:r w:rsidR="003E5026">
        <w:rPr>
          <w:rFonts w:hint="cs"/>
          <w:rtl/>
        </w:rPr>
        <w:t>؛</w:t>
      </w:r>
      <w:r w:rsidRPr="00FC1947">
        <w:rPr>
          <w:rtl/>
        </w:rPr>
        <w:t xml:space="preserve"> وذلك أن عدم مقاربة الرجل زوجته مطلقاً موجب لوقوعها في الضّرر</w:t>
      </w:r>
      <w:r w:rsidRPr="00815C4C">
        <w:rPr>
          <w:rFonts w:cs="Taher"/>
          <w:vertAlign w:val="superscript"/>
          <w:rtl/>
        </w:rPr>
        <w:t>(</w:t>
      </w:r>
      <w:r w:rsidRPr="00815C4C">
        <w:rPr>
          <w:rFonts w:cs="Taher"/>
          <w:vertAlign w:val="superscript"/>
          <w:rtl/>
        </w:rPr>
        <w:footnoteReference w:id="719"/>
      </w:r>
      <w:r w:rsidRPr="00815C4C">
        <w:rPr>
          <w:rFonts w:cs="Taher"/>
          <w:vertAlign w:val="superscript"/>
          <w:rtl/>
        </w:rPr>
        <w:t>)</w:t>
      </w:r>
      <w:r w:rsidR="003E5026">
        <w:rPr>
          <w:rFonts w:hint="cs"/>
          <w:rtl/>
        </w:rPr>
        <w:t xml:space="preserve">، </w:t>
      </w:r>
      <w:r w:rsidRPr="00FC1947">
        <w:rPr>
          <w:rtl/>
        </w:rPr>
        <w:t>ولا أقل من الحرج الشّديد، وتبعاً لذلك يتحتم على الرجل مقاربة زوجته مرة كلّ أربعة أشهر رفعاً لهذين العنوانين.</w:t>
      </w:r>
    </w:p>
    <w:p w:rsidR="00592460" w:rsidRPr="003E5026" w:rsidRDefault="00592460" w:rsidP="002649A0">
      <w:pPr>
        <w:pStyle w:val="ac"/>
        <w:spacing w:line="199" w:lineRule="auto"/>
        <w:rPr>
          <w:b/>
          <w:bCs/>
          <w:rtl/>
        </w:rPr>
      </w:pPr>
      <w:r w:rsidRPr="003E5026">
        <w:rPr>
          <w:b/>
          <w:bCs/>
          <w:rtl/>
        </w:rPr>
        <w:t>وهذا الوجه ربما يناقش:</w:t>
      </w:r>
    </w:p>
    <w:p w:rsidR="00592460" w:rsidRPr="00FC1947" w:rsidRDefault="00592460" w:rsidP="003E5026">
      <w:pPr>
        <w:pStyle w:val="ac"/>
        <w:rPr>
          <w:rtl/>
        </w:rPr>
      </w:pPr>
      <w:r w:rsidRPr="00FC1947">
        <w:rPr>
          <w:b/>
          <w:bCs/>
          <w:rtl/>
        </w:rPr>
        <w:t>أولاً:</w:t>
      </w:r>
      <w:r w:rsidRPr="00FC1947">
        <w:rPr>
          <w:rtl/>
        </w:rPr>
        <w:t xml:space="preserve"> بما أفاده السيد الخوئي من أن قاعدة الحرج أو الضّرر </w:t>
      </w:r>
      <w:r w:rsidR="003E5026">
        <w:rPr>
          <w:rFonts w:hint="cs"/>
          <w:rtl/>
        </w:rPr>
        <w:t>إ</w:t>
      </w:r>
      <w:r w:rsidRPr="00FC1947">
        <w:rPr>
          <w:rtl/>
        </w:rPr>
        <w:t xml:space="preserve">نما تدور مدار الحرج أو </w:t>
      </w:r>
      <w:r w:rsidRPr="00FC1947">
        <w:rPr>
          <w:rtl/>
        </w:rPr>
        <w:lastRenderedPageBreak/>
        <w:t>الضّرر الشّخصي لا النّوعي</w:t>
      </w:r>
      <w:r w:rsidR="003E5026">
        <w:rPr>
          <w:rFonts w:hint="cs"/>
          <w:rtl/>
        </w:rPr>
        <w:t>،</w:t>
      </w:r>
      <w:r w:rsidRPr="00FC1947">
        <w:rPr>
          <w:rtl/>
        </w:rPr>
        <w:t xml:space="preserve"> ومعه لا يكون هناك معنى لإبراز تحديد نوعيّ بالأربعة أشهر، إذ قد تقع امرأة في الحرج أو الضّرر من تأخير المقاربة شهراً واحداً وقد لا تقع أخرى فيهما ولو بستّة أشهر، ولازم ذلك إثبات الحكم بطريقة يدور معها مدار صدق هذين العنوانين في الخارج على الشخص نفسه</w:t>
      </w:r>
      <w:r w:rsidR="003E5026">
        <w:rPr>
          <w:rFonts w:hint="cs"/>
          <w:rtl/>
        </w:rPr>
        <w:t>،</w:t>
      </w:r>
      <w:r w:rsidRPr="00FC1947">
        <w:rPr>
          <w:rtl/>
        </w:rPr>
        <w:t xml:space="preserve"> كما هو المعهود والمتداول في التّعامل مع هذا النوع من الأدلة</w:t>
      </w:r>
      <w:r w:rsidRPr="00815C4C">
        <w:rPr>
          <w:rFonts w:cs="Taher"/>
          <w:vertAlign w:val="superscript"/>
          <w:rtl/>
        </w:rPr>
        <w:t>(</w:t>
      </w:r>
      <w:r w:rsidRPr="00815C4C">
        <w:rPr>
          <w:rFonts w:cs="Taher"/>
          <w:vertAlign w:val="superscript"/>
          <w:rtl/>
        </w:rPr>
        <w:footnoteReference w:id="720"/>
      </w:r>
      <w:r w:rsidRPr="00815C4C">
        <w:rPr>
          <w:rFonts w:cs="Taher"/>
          <w:vertAlign w:val="superscript"/>
          <w:rtl/>
        </w:rPr>
        <w:t>)</w:t>
      </w:r>
      <w:r w:rsidRPr="00FC1947">
        <w:rPr>
          <w:rtl/>
        </w:rPr>
        <w:t>.</w:t>
      </w:r>
    </w:p>
    <w:p w:rsidR="00592460" w:rsidRPr="00FC1947" w:rsidRDefault="00592460" w:rsidP="002649A0">
      <w:pPr>
        <w:pStyle w:val="ac"/>
        <w:spacing w:line="197" w:lineRule="auto"/>
        <w:rPr>
          <w:rtl/>
        </w:rPr>
      </w:pPr>
      <w:r w:rsidRPr="00FC1947">
        <w:rPr>
          <w:rtl/>
        </w:rPr>
        <w:t>والذي يحتمل هنا أن صاحب هذا الوجه المستدل به هنا ـ وهو الشيخ النّجفي صاحب الجواهر</w:t>
      </w:r>
      <w:r w:rsidR="003E5026">
        <w:rPr>
          <w:rFonts w:hint="cs"/>
          <w:rtl/>
        </w:rPr>
        <w:t xml:space="preserve"> </w:t>
      </w:r>
      <w:r w:rsidRPr="00FC1947">
        <w:rPr>
          <w:rtl/>
        </w:rPr>
        <w:t xml:space="preserve">ـ ربما اعتمد أو استأنس بما هو مدوّن في مصادر أهل السنّة الحديثيّة من تحديد </w:t>
      </w:r>
      <w:r w:rsidR="003E5026">
        <w:rPr>
          <w:rFonts w:hint="cs"/>
          <w:rtl/>
        </w:rPr>
        <w:t xml:space="preserve">الخليفة </w:t>
      </w:r>
      <w:r w:rsidRPr="00FC1947">
        <w:rPr>
          <w:rtl/>
        </w:rPr>
        <w:t>عمر بن الخطّاب المدة بأربعة أشهر بعد سؤاله النساء عن أكثر ما تصبر المرأة</w:t>
      </w:r>
      <w:r w:rsidRPr="00815C4C">
        <w:rPr>
          <w:rFonts w:cs="Taher"/>
          <w:vertAlign w:val="superscript"/>
          <w:rtl/>
        </w:rPr>
        <w:t>(</w:t>
      </w:r>
      <w:r w:rsidRPr="00815C4C">
        <w:rPr>
          <w:rFonts w:cs="Taher"/>
          <w:vertAlign w:val="superscript"/>
          <w:rtl/>
        </w:rPr>
        <w:footnoteReference w:id="721"/>
      </w:r>
      <w:r w:rsidRPr="00815C4C">
        <w:rPr>
          <w:rFonts w:cs="Taher"/>
          <w:vertAlign w:val="superscript"/>
          <w:rtl/>
        </w:rPr>
        <w:t>)</w:t>
      </w:r>
      <w:r w:rsidR="003E5026" w:rsidRPr="003E5026">
        <w:rPr>
          <w:rFonts w:cs="Taher" w:hint="cs"/>
          <w:rtl/>
        </w:rPr>
        <w:t xml:space="preserve">، </w:t>
      </w:r>
      <w:r w:rsidRPr="00FC1947">
        <w:rPr>
          <w:rtl/>
        </w:rPr>
        <w:t>كما لعلّه اعتمد على استقراء</w:t>
      </w:r>
      <w:r w:rsidR="003E5026">
        <w:rPr>
          <w:rFonts w:hint="cs"/>
          <w:rtl/>
        </w:rPr>
        <w:t>ٍ</w:t>
      </w:r>
      <w:r w:rsidRPr="00FC1947">
        <w:rPr>
          <w:rtl/>
        </w:rPr>
        <w:t xml:space="preserve"> ما أجراه في عصره ولو بطريقة عفويّة أو لاحظه في مدوّنات عصره أو عصور سابقة أعطاه تصوراً نوعياً غالبياً يسمح بوضع ضابط عامّ يرجع إليه.</w:t>
      </w:r>
    </w:p>
    <w:p w:rsidR="00592460" w:rsidRPr="00FC1947" w:rsidRDefault="00592460" w:rsidP="002649A0">
      <w:pPr>
        <w:pStyle w:val="ac"/>
        <w:spacing w:line="202" w:lineRule="auto"/>
        <w:rPr>
          <w:rtl/>
        </w:rPr>
      </w:pPr>
      <w:r w:rsidRPr="00FC1947">
        <w:rPr>
          <w:rtl/>
        </w:rPr>
        <w:t>ومن هنا</w:t>
      </w:r>
      <w:r w:rsidR="003E5026">
        <w:rPr>
          <w:rFonts w:hint="cs"/>
          <w:rtl/>
        </w:rPr>
        <w:t>،</w:t>
      </w:r>
      <w:r w:rsidRPr="00FC1947">
        <w:rPr>
          <w:rtl/>
        </w:rPr>
        <w:t xml:space="preserve"> يمكن أن يعزّز كلام السيد الخوئي بإعادة صياغته</w:t>
      </w:r>
      <w:r w:rsidR="003E5026">
        <w:rPr>
          <w:rFonts w:hint="cs"/>
          <w:rtl/>
        </w:rPr>
        <w:t>،</w:t>
      </w:r>
      <w:r w:rsidRPr="00FC1947">
        <w:rPr>
          <w:rtl/>
        </w:rPr>
        <w:t xml:space="preserve"> وذلك أن وضع ضابطة عامّة في هذا المورد يعد أمراً صعباً حتى لو قبلنا من ناحية كبرويّة بمبنى دوران عناوين الحرج والضّرر في أدلّتهما عليهما كوجود نوعي فضلاً عن الشّخصي</w:t>
      </w:r>
      <w:r w:rsidR="003E5026">
        <w:rPr>
          <w:rFonts w:hint="cs"/>
          <w:rtl/>
        </w:rPr>
        <w:t>؛</w:t>
      </w:r>
      <w:r w:rsidRPr="00FC1947">
        <w:rPr>
          <w:rtl/>
        </w:rPr>
        <w:t xml:space="preserve"> ذلك أن افتراض ضابطة نوعيّة غالبة يتطلّب تجاهل العوامل والمؤثّرات الخارجيّة التي تلعب دوراً بارزاً في رفع التوتّر الجنسي في المجتمع فضلاً عن آحاد الأفراد، فربّ مجتمع في </w:t>
      </w:r>
      <w:r w:rsidRPr="00FC1947">
        <w:rPr>
          <w:rtl/>
        </w:rPr>
        <w:lastRenderedPageBreak/>
        <w:t>عصر واحد ونتيجة وجود وتوفّر مختلف وسائل الإثارة في الصحف أو غيرها من وسائل الإتصال</w:t>
      </w:r>
      <w:r w:rsidR="003E5026">
        <w:rPr>
          <w:rtl/>
        </w:rPr>
        <w:t xml:space="preserve"> كالتلفزيون والكمبيوتر والإنترن</w:t>
      </w:r>
      <w:r w:rsidR="003E5026">
        <w:rPr>
          <w:rFonts w:hint="cs"/>
          <w:rtl/>
        </w:rPr>
        <w:t>ت</w:t>
      </w:r>
      <w:r w:rsidRPr="00FC1947">
        <w:rPr>
          <w:rtl/>
        </w:rPr>
        <w:t xml:space="preserve"> و... فضلاً عن السّفور الفاحش والتدنّي الأخلاقي و.. يكون التوتّر الجنسي فيه عالياً فقد يبلغ أطفاله الحلم باكراً نسبياً</w:t>
      </w:r>
      <w:r w:rsidR="00EE06ED">
        <w:rPr>
          <w:rtl/>
        </w:rPr>
        <w:t>،</w:t>
      </w:r>
      <w:r w:rsidRPr="00FC1947">
        <w:rPr>
          <w:rtl/>
        </w:rPr>
        <w:t xml:space="preserve"> وتلعب المؤثّرات الخارجيّة في إثارة حالة تهييج وتحريك غرائزيّ عامّ في وسطه.. هذا المجتمع لا يمكن </w:t>
      </w:r>
      <w:r w:rsidR="003E5026">
        <w:rPr>
          <w:rFonts w:hint="cs"/>
          <w:rtl/>
        </w:rPr>
        <w:t>مقارنة</w:t>
      </w:r>
      <w:r w:rsidRPr="00FC1947">
        <w:rPr>
          <w:rtl/>
        </w:rPr>
        <w:t xml:space="preserve"> الحالة النفسيّة والغريزيّة فيه للمرأة بمجتمع محافظ قد انعدمت فيه أو تضاءلت فعّالية الكثير من هذه المؤثرات (ومن الضروري هنا الإشارة إلى أنّ هذا المثال الذي ذكرناه ليس مطّرداً</w:t>
      </w:r>
      <w:r w:rsidR="003E5026">
        <w:rPr>
          <w:rFonts w:hint="cs"/>
          <w:rtl/>
        </w:rPr>
        <w:t>؛</w:t>
      </w:r>
      <w:r w:rsidRPr="00FC1947">
        <w:rPr>
          <w:rtl/>
        </w:rPr>
        <w:t xml:space="preserve"> لأن هناك في وسط بعض الباحثين النفسيّين وال</w:t>
      </w:r>
      <w:r w:rsidR="003E5026">
        <w:rPr>
          <w:rFonts w:hint="cs"/>
          <w:rtl/>
        </w:rPr>
        <w:t>ا</w:t>
      </w:r>
      <w:r w:rsidRPr="00FC1947">
        <w:rPr>
          <w:rtl/>
        </w:rPr>
        <w:t>جتماعيين من يملك رؤيةً قد تكون عكسيّة)</w:t>
      </w:r>
      <w:r w:rsidR="003E5026">
        <w:rPr>
          <w:rFonts w:hint="cs"/>
          <w:rtl/>
        </w:rPr>
        <w:t>،</w:t>
      </w:r>
      <w:r w:rsidRPr="00FC1947">
        <w:rPr>
          <w:rtl/>
        </w:rPr>
        <w:t xml:space="preserve"> هذا فضلاً عن أن ال</w:t>
      </w:r>
      <w:r w:rsidR="003E5026">
        <w:rPr>
          <w:rFonts w:hint="cs"/>
          <w:rtl/>
        </w:rPr>
        <w:t>ا</w:t>
      </w:r>
      <w:r w:rsidRPr="00FC1947">
        <w:rPr>
          <w:rtl/>
        </w:rPr>
        <w:t xml:space="preserve">ختلاف الزمنيّ له دور أيضاً في هذا الأمر فما يحدّد اليوم قد لا تتحمّله ظروف وأوضاع الغد أو الأمس.. ومن هنا يصعب وضع ضابطة عامّة في كثير من الأحيان، وهذا ما تؤكّده الدراسات النفسيّة والاجتماعيّة... </w:t>
      </w:r>
    </w:p>
    <w:p w:rsidR="00592460" w:rsidRPr="00FC1947" w:rsidRDefault="00592460" w:rsidP="002649A0">
      <w:pPr>
        <w:pStyle w:val="ac"/>
        <w:spacing w:line="211" w:lineRule="auto"/>
        <w:rPr>
          <w:rtl/>
        </w:rPr>
      </w:pPr>
      <w:r w:rsidRPr="00FC1947">
        <w:rPr>
          <w:rtl/>
        </w:rPr>
        <w:t>وعليه</w:t>
      </w:r>
      <w:r w:rsidR="003E5026">
        <w:rPr>
          <w:rFonts w:hint="cs"/>
          <w:rtl/>
        </w:rPr>
        <w:t>،</w:t>
      </w:r>
      <w:r w:rsidRPr="00FC1947">
        <w:rPr>
          <w:rtl/>
        </w:rPr>
        <w:t xml:space="preserve"> فجعل المدار على عنوان الحرج أو الضّرر فحسب لا يثبت هذه الرؤية الفقهية بشكلها المتداول</w:t>
      </w:r>
      <w:r w:rsidR="003E5026">
        <w:rPr>
          <w:rFonts w:hint="cs"/>
          <w:rtl/>
        </w:rPr>
        <w:t>،</w:t>
      </w:r>
      <w:r w:rsidRPr="00FC1947">
        <w:rPr>
          <w:rtl/>
        </w:rPr>
        <w:t xml:space="preserve"> بيد أنه ينفع في رفع اليد على نحو المبدأ أو القضيّة المهملة</w:t>
      </w:r>
      <w:r w:rsidR="007F75C5">
        <w:rPr>
          <w:rFonts w:hint="cs"/>
          <w:rtl/>
        </w:rPr>
        <w:t xml:space="preserve"> </w:t>
      </w:r>
      <w:r w:rsidRPr="00FC1947">
        <w:rPr>
          <w:rtl/>
        </w:rPr>
        <w:t>ـ</w:t>
      </w:r>
      <w:r w:rsidR="003E5026">
        <w:rPr>
          <w:rFonts w:hint="cs"/>
          <w:rtl/>
        </w:rPr>
        <w:t xml:space="preserve"> </w:t>
      </w:r>
      <w:r w:rsidRPr="00FC1947">
        <w:rPr>
          <w:rtl/>
        </w:rPr>
        <w:t>على الأقل</w:t>
      </w:r>
      <w:r w:rsidR="003E5026">
        <w:rPr>
          <w:rFonts w:hint="cs"/>
          <w:rtl/>
        </w:rPr>
        <w:t xml:space="preserve"> </w:t>
      </w:r>
      <w:r w:rsidRPr="00FC1947">
        <w:rPr>
          <w:rtl/>
        </w:rPr>
        <w:t>ـ عن أصالة البراءة والرّخصة.</w:t>
      </w:r>
    </w:p>
    <w:p w:rsidR="00592460" w:rsidRPr="00FC1947" w:rsidRDefault="00592460" w:rsidP="002649A0">
      <w:pPr>
        <w:pStyle w:val="ac"/>
        <w:spacing w:line="211" w:lineRule="auto"/>
        <w:rPr>
          <w:rtl/>
        </w:rPr>
      </w:pPr>
      <w:r w:rsidRPr="00FC1947">
        <w:rPr>
          <w:b/>
          <w:bCs/>
          <w:rtl/>
        </w:rPr>
        <w:t>ثانياً:</w:t>
      </w:r>
      <w:r w:rsidRPr="00FC1947">
        <w:rPr>
          <w:rtl/>
        </w:rPr>
        <w:t xml:space="preserve"> ما ذكره السيد الخوئي أيضاً من أن قاعدتي نفي الحرج والضرر ترفعان الحكم الثابت ولا تثبتان حكماً على ما هو المقرّر فيهما، وفي مورد بحثنا فقد تمّت ال</w:t>
      </w:r>
      <w:r w:rsidR="003E5026">
        <w:rPr>
          <w:rFonts w:hint="cs"/>
          <w:rtl/>
        </w:rPr>
        <w:t>ا</w:t>
      </w:r>
      <w:r w:rsidRPr="00FC1947">
        <w:rPr>
          <w:rtl/>
        </w:rPr>
        <w:t>ستفادة من القاعدتين لإثبات حق للزوجة و</w:t>
      </w:r>
      <w:r w:rsidR="003E5026">
        <w:rPr>
          <w:rFonts w:hint="cs"/>
          <w:rtl/>
        </w:rPr>
        <w:t>إ</w:t>
      </w:r>
      <w:r w:rsidRPr="00FC1947">
        <w:rPr>
          <w:rtl/>
        </w:rPr>
        <w:t>لزام على الزوج وهو ما لا تشمله القاعدتان</w:t>
      </w:r>
      <w:r w:rsidRPr="00815C4C">
        <w:rPr>
          <w:rFonts w:cs="Taher"/>
          <w:vertAlign w:val="superscript"/>
          <w:rtl/>
        </w:rPr>
        <w:t>(</w:t>
      </w:r>
      <w:r w:rsidRPr="00815C4C">
        <w:rPr>
          <w:rFonts w:cs="Taher"/>
          <w:vertAlign w:val="superscript"/>
          <w:rtl/>
        </w:rPr>
        <w:footnoteReference w:id="722"/>
      </w:r>
      <w:r w:rsidRPr="00815C4C">
        <w:rPr>
          <w:rFonts w:cs="Taher"/>
          <w:vertAlign w:val="superscript"/>
          <w:rtl/>
        </w:rPr>
        <w:t>)</w:t>
      </w:r>
      <w:r w:rsidRPr="00FC1947">
        <w:rPr>
          <w:rtl/>
        </w:rPr>
        <w:t>.</w:t>
      </w:r>
    </w:p>
    <w:p w:rsidR="00592460" w:rsidRPr="00FC1947" w:rsidRDefault="00592460" w:rsidP="002649A0">
      <w:pPr>
        <w:pStyle w:val="ac"/>
        <w:spacing w:line="211" w:lineRule="auto"/>
        <w:rPr>
          <w:rtl/>
        </w:rPr>
      </w:pPr>
      <w:r w:rsidRPr="00FC1947">
        <w:rPr>
          <w:rtl/>
        </w:rPr>
        <w:t>ويلاحظ أن ظاهر القاعدتين وروحهما يستدعيان إثبات الأحكام كما يستدعيان نفيها، فان ظاهر لا ضرر أنه لا حكم ضرري حتى لو كان هذا الحكم ترخيصاً يلزم منه الضرر، والقول بأن الجواز ليس فيه جنبة إلزامية حتى يكون في رفعه منّة على العباد يشهد الذهن العرفي بخلافه في كثير من الموارد</w:t>
      </w:r>
      <w:r w:rsidR="00B83D95">
        <w:rPr>
          <w:rFonts w:hint="cs"/>
          <w:rtl/>
        </w:rPr>
        <w:t>،</w:t>
      </w:r>
      <w:r w:rsidRPr="00FC1947">
        <w:rPr>
          <w:rtl/>
        </w:rPr>
        <w:t xml:space="preserve"> كما في موردنا</w:t>
      </w:r>
      <w:r w:rsidR="00B83D95">
        <w:rPr>
          <w:rFonts w:hint="cs"/>
          <w:rtl/>
        </w:rPr>
        <w:t xml:space="preserve"> </w:t>
      </w:r>
      <w:r w:rsidRPr="00FC1947">
        <w:rPr>
          <w:rtl/>
        </w:rPr>
        <w:t>ـ</w:t>
      </w:r>
      <w:r w:rsidR="00B83D95">
        <w:rPr>
          <w:rFonts w:hint="cs"/>
          <w:rtl/>
        </w:rPr>
        <w:t xml:space="preserve"> </w:t>
      </w:r>
      <w:r w:rsidRPr="00FC1947">
        <w:rPr>
          <w:rtl/>
        </w:rPr>
        <w:t>مع قطع النّظر عن المناقشات الموردية الأخرى</w:t>
      </w:r>
      <w:r w:rsidR="00B83D95">
        <w:rPr>
          <w:rFonts w:hint="cs"/>
          <w:rtl/>
        </w:rPr>
        <w:t xml:space="preserve"> </w:t>
      </w:r>
      <w:r w:rsidRPr="00FC1947">
        <w:rPr>
          <w:rtl/>
        </w:rPr>
        <w:t xml:space="preserve">ـ تماماً كما يرى العرف أن سلب المرأة حق الطّلاق في حال </w:t>
      </w:r>
      <w:r w:rsidRPr="00FC1947">
        <w:rPr>
          <w:rtl/>
        </w:rPr>
        <w:lastRenderedPageBreak/>
        <w:t>الضرر والحرج الشديدين عليها يمثل مخالفة للمقولة الشرعية الحاكمة بعدم حكم ضرري أو حرجي في الإسلام، وعلى أية حال فالمسألة مبنائية تقرأ في علم الأصول، وسوف يأتي هنا ما يرتبط بهذا المحور.</w:t>
      </w:r>
    </w:p>
    <w:p w:rsidR="00592460" w:rsidRPr="00FC1947" w:rsidRDefault="00592460" w:rsidP="00B83D95">
      <w:pPr>
        <w:pStyle w:val="ac"/>
        <w:rPr>
          <w:rFonts w:ascii="Arabic Transparent" w:hAnsi="Arabic Transparent"/>
          <w:rtl/>
        </w:rPr>
      </w:pPr>
      <w:r w:rsidRPr="00FC1947">
        <w:rPr>
          <w:rFonts w:ascii="Arabic Transparent" w:hAnsi="Arabic Transparent"/>
          <w:b/>
          <w:bCs/>
          <w:rtl/>
        </w:rPr>
        <w:t>ثالثاً:</w:t>
      </w:r>
      <w:r w:rsidRPr="00FC1947">
        <w:rPr>
          <w:rFonts w:ascii="Arabic Transparent" w:hAnsi="Arabic Transparent"/>
          <w:rtl/>
        </w:rPr>
        <w:t xml:space="preserve"> إن القاعدتين اذا أثبتتا حكماً فإنما تثبتانه في مورد الشخص الذي كان معرضا</w:t>
      </w:r>
      <w:r w:rsidR="00B83D95">
        <w:rPr>
          <w:rFonts w:ascii="Arabic Transparent" w:hAnsi="Arabic Transparent" w:hint="cs"/>
          <w:rtl/>
        </w:rPr>
        <w:t>ً</w:t>
      </w:r>
      <w:r w:rsidRPr="00FC1947">
        <w:rPr>
          <w:rFonts w:ascii="Arabic Transparent" w:hAnsi="Arabic Transparent"/>
          <w:rtl/>
        </w:rPr>
        <w:t xml:space="preserve"> للحرج والضرر</w:t>
      </w:r>
      <w:r w:rsidR="00B83D95">
        <w:rPr>
          <w:rFonts w:ascii="Arabic Transparent" w:hAnsi="Arabic Transparent" w:hint="cs"/>
          <w:rtl/>
        </w:rPr>
        <w:t>،</w:t>
      </w:r>
      <w:r w:rsidRPr="00FC1947">
        <w:rPr>
          <w:rFonts w:ascii="Arabic Transparent" w:hAnsi="Arabic Transparent"/>
          <w:rtl/>
        </w:rPr>
        <w:t xml:space="preserve"> و</w:t>
      </w:r>
      <w:r w:rsidR="00B83D95">
        <w:rPr>
          <w:rFonts w:ascii="Arabic Transparent" w:hAnsi="Arabic Transparent" w:hint="cs"/>
          <w:rtl/>
        </w:rPr>
        <w:t>إ</w:t>
      </w:r>
      <w:r w:rsidRPr="00FC1947">
        <w:rPr>
          <w:rFonts w:ascii="Arabic Transparent" w:hAnsi="Arabic Transparent"/>
          <w:rtl/>
        </w:rPr>
        <w:t>لا فلا يعقل أن يكون وقوع زيد في الحرج بسبب أمر ما موجباً لثبوت حكم إلزامي على عمرو بدليل نفي الحرج.</w:t>
      </w:r>
    </w:p>
    <w:p w:rsidR="00592460" w:rsidRPr="00FC1947" w:rsidRDefault="00592460" w:rsidP="00B83D95">
      <w:pPr>
        <w:pStyle w:val="ac"/>
        <w:rPr>
          <w:rtl/>
        </w:rPr>
      </w:pPr>
      <w:r w:rsidRPr="00FC1947">
        <w:rPr>
          <w:rtl/>
        </w:rPr>
        <w:t>وقد استخدم السيد الخوئي</w:t>
      </w:r>
      <w:r w:rsidR="00B83D95">
        <w:rPr>
          <w:rFonts w:hint="cs"/>
          <w:rtl/>
        </w:rPr>
        <w:t>&amp;</w:t>
      </w:r>
      <w:r w:rsidRPr="00FC1947">
        <w:rPr>
          <w:rtl/>
        </w:rPr>
        <w:t xml:space="preserve"> هذه الصّيغة في إطار معيّن</w:t>
      </w:r>
      <w:r w:rsidR="00B83D95">
        <w:rPr>
          <w:rFonts w:hint="cs"/>
          <w:rtl/>
        </w:rPr>
        <w:t>،</w:t>
      </w:r>
      <w:r w:rsidRPr="00FC1947">
        <w:rPr>
          <w:rtl/>
        </w:rPr>
        <w:t xml:space="preserve"> حين اعتبر أن لازم تطبيق القاعدتين هو وجوب تزويج اللاّتي يقعن في الحرج أو الضرر وهذا مما لا قائل به</w:t>
      </w:r>
      <w:r w:rsidRPr="00815C4C">
        <w:rPr>
          <w:rFonts w:cs="Taher"/>
          <w:vertAlign w:val="superscript"/>
          <w:rtl/>
        </w:rPr>
        <w:t>(</w:t>
      </w:r>
      <w:r w:rsidRPr="00815C4C">
        <w:rPr>
          <w:rFonts w:cs="Taher"/>
          <w:vertAlign w:val="superscript"/>
          <w:rtl/>
        </w:rPr>
        <w:footnoteReference w:id="723"/>
      </w:r>
      <w:r w:rsidRPr="00815C4C">
        <w:rPr>
          <w:rFonts w:cs="Taher"/>
          <w:vertAlign w:val="superscript"/>
          <w:rtl/>
        </w:rPr>
        <w:t>)</w:t>
      </w:r>
      <w:r w:rsidRPr="00FC1947">
        <w:rPr>
          <w:rtl/>
        </w:rPr>
        <w:t>.</w:t>
      </w:r>
    </w:p>
    <w:p w:rsidR="00592460" w:rsidRPr="00FC1947" w:rsidRDefault="00592460" w:rsidP="002649A0">
      <w:pPr>
        <w:pStyle w:val="ac"/>
        <w:spacing w:line="209" w:lineRule="auto"/>
        <w:rPr>
          <w:rtl/>
        </w:rPr>
      </w:pPr>
      <w:r w:rsidRPr="00FC1947">
        <w:rPr>
          <w:rtl/>
        </w:rPr>
        <w:t>ويناقش بأن الحصيلة المراد استفادتها من القاعدتين هي إثبات الحق</w:t>
      </w:r>
      <w:r w:rsidR="00B83D95">
        <w:rPr>
          <w:rFonts w:hint="cs"/>
          <w:rtl/>
        </w:rPr>
        <w:t>ّ</w:t>
      </w:r>
      <w:r w:rsidRPr="00FC1947">
        <w:rPr>
          <w:rtl/>
        </w:rPr>
        <w:t xml:space="preserve"> للزوجة</w:t>
      </w:r>
      <w:r w:rsidR="00B83D95">
        <w:rPr>
          <w:rFonts w:hint="cs"/>
          <w:rtl/>
        </w:rPr>
        <w:t>؛</w:t>
      </w:r>
      <w:r w:rsidRPr="00FC1947">
        <w:rPr>
          <w:rtl/>
        </w:rPr>
        <w:t xml:space="preserve"> لأن الذي يقع في طرف المواجهة هو حرمانها من هذا الحق، فالذي تستلزمه القاعدتان هو </w:t>
      </w:r>
      <w:r w:rsidR="00B83D95">
        <w:rPr>
          <w:rFonts w:hint="cs"/>
          <w:rtl/>
        </w:rPr>
        <w:t>إ</w:t>
      </w:r>
      <w:r w:rsidRPr="00FC1947">
        <w:rPr>
          <w:rtl/>
        </w:rPr>
        <w:t>عطاؤها هذا الحق، و</w:t>
      </w:r>
      <w:r w:rsidR="00B83D95">
        <w:rPr>
          <w:rFonts w:hint="cs"/>
          <w:rtl/>
        </w:rPr>
        <w:t>إ</w:t>
      </w:r>
      <w:r w:rsidRPr="00FC1947">
        <w:rPr>
          <w:rtl/>
        </w:rPr>
        <w:t>عطاؤها الحق بمقتضى القاعدتين هو إثبات لحكم في نفس المورد الذي عرض عليه الحرج، وهذا لا يمنع من كون ثبوت هذا الحق قد استدعى أحكاماً إلزامية على الطرف الآخر ما دام لا يمكن للشّريعة أن ترفع الحرج الذي وقعت فيه المرأة إلّا بذلك.</w:t>
      </w:r>
    </w:p>
    <w:p w:rsidR="00592460" w:rsidRPr="00FC1947" w:rsidRDefault="00592460" w:rsidP="002649A0">
      <w:pPr>
        <w:pStyle w:val="ac"/>
        <w:spacing w:line="209" w:lineRule="auto"/>
        <w:rPr>
          <w:rtl/>
        </w:rPr>
      </w:pPr>
      <w:r w:rsidRPr="00FC1947">
        <w:rPr>
          <w:rtl/>
        </w:rPr>
        <w:t>والذي يدفعنا إلى اعتبار المسألة مرتبطةً أولياً بموضوع الحق هو أن مقاربة الزوجة ليس حكماً تكليفياً بحتاً بحيث لو تخلّف عنه الرجل يؤثم حتى لو رضيت الزوجة</w:t>
      </w:r>
      <w:r w:rsidR="00B83D95">
        <w:rPr>
          <w:rFonts w:hint="cs"/>
          <w:rtl/>
        </w:rPr>
        <w:t>،</w:t>
      </w:r>
      <w:r w:rsidRPr="00FC1947">
        <w:rPr>
          <w:rtl/>
        </w:rPr>
        <w:t xml:space="preserve"> وإنّما يأتي هذا الإلزام للرجل بتبع الحق الثابت للمرأة</w:t>
      </w:r>
      <w:r w:rsidR="00B83D95">
        <w:rPr>
          <w:rFonts w:hint="cs"/>
          <w:rtl/>
        </w:rPr>
        <w:t xml:space="preserve">، </w:t>
      </w:r>
      <w:r w:rsidRPr="00FC1947">
        <w:rPr>
          <w:rtl/>
        </w:rPr>
        <w:t>فعلينا أولاً أن نجري القاعدة على هذا الحق وفق القواعد.</w:t>
      </w:r>
    </w:p>
    <w:p w:rsidR="00592460" w:rsidRPr="00FC1947" w:rsidRDefault="00B83D95" w:rsidP="00DA0C68">
      <w:pPr>
        <w:pStyle w:val="ac"/>
        <w:rPr>
          <w:rtl/>
        </w:rPr>
      </w:pPr>
      <w:r w:rsidRPr="00B83D95">
        <w:rPr>
          <w:rFonts w:hint="cs"/>
          <w:b/>
          <w:bCs/>
          <w:rtl/>
        </w:rPr>
        <w:t xml:space="preserve">وبعبارة أخرى: </w:t>
      </w:r>
      <w:r w:rsidR="00592460" w:rsidRPr="00FC1947">
        <w:rPr>
          <w:rtl/>
        </w:rPr>
        <w:t xml:space="preserve">إن التأمّل في الشريعة وأحكامها المرتبطة بالزوجيّة فيما يخصّ المرأة يوجب أن ننظر إلى القاعدتين في مورد الزوجية بطريقة مغايرة لنظرتنا إليهما في الموارد الأخرى، وللتوضيح نأخذ المثال التالي: لو وقع فلان من الناس في حرج شديد بسبب </w:t>
      </w:r>
      <w:r w:rsidR="00592460" w:rsidRPr="00FC1947">
        <w:rPr>
          <w:rtl/>
        </w:rPr>
        <w:lastRenderedPageBreak/>
        <w:t>فقره المادي فلا يتصور مثلاً لزوم مساعدته على شخص آخر عملاً بقاعدة نفي الحرج</w:t>
      </w:r>
      <w:r>
        <w:rPr>
          <w:rFonts w:hint="cs"/>
          <w:rtl/>
        </w:rPr>
        <w:t>؛</w:t>
      </w:r>
      <w:r w:rsidR="00592460" w:rsidRPr="00FC1947">
        <w:rPr>
          <w:rtl/>
        </w:rPr>
        <w:t xml:space="preserve"> وذلك لأن الشريعة قد فتحت المجال لرفع حرج الأول منهما بغير الثاني فترجع مبرّرات الحرج إلى أسباب واقعية لا شرعية</w:t>
      </w:r>
      <w:r>
        <w:rPr>
          <w:rFonts w:hint="cs"/>
          <w:rtl/>
        </w:rPr>
        <w:t>،</w:t>
      </w:r>
      <w:r w:rsidR="00592460" w:rsidRPr="00FC1947">
        <w:rPr>
          <w:rtl/>
        </w:rPr>
        <w:t xml:space="preserve"> و</w:t>
      </w:r>
      <w:r>
        <w:rPr>
          <w:rFonts w:hint="cs"/>
          <w:rtl/>
        </w:rPr>
        <w:t>من ثم</w:t>
      </w:r>
      <w:r w:rsidR="00592460" w:rsidRPr="00FC1947">
        <w:rPr>
          <w:rtl/>
        </w:rPr>
        <w:t xml:space="preserve"> لا تشملها قاعدة نفي الحرج لأنها تنفي الحكم الحرجي ـ بمعنى إضافة الشيء إلى معلوله ـ لا مطلق الحرج حتى الذي لا مسؤولية للشّارع بما هو شارع عنه، أما في موردنا فإن رفع الحرج لدى المرأة لا يكون وفق المقرّرات الشرعية إلا بزوجها</w:t>
      </w:r>
      <w:r w:rsidR="00BC36EF">
        <w:rPr>
          <w:rFonts w:hint="cs"/>
          <w:rtl/>
        </w:rPr>
        <w:t>؛</w:t>
      </w:r>
      <w:r w:rsidR="00592460" w:rsidRPr="00FC1947">
        <w:rPr>
          <w:rtl/>
        </w:rPr>
        <w:t xml:space="preserve"> لأن المرأة قادرة على رفع حرجها خارجاً بغير زوجها لولا المنع الشرعي الذي يلزمها هي من جهة ويكون مسؤولاً عن إلزام المجتمع لها من جهة أخرى، وبهذا صحّ أن يقال</w:t>
      </w:r>
      <w:r w:rsidR="00BC36EF">
        <w:rPr>
          <w:rFonts w:hint="cs"/>
          <w:rtl/>
        </w:rPr>
        <w:t>:</w:t>
      </w:r>
      <w:r w:rsidR="00592460" w:rsidRPr="00FC1947">
        <w:rPr>
          <w:rtl/>
        </w:rPr>
        <w:t xml:space="preserve"> إن الشريعة التي حرمت المرأة من رفع حرجها بغير زوجها ينحصر طريق رفعها للحرج بإلزام الزوج بكفايتها ونحوه مع استبعاد أن ترفعه بطريق الرّخصة بالزّنا ونحوه حسبما يعرف من مذاق الشارع ودرجة تشدّده في ذلك، ولا إشكال في ذلك من ناحية القاعدتين، والشاهد على ذلك أنّك لو ألقيت إلى العرف أحكام الزواج المتعلّقة بالمرأة وأطلعته على حالة الحرج التي وقعت فيها</w:t>
      </w:r>
      <w:r w:rsidR="00DA0C68">
        <w:rPr>
          <w:rFonts w:hint="cs"/>
          <w:rtl/>
        </w:rPr>
        <w:t>،</w:t>
      </w:r>
      <w:r w:rsidR="00592460" w:rsidRPr="00FC1947">
        <w:rPr>
          <w:rtl/>
        </w:rPr>
        <w:t xml:space="preserve"> ثم قلت له</w:t>
      </w:r>
      <w:r w:rsidR="00DA0C68">
        <w:rPr>
          <w:rFonts w:hint="cs"/>
          <w:rtl/>
        </w:rPr>
        <w:t>:</w:t>
      </w:r>
      <w:r w:rsidR="00592460" w:rsidRPr="00FC1947">
        <w:rPr>
          <w:rtl/>
        </w:rPr>
        <w:t xml:space="preserve"> إن هذا الدين لا حكم حرجيّ فيه</w:t>
      </w:r>
      <w:r w:rsidR="00DA0C68">
        <w:rPr>
          <w:rFonts w:hint="cs"/>
          <w:rtl/>
        </w:rPr>
        <w:t>،</w:t>
      </w:r>
      <w:r w:rsidR="00592460" w:rsidRPr="00FC1947">
        <w:rPr>
          <w:rtl/>
        </w:rPr>
        <w:t xml:space="preserve"> لقال لك</w:t>
      </w:r>
      <w:r w:rsidR="00DA0C68">
        <w:rPr>
          <w:rFonts w:hint="cs"/>
          <w:rtl/>
        </w:rPr>
        <w:t>:</w:t>
      </w:r>
      <w:r w:rsidR="00592460" w:rsidRPr="00FC1947">
        <w:rPr>
          <w:rtl/>
        </w:rPr>
        <w:t xml:space="preserve"> إن هذا تناقض واضح</w:t>
      </w:r>
      <w:r w:rsidR="00DA0C68">
        <w:rPr>
          <w:rFonts w:hint="cs"/>
          <w:rtl/>
        </w:rPr>
        <w:t>،</w:t>
      </w:r>
      <w:r w:rsidR="00592460" w:rsidRPr="00FC1947">
        <w:rPr>
          <w:rtl/>
        </w:rPr>
        <w:t xml:space="preserve"> إذ كيف لا يوجد حكم حرجي على المرأة هنا والحال أنّنا لم نثبت لها حقاً جنسياً يذكر داخل العلقة الزوجية كما حرمناها تشريعاً من أيّ حق لإشباع رغبتها </w:t>
      </w:r>
      <w:r w:rsidR="00DA0C68">
        <w:rPr>
          <w:rtl/>
        </w:rPr>
        <w:t>الجنسية خارج إطار مؤسّسة الزواج</w:t>
      </w:r>
      <w:r w:rsidR="00DA0C68">
        <w:rPr>
          <w:rFonts w:hint="cs"/>
          <w:rtl/>
        </w:rPr>
        <w:t>؟!</w:t>
      </w:r>
    </w:p>
    <w:p w:rsidR="00592460" w:rsidRPr="00FC1947" w:rsidRDefault="00592460" w:rsidP="00DA0C68">
      <w:pPr>
        <w:pStyle w:val="ac"/>
        <w:rPr>
          <w:rFonts w:ascii="Arabic Transparent" w:hAnsi="Arabic Transparent"/>
          <w:rtl/>
        </w:rPr>
      </w:pPr>
      <w:r w:rsidRPr="00FC1947">
        <w:rPr>
          <w:rFonts w:ascii="Arabic Transparent" w:hAnsi="Arabic Transparent"/>
          <w:rtl/>
        </w:rPr>
        <w:t>ووفق ما تقدم ظهر أنّ هناك مقداراً تثبته أدلّة الحرج</w:t>
      </w:r>
      <w:r w:rsidR="00DA0C68">
        <w:rPr>
          <w:rFonts w:ascii="Arabic Transparent" w:hAnsi="Arabic Transparent" w:hint="cs"/>
          <w:rtl/>
        </w:rPr>
        <w:t>،</w:t>
      </w:r>
      <w:r w:rsidRPr="00FC1947">
        <w:rPr>
          <w:rFonts w:ascii="Arabic Transparent" w:hAnsi="Arabic Transparent"/>
          <w:rtl/>
        </w:rPr>
        <w:t xml:space="preserve"> وهو الحكم بثبوت حق</w:t>
      </w:r>
      <w:r w:rsidR="00DA0C68">
        <w:rPr>
          <w:rFonts w:ascii="Arabic Transparent" w:hAnsi="Arabic Transparent" w:hint="cs"/>
          <w:rtl/>
        </w:rPr>
        <w:t>ّ</w:t>
      </w:r>
      <w:r w:rsidRPr="00FC1947">
        <w:rPr>
          <w:rFonts w:ascii="Arabic Transparent" w:hAnsi="Arabic Transparent"/>
          <w:rtl/>
        </w:rPr>
        <w:t xml:space="preserve"> لها في مورد الحرج الشديد</w:t>
      </w:r>
      <w:r w:rsidR="00DA0C68">
        <w:rPr>
          <w:rFonts w:ascii="Arabic Transparent" w:hAnsi="Arabic Transparent" w:hint="cs"/>
          <w:rtl/>
        </w:rPr>
        <w:t>، ومن ثم</w:t>
      </w:r>
      <w:r w:rsidRPr="00FC1947">
        <w:rPr>
          <w:rFonts w:ascii="Arabic Transparent" w:hAnsi="Arabic Transparent"/>
          <w:rtl/>
        </w:rPr>
        <w:t xml:space="preserve"> يلزم الرّجل بال</w:t>
      </w:r>
      <w:r w:rsidR="00DA0C68">
        <w:rPr>
          <w:rFonts w:ascii="Arabic Transparent" w:hAnsi="Arabic Transparent" w:hint="cs"/>
          <w:rtl/>
        </w:rPr>
        <w:t>ا</w:t>
      </w:r>
      <w:r w:rsidRPr="00FC1947">
        <w:rPr>
          <w:rFonts w:ascii="Arabic Transparent" w:hAnsi="Arabic Transparent"/>
          <w:rtl/>
        </w:rPr>
        <w:t>ستجابة لها حيثما تدّعيه ويحتمل في حقها</w:t>
      </w:r>
      <w:r w:rsidR="00DA0C68">
        <w:rPr>
          <w:rFonts w:ascii="Arabic Transparent" w:hAnsi="Arabic Transparent" w:hint="cs"/>
          <w:rtl/>
        </w:rPr>
        <w:t>،</w:t>
      </w:r>
      <w:r w:rsidRPr="00FC1947">
        <w:rPr>
          <w:rFonts w:ascii="Arabic Transparent" w:hAnsi="Arabic Transparent"/>
          <w:rtl/>
        </w:rPr>
        <w:t xml:space="preserve"> ونحو هذه الموارد.</w:t>
      </w:r>
    </w:p>
    <w:p w:rsidR="00592460" w:rsidRPr="00FC1947" w:rsidRDefault="00592460" w:rsidP="007F75C5">
      <w:pPr>
        <w:pStyle w:val="ac"/>
        <w:rPr>
          <w:rFonts w:ascii="Arabic Transparent" w:hAnsi="Arabic Transparent"/>
          <w:rtl/>
        </w:rPr>
      </w:pPr>
      <w:r w:rsidRPr="00FC1947">
        <w:rPr>
          <w:rFonts w:ascii="Arabic Transparent" w:hAnsi="Arabic Transparent"/>
          <w:b/>
          <w:bCs/>
          <w:rtl/>
        </w:rPr>
        <w:t>الوجه الثّالث:</w:t>
      </w:r>
      <w:r w:rsidRPr="00FC1947">
        <w:rPr>
          <w:rFonts w:ascii="Arabic Transparent" w:hAnsi="Arabic Transparent"/>
          <w:rtl/>
        </w:rPr>
        <w:t xml:space="preserve"> التمسك بأدلة الإيلاء</w:t>
      </w:r>
      <w:r w:rsidR="00DA0C68">
        <w:rPr>
          <w:rFonts w:ascii="Arabic Transparent" w:hAnsi="Arabic Transparent" w:hint="cs"/>
          <w:rtl/>
        </w:rPr>
        <w:t>،</w:t>
      </w:r>
      <w:r w:rsidRPr="00FC1947">
        <w:rPr>
          <w:rFonts w:ascii="Arabic Transparent" w:hAnsi="Arabic Transparent"/>
          <w:rtl/>
        </w:rPr>
        <w:t xml:space="preserve"> وذلك بتقريب أن منح الحريّة للرجل الم</w:t>
      </w:r>
      <w:r w:rsidR="00DA0C68">
        <w:rPr>
          <w:rFonts w:ascii="Arabic Transparent" w:hAnsi="Arabic Transparent" w:hint="cs"/>
          <w:rtl/>
        </w:rPr>
        <w:t>ؤ</w:t>
      </w:r>
      <w:r w:rsidRPr="00FC1947">
        <w:rPr>
          <w:rFonts w:ascii="Arabic Transparent" w:hAnsi="Arabic Transparent"/>
          <w:rtl/>
        </w:rPr>
        <w:t>لي إلى أربعة أشهر شاهد على أنه ليس للمرأة الحق في المواقعة قبل ذلك</w:t>
      </w:r>
      <w:r w:rsidR="00DA0C68">
        <w:rPr>
          <w:rFonts w:ascii="Arabic Transparent" w:hAnsi="Arabic Transparent" w:hint="cs"/>
          <w:rtl/>
        </w:rPr>
        <w:t>،</w:t>
      </w:r>
      <w:r w:rsidRPr="00FC1947">
        <w:rPr>
          <w:rFonts w:ascii="Arabic Transparent" w:hAnsi="Arabic Transparent"/>
          <w:rtl/>
        </w:rPr>
        <w:t xml:space="preserve"> وإلا لزم بطلان يمينه لكونه على أمر محرم أو على الأقل غير راجح أو ما شابه..ويعزّز ذلك بصحيحة عمرو بن أذينة عن بكير بن أعين وبريد بن معاوية عن أبي جعفر وأبي عبد الله</w:t>
      </w:r>
      <w:r w:rsidR="007F75C5">
        <w:rPr>
          <w:rFonts w:ascii="Arabic Transparent" w:hAnsi="Arabic Transparent" w:hint="cs"/>
          <w:rtl/>
        </w:rPr>
        <w:t>‘</w:t>
      </w:r>
      <w:r w:rsidRPr="00FC1947">
        <w:rPr>
          <w:rFonts w:ascii="AGA Arabesque" w:hAnsi="Arabic Transparent"/>
          <w:rtl/>
        </w:rPr>
        <w:t xml:space="preserve"> </w:t>
      </w:r>
      <w:r w:rsidRPr="00FC1947">
        <w:rPr>
          <w:rFonts w:ascii="Arabic Transparent" w:hAnsi="Arabic Transparent"/>
          <w:rtl/>
        </w:rPr>
        <w:t xml:space="preserve">أنهما قالا: </w:t>
      </w:r>
      <w:r w:rsidRPr="00617008">
        <w:rPr>
          <w:rFonts w:hint="cs"/>
          <w:rtl/>
        </w:rPr>
        <w:t>«</w:t>
      </w:r>
      <w:r w:rsidRPr="00FC1947">
        <w:rPr>
          <w:rFonts w:ascii="Arabic Transparent" w:hAnsi="Arabic Transparent"/>
          <w:rtl/>
        </w:rPr>
        <w:t>إذا آلى الرجل أن لا يقرب امرأته فليس لها قول ولا حق في الأربعة أشهر</w:t>
      </w:r>
      <w:r w:rsidR="00DA0C68">
        <w:rPr>
          <w:rFonts w:ascii="Arabic Transparent" w:hAnsi="Arabic Transparent" w:hint="cs"/>
          <w:rtl/>
        </w:rPr>
        <w:t>،</w:t>
      </w:r>
      <w:r w:rsidRPr="00FC1947">
        <w:rPr>
          <w:rFonts w:ascii="Arabic Transparent" w:hAnsi="Arabic Transparent"/>
          <w:rtl/>
        </w:rPr>
        <w:t xml:space="preserve"> ولا </w:t>
      </w:r>
      <w:r w:rsidRPr="00FC1947">
        <w:rPr>
          <w:rFonts w:ascii="Arabic Transparent" w:hAnsi="Arabic Transparent"/>
          <w:rtl/>
        </w:rPr>
        <w:lastRenderedPageBreak/>
        <w:t>إثم عليه من كفه عنها في الأربعة أشهر..</w:t>
      </w:r>
      <w:r w:rsidRPr="00617008">
        <w:rPr>
          <w:rFonts w:hint="cs"/>
          <w:rtl/>
        </w:rPr>
        <w:t>»</w:t>
      </w:r>
      <w:r w:rsidRPr="00815C4C">
        <w:rPr>
          <w:rFonts w:cs="Taher"/>
          <w:vertAlign w:val="superscript"/>
          <w:rtl/>
        </w:rPr>
        <w:t>(</w:t>
      </w:r>
      <w:r w:rsidRPr="00815C4C">
        <w:rPr>
          <w:rFonts w:cs="Taher"/>
          <w:vertAlign w:val="superscript"/>
          <w:rtl/>
        </w:rPr>
        <w:footnoteReference w:id="724"/>
      </w:r>
      <w:r w:rsidRPr="00815C4C">
        <w:rPr>
          <w:rFonts w:cs="Taher"/>
          <w:vertAlign w:val="superscript"/>
          <w:rtl/>
        </w:rPr>
        <w:t>)</w:t>
      </w:r>
      <w:r w:rsidRPr="00FC1947">
        <w:rPr>
          <w:rFonts w:ascii="Arabic Transparent" w:hAnsi="Arabic Transparent"/>
          <w:rtl/>
        </w:rPr>
        <w:t>.</w:t>
      </w:r>
    </w:p>
    <w:p w:rsidR="00592460" w:rsidRPr="00FC1947" w:rsidRDefault="00592460" w:rsidP="00DA0C68">
      <w:pPr>
        <w:pStyle w:val="ac"/>
        <w:rPr>
          <w:rFonts w:ascii="Arabic Transparent" w:hAnsi="Arabic Transparent"/>
          <w:rtl/>
        </w:rPr>
      </w:pPr>
      <w:r w:rsidRPr="00DA0C68">
        <w:rPr>
          <w:rFonts w:ascii="Arabic Transparent" w:hAnsi="Arabic Transparent"/>
          <w:b/>
          <w:bCs/>
          <w:rtl/>
        </w:rPr>
        <w:t>ويناقش أولاً:</w:t>
      </w:r>
      <w:r w:rsidRPr="00FC1947">
        <w:rPr>
          <w:rFonts w:ascii="Arabic Transparent" w:hAnsi="Arabic Transparent"/>
          <w:rtl/>
        </w:rPr>
        <w:t xml:space="preserve"> إن الإيلاء وحق الزوجة الجنسي فكرتان متغايرتان</w:t>
      </w:r>
      <w:r w:rsidR="00DA0C68">
        <w:rPr>
          <w:rFonts w:ascii="Arabic Transparent" w:hAnsi="Arabic Transparent" w:hint="cs"/>
          <w:rtl/>
        </w:rPr>
        <w:t>،</w:t>
      </w:r>
      <w:r w:rsidRPr="00FC1947">
        <w:rPr>
          <w:rFonts w:ascii="Arabic Transparent" w:hAnsi="Arabic Transparent"/>
          <w:rtl/>
        </w:rPr>
        <w:t xml:space="preserve"> لأن الأول حكم تعبّدي ثبت في محلّه الخاص فلا يمكن التعدّي عنه إلى غيره، ويعزّزه أن الأربعة أشهر في الإيلاء إنّما تكون من حين المرافعة لا وقت الحلف</w:t>
      </w:r>
      <w:r w:rsidR="00DA0C68">
        <w:rPr>
          <w:rFonts w:ascii="Arabic Transparent" w:hAnsi="Arabic Transparent" w:hint="cs"/>
          <w:rtl/>
        </w:rPr>
        <w:t>،</w:t>
      </w:r>
      <w:r w:rsidRPr="00FC1947">
        <w:rPr>
          <w:rFonts w:ascii="Arabic Transparent" w:hAnsi="Arabic Transparent"/>
          <w:rtl/>
        </w:rPr>
        <w:t xml:space="preserve"> وهذا ما ذكره السيّد الخوئي</w:t>
      </w:r>
      <w:r w:rsidR="007F75C5" w:rsidRPr="00815C4C">
        <w:rPr>
          <w:rFonts w:cs="Taher"/>
          <w:vertAlign w:val="superscript"/>
          <w:rtl/>
        </w:rPr>
        <w:t>(</w:t>
      </w:r>
      <w:r w:rsidR="007F75C5" w:rsidRPr="00815C4C">
        <w:rPr>
          <w:rFonts w:cs="Taher"/>
          <w:vertAlign w:val="superscript"/>
          <w:rtl/>
        </w:rPr>
        <w:footnoteReference w:id="725"/>
      </w:r>
      <w:r w:rsidR="007F75C5" w:rsidRPr="00815C4C">
        <w:rPr>
          <w:rFonts w:cs="Taher"/>
          <w:vertAlign w:val="superscript"/>
          <w:rtl/>
        </w:rPr>
        <w:t>)</w:t>
      </w:r>
      <w:r w:rsidRPr="00FC1947">
        <w:rPr>
          <w:rFonts w:ascii="Arabic Transparent" w:hAnsi="Arabic Transparent"/>
          <w:rtl/>
        </w:rPr>
        <w:t>.</w:t>
      </w:r>
    </w:p>
    <w:p w:rsidR="00592460" w:rsidRPr="00FC1947" w:rsidRDefault="00592460" w:rsidP="00DA0C68">
      <w:pPr>
        <w:pStyle w:val="ac"/>
        <w:rPr>
          <w:rFonts w:ascii="Arabic Transparent" w:hAnsi="Arabic Transparent"/>
          <w:rtl/>
        </w:rPr>
      </w:pPr>
      <w:r w:rsidRPr="00FC1947">
        <w:rPr>
          <w:rFonts w:ascii="Arabic Transparent" w:hAnsi="Arabic Transparent"/>
          <w:rtl/>
        </w:rPr>
        <w:t>وبصيغة أخرى ذكرها بعض المعاصرين أنّ مسألة الإيلاء ترجع إلى أنه كان يمثل في العرف الجاهلي شكلاً من أشكال الطّلاق، فالشريعة أنظرت الم</w:t>
      </w:r>
      <w:r w:rsidR="00DA0C68">
        <w:rPr>
          <w:rFonts w:ascii="Arabic Transparent" w:hAnsi="Arabic Transparent" w:hint="cs"/>
          <w:rtl/>
        </w:rPr>
        <w:t>ؤ</w:t>
      </w:r>
      <w:r w:rsidRPr="00FC1947">
        <w:rPr>
          <w:rFonts w:ascii="Arabic Transparent" w:hAnsi="Arabic Transparent"/>
          <w:rtl/>
        </w:rPr>
        <w:t>لي إلى أربعة أشهر ورتّبت عليه أحكاماً، وأين هذا مما نحن فيه مما لا علاقة له بذلك الموضوع الخاص في مورده</w:t>
      </w:r>
      <w:r w:rsidRPr="00815C4C">
        <w:rPr>
          <w:rFonts w:cs="Taher"/>
          <w:vertAlign w:val="superscript"/>
          <w:rtl/>
        </w:rPr>
        <w:t>(</w:t>
      </w:r>
      <w:r w:rsidRPr="00815C4C">
        <w:rPr>
          <w:rFonts w:cs="Taher"/>
          <w:vertAlign w:val="superscript"/>
          <w:rtl/>
        </w:rPr>
        <w:footnoteReference w:id="726"/>
      </w:r>
      <w:r w:rsidRPr="00815C4C">
        <w:rPr>
          <w:rFonts w:cs="Taher"/>
          <w:vertAlign w:val="superscript"/>
          <w:rtl/>
        </w:rPr>
        <w:t>)</w:t>
      </w:r>
      <w:r w:rsidRPr="00FC1947">
        <w:rPr>
          <w:rFonts w:ascii="Arabic Transparent" w:hAnsi="Arabic Transparent"/>
          <w:rtl/>
        </w:rPr>
        <w:t>.</w:t>
      </w:r>
    </w:p>
    <w:p w:rsidR="00592460" w:rsidRPr="00FC1947" w:rsidRDefault="00592460" w:rsidP="007F75C5">
      <w:pPr>
        <w:pStyle w:val="ac"/>
        <w:rPr>
          <w:rFonts w:ascii="Arabic Transparent" w:hAnsi="Arabic Transparent"/>
          <w:rtl/>
        </w:rPr>
      </w:pPr>
      <w:r w:rsidRPr="00FC1947">
        <w:rPr>
          <w:rFonts w:ascii="Arabic Transparent" w:hAnsi="Arabic Transparent"/>
          <w:b/>
          <w:bCs/>
          <w:rtl/>
        </w:rPr>
        <w:t>ثانياً:</w:t>
      </w:r>
      <w:r w:rsidRPr="00FC1947">
        <w:rPr>
          <w:rFonts w:ascii="Arabic Transparent" w:hAnsi="Arabic Transparent"/>
          <w:rtl/>
        </w:rPr>
        <w:t xml:space="preserve"> إن مقتضى أدلّة الإيلاء على </w:t>
      </w:r>
      <w:r w:rsidR="00DA0C68">
        <w:rPr>
          <w:rFonts w:ascii="Arabic Transparent" w:hAnsi="Arabic Transparent" w:hint="cs"/>
          <w:rtl/>
        </w:rPr>
        <w:t>أ</w:t>
      </w:r>
      <w:r w:rsidRPr="00FC1947">
        <w:rPr>
          <w:rFonts w:ascii="Arabic Transparent" w:hAnsi="Arabic Transparent"/>
          <w:rtl/>
        </w:rPr>
        <w:t>قصى تقدير هو جريان أحكامه بعد الحلف على أقرب تقدير</w:t>
      </w:r>
      <w:r w:rsidR="00DA0C68">
        <w:rPr>
          <w:rFonts w:ascii="Arabic Transparent" w:hAnsi="Arabic Transparent" w:hint="cs"/>
          <w:rtl/>
        </w:rPr>
        <w:t>،</w:t>
      </w:r>
      <w:r w:rsidRPr="00FC1947">
        <w:rPr>
          <w:rFonts w:ascii="Arabic Transparent" w:hAnsi="Arabic Transparent"/>
          <w:rtl/>
        </w:rPr>
        <w:t xml:space="preserve"> وهو زمان قد يكون مفصولاً عن آخر وقاع شهراً أو أكثر بقليل أو كثير أو أقل كذلك، ومعه فتكون مدّة المجامعة المرخّص بها أزيد من خمسة أشهر، وهو مقطوع البطلان عندهم</w:t>
      </w:r>
      <w:r w:rsidR="00DA0C68">
        <w:rPr>
          <w:rFonts w:ascii="Arabic Transparent" w:hAnsi="Arabic Transparent" w:hint="cs"/>
          <w:rtl/>
        </w:rPr>
        <w:t>،</w:t>
      </w:r>
      <w:r w:rsidRPr="00FC1947">
        <w:rPr>
          <w:rFonts w:ascii="Arabic Transparent" w:hAnsi="Arabic Transparent"/>
          <w:rtl/>
        </w:rPr>
        <w:t xml:space="preserve"> فهذا الدليل لا يفيد في إثبات النظرية المعروفة.</w:t>
      </w:r>
    </w:p>
    <w:p w:rsidR="00DA0C68" w:rsidRDefault="00DA0C68" w:rsidP="007F75C5">
      <w:pPr>
        <w:pStyle w:val="ac"/>
        <w:rPr>
          <w:rtl/>
        </w:rPr>
      </w:pPr>
      <w:r>
        <w:rPr>
          <w:rFonts w:hint="cs"/>
          <w:rtl/>
        </w:rPr>
        <w:t xml:space="preserve">غير أنّه بعيداً عن مسألة القفز عن فكرة الإيلاء إلى فكرة الحق الجنسي والتي يجاب عنها بما تقدم، إلّا أنّه قد يستوحى من مفهوم صحيحة عمر ابن </w:t>
      </w:r>
      <w:r w:rsidR="007F75C5">
        <w:rPr>
          <w:rFonts w:hint="cs"/>
          <w:rtl/>
        </w:rPr>
        <w:t>أذ</w:t>
      </w:r>
      <w:r>
        <w:rPr>
          <w:rFonts w:hint="cs"/>
          <w:rtl/>
        </w:rPr>
        <w:t xml:space="preserve">ينة أنّ الرجل إذا لم يوقع إيلاء فللمرأة حق عليه في الأربعة أشهر، وهو ما قد يعزز فكرة التحديد الزماني من خلال </w:t>
      </w:r>
      <w:r w:rsidR="007F75C5">
        <w:rPr>
          <w:rFonts w:hint="cs"/>
          <w:rtl/>
        </w:rPr>
        <w:t>إ</w:t>
      </w:r>
      <w:r>
        <w:rPr>
          <w:rFonts w:hint="cs"/>
          <w:rtl/>
        </w:rPr>
        <w:t>دخال عنصر الأشهر الأربعة.</w:t>
      </w:r>
    </w:p>
    <w:p w:rsidR="00DA0C68" w:rsidRDefault="00DA0C68" w:rsidP="007F75C5">
      <w:pPr>
        <w:pStyle w:val="ac"/>
        <w:rPr>
          <w:rtl/>
        </w:rPr>
      </w:pPr>
      <w:r>
        <w:rPr>
          <w:rFonts w:hint="cs"/>
          <w:rtl/>
        </w:rPr>
        <w:t>إلّا أنّ هذا الاستيحاء من مفهوم الرواية غير واضح</w:t>
      </w:r>
      <w:r w:rsidR="007F75C5">
        <w:rPr>
          <w:rFonts w:hint="cs"/>
          <w:rtl/>
        </w:rPr>
        <w:t>؛</w:t>
      </w:r>
      <w:r>
        <w:rPr>
          <w:rFonts w:hint="cs"/>
          <w:rtl/>
        </w:rPr>
        <w:t xml:space="preserve"> لأن أقصاه ثبوت حقّ لها في الأربعة أشهر من دون تحديده أو فقل</w:t>
      </w:r>
      <w:r w:rsidR="007F75C5">
        <w:rPr>
          <w:rFonts w:hint="cs"/>
          <w:rtl/>
        </w:rPr>
        <w:t>:</w:t>
      </w:r>
      <w:r>
        <w:rPr>
          <w:rFonts w:hint="cs"/>
          <w:rtl/>
        </w:rPr>
        <w:t xml:space="preserve"> هي ليست في مقام بيان هذا الحق، فقد يكون مرة واحدة وقد يكون أكثر ومعه فلا تتم فكرة التحديد الزماني، وأمّا أخذ عنصر الأربعة أشهر فإنّما هو لخصوصية الإيلاء الذي فيه مثل هذا العنصر ولا يفيد دخالة </w:t>
      </w:r>
      <w:r>
        <w:rPr>
          <w:rFonts w:hint="cs"/>
          <w:rtl/>
        </w:rPr>
        <w:lastRenderedPageBreak/>
        <w:t>عنصر من هذا القبيل في الحق الجنسي.</w:t>
      </w:r>
    </w:p>
    <w:p w:rsidR="00592460" w:rsidRPr="00FC1947" w:rsidRDefault="00592460" w:rsidP="00592460">
      <w:pPr>
        <w:pStyle w:val="ac"/>
        <w:rPr>
          <w:rtl/>
        </w:rPr>
      </w:pPr>
      <w:r w:rsidRPr="00FC1947">
        <w:rPr>
          <w:b/>
          <w:bCs/>
          <w:rtl/>
        </w:rPr>
        <w:t>الوجه الرّابع:</w:t>
      </w:r>
      <w:r w:rsidRPr="00FC1947">
        <w:rPr>
          <w:rtl/>
        </w:rPr>
        <w:t xml:space="preserve"> وهو مجموعة روايات قد تطلّ على الموقف هنا بصورة مباشرة وهي:</w:t>
      </w:r>
    </w:p>
    <w:p w:rsidR="00592460" w:rsidRPr="00FC1947" w:rsidRDefault="00592460" w:rsidP="008547ED">
      <w:pPr>
        <w:pStyle w:val="ac"/>
        <w:rPr>
          <w:rtl/>
        </w:rPr>
      </w:pPr>
      <w:r w:rsidRPr="008547ED">
        <w:rPr>
          <w:b/>
          <w:bCs/>
          <w:rtl/>
        </w:rPr>
        <w:t>الرواية الأولى:</w:t>
      </w:r>
      <w:r w:rsidRPr="00FC1947">
        <w:rPr>
          <w:rtl/>
        </w:rPr>
        <w:t xml:space="preserve"> ما رواه الشيخ الكليني عن الصّادق</w:t>
      </w:r>
      <w:r w:rsidR="008547ED">
        <w:rPr>
          <w:rFonts w:hint="cs"/>
          <w:rtl/>
        </w:rPr>
        <w:t>×</w:t>
      </w:r>
      <w:r w:rsidRPr="00FC1947">
        <w:rPr>
          <w:rtl/>
        </w:rPr>
        <w:t xml:space="preserve"> قال: </w:t>
      </w:r>
      <w:r>
        <w:rPr>
          <w:rFonts w:hint="cs"/>
          <w:rtl/>
        </w:rPr>
        <w:t>«</w:t>
      </w:r>
      <w:r w:rsidRPr="00FC1947">
        <w:rPr>
          <w:rtl/>
        </w:rPr>
        <w:t>من جمع من النساء ما لا ينكح فزنا منهنّ شيء فالإثم عليه</w:t>
      </w:r>
      <w:r>
        <w:rPr>
          <w:rFonts w:hint="cs"/>
          <w:rtl/>
        </w:rPr>
        <w:t>»</w:t>
      </w:r>
      <w:r w:rsidRPr="00815C4C">
        <w:rPr>
          <w:rFonts w:cs="Taher"/>
          <w:vertAlign w:val="superscript"/>
          <w:rtl/>
        </w:rPr>
        <w:t>(</w:t>
      </w:r>
      <w:r w:rsidRPr="00815C4C">
        <w:rPr>
          <w:rFonts w:cs="Taher"/>
          <w:vertAlign w:val="superscript"/>
          <w:rtl/>
        </w:rPr>
        <w:footnoteReference w:id="727"/>
      </w:r>
      <w:r w:rsidRPr="00815C4C">
        <w:rPr>
          <w:rFonts w:cs="Taher"/>
          <w:vertAlign w:val="superscript"/>
          <w:rtl/>
        </w:rPr>
        <w:t>)</w:t>
      </w:r>
      <w:r w:rsidRPr="00FC1947">
        <w:rPr>
          <w:rtl/>
        </w:rPr>
        <w:t>.</w:t>
      </w:r>
    </w:p>
    <w:p w:rsidR="00592460" w:rsidRPr="008547ED" w:rsidRDefault="00592460" w:rsidP="00592460">
      <w:pPr>
        <w:pStyle w:val="ac"/>
        <w:rPr>
          <w:b/>
          <w:bCs/>
          <w:rtl/>
        </w:rPr>
      </w:pPr>
      <w:r w:rsidRPr="008547ED">
        <w:rPr>
          <w:b/>
          <w:bCs/>
          <w:rtl/>
        </w:rPr>
        <w:t>وهذه الرّواية قابلة للمناقشة:</w:t>
      </w:r>
    </w:p>
    <w:p w:rsidR="00592460" w:rsidRPr="00FC1947" w:rsidRDefault="00592460" w:rsidP="002649A0">
      <w:pPr>
        <w:pStyle w:val="ac"/>
        <w:spacing w:line="199" w:lineRule="auto"/>
        <w:rPr>
          <w:rtl/>
        </w:rPr>
      </w:pPr>
      <w:r w:rsidRPr="00FC1947">
        <w:rPr>
          <w:b/>
          <w:bCs/>
          <w:rtl/>
        </w:rPr>
        <w:t>أولاً:</w:t>
      </w:r>
      <w:r w:rsidRPr="00FC1947">
        <w:rPr>
          <w:rtl/>
        </w:rPr>
        <w:t xml:space="preserve"> الضعف السّندي بالإرسال</w:t>
      </w:r>
      <w:r w:rsidR="008547ED">
        <w:rPr>
          <w:rFonts w:hint="cs"/>
          <w:rtl/>
        </w:rPr>
        <w:t>؛</w:t>
      </w:r>
      <w:r w:rsidRPr="00FC1947">
        <w:rPr>
          <w:rtl/>
        </w:rPr>
        <w:t xml:space="preserve"> فإن محمد بن جعفر أو جعفر بن محمد رواها عن بعض رجاله عن الصادق</w:t>
      </w:r>
      <w:r w:rsidR="00EE06ED">
        <w:rPr>
          <w:rFonts w:hint="cs"/>
          <w:rtl/>
        </w:rPr>
        <w:t>×</w:t>
      </w:r>
      <w:r w:rsidRPr="00FC1947">
        <w:rPr>
          <w:rFonts w:ascii="AGA Arabesque"/>
          <w:rtl/>
        </w:rPr>
        <w:t xml:space="preserve"> </w:t>
      </w:r>
      <w:r w:rsidRPr="00FC1947">
        <w:rPr>
          <w:rtl/>
        </w:rPr>
        <w:t xml:space="preserve"> فلا يبنى عليها حكم شرعي.</w:t>
      </w:r>
    </w:p>
    <w:p w:rsidR="00592460" w:rsidRPr="00FC1947" w:rsidRDefault="00592460" w:rsidP="002649A0">
      <w:pPr>
        <w:pStyle w:val="ac"/>
        <w:spacing w:line="199" w:lineRule="auto"/>
        <w:rPr>
          <w:rtl/>
        </w:rPr>
      </w:pPr>
      <w:r w:rsidRPr="00FC1947">
        <w:rPr>
          <w:b/>
          <w:bCs/>
          <w:rtl/>
        </w:rPr>
        <w:t>ثانياً:</w:t>
      </w:r>
      <w:r w:rsidRPr="00FC1947">
        <w:rPr>
          <w:rtl/>
        </w:rPr>
        <w:t xml:space="preserve"> إنها تثبت الإثم على الزوج في المورد الذي يفضي فيه عدم المقاربة إلى وقوع الزوجة في الحرام</w:t>
      </w:r>
      <w:r w:rsidR="008547ED">
        <w:rPr>
          <w:rFonts w:hint="cs"/>
          <w:rtl/>
        </w:rPr>
        <w:t>،</w:t>
      </w:r>
      <w:r w:rsidRPr="00FC1947">
        <w:rPr>
          <w:rtl/>
        </w:rPr>
        <w:t xml:space="preserve"> وهو أخصّ من المدعى</w:t>
      </w:r>
      <w:r w:rsidR="008547ED">
        <w:rPr>
          <w:rFonts w:hint="cs"/>
          <w:rtl/>
        </w:rPr>
        <w:t>؛</w:t>
      </w:r>
      <w:r w:rsidRPr="00FC1947">
        <w:rPr>
          <w:rtl/>
        </w:rPr>
        <w:t xml:space="preserve"> لأن من الممكن أن لا تقع الزوجة في الزنا لتديّنها أو غيره، </w:t>
      </w:r>
      <w:r w:rsidR="008547ED">
        <w:rPr>
          <w:rFonts w:hint="cs"/>
          <w:rtl/>
        </w:rPr>
        <w:t>ومن ثم</w:t>
      </w:r>
      <w:r w:rsidRPr="00FC1947">
        <w:rPr>
          <w:rtl/>
        </w:rPr>
        <w:t xml:space="preserve"> ففي هذه الحالة لا يطالب الزوج بمقاربتها أصلاً سواء بلغت الأشهر الأربعة أ</w:t>
      </w:r>
      <w:r w:rsidR="008547ED">
        <w:rPr>
          <w:rFonts w:hint="cs"/>
          <w:rtl/>
        </w:rPr>
        <w:t>م</w:t>
      </w:r>
      <w:r w:rsidRPr="00FC1947">
        <w:rPr>
          <w:rtl/>
        </w:rPr>
        <w:t xml:space="preserve"> أكثر.</w:t>
      </w:r>
    </w:p>
    <w:p w:rsidR="00592460" w:rsidRPr="00FC1947" w:rsidRDefault="00592460" w:rsidP="002649A0">
      <w:pPr>
        <w:pStyle w:val="ac"/>
        <w:spacing w:line="199" w:lineRule="auto"/>
        <w:rPr>
          <w:rtl/>
        </w:rPr>
      </w:pPr>
      <w:r w:rsidRPr="00FC1947">
        <w:rPr>
          <w:b/>
          <w:bCs/>
          <w:rtl/>
        </w:rPr>
        <w:t>ثالثاً:</w:t>
      </w:r>
      <w:r w:rsidRPr="00FC1947">
        <w:rPr>
          <w:rtl/>
        </w:rPr>
        <w:t xml:space="preserve"> ما أفاده السيد الخوئي من ظهورها في التزوّج من المرأة بحيث لا يقربها أبداً</w:t>
      </w:r>
      <w:r w:rsidR="008547ED">
        <w:rPr>
          <w:rFonts w:hint="cs"/>
          <w:rtl/>
        </w:rPr>
        <w:t>،</w:t>
      </w:r>
      <w:r w:rsidRPr="00FC1947">
        <w:rPr>
          <w:rtl/>
        </w:rPr>
        <w:t xml:space="preserve"> لا أنه يقربها لمدّة محدودة</w:t>
      </w:r>
      <w:r w:rsidR="008547ED">
        <w:rPr>
          <w:rFonts w:hint="cs"/>
          <w:rtl/>
        </w:rPr>
        <w:t>،</w:t>
      </w:r>
      <w:r w:rsidRPr="00FC1947">
        <w:rPr>
          <w:rtl/>
        </w:rPr>
        <w:t xml:space="preserve"> وبالتالي فتكون الرواية أجنبية عن موردنا</w:t>
      </w:r>
      <w:r w:rsidRPr="00815C4C">
        <w:rPr>
          <w:rFonts w:cs="Taher"/>
          <w:vertAlign w:val="superscript"/>
          <w:rtl/>
        </w:rPr>
        <w:t>(</w:t>
      </w:r>
      <w:r w:rsidRPr="00815C4C">
        <w:rPr>
          <w:rFonts w:cs="Taher"/>
          <w:vertAlign w:val="superscript"/>
          <w:rtl/>
        </w:rPr>
        <w:footnoteReference w:id="728"/>
      </w:r>
      <w:r w:rsidRPr="00815C4C">
        <w:rPr>
          <w:rFonts w:cs="Taher"/>
          <w:vertAlign w:val="superscript"/>
          <w:rtl/>
        </w:rPr>
        <w:t>)</w:t>
      </w:r>
      <w:r w:rsidRPr="00FC1947">
        <w:rPr>
          <w:rtl/>
        </w:rPr>
        <w:t>.</w:t>
      </w:r>
    </w:p>
    <w:p w:rsidR="00592460" w:rsidRPr="00FC1947" w:rsidRDefault="00592460" w:rsidP="002649A0">
      <w:pPr>
        <w:pStyle w:val="ac"/>
        <w:spacing w:line="199" w:lineRule="auto"/>
        <w:rPr>
          <w:rtl/>
        </w:rPr>
      </w:pPr>
      <w:r w:rsidRPr="00FC1947">
        <w:rPr>
          <w:b/>
          <w:bCs/>
          <w:rtl/>
        </w:rPr>
        <w:t>الرواية الثانية:</w:t>
      </w:r>
      <w:r w:rsidRPr="00FC1947">
        <w:rPr>
          <w:rtl/>
        </w:rPr>
        <w:t xml:space="preserve"> صحيحة حفص بن البختري عن أبي عبد الله</w:t>
      </w:r>
      <w:r w:rsidR="00EE06ED">
        <w:rPr>
          <w:rFonts w:hint="cs"/>
          <w:rtl/>
        </w:rPr>
        <w:t>×</w:t>
      </w:r>
      <w:r w:rsidRPr="00FC1947">
        <w:rPr>
          <w:rFonts w:ascii="AGA Arabesque"/>
          <w:rtl/>
        </w:rPr>
        <w:t xml:space="preserve"> </w:t>
      </w:r>
      <w:r w:rsidRPr="00FC1947">
        <w:rPr>
          <w:rtl/>
        </w:rPr>
        <w:t xml:space="preserve"> قال:</w:t>
      </w:r>
      <w:r>
        <w:rPr>
          <w:rFonts w:hint="cs"/>
          <w:rtl/>
        </w:rPr>
        <w:t xml:space="preserve"> </w:t>
      </w:r>
      <w:r>
        <w:rPr>
          <w:rFonts w:hint="eastAsia"/>
          <w:rtl/>
        </w:rPr>
        <w:t>«</w:t>
      </w:r>
      <w:r w:rsidRPr="00FC1947">
        <w:rPr>
          <w:rtl/>
        </w:rPr>
        <w:t>إذا غاضب الرجل امرأته فلم يقربها من غير يمين أربعة أشهر استعدت عليه، فإمّا أن يفيء وإمّا أن يطلّق فإن تركها من غير مغاضبة أو يمين فليس بمؤول</w:t>
      </w:r>
      <w:r>
        <w:rPr>
          <w:rFonts w:hint="cs"/>
          <w:rtl/>
        </w:rPr>
        <w:t>»</w:t>
      </w:r>
      <w:r w:rsidRPr="00815C4C">
        <w:rPr>
          <w:rFonts w:cs="Taher"/>
          <w:vertAlign w:val="superscript"/>
          <w:rtl/>
        </w:rPr>
        <w:t>(</w:t>
      </w:r>
      <w:r w:rsidRPr="00815C4C">
        <w:rPr>
          <w:rFonts w:cs="Taher"/>
          <w:vertAlign w:val="superscript"/>
          <w:rtl/>
        </w:rPr>
        <w:footnoteReference w:id="729"/>
      </w:r>
      <w:r w:rsidRPr="00815C4C">
        <w:rPr>
          <w:rFonts w:cs="Taher"/>
          <w:vertAlign w:val="superscript"/>
          <w:rtl/>
        </w:rPr>
        <w:t>)</w:t>
      </w:r>
      <w:r w:rsidRPr="00FC1947">
        <w:rPr>
          <w:rtl/>
        </w:rPr>
        <w:t>.</w:t>
      </w:r>
    </w:p>
    <w:p w:rsidR="00592460" w:rsidRPr="00FC1947" w:rsidRDefault="00592460" w:rsidP="002649A0">
      <w:pPr>
        <w:pStyle w:val="ac"/>
        <w:spacing w:line="199" w:lineRule="auto"/>
        <w:rPr>
          <w:rtl/>
        </w:rPr>
      </w:pPr>
      <w:r w:rsidRPr="00FC1947">
        <w:rPr>
          <w:rtl/>
        </w:rPr>
        <w:t>فهذه الرواية أعطت حكماً بالأربعة أشهر حتى لو لم يحلف الزوج</w:t>
      </w:r>
      <w:r w:rsidR="0041608B">
        <w:rPr>
          <w:rFonts w:hint="cs"/>
          <w:rtl/>
        </w:rPr>
        <w:t>،</w:t>
      </w:r>
      <w:r w:rsidRPr="00FC1947">
        <w:rPr>
          <w:rtl/>
        </w:rPr>
        <w:t xml:space="preserve"> بحيث إنه ليس لها أمر قبل تمام الأربعة أشهر.</w:t>
      </w:r>
    </w:p>
    <w:p w:rsidR="00592460" w:rsidRPr="00FC1947" w:rsidRDefault="00592460" w:rsidP="002649A0">
      <w:pPr>
        <w:pStyle w:val="ac"/>
        <w:spacing w:line="199" w:lineRule="auto"/>
        <w:rPr>
          <w:rtl/>
        </w:rPr>
      </w:pPr>
      <w:r w:rsidRPr="00FC1947">
        <w:rPr>
          <w:b/>
          <w:bCs/>
          <w:rtl/>
        </w:rPr>
        <w:t>ويناقش أولاً:</w:t>
      </w:r>
      <w:r w:rsidRPr="00FC1947">
        <w:rPr>
          <w:rtl/>
        </w:rPr>
        <w:t xml:space="preserve"> إن الرواية على أقصى تقدير خاصّة بموارد المغاضبة فليس فيها تقنين عام لكافّة الحالات، وخصوصيّة المغاضبة متعقّلة.</w:t>
      </w:r>
    </w:p>
    <w:p w:rsidR="00592460" w:rsidRPr="00FC1947" w:rsidRDefault="00592460" w:rsidP="0041608B">
      <w:pPr>
        <w:pStyle w:val="ac"/>
        <w:rPr>
          <w:rtl/>
        </w:rPr>
      </w:pPr>
      <w:r w:rsidRPr="00FC1947">
        <w:rPr>
          <w:b/>
          <w:bCs/>
          <w:rtl/>
        </w:rPr>
        <w:t>ثانياً:</w:t>
      </w:r>
      <w:r w:rsidRPr="00FC1947">
        <w:rPr>
          <w:rtl/>
        </w:rPr>
        <w:t xml:space="preserve"> إن الرواية تهدف إلى الإشارة إلى أن قطع العلاقات الجنسية من قبل الزوج عن </w:t>
      </w:r>
      <w:r w:rsidRPr="00FC1947">
        <w:rPr>
          <w:rtl/>
        </w:rPr>
        <w:lastRenderedPageBreak/>
        <w:t>مغاضبة تترتّب عليه أحكام تشمل إلزامه بالطّلاق على تقدير عدم الفيء</w:t>
      </w:r>
      <w:r w:rsidR="0041608B">
        <w:rPr>
          <w:rFonts w:hint="cs"/>
          <w:rtl/>
        </w:rPr>
        <w:t>،</w:t>
      </w:r>
      <w:r w:rsidRPr="00FC1947">
        <w:rPr>
          <w:rtl/>
        </w:rPr>
        <w:t xml:space="preserve"> وهذا أجنبي عن المورد هنا</w:t>
      </w:r>
      <w:r w:rsidR="0041608B">
        <w:rPr>
          <w:rFonts w:hint="cs"/>
          <w:rtl/>
        </w:rPr>
        <w:t>؛</w:t>
      </w:r>
      <w:r w:rsidRPr="00FC1947">
        <w:rPr>
          <w:rtl/>
        </w:rPr>
        <w:t xml:space="preserve"> وذلك لأنه من الممكن ثبوت الحق الجنسي لها ولزوم المقاربة عليه عند مطالبتها لكن لا بحيث أنه لو لم يفعل أجبر على أحد الأمرين</w:t>
      </w:r>
      <w:r w:rsidR="0041608B">
        <w:rPr>
          <w:rFonts w:hint="cs"/>
          <w:rtl/>
        </w:rPr>
        <w:t>؛</w:t>
      </w:r>
      <w:r w:rsidRPr="00FC1947">
        <w:rPr>
          <w:rtl/>
        </w:rPr>
        <w:t xml:space="preserve"> فتكون الرواية بصدد الحديث عن حالات المغاضبة المترافقة مع عدم أدائه حقها</w:t>
      </w:r>
      <w:r w:rsidR="0041608B">
        <w:rPr>
          <w:rFonts w:hint="cs"/>
          <w:rtl/>
        </w:rPr>
        <w:t>،</w:t>
      </w:r>
      <w:r w:rsidRPr="00FC1947">
        <w:rPr>
          <w:rtl/>
        </w:rPr>
        <w:t xml:space="preserve"> لا عن مبدأ الحق الجنسي لها وعدم أداء الزّوج الحق لمطلق سبب وفي كافة الظروف.</w:t>
      </w:r>
    </w:p>
    <w:p w:rsidR="00592460" w:rsidRPr="00FC1947" w:rsidRDefault="00592460" w:rsidP="002649A0">
      <w:pPr>
        <w:pStyle w:val="ac"/>
        <w:spacing w:line="199" w:lineRule="auto"/>
        <w:rPr>
          <w:rtl/>
        </w:rPr>
      </w:pPr>
      <w:r w:rsidRPr="00FC1947">
        <w:rPr>
          <w:b/>
          <w:bCs/>
          <w:rtl/>
        </w:rPr>
        <w:t>ثالثاً:</w:t>
      </w:r>
      <w:r w:rsidRPr="00FC1947">
        <w:rPr>
          <w:rtl/>
        </w:rPr>
        <w:t xml:space="preserve"> إن المفهوم من الرواية ـ بلحاظ ذيلها ـ هو أن المغاضبة ولو بدون وقوع اليمين تعدّ محكومة بحكم الإيلاء</w:t>
      </w:r>
      <w:r w:rsidR="0041608B">
        <w:rPr>
          <w:rFonts w:hint="cs"/>
          <w:rtl/>
        </w:rPr>
        <w:t>؛</w:t>
      </w:r>
      <w:r w:rsidRPr="00FC1947">
        <w:rPr>
          <w:rtl/>
        </w:rPr>
        <w:t xml:space="preserve"> لأنه قال: </w:t>
      </w:r>
      <w:r>
        <w:rPr>
          <w:rFonts w:hint="cs"/>
          <w:rtl/>
        </w:rPr>
        <w:t>«</w:t>
      </w:r>
      <w:r w:rsidRPr="00FC1947">
        <w:rPr>
          <w:rtl/>
        </w:rPr>
        <w:t>فإن تركها من غير مغاضبة أو يمين فليس بمؤول</w:t>
      </w:r>
      <w:r>
        <w:rPr>
          <w:rFonts w:hint="cs"/>
          <w:rtl/>
        </w:rPr>
        <w:t>»</w:t>
      </w:r>
      <w:r w:rsidR="0041608B">
        <w:rPr>
          <w:rFonts w:hint="cs"/>
          <w:rtl/>
        </w:rPr>
        <w:t>،</w:t>
      </w:r>
      <w:r w:rsidRPr="00FC1947">
        <w:rPr>
          <w:rtl/>
        </w:rPr>
        <w:t xml:space="preserve"> ولا معنى لهذا النفي إلاّ أن تكون المغاضبة ـ</w:t>
      </w:r>
      <w:r w:rsidR="0041608B">
        <w:rPr>
          <w:rFonts w:hint="cs"/>
          <w:rtl/>
        </w:rPr>
        <w:t xml:space="preserve"> </w:t>
      </w:r>
      <w:r w:rsidRPr="00FC1947">
        <w:rPr>
          <w:rtl/>
        </w:rPr>
        <w:t>وبقرينة جريان نفس أحكام الإيلاء عليها بنصّ الرواية</w:t>
      </w:r>
      <w:r w:rsidR="0041608B">
        <w:rPr>
          <w:rFonts w:hint="cs"/>
          <w:rtl/>
        </w:rPr>
        <w:t xml:space="preserve"> </w:t>
      </w:r>
      <w:r w:rsidRPr="00FC1947">
        <w:rPr>
          <w:rtl/>
        </w:rPr>
        <w:t>ـ من الإيلاء ولو حكماً على أقل تقدير</w:t>
      </w:r>
      <w:r w:rsidR="0041608B">
        <w:rPr>
          <w:rFonts w:hint="cs"/>
          <w:rtl/>
        </w:rPr>
        <w:t>،</w:t>
      </w:r>
      <w:r w:rsidRPr="00FC1947">
        <w:rPr>
          <w:rtl/>
        </w:rPr>
        <w:t xml:space="preserve"> ومن هنا يمكن تسجيل بعض الملاحظات السابقة على مسألة ال</w:t>
      </w:r>
      <w:r w:rsidR="0041608B">
        <w:rPr>
          <w:rFonts w:hint="cs"/>
          <w:rtl/>
        </w:rPr>
        <w:t>ا</w:t>
      </w:r>
      <w:r w:rsidRPr="00FC1947">
        <w:rPr>
          <w:rtl/>
        </w:rPr>
        <w:t>ستدلال بالإيلاء هنا.</w:t>
      </w:r>
    </w:p>
    <w:p w:rsidR="00592460" w:rsidRPr="00FC1947" w:rsidRDefault="00592460" w:rsidP="002649A0">
      <w:pPr>
        <w:pStyle w:val="ac"/>
        <w:spacing w:line="199" w:lineRule="auto"/>
        <w:rPr>
          <w:rtl/>
        </w:rPr>
      </w:pPr>
      <w:r w:rsidRPr="00FC1947">
        <w:rPr>
          <w:b/>
          <w:bCs/>
          <w:rtl/>
        </w:rPr>
        <w:t>الرواية الثالثة:</w:t>
      </w:r>
      <w:r w:rsidRPr="00FC1947">
        <w:rPr>
          <w:rtl/>
        </w:rPr>
        <w:t xml:space="preserve"> وهي عمدة ال</w:t>
      </w:r>
      <w:r w:rsidR="0041608B">
        <w:rPr>
          <w:rFonts w:hint="cs"/>
          <w:rtl/>
        </w:rPr>
        <w:t>ا</w:t>
      </w:r>
      <w:r w:rsidRPr="00FC1947">
        <w:rPr>
          <w:rtl/>
        </w:rPr>
        <w:t>ستدلال هنا</w:t>
      </w:r>
      <w:r w:rsidR="0041608B">
        <w:rPr>
          <w:rFonts w:hint="cs"/>
          <w:rtl/>
        </w:rPr>
        <w:t>،</w:t>
      </w:r>
      <w:r w:rsidRPr="00FC1947">
        <w:rPr>
          <w:rtl/>
        </w:rPr>
        <w:t xml:space="preserve"> وهي صحيحة صفوان بن يحي</w:t>
      </w:r>
      <w:r w:rsidR="007F75C5">
        <w:rPr>
          <w:rFonts w:hint="cs"/>
          <w:rtl/>
        </w:rPr>
        <w:t>ى</w:t>
      </w:r>
      <w:r w:rsidRPr="00FC1947">
        <w:rPr>
          <w:rtl/>
        </w:rPr>
        <w:t xml:space="preserve"> عن أبي الحسن الرضا</w:t>
      </w:r>
      <w:r w:rsidR="00690A3B">
        <w:rPr>
          <w:rFonts w:ascii="AGA Arabesque" w:hint="cs"/>
          <w:rtl/>
        </w:rPr>
        <w:t xml:space="preserve">× </w:t>
      </w:r>
      <w:r w:rsidRPr="00FC1947">
        <w:rPr>
          <w:rtl/>
        </w:rPr>
        <w:t xml:space="preserve">أنّه سأله عن الرجل يكون عنده المرأة الشّابة فيمسك عنها الأشهر والسّنة لا يقربها ليس يريد الإضرار بها يكون لهم مصيبة يكون في ذلك آثماً؟ قال: </w:t>
      </w:r>
      <w:r w:rsidR="0041608B" w:rsidRPr="00617008">
        <w:rPr>
          <w:rtl/>
        </w:rPr>
        <w:t>«</w:t>
      </w:r>
      <w:r w:rsidRPr="00FC1947">
        <w:rPr>
          <w:rtl/>
        </w:rPr>
        <w:t>إذا تركها أربعة أشهر كان آثماً بعد ذلك</w:t>
      </w:r>
      <w:r>
        <w:rPr>
          <w:rFonts w:hint="cs"/>
          <w:rtl/>
        </w:rPr>
        <w:t>»</w:t>
      </w:r>
      <w:r w:rsidRPr="00815C4C">
        <w:rPr>
          <w:rFonts w:cs="Taher"/>
          <w:vertAlign w:val="superscript"/>
          <w:rtl/>
        </w:rPr>
        <w:t>(</w:t>
      </w:r>
      <w:r w:rsidRPr="00815C4C">
        <w:rPr>
          <w:rFonts w:cs="Taher"/>
          <w:vertAlign w:val="superscript"/>
          <w:rtl/>
        </w:rPr>
        <w:footnoteReference w:id="730"/>
      </w:r>
      <w:r w:rsidRPr="00815C4C">
        <w:rPr>
          <w:rFonts w:cs="Taher"/>
          <w:vertAlign w:val="superscript"/>
          <w:rtl/>
        </w:rPr>
        <w:t>)</w:t>
      </w:r>
      <w:r w:rsidRPr="00FC1947">
        <w:rPr>
          <w:rtl/>
        </w:rPr>
        <w:t>.</w:t>
      </w:r>
    </w:p>
    <w:p w:rsidR="00592460" w:rsidRPr="00FC1947" w:rsidRDefault="00592460" w:rsidP="002649A0">
      <w:pPr>
        <w:pStyle w:val="ac"/>
        <w:rPr>
          <w:rtl/>
        </w:rPr>
      </w:pPr>
      <w:r w:rsidRPr="00FC1947">
        <w:rPr>
          <w:rtl/>
        </w:rPr>
        <w:t>وهذه الرواية تدل على ترتّب الإثم بعد تحقق ترك الزوجة أربعة أشهر فلو لم يتركها أربعة بل تركها ثلاثة فلا إثم عليه بمقتضى مفهوم الرواية المستفاد من كون الإمام</w:t>
      </w:r>
      <w:r w:rsidR="00EE06ED">
        <w:rPr>
          <w:rFonts w:hint="cs"/>
          <w:rtl/>
        </w:rPr>
        <w:t>×</w:t>
      </w:r>
      <w:r w:rsidRPr="00FC1947">
        <w:rPr>
          <w:rFonts w:ascii="AGA Arabesque"/>
          <w:rtl/>
        </w:rPr>
        <w:t xml:space="preserve"> </w:t>
      </w:r>
      <w:r w:rsidRPr="00FC1947">
        <w:rPr>
          <w:rtl/>
        </w:rPr>
        <w:t xml:space="preserve"> في مقام ذكر تحديد للمسألة.</w:t>
      </w:r>
    </w:p>
    <w:p w:rsidR="00592460" w:rsidRPr="00691C7C" w:rsidRDefault="00592460" w:rsidP="002649A0">
      <w:pPr>
        <w:pStyle w:val="ac"/>
        <w:spacing w:line="199" w:lineRule="auto"/>
        <w:rPr>
          <w:b/>
          <w:bCs/>
          <w:rtl/>
        </w:rPr>
      </w:pPr>
      <w:r w:rsidRPr="00691C7C">
        <w:rPr>
          <w:b/>
          <w:bCs/>
          <w:rtl/>
        </w:rPr>
        <w:t>لكن الرواية في إطار الاستدلال بها هنا واجهت أو تواجه بعض المناقشات وهي:</w:t>
      </w:r>
    </w:p>
    <w:p w:rsidR="00592460" w:rsidRPr="00FC1947" w:rsidRDefault="00592460" w:rsidP="002649A0">
      <w:pPr>
        <w:pStyle w:val="ac"/>
        <w:spacing w:line="199" w:lineRule="auto"/>
        <w:rPr>
          <w:rtl/>
        </w:rPr>
      </w:pPr>
      <w:r w:rsidRPr="00FC1947">
        <w:rPr>
          <w:b/>
          <w:bCs/>
          <w:rtl/>
        </w:rPr>
        <w:t>المناقشة الأولى:</w:t>
      </w:r>
      <w:r w:rsidRPr="00FC1947">
        <w:rPr>
          <w:rtl/>
        </w:rPr>
        <w:t xml:space="preserve"> الضعف السّندي فلا يعتمد عليها</w:t>
      </w:r>
      <w:r w:rsidRPr="00815C4C">
        <w:rPr>
          <w:rFonts w:cs="Taher"/>
          <w:vertAlign w:val="superscript"/>
          <w:rtl/>
        </w:rPr>
        <w:t>(</w:t>
      </w:r>
      <w:r w:rsidRPr="00815C4C">
        <w:rPr>
          <w:rFonts w:cs="Taher"/>
          <w:vertAlign w:val="superscript"/>
          <w:rtl/>
        </w:rPr>
        <w:footnoteReference w:id="731"/>
      </w:r>
      <w:r w:rsidRPr="00815C4C">
        <w:rPr>
          <w:rFonts w:cs="Taher"/>
          <w:vertAlign w:val="superscript"/>
          <w:rtl/>
        </w:rPr>
        <w:t>)</w:t>
      </w:r>
      <w:r w:rsidRPr="00FC1947">
        <w:rPr>
          <w:rtl/>
        </w:rPr>
        <w:t>.</w:t>
      </w:r>
    </w:p>
    <w:p w:rsidR="00592460" w:rsidRPr="00FC1947" w:rsidRDefault="00592460" w:rsidP="002649A0">
      <w:pPr>
        <w:pStyle w:val="ac"/>
        <w:spacing w:line="199" w:lineRule="auto"/>
        <w:rPr>
          <w:rtl/>
        </w:rPr>
      </w:pPr>
      <w:r w:rsidRPr="00FC1947">
        <w:rPr>
          <w:rtl/>
        </w:rPr>
        <w:t>ولكن هذه المناقشة التي ذكرها صاحب المسالك غير واضحة</w:t>
      </w:r>
      <w:r w:rsidR="00691C7C">
        <w:rPr>
          <w:rFonts w:hint="cs"/>
          <w:rtl/>
        </w:rPr>
        <w:t>؛</w:t>
      </w:r>
      <w:r w:rsidRPr="00FC1947">
        <w:rPr>
          <w:rtl/>
        </w:rPr>
        <w:t xml:space="preserve"> فإن الرواية قد رواها الشيخ الطوسي بطريقين</w:t>
      </w:r>
      <w:r w:rsidR="00D81C84">
        <w:rPr>
          <w:rFonts w:hint="cs"/>
          <w:rtl/>
        </w:rPr>
        <w:t>:</w:t>
      </w:r>
      <w:r w:rsidRPr="00FC1947">
        <w:rPr>
          <w:rtl/>
        </w:rPr>
        <w:t xml:space="preserve"> أحدهما </w:t>
      </w:r>
      <w:r w:rsidR="00D81C84">
        <w:rPr>
          <w:rFonts w:hint="cs"/>
          <w:rtl/>
        </w:rPr>
        <w:t>إ</w:t>
      </w:r>
      <w:r w:rsidRPr="00FC1947">
        <w:rPr>
          <w:rtl/>
        </w:rPr>
        <w:t>سناده إلى صفوان نفسه</w:t>
      </w:r>
      <w:r w:rsidR="007F75C5">
        <w:rPr>
          <w:rFonts w:hint="cs"/>
          <w:rtl/>
        </w:rPr>
        <w:t>،</w:t>
      </w:r>
      <w:r w:rsidRPr="00FC1947">
        <w:rPr>
          <w:rtl/>
        </w:rPr>
        <w:t xml:space="preserve"> وهو مذكور في الفهرست </w:t>
      </w:r>
      <w:r w:rsidRPr="00FC1947">
        <w:rPr>
          <w:rtl/>
        </w:rPr>
        <w:lastRenderedPageBreak/>
        <w:t>وإن لم يتعرض له في مشيخة التهذيب وال</w:t>
      </w:r>
      <w:r w:rsidR="00D81C84">
        <w:rPr>
          <w:rFonts w:hint="cs"/>
          <w:rtl/>
        </w:rPr>
        <w:t>ا</w:t>
      </w:r>
      <w:r w:rsidRPr="00FC1947">
        <w:rPr>
          <w:rtl/>
        </w:rPr>
        <w:t>ستبصار</w:t>
      </w:r>
      <w:r w:rsidRPr="00815C4C">
        <w:rPr>
          <w:rFonts w:cs="Taher"/>
          <w:vertAlign w:val="superscript"/>
          <w:rtl/>
        </w:rPr>
        <w:t>(</w:t>
      </w:r>
      <w:r w:rsidRPr="00815C4C">
        <w:rPr>
          <w:rFonts w:cs="Taher"/>
          <w:vertAlign w:val="superscript"/>
          <w:rtl/>
        </w:rPr>
        <w:footnoteReference w:id="732"/>
      </w:r>
      <w:r w:rsidRPr="00815C4C">
        <w:rPr>
          <w:rFonts w:cs="Taher"/>
          <w:vertAlign w:val="superscript"/>
          <w:rtl/>
        </w:rPr>
        <w:t>)</w:t>
      </w:r>
      <w:r w:rsidR="00D81C84">
        <w:rPr>
          <w:rFonts w:hint="cs"/>
          <w:rtl/>
        </w:rPr>
        <w:t xml:space="preserve">، </w:t>
      </w:r>
      <w:r w:rsidRPr="00FC1947">
        <w:rPr>
          <w:rtl/>
        </w:rPr>
        <w:t xml:space="preserve">وثانيهما </w:t>
      </w:r>
      <w:r w:rsidR="00D81C84">
        <w:rPr>
          <w:rFonts w:hint="cs"/>
          <w:rtl/>
        </w:rPr>
        <w:t>إ</w:t>
      </w:r>
      <w:r w:rsidRPr="00FC1947">
        <w:rPr>
          <w:rtl/>
        </w:rPr>
        <w:t>سناده إلى أحمد بن محمد بن عيسى عن علي بن أحمد بن أشيم عنه، كما رواها الصّدوق في الفقيه ب</w:t>
      </w:r>
      <w:r w:rsidR="00D81C84">
        <w:rPr>
          <w:rFonts w:hint="cs"/>
          <w:rtl/>
        </w:rPr>
        <w:t>إ</w:t>
      </w:r>
      <w:r w:rsidRPr="00FC1947">
        <w:rPr>
          <w:rtl/>
        </w:rPr>
        <w:t>سناده إلى صفوان بن يح</w:t>
      </w:r>
      <w:r w:rsidR="00D81C84">
        <w:rPr>
          <w:rFonts w:hint="cs"/>
          <w:rtl/>
        </w:rPr>
        <w:t>يى</w:t>
      </w:r>
      <w:r w:rsidRPr="00815C4C">
        <w:rPr>
          <w:rFonts w:cs="Taher"/>
          <w:vertAlign w:val="superscript"/>
          <w:rtl/>
        </w:rPr>
        <w:t>(</w:t>
      </w:r>
      <w:r w:rsidRPr="00815C4C">
        <w:rPr>
          <w:rFonts w:cs="Taher"/>
          <w:vertAlign w:val="superscript"/>
          <w:rtl/>
        </w:rPr>
        <w:footnoteReference w:id="733"/>
      </w:r>
      <w:r w:rsidRPr="00815C4C">
        <w:rPr>
          <w:rFonts w:cs="Taher"/>
          <w:vertAlign w:val="superscript"/>
          <w:rtl/>
        </w:rPr>
        <w:t>)</w:t>
      </w:r>
      <w:r w:rsidR="00D81C84">
        <w:rPr>
          <w:rFonts w:hint="cs"/>
          <w:rtl/>
        </w:rPr>
        <w:t xml:space="preserve">. </w:t>
      </w:r>
      <w:r w:rsidRPr="00FC1947">
        <w:rPr>
          <w:rtl/>
        </w:rPr>
        <w:t>والسّند الثالث على أقل تقدير تام ـ أي سند الصّدوق</w:t>
      </w:r>
      <w:r w:rsidR="00D81C84">
        <w:rPr>
          <w:rFonts w:hint="cs"/>
          <w:rtl/>
        </w:rPr>
        <w:t xml:space="preserve"> بصرف النظر عن إبراهيم بن هاشم</w:t>
      </w:r>
      <w:r w:rsidRPr="00815C4C">
        <w:rPr>
          <w:rFonts w:cs="Taher"/>
          <w:vertAlign w:val="superscript"/>
          <w:rtl/>
        </w:rPr>
        <w:t>(</w:t>
      </w:r>
      <w:r w:rsidRPr="00815C4C">
        <w:rPr>
          <w:rFonts w:cs="Taher"/>
          <w:vertAlign w:val="superscript"/>
          <w:rtl/>
        </w:rPr>
        <w:footnoteReference w:id="734"/>
      </w:r>
      <w:r w:rsidRPr="00815C4C">
        <w:rPr>
          <w:rFonts w:cs="Taher"/>
          <w:vertAlign w:val="superscript"/>
          <w:rtl/>
        </w:rPr>
        <w:t>)</w:t>
      </w:r>
      <w:r w:rsidRPr="00FC1947">
        <w:rPr>
          <w:rtl/>
        </w:rPr>
        <w:t>ـ ويمكن تتميم ال</w:t>
      </w:r>
      <w:r w:rsidR="00D81C84">
        <w:rPr>
          <w:rFonts w:hint="cs"/>
          <w:rtl/>
        </w:rPr>
        <w:t>إ</w:t>
      </w:r>
      <w:r w:rsidRPr="00FC1947">
        <w:rPr>
          <w:rtl/>
        </w:rPr>
        <w:t xml:space="preserve">سنادين الآخرين أيضاً وفق </w:t>
      </w:r>
      <w:r w:rsidR="00D81C84">
        <w:rPr>
          <w:rFonts w:hint="cs"/>
          <w:rtl/>
        </w:rPr>
        <w:t>بعض النظريات ال</w:t>
      </w:r>
      <w:r w:rsidRPr="00FC1947">
        <w:rPr>
          <w:rtl/>
        </w:rPr>
        <w:t xml:space="preserve">رجالية </w:t>
      </w:r>
      <w:r w:rsidR="00D81C84">
        <w:rPr>
          <w:rFonts w:hint="cs"/>
          <w:rtl/>
        </w:rPr>
        <w:t>ال</w:t>
      </w:r>
      <w:r w:rsidRPr="00FC1947">
        <w:rPr>
          <w:rtl/>
        </w:rPr>
        <w:t>أخرى.</w:t>
      </w:r>
    </w:p>
    <w:p w:rsidR="00592460" w:rsidRPr="00FC1947" w:rsidRDefault="00592460" w:rsidP="002649A0">
      <w:pPr>
        <w:pStyle w:val="ac"/>
        <w:spacing w:line="209" w:lineRule="auto"/>
        <w:rPr>
          <w:rtl/>
        </w:rPr>
      </w:pPr>
      <w:r w:rsidRPr="00FC1947">
        <w:rPr>
          <w:rtl/>
        </w:rPr>
        <w:t>والذي يبدو أن صاحب المسالك كان يقرأ الرواية في التّهذيب</w:t>
      </w:r>
      <w:r w:rsidR="00D81C84">
        <w:rPr>
          <w:rFonts w:hint="cs"/>
          <w:rtl/>
        </w:rPr>
        <w:t>؛</w:t>
      </w:r>
      <w:r w:rsidRPr="00FC1947">
        <w:rPr>
          <w:rtl/>
        </w:rPr>
        <w:t xml:space="preserve"> لأنه ذكر ذيل </w:t>
      </w:r>
      <w:r>
        <w:rPr>
          <w:rFonts w:hint="cs"/>
          <w:rtl/>
        </w:rPr>
        <w:t>«</w:t>
      </w:r>
      <w:r w:rsidRPr="00FC1947">
        <w:rPr>
          <w:rtl/>
        </w:rPr>
        <w:t>إلا أن يكون بإذنها</w:t>
      </w:r>
      <w:r>
        <w:rPr>
          <w:rFonts w:hint="cs"/>
          <w:rtl/>
        </w:rPr>
        <w:t>»</w:t>
      </w:r>
      <w:r w:rsidR="00D81C84">
        <w:rPr>
          <w:rFonts w:hint="cs"/>
          <w:rtl/>
        </w:rPr>
        <w:t>،</w:t>
      </w:r>
      <w:r w:rsidRPr="00FC1947">
        <w:rPr>
          <w:rtl/>
        </w:rPr>
        <w:t xml:space="preserve"> وهذا الذيل غير موجود إلا في الرواية التي سندها هو السند الثاني هنا</w:t>
      </w:r>
      <w:r w:rsidR="00D81C84">
        <w:rPr>
          <w:rFonts w:hint="cs"/>
          <w:rtl/>
        </w:rPr>
        <w:t>،</w:t>
      </w:r>
      <w:r w:rsidR="00D81C84">
        <w:rPr>
          <w:rtl/>
        </w:rPr>
        <w:t xml:space="preserve"> وهذا السند ضعيف وفق ال</w:t>
      </w:r>
      <w:r w:rsidR="00D81C84">
        <w:rPr>
          <w:rFonts w:hint="cs"/>
          <w:rtl/>
        </w:rPr>
        <w:t>نظريات</w:t>
      </w:r>
      <w:r w:rsidRPr="00FC1947">
        <w:rPr>
          <w:rtl/>
        </w:rPr>
        <w:t xml:space="preserve"> الرجالية المعمول بها آنذاك</w:t>
      </w:r>
      <w:r w:rsidR="00D81C84">
        <w:rPr>
          <w:rFonts w:hint="cs"/>
          <w:rtl/>
        </w:rPr>
        <w:t>؛</w:t>
      </w:r>
      <w:r w:rsidRPr="00FC1947">
        <w:rPr>
          <w:rtl/>
        </w:rPr>
        <w:t xml:space="preserve"> لأن علي بن أحمد بن أشيم وصفه الشيخ الطوسي في رجاله بأنه مجهول</w:t>
      </w:r>
      <w:r w:rsidRPr="00815C4C">
        <w:rPr>
          <w:rFonts w:cs="Taher"/>
          <w:vertAlign w:val="superscript"/>
          <w:rtl/>
        </w:rPr>
        <w:t>(</w:t>
      </w:r>
      <w:r w:rsidRPr="00815C4C">
        <w:rPr>
          <w:rFonts w:cs="Taher"/>
          <w:vertAlign w:val="superscript"/>
          <w:rtl/>
        </w:rPr>
        <w:footnoteReference w:id="735"/>
      </w:r>
      <w:r w:rsidRPr="00815C4C">
        <w:rPr>
          <w:rFonts w:cs="Taher"/>
          <w:vertAlign w:val="superscript"/>
          <w:rtl/>
        </w:rPr>
        <w:t>)</w:t>
      </w:r>
      <w:r w:rsidRPr="00FC1947">
        <w:rPr>
          <w:rtl/>
        </w:rPr>
        <w:t>، ولا طريق لتوثيقه إلا بناء على وروده في أسانيد كامل الزيارات وفق ال</w:t>
      </w:r>
      <w:r w:rsidR="00D81C84">
        <w:rPr>
          <w:rFonts w:hint="cs"/>
          <w:rtl/>
        </w:rPr>
        <w:t>رأي</w:t>
      </w:r>
      <w:r w:rsidRPr="00FC1947">
        <w:rPr>
          <w:rtl/>
        </w:rPr>
        <w:t xml:space="preserve"> المعروف فيها</w:t>
      </w:r>
      <w:r w:rsidR="00D81C84">
        <w:rPr>
          <w:rFonts w:hint="cs"/>
          <w:rtl/>
        </w:rPr>
        <w:t>،</w:t>
      </w:r>
      <w:r w:rsidRPr="00FC1947">
        <w:rPr>
          <w:rtl/>
        </w:rPr>
        <w:t xml:space="preserve"> وهو </w:t>
      </w:r>
      <w:r w:rsidR="00D81C84">
        <w:rPr>
          <w:rFonts w:hint="cs"/>
          <w:rtl/>
        </w:rPr>
        <w:t>رأي</w:t>
      </w:r>
      <w:r w:rsidRPr="00FC1947">
        <w:rPr>
          <w:rtl/>
        </w:rPr>
        <w:t xml:space="preserve"> حديث الظهور نسبياً</w:t>
      </w:r>
      <w:r w:rsidR="00D81C84">
        <w:rPr>
          <w:rFonts w:hint="cs"/>
          <w:rtl/>
        </w:rPr>
        <w:t>،</w:t>
      </w:r>
      <w:r w:rsidRPr="00FC1947">
        <w:rPr>
          <w:rtl/>
        </w:rPr>
        <w:t xml:space="preserve"> ويبدو أنه لم يكن له أثر زمن الشّهيد الثاني</w:t>
      </w:r>
      <w:r w:rsidR="00D81C84">
        <w:rPr>
          <w:rFonts w:hint="cs"/>
          <w:rtl/>
        </w:rPr>
        <w:t>،</w:t>
      </w:r>
      <w:r w:rsidRPr="00FC1947">
        <w:rPr>
          <w:rtl/>
        </w:rPr>
        <w:t xml:space="preserve"> بل كان على ما يظهر واحداً من نتاجات الفكر ال</w:t>
      </w:r>
      <w:r w:rsidR="00D81C84">
        <w:rPr>
          <w:rFonts w:hint="cs"/>
          <w:rtl/>
        </w:rPr>
        <w:t>إ</w:t>
      </w:r>
      <w:r w:rsidRPr="00FC1947">
        <w:rPr>
          <w:rtl/>
        </w:rPr>
        <w:t xml:space="preserve">خباريّ الحديث، ومعه يمكن تبرير حكم الشهيد الثاني بالضّعف السندي للرواية من دون الأخذ </w:t>
      </w:r>
      <w:r w:rsidR="004C19BB">
        <w:rPr>
          <w:rtl/>
        </w:rPr>
        <w:t>بهذا القول فالرواية صحيحة سندا</w:t>
      </w:r>
      <w:r w:rsidR="004C19BB">
        <w:rPr>
          <w:rFonts w:hint="cs"/>
          <w:rtl/>
        </w:rPr>
        <w:t>ً، بصرف النظر عن موضوع إبراهيم بن هاشم.</w:t>
      </w:r>
    </w:p>
    <w:p w:rsidR="00592460" w:rsidRPr="00FC1947" w:rsidRDefault="00592460" w:rsidP="002649A0">
      <w:pPr>
        <w:pStyle w:val="ac"/>
        <w:spacing w:line="209" w:lineRule="auto"/>
        <w:rPr>
          <w:rtl/>
        </w:rPr>
      </w:pPr>
      <w:r w:rsidRPr="00FC1947">
        <w:rPr>
          <w:b/>
          <w:bCs/>
          <w:rtl/>
        </w:rPr>
        <w:t>المناقشة الثانية:</w:t>
      </w:r>
      <w:r w:rsidRPr="00FC1947">
        <w:rPr>
          <w:rtl/>
        </w:rPr>
        <w:t xml:space="preserve"> إنها خاصّة </w:t>
      </w:r>
      <w:r w:rsidR="004C19BB">
        <w:rPr>
          <w:rFonts w:hint="cs"/>
          <w:rtl/>
        </w:rPr>
        <w:t>ب</w:t>
      </w:r>
      <w:r w:rsidRPr="00FC1947">
        <w:rPr>
          <w:rtl/>
        </w:rPr>
        <w:t xml:space="preserve">حالات وجود همّ ومصيبة عند الرجل </w:t>
      </w:r>
      <w:r w:rsidR="00885E99">
        <w:rPr>
          <w:rFonts w:hint="cs"/>
          <w:rtl/>
        </w:rPr>
        <w:t>«</w:t>
      </w:r>
      <w:r w:rsidRPr="00FC1947">
        <w:rPr>
          <w:rtl/>
        </w:rPr>
        <w:t>يكون لهمّ مصيبة</w:t>
      </w:r>
      <w:r w:rsidR="00885E99">
        <w:rPr>
          <w:rFonts w:hint="cs"/>
          <w:rtl/>
        </w:rPr>
        <w:t>»</w:t>
      </w:r>
      <w:r w:rsidR="004C19BB">
        <w:rPr>
          <w:rFonts w:hint="cs"/>
          <w:rtl/>
        </w:rPr>
        <w:t>،</w:t>
      </w:r>
      <w:r w:rsidRPr="00FC1947">
        <w:rPr>
          <w:rtl/>
        </w:rPr>
        <w:t xml:space="preserve"> ومعنى ذلك أنّ الرجل لا يريد الإضرار بزوجته ولا التخلّف عن مقتضيات حقّها، وإنما قد طرأ عليه طارىء ألحق به الهمّ والحزن كوفاة والده وأشباه ذلك مما قد يكون تكليف الرجل أثناءه بممارسة الجنس مع زوجته غير منسجم مع ظروفه النفسية، </w:t>
      </w:r>
      <w:r w:rsidRPr="00FC1947">
        <w:rPr>
          <w:rtl/>
        </w:rPr>
        <w:lastRenderedPageBreak/>
        <w:t xml:space="preserve">وهذا الزوج قد رخّص له الشّرع في عدم مقاربة الزّوجة فترة أربعة أشهر </w:t>
      </w:r>
      <w:r w:rsidR="004C19BB">
        <w:rPr>
          <w:rFonts w:hint="cs"/>
          <w:rtl/>
        </w:rPr>
        <w:t xml:space="preserve">بوصفها </w:t>
      </w:r>
      <w:r w:rsidRPr="00FC1947">
        <w:rPr>
          <w:rtl/>
        </w:rPr>
        <w:t>مدّة كافية لذلك دون ما هو أزيد</w:t>
      </w:r>
      <w:r w:rsidR="004C19BB">
        <w:rPr>
          <w:rFonts w:hint="cs"/>
          <w:rtl/>
        </w:rPr>
        <w:t>،</w:t>
      </w:r>
      <w:r w:rsidRPr="00FC1947">
        <w:rPr>
          <w:rtl/>
        </w:rPr>
        <w:t xml:space="preserve"> ش</w:t>
      </w:r>
      <w:r w:rsidR="004C19BB">
        <w:rPr>
          <w:rFonts w:hint="cs"/>
          <w:rtl/>
        </w:rPr>
        <w:t>رط</w:t>
      </w:r>
      <w:r w:rsidRPr="00FC1947">
        <w:rPr>
          <w:rtl/>
        </w:rPr>
        <w:t xml:space="preserve"> أن لا يكون لديه نية الأذيّة للزوجة، وعلى الزوجة الصّبر تقديراً لظروفه، وأمّا ما عدا هذه الحالة فلا بد من تلمّس دليل لها غير هذه الرواية.</w:t>
      </w:r>
    </w:p>
    <w:p w:rsidR="00592460" w:rsidRPr="00FC1947" w:rsidRDefault="00592460" w:rsidP="00592460">
      <w:pPr>
        <w:pStyle w:val="ac"/>
        <w:rPr>
          <w:rtl/>
        </w:rPr>
      </w:pPr>
      <w:r w:rsidRPr="00FC1947">
        <w:rPr>
          <w:rtl/>
        </w:rPr>
        <w:t xml:space="preserve">ويمكن تقريب خصوصيّة الحالة المفروضة في الرواية من خلال ضمّ عبارة </w:t>
      </w:r>
      <w:r>
        <w:rPr>
          <w:rFonts w:hint="cs"/>
          <w:rtl/>
        </w:rPr>
        <w:t>«</w:t>
      </w:r>
      <w:r w:rsidRPr="00FC1947">
        <w:rPr>
          <w:rtl/>
        </w:rPr>
        <w:t>ليس يريد الإضرار بها</w:t>
      </w:r>
      <w:r>
        <w:rPr>
          <w:rFonts w:hint="cs"/>
          <w:rtl/>
        </w:rPr>
        <w:t>»</w:t>
      </w:r>
      <w:r w:rsidRPr="00FC1947">
        <w:rPr>
          <w:rtl/>
        </w:rPr>
        <w:t xml:space="preserve"> إلى عبارة </w:t>
      </w:r>
      <w:r>
        <w:rPr>
          <w:rFonts w:hint="cs"/>
          <w:rtl/>
        </w:rPr>
        <w:t>«</w:t>
      </w:r>
      <w:r w:rsidRPr="00FC1947">
        <w:rPr>
          <w:rtl/>
        </w:rPr>
        <w:t>فيمسك عنها الأشهر والسّنة لا يقربها</w:t>
      </w:r>
      <w:r>
        <w:rPr>
          <w:rFonts w:hint="cs"/>
          <w:rtl/>
        </w:rPr>
        <w:t>»</w:t>
      </w:r>
      <w:r w:rsidR="00793715">
        <w:rPr>
          <w:rFonts w:hint="cs"/>
          <w:rtl/>
        </w:rPr>
        <w:t>؛</w:t>
      </w:r>
      <w:r w:rsidRPr="00FC1947">
        <w:rPr>
          <w:rtl/>
        </w:rPr>
        <w:t xml:space="preserve"> وذلك أنه لا يحتمل أن شخصاً لا يريد الإضرار بزوجته ولم يطرأ عليه طارىء من سفر أو مرض أو همّ أو ما شابه ذلك</w:t>
      </w:r>
      <w:r w:rsidR="00793715">
        <w:rPr>
          <w:rFonts w:hint="cs"/>
          <w:rtl/>
        </w:rPr>
        <w:t>،</w:t>
      </w:r>
      <w:r w:rsidRPr="00FC1947">
        <w:rPr>
          <w:rtl/>
        </w:rPr>
        <w:t xml:space="preserve"> ومع ذلك لا يقرب زوجته الشّابة</w:t>
      </w:r>
      <w:r w:rsidR="00793715">
        <w:rPr>
          <w:rFonts w:hint="cs"/>
          <w:rtl/>
        </w:rPr>
        <w:t>؛</w:t>
      </w:r>
      <w:r w:rsidRPr="00FC1947">
        <w:rPr>
          <w:rtl/>
        </w:rPr>
        <w:t xml:space="preserve"> إذ إنّ هذه فرضيّة نادرة جداً حيث لم يفرض سبب يبرّرها في الرواية من سفر أو مرض أو نحو ذلك... وهذا يصلح شاهداً على خصوصيّة المسألة ويشكل مانعاً عن انعقاد دلالة شموليّة في النّص.</w:t>
      </w:r>
    </w:p>
    <w:p w:rsidR="00592460" w:rsidRPr="00FC1947" w:rsidRDefault="00592460" w:rsidP="007F75C5">
      <w:pPr>
        <w:pStyle w:val="ac"/>
        <w:rPr>
          <w:rtl/>
        </w:rPr>
      </w:pPr>
      <w:r w:rsidRPr="00FC1947">
        <w:rPr>
          <w:rtl/>
        </w:rPr>
        <w:t xml:space="preserve">ووفق ما تقدّم </w:t>
      </w:r>
      <w:r w:rsidR="00793715">
        <w:rPr>
          <w:rFonts w:hint="cs"/>
          <w:rtl/>
        </w:rPr>
        <w:t xml:space="preserve">ـ </w:t>
      </w:r>
      <w:r w:rsidRPr="00FC1947">
        <w:rPr>
          <w:rtl/>
        </w:rPr>
        <w:t xml:space="preserve">وحتى الآن </w:t>
      </w:r>
      <w:r w:rsidR="00793715">
        <w:rPr>
          <w:rFonts w:hint="cs"/>
          <w:rtl/>
        </w:rPr>
        <w:t xml:space="preserve">ـ </w:t>
      </w:r>
      <w:r w:rsidRPr="00FC1947">
        <w:rPr>
          <w:rtl/>
        </w:rPr>
        <w:t xml:space="preserve">فقد تبين أنّه لا يوجد دليل واضح يمكن اعتماده </w:t>
      </w:r>
      <w:r w:rsidR="00793715">
        <w:rPr>
          <w:rFonts w:hint="cs"/>
          <w:rtl/>
        </w:rPr>
        <w:t>بوصفه مرجعاً</w:t>
      </w:r>
      <w:r w:rsidRPr="00FC1947">
        <w:rPr>
          <w:rtl/>
        </w:rPr>
        <w:t xml:space="preserve"> للحكم بالنظرية التي ذهبت لفكرة التحديد الزمني</w:t>
      </w:r>
      <w:r w:rsidR="00793715">
        <w:rPr>
          <w:rFonts w:hint="cs"/>
          <w:rtl/>
        </w:rPr>
        <w:t>،</w:t>
      </w:r>
      <w:r w:rsidRPr="00FC1947">
        <w:rPr>
          <w:rtl/>
        </w:rPr>
        <w:t xml:space="preserve"> وأنّ غاية ما تؤكّده الأدلّة المتقدّمة هو ضرورة عدم وقوع الزوجة في الحرج أو الحرام من عدم مواقعتها، كما أنه على تقدير تماميّة هذه الأدلة بما يؤكّد فكرة التحديد الزماني لا بد من مقارنتها بالأدلة التي تقام على الفكرة المقابلة ـ</w:t>
      </w:r>
      <w:r w:rsidR="00793715">
        <w:rPr>
          <w:rFonts w:hint="cs"/>
          <w:rtl/>
        </w:rPr>
        <w:t xml:space="preserve"> </w:t>
      </w:r>
      <w:r w:rsidRPr="00FC1947">
        <w:rPr>
          <w:rtl/>
        </w:rPr>
        <w:t>وستأتي إن</w:t>
      </w:r>
      <w:r w:rsidR="00793715">
        <w:rPr>
          <w:rFonts w:hint="cs"/>
          <w:rtl/>
        </w:rPr>
        <w:t xml:space="preserve"> </w:t>
      </w:r>
      <w:r w:rsidRPr="00FC1947">
        <w:rPr>
          <w:rtl/>
        </w:rPr>
        <w:t>شاء الله تعالى</w:t>
      </w:r>
      <w:r w:rsidR="00793715">
        <w:rPr>
          <w:rFonts w:hint="cs"/>
          <w:rtl/>
        </w:rPr>
        <w:t xml:space="preserve"> </w:t>
      </w:r>
      <w:r w:rsidRPr="00FC1947">
        <w:rPr>
          <w:rtl/>
        </w:rPr>
        <w:t>ـ لنجد كيف ستكون المحصّلة النهائية من مق</w:t>
      </w:r>
      <w:r w:rsidR="00793715">
        <w:rPr>
          <w:rtl/>
        </w:rPr>
        <w:t>اربة هاتين المجموعتين من الأدلة</w:t>
      </w:r>
      <w:r w:rsidR="00793715">
        <w:rPr>
          <w:rFonts w:hint="cs"/>
          <w:rtl/>
        </w:rPr>
        <w:t>؟</w:t>
      </w:r>
    </w:p>
    <w:p w:rsidR="00592460" w:rsidRPr="00FC1947" w:rsidRDefault="00592460" w:rsidP="002649A0">
      <w:pPr>
        <w:pStyle w:val="afffffc"/>
        <w:rPr>
          <w:rtl/>
        </w:rPr>
      </w:pPr>
    </w:p>
    <w:p w:rsidR="00592460" w:rsidRPr="00FC1947" w:rsidRDefault="00592460" w:rsidP="00592460">
      <w:pPr>
        <w:pStyle w:val="1"/>
        <w:rPr>
          <w:rtl/>
        </w:rPr>
      </w:pPr>
      <w:bookmarkStart w:id="382" w:name="_Toc275128102"/>
      <w:r w:rsidRPr="00FC1947">
        <w:rPr>
          <w:rtl/>
        </w:rPr>
        <w:t>نظرية المماثلة والمشابهة في الحق</w:t>
      </w:r>
      <w:bookmarkEnd w:id="382"/>
    </w:p>
    <w:p w:rsidR="00592460" w:rsidRPr="00FC1947" w:rsidRDefault="00592460" w:rsidP="00793715">
      <w:pPr>
        <w:pStyle w:val="ac"/>
        <w:rPr>
          <w:rtl/>
        </w:rPr>
      </w:pPr>
      <w:r w:rsidRPr="00FC1947">
        <w:rPr>
          <w:rtl/>
        </w:rPr>
        <w:t>أي بين الرجل والمرأة كزوجين</w:t>
      </w:r>
      <w:r w:rsidR="00793715">
        <w:rPr>
          <w:rFonts w:hint="cs"/>
          <w:rtl/>
        </w:rPr>
        <w:t>،</w:t>
      </w:r>
      <w:r w:rsidRPr="00FC1947">
        <w:rPr>
          <w:rtl/>
        </w:rPr>
        <w:t xml:space="preserve"> إذ كما هو معروف فقهياً فإن للرّجل الحق في إشباع رغباته الغريزيّة من زوجته بصورة لا حدود لها إلا الحيض أو النّفاس أو المرض أو بعض العناوين الطارئة</w:t>
      </w:r>
      <w:r w:rsidR="00793715">
        <w:rPr>
          <w:rFonts w:hint="cs"/>
          <w:rtl/>
        </w:rPr>
        <w:t>،</w:t>
      </w:r>
      <w:r w:rsidRPr="00FC1947">
        <w:rPr>
          <w:rtl/>
        </w:rPr>
        <w:t xml:space="preserve"> وأنّ على الزوجة تلبية كافّة رغباته منها دون تلكّؤ، وبمجرّد أن تمتنع ولو لمرّة واحدة تكون عاصية</w:t>
      </w:r>
      <w:r w:rsidR="00793715">
        <w:rPr>
          <w:rFonts w:hint="cs"/>
          <w:rtl/>
        </w:rPr>
        <w:t>،</w:t>
      </w:r>
      <w:r w:rsidRPr="00FC1947">
        <w:rPr>
          <w:rtl/>
        </w:rPr>
        <w:t xml:space="preserve"> وعلى رأي البعض وربما الكثير من الفقهاء ناشزة أيضاً تترتّب عليها أحكامها المعروفة مما يرتبط بالنفقة وغيرها.</w:t>
      </w:r>
    </w:p>
    <w:p w:rsidR="00592460" w:rsidRPr="00FC1947" w:rsidRDefault="00592460" w:rsidP="00592460">
      <w:pPr>
        <w:pStyle w:val="ac"/>
        <w:rPr>
          <w:rtl/>
        </w:rPr>
      </w:pPr>
      <w:r w:rsidRPr="00FC1947">
        <w:rPr>
          <w:rtl/>
        </w:rPr>
        <w:t>وهذه الرؤية المخالفة هنا تؤكد الحق للزّوجة على زوجها</w:t>
      </w:r>
      <w:r w:rsidR="00793715">
        <w:rPr>
          <w:rFonts w:hint="cs"/>
          <w:rtl/>
        </w:rPr>
        <w:t>،</w:t>
      </w:r>
      <w:r w:rsidRPr="00FC1947">
        <w:rPr>
          <w:rtl/>
        </w:rPr>
        <w:t xml:space="preserve"> تماماً كذاك الحق الذي له </w:t>
      </w:r>
      <w:r w:rsidRPr="00FC1947">
        <w:rPr>
          <w:rtl/>
        </w:rPr>
        <w:lastRenderedPageBreak/>
        <w:t>عليها مما يعني التشابه والتماثل في الحق الجنسي بينهما.</w:t>
      </w:r>
    </w:p>
    <w:p w:rsidR="00592460" w:rsidRPr="00FC1947" w:rsidRDefault="00592460" w:rsidP="00592460">
      <w:pPr>
        <w:pStyle w:val="ac"/>
        <w:rPr>
          <w:rtl/>
        </w:rPr>
      </w:pPr>
      <w:r w:rsidRPr="00FC1947">
        <w:rPr>
          <w:rtl/>
        </w:rPr>
        <w:t>وأمام القائلين بهذه الصورة لحق</w:t>
      </w:r>
      <w:r w:rsidR="00793715">
        <w:rPr>
          <w:rFonts w:hint="cs"/>
          <w:rtl/>
        </w:rPr>
        <w:t>ّ</w:t>
      </w:r>
      <w:r w:rsidRPr="00FC1947">
        <w:rPr>
          <w:rtl/>
        </w:rPr>
        <w:t xml:space="preserve"> المرأة هنا تقديم أدلتهم</w:t>
      </w:r>
      <w:r w:rsidR="00793715">
        <w:rPr>
          <w:rFonts w:hint="cs"/>
          <w:rtl/>
        </w:rPr>
        <w:t>،</w:t>
      </w:r>
      <w:r w:rsidRPr="00FC1947">
        <w:rPr>
          <w:rtl/>
        </w:rPr>
        <w:t xml:space="preserve"> وإلا فإن أصالة البراءة عن إلزام الزوج بموافقة زوجته كأصل حكمي أو عدم حق لها بذلك يمثّلان مرجعاً يعتمد عليه</w:t>
      </w:r>
      <w:r w:rsidR="00793715">
        <w:rPr>
          <w:rFonts w:hint="cs"/>
          <w:rtl/>
        </w:rPr>
        <w:t>،</w:t>
      </w:r>
      <w:r w:rsidRPr="00FC1947">
        <w:rPr>
          <w:rtl/>
        </w:rPr>
        <w:t xml:space="preserve"> ولا يعدل عنه إلا إلى النتيجة التّي توصّلنا إليها في البحث المتقدم حول مقولة التحديد الزمني بناءً على صح</w:t>
      </w:r>
      <w:r w:rsidR="00793715">
        <w:rPr>
          <w:rFonts w:hint="cs"/>
          <w:rtl/>
        </w:rPr>
        <w:t>ّ</w:t>
      </w:r>
      <w:r w:rsidRPr="00FC1947">
        <w:rPr>
          <w:rtl/>
        </w:rPr>
        <w:t>ة ما تقدم.</w:t>
      </w:r>
    </w:p>
    <w:p w:rsidR="00592460" w:rsidRPr="00FC1947" w:rsidRDefault="00592460" w:rsidP="00793715">
      <w:pPr>
        <w:pStyle w:val="ac"/>
        <w:rPr>
          <w:rtl/>
        </w:rPr>
      </w:pPr>
      <w:r w:rsidRPr="00FC1947">
        <w:rPr>
          <w:rtl/>
        </w:rPr>
        <w:t>كما تجدر الإشارة إلى أننا هنا سوف نفترض أن حق الزوج الجنسي هو ما ذكرناه آنفاً</w:t>
      </w:r>
      <w:r w:rsidR="00793715">
        <w:rPr>
          <w:rFonts w:hint="cs"/>
          <w:rtl/>
        </w:rPr>
        <w:t>،</w:t>
      </w:r>
      <w:r w:rsidRPr="00FC1947">
        <w:rPr>
          <w:rtl/>
        </w:rPr>
        <w:t xml:space="preserve"> ولن نبحث في هذا الحق ومدى صحته من ناحية التوسعة والتضييق</w:t>
      </w:r>
      <w:r w:rsidR="00793715">
        <w:rPr>
          <w:rFonts w:hint="cs"/>
          <w:rtl/>
        </w:rPr>
        <w:t>،</w:t>
      </w:r>
      <w:r w:rsidRPr="00FC1947">
        <w:rPr>
          <w:rtl/>
        </w:rPr>
        <w:t xml:space="preserve"> وبالتالي سوف نحاكم مقولة التماثل على أنها تطابق هذا النوع وهذه الدرجة من الحق</w:t>
      </w:r>
      <w:r w:rsidR="00793715">
        <w:rPr>
          <w:rFonts w:hint="cs"/>
          <w:rtl/>
        </w:rPr>
        <w:t>،</w:t>
      </w:r>
      <w:r w:rsidRPr="00FC1947">
        <w:rPr>
          <w:rtl/>
        </w:rPr>
        <w:t xml:space="preserve"> وإلا لو عدّلنا من تصورنا عن حق الرجل هنا أو تبيّن أن المؤيّدين لنظرية التماثل لا يقولون بثبوت حق للرجل بهذا المستوى فلربما تختلف </w:t>
      </w:r>
      <w:r w:rsidR="00793715">
        <w:rPr>
          <w:rFonts w:hint="cs"/>
          <w:rtl/>
        </w:rPr>
        <w:t>نتائج أو آلية</w:t>
      </w:r>
      <w:r w:rsidRPr="00FC1947">
        <w:rPr>
          <w:rtl/>
        </w:rPr>
        <w:t xml:space="preserve"> البحث</w:t>
      </w:r>
      <w:r w:rsidR="00793715">
        <w:rPr>
          <w:rFonts w:hint="cs"/>
          <w:rtl/>
        </w:rPr>
        <w:t>،</w:t>
      </w:r>
      <w:r w:rsidRPr="00FC1947">
        <w:rPr>
          <w:rtl/>
        </w:rPr>
        <w:t xml:space="preserve"> وقد تسقط بعض المناقشات الآتية عن مستوى الصحة.</w:t>
      </w:r>
    </w:p>
    <w:p w:rsidR="00592460" w:rsidRPr="00793715" w:rsidRDefault="00592460" w:rsidP="002649A0">
      <w:pPr>
        <w:pStyle w:val="ac"/>
        <w:spacing w:line="214" w:lineRule="auto"/>
        <w:rPr>
          <w:b/>
          <w:bCs/>
          <w:rtl/>
        </w:rPr>
      </w:pPr>
      <w:r w:rsidRPr="00793715">
        <w:rPr>
          <w:b/>
          <w:bCs/>
          <w:rtl/>
        </w:rPr>
        <w:t>وعلى أيّة حال فحاصل ما يذكر هنا لتأكيد هذا الرأي وجوه هي:</w:t>
      </w:r>
    </w:p>
    <w:p w:rsidR="00592460" w:rsidRPr="00FC1947" w:rsidRDefault="00592460" w:rsidP="002649A0">
      <w:pPr>
        <w:pStyle w:val="ac"/>
        <w:spacing w:line="211" w:lineRule="auto"/>
        <w:rPr>
          <w:rtl/>
        </w:rPr>
      </w:pPr>
      <w:r w:rsidRPr="00FC1947">
        <w:rPr>
          <w:b/>
          <w:bCs/>
          <w:rtl/>
        </w:rPr>
        <w:t>الوجه الأول:</w:t>
      </w:r>
      <w:r w:rsidRPr="00FC1947">
        <w:rPr>
          <w:rtl/>
        </w:rPr>
        <w:t xml:space="preserve"> إن العلقة الزوجية إنما شرّعت بهدف تحصين الرجل والمرأة من الإنحراف الأخلاقي،</w:t>
      </w:r>
      <w:r w:rsidR="00793715">
        <w:rPr>
          <w:rFonts w:hint="cs"/>
          <w:rtl/>
        </w:rPr>
        <w:t xml:space="preserve"> </w:t>
      </w:r>
      <w:r w:rsidRPr="00FC1947">
        <w:rPr>
          <w:rtl/>
        </w:rPr>
        <w:t>وهذا بنفسه يستدعي ثبوت الحق لها تماماً كما هو ثابت له</w:t>
      </w:r>
      <w:r w:rsidR="00793715">
        <w:rPr>
          <w:rFonts w:hint="cs"/>
          <w:rtl/>
        </w:rPr>
        <w:t>؛</w:t>
      </w:r>
      <w:r w:rsidRPr="00FC1947">
        <w:rPr>
          <w:rtl/>
        </w:rPr>
        <w:t xml:space="preserve"> تحصيلاً لغرض الزواج ـ</w:t>
      </w:r>
      <w:r w:rsidR="00AB611F">
        <w:rPr>
          <w:rFonts w:hint="cs"/>
          <w:rtl/>
        </w:rPr>
        <w:t xml:space="preserve"> </w:t>
      </w:r>
      <w:r w:rsidRPr="00FC1947">
        <w:rPr>
          <w:rtl/>
        </w:rPr>
        <w:t>أو بعض الغرض منه</w:t>
      </w:r>
      <w:r w:rsidR="003576EA">
        <w:rPr>
          <w:rFonts w:hint="cs"/>
          <w:rtl/>
        </w:rPr>
        <w:t xml:space="preserve"> </w:t>
      </w:r>
      <w:r w:rsidRPr="00FC1947">
        <w:rPr>
          <w:rtl/>
        </w:rPr>
        <w:t xml:space="preserve">ـ إذ كيف يتصور التحصين للمرأة مع عدم إثبات حقّ لها في العلاقة الجنسية أو </w:t>
      </w:r>
      <w:r w:rsidR="00793715">
        <w:rPr>
          <w:rFonts w:hint="cs"/>
          <w:rtl/>
        </w:rPr>
        <w:t>إ</w:t>
      </w:r>
      <w:r w:rsidRPr="00FC1947">
        <w:rPr>
          <w:rtl/>
        </w:rPr>
        <w:t>ثبات حق لها كأنه بحكم العدم، فإن مقولة التحديد الزمني كما يطرحها الفقهاء لا تلزم الرجل إلا بإدخال مقدار الحشفة من العضو الذّكري في فرج المرأة لا غير، بل اكتفى بعضهم بذلك في الدبر من دون أن يلزم الرجل بمنحها إحساساً بالّلذة</w:t>
      </w:r>
      <w:r w:rsidR="00793715">
        <w:rPr>
          <w:rFonts w:hint="cs"/>
          <w:rtl/>
        </w:rPr>
        <w:t>،</w:t>
      </w:r>
      <w:r w:rsidRPr="00FC1947">
        <w:rPr>
          <w:rtl/>
        </w:rPr>
        <w:t xml:space="preserve"> بل يكفي الإدخال ولو بمقدار الثانية الواحدة أنزل هو أم لم ينزل، شعرت هي بالّلذة أم لم تشعر أصلاً</w:t>
      </w:r>
      <w:r w:rsidR="00793715">
        <w:rPr>
          <w:rFonts w:hint="cs"/>
          <w:rtl/>
        </w:rPr>
        <w:t>،</w:t>
      </w:r>
      <w:r w:rsidRPr="00FC1947">
        <w:rPr>
          <w:rtl/>
        </w:rPr>
        <w:t xml:space="preserve"> فضلاً عن الوصول إلى مرحلة الكمال...</w:t>
      </w:r>
      <w:r w:rsidRPr="00815C4C">
        <w:rPr>
          <w:rFonts w:cs="Taher"/>
          <w:vertAlign w:val="superscript"/>
          <w:rtl/>
        </w:rPr>
        <w:t>(</w:t>
      </w:r>
      <w:r w:rsidRPr="00815C4C">
        <w:rPr>
          <w:rFonts w:cs="Taher"/>
          <w:vertAlign w:val="superscript"/>
          <w:rtl/>
        </w:rPr>
        <w:footnoteReference w:id="736"/>
      </w:r>
      <w:r w:rsidRPr="00815C4C">
        <w:rPr>
          <w:rFonts w:cs="Taher"/>
          <w:vertAlign w:val="superscript"/>
          <w:rtl/>
        </w:rPr>
        <w:t>)</w:t>
      </w:r>
      <w:r w:rsidRPr="00FC1947">
        <w:rPr>
          <w:rtl/>
        </w:rPr>
        <w:t>.</w:t>
      </w:r>
    </w:p>
    <w:p w:rsidR="00592460" w:rsidRPr="00FC1947" w:rsidRDefault="00592460" w:rsidP="007F75C5">
      <w:pPr>
        <w:pStyle w:val="ac"/>
        <w:rPr>
          <w:rtl/>
        </w:rPr>
      </w:pPr>
      <w:r w:rsidRPr="00FC1947">
        <w:rPr>
          <w:b/>
          <w:bCs/>
          <w:rtl/>
        </w:rPr>
        <w:t>المناقشة:</w:t>
      </w:r>
      <w:r w:rsidRPr="00FC1947">
        <w:rPr>
          <w:rtl/>
        </w:rPr>
        <w:t xml:space="preserve"> وهذا ال</w:t>
      </w:r>
      <w:r w:rsidR="00793715">
        <w:rPr>
          <w:rFonts w:hint="cs"/>
          <w:rtl/>
        </w:rPr>
        <w:t>ا</w:t>
      </w:r>
      <w:r w:rsidRPr="00FC1947">
        <w:rPr>
          <w:rtl/>
        </w:rPr>
        <w:t xml:space="preserve">ستدلال جيّد من الناحية المبدئيّة ومستفاد من الرّوح العامّة </w:t>
      </w:r>
      <w:r w:rsidRPr="00FC1947">
        <w:rPr>
          <w:rtl/>
        </w:rPr>
        <w:lastRenderedPageBreak/>
        <w:t>للتشريع في مسألة العلاقة الزوجية ويحتوي على نزعة مقاصديّة متقنة إلى حدّ بعيد، غير أنه لا يثبت النتيجة المطلوبة والمفترضة</w:t>
      </w:r>
      <w:r w:rsidR="00793715">
        <w:rPr>
          <w:rFonts w:hint="cs"/>
          <w:rtl/>
        </w:rPr>
        <w:t>؛</w:t>
      </w:r>
      <w:r w:rsidRPr="00FC1947">
        <w:rPr>
          <w:rtl/>
        </w:rPr>
        <w:t xml:space="preserve"> وذلك أن التّحصين قد يحصل ولو بمرتبة أقل من مطلق ال</w:t>
      </w:r>
      <w:r w:rsidR="00793715">
        <w:rPr>
          <w:rFonts w:hint="cs"/>
          <w:rtl/>
        </w:rPr>
        <w:t>ا</w:t>
      </w:r>
      <w:r w:rsidRPr="00FC1947">
        <w:rPr>
          <w:rtl/>
        </w:rPr>
        <w:t>ستجابة للزوجة عند مطالبتها بالمقاربة، فإن امتناع الرجل أو المرأة أحياناً عن ال</w:t>
      </w:r>
      <w:r w:rsidR="007F75C5">
        <w:rPr>
          <w:rFonts w:hint="cs"/>
          <w:rtl/>
        </w:rPr>
        <w:t>ا</w:t>
      </w:r>
      <w:r w:rsidRPr="00FC1947">
        <w:rPr>
          <w:rtl/>
        </w:rPr>
        <w:t xml:space="preserve">ستجابة لرغبة الآخر منهما ـ لا بصورة دائمة أو غالبة أو كثيرة ـ لا يوجب رفع الحكمة من الزواج عند الشّارع إلا في حالات نادرة جداً لعدم إفضاء هذه الحالة إلى وقوع الإنحراف الأخلاقي بالزّنا أو غيره... فهذا الدّليل </w:t>
      </w:r>
      <w:r w:rsidR="00793715">
        <w:rPr>
          <w:rFonts w:hint="cs"/>
          <w:rtl/>
        </w:rPr>
        <w:t>أ</w:t>
      </w:r>
      <w:r w:rsidRPr="00FC1947">
        <w:rPr>
          <w:rtl/>
        </w:rPr>
        <w:t>قصى ما يثبته لزوم كون كل طرف بحق الآخر إيجابياً في الإطار العام</w:t>
      </w:r>
      <w:r w:rsidR="00793715">
        <w:rPr>
          <w:rFonts w:hint="cs"/>
          <w:rtl/>
        </w:rPr>
        <w:t>،</w:t>
      </w:r>
      <w:r w:rsidRPr="00FC1947">
        <w:rPr>
          <w:rtl/>
        </w:rPr>
        <w:t xml:space="preserve"> لا أن كل فرد فرد من المطالبة يجب ال</w:t>
      </w:r>
      <w:r w:rsidR="00793715">
        <w:rPr>
          <w:rFonts w:hint="cs"/>
          <w:rtl/>
        </w:rPr>
        <w:t>ا</w:t>
      </w:r>
      <w:r w:rsidRPr="00FC1947">
        <w:rPr>
          <w:rtl/>
        </w:rPr>
        <w:t>ستجابة له كما هو الحال في حق الرجل فقهياً وفق ما هو معروف.</w:t>
      </w:r>
    </w:p>
    <w:p w:rsidR="00592460" w:rsidRPr="00FC1947" w:rsidRDefault="00592460" w:rsidP="00793715">
      <w:pPr>
        <w:pStyle w:val="ac"/>
        <w:rPr>
          <w:rtl/>
        </w:rPr>
      </w:pPr>
      <w:r w:rsidRPr="00FC1947">
        <w:rPr>
          <w:b/>
          <w:bCs/>
          <w:rtl/>
        </w:rPr>
        <w:t>الوجه الثّاني:</w:t>
      </w:r>
      <w:r w:rsidRPr="00FC1947">
        <w:rPr>
          <w:rtl/>
        </w:rPr>
        <w:t xml:space="preserve"> النصوص العديدة التي تؤكّد مقولة أن الغريزة الجنسيّة للمرأة تفوق غريزة الرجل وأنّها إن لم تزوّج تقع في المفاسد، وهذه النصوص هي:</w:t>
      </w:r>
    </w:p>
    <w:p w:rsidR="00592460" w:rsidRPr="00FC1947" w:rsidRDefault="00592460" w:rsidP="00793715">
      <w:pPr>
        <w:pStyle w:val="ac"/>
        <w:rPr>
          <w:rtl/>
        </w:rPr>
      </w:pPr>
      <w:r w:rsidRPr="00FC1947">
        <w:rPr>
          <w:b/>
          <w:bCs/>
          <w:rtl/>
        </w:rPr>
        <w:t>الرواية الأولى:</w:t>
      </w:r>
      <w:r w:rsidRPr="00FC1947">
        <w:rPr>
          <w:rtl/>
        </w:rPr>
        <w:t xml:space="preserve"> ما رواه الكليني عن أبي عبد الله</w:t>
      </w:r>
      <w:r>
        <w:rPr>
          <w:rFonts w:hint="cs"/>
          <w:rtl/>
        </w:rPr>
        <w:t>×</w:t>
      </w:r>
      <w:r w:rsidRPr="00FC1947">
        <w:rPr>
          <w:rFonts w:ascii="AGA Arabesque"/>
          <w:rtl/>
        </w:rPr>
        <w:t xml:space="preserve"> </w:t>
      </w:r>
      <w:r w:rsidRPr="00FC1947">
        <w:rPr>
          <w:rtl/>
        </w:rPr>
        <w:t xml:space="preserve"> في حديث..قال ـ</w:t>
      </w:r>
      <w:r w:rsidR="00793715">
        <w:rPr>
          <w:rFonts w:hint="cs"/>
          <w:rtl/>
        </w:rPr>
        <w:t xml:space="preserve"> </w:t>
      </w:r>
      <w:r w:rsidRPr="00FC1947">
        <w:rPr>
          <w:rtl/>
        </w:rPr>
        <w:t>أي رسول الله</w:t>
      </w:r>
      <w:r w:rsidR="00C86626">
        <w:rPr>
          <w:rFonts w:hint="cs"/>
          <w:rtl/>
        </w:rPr>
        <w:t>’</w:t>
      </w:r>
      <w:r w:rsidRPr="00FC1947">
        <w:rPr>
          <w:rtl/>
        </w:rPr>
        <w:t xml:space="preserve"> ـ</w:t>
      </w:r>
      <w:r w:rsidR="00793715">
        <w:rPr>
          <w:rFonts w:hint="cs"/>
          <w:rtl/>
        </w:rPr>
        <w:t>:</w:t>
      </w:r>
      <w:r w:rsidRPr="00FC1947">
        <w:rPr>
          <w:rtl/>
        </w:rPr>
        <w:t xml:space="preserve"> </w:t>
      </w:r>
      <w:r>
        <w:rPr>
          <w:rFonts w:hint="cs"/>
          <w:rtl/>
        </w:rPr>
        <w:t>«</w:t>
      </w:r>
      <w:r w:rsidRPr="00FC1947">
        <w:rPr>
          <w:rtl/>
        </w:rPr>
        <w:t>أيّها الناس، إن جبرئيل أتاني عن اللطيف الخبير فقال: إن الأبكار بمنزلة الثمر على الشجر إذا أدرك ثمارها فلم تجتن أفسدته الشمس ونثرته الرياح، وكذلك الأبكار إذا أدركن ما يدرك النساء فليس لهنّ دواء إلا البعولة</w:t>
      </w:r>
      <w:r w:rsidR="00793715">
        <w:rPr>
          <w:rFonts w:hint="cs"/>
          <w:rtl/>
        </w:rPr>
        <w:t>،</w:t>
      </w:r>
      <w:r w:rsidRPr="00FC1947">
        <w:rPr>
          <w:rtl/>
        </w:rPr>
        <w:t xml:space="preserve"> وإلا لم يؤمن عليهنّ الفساد</w:t>
      </w:r>
      <w:r w:rsidR="00793715">
        <w:rPr>
          <w:rFonts w:hint="cs"/>
          <w:rtl/>
        </w:rPr>
        <w:t>؛</w:t>
      </w:r>
      <w:r w:rsidRPr="00FC1947">
        <w:rPr>
          <w:rtl/>
        </w:rPr>
        <w:t xml:space="preserve"> لأنّهن بشر</w:t>
      </w:r>
      <w:r w:rsidRPr="00FC1947">
        <w:rPr>
          <w:rFonts w:ascii="Times New Roman" w:hAnsi="Times New Roman" w:cs="Times New Roman" w:hint="cs"/>
          <w:rtl/>
        </w:rPr>
        <w:t>…</w:t>
      </w:r>
      <w:r>
        <w:rPr>
          <w:rFonts w:hint="cs"/>
          <w:rtl/>
        </w:rPr>
        <w:t>»</w:t>
      </w:r>
      <w:r w:rsidRPr="00815C4C">
        <w:rPr>
          <w:rFonts w:cs="Taher"/>
          <w:vertAlign w:val="superscript"/>
          <w:rtl/>
        </w:rPr>
        <w:t>(</w:t>
      </w:r>
      <w:r w:rsidRPr="00815C4C">
        <w:rPr>
          <w:rFonts w:cs="Taher"/>
          <w:vertAlign w:val="superscript"/>
          <w:rtl/>
        </w:rPr>
        <w:footnoteReference w:id="737"/>
      </w:r>
      <w:r w:rsidRPr="00815C4C">
        <w:rPr>
          <w:rFonts w:cs="Taher"/>
          <w:vertAlign w:val="superscript"/>
          <w:rtl/>
        </w:rPr>
        <w:t>)</w:t>
      </w:r>
      <w:r w:rsidRPr="00FC1947">
        <w:rPr>
          <w:rtl/>
        </w:rPr>
        <w:t>.</w:t>
      </w:r>
    </w:p>
    <w:p w:rsidR="00592460" w:rsidRPr="00FC1947" w:rsidRDefault="00592460" w:rsidP="00BB6F3C">
      <w:pPr>
        <w:pStyle w:val="ac"/>
        <w:rPr>
          <w:rtl/>
        </w:rPr>
      </w:pPr>
      <w:r w:rsidRPr="00793715">
        <w:rPr>
          <w:b/>
          <w:bCs/>
          <w:rtl/>
        </w:rPr>
        <w:t>الرواية الثانية:</w:t>
      </w:r>
      <w:r w:rsidRPr="00FC1947">
        <w:rPr>
          <w:rtl/>
        </w:rPr>
        <w:t xml:space="preserve"> خبر عبد الرحمن بن سيّابة عن أبي عبد الله</w:t>
      </w:r>
      <w:r>
        <w:rPr>
          <w:rFonts w:hint="cs"/>
          <w:rtl/>
        </w:rPr>
        <w:t>×</w:t>
      </w:r>
      <w:r w:rsidRPr="00FC1947">
        <w:rPr>
          <w:rFonts w:ascii="AGA Arabesque"/>
          <w:rtl/>
        </w:rPr>
        <w:t xml:space="preserve"> </w:t>
      </w:r>
      <w:r w:rsidRPr="00FC1947">
        <w:rPr>
          <w:rtl/>
        </w:rPr>
        <w:t xml:space="preserve"> قال: </w:t>
      </w:r>
      <w:r>
        <w:rPr>
          <w:rFonts w:hint="cs"/>
          <w:rtl/>
        </w:rPr>
        <w:t>«</w:t>
      </w:r>
      <w:r w:rsidRPr="00FC1947">
        <w:rPr>
          <w:rtl/>
        </w:rPr>
        <w:t xml:space="preserve">إن الله خلق حوّاء من آدم فهمّة النساء </w:t>
      </w:r>
      <w:r w:rsidRPr="002649A0">
        <w:rPr>
          <w:sz w:val="29"/>
          <w:szCs w:val="29"/>
          <w:rtl/>
        </w:rPr>
        <w:t>الرجال...</w:t>
      </w:r>
      <w:r w:rsidRPr="002649A0">
        <w:rPr>
          <w:rFonts w:hint="cs"/>
          <w:sz w:val="29"/>
          <w:szCs w:val="29"/>
          <w:rtl/>
        </w:rPr>
        <w:t>»</w:t>
      </w:r>
      <w:r w:rsidRPr="002649A0">
        <w:rPr>
          <w:rFonts w:cs="Taher"/>
          <w:sz w:val="29"/>
          <w:szCs w:val="29"/>
          <w:vertAlign w:val="superscript"/>
          <w:rtl/>
        </w:rPr>
        <w:t>(</w:t>
      </w:r>
      <w:r w:rsidRPr="002649A0">
        <w:rPr>
          <w:rFonts w:cs="Taher"/>
          <w:sz w:val="29"/>
          <w:szCs w:val="29"/>
          <w:vertAlign w:val="superscript"/>
          <w:rtl/>
        </w:rPr>
        <w:footnoteReference w:id="738"/>
      </w:r>
      <w:r w:rsidRPr="002649A0">
        <w:rPr>
          <w:rFonts w:cs="Taher"/>
          <w:sz w:val="29"/>
          <w:szCs w:val="29"/>
          <w:vertAlign w:val="superscript"/>
          <w:rtl/>
        </w:rPr>
        <w:t>)</w:t>
      </w:r>
      <w:r w:rsidRPr="002649A0">
        <w:rPr>
          <w:sz w:val="29"/>
          <w:szCs w:val="29"/>
          <w:rtl/>
        </w:rPr>
        <w:t xml:space="preserve"> ونحوها خبر آخر رواه الواسطي</w:t>
      </w:r>
      <w:r w:rsidR="00793715" w:rsidRPr="002649A0">
        <w:rPr>
          <w:rFonts w:cs="Taher" w:hint="cs"/>
          <w:sz w:val="29"/>
          <w:szCs w:val="29"/>
          <w:vertAlign w:val="superscript"/>
          <w:rtl/>
        </w:rPr>
        <w:t>(</w:t>
      </w:r>
      <w:r w:rsidR="00793715" w:rsidRPr="002649A0">
        <w:rPr>
          <w:rFonts w:cs="Taher"/>
          <w:sz w:val="29"/>
          <w:szCs w:val="29"/>
          <w:vertAlign w:val="superscript"/>
          <w:rtl/>
        </w:rPr>
        <w:footnoteReference w:id="739"/>
      </w:r>
      <w:r w:rsidR="00793715" w:rsidRPr="002649A0">
        <w:rPr>
          <w:rFonts w:cs="Taher" w:hint="cs"/>
          <w:sz w:val="29"/>
          <w:szCs w:val="29"/>
          <w:vertAlign w:val="superscript"/>
          <w:rtl/>
        </w:rPr>
        <w:t>)</w:t>
      </w:r>
      <w:r w:rsidR="00793715" w:rsidRPr="002649A0">
        <w:rPr>
          <w:rFonts w:hint="cs"/>
          <w:sz w:val="29"/>
          <w:szCs w:val="29"/>
          <w:rtl/>
        </w:rPr>
        <w:t>،</w:t>
      </w:r>
      <w:r w:rsidRPr="002649A0">
        <w:rPr>
          <w:sz w:val="29"/>
          <w:szCs w:val="29"/>
          <w:rtl/>
        </w:rPr>
        <w:t xml:space="preserve"> وثالث رواه إبن جمهور عن أبيه رفعه</w:t>
      </w:r>
      <w:r w:rsidRPr="002649A0">
        <w:rPr>
          <w:rFonts w:cs="Taher"/>
          <w:sz w:val="29"/>
          <w:szCs w:val="29"/>
          <w:vertAlign w:val="superscript"/>
          <w:rtl/>
        </w:rPr>
        <w:t>(</w:t>
      </w:r>
      <w:r w:rsidRPr="002649A0">
        <w:rPr>
          <w:rFonts w:cs="Taher"/>
          <w:sz w:val="29"/>
          <w:szCs w:val="29"/>
          <w:vertAlign w:val="superscript"/>
          <w:rtl/>
        </w:rPr>
        <w:footnoteReference w:id="740"/>
      </w:r>
      <w:r w:rsidRPr="002649A0">
        <w:rPr>
          <w:rFonts w:cs="Taher"/>
          <w:sz w:val="29"/>
          <w:szCs w:val="29"/>
          <w:vertAlign w:val="superscript"/>
          <w:rtl/>
        </w:rPr>
        <w:t>)</w:t>
      </w:r>
      <w:r w:rsidRPr="002649A0">
        <w:rPr>
          <w:sz w:val="29"/>
          <w:szCs w:val="29"/>
          <w:rtl/>
        </w:rPr>
        <w:t>، ورابع رواه وهب</w:t>
      </w:r>
      <w:r w:rsidR="00BB6F3C" w:rsidRPr="002649A0">
        <w:rPr>
          <w:rFonts w:cs="Taher" w:hint="cs"/>
          <w:sz w:val="29"/>
          <w:szCs w:val="29"/>
          <w:vertAlign w:val="superscript"/>
          <w:rtl/>
        </w:rPr>
        <w:t>(</w:t>
      </w:r>
      <w:r w:rsidR="00BB6F3C" w:rsidRPr="002649A0">
        <w:rPr>
          <w:rFonts w:cs="Taher"/>
          <w:sz w:val="29"/>
          <w:szCs w:val="29"/>
          <w:vertAlign w:val="superscript"/>
          <w:rtl/>
        </w:rPr>
        <w:footnoteReference w:id="741"/>
      </w:r>
      <w:r w:rsidR="00BB6F3C" w:rsidRPr="002649A0">
        <w:rPr>
          <w:rFonts w:cs="Taher" w:hint="cs"/>
          <w:sz w:val="29"/>
          <w:szCs w:val="29"/>
          <w:vertAlign w:val="superscript"/>
          <w:rtl/>
        </w:rPr>
        <w:t>)</w:t>
      </w:r>
      <w:r w:rsidR="00BB6F3C" w:rsidRPr="002649A0">
        <w:rPr>
          <w:rFonts w:hint="cs"/>
          <w:sz w:val="29"/>
          <w:szCs w:val="29"/>
          <w:rtl/>
        </w:rPr>
        <w:t xml:space="preserve">، </w:t>
      </w:r>
      <w:r w:rsidRPr="002649A0">
        <w:rPr>
          <w:sz w:val="29"/>
          <w:szCs w:val="29"/>
          <w:rtl/>
        </w:rPr>
        <w:t>وخامس رواه غياث بن إبراهيم</w:t>
      </w:r>
      <w:r w:rsidRPr="002649A0">
        <w:rPr>
          <w:rFonts w:cs="Taher"/>
          <w:sz w:val="29"/>
          <w:szCs w:val="29"/>
          <w:vertAlign w:val="superscript"/>
          <w:rtl/>
        </w:rPr>
        <w:t>(</w:t>
      </w:r>
      <w:r w:rsidRPr="002649A0">
        <w:rPr>
          <w:rFonts w:cs="Taher"/>
          <w:sz w:val="29"/>
          <w:szCs w:val="29"/>
          <w:vertAlign w:val="superscript"/>
          <w:rtl/>
        </w:rPr>
        <w:footnoteReference w:id="742"/>
      </w:r>
      <w:r w:rsidRPr="002649A0">
        <w:rPr>
          <w:rFonts w:cs="Taher"/>
          <w:sz w:val="29"/>
          <w:szCs w:val="29"/>
          <w:vertAlign w:val="superscript"/>
          <w:rtl/>
        </w:rPr>
        <w:t>)</w:t>
      </w:r>
      <w:r w:rsidRPr="002649A0">
        <w:rPr>
          <w:sz w:val="29"/>
          <w:szCs w:val="29"/>
          <w:rtl/>
        </w:rPr>
        <w:t>.</w:t>
      </w:r>
    </w:p>
    <w:p w:rsidR="00592460" w:rsidRPr="00FC1947" w:rsidRDefault="00592460" w:rsidP="002649A0">
      <w:pPr>
        <w:pStyle w:val="ac"/>
        <w:spacing w:line="199" w:lineRule="auto"/>
        <w:rPr>
          <w:rtl/>
        </w:rPr>
      </w:pPr>
      <w:r w:rsidRPr="00FC1947">
        <w:rPr>
          <w:b/>
          <w:bCs/>
          <w:rtl/>
        </w:rPr>
        <w:lastRenderedPageBreak/>
        <w:t>الرّواية الثالثة:</w:t>
      </w:r>
      <w:r w:rsidRPr="00FC1947">
        <w:rPr>
          <w:rtl/>
        </w:rPr>
        <w:t xml:space="preserve"> ما رواه الأصبغ بن نباتة قال: قال أمير المؤمنين</w:t>
      </w:r>
      <w:r>
        <w:rPr>
          <w:rFonts w:hint="cs"/>
          <w:rtl/>
        </w:rPr>
        <w:t>×</w:t>
      </w:r>
      <w:r w:rsidRPr="00FC1947">
        <w:rPr>
          <w:rFonts w:ascii="AGA Arabesque"/>
          <w:rtl/>
        </w:rPr>
        <w:t xml:space="preserve"> </w:t>
      </w:r>
      <w:r w:rsidRPr="00FC1947">
        <w:rPr>
          <w:rtl/>
        </w:rPr>
        <w:t xml:space="preserve"> </w:t>
      </w:r>
      <w:r>
        <w:rPr>
          <w:rFonts w:hint="cs"/>
          <w:rtl/>
        </w:rPr>
        <w:t>«</w:t>
      </w:r>
      <w:r w:rsidRPr="00FC1947">
        <w:rPr>
          <w:rtl/>
        </w:rPr>
        <w:t>خلق الله عزّ وجل الشهوة عشرة أجزاء</w:t>
      </w:r>
      <w:r w:rsidR="00BB6F3C">
        <w:rPr>
          <w:rFonts w:hint="cs"/>
          <w:rtl/>
        </w:rPr>
        <w:t>،</w:t>
      </w:r>
      <w:r w:rsidRPr="00FC1947">
        <w:rPr>
          <w:rtl/>
        </w:rPr>
        <w:t xml:space="preserve"> فجعل تسعة أجزاء في النّساء وجزءاً واحداً في الرجال، ولولا ما جعل الله عزّ وجلّ فيهنّ من الحياء على قدر أجزاء الشهوة لكان لكل رجل تسعة نسوة متعلّقات به</w:t>
      </w:r>
      <w:r>
        <w:rPr>
          <w:rFonts w:hint="cs"/>
          <w:rtl/>
        </w:rPr>
        <w:t>»</w:t>
      </w:r>
      <w:r w:rsidR="00BB6F3C" w:rsidRPr="00793715">
        <w:rPr>
          <w:rFonts w:cs="Taher" w:hint="cs"/>
          <w:vertAlign w:val="superscript"/>
          <w:rtl/>
        </w:rPr>
        <w:t>(</w:t>
      </w:r>
      <w:r w:rsidR="00BB6F3C" w:rsidRPr="00793715">
        <w:rPr>
          <w:rFonts w:cs="Taher"/>
          <w:vertAlign w:val="superscript"/>
          <w:rtl/>
        </w:rPr>
        <w:footnoteReference w:id="743"/>
      </w:r>
      <w:r w:rsidR="00BB6F3C" w:rsidRPr="00793715">
        <w:rPr>
          <w:rFonts w:cs="Taher" w:hint="cs"/>
          <w:vertAlign w:val="superscript"/>
          <w:rtl/>
        </w:rPr>
        <w:t>)</w:t>
      </w:r>
      <w:r w:rsidR="00BB6F3C" w:rsidRPr="00BB6F3C">
        <w:rPr>
          <w:rFonts w:hint="cs"/>
          <w:rtl/>
        </w:rPr>
        <w:t>،</w:t>
      </w:r>
      <w:r w:rsidRPr="00FC1947">
        <w:rPr>
          <w:rtl/>
        </w:rPr>
        <w:t xml:space="preserve"> ونحوها </w:t>
      </w:r>
      <w:r w:rsidR="00BB6F3C">
        <w:rPr>
          <w:rFonts w:hint="cs"/>
          <w:rtl/>
        </w:rPr>
        <w:t xml:space="preserve">ـ </w:t>
      </w:r>
      <w:r w:rsidRPr="00FC1947">
        <w:rPr>
          <w:rtl/>
        </w:rPr>
        <w:t xml:space="preserve">مع اختلافات </w:t>
      </w:r>
      <w:r w:rsidR="00BB6F3C">
        <w:rPr>
          <w:rFonts w:hint="cs"/>
          <w:rtl/>
        </w:rPr>
        <w:t xml:space="preserve">ـ </w:t>
      </w:r>
      <w:r w:rsidRPr="00FC1947">
        <w:rPr>
          <w:rtl/>
        </w:rPr>
        <w:t>خبر ضريس وإسحاق بن عمّار وأبي بصير ومسعدة بن صدقة</w:t>
      </w:r>
      <w:r w:rsidRPr="00815C4C">
        <w:rPr>
          <w:rFonts w:cs="Taher"/>
          <w:vertAlign w:val="superscript"/>
          <w:rtl/>
        </w:rPr>
        <w:t>(</w:t>
      </w:r>
      <w:r w:rsidRPr="00815C4C">
        <w:rPr>
          <w:rFonts w:cs="Taher"/>
          <w:vertAlign w:val="superscript"/>
          <w:rtl/>
        </w:rPr>
        <w:footnoteReference w:id="744"/>
      </w:r>
      <w:r w:rsidRPr="00815C4C">
        <w:rPr>
          <w:rFonts w:cs="Taher"/>
          <w:vertAlign w:val="superscript"/>
          <w:rtl/>
        </w:rPr>
        <w:t>)</w:t>
      </w:r>
      <w:r w:rsidRPr="00FC1947">
        <w:rPr>
          <w:rtl/>
        </w:rPr>
        <w:t>.</w:t>
      </w:r>
    </w:p>
    <w:p w:rsidR="00592460" w:rsidRPr="00FC1947" w:rsidRDefault="00592460" w:rsidP="002649A0">
      <w:pPr>
        <w:pStyle w:val="ac"/>
        <w:spacing w:line="199" w:lineRule="auto"/>
        <w:rPr>
          <w:rtl/>
        </w:rPr>
      </w:pPr>
      <w:r w:rsidRPr="00FC1947">
        <w:rPr>
          <w:rtl/>
        </w:rPr>
        <w:t xml:space="preserve">وهذه الروايات تشهد على الموضوع الذي نعالجه لتؤكّد </w:t>
      </w:r>
      <w:r w:rsidR="00BB6F3C">
        <w:rPr>
          <w:rFonts w:hint="cs"/>
          <w:rtl/>
        </w:rPr>
        <w:t xml:space="preserve">ـ </w:t>
      </w:r>
      <w:r w:rsidRPr="00FC1947">
        <w:rPr>
          <w:rtl/>
        </w:rPr>
        <w:t xml:space="preserve">ولو بطريقة غير تقنينيّة </w:t>
      </w:r>
      <w:r w:rsidR="00BB6F3C">
        <w:rPr>
          <w:rFonts w:hint="cs"/>
          <w:rtl/>
        </w:rPr>
        <w:t xml:space="preserve">ـ </w:t>
      </w:r>
      <w:r w:rsidRPr="00FC1947">
        <w:rPr>
          <w:rtl/>
        </w:rPr>
        <w:t>ضرورة إشباع غريزة الزوجة داخل مؤسّسة الزواج.</w:t>
      </w:r>
    </w:p>
    <w:p w:rsidR="00592460" w:rsidRPr="00BB6F3C" w:rsidRDefault="00592460" w:rsidP="002649A0">
      <w:pPr>
        <w:pStyle w:val="ac"/>
        <w:spacing w:line="199" w:lineRule="auto"/>
        <w:rPr>
          <w:b/>
          <w:bCs/>
          <w:rtl/>
        </w:rPr>
      </w:pPr>
      <w:r w:rsidRPr="00BB6F3C">
        <w:rPr>
          <w:b/>
          <w:bCs/>
          <w:rtl/>
        </w:rPr>
        <w:t>غير أنه قد يناقش في هذه الروايات بمناقشتين هما:</w:t>
      </w:r>
    </w:p>
    <w:p w:rsidR="00592460" w:rsidRPr="00FC1947" w:rsidRDefault="00592460" w:rsidP="002649A0">
      <w:pPr>
        <w:pStyle w:val="ac"/>
        <w:spacing w:line="199" w:lineRule="auto"/>
        <w:rPr>
          <w:rtl/>
        </w:rPr>
      </w:pPr>
      <w:r w:rsidRPr="00FC1947">
        <w:rPr>
          <w:b/>
          <w:bCs/>
          <w:rtl/>
        </w:rPr>
        <w:t>المناقشة الأولى:</w:t>
      </w:r>
      <w:r w:rsidRPr="00FC1947">
        <w:rPr>
          <w:rtl/>
        </w:rPr>
        <w:t xml:space="preserve"> وهي مناقشة سنديّة حاصلها: إنّ هذه النصوص ضعيفة السّند فلا يعتمد عليها، وهذه المناقشة قد تستوحى من صاحب هذا الوجه نفسه</w:t>
      </w:r>
      <w:r w:rsidRPr="00815C4C">
        <w:rPr>
          <w:rFonts w:cs="Taher"/>
          <w:vertAlign w:val="superscript"/>
          <w:rtl/>
        </w:rPr>
        <w:t>(</w:t>
      </w:r>
      <w:r w:rsidRPr="00815C4C">
        <w:rPr>
          <w:rFonts w:cs="Taher"/>
          <w:vertAlign w:val="superscript"/>
          <w:rtl/>
        </w:rPr>
        <w:footnoteReference w:id="745"/>
      </w:r>
      <w:r w:rsidRPr="00815C4C">
        <w:rPr>
          <w:rFonts w:cs="Taher"/>
          <w:vertAlign w:val="superscript"/>
          <w:rtl/>
        </w:rPr>
        <w:t>)</w:t>
      </w:r>
      <w:r w:rsidRPr="00FC1947">
        <w:rPr>
          <w:rtl/>
        </w:rPr>
        <w:t>.</w:t>
      </w:r>
    </w:p>
    <w:p w:rsidR="00592460" w:rsidRPr="00FC1947" w:rsidRDefault="00592460" w:rsidP="007F75C5">
      <w:pPr>
        <w:pStyle w:val="ac"/>
        <w:spacing w:line="199" w:lineRule="auto"/>
        <w:rPr>
          <w:rtl/>
        </w:rPr>
      </w:pPr>
      <w:r w:rsidRPr="00BB6F3C">
        <w:rPr>
          <w:b/>
          <w:bCs/>
          <w:rtl/>
        </w:rPr>
        <w:t>غير أن هذه المناقشة غير وجيهة</w:t>
      </w:r>
      <w:r w:rsidR="007F75C5">
        <w:rPr>
          <w:rFonts w:hint="cs"/>
          <w:b/>
          <w:bCs/>
          <w:rtl/>
        </w:rPr>
        <w:t>؛</w:t>
      </w:r>
      <w:r w:rsidRPr="00FC1947">
        <w:rPr>
          <w:rtl/>
        </w:rPr>
        <w:t xml:space="preserve"> لأن بعض هذه النصوص وإن كان ضعيف السند كما ذكر</w:t>
      </w:r>
      <w:r w:rsidR="00BB6F3C">
        <w:rPr>
          <w:rFonts w:hint="cs"/>
          <w:rtl/>
        </w:rPr>
        <w:t>،</w:t>
      </w:r>
      <w:r w:rsidRPr="00FC1947">
        <w:rPr>
          <w:rtl/>
        </w:rPr>
        <w:t xml:space="preserve"> كالخبر الأول بأحد طرقه</w:t>
      </w:r>
      <w:r w:rsidR="00BB6F3C">
        <w:rPr>
          <w:rFonts w:hint="cs"/>
          <w:rtl/>
        </w:rPr>
        <w:t>،</w:t>
      </w:r>
      <w:r w:rsidRPr="00FC1947">
        <w:rPr>
          <w:rtl/>
        </w:rPr>
        <w:t xml:space="preserve"> وخبر </w:t>
      </w:r>
      <w:r w:rsidR="007F75C5">
        <w:rPr>
          <w:rFonts w:hint="cs"/>
          <w:rtl/>
        </w:rPr>
        <w:t>ا</w:t>
      </w:r>
      <w:r w:rsidRPr="00FC1947">
        <w:rPr>
          <w:rtl/>
        </w:rPr>
        <w:t>بن جمهور</w:t>
      </w:r>
      <w:r w:rsidR="00BB6F3C">
        <w:rPr>
          <w:rFonts w:hint="cs"/>
          <w:rtl/>
        </w:rPr>
        <w:t>،</w:t>
      </w:r>
      <w:r w:rsidRPr="00FC1947">
        <w:rPr>
          <w:rtl/>
        </w:rPr>
        <w:t xml:space="preserve"> وخبر إسحاق بن عمّار</w:t>
      </w:r>
      <w:r w:rsidR="00BB6F3C">
        <w:rPr>
          <w:rFonts w:hint="cs"/>
          <w:rtl/>
        </w:rPr>
        <w:t>،</w:t>
      </w:r>
      <w:r w:rsidRPr="00FC1947">
        <w:rPr>
          <w:rtl/>
        </w:rPr>
        <w:t xml:space="preserve"> وخبر أبي بصير</w:t>
      </w:r>
      <w:r w:rsidR="00BB6F3C">
        <w:rPr>
          <w:rFonts w:hint="cs"/>
          <w:rtl/>
        </w:rPr>
        <w:t>؛</w:t>
      </w:r>
      <w:r w:rsidRPr="00FC1947">
        <w:rPr>
          <w:rtl/>
        </w:rPr>
        <w:t xml:space="preserve"> فإن هذه الأخبار جميعها مرسلة</w:t>
      </w:r>
      <w:r w:rsidR="00BB6F3C">
        <w:rPr>
          <w:rFonts w:hint="cs"/>
          <w:rtl/>
        </w:rPr>
        <w:t>،</w:t>
      </w:r>
      <w:r w:rsidRPr="00FC1947">
        <w:rPr>
          <w:rtl/>
        </w:rPr>
        <w:t xml:space="preserve"> كما أن خبر الواسطي ضعيف به</w:t>
      </w:r>
      <w:r w:rsidR="00BB6F3C">
        <w:rPr>
          <w:rFonts w:hint="cs"/>
          <w:rtl/>
        </w:rPr>
        <w:t>،</w:t>
      </w:r>
      <w:r w:rsidRPr="00FC1947">
        <w:rPr>
          <w:rtl/>
        </w:rPr>
        <w:t xml:space="preserve"> وكذا خبر وهب</w:t>
      </w:r>
      <w:r w:rsidR="00BB6F3C">
        <w:rPr>
          <w:rFonts w:hint="cs"/>
          <w:rtl/>
        </w:rPr>
        <w:t>،</w:t>
      </w:r>
      <w:r w:rsidRPr="00FC1947">
        <w:rPr>
          <w:rtl/>
        </w:rPr>
        <w:t xml:space="preserve"> غير أن خبر غياث بن إبراهيم تامّ سنداً</w:t>
      </w:r>
      <w:r w:rsidR="00BB6F3C">
        <w:rPr>
          <w:rFonts w:hint="cs"/>
          <w:rtl/>
        </w:rPr>
        <w:t>؛</w:t>
      </w:r>
      <w:r w:rsidRPr="00FC1947">
        <w:rPr>
          <w:rtl/>
        </w:rPr>
        <w:t xml:space="preserve"> لأنه مرويّ في العلل عن أبيه عن سعد عن محمد بن الحسين عن محمد بن يحي</w:t>
      </w:r>
      <w:r w:rsidR="00BB6F3C">
        <w:rPr>
          <w:rFonts w:hint="cs"/>
          <w:rtl/>
        </w:rPr>
        <w:t>ى</w:t>
      </w:r>
      <w:r w:rsidRPr="00FC1947">
        <w:rPr>
          <w:rtl/>
        </w:rPr>
        <w:t xml:space="preserve"> عن غياث</w:t>
      </w:r>
      <w:r w:rsidR="00BB6F3C">
        <w:rPr>
          <w:rFonts w:hint="cs"/>
          <w:rtl/>
        </w:rPr>
        <w:t>،</w:t>
      </w:r>
      <w:r w:rsidRPr="00FC1947">
        <w:rPr>
          <w:rtl/>
        </w:rPr>
        <w:t xml:space="preserve"> بعد تجاوز مشكلة أنه </w:t>
      </w:r>
      <w:r w:rsidR="00BB6F3C">
        <w:rPr>
          <w:rFonts w:hint="cs"/>
          <w:rtl/>
        </w:rPr>
        <w:t>ا</w:t>
      </w:r>
      <w:r w:rsidRPr="00FC1947">
        <w:rPr>
          <w:rtl/>
        </w:rPr>
        <w:t xml:space="preserve">بن أبي إبراهيم أو </w:t>
      </w:r>
      <w:r w:rsidR="00BB6F3C">
        <w:rPr>
          <w:rFonts w:hint="cs"/>
          <w:rtl/>
        </w:rPr>
        <w:t>ا</w:t>
      </w:r>
      <w:r w:rsidRPr="00FC1947">
        <w:rPr>
          <w:rtl/>
        </w:rPr>
        <w:t>بن إبراهيم كما هو الأرجح، وكذا الحال في خبر الأصبغ بن نباتة ومسعدة بن صدقة.</w:t>
      </w:r>
    </w:p>
    <w:p w:rsidR="00592460" w:rsidRPr="00FC1947" w:rsidRDefault="00592460" w:rsidP="00BB6F3C">
      <w:pPr>
        <w:pStyle w:val="ac"/>
        <w:rPr>
          <w:rtl/>
        </w:rPr>
      </w:pPr>
      <w:r w:rsidRPr="00FC1947">
        <w:rPr>
          <w:rtl/>
        </w:rPr>
        <w:t>فإذن</w:t>
      </w:r>
      <w:r w:rsidR="00BB6F3C">
        <w:rPr>
          <w:rFonts w:hint="cs"/>
          <w:rtl/>
        </w:rPr>
        <w:t>،</w:t>
      </w:r>
      <w:r w:rsidRPr="00FC1947">
        <w:rPr>
          <w:rtl/>
        </w:rPr>
        <w:t xml:space="preserve"> هناك بعض من هذه الأخبار صحيح سنداً.</w:t>
      </w:r>
    </w:p>
    <w:p w:rsidR="00592460" w:rsidRPr="00FC1947" w:rsidRDefault="00592460" w:rsidP="00BB6F3C">
      <w:pPr>
        <w:pStyle w:val="ac"/>
        <w:rPr>
          <w:rtl/>
        </w:rPr>
      </w:pPr>
      <w:r w:rsidRPr="00FC1947">
        <w:rPr>
          <w:b/>
          <w:bCs/>
          <w:rtl/>
        </w:rPr>
        <w:t>المناقشة الثانية:</w:t>
      </w:r>
      <w:r w:rsidRPr="00FC1947">
        <w:rPr>
          <w:rtl/>
        </w:rPr>
        <w:t xml:space="preserve"> وهي مناقشة دلاليّة يفهم أيضاً من صاحب هذا الوجه ميله إليها</w:t>
      </w:r>
      <w:r w:rsidR="00BB6F3C">
        <w:rPr>
          <w:rFonts w:hint="cs"/>
          <w:rtl/>
        </w:rPr>
        <w:t>،</w:t>
      </w:r>
      <w:r w:rsidRPr="00FC1947">
        <w:rPr>
          <w:rtl/>
        </w:rPr>
        <w:t xml:space="preserve"> ولهذا جعل هذا الوجه في قوّة المؤيد من دون أن يمنحه رتبة الدليل، وحاصلها أنّه لا توجد دلالة واضحة في هذه النصوص</w:t>
      </w:r>
      <w:r w:rsidR="00BB6F3C">
        <w:rPr>
          <w:rFonts w:hint="cs"/>
          <w:rtl/>
        </w:rPr>
        <w:t>؛</w:t>
      </w:r>
      <w:r w:rsidRPr="00FC1947">
        <w:rPr>
          <w:rtl/>
        </w:rPr>
        <w:t xml:space="preserve"> لأن مركز كلامها مختلف عن مركز مسألتنا وإن </w:t>
      </w:r>
      <w:r w:rsidRPr="00FC1947">
        <w:rPr>
          <w:rtl/>
        </w:rPr>
        <w:lastRenderedPageBreak/>
        <w:t>كان مضمونها قابلاً لأن يسلّط الضوء على ما نحن فيه</w:t>
      </w:r>
      <w:r w:rsidRPr="00815C4C">
        <w:rPr>
          <w:rFonts w:cs="Taher"/>
          <w:vertAlign w:val="superscript"/>
          <w:rtl/>
        </w:rPr>
        <w:t>(</w:t>
      </w:r>
      <w:r w:rsidRPr="00815C4C">
        <w:rPr>
          <w:rFonts w:cs="Taher"/>
          <w:vertAlign w:val="superscript"/>
          <w:rtl/>
        </w:rPr>
        <w:footnoteReference w:id="746"/>
      </w:r>
      <w:r w:rsidRPr="00815C4C">
        <w:rPr>
          <w:rFonts w:cs="Taher"/>
          <w:vertAlign w:val="superscript"/>
          <w:rtl/>
        </w:rPr>
        <w:t>)</w:t>
      </w:r>
      <w:r w:rsidRPr="00FC1947">
        <w:rPr>
          <w:rtl/>
        </w:rPr>
        <w:t>.</w:t>
      </w:r>
    </w:p>
    <w:p w:rsidR="00592460" w:rsidRPr="00FC1947" w:rsidRDefault="00592460" w:rsidP="002649A0">
      <w:pPr>
        <w:pStyle w:val="ac"/>
        <w:spacing w:line="211" w:lineRule="auto"/>
        <w:rPr>
          <w:rtl/>
        </w:rPr>
      </w:pPr>
      <w:r w:rsidRPr="00BB6F3C">
        <w:rPr>
          <w:b/>
          <w:bCs/>
          <w:rtl/>
        </w:rPr>
        <w:t>وقد يقال:</w:t>
      </w:r>
      <w:r w:rsidRPr="00FC1947">
        <w:rPr>
          <w:rtl/>
        </w:rPr>
        <w:t xml:space="preserve"> إن هذه المناقشة تامّة من حيث المبدأ بمعنى أنها ـ أي الروايات ـ لا تستطيع أن تؤكّد صحّة هذه الرؤية الفقهيّة</w:t>
      </w:r>
      <w:r w:rsidR="00BB6F3C">
        <w:rPr>
          <w:rFonts w:hint="cs"/>
          <w:rtl/>
        </w:rPr>
        <w:t>،</w:t>
      </w:r>
      <w:r w:rsidRPr="00FC1947">
        <w:rPr>
          <w:rtl/>
        </w:rPr>
        <w:t xml:space="preserve"> لكنها قادرة على أن تقدّمنا خطوة نحو الأمام بالنسبة للنظرية الأولى المتقدّمة</w:t>
      </w:r>
      <w:r w:rsidR="00BB6F3C">
        <w:rPr>
          <w:rFonts w:hint="cs"/>
          <w:rtl/>
        </w:rPr>
        <w:t>؛</w:t>
      </w:r>
      <w:r w:rsidRPr="00FC1947">
        <w:rPr>
          <w:rtl/>
        </w:rPr>
        <w:t xml:space="preserve"> لأن الخبر الذي اشتمل على مسألة أن همّة المرأة في الرجل قد اشتمل عقيب هذه الفقرة على جملة الأمر بالحبس في البيت، وهذا المقطع وارد في خبر تامّ صحيح السند أيضاً وهو خبر غياث ومعنى ذلك أنّ من الضّروري سدّ حاجات المرأة تخوفاً من فسادها</w:t>
      </w:r>
      <w:r w:rsidR="00BB6F3C">
        <w:rPr>
          <w:rFonts w:hint="cs"/>
          <w:rtl/>
        </w:rPr>
        <w:t>؛</w:t>
      </w:r>
      <w:r w:rsidRPr="00FC1947">
        <w:rPr>
          <w:rtl/>
        </w:rPr>
        <w:t xml:space="preserve"> نظراً إلى أن الأمر بالحبس يمثل نموذجاً تشريعياً للحيلولة بين المرأة والمعصية.</w:t>
      </w:r>
    </w:p>
    <w:p w:rsidR="00592460" w:rsidRPr="00FC1947" w:rsidRDefault="00592460" w:rsidP="007F75C5">
      <w:pPr>
        <w:pStyle w:val="ac"/>
        <w:spacing w:line="211" w:lineRule="auto"/>
        <w:rPr>
          <w:b/>
          <w:bCs/>
          <w:rtl/>
        </w:rPr>
      </w:pPr>
      <w:r w:rsidRPr="00BB6F3C">
        <w:rPr>
          <w:b/>
          <w:bCs/>
          <w:rtl/>
        </w:rPr>
        <w:t>غير أن هذه المحاولة غير واضحة</w:t>
      </w:r>
      <w:r w:rsidR="00BB6F3C" w:rsidRPr="00BB6F3C">
        <w:rPr>
          <w:rFonts w:hint="cs"/>
          <w:b/>
          <w:bCs/>
          <w:rtl/>
        </w:rPr>
        <w:t>؛</w:t>
      </w:r>
      <w:r w:rsidRPr="00FC1947">
        <w:rPr>
          <w:rtl/>
        </w:rPr>
        <w:t xml:space="preserve"> لأنها تعتمد على مقدّمة خارجية لم يكتنفها النّص، بل إن نفس الأمر بالحبس دون تعرّض لسدّ حاجات المرأة الغريزية من شأنه أن يضعّف من أيّة محاولة لل</w:t>
      </w:r>
      <w:r w:rsidR="00BB6F3C">
        <w:rPr>
          <w:rFonts w:hint="cs"/>
          <w:rtl/>
        </w:rPr>
        <w:t>ا</w:t>
      </w:r>
      <w:r w:rsidRPr="00FC1947">
        <w:rPr>
          <w:rtl/>
        </w:rPr>
        <w:t>ستفادة من هذه النصوص</w:t>
      </w:r>
      <w:r w:rsidR="007F75C5">
        <w:rPr>
          <w:rFonts w:hint="cs"/>
          <w:rtl/>
        </w:rPr>
        <w:t>؛</w:t>
      </w:r>
      <w:r w:rsidRPr="00FC1947">
        <w:rPr>
          <w:rtl/>
        </w:rPr>
        <w:t xml:space="preserve"> لأن أمر الزوج بقضاء حاجات زوجته الغريزية أو على الأقل بأخذها بعين ال</w:t>
      </w:r>
      <w:r w:rsidR="00BB6F3C">
        <w:rPr>
          <w:rFonts w:hint="cs"/>
          <w:rtl/>
        </w:rPr>
        <w:t>ا</w:t>
      </w:r>
      <w:r w:rsidRPr="00FC1947">
        <w:rPr>
          <w:rtl/>
        </w:rPr>
        <w:t>عتبار وال</w:t>
      </w:r>
      <w:r w:rsidR="00BB6F3C">
        <w:rPr>
          <w:rFonts w:hint="cs"/>
          <w:rtl/>
        </w:rPr>
        <w:t>ا</w:t>
      </w:r>
      <w:r w:rsidRPr="00FC1947">
        <w:rPr>
          <w:rtl/>
        </w:rPr>
        <w:t>هتمام من الصعب تجاوزه في مثل المقام والتعويض بدلاً عنه بالأمر بالحبس، هذا كلّه باستثناء الرواية الأولى التي تجعل الزواج حصاناً للمرأة</w:t>
      </w:r>
      <w:r w:rsidR="00BB6F3C">
        <w:rPr>
          <w:rFonts w:hint="cs"/>
          <w:rtl/>
        </w:rPr>
        <w:t>،</w:t>
      </w:r>
      <w:r w:rsidRPr="00FC1947">
        <w:rPr>
          <w:rtl/>
        </w:rPr>
        <w:t xml:space="preserve"> بضميمة ما تقدم ذكره في الوجه الأول هنا.</w:t>
      </w:r>
    </w:p>
    <w:p w:rsidR="00592460" w:rsidRPr="00FC1947" w:rsidRDefault="00592460" w:rsidP="00A8482F">
      <w:pPr>
        <w:pStyle w:val="ac"/>
        <w:rPr>
          <w:rFonts w:ascii="Arabic Transparent" w:hAnsi="Arabic Transparent"/>
          <w:rtl/>
        </w:rPr>
      </w:pPr>
      <w:r w:rsidRPr="00FC1947">
        <w:rPr>
          <w:rFonts w:ascii="Arabic Transparent" w:hAnsi="Arabic Transparent"/>
          <w:b/>
          <w:bCs/>
          <w:rtl/>
        </w:rPr>
        <w:t>المناقشة الثالثة:</w:t>
      </w:r>
      <w:r w:rsidRPr="00FC1947">
        <w:rPr>
          <w:rFonts w:ascii="Arabic Transparent" w:hAnsi="Arabic Transparent"/>
          <w:rtl/>
        </w:rPr>
        <w:t xml:space="preserve"> وهي مناقشة ربما تؤثّر على قوّة الوجه الأول نفسه هنا</w:t>
      </w:r>
      <w:r w:rsidR="00BB6F3C">
        <w:rPr>
          <w:rFonts w:ascii="Arabic Transparent" w:hAnsi="Arabic Transparent" w:hint="cs"/>
          <w:rtl/>
        </w:rPr>
        <w:t>،</w:t>
      </w:r>
      <w:r w:rsidRPr="00FC1947">
        <w:rPr>
          <w:rFonts w:ascii="Arabic Transparent" w:hAnsi="Arabic Transparent"/>
          <w:rtl/>
        </w:rPr>
        <w:t xml:space="preserve"> وحاصلها أن ههنا حلقة مفرغة لم يجر ملؤها</w:t>
      </w:r>
      <w:r w:rsidR="00BB6F3C">
        <w:rPr>
          <w:rFonts w:ascii="Arabic Transparent" w:hAnsi="Arabic Transparent" w:hint="cs"/>
          <w:rtl/>
        </w:rPr>
        <w:t>؛</w:t>
      </w:r>
      <w:r w:rsidRPr="00FC1947">
        <w:rPr>
          <w:rFonts w:ascii="Arabic Transparent" w:hAnsi="Arabic Transparent"/>
          <w:rtl/>
        </w:rPr>
        <w:t xml:space="preserve"> وهي أن المشرّع في هذه النصوص حيث اعترف بقوّة الحاجة الجنسية للمرأة فلا بد له أن يفرض بصورة إلزامية على الرجل مقاربة زوجته عند مطالبتها ونحو ذلك</w:t>
      </w:r>
      <w:r w:rsidR="009240BA">
        <w:rPr>
          <w:rFonts w:ascii="Arabic Transparent" w:hAnsi="Arabic Transparent" w:hint="cs"/>
          <w:rtl/>
        </w:rPr>
        <w:t>،</w:t>
      </w:r>
      <w:r w:rsidRPr="00FC1947">
        <w:rPr>
          <w:rFonts w:ascii="Arabic Transparent" w:hAnsi="Arabic Transparent"/>
          <w:rtl/>
        </w:rPr>
        <w:t xml:space="preserve"> حتى لا تأخذ هذه الحاجة طريقاً ومنفذاً آخر مفضياً إلى الفساد</w:t>
      </w:r>
      <w:r w:rsidR="009240BA">
        <w:rPr>
          <w:rFonts w:ascii="Arabic Transparent" w:hAnsi="Arabic Transparent" w:hint="cs"/>
          <w:rtl/>
        </w:rPr>
        <w:t>،</w:t>
      </w:r>
      <w:r w:rsidRPr="00FC1947">
        <w:rPr>
          <w:rFonts w:ascii="Arabic Transparent" w:hAnsi="Arabic Transparent"/>
          <w:rtl/>
        </w:rPr>
        <w:t xml:space="preserve"> في حين أن هذه النصوص تنسجم مع رفع الإلزام عن الرجل إلا </w:t>
      </w:r>
      <w:r w:rsidR="009240BA">
        <w:rPr>
          <w:rFonts w:ascii="Arabic Transparent" w:hAnsi="Arabic Transparent" w:hint="cs"/>
          <w:rtl/>
        </w:rPr>
        <w:t>إ</w:t>
      </w:r>
      <w:r w:rsidRPr="00FC1947">
        <w:rPr>
          <w:rFonts w:ascii="Arabic Transparent" w:hAnsi="Arabic Transparent"/>
          <w:rtl/>
        </w:rPr>
        <w:t>ذا خاف وقوعها في الحرام</w:t>
      </w:r>
      <w:r w:rsidR="009240BA">
        <w:rPr>
          <w:rFonts w:ascii="Arabic Transparent" w:hAnsi="Arabic Transparent" w:hint="cs"/>
          <w:rtl/>
        </w:rPr>
        <w:t>؛</w:t>
      </w:r>
      <w:r w:rsidRPr="00FC1947">
        <w:rPr>
          <w:rFonts w:ascii="Arabic Transparent" w:hAnsi="Arabic Transparent"/>
          <w:rtl/>
        </w:rPr>
        <w:t xml:space="preserve"> لأن المستدل كأنه يتصور أن رفع الإلزام التّشريعي بالمواقعة يساوق رفع المواقعة بوجودها الخارجي مطلقاً، وكأنّ العلاقات الجنسية الزوجية لها دافع واحد وهو الشريعة نفسها، وهذا خطأ</w:t>
      </w:r>
      <w:r w:rsidR="009240BA">
        <w:rPr>
          <w:rFonts w:ascii="Arabic Transparent" w:hAnsi="Arabic Transparent" w:hint="cs"/>
          <w:rtl/>
        </w:rPr>
        <w:t>؛</w:t>
      </w:r>
      <w:r w:rsidRPr="00FC1947">
        <w:rPr>
          <w:rFonts w:ascii="Arabic Transparent" w:hAnsi="Arabic Transparent"/>
          <w:rtl/>
        </w:rPr>
        <w:t xml:space="preserve"> فمن الممكن أن تكون الشريعة في الإطار النوعي قد </w:t>
      </w:r>
      <w:r w:rsidRPr="00FC1947">
        <w:rPr>
          <w:rFonts w:ascii="Arabic Transparent" w:hAnsi="Arabic Transparent"/>
          <w:rtl/>
        </w:rPr>
        <w:lastRenderedPageBreak/>
        <w:t>اكتفت بالدوافع الطبيعيّة الغالبة عند الرجل من حيث المبدأ</w:t>
      </w:r>
      <w:r w:rsidR="009240BA">
        <w:rPr>
          <w:rFonts w:ascii="Arabic Transparent" w:hAnsi="Arabic Transparent" w:hint="cs"/>
          <w:rtl/>
        </w:rPr>
        <w:t>،</w:t>
      </w:r>
      <w:r w:rsidRPr="00FC1947">
        <w:rPr>
          <w:rFonts w:ascii="Arabic Transparent" w:hAnsi="Arabic Transparent"/>
          <w:rtl/>
        </w:rPr>
        <w:t xml:space="preserve"> وبالتالي لا تكون هذه النصوص مؤشرة وبشكل تامّ على الإلزام الشامل للرجل بحيث تكون المسألة شرعياً بحجم هذا القول، وهذه الفكرة مبنية على </w:t>
      </w:r>
      <w:r w:rsidR="00A8482F">
        <w:rPr>
          <w:rFonts w:ascii="Arabic Transparent" w:hAnsi="Arabic Transparent" w:hint="cs"/>
          <w:rtl/>
        </w:rPr>
        <w:t>نظرية</w:t>
      </w:r>
      <w:r w:rsidRPr="00FC1947">
        <w:rPr>
          <w:rFonts w:ascii="Arabic Transparent" w:hAnsi="Arabic Transparent"/>
          <w:rtl/>
        </w:rPr>
        <w:t xml:space="preserve"> كلامي</w:t>
      </w:r>
      <w:r w:rsidR="00A8482F">
        <w:rPr>
          <w:rFonts w:ascii="Arabic Transparent" w:hAnsi="Arabic Transparent" w:hint="cs"/>
          <w:rtl/>
        </w:rPr>
        <w:t>ة</w:t>
      </w:r>
      <w:r w:rsidRPr="00FC1947">
        <w:rPr>
          <w:rFonts w:ascii="Arabic Transparent" w:hAnsi="Arabic Transparent"/>
          <w:rtl/>
        </w:rPr>
        <w:t xml:space="preserve"> أصولي</w:t>
      </w:r>
      <w:r w:rsidR="00A8482F">
        <w:rPr>
          <w:rFonts w:ascii="Arabic Transparent" w:hAnsi="Arabic Transparent" w:hint="cs"/>
          <w:rtl/>
        </w:rPr>
        <w:t>ة</w:t>
      </w:r>
      <w:r w:rsidRPr="00FC1947">
        <w:rPr>
          <w:rFonts w:ascii="Arabic Transparent" w:hAnsi="Arabic Transparent"/>
          <w:rtl/>
        </w:rPr>
        <w:t xml:space="preserve"> في تدخّل الشريعة في كافّة مرافق الحياة</w:t>
      </w:r>
      <w:r w:rsidR="00A8482F">
        <w:rPr>
          <w:rFonts w:ascii="Arabic Transparent" w:hAnsi="Arabic Transparent" w:hint="cs"/>
          <w:rtl/>
        </w:rPr>
        <w:t>،</w:t>
      </w:r>
      <w:r w:rsidRPr="00FC1947">
        <w:rPr>
          <w:rFonts w:ascii="Arabic Transparent" w:hAnsi="Arabic Transparent"/>
          <w:rtl/>
        </w:rPr>
        <w:t xml:space="preserve"> حيث تفترض أن ما له دوافع طبيعيّة لا حاجة لتدخّل الشريعة في أمره</w:t>
      </w:r>
      <w:r w:rsidR="00A8482F">
        <w:rPr>
          <w:rFonts w:ascii="Arabic Transparent" w:hAnsi="Arabic Transparent" w:hint="cs"/>
          <w:rtl/>
        </w:rPr>
        <w:t>،</w:t>
      </w:r>
      <w:r w:rsidRPr="00FC1947">
        <w:rPr>
          <w:rFonts w:ascii="Arabic Transparent" w:hAnsi="Arabic Transparent"/>
          <w:rtl/>
        </w:rPr>
        <w:t xml:space="preserve"> وإن كانت الشريعة ذات موقف في الأمر من حيث ملاك الحكم وإرادته، وهذا بحث ليس هنا مجال تحقيقه.</w:t>
      </w:r>
    </w:p>
    <w:p w:rsidR="00592460" w:rsidRPr="00FC1947" w:rsidRDefault="00592460" w:rsidP="007F75C5">
      <w:pPr>
        <w:pStyle w:val="ac"/>
        <w:spacing w:line="199" w:lineRule="auto"/>
        <w:rPr>
          <w:rFonts w:ascii="Arabic Transparent" w:hAnsi="Arabic Transparent"/>
          <w:rtl/>
        </w:rPr>
      </w:pPr>
      <w:r w:rsidRPr="00FC1947">
        <w:rPr>
          <w:rFonts w:ascii="Arabic Transparent" w:hAnsi="Arabic Transparent"/>
          <w:b/>
          <w:bCs/>
          <w:rtl/>
        </w:rPr>
        <w:t>الوجه الثالث:</w:t>
      </w:r>
      <w:r w:rsidRPr="00FC1947">
        <w:rPr>
          <w:rFonts w:ascii="Arabic Transparent" w:hAnsi="Arabic Transparent"/>
          <w:rtl/>
        </w:rPr>
        <w:t xml:space="preserve"> التمسّك بقوله تعالى</w:t>
      </w:r>
      <w:r w:rsidR="00A8482F">
        <w:rPr>
          <w:rFonts w:ascii="Arabic Transparent" w:hAnsi="Arabic Transparent" w:hint="cs"/>
          <w:rtl/>
        </w:rPr>
        <w:t>:</w:t>
      </w:r>
      <w:r w:rsidRPr="00FC1947">
        <w:rPr>
          <w:rFonts w:ascii="Arabic Transparent" w:hAnsi="Arabic Transparent"/>
          <w:rtl/>
        </w:rPr>
        <w:t xml:space="preserve"> </w:t>
      </w:r>
      <w:r w:rsidR="00A8482F">
        <w:rPr>
          <w:rFonts w:ascii="Mosawi" w:hAnsi="Mosawi"/>
          <w:rtl/>
        </w:rPr>
        <w:t>﴿</w:t>
      </w:r>
      <w:r w:rsidR="00A8482F" w:rsidRPr="00A8482F">
        <w:rPr>
          <w:b/>
          <w:bCs/>
          <w:rtl/>
        </w:rPr>
        <w:t>فَلَا تَمِيلُواْ كُلَّ المَيْلِ فَتَذَرُوهَا كَالمُعَلَّقَةِ</w:t>
      </w:r>
      <w:r w:rsidR="00A8482F">
        <w:rPr>
          <w:rFonts w:ascii="Mosawi" w:hAnsi="Mosawi"/>
          <w:rtl/>
        </w:rPr>
        <w:t>﴾</w:t>
      </w:r>
      <w:r w:rsidRPr="00815C4C">
        <w:rPr>
          <w:rFonts w:cs="Taher"/>
          <w:vertAlign w:val="superscript"/>
          <w:rtl/>
        </w:rPr>
        <w:t>(</w:t>
      </w:r>
      <w:r w:rsidRPr="00815C4C">
        <w:rPr>
          <w:rFonts w:cs="Taher"/>
          <w:vertAlign w:val="superscript"/>
          <w:rtl/>
        </w:rPr>
        <w:footnoteReference w:id="747"/>
      </w:r>
      <w:r w:rsidRPr="00815C4C">
        <w:rPr>
          <w:rFonts w:cs="Taher"/>
          <w:vertAlign w:val="superscript"/>
          <w:rtl/>
        </w:rPr>
        <w:t>)</w:t>
      </w:r>
      <w:r w:rsidR="00A8482F" w:rsidRPr="00A8482F">
        <w:rPr>
          <w:rFonts w:cs="Taher" w:hint="cs"/>
          <w:rtl/>
        </w:rPr>
        <w:t>؛</w:t>
      </w:r>
      <w:r>
        <w:rPr>
          <w:rFonts w:ascii="Taher" w:hAnsi="Taher" w:hint="cs"/>
          <w:position w:val="18"/>
          <w:sz w:val="32"/>
          <w:szCs w:val="32"/>
          <w:vertAlign w:val="superscript"/>
          <w:rtl/>
        </w:rPr>
        <w:t xml:space="preserve"> </w:t>
      </w:r>
      <w:r w:rsidRPr="00FC1947">
        <w:rPr>
          <w:rFonts w:ascii="Arabic Transparent" w:hAnsi="Arabic Transparent"/>
          <w:rtl/>
        </w:rPr>
        <w:t>ذلك أن هذه الآية الكريمة تفيد النهي عن صيرورة المرأة كالمعلّقة مما يفيد حرمة سلب المرأة حقوقها من النفقة وغيرها، وترك الرجل مقاربة زوجته عند طلبها وحاجتها محقّق لهذا العنوان</w:t>
      </w:r>
      <w:r w:rsidRPr="00815C4C">
        <w:rPr>
          <w:rFonts w:cs="Taher"/>
          <w:vertAlign w:val="superscript"/>
          <w:rtl/>
        </w:rPr>
        <w:t>(</w:t>
      </w:r>
      <w:r w:rsidRPr="00815C4C">
        <w:rPr>
          <w:rFonts w:cs="Taher"/>
          <w:vertAlign w:val="superscript"/>
          <w:rtl/>
        </w:rPr>
        <w:footnoteReference w:id="748"/>
      </w:r>
      <w:r w:rsidRPr="00815C4C">
        <w:rPr>
          <w:rFonts w:cs="Taher"/>
          <w:vertAlign w:val="superscript"/>
          <w:rtl/>
        </w:rPr>
        <w:t>)</w:t>
      </w:r>
      <w:r w:rsidRPr="00FC1947">
        <w:rPr>
          <w:rFonts w:ascii="Arabic Transparent" w:hAnsi="Arabic Transparent"/>
          <w:rtl/>
        </w:rPr>
        <w:t>.</w:t>
      </w:r>
    </w:p>
    <w:p w:rsidR="00592460" w:rsidRPr="00FC1947" w:rsidRDefault="00592460" w:rsidP="002649A0">
      <w:pPr>
        <w:pStyle w:val="ac"/>
        <w:rPr>
          <w:rtl/>
        </w:rPr>
      </w:pPr>
      <w:r w:rsidRPr="00FC1947">
        <w:rPr>
          <w:b/>
          <w:bCs/>
          <w:rtl/>
        </w:rPr>
        <w:t>والجواب أولاً:</w:t>
      </w:r>
      <w:r w:rsidRPr="00FC1947">
        <w:rPr>
          <w:rtl/>
        </w:rPr>
        <w:t xml:space="preserve"> إن ظاهر هذا العنوان وإن كان شاملا لغير مورد النفقة وسلمنا بحكومة الآية على كافّة الأدلة الأخرى</w:t>
      </w:r>
      <w:r w:rsidR="00A8482F">
        <w:rPr>
          <w:rFonts w:hint="cs"/>
          <w:rtl/>
        </w:rPr>
        <w:t>،</w:t>
      </w:r>
      <w:r w:rsidRPr="00FC1947">
        <w:rPr>
          <w:rtl/>
        </w:rPr>
        <w:t xml:space="preserve"> إلا أن عنوان المعلّقة لا يعني مطلق حالات حرمان الزوجة حقّها</w:t>
      </w:r>
      <w:r w:rsidR="00A8482F">
        <w:rPr>
          <w:rFonts w:hint="cs"/>
          <w:rtl/>
        </w:rPr>
        <w:t>،</w:t>
      </w:r>
      <w:r w:rsidRPr="00FC1947">
        <w:rPr>
          <w:rtl/>
        </w:rPr>
        <w:t xml:space="preserve"> بل يختصّ بصورة الحرمان الذي يأخذ شكلاً خاصاً يقرب من الهجران الكامل أو هو نفسه، وأما تخلّف الزوج أحياناً أو كثيراً عن بعض الحقوق بطريقة أو بأخرى فلا يوجب صدق هذا العنوان هنا، والذي يشهد لما تقدّم السّياق الوارد في الآية فإن الميل كلّ الميل قد وقع في سياق الحديث عن مسألة العدل بين النساء والذي قد يغلب فيه بين الناس الإعراض الكامل أو شبه الكامل عن إحدى الزوجتين أو الزوجات. </w:t>
      </w:r>
    </w:p>
    <w:p w:rsidR="00592460" w:rsidRPr="00FC1947" w:rsidRDefault="00592460" w:rsidP="00592460">
      <w:pPr>
        <w:pStyle w:val="ac"/>
        <w:rPr>
          <w:rFonts w:ascii="Arabic Transparent" w:hAnsi="Arabic Transparent"/>
          <w:rtl/>
        </w:rPr>
      </w:pPr>
      <w:r w:rsidRPr="00FC1947">
        <w:rPr>
          <w:rFonts w:ascii="Arabic Transparent" w:hAnsi="Arabic Transparent"/>
          <w:rtl/>
        </w:rPr>
        <w:t>إن مقتضى ظهور الآية الكريمة هو حرمة جعل المرأة في حالة وسطى بسبب تقصير الزوج في حقوقها بحيث بلغت حالة أنها لا تدري أهي في زوجيّة أو أنها مطلّقة</w:t>
      </w:r>
      <w:r w:rsidR="00A8482F">
        <w:rPr>
          <w:rFonts w:ascii="Arabic Transparent" w:hAnsi="Arabic Transparent" w:hint="cs"/>
          <w:rtl/>
        </w:rPr>
        <w:t>؟</w:t>
      </w:r>
      <w:r w:rsidRPr="00FC1947">
        <w:rPr>
          <w:rFonts w:ascii="Arabic Transparent" w:hAnsi="Arabic Transparent"/>
          <w:rtl/>
        </w:rPr>
        <w:t xml:space="preserve"> وهذا </w:t>
      </w:r>
      <w:r w:rsidRPr="00FC1947">
        <w:rPr>
          <w:rFonts w:ascii="Arabic Transparent" w:hAnsi="Arabic Transparent"/>
          <w:rtl/>
        </w:rPr>
        <w:lastRenderedPageBreak/>
        <w:t>المقدار لا يفيد لإثبات هذا الرأي هنا.</w:t>
      </w:r>
    </w:p>
    <w:p w:rsidR="00592460" w:rsidRPr="00FC1947" w:rsidRDefault="00592460" w:rsidP="00A8482F">
      <w:pPr>
        <w:pStyle w:val="ac"/>
        <w:rPr>
          <w:rFonts w:ascii="Arabic Transparent" w:hAnsi="Arabic Transparent"/>
          <w:rtl/>
        </w:rPr>
      </w:pPr>
      <w:r w:rsidRPr="00FC1947">
        <w:rPr>
          <w:rFonts w:ascii="Arabic Transparent" w:hAnsi="Arabic Transparent"/>
          <w:rtl/>
        </w:rPr>
        <w:t>والذي يحتمل هو أن صاحب هذا الوجه قد ذكر جملة وجوه هدف من خلالها للخروج من دائرة النظرية المعروفة</w:t>
      </w:r>
      <w:r w:rsidR="00A8482F">
        <w:rPr>
          <w:rFonts w:ascii="Arabic Transparent" w:hAnsi="Arabic Transparent" w:hint="cs"/>
          <w:rtl/>
        </w:rPr>
        <w:t>،</w:t>
      </w:r>
      <w:r w:rsidRPr="00FC1947">
        <w:rPr>
          <w:rFonts w:ascii="Arabic Transparent" w:hAnsi="Arabic Transparent"/>
          <w:rtl/>
        </w:rPr>
        <w:t xml:space="preserve"> ولعل ما ذكره يحقّق له ذلك</w:t>
      </w:r>
      <w:r w:rsidR="00A8482F">
        <w:rPr>
          <w:rFonts w:ascii="Arabic Transparent" w:hAnsi="Arabic Transparent" w:hint="cs"/>
          <w:rtl/>
        </w:rPr>
        <w:t>،</w:t>
      </w:r>
      <w:r w:rsidRPr="00FC1947">
        <w:rPr>
          <w:rFonts w:ascii="Arabic Transparent" w:hAnsi="Arabic Transparent"/>
          <w:rtl/>
        </w:rPr>
        <w:t xml:space="preserve"> لكنّه لا يثبت البديل الذي طرحه عن تلك الرؤية الفقهية، فهذا الوجه المستفاد من هذه الآية إذا قا</w:t>
      </w:r>
      <w:r w:rsidR="00A8482F">
        <w:rPr>
          <w:rFonts w:ascii="Arabic Transparent" w:hAnsi="Arabic Transparent" w:hint="cs"/>
          <w:rtl/>
        </w:rPr>
        <w:t>ر</w:t>
      </w:r>
      <w:r w:rsidRPr="00FC1947">
        <w:rPr>
          <w:rFonts w:ascii="Arabic Transparent" w:hAnsi="Arabic Transparent"/>
          <w:rtl/>
        </w:rPr>
        <w:t>ن</w:t>
      </w:r>
      <w:r w:rsidR="00A8482F">
        <w:rPr>
          <w:rFonts w:ascii="Arabic Transparent" w:hAnsi="Arabic Transparent" w:hint="cs"/>
          <w:rtl/>
        </w:rPr>
        <w:t>ّ</w:t>
      </w:r>
      <w:r w:rsidRPr="00FC1947">
        <w:rPr>
          <w:rFonts w:ascii="Arabic Transparent" w:hAnsi="Arabic Transparent"/>
          <w:rtl/>
        </w:rPr>
        <w:t>اه بالصّورة الفقهية ـ</w:t>
      </w:r>
      <w:r w:rsidR="00AB611F">
        <w:rPr>
          <w:rFonts w:ascii="Arabic Transparent" w:hAnsi="Arabic Transparent" w:hint="cs"/>
          <w:rtl/>
        </w:rPr>
        <w:t xml:space="preserve"> </w:t>
      </w:r>
      <w:r w:rsidRPr="00FC1947">
        <w:rPr>
          <w:rFonts w:ascii="Arabic Transparent" w:hAnsi="Arabic Transparent"/>
          <w:rtl/>
        </w:rPr>
        <w:t>بقطع النظر عن سياق تعدّد الزوجات</w:t>
      </w:r>
      <w:r w:rsidR="00AB611F">
        <w:rPr>
          <w:rFonts w:ascii="Arabic Transparent" w:hAnsi="Arabic Transparent" w:hint="cs"/>
          <w:rtl/>
        </w:rPr>
        <w:t xml:space="preserve"> </w:t>
      </w:r>
      <w:r w:rsidRPr="00FC1947">
        <w:rPr>
          <w:rFonts w:ascii="Arabic Transparent" w:hAnsi="Arabic Transparent"/>
          <w:rtl/>
        </w:rPr>
        <w:t>ـ يمكن أن يصدق معه أن الرجل جنسياً يميل كلّ الميل وأن زوجته بحكم المعلّقة من هذه الناحية</w:t>
      </w:r>
      <w:r w:rsidR="00A8482F">
        <w:rPr>
          <w:rFonts w:ascii="Arabic Transparent" w:hAnsi="Arabic Transparent" w:hint="cs"/>
          <w:rtl/>
        </w:rPr>
        <w:t>،</w:t>
      </w:r>
      <w:r w:rsidRPr="00FC1947">
        <w:rPr>
          <w:rFonts w:ascii="Arabic Transparent" w:hAnsi="Arabic Transparent"/>
          <w:rtl/>
        </w:rPr>
        <w:t xml:space="preserve"> فإذا قبلنا أن الآية إنحلالية الدلالة إلى كلّ حقّ حقّ تمّ المطلوب هنا بهذا المقدار</w:t>
      </w:r>
      <w:r w:rsidR="007F75C5">
        <w:rPr>
          <w:rFonts w:ascii="Arabic Transparent" w:hAnsi="Arabic Transparent" w:hint="cs"/>
          <w:rtl/>
        </w:rPr>
        <w:t>،</w:t>
      </w:r>
      <w:r w:rsidRPr="00FC1947">
        <w:rPr>
          <w:rFonts w:ascii="Arabic Transparent" w:hAnsi="Arabic Transparent"/>
          <w:rtl/>
        </w:rPr>
        <w:t xml:space="preserve"> وإلا كما هو الظاهر</w:t>
      </w:r>
      <w:r w:rsidR="00A8482F">
        <w:rPr>
          <w:rFonts w:ascii="Arabic Transparent" w:hAnsi="Arabic Transparent" w:hint="cs"/>
          <w:rtl/>
        </w:rPr>
        <w:t>؛</w:t>
      </w:r>
      <w:r w:rsidRPr="00FC1947">
        <w:rPr>
          <w:rFonts w:ascii="Arabic Transparent" w:hAnsi="Arabic Transparent"/>
          <w:rtl/>
        </w:rPr>
        <w:t xml:space="preserve"> لأنها بصدد الحديث عن الإطار العام الحاكم على الحياة الزوجية عموماً</w:t>
      </w:r>
      <w:r w:rsidR="00A8482F">
        <w:rPr>
          <w:rFonts w:ascii="Arabic Transparent" w:hAnsi="Arabic Transparent" w:hint="cs"/>
          <w:rtl/>
        </w:rPr>
        <w:t>،</w:t>
      </w:r>
      <w:r w:rsidRPr="00FC1947">
        <w:rPr>
          <w:rFonts w:ascii="Arabic Transparent" w:hAnsi="Arabic Transparent"/>
          <w:rtl/>
        </w:rPr>
        <w:t xml:space="preserve"> فلا تكون الآية حينئذ مشتملة على كثير دلالة هامة على ما نحن فيه.</w:t>
      </w:r>
    </w:p>
    <w:p w:rsidR="00592460" w:rsidRPr="00FC1947" w:rsidRDefault="00592460" w:rsidP="00A8482F">
      <w:pPr>
        <w:pStyle w:val="ac"/>
        <w:rPr>
          <w:rtl/>
        </w:rPr>
      </w:pPr>
      <w:r w:rsidRPr="00A8482F">
        <w:rPr>
          <w:b/>
          <w:bCs/>
          <w:rtl/>
        </w:rPr>
        <w:t>الوجه الرابع:</w:t>
      </w:r>
      <w:r w:rsidRPr="00FC1947">
        <w:rPr>
          <w:rtl/>
        </w:rPr>
        <w:t xml:space="preserve"> التمسّك بقوله تعالى: </w:t>
      </w:r>
      <w:r w:rsidR="00A8482F">
        <w:rPr>
          <w:rFonts w:ascii="Mosawi" w:hAnsi="Mosawi"/>
          <w:rtl/>
        </w:rPr>
        <w:t>﴿</w:t>
      </w:r>
      <w:r w:rsidR="00A8482F" w:rsidRPr="00A8482F">
        <w:rPr>
          <w:b/>
          <w:bCs/>
          <w:rtl/>
        </w:rPr>
        <w:t>وَعَاشِرُوهُنَّ بِالمَعْرُوفِ</w:t>
      </w:r>
      <w:r w:rsidR="00A8482F">
        <w:rPr>
          <w:rFonts w:ascii="Mosawi" w:hAnsi="Mosawi"/>
          <w:rtl/>
        </w:rPr>
        <w:t>﴾</w:t>
      </w:r>
      <w:r w:rsidRPr="00815C4C">
        <w:rPr>
          <w:rFonts w:cs="Taher"/>
          <w:vertAlign w:val="superscript"/>
          <w:rtl/>
        </w:rPr>
        <w:t>(</w:t>
      </w:r>
      <w:r w:rsidRPr="00815C4C">
        <w:rPr>
          <w:rFonts w:cs="Taher"/>
          <w:vertAlign w:val="superscript"/>
          <w:rtl/>
        </w:rPr>
        <w:footnoteReference w:id="749"/>
      </w:r>
      <w:r w:rsidRPr="00815C4C">
        <w:rPr>
          <w:rFonts w:cs="Taher"/>
          <w:vertAlign w:val="superscript"/>
          <w:rtl/>
        </w:rPr>
        <w:t>)</w:t>
      </w:r>
      <w:r w:rsidR="00A8482F">
        <w:rPr>
          <w:rFonts w:hint="cs"/>
          <w:rtl/>
        </w:rPr>
        <w:t xml:space="preserve">، </w:t>
      </w:r>
      <w:r w:rsidRPr="00FC1947">
        <w:rPr>
          <w:rtl/>
        </w:rPr>
        <w:t>حيث إن العشرة بالمعروف لا تكاد تصدق إلا مع ثبوت الحق لها جنسياً تماماً كما هو له.</w:t>
      </w:r>
    </w:p>
    <w:p w:rsidR="00592460" w:rsidRPr="00FC1947" w:rsidRDefault="00592460" w:rsidP="00A8482F">
      <w:pPr>
        <w:pStyle w:val="ac"/>
        <w:rPr>
          <w:rtl/>
        </w:rPr>
      </w:pPr>
      <w:r w:rsidRPr="00A8482F">
        <w:rPr>
          <w:b/>
          <w:bCs/>
          <w:rtl/>
        </w:rPr>
        <w:t>والجواب:</w:t>
      </w:r>
      <w:r w:rsidRPr="00FC1947">
        <w:rPr>
          <w:rtl/>
        </w:rPr>
        <w:t xml:space="preserve"> إن العشرة بالمعروف ليست أحاديّة الشكل والرتبة</w:t>
      </w:r>
      <w:r w:rsidR="00A8482F">
        <w:rPr>
          <w:rFonts w:hint="cs"/>
          <w:rtl/>
        </w:rPr>
        <w:t>،</w:t>
      </w:r>
      <w:r w:rsidRPr="00FC1947">
        <w:rPr>
          <w:rtl/>
        </w:rPr>
        <w:t xml:space="preserve"> ومن الطبيعي أنه لا يراد من الأمر بالعشرة بالمعروف في الآية ضرورة التقيّد بتمام مراتبها</w:t>
      </w:r>
      <w:r w:rsidR="00A8482F">
        <w:rPr>
          <w:rFonts w:hint="cs"/>
          <w:rtl/>
        </w:rPr>
        <w:t>،</w:t>
      </w:r>
      <w:r w:rsidRPr="00FC1947">
        <w:rPr>
          <w:rtl/>
        </w:rPr>
        <w:t xml:space="preserve"> حيث يعلم استحباب كثير منها وعدم وجوبه، وهذا يعني أن الأمر هنا متوجّه على ما يعدّ في العرف العقلائي معروفاً بحيث يكون عدمه موجباً لصدق عنوان العشرة بلا معروف أو العشرة بالسوء، وهذا المعنى المستفاد من الآية الكريمة لا يفيد مماثلة الحق الجنسي بين الرجل والمرأة</w:t>
      </w:r>
      <w:r w:rsidR="00A8482F">
        <w:rPr>
          <w:rFonts w:hint="cs"/>
          <w:rtl/>
        </w:rPr>
        <w:t>؛</w:t>
      </w:r>
      <w:r w:rsidRPr="00FC1947">
        <w:rPr>
          <w:rtl/>
        </w:rPr>
        <w:t xml:space="preserve"> لأن عدم استجابة الرجل أحياناً وربما كثيراً في بعض الصّور لا يوجب صدق عنوان عشرة السوء</w:t>
      </w:r>
      <w:r w:rsidR="00A8482F">
        <w:rPr>
          <w:rFonts w:hint="cs"/>
          <w:rtl/>
        </w:rPr>
        <w:t>،</w:t>
      </w:r>
      <w:r w:rsidRPr="00FC1947">
        <w:rPr>
          <w:rtl/>
        </w:rPr>
        <w:t xml:space="preserve"> بخلاف صورة التّمرد الكامل أو الكثير اللافت وأحياناً القليل، ومن هنا فهذه الآية تدفعنا خطوةً كبيرة نحو الأمام بالقياس إلى نظرية التّحديد الزماني المتقدّم</w:t>
      </w:r>
      <w:r w:rsidR="00A8482F">
        <w:rPr>
          <w:rFonts w:hint="cs"/>
          <w:rtl/>
        </w:rPr>
        <w:t>،</w:t>
      </w:r>
      <w:r w:rsidRPr="00FC1947">
        <w:rPr>
          <w:rtl/>
        </w:rPr>
        <w:t xml:space="preserve"> وقد تقترب من الرأي الآخر القائل بالمشابهة</w:t>
      </w:r>
      <w:r w:rsidR="00A8482F">
        <w:rPr>
          <w:rFonts w:hint="cs"/>
          <w:rtl/>
        </w:rPr>
        <w:t>،</w:t>
      </w:r>
      <w:r w:rsidRPr="00FC1947">
        <w:rPr>
          <w:rtl/>
        </w:rPr>
        <w:t xml:space="preserve"> لكنها لا تثبته </w:t>
      </w:r>
      <w:r w:rsidRPr="00FC1947">
        <w:rPr>
          <w:rtl/>
        </w:rPr>
        <w:lastRenderedPageBreak/>
        <w:t xml:space="preserve">بالدّقة وبتمام </w:t>
      </w:r>
      <w:r w:rsidR="00A8482F">
        <w:rPr>
          <w:rFonts w:hint="cs"/>
          <w:rtl/>
        </w:rPr>
        <w:t>ا</w:t>
      </w:r>
      <w:r w:rsidRPr="00FC1947">
        <w:rPr>
          <w:rtl/>
        </w:rPr>
        <w:t>متداداته.</w:t>
      </w:r>
    </w:p>
    <w:p w:rsidR="00592460" w:rsidRPr="00FC1947" w:rsidRDefault="00592460" w:rsidP="002649A0">
      <w:pPr>
        <w:pStyle w:val="ac"/>
        <w:spacing w:line="209" w:lineRule="auto"/>
        <w:rPr>
          <w:rtl/>
        </w:rPr>
      </w:pPr>
      <w:r w:rsidRPr="00FC1947">
        <w:rPr>
          <w:b/>
          <w:bCs/>
          <w:rtl/>
        </w:rPr>
        <w:t>الوجه الخامس:</w:t>
      </w:r>
      <w:r w:rsidRPr="00FC1947">
        <w:rPr>
          <w:rtl/>
        </w:rPr>
        <w:t xml:space="preserve"> التمسّك بمفهوم كلّ من صحيحة عمرو بن أذينة وصفوان بن يحيى المتقدّمتين</w:t>
      </w:r>
      <w:r w:rsidR="00A8482F">
        <w:rPr>
          <w:rFonts w:hint="cs"/>
          <w:rtl/>
        </w:rPr>
        <w:t>؛</w:t>
      </w:r>
      <w:r w:rsidRPr="00FC1947">
        <w:rPr>
          <w:rtl/>
        </w:rPr>
        <w:t xml:space="preserve"> لأن الأولى يفيد مفهومها أنه لو لم يحصل إيلاء من قبل الرجل فإن للزّوجة حق وقول في الأربعة أشهر</w:t>
      </w:r>
      <w:r w:rsidR="00A8482F">
        <w:rPr>
          <w:rFonts w:hint="cs"/>
          <w:rtl/>
        </w:rPr>
        <w:t>،</w:t>
      </w:r>
      <w:r w:rsidRPr="00FC1947">
        <w:rPr>
          <w:rtl/>
        </w:rPr>
        <w:t xml:space="preserve"> وبالتالي عليه إثم من كفّه عنها هذه المدة، وأما الثانية فإن مفهومها يعطي أنه لو تركها أقل من أربعة أشهر كان آثماً في صورة عدم وجود المصيبة والهمّ وفق الشرح المذكور لهذه الرواية سابقاً.</w:t>
      </w:r>
    </w:p>
    <w:p w:rsidR="00592460" w:rsidRPr="00FC1947" w:rsidRDefault="00592460" w:rsidP="002649A0">
      <w:pPr>
        <w:pStyle w:val="ac"/>
        <w:spacing w:line="209" w:lineRule="auto"/>
        <w:rPr>
          <w:rtl/>
        </w:rPr>
      </w:pPr>
      <w:r w:rsidRPr="00FC1947">
        <w:rPr>
          <w:rtl/>
        </w:rPr>
        <w:t>والرواية الأولى مفهومها بهذا الشكل تامّ ظاهراً</w:t>
      </w:r>
      <w:r w:rsidR="00A8482F">
        <w:rPr>
          <w:rFonts w:hint="cs"/>
          <w:rtl/>
        </w:rPr>
        <w:t>؛</w:t>
      </w:r>
      <w:r w:rsidRPr="00FC1947">
        <w:rPr>
          <w:rtl/>
        </w:rPr>
        <w:t xml:space="preserve"> لأنها بصدد ذكر حكم محدّد ، غير أنّ الرواية الثانية قد يضعّف من قوّة هذا المفهوم فيها ، فإن شرط المنطوق  ـ</w:t>
      </w:r>
      <w:r w:rsidR="00A8482F">
        <w:rPr>
          <w:rFonts w:hint="cs"/>
          <w:rtl/>
        </w:rPr>
        <w:t xml:space="preserve"> </w:t>
      </w:r>
      <w:r w:rsidRPr="00FC1947">
        <w:rPr>
          <w:rtl/>
        </w:rPr>
        <w:t>وهو وجود الهمّ والمصيبة</w:t>
      </w:r>
      <w:r w:rsidR="00A8482F">
        <w:rPr>
          <w:rFonts w:hint="cs"/>
          <w:rtl/>
        </w:rPr>
        <w:t xml:space="preserve"> </w:t>
      </w:r>
      <w:r w:rsidRPr="00FC1947">
        <w:rPr>
          <w:rtl/>
        </w:rPr>
        <w:t>ـ قد ورد في كلام السائل لا في جواب الإمام</w:t>
      </w:r>
      <w:r>
        <w:rPr>
          <w:rFonts w:hint="cs"/>
          <w:rtl/>
        </w:rPr>
        <w:t>×</w:t>
      </w:r>
      <w:r w:rsidR="00A8482F">
        <w:rPr>
          <w:rFonts w:hint="cs"/>
          <w:rtl/>
        </w:rPr>
        <w:t>،</w:t>
      </w:r>
      <w:r w:rsidRPr="00FC1947">
        <w:rPr>
          <w:rFonts w:ascii="AGA Arabesque"/>
          <w:rtl/>
        </w:rPr>
        <w:t xml:space="preserve"> </w:t>
      </w:r>
      <w:r w:rsidRPr="00FC1947">
        <w:rPr>
          <w:rtl/>
        </w:rPr>
        <w:t>وهذا يعني أن جواب الإمام</w:t>
      </w:r>
      <w:r>
        <w:rPr>
          <w:rFonts w:hint="cs"/>
          <w:rtl/>
        </w:rPr>
        <w:t>×</w:t>
      </w:r>
      <w:r w:rsidRPr="00FC1947">
        <w:rPr>
          <w:rFonts w:ascii="AGA Arabesque"/>
          <w:rtl/>
        </w:rPr>
        <w:t xml:space="preserve"> </w:t>
      </w:r>
      <w:r w:rsidRPr="00FC1947">
        <w:rPr>
          <w:rtl/>
        </w:rPr>
        <w:t xml:space="preserve"> قد توجّه على الفرضيّة التي اشتملها السؤال</w:t>
      </w:r>
      <w:r w:rsidR="00A8482F">
        <w:rPr>
          <w:rFonts w:hint="cs"/>
          <w:rtl/>
        </w:rPr>
        <w:t>،</w:t>
      </w:r>
      <w:r w:rsidRPr="00FC1947">
        <w:rPr>
          <w:rtl/>
        </w:rPr>
        <w:t xml:space="preserve"> وهذا المقدار لا يعطي ظهوراً في أن الإمام</w:t>
      </w:r>
      <w:r>
        <w:rPr>
          <w:rFonts w:hint="cs"/>
          <w:rtl/>
        </w:rPr>
        <w:t>×</w:t>
      </w:r>
      <w:r w:rsidRPr="00FC1947">
        <w:rPr>
          <w:rtl/>
        </w:rPr>
        <w:t xml:space="preserve"> قد لحظ في جوابه الصورة العكسيّة لمفروض السائل</w:t>
      </w:r>
      <w:r w:rsidR="00A8482F">
        <w:rPr>
          <w:rFonts w:hint="cs"/>
          <w:rtl/>
        </w:rPr>
        <w:t>،</w:t>
      </w:r>
      <w:r w:rsidRPr="00FC1947">
        <w:rPr>
          <w:rtl/>
        </w:rPr>
        <w:t xml:space="preserve"> فإن هذا الإحتمال بعيد عرفاً</w:t>
      </w:r>
      <w:r w:rsidR="00A8482F">
        <w:rPr>
          <w:rFonts w:hint="cs"/>
          <w:rtl/>
        </w:rPr>
        <w:t>؛</w:t>
      </w:r>
      <w:r w:rsidRPr="00FC1947">
        <w:rPr>
          <w:rtl/>
        </w:rPr>
        <w:t xml:space="preserve"> لأن المجيب يأخذ عادة مفروض السؤال بعين ال</w:t>
      </w:r>
      <w:r w:rsidR="00A8482F">
        <w:rPr>
          <w:rFonts w:hint="cs"/>
          <w:rtl/>
        </w:rPr>
        <w:t>ا</w:t>
      </w:r>
      <w:r w:rsidRPr="00FC1947">
        <w:rPr>
          <w:rtl/>
        </w:rPr>
        <w:t>عتبار ولا يظهر من مفروض السؤال هنا صورة عدم الهمّ والمصيبة فلا معنى أو لا ضرورة ملزمة لتوجّه الجواب على ما لا دلالة في السؤال عليه.</w:t>
      </w:r>
    </w:p>
    <w:p w:rsidR="00592460" w:rsidRPr="00FC1947" w:rsidRDefault="00A8482F" w:rsidP="00A8482F">
      <w:pPr>
        <w:pStyle w:val="ac"/>
        <w:rPr>
          <w:rtl/>
        </w:rPr>
      </w:pPr>
      <w:r>
        <w:rPr>
          <w:rFonts w:hint="cs"/>
          <w:rtl/>
        </w:rPr>
        <w:t>إلا أنّ</w:t>
      </w:r>
      <w:r w:rsidR="00592460" w:rsidRPr="00FC1947">
        <w:rPr>
          <w:rtl/>
        </w:rPr>
        <w:t xml:space="preserve"> هنا تعليق</w:t>
      </w:r>
      <w:r>
        <w:rPr>
          <w:rFonts w:hint="cs"/>
          <w:rtl/>
        </w:rPr>
        <w:t>اً،</w:t>
      </w:r>
      <w:r w:rsidR="00592460" w:rsidRPr="00FC1947">
        <w:rPr>
          <w:rtl/>
        </w:rPr>
        <w:t xml:space="preserve"> وهو أن هذين المفهومين يفيدان </w:t>
      </w:r>
      <w:r>
        <w:rPr>
          <w:rFonts w:hint="cs"/>
          <w:rtl/>
        </w:rPr>
        <w:t xml:space="preserve">ـ </w:t>
      </w:r>
      <w:r w:rsidR="00592460" w:rsidRPr="00FC1947">
        <w:rPr>
          <w:rtl/>
        </w:rPr>
        <w:t xml:space="preserve">على أقصى تقدير </w:t>
      </w:r>
      <w:r>
        <w:rPr>
          <w:rFonts w:hint="cs"/>
          <w:rtl/>
        </w:rPr>
        <w:t xml:space="preserve">ـ </w:t>
      </w:r>
      <w:r w:rsidR="00592460" w:rsidRPr="00FC1947">
        <w:rPr>
          <w:rtl/>
        </w:rPr>
        <w:t>أن للمرأة الحق في الأربعة أشهر</w:t>
      </w:r>
      <w:r>
        <w:rPr>
          <w:rFonts w:hint="cs"/>
          <w:rtl/>
        </w:rPr>
        <w:t>،</w:t>
      </w:r>
      <w:r w:rsidR="00592460" w:rsidRPr="00FC1947">
        <w:rPr>
          <w:rtl/>
        </w:rPr>
        <w:t xml:space="preserve"> لكنّهما لا يدلاّن على أن هذا الحق هو بحيث يجب على الزوج ال</w:t>
      </w:r>
      <w:r>
        <w:rPr>
          <w:rFonts w:hint="cs"/>
          <w:rtl/>
        </w:rPr>
        <w:t>ا</w:t>
      </w:r>
      <w:r w:rsidR="00592460" w:rsidRPr="00FC1947">
        <w:rPr>
          <w:rtl/>
        </w:rPr>
        <w:t>ستجابة لزوجته دائماً</w:t>
      </w:r>
      <w:r>
        <w:rPr>
          <w:rFonts w:hint="cs"/>
          <w:rtl/>
        </w:rPr>
        <w:t>،</w:t>
      </w:r>
      <w:r w:rsidR="00592460" w:rsidRPr="00FC1947">
        <w:rPr>
          <w:rtl/>
        </w:rPr>
        <w:t xml:space="preserve"> وبالتالي فهما ينسجمان مع ما تقدم من مدلول آية ال</w:t>
      </w:r>
      <w:r>
        <w:rPr>
          <w:rtl/>
        </w:rPr>
        <w:t>عشرة بالمعروف ونحوها مما تقدّم</w:t>
      </w:r>
      <w:r>
        <w:rPr>
          <w:rFonts w:hint="cs"/>
          <w:rtl/>
        </w:rPr>
        <w:t>، بل قد يحتملان نظرية التحديد الزماني نفسه من دون مرجّح لأحد التصوّرين على الأقلّ.</w:t>
      </w:r>
    </w:p>
    <w:p w:rsidR="00592460" w:rsidRPr="00FC1947" w:rsidRDefault="00592460" w:rsidP="00A8482F">
      <w:pPr>
        <w:pStyle w:val="ac"/>
        <w:rPr>
          <w:rtl/>
        </w:rPr>
      </w:pPr>
      <w:r w:rsidRPr="00A8482F">
        <w:rPr>
          <w:b/>
          <w:bCs/>
          <w:rtl/>
        </w:rPr>
        <w:t>الوجه السادس:</w:t>
      </w:r>
      <w:r w:rsidRPr="00FC1947">
        <w:rPr>
          <w:rtl/>
        </w:rPr>
        <w:t xml:space="preserve"> التمسّك بقوله تعالى</w:t>
      </w:r>
      <w:r w:rsidR="00A8482F">
        <w:rPr>
          <w:rFonts w:hint="cs"/>
          <w:rtl/>
        </w:rPr>
        <w:t>:</w:t>
      </w:r>
      <w:r w:rsidRPr="00FC1947">
        <w:rPr>
          <w:rtl/>
        </w:rPr>
        <w:t xml:space="preserve"> </w:t>
      </w:r>
      <w:r w:rsidR="00A8482F">
        <w:rPr>
          <w:rFonts w:ascii="Mosawi" w:hAnsi="Mosawi"/>
          <w:rtl/>
        </w:rPr>
        <w:t>﴿</w:t>
      </w:r>
      <w:r w:rsidR="00A8482F" w:rsidRPr="00A8482F">
        <w:rPr>
          <w:b/>
          <w:bCs/>
          <w:rtl/>
        </w:rPr>
        <w:t>وَلَهُنَّ مِثْلُ الَّذِي عَلَيْهِنَّ بِالمَعْرُوفِ</w:t>
      </w:r>
      <w:r w:rsidR="00A8482F">
        <w:rPr>
          <w:rFonts w:ascii="Mosawi" w:hAnsi="Mosawi"/>
          <w:rtl/>
        </w:rPr>
        <w:t>﴾</w:t>
      </w:r>
      <w:r w:rsidRPr="00815C4C">
        <w:rPr>
          <w:rFonts w:cs="Taher"/>
          <w:vertAlign w:val="superscript"/>
          <w:rtl/>
        </w:rPr>
        <w:t>(</w:t>
      </w:r>
      <w:r w:rsidRPr="00815C4C">
        <w:rPr>
          <w:rFonts w:cs="Taher"/>
          <w:vertAlign w:val="superscript"/>
          <w:rtl/>
        </w:rPr>
        <w:footnoteReference w:id="750"/>
      </w:r>
      <w:r w:rsidRPr="00815C4C">
        <w:rPr>
          <w:rFonts w:cs="Taher"/>
          <w:vertAlign w:val="superscript"/>
          <w:rtl/>
        </w:rPr>
        <w:t>)</w:t>
      </w:r>
      <w:r w:rsidR="00A8482F" w:rsidRPr="00A8482F">
        <w:rPr>
          <w:rFonts w:hint="cs"/>
          <w:rtl/>
        </w:rPr>
        <w:t>،</w:t>
      </w:r>
      <w:r w:rsidR="00A8482F">
        <w:rPr>
          <w:rFonts w:hint="cs"/>
          <w:rtl/>
        </w:rPr>
        <w:t xml:space="preserve"> </w:t>
      </w:r>
      <w:r w:rsidRPr="00FC1947">
        <w:rPr>
          <w:rtl/>
        </w:rPr>
        <w:t xml:space="preserve">وذلك بتقريب أن الآية الكريمة تفيد تشابه الحق الذي يثبت لهنّ مع الأمر المفروض عليهنّ، </w:t>
      </w:r>
      <w:r w:rsidRPr="007F75C5">
        <w:rPr>
          <w:sz w:val="29"/>
          <w:szCs w:val="29"/>
          <w:rtl/>
        </w:rPr>
        <w:t>وحيث إن المرأة ملزمة بتمكين نفسها للزوج عند رغبته في ذلك</w:t>
      </w:r>
      <w:r w:rsidR="00A8482F" w:rsidRPr="007F75C5">
        <w:rPr>
          <w:rFonts w:hint="cs"/>
          <w:sz w:val="29"/>
          <w:szCs w:val="29"/>
          <w:rtl/>
        </w:rPr>
        <w:t>،</w:t>
      </w:r>
      <w:r w:rsidRPr="007F75C5">
        <w:rPr>
          <w:sz w:val="29"/>
          <w:szCs w:val="29"/>
          <w:rtl/>
        </w:rPr>
        <w:t xml:space="preserve"> فإنه ـ</w:t>
      </w:r>
      <w:r w:rsidR="00A8482F">
        <w:rPr>
          <w:rFonts w:hint="cs"/>
          <w:rtl/>
        </w:rPr>
        <w:t xml:space="preserve"> </w:t>
      </w:r>
      <w:r w:rsidRPr="00FC1947">
        <w:rPr>
          <w:rtl/>
        </w:rPr>
        <w:t>وب</w:t>
      </w:r>
      <w:r w:rsidR="007F75C5">
        <w:rPr>
          <w:rFonts w:hint="cs"/>
          <w:rtl/>
        </w:rPr>
        <w:t>م</w:t>
      </w:r>
      <w:r w:rsidRPr="00FC1947">
        <w:rPr>
          <w:rtl/>
        </w:rPr>
        <w:t xml:space="preserve">قتضى </w:t>
      </w:r>
      <w:r w:rsidRPr="00FC1947">
        <w:rPr>
          <w:rtl/>
        </w:rPr>
        <w:lastRenderedPageBreak/>
        <w:t>الآية</w:t>
      </w:r>
      <w:r w:rsidR="00A8482F">
        <w:rPr>
          <w:rFonts w:hint="cs"/>
          <w:rtl/>
        </w:rPr>
        <w:t xml:space="preserve"> </w:t>
      </w:r>
      <w:r w:rsidRPr="00FC1947">
        <w:rPr>
          <w:rtl/>
        </w:rPr>
        <w:t>ـ يكون لها الحق في استجابة الزوج لها عند رغبتها أيضاً، وإلا فإن مدلول الآية لا يكون محققاً.</w:t>
      </w:r>
    </w:p>
    <w:p w:rsidR="00592460" w:rsidRPr="00A8482F" w:rsidRDefault="00592460" w:rsidP="00592460">
      <w:pPr>
        <w:pStyle w:val="ac"/>
        <w:rPr>
          <w:b/>
          <w:bCs/>
          <w:rtl/>
        </w:rPr>
      </w:pPr>
      <w:r w:rsidRPr="00A8482F">
        <w:rPr>
          <w:b/>
          <w:bCs/>
          <w:rtl/>
        </w:rPr>
        <w:t>غير أن هذا الوجه يستدعي تساؤلين هما:</w:t>
      </w:r>
    </w:p>
    <w:p w:rsidR="00592460" w:rsidRPr="00FC1947" w:rsidRDefault="00765618" w:rsidP="00E32EF1">
      <w:pPr>
        <w:pStyle w:val="ac"/>
        <w:spacing w:line="209" w:lineRule="auto"/>
        <w:rPr>
          <w:rtl/>
        </w:rPr>
      </w:pPr>
      <w:r w:rsidRPr="00765618">
        <w:rPr>
          <w:rFonts w:hint="cs"/>
          <w:b/>
          <w:bCs/>
          <w:rtl/>
        </w:rPr>
        <w:t>ال</w:t>
      </w:r>
      <w:r w:rsidR="00592460" w:rsidRPr="00765618">
        <w:rPr>
          <w:b/>
          <w:bCs/>
          <w:rtl/>
        </w:rPr>
        <w:t>أ</w:t>
      </w:r>
      <w:r w:rsidRPr="00765618">
        <w:rPr>
          <w:rFonts w:hint="cs"/>
          <w:b/>
          <w:bCs/>
          <w:rtl/>
        </w:rPr>
        <w:t>وّل</w:t>
      </w:r>
      <w:r w:rsidR="00592460" w:rsidRPr="00765618">
        <w:rPr>
          <w:b/>
          <w:bCs/>
          <w:rtl/>
        </w:rPr>
        <w:t>:</w:t>
      </w:r>
      <w:r w:rsidR="00592460" w:rsidRPr="00FC1947">
        <w:rPr>
          <w:rtl/>
        </w:rPr>
        <w:t xml:space="preserve"> إنه ما هي الدّرجة الواحدة التي يفارق فيها الرّجل المرأة كما ورد في الآية الكريمة عقيب هذا المقطع الذي نقلناه آنفاً مباشرةً </w:t>
      </w:r>
      <w:r>
        <w:rPr>
          <w:rFonts w:ascii="Mosawi" w:hAnsi="Mosawi"/>
          <w:rtl/>
        </w:rPr>
        <w:t>﴿</w:t>
      </w:r>
      <w:r w:rsidR="00592460" w:rsidRPr="00765618">
        <w:rPr>
          <w:b/>
          <w:bCs/>
          <w:rtl/>
        </w:rPr>
        <w:t>وللرّجال عليهنّ درجة</w:t>
      </w:r>
      <w:r>
        <w:rPr>
          <w:rFonts w:ascii="Mosawi" w:hAnsi="Mosawi"/>
          <w:rtl/>
        </w:rPr>
        <w:t>﴾</w:t>
      </w:r>
      <w:r>
        <w:rPr>
          <w:rFonts w:ascii="Mosawi" w:hAnsi="Mosawi" w:hint="cs"/>
          <w:rtl/>
        </w:rPr>
        <w:t>؟</w:t>
      </w:r>
      <w:r w:rsidR="00592460" w:rsidRPr="00FC1947">
        <w:rPr>
          <w:rtl/>
        </w:rPr>
        <w:t xml:space="preserve"> فإنه إذا كان المراد من التماثل فيما لهنّ وفيما عليهنّ هو التّماثل في الجنس وفهمنا من الدرجة الواحدة الوحدة التامّة أي خصوصيّة واحدة تميّز وتقدّم الرجل على المرأة، فإن هذا سوف يفضي بنا إلى ضرورة إبراز محاولات لتفسير الكثير من فوارق الحق بين الرجل والمرأة كموضوع الطلاق والحضانة والتعدّد الزوجي وغير ذلك</w:t>
      </w:r>
      <w:r>
        <w:rPr>
          <w:rFonts w:hint="cs"/>
          <w:rtl/>
        </w:rPr>
        <w:t>،</w:t>
      </w:r>
      <w:r w:rsidR="00592460" w:rsidRPr="00FC1947">
        <w:rPr>
          <w:rtl/>
        </w:rPr>
        <w:t xml:space="preserve"> بعد افتراض أنّ هذه الدرجة هي القيمومة لتصريح النصّ القرآني بها في موضع آخر</w:t>
      </w:r>
      <w:r>
        <w:rPr>
          <w:rFonts w:hint="cs"/>
          <w:rtl/>
        </w:rPr>
        <w:t>:</w:t>
      </w:r>
      <w:r w:rsidR="00592460" w:rsidRPr="00FC1947">
        <w:rPr>
          <w:rtl/>
        </w:rPr>
        <w:t xml:space="preserve"> </w:t>
      </w:r>
      <w:r>
        <w:rPr>
          <w:rFonts w:ascii="Mosawi" w:hAnsi="Mosawi"/>
          <w:rtl/>
        </w:rPr>
        <w:t>﴿</w:t>
      </w:r>
      <w:r w:rsidRPr="00765618">
        <w:rPr>
          <w:b/>
          <w:bCs/>
          <w:rtl/>
        </w:rPr>
        <w:t>الرِّجَالُ قَوَّامُونَ عَلَى النِّسَاء</w:t>
      </w:r>
      <w:r>
        <w:rPr>
          <w:rFonts w:ascii="Mosawi" w:hAnsi="Mosawi"/>
          <w:rtl/>
        </w:rPr>
        <w:t>﴾</w:t>
      </w:r>
      <w:r w:rsidR="00592460" w:rsidRPr="00815C4C">
        <w:rPr>
          <w:rFonts w:cs="Taher"/>
          <w:vertAlign w:val="superscript"/>
          <w:rtl/>
        </w:rPr>
        <w:t>(</w:t>
      </w:r>
      <w:r w:rsidR="00592460" w:rsidRPr="00815C4C">
        <w:rPr>
          <w:rFonts w:cs="Taher"/>
          <w:vertAlign w:val="superscript"/>
          <w:rtl/>
        </w:rPr>
        <w:footnoteReference w:id="751"/>
      </w:r>
      <w:r w:rsidR="00592460" w:rsidRPr="00815C4C">
        <w:rPr>
          <w:rFonts w:cs="Taher"/>
          <w:vertAlign w:val="superscript"/>
          <w:rtl/>
        </w:rPr>
        <w:t>)</w:t>
      </w:r>
      <w:r w:rsidR="00592460" w:rsidRPr="00FC1947">
        <w:rPr>
          <w:rtl/>
        </w:rPr>
        <w:t xml:space="preserve"> وهذا تساؤل نقضي على الطرف الآخر تفسيره وحلّه. </w:t>
      </w:r>
    </w:p>
    <w:p w:rsidR="00592460" w:rsidRPr="00FC1947" w:rsidRDefault="00592460" w:rsidP="00E32EF1">
      <w:pPr>
        <w:pStyle w:val="ac"/>
        <w:spacing w:line="209" w:lineRule="auto"/>
        <w:rPr>
          <w:rtl/>
        </w:rPr>
      </w:pPr>
      <w:r w:rsidRPr="00FC1947">
        <w:rPr>
          <w:rtl/>
        </w:rPr>
        <w:t>لكن</w:t>
      </w:r>
      <w:r w:rsidR="00765618">
        <w:rPr>
          <w:rFonts w:hint="cs"/>
          <w:rtl/>
        </w:rPr>
        <w:t>ّ</w:t>
      </w:r>
      <w:r w:rsidRPr="00FC1947">
        <w:rPr>
          <w:rtl/>
        </w:rPr>
        <w:t xml:space="preserve"> هذا ال</w:t>
      </w:r>
      <w:r w:rsidR="00765618">
        <w:rPr>
          <w:rFonts w:hint="cs"/>
          <w:rtl/>
        </w:rPr>
        <w:t>إ</w:t>
      </w:r>
      <w:r w:rsidRPr="00FC1947">
        <w:rPr>
          <w:rtl/>
        </w:rPr>
        <w:t>شكال النقضي المثار قابل للحل</w:t>
      </w:r>
      <w:r w:rsidR="00765618">
        <w:rPr>
          <w:rFonts w:hint="cs"/>
          <w:rtl/>
        </w:rPr>
        <w:t>؛</w:t>
      </w:r>
      <w:r w:rsidRPr="00FC1947">
        <w:rPr>
          <w:rtl/>
        </w:rPr>
        <w:t xml:space="preserve"> وذلك بإرجاع أكثر أو كل العناوين إلى عنوان القيمومة، فالطّلاق ونحوه يفسّر على هذا الأساس</w:t>
      </w:r>
      <w:r w:rsidR="00765618">
        <w:rPr>
          <w:rFonts w:hint="cs"/>
          <w:rtl/>
        </w:rPr>
        <w:t>،</w:t>
      </w:r>
      <w:r w:rsidRPr="00FC1947">
        <w:rPr>
          <w:rtl/>
        </w:rPr>
        <w:t xml:space="preserve"> وإن كانت بعض العناوين غير واضحة في </w:t>
      </w:r>
      <w:r w:rsidR="002F5E37">
        <w:rPr>
          <w:rFonts w:hint="cs"/>
          <w:rtl/>
        </w:rPr>
        <w:t>ا</w:t>
      </w:r>
      <w:r w:rsidR="002F5E37">
        <w:rPr>
          <w:rtl/>
        </w:rPr>
        <w:t>نطباق هذا التفسير عليها</w:t>
      </w:r>
      <w:r w:rsidR="002F5E37">
        <w:rPr>
          <w:rFonts w:hint="cs"/>
          <w:rtl/>
        </w:rPr>
        <w:t>، وعلى أية حال، فهذا بحث آخر متعلّق بذيل الآية ليس هنا محلّه.</w:t>
      </w:r>
    </w:p>
    <w:p w:rsidR="00592460" w:rsidRPr="00FC1947" w:rsidRDefault="00592460" w:rsidP="00E32EF1">
      <w:pPr>
        <w:pStyle w:val="ac"/>
        <w:spacing w:line="209" w:lineRule="auto"/>
        <w:rPr>
          <w:rtl/>
        </w:rPr>
      </w:pPr>
      <w:r w:rsidRPr="00FC1947">
        <w:rPr>
          <w:b/>
          <w:bCs/>
          <w:rtl/>
        </w:rPr>
        <w:t>الثاني:</w:t>
      </w:r>
      <w:r w:rsidRPr="00FC1947">
        <w:rPr>
          <w:rtl/>
        </w:rPr>
        <w:t xml:space="preserve"> إن الضّمير </w:t>
      </w:r>
      <w:r w:rsidR="002F5E37">
        <w:rPr>
          <w:rFonts w:ascii="Mosawi" w:hAnsi="Mosawi"/>
          <w:rtl/>
        </w:rPr>
        <w:t>﴿</w:t>
      </w:r>
      <w:r w:rsidRPr="002F5E37">
        <w:rPr>
          <w:b/>
          <w:bCs/>
          <w:rtl/>
        </w:rPr>
        <w:t>لهنّ</w:t>
      </w:r>
      <w:r w:rsidR="002F5E37">
        <w:rPr>
          <w:rFonts w:ascii="Mosawi" w:hAnsi="Mosawi"/>
          <w:rtl/>
        </w:rPr>
        <w:t>﴾</w:t>
      </w:r>
      <w:r w:rsidRPr="00FC1947">
        <w:rPr>
          <w:rtl/>
        </w:rPr>
        <w:t xml:space="preserve"> في الآية يفترض رجوعه</w:t>
      </w:r>
      <w:r w:rsidR="002F5E37">
        <w:rPr>
          <w:rFonts w:hint="cs"/>
          <w:rtl/>
        </w:rPr>
        <w:t xml:space="preserve"> ـ</w:t>
      </w:r>
      <w:r w:rsidRPr="00FC1947">
        <w:rPr>
          <w:rtl/>
        </w:rPr>
        <w:t xml:space="preserve"> كما يفهم من سياق الآية </w:t>
      </w:r>
      <w:r w:rsidR="002F5E37">
        <w:rPr>
          <w:rFonts w:hint="cs"/>
          <w:rtl/>
        </w:rPr>
        <w:t xml:space="preserve">ـ </w:t>
      </w:r>
      <w:r w:rsidRPr="00FC1947">
        <w:rPr>
          <w:rtl/>
        </w:rPr>
        <w:t>إلى المطلّقات الرجعيّات</w:t>
      </w:r>
      <w:r w:rsidR="002F5E37">
        <w:rPr>
          <w:rFonts w:hint="cs"/>
          <w:rtl/>
        </w:rPr>
        <w:t>،</w:t>
      </w:r>
      <w:r w:rsidRPr="00FC1947">
        <w:rPr>
          <w:rtl/>
        </w:rPr>
        <w:t xml:space="preserve"> فالآية وردت على الشّكل التالي</w:t>
      </w:r>
      <w:r w:rsidR="002F5E37">
        <w:rPr>
          <w:rFonts w:hint="cs"/>
          <w:rtl/>
        </w:rPr>
        <w:t>:</w:t>
      </w:r>
      <w:r w:rsidRPr="00FC1947">
        <w:rPr>
          <w:rtl/>
        </w:rPr>
        <w:t xml:space="preserve"> </w:t>
      </w:r>
      <w:r w:rsidR="002F5E37">
        <w:rPr>
          <w:rFonts w:ascii="Mosawi" w:hAnsi="Mosawi"/>
          <w:rtl/>
        </w:rPr>
        <w:t>﴿</w:t>
      </w:r>
      <w:r w:rsidR="002F5E37" w:rsidRPr="002F5E37">
        <w:rPr>
          <w:b/>
          <w:bCs/>
          <w:rtl/>
        </w:rPr>
        <w:t>وَالمُطَلَّقَاتُ يَتَرَبَّصْنَ بِأَنفُسِهِنَّ ثَلَاثَةَ قُرُوَءٍ وَلَا يَحِلُّ لَهُنَّ أَن يَكْتُمْنَ مَا خَلَقَ اللهُ فِي أَرْحَامِهِنَّ إِن كُنَّ يُؤْمِنَّ بِاللهِ وَاليَوْمِ الآخِرِ وَبُعُولَتُهُنَّ أَحَقُّ بِرَدِّهِنَّ فِي ذَلِكَ إِنْ أَرَادُواْ إِصْلَاحًا وَلَهُنَّ مِثْلُ الَّذِي عَلَيْهِنَّ بِالمَعْرُوفِ وَلِلرِّجَالِ عَلَيْهِنَّ دَرَجَةٌ</w:t>
      </w:r>
      <w:r w:rsidRPr="00FC1947">
        <w:rPr>
          <w:rtl/>
        </w:rPr>
        <w:t>..</w:t>
      </w:r>
      <w:r w:rsidR="002F5E37">
        <w:rPr>
          <w:rFonts w:ascii="Mosawi" w:hAnsi="Mosawi"/>
          <w:rtl/>
        </w:rPr>
        <w:t>﴾</w:t>
      </w:r>
      <w:r w:rsidRPr="00FC1947">
        <w:rPr>
          <w:rtl/>
        </w:rPr>
        <w:t xml:space="preserve"> ومن الواضح أن الضّمائر ترجع إلى </w:t>
      </w:r>
      <w:r w:rsidR="002F5E37">
        <w:rPr>
          <w:rFonts w:ascii="Mosawi" w:hAnsi="Mosawi"/>
          <w:rtl/>
        </w:rPr>
        <w:t>﴿</w:t>
      </w:r>
      <w:r w:rsidRPr="002F5E37">
        <w:rPr>
          <w:b/>
          <w:bCs/>
          <w:rtl/>
        </w:rPr>
        <w:t>و</w:t>
      </w:r>
      <w:r w:rsidR="002F5E37">
        <w:rPr>
          <w:rFonts w:hint="cs"/>
          <w:b/>
          <w:bCs/>
          <w:rtl/>
        </w:rPr>
        <w:t>َ</w:t>
      </w:r>
      <w:r w:rsidRPr="002F5E37">
        <w:rPr>
          <w:b/>
          <w:bCs/>
          <w:rtl/>
        </w:rPr>
        <w:t>الم</w:t>
      </w:r>
      <w:r w:rsidR="002F5E37">
        <w:rPr>
          <w:rFonts w:hint="cs"/>
          <w:b/>
          <w:bCs/>
          <w:rtl/>
        </w:rPr>
        <w:t>ُ</w:t>
      </w:r>
      <w:r w:rsidRPr="002F5E37">
        <w:rPr>
          <w:b/>
          <w:bCs/>
          <w:rtl/>
        </w:rPr>
        <w:t>ط</w:t>
      </w:r>
      <w:r w:rsidR="002F5E37">
        <w:rPr>
          <w:rFonts w:hint="cs"/>
          <w:b/>
          <w:bCs/>
          <w:rtl/>
        </w:rPr>
        <w:t>َ</w:t>
      </w:r>
      <w:r w:rsidRPr="002F5E37">
        <w:rPr>
          <w:b/>
          <w:bCs/>
          <w:rtl/>
        </w:rPr>
        <w:t>لّ</w:t>
      </w:r>
      <w:r w:rsidR="002F5E37">
        <w:rPr>
          <w:rFonts w:hint="cs"/>
          <w:b/>
          <w:bCs/>
          <w:rtl/>
        </w:rPr>
        <w:t>َ</w:t>
      </w:r>
      <w:r w:rsidRPr="002F5E37">
        <w:rPr>
          <w:b/>
          <w:bCs/>
          <w:rtl/>
        </w:rPr>
        <w:t>ق</w:t>
      </w:r>
      <w:r w:rsidR="002F5E37">
        <w:rPr>
          <w:rFonts w:hint="cs"/>
          <w:b/>
          <w:bCs/>
          <w:rtl/>
        </w:rPr>
        <w:t>َ</w:t>
      </w:r>
      <w:r w:rsidRPr="002F5E37">
        <w:rPr>
          <w:b/>
          <w:bCs/>
          <w:rtl/>
        </w:rPr>
        <w:t>ات</w:t>
      </w:r>
      <w:r w:rsidR="002F5E37">
        <w:rPr>
          <w:rFonts w:hint="cs"/>
          <w:b/>
          <w:bCs/>
          <w:rtl/>
        </w:rPr>
        <w:t>ُ</w:t>
      </w:r>
      <w:r w:rsidR="002F5E37">
        <w:rPr>
          <w:rFonts w:ascii="Mosawi" w:hAnsi="Mosawi"/>
          <w:rtl/>
        </w:rPr>
        <w:t>﴾</w:t>
      </w:r>
      <w:r w:rsidRPr="00FC1947">
        <w:rPr>
          <w:rtl/>
        </w:rPr>
        <w:t xml:space="preserve"> الواردة في صدر الآية.</w:t>
      </w:r>
    </w:p>
    <w:p w:rsidR="00592460" w:rsidRPr="00FC1947" w:rsidRDefault="00592460" w:rsidP="007475B3">
      <w:pPr>
        <w:pStyle w:val="ac"/>
        <w:rPr>
          <w:rtl/>
        </w:rPr>
      </w:pPr>
      <w:r w:rsidRPr="00FC1947">
        <w:rPr>
          <w:rtl/>
        </w:rPr>
        <w:t>ووفقاً لذلك</w:t>
      </w:r>
      <w:r w:rsidR="007475B3">
        <w:rPr>
          <w:rFonts w:hint="cs"/>
          <w:rtl/>
        </w:rPr>
        <w:t>،</w:t>
      </w:r>
      <w:r w:rsidRPr="00FC1947">
        <w:rPr>
          <w:rtl/>
        </w:rPr>
        <w:t xml:space="preserve"> فلماذا افترض في الآية الكريمة أن هذا المقطع يمثّل قاعدة عامّة في </w:t>
      </w:r>
      <w:r w:rsidRPr="00FC1947">
        <w:rPr>
          <w:rtl/>
        </w:rPr>
        <w:lastRenderedPageBreak/>
        <w:t>العلاقة الزوجية مع أنه حكم مرتبط بالعلاقة مع المطلّقة الرجعيّة؟‍‍‍‍‍‍ وبالتالي يكون معناه أن ما يفرض على المطلّقة الرجعيّة من واجبات يكون بالمقابل لها حقّ بإزائها كالمبيت في منزل زوجها</w:t>
      </w:r>
      <w:r w:rsidR="007475B3">
        <w:rPr>
          <w:rFonts w:hint="cs"/>
          <w:rtl/>
        </w:rPr>
        <w:t>،</w:t>
      </w:r>
      <w:r w:rsidRPr="00FC1947">
        <w:rPr>
          <w:rtl/>
        </w:rPr>
        <w:t xml:space="preserve"> والذي صرّح القرآن الكريم بوجوبه عليها ووجوب أن لا يخرجها الرجل من بيتها فترة العدّة إلا في حالة</w:t>
      </w:r>
      <w:r w:rsidR="007475B3">
        <w:rPr>
          <w:rFonts w:hint="cs"/>
          <w:rtl/>
        </w:rPr>
        <w:t xml:space="preserve"> ا</w:t>
      </w:r>
      <w:r w:rsidRPr="00FC1947">
        <w:rPr>
          <w:rtl/>
        </w:rPr>
        <w:t>رتكابها الفاحشة المبينة</w:t>
      </w:r>
      <w:r w:rsidRPr="00815C4C">
        <w:rPr>
          <w:rFonts w:cs="Taher"/>
          <w:vertAlign w:val="superscript"/>
          <w:rtl/>
        </w:rPr>
        <w:t>(</w:t>
      </w:r>
      <w:r w:rsidRPr="00815C4C">
        <w:rPr>
          <w:rFonts w:cs="Taher"/>
          <w:vertAlign w:val="superscript"/>
          <w:rtl/>
        </w:rPr>
        <w:footnoteReference w:id="752"/>
      </w:r>
      <w:r w:rsidRPr="00815C4C">
        <w:rPr>
          <w:rFonts w:cs="Taher"/>
          <w:vertAlign w:val="superscript"/>
          <w:rtl/>
        </w:rPr>
        <w:t>)</w:t>
      </w:r>
      <w:r w:rsidRPr="00FC1947">
        <w:rPr>
          <w:rtl/>
        </w:rPr>
        <w:t>.</w:t>
      </w:r>
    </w:p>
    <w:p w:rsidR="00592460" w:rsidRPr="00FC1947" w:rsidRDefault="00592460" w:rsidP="00E32EF1">
      <w:pPr>
        <w:pStyle w:val="ac"/>
        <w:spacing w:line="211" w:lineRule="auto"/>
        <w:rPr>
          <w:rtl/>
        </w:rPr>
      </w:pPr>
      <w:r w:rsidRPr="00FC1947">
        <w:rPr>
          <w:rtl/>
        </w:rPr>
        <w:t>والذي يظهر بمراجعة التّفاسير</w:t>
      </w:r>
      <w:r w:rsidRPr="00815C4C">
        <w:rPr>
          <w:rFonts w:cs="Taher"/>
          <w:vertAlign w:val="superscript"/>
          <w:rtl/>
        </w:rPr>
        <w:t>(</w:t>
      </w:r>
      <w:r w:rsidRPr="00815C4C">
        <w:rPr>
          <w:rFonts w:cs="Taher"/>
          <w:vertAlign w:val="superscript"/>
          <w:rtl/>
        </w:rPr>
        <w:footnoteReference w:id="753"/>
      </w:r>
      <w:r w:rsidRPr="00815C4C">
        <w:rPr>
          <w:rFonts w:cs="Taher"/>
          <w:vertAlign w:val="superscript"/>
          <w:rtl/>
        </w:rPr>
        <w:t>)</w:t>
      </w:r>
      <w:r w:rsidRPr="00FC1947">
        <w:rPr>
          <w:rtl/>
        </w:rPr>
        <w:t xml:space="preserve"> في الآية الكريمة أنها اعتبرت هذا المقطع متعلقاً بالعلاقة بين الزّوجين</w:t>
      </w:r>
      <w:r w:rsidR="007475B3">
        <w:rPr>
          <w:rFonts w:hint="cs"/>
          <w:rtl/>
        </w:rPr>
        <w:t>،</w:t>
      </w:r>
      <w:r w:rsidRPr="00FC1947">
        <w:rPr>
          <w:rtl/>
        </w:rPr>
        <w:t xml:space="preserve"> لا أنه خاصّ بالمطلّقة الرجعيّة كما هو واضح من كلمات الكثير من المفسرين، والذي يفهم من بعض كلماتهم في ذلك</w:t>
      </w:r>
      <w:r>
        <w:rPr>
          <w:rFonts w:hint="cs"/>
          <w:rtl/>
        </w:rPr>
        <w:t xml:space="preserve"> </w:t>
      </w:r>
      <w:r w:rsidRPr="00FC1947">
        <w:rPr>
          <w:rtl/>
        </w:rPr>
        <w:t>ـ وإن لم يطرحوا القضيّة كاحتمالين بل أرسلوا ما ذكروه إرسال المسلّمات</w:t>
      </w:r>
      <w:r>
        <w:rPr>
          <w:rFonts w:hint="cs"/>
          <w:rtl/>
        </w:rPr>
        <w:t xml:space="preserve"> </w:t>
      </w:r>
      <w:r w:rsidRPr="00FC1947">
        <w:rPr>
          <w:rtl/>
        </w:rPr>
        <w:t xml:space="preserve">ـ </w:t>
      </w:r>
      <w:r w:rsidR="007475B3">
        <w:rPr>
          <w:rFonts w:hint="cs"/>
          <w:rtl/>
        </w:rPr>
        <w:t>أ</w:t>
      </w:r>
      <w:r w:rsidRPr="00FC1947">
        <w:rPr>
          <w:rtl/>
        </w:rPr>
        <w:t>ن المقطع الذي يسبق موضع الشّاهد قد ذكر حق الرجل بإرجاع زوجته المطلّقة رجعياً في العدّة</w:t>
      </w:r>
      <w:r w:rsidR="007475B3">
        <w:rPr>
          <w:rFonts w:hint="cs"/>
          <w:rtl/>
        </w:rPr>
        <w:t>،</w:t>
      </w:r>
      <w:r w:rsidRPr="00FC1947">
        <w:rPr>
          <w:rtl/>
        </w:rPr>
        <w:t xml:space="preserve"> ومعنى ذلك أنّ لكم إرجاعهنّ إذا أردتم الإصّلاح في ذلك لا الإضرار بهنّ</w:t>
      </w:r>
      <w:r w:rsidR="007475B3">
        <w:rPr>
          <w:rFonts w:hint="cs"/>
          <w:rtl/>
        </w:rPr>
        <w:t>،</w:t>
      </w:r>
      <w:r w:rsidRPr="00FC1947">
        <w:rPr>
          <w:rtl/>
        </w:rPr>
        <w:t xml:space="preserve"> وعلى تقديره</w:t>
      </w:r>
      <w:r w:rsidR="007475B3">
        <w:rPr>
          <w:rFonts w:hint="cs"/>
          <w:rtl/>
        </w:rPr>
        <w:t xml:space="preserve"> ـ أي الإرجاع ـ </w:t>
      </w:r>
      <w:r w:rsidRPr="00FC1947">
        <w:rPr>
          <w:rtl/>
        </w:rPr>
        <w:t xml:space="preserve"> فيكون لهنّ ما عليهنّ نعم لكم عليهنّ درجة... وبهذا يعمّم مدلول المقطع محلّ الشاهد.</w:t>
      </w:r>
    </w:p>
    <w:p w:rsidR="00592460" w:rsidRPr="00FC1947" w:rsidRDefault="00592460" w:rsidP="00E32EF1">
      <w:pPr>
        <w:pStyle w:val="ac"/>
        <w:spacing w:line="209" w:lineRule="auto"/>
        <w:rPr>
          <w:rFonts w:ascii="Times New Roman" w:hAnsi="Times New Roman"/>
          <w:rtl/>
        </w:rPr>
      </w:pPr>
      <w:r w:rsidRPr="00FC1947">
        <w:rPr>
          <w:rtl/>
        </w:rPr>
        <w:t xml:space="preserve">ولم أعثر من بين كلمات المفسّرين على من احتمل رجوع الضّمير إلى المطلّقات سوى إشارة عابرة من العلاّمة الطباطبائي حيث قال: </w:t>
      </w:r>
      <w:r>
        <w:rPr>
          <w:rFonts w:hint="cs"/>
          <w:rtl/>
        </w:rPr>
        <w:t>«</w:t>
      </w:r>
      <w:r w:rsidRPr="00FC1947">
        <w:rPr>
          <w:rtl/>
        </w:rPr>
        <w:t>فالمراد</w:t>
      </w:r>
      <w:r w:rsidRPr="00FC1947">
        <w:rPr>
          <w:rFonts w:ascii="Times New Roman" w:hAnsi="Times New Roman"/>
          <w:rtl/>
        </w:rPr>
        <w:t xml:space="preserve"> بالجميع معنى واحد وهو : أن النساء أو المطلّقات قد سوى الله بينهن</w:t>
      </w:r>
      <w:r w:rsidR="007475B3">
        <w:rPr>
          <w:rFonts w:ascii="Times New Roman" w:hAnsi="Times New Roman" w:hint="cs"/>
          <w:rtl/>
        </w:rPr>
        <w:t>ّ</w:t>
      </w:r>
      <w:r w:rsidRPr="00FC1947">
        <w:rPr>
          <w:rFonts w:ascii="Times New Roman" w:hAnsi="Times New Roman"/>
          <w:rtl/>
        </w:rPr>
        <w:t xml:space="preserve"> وبين الرجال مع حفظ ما للرجال من الدرجة </w:t>
      </w:r>
      <w:r w:rsidRPr="00FC1947">
        <w:rPr>
          <w:rFonts w:ascii="Times New Roman" w:hAnsi="Times New Roman"/>
          <w:rtl/>
        </w:rPr>
        <w:lastRenderedPageBreak/>
        <w:t>عليهنّ، فجعل لهنّ مثل ما عليهنّ</w:t>
      </w:r>
      <w:r w:rsidRPr="00617008">
        <w:rPr>
          <w:rFonts w:hint="cs"/>
          <w:rtl/>
        </w:rPr>
        <w:t>»</w:t>
      </w:r>
      <w:r w:rsidRPr="00815C4C">
        <w:rPr>
          <w:rFonts w:cs="Taher"/>
          <w:vertAlign w:val="superscript"/>
          <w:rtl/>
        </w:rPr>
        <w:t>(</w:t>
      </w:r>
      <w:r w:rsidRPr="00815C4C">
        <w:rPr>
          <w:rFonts w:cs="Taher"/>
          <w:vertAlign w:val="superscript"/>
          <w:rtl/>
        </w:rPr>
        <w:footnoteReference w:id="754"/>
      </w:r>
      <w:r w:rsidRPr="00815C4C">
        <w:rPr>
          <w:rFonts w:cs="Taher"/>
          <w:vertAlign w:val="superscript"/>
          <w:rtl/>
        </w:rPr>
        <w:t>)</w:t>
      </w:r>
      <w:r w:rsidRPr="00FC1947">
        <w:rPr>
          <w:rFonts w:ascii="Times New Roman" w:hAnsi="Times New Roman"/>
          <w:rtl/>
        </w:rPr>
        <w:t>.</w:t>
      </w:r>
    </w:p>
    <w:p w:rsidR="00592460" w:rsidRPr="00FC1947" w:rsidRDefault="00592460" w:rsidP="00464C69">
      <w:pPr>
        <w:pStyle w:val="ac"/>
        <w:rPr>
          <w:rFonts w:ascii="Times New Roman" w:hAnsi="Times New Roman"/>
          <w:rtl/>
        </w:rPr>
      </w:pPr>
      <w:r w:rsidRPr="00FC1947">
        <w:rPr>
          <w:rFonts w:ascii="Times New Roman" w:hAnsi="Times New Roman"/>
          <w:rtl/>
        </w:rPr>
        <w:t>والصيغة التي وردت في التفاسير لتبرير تعميم المقطع لا يوثق بها على مستوى الظهور العرفي</w:t>
      </w:r>
      <w:r w:rsidR="00464C69">
        <w:rPr>
          <w:rFonts w:ascii="Times New Roman" w:hAnsi="Times New Roman" w:hint="cs"/>
          <w:rtl/>
        </w:rPr>
        <w:t>؛</w:t>
      </w:r>
      <w:r w:rsidRPr="00FC1947">
        <w:rPr>
          <w:rFonts w:ascii="Times New Roman" w:hAnsi="Times New Roman"/>
          <w:rtl/>
        </w:rPr>
        <w:t xml:space="preserve"> لأنها مجرّد محاولة</w:t>
      </w:r>
      <w:r w:rsidR="00464C69">
        <w:rPr>
          <w:rFonts w:ascii="Times New Roman" w:hAnsi="Times New Roman" w:hint="cs"/>
          <w:rtl/>
        </w:rPr>
        <w:t>،</w:t>
      </w:r>
      <w:r w:rsidRPr="00FC1947">
        <w:rPr>
          <w:rFonts w:ascii="Times New Roman" w:hAnsi="Times New Roman"/>
          <w:rtl/>
        </w:rPr>
        <w:t xml:space="preserve"> وإلا فالمفترض رجوع الضمير إلى المطلّقات ويكون معنى الدرجة هو أنّ قرار هذه المرأة في الإمساك أو الإرسال هو بيد الرجل.</w:t>
      </w:r>
    </w:p>
    <w:p w:rsidR="00592460" w:rsidRPr="00FC1947" w:rsidRDefault="00592460" w:rsidP="00464C69">
      <w:pPr>
        <w:pStyle w:val="ac"/>
        <w:rPr>
          <w:rtl/>
        </w:rPr>
      </w:pPr>
      <w:r w:rsidRPr="00FC1947">
        <w:rPr>
          <w:rtl/>
        </w:rPr>
        <w:t>ونحن وإن كنّا لا نجزم برجوعه إلى المطلّقات بحيث لا ينفع في ال</w:t>
      </w:r>
      <w:r w:rsidR="00464C69">
        <w:rPr>
          <w:rFonts w:hint="cs"/>
          <w:rtl/>
        </w:rPr>
        <w:t>ا</w:t>
      </w:r>
      <w:r w:rsidRPr="00FC1947">
        <w:rPr>
          <w:rtl/>
        </w:rPr>
        <w:t>ستدلال هنا</w:t>
      </w:r>
      <w:r w:rsidR="00464C69">
        <w:rPr>
          <w:rFonts w:hint="cs"/>
          <w:rtl/>
        </w:rPr>
        <w:t>،</w:t>
      </w:r>
      <w:r w:rsidRPr="00FC1947">
        <w:rPr>
          <w:rtl/>
        </w:rPr>
        <w:t xml:space="preserve"> لكن على الأقل لا يظهر بصورة يمكن الإتكاء عليها رجوعه إلى الزوجات ليمثّل قاعدةً زوجيةً عامّةً.</w:t>
      </w:r>
    </w:p>
    <w:p w:rsidR="00592460" w:rsidRPr="00FC1947" w:rsidRDefault="00592460" w:rsidP="00E32EF1">
      <w:pPr>
        <w:pStyle w:val="ac"/>
        <w:spacing w:line="199" w:lineRule="auto"/>
        <w:rPr>
          <w:rtl/>
        </w:rPr>
      </w:pPr>
      <w:r w:rsidRPr="00464C69">
        <w:rPr>
          <w:b/>
          <w:bCs/>
          <w:rtl/>
        </w:rPr>
        <w:t>وعليه</w:t>
      </w:r>
      <w:r w:rsidR="00464C69" w:rsidRPr="00464C69">
        <w:rPr>
          <w:rFonts w:hint="cs"/>
          <w:b/>
          <w:bCs/>
          <w:rtl/>
        </w:rPr>
        <w:t>،</w:t>
      </w:r>
      <w:r w:rsidRPr="00464C69">
        <w:rPr>
          <w:b/>
          <w:bCs/>
          <w:rtl/>
        </w:rPr>
        <w:t xml:space="preserve"> فالم</w:t>
      </w:r>
      <w:r w:rsidR="00464C69" w:rsidRPr="00464C69">
        <w:rPr>
          <w:rFonts w:hint="cs"/>
          <w:b/>
          <w:bCs/>
          <w:rtl/>
        </w:rPr>
        <w:t>ستنتج</w:t>
      </w:r>
      <w:r w:rsidRPr="00464C69">
        <w:rPr>
          <w:b/>
          <w:bCs/>
          <w:rtl/>
        </w:rPr>
        <w:t xml:space="preserve"> من مجموع أدلّة الرأي الثّاني</w:t>
      </w:r>
      <w:r w:rsidRPr="00FC1947">
        <w:rPr>
          <w:rtl/>
        </w:rPr>
        <w:t xml:space="preserve"> أن للمرأة الحق في الأقل من الأشهر الأربعة بما يحول دون انحرافها الأخلاقي ويعد في العرف العقلائي معروفاً</w:t>
      </w:r>
      <w:r w:rsidR="00464C69">
        <w:rPr>
          <w:rFonts w:hint="cs"/>
          <w:rtl/>
        </w:rPr>
        <w:t>،</w:t>
      </w:r>
      <w:r w:rsidRPr="00FC1947">
        <w:rPr>
          <w:rtl/>
        </w:rPr>
        <w:t xml:space="preserve"> أما ال</w:t>
      </w:r>
      <w:r w:rsidR="00464C69">
        <w:rPr>
          <w:rFonts w:hint="cs"/>
          <w:rtl/>
        </w:rPr>
        <w:t>ا</w:t>
      </w:r>
      <w:r w:rsidRPr="00FC1947">
        <w:rPr>
          <w:rtl/>
        </w:rPr>
        <w:t>ستجابة التفصيليّة بما لا يفسح المجال ولو بمخالفة واحدة فهذا غير واضح، ولعل صاحب الرأي الثاني يذهب إلى ما توصّلنا إليه.</w:t>
      </w:r>
    </w:p>
    <w:p w:rsidR="00464C69" w:rsidRDefault="00592460" w:rsidP="00E32EF1">
      <w:pPr>
        <w:pStyle w:val="ac"/>
        <w:spacing w:line="199" w:lineRule="auto"/>
        <w:rPr>
          <w:rtl/>
        </w:rPr>
      </w:pPr>
      <w:r w:rsidRPr="00FC1947">
        <w:rPr>
          <w:rtl/>
        </w:rPr>
        <w:t xml:space="preserve">ولكن يبقى هنا أنه على تقدير تماميّة كافّة أدلة القول الأول والثاني فما هو طريق الجمع بينهما؟ </w:t>
      </w:r>
    </w:p>
    <w:p w:rsidR="00EE06ED" w:rsidRDefault="00592460" w:rsidP="00E32EF1">
      <w:pPr>
        <w:pStyle w:val="ac"/>
        <w:spacing w:line="199" w:lineRule="auto"/>
        <w:rPr>
          <w:rtl/>
        </w:rPr>
      </w:pPr>
      <w:r w:rsidRPr="00FC1947">
        <w:rPr>
          <w:rtl/>
        </w:rPr>
        <w:t>إنه ودون الدخول في مقا</w:t>
      </w:r>
      <w:r w:rsidR="00681628">
        <w:rPr>
          <w:rFonts w:hint="cs"/>
          <w:rtl/>
        </w:rPr>
        <w:t>رن</w:t>
      </w:r>
      <w:r w:rsidRPr="00FC1947">
        <w:rPr>
          <w:rtl/>
        </w:rPr>
        <w:t>ة كلّ دليل وما يقابله</w:t>
      </w:r>
      <w:r w:rsidR="00681628">
        <w:rPr>
          <w:rFonts w:hint="cs"/>
          <w:rtl/>
        </w:rPr>
        <w:t>،</w:t>
      </w:r>
      <w:r w:rsidRPr="00FC1947">
        <w:rPr>
          <w:rtl/>
        </w:rPr>
        <w:t xml:space="preserve"> فإن المرجّح هو أدلة القول الثاني لأنها أدلّة قرآنية عامّة ومتعدّدة</w:t>
      </w:r>
      <w:r w:rsidR="00681628">
        <w:rPr>
          <w:rFonts w:hint="cs"/>
          <w:rtl/>
        </w:rPr>
        <w:t>،</w:t>
      </w:r>
      <w:r w:rsidRPr="00FC1947">
        <w:rPr>
          <w:rtl/>
        </w:rPr>
        <w:t xml:space="preserve"> وفيها ما يبعد عنه إمكان التخصيص</w:t>
      </w:r>
      <w:r w:rsidR="00681628">
        <w:rPr>
          <w:rFonts w:hint="cs"/>
          <w:rtl/>
        </w:rPr>
        <w:t>،</w:t>
      </w:r>
      <w:r w:rsidRPr="00FC1947">
        <w:rPr>
          <w:rtl/>
        </w:rPr>
        <w:t xml:space="preserve"> وهي أقوى من أدلة القول الأول حسب الظاه</w:t>
      </w:r>
      <w:r w:rsidRPr="00592460">
        <w:rPr>
          <w:rtl/>
        </w:rPr>
        <w:t>ر.</w:t>
      </w:r>
    </w:p>
    <w:p w:rsidR="00A67CCA" w:rsidRPr="00E32EF1" w:rsidRDefault="00A67CCA" w:rsidP="00E32EF1">
      <w:pPr>
        <w:pStyle w:val="afffffc"/>
        <w:rPr>
          <w:sz w:val="14"/>
          <w:szCs w:val="12"/>
          <w:rtl/>
        </w:rPr>
      </w:pPr>
    </w:p>
    <w:p w:rsidR="00681628" w:rsidRDefault="00681628" w:rsidP="00E32EF1">
      <w:pPr>
        <w:pStyle w:val="1"/>
        <w:rPr>
          <w:rtl/>
        </w:rPr>
      </w:pPr>
      <w:bookmarkStart w:id="383" w:name="_Toc275128103"/>
      <w:r>
        <w:rPr>
          <w:rFonts w:hint="cs"/>
          <w:rtl/>
        </w:rPr>
        <w:t>نتيجة البحث</w:t>
      </w:r>
      <w:bookmarkEnd w:id="383"/>
    </w:p>
    <w:p w:rsidR="00681628" w:rsidRDefault="00681628" w:rsidP="0008530B">
      <w:pPr>
        <w:pStyle w:val="ac"/>
        <w:rPr>
          <w:rtl/>
        </w:rPr>
      </w:pPr>
      <w:r>
        <w:rPr>
          <w:rFonts w:hint="cs"/>
          <w:rtl/>
        </w:rPr>
        <w:t>والنتيجة المستحصلة من مجموع ما تمت الموافقة عليه ـ كلاً أو مضموناً ـ مما تقدم هو أنّ للمرأة حق المقاربة بما يزيل مبررات الانحراف الأخلاقي عندها أوّلاً، وبما يعد في العرف العقلائي معروفاً بحيث يكون تركه مصداقاً للعشرة ال</w:t>
      </w:r>
      <w:r w:rsidR="0008530B">
        <w:rPr>
          <w:rFonts w:hint="cs"/>
          <w:rtl/>
        </w:rPr>
        <w:t>س</w:t>
      </w:r>
      <w:r>
        <w:rPr>
          <w:rFonts w:hint="cs"/>
          <w:rtl/>
        </w:rPr>
        <w:t xml:space="preserve">يئة ثانياً، وهذه النتيجة تترتب عليها مجموعة نتائج أبرزها: </w:t>
      </w:r>
    </w:p>
    <w:p w:rsidR="00681628" w:rsidRDefault="00316ABD" w:rsidP="0008530B">
      <w:pPr>
        <w:pStyle w:val="ac"/>
        <w:rPr>
          <w:rtl/>
        </w:rPr>
      </w:pPr>
      <w:r w:rsidRPr="007C65C8">
        <w:rPr>
          <w:rFonts w:hint="cs"/>
          <w:b/>
          <w:bCs/>
          <w:rtl/>
        </w:rPr>
        <w:t>أوّلاً ـ</w:t>
      </w:r>
      <w:r>
        <w:rPr>
          <w:rFonts w:hint="cs"/>
          <w:rtl/>
        </w:rPr>
        <w:t xml:space="preserve"> </w:t>
      </w:r>
      <w:r w:rsidR="0008530B">
        <w:rPr>
          <w:rFonts w:hint="cs"/>
          <w:rtl/>
        </w:rPr>
        <w:t>إ</w:t>
      </w:r>
      <w:r>
        <w:rPr>
          <w:rFonts w:hint="cs"/>
          <w:rtl/>
        </w:rPr>
        <w:t xml:space="preserve">نّ القضية متحركة ولا يوجد أي تحديد زماني </w:t>
      </w:r>
      <w:r w:rsidR="00EC4D30">
        <w:rPr>
          <w:rFonts w:hint="cs"/>
          <w:rtl/>
        </w:rPr>
        <w:t xml:space="preserve">فيها، بل تختلف باختلاف </w:t>
      </w:r>
      <w:r w:rsidR="00EC4D30">
        <w:rPr>
          <w:rFonts w:hint="cs"/>
          <w:rtl/>
        </w:rPr>
        <w:lastRenderedPageBreak/>
        <w:t xml:space="preserve">الأزمنة والأمكنة </w:t>
      </w:r>
      <w:r w:rsidR="007C65C8">
        <w:rPr>
          <w:rFonts w:hint="cs"/>
          <w:rtl/>
        </w:rPr>
        <w:t>والظروف وطبائع النساء و...</w:t>
      </w:r>
    </w:p>
    <w:p w:rsidR="007C65C8" w:rsidRDefault="007C65C8" w:rsidP="00681628">
      <w:pPr>
        <w:pStyle w:val="ac"/>
        <w:rPr>
          <w:rtl/>
        </w:rPr>
      </w:pPr>
      <w:r w:rsidRPr="007C65C8">
        <w:rPr>
          <w:rFonts w:hint="cs"/>
          <w:b/>
          <w:bCs/>
          <w:rtl/>
        </w:rPr>
        <w:t xml:space="preserve">ثانياً ـ </w:t>
      </w:r>
      <w:r>
        <w:rPr>
          <w:rFonts w:hint="cs"/>
          <w:rtl/>
        </w:rPr>
        <w:t xml:space="preserve">لا يعني الحق الجنسي للزوجة أي صيغة إطلاقية شاملة بحيث كلما أرادت وجب على الزوج الاستجابة بل تتحرك القضية، فقد يكون امتناع ما محرماً وقد يكون أكثر من امتناع غير محرم تبعاً لمدى صدق العشرة السيئة والظلم العقلائي ضمن إطار مؤسسة الزواج. </w:t>
      </w:r>
    </w:p>
    <w:p w:rsidR="007C65C8" w:rsidRDefault="007C65C8" w:rsidP="0008530B">
      <w:pPr>
        <w:pStyle w:val="ac"/>
        <w:rPr>
          <w:rtl/>
        </w:rPr>
      </w:pPr>
      <w:r w:rsidRPr="007C65C8">
        <w:rPr>
          <w:rFonts w:hint="cs"/>
          <w:b/>
          <w:bCs/>
          <w:rtl/>
        </w:rPr>
        <w:t xml:space="preserve">ثالثاً ـ </w:t>
      </w:r>
      <w:r>
        <w:rPr>
          <w:rFonts w:hint="cs"/>
          <w:rtl/>
        </w:rPr>
        <w:t>لا تختلف القضية سواء كانت الزوجة شابة أ</w:t>
      </w:r>
      <w:r w:rsidR="0008530B">
        <w:rPr>
          <w:rFonts w:hint="cs"/>
          <w:rtl/>
        </w:rPr>
        <w:t>م</w:t>
      </w:r>
      <w:r>
        <w:rPr>
          <w:rFonts w:hint="cs"/>
          <w:rtl/>
        </w:rPr>
        <w:t xml:space="preserve"> غير شابة</w:t>
      </w:r>
      <w:r w:rsidR="0008530B">
        <w:rPr>
          <w:rFonts w:hint="cs"/>
          <w:rtl/>
        </w:rPr>
        <w:t>،</w:t>
      </w:r>
      <w:r>
        <w:rPr>
          <w:rFonts w:hint="cs"/>
          <w:rtl/>
        </w:rPr>
        <w:t xml:space="preserve"> كان الزوج مسافراً أ</w:t>
      </w:r>
      <w:r w:rsidR="0008530B">
        <w:rPr>
          <w:rFonts w:hint="cs"/>
          <w:rtl/>
        </w:rPr>
        <w:t>م</w:t>
      </w:r>
      <w:r>
        <w:rPr>
          <w:rFonts w:hint="cs"/>
          <w:rtl/>
        </w:rPr>
        <w:t xml:space="preserve"> حاضراً وما شابه هذه العناوين، بل القضية تتبع ما تقدم من عناوين، نعم بالنسبة للمنقطعة هناك</w:t>
      </w:r>
      <w:r w:rsidR="00C86D3B">
        <w:rPr>
          <w:rFonts w:hint="cs"/>
          <w:rtl/>
        </w:rPr>
        <w:t xml:space="preserve"> مجال للتأمل ليس هنا بحثه. </w:t>
      </w:r>
    </w:p>
    <w:p w:rsidR="00C86D3B" w:rsidRDefault="00C86D3B" w:rsidP="0008530B">
      <w:pPr>
        <w:pStyle w:val="ac"/>
        <w:rPr>
          <w:rtl/>
        </w:rPr>
      </w:pPr>
      <w:r w:rsidRPr="00C86D3B">
        <w:rPr>
          <w:rFonts w:hint="cs"/>
          <w:b/>
          <w:bCs/>
          <w:rtl/>
        </w:rPr>
        <w:t xml:space="preserve">رابعاً ـ </w:t>
      </w:r>
      <w:r>
        <w:rPr>
          <w:rFonts w:hint="cs"/>
          <w:rtl/>
        </w:rPr>
        <w:t>المقاربة والاتصال الجنسي هنا لا يعني محض الادخال للحشفة، بل يمتد لكل ما تقتضيه حيثيات العشرة الحسنة ورفع الانحراف الذي منه ما هو محرم غير الزنا أيضاً، فقد يعبّر عن اتصال جنسي مك</w:t>
      </w:r>
      <w:r w:rsidR="0008530B">
        <w:rPr>
          <w:rFonts w:hint="cs"/>
          <w:rtl/>
        </w:rPr>
        <w:t>ت</w:t>
      </w:r>
      <w:r>
        <w:rPr>
          <w:rFonts w:hint="cs"/>
          <w:rtl/>
        </w:rPr>
        <w:t>مل، ومن هنا تتحد</w:t>
      </w:r>
      <w:r w:rsidR="0008530B">
        <w:rPr>
          <w:rFonts w:hint="cs"/>
          <w:rtl/>
        </w:rPr>
        <w:t>ّد</w:t>
      </w:r>
      <w:r>
        <w:rPr>
          <w:rFonts w:hint="cs"/>
          <w:rtl/>
        </w:rPr>
        <w:t xml:space="preserve"> أيضاً مسألة أنّ المقاربة لابدّ أن ت</w:t>
      </w:r>
      <w:r w:rsidR="0008530B">
        <w:rPr>
          <w:rFonts w:hint="cs"/>
          <w:rtl/>
        </w:rPr>
        <w:t xml:space="preserve">كون من قُبُل أو أنّه يكفي الدبر، </w:t>
      </w:r>
      <w:r>
        <w:rPr>
          <w:rFonts w:hint="cs"/>
          <w:rtl/>
        </w:rPr>
        <w:t>فالقضية متحركة وتختلف باختلاف الطبائع والحالات النفسية</w:t>
      </w:r>
      <w:r w:rsidR="0008530B">
        <w:rPr>
          <w:rFonts w:hint="cs"/>
          <w:rtl/>
        </w:rPr>
        <w:t>،</w:t>
      </w:r>
      <w:r>
        <w:rPr>
          <w:rFonts w:hint="cs"/>
          <w:rtl/>
        </w:rPr>
        <w:t xml:space="preserve"> ولا يمكن وضع صيغة محددة ملزمة على نحو إطلاقي، بل قد تكون الاُمور مُجْزئة حتى ولو بدون المقاربة ـ أي ما يستبطن الإدخال ـ أحياناً. </w:t>
      </w:r>
    </w:p>
    <w:p w:rsidR="00C86D3B" w:rsidRDefault="00C86D3B" w:rsidP="0008530B">
      <w:pPr>
        <w:pStyle w:val="ac"/>
        <w:rPr>
          <w:rtl/>
        </w:rPr>
      </w:pPr>
      <w:r w:rsidRPr="0008530B">
        <w:rPr>
          <w:rFonts w:hint="cs"/>
          <w:b/>
          <w:bCs/>
          <w:rtl/>
        </w:rPr>
        <w:t>خامساً ـ</w:t>
      </w:r>
      <w:r>
        <w:rPr>
          <w:rFonts w:hint="cs"/>
          <w:rtl/>
        </w:rPr>
        <w:t xml:space="preserve"> </w:t>
      </w:r>
      <w:r w:rsidR="0008530B">
        <w:rPr>
          <w:rFonts w:hint="cs"/>
          <w:rtl/>
        </w:rPr>
        <w:t>إ</w:t>
      </w:r>
      <w:r>
        <w:rPr>
          <w:rFonts w:hint="cs"/>
          <w:rtl/>
        </w:rPr>
        <w:t xml:space="preserve">نّ الحكم هنا تجري عليه كافّة العناوين الحاكمة كعناوين الحرج والضرر والاضطرار </w:t>
      </w:r>
      <w:r w:rsidRPr="0008530B">
        <w:rPr>
          <w:rFonts w:hint="cs"/>
          <w:sz w:val="29"/>
          <w:szCs w:val="29"/>
          <w:rtl/>
        </w:rPr>
        <w:t>و... وليس في المسألة قضاء أو أداء أيضاً</w:t>
      </w:r>
      <w:r w:rsidR="0008530B" w:rsidRPr="0008530B">
        <w:rPr>
          <w:rFonts w:hint="cs"/>
          <w:sz w:val="29"/>
          <w:szCs w:val="29"/>
          <w:rtl/>
        </w:rPr>
        <w:t>؛</w:t>
      </w:r>
      <w:r w:rsidRPr="0008530B">
        <w:rPr>
          <w:rFonts w:hint="cs"/>
          <w:sz w:val="29"/>
          <w:szCs w:val="29"/>
          <w:rtl/>
        </w:rPr>
        <w:t xml:space="preserve"> لعدم وجود إطار زماني كما تقدم. </w:t>
      </w:r>
    </w:p>
    <w:p w:rsidR="00E32EF1" w:rsidRDefault="00C86D3B" w:rsidP="0008530B">
      <w:pPr>
        <w:pStyle w:val="ac"/>
      </w:pPr>
      <w:r w:rsidRPr="0008530B">
        <w:rPr>
          <w:rFonts w:hint="cs"/>
          <w:b/>
          <w:bCs/>
          <w:rtl/>
        </w:rPr>
        <w:t>سادساً ـ</w:t>
      </w:r>
      <w:r>
        <w:rPr>
          <w:rFonts w:hint="cs"/>
          <w:rtl/>
        </w:rPr>
        <w:t xml:space="preserve"> </w:t>
      </w:r>
      <w:r w:rsidR="0008530B">
        <w:rPr>
          <w:rFonts w:hint="cs"/>
          <w:rtl/>
        </w:rPr>
        <w:t>إ</w:t>
      </w:r>
      <w:r>
        <w:rPr>
          <w:rFonts w:hint="cs"/>
          <w:rtl/>
        </w:rPr>
        <w:t>نّ نسق الأدلة المتقدمة هو كون المسألة مندرجة أوّلاً في الحقوق، و</w:t>
      </w:r>
      <w:r w:rsidR="0008530B">
        <w:rPr>
          <w:rFonts w:hint="cs"/>
          <w:rtl/>
        </w:rPr>
        <w:t xml:space="preserve">من ثمّ </w:t>
      </w:r>
      <w:r>
        <w:rPr>
          <w:rFonts w:hint="cs"/>
          <w:rtl/>
        </w:rPr>
        <w:t>فليس الأمر حكماً تكليفياً إلّا بتبع مطالبة ذ</w:t>
      </w:r>
      <w:r w:rsidR="002D7644">
        <w:rPr>
          <w:rFonts w:hint="cs"/>
          <w:rtl/>
        </w:rPr>
        <w:t>ي الحق بحقه، فمع التنازل لكف</w:t>
      </w:r>
      <w:r w:rsidR="0008530B">
        <w:rPr>
          <w:rFonts w:hint="cs"/>
          <w:rtl/>
        </w:rPr>
        <w:t>ا</w:t>
      </w:r>
      <w:r w:rsidR="002D7644">
        <w:rPr>
          <w:rFonts w:hint="cs"/>
          <w:rtl/>
        </w:rPr>
        <w:t xml:space="preserve">يته وعدم الحاجة يسقط، هذا والله العالم بأحكامه. </w:t>
      </w:r>
    </w:p>
    <w:p w:rsidR="00E32EF1" w:rsidRDefault="00E32EF1" w:rsidP="00681628">
      <w:pPr>
        <w:pStyle w:val="ac"/>
        <w:rPr>
          <w:rtl/>
        </w:rPr>
        <w:sectPr w:rsidR="00E32EF1" w:rsidSect="00EA348C">
          <w:headerReference w:type="even" r:id="rId75"/>
          <w:headerReference w:type="default" r:id="rId7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C86D3B" w:rsidRPr="00C86D3B" w:rsidRDefault="00C86D3B" w:rsidP="00681628">
      <w:pPr>
        <w:pStyle w:val="ac"/>
        <w:rPr>
          <w:rtl/>
        </w:rPr>
      </w:pPr>
    </w:p>
    <w:p w:rsidR="00EE06ED" w:rsidRDefault="00592460">
      <w:pPr>
        <w:widowControl/>
        <w:bidi w:val="0"/>
        <w:spacing w:line="240" w:lineRule="auto"/>
        <w:ind w:firstLine="0"/>
        <w:jc w:val="left"/>
        <w:outlineLvl w:val="9"/>
        <w:rPr>
          <w:rFonts w:ascii="SKR HEAD1" w:hAnsi="SKR HEAD1" w:cs="SKR HEAD1"/>
          <w:sz w:val="32"/>
          <w:szCs w:val="50"/>
          <w:rtl/>
        </w:rPr>
      </w:pPr>
      <w:r>
        <w:rPr>
          <w:rtl/>
        </w:rPr>
        <w:br w:type="page"/>
      </w:r>
      <w:bookmarkStart w:id="384" w:name="_Toc259167338"/>
      <w:r w:rsidR="00EE06ED">
        <w:rPr>
          <w:rtl/>
        </w:rPr>
        <w:lastRenderedPageBreak/>
        <w:br w:type="page"/>
      </w:r>
    </w:p>
    <w:p w:rsidR="00EE06ED" w:rsidRPr="00E32EF1" w:rsidRDefault="00EE06ED" w:rsidP="00E32EF1">
      <w:pPr>
        <w:pStyle w:val="ac"/>
        <w:bidi w:val="0"/>
        <w:rPr>
          <w:rFonts w:ascii="Mosawi" w:hAnsi="Mosawi"/>
          <w:rtl/>
        </w:rPr>
      </w:pPr>
    </w:p>
    <w:p w:rsidR="00EE06ED" w:rsidRPr="00E32EF1" w:rsidRDefault="00EE06ED" w:rsidP="00E32EF1">
      <w:pPr>
        <w:pStyle w:val="ac"/>
        <w:bidi w:val="0"/>
        <w:rPr>
          <w:rFonts w:ascii="Mosawi" w:hAnsi="Mosawi"/>
          <w:rtl/>
        </w:rPr>
      </w:pPr>
    </w:p>
    <w:p w:rsidR="00EE06ED" w:rsidRPr="00E32EF1" w:rsidRDefault="00EE06ED" w:rsidP="00E32EF1">
      <w:pPr>
        <w:pStyle w:val="ac"/>
        <w:bidi w:val="0"/>
        <w:rPr>
          <w:rFonts w:ascii="Mosawi" w:hAnsi="Mosawi"/>
          <w:rtl/>
        </w:rPr>
      </w:pPr>
    </w:p>
    <w:p w:rsidR="00EE06ED" w:rsidRPr="00E32EF1" w:rsidRDefault="00EE06ED" w:rsidP="00E32EF1">
      <w:pPr>
        <w:pStyle w:val="ac"/>
        <w:bidi w:val="0"/>
        <w:rPr>
          <w:rFonts w:ascii="Mosawi" w:hAnsi="Mosawi"/>
          <w:rtl/>
        </w:rPr>
      </w:pPr>
    </w:p>
    <w:p w:rsidR="00EE06ED" w:rsidRPr="00E32EF1" w:rsidRDefault="00EE06ED" w:rsidP="00EE06ED">
      <w:pPr>
        <w:pStyle w:val="aff2"/>
        <w:rPr>
          <w:rFonts w:ascii="Mosawi" w:hAnsi="Mosawi" w:cs="Mosawi"/>
          <w:rtl/>
        </w:rPr>
        <w:sectPr w:rsidR="00EE06ED" w:rsidRPr="00E32EF1" w:rsidSect="00EA348C">
          <w:headerReference w:type="even" r:id="rId77"/>
          <w:headerReference w:type="default" r:id="rId78"/>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E32EF1" w:rsidRPr="00E32EF1" w:rsidRDefault="00E32EF1" w:rsidP="00E32EF1">
      <w:pPr>
        <w:pStyle w:val="ac"/>
        <w:rPr>
          <w:rFonts w:ascii="Mosawi" w:hAnsi="Mosawi"/>
          <w:sz w:val="20"/>
          <w:szCs w:val="22"/>
          <w:rtl/>
        </w:rPr>
        <w:sectPr w:rsidR="00E32EF1" w:rsidRPr="00E32EF1" w:rsidSect="00EA348C">
          <w:headerReference w:type="even" r:id="rId79"/>
          <w:headerReference w:type="default" r:id="rId8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AC628B" w:rsidRDefault="00AC628B" w:rsidP="00EE06ED">
      <w:pPr>
        <w:pStyle w:val="aff2"/>
      </w:pPr>
      <w:bookmarkStart w:id="385" w:name="_Toc275128104"/>
      <w:r>
        <w:rPr>
          <w:rtl/>
        </w:rPr>
        <w:lastRenderedPageBreak/>
        <w:t>المهر</w:t>
      </w:r>
      <w:r w:rsidRPr="00E32EF1">
        <w:rPr>
          <w:rtl/>
        </w:rPr>
        <w:t>،</w:t>
      </w:r>
      <w:r w:rsidRPr="00FC7808">
        <w:rPr>
          <w:rtl/>
        </w:rPr>
        <w:t xml:space="preserve"> حدّه ومقداره</w:t>
      </w:r>
      <w:bookmarkEnd w:id="384"/>
      <w:bookmarkEnd w:id="385"/>
    </w:p>
    <w:p w:rsidR="00AC628B" w:rsidRPr="00AC628B" w:rsidRDefault="00AC628B" w:rsidP="00EE06ED">
      <w:pPr>
        <w:pStyle w:val="aff2"/>
        <w:rPr>
          <w:sz w:val="22"/>
          <w:szCs w:val="40"/>
          <w:rtl/>
        </w:rPr>
      </w:pPr>
      <w:bookmarkStart w:id="386" w:name="_Toc259167339"/>
      <w:bookmarkStart w:id="387" w:name="_Toc275128105"/>
      <w:r w:rsidRPr="00AC628B">
        <w:rPr>
          <w:rFonts w:hint="cs"/>
          <w:sz w:val="22"/>
          <w:szCs w:val="40"/>
          <w:rtl/>
        </w:rPr>
        <w:t>دراسة فقهيّة في ظاهرة ارتفاع المهور</w:t>
      </w:r>
      <w:bookmarkEnd w:id="386"/>
      <w:bookmarkEnd w:id="387"/>
    </w:p>
    <w:p w:rsidR="00AC628B" w:rsidRDefault="00AC628B" w:rsidP="00AC628B">
      <w:pPr>
        <w:pStyle w:val="af7"/>
        <w:rPr>
          <w:rtl/>
        </w:rPr>
      </w:pPr>
      <w:bookmarkStart w:id="388" w:name="_Toc259167340"/>
      <w:bookmarkStart w:id="389" w:name="_Toc275128106"/>
      <w:r>
        <w:rPr>
          <w:rtl/>
        </w:rPr>
        <w:t>د. علي رضا باريكلو</w:t>
      </w:r>
      <w:r w:rsidRPr="00DE7B0B">
        <w:rPr>
          <w:rFonts w:cs="md_ameli"/>
          <w:sz w:val="35"/>
          <w:szCs w:val="27"/>
          <w:vertAlign w:val="superscript"/>
          <w:rtl/>
        </w:rPr>
        <w:t>(</w:t>
      </w:r>
      <w:r w:rsidRPr="00DE7B0B">
        <w:rPr>
          <w:rStyle w:val="FootnoteReference"/>
          <w:rFonts w:cs="md_ameli"/>
          <w:sz w:val="35"/>
          <w:szCs w:val="27"/>
          <w:rtl/>
        </w:rPr>
        <w:footnoteReference w:customMarkFollows="1" w:id="755"/>
        <w:t>*</w:t>
      </w:r>
      <w:r w:rsidRPr="00DE7B0B">
        <w:rPr>
          <w:rFonts w:cs="md_ameli"/>
          <w:sz w:val="35"/>
          <w:szCs w:val="27"/>
          <w:vertAlign w:val="superscript"/>
          <w:rtl/>
        </w:rPr>
        <w:t>)</w:t>
      </w:r>
      <w:bookmarkEnd w:id="388"/>
      <w:bookmarkEnd w:id="389"/>
    </w:p>
    <w:p w:rsidR="00AC628B" w:rsidRPr="001C6F61" w:rsidRDefault="00AC628B" w:rsidP="00AC628B">
      <w:pPr>
        <w:pStyle w:val="af7"/>
        <w:spacing w:before="0"/>
        <w:rPr>
          <w:rtl/>
        </w:rPr>
      </w:pPr>
      <w:bookmarkStart w:id="390" w:name="_Toc259167341"/>
      <w:bookmarkStart w:id="391" w:name="_Toc275128107"/>
      <w:r>
        <w:rPr>
          <w:rtl/>
        </w:rPr>
        <w:t>ترجمة</w:t>
      </w:r>
      <w:r w:rsidRPr="007F5B58">
        <w:rPr>
          <w:rFonts w:cs="AL-Mohanad"/>
          <w:rtl/>
        </w:rPr>
        <w:t>:</w:t>
      </w:r>
      <w:r>
        <w:rPr>
          <w:rtl/>
        </w:rPr>
        <w:t xml:space="preserve"> الشيخ علي محسن</w:t>
      </w:r>
      <w:bookmarkEnd w:id="390"/>
      <w:bookmarkEnd w:id="391"/>
    </w:p>
    <w:p w:rsidR="00AC628B" w:rsidRPr="00E32EF1" w:rsidRDefault="00AC628B" w:rsidP="00E32EF1">
      <w:pPr>
        <w:pStyle w:val="afffffc"/>
        <w:rPr>
          <w:sz w:val="2"/>
          <w:szCs w:val="2"/>
        </w:rPr>
      </w:pPr>
    </w:p>
    <w:p w:rsidR="00AC628B" w:rsidRPr="001C6F61" w:rsidRDefault="00AC628B" w:rsidP="00AC628B">
      <w:pPr>
        <w:pStyle w:val="1"/>
        <w:rPr>
          <w:rtl/>
        </w:rPr>
      </w:pPr>
      <w:bookmarkStart w:id="392" w:name="_Toc275128108"/>
      <w:r>
        <w:rPr>
          <w:rtl/>
        </w:rPr>
        <w:t>مقدمة</w:t>
      </w:r>
      <w:bookmarkEnd w:id="392"/>
    </w:p>
    <w:p w:rsidR="00AC628B" w:rsidRPr="001C6F61" w:rsidRDefault="00AC628B" w:rsidP="00AC628B">
      <w:pPr>
        <w:pStyle w:val="ac"/>
        <w:rPr>
          <w:color w:val="000000"/>
          <w:rtl/>
        </w:rPr>
      </w:pPr>
      <w:r w:rsidRPr="001C6F61">
        <w:rPr>
          <w:rtl/>
        </w:rPr>
        <w:t>طبقاً لمبادئ الحقوق في ال</w:t>
      </w:r>
      <w:r>
        <w:rPr>
          <w:rtl/>
        </w:rPr>
        <w:t>إسلام</w:t>
      </w:r>
      <w:r w:rsidRPr="001C6F61">
        <w:rPr>
          <w:rtl/>
        </w:rPr>
        <w:t xml:space="preserve"> فإنّ إعطاء المهر يعدّ واحداً من جملة التعهّدات والالتزامات التي يتعيّن على الزوج أن يلتزم بها تجاه الزوجة. وبالرغم من أنّ المه</w:t>
      </w:r>
      <w:r>
        <w:rPr>
          <w:rtl/>
        </w:rPr>
        <w:t>ر لا يزال أمراً لائقاً ومقبولاً</w:t>
      </w:r>
      <w:r w:rsidRPr="001C6F61">
        <w:rPr>
          <w:rtl/>
        </w:rPr>
        <w:t xml:space="preserve"> </w:t>
      </w:r>
      <w:r>
        <w:rPr>
          <w:rtl/>
        </w:rPr>
        <w:t>فإن</w:t>
      </w:r>
      <w:r w:rsidRPr="001C6F61">
        <w:rPr>
          <w:rtl/>
        </w:rPr>
        <w:t xml:space="preserve"> البُعد عن الواقعيّة في نظرة الزوجين</w:t>
      </w:r>
      <w:r w:rsidRPr="007F5B58">
        <w:rPr>
          <w:rtl/>
        </w:rPr>
        <w:t>،</w:t>
      </w:r>
      <w:r w:rsidRPr="001C6F61">
        <w:rPr>
          <w:rtl/>
        </w:rPr>
        <w:t xml:space="preserve"> بل والعرف عامّةً</w:t>
      </w:r>
      <w:r w:rsidRPr="007F5B58">
        <w:rPr>
          <w:rtl/>
        </w:rPr>
        <w:t>،</w:t>
      </w:r>
      <w:r w:rsidRPr="001C6F61">
        <w:rPr>
          <w:rtl/>
        </w:rPr>
        <w:t xml:space="preserve"> إلى هذا الأصل الحقوقيّ يؤدّي إلى بروز مشاكل تترك أثرها على الزوجين</w:t>
      </w:r>
      <w:r w:rsidRPr="007F5B58">
        <w:rPr>
          <w:rtl/>
        </w:rPr>
        <w:t>،</w:t>
      </w:r>
      <w:r w:rsidRPr="001C6F61">
        <w:rPr>
          <w:rtl/>
        </w:rPr>
        <w:t xml:space="preserve"> وبالتالي على المجتمع كك</w:t>
      </w:r>
      <w:r>
        <w:rPr>
          <w:rtl/>
        </w:rPr>
        <w:t>لّ. فعلى سبيل المثال</w:t>
      </w:r>
      <w:r w:rsidRPr="007F5B58">
        <w:rPr>
          <w:rtl/>
        </w:rPr>
        <w:t>:</w:t>
      </w:r>
      <w:r w:rsidRPr="001C6F61">
        <w:rPr>
          <w:rtl/>
        </w:rPr>
        <w:t xml:space="preserve"> ذكرت وسائل الإعلام بتاريخ</w:t>
      </w:r>
      <w:r w:rsidRPr="001C6F61">
        <w:rPr>
          <w:color w:val="000000"/>
          <w:rtl/>
        </w:rPr>
        <w:t xml:space="preserve"> 10/ 9/ 1387 القصّة التالي</w:t>
      </w:r>
      <w:r>
        <w:rPr>
          <w:color w:val="000000"/>
          <w:rtl/>
        </w:rPr>
        <w:t>ة</w:t>
      </w:r>
      <w:r w:rsidRPr="007F5B58">
        <w:rPr>
          <w:color w:val="000000"/>
          <w:rtl/>
        </w:rPr>
        <w:t>،</w:t>
      </w:r>
      <w:r>
        <w:rPr>
          <w:color w:val="000000"/>
          <w:rtl/>
        </w:rPr>
        <w:t xml:space="preserve"> وهي</w:t>
      </w:r>
      <w:r w:rsidRPr="007F5B58">
        <w:rPr>
          <w:color w:val="000000"/>
          <w:rtl/>
        </w:rPr>
        <w:t>:</w:t>
      </w:r>
      <w:r>
        <w:rPr>
          <w:color w:val="000000"/>
          <w:rtl/>
        </w:rPr>
        <w:t xml:space="preserve"> إ</w:t>
      </w:r>
      <w:r w:rsidRPr="001C6F61">
        <w:rPr>
          <w:color w:val="000000"/>
          <w:rtl/>
        </w:rPr>
        <w:t>نّ إحدى الزوجات</w:t>
      </w:r>
      <w:r w:rsidRPr="007F5B58">
        <w:rPr>
          <w:color w:val="000000"/>
          <w:rtl/>
        </w:rPr>
        <w:t>،</w:t>
      </w:r>
      <w:r w:rsidRPr="001C6F61">
        <w:rPr>
          <w:color w:val="000000"/>
          <w:rtl/>
        </w:rPr>
        <w:t xml:space="preserve"> وبعد انقضاء أسبوع على انعقاد زواجها</w:t>
      </w:r>
      <w:r w:rsidRPr="007F5B58">
        <w:rPr>
          <w:color w:val="000000"/>
          <w:rtl/>
        </w:rPr>
        <w:t>،</w:t>
      </w:r>
      <w:r w:rsidRPr="001C6F61">
        <w:rPr>
          <w:color w:val="000000"/>
          <w:rtl/>
        </w:rPr>
        <w:t xml:space="preserve"> طالبت بمهرها البالغ 124000 سكة ذهبيّة</w:t>
      </w:r>
      <w:r w:rsidRPr="007F5B58">
        <w:rPr>
          <w:color w:val="000000"/>
          <w:rtl/>
        </w:rPr>
        <w:t>،</w:t>
      </w:r>
      <w:r w:rsidRPr="001C6F61">
        <w:rPr>
          <w:color w:val="000000"/>
          <w:rtl/>
        </w:rPr>
        <w:t xml:space="preserve"> ممّا دفع بالزوج الفاقد للقدرة على السداد إلى الاختباء والتواري عن الأنظار</w:t>
      </w:r>
      <w:r w:rsidRPr="007F5B58">
        <w:rPr>
          <w:color w:val="000000"/>
          <w:rtl/>
        </w:rPr>
        <w:t>؛</w:t>
      </w:r>
      <w:r w:rsidRPr="001C6F61">
        <w:rPr>
          <w:color w:val="000000"/>
          <w:rtl/>
        </w:rPr>
        <w:t xml:space="preserve"> لأنّ الرؤية القضائيّة المس</w:t>
      </w:r>
      <w:r>
        <w:rPr>
          <w:color w:val="000000"/>
          <w:rtl/>
        </w:rPr>
        <w:t>تـن</w:t>
      </w:r>
      <w:r w:rsidRPr="001C6F61">
        <w:rPr>
          <w:color w:val="000000"/>
          <w:rtl/>
        </w:rPr>
        <w:t>دة إلى المادّتين 3</w:t>
      </w:r>
      <w:r>
        <w:rPr>
          <w:color w:val="000000"/>
          <w:rtl/>
        </w:rPr>
        <w:t xml:space="preserve"> و</w:t>
      </w:r>
      <w:r w:rsidRPr="001C6F61">
        <w:rPr>
          <w:color w:val="000000"/>
          <w:rtl/>
        </w:rPr>
        <w:t>4 من قانون الإجراءات الماليّة</w:t>
      </w:r>
      <w:r w:rsidRPr="007F5B58">
        <w:rPr>
          <w:color w:val="000000"/>
          <w:rtl/>
        </w:rPr>
        <w:t>،</w:t>
      </w:r>
      <w:r w:rsidRPr="001C6F61">
        <w:rPr>
          <w:color w:val="000000"/>
          <w:rtl/>
        </w:rPr>
        <w:t xml:space="preserve"> الذي تمّ إقراره عام 1377</w:t>
      </w:r>
      <w:r w:rsidRPr="007F5B58">
        <w:rPr>
          <w:color w:val="000000"/>
          <w:rtl/>
        </w:rPr>
        <w:t>،</w:t>
      </w:r>
      <w:r w:rsidRPr="001C6F61">
        <w:rPr>
          <w:color w:val="000000"/>
          <w:rtl/>
        </w:rPr>
        <w:t xml:space="preserve"> تجعل الحبس والسجن ضمانةً بإزاء عدم دفع المهر وأدائه</w:t>
      </w:r>
      <w:r>
        <w:rPr>
          <w:color w:val="000000"/>
          <w:rtl/>
        </w:rPr>
        <w:t xml:space="preserve">. علماً </w:t>
      </w:r>
      <w:r w:rsidRPr="001C6F61">
        <w:rPr>
          <w:color w:val="000000"/>
          <w:rtl/>
        </w:rPr>
        <w:t>أنّ حبس الزوج</w:t>
      </w:r>
      <w:r w:rsidRPr="007F5B58">
        <w:rPr>
          <w:color w:val="000000"/>
          <w:rtl/>
        </w:rPr>
        <w:t>؛</w:t>
      </w:r>
      <w:r w:rsidRPr="001C6F61">
        <w:rPr>
          <w:color w:val="000000"/>
          <w:rtl/>
        </w:rPr>
        <w:t xml:space="preserve"> لعدم تمكّنه من دفع المهر</w:t>
      </w:r>
      <w:r w:rsidRPr="007F5B58">
        <w:rPr>
          <w:color w:val="000000"/>
          <w:rtl/>
        </w:rPr>
        <w:t>،</w:t>
      </w:r>
      <w:r w:rsidRPr="001C6F61">
        <w:rPr>
          <w:color w:val="000000"/>
          <w:rtl/>
        </w:rPr>
        <w:t xml:space="preserve"> لا يمكن أن يكون منسجماً مع الفلسفة الاجتماعيّة التي كانت وراء تأسيس أو إمضاء مبدأ المهر</w:t>
      </w:r>
      <w:r w:rsidRPr="007F5B58">
        <w:rPr>
          <w:color w:val="000000"/>
          <w:rtl/>
        </w:rPr>
        <w:t>؛</w:t>
      </w:r>
      <w:r w:rsidRPr="001C6F61">
        <w:rPr>
          <w:color w:val="000000"/>
          <w:rtl/>
        </w:rPr>
        <w:t xml:space="preserve"> </w:t>
      </w:r>
      <w:r w:rsidRPr="001C6F61">
        <w:rPr>
          <w:color w:val="000000"/>
          <w:rtl/>
        </w:rPr>
        <w:lastRenderedPageBreak/>
        <w:t>إذ ممّا لا شكّ فيه أنّ هدف ال</w:t>
      </w:r>
      <w:r>
        <w:rPr>
          <w:color w:val="000000"/>
          <w:rtl/>
        </w:rPr>
        <w:t>إسلام</w:t>
      </w:r>
      <w:r w:rsidRPr="001C6F61">
        <w:rPr>
          <w:color w:val="000000"/>
          <w:rtl/>
        </w:rPr>
        <w:t xml:space="preserve"> من تأسيس هذا المبدأ المذكور إنّما هو تقوية وتوطيد أواصر المحبّة والرحمة بين الزوجين</w:t>
      </w:r>
      <w:r w:rsidRPr="007F5B58">
        <w:rPr>
          <w:color w:val="000000"/>
          <w:rtl/>
        </w:rPr>
        <w:t>،</w:t>
      </w:r>
      <w:r w:rsidRPr="001C6F61">
        <w:rPr>
          <w:color w:val="000000"/>
          <w:rtl/>
        </w:rPr>
        <w:t xml:space="preserve"> وهذا ما تمّت الإشارة إليه في الروايات الواردة</w:t>
      </w:r>
      <w:r w:rsidRPr="007F5B58">
        <w:rPr>
          <w:color w:val="000000"/>
          <w:rtl/>
        </w:rPr>
        <w:t>،</w:t>
      </w:r>
      <w:r w:rsidRPr="001C6F61">
        <w:rPr>
          <w:color w:val="000000"/>
          <w:rtl/>
        </w:rPr>
        <w:t xml:space="preserve"> التي أكّدت على أنّ الهدايا والهبات توجب استحكام علاقات المحبّة وتعميق الروابط الاجتماعيّة</w:t>
      </w:r>
      <w:r w:rsidRPr="007F5B58">
        <w:rPr>
          <w:color w:val="000000"/>
          <w:rtl/>
        </w:rPr>
        <w:t>،</w:t>
      </w:r>
      <w:r w:rsidRPr="001C6F61">
        <w:rPr>
          <w:color w:val="000000"/>
          <w:rtl/>
        </w:rPr>
        <w:t xml:space="preserve"> والحال أنّ المهور المرتفعة </w:t>
      </w:r>
      <w:r>
        <w:rPr>
          <w:color w:val="000000"/>
          <w:rtl/>
        </w:rPr>
        <w:t xml:space="preserve">ـ </w:t>
      </w:r>
      <w:r w:rsidRPr="001C6F61">
        <w:rPr>
          <w:color w:val="000000"/>
          <w:rtl/>
        </w:rPr>
        <w:t>إلى جانب كونها ت</w:t>
      </w:r>
      <w:r>
        <w:rPr>
          <w:color w:val="000000"/>
          <w:rtl/>
        </w:rPr>
        <w:t>ؤدّي إلى تفكّك الأسرة وانحلالها</w:t>
      </w:r>
      <w:r w:rsidRPr="001C6F61">
        <w:rPr>
          <w:color w:val="000000"/>
          <w:rtl/>
        </w:rPr>
        <w:t xml:space="preserve"> </w:t>
      </w:r>
      <w:r>
        <w:rPr>
          <w:color w:val="000000"/>
          <w:rtl/>
        </w:rPr>
        <w:t>ـ</w:t>
      </w:r>
      <w:r w:rsidRPr="001C6F61">
        <w:rPr>
          <w:color w:val="000000"/>
          <w:rtl/>
        </w:rPr>
        <w:t xml:space="preserve"> تؤدّي إلى ضياع ال</w:t>
      </w:r>
      <w:r>
        <w:rPr>
          <w:color w:val="000000"/>
          <w:rtl/>
        </w:rPr>
        <w:t>زوج وانحرافه</w:t>
      </w:r>
      <w:r w:rsidRPr="007F5B58">
        <w:rPr>
          <w:color w:val="000000"/>
          <w:rtl/>
        </w:rPr>
        <w:t>؛</w:t>
      </w:r>
      <w:r>
        <w:rPr>
          <w:color w:val="000000"/>
          <w:rtl/>
        </w:rPr>
        <w:t xml:space="preserve"> إذ إن</w:t>
      </w:r>
      <w:r w:rsidRPr="001C6F61">
        <w:rPr>
          <w:color w:val="000000"/>
          <w:rtl/>
        </w:rPr>
        <w:t xml:space="preserve"> شخصيّة وعزّة الرجل الذي يُزجّ به في السجن لمجرّد عجزه عن سداد المهر تتعرّض ـ من ناحية اجتماعيّة ـ للاهتزاز والضرر</w:t>
      </w:r>
      <w:r w:rsidRPr="007F5B58">
        <w:rPr>
          <w:color w:val="000000"/>
          <w:rtl/>
        </w:rPr>
        <w:t>،</w:t>
      </w:r>
      <w:r w:rsidRPr="001C6F61">
        <w:rPr>
          <w:color w:val="000000"/>
          <w:rtl/>
        </w:rPr>
        <w:t xml:space="preserve"> وبعد </w:t>
      </w:r>
      <w:r>
        <w:rPr>
          <w:color w:val="000000"/>
          <w:rtl/>
        </w:rPr>
        <w:t xml:space="preserve">خروجه من السجن </w:t>
      </w:r>
      <w:r w:rsidRPr="001C6F61">
        <w:rPr>
          <w:color w:val="000000"/>
          <w:rtl/>
        </w:rPr>
        <w:t xml:space="preserve">لن تكون له </w:t>
      </w:r>
      <w:r>
        <w:rPr>
          <w:color w:val="000000"/>
          <w:rtl/>
        </w:rPr>
        <w:t xml:space="preserve">المناعة </w:t>
      </w:r>
      <w:r w:rsidRPr="001C6F61">
        <w:rPr>
          <w:color w:val="000000"/>
          <w:rtl/>
        </w:rPr>
        <w:t>التي تؤهّله لمقاومة الجريمة وتجنّب ارتكابها</w:t>
      </w:r>
      <w:r w:rsidRPr="007F5B58">
        <w:rPr>
          <w:color w:val="000000"/>
          <w:rtl/>
        </w:rPr>
        <w:t>،</w:t>
      </w:r>
      <w:r w:rsidRPr="001C6F61">
        <w:rPr>
          <w:color w:val="000000"/>
          <w:rtl/>
        </w:rPr>
        <w:t xml:space="preserve"> ومن الطبيعيّ أنّ إحساسه بفقد العزّة وتشوّه السمعة </w:t>
      </w:r>
      <w:r>
        <w:rPr>
          <w:color w:val="000000"/>
          <w:rtl/>
        </w:rPr>
        <w:t xml:space="preserve">سوف </w:t>
      </w:r>
      <w:r w:rsidRPr="001C6F61">
        <w:rPr>
          <w:color w:val="000000"/>
          <w:rtl/>
        </w:rPr>
        <w:t>يشكّل دافعاً له نحو ارتكاب جرائم أُخرى.</w:t>
      </w:r>
    </w:p>
    <w:p w:rsidR="00AC628B" w:rsidRPr="001C6F61" w:rsidRDefault="00AC628B" w:rsidP="00E32EF1">
      <w:pPr>
        <w:pStyle w:val="ac"/>
        <w:spacing w:line="199" w:lineRule="auto"/>
        <w:rPr>
          <w:rtl/>
        </w:rPr>
      </w:pPr>
      <w:r>
        <w:rPr>
          <w:rtl/>
        </w:rPr>
        <w:t>أض</w:t>
      </w:r>
      <w:r>
        <w:rPr>
          <w:rFonts w:hint="cs"/>
          <w:rtl/>
        </w:rPr>
        <w:t>ِ</w:t>
      </w:r>
      <w:r>
        <w:rPr>
          <w:rtl/>
        </w:rPr>
        <w:t>ف</w:t>
      </w:r>
      <w:r>
        <w:rPr>
          <w:rFonts w:hint="cs"/>
          <w:rtl/>
        </w:rPr>
        <w:t>ْ</w:t>
      </w:r>
      <w:r>
        <w:rPr>
          <w:rtl/>
        </w:rPr>
        <w:t xml:space="preserve"> إلى ذلك</w:t>
      </w:r>
      <w:r w:rsidRPr="001C6F61">
        <w:rPr>
          <w:rtl/>
        </w:rPr>
        <w:t xml:space="preserve"> أنّه قد تجمعه في داخل السجن علاقات صداقة مع مجرمين محترفين</w:t>
      </w:r>
      <w:r w:rsidRPr="007F5B58">
        <w:rPr>
          <w:rtl/>
        </w:rPr>
        <w:t>،</w:t>
      </w:r>
      <w:r w:rsidRPr="001C6F61">
        <w:rPr>
          <w:rtl/>
        </w:rPr>
        <w:t xml:space="preserve"> وهي علاقات</w:t>
      </w:r>
      <w:r>
        <w:rPr>
          <w:rtl/>
        </w:rPr>
        <w:t xml:space="preserve"> من شأنها أن تحوّله</w:t>
      </w:r>
      <w:r w:rsidRPr="001C6F61">
        <w:rPr>
          <w:rtl/>
        </w:rPr>
        <w:t xml:space="preserve"> إلى مجرم محترف</w:t>
      </w:r>
      <w:r w:rsidRPr="007F5B58">
        <w:rPr>
          <w:rtl/>
        </w:rPr>
        <w:t>،</w:t>
      </w:r>
      <w:r w:rsidRPr="001C6F61">
        <w:rPr>
          <w:rtl/>
        </w:rPr>
        <w:t xml:space="preserve"> بعد أن لم يكن كذل</w:t>
      </w:r>
      <w:r>
        <w:rPr>
          <w:rtl/>
        </w:rPr>
        <w:t>ك قبل دخول السجن. ومن جهة أُخرى</w:t>
      </w:r>
      <w:r w:rsidRPr="001C6F61">
        <w:rPr>
          <w:rtl/>
        </w:rPr>
        <w:t xml:space="preserve"> فإنّ الحكم على شخص بلزوم دفع 124 ألفاً من السكك الذهبيّة</w:t>
      </w:r>
      <w:r w:rsidRPr="007F5B58">
        <w:rPr>
          <w:rtl/>
        </w:rPr>
        <w:t>،</w:t>
      </w:r>
      <w:r w:rsidRPr="001C6F61">
        <w:rPr>
          <w:rtl/>
        </w:rPr>
        <w:t xml:space="preserve"> </w:t>
      </w:r>
      <w:r>
        <w:rPr>
          <w:rtl/>
        </w:rPr>
        <w:t>مع عدم تمكّنه من ذلك</w:t>
      </w:r>
      <w:r w:rsidRPr="001C6F61">
        <w:rPr>
          <w:rtl/>
        </w:rPr>
        <w:t xml:space="preserve"> ولو عاش أجيالاً متمادية</w:t>
      </w:r>
      <w:r w:rsidRPr="007F5B58">
        <w:rPr>
          <w:rtl/>
        </w:rPr>
        <w:t>،</w:t>
      </w:r>
      <w:r w:rsidRPr="001C6F61">
        <w:rPr>
          <w:rtl/>
        </w:rPr>
        <w:t xml:space="preserve"> لا يمكن أن يكون أمراً مبرّ</w:t>
      </w:r>
      <w:r>
        <w:rPr>
          <w:rtl/>
        </w:rPr>
        <w:t>َراً و</w:t>
      </w:r>
      <w:r w:rsidRPr="001C6F61">
        <w:rPr>
          <w:rtl/>
        </w:rPr>
        <w:t>عقلائيّاً.</w:t>
      </w:r>
    </w:p>
    <w:p w:rsidR="00AC628B" w:rsidRPr="001C6F61" w:rsidRDefault="00AC628B" w:rsidP="00E32EF1">
      <w:pPr>
        <w:pStyle w:val="ac"/>
        <w:spacing w:line="199" w:lineRule="auto"/>
        <w:rPr>
          <w:rtl/>
        </w:rPr>
      </w:pPr>
      <w:r>
        <w:rPr>
          <w:rtl/>
        </w:rPr>
        <w:t>ف</w:t>
      </w:r>
      <w:r w:rsidRPr="001C6F61">
        <w:rPr>
          <w:rtl/>
        </w:rPr>
        <w:t xml:space="preserve">الذي لا بدّ من الجواب عنه هنا هو </w:t>
      </w:r>
      <w:r>
        <w:rPr>
          <w:rtl/>
        </w:rPr>
        <w:t xml:space="preserve">هل </w:t>
      </w:r>
      <w:r w:rsidRPr="001C6F61">
        <w:rPr>
          <w:rtl/>
        </w:rPr>
        <w:t>أنّ ال</w:t>
      </w:r>
      <w:r>
        <w:rPr>
          <w:rtl/>
        </w:rPr>
        <w:t xml:space="preserve">إسلام </w:t>
      </w:r>
      <w:r w:rsidRPr="001C6F61">
        <w:rPr>
          <w:rtl/>
        </w:rPr>
        <w:t>قام بتحديد المهر بمقدار معيّن</w:t>
      </w:r>
      <w:r w:rsidRPr="007F5B58">
        <w:rPr>
          <w:rtl/>
        </w:rPr>
        <w:t>،</w:t>
      </w:r>
      <w:r w:rsidRPr="001C6F61">
        <w:rPr>
          <w:rtl/>
        </w:rPr>
        <w:t xml:space="preserve"> بحيث لا يمكن ـ من ناحية قانونيّة ـ تجاوز هذا المقدار المحدّد</w:t>
      </w:r>
      <w:r>
        <w:rPr>
          <w:rtl/>
        </w:rPr>
        <w:t xml:space="preserve"> أو</w:t>
      </w:r>
      <w:r w:rsidRPr="001C6F61">
        <w:rPr>
          <w:rtl/>
        </w:rPr>
        <w:t xml:space="preserve"> لا؟ وهل يمكن أن تُعدّ المهور المتد</w:t>
      </w:r>
      <w:r>
        <w:rPr>
          <w:rtl/>
        </w:rPr>
        <w:t>اولة في مجتمعنا الحاليّ صحيحة أو</w:t>
      </w:r>
      <w:r w:rsidRPr="001C6F61">
        <w:rPr>
          <w:rtl/>
        </w:rPr>
        <w:t xml:space="preserve"> لا؟ وفي نهاية المطاف</w:t>
      </w:r>
      <w:r w:rsidRPr="007F5B58">
        <w:rPr>
          <w:rtl/>
        </w:rPr>
        <w:t>:</w:t>
      </w:r>
      <w:r w:rsidRPr="001C6F61">
        <w:rPr>
          <w:rtl/>
        </w:rPr>
        <w:t xml:space="preserve"> لا بدّ أن نتعرّف على الطريقة التي يمكن من خلالها جعل مقدار المهر أمراً واقعيّاً ومقبولاً</w:t>
      </w:r>
      <w:r w:rsidRPr="007F5B58">
        <w:rPr>
          <w:rtl/>
        </w:rPr>
        <w:t>،</w:t>
      </w:r>
      <w:r w:rsidRPr="001C6F61">
        <w:rPr>
          <w:rtl/>
        </w:rPr>
        <w:t xml:space="preserve"> والحؤول دون التوافق على مهر مرتفع أو خياليّ</w:t>
      </w:r>
      <w:r w:rsidRPr="007F5B58">
        <w:rPr>
          <w:rtl/>
        </w:rPr>
        <w:t>،</w:t>
      </w:r>
      <w:r w:rsidRPr="001C6F61">
        <w:rPr>
          <w:rtl/>
        </w:rPr>
        <w:t xml:space="preserve"> وهو ما يستدعي ـ قبل بلوغ مرحلة الدفع ـ أن نتعرّف أوّلاً على حقيقة المهر ومكانته ودوره وفقاً للنظرة الحقوقيّة في ال</w:t>
      </w:r>
      <w:r>
        <w:rPr>
          <w:rtl/>
        </w:rPr>
        <w:t>إسلام</w:t>
      </w:r>
      <w:r w:rsidRPr="001C6F61">
        <w:rPr>
          <w:rtl/>
        </w:rPr>
        <w:t>. وهذا هو المحور الذي يقع البحث عنه في مقال</w:t>
      </w:r>
      <w:r>
        <w:rPr>
          <w:rtl/>
        </w:rPr>
        <w:t>تـن</w:t>
      </w:r>
      <w:r w:rsidRPr="001C6F61">
        <w:rPr>
          <w:rtl/>
        </w:rPr>
        <w:t>ا هذه</w:t>
      </w:r>
      <w:r w:rsidRPr="007F5B58">
        <w:rPr>
          <w:rtl/>
        </w:rPr>
        <w:t>،</w:t>
      </w:r>
      <w:r w:rsidRPr="001C6F61">
        <w:rPr>
          <w:rtl/>
        </w:rPr>
        <w:t xml:space="preserve"> أعني</w:t>
      </w:r>
      <w:r w:rsidRPr="007F5B58">
        <w:rPr>
          <w:rtl/>
        </w:rPr>
        <w:t>:</w:t>
      </w:r>
      <w:r w:rsidRPr="001C6F61">
        <w:rPr>
          <w:rtl/>
        </w:rPr>
        <w:t xml:space="preserve"> بيان حقيقة المهر</w:t>
      </w:r>
      <w:r w:rsidRPr="007F5B58">
        <w:rPr>
          <w:rtl/>
        </w:rPr>
        <w:t>،</w:t>
      </w:r>
      <w:r w:rsidRPr="001C6F61">
        <w:rPr>
          <w:rtl/>
        </w:rPr>
        <w:t xml:space="preserve"> ومكانته</w:t>
      </w:r>
      <w:r w:rsidRPr="007F5B58">
        <w:rPr>
          <w:rtl/>
        </w:rPr>
        <w:t>،</w:t>
      </w:r>
      <w:r w:rsidRPr="001C6F61">
        <w:rPr>
          <w:rtl/>
        </w:rPr>
        <w:t xml:space="preserve"> ومقداره</w:t>
      </w:r>
      <w:r w:rsidRPr="007F5B58">
        <w:rPr>
          <w:rtl/>
        </w:rPr>
        <w:t>،</w:t>
      </w:r>
      <w:r w:rsidRPr="001C6F61">
        <w:rPr>
          <w:rtl/>
        </w:rPr>
        <w:t xml:space="preserve"> والسبل التي تحول دون اتّفاق الزوجين على تسمية مهر مرتفع وخياليّ.</w:t>
      </w:r>
    </w:p>
    <w:p w:rsidR="00AC628B" w:rsidRPr="00E32EF1" w:rsidRDefault="00AC628B" w:rsidP="00E32EF1">
      <w:pPr>
        <w:pStyle w:val="afffffc"/>
        <w:rPr>
          <w:sz w:val="20"/>
          <w:szCs w:val="18"/>
          <w:rtl/>
        </w:rPr>
      </w:pPr>
    </w:p>
    <w:p w:rsidR="00AC628B" w:rsidRPr="001C6F61" w:rsidRDefault="00AC628B" w:rsidP="00AC628B">
      <w:pPr>
        <w:pStyle w:val="1"/>
        <w:rPr>
          <w:rtl/>
        </w:rPr>
      </w:pPr>
      <w:bookmarkStart w:id="393" w:name="_Toc275128109"/>
      <w:r>
        <w:rPr>
          <w:rtl/>
        </w:rPr>
        <w:t>1ـ مكانة المهر</w:t>
      </w:r>
      <w:bookmarkEnd w:id="393"/>
    </w:p>
    <w:p w:rsidR="00AC628B" w:rsidRPr="001C6F61" w:rsidRDefault="00AC628B" w:rsidP="00BE5CF5">
      <w:pPr>
        <w:pStyle w:val="ac"/>
        <w:rPr>
          <w:rtl/>
        </w:rPr>
      </w:pPr>
      <w:r w:rsidRPr="001C6F61">
        <w:rPr>
          <w:rtl/>
        </w:rPr>
        <w:t>ما هو دور المهر في النكاح؟ وما هو الغرض من أصل إدراج المهر في النكاح؟</w:t>
      </w:r>
    </w:p>
    <w:p w:rsidR="00AC628B" w:rsidRDefault="00AC628B" w:rsidP="00BE5CF5">
      <w:pPr>
        <w:pStyle w:val="ac"/>
        <w:rPr>
          <w:rtl/>
        </w:rPr>
      </w:pPr>
      <w:r w:rsidRPr="001C6F61">
        <w:rPr>
          <w:rtl/>
        </w:rPr>
        <w:lastRenderedPageBreak/>
        <w:t>وُجد في الجواب عن هذا السؤال نظريّات ثلاث</w:t>
      </w:r>
      <w:r w:rsidRPr="007F5B58">
        <w:rPr>
          <w:rtl/>
        </w:rPr>
        <w:t>،</w:t>
      </w:r>
      <w:r w:rsidRPr="001C6F61">
        <w:rPr>
          <w:rtl/>
        </w:rPr>
        <w:t xml:space="preserve"> يؤدّي التفاوت الشاسع في</w:t>
      </w:r>
      <w:r>
        <w:rPr>
          <w:rtl/>
        </w:rPr>
        <w:t xml:space="preserve"> </w:t>
      </w:r>
      <w:r w:rsidRPr="001C6F61">
        <w:rPr>
          <w:rtl/>
        </w:rPr>
        <w:t xml:space="preserve">ما بينها إلى </w:t>
      </w:r>
      <w:r>
        <w:rPr>
          <w:rtl/>
        </w:rPr>
        <w:t>وجود المهور الوهميّة والخياليّة</w:t>
      </w:r>
      <w:r w:rsidRPr="007F5B58">
        <w:rPr>
          <w:rtl/>
        </w:rPr>
        <w:t>؛</w:t>
      </w:r>
      <w:r w:rsidRPr="001C6F61">
        <w:rPr>
          <w:rtl/>
        </w:rPr>
        <w:t xml:space="preserve"> إذ نجد من يس</w:t>
      </w:r>
      <w:r>
        <w:rPr>
          <w:rtl/>
        </w:rPr>
        <w:t>تـن</w:t>
      </w:r>
      <w:r w:rsidRPr="001C6F61">
        <w:rPr>
          <w:rtl/>
        </w:rPr>
        <w:t>د إلى بعض هذه النظريّات فيُقدم على القبول بمقدارٍ مرتفعٍ جدّاً من المهر</w:t>
      </w:r>
      <w:r w:rsidRPr="007F5B58">
        <w:rPr>
          <w:rtl/>
        </w:rPr>
        <w:t>،</w:t>
      </w:r>
      <w:r w:rsidRPr="001C6F61">
        <w:rPr>
          <w:rtl/>
        </w:rPr>
        <w:t xml:space="preserve"> مع عدم تمكّنه من تحصيله واكتسابه ولو بذل كلّ عمره في هذا السبيل. </w:t>
      </w:r>
    </w:p>
    <w:p w:rsidR="00AC628B" w:rsidRDefault="00AC628B" w:rsidP="00AC628B">
      <w:pPr>
        <w:pStyle w:val="ac"/>
        <w:rPr>
          <w:rtl/>
        </w:rPr>
      </w:pPr>
      <w:r w:rsidRPr="001C6F61">
        <w:rPr>
          <w:rtl/>
        </w:rPr>
        <w:t>وفي</w:t>
      </w:r>
      <w:r>
        <w:rPr>
          <w:rtl/>
        </w:rPr>
        <w:t xml:space="preserve"> </w:t>
      </w:r>
      <w:r w:rsidRPr="001C6F61">
        <w:rPr>
          <w:rtl/>
        </w:rPr>
        <w:t>ما يلي نتعرّض بالدراسة والتحليل لهذه النظريّات الثلاث تباعاً</w:t>
      </w:r>
      <w:r w:rsidRPr="007F5B58">
        <w:rPr>
          <w:rtl/>
        </w:rPr>
        <w:t>:</w:t>
      </w:r>
    </w:p>
    <w:p w:rsidR="00AC628B" w:rsidRPr="001C6F61" w:rsidRDefault="00AC628B" w:rsidP="00E32EF1">
      <w:pPr>
        <w:pStyle w:val="afffffc"/>
        <w:rPr>
          <w:rtl/>
        </w:rPr>
      </w:pPr>
    </w:p>
    <w:p w:rsidR="00AC628B" w:rsidRPr="001C6F61" w:rsidRDefault="00AC628B" w:rsidP="00E32EF1">
      <w:pPr>
        <w:pStyle w:val="2"/>
        <w:rPr>
          <w:rtl/>
        </w:rPr>
      </w:pPr>
      <w:bookmarkStart w:id="394" w:name="_Toc275128110"/>
      <w:r>
        <w:rPr>
          <w:rtl/>
        </w:rPr>
        <w:t>أـ</w:t>
      </w:r>
      <w:r w:rsidRPr="001C6F61">
        <w:rPr>
          <w:rtl/>
        </w:rPr>
        <w:t xml:space="preserve"> المهر </w:t>
      </w:r>
      <w:r>
        <w:rPr>
          <w:rtl/>
        </w:rPr>
        <w:t>عوض</w:t>
      </w:r>
      <w:bookmarkEnd w:id="394"/>
    </w:p>
    <w:p w:rsidR="00AC628B" w:rsidRPr="001C6F61" w:rsidRDefault="00AC628B" w:rsidP="00AC628B">
      <w:pPr>
        <w:pStyle w:val="ac"/>
        <w:rPr>
          <w:rtl/>
        </w:rPr>
      </w:pPr>
      <w:r w:rsidRPr="001C6F61">
        <w:rPr>
          <w:rtl/>
        </w:rPr>
        <w:t>إحدى النظريّات المطروح</w:t>
      </w:r>
      <w:r>
        <w:rPr>
          <w:rtl/>
        </w:rPr>
        <w:t>ة في بيان موقعيّة المهر ومكانته</w:t>
      </w:r>
      <w:r w:rsidRPr="001C6F61">
        <w:rPr>
          <w:rtl/>
        </w:rPr>
        <w:t xml:space="preserve"> أنّ الصداق عبارة عن عوض البضع والاستمتاع الذي يحصل عليه الزوج من الزوجة</w:t>
      </w:r>
      <w:r>
        <w:rPr>
          <w:rtl/>
        </w:rPr>
        <w:t xml:space="preserve">. وبناءً على هذه النظريّة </w:t>
      </w:r>
      <w:r w:rsidRPr="001C6F61">
        <w:rPr>
          <w:rtl/>
        </w:rPr>
        <w:t xml:space="preserve">يكون المهر عوضاً للاستمتاع الذي يحصل عليه الزوج من </w:t>
      </w:r>
      <w:r>
        <w:rPr>
          <w:rtl/>
        </w:rPr>
        <w:t>الزوجة</w:t>
      </w:r>
      <w:r w:rsidRPr="007F5B58">
        <w:rPr>
          <w:rtl/>
        </w:rPr>
        <w:t>،</w:t>
      </w:r>
      <w:r w:rsidRPr="001C6F61">
        <w:rPr>
          <w:rtl/>
        </w:rPr>
        <w:t xml:space="preserve"> فكلّما كان المهر </w:t>
      </w:r>
      <w:r>
        <w:rPr>
          <w:rtl/>
        </w:rPr>
        <w:t>أكبر</w:t>
      </w:r>
      <w:r w:rsidRPr="001C6F61">
        <w:rPr>
          <w:rtl/>
        </w:rPr>
        <w:t xml:space="preserve"> كان أفضل وأليق بشأن المرأة. و</w:t>
      </w:r>
      <w:r>
        <w:rPr>
          <w:rtl/>
        </w:rPr>
        <w:t>تـن</w:t>
      </w:r>
      <w:r w:rsidRPr="001C6F61">
        <w:rPr>
          <w:rtl/>
        </w:rPr>
        <w:t>سب هذه النظريّة إلى ذلك الفريق من الفقهاء الذين أوردوا في كتبهم ومتونهم الفقهيّة عباراتٍ وألفاظاً تُعطي هذا المضمون في</w:t>
      </w:r>
      <w:r>
        <w:rPr>
          <w:rtl/>
        </w:rPr>
        <w:t xml:space="preserve"> </w:t>
      </w:r>
      <w:r w:rsidRPr="001C6F61">
        <w:rPr>
          <w:rtl/>
        </w:rPr>
        <w:t xml:space="preserve">ما يتعلّق بمسألة المهر. </w:t>
      </w:r>
    </w:p>
    <w:p w:rsidR="00AC628B" w:rsidRPr="001C6F61" w:rsidRDefault="00AC628B" w:rsidP="00AC628B">
      <w:pPr>
        <w:pStyle w:val="ac"/>
        <w:rPr>
          <w:rtl/>
        </w:rPr>
      </w:pPr>
      <w:r w:rsidRPr="001C6F61">
        <w:rPr>
          <w:rtl/>
        </w:rPr>
        <w:t>فمن ذلك مثلاً</w:t>
      </w:r>
      <w:r w:rsidRPr="007F5B58">
        <w:rPr>
          <w:rtl/>
        </w:rPr>
        <w:t>:</w:t>
      </w:r>
      <w:r w:rsidRPr="001C6F61">
        <w:rPr>
          <w:rtl/>
        </w:rPr>
        <w:t xml:space="preserve"> ما ذكره بعضهم ـ في مقام توجيه الروايات التي دلّت على حقّ ا</w:t>
      </w:r>
      <w:r>
        <w:rPr>
          <w:rtl/>
        </w:rPr>
        <w:t>لمرأة في الامتـناع ع</w:t>
      </w:r>
      <w:r w:rsidRPr="001C6F61">
        <w:rPr>
          <w:rtl/>
        </w:rPr>
        <w:t>ن الدخول قبل قبض المهر</w:t>
      </w:r>
      <w:r w:rsidRPr="007F5B58">
        <w:rPr>
          <w:rtl/>
        </w:rPr>
        <w:t>،</w:t>
      </w:r>
      <w:r w:rsidRPr="001C6F61">
        <w:rPr>
          <w:rtl/>
        </w:rPr>
        <w:t xml:space="preserve"> ولزوم كون الإقباض قبله ـ من أنّ</w:t>
      </w:r>
      <w:r>
        <w:rPr>
          <w:rtl/>
        </w:rPr>
        <w:t xml:space="preserve"> للزوجة</w:t>
      </w:r>
      <w:r w:rsidRPr="001C6F61">
        <w:rPr>
          <w:rtl/>
        </w:rPr>
        <w:t xml:space="preserve"> الام</w:t>
      </w:r>
      <w:r>
        <w:rPr>
          <w:rtl/>
        </w:rPr>
        <w:t>تـناع ع</w:t>
      </w:r>
      <w:r w:rsidRPr="001C6F61">
        <w:rPr>
          <w:rtl/>
        </w:rPr>
        <w:t>ن الدخول قبل قبض المهر</w:t>
      </w:r>
      <w:r w:rsidRPr="007F5B58">
        <w:rPr>
          <w:rtl/>
        </w:rPr>
        <w:t>؛</w:t>
      </w:r>
      <w:r w:rsidRPr="001C6F61">
        <w:rPr>
          <w:rtl/>
        </w:rPr>
        <w:t xml:space="preserve"> لأنّ الوطء والمهر بمنزلة العوضين</w:t>
      </w:r>
      <w:r w:rsidRPr="007F5B58">
        <w:rPr>
          <w:rtl/>
        </w:rPr>
        <w:t>،</w:t>
      </w:r>
      <w:r w:rsidRPr="001C6F61">
        <w:rPr>
          <w:rtl/>
        </w:rPr>
        <w:t xml:space="preserve"> لصاحب أحدهما الام</w:t>
      </w:r>
      <w:r>
        <w:rPr>
          <w:rtl/>
        </w:rPr>
        <w:t>تـن</w:t>
      </w:r>
      <w:r w:rsidRPr="001C6F61">
        <w:rPr>
          <w:rtl/>
        </w:rPr>
        <w:t>اع حتى يقبض الآخر</w:t>
      </w:r>
      <w:r w:rsidRPr="007F5B58">
        <w:rPr>
          <w:rtl/>
        </w:rPr>
        <w:t>،</w:t>
      </w:r>
      <w:r w:rsidRPr="001C6F61">
        <w:rPr>
          <w:rtl/>
        </w:rPr>
        <w:t xml:space="preserve"> ولا يُجبر أحدهما على التسليم قبل الآخر</w:t>
      </w:r>
      <w:r w:rsidRPr="00815C4C">
        <w:rPr>
          <w:rFonts w:cs="Taher"/>
          <w:vertAlign w:val="superscript"/>
          <w:rtl/>
        </w:rPr>
        <w:t>(</w:t>
      </w:r>
      <w:r w:rsidRPr="00815C4C">
        <w:rPr>
          <w:rFonts w:cs="Taher"/>
          <w:vertAlign w:val="superscript"/>
          <w:rtl/>
        </w:rPr>
        <w:footnoteReference w:id="756"/>
      </w:r>
      <w:r w:rsidRPr="00815C4C">
        <w:rPr>
          <w:rFonts w:cs="Taher"/>
          <w:vertAlign w:val="superscript"/>
          <w:rtl/>
        </w:rPr>
        <w:t>)</w:t>
      </w:r>
      <w:r>
        <w:rPr>
          <w:rtl/>
        </w:rPr>
        <w:t xml:space="preserve">. </w:t>
      </w:r>
      <w:r w:rsidRPr="001C6F61">
        <w:rPr>
          <w:rtl/>
        </w:rPr>
        <w:t>وعلّله بعضهم في هذا المقام بقوله</w:t>
      </w:r>
      <w:r w:rsidRPr="007F5B58">
        <w:rPr>
          <w:rtl/>
        </w:rPr>
        <w:t>:</w:t>
      </w:r>
      <w:r w:rsidRPr="001C6F61">
        <w:rPr>
          <w:rtl/>
        </w:rPr>
        <w:t xml:space="preserve"> لأنّه ع</w:t>
      </w:r>
      <w:r>
        <w:rPr>
          <w:rtl/>
        </w:rPr>
        <w:t>وض البضع المملوك بالعقد</w:t>
      </w:r>
      <w:r w:rsidRPr="00815C4C">
        <w:rPr>
          <w:rFonts w:cs="Taher"/>
          <w:vertAlign w:val="superscript"/>
          <w:rtl/>
        </w:rPr>
        <w:t>(</w:t>
      </w:r>
      <w:r w:rsidRPr="00815C4C">
        <w:rPr>
          <w:rFonts w:cs="Taher"/>
          <w:vertAlign w:val="superscript"/>
          <w:rtl/>
        </w:rPr>
        <w:footnoteReference w:id="757"/>
      </w:r>
      <w:r w:rsidRPr="00815C4C">
        <w:rPr>
          <w:rFonts w:cs="Taher"/>
          <w:vertAlign w:val="superscript"/>
          <w:rtl/>
        </w:rPr>
        <w:t>)</w:t>
      </w:r>
      <w:r w:rsidRPr="007F5B58">
        <w:rPr>
          <w:rtl/>
        </w:rPr>
        <w:t>،</w:t>
      </w:r>
      <w:r>
        <w:rPr>
          <w:rtl/>
        </w:rPr>
        <w:t xml:space="preserve"> أو بقوله</w:t>
      </w:r>
      <w:r w:rsidRPr="007F5B58">
        <w:rPr>
          <w:rtl/>
        </w:rPr>
        <w:t>:</w:t>
      </w:r>
      <w:r>
        <w:rPr>
          <w:rtl/>
        </w:rPr>
        <w:t xml:space="preserve"> لأنّ النكاح معاوضة</w:t>
      </w:r>
      <w:r w:rsidRPr="00815C4C">
        <w:rPr>
          <w:rFonts w:cs="Taher"/>
          <w:vertAlign w:val="superscript"/>
          <w:rtl/>
        </w:rPr>
        <w:t>(</w:t>
      </w:r>
      <w:r w:rsidRPr="00815C4C">
        <w:rPr>
          <w:rFonts w:cs="Taher"/>
          <w:vertAlign w:val="superscript"/>
          <w:rtl/>
        </w:rPr>
        <w:footnoteReference w:id="758"/>
      </w:r>
      <w:r w:rsidRPr="00815C4C">
        <w:rPr>
          <w:rFonts w:cs="Taher"/>
          <w:vertAlign w:val="superscript"/>
          <w:rtl/>
        </w:rPr>
        <w:t>)</w:t>
      </w:r>
      <w:r>
        <w:rPr>
          <w:rtl/>
        </w:rPr>
        <w:t>.</w:t>
      </w:r>
      <w:r w:rsidRPr="001C6F61">
        <w:rPr>
          <w:rtl/>
        </w:rPr>
        <w:t xml:space="preserve"> </w:t>
      </w:r>
      <w:r>
        <w:rPr>
          <w:rtl/>
        </w:rPr>
        <w:t xml:space="preserve">كما </w:t>
      </w:r>
      <w:r w:rsidRPr="001C6F61">
        <w:rPr>
          <w:rtl/>
        </w:rPr>
        <w:t>نستطيع أن نجد مثل هذا التعابير في فقه العامّة أيضاً</w:t>
      </w:r>
      <w:r w:rsidRPr="007F5B58">
        <w:rPr>
          <w:rtl/>
        </w:rPr>
        <w:t>،</w:t>
      </w:r>
      <w:r w:rsidRPr="001C6F61">
        <w:rPr>
          <w:rtl/>
        </w:rPr>
        <w:t xml:space="preserve"> كقول بعضهم في تعليل الحكم </w:t>
      </w:r>
      <w:r>
        <w:rPr>
          <w:rtl/>
        </w:rPr>
        <w:t>المذكور</w:t>
      </w:r>
      <w:r w:rsidRPr="007F5B58">
        <w:rPr>
          <w:rtl/>
        </w:rPr>
        <w:t>:</w:t>
      </w:r>
      <w:r>
        <w:rPr>
          <w:rtl/>
        </w:rPr>
        <w:t xml:space="preserve"> لأنّه معاوضة</w:t>
      </w:r>
      <w:r w:rsidRPr="00815C4C">
        <w:rPr>
          <w:rFonts w:cs="Taher"/>
          <w:vertAlign w:val="superscript"/>
          <w:rtl/>
        </w:rPr>
        <w:t>(</w:t>
      </w:r>
      <w:r w:rsidRPr="00815C4C">
        <w:rPr>
          <w:rFonts w:cs="Taher"/>
          <w:vertAlign w:val="superscript"/>
          <w:rtl/>
        </w:rPr>
        <w:footnoteReference w:id="759"/>
      </w:r>
      <w:r w:rsidRPr="00815C4C">
        <w:rPr>
          <w:rFonts w:cs="Taher"/>
          <w:vertAlign w:val="superscript"/>
          <w:rtl/>
        </w:rPr>
        <w:t>)</w:t>
      </w:r>
      <w:r w:rsidRPr="001C6F61">
        <w:rPr>
          <w:rtl/>
        </w:rPr>
        <w:t>.</w:t>
      </w:r>
    </w:p>
    <w:p w:rsidR="00AC628B" w:rsidRDefault="00AC628B" w:rsidP="00E32EF1">
      <w:pPr>
        <w:pStyle w:val="ac"/>
        <w:spacing w:line="211" w:lineRule="auto"/>
        <w:rPr>
          <w:rtl/>
        </w:rPr>
      </w:pPr>
      <w:r w:rsidRPr="001C6F61">
        <w:rPr>
          <w:rtl/>
        </w:rPr>
        <w:lastRenderedPageBreak/>
        <w:t>و</w:t>
      </w:r>
      <w:r>
        <w:rPr>
          <w:rtl/>
        </w:rPr>
        <w:t xml:space="preserve">رغم كثرة </w:t>
      </w:r>
      <w:r w:rsidRPr="001C6F61">
        <w:rPr>
          <w:rtl/>
        </w:rPr>
        <w:t>هذه التعابير الواردة في مقام توجيه ما دلّ من الرو</w:t>
      </w:r>
      <w:r>
        <w:rPr>
          <w:rtl/>
        </w:rPr>
        <w:t>ايات على حقّ الزوجة في الامتـناع</w:t>
      </w:r>
      <w:r w:rsidRPr="001C6F61">
        <w:rPr>
          <w:rtl/>
        </w:rPr>
        <w:t xml:space="preserve"> في المتون الفق</w:t>
      </w:r>
      <w:r>
        <w:rPr>
          <w:rtl/>
        </w:rPr>
        <w:t>هيّة</w:t>
      </w:r>
      <w:r w:rsidRPr="007F5B58">
        <w:rPr>
          <w:rtl/>
        </w:rPr>
        <w:t>،</w:t>
      </w:r>
      <w:r>
        <w:rPr>
          <w:rtl/>
        </w:rPr>
        <w:t xml:space="preserve"> تجد</w:t>
      </w:r>
      <w:r>
        <w:rPr>
          <w:rFonts w:hint="cs"/>
          <w:rtl/>
        </w:rPr>
        <w:t>ر</w:t>
      </w:r>
      <w:r>
        <w:rPr>
          <w:rtl/>
        </w:rPr>
        <w:t xml:space="preserve"> الإشارة</w:t>
      </w:r>
      <w:r w:rsidRPr="001C6F61">
        <w:rPr>
          <w:rtl/>
        </w:rPr>
        <w:t xml:space="preserve"> </w:t>
      </w:r>
      <w:r>
        <w:rPr>
          <w:rFonts w:hint="cs"/>
          <w:rtl/>
        </w:rPr>
        <w:t xml:space="preserve">إلى </w:t>
      </w:r>
      <w:r w:rsidRPr="001C6F61">
        <w:rPr>
          <w:rtl/>
        </w:rPr>
        <w:t xml:space="preserve">أنّ </w:t>
      </w:r>
      <w:r>
        <w:rPr>
          <w:rtl/>
        </w:rPr>
        <w:t xml:space="preserve">هناك </w:t>
      </w:r>
      <w:r w:rsidRPr="001C6F61">
        <w:rPr>
          <w:rtl/>
        </w:rPr>
        <w:t xml:space="preserve">قسماً كبيراً من التعابير </w:t>
      </w:r>
      <w:r>
        <w:rPr>
          <w:rtl/>
        </w:rPr>
        <w:t xml:space="preserve">التي </w:t>
      </w:r>
      <w:r w:rsidRPr="001C6F61">
        <w:rPr>
          <w:rtl/>
        </w:rPr>
        <w:t>يظهر منه</w:t>
      </w:r>
      <w:r>
        <w:rPr>
          <w:rtl/>
        </w:rPr>
        <w:t>ا</w:t>
      </w:r>
      <w:r w:rsidRPr="001C6F61">
        <w:rPr>
          <w:rtl/>
        </w:rPr>
        <w:t xml:space="preserve"> عدم </w:t>
      </w:r>
      <w:r>
        <w:rPr>
          <w:rtl/>
        </w:rPr>
        <w:t xml:space="preserve">الموافقة على أنّ دور </w:t>
      </w:r>
      <w:r w:rsidRPr="001C6F61">
        <w:rPr>
          <w:rtl/>
        </w:rPr>
        <w:t xml:space="preserve">المهر </w:t>
      </w:r>
      <w:r>
        <w:rPr>
          <w:rtl/>
        </w:rPr>
        <w:t xml:space="preserve">هو أن يكون </w:t>
      </w:r>
      <w:r w:rsidRPr="001C6F61">
        <w:rPr>
          <w:rtl/>
        </w:rPr>
        <w:t>عوضاً</w:t>
      </w:r>
      <w:r w:rsidRPr="007F5B58">
        <w:rPr>
          <w:rtl/>
        </w:rPr>
        <w:t>،</w:t>
      </w:r>
      <w:r w:rsidRPr="001C6F61">
        <w:rPr>
          <w:rtl/>
        </w:rPr>
        <w:t xml:space="preserve"> و</w:t>
      </w:r>
      <w:r>
        <w:rPr>
          <w:rtl/>
        </w:rPr>
        <w:t>أنّه ـ ب</w:t>
      </w:r>
      <w:r w:rsidRPr="001C6F61">
        <w:rPr>
          <w:rtl/>
        </w:rPr>
        <w:t>التالي</w:t>
      </w:r>
      <w:r>
        <w:rPr>
          <w:rtl/>
        </w:rPr>
        <w:t xml:space="preserve"> ـ</w:t>
      </w:r>
      <w:r w:rsidRPr="001C6F61">
        <w:rPr>
          <w:rtl/>
        </w:rPr>
        <w:t xml:space="preserve"> لا </w:t>
      </w:r>
      <w:r>
        <w:rPr>
          <w:rtl/>
        </w:rPr>
        <w:t>ت</w:t>
      </w:r>
      <w:r w:rsidRPr="001C6F61">
        <w:rPr>
          <w:rtl/>
        </w:rPr>
        <w:t xml:space="preserve">ترتّب عليه أحكام العوض. </w:t>
      </w:r>
    </w:p>
    <w:p w:rsidR="00AC628B" w:rsidRPr="001C6F61" w:rsidRDefault="00AC628B" w:rsidP="00E32EF1">
      <w:pPr>
        <w:pStyle w:val="ac"/>
        <w:spacing w:line="211" w:lineRule="auto"/>
        <w:rPr>
          <w:rtl/>
        </w:rPr>
      </w:pPr>
      <w:r w:rsidRPr="001C6F61">
        <w:rPr>
          <w:rtl/>
        </w:rPr>
        <w:t>فعلى سبيل المثال</w:t>
      </w:r>
      <w:r w:rsidRPr="007F5B58">
        <w:rPr>
          <w:rtl/>
        </w:rPr>
        <w:t>:</w:t>
      </w:r>
      <w:r w:rsidRPr="001C6F61">
        <w:rPr>
          <w:rtl/>
        </w:rPr>
        <w:t xml:space="preserve"> يرى بعضهم أنّ عدم تعيين المهر في النكاح</w:t>
      </w:r>
      <w:r w:rsidRPr="007F5B58">
        <w:rPr>
          <w:rtl/>
        </w:rPr>
        <w:t>،</w:t>
      </w:r>
      <w:r w:rsidRPr="001C6F61">
        <w:rPr>
          <w:rtl/>
        </w:rPr>
        <w:t xml:space="preserve"> أو الاتّفاق </w:t>
      </w:r>
      <w:r>
        <w:rPr>
          <w:rtl/>
        </w:rPr>
        <w:t xml:space="preserve">بين الزوجين </w:t>
      </w:r>
      <w:r w:rsidRPr="001C6F61">
        <w:rPr>
          <w:rtl/>
        </w:rPr>
        <w:t xml:space="preserve">على عدم </w:t>
      </w:r>
      <w:r>
        <w:rPr>
          <w:rtl/>
        </w:rPr>
        <w:t>ثبوت المهر للزوجة</w:t>
      </w:r>
      <w:r w:rsidRPr="007F5B58">
        <w:rPr>
          <w:rtl/>
        </w:rPr>
        <w:t>،</w:t>
      </w:r>
      <w:r w:rsidRPr="001C6F61">
        <w:rPr>
          <w:rtl/>
        </w:rPr>
        <w:t xml:space="preserve"> لا يوجب بطلان عقد النكاح</w:t>
      </w:r>
      <w:r w:rsidRPr="007F5B58">
        <w:rPr>
          <w:rtl/>
        </w:rPr>
        <w:t>،</w:t>
      </w:r>
      <w:r w:rsidRPr="001C6F61">
        <w:rPr>
          <w:rtl/>
        </w:rPr>
        <w:t xml:space="preserve"> وإنّما </w:t>
      </w:r>
      <w:r>
        <w:rPr>
          <w:rtl/>
        </w:rPr>
        <w:t>ال</w:t>
      </w:r>
      <w:r w:rsidRPr="001C6F61">
        <w:rPr>
          <w:rtl/>
        </w:rPr>
        <w:t xml:space="preserve">فائدة </w:t>
      </w:r>
      <w:r>
        <w:rPr>
          <w:rtl/>
        </w:rPr>
        <w:t xml:space="preserve">من </w:t>
      </w:r>
      <w:r w:rsidRPr="001C6F61">
        <w:rPr>
          <w:rtl/>
        </w:rPr>
        <w:t>تعيين المهر أنّه يوجب تشخيص حقّ الزو</w:t>
      </w:r>
      <w:r>
        <w:rPr>
          <w:rtl/>
        </w:rPr>
        <w:t>جة من حيث الجنس والوصف والمقدار</w:t>
      </w:r>
      <w:r w:rsidRPr="00815C4C">
        <w:rPr>
          <w:rFonts w:cs="Taher"/>
          <w:vertAlign w:val="superscript"/>
          <w:rtl/>
        </w:rPr>
        <w:t>(</w:t>
      </w:r>
      <w:r w:rsidRPr="00815C4C">
        <w:rPr>
          <w:rFonts w:cs="Taher"/>
          <w:vertAlign w:val="superscript"/>
          <w:rtl/>
        </w:rPr>
        <w:footnoteReference w:id="760"/>
      </w:r>
      <w:r w:rsidRPr="00815C4C">
        <w:rPr>
          <w:rFonts w:cs="Taher"/>
          <w:vertAlign w:val="superscript"/>
          <w:rtl/>
        </w:rPr>
        <w:t>)</w:t>
      </w:r>
      <w:r>
        <w:rPr>
          <w:rtl/>
        </w:rPr>
        <w:t>.</w:t>
      </w:r>
      <w:r w:rsidRPr="001C6F61">
        <w:rPr>
          <w:rtl/>
        </w:rPr>
        <w:t xml:space="preserve"> </w:t>
      </w:r>
      <w:r>
        <w:rPr>
          <w:rtl/>
        </w:rPr>
        <w:t>وهذه النظريّة إجماعيّة في الفقه</w:t>
      </w:r>
      <w:r w:rsidRPr="007F5B58">
        <w:rPr>
          <w:rtl/>
        </w:rPr>
        <w:t>؛</w:t>
      </w:r>
      <w:r w:rsidRPr="001C6F61">
        <w:rPr>
          <w:rtl/>
        </w:rPr>
        <w:t xml:space="preserve"> إذ ليس في الفقهاء من يعتقد بلزوم تع</w:t>
      </w:r>
      <w:r>
        <w:rPr>
          <w:rtl/>
        </w:rPr>
        <w:t>يين المهر في صحّة النكاح الدائم</w:t>
      </w:r>
      <w:r w:rsidRPr="00815C4C">
        <w:rPr>
          <w:rFonts w:cs="Taher"/>
          <w:vertAlign w:val="superscript"/>
          <w:rtl/>
        </w:rPr>
        <w:t>(</w:t>
      </w:r>
      <w:r w:rsidRPr="00815C4C">
        <w:rPr>
          <w:rFonts w:cs="Taher"/>
          <w:vertAlign w:val="superscript"/>
          <w:rtl/>
        </w:rPr>
        <w:footnoteReference w:id="761"/>
      </w:r>
      <w:r w:rsidRPr="00815C4C">
        <w:rPr>
          <w:rFonts w:cs="Taher"/>
          <w:vertAlign w:val="superscript"/>
          <w:rtl/>
        </w:rPr>
        <w:t>)</w:t>
      </w:r>
      <w:r w:rsidRPr="007F5B58">
        <w:rPr>
          <w:rtl/>
        </w:rPr>
        <w:t>،</w:t>
      </w:r>
      <w:r w:rsidRPr="001C6F61">
        <w:rPr>
          <w:rtl/>
        </w:rPr>
        <w:t xml:space="preserve"> علماً أنّهم في باب المعاوضات</w:t>
      </w:r>
      <w:r w:rsidRPr="007F5B58">
        <w:rPr>
          <w:rtl/>
        </w:rPr>
        <w:t>،</w:t>
      </w:r>
      <w:r>
        <w:rPr>
          <w:rtl/>
        </w:rPr>
        <w:t xml:space="preserve"> كالبيع </w:t>
      </w:r>
      <w:r w:rsidRPr="001C6F61">
        <w:rPr>
          <w:rtl/>
        </w:rPr>
        <w:t>مثلاً</w:t>
      </w:r>
      <w:r w:rsidRPr="007F5B58">
        <w:rPr>
          <w:rtl/>
        </w:rPr>
        <w:t>،</w:t>
      </w:r>
      <w:r w:rsidRPr="001C6F61">
        <w:rPr>
          <w:rtl/>
        </w:rPr>
        <w:t xml:space="preserve"> ذهبوا إلى لزوم تعيين العوض</w:t>
      </w:r>
      <w:r w:rsidRPr="007F5B58">
        <w:rPr>
          <w:rtl/>
        </w:rPr>
        <w:t>،</w:t>
      </w:r>
      <w:r w:rsidRPr="001C6F61">
        <w:rPr>
          <w:rtl/>
        </w:rPr>
        <w:t xml:space="preserve"> وقالوا </w:t>
      </w:r>
      <w:r>
        <w:rPr>
          <w:rtl/>
        </w:rPr>
        <w:t>ببطلان البيع دون تعيينه</w:t>
      </w:r>
      <w:r w:rsidRPr="00815C4C">
        <w:rPr>
          <w:rFonts w:cs="Taher"/>
          <w:vertAlign w:val="superscript"/>
          <w:rtl/>
        </w:rPr>
        <w:t>(</w:t>
      </w:r>
      <w:r w:rsidRPr="00815C4C">
        <w:rPr>
          <w:rFonts w:cs="Taher"/>
          <w:vertAlign w:val="superscript"/>
          <w:rtl/>
        </w:rPr>
        <w:footnoteReference w:id="762"/>
      </w:r>
      <w:r w:rsidRPr="00815C4C">
        <w:rPr>
          <w:rFonts w:cs="Taher"/>
          <w:vertAlign w:val="superscript"/>
          <w:rtl/>
        </w:rPr>
        <w:t>)</w:t>
      </w:r>
      <w:r>
        <w:rPr>
          <w:rtl/>
        </w:rPr>
        <w:t>.</w:t>
      </w:r>
      <w:r w:rsidRPr="001C6F61">
        <w:rPr>
          <w:rtl/>
        </w:rPr>
        <w:t xml:space="preserve"> </w:t>
      </w:r>
      <w:r>
        <w:rPr>
          <w:rtl/>
        </w:rPr>
        <w:t>أضف إلى ذلك</w:t>
      </w:r>
      <w:r w:rsidRPr="001C6F61">
        <w:rPr>
          <w:rtl/>
        </w:rPr>
        <w:t xml:space="preserve"> أنّ نفس أصحاب هذه النظرة يصرّحون بأنّ مقتضى القاعدة في المهر هو كون ضمانه ضمان يدٍ</w:t>
      </w:r>
      <w:r w:rsidRPr="007F5B58">
        <w:rPr>
          <w:rtl/>
        </w:rPr>
        <w:t>،</w:t>
      </w:r>
      <w:r w:rsidRPr="001C6F61">
        <w:rPr>
          <w:rtl/>
        </w:rPr>
        <w:t xml:space="preserve"> لا ضمان معاوضة</w:t>
      </w:r>
      <w:r w:rsidRPr="00815C4C">
        <w:rPr>
          <w:rFonts w:cs="Taher"/>
          <w:vertAlign w:val="superscript"/>
          <w:rtl/>
        </w:rPr>
        <w:t>(</w:t>
      </w:r>
      <w:r w:rsidRPr="00815C4C">
        <w:rPr>
          <w:rFonts w:cs="Taher"/>
          <w:vertAlign w:val="superscript"/>
          <w:rtl/>
        </w:rPr>
        <w:footnoteReference w:id="763"/>
      </w:r>
      <w:r w:rsidRPr="00815C4C">
        <w:rPr>
          <w:rFonts w:cs="Taher"/>
          <w:vertAlign w:val="superscript"/>
          <w:rtl/>
        </w:rPr>
        <w:t>)</w:t>
      </w:r>
      <w:r w:rsidRPr="007F5B58">
        <w:rPr>
          <w:rtl/>
        </w:rPr>
        <w:t>،</w:t>
      </w:r>
      <w:r w:rsidRPr="001C6F61">
        <w:rPr>
          <w:rtl/>
        </w:rPr>
        <w:t xml:space="preserve"> مع أنّ كون المهر عوضاً عن البضع يستلزم أن يكون ضمان الزوج إيّاه من قبيل ضمان المعاوضة.</w:t>
      </w:r>
    </w:p>
    <w:p w:rsidR="00AC628B" w:rsidRDefault="00AC628B" w:rsidP="00AC628B">
      <w:pPr>
        <w:pStyle w:val="ac"/>
        <w:rPr>
          <w:rtl/>
        </w:rPr>
      </w:pPr>
      <w:r>
        <w:rPr>
          <w:rtl/>
        </w:rPr>
        <w:t>ورغم</w:t>
      </w:r>
      <w:r w:rsidRPr="001C6F61">
        <w:rPr>
          <w:rtl/>
        </w:rPr>
        <w:t xml:space="preserve"> أنّ بعضهم ـ على أثر التوجيهات التي ذكرها الفقهاء في مسألة حقّ ام</w:t>
      </w:r>
      <w:r>
        <w:rPr>
          <w:rtl/>
        </w:rPr>
        <w:t>تـن</w:t>
      </w:r>
      <w:r w:rsidRPr="001C6F61">
        <w:rPr>
          <w:rtl/>
        </w:rPr>
        <w:t>اع الزوجة قبل قبض المهر ـ ذهب إلى القول بأنّ عقد النكاح هو في حكم سائر العقود المعاوضيّة</w:t>
      </w:r>
      <w:r w:rsidRPr="007F5B58">
        <w:rPr>
          <w:rtl/>
        </w:rPr>
        <w:t>؛</w:t>
      </w:r>
      <w:r w:rsidRPr="001C6F61">
        <w:rPr>
          <w:rtl/>
        </w:rPr>
        <w:t xml:space="preserve"> بلحاظ المهر ومدخليّته فيه</w:t>
      </w:r>
      <w:r w:rsidRPr="007F5B58">
        <w:rPr>
          <w:rtl/>
        </w:rPr>
        <w:t>،</w:t>
      </w:r>
      <w:r w:rsidRPr="001C6F61">
        <w:rPr>
          <w:rtl/>
        </w:rPr>
        <w:t xml:space="preserve"> فالمهر من زاوية علم الحقوق له دور فرعيّ </w:t>
      </w:r>
      <w:r w:rsidRPr="001C6F61">
        <w:rPr>
          <w:rtl/>
        </w:rPr>
        <w:lastRenderedPageBreak/>
        <w:t>بالنسبة إلى النكاح</w:t>
      </w:r>
      <w:r w:rsidRPr="007F5B58">
        <w:rPr>
          <w:rtl/>
        </w:rPr>
        <w:t>،</w:t>
      </w:r>
      <w:r w:rsidRPr="001C6F61">
        <w:rPr>
          <w:rtl/>
        </w:rPr>
        <w:t xml:space="preserve"> كما أنّ العوض كذلك بالنسبة إل</w:t>
      </w:r>
      <w:r>
        <w:rPr>
          <w:rtl/>
        </w:rPr>
        <w:t>ى العقود المعاوضيّة</w:t>
      </w:r>
      <w:r w:rsidRPr="00815C4C">
        <w:rPr>
          <w:rFonts w:cs="Taher"/>
          <w:vertAlign w:val="superscript"/>
          <w:rtl/>
        </w:rPr>
        <w:t>(</w:t>
      </w:r>
      <w:r w:rsidRPr="00815C4C">
        <w:rPr>
          <w:rFonts w:cs="Taher"/>
          <w:vertAlign w:val="superscript"/>
          <w:rtl/>
        </w:rPr>
        <w:footnoteReference w:id="764"/>
      </w:r>
      <w:r w:rsidRPr="00815C4C">
        <w:rPr>
          <w:rFonts w:cs="Taher"/>
          <w:vertAlign w:val="superscript"/>
          <w:rtl/>
        </w:rPr>
        <w:t>)</w:t>
      </w:r>
      <w:r w:rsidRPr="007F5B58">
        <w:rPr>
          <w:rtl/>
        </w:rPr>
        <w:t>،</w:t>
      </w:r>
      <w:r>
        <w:rPr>
          <w:rtl/>
        </w:rPr>
        <w:t xml:space="preserve"> بل نُسبت</w:t>
      </w:r>
      <w:r w:rsidRPr="001C6F61">
        <w:rPr>
          <w:rtl/>
        </w:rPr>
        <w:t xml:space="preserve"> هذه النظريّة إلى أكثر الفقهاء</w:t>
      </w:r>
      <w:r w:rsidRPr="00815C4C">
        <w:rPr>
          <w:rFonts w:cs="Taher"/>
          <w:vertAlign w:val="superscript"/>
          <w:rtl/>
        </w:rPr>
        <w:t>(</w:t>
      </w:r>
      <w:r w:rsidRPr="00815C4C">
        <w:rPr>
          <w:rFonts w:cs="Taher"/>
          <w:vertAlign w:val="superscript"/>
          <w:rtl/>
        </w:rPr>
        <w:footnoteReference w:id="765"/>
      </w:r>
      <w:r w:rsidRPr="00815C4C">
        <w:rPr>
          <w:rFonts w:cs="Taher"/>
          <w:vertAlign w:val="superscript"/>
          <w:rtl/>
        </w:rPr>
        <w:t>)</w:t>
      </w:r>
      <w:r>
        <w:rPr>
          <w:rtl/>
        </w:rPr>
        <w:t>.</w:t>
      </w:r>
      <w:r w:rsidRPr="001C6F61">
        <w:rPr>
          <w:rtl/>
        </w:rPr>
        <w:t xml:space="preserve"> </w:t>
      </w:r>
    </w:p>
    <w:p w:rsidR="00AC628B" w:rsidRPr="001C6F61" w:rsidRDefault="00AC628B" w:rsidP="00E32EF1">
      <w:pPr>
        <w:pStyle w:val="ac"/>
        <w:spacing w:line="211" w:lineRule="auto"/>
        <w:rPr>
          <w:rtl/>
        </w:rPr>
      </w:pPr>
      <w:r w:rsidRPr="001C6F61">
        <w:rPr>
          <w:rtl/>
        </w:rPr>
        <w:t xml:space="preserve">إلاّ أنّ هذه النظريّة لا منشأ لها سوى التأثّر ببعض الكلمات الواردة عن الفقهاء في معرض توجيههم للروايات الدالّة على حقّ الزوجة </w:t>
      </w:r>
      <w:r>
        <w:rPr>
          <w:rtl/>
        </w:rPr>
        <w:t xml:space="preserve">بالامتـناع </w:t>
      </w:r>
      <w:r w:rsidRPr="001C6F61">
        <w:rPr>
          <w:rtl/>
        </w:rPr>
        <w:t xml:space="preserve">عن تمكين </w:t>
      </w:r>
      <w:r>
        <w:rPr>
          <w:rtl/>
        </w:rPr>
        <w:t xml:space="preserve">الزوج من </w:t>
      </w:r>
      <w:r w:rsidRPr="001C6F61">
        <w:rPr>
          <w:rtl/>
        </w:rPr>
        <w:t>نفسها في صورة</w:t>
      </w:r>
      <w:r>
        <w:rPr>
          <w:rtl/>
        </w:rPr>
        <w:t xml:space="preserve"> عدم دفع الزوج المهر لها</w:t>
      </w:r>
      <w:r w:rsidRPr="007F5B58">
        <w:rPr>
          <w:rtl/>
        </w:rPr>
        <w:t>،</w:t>
      </w:r>
      <w:r>
        <w:rPr>
          <w:rtl/>
        </w:rPr>
        <w:t xml:space="preserve"> وإلاّ</w:t>
      </w:r>
      <w:r w:rsidRPr="001C6F61">
        <w:rPr>
          <w:rtl/>
        </w:rPr>
        <w:t xml:space="preserve"> ف</w:t>
      </w:r>
      <w:r>
        <w:rPr>
          <w:rtl/>
        </w:rPr>
        <w:t xml:space="preserve">إن </w:t>
      </w:r>
      <w:r w:rsidRPr="001C6F61">
        <w:rPr>
          <w:rtl/>
        </w:rPr>
        <w:t>ما تقتضيه قواعد الحقوق</w:t>
      </w:r>
      <w:r>
        <w:rPr>
          <w:rtl/>
        </w:rPr>
        <w:t xml:space="preserve"> اختلاف</w:t>
      </w:r>
      <w:r w:rsidRPr="001C6F61">
        <w:rPr>
          <w:rtl/>
        </w:rPr>
        <w:t xml:space="preserve"> نسبة </w:t>
      </w:r>
      <w:r>
        <w:rPr>
          <w:rtl/>
        </w:rPr>
        <w:t>المهر إلى البضع والاستمتاع عن نسبة العوض إلى المعوّض</w:t>
      </w:r>
      <w:r w:rsidRPr="007F5B58">
        <w:rPr>
          <w:rtl/>
        </w:rPr>
        <w:t>؛</w:t>
      </w:r>
      <w:r w:rsidRPr="001C6F61">
        <w:rPr>
          <w:rtl/>
        </w:rPr>
        <w:t xml:space="preserve"> </w:t>
      </w:r>
      <w:r>
        <w:rPr>
          <w:rtl/>
        </w:rPr>
        <w:t>إذ في باب العوض والمعوّض</w:t>
      </w:r>
      <w:r w:rsidRPr="001C6F61">
        <w:rPr>
          <w:rtl/>
        </w:rPr>
        <w:t xml:space="preserve"> لو تلف العوض لأدّى تلفه إلى انفساخ العقد</w:t>
      </w:r>
      <w:r w:rsidRPr="007F5B58">
        <w:rPr>
          <w:rtl/>
        </w:rPr>
        <w:t>،</w:t>
      </w:r>
      <w:r w:rsidRPr="001C6F61">
        <w:rPr>
          <w:rtl/>
        </w:rPr>
        <w:t xml:space="preserve"> بي</w:t>
      </w:r>
      <w:r>
        <w:rPr>
          <w:rtl/>
        </w:rPr>
        <w:t>نما نجد في باب المهر</w:t>
      </w:r>
      <w:r w:rsidRPr="007F5B58">
        <w:rPr>
          <w:rtl/>
        </w:rPr>
        <w:t>،</w:t>
      </w:r>
      <w:r>
        <w:rPr>
          <w:rtl/>
        </w:rPr>
        <w:t xml:space="preserve"> أنّه لو تلف قبل الإقباض</w:t>
      </w:r>
      <w:r w:rsidRPr="001C6F61">
        <w:rPr>
          <w:rtl/>
        </w:rPr>
        <w:t xml:space="preserve"> لوجب على الزوج أن يدفع مثل المهر التالف أو قيمته</w:t>
      </w:r>
      <w:r>
        <w:rPr>
          <w:rtl/>
        </w:rPr>
        <w:t xml:space="preserve">. وعند </w:t>
      </w:r>
      <w:r w:rsidRPr="001C6F61">
        <w:rPr>
          <w:rtl/>
        </w:rPr>
        <w:t>انفساخ العقد المعاوضيّ وانحلاله يجب على كلّ واحدٍ من الطرفين أن يدفع ما بيده من العوض أو المعوّض إلى مالكه الأصليّ الذي كان</w:t>
      </w:r>
      <w:r>
        <w:rPr>
          <w:rtl/>
        </w:rPr>
        <w:t xml:space="preserve"> </w:t>
      </w:r>
      <w:r w:rsidRPr="001C6F61">
        <w:rPr>
          <w:rtl/>
        </w:rPr>
        <w:t>على ملكه ق</w:t>
      </w:r>
      <w:r>
        <w:rPr>
          <w:rtl/>
        </w:rPr>
        <w:t>بل إجراء العقد</w:t>
      </w:r>
      <w:r w:rsidRPr="007F5B58">
        <w:rPr>
          <w:rtl/>
        </w:rPr>
        <w:t>،</w:t>
      </w:r>
      <w:r>
        <w:rPr>
          <w:rtl/>
        </w:rPr>
        <w:t xml:space="preserve"> بينما</w:t>
      </w:r>
      <w:r w:rsidRPr="001C6F61">
        <w:rPr>
          <w:rtl/>
        </w:rPr>
        <w:t xml:space="preserve"> لو أبطل النكاح </w:t>
      </w:r>
      <w:r>
        <w:rPr>
          <w:rtl/>
        </w:rPr>
        <w:t>بإيقاع الطلاق قبل مقاربة الزوجة</w:t>
      </w:r>
      <w:r w:rsidRPr="001C6F61">
        <w:rPr>
          <w:rtl/>
        </w:rPr>
        <w:t xml:space="preserve"> لا يجب على الزوجة أن تُرجع إليه إلاّ نصف ما كانت أخذته من المهر.</w:t>
      </w:r>
    </w:p>
    <w:p w:rsidR="00AC628B" w:rsidRPr="001C6F61" w:rsidRDefault="00AC628B" w:rsidP="00E32EF1">
      <w:pPr>
        <w:pStyle w:val="ac"/>
        <w:spacing w:line="211" w:lineRule="auto"/>
        <w:rPr>
          <w:rtl/>
        </w:rPr>
      </w:pPr>
      <w:r>
        <w:rPr>
          <w:rtl/>
        </w:rPr>
        <w:t>أضف إلى ذلك</w:t>
      </w:r>
      <w:r w:rsidRPr="001C6F61">
        <w:rPr>
          <w:rtl/>
        </w:rPr>
        <w:t xml:space="preserve"> أنّنا لو قمنا بإلقاء نظرة جامعة وكاملة على تمام النظريّات الفقهيّة في شأن المهر ومدخليّته في الن</w:t>
      </w:r>
      <w:r>
        <w:rPr>
          <w:rtl/>
        </w:rPr>
        <w:t>كاح الدائم</w:t>
      </w:r>
      <w:r w:rsidRPr="007F5B58">
        <w:rPr>
          <w:rtl/>
        </w:rPr>
        <w:t>،</w:t>
      </w:r>
      <w:r>
        <w:rPr>
          <w:rtl/>
        </w:rPr>
        <w:t xml:space="preserve"> ولو عند</w:t>
      </w:r>
      <w:r w:rsidRPr="001C6F61">
        <w:rPr>
          <w:rtl/>
        </w:rPr>
        <w:t xml:space="preserve"> واحد من الفقهاء فحسب</w:t>
      </w:r>
      <w:r w:rsidRPr="007F5B58">
        <w:rPr>
          <w:rtl/>
        </w:rPr>
        <w:t>،</w:t>
      </w:r>
      <w:r w:rsidRPr="001C6F61">
        <w:rPr>
          <w:rtl/>
        </w:rPr>
        <w:t xml:space="preserve"> </w:t>
      </w:r>
      <w:r>
        <w:rPr>
          <w:rtl/>
        </w:rPr>
        <w:t>فسنجد من المسلّم به فقهيّاً</w:t>
      </w:r>
      <w:r w:rsidRPr="001C6F61">
        <w:rPr>
          <w:rtl/>
        </w:rPr>
        <w:t xml:space="preserve"> أ</w:t>
      </w:r>
      <w:r>
        <w:rPr>
          <w:rtl/>
        </w:rPr>
        <w:t>نّ المهر لا يُنظَر إليه بوصفه عوضاً</w:t>
      </w:r>
      <w:r w:rsidRPr="001C6F61">
        <w:rPr>
          <w:rtl/>
        </w:rPr>
        <w:t xml:space="preserve"> عن الزوجة نفسها</w:t>
      </w:r>
      <w:r w:rsidRPr="007F5B58">
        <w:rPr>
          <w:rtl/>
        </w:rPr>
        <w:t>،</w:t>
      </w:r>
      <w:r w:rsidRPr="001C6F61">
        <w:rPr>
          <w:rtl/>
        </w:rPr>
        <w:t xml:space="preserve"> أو عن الاستمتاع بها</w:t>
      </w:r>
      <w:r w:rsidRPr="007F5B58">
        <w:rPr>
          <w:rtl/>
        </w:rPr>
        <w:t>،</w:t>
      </w:r>
      <w:r w:rsidRPr="001C6F61">
        <w:rPr>
          <w:rtl/>
        </w:rPr>
        <w:t xml:space="preserve"> </w:t>
      </w:r>
      <w:r>
        <w:rPr>
          <w:rtl/>
        </w:rPr>
        <w:t>بل غاية ما في الأمر</w:t>
      </w:r>
      <w:r w:rsidRPr="001C6F61">
        <w:rPr>
          <w:rtl/>
        </w:rPr>
        <w:t xml:space="preserve"> أنّ بعضهم اس</w:t>
      </w:r>
      <w:r>
        <w:rPr>
          <w:rtl/>
        </w:rPr>
        <w:t>تـن</w:t>
      </w:r>
      <w:r w:rsidRPr="001C6F61">
        <w:rPr>
          <w:rtl/>
        </w:rPr>
        <w:t>د إلى ذلك عند توجيه بعض الروايات التي تُثبت للمرأة الحقّ في الحبس والام</w:t>
      </w:r>
      <w:r>
        <w:rPr>
          <w:rtl/>
        </w:rPr>
        <w:t>تـن</w:t>
      </w:r>
      <w:r w:rsidRPr="001C6F61">
        <w:rPr>
          <w:rtl/>
        </w:rPr>
        <w:t>اع عن التمكين</w:t>
      </w:r>
      <w:r w:rsidRPr="007F5B58">
        <w:rPr>
          <w:rtl/>
        </w:rPr>
        <w:t>؛</w:t>
      </w:r>
      <w:r w:rsidRPr="001C6F61">
        <w:rPr>
          <w:rtl/>
        </w:rPr>
        <w:t xml:space="preserve"> مع أنّ هذا الاس</w:t>
      </w:r>
      <w:r>
        <w:rPr>
          <w:rtl/>
        </w:rPr>
        <w:t>تـن</w:t>
      </w:r>
      <w:r w:rsidRPr="001C6F61">
        <w:rPr>
          <w:rtl/>
        </w:rPr>
        <w:t>اد لا يصلح ل</w:t>
      </w:r>
      <w:r>
        <w:rPr>
          <w:rtl/>
        </w:rPr>
        <w:t>توجيه هذه الروايات الواردة</w:t>
      </w:r>
      <w:r w:rsidRPr="007F5B58">
        <w:rPr>
          <w:rtl/>
        </w:rPr>
        <w:t>؛</w:t>
      </w:r>
      <w:r w:rsidRPr="001C6F61">
        <w:rPr>
          <w:rtl/>
        </w:rPr>
        <w:t xml:space="preserve"> إذ إنّ المهر هديّة يجب على الزوج ـ بحكم من الله تعالى ـ تقديمها لزوجته.</w:t>
      </w:r>
    </w:p>
    <w:p w:rsidR="00AC628B" w:rsidRPr="001C6F61" w:rsidRDefault="00AC628B" w:rsidP="00AC628B">
      <w:pPr>
        <w:pStyle w:val="ac"/>
        <w:rPr>
          <w:rtl/>
        </w:rPr>
      </w:pPr>
      <w:r>
        <w:rPr>
          <w:rtl/>
        </w:rPr>
        <w:t>وفي باب الهبة</w:t>
      </w:r>
      <w:r w:rsidRPr="001C6F61">
        <w:rPr>
          <w:rtl/>
        </w:rPr>
        <w:t xml:space="preserve"> قامت سيرة الشارع والمقنّن ال</w:t>
      </w:r>
      <w:r>
        <w:rPr>
          <w:rtl/>
        </w:rPr>
        <w:t>إسلام</w:t>
      </w:r>
      <w:r w:rsidRPr="001C6F61">
        <w:rPr>
          <w:rtl/>
        </w:rPr>
        <w:t>يّ على اعتبار قبض المال الموهوب شرطاً في صحّة العقد</w:t>
      </w:r>
      <w:r w:rsidRPr="007F5B58">
        <w:rPr>
          <w:rtl/>
        </w:rPr>
        <w:t>،</w:t>
      </w:r>
      <w:r w:rsidRPr="001C6F61">
        <w:rPr>
          <w:rtl/>
        </w:rPr>
        <w:t xml:space="preserve"> ولكن</w:t>
      </w:r>
      <w:r>
        <w:rPr>
          <w:rtl/>
        </w:rPr>
        <w:t>ّ</w:t>
      </w:r>
      <w:r w:rsidRPr="001C6F61">
        <w:rPr>
          <w:rtl/>
        </w:rPr>
        <w:t>ه في باب المهر</w:t>
      </w:r>
      <w:r w:rsidRPr="007F5B58">
        <w:rPr>
          <w:rtl/>
        </w:rPr>
        <w:t>،</w:t>
      </w:r>
      <w:r w:rsidRPr="001C6F61">
        <w:rPr>
          <w:rtl/>
        </w:rPr>
        <w:t xml:space="preserve"> الذي هو نحو من الهبة القانونيّة</w:t>
      </w:r>
      <w:r w:rsidRPr="007F5B58">
        <w:rPr>
          <w:rtl/>
        </w:rPr>
        <w:t>،</w:t>
      </w:r>
      <w:r w:rsidRPr="001C6F61">
        <w:rPr>
          <w:rtl/>
        </w:rPr>
        <w:t xml:space="preserve"> لم يجعل </w:t>
      </w:r>
      <w:r w:rsidRPr="001C6F61">
        <w:rPr>
          <w:rtl/>
        </w:rPr>
        <w:lastRenderedPageBreak/>
        <w:t>قبض ال</w:t>
      </w:r>
      <w:r>
        <w:rPr>
          <w:rtl/>
        </w:rPr>
        <w:t>مهر وتسلّمه شرطاً في صحّة العقد</w:t>
      </w:r>
      <w:r w:rsidRPr="007F5B58">
        <w:rPr>
          <w:rtl/>
        </w:rPr>
        <w:t>؛</w:t>
      </w:r>
      <w:r w:rsidRPr="001C6F61">
        <w:rPr>
          <w:rtl/>
        </w:rPr>
        <w:t xml:space="preserve"> وذلك تسهيلاً منه لانعقاد الزواج والنكاح</w:t>
      </w:r>
      <w:r w:rsidRPr="007F5B58">
        <w:rPr>
          <w:rtl/>
        </w:rPr>
        <w:t>،</w:t>
      </w:r>
      <w:r w:rsidRPr="001C6F61">
        <w:rPr>
          <w:rtl/>
        </w:rPr>
        <w:t xml:space="preserve"> مكتفياً في ذلك بجعل المهر على ذمّة الزوج</w:t>
      </w:r>
      <w:r w:rsidRPr="007F5B58">
        <w:rPr>
          <w:rtl/>
        </w:rPr>
        <w:t>،</w:t>
      </w:r>
      <w:r w:rsidRPr="001C6F61">
        <w:rPr>
          <w:rtl/>
        </w:rPr>
        <w:t xml:space="preserve"> إلاّ أنّه</w:t>
      </w:r>
      <w:r w:rsidRPr="007F5B58">
        <w:rPr>
          <w:rtl/>
        </w:rPr>
        <w:t>؛</w:t>
      </w:r>
      <w:r w:rsidRPr="001C6F61">
        <w:rPr>
          <w:rtl/>
        </w:rPr>
        <w:t xml:space="preserve"> ولحماية الزوجة وضمان حقّها</w:t>
      </w:r>
      <w:r w:rsidRPr="007F5B58">
        <w:rPr>
          <w:rtl/>
        </w:rPr>
        <w:t>،</w:t>
      </w:r>
      <w:r w:rsidRPr="001C6F61">
        <w:rPr>
          <w:rtl/>
        </w:rPr>
        <w:t xml:space="preserve"> جعل لها الخيار بأن تطالب الزوج بدفع المهر قبل مشاركته الحياة الزوجيّة</w:t>
      </w:r>
      <w:r w:rsidRPr="007F5B58">
        <w:rPr>
          <w:rtl/>
        </w:rPr>
        <w:t>،</w:t>
      </w:r>
      <w:r w:rsidRPr="001C6F61">
        <w:rPr>
          <w:rtl/>
        </w:rPr>
        <w:t xml:space="preserve"> و</w:t>
      </w:r>
      <w:r>
        <w:rPr>
          <w:rtl/>
        </w:rPr>
        <w:t>هو ـ أي</w:t>
      </w:r>
      <w:r w:rsidRPr="001C6F61">
        <w:rPr>
          <w:rtl/>
        </w:rPr>
        <w:t xml:space="preserve"> هذا الخيار </w:t>
      </w:r>
      <w:r>
        <w:rPr>
          <w:rtl/>
        </w:rPr>
        <w:t>ـ ما يُعَبَّر عنه في الفقه</w:t>
      </w:r>
      <w:r>
        <w:rPr>
          <w:rFonts w:hint="cs"/>
          <w:rtl/>
        </w:rPr>
        <w:t xml:space="preserve"> بـ </w:t>
      </w:r>
      <w:r w:rsidRPr="001C6F61">
        <w:rPr>
          <w:rtl/>
        </w:rPr>
        <w:t>حقّ الحبس</w:t>
      </w:r>
      <w:r w:rsidRPr="007F5B58">
        <w:rPr>
          <w:rtl/>
        </w:rPr>
        <w:t>،</w:t>
      </w:r>
      <w:r w:rsidRPr="001C6F61">
        <w:rPr>
          <w:rtl/>
        </w:rPr>
        <w:t xml:space="preserve"> </w:t>
      </w:r>
      <w:r>
        <w:rPr>
          <w:rtl/>
        </w:rPr>
        <w:t xml:space="preserve">علماً </w:t>
      </w:r>
      <w:r w:rsidRPr="001C6F61">
        <w:rPr>
          <w:rtl/>
        </w:rPr>
        <w:t>أنّ النكاح هو من العقود التعهّديّة</w:t>
      </w:r>
      <w:r w:rsidRPr="007F5B58">
        <w:rPr>
          <w:rtl/>
        </w:rPr>
        <w:t>،</w:t>
      </w:r>
      <w:r w:rsidRPr="001C6F61">
        <w:rPr>
          <w:rtl/>
        </w:rPr>
        <w:t xml:space="preserve"> لا التمليكيّة. ومن ناحية أ</w:t>
      </w:r>
      <w:r>
        <w:rPr>
          <w:rtl/>
        </w:rPr>
        <w:t>ُخرى</w:t>
      </w:r>
      <w:r w:rsidRPr="001C6F61">
        <w:rPr>
          <w:rtl/>
        </w:rPr>
        <w:t xml:space="preserve"> فالنكاح عقد موضوعه العمل</w:t>
      </w:r>
      <w:r w:rsidRPr="007F5B58">
        <w:rPr>
          <w:rtl/>
        </w:rPr>
        <w:t>؛</w:t>
      </w:r>
      <w:r w:rsidRPr="001C6F61">
        <w:rPr>
          <w:rtl/>
        </w:rPr>
        <w:t xml:space="preserve"> لأنّ موضوع هذا العقد إنّما هو جعل حياة الزوجين مشتركة</w:t>
      </w:r>
      <w:r w:rsidRPr="007F5B58">
        <w:rPr>
          <w:rtl/>
        </w:rPr>
        <w:t>،</w:t>
      </w:r>
      <w:r w:rsidRPr="001C6F61">
        <w:rPr>
          <w:rtl/>
        </w:rPr>
        <w:t xml:space="preserve"> وفي العقود العمليّة يستحقّ العامل </w:t>
      </w:r>
      <w:r>
        <w:rPr>
          <w:rtl/>
        </w:rPr>
        <w:t>ـ باتّفاق الفقهاء ـ</w:t>
      </w:r>
      <w:r w:rsidRPr="001C6F61">
        <w:rPr>
          <w:rtl/>
        </w:rPr>
        <w:t xml:space="preserve"> العوض على عمله عند أدائه له وقيامه به</w:t>
      </w:r>
      <w:r w:rsidRPr="00815C4C">
        <w:rPr>
          <w:rFonts w:cs="Taher"/>
          <w:vertAlign w:val="superscript"/>
          <w:rtl/>
        </w:rPr>
        <w:t>(</w:t>
      </w:r>
      <w:r w:rsidRPr="00815C4C">
        <w:rPr>
          <w:rFonts w:cs="Taher"/>
          <w:vertAlign w:val="superscript"/>
          <w:rtl/>
        </w:rPr>
        <w:footnoteReference w:id="766"/>
      </w:r>
      <w:r w:rsidRPr="00815C4C">
        <w:rPr>
          <w:rFonts w:cs="Taher"/>
          <w:vertAlign w:val="superscript"/>
          <w:rtl/>
        </w:rPr>
        <w:t>)</w:t>
      </w:r>
      <w:r w:rsidRPr="007F5B58">
        <w:rPr>
          <w:rtl/>
        </w:rPr>
        <w:t>،</w:t>
      </w:r>
      <w:r w:rsidRPr="001C6F61">
        <w:rPr>
          <w:rtl/>
        </w:rPr>
        <w:t xml:space="preserve"> ولكن</w:t>
      </w:r>
      <w:r>
        <w:rPr>
          <w:rtl/>
        </w:rPr>
        <w:t xml:space="preserve"> </w:t>
      </w:r>
      <w:r w:rsidRPr="001C6F61">
        <w:rPr>
          <w:rtl/>
        </w:rPr>
        <w:t xml:space="preserve">لو فُرِض في النكاح عدم حصول توافق </w:t>
      </w:r>
      <w:r>
        <w:rPr>
          <w:rtl/>
        </w:rPr>
        <w:t>عند الخلاف</w:t>
      </w:r>
      <w:r w:rsidRPr="001C6F61">
        <w:rPr>
          <w:rtl/>
        </w:rPr>
        <w:t xml:space="preserve"> فللزوجة أن تطالب باستلام مهرها فوراً بعد وقوع العقد.</w:t>
      </w:r>
    </w:p>
    <w:p w:rsidR="00AC628B" w:rsidRDefault="00AC628B" w:rsidP="00AC628B">
      <w:pPr>
        <w:pStyle w:val="ac"/>
        <w:rPr>
          <w:rtl/>
        </w:rPr>
      </w:pPr>
      <w:r>
        <w:rPr>
          <w:rtl/>
        </w:rPr>
        <w:t>وعلى هذا الأساس</w:t>
      </w:r>
      <w:r w:rsidRPr="001C6F61">
        <w:rPr>
          <w:rtl/>
        </w:rPr>
        <w:t xml:space="preserve"> نرى أنّ من غير الممكن تعيين ماهيّة المهر وحقيقة دوره إلاّ بعد أخذ نظريّة الفقه والحقوق في ال</w:t>
      </w:r>
      <w:r>
        <w:rPr>
          <w:rtl/>
        </w:rPr>
        <w:t>إسلام</w:t>
      </w:r>
      <w:r w:rsidRPr="007F5B58">
        <w:rPr>
          <w:rtl/>
        </w:rPr>
        <w:t>،</w:t>
      </w:r>
      <w:r w:rsidRPr="001C6F61">
        <w:rPr>
          <w:rtl/>
        </w:rPr>
        <w:t xml:space="preserve"> بجميع ما تتضمّنه هذه النظريّة من الأحكام والشروط والخطابات المرتبطة. ولو </w:t>
      </w:r>
      <w:r>
        <w:rPr>
          <w:rtl/>
        </w:rPr>
        <w:t>تـن</w:t>
      </w:r>
      <w:r w:rsidRPr="001C6F61">
        <w:rPr>
          <w:rtl/>
        </w:rPr>
        <w:t xml:space="preserve">اولنا بالدراسة والتحليل </w:t>
      </w:r>
      <w:r>
        <w:rPr>
          <w:rtl/>
        </w:rPr>
        <w:t>مسألة المهر من الزاوية المذكورة</w:t>
      </w:r>
      <w:r w:rsidRPr="001C6F61">
        <w:rPr>
          <w:rtl/>
        </w:rPr>
        <w:t xml:space="preserve"> لوجدنا أنّ المهر في المنظومة الحقوقيّة ال</w:t>
      </w:r>
      <w:r>
        <w:rPr>
          <w:rtl/>
        </w:rPr>
        <w:t>إسلام</w:t>
      </w:r>
      <w:r w:rsidRPr="001C6F61">
        <w:rPr>
          <w:rtl/>
        </w:rPr>
        <w:t>يّة لا يترتّب عليه شيء من الشرائط والأحكام التي تترتّب على العوض</w:t>
      </w:r>
      <w:r w:rsidRPr="007F5B58">
        <w:rPr>
          <w:rtl/>
        </w:rPr>
        <w:t>،</w:t>
      </w:r>
      <w:r w:rsidRPr="001C6F61">
        <w:rPr>
          <w:rtl/>
        </w:rPr>
        <w:t xml:space="preserve"> </w:t>
      </w:r>
      <w:r>
        <w:rPr>
          <w:rtl/>
        </w:rPr>
        <w:t>بل غاية ما هناك</w:t>
      </w:r>
      <w:r w:rsidRPr="001C6F61">
        <w:rPr>
          <w:rtl/>
        </w:rPr>
        <w:t xml:space="preserve"> أنّ الروايات الواردة أعطت الزوجة الخيار في أن تطالب لنفسها بالمهر قبل مباشرتها للحياة الزوجيّة المشتركة</w:t>
      </w:r>
      <w:r w:rsidRPr="007F5B58">
        <w:rPr>
          <w:rtl/>
        </w:rPr>
        <w:t>،</w:t>
      </w:r>
      <w:r w:rsidRPr="001C6F61">
        <w:rPr>
          <w:rtl/>
        </w:rPr>
        <w:t xml:space="preserve"> وهو ما اشتهر التعبير عنه ـ كما تقدّم ـ </w:t>
      </w:r>
      <w:r>
        <w:rPr>
          <w:rFonts w:hint="cs"/>
          <w:rtl/>
        </w:rPr>
        <w:t xml:space="preserve">بـ </w:t>
      </w:r>
      <w:r w:rsidRPr="001C6F61">
        <w:rPr>
          <w:rtl/>
        </w:rPr>
        <w:t xml:space="preserve">حقّ الحبس. </w:t>
      </w:r>
    </w:p>
    <w:p w:rsidR="00AC628B" w:rsidRPr="001C6F61" w:rsidRDefault="00AC628B" w:rsidP="00AC628B">
      <w:pPr>
        <w:pStyle w:val="ac"/>
        <w:rPr>
          <w:rtl/>
        </w:rPr>
      </w:pPr>
      <w:r w:rsidRPr="001C6F61">
        <w:rPr>
          <w:rtl/>
        </w:rPr>
        <w:t>والذي يبدو لنا أنّ منشأ هذا الحكم هو مقتضيات الهبة والتمليكات المجّانيّة في حقوق ال</w:t>
      </w:r>
      <w:r>
        <w:rPr>
          <w:rtl/>
        </w:rPr>
        <w:t>إسلام</w:t>
      </w:r>
      <w:r w:rsidRPr="007F5B58">
        <w:rPr>
          <w:rtl/>
        </w:rPr>
        <w:t>،</w:t>
      </w:r>
      <w:r w:rsidRPr="001C6F61">
        <w:rPr>
          <w:rtl/>
        </w:rPr>
        <w:t xml:space="preserve"> وليس له ربط أصلاً بكون المهر عوضاً في عقد النكاح.</w:t>
      </w:r>
    </w:p>
    <w:p w:rsidR="00AC628B" w:rsidRPr="00E32EF1" w:rsidRDefault="00AC628B" w:rsidP="00E32EF1">
      <w:pPr>
        <w:pStyle w:val="afffffc"/>
        <w:rPr>
          <w:sz w:val="18"/>
          <w:szCs w:val="16"/>
          <w:rtl/>
        </w:rPr>
      </w:pPr>
    </w:p>
    <w:p w:rsidR="00AC628B" w:rsidRPr="001C6F61" w:rsidRDefault="00AC628B" w:rsidP="00E32EF1">
      <w:pPr>
        <w:pStyle w:val="2"/>
        <w:rPr>
          <w:rtl/>
        </w:rPr>
      </w:pPr>
      <w:bookmarkStart w:id="395" w:name="_Toc275128111"/>
      <w:r>
        <w:rPr>
          <w:rtl/>
        </w:rPr>
        <w:t>ب ـ</w:t>
      </w:r>
      <w:r w:rsidRPr="001C6F61">
        <w:rPr>
          <w:rtl/>
        </w:rPr>
        <w:t xml:space="preserve"> المهر </w:t>
      </w:r>
      <w:r>
        <w:rPr>
          <w:rtl/>
        </w:rPr>
        <w:t>وثيقة للنكاح</w:t>
      </w:r>
      <w:bookmarkEnd w:id="395"/>
    </w:p>
    <w:p w:rsidR="00AC628B" w:rsidRPr="001C6F61" w:rsidRDefault="00AC628B" w:rsidP="00BE5CF5">
      <w:pPr>
        <w:pStyle w:val="ac"/>
        <w:rPr>
          <w:rtl/>
        </w:rPr>
      </w:pPr>
      <w:r w:rsidRPr="001C6F61">
        <w:rPr>
          <w:rtl/>
        </w:rPr>
        <w:t xml:space="preserve">تقضي هذه النظريّة بأنّ الغرض من إقرار </w:t>
      </w:r>
      <w:r>
        <w:rPr>
          <w:rtl/>
        </w:rPr>
        <w:t>المهر</w:t>
      </w:r>
      <w:r w:rsidRPr="001C6F61">
        <w:rPr>
          <w:rtl/>
        </w:rPr>
        <w:t xml:space="preserve"> هو منع الزوج من هجران الزوجة وطلاقها</w:t>
      </w:r>
      <w:r w:rsidRPr="007F5B58">
        <w:rPr>
          <w:rtl/>
        </w:rPr>
        <w:t>،</w:t>
      </w:r>
      <w:r w:rsidRPr="001C6F61">
        <w:rPr>
          <w:rtl/>
        </w:rPr>
        <w:t xml:space="preserve"> فالمهر هو ما يربط الرجل ويُلزمه بحفظ الأُسرة</w:t>
      </w:r>
      <w:r w:rsidRPr="007F5B58">
        <w:rPr>
          <w:rtl/>
        </w:rPr>
        <w:t>،</w:t>
      </w:r>
      <w:r w:rsidRPr="001C6F61">
        <w:rPr>
          <w:rtl/>
        </w:rPr>
        <w:t xml:space="preserve"> ويحول دون تفكّكها وضياعها.</w:t>
      </w:r>
    </w:p>
    <w:p w:rsidR="00AC628B" w:rsidRPr="001C6F61" w:rsidRDefault="00AC628B" w:rsidP="00E32EF1">
      <w:pPr>
        <w:pStyle w:val="ac"/>
        <w:spacing w:line="209" w:lineRule="auto"/>
        <w:rPr>
          <w:rtl/>
        </w:rPr>
      </w:pPr>
      <w:r>
        <w:rPr>
          <w:rtl/>
        </w:rPr>
        <w:lastRenderedPageBreak/>
        <w:t>وبناءً على هذه النظريّة</w:t>
      </w:r>
      <w:r w:rsidRPr="001C6F61">
        <w:rPr>
          <w:rtl/>
        </w:rPr>
        <w:t xml:space="preserve"> فإنّ حقّ المطالبة لا يثبت للزوجة بمجرّد حصول العقد</w:t>
      </w:r>
      <w:r w:rsidRPr="007F5B58">
        <w:rPr>
          <w:rtl/>
        </w:rPr>
        <w:t>،</w:t>
      </w:r>
      <w:r w:rsidRPr="001C6F61">
        <w:rPr>
          <w:rtl/>
        </w:rPr>
        <w:t xml:space="preserve"> وإنّما هو وسيلة لضمان بقاء الأسرة</w:t>
      </w:r>
      <w:r w:rsidRPr="007F5B58">
        <w:rPr>
          <w:rtl/>
        </w:rPr>
        <w:t>،</w:t>
      </w:r>
      <w:r w:rsidRPr="001C6F61">
        <w:rPr>
          <w:rtl/>
        </w:rPr>
        <w:t xml:space="preserve"> وعدم انفصال الزوج عن زوجته انفصالاً اعتباطيّاً.</w:t>
      </w:r>
      <w:r>
        <w:rPr>
          <w:rtl/>
        </w:rPr>
        <w:t xml:space="preserve"> وفي صورة حصول الانفصال</w:t>
      </w:r>
      <w:r w:rsidRPr="001C6F61">
        <w:rPr>
          <w:rtl/>
        </w:rPr>
        <w:t xml:space="preserve"> يمكن للزوجة الاعتماد على المهر في حماية نفسها</w:t>
      </w:r>
      <w:r>
        <w:rPr>
          <w:rFonts w:hint="cs"/>
          <w:rtl/>
        </w:rPr>
        <w:t>.</w:t>
      </w:r>
      <w:r w:rsidRPr="001C6F61">
        <w:rPr>
          <w:rtl/>
        </w:rPr>
        <w:t xml:space="preserve"> فهي بمطالبتها للزوج بدفع المهر يمكن أن تمنعه من التصرّف معها بإجحاف</w:t>
      </w:r>
      <w:r w:rsidRPr="007F5B58">
        <w:rPr>
          <w:rtl/>
        </w:rPr>
        <w:t>،</w:t>
      </w:r>
      <w:r w:rsidRPr="001C6F61">
        <w:rPr>
          <w:rtl/>
        </w:rPr>
        <w:t xml:space="preserve"> والانفصال </w:t>
      </w:r>
      <w:r>
        <w:rPr>
          <w:rtl/>
        </w:rPr>
        <w:t>عنها اعتباطاً</w:t>
      </w:r>
      <w:r w:rsidRPr="007F5B58">
        <w:rPr>
          <w:rtl/>
        </w:rPr>
        <w:t>؛</w:t>
      </w:r>
      <w:r w:rsidRPr="001C6F61">
        <w:rPr>
          <w:rtl/>
        </w:rPr>
        <w:t xml:space="preserve"> لعجزه عن الدفع والسداد</w:t>
      </w:r>
      <w:r w:rsidRPr="007F5B58">
        <w:rPr>
          <w:rtl/>
        </w:rPr>
        <w:t>،</w:t>
      </w:r>
      <w:r w:rsidRPr="001C6F61">
        <w:rPr>
          <w:rtl/>
        </w:rPr>
        <w:t xml:space="preserve"> وقد ورد في المادّة </w:t>
      </w:r>
      <w:r>
        <w:rPr>
          <w:rtl/>
        </w:rPr>
        <w:t>الأولى</w:t>
      </w:r>
      <w:r w:rsidRPr="001C6F61">
        <w:rPr>
          <w:rtl/>
        </w:rPr>
        <w:t xml:space="preserve"> من قانون إصلاح المقرّرات المرتبطة بالطلاق أنّ صحّة تقدّم الزوج بطلب الطلاق منوطة بدفعه كافّة الحقوق الماليّة للزوجة</w:t>
      </w:r>
      <w:r w:rsidRPr="007F5B58">
        <w:rPr>
          <w:rtl/>
        </w:rPr>
        <w:t>،</w:t>
      </w:r>
      <w:r w:rsidRPr="001C6F61">
        <w:rPr>
          <w:rtl/>
        </w:rPr>
        <w:t xml:space="preserve"> ومن جملتها</w:t>
      </w:r>
      <w:r w:rsidRPr="007F5B58">
        <w:rPr>
          <w:rtl/>
        </w:rPr>
        <w:t>:</w:t>
      </w:r>
      <w:r w:rsidRPr="001C6F61">
        <w:rPr>
          <w:rtl/>
        </w:rPr>
        <w:t xml:space="preserve"> المهر. كما ورد في التبصرة رقم 3</w:t>
      </w:r>
      <w:r w:rsidRPr="007F5B58">
        <w:rPr>
          <w:rtl/>
        </w:rPr>
        <w:t>:</w:t>
      </w:r>
      <w:r w:rsidRPr="001C6F61">
        <w:rPr>
          <w:rtl/>
        </w:rPr>
        <w:t xml:space="preserve"> «أنّ إجراء صيغة الطلاق وتثبيتها في السجلاّت الرسميّة موقوف على تأدية الحقوق الشرعيّة والقانونيّة للزوجة (أعمّ من المهر والنفقة وجهاز العروس وغير ذلك</w:t>
      </w:r>
      <w:r>
        <w:rPr>
          <w:rtl/>
        </w:rPr>
        <w:t>.</w:t>
      </w:r>
      <w:r w:rsidRPr="001C6F61">
        <w:rPr>
          <w:rtl/>
        </w:rPr>
        <w:t xml:space="preserve">.) بصورة نقديّة». </w:t>
      </w:r>
    </w:p>
    <w:p w:rsidR="00AC628B" w:rsidRPr="001C6F61" w:rsidRDefault="00AC628B" w:rsidP="00E32EF1">
      <w:pPr>
        <w:pStyle w:val="ac"/>
        <w:spacing w:line="209" w:lineRule="auto"/>
        <w:rPr>
          <w:rtl/>
        </w:rPr>
      </w:pPr>
      <w:r w:rsidRPr="001C6F61">
        <w:rPr>
          <w:rtl/>
        </w:rPr>
        <w:t>وطبقاً لهذه النظريّة</w:t>
      </w:r>
      <w:r>
        <w:rPr>
          <w:rtl/>
        </w:rPr>
        <w:t xml:space="preserve"> أيضاً </w:t>
      </w:r>
      <w:r w:rsidRPr="001C6F61">
        <w:rPr>
          <w:rtl/>
        </w:rPr>
        <w:t>كلّم</w:t>
      </w:r>
      <w:r>
        <w:rPr>
          <w:rtl/>
        </w:rPr>
        <w:t>ا ارتفعت قيمة المهر وعلا مقداره</w:t>
      </w:r>
      <w:r w:rsidRPr="001C6F61">
        <w:rPr>
          <w:rtl/>
        </w:rPr>
        <w:t xml:space="preserve"> كان ذلك أفضل </w:t>
      </w:r>
      <w:r>
        <w:rPr>
          <w:rtl/>
        </w:rPr>
        <w:t>وأصلح للمرأة</w:t>
      </w:r>
      <w:r w:rsidRPr="007F5B58">
        <w:rPr>
          <w:rtl/>
        </w:rPr>
        <w:t>؛</w:t>
      </w:r>
      <w:r w:rsidRPr="001C6F61">
        <w:rPr>
          <w:rtl/>
        </w:rPr>
        <w:t xml:space="preserve"> لأنّ ارتفاع قيمة المهر يُفقد الرجل القدرة الماليّة على السداد</w:t>
      </w:r>
      <w:r w:rsidRPr="007F5B58">
        <w:rPr>
          <w:rtl/>
        </w:rPr>
        <w:t>،</w:t>
      </w:r>
      <w:r>
        <w:rPr>
          <w:rtl/>
        </w:rPr>
        <w:t xml:space="preserve"> وبالتالي</w:t>
      </w:r>
      <w:r w:rsidRPr="001C6F61">
        <w:rPr>
          <w:rtl/>
        </w:rPr>
        <w:t xml:space="preserve"> </w:t>
      </w:r>
      <w:r>
        <w:rPr>
          <w:rtl/>
        </w:rPr>
        <w:t>ي</w:t>
      </w:r>
      <w:r w:rsidRPr="001C6F61">
        <w:rPr>
          <w:rtl/>
        </w:rPr>
        <w:t>جعل</w:t>
      </w:r>
      <w:r>
        <w:rPr>
          <w:rtl/>
        </w:rPr>
        <w:t>ه</w:t>
      </w:r>
      <w:r w:rsidRPr="001C6F61">
        <w:rPr>
          <w:rtl/>
        </w:rPr>
        <w:t xml:space="preserve"> يُعرض عن إيقاع الطلاق والانفصال رأساً.</w:t>
      </w:r>
    </w:p>
    <w:p w:rsidR="00AC628B" w:rsidRDefault="00AC628B" w:rsidP="00E32EF1">
      <w:pPr>
        <w:pStyle w:val="ac"/>
        <w:spacing w:line="209" w:lineRule="auto"/>
        <w:rPr>
          <w:rtl/>
        </w:rPr>
      </w:pPr>
      <w:r w:rsidRPr="001C6F61">
        <w:rPr>
          <w:rtl/>
        </w:rPr>
        <w:t>وهذه النظريّة هي النظر</w:t>
      </w:r>
      <w:r>
        <w:rPr>
          <w:rtl/>
        </w:rPr>
        <w:t>يّة الرائجة والمتداولة عرفاً</w:t>
      </w:r>
      <w:r>
        <w:rPr>
          <w:rFonts w:hint="cs"/>
          <w:rtl/>
        </w:rPr>
        <w:t>.</w:t>
      </w:r>
      <w:r w:rsidRPr="001C6F61">
        <w:rPr>
          <w:rtl/>
        </w:rPr>
        <w:t xml:space="preserve"> وبإلقاء نظر</w:t>
      </w:r>
      <w:r>
        <w:rPr>
          <w:rtl/>
        </w:rPr>
        <w:t>ة علميّة دقيقة على الوضع الراهن</w:t>
      </w:r>
      <w:r w:rsidRPr="001C6F61">
        <w:rPr>
          <w:rtl/>
        </w:rPr>
        <w:t xml:space="preserve"> نستطيع أن نعثر بين كلّ ثلاثمائة شخص من المثقّ</w:t>
      </w:r>
      <w:r>
        <w:rPr>
          <w:rtl/>
        </w:rPr>
        <w:t>فين والمحصّلين على نسبة تتجاوز</w:t>
      </w:r>
      <w:r w:rsidRPr="001C6F61">
        <w:rPr>
          <w:rtl/>
        </w:rPr>
        <w:t>90% منهم يرون أنّ الهدف الرئيسيّ من مبدأ ارتفاع المهور إنّما هو إيجاد الضمانة للمرأة في زواجها</w:t>
      </w:r>
      <w:r w:rsidRPr="00815C4C">
        <w:rPr>
          <w:rFonts w:cs="Taher"/>
          <w:vertAlign w:val="superscript"/>
          <w:rtl/>
        </w:rPr>
        <w:t>(</w:t>
      </w:r>
      <w:r w:rsidRPr="00815C4C">
        <w:rPr>
          <w:rFonts w:cs="Taher"/>
          <w:vertAlign w:val="superscript"/>
          <w:rtl/>
        </w:rPr>
        <w:footnoteReference w:id="767"/>
      </w:r>
      <w:r w:rsidRPr="00815C4C">
        <w:rPr>
          <w:rFonts w:cs="Taher"/>
          <w:vertAlign w:val="superscript"/>
          <w:rtl/>
        </w:rPr>
        <w:t>)</w:t>
      </w:r>
      <w:r w:rsidRPr="001C6F61">
        <w:rPr>
          <w:rtl/>
        </w:rPr>
        <w:t xml:space="preserve">. </w:t>
      </w:r>
    </w:p>
    <w:p w:rsidR="00AC628B" w:rsidRPr="001C6F61" w:rsidRDefault="00AC628B" w:rsidP="00AC628B">
      <w:pPr>
        <w:pStyle w:val="ac"/>
        <w:rPr>
          <w:rtl/>
        </w:rPr>
      </w:pPr>
      <w:r>
        <w:rPr>
          <w:rtl/>
        </w:rPr>
        <w:t>وعلى ضوء هذه النظريّة</w:t>
      </w:r>
      <w:r w:rsidRPr="001C6F61">
        <w:rPr>
          <w:rtl/>
        </w:rPr>
        <w:t xml:space="preserve"> </w:t>
      </w:r>
      <w:r>
        <w:rPr>
          <w:rtl/>
        </w:rPr>
        <w:t>فإن أهل</w:t>
      </w:r>
      <w:r w:rsidRPr="001C6F61">
        <w:rPr>
          <w:rtl/>
        </w:rPr>
        <w:t xml:space="preserve"> الزوجة يسعون من الناحية العمليّة إلى زيادة مقدار المهر والرفع من قيمته</w:t>
      </w:r>
      <w:r w:rsidRPr="007F5B58">
        <w:rPr>
          <w:rtl/>
        </w:rPr>
        <w:t>،</w:t>
      </w:r>
      <w:r w:rsidRPr="001C6F61">
        <w:rPr>
          <w:rtl/>
        </w:rPr>
        <w:t xml:space="preserve"> بالرغم من أنّهم أثناء الاتّفاق على تعيين مقدار لا يضعون فكرة المطالبة بالمهر في بالهم أصلاً</w:t>
      </w:r>
      <w:r w:rsidRPr="007F5B58">
        <w:rPr>
          <w:rtl/>
        </w:rPr>
        <w:t>،</w:t>
      </w:r>
      <w:r w:rsidRPr="001C6F61">
        <w:rPr>
          <w:rtl/>
        </w:rPr>
        <w:t xml:space="preserve"> بل يعبّرون عن هذا المعنى بعباراتٍ من قبيل</w:t>
      </w:r>
      <w:r w:rsidRPr="007F5B58">
        <w:rPr>
          <w:rtl/>
        </w:rPr>
        <w:t>:</w:t>
      </w:r>
      <w:r w:rsidRPr="001C6F61">
        <w:rPr>
          <w:rtl/>
        </w:rPr>
        <w:t xml:space="preserve"> «لا أتى الله بيومٍ نضطرّ فيه إلى المطالبة بالمهر»</w:t>
      </w:r>
      <w:r w:rsidRPr="007F5B58">
        <w:rPr>
          <w:rtl/>
        </w:rPr>
        <w:t>،</w:t>
      </w:r>
      <w:r w:rsidRPr="001C6F61">
        <w:rPr>
          <w:rtl/>
        </w:rPr>
        <w:t xml:space="preserve"> وإنّما هم يطالبون برفع قيمة المهر حمايةً للزوجة</w:t>
      </w:r>
      <w:r w:rsidRPr="007F5B58">
        <w:rPr>
          <w:rtl/>
        </w:rPr>
        <w:t>،</w:t>
      </w:r>
      <w:r w:rsidRPr="001C6F61">
        <w:rPr>
          <w:rtl/>
        </w:rPr>
        <w:t xml:space="preserve"> وحرصاً منهم على المنع من وقوع الطلاق بحقّها اعتباطاً وعبثاً.</w:t>
      </w:r>
    </w:p>
    <w:p w:rsidR="00AC628B" w:rsidRPr="001C6F61" w:rsidRDefault="00AC628B" w:rsidP="00E32EF1">
      <w:pPr>
        <w:pStyle w:val="ac"/>
        <w:spacing w:line="199" w:lineRule="auto"/>
        <w:rPr>
          <w:rtl/>
        </w:rPr>
      </w:pPr>
      <w:r w:rsidRPr="001C6F61">
        <w:rPr>
          <w:rtl/>
        </w:rPr>
        <w:t>وكذلك بالنسبة إلى الزوج</w:t>
      </w:r>
      <w:r w:rsidRPr="007F5B58">
        <w:rPr>
          <w:rtl/>
        </w:rPr>
        <w:t>،</w:t>
      </w:r>
      <w:r w:rsidRPr="001C6F61">
        <w:rPr>
          <w:rtl/>
        </w:rPr>
        <w:t xml:space="preserve"> فإنّه لدى حضوره في مجلس تعيين ا</w:t>
      </w:r>
      <w:r>
        <w:rPr>
          <w:rtl/>
        </w:rPr>
        <w:t xml:space="preserve">لمهر والاتّفاق على </w:t>
      </w:r>
      <w:r>
        <w:rPr>
          <w:rtl/>
        </w:rPr>
        <w:lastRenderedPageBreak/>
        <w:t>تعيين مقداره</w:t>
      </w:r>
      <w:r w:rsidRPr="001C6F61">
        <w:rPr>
          <w:rtl/>
        </w:rPr>
        <w:t xml:space="preserve"> لا ترد إلى ذهنه أصلاً فكرة أن يصل في يوم من الأيّام إلى اللّحظة التي يُضطرّ فيها إلى الوفاء بما تعهّد به من أداء المهر ودفعه</w:t>
      </w:r>
      <w:r w:rsidRPr="007F5B58">
        <w:rPr>
          <w:rtl/>
        </w:rPr>
        <w:t>،</w:t>
      </w:r>
      <w:r w:rsidRPr="001C6F61">
        <w:rPr>
          <w:rtl/>
        </w:rPr>
        <w:t xml:space="preserve"> </w:t>
      </w:r>
      <w:r>
        <w:rPr>
          <w:rtl/>
        </w:rPr>
        <w:t>ونراه في هذه الل</w:t>
      </w:r>
      <w:r w:rsidRPr="001C6F61">
        <w:rPr>
          <w:rtl/>
        </w:rPr>
        <w:t xml:space="preserve">حظات التي يفيض فيها حبّاً للمرأة التي </w:t>
      </w:r>
      <w:r>
        <w:rPr>
          <w:rtl/>
        </w:rPr>
        <w:t>تعلّق قلبه بها</w:t>
      </w:r>
      <w:r w:rsidRPr="001C6F61">
        <w:rPr>
          <w:rtl/>
        </w:rPr>
        <w:t xml:space="preserve"> لا يعارض تعيين المهر بذلك المقدار المرتفع</w:t>
      </w:r>
      <w:r w:rsidRPr="007F5B58">
        <w:rPr>
          <w:rtl/>
        </w:rPr>
        <w:t>،</w:t>
      </w:r>
      <w:r w:rsidRPr="001C6F61">
        <w:rPr>
          <w:rtl/>
        </w:rPr>
        <w:t xml:space="preserve"> على أساس أنّه لن يبادر إلى طلاق زوجته أبداً</w:t>
      </w:r>
      <w:r w:rsidRPr="007F5B58">
        <w:rPr>
          <w:rtl/>
        </w:rPr>
        <w:t>،</w:t>
      </w:r>
      <w:r w:rsidRPr="001C6F61">
        <w:rPr>
          <w:rtl/>
        </w:rPr>
        <w:t xml:space="preserve"> حتى يكون مرغماً على دفع هذا المهر المرتفع</w:t>
      </w:r>
      <w:r w:rsidRPr="007F5B58">
        <w:rPr>
          <w:rtl/>
        </w:rPr>
        <w:t>،</w:t>
      </w:r>
      <w:r w:rsidRPr="001C6F61">
        <w:rPr>
          <w:rtl/>
        </w:rPr>
        <w:t xml:space="preserve"> كما تشير إلى </w:t>
      </w:r>
      <w:r>
        <w:rPr>
          <w:rtl/>
        </w:rPr>
        <w:t>هذا عبارة لطيفة تتداولها الألسن</w:t>
      </w:r>
      <w:r w:rsidRPr="001C6F61">
        <w:rPr>
          <w:rtl/>
        </w:rPr>
        <w:t xml:space="preserve"> عادةً على مائدة العرس والزواج</w:t>
      </w:r>
      <w:r w:rsidRPr="007F5B58">
        <w:rPr>
          <w:rtl/>
        </w:rPr>
        <w:t>،</w:t>
      </w:r>
      <w:r w:rsidRPr="001C6F61">
        <w:rPr>
          <w:rtl/>
        </w:rPr>
        <w:t xml:space="preserve"> وهي</w:t>
      </w:r>
      <w:r w:rsidRPr="007F5B58">
        <w:rPr>
          <w:rtl/>
        </w:rPr>
        <w:t>:</w:t>
      </w:r>
      <w:r w:rsidRPr="001C6F61">
        <w:rPr>
          <w:rtl/>
        </w:rPr>
        <w:t xml:space="preserve"> «من أعطى</w:t>
      </w:r>
      <w:r>
        <w:rPr>
          <w:rtl/>
        </w:rPr>
        <w:t>؟!</w:t>
      </w:r>
      <w:r w:rsidRPr="001C6F61">
        <w:rPr>
          <w:rtl/>
        </w:rPr>
        <w:t xml:space="preserve"> ومن أخذ؟! وإنّما هو أمر الله تعالى وسنّة نبيّه»</w:t>
      </w:r>
      <w:r w:rsidRPr="007F5B58">
        <w:rPr>
          <w:rtl/>
        </w:rPr>
        <w:t>،</w:t>
      </w:r>
      <w:r w:rsidRPr="001C6F61">
        <w:rPr>
          <w:rtl/>
        </w:rPr>
        <w:t xml:space="preserve"> وبأمثال هذه العبارة يتحوّل هذا التعهّد من عبء ثقيل على الزوج إلى أمر عاطفيّ ومشاعر دافئة.</w:t>
      </w:r>
    </w:p>
    <w:p w:rsidR="00AC628B" w:rsidRPr="001C6F61" w:rsidRDefault="00AC628B" w:rsidP="00E32EF1">
      <w:pPr>
        <w:pStyle w:val="ac"/>
        <w:spacing w:line="199" w:lineRule="auto"/>
        <w:rPr>
          <w:rtl/>
        </w:rPr>
      </w:pPr>
      <w:r>
        <w:rPr>
          <w:rtl/>
        </w:rPr>
        <w:t>وبحسب الظاهر</w:t>
      </w:r>
      <w:r w:rsidRPr="001C6F61">
        <w:rPr>
          <w:rtl/>
        </w:rPr>
        <w:t xml:space="preserve"> فإنّ رواج العمل بهذه النظريّة في أوساط العرف يُعدّ أحد أهمّ الأسباب التي تؤدّي إلى إقدام الناس على تسمية المهور المرتفعة</w:t>
      </w:r>
      <w:r w:rsidRPr="007F5B58">
        <w:rPr>
          <w:rtl/>
        </w:rPr>
        <w:t>،</w:t>
      </w:r>
      <w:r w:rsidRPr="001C6F61">
        <w:rPr>
          <w:rtl/>
        </w:rPr>
        <w:t xml:space="preserve"> حتى أنّ بعضهم ـ متأثّراً بهذه النظريّة ـ ذهب إلى أنّ المهر هو العامل الأساسيّ الذي يشكّ</w:t>
      </w:r>
      <w:r>
        <w:rPr>
          <w:rtl/>
        </w:rPr>
        <w:t>ل ضمانةً لدوام النكاح واستمراره</w:t>
      </w:r>
      <w:r w:rsidRPr="00815C4C">
        <w:rPr>
          <w:rFonts w:cs="Taher"/>
          <w:vertAlign w:val="superscript"/>
          <w:rtl/>
        </w:rPr>
        <w:t>(</w:t>
      </w:r>
      <w:r w:rsidRPr="00815C4C">
        <w:rPr>
          <w:rFonts w:cs="Taher"/>
          <w:vertAlign w:val="superscript"/>
          <w:rtl/>
        </w:rPr>
        <w:footnoteReference w:id="768"/>
      </w:r>
      <w:r w:rsidRPr="00815C4C">
        <w:rPr>
          <w:rFonts w:cs="Taher"/>
          <w:vertAlign w:val="superscript"/>
          <w:rtl/>
        </w:rPr>
        <w:t>)</w:t>
      </w:r>
      <w:r>
        <w:rPr>
          <w:rtl/>
        </w:rPr>
        <w:t xml:space="preserve">. </w:t>
      </w:r>
    </w:p>
    <w:p w:rsidR="00AC628B" w:rsidRPr="001C6F61" w:rsidRDefault="00AC628B" w:rsidP="00E32EF1">
      <w:pPr>
        <w:pStyle w:val="ac"/>
        <w:spacing w:line="199" w:lineRule="auto"/>
        <w:rPr>
          <w:rtl/>
        </w:rPr>
      </w:pPr>
      <w:r>
        <w:rPr>
          <w:rtl/>
        </w:rPr>
        <w:t>ليس</w:t>
      </w:r>
      <w:r w:rsidRPr="001C6F61">
        <w:rPr>
          <w:rtl/>
        </w:rPr>
        <w:t xml:space="preserve"> هدف ال</w:t>
      </w:r>
      <w:r>
        <w:rPr>
          <w:rtl/>
        </w:rPr>
        <w:t>إسلام</w:t>
      </w:r>
      <w:r w:rsidRPr="001C6F61">
        <w:rPr>
          <w:rtl/>
        </w:rPr>
        <w:t xml:space="preserve"> من إيجا</w:t>
      </w:r>
      <w:r>
        <w:rPr>
          <w:rtl/>
        </w:rPr>
        <w:t>ب واعتبار المهر في النكاح</w:t>
      </w:r>
      <w:r w:rsidRPr="001C6F61">
        <w:rPr>
          <w:rtl/>
        </w:rPr>
        <w:t xml:space="preserve"> إيجاد الضمانة لبقاء الأسرة وعدم تفكّكها</w:t>
      </w:r>
      <w:r w:rsidRPr="007F5B58">
        <w:rPr>
          <w:rtl/>
        </w:rPr>
        <w:t>،</w:t>
      </w:r>
      <w:r w:rsidRPr="001C6F61">
        <w:rPr>
          <w:rtl/>
        </w:rPr>
        <w:t xml:space="preserve"> بل إنّ الواقع العمليّ شاهد ـ أيضاً ـ على أنّ غلاء المهور لا يوجب بالضرورة ا</w:t>
      </w:r>
      <w:r>
        <w:rPr>
          <w:rtl/>
        </w:rPr>
        <w:t>لحفاظ على ثبات الأسرة وحيويّتها</w:t>
      </w:r>
      <w:r w:rsidRPr="007F5B58">
        <w:rPr>
          <w:rtl/>
        </w:rPr>
        <w:t>؛</w:t>
      </w:r>
      <w:r w:rsidRPr="001C6F61">
        <w:rPr>
          <w:rtl/>
        </w:rPr>
        <w:t xml:space="preserve"> إذ بالرغم من أنّ الإحصائيّات الرسميّة للطلاق تُظهر أنّ نسبة تقدّم الأزواج بطلبات الطلاق قد انخفضت كثيراً منذ زمن إقرار قانون المادّة </w:t>
      </w:r>
      <w:r>
        <w:rPr>
          <w:rtl/>
        </w:rPr>
        <w:t>الأولى</w:t>
      </w:r>
      <w:r w:rsidRPr="001C6F61">
        <w:rPr>
          <w:rtl/>
        </w:rPr>
        <w:t xml:space="preserve"> من قانون إصلاح مقرّرات الطلاق عام 1371</w:t>
      </w:r>
      <w:r w:rsidRPr="007F5B58">
        <w:rPr>
          <w:rtl/>
        </w:rPr>
        <w:t>،</w:t>
      </w:r>
      <w:r w:rsidRPr="001C6F61">
        <w:rPr>
          <w:rtl/>
        </w:rPr>
        <w:t xml:space="preserve"> إلاّ أنّه لا يمكن البناء على هذا الإحصاء للحكم على هذه المقرّرات القانونيّة والنظرة العرفيّة بأنّها كانت موفّقة في السيطر</w:t>
      </w:r>
      <w:r>
        <w:rPr>
          <w:rtl/>
        </w:rPr>
        <w:t>ة على ظاهرة الطلاق المشؤومة</w:t>
      </w:r>
      <w:r w:rsidRPr="007F5B58">
        <w:rPr>
          <w:rtl/>
        </w:rPr>
        <w:t>؛</w:t>
      </w:r>
      <w:r w:rsidRPr="001C6F61">
        <w:rPr>
          <w:rtl/>
        </w:rPr>
        <w:t xml:space="preserve"> لأنّ الأسرة كيان لا تقوم له قائمة ولا يُكتب له البقاء إلاّ على أساس موازين العشق والتفاهم والتعاون المتبادل بين الزوجين</w:t>
      </w:r>
      <w:r w:rsidRPr="007F5B58">
        <w:rPr>
          <w:rtl/>
        </w:rPr>
        <w:t>،</w:t>
      </w:r>
      <w:r w:rsidRPr="001C6F61">
        <w:rPr>
          <w:rtl/>
        </w:rPr>
        <w:t xml:space="preserve"> ولا يمكن لأيّ ضغطٍ</w:t>
      </w:r>
      <w:r w:rsidRPr="007F5B58">
        <w:rPr>
          <w:rtl/>
        </w:rPr>
        <w:t>،</w:t>
      </w:r>
      <w:r w:rsidRPr="001C6F61">
        <w:rPr>
          <w:rtl/>
        </w:rPr>
        <w:t xml:space="preserve"> كائناً ما كان</w:t>
      </w:r>
      <w:r w:rsidRPr="007F5B58">
        <w:rPr>
          <w:rtl/>
        </w:rPr>
        <w:t>،</w:t>
      </w:r>
      <w:r w:rsidRPr="001C6F61">
        <w:rPr>
          <w:rtl/>
        </w:rPr>
        <w:t xml:space="preserve"> حقوقيّاً أو فيزيائيّاً</w:t>
      </w:r>
      <w:r w:rsidRPr="007F5B58">
        <w:rPr>
          <w:rtl/>
        </w:rPr>
        <w:t>،</w:t>
      </w:r>
      <w:r w:rsidRPr="001C6F61">
        <w:rPr>
          <w:rtl/>
        </w:rPr>
        <w:t xml:space="preserve"> أن يقف مانعاً من تفكّك الأسرة </w:t>
      </w:r>
      <w:r>
        <w:rPr>
          <w:rtl/>
        </w:rPr>
        <w:t>وانفراط عقدها. ومن هنا</w:t>
      </w:r>
      <w:r w:rsidRPr="001C6F61">
        <w:rPr>
          <w:rtl/>
        </w:rPr>
        <w:t xml:space="preserve"> فلو أنّ الزوج ـ لسببٍ أو لآخر ـ لم يكن راغباً في المضيّ بحياته المشتركة مع </w:t>
      </w:r>
      <w:r>
        <w:rPr>
          <w:rtl/>
        </w:rPr>
        <w:t>زوجته تحت سقف واحد</w:t>
      </w:r>
      <w:r w:rsidRPr="001C6F61">
        <w:rPr>
          <w:rtl/>
        </w:rPr>
        <w:t xml:space="preserve"> فإنّ</w:t>
      </w:r>
      <w:r>
        <w:rPr>
          <w:rtl/>
        </w:rPr>
        <w:t>ه</w:t>
      </w:r>
      <w:r w:rsidRPr="001C6F61">
        <w:rPr>
          <w:rtl/>
        </w:rPr>
        <w:t xml:space="preserve"> </w:t>
      </w:r>
      <w:r>
        <w:rPr>
          <w:rtl/>
        </w:rPr>
        <w:t xml:space="preserve">ـ </w:t>
      </w:r>
      <w:r w:rsidRPr="001C6F61">
        <w:rPr>
          <w:rtl/>
        </w:rPr>
        <w:t>وبدلاً من اللّجوء إلى المحكمة لتقدي</w:t>
      </w:r>
      <w:r>
        <w:rPr>
          <w:rtl/>
        </w:rPr>
        <w:t>م طلبٍ بالطلاق</w:t>
      </w:r>
      <w:r w:rsidRPr="001C6F61">
        <w:rPr>
          <w:rtl/>
        </w:rPr>
        <w:t xml:space="preserve"> </w:t>
      </w:r>
      <w:r>
        <w:rPr>
          <w:rtl/>
        </w:rPr>
        <w:t xml:space="preserve">ـ </w:t>
      </w:r>
      <w:r w:rsidRPr="001C6F61">
        <w:rPr>
          <w:rtl/>
        </w:rPr>
        <w:t xml:space="preserve">قد يُقدم على </w:t>
      </w:r>
      <w:r>
        <w:rPr>
          <w:rtl/>
        </w:rPr>
        <w:t>التشديد</w:t>
      </w:r>
      <w:r w:rsidRPr="001C6F61">
        <w:rPr>
          <w:rtl/>
        </w:rPr>
        <w:t xml:space="preserve"> </w:t>
      </w:r>
      <w:r>
        <w:rPr>
          <w:rtl/>
        </w:rPr>
        <w:t>والتضييق على زوجته</w:t>
      </w:r>
      <w:r w:rsidRPr="001C6F61">
        <w:rPr>
          <w:rtl/>
        </w:rPr>
        <w:t xml:space="preserve"> بشتّى </w:t>
      </w:r>
      <w:r w:rsidRPr="001C6F61">
        <w:rPr>
          <w:rtl/>
        </w:rPr>
        <w:lastRenderedPageBreak/>
        <w:t>الوسائل والسبل</w:t>
      </w:r>
      <w:r w:rsidRPr="007F5B58">
        <w:rPr>
          <w:rtl/>
        </w:rPr>
        <w:t>،</w:t>
      </w:r>
      <w:r w:rsidRPr="001C6F61">
        <w:rPr>
          <w:rtl/>
        </w:rPr>
        <w:t xml:space="preserve"> واختلاق المبرّرات والأعذار الواهية</w:t>
      </w:r>
      <w:r w:rsidRPr="007F5B58">
        <w:rPr>
          <w:rtl/>
        </w:rPr>
        <w:t>،</w:t>
      </w:r>
      <w:r w:rsidRPr="001C6F61">
        <w:rPr>
          <w:rtl/>
        </w:rPr>
        <w:t xml:space="preserve"> ليُرغمها في نهاية الأمر على أن تكون هي السبّاقة والمبادرة إلى طلب الطلاق</w:t>
      </w:r>
      <w:r w:rsidRPr="007F5B58">
        <w:rPr>
          <w:rtl/>
        </w:rPr>
        <w:t>،</w:t>
      </w:r>
      <w:r w:rsidRPr="001C6F61">
        <w:rPr>
          <w:rtl/>
        </w:rPr>
        <w:t xml:space="preserve"> على أساس قواعد العسر والحرج</w:t>
      </w:r>
      <w:r w:rsidRPr="007F5B58">
        <w:rPr>
          <w:rtl/>
        </w:rPr>
        <w:t>،</w:t>
      </w:r>
      <w:r w:rsidRPr="001C6F61">
        <w:rPr>
          <w:rtl/>
        </w:rPr>
        <w:t xml:space="preserve"> أو على أساس ما لديها من الوكالة في الطلاق التي كانت قد أخذتها شرطاً في أصل العقد وم</w:t>
      </w:r>
      <w:r>
        <w:rPr>
          <w:rtl/>
        </w:rPr>
        <w:t>تـن</w:t>
      </w:r>
      <w:r w:rsidRPr="001C6F61">
        <w:rPr>
          <w:rtl/>
        </w:rPr>
        <w:t>ه</w:t>
      </w:r>
      <w:r w:rsidRPr="007F5B58">
        <w:rPr>
          <w:rtl/>
        </w:rPr>
        <w:t>،</w:t>
      </w:r>
      <w:r w:rsidRPr="001C6F61">
        <w:rPr>
          <w:rtl/>
        </w:rPr>
        <w:t xml:space="preserve"> الأمر الذي يعني أنّ ام</w:t>
      </w:r>
      <w:r>
        <w:rPr>
          <w:rtl/>
        </w:rPr>
        <w:t>تـن</w:t>
      </w:r>
      <w:r w:rsidRPr="001C6F61">
        <w:rPr>
          <w:rtl/>
        </w:rPr>
        <w:t>اع الزوج عن التقدّم إلى المحكمة بطلب الطلاق لا دلالة له أصلاً على أنّ هذ</w:t>
      </w:r>
      <w:r>
        <w:rPr>
          <w:rtl/>
        </w:rPr>
        <w:t>ه النظريّة لاقت نجاحاً وتوفيقاً</w:t>
      </w:r>
      <w:r w:rsidRPr="007F5B58">
        <w:rPr>
          <w:rtl/>
        </w:rPr>
        <w:t>،</w:t>
      </w:r>
      <w:r w:rsidRPr="001C6F61">
        <w:rPr>
          <w:rtl/>
        </w:rPr>
        <w:t xml:space="preserve"> بل لو تسنّى لنا</w:t>
      </w:r>
      <w:r>
        <w:rPr>
          <w:rtl/>
        </w:rPr>
        <w:t xml:space="preserve"> أن نقوم بإجراء دراسات ميدانيّة</w:t>
      </w:r>
      <w:r w:rsidRPr="001C6F61">
        <w:rPr>
          <w:rtl/>
        </w:rPr>
        <w:t xml:space="preserve"> لعرفنا حينئذٍ أنّ أكثر الحالات التي كانت الزوجة هي المبادرة إلى طلب الطل</w:t>
      </w:r>
      <w:r>
        <w:rPr>
          <w:rtl/>
        </w:rPr>
        <w:t>اق فيها هي حالات تـنشأ عن سلوك سيى</w:t>
      </w:r>
      <w:r w:rsidRPr="001C6F61">
        <w:rPr>
          <w:rtl/>
        </w:rPr>
        <w:t>ء يمارسه الزوج</w:t>
      </w:r>
      <w:r w:rsidRPr="007F5B58">
        <w:rPr>
          <w:rtl/>
        </w:rPr>
        <w:t>،</w:t>
      </w:r>
      <w:r w:rsidRPr="001C6F61">
        <w:rPr>
          <w:rtl/>
        </w:rPr>
        <w:t xml:space="preserve"> الذي كان يم</w:t>
      </w:r>
      <w:r>
        <w:rPr>
          <w:rtl/>
        </w:rPr>
        <w:t>تـن</w:t>
      </w:r>
      <w:r w:rsidRPr="001C6F61">
        <w:rPr>
          <w:rtl/>
        </w:rPr>
        <w:t>ع عن التقدّم بطلب الطلاق لأجل الضمانات الإجرائيّة التي كان قد تمّ وضعها مسبقاً تحسّباً من وقوع الطل</w:t>
      </w:r>
      <w:r>
        <w:rPr>
          <w:rtl/>
        </w:rPr>
        <w:t>اق</w:t>
      </w:r>
      <w:r w:rsidRPr="007F5B58">
        <w:rPr>
          <w:rtl/>
        </w:rPr>
        <w:t>،</w:t>
      </w:r>
      <w:r>
        <w:rPr>
          <w:rtl/>
        </w:rPr>
        <w:t xml:space="preserve"> وأيضاً</w:t>
      </w:r>
      <w:r w:rsidRPr="001C6F61">
        <w:rPr>
          <w:rtl/>
        </w:rPr>
        <w:t xml:space="preserve"> لأجل المهر المرتفع الذي تمّ الاتّفاق عليه عند إجراء العقد.</w:t>
      </w:r>
    </w:p>
    <w:p w:rsidR="00AC628B" w:rsidRPr="001C6F61" w:rsidRDefault="00AC628B" w:rsidP="00E32EF1">
      <w:pPr>
        <w:pStyle w:val="ac"/>
        <w:spacing w:line="199" w:lineRule="auto"/>
        <w:rPr>
          <w:rtl/>
        </w:rPr>
      </w:pPr>
      <w:r w:rsidRPr="001C6F61">
        <w:rPr>
          <w:rtl/>
        </w:rPr>
        <w:t>ومن هنا نخ</w:t>
      </w:r>
      <w:r>
        <w:rPr>
          <w:rtl/>
        </w:rPr>
        <w:t>لص إلى النتيجة التالية</w:t>
      </w:r>
      <w:r w:rsidRPr="007F5B58">
        <w:rPr>
          <w:rtl/>
        </w:rPr>
        <w:t>:</w:t>
      </w:r>
      <w:r>
        <w:rPr>
          <w:rtl/>
        </w:rPr>
        <w:t xml:space="preserve"> </w:t>
      </w:r>
      <w:r>
        <w:rPr>
          <w:rFonts w:hint="cs"/>
          <w:rtl/>
        </w:rPr>
        <w:t>إ</w:t>
      </w:r>
      <w:r>
        <w:rPr>
          <w:rtl/>
        </w:rPr>
        <w:t>نه لا يصح حمل</w:t>
      </w:r>
      <w:r w:rsidRPr="001C6F61">
        <w:rPr>
          <w:rtl/>
        </w:rPr>
        <w:t xml:space="preserve"> كثرة طلبات الطلاق المقدَّمة من </w:t>
      </w:r>
      <w:r>
        <w:rPr>
          <w:rtl/>
        </w:rPr>
        <w:t xml:space="preserve">جانب الزوجات في السنوات الأخيرة </w:t>
      </w:r>
      <w:r w:rsidRPr="001C6F61">
        <w:rPr>
          <w:rtl/>
        </w:rPr>
        <w:t>على ثبوت تأثير المهور المرتفعة في الحؤول دون وقوع الطلاق وفي الحرص على استقرار الأسر</w:t>
      </w:r>
      <w:r>
        <w:rPr>
          <w:rtl/>
        </w:rPr>
        <w:t xml:space="preserve"> وثباتها</w:t>
      </w:r>
      <w:r w:rsidRPr="007F5B58">
        <w:rPr>
          <w:rtl/>
        </w:rPr>
        <w:t>،</w:t>
      </w:r>
      <w:r>
        <w:rPr>
          <w:rtl/>
        </w:rPr>
        <w:t xml:space="preserve"> كما لا</w:t>
      </w:r>
      <w:r w:rsidRPr="001C6F61">
        <w:rPr>
          <w:rtl/>
        </w:rPr>
        <w:t xml:space="preserve"> يصحّ حمل كثرة طلبات الطلاق من طرف الزوجة على أنّ المرأة أساءت </w:t>
      </w:r>
      <w:r>
        <w:rPr>
          <w:rtl/>
        </w:rPr>
        <w:t>وتسيء</w:t>
      </w:r>
      <w:r w:rsidRPr="001C6F61">
        <w:rPr>
          <w:rtl/>
        </w:rPr>
        <w:t xml:space="preserve"> الاستفادة من الحماية القانونيّة المعطاة لها.</w:t>
      </w:r>
    </w:p>
    <w:p w:rsidR="00AC628B" w:rsidRPr="001C6F61" w:rsidRDefault="00AC628B" w:rsidP="00E32EF1">
      <w:pPr>
        <w:pStyle w:val="ac"/>
        <w:spacing w:line="199" w:lineRule="auto"/>
        <w:rPr>
          <w:rtl/>
        </w:rPr>
      </w:pPr>
      <w:r w:rsidRPr="001C6F61">
        <w:rPr>
          <w:rtl/>
        </w:rPr>
        <w:t>وبالالتفات إلى ما ذكرناه يتّضح أنّ هذه النظريّة لا تقوم على أساسٍ علميّ صحيح</w:t>
      </w:r>
      <w:r w:rsidRPr="007F5B58">
        <w:rPr>
          <w:rtl/>
        </w:rPr>
        <w:t>،</w:t>
      </w:r>
      <w:r w:rsidRPr="001C6F61">
        <w:rPr>
          <w:rtl/>
        </w:rPr>
        <w:t xml:space="preserve"> ولا تتطابق ومقتضيات قواعد الحقوق في ال</w:t>
      </w:r>
      <w:r>
        <w:rPr>
          <w:rtl/>
        </w:rPr>
        <w:t>إسلام</w:t>
      </w:r>
      <w:r w:rsidRPr="007F5B58">
        <w:rPr>
          <w:rtl/>
        </w:rPr>
        <w:t>،</w:t>
      </w:r>
      <w:r w:rsidRPr="001C6F61">
        <w:rPr>
          <w:rtl/>
        </w:rPr>
        <w:t xml:space="preserve"> وما قدّمته هذه القواعد للزوجة من الدعم والحماي</w:t>
      </w:r>
      <w:r>
        <w:rPr>
          <w:rtl/>
        </w:rPr>
        <w:t>ة</w:t>
      </w:r>
      <w:r w:rsidRPr="007F5B58">
        <w:rPr>
          <w:rtl/>
        </w:rPr>
        <w:t>؛</w:t>
      </w:r>
      <w:r w:rsidRPr="001C6F61">
        <w:rPr>
          <w:rtl/>
        </w:rPr>
        <w:t xml:space="preserve"> إذ ليس الزوج قادراً في صورة نشوب خلافٍ بينه وبين زوجته أن يهينها وينتقص من عزّتها وكرامتها فحسب</w:t>
      </w:r>
      <w:r w:rsidRPr="007F5B58">
        <w:rPr>
          <w:rtl/>
        </w:rPr>
        <w:t>،</w:t>
      </w:r>
      <w:r w:rsidRPr="001C6F61">
        <w:rPr>
          <w:rtl/>
        </w:rPr>
        <w:t xml:space="preserve"> بل إنّه قادر ـ أيضاً ـ على تعريضها لمختلف أنواع الضغوطات</w:t>
      </w:r>
      <w:r w:rsidRPr="007F5B58">
        <w:rPr>
          <w:rtl/>
        </w:rPr>
        <w:t>،</w:t>
      </w:r>
      <w:r w:rsidRPr="001C6F61">
        <w:rPr>
          <w:rtl/>
        </w:rPr>
        <w:t xml:space="preserve"> التي ترغمها في نهاية المطاف على المبادرة إلى طلب الطلاق</w:t>
      </w:r>
      <w:r w:rsidRPr="007F5B58">
        <w:rPr>
          <w:rtl/>
        </w:rPr>
        <w:t>،</w:t>
      </w:r>
      <w:r w:rsidRPr="001C6F61">
        <w:rPr>
          <w:rtl/>
        </w:rPr>
        <w:t xml:space="preserve"> رغم الكراهة الشديدة التي يتّصف بها الطلاق</w:t>
      </w:r>
      <w:r>
        <w:rPr>
          <w:rFonts w:hint="cs"/>
          <w:rtl/>
        </w:rPr>
        <w:t>،</w:t>
      </w:r>
      <w:r w:rsidRPr="001C6F61">
        <w:rPr>
          <w:rtl/>
        </w:rPr>
        <w:t xml:space="preserve"> طبقاً لمبادئ حقوق ال</w:t>
      </w:r>
      <w:r>
        <w:rPr>
          <w:rtl/>
        </w:rPr>
        <w:t>إسلام</w:t>
      </w:r>
      <w:r w:rsidRPr="00815C4C">
        <w:rPr>
          <w:rFonts w:cs="Taher"/>
          <w:vertAlign w:val="superscript"/>
          <w:rtl/>
        </w:rPr>
        <w:t>(</w:t>
      </w:r>
      <w:r w:rsidRPr="00815C4C">
        <w:rPr>
          <w:rFonts w:cs="Taher"/>
          <w:vertAlign w:val="superscript"/>
          <w:rtl/>
        </w:rPr>
        <w:footnoteReference w:id="769"/>
      </w:r>
      <w:r w:rsidRPr="00815C4C">
        <w:rPr>
          <w:rFonts w:cs="Taher"/>
          <w:vertAlign w:val="superscript"/>
          <w:rtl/>
        </w:rPr>
        <w:t>)</w:t>
      </w:r>
      <w:r>
        <w:rPr>
          <w:rFonts w:cs="Taher"/>
          <w:sz w:val="32"/>
          <w:szCs w:val="32"/>
          <w:rtl/>
        </w:rPr>
        <w:t xml:space="preserve">. </w:t>
      </w:r>
      <w:r w:rsidRPr="001C6F61">
        <w:rPr>
          <w:rtl/>
        </w:rPr>
        <w:t>وم</w:t>
      </w:r>
      <w:r>
        <w:rPr>
          <w:rtl/>
        </w:rPr>
        <w:t>ن هنا كان أمر الطلاق بيد الرجل</w:t>
      </w:r>
      <w:r w:rsidRPr="007F5B58">
        <w:rPr>
          <w:rtl/>
        </w:rPr>
        <w:t>،</w:t>
      </w:r>
      <w:r w:rsidRPr="001C6F61">
        <w:rPr>
          <w:rtl/>
        </w:rPr>
        <w:t xml:space="preserve"> حتى إذا لم يكن الزوج راغباً بمتابعة حياته</w:t>
      </w:r>
      <w:r>
        <w:rPr>
          <w:rtl/>
        </w:rPr>
        <w:t>ما المشتركة</w:t>
      </w:r>
      <w:r w:rsidRPr="001C6F61">
        <w:rPr>
          <w:rtl/>
        </w:rPr>
        <w:t xml:space="preserve"> طلّقها بمنتهى الاحترام والإحس</w:t>
      </w:r>
      <w:r>
        <w:rPr>
          <w:rtl/>
        </w:rPr>
        <w:t>ان والتكريم</w:t>
      </w:r>
      <w:r w:rsidRPr="007F5B58">
        <w:rPr>
          <w:rtl/>
        </w:rPr>
        <w:t>،</w:t>
      </w:r>
      <w:r>
        <w:rPr>
          <w:rtl/>
        </w:rPr>
        <w:t xml:space="preserve"> كما ورد في قوله تعالى</w:t>
      </w:r>
      <w:r w:rsidRPr="001C6F61">
        <w:rPr>
          <w:rtl/>
        </w:rPr>
        <w:t xml:space="preserve"> في الآية 2</w:t>
      </w:r>
      <w:r>
        <w:rPr>
          <w:rtl/>
        </w:rPr>
        <w:t>31 من سورة البقرة</w:t>
      </w:r>
      <w:r w:rsidRPr="007F5B58">
        <w:rPr>
          <w:rtl/>
        </w:rPr>
        <w:t>:</w:t>
      </w:r>
      <w:r w:rsidRPr="001C6F61">
        <w:rPr>
          <w:rtl/>
        </w:rPr>
        <w:t xml:space="preserve"> </w:t>
      </w:r>
      <w:r w:rsidRPr="00D66643">
        <w:rPr>
          <w:rFonts w:cs="Taher"/>
          <w:b/>
          <w:bCs/>
          <w:rtl/>
        </w:rPr>
        <w:lastRenderedPageBreak/>
        <w:t>{</w:t>
      </w:r>
      <w:r w:rsidRPr="006D355B">
        <w:rPr>
          <w:b/>
          <w:bCs/>
          <w:rtl/>
        </w:rPr>
        <w:t>وَإِذَا طَلَّقْتُمُ النَّسَاء فَبَلَغْنَ أَجَلَهُنَّ فَأَمْسِكُوهُنَّ بِمَعْرُوفٍ أَوْ سَرِّحُوهُنَّ بِمَعْرُوفٍ وَلاَ تُمْسِكُوهُنَّ ضِرَاراً لَّتَعْتَدُواْ</w:t>
      </w:r>
      <w:r w:rsidRPr="00D66643">
        <w:rPr>
          <w:rFonts w:cs="Taher"/>
          <w:b/>
          <w:bCs/>
          <w:rtl/>
        </w:rPr>
        <w:t>}</w:t>
      </w:r>
      <w:r w:rsidRPr="007F5B58">
        <w:rPr>
          <w:rtl/>
        </w:rPr>
        <w:t>،</w:t>
      </w:r>
      <w:r w:rsidRPr="001C6F61">
        <w:rPr>
          <w:rtl/>
        </w:rPr>
        <w:t xml:space="preserve"> أو قوله عزّ وجلّ في </w:t>
      </w:r>
      <w:r>
        <w:rPr>
          <w:rtl/>
        </w:rPr>
        <w:t>الآية 49 من سورة الأحزاب</w:t>
      </w:r>
      <w:r w:rsidRPr="007F5B58">
        <w:rPr>
          <w:rtl/>
        </w:rPr>
        <w:t>:</w:t>
      </w:r>
      <w:r w:rsidRPr="001C6F61">
        <w:rPr>
          <w:rtl/>
        </w:rPr>
        <w:t xml:space="preserve"> </w:t>
      </w:r>
      <w:r w:rsidRPr="00D66643">
        <w:rPr>
          <w:rFonts w:cs="Taher"/>
          <w:b/>
          <w:bCs/>
          <w:rtl/>
        </w:rPr>
        <w:t>{</w:t>
      </w:r>
      <w:r w:rsidRPr="006D355B">
        <w:rPr>
          <w:b/>
          <w:bCs/>
          <w:rtl/>
        </w:rPr>
        <w:t>يَا أَيُّهَا الَّذِينَ آمَنُوا إِذَا نَكَحْتُمُ الْمُؤْمِنَاتِ ثُمَّ طَلَّقْتُمُوهُنَّ مِن قَبْلِ أَن تَمَسُّوهُنَّ فَمَا لَكُمْ عَلَيْهِنَّ مِنْ عِدَّةٍ تَعْتَدُّونَهَا فَمَتِّعُوهُنَّ وَسَرِّحُوهُنَّ سَرَاحاً جَمِيلاً</w:t>
      </w:r>
      <w:r w:rsidRPr="00D66643">
        <w:rPr>
          <w:rFonts w:cs="Taher"/>
          <w:b/>
          <w:bCs/>
          <w:rtl/>
        </w:rPr>
        <w:t>}</w:t>
      </w:r>
      <w:r w:rsidRPr="008A3FAA">
        <w:rPr>
          <w:b/>
          <w:bCs/>
          <w:rtl/>
        </w:rPr>
        <w:t>.</w:t>
      </w:r>
    </w:p>
    <w:p w:rsidR="00AC628B" w:rsidRPr="001C6F61" w:rsidRDefault="00AC628B" w:rsidP="00E32EF1">
      <w:pPr>
        <w:pStyle w:val="ac"/>
        <w:spacing w:line="209" w:lineRule="auto"/>
        <w:rPr>
          <w:rtl/>
        </w:rPr>
      </w:pPr>
      <w:r w:rsidRPr="001C6F61">
        <w:rPr>
          <w:rtl/>
        </w:rPr>
        <w:t xml:space="preserve">ففي الوقت الذي </w:t>
      </w:r>
      <w:r>
        <w:rPr>
          <w:rtl/>
        </w:rPr>
        <w:t>تـن</w:t>
      </w:r>
      <w:r w:rsidRPr="001C6F61">
        <w:rPr>
          <w:rtl/>
        </w:rPr>
        <w:t>صّ مبادئ حقوق ال</w:t>
      </w:r>
      <w:r>
        <w:rPr>
          <w:rtl/>
        </w:rPr>
        <w:t>إسلام</w:t>
      </w:r>
      <w:r w:rsidRPr="001C6F61">
        <w:rPr>
          <w:rtl/>
        </w:rPr>
        <w:t xml:space="preserve"> على ضرورة أن يتراوح حال الزوجة بين إ</w:t>
      </w:r>
      <w:r>
        <w:rPr>
          <w:rtl/>
        </w:rPr>
        <w:t>مساكها بمعروف أو تسريحها بإحسان</w:t>
      </w:r>
      <w:r w:rsidRPr="001C6F61">
        <w:rPr>
          <w:rtl/>
        </w:rPr>
        <w:t xml:space="preserve"> فإنّ ما نشاهده في أغلب الحالات المتداولة في </w:t>
      </w:r>
      <w:r>
        <w:rPr>
          <w:rtl/>
        </w:rPr>
        <w:t>عرف المجتمع</w:t>
      </w:r>
      <w:r w:rsidRPr="001C6F61">
        <w:rPr>
          <w:rtl/>
        </w:rPr>
        <w:t xml:space="preserve"> أنّ غلاء المهر وارتفاع قيمته يؤدّي في أكثر الأحيان إلى التضييق والتشديد عليها</w:t>
      </w:r>
      <w:r w:rsidRPr="007F5B58">
        <w:rPr>
          <w:rtl/>
        </w:rPr>
        <w:t>،</w:t>
      </w:r>
      <w:r w:rsidRPr="001C6F61">
        <w:rPr>
          <w:rtl/>
        </w:rPr>
        <w:t xml:space="preserve"> لترى نفسها أخيراً مضطرّةً إلى </w:t>
      </w:r>
      <w:r>
        <w:rPr>
          <w:rtl/>
        </w:rPr>
        <w:t>التقدّم</w:t>
      </w:r>
      <w:r w:rsidRPr="001C6F61">
        <w:rPr>
          <w:rtl/>
        </w:rPr>
        <w:t xml:space="preserve"> </w:t>
      </w:r>
      <w:r>
        <w:rPr>
          <w:rtl/>
        </w:rPr>
        <w:t>بطلب الطلاق</w:t>
      </w:r>
      <w:r w:rsidRPr="007F5B58">
        <w:rPr>
          <w:rtl/>
        </w:rPr>
        <w:t>،</w:t>
      </w:r>
      <w:r>
        <w:rPr>
          <w:rtl/>
        </w:rPr>
        <w:t xml:space="preserve"> وهذه الظاهرة</w:t>
      </w:r>
      <w:r w:rsidRPr="007F5B58">
        <w:rPr>
          <w:rtl/>
        </w:rPr>
        <w:t>،</w:t>
      </w:r>
      <w:r>
        <w:rPr>
          <w:rtl/>
        </w:rPr>
        <w:t xml:space="preserve"> أعني</w:t>
      </w:r>
      <w:r w:rsidRPr="001C6F61">
        <w:rPr>
          <w:rtl/>
        </w:rPr>
        <w:t xml:space="preserve"> التضييق والتشدي</w:t>
      </w:r>
      <w:r>
        <w:rPr>
          <w:rtl/>
        </w:rPr>
        <w:t>د عليها لهذا السبب</w:t>
      </w:r>
      <w:r w:rsidRPr="007F5B58">
        <w:rPr>
          <w:rtl/>
        </w:rPr>
        <w:t>،</w:t>
      </w:r>
      <w:r>
        <w:rPr>
          <w:rtl/>
        </w:rPr>
        <w:t xml:space="preserve"> تتـنافى</w:t>
      </w:r>
      <w:r w:rsidRPr="001C6F61">
        <w:rPr>
          <w:rtl/>
        </w:rPr>
        <w:t xml:space="preserve"> مع أبسط قواعد الحقوق في ال</w:t>
      </w:r>
      <w:r>
        <w:rPr>
          <w:rtl/>
        </w:rPr>
        <w:t>إسلام</w:t>
      </w:r>
      <w:r w:rsidRPr="007F5B58">
        <w:rPr>
          <w:rtl/>
        </w:rPr>
        <w:t>،</w:t>
      </w:r>
      <w:r w:rsidRPr="001C6F61">
        <w:rPr>
          <w:rtl/>
        </w:rPr>
        <w:t xml:space="preserve"> كما قال </w:t>
      </w:r>
      <w:r>
        <w:rPr>
          <w:rtl/>
        </w:rPr>
        <w:t>تعالى</w:t>
      </w:r>
      <w:r w:rsidRPr="007F5B58">
        <w:rPr>
          <w:rtl/>
        </w:rPr>
        <w:t>:</w:t>
      </w:r>
      <w:r w:rsidRPr="001C6F61">
        <w:rPr>
          <w:rtl/>
        </w:rPr>
        <w:t xml:space="preserve"> </w:t>
      </w:r>
      <w:r w:rsidRPr="00D66643">
        <w:rPr>
          <w:rFonts w:cs="Taher"/>
          <w:b/>
          <w:bCs/>
          <w:rtl/>
        </w:rPr>
        <w:t>{</w:t>
      </w:r>
      <w:r w:rsidRPr="006D355B">
        <w:rPr>
          <w:b/>
          <w:bCs/>
          <w:rtl/>
        </w:rPr>
        <w:t>يَا أَيُّهَا الَّذِينَ آمَنُواْ لاَ يَحِلُّ لَكُمْ أَن تَرِثُواْ النِّسَاء كَرْهاً وَلاَ تَعْضُلُوهُنَّ لِتَذْهَبُواْ بِبَعْضِ مَا آتَيْتُمُوهُنَّ إِلاَّ أَن يَأْتِينَ بِفَاحِشَةٍ مُّبَيِّنَةٍ وَعَاشِرُوهُنَّ بِالْمَعْرُوفِ فَإِن كَرِهْتُمُوهُنَّ فَعَسَى أَن تَكْرَهُواْ شَيْئاً وَيَجْعَلَ اللّهُ فِيهِ خَيْراً كَثِيراً</w:t>
      </w:r>
      <w:r w:rsidRPr="00D66643">
        <w:rPr>
          <w:rFonts w:cs="Taher"/>
          <w:b/>
          <w:bCs/>
          <w:rtl/>
        </w:rPr>
        <w:t>}</w:t>
      </w:r>
      <w:r w:rsidRPr="008A3FAA">
        <w:rPr>
          <w:b/>
          <w:bCs/>
          <w:rtl/>
        </w:rPr>
        <w:t>.</w:t>
      </w:r>
      <w:r>
        <w:rPr>
          <w:rtl/>
        </w:rPr>
        <w:t xml:space="preserve"> (النساء</w:t>
      </w:r>
      <w:r w:rsidRPr="007F5B58">
        <w:rPr>
          <w:rtl/>
        </w:rPr>
        <w:t>:</w:t>
      </w:r>
      <w:r>
        <w:rPr>
          <w:rtl/>
        </w:rPr>
        <w:t xml:space="preserve"> 19). و</w:t>
      </w:r>
      <w:r w:rsidRPr="001C6F61">
        <w:rPr>
          <w:rtl/>
        </w:rPr>
        <w:t xml:space="preserve">هذه الآية الشريفة صريحة في </w:t>
      </w:r>
      <w:r>
        <w:rPr>
          <w:rtl/>
        </w:rPr>
        <w:t>نهي الزوج عن</w:t>
      </w:r>
      <w:r w:rsidRPr="001C6F61">
        <w:rPr>
          <w:rtl/>
        </w:rPr>
        <w:t xml:space="preserve"> ممارسة الضغوطات على زوجته والتضييق عليها</w:t>
      </w:r>
      <w:r w:rsidRPr="007F5B58">
        <w:rPr>
          <w:rtl/>
        </w:rPr>
        <w:t>؛</w:t>
      </w:r>
      <w:r w:rsidRPr="001C6F61">
        <w:rPr>
          <w:rtl/>
        </w:rPr>
        <w:t xml:space="preserve"> لإرغامها على ال</w:t>
      </w:r>
      <w:r>
        <w:rPr>
          <w:rtl/>
        </w:rPr>
        <w:t>تـن</w:t>
      </w:r>
      <w:r w:rsidRPr="001C6F61">
        <w:rPr>
          <w:rtl/>
        </w:rPr>
        <w:t>ازل عن مهرها وحقوقها الماليّة</w:t>
      </w:r>
      <w:r w:rsidRPr="007F5B58">
        <w:rPr>
          <w:rtl/>
        </w:rPr>
        <w:t>،</w:t>
      </w:r>
      <w:r w:rsidRPr="001C6F61">
        <w:rPr>
          <w:rtl/>
        </w:rPr>
        <w:t xml:space="preserve"> مع أنّه بناءً على النظريّة المذكورة</w:t>
      </w:r>
      <w:r w:rsidRPr="007F5B58">
        <w:rPr>
          <w:rtl/>
        </w:rPr>
        <w:t>،</w:t>
      </w:r>
      <w:r w:rsidRPr="001C6F61">
        <w:rPr>
          <w:rtl/>
        </w:rPr>
        <w:t xml:space="preserve"> التي ترى أنّ المهر لا يعدو أن يكون ضمانةً للنكاح</w:t>
      </w:r>
      <w:r w:rsidRPr="007F5B58">
        <w:rPr>
          <w:rtl/>
        </w:rPr>
        <w:t>،</w:t>
      </w:r>
      <w:r w:rsidRPr="001C6F61">
        <w:rPr>
          <w:rtl/>
        </w:rPr>
        <w:t xml:space="preserve"> فالزوج ـ عمليّاً ـ يقدم على ممارسة مختلف أنواع الضغوطات على الزوجة لمجرّد عجزه عن تسديد المهر المرتف</w:t>
      </w:r>
      <w:r>
        <w:rPr>
          <w:rtl/>
        </w:rPr>
        <w:t>ع المتّفق عليه. وعلى هذا الأساس</w:t>
      </w:r>
      <w:r w:rsidRPr="001C6F61">
        <w:rPr>
          <w:rtl/>
        </w:rPr>
        <w:t xml:space="preserve"> فهذه النظريّة</w:t>
      </w:r>
      <w:r w:rsidRPr="007F5B58">
        <w:rPr>
          <w:rtl/>
        </w:rPr>
        <w:t>،</w:t>
      </w:r>
      <w:r w:rsidRPr="001C6F61">
        <w:rPr>
          <w:rtl/>
        </w:rPr>
        <w:t xml:space="preserve"> وإن كانت تقوم ـ ظاهريّاً ـ على ادّعاء حماية الزوجة وضمان الاستقرار لها في عقد الزواج</w:t>
      </w:r>
      <w:r w:rsidRPr="007F5B58">
        <w:rPr>
          <w:rtl/>
        </w:rPr>
        <w:t>،</w:t>
      </w:r>
      <w:r w:rsidRPr="001C6F61">
        <w:rPr>
          <w:rtl/>
        </w:rPr>
        <w:t xml:space="preserve"> </w:t>
      </w:r>
      <w:r>
        <w:rPr>
          <w:rtl/>
        </w:rPr>
        <w:t>إلاّ أن</w:t>
      </w:r>
      <w:r w:rsidRPr="001C6F61">
        <w:rPr>
          <w:rtl/>
        </w:rPr>
        <w:t>ه</w:t>
      </w:r>
      <w:r>
        <w:rPr>
          <w:rtl/>
        </w:rPr>
        <w:t>ا</w:t>
      </w:r>
      <w:r w:rsidRPr="001C6F61">
        <w:rPr>
          <w:rtl/>
        </w:rPr>
        <w:t xml:space="preserve"> في صورة برو</w:t>
      </w:r>
      <w:r>
        <w:rPr>
          <w:rtl/>
        </w:rPr>
        <w:t>ز الخلاف بين الزوجين</w:t>
      </w:r>
      <w:r w:rsidRPr="007F5B58">
        <w:rPr>
          <w:rtl/>
        </w:rPr>
        <w:t>،</w:t>
      </w:r>
      <w:r w:rsidRPr="001C6F61">
        <w:rPr>
          <w:rtl/>
        </w:rPr>
        <w:t xml:space="preserve"> عاجزة </w:t>
      </w:r>
      <w:r>
        <w:rPr>
          <w:rtl/>
        </w:rPr>
        <w:t xml:space="preserve">ـ </w:t>
      </w:r>
      <w:r w:rsidRPr="001C6F61">
        <w:rPr>
          <w:rtl/>
        </w:rPr>
        <w:t xml:space="preserve">عمليّاً وواقعيّاً </w:t>
      </w:r>
      <w:r>
        <w:rPr>
          <w:rtl/>
        </w:rPr>
        <w:t>ـ عن تقديم الحماية للزوجة</w:t>
      </w:r>
      <w:r w:rsidRPr="007F5B58">
        <w:rPr>
          <w:rtl/>
        </w:rPr>
        <w:t>،</w:t>
      </w:r>
      <w:r>
        <w:rPr>
          <w:rtl/>
        </w:rPr>
        <w:t xml:space="preserve"> بل</w:t>
      </w:r>
      <w:r w:rsidRPr="001C6F61">
        <w:rPr>
          <w:rtl/>
        </w:rPr>
        <w:t xml:space="preserve"> تجعلها عُرضة لمختلف أنواع الضغط والتهديد</w:t>
      </w:r>
      <w:r w:rsidRPr="007F5B58">
        <w:rPr>
          <w:rtl/>
        </w:rPr>
        <w:t>،</w:t>
      </w:r>
      <w:r w:rsidRPr="001C6F61">
        <w:rPr>
          <w:rtl/>
        </w:rPr>
        <w:t xml:space="preserve"> لتلتجئ مرغمةً إلى التقدّم بطلب الطلاق بعد ال</w:t>
      </w:r>
      <w:r>
        <w:rPr>
          <w:rtl/>
        </w:rPr>
        <w:t>تـن</w:t>
      </w:r>
      <w:r w:rsidRPr="001C6F61">
        <w:rPr>
          <w:rtl/>
        </w:rPr>
        <w:t>ازل عن حقوقها.</w:t>
      </w:r>
    </w:p>
    <w:p w:rsidR="00AC628B" w:rsidRPr="001C6F61" w:rsidRDefault="00AC628B" w:rsidP="00E32EF1">
      <w:pPr>
        <w:pStyle w:val="afffffc"/>
        <w:rPr>
          <w:rtl/>
        </w:rPr>
      </w:pPr>
    </w:p>
    <w:p w:rsidR="00AC628B" w:rsidRPr="001C6F61" w:rsidRDefault="00AC628B" w:rsidP="00E32EF1">
      <w:pPr>
        <w:pStyle w:val="2"/>
        <w:rPr>
          <w:rtl/>
        </w:rPr>
      </w:pPr>
      <w:bookmarkStart w:id="396" w:name="_Toc275128112"/>
      <w:r>
        <w:rPr>
          <w:rtl/>
        </w:rPr>
        <w:t>ج ـ المهر هديّة شرعيّة</w:t>
      </w:r>
      <w:bookmarkEnd w:id="396"/>
    </w:p>
    <w:p w:rsidR="00AC628B" w:rsidRPr="001C6F61" w:rsidRDefault="00AC628B" w:rsidP="00AC628B">
      <w:pPr>
        <w:pStyle w:val="ac"/>
        <w:rPr>
          <w:rtl/>
        </w:rPr>
      </w:pPr>
      <w:r>
        <w:rPr>
          <w:rtl/>
        </w:rPr>
        <w:t>طبقاً لهذه النظريّة</w:t>
      </w:r>
      <w:r w:rsidRPr="001C6F61">
        <w:rPr>
          <w:rtl/>
        </w:rPr>
        <w:t xml:space="preserve"> ف</w:t>
      </w:r>
      <w:r>
        <w:rPr>
          <w:rtl/>
        </w:rPr>
        <w:t xml:space="preserve">إن </w:t>
      </w:r>
      <w:r w:rsidRPr="001C6F61">
        <w:rPr>
          <w:rtl/>
        </w:rPr>
        <w:t>المهر ليس عوضاً للزوجة عن البضع والاستمتاع</w:t>
      </w:r>
      <w:r w:rsidRPr="007F5B58">
        <w:rPr>
          <w:rtl/>
        </w:rPr>
        <w:t>،</w:t>
      </w:r>
      <w:r w:rsidRPr="001C6F61">
        <w:rPr>
          <w:rtl/>
        </w:rPr>
        <w:t xml:space="preserve"> كما أنّه ليس </w:t>
      </w:r>
      <w:r w:rsidRPr="001C6F61">
        <w:rPr>
          <w:rtl/>
        </w:rPr>
        <w:lastRenderedPageBreak/>
        <w:t>ضمانة لبقاء النكاح وديمومته</w:t>
      </w:r>
      <w:r w:rsidRPr="007F5B58">
        <w:rPr>
          <w:rtl/>
        </w:rPr>
        <w:t>،</w:t>
      </w:r>
      <w:r w:rsidRPr="001C6F61">
        <w:rPr>
          <w:rtl/>
        </w:rPr>
        <w:t xml:space="preserve"> وإنّما هو هديّة يجب على الزوج بحكم من الله تعالى أن يملّكه للزوجة ضمن النكاح</w:t>
      </w:r>
      <w:r w:rsidRPr="007F5B58">
        <w:rPr>
          <w:rtl/>
        </w:rPr>
        <w:t>؛</w:t>
      </w:r>
      <w:r w:rsidRPr="001C6F61">
        <w:rPr>
          <w:rtl/>
        </w:rPr>
        <w:t xml:space="preserve"> لأنّ الهديّة تستجلب الحبّ والمودّة</w:t>
      </w:r>
      <w:r w:rsidRPr="007F5B58">
        <w:rPr>
          <w:rtl/>
        </w:rPr>
        <w:t>،</w:t>
      </w:r>
      <w:r w:rsidRPr="001C6F61">
        <w:rPr>
          <w:rtl/>
        </w:rPr>
        <w:t xml:space="preserve"> فمن ال</w:t>
      </w:r>
      <w:r>
        <w:rPr>
          <w:rtl/>
        </w:rPr>
        <w:t>ل</w:t>
      </w:r>
      <w:r w:rsidRPr="001C6F61">
        <w:rPr>
          <w:rtl/>
        </w:rPr>
        <w:t>ائق والمناسب بحال الرجل الذي يتقدّم لخطبة امرأةٍ ما أن يُظهر رغبته ومودّته وحبّه لها بإهدائها وتقديم هديّةٍ لها. وهذه النظريّة مطابقة لظاهر آيات الكتاب العزيز</w:t>
      </w:r>
      <w:r w:rsidRPr="007F5B58">
        <w:rPr>
          <w:rtl/>
        </w:rPr>
        <w:t>،</w:t>
      </w:r>
      <w:r w:rsidRPr="001C6F61">
        <w:rPr>
          <w:rtl/>
        </w:rPr>
        <w:t xml:space="preserve"> كما في قوله تعالى</w:t>
      </w:r>
      <w:r w:rsidRPr="007F5B58">
        <w:rPr>
          <w:rtl/>
        </w:rPr>
        <w:t>:</w:t>
      </w:r>
      <w:r w:rsidRPr="001C6F61">
        <w:rPr>
          <w:rtl/>
        </w:rPr>
        <w:t xml:space="preserve"> </w:t>
      </w:r>
      <w:r w:rsidRPr="00D66643">
        <w:rPr>
          <w:rFonts w:cs="Taher"/>
          <w:rtl/>
        </w:rPr>
        <w:t>{</w:t>
      </w:r>
      <w:r w:rsidRPr="006D355B">
        <w:rPr>
          <w:b/>
          <w:bCs/>
          <w:rtl/>
        </w:rPr>
        <w:t>وَآتُواْ النَّسَاء صَدُقَاتِهِنَّ نِحْلَةً</w:t>
      </w:r>
      <w:r w:rsidRPr="00D66643">
        <w:rPr>
          <w:rFonts w:cs="Taher"/>
          <w:rtl/>
        </w:rPr>
        <w:t>}</w:t>
      </w:r>
      <w:r>
        <w:rPr>
          <w:rtl/>
        </w:rPr>
        <w:t xml:space="preserve"> (النساء</w:t>
      </w:r>
      <w:r w:rsidRPr="007F5B58">
        <w:rPr>
          <w:rtl/>
        </w:rPr>
        <w:t>:</w:t>
      </w:r>
      <w:r>
        <w:rPr>
          <w:rFonts w:hint="cs"/>
          <w:rtl/>
        </w:rPr>
        <w:t xml:space="preserve"> </w:t>
      </w:r>
      <w:r>
        <w:rPr>
          <w:rtl/>
        </w:rPr>
        <w:t>4)</w:t>
      </w:r>
      <w:r w:rsidRPr="007F5B58">
        <w:rPr>
          <w:rtl/>
        </w:rPr>
        <w:t>،</w:t>
      </w:r>
      <w:r w:rsidRPr="001C6F61">
        <w:rPr>
          <w:rtl/>
        </w:rPr>
        <w:t xml:space="preserve"> فإنّ ظاهر هذه الآية الشريفة أنّ المهر هديّة من الشارع إلى الزوجة</w:t>
      </w:r>
      <w:r w:rsidRPr="007F5B58">
        <w:rPr>
          <w:rtl/>
        </w:rPr>
        <w:t>،</w:t>
      </w:r>
      <w:r>
        <w:rPr>
          <w:rtl/>
        </w:rPr>
        <w:t xml:space="preserve"> وقد</w:t>
      </w:r>
      <w:r w:rsidRPr="001C6F61">
        <w:rPr>
          <w:rtl/>
        </w:rPr>
        <w:t xml:space="preserve"> فرض أداءها على الزوج</w:t>
      </w:r>
      <w:r w:rsidRPr="007F5B58">
        <w:rPr>
          <w:rtl/>
        </w:rPr>
        <w:t>؛</w:t>
      </w:r>
      <w:r w:rsidRPr="001C6F61">
        <w:rPr>
          <w:rtl/>
        </w:rPr>
        <w:t xml:space="preserve"> إذ النحلة هي العطيّة والهديّة تُدفع عن طيب نفس</w:t>
      </w:r>
      <w:r w:rsidRPr="00815C4C">
        <w:rPr>
          <w:rFonts w:cs="Taher"/>
          <w:vertAlign w:val="superscript"/>
          <w:rtl/>
        </w:rPr>
        <w:t>(</w:t>
      </w:r>
      <w:r w:rsidRPr="00815C4C">
        <w:rPr>
          <w:rFonts w:cs="Taher"/>
          <w:vertAlign w:val="superscript"/>
          <w:rtl/>
        </w:rPr>
        <w:footnoteReference w:id="770"/>
      </w:r>
      <w:r w:rsidRPr="00815C4C">
        <w:rPr>
          <w:rFonts w:cs="Taher"/>
          <w:vertAlign w:val="superscript"/>
          <w:rtl/>
        </w:rPr>
        <w:t>)</w:t>
      </w:r>
      <w:r w:rsidRPr="001C6F61">
        <w:rPr>
          <w:rtl/>
        </w:rPr>
        <w:t>.</w:t>
      </w:r>
    </w:p>
    <w:p w:rsidR="00AC628B" w:rsidRDefault="00AC628B" w:rsidP="00E32EF1">
      <w:pPr>
        <w:pStyle w:val="ac"/>
        <w:spacing w:line="211" w:lineRule="auto"/>
        <w:rPr>
          <w:rtl/>
        </w:rPr>
      </w:pPr>
      <w:r>
        <w:rPr>
          <w:rtl/>
        </w:rPr>
        <w:t>إذ</w:t>
      </w:r>
      <w:r w:rsidR="00BE5CF5">
        <w:rPr>
          <w:rFonts w:hint="cs"/>
          <w:rtl/>
        </w:rPr>
        <w:t>ن</w:t>
      </w:r>
      <w:r w:rsidR="00BE5CF5">
        <w:rPr>
          <w:rFonts w:hint="cs"/>
          <w:smallCaps/>
          <w:rtl/>
        </w:rPr>
        <w:t>،</w:t>
      </w:r>
      <w:r w:rsidRPr="001C6F61">
        <w:rPr>
          <w:rtl/>
        </w:rPr>
        <w:t xml:space="preserve"> المهر </w:t>
      </w:r>
      <w:r>
        <w:rPr>
          <w:rtl/>
        </w:rPr>
        <w:t xml:space="preserve">ـ </w:t>
      </w:r>
      <w:r w:rsidRPr="001C6F61">
        <w:rPr>
          <w:rtl/>
        </w:rPr>
        <w:t>وفقاً لنظريّة الحقوق في ال</w:t>
      </w:r>
      <w:r>
        <w:rPr>
          <w:rtl/>
        </w:rPr>
        <w:t>إسلام</w:t>
      </w:r>
      <w:r w:rsidRPr="001C6F61">
        <w:rPr>
          <w:rtl/>
        </w:rPr>
        <w:t xml:space="preserve"> </w:t>
      </w:r>
      <w:r>
        <w:rPr>
          <w:rtl/>
        </w:rPr>
        <w:t>ـ هديّة</w:t>
      </w:r>
      <w:r w:rsidRPr="007F5B58">
        <w:rPr>
          <w:rtl/>
        </w:rPr>
        <w:t>،</w:t>
      </w:r>
      <w:r>
        <w:rPr>
          <w:rtl/>
        </w:rPr>
        <w:t xml:space="preserve"> و</w:t>
      </w:r>
      <w:r w:rsidRPr="001C6F61">
        <w:rPr>
          <w:rtl/>
        </w:rPr>
        <w:t>لا يصحّ اعتبار المهر ثمناً يُدفع بإزاء الزوجة</w:t>
      </w:r>
      <w:r w:rsidRPr="007F5B58">
        <w:rPr>
          <w:rtl/>
        </w:rPr>
        <w:t>،</w:t>
      </w:r>
      <w:r w:rsidRPr="001C6F61">
        <w:rPr>
          <w:rtl/>
        </w:rPr>
        <w:t xml:space="preserve"> ولا ع</w:t>
      </w:r>
      <w:r>
        <w:rPr>
          <w:rtl/>
        </w:rPr>
        <w:t>وضاً للبضع</w:t>
      </w:r>
      <w:r w:rsidRPr="00815C4C">
        <w:rPr>
          <w:rFonts w:cs="Taher"/>
          <w:vertAlign w:val="superscript"/>
          <w:rtl/>
        </w:rPr>
        <w:t>(</w:t>
      </w:r>
      <w:r w:rsidRPr="00815C4C">
        <w:rPr>
          <w:rFonts w:cs="Taher"/>
          <w:vertAlign w:val="superscript"/>
          <w:rtl/>
        </w:rPr>
        <w:footnoteReference w:id="771"/>
      </w:r>
      <w:r w:rsidRPr="00815C4C">
        <w:rPr>
          <w:rFonts w:cs="Taher"/>
          <w:vertAlign w:val="superscript"/>
          <w:rtl/>
        </w:rPr>
        <w:t>)(</w:t>
      </w:r>
      <w:r w:rsidRPr="00815C4C">
        <w:rPr>
          <w:rFonts w:cs="Taher"/>
          <w:vertAlign w:val="superscript"/>
          <w:rtl/>
        </w:rPr>
        <w:footnoteReference w:id="772"/>
      </w:r>
      <w:r w:rsidRPr="00815C4C">
        <w:rPr>
          <w:rFonts w:cs="Taher"/>
          <w:vertAlign w:val="superscript"/>
          <w:rtl/>
        </w:rPr>
        <w:t>)</w:t>
      </w:r>
      <w:r w:rsidRPr="00E32EF1">
        <w:rPr>
          <w:rStyle w:val="FootnoteReference"/>
          <w:rFonts w:cs="Taher"/>
          <w:sz w:val="32"/>
          <w:szCs w:val="32"/>
          <w:vertAlign w:val="baseline"/>
          <w:rtl/>
        </w:rPr>
        <w:t>.</w:t>
      </w:r>
      <w:r>
        <w:rPr>
          <w:rFonts w:cs="Taher"/>
          <w:sz w:val="32"/>
          <w:szCs w:val="32"/>
          <w:rtl/>
        </w:rPr>
        <w:t xml:space="preserve"> </w:t>
      </w:r>
      <w:r>
        <w:rPr>
          <w:rtl/>
        </w:rPr>
        <w:t xml:space="preserve">كما </w:t>
      </w:r>
      <w:r w:rsidRPr="001C6F61">
        <w:rPr>
          <w:rtl/>
        </w:rPr>
        <w:t>لا يصحّ تصوير المهر وكأنّه مجرّد وسيلة لضمان النكاح واستمراره وبقائه</w:t>
      </w:r>
      <w:r w:rsidRPr="007F5B58">
        <w:rPr>
          <w:rtl/>
        </w:rPr>
        <w:t>،</w:t>
      </w:r>
      <w:r w:rsidRPr="001C6F61">
        <w:rPr>
          <w:rtl/>
        </w:rPr>
        <w:t xml:space="preserve"> أو لمجرّد حماية الزوجة في صورة وقوع الطلاق.</w:t>
      </w:r>
      <w:r>
        <w:rPr>
          <w:rtl/>
        </w:rPr>
        <w:t xml:space="preserve"> ولذلك</w:t>
      </w:r>
      <w:r w:rsidRPr="001C6F61">
        <w:rPr>
          <w:rtl/>
        </w:rPr>
        <w:t xml:space="preserve"> نجد في الفقه ال</w:t>
      </w:r>
      <w:r>
        <w:rPr>
          <w:rtl/>
        </w:rPr>
        <w:t>إسلاميّ</w:t>
      </w:r>
      <w:r w:rsidRPr="001C6F61">
        <w:rPr>
          <w:rtl/>
        </w:rPr>
        <w:t xml:space="preserve"> تكليفاً</w:t>
      </w:r>
      <w:r>
        <w:rPr>
          <w:rtl/>
        </w:rPr>
        <w:t xml:space="preserve"> ل</w:t>
      </w:r>
      <w:r w:rsidRPr="001C6F61">
        <w:rPr>
          <w:rtl/>
        </w:rPr>
        <w:t>لزوج بلزوم دفع المهر</w:t>
      </w:r>
      <w:r w:rsidRPr="007F5B58">
        <w:rPr>
          <w:rtl/>
        </w:rPr>
        <w:t>،</w:t>
      </w:r>
      <w:r w:rsidRPr="001C6F61">
        <w:rPr>
          <w:rtl/>
        </w:rPr>
        <w:t xml:space="preserve"> والتأكيد على عدم صحّة النكاح من دون المهر</w:t>
      </w:r>
      <w:r w:rsidRPr="007F5B58">
        <w:rPr>
          <w:rtl/>
        </w:rPr>
        <w:t>،</w:t>
      </w:r>
      <w:r w:rsidRPr="001C6F61">
        <w:rPr>
          <w:rtl/>
        </w:rPr>
        <w:t xml:space="preserve"> </w:t>
      </w:r>
      <w:r>
        <w:rPr>
          <w:rtl/>
        </w:rPr>
        <w:t>كما نجد</w:t>
      </w:r>
      <w:r w:rsidRPr="001C6F61">
        <w:rPr>
          <w:rtl/>
        </w:rPr>
        <w:t xml:space="preserve"> توصيةً للمرأة بالقناعة بالحدّ الأ</w:t>
      </w:r>
      <w:r>
        <w:rPr>
          <w:rtl/>
        </w:rPr>
        <w:t>قلّ من المهر</w:t>
      </w:r>
      <w:r w:rsidRPr="007F5B58">
        <w:rPr>
          <w:rtl/>
        </w:rPr>
        <w:t>،</w:t>
      </w:r>
      <w:r>
        <w:rPr>
          <w:rtl/>
        </w:rPr>
        <w:t xml:space="preserve"> وأن لا تطالب بالمهر المرتفع</w:t>
      </w:r>
      <w:r w:rsidRPr="007F5B58">
        <w:rPr>
          <w:rtl/>
        </w:rPr>
        <w:t>،</w:t>
      </w:r>
      <w:r w:rsidRPr="001C6F61">
        <w:rPr>
          <w:rtl/>
        </w:rPr>
        <w:t xml:space="preserve"> مع التصريح بكراهية أن يتجاوز مهرها مهر السنّة</w:t>
      </w:r>
      <w:r w:rsidRPr="007F5B58">
        <w:rPr>
          <w:rtl/>
        </w:rPr>
        <w:t>،</w:t>
      </w:r>
      <w:r>
        <w:rPr>
          <w:rtl/>
        </w:rPr>
        <w:t xml:space="preserve"> الذي حُدِّد بما يعادل </w:t>
      </w:r>
      <w:r w:rsidRPr="001C6F61">
        <w:rPr>
          <w:rtl/>
        </w:rPr>
        <w:t>500 درهم</w:t>
      </w:r>
      <w:r w:rsidRPr="00815C4C">
        <w:rPr>
          <w:rFonts w:cs="Taher"/>
          <w:vertAlign w:val="superscript"/>
          <w:rtl/>
        </w:rPr>
        <w:t>(</w:t>
      </w:r>
      <w:r w:rsidRPr="00815C4C">
        <w:rPr>
          <w:rFonts w:cs="Taher"/>
          <w:vertAlign w:val="superscript"/>
          <w:rtl/>
        </w:rPr>
        <w:footnoteReference w:id="773"/>
      </w:r>
      <w:r w:rsidRPr="00815C4C">
        <w:rPr>
          <w:rFonts w:cs="Taher"/>
          <w:vertAlign w:val="superscript"/>
          <w:rtl/>
        </w:rPr>
        <w:t>)</w:t>
      </w:r>
      <w:r w:rsidRPr="007F5B58">
        <w:rPr>
          <w:rtl/>
        </w:rPr>
        <w:t>؛</w:t>
      </w:r>
      <w:r>
        <w:rPr>
          <w:rtl/>
        </w:rPr>
        <w:t xml:space="preserve"> لأنّ طبيعة الهدايا والعطايا تقتضي أن يقوم معطي الهديّة بإعداد وتقديم هديّةٍ تتـناسب مع شأن المُهدى إليه</w:t>
      </w:r>
      <w:r w:rsidRPr="007F5B58">
        <w:rPr>
          <w:rtl/>
        </w:rPr>
        <w:t>،</w:t>
      </w:r>
      <w:r>
        <w:rPr>
          <w:rtl/>
        </w:rPr>
        <w:t xml:space="preserve"> الذي من الأفضل له ـ بدوره ـ أن لا يتمنّع عن قبول الهديّة كائناً ما كانت</w:t>
      </w:r>
      <w:r w:rsidRPr="007F5B58">
        <w:rPr>
          <w:rtl/>
        </w:rPr>
        <w:t>،</w:t>
      </w:r>
      <w:r>
        <w:rPr>
          <w:rtl/>
        </w:rPr>
        <w:t xml:space="preserve"> وليس من اللاّئق بشأن مستلم الهديّة ومكانته واحترامه أن يساوم في الهدية</w:t>
      </w:r>
      <w:r w:rsidRPr="007F5B58">
        <w:rPr>
          <w:rtl/>
        </w:rPr>
        <w:t>،</w:t>
      </w:r>
      <w:r>
        <w:rPr>
          <w:rtl/>
        </w:rPr>
        <w:t xml:space="preserve"> أو</w:t>
      </w:r>
      <w:r>
        <w:rPr>
          <w:rFonts w:hint="cs"/>
          <w:rtl/>
        </w:rPr>
        <w:t xml:space="preserve"> </w:t>
      </w:r>
      <w:r>
        <w:rPr>
          <w:rtl/>
        </w:rPr>
        <w:t>يحدّد لها شروطاً وقيوداً خاصّة.</w:t>
      </w:r>
    </w:p>
    <w:p w:rsidR="00AC628B" w:rsidRDefault="00AC628B" w:rsidP="00AC628B">
      <w:pPr>
        <w:pStyle w:val="ac"/>
        <w:rPr>
          <w:rtl/>
        </w:rPr>
      </w:pPr>
      <w:r>
        <w:rPr>
          <w:rtl/>
        </w:rPr>
        <w:lastRenderedPageBreak/>
        <w:t>والنتيجة أنّ النظريّة التي تبدو أكثر انسجاماً مع الآيات والروايات التي تحدّثت عن المهر هي النظريّة القائلة بأن المهر هديّة وعطيّة إلهيّة</w:t>
      </w:r>
      <w:r w:rsidRPr="007F5B58">
        <w:rPr>
          <w:rtl/>
        </w:rPr>
        <w:t>،</w:t>
      </w:r>
      <w:r>
        <w:rPr>
          <w:rtl/>
        </w:rPr>
        <w:t xml:space="preserve"> يتوجّب على الزوج أن يُقدّمها للزوجة ضمن عقد الزواج.</w:t>
      </w:r>
    </w:p>
    <w:p w:rsidR="00AC628B" w:rsidRDefault="00AC628B" w:rsidP="00E32EF1">
      <w:pPr>
        <w:pStyle w:val="afffffc"/>
        <w:rPr>
          <w:rtl/>
        </w:rPr>
      </w:pPr>
    </w:p>
    <w:p w:rsidR="00AC628B" w:rsidRPr="00F309F1" w:rsidRDefault="00AC628B" w:rsidP="007F7201">
      <w:pPr>
        <w:pStyle w:val="1"/>
        <w:rPr>
          <w:rtl/>
        </w:rPr>
      </w:pPr>
      <w:bookmarkStart w:id="397" w:name="_Toc275128113"/>
      <w:r>
        <w:rPr>
          <w:rtl/>
        </w:rPr>
        <w:t>2ـ حكم المهر</w:t>
      </w:r>
      <w:bookmarkEnd w:id="397"/>
    </w:p>
    <w:p w:rsidR="00AC628B" w:rsidRDefault="00AC628B" w:rsidP="00AC628B">
      <w:pPr>
        <w:pStyle w:val="ac"/>
        <w:rPr>
          <w:rtl/>
        </w:rPr>
      </w:pPr>
      <w:r>
        <w:rPr>
          <w:rtl/>
        </w:rPr>
        <w:t>عرفنا أنّ المهر عبارة عن هديّة تـنتقل بالتوافق والتراضي من الزوج إلى زوجته</w:t>
      </w:r>
      <w:r w:rsidRPr="007F5B58">
        <w:rPr>
          <w:rtl/>
        </w:rPr>
        <w:t>،</w:t>
      </w:r>
      <w:r>
        <w:rPr>
          <w:rtl/>
        </w:rPr>
        <w:t xml:space="preserve"> إلاّ أنّ الذي ينبغي الالتفات إليه هنا هو أنّ حكم المهر مغاير لحكم المال الموهوب</w:t>
      </w:r>
      <w:r w:rsidRPr="007F5B58">
        <w:rPr>
          <w:rtl/>
        </w:rPr>
        <w:t>،</w:t>
      </w:r>
      <w:r>
        <w:rPr>
          <w:rtl/>
        </w:rPr>
        <w:t xml:space="preserve"> حيث يكون الواهب مخيَّراً بين تقديم الهبة وعدم تقديمها</w:t>
      </w:r>
      <w:r w:rsidRPr="007F5B58">
        <w:rPr>
          <w:rtl/>
        </w:rPr>
        <w:t>،</w:t>
      </w:r>
      <w:r>
        <w:rPr>
          <w:rtl/>
        </w:rPr>
        <w:t xml:space="preserve"> فالمهر</w:t>
      </w:r>
      <w:r w:rsidRPr="007F5B58">
        <w:rPr>
          <w:rtl/>
        </w:rPr>
        <w:t>،</w:t>
      </w:r>
      <w:r>
        <w:rPr>
          <w:rtl/>
        </w:rPr>
        <w:t xml:space="preserve"> وإن كان هديّةً</w:t>
      </w:r>
      <w:r w:rsidRPr="007F5B58">
        <w:rPr>
          <w:rtl/>
        </w:rPr>
        <w:t>،</w:t>
      </w:r>
      <w:r>
        <w:rPr>
          <w:rtl/>
        </w:rPr>
        <w:t xml:space="preserve"> إلاّ أنّ الزوج ملزم بحكم الشارع والقانون بدفعها وتقديمها إلى الزوجة</w:t>
      </w:r>
      <w:r>
        <w:rPr>
          <w:rFonts w:hint="cs"/>
          <w:rtl/>
        </w:rPr>
        <w:t>.</w:t>
      </w:r>
      <w:r>
        <w:rPr>
          <w:rtl/>
        </w:rPr>
        <w:t xml:space="preserve"> ومن هنا ورد التأكيد على لزوم دفع المهر في آيات متعدّدة من القرآن الكريم</w:t>
      </w:r>
      <w:r w:rsidRPr="007F5B58">
        <w:rPr>
          <w:rtl/>
        </w:rPr>
        <w:t>،</w:t>
      </w:r>
      <w:r>
        <w:rPr>
          <w:rtl/>
        </w:rPr>
        <w:t xml:space="preserve"> كما في قوله تعالى</w:t>
      </w:r>
      <w:r w:rsidRPr="007F5B58">
        <w:rPr>
          <w:rtl/>
        </w:rPr>
        <w:t>:</w:t>
      </w:r>
      <w:r>
        <w:rPr>
          <w:rtl/>
        </w:rPr>
        <w:t xml:space="preserve"> </w:t>
      </w:r>
      <w:r w:rsidRPr="00D66643">
        <w:rPr>
          <w:rFonts w:cs="Taher"/>
          <w:rtl/>
        </w:rPr>
        <w:t>{</w:t>
      </w:r>
      <w:r w:rsidRPr="00AC628B">
        <w:rPr>
          <w:b/>
          <w:bCs/>
          <w:rtl/>
        </w:rPr>
        <w:t>وَإِنْ أَرَدتُّمُ اسْتِبْدَالَ زَوْجٍ مَّكَانَ زَوْجٍ وَآتَيْتُمْ إِحْدَاهُنَّ قِنطَاراً فَلاَ تَأْخُذُواْ مِنْهُ شَيْئاً أَتَأْخُذُونَهُ بُهْتَاناً وَإِثْماً مُّبِيناً</w:t>
      </w:r>
      <w:r w:rsidRPr="00AC628B">
        <w:rPr>
          <w:rFonts w:hint="cs"/>
          <w:b/>
          <w:bCs/>
          <w:rtl/>
        </w:rPr>
        <w:t xml:space="preserve"> </w:t>
      </w:r>
      <w:r w:rsidRPr="00AC628B">
        <w:rPr>
          <w:b/>
          <w:bCs/>
          <w:rtl/>
        </w:rPr>
        <w:t>* وَكَيْفَ تَأْخُذُونَهُ وَقَدْ أَفْضَى بَعْضُكُمْ إِلَى بَعْضٍ وَأَخَذْنَ مِنكُم مِّيثَاقاً غَلِيظاً</w:t>
      </w:r>
      <w:r w:rsidRPr="00D66643">
        <w:rPr>
          <w:rFonts w:cs="Taher"/>
          <w:rtl/>
        </w:rPr>
        <w:t>}</w:t>
      </w:r>
      <w:r>
        <w:rPr>
          <w:rtl/>
        </w:rPr>
        <w:t xml:space="preserve"> (النساء</w:t>
      </w:r>
      <w:r w:rsidRPr="007F5B58">
        <w:rPr>
          <w:rtl/>
        </w:rPr>
        <w:t>:</w:t>
      </w:r>
      <w:r>
        <w:rPr>
          <w:rtl/>
        </w:rPr>
        <w:t xml:space="preserve"> 20 ـ 21)</w:t>
      </w:r>
      <w:r>
        <w:rPr>
          <w:rFonts w:hint="cs"/>
          <w:rtl/>
        </w:rPr>
        <w:t>.</w:t>
      </w:r>
    </w:p>
    <w:p w:rsidR="00AC628B" w:rsidRDefault="00AC628B" w:rsidP="00AC628B">
      <w:pPr>
        <w:pStyle w:val="ac"/>
        <w:rPr>
          <w:rtl/>
        </w:rPr>
      </w:pPr>
      <w:r>
        <w:rPr>
          <w:rtl/>
        </w:rPr>
        <w:t>والنقطة المهمّة الملفتة للنظر هنا هي أنّ الأصل في العطيّة والهبة يقتضي أنّ للواهب الحقّ في الرجوع عنها</w:t>
      </w:r>
      <w:r w:rsidRPr="007F5B58">
        <w:rPr>
          <w:rtl/>
        </w:rPr>
        <w:t>،</w:t>
      </w:r>
      <w:r>
        <w:rPr>
          <w:rtl/>
        </w:rPr>
        <w:t xml:space="preserve"> إلاّ أنّ هاتين الآيتين الشريفتين تضمّنتا خطاباً صريحاً من قبل الله تبارك وتعالى للرجال من الأزواج ينهاهم فيه عن استرجاع شيءٍ ممّا كانوا دفعوه لزوجاتهم فيما لو أرادوا طلاقهنّ</w:t>
      </w:r>
      <w:r w:rsidRPr="007F5B58">
        <w:rPr>
          <w:rtl/>
        </w:rPr>
        <w:t>،</w:t>
      </w:r>
      <w:r>
        <w:rPr>
          <w:rtl/>
        </w:rPr>
        <w:t xml:space="preserve"> مهما كان مقداره كبيراً</w:t>
      </w:r>
      <w:r w:rsidRPr="007F5B58">
        <w:rPr>
          <w:rtl/>
        </w:rPr>
        <w:t>،</w:t>
      </w:r>
      <w:r>
        <w:rPr>
          <w:rtl/>
        </w:rPr>
        <w:t xml:space="preserve"> معلّلاً</w:t>
      </w:r>
      <w:r w:rsidRPr="007F5B58">
        <w:rPr>
          <w:rtl/>
        </w:rPr>
        <w:t>:</w:t>
      </w:r>
      <w:r>
        <w:rPr>
          <w:rtl/>
        </w:rPr>
        <w:t xml:space="preserve"> كيف تأخذونه منهنّ</w:t>
      </w:r>
      <w:r w:rsidRPr="007F5B58">
        <w:rPr>
          <w:rtl/>
        </w:rPr>
        <w:t>،</w:t>
      </w:r>
      <w:r>
        <w:rPr>
          <w:rtl/>
        </w:rPr>
        <w:t xml:space="preserve"> وقد حصل الاستمتاع بينكما</w:t>
      </w:r>
      <w:r w:rsidRPr="007F5B58">
        <w:rPr>
          <w:rtl/>
        </w:rPr>
        <w:t>،</w:t>
      </w:r>
      <w:r>
        <w:rPr>
          <w:rtl/>
        </w:rPr>
        <w:t xml:space="preserve"> وكنّ قد أخذنَ منكم ميثاقاً غليظاً؟!</w:t>
      </w:r>
    </w:p>
    <w:p w:rsidR="00AC628B" w:rsidRDefault="00AC628B" w:rsidP="00AC628B">
      <w:pPr>
        <w:pStyle w:val="ac"/>
        <w:rPr>
          <w:rtl/>
        </w:rPr>
      </w:pPr>
      <w:r>
        <w:rPr>
          <w:rtl/>
        </w:rPr>
        <w:t>والملاحظ في هاتين الآيتين أنّ حماية الزوجة يتمّ استـناداً إلى جنبتين اثنتين</w:t>
      </w:r>
      <w:r w:rsidRPr="007F5B58">
        <w:rPr>
          <w:rtl/>
        </w:rPr>
        <w:t>:</w:t>
      </w:r>
      <w:r>
        <w:rPr>
          <w:rtl/>
        </w:rPr>
        <w:t xml:space="preserve"> </w:t>
      </w:r>
    </w:p>
    <w:p w:rsidR="00AC628B" w:rsidRDefault="00AC628B" w:rsidP="00AC628B">
      <w:pPr>
        <w:pStyle w:val="ac"/>
        <w:rPr>
          <w:rtl/>
        </w:rPr>
      </w:pPr>
      <w:r w:rsidRPr="002409EB">
        <w:rPr>
          <w:b/>
          <w:bCs/>
          <w:rtl/>
        </w:rPr>
        <w:t>الأولى</w:t>
      </w:r>
      <w:r w:rsidRPr="007F5B58">
        <w:rPr>
          <w:rtl/>
        </w:rPr>
        <w:t>:</w:t>
      </w:r>
      <w:r>
        <w:rPr>
          <w:rtl/>
        </w:rPr>
        <w:t xml:space="preserve"> الجنبة التكليفيّة</w:t>
      </w:r>
      <w:r w:rsidRPr="007F5B58">
        <w:rPr>
          <w:rtl/>
        </w:rPr>
        <w:t>،</w:t>
      </w:r>
      <w:r>
        <w:rPr>
          <w:rtl/>
        </w:rPr>
        <w:t xml:space="preserve"> التي مفادها أنّ أخذ المهر من الزوجة من دون إحراز رضاها التامّ وطيب نفسها يُعدّ بهتاناً وإثماً مبيناً</w:t>
      </w:r>
      <w:r w:rsidRPr="007F5B58">
        <w:rPr>
          <w:rtl/>
        </w:rPr>
        <w:t>،</w:t>
      </w:r>
      <w:r>
        <w:rPr>
          <w:rtl/>
        </w:rPr>
        <w:t xml:space="preserve"> وكيف تعصون الله تبارك وتعالى وتأتون البهتان في محضره؟</w:t>
      </w:r>
    </w:p>
    <w:p w:rsidR="00AC628B" w:rsidRDefault="00AC628B" w:rsidP="00AC628B">
      <w:pPr>
        <w:pStyle w:val="ac"/>
        <w:rPr>
          <w:rtl/>
        </w:rPr>
      </w:pPr>
      <w:r w:rsidRPr="002409EB">
        <w:rPr>
          <w:b/>
          <w:bCs/>
          <w:rtl/>
        </w:rPr>
        <w:t>والثانية</w:t>
      </w:r>
      <w:r w:rsidRPr="007F5B58">
        <w:rPr>
          <w:rtl/>
        </w:rPr>
        <w:t>:</w:t>
      </w:r>
      <w:r>
        <w:rPr>
          <w:rtl/>
        </w:rPr>
        <w:t xml:space="preserve"> توجيه سؤال إلى الرجل يخاطب ضميره وشخصيّته</w:t>
      </w:r>
      <w:r w:rsidRPr="007F5B58">
        <w:rPr>
          <w:rtl/>
        </w:rPr>
        <w:t>،</w:t>
      </w:r>
      <w:r>
        <w:rPr>
          <w:rtl/>
        </w:rPr>
        <w:t xml:space="preserve"> ومفاده</w:t>
      </w:r>
      <w:r w:rsidRPr="007F5B58">
        <w:rPr>
          <w:rtl/>
        </w:rPr>
        <w:t>:</w:t>
      </w:r>
      <w:r>
        <w:rPr>
          <w:rtl/>
        </w:rPr>
        <w:t xml:space="preserve"> كيف ترضون بأن تأخذوا مهور النساء مع ما أخذنَه عليكم من العهود الموثّقة والمواثيق الغليظة؟! </w:t>
      </w:r>
      <w:r>
        <w:rPr>
          <w:rtl/>
        </w:rPr>
        <w:lastRenderedPageBreak/>
        <w:t>ونحن نعلم بأنّ الإخلال وعدم الوفاء بالعهود يصنّفان في نظر المجتمع والعرف في دائرة الصفات الإنسانيّة الأسوأ على الإطلاق.</w:t>
      </w:r>
    </w:p>
    <w:p w:rsidR="00AC628B" w:rsidRDefault="00AC628B" w:rsidP="00E32EF1">
      <w:pPr>
        <w:pStyle w:val="ac"/>
        <w:spacing w:line="209" w:lineRule="auto"/>
        <w:rPr>
          <w:rtl/>
        </w:rPr>
      </w:pPr>
      <w:r>
        <w:rPr>
          <w:rtl/>
        </w:rPr>
        <w:t>لقد أراد القرآن أن يهزّ ضمير الزوج ويوقظه</w:t>
      </w:r>
      <w:r w:rsidRPr="007F5B58">
        <w:rPr>
          <w:rtl/>
        </w:rPr>
        <w:t>،</w:t>
      </w:r>
      <w:r>
        <w:rPr>
          <w:rtl/>
        </w:rPr>
        <w:t xml:space="preserve"> عبر تذكيره بأنّ أخذ ما دفعه إلى المرأة لا يعدّ لائقاً بشأنه حتى لو كان ما يجمعه بها هو القول واللّفظ فقط</w:t>
      </w:r>
      <w:r w:rsidRPr="007F5B58">
        <w:rPr>
          <w:rtl/>
        </w:rPr>
        <w:t>،</w:t>
      </w:r>
      <w:r>
        <w:rPr>
          <w:rtl/>
        </w:rPr>
        <w:t xml:space="preserve"> فكيف إذا كان الارتباط بينهما ناشئاً عن عهود ومواثيق غليظة ومحكمة؟!</w:t>
      </w:r>
    </w:p>
    <w:p w:rsidR="00AC628B" w:rsidRDefault="00AC628B" w:rsidP="00E32EF1">
      <w:pPr>
        <w:pStyle w:val="ac"/>
        <w:spacing w:line="209" w:lineRule="auto"/>
        <w:rPr>
          <w:rtl/>
        </w:rPr>
      </w:pPr>
      <w:r>
        <w:rPr>
          <w:rtl/>
        </w:rPr>
        <w:t>كما يستفاد من الروايات أيضاً أنّ المهر</w:t>
      </w:r>
      <w:r w:rsidRPr="007F5B58">
        <w:rPr>
          <w:rtl/>
        </w:rPr>
        <w:t>؛</w:t>
      </w:r>
      <w:r>
        <w:rPr>
          <w:rtl/>
        </w:rPr>
        <w:t xml:space="preserve"> بلحاظ حكمه والحماية القانونيّة التي يجب أن تُعطى له</w:t>
      </w:r>
      <w:r w:rsidRPr="007F5B58">
        <w:rPr>
          <w:rtl/>
        </w:rPr>
        <w:t>،</w:t>
      </w:r>
      <w:r>
        <w:rPr>
          <w:rtl/>
        </w:rPr>
        <w:t xml:space="preserve"> يتمتّع بدرجةٍ عالية من الحماية</w:t>
      </w:r>
      <w:r>
        <w:rPr>
          <w:rFonts w:hint="cs"/>
          <w:rtl/>
        </w:rPr>
        <w:t>،</w:t>
      </w:r>
      <w:r>
        <w:rPr>
          <w:rtl/>
        </w:rPr>
        <w:t xml:space="preserve"> تفوق كثيراً الحماية التي أُعطيت لسائر الأموال. ومن هنا فقد أولته الروايات الواردة أهمّيّةً كبيرة</w:t>
      </w:r>
      <w:r w:rsidRPr="007F5B58">
        <w:rPr>
          <w:rtl/>
        </w:rPr>
        <w:t>،</w:t>
      </w:r>
      <w:r>
        <w:rPr>
          <w:rtl/>
        </w:rPr>
        <w:t xml:space="preserve"> فمن ذلك مثلاً</w:t>
      </w:r>
      <w:r w:rsidRPr="007F5B58">
        <w:rPr>
          <w:rtl/>
        </w:rPr>
        <w:t>:</w:t>
      </w:r>
      <w:r>
        <w:rPr>
          <w:rtl/>
        </w:rPr>
        <w:t xml:space="preserve"> ما ورد عن الإمام موسى الكاظم</w:t>
      </w:r>
      <w:r w:rsidRPr="00E61D0D">
        <w:rPr>
          <w:rFonts w:cs="Taher"/>
          <w:rtl/>
        </w:rPr>
        <w:t>×</w:t>
      </w:r>
      <w:r w:rsidRPr="007F5B58">
        <w:rPr>
          <w:rtl/>
        </w:rPr>
        <w:t>،</w:t>
      </w:r>
      <w:r>
        <w:rPr>
          <w:rtl/>
        </w:rPr>
        <w:t xml:space="preserve"> لمّا حضرته الوفاة في سجن هارون</w:t>
      </w:r>
      <w:r w:rsidRPr="007F5B58">
        <w:rPr>
          <w:rtl/>
        </w:rPr>
        <w:t>،</w:t>
      </w:r>
      <w:r>
        <w:rPr>
          <w:rtl/>
        </w:rPr>
        <w:t xml:space="preserve"> على إثر السمّ الذي قدّمه له السنديّ بن شاهك</w:t>
      </w:r>
      <w:r w:rsidRPr="007F5B58">
        <w:rPr>
          <w:rtl/>
        </w:rPr>
        <w:t>،</w:t>
      </w:r>
      <w:r>
        <w:rPr>
          <w:rtl/>
        </w:rPr>
        <w:t xml:space="preserve"> الذي كان الرشيد قد وكّله بحبس الإمام</w:t>
      </w:r>
      <w:r w:rsidRPr="00E61D0D">
        <w:rPr>
          <w:rFonts w:cs="Taher"/>
          <w:rtl/>
        </w:rPr>
        <w:t>×</w:t>
      </w:r>
      <w:r w:rsidRPr="007F5B58">
        <w:rPr>
          <w:rtl/>
        </w:rPr>
        <w:t>،</w:t>
      </w:r>
      <w:r>
        <w:rPr>
          <w:rtl/>
        </w:rPr>
        <w:t xml:space="preserve"> بعد أن قال للإمام</w:t>
      </w:r>
      <w:r w:rsidRPr="00E61D0D">
        <w:rPr>
          <w:rFonts w:cs="Taher"/>
          <w:rtl/>
        </w:rPr>
        <w:t>×</w:t>
      </w:r>
      <w:r w:rsidRPr="007F5B58">
        <w:rPr>
          <w:rtl/>
        </w:rPr>
        <w:t>:</w:t>
      </w:r>
      <w:r>
        <w:rPr>
          <w:rtl/>
        </w:rPr>
        <w:t xml:space="preserve"> دعني أكفّنك</w:t>
      </w:r>
      <w:r w:rsidRPr="007F5B58">
        <w:rPr>
          <w:rtl/>
        </w:rPr>
        <w:t>،</w:t>
      </w:r>
      <w:r>
        <w:rPr>
          <w:rtl/>
        </w:rPr>
        <w:t xml:space="preserve"> فقال له</w:t>
      </w:r>
      <w:r w:rsidRPr="00E61D0D">
        <w:rPr>
          <w:rFonts w:cs="Taher"/>
          <w:rtl/>
        </w:rPr>
        <w:t>×</w:t>
      </w:r>
      <w:r w:rsidRPr="007F5B58">
        <w:rPr>
          <w:rtl/>
        </w:rPr>
        <w:t>:</w:t>
      </w:r>
      <w:r>
        <w:rPr>
          <w:rtl/>
        </w:rPr>
        <w:t xml:space="preserve"> </w:t>
      </w:r>
      <w:r w:rsidRPr="00E76875">
        <w:rPr>
          <w:rtl/>
        </w:rPr>
        <w:t>«إنّا أهل بيت حجّ صرور</w:t>
      </w:r>
      <w:r>
        <w:rPr>
          <w:rtl/>
        </w:rPr>
        <w:t>تـن</w:t>
      </w:r>
      <w:r w:rsidRPr="00E76875">
        <w:rPr>
          <w:rtl/>
        </w:rPr>
        <w:t>ا ومهور نسائنا وأكفاننا من طهور أموالنا»</w:t>
      </w:r>
      <w:r w:rsidRPr="00815C4C">
        <w:rPr>
          <w:rFonts w:cs="Taher"/>
          <w:vertAlign w:val="superscript"/>
          <w:rtl/>
        </w:rPr>
        <w:t>(</w:t>
      </w:r>
      <w:r w:rsidRPr="00815C4C">
        <w:rPr>
          <w:rFonts w:cs="Taher"/>
          <w:vertAlign w:val="superscript"/>
          <w:rtl/>
        </w:rPr>
        <w:footnoteReference w:id="774"/>
      </w:r>
      <w:r w:rsidRPr="00815C4C">
        <w:rPr>
          <w:rFonts w:cs="Taher"/>
          <w:vertAlign w:val="superscript"/>
          <w:rtl/>
        </w:rPr>
        <w:t>)</w:t>
      </w:r>
      <w:r>
        <w:rPr>
          <w:rtl/>
        </w:rPr>
        <w:t>.</w:t>
      </w:r>
    </w:p>
    <w:p w:rsidR="00AC628B" w:rsidRPr="00BE5CF5" w:rsidRDefault="00AC628B" w:rsidP="00E32EF1">
      <w:pPr>
        <w:pStyle w:val="ac"/>
        <w:spacing w:line="209" w:lineRule="auto"/>
        <w:rPr>
          <w:b/>
          <w:bCs/>
          <w:rtl/>
        </w:rPr>
      </w:pPr>
      <w:r w:rsidRPr="00BE5CF5">
        <w:rPr>
          <w:b/>
          <w:bCs/>
          <w:rtl/>
        </w:rPr>
        <w:t>ونلاحظ في هذا الحديث:</w:t>
      </w:r>
    </w:p>
    <w:p w:rsidR="00AC628B" w:rsidRDefault="00AC628B" w:rsidP="00E32EF1">
      <w:pPr>
        <w:pStyle w:val="ac"/>
        <w:spacing w:line="209" w:lineRule="auto"/>
        <w:rPr>
          <w:rtl/>
        </w:rPr>
      </w:pPr>
      <w:r w:rsidRPr="002E4DB0">
        <w:rPr>
          <w:b/>
          <w:bCs/>
          <w:rtl/>
        </w:rPr>
        <w:t>أوّلاً</w:t>
      </w:r>
      <w:r w:rsidRPr="007F5B58">
        <w:rPr>
          <w:rtl/>
        </w:rPr>
        <w:t>:</w:t>
      </w:r>
      <w:r>
        <w:rPr>
          <w:rtl/>
        </w:rPr>
        <w:t xml:space="preserve"> أنّ الإمام</w:t>
      </w:r>
      <w:r w:rsidRPr="00E61D0D">
        <w:rPr>
          <w:rFonts w:cs="Taher"/>
          <w:rtl/>
        </w:rPr>
        <w:t>×</w:t>
      </w:r>
      <w:r>
        <w:rPr>
          <w:rtl/>
        </w:rPr>
        <w:t xml:space="preserve"> جعل المهر عِدلاً للمال الذي يتمّ إنفاقه في حجّ الصرورة</w:t>
      </w:r>
      <w:r w:rsidRPr="007F5B58">
        <w:rPr>
          <w:rtl/>
        </w:rPr>
        <w:t>،</w:t>
      </w:r>
      <w:r>
        <w:rPr>
          <w:rtl/>
        </w:rPr>
        <w:t xml:space="preserve"> وهو أوّل حجٍّ يؤدّيه الحاجّ</w:t>
      </w:r>
      <w:r w:rsidRPr="007F5B58">
        <w:rPr>
          <w:rtl/>
        </w:rPr>
        <w:t>،</w:t>
      </w:r>
      <w:r>
        <w:rPr>
          <w:rtl/>
        </w:rPr>
        <w:t xml:space="preserve"> فيسقط به التكليف بوجوب الحجّ عن عهدة المكلّف</w:t>
      </w:r>
      <w:r w:rsidRPr="007F5B58">
        <w:rPr>
          <w:rtl/>
        </w:rPr>
        <w:t>،</w:t>
      </w:r>
      <w:r>
        <w:rPr>
          <w:rtl/>
        </w:rPr>
        <w:t xml:space="preserve"> وكذا جعله عِدلاً للمال الذي يُشترى به الكفن</w:t>
      </w:r>
      <w:r w:rsidRPr="007F5B58">
        <w:rPr>
          <w:rtl/>
        </w:rPr>
        <w:t>؛</w:t>
      </w:r>
      <w:r>
        <w:rPr>
          <w:rtl/>
        </w:rPr>
        <w:t xml:space="preserve"> ومعلوم أنّ هذين على غايةٍ من الأهمّيّة</w:t>
      </w:r>
      <w:r w:rsidRPr="007F5B58">
        <w:rPr>
          <w:rtl/>
        </w:rPr>
        <w:t>،</w:t>
      </w:r>
      <w:r>
        <w:rPr>
          <w:rtl/>
        </w:rPr>
        <w:t xml:space="preserve"> فجَعلُ المهر عِدلاً وشريكاً لهما يدلّ على أهمّيّته هو أيضاً</w:t>
      </w:r>
      <w:r w:rsidRPr="007F5B58">
        <w:rPr>
          <w:rtl/>
        </w:rPr>
        <w:t>،</w:t>
      </w:r>
      <w:r>
        <w:rPr>
          <w:rtl/>
        </w:rPr>
        <w:t xml:space="preserve"> وعلى أنّه ـ من ناحية الحكم ـ أشدّ وأهمّ بكثير من حكم سائر الأموال</w:t>
      </w:r>
      <w:r w:rsidRPr="007F5B58">
        <w:rPr>
          <w:rtl/>
        </w:rPr>
        <w:t>،</w:t>
      </w:r>
      <w:r>
        <w:rPr>
          <w:rtl/>
        </w:rPr>
        <w:t xml:space="preserve"> وأنّ النتائج التي تترتّب على تضييع مهر المرأة أكثر سوءاً وسلبيّةً من تضييع سائر الحقوق الماليّة.</w:t>
      </w:r>
    </w:p>
    <w:p w:rsidR="00AC628B" w:rsidRDefault="00AC628B" w:rsidP="00AC628B">
      <w:pPr>
        <w:pStyle w:val="ac"/>
        <w:rPr>
          <w:rtl/>
        </w:rPr>
      </w:pPr>
      <w:r w:rsidRPr="002E4DB0">
        <w:rPr>
          <w:b/>
          <w:bCs/>
          <w:rtl/>
        </w:rPr>
        <w:t>وثانياً</w:t>
      </w:r>
      <w:r w:rsidRPr="007F5B58">
        <w:rPr>
          <w:rtl/>
        </w:rPr>
        <w:t>:</w:t>
      </w:r>
      <w:r>
        <w:rPr>
          <w:rtl/>
        </w:rPr>
        <w:t xml:space="preserve"> نسب الإمام</w:t>
      </w:r>
      <w:r w:rsidRPr="00E61D0D">
        <w:rPr>
          <w:rFonts w:cs="Taher"/>
          <w:rtl/>
        </w:rPr>
        <w:t>×</w:t>
      </w:r>
      <w:r>
        <w:rPr>
          <w:rtl/>
        </w:rPr>
        <w:t xml:space="preserve"> هذا العمل إلى أهل البيت</w:t>
      </w:r>
      <w:r w:rsidRPr="007F5B58">
        <w:rPr>
          <w:rtl/>
        </w:rPr>
        <w:t>،</w:t>
      </w:r>
      <w:r>
        <w:rPr>
          <w:rtl/>
        </w:rPr>
        <w:t xml:space="preserve"> ممّا أضفى عليه الصبغة العامّة</w:t>
      </w:r>
      <w:r w:rsidRPr="007F5B58">
        <w:rPr>
          <w:rtl/>
        </w:rPr>
        <w:t>،</w:t>
      </w:r>
      <w:r>
        <w:rPr>
          <w:rtl/>
        </w:rPr>
        <w:t xml:space="preserve"> وجعل منه عملاً تدعو إليه السنّة</w:t>
      </w:r>
      <w:r w:rsidRPr="007F5B58">
        <w:rPr>
          <w:rtl/>
        </w:rPr>
        <w:t>،</w:t>
      </w:r>
      <w:r>
        <w:rPr>
          <w:rtl/>
        </w:rPr>
        <w:t xml:space="preserve"> فالإمام</w:t>
      </w:r>
      <w:r w:rsidRPr="00E61D0D">
        <w:rPr>
          <w:rFonts w:cs="Taher"/>
          <w:rtl/>
        </w:rPr>
        <w:t>×</w:t>
      </w:r>
      <w:r>
        <w:rPr>
          <w:rtl/>
        </w:rPr>
        <w:t xml:space="preserve"> لم ينسب هذا العمل إلى نفسه</w:t>
      </w:r>
      <w:r w:rsidRPr="007F5B58">
        <w:rPr>
          <w:rtl/>
        </w:rPr>
        <w:t>؛</w:t>
      </w:r>
      <w:r>
        <w:rPr>
          <w:rtl/>
        </w:rPr>
        <w:t xml:space="preserve"> إذ لم يقل ـ مثلاً ـ</w:t>
      </w:r>
      <w:r w:rsidRPr="007F5B58">
        <w:rPr>
          <w:rtl/>
        </w:rPr>
        <w:t>:</w:t>
      </w:r>
      <w:r>
        <w:rPr>
          <w:rtl/>
        </w:rPr>
        <w:t xml:space="preserve"> أنا رجل يؤدّي مهر زوجته من طهور ماله</w:t>
      </w:r>
      <w:r w:rsidRPr="007F5B58">
        <w:rPr>
          <w:rtl/>
        </w:rPr>
        <w:t>،</w:t>
      </w:r>
      <w:r>
        <w:rPr>
          <w:rtl/>
        </w:rPr>
        <w:t xml:space="preserve"> بل قال</w:t>
      </w:r>
      <w:r w:rsidRPr="007F5B58">
        <w:rPr>
          <w:rtl/>
        </w:rPr>
        <w:t>:</w:t>
      </w:r>
      <w:r>
        <w:rPr>
          <w:rtl/>
        </w:rPr>
        <w:t xml:space="preserve"> إنّا أهل بيت مهور نسائنا </w:t>
      </w:r>
      <w:r>
        <w:rPr>
          <w:rtl/>
        </w:rPr>
        <w:lastRenderedPageBreak/>
        <w:t>من مالنا الطاهر الحلال.</w:t>
      </w:r>
    </w:p>
    <w:p w:rsidR="00AC628B" w:rsidRDefault="00AC628B" w:rsidP="00AC628B">
      <w:pPr>
        <w:pStyle w:val="ac"/>
        <w:rPr>
          <w:rtl/>
        </w:rPr>
      </w:pPr>
      <w:r>
        <w:rPr>
          <w:rtl/>
        </w:rPr>
        <w:t>وفي حديثٍ آخر عن إمامنا الصادق</w:t>
      </w:r>
      <w:r w:rsidRPr="00E61D0D">
        <w:rPr>
          <w:rFonts w:cs="Taher"/>
          <w:rtl/>
        </w:rPr>
        <w:t>×</w:t>
      </w:r>
      <w:r w:rsidRPr="00E61D0D">
        <w:rPr>
          <w:rtl/>
        </w:rPr>
        <w:t>: «من تزوّج امرأةً ولم ينوِ أن يوفّيها صداقها فهو عند الله زانٍ»</w:t>
      </w:r>
      <w:r w:rsidRPr="00815C4C">
        <w:rPr>
          <w:rFonts w:cs="Taher"/>
          <w:vertAlign w:val="superscript"/>
          <w:rtl/>
        </w:rPr>
        <w:t>(</w:t>
      </w:r>
      <w:r w:rsidRPr="00815C4C">
        <w:rPr>
          <w:rFonts w:cs="Taher"/>
          <w:vertAlign w:val="superscript"/>
          <w:rtl/>
        </w:rPr>
        <w:footnoteReference w:id="775"/>
      </w:r>
      <w:r w:rsidRPr="00815C4C">
        <w:rPr>
          <w:rFonts w:cs="Taher"/>
          <w:vertAlign w:val="superscript"/>
          <w:rtl/>
        </w:rPr>
        <w:t>)</w:t>
      </w:r>
      <w:r w:rsidRPr="00E61D0D">
        <w:rPr>
          <w:rtl/>
        </w:rPr>
        <w:t>.</w:t>
      </w:r>
      <w:r>
        <w:rPr>
          <w:rtl/>
        </w:rPr>
        <w:t xml:space="preserve"> ولا شكّ في أنّ لسان هذا الحديث يكشف عن أهمّيّةٍ قصوى لحكم المهر</w:t>
      </w:r>
      <w:r w:rsidRPr="007F5B58">
        <w:rPr>
          <w:rtl/>
        </w:rPr>
        <w:t>،</w:t>
      </w:r>
      <w:r>
        <w:rPr>
          <w:rtl/>
        </w:rPr>
        <w:t xml:space="preserve"> حيث دلّ على أنّ قصد عدم وفاء المهر يوجب أن يُعدّ الرجل عند الله تبارك وتعالى في زمرة الزناة.</w:t>
      </w:r>
    </w:p>
    <w:p w:rsidR="00AC628B" w:rsidRDefault="00AC628B" w:rsidP="00AC628B">
      <w:pPr>
        <w:pStyle w:val="ac"/>
        <w:rPr>
          <w:rtl/>
        </w:rPr>
      </w:pPr>
      <w:r>
        <w:rPr>
          <w:rtl/>
        </w:rPr>
        <w:t>وهكذا يتّضح أنّ المهر بالرغم من كونه ـ بلحاظ ماهيّته ـ هديّةً يقدّمها الزوج إلى زوجته بأمر من الله تعالى</w:t>
      </w:r>
      <w:r w:rsidRPr="007F5B58">
        <w:rPr>
          <w:rtl/>
        </w:rPr>
        <w:t>،</w:t>
      </w:r>
      <w:r>
        <w:rPr>
          <w:rtl/>
        </w:rPr>
        <w:t xml:space="preserve"> إلاّ أنّه ـ بلحاظ حكمه ـ يتمتّع بقدرٍ كبير جدّاً من الحماية الحقوقيّة والقانونيّة</w:t>
      </w:r>
      <w:r w:rsidRPr="007F5B58">
        <w:rPr>
          <w:rtl/>
        </w:rPr>
        <w:t>،</w:t>
      </w:r>
      <w:r>
        <w:rPr>
          <w:rtl/>
        </w:rPr>
        <w:t xml:space="preserve"> وقد عُبِّر عنه في القرآن الكريم بـ «الميثاق الغليظ»</w:t>
      </w:r>
      <w:r w:rsidRPr="007F5B58">
        <w:rPr>
          <w:rtl/>
        </w:rPr>
        <w:t>،</w:t>
      </w:r>
      <w:r>
        <w:rPr>
          <w:rtl/>
        </w:rPr>
        <w:t xml:space="preserve"> وهو عنوان لم يُستخدم مثله في التعبير عن أيّ حقٍّ ماليٍّ آخر. وعلى هذا الأساس يمكن القول</w:t>
      </w:r>
      <w:r w:rsidRPr="007F5B58">
        <w:rPr>
          <w:rtl/>
        </w:rPr>
        <w:t>:</w:t>
      </w:r>
      <w:r>
        <w:rPr>
          <w:rtl/>
        </w:rPr>
        <w:t xml:space="preserve"> إنّ حرمة أموال الناس ـ بحسب النظام الحقوقيّ في الإسلام ـ بمنزلة دمائهم</w:t>
      </w:r>
      <w:r w:rsidRPr="007F5B58">
        <w:rPr>
          <w:rtl/>
        </w:rPr>
        <w:t>،</w:t>
      </w:r>
      <w:r>
        <w:rPr>
          <w:rtl/>
        </w:rPr>
        <w:t xml:space="preserve"> وقد تم تمييز المهر عن سائر الأموال</w:t>
      </w:r>
      <w:r w:rsidRPr="007F5B58">
        <w:rPr>
          <w:rtl/>
        </w:rPr>
        <w:t>،</w:t>
      </w:r>
      <w:r>
        <w:rPr>
          <w:rtl/>
        </w:rPr>
        <w:t xml:space="preserve"> عبر إعطائه مزيداً من التأكيد والأهمّيّة</w:t>
      </w:r>
      <w:r w:rsidRPr="007F5B58">
        <w:rPr>
          <w:rtl/>
        </w:rPr>
        <w:t>،</w:t>
      </w:r>
      <w:r>
        <w:rPr>
          <w:rtl/>
        </w:rPr>
        <w:t xml:space="preserve"> وعبر إقرار ضمانات إجرائيّة أشدّ</w:t>
      </w:r>
      <w:r w:rsidRPr="007F5B58">
        <w:rPr>
          <w:rtl/>
        </w:rPr>
        <w:t>؛</w:t>
      </w:r>
      <w:r>
        <w:rPr>
          <w:rtl/>
        </w:rPr>
        <w:t xml:space="preserve"> للحؤول دون تضييعه.</w:t>
      </w:r>
    </w:p>
    <w:p w:rsidR="00AC628B" w:rsidRPr="007F7201" w:rsidRDefault="00AC628B" w:rsidP="00E32EF1">
      <w:pPr>
        <w:pStyle w:val="afffffc"/>
        <w:rPr>
          <w:sz w:val="16"/>
          <w:szCs w:val="14"/>
          <w:rtl/>
        </w:rPr>
      </w:pPr>
    </w:p>
    <w:p w:rsidR="00AC628B" w:rsidRPr="003C41E4" w:rsidRDefault="00AC628B" w:rsidP="007F7201">
      <w:pPr>
        <w:pStyle w:val="1"/>
        <w:rPr>
          <w:rtl/>
        </w:rPr>
      </w:pPr>
      <w:bookmarkStart w:id="398" w:name="_Toc275128114"/>
      <w:r>
        <w:rPr>
          <w:rtl/>
        </w:rPr>
        <w:t>3ـ مقدار المهر</w:t>
      </w:r>
      <w:bookmarkEnd w:id="398"/>
    </w:p>
    <w:p w:rsidR="00AC628B" w:rsidRDefault="00AC628B" w:rsidP="00E32EF1">
      <w:pPr>
        <w:pStyle w:val="ac"/>
        <w:spacing w:line="199" w:lineRule="auto"/>
        <w:rPr>
          <w:rtl/>
        </w:rPr>
      </w:pPr>
      <w:r>
        <w:rPr>
          <w:rtl/>
        </w:rPr>
        <w:t>من أبرز المشاكل التي يواجهها الزوجان والمجتمع على الصعيد الحقوقيّ مشكلة تعيين مقدار المهر</w:t>
      </w:r>
      <w:r w:rsidRPr="007F5B58">
        <w:rPr>
          <w:rtl/>
        </w:rPr>
        <w:t>،</w:t>
      </w:r>
      <w:r>
        <w:rPr>
          <w:rtl/>
        </w:rPr>
        <w:t xml:space="preserve"> وبتعبير آخر</w:t>
      </w:r>
      <w:r w:rsidRPr="007F5B58">
        <w:rPr>
          <w:rtl/>
        </w:rPr>
        <w:t>:</w:t>
      </w:r>
      <w:r>
        <w:rPr>
          <w:rtl/>
        </w:rPr>
        <w:t xml:space="preserve"> مشكلة غلاء المهر وارتفاع قيمته</w:t>
      </w:r>
      <w:r w:rsidRPr="007F5B58">
        <w:rPr>
          <w:rtl/>
        </w:rPr>
        <w:t>؛</w:t>
      </w:r>
      <w:r>
        <w:rPr>
          <w:rtl/>
        </w:rPr>
        <w:t xml:space="preserve"> ذلك لأنّ غالبيّة المهور الرائجة حاليّاً في أوساط العرف مبتلاة بمشكلة الغلاء إلى درجةٍ كبيرة</w:t>
      </w:r>
      <w:r w:rsidRPr="007F5B58">
        <w:rPr>
          <w:rtl/>
        </w:rPr>
        <w:t>،</w:t>
      </w:r>
      <w:r>
        <w:rPr>
          <w:rtl/>
        </w:rPr>
        <w:t xml:space="preserve"> بحيث يحتاج الرجل ـ عادةً ـ إلى السعي الحثيث</w:t>
      </w:r>
      <w:r w:rsidRPr="007F5B58">
        <w:rPr>
          <w:rtl/>
        </w:rPr>
        <w:t>،</w:t>
      </w:r>
      <w:r>
        <w:rPr>
          <w:rtl/>
        </w:rPr>
        <w:t xml:space="preserve"> بل إلى بذل عمره كاملاً</w:t>
      </w:r>
      <w:r w:rsidRPr="007F5B58">
        <w:rPr>
          <w:rtl/>
        </w:rPr>
        <w:t>،</w:t>
      </w:r>
      <w:r>
        <w:rPr>
          <w:rtl/>
        </w:rPr>
        <w:t xml:space="preserve"> لتحصيل القدرة على الوفاء لزوجته بالمهر المسمّى والمتّفق عليه بينهما</w:t>
      </w:r>
      <w:r w:rsidRPr="007F5B58">
        <w:rPr>
          <w:rtl/>
        </w:rPr>
        <w:t>؛</w:t>
      </w:r>
      <w:r>
        <w:rPr>
          <w:rtl/>
        </w:rPr>
        <w:t xml:space="preserve"> ممّا يحتّم علينا أن نرى هل جعلت حقوق الإسلام للمهر حدوداً ما من ناحية المقدار</w:t>
      </w:r>
      <w:r w:rsidRPr="007F5B58">
        <w:rPr>
          <w:rtl/>
        </w:rPr>
        <w:t>،</w:t>
      </w:r>
      <w:r>
        <w:rPr>
          <w:rtl/>
        </w:rPr>
        <w:t xml:space="preserve"> بحيث لا يجوز التعدّي عن هذه الحدود المعيّنة من قبل الشارع أو أنّ أيّ مقدار يتّفق عليه الطرفان يكون نافذاً</w:t>
      </w:r>
      <w:r w:rsidRPr="007F5B58">
        <w:rPr>
          <w:rtl/>
        </w:rPr>
        <w:t>،</w:t>
      </w:r>
      <w:r>
        <w:rPr>
          <w:rtl/>
        </w:rPr>
        <w:t xml:space="preserve"> ويُعدّ صحيحاً من الناحية الحقوقيّة؟ وفي حالة عدم الإلزام بمقدارٍ معيّن للمهر في حقوق الإسلام فهل تكون المهور المرتفعة الرائجة لدى العرف نافذةً</w:t>
      </w:r>
      <w:r w:rsidRPr="007F5B58">
        <w:rPr>
          <w:rtl/>
        </w:rPr>
        <w:t>،</w:t>
      </w:r>
      <w:r>
        <w:rPr>
          <w:rtl/>
        </w:rPr>
        <w:t xml:space="preserve"> ويكون الزوج ـ طبقاً </w:t>
      </w:r>
      <w:r>
        <w:rPr>
          <w:rtl/>
        </w:rPr>
        <w:lastRenderedPageBreak/>
        <w:t>لمبادئ حقوق الإسلام ـ مديوناً للزوجة به</w:t>
      </w:r>
      <w:r w:rsidRPr="007F5B58">
        <w:rPr>
          <w:rtl/>
        </w:rPr>
        <w:t>،</w:t>
      </w:r>
      <w:r>
        <w:rPr>
          <w:rtl/>
        </w:rPr>
        <w:t xml:space="preserve"> ويجب عليه أن يدفعه إليها أو لا؟</w:t>
      </w:r>
    </w:p>
    <w:p w:rsidR="00AC628B" w:rsidRPr="00BE5CF5" w:rsidRDefault="00AC628B" w:rsidP="00AC628B">
      <w:pPr>
        <w:pStyle w:val="ac"/>
        <w:rPr>
          <w:b/>
          <w:bCs/>
          <w:rtl/>
        </w:rPr>
      </w:pPr>
      <w:r w:rsidRPr="00BE5CF5">
        <w:rPr>
          <w:b/>
          <w:bCs/>
          <w:rtl/>
        </w:rPr>
        <w:t>وفي مقام الجواب لا بدّ من التفصيل بين صورتين:</w:t>
      </w:r>
    </w:p>
    <w:p w:rsidR="00AC628B" w:rsidRPr="00E32EF1" w:rsidRDefault="00AC628B" w:rsidP="00E32EF1">
      <w:pPr>
        <w:pStyle w:val="afffffc"/>
        <w:rPr>
          <w:sz w:val="20"/>
          <w:szCs w:val="18"/>
          <w:rtl/>
        </w:rPr>
      </w:pPr>
    </w:p>
    <w:p w:rsidR="00AC628B" w:rsidRPr="00163239" w:rsidRDefault="00AC628B" w:rsidP="00E32EF1">
      <w:pPr>
        <w:pStyle w:val="3"/>
        <w:rPr>
          <w:rtl/>
        </w:rPr>
      </w:pPr>
      <w:bookmarkStart w:id="399" w:name="_Toc275128115"/>
      <w:r>
        <w:rPr>
          <w:rtl/>
        </w:rPr>
        <w:t>أـ</w:t>
      </w:r>
      <w:r w:rsidRPr="00163239">
        <w:rPr>
          <w:rtl/>
        </w:rPr>
        <w:t xml:space="preserve"> </w:t>
      </w:r>
      <w:r>
        <w:rPr>
          <w:rtl/>
        </w:rPr>
        <w:t>تعيين مقدار المهر من قبل الزوجة</w:t>
      </w:r>
      <w:bookmarkEnd w:id="399"/>
    </w:p>
    <w:p w:rsidR="00AC628B" w:rsidRDefault="00AC628B" w:rsidP="00AC628B">
      <w:pPr>
        <w:pStyle w:val="ac"/>
        <w:rPr>
          <w:rtl/>
        </w:rPr>
      </w:pPr>
      <w:r>
        <w:rPr>
          <w:rtl/>
        </w:rPr>
        <w:t>المهر ـ كما أسلفنا ـ هديّةٌ يُلزم الزوج بدفعها إلى الزوجة. وهذا الطابع الإهدائيّ الذي يتّصف به المهر يُتيح للمرأة أن تكون هي المولَجة بتعيين مقداره. ففي المورد التي يتمّ فيه تفويض أمر تعيين المهر إلى الزوجة يكون هناك حدّ أقصى لا يُسمح للمرأة بتجاوزه</w:t>
      </w:r>
      <w:r w:rsidRPr="007F5B58">
        <w:rPr>
          <w:rtl/>
        </w:rPr>
        <w:t>،</w:t>
      </w:r>
      <w:r>
        <w:rPr>
          <w:rtl/>
        </w:rPr>
        <w:t xml:space="preserve"> ولا يكون لها حقٌّ في تسمية مقدارٍ يزيد عليه</w:t>
      </w:r>
      <w:r w:rsidRPr="007F5B58">
        <w:rPr>
          <w:rtl/>
        </w:rPr>
        <w:t>،</w:t>
      </w:r>
      <w:r>
        <w:rPr>
          <w:rtl/>
        </w:rPr>
        <w:t xml:space="preserve"> وهو مقدار مهر السنّة</w:t>
      </w:r>
      <w:r w:rsidRPr="007F5B58">
        <w:rPr>
          <w:rtl/>
        </w:rPr>
        <w:t>،</w:t>
      </w:r>
      <w:r>
        <w:rPr>
          <w:rtl/>
        </w:rPr>
        <w:t xml:space="preserve"> الذي هو خمسمائة درهم فقط</w:t>
      </w:r>
      <w:r w:rsidRPr="007F5B58">
        <w:rPr>
          <w:rtl/>
        </w:rPr>
        <w:t>،</w:t>
      </w:r>
      <w:r>
        <w:rPr>
          <w:rtl/>
        </w:rPr>
        <w:t xml:space="preserve"> فليس لها أن تزيد على الخمسمائة شيئاً. </w:t>
      </w:r>
    </w:p>
    <w:p w:rsidR="00AC628B" w:rsidRDefault="00AC628B" w:rsidP="00AC628B">
      <w:pPr>
        <w:pStyle w:val="ac"/>
        <w:rPr>
          <w:rtl/>
        </w:rPr>
      </w:pPr>
      <w:r>
        <w:rPr>
          <w:rtl/>
        </w:rPr>
        <w:t>وهذه النظريّة إجماعيّة</w:t>
      </w:r>
      <w:r w:rsidRPr="007F5B58">
        <w:rPr>
          <w:rtl/>
        </w:rPr>
        <w:t>،</w:t>
      </w:r>
      <w:r>
        <w:rPr>
          <w:rtl/>
        </w:rPr>
        <w:t xml:space="preserve"> ومحلّ اتّفاق بين جميع فقهاء الإماميّة</w:t>
      </w:r>
      <w:r w:rsidRPr="007F5B58">
        <w:rPr>
          <w:rtl/>
        </w:rPr>
        <w:t>؛</w:t>
      </w:r>
      <w:r>
        <w:rPr>
          <w:rtl/>
        </w:rPr>
        <w:t xml:space="preserve"> إذ لم يظهر لأحدٍ منهم خلاف في صحّتها</w:t>
      </w:r>
      <w:r w:rsidRPr="00815C4C">
        <w:rPr>
          <w:rFonts w:cs="Taher"/>
          <w:vertAlign w:val="superscript"/>
          <w:rtl/>
        </w:rPr>
        <w:t>(</w:t>
      </w:r>
      <w:r w:rsidRPr="00815C4C">
        <w:rPr>
          <w:rFonts w:cs="Taher"/>
          <w:vertAlign w:val="superscript"/>
          <w:rtl/>
        </w:rPr>
        <w:footnoteReference w:id="776"/>
      </w:r>
      <w:r w:rsidRPr="00815C4C">
        <w:rPr>
          <w:rFonts w:cs="Taher"/>
          <w:vertAlign w:val="superscript"/>
          <w:rtl/>
        </w:rPr>
        <w:t>)</w:t>
      </w:r>
      <w:r>
        <w:rPr>
          <w:rtl/>
        </w:rPr>
        <w:t>.</w:t>
      </w:r>
    </w:p>
    <w:p w:rsidR="00AC628B" w:rsidRDefault="00AC628B" w:rsidP="00AC628B">
      <w:pPr>
        <w:pStyle w:val="ac"/>
        <w:rPr>
          <w:rtl/>
        </w:rPr>
      </w:pPr>
      <w:r>
        <w:rPr>
          <w:rtl/>
        </w:rPr>
        <w:t>والمقصود من تعيين المهر من قبل الزوجة أن تقوم هي بتعيينه على سبيل الحكم الجازم والاختيار الكامل والنهائيّ</w:t>
      </w:r>
      <w:r w:rsidRPr="007F5B58">
        <w:rPr>
          <w:rtl/>
        </w:rPr>
        <w:t>،</w:t>
      </w:r>
      <w:r>
        <w:rPr>
          <w:rtl/>
        </w:rPr>
        <w:t xml:space="preserve"> لا مجرّد أن تقدّم للزوج اقتراحاً بمقدارٍ معيَّن</w:t>
      </w:r>
      <w:r w:rsidRPr="007F5B58">
        <w:rPr>
          <w:rtl/>
        </w:rPr>
        <w:t>،</w:t>
      </w:r>
      <w:r>
        <w:rPr>
          <w:rtl/>
        </w:rPr>
        <w:t xml:space="preserve"> فلو أُعطي للزوجة كامل الاختيار أو السلطة المطلقة في تعيين المهر</w:t>
      </w:r>
      <w:r w:rsidRPr="007F5B58">
        <w:rPr>
          <w:rtl/>
        </w:rPr>
        <w:t>،</w:t>
      </w:r>
      <w:r>
        <w:rPr>
          <w:rtl/>
        </w:rPr>
        <w:t xml:space="preserve"> بحيث كان تعيينها لأيّ مقدارٍ يحتّم القبول والأخذ به من دون نقاش</w:t>
      </w:r>
      <w:r w:rsidRPr="007F5B58">
        <w:rPr>
          <w:rtl/>
        </w:rPr>
        <w:t>،</w:t>
      </w:r>
      <w:r>
        <w:rPr>
          <w:rtl/>
        </w:rPr>
        <w:t xml:space="preserve"> بل بشكلٍ حاسمٍ وقطعيّ</w:t>
      </w:r>
      <w:r w:rsidRPr="007F5B58">
        <w:rPr>
          <w:rtl/>
        </w:rPr>
        <w:t>،</w:t>
      </w:r>
      <w:r>
        <w:rPr>
          <w:rtl/>
        </w:rPr>
        <w:t xml:space="preserve"> ففي هذه الحالة يأتي الحكم الذي ذكرناه</w:t>
      </w:r>
      <w:r w:rsidRPr="007F5B58">
        <w:rPr>
          <w:rtl/>
        </w:rPr>
        <w:t>،</w:t>
      </w:r>
      <w:r>
        <w:rPr>
          <w:rtl/>
        </w:rPr>
        <w:t xml:space="preserve"> وهو أنّه لا يصحّ للزوجة أن تعيّن مقداراً يزيد على مهر السنّة</w:t>
      </w:r>
      <w:r w:rsidRPr="007F5B58">
        <w:rPr>
          <w:rtl/>
        </w:rPr>
        <w:t>؛</w:t>
      </w:r>
      <w:r>
        <w:rPr>
          <w:rtl/>
        </w:rPr>
        <w:t xml:space="preserve"> وأمّا لو اقتصر دورها على إظهار رأيها وتقديم مقترحاتها</w:t>
      </w:r>
      <w:r w:rsidRPr="007F5B58">
        <w:rPr>
          <w:rtl/>
        </w:rPr>
        <w:t>،</w:t>
      </w:r>
      <w:r>
        <w:rPr>
          <w:rtl/>
        </w:rPr>
        <w:t xml:space="preserve"> على أن يكون للزوج أخذ القرار بالموافقة عليه أو عدمها</w:t>
      </w:r>
      <w:r w:rsidRPr="007F5B58">
        <w:rPr>
          <w:rtl/>
        </w:rPr>
        <w:t>،</w:t>
      </w:r>
      <w:r>
        <w:rPr>
          <w:rtl/>
        </w:rPr>
        <w:t xml:space="preserve"> ففي هذه الحالة يمكن للمرأة أن تقترح ما تشاء من المهر</w:t>
      </w:r>
      <w:r w:rsidRPr="007F5B58">
        <w:rPr>
          <w:rtl/>
        </w:rPr>
        <w:t>،</w:t>
      </w:r>
      <w:r>
        <w:rPr>
          <w:rtl/>
        </w:rPr>
        <w:t xml:space="preserve"> وفي صورة حصول الرضا والقبول من جانب الزوج يُحتَسَب هذا المقدار المتّفق عليه مهراً لها</w:t>
      </w:r>
      <w:r w:rsidRPr="007F5B58">
        <w:rPr>
          <w:rtl/>
        </w:rPr>
        <w:t>،</w:t>
      </w:r>
      <w:r>
        <w:rPr>
          <w:rtl/>
        </w:rPr>
        <w:t xml:space="preserve"> وليس المهر في هذه الصورة بتعيينٍ وتسميةٍ من الزوجة</w:t>
      </w:r>
      <w:r w:rsidRPr="007F5B58">
        <w:rPr>
          <w:rtl/>
        </w:rPr>
        <w:t>،</w:t>
      </w:r>
      <w:r>
        <w:rPr>
          <w:rtl/>
        </w:rPr>
        <w:t xml:space="preserve"> بل هو باقتراحٍ منها</w:t>
      </w:r>
      <w:r w:rsidRPr="007F5B58">
        <w:rPr>
          <w:rtl/>
        </w:rPr>
        <w:t>،</w:t>
      </w:r>
      <w:r>
        <w:rPr>
          <w:rtl/>
        </w:rPr>
        <w:t xml:space="preserve"> ولا يُعَدّ ما اقترحته مهراً لها إلاّ بعد قبول الزوج ورضاه به.</w:t>
      </w:r>
    </w:p>
    <w:p w:rsidR="00AC628B" w:rsidRDefault="00AC628B" w:rsidP="00AC628B">
      <w:pPr>
        <w:pStyle w:val="ac"/>
        <w:rPr>
          <w:rtl/>
        </w:rPr>
      </w:pPr>
      <w:r>
        <w:rPr>
          <w:rtl/>
        </w:rPr>
        <w:t xml:space="preserve">وبالرغم من أنّ تعيين المهر باختيار من الزوجة قد حُدِّد في الفقه الشيعيّ بمهر السنّة </w:t>
      </w:r>
      <w:r>
        <w:rPr>
          <w:rtl/>
        </w:rPr>
        <w:lastRenderedPageBreak/>
        <w:t>إلاّ أنّ القانون المدنيّ في إيران جعل تعيينه باختيارها محدَّداً بمهر المثل. ومن نافلة القول</w:t>
      </w:r>
      <w:r w:rsidRPr="007F5B58">
        <w:rPr>
          <w:rtl/>
        </w:rPr>
        <w:t>:</w:t>
      </w:r>
      <w:r>
        <w:rPr>
          <w:rtl/>
        </w:rPr>
        <w:t xml:space="preserve"> إنّ بين مهر السنّة</w:t>
      </w:r>
      <w:r w:rsidRPr="007F5B58">
        <w:rPr>
          <w:rtl/>
        </w:rPr>
        <w:t>،</w:t>
      </w:r>
      <w:r>
        <w:rPr>
          <w:rtl/>
        </w:rPr>
        <w:t xml:space="preserve"> الذي له مقدار مضبوط ومعلوم</w:t>
      </w:r>
      <w:r w:rsidRPr="007F5B58">
        <w:rPr>
          <w:rtl/>
        </w:rPr>
        <w:t>،</w:t>
      </w:r>
      <w:r>
        <w:rPr>
          <w:rtl/>
        </w:rPr>
        <w:t xml:space="preserve"> وبين مهر المثل تفاوتاً واضحاً</w:t>
      </w:r>
      <w:r w:rsidRPr="007F5B58">
        <w:rPr>
          <w:rtl/>
        </w:rPr>
        <w:t>،</w:t>
      </w:r>
      <w:r>
        <w:rPr>
          <w:rtl/>
        </w:rPr>
        <w:t xml:space="preserve"> فإنّ مهر المثل عبارة عن المقدار الذي جُعِل مقداراً للمهر في زواج مثيلاتها ومن هنّ في نفس مستواها من النساء. وهذا يعني أنّ القانون المدنيّ في ما يرتبط بحدود اختيار الزوجة وتسميتها لمقدار المهر يختلف عمّا هو ثابتٌ في أحكام الفقه الشيعيّ.</w:t>
      </w:r>
    </w:p>
    <w:p w:rsidR="00AC628B" w:rsidRDefault="00AC628B" w:rsidP="00E32EF1">
      <w:pPr>
        <w:pStyle w:val="ac"/>
        <w:spacing w:line="199" w:lineRule="auto"/>
        <w:rPr>
          <w:rtl/>
        </w:rPr>
      </w:pPr>
      <w:r>
        <w:rPr>
          <w:rtl/>
        </w:rPr>
        <w:t>وقد تعجّب بعضهم من هذا التفاوت والاختلاف</w:t>
      </w:r>
      <w:r w:rsidRPr="007F5B58">
        <w:rPr>
          <w:rtl/>
        </w:rPr>
        <w:t>،</w:t>
      </w:r>
      <w:r>
        <w:rPr>
          <w:rtl/>
        </w:rPr>
        <w:t xml:space="preserve"> متسائلاً عن السبب في عدم اتّباع القانون المدنيّ لهذا الحكم الفقهيّ؟</w:t>
      </w:r>
      <w:r w:rsidRPr="00815C4C">
        <w:rPr>
          <w:rFonts w:cs="Taher"/>
          <w:vertAlign w:val="superscript"/>
          <w:rtl/>
        </w:rPr>
        <w:t>(</w:t>
      </w:r>
      <w:r w:rsidRPr="00815C4C">
        <w:rPr>
          <w:rFonts w:cs="Taher"/>
          <w:vertAlign w:val="superscript"/>
          <w:rtl/>
        </w:rPr>
        <w:footnoteReference w:id="777"/>
      </w:r>
      <w:r w:rsidRPr="00815C4C">
        <w:rPr>
          <w:rFonts w:cs="Taher"/>
          <w:vertAlign w:val="superscript"/>
          <w:rtl/>
        </w:rPr>
        <w:t>)</w:t>
      </w:r>
      <w:r>
        <w:rPr>
          <w:rFonts w:hint="cs"/>
          <w:rtl/>
        </w:rPr>
        <w:t>.</w:t>
      </w:r>
      <w:r>
        <w:rPr>
          <w:rtl/>
        </w:rPr>
        <w:t xml:space="preserve"> وعلى أيّة حال فالتعارض بين القانون المدنيّ وحقوق الإسلام في هذا المجال مشهود ومعلوم</w:t>
      </w:r>
      <w:r w:rsidRPr="007F5B58">
        <w:rPr>
          <w:rtl/>
        </w:rPr>
        <w:t>،</w:t>
      </w:r>
      <w:r>
        <w:rPr>
          <w:rtl/>
        </w:rPr>
        <w:t xml:space="preserve"> والسؤال الذي يُطرح هنا</w:t>
      </w:r>
      <w:r w:rsidRPr="007F5B58">
        <w:rPr>
          <w:rtl/>
        </w:rPr>
        <w:t>:</w:t>
      </w:r>
      <w:r>
        <w:rPr>
          <w:rtl/>
        </w:rPr>
        <w:t xml:space="preserve"> إنّه لو تُرِك أمر تعيين مقدار المهر إلى الزوجة فأيّ من هذين التحديدين هو الذي يجب الالتزام به؟</w:t>
      </w:r>
    </w:p>
    <w:p w:rsidR="00AC628B" w:rsidRDefault="00AC628B" w:rsidP="00E32EF1">
      <w:pPr>
        <w:pStyle w:val="ac"/>
        <w:rPr>
          <w:rtl/>
        </w:rPr>
      </w:pPr>
      <w:r>
        <w:rPr>
          <w:rtl/>
        </w:rPr>
        <w:t>وقد يُقال في هذا الصدد</w:t>
      </w:r>
      <w:r w:rsidRPr="007F5B58">
        <w:rPr>
          <w:rtl/>
        </w:rPr>
        <w:t>:</w:t>
      </w:r>
      <w:r>
        <w:rPr>
          <w:rtl/>
        </w:rPr>
        <w:t xml:space="preserve"> إنّ حكم القانون مقدّمٌ على الحكم الفقهيّ</w:t>
      </w:r>
      <w:r w:rsidRPr="007F5B58">
        <w:rPr>
          <w:rtl/>
        </w:rPr>
        <w:t>؛</w:t>
      </w:r>
      <w:r>
        <w:rPr>
          <w:rtl/>
        </w:rPr>
        <w:t xml:space="preserve"> إذ بناءً على ما ورد في المادّة 167 من القانون الأساسيّ للبلاد فإن الإرجاع إلى الفقه إنّما يكون جائزاً في زمانٍ يكون القانون فيه ساكتاً عن بيان الحكم</w:t>
      </w:r>
      <w:r w:rsidRPr="007F5B58">
        <w:rPr>
          <w:rtl/>
        </w:rPr>
        <w:t>،</w:t>
      </w:r>
      <w:r>
        <w:rPr>
          <w:rtl/>
        </w:rPr>
        <w:t xml:space="preserve"> ولمّا كان للقانون نصٌّ صريحٌ في بيان حكم المسألة فليس من الممكن العدول عنه</w:t>
      </w:r>
      <w:r w:rsidRPr="007F5B58">
        <w:rPr>
          <w:rtl/>
        </w:rPr>
        <w:t>،</w:t>
      </w:r>
      <w:r>
        <w:rPr>
          <w:rtl/>
        </w:rPr>
        <w:t xml:space="preserve"> والرجوع إلى أحكام الفقه.</w:t>
      </w:r>
    </w:p>
    <w:p w:rsidR="00AC628B" w:rsidRDefault="00AC628B" w:rsidP="00E32EF1">
      <w:pPr>
        <w:pStyle w:val="ac"/>
        <w:spacing w:line="199" w:lineRule="auto"/>
        <w:rPr>
          <w:rtl/>
        </w:rPr>
      </w:pPr>
      <w:r>
        <w:rPr>
          <w:rtl/>
        </w:rPr>
        <w:t>ولكنّ هذا الاستدلال</w:t>
      </w:r>
      <w:r w:rsidRPr="007F5B58">
        <w:rPr>
          <w:rtl/>
        </w:rPr>
        <w:t>،</w:t>
      </w:r>
      <w:r>
        <w:rPr>
          <w:rtl/>
        </w:rPr>
        <w:t xml:space="preserve"> وإن كان صحيحاً كبرويّاً</w:t>
      </w:r>
      <w:r w:rsidRPr="007F5B58">
        <w:rPr>
          <w:rtl/>
        </w:rPr>
        <w:t>،</w:t>
      </w:r>
      <w:r>
        <w:rPr>
          <w:rtl/>
        </w:rPr>
        <w:t xml:space="preserve"> ومن حيث المفهوم الكلّيّ</w:t>
      </w:r>
      <w:r w:rsidRPr="007F5B58">
        <w:rPr>
          <w:rtl/>
        </w:rPr>
        <w:t>،</w:t>
      </w:r>
      <w:r>
        <w:rPr>
          <w:rtl/>
        </w:rPr>
        <w:t xml:space="preserve"> إلاّ أنّه لا ينطبق على موضوع بحثنا هنا</w:t>
      </w:r>
      <w:r w:rsidRPr="007F5B58">
        <w:rPr>
          <w:rtl/>
        </w:rPr>
        <w:t>؛</w:t>
      </w:r>
      <w:r>
        <w:rPr>
          <w:rtl/>
        </w:rPr>
        <w:t xml:space="preserve"> لأنّ النكاح هو ـ باتّفاق جميع الباحثين والمفكّرين ـ أحد مواضيع الأحوال الشخصيّة</w:t>
      </w:r>
      <w:r w:rsidRPr="00815C4C">
        <w:rPr>
          <w:rFonts w:cs="Taher"/>
          <w:vertAlign w:val="superscript"/>
          <w:rtl/>
        </w:rPr>
        <w:t>(</w:t>
      </w:r>
      <w:r w:rsidRPr="00815C4C">
        <w:rPr>
          <w:rFonts w:cs="Taher"/>
          <w:vertAlign w:val="superscript"/>
          <w:rtl/>
        </w:rPr>
        <w:footnoteReference w:id="778"/>
      </w:r>
      <w:r w:rsidRPr="00815C4C">
        <w:rPr>
          <w:rFonts w:cs="Taher"/>
          <w:vertAlign w:val="superscript"/>
          <w:rtl/>
        </w:rPr>
        <w:t>)</w:t>
      </w:r>
      <w:r w:rsidRPr="007F5B58">
        <w:rPr>
          <w:rtl/>
        </w:rPr>
        <w:t>،</w:t>
      </w:r>
      <w:r>
        <w:rPr>
          <w:rtl/>
        </w:rPr>
        <w:t xml:space="preserve"> وهي ـ أعني الأحوال الشخصيّة ـ تكون محكومةً للمقرّرات المذهبيّة والدينيّة</w:t>
      </w:r>
      <w:r w:rsidRPr="007F5B58">
        <w:rPr>
          <w:rtl/>
        </w:rPr>
        <w:t>؛</w:t>
      </w:r>
      <w:r>
        <w:rPr>
          <w:rtl/>
        </w:rPr>
        <w:t xml:space="preserve"> وذلك استـناداً إلى المادّتين 12 و13 من القانون الأساسيّ للبلاد. أض</w:t>
      </w:r>
      <w:r>
        <w:rPr>
          <w:rFonts w:hint="cs"/>
          <w:rtl/>
        </w:rPr>
        <w:t>ِ</w:t>
      </w:r>
      <w:r>
        <w:rPr>
          <w:rtl/>
        </w:rPr>
        <w:t>ف</w:t>
      </w:r>
      <w:r>
        <w:rPr>
          <w:rFonts w:hint="cs"/>
          <w:rtl/>
        </w:rPr>
        <w:t>ْ</w:t>
      </w:r>
      <w:r>
        <w:rPr>
          <w:rtl/>
        </w:rPr>
        <w:t xml:space="preserve"> إلى ذلك أنّ المادّة 4 من القانون الأساسيّ تـنصّ على أنّ جميع المقرّرات القانونيّة يجب أن تكون مطابقةً تماماً للموازين الشرعيّة</w:t>
      </w:r>
      <w:r w:rsidRPr="007F5B58">
        <w:rPr>
          <w:rtl/>
        </w:rPr>
        <w:t>،</w:t>
      </w:r>
      <w:r>
        <w:rPr>
          <w:rtl/>
        </w:rPr>
        <w:t xml:space="preserve"> وحيث كانت المادّة المذكورة أعلاه مغايرةً لما تقتضيه الموازين الشرعيّة ـ كما أشرنا ـ فمن المسلَّم حينئذٍ أن لا يكون الاستـناد إليها في موضوع النكاح أمراً جائزاً. وعليه إذا تُرِك للزوجة أمر تعيين المهر </w:t>
      </w:r>
      <w:r>
        <w:rPr>
          <w:rtl/>
        </w:rPr>
        <w:lastRenderedPageBreak/>
        <w:t>فليس من حقّها أن تعيّن مقداراً يتجاوز مهر السنّة.</w:t>
      </w:r>
    </w:p>
    <w:p w:rsidR="00AC628B" w:rsidRPr="007F7201" w:rsidRDefault="00AC628B" w:rsidP="00E32EF1">
      <w:pPr>
        <w:pStyle w:val="afffffc"/>
        <w:rPr>
          <w:sz w:val="18"/>
          <w:szCs w:val="16"/>
          <w:rtl/>
        </w:rPr>
      </w:pPr>
    </w:p>
    <w:p w:rsidR="00AC628B" w:rsidRPr="00E9643C" w:rsidRDefault="00AC628B" w:rsidP="007F7201">
      <w:pPr>
        <w:pStyle w:val="2"/>
        <w:rPr>
          <w:rtl/>
        </w:rPr>
      </w:pPr>
      <w:bookmarkStart w:id="400" w:name="_Toc275128116"/>
      <w:r>
        <w:rPr>
          <w:rtl/>
        </w:rPr>
        <w:t>ب ـ تعيين المهر بالتراضي</w:t>
      </w:r>
      <w:bookmarkEnd w:id="400"/>
    </w:p>
    <w:p w:rsidR="00AC628B" w:rsidRDefault="00AC628B" w:rsidP="00E32EF1">
      <w:pPr>
        <w:pStyle w:val="ac"/>
        <w:spacing w:line="209" w:lineRule="auto"/>
        <w:rPr>
          <w:rtl/>
        </w:rPr>
      </w:pPr>
      <w:r>
        <w:rPr>
          <w:rtl/>
        </w:rPr>
        <w:t>لو جرى تعيين المهر بالتراضي بين الزوجين</w:t>
      </w:r>
      <w:r w:rsidRPr="007F5B58">
        <w:rPr>
          <w:rtl/>
        </w:rPr>
        <w:t>،</w:t>
      </w:r>
      <w:r>
        <w:rPr>
          <w:rtl/>
        </w:rPr>
        <w:t xml:space="preserve"> أو من قبل أسرتيهما</w:t>
      </w:r>
      <w:r w:rsidRPr="007F5B58">
        <w:rPr>
          <w:rtl/>
        </w:rPr>
        <w:t>،</w:t>
      </w:r>
      <w:r>
        <w:rPr>
          <w:rtl/>
        </w:rPr>
        <w:t xml:space="preserve"> فهل أقرّت مبادئ الحقوق في الإسلام حدّاً معيّناً للمهر الذي يُصار إلى تسميته</w:t>
      </w:r>
      <w:r w:rsidRPr="007F5B58">
        <w:rPr>
          <w:rtl/>
        </w:rPr>
        <w:t>،</w:t>
      </w:r>
      <w:r>
        <w:rPr>
          <w:rtl/>
        </w:rPr>
        <w:t xml:space="preserve"> أو أنّ أيّ مقدارٍ يحصل عليه التوافق والتراضي من الطرفين يكون صحيحاً</w:t>
      </w:r>
      <w:r w:rsidRPr="007F5B58">
        <w:rPr>
          <w:rtl/>
        </w:rPr>
        <w:t>،</w:t>
      </w:r>
      <w:r>
        <w:rPr>
          <w:rtl/>
        </w:rPr>
        <w:t xml:space="preserve"> ويكون هو المقدار الذي يتعيّن على الزوج أن يقدّمه لزوجته؟</w:t>
      </w:r>
    </w:p>
    <w:p w:rsidR="00AC628B" w:rsidRDefault="00AC628B" w:rsidP="00E32EF1">
      <w:pPr>
        <w:pStyle w:val="ac"/>
        <w:spacing w:line="209" w:lineRule="auto"/>
        <w:rPr>
          <w:rtl/>
        </w:rPr>
      </w:pPr>
      <w:r>
        <w:rPr>
          <w:rtl/>
        </w:rPr>
        <w:t>رأى بعضهم أنّه لا يجوز أن يُتجاوز بالمهر عن مقدار مهر السنّة</w:t>
      </w:r>
      <w:r w:rsidRPr="007F5B58">
        <w:rPr>
          <w:rtl/>
        </w:rPr>
        <w:t>؛</w:t>
      </w:r>
      <w:r>
        <w:rPr>
          <w:rtl/>
        </w:rPr>
        <w:t xml:space="preserve"> لدلالة الرواية والإجماع على ذلك</w:t>
      </w:r>
      <w:r w:rsidRPr="007F5B58">
        <w:rPr>
          <w:rtl/>
        </w:rPr>
        <w:t>،</w:t>
      </w:r>
      <w:r>
        <w:rPr>
          <w:rtl/>
        </w:rPr>
        <w:t xml:space="preserve"> وقد عُدّ ذلك ممّا انفردت به الإماميّة</w:t>
      </w:r>
      <w:r w:rsidRPr="00815C4C">
        <w:rPr>
          <w:rFonts w:cs="Taher"/>
          <w:vertAlign w:val="superscript"/>
          <w:rtl/>
        </w:rPr>
        <w:t>(</w:t>
      </w:r>
      <w:r w:rsidRPr="00815C4C">
        <w:rPr>
          <w:rFonts w:cs="Taher"/>
          <w:vertAlign w:val="superscript"/>
          <w:rtl/>
        </w:rPr>
        <w:footnoteReference w:id="779"/>
      </w:r>
      <w:r w:rsidRPr="00815C4C">
        <w:rPr>
          <w:rFonts w:cs="Taher"/>
          <w:vertAlign w:val="superscript"/>
          <w:rtl/>
        </w:rPr>
        <w:t>)</w:t>
      </w:r>
      <w:r>
        <w:rPr>
          <w:rtl/>
        </w:rPr>
        <w:t>. كما نُسبت هذه النظريّة أيضاً إلى الشيخ الصدوق والإسكافيّ</w:t>
      </w:r>
      <w:r w:rsidRPr="00815C4C">
        <w:rPr>
          <w:rFonts w:cs="Taher"/>
          <w:vertAlign w:val="superscript"/>
          <w:rtl/>
        </w:rPr>
        <w:t>(</w:t>
      </w:r>
      <w:r w:rsidRPr="00815C4C">
        <w:rPr>
          <w:rFonts w:cs="Taher"/>
          <w:vertAlign w:val="superscript"/>
          <w:rtl/>
        </w:rPr>
        <w:footnoteReference w:id="780"/>
      </w:r>
      <w:r w:rsidRPr="00815C4C">
        <w:rPr>
          <w:rFonts w:cs="Taher"/>
          <w:vertAlign w:val="superscript"/>
          <w:rtl/>
        </w:rPr>
        <w:t>)</w:t>
      </w:r>
      <w:r>
        <w:rPr>
          <w:rtl/>
        </w:rPr>
        <w:t>. غير أنّها لم تلقَ قبولاً لدى المفكّرين الباحثين في حقوق الإسلام</w:t>
      </w:r>
      <w:r w:rsidRPr="007F5B58">
        <w:rPr>
          <w:rtl/>
        </w:rPr>
        <w:t>؛</w:t>
      </w:r>
      <w:r>
        <w:rPr>
          <w:rtl/>
        </w:rPr>
        <w:t xml:space="preserve"> إذ في ما يتعلّق بالإجماع المدّعى رأى بعضهم أنّه لا يُعلم لهذا الحكم المذكور موافق</w:t>
      </w:r>
      <w:r w:rsidRPr="007F5B58">
        <w:rPr>
          <w:rtl/>
        </w:rPr>
        <w:t>،</w:t>
      </w:r>
      <w:r>
        <w:rPr>
          <w:rtl/>
        </w:rPr>
        <w:t xml:space="preserve"> فضلاً عن أن يكون ممّا يُدّعى فيه الإجماع</w:t>
      </w:r>
      <w:r w:rsidRPr="00815C4C">
        <w:rPr>
          <w:rFonts w:cs="Taher"/>
          <w:vertAlign w:val="superscript"/>
          <w:rtl/>
        </w:rPr>
        <w:t>(</w:t>
      </w:r>
      <w:r w:rsidRPr="00815C4C">
        <w:rPr>
          <w:rFonts w:cs="Taher"/>
          <w:vertAlign w:val="superscript"/>
          <w:rtl/>
        </w:rPr>
        <w:footnoteReference w:id="781"/>
      </w:r>
      <w:r w:rsidRPr="00815C4C">
        <w:rPr>
          <w:rFonts w:cs="Taher"/>
          <w:vertAlign w:val="superscript"/>
          <w:rtl/>
        </w:rPr>
        <w:t>)</w:t>
      </w:r>
      <w:r>
        <w:rPr>
          <w:rtl/>
        </w:rPr>
        <w:t>. بالإضافة إلى ما دلّت عليه الآية 20 من سورة النساء</w:t>
      </w:r>
      <w:r w:rsidRPr="007F5B58">
        <w:rPr>
          <w:rtl/>
        </w:rPr>
        <w:t>،</w:t>
      </w:r>
      <w:r>
        <w:rPr>
          <w:rtl/>
        </w:rPr>
        <w:t xml:space="preserve"> المعروفة باسم «آية القنطار»</w:t>
      </w:r>
      <w:r w:rsidRPr="007F5B58">
        <w:rPr>
          <w:rtl/>
        </w:rPr>
        <w:t>،</w:t>
      </w:r>
      <w:r>
        <w:rPr>
          <w:rtl/>
        </w:rPr>
        <w:t xml:space="preserve"> من أنّ المهر يكون نافذاً</w:t>
      </w:r>
      <w:r w:rsidRPr="007F5B58">
        <w:rPr>
          <w:rtl/>
        </w:rPr>
        <w:t>،</w:t>
      </w:r>
      <w:r>
        <w:rPr>
          <w:rtl/>
        </w:rPr>
        <w:t xml:space="preserve"> ويجب أداؤه ودفعه</w:t>
      </w:r>
      <w:r w:rsidRPr="007F5B58">
        <w:rPr>
          <w:rtl/>
        </w:rPr>
        <w:t>،</w:t>
      </w:r>
      <w:r>
        <w:rPr>
          <w:rtl/>
        </w:rPr>
        <w:t xml:space="preserve"> ولو بلغ مقدار مسك ثورٍ ذهباً أو فضّةً. </w:t>
      </w:r>
    </w:p>
    <w:p w:rsidR="00AC628B" w:rsidRDefault="00AC628B" w:rsidP="007F7201">
      <w:pPr>
        <w:pStyle w:val="ac"/>
        <w:spacing w:line="206" w:lineRule="auto"/>
        <w:rPr>
          <w:rtl/>
        </w:rPr>
      </w:pPr>
      <w:r>
        <w:rPr>
          <w:rtl/>
        </w:rPr>
        <w:t>ومن هذا المنطلق فقد قام هؤلاء بحمل الأحاديث الواردة في هذه المسألة على الاستحباب</w:t>
      </w:r>
      <w:r w:rsidRPr="007F5B58">
        <w:rPr>
          <w:rtl/>
        </w:rPr>
        <w:t>،</w:t>
      </w:r>
      <w:r>
        <w:rPr>
          <w:rtl/>
        </w:rPr>
        <w:t xml:space="preserve"> ذاهبين إلى أنّه لا حدّ للمهر في جانب القلّة إلاّ بما يجعله شيئاً ذا ماليّة</w:t>
      </w:r>
      <w:r>
        <w:rPr>
          <w:rFonts w:hint="cs"/>
          <w:rtl/>
        </w:rPr>
        <w:t>.</w:t>
      </w:r>
      <w:r>
        <w:rPr>
          <w:rtl/>
        </w:rPr>
        <w:t xml:space="preserve"> أو بعبارة أُخرى</w:t>
      </w:r>
      <w:r w:rsidRPr="007F5B58">
        <w:rPr>
          <w:rtl/>
        </w:rPr>
        <w:t>:</w:t>
      </w:r>
      <w:r>
        <w:rPr>
          <w:rtl/>
        </w:rPr>
        <w:t xml:space="preserve"> يجب في المهر ـ من ناحية القلة ـ أن يكون مالاً قابلاً للتقويم</w:t>
      </w:r>
      <w:r w:rsidRPr="007F5B58">
        <w:rPr>
          <w:rtl/>
        </w:rPr>
        <w:t>،</w:t>
      </w:r>
      <w:r>
        <w:rPr>
          <w:rtl/>
        </w:rPr>
        <w:t xml:space="preserve"> وغير فاقد للقيمة في السوق. وأمّا من ناحية الكثرة فلا حدّ له ولا سقف</w:t>
      </w:r>
      <w:r w:rsidRPr="007F5B58">
        <w:rPr>
          <w:rtl/>
        </w:rPr>
        <w:t>،</w:t>
      </w:r>
      <w:r>
        <w:rPr>
          <w:rtl/>
        </w:rPr>
        <w:t xml:space="preserve"> ولكنّه كلّما قلّ كان أفضل. وعلى أثر ذلك فقد حكموا باستحباب التقليل فيه</w:t>
      </w:r>
      <w:r w:rsidRPr="007F5B58">
        <w:rPr>
          <w:rtl/>
        </w:rPr>
        <w:t>،</w:t>
      </w:r>
      <w:r>
        <w:rPr>
          <w:rtl/>
        </w:rPr>
        <w:t xml:space="preserve"> وكراهة التجاوز به عن مهر السنّة</w:t>
      </w:r>
      <w:r w:rsidRPr="00815C4C">
        <w:rPr>
          <w:rFonts w:cs="Taher"/>
          <w:vertAlign w:val="superscript"/>
          <w:rtl/>
        </w:rPr>
        <w:t>(</w:t>
      </w:r>
      <w:r w:rsidRPr="00815C4C">
        <w:rPr>
          <w:rFonts w:cs="Taher"/>
          <w:vertAlign w:val="superscript"/>
          <w:rtl/>
        </w:rPr>
        <w:footnoteReference w:id="782"/>
      </w:r>
      <w:r w:rsidRPr="00815C4C">
        <w:rPr>
          <w:rFonts w:cs="Taher"/>
          <w:vertAlign w:val="superscript"/>
          <w:rtl/>
        </w:rPr>
        <w:t>)</w:t>
      </w:r>
      <w:r>
        <w:rPr>
          <w:rFonts w:cs="Taher" w:hint="cs"/>
          <w:sz w:val="32"/>
          <w:szCs w:val="32"/>
          <w:rtl/>
        </w:rPr>
        <w:t>.</w:t>
      </w:r>
    </w:p>
    <w:p w:rsidR="00AC628B" w:rsidRDefault="00AC628B" w:rsidP="00AC628B">
      <w:pPr>
        <w:pStyle w:val="ac"/>
        <w:rPr>
          <w:rtl/>
        </w:rPr>
      </w:pPr>
      <w:r>
        <w:rPr>
          <w:rtl/>
        </w:rPr>
        <w:lastRenderedPageBreak/>
        <w:t>وفي المقابل ذهب بعضهم إلى القول بعدم استحباب التقليل في المهر</w:t>
      </w:r>
      <w:r w:rsidRPr="007F5B58">
        <w:rPr>
          <w:rtl/>
        </w:rPr>
        <w:t>؛</w:t>
      </w:r>
      <w:r>
        <w:rPr>
          <w:rtl/>
        </w:rPr>
        <w:t xml:space="preserve"> بدعوى «أنّ المهر لمّا كان واجباً في الذمّة فلا يكون منافياً للزواج</w:t>
      </w:r>
      <w:r w:rsidRPr="007F5B58">
        <w:rPr>
          <w:rtl/>
        </w:rPr>
        <w:t>،</w:t>
      </w:r>
      <w:r>
        <w:rPr>
          <w:rtl/>
        </w:rPr>
        <w:t xml:space="preserve"> وحيث لم يثبت لدينا استحباب التقليل فيه فيتفاوت الحكم فيه بتفاوت ظروف الزمان والمكان</w:t>
      </w:r>
      <w:r w:rsidRPr="007F5B58">
        <w:rPr>
          <w:rtl/>
        </w:rPr>
        <w:t>،</w:t>
      </w:r>
      <w:r>
        <w:rPr>
          <w:rtl/>
        </w:rPr>
        <w:t xml:space="preserve"> وأحوال كلٍّ من المجتمع والفرد»</w:t>
      </w:r>
      <w:r w:rsidRPr="00815C4C">
        <w:rPr>
          <w:rFonts w:cs="Taher"/>
          <w:vertAlign w:val="superscript"/>
          <w:rtl/>
        </w:rPr>
        <w:t>(</w:t>
      </w:r>
      <w:r w:rsidRPr="00815C4C">
        <w:rPr>
          <w:rFonts w:cs="Taher"/>
          <w:vertAlign w:val="superscript"/>
          <w:rtl/>
        </w:rPr>
        <w:footnoteReference w:id="783"/>
      </w:r>
      <w:r w:rsidRPr="00815C4C">
        <w:rPr>
          <w:rFonts w:cs="Taher"/>
          <w:vertAlign w:val="superscript"/>
          <w:rtl/>
        </w:rPr>
        <w:t>)</w:t>
      </w:r>
      <w:r>
        <w:rPr>
          <w:rtl/>
        </w:rPr>
        <w:t>.</w:t>
      </w:r>
    </w:p>
    <w:p w:rsidR="00AC628B" w:rsidRDefault="00AC628B" w:rsidP="00AC628B">
      <w:pPr>
        <w:pStyle w:val="ac"/>
        <w:rPr>
          <w:rtl/>
        </w:rPr>
      </w:pPr>
      <w:r>
        <w:rPr>
          <w:rtl/>
        </w:rPr>
        <w:t>وهذه النظريّة</w:t>
      </w:r>
      <w:r w:rsidRPr="007F5B58">
        <w:rPr>
          <w:rtl/>
        </w:rPr>
        <w:t>،</w:t>
      </w:r>
      <w:r>
        <w:rPr>
          <w:rtl/>
        </w:rPr>
        <w:t xml:space="preserve"> وإن كانت ـ في ظاهرها ـ تبدو ناظرةً إلى الأحوال الفعليّة للمجتمع</w:t>
      </w:r>
      <w:r w:rsidRPr="007F5B58">
        <w:rPr>
          <w:rtl/>
        </w:rPr>
        <w:t>،</w:t>
      </w:r>
      <w:r>
        <w:rPr>
          <w:rtl/>
        </w:rPr>
        <w:t xml:space="preserve"> وتبدّلات الزمان والمكان</w:t>
      </w:r>
      <w:r w:rsidRPr="007F5B58">
        <w:rPr>
          <w:rtl/>
        </w:rPr>
        <w:t>،</w:t>
      </w:r>
      <w:r>
        <w:rPr>
          <w:rtl/>
        </w:rPr>
        <w:t xml:space="preserve"> إلاّ أنّها تتـنافى مع الأدلّة الكثيرة التي اعتبرت المهر المرتفع أمراً مكروهاً ومبغوضاً من قبل المولى</w:t>
      </w:r>
      <w:r w:rsidRPr="00815C4C">
        <w:rPr>
          <w:rFonts w:cs="Taher"/>
          <w:vertAlign w:val="superscript"/>
          <w:rtl/>
        </w:rPr>
        <w:t>(</w:t>
      </w:r>
      <w:r w:rsidRPr="00815C4C">
        <w:rPr>
          <w:rFonts w:cs="Taher"/>
          <w:vertAlign w:val="superscript"/>
          <w:rtl/>
        </w:rPr>
        <w:footnoteReference w:id="784"/>
      </w:r>
      <w:r w:rsidRPr="00815C4C">
        <w:rPr>
          <w:rFonts w:cs="Taher"/>
          <w:vertAlign w:val="superscript"/>
          <w:rtl/>
        </w:rPr>
        <w:t>)</w:t>
      </w:r>
      <w:r>
        <w:rPr>
          <w:rtl/>
        </w:rPr>
        <w:t>.</w:t>
      </w:r>
    </w:p>
    <w:p w:rsidR="00AC628B" w:rsidRDefault="00AC628B" w:rsidP="00AC628B">
      <w:pPr>
        <w:pStyle w:val="ac"/>
        <w:rPr>
          <w:rtl/>
        </w:rPr>
      </w:pPr>
      <w:r>
        <w:rPr>
          <w:rtl/>
        </w:rPr>
        <w:t>مضافاً إلى أنّنا لو أخذنا عنصري الزمان والمكان بعين الاعتبار فسنجد أنّ المهر المرتفع ليس عاجزاً عن تقديم العون والمساعدة في سبيل بقاء الأسرة فحسب</w:t>
      </w:r>
      <w:r w:rsidRPr="007F5B58">
        <w:rPr>
          <w:rtl/>
        </w:rPr>
        <w:t>،</w:t>
      </w:r>
      <w:r>
        <w:rPr>
          <w:rtl/>
        </w:rPr>
        <w:t xml:space="preserve"> بل هو أيضاً موجب للفرقة والانفصال وتفكّك الأسرة وانحلالها</w:t>
      </w:r>
      <w:r w:rsidRPr="007F5B58">
        <w:rPr>
          <w:rtl/>
        </w:rPr>
        <w:t>؛</w:t>
      </w:r>
      <w:r>
        <w:rPr>
          <w:rtl/>
        </w:rPr>
        <w:t xml:space="preserve"> فالوضع الراهن للأسر والعائلات</w:t>
      </w:r>
      <w:r w:rsidRPr="007F5B58">
        <w:rPr>
          <w:rtl/>
        </w:rPr>
        <w:t>،</w:t>
      </w:r>
      <w:r>
        <w:rPr>
          <w:rtl/>
        </w:rPr>
        <w:t xml:space="preserve"> وإن لم يكن بالمستوى المطلوب حاليّاً</w:t>
      </w:r>
      <w:r w:rsidRPr="007F5B58">
        <w:rPr>
          <w:rtl/>
        </w:rPr>
        <w:t>،</w:t>
      </w:r>
      <w:r>
        <w:rPr>
          <w:rtl/>
        </w:rPr>
        <w:t xml:space="preserve"> إلا</w:t>
      </w:r>
      <w:r>
        <w:rPr>
          <w:rFonts w:hint="cs"/>
          <w:rtl/>
        </w:rPr>
        <w:t>ّ</w:t>
      </w:r>
      <w:r>
        <w:rPr>
          <w:rtl/>
        </w:rPr>
        <w:t xml:space="preserve"> أنّ غلاء المهور يأتي ليزيد الأوضاع سوءاً وتدهوراً</w:t>
      </w:r>
      <w:r w:rsidRPr="007F5B58">
        <w:rPr>
          <w:rtl/>
        </w:rPr>
        <w:t>،</w:t>
      </w:r>
      <w:r>
        <w:rPr>
          <w:rtl/>
        </w:rPr>
        <w:t xml:space="preserve"> فمع غلاء المهور يصبح المهر بذاته محطّ أنظار النساء ومحلّ اعتمادهنّ قبل حصول العقد</w:t>
      </w:r>
      <w:r w:rsidRPr="007F5B58">
        <w:rPr>
          <w:rtl/>
        </w:rPr>
        <w:t>،</w:t>
      </w:r>
      <w:r>
        <w:rPr>
          <w:rtl/>
        </w:rPr>
        <w:t xml:space="preserve"> وبدلاً من أن تكون شخصيّة الرجل المتقدّم لخطبتها وإنسانيّته وأخلاقه هي المعيار والميزان يصير المهر المرتفع هو المعيار بنظر المرأة</w:t>
      </w:r>
      <w:r w:rsidRPr="007F5B58">
        <w:rPr>
          <w:rtl/>
        </w:rPr>
        <w:t>،</w:t>
      </w:r>
      <w:r>
        <w:rPr>
          <w:rtl/>
        </w:rPr>
        <w:t xml:space="preserve"> ومن شأن هذا الأمر أن يحوّل النكاح إلى مبدأ نفعيّ واستغلاليّ</w:t>
      </w:r>
      <w:r w:rsidRPr="007F5B58">
        <w:rPr>
          <w:rtl/>
        </w:rPr>
        <w:t>،</w:t>
      </w:r>
      <w:r>
        <w:rPr>
          <w:rtl/>
        </w:rPr>
        <w:t xml:space="preserve"> يُخرجه عمّا هو المقصود منه في نظام الحقوق في الإسلام. ومن ناحيةٍ أُخرى فالمهر المرتفع يؤدّي بعد حصول العقد إلى التفكّك الأسريّ</w:t>
      </w:r>
      <w:r w:rsidRPr="007F5B58">
        <w:rPr>
          <w:rtl/>
        </w:rPr>
        <w:t>؛</w:t>
      </w:r>
      <w:r>
        <w:rPr>
          <w:rtl/>
        </w:rPr>
        <w:t xml:space="preserve"> لأنّ الأسرة التي لم تعتمد في أصل نشأتها على التفاهم والأخلاق والمحبّة المتبادلة</w:t>
      </w:r>
      <w:r w:rsidRPr="007F5B58">
        <w:rPr>
          <w:rtl/>
        </w:rPr>
        <w:t>،</w:t>
      </w:r>
      <w:r>
        <w:rPr>
          <w:rtl/>
        </w:rPr>
        <w:t xml:space="preserve"> بل تشكّلت على أساس مقدار المهر وارتفاع قيمته</w:t>
      </w:r>
      <w:r w:rsidRPr="007F5B58">
        <w:rPr>
          <w:rtl/>
        </w:rPr>
        <w:t>،</w:t>
      </w:r>
      <w:r>
        <w:rPr>
          <w:rtl/>
        </w:rPr>
        <w:t xml:space="preserve"> تتعرّض لضربةٍ قاسية تهدّد وجودها بمجرّد ظهور بذرة الخلاف الأولى</w:t>
      </w:r>
      <w:r w:rsidRPr="007F5B58">
        <w:rPr>
          <w:rtl/>
        </w:rPr>
        <w:t>،</w:t>
      </w:r>
      <w:r>
        <w:rPr>
          <w:rtl/>
        </w:rPr>
        <w:t xml:space="preserve"> إذ بدلاً من أن يعمل كلّ من الزوجين على تحمّل الآخر</w:t>
      </w:r>
      <w:r w:rsidRPr="007F5B58">
        <w:rPr>
          <w:rtl/>
        </w:rPr>
        <w:t>،</w:t>
      </w:r>
      <w:r>
        <w:rPr>
          <w:rtl/>
        </w:rPr>
        <w:t xml:space="preserve"> والسعي للوصول إلى حلٍّ للمشكلة الحاصلة بينهما</w:t>
      </w:r>
      <w:r w:rsidRPr="007F5B58">
        <w:rPr>
          <w:rtl/>
        </w:rPr>
        <w:t>،</w:t>
      </w:r>
      <w:r>
        <w:rPr>
          <w:rtl/>
        </w:rPr>
        <w:t xml:space="preserve"> تُقدم </w:t>
      </w:r>
      <w:r>
        <w:rPr>
          <w:rtl/>
        </w:rPr>
        <w:lastRenderedPageBreak/>
        <w:t>الزوجة على المطالبة بمهرها</w:t>
      </w:r>
      <w:r w:rsidRPr="007F5B58">
        <w:rPr>
          <w:rtl/>
        </w:rPr>
        <w:t>،</w:t>
      </w:r>
      <w:r>
        <w:rPr>
          <w:rtl/>
        </w:rPr>
        <w:t xml:space="preserve"> وفي الطرف المقابل يمكن أن يُقدم الزوج العاجز عن سداد المهر على القيام بأمورٍ تتـنافى مع الأهداف المرجوّة من تشكيل الأسرة. </w:t>
      </w:r>
    </w:p>
    <w:p w:rsidR="00AC628B" w:rsidRDefault="00AC628B" w:rsidP="00E32EF1">
      <w:pPr>
        <w:pStyle w:val="ac"/>
        <w:spacing w:line="209" w:lineRule="auto"/>
        <w:rPr>
          <w:rtl/>
        </w:rPr>
      </w:pPr>
      <w:r>
        <w:rPr>
          <w:rtl/>
        </w:rPr>
        <w:t>وعلى هذا الأساس لا يصحّ أن يكون تشكيل الأسرة بنحوٍ يجعل منها ساحةً للصراع والتـناحر</w:t>
      </w:r>
      <w:r w:rsidRPr="007F5B58">
        <w:rPr>
          <w:rtl/>
        </w:rPr>
        <w:t>،</w:t>
      </w:r>
      <w:r>
        <w:rPr>
          <w:rtl/>
        </w:rPr>
        <w:t xml:space="preserve"> وإبراز كلٍّ من الزوجين لمدى قدرته</w:t>
      </w:r>
      <w:r w:rsidRPr="007F5B58">
        <w:rPr>
          <w:rtl/>
        </w:rPr>
        <w:t>،</w:t>
      </w:r>
      <w:r>
        <w:rPr>
          <w:rtl/>
        </w:rPr>
        <w:t xml:space="preserve"> كالقضيّة التي سبق أن أشرنا إليها</w:t>
      </w:r>
      <w:r w:rsidRPr="007F5B58">
        <w:rPr>
          <w:rtl/>
        </w:rPr>
        <w:t>،</w:t>
      </w:r>
      <w:r>
        <w:rPr>
          <w:rtl/>
        </w:rPr>
        <w:t xml:space="preserve"> حيث رأينا الزوجة تحاول إبراز سلطتها على الزوج</w:t>
      </w:r>
      <w:r w:rsidRPr="007F5B58">
        <w:rPr>
          <w:rtl/>
        </w:rPr>
        <w:t>،</w:t>
      </w:r>
      <w:r>
        <w:rPr>
          <w:rtl/>
        </w:rPr>
        <w:t xml:space="preserve"> فتطالب بمهرها المرتفع بعد مضيّ أسبوعٍ فقط على انعقاد الزواج</w:t>
      </w:r>
      <w:r w:rsidRPr="007F5B58">
        <w:rPr>
          <w:rtl/>
        </w:rPr>
        <w:t>،</w:t>
      </w:r>
      <w:r>
        <w:rPr>
          <w:rtl/>
        </w:rPr>
        <w:t xml:space="preserve"> ممّا جعل الزوج يفرّ ويتوارى عن الأنظار.</w:t>
      </w:r>
    </w:p>
    <w:p w:rsidR="00AC628B" w:rsidRDefault="00AC628B" w:rsidP="00E32EF1">
      <w:pPr>
        <w:pStyle w:val="ac"/>
        <w:spacing w:line="209" w:lineRule="auto"/>
        <w:rPr>
          <w:rtl/>
        </w:rPr>
      </w:pPr>
      <w:r w:rsidRPr="00001E72">
        <w:rPr>
          <w:rtl/>
        </w:rPr>
        <w:t>ومن هنا</w:t>
      </w:r>
      <w:r>
        <w:rPr>
          <w:rtl/>
        </w:rPr>
        <w:t xml:space="preserve"> نخلص إلى أنّ المهر المرتفع لا يمكن أن يكون هو الحلّ المناسب للنجاة من الوضع الراهن</w:t>
      </w:r>
      <w:r>
        <w:rPr>
          <w:rFonts w:hint="cs"/>
          <w:rtl/>
        </w:rPr>
        <w:t>.</w:t>
      </w:r>
      <w:r>
        <w:rPr>
          <w:rtl/>
        </w:rPr>
        <w:t xml:space="preserve"> كما أنّه لا يصلح ليكون ضمانةً نافعةً لحماية المرأة وتأمين حقوقها</w:t>
      </w:r>
      <w:r w:rsidRPr="007F5B58">
        <w:rPr>
          <w:rtl/>
        </w:rPr>
        <w:t>؛</w:t>
      </w:r>
      <w:r>
        <w:rPr>
          <w:rtl/>
        </w:rPr>
        <w:t xml:space="preserve"> لأنّه قبل انعقاد الزواج يمنع من انعقاده</w:t>
      </w:r>
      <w:r w:rsidRPr="007F5B58">
        <w:rPr>
          <w:rtl/>
        </w:rPr>
        <w:t>،</w:t>
      </w:r>
      <w:r>
        <w:rPr>
          <w:rtl/>
        </w:rPr>
        <w:t xml:space="preserve"> وبعد انعقاده يمنع من بقائه ودوامه. فاللازم التفتيش عن وسائل وآليّاتٍ أُخرى أكثر نفعاً وجدوى.</w:t>
      </w:r>
    </w:p>
    <w:p w:rsidR="00AC628B" w:rsidRDefault="00AC628B" w:rsidP="00E32EF1">
      <w:pPr>
        <w:pStyle w:val="ac"/>
        <w:spacing w:line="209" w:lineRule="auto"/>
        <w:rPr>
          <w:rtl/>
        </w:rPr>
      </w:pPr>
      <w:r>
        <w:rPr>
          <w:rtl/>
        </w:rPr>
        <w:t>إذاً بالنسبة إلى الأدلّة الأوّليّة لا دليل على لزوم تحديد المهر</w:t>
      </w:r>
      <w:r w:rsidRPr="007F5B58">
        <w:rPr>
          <w:rtl/>
        </w:rPr>
        <w:t>،</w:t>
      </w:r>
      <w:r>
        <w:rPr>
          <w:rtl/>
        </w:rPr>
        <w:t xml:space="preserve"> بل الدليل قائم على استحباب التقليل</w:t>
      </w:r>
      <w:r w:rsidRPr="007F5B58">
        <w:rPr>
          <w:rtl/>
        </w:rPr>
        <w:t>،</w:t>
      </w:r>
      <w:r>
        <w:rPr>
          <w:rtl/>
        </w:rPr>
        <w:t xml:space="preserve"> وكراهة الزيادة فيه</w:t>
      </w:r>
      <w:r w:rsidRPr="007F5B58">
        <w:rPr>
          <w:rtl/>
        </w:rPr>
        <w:t>،</w:t>
      </w:r>
      <w:r>
        <w:rPr>
          <w:rtl/>
        </w:rPr>
        <w:t xml:space="preserve"> ومعه لا بدّ أن نرى مدى صحّة العقود الرائجة في مجتمعاتـنا</w:t>
      </w:r>
      <w:r w:rsidRPr="007F5B58">
        <w:rPr>
          <w:rtl/>
        </w:rPr>
        <w:t>،</w:t>
      </w:r>
      <w:r>
        <w:rPr>
          <w:rtl/>
        </w:rPr>
        <w:t xml:space="preserve"> فنقول</w:t>
      </w:r>
      <w:r w:rsidRPr="007F5B58">
        <w:rPr>
          <w:rtl/>
        </w:rPr>
        <w:t>:</w:t>
      </w:r>
      <w:r>
        <w:rPr>
          <w:rtl/>
        </w:rPr>
        <w:t xml:space="preserve"> </w:t>
      </w:r>
    </w:p>
    <w:p w:rsidR="00AC628B" w:rsidRDefault="00AC628B" w:rsidP="00E32EF1">
      <w:pPr>
        <w:pStyle w:val="ac"/>
        <w:spacing w:line="209" w:lineRule="auto"/>
        <w:rPr>
          <w:rtl/>
        </w:rPr>
      </w:pPr>
      <w:r>
        <w:rPr>
          <w:rtl/>
        </w:rPr>
        <w:t>أمّا في الموارد التي يكون المهر فيها عيناً خارجيّة معيّنة</w:t>
      </w:r>
      <w:r w:rsidRPr="007F5B58">
        <w:rPr>
          <w:rtl/>
        </w:rPr>
        <w:t>،</w:t>
      </w:r>
      <w:r>
        <w:rPr>
          <w:rtl/>
        </w:rPr>
        <w:t xml:space="preserve"> وكانت هذه العين في يد الرجل</w:t>
      </w:r>
      <w:r w:rsidRPr="007F5B58">
        <w:rPr>
          <w:rtl/>
        </w:rPr>
        <w:t>،</w:t>
      </w:r>
      <w:r>
        <w:rPr>
          <w:rtl/>
        </w:rPr>
        <w:t xml:space="preserve"> أو كان الرجل قد وضعها بتصرّف الزوجة وتحت اختيارها</w:t>
      </w:r>
      <w:r w:rsidRPr="007F5B58">
        <w:rPr>
          <w:rtl/>
        </w:rPr>
        <w:t>،</w:t>
      </w:r>
      <w:r>
        <w:rPr>
          <w:rtl/>
        </w:rPr>
        <w:t xml:space="preserve"> فلا إشكال في أنّ المهر محكومٌ بالصحّة.</w:t>
      </w:r>
    </w:p>
    <w:p w:rsidR="00AC628B" w:rsidRDefault="00AC628B" w:rsidP="00AC628B">
      <w:pPr>
        <w:pStyle w:val="ac"/>
        <w:rPr>
          <w:rtl/>
        </w:rPr>
      </w:pPr>
      <w:r>
        <w:rPr>
          <w:rtl/>
        </w:rPr>
        <w:t>وأمّا في الموارد التي يكون المهر فيها مالاً في الذمّة فهل يكون المهر مع وجود مقداره صحيحاً أو لا؟</w:t>
      </w:r>
    </w:p>
    <w:p w:rsidR="00AC628B" w:rsidRDefault="00AC628B" w:rsidP="00AC628B">
      <w:pPr>
        <w:pStyle w:val="ac"/>
        <w:rPr>
          <w:rtl/>
        </w:rPr>
      </w:pPr>
      <w:r>
        <w:rPr>
          <w:rtl/>
        </w:rPr>
        <w:t>يرى بعضهم أنّ المهر في هذه الصورة محكومٌ بالبطلان</w:t>
      </w:r>
      <w:r w:rsidRPr="007F5B58">
        <w:rPr>
          <w:rtl/>
        </w:rPr>
        <w:t>؛</w:t>
      </w:r>
      <w:r>
        <w:rPr>
          <w:rtl/>
        </w:rPr>
        <w:t xml:space="preserve"> لعدم قدرة الزوج على التسليم</w:t>
      </w:r>
      <w:r w:rsidRPr="00815C4C">
        <w:rPr>
          <w:rFonts w:cs="Taher"/>
          <w:vertAlign w:val="superscript"/>
          <w:rtl/>
        </w:rPr>
        <w:t>(</w:t>
      </w:r>
      <w:r w:rsidRPr="00815C4C">
        <w:rPr>
          <w:rFonts w:cs="Taher"/>
          <w:vertAlign w:val="superscript"/>
          <w:rtl/>
        </w:rPr>
        <w:footnoteReference w:id="785"/>
      </w:r>
      <w:r w:rsidRPr="00815C4C">
        <w:rPr>
          <w:rFonts w:cs="Taher"/>
          <w:vertAlign w:val="superscript"/>
          <w:rtl/>
        </w:rPr>
        <w:t>)</w:t>
      </w:r>
      <w:r>
        <w:rPr>
          <w:rtl/>
        </w:rPr>
        <w:t>.</w:t>
      </w:r>
    </w:p>
    <w:p w:rsidR="00AC628B" w:rsidRDefault="00AC628B" w:rsidP="00AC628B">
      <w:pPr>
        <w:pStyle w:val="ac"/>
        <w:rPr>
          <w:rtl/>
        </w:rPr>
      </w:pPr>
      <w:r>
        <w:rPr>
          <w:rtl/>
        </w:rPr>
        <w:t>ولكن فيه</w:t>
      </w:r>
      <w:r w:rsidRPr="007F5B58">
        <w:rPr>
          <w:rtl/>
        </w:rPr>
        <w:t>:</w:t>
      </w:r>
      <w:r>
        <w:rPr>
          <w:rtl/>
        </w:rPr>
        <w:t xml:space="preserve"> ليس الشرط في صحّة المهر القدرة على تسليمه في زمان وقوع العقد</w:t>
      </w:r>
      <w:r w:rsidRPr="007F5B58">
        <w:rPr>
          <w:rtl/>
        </w:rPr>
        <w:t>،</w:t>
      </w:r>
      <w:r>
        <w:rPr>
          <w:rtl/>
        </w:rPr>
        <w:t xml:space="preserve"> وإنّما هو القدرة على التسليم في زمان الدفع والأداء</w:t>
      </w:r>
      <w:r w:rsidRPr="007F5B58">
        <w:rPr>
          <w:rtl/>
        </w:rPr>
        <w:t>،</w:t>
      </w:r>
      <w:r>
        <w:rPr>
          <w:rtl/>
        </w:rPr>
        <w:t xml:space="preserve"> وعليه فالقدرة على التسليم ليست </w:t>
      </w:r>
      <w:r>
        <w:rPr>
          <w:rtl/>
        </w:rPr>
        <w:lastRenderedPageBreak/>
        <w:t>شرطاً في صحّة المهر حتى يُحكم ببطلانه بسبب فقدانها. مضافاً إلى أنّ استطاعة الزوج لو جُعلت شرطاً لارتفع إشكال عدم القدرة على التسليم</w:t>
      </w:r>
      <w:r w:rsidRPr="007F5B58">
        <w:rPr>
          <w:rtl/>
        </w:rPr>
        <w:t>،</w:t>
      </w:r>
      <w:r>
        <w:rPr>
          <w:rtl/>
        </w:rPr>
        <w:t xml:space="preserve"> ويلزم الحكم بصحّة المهر ونفاذه</w:t>
      </w:r>
      <w:r w:rsidRPr="007F5B58">
        <w:rPr>
          <w:rtl/>
        </w:rPr>
        <w:t>،</w:t>
      </w:r>
      <w:r>
        <w:rPr>
          <w:rtl/>
        </w:rPr>
        <w:t xml:space="preserve"> حتى لو فُرِض أنّ القدرة على دفع المهر لم تتوفّر له أبداً</w:t>
      </w:r>
      <w:r w:rsidRPr="007F5B58">
        <w:rPr>
          <w:rtl/>
        </w:rPr>
        <w:t>،</w:t>
      </w:r>
      <w:r>
        <w:rPr>
          <w:rtl/>
        </w:rPr>
        <w:t xml:space="preserve"> بل إنّ بعضهم اعتبر الاستطاعة في المهر شرطاً نافذاً</w:t>
      </w:r>
      <w:r w:rsidRPr="00815C4C">
        <w:rPr>
          <w:rFonts w:cs="Taher"/>
          <w:vertAlign w:val="superscript"/>
          <w:rtl/>
        </w:rPr>
        <w:t>(</w:t>
      </w:r>
      <w:r w:rsidRPr="00815C4C">
        <w:rPr>
          <w:rFonts w:cs="Taher"/>
          <w:vertAlign w:val="superscript"/>
          <w:rtl/>
        </w:rPr>
        <w:footnoteReference w:id="786"/>
      </w:r>
      <w:r w:rsidRPr="00815C4C">
        <w:rPr>
          <w:rFonts w:cs="Taher"/>
          <w:vertAlign w:val="superscript"/>
          <w:rtl/>
        </w:rPr>
        <w:t>)</w:t>
      </w:r>
      <w:r>
        <w:rPr>
          <w:rtl/>
        </w:rPr>
        <w:t>.</w:t>
      </w:r>
    </w:p>
    <w:p w:rsidR="00AC628B" w:rsidRDefault="00AC628B" w:rsidP="00E32EF1">
      <w:pPr>
        <w:pStyle w:val="ac"/>
        <w:spacing w:line="199" w:lineRule="auto"/>
        <w:rPr>
          <w:rtl/>
        </w:rPr>
      </w:pPr>
      <w:r>
        <w:rPr>
          <w:rtl/>
        </w:rPr>
        <w:t>ورأى آخرون أنّ الحدّ الذي يبلغ إليه المهر يجب أن يكون حدّاً معقولاً</w:t>
      </w:r>
      <w:r w:rsidRPr="00815C4C">
        <w:rPr>
          <w:rFonts w:cs="Taher"/>
          <w:vertAlign w:val="superscript"/>
          <w:rtl/>
        </w:rPr>
        <w:t>(</w:t>
      </w:r>
      <w:r w:rsidRPr="00815C4C">
        <w:rPr>
          <w:rFonts w:cs="Taher"/>
          <w:vertAlign w:val="superscript"/>
          <w:rtl/>
        </w:rPr>
        <w:footnoteReference w:id="787"/>
      </w:r>
      <w:r w:rsidRPr="00815C4C">
        <w:rPr>
          <w:rFonts w:cs="Taher"/>
          <w:vertAlign w:val="superscript"/>
          <w:rtl/>
        </w:rPr>
        <w:t>)</w:t>
      </w:r>
      <w:r w:rsidRPr="007F5B58">
        <w:rPr>
          <w:rtl/>
        </w:rPr>
        <w:t>؛</w:t>
      </w:r>
      <w:r>
        <w:rPr>
          <w:rtl/>
        </w:rPr>
        <w:t xml:space="preserve"> فإن كان المراد من معقوليّة المهر</w:t>
      </w:r>
      <w:r w:rsidRPr="007F5B58">
        <w:rPr>
          <w:rtl/>
        </w:rPr>
        <w:t>،</w:t>
      </w:r>
      <w:r>
        <w:rPr>
          <w:rtl/>
        </w:rPr>
        <w:t xml:space="preserve"> معقوليّة مطلق مقدار المهر من دون اعتـناء بالقدرة الماليّة للزوج</w:t>
      </w:r>
      <w:r w:rsidRPr="007F5B58">
        <w:rPr>
          <w:rtl/>
        </w:rPr>
        <w:t>،</w:t>
      </w:r>
      <w:r>
        <w:rPr>
          <w:rtl/>
        </w:rPr>
        <w:t xml:space="preserve"> فيشكل الاعتماد على هذه النظريّة أيضاً</w:t>
      </w:r>
      <w:r w:rsidRPr="007F5B58">
        <w:rPr>
          <w:rtl/>
        </w:rPr>
        <w:t>؛</w:t>
      </w:r>
      <w:r>
        <w:rPr>
          <w:rtl/>
        </w:rPr>
        <w:t xml:space="preserve"> لأنّ عقد النكاح يستبطن الحبّ والمودّة</w:t>
      </w:r>
      <w:r w:rsidRPr="007F5B58">
        <w:rPr>
          <w:rtl/>
        </w:rPr>
        <w:t>،</w:t>
      </w:r>
      <w:r>
        <w:rPr>
          <w:rtl/>
        </w:rPr>
        <w:t xml:space="preserve"> وله جنبة شخصيّة</w:t>
      </w:r>
      <w:r w:rsidRPr="007F5B58">
        <w:rPr>
          <w:rtl/>
        </w:rPr>
        <w:t>،</w:t>
      </w:r>
      <w:r>
        <w:rPr>
          <w:rtl/>
        </w:rPr>
        <w:t xml:space="preserve"> فلا يصحّ توصيف المهر ودراسته بعيداً عن سياق العلاقة بين الطرفين</w:t>
      </w:r>
      <w:r w:rsidRPr="007F5B58">
        <w:rPr>
          <w:rtl/>
        </w:rPr>
        <w:t>؛</w:t>
      </w:r>
      <w:r>
        <w:rPr>
          <w:rtl/>
        </w:rPr>
        <w:t xml:space="preserve"> لأنّ المهر إن كان هديّة يقدّمها الزوج إلى زوجته فتحديد مقداره وتعيينه يكون مرتبطاً بالمحبّة التي يحملها المُهدي إلى المُهدى له</w:t>
      </w:r>
      <w:r w:rsidRPr="007F5B58">
        <w:rPr>
          <w:rtl/>
        </w:rPr>
        <w:t>،</w:t>
      </w:r>
      <w:r>
        <w:rPr>
          <w:rtl/>
        </w:rPr>
        <w:t xml:space="preserve"> وهو مرتبط أيضاً برضا المعشوق بأن يشارك حياته مع عاشقه. ومن هنا نرى أنّ إضفاء نوعٍ من العقلائيّة المطلقة على مقدار المهر ـ كما تقتضيه هذه النظريّة ـ يتـنافى مع فلسفة وجود المهر</w:t>
      </w:r>
      <w:r w:rsidRPr="007F5B58">
        <w:rPr>
          <w:rtl/>
        </w:rPr>
        <w:t>؛</w:t>
      </w:r>
      <w:r>
        <w:rPr>
          <w:rtl/>
        </w:rPr>
        <w:t xml:space="preserve"> إذ من الممكن في العلقة الزوجيّة أن يكون العاشق على استعداد لتقديم روحه ونفسه للمعشوق</w:t>
      </w:r>
      <w:r w:rsidRPr="007F5B58">
        <w:rPr>
          <w:rtl/>
        </w:rPr>
        <w:t>،</w:t>
      </w:r>
      <w:r>
        <w:rPr>
          <w:rtl/>
        </w:rPr>
        <w:t xml:space="preserve"> وأن يستسهل لأجله خوض الصعاب والأهوال. وعلى هذا الأساس فقياس مقدار المهر على مقدار العوض في المعاملات الماليّة قياس مع الفارق</w:t>
      </w:r>
      <w:r w:rsidRPr="007F5B58">
        <w:rPr>
          <w:rtl/>
        </w:rPr>
        <w:t>؛</w:t>
      </w:r>
      <w:r>
        <w:rPr>
          <w:rtl/>
        </w:rPr>
        <w:t xml:space="preserve"> لأنّ من المسلَّم في المعاملات الماليّة</w:t>
      </w:r>
      <w:r w:rsidRPr="007F5B58">
        <w:rPr>
          <w:rtl/>
        </w:rPr>
        <w:t>،</w:t>
      </w:r>
      <w:r>
        <w:rPr>
          <w:rtl/>
        </w:rPr>
        <w:t xml:space="preserve"> التي هي مبتـنية على طلب المنفعة</w:t>
      </w:r>
      <w:r w:rsidRPr="007F5B58">
        <w:rPr>
          <w:rtl/>
        </w:rPr>
        <w:t>،</w:t>
      </w:r>
      <w:r>
        <w:rPr>
          <w:rtl/>
        </w:rPr>
        <w:t xml:space="preserve"> أنّ انعقادها لا بدّ وأن يكون محكوماً للأصول العقلائيّة</w:t>
      </w:r>
      <w:r w:rsidRPr="007F5B58">
        <w:rPr>
          <w:rtl/>
        </w:rPr>
        <w:t>،</w:t>
      </w:r>
      <w:r>
        <w:rPr>
          <w:rtl/>
        </w:rPr>
        <w:t xml:space="preserve"> وأمّا النكاح فهو مبنيٌّ على الشوق والمحبّة والوصل بين الزوج والزوجة</w:t>
      </w:r>
      <w:r w:rsidRPr="007F5B58">
        <w:rPr>
          <w:rtl/>
        </w:rPr>
        <w:t>،</w:t>
      </w:r>
      <w:r>
        <w:rPr>
          <w:rtl/>
        </w:rPr>
        <w:t xml:space="preserve"> فيكون المعيار والأصل الحاكم فيه هو هذه العلاقة بين الطرفين ومدى عمقها واستحكامها</w:t>
      </w:r>
      <w:r w:rsidRPr="007F5B58">
        <w:rPr>
          <w:rtl/>
        </w:rPr>
        <w:t>،</w:t>
      </w:r>
      <w:r>
        <w:rPr>
          <w:rtl/>
        </w:rPr>
        <w:t xml:space="preserve"> وهي تفي بدورٍ جوهريٍّ فيه.</w:t>
      </w:r>
    </w:p>
    <w:p w:rsidR="00AC628B" w:rsidRDefault="00AC628B" w:rsidP="00AC628B">
      <w:pPr>
        <w:pStyle w:val="ac"/>
        <w:rPr>
          <w:rtl/>
        </w:rPr>
      </w:pPr>
      <w:r>
        <w:rPr>
          <w:rtl/>
        </w:rPr>
        <w:t>ولذلك من غير المناسب أن يتمّ التعاطي مع المهر من زاوية عقلائيّة محضة</w:t>
      </w:r>
      <w:r w:rsidRPr="007F5B58">
        <w:rPr>
          <w:rtl/>
        </w:rPr>
        <w:t>،</w:t>
      </w:r>
      <w:r>
        <w:rPr>
          <w:rtl/>
        </w:rPr>
        <w:t xml:space="preserve"> ومن دون التفات إلى مدى العلاقة التي تجمع الزوج بزوجته</w:t>
      </w:r>
      <w:r w:rsidRPr="007F5B58">
        <w:rPr>
          <w:rtl/>
        </w:rPr>
        <w:t>،</w:t>
      </w:r>
      <w:r>
        <w:rPr>
          <w:rtl/>
        </w:rPr>
        <w:t xml:space="preserve"> ومدى قدرته الماليّة</w:t>
      </w:r>
      <w:r w:rsidRPr="007F5B58">
        <w:rPr>
          <w:rtl/>
        </w:rPr>
        <w:t>؛</w:t>
      </w:r>
      <w:r>
        <w:rPr>
          <w:rtl/>
        </w:rPr>
        <w:t xml:space="preserve"> إذ مهما بلغ مقدار المهر فليس هناك ما يدلّ على المنع منه من وجهة نظر الشرع</w:t>
      </w:r>
      <w:r w:rsidRPr="007F5B58">
        <w:rPr>
          <w:rtl/>
        </w:rPr>
        <w:t>،</w:t>
      </w:r>
      <w:r>
        <w:rPr>
          <w:rtl/>
        </w:rPr>
        <w:t xml:space="preserve"> ولكن هل يحكم </w:t>
      </w:r>
      <w:r>
        <w:rPr>
          <w:rtl/>
        </w:rPr>
        <w:lastRenderedPageBreak/>
        <w:t>بصحة المهر العرفيّ الذي يكون معظمه في ذمّة الزوج مطلقاً</w:t>
      </w:r>
      <w:r w:rsidRPr="007F5B58">
        <w:rPr>
          <w:rtl/>
        </w:rPr>
        <w:t>،</w:t>
      </w:r>
      <w:r>
        <w:rPr>
          <w:rtl/>
        </w:rPr>
        <w:t xml:space="preserve"> مهما بلغ مقداره</w:t>
      </w:r>
      <w:r w:rsidRPr="007F5B58">
        <w:rPr>
          <w:rtl/>
        </w:rPr>
        <w:t>،</w:t>
      </w:r>
      <w:r>
        <w:rPr>
          <w:rtl/>
        </w:rPr>
        <w:t xml:space="preserve"> ومهما كانت الطريقة المتّبعة في إلقائه على الذمّة</w:t>
      </w:r>
      <w:r w:rsidRPr="007F5B58">
        <w:rPr>
          <w:rtl/>
        </w:rPr>
        <w:t>،</w:t>
      </w:r>
      <w:r>
        <w:rPr>
          <w:rtl/>
        </w:rPr>
        <w:t xml:space="preserve"> أو أنّ هناك شروطاً تجب مراعاتها لكي يكون ما في الذمّة مقبولاً ومعتبراً؟</w:t>
      </w:r>
    </w:p>
    <w:p w:rsidR="00AC628B" w:rsidRDefault="00AC628B" w:rsidP="00E32EF1">
      <w:pPr>
        <w:pStyle w:val="ac"/>
        <w:spacing w:line="209" w:lineRule="auto"/>
        <w:rPr>
          <w:rtl/>
        </w:rPr>
      </w:pPr>
      <w:r>
        <w:rPr>
          <w:rtl/>
        </w:rPr>
        <w:t>الذمّة في المنظور العقلائيّ عبارة عن الوعاء الاعتباريّ الذي تستقرّ فيه جميع تعهّدات الإنسان وديونه</w:t>
      </w:r>
      <w:r w:rsidRPr="007F5B58">
        <w:rPr>
          <w:rtl/>
        </w:rPr>
        <w:t>،</w:t>
      </w:r>
      <w:r>
        <w:rPr>
          <w:rtl/>
        </w:rPr>
        <w:t xml:space="preserve"> وقد أُقرّ هذا الوعاء الاعتباريّ في نظام حقوق الإسلام أيضاً</w:t>
      </w:r>
      <w:r w:rsidRPr="007F5B58">
        <w:rPr>
          <w:rtl/>
        </w:rPr>
        <w:t>،</w:t>
      </w:r>
      <w:r>
        <w:rPr>
          <w:rtl/>
        </w:rPr>
        <w:t xml:space="preserve"> الذي اشترط لاعتبار ما في الذمّة شروطاً</w:t>
      </w:r>
      <w:r w:rsidRPr="007F5B58">
        <w:rPr>
          <w:rtl/>
        </w:rPr>
        <w:t>،</w:t>
      </w:r>
      <w:r>
        <w:rPr>
          <w:rtl/>
        </w:rPr>
        <w:t xml:space="preserve"> ومنها</w:t>
      </w:r>
      <w:r w:rsidRPr="007F5B58">
        <w:rPr>
          <w:rtl/>
        </w:rPr>
        <w:t>:</w:t>
      </w:r>
      <w:r>
        <w:rPr>
          <w:rtl/>
        </w:rPr>
        <w:t xml:space="preserve"> أن يكون مشخَّصاً ومعلوماً ومعيَّناً</w:t>
      </w:r>
      <w:r w:rsidRPr="007F5B58">
        <w:rPr>
          <w:rtl/>
        </w:rPr>
        <w:t>،</w:t>
      </w:r>
      <w:r>
        <w:rPr>
          <w:rtl/>
        </w:rPr>
        <w:t xml:space="preserve"> فلو كان مجهولاً أو مردَّداً أو مطلقاً لم يصحّ</w:t>
      </w:r>
      <w:r w:rsidRPr="007F5B58">
        <w:rPr>
          <w:rtl/>
        </w:rPr>
        <w:t>،</w:t>
      </w:r>
      <w:r>
        <w:rPr>
          <w:rtl/>
        </w:rPr>
        <w:t xml:space="preserve"> بل يكون فاقداً للماليّة أو المنفعة العقلائيّة.</w:t>
      </w:r>
    </w:p>
    <w:p w:rsidR="00AC628B" w:rsidRDefault="00AC628B" w:rsidP="00E32EF1">
      <w:pPr>
        <w:pStyle w:val="ac"/>
        <w:spacing w:line="209" w:lineRule="auto"/>
        <w:rPr>
          <w:rtl/>
        </w:rPr>
      </w:pPr>
      <w:r>
        <w:rPr>
          <w:rtl/>
        </w:rPr>
        <w:t>ومن جانب آخر</w:t>
      </w:r>
      <w:r w:rsidRPr="007F5B58">
        <w:rPr>
          <w:rtl/>
        </w:rPr>
        <w:t>،</w:t>
      </w:r>
      <w:r>
        <w:rPr>
          <w:rtl/>
        </w:rPr>
        <w:t xml:space="preserve"> هل لسعة الذمّة ودائرتها حدود تُقيَّد بها</w:t>
      </w:r>
      <w:r>
        <w:rPr>
          <w:rFonts w:hint="cs"/>
          <w:rtl/>
        </w:rPr>
        <w:t>،</w:t>
      </w:r>
      <w:r>
        <w:rPr>
          <w:rtl/>
        </w:rPr>
        <w:t xml:space="preserve"> أو أنّها تكون مطلقةً</w:t>
      </w:r>
      <w:r w:rsidRPr="007F5B58">
        <w:rPr>
          <w:rtl/>
        </w:rPr>
        <w:t>،</w:t>
      </w:r>
      <w:r>
        <w:rPr>
          <w:rtl/>
        </w:rPr>
        <w:t xml:space="preserve"> ويمكن لذمّة </w:t>
      </w:r>
      <w:r w:rsidRPr="00E32EF1">
        <w:rPr>
          <w:sz w:val="31"/>
          <w:szCs w:val="31"/>
          <w:rtl/>
        </w:rPr>
        <w:t>الشخص أن تكون مشغولة إلى ما لا نهاية له؟ في ما يتعلّق بصحّة اعتبار ما في الذمّة من منظور العقلاء يرى بعضهم أنّ من اللاّزم على كلّ من الطرفين، أعني: المتعهّد والمتعهّد له، أن يكون له قصد جدّيّ تجاه ما في الذمّة، بحيث يعتبره دَيناً مُلزماً له</w:t>
      </w:r>
      <w:r w:rsidRPr="00E32EF1">
        <w:rPr>
          <w:rFonts w:cs="Taher"/>
          <w:sz w:val="31"/>
          <w:szCs w:val="31"/>
          <w:vertAlign w:val="superscript"/>
          <w:rtl/>
        </w:rPr>
        <w:t>(</w:t>
      </w:r>
      <w:r w:rsidRPr="00E32EF1">
        <w:rPr>
          <w:rFonts w:cs="Taher"/>
          <w:sz w:val="31"/>
          <w:szCs w:val="31"/>
          <w:vertAlign w:val="superscript"/>
          <w:rtl/>
        </w:rPr>
        <w:footnoteReference w:id="788"/>
      </w:r>
      <w:r w:rsidRPr="00E32EF1">
        <w:rPr>
          <w:rFonts w:cs="Taher"/>
          <w:sz w:val="31"/>
          <w:szCs w:val="31"/>
          <w:vertAlign w:val="superscript"/>
          <w:rtl/>
        </w:rPr>
        <w:t>)</w:t>
      </w:r>
      <w:r w:rsidRPr="00E32EF1">
        <w:rPr>
          <w:sz w:val="31"/>
          <w:szCs w:val="31"/>
          <w:rtl/>
        </w:rPr>
        <w:t>.</w:t>
      </w:r>
    </w:p>
    <w:p w:rsidR="00AC628B" w:rsidRDefault="00AC628B" w:rsidP="00C86626">
      <w:pPr>
        <w:pStyle w:val="ac"/>
        <w:rPr>
          <w:rtl/>
        </w:rPr>
      </w:pPr>
      <w:r>
        <w:rPr>
          <w:rtl/>
        </w:rPr>
        <w:t>ومن جملة المشاكل التي تترتّب على المهور الخياليّة أو المرتفعة أنّ أيّاً من الطرفين لا ينعقد له قصد جدّيّ إلى دفعه في الفترة التي يصار فيها إلى الاتّفاق على تسمية المهر واعتباره</w:t>
      </w:r>
      <w:r w:rsidRPr="007F5B58">
        <w:rPr>
          <w:rtl/>
        </w:rPr>
        <w:t>،</w:t>
      </w:r>
      <w:r>
        <w:rPr>
          <w:rtl/>
        </w:rPr>
        <w:t xml:space="preserve"> كما تكشف عن ذلك العبارة اللّطيفة المتداولة «</w:t>
      </w:r>
      <w:r w:rsidRPr="001C6F61">
        <w:rPr>
          <w:rtl/>
        </w:rPr>
        <w:t>من أعطى</w:t>
      </w:r>
      <w:r>
        <w:rPr>
          <w:rtl/>
        </w:rPr>
        <w:t>؟!</w:t>
      </w:r>
      <w:r w:rsidRPr="001C6F61">
        <w:rPr>
          <w:rtl/>
        </w:rPr>
        <w:t xml:space="preserve"> ومن أخذ؟! وإنّما هو أمر الله تعالى وسنّة نبيّه</w:t>
      </w:r>
      <w:r w:rsidR="00C86626">
        <w:rPr>
          <w:rFonts w:hint="cs"/>
          <w:rtl/>
        </w:rPr>
        <w:t>’</w:t>
      </w:r>
      <w:r>
        <w:rPr>
          <w:rtl/>
        </w:rPr>
        <w:t>»</w:t>
      </w:r>
      <w:r w:rsidRPr="007F5B58">
        <w:rPr>
          <w:rtl/>
        </w:rPr>
        <w:t>،</w:t>
      </w:r>
      <w:r>
        <w:rPr>
          <w:rtl/>
        </w:rPr>
        <w:t xml:space="preserve"> فإنّها تدلّ بوضوح على أنّ الزوج في هذه الأثناء ليس له قصد جدّيّ إلى دفع المهر</w:t>
      </w:r>
      <w:r w:rsidRPr="007F5B58">
        <w:rPr>
          <w:rtl/>
        </w:rPr>
        <w:t>،</w:t>
      </w:r>
      <w:r>
        <w:rPr>
          <w:rtl/>
        </w:rPr>
        <w:t xml:space="preserve"> ولولا ذلك لما رضي أبداً بتسمية مهرٍ يفوق طاقته على امتداد عمره كلّه. ويؤيّد ذلك أنّنا نرى الزوج يهتمّ ويناقش</w:t>
      </w:r>
      <w:r w:rsidRPr="007F5B58">
        <w:rPr>
          <w:rtl/>
        </w:rPr>
        <w:t>،</w:t>
      </w:r>
      <w:r>
        <w:rPr>
          <w:rtl/>
        </w:rPr>
        <w:t xml:space="preserve"> وبكلّ جدّيّة</w:t>
      </w:r>
      <w:r w:rsidRPr="007F5B58">
        <w:rPr>
          <w:rtl/>
        </w:rPr>
        <w:t>،</w:t>
      </w:r>
      <w:r>
        <w:rPr>
          <w:rtl/>
        </w:rPr>
        <w:t xml:space="preserve"> حول رسوم الزواج وتكاليفه المستحقّة</w:t>
      </w:r>
      <w:r w:rsidRPr="007F5B58">
        <w:rPr>
          <w:rtl/>
        </w:rPr>
        <w:t>،</w:t>
      </w:r>
      <w:r>
        <w:rPr>
          <w:rtl/>
        </w:rPr>
        <w:t xml:space="preserve"> ويسعى إلى تخفيفها والتقليل منها</w:t>
      </w:r>
      <w:r w:rsidRPr="007F5B58">
        <w:rPr>
          <w:rtl/>
        </w:rPr>
        <w:t>،</w:t>
      </w:r>
      <w:r>
        <w:rPr>
          <w:rtl/>
        </w:rPr>
        <w:t xml:space="preserve"> مع أنّ هذا التكاليف قد تكون أقلّ بكثير من المقدار المسمّى للمهر الذي قبل به ووافق عليه. ومن هذا المنطلق ذهب بعضهم إلى الحكم ببطلان الاتّفاق على مهر كهذا</w:t>
      </w:r>
      <w:r w:rsidRPr="007F5B58">
        <w:rPr>
          <w:rtl/>
        </w:rPr>
        <w:t>؛</w:t>
      </w:r>
      <w:r>
        <w:rPr>
          <w:rtl/>
        </w:rPr>
        <w:t xml:space="preserve"> استـناداً إلى عدم جدّيّة القصد </w:t>
      </w:r>
      <w:r>
        <w:rPr>
          <w:rtl/>
        </w:rPr>
        <w:lastRenderedPageBreak/>
        <w:t>أثناء انعقاده</w:t>
      </w:r>
      <w:r w:rsidRPr="00815C4C">
        <w:rPr>
          <w:rFonts w:cs="Taher"/>
          <w:vertAlign w:val="superscript"/>
          <w:rtl/>
        </w:rPr>
        <w:t>(</w:t>
      </w:r>
      <w:r w:rsidRPr="00815C4C">
        <w:rPr>
          <w:rFonts w:cs="Taher"/>
          <w:vertAlign w:val="superscript"/>
          <w:rtl/>
        </w:rPr>
        <w:footnoteReference w:id="789"/>
      </w:r>
      <w:r w:rsidRPr="00815C4C">
        <w:rPr>
          <w:rFonts w:cs="Taher"/>
          <w:vertAlign w:val="superscript"/>
          <w:rtl/>
        </w:rPr>
        <w:t>)</w:t>
      </w:r>
      <w:r>
        <w:rPr>
          <w:rtl/>
        </w:rPr>
        <w:t>.</w:t>
      </w:r>
    </w:p>
    <w:p w:rsidR="00AC628B" w:rsidRDefault="00AC628B" w:rsidP="00E32EF1">
      <w:pPr>
        <w:pStyle w:val="ac"/>
        <w:spacing w:line="199" w:lineRule="auto"/>
        <w:rPr>
          <w:rtl/>
        </w:rPr>
      </w:pPr>
      <w:r>
        <w:rPr>
          <w:rtl/>
        </w:rPr>
        <w:t>وأما الزوجة فإنها لا تتعاطى مع المهر بوصفه مطلباً قابلاً للوصول والتحصيل</w:t>
      </w:r>
      <w:r w:rsidRPr="007F5B58">
        <w:rPr>
          <w:rtl/>
        </w:rPr>
        <w:t>،</w:t>
      </w:r>
      <w:r>
        <w:rPr>
          <w:rtl/>
        </w:rPr>
        <w:t xml:space="preserve"> وإنّما تـنظر إليه على اعتبار أنّه وسيلة تحمي نفسها بها في قبال الزوج</w:t>
      </w:r>
      <w:r w:rsidRPr="007F5B58">
        <w:rPr>
          <w:rtl/>
        </w:rPr>
        <w:t>،</w:t>
      </w:r>
      <w:r>
        <w:rPr>
          <w:rtl/>
        </w:rPr>
        <w:t xml:space="preserve"> ولهذا نرى أنّه ما دام الهدوء والاستقرار يلقيان بظلالهما على حياة الزوجين فلا يُسمع لصوت المطالبة بالمهر صدىً أصلاً</w:t>
      </w:r>
      <w:r w:rsidRPr="007F5B58">
        <w:rPr>
          <w:rtl/>
        </w:rPr>
        <w:t>،</w:t>
      </w:r>
      <w:r>
        <w:rPr>
          <w:rtl/>
        </w:rPr>
        <w:t xml:space="preserve"> ثمّ بمجرّد بروز الإشكال والخلاف في حياتهما تسارع المرأة إلى المطالبة بمهرها</w:t>
      </w:r>
      <w:r w:rsidRPr="007F5B58">
        <w:rPr>
          <w:rtl/>
        </w:rPr>
        <w:t>؛</w:t>
      </w:r>
      <w:r>
        <w:rPr>
          <w:rtl/>
        </w:rPr>
        <w:t xml:space="preserve"> بدافع حماية نفسها</w:t>
      </w:r>
      <w:r w:rsidRPr="007F5B58">
        <w:rPr>
          <w:rtl/>
        </w:rPr>
        <w:t>،</w:t>
      </w:r>
      <w:r>
        <w:rPr>
          <w:rtl/>
        </w:rPr>
        <w:t xml:space="preserve"> الأمر الذي يجعل المرأة هي الحلقة الأقوى في المنظومة الحقوقيّة الإسلاميّة</w:t>
      </w:r>
      <w:r w:rsidRPr="007F5B58">
        <w:rPr>
          <w:rtl/>
        </w:rPr>
        <w:t>،</w:t>
      </w:r>
      <w:r>
        <w:rPr>
          <w:rtl/>
        </w:rPr>
        <w:t xml:space="preserve"> ولا سيّما مع إصرارها على إجراء المهر وأدائه</w:t>
      </w:r>
      <w:r w:rsidRPr="007F5B58">
        <w:rPr>
          <w:rtl/>
        </w:rPr>
        <w:t>،</w:t>
      </w:r>
      <w:r>
        <w:rPr>
          <w:rtl/>
        </w:rPr>
        <w:t xml:space="preserve"> وعجز الزوج في المقابل عن دفعه. </w:t>
      </w:r>
    </w:p>
    <w:p w:rsidR="00AC628B" w:rsidRDefault="00AC628B" w:rsidP="00E32EF1">
      <w:pPr>
        <w:pStyle w:val="ac"/>
        <w:spacing w:line="199" w:lineRule="auto"/>
        <w:rPr>
          <w:rtl/>
        </w:rPr>
      </w:pPr>
      <w:r>
        <w:rPr>
          <w:rtl/>
        </w:rPr>
        <w:t xml:space="preserve"> والنتيجة أنّ أُولى مشاكل المهر العرفيّ تكمن في عدم تحقّق القصد الجدّيّ من الطرفين إلى المهر بعنوانه الدينيّ</w:t>
      </w:r>
      <w:r>
        <w:rPr>
          <w:rFonts w:hint="cs"/>
          <w:rtl/>
        </w:rPr>
        <w:t>،</w:t>
      </w:r>
      <w:r>
        <w:rPr>
          <w:rtl/>
        </w:rPr>
        <w:t xml:space="preserve"> الذي هو عبارة عن لزوم دفع الزوج المهر المسمّى للمرأة إليها بحكم حقوق الإسلام</w:t>
      </w:r>
      <w:r w:rsidRPr="007F5B58">
        <w:rPr>
          <w:rtl/>
        </w:rPr>
        <w:t>،</w:t>
      </w:r>
      <w:r>
        <w:rPr>
          <w:rtl/>
        </w:rPr>
        <w:t xml:space="preserve"> وأنّ للزوجة الحقّ في المطالبة به في أيّ وقتٍ تشاء</w:t>
      </w:r>
      <w:r w:rsidRPr="007F5B58">
        <w:rPr>
          <w:rtl/>
        </w:rPr>
        <w:t>،</w:t>
      </w:r>
      <w:r>
        <w:rPr>
          <w:rtl/>
        </w:rPr>
        <w:t xml:space="preserve"> وإلاّ فليس ثمّة ما يدلّ ـ من الناحية الشرعيّة ـ على المنع من أي مقدار للمهر.</w:t>
      </w:r>
    </w:p>
    <w:p w:rsidR="00AC628B" w:rsidRDefault="00AC628B" w:rsidP="00E32EF1">
      <w:pPr>
        <w:pStyle w:val="ac"/>
        <w:rPr>
          <w:rtl/>
        </w:rPr>
      </w:pPr>
      <w:r>
        <w:rPr>
          <w:rtl/>
        </w:rPr>
        <w:t>وأمّا المشكلة الثانية التي تواجه المهر العرفيّ فهي مدى سعة الذمّة وظرفيّتها</w:t>
      </w:r>
      <w:r w:rsidRPr="007F5B58">
        <w:rPr>
          <w:rtl/>
        </w:rPr>
        <w:t>،</w:t>
      </w:r>
      <w:r>
        <w:rPr>
          <w:rtl/>
        </w:rPr>
        <w:t xml:space="preserve"> بحيث لا تكون القدرة الماليّة للشخص مأخوذة بعين الاعتبار في أثناء الاتّفاق على المهر</w:t>
      </w:r>
      <w:r w:rsidRPr="007F5B58">
        <w:rPr>
          <w:rtl/>
        </w:rPr>
        <w:t>،</w:t>
      </w:r>
      <w:r>
        <w:rPr>
          <w:rtl/>
        </w:rPr>
        <w:t xml:space="preserve"> بل يجري الاتّفاق على مقدارٍ لا يتمكّن الشخص طيلة عمره من كسبه وتحصيله بالطرق العاديّة والمألوفة</w:t>
      </w:r>
      <w:r w:rsidRPr="007F5B58">
        <w:rPr>
          <w:rtl/>
        </w:rPr>
        <w:t>،</w:t>
      </w:r>
      <w:r>
        <w:rPr>
          <w:rtl/>
        </w:rPr>
        <w:t xml:space="preserve"> فهل يمكن اعتبار دائرة الذمّة لدى جميع الأشخاص مطلقةً ولا حدّ لها أو أنّ لكلّ شخصٍ من الذمّة ما يتـناسب مع حجم ومعيار قدرته الماليّة في حاضره ومستقبله</w:t>
      </w:r>
      <w:r w:rsidRPr="007F5B58">
        <w:rPr>
          <w:rtl/>
        </w:rPr>
        <w:t>،</w:t>
      </w:r>
      <w:r>
        <w:rPr>
          <w:rtl/>
        </w:rPr>
        <w:t xml:space="preserve"> وأمّا ما زاد على ذلك فهو بنظر العقلاء ساقط عن الاعتبار؟</w:t>
      </w:r>
    </w:p>
    <w:p w:rsidR="00AC628B" w:rsidRDefault="00AC628B" w:rsidP="00E32EF1">
      <w:pPr>
        <w:pStyle w:val="ac"/>
        <w:spacing w:line="199" w:lineRule="auto"/>
        <w:rPr>
          <w:rtl/>
        </w:rPr>
      </w:pPr>
      <w:r>
        <w:rPr>
          <w:rtl/>
        </w:rPr>
        <w:t>ذهب أكثر الباحثين إلى أنّه لا حدّ لسعة الذمّة ودائرتها</w:t>
      </w:r>
      <w:r w:rsidRPr="007F5B58">
        <w:rPr>
          <w:rtl/>
        </w:rPr>
        <w:t>،</w:t>
      </w:r>
      <w:r>
        <w:rPr>
          <w:rtl/>
        </w:rPr>
        <w:t xml:space="preserve"> بل يمكن لكلّ شخص أن يشغل ذمّته للآخرين بقدر ما يشاء</w:t>
      </w:r>
      <w:r w:rsidRPr="00815C4C">
        <w:rPr>
          <w:rFonts w:cs="Taher"/>
          <w:vertAlign w:val="superscript"/>
          <w:rtl/>
        </w:rPr>
        <w:t>(</w:t>
      </w:r>
      <w:r w:rsidRPr="00815C4C">
        <w:rPr>
          <w:rFonts w:cs="Taher"/>
          <w:vertAlign w:val="superscript"/>
          <w:rtl/>
        </w:rPr>
        <w:footnoteReference w:id="790"/>
      </w:r>
      <w:r w:rsidRPr="00815C4C">
        <w:rPr>
          <w:rFonts w:cs="Taher"/>
          <w:vertAlign w:val="superscript"/>
          <w:rtl/>
        </w:rPr>
        <w:t>)</w:t>
      </w:r>
      <w:r>
        <w:rPr>
          <w:rtl/>
        </w:rPr>
        <w:t>.</w:t>
      </w:r>
    </w:p>
    <w:p w:rsidR="00AC628B" w:rsidRDefault="00AC628B" w:rsidP="00E32EF1">
      <w:pPr>
        <w:pStyle w:val="ac"/>
        <w:spacing w:line="199" w:lineRule="auto"/>
        <w:rPr>
          <w:rtl/>
        </w:rPr>
      </w:pPr>
      <w:r>
        <w:rPr>
          <w:rtl/>
        </w:rPr>
        <w:t>ولكنّ الاعتماد على هذه النظريّة مشكل</w:t>
      </w:r>
      <w:r w:rsidRPr="007F5B58">
        <w:rPr>
          <w:rtl/>
        </w:rPr>
        <w:t>؛</w:t>
      </w:r>
      <w:r>
        <w:rPr>
          <w:rtl/>
        </w:rPr>
        <w:t xml:space="preserve"> فإنّ الذمّة وإن كانت وعاءً اعتباريّاً يشابه </w:t>
      </w:r>
      <w:r>
        <w:rPr>
          <w:rtl/>
        </w:rPr>
        <w:lastRenderedPageBreak/>
        <w:t>الحساب البنكيّ الذي يتّسع لكلّ ما يُوضع فيه من العملة</w:t>
      </w:r>
      <w:r w:rsidRPr="007F5B58">
        <w:rPr>
          <w:rtl/>
        </w:rPr>
        <w:t>،</w:t>
      </w:r>
      <w:r>
        <w:rPr>
          <w:rtl/>
        </w:rPr>
        <w:t xml:space="preserve"> إلاّ أنّ دائرة الذمّة بالنسبة إلى كلّ شخصٍ يجب أن تكون محدودةً بما يمتلكه هذا الشخص من القدرة الماليّة</w:t>
      </w:r>
      <w:r w:rsidRPr="007F5B58">
        <w:rPr>
          <w:rtl/>
        </w:rPr>
        <w:t>،</w:t>
      </w:r>
      <w:r>
        <w:rPr>
          <w:rtl/>
        </w:rPr>
        <w:t xml:space="preserve"> حالياً أو مستقبلاً</w:t>
      </w:r>
      <w:r w:rsidRPr="007F5B58">
        <w:rPr>
          <w:rtl/>
        </w:rPr>
        <w:t>؛</w:t>
      </w:r>
      <w:r>
        <w:rPr>
          <w:rtl/>
        </w:rPr>
        <w:t xml:space="preserve"> لأنّ هذه الأموال الاعتباريّة يترتّب عليها أثر</w:t>
      </w:r>
      <w:r w:rsidRPr="007F5B58">
        <w:rPr>
          <w:rtl/>
        </w:rPr>
        <w:t>،</w:t>
      </w:r>
      <w:r>
        <w:rPr>
          <w:rtl/>
        </w:rPr>
        <w:t xml:space="preserve"> وهو عبارة عن مديونيّة صاحب الذمّة في قبال الدائن والمتعهّد له</w:t>
      </w:r>
      <w:r w:rsidRPr="007F5B58">
        <w:rPr>
          <w:rtl/>
        </w:rPr>
        <w:t>؛</w:t>
      </w:r>
      <w:r>
        <w:rPr>
          <w:rtl/>
        </w:rPr>
        <w:t xml:space="preserve"> فإنّ مجرد الإدانة والاستدانة</w:t>
      </w:r>
      <w:r w:rsidRPr="007F5B58">
        <w:rPr>
          <w:rtl/>
        </w:rPr>
        <w:t>،</w:t>
      </w:r>
      <w:r>
        <w:rPr>
          <w:rtl/>
        </w:rPr>
        <w:t xml:space="preserve"> ومن دون دفع واستيفاء</w:t>
      </w:r>
      <w:r w:rsidRPr="007F5B58">
        <w:rPr>
          <w:rtl/>
        </w:rPr>
        <w:t>،</w:t>
      </w:r>
      <w:r>
        <w:rPr>
          <w:rtl/>
        </w:rPr>
        <w:t xml:space="preserve"> لا يمكن أن يكونا مقصودين للعقلاء</w:t>
      </w:r>
      <w:r w:rsidRPr="007F5B58">
        <w:rPr>
          <w:rtl/>
        </w:rPr>
        <w:t>،</w:t>
      </w:r>
      <w:r>
        <w:rPr>
          <w:rtl/>
        </w:rPr>
        <w:t xml:space="preserve"> فالمقصود الأصليّ إذاً هو الأثر الذي يترتّب على ما في الذمّة</w:t>
      </w:r>
      <w:r w:rsidRPr="007F5B58">
        <w:rPr>
          <w:rtl/>
        </w:rPr>
        <w:t>،</w:t>
      </w:r>
      <w:r>
        <w:rPr>
          <w:rtl/>
        </w:rPr>
        <w:t xml:space="preserve"> وهو لزوم دفع الدين من جهة المديون</w:t>
      </w:r>
      <w:r w:rsidRPr="007F5B58">
        <w:rPr>
          <w:rtl/>
        </w:rPr>
        <w:t>،</w:t>
      </w:r>
      <w:r>
        <w:rPr>
          <w:rtl/>
        </w:rPr>
        <w:t xml:space="preserve"> وحقّ المطالبة من جهة الدائن</w:t>
      </w:r>
      <w:r w:rsidRPr="007F5B58">
        <w:rPr>
          <w:rtl/>
        </w:rPr>
        <w:t>،</w:t>
      </w:r>
      <w:r>
        <w:rPr>
          <w:rtl/>
        </w:rPr>
        <w:t xml:space="preserve"> وهذا التعهّد والحقّ منوط بالقدرة الماليّة أو الإجرائيّة لصاحب الذمّة</w:t>
      </w:r>
      <w:r w:rsidRPr="007F5B58">
        <w:rPr>
          <w:rtl/>
        </w:rPr>
        <w:t>؛</w:t>
      </w:r>
      <w:r>
        <w:rPr>
          <w:rtl/>
        </w:rPr>
        <w:t xml:space="preserve"> لاتّفاق أهل النظر على استحالة التكليف بما لا يُطاق</w:t>
      </w:r>
      <w:r w:rsidRPr="007F5B58">
        <w:rPr>
          <w:rtl/>
        </w:rPr>
        <w:t>،</w:t>
      </w:r>
      <w:r>
        <w:rPr>
          <w:rtl/>
        </w:rPr>
        <w:t xml:space="preserve"> فلو لم يكن لصاحب الذمّة الاستطاعة والقدرة الماليّة التي توازي ما ثبت عليه في ذمّته لم يكن إلزامه بالدفع أمراً ممكناً لكي يكون للطرف المقابل الحقّ في مطالبته</w:t>
      </w:r>
      <w:r w:rsidRPr="007F5B58">
        <w:rPr>
          <w:rtl/>
        </w:rPr>
        <w:t>،</w:t>
      </w:r>
      <w:r>
        <w:rPr>
          <w:rtl/>
        </w:rPr>
        <w:t xml:space="preserve"> وخاصّةً في مثل موضوع المهر</w:t>
      </w:r>
      <w:r w:rsidRPr="007F5B58">
        <w:rPr>
          <w:rtl/>
        </w:rPr>
        <w:t>،</w:t>
      </w:r>
      <w:r>
        <w:rPr>
          <w:rtl/>
        </w:rPr>
        <w:t xml:space="preserve"> الذي لا يبتـني على روح المعاوضة</w:t>
      </w:r>
      <w:r w:rsidRPr="007F5B58">
        <w:rPr>
          <w:rtl/>
        </w:rPr>
        <w:t>،</w:t>
      </w:r>
      <w:r>
        <w:rPr>
          <w:rtl/>
        </w:rPr>
        <w:t xml:space="preserve"> وإنّما هو ـ كما تقدّم ـ هديّة يأخذها الزوج على عهدته</w:t>
      </w:r>
      <w:r w:rsidRPr="007F5B58">
        <w:rPr>
          <w:rtl/>
        </w:rPr>
        <w:t>؛</w:t>
      </w:r>
      <w:r>
        <w:rPr>
          <w:rtl/>
        </w:rPr>
        <w:t xml:space="preserve"> طمعاً في إحراز رضا الزوجة وقبولها بالزواج منه.</w:t>
      </w:r>
    </w:p>
    <w:p w:rsidR="00AC628B" w:rsidRDefault="00AC628B" w:rsidP="00E32EF1">
      <w:pPr>
        <w:pStyle w:val="ac"/>
        <w:spacing w:line="202" w:lineRule="auto"/>
        <w:rPr>
          <w:rtl/>
        </w:rPr>
      </w:pPr>
      <w:r>
        <w:rPr>
          <w:rtl/>
        </w:rPr>
        <w:t>وعلى هذا الأساس ينبغي القول بأنّ سعة ذمّة الأشخاص محدودة بقدراتهم الماليّة</w:t>
      </w:r>
      <w:r w:rsidRPr="007F5B58">
        <w:rPr>
          <w:rtl/>
        </w:rPr>
        <w:t>،</w:t>
      </w:r>
      <w:r>
        <w:rPr>
          <w:rtl/>
        </w:rPr>
        <w:t xml:space="preserve"> سواء في ذلك قدرتهم الفعليّة أو التي يتوقّع ثبوتها لهم في المستقبل. ولذا أضاف بعضهم إلى شروط صحّة اعتبار ما في الذمّة شرطاً آخر</w:t>
      </w:r>
      <w:r w:rsidRPr="007F5B58">
        <w:rPr>
          <w:rtl/>
        </w:rPr>
        <w:t>،</w:t>
      </w:r>
      <w:r>
        <w:rPr>
          <w:rtl/>
        </w:rPr>
        <w:t xml:space="preserve"> وهو شرط تعيين مدّة الدفع</w:t>
      </w:r>
      <w:r w:rsidRPr="007F5B58">
        <w:rPr>
          <w:rtl/>
        </w:rPr>
        <w:t>،</w:t>
      </w:r>
      <w:r>
        <w:rPr>
          <w:rtl/>
        </w:rPr>
        <w:t xml:space="preserve"> ذاهبين إلى أنّ من اللاّزم في صحّة اعتبار ما في الذمّة أن يُصار إلى تعيين مدّة لأدائه والوفاء به</w:t>
      </w:r>
      <w:r w:rsidRPr="007F5B58">
        <w:rPr>
          <w:rtl/>
        </w:rPr>
        <w:t>؛</w:t>
      </w:r>
      <w:r>
        <w:rPr>
          <w:rtl/>
        </w:rPr>
        <w:t xml:space="preserve"> إذ مع مجهوليّة المدّة</w:t>
      </w:r>
      <w:r w:rsidRPr="007F5B58">
        <w:rPr>
          <w:rtl/>
        </w:rPr>
        <w:t>،</w:t>
      </w:r>
      <w:r>
        <w:rPr>
          <w:rtl/>
        </w:rPr>
        <w:t xml:space="preserve"> لا يثبت الدَّين على ذمّة الشخص بنحو معتبر</w:t>
      </w:r>
      <w:r w:rsidRPr="00815C4C">
        <w:rPr>
          <w:rFonts w:cs="Taher"/>
          <w:vertAlign w:val="superscript"/>
          <w:rtl/>
        </w:rPr>
        <w:t>(</w:t>
      </w:r>
      <w:r w:rsidRPr="00815C4C">
        <w:rPr>
          <w:rFonts w:cs="Taher"/>
          <w:vertAlign w:val="superscript"/>
          <w:rtl/>
        </w:rPr>
        <w:footnoteReference w:id="791"/>
      </w:r>
      <w:r w:rsidRPr="00815C4C">
        <w:rPr>
          <w:rFonts w:cs="Taher"/>
          <w:vertAlign w:val="superscript"/>
          <w:rtl/>
        </w:rPr>
        <w:t>)</w:t>
      </w:r>
      <w:r>
        <w:rPr>
          <w:rtl/>
        </w:rPr>
        <w:t>. وأضف إلى ذلك أنّه مع عدم أخذ القدرة الماليّة أو الإجرائيّة لمالك الذمّة في اعتبار ما يستقرّ في ذمّته</w:t>
      </w:r>
      <w:r w:rsidRPr="007F5B58">
        <w:rPr>
          <w:rtl/>
        </w:rPr>
        <w:t>،</w:t>
      </w:r>
      <w:r>
        <w:rPr>
          <w:rtl/>
        </w:rPr>
        <w:t xml:space="preserve"> أو لم يكن بالإمكان تعيين مدّة زمنيّةٍ معقولةٍ ومتعارفة للأداء والوفاء به</w:t>
      </w:r>
      <w:r w:rsidRPr="007F5B58">
        <w:rPr>
          <w:rtl/>
        </w:rPr>
        <w:t>،</w:t>
      </w:r>
      <w:r>
        <w:rPr>
          <w:rtl/>
        </w:rPr>
        <w:t xml:space="preserve"> فإنّ هذا العمل يُعَدّ عملاً سفهيّاً</w:t>
      </w:r>
      <w:r w:rsidRPr="007F5B58">
        <w:rPr>
          <w:rtl/>
        </w:rPr>
        <w:t>،</w:t>
      </w:r>
      <w:r>
        <w:rPr>
          <w:rtl/>
        </w:rPr>
        <w:t xml:space="preserve"> والمعاملة السفهيّة محكومة بالبطلان عند كثير من أهل الفكر والنظر</w:t>
      </w:r>
      <w:r w:rsidRPr="00815C4C">
        <w:rPr>
          <w:rFonts w:cs="Taher"/>
          <w:vertAlign w:val="superscript"/>
          <w:rtl/>
        </w:rPr>
        <w:t>(</w:t>
      </w:r>
      <w:r w:rsidRPr="00815C4C">
        <w:rPr>
          <w:rFonts w:cs="Taher"/>
          <w:vertAlign w:val="superscript"/>
          <w:rtl/>
        </w:rPr>
        <w:footnoteReference w:id="792"/>
      </w:r>
      <w:r w:rsidRPr="00815C4C">
        <w:rPr>
          <w:rFonts w:cs="Taher"/>
          <w:vertAlign w:val="superscript"/>
          <w:rtl/>
        </w:rPr>
        <w:t>)</w:t>
      </w:r>
      <w:r>
        <w:rPr>
          <w:rtl/>
        </w:rPr>
        <w:t>. ويستفاد من ذلك بطلان الاتّفاق على تسمية المهر من دون التوجّه إلى أدائه</w:t>
      </w:r>
      <w:r w:rsidRPr="007F5B58">
        <w:rPr>
          <w:rtl/>
        </w:rPr>
        <w:t>،</w:t>
      </w:r>
      <w:r>
        <w:rPr>
          <w:rtl/>
        </w:rPr>
        <w:t xml:space="preserve"> وبدون ملاحظة القدرة الماليّة للمتعهّد به.</w:t>
      </w:r>
    </w:p>
    <w:p w:rsidR="00AC628B" w:rsidRPr="00367A4F" w:rsidRDefault="00AC628B" w:rsidP="007F7201">
      <w:pPr>
        <w:pStyle w:val="1"/>
        <w:rPr>
          <w:rtl/>
        </w:rPr>
      </w:pPr>
      <w:bookmarkStart w:id="401" w:name="_Toc275128117"/>
      <w:r w:rsidRPr="00367A4F">
        <w:rPr>
          <w:rtl/>
        </w:rPr>
        <w:lastRenderedPageBreak/>
        <w:t>4ـ الآلي</w:t>
      </w:r>
      <w:r>
        <w:rPr>
          <w:rtl/>
        </w:rPr>
        <w:t>ّات القانونيّة لضبط مقدار المهر</w:t>
      </w:r>
      <w:bookmarkEnd w:id="401"/>
    </w:p>
    <w:p w:rsidR="00AC628B" w:rsidRDefault="00AC628B" w:rsidP="00AC628B">
      <w:pPr>
        <w:pStyle w:val="ac"/>
        <w:rPr>
          <w:rtl/>
        </w:rPr>
      </w:pPr>
      <w:r>
        <w:rPr>
          <w:rtl/>
        </w:rPr>
        <w:t>في عصرنا الحاضر</w:t>
      </w:r>
      <w:r w:rsidRPr="007F5B58">
        <w:rPr>
          <w:rtl/>
        </w:rPr>
        <w:t>؛</w:t>
      </w:r>
      <w:r>
        <w:rPr>
          <w:rtl/>
        </w:rPr>
        <w:t xml:space="preserve"> وبفعل العوامل الاجتماعيّة المتعدّدة</w:t>
      </w:r>
      <w:r w:rsidRPr="007F5B58">
        <w:rPr>
          <w:rtl/>
        </w:rPr>
        <w:t>،</w:t>
      </w:r>
      <w:r>
        <w:rPr>
          <w:rtl/>
        </w:rPr>
        <w:t xml:space="preserve"> يجري الاتّفاق على تعيين وتسمية مهور بمقادير مرتفعة جدّاً</w:t>
      </w:r>
      <w:r w:rsidRPr="007F5B58">
        <w:rPr>
          <w:rtl/>
        </w:rPr>
        <w:t>،</w:t>
      </w:r>
      <w:r>
        <w:rPr>
          <w:rtl/>
        </w:rPr>
        <w:t xml:space="preserve"> تخرج في معظم الحالات عن حدّ الاستطاعة الماليّة للزوج</w:t>
      </w:r>
      <w:r w:rsidRPr="007F5B58">
        <w:rPr>
          <w:rtl/>
        </w:rPr>
        <w:t>،</w:t>
      </w:r>
      <w:r>
        <w:rPr>
          <w:rtl/>
        </w:rPr>
        <w:t xml:space="preserve"> ولا تكون الزوجة في زمن وقوع العقد في وارد أن تفكّر بالمطالبة بمهرها</w:t>
      </w:r>
      <w:r w:rsidRPr="007F5B58">
        <w:rPr>
          <w:rtl/>
        </w:rPr>
        <w:t>،</w:t>
      </w:r>
      <w:r>
        <w:rPr>
          <w:rtl/>
        </w:rPr>
        <w:t xml:space="preserve"> إلاّ أنّها وبمجرّد وقوع خلافٍ بينها وبين زوجها تسارع إلى الاتّكاء على مهرها</w:t>
      </w:r>
      <w:r w:rsidRPr="007F5B58">
        <w:rPr>
          <w:rtl/>
        </w:rPr>
        <w:t>،</w:t>
      </w:r>
      <w:r>
        <w:rPr>
          <w:rtl/>
        </w:rPr>
        <w:t xml:space="preserve"> من ناحية مقداره</w:t>
      </w:r>
      <w:r w:rsidRPr="007F5B58">
        <w:rPr>
          <w:rtl/>
        </w:rPr>
        <w:t>،</w:t>
      </w:r>
      <w:r>
        <w:rPr>
          <w:rtl/>
        </w:rPr>
        <w:t xml:space="preserve"> وكونه لازم الإجراء من حين المطالبة</w:t>
      </w:r>
      <w:r w:rsidRPr="007F5B58">
        <w:rPr>
          <w:rtl/>
        </w:rPr>
        <w:t>،</w:t>
      </w:r>
      <w:r>
        <w:rPr>
          <w:rtl/>
        </w:rPr>
        <w:t xml:space="preserve"> ممّا يؤدّي في حالة عجز الزوج عن الأداء إلى الحكم عليه بالسجن</w:t>
      </w:r>
      <w:r w:rsidRPr="007F5B58">
        <w:rPr>
          <w:rtl/>
        </w:rPr>
        <w:t>،</w:t>
      </w:r>
      <w:r>
        <w:rPr>
          <w:rtl/>
        </w:rPr>
        <w:t xml:space="preserve"> وهذه المحكوميّة مضافاً إلى مخالفتها لفلسفة المهر في نظام الحقوق الإسلاميّة ـ هي على خلاف النظم الاجتماعيّة</w:t>
      </w:r>
      <w:r w:rsidRPr="007F5B58">
        <w:rPr>
          <w:rtl/>
        </w:rPr>
        <w:t>؛</w:t>
      </w:r>
      <w:r>
        <w:rPr>
          <w:rtl/>
        </w:rPr>
        <w:t xml:space="preserve"> لأنّ الذي يُحكم عليه بالسجن</w:t>
      </w:r>
      <w:r w:rsidRPr="007F5B58">
        <w:rPr>
          <w:rtl/>
        </w:rPr>
        <w:t>،</w:t>
      </w:r>
      <w:r>
        <w:rPr>
          <w:rtl/>
        </w:rPr>
        <w:t xml:space="preserve"> ولو ليومٍ واحد</w:t>
      </w:r>
      <w:r w:rsidRPr="007F5B58">
        <w:rPr>
          <w:rtl/>
        </w:rPr>
        <w:t>،</w:t>
      </w:r>
      <w:r>
        <w:rPr>
          <w:rtl/>
        </w:rPr>
        <w:t xml:space="preserve"> لمجرّد أنّه عجز عن دفع المهر</w:t>
      </w:r>
      <w:r>
        <w:rPr>
          <w:rFonts w:hint="cs"/>
          <w:rtl/>
        </w:rPr>
        <w:t>،</w:t>
      </w:r>
      <w:r>
        <w:rPr>
          <w:rtl/>
        </w:rPr>
        <w:t xml:space="preserve"> يفقد كبرياءه وعزّة نفسه</w:t>
      </w:r>
      <w:r w:rsidRPr="007F5B58">
        <w:rPr>
          <w:rtl/>
        </w:rPr>
        <w:t>،</w:t>
      </w:r>
      <w:r>
        <w:rPr>
          <w:rtl/>
        </w:rPr>
        <w:t xml:space="preserve"> علماً أنّ المرأة لا تـنال نصيبها من المهر بذلك. وعليه فإنّ صدماتٍ اجتماعيّةً لا يمكن جبرانها وتلافيها تكون قد لطمت كلاًّ من الأُسرة والمجتمع.</w:t>
      </w:r>
    </w:p>
    <w:p w:rsidR="00AC628B" w:rsidRDefault="00AC628B" w:rsidP="00AC628B">
      <w:pPr>
        <w:pStyle w:val="ac"/>
        <w:rPr>
          <w:rtl/>
        </w:rPr>
      </w:pPr>
      <w:r>
        <w:rPr>
          <w:rtl/>
        </w:rPr>
        <w:t>وفي المحصّلة فإنّ إحدى مشاكل المهر المرتفع هي عجز الزوج وعدم قدرته على الدفع</w:t>
      </w:r>
      <w:r w:rsidRPr="007F5B58">
        <w:rPr>
          <w:rtl/>
        </w:rPr>
        <w:t>،</w:t>
      </w:r>
      <w:r>
        <w:rPr>
          <w:rtl/>
        </w:rPr>
        <w:t xml:space="preserve"> فإنّ هذا العجز يدفع بالزوجة نحو القيام برفع دعوى جزائيّة عليه</w:t>
      </w:r>
      <w:r w:rsidRPr="007F5B58">
        <w:rPr>
          <w:rtl/>
        </w:rPr>
        <w:t>،</w:t>
      </w:r>
      <w:r>
        <w:rPr>
          <w:rtl/>
        </w:rPr>
        <w:t xml:space="preserve"> ممّا يرتّب على المحاكم المختصّة ـ وطبقاً للقوانين والمقرّرات الموضوعة ـ أن تحكم على الزوج بدخول السجن. </w:t>
      </w:r>
    </w:p>
    <w:p w:rsidR="00AC628B" w:rsidRDefault="00AC628B" w:rsidP="00AC628B">
      <w:pPr>
        <w:pStyle w:val="ac"/>
        <w:rPr>
          <w:rtl/>
        </w:rPr>
      </w:pPr>
      <w:r>
        <w:rPr>
          <w:rtl/>
        </w:rPr>
        <w:t>إنّ الآثار السيّئة التي تترتّب على حبس الزوج</w:t>
      </w:r>
      <w:r w:rsidRPr="007F5B58">
        <w:rPr>
          <w:rtl/>
        </w:rPr>
        <w:t>؛</w:t>
      </w:r>
      <w:r>
        <w:rPr>
          <w:rtl/>
        </w:rPr>
        <w:t xml:space="preserve"> لعجزه عن دفع المهر</w:t>
      </w:r>
      <w:r w:rsidRPr="007F5B58">
        <w:rPr>
          <w:rtl/>
        </w:rPr>
        <w:t>،</w:t>
      </w:r>
      <w:r>
        <w:rPr>
          <w:rtl/>
        </w:rPr>
        <w:t xml:space="preserve"> تتجلّى وتظهر من ناحيتين</w:t>
      </w:r>
      <w:r w:rsidRPr="007F5B58">
        <w:rPr>
          <w:rtl/>
        </w:rPr>
        <w:t>:</w:t>
      </w:r>
      <w:r w:rsidRPr="00622940">
        <w:rPr>
          <w:b/>
          <w:bCs/>
          <w:rtl/>
        </w:rPr>
        <w:t xml:space="preserve"> إحداهما</w:t>
      </w:r>
      <w:r w:rsidRPr="007F5B58">
        <w:rPr>
          <w:rtl/>
        </w:rPr>
        <w:t>:</w:t>
      </w:r>
      <w:r>
        <w:rPr>
          <w:rtl/>
        </w:rPr>
        <w:t xml:space="preserve"> شخصيّة أو عائليّة</w:t>
      </w:r>
      <w:r w:rsidRPr="007F5B58">
        <w:rPr>
          <w:rtl/>
        </w:rPr>
        <w:t>؛</w:t>
      </w:r>
      <w:r>
        <w:rPr>
          <w:rtl/>
        </w:rPr>
        <w:t xml:space="preserve"> </w:t>
      </w:r>
      <w:r w:rsidRPr="00622940">
        <w:rPr>
          <w:b/>
          <w:bCs/>
          <w:rtl/>
        </w:rPr>
        <w:t>والأُخرى</w:t>
      </w:r>
      <w:r w:rsidRPr="007F5B58">
        <w:rPr>
          <w:rtl/>
        </w:rPr>
        <w:t>:</w:t>
      </w:r>
      <w:r>
        <w:rPr>
          <w:rtl/>
        </w:rPr>
        <w:t xml:space="preserve"> اجتماعيّة. </w:t>
      </w:r>
    </w:p>
    <w:p w:rsidR="00AC628B" w:rsidRDefault="00AC628B" w:rsidP="00AC628B">
      <w:pPr>
        <w:pStyle w:val="ac"/>
        <w:rPr>
          <w:rtl/>
        </w:rPr>
      </w:pPr>
      <w:r>
        <w:rPr>
          <w:rtl/>
        </w:rPr>
        <w:t>أمّا من الناحية الشخصيّة والعائليّة فالزوج الذي تسجنه زوجته</w:t>
      </w:r>
      <w:r>
        <w:rPr>
          <w:rFonts w:hint="cs"/>
          <w:rtl/>
        </w:rPr>
        <w:t>،</w:t>
      </w:r>
      <w:r>
        <w:rPr>
          <w:rtl/>
        </w:rPr>
        <w:t xml:space="preserve"> نتيجةً لعدم قدرته على المهر</w:t>
      </w:r>
      <w:r w:rsidRPr="007F5B58">
        <w:rPr>
          <w:rtl/>
        </w:rPr>
        <w:t>،</w:t>
      </w:r>
      <w:r>
        <w:rPr>
          <w:rtl/>
        </w:rPr>
        <w:t xml:space="preserve"> لن يكون سلوكه وتصرّفه مع زوجته بعد خروجه من السجن ـ في أغلب الحالات ـ سلوكاً لائقاً وصحيحاً</w:t>
      </w:r>
      <w:r w:rsidRPr="007F5B58">
        <w:rPr>
          <w:rtl/>
        </w:rPr>
        <w:t>،</w:t>
      </w:r>
      <w:r>
        <w:rPr>
          <w:rtl/>
        </w:rPr>
        <w:t xml:space="preserve"> وهذا يؤدّي إلى تلاشي الأسرة وزوالها</w:t>
      </w:r>
      <w:r w:rsidRPr="007F5B58">
        <w:rPr>
          <w:rtl/>
        </w:rPr>
        <w:t>،</w:t>
      </w:r>
      <w:r>
        <w:rPr>
          <w:rtl/>
        </w:rPr>
        <w:t xml:space="preserve"> والحال أنّ هدف الإسلام من إقرار مبدأ المهر إنّما هو تعميق العلاقة واستحكام الألفة والمودّة بين الزوجين. إذاً فالنتيجة التي يُفضي إليها المهر المرتفع من الناحية الفرديّة والشخصيّة هي نتيجة مخالفة تماماً لفلسفة إقرار المهر وتشريعه.</w:t>
      </w:r>
    </w:p>
    <w:p w:rsidR="00AC628B" w:rsidRDefault="00AC628B" w:rsidP="00AC628B">
      <w:pPr>
        <w:pStyle w:val="ac"/>
        <w:rPr>
          <w:rtl/>
        </w:rPr>
      </w:pPr>
      <w:r>
        <w:rPr>
          <w:rtl/>
        </w:rPr>
        <w:t xml:space="preserve">وأمّا من الناحية الاجتماعيّة فهو أيضاً يؤدّي إلى فرار الرجال من الزواج وتشكيل </w:t>
      </w:r>
      <w:r>
        <w:rPr>
          <w:rtl/>
        </w:rPr>
        <w:lastRenderedPageBreak/>
        <w:t>الأسرة</w:t>
      </w:r>
      <w:r w:rsidRPr="007F5B58">
        <w:rPr>
          <w:rtl/>
        </w:rPr>
        <w:t>،</w:t>
      </w:r>
      <w:r>
        <w:rPr>
          <w:rtl/>
        </w:rPr>
        <w:t xml:space="preserve"> وهذا ـ مضافاً إلى ما يستتبعه من الأزمات الاجتماعيّة التي تـنشأ عن عدم الزواج ـ مخالفٌ لمبادئ الحقوق في الإسلام</w:t>
      </w:r>
      <w:r w:rsidRPr="007F5B58">
        <w:rPr>
          <w:rtl/>
        </w:rPr>
        <w:t>،</w:t>
      </w:r>
      <w:r>
        <w:rPr>
          <w:rtl/>
        </w:rPr>
        <w:t xml:space="preserve"> التي أقرّت أنّ النكاح في نفسه مستحبّ مؤكّد</w:t>
      </w:r>
      <w:r w:rsidRPr="007F5B58">
        <w:rPr>
          <w:rtl/>
        </w:rPr>
        <w:t>،</w:t>
      </w:r>
      <w:r>
        <w:rPr>
          <w:rtl/>
        </w:rPr>
        <w:t xml:space="preserve"> بل هو ـ في موارد احتمال الوقوع في الحرام ـ محكومٌ بالوجوب</w:t>
      </w:r>
      <w:r w:rsidRPr="00815C4C">
        <w:rPr>
          <w:rFonts w:cs="Taher"/>
          <w:vertAlign w:val="superscript"/>
          <w:rtl/>
        </w:rPr>
        <w:t>(</w:t>
      </w:r>
      <w:r w:rsidRPr="00815C4C">
        <w:rPr>
          <w:rFonts w:cs="Taher"/>
          <w:vertAlign w:val="superscript"/>
          <w:rtl/>
        </w:rPr>
        <w:footnoteReference w:id="793"/>
      </w:r>
      <w:r w:rsidRPr="00815C4C">
        <w:rPr>
          <w:rFonts w:cs="Taher"/>
          <w:vertAlign w:val="superscript"/>
          <w:rtl/>
        </w:rPr>
        <w:t>)</w:t>
      </w:r>
      <w:r>
        <w:rPr>
          <w:rtl/>
        </w:rPr>
        <w:t xml:space="preserve">. </w:t>
      </w:r>
    </w:p>
    <w:p w:rsidR="00AC628B" w:rsidRDefault="00AC628B" w:rsidP="00AC628B">
      <w:pPr>
        <w:pStyle w:val="ac"/>
        <w:rPr>
          <w:rtl/>
        </w:rPr>
      </w:pPr>
      <w:r>
        <w:rPr>
          <w:rtl/>
        </w:rPr>
        <w:t>ومن هذا المنطلق فقد طُرِحت مجموعة من الوسائل التي تحول دون غلاء المهر وارتفاعه</w:t>
      </w:r>
      <w:r w:rsidRPr="007F5B58">
        <w:rPr>
          <w:rtl/>
        </w:rPr>
        <w:t>،</w:t>
      </w:r>
      <w:r>
        <w:rPr>
          <w:rtl/>
        </w:rPr>
        <w:t xml:space="preserve"> أو تقلّل من الضغط الذي يسبّبه للزوج</w:t>
      </w:r>
      <w:r w:rsidRPr="007F5B58">
        <w:rPr>
          <w:rtl/>
        </w:rPr>
        <w:t>،</w:t>
      </w:r>
      <w:r>
        <w:rPr>
          <w:rtl/>
        </w:rPr>
        <w:t xml:space="preserve"> وقد وجدنا أنّ مختلف الفعاليّات الاجتماعيّة ـ أعمّ من المجلس والحكومة والقوّة القضائيّة</w:t>
      </w:r>
      <w:r w:rsidRPr="007F5B58">
        <w:rPr>
          <w:rtl/>
        </w:rPr>
        <w:t>،</w:t>
      </w:r>
      <w:r>
        <w:rPr>
          <w:rtl/>
        </w:rPr>
        <w:t xml:space="preserve"> وبالرغم من المساعي الحثيثة التي تبذلها في سبيل حماية النساء ـ تتّجه نحو فكرة تخفيف المهر والتقليل من مقداره. </w:t>
      </w:r>
    </w:p>
    <w:p w:rsidR="00AC628B" w:rsidRDefault="00AC628B" w:rsidP="00AC628B">
      <w:pPr>
        <w:pStyle w:val="ac"/>
        <w:rPr>
          <w:rtl/>
        </w:rPr>
      </w:pPr>
      <w:r>
        <w:rPr>
          <w:rtl/>
        </w:rPr>
        <w:t>وفي ما يلي نتعرّض بالدراسة والتحليل لكلٍّ من هذه الآليّات المقترحة</w:t>
      </w:r>
      <w:r w:rsidRPr="007F5B58">
        <w:rPr>
          <w:rtl/>
        </w:rPr>
        <w:t>:</w:t>
      </w:r>
    </w:p>
    <w:p w:rsidR="00AC628B" w:rsidRPr="007F7201" w:rsidRDefault="00AC628B" w:rsidP="007F7201">
      <w:pPr>
        <w:pStyle w:val="3"/>
        <w:rPr>
          <w:sz w:val="14"/>
          <w:szCs w:val="22"/>
          <w:rtl/>
        </w:rPr>
      </w:pPr>
    </w:p>
    <w:p w:rsidR="00AC628B" w:rsidRPr="00351531" w:rsidRDefault="00AC628B" w:rsidP="007F7201">
      <w:pPr>
        <w:pStyle w:val="2"/>
        <w:rPr>
          <w:rtl/>
        </w:rPr>
      </w:pPr>
      <w:bookmarkStart w:id="402" w:name="_Toc275128118"/>
      <w:r>
        <w:rPr>
          <w:rtl/>
        </w:rPr>
        <w:t>أـ</w:t>
      </w:r>
      <w:r w:rsidRPr="00351531">
        <w:rPr>
          <w:rtl/>
        </w:rPr>
        <w:t xml:space="preserve"> </w:t>
      </w:r>
      <w:r>
        <w:rPr>
          <w:rtl/>
        </w:rPr>
        <w:t>التحديد القانونيّ</w:t>
      </w:r>
      <w:bookmarkEnd w:id="402"/>
    </w:p>
    <w:p w:rsidR="00AC628B" w:rsidRDefault="00AC628B" w:rsidP="00AC628B">
      <w:pPr>
        <w:pStyle w:val="ac"/>
        <w:rPr>
          <w:rtl/>
        </w:rPr>
      </w:pPr>
      <w:r>
        <w:rPr>
          <w:rtl/>
        </w:rPr>
        <w:t>من جملة الاقتراحات التي طُرِحت في السنوات الأخيرة لجهة التسهيل في عمليّة تشكيل الأسرة</w:t>
      </w:r>
      <w:r w:rsidRPr="007F5B58">
        <w:rPr>
          <w:rtl/>
        </w:rPr>
        <w:t>،</w:t>
      </w:r>
      <w:r>
        <w:rPr>
          <w:rtl/>
        </w:rPr>
        <w:t xml:space="preserve"> وحثّ الشباب نحو الزواج</w:t>
      </w:r>
      <w:r w:rsidRPr="007F5B58">
        <w:rPr>
          <w:rtl/>
        </w:rPr>
        <w:t>،</w:t>
      </w:r>
      <w:r>
        <w:rPr>
          <w:rtl/>
        </w:rPr>
        <w:t xml:space="preserve"> والحؤول دون ابتلاء الزوج بالسجن</w:t>
      </w:r>
      <w:r w:rsidRPr="007F5B58">
        <w:rPr>
          <w:rtl/>
        </w:rPr>
        <w:t>؛</w:t>
      </w:r>
      <w:r>
        <w:rPr>
          <w:rtl/>
        </w:rPr>
        <w:t xml:space="preserve"> بسبب عدم تمكّنه من دفع الصداق</w:t>
      </w:r>
      <w:r w:rsidRPr="007F5B58">
        <w:rPr>
          <w:rtl/>
        </w:rPr>
        <w:t>،</w:t>
      </w:r>
      <w:r>
        <w:rPr>
          <w:rtl/>
        </w:rPr>
        <w:t xml:space="preserve"> القيام بتحديد المهر عن طريق القانون</w:t>
      </w:r>
      <w:r w:rsidRPr="007F5B58">
        <w:rPr>
          <w:rtl/>
        </w:rPr>
        <w:t>،</w:t>
      </w:r>
      <w:r>
        <w:rPr>
          <w:rtl/>
        </w:rPr>
        <w:t xml:space="preserve"> ووضع سقفٍ للمقدار الذي يمكن أن يصل إليه. </w:t>
      </w:r>
    </w:p>
    <w:p w:rsidR="00AC628B" w:rsidRDefault="00AC628B" w:rsidP="00AC628B">
      <w:pPr>
        <w:pStyle w:val="ac"/>
        <w:rPr>
          <w:rtl/>
        </w:rPr>
      </w:pPr>
      <w:r>
        <w:rPr>
          <w:rtl/>
        </w:rPr>
        <w:t>ويرى أصحاب هذه النظريّة أنّ السبب الذي دفعهم إلى تبنّيها هو اعتقادهم بلزوم حماية النساء</w:t>
      </w:r>
      <w:r w:rsidRPr="007F5B58">
        <w:rPr>
          <w:rtl/>
        </w:rPr>
        <w:t>،</w:t>
      </w:r>
      <w:r>
        <w:rPr>
          <w:rtl/>
        </w:rPr>
        <w:t xml:space="preserve"> وبخاصّة المتزوّجات منهنّ</w:t>
      </w:r>
      <w:r w:rsidRPr="007F5B58">
        <w:rPr>
          <w:rtl/>
        </w:rPr>
        <w:t>؛</w:t>
      </w:r>
      <w:r>
        <w:rPr>
          <w:rtl/>
        </w:rPr>
        <w:t xml:space="preserve"> ورغبتهم في حماية الأسرة</w:t>
      </w:r>
      <w:r w:rsidRPr="007F5B58">
        <w:rPr>
          <w:rtl/>
        </w:rPr>
        <w:t>،</w:t>
      </w:r>
      <w:r>
        <w:rPr>
          <w:rtl/>
        </w:rPr>
        <w:t xml:space="preserve"> وترغيب الشباب بها</w:t>
      </w:r>
      <w:r w:rsidRPr="007F5B58">
        <w:rPr>
          <w:rtl/>
        </w:rPr>
        <w:t>،</w:t>
      </w:r>
      <w:r>
        <w:rPr>
          <w:rtl/>
        </w:rPr>
        <w:t xml:space="preserve"> وحثّهم على تشكيلها. ومن هنا فقد اعتبر بعضهم أنّ تحديد المهر قانونيّاً هو أحد السبل التي يمكن اعتمادها للمنع من حصول الاتّفاق على مهر مرتفع</w:t>
      </w:r>
      <w:r w:rsidRPr="00815C4C">
        <w:rPr>
          <w:rFonts w:cs="Taher"/>
          <w:vertAlign w:val="superscript"/>
          <w:rtl/>
        </w:rPr>
        <w:t>(</w:t>
      </w:r>
      <w:r w:rsidRPr="00815C4C">
        <w:rPr>
          <w:rFonts w:cs="Taher"/>
          <w:vertAlign w:val="superscript"/>
          <w:rtl/>
        </w:rPr>
        <w:footnoteReference w:id="794"/>
      </w:r>
      <w:r w:rsidRPr="00815C4C">
        <w:rPr>
          <w:rFonts w:cs="Taher"/>
          <w:vertAlign w:val="superscript"/>
          <w:rtl/>
        </w:rPr>
        <w:t>)</w:t>
      </w:r>
      <w:r>
        <w:rPr>
          <w:rtl/>
        </w:rPr>
        <w:t xml:space="preserve">. ومن هنا قام مجلس الشورى الإسلاميّ بالمصادقة على مشروع قرارٍ تحت عنوان «تـنظيم الزواج» بتاريخ </w:t>
      </w:r>
      <w:r w:rsidRPr="007E7A4C">
        <w:rPr>
          <w:rtl/>
        </w:rPr>
        <w:t>8/10/83</w:t>
      </w:r>
      <w:r w:rsidRPr="007F5B58">
        <w:rPr>
          <w:rtl/>
        </w:rPr>
        <w:t>،</w:t>
      </w:r>
      <w:r>
        <w:rPr>
          <w:rtl/>
        </w:rPr>
        <w:t xml:space="preserve"> وقد كان الهدف من اقتراح هذا المشروع حماية الزواج وتسهيل أمره. وقد اشتمل هذا المشروع في واحدٍ من بنوده على بندٍ ينصّ على لزوم تحديد سقفٍ أعلى للمهر في الزواج. كما نصّ هذا البند على ضرورة تشكيل لجنةٍ تعمل على تعيين </w:t>
      </w:r>
      <w:r>
        <w:rPr>
          <w:rtl/>
        </w:rPr>
        <w:lastRenderedPageBreak/>
        <w:t>الحدّ الأعلى لمهور النساء في مختلف مناطق البلاد</w:t>
      </w:r>
      <w:r w:rsidRPr="007F5B58">
        <w:rPr>
          <w:rtl/>
        </w:rPr>
        <w:t>،</w:t>
      </w:r>
      <w:r>
        <w:rPr>
          <w:rtl/>
        </w:rPr>
        <w:t xml:space="preserve"> ومن وظائف هذه اللّجنة أن تضع في تصرّف الحكومة تقديراتٍ للحدّ الأعلى للمهر بين الزوجين</w:t>
      </w:r>
      <w:r w:rsidRPr="007F5B58">
        <w:rPr>
          <w:rtl/>
        </w:rPr>
        <w:t>،</w:t>
      </w:r>
      <w:r>
        <w:rPr>
          <w:rtl/>
        </w:rPr>
        <w:t xml:space="preserve"> وتتفاوت هذه التقديرات وتختلف بحسب اختلاف المناطق والتفاوت في ما بينها.</w:t>
      </w:r>
    </w:p>
    <w:p w:rsidR="00AC628B" w:rsidRDefault="00AC628B" w:rsidP="007F7201">
      <w:pPr>
        <w:pStyle w:val="ac"/>
        <w:spacing w:line="209" w:lineRule="auto"/>
        <w:rPr>
          <w:rtl/>
        </w:rPr>
      </w:pPr>
      <w:r>
        <w:rPr>
          <w:rtl/>
        </w:rPr>
        <w:t>وبالرغم من مسارعة المجلس إلى إقرار هذا المشروع بما يتضمّنه من الأساسيّات والكلّيّات إلاّ أنّ هذا البند لم تتمّ المصادقة عليه</w:t>
      </w:r>
      <w:r w:rsidRPr="007F5B58">
        <w:rPr>
          <w:rtl/>
        </w:rPr>
        <w:t>،</w:t>
      </w:r>
      <w:r>
        <w:rPr>
          <w:rtl/>
        </w:rPr>
        <w:t xml:space="preserve"> ما أدّى إلى الحكم على هذا المشروع بالفشل منذ اللحظة الأولى لإقراره</w:t>
      </w:r>
      <w:r w:rsidRPr="007F5B58">
        <w:rPr>
          <w:rtl/>
        </w:rPr>
        <w:t>؛</w:t>
      </w:r>
      <w:r>
        <w:rPr>
          <w:rtl/>
        </w:rPr>
        <w:t xml:space="preserve"> نظراً لما كان يستتبعه من مشاكل على الصعيدين</w:t>
      </w:r>
      <w:r w:rsidRPr="007F5B58">
        <w:rPr>
          <w:rtl/>
        </w:rPr>
        <w:t>:</w:t>
      </w:r>
      <w:r>
        <w:rPr>
          <w:rtl/>
        </w:rPr>
        <w:t xml:space="preserve"> الإجرائيّ</w:t>
      </w:r>
      <w:r w:rsidRPr="007F5B58">
        <w:rPr>
          <w:rtl/>
        </w:rPr>
        <w:t>؛</w:t>
      </w:r>
      <w:r>
        <w:rPr>
          <w:rtl/>
        </w:rPr>
        <w:t xml:space="preserve"> والقضائيّ. ونشير إلى بعضها في ما يلي</w:t>
      </w:r>
      <w:r w:rsidRPr="007F5B58">
        <w:rPr>
          <w:rtl/>
        </w:rPr>
        <w:t>:</w:t>
      </w:r>
    </w:p>
    <w:p w:rsidR="00AC628B" w:rsidRDefault="00AC628B" w:rsidP="007F7201">
      <w:pPr>
        <w:pStyle w:val="ac"/>
        <w:spacing w:line="209" w:lineRule="auto"/>
        <w:rPr>
          <w:rtl/>
        </w:rPr>
      </w:pPr>
      <w:r>
        <w:rPr>
          <w:b/>
          <w:bCs/>
          <w:rtl/>
        </w:rPr>
        <w:t>الأولى</w:t>
      </w:r>
      <w:r w:rsidRPr="007F5B58">
        <w:rPr>
          <w:b/>
          <w:bCs/>
          <w:rtl/>
        </w:rPr>
        <w:t>:</w:t>
      </w:r>
      <w:r>
        <w:rPr>
          <w:rtl/>
        </w:rPr>
        <w:t xml:space="preserve"> إنّه مغاير للشريعة الإسلاميّة المقدّسة</w:t>
      </w:r>
      <w:r>
        <w:rPr>
          <w:rFonts w:hint="cs"/>
          <w:rtl/>
        </w:rPr>
        <w:t>.</w:t>
      </w:r>
      <w:r>
        <w:rPr>
          <w:rtl/>
        </w:rPr>
        <w:t xml:space="preserve"> فقد تـناولت العديد من آيات القرآن الكريم موضوع المهر</w:t>
      </w:r>
      <w:r w:rsidRPr="007F5B58">
        <w:rPr>
          <w:rtl/>
        </w:rPr>
        <w:t>،</w:t>
      </w:r>
      <w:r>
        <w:rPr>
          <w:rtl/>
        </w:rPr>
        <w:t xml:space="preserve"> ولكنّ شيئاً منها لم يدلّ على تحديده بأيّ حدٍّ معيّن. ومن هنا يُنقل أنّ امرأة في زمن الخليفة الثاني اعترضت عليه</w:t>
      </w:r>
      <w:r w:rsidRPr="007F5B58">
        <w:rPr>
          <w:rtl/>
        </w:rPr>
        <w:t>،</w:t>
      </w:r>
      <w:r>
        <w:rPr>
          <w:rtl/>
        </w:rPr>
        <w:t xml:space="preserve"> بعد أن قام في الناس خطيباً يقول لهم</w:t>
      </w:r>
      <w:r w:rsidRPr="007F5B58">
        <w:rPr>
          <w:rtl/>
        </w:rPr>
        <w:t>:</w:t>
      </w:r>
      <w:r>
        <w:rPr>
          <w:rtl/>
        </w:rPr>
        <w:t xml:space="preserve"> لا تغالوا بصُدَق النساء</w:t>
      </w:r>
      <w:r w:rsidRPr="007F5B58">
        <w:rPr>
          <w:rtl/>
        </w:rPr>
        <w:t>،</w:t>
      </w:r>
      <w:r>
        <w:rPr>
          <w:rtl/>
        </w:rPr>
        <w:t xml:space="preserve"> قائلةً</w:t>
      </w:r>
      <w:r w:rsidRPr="007F5B58">
        <w:rPr>
          <w:rtl/>
        </w:rPr>
        <w:t>:</w:t>
      </w:r>
      <w:r>
        <w:rPr>
          <w:rtl/>
        </w:rPr>
        <w:t xml:space="preserve"> لِمَ تمنعنا حقّاً جعله الله لنا؟ محتجّةً عليه بآية القنطار</w:t>
      </w:r>
      <w:r w:rsidRPr="007F5B58">
        <w:rPr>
          <w:rtl/>
        </w:rPr>
        <w:t>،</w:t>
      </w:r>
      <w:r>
        <w:rPr>
          <w:rtl/>
        </w:rPr>
        <w:t xml:space="preserve"> ما جعله يُقلع عن الكلام الذي كان يقوله</w:t>
      </w:r>
      <w:r w:rsidRPr="007F5B58">
        <w:rPr>
          <w:rtl/>
        </w:rPr>
        <w:t>؛</w:t>
      </w:r>
      <w:r>
        <w:rPr>
          <w:rtl/>
        </w:rPr>
        <w:t xml:space="preserve"> لكونه على خلاف الشرع</w:t>
      </w:r>
      <w:r w:rsidRPr="00815C4C">
        <w:rPr>
          <w:rFonts w:cs="Taher"/>
          <w:vertAlign w:val="superscript"/>
          <w:rtl/>
        </w:rPr>
        <w:t>(</w:t>
      </w:r>
      <w:r w:rsidRPr="00815C4C">
        <w:rPr>
          <w:rFonts w:cs="Taher"/>
          <w:vertAlign w:val="superscript"/>
          <w:rtl/>
        </w:rPr>
        <w:footnoteReference w:id="795"/>
      </w:r>
      <w:r w:rsidRPr="00815C4C">
        <w:rPr>
          <w:rFonts w:cs="Taher"/>
          <w:vertAlign w:val="superscript"/>
          <w:rtl/>
        </w:rPr>
        <w:t>)</w:t>
      </w:r>
      <w:r>
        <w:rPr>
          <w:rtl/>
        </w:rPr>
        <w:t>.</w:t>
      </w:r>
    </w:p>
    <w:p w:rsidR="00AC628B" w:rsidRDefault="00AC628B" w:rsidP="007F7201">
      <w:pPr>
        <w:pStyle w:val="ac"/>
        <w:spacing w:line="209" w:lineRule="auto"/>
        <w:rPr>
          <w:rtl/>
        </w:rPr>
      </w:pPr>
      <w:r>
        <w:rPr>
          <w:rtl/>
        </w:rPr>
        <w:t>والحاصل أنّ تعيين حدٍّ وسقفٍ أعلى للمهر</w:t>
      </w:r>
      <w:r w:rsidRPr="007F5B58">
        <w:rPr>
          <w:rtl/>
        </w:rPr>
        <w:t>،</w:t>
      </w:r>
      <w:r>
        <w:rPr>
          <w:rtl/>
        </w:rPr>
        <w:t xml:space="preserve"> وإلزام الطرفين بعدم تخطّي هذا الحدّ المعيّن</w:t>
      </w:r>
      <w:r w:rsidRPr="007F5B58">
        <w:rPr>
          <w:rtl/>
        </w:rPr>
        <w:t>،</w:t>
      </w:r>
      <w:r>
        <w:rPr>
          <w:rtl/>
        </w:rPr>
        <w:t xml:space="preserve"> مخالفٌ للشرع وحقوق الإسلام. وإذا رجعنا إلى المادّة 4 من القانون الأساسيّ فهي تـنصّ على أنّ جميع المشاريع التي يصادق عليه المجلس لا يصحّ أن تكون مغايرةً في شيءٍ من تفاصيلها لما تحكم به الشريعة المقدّسة. وبما أنّ هذا المشروع المذكور هو على خلاف الموازين الشرعيّة ففي موضوعٍ يتّسم بقدرٍ عالٍ من الأهمّيّة</w:t>
      </w:r>
      <w:r w:rsidRPr="007F5B58">
        <w:rPr>
          <w:rtl/>
        </w:rPr>
        <w:t>،</w:t>
      </w:r>
      <w:r>
        <w:rPr>
          <w:rtl/>
        </w:rPr>
        <w:t xml:space="preserve"> كالنكاح</w:t>
      </w:r>
      <w:r w:rsidRPr="007F5B58">
        <w:rPr>
          <w:rtl/>
        </w:rPr>
        <w:t>،</w:t>
      </w:r>
      <w:r>
        <w:rPr>
          <w:rtl/>
        </w:rPr>
        <w:t xml:space="preserve"> يمكن أن تكون له عواقب وخيمة للغاية.</w:t>
      </w:r>
    </w:p>
    <w:p w:rsidR="00AC628B" w:rsidRDefault="00AC628B" w:rsidP="00AC628B">
      <w:pPr>
        <w:pStyle w:val="ac"/>
        <w:rPr>
          <w:rtl/>
        </w:rPr>
      </w:pPr>
      <w:r>
        <w:rPr>
          <w:b/>
          <w:bCs/>
          <w:rtl/>
        </w:rPr>
        <w:t xml:space="preserve"> </w:t>
      </w:r>
      <w:r w:rsidRPr="00A1682A">
        <w:rPr>
          <w:b/>
          <w:bCs/>
          <w:rtl/>
        </w:rPr>
        <w:t xml:space="preserve"> الثانية</w:t>
      </w:r>
      <w:r w:rsidRPr="007F5B58">
        <w:rPr>
          <w:b/>
          <w:bCs/>
          <w:rtl/>
        </w:rPr>
        <w:t>:</w:t>
      </w:r>
      <w:r>
        <w:rPr>
          <w:rtl/>
        </w:rPr>
        <w:t xml:space="preserve"> إنّ تحديد إرادة الطرفين في المسائل الشخصيّة التي ترجع إلى الأذواق والسلائق هو على خلاف أصالة الحرّيّة في الشروط والعقود</w:t>
      </w:r>
      <w:r w:rsidRPr="007F5B58">
        <w:rPr>
          <w:rtl/>
        </w:rPr>
        <w:t>؛</w:t>
      </w:r>
      <w:r>
        <w:rPr>
          <w:rtl/>
        </w:rPr>
        <w:t xml:space="preserve"> لأنّ الأشخاص لا يقدمون على مثل عقد النكاح والاتّفاق على المهر إلاّ انطلاقاً ممّا لديهم من القدرة الماليّة والشأنيّة والمكانة الاجتماعيّة</w:t>
      </w:r>
      <w:r w:rsidRPr="007F5B58">
        <w:rPr>
          <w:rtl/>
        </w:rPr>
        <w:t>،</w:t>
      </w:r>
      <w:r>
        <w:rPr>
          <w:rtl/>
        </w:rPr>
        <w:t xml:space="preserve"> فلا يصحّ في مثل هذه المعاملات إغماض النظر عن </w:t>
      </w:r>
      <w:r>
        <w:rPr>
          <w:rtl/>
        </w:rPr>
        <w:lastRenderedPageBreak/>
        <w:t>كرامتهم وعن منزلتهم الاجتماعيّة</w:t>
      </w:r>
      <w:r w:rsidRPr="007F5B58">
        <w:rPr>
          <w:rtl/>
        </w:rPr>
        <w:t>؛</w:t>
      </w:r>
      <w:r>
        <w:rPr>
          <w:rtl/>
        </w:rPr>
        <w:t xml:space="preserve"> إذ قد يكون الشخص على استعدادٍ لتقديم وجوده وكلّ ما يملكه في سبيل الوصول إلى معشوقه</w:t>
      </w:r>
      <w:r w:rsidRPr="007F5B58">
        <w:rPr>
          <w:rtl/>
        </w:rPr>
        <w:t>،</w:t>
      </w:r>
      <w:r>
        <w:rPr>
          <w:rtl/>
        </w:rPr>
        <w:t xml:space="preserve"> وليس من الجائز تحويل الزواج</w:t>
      </w:r>
      <w:r w:rsidRPr="007F5B58">
        <w:rPr>
          <w:rtl/>
        </w:rPr>
        <w:t>،</w:t>
      </w:r>
      <w:r>
        <w:rPr>
          <w:rtl/>
        </w:rPr>
        <w:t xml:space="preserve"> الذي كانت علاقة الحبّ والمودّة التي تجمع الزوج بزوجته السبب الرئيسيّ وراء انعقاده</w:t>
      </w:r>
      <w:r w:rsidRPr="007F5B58">
        <w:rPr>
          <w:rtl/>
        </w:rPr>
        <w:t>،</w:t>
      </w:r>
      <w:r>
        <w:rPr>
          <w:rtl/>
        </w:rPr>
        <w:t xml:space="preserve"> إلى وسيلةٍ من وسائل الضغط</w:t>
      </w:r>
      <w:r w:rsidRPr="007F5B58">
        <w:rPr>
          <w:rtl/>
        </w:rPr>
        <w:t>،</w:t>
      </w:r>
      <w:r>
        <w:rPr>
          <w:rtl/>
        </w:rPr>
        <w:t xml:space="preserve"> كما لا مبرّر لحرمان الزوج من القدرة على اختيار الوسيلة التي يراها مناسبة لإبراز عاطفته تجاه زوجته وكسب ودّها ورضاها</w:t>
      </w:r>
      <w:r w:rsidRPr="007F5B58">
        <w:rPr>
          <w:rtl/>
        </w:rPr>
        <w:t>،</w:t>
      </w:r>
      <w:r>
        <w:rPr>
          <w:rtl/>
        </w:rPr>
        <w:t xml:space="preserve"> ولو عن طريق بذل المال لها.</w:t>
      </w:r>
    </w:p>
    <w:p w:rsidR="00AC628B" w:rsidRDefault="00AC628B" w:rsidP="00AC628B">
      <w:pPr>
        <w:pStyle w:val="ac"/>
        <w:rPr>
          <w:rtl/>
        </w:rPr>
      </w:pPr>
      <w:r w:rsidRPr="00A1682A">
        <w:rPr>
          <w:b/>
          <w:bCs/>
          <w:rtl/>
        </w:rPr>
        <w:t xml:space="preserve"> الثالثة</w:t>
      </w:r>
      <w:r w:rsidRPr="007F5B58">
        <w:rPr>
          <w:b/>
          <w:bCs/>
          <w:rtl/>
        </w:rPr>
        <w:t>:</w:t>
      </w:r>
      <w:r>
        <w:rPr>
          <w:rtl/>
        </w:rPr>
        <w:t xml:space="preserve"> إنّ تدخّل الدولة في خصوصيّات الأفراد وتحديد خياراتهم عاجزٌ عن حلّ مشاكلهم</w:t>
      </w:r>
      <w:r w:rsidRPr="007F5B58">
        <w:rPr>
          <w:rtl/>
        </w:rPr>
        <w:t>،</w:t>
      </w:r>
      <w:r>
        <w:rPr>
          <w:rtl/>
        </w:rPr>
        <w:t xml:space="preserve"> بل إنّه يكون دافعاً ومحفّزاً لهم على مخالفة القوانين بكلّ ما من شأنه أن يوصلهم إلى أهدافهم الخاصّة. ولهذا السبب حرصت حقوق الإسلام على أن يكون التزام الأفراد بالأوامر والقوانين التزاماً نابعاً من قرارة أنفسهم</w:t>
      </w:r>
      <w:r w:rsidRPr="007F5B58">
        <w:rPr>
          <w:rtl/>
        </w:rPr>
        <w:t>،</w:t>
      </w:r>
      <w:r>
        <w:rPr>
          <w:rtl/>
        </w:rPr>
        <w:t xml:space="preserve"> فقسّمت الأحكام الإيجابيّة أو الإثباتيّة إلى نوعين</w:t>
      </w:r>
      <w:r w:rsidRPr="007F5B58">
        <w:rPr>
          <w:rtl/>
        </w:rPr>
        <w:t>:</w:t>
      </w:r>
      <w:r>
        <w:rPr>
          <w:rtl/>
        </w:rPr>
        <w:t xml:space="preserve"> مستحبّ</w:t>
      </w:r>
      <w:r w:rsidRPr="007F5B58">
        <w:rPr>
          <w:rtl/>
        </w:rPr>
        <w:t>؛</w:t>
      </w:r>
      <w:r>
        <w:rPr>
          <w:rtl/>
        </w:rPr>
        <w:t xml:space="preserve"> وواجب</w:t>
      </w:r>
      <w:r w:rsidRPr="007F5B58">
        <w:rPr>
          <w:rtl/>
        </w:rPr>
        <w:t>،</w:t>
      </w:r>
      <w:r>
        <w:rPr>
          <w:rtl/>
        </w:rPr>
        <w:t xml:space="preserve"> وقسّمت أحكام المنع والنهي إلى قسمين أيضاً</w:t>
      </w:r>
      <w:r w:rsidRPr="007F5B58">
        <w:rPr>
          <w:rtl/>
        </w:rPr>
        <w:t>:</w:t>
      </w:r>
      <w:r>
        <w:rPr>
          <w:rtl/>
        </w:rPr>
        <w:t xml:space="preserve"> حرام</w:t>
      </w:r>
      <w:r w:rsidRPr="007F5B58">
        <w:rPr>
          <w:rtl/>
        </w:rPr>
        <w:t>؛</w:t>
      </w:r>
      <w:r>
        <w:rPr>
          <w:rtl/>
        </w:rPr>
        <w:t xml:space="preserve"> ومكروه. وهذا التقسيم هو على درجةٍ عالية من الأهمّيّة من جهة اختيار الشخص</w:t>
      </w:r>
      <w:r w:rsidRPr="007F5B58">
        <w:rPr>
          <w:rtl/>
        </w:rPr>
        <w:t>،</w:t>
      </w:r>
      <w:r>
        <w:rPr>
          <w:rtl/>
        </w:rPr>
        <w:t xml:space="preserve"> وهو يكشف عن الحرص الشديد في حقوق الإسلام على أن لا يتخطّى إلزام الشخص بالقيام بفعلٍ ما أو بتركه أقلّ حدٍّ ممكن.</w:t>
      </w:r>
    </w:p>
    <w:p w:rsidR="00AC628B" w:rsidRDefault="00AC628B" w:rsidP="00AC628B">
      <w:pPr>
        <w:pStyle w:val="ac"/>
        <w:rPr>
          <w:rtl/>
        </w:rPr>
      </w:pPr>
      <w:r w:rsidRPr="00A1682A">
        <w:rPr>
          <w:b/>
          <w:bCs/>
          <w:rtl/>
        </w:rPr>
        <w:t xml:space="preserve"> الرابعة</w:t>
      </w:r>
      <w:r w:rsidRPr="007F5B58">
        <w:rPr>
          <w:b/>
          <w:bCs/>
          <w:rtl/>
        </w:rPr>
        <w:t>:</w:t>
      </w:r>
      <w:r>
        <w:rPr>
          <w:rtl/>
        </w:rPr>
        <w:t xml:space="preserve"> إنّ تحديد سقفٍ للمهر في المناطق المختلفة</w:t>
      </w:r>
      <w:r w:rsidRPr="007F5B58">
        <w:rPr>
          <w:rtl/>
        </w:rPr>
        <w:t>،</w:t>
      </w:r>
      <w:r>
        <w:rPr>
          <w:rtl/>
        </w:rPr>
        <w:t xml:space="preserve"> وفقاً لرؤية لجنةٍ يتمّ تكليفها بذلك</w:t>
      </w:r>
      <w:r w:rsidRPr="007F5B58">
        <w:rPr>
          <w:rtl/>
        </w:rPr>
        <w:t>،</w:t>
      </w:r>
      <w:r>
        <w:rPr>
          <w:rtl/>
        </w:rPr>
        <w:t xml:space="preserve"> يوجب أن يكون العمل عملاً بالذوق والسليقة</w:t>
      </w:r>
      <w:r w:rsidRPr="007F5B58">
        <w:rPr>
          <w:rtl/>
        </w:rPr>
        <w:t>،</w:t>
      </w:r>
      <w:r>
        <w:rPr>
          <w:rtl/>
        </w:rPr>
        <w:t xml:space="preserve"> وهو عملٌ يؤدّي إلى الإضعاف من قداسة القانون وحرمته</w:t>
      </w:r>
      <w:r>
        <w:rPr>
          <w:rFonts w:hint="cs"/>
          <w:rtl/>
        </w:rPr>
        <w:t>.</w:t>
      </w:r>
      <w:r>
        <w:rPr>
          <w:rtl/>
        </w:rPr>
        <w:t xml:space="preserve"> كما أنّه يمكن أن يكون تحديد هذه اللّجنة للمهر ناشئاً من رجوعها إلى مناطق قد درج العُرف فيها على تسمية أعلى حدٍّ من المهور.</w:t>
      </w:r>
    </w:p>
    <w:p w:rsidR="00AC628B" w:rsidRDefault="00AC628B" w:rsidP="00AC628B">
      <w:pPr>
        <w:pStyle w:val="ac"/>
        <w:rPr>
          <w:rtl/>
        </w:rPr>
      </w:pPr>
      <w:r w:rsidRPr="00A61A2B">
        <w:rPr>
          <w:b/>
          <w:bCs/>
          <w:rtl/>
        </w:rPr>
        <w:t xml:space="preserve"> الخامسة</w:t>
      </w:r>
      <w:r w:rsidRPr="007F5B58">
        <w:rPr>
          <w:b/>
          <w:bCs/>
          <w:rtl/>
        </w:rPr>
        <w:t>:</w:t>
      </w:r>
      <w:r>
        <w:rPr>
          <w:rtl/>
        </w:rPr>
        <w:t xml:space="preserve"> إنّ تعيين سقف متعدّد للمهر بحسب تعدّد المناطق يؤدّي إلى تعزيز وتقوية النظريّة القائلة بأنّ المهر عبارة عن عوضٍ وقيمةٍ للزوجة</w:t>
      </w:r>
      <w:r w:rsidRPr="007F5B58">
        <w:rPr>
          <w:rtl/>
        </w:rPr>
        <w:t>،</w:t>
      </w:r>
      <w:r>
        <w:rPr>
          <w:rtl/>
        </w:rPr>
        <w:t xml:space="preserve"> ممّا يجرّ على حقوق الإسلام المزيد من الانتقادات</w:t>
      </w:r>
      <w:r w:rsidRPr="007F5B58">
        <w:rPr>
          <w:rtl/>
        </w:rPr>
        <w:t>،</w:t>
      </w:r>
      <w:r>
        <w:rPr>
          <w:rtl/>
        </w:rPr>
        <w:t xml:space="preserve"> مع أنّ الهدف الذي يتطلّع إليه نظام الحقوق الإسلاميّ من المهر ليس إلاّ تكريم الزوج لزوجته</w:t>
      </w:r>
      <w:r w:rsidRPr="007F5B58">
        <w:rPr>
          <w:rtl/>
        </w:rPr>
        <w:t>،</w:t>
      </w:r>
      <w:r>
        <w:rPr>
          <w:rtl/>
        </w:rPr>
        <w:t xml:space="preserve"> واجتلاب ودّها ومحبّتها</w:t>
      </w:r>
      <w:r w:rsidRPr="007F5B58">
        <w:rPr>
          <w:rtl/>
        </w:rPr>
        <w:t>،</w:t>
      </w:r>
      <w:r>
        <w:rPr>
          <w:rtl/>
        </w:rPr>
        <w:t xml:space="preserve"> لا بيعها ودفع قيمتها</w:t>
      </w:r>
      <w:r w:rsidRPr="007F5B58">
        <w:rPr>
          <w:rtl/>
        </w:rPr>
        <w:t>،</w:t>
      </w:r>
      <w:r>
        <w:rPr>
          <w:rtl/>
        </w:rPr>
        <w:t xml:space="preserve"> الذي يُعدّ توهيناً لها. أض</w:t>
      </w:r>
      <w:r>
        <w:rPr>
          <w:rFonts w:hint="cs"/>
          <w:rtl/>
        </w:rPr>
        <w:t>ِ</w:t>
      </w:r>
      <w:r>
        <w:rPr>
          <w:rtl/>
        </w:rPr>
        <w:t>ف</w:t>
      </w:r>
      <w:r>
        <w:rPr>
          <w:rFonts w:hint="cs"/>
          <w:rtl/>
        </w:rPr>
        <w:t>ْ</w:t>
      </w:r>
      <w:r>
        <w:rPr>
          <w:rtl/>
        </w:rPr>
        <w:t xml:space="preserve"> إلى ذلك أنّ هذا يوجب سعي الأفراد إلى التحايل على القانون</w:t>
      </w:r>
      <w:r w:rsidRPr="007F5B58">
        <w:rPr>
          <w:rtl/>
        </w:rPr>
        <w:t>،</w:t>
      </w:r>
      <w:r>
        <w:rPr>
          <w:rtl/>
        </w:rPr>
        <w:t xml:space="preserve"> ومحاولة التغلّب عليه</w:t>
      </w:r>
      <w:r w:rsidRPr="007F5B58">
        <w:rPr>
          <w:rtl/>
        </w:rPr>
        <w:t>؛</w:t>
      </w:r>
      <w:r>
        <w:rPr>
          <w:rtl/>
        </w:rPr>
        <w:t xml:space="preserve"> لأنّ أكثر النساء حينئذٍ سيسعين لانعقاد زواجهم في المناطق التي </w:t>
      </w:r>
      <w:r>
        <w:rPr>
          <w:rtl/>
        </w:rPr>
        <w:lastRenderedPageBreak/>
        <w:t>حدّدت فيها لجنة الزواج أعلى حدٍّ للمهر. ولعلّ هذا هو السبب في حذف هذا البند من قائمة البنود التي احتوى عليها مشروع تـنظيم الزواج</w:t>
      </w:r>
      <w:r w:rsidRPr="007F5B58">
        <w:rPr>
          <w:rtl/>
        </w:rPr>
        <w:t>،</w:t>
      </w:r>
      <w:r>
        <w:rPr>
          <w:rtl/>
        </w:rPr>
        <w:t xml:space="preserve"> علماً أنه قد تمت المصادقة والمواقفة على سائر مقرّراته وبنوده من قِبَل المجلس تحت عنوان</w:t>
      </w:r>
      <w:r w:rsidRPr="007F5B58">
        <w:rPr>
          <w:rtl/>
        </w:rPr>
        <w:t>:</w:t>
      </w:r>
      <w:r>
        <w:rPr>
          <w:rtl/>
        </w:rPr>
        <w:t xml:space="preserve"> قانون تسهيل الزواج لدى الشباب.</w:t>
      </w:r>
    </w:p>
    <w:p w:rsidR="00AC628B" w:rsidRPr="007F7201" w:rsidRDefault="00AC628B" w:rsidP="007F7201">
      <w:pPr>
        <w:pStyle w:val="afffffc"/>
        <w:rPr>
          <w:sz w:val="16"/>
          <w:szCs w:val="14"/>
          <w:rtl/>
        </w:rPr>
      </w:pPr>
    </w:p>
    <w:p w:rsidR="00AC628B" w:rsidRPr="00C6658F" w:rsidRDefault="00AC628B" w:rsidP="007F7201">
      <w:pPr>
        <w:pStyle w:val="2"/>
        <w:rPr>
          <w:rtl/>
        </w:rPr>
      </w:pPr>
      <w:bookmarkStart w:id="403" w:name="_Toc275128119"/>
      <w:r>
        <w:rPr>
          <w:rtl/>
        </w:rPr>
        <w:t>ب ـ الضغط الماليّ</w:t>
      </w:r>
      <w:bookmarkEnd w:id="403"/>
    </w:p>
    <w:p w:rsidR="00AC628B" w:rsidRDefault="00AC628B" w:rsidP="007F7201">
      <w:pPr>
        <w:pStyle w:val="ac"/>
        <w:spacing w:line="199" w:lineRule="auto"/>
        <w:rPr>
          <w:color w:val="000000"/>
          <w:rtl/>
        </w:rPr>
      </w:pPr>
      <w:r>
        <w:rPr>
          <w:rtl/>
        </w:rPr>
        <w:t>من بين المقترحات التي طُرِحت في السنوات الأخيرة لأجل الحدّ من المهر المرتفع</w:t>
      </w:r>
      <w:r w:rsidRPr="007F5B58">
        <w:rPr>
          <w:rtl/>
        </w:rPr>
        <w:t>،</w:t>
      </w:r>
      <w:r>
        <w:rPr>
          <w:rtl/>
        </w:rPr>
        <w:t xml:space="preserve"> وحثّ الزوجين على تقليل مقداره</w:t>
      </w:r>
      <w:r w:rsidRPr="007F5B58">
        <w:rPr>
          <w:rtl/>
        </w:rPr>
        <w:t>،</w:t>
      </w:r>
      <w:r>
        <w:rPr>
          <w:rtl/>
        </w:rPr>
        <w:t xml:space="preserve"> القيام بفرض ضرائب ماليّة على المهر</w:t>
      </w:r>
      <w:r w:rsidRPr="007F5B58">
        <w:rPr>
          <w:rtl/>
        </w:rPr>
        <w:t>،</w:t>
      </w:r>
      <w:r>
        <w:rPr>
          <w:rtl/>
        </w:rPr>
        <w:t xml:space="preserve"> الذي اعتبره بعضهم واحداً من الطرق المفيدة في المنع من حصول الاتّفاق على المهر المرتفع</w:t>
      </w:r>
      <w:r w:rsidRPr="00815C4C">
        <w:rPr>
          <w:rFonts w:cs="Taher"/>
          <w:vertAlign w:val="superscript"/>
          <w:rtl/>
        </w:rPr>
        <w:t>(</w:t>
      </w:r>
      <w:r w:rsidRPr="00815C4C">
        <w:rPr>
          <w:rFonts w:cs="Taher"/>
          <w:vertAlign w:val="superscript"/>
          <w:rtl/>
        </w:rPr>
        <w:footnoteReference w:id="796"/>
      </w:r>
      <w:r w:rsidRPr="00815C4C">
        <w:rPr>
          <w:rFonts w:cs="Taher"/>
          <w:vertAlign w:val="superscript"/>
          <w:rtl/>
        </w:rPr>
        <w:t>)</w:t>
      </w:r>
      <w:r>
        <w:rPr>
          <w:rtl/>
        </w:rPr>
        <w:t>.</w:t>
      </w:r>
      <w:r>
        <w:rPr>
          <w:color w:val="000000"/>
          <w:rtl/>
        </w:rPr>
        <w:t xml:space="preserve"> وطبقاً لهذه النظريّة لو قمنا بفرض ضريبة على المهر مرتبطةٍ بمقدار المهر نفسه</w:t>
      </w:r>
      <w:r w:rsidRPr="007F5B58">
        <w:rPr>
          <w:color w:val="000000"/>
          <w:rtl/>
        </w:rPr>
        <w:t>،</w:t>
      </w:r>
      <w:r>
        <w:rPr>
          <w:color w:val="000000"/>
          <w:rtl/>
        </w:rPr>
        <w:t xml:space="preserve"> بحيث كلّما علا مقدار المهر تعلّق به مقدارٌ أكبر من الضريبة</w:t>
      </w:r>
      <w:r w:rsidRPr="007F5B58">
        <w:rPr>
          <w:color w:val="000000"/>
          <w:rtl/>
        </w:rPr>
        <w:t>،</w:t>
      </w:r>
      <w:r>
        <w:rPr>
          <w:color w:val="000000"/>
          <w:rtl/>
        </w:rPr>
        <w:t xml:space="preserve"> فمن الطبيعيّ حينئذٍ أن يُقدم الزوجان على الاتّفاق على مقدارٍ أقلّ من المهر</w:t>
      </w:r>
      <w:r w:rsidRPr="007F5B58">
        <w:rPr>
          <w:color w:val="000000"/>
          <w:rtl/>
        </w:rPr>
        <w:t>؛</w:t>
      </w:r>
      <w:r>
        <w:rPr>
          <w:color w:val="000000"/>
          <w:rtl/>
        </w:rPr>
        <w:t xml:space="preserve"> حرصاً منهما على تقليل مقدار ما يدفعانه من الضريبة. </w:t>
      </w:r>
    </w:p>
    <w:p w:rsidR="00AC628B" w:rsidRPr="00F90E8F" w:rsidRDefault="00AC628B" w:rsidP="007F7201">
      <w:pPr>
        <w:pStyle w:val="ac"/>
        <w:rPr>
          <w:rtl/>
        </w:rPr>
      </w:pPr>
      <w:r>
        <w:rPr>
          <w:rtl/>
        </w:rPr>
        <w:t>وقد أُقرّ هذا الاقتراح من قبل الحكومة في المادّة 25 من بيان الأسرة الصادر بتاريخ 1387</w:t>
      </w:r>
      <w:r w:rsidRPr="007F5B58">
        <w:rPr>
          <w:rtl/>
        </w:rPr>
        <w:t>،</w:t>
      </w:r>
      <w:r>
        <w:rPr>
          <w:rtl/>
        </w:rPr>
        <w:t xml:space="preserve"> حيث ورد فيها</w:t>
      </w:r>
      <w:r w:rsidRPr="007F5B58">
        <w:rPr>
          <w:rtl/>
        </w:rPr>
        <w:t>:</w:t>
      </w:r>
      <w:r>
        <w:rPr>
          <w:rtl/>
        </w:rPr>
        <w:t xml:space="preserve"> </w:t>
      </w:r>
      <w:r w:rsidRPr="00F90E8F">
        <w:rPr>
          <w:rtl/>
        </w:rPr>
        <w:t>«إنّ من وظائف وزارة الأمور الاقتصاديّة والماليّة تجاه المهور المرتفعة الزائدة على الحدّ المتعارف بشكل غير منطقيّ ـ بالنظر إلى وضعيّة الزوجين والمسائل الاقتصاديّة للبلاد ـ أن تفرض عليها ضرائب ماليّة ت</w:t>
      </w:r>
      <w:r>
        <w:rPr>
          <w:rtl/>
        </w:rPr>
        <w:t>تـن</w:t>
      </w:r>
      <w:r w:rsidRPr="00F90E8F">
        <w:rPr>
          <w:rtl/>
        </w:rPr>
        <w:t>اسب مع ارتفاع مقدار المهر بصورة تصاعديّة</w:t>
      </w:r>
      <w:r w:rsidRPr="007F5B58">
        <w:rPr>
          <w:rtl/>
        </w:rPr>
        <w:t>،</w:t>
      </w:r>
      <w:r w:rsidRPr="00F90E8F">
        <w:rPr>
          <w:rtl/>
        </w:rPr>
        <w:t xml:space="preserve"> على أن تتسلّم هذه الضرائب المفروضة عند تسجيل عقد الزواج. ويتمّ تحديد مقدار المهر المتعارف ومقدار الضرائب المفروضة عليه بالنظر إلى الوضع الاقتصاديّ العامّ للبلاد</w:t>
      </w:r>
      <w:r w:rsidRPr="007F5B58">
        <w:rPr>
          <w:rtl/>
        </w:rPr>
        <w:t>؛</w:t>
      </w:r>
      <w:r w:rsidRPr="00F90E8F">
        <w:rPr>
          <w:rtl/>
        </w:rPr>
        <w:t xml:space="preserve"> عملاً بموجب تقريرٍ بيانيٍّ</w:t>
      </w:r>
      <w:r w:rsidRPr="007F5B58">
        <w:rPr>
          <w:rtl/>
        </w:rPr>
        <w:t>،</w:t>
      </w:r>
      <w:r w:rsidRPr="00F90E8F">
        <w:rPr>
          <w:rtl/>
        </w:rPr>
        <w:t xml:space="preserve"> تقترحه وزارة الأمور الاقتصاديّة والماليّة</w:t>
      </w:r>
      <w:r w:rsidRPr="007F5B58">
        <w:rPr>
          <w:rtl/>
        </w:rPr>
        <w:t>،</w:t>
      </w:r>
      <w:r w:rsidRPr="00F90E8F">
        <w:rPr>
          <w:rtl/>
        </w:rPr>
        <w:t xml:space="preserve"> وتصادق عليه اللّجنة الوزاريّة». </w:t>
      </w:r>
    </w:p>
    <w:p w:rsidR="00AC628B" w:rsidRDefault="00AC628B" w:rsidP="007F7201">
      <w:pPr>
        <w:pStyle w:val="ac"/>
        <w:spacing w:line="199" w:lineRule="auto"/>
        <w:rPr>
          <w:rtl/>
        </w:rPr>
      </w:pPr>
      <w:r>
        <w:rPr>
          <w:rtl/>
        </w:rPr>
        <w:t>وقد تعرّض هذا الاقتراح لانتقادات من قبل الرأي العامّ</w:t>
      </w:r>
      <w:r w:rsidRPr="007F5B58">
        <w:rPr>
          <w:rtl/>
        </w:rPr>
        <w:t>،</w:t>
      </w:r>
      <w:r>
        <w:rPr>
          <w:rtl/>
        </w:rPr>
        <w:t xml:space="preserve"> ما دفع باللّجنة الاجتماعيّة للمجلس ـ في أُولى خطواتها ـ إلى حذف هذا البند من بيان الأسرة.</w:t>
      </w:r>
    </w:p>
    <w:p w:rsidR="00AC628B" w:rsidRDefault="00AC628B" w:rsidP="00AC628B">
      <w:pPr>
        <w:pStyle w:val="ac"/>
        <w:rPr>
          <w:rtl/>
        </w:rPr>
      </w:pPr>
      <w:r>
        <w:rPr>
          <w:rtl/>
        </w:rPr>
        <w:t>وهذا الاقتراح ربما كان موجَّهاً ومبرَّراً في منظور علم الاقتصاد</w:t>
      </w:r>
      <w:r w:rsidRPr="007F5B58">
        <w:rPr>
          <w:rtl/>
        </w:rPr>
        <w:t>،</w:t>
      </w:r>
      <w:r>
        <w:rPr>
          <w:rtl/>
        </w:rPr>
        <w:t xml:space="preserve"> إلاّ أنّه في مواضيع </w:t>
      </w:r>
      <w:r>
        <w:rPr>
          <w:rtl/>
        </w:rPr>
        <w:lastRenderedPageBreak/>
        <w:t>من قبيل الأُسرة فاقدٌ لكلّ أثرٍ إيجابيّ</w:t>
      </w:r>
      <w:r w:rsidRPr="007F5B58">
        <w:rPr>
          <w:rtl/>
        </w:rPr>
        <w:t>،</w:t>
      </w:r>
      <w:r>
        <w:rPr>
          <w:rtl/>
        </w:rPr>
        <w:t xml:space="preserve"> بل هو أيضاً يستتبع آثاراً سلبيّة. ففي علم الاقتصاد يبتـني هذا الاقتراح على أنّ فرض ضريبة على ميزان الاستهلاك من شأنه أن يؤدّي إلى التقليل من النفقات</w:t>
      </w:r>
      <w:r w:rsidRPr="007F5B58">
        <w:rPr>
          <w:rtl/>
        </w:rPr>
        <w:t>؛</w:t>
      </w:r>
      <w:r>
        <w:rPr>
          <w:rtl/>
        </w:rPr>
        <w:t xml:space="preserve"> إذ كلّما ازدادت نفقات المستهلك ارتفع معها حجم الضريبة التي يجب عليه أن يؤدّيها</w:t>
      </w:r>
      <w:r w:rsidRPr="007F5B58">
        <w:rPr>
          <w:rtl/>
        </w:rPr>
        <w:t>،</w:t>
      </w:r>
      <w:r>
        <w:rPr>
          <w:rtl/>
        </w:rPr>
        <w:t xml:space="preserve"> والضغط الذي يولّده هذا الارتفاع في حجم الضريبة يرغمه على الاقتـناع بالتقليل من الإنفاق.</w:t>
      </w:r>
    </w:p>
    <w:p w:rsidR="00AC628B" w:rsidRDefault="00AC628B" w:rsidP="00AC628B">
      <w:pPr>
        <w:pStyle w:val="ac"/>
        <w:rPr>
          <w:rtl/>
        </w:rPr>
      </w:pPr>
      <w:r>
        <w:rPr>
          <w:rtl/>
        </w:rPr>
        <w:t>وبالرغم من أنّ هذه النظريّة لعلم الاقتصاد تواجه ـ من زاوية معايير الاقتصاد الإسلاميّ ـ العديد من الإشكالات الجوهريّة إلاّ أنّ الهدف منها في علم الاقتصاد هو إيجاد التوازن بين العرض والإنفاق</w:t>
      </w:r>
      <w:r w:rsidRPr="007F5B58">
        <w:rPr>
          <w:rtl/>
        </w:rPr>
        <w:t>؛</w:t>
      </w:r>
      <w:r>
        <w:rPr>
          <w:rtl/>
        </w:rPr>
        <w:t xml:space="preserve"> إذ كلّما انخفض منسوب الإنفاق انخفضت معه ضرورة عرض السلع</w:t>
      </w:r>
      <w:r w:rsidRPr="007F5B58">
        <w:rPr>
          <w:rtl/>
        </w:rPr>
        <w:t>،</w:t>
      </w:r>
      <w:r>
        <w:rPr>
          <w:rtl/>
        </w:rPr>
        <w:t xml:space="preserve"> وهو ما يعود على الدولة بالمزيد من الأرباح.</w:t>
      </w:r>
    </w:p>
    <w:p w:rsidR="00AC628B" w:rsidRDefault="00AC628B" w:rsidP="00AC628B">
      <w:pPr>
        <w:pStyle w:val="ac"/>
        <w:rPr>
          <w:rtl/>
        </w:rPr>
      </w:pPr>
      <w:r>
        <w:rPr>
          <w:rtl/>
        </w:rPr>
        <w:t>ولكنّ هذا المبدأ الاقتصاديّ ليس مقبولاً أصلاً في مجال حقوق الأسرة</w:t>
      </w:r>
      <w:r w:rsidRPr="007F5B58">
        <w:rPr>
          <w:rtl/>
        </w:rPr>
        <w:t>،</w:t>
      </w:r>
      <w:r>
        <w:rPr>
          <w:rtl/>
        </w:rPr>
        <w:t xml:space="preserve"> بل هو مخالف للواقعيّات الاجتماعيّة</w:t>
      </w:r>
      <w:r w:rsidRPr="007F5B58">
        <w:rPr>
          <w:rtl/>
        </w:rPr>
        <w:t>؛</w:t>
      </w:r>
      <w:r>
        <w:rPr>
          <w:rtl/>
        </w:rPr>
        <w:t xml:space="preserve"> وذلك أنّ العلاقة التي تجمع بين الزوجين ليست علاقة المستهلك بالبائع</w:t>
      </w:r>
      <w:r w:rsidRPr="007F5B58">
        <w:rPr>
          <w:rtl/>
        </w:rPr>
        <w:t>،</w:t>
      </w:r>
      <w:r>
        <w:rPr>
          <w:rtl/>
        </w:rPr>
        <w:t xml:space="preserve"> بل علاقة العاشق بالمعشوق</w:t>
      </w:r>
      <w:r w:rsidRPr="007F5B58">
        <w:rPr>
          <w:rtl/>
        </w:rPr>
        <w:t>،</w:t>
      </w:r>
      <w:r>
        <w:rPr>
          <w:rtl/>
        </w:rPr>
        <w:t xml:space="preserve"> والمهر إنّما هو تلك الوسيلة التي يستعين بها العاشق ليخطب ودّ معشوقه</w:t>
      </w:r>
      <w:r w:rsidRPr="007F5B58">
        <w:rPr>
          <w:rtl/>
        </w:rPr>
        <w:t>،</w:t>
      </w:r>
      <w:r>
        <w:rPr>
          <w:rtl/>
        </w:rPr>
        <w:t xml:space="preserve"> ويسعى من خلالها لكسب موافقته ورضاه. والحاصل أنّ هناك فرقاً شاسعاً بين الإنفاق والاستهلاك من جهة وبين المهر من جهة أُخرى</w:t>
      </w:r>
      <w:r w:rsidRPr="007F5B58">
        <w:rPr>
          <w:rtl/>
        </w:rPr>
        <w:t>،</w:t>
      </w:r>
      <w:r>
        <w:rPr>
          <w:rtl/>
        </w:rPr>
        <w:t xml:space="preserve"> فإنّ اختيار مقدار المصرف في باب الإنفاق هو إلى حدٍّ ما في يد المستهلك نفسه</w:t>
      </w:r>
      <w:r w:rsidRPr="007F5B58">
        <w:rPr>
          <w:rtl/>
        </w:rPr>
        <w:t>،</w:t>
      </w:r>
      <w:r>
        <w:rPr>
          <w:rtl/>
        </w:rPr>
        <w:t xml:space="preserve"> وأمّا في باب النكاح فإنّ اختيار مقدار المهر في أكثر الموارد ليس في يد الزوج</w:t>
      </w:r>
      <w:r w:rsidRPr="007F5B58">
        <w:rPr>
          <w:rtl/>
        </w:rPr>
        <w:t>،</w:t>
      </w:r>
      <w:r>
        <w:rPr>
          <w:rtl/>
        </w:rPr>
        <w:t xml:space="preserve"> بل الزوجة عادةً هي التي تملي شروطها على الزوج</w:t>
      </w:r>
      <w:r w:rsidRPr="007F5B58">
        <w:rPr>
          <w:rtl/>
        </w:rPr>
        <w:t>،</w:t>
      </w:r>
      <w:r>
        <w:rPr>
          <w:rtl/>
        </w:rPr>
        <w:t xml:space="preserve"> وتفرض عليه القبول بها</w:t>
      </w:r>
      <w:r w:rsidRPr="007F5B58">
        <w:rPr>
          <w:rtl/>
        </w:rPr>
        <w:t>،</w:t>
      </w:r>
      <w:r>
        <w:rPr>
          <w:rtl/>
        </w:rPr>
        <w:t xml:space="preserve"> وعلى هذا الأساس فلا مصلحة أصلاً في تحكيم النظريّات الاقتصاديّة في مثل النكاح.</w:t>
      </w:r>
    </w:p>
    <w:p w:rsidR="00AC628B" w:rsidRDefault="00AC628B" w:rsidP="00AC628B">
      <w:pPr>
        <w:pStyle w:val="ac"/>
        <w:rPr>
          <w:rtl/>
        </w:rPr>
      </w:pPr>
      <w:r>
        <w:rPr>
          <w:rtl/>
        </w:rPr>
        <w:t>ومن جانب آخر فإنّ مجتمعنا الحاليّ يعاني من تأخّر سنّ الزواج</w:t>
      </w:r>
      <w:r w:rsidRPr="007F5B58">
        <w:rPr>
          <w:rtl/>
        </w:rPr>
        <w:t>،</w:t>
      </w:r>
      <w:r>
        <w:rPr>
          <w:rtl/>
        </w:rPr>
        <w:t xml:space="preserve"> وعدم إقدام الشباب على الزواج في سنّ مناسبة</w:t>
      </w:r>
      <w:r w:rsidRPr="007F5B58">
        <w:rPr>
          <w:rtl/>
        </w:rPr>
        <w:t>،</w:t>
      </w:r>
      <w:r>
        <w:rPr>
          <w:rtl/>
        </w:rPr>
        <w:t xml:space="preserve"> وهي مشكلة لا يتسنّى حلّها إلا</w:t>
      </w:r>
      <w:r>
        <w:rPr>
          <w:rFonts w:hint="cs"/>
          <w:rtl/>
        </w:rPr>
        <w:t>ّ</w:t>
      </w:r>
      <w:r>
        <w:rPr>
          <w:rtl/>
        </w:rPr>
        <w:t xml:space="preserve"> بعد تقديم عدد من العوامل التي من شأنها ترغيب الشباب في الزواج</w:t>
      </w:r>
      <w:r>
        <w:rPr>
          <w:rFonts w:hint="cs"/>
          <w:rtl/>
        </w:rPr>
        <w:t>.</w:t>
      </w:r>
      <w:r>
        <w:rPr>
          <w:rtl/>
        </w:rPr>
        <w:t xml:space="preserve"> وفرض ضرائب على المهر يضع الزوج الشابّ في مواجهة إشكاليّة عدم القدرة على دفع الضرائب</w:t>
      </w:r>
      <w:r w:rsidRPr="007F5B58">
        <w:rPr>
          <w:rtl/>
        </w:rPr>
        <w:t>،</w:t>
      </w:r>
      <w:r>
        <w:rPr>
          <w:rtl/>
        </w:rPr>
        <w:t xml:space="preserve"> فإنّ أكثر الشباب في بداية زواجهم مبتلون بالعجز عن تأمين تكاليف الحياة الضروريّة</w:t>
      </w:r>
      <w:r w:rsidRPr="007F5B58">
        <w:rPr>
          <w:rtl/>
        </w:rPr>
        <w:t>،</w:t>
      </w:r>
      <w:r>
        <w:rPr>
          <w:rtl/>
        </w:rPr>
        <w:t xml:space="preserve"> فالاتّجاه نحو تحميلهم مزيداً من التعهّدات الماليّة الناشئة من الضريبة المفروضة على المهر لا يصبّ إلاّ </w:t>
      </w:r>
      <w:r>
        <w:rPr>
          <w:rtl/>
        </w:rPr>
        <w:lastRenderedPageBreak/>
        <w:t>في سياق المفاقمة من مشاكلهم المادّيّة</w:t>
      </w:r>
      <w:r w:rsidRPr="007F5B58">
        <w:rPr>
          <w:rtl/>
        </w:rPr>
        <w:t>،</w:t>
      </w:r>
      <w:r>
        <w:rPr>
          <w:rtl/>
        </w:rPr>
        <w:t xml:space="preserve"> ولا سيّما أنّ المطالبة بمهر مرتفع تكون من ناحية الزوجة لا الزوج.</w:t>
      </w:r>
    </w:p>
    <w:p w:rsidR="00AC628B" w:rsidRDefault="00AC628B" w:rsidP="00AC628B">
      <w:pPr>
        <w:pStyle w:val="ac"/>
        <w:rPr>
          <w:rtl/>
        </w:rPr>
      </w:pPr>
      <w:r>
        <w:rPr>
          <w:rtl/>
        </w:rPr>
        <w:t>مضافاً إلى أنّ قيام الدولة بفرض ضرائب ماليّة على المهر قد لا يكون نافعاً في الوصول إلى تقليل المهر وتسهيل انعقاد النكاح</w:t>
      </w:r>
      <w:r w:rsidRPr="007F5B58">
        <w:rPr>
          <w:rtl/>
        </w:rPr>
        <w:t>؛</w:t>
      </w:r>
      <w:r>
        <w:rPr>
          <w:rtl/>
        </w:rPr>
        <w:t xml:space="preserve"> لأنّ التوجّه السائد لدى النساء هو أنّهنّ لسنَ على استعدادٍ للزواج بمهرٍ قليل</w:t>
      </w:r>
      <w:r w:rsidRPr="007F5B58">
        <w:rPr>
          <w:rtl/>
        </w:rPr>
        <w:t>،</w:t>
      </w:r>
      <w:r>
        <w:rPr>
          <w:rtl/>
        </w:rPr>
        <w:t xml:space="preserve"> ما يعني أنّ المرأة ستستمرّ في المطالبة بمهرها المرتفع</w:t>
      </w:r>
      <w:r w:rsidRPr="007F5B58">
        <w:rPr>
          <w:rtl/>
        </w:rPr>
        <w:t>،</w:t>
      </w:r>
      <w:r>
        <w:rPr>
          <w:rtl/>
        </w:rPr>
        <w:t xml:space="preserve"> والدولة تفرض على المهر ضرائب مرتفعةً</w:t>
      </w:r>
      <w:r w:rsidRPr="007F5B58">
        <w:rPr>
          <w:rtl/>
        </w:rPr>
        <w:t>،</w:t>
      </w:r>
      <w:r>
        <w:rPr>
          <w:rtl/>
        </w:rPr>
        <w:t xml:space="preserve"> والنتيجة الحتميّة هي التشديد في معاناة الزوج من صعوبة تشكيل الأسرة والإقدام على أصل الزواج</w:t>
      </w:r>
      <w:r w:rsidRPr="007F5B58">
        <w:rPr>
          <w:rtl/>
        </w:rPr>
        <w:t>،</w:t>
      </w:r>
      <w:r>
        <w:rPr>
          <w:rtl/>
        </w:rPr>
        <w:t xml:space="preserve"> وهو ـ مضافاً إلى مخالفته للمقرّرات الإسلاميّة ـ مخالفٌ للمصالح الاجتماعيّة قطعاً.</w:t>
      </w:r>
    </w:p>
    <w:p w:rsidR="00AC628B" w:rsidRDefault="00AC628B" w:rsidP="00AC628B">
      <w:pPr>
        <w:pStyle w:val="ac"/>
        <w:rPr>
          <w:rtl/>
        </w:rPr>
      </w:pPr>
      <w:r>
        <w:rPr>
          <w:rtl/>
        </w:rPr>
        <w:t>على أنّ غلاء المهور وارتفاعها إن كان يُعدّ مانعاً من تشكيل الأُسرة</w:t>
      </w:r>
      <w:r w:rsidRPr="007F5B58">
        <w:rPr>
          <w:rtl/>
        </w:rPr>
        <w:t>،</w:t>
      </w:r>
      <w:r>
        <w:rPr>
          <w:rtl/>
        </w:rPr>
        <w:t xml:space="preserve"> مع كون أغلب المهور مؤجَّلةً إلى حين المطالبة</w:t>
      </w:r>
      <w:r w:rsidRPr="007F5B58">
        <w:rPr>
          <w:rtl/>
        </w:rPr>
        <w:t>،</w:t>
      </w:r>
      <w:r>
        <w:rPr>
          <w:rtl/>
        </w:rPr>
        <w:t xml:space="preserve"> فمن بابٍ أولى يكون فرض الضرائب المرتفعة على المهر موجباً لعدم وقوع عقد النكاح من رأس. كيف لا</w:t>
      </w:r>
      <w:r w:rsidRPr="007F5B58">
        <w:rPr>
          <w:rtl/>
        </w:rPr>
        <w:t>،</w:t>
      </w:r>
      <w:r>
        <w:rPr>
          <w:rtl/>
        </w:rPr>
        <w:t xml:space="preserve"> والزوجة حين وقوع العقد لا يكون لها توجّه أصلاً نحو إجراء المهر</w:t>
      </w:r>
      <w:r w:rsidRPr="007F5B58">
        <w:rPr>
          <w:rtl/>
        </w:rPr>
        <w:t>،</w:t>
      </w:r>
      <w:r>
        <w:rPr>
          <w:rtl/>
        </w:rPr>
        <w:t xml:space="preserve"> بل ولا تخطر إلى ذهنها أصلاً فكرة المطالبة به في تلك اللّحظات؟ وأمّا الدولة فهي تمارس سلطتها كافّةً لوضع يدها على ما لها من أموال في ذمّة المديونين</w:t>
      </w:r>
      <w:r>
        <w:rPr>
          <w:rFonts w:hint="cs"/>
          <w:rtl/>
        </w:rPr>
        <w:t>.</w:t>
      </w:r>
      <w:r>
        <w:rPr>
          <w:rtl/>
        </w:rPr>
        <w:t xml:space="preserve"> وعلى هذا الأساس فإذا كان الزوج عاجزاً عن دفع الضرائب المرسومة على المهر فقد يُحكم عليه بالسجن</w:t>
      </w:r>
      <w:r w:rsidRPr="007F5B58">
        <w:rPr>
          <w:rtl/>
        </w:rPr>
        <w:t>؛</w:t>
      </w:r>
      <w:r>
        <w:rPr>
          <w:rtl/>
        </w:rPr>
        <w:t xml:space="preserve"> للتخلّف عن الدفع</w:t>
      </w:r>
      <w:r w:rsidRPr="007F5B58">
        <w:rPr>
          <w:rtl/>
        </w:rPr>
        <w:t>،</w:t>
      </w:r>
      <w:r>
        <w:rPr>
          <w:rtl/>
        </w:rPr>
        <w:t xml:space="preserve"> حتى من قبل أن يحين وقت المطالبة بأصل المهر.</w:t>
      </w:r>
    </w:p>
    <w:p w:rsidR="00AC628B" w:rsidRDefault="00AC628B" w:rsidP="007F7201">
      <w:pPr>
        <w:pStyle w:val="ac"/>
        <w:spacing w:line="209" w:lineRule="auto"/>
        <w:rPr>
          <w:rtl/>
        </w:rPr>
      </w:pPr>
      <w:r>
        <w:rPr>
          <w:rtl/>
        </w:rPr>
        <w:t>والحاصل أنّ هذه النظريّات</w:t>
      </w:r>
      <w:r w:rsidRPr="007F5B58">
        <w:rPr>
          <w:rtl/>
        </w:rPr>
        <w:t>،</w:t>
      </w:r>
      <w:r>
        <w:rPr>
          <w:rtl/>
        </w:rPr>
        <w:t xml:space="preserve"> التي وقعت مشروعيّتها محلاًّ للشكّ والترديد في علم الاقتصاد الإسلاميّ</w:t>
      </w:r>
      <w:r w:rsidRPr="007F5B58">
        <w:rPr>
          <w:rtl/>
        </w:rPr>
        <w:t>،</w:t>
      </w:r>
      <w:r>
        <w:rPr>
          <w:rtl/>
        </w:rPr>
        <w:t xml:space="preserve"> لا يصحّ الأخذ والعمل بها في موضوع يتمتّع بقدرٍ كبير من الحساسيّة والأهمّيّة</w:t>
      </w:r>
      <w:r w:rsidRPr="007F5B58">
        <w:rPr>
          <w:rtl/>
        </w:rPr>
        <w:t>،</w:t>
      </w:r>
      <w:r>
        <w:rPr>
          <w:rtl/>
        </w:rPr>
        <w:t xml:space="preserve"> كموضوع النكاح</w:t>
      </w:r>
      <w:r w:rsidRPr="007F5B58">
        <w:rPr>
          <w:rtl/>
        </w:rPr>
        <w:t>،</w:t>
      </w:r>
      <w:r>
        <w:rPr>
          <w:rtl/>
        </w:rPr>
        <w:t xml:space="preserve"> وتشكيل الأسرة. ومن هنا نرى أنّ ما أقدم عليه مجلس الشورى الإسلاميّ من حذف هذا المقترح من بيان حماية الأسرة كان فعلاً صائباً تماماً</w:t>
      </w:r>
      <w:r w:rsidRPr="007F5B58">
        <w:rPr>
          <w:rtl/>
        </w:rPr>
        <w:t>،</w:t>
      </w:r>
      <w:r>
        <w:rPr>
          <w:rtl/>
        </w:rPr>
        <w:t xml:space="preserve"> وينسجم مع الأصول والمبادئ الحقوقيّة والمصالح الاجتماعيّة.</w:t>
      </w:r>
    </w:p>
    <w:p w:rsidR="007F7201" w:rsidRDefault="007F7201" w:rsidP="007F7201">
      <w:pPr>
        <w:pStyle w:val="afffffc"/>
        <w:rPr>
          <w:rtl/>
        </w:rPr>
      </w:pPr>
    </w:p>
    <w:p w:rsidR="00AC628B" w:rsidRPr="00F53CE8" w:rsidRDefault="00AC628B" w:rsidP="007F7201">
      <w:pPr>
        <w:pStyle w:val="2"/>
        <w:rPr>
          <w:rtl/>
        </w:rPr>
      </w:pPr>
      <w:bookmarkStart w:id="404" w:name="_Toc275128120"/>
      <w:r>
        <w:rPr>
          <w:rtl/>
        </w:rPr>
        <w:t>ج ـ اشتراط شروطٍ نموذجيّة</w:t>
      </w:r>
      <w:bookmarkEnd w:id="404"/>
    </w:p>
    <w:p w:rsidR="00AC628B" w:rsidRDefault="00AC628B" w:rsidP="00AC628B">
      <w:pPr>
        <w:pStyle w:val="ac"/>
        <w:rPr>
          <w:rtl/>
        </w:rPr>
      </w:pPr>
      <w:r>
        <w:rPr>
          <w:rtl/>
        </w:rPr>
        <w:t xml:space="preserve">من جملة الطرق التي يُستعان بها ـ أيضاً ـ لغرض التقليل من ضغط المهر المرتفع على </w:t>
      </w:r>
      <w:r>
        <w:rPr>
          <w:rtl/>
        </w:rPr>
        <w:lastRenderedPageBreak/>
        <w:t>الزوج اشتراط عدد من الشروط النموذجيّة. وقد قام مدير مؤسّسة الأسناد والوثائق الرسميّة بإبلاغ هذا الاقتراح وتعميمه على كافّة مراكز هذه المؤسّسة في النشرة رقم (</w:t>
      </w:r>
      <w:r w:rsidRPr="008E052D">
        <w:rPr>
          <w:rtl/>
        </w:rPr>
        <w:t>53958</w:t>
      </w:r>
      <w:r w:rsidRPr="007F5B58">
        <w:rPr>
          <w:rtl/>
        </w:rPr>
        <w:t>،</w:t>
      </w:r>
      <w:r w:rsidRPr="008E052D">
        <w:rPr>
          <w:rtl/>
        </w:rPr>
        <w:t>34</w:t>
      </w:r>
      <w:r w:rsidRPr="007F5B58">
        <w:rPr>
          <w:rtl/>
        </w:rPr>
        <w:t>،</w:t>
      </w:r>
      <w:r w:rsidRPr="008E052D">
        <w:rPr>
          <w:rtl/>
        </w:rPr>
        <w:t>1</w:t>
      </w:r>
      <w:r>
        <w:rPr>
          <w:rtl/>
        </w:rPr>
        <w:t>) الصادرة عنه بتاريخ الثامن من شهر (بهمن) عام 1385</w:t>
      </w:r>
      <w:r w:rsidRPr="007F5B58">
        <w:rPr>
          <w:rtl/>
        </w:rPr>
        <w:t>،</w:t>
      </w:r>
      <w:r>
        <w:rPr>
          <w:rtl/>
        </w:rPr>
        <w:t xml:space="preserve"> ولكنّ العمل بهذا المرسوم لم يتمّ على الشكل المطلوب</w:t>
      </w:r>
      <w:r w:rsidRPr="007F5B58">
        <w:rPr>
          <w:rtl/>
        </w:rPr>
        <w:t>،</w:t>
      </w:r>
      <w:r>
        <w:rPr>
          <w:rtl/>
        </w:rPr>
        <w:t xml:space="preserve"> ما دفع بالمسؤولين عن هذه المؤسّسة إلى إثبات هذا الشرط في متـن الوثيقة الرسميّة لعقد الزواج</w:t>
      </w:r>
      <w:r w:rsidRPr="007F5B58">
        <w:rPr>
          <w:rtl/>
        </w:rPr>
        <w:t>،</w:t>
      </w:r>
      <w:r>
        <w:rPr>
          <w:rtl/>
        </w:rPr>
        <w:t xml:space="preserve"> ليتسنّى بذلك الحصول على إمضاء كلٍّ من الزوجين وموافقتهما عليه. وفي شهر (دي) من العام 1387 أعلنت المؤسّسة المذكورة أنّ عدد الشروط المطلوبة ضمن عقد النكاح قد بلغ 14 شرطاً</w:t>
      </w:r>
      <w:r w:rsidRPr="007F5B58">
        <w:rPr>
          <w:rtl/>
        </w:rPr>
        <w:t>،</w:t>
      </w:r>
      <w:r>
        <w:rPr>
          <w:rtl/>
        </w:rPr>
        <w:t xml:space="preserve"> بعد أن كانت الشروط 12 فقط</w:t>
      </w:r>
      <w:r w:rsidRPr="007F5B58">
        <w:rPr>
          <w:rtl/>
        </w:rPr>
        <w:t>،</w:t>
      </w:r>
      <w:r>
        <w:rPr>
          <w:rtl/>
        </w:rPr>
        <w:t xml:space="preserve"> والشرطان المضافان هما</w:t>
      </w:r>
      <w:r w:rsidRPr="007F5B58">
        <w:rPr>
          <w:rtl/>
        </w:rPr>
        <w:t>:</w:t>
      </w:r>
    </w:p>
    <w:p w:rsidR="00AC628B" w:rsidRDefault="00AC628B" w:rsidP="00AC628B">
      <w:pPr>
        <w:pStyle w:val="ac"/>
        <w:rPr>
          <w:rtl/>
        </w:rPr>
      </w:pPr>
      <w:r>
        <w:rPr>
          <w:rtl/>
        </w:rPr>
        <w:t>1ـ يصبح المهر مستحقّ الدفع من حين المطالبة.</w:t>
      </w:r>
    </w:p>
    <w:p w:rsidR="00AC628B" w:rsidRDefault="00AC628B" w:rsidP="00AC628B">
      <w:pPr>
        <w:pStyle w:val="ac"/>
        <w:rPr>
          <w:rtl/>
        </w:rPr>
      </w:pPr>
      <w:r>
        <w:rPr>
          <w:rtl/>
        </w:rPr>
        <w:t>2ـ لا يكون المهر مستحقّ الدفع إلاّ عند الاستطاعة.</w:t>
      </w:r>
    </w:p>
    <w:p w:rsidR="00AC628B" w:rsidRDefault="00AC628B" w:rsidP="00AC628B">
      <w:pPr>
        <w:pStyle w:val="ac"/>
        <w:rPr>
          <w:rtl/>
        </w:rPr>
      </w:pPr>
      <w:r>
        <w:rPr>
          <w:rtl/>
        </w:rPr>
        <w:t xml:space="preserve"> والواقع أنّ هذا المقترح لا يحلّ مشكلة المهر المرتفع</w:t>
      </w:r>
      <w:r w:rsidRPr="007F5B58">
        <w:rPr>
          <w:rtl/>
        </w:rPr>
        <w:t>،</w:t>
      </w:r>
      <w:r>
        <w:rPr>
          <w:rtl/>
        </w:rPr>
        <w:t xml:space="preserve"> وإنّما يحلّ مشكلة حبس الرجل عند عجزه عن دفع المهر</w:t>
      </w:r>
      <w:r w:rsidRPr="007F5B58">
        <w:rPr>
          <w:rtl/>
        </w:rPr>
        <w:t>،</w:t>
      </w:r>
      <w:r>
        <w:rPr>
          <w:rtl/>
        </w:rPr>
        <w:t xml:space="preserve"> فإنّ هذا الشرط يضمن للزوج أن لا يتعرّض للحبس لمجرّد فقد الاستطاعة</w:t>
      </w:r>
      <w:r w:rsidRPr="007F5B58">
        <w:rPr>
          <w:rtl/>
        </w:rPr>
        <w:t>؛</w:t>
      </w:r>
      <w:r>
        <w:rPr>
          <w:rtl/>
        </w:rPr>
        <w:t xml:space="preserve"> إذ المفروض أنّه قد حصل التوافق بين الزوجين حين العقد على أنّ المهر لا يكون مستحقّاً إلاّ عند استطاعة الزوج</w:t>
      </w:r>
      <w:r w:rsidRPr="007F5B58">
        <w:rPr>
          <w:rtl/>
        </w:rPr>
        <w:t>،</w:t>
      </w:r>
      <w:r>
        <w:rPr>
          <w:rtl/>
        </w:rPr>
        <w:t xml:space="preserve"> وبعد هذا الاتّفاق لا يكون للزوجة الحقّ في أن تطالب زوجها الفاقد للاستطاعة بمهرها</w:t>
      </w:r>
      <w:r w:rsidRPr="007F5B58">
        <w:rPr>
          <w:rtl/>
        </w:rPr>
        <w:t>،</w:t>
      </w:r>
      <w:r>
        <w:rPr>
          <w:rtl/>
        </w:rPr>
        <w:t xml:space="preserve"> إلاّ مع قدرة الزوج على الدفع</w:t>
      </w:r>
      <w:r w:rsidRPr="007F5B58">
        <w:rPr>
          <w:rtl/>
        </w:rPr>
        <w:t>،</w:t>
      </w:r>
      <w:r>
        <w:rPr>
          <w:rtl/>
        </w:rPr>
        <w:t xml:space="preserve"> وفي هذه الصورة تأخذ الزوجة مهرها من ماله</w:t>
      </w:r>
      <w:r w:rsidRPr="007F5B58">
        <w:rPr>
          <w:rtl/>
        </w:rPr>
        <w:t>،</w:t>
      </w:r>
      <w:r>
        <w:rPr>
          <w:rtl/>
        </w:rPr>
        <w:t xml:space="preserve"> ولا تصل النوبة إلى الحكم عليه بالسجن</w:t>
      </w:r>
      <w:r w:rsidRPr="007F5B58">
        <w:rPr>
          <w:rtl/>
        </w:rPr>
        <w:t>؛</w:t>
      </w:r>
      <w:r>
        <w:rPr>
          <w:rtl/>
        </w:rPr>
        <w:t xml:space="preserve"> وأمّا لو لم يكن قادراً مالياً على دفع المهر فلا يثبت لها الحقّ المذكور أصلاً.</w:t>
      </w:r>
    </w:p>
    <w:p w:rsidR="00AC628B" w:rsidRDefault="00AC628B" w:rsidP="00AC628B">
      <w:pPr>
        <w:pStyle w:val="ac"/>
        <w:rPr>
          <w:rtl/>
        </w:rPr>
      </w:pPr>
      <w:r>
        <w:rPr>
          <w:rtl/>
        </w:rPr>
        <w:t>ويمكن المناقشة في هذا الحلّ من جهاتٍ عدّة</w:t>
      </w:r>
      <w:r w:rsidRPr="007F5B58">
        <w:rPr>
          <w:rtl/>
        </w:rPr>
        <w:t>،</w:t>
      </w:r>
      <w:r>
        <w:rPr>
          <w:rtl/>
        </w:rPr>
        <w:t xml:space="preserve"> ومنها</w:t>
      </w:r>
      <w:r w:rsidRPr="007F5B58">
        <w:rPr>
          <w:rtl/>
        </w:rPr>
        <w:t>:</w:t>
      </w:r>
      <w:r>
        <w:rPr>
          <w:rtl/>
        </w:rPr>
        <w:t xml:space="preserve"> إنّه موجب لتضييع حقّ الزوجة</w:t>
      </w:r>
      <w:r w:rsidRPr="007F5B58">
        <w:rPr>
          <w:rtl/>
        </w:rPr>
        <w:t>؛</w:t>
      </w:r>
      <w:r>
        <w:rPr>
          <w:rtl/>
        </w:rPr>
        <w:t xml:space="preserve"> إذ في كثير من الحالات لا تحصل للزوج طيلة عمره القدرة الماليّة التي تخوّله دفع المهر كاملاً</w:t>
      </w:r>
      <w:r w:rsidRPr="007F5B58">
        <w:rPr>
          <w:rtl/>
        </w:rPr>
        <w:t>،</w:t>
      </w:r>
      <w:r>
        <w:rPr>
          <w:rtl/>
        </w:rPr>
        <w:t xml:space="preserve"> الأمر الذي يعني أنّ اعتبار هذا الشرط يوجب عدم وصول الزوجة إلى شيءٍ من مهرها</w:t>
      </w:r>
      <w:r w:rsidRPr="007F5B58">
        <w:rPr>
          <w:rtl/>
        </w:rPr>
        <w:t>،</w:t>
      </w:r>
      <w:r>
        <w:rPr>
          <w:rtl/>
        </w:rPr>
        <w:t xml:space="preserve"> مع أنّ الذي يُستفاد من الآيات والروايات المعتبرة أنّ للمهر من ناحية لزوم دفعه مزيّةً خاصّة</w:t>
      </w:r>
      <w:r w:rsidRPr="007F5B58">
        <w:rPr>
          <w:rtl/>
        </w:rPr>
        <w:t>،</w:t>
      </w:r>
      <w:r>
        <w:rPr>
          <w:rtl/>
        </w:rPr>
        <w:t xml:space="preserve"> وأنّ الشارع المقدّس قد أثبت له حرمةً من نوعٍ خاصّ. اللّهمّ إلاّ أن يُفسَّر هذا الشرط بأنّ أيّ مقدارٍ من المهر يكون للزوج القدرة الماليّة على دفعه يمكن للزوجة أن تطالبه به. ولكن في هذه الصورة تتعرّض تماميّة المهر </w:t>
      </w:r>
      <w:r>
        <w:rPr>
          <w:rtl/>
        </w:rPr>
        <w:lastRenderedPageBreak/>
        <w:t>للانتقاض</w:t>
      </w:r>
      <w:r w:rsidRPr="007F5B58">
        <w:rPr>
          <w:rtl/>
        </w:rPr>
        <w:t>،</w:t>
      </w:r>
      <w:r>
        <w:rPr>
          <w:rtl/>
        </w:rPr>
        <w:t xml:space="preserve"> إلاّ أنّه لا ضير فيه من الناحية القانونيّة</w:t>
      </w:r>
      <w:r w:rsidRPr="007F5B58">
        <w:rPr>
          <w:rtl/>
        </w:rPr>
        <w:t>؛</w:t>
      </w:r>
      <w:r>
        <w:rPr>
          <w:rtl/>
        </w:rPr>
        <w:t xml:space="preserve"> لأنّه نقض لها برضا من الزوجة</w:t>
      </w:r>
      <w:r w:rsidRPr="007F5B58">
        <w:rPr>
          <w:rtl/>
        </w:rPr>
        <w:t>،</w:t>
      </w:r>
      <w:r>
        <w:rPr>
          <w:rtl/>
        </w:rPr>
        <w:t xml:space="preserve"> واعتبار التماميّة في الطلب ليس إلاّ لحماية حقّ الدائن</w:t>
      </w:r>
      <w:r w:rsidRPr="007F5B58">
        <w:rPr>
          <w:rtl/>
        </w:rPr>
        <w:t>،</w:t>
      </w:r>
      <w:r>
        <w:rPr>
          <w:rtl/>
        </w:rPr>
        <w:t xml:space="preserve"> وهي الزوجة هنا</w:t>
      </w:r>
      <w:r w:rsidRPr="00815C4C">
        <w:rPr>
          <w:rFonts w:cs="Taher"/>
          <w:vertAlign w:val="superscript"/>
          <w:rtl/>
        </w:rPr>
        <w:t>(</w:t>
      </w:r>
      <w:r w:rsidRPr="00815C4C">
        <w:rPr>
          <w:rFonts w:cs="Taher"/>
          <w:vertAlign w:val="superscript"/>
          <w:rtl/>
        </w:rPr>
        <w:footnoteReference w:id="797"/>
      </w:r>
      <w:r w:rsidRPr="00815C4C">
        <w:rPr>
          <w:rFonts w:cs="Taher"/>
          <w:vertAlign w:val="superscript"/>
          <w:rtl/>
        </w:rPr>
        <w:t>)</w:t>
      </w:r>
      <w:r w:rsidRPr="007F5B58">
        <w:rPr>
          <w:rtl/>
        </w:rPr>
        <w:t>،</w:t>
      </w:r>
      <w:r>
        <w:rPr>
          <w:rtl/>
        </w:rPr>
        <w:t xml:space="preserve"> فإن كانت ترى مصلحةً لها في نقض التماميّة لم يكن ثمّة ما يمنع من إقدامها على تجزئة المهر وتوزيعه على حصص متعدّدة. وعلى أية حال فهذا الحلّ لا يعالج مشاكل المهر المرتفع</w:t>
      </w:r>
      <w:r w:rsidRPr="007F5B58">
        <w:rPr>
          <w:rtl/>
        </w:rPr>
        <w:t>،</w:t>
      </w:r>
      <w:r>
        <w:rPr>
          <w:rtl/>
        </w:rPr>
        <w:t xml:space="preserve"> وفي صورة رضا الزوجة بالشرط المذكور فإنّ ذلك يؤدّي إلى ضياع حقّها في المهر</w:t>
      </w:r>
      <w:r w:rsidRPr="007F5B58">
        <w:rPr>
          <w:rtl/>
        </w:rPr>
        <w:t>،</w:t>
      </w:r>
      <w:r>
        <w:rPr>
          <w:rtl/>
        </w:rPr>
        <w:t xml:space="preserve"> وهو أمر يخالف الشرع مخالفةً صريحةً وواضحةً. مضافاً إلى أن رضا الزوجة بالشرط المذكور</w:t>
      </w:r>
      <w:r w:rsidRPr="007F5B58">
        <w:rPr>
          <w:rtl/>
        </w:rPr>
        <w:t>،</w:t>
      </w:r>
      <w:r>
        <w:rPr>
          <w:rtl/>
        </w:rPr>
        <w:t xml:space="preserve"> وموافقتها على أن يكون المهر حالاًّ ومستحقّاً عند المطالبة فقط</w:t>
      </w:r>
      <w:r w:rsidRPr="007F5B58">
        <w:rPr>
          <w:rtl/>
        </w:rPr>
        <w:t>،</w:t>
      </w:r>
      <w:r>
        <w:rPr>
          <w:rtl/>
        </w:rPr>
        <w:t xml:space="preserve"> يُبقي المشكلة على ما كانت عليه. </w:t>
      </w:r>
    </w:p>
    <w:p w:rsidR="00AC628B" w:rsidRDefault="00AC628B" w:rsidP="007F7201">
      <w:pPr>
        <w:pStyle w:val="ac"/>
        <w:spacing w:line="199" w:lineRule="auto"/>
        <w:rPr>
          <w:rtl/>
        </w:rPr>
      </w:pPr>
      <w:r>
        <w:rPr>
          <w:rtl/>
        </w:rPr>
        <w:t>ومن هنا يبدو أنّ هذا الحلّ لا يرقى لكي يكون حلاًّ وفاقيّاً بين الطرفين</w:t>
      </w:r>
      <w:r w:rsidRPr="007F5B58">
        <w:rPr>
          <w:rtl/>
        </w:rPr>
        <w:t>؛</w:t>
      </w:r>
      <w:r>
        <w:rPr>
          <w:rtl/>
        </w:rPr>
        <w:t xml:space="preserve"> لأنّه لا يحظى بمقبوليّةٍ لدى عامّة النساء</w:t>
      </w:r>
      <w:r w:rsidRPr="007F5B58">
        <w:rPr>
          <w:rtl/>
        </w:rPr>
        <w:t>،</w:t>
      </w:r>
      <w:r>
        <w:rPr>
          <w:rtl/>
        </w:rPr>
        <w:t xml:space="preserve"> وفي فرض قبول الزوجة به فإنّه يكون موجباً لتضييع حقّها في المهر كما عرفنا</w:t>
      </w:r>
      <w:r w:rsidRPr="007F5B58">
        <w:rPr>
          <w:rtl/>
        </w:rPr>
        <w:t>،</w:t>
      </w:r>
      <w:r>
        <w:rPr>
          <w:rtl/>
        </w:rPr>
        <w:t xml:space="preserve"> وهو ـ علاوةً على كونه مخالفاً لمبادئ حقوق الإسلام ـ ليس له أيّة تداعيات اجتماعيّة إيجابيّة.</w:t>
      </w:r>
    </w:p>
    <w:p w:rsidR="00AC628B" w:rsidRPr="007F7201" w:rsidRDefault="00AC628B" w:rsidP="007F7201">
      <w:pPr>
        <w:pStyle w:val="afffffc"/>
        <w:rPr>
          <w:sz w:val="18"/>
          <w:szCs w:val="16"/>
          <w:rtl/>
        </w:rPr>
      </w:pPr>
    </w:p>
    <w:p w:rsidR="00AC628B" w:rsidRPr="00E87C8C" w:rsidRDefault="00AC628B" w:rsidP="007F7201">
      <w:pPr>
        <w:pStyle w:val="2"/>
        <w:rPr>
          <w:rtl/>
        </w:rPr>
      </w:pPr>
      <w:bookmarkStart w:id="405" w:name="_Toc275128121"/>
      <w:r>
        <w:rPr>
          <w:rtl/>
        </w:rPr>
        <w:t>دـ</w:t>
      </w:r>
      <w:r w:rsidRPr="00E87C8C">
        <w:rPr>
          <w:rtl/>
        </w:rPr>
        <w:t xml:space="preserve"> </w:t>
      </w:r>
      <w:r>
        <w:rPr>
          <w:rtl/>
        </w:rPr>
        <w:t>الحلول الأساسيّة</w:t>
      </w:r>
      <w:bookmarkEnd w:id="405"/>
    </w:p>
    <w:p w:rsidR="00AC628B" w:rsidRDefault="00AC628B" w:rsidP="007F7201">
      <w:pPr>
        <w:pStyle w:val="ac"/>
        <w:spacing w:line="199" w:lineRule="auto"/>
        <w:rPr>
          <w:rtl/>
        </w:rPr>
      </w:pPr>
      <w:r>
        <w:rPr>
          <w:rtl/>
        </w:rPr>
        <w:t>إذا أردنا للمهر أن يكون واقعيّاً</w:t>
      </w:r>
      <w:r w:rsidRPr="007F5B58">
        <w:rPr>
          <w:rtl/>
        </w:rPr>
        <w:t>،</w:t>
      </w:r>
      <w:r>
        <w:rPr>
          <w:rtl/>
        </w:rPr>
        <w:t xml:space="preserve"> بحيث يكون قادراً على تأمين الحماية الزوجة</w:t>
      </w:r>
      <w:r w:rsidRPr="007F5B58">
        <w:rPr>
          <w:rtl/>
        </w:rPr>
        <w:t>،</w:t>
      </w:r>
      <w:r>
        <w:rPr>
          <w:rtl/>
        </w:rPr>
        <w:t xml:space="preserve"> ومن جهةٍ أُخرى يكون للزوج القدرة التي تخوّله دفعه خلال مدّةٍ معقولةٍ</w:t>
      </w:r>
      <w:r w:rsidRPr="007F5B58">
        <w:rPr>
          <w:rtl/>
        </w:rPr>
        <w:t>،</w:t>
      </w:r>
      <w:r>
        <w:rPr>
          <w:rtl/>
        </w:rPr>
        <w:t xml:space="preserve"> فالظاهر أنّ علينا أن نسلّط الضوء على مجموعةٍ من العوامل التي تقف وراء تعيين المهور المرتفعة والخياليّة</w:t>
      </w:r>
      <w:r w:rsidRPr="007F5B58">
        <w:rPr>
          <w:rtl/>
        </w:rPr>
        <w:t>،</w:t>
      </w:r>
      <w:r>
        <w:rPr>
          <w:rtl/>
        </w:rPr>
        <w:t xml:space="preserve"> التي لو تمكّن الزوجان من اجتـنابها لأُعطيا كامل الحرّيّة في اختيار المهر وتعيينه</w:t>
      </w:r>
      <w:r w:rsidRPr="007F5B58">
        <w:rPr>
          <w:rtl/>
        </w:rPr>
        <w:t>،</w:t>
      </w:r>
      <w:r>
        <w:rPr>
          <w:rtl/>
        </w:rPr>
        <w:t xml:space="preserve"> وأمّا الضغوطات القانونيّة والإجرائيّة فهي عاجزةٌ عن إيجاد حلٍّ للمشكلة</w:t>
      </w:r>
      <w:r w:rsidRPr="007F5B58">
        <w:rPr>
          <w:rtl/>
        </w:rPr>
        <w:t>،</w:t>
      </w:r>
      <w:r>
        <w:rPr>
          <w:rtl/>
        </w:rPr>
        <w:t xml:space="preserve"> بل إنها تؤدّي إلى تعقيدها أكثر. ولمّا كانت مخالفةً للشريعة المقدّسة فهي توجب المسؤوليّة عن التسبيب بعوامل الضغط بين يدي الله عزّ وجلّ.</w:t>
      </w:r>
    </w:p>
    <w:p w:rsidR="00AC628B" w:rsidRDefault="00AC628B" w:rsidP="00AC628B">
      <w:pPr>
        <w:pStyle w:val="ac"/>
        <w:rPr>
          <w:rtl/>
        </w:rPr>
      </w:pPr>
      <w:r>
        <w:rPr>
          <w:rtl/>
        </w:rPr>
        <w:t xml:space="preserve">والذي يبدو لنا أنّ هناك </w:t>
      </w:r>
      <w:r>
        <w:rPr>
          <w:rFonts w:hint="cs"/>
          <w:rtl/>
        </w:rPr>
        <w:t>ثلاثة عوامل رئيسية تقف</w:t>
      </w:r>
      <w:r>
        <w:rPr>
          <w:rtl/>
        </w:rPr>
        <w:t xml:space="preserve"> وراء إصرار الزوجة على مهر مرتفع وخياليّ</w:t>
      </w:r>
      <w:r w:rsidRPr="007F5B58">
        <w:rPr>
          <w:rtl/>
        </w:rPr>
        <w:t>،</w:t>
      </w:r>
      <w:r>
        <w:rPr>
          <w:rtl/>
        </w:rPr>
        <w:t xml:space="preserve"> وه</w:t>
      </w:r>
      <w:r>
        <w:rPr>
          <w:rFonts w:hint="cs"/>
          <w:rtl/>
        </w:rPr>
        <w:t>ي</w:t>
      </w:r>
      <w:r w:rsidRPr="007F5B58">
        <w:rPr>
          <w:rtl/>
        </w:rPr>
        <w:t>:</w:t>
      </w:r>
      <w:r>
        <w:rPr>
          <w:rtl/>
        </w:rPr>
        <w:t xml:space="preserve"> فقدان الزوجين للنظريّة الصحيحة بالنسبة إلى المهر</w:t>
      </w:r>
      <w:r>
        <w:rPr>
          <w:rFonts w:hint="cs"/>
          <w:rtl/>
        </w:rPr>
        <w:t>؛</w:t>
      </w:r>
      <w:r>
        <w:rPr>
          <w:rtl/>
        </w:rPr>
        <w:t xml:space="preserve"> وعدم </w:t>
      </w:r>
      <w:r>
        <w:rPr>
          <w:rtl/>
        </w:rPr>
        <w:lastRenderedPageBreak/>
        <w:t>إحساس الزوجة بالأمن تجاه مستقبلها</w:t>
      </w:r>
      <w:r w:rsidRPr="007F5B58">
        <w:rPr>
          <w:rtl/>
        </w:rPr>
        <w:t>؛</w:t>
      </w:r>
      <w:r>
        <w:rPr>
          <w:rtl/>
        </w:rPr>
        <w:t xml:space="preserve"> وعدم التعاطي الصحيح ـ قضائياً ـ مع الدعاوى التي ترتبط بالمهر.</w:t>
      </w:r>
    </w:p>
    <w:p w:rsidR="007F7201" w:rsidRDefault="007F7201" w:rsidP="007F7201">
      <w:pPr>
        <w:pStyle w:val="afffffc"/>
        <w:rPr>
          <w:rtl/>
        </w:rPr>
      </w:pPr>
    </w:p>
    <w:p w:rsidR="00AC628B" w:rsidRPr="000721E9" w:rsidRDefault="00AC628B" w:rsidP="007F7201">
      <w:pPr>
        <w:pStyle w:val="3"/>
        <w:rPr>
          <w:rtl/>
        </w:rPr>
      </w:pPr>
      <w:bookmarkStart w:id="406" w:name="_Toc275128122"/>
      <w:r>
        <w:rPr>
          <w:rtl/>
        </w:rPr>
        <w:t xml:space="preserve">1ـ </w:t>
      </w:r>
      <w:r w:rsidR="007B653E">
        <w:rPr>
          <w:rFonts w:hint="cs"/>
          <w:rtl/>
        </w:rPr>
        <w:t xml:space="preserve">د ـ </w:t>
      </w:r>
      <w:r>
        <w:rPr>
          <w:rtl/>
        </w:rPr>
        <w:t>إصلاح نظرة الزوجين</w:t>
      </w:r>
      <w:bookmarkEnd w:id="406"/>
    </w:p>
    <w:p w:rsidR="00AC628B" w:rsidRDefault="00AC628B" w:rsidP="007F7201">
      <w:pPr>
        <w:pStyle w:val="ac"/>
        <w:spacing w:line="206" w:lineRule="auto"/>
        <w:rPr>
          <w:rtl/>
        </w:rPr>
      </w:pPr>
      <w:r>
        <w:rPr>
          <w:rtl/>
        </w:rPr>
        <w:t>يُعدّ فقدان النظريّة الصحيحة في ما يتعلّق بماهيّة المهر من ناحية قانونيّة واحداً من أبرز العوامل التي تدعو الزوجين إلى القبول بتعيين مهر مرتفعٍ وخياليّ</w:t>
      </w:r>
      <w:r w:rsidRPr="007F5B58">
        <w:rPr>
          <w:rtl/>
        </w:rPr>
        <w:t>،</w:t>
      </w:r>
      <w:r>
        <w:rPr>
          <w:rtl/>
        </w:rPr>
        <w:t xml:space="preserve"> وقد تقدّم سابقاً أنّ المهر في منظور حقوق الإسلام ليس ثمناً وقيمةً للزوجة</w:t>
      </w:r>
      <w:r w:rsidRPr="007F5B58">
        <w:rPr>
          <w:rtl/>
        </w:rPr>
        <w:t>،</w:t>
      </w:r>
      <w:r>
        <w:rPr>
          <w:rtl/>
        </w:rPr>
        <w:t xml:space="preserve"> وليس أداةً للضغط على الزوج وإلزامه بالتمسّك بكيان الأسرة</w:t>
      </w:r>
      <w:r w:rsidRPr="007F5B58">
        <w:rPr>
          <w:rtl/>
        </w:rPr>
        <w:t>،</w:t>
      </w:r>
      <w:r>
        <w:rPr>
          <w:rtl/>
        </w:rPr>
        <w:t xml:space="preserve"> ولا هو ضمانة لبقائها</w:t>
      </w:r>
      <w:r w:rsidRPr="007F5B58">
        <w:rPr>
          <w:rtl/>
        </w:rPr>
        <w:t>،</w:t>
      </w:r>
      <w:r>
        <w:rPr>
          <w:rtl/>
        </w:rPr>
        <w:t xml:space="preserve"> وإنّما هو هديّة يجب ـ بنصّ القرآن الكريم ـ على الزوج أن يقدّمها إلى زوجته</w:t>
      </w:r>
      <w:r>
        <w:rPr>
          <w:rFonts w:hint="cs"/>
          <w:rtl/>
        </w:rPr>
        <w:t>.</w:t>
      </w:r>
      <w:r>
        <w:rPr>
          <w:rtl/>
        </w:rPr>
        <w:t xml:space="preserve"> فلو آمنت الزوجة بهذه النظريّة الواقعيّة والقانونيّة للمهر فإنها ستدرك أنّ عزّتها وكرامتها تأبى عليها بأن تتوقّع أو تطلب لنفسها مهراً خياليّاً وموهوماً</w:t>
      </w:r>
      <w:r w:rsidRPr="007F5B58">
        <w:rPr>
          <w:rtl/>
        </w:rPr>
        <w:t>،</w:t>
      </w:r>
      <w:r>
        <w:rPr>
          <w:rtl/>
        </w:rPr>
        <w:t xml:space="preserve"> بل إنها سترضى بأيّ مقدارٍ يمتلكه الزوج أو يتمكّن من دفعه</w:t>
      </w:r>
      <w:r w:rsidRPr="007F5B58">
        <w:rPr>
          <w:rtl/>
        </w:rPr>
        <w:t>؛</w:t>
      </w:r>
      <w:r>
        <w:rPr>
          <w:rtl/>
        </w:rPr>
        <w:t xml:space="preserve"> فإنّ أحد العوامل التي تدعو الزوجة للمطالبة بالمهر المرتفع هي أنّها تعدّ المهر سبباً يضمن الحماية لزواجها</w:t>
      </w:r>
      <w:r w:rsidRPr="007F5B58">
        <w:rPr>
          <w:rtl/>
        </w:rPr>
        <w:t>،</w:t>
      </w:r>
      <w:r>
        <w:rPr>
          <w:rtl/>
        </w:rPr>
        <w:t xml:space="preserve"> وعليه فهي ترى أنه كلما ارتفع مقدار المهر أكثر كان احتمال انحلال النكاح ووقوع الطلاق بينهما أكثر ضآلة</w:t>
      </w:r>
      <w:r w:rsidRPr="007F5B58">
        <w:rPr>
          <w:rtl/>
        </w:rPr>
        <w:t>،</w:t>
      </w:r>
      <w:r>
        <w:rPr>
          <w:rtl/>
        </w:rPr>
        <w:t xml:space="preserve"> وأمّا لو كانت نظرة الزوجة إلى المهر على أنّه هديّة يجب على الزوج أن يقدّمها لها</w:t>
      </w:r>
      <w:r w:rsidRPr="007F5B58">
        <w:rPr>
          <w:rtl/>
        </w:rPr>
        <w:t>،</w:t>
      </w:r>
      <w:r>
        <w:rPr>
          <w:rtl/>
        </w:rPr>
        <w:t xml:space="preserve"> من دون أن يكون لهذه الهديّة ارتباط أصلاً ببقاء العلقة الزوجيّة بينهما أو وقوع الطلاق</w:t>
      </w:r>
      <w:r w:rsidRPr="007F5B58">
        <w:rPr>
          <w:rtl/>
        </w:rPr>
        <w:t>،</w:t>
      </w:r>
      <w:r>
        <w:rPr>
          <w:rtl/>
        </w:rPr>
        <w:t xml:space="preserve"> فإنها لن تصرّ كلّ ذلك الإصرار على ارتفاع المهر وغلائه</w:t>
      </w:r>
      <w:r w:rsidRPr="007F5B58">
        <w:rPr>
          <w:rtl/>
        </w:rPr>
        <w:t>؛</w:t>
      </w:r>
      <w:r>
        <w:rPr>
          <w:rtl/>
        </w:rPr>
        <w:t xml:space="preserve"> نظراً لعدم قدرة الزوج على السداد.</w:t>
      </w:r>
    </w:p>
    <w:p w:rsidR="00AC628B" w:rsidRDefault="00AC628B" w:rsidP="007F7201">
      <w:pPr>
        <w:pStyle w:val="ac"/>
        <w:spacing w:line="206" w:lineRule="auto"/>
        <w:rPr>
          <w:rtl/>
        </w:rPr>
      </w:pPr>
      <w:r>
        <w:rPr>
          <w:rtl/>
        </w:rPr>
        <w:t>ومضافاً إلى ذلك فإنّ الذي يدعو الزوج إلى الموافقة على ما تسمّيه المرأة من المهر</w:t>
      </w:r>
      <w:r w:rsidRPr="007F5B58">
        <w:rPr>
          <w:rtl/>
        </w:rPr>
        <w:t>،</w:t>
      </w:r>
      <w:r>
        <w:rPr>
          <w:rtl/>
        </w:rPr>
        <w:t xml:space="preserve"> مهما كان مرتفعاً وخياليّاً</w:t>
      </w:r>
      <w:r w:rsidRPr="007F5B58">
        <w:rPr>
          <w:rtl/>
        </w:rPr>
        <w:t>،</w:t>
      </w:r>
      <w:r>
        <w:rPr>
          <w:rtl/>
        </w:rPr>
        <w:t xml:space="preserve"> هو اعتقاده بأنّها لن تُقدم على المطالبة به أبداً</w:t>
      </w:r>
      <w:r w:rsidRPr="007F5B58">
        <w:rPr>
          <w:rtl/>
        </w:rPr>
        <w:t>،</w:t>
      </w:r>
      <w:r>
        <w:rPr>
          <w:rtl/>
        </w:rPr>
        <w:t xml:space="preserve"> وأمّا لو كان ينظر إلى المهر بوصفه مالاً يجب عليه شرعاً وقانوناً أن يؤدّيه ويدفعه لها</w:t>
      </w:r>
      <w:r w:rsidRPr="007F5B58">
        <w:rPr>
          <w:rtl/>
        </w:rPr>
        <w:t>،</w:t>
      </w:r>
      <w:r>
        <w:rPr>
          <w:rtl/>
        </w:rPr>
        <w:t xml:space="preserve"> وكان ملتفتاً إلى أنّ حرمة تضييعه تفوق حرمة تضييع سائر الأموال</w:t>
      </w:r>
      <w:r w:rsidRPr="007F5B58">
        <w:rPr>
          <w:rtl/>
        </w:rPr>
        <w:t>،</w:t>
      </w:r>
      <w:r>
        <w:rPr>
          <w:rtl/>
        </w:rPr>
        <w:t xml:space="preserve"> وأنّ لزوم دفعه للزوجة تكليف ثابت على عهدته من دون أن يكون لذلك ربطٌ أصلاً بإيقاع الفرقة والطلاق بينهما</w:t>
      </w:r>
      <w:r w:rsidRPr="007F5B58">
        <w:rPr>
          <w:rtl/>
        </w:rPr>
        <w:t>،</w:t>
      </w:r>
      <w:r>
        <w:rPr>
          <w:rtl/>
        </w:rPr>
        <w:t xml:space="preserve"> فمن المسلّم أنّه سيفكّر مراراً وتكراراً قبل أن يخطو خطوةً واحدةً نحو الموافقة عليه.</w:t>
      </w:r>
    </w:p>
    <w:p w:rsidR="00AC628B" w:rsidRDefault="00AC628B" w:rsidP="00AC628B">
      <w:pPr>
        <w:pStyle w:val="ac"/>
        <w:rPr>
          <w:rtl/>
        </w:rPr>
      </w:pPr>
      <w:r>
        <w:rPr>
          <w:rtl/>
        </w:rPr>
        <w:t>وعلى هذا الأساس فإنّ إصلاح النظرة التي يحملها كلّ من الزوجين تجاه المهر</w:t>
      </w:r>
      <w:r w:rsidRPr="007F5B58">
        <w:rPr>
          <w:rtl/>
        </w:rPr>
        <w:t>،</w:t>
      </w:r>
      <w:r>
        <w:rPr>
          <w:rtl/>
        </w:rPr>
        <w:t xml:space="preserve"> </w:t>
      </w:r>
      <w:r>
        <w:rPr>
          <w:rtl/>
        </w:rPr>
        <w:lastRenderedPageBreak/>
        <w:t>وبيان ماهيّته</w:t>
      </w:r>
      <w:r w:rsidRPr="007F5B58">
        <w:rPr>
          <w:rtl/>
        </w:rPr>
        <w:t>،</w:t>
      </w:r>
      <w:r>
        <w:rPr>
          <w:rtl/>
        </w:rPr>
        <w:t xml:space="preserve"> وما يلزم فيه لجهة ضمانته الحقوقيّة والإجرائيّة</w:t>
      </w:r>
      <w:r w:rsidRPr="007F5B58">
        <w:rPr>
          <w:rtl/>
        </w:rPr>
        <w:t>،</w:t>
      </w:r>
      <w:r>
        <w:rPr>
          <w:rtl/>
        </w:rPr>
        <w:t xml:space="preserve"> يلعب دوراً كبيراً في الحؤول دون اتّفاقهما على تسمية مهرٍ خياليّ.</w:t>
      </w:r>
    </w:p>
    <w:p w:rsidR="00AC628B" w:rsidRPr="007F7201" w:rsidRDefault="00AC628B" w:rsidP="007F7201">
      <w:pPr>
        <w:pStyle w:val="afffffc"/>
        <w:rPr>
          <w:sz w:val="20"/>
          <w:szCs w:val="18"/>
          <w:rtl/>
        </w:rPr>
      </w:pPr>
    </w:p>
    <w:p w:rsidR="00AC628B" w:rsidRPr="00654FD6" w:rsidRDefault="00AC628B" w:rsidP="007F7201">
      <w:pPr>
        <w:pStyle w:val="3"/>
        <w:rPr>
          <w:rtl/>
        </w:rPr>
      </w:pPr>
      <w:bookmarkStart w:id="407" w:name="_Toc275128123"/>
      <w:r w:rsidRPr="00654FD6">
        <w:rPr>
          <w:rtl/>
        </w:rPr>
        <w:t xml:space="preserve">2ـ </w:t>
      </w:r>
      <w:r w:rsidR="007B653E">
        <w:rPr>
          <w:rFonts w:hint="cs"/>
          <w:rtl/>
        </w:rPr>
        <w:t xml:space="preserve">د ـ </w:t>
      </w:r>
      <w:r w:rsidRPr="00654FD6">
        <w:rPr>
          <w:rtl/>
        </w:rPr>
        <w:t>تأمين وحم</w:t>
      </w:r>
      <w:r>
        <w:rPr>
          <w:rtl/>
        </w:rPr>
        <w:t>اية مستقبل الزوجة</w:t>
      </w:r>
      <w:bookmarkEnd w:id="407"/>
    </w:p>
    <w:p w:rsidR="00AC628B" w:rsidRDefault="00AC628B" w:rsidP="00AC628B">
      <w:pPr>
        <w:pStyle w:val="ac"/>
        <w:rPr>
          <w:rtl/>
        </w:rPr>
      </w:pPr>
      <w:r>
        <w:rPr>
          <w:rtl/>
        </w:rPr>
        <w:t>ومن العوامل التي تحضّ الزوجين على الاتّفاق على تسمية مهر مرتفع أو خياليّ شعور الزوجة بعدم الاطمئنان تجاه مستقبلها</w:t>
      </w:r>
      <w:r w:rsidRPr="007F5B58">
        <w:rPr>
          <w:rtl/>
        </w:rPr>
        <w:t>،</w:t>
      </w:r>
      <w:r>
        <w:rPr>
          <w:rtl/>
        </w:rPr>
        <w:t xml:space="preserve"> فتتّجه نحو المطالبة بمهر غالٍ ومرتفع</w:t>
      </w:r>
      <w:r w:rsidRPr="007F5B58">
        <w:rPr>
          <w:rtl/>
        </w:rPr>
        <w:t>،</w:t>
      </w:r>
      <w:r>
        <w:rPr>
          <w:rtl/>
        </w:rPr>
        <w:t xml:space="preserve"> ظنّاً منها بأنّ ارتفاع المهر يصونها ويحفظها من عوارض هذا النقصان الذي يولّده لديها هذا الشعور بعدم الاطمئنان.</w:t>
      </w:r>
    </w:p>
    <w:p w:rsidR="00AC628B" w:rsidRDefault="00AC628B" w:rsidP="00AC628B">
      <w:pPr>
        <w:pStyle w:val="ac"/>
        <w:rPr>
          <w:rtl/>
        </w:rPr>
      </w:pPr>
      <w:r>
        <w:rPr>
          <w:rtl/>
        </w:rPr>
        <w:t>والحلّ الذي نراه نافعاً لحلّ هذه المشكلة هو أن تفهم الزوجة أنّ مستقبلها ليس رهناً بوجود مهرٍ مرتفع أو خياليّ</w:t>
      </w:r>
      <w:r w:rsidRPr="007F5B58">
        <w:rPr>
          <w:rtl/>
        </w:rPr>
        <w:t>،</w:t>
      </w:r>
      <w:r>
        <w:rPr>
          <w:rtl/>
        </w:rPr>
        <w:t xml:space="preserve"> بل لكي تضمن مستقبلها عليها أن تتّكئ على قدراتها وطاقاتها النفسيّة والجسديّة</w:t>
      </w:r>
      <w:r w:rsidRPr="007F5B58">
        <w:rPr>
          <w:rtl/>
        </w:rPr>
        <w:t>،</w:t>
      </w:r>
      <w:r>
        <w:rPr>
          <w:rtl/>
        </w:rPr>
        <w:t xml:space="preserve"> وعلى التعزيز منهما والرفع من مستواهما</w:t>
      </w:r>
      <w:r w:rsidRPr="007F5B58">
        <w:rPr>
          <w:rtl/>
        </w:rPr>
        <w:t>،</w:t>
      </w:r>
      <w:r>
        <w:rPr>
          <w:rtl/>
        </w:rPr>
        <w:t xml:space="preserve"> ومن هنا</w:t>
      </w:r>
      <w:r w:rsidRPr="007F5B58">
        <w:rPr>
          <w:rtl/>
        </w:rPr>
        <w:t>،</w:t>
      </w:r>
      <w:r>
        <w:rPr>
          <w:rtl/>
        </w:rPr>
        <w:t xml:space="preserve"> وبالرغم من تأكيد الآية 127 من سورة النساء على كراهية وقوع الطلاق والفرقة بين الزوجين</w:t>
      </w:r>
      <w:r w:rsidRPr="007F5B58">
        <w:rPr>
          <w:rtl/>
        </w:rPr>
        <w:t>،</w:t>
      </w:r>
      <w:r>
        <w:rPr>
          <w:rtl/>
        </w:rPr>
        <w:t xml:space="preserve"> يقول الله تبارك وتعالى في الآية 130 من نفس السورة</w:t>
      </w:r>
      <w:r w:rsidRPr="007F5B58">
        <w:rPr>
          <w:rtl/>
        </w:rPr>
        <w:t>:</w:t>
      </w:r>
      <w:r w:rsidRPr="00783B17">
        <w:rPr>
          <w:b/>
          <w:bCs/>
          <w:rtl/>
        </w:rPr>
        <w:t xml:space="preserve"> </w:t>
      </w:r>
      <w:r w:rsidRPr="00D66643">
        <w:rPr>
          <w:rFonts w:cs="Taher"/>
          <w:b/>
          <w:bCs/>
          <w:rtl/>
        </w:rPr>
        <w:t>{</w:t>
      </w:r>
      <w:r w:rsidRPr="006D355B">
        <w:rPr>
          <w:b/>
          <w:bCs/>
          <w:rtl/>
        </w:rPr>
        <w:t>وَإِن يَتَفَرَّقَا يُغْنِ اللّهُ كُلاًّ مِّن سَعَتِهِ وَكَانَ اللّهُ وَاسِعاً حَكِيماً</w:t>
      </w:r>
      <w:r w:rsidRPr="00D66643">
        <w:rPr>
          <w:rFonts w:cs="Taher"/>
          <w:b/>
          <w:bCs/>
          <w:rtl/>
        </w:rPr>
        <w:t>}</w:t>
      </w:r>
      <w:r>
        <w:rPr>
          <w:rtl/>
        </w:rPr>
        <w:t>. وقد ذكر المفسّرون في تفسيرها أنّ المراد وإن يتفرّق الرجل والمرأة بطلاقٍ يُغ</w:t>
      </w:r>
      <w:r>
        <w:rPr>
          <w:rFonts w:hint="cs"/>
          <w:rtl/>
        </w:rPr>
        <w:t>ْ</w:t>
      </w:r>
      <w:r>
        <w:rPr>
          <w:rtl/>
        </w:rPr>
        <w:t>ن</w:t>
      </w:r>
      <w:r>
        <w:rPr>
          <w:rFonts w:hint="cs"/>
          <w:rtl/>
        </w:rPr>
        <w:t>ِ</w:t>
      </w:r>
      <w:r>
        <w:rPr>
          <w:rtl/>
        </w:rPr>
        <w:t xml:space="preserve"> الله كلاًّ منهما بسعته</w:t>
      </w:r>
      <w:r w:rsidRPr="007F5B58">
        <w:rPr>
          <w:rtl/>
        </w:rPr>
        <w:t>،</w:t>
      </w:r>
      <w:r>
        <w:rPr>
          <w:rtl/>
        </w:rPr>
        <w:t xml:space="preserve"> والمراد من الإغناء ـ بقرينة المقام ـ إغناء كلٍّ منهما في جميع ما يتعلّق بالزواج</w:t>
      </w:r>
      <w:r w:rsidRPr="007F5B58">
        <w:rPr>
          <w:rtl/>
        </w:rPr>
        <w:t>،</w:t>
      </w:r>
      <w:r>
        <w:rPr>
          <w:rtl/>
        </w:rPr>
        <w:t xml:space="preserve"> فيهيّئ للزوج من فضله زوجةً تكون بالنسبة إليه أفضل من زوجته السابقة</w:t>
      </w:r>
      <w:r w:rsidRPr="007F5B58">
        <w:rPr>
          <w:rtl/>
        </w:rPr>
        <w:t>،</w:t>
      </w:r>
      <w:r>
        <w:rPr>
          <w:rtl/>
        </w:rPr>
        <w:t xml:space="preserve"> وللزوجة زوجاً يكون بالنسبة إليها أفضل من زوجها السابق</w:t>
      </w:r>
      <w:r w:rsidRPr="00815C4C">
        <w:rPr>
          <w:rFonts w:cs="Taher"/>
          <w:vertAlign w:val="superscript"/>
          <w:rtl/>
        </w:rPr>
        <w:t>(</w:t>
      </w:r>
      <w:r w:rsidRPr="00815C4C">
        <w:rPr>
          <w:rFonts w:cs="Taher"/>
          <w:vertAlign w:val="superscript"/>
          <w:rtl/>
        </w:rPr>
        <w:footnoteReference w:id="798"/>
      </w:r>
      <w:r w:rsidRPr="00815C4C">
        <w:rPr>
          <w:rFonts w:cs="Taher"/>
          <w:vertAlign w:val="superscript"/>
          <w:rtl/>
        </w:rPr>
        <w:t>)</w:t>
      </w:r>
      <w:r>
        <w:rPr>
          <w:rtl/>
        </w:rPr>
        <w:t>. ونقول هنا</w:t>
      </w:r>
      <w:r w:rsidRPr="007F5B58">
        <w:rPr>
          <w:rtl/>
        </w:rPr>
        <w:t>:</w:t>
      </w:r>
      <w:r>
        <w:rPr>
          <w:rtl/>
        </w:rPr>
        <w:t xml:space="preserve"> إنّ حمل الآية على إغناء الزوج بزوجة أفضل</w:t>
      </w:r>
      <w:r w:rsidRPr="007F5B58">
        <w:rPr>
          <w:rtl/>
        </w:rPr>
        <w:t>،</w:t>
      </w:r>
      <w:r>
        <w:rPr>
          <w:rtl/>
        </w:rPr>
        <w:t xml:space="preserve"> أو الزوجة بزوج أفضل</w:t>
      </w:r>
      <w:r w:rsidRPr="007F5B58">
        <w:rPr>
          <w:rtl/>
        </w:rPr>
        <w:t>،</w:t>
      </w:r>
      <w:r>
        <w:rPr>
          <w:rtl/>
        </w:rPr>
        <w:t xml:space="preserve"> وإن كان هو الذي تقتضيه قرائن المقام</w:t>
      </w:r>
      <w:r w:rsidRPr="007F5B58">
        <w:rPr>
          <w:rtl/>
        </w:rPr>
        <w:t>،</w:t>
      </w:r>
      <w:r>
        <w:rPr>
          <w:rtl/>
        </w:rPr>
        <w:t xml:space="preserve"> إلاّ أنّه لا ينحصر بذلك</w:t>
      </w:r>
      <w:r w:rsidRPr="007F5B58">
        <w:rPr>
          <w:rtl/>
        </w:rPr>
        <w:t>،</w:t>
      </w:r>
      <w:r>
        <w:rPr>
          <w:rtl/>
        </w:rPr>
        <w:t xml:space="preserve"> بل الآية الشريفة واردة في معرض تسلية كلٍّ من الزوجين</w:t>
      </w:r>
      <w:r w:rsidRPr="007F5B58">
        <w:rPr>
          <w:rtl/>
        </w:rPr>
        <w:t>،</w:t>
      </w:r>
      <w:r>
        <w:rPr>
          <w:rtl/>
        </w:rPr>
        <w:t xml:space="preserve"> وحثّهما على التوجّه إلى الله عزّ وجلّ</w:t>
      </w:r>
      <w:r w:rsidRPr="007F5B58">
        <w:rPr>
          <w:rtl/>
        </w:rPr>
        <w:t>،</w:t>
      </w:r>
      <w:r>
        <w:rPr>
          <w:rtl/>
        </w:rPr>
        <w:t xml:space="preserve"> لئلاّ يتطرّق اليأس إلى نفسيهما</w:t>
      </w:r>
      <w:r w:rsidRPr="007F5B58">
        <w:rPr>
          <w:rtl/>
        </w:rPr>
        <w:t>،</w:t>
      </w:r>
      <w:r>
        <w:rPr>
          <w:rtl/>
        </w:rPr>
        <w:t xml:space="preserve"> فيتصوّر أحدهما أنّه بفراقه للآخر وانفصاله عنه تـنقطع عنه النعم والخيرات</w:t>
      </w:r>
      <w:r w:rsidRPr="007F5B58">
        <w:rPr>
          <w:rtl/>
        </w:rPr>
        <w:t>،</w:t>
      </w:r>
      <w:r>
        <w:rPr>
          <w:rtl/>
        </w:rPr>
        <w:t xml:space="preserve"> بل إنّ الله تبارك وتعالى يحمي كلاًّ منهما</w:t>
      </w:r>
      <w:r w:rsidRPr="007F5B58">
        <w:rPr>
          <w:rtl/>
        </w:rPr>
        <w:t>،</w:t>
      </w:r>
      <w:r>
        <w:rPr>
          <w:rtl/>
        </w:rPr>
        <w:t xml:space="preserve"> ويغنيه من فضله</w:t>
      </w:r>
      <w:r w:rsidRPr="007F5B58">
        <w:rPr>
          <w:rtl/>
        </w:rPr>
        <w:t>،</w:t>
      </w:r>
      <w:r>
        <w:rPr>
          <w:rtl/>
        </w:rPr>
        <w:t xml:space="preserve"> ويمدّ </w:t>
      </w:r>
      <w:r>
        <w:rPr>
          <w:rtl/>
        </w:rPr>
        <w:lastRenderedPageBreak/>
        <w:t>إليه يد العون والمدد على جميع النواحي والصعد. ومن هنا قال بعضهم</w:t>
      </w:r>
      <w:r w:rsidRPr="007F5B58">
        <w:rPr>
          <w:rtl/>
        </w:rPr>
        <w:t>:</w:t>
      </w:r>
      <w:r>
        <w:rPr>
          <w:rtl/>
        </w:rPr>
        <w:t xml:space="preserve"> </w:t>
      </w:r>
      <w:r w:rsidRPr="00A17314">
        <w:rPr>
          <w:rtl/>
        </w:rPr>
        <w:t>«وفي الآية دليل على أنّ الأرزاق كلّها بيد الله</w:t>
      </w:r>
      <w:r w:rsidRPr="007F5B58">
        <w:rPr>
          <w:rtl/>
        </w:rPr>
        <w:t>،</w:t>
      </w:r>
      <w:r w:rsidRPr="00A17314">
        <w:rPr>
          <w:rtl/>
        </w:rPr>
        <w:t xml:space="preserve"> وهو الذي يتولاّها لعباده</w:t>
      </w:r>
      <w:r w:rsidRPr="007F5B58">
        <w:rPr>
          <w:rtl/>
        </w:rPr>
        <w:t>،</w:t>
      </w:r>
      <w:r w:rsidRPr="00A17314">
        <w:rPr>
          <w:rtl/>
        </w:rPr>
        <w:t xml:space="preserve"> وإن كان ربما أجراها على يدَي من يشاء من عباده»</w:t>
      </w:r>
      <w:r>
        <w:rPr>
          <w:rtl/>
        </w:rPr>
        <w:t>.</w:t>
      </w:r>
    </w:p>
    <w:p w:rsidR="00AC628B" w:rsidRDefault="00AC628B" w:rsidP="007F7201">
      <w:pPr>
        <w:pStyle w:val="ac"/>
        <w:rPr>
          <w:rtl/>
        </w:rPr>
      </w:pPr>
      <w:r>
        <w:rPr>
          <w:rtl/>
        </w:rPr>
        <w:t>والحاصل أنّ الطلاق</w:t>
      </w:r>
      <w:r w:rsidRPr="007F5B58">
        <w:rPr>
          <w:rtl/>
        </w:rPr>
        <w:t>،</w:t>
      </w:r>
      <w:r>
        <w:rPr>
          <w:rtl/>
        </w:rPr>
        <w:t xml:space="preserve"> وإن كان أمراً مبغوضاً ومكروهاً</w:t>
      </w:r>
      <w:r w:rsidRPr="007F5B58">
        <w:rPr>
          <w:rtl/>
        </w:rPr>
        <w:t>،</w:t>
      </w:r>
      <w:r>
        <w:rPr>
          <w:rtl/>
        </w:rPr>
        <w:t xml:space="preserve"> إلاّ أنّه لو اتّفق حصوله لشخصين فعليهما بالالتفات إلى أنّ فضل الله تعالى يتّسع لهما ويشملهما ويغنيهما</w:t>
      </w:r>
      <w:r w:rsidRPr="007F5B58">
        <w:rPr>
          <w:rtl/>
        </w:rPr>
        <w:t>،</w:t>
      </w:r>
      <w:r>
        <w:rPr>
          <w:rtl/>
        </w:rPr>
        <w:t xml:space="preserve"> وبهذا يكون القرآن الكريم قد طمأن الزوجة ـ روحيّاً ـ إلى مستقبلها</w:t>
      </w:r>
      <w:r w:rsidRPr="007F5B58">
        <w:rPr>
          <w:rtl/>
        </w:rPr>
        <w:t>،</w:t>
      </w:r>
      <w:r>
        <w:rPr>
          <w:rtl/>
        </w:rPr>
        <w:t xml:space="preserve"> وهذا إن دلّ على شيءٍ فإنّما يدلّ على أنّ اتّكال النساء على المهر المرتفع يجب أن يتبدّل ليصبح اعتماداً واتّكالاً على فضل الله</w:t>
      </w:r>
      <w:r w:rsidRPr="007F5B58">
        <w:rPr>
          <w:rtl/>
        </w:rPr>
        <w:t>،</w:t>
      </w:r>
      <w:r>
        <w:rPr>
          <w:rtl/>
        </w:rPr>
        <w:t xml:space="preserve"> وهذا ما يتطلّب عملاً ونشاطاً على الصعيد الثقافيّ</w:t>
      </w:r>
      <w:r w:rsidRPr="007F5B58">
        <w:rPr>
          <w:rtl/>
        </w:rPr>
        <w:t>،</w:t>
      </w:r>
      <w:r>
        <w:rPr>
          <w:rtl/>
        </w:rPr>
        <w:t xml:space="preserve"> ولا يمكن إنجازه عبر مجرّد إلقاء الأوامر وسنّ القوانين.</w:t>
      </w:r>
    </w:p>
    <w:p w:rsidR="00AC628B" w:rsidRDefault="00AC628B" w:rsidP="007F7201">
      <w:pPr>
        <w:pStyle w:val="ac"/>
        <w:spacing w:line="209" w:lineRule="auto"/>
        <w:rPr>
          <w:rtl/>
        </w:rPr>
      </w:pPr>
      <w:r>
        <w:rPr>
          <w:rtl/>
        </w:rPr>
        <w:t>والوسيلة الأُخرى التي يمكن اللّجوء إليها لتحويل اعتماد الزوجة على المهر إلى اعتمادٍ على فضل الله تعالى هي نزولها إلى ساحة العمل</w:t>
      </w:r>
      <w:r w:rsidRPr="007F5B58">
        <w:rPr>
          <w:rtl/>
        </w:rPr>
        <w:t>؛</w:t>
      </w:r>
      <w:r>
        <w:rPr>
          <w:rtl/>
        </w:rPr>
        <w:t xml:space="preserve"> فالعمل في الإسلام أمرٌ قيّمٌ ومندوبٌ إليه في حدّ نفسه</w:t>
      </w:r>
      <w:r w:rsidRPr="007F5B58">
        <w:rPr>
          <w:rtl/>
        </w:rPr>
        <w:t>،</w:t>
      </w:r>
      <w:r>
        <w:rPr>
          <w:rtl/>
        </w:rPr>
        <w:t xml:space="preserve"> ولا يتوقّف رجحانه على الفقر والحاجة</w:t>
      </w:r>
      <w:r w:rsidRPr="007F5B58">
        <w:rPr>
          <w:rtl/>
        </w:rPr>
        <w:t>،</w:t>
      </w:r>
      <w:r>
        <w:rPr>
          <w:rtl/>
        </w:rPr>
        <w:t xml:space="preserve"> وإن هناك أعمالاً تتـناسب مع شأن المرأة وطبيعة حياتها</w:t>
      </w:r>
      <w:r w:rsidRPr="007F5B58">
        <w:rPr>
          <w:rtl/>
        </w:rPr>
        <w:t>،</w:t>
      </w:r>
      <w:r>
        <w:rPr>
          <w:rtl/>
        </w:rPr>
        <w:t xml:space="preserve"> كالنساجة والحياكة ونحو ذلك</w:t>
      </w:r>
      <w:r w:rsidRPr="007F5B58">
        <w:rPr>
          <w:rtl/>
        </w:rPr>
        <w:t>،</w:t>
      </w:r>
      <w:r>
        <w:rPr>
          <w:rtl/>
        </w:rPr>
        <w:t xml:space="preserve"> فيمكن للمرأة أن تعتمد على هذه الأعمال والوظائف في تعزيز رشدها ودورها وثقتها بنفسها</w:t>
      </w:r>
      <w:r w:rsidRPr="00815C4C">
        <w:rPr>
          <w:rFonts w:cs="Taher"/>
          <w:vertAlign w:val="superscript"/>
          <w:rtl/>
        </w:rPr>
        <w:t>(</w:t>
      </w:r>
      <w:r w:rsidRPr="00815C4C">
        <w:rPr>
          <w:rFonts w:cs="Taher"/>
          <w:vertAlign w:val="superscript"/>
          <w:rtl/>
        </w:rPr>
        <w:footnoteReference w:id="799"/>
      </w:r>
      <w:r w:rsidRPr="00815C4C">
        <w:rPr>
          <w:rFonts w:cs="Taher"/>
          <w:vertAlign w:val="superscript"/>
          <w:rtl/>
        </w:rPr>
        <w:t>)</w:t>
      </w:r>
      <w:r w:rsidRPr="007F5B58">
        <w:rPr>
          <w:rtl/>
        </w:rPr>
        <w:t>،</w:t>
      </w:r>
      <w:r>
        <w:rPr>
          <w:rtl/>
        </w:rPr>
        <w:t xml:space="preserve"> وإن لم تكن الزوجة محتاجةً إلى البدل الماليّ</w:t>
      </w:r>
      <w:r w:rsidRPr="007F5B58">
        <w:rPr>
          <w:rtl/>
        </w:rPr>
        <w:t>؛</w:t>
      </w:r>
      <w:r>
        <w:rPr>
          <w:rtl/>
        </w:rPr>
        <w:t xml:space="preserve"> باعتبار أنّ الزوج هو من يتوجّب عليه أن ينفق عليها ويؤمّن لها احتياجاتها. وعليه فليس المراد من عمل الزوجة جعلها أجيرةً للآخرين</w:t>
      </w:r>
      <w:r w:rsidRPr="007F5B58">
        <w:rPr>
          <w:rtl/>
        </w:rPr>
        <w:t>،</w:t>
      </w:r>
      <w:r>
        <w:rPr>
          <w:rtl/>
        </w:rPr>
        <w:t xml:space="preserve"> أو أسيرةً للمعامل الاقتصاديّة أو الإداريّة</w:t>
      </w:r>
      <w:r w:rsidRPr="007F5B58">
        <w:rPr>
          <w:rtl/>
        </w:rPr>
        <w:t>،</w:t>
      </w:r>
      <w:r>
        <w:rPr>
          <w:rtl/>
        </w:rPr>
        <w:t xml:space="preserve"> بل باستطاعتها أن تحفظ استقلالها وشخصيّتها بأن تقوم بأعمالٍ تضمن لها أجراً وبدلاً ماليّاً لقاء جهدها وتعبها</w:t>
      </w:r>
      <w:r w:rsidRPr="007F5B58">
        <w:rPr>
          <w:rtl/>
        </w:rPr>
        <w:t>،</w:t>
      </w:r>
      <w:r>
        <w:rPr>
          <w:rtl/>
        </w:rPr>
        <w:t xml:space="preserve"> وتجعلها في أمانٍ من الضغوطات النفسيّة أو الجسديّة التي يمكن أن تـنجم عن العمل. ونشير على سبيل المثال إلى بعض الأعمال الإنتاجيّة</w:t>
      </w:r>
      <w:r w:rsidRPr="007F5B58">
        <w:rPr>
          <w:rtl/>
        </w:rPr>
        <w:t>،</w:t>
      </w:r>
      <w:r>
        <w:rPr>
          <w:rtl/>
        </w:rPr>
        <w:t xml:space="preserve"> كالنساجة</w:t>
      </w:r>
      <w:r w:rsidRPr="007F5B58">
        <w:rPr>
          <w:rtl/>
        </w:rPr>
        <w:t>،</w:t>
      </w:r>
      <w:r>
        <w:rPr>
          <w:rtl/>
        </w:rPr>
        <w:t xml:space="preserve"> والخياطة</w:t>
      </w:r>
      <w:r w:rsidRPr="007F5B58">
        <w:rPr>
          <w:rtl/>
        </w:rPr>
        <w:t>،</w:t>
      </w:r>
      <w:r>
        <w:rPr>
          <w:rtl/>
        </w:rPr>
        <w:t xml:space="preserve"> أو الأعمال اليدويّة</w:t>
      </w:r>
      <w:r w:rsidRPr="007F5B58">
        <w:rPr>
          <w:rtl/>
        </w:rPr>
        <w:t>،</w:t>
      </w:r>
      <w:r>
        <w:rPr>
          <w:rtl/>
        </w:rPr>
        <w:t xml:space="preserve"> التي يمكن ممارستها والقيام بها في محيط البيت والأسرة</w:t>
      </w:r>
      <w:r w:rsidRPr="007F5B58">
        <w:rPr>
          <w:rtl/>
        </w:rPr>
        <w:t>،</w:t>
      </w:r>
      <w:r>
        <w:rPr>
          <w:rtl/>
        </w:rPr>
        <w:t xml:space="preserve"> على أن تأخذ الدولة على عاتقها مسؤوليّة الترويج لمنتوجات هذه الوظائف وتأمين سوقٍ لها. فلو استطاعت </w:t>
      </w:r>
      <w:r>
        <w:rPr>
          <w:rtl/>
        </w:rPr>
        <w:lastRenderedPageBreak/>
        <w:t>المرأة أن ترفع من مستوى دخلها</w:t>
      </w:r>
      <w:r>
        <w:rPr>
          <w:rFonts w:hint="cs"/>
          <w:rtl/>
        </w:rPr>
        <w:t>،</w:t>
      </w:r>
      <w:r>
        <w:rPr>
          <w:rtl/>
        </w:rPr>
        <w:t xml:space="preserve"> من دون أن تُلحق بالأسرة وأجوائها أيّ ضررٍ</w:t>
      </w:r>
      <w:r>
        <w:rPr>
          <w:rFonts w:hint="cs"/>
          <w:rtl/>
        </w:rPr>
        <w:t>،</w:t>
      </w:r>
      <w:r>
        <w:rPr>
          <w:rtl/>
        </w:rPr>
        <w:t xml:space="preserve"> فإنّ هذا سيكون له منافع جليلة</w:t>
      </w:r>
      <w:r w:rsidRPr="007F5B58">
        <w:rPr>
          <w:rtl/>
        </w:rPr>
        <w:t>،</w:t>
      </w:r>
      <w:r>
        <w:rPr>
          <w:rtl/>
        </w:rPr>
        <w:t xml:space="preserve"> ومنها</w:t>
      </w:r>
      <w:r w:rsidRPr="007F5B58">
        <w:rPr>
          <w:rtl/>
        </w:rPr>
        <w:t>:</w:t>
      </w:r>
      <w:r>
        <w:rPr>
          <w:rtl/>
        </w:rPr>
        <w:t xml:space="preserve"> ارتفاع مستوى الثقة بالنفس لدى المرأة</w:t>
      </w:r>
      <w:r w:rsidRPr="007F5B58">
        <w:rPr>
          <w:rtl/>
        </w:rPr>
        <w:t>،</w:t>
      </w:r>
      <w:r>
        <w:rPr>
          <w:rtl/>
        </w:rPr>
        <w:t xml:space="preserve"> الذي ينعكس عليها ـ لا محالة ـ إحساساً بالاطمئنان والراحة تجاه مستقبل أيّامها</w:t>
      </w:r>
      <w:r w:rsidRPr="007F5B58">
        <w:rPr>
          <w:rtl/>
        </w:rPr>
        <w:t>،</w:t>
      </w:r>
      <w:r>
        <w:rPr>
          <w:rtl/>
        </w:rPr>
        <w:t xml:space="preserve"> بل ربما أدّى عملها أيضاً</w:t>
      </w:r>
      <w:r>
        <w:rPr>
          <w:rFonts w:hint="cs"/>
          <w:rtl/>
        </w:rPr>
        <w:t xml:space="preserve"> ـ</w:t>
      </w:r>
      <w:r>
        <w:rPr>
          <w:rtl/>
        </w:rPr>
        <w:t xml:space="preserve"> مع توفّر الشرط المذكور</w:t>
      </w:r>
      <w:r>
        <w:rPr>
          <w:rFonts w:hint="cs"/>
          <w:rtl/>
        </w:rPr>
        <w:t xml:space="preserve"> </w:t>
      </w:r>
      <w:r>
        <w:rPr>
          <w:rtl/>
        </w:rPr>
        <w:t>ـ إلى التقليل من نسبة وقوع الطلاق إلى حدٍّ كبير</w:t>
      </w:r>
      <w:r w:rsidRPr="007F5B58">
        <w:rPr>
          <w:rtl/>
        </w:rPr>
        <w:t>؛</w:t>
      </w:r>
      <w:r>
        <w:rPr>
          <w:rtl/>
        </w:rPr>
        <w:t xml:space="preserve"> وذلك لأنّ للطلاق عاملين أساسيّين</w:t>
      </w:r>
      <w:r w:rsidRPr="007F5B58">
        <w:rPr>
          <w:rtl/>
        </w:rPr>
        <w:t>:</w:t>
      </w:r>
      <w:r>
        <w:rPr>
          <w:rtl/>
        </w:rPr>
        <w:t xml:space="preserve"> </w:t>
      </w:r>
      <w:r w:rsidRPr="00A17314">
        <w:rPr>
          <w:b/>
          <w:bCs/>
          <w:rtl/>
        </w:rPr>
        <w:t>أحدهما</w:t>
      </w:r>
      <w:r w:rsidRPr="007F5B58">
        <w:rPr>
          <w:rtl/>
        </w:rPr>
        <w:t>:</w:t>
      </w:r>
      <w:r>
        <w:rPr>
          <w:rtl/>
        </w:rPr>
        <w:t xml:space="preserve"> الفراغ</w:t>
      </w:r>
      <w:r w:rsidRPr="007F5B58">
        <w:rPr>
          <w:rtl/>
        </w:rPr>
        <w:t>،</w:t>
      </w:r>
      <w:r>
        <w:rPr>
          <w:rtl/>
        </w:rPr>
        <w:t xml:space="preserve"> والبطالة</w:t>
      </w:r>
      <w:r w:rsidRPr="007F5B58">
        <w:rPr>
          <w:rtl/>
        </w:rPr>
        <w:t>،</w:t>
      </w:r>
      <w:r>
        <w:rPr>
          <w:rtl/>
        </w:rPr>
        <w:t xml:space="preserve"> وعدم وجود ما يشغل اهتمام المرأة في ضمن الأسرة</w:t>
      </w:r>
      <w:r w:rsidRPr="007F5B58">
        <w:rPr>
          <w:rtl/>
        </w:rPr>
        <w:t>؛</w:t>
      </w:r>
      <w:r>
        <w:rPr>
          <w:rtl/>
        </w:rPr>
        <w:t xml:space="preserve"> </w:t>
      </w:r>
      <w:r w:rsidRPr="00A17314">
        <w:rPr>
          <w:b/>
          <w:bCs/>
          <w:rtl/>
        </w:rPr>
        <w:t>والآخر</w:t>
      </w:r>
      <w:r w:rsidRPr="007F5B58">
        <w:rPr>
          <w:rtl/>
        </w:rPr>
        <w:t>:</w:t>
      </w:r>
      <w:r>
        <w:rPr>
          <w:rtl/>
        </w:rPr>
        <w:t xml:space="preserve"> انشغالها طيلة الوقت بأعمالٍ تمارسها بعيداً عن أجواء الأسرة. وأمّا لو استطاعت أن تؤمّن لنفسها عملاً يعود عليها بالدخل والبدل الماليّ</w:t>
      </w:r>
      <w:r w:rsidRPr="007F5B58">
        <w:rPr>
          <w:rtl/>
        </w:rPr>
        <w:t>،</w:t>
      </w:r>
      <w:r>
        <w:rPr>
          <w:rtl/>
        </w:rPr>
        <w:t xml:space="preserve"> ولا يُبعدها عن محيطها الأسريّ</w:t>
      </w:r>
      <w:r w:rsidRPr="007F5B58">
        <w:rPr>
          <w:rtl/>
        </w:rPr>
        <w:t>،</w:t>
      </w:r>
      <w:r>
        <w:rPr>
          <w:rtl/>
        </w:rPr>
        <w:t xml:space="preserve"> فإنّها بذلك تتخلّص من الآثار السلبيّة والهدّامة التي تعشعش في زوايا الفراغ والبطالة</w:t>
      </w:r>
      <w:r w:rsidRPr="007F5B58">
        <w:rPr>
          <w:rtl/>
        </w:rPr>
        <w:t>،</w:t>
      </w:r>
      <w:r>
        <w:rPr>
          <w:rtl/>
        </w:rPr>
        <w:t xml:space="preserve"> وتضمن لنفسها أن لا تقع تحت تأثير الضغوط الناشئة عن العمل</w:t>
      </w:r>
      <w:r w:rsidRPr="007F5B58">
        <w:rPr>
          <w:rtl/>
        </w:rPr>
        <w:t>؛</w:t>
      </w:r>
      <w:r>
        <w:rPr>
          <w:rtl/>
        </w:rPr>
        <w:t xml:space="preserve"> لأنّ المرأة في مثل هذه الوظائف تكون سيّدة نفسها</w:t>
      </w:r>
      <w:r w:rsidRPr="007F5B58">
        <w:rPr>
          <w:rtl/>
        </w:rPr>
        <w:t>،</w:t>
      </w:r>
      <w:r>
        <w:rPr>
          <w:rtl/>
        </w:rPr>
        <w:t xml:space="preserve"> ومستقلّةً في قرارها</w:t>
      </w:r>
      <w:r w:rsidRPr="007F5B58">
        <w:rPr>
          <w:rtl/>
        </w:rPr>
        <w:t>،</w:t>
      </w:r>
      <w:r>
        <w:rPr>
          <w:rtl/>
        </w:rPr>
        <w:t xml:space="preserve"> من دون أن يكون هناك من يُملي عليها</w:t>
      </w:r>
      <w:r w:rsidRPr="007F5B58">
        <w:rPr>
          <w:rtl/>
        </w:rPr>
        <w:t>،</w:t>
      </w:r>
      <w:r>
        <w:rPr>
          <w:rtl/>
        </w:rPr>
        <w:t xml:space="preserve"> أو يرغمها على مضاعفة جهودها. </w:t>
      </w:r>
    </w:p>
    <w:p w:rsidR="00AC628B" w:rsidRDefault="00AC628B" w:rsidP="00AC628B">
      <w:pPr>
        <w:pStyle w:val="ac"/>
        <w:rPr>
          <w:rtl/>
        </w:rPr>
      </w:pPr>
      <w:r>
        <w:rPr>
          <w:rtl/>
        </w:rPr>
        <w:t>والنتيجة أنّ اللاّزم لحلّ هذه المشكلة أن يُصار إلى العمل باتّجاه تقوية قدرات الزوجة ومؤهّلاتها الروحيّة والجسديّة</w:t>
      </w:r>
      <w:r w:rsidRPr="007F5B58">
        <w:rPr>
          <w:rtl/>
        </w:rPr>
        <w:t>؛</w:t>
      </w:r>
      <w:r>
        <w:rPr>
          <w:rtl/>
        </w:rPr>
        <w:t xml:space="preserve"> لما له من الأثر الكبير في تعزيز ثقتها بنفسها</w:t>
      </w:r>
      <w:r w:rsidRPr="007F5B58">
        <w:rPr>
          <w:rtl/>
        </w:rPr>
        <w:t>،</w:t>
      </w:r>
      <w:r>
        <w:rPr>
          <w:rtl/>
        </w:rPr>
        <w:t xml:space="preserve"> على أن يتمّ ربط ذلك في عقيدتها بفضل الله تعالى وسعته.</w:t>
      </w:r>
    </w:p>
    <w:p w:rsidR="00AC628B" w:rsidRDefault="00AC628B" w:rsidP="007F7201">
      <w:pPr>
        <w:pStyle w:val="afffffc"/>
        <w:rPr>
          <w:rtl/>
        </w:rPr>
      </w:pPr>
    </w:p>
    <w:p w:rsidR="00AC628B" w:rsidRPr="00F82951" w:rsidRDefault="00AC628B" w:rsidP="007F7201">
      <w:pPr>
        <w:pStyle w:val="3"/>
        <w:rPr>
          <w:rtl/>
        </w:rPr>
      </w:pPr>
      <w:bookmarkStart w:id="408" w:name="_Toc275128124"/>
      <w:r>
        <w:rPr>
          <w:rtl/>
        </w:rPr>
        <w:t>3ـ</w:t>
      </w:r>
      <w:r w:rsidR="007B653E">
        <w:rPr>
          <w:rFonts w:hint="cs"/>
          <w:rtl/>
        </w:rPr>
        <w:t xml:space="preserve"> د ـ</w:t>
      </w:r>
      <w:r>
        <w:rPr>
          <w:rtl/>
        </w:rPr>
        <w:t xml:space="preserve"> إصلاح الأحكام القضائية</w:t>
      </w:r>
      <w:bookmarkEnd w:id="408"/>
    </w:p>
    <w:p w:rsidR="00AC628B" w:rsidRDefault="00AC628B" w:rsidP="00AC628B">
      <w:pPr>
        <w:pStyle w:val="ac"/>
        <w:rPr>
          <w:rtl/>
        </w:rPr>
      </w:pPr>
      <w:r>
        <w:rPr>
          <w:rtl/>
        </w:rPr>
        <w:t>ومن العوامل التي تُسهم في توجّه النساء ونزوعهنّ نحو المطالبة بمهرٍ مرتفع الأحكام القضائية الخ</w:t>
      </w:r>
      <w:r>
        <w:rPr>
          <w:rFonts w:hint="cs"/>
          <w:rtl/>
        </w:rPr>
        <w:t>ا</w:t>
      </w:r>
      <w:r>
        <w:rPr>
          <w:rtl/>
        </w:rPr>
        <w:t>طئة</w:t>
      </w:r>
      <w:r w:rsidRPr="007F5B58">
        <w:rPr>
          <w:rtl/>
        </w:rPr>
        <w:t>،</w:t>
      </w:r>
      <w:r>
        <w:rPr>
          <w:rtl/>
        </w:rPr>
        <w:t xml:space="preserve"> التي تستـند إلى حقّ الحبس</w:t>
      </w:r>
      <w:r>
        <w:rPr>
          <w:rFonts w:hint="cs"/>
          <w:rtl/>
        </w:rPr>
        <w:t>،</w:t>
      </w:r>
      <w:r>
        <w:rPr>
          <w:rtl/>
        </w:rPr>
        <w:t xml:space="preserve"> فتحكم بأنّ للزوجة الحقّ في الامتـناع عن ممارسة الحياة المشتركة مع زوجها إلى حين استلامها كامل مهرها</w:t>
      </w:r>
      <w:r w:rsidRPr="007F5B58">
        <w:rPr>
          <w:rtl/>
        </w:rPr>
        <w:t>،</w:t>
      </w:r>
      <w:r>
        <w:rPr>
          <w:rtl/>
        </w:rPr>
        <w:t xml:space="preserve"> مع العلم أنّه ـ وبالاتّفاق بين الطرفين ـ لا يثبت للزوجة حقّ الحبس في صورة كون المهر المسمّى مرتفعاً وخياليّاً</w:t>
      </w:r>
      <w:r w:rsidRPr="007F5B58">
        <w:rPr>
          <w:rtl/>
        </w:rPr>
        <w:t>؛</w:t>
      </w:r>
      <w:r>
        <w:rPr>
          <w:rtl/>
        </w:rPr>
        <w:t xml:space="preserve"> إذ بناءً على النظريّات الفقهيّة المعمول بها</w:t>
      </w:r>
      <w:r w:rsidRPr="007F5B58">
        <w:rPr>
          <w:rtl/>
        </w:rPr>
        <w:t>،</w:t>
      </w:r>
      <w:r>
        <w:rPr>
          <w:rtl/>
        </w:rPr>
        <w:t xml:space="preserve"> وكذلك المادّة رقم 1085 من القانون المدنيّ</w:t>
      </w:r>
      <w:r w:rsidRPr="007F5B58">
        <w:rPr>
          <w:rtl/>
        </w:rPr>
        <w:t>،</w:t>
      </w:r>
      <w:r>
        <w:rPr>
          <w:rtl/>
        </w:rPr>
        <w:t xml:space="preserve"> فإن حقّ الحبس يثبت للزوجة إذا كانت قد اشترطت في مهرها أن يُدفع إليها نقداً</w:t>
      </w:r>
      <w:r w:rsidRPr="007F5B58">
        <w:rPr>
          <w:rtl/>
        </w:rPr>
        <w:t>،</w:t>
      </w:r>
      <w:r>
        <w:rPr>
          <w:rtl/>
        </w:rPr>
        <w:t xml:space="preserve"> وأمّا لو كان مرتفعاً وخياليّاً فقد نصّت المادّة المذكورة على أنّ </w:t>
      </w:r>
      <w:r>
        <w:rPr>
          <w:rtl/>
        </w:rPr>
        <w:lastRenderedPageBreak/>
        <w:t>زمن دفع المهر يبدأ عند مطالبة الزوجة الزوج به</w:t>
      </w:r>
      <w:r w:rsidRPr="007F5B58">
        <w:rPr>
          <w:rtl/>
        </w:rPr>
        <w:t>،</w:t>
      </w:r>
      <w:r>
        <w:rPr>
          <w:rtl/>
        </w:rPr>
        <w:t xml:space="preserve"> فلو تحقّق هذا الشرط ـ أعني شرط الزمان ـ ولو في فترة قصيرة جدّاً</w:t>
      </w:r>
      <w:r w:rsidRPr="007F5B58">
        <w:rPr>
          <w:rtl/>
        </w:rPr>
        <w:t>،</w:t>
      </w:r>
      <w:r>
        <w:rPr>
          <w:rtl/>
        </w:rPr>
        <w:t xml:space="preserve"> ثمّ صار المهر على أثره حالاًّ</w:t>
      </w:r>
      <w:r w:rsidRPr="007F5B58">
        <w:rPr>
          <w:rtl/>
        </w:rPr>
        <w:t>،</w:t>
      </w:r>
      <w:r>
        <w:rPr>
          <w:rtl/>
        </w:rPr>
        <w:t xml:space="preserve"> فلن يثبت للزوجة الحقّ في الحبس. وقد فسّرت الرؤية القضائيّة عبارة «عند المطالبة» الواردة في متـن هذه المادّة بالنقد وزمان الحالّ. </w:t>
      </w:r>
    </w:p>
    <w:p w:rsidR="00AC628B" w:rsidRDefault="00AC628B" w:rsidP="007F7201">
      <w:pPr>
        <w:pStyle w:val="ac"/>
        <w:spacing w:line="209" w:lineRule="auto"/>
        <w:rPr>
          <w:rtl/>
        </w:rPr>
      </w:pPr>
      <w:r>
        <w:rPr>
          <w:rtl/>
        </w:rPr>
        <w:t>ولكن يجب الالتفات هنا إلى</w:t>
      </w:r>
      <w:r w:rsidRPr="007F5B58">
        <w:rPr>
          <w:rtl/>
        </w:rPr>
        <w:t>:</w:t>
      </w:r>
      <w:r>
        <w:rPr>
          <w:rtl/>
        </w:rPr>
        <w:t xml:space="preserve"> </w:t>
      </w:r>
    </w:p>
    <w:p w:rsidR="00AC628B" w:rsidRDefault="00AC628B" w:rsidP="007F7201">
      <w:pPr>
        <w:pStyle w:val="ac"/>
        <w:rPr>
          <w:rtl/>
        </w:rPr>
      </w:pPr>
      <w:r w:rsidRPr="001366E5">
        <w:rPr>
          <w:b/>
          <w:bCs/>
          <w:rtl/>
        </w:rPr>
        <w:t>أوّلاً</w:t>
      </w:r>
      <w:r w:rsidRPr="007F5B58">
        <w:rPr>
          <w:b/>
          <w:bCs/>
          <w:rtl/>
        </w:rPr>
        <w:t>:</w:t>
      </w:r>
      <w:r>
        <w:rPr>
          <w:rtl/>
        </w:rPr>
        <w:t xml:space="preserve"> إنّ المراد من اشتراط حلول المهر ونقديّته في ثبوت حقّ الحبس إنّما هو وقت وزمان وقوع عقد النكاح</w:t>
      </w:r>
      <w:r w:rsidRPr="007F5B58">
        <w:rPr>
          <w:rtl/>
        </w:rPr>
        <w:t>،</w:t>
      </w:r>
      <w:r>
        <w:rPr>
          <w:rtl/>
        </w:rPr>
        <w:t xml:space="preserve"> ولكن لو كان الزوج يضع نصب عينيه احتمال أن تبادر الزوجة إلى مطالبته بالمهر</w:t>
      </w:r>
      <w:r w:rsidRPr="007F5B58">
        <w:rPr>
          <w:rtl/>
        </w:rPr>
        <w:t>،</w:t>
      </w:r>
      <w:r>
        <w:rPr>
          <w:rtl/>
        </w:rPr>
        <w:t xml:space="preserve"> ولو بنسبة </w:t>
      </w:r>
      <w:r w:rsidRPr="00E12CEA">
        <w:rPr>
          <w:rtl/>
        </w:rPr>
        <w:t>1%</w:t>
      </w:r>
      <w:r>
        <w:rPr>
          <w:rtl/>
        </w:rPr>
        <w:t xml:space="preserve"> فقط</w:t>
      </w:r>
      <w:r w:rsidRPr="007F5B58">
        <w:rPr>
          <w:rtl/>
        </w:rPr>
        <w:t>،</w:t>
      </w:r>
      <w:r>
        <w:rPr>
          <w:rtl/>
        </w:rPr>
        <w:t xml:space="preserve"> لما أقدم على القبول بمهرٍ يعلم جيّداً أن لا قدرة له على دفعه. </w:t>
      </w:r>
    </w:p>
    <w:p w:rsidR="00AC628B" w:rsidRDefault="00AC628B" w:rsidP="007F7201">
      <w:pPr>
        <w:pStyle w:val="ac"/>
        <w:spacing w:line="209" w:lineRule="auto"/>
        <w:rPr>
          <w:rtl/>
        </w:rPr>
      </w:pPr>
      <w:r>
        <w:rPr>
          <w:rtl/>
        </w:rPr>
        <w:t>إنّ تفسير الهيئة القضائيّة لعبارة «عند المطالبة» بمعنى الحالّ</w:t>
      </w:r>
      <w:r w:rsidRPr="007F5B58">
        <w:rPr>
          <w:rtl/>
        </w:rPr>
        <w:t>،</w:t>
      </w:r>
      <w:r>
        <w:rPr>
          <w:rtl/>
        </w:rPr>
        <w:t xml:space="preserve"> لا المؤجّل</w:t>
      </w:r>
      <w:r w:rsidRPr="007F5B58">
        <w:rPr>
          <w:rtl/>
        </w:rPr>
        <w:t>،</w:t>
      </w:r>
      <w:r>
        <w:rPr>
          <w:rtl/>
        </w:rPr>
        <w:t xml:space="preserve"> بحيث يمكن للزوجة أن تبادر في الحال إلى المطالبة بمهرها مهما كان مرتفعاً</w:t>
      </w:r>
      <w:r w:rsidRPr="007F5B58">
        <w:rPr>
          <w:rtl/>
        </w:rPr>
        <w:t>،</w:t>
      </w:r>
      <w:r>
        <w:rPr>
          <w:rtl/>
        </w:rPr>
        <w:t xml:space="preserve"> ومن هذا المنطلق يُعطى لها الحقّ في الحبس بمجرّد المطالبة</w:t>
      </w:r>
      <w:r w:rsidRPr="007F5B58">
        <w:rPr>
          <w:rtl/>
        </w:rPr>
        <w:t>،</w:t>
      </w:r>
      <w:r>
        <w:rPr>
          <w:rtl/>
        </w:rPr>
        <w:t xml:space="preserve"> ولو في الحال</w:t>
      </w:r>
      <w:r w:rsidRPr="007F5B58">
        <w:rPr>
          <w:rtl/>
        </w:rPr>
        <w:t>،</w:t>
      </w:r>
      <w:r>
        <w:rPr>
          <w:rtl/>
        </w:rPr>
        <w:t xml:space="preserve"> هو تفسير لهذه العبارة بحسب معناها اللّغويّ</w:t>
      </w:r>
      <w:r w:rsidRPr="007F5B58">
        <w:rPr>
          <w:rtl/>
        </w:rPr>
        <w:t>،</w:t>
      </w:r>
      <w:r>
        <w:rPr>
          <w:rtl/>
        </w:rPr>
        <w:t xml:space="preserve"> مع أنّ المادّة رقم 224 من القانون المدنيّ تـنصّ على أنّ تفسير ألفاظ العقود ينبغي أن يكون على أساس معانيها العرفيّة. ولو أخذنا بعين الاعتبار المعنى العرفيّ لعبارة «عند المطالبة»</w:t>
      </w:r>
      <w:r w:rsidRPr="007F5B58">
        <w:rPr>
          <w:rtl/>
        </w:rPr>
        <w:t>؛</w:t>
      </w:r>
      <w:r>
        <w:rPr>
          <w:rtl/>
        </w:rPr>
        <w:t xml:space="preserve"> بالنظر إلى ما هو المقصود منها في مجلس وقوع العقد</w:t>
      </w:r>
      <w:r w:rsidRPr="007F5B58">
        <w:rPr>
          <w:rtl/>
        </w:rPr>
        <w:t>،</w:t>
      </w:r>
      <w:r>
        <w:rPr>
          <w:rtl/>
        </w:rPr>
        <w:t xml:space="preserve"> فمن المسلّم أنّ مراد العرف والطرفين منها ليس هو حال زمان وقوع العقد</w:t>
      </w:r>
      <w:r w:rsidRPr="007F5B58">
        <w:rPr>
          <w:rtl/>
        </w:rPr>
        <w:t>،</w:t>
      </w:r>
      <w:r>
        <w:rPr>
          <w:rtl/>
        </w:rPr>
        <w:t xml:space="preserve"> بل المراد أنّه بمجرّد المطالبة بالمهر في زمان مستقبليّ ومؤجّل يتوجّب على الزوج أن يبادر إلى دفعه</w:t>
      </w:r>
      <w:r w:rsidRPr="007F5B58">
        <w:rPr>
          <w:rtl/>
        </w:rPr>
        <w:t>،</w:t>
      </w:r>
      <w:r>
        <w:rPr>
          <w:rtl/>
        </w:rPr>
        <w:t xml:space="preserve"> وهذا ـ أيضاً ـ هو معنى العبارة التي تُعورِف استعمالها في مجلس الاتّفاق على العقد</w:t>
      </w:r>
      <w:r w:rsidRPr="007F5B58">
        <w:rPr>
          <w:rtl/>
        </w:rPr>
        <w:t>،</w:t>
      </w:r>
      <w:r>
        <w:rPr>
          <w:rtl/>
        </w:rPr>
        <w:t xml:space="preserve"> ولا سيّما في حالات ارتفاع المهر</w:t>
      </w:r>
      <w:r w:rsidRPr="007F5B58">
        <w:rPr>
          <w:rtl/>
        </w:rPr>
        <w:t>،</w:t>
      </w:r>
      <w:r>
        <w:rPr>
          <w:rtl/>
        </w:rPr>
        <w:t xml:space="preserve"> أعني قولهم</w:t>
      </w:r>
      <w:r w:rsidRPr="007F5B58">
        <w:rPr>
          <w:rtl/>
        </w:rPr>
        <w:t>:</w:t>
      </w:r>
      <w:r>
        <w:rPr>
          <w:rtl/>
        </w:rPr>
        <w:t xml:space="preserve"> «</w:t>
      </w:r>
      <w:r w:rsidRPr="001C6F61">
        <w:rPr>
          <w:rtl/>
        </w:rPr>
        <w:t>من أعطى</w:t>
      </w:r>
      <w:r>
        <w:rPr>
          <w:rtl/>
        </w:rPr>
        <w:t>؟!</w:t>
      </w:r>
      <w:r w:rsidRPr="001C6F61">
        <w:rPr>
          <w:rtl/>
        </w:rPr>
        <w:t xml:space="preserve"> ومن أخذ؟!</w:t>
      </w:r>
      <w:r>
        <w:rPr>
          <w:rtl/>
        </w:rPr>
        <w:t>..». وهذا نظير ما حكم به بعضهم في باب البيع</w:t>
      </w:r>
      <w:r w:rsidRPr="007F5B58">
        <w:rPr>
          <w:rtl/>
        </w:rPr>
        <w:t>،</w:t>
      </w:r>
      <w:r>
        <w:rPr>
          <w:rtl/>
        </w:rPr>
        <w:t xml:space="preserve"> من أنّه لو حصل التوافق بين المتبايعين على تأخير الثمن</w:t>
      </w:r>
      <w:r w:rsidRPr="007F5B58">
        <w:rPr>
          <w:rtl/>
        </w:rPr>
        <w:t>،</w:t>
      </w:r>
      <w:r>
        <w:rPr>
          <w:rtl/>
        </w:rPr>
        <w:t xml:space="preserve"> ولو إلى فترة يسيرة</w:t>
      </w:r>
      <w:r w:rsidRPr="007F5B58">
        <w:rPr>
          <w:rtl/>
        </w:rPr>
        <w:t>،</w:t>
      </w:r>
      <w:r>
        <w:rPr>
          <w:rtl/>
        </w:rPr>
        <w:t xml:space="preserve"> فإنّ البيع والحالة هذه يكون مؤجّلاً</w:t>
      </w:r>
      <w:r w:rsidRPr="007F5B58">
        <w:rPr>
          <w:rtl/>
        </w:rPr>
        <w:t>،</w:t>
      </w:r>
      <w:r>
        <w:rPr>
          <w:rtl/>
        </w:rPr>
        <w:t xml:space="preserve"> فلا يَثبت للبائع الحقّ في الحبس</w:t>
      </w:r>
      <w:r w:rsidRPr="00815C4C">
        <w:rPr>
          <w:rFonts w:cs="Taher"/>
          <w:vertAlign w:val="superscript"/>
          <w:rtl/>
        </w:rPr>
        <w:t>(</w:t>
      </w:r>
      <w:r w:rsidRPr="00815C4C">
        <w:rPr>
          <w:rFonts w:cs="Taher"/>
          <w:vertAlign w:val="superscript"/>
          <w:rtl/>
        </w:rPr>
        <w:footnoteReference w:id="800"/>
      </w:r>
      <w:r w:rsidRPr="00815C4C">
        <w:rPr>
          <w:rFonts w:cs="Taher"/>
          <w:vertAlign w:val="superscript"/>
          <w:rtl/>
        </w:rPr>
        <w:t>)</w:t>
      </w:r>
      <w:r>
        <w:rPr>
          <w:rtl/>
        </w:rPr>
        <w:t>.</w:t>
      </w:r>
    </w:p>
    <w:p w:rsidR="00AC628B" w:rsidRDefault="00AC628B" w:rsidP="00AC628B">
      <w:pPr>
        <w:pStyle w:val="ac"/>
        <w:rPr>
          <w:rtl/>
        </w:rPr>
      </w:pPr>
      <w:r w:rsidRPr="001366E5">
        <w:rPr>
          <w:b/>
          <w:bCs/>
          <w:rtl/>
        </w:rPr>
        <w:lastRenderedPageBreak/>
        <w:t>وثانياً</w:t>
      </w:r>
      <w:r w:rsidRPr="007F5B58">
        <w:rPr>
          <w:b/>
          <w:bCs/>
          <w:rtl/>
        </w:rPr>
        <w:t>:</w:t>
      </w:r>
      <w:r>
        <w:rPr>
          <w:rtl/>
        </w:rPr>
        <w:t xml:space="preserve"> لو سلّمنا أنّ معنى عبارة «عند المطالبة» يتـناول زمان الحال فلو لم تبادر الزوجة إلى المطالبة بمهرها مباشرة بعد انعقاد العقد تكون قد أسقطت حقّ الحبس عن نفسها</w:t>
      </w:r>
      <w:r w:rsidRPr="007F5B58">
        <w:rPr>
          <w:rtl/>
        </w:rPr>
        <w:t>،</w:t>
      </w:r>
      <w:r>
        <w:rPr>
          <w:rtl/>
        </w:rPr>
        <w:t xml:space="preserve"> ومن الواضح أنّه لا يصحّ تفسير الشروط المأخوذة ضمن العقد بما يؤدّي إلى استغلالها وسوء الاستفادة منها.</w:t>
      </w:r>
    </w:p>
    <w:p w:rsidR="00AC628B" w:rsidRDefault="00AC628B" w:rsidP="00AC628B">
      <w:pPr>
        <w:pStyle w:val="ac"/>
        <w:rPr>
          <w:rtl/>
        </w:rPr>
      </w:pPr>
      <w:r>
        <w:rPr>
          <w:rtl/>
        </w:rPr>
        <w:t>وعلى هذا الأساس فإنه إثبات حقّ الحبس للزوجة في حالات ارتفاع المهر إلى حدٍّ خياليّ هو على خلاف معايير الحقوق والقانون</w:t>
      </w:r>
      <w:r w:rsidRPr="007F5B58">
        <w:rPr>
          <w:rtl/>
        </w:rPr>
        <w:t>؛</w:t>
      </w:r>
      <w:r>
        <w:rPr>
          <w:rtl/>
        </w:rPr>
        <w:t xml:space="preserve"> لأنّ عبارة «عند المطالبة»</w:t>
      </w:r>
      <w:r w:rsidRPr="007F5B58">
        <w:rPr>
          <w:rtl/>
        </w:rPr>
        <w:t>،</w:t>
      </w:r>
      <w:r>
        <w:rPr>
          <w:rtl/>
        </w:rPr>
        <w:t xml:space="preserve"> التي يتمّ إدراجها كشرطٍ في وثيقة الزواج عند وقوع عقد النكاح</w:t>
      </w:r>
      <w:r w:rsidRPr="007F5B58">
        <w:rPr>
          <w:rtl/>
        </w:rPr>
        <w:t>،</w:t>
      </w:r>
      <w:r>
        <w:rPr>
          <w:rtl/>
        </w:rPr>
        <w:t xml:space="preserve"> ظاهرة عرفاً في إرادة المستقبل</w:t>
      </w:r>
      <w:r w:rsidRPr="007F5B58">
        <w:rPr>
          <w:rtl/>
        </w:rPr>
        <w:t>،</w:t>
      </w:r>
      <w:r>
        <w:rPr>
          <w:rtl/>
        </w:rPr>
        <w:t xml:space="preserve"> وإلاّ لو كان هذا الشرط ناظراً إلى الزمن الحال لما كان هناك حاجة إلى إثباته وكتابته في سند العقد</w:t>
      </w:r>
      <w:r>
        <w:rPr>
          <w:rFonts w:hint="cs"/>
          <w:rtl/>
        </w:rPr>
        <w:t>.</w:t>
      </w:r>
      <w:r>
        <w:rPr>
          <w:rtl/>
        </w:rPr>
        <w:t xml:space="preserve"> ومن هنا نجد أنّ القرآن يأمر بالكتابة والتوثيق في خصوص الدَّين المؤجَّل. فالدَّين باعتبار زمان حلول أجله على ثلاثة أنواع</w:t>
      </w:r>
      <w:r w:rsidRPr="007F5B58">
        <w:rPr>
          <w:rtl/>
        </w:rPr>
        <w:t>:</w:t>
      </w:r>
      <w:r>
        <w:rPr>
          <w:rtl/>
        </w:rPr>
        <w:t xml:space="preserve"> الدين الحالّ أو النقديّ</w:t>
      </w:r>
      <w:r w:rsidRPr="007F5B58">
        <w:rPr>
          <w:rtl/>
        </w:rPr>
        <w:t>؛</w:t>
      </w:r>
      <w:r>
        <w:rPr>
          <w:rtl/>
        </w:rPr>
        <w:t xml:space="preserve"> والدين المؤجَّل</w:t>
      </w:r>
      <w:r w:rsidRPr="007F5B58">
        <w:rPr>
          <w:rtl/>
        </w:rPr>
        <w:t>؛</w:t>
      </w:r>
      <w:r>
        <w:rPr>
          <w:rtl/>
        </w:rPr>
        <w:t xml:space="preserve"> والدين الذي يحلّ أجله عند المطالبة. وهذا القسم الأخير ليس من قبيل الدّين الحالّ</w:t>
      </w:r>
      <w:r w:rsidRPr="007F5B58">
        <w:rPr>
          <w:rtl/>
        </w:rPr>
        <w:t>،</w:t>
      </w:r>
      <w:r>
        <w:rPr>
          <w:rtl/>
        </w:rPr>
        <w:t xml:space="preserve"> وإنّما يحلّ أجله في المستقبل عند صدور المطالبة من الدائن</w:t>
      </w:r>
      <w:r w:rsidRPr="007F5B58">
        <w:rPr>
          <w:rtl/>
        </w:rPr>
        <w:t>،</w:t>
      </w:r>
      <w:r>
        <w:rPr>
          <w:rtl/>
        </w:rPr>
        <w:t xml:space="preserve"> وهذا بخلاف الدين المؤجَّل</w:t>
      </w:r>
      <w:r w:rsidRPr="007F5B58">
        <w:rPr>
          <w:rtl/>
        </w:rPr>
        <w:t>،</w:t>
      </w:r>
      <w:r>
        <w:rPr>
          <w:rtl/>
        </w:rPr>
        <w:t xml:space="preserve"> الذي يكون له أجل معيَّن لا يصحّ للدائن المطالبة به قبل حلوله. مضافاً إلى أنّ إثبات حقّ الحبس للمرأة التي اشترطت مهراً مرتفعاً وخياليّاً عاجزٌ عن تقديم الحماية لها</w:t>
      </w:r>
      <w:r w:rsidRPr="007F5B58">
        <w:rPr>
          <w:rtl/>
        </w:rPr>
        <w:t>،</w:t>
      </w:r>
      <w:r>
        <w:rPr>
          <w:rtl/>
        </w:rPr>
        <w:t xml:space="preserve"> بل إنّه يؤدّي إلى سوء الاستفادة منه</w:t>
      </w:r>
      <w:r w:rsidRPr="007F5B58">
        <w:rPr>
          <w:rtl/>
        </w:rPr>
        <w:t>؛</w:t>
      </w:r>
      <w:r>
        <w:rPr>
          <w:rtl/>
        </w:rPr>
        <w:t xml:space="preserve"> إذ من المسلّم به عُرفاً أنّ الزوجة إنّما تعمد إلى تفعيل حقّها في الحبس عندما لا يكون لها نيّة في بناء حياة مشتركة مع الزوج</w:t>
      </w:r>
      <w:r>
        <w:rPr>
          <w:rFonts w:hint="cs"/>
          <w:rtl/>
        </w:rPr>
        <w:t>.</w:t>
      </w:r>
      <w:r>
        <w:rPr>
          <w:rtl/>
        </w:rPr>
        <w:t xml:space="preserve"> وهذا</w:t>
      </w:r>
      <w:r w:rsidRPr="00496CD1">
        <w:rPr>
          <w:rtl/>
        </w:rPr>
        <w:t xml:space="preserve"> </w:t>
      </w:r>
      <w:r>
        <w:rPr>
          <w:rtl/>
        </w:rPr>
        <w:t>في صورة عجز الزوج عن دفع المهر يعدّ استغلالاً وسوء استفادة من قبل الزوجة لحقّها في الحبس. والحاصل أنّ إصلاح النظريّة المعمول بها قضائياً في ما يتعلّق بشرط زمان دفع المهر هو أحد الطرق الضروريّة في محاربة ظاهرة غلاء المهور وارتفاعها</w:t>
      </w:r>
      <w:r>
        <w:rPr>
          <w:rFonts w:hint="cs"/>
          <w:rtl/>
        </w:rPr>
        <w:t>.</w:t>
      </w:r>
      <w:r>
        <w:rPr>
          <w:rtl/>
        </w:rPr>
        <w:t xml:space="preserve"> وأمّا عبارة «عند المطالبة» المأخوذة شرطاً في جميع حالات المهر المرتفع فينبغي تفسيرها بنحو الدين المؤجَّل.</w:t>
      </w:r>
    </w:p>
    <w:p w:rsidR="00AC628B" w:rsidRDefault="00AC628B" w:rsidP="00AC628B">
      <w:pPr>
        <w:pStyle w:val="ac"/>
        <w:rPr>
          <w:rtl/>
        </w:rPr>
      </w:pPr>
      <w:r>
        <w:rPr>
          <w:rtl/>
        </w:rPr>
        <w:t>وإلى جانب إصلاح الأحكام القضائية ينبغي أن يُصار إلى اجتـناب سجن الزوج لمجرّد كونه مديوناً بمثل هذه المهور</w:t>
      </w:r>
      <w:r w:rsidRPr="007F5B58">
        <w:rPr>
          <w:rtl/>
        </w:rPr>
        <w:t>،</w:t>
      </w:r>
      <w:r>
        <w:rPr>
          <w:rtl/>
        </w:rPr>
        <w:t xml:space="preserve"> ويتعيّن على الهيئة القضائيّة أن تدقّق جيّداً في هذه المسألة لتأتي بها على طبق الموازين الإسلاميّة التي يمكن استفادتها صراحةً من الآية </w:t>
      </w:r>
      <w:r>
        <w:rPr>
          <w:rtl/>
        </w:rPr>
        <w:lastRenderedPageBreak/>
        <w:t>280 من سورة البقرة</w:t>
      </w:r>
      <w:r w:rsidRPr="007F5B58">
        <w:rPr>
          <w:rtl/>
        </w:rPr>
        <w:t>،</w:t>
      </w:r>
      <w:r>
        <w:rPr>
          <w:rtl/>
        </w:rPr>
        <w:t xml:space="preserve"> وهي قوله تعالى</w:t>
      </w:r>
      <w:r w:rsidRPr="007F5B58">
        <w:rPr>
          <w:rtl/>
        </w:rPr>
        <w:t>:</w:t>
      </w:r>
      <w:r>
        <w:rPr>
          <w:rtl/>
        </w:rPr>
        <w:t xml:space="preserve"> </w:t>
      </w:r>
      <w:r w:rsidRPr="00D66643">
        <w:rPr>
          <w:rFonts w:cs="Taher"/>
          <w:rtl/>
        </w:rPr>
        <w:t>{</w:t>
      </w:r>
      <w:r w:rsidRPr="006D355B">
        <w:rPr>
          <w:b/>
          <w:bCs/>
          <w:rtl/>
        </w:rPr>
        <w:t>وَإِن كَانَ ذُو عُسْرَةٍ فَنَظِرَةٌ إِلَى مَيْسَرَةٍ وَأَن تَصَدَّقُواْ خَيْرٌ لَّكُمْ إِن كُنتُمْ تَعْلَمُونَ</w:t>
      </w:r>
      <w:r w:rsidRPr="00D66643">
        <w:rPr>
          <w:rFonts w:cs="Taher"/>
          <w:rtl/>
        </w:rPr>
        <w:t>}</w:t>
      </w:r>
      <w:r w:rsidRPr="00815C4C">
        <w:rPr>
          <w:rFonts w:cs="Taher"/>
          <w:vertAlign w:val="superscript"/>
          <w:rtl/>
        </w:rPr>
        <w:t>(</w:t>
      </w:r>
      <w:r w:rsidRPr="00815C4C">
        <w:rPr>
          <w:rFonts w:cs="Taher"/>
          <w:vertAlign w:val="superscript"/>
          <w:rtl/>
        </w:rPr>
        <w:footnoteReference w:id="801"/>
      </w:r>
      <w:r w:rsidRPr="00815C4C">
        <w:rPr>
          <w:rFonts w:cs="Taher"/>
          <w:vertAlign w:val="superscript"/>
          <w:rtl/>
        </w:rPr>
        <w:t>)</w:t>
      </w:r>
      <w:r w:rsidRPr="007F5B58">
        <w:rPr>
          <w:rtl/>
        </w:rPr>
        <w:t>،</w:t>
      </w:r>
      <w:r>
        <w:rPr>
          <w:rtl/>
        </w:rPr>
        <w:t xml:space="preserve"> وكذلك الآيات الأُخرى التي تثني على صنيع الأشخاص الذين يحذرون مطالبة المعسر وسوء حسابه</w:t>
      </w:r>
      <w:r w:rsidRPr="007F5B58">
        <w:rPr>
          <w:rtl/>
        </w:rPr>
        <w:t>،</w:t>
      </w:r>
      <w:r>
        <w:rPr>
          <w:rtl/>
        </w:rPr>
        <w:t xml:space="preserve"> كما ورد في الخبر أنّ رجلاً دخل على أبي عبد الله</w:t>
      </w:r>
      <w:r w:rsidRPr="00E61D0D">
        <w:rPr>
          <w:rFonts w:cs="Taher"/>
          <w:rtl/>
        </w:rPr>
        <w:t>×</w:t>
      </w:r>
      <w:r>
        <w:rPr>
          <w:rtl/>
        </w:rPr>
        <w:t xml:space="preserve"> فقال أبو عبد الله</w:t>
      </w:r>
      <w:r w:rsidRPr="00E61D0D">
        <w:rPr>
          <w:rFonts w:cs="Taher"/>
          <w:rtl/>
        </w:rPr>
        <w:t>×</w:t>
      </w:r>
      <w:r w:rsidRPr="007F5B58">
        <w:rPr>
          <w:rtl/>
        </w:rPr>
        <w:t>:</w:t>
      </w:r>
      <w:r>
        <w:rPr>
          <w:rtl/>
        </w:rPr>
        <w:t xml:space="preserve"> ما لفلانٍ يشكوك؟ فقال الرجل</w:t>
      </w:r>
      <w:r w:rsidRPr="007F5B58">
        <w:rPr>
          <w:rtl/>
        </w:rPr>
        <w:t>:</w:t>
      </w:r>
      <w:r>
        <w:rPr>
          <w:rtl/>
        </w:rPr>
        <w:t xml:space="preserve"> طالبته بحقّي. فقال أبو عبد الله</w:t>
      </w:r>
      <w:r w:rsidRPr="00E61D0D">
        <w:rPr>
          <w:rFonts w:cs="Taher"/>
          <w:rtl/>
        </w:rPr>
        <w:t>×</w:t>
      </w:r>
      <w:r w:rsidRPr="007F5B58">
        <w:rPr>
          <w:rtl/>
        </w:rPr>
        <w:t>:</w:t>
      </w:r>
      <w:r>
        <w:rPr>
          <w:rtl/>
        </w:rPr>
        <w:t xml:space="preserve"> أترى أنّك إذا استقصيْتَ عليه لم تس</w:t>
      </w:r>
      <w:r>
        <w:rPr>
          <w:rFonts w:hint="cs"/>
          <w:rtl/>
        </w:rPr>
        <w:t>ِ</w:t>
      </w:r>
      <w:r>
        <w:rPr>
          <w:rtl/>
        </w:rPr>
        <w:t>ئ</w:t>
      </w:r>
      <w:r>
        <w:rPr>
          <w:rFonts w:hint="cs"/>
          <w:rtl/>
        </w:rPr>
        <w:t>ْ</w:t>
      </w:r>
      <w:r>
        <w:rPr>
          <w:rtl/>
        </w:rPr>
        <w:t xml:space="preserve"> به؟ أترى الذي حكى الله عزّ وجلّ</w:t>
      </w:r>
      <w:r w:rsidRPr="007F5B58">
        <w:rPr>
          <w:rtl/>
        </w:rPr>
        <w:t>:</w:t>
      </w:r>
      <w:r>
        <w:rPr>
          <w:rtl/>
        </w:rPr>
        <w:t xml:space="preserve"> </w:t>
      </w:r>
      <w:r w:rsidRPr="00D66643">
        <w:rPr>
          <w:rFonts w:cs="Taher"/>
          <w:rtl/>
        </w:rPr>
        <w:t>{</w:t>
      </w:r>
      <w:r w:rsidRPr="006D355B">
        <w:rPr>
          <w:b/>
          <w:bCs/>
          <w:rtl/>
        </w:rPr>
        <w:t>وَيَخَافُونَ سُوءَ الحِسَابِ</w:t>
      </w:r>
      <w:r w:rsidRPr="00D66643">
        <w:rPr>
          <w:rFonts w:cs="Taher"/>
          <w:rtl/>
        </w:rPr>
        <w:t>}</w:t>
      </w:r>
      <w:r>
        <w:rPr>
          <w:rtl/>
        </w:rPr>
        <w:t xml:space="preserve"> يخافون أن يجور الله عليهم؟! والله ما خافوا ذلك</w:t>
      </w:r>
      <w:r w:rsidRPr="007F5B58">
        <w:rPr>
          <w:rtl/>
        </w:rPr>
        <w:t>،</w:t>
      </w:r>
      <w:r>
        <w:rPr>
          <w:rtl/>
        </w:rPr>
        <w:t xml:space="preserve"> ولكنّهم خافوا الاستقصاء</w:t>
      </w:r>
      <w:r w:rsidRPr="007F5B58">
        <w:rPr>
          <w:rtl/>
        </w:rPr>
        <w:t>،</w:t>
      </w:r>
      <w:r>
        <w:rPr>
          <w:rtl/>
        </w:rPr>
        <w:t xml:space="preserve"> فسمّاه الله سوء الحساب. ومن هنا ذهب الفقهاء إلى حرمة مطالبة المعسر</w:t>
      </w:r>
      <w:r w:rsidRPr="007F5B58">
        <w:rPr>
          <w:rtl/>
        </w:rPr>
        <w:t>،</w:t>
      </w:r>
      <w:r>
        <w:rPr>
          <w:rtl/>
        </w:rPr>
        <w:t xml:space="preserve"> والإلحاح عليه</w:t>
      </w:r>
      <w:r w:rsidRPr="007F5B58">
        <w:rPr>
          <w:rtl/>
        </w:rPr>
        <w:t>،</w:t>
      </w:r>
      <w:r>
        <w:rPr>
          <w:rtl/>
        </w:rPr>
        <w:t xml:space="preserve"> وإلحاق الأذيّة به</w:t>
      </w:r>
      <w:r w:rsidRPr="007F5B58">
        <w:rPr>
          <w:rtl/>
        </w:rPr>
        <w:t>،</w:t>
      </w:r>
      <w:r>
        <w:rPr>
          <w:rtl/>
        </w:rPr>
        <w:t xml:space="preserve"> على تقدير ثبوت عدم قدرته على الأداء شرعاً</w:t>
      </w:r>
      <w:r w:rsidRPr="007F5B58">
        <w:rPr>
          <w:rtl/>
        </w:rPr>
        <w:t>،</w:t>
      </w:r>
      <w:r>
        <w:rPr>
          <w:rtl/>
        </w:rPr>
        <w:t xml:space="preserve"> وإلى أنّه إذا لم تحلّ مطالبته فبالأولى أن لا يحلّ حبسه</w:t>
      </w:r>
      <w:r w:rsidRPr="00815C4C">
        <w:rPr>
          <w:rFonts w:cs="Taher"/>
          <w:vertAlign w:val="superscript"/>
          <w:rtl/>
        </w:rPr>
        <w:t>(</w:t>
      </w:r>
      <w:r w:rsidRPr="00815C4C">
        <w:rPr>
          <w:rFonts w:cs="Taher"/>
          <w:vertAlign w:val="superscript"/>
          <w:rtl/>
        </w:rPr>
        <w:footnoteReference w:id="802"/>
      </w:r>
      <w:r w:rsidRPr="00815C4C">
        <w:rPr>
          <w:rFonts w:cs="Taher"/>
          <w:vertAlign w:val="superscript"/>
          <w:rtl/>
        </w:rPr>
        <w:t>)</w:t>
      </w:r>
      <w:r>
        <w:rPr>
          <w:rtl/>
        </w:rPr>
        <w:t>.</w:t>
      </w:r>
    </w:p>
    <w:p w:rsidR="00AC628B" w:rsidRDefault="00AC628B" w:rsidP="007F7201">
      <w:pPr>
        <w:pStyle w:val="ac"/>
        <w:spacing w:line="202" w:lineRule="auto"/>
        <w:rPr>
          <w:rtl/>
        </w:rPr>
      </w:pPr>
      <w:r>
        <w:rPr>
          <w:rtl/>
        </w:rPr>
        <w:t>وعلى ضوء ما تقدّم فإن أرادت الهيئة القضائيّة أن تطبّق معايير حقوق الإسلام في تعاملها مع الأزواج المدينين بمهورٍ مرتفعة وخياليّة فينبغي أن لا تحكم على أحدٍ منهم بالسجن لمجرّد عدم قدرته على الدفع</w:t>
      </w:r>
      <w:r w:rsidRPr="007F5B58">
        <w:rPr>
          <w:rtl/>
        </w:rPr>
        <w:t>،</w:t>
      </w:r>
      <w:r>
        <w:rPr>
          <w:rtl/>
        </w:rPr>
        <w:t xml:space="preserve"> الأمر الذي من شأنه أن ينعكس على الزوجة أيضاً</w:t>
      </w:r>
      <w:r w:rsidRPr="007F5B58">
        <w:rPr>
          <w:rtl/>
        </w:rPr>
        <w:t>،</w:t>
      </w:r>
      <w:r>
        <w:rPr>
          <w:rtl/>
        </w:rPr>
        <w:t xml:space="preserve"> التي إن رأت أنّ الزوج عاجز ماليّاً عن تأمين هذا المهر الذي سمّته امتـنعت عن الإصرار على اشتراط مهر مرتفع</w:t>
      </w:r>
      <w:r>
        <w:rPr>
          <w:rFonts w:hint="cs"/>
          <w:rtl/>
        </w:rPr>
        <w:t>.</w:t>
      </w:r>
      <w:r>
        <w:rPr>
          <w:rtl/>
        </w:rPr>
        <w:t xml:space="preserve"> ولكنّ المشكلة ـ كما عرفنا آنفاً ـ أنّ الزوجة في الغالب تـنظر إلى المهر بوصفه ضمانةً لها تـنجيها من خطر وقوع الطلاق</w:t>
      </w:r>
      <w:r w:rsidRPr="007F5B58">
        <w:rPr>
          <w:rtl/>
        </w:rPr>
        <w:t>،</w:t>
      </w:r>
      <w:r>
        <w:rPr>
          <w:rtl/>
        </w:rPr>
        <w:t xml:space="preserve"> بحيث لو حصلت أدنى مشكلةٍ بينها وبينه في مستقبل الأيّام فيمكن لها أن تطالب بمهرها</w:t>
      </w:r>
      <w:r w:rsidRPr="007F5B58">
        <w:rPr>
          <w:rtl/>
        </w:rPr>
        <w:t>،</w:t>
      </w:r>
      <w:r>
        <w:rPr>
          <w:rtl/>
        </w:rPr>
        <w:t xml:space="preserve"> ولو كان عاجزاً عن دفعه لها</w:t>
      </w:r>
      <w:r w:rsidRPr="007F5B58">
        <w:rPr>
          <w:rtl/>
        </w:rPr>
        <w:t>،</w:t>
      </w:r>
      <w:r>
        <w:rPr>
          <w:rtl/>
        </w:rPr>
        <w:t xml:space="preserve"> ما يؤدي به إلى السجن</w:t>
      </w:r>
      <w:r w:rsidRPr="007F5B58">
        <w:rPr>
          <w:rtl/>
        </w:rPr>
        <w:t>،</w:t>
      </w:r>
      <w:r>
        <w:rPr>
          <w:rtl/>
        </w:rPr>
        <w:t xml:space="preserve"> فهي ترى أنّ الرفع من قيمة المهر يجعلها في موقع الأقوى</w:t>
      </w:r>
      <w:r w:rsidRPr="007F5B58">
        <w:rPr>
          <w:rtl/>
        </w:rPr>
        <w:t>،</w:t>
      </w:r>
      <w:r>
        <w:rPr>
          <w:rtl/>
        </w:rPr>
        <w:t xml:space="preserve"> ويجعل الزوج من الناحية القانونيّة هو الحلقة الأضعف. وهذا يتـنافى ـ كما سبق ـ مع فلسفة المهر في حقوق الإسلام</w:t>
      </w:r>
      <w:r w:rsidRPr="007F5B58">
        <w:rPr>
          <w:rtl/>
        </w:rPr>
        <w:t>؛</w:t>
      </w:r>
      <w:r>
        <w:rPr>
          <w:rtl/>
        </w:rPr>
        <w:t xml:space="preserve"> إذ ليس من أهداف المهر تقوية أحد الطرفين على الآخر</w:t>
      </w:r>
      <w:r w:rsidRPr="007F5B58">
        <w:rPr>
          <w:rtl/>
        </w:rPr>
        <w:t>،</w:t>
      </w:r>
      <w:r>
        <w:rPr>
          <w:rtl/>
        </w:rPr>
        <w:t xml:space="preserve"> وإنّما الغرض إيجاد الألفة والمحبّة بينهما</w:t>
      </w:r>
      <w:r w:rsidRPr="007F5B58">
        <w:rPr>
          <w:rtl/>
        </w:rPr>
        <w:t>؛</w:t>
      </w:r>
      <w:r>
        <w:rPr>
          <w:rtl/>
        </w:rPr>
        <w:t xml:space="preserve"> إذ القلب ـ كما ورد في الروايات ـ يرتّب الألفة والأنس على الإحسان إليه.</w:t>
      </w:r>
    </w:p>
    <w:p w:rsidR="00AC628B" w:rsidRDefault="00AC628B" w:rsidP="00AC628B">
      <w:pPr>
        <w:pStyle w:val="ac"/>
        <w:rPr>
          <w:rtl/>
        </w:rPr>
      </w:pPr>
      <w:r>
        <w:rPr>
          <w:rtl/>
        </w:rPr>
        <w:lastRenderedPageBreak/>
        <w:t>وعلى هذا الأساس يجب على الهيئة القضائيّة في التعاطي مع المهور المرتفعة والخياليّة أن تعمل وفقاً لمعايير الإسلام</w:t>
      </w:r>
      <w:r w:rsidRPr="007F5B58">
        <w:rPr>
          <w:rtl/>
        </w:rPr>
        <w:t>،</w:t>
      </w:r>
      <w:r>
        <w:rPr>
          <w:rtl/>
        </w:rPr>
        <w:t xml:space="preserve"> وبدلاً من الحكم على الزوج بالحبس تطلب من الزوجة أن تعرف حدود القدرة الماليّة للزوج</w:t>
      </w:r>
      <w:r w:rsidRPr="007F5B58">
        <w:rPr>
          <w:rtl/>
        </w:rPr>
        <w:t>،</w:t>
      </w:r>
      <w:r>
        <w:rPr>
          <w:rtl/>
        </w:rPr>
        <w:t xml:space="preserve"> لكي يصبّ المهر الذي تسمّيه في صالحها في نهاية الأمر. فإن لم تصل الزوجة ـ التي هي شريكة الزوج في حياته ـ إلى معرفة مقدار ما يمتلكه الزوج</w:t>
      </w:r>
      <w:r w:rsidRPr="007F5B58">
        <w:rPr>
          <w:rtl/>
        </w:rPr>
        <w:t>،</w:t>
      </w:r>
      <w:r>
        <w:rPr>
          <w:rtl/>
        </w:rPr>
        <w:t xml:space="preserve"> ومعرفة كونه قادراً على السداد</w:t>
      </w:r>
      <w:r w:rsidRPr="007F5B58">
        <w:rPr>
          <w:rtl/>
        </w:rPr>
        <w:t>،</w:t>
      </w:r>
      <w:r>
        <w:rPr>
          <w:rtl/>
        </w:rPr>
        <w:t xml:space="preserve"> فإنّ الظاهر من حاله عرفاً أنّه فاقدٌ للقدرة الماليّة على السداد.</w:t>
      </w:r>
    </w:p>
    <w:p w:rsidR="00AC628B" w:rsidRDefault="00AC628B" w:rsidP="00AC628B">
      <w:pPr>
        <w:pStyle w:val="ac"/>
        <w:rPr>
          <w:rtl/>
        </w:rPr>
      </w:pPr>
      <w:r>
        <w:rPr>
          <w:rtl/>
        </w:rPr>
        <w:t>وأمّا تلك الروايات الظاهرة في حبس المديون إلى حين إثبات إعساره فمنصرفة عن الزوج</w:t>
      </w:r>
      <w:r w:rsidRPr="007F5B58">
        <w:rPr>
          <w:rtl/>
        </w:rPr>
        <w:t>،</w:t>
      </w:r>
      <w:r>
        <w:rPr>
          <w:rtl/>
        </w:rPr>
        <w:t xml:space="preserve"> وغير شاملةٍ له</w:t>
      </w:r>
      <w:r w:rsidRPr="007F5B58">
        <w:rPr>
          <w:rtl/>
        </w:rPr>
        <w:t>؛</w:t>
      </w:r>
      <w:r>
        <w:rPr>
          <w:rtl/>
        </w:rPr>
        <w:t xml:space="preserve"> لأنّ الظاهر في العقود الماليّة أنّ كلّ من يأخذ على عهدته تعهّداً ماليّاً فهو قادر على تسديده وإجرائه</w:t>
      </w:r>
      <w:r w:rsidRPr="007F5B58">
        <w:rPr>
          <w:rtl/>
        </w:rPr>
        <w:t>،</w:t>
      </w:r>
      <w:r>
        <w:rPr>
          <w:rtl/>
        </w:rPr>
        <w:t xml:space="preserve"> فحبسه وزجّه في السجن إنّما هو لمكان إثبات خلاف هذا الظاهر. وأمّا النكاح فإنّه على العكس من المعاملات الماليّة تماماً</w:t>
      </w:r>
      <w:r w:rsidRPr="007F5B58">
        <w:rPr>
          <w:rtl/>
        </w:rPr>
        <w:t>؛</w:t>
      </w:r>
      <w:r>
        <w:rPr>
          <w:rtl/>
        </w:rPr>
        <w:t xml:space="preserve"> إذ من الواضح أنّ غالبيّة الأزواج لا تكون لهم القدرة على دفع المهر في زمان وقوع عقد النكاح. وبالتالي يتعيّن على الزوجة أن تُثبت أنّ الزوج قادر على دفع المهر لها</w:t>
      </w:r>
      <w:r w:rsidRPr="007F5B58">
        <w:rPr>
          <w:rtl/>
        </w:rPr>
        <w:t>،</w:t>
      </w:r>
      <w:r>
        <w:rPr>
          <w:rtl/>
        </w:rPr>
        <w:t xml:space="preserve"> وهو ما يتمّ عن طريق الكشف عن أمواله وممتلكاته</w:t>
      </w:r>
      <w:r w:rsidRPr="007F5B58">
        <w:rPr>
          <w:rtl/>
        </w:rPr>
        <w:t>،</w:t>
      </w:r>
      <w:r>
        <w:rPr>
          <w:rtl/>
        </w:rPr>
        <w:t xml:space="preserve"> ومعه لا تصل النوبة إلى الحكم عليه بالسجن.</w:t>
      </w:r>
    </w:p>
    <w:p w:rsidR="00AC628B" w:rsidRDefault="00AC628B" w:rsidP="00AC628B">
      <w:pPr>
        <w:pStyle w:val="ac"/>
        <w:rPr>
          <w:rtl/>
        </w:rPr>
      </w:pPr>
      <w:r>
        <w:rPr>
          <w:rtl/>
        </w:rPr>
        <w:t>والحاصل أنّ الرؤية القضائيّة الحاكمة بثبوت حقّ الحبس للزوجة ناشئة من عبارة «عند المطالبة»</w:t>
      </w:r>
      <w:r w:rsidRPr="007F5B58">
        <w:rPr>
          <w:rtl/>
        </w:rPr>
        <w:t>،</w:t>
      </w:r>
      <w:r>
        <w:rPr>
          <w:rtl/>
        </w:rPr>
        <w:t xml:space="preserve"> ولكنّ حبس الزوج الفاقد للقدرة الماليّة على دفع المهر يجب أن يكون مطابقاً لمعايير حقوق الإسلام</w:t>
      </w:r>
      <w:r w:rsidRPr="007F5B58">
        <w:rPr>
          <w:rtl/>
        </w:rPr>
        <w:t>،</w:t>
      </w:r>
      <w:r>
        <w:rPr>
          <w:rtl/>
        </w:rPr>
        <w:t xml:space="preserve"> لئلا يؤدّي الوضع الراهن إلى ترغيب المرأة ودفعها نحو اشتراط مهر غالٍ ومرتفع.</w:t>
      </w:r>
    </w:p>
    <w:p w:rsidR="00AC628B" w:rsidRDefault="00AC628B" w:rsidP="00AC628B">
      <w:pPr>
        <w:pStyle w:val="ac"/>
        <w:rPr>
          <w:rtl/>
        </w:rPr>
      </w:pPr>
    </w:p>
    <w:p w:rsidR="00AC628B" w:rsidRPr="00133889" w:rsidRDefault="00AC628B" w:rsidP="00AC628B">
      <w:pPr>
        <w:pStyle w:val="1"/>
        <w:rPr>
          <w:rtl/>
        </w:rPr>
      </w:pPr>
      <w:bookmarkStart w:id="409" w:name="_Toc275128125"/>
      <w:r>
        <w:rPr>
          <w:rtl/>
        </w:rPr>
        <w:t>خلاصة واستنتاج</w:t>
      </w:r>
      <w:bookmarkEnd w:id="409"/>
    </w:p>
    <w:p w:rsidR="00AC628B" w:rsidRDefault="00AC628B" w:rsidP="00AC628B">
      <w:pPr>
        <w:pStyle w:val="ac"/>
        <w:rPr>
          <w:rtl/>
        </w:rPr>
      </w:pPr>
      <w:r>
        <w:rPr>
          <w:rtl/>
        </w:rPr>
        <w:t>بالرغم من أنّ غلاء المهور في مجتمعاتـنا الإسلاميّة يشكّل أحد أهمّ عوامل الفساد والانحلال الاجتماعي</w:t>
      </w:r>
      <w:r w:rsidRPr="007F5B58">
        <w:rPr>
          <w:rtl/>
        </w:rPr>
        <w:t>؛</w:t>
      </w:r>
      <w:r>
        <w:rPr>
          <w:rtl/>
        </w:rPr>
        <w:t xml:space="preserve"> نظراً لكونه يقف مانعاً من الإقدام على عقد الزواج لدى كثير من الشباب</w:t>
      </w:r>
      <w:r>
        <w:rPr>
          <w:rFonts w:hint="cs"/>
          <w:rtl/>
        </w:rPr>
        <w:t>.</w:t>
      </w:r>
      <w:r>
        <w:rPr>
          <w:rtl/>
        </w:rPr>
        <w:t xml:space="preserve"> كما يمكن عدّه ضمن الأسباب المباشرة التي تسهم في تفاقم واحدةٍ من أكبر المشاكل الاجتماعيّة المعاصرة في أكثر الدول العربيّة</w:t>
      </w:r>
      <w:r w:rsidRPr="007F5B58">
        <w:rPr>
          <w:rtl/>
        </w:rPr>
        <w:t>،</w:t>
      </w:r>
      <w:r>
        <w:rPr>
          <w:rtl/>
        </w:rPr>
        <w:t xml:space="preserve"> وهي مشكلة العنوسة</w:t>
      </w:r>
      <w:r w:rsidRPr="007F5B58">
        <w:rPr>
          <w:rtl/>
        </w:rPr>
        <w:t>،</w:t>
      </w:r>
      <w:r>
        <w:rPr>
          <w:rtl/>
        </w:rPr>
        <w:t xml:space="preserve"> وكثرة </w:t>
      </w:r>
      <w:r>
        <w:rPr>
          <w:rtl/>
        </w:rPr>
        <w:lastRenderedPageBreak/>
        <w:t>عدد النساء العوانس</w:t>
      </w:r>
      <w:r>
        <w:rPr>
          <w:rFonts w:hint="cs"/>
          <w:rtl/>
        </w:rPr>
        <w:t>.</w:t>
      </w:r>
      <w:r>
        <w:rPr>
          <w:rtl/>
        </w:rPr>
        <w:t xml:space="preserve"> كما يشكّل المهر المرتفع في مرحلة ما بعد عقد النكاح أحد الموانع التي تحول دون وصول الزوجين إلى التفاهم على حلّ مشاكلهما العائليّة</w:t>
      </w:r>
      <w:r w:rsidRPr="007F5B58">
        <w:rPr>
          <w:rtl/>
        </w:rPr>
        <w:t>؛</w:t>
      </w:r>
      <w:r>
        <w:rPr>
          <w:rtl/>
        </w:rPr>
        <w:t xml:space="preserve"> وذلك لأنّ الضمانات الإجرائيّة الشديدة التي يفرضها القانون والرؤية القضائيّة على عدم دفع المهر يؤدّي إلى مسارعة الزوجة</w:t>
      </w:r>
      <w:r w:rsidRPr="007F5B58">
        <w:rPr>
          <w:rtl/>
        </w:rPr>
        <w:t>،</w:t>
      </w:r>
      <w:r>
        <w:rPr>
          <w:rtl/>
        </w:rPr>
        <w:t xml:space="preserve"> وقبل اعتمادها على العقل والوعي العامّ</w:t>
      </w:r>
      <w:r w:rsidRPr="007F5B58">
        <w:rPr>
          <w:rtl/>
        </w:rPr>
        <w:t>،</w:t>
      </w:r>
      <w:r>
        <w:rPr>
          <w:rtl/>
        </w:rPr>
        <w:t xml:space="preserve"> نحو حلّ المشكلة بالاعتماد على حبس الزوج</w:t>
      </w:r>
      <w:r w:rsidRPr="007F5B58">
        <w:rPr>
          <w:rtl/>
        </w:rPr>
        <w:t>؛</w:t>
      </w:r>
      <w:r>
        <w:rPr>
          <w:rtl/>
        </w:rPr>
        <w:t xml:space="preserve"> لتقوية موقعيّتها في هذا الصراع العائليّ.</w:t>
      </w:r>
    </w:p>
    <w:p w:rsidR="00AC628B" w:rsidRDefault="00AC628B" w:rsidP="00AC628B">
      <w:pPr>
        <w:pStyle w:val="ac"/>
        <w:rPr>
          <w:rtl/>
        </w:rPr>
      </w:pPr>
      <w:r>
        <w:rPr>
          <w:rtl/>
        </w:rPr>
        <w:t>وقد عرفنا أنّ أحد العوامل التي تساهم في حصول الاتّفاق على المهر المرتفع وجود نظريّاتٍ قانونيّةٍ وعرفيّةٍ متـنوّعةٍ بالنسبة إلى دور المهر في النكاح</w:t>
      </w:r>
      <w:r w:rsidRPr="007F5B58">
        <w:rPr>
          <w:rtl/>
        </w:rPr>
        <w:t>؛</w:t>
      </w:r>
      <w:r>
        <w:rPr>
          <w:rtl/>
        </w:rPr>
        <w:t xml:space="preserve"> لأنّ المهر في منظور العرف ليس إلاّ ضمانةً لبقاء النكاح</w:t>
      </w:r>
      <w:r w:rsidRPr="007F5B58">
        <w:rPr>
          <w:rtl/>
        </w:rPr>
        <w:t>،</w:t>
      </w:r>
      <w:r>
        <w:rPr>
          <w:rtl/>
        </w:rPr>
        <w:t xml:space="preserve"> وعلى أثر هذه النظريّة يتولّد الإصرار على زيادته ومضاعفة قيمته ومقداره</w:t>
      </w:r>
      <w:r w:rsidRPr="007F5B58">
        <w:rPr>
          <w:rtl/>
        </w:rPr>
        <w:t>،</w:t>
      </w:r>
      <w:r>
        <w:rPr>
          <w:rtl/>
        </w:rPr>
        <w:t xml:space="preserve"> في وقتٍ نقطع فيه بأنّ هدف الإسلام من إقرار مبدأ المهر هو أن يكون هديّةً يدفعها الزوج ـ بحكمٍ من الشارع ـ لزوجته</w:t>
      </w:r>
      <w:r w:rsidRPr="007F5B58">
        <w:rPr>
          <w:rtl/>
        </w:rPr>
        <w:t>،</w:t>
      </w:r>
      <w:r>
        <w:rPr>
          <w:rtl/>
        </w:rPr>
        <w:t xml:space="preserve"> وليس عوضاً</w:t>
      </w:r>
      <w:r w:rsidRPr="007F5B58">
        <w:rPr>
          <w:rtl/>
        </w:rPr>
        <w:t>،</w:t>
      </w:r>
      <w:r>
        <w:rPr>
          <w:rtl/>
        </w:rPr>
        <w:t xml:space="preserve"> ولا ضمانةً لبقاء النكاح.</w:t>
      </w:r>
    </w:p>
    <w:p w:rsidR="00EE06ED" w:rsidRDefault="00AC628B" w:rsidP="00AC628B">
      <w:pPr>
        <w:pStyle w:val="ac"/>
        <w:rPr>
          <w:rtl/>
        </w:rPr>
      </w:pPr>
      <w:r>
        <w:rPr>
          <w:rtl/>
        </w:rPr>
        <w:t>ولما كانت المشاريع التي تمّ اقتراحها في السنوات الأخيرة لإصلاح الوضع الراهن ـ من قبيل</w:t>
      </w:r>
      <w:r w:rsidRPr="007F5B58">
        <w:rPr>
          <w:rtl/>
        </w:rPr>
        <w:t>:</w:t>
      </w:r>
      <w:r>
        <w:rPr>
          <w:rtl/>
        </w:rPr>
        <w:t xml:space="preserve"> تحديد سقفٍ أعلى للمهر بشكلٍ قانونيّ</w:t>
      </w:r>
      <w:r w:rsidRPr="007F5B58">
        <w:rPr>
          <w:rtl/>
        </w:rPr>
        <w:t>،</w:t>
      </w:r>
      <w:r>
        <w:rPr>
          <w:rtl/>
        </w:rPr>
        <w:t xml:space="preserve"> أو ممارسة ضغطٍ ماليّ وفرض ضرائب على المهر المرتفع</w:t>
      </w:r>
      <w:r w:rsidRPr="007F5B58">
        <w:rPr>
          <w:rtl/>
        </w:rPr>
        <w:t>،</w:t>
      </w:r>
      <w:r>
        <w:rPr>
          <w:rtl/>
        </w:rPr>
        <w:t xml:space="preserve"> أو جعله مشروطاً بالمطالبة ـ لا تأخذ بعين الاعتبار العلل الحقيقيّة التي تقف وراء مطالبة الزوجة بمهرٍ مرتفع لنفسها</w:t>
      </w:r>
      <w:r w:rsidRPr="007F5B58">
        <w:rPr>
          <w:rtl/>
        </w:rPr>
        <w:t>،</w:t>
      </w:r>
      <w:r>
        <w:rPr>
          <w:rtl/>
        </w:rPr>
        <w:t xml:space="preserve"> وتعمل على معالجتها</w:t>
      </w:r>
      <w:r w:rsidRPr="007F5B58">
        <w:rPr>
          <w:rtl/>
        </w:rPr>
        <w:t>،</w:t>
      </w:r>
      <w:r>
        <w:rPr>
          <w:rtl/>
        </w:rPr>
        <w:t xml:space="preserve"> فإنّها تبقى عاجزةً عن حلّ المشكلة. وعلى هذا الأساس فلا بدّ من إصلاح نظريّة العرف بالنسبة إلى المهر</w:t>
      </w:r>
      <w:r w:rsidRPr="007F5B58">
        <w:rPr>
          <w:rtl/>
        </w:rPr>
        <w:t>،</w:t>
      </w:r>
      <w:r>
        <w:rPr>
          <w:rtl/>
        </w:rPr>
        <w:t xml:space="preserve"> وتعميم النظريّة الصحيحة التي تفيد بأنّ المهر هديّة قانونيّة</w:t>
      </w:r>
      <w:r w:rsidRPr="007F5B58">
        <w:rPr>
          <w:rtl/>
        </w:rPr>
        <w:t>،</w:t>
      </w:r>
      <w:r>
        <w:rPr>
          <w:rtl/>
        </w:rPr>
        <w:t xml:space="preserve"> وليس عوضاً</w:t>
      </w:r>
      <w:r w:rsidRPr="007F5B58">
        <w:rPr>
          <w:rtl/>
        </w:rPr>
        <w:t>،</w:t>
      </w:r>
      <w:r>
        <w:rPr>
          <w:rtl/>
        </w:rPr>
        <w:t xml:space="preserve"> ولا هو موجب لضمان بقاء النكاح ودوامه. وأمّا الزوجة فعليها أن تدرك بأنّ تأمين مستقبلها لا يكون إلاّ بالاعتماد على فضل الله تعالى</w:t>
      </w:r>
      <w:r w:rsidRPr="007F5B58">
        <w:rPr>
          <w:rtl/>
        </w:rPr>
        <w:t>،</w:t>
      </w:r>
      <w:r>
        <w:rPr>
          <w:rtl/>
        </w:rPr>
        <w:t xml:space="preserve"> وعلى ما لديها من المؤهّلات الشخصيّة. وأما الأحكام القضائية فيجب أن تكون مطابقةً لمعايير حقوق الإسلام</w:t>
      </w:r>
      <w:r w:rsidRPr="007F5B58">
        <w:rPr>
          <w:rtl/>
        </w:rPr>
        <w:t>؛</w:t>
      </w:r>
      <w:r>
        <w:rPr>
          <w:rtl/>
        </w:rPr>
        <w:t xml:space="preserve"> لأنّ الظاهر أنّ المهر المرتفع</w:t>
      </w:r>
      <w:r w:rsidRPr="007F5B58">
        <w:rPr>
          <w:rtl/>
        </w:rPr>
        <w:t>؛</w:t>
      </w:r>
      <w:r>
        <w:rPr>
          <w:rtl/>
        </w:rPr>
        <w:t xml:space="preserve"> بالالتفات إلى اشتراط المطالبة</w:t>
      </w:r>
      <w:r w:rsidRPr="007F5B58">
        <w:rPr>
          <w:rtl/>
        </w:rPr>
        <w:t>،</w:t>
      </w:r>
      <w:r>
        <w:rPr>
          <w:rtl/>
        </w:rPr>
        <w:t xml:space="preserve"> وإثباته في دوائر السجلاّت والأسناد الرسميّة</w:t>
      </w:r>
      <w:r w:rsidRPr="007F5B58">
        <w:rPr>
          <w:rtl/>
        </w:rPr>
        <w:t>،</w:t>
      </w:r>
      <w:r>
        <w:rPr>
          <w:rtl/>
        </w:rPr>
        <w:t xml:space="preserve"> وعملاً بمقتضى القرائن والظهورات العرفيّة</w:t>
      </w:r>
      <w:r w:rsidRPr="007F5B58">
        <w:rPr>
          <w:rtl/>
        </w:rPr>
        <w:t>،</w:t>
      </w:r>
      <w:r>
        <w:rPr>
          <w:rtl/>
        </w:rPr>
        <w:t xml:space="preserve"> ليس حالاًّ</w:t>
      </w:r>
      <w:r w:rsidRPr="007F5B58">
        <w:rPr>
          <w:rtl/>
        </w:rPr>
        <w:t>،</w:t>
      </w:r>
      <w:r>
        <w:rPr>
          <w:rtl/>
        </w:rPr>
        <w:t xml:space="preserve"> ولا نقديّاً</w:t>
      </w:r>
      <w:r w:rsidRPr="007F5B58">
        <w:rPr>
          <w:rtl/>
        </w:rPr>
        <w:t>،</w:t>
      </w:r>
      <w:r>
        <w:rPr>
          <w:rtl/>
        </w:rPr>
        <w:t xml:space="preserve"> الأمر الذي يعني أنّه لا يكفي لثبوت حقّ الزوجة في الحبس. مضافاً إلى مخالفة حبس المديون العاجز عن أداء الدين للموازين الإسلاميّة</w:t>
      </w:r>
      <w:r w:rsidRPr="007F5B58">
        <w:rPr>
          <w:rtl/>
        </w:rPr>
        <w:t>،</w:t>
      </w:r>
      <w:r>
        <w:rPr>
          <w:rtl/>
        </w:rPr>
        <w:t xml:space="preserve"> ولزوم الرفق به</w:t>
      </w:r>
      <w:r w:rsidRPr="007F5B58">
        <w:rPr>
          <w:rtl/>
        </w:rPr>
        <w:t>،</w:t>
      </w:r>
      <w:r>
        <w:rPr>
          <w:rtl/>
        </w:rPr>
        <w:t xml:space="preserve"> وإعطائه </w:t>
      </w:r>
      <w:r>
        <w:rPr>
          <w:rtl/>
        </w:rPr>
        <w:lastRenderedPageBreak/>
        <w:t>مهلةً ونَظِرةً إلى ميسرة</w:t>
      </w:r>
      <w:r>
        <w:rPr>
          <w:rFonts w:hint="cs"/>
          <w:rtl/>
        </w:rPr>
        <w:t>.</w:t>
      </w:r>
      <w:r>
        <w:rPr>
          <w:rtl/>
        </w:rPr>
        <w:t xml:space="preserve"> فلو أخذت الهيئة القضائيّة هذا الحكم بعين الاعتبار لما حكمت بالسجن على أيّ زوج لمجرّد عجزه عن تأدية المهر</w:t>
      </w:r>
      <w:r w:rsidRPr="007F5B58">
        <w:rPr>
          <w:rtl/>
        </w:rPr>
        <w:t>،</w:t>
      </w:r>
      <w:r>
        <w:rPr>
          <w:rtl/>
        </w:rPr>
        <w:t xml:space="preserve"> وبالتالي فلن يكون هناك ما يرغّب المرأة بتسمية مهرٍ مرتفعٍ لا قدرة للزوج على أدائه.</w:t>
      </w:r>
    </w:p>
    <w:p w:rsidR="00EE06ED" w:rsidRDefault="00EE06ED" w:rsidP="00AC628B">
      <w:pPr>
        <w:pStyle w:val="ac"/>
        <w:rPr>
          <w:rtl/>
        </w:rPr>
        <w:sectPr w:rsidR="00EE06ED" w:rsidSect="00EA348C">
          <w:headerReference w:type="even" r:id="rId81"/>
          <w:headerReference w:type="default" r:id="rId82"/>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AC628B" w:rsidRDefault="00AC628B" w:rsidP="00AC628B">
      <w:pPr>
        <w:pStyle w:val="ac"/>
        <w:rPr>
          <w:rtl/>
        </w:rPr>
      </w:pPr>
    </w:p>
    <w:p w:rsidR="00AC628B" w:rsidRDefault="00AC628B">
      <w:pPr>
        <w:widowControl/>
        <w:bidi w:val="0"/>
        <w:spacing w:line="240" w:lineRule="auto"/>
        <w:ind w:firstLine="0"/>
        <w:jc w:val="left"/>
        <w:outlineLvl w:val="9"/>
        <w:rPr>
          <w:rFonts w:ascii="Arno Pro Display" w:hAnsi="Arno Pro Display"/>
          <w:sz w:val="28"/>
          <w:szCs w:val="30"/>
          <w:rtl/>
        </w:rPr>
      </w:pPr>
      <w:r>
        <w:rPr>
          <w:rtl/>
        </w:rPr>
        <w:br w:type="page"/>
      </w:r>
    </w:p>
    <w:p w:rsidR="00AC628B" w:rsidRDefault="00AC628B" w:rsidP="00AC628B">
      <w:pPr>
        <w:pStyle w:val="ac"/>
        <w:rPr>
          <w:rtl/>
        </w:rPr>
      </w:pPr>
    </w:p>
    <w:p w:rsidR="00AC628B" w:rsidRDefault="00AC628B" w:rsidP="00AC628B">
      <w:pPr>
        <w:pStyle w:val="ac"/>
        <w:rPr>
          <w:rtl/>
        </w:rPr>
      </w:pPr>
    </w:p>
    <w:p w:rsidR="00AC628B" w:rsidRDefault="00AC628B" w:rsidP="00AC628B">
      <w:pPr>
        <w:pStyle w:val="ac"/>
        <w:rPr>
          <w:rtl/>
        </w:rPr>
      </w:pPr>
    </w:p>
    <w:p w:rsidR="00AC628B" w:rsidRDefault="00AC628B" w:rsidP="00AC628B">
      <w:pPr>
        <w:pStyle w:val="ac"/>
        <w:rPr>
          <w:rtl/>
        </w:rPr>
      </w:pPr>
    </w:p>
    <w:p w:rsidR="00AC628B" w:rsidRDefault="00AC628B" w:rsidP="00AC628B">
      <w:pPr>
        <w:pStyle w:val="ac"/>
        <w:rPr>
          <w:rtl/>
        </w:rPr>
      </w:pPr>
    </w:p>
    <w:p w:rsidR="00EE06ED" w:rsidRDefault="00EE06ED" w:rsidP="00AC628B">
      <w:pPr>
        <w:pStyle w:val="aff2"/>
        <w:rPr>
          <w:rtl/>
          <w:lang w:bidi="fa-IR"/>
        </w:rPr>
        <w:sectPr w:rsidR="00EE06ED" w:rsidSect="00EA348C">
          <w:headerReference w:type="default" r:id="rId83"/>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410" w:name="_Toc249938386"/>
    </w:p>
    <w:p w:rsidR="00AC628B" w:rsidRDefault="00AC628B" w:rsidP="007B653E">
      <w:pPr>
        <w:pStyle w:val="aff2"/>
        <w:rPr>
          <w:rtl/>
        </w:rPr>
      </w:pPr>
      <w:bookmarkStart w:id="411" w:name="_Toc275128126"/>
      <w:r>
        <w:rPr>
          <w:rFonts w:hint="cs"/>
          <w:rtl/>
          <w:lang w:bidi="fa-IR"/>
        </w:rPr>
        <w:lastRenderedPageBreak/>
        <w:t>إمامة المرأة</w:t>
      </w:r>
      <w:bookmarkStart w:id="412" w:name="_Toc249939706"/>
      <w:bookmarkEnd w:id="410"/>
      <w:r w:rsidR="007B653E">
        <w:rPr>
          <w:rFonts w:hint="cs"/>
          <w:rtl/>
          <w:lang w:bidi="fa-IR"/>
        </w:rPr>
        <w:t xml:space="preserve"> </w:t>
      </w:r>
      <w:r w:rsidRPr="007B653E">
        <w:rPr>
          <w:rFonts w:hint="cs"/>
          <w:rtl/>
        </w:rPr>
        <w:t>في صلاتي الجمعة والجماعة</w:t>
      </w:r>
      <w:bookmarkEnd w:id="411"/>
      <w:bookmarkEnd w:id="412"/>
    </w:p>
    <w:p w:rsidR="007B653E" w:rsidRPr="007B653E" w:rsidRDefault="007B653E" w:rsidP="007B653E">
      <w:pPr>
        <w:pStyle w:val="aff2"/>
        <w:rPr>
          <w:sz w:val="22"/>
          <w:szCs w:val="40"/>
          <w:rtl/>
        </w:rPr>
      </w:pPr>
      <w:bookmarkStart w:id="413" w:name="_Toc275128127"/>
      <w:r w:rsidRPr="007B653E">
        <w:rPr>
          <w:rFonts w:hint="cs"/>
          <w:sz w:val="22"/>
          <w:szCs w:val="40"/>
          <w:rtl/>
        </w:rPr>
        <w:t>نظرية فقهية جديدة</w:t>
      </w:r>
      <w:bookmarkEnd w:id="413"/>
    </w:p>
    <w:p w:rsidR="00AC628B" w:rsidRDefault="00AC628B" w:rsidP="00AC628B">
      <w:pPr>
        <w:pStyle w:val="af7"/>
        <w:rPr>
          <w:rtl/>
        </w:rPr>
      </w:pPr>
      <w:bookmarkStart w:id="414" w:name="_Toc249938387"/>
      <w:bookmarkStart w:id="415" w:name="_Toc275128128"/>
      <w:r>
        <w:rPr>
          <w:rFonts w:hint="cs"/>
          <w:rtl/>
          <w:lang w:bidi="fa-IR"/>
        </w:rPr>
        <w:t xml:space="preserve">الشيخ </w:t>
      </w:r>
      <w:r w:rsidR="007B653E">
        <w:rPr>
          <w:rFonts w:hint="cs"/>
          <w:rtl/>
          <w:lang w:bidi="fa-IR"/>
        </w:rPr>
        <w:t xml:space="preserve">د. </w:t>
      </w:r>
      <w:r>
        <w:rPr>
          <w:rFonts w:hint="cs"/>
          <w:rtl/>
          <w:lang w:bidi="fa-IR"/>
        </w:rPr>
        <w:t>عبد الله أميدي فرد</w:t>
      </w:r>
      <w:r w:rsidRPr="00213AFE">
        <w:rPr>
          <w:rFonts w:cs="md_ameli" w:hint="cs"/>
          <w:sz w:val="37"/>
          <w:szCs w:val="27"/>
          <w:vertAlign w:val="superscript"/>
          <w:rtl/>
        </w:rPr>
        <w:t>(</w:t>
      </w:r>
      <w:r w:rsidRPr="00213AFE">
        <w:rPr>
          <w:rStyle w:val="FootnoteReference"/>
          <w:rFonts w:cs="md_ameli"/>
          <w:sz w:val="37"/>
          <w:szCs w:val="27"/>
          <w:rtl/>
        </w:rPr>
        <w:footnoteReference w:customMarkFollows="1" w:id="803"/>
        <w:t>*</w:t>
      </w:r>
      <w:r w:rsidRPr="00213AFE">
        <w:rPr>
          <w:rFonts w:cs="md_ameli" w:hint="cs"/>
          <w:sz w:val="37"/>
          <w:szCs w:val="27"/>
          <w:vertAlign w:val="superscript"/>
          <w:rtl/>
        </w:rPr>
        <w:t>)</w:t>
      </w:r>
      <w:bookmarkEnd w:id="414"/>
      <w:bookmarkEnd w:id="415"/>
    </w:p>
    <w:p w:rsidR="00AC628B" w:rsidRPr="007F7201" w:rsidRDefault="00AC628B" w:rsidP="007F7201">
      <w:pPr>
        <w:pStyle w:val="afffffc"/>
        <w:rPr>
          <w:sz w:val="22"/>
          <w:szCs w:val="20"/>
          <w:rtl/>
        </w:rPr>
      </w:pPr>
    </w:p>
    <w:p w:rsidR="00AC628B" w:rsidRDefault="00AC628B" w:rsidP="00AC628B">
      <w:pPr>
        <w:pStyle w:val="1"/>
        <w:rPr>
          <w:rtl/>
          <w:lang w:bidi="fa-IR"/>
        </w:rPr>
      </w:pPr>
      <w:bookmarkStart w:id="416" w:name="_Toc275128129"/>
      <w:r>
        <w:rPr>
          <w:rFonts w:hint="cs"/>
          <w:rtl/>
          <w:lang w:bidi="fa-IR"/>
        </w:rPr>
        <w:t>مقدمة</w:t>
      </w:r>
      <w:bookmarkEnd w:id="416"/>
    </w:p>
    <w:p w:rsidR="00AC628B" w:rsidRDefault="00AC628B" w:rsidP="00AC628B">
      <w:pPr>
        <w:pStyle w:val="ac"/>
        <w:rPr>
          <w:rtl/>
          <w:lang w:bidi="fa-IR"/>
        </w:rPr>
      </w:pPr>
      <w:r>
        <w:rPr>
          <w:rFonts w:hint="cs"/>
          <w:rtl/>
          <w:lang w:bidi="fa-IR"/>
        </w:rPr>
        <w:t xml:space="preserve">من القضايا التي يجب البحث وإعادة النظر فيها مجدّداً قضية شرط الذكورة في إمامة الجماعة والجمعة، فحين </w:t>
      </w:r>
      <w:r>
        <w:rPr>
          <w:rFonts w:hint="cs"/>
          <w:rtl/>
        </w:rPr>
        <w:t>إ</w:t>
      </w:r>
      <w:r>
        <w:rPr>
          <w:rFonts w:hint="cs"/>
          <w:rtl/>
          <w:lang w:bidi="fa-IR"/>
        </w:rPr>
        <w:t xml:space="preserve">ثبات عدم وجوب هذا الشرط لربّما تتهيّأ الظروف الملائمة لعددٍ </w:t>
      </w:r>
      <w:r>
        <w:rPr>
          <w:rFonts w:hint="cs"/>
          <w:rtl/>
        </w:rPr>
        <w:t>أك</w:t>
      </w:r>
      <w:r>
        <w:rPr>
          <w:rFonts w:hint="cs"/>
          <w:rtl/>
          <w:lang w:bidi="fa-IR"/>
        </w:rPr>
        <w:t>بر من المؤمنين لأداء هذه الفريضة المقدّسة.</w:t>
      </w:r>
    </w:p>
    <w:p w:rsidR="00AC628B" w:rsidRPr="007F7201" w:rsidRDefault="00AC628B" w:rsidP="007F7201">
      <w:pPr>
        <w:pStyle w:val="afffffc"/>
        <w:rPr>
          <w:sz w:val="22"/>
          <w:szCs w:val="20"/>
          <w:rtl/>
          <w:lang w:bidi="fa-IR"/>
        </w:rPr>
      </w:pPr>
    </w:p>
    <w:p w:rsidR="00AC628B" w:rsidRDefault="007B653E" w:rsidP="007B653E">
      <w:pPr>
        <w:pStyle w:val="1"/>
        <w:rPr>
          <w:rtl/>
          <w:lang w:bidi="fa-IR"/>
        </w:rPr>
      </w:pPr>
      <w:bookmarkStart w:id="417" w:name="_Toc275128130"/>
      <w:r w:rsidRPr="007B653E">
        <w:rPr>
          <w:rFonts w:hint="cs"/>
          <w:rtl/>
        </w:rPr>
        <w:t xml:space="preserve">1ـ </w:t>
      </w:r>
      <w:r>
        <w:rPr>
          <w:rFonts w:hint="cs"/>
          <w:rtl/>
          <w:lang w:bidi="fa-IR"/>
        </w:rPr>
        <w:t>إمامة المرأة في صلاة الجماعة</w:t>
      </w:r>
      <w:bookmarkEnd w:id="417"/>
    </w:p>
    <w:p w:rsidR="00AC628B" w:rsidRDefault="00AC628B" w:rsidP="00AC628B">
      <w:pPr>
        <w:pStyle w:val="ac"/>
        <w:rPr>
          <w:rtl/>
          <w:lang w:bidi="fa-IR"/>
        </w:rPr>
      </w:pPr>
      <w:r w:rsidRPr="00ED287E">
        <w:rPr>
          <w:rFonts w:hint="cs"/>
          <w:rtl/>
        </w:rPr>
        <w:t>قال ابن إدريس الحلّي: ولا يجوز إمامة المرأة للرجال عل</w:t>
      </w:r>
      <w:r>
        <w:rPr>
          <w:rFonts w:hint="cs"/>
          <w:rtl/>
        </w:rPr>
        <w:t>ى</w:t>
      </w:r>
      <w:r w:rsidRPr="00ED287E">
        <w:rPr>
          <w:rFonts w:hint="cs"/>
          <w:rtl/>
        </w:rPr>
        <w:t xml:space="preserve"> وجهٍ...</w:t>
      </w:r>
      <w:r w:rsidRPr="00815C4C">
        <w:rPr>
          <w:rFonts w:cs="Taher" w:hint="cs"/>
          <w:vertAlign w:val="superscript"/>
          <w:rtl/>
        </w:rPr>
        <w:t>(</w:t>
      </w:r>
      <w:r w:rsidRPr="00815C4C">
        <w:rPr>
          <w:rFonts w:cs="Taher"/>
          <w:vertAlign w:val="superscript"/>
          <w:rtl/>
        </w:rPr>
        <w:footnoteReference w:id="804"/>
      </w:r>
      <w:r w:rsidRPr="00815C4C">
        <w:rPr>
          <w:rFonts w:cs="Taher"/>
          <w:vertAlign w:val="superscript"/>
          <w:rtl/>
        </w:rPr>
        <w:t>)</w:t>
      </w:r>
      <w:r>
        <w:rPr>
          <w:rFonts w:hint="cs"/>
          <w:rtl/>
          <w:lang w:bidi="fa-IR"/>
        </w:rPr>
        <w:t>.</w:t>
      </w:r>
    </w:p>
    <w:p w:rsidR="00AC628B" w:rsidRDefault="00AC628B" w:rsidP="00935CC0">
      <w:pPr>
        <w:pStyle w:val="ac"/>
        <w:rPr>
          <w:rtl/>
          <w:lang w:bidi="fa-IR"/>
        </w:rPr>
      </w:pPr>
      <w:r>
        <w:rPr>
          <w:rFonts w:hint="cs"/>
          <w:rtl/>
          <w:lang w:bidi="fa-IR"/>
        </w:rPr>
        <w:t>وجاء عن العلامة الحلّي</w:t>
      </w:r>
      <w:r w:rsidRPr="00815C4C">
        <w:rPr>
          <w:rFonts w:cs="Taher" w:hint="cs"/>
          <w:vertAlign w:val="superscript"/>
          <w:rtl/>
        </w:rPr>
        <w:t>(</w:t>
      </w:r>
      <w:r w:rsidRPr="00815C4C">
        <w:rPr>
          <w:rFonts w:cs="Taher"/>
          <w:vertAlign w:val="superscript"/>
          <w:rtl/>
        </w:rPr>
        <w:footnoteReference w:id="805"/>
      </w:r>
      <w:r w:rsidRPr="00815C4C">
        <w:rPr>
          <w:rFonts w:cs="Taher"/>
          <w:vertAlign w:val="superscript"/>
          <w:rtl/>
        </w:rPr>
        <w:t>)</w:t>
      </w:r>
      <w:r>
        <w:rPr>
          <w:rFonts w:hint="cs"/>
          <w:rtl/>
          <w:lang w:bidi="fa-IR"/>
        </w:rPr>
        <w:t>، والشهيد الأول</w:t>
      </w:r>
      <w:r w:rsidRPr="00815C4C">
        <w:rPr>
          <w:rFonts w:cs="Taher" w:hint="cs"/>
          <w:vertAlign w:val="superscript"/>
          <w:rtl/>
        </w:rPr>
        <w:t>(</w:t>
      </w:r>
      <w:r w:rsidRPr="00815C4C">
        <w:rPr>
          <w:rFonts w:cs="Taher"/>
          <w:vertAlign w:val="superscript"/>
          <w:rtl/>
        </w:rPr>
        <w:footnoteReference w:id="806"/>
      </w:r>
      <w:r w:rsidRPr="00815C4C">
        <w:rPr>
          <w:rFonts w:cs="Taher"/>
          <w:vertAlign w:val="superscript"/>
          <w:rtl/>
        </w:rPr>
        <w:t>)</w:t>
      </w:r>
      <w:r>
        <w:rPr>
          <w:rFonts w:hint="cs"/>
          <w:rtl/>
          <w:lang w:bidi="fa-IR"/>
        </w:rPr>
        <w:t>، والمحقّق الأردبيلي</w:t>
      </w:r>
      <w:r w:rsidRPr="00815C4C">
        <w:rPr>
          <w:rFonts w:cs="Taher" w:hint="cs"/>
          <w:vertAlign w:val="superscript"/>
          <w:rtl/>
        </w:rPr>
        <w:t>(</w:t>
      </w:r>
      <w:r w:rsidRPr="00815C4C">
        <w:rPr>
          <w:rFonts w:cs="Taher"/>
          <w:vertAlign w:val="superscript"/>
          <w:rtl/>
        </w:rPr>
        <w:footnoteReference w:id="807"/>
      </w:r>
      <w:r w:rsidRPr="00815C4C">
        <w:rPr>
          <w:rFonts w:cs="Taher"/>
          <w:vertAlign w:val="superscript"/>
          <w:rtl/>
        </w:rPr>
        <w:t>)</w:t>
      </w:r>
      <w:r>
        <w:rPr>
          <w:rFonts w:hint="cs"/>
          <w:rtl/>
          <w:lang w:bidi="fa-IR"/>
        </w:rPr>
        <w:t xml:space="preserve">، والمحقّق الحلي </w:t>
      </w:r>
      <w:r>
        <w:rPr>
          <w:rFonts w:hint="cs"/>
          <w:rtl/>
          <w:lang w:bidi="fa-IR"/>
        </w:rPr>
        <w:lastRenderedPageBreak/>
        <w:t xml:space="preserve">في المعتبر: ولا تؤمّ امرأةٌ رجلاً </w:t>
      </w:r>
      <w:r w:rsidRPr="00935CC0">
        <w:rPr>
          <w:rFonts w:hint="cs"/>
          <w:rtl/>
        </w:rPr>
        <w:t>ولا خنثى؛</w:t>
      </w:r>
      <w:r>
        <w:rPr>
          <w:rFonts w:hint="cs"/>
          <w:rtl/>
          <w:lang w:bidi="fa-IR"/>
        </w:rPr>
        <w:t xml:space="preserve"> لاحتمال كونه رجلاً، وعليه اتّفاق العلماء، ولقوله×</w:t>
      </w:r>
      <w:r w:rsidRPr="00194D07">
        <w:rPr>
          <w:rFonts w:hint="cs"/>
          <w:rtl/>
        </w:rPr>
        <w:t>:«</w:t>
      </w:r>
      <w:r w:rsidRPr="00EC003E">
        <w:rPr>
          <w:rFonts w:hint="cs"/>
          <w:rtl/>
        </w:rPr>
        <w:t>أخّروهنّ من حيثُ أخّرهنّ الله</w:t>
      </w:r>
      <w:r w:rsidRPr="00194D07">
        <w:rPr>
          <w:rFonts w:hint="cs"/>
          <w:rtl/>
        </w:rPr>
        <w:t>»</w:t>
      </w:r>
      <w:r>
        <w:rPr>
          <w:rFonts w:hint="cs"/>
          <w:rtl/>
          <w:lang w:bidi="fa-IR"/>
        </w:rPr>
        <w:t xml:space="preserve">؛ ولأنّ المرأة مأمورة بالخفاء والاستتار والإمام بالظهور والاشتهار، ويلزم من الاحتمال المذكور أن لا يؤمّ </w:t>
      </w:r>
      <w:r w:rsidRPr="00935CC0">
        <w:rPr>
          <w:rFonts w:hint="cs"/>
          <w:rtl/>
        </w:rPr>
        <w:t>الخنثى ر</w:t>
      </w:r>
      <w:r>
        <w:rPr>
          <w:rFonts w:hint="cs"/>
          <w:rtl/>
          <w:lang w:bidi="fa-IR"/>
        </w:rPr>
        <w:t>جلاً...</w:t>
      </w:r>
      <w:r w:rsidRPr="00815C4C">
        <w:rPr>
          <w:rFonts w:cs="Taher" w:hint="cs"/>
          <w:vertAlign w:val="superscript"/>
          <w:rtl/>
        </w:rPr>
        <w:t>(</w:t>
      </w:r>
      <w:r w:rsidRPr="00815C4C">
        <w:rPr>
          <w:rFonts w:cs="Taher"/>
          <w:vertAlign w:val="superscript"/>
          <w:rtl/>
        </w:rPr>
        <w:footnoteReference w:id="808"/>
      </w:r>
      <w:r w:rsidRPr="00815C4C">
        <w:rPr>
          <w:rFonts w:cs="Taher"/>
          <w:vertAlign w:val="superscript"/>
          <w:rtl/>
        </w:rPr>
        <w:t>)</w:t>
      </w:r>
      <w:r>
        <w:rPr>
          <w:rFonts w:hint="cs"/>
          <w:rtl/>
          <w:lang w:bidi="fa-IR"/>
        </w:rPr>
        <w:t>.</w:t>
      </w:r>
    </w:p>
    <w:p w:rsidR="00AC628B" w:rsidRDefault="00AC628B" w:rsidP="007F7201">
      <w:pPr>
        <w:pStyle w:val="ac"/>
        <w:spacing w:line="211" w:lineRule="auto"/>
        <w:rPr>
          <w:rtl/>
          <w:lang w:bidi="fa-IR"/>
        </w:rPr>
      </w:pPr>
      <w:r>
        <w:rPr>
          <w:rFonts w:hint="cs"/>
          <w:rtl/>
          <w:lang w:bidi="fa-IR"/>
        </w:rPr>
        <w:t xml:space="preserve">وقد جعل المرحوم النراقي شرط الذكورة سادس شرطٍ من شروط إمام الجماعة، وقال: السادس: الذكوريّة، إذا كان الإمام ذكراً أو </w:t>
      </w:r>
      <w:r w:rsidRPr="00935CC0">
        <w:rPr>
          <w:rFonts w:hint="cs"/>
          <w:rtl/>
        </w:rPr>
        <w:t xml:space="preserve">أُنثى، </w:t>
      </w:r>
      <w:r>
        <w:rPr>
          <w:rFonts w:hint="cs"/>
          <w:rtl/>
          <w:lang w:bidi="fa-IR"/>
        </w:rPr>
        <w:t xml:space="preserve">فلا يجوز إمامة المرأة لرجلٍ باتّفاق العلماء كما عن المعتبر، بل الإجماع المحقّق المحكي في التذكرة والمفاتيح وشرحه، وعن </w:t>
      </w:r>
      <w:r w:rsidRPr="00935CC0">
        <w:rPr>
          <w:rFonts w:hint="cs"/>
          <w:rtl/>
        </w:rPr>
        <w:t>المنتهى والروضة والذكرى وغيرها، وهو الدليل عليه، مضافاً إلى التأييد بالنبوي المشهور والمرتضوي المروي في الدّعائم اللذين ضعفهما بالعمل مجبور، لا تؤمّ المرأة رجلاً، وإنّما جعلناهما مؤي</w:t>
      </w:r>
      <w:r>
        <w:rPr>
          <w:rFonts w:hint="cs"/>
          <w:rtl/>
          <w:lang w:bidi="fa-IR"/>
        </w:rPr>
        <w:t>دين لاحتمال الجملة المنفية غير الصريحة في التحريم</w:t>
      </w:r>
      <w:r w:rsidRPr="00815C4C">
        <w:rPr>
          <w:rFonts w:cs="Taher" w:hint="cs"/>
          <w:vertAlign w:val="superscript"/>
          <w:rtl/>
        </w:rPr>
        <w:t>(</w:t>
      </w:r>
      <w:r w:rsidRPr="00815C4C">
        <w:rPr>
          <w:rFonts w:cs="Taher"/>
          <w:vertAlign w:val="superscript"/>
          <w:rtl/>
        </w:rPr>
        <w:footnoteReference w:id="809"/>
      </w:r>
      <w:r w:rsidRPr="00815C4C">
        <w:rPr>
          <w:rFonts w:cs="Taher"/>
          <w:vertAlign w:val="superscript"/>
          <w:rtl/>
        </w:rPr>
        <w:t>)</w:t>
      </w:r>
      <w:r>
        <w:rPr>
          <w:rFonts w:hint="cs"/>
          <w:rtl/>
          <w:lang w:bidi="fa-IR"/>
        </w:rPr>
        <w:t>.</w:t>
      </w:r>
    </w:p>
    <w:p w:rsidR="00AC628B" w:rsidRDefault="00AC628B" w:rsidP="007F7201">
      <w:pPr>
        <w:pStyle w:val="ac"/>
        <w:spacing w:line="211" w:lineRule="auto"/>
        <w:rPr>
          <w:rtl/>
          <w:lang w:bidi="fa-IR"/>
        </w:rPr>
      </w:pPr>
      <w:r>
        <w:rPr>
          <w:rFonts w:hint="cs"/>
          <w:rtl/>
          <w:lang w:bidi="fa-IR"/>
        </w:rPr>
        <w:t xml:space="preserve">وأمّا صاحب الجواهر فبعد أن نقل عبارة الشرائع، قال: يشترط في الإمام الذكورة إذا كان </w:t>
      </w:r>
      <w:r w:rsidRPr="00194D07">
        <w:rPr>
          <w:rFonts w:hint="cs"/>
          <w:rtl/>
        </w:rPr>
        <w:t>المأموم ذكراناً، أو ذكراناً و</w:t>
      </w:r>
      <w:r>
        <w:rPr>
          <w:rFonts w:hint="cs"/>
          <w:rtl/>
        </w:rPr>
        <w:t>إ</w:t>
      </w:r>
      <w:r w:rsidRPr="00194D07">
        <w:rPr>
          <w:rFonts w:hint="cs"/>
          <w:rtl/>
        </w:rPr>
        <w:t>ناثاً، فلا يجوز إمامة المرأة لهم</w:t>
      </w:r>
      <w:r>
        <w:rPr>
          <w:rFonts w:hint="cs"/>
          <w:rtl/>
          <w:lang w:bidi="fa-IR"/>
        </w:rPr>
        <w:t>،</w:t>
      </w:r>
      <w:r w:rsidRPr="00194D07">
        <w:rPr>
          <w:rFonts w:hint="cs"/>
          <w:rtl/>
        </w:rPr>
        <w:t xml:space="preserve"> بلا خلاف أجده فيه نقلاً وتحصيلاً، بل في الخلاف والمنتهى والتذكرة والذكرى والروض</w:t>
      </w:r>
      <w:r>
        <w:rPr>
          <w:rFonts w:hint="cs"/>
          <w:rtl/>
        </w:rPr>
        <w:t>ة</w:t>
      </w:r>
      <w:r>
        <w:rPr>
          <w:rFonts w:hint="cs"/>
          <w:rtl/>
          <w:lang w:bidi="fa-IR"/>
        </w:rPr>
        <w:t>،</w:t>
      </w:r>
      <w:r w:rsidRPr="00194D07">
        <w:rPr>
          <w:rFonts w:hint="cs"/>
          <w:rtl/>
        </w:rPr>
        <w:t xml:space="preserve"> وعن غيرها</w:t>
      </w:r>
      <w:r>
        <w:rPr>
          <w:rFonts w:hint="cs"/>
          <w:rtl/>
        </w:rPr>
        <w:t>،</w:t>
      </w:r>
      <w:r w:rsidRPr="00194D07">
        <w:rPr>
          <w:rFonts w:hint="cs"/>
          <w:rtl/>
        </w:rPr>
        <w:t xml:space="preserve"> الإجماع عليه</w:t>
      </w:r>
      <w:r w:rsidRPr="00815C4C">
        <w:rPr>
          <w:rFonts w:cs="Taher" w:hint="cs"/>
          <w:vertAlign w:val="superscript"/>
          <w:rtl/>
        </w:rPr>
        <w:t>(</w:t>
      </w:r>
      <w:r w:rsidRPr="00815C4C">
        <w:rPr>
          <w:rFonts w:cs="Taher"/>
          <w:vertAlign w:val="superscript"/>
          <w:rtl/>
        </w:rPr>
        <w:footnoteReference w:id="810"/>
      </w:r>
      <w:r w:rsidRPr="00815C4C">
        <w:rPr>
          <w:rFonts w:cs="Taher"/>
          <w:vertAlign w:val="superscript"/>
          <w:rtl/>
        </w:rPr>
        <w:t>)</w:t>
      </w:r>
      <w:r>
        <w:rPr>
          <w:rFonts w:hint="cs"/>
          <w:rtl/>
          <w:lang w:bidi="fa-IR"/>
        </w:rPr>
        <w:t>.</w:t>
      </w:r>
    </w:p>
    <w:p w:rsidR="00AC628B" w:rsidRDefault="00AC628B" w:rsidP="007F7201">
      <w:pPr>
        <w:pStyle w:val="ac"/>
        <w:rPr>
          <w:rtl/>
          <w:lang w:bidi="fa-IR"/>
        </w:rPr>
      </w:pPr>
      <w:r>
        <w:rPr>
          <w:rFonts w:hint="cs"/>
          <w:rtl/>
          <w:lang w:bidi="fa-IR"/>
        </w:rPr>
        <w:t xml:space="preserve">بناءً </w:t>
      </w:r>
      <w:r w:rsidRPr="00935CC0">
        <w:rPr>
          <w:rFonts w:hint="cs"/>
          <w:rtl/>
        </w:rPr>
        <w:t>على ما تمّ ذكره من كلا</w:t>
      </w:r>
      <w:r>
        <w:rPr>
          <w:rFonts w:hint="cs"/>
          <w:rtl/>
          <w:lang w:bidi="fa-IR"/>
        </w:rPr>
        <w:t>م الفقهاء، حيث اقتبسنا مقداراً يسيراً من آرائهم</w:t>
      </w:r>
      <w:r w:rsidRPr="00815C4C">
        <w:rPr>
          <w:rFonts w:cs="Taher" w:hint="cs"/>
          <w:vertAlign w:val="superscript"/>
          <w:rtl/>
        </w:rPr>
        <w:t>(</w:t>
      </w:r>
      <w:r w:rsidRPr="00815C4C">
        <w:rPr>
          <w:rFonts w:cs="Taher"/>
          <w:vertAlign w:val="superscript"/>
          <w:rtl/>
        </w:rPr>
        <w:footnoteReference w:id="811"/>
      </w:r>
      <w:r w:rsidRPr="00815C4C">
        <w:rPr>
          <w:rFonts w:cs="Taher"/>
          <w:vertAlign w:val="superscript"/>
          <w:rtl/>
        </w:rPr>
        <w:t>)</w:t>
      </w:r>
      <w:r>
        <w:rPr>
          <w:rFonts w:hint="cs"/>
          <w:rtl/>
          <w:lang w:bidi="fa-IR"/>
        </w:rPr>
        <w:t xml:space="preserve">، نلاحظ أنّ علماء </w:t>
      </w:r>
      <w:r w:rsidRPr="00935CC0">
        <w:rPr>
          <w:rFonts w:hint="cs"/>
          <w:rtl/>
        </w:rPr>
        <w:t xml:space="preserve">الاسلام قد اتّفقت آراؤهم على كون إمام الجماعة رجلاً إذا </w:t>
      </w:r>
      <w:r>
        <w:rPr>
          <w:rFonts w:hint="cs"/>
          <w:rtl/>
          <w:lang w:bidi="fa-IR"/>
        </w:rPr>
        <w:t>كان المأمومون رجالاً أو رجالاً ونساءً معاً.</w:t>
      </w:r>
    </w:p>
    <w:p w:rsidR="00AC628B" w:rsidRDefault="00AC628B" w:rsidP="00AC628B">
      <w:pPr>
        <w:pStyle w:val="1"/>
        <w:rPr>
          <w:rtl/>
          <w:lang w:bidi="fa-IR"/>
        </w:rPr>
      </w:pPr>
      <w:bookmarkStart w:id="418" w:name="_Toc275128131"/>
      <w:r>
        <w:rPr>
          <w:rFonts w:hint="cs"/>
          <w:rtl/>
          <w:lang w:bidi="fa-IR"/>
        </w:rPr>
        <w:lastRenderedPageBreak/>
        <w:t>أدلة اشتراط الذكورة في إمام الجماعة</w:t>
      </w:r>
      <w:r w:rsidR="007B653E">
        <w:rPr>
          <w:rFonts w:hint="cs"/>
          <w:rtl/>
          <w:lang w:bidi="fa-IR"/>
        </w:rPr>
        <w:t>، نقد وتعليق</w:t>
      </w:r>
      <w:bookmarkEnd w:id="418"/>
    </w:p>
    <w:p w:rsidR="00AC628B" w:rsidRDefault="00AC628B" w:rsidP="007F7201">
      <w:pPr>
        <w:pStyle w:val="2"/>
        <w:rPr>
          <w:rtl/>
          <w:lang w:bidi="fa-IR"/>
        </w:rPr>
      </w:pPr>
      <w:bookmarkStart w:id="419" w:name="_Toc275128132"/>
      <w:r w:rsidRPr="002C02FD">
        <w:rPr>
          <w:rFonts w:hint="cs"/>
          <w:rtl/>
          <w:lang w:bidi="fa-IR"/>
        </w:rPr>
        <w:t>أ</w:t>
      </w:r>
      <w:r>
        <w:rPr>
          <w:rFonts w:hint="cs"/>
          <w:rtl/>
          <w:lang w:bidi="fa-IR"/>
        </w:rPr>
        <w:t>ـ</w:t>
      </w:r>
      <w:r w:rsidRPr="002C02FD">
        <w:rPr>
          <w:rFonts w:hint="cs"/>
          <w:rtl/>
          <w:lang w:bidi="fa-IR"/>
        </w:rPr>
        <w:t xml:space="preserve"> أصالة الاشتغال وقاعدة الاحتياط</w:t>
      </w:r>
      <w:bookmarkEnd w:id="419"/>
    </w:p>
    <w:p w:rsidR="00AC628B" w:rsidRDefault="00AC628B" w:rsidP="00AC628B">
      <w:pPr>
        <w:pStyle w:val="ac"/>
        <w:rPr>
          <w:rtl/>
          <w:lang w:bidi="fa-IR"/>
        </w:rPr>
      </w:pPr>
      <w:r w:rsidRPr="008F4C24">
        <w:rPr>
          <w:rFonts w:hint="cs"/>
          <w:rtl/>
        </w:rPr>
        <w:t>أصالة الاشتغال وقاعدة الاحتياط</w:t>
      </w:r>
      <w:r>
        <w:rPr>
          <w:rFonts w:hint="cs"/>
          <w:rtl/>
          <w:lang w:bidi="fa-IR"/>
        </w:rPr>
        <w:t>،</w:t>
      </w:r>
      <w:r w:rsidRPr="008F4C24">
        <w:rPr>
          <w:rFonts w:hint="cs"/>
          <w:rtl/>
        </w:rPr>
        <w:t xml:space="preserve"> اللتان مجراهما الشكّ بالمكلّف به، نجريهما بعد العلم بالتكليف، أي أنّ الشكّ يكون في مقام سقوط التكليف، على عكس </w:t>
      </w:r>
      <w:r>
        <w:rPr>
          <w:rFonts w:hint="cs"/>
          <w:rtl/>
        </w:rPr>
        <w:t>إ</w:t>
      </w:r>
      <w:r w:rsidRPr="008F4C24">
        <w:rPr>
          <w:rFonts w:hint="cs"/>
          <w:rtl/>
        </w:rPr>
        <w:t>جراء قاعدة البرا</w:t>
      </w:r>
      <w:r>
        <w:rPr>
          <w:rFonts w:hint="cs"/>
          <w:rtl/>
        </w:rPr>
        <w:t>ء</w:t>
      </w:r>
      <w:r w:rsidRPr="008F4C24">
        <w:rPr>
          <w:rFonts w:hint="cs"/>
          <w:rtl/>
        </w:rPr>
        <w:t xml:space="preserve">ة التي يكون الشكّ فيها ناشئاً عن ثبوت التكليف؛ </w:t>
      </w:r>
      <w:r>
        <w:rPr>
          <w:rFonts w:hint="cs"/>
          <w:rtl/>
        </w:rPr>
        <w:t>و</w:t>
      </w:r>
      <w:r w:rsidRPr="008F4C24">
        <w:rPr>
          <w:rFonts w:hint="cs"/>
          <w:rtl/>
        </w:rPr>
        <w:t xml:space="preserve">بعبارة </w:t>
      </w:r>
      <w:r>
        <w:rPr>
          <w:rFonts w:hint="cs"/>
          <w:rtl/>
        </w:rPr>
        <w:t>أُ</w:t>
      </w:r>
      <w:r w:rsidRPr="008F4C24">
        <w:rPr>
          <w:rFonts w:hint="cs"/>
          <w:rtl/>
        </w:rPr>
        <w:t>خر</w:t>
      </w:r>
      <w:r>
        <w:rPr>
          <w:rFonts w:hint="cs"/>
          <w:rtl/>
        </w:rPr>
        <w:t>ى:</w:t>
      </w:r>
      <w:r w:rsidRPr="008F4C24">
        <w:rPr>
          <w:rFonts w:hint="cs"/>
          <w:rtl/>
        </w:rPr>
        <w:t xml:space="preserve"> </w:t>
      </w:r>
      <w:r>
        <w:rPr>
          <w:rFonts w:hint="cs"/>
          <w:rtl/>
        </w:rPr>
        <w:t>إ</w:t>
      </w:r>
      <w:r w:rsidRPr="008F4C24">
        <w:rPr>
          <w:rFonts w:hint="cs"/>
          <w:rtl/>
        </w:rPr>
        <w:t xml:space="preserve">نّ الإنسان عندما يكون متيقّناً من أصل التكليف والإلزام فإنّه يشكّ في المكلف به، أي </w:t>
      </w:r>
      <w:r>
        <w:rPr>
          <w:rFonts w:hint="cs"/>
          <w:rtl/>
        </w:rPr>
        <w:t>إ</w:t>
      </w:r>
      <w:r w:rsidRPr="008F4C24">
        <w:rPr>
          <w:rFonts w:hint="cs"/>
          <w:rtl/>
        </w:rPr>
        <w:t>نّه يشكّ في</w:t>
      </w:r>
      <w:r>
        <w:rPr>
          <w:rFonts w:hint="cs"/>
          <w:rtl/>
        </w:rPr>
        <w:t xml:space="preserve"> </w:t>
      </w:r>
      <w:r w:rsidRPr="008F4C24">
        <w:rPr>
          <w:rFonts w:hint="cs"/>
          <w:rtl/>
        </w:rPr>
        <w:t xml:space="preserve">ما </w:t>
      </w:r>
      <w:r>
        <w:rPr>
          <w:rFonts w:hint="cs"/>
          <w:rtl/>
        </w:rPr>
        <w:t>أُ</w:t>
      </w:r>
      <w:r w:rsidRPr="008F4C24">
        <w:rPr>
          <w:rFonts w:hint="cs"/>
          <w:rtl/>
        </w:rPr>
        <w:t>لزم على فعله (الوجوب) أو في</w:t>
      </w:r>
      <w:r>
        <w:rPr>
          <w:rFonts w:hint="cs"/>
          <w:rtl/>
        </w:rPr>
        <w:t xml:space="preserve"> </w:t>
      </w:r>
      <w:r w:rsidRPr="008F4C24">
        <w:rPr>
          <w:rFonts w:hint="cs"/>
          <w:rtl/>
        </w:rPr>
        <w:t xml:space="preserve">ما نهي عن فعله (الحرمة)، بناءً على هذا الأصل فإنّ المكلف يجب </w:t>
      </w:r>
      <w:r>
        <w:rPr>
          <w:rFonts w:hint="cs"/>
          <w:rtl/>
        </w:rPr>
        <w:t>أ</w:t>
      </w:r>
      <w:r w:rsidRPr="008F4C24">
        <w:rPr>
          <w:rFonts w:hint="cs"/>
          <w:rtl/>
        </w:rPr>
        <w:t xml:space="preserve">ن يعمل على تحصيل اليقين من خلال أدائه للتكليف، حيث </w:t>
      </w:r>
      <w:r>
        <w:rPr>
          <w:rFonts w:hint="cs"/>
          <w:rtl/>
        </w:rPr>
        <w:t>إ</w:t>
      </w:r>
      <w:r w:rsidRPr="008F4C24">
        <w:rPr>
          <w:rFonts w:hint="cs"/>
          <w:rtl/>
        </w:rPr>
        <w:t>نّ الاشتغال اليقيني يستدعي الفراغ اليقين</w:t>
      </w:r>
      <w:r>
        <w:rPr>
          <w:rFonts w:hint="cs"/>
          <w:rtl/>
          <w:lang w:bidi="fa-IR"/>
        </w:rPr>
        <w:t>ي.</w:t>
      </w:r>
    </w:p>
    <w:p w:rsidR="00AC628B" w:rsidRPr="00935CC0" w:rsidRDefault="00AC628B" w:rsidP="00AC628B">
      <w:pPr>
        <w:pStyle w:val="ac"/>
        <w:rPr>
          <w:rtl/>
        </w:rPr>
      </w:pPr>
      <w:r>
        <w:rPr>
          <w:rFonts w:hint="cs"/>
          <w:rtl/>
          <w:lang w:bidi="fa-IR"/>
        </w:rPr>
        <w:t>والاشتغال هو عبارة عن حكم الشارع أو العقل بلزوم أداء أو ترك جميع احتمالات التكليف حين الشكّ فيه، أ</w:t>
      </w:r>
      <w:r>
        <w:rPr>
          <w:rFonts w:cs="Times New Roman" w:hint="cs"/>
          <w:rtl/>
        </w:rPr>
        <w:t>ي</w:t>
      </w:r>
      <w:r>
        <w:rPr>
          <w:rFonts w:hint="cs"/>
          <w:rtl/>
          <w:lang w:bidi="fa-IR"/>
        </w:rPr>
        <w:t xml:space="preserve"> اشتغال ذمة الانسان بالتكليف المحتمل؛ وبعبارة </w:t>
      </w:r>
      <w:r>
        <w:rPr>
          <w:rFonts w:hint="cs"/>
          <w:rtl/>
        </w:rPr>
        <w:t>أُ</w:t>
      </w:r>
      <w:r w:rsidRPr="008F4C24">
        <w:rPr>
          <w:rFonts w:hint="cs"/>
          <w:rtl/>
        </w:rPr>
        <w:t>خرى</w:t>
      </w:r>
      <w:r>
        <w:rPr>
          <w:rFonts w:hint="cs"/>
          <w:rtl/>
        </w:rPr>
        <w:t>:</w:t>
      </w:r>
      <w:r>
        <w:rPr>
          <w:rFonts w:hint="cs"/>
          <w:rtl/>
          <w:lang w:bidi="fa-IR"/>
        </w:rPr>
        <w:t xml:space="preserve"> إنّه حينما يكون الإنسان متيقّناً من أصل التكليف والإلزام، ولكنّه مردّدٌ بين وجوب هذا التكليف وحرمته، فإنّه استناداً </w:t>
      </w:r>
      <w:r w:rsidRPr="00935CC0">
        <w:rPr>
          <w:rFonts w:hint="cs"/>
          <w:rtl/>
        </w:rPr>
        <w:t>إلى هذا الاصل يتوجّب عليه أداء هذا التكليف ما لم يحصل له اليقين بسقوطه.</w:t>
      </w:r>
    </w:p>
    <w:p w:rsidR="00AC628B" w:rsidRDefault="00AC628B" w:rsidP="00AC628B">
      <w:pPr>
        <w:pStyle w:val="ac"/>
        <w:rPr>
          <w:rtl/>
          <w:lang w:bidi="fa-IR"/>
        </w:rPr>
      </w:pPr>
      <w:r>
        <w:rPr>
          <w:rFonts w:hint="cs"/>
          <w:rtl/>
          <w:lang w:bidi="fa-IR"/>
        </w:rPr>
        <w:t xml:space="preserve">وأما أصالة الاحتياط فيٍجريها المكلّف في مورد الشبهات المقرونة بالعلم الاجمالي، وبلا شكّ فإنّ الاشتغال اليقيني يستدعي الفراغ اليقيني، وبما أنّ الصلاة واجبة </w:t>
      </w:r>
      <w:r w:rsidRPr="00935CC0">
        <w:rPr>
          <w:rFonts w:hint="cs"/>
          <w:rtl/>
        </w:rPr>
        <w:t>على المكلّف المسلم فإنّنا لا نعلم بأنّ القراءة أثناء الصلاة، والتي هي جزء منها، تسقط م</w:t>
      </w:r>
      <w:r>
        <w:rPr>
          <w:rFonts w:hint="cs"/>
          <w:rtl/>
          <w:lang w:bidi="fa-IR"/>
        </w:rPr>
        <w:t>ن عهدة المكلّف حين إقامة صلاة الجماعة بإمامة المرأة أو لا؟</w:t>
      </w:r>
    </w:p>
    <w:p w:rsidR="00AC628B" w:rsidRDefault="00AC628B" w:rsidP="00AC628B">
      <w:pPr>
        <w:pStyle w:val="ac"/>
        <w:rPr>
          <w:rtl/>
          <w:lang w:bidi="fa-IR"/>
        </w:rPr>
      </w:pPr>
      <w:r>
        <w:rPr>
          <w:rFonts w:hint="cs"/>
          <w:rtl/>
          <w:lang w:bidi="fa-IR"/>
        </w:rPr>
        <w:t>وطبقاً لما تقتضيه أصالة الاشتغال وقاعدة الاحتياط يمكن القول بأنّ الأصل هو عدم سقوط قرا</w:t>
      </w:r>
      <w:r>
        <w:rPr>
          <w:rFonts w:hint="cs"/>
          <w:rtl/>
        </w:rPr>
        <w:t>ء</w:t>
      </w:r>
      <w:r>
        <w:rPr>
          <w:rFonts w:hint="cs"/>
          <w:rtl/>
          <w:lang w:bidi="fa-IR"/>
        </w:rPr>
        <w:t>ة فاتحة الكتاب.</w:t>
      </w:r>
    </w:p>
    <w:p w:rsidR="00AC628B" w:rsidRPr="003C7A92" w:rsidRDefault="00AC628B" w:rsidP="007F7201">
      <w:pPr>
        <w:pStyle w:val="afffffc"/>
        <w:rPr>
          <w:rtl/>
        </w:rPr>
      </w:pPr>
    </w:p>
    <w:p w:rsidR="00AC628B" w:rsidRDefault="00AC628B" w:rsidP="007F7201">
      <w:pPr>
        <w:pStyle w:val="2"/>
        <w:rPr>
          <w:rtl/>
          <w:lang w:bidi="fa-IR"/>
        </w:rPr>
      </w:pPr>
      <w:bookmarkStart w:id="420" w:name="_Toc275128133"/>
      <w:r>
        <w:rPr>
          <w:rFonts w:hint="cs"/>
          <w:rtl/>
          <w:lang w:bidi="fa-IR"/>
        </w:rPr>
        <w:t>تحليل ونقد</w:t>
      </w:r>
      <w:bookmarkEnd w:id="420"/>
    </w:p>
    <w:p w:rsidR="00AC628B" w:rsidRPr="00935CC0" w:rsidRDefault="00AC628B" w:rsidP="007F7201">
      <w:pPr>
        <w:pStyle w:val="ac"/>
        <w:rPr>
          <w:rtl/>
        </w:rPr>
      </w:pPr>
      <w:r w:rsidRPr="00880B2C">
        <w:rPr>
          <w:rFonts w:hint="cs"/>
          <w:rtl/>
        </w:rPr>
        <w:t>1ـ</w:t>
      </w:r>
      <w:r>
        <w:rPr>
          <w:rFonts w:hint="cs"/>
          <w:rtl/>
          <w:lang w:bidi="fa-IR"/>
        </w:rPr>
        <w:t xml:space="preserve">  تكون لهذا الاستدلال ثمرة عملية إذا ما تمّ إثبات شرط الذكورية بالدليل القطعي أولاً، ولكن عندما لا يتحقّق مثل هذا القطع فإنّ الاستناد </w:t>
      </w:r>
      <w:r w:rsidRPr="00935CC0">
        <w:rPr>
          <w:rFonts w:hint="cs"/>
          <w:rtl/>
        </w:rPr>
        <w:t xml:space="preserve">على هذا الدليل </w:t>
      </w:r>
      <w:r w:rsidRPr="00935CC0">
        <w:rPr>
          <w:rFonts w:hint="cs"/>
          <w:rtl/>
        </w:rPr>
        <w:lastRenderedPageBreak/>
        <w:t>يعتبر مصادرة للمطلوب.</w:t>
      </w:r>
    </w:p>
    <w:p w:rsidR="00AC628B" w:rsidRDefault="00AC628B" w:rsidP="00AC628B">
      <w:pPr>
        <w:pStyle w:val="ac"/>
        <w:rPr>
          <w:rtl/>
          <w:lang w:bidi="fa-IR"/>
        </w:rPr>
      </w:pPr>
      <w:r w:rsidRPr="00B570B3">
        <w:rPr>
          <w:rFonts w:hint="cs"/>
          <w:rtl/>
        </w:rPr>
        <w:t>2 ـ  يعتبر</w:t>
      </w:r>
      <w:r>
        <w:rPr>
          <w:rFonts w:hint="cs"/>
          <w:rtl/>
          <w:lang w:bidi="fa-IR"/>
        </w:rPr>
        <w:t xml:space="preserve"> هذا الأصل معارضا</w:t>
      </w:r>
      <w:r>
        <w:rPr>
          <w:rFonts w:hint="cs"/>
          <w:rtl/>
        </w:rPr>
        <w:t>ً</w:t>
      </w:r>
      <w:r>
        <w:rPr>
          <w:rFonts w:hint="cs"/>
          <w:rtl/>
          <w:lang w:bidi="fa-IR"/>
        </w:rPr>
        <w:t xml:space="preserve"> لأصل آخر، أي إنّه معارض لأصل عدم اشتراط الذكورة، وتوضيحه يكون</w:t>
      </w:r>
      <w:r w:rsidRPr="00BF5169">
        <w:rPr>
          <w:rFonts w:hint="cs"/>
          <w:rtl/>
        </w:rPr>
        <w:t xml:space="preserve"> عل</w:t>
      </w:r>
      <w:r>
        <w:rPr>
          <w:rFonts w:hint="cs"/>
          <w:rtl/>
          <w:lang w:bidi="fa-IR"/>
        </w:rPr>
        <w:t xml:space="preserve">ى هذا النحو: إنّنا نشكّ بأنّ الذكورة شرط في إمام </w:t>
      </w:r>
      <w:r w:rsidRPr="008F4C24">
        <w:rPr>
          <w:rFonts w:hint="cs"/>
          <w:rtl/>
        </w:rPr>
        <w:t xml:space="preserve">الجماعة أو لا؟ </w:t>
      </w:r>
      <w:r>
        <w:rPr>
          <w:rFonts w:hint="cs"/>
          <w:rtl/>
        </w:rPr>
        <w:t>و</w:t>
      </w:r>
      <w:r w:rsidRPr="008F4C24">
        <w:rPr>
          <w:rFonts w:hint="cs"/>
          <w:rtl/>
        </w:rPr>
        <w:t>الأصل هو عدم اشتراطها، وبناءً عليه</w:t>
      </w:r>
      <w:r>
        <w:rPr>
          <w:rFonts w:hint="cs"/>
          <w:rtl/>
          <w:lang w:bidi="fa-IR"/>
        </w:rPr>
        <w:t>،</w:t>
      </w:r>
      <w:r w:rsidRPr="008F4C24">
        <w:rPr>
          <w:rFonts w:hint="cs"/>
          <w:rtl/>
        </w:rPr>
        <w:t xml:space="preserve"> واستناداً على هذا الأصل، فإنّه لا يبقى لدينا شكّ في ثبوت التكليف (قرا</w:t>
      </w:r>
      <w:r>
        <w:rPr>
          <w:rFonts w:hint="cs"/>
          <w:rtl/>
        </w:rPr>
        <w:t>ء</w:t>
      </w:r>
      <w:r w:rsidRPr="008F4C24">
        <w:rPr>
          <w:rFonts w:hint="cs"/>
          <w:rtl/>
        </w:rPr>
        <w:t>ة سورة الفاتحة) بالنسبة لإمام الجماعة غير الرجل، وحين</w:t>
      </w:r>
      <w:r>
        <w:rPr>
          <w:rFonts w:hint="cs"/>
          <w:rtl/>
        </w:rPr>
        <w:t>ها لا نحتاج إلى إ</w:t>
      </w:r>
      <w:r w:rsidRPr="008F4C24">
        <w:rPr>
          <w:rFonts w:hint="cs"/>
          <w:rtl/>
        </w:rPr>
        <w:t>جراء أصالة الاشتغال.</w:t>
      </w:r>
    </w:p>
    <w:p w:rsidR="00AC628B" w:rsidRDefault="00AC628B" w:rsidP="00AC628B">
      <w:pPr>
        <w:pStyle w:val="ac"/>
        <w:rPr>
          <w:rtl/>
          <w:lang w:bidi="fa-IR"/>
        </w:rPr>
      </w:pPr>
      <w:r w:rsidRPr="00B570B3">
        <w:rPr>
          <w:rFonts w:hint="cs"/>
          <w:rtl/>
        </w:rPr>
        <w:t>3 ـ  بما</w:t>
      </w:r>
      <w:r>
        <w:rPr>
          <w:rFonts w:hint="cs"/>
          <w:rtl/>
          <w:lang w:bidi="fa-IR"/>
        </w:rPr>
        <w:t xml:space="preserve"> أنّنا لا نعلم بوجوب ثبوت شرط الذكورة في إمام الجماعة، ومن جهة </w:t>
      </w:r>
      <w:r w:rsidRPr="00935CC0">
        <w:rPr>
          <w:rFonts w:hint="cs"/>
          <w:rtl/>
        </w:rPr>
        <w:t>أُخرى فإنّ جواز أو</w:t>
      </w:r>
      <w:r>
        <w:rPr>
          <w:rFonts w:hint="cs"/>
          <w:rtl/>
          <w:lang w:bidi="fa-IR"/>
        </w:rPr>
        <w:t xml:space="preserve"> عدم جواز اقتداء الرجال بالنساء في صلاة الجماعة منوط بهذا الشرط، لذلك باستطاعتنا القول: إنّه تزول شرطية الذكورة؛ استناداً لـ </w:t>
      </w:r>
      <w:r w:rsidRPr="008F4C24">
        <w:rPr>
          <w:rFonts w:hint="cs"/>
          <w:rtl/>
        </w:rPr>
        <w:t>«ر</w:t>
      </w:r>
      <w:r>
        <w:rPr>
          <w:rFonts w:hint="cs"/>
          <w:rtl/>
        </w:rPr>
        <w:t>ُ</w:t>
      </w:r>
      <w:r w:rsidRPr="008F4C24">
        <w:rPr>
          <w:rFonts w:hint="cs"/>
          <w:rtl/>
        </w:rPr>
        <w:t>فع...ما لا يعلمون»</w:t>
      </w:r>
      <w:r>
        <w:rPr>
          <w:rFonts w:hint="cs"/>
          <w:rtl/>
          <w:lang w:bidi="fa-IR"/>
        </w:rPr>
        <w:t xml:space="preserve">، حيث نقدّم هذا </w:t>
      </w:r>
      <w:r w:rsidRPr="00935CC0">
        <w:rPr>
          <w:rFonts w:hint="cs"/>
          <w:rtl/>
        </w:rPr>
        <w:t>على أصل الاشتر</w:t>
      </w:r>
      <w:r>
        <w:rPr>
          <w:rFonts w:hint="cs"/>
          <w:rtl/>
          <w:lang w:bidi="fa-IR"/>
        </w:rPr>
        <w:t xml:space="preserve">اط؛ لانّه أعمّ من المؤاخذة، لذلك فإنّ أيّ تكليف لا نعلم حاله يتمّ رفعه عن ذمّة المكلف بالاستناد </w:t>
      </w:r>
      <w:r w:rsidRPr="00935CC0">
        <w:rPr>
          <w:rFonts w:hint="cs"/>
          <w:rtl/>
        </w:rPr>
        <w:t>إلى حديث ال</w:t>
      </w:r>
      <w:r>
        <w:rPr>
          <w:rFonts w:hint="cs"/>
          <w:rtl/>
          <w:lang w:bidi="fa-IR"/>
        </w:rPr>
        <w:t>رفع؛ لأنّ عدم التكليف ظاهر من الشرع.</w:t>
      </w:r>
    </w:p>
    <w:p w:rsidR="00AC628B" w:rsidRDefault="00AC628B" w:rsidP="00AC628B">
      <w:pPr>
        <w:pStyle w:val="ac"/>
        <w:rPr>
          <w:rtl/>
          <w:lang w:bidi="fa-IR"/>
        </w:rPr>
      </w:pPr>
      <w:r w:rsidRPr="00B570B3">
        <w:rPr>
          <w:rFonts w:hint="cs"/>
          <w:rtl/>
        </w:rPr>
        <w:t xml:space="preserve">4 ـ  </w:t>
      </w:r>
      <w:r>
        <w:rPr>
          <w:rFonts w:hint="cs"/>
          <w:rtl/>
          <w:lang w:bidi="fa-IR"/>
        </w:rPr>
        <w:t>عند الشكّ بين الأقل والأكثر في مسألة ما فإنّ آراء الفقهاء مختلفة حينها، ولكن رأي المشهور هو إجراء أصالة البرا</w:t>
      </w:r>
      <w:r>
        <w:rPr>
          <w:rFonts w:hint="cs"/>
          <w:rtl/>
        </w:rPr>
        <w:t>ء</w:t>
      </w:r>
      <w:r>
        <w:rPr>
          <w:rFonts w:hint="cs"/>
          <w:rtl/>
          <w:lang w:bidi="fa-IR"/>
        </w:rPr>
        <w:t>ة في مورد الأكثر؛ وهنا أيضاً يمكننا القول: هل أنّ جز</w:t>
      </w:r>
      <w:r>
        <w:rPr>
          <w:rFonts w:hint="cs"/>
          <w:rtl/>
        </w:rPr>
        <w:t>ء</w:t>
      </w:r>
      <w:r>
        <w:rPr>
          <w:rFonts w:hint="cs"/>
          <w:rtl/>
          <w:lang w:bidi="fa-IR"/>
        </w:rPr>
        <w:t xml:space="preserve">اً آخر من أجزاء الصلاة، مثل قراءة الفاتحة، هو جزء من صلاة المأموم </w:t>
      </w:r>
      <w:r>
        <w:rPr>
          <w:rFonts w:hint="cs"/>
          <w:rtl/>
        </w:rPr>
        <w:t>أ</w:t>
      </w:r>
      <w:r>
        <w:rPr>
          <w:rFonts w:hint="cs"/>
          <w:rtl/>
          <w:lang w:bidi="fa-IR"/>
        </w:rPr>
        <w:t xml:space="preserve">و لا؟ والأصل هو البراءة، فتكون جزئية الفاتحة في الصلاة بالنسبة للمؤتمّ بالمرأة مرتفعة، ولا يوجد مورد </w:t>
      </w:r>
      <w:r w:rsidRPr="008F4C24">
        <w:rPr>
          <w:rFonts w:hint="cs"/>
          <w:rtl/>
        </w:rPr>
        <w:t>حينها لإجراء قاعدتي الاشتغال والاحتياط هنا</w:t>
      </w:r>
      <w:r>
        <w:rPr>
          <w:rFonts w:hint="cs"/>
          <w:rtl/>
        </w:rPr>
        <w:t>،</w:t>
      </w:r>
      <w:r w:rsidRPr="008F4C24">
        <w:rPr>
          <w:rFonts w:hint="cs"/>
          <w:rtl/>
        </w:rPr>
        <w:t xml:space="preserve"> و</w:t>
      </w:r>
      <w:r>
        <w:rPr>
          <w:rFonts w:hint="cs"/>
          <w:rtl/>
        </w:rPr>
        <w:t>إ</w:t>
      </w:r>
      <w:r w:rsidRPr="008F4C24">
        <w:rPr>
          <w:rFonts w:hint="cs"/>
          <w:rtl/>
        </w:rPr>
        <w:t>نّ الشكّ في وجوب القرا</w:t>
      </w:r>
      <w:r>
        <w:rPr>
          <w:rFonts w:hint="cs"/>
          <w:rtl/>
        </w:rPr>
        <w:t>ء</w:t>
      </w:r>
      <w:r w:rsidRPr="008F4C24">
        <w:rPr>
          <w:rFonts w:hint="cs"/>
          <w:rtl/>
        </w:rPr>
        <w:t>ة أو عدمه عند الاقتداء بالمرأة ناشئ عن اشتراط أو عدم اشتراط الذكورية في إمام الجماعة، فعند إجراء الأصل في السبب فإنّه لا يبقى مجال لإجرائه في ا</w:t>
      </w:r>
      <w:r>
        <w:rPr>
          <w:rFonts w:hint="cs"/>
          <w:rtl/>
        </w:rPr>
        <w:t>لمسبّب، أي إنّه لا تصل النوبة إلى إ</w:t>
      </w:r>
      <w:r w:rsidRPr="008F4C24">
        <w:rPr>
          <w:rFonts w:hint="cs"/>
          <w:rtl/>
        </w:rPr>
        <w:t>جراء أصالة الاشتغال</w:t>
      </w:r>
      <w:r>
        <w:rPr>
          <w:rFonts w:hint="cs"/>
          <w:rtl/>
        </w:rPr>
        <w:t>؛</w:t>
      </w:r>
      <w:r w:rsidRPr="008F4C24">
        <w:rPr>
          <w:rFonts w:hint="cs"/>
          <w:rtl/>
        </w:rPr>
        <w:t xml:space="preserve"> ل</w:t>
      </w:r>
      <w:r>
        <w:rPr>
          <w:rFonts w:hint="cs"/>
          <w:rtl/>
        </w:rPr>
        <w:t>أ</w:t>
      </w:r>
      <w:r w:rsidRPr="008F4C24">
        <w:rPr>
          <w:rFonts w:hint="cs"/>
          <w:rtl/>
        </w:rPr>
        <w:t>نّ الأصل السببي مقدّم على الأصل المسبّبي.</w:t>
      </w:r>
    </w:p>
    <w:p w:rsidR="00AC628B" w:rsidRDefault="00AC628B" w:rsidP="00C86626">
      <w:pPr>
        <w:pStyle w:val="ac"/>
        <w:rPr>
          <w:rtl/>
          <w:lang w:bidi="fa-IR"/>
        </w:rPr>
      </w:pPr>
      <w:r w:rsidRPr="00B570B3">
        <w:rPr>
          <w:rFonts w:hint="cs"/>
          <w:rtl/>
        </w:rPr>
        <w:t>5 ـ  نجري</w:t>
      </w:r>
      <w:r>
        <w:rPr>
          <w:rFonts w:hint="cs"/>
          <w:rtl/>
          <w:lang w:bidi="fa-IR"/>
        </w:rPr>
        <w:t xml:space="preserve"> أصالة </w:t>
      </w:r>
      <w:r w:rsidRPr="008F4C24">
        <w:rPr>
          <w:rFonts w:hint="cs"/>
          <w:rtl/>
        </w:rPr>
        <w:t>الاشتغال حينما لا يكون لدينا دليل على سقوط التكليف، بينما في هذه المسألة يوجد لدينا دليل على سقوط التكليف</w:t>
      </w:r>
      <w:r>
        <w:rPr>
          <w:rFonts w:hint="cs"/>
          <w:rtl/>
        </w:rPr>
        <w:t>،</w:t>
      </w:r>
      <w:r w:rsidRPr="008F4C24">
        <w:rPr>
          <w:rFonts w:hint="cs"/>
          <w:rtl/>
        </w:rPr>
        <w:t xml:space="preserve"> والأصل لا يعارضه، ل</w:t>
      </w:r>
      <w:r>
        <w:rPr>
          <w:rFonts w:hint="cs"/>
          <w:rtl/>
        </w:rPr>
        <w:t>أ</w:t>
      </w:r>
      <w:r w:rsidRPr="008F4C24">
        <w:rPr>
          <w:rFonts w:hint="cs"/>
          <w:rtl/>
        </w:rPr>
        <w:t>نّه عند وجود الأمارة لا يبقى لدينا مجال لإجراء الأصل العملي</w:t>
      </w:r>
      <w:r>
        <w:rPr>
          <w:rFonts w:hint="cs"/>
          <w:rtl/>
        </w:rPr>
        <w:t>؛</w:t>
      </w:r>
      <w:r w:rsidRPr="008F4C24">
        <w:rPr>
          <w:rFonts w:hint="cs"/>
          <w:rtl/>
        </w:rPr>
        <w:t xml:space="preserve"> فقد وردت رواية تشير إلى أنّ الرسول الأكرم</w:t>
      </w:r>
      <w:r w:rsidR="00C86626">
        <w:rPr>
          <w:rFonts w:hint="cs"/>
          <w:rtl/>
        </w:rPr>
        <w:t>’</w:t>
      </w:r>
      <w:r w:rsidRPr="008F4C24">
        <w:rPr>
          <w:rFonts w:hint="cs"/>
          <w:rtl/>
        </w:rPr>
        <w:t xml:space="preserve"> أمر </w:t>
      </w:r>
      <w:r>
        <w:rPr>
          <w:rFonts w:hint="cs"/>
          <w:rtl/>
        </w:rPr>
        <w:t>أُ</w:t>
      </w:r>
      <w:r w:rsidRPr="008F4C24">
        <w:rPr>
          <w:rFonts w:hint="cs"/>
          <w:rtl/>
        </w:rPr>
        <w:t xml:space="preserve">مّ ورقة أن تؤمّ أهلها في صلاة الجماعة؛ وبما أنّ كلمة (أهل) </w:t>
      </w:r>
      <w:r w:rsidRPr="008F4C24">
        <w:rPr>
          <w:rFonts w:hint="cs"/>
          <w:rtl/>
        </w:rPr>
        <w:lastRenderedPageBreak/>
        <w:t>تشمل الذكور والإناث عل</w:t>
      </w:r>
      <w:r>
        <w:rPr>
          <w:rFonts w:hint="cs"/>
          <w:rtl/>
        </w:rPr>
        <w:t>ى حدٍّ سواء</w:t>
      </w:r>
      <w:r w:rsidRPr="008F4C24">
        <w:rPr>
          <w:rFonts w:hint="cs"/>
          <w:rtl/>
        </w:rPr>
        <w:t xml:space="preserve"> فيكون من المعلوم حين</w:t>
      </w:r>
      <w:r>
        <w:rPr>
          <w:rFonts w:hint="cs"/>
          <w:rtl/>
          <w:lang w:bidi="fa-IR"/>
        </w:rPr>
        <w:t>ها أنّ المرأة يمكن أن تكون إماماً للجماعة، بما فيهم الرجال، وتزول أصالة الاشتغال حينها.</w:t>
      </w:r>
    </w:p>
    <w:p w:rsidR="00AC628B" w:rsidRDefault="00AC628B" w:rsidP="007F7201">
      <w:pPr>
        <w:pStyle w:val="ac"/>
        <w:rPr>
          <w:rtl/>
          <w:lang w:bidi="fa-IR"/>
        </w:rPr>
      </w:pPr>
      <w:r w:rsidRPr="00B570B3">
        <w:rPr>
          <w:rFonts w:hint="cs"/>
          <w:rtl/>
        </w:rPr>
        <w:t>6ـ  الإطلاقات</w:t>
      </w:r>
      <w:r>
        <w:rPr>
          <w:rFonts w:hint="cs"/>
          <w:rtl/>
          <w:lang w:bidi="fa-IR"/>
        </w:rPr>
        <w:t xml:space="preserve"> والعمومات الموجودة في الأدلّة، والتي تمسّك بها الفقهاء في باب صلاة الجماعة واستحبابها.</w:t>
      </w:r>
    </w:p>
    <w:p w:rsidR="00AC628B" w:rsidRDefault="00AC628B" w:rsidP="007F7201">
      <w:pPr>
        <w:pStyle w:val="ac"/>
        <w:rPr>
          <w:rtl/>
          <w:lang w:bidi="fa-IR"/>
        </w:rPr>
      </w:pPr>
      <w:r w:rsidRPr="00B570B3">
        <w:rPr>
          <w:rFonts w:hint="cs"/>
          <w:rtl/>
        </w:rPr>
        <w:t>7ـ  اشتراك</w:t>
      </w:r>
      <w:r>
        <w:rPr>
          <w:rFonts w:hint="cs"/>
          <w:rtl/>
          <w:lang w:bidi="fa-IR"/>
        </w:rPr>
        <w:t xml:space="preserve"> الرجل والمرأة في الأحكام الشرعية يمكن اعتباره هنا دليلاً </w:t>
      </w:r>
      <w:r w:rsidRPr="00935CC0">
        <w:rPr>
          <w:rFonts w:hint="cs"/>
          <w:rtl/>
        </w:rPr>
        <w:t>على ما ن</w:t>
      </w:r>
      <w:r>
        <w:rPr>
          <w:rFonts w:hint="cs"/>
          <w:rtl/>
          <w:lang w:bidi="fa-IR"/>
        </w:rPr>
        <w:t>دّعي؛ لأنّ الأصل العملي (الاشتغال) لا يمكن إعماله في الموارد التي توجد أمارة عليها.</w:t>
      </w:r>
    </w:p>
    <w:p w:rsidR="00AC628B" w:rsidRPr="007F7201" w:rsidRDefault="00AC628B" w:rsidP="007F7201">
      <w:pPr>
        <w:pStyle w:val="afffffc"/>
        <w:rPr>
          <w:sz w:val="22"/>
          <w:szCs w:val="20"/>
          <w:rtl/>
          <w:lang w:bidi="fa-IR"/>
        </w:rPr>
      </w:pPr>
    </w:p>
    <w:p w:rsidR="00AC628B" w:rsidRDefault="00AC628B" w:rsidP="007F7201">
      <w:pPr>
        <w:pStyle w:val="2"/>
        <w:rPr>
          <w:rFonts w:cs="Traditional Arabic"/>
          <w:sz w:val="36"/>
          <w:rtl/>
          <w:lang w:bidi="fa-IR"/>
        </w:rPr>
      </w:pPr>
      <w:bookmarkStart w:id="421" w:name="_Toc275128134"/>
      <w:r w:rsidRPr="00BD568E">
        <w:rPr>
          <w:rFonts w:hint="cs"/>
          <w:rtl/>
          <w:lang w:bidi="fa-IR"/>
        </w:rPr>
        <w:t>ب ـ الحديث النبوي:</w:t>
      </w:r>
      <w:r>
        <w:rPr>
          <w:rFonts w:hint="cs"/>
          <w:rtl/>
          <w:lang w:bidi="fa-IR"/>
        </w:rPr>
        <w:t xml:space="preserve"> </w:t>
      </w:r>
      <w:r w:rsidRPr="00617008">
        <w:rPr>
          <w:rFonts w:ascii="Arno Pro Display" w:hAnsi="Arno Pro Display" w:cs="Mosawi" w:hint="cs"/>
          <w:szCs w:val="30"/>
          <w:rtl/>
        </w:rPr>
        <w:t>«</w:t>
      </w:r>
      <w:r w:rsidRPr="00BD568E">
        <w:rPr>
          <w:rFonts w:hint="cs"/>
          <w:rtl/>
          <w:lang w:bidi="fa-IR"/>
        </w:rPr>
        <w:t>أخّروهنّ من حيثُ أخّرهنّ الله</w:t>
      </w:r>
      <w:r w:rsidRPr="00617008">
        <w:rPr>
          <w:rFonts w:ascii="Arno Pro Display" w:hAnsi="Arno Pro Display" w:cs="Mosawi" w:hint="cs"/>
          <w:szCs w:val="30"/>
          <w:rtl/>
        </w:rPr>
        <w:t>»</w:t>
      </w:r>
      <w:bookmarkEnd w:id="421"/>
    </w:p>
    <w:p w:rsidR="00AC628B" w:rsidRDefault="00AC628B" w:rsidP="00C86626">
      <w:pPr>
        <w:pStyle w:val="ac"/>
        <w:rPr>
          <w:rtl/>
          <w:lang w:bidi="fa-IR"/>
        </w:rPr>
      </w:pPr>
      <w:r>
        <w:rPr>
          <w:rFonts w:hint="cs"/>
          <w:rtl/>
          <w:lang w:bidi="fa-IR"/>
        </w:rPr>
        <w:t xml:space="preserve">قال في الحدائق: الثالث: </w:t>
      </w:r>
      <w:r>
        <w:rPr>
          <w:rFonts w:hint="cs"/>
          <w:rtl/>
        </w:rPr>
        <w:t>«</w:t>
      </w:r>
      <w:r>
        <w:rPr>
          <w:rFonts w:hint="cs"/>
          <w:rtl/>
          <w:lang w:bidi="fa-IR"/>
        </w:rPr>
        <w:t xml:space="preserve">إنّه لا خلاف في أنّه لا يجوز أن تؤمّ المرأة الرجل، نقل ذلك </w:t>
      </w:r>
      <w:r>
        <w:rPr>
          <w:rFonts w:hint="cs"/>
          <w:rtl/>
        </w:rPr>
        <w:t>غير</w:t>
      </w:r>
      <w:r>
        <w:rPr>
          <w:rFonts w:hint="cs"/>
          <w:rtl/>
          <w:lang w:bidi="fa-IR"/>
        </w:rPr>
        <w:t xml:space="preserve"> واحد من الأصحاب، واستدلّوا عليه بما روي عن النبي</w:t>
      </w:r>
      <w:r w:rsidR="00C86626">
        <w:rPr>
          <w:rFonts w:hint="cs"/>
          <w:rtl/>
        </w:rPr>
        <w:t>’</w:t>
      </w:r>
      <w:r>
        <w:rPr>
          <w:rFonts w:hint="cs"/>
          <w:rtl/>
          <w:lang w:bidi="fa-IR"/>
        </w:rPr>
        <w:t xml:space="preserve"> قال</w:t>
      </w:r>
      <w:r w:rsidRPr="008F4C24">
        <w:rPr>
          <w:rFonts w:hint="cs"/>
          <w:rtl/>
        </w:rPr>
        <w:t>:«لا تؤمّ المرأة رجلاً»</w:t>
      </w:r>
      <w:r>
        <w:rPr>
          <w:rFonts w:hint="cs"/>
          <w:rtl/>
          <w:lang w:bidi="fa-IR"/>
        </w:rPr>
        <w:t>،</w:t>
      </w:r>
      <w:r w:rsidRPr="008F4C24">
        <w:rPr>
          <w:rFonts w:hint="cs"/>
          <w:rtl/>
        </w:rPr>
        <w:t xml:space="preserve"> </w:t>
      </w:r>
      <w:r>
        <w:rPr>
          <w:rFonts w:hint="cs"/>
          <w:rtl/>
          <w:lang w:bidi="fa-IR"/>
        </w:rPr>
        <w:t>وعنه</w:t>
      </w:r>
      <w:r w:rsidR="00C86626">
        <w:rPr>
          <w:rFonts w:hint="cs"/>
          <w:rtl/>
        </w:rPr>
        <w:t>’</w:t>
      </w:r>
      <w:r>
        <w:rPr>
          <w:rFonts w:hint="cs"/>
          <w:rtl/>
          <w:lang w:bidi="fa-IR"/>
        </w:rPr>
        <w:t xml:space="preserve"> أنّه قال:</w:t>
      </w:r>
      <w:r w:rsidRPr="00610E6D">
        <w:rPr>
          <w:rFonts w:cs="Mitra" w:hint="cs"/>
          <w:sz w:val="32"/>
          <w:szCs w:val="32"/>
          <w:rtl/>
          <w:lang w:bidi="fa-IR"/>
        </w:rPr>
        <w:t xml:space="preserve"> </w:t>
      </w:r>
      <w:r w:rsidRPr="008F4C24">
        <w:rPr>
          <w:rFonts w:hint="cs"/>
          <w:rtl/>
        </w:rPr>
        <w:t>«أخّروهنّ من حيثُ أخّرهنّ الله...»</w:t>
      </w:r>
      <w:r w:rsidRPr="00815C4C">
        <w:rPr>
          <w:rFonts w:cs="Taher" w:hint="cs"/>
          <w:vertAlign w:val="superscript"/>
          <w:rtl/>
        </w:rPr>
        <w:t>(</w:t>
      </w:r>
      <w:r w:rsidRPr="00815C4C">
        <w:rPr>
          <w:rFonts w:cs="Taher"/>
          <w:vertAlign w:val="superscript"/>
          <w:rtl/>
        </w:rPr>
        <w:footnoteReference w:id="812"/>
      </w:r>
      <w:r w:rsidRPr="00815C4C">
        <w:rPr>
          <w:rFonts w:cs="Taher"/>
          <w:vertAlign w:val="superscript"/>
          <w:rtl/>
        </w:rPr>
        <w:t>)</w:t>
      </w:r>
      <w:r>
        <w:rPr>
          <w:rFonts w:hint="cs"/>
          <w:rtl/>
        </w:rPr>
        <w:t>»</w:t>
      </w:r>
      <w:r>
        <w:rPr>
          <w:rFonts w:hint="cs"/>
          <w:rtl/>
          <w:lang w:bidi="fa-IR"/>
        </w:rPr>
        <w:t>.</w:t>
      </w:r>
    </w:p>
    <w:p w:rsidR="00AC628B" w:rsidRDefault="00AC628B" w:rsidP="00AC628B">
      <w:pPr>
        <w:pStyle w:val="ac"/>
        <w:rPr>
          <w:rtl/>
          <w:lang w:bidi="fa-IR"/>
        </w:rPr>
      </w:pPr>
      <w:r>
        <w:rPr>
          <w:rFonts w:hint="cs"/>
          <w:rtl/>
          <w:lang w:bidi="fa-IR"/>
        </w:rPr>
        <w:t>وأمّا المرحوم الأصفهاني فقد قال:</w:t>
      </w:r>
      <w:r>
        <w:rPr>
          <w:rFonts w:hint="cs"/>
          <w:rtl/>
        </w:rPr>
        <w:t>«</w:t>
      </w:r>
      <w:r>
        <w:rPr>
          <w:rFonts w:hint="cs"/>
          <w:rtl/>
          <w:lang w:bidi="fa-IR"/>
        </w:rPr>
        <w:t xml:space="preserve">...منها: الذكورة إذا كان في المأمومين رجل، </w:t>
      </w:r>
      <w:r w:rsidRPr="00875D0C">
        <w:rPr>
          <w:rFonts w:hint="cs"/>
          <w:spacing w:val="-10"/>
          <w:rtl/>
          <w:lang w:bidi="fa-IR"/>
        </w:rPr>
        <w:t>ومدرك الاعتبار أخبارٌ ضعافٌ منجبرةٌ باستناد المشهور إليها والاستدلال بها في</w:t>
      </w:r>
      <w:r>
        <w:rPr>
          <w:rFonts w:hint="cs"/>
          <w:rtl/>
          <w:lang w:bidi="fa-IR"/>
        </w:rPr>
        <w:t xml:space="preserve"> كتبهم...</w:t>
      </w:r>
      <w:r>
        <w:rPr>
          <w:rFonts w:hint="cs"/>
          <w:rtl/>
        </w:rPr>
        <w:t>»</w:t>
      </w:r>
      <w:r w:rsidRPr="00815C4C">
        <w:rPr>
          <w:rFonts w:cs="Taher" w:hint="cs"/>
          <w:vertAlign w:val="superscript"/>
          <w:rtl/>
        </w:rPr>
        <w:t>(</w:t>
      </w:r>
      <w:r w:rsidRPr="00815C4C">
        <w:rPr>
          <w:rFonts w:cs="Taher"/>
          <w:vertAlign w:val="superscript"/>
          <w:rtl/>
        </w:rPr>
        <w:footnoteReference w:id="813"/>
      </w:r>
      <w:r w:rsidRPr="00815C4C">
        <w:rPr>
          <w:rFonts w:cs="Taher"/>
          <w:vertAlign w:val="superscript"/>
          <w:rtl/>
        </w:rPr>
        <w:t>)</w:t>
      </w:r>
      <w:r>
        <w:rPr>
          <w:rFonts w:hint="cs"/>
          <w:rtl/>
          <w:lang w:bidi="fa-IR"/>
        </w:rPr>
        <w:t>.</w:t>
      </w:r>
    </w:p>
    <w:p w:rsidR="00AC628B" w:rsidRPr="007F7201" w:rsidRDefault="00AC628B" w:rsidP="007F7201">
      <w:pPr>
        <w:pStyle w:val="afffffc"/>
        <w:rPr>
          <w:sz w:val="20"/>
          <w:szCs w:val="18"/>
          <w:rtl/>
          <w:lang w:bidi="fa-IR"/>
        </w:rPr>
      </w:pPr>
    </w:p>
    <w:p w:rsidR="00AC628B" w:rsidRDefault="00AC628B" w:rsidP="007F7201">
      <w:pPr>
        <w:pStyle w:val="2"/>
        <w:rPr>
          <w:rtl/>
          <w:lang w:bidi="fa-IR"/>
        </w:rPr>
      </w:pPr>
      <w:bookmarkStart w:id="422" w:name="_Toc275128135"/>
      <w:r>
        <w:rPr>
          <w:rFonts w:hint="cs"/>
          <w:rtl/>
          <w:lang w:bidi="fa-IR"/>
        </w:rPr>
        <w:t>تحليل ونقد</w:t>
      </w:r>
      <w:bookmarkEnd w:id="422"/>
    </w:p>
    <w:p w:rsidR="00AC628B" w:rsidRDefault="00AC628B" w:rsidP="00C86626">
      <w:pPr>
        <w:pStyle w:val="ac"/>
        <w:rPr>
          <w:rtl/>
          <w:lang w:bidi="fa-IR"/>
        </w:rPr>
      </w:pPr>
      <w:r w:rsidRPr="006C06A9">
        <w:rPr>
          <w:rFonts w:hint="cs"/>
          <w:rtl/>
        </w:rPr>
        <w:t>1ـ هذه</w:t>
      </w:r>
      <w:r>
        <w:rPr>
          <w:rFonts w:hint="cs"/>
          <w:rtl/>
          <w:lang w:bidi="fa-IR"/>
        </w:rPr>
        <w:t xml:space="preserve"> الرواية فيها ضعف من ناحية السند والمضمون، فمضمونها يُعتبر مخالفاً للضوابط ومخالفاً لدليل الاشتراك في الأحكام بين الرجل والمرأة، علاوة </w:t>
      </w:r>
      <w:r w:rsidRPr="00935CC0">
        <w:rPr>
          <w:rFonts w:hint="cs"/>
          <w:rtl/>
        </w:rPr>
        <w:t>على كو</w:t>
      </w:r>
      <w:r>
        <w:rPr>
          <w:rFonts w:hint="cs"/>
          <w:rtl/>
          <w:lang w:bidi="fa-IR"/>
        </w:rPr>
        <w:t>نه مخالفاً للآيات القرآنية التي تُثبت أنّ الرجل والمرأة من جنس واحد.</w:t>
      </w:r>
    </w:p>
    <w:p w:rsidR="00AC628B" w:rsidRDefault="00AC628B" w:rsidP="007F7201">
      <w:pPr>
        <w:pStyle w:val="ac"/>
        <w:rPr>
          <w:rtl/>
        </w:rPr>
      </w:pPr>
      <w:r w:rsidRPr="006C06A9">
        <w:rPr>
          <w:rFonts w:hint="cs"/>
          <w:rtl/>
        </w:rPr>
        <w:t>2ـ  بغضّ</w:t>
      </w:r>
      <w:r>
        <w:rPr>
          <w:rFonts w:hint="cs"/>
          <w:rtl/>
          <w:lang w:bidi="fa-IR"/>
        </w:rPr>
        <w:t xml:space="preserve"> </w:t>
      </w:r>
      <w:r w:rsidRPr="00AC628B">
        <w:rPr>
          <w:rFonts w:hint="cs"/>
          <w:rtl/>
        </w:rPr>
        <w:t xml:space="preserve">النظر عن سند ومضمون الرواية، ففي هذه الحالة يكون التمسّك بالدليل في مورد الشبهة المصداقية مخصّصاً لها؛ لأنّ كون المكلف إمام جماعة متقدّم رتبةً وكونه مأموماً متأخرٌ رتبةً هو أوّل البحث، ولذا فإننا لا نستطيع أن نستدلّ بهذه الرواية على </w:t>
      </w:r>
      <w:r w:rsidRPr="00AC628B">
        <w:rPr>
          <w:rFonts w:hint="cs"/>
          <w:rtl/>
        </w:rPr>
        <w:lastRenderedPageBreak/>
        <w:t>شرط الذكورية في إمام الجماعة.</w:t>
      </w:r>
    </w:p>
    <w:p w:rsidR="00AC628B" w:rsidRPr="007F7201" w:rsidRDefault="00AC628B" w:rsidP="007F7201">
      <w:pPr>
        <w:pStyle w:val="afffffc"/>
        <w:rPr>
          <w:sz w:val="18"/>
          <w:szCs w:val="16"/>
          <w:rtl/>
        </w:rPr>
      </w:pPr>
    </w:p>
    <w:p w:rsidR="00AC628B" w:rsidRPr="00BD5D00" w:rsidRDefault="00AC628B" w:rsidP="007F7201">
      <w:pPr>
        <w:pStyle w:val="2"/>
        <w:rPr>
          <w:sz w:val="36"/>
          <w:rtl/>
          <w:lang w:bidi="fa-IR"/>
        </w:rPr>
      </w:pPr>
      <w:bookmarkStart w:id="423" w:name="_Toc275128136"/>
      <w:r w:rsidRPr="00BD568E">
        <w:rPr>
          <w:rFonts w:hint="cs"/>
          <w:rtl/>
          <w:lang w:bidi="fa-IR"/>
        </w:rPr>
        <w:t xml:space="preserve">ج ـ </w:t>
      </w:r>
      <w:r>
        <w:rPr>
          <w:rFonts w:hint="cs"/>
          <w:rtl/>
          <w:lang w:bidi="fa-IR"/>
        </w:rPr>
        <w:t xml:space="preserve">حديث </w:t>
      </w:r>
      <w:r w:rsidRPr="00617008">
        <w:rPr>
          <w:rFonts w:ascii="Arno Pro Display" w:hAnsi="Arno Pro Display" w:cs="Mosawi" w:hint="cs"/>
          <w:szCs w:val="30"/>
          <w:rtl/>
        </w:rPr>
        <w:t>«</w:t>
      </w:r>
      <w:r w:rsidRPr="00BD568E">
        <w:rPr>
          <w:rFonts w:hint="cs"/>
          <w:rtl/>
          <w:lang w:bidi="fa-IR"/>
        </w:rPr>
        <w:t>لا تؤمّ المرأةُ الرجالَ، وتصلّي بالنساء وتتقدّم وسطهنّ</w:t>
      </w:r>
      <w:r w:rsidRPr="00617008">
        <w:rPr>
          <w:rFonts w:ascii="Arno Pro Display" w:hAnsi="Arno Pro Display" w:cs="Mosawi" w:hint="cs"/>
          <w:szCs w:val="30"/>
          <w:rtl/>
        </w:rPr>
        <w:t>»</w:t>
      </w:r>
      <w:r w:rsidRPr="00815C4C">
        <w:rPr>
          <w:rFonts w:ascii="Arno Pro Display" w:hAnsi="Arno Pro Display" w:cs="Taher" w:hint="cs"/>
          <w:szCs w:val="30"/>
          <w:vertAlign w:val="superscript"/>
          <w:rtl/>
        </w:rPr>
        <w:t>(</w:t>
      </w:r>
      <w:r w:rsidRPr="00815C4C">
        <w:rPr>
          <w:rFonts w:ascii="Arno Pro Display" w:hAnsi="Arno Pro Display" w:cs="Taher"/>
          <w:szCs w:val="30"/>
          <w:vertAlign w:val="superscript"/>
          <w:rtl/>
        </w:rPr>
        <w:footnoteReference w:id="814"/>
      </w:r>
      <w:r w:rsidRPr="00815C4C">
        <w:rPr>
          <w:rFonts w:ascii="Arno Pro Display" w:hAnsi="Arno Pro Display" w:cs="Taher"/>
          <w:szCs w:val="30"/>
          <w:vertAlign w:val="superscript"/>
          <w:rtl/>
        </w:rPr>
        <w:t>)</w:t>
      </w:r>
      <w:bookmarkEnd w:id="423"/>
    </w:p>
    <w:p w:rsidR="00AC628B" w:rsidRDefault="00AC628B" w:rsidP="00AC628B">
      <w:pPr>
        <w:pStyle w:val="ac"/>
        <w:rPr>
          <w:rtl/>
          <w:lang w:bidi="fa-IR"/>
        </w:rPr>
      </w:pPr>
      <w:r>
        <w:rPr>
          <w:rFonts w:hint="cs"/>
          <w:rtl/>
          <w:lang w:bidi="fa-IR"/>
        </w:rPr>
        <w:t xml:space="preserve">والاستدلال بهذه الرواية يكون بهذا الشكل: </w:t>
      </w:r>
      <w:r w:rsidRPr="00885E99">
        <w:rPr>
          <w:rFonts w:hint="cs"/>
          <w:rtl/>
        </w:rPr>
        <w:t>«</w:t>
      </w:r>
      <w:r>
        <w:rPr>
          <w:rFonts w:hint="cs"/>
          <w:rtl/>
          <w:lang w:bidi="fa-IR"/>
        </w:rPr>
        <w:t>لا تؤمّ</w:t>
      </w:r>
      <w:r>
        <w:rPr>
          <w:rFonts w:hint="cs"/>
          <w:rtl/>
        </w:rPr>
        <w:t>»</w:t>
      </w:r>
      <w:r>
        <w:rPr>
          <w:rFonts w:hint="cs"/>
          <w:rtl/>
          <w:lang w:bidi="fa-IR"/>
        </w:rPr>
        <w:t xml:space="preserve"> عبارة عن نهي، أي إنّ الشارع، وحسب منطوق الرواية، يمنع المرأة من أن تؤمّ الرجال.</w:t>
      </w:r>
    </w:p>
    <w:p w:rsidR="00AC628B" w:rsidRPr="007F7201" w:rsidRDefault="00AC628B" w:rsidP="007F7201">
      <w:pPr>
        <w:pStyle w:val="afffffc"/>
        <w:rPr>
          <w:sz w:val="20"/>
          <w:szCs w:val="18"/>
          <w:rtl/>
          <w:lang w:bidi="fa-IR"/>
        </w:rPr>
      </w:pPr>
    </w:p>
    <w:p w:rsidR="00AC628B" w:rsidRPr="00DB65B3" w:rsidRDefault="00AC628B" w:rsidP="007F7201">
      <w:pPr>
        <w:pStyle w:val="2"/>
        <w:rPr>
          <w:rtl/>
          <w:lang w:bidi="fa-IR"/>
        </w:rPr>
      </w:pPr>
      <w:bookmarkStart w:id="424" w:name="_Toc275128137"/>
      <w:r w:rsidRPr="00DB65B3">
        <w:rPr>
          <w:rFonts w:hint="cs"/>
          <w:rtl/>
          <w:lang w:bidi="fa-IR"/>
        </w:rPr>
        <w:t>تحليل ونقد</w:t>
      </w:r>
      <w:bookmarkEnd w:id="424"/>
    </w:p>
    <w:p w:rsidR="00AC628B" w:rsidRDefault="00AC628B" w:rsidP="00AC628B">
      <w:pPr>
        <w:pStyle w:val="ac"/>
        <w:rPr>
          <w:rtl/>
          <w:lang w:bidi="fa-IR"/>
        </w:rPr>
      </w:pPr>
      <w:r w:rsidRPr="006C06A9">
        <w:rPr>
          <w:rFonts w:hint="cs"/>
          <w:rtl/>
        </w:rPr>
        <w:t>1 ـ  يوجد</w:t>
      </w:r>
      <w:r>
        <w:rPr>
          <w:rFonts w:hint="cs"/>
          <w:rtl/>
          <w:lang w:bidi="fa-IR"/>
        </w:rPr>
        <w:t xml:space="preserve"> في هذه الرواية احتمالان:</w:t>
      </w:r>
    </w:p>
    <w:p w:rsidR="00AC628B" w:rsidRDefault="00AC628B" w:rsidP="00AC628B">
      <w:pPr>
        <w:pStyle w:val="ac"/>
        <w:rPr>
          <w:rtl/>
          <w:lang w:bidi="fa-IR"/>
        </w:rPr>
      </w:pPr>
      <w:r w:rsidRPr="002477BB">
        <w:rPr>
          <w:rFonts w:hint="cs"/>
          <w:b/>
          <w:bCs/>
          <w:rtl/>
          <w:lang w:bidi="fa-IR"/>
        </w:rPr>
        <w:t>ال</w:t>
      </w:r>
      <w:r>
        <w:rPr>
          <w:rFonts w:hint="cs"/>
          <w:b/>
          <w:bCs/>
          <w:rtl/>
          <w:lang w:bidi="fa-IR"/>
        </w:rPr>
        <w:t>أ</w:t>
      </w:r>
      <w:r w:rsidRPr="002477BB">
        <w:rPr>
          <w:rFonts w:hint="cs"/>
          <w:b/>
          <w:bCs/>
          <w:rtl/>
          <w:lang w:bidi="fa-IR"/>
        </w:rPr>
        <w:t>ول</w:t>
      </w:r>
      <w:r>
        <w:rPr>
          <w:rFonts w:hint="cs"/>
          <w:rtl/>
          <w:lang w:bidi="fa-IR"/>
        </w:rPr>
        <w:t xml:space="preserve">: </w:t>
      </w:r>
      <w:r w:rsidRPr="00885E99">
        <w:rPr>
          <w:rFonts w:hint="cs"/>
          <w:rtl/>
        </w:rPr>
        <w:t>«</w:t>
      </w:r>
      <w:r>
        <w:rPr>
          <w:rFonts w:hint="cs"/>
          <w:rtl/>
          <w:lang w:bidi="fa-IR"/>
        </w:rPr>
        <w:t>لا تؤمّ</w:t>
      </w:r>
      <w:r>
        <w:rPr>
          <w:rFonts w:hint="cs"/>
          <w:rtl/>
        </w:rPr>
        <w:t>»</w:t>
      </w:r>
      <w:r>
        <w:rPr>
          <w:rFonts w:hint="cs"/>
          <w:rtl/>
          <w:lang w:bidi="fa-IR"/>
        </w:rPr>
        <w:t xml:space="preserve"> يفيد النهي.</w:t>
      </w:r>
    </w:p>
    <w:p w:rsidR="00AC628B" w:rsidRDefault="00AC628B" w:rsidP="00AC628B">
      <w:pPr>
        <w:pStyle w:val="ac"/>
        <w:rPr>
          <w:rtl/>
          <w:lang w:bidi="fa-IR"/>
        </w:rPr>
      </w:pPr>
      <w:r w:rsidRPr="002477BB">
        <w:rPr>
          <w:rFonts w:hint="cs"/>
          <w:b/>
          <w:bCs/>
          <w:rtl/>
          <w:lang w:bidi="fa-IR"/>
        </w:rPr>
        <w:t xml:space="preserve">الثاني: </w:t>
      </w:r>
      <w:r w:rsidRPr="00885E99">
        <w:rPr>
          <w:rFonts w:hint="cs"/>
          <w:rtl/>
        </w:rPr>
        <w:t>«</w:t>
      </w:r>
      <w:r>
        <w:rPr>
          <w:rFonts w:hint="cs"/>
          <w:rtl/>
          <w:lang w:bidi="fa-IR"/>
        </w:rPr>
        <w:t>لا تؤمّ</w:t>
      </w:r>
      <w:r>
        <w:rPr>
          <w:rFonts w:hint="cs"/>
          <w:rtl/>
        </w:rPr>
        <w:t>»</w:t>
      </w:r>
      <w:r>
        <w:rPr>
          <w:rFonts w:hint="cs"/>
          <w:rtl/>
          <w:lang w:bidi="fa-IR"/>
        </w:rPr>
        <w:t xml:space="preserve"> يفيد النفي، وليس نهياً.</w:t>
      </w:r>
    </w:p>
    <w:p w:rsidR="00AC628B" w:rsidRDefault="00AC628B" w:rsidP="00AC628B">
      <w:pPr>
        <w:pStyle w:val="ac"/>
        <w:rPr>
          <w:rtl/>
          <w:lang w:bidi="fa-IR"/>
        </w:rPr>
      </w:pPr>
      <w:r>
        <w:rPr>
          <w:rFonts w:hint="cs"/>
          <w:rtl/>
        </w:rPr>
        <w:t>وفي مثل هذا المورد هنا</w:t>
      </w:r>
      <w:r>
        <w:rPr>
          <w:rFonts w:hint="cs"/>
          <w:rtl/>
          <w:lang w:bidi="fa-IR"/>
        </w:rPr>
        <w:t xml:space="preserve">ك مبانٍ مختلفة يتبنّاها العلماء، حيث قال صاحب الكفاية: </w:t>
      </w:r>
      <w:r>
        <w:rPr>
          <w:rFonts w:hint="cs"/>
          <w:rtl/>
        </w:rPr>
        <w:t>إ</w:t>
      </w:r>
      <w:r>
        <w:rPr>
          <w:rFonts w:hint="cs"/>
          <w:rtl/>
          <w:lang w:bidi="fa-IR"/>
        </w:rPr>
        <w:t xml:space="preserve">ذا وعد الشارع المكلّف بالثواب، فهذا لا يدلّ </w:t>
      </w:r>
      <w:r w:rsidRPr="00935CC0">
        <w:rPr>
          <w:rFonts w:hint="cs"/>
          <w:rtl/>
        </w:rPr>
        <w:t>على ال</w:t>
      </w:r>
      <w:r>
        <w:rPr>
          <w:rFonts w:hint="cs"/>
          <w:rtl/>
          <w:lang w:bidi="fa-IR"/>
        </w:rPr>
        <w:t>إلزام.</w:t>
      </w:r>
    </w:p>
    <w:p w:rsidR="00AC628B" w:rsidRDefault="00AC628B" w:rsidP="00AC628B">
      <w:pPr>
        <w:pStyle w:val="ac"/>
        <w:rPr>
          <w:rtl/>
          <w:lang w:bidi="fa-IR"/>
        </w:rPr>
      </w:pPr>
      <w:r w:rsidRPr="006C06A9">
        <w:rPr>
          <w:rFonts w:hint="cs"/>
          <w:rtl/>
        </w:rPr>
        <w:t>2 ـ  إذا ما</w:t>
      </w:r>
      <w:r>
        <w:rPr>
          <w:rFonts w:hint="cs"/>
          <w:rtl/>
          <w:lang w:bidi="fa-IR"/>
        </w:rPr>
        <w:t xml:space="preserve"> سلّمنا بكون </w:t>
      </w:r>
      <w:r w:rsidRPr="00885E99">
        <w:rPr>
          <w:rFonts w:hint="cs"/>
          <w:rtl/>
        </w:rPr>
        <w:t>«</w:t>
      </w:r>
      <w:r>
        <w:rPr>
          <w:rFonts w:hint="cs"/>
          <w:rtl/>
          <w:lang w:bidi="fa-IR"/>
        </w:rPr>
        <w:t>لا</w:t>
      </w:r>
      <w:r>
        <w:rPr>
          <w:rFonts w:hint="cs"/>
          <w:rtl/>
        </w:rPr>
        <w:t>»</w:t>
      </w:r>
      <w:r>
        <w:rPr>
          <w:rFonts w:hint="cs"/>
          <w:rtl/>
          <w:lang w:bidi="fa-IR"/>
        </w:rPr>
        <w:t xml:space="preserve"> هنا للنهي، حينها يوجد احتمالان لهذا النهي، وهما الحرمة أو الكراهة.</w:t>
      </w:r>
    </w:p>
    <w:p w:rsidR="00AC628B" w:rsidRDefault="00AC628B" w:rsidP="00AC628B">
      <w:pPr>
        <w:pStyle w:val="ac"/>
        <w:rPr>
          <w:rtl/>
          <w:lang w:bidi="fa-IR"/>
        </w:rPr>
      </w:pPr>
      <w:r w:rsidRPr="006C06A9">
        <w:rPr>
          <w:rFonts w:hint="cs"/>
          <w:rtl/>
        </w:rPr>
        <w:t>3 ـ</w:t>
      </w:r>
      <w:r>
        <w:rPr>
          <w:rFonts w:hint="cs"/>
          <w:rtl/>
          <w:lang w:bidi="fa-IR"/>
        </w:rPr>
        <w:t xml:space="preserve">  احتمال كون عبارة </w:t>
      </w:r>
      <w:r w:rsidRPr="00885E99">
        <w:rPr>
          <w:rFonts w:hint="cs"/>
          <w:rtl/>
        </w:rPr>
        <w:t>«</w:t>
      </w:r>
      <w:r>
        <w:rPr>
          <w:rFonts w:hint="cs"/>
          <w:rtl/>
          <w:lang w:bidi="fa-IR"/>
        </w:rPr>
        <w:t>لا تؤمّ</w:t>
      </w:r>
      <w:r>
        <w:rPr>
          <w:rFonts w:hint="cs"/>
          <w:rtl/>
        </w:rPr>
        <w:t>»</w:t>
      </w:r>
      <w:r>
        <w:rPr>
          <w:rFonts w:hint="cs"/>
          <w:rtl/>
          <w:lang w:bidi="fa-IR"/>
        </w:rPr>
        <w:t xml:space="preserve"> للنفي قويٌّ، وفي هذه الحالة فإنّ </w:t>
      </w:r>
      <w:r w:rsidRPr="00935CC0">
        <w:rPr>
          <w:rFonts w:hint="cs"/>
          <w:rtl/>
        </w:rPr>
        <w:t>أقصى ما ي</w:t>
      </w:r>
      <w:r>
        <w:rPr>
          <w:rFonts w:hint="cs"/>
          <w:rtl/>
          <w:lang w:bidi="fa-IR"/>
        </w:rPr>
        <w:t xml:space="preserve">مكن استنتاجه من الرواية هو كون إمامة المرأة للرجال أمراً مرجوحاً، وليس كونه أمراً غير مشروعٍ؛ وذلك لأنّ الجمل الصريحة في النهي هي التي تكون ظاهرة في الحرمة وعدم الجواز، وليس الجمل المنفية، وبالنسبة </w:t>
      </w:r>
      <w:r>
        <w:rPr>
          <w:rFonts w:hint="cs"/>
          <w:rtl/>
        </w:rPr>
        <w:t xml:space="preserve">إلى </w:t>
      </w:r>
      <w:r>
        <w:rPr>
          <w:rFonts w:hint="cs"/>
          <w:rtl/>
          <w:lang w:bidi="fa-IR"/>
        </w:rPr>
        <w:t xml:space="preserve">ما نقل عن الآخوند الخراساني وغيره من كون دلالة ظاهر النفي </w:t>
      </w:r>
      <w:r w:rsidRPr="00935CC0">
        <w:rPr>
          <w:rFonts w:hint="cs"/>
          <w:rtl/>
        </w:rPr>
        <w:t>على الحرمة آ</w:t>
      </w:r>
      <w:r>
        <w:rPr>
          <w:rFonts w:hint="cs"/>
          <w:rtl/>
          <w:lang w:bidi="fa-IR"/>
        </w:rPr>
        <w:t xml:space="preserve">كد فبحسب اعتقادنا ـ وطبقاً للذوق العرفي ـ فالنفي لا يؤكّد الحرمة، بل إنّه لا يستفاد منه أكثر من الرجحان والمرجوحية. </w:t>
      </w:r>
    </w:p>
    <w:p w:rsidR="00AC628B" w:rsidRDefault="00AC628B" w:rsidP="00AC628B">
      <w:pPr>
        <w:pStyle w:val="ac"/>
        <w:rPr>
          <w:rtl/>
          <w:lang w:bidi="fa-IR"/>
        </w:rPr>
      </w:pPr>
      <w:r w:rsidRPr="00833064">
        <w:rPr>
          <w:rFonts w:hint="cs"/>
          <w:rtl/>
        </w:rPr>
        <w:t>4 ـ</w:t>
      </w:r>
      <w:r>
        <w:rPr>
          <w:rFonts w:hint="cs"/>
          <w:rtl/>
          <w:lang w:bidi="fa-IR"/>
        </w:rPr>
        <w:t xml:space="preserve">  هذه الرواية لم تكن معتمدة في كتبنا الفقهية، </w:t>
      </w:r>
      <w:r w:rsidRPr="00935CC0">
        <w:rPr>
          <w:rFonts w:hint="cs"/>
          <w:rtl/>
        </w:rPr>
        <w:t>وحتى استناد ا</w:t>
      </w:r>
      <w:r>
        <w:rPr>
          <w:rFonts w:hint="cs"/>
          <w:rtl/>
          <w:lang w:bidi="fa-IR"/>
        </w:rPr>
        <w:t xml:space="preserve">لأصحاب إليها لم يكن ثابتاً، بل الواضح أنّ الاصحاب لم يستندوا إليها، حيث إنّه قبل عهد الشيخ الطوسي، والذي ذكرها في كتابه الخلاف، لم يتعرّض لها أحد، لذا فإنّه ليس من الممكن </w:t>
      </w:r>
      <w:r>
        <w:rPr>
          <w:rFonts w:hint="cs"/>
          <w:rtl/>
          <w:lang w:bidi="fa-IR"/>
        </w:rPr>
        <w:lastRenderedPageBreak/>
        <w:t>جبران ضعفها بعمل الأصحاب بها.</w:t>
      </w:r>
    </w:p>
    <w:p w:rsidR="00AC628B" w:rsidRPr="007F7201" w:rsidRDefault="00AC628B" w:rsidP="007F7201">
      <w:pPr>
        <w:pStyle w:val="afffffc"/>
        <w:rPr>
          <w:sz w:val="16"/>
          <w:szCs w:val="14"/>
          <w:rtl/>
          <w:lang w:bidi="fa-IR"/>
        </w:rPr>
      </w:pPr>
    </w:p>
    <w:p w:rsidR="00AC628B" w:rsidRPr="005937EF" w:rsidRDefault="00AC628B" w:rsidP="007F7201">
      <w:pPr>
        <w:pStyle w:val="2"/>
        <w:rPr>
          <w:rtl/>
          <w:lang w:bidi="fa-IR"/>
        </w:rPr>
      </w:pPr>
      <w:bookmarkStart w:id="425" w:name="_Toc275128138"/>
      <w:r w:rsidRPr="005937EF">
        <w:rPr>
          <w:rFonts w:hint="cs"/>
          <w:rtl/>
          <w:lang w:bidi="fa-IR"/>
        </w:rPr>
        <w:t>د ـ رجحان الاستتار للمرأة والاحتجاب</w:t>
      </w:r>
      <w:bookmarkEnd w:id="425"/>
      <w:r w:rsidRPr="005937EF">
        <w:rPr>
          <w:rFonts w:hint="cs"/>
          <w:rtl/>
          <w:lang w:bidi="fa-IR"/>
        </w:rPr>
        <w:t xml:space="preserve"> </w:t>
      </w:r>
    </w:p>
    <w:p w:rsidR="00AC628B" w:rsidRDefault="00AC628B" w:rsidP="00AC628B">
      <w:pPr>
        <w:pStyle w:val="ac"/>
        <w:rPr>
          <w:rtl/>
          <w:lang w:bidi="fa-IR"/>
        </w:rPr>
      </w:pPr>
      <w:r>
        <w:rPr>
          <w:rFonts w:hint="cs"/>
          <w:rtl/>
          <w:lang w:bidi="fa-IR"/>
        </w:rPr>
        <w:t xml:space="preserve">نحن نجد </w:t>
      </w:r>
      <w:r w:rsidRPr="004F1D71">
        <w:rPr>
          <w:rFonts w:hint="cs"/>
          <w:rtl/>
          <w:lang w:bidi="fa-IR"/>
        </w:rPr>
        <w:t xml:space="preserve">أرجحية </w:t>
      </w:r>
      <w:r>
        <w:rPr>
          <w:rFonts w:hint="cs"/>
          <w:rtl/>
          <w:lang w:bidi="fa-IR"/>
        </w:rPr>
        <w:t>أ</w:t>
      </w:r>
      <w:r w:rsidRPr="004F1D71">
        <w:rPr>
          <w:rFonts w:hint="cs"/>
          <w:rtl/>
          <w:lang w:bidi="fa-IR"/>
        </w:rPr>
        <w:t>و مطلوبية الاستتار للمرأة وكونها مأمورة بذلك، بينما ن</w:t>
      </w:r>
      <w:r>
        <w:rPr>
          <w:rFonts w:hint="cs"/>
          <w:rtl/>
          <w:lang w:bidi="fa-IR"/>
        </w:rPr>
        <w:t>جد عكس ذلك في إمام الجماعة، أي إنّ الاشتهار يعتبر من صفاته، وهذان الأمران (الاستتار والاشتهار) متضادان.</w:t>
      </w:r>
    </w:p>
    <w:p w:rsidR="00AC628B" w:rsidRDefault="00AC628B" w:rsidP="00AC628B">
      <w:pPr>
        <w:pStyle w:val="ac"/>
        <w:rPr>
          <w:rtl/>
          <w:lang w:bidi="fa-IR"/>
        </w:rPr>
      </w:pPr>
      <w:r>
        <w:rPr>
          <w:rFonts w:hint="cs"/>
          <w:rtl/>
          <w:lang w:bidi="fa-IR"/>
        </w:rPr>
        <w:t>هذا الكلام ورد في كتب عددٍ من الفقهاء والأصحاب، كالمحقّق الحلّي في المعتبر، والفاضل النراقي في المستند، والسبزواري في الذخيرة، وصاحب الجواهر الذي قال: يستفاد من ذوق الشارع ومن بعض الروايات في أبوابها المختلفة أنّ الشارع أراد من المرأة أن تكون مستورةً وأن تشتغل في أُمور منزلها، لذلك فإنّنا لا نجد حكماً في الإسلام يستدعي عدم ستر المرأة وخروجها من المنزل واتّصالها بالرجال، كتولّي منصب القضاء والمرجعية وإمامة الجماعة وغير ذلك.</w:t>
      </w:r>
    </w:p>
    <w:p w:rsidR="00AC628B" w:rsidRDefault="00AC628B" w:rsidP="00AC628B">
      <w:pPr>
        <w:pStyle w:val="ac"/>
        <w:rPr>
          <w:rtl/>
          <w:lang w:bidi="fa-IR"/>
        </w:rPr>
      </w:pPr>
      <w:r>
        <w:rPr>
          <w:rFonts w:hint="cs"/>
          <w:rtl/>
          <w:lang w:bidi="fa-IR"/>
        </w:rPr>
        <w:t>وأمّا السيد الخوئي، الذي هو من الفقهاء المعاصرين، فقد بيّن هذا الدليل ووسّع نطاقه، وقال: ولم يُرضَ بإمامتها للرجال في صلاة الجماعة، فما ظنّك بكونها قائمةً بأ</w:t>
      </w:r>
      <w:r>
        <w:rPr>
          <w:rFonts w:hint="cs"/>
          <w:rtl/>
        </w:rPr>
        <w:t>ُ</w:t>
      </w:r>
      <w:r>
        <w:rPr>
          <w:rFonts w:hint="cs"/>
          <w:rtl/>
          <w:lang w:bidi="fa-IR"/>
        </w:rPr>
        <w:t xml:space="preserve">مورهم ومديرة لشؤون المجتمع ومتصدّية لزعامته </w:t>
      </w:r>
      <w:r w:rsidRPr="003C03AB">
        <w:rPr>
          <w:rFonts w:hint="cs"/>
          <w:rtl/>
        </w:rPr>
        <w:t>الكبر</w:t>
      </w:r>
      <w:r>
        <w:rPr>
          <w:rFonts w:hint="cs"/>
          <w:rtl/>
        </w:rPr>
        <w:t>ى</w:t>
      </w:r>
      <w:r w:rsidRPr="00815C4C">
        <w:rPr>
          <w:rFonts w:cs="Taher" w:hint="cs"/>
          <w:vertAlign w:val="superscript"/>
          <w:rtl/>
        </w:rPr>
        <w:t>(</w:t>
      </w:r>
      <w:r w:rsidRPr="00815C4C">
        <w:rPr>
          <w:rFonts w:cs="Taher"/>
          <w:vertAlign w:val="superscript"/>
          <w:rtl/>
        </w:rPr>
        <w:footnoteReference w:id="815"/>
      </w:r>
      <w:r w:rsidRPr="00815C4C">
        <w:rPr>
          <w:rFonts w:cs="Taher"/>
          <w:vertAlign w:val="superscript"/>
          <w:rtl/>
        </w:rPr>
        <w:t>)</w:t>
      </w:r>
      <w:r>
        <w:rPr>
          <w:rFonts w:hint="cs"/>
          <w:rtl/>
          <w:lang w:bidi="fa-IR"/>
        </w:rPr>
        <w:t>؟!</w:t>
      </w:r>
    </w:p>
    <w:p w:rsidR="00AC628B" w:rsidRPr="007F7201" w:rsidRDefault="00AC628B" w:rsidP="007F7201">
      <w:pPr>
        <w:pStyle w:val="afffffc"/>
        <w:rPr>
          <w:sz w:val="24"/>
          <w:szCs w:val="22"/>
          <w:rtl/>
          <w:lang w:bidi="fa-IR"/>
        </w:rPr>
      </w:pPr>
    </w:p>
    <w:p w:rsidR="00AC628B" w:rsidRDefault="00AC628B" w:rsidP="007F7201">
      <w:pPr>
        <w:pStyle w:val="2"/>
        <w:rPr>
          <w:rtl/>
          <w:lang w:bidi="fa-IR"/>
        </w:rPr>
      </w:pPr>
      <w:bookmarkStart w:id="426" w:name="_Toc275128139"/>
      <w:r>
        <w:rPr>
          <w:rFonts w:hint="cs"/>
          <w:rtl/>
          <w:lang w:bidi="fa-IR"/>
        </w:rPr>
        <w:t>تحليل ونقد</w:t>
      </w:r>
      <w:bookmarkEnd w:id="426"/>
    </w:p>
    <w:p w:rsidR="00AC628B" w:rsidRDefault="00AC628B" w:rsidP="00AC628B">
      <w:pPr>
        <w:pStyle w:val="ac"/>
        <w:rPr>
          <w:rtl/>
          <w:lang w:bidi="fa-IR"/>
        </w:rPr>
      </w:pPr>
      <w:r w:rsidRPr="00833064">
        <w:rPr>
          <w:rFonts w:hint="cs"/>
          <w:rtl/>
        </w:rPr>
        <w:t>1</w:t>
      </w:r>
      <w:r>
        <w:rPr>
          <w:rFonts w:hint="cs"/>
          <w:rtl/>
          <w:lang w:bidi="fa-IR"/>
        </w:rPr>
        <w:t xml:space="preserve"> ـ  ما ورد في الأدلة المشار إليها هو بخصوص الحجاب وعفاف النساء، وإذا ما وجد دليل آخر في هذا المضمار فهو متعلّق بكيفية الملبس الخاص بهنّ، ولا علاقة له بخروجهنّ من المنزل؛ ولا نجد في ديننا الاسلامي دليلاً </w:t>
      </w:r>
      <w:r w:rsidRPr="00935CC0">
        <w:rPr>
          <w:rFonts w:hint="cs"/>
          <w:rtl/>
        </w:rPr>
        <w:t>على كون المرأ</w:t>
      </w:r>
      <w:r>
        <w:rPr>
          <w:rFonts w:hint="cs"/>
          <w:rtl/>
          <w:lang w:bidi="fa-IR"/>
        </w:rPr>
        <w:t>ة سجينة الرجل في البيت، وكونها محرّما</w:t>
      </w:r>
      <w:r>
        <w:rPr>
          <w:rFonts w:hint="cs"/>
          <w:rtl/>
        </w:rPr>
        <w:t>ً</w:t>
      </w:r>
      <w:r>
        <w:rPr>
          <w:rFonts w:hint="cs"/>
          <w:rtl/>
          <w:lang w:bidi="fa-IR"/>
        </w:rPr>
        <w:t xml:space="preserve"> عليها الحضور في التجمّعات، والتحدّث مع سائر أبناء المجتمع.</w:t>
      </w:r>
    </w:p>
    <w:p w:rsidR="00AC628B" w:rsidRDefault="00AC628B" w:rsidP="00AC628B">
      <w:pPr>
        <w:pStyle w:val="ac"/>
        <w:rPr>
          <w:rtl/>
          <w:lang w:bidi="fa-IR"/>
        </w:rPr>
      </w:pPr>
      <w:r w:rsidRPr="00833064">
        <w:rPr>
          <w:rFonts w:hint="cs"/>
          <w:rtl/>
        </w:rPr>
        <w:t>2</w:t>
      </w:r>
      <w:r>
        <w:rPr>
          <w:rFonts w:hint="cs"/>
          <w:rtl/>
          <w:lang w:bidi="fa-IR"/>
        </w:rPr>
        <w:t xml:space="preserve"> ـ  لا يوجد لدينا حكم في الدين الإسلامي يدلّ </w:t>
      </w:r>
      <w:r w:rsidRPr="00935CC0">
        <w:rPr>
          <w:rFonts w:hint="cs"/>
          <w:rtl/>
        </w:rPr>
        <w:t xml:space="preserve">على أنّ أداء </w:t>
      </w:r>
      <w:r>
        <w:rPr>
          <w:rFonts w:hint="cs"/>
          <w:rtl/>
          <w:lang w:bidi="fa-IR"/>
        </w:rPr>
        <w:t xml:space="preserve">الوظائف المنزلية تقع </w:t>
      </w:r>
      <w:r w:rsidRPr="00935CC0">
        <w:rPr>
          <w:rFonts w:hint="cs"/>
          <w:rtl/>
        </w:rPr>
        <w:lastRenderedPageBreak/>
        <w:t>على عاتق المرأة، و</w:t>
      </w:r>
      <w:r>
        <w:rPr>
          <w:rFonts w:hint="cs"/>
          <w:rtl/>
          <w:lang w:bidi="fa-IR"/>
        </w:rPr>
        <w:t>لم يُفتِ أيُّ فقيهٍ بوجوب ذلك عليها، وكذلك فإنّ المرأة بإمكانها أن تمتنع عن أداء هذه الأمور، بل وبإمكانها أن تمتنع عن إرضاع الطفل مجّاناً، ولها الحقّ في طلب ال</w:t>
      </w:r>
      <w:r>
        <w:rPr>
          <w:rFonts w:hint="cs"/>
          <w:rtl/>
        </w:rPr>
        <w:t>أُ</w:t>
      </w:r>
      <w:r>
        <w:rPr>
          <w:rFonts w:hint="cs"/>
          <w:rtl/>
          <w:lang w:bidi="fa-IR"/>
        </w:rPr>
        <w:t xml:space="preserve">جرة </w:t>
      </w:r>
      <w:r w:rsidRPr="00935CC0">
        <w:rPr>
          <w:rFonts w:hint="cs"/>
          <w:rtl/>
        </w:rPr>
        <w:t>على ذلك من ا</w:t>
      </w:r>
      <w:r>
        <w:rPr>
          <w:rFonts w:hint="cs"/>
          <w:rtl/>
          <w:lang w:bidi="fa-IR"/>
        </w:rPr>
        <w:t>لزوج، وكذلك فإن باستطاعتها أن تمتنع عن أداء بعض ال</w:t>
      </w:r>
      <w:r>
        <w:rPr>
          <w:rFonts w:hint="cs"/>
          <w:rtl/>
        </w:rPr>
        <w:t>أُ</w:t>
      </w:r>
      <w:r>
        <w:rPr>
          <w:rFonts w:hint="cs"/>
          <w:rtl/>
          <w:lang w:bidi="fa-IR"/>
        </w:rPr>
        <w:t>مور إلاّ ما يتعلّق بالاستمتاع، وفي جميع هذه الموارد لا تعتبر المرأة ناشزاً.</w:t>
      </w:r>
    </w:p>
    <w:p w:rsidR="00AC628B" w:rsidRDefault="00AC628B" w:rsidP="00AC628B">
      <w:pPr>
        <w:pStyle w:val="ac"/>
        <w:rPr>
          <w:rtl/>
          <w:lang w:bidi="fa-IR"/>
        </w:rPr>
      </w:pPr>
      <w:r w:rsidRPr="00833064">
        <w:rPr>
          <w:rFonts w:hint="cs"/>
          <w:rtl/>
        </w:rPr>
        <w:t>3</w:t>
      </w:r>
      <w:r>
        <w:rPr>
          <w:rFonts w:hint="cs"/>
          <w:rtl/>
          <w:lang w:bidi="fa-IR"/>
        </w:rPr>
        <w:t xml:space="preserve"> ـ  إذا ما وُجِد دليلٌ </w:t>
      </w:r>
      <w:r w:rsidRPr="00935CC0">
        <w:rPr>
          <w:rFonts w:hint="cs"/>
          <w:rtl/>
        </w:rPr>
        <w:t>على ذلك فإنّه يم</w:t>
      </w:r>
      <w:r>
        <w:rPr>
          <w:rFonts w:hint="cs"/>
          <w:rtl/>
          <w:lang w:bidi="fa-IR"/>
        </w:rPr>
        <w:t xml:space="preserve">كن أن يكون من باب الاستحباب، ويختصّ فيه ولا يتعداه، أي إنّه لا يكون أمراً إلزامياً وواجباً </w:t>
      </w:r>
      <w:r w:rsidRPr="00935CC0">
        <w:rPr>
          <w:rFonts w:hint="cs"/>
          <w:rtl/>
        </w:rPr>
        <w:t>حتى يمكنه أن يس</w:t>
      </w:r>
      <w:r>
        <w:rPr>
          <w:rFonts w:hint="cs"/>
          <w:rtl/>
          <w:lang w:bidi="fa-IR"/>
        </w:rPr>
        <w:t xml:space="preserve">دّ الطريق </w:t>
      </w:r>
      <w:r w:rsidRPr="00935CC0">
        <w:rPr>
          <w:rFonts w:hint="cs"/>
          <w:rtl/>
        </w:rPr>
        <w:t>على أدلّة الاشتر</w:t>
      </w:r>
      <w:r>
        <w:rPr>
          <w:rFonts w:hint="cs"/>
          <w:rtl/>
          <w:lang w:bidi="fa-IR"/>
        </w:rPr>
        <w:t>اك.</w:t>
      </w:r>
    </w:p>
    <w:p w:rsidR="00AC628B" w:rsidRDefault="00AC628B" w:rsidP="00AC628B">
      <w:pPr>
        <w:pStyle w:val="ac"/>
        <w:rPr>
          <w:rtl/>
          <w:lang w:bidi="fa-IR"/>
        </w:rPr>
      </w:pPr>
      <w:r w:rsidRPr="00833064">
        <w:rPr>
          <w:rFonts w:hint="cs"/>
          <w:rtl/>
        </w:rPr>
        <w:t>4</w:t>
      </w:r>
      <w:r>
        <w:rPr>
          <w:rFonts w:hint="cs"/>
          <w:rtl/>
          <w:lang w:bidi="fa-IR"/>
        </w:rPr>
        <w:t xml:space="preserve"> ـ  أضِف </w:t>
      </w:r>
      <w:r>
        <w:rPr>
          <w:rFonts w:hint="cs"/>
          <w:rtl/>
        </w:rPr>
        <w:t>إ</w:t>
      </w:r>
      <w:r w:rsidRPr="003C03AB">
        <w:rPr>
          <w:rFonts w:hint="cs"/>
          <w:rtl/>
        </w:rPr>
        <w:t>ل</w:t>
      </w:r>
      <w:r>
        <w:rPr>
          <w:rFonts w:hint="cs"/>
          <w:rtl/>
          <w:lang w:bidi="fa-IR"/>
        </w:rPr>
        <w:t xml:space="preserve">ى ذلك أنّ مثل هذا الاستنتاج من الأحكام الإسلامية يعتبر مخالفاً لكتاب الله عزّ وجلّ؛ وبما في ذلك قصّة النبي </w:t>
      </w:r>
      <w:r w:rsidRPr="00935CC0">
        <w:rPr>
          <w:rFonts w:hint="cs"/>
          <w:rtl/>
        </w:rPr>
        <w:t>موسى× مع بنتي ش</w:t>
      </w:r>
      <w:r>
        <w:rPr>
          <w:rFonts w:hint="cs"/>
          <w:rtl/>
          <w:lang w:bidi="fa-IR"/>
        </w:rPr>
        <w:t>عيب وزواجه من احداهما، وكذلك قصّة ملكة سبأ التي أشار إليها القرآن الكريم ولم يذمّها، وبما أن ّ القرآن الكريم ليس كتاباً قصصيّاً، بل هو كتاب هداية للمتّقين وصراط للمهتدين، فإنّه حين وجود أمرٍ مستقبحٍ في حدثٍ يذكره يشير إليه كي يجتنبه الناس.</w:t>
      </w:r>
    </w:p>
    <w:p w:rsidR="00AC628B" w:rsidRDefault="00AC628B" w:rsidP="00C86626">
      <w:pPr>
        <w:pStyle w:val="ac"/>
        <w:rPr>
          <w:rtl/>
          <w:lang w:bidi="fa-IR"/>
        </w:rPr>
      </w:pPr>
      <w:r w:rsidRPr="00833064">
        <w:rPr>
          <w:rFonts w:hint="cs"/>
          <w:rtl/>
        </w:rPr>
        <w:t>5</w:t>
      </w:r>
      <w:r>
        <w:rPr>
          <w:rFonts w:hint="cs"/>
          <w:rtl/>
          <w:lang w:bidi="fa-IR"/>
        </w:rPr>
        <w:t xml:space="preserve"> ـ  نستوحي من الشرع والأحكام الشرعية بأنّ الأمر بالستر لا يمكنه أن يكون مانعاً من أداء الأحكام التي لا تتلا</w:t>
      </w:r>
      <w:r>
        <w:rPr>
          <w:rFonts w:hint="cs"/>
          <w:rtl/>
        </w:rPr>
        <w:t>ء</w:t>
      </w:r>
      <w:r>
        <w:rPr>
          <w:rFonts w:hint="cs"/>
          <w:rtl/>
          <w:lang w:bidi="fa-IR"/>
        </w:rPr>
        <w:t xml:space="preserve">م مع الستر، مثل: إحرام النساء في الحج، وعدم وجوب ستر وجوههنّ، وطوافهنّ مع الرجال في المسجد الحرام، ووقوفهنّ في </w:t>
      </w:r>
      <w:r w:rsidRPr="00935CC0">
        <w:rPr>
          <w:rFonts w:hint="cs"/>
          <w:rtl/>
        </w:rPr>
        <w:t xml:space="preserve">منى وعرفات، وكذلك </w:t>
      </w:r>
      <w:r>
        <w:rPr>
          <w:rFonts w:hint="cs"/>
          <w:rtl/>
          <w:lang w:bidi="fa-IR"/>
        </w:rPr>
        <w:t>عندما كنّ يحضرن صلاة الجماعة في عهد رسول الله</w:t>
      </w:r>
      <w:r w:rsidR="00C86626">
        <w:rPr>
          <w:rFonts w:hint="cs"/>
          <w:rtl/>
        </w:rPr>
        <w:t>’</w:t>
      </w:r>
      <w:r>
        <w:rPr>
          <w:rFonts w:hint="cs"/>
          <w:rtl/>
          <w:lang w:bidi="fa-IR"/>
        </w:rPr>
        <w:t>، وجواز نيابتهنّ في بعض الأمور، كالحج، والذي يستلزم خروجهنّ من المنزل؛ ولم يقل أحدٌ بأنّ هذه ال</w:t>
      </w:r>
      <w:r>
        <w:rPr>
          <w:rFonts w:hint="cs"/>
          <w:rtl/>
        </w:rPr>
        <w:t>أُ</w:t>
      </w:r>
      <w:r>
        <w:rPr>
          <w:rFonts w:hint="cs"/>
          <w:rtl/>
          <w:lang w:bidi="fa-IR"/>
        </w:rPr>
        <w:t>مور مستحبّة للنساء أو أنّها غير واجبة، لذلك فإنّه لا يمكن سلب هذه ال</w:t>
      </w:r>
      <w:r>
        <w:rPr>
          <w:rFonts w:hint="cs"/>
          <w:rtl/>
        </w:rPr>
        <w:t>أُ</w:t>
      </w:r>
      <w:r>
        <w:rPr>
          <w:rFonts w:hint="cs"/>
          <w:rtl/>
          <w:lang w:bidi="fa-IR"/>
        </w:rPr>
        <w:t>مور عن النساء بذريعة المستورية.</w:t>
      </w:r>
    </w:p>
    <w:p w:rsidR="00AC628B" w:rsidRDefault="00AC628B" w:rsidP="00C86626">
      <w:pPr>
        <w:pStyle w:val="ac"/>
        <w:rPr>
          <w:rtl/>
          <w:lang w:bidi="fa-IR"/>
        </w:rPr>
      </w:pPr>
      <w:r w:rsidRPr="00833064">
        <w:rPr>
          <w:rFonts w:hint="cs"/>
          <w:rtl/>
        </w:rPr>
        <w:t>6</w:t>
      </w:r>
      <w:r>
        <w:rPr>
          <w:rFonts w:hint="cs"/>
          <w:rtl/>
          <w:lang w:bidi="fa-IR"/>
        </w:rPr>
        <w:t xml:space="preserve"> ـ  علاوة </w:t>
      </w:r>
      <w:r w:rsidRPr="003C03AB">
        <w:rPr>
          <w:rFonts w:hint="cs"/>
          <w:rtl/>
        </w:rPr>
        <w:t>عل</w:t>
      </w:r>
      <w:r>
        <w:rPr>
          <w:rFonts w:hint="cs"/>
          <w:rtl/>
        </w:rPr>
        <w:t>ى</w:t>
      </w:r>
      <w:r>
        <w:rPr>
          <w:rFonts w:hint="cs"/>
          <w:rtl/>
          <w:lang w:bidi="fa-IR"/>
        </w:rPr>
        <w:t xml:space="preserve"> ذلك فإنّ الشواهد التاريخية تؤيّد ما ذكرنا، حيث إنّ التاريخ يذكر لنا أنّ فاطمة الزهراء÷ كانت معلِّمةً، وأنّها كانت تخرج أيام الاثنين والخميس لزيارة مرقد أبيها رسول الله</w:t>
      </w:r>
      <w:r w:rsidR="00C86626">
        <w:rPr>
          <w:rFonts w:hint="cs"/>
          <w:rtl/>
        </w:rPr>
        <w:t>’</w:t>
      </w:r>
      <w:r>
        <w:rPr>
          <w:rFonts w:hint="cs"/>
          <w:rtl/>
          <w:lang w:bidi="fa-IR"/>
        </w:rPr>
        <w:t xml:space="preserve">، ولم يذكر لنا التاريخ أنّ الأئمة^ ذكروا في حديثٍ معتبرٍ أنّه ليس </w:t>
      </w:r>
      <w:r w:rsidRPr="00935CC0">
        <w:rPr>
          <w:rFonts w:hint="cs"/>
          <w:rtl/>
        </w:rPr>
        <w:t xml:space="preserve">على النساء القضاء </w:t>
      </w:r>
      <w:r>
        <w:rPr>
          <w:rFonts w:hint="cs"/>
          <w:rtl/>
          <w:lang w:bidi="fa-IR"/>
        </w:rPr>
        <w:t>والفتو</w:t>
      </w:r>
      <w:r>
        <w:rPr>
          <w:rFonts w:cs="Lotus" w:hint="cs"/>
          <w:sz w:val="32"/>
          <w:szCs w:val="32"/>
          <w:rtl/>
          <w:lang w:bidi="fa-IR"/>
        </w:rPr>
        <w:t>ي</w:t>
      </w:r>
      <w:r w:rsidRPr="002477BB">
        <w:rPr>
          <w:rFonts w:hint="cs"/>
          <w:rtl/>
        </w:rPr>
        <w:t>،</w:t>
      </w:r>
      <w:r>
        <w:rPr>
          <w:rFonts w:hint="cs"/>
          <w:rtl/>
          <w:lang w:bidi="fa-IR"/>
        </w:rPr>
        <w:t xml:space="preserve"> أو يحرم عليهنّ الحضور في صلاة الجمعة أو الجماعة.</w:t>
      </w:r>
    </w:p>
    <w:p w:rsidR="00AC628B" w:rsidRDefault="00AC628B" w:rsidP="00C86626">
      <w:pPr>
        <w:pStyle w:val="ac"/>
        <w:rPr>
          <w:rtl/>
          <w:lang w:bidi="fa-IR"/>
        </w:rPr>
      </w:pPr>
      <w:r w:rsidRPr="00833064">
        <w:rPr>
          <w:rFonts w:hint="cs"/>
          <w:rtl/>
        </w:rPr>
        <w:lastRenderedPageBreak/>
        <w:t>7</w:t>
      </w:r>
      <w:r>
        <w:rPr>
          <w:rFonts w:hint="cs"/>
          <w:rtl/>
          <w:lang w:bidi="fa-IR"/>
        </w:rPr>
        <w:t xml:space="preserve"> ـ  الروايات الواردة </w:t>
      </w:r>
      <w:r>
        <w:rPr>
          <w:rFonts w:hint="cs"/>
          <w:rtl/>
        </w:rPr>
        <w:t>في</w:t>
      </w:r>
      <w:r>
        <w:rPr>
          <w:rFonts w:hint="cs"/>
          <w:rtl/>
          <w:lang w:bidi="fa-IR"/>
        </w:rPr>
        <w:t xml:space="preserve"> جواز حجّ المرأة نيابة عن الرجل، </w:t>
      </w:r>
      <w:r>
        <w:rPr>
          <w:rFonts w:hint="cs"/>
          <w:rtl/>
        </w:rPr>
        <w:t>كقوله×</w:t>
      </w:r>
      <w:r>
        <w:rPr>
          <w:rFonts w:hint="cs"/>
          <w:rtl/>
          <w:lang w:bidi="fa-IR"/>
        </w:rPr>
        <w:t>:</w:t>
      </w:r>
      <w:r w:rsidRPr="002477BB">
        <w:rPr>
          <w:rFonts w:hint="cs"/>
          <w:rtl/>
        </w:rPr>
        <w:t>«ربّ امرأةٍ أفقه من رجلٍ»</w:t>
      </w:r>
      <w:r w:rsidRPr="00815C4C">
        <w:rPr>
          <w:rFonts w:cs="Taher" w:hint="cs"/>
          <w:vertAlign w:val="superscript"/>
          <w:rtl/>
        </w:rPr>
        <w:t>(</w:t>
      </w:r>
      <w:r w:rsidRPr="00815C4C">
        <w:rPr>
          <w:rFonts w:cs="Taher"/>
          <w:vertAlign w:val="superscript"/>
          <w:rtl/>
        </w:rPr>
        <w:footnoteReference w:id="816"/>
      </w:r>
      <w:r w:rsidRPr="00815C4C">
        <w:rPr>
          <w:rFonts w:cs="Taher"/>
          <w:vertAlign w:val="superscript"/>
          <w:rtl/>
        </w:rPr>
        <w:t>)</w:t>
      </w:r>
      <w:r w:rsidRPr="002477BB">
        <w:rPr>
          <w:rFonts w:hint="cs"/>
          <w:rtl/>
        </w:rPr>
        <w:t>،</w:t>
      </w:r>
      <w:r>
        <w:rPr>
          <w:rFonts w:hint="cs"/>
          <w:rtl/>
          <w:lang w:bidi="fa-IR"/>
        </w:rPr>
        <w:t xml:space="preserve"> وكذلك الإطلاقات والعمومات المستفادة من الأحاديث والآيات، والتي تشير </w:t>
      </w:r>
      <w:r>
        <w:rPr>
          <w:rFonts w:hint="cs"/>
          <w:rtl/>
        </w:rPr>
        <w:t>إلى</w:t>
      </w:r>
      <w:r>
        <w:rPr>
          <w:rFonts w:hint="cs"/>
          <w:rtl/>
          <w:lang w:bidi="fa-IR"/>
        </w:rPr>
        <w:t xml:space="preserve"> عدم وجود مخصّص بكونِ هذه الأحكام مختصّة بالرجال دون النساء، مثل قوله جلّ وعلا</w:t>
      </w:r>
      <w:r w:rsidRPr="002477BB">
        <w:rPr>
          <w:rFonts w:hint="cs"/>
          <w:rtl/>
        </w:rPr>
        <w:t>:</w:t>
      </w:r>
      <w:r>
        <w:rPr>
          <w:rFonts w:cs="md_ameli" w:hint="cs"/>
          <w:rtl/>
        </w:rPr>
        <w:t xml:space="preserve"> </w:t>
      </w:r>
      <w:r w:rsidRPr="002477BB">
        <w:rPr>
          <w:rFonts w:cs="md_ameli" w:hint="cs"/>
          <w:b/>
          <w:bCs/>
          <w:rtl/>
        </w:rPr>
        <w:t>{</w:t>
      </w:r>
      <w:r w:rsidRPr="001B610C">
        <w:rPr>
          <w:b/>
          <w:bCs/>
          <w:rtl/>
        </w:rPr>
        <w:t>هَلْ يَسْتَوِي الَّذِينَ يَعْلَمُونَ وَالَّذِينَ لا يَعْلَمُونَ</w:t>
      </w:r>
      <w:r w:rsidRPr="002477BB">
        <w:rPr>
          <w:rFonts w:cs="md_ameli" w:hint="cs"/>
          <w:b/>
          <w:bCs/>
          <w:rtl/>
        </w:rPr>
        <w:t>}</w:t>
      </w:r>
      <w:r w:rsidRPr="002477BB">
        <w:rPr>
          <w:rFonts w:hint="cs"/>
          <w:rtl/>
        </w:rPr>
        <w:t>،</w:t>
      </w:r>
      <w:r>
        <w:rPr>
          <w:rFonts w:hint="cs"/>
          <w:rtl/>
          <w:lang w:bidi="fa-IR"/>
        </w:rPr>
        <w:t xml:space="preserve"> وقوله</w:t>
      </w:r>
      <w:r w:rsidR="00C86626">
        <w:rPr>
          <w:rFonts w:hint="cs"/>
          <w:rtl/>
        </w:rPr>
        <w:t>’</w:t>
      </w:r>
      <w:r>
        <w:rPr>
          <w:rFonts w:hint="cs"/>
          <w:rtl/>
        </w:rPr>
        <w:t>: «علماء أُ</w:t>
      </w:r>
      <w:r w:rsidRPr="002477BB">
        <w:rPr>
          <w:rFonts w:hint="cs"/>
          <w:rtl/>
        </w:rPr>
        <w:t xml:space="preserve">مّتي أفضل من </w:t>
      </w:r>
      <w:r>
        <w:rPr>
          <w:rFonts w:hint="cs"/>
          <w:rtl/>
        </w:rPr>
        <w:t>أ</w:t>
      </w:r>
      <w:r w:rsidRPr="002477BB">
        <w:rPr>
          <w:rFonts w:hint="cs"/>
          <w:rtl/>
        </w:rPr>
        <w:t xml:space="preserve">نبياء بني </w:t>
      </w:r>
      <w:r>
        <w:rPr>
          <w:rFonts w:hint="cs"/>
          <w:rtl/>
        </w:rPr>
        <w:t>إ</w:t>
      </w:r>
      <w:r w:rsidRPr="002477BB">
        <w:rPr>
          <w:rFonts w:hint="cs"/>
          <w:rtl/>
        </w:rPr>
        <w:t>سرائيل»،</w:t>
      </w:r>
      <w:r>
        <w:rPr>
          <w:rFonts w:hint="cs"/>
          <w:rtl/>
          <w:lang w:bidi="fa-IR"/>
        </w:rPr>
        <w:t xml:space="preserve"> وقول المعصوم^</w:t>
      </w:r>
      <w:r w:rsidRPr="002477BB">
        <w:rPr>
          <w:rFonts w:hint="cs"/>
          <w:rtl/>
        </w:rPr>
        <w:t>:«</w:t>
      </w:r>
      <w:r>
        <w:rPr>
          <w:rFonts w:hint="cs"/>
          <w:rtl/>
        </w:rPr>
        <w:t>أُ</w:t>
      </w:r>
      <w:r w:rsidRPr="002477BB">
        <w:rPr>
          <w:rFonts w:hint="cs"/>
          <w:rtl/>
        </w:rPr>
        <w:t xml:space="preserve">نظروا </w:t>
      </w:r>
      <w:r>
        <w:rPr>
          <w:rFonts w:hint="cs"/>
          <w:rtl/>
        </w:rPr>
        <w:t>إ</w:t>
      </w:r>
      <w:r w:rsidRPr="002477BB">
        <w:rPr>
          <w:rFonts w:hint="cs"/>
          <w:rtl/>
        </w:rPr>
        <w:t>ل</w:t>
      </w:r>
      <w:r>
        <w:rPr>
          <w:rFonts w:hint="cs"/>
          <w:rtl/>
        </w:rPr>
        <w:t>ى من روى</w:t>
      </w:r>
      <w:r w:rsidRPr="002477BB">
        <w:rPr>
          <w:rFonts w:hint="cs"/>
          <w:rtl/>
        </w:rPr>
        <w:t xml:space="preserve"> أحاديثنا ونظر في حلالنا وحرامنا»</w:t>
      </w:r>
      <w:r>
        <w:rPr>
          <w:rFonts w:hint="cs"/>
          <w:rtl/>
          <w:lang w:bidi="fa-IR"/>
        </w:rPr>
        <w:t xml:space="preserve">، وما </w:t>
      </w:r>
      <w:r w:rsidRPr="00935CC0">
        <w:rPr>
          <w:rFonts w:hint="cs"/>
          <w:rtl/>
        </w:rPr>
        <w:t>إلى ذلك</w:t>
      </w:r>
      <w:r>
        <w:rPr>
          <w:rFonts w:hint="cs"/>
          <w:rtl/>
          <w:lang w:bidi="fa-IR"/>
        </w:rPr>
        <w:t>.</w:t>
      </w:r>
    </w:p>
    <w:p w:rsidR="00AC628B" w:rsidRPr="007F7201" w:rsidRDefault="00AC628B" w:rsidP="007F7201">
      <w:pPr>
        <w:pStyle w:val="afffffc"/>
        <w:rPr>
          <w:rtl/>
          <w:lang w:bidi="fa-IR"/>
        </w:rPr>
      </w:pPr>
    </w:p>
    <w:p w:rsidR="00AC628B" w:rsidRPr="00407420" w:rsidRDefault="00AC628B" w:rsidP="007F7201">
      <w:pPr>
        <w:pStyle w:val="2"/>
        <w:rPr>
          <w:rtl/>
          <w:lang w:bidi="fa-IR"/>
        </w:rPr>
      </w:pPr>
      <w:bookmarkStart w:id="427" w:name="_Toc275128140"/>
      <w:r w:rsidRPr="00407420">
        <w:rPr>
          <w:rFonts w:hint="cs"/>
          <w:rtl/>
          <w:lang w:bidi="fa-IR"/>
        </w:rPr>
        <w:t>هـ ـ نصوص ناهية عن تقدّم المرأة في الصلاة</w:t>
      </w:r>
      <w:bookmarkEnd w:id="427"/>
      <w:r w:rsidRPr="00407420">
        <w:rPr>
          <w:rFonts w:hint="cs"/>
          <w:rtl/>
          <w:lang w:bidi="fa-IR"/>
        </w:rPr>
        <w:t xml:space="preserve"> </w:t>
      </w:r>
    </w:p>
    <w:p w:rsidR="00AC628B" w:rsidRDefault="00AC628B" w:rsidP="00D537F7">
      <w:pPr>
        <w:pStyle w:val="ac"/>
        <w:rPr>
          <w:rtl/>
          <w:lang w:bidi="fa-IR"/>
        </w:rPr>
      </w:pPr>
      <w:r>
        <w:rPr>
          <w:rFonts w:hint="cs"/>
          <w:rtl/>
          <w:lang w:bidi="fa-IR"/>
        </w:rPr>
        <w:t xml:space="preserve">الروايات التي </w:t>
      </w:r>
      <w:r w:rsidRPr="00935CC0">
        <w:rPr>
          <w:rFonts w:hint="cs"/>
          <w:rtl/>
        </w:rPr>
        <w:t>تنهى عن تقدّ</w:t>
      </w:r>
      <w:r>
        <w:rPr>
          <w:rFonts w:hint="cs"/>
          <w:rtl/>
          <w:lang w:bidi="fa-IR"/>
        </w:rPr>
        <w:t xml:space="preserve">م المرأة </w:t>
      </w:r>
      <w:r w:rsidRPr="00935CC0">
        <w:rPr>
          <w:rFonts w:hint="cs"/>
          <w:rtl/>
        </w:rPr>
        <w:t>على الرجل</w:t>
      </w:r>
      <w:r>
        <w:rPr>
          <w:rFonts w:hint="cs"/>
          <w:rtl/>
          <w:lang w:bidi="fa-IR"/>
        </w:rPr>
        <w:t xml:space="preserve"> في الصلاة أو وقوفها في محاذاته أو أمامه، فعن القاسم بن الوليد قال: </w:t>
      </w:r>
      <w:r>
        <w:rPr>
          <w:rFonts w:hint="cs"/>
          <w:rtl/>
        </w:rPr>
        <w:t>«</w:t>
      </w:r>
      <w:r>
        <w:rPr>
          <w:rFonts w:hint="cs"/>
          <w:rtl/>
          <w:lang w:bidi="fa-IR"/>
        </w:rPr>
        <w:t>سألته عن الرجل يصلّي مع الرجل الواحد معهما النساء؟ قال×</w:t>
      </w:r>
      <w:r w:rsidRPr="002477BB">
        <w:rPr>
          <w:rFonts w:hint="cs"/>
          <w:rtl/>
        </w:rPr>
        <w:t>:</w:t>
      </w:r>
      <w:r>
        <w:rPr>
          <w:rFonts w:hint="cs"/>
          <w:rtl/>
        </w:rPr>
        <w:t xml:space="preserve"> </w:t>
      </w:r>
      <w:r w:rsidRPr="002477BB">
        <w:rPr>
          <w:rFonts w:hint="cs"/>
          <w:rtl/>
        </w:rPr>
        <w:t xml:space="preserve">«يقومُ الرجلُ </w:t>
      </w:r>
      <w:r>
        <w:rPr>
          <w:rFonts w:hint="cs"/>
          <w:rtl/>
        </w:rPr>
        <w:t>إ</w:t>
      </w:r>
      <w:r w:rsidRPr="002477BB">
        <w:rPr>
          <w:rFonts w:hint="cs"/>
          <w:rtl/>
        </w:rPr>
        <w:t>ل</w:t>
      </w:r>
      <w:r>
        <w:rPr>
          <w:rFonts w:hint="cs"/>
          <w:rtl/>
        </w:rPr>
        <w:t>ى</w:t>
      </w:r>
      <w:r w:rsidRPr="002477BB">
        <w:rPr>
          <w:rFonts w:hint="cs"/>
          <w:rtl/>
        </w:rPr>
        <w:t xml:space="preserve"> جنبِ الرجل، ويتخلّفنَ النساء خلفهما»</w:t>
      </w:r>
      <w:r w:rsidRPr="00815C4C">
        <w:rPr>
          <w:rFonts w:cs="Taher" w:hint="cs"/>
          <w:vertAlign w:val="superscript"/>
          <w:rtl/>
        </w:rPr>
        <w:t>(</w:t>
      </w:r>
      <w:r w:rsidRPr="00815C4C">
        <w:rPr>
          <w:rFonts w:cs="Taher"/>
          <w:vertAlign w:val="superscript"/>
          <w:rtl/>
        </w:rPr>
        <w:footnoteReference w:id="817"/>
      </w:r>
      <w:r w:rsidRPr="00815C4C">
        <w:rPr>
          <w:rFonts w:cs="Taher"/>
          <w:vertAlign w:val="superscript"/>
          <w:rtl/>
        </w:rPr>
        <w:t>)</w:t>
      </w:r>
      <w:r w:rsidRPr="002477BB">
        <w:rPr>
          <w:rFonts w:hint="cs"/>
          <w:rtl/>
        </w:rPr>
        <w:t>.</w:t>
      </w:r>
      <w:r>
        <w:rPr>
          <w:rFonts w:hint="cs"/>
          <w:rtl/>
          <w:lang w:bidi="fa-IR"/>
        </w:rPr>
        <w:t xml:space="preserve"> </w:t>
      </w:r>
    </w:p>
    <w:p w:rsidR="00AC628B" w:rsidRDefault="00AC628B" w:rsidP="00AC628B">
      <w:pPr>
        <w:pStyle w:val="ac"/>
        <w:rPr>
          <w:rtl/>
          <w:lang w:bidi="fa-IR"/>
        </w:rPr>
      </w:pPr>
      <w:r>
        <w:rPr>
          <w:rFonts w:hint="cs"/>
          <w:rtl/>
          <w:lang w:bidi="fa-IR"/>
        </w:rPr>
        <w:t>وكذلك مارواه الشيخ في الصحيح عن فضيل بن يسّار قال: قلتُ لأبي عبد الله×: أ</w:t>
      </w:r>
      <w:r>
        <w:rPr>
          <w:rFonts w:hint="cs"/>
          <w:rtl/>
        </w:rPr>
        <w:t>ُ</w:t>
      </w:r>
      <w:r>
        <w:rPr>
          <w:rFonts w:hint="cs"/>
          <w:rtl/>
          <w:lang w:bidi="fa-IR"/>
        </w:rPr>
        <w:t>صلّي المكتوبة ب</w:t>
      </w:r>
      <w:r>
        <w:rPr>
          <w:rFonts w:hint="cs"/>
          <w:rtl/>
        </w:rPr>
        <w:t>أُ</w:t>
      </w:r>
      <w:r>
        <w:rPr>
          <w:rFonts w:hint="cs"/>
          <w:rtl/>
          <w:lang w:bidi="fa-IR"/>
        </w:rPr>
        <w:t>مّ علي، قال×:</w:t>
      </w:r>
      <w:r w:rsidRPr="00377590">
        <w:rPr>
          <w:rFonts w:hint="cs"/>
          <w:rtl/>
        </w:rPr>
        <w:t>«نعم، تكون عن يمينك، يكون سجودها بحذاء قدميك»</w:t>
      </w:r>
      <w:r w:rsidRPr="00815C4C">
        <w:rPr>
          <w:rFonts w:cs="Taher" w:hint="cs"/>
          <w:vertAlign w:val="superscript"/>
          <w:rtl/>
        </w:rPr>
        <w:t>(</w:t>
      </w:r>
      <w:r w:rsidRPr="00815C4C">
        <w:rPr>
          <w:rFonts w:cs="Taher"/>
          <w:vertAlign w:val="superscript"/>
          <w:rtl/>
        </w:rPr>
        <w:footnoteReference w:id="818"/>
      </w:r>
      <w:r w:rsidRPr="00815C4C">
        <w:rPr>
          <w:rFonts w:cs="Taher"/>
          <w:vertAlign w:val="superscript"/>
          <w:rtl/>
        </w:rPr>
        <w:t>)</w:t>
      </w:r>
      <w:r>
        <w:rPr>
          <w:rFonts w:hint="cs"/>
          <w:rtl/>
          <w:lang w:bidi="fa-IR"/>
        </w:rPr>
        <w:t>.</w:t>
      </w:r>
    </w:p>
    <w:p w:rsidR="00AC628B" w:rsidRPr="007F7201" w:rsidRDefault="00AC628B" w:rsidP="007F7201">
      <w:pPr>
        <w:pStyle w:val="afffffc"/>
        <w:rPr>
          <w:sz w:val="24"/>
          <w:szCs w:val="22"/>
          <w:rtl/>
          <w:lang w:bidi="fa-IR"/>
        </w:rPr>
      </w:pPr>
    </w:p>
    <w:p w:rsidR="00AC628B" w:rsidRDefault="00AC628B" w:rsidP="007F7201">
      <w:pPr>
        <w:pStyle w:val="2"/>
        <w:rPr>
          <w:rtl/>
          <w:lang w:bidi="fa-IR"/>
        </w:rPr>
      </w:pPr>
      <w:bookmarkStart w:id="428" w:name="_Toc275128141"/>
      <w:r>
        <w:rPr>
          <w:rFonts w:hint="cs"/>
          <w:rtl/>
          <w:lang w:bidi="fa-IR"/>
        </w:rPr>
        <w:t>تحليل ونقد</w:t>
      </w:r>
      <w:bookmarkEnd w:id="428"/>
    </w:p>
    <w:p w:rsidR="00AC628B" w:rsidRDefault="00AC628B" w:rsidP="007F7201">
      <w:pPr>
        <w:pStyle w:val="ac"/>
        <w:rPr>
          <w:rtl/>
          <w:lang w:bidi="fa-IR"/>
        </w:rPr>
      </w:pPr>
      <w:r w:rsidRPr="00833064">
        <w:rPr>
          <w:rFonts w:hint="cs"/>
          <w:rtl/>
        </w:rPr>
        <w:t>1</w:t>
      </w:r>
      <w:r>
        <w:rPr>
          <w:rFonts w:hint="cs"/>
          <w:rtl/>
          <w:lang w:bidi="fa-IR"/>
        </w:rPr>
        <w:t xml:space="preserve">ـ  تذكر هاتان الروايتان، وما شاكلها من روايات، </w:t>
      </w:r>
      <w:r>
        <w:rPr>
          <w:rFonts w:hint="cs"/>
          <w:rtl/>
        </w:rPr>
        <w:t>قضية</w:t>
      </w:r>
      <w:r>
        <w:rPr>
          <w:rFonts w:hint="cs"/>
          <w:rtl/>
          <w:lang w:bidi="fa-IR"/>
        </w:rPr>
        <w:t xml:space="preserve"> تقدّم المرأة </w:t>
      </w:r>
      <w:r w:rsidRPr="00935CC0">
        <w:rPr>
          <w:rFonts w:hint="cs"/>
          <w:rtl/>
        </w:rPr>
        <w:t xml:space="preserve">على الرجل </w:t>
      </w:r>
      <w:r>
        <w:rPr>
          <w:rFonts w:hint="cs"/>
          <w:rtl/>
          <w:lang w:bidi="fa-IR"/>
        </w:rPr>
        <w:t xml:space="preserve">من حيث المكان عندما تكون مأمومةً، بينما النقاش يدور حول تقدّم المرأة من حيث كونها إمام جماعة، وكذلك فإنّ بعض هذه الروايات ناظرة </w:t>
      </w:r>
      <w:r w:rsidRPr="00935CC0">
        <w:rPr>
          <w:rFonts w:hint="cs"/>
          <w:rtl/>
        </w:rPr>
        <w:t xml:space="preserve">إلى الصلاة </w:t>
      </w:r>
      <w:r>
        <w:rPr>
          <w:rFonts w:hint="cs"/>
          <w:rtl/>
          <w:lang w:bidi="fa-IR"/>
        </w:rPr>
        <w:t>فرادى، والكلام حول صلاة الجماعة.</w:t>
      </w:r>
    </w:p>
    <w:p w:rsidR="00AC628B" w:rsidRDefault="00AC628B" w:rsidP="007F7201">
      <w:pPr>
        <w:pStyle w:val="ac"/>
        <w:rPr>
          <w:rtl/>
          <w:lang w:bidi="fa-IR"/>
        </w:rPr>
      </w:pPr>
      <w:r w:rsidRPr="00833064">
        <w:rPr>
          <w:rFonts w:hint="cs"/>
          <w:rtl/>
        </w:rPr>
        <w:t>2</w:t>
      </w:r>
      <w:r>
        <w:rPr>
          <w:rFonts w:hint="cs"/>
          <w:rtl/>
          <w:lang w:bidi="fa-IR"/>
        </w:rPr>
        <w:t xml:space="preserve">ـ الاختلافات بين هذه الروايات موجودة بشكلٍ كبيرٍ، وقلّما نرى مثل هذه </w:t>
      </w:r>
      <w:r>
        <w:rPr>
          <w:rFonts w:hint="cs"/>
          <w:rtl/>
          <w:lang w:bidi="fa-IR"/>
        </w:rPr>
        <w:lastRenderedPageBreak/>
        <w:t xml:space="preserve">الاختلافات في موارد </w:t>
      </w:r>
      <w:r w:rsidRPr="00C12364">
        <w:rPr>
          <w:rFonts w:hint="cs"/>
          <w:rtl/>
        </w:rPr>
        <w:t>أُخر</w:t>
      </w:r>
      <w:r>
        <w:rPr>
          <w:rFonts w:hint="cs"/>
          <w:rtl/>
        </w:rPr>
        <w:t>ى</w:t>
      </w:r>
      <w:r w:rsidRPr="00C12364">
        <w:rPr>
          <w:rFonts w:hint="cs"/>
          <w:rtl/>
        </w:rPr>
        <w:t>.</w:t>
      </w:r>
      <w:r>
        <w:rPr>
          <w:rFonts w:hint="cs"/>
          <w:rtl/>
          <w:lang w:bidi="fa-IR"/>
        </w:rPr>
        <w:t xml:space="preserve"> </w:t>
      </w:r>
    </w:p>
    <w:p w:rsidR="00AC628B" w:rsidRDefault="00AC628B" w:rsidP="007F7201">
      <w:pPr>
        <w:pStyle w:val="ac"/>
        <w:spacing w:line="199" w:lineRule="auto"/>
        <w:rPr>
          <w:rtl/>
          <w:lang w:bidi="fa-IR"/>
        </w:rPr>
      </w:pPr>
      <w:r w:rsidRPr="00833064">
        <w:rPr>
          <w:rFonts w:hint="cs"/>
          <w:rtl/>
        </w:rPr>
        <w:t>3</w:t>
      </w:r>
      <w:r>
        <w:rPr>
          <w:rFonts w:hint="cs"/>
          <w:rtl/>
          <w:lang w:bidi="fa-IR"/>
        </w:rPr>
        <w:t xml:space="preserve"> ـ  هذه الروايات يمكن أن تُحمل عل</w:t>
      </w:r>
      <w:r>
        <w:rPr>
          <w:rFonts w:hint="cs"/>
          <w:rtl/>
        </w:rPr>
        <w:t>ى</w:t>
      </w:r>
      <w:r>
        <w:rPr>
          <w:rFonts w:hint="cs"/>
          <w:rtl/>
          <w:lang w:bidi="fa-IR"/>
        </w:rPr>
        <w:t xml:space="preserve"> كونها تشير </w:t>
      </w:r>
      <w:r w:rsidRPr="00935CC0">
        <w:rPr>
          <w:rFonts w:hint="cs"/>
          <w:rtl/>
        </w:rPr>
        <w:t>إلى الكراهة</w:t>
      </w:r>
      <w:r>
        <w:rPr>
          <w:rFonts w:hint="cs"/>
          <w:rtl/>
          <w:lang w:bidi="fa-IR"/>
        </w:rPr>
        <w:t xml:space="preserve"> وقلّة الثواب، وإذا ما صارت المرأة إماماً للجماعة فإنّ الثواب عندئذٍ يكون أقلّ من إمامة الرجل، أي إنّه مثل الفرق بين صلاة المسافر وصلاة الحاضر، والتي لا مانع منها. </w:t>
      </w:r>
    </w:p>
    <w:p w:rsidR="00AC628B" w:rsidRDefault="00AC628B" w:rsidP="007F7201">
      <w:pPr>
        <w:pStyle w:val="ac"/>
        <w:spacing w:line="199" w:lineRule="auto"/>
        <w:rPr>
          <w:rtl/>
          <w:lang w:bidi="fa-IR"/>
        </w:rPr>
      </w:pPr>
      <w:r w:rsidRPr="00833064">
        <w:rPr>
          <w:rFonts w:hint="cs"/>
          <w:rtl/>
        </w:rPr>
        <w:t>4</w:t>
      </w:r>
      <w:r>
        <w:rPr>
          <w:rFonts w:hint="cs"/>
          <w:rtl/>
          <w:lang w:bidi="fa-IR"/>
        </w:rPr>
        <w:t xml:space="preserve"> ـ  عدم جواز تقدّم المرأة في هذا المورد لم يُفتِ به جميع العلماء، وغالباً ما يذكرون كراهية ذلك.</w:t>
      </w:r>
    </w:p>
    <w:p w:rsidR="00AC628B" w:rsidRDefault="00AC628B" w:rsidP="007F7201">
      <w:pPr>
        <w:pStyle w:val="ac"/>
        <w:spacing w:line="199" w:lineRule="auto"/>
        <w:rPr>
          <w:rtl/>
          <w:lang w:bidi="fa-IR"/>
        </w:rPr>
      </w:pPr>
      <w:r>
        <w:rPr>
          <w:rFonts w:hint="cs"/>
          <w:rtl/>
          <w:lang w:bidi="fa-IR"/>
        </w:rPr>
        <w:t xml:space="preserve">لذلك فإنّ هذه الروايات لا يمكنها أن تكون شرطاً لكون إمام الجماعة ذكراً، بل إنّها تشير </w:t>
      </w:r>
      <w:r w:rsidRPr="00935CC0">
        <w:rPr>
          <w:rFonts w:hint="cs"/>
          <w:rtl/>
        </w:rPr>
        <w:t xml:space="preserve">إلى التقدم المكاني، فإنّنا نرى </w:t>
      </w:r>
      <w:r>
        <w:rPr>
          <w:rFonts w:hint="cs"/>
          <w:rtl/>
          <w:lang w:bidi="fa-IR"/>
        </w:rPr>
        <w:t xml:space="preserve">في رحاب بيت الله الحرام، وعندما يزدحم الناس، فإنّهم يقولون: </w:t>
      </w:r>
      <w:r>
        <w:rPr>
          <w:rFonts w:hint="cs"/>
          <w:rtl/>
        </w:rPr>
        <w:t>«</w:t>
      </w:r>
      <w:r>
        <w:rPr>
          <w:rFonts w:hint="cs"/>
          <w:rtl/>
          <w:lang w:bidi="fa-IR"/>
        </w:rPr>
        <w:t>لا بأس به</w:t>
      </w:r>
      <w:r>
        <w:rPr>
          <w:rFonts w:hint="cs"/>
          <w:rtl/>
        </w:rPr>
        <w:t>»</w:t>
      </w:r>
      <w:r>
        <w:rPr>
          <w:rFonts w:hint="cs"/>
          <w:rtl/>
          <w:lang w:bidi="fa-IR"/>
        </w:rPr>
        <w:t xml:space="preserve">، وإنّه عند وجود حائلٍ يمكن أن تكون المرأة إماماً للجماعة، وأن تتقدم </w:t>
      </w:r>
      <w:r w:rsidRPr="00935CC0">
        <w:rPr>
          <w:rFonts w:hint="cs"/>
          <w:rtl/>
        </w:rPr>
        <w:t>على الر</w:t>
      </w:r>
      <w:r>
        <w:rPr>
          <w:rFonts w:hint="cs"/>
          <w:rtl/>
          <w:lang w:bidi="fa-IR"/>
        </w:rPr>
        <w:t>جل</w:t>
      </w:r>
      <w:r w:rsidRPr="00815C4C">
        <w:rPr>
          <w:rFonts w:cs="Taher" w:hint="cs"/>
          <w:vertAlign w:val="superscript"/>
          <w:rtl/>
        </w:rPr>
        <w:t>(</w:t>
      </w:r>
      <w:r w:rsidRPr="00815C4C">
        <w:rPr>
          <w:rFonts w:cs="Taher"/>
          <w:vertAlign w:val="superscript"/>
          <w:rtl/>
        </w:rPr>
        <w:footnoteReference w:id="819"/>
      </w:r>
      <w:r w:rsidRPr="00815C4C">
        <w:rPr>
          <w:rFonts w:cs="Taher"/>
          <w:vertAlign w:val="superscript"/>
          <w:rtl/>
        </w:rPr>
        <w:t>)</w:t>
      </w:r>
      <w:r>
        <w:rPr>
          <w:rFonts w:hint="cs"/>
          <w:rtl/>
          <w:lang w:bidi="fa-IR"/>
        </w:rPr>
        <w:t xml:space="preserve">. </w:t>
      </w:r>
    </w:p>
    <w:p w:rsidR="00AC628B" w:rsidRPr="007F7201" w:rsidRDefault="00AC628B" w:rsidP="007F7201">
      <w:pPr>
        <w:pStyle w:val="afffffc"/>
        <w:rPr>
          <w:sz w:val="18"/>
          <w:szCs w:val="16"/>
          <w:rtl/>
          <w:lang w:bidi="fa-IR"/>
        </w:rPr>
      </w:pPr>
    </w:p>
    <w:p w:rsidR="00AC628B" w:rsidRPr="00CD4155" w:rsidRDefault="00AC628B" w:rsidP="007F7201">
      <w:pPr>
        <w:pStyle w:val="2"/>
        <w:rPr>
          <w:rtl/>
          <w:lang w:bidi="fa-IR"/>
        </w:rPr>
      </w:pPr>
      <w:bookmarkStart w:id="429" w:name="_Toc275128142"/>
      <w:r w:rsidRPr="00CD4155">
        <w:rPr>
          <w:rFonts w:hint="cs"/>
          <w:rtl/>
          <w:lang w:bidi="fa-IR"/>
        </w:rPr>
        <w:t xml:space="preserve">و ـ عدم كون الأذان مجزياً إذا ما أدّته </w:t>
      </w:r>
      <w:r w:rsidR="007B653E">
        <w:rPr>
          <w:rFonts w:hint="cs"/>
          <w:rtl/>
          <w:lang w:bidi="fa-IR"/>
        </w:rPr>
        <w:t>إ</w:t>
      </w:r>
      <w:r w:rsidRPr="00CD4155">
        <w:rPr>
          <w:rFonts w:hint="cs"/>
          <w:rtl/>
          <w:lang w:bidi="fa-IR"/>
        </w:rPr>
        <w:t>مرأة</w:t>
      </w:r>
      <w:bookmarkEnd w:id="429"/>
    </w:p>
    <w:p w:rsidR="00AC628B" w:rsidRDefault="00AC628B" w:rsidP="00AC628B">
      <w:pPr>
        <w:pStyle w:val="ac"/>
        <w:rPr>
          <w:rtl/>
          <w:lang w:bidi="fa-IR"/>
        </w:rPr>
      </w:pPr>
      <w:r>
        <w:rPr>
          <w:rFonts w:hint="cs"/>
          <w:rtl/>
          <w:lang w:bidi="fa-IR"/>
        </w:rPr>
        <w:t xml:space="preserve">استدلّوا </w:t>
      </w:r>
      <w:r w:rsidRPr="00935CC0">
        <w:rPr>
          <w:rFonts w:hint="cs"/>
          <w:rtl/>
        </w:rPr>
        <w:t>على ذلك بهذ</w:t>
      </w:r>
      <w:r>
        <w:rPr>
          <w:rFonts w:hint="cs"/>
          <w:rtl/>
          <w:lang w:bidi="fa-IR"/>
        </w:rPr>
        <w:t>ا الشكل: بما أنّه لا يجوز للمرأة أن تؤذّن فكذلك لا يجوز لها أن تكون إماماً للجماعة.</w:t>
      </w:r>
    </w:p>
    <w:p w:rsidR="00AC628B" w:rsidRPr="007F7201" w:rsidRDefault="00AC628B" w:rsidP="007F7201">
      <w:pPr>
        <w:pStyle w:val="afffffc"/>
        <w:rPr>
          <w:sz w:val="20"/>
          <w:szCs w:val="18"/>
          <w:rtl/>
          <w:lang w:bidi="fa-IR"/>
        </w:rPr>
      </w:pPr>
    </w:p>
    <w:p w:rsidR="00AC628B" w:rsidRDefault="00AC628B" w:rsidP="007F7201">
      <w:pPr>
        <w:pStyle w:val="2"/>
        <w:rPr>
          <w:rtl/>
          <w:lang w:bidi="fa-IR"/>
        </w:rPr>
      </w:pPr>
      <w:bookmarkStart w:id="430" w:name="_Toc275128143"/>
      <w:r>
        <w:rPr>
          <w:rFonts w:hint="cs"/>
          <w:rtl/>
          <w:lang w:bidi="fa-IR"/>
        </w:rPr>
        <w:t>تحليل ونقد</w:t>
      </w:r>
      <w:bookmarkEnd w:id="430"/>
    </w:p>
    <w:p w:rsidR="00AC628B" w:rsidRDefault="00AC628B" w:rsidP="00D537F7">
      <w:pPr>
        <w:pStyle w:val="ac"/>
        <w:rPr>
          <w:rtl/>
          <w:lang w:bidi="fa-IR"/>
        </w:rPr>
      </w:pPr>
      <w:r>
        <w:rPr>
          <w:rFonts w:hint="cs"/>
          <w:rtl/>
          <w:lang w:bidi="fa-IR"/>
        </w:rPr>
        <w:t>في ما يخصّ عدم إجزاء أذان المرأة بالنسبة للرجال يقول الشيخ الطوسي: إنْ أذّنت المرأة للرجال جاز لهم أن يعتدّوا به ويقيموا؛ لانّه لا مانع منه</w:t>
      </w:r>
      <w:r w:rsidRPr="00815C4C">
        <w:rPr>
          <w:rFonts w:cs="Taher" w:hint="cs"/>
          <w:vertAlign w:val="superscript"/>
          <w:rtl/>
        </w:rPr>
        <w:t>(</w:t>
      </w:r>
      <w:r w:rsidRPr="00815C4C">
        <w:rPr>
          <w:rFonts w:cs="Taher"/>
          <w:vertAlign w:val="superscript"/>
          <w:rtl/>
        </w:rPr>
        <w:footnoteReference w:id="820"/>
      </w:r>
      <w:r w:rsidRPr="00815C4C">
        <w:rPr>
          <w:rFonts w:cs="Taher"/>
          <w:vertAlign w:val="superscript"/>
          <w:rtl/>
        </w:rPr>
        <w:t>)</w:t>
      </w:r>
      <w:r>
        <w:rPr>
          <w:rFonts w:hint="cs"/>
          <w:rtl/>
          <w:lang w:bidi="fa-IR"/>
        </w:rPr>
        <w:t>.</w:t>
      </w:r>
    </w:p>
    <w:p w:rsidR="00AC628B" w:rsidRDefault="00AC628B" w:rsidP="00D537F7">
      <w:pPr>
        <w:pStyle w:val="ac"/>
        <w:rPr>
          <w:rtl/>
          <w:lang w:bidi="fa-IR"/>
        </w:rPr>
      </w:pPr>
      <w:r>
        <w:rPr>
          <w:rFonts w:hint="cs"/>
          <w:rtl/>
          <w:lang w:bidi="fa-IR"/>
        </w:rPr>
        <w:lastRenderedPageBreak/>
        <w:t>وصاحب الجواهر أيضاً له نفس الرأي في هذا المضمار، حيث تمسّك بإطلاقات الأدلّة، وبكون سماع صوت الرجل من قبل المرأة وسماع صوت المرأة من قبل الرجل ليس حراماً</w:t>
      </w:r>
      <w:r w:rsidRPr="00815C4C">
        <w:rPr>
          <w:rFonts w:cs="Taher" w:hint="cs"/>
          <w:vertAlign w:val="superscript"/>
          <w:rtl/>
        </w:rPr>
        <w:t>(</w:t>
      </w:r>
      <w:r w:rsidRPr="00815C4C">
        <w:rPr>
          <w:rFonts w:cs="Taher"/>
          <w:vertAlign w:val="superscript"/>
          <w:rtl/>
        </w:rPr>
        <w:footnoteReference w:id="821"/>
      </w:r>
      <w:r w:rsidRPr="00815C4C">
        <w:rPr>
          <w:rFonts w:cs="Taher"/>
          <w:vertAlign w:val="superscript"/>
          <w:rtl/>
        </w:rPr>
        <w:t>)</w:t>
      </w:r>
      <w:r>
        <w:rPr>
          <w:rFonts w:hint="cs"/>
          <w:rtl/>
          <w:lang w:bidi="fa-IR"/>
        </w:rPr>
        <w:t xml:space="preserve">. </w:t>
      </w:r>
    </w:p>
    <w:p w:rsidR="00AC628B" w:rsidRDefault="00AC628B" w:rsidP="00AC628B">
      <w:pPr>
        <w:pStyle w:val="ac"/>
        <w:rPr>
          <w:rtl/>
          <w:lang w:bidi="fa-IR"/>
        </w:rPr>
      </w:pPr>
      <w:r>
        <w:rPr>
          <w:rFonts w:hint="cs"/>
          <w:rtl/>
          <w:lang w:bidi="fa-IR"/>
        </w:rPr>
        <w:t xml:space="preserve">وكذلك فإنّه يمكن تبرير النهي عن قيام المرأة بالأذان بسبب ظروف ذلك الزمان وعدم استساغة الناس آنذاك له. </w:t>
      </w:r>
    </w:p>
    <w:p w:rsidR="00AC628B" w:rsidRPr="007F7201" w:rsidRDefault="00AC628B" w:rsidP="007F7201">
      <w:pPr>
        <w:pStyle w:val="afffffc"/>
        <w:rPr>
          <w:sz w:val="20"/>
          <w:szCs w:val="18"/>
          <w:rtl/>
          <w:lang w:bidi="fa-IR"/>
        </w:rPr>
      </w:pPr>
    </w:p>
    <w:p w:rsidR="00AC628B" w:rsidRDefault="00AC628B" w:rsidP="007F7201">
      <w:pPr>
        <w:pStyle w:val="2"/>
        <w:rPr>
          <w:rtl/>
          <w:lang w:bidi="fa-IR"/>
        </w:rPr>
      </w:pPr>
      <w:bookmarkStart w:id="431" w:name="_Toc275128144"/>
      <w:r w:rsidRPr="00CD4155">
        <w:rPr>
          <w:rFonts w:hint="cs"/>
          <w:rtl/>
          <w:lang w:bidi="fa-IR"/>
        </w:rPr>
        <w:t>ز ـ عدم اشتهار إمامة النساء في صلاة الجماعة في عهد الرسول</w:t>
      </w:r>
      <w:bookmarkEnd w:id="431"/>
    </w:p>
    <w:p w:rsidR="00AC628B" w:rsidRDefault="00AC628B" w:rsidP="00AC628B">
      <w:pPr>
        <w:pStyle w:val="ac"/>
        <w:rPr>
          <w:rtl/>
          <w:lang w:bidi="fa-IR"/>
        </w:rPr>
      </w:pPr>
      <w:r>
        <w:rPr>
          <w:rFonts w:hint="cs"/>
          <w:rtl/>
          <w:lang w:bidi="fa-IR"/>
        </w:rPr>
        <w:t>وقد استدلّوا بهذا المدع</w:t>
      </w:r>
      <w:r>
        <w:rPr>
          <w:rFonts w:hint="cs"/>
          <w:rtl/>
        </w:rPr>
        <w:t>ّى</w:t>
      </w:r>
      <w:r>
        <w:rPr>
          <w:rFonts w:hint="cs"/>
          <w:rtl/>
          <w:lang w:bidi="fa-IR"/>
        </w:rPr>
        <w:t xml:space="preserve"> </w:t>
      </w:r>
      <w:r w:rsidRPr="00935CC0">
        <w:rPr>
          <w:rFonts w:hint="cs"/>
          <w:rtl/>
        </w:rPr>
        <w:t>على عدم قيام ا</w:t>
      </w:r>
      <w:r>
        <w:rPr>
          <w:rFonts w:hint="cs"/>
          <w:rtl/>
          <w:lang w:bidi="fa-IR"/>
        </w:rPr>
        <w:t xml:space="preserve">لمرأة بإمامة الناس في صلاة الجماعة، وقالوا: لو أُجيز لامرأةٍ إمامة الناس في صلاة الجماعة، ولو في يومٍ واحدٍ، لكان ذلك معلوماً لدينا مثل علمنا بوجود الشمس في وضح النهار، لذلك مادامت المرأة لم تنصّب لأداء هذه الوظيفة فإنّ الذكورة شرط في إمام الجماعة. </w:t>
      </w:r>
    </w:p>
    <w:p w:rsidR="00AC628B" w:rsidRPr="007F7201" w:rsidRDefault="00AC628B" w:rsidP="007F7201">
      <w:pPr>
        <w:pStyle w:val="afffffc"/>
        <w:rPr>
          <w:sz w:val="14"/>
          <w:szCs w:val="12"/>
          <w:rtl/>
          <w:lang w:bidi="fa-IR"/>
        </w:rPr>
      </w:pPr>
    </w:p>
    <w:p w:rsidR="00AC628B" w:rsidRDefault="00AC628B" w:rsidP="007F7201">
      <w:pPr>
        <w:pStyle w:val="2"/>
        <w:rPr>
          <w:rtl/>
          <w:lang w:bidi="fa-IR"/>
        </w:rPr>
      </w:pPr>
      <w:bookmarkStart w:id="432" w:name="_Toc275128145"/>
      <w:r w:rsidRPr="00330BBB">
        <w:rPr>
          <w:rFonts w:cs="بدر" w:hint="eastAsia"/>
          <w:color w:val="FFFFFF"/>
          <w:szCs w:val="2"/>
          <w:rtl/>
          <w:lang w:bidi="fa-IR"/>
        </w:rPr>
        <w:t>ـ</w:t>
      </w:r>
      <w:r>
        <w:rPr>
          <w:rFonts w:hint="cs"/>
          <w:rtl/>
          <w:lang w:bidi="fa-IR"/>
        </w:rPr>
        <w:t>تحليل ونقد</w:t>
      </w:r>
      <w:bookmarkEnd w:id="432"/>
    </w:p>
    <w:p w:rsidR="00AC628B" w:rsidRDefault="00AC628B" w:rsidP="00C86626">
      <w:pPr>
        <w:pStyle w:val="ac"/>
        <w:rPr>
          <w:rtl/>
          <w:lang w:bidi="fa-IR"/>
        </w:rPr>
      </w:pPr>
      <w:r>
        <w:rPr>
          <w:rFonts w:hint="cs"/>
          <w:rtl/>
          <w:lang w:bidi="fa-IR"/>
        </w:rPr>
        <w:t>بما أنّه في عهد رسول الله</w:t>
      </w:r>
      <w:r w:rsidR="00C86626">
        <w:rPr>
          <w:rFonts w:hint="cs"/>
          <w:rtl/>
        </w:rPr>
        <w:t>’</w:t>
      </w:r>
      <w:r>
        <w:rPr>
          <w:rFonts w:hint="cs"/>
          <w:rtl/>
          <w:lang w:bidi="fa-IR"/>
        </w:rPr>
        <w:t xml:space="preserve"> كان جميع المسلمين تقريباً يشاركون في صلاة الجماعة، وفي أيام حياته صلوات الله عليه لم يكن من الصحيح أن تقوم بناته مثلاً، ومن ضمنهنّ السيدة فاطمة الزهراء</w:t>
      </w:r>
      <w:r w:rsidRPr="00885E99">
        <w:rPr>
          <w:rFonts w:hint="cs"/>
          <w:rtl/>
        </w:rPr>
        <w:t>÷</w:t>
      </w:r>
      <w:r>
        <w:rPr>
          <w:rFonts w:hint="cs"/>
          <w:rtl/>
          <w:lang w:bidi="fa-IR"/>
        </w:rPr>
        <w:t xml:space="preserve">، بإمامة الناس في صلاة جماعة مستقلّة، لذلك فإنّ التمسّك بهذه السيرة، بكونها ذات صفة استمرارية في كل زمانٍ، ليس صحيحاً. </w:t>
      </w:r>
    </w:p>
    <w:p w:rsidR="00AC628B" w:rsidRDefault="00AC628B" w:rsidP="00AC628B">
      <w:pPr>
        <w:pStyle w:val="ac"/>
        <w:rPr>
          <w:rtl/>
          <w:lang w:bidi="fa-IR"/>
        </w:rPr>
      </w:pPr>
      <w:r>
        <w:rPr>
          <w:rFonts w:hint="cs"/>
          <w:rtl/>
          <w:lang w:bidi="fa-IR"/>
        </w:rPr>
        <w:t xml:space="preserve">إضافة </w:t>
      </w:r>
      <w:r w:rsidRPr="00935CC0">
        <w:rPr>
          <w:rFonts w:hint="cs"/>
          <w:rtl/>
        </w:rPr>
        <w:t>إلى ذلك فإنّ</w:t>
      </w:r>
      <w:r>
        <w:rPr>
          <w:rFonts w:hint="cs"/>
          <w:rtl/>
          <w:lang w:bidi="fa-IR"/>
        </w:rPr>
        <w:t xml:space="preserve"> المجتمع آنذاك لم يكن يتفاعل مع مثل هذا الأمر، أي قيام النساء بإمامة الناس جماعةً، وعليه يتّضح ضعف رأي صاحب مفتاح الكرامة</w:t>
      </w:r>
      <w:r w:rsidRPr="00815C4C">
        <w:rPr>
          <w:rFonts w:cs="Taher" w:hint="cs"/>
          <w:vertAlign w:val="superscript"/>
          <w:rtl/>
        </w:rPr>
        <w:t>(</w:t>
      </w:r>
      <w:r w:rsidRPr="00815C4C">
        <w:rPr>
          <w:rFonts w:cs="Taher"/>
          <w:vertAlign w:val="superscript"/>
          <w:rtl/>
        </w:rPr>
        <w:footnoteReference w:id="822"/>
      </w:r>
      <w:r w:rsidRPr="00815C4C">
        <w:rPr>
          <w:rFonts w:cs="Taher"/>
          <w:vertAlign w:val="superscript"/>
          <w:rtl/>
        </w:rPr>
        <w:t>)</w:t>
      </w:r>
      <w:r>
        <w:rPr>
          <w:rFonts w:hint="cs"/>
          <w:rtl/>
          <w:lang w:bidi="fa-IR"/>
        </w:rPr>
        <w:t>.</w:t>
      </w:r>
    </w:p>
    <w:p w:rsidR="00AC628B" w:rsidRPr="007F7201" w:rsidRDefault="00AC628B" w:rsidP="007F7201">
      <w:pPr>
        <w:pStyle w:val="afffffc"/>
        <w:rPr>
          <w:sz w:val="20"/>
          <w:szCs w:val="18"/>
          <w:rtl/>
          <w:lang w:bidi="fa-IR"/>
        </w:rPr>
      </w:pPr>
    </w:p>
    <w:p w:rsidR="00AC628B" w:rsidRPr="000C20AF" w:rsidRDefault="00AC628B" w:rsidP="007F7201">
      <w:pPr>
        <w:pStyle w:val="2"/>
        <w:rPr>
          <w:rtl/>
        </w:rPr>
      </w:pPr>
      <w:bookmarkStart w:id="433" w:name="_Toc275128146"/>
      <w:r w:rsidRPr="000C20AF">
        <w:rPr>
          <w:rFonts w:hint="cs"/>
          <w:rtl/>
          <w:lang w:bidi="fa-IR"/>
        </w:rPr>
        <w:t xml:space="preserve">ح ـ </w:t>
      </w:r>
      <w:r>
        <w:rPr>
          <w:rFonts w:hint="cs"/>
          <w:rtl/>
          <w:lang w:bidi="fa-IR"/>
        </w:rPr>
        <w:t xml:space="preserve">انحصار </w:t>
      </w:r>
      <w:r w:rsidRPr="000C20AF">
        <w:rPr>
          <w:rFonts w:hint="cs"/>
          <w:rtl/>
          <w:lang w:bidi="fa-IR"/>
        </w:rPr>
        <w:t>التساؤلات المتشرعية في إمامة المرأة لمثلها</w:t>
      </w:r>
      <w:bookmarkEnd w:id="433"/>
      <w:r>
        <w:rPr>
          <w:rFonts w:hint="cs"/>
          <w:rtl/>
        </w:rPr>
        <w:t xml:space="preserve"> </w:t>
      </w:r>
    </w:p>
    <w:p w:rsidR="00AC628B" w:rsidRPr="00377590" w:rsidRDefault="00AC628B" w:rsidP="00C86626">
      <w:pPr>
        <w:pStyle w:val="ac"/>
        <w:rPr>
          <w:rtl/>
          <w:lang w:bidi="fa-IR"/>
        </w:rPr>
      </w:pPr>
      <w:r>
        <w:rPr>
          <w:rFonts w:hint="cs"/>
          <w:rtl/>
        </w:rPr>
        <w:t xml:space="preserve">جميعُ </w:t>
      </w:r>
      <w:r>
        <w:rPr>
          <w:rFonts w:hint="cs"/>
          <w:rtl/>
          <w:lang w:bidi="fa-IR"/>
        </w:rPr>
        <w:t xml:space="preserve">الأسئلة التي طرحت </w:t>
      </w:r>
      <w:r w:rsidRPr="00935CC0">
        <w:rPr>
          <w:rFonts w:hint="cs"/>
          <w:rtl/>
        </w:rPr>
        <w:t>على ال</w:t>
      </w:r>
      <w:r>
        <w:rPr>
          <w:rFonts w:hint="cs"/>
          <w:rtl/>
          <w:lang w:bidi="fa-IR"/>
        </w:rPr>
        <w:t>أئمة</w:t>
      </w:r>
      <w:r w:rsidR="00C86626">
        <w:rPr>
          <w:rFonts w:hint="cs"/>
          <w:rtl/>
          <w:lang w:bidi="fa-IR"/>
        </w:rPr>
        <w:t>^</w:t>
      </w:r>
      <w:r>
        <w:rPr>
          <w:rFonts w:hint="cs"/>
          <w:rtl/>
          <w:lang w:bidi="fa-IR"/>
        </w:rPr>
        <w:t xml:space="preserve">، تخصّ إمامة المرأة للمرأة، وهذا بحدِّ </w:t>
      </w:r>
      <w:r>
        <w:rPr>
          <w:rFonts w:hint="cs"/>
          <w:rtl/>
          <w:lang w:bidi="fa-IR"/>
        </w:rPr>
        <w:lastRenderedPageBreak/>
        <w:t xml:space="preserve">ذاته دليلٌ </w:t>
      </w:r>
      <w:r w:rsidRPr="00CE32CB">
        <w:rPr>
          <w:rFonts w:hint="cs"/>
          <w:rtl/>
        </w:rPr>
        <w:t>على عدم استطا</w:t>
      </w:r>
      <w:r>
        <w:rPr>
          <w:rFonts w:hint="cs"/>
          <w:rtl/>
          <w:lang w:bidi="fa-IR"/>
        </w:rPr>
        <w:t>عة المرأة أن تؤمّ الرجال، كما ورد عن علي بن يقطين عن أبي الحسن الماضي</w:t>
      </w:r>
      <w:r w:rsidR="00C86626">
        <w:rPr>
          <w:rFonts w:hint="cs"/>
          <w:rtl/>
        </w:rPr>
        <w:t>’</w:t>
      </w:r>
      <w:r>
        <w:rPr>
          <w:rFonts w:hint="cs"/>
          <w:rtl/>
          <w:lang w:bidi="fa-IR"/>
        </w:rPr>
        <w:t xml:space="preserve"> قال: سألته عن  المرأة تؤمّ النساء، ما حدُّ رفع صوتها بالقرا</w:t>
      </w:r>
      <w:r>
        <w:rPr>
          <w:rFonts w:hint="cs"/>
          <w:rtl/>
        </w:rPr>
        <w:t>ء</w:t>
      </w:r>
      <w:r>
        <w:rPr>
          <w:rFonts w:hint="cs"/>
          <w:rtl/>
          <w:lang w:bidi="fa-IR"/>
        </w:rPr>
        <w:t>ة والتكبير؟ فقال</w:t>
      </w:r>
      <w:r w:rsidR="00C86626">
        <w:rPr>
          <w:rFonts w:hint="cs"/>
          <w:rtl/>
          <w:lang w:bidi="fa-IR"/>
        </w:rPr>
        <w:t>’</w:t>
      </w:r>
      <w:r w:rsidRPr="00AC628B">
        <w:rPr>
          <w:rFonts w:hint="cs"/>
          <w:rtl/>
        </w:rPr>
        <w:t>:</w:t>
      </w:r>
      <w:r>
        <w:rPr>
          <w:rFonts w:hint="cs"/>
          <w:rtl/>
        </w:rPr>
        <w:t xml:space="preserve"> </w:t>
      </w:r>
      <w:r w:rsidRPr="00377590">
        <w:rPr>
          <w:rFonts w:hint="cs"/>
          <w:rtl/>
        </w:rPr>
        <w:t>«بقدرِ ما تُسمَع»</w:t>
      </w:r>
      <w:r w:rsidRPr="00815C4C">
        <w:rPr>
          <w:rFonts w:cs="Taher" w:hint="cs"/>
          <w:vertAlign w:val="superscript"/>
          <w:rtl/>
        </w:rPr>
        <w:t>(</w:t>
      </w:r>
      <w:r w:rsidRPr="00815C4C">
        <w:rPr>
          <w:rFonts w:cs="Taher"/>
          <w:vertAlign w:val="superscript"/>
          <w:rtl/>
        </w:rPr>
        <w:footnoteReference w:id="823"/>
      </w:r>
      <w:r w:rsidRPr="00815C4C">
        <w:rPr>
          <w:rFonts w:cs="Taher"/>
          <w:vertAlign w:val="superscript"/>
          <w:rtl/>
        </w:rPr>
        <w:t>)</w:t>
      </w:r>
      <w:r w:rsidRPr="00377590">
        <w:rPr>
          <w:rFonts w:hint="cs"/>
          <w:rtl/>
        </w:rPr>
        <w:t>.</w:t>
      </w:r>
    </w:p>
    <w:p w:rsidR="00AC628B" w:rsidRPr="007F7201" w:rsidRDefault="00AC628B" w:rsidP="007F7201">
      <w:pPr>
        <w:pStyle w:val="afffffc"/>
        <w:rPr>
          <w:sz w:val="16"/>
          <w:szCs w:val="14"/>
          <w:rtl/>
          <w:lang w:bidi="fa-IR"/>
        </w:rPr>
      </w:pPr>
    </w:p>
    <w:p w:rsidR="00AC628B" w:rsidRDefault="00AC628B" w:rsidP="007F7201">
      <w:pPr>
        <w:pStyle w:val="2"/>
        <w:rPr>
          <w:rtl/>
          <w:lang w:bidi="fa-IR"/>
        </w:rPr>
      </w:pPr>
      <w:bookmarkStart w:id="434" w:name="_Toc275128147"/>
      <w:r>
        <w:rPr>
          <w:rFonts w:hint="cs"/>
          <w:rtl/>
          <w:lang w:bidi="fa-IR"/>
        </w:rPr>
        <w:t>تحليل ونقد</w:t>
      </w:r>
      <w:bookmarkEnd w:id="434"/>
    </w:p>
    <w:p w:rsidR="00AC628B" w:rsidRDefault="00AC628B" w:rsidP="007F7201">
      <w:pPr>
        <w:pStyle w:val="ac"/>
        <w:spacing w:line="202" w:lineRule="auto"/>
        <w:rPr>
          <w:rtl/>
          <w:lang w:bidi="fa-IR"/>
        </w:rPr>
      </w:pPr>
      <w:r w:rsidRPr="00833064">
        <w:rPr>
          <w:rFonts w:hint="cs"/>
          <w:rtl/>
        </w:rPr>
        <w:t>1</w:t>
      </w:r>
      <w:r>
        <w:rPr>
          <w:rFonts w:hint="cs"/>
          <w:rtl/>
          <w:lang w:bidi="fa-IR"/>
        </w:rPr>
        <w:t xml:space="preserve">ـ مجرّد كون الأسئلة تدور حول إمامة النساء للنساء لا يمكن اعتباره دليلاً </w:t>
      </w:r>
      <w:r w:rsidRPr="00CE32CB">
        <w:rPr>
          <w:rFonts w:hint="cs"/>
          <w:rtl/>
        </w:rPr>
        <w:t>على عدم جواز إمامة ا</w:t>
      </w:r>
      <w:r>
        <w:rPr>
          <w:rFonts w:hint="cs"/>
          <w:rtl/>
          <w:lang w:bidi="fa-IR"/>
        </w:rPr>
        <w:t xml:space="preserve">لمرأة للرجال؛ لأنّ السؤال في الرواية كان يدور حول ما إذا كانت المرأة إماماً للجماعة </w:t>
      </w:r>
      <w:r w:rsidRPr="00CE32CB">
        <w:rPr>
          <w:rFonts w:hint="cs"/>
          <w:rtl/>
        </w:rPr>
        <w:t>فإلى أيّ حدٍّ ت</w:t>
      </w:r>
      <w:r>
        <w:rPr>
          <w:rFonts w:hint="cs"/>
          <w:rtl/>
          <w:lang w:bidi="fa-IR"/>
        </w:rPr>
        <w:t>ستطيع أن ترفع صوتها؟ وكان جواب المعصوم</w:t>
      </w:r>
      <w:r>
        <w:rPr>
          <w:rFonts w:hint="cs"/>
          <w:rtl/>
        </w:rPr>
        <w:t>×</w:t>
      </w:r>
      <w:r>
        <w:rPr>
          <w:rFonts w:hint="cs"/>
          <w:rtl/>
          <w:lang w:bidi="fa-IR"/>
        </w:rPr>
        <w:t xml:space="preserve"> أنّها تستطيع ذلك </w:t>
      </w:r>
      <w:r>
        <w:rPr>
          <w:rFonts w:hint="cs"/>
          <w:rtl/>
        </w:rPr>
        <w:t>إلى</w:t>
      </w:r>
      <w:r>
        <w:rPr>
          <w:rFonts w:hint="cs"/>
          <w:rtl/>
          <w:lang w:bidi="fa-IR"/>
        </w:rPr>
        <w:t xml:space="preserve"> الحدّ الذي تُسمع صوتها مَن يصلّي خلفها من النساء، والسؤال هنا عن أصل صلاة الجماعة.</w:t>
      </w:r>
    </w:p>
    <w:p w:rsidR="00AC628B" w:rsidRDefault="00AC628B" w:rsidP="007F7201">
      <w:pPr>
        <w:pStyle w:val="ac"/>
        <w:rPr>
          <w:rtl/>
          <w:lang w:bidi="fa-IR"/>
        </w:rPr>
      </w:pPr>
      <w:r w:rsidRPr="00833064">
        <w:rPr>
          <w:rFonts w:hint="cs"/>
          <w:rtl/>
        </w:rPr>
        <w:t>2</w:t>
      </w:r>
      <w:r>
        <w:rPr>
          <w:rFonts w:hint="cs"/>
          <w:rtl/>
          <w:lang w:bidi="fa-IR"/>
        </w:rPr>
        <w:t>ـ محتو</w:t>
      </w:r>
      <w:r>
        <w:rPr>
          <w:rFonts w:hint="cs"/>
          <w:rtl/>
        </w:rPr>
        <w:t>ى</w:t>
      </w:r>
      <w:r>
        <w:rPr>
          <w:rFonts w:hint="cs"/>
          <w:rtl/>
          <w:lang w:bidi="fa-IR"/>
        </w:rPr>
        <w:t xml:space="preserve"> بعض الروايا عبارة عن أنّه بإمكان المرأة أن تؤمّ النساء أو لا؟ فعند عدم السؤال عن إمامة المرأة للرجال لا يمكن الاستنتاج بعدم صحّة ذلك، أي إنّ الروايات التي سُئل </w:t>
      </w:r>
      <w:r>
        <w:rPr>
          <w:rFonts w:hint="cs"/>
          <w:rtl/>
        </w:rPr>
        <w:t>فيها</w:t>
      </w:r>
      <w:r>
        <w:rPr>
          <w:rFonts w:hint="cs"/>
          <w:rtl/>
          <w:lang w:bidi="fa-IR"/>
        </w:rPr>
        <w:t xml:space="preserve"> المعصوم× عن جواز إمامة المرأة للنساء لا تعتبر دليلاً نستنتج منه عدم جواز إمامتها للرجال، أي (إنّ الناس لم يسألوا المعصوم عن إمامة المرأة للرجال</w:t>
      </w:r>
      <w:r>
        <w:rPr>
          <w:rFonts w:hint="cs"/>
          <w:rtl/>
        </w:rPr>
        <w:t>؛</w:t>
      </w:r>
      <w:r>
        <w:rPr>
          <w:rFonts w:hint="cs"/>
          <w:rtl/>
          <w:lang w:bidi="fa-IR"/>
        </w:rPr>
        <w:t xml:space="preserve"> لأنّه كان ثابتاً لديهم أنّه غير جائز، فهذا الاستنتاج باطلٌ ولا صحة له.</w:t>
      </w:r>
    </w:p>
    <w:p w:rsidR="00AC628B" w:rsidRPr="000036A1" w:rsidRDefault="00AC628B" w:rsidP="007F7201">
      <w:pPr>
        <w:pStyle w:val="ac"/>
        <w:rPr>
          <w:rtl/>
          <w:lang w:bidi="fa-IR"/>
        </w:rPr>
      </w:pPr>
      <w:r w:rsidRPr="00833064">
        <w:rPr>
          <w:rFonts w:hint="cs"/>
          <w:rtl/>
        </w:rPr>
        <w:t>3</w:t>
      </w:r>
      <w:r>
        <w:rPr>
          <w:rFonts w:hint="cs"/>
          <w:rtl/>
          <w:lang w:bidi="fa-IR"/>
        </w:rPr>
        <w:t xml:space="preserve">ـ من الممكن أن يكون عدم السؤال عن هذا المورد في ذلك الزمان هو عدم الابتلاء به حينها، مثل: عدم سؤالهم عن جواز إمامة </w:t>
      </w:r>
      <w:r w:rsidRPr="00CE32CB">
        <w:rPr>
          <w:rFonts w:hint="cs"/>
          <w:rtl/>
        </w:rPr>
        <w:t>الخنثى للجماعة،</w:t>
      </w:r>
      <w:r>
        <w:rPr>
          <w:rFonts w:hint="cs"/>
          <w:rtl/>
          <w:lang w:bidi="fa-IR"/>
        </w:rPr>
        <w:t xml:space="preserve"> ولا يمكن الادّعاء أنّ منع ذلك كان يجول في ذهنهم</w:t>
      </w:r>
      <w:r>
        <w:rPr>
          <w:rFonts w:hint="cs"/>
          <w:rtl/>
        </w:rPr>
        <w:t>؛</w:t>
      </w:r>
      <w:r>
        <w:rPr>
          <w:rFonts w:hint="cs"/>
          <w:rtl/>
          <w:lang w:bidi="fa-IR"/>
        </w:rPr>
        <w:t xml:space="preserve"> لأنّه ربّما كان العكس هو الصحيح، أي أنّه يجول في ذهنهم جواز ذلك.</w:t>
      </w:r>
    </w:p>
    <w:p w:rsidR="00AC628B" w:rsidRDefault="00AC628B" w:rsidP="007F7201">
      <w:pPr>
        <w:pStyle w:val="ac"/>
        <w:rPr>
          <w:rtl/>
          <w:lang w:bidi="fa-IR"/>
        </w:rPr>
      </w:pPr>
      <w:r w:rsidRPr="00833064">
        <w:rPr>
          <w:rFonts w:hint="cs"/>
          <w:rtl/>
        </w:rPr>
        <w:t>4</w:t>
      </w:r>
      <w:r>
        <w:rPr>
          <w:rFonts w:hint="cs"/>
          <w:rtl/>
          <w:lang w:bidi="fa-IR"/>
        </w:rPr>
        <w:t xml:space="preserve"> ـ  ربّما </w:t>
      </w:r>
      <w:r>
        <w:rPr>
          <w:rFonts w:hint="cs"/>
          <w:rtl/>
        </w:rPr>
        <w:t xml:space="preserve">كان </w:t>
      </w:r>
      <w:r>
        <w:rPr>
          <w:rFonts w:hint="cs"/>
          <w:rtl/>
          <w:lang w:bidi="fa-IR"/>
        </w:rPr>
        <w:t>عدم سؤالهم بسبب التقيّة والخوف.</w:t>
      </w:r>
    </w:p>
    <w:p w:rsidR="00AC628B" w:rsidRDefault="00AC628B" w:rsidP="007F7201">
      <w:pPr>
        <w:pStyle w:val="ac"/>
        <w:spacing w:line="202" w:lineRule="auto"/>
        <w:rPr>
          <w:rtl/>
          <w:lang w:bidi="fa-IR"/>
        </w:rPr>
      </w:pPr>
      <w:r w:rsidRPr="00833064">
        <w:rPr>
          <w:rFonts w:hint="cs"/>
          <w:rtl/>
        </w:rPr>
        <w:t>5</w:t>
      </w:r>
      <w:r>
        <w:rPr>
          <w:rFonts w:hint="cs"/>
          <w:rtl/>
          <w:lang w:bidi="fa-IR"/>
        </w:rPr>
        <w:t>ـ قد جاء النفي والإثبات في الروايات في هذا المورد، فقد أمر رسول الله</w:t>
      </w:r>
      <w:r w:rsidR="00C86626">
        <w:rPr>
          <w:rFonts w:hint="cs"/>
          <w:rtl/>
        </w:rPr>
        <w:t>’</w:t>
      </w:r>
      <w:r>
        <w:rPr>
          <w:rFonts w:hint="cs"/>
          <w:rtl/>
          <w:lang w:bidi="fa-IR"/>
        </w:rPr>
        <w:t xml:space="preserve"> أمّ ورقة أن تؤمّ أهلها، وكلمة أهل تشمل الرجال والنساء </w:t>
      </w:r>
      <w:r w:rsidRPr="00CE32CB">
        <w:rPr>
          <w:rFonts w:hint="cs"/>
          <w:rtl/>
        </w:rPr>
        <w:t>على حدٍّ سواء</w:t>
      </w:r>
      <w:r>
        <w:rPr>
          <w:rFonts w:hint="cs"/>
          <w:rtl/>
          <w:lang w:bidi="fa-IR"/>
        </w:rPr>
        <w:t xml:space="preserve">، لذلك فإنّ هذه </w:t>
      </w:r>
      <w:r>
        <w:rPr>
          <w:rFonts w:hint="cs"/>
          <w:rtl/>
        </w:rPr>
        <w:t>القضية</w:t>
      </w:r>
      <w:r>
        <w:rPr>
          <w:rFonts w:hint="cs"/>
          <w:rtl/>
          <w:lang w:bidi="fa-IR"/>
        </w:rPr>
        <w:t xml:space="preserve"> كانت متداولة حينذاك، ولم يكن الحال أنّ الحرمة هي التي تجول في ذهن </w:t>
      </w:r>
      <w:r>
        <w:rPr>
          <w:rFonts w:hint="cs"/>
          <w:rtl/>
          <w:lang w:bidi="fa-IR"/>
        </w:rPr>
        <w:lastRenderedPageBreak/>
        <w:t>الجميع.</w:t>
      </w:r>
    </w:p>
    <w:p w:rsidR="00AC628B" w:rsidRDefault="00AC628B" w:rsidP="00AC628B">
      <w:pPr>
        <w:pStyle w:val="ac"/>
        <w:rPr>
          <w:rtl/>
          <w:lang w:bidi="fa-IR"/>
        </w:rPr>
      </w:pPr>
      <w:r>
        <w:rPr>
          <w:rFonts w:hint="cs"/>
          <w:rtl/>
          <w:lang w:bidi="fa-IR"/>
        </w:rPr>
        <w:t xml:space="preserve">وهنالك رواية ذكرت في دعائم الإسلام أشارت </w:t>
      </w:r>
      <w:r w:rsidRPr="00CE32CB">
        <w:rPr>
          <w:rFonts w:hint="cs"/>
          <w:rtl/>
        </w:rPr>
        <w:t>إلى عدم جواز ذ</w:t>
      </w:r>
      <w:r>
        <w:rPr>
          <w:rFonts w:hint="cs"/>
          <w:rtl/>
          <w:lang w:bidi="fa-IR"/>
        </w:rPr>
        <w:t>لك؛ وعند تعارض الروا</w:t>
      </w:r>
      <w:r>
        <w:rPr>
          <w:rFonts w:hint="cs"/>
          <w:rtl/>
        </w:rPr>
        <w:t>يتين</w:t>
      </w:r>
      <w:r>
        <w:rPr>
          <w:rFonts w:hint="cs"/>
          <w:rtl/>
          <w:lang w:bidi="fa-IR"/>
        </w:rPr>
        <w:t xml:space="preserve"> فإنّهما تسقطان، ونرجع </w:t>
      </w:r>
      <w:r>
        <w:rPr>
          <w:rFonts w:hint="cs"/>
          <w:rtl/>
        </w:rPr>
        <w:t>إلى الإ</w:t>
      </w:r>
      <w:r>
        <w:rPr>
          <w:rFonts w:hint="cs"/>
          <w:rtl/>
          <w:lang w:bidi="fa-IR"/>
        </w:rPr>
        <w:t>طلاقات والعمومات.</w:t>
      </w:r>
    </w:p>
    <w:p w:rsidR="00AC628B" w:rsidRDefault="00AC628B" w:rsidP="007F7201">
      <w:pPr>
        <w:pStyle w:val="ac"/>
        <w:rPr>
          <w:rtl/>
          <w:lang w:bidi="fa-IR"/>
        </w:rPr>
      </w:pPr>
      <w:r w:rsidRPr="00833064">
        <w:rPr>
          <w:rFonts w:hint="cs"/>
          <w:rtl/>
        </w:rPr>
        <w:t>6</w:t>
      </w:r>
      <w:r>
        <w:rPr>
          <w:rFonts w:hint="cs"/>
          <w:rtl/>
          <w:lang w:bidi="fa-IR"/>
        </w:rPr>
        <w:t xml:space="preserve">ـ يمكن الإجابة </w:t>
      </w:r>
      <w:r w:rsidRPr="00CE32CB">
        <w:rPr>
          <w:rFonts w:hint="cs"/>
          <w:rtl/>
        </w:rPr>
        <w:t>على الروايات المانعة با</w:t>
      </w:r>
      <w:r>
        <w:rPr>
          <w:rFonts w:hint="cs"/>
          <w:rtl/>
          <w:lang w:bidi="fa-IR"/>
        </w:rPr>
        <w:t xml:space="preserve">لقول: استناداً </w:t>
      </w:r>
      <w:r w:rsidRPr="00CE32CB">
        <w:rPr>
          <w:rFonts w:hint="cs"/>
          <w:rtl/>
        </w:rPr>
        <w:t xml:space="preserve">إلى الاطلاق </w:t>
      </w:r>
      <w:r>
        <w:rPr>
          <w:rFonts w:hint="cs"/>
          <w:rtl/>
          <w:lang w:bidi="fa-IR"/>
        </w:rPr>
        <w:t xml:space="preserve">المقامي للروايات، فإنّ الذكورة ليست شرطاً؛ وذلك أنه ذكر في الرواية </w:t>
      </w:r>
      <w:r>
        <w:rPr>
          <w:rFonts w:hint="cs"/>
          <w:rtl/>
        </w:rPr>
        <w:t>«خمسةٌ لا يَؤم</w:t>
      </w:r>
      <w:r w:rsidRPr="004F2271">
        <w:rPr>
          <w:rFonts w:hint="cs"/>
          <w:rtl/>
        </w:rPr>
        <w:t>نّ...»</w:t>
      </w:r>
      <w:r w:rsidRPr="00815C4C">
        <w:rPr>
          <w:rFonts w:cs="Taher" w:hint="cs"/>
          <w:vertAlign w:val="superscript"/>
          <w:rtl/>
        </w:rPr>
        <w:t>(</w:t>
      </w:r>
      <w:r w:rsidRPr="00815C4C">
        <w:rPr>
          <w:rFonts w:cs="Taher"/>
          <w:vertAlign w:val="superscript"/>
          <w:rtl/>
        </w:rPr>
        <w:footnoteReference w:id="824"/>
      </w:r>
      <w:r w:rsidRPr="00815C4C">
        <w:rPr>
          <w:rFonts w:cs="Taher"/>
          <w:vertAlign w:val="superscript"/>
          <w:rtl/>
        </w:rPr>
        <w:t>)</w:t>
      </w:r>
      <w:r>
        <w:rPr>
          <w:rFonts w:hint="cs"/>
          <w:rtl/>
          <w:lang w:bidi="fa-IR"/>
        </w:rPr>
        <w:t>، ولم تذكر المرأة بين هؤلاء الخمسة، والرواية في مقام بيان من لا يجوز تصدّيهم لإمامة الناس في صلاة الجماعة.</w:t>
      </w:r>
    </w:p>
    <w:p w:rsidR="00AC628B" w:rsidRDefault="00AC628B" w:rsidP="007F7201">
      <w:pPr>
        <w:pStyle w:val="ac"/>
        <w:rPr>
          <w:rtl/>
          <w:lang w:bidi="fa-IR"/>
        </w:rPr>
      </w:pPr>
      <w:r w:rsidRPr="00833064">
        <w:rPr>
          <w:rFonts w:hint="cs"/>
          <w:rtl/>
        </w:rPr>
        <w:t>7</w:t>
      </w:r>
      <w:r>
        <w:rPr>
          <w:rFonts w:hint="cs"/>
          <w:rtl/>
          <w:lang w:bidi="fa-IR"/>
        </w:rPr>
        <w:t xml:space="preserve"> ـ إلغاء الخصوصية والاشتراك في الحكم، أي إنّه لا يوجد فرق بين الرجل والمرأة، بحيث إنّه إذا كان الرجل عادلاً فبإمكانه أن يؤمّ الناس، وكذلك هو الحال بالنسبة للمرأة، غاية ما في الأمر أنّه ينبغي للمرأة الاستتار ولازمة إمام الجماعة هو الاشتهار، وهذا أيضاً لا يستند </w:t>
      </w:r>
      <w:r w:rsidRPr="00CE32CB">
        <w:rPr>
          <w:rFonts w:hint="cs"/>
          <w:rtl/>
        </w:rPr>
        <w:t>إلى دليلٍ خاصٍّ</w:t>
      </w:r>
      <w:r>
        <w:rPr>
          <w:rFonts w:hint="cs"/>
          <w:rtl/>
          <w:lang w:bidi="fa-IR"/>
        </w:rPr>
        <w:t>.</w:t>
      </w:r>
    </w:p>
    <w:p w:rsidR="00AC628B" w:rsidRPr="007F7201" w:rsidRDefault="00AC628B" w:rsidP="00AC628B">
      <w:pPr>
        <w:pStyle w:val="ac"/>
        <w:rPr>
          <w:sz w:val="22"/>
          <w:szCs w:val="24"/>
          <w:rtl/>
          <w:lang w:bidi="fa-IR"/>
        </w:rPr>
      </w:pPr>
    </w:p>
    <w:p w:rsidR="00AC628B" w:rsidRPr="008C781F" w:rsidRDefault="00AC628B" w:rsidP="007F7201">
      <w:pPr>
        <w:pStyle w:val="2"/>
        <w:rPr>
          <w:rtl/>
          <w:lang w:bidi="fa-IR"/>
        </w:rPr>
      </w:pPr>
      <w:bookmarkStart w:id="435" w:name="_Toc275128148"/>
      <w:r w:rsidRPr="008C781F">
        <w:rPr>
          <w:rFonts w:hint="cs"/>
          <w:rtl/>
          <w:lang w:bidi="fa-IR"/>
        </w:rPr>
        <w:t>طـ ـ دليل الإجماع</w:t>
      </w:r>
      <w:bookmarkEnd w:id="435"/>
      <w:r w:rsidRPr="008C781F">
        <w:rPr>
          <w:rFonts w:hint="cs"/>
          <w:rtl/>
          <w:lang w:bidi="fa-IR"/>
        </w:rPr>
        <w:t xml:space="preserve"> </w:t>
      </w:r>
    </w:p>
    <w:p w:rsidR="00AC628B" w:rsidRDefault="00AC628B" w:rsidP="00AC628B">
      <w:pPr>
        <w:pStyle w:val="ac"/>
        <w:rPr>
          <w:rtl/>
          <w:lang w:bidi="fa-IR"/>
        </w:rPr>
      </w:pPr>
      <w:r>
        <w:rPr>
          <w:rFonts w:hint="cs"/>
          <w:rtl/>
          <w:lang w:bidi="fa-IR"/>
        </w:rPr>
        <w:t xml:space="preserve">ذكروا أنّ الإجماع دليلٌ </w:t>
      </w:r>
      <w:r w:rsidRPr="00CE32CB">
        <w:rPr>
          <w:rFonts w:hint="cs"/>
          <w:rtl/>
        </w:rPr>
        <w:t xml:space="preserve">على عدم جواز </w:t>
      </w:r>
      <w:r>
        <w:rPr>
          <w:rFonts w:hint="cs"/>
          <w:rtl/>
          <w:lang w:bidi="fa-IR"/>
        </w:rPr>
        <w:t>إمامة المرأة للرجال.</w:t>
      </w:r>
    </w:p>
    <w:p w:rsidR="00AC628B" w:rsidRPr="000D3D6B" w:rsidRDefault="00AC628B" w:rsidP="007F7201">
      <w:pPr>
        <w:pStyle w:val="afffffc"/>
        <w:rPr>
          <w:sz w:val="16"/>
          <w:szCs w:val="17"/>
          <w:rtl/>
          <w:lang w:bidi="fa-IR"/>
        </w:rPr>
      </w:pPr>
      <w:r>
        <w:rPr>
          <w:rFonts w:hint="cs"/>
          <w:rtl/>
          <w:lang w:bidi="fa-IR"/>
        </w:rPr>
        <w:t xml:space="preserve"> </w:t>
      </w:r>
    </w:p>
    <w:p w:rsidR="00AC628B" w:rsidRDefault="00AC628B" w:rsidP="007F7201">
      <w:pPr>
        <w:pStyle w:val="2"/>
        <w:rPr>
          <w:rtl/>
          <w:lang w:bidi="fa-IR"/>
        </w:rPr>
      </w:pPr>
      <w:bookmarkStart w:id="436" w:name="_Toc275128149"/>
      <w:r>
        <w:rPr>
          <w:rFonts w:hint="cs"/>
          <w:rtl/>
          <w:lang w:bidi="fa-IR"/>
        </w:rPr>
        <w:t>تحليل ونقد</w:t>
      </w:r>
      <w:bookmarkEnd w:id="436"/>
    </w:p>
    <w:p w:rsidR="00AC628B" w:rsidRDefault="00AC628B" w:rsidP="00AC628B">
      <w:pPr>
        <w:pStyle w:val="ac"/>
        <w:rPr>
          <w:rtl/>
          <w:lang w:bidi="fa-IR"/>
        </w:rPr>
      </w:pPr>
      <w:r>
        <w:rPr>
          <w:rFonts w:hint="cs"/>
          <w:rtl/>
          <w:lang w:bidi="fa-IR"/>
        </w:rPr>
        <w:t xml:space="preserve">لا يمكن الاستناد </w:t>
      </w:r>
      <w:r w:rsidRPr="00CE32CB">
        <w:rPr>
          <w:rFonts w:hint="cs"/>
          <w:rtl/>
        </w:rPr>
        <w:t>إلى هذا الدليل</w:t>
      </w:r>
      <w:r>
        <w:rPr>
          <w:rFonts w:hint="cs"/>
          <w:rtl/>
          <w:lang w:bidi="fa-IR"/>
        </w:rPr>
        <w:t xml:space="preserve"> لأسبابٍ، منها:</w:t>
      </w:r>
    </w:p>
    <w:p w:rsidR="00AC628B" w:rsidRDefault="00AC628B" w:rsidP="00AC628B">
      <w:pPr>
        <w:pStyle w:val="ac"/>
        <w:rPr>
          <w:rtl/>
          <w:lang w:bidi="fa-IR"/>
        </w:rPr>
      </w:pPr>
      <w:r w:rsidRPr="00833064">
        <w:rPr>
          <w:rFonts w:hint="cs"/>
          <w:rtl/>
        </w:rPr>
        <w:t>1</w:t>
      </w:r>
      <w:r>
        <w:rPr>
          <w:rFonts w:hint="cs"/>
          <w:rtl/>
          <w:lang w:bidi="fa-IR"/>
        </w:rPr>
        <w:t xml:space="preserve"> ـ  بما أنّ هذه </w:t>
      </w:r>
      <w:r>
        <w:rPr>
          <w:rFonts w:hint="cs"/>
          <w:rtl/>
        </w:rPr>
        <w:t>القضية</w:t>
      </w:r>
      <w:r>
        <w:rPr>
          <w:rFonts w:hint="cs"/>
          <w:rtl/>
          <w:lang w:bidi="fa-IR"/>
        </w:rPr>
        <w:t xml:space="preserve"> ذات وجوه واعتبارات مختلفة فإنّه ليس بإمكاننا أن نجعل هذا الإجماع دليلاً كاشفاً عن الحكم التعبّدي هنا.</w:t>
      </w:r>
    </w:p>
    <w:p w:rsidR="00AC628B" w:rsidRDefault="00AC628B" w:rsidP="00AC628B">
      <w:pPr>
        <w:pStyle w:val="ac"/>
        <w:rPr>
          <w:rtl/>
          <w:lang w:bidi="fa-IR"/>
        </w:rPr>
      </w:pPr>
      <w:r w:rsidRPr="000D3D6B">
        <w:rPr>
          <w:rFonts w:hint="cs"/>
          <w:spacing w:val="-10"/>
          <w:rtl/>
        </w:rPr>
        <w:t>2</w:t>
      </w:r>
      <w:r w:rsidRPr="000D3D6B">
        <w:rPr>
          <w:rFonts w:hint="cs"/>
          <w:spacing w:val="-10"/>
          <w:rtl/>
          <w:lang w:bidi="fa-IR"/>
        </w:rPr>
        <w:t xml:space="preserve"> ـ  لم يكن هذا الإجماع متحقّقاً عند الإمامية ولا في الروايات، والشيخ الطوسي لم</w:t>
      </w:r>
      <w:r>
        <w:rPr>
          <w:rFonts w:hint="cs"/>
          <w:rtl/>
          <w:lang w:bidi="fa-IR"/>
        </w:rPr>
        <w:t xml:space="preserve"> </w:t>
      </w:r>
      <w:r w:rsidRPr="000D3D6B">
        <w:rPr>
          <w:rFonts w:hint="cs"/>
          <w:spacing w:val="-10"/>
          <w:rtl/>
          <w:lang w:bidi="fa-IR"/>
        </w:rPr>
        <w:t xml:space="preserve">يستطع أن يحصل في هذا المورد على </w:t>
      </w:r>
      <w:r w:rsidRPr="009D0746">
        <w:rPr>
          <w:rFonts w:hint="cs"/>
          <w:rtl/>
        </w:rPr>
        <w:t>فتاوى</w:t>
      </w:r>
      <w:r w:rsidRPr="000D3D6B">
        <w:rPr>
          <w:rFonts w:hint="cs"/>
          <w:spacing w:val="-10"/>
          <w:rtl/>
          <w:lang w:bidi="fa-IR"/>
        </w:rPr>
        <w:t xml:space="preserve"> القدماء، مثل ابن أبي عمير وزرارة وغيرهم، لذلك</w:t>
      </w:r>
      <w:r>
        <w:rPr>
          <w:rFonts w:hint="cs"/>
          <w:rtl/>
          <w:lang w:bidi="fa-IR"/>
        </w:rPr>
        <w:t xml:space="preserve"> </w:t>
      </w:r>
      <w:r w:rsidRPr="009D0746">
        <w:rPr>
          <w:rFonts w:hint="cs"/>
          <w:spacing w:val="-6"/>
          <w:rtl/>
          <w:lang w:bidi="fa-IR"/>
        </w:rPr>
        <w:t xml:space="preserve">فإنّه يتوجّب علينا الرجوع </w:t>
      </w:r>
      <w:r w:rsidRPr="00CE32CB">
        <w:rPr>
          <w:rFonts w:hint="cs"/>
          <w:rtl/>
        </w:rPr>
        <w:t xml:space="preserve">إلى النصوص الفقهية في </w:t>
      </w:r>
      <w:r w:rsidRPr="009D0746">
        <w:rPr>
          <w:rFonts w:hint="cs"/>
          <w:spacing w:val="-6"/>
          <w:rtl/>
          <w:lang w:bidi="fa-IR"/>
        </w:rPr>
        <w:t>بطون الكتب، كالمقنع والهداية ورسالة</w:t>
      </w:r>
      <w:r w:rsidRPr="00D23FEE">
        <w:rPr>
          <w:rFonts w:hint="cs"/>
          <w:spacing w:val="-8"/>
          <w:rtl/>
          <w:lang w:bidi="fa-IR"/>
        </w:rPr>
        <w:t xml:space="preserve"> ابن بابويه وما شاكلها، لكي يتحصّل لنا العلم بأنّ هذه المسألة قد ذكرت فيها أو</w:t>
      </w:r>
      <w:r>
        <w:rPr>
          <w:rFonts w:hint="cs"/>
          <w:rtl/>
          <w:lang w:bidi="fa-IR"/>
        </w:rPr>
        <w:t xml:space="preserve"> لا.</w:t>
      </w:r>
    </w:p>
    <w:p w:rsidR="00AC628B" w:rsidRDefault="00AC628B" w:rsidP="007F7201">
      <w:pPr>
        <w:pStyle w:val="ac"/>
        <w:rPr>
          <w:rtl/>
          <w:lang w:bidi="fa-IR"/>
        </w:rPr>
      </w:pPr>
      <w:r w:rsidRPr="00833064">
        <w:rPr>
          <w:rFonts w:hint="cs"/>
          <w:rtl/>
        </w:rPr>
        <w:lastRenderedPageBreak/>
        <w:t>3</w:t>
      </w:r>
      <w:r>
        <w:rPr>
          <w:rFonts w:hint="cs"/>
          <w:rtl/>
          <w:lang w:bidi="fa-IR"/>
        </w:rPr>
        <w:t>ـ  يمكن أن يكون هذا الإجماع مستو</w:t>
      </w:r>
      <w:r w:rsidRPr="008C781F">
        <w:rPr>
          <w:rFonts w:hint="cs"/>
          <w:rtl/>
          <w:lang w:bidi="fa-IR"/>
        </w:rPr>
        <w:t>ح</w:t>
      </w:r>
      <w:r>
        <w:rPr>
          <w:rFonts w:hint="cs"/>
          <w:rtl/>
          <w:lang w:bidi="fa-IR"/>
        </w:rPr>
        <w:t>ى</w:t>
      </w:r>
      <w:r w:rsidRPr="008C781F">
        <w:rPr>
          <w:rFonts w:hint="cs"/>
          <w:rtl/>
          <w:lang w:bidi="fa-IR"/>
        </w:rPr>
        <w:t>ً</w:t>
      </w:r>
      <w:r>
        <w:rPr>
          <w:rFonts w:hint="cs"/>
          <w:rtl/>
          <w:lang w:bidi="fa-IR"/>
        </w:rPr>
        <w:t xml:space="preserve"> من وجوه اعتبارية، كاستتار المرأة، لذلك لا يمكننا الاعتماد </w:t>
      </w:r>
      <w:r w:rsidRPr="00CE32CB">
        <w:rPr>
          <w:rFonts w:hint="cs"/>
          <w:rtl/>
        </w:rPr>
        <w:t>عليه.</w:t>
      </w:r>
      <w:r>
        <w:rPr>
          <w:rFonts w:hint="cs"/>
          <w:rtl/>
          <w:lang w:bidi="fa-IR"/>
        </w:rPr>
        <w:t xml:space="preserve"> </w:t>
      </w:r>
    </w:p>
    <w:p w:rsidR="00AC628B" w:rsidRPr="007F7201" w:rsidRDefault="00AC628B" w:rsidP="007F7201">
      <w:pPr>
        <w:pStyle w:val="afffffc"/>
        <w:rPr>
          <w:sz w:val="16"/>
          <w:szCs w:val="14"/>
          <w:rtl/>
          <w:lang w:bidi="fa-IR"/>
        </w:rPr>
      </w:pPr>
    </w:p>
    <w:p w:rsidR="00AC628B" w:rsidRDefault="007B653E" w:rsidP="00B956C2">
      <w:pPr>
        <w:pStyle w:val="1"/>
        <w:rPr>
          <w:rtl/>
          <w:lang w:bidi="fa-IR"/>
        </w:rPr>
      </w:pPr>
      <w:bookmarkStart w:id="437" w:name="_Toc275128150"/>
      <w:r w:rsidRPr="007B653E">
        <w:rPr>
          <w:rFonts w:hint="cs"/>
          <w:rtl/>
        </w:rPr>
        <w:t xml:space="preserve">2ـ </w:t>
      </w:r>
      <w:r w:rsidR="00AC628B">
        <w:rPr>
          <w:rFonts w:hint="cs"/>
          <w:rtl/>
          <w:lang w:bidi="fa-IR"/>
        </w:rPr>
        <w:t>إمامة المرأ</w:t>
      </w:r>
      <w:r w:rsidR="00AC628B">
        <w:rPr>
          <w:rFonts w:hint="cs"/>
          <w:rtl/>
        </w:rPr>
        <w:t>ة</w:t>
      </w:r>
      <w:r w:rsidR="00AC628B">
        <w:rPr>
          <w:rFonts w:hint="cs"/>
          <w:rtl/>
          <w:lang w:bidi="fa-IR"/>
        </w:rPr>
        <w:t xml:space="preserve"> في صلاة الجمعة</w:t>
      </w:r>
      <w:bookmarkEnd w:id="437"/>
    </w:p>
    <w:p w:rsidR="00AC628B" w:rsidRDefault="00AC628B" w:rsidP="007B653E">
      <w:pPr>
        <w:pStyle w:val="ac"/>
        <w:rPr>
          <w:rtl/>
          <w:lang w:bidi="fa-IR"/>
        </w:rPr>
      </w:pPr>
      <w:r>
        <w:rPr>
          <w:rFonts w:hint="cs"/>
          <w:rtl/>
          <w:lang w:bidi="fa-IR"/>
        </w:rPr>
        <w:t xml:space="preserve">البحث في مورد إمامة الجمعة يتمحور في نظريّتين: </w:t>
      </w:r>
    </w:p>
    <w:p w:rsidR="00AC628B" w:rsidRDefault="00AC628B" w:rsidP="007F7201">
      <w:pPr>
        <w:pStyle w:val="ac"/>
        <w:spacing w:line="199" w:lineRule="auto"/>
        <w:rPr>
          <w:rtl/>
          <w:lang w:bidi="fa-IR"/>
        </w:rPr>
      </w:pPr>
      <w:r w:rsidRPr="007B653E">
        <w:rPr>
          <w:rFonts w:hint="cs"/>
          <w:b/>
          <w:bCs/>
          <w:rtl/>
        </w:rPr>
        <w:t>النظرية الأُولى:</w:t>
      </w:r>
      <w:r>
        <w:rPr>
          <w:rFonts w:hint="cs"/>
          <w:rtl/>
          <w:lang w:bidi="fa-IR"/>
        </w:rPr>
        <w:t xml:space="preserve"> </w:t>
      </w:r>
      <w:r w:rsidRPr="007B653E">
        <w:rPr>
          <w:rFonts w:hint="cs"/>
          <w:rtl/>
        </w:rPr>
        <w:t>مبنى من جعل صلاة</w:t>
      </w:r>
      <w:r>
        <w:rPr>
          <w:rFonts w:hint="cs"/>
          <w:rtl/>
          <w:lang w:bidi="fa-IR"/>
        </w:rPr>
        <w:t xml:space="preserve"> الجمعة مختصّةً بزمان حضور الإمام المعصوم×، وفي أثناء غيبته فإنّه لا شرعيّة لها، بناءً </w:t>
      </w:r>
      <w:r w:rsidRPr="00CE32CB">
        <w:rPr>
          <w:rFonts w:hint="cs"/>
          <w:rtl/>
        </w:rPr>
        <w:t>على أنّ الح</w:t>
      </w:r>
      <w:r>
        <w:rPr>
          <w:rFonts w:hint="cs"/>
          <w:rtl/>
          <w:lang w:bidi="fa-IR"/>
        </w:rPr>
        <w:t xml:space="preserve">اكمية قد جُعلت للإمام المعصوم×، واختصّت به دون غيره، </w:t>
      </w:r>
      <w:r w:rsidRPr="00CE32CB">
        <w:rPr>
          <w:rFonts w:hint="cs"/>
          <w:rtl/>
        </w:rPr>
        <w:t>حتّى وإ</w:t>
      </w:r>
      <w:r>
        <w:rPr>
          <w:rFonts w:hint="cs"/>
          <w:rtl/>
          <w:lang w:bidi="fa-IR"/>
        </w:rPr>
        <w:t xml:space="preserve">ن قلتم بجواز حكومة الفقهاء، مثل: الأمر بالطاعة الذي ورد في الآية الشريفة: </w:t>
      </w:r>
      <w:r w:rsidRPr="004F2271">
        <w:rPr>
          <w:rFonts w:cs="md_ameli" w:hint="cs"/>
          <w:b/>
          <w:bCs/>
          <w:sz w:val="32"/>
          <w:szCs w:val="32"/>
          <w:rtl/>
          <w:lang w:bidi="fa-IR"/>
        </w:rPr>
        <w:t>{</w:t>
      </w:r>
      <w:r w:rsidRPr="00330BBB">
        <w:rPr>
          <w:b/>
          <w:bCs/>
          <w:rtl/>
        </w:rPr>
        <w:t>أَطِيعُوا اللَّهَ وَأَطِيعُوا الرَّسُولَ وَأُولِي الأَْمْرِ مِنْكُمْ</w:t>
      </w:r>
      <w:r w:rsidRPr="004F2271">
        <w:rPr>
          <w:rFonts w:cs="md_ameli" w:hint="cs"/>
          <w:b/>
          <w:bCs/>
          <w:rtl/>
        </w:rPr>
        <w:t>}</w:t>
      </w:r>
      <w:r>
        <w:rPr>
          <w:rFonts w:hint="cs"/>
          <w:rtl/>
          <w:lang w:bidi="fa-IR"/>
        </w:rPr>
        <w:t xml:space="preserve">، فهذه الطاعة من مختصّات الائمة المعصومين^، ولا </w:t>
      </w:r>
      <w:r w:rsidRPr="00CE32CB">
        <w:rPr>
          <w:rFonts w:hint="cs"/>
          <w:rtl/>
        </w:rPr>
        <w:t>تتعدّى إلى مَ</w:t>
      </w:r>
      <w:r>
        <w:rPr>
          <w:rFonts w:hint="cs"/>
          <w:rtl/>
          <w:lang w:bidi="fa-IR"/>
        </w:rPr>
        <w:t>ن سواهم، وكذا إمامة الناس في صلاة الجمعة من حقوق الحاكمية، وإنّ الحاكمية غير ثابتة للفقهاء، لذلك فإنّ صلاة الجمعة في زمان الغيبة غير مشروعة، ففي هذه الموارد يكون البحث والتحليل عديم الثمرة أساساً؛ لأنّ صلاة الجمعة من مختصّات عصر الظهور، والبحث في كون إمام الجمعة رجلاً أو امرأةً لا فائدة منه، وهذا من مختصّات إمام العصر#، كما هو الحال في باب الحدود إذا قلتم: إنّها من مختصّات إمام العصر#، كما تبنّاه السيد أحمد الخوانساري</w:t>
      </w:r>
      <w:r w:rsidR="007F7201" w:rsidRPr="007F7201">
        <w:rPr>
          <w:rFonts w:hint="cs"/>
          <w:rtl/>
        </w:rPr>
        <w:t>&amp;</w:t>
      </w:r>
      <w:r w:rsidRPr="00815C4C">
        <w:rPr>
          <w:rFonts w:cs="Taher" w:hint="cs"/>
          <w:vertAlign w:val="superscript"/>
          <w:rtl/>
        </w:rPr>
        <w:t>(</w:t>
      </w:r>
      <w:r w:rsidRPr="00815C4C">
        <w:rPr>
          <w:rFonts w:cs="Taher"/>
          <w:vertAlign w:val="superscript"/>
          <w:rtl/>
        </w:rPr>
        <w:footnoteReference w:id="825"/>
      </w:r>
      <w:r w:rsidRPr="00815C4C">
        <w:rPr>
          <w:rFonts w:cs="Taher"/>
          <w:vertAlign w:val="superscript"/>
          <w:rtl/>
        </w:rPr>
        <w:t>)</w:t>
      </w:r>
      <w:r>
        <w:rPr>
          <w:rFonts w:hint="cs"/>
          <w:rtl/>
          <w:lang w:bidi="fa-IR"/>
        </w:rPr>
        <w:t xml:space="preserve">. </w:t>
      </w:r>
    </w:p>
    <w:p w:rsidR="00AC628B" w:rsidRDefault="00AC628B" w:rsidP="007F7201">
      <w:pPr>
        <w:pStyle w:val="ac"/>
        <w:rPr>
          <w:rtl/>
          <w:lang w:bidi="fa-IR"/>
        </w:rPr>
      </w:pPr>
      <w:r w:rsidRPr="002F2723">
        <w:rPr>
          <w:rFonts w:hint="cs"/>
          <w:b/>
          <w:bCs/>
          <w:rtl/>
          <w:lang w:bidi="fa-IR"/>
        </w:rPr>
        <w:t>النظرية الثانية</w:t>
      </w:r>
      <w:r>
        <w:rPr>
          <w:rFonts w:hint="cs"/>
          <w:rtl/>
          <w:lang w:bidi="fa-IR"/>
        </w:rPr>
        <w:t xml:space="preserve">: </w:t>
      </w:r>
      <w:r w:rsidRPr="00CE32CB">
        <w:rPr>
          <w:rFonts w:hint="cs"/>
          <w:rtl/>
        </w:rPr>
        <w:t xml:space="preserve">مبنى من اعتقد بكون صلاة </w:t>
      </w:r>
      <w:r>
        <w:rPr>
          <w:rFonts w:hint="cs"/>
          <w:rtl/>
          <w:lang w:bidi="fa-IR"/>
        </w:rPr>
        <w:t>الجمعة واجبا</w:t>
      </w:r>
      <w:r>
        <w:rPr>
          <w:rFonts w:hint="cs"/>
          <w:rtl/>
        </w:rPr>
        <w:t>ً</w:t>
      </w:r>
      <w:r>
        <w:rPr>
          <w:rFonts w:hint="cs"/>
          <w:rtl/>
          <w:lang w:bidi="fa-IR"/>
        </w:rPr>
        <w:t xml:space="preserve"> تخييريا</w:t>
      </w:r>
      <w:r>
        <w:rPr>
          <w:rFonts w:hint="cs"/>
          <w:rtl/>
        </w:rPr>
        <w:t>ً</w:t>
      </w:r>
      <w:r>
        <w:rPr>
          <w:rFonts w:hint="cs"/>
          <w:rtl/>
          <w:lang w:bidi="fa-IR"/>
        </w:rPr>
        <w:t>، أو من اعتقد بكونها واجبا</w:t>
      </w:r>
      <w:r>
        <w:rPr>
          <w:rFonts w:hint="cs"/>
          <w:rtl/>
        </w:rPr>
        <w:t>ً</w:t>
      </w:r>
      <w:r>
        <w:rPr>
          <w:rFonts w:hint="cs"/>
          <w:rtl/>
          <w:lang w:bidi="fa-IR"/>
        </w:rPr>
        <w:t xml:space="preserve"> عينيا</w:t>
      </w:r>
      <w:r>
        <w:rPr>
          <w:rFonts w:hint="cs"/>
          <w:rtl/>
        </w:rPr>
        <w:t>ً</w:t>
      </w:r>
      <w:r>
        <w:rPr>
          <w:rFonts w:hint="cs"/>
          <w:rtl/>
          <w:lang w:bidi="fa-IR"/>
        </w:rPr>
        <w:t>، كالشهيد الثاني</w:t>
      </w:r>
      <w:r w:rsidRPr="00815C4C">
        <w:rPr>
          <w:rFonts w:cs="Taher" w:hint="cs"/>
          <w:vertAlign w:val="superscript"/>
          <w:rtl/>
        </w:rPr>
        <w:t>(</w:t>
      </w:r>
      <w:r w:rsidRPr="00815C4C">
        <w:rPr>
          <w:rFonts w:cs="Taher"/>
          <w:vertAlign w:val="superscript"/>
          <w:rtl/>
        </w:rPr>
        <w:footnoteReference w:id="826"/>
      </w:r>
      <w:r w:rsidRPr="00815C4C">
        <w:rPr>
          <w:rFonts w:cs="Taher"/>
          <w:vertAlign w:val="superscript"/>
          <w:rtl/>
        </w:rPr>
        <w:t>)</w:t>
      </w:r>
      <w:r>
        <w:rPr>
          <w:rFonts w:hint="cs"/>
          <w:rtl/>
          <w:lang w:bidi="fa-IR"/>
        </w:rPr>
        <w:t xml:space="preserve"> والفيض الكاشاني، لذلك فإنّ البحث هنا عن ثبوت شرط الذكورة أو عدم ثبوته في إمام الجمعة تكون له ثمرة وفائدة.</w:t>
      </w:r>
    </w:p>
    <w:p w:rsidR="00AC628B" w:rsidRDefault="00AC628B" w:rsidP="00AC628B">
      <w:pPr>
        <w:pStyle w:val="ac"/>
        <w:rPr>
          <w:rtl/>
          <w:lang w:bidi="fa-IR"/>
        </w:rPr>
      </w:pPr>
      <w:r>
        <w:rPr>
          <w:rFonts w:hint="cs"/>
          <w:rtl/>
          <w:lang w:bidi="fa-IR"/>
        </w:rPr>
        <w:lastRenderedPageBreak/>
        <w:t>قال صاحب الجواهر وآخرون: إنّ اشتراط الذكورة في إمام الجمعة يُستند إليه بأدلّة إمام الجماعة، ولا يوجد لدينا دليلٌ آخر بخصوص إمام الجمعة، أي إنّه لم يتمّ البحث فيه بشكلٍ مستقلٍ؛ وبناءًً عليه يمكننا القول: إنّ من يشترط الذكورة في إمام الجماعة فهو أيضاً يشترطها في إمام الجمعة.</w:t>
      </w:r>
    </w:p>
    <w:p w:rsidR="00AC628B" w:rsidRPr="00330BBB" w:rsidRDefault="00AC628B" w:rsidP="007F7201">
      <w:pPr>
        <w:pStyle w:val="afffffc"/>
        <w:rPr>
          <w:rtl/>
          <w:lang w:bidi="fa-IR"/>
        </w:rPr>
      </w:pPr>
    </w:p>
    <w:p w:rsidR="00AC628B" w:rsidRDefault="00AC628B" w:rsidP="00AC628B">
      <w:pPr>
        <w:pStyle w:val="1"/>
        <w:rPr>
          <w:rtl/>
          <w:lang w:bidi="fa-IR"/>
        </w:rPr>
      </w:pPr>
      <w:bookmarkStart w:id="438" w:name="_Toc275128151"/>
      <w:r>
        <w:rPr>
          <w:rFonts w:hint="cs"/>
          <w:rtl/>
          <w:lang w:bidi="fa-IR"/>
        </w:rPr>
        <w:t>نتيجة البحث</w:t>
      </w:r>
      <w:bookmarkEnd w:id="438"/>
    </w:p>
    <w:p w:rsidR="00AC628B" w:rsidRDefault="00AC628B" w:rsidP="00C86626">
      <w:pPr>
        <w:pStyle w:val="ac"/>
        <w:rPr>
          <w:rtl/>
          <w:lang w:bidi="fa-IR"/>
        </w:rPr>
      </w:pPr>
      <w:r>
        <w:rPr>
          <w:rFonts w:hint="cs"/>
          <w:rtl/>
          <w:lang w:bidi="fa-IR"/>
        </w:rPr>
        <w:t xml:space="preserve">عند التأمّل في الأدلّة المذكورة يمكننا الاستنتاج أنّ شرط الذكورة في صلاتي الجمعة والجماعة لا يستند </w:t>
      </w:r>
      <w:r w:rsidRPr="00CE32CB">
        <w:rPr>
          <w:rFonts w:hint="cs"/>
          <w:rtl/>
        </w:rPr>
        <w:t>إلى دليلٍ قطعي، وع</w:t>
      </w:r>
      <w:r>
        <w:rPr>
          <w:rFonts w:hint="cs"/>
          <w:rtl/>
          <w:lang w:bidi="fa-IR"/>
        </w:rPr>
        <w:t xml:space="preserve">ليه فإنّ المرأة بإمكانها أن تؤمّ الرجال جمعةً وجماعةً، واستدلال ورأي الفقيه ومرجع التقليد </w:t>
      </w:r>
      <w:r>
        <w:rPr>
          <w:rFonts w:hint="cs"/>
          <w:rtl/>
        </w:rPr>
        <w:t>الشيخ</w:t>
      </w:r>
      <w:r>
        <w:rPr>
          <w:rFonts w:hint="cs"/>
          <w:rtl/>
          <w:lang w:bidi="fa-IR"/>
        </w:rPr>
        <w:t xml:space="preserve"> صانعي يؤيّد هذا الرأي حينما تعرّض للتعليق </w:t>
      </w:r>
      <w:r w:rsidRPr="00CE32CB">
        <w:rPr>
          <w:rFonts w:hint="cs"/>
          <w:rtl/>
        </w:rPr>
        <w:t xml:space="preserve">على شروط إمام </w:t>
      </w:r>
      <w:r>
        <w:rPr>
          <w:rFonts w:hint="cs"/>
          <w:rtl/>
          <w:lang w:bidi="fa-IR"/>
        </w:rPr>
        <w:t xml:space="preserve">الجماعة في تحرير الوسيلة، فقد ورد في تحرير الوسيلة: ويشترط فيه </w:t>
      </w:r>
      <w:r>
        <w:rPr>
          <w:rFonts w:hint="cs"/>
          <w:rtl/>
        </w:rPr>
        <w:t>أُ</w:t>
      </w:r>
      <w:r>
        <w:rPr>
          <w:rFonts w:hint="cs"/>
          <w:rtl/>
          <w:lang w:bidi="fa-IR"/>
        </w:rPr>
        <w:t xml:space="preserve">مور: الإيمان وطهارة المولد والعقل والبلوغ... والذكورة اذا كان المأموم ذكراً، بل مطلقاً </w:t>
      </w:r>
      <w:r w:rsidRPr="00CE32CB">
        <w:rPr>
          <w:rFonts w:hint="cs"/>
          <w:rtl/>
        </w:rPr>
        <w:t>على الأحوط.</w:t>
      </w:r>
      <w:r>
        <w:rPr>
          <w:rFonts w:hint="cs"/>
          <w:rtl/>
          <w:lang w:bidi="fa-IR"/>
        </w:rPr>
        <w:t>..</w:t>
      </w:r>
      <w:r w:rsidRPr="00815C4C">
        <w:rPr>
          <w:rFonts w:cs="Taher" w:hint="cs"/>
          <w:vertAlign w:val="superscript"/>
          <w:rtl/>
        </w:rPr>
        <w:t>(</w:t>
      </w:r>
      <w:r w:rsidRPr="00815C4C">
        <w:rPr>
          <w:rFonts w:cs="Taher"/>
          <w:vertAlign w:val="superscript"/>
          <w:rtl/>
        </w:rPr>
        <w:footnoteReference w:id="827"/>
      </w:r>
      <w:r w:rsidRPr="00815C4C">
        <w:rPr>
          <w:rFonts w:cs="Taher"/>
          <w:vertAlign w:val="superscript"/>
          <w:rtl/>
        </w:rPr>
        <w:t>)</w:t>
      </w:r>
      <w:r>
        <w:rPr>
          <w:rFonts w:hint="cs"/>
          <w:rtl/>
          <w:lang w:bidi="fa-IR"/>
        </w:rPr>
        <w:t xml:space="preserve">، وقد قال الشيخ صانعي معلّقاً عليه: وإن كان جواز إمامة المرأة لمثلها لا تخلو عن قوّة، بل وجواز إمامتها للرجال أيضاً؛ لقاعدة الاشتراك، وإطلاق أخبار الجماعة وعمومها الدالّ </w:t>
      </w:r>
      <w:r w:rsidRPr="00CE32CB">
        <w:rPr>
          <w:rFonts w:hint="cs"/>
          <w:rtl/>
        </w:rPr>
        <w:t>على استحباب ا</w:t>
      </w:r>
      <w:r>
        <w:rPr>
          <w:rFonts w:hint="cs"/>
          <w:rtl/>
          <w:lang w:bidi="fa-IR"/>
        </w:rPr>
        <w:t xml:space="preserve">لجماعة مطلقاً، بل وبعض الاخبار الناهية عن الصلاة إلاّ خلف من تثق به مثلاً، ممّا تدلّ </w:t>
      </w:r>
      <w:r w:rsidRPr="00CE32CB">
        <w:rPr>
          <w:rFonts w:hint="cs"/>
          <w:rtl/>
        </w:rPr>
        <w:t>على أنّ الشر</w:t>
      </w:r>
      <w:r>
        <w:rPr>
          <w:rFonts w:hint="cs"/>
          <w:rtl/>
          <w:lang w:bidi="fa-IR"/>
        </w:rPr>
        <w:t>ط في صحّة الجماعة كون الإمام موثوقاً به، فإنّه المناط في الصحة، رجلاً كان أو امرأة، مثل قوله×:</w:t>
      </w:r>
      <w:r w:rsidRPr="00687D85">
        <w:rPr>
          <w:rFonts w:hint="cs"/>
          <w:rtl/>
        </w:rPr>
        <w:t xml:space="preserve">«لا تصلِّ </w:t>
      </w:r>
      <w:r>
        <w:rPr>
          <w:rFonts w:hint="cs"/>
          <w:rtl/>
        </w:rPr>
        <w:t>إ</w:t>
      </w:r>
      <w:r w:rsidRPr="00687D85">
        <w:rPr>
          <w:rFonts w:hint="cs"/>
          <w:rtl/>
        </w:rPr>
        <w:t>لاّ خلف من تثق بدينه»</w:t>
      </w:r>
      <w:r w:rsidRPr="00815C4C">
        <w:rPr>
          <w:rFonts w:cs="Taher" w:hint="cs"/>
          <w:vertAlign w:val="superscript"/>
          <w:rtl/>
        </w:rPr>
        <w:t>(</w:t>
      </w:r>
      <w:r w:rsidRPr="00815C4C">
        <w:rPr>
          <w:rFonts w:cs="Taher"/>
          <w:vertAlign w:val="superscript"/>
          <w:rtl/>
        </w:rPr>
        <w:footnoteReference w:id="828"/>
      </w:r>
      <w:r w:rsidRPr="00815C4C">
        <w:rPr>
          <w:rFonts w:cs="Taher"/>
          <w:vertAlign w:val="superscript"/>
          <w:rtl/>
        </w:rPr>
        <w:t>)</w:t>
      </w:r>
      <w:r w:rsidRPr="00687D85">
        <w:rPr>
          <w:rFonts w:hint="cs"/>
          <w:rtl/>
        </w:rPr>
        <w:t xml:space="preserve">، </w:t>
      </w:r>
      <w:r>
        <w:rPr>
          <w:rFonts w:hint="cs"/>
          <w:rtl/>
          <w:lang w:bidi="fa-IR"/>
        </w:rPr>
        <w:t xml:space="preserve">هذا مضافاً </w:t>
      </w:r>
      <w:r w:rsidRPr="00CE32CB">
        <w:rPr>
          <w:rFonts w:hint="cs"/>
          <w:rtl/>
        </w:rPr>
        <w:t>إلى أنّ الم</w:t>
      </w:r>
      <w:r>
        <w:rPr>
          <w:rFonts w:hint="cs"/>
          <w:rtl/>
          <w:lang w:bidi="fa-IR"/>
        </w:rPr>
        <w:t>وضوع فيه أيضاً كلمة الموصول الشاملة للمذكّر والمؤنّث جميعاً، هذا مع ما في النبوي أنه</w:t>
      </w:r>
      <w:r w:rsidR="00C86626">
        <w:rPr>
          <w:rFonts w:hint="cs"/>
          <w:rtl/>
        </w:rPr>
        <w:t>’</w:t>
      </w:r>
      <w:r>
        <w:rPr>
          <w:rFonts w:hint="cs"/>
          <w:rtl/>
          <w:lang w:bidi="fa-IR"/>
        </w:rPr>
        <w:t xml:space="preserve"> أمر أمّ ورقة أن تؤمّ أهل دارها، وجعل لها مؤذّناً</w:t>
      </w:r>
      <w:r w:rsidRPr="00815C4C">
        <w:rPr>
          <w:rFonts w:cs="Taher" w:hint="cs"/>
          <w:vertAlign w:val="superscript"/>
          <w:rtl/>
        </w:rPr>
        <w:t>(</w:t>
      </w:r>
      <w:r w:rsidRPr="00815C4C">
        <w:rPr>
          <w:rFonts w:cs="Taher"/>
          <w:vertAlign w:val="superscript"/>
          <w:rtl/>
        </w:rPr>
        <w:footnoteReference w:id="829"/>
      </w:r>
      <w:r w:rsidRPr="00815C4C">
        <w:rPr>
          <w:rFonts w:cs="Taher"/>
          <w:vertAlign w:val="superscript"/>
          <w:rtl/>
        </w:rPr>
        <w:t>)</w:t>
      </w:r>
      <w:r>
        <w:rPr>
          <w:rFonts w:hint="cs"/>
          <w:rtl/>
          <w:lang w:bidi="fa-IR"/>
        </w:rPr>
        <w:t>، وهو المروي في كتب الفروع لأصحابنا</w:t>
      </w:r>
      <w:r w:rsidRPr="00815C4C">
        <w:rPr>
          <w:rFonts w:cs="Taher" w:hint="cs"/>
          <w:vertAlign w:val="superscript"/>
          <w:rtl/>
        </w:rPr>
        <w:t>(</w:t>
      </w:r>
      <w:r w:rsidRPr="00815C4C">
        <w:rPr>
          <w:rFonts w:cs="Taher"/>
          <w:vertAlign w:val="superscript"/>
          <w:rtl/>
        </w:rPr>
        <w:footnoteReference w:id="830"/>
      </w:r>
      <w:r w:rsidRPr="00815C4C">
        <w:rPr>
          <w:rFonts w:cs="Taher"/>
          <w:vertAlign w:val="superscript"/>
          <w:rtl/>
        </w:rPr>
        <w:t>)</w:t>
      </w:r>
      <w:r>
        <w:rPr>
          <w:rFonts w:hint="cs"/>
          <w:rtl/>
          <w:lang w:bidi="fa-IR"/>
        </w:rPr>
        <w:t xml:space="preserve">، </w:t>
      </w:r>
      <w:r>
        <w:rPr>
          <w:rFonts w:hint="cs"/>
          <w:rtl/>
          <w:lang w:bidi="fa-IR"/>
        </w:rPr>
        <w:lastRenderedPageBreak/>
        <w:t>مستدلّين به لجواز إمامة المرأة لمثلها، والظاهر أنّ الأهل أعمّ من المرأة.</w:t>
      </w:r>
    </w:p>
    <w:p w:rsidR="00EE06ED" w:rsidRDefault="00AC628B" w:rsidP="007B653E">
      <w:pPr>
        <w:pStyle w:val="ac"/>
        <w:rPr>
          <w:rtl/>
          <w:lang w:bidi="fa-IR"/>
        </w:rPr>
      </w:pPr>
      <w:r w:rsidRPr="007B653E">
        <w:rPr>
          <w:rFonts w:hint="cs"/>
          <w:rtl/>
        </w:rPr>
        <w:t>ولا يخفى</w:t>
      </w:r>
      <w:r>
        <w:rPr>
          <w:rFonts w:hint="cs"/>
          <w:rtl/>
          <w:lang w:bidi="fa-IR"/>
        </w:rPr>
        <w:t xml:space="preserve"> عليك أنّ ما استدلّوا به لعدم جواز إمامتها للرجال من الوجوه الكثيرة كلّها مورد للمناقشة والإشكال، وغير قابلة للاستدلال</w:t>
      </w:r>
      <w:r w:rsidRPr="00815C4C">
        <w:rPr>
          <w:rFonts w:cs="Taher" w:hint="cs"/>
          <w:vertAlign w:val="superscript"/>
          <w:rtl/>
        </w:rPr>
        <w:t>(</w:t>
      </w:r>
      <w:r w:rsidRPr="00815C4C">
        <w:rPr>
          <w:rFonts w:cs="Taher"/>
          <w:vertAlign w:val="superscript"/>
          <w:rtl/>
        </w:rPr>
        <w:footnoteReference w:id="831"/>
      </w:r>
      <w:r w:rsidRPr="00815C4C">
        <w:rPr>
          <w:rFonts w:cs="Taher"/>
          <w:vertAlign w:val="superscript"/>
          <w:rtl/>
        </w:rPr>
        <w:t>)</w:t>
      </w:r>
      <w:r>
        <w:rPr>
          <w:rFonts w:hint="cs"/>
          <w:rtl/>
          <w:lang w:bidi="fa-IR"/>
        </w:rPr>
        <w:t>.</w:t>
      </w:r>
    </w:p>
    <w:p w:rsidR="00EE06ED" w:rsidRDefault="00EE06ED" w:rsidP="007F7201">
      <w:pPr>
        <w:pStyle w:val="ac"/>
        <w:ind w:firstLine="0"/>
        <w:rPr>
          <w:rtl/>
          <w:lang w:bidi="fa-IR"/>
        </w:rPr>
        <w:sectPr w:rsidR="00EE06ED" w:rsidSect="00EA348C">
          <w:headerReference w:type="even" r:id="rId84"/>
          <w:headerReference w:type="default" r:id="rId85"/>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EE06ED" w:rsidRDefault="00EE06ED" w:rsidP="007F7201">
      <w:pPr>
        <w:pStyle w:val="ac"/>
        <w:bidi w:val="0"/>
        <w:rPr>
          <w:rtl/>
        </w:rPr>
      </w:pPr>
      <w:bookmarkStart w:id="439" w:name="_Toc259167342"/>
    </w:p>
    <w:p w:rsidR="007F7201" w:rsidRDefault="007F7201" w:rsidP="007F7201">
      <w:pPr>
        <w:pStyle w:val="ac"/>
        <w:bidi w:val="0"/>
        <w:rPr>
          <w:rtl/>
        </w:rPr>
      </w:pPr>
    </w:p>
    <w:p w:rsidR="007F7201" w:rsidRDefault="007F7201" w:rsidP="007F7201">
      <w:pPr>
        <w:pStyle w:val="ac"/>
        <w:bidi w:val="0"/>
        <w:rPr>
          <w:rtl/>
        </w:rPr>
      </w:pPr>
    </w:p>
    <w:p w:rsidR="007F7201" w:rsidRDefault="007F7201" w:rsidP="007F7201">
      <w:pPr>
        <w:pStyle w:val="ac"/>
        <w:bidi w:val="0"/>
        <w:rPr>
          <w:rtl/>
        </w:rPr>
      </w:pPr>
    </w:p>
    <w:p w:rsidR="007F7201" w:rsidRDefault="007F7201" w:rsidP="007F7201">
      <w:pPr>
        <w:pStyle w:val="ac"/>
        <w:bidi w:val="0"/>
        <w:rPr>
          <w:rtl/>
        </w:rPr>
      </w:pPr>
    </w:p>
    <w:p w:rsidR="00EE06ED" w:rsidRDefault="00EE06ED" w:rsidP="0088518C">
      <w:pPr>
        <w:pStyle w:val="aff2"/>
        <w:rPr>
          <w:rtl/>
        </w:rPr>
        <w:sectPr w:rsidR="00EE06ED" w:rsidSect="00EA348C">
          <w:headerReference w:type="even" r:id="rId86"/>
          <w:headerReference w:type="default" r:id="rId87"/>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88518C" w:rsidRPr="00931403" w:rsidRDefault="0088518C" w:rsidP="0088518C">
      <w:pPr>
        <w:pStyle w:val="aff2"/>
        <w:rPr>
          <w:rtl/>
        </w:rPr>
      </w:pPr>
      <w:bookmarkStart w:id="440" w:name="_Toc275128152"/>
      <w:r w:rsidRPr="00931403">
        <w:rPr>
          <w:rtl/>
        </w:rPr>
        <w:lastRenderedPageBreak/>
        <w:t xml:space="preserve">تحديد نصاب </w:t>
      </w:r>
      <w:r>
        <w:rPr>
          <w:rFonts w:hint="cs"/>
          <w:rtl/>
        </w:rPr>
        <w:t>ا</w:t>
      </w:r>
      <w:r w:rsidRPr="00931403">
        <w:rPr>
          <w:rtl/>
        </w:rPr>
        <w:t>لمهر في الإسلام</w:t>
      </w:r>
      <w:bookmarkEnd w:id="439"/>
      <w:bookmarkEnd w:id="440"/>
    </w:p>
    <w:p w:rsidR="0088518C" w:rsidRPr="0001010E" w:rsidRDefault="0088518C" w:rsidP="0001010E">
      <w:pPr>
        <w:pStyle w:val="aff2"/>
        <w:rPr>
          <w:sz w:val="22"/>
          <w:szCs w:val="40"/>
        </w:rPr>
      </w:pPr>
      <w:bookmarkStart w:id="441" w:name="_Toc259167343"/>
      <w:bookmarkStart w:id="442" w:name="_Toc275128153"/>
      <w:r w:rsidRPr="0001010E">
        <w:rPr>
          <w:rFonts w:hint="cs"/>
          <w:sz w:val="22"/>
          <w:szCs w:val="40"/>
          <w:rtl/>
        </w:rPr>
        <w:t>دراسة في الإمكان والمشروعية</w:t>
      </w:r>
      <w:bookmarkStart w:id="443" w:name="_Toc259167344"/>
      <w:bookmarkEnd w:id="441"/>
      <w:bookmarkEnd w:id="442"/>
    </w:p>
    <w:p w:rsidR="0088518C" w:rsidRPr="00931403" w:rsidRDefault="0088518C" w:rsidP="0001010E">
      <w:pPr>
        <w:pStyle w:val="af7"/>
        <w:rPr>
          <w:rtl/>
        </w:rPr>
      </w:pPr>
      <w:bookmarkStart w:id="444" w:name="_Toc275128154"/>
      <w:r>
        <w:rPr>
          <w:rFonts w:hint="cs"/>
          <w:rtl/>
        </w:rPr>
        <w:t xml:space="preserve">د. </w:t>
      </w:r>
      <w:r w:rsidRPr="00931403">
        <w:rPr>
          <w:rtl/>
        </w:rPr>
        <w:t>علي علي آبادي</w:t>
      </w:r>
      <w:r w:rsidRPr="00DE7B0B">
        <w:rPr>
          <w:rFonts w:cs="md_ameli"/>
          <w:sz w:val="35"/>
          <w:szCs w:val="27"/>
          <w:vertAlign w:val="superscript"/>
          <w:rtl/>
        </w:rPr>
        <w:t>(</w:t>
      </w:r>
      <w:r w:rsidRPr="00DE7B0B">
        <w:rPr>
          <w:rStyle w:val="FootnoteReference"/>
          <w:rFonts w:cs="md_ameli"/>
          <w:sz w:val="35"/>
          <w:szCs w:val="27"/>
          <w:rtl/>
        </w:rPr>
        <w:footnoteReference w:customMarkFollows="1" w:id="832"/>
        <w:t>*</w:t>
      </w:r>
      <w:r w:rsidRPr="00DE7B0B">
        <w:rPr>
          <w:rFonts w:cs="md_ameli"/>
          <w:sz w:val="35"/>
          <w:szCs w:val="27"/>
          <w:vertAlign w:val="superscript"/>
          <w:rtl/>
        </w:rPr>
        <w:t>)</w:t>
      </w:r>
      <w:bookmarkEnd w:id="443"/>
      <w:bookmarkEnd w:id="444"/>
    </w:p>
    <w:p w:rsidR="0088518C" w:rsidRPr="007F7201" w:rsidRDefault="0088518C" w:rsidP="007F7201">
      <w:pPr>
        <w:pStyle w:val="afffffc"/>
        <w:rPr>
          <w:sz w:val="20"/>
          <w:szCs w:val="18"/>
          <w:rtl/>
        </w:rPr>
      </w:pPr>
    </w:p>
    <w:p w:rsidR="0088518C" w:rsidRPr="00931403" w:rsidRDefault="0088518C" w:rsidP="0001010E">
      <w:pPr>
        <w:pStyle w:val="1"/>
        <w:rPr>
          <w:rtl/>
        </w:rPr>
      </w:pPr>
      <w:bookmarkStart w:id="445" w:name="_Toc275128155"/>
      <w:r>
        <w:rPr>
          <w:rtl/>
        </w:rPr>
        <w:t>مقدمة</w:t>
      </w:r>
      <w:bookmarkEnd w:id="445"/>
    </w:p>
    <w:p w:rsidR="0088518C" w:rsidRPr="00931403" w:rsidRDefault="0088518C" w:rsidP="007008ED">
      <w:pPr>
        <w:pStyle w:val="ac"/>
        <w:rPr>
          <w:rtl/>
        </w:rPr>
      </w:pPr>
      <w:r w:rsidRPr="00931403">
        <w:rPr>
          <w:rtl/>
        </w:rPr>
        <w:t>إنّ تشريع المهر</w:t>
      </w:r>
      <w:r w:rsidRPr="007F5B58">
        <w:rPr>
          <w:rtl/>
        </w:rPr>
        <w:t>،</w:t>
      </w:r>
      <w:r w:rsidRPr="00931403">
        <w:rPr>
          <w:rtl/>
        </w:rPr>
        <w:t xml:space="preserve"> بوصفه أحد سمات النظام التشريعي في الإسلام</w:t>
      </w:r>
      <w:r w:rsidRPr="007F5B58">
        <w:rPr>
          <w:rtl/>
        </w:rPr>
        <w:t>،</w:t>
      </w:r>
      <w:r w:rsidRPr="00931403">
        <w:rPr>
          <w:rtl/>
        </w:rPr>
        <w:t xml:space="preserve"> كان ولا</w:t>
      </w:r>
      <w:r>
        <w:rPr>
          <w:rtl/>
        </w:rPr>
        <w:t xml:space="preserve"> </w:t>
      </w:r>
      <w:r w:rsidRPr="00931403">
        <w:rPr>
          <w:rtl/>
        </w:rPr>
        <w:t>يزال هدفاً للهجمات والشبهات المتعددة المثارة من قبل المنتقدين</w:t>
      </w:r>
      <w:r w:rsidRPr="007F5B58">
        <w:rPr>
          <w:rtl/>
        </w:rPr>
        <w:t>،</w:t>
      </w:r>
      <w:r w:rsidRPr="00931403">
        <w:rPr>
          <w:rtl/>
        </w:rPr>
        <w:t xml:space="preserve"> وأحياناً أهل الخبرة الجاهلين بأبعاد الموضوع في سائر الأنظمة الحقوقية</w:t>
      </w:r>
      <w:r>
        <w:rPr>
          <w:rFonts w:hint="cs"/>
          <w:rtl/>
        </w:rPr>
        <w:t>.</w:t>
      </w:r>
      <w:r w:rsidRPr="00931403">
        <w:rPr>
          <w:rtl/>
        </w:rPr>
        <w:t xml:space="preserve"> وقد اقتضى ذلك بذل المؤمنين بالنظام الحقوقي الإسلامي لمساع</w:t>
      </w:r>
      <w:r>
        <w:rPr>
          <w:rtl/>
        </w:rPr>
        <w:t>ٍ</w:t>
      </w:r>
      <w:r w:rsidRPr="00931403">
        <w:rPr>
          <w:rtl/>
        </w:rPr>
        <w:t xml:space="preserve"> حثيثة في اتجاهين</w:t>
      </w:r>
      <w:r w:rsidRPr="007F5B58">
        <w:rPr>
          <w:rtl/>
        </w:rPr>
        <w:t>:</w:t>
      </w:r>
      <w:r w:rsidRPr="00931403">
        <w:rPr>
          <w:rtl/>
        </w:rPr>
        <w:t xml:space="preserve"> دحض الاتهامات المطروحة</w:t>
      </w:r>
      <w:r w:rsidRPr="007F5B58">
        <w:rPr>
          <w:rtl/>
        </w:rPr>
        <w:t>؛</w:t>
      </w:r>
      <w:r w:rsidRPr="00931403">
        <w:rPr>
          <w:rtl/>
        </w:rPr>
        <w:t xml:space="preserve"> وتقديم الأدلة التي تُبرز أرجحية حفظ هذا التشريع الإسلامي. وكان الأمل في أن تتمكّن هذه الجهود من تبيين حقيقة المهر</w:t>
      </w:r>
      <w:r w:rsidRPr="007F5B58">
        <w:rPr>
          <w:rtl/>
        </w:rPr>
        <w:t>،</w:t>
      </w:r>
      <w:r w:rsidRPr="00931403">
        <w:rPr>
          <w:rtl/>
        </w:rPr>
        <w:t xml:space="preserve"> وتوضيح أهمّيته ومكانته في النظام الحقوقي الإسلامي</w:t>
      </w:r>
      <w:r w:rsidRPr="007F5B58">
        <w:rPr>
          <w:rtl/>
        </w:rPr>
        <w:t>،</w:t>
      </w:r>
      <w:r w:rsidRPr="00931403">
        <w:rPr>
          <w:rtl/>
        </w:rPr>
        <w:t xml:space="preserve"> بعد الردّ على بعض الانتقادات</w:t>
      </w:r>
      <w:r w:rsidRPr="007F5B58">
        <w:rPr>
          <w:rtl/>
        </w:rPr>
        <w:t>،</w:t>
      </w:r>
      <w:r w:rsidRPr="00931403">
        <w:rPr>
          <w:rtl/>
        </w:rPr>
        <w:t xml:space="preserve"> من قبيل</w:t>
      </w:r>
      <w:r w:rsidRPr="007F5B58">
        <w:rPr>
          <w:rtl/>
        </w:rPr>
        <w:t>:</w:t>
      </w:r>
      <w:r w:rsidRPr="00931403">
        <w:rPr>
          <w:rtl/>
        </w:rPr>
        <w:t xml:space="preserve"> </w:t>
      </w:r>
      <w:r>
        <w:rPr>
          <w:rtl/>
        </w:rPr>
        <w:t>إ</w:t>
      </w:r>
      <w:r w:rsidRPr="00931403">
        <w:rPr>
          <w:rtl/>
        </w:rPr>
        <w:t>نّ المهر هو ثمن أنثوية المرأة</w:t>
      </w:r>
      <w:r w:rsidRPr="007F5B58">
        <w:rPr>
          <w:rtl/>
        </w:rPr>
        <w:t>،</w:t>
      </w:r>
      <w:r w:rsidRPr="00931403">
        <w:rPr>
          <w:rtl/>
        </w:rPr>
        <w:t xml:space="preserve"> وذلك عبر الاستفادة من الإمكانات التي تتيحها وسائل الإعلام.</w:t>
      </w:r>
    </w:p>
    <w:p w:rsidR="0088518C" w:rsidRPr="00931403" w:rsidRDefault="0088518C" w:rsidP="007008ED">
      <w:pPr>
        <w:pStyle w:val="ac"/>
        <w:rPr>
          <w:rtl/>
        </w:rPr>
      </w:pPr>
      <w:r>
        <w:rPr>
          <w:rtl/>
        </w:rPr>
        <w:t>و</w:t>
      </w:r>
      <w:r w:rsidRPr="00931403">
        <w:rPr>
          <w:rtl/>
        </w:rPr>
        <w:t xml:space="preserve">في غضون ذلك تحوّل تشريع المهر </w:t>
      </w:r>
      <w:r>
        <w:rPr>
          <w:rFonts w:hint="cs"/>
          <w:rtl/>
        </w:rPr>
        <w:t>في البلدان الإسلامية، ومنها</w:t>
      </w:r>
      <w:r w:rsidRPr="00931403">
        <w:rPr>
          <w:rtl/>
        </w:rPr>
        <w:t xml:space="preserve"> النظام الإسلامي الإيراني</w:t>
      </w:r>
      <w:r>
        <w:rPr>
          <w:rFonts w:hint="cs"/>
          <w:rtl/>
        </w:rPr>
        <w:t>،</w:t>
      </w:r>
      <w:r w:rsidRPr="00931403">
        <w:rPr>
          <w:rtl/>
        </w:rPr>
        <w:t xml:space="preserve"> في السنوات الأخيرة إلى ظاهرة غير صحيّة</w:t>
      </w:r>
      <w:r w:rsidRPr="007F5B58">
        <w:rPr>
          <w:rtl/>
        </w:rPr>
        <w:t>،</w:t>
      </w:r>
      <w:r w:rsidRPr="00931403">
        <w:rPr>
          <w:rtl/>
        </w:rPr>
        <w:t xml:space="preserve"> ربما وقفت عائقاً في طريق زواج الشباب</w:t>
      </w:r>
      <w:r w:rsidRPr="007F5B58">
        <w:rPr>
          <w:rtl/>
        </w:rPr>
        <w:t>،</w:t>
      </w:r>
      <w:r w:rsidRPr="00931403">
        <w:rPr>
          <w:rtl/>
        </w:rPr>
        <w:t xml:space="preserve"> أو على الأقل صعوبته</w:t>
      </w:r>
      <w:r w:rsidRPr="007F5B58">
        <w:rPr>
          <w:rtl/>
        </w:rPr>
        <w:t>،</w:t>
      </w:r>
      <w:r w:rsidRPr="00931403">
        <w:rPr>
          <w:rtl/>
        </w:rPr>
        <w:t xml:space="preserve"> ليصبح (المهر) عملاً غير عقلائي</w:t>
      </w:r>
      <w:r w:rsidRPr="007F5B58">
        <w:rPr>
          <w:rtl/>
        </w:rPr>
        <w:t>،</w:t>
      </w:r>
      <w:r w:rsidRPr="00931403">
        <w:rPr>
          <w:rtl/>
        </w:rPr>
        <w:t xml:space="preserve"> يتسبّب في انخفاض </w:t>
      </w:r>
      <w:r w:rsidRPr="00931403">
        <w:rPr>
          <w:rtl/>
        </w:rPr>
        <w:lastRenderedPageBreak/>
        <w:t>شديد في معدلات الزواج أكثر من أيّ وقت مضى</w:t>
      </w:r>
      <w:r w:rsidRPr="007F5B58">
        <w:rPr>
          <w:rtl/>
        </w:rPr>
        <w:t>،</w:t>
      </w:r>
      <w:r w:rsidRPr="00931403">
        <w:rPr>
          <w:rtl/>
        </w:rPr>
        <w:t xml:space="preserve"> وذلك في ضوء غياب العوامل التي تحدّ من تفشي هذه الظاهرة المرضية واتّساعها.</w:t>
      </w:r>
    </w:p>
    <w:p w:rsidR="0088518C" w:rsidRPr="00931403" w:rsidRDefault="0088518C" w:rsidP="007F7201">
      <w:pPr>
        <w:pStyle w:val="ac"/>
        <w:spacing w:line="206" w:lineRule="auto"/>
        <w:rPr>
          <w:rtl/>
        </w:rPr>
      </w:pPr>
      <w:r w:rsidRPr="00931403">
        <w:rPr>
          <w:rtl/>
        </w:rPr>
        <w:t>هذه الحالة المرضية ناجمة عن ظاهرة جديدة تمثّلت في شيوع غلاء المهور الخارجة عن دائرة الاستطاعة</w:t>
      </w:r>
      <w:r w:rsidRPr="007F5B58">
        <w:rPr>
          <w:rtl/>
        </w:rPr>
        <w:t>،</w:t>
      </w:r>
      <w:r w:rsidRPr="00931403">
        <w:rPr>
          <w:rtl/>
        </w:rPr>
        <w:t xml:space="preserve"> وهذه بدورها جاءت نتيجة لعوامل عدّة</w:t>
      </w:r>
      <w:r w:rsidRPr="007F5B58">
        <w:rPr>
          <w:rtl/>
        </w:rPr>
        <w:t>،</w:t>
      </w:r>
      <w:r w:rsidRPr="00931403">
        <w:rPr>
          <w:rtl/>
        </w:rPr>
        <w:t xml:space="preserve"> مثل</w:t>
      </w:r>
      <w:r w:rsidRPr="007F5B58">
        <w:rPr>
          <w:rtl/>
        </w:rPr>
        <w:t>:</w:t>
      </w:r>
      <w:r w:rsidRPr="00931403">
        <w:rPr>
          <w:rtl/>
        </w:rPr>
        <w:t xml:space="preserve"> انعدام عنصر القناعة لدى العديد من الأسر</w:t>
      </w:r>
      <w:r w:rsidRPr="007F5B58">
        <w:rPr>
          <w:rtl/>
        </w:rPr>
        <w:t>؛</w:t>
      </w:r>
      <w:r w:rsidRPr="00931403">
        <w:rPr>
          <w:rtl/>
        </w:rPr>
        <w:t xml:space="preserve"> ال</w:t>
      </w:r>
      <w:r>
        <w:rPr>
          <w:rtl/>
        </w:rPr>
        <w:t>تـن</w:t>
      </w:r>
      <w:r w:rsidRPr="00931403">
        <w:rPr>
          <w:rtl/>
        </w:rPr>
        <w:t>افس العشوائي</w:t>
      </w:r>
      <w:r w:rsidRPr="007F5B58">
        <w:rPr>
          <w:rtl/>
        </w:rPr>
        <w:t>؛</w:t>
      </w:r>
      <w:r w:rsidRPr="00931403">
        <w:rPr>
          <w:rtl/>
        </w:rPr>
        <w:t xml:space="preserve"> الالتزام الأحادي الجانب</w:t>
      </w:r>
      <w:r w:rsidRPr="007F5B58">
        <w:rPr>
          <w:rtl/>
        </w:rPr>
        <w:t>؛</w:t>
      </w:r>
      <w:r w:rsidRPr="00931403">
        <w:rPr>
          <w:rtl/>
        </w:rPr>
        <w:t xml:space="preserve"> غياب نصاب ومعيار رادع لجشع الطالب</w:t>
      </w:r>
      <w:r w:rsidRPr="007F5B58">
        <w:rPr>
          <w:rtl/>
        </w:rPr>
        <w:t>،</w:t>
      </w:r>
      <w:r w:rsidRPr="00931403">
        <w:rPr>
          <w:rtl/>
        </w:rPr>
        <w:t xml:space="preserve"> وبالتالي إطلاق يده دون قيد أو شرط. لقد مهّدت هذه الحالة الأرضية لإطفاء رغبة الرجال في النكاح</w:t>
      </w:r>
      <w:r w:rsidRPr="007F5B58">
        <w:rPr>
          <w:rtl/>
        </w:rPr>
        <w:t>،</w:t>
      </w:r>
      <w:r w:rsidRPr="00931403">
        <w:rPr>
          <w:rtl/>
        </w:rPr>
        <w:t xml:space="preserve"> </w:t>
      </w:r>
      <w:r>
        <w:rPr>
          <w:rtl/>
        </w:rPr>
        <w:t xml:space="preserve">بل </w:t>
      </w:r>
      <w:r w:rsidRPr="00931403">
        <w:rPr>
          <w:rtl/>
        </w:rPr>
        <w:t>استحالته على الشباب منهم</w:t>
      </w:r>
      <w:r>
        <w:rPr>
          <w:rtl/>
        </w:rPr>
        <w:t>.</w:t>
      </w:r>
      <w:r w:rsidRPr="00931403">
        <w:rPr>
          <w:rtl/>
        </w:rPr>
        <w:t xml:space="preserve"> وبقدر اتّساع ظاهرة المهور المرتفعة</w:t>
      </w:r>
      <w:r w:rsidRPr="007F5B58">
        <w:rPr>
          <w:rtl/>
        </w:rPr>
        <w:t>،</w:t>
      </w:r>
      <w:r w:rsidRPr="00931403">
        <w:rPr>
          <w:rtl/>
        </w:rPr>
        <w:t xml:space="preserve"> التي تشهد انتشاراً و</w:t>
      </w:r>
      <w:r>
        <w:rPr>
          <w:rtl/>
        </w:rPr>
        <w:t>تـن</w:t>
      </w:r>
      <w:r w:rsidRPr="00931403">
        <w:rPr>
          <w:rtl/>
        </w:rPr>
        <w:t>امياً لتصبح ظاهرة شاملة</w:t>
      </w:r>
      <w:r w:rsidRPr="007F5B58">
        <w:rPr>
          <w:rtl/>
        </w:rPr>
        <w:t>،</w:t>
      </w:r>
      <w:r w:rsidRPr="00931403">
        <w:rPr>
          <w:rtl/>
        </w:rPr>
        <w:t xml:space="preserve"> يتّسع نطاق المعضلات الاجتماعية كذلك</w:t>
      </w:r>
      <w:r w:rsidRPr="007F5B58">
        <w:rPr>
          <w:rtl/>
        </w:rPr>
        <w:t>،</w:t>
      </w:r>
      <w:r w:rsidRPr="00931403">
        <w:rPr>
          <w:rtl/>
        </w:rPr>
        <w:t xml:space="preserve"> بشكل ينذر بتلاشي الزيجات. لذا كان لا مناص من البحث عن وسيلة ناجعة لمعالجة هذه الحالة. </w:t>
      </w:r>
    </w:p>
    <w:p w:rsidR="0088518C" w:rsidRPr="00931403" w:rsidRDefault="0088518C" w:rsidP="007F7201">
      <w:pPr>
        <w:pStyle w:val="ac"/>
        <w:spacing w:line="206" w:lineRule="auto"/>
        <w:rPr>
          <w:rtl/>
        </w:rPr>
      </w:pPr>
      <w:r>
        <w:rPr>
          <w:rtl/>
        </w:rPr>
        <w:t>و</w:t>
      </w:r>
      <w:r w:rsidRPr="00931403">
        <w:rPr>
          <w:rtl/>
        </w:rPr>
        <w:t>هذه المقالة استكشاف وسبر لأصول وأحكام المهر</w:t>
      </w:r>
      <w:r w:rsidRPr="007F5B58">
        <w:rPr>
          <w:rtl/>
        </w:rPr>
        <w:t>؛</w:t>
      </w:r>
      <w:r w:rsidRPr="00931403">
        <w:rPr>
          <w:rtl/>
        </w:rPr>
        <w:t xml:space="preserve"> بغية الحصول على جواب للسؤال التالي</w:t>
      </w:r>
      <w:r w:rsidRPr="007F5B58">
        <w:rPr>
          <w:rtl/>
        </w:rPr>
        <w:t>،</w:t>
      </w:r>
      <w:r w:rsidRPr="00931403">
        <w:rPr>
          <w:rtl/>
        </w:rPr>
        <w:t xml:space="preserve"> وهو</w:t>
      </w:r>
      <w:r w:rsidRPr="007F5B58">
        <w:rPr>
          <w:rtl/>
        </w:rPr>
        <w:t>:</w:t>
      </w:r>
      <w:r w:rsidRPr="00931403">
        <w:rPr>
          <w:rtl/>
        </w:rPr>
        <w:t xml:space="preserve"> هل يوجد في الفقه الإسلامي نصاب أو حدّ للمهر يستطيع منع النمو المط</w:t>
      </w:r>
      <w:r>
        <w:rPr>
          <w:rtl/>
        </w:rPr>
        <w:t>ّ</w:t>
      </w:r>
      <w:r w:rsidRPr="00931403">
        <w:rPr>
          <w:rtl/>
        </w:rPr>
        <w:t>رد له؟ وفي حال كان الجواب بالإيجاب</w:t>
      </w:r>
      <w:r>
        <w:rPr>
          <w:rtl/>
        </w:rPr>
        <w:t xml:space="preserve"> ف</w:t>
      </w:r>
      <w:r w:rsidRPr="00931403">
        <w:rPr>
          <w:rtl/>
        </w:rPr>
        <w:t>ما هو ذلك النصاب؟ وعلى فرض كانت الإجابة بالنفي</w:t>
      </w:r>
      <w:r>
        <w:rPr>
          <w:rtl/>
        </w:rPr>
        <w:t xml:space="preserve"> ف</w:t>
      </w:r>
      <w:r w:rsidRPr="00931403">
        <w:rPr>
          <w:rtl/>
        </w:rPr>
        <w:t>هل للأدلة الفقهية القدرة على وضع ضابطة لتحديد الإرادات باتجاه رعاية ال</w:t>
      </w:r>
      <w:r>
        <w:rPr>
          <w:rtl/>
        </w:rPr>
        <w:t>تـن</w:t>
      </w:r>
      <w:r w:rsidRPr="00931403">
        <w:rPr>
          <w:rtl/>
        </w:rPr>
        <w:t>اسب بين مقدار المهر واستطاعة المتعه</w:t>
      </w:r>
      <w:r>
        <w:rPr>
          <w:rtl/>
        </w:rPr>
        <w:t>ِّ</w:t>
      </w:r>
      <w:r w:rsidRPr="00931403">
        <w:rPr>
          <w:rtl/>
        </w:rPr>
        <w:t>د على التأدية والتسديد</w:t>
      </w:r>
      <w:r>
        <w:rPr>
          <w:rtl/>
        </w:rPr>
        <w:t xml:space="preserve"> أو </w:t>
      </w:r>
      <w:r w:rsidRPr="00931403">
        <w:rPr>
          <w:rtl/>
        </w:rPr>
        <w:t>أنّ الشريعة الإسلامية المقدّسة عاجزة عن وضع مثل هذه الضابطة؟</w:t>
      </w:r>
    </w:p>
    <w:p w:rsidR="0088518C" w:rsidRDefault="0088518C" w:rsidP="002972BD">
      <w:pPr>
        <w:pStyle w:val="ac"/>
        <w:rPr>
          <w:rtl/>
        </w:rPr>
      </w:pPr>
      <w:r>
        <w:rPr>
          <w:rtl/>
        </w:rPr>
        <w:t>و</w:t>
      </w:r>
      <w:r w:rsidRPr="00931403">
        <w:rPr>
          <w:rtl/>
        </w:rPr>
        <w:t>في هذه ال</w:t>
      </w:r>
      <w:r>
        <w:rPr>
          <w:rtl/>
        </w:rPr>
        <w:t>م</w:t>
      </w:r>
      <w:r w:rsidRPr="00931403">
        <w:rPr>
          <w:rtl/>
        </w:rPr>
        <w:t>ق</w:t>
      </w:r>
      <w:r>
        <w:rPr>
          <w:rtl/>
        </w:rPr>
        <w:t>ال</w:t>
      </w:r>
      <w:r w:rsidRPr="00931403">
        <w:rPr>
          <w:rtl/>
        </w:rPr>
        <w:t>ة</w:t>
      </w:r>
      <w:r w:rsidRPr="007F5B58">
        <w:rPr>
          <w:rtl/>
        </w:rPr>
        <w:t>؛</w:t>
      </w:r>
      <w:r w:rsidRPr="00931403">
        <w:rPr>
          <w:rtl/>
        </w:rPr>
        <w:t xml:space="preserve"> وبهدف لفت الأنظار إلى مكانة الإنسان عند الشارع المقدّس</w:t>
      </w:r>
      <w:r w:rsidRPr="007F5B58">
        <w:rPr>
          <w:rtl/>
        </w:rPr>
        <w:t>،</w:t>
      </w:r>
      <w:r w:rsidRPr="00931403">
        <w:rPr>
          <w:rtl/>
        </w:rPr>
        <w:t xml:space="preserve"> نلقي في البداية لمحة سريعة على قيمة الإنسان ومكانته من وجهة نظر الإسلام. </w:t>
      </w:r>
      <w:r>
        <w:rPr>
          <w:rtl/>
        </w:rPr>
        <w:t>وبعد ذلك</w:t>
      </w:r>
      <w:r w:rsidRPr="007F5B58">
        <w:rPr>
          <w:rtl/>
        </w:rPr>
        <w:t>؛</w:t>
      </w:r>
      <w:r>
        <w:rPr>
          <w:rtl/>
        </w:rPr>
        <w:t xml:space="preserve"> </w:t>
      </w:r>
      <w:r w:rsidRPr="00931403">
        <w:rPr>
          <w:rtl/>
        </w:rPr>
        <w:t xml:space="preserve">وبالنظر </w:t>
      </w:r>
      <w:r>
        <w:rPr>
          <w:rtl/>
        </w:rPr>
        <w:t>إلى أهمية</w:t>
      </w:r>
      <w:r w:rsidRPr="00931403">
        <w:rPr>
          <w:rtl/>
        </w:rPr>
        <w:t xml:space="preserve"> النكاح وتشكيل الأسرة واستمرارها لأسباب من قبيل أنّها العلّة المحدثة والمبقية للإنسان</w:t>
      </w:r>
      <w:r w:rsidRPr="007F5B58">
        <w:rPr>
          <w:rtl/>
        </w:rPr>
        <w:t>،</w:t>
      </w:r>
      <w:r w:rsidRPr="00931403">
        <w:rPr>
          <w:rtl/>
        </w:rPr>
        <w:t xml:space="preserve"> القاعدة الأولى والأكثر استحكاماً والأقدم وأكثرها طبيعية من حيث التكاثر</w:t>
      </w:r>
      <w:r w:rsidRPr="007F5B58">
        <w:rPr>
          <w:rtl/>
        </w:rPr>
        <w:t>،</w:t>
      </w:r>
      <w:r w:rsidRPr="00931403">
        <w:rPr>
          <w:rtl/>
        </w:rPr>
        <w:t xml:space="preserve"> التربية</w:t>
      </w:r>
      <w:r w:rsidRPr="007F5B58">
        <w:rPr>
          <w:rtl/>
        </w:rPr>
        <w:t>،</w:t>
      </w:r>
      <w:r w:rsidRPr="00931403">
        <w:rPr>
          <w:rtl/>
        </w:rPr>
        <w:t xml:space="preserve"> التزكية</w:t>
      </w:r>
      <w:r w:rsidRPr="007F5B58">
        <w:rPr>
          <w:rtl/>
        </w:rPr>
        <w:t>،</w:t>
      </w:r>
      <w:r w:rsidRPr="00931403">
        <w:rPr>
          <w:rtl/>
        </w:rPr>
        <w:t xml:space="preserve"> وباختصار </w:t>
      </w:r>
      <w:r>
        <w:rPr>
          <w:rtl/>
        </w:rPr>
        <w:t>تـن</w:t>
      </w:r>
      <w:r w:rsidRPr="00931403">
        <w:rPr>
          <w:rtl/>
        </w:rPr>
        <w:t>شئة الإنسان الصالح المنشود من قبل الخالق والمخلوق</w:t>
      </w:r>
      <w:r w:rsidRPr="007F5B58">
        <w:rPr>
          <w:rtl/>
        </w:rPr>
        <w:t>،</w:t>
      </w:r>
      <w:r w:rsidRPr="00931403">
        <w:rPr>
          <w:rtl/>
        </w:rPr>
        <w:t xml:space="preserve"> سنتطرّق إلى المهر بوصفه تشريعاً موجداً وشاملاً. وقبل الولوج في صلب البحث سوف ن</w:t>
      </w:r>
      <w:r>
        <w:rPr>
          <w:rtl/>
        </w:rPr>
        <w:t>تـن</w:t>
      </w:r>
      <w:r w:rsidRPr="00931403">
        <w:rPr>
          <w:rtl/>
        </w:rPr>
        <w:t>اول المسألة بالاستدلال من أجل دحض الالتباسات المحتملة</w:t>
      </w:r>
      <w:r w:rsidRPr="007F5B58">
        <w:rPr>
          <w:rtl/>
        </w:rPr>
        <w:t>،</w:t>
      </w:r>
      <w:r w:rsidRPr="00931403">
        <w:rPr>
          <w:rtl/>
        </w:rPr>
        <w:t xml:space="preserve"> متوخّين الحيادية. </w:t>
      </w:r>
      <w:r>
        <w:rPr>
          <w:rtl/>
        </w:rPr>
        <w:t>و</w:t>
      </w:r>
      <w:r w:rsidRPr="00931403">
        <w:rPr>
          <w:rtl/>
        </w:rPr>
        <w:t xml:space="preserve">بعد ذلك </w:t>
      </w:r>
      <w:r>
        <w:rPr>
          <w:rtl/>
        </w:rPr>
        <w:t xml:space="preserve">ـ </w:t>
      </w:r>
      <w:r w:rsidRPr="00931403">
        <w:rPr>
          <w:rtl/>
        </w:rPr>
        <w:t>ومن خلال تبيين حقيقة المهر وفلسفة تشريعه</w:t>
      </w:r>
      <w:r>
        <w:rPr>
          <w:rtl/>
        </w:rPr>
        <w:t xml:space="preserve"> </w:t>
      </w:r>
      <w:r>
        <w:rPr>
          <w:rtl/>
        </w:rPr>
        <w:lastRenderedPageBreak/>
        <w:t>ـ</w:t>
      </w:r>
      <w:r w:rsidRPr="00931403">
        <w:rPr>
          <w:rtl/>
        </w:rPr>
        <w:t xml:space="preserve"> سنناقش ظاهرة غلاء المهور وآثارها من نواحٍ مختلفة</w:t>
      </w:r>
      <w:r w:rsidRPr="007F5B58">
        <w:rPr>
          <w:rtl/>
        </w:rPr>
        <w:t>،</w:t>
      </w:r>
      <w:r w:rsidRPr="00931403">
        <w:rPr>
          <w:rtl/>
        </w:rPr>
        <w:t xml:space="preserve"> ثمّ ننتقل إلى استعراض عدّة نماذج سابقة</w:t>
      </w:r>
      <w:r w:rsidRPr="007F5B58">
        <w:rPr>
          <w:rtl/>
        </w:rPr>
        <w:t>،</w:t>
      </w:r>
      <w:r w:rsidRPr="00931403">
        <w:rPr>
          <w:rtl/>
        </w:rPr>
        <w:t xml:space="preserve"> والإشارة إلى عدم تكلّل الجهود بالنجاح باتجاه تعديل المهر</w:t>
      </w:r>
      <w:r w:rsidRPr="007F5B58">
        <w:rPr>
          <w:rtl/>
        </w:rPr>
        <w:t>،</w:t>
      </w:r>
      <w:r w:rsidRPr="00931403">
        <w:rPr>
          <w:rtl/>
        </w:rPr>
        <w:t xml:space="preserve"> وهي بطبيعة الحال تعبّر عن وجهة نظر المدافعين عن فكرة إطلاق المهر. </w:t>
      </w:r>
      <w:r>
        <w:rPr>
          <w:rtl/>
        </w:rPr>
        <w:t xml:space="preserve">ثم </w:t>
      </w:r>
      <w:r w:rsidRPr="00931403">
        <w:rPr>
          <w:rtl/>
        </w:rPr>
        <w:t>نختم البحث بإبراز نتائج النقاش بخصوص إيجابية أو سلبية تحديد سقف للمهور.</w:t>
      </w:r>
    </w:p>
    <w:p w:rsidR="007F7201" w:rsidRPr="00D063EC" w:rsidRDefault="007F7201" w:rsidP="00D063EC">
      <w:pPr>
        <w:pStyle w:val="afffffc"/>
        <w:rPr>
          <w:rtl/>
        </w:rPr>
      </w:pPr>
    </w:p>
    <w:p w:rsidR="0088518C" w:rsidRPr="00931403" w:rsidRDefault="0088518C" w:rsidP="002972BD">
      <w:pPr>
        <w:pStyle w:val="1"/>
        <w:rPr>
          <w:rtl/>
        </w:rPr>
      </w:pPr>
      <w:bookmarkStart w:id="446" w:name="_Toc275128156"/>
      <w:r>
        <w:rPr>
          <w:rFonts w:hint="cs"/>
          <w:rtl/>
        </w:rPr>
        <w:t>هدف هذه الدراسة</w:t>
      </w:r>
      <w:bookmarkEnd w:id="446"/>
    </w:p>
    <w:p w:rsidR="0088518C" w:rsidRPr="00931403" w:rsidRDefault="0088518C" w:rsidP="007008ED">
      <w:pPr>
        <w:pStyle w:val="ac"/>
        <w:rPr>
          <w:rtl/>
        </w:rPr>
      </w:pPr>
      <w:r w:rsidRPr="00931403">
        <w:rPr>
          <w:rtl/>
        </w:rPr>
        <w:t>قبل استعراض الآثار المترتّبة على المهور المرتفعة ثمّة نقطة في غاية الأهمية ينبغي الوقوف عندها قليلاً</w:t>
      </w:r>
      <w:r w:rsidRPr="007F5B58">
        <w:rPr>
          <w:rtl/>
        </w:rPr>
        <w:t>،</w:t>
      </w:r>
      <w:r w:rsidRPr="00931403">
        <w:rPr>
          <w:rtl/>
        </w:rPr>
        <w:t xml:space="preserve"> وهي أنّ هذه المقالة لا تلحظ مصلحة النساء أو الرجال بشكل مستقلّ</w:t>
      </w:r>
      <w:r w:rsidRPr="007F5B58">
        <w:rPr>
          <w:rtl/>
        </w:rPr>
        <w:t>،</w:t>
      </w:r>
      <w:r w:rsidRPr="00931403">
        <w:rPr>
          <w:rtl/>
        </w:rPr>
        <w:t xml:space="preserve"> بل تأخذ بنظر الاعتبار مصلحة الإنسان بما هو إنسان</w:t>
      </w:r>
      <w:r w:rsidRPr="007F5B58">
        <w:rPr>
          <w:rtl/>
        </w:rPr>
        <w:t>،</w:t>
      </w:r>
      <w:r w:rsidRPr="00931403">
        <w:rPr>
          <w:rtl/>
        </w:rPr>
        <w:t xml:space="preserve"> ومصلحة المجتمعات الإنسانية دون الاهتمام بالجنس</w:t>
      </w:r>
      <w:r w:rsidRPr="007F5B58">
        <w:rPr>
          <w:rtl/>
        </w:rPr>
        <w:t>،</w:t>
      </w:r>
      <w:r w:rsidRPr="00931403">
        <w:rPr>
          <w:rtl/>
        </w:rPr>
        <w:t xml:space="preserve"> حيث تمثّل الأسرة هنا تجسيد</w:t>
      </w:r>
      <w:r>
        <w:rPr>
          <w:rtl/>
        </w:rPr>
        <w:t>اً</w:t>
      </w:r>
      <w:r w:rsidRPr="00931403">
        <w:rPr>
          <w:rtl/>
        </w:rPr>
        <w:t xml:space="preserve"> لها</w:t>
      </w:r>
      <w:r w:rsidRPr="007F5B58">
        <w:rPr>
          <w:rtl/>
        </w:rPr>
        <w:t>؛</w:t>
      </w:r>
      <w:r w:rsidRPr="00931403">
        <w:rPr>
          <w:rtl/>
        </w:rPr>
        <w:t xml:space="preserve"> لأنّ مصلحة النساء والرجال هي مصلحة مشتركة</w:t>
      </w:r>
      <w:r w:rsidRPr="007F5B58">
        <w:rPr>
          <w:rtl/>
        </w:rPr>
        <w:t>،</w:t>
      </w:r>
      <w:r w:rsidRPr="00931403">
        <w:rPr>
          <w:rtl/>
        </w:rPr>
        <w:t xml:space="preserve"> وإنّ أولئك الذين يهتمّون بالرجال أو النساء بشكل مستقلّ يرتكبون خطأً</w:t>
      </w:r>
      <w:r w:rsidRPr="007F5B58">
        <w:rPr>
          <w:rtl/>
        </w:rPr>
        <w:t>،</w:t>
      </w:r>
      <w:r w:rsidRPr="00931403">
        <w:rPr>
          <w:rtl/>
        </w:rPr>
        <w:t xml:space="preserve"> وهم</w:t>
      </w:r>
      <w:r w:rsidRPr="007F5B58">
        <w:rPr>
          <w:rtl/>
        </w:rPr>
        <w:t>؛</w:t>
      </w:r>
      <w:r w:rsidRPr="00931403">
        <w:rPr>
          <w:rtl/>
        </w:rPr>
        <w:t xml:space="preserve"> بسبب نمط تفكيرهم هذا</w:t>
      </w:r>
      <w:r w:rsidRPr="007F5B58">
        <w:rPr>
          <w:rtl/>
        </w:rPr>
        <w:t>،</w:t>
      </w:r>
      <w:r w:rsidRPr="00931403">
        <w:rPr>
          <w:rtl/>
        </w:rPr>
        <w:t xml:space="preserve"> يتسبّبون في آلام جمّة للمجتمع</w:t>
      </w:r>
      <w:r>
        <w:rPr>
          <w:rtl/>
        </w:rPr>
        <w:t>.</w:t>
      </w:r>
      <w:r w:rsidRPr="00931403">
        <w:rPr>
          <w:rtl/>
        </w:rPr>
        <w:t xml:space="preserve"> والمسألة واضحة على ما نعتقد</w:t>
      </w:r>
      <w:r w:rsidRPr="007F5B58">
        <w:rPr>
          <w:rtl/>
        </w:rPr>
        <w:t>؛</w:t>
      </w:r>
      <w:r w:rsidRPr="00931403">
        <w:rPr>
          <w:rtl/>
        </w:rPr>
        <w:t xml:space="preserve"> إذ كيف يمكن لأيّ رجل أن يشعر بالسعادة وهو يلمس ويشاهد تعاسة أمّه</w:t>
      </w:r>
      <w:r w:rsidRPr="007F5B58">
        <w:rPr>
          <w:rtl/>
        </w:rPr>
        <w:t>،</w:t>
      </w:r>
      <w:r w:rsidRPr="00931403">
        <w:rPr>
          <w:rtl/>
        </w:rPr>
        <w:t xml:space="preserve"> أو أخواته</w:t>
      </w:r>
      <w:r w:rsidRPr="007F5B58">
        <w:rPr>
          <w:rtl/>
        </w:rPr>
        <w:t>،</w:t>
      </w:r>
      <w:r w:rsidRPr="00931403">
        <w:rPr>
          <w:rtl/>
        </w:rPr>
        <w:t xml:space="preserve"> أو بناته</w:t>
      </w:r>
      <w:r w:rsidRPr="007F5B58">
        <w:rPr>
          <w:rtl/>
        </w:rPr>
        <w:t>،</w:t>
      </w:r>
      <w:r w:rsidRPr="00931403">
        <w:rPr>
          <w:rtl/>
        </w:rPr>
        <w:t xml:space="preserve"> أو زوجته</w:t>
      </w:r>
      <w:r w:rsidRPr="007F5B58">
        <w:rPr>
          <w:rtl/>
        </w:rPr>
        <w:t>،</w:t>
      </w:r>
      <w:r w:rsidRPr="00931403">
        <w:rPr>
          <w:rtl/>
        </w:rPr>
        <w:t xml:space="preserve"> أو سائر الأقارب </w:t>
      </w:r>
      <w:r>
        <w:rPr>
          <w:rtl/>
        </w:rPr>
        <w:t>ـ</w:t>
      </w:r>
      <w:r w:rsidRPr="00931403">
        <w:rPr>
          <w:rtl/>
        </w:rPr>
        <w:t xml:space="preserve"> نَسَبياً وسببيّاً</w:t>
      </w:r>
      <w:r>
        <w:rPr>
          <w:rtl/>
        </w:rPr>
        <w:t xml:space="preserve"> ـ</w:t>
      </w:r>
      <w:r w:rsidRPr="00931403">
        <w:rPr>
          <w:rtl/>
        </w:rPr>
        <w:t xml:space="preserve"> من الإناث</w:t>
      </w:r>
      <w:r w:rsidRPr="007F5B58">
        <w:rPr>
          <w:rtl/>
        </w:rPr>
        <w:t>،</w:t>
      </w:r>
      <w:r w:rsidRPr="00931403">
        <w:rPr>
          <w:rtl/>
        </w:rPr>
        <w:t xml:space="preserve"> وأنّى للمرأة أن تهنأ وشبح التعاسة يسيطر على أب</w:t>
      </w:r>
      <w:r>
        <w:rPr>
          <w:rtl/>
        </w:rPr>
        <w:t>ي</w:t>
      </w:r>
      <w:r w:rsidRPr="00931403">
        <w:rPr>
          <w:rtl/>
        </w:rPr>
        <w:t>ها</w:t>
      </w:r>
      <w:r w:rsidRPr="007F5B58">
        <w:rPr>
          <w:rtl/>
        </w:rPr>
        <w:t>،</w:t>
      </w:r>
      <w:r w:rsidRPr="00931403">
        <w:rPr>
          <w:rtl/>
        </w:rPr>
        <w:t xml:space="preserve"> أو أخ</w:t>
      </w:r>
      <w:r>
        <w:rPr>
          <w:rtl/>
        </w:rPr>
        <w:t>ي</w:t>
      </w:r>
      <w:r w:rsidRPr="00931403">
        <w:rPr>
          <w:rtl/>
        </w:rPr>
        <w:t>ها</w:t>
      </w:r>
      <w:r w:rsidRPr="007F5B58">
        <w:rPr>
          <w:rtl/>
        </w:rPr>
        <w:t>،</w:t>
      </w:r>
      <w:r w:rsidRPr="00931403">
        <w:rPr>
          <w:rtl/>
        </w:rPr>
        <w:t xml:space="preserve"> أو ابنها</w:t>
      </w:r>
      <w:r w:rsidRPr="007F5B58">
        <w:rPr>
          <w:rtl/>
        </w:rPr>
        <w:t>،</w:t>
      </w:r>
      <w:r w:rsidRPr="00931403">
        <w:rPr>
          <w:rtl/>
        </w:rPr>
        <w:t xml:space="preserve"> أو زوجها</w:t>
      </w:r>
      <w:r w:rsidRPr="007F5B58">
        <w:rPr>
          <w:rtl/>
        </w:rPr>
        <w:t>،</w:t>
      </w:r>
      <w:r w:rsidRPr="00931403">
        <w:rPr>
          <w:rtl/>
        </w:rPr>
        <w:t xml:space="preserve"> أو بقية أقاربها </w:t>
      </w:r>
      <w:r>
        <w:rPr>
          <w:rtl/>
        </w:rPr>
        <w:t>ـ</w:t>
      </w:r>
      <w:r w:rsidRPr="00931403">
        <w:rPr>
          <w:rtl/>
        </w:rPr>
        <w:t xml:space="preserve"> نَسَبيّاً وسببيّاً</w:t>
      </w:r>
      <w:r>
        <w:rPr>
          <w:rtl/>
        </w:rPr>
        <w:t>ـ</w:t>
      </w:r>
      <w:r w:rsidRPr="00931403">
        <w:rPr>
          <w:rtl/>
        </w:rPr>
        <w:t xml:space="preserve"> من الذكور</w:t>
      </w:r>
      <w:r w:rsidRPr="007F5B58">
        <w:rPr>
          <w:rtl/>
        </w:rPr>
        <w:t>،</w:t>
      </w:r>
      <w:r w:rsidRPr="00931403">
        <w:rPr>
          <w:rtl/>
        </w:rPr>
        <w:t xml:space="preserve"> وما نريد قوله هو أنّنا وبقليل من التأمّل سنلاحظ أنّ كلّ واحد من خاصّة الرجل والمرأة على السّواء محاط بمجموعة من أفراد الجنس الآخر</w:t>
      </w:r>
      <w:r w:rsidRPr="007F5B58">
        <w:rPr>
          <w:rtl/>
        </w:rPr>
        <w:t>،</w:t>
      </w:r>
      <w:r w:rsidRPr="00931403">
        <w:rPr>
          <w:rtl/>
        </w:rPr>
        <w:t xml:space="preserve"> </w:t>
      </w:r>
      <w:r>
        <w:rPr>
          <w:rtl/>
        </w:rPr>
        <w:t xml:space="preserve">الذين </w:t>
      </w:r>
      <w:r w:rsidRPr="00931403">
        <w:rPr>
          <w:rtl/>
        </w:rPr>
        <w:t>يهمّه وجودهم ومصيرهم</w:t>
      </w:r>
      <w:r>
        <w:rPr>
          <w:rtl/>
        </w:rPr>
        <w:t>.</w:t>
      </w:r>
      <w:r w:rsidRPr="00931403">
        <w:rPr>
          <w:rtl/>
        </w:rPr>
        <w:t xml:space="preserve"> وبشكل عام فإنّ ثمّة علاقة تأثّر متبادلة بين المرء والأفراد المحيطين به</w:t>
      </w:r>
      <w:r w:rsidRPr="007F5B58">
        <w:rPr>
          <w:rtl/>
        </w:rPr>
        <w:t>،</w:t>
      </w:r>
      <w:r w:rsidRPr="00931403">
        <w:rPr>
          <w:rtl/>
        </w:rPr>
        <w:t xml:space="preserve"> </w:t>
      </w:r>
      <w:r>
        <w:rPr>
          <w:rtl/>
        </w:rPr>
        <w:t xml:space="preserve">فهم </w:t>
      </w:r>
      <w:r w:rsidRPr="00931403">
        <w:rPr>
          <w:rtl/>
        </w:rPr>
        <w:t>يسعدون لسعادة بعضهم البعض ويشقون لشقائهم.</w:t>
      </w:r>
    </w:p>
    <w:p w:rsidR="0088518C" w:rsidRPr="00931403" w:rsidRDefault="0088518C" w:rsidP="002972BD">
      <w:pPr>
        <w:pStyle w:val="ac"/>
        <w:rPr>
          <w:rtl/>
        </w:rPr>
      </w:pPr>
      <w:r>
        <w:rPr>
          <w:rtl/>
        </w:rPr>
        <w:t>و</w:t>
      </w:r>
      <w:r w:rsidRPr="00931403">
        <w:rPr>
          <w:rtl/>
        </w:rPr>
        <w:t>لا يمكن لإنسان عاقل أن يحبّ ابنته</w:t>
      </w:r>
      <w:r w:rsidRPr="007F5B58">
        <w:rPr>
          <w:rtl/>
        </w:rPr>
        <w:t>،</w:t>
      </w:r>
      <w:r w:rsidRPr="00931403">
        <w:rPr>
          <w:rtl/>
        </w:rPr>
        <w:t xml:space="preserve"> ويكره ابنه</w:t>
      </w:r>
      <w:r w:rsidRPr="007F5B58">
        <w:rPr>
          <w:rtl/>
        </w:rPr>
        <w:t>؛</w:t>
      </w:r>
      <w:r w:rsidRPr="00931403">
        <w:rPr>
          <w:rtl/>
        </w:rPr>
        <w:t xml:space="preserve"> لمجرّد عامل الجنس</w:t>
      </w:r>
      <w:r w:rsidRPr="007F5B58">
        <w:rPr>
          <w:rtl/>
        </w:rPr>
        <w:t>،</w:t>
      </w:r>
      <w:r w:rsidRPr="00931403">
        <w:rPr>
          <w:rtl/>
        </w:rPr>
        <w:t xml:space="preserve"> فنحن في مجموعنا نشكّل آباء أو أمهّات</w:t>
      </w:r>
      <w:r w:rsidRPr="007F5B58">
        <w:rPr>
          <w:rtl/>
        </w:rPr>
        <w:t>،</w:t>
      </w:r>
      <w:r w:rsidRPr="00931403">
        <w:rPr>
          <w:rtl/>
        </w:rPr>
        <w:t xml:space="preserve"> أبناء أو بنات</w:t>
      </w:r>
      <w:r w:rsidRPr="007F5B58">
        <w:rPr>
          <w:rtl/>
        </w:rPr>
        <w:t>،</w:t>
      </w:r>
      <w:r w:rsidRPr="00931403">
        <w:rPr>
          <w:rtl/>
        </w:rPr>
        <w:t xml:space="preserve"> هذا المجتمع. </w:t>
      </w:r>
      <w:r>
        <w:rPr>
          <w:rtl/>
        </w:rPr>
        <w:t>و</w:t>
      </w:r>
      <w:r>
        <w:rPr>
          <w:rFonts w:hint="cs"/>
          <w:rtl/>
        </w:rPr>
        <w:t xml:space="preserve">على الإنسان </w:t>
      </w:r>
      <w:r w:rsidRPr="00931403">
        <w:rPr>
          <w:rtl/>
        </w:rPr>
        <w:t>من خلال إمعان النظر أكثر</w:t>
      </w:r>
      <w:r>
        <w:rPr>
          <w:rtl/>
        </w:rPr>
        <w:t xml:space="preserve"> ـ و</w:t>
      </w:r>
      <w:r w:rsidRPr="00931403">
        <w:rPr>
          <w:rtl/>
        </w:rPr>
        <w:t>على الأقل بالقدر الذي نستطيع فيه فهم ما يدور حولنا</w:t>
      </w:r>
      <w:r w:rsidRPr="007F5B58">
        <w:rPr>
          <w:rtl/>
        </w:rPr>
        <w:t>،</w:t>
      </w:r>
      <w:r w:rsidRPr="00931403">
        <w:rPr>
          <w:rtl/>
        </w:rPr>
        <w:t xml:space="preserve"> ونميّز السليم من السقيم من الأمور</w:t>
      </w:r>
      <w:r>
        <w:rPr>
          <w:rtl/>
        </w:rPr>
        <w:t xml:space="preserve"> ـ</w:t>
      </w:r>
      <w:r w:rsidRPr="00931403">
        <w:rPr>
          <w:rtl/>
        </w:rPr>
        <w:t xml:space="preserve"> المساهمة في توفير الرفاهية لكلّ أفراد المجتمع</w:t>
      </w:r>
      <w:r w:rsidRPr="007F5B58">
        <w:rPr>
          <w:rtl/>
        </w:rPr>
        <w:t>؛</w:t>
      </w:r>
      <w:r w:rsidRPr="00931403">
        <w:rPr>
          <w:rtl/>
        </w:rPr>
        <w:t xml:space="preserve"> لأنّ من </w:t>
      </w:r>
      <w:r w:rsidRPr="00931403">
        <w:rPr>
          <w:rtl/>
        </w:rPr>
        <w:lastRenderedPageBreak/>
        <w:t>يغضّ الطرف عن سعادة الإنسان فقد غضّ الطرف عن سعادته هو. وعلى ضوء ذلك فإنّ المقصود من المصلحة في هذه المقالة ه</w:t>
      </w:r>
      <w:r>
        <w:rPr>
          <w:rtl/>
        </w:rPr>
        <w:t>و</w:t>
      </w:r>
      <w:r w:rsidRPr="00931403">
        <w:rPr>
          <w:rtl/>
        </w:rPr>
        <w:t xml:space="preserve"> مصلحة الجنس البشري</w:t>
      </w:r>
      <w:r w:rsidRPr="007F5B58">
        <w:rPr>
          <w:rtl/>
        </w:rPr>
        <w:t>،</w:t>
      </w:r>
      <w:r w:rsidRPr="00931403">
        <w:rPr>
          <w:rtl/>
        </w:rPr>
        <w:t xml:space="preserve"> لا نوع خاص منه</w:t>
      </w:r>
      <w:r w:rsidRPr="007F5B58">
        <w:rPr>
          <w:rtl/>
        </w:rPr>
        <w:t>،</w:t>
      </w:r>
      <w:r w:rsidRPr="00931403">
        <w:rPr>
          <w:rtl/>
        </w:rPr>
        <w:t xml:space="preserve"> سواء</w:t>
      </w:r>
      <w:r>
        <w:rPr>
          <w:rtl/>
        </w:rPr>
        <w:t>ٌ</w:t>
      </w:r>
      <w:r w:rsidRPr="00931403">
        <w:rPr>
          <w:rtl/>
        </w:rPr>
        <w:t xml:space="preserve"> أكان خصيصة ذلك النوع هو جنسه</w:t>
      </w:r>
      <w:r>
        <w:rPr>
          <w:rFonts w:hint="cs"/>
          <w:rtl/>
        </w:rPr>
        <w:t xml:space="preserve"> أم</w:t>
      </w:r>
      <w:r w:rsidRPr="00931403">
        <w:rPr>
          <w:rtl/>
        </w:rPr>
        <w:t xml:space="preserve"> حقيقة منفصلة عنه.</w:t>
      </w:r>
    </w:p>
    <w:p w:rsidR="0088518C" w:rsidRPr="00931403" w:rsidRDefault="0088518C" w:rsidP="00D063EC">
      <w:pPr>
        <w:pStyle w:val="afffffc"/>
        <w:rPr>
          <w:rtl/>
        </w:rPr>
      </w:pPr>
    </w:p>
    <w:p w:rsidR="0088518C" w:rsidRPr="00931403" w:rsidRDefault="0088518C" w:rsidP="007008ED">
      <w:pPr>
        <w:pStyle w:val="1"/>
        <w:rPr>
          <w:rtl/>
        </w:rPr>
      </w:pPr>
      <w:bookmarkStart w:id="447" w:name="_Toc275128157"/>
      <w:r w:rsidRPr="00931403">
        <w:rPr>
          <w:rtl/>
        </w:rPr>
        <w:t>ماهيّة المهر</w:t>
      </w:r>
      <w:bookmarkEnd w:id="447"/>
    </w:p>
    <w:p w:rsidR="0088518C" w:rsidRPr="00931403" w:rsidRDefault="0088518C" w:rsidP="007008ED">
      <w:pPr>
        <w:pStyle w:val="ac"/>
        <w:rPr>
          <w:rtl/>
        </w:rPr>
      </w:pPr>
      <w:r w:rsidRPr="00931403">
        <w:rPr>
          <w:rtl/>
        </w:rPr>
        <w:t>ينصّ القانون المدني</w:t>
      </w:r>
      <w:r w:rsidRPr="007F5B58">
        <w:rPr>
          <w:rtl/>
        </w:rPr>
        <w:t>،</w:t>
      </w:r>
      <w:r w:rsidRPr="00931403">
        <w:rPr>
          <w:rtl/>
        </w:rPr>
        <w:t xml:space="preserve"> من دون تقديم تعريف للمهر</w:t>
      </w:r>
      <w:r w:rsidRPr="007F5B58">
        <w:rPr>
          <w:rtl/>
        </w:rPr>
        <w:t>،</w:t>
      </w:r>
      <w:r w:rsidRPr="00931403">
        <w:rPr>
          <w:rtl/>
        </w:rPr>
        <w:t xml:space="preserve"> في مادّته 1078 على أنّ</w:t>
      </w:r>
      <w:r w:rsidRPr="007F5B58">
        <w:rPr>
          <w:rtl/>
        </w:rPr>
        <w:t>:</w:t>
      </w:r>
      <w:r w:rsidRPr="00931403">
        <w:rPr>
          <w:rtl/>
        </w:rPr>
        <w:t xml:space="preserve"> «كلّ ما له ماليّة</w:t>
      </w:r>
      <w:r>
        <w:rPr>
          <w:rFonts w:hint="cs"/>
          <w:rtl/>
        </w:rPr>
        <w:t>،</w:t>
      </w:r>
      <w:r w:rsidRPr="00931403">
        <w:rPr>
          <w:rtl/>
        </w:rPr>
        <w:t xml:space="preserve"> ويكون قابلاً للتملّك</w:t>
      </w:r>
      <w:r>
        <w:rPr>
          <w:rFonts w:hint="cs"/>
          <w:rtl/>
        </w:rPr>
        <w:t>،</w:t>
      </w:r>
      <w:r w:rsidRPr="00931403">
        <w:rPr>
          <w:rtl/>
        </w:rPr>
        <w:t xml:space="preserve"> يمكن جعله مهراً». وعليه</w:t>
      </w:r>
      <w:r w:rsidRPr="007F5B58">
        <w:rPr>
          <w:rtl/>
        </w:rPr>
        <w:t>؛</w:t>
      </w:r>
      <w:r w:rsidRPr="00931403">
        <w:rPr>
          <w:rtl/>
        </w:rPr>
        <w:t xml:space="preserve"> بالنظر إلى قوانين المهر المطبّقة حالياً</w:t>
      </w:r>
      <w:r w:rsidRPr="007F5B58">
        <w:rPr>
          <w:rtl/>
        </w:rPr>
        <w:t>،</w:t>
      </w:r>
      <w:r w:rsidRPr="00931403">
        <w:rPr>
          <w:rtl/>
        </w:rPr>
        <w:t xml:space="preserve"> يمكن القول بأنّ المهر أو الصداق هو المال الذي يصبح بحسب المورد </w:t>
      </w:r>
      <w:r>
        <w:rPr>
          <w:rtl/>
        </w:rPr>
        <w:t xml:space="preserve">ـ </w:t>
      </w:r>
      <w:r w:rsidRPr="00931403">
        <w:rPr>
          <w:rtl/>
        </w:rPr>
        <w:t>وتبعاً لعقد النكاح أو على أثر المواقعة</w:t>
      </w:r>
      <w:r>
        <w:rPr>
          <w:rtl/>
        </w:rPr>
        <w:t xml:space="preserve"> ـ</w:t>
      </w:r>
      <w:r w:rsidRPr="00931403">
        <w:rPr>
          <w:rtl/>
        </w:rPr>
        <w:t xml:space="preserve"> بالضرورة ملكاً للمرأة</w:t>
      </w:r>
      <w:r w:rsidRPr="007F5B58">
        <w:rPr>
          <w:rtl/>
        </w:rPr>
        <w:t>،</w:t>
      </w:r>
      <w:r w:rsidRPr="00931403">
        <w:rPr>
          <w:rtl/>
        </w:rPr>
        <w:t xml:space="preserve"> أو حقّاً من حقوقها. </w:t>
      </w:r>
      <w:r>
        <w:rPr>
          <w:rtl/>
        </w:rPr>
        <w:t>و</w:t>
      </w:r>
      <w:r w:rsidRPr="00931403">
        <w:rPr>
          <w:rtl/>
        </w:rPr>
        <w:t>لو وقفنا عند هذا التعريف وتأمّلناه قليلاً سنتبيّن النقاط أدناه</w:t>
      </w:r>
      <w:r w:rsidRPr="007F5B58">
        <w:rPr>
          <w:rtl/>
        </w:rPr>
        <w:t>:</w:t>
      </w:r>
    </w:p>
    <w:p w:rsidR="0088518C" w:rsidRPr="00931403" w:rsidRDefault="0088518C" w:rsidP="007008ED">
      <w:pPr>
        <w:pStyle w:val="ac"/>
        <w:rPr>
          <w:rtl/>
        </w:rPr>
      </w:pPr>
      <w:r>
        <w:rPr>
          <w:rtl/>
        </w:rPr>
        <w:t xml:space="preserve">1ـ </w:t>
      </w:r>
      <w:r w:rsidRPr="00931403">
        <w:rPr>
          <w:rtl/>
        </w:rPr>
        <w:t>يجب أن يكون للمهر مالية</w:t>
      </w:r>
      <w:r w:rsidRPr="007F5B58">
        <w:rPr>
          <w:rtl/>
        </w:rPr>
        <w:t>،</w:t>
      </w:r>
      <w:r w:rsidRPr="00931403">
        <w:rPr>
          <w:rtl/>
        </w:rPr>
        <w:t xml:space="preserve"> وبناءً عليه لا تمتلك الأشياء الفاقدة للوصف المذكور صلاحية أن تكون مهراً</w:t>
      </w:r>
      <w:r w:rsidRPr="007F5B58">
        <w:rPr>
          <w:rtl/>
        </w:rPr>
        <w:t>،</w:t>
      </w:r>
      <w:r w:rsidRPr="00931403">
        <w:rPr>
          <w:rtl/>
        </w:rPr>
        <w:t xml:space="preserve"> ونحن نعلم أنّ للمال قيمة اقتصادية</w:t>
      </w:r>
      <w:r w:rsidRPr="007F5B58">
        <w:rPr>
          <w:rtl/>
        </w:rPr>
        <w:t>،</w:t>
      </w:r>
      <w:r w:rsidRPr="00931403">
        <w:rPr>
          <w:rtl/>
        </w:rPr>
        <w:t xml:space="preserve"> وهو يتوفّر على مفهوم الاجتماع والنسبية.</w:t>
      </w:r>
    </w:p>
    <w:p w:rsidR="0088518C" w:rsidRPr="00931403" w:rsidRDefault="0088518C" w:rsidP="002972BD">
      <w:pPr>
        <w:pStyle w:val="ac"/>
      </w:pPr>
      <w:r>
        <w:rPr>
          <w:rtl/>
        </w:rPr>
        <w:t xml:space="preserve">2ـ </w:t>
      </w:r>
      <w:r w:rsidRPr="00931403">
        <w:rPr>
          <w:rtl/>
        </w:rPr>
        <w:t>يمكن تحديد المهر ضمن اتفاق يكون تابعاً لعقد النكاح عن طريق توافق طرفي العقد</w:t>
      </w:r>
      <w:r w:rsidRPr="007F5B58">
        <w:rPr>
          <w:rtl/>
        </w:rPr>
        <w:t>،</w:t>
      </w:r>
      <w:r w:rsidRPr="00931403">
        <w:rPr>
          <w:rtl/>
        </w:rPr>
        <w:t xml:space="preserve"> أو إرادة بديلة</w:t>
      </w:r>
      <w:r w:rsidRPr="007F5B58">
        <w:rPr>
          <w:rtl/>
        </w:rPr>
        <w:t>،</w:t>
      </w:r>
      <w:r w:rsidRPr="00931403">
        <w:rPr>
          <w:rtl/>
        </w:rPr>
        <w:t xml:space="preserve"> وفي بعض الحالات</w:t>
      </w:r>
      <w:r>
        <w:rPr>
          <w:rtl/>
        </w:rPr>
        <w:t xml:space="preserve"> يمكن</w:t>
      </w:r>
      <w:r w:rsidRPr="00931403">
        <w:rPr>
          <w:rtl/>
        </w:rPr>
        <w:t xml:space="preserve"> تحديده من خلال إلزام تابع. </w:t>
      </w:r>
      <w:r>
        <w:rPr>
          <w:rtl/>
        </w:rPr>
        <w:t>وعليه</w:t>
      </w:r>
      <w:r w:rsidRPr="00931403">
        <w:rPr>
          <w:rtl/>
        </w:rPr>
        <w:t xml:space="preserve"> إذا لم يتمّ النكاح أو المواقعة فلا يمكن أن يتحقّق المهر</w:t>
      </w:r>
      <w:r w:rsidRPr="007F5B58">
        <w:rPr>
          <w:rtl/>
        </w:rPr>
        <w:t>؛</w:t>
      </w:r>
      <w:r w:rsidRPr="00931403">
        <w:rPr>
          <w:rtl/>
        </w:rPr>
        <w:t xml:space="preserve"> لأنّ ذلك سيكون تابعاً من دون متبوع</w:t>
      </w:r>
      <w:r w:rsidRPr="007F5B58">
        <w:rPr>
          <w:rtl/>
        </w:rPr>
        <w:t>،</w:t>
      </w:r>
      <w:r w:rsidRPr="00931403">
        <w:rPr>
          <w:rtl/>
        </w:rPr>
        <w:t xml:space="preserve"> كما لا يمكن أن يتحقّق المعلول دون علّة.</w:t>
      </w:r>
    </w:p>
    <w:p w:rsidR="0088518C" w:rsidRPr="00931403" w:rsidRDefault="0088518C" w:rsidP="002972BD">
      <w:pPr>
        <w:pStyle w:val="ac"/>
      </w:pPr>
      <w:r>
        <w:rPr>
          <w:rtl/>
        </w:rPr>
        <w:t xml:space="preserve">3ـ </w:t>
      </w:r>
      <w:r w:rsidRPr="00931403">
        <w:rPr>
          <w:rtl/>
        </w:rPr>
        <w:t>إنّ زمان تحديد</w:t>
      </w:r>
      <w:r>
        <w:rPr>
          <w:rFonts w:hint="cs"/>
          <w:rtl/>
        </w:rPr>
        <w:t xml:space="preserve"> المهر والمال الذي وقع مهراً</w:t>
      </w:r>
      <w:r w:rsidRPr="00931403">
        <w:rPr>
          <w:rtl/>
        </w:rPr>
        <w:t xml:space="preserve"> وماهية المهر </w:t>
      </w:r>
      <w:r>
        <w:rPr>
          <w:rFonts w:hint="cs"/>
          <w:rtl/>
        </w:rPr>
        <w:t>يشكلان المعبر الذي تتحقق من خلاله ملكية المهر</w:t>
      </w:r>
      <w:r w:rsidRPr="007F5B58">
        <w:rPr>
          <w:rtl/>
        </w:rPr>
        <w:t>،</w:t>
      </w:r>
      <w:r w:rsidRPr="00931403">
        <w:rPr>
          <w:rtl/>
        </w:rPr>
        <w:t xml:space="preserve"> لأنّه إذا تمّ تحديد المهر في العقد</w:t>
      </w:r>
      <w:r w:rsidRPr="007F5B58">
        <w:rPr>
          <w:rtl/>
        </w:rPr>
        <w:t>،</w:t>
      </w:r>
      <w:r w:rsidRPr="00931403">
        <w:rPr>
          <w:rtl/>
        </w:rPr>
        <w:t xml:space="preserve"> وكانت العين محدّدة</w:t>
      </w:r>
      <w:r w:rsidRPr="007F5B58">
        <w:rPr>
          <w:rtl/>
        </w:rPr>
        <w:t>،</w:t>
      </w:r>
      <w:r w:rsidRPr="00931403">
        <w:rPr>
          <w:rtl/>
        </w:rPr>
        <w:t xml:space="preserve"> يصبح مال المهر ملكاً للزوجة عن طريق عقد النكاح</w:t>
      </w:r>
      <w:r w:rsidRPr="007F5B58">
        <w:rPr>
          <w:rtl/>
        </w:rPr>
        <w:t>،</w:t>
      </w:r>
      <w:r w:rsidRPr="00931403">
        <w:rPr>
          <w:rtl/>
        </w:rPr>
        <w:t xml:space="preserve"> وسيصدق على المعقود عليها حينئذٍ وصفي الزوجة والمالكة للمهر</w:t>
      </w:r>
      <w:r w:rsidRPr="007F5B58">
        <w:rPr>
          <w:rtl/>
        </w:rPr>
        <w:t>؛</w:t>
      </w:r>
      <w:r w:rsidRPr="00931403">
        <w:rPr>
          <w:rtl/>
        </w:rPr>
        <w:t xml:space="preserve"> بينما لا يمكن أن </w:t>
      </w:r>
      <w:r>
        <w:rPr>
          <w:rtl/>
        </w:rPr>
        <w:t>تـن</w:t>
      </w:r>
      <w:r w:rsidRPr="00931403">
        <w:rPr>
          <w:rtl/>
        </w:rPr>
        <w:t xml:space="preserve">تقل </w:t>
      </w:r>
      <w:r>
        <w:rPr>
          <w:rtl/>
        </w:rPr>
        <w:t xml:space="preserve">إلى الزوجة ـ </w:t>
      </w:r>
      <w:r w:rsidRPr="00931403">
        <w:rPr>
          <w:rtl/>
        </w:rPr>
        <w:t>حين انعقاد النكاح</w:t>
      </w:r>
      <w:r>
        <w:rPr>
          <w:rtl/>
        </w:rPr>
        <w:t xml:space="preserve"> ـ</w:t>
      </w:r>
      <w:r w:rsidRPr="00931403">
        <w:rPr>
          <w:rtl/>
        </w:rPr>
        <w:t xml:space="preserve"> ملكية </w:t>
      </w:r>
      <w:r>
        <w:rPr>
          <w:rtl/>
        </w:rPr>
        <w:t>ا</w:t>
      </w:r>
      <w:r w:rsidRPr="00931403">
        <w:rPr>
          <w:rtl/>
        </w:rPr>
        <w:t>لمهر الذي لا يكون عيناً محدّدة</w:t>
      </w:r>
      <w:r>
        <w:rPr>
          <w:rFonts w:hint="cs"/>
          <w:rtl/>
        </w:rPr>
        <w:t>،</w:t>
      </w:r>
      <w:r w:rsidRPr="00931403">
        <w:rPr>
          <w:rtl/>
        </w:rPr>
        <w:t xml:space="preserve"> أو المهر الذي لم يتمّ تحديده إلى حين لحظة انعق</w:t>
      </w:r>
      <w:r>
        <w:rPr>
          <w:rtl/>
        </w:rPr>
        <w:t>اد النكاح</w:t>
      </w:r>
      <w:r w:rsidRPr="007F5B58">
        <w:rPr>
          <w:rtl/>
        </w:rPr>
        <w:t>؛</w:t>
      </w:r>
      <w:r>
        <w:rPr>
          <w:rtl/>
        </w:rPr>
        <w:t xml:space="preserve"> </w:t>
      </w:r>
      <w:r w:rsidRPr="00931403">
        <w:rPr>
          <w:rtl/>
        </w:rPr>
        <w:t>لأنّ هذا الانتقال متوقّف على التحديد في كل واحد من أشكاله</w:t>
      </w:r>
      <w:r w:rsidRPr="007F5B58">
        <w:rPr>
          <w:rtl/>
        </w:rPr>
        <w:t>،</w:t>
      </w:r>
      <w:r w:rsidRPr="00931403">
        <w:rPr>
          <w:rtl/>
        </w:rPr>
        <w:t xml:space="preserve"> بيد أنّ استقرار مال المهر أو المهر نفسه بعهدة الطرف المقابل هو أمرٌ بديهي.</w:t>
      </w:r>
    </w:p>
    <w:p w:rsidR="0088518C" w:rsidRPr="00931403" w:rsidRDefault="0088518C" w:rsidP="007008ED">
      <w:pPr>
        <w:pStyle w:val="ac"/>
      </w:pPr>
      <w:r>
        <w:rPr>
          <w:rtl/>
        </w:rPr>
        <w:lastRenderedPageBreak/>
        <w:t xml:space="preserve">4ـ </w:t>
      </w:r>
      <w:r w:rsidRPr="00931403">
        <w:rPr>
          <w:rtl/>
        </w:rPr>
        <w:t>باستطاعة صفة المالية المذكورة في التعريف تحديد الحدّ الأدنى للمهر</w:t>
      </w:r>
      <w:r w:rsidRPr="007F5B58">
        <w:rPr>
          <w:rtl/>
        </w:rPr>
        <w:t>،</w:t>
      </w:r>
      <w:r w:rsidRPr="00931403">
        <w:rPr>
          <w:rtl/>
        </w:rPr>
        <w:t xml:space="preserve"> حتى لو كان قليلاً جداً</w:t>
      </w:r>
      <w:r w:rsidRPr="007F5B58">
        <w:rPr>
          <w:rtl/>
        </w:rPr>
        <w:t>،</w:t>
      </w:r>
      <w:r w:rsidRPr="00931403">
        <w:rPr>
          <w:rtl/>
        </w:rPr>
        <w:t xml:space="preserve"> بيد أنّه لم يتمّ تحديد حدّ أعلى له</w:t>
      </w:r>
      <w:r w:rsidRPr="007F5B58">
        <w:rPr>
          <w:rtl/>
        </w:rPr>
        <w:t>،</w:t>
      </w:r>
      <w:r w:rsidRPr="00931403">
        <w:rPr>
          <w:rtl/>
        </w:rPr>
        <w:t xml:space="preserve"> فمقداره يخضع للإرادات أو العرف والأوضاع والأحوال. </w:t>
      </w:r>
      <w:r>
        <w:rPr>
          <w:rtl/>
        </w:rPr>
        <w:t>و</w:t>
      </w:r>
      <w:r w:rsidRPr="00931403">
        <w:rPr>
          <w:rtl/>
        </w:rPr>
        <w:t>هذه الخصوصيّة</w:t>
      </w:r>
      <w:r w:rsidRPr="007F5B58">
        <w:rPr>
          <w:rtl/>
        </w:rPr>
        <w:t>،</w:t>
      </w:r>
      <w:r w:rsidRPr="00931403">
        <w:rPr>
          <w:rtl/>
        </w:rPr>
        <w:t xml:space="preserve"> أي عدم امتلاك حدّ أعلى</w:t>
      </w:r>
      <w:r w:rsidRPr="007F5B58">
        <w:rPr>
          <w:rtl/>
        </w:rPr>
        <w:t>،</w:t>
      </w:r>
      <w:r w:rsidRPr="00931403">
        <w:rPr>
          <w:rtl/>
        </w:rPr>
        <w:t xml:space="preserve"> أدّت إلى بروز ظاهرة</w:t>
      </w:r>
      <w:r>
        <w:rPr>
          <w:rtl/>
        </w:rPr>
        <w:t xml:space="preserve"> ارتفاع المهور</w:t>
      </w:r>
      <w:r w:rsidRPr="007F5B58">
        <w:rPr>
          <w:rtl/>
        </w:rPr>
        <w:t>،</w:t>
      </w:r>
      <w:r w:rsidRPr="00931403">
        <w:rPr>
          <w:rtl/>
        </w:rPr>
        <w:t xml:space="preserve"> التي نحن بصدد مناقشتها</w:t>
      </w:r>
      <w:r>
        <w:rPr>
          <w:rtl/>
        </w:rPr>
        <w:t>.</w:t>
      </w:r>
    </w:p>
    <w:p w:rsidR="0088518C" w:rsidRDefault="0088518C" w:rsidP="00251242">
      <w:pPr>
        <w:pStyle w:val="ac"/>
        <w:rPr>
          <w:rtl/>
        </w:rPr>
      </w:pPr>
      <w:r>
        <w:rPr>
          <w:rtl/>
        </w:rPr>
        <w:t xml:space="preserve">5ـ هناك </w:t>
      </w:r>
      <w:r w:rsidRPr="002972BD">
        <w:rPr>
          <w:rtl/>
        </w:rPr>
        <w:t>خصوصيّة أخرى للتعريف، وهي عدم وجوب تزامن تحديد المهر مع النكاح، والتي أفضت إلى ظهور مهر المثل في حالات الزوجة مفوّضة المهر، أو مفوّضة البضع، وبطلان المهر، ووقوع الوطء، والوطء بالشبهة والإكراه، وفي حالة الطلاق قبل الدخول، على عكس الفسخ</w:t>
      </w:r>
      <w:r w:rsidRPr="00931403">
        <w:rPr>
          <w:rtl/>
        </w:rPr>
        <w:t xml:space="preserve"> والانفساخ قبل الدخول</w:t>
      </w:r>
      <w:r w:rsidRPr="007F5B58">
        <w:rPr>
          <w:rtl/>
        </w:rPr>
        <w:t>،</w:t>
      </w:r>
      <w:r w:rsidRPr="00931403">
        <w:rPr>
          <w:rtl/>
        </w:rPr>
        <w:t xml:space="preserve"> الذي يؤدّي إلى تحديد مهر المتعة على الرجل</w:t>
      </w:r>
      <w:r>
        <w:rPr>
          <w:rFonts w:hint="cs"/>
          <w:rtl/>
        </w:rPr>
        <w:t>،</w:t>
      </w:r>
      <w:r w:rsidRPr="00931403">
        <w:rPr>
          <w:rtl/>
        </w:rPr>
        <w:t xml:space="preserve"> وإلزامه بدفعه.</w:t>
      </w:r>
    </w:p>
    <w:p w:rsidR="00251242" w:rsidRPr="00D063EC" w:rsidRDefault="00251242" w:rsidP="00D063EC">
      <w:pPr>
        <w:pStyle w:val="afffffc"/>
        <w:rPr>
          <w:rFonts w:ascii="Mosawi" w:hAnsi="Mosawi"/>
        </w:rPr>
      </w:pPr>
    </w:p>
    <w:p w:rsidR="0088518C" w:rsidRPr="00931403" w:rsidRDefault="0088518C" w:rsidP="00251242">
      <w:pPr>
        <w:pStyle w:val="1"/>
        <w:rPr>
          <w:rtl/>
        </w:rPr>
      </w:pPr>
      <w:bookmarkStart w:id="448" w:name="_Toc275128158"/>
      <w:r w:rsidRPr="00931403">
        <w:rPr>
          <w:rtl/>
        </w:rPr>
        <w:t>الهدف من تشريع المهر</w:t>
      </w:r>
      <w:bookmarkEnd w:id="448"/>
    </w:p>
    <w:p w:rsidR="0088518C" w:rsidRPr="00931403" w:rsidRDefault="0088518C" w:rsidP="00251242">
      <w:pPr>
        <w:pStyle w:val="ac"/>
        <w:rPr>
          <w:rtl/>
        </w:rPr>
      </w:pPr>
      <w:r>
        <w:rPr>
          <w:rtl/>
        </w:rPr>
        <w:t>بعد أن</w:t>
      </w:r>
      <w:r w:rsidRPr="00931403">
        <w:rPr>
          <w:rtl/>
        </w:rPr>
        <w:t xml:space="preserve"> توضّحت بشكل نسبي ماهيّة المهر فإنّ نظرة إجمالية على أسبابه يمكن أن تبيّن لنا موقع وأهمية المسألة التي نناقشها بشكل أكبر. وهنا نسعى</w:t>
      </w:r>
      <w:r>
        <w:rPr>
          <w:rtl/>
        </w:rPr>
        <w:t xml:space="preserve"> ل</w:t>
      </w:r>
      <w:r w:rsidRPr="00931403">
        <w:rPr>
          <w:rtl/>
        </w:rPr>
        <w:t>لإجابة عن السؤال التالي</w:t>
      </w:r>
      <w:r w:rsidRPr="007F5B58">
        <w:rPr>
          <w:rtl/>
        </w:rPr>
        <w:t>:</w:t>
      </w:r>
      <w:r>
        <w:rPr>
          <w:rtl/>
        </w:rPr>
        <w:t xml:space="preserve"> </w:t>
      </w:r>
      <w:r w:rsidRPr="00931403">
        <w:rPr>
          <w:rtl/>
        </w:rPr>
        <w:t>في ضوء أهميّة النكاح بالنسبة للمرأة والرجل لماذا يتوجّب على الرجل وحده دفع مبلغ يعتدّ به تحت عنوان المهر إلى الزوجة التي تصل هي أيضاً في هذا التشريع إلى مطلوبها؟</w:t>
      </w:r>
    </w:p>
    <w:p w:rsidR="0088518C" w:rsidRPr="00931403" w:rsidRDefault="0088518C" w:rsidP="00251242">
      <w:pPr>
        <w:pStyle w:val="ac"/>
        <w:rPr>
          <w:rtl/>
        </w:rPr>
      </w:pPr>
      <w:r w:rsidRPr="00931403">
        <w:rPr>
          <w:rtl/>
        </w:rPr>
        <w:t xml:space="preserve">إنّ إبداء الرأي حول أيّ تشريع حقوقي يمكن أن يكون واقعياً عندما يأخذ بعين الاعتبار النظام بجميع عناصره المؤثرة. </w:t>
      </w:r>
      <w:r>
        <w:rPr>
          <w:rtl/>
        </w:rPr>
        <w:t>و</w:t>
      </w:r>
      <w:r w:rsidRPr="00931403">
        <w:rPr>
          <w:rtl/>
        </w:rPr>
        <w:t>من هذا المنطلق</w:t>
      </w:r>
      <w:r>
        <w:rPr>
          <w:rtl/>
        </w:rPr>
        <w:t xml:space="preserve"> </w:t>
      </w:r>
      <w:r w:rsidRPr="00931403">
        <w:rPr>
          <w:rtl/>
        </w:rPr>
        <w:t>لا ينبغي النظر إلى التشريع الحقوقي للنكاح بمعزل عن النظام الحقوقي الإسلامي</w:t>
      </w:r>
      <w:r w:rsidRPr="007F5B58">
        <w:rPr>
          <w:rtl/>
        </w:rPr>
        <w:t>،</w:t>
      </w:r>
      <w:r w:rsidRPr="00931403">
        <w:rPr>
          <w:rtl/>
        </w:rPr>
        <w:t xml:space="preserve"> كما لا ينبغي أن نت</w:t>
      </w:r>
      <w:r>
        <w:rPr>
          <w:rtl/>
        </w:rPr>
        <w:t>جاهل القيود الناجمة عن النكاح</w:t>
      </w:r>
      <w:r w:rsidRPr="007F5B58">
        <w:rPr>
          <w:rtl/>
        </w:rPr>
        <w:t>،</w:t>
      </w:r>
      <w:r>
        <w:rPr>
          <w:rtl/>
        </w:rPr>
        <w:t xml:space="preserve"> أو نتجاهل </w:t>
      </w:r>
      <w:r w:rsidRPr="00931403">
        <w:rPr>
          <w:rtl/>
        </w:rPr>
        <w:t>موقع طرفي عقد النكاح في الحقوق الإسلامية</w:t>
      </w:r>
      <w:r w:rsidRPr="007F5B58">
        <w:rPr>
          <w:rtl/>
        </w:rPr>
        <w:t>،</w:t>
      </w:r>
      <w:r w:rsidRPr="00931403">
        <w:rPr>
          <w:rtl/>
        </w:rPr>
        <w:t xml:space="preserve"> حيث يتطلّب التطرّق إليها فرصة ومجالاً أوسع. </w:t>
      </w:r>
      <w:r>
        <w:rPr>
          <w:rtl/>
        </w:rPr>
        <w:t>و</w:t>
      </w:r>
      <w:r w:rsidRPr="00931403">
        <w:rPr>
          <w:rtl/>
        </w:rPr>
        <w:t>على سبيل المثال</w:t>
      </w:r>
      <w:r w:rsidRPr="007F5B58">
        <w:rPr>
          <w:rtl/>
        </w:rPr>
        <w:t>:</w:t>
      </w:r>
      <w:r w:rsidRPr="00931403">
        <w:rPr>
          <w:rtl/>
        </w:rPr>
        <w:t xml:space="preserve"> يجب الانتباه إلى أنّ البيت والأسرة في النظام الإسلامي يعودان إلى الزوج</w:t>
      </w:r>
      <w:r w:rsidRPr="007F5B58">
        <w:rPr>
          <w:rtl/>
        </w:rPr>
        <w:t>،</w:t>
      </w:r>
      <w:r w:rsidRPr="00931403">
        <w:rPr>
          <w:rtl/>
        </w:rPr>
        <w:t xml:space="preserve"> وأنّ دور الزوجة هو إدارة شؤون الأسرة</w:t>
      </w:r>
      <w:r w:rsidRPr="007F5B58">
        <w:rPr>
          <w:rtl/>
        </w:rPr>
        <w:t>،</w:t>
      </w:r>
      <w:r w:rsidRPr="00931403">
        <w:rPr>
          <w:rtl/>
        </w:rPr>
        <w:t xml:space="preserve"> </w:t>
      </w:r>
      <w:r>
        <w:rPr>
          <w:rtl/>
        </w:rPr>
        <w:t>غير أن</w:t>
      </w:r>
      <w:r w:rsidRPr="00931403">
        <w:rPr>
          <w:rtl/>
        </w:rPr>
        <w:t xml:space="preserve"> مصاديق التشريع بالخصوصية المذكورة تميل إلى الصفر</w:t>
      </w:r>
      <w:r w:rsidRPr="007F5B58">
        <w:rPr>
          <w:rtl/>
        </w:rPr>
        <w:t>،</w:t>
      </w:r>
      <w:r w:rsidRPr="00931403">
        <w:rPr>
          <w:rtl/>
        </w:rPr>
        <w:t xml:space="preserve"> ويُستبعد أن يكون لهما مصداق</w:t>
      </w:r>
      <w:r>
        <w:rPr>
          <w:rtl/>
        </w:rPr>
        <w:t>ٌ</w:t>
      </w:r>
      <w:r w:rsidRPr="007F5B58">
        <w:rPr>
          <w:rtl/>
        </w:rPr>
        <w:t>،</w:t>
      </w:r>
      <w:r w:rsidRPr="00931403">
        <w:rPr>
          <w:rtl/>
        </w:rPr>
        <w:t xml:space="preserve"> إلاّ أنّ آثار ذلك ماثلة. </w:t>
      </w:r>
      <w:r>
        <w:rPr>
          <w:rtl/>
        </w:rPr>
        <w:t>و</w:t>
      </w:r>
      <w:r w:rsidRPr="00931403">
        <w:rPr>
          <w:rtl/>
        </w:rPr>
        <w:t xml:space="preserve">من هذه الزاوية نقوم باستعراض بعض </w:t>
      </w:r>
      <w:r w:rsidRPr="00931403">
        <w:rPr>
          <w:rtl/>
        </w:rPr>
        <w:lastRenderedPageBreak/>
        <w:t>الآراء</w:t>
      </w:r>
      <w:r w:rsidRPr="007F5B58">
        <w:rPr>
          <w:rtl/>
        </w:rPr>
        <w:t>،</w:t>
      </w:r>
      <w:r w:rsidRPr="00931403">
        <w:rPr>
          <w:rtl/>
        </w:rPr>
        <w:t xml:space="preserve"> ومجمل ما سيتمّ طرحه</w:t>
      </w:r>
      <w:r w:rsidRPr="007F5B58">
        <w:rPr>
          <w:rtl/>
        </w:rPr>
        <w:t>:</w:t>
      </w:r>
    </w:p>
    <w:p w:rsidR="0088518C" w:rsidRPr="00931403" w:rsidRDefault="0088518C" w:rsidP="00251242">
      <w:pPr>
        <w:pStyle w:val="ac"/>
        <w:rPr>
          <w:rtl/>
        </w:rPr>
      </w:pPr>
      <w:r w:rsidRPr="00931403">
        <w:rPr>
          <w:rtl/>
        </w:rPr>
        <w:t>1</w:t>
      </w:r>
      <w:r>
        <w:rPr>
          <w:rtl/>
        </w:rPr>
        <w:t>ـ</w:t>
      </w:r>
      <w:r w:rsidRPr="00931403">
        <w:rPr>
          <w:rtl/>
        </w:rPr>
        <w:t xml:space="preserve"> بالنظر إلى أنّ إرث المرأة أقلّ من إرث الرجل فإنّ المهر </w:t>
      </w:r>
      <w:r>
        <w:rPr>
          <w:rtl/>
        </w:rPr>
        <w:t xml:space="preserve">ـ </w:t>
      </w:r>
      <w:r w:rsidRPr="00931403">
        <w:rPr>
          <w:rtl/>
        </w:rPr>
        <w:t>علاوة على التعويض عن ذلك</w:t>
      </w:r>
      <w:r>
        <w:rPr>
          <w:rtl/>
        </w:rPr>
        <w:t xml:space="preserve"> ـ</w:t>
      </w:r>
      <w:r w:rsidRPr="00931403">
        <w:rPr>
          <w:rtl/>
        </w:rPr>
        <w:t xml:space="preserve"> يحمل في طيّاته نوعاً من خصوصية التقسيم وتوزيع الثروة</w:t>
      </w:r>
      <w:r w:rsidRPr="007F5B58">
        <w:rPr>
          <w:rtl/>
        </w:rPr>
        <w:t>؛</w:t>
      </w:r>
      <w:r w:rsidRPr="00931403">
        <w:rPr>
          <w:rtl/>
        </w:rPr>
        <w:t xml:space="preserve"> لأنّ الثروة تتحرّك من أسرة إلى أسرة أخرى.</w:t>
      </w:r>
    </w:p>
    <w:p w:rsidR="0088518C" w:rsidRPr="00931403" w:rsidRDefault="0088518C" w:rsidP="00D063EC">
      <w:pPr>
        <w:pStyle w:val="ac"/>
        <w:spacing w:line="209" w:lineRule="auto"/>
        <w:rPr>
          <w:rtl/>
        </w:rPr>
      </w:pPr>
      <w:r>
        <w:rPr>
          <w:rtl/>
        </w:rPr>
        <w:t>و</w:t>
      </w:r>
      <w:r w:rsidRPr="00931403">
        <w:rPr>
          <w:rtl/>
        </w:rPr>
        <w:t>من أجل فهمٍ أفضل لهذ</w:t>
      </w:r>
      <w:r>
        <w:rPr>
          <w:rtl/>
        </w:rPr>
        <w:t>ا</w:t>
      </w:r>
      <w:r w:rsidRPr="00931403">
        <w:rPr>
          <w:rtl/>
        </w:rPr>
        <w:t xml:space="preserve"> الرأي لا بدّ من الانتباه إلى أنّ البنت تحصل من أبيها على إرث أقلّ مقارنة ب</w:t>
      </w:r>
      <w:r>
        <w:rPr>
          <w:rtl/>
        </w:rPr>
        <w:t>إ</w:t>
      </w:r>
      <w:r w:rsidRPr="00931403">
        <w:rPr>
          <w:rtl/>
        </w:rPr>
        <w:t>خوتها</w:t>
      </w:r>
      <w:r w:rsidRPr="007F5B58">
        <w:rPr>
          <w:rtl/>
        </w:rPr>
        <w:t>،</w:t>
      </w:r>
      <w:r w:rsidRPr="00931403">
        <w:rPr>
          <w:rtl/>
        </w:rPr>
        <w:t xml:space="preserve"> إلاّ أنّ المهر يدفعه الزوج</w:t>
      </w:r>
      <w:r w:rsidRPr="007F5B58">
        <w:rPr>
          <w:rtl/>
        </w:rPr>
        <w:t>،</w:t>
      </w:r>
      <w:r w:rsidRPr="00931403">
        <w:rPr>
          <w:rtl/>
        </w:rPr>
        <w:t xml:space="preserve"> حيث لا يمكن تحميل الزوج مسؤولية الأب</w:t>
      </w:r>
      <w:r w:rsidRPr="007F5B58">
        <w:rPr>
          <w:rtl/>
        </w:rPr>
        <w:t>،</w:t>
      </w:r>
      <w:r w:rsidRPr="00931403">
        <w:rPr>
          <w:rtl/>
        </w:rPr>
        <w:t xml:space="preserve"> و</w:t>
      </w:r>
      <w:r>
        <w:rPr>
          <w:rtl/>
        </w:rPr>
        <w:t>أ</w:t>
      </w:r>
      <w:r w:rsidRPr="00931403">
        <w:rPr>
          <w:rtl/>
        </w:rPr>
        <w:t>نّ الزوجة والزوج يرث أحدهما الآخر أيضاً بنسبة واحد إلى اثنين</w:t>
      </w:r>
      <w:r w:rsidRPr="007F5B58">
        <w:rPr>
          <w:rtl/>
        </w:rPr>
        <w:t>،</w:t>
      </w:r>
      <w:r w:rsidRPr="00931403">
        <w:rPr>
          <w:rtl/>
        </w:rPr>
        <w:t xml:space="preserve"> ولأنّ الإرث يشكّل الثروة في لحظة الموت</w:t>
      </w:r>
      <w:r w:rsidRPr="007F5B58">
        <w:rPr>
          <w:rtl/>
        </w:rPr>
        <w:t>،</w:t>
      </w:r>
      <w:r w:rsidRPr="00931403">
        <w:rPr>
          <w:rtl/>
        </w:rPr>
        <w:t xml:space="preserve"> وبغضّ النظر عن مجهولية الوارث والموروث عند انعقاد النكاح</w:t>
      </w:r>
      <w:r w:rsidRPr="007F5B58">
        <w:rPr>
          <w:rtl/>
        </w:rPr>
        <w:t>،</w:t>
      </w:r>
      <w:r w:rsidRPr="00931403">
        <w:rPr>
          <w:rtl/>
        </w:rPr>
        <w:t xml:space="preserve"> فإنّ المالية أيضاً مجهولة</w:t>
      </w:r>
      <w:r w:rsidRPr="007F5B58">
        <w:rPr>
          <w:rtl/>
        </w:rPr>
        <w:t>،</w:t>
      </w:r>
      <w:r w:rsidRPr="00931403">
        <w:rPr>
          <w:rtl/>
        </w:rPr>
        <w:t xml:space="preserve"> و</w:t>
      </w:r>
      <w:r>
        <w:rPr>
          <w:rtl/>
        </w:rPr>
        <w:t>إ</w:t>
      </w:r>
      <w:r w:rsidRPr="00931403">
        <w:rPr>
          <w:rtl/>
        </w:rPr>
        <w:t>نّ الأمور الغامضة الكثيرة المحيطة بالتشريع المشار إليه مانعة عن إبداء الرأي بشكل قطعي</w:t>
      </w:r>
      <w:r w:rsidRPr="007F5B58">
        <w:rPr>
          <w:rtl/>
        </w:rPr>
        <w:t>،</w:t>
      </w:r>
      <w:r w:rsidRPr="00931403">
        <w:rPr>
          <w:rtl/>
        </w:rPr>
        <w:t xml:space="preserve"> إلا إذا كان المعيار هو المصلحة النوعية لا المصلحة الشخصية</w:t>
      </w:r>
      <w:r w:rsidRPr="007F5B58">
        <w:rPr>
          <w:rtl/>
        </w:rPr>
        <w:t>،</w:t>
      </w:r>
      <w:r w:rsidRPr="00931403">
        <w:rPr>
          <w:rtl/>
        </w:rPr>
        <w:t xml:space="preserve"> ومع ذلك ونظراً للاحترام الذي يعيره الإسلام للملكية لا بدّ من التريّث</w:t>
      </w:r>
      <w:r w:rsidRPr="007F5B58">
        <w:rPr>
          <w:rtl/>
        </w:rPr>
        <w:t>،</w:t>
      </w:r>
      <w:r>
        <w:rPr>
          <w:rtl/>
        </w:rPr>
        <w:t xml:space="preserve"> دون</w:t>
      </w:r>
      <w:r w:rsidRPr="00931403">
        <w:rPr>
          <w:rtl/>
        </w:rPr>
        <w:t xml:space="preserve"> قدح في البعد التعبّدي له.</w:t>
      </w:r>
    </w:p>
    <w:p w:rsidR="0088518C" w:rsidRPr="00931403" w:rsidRDefault="0088518C" w:rsidP="00251242">
      <w:pPr>
        <w:pStyle w:val="ac"/>
        <w:rPr>
          <w:rtl/>
        </w:rPr>
      </w:pPr>
      <w:r w:rsidRPr="00931403">
        <w:rPr>
          <w:rtl/>
        </w:rPr>
        <w:t>أض</w:t>
      </w:r>
      <w:r>
        <w:rPr>
          <w:rFonts w:hint="cs"/>
          <w:rtl/>
        </w:rPr>
        <w:t>ِ</w:t>
      </w:r>
      <w:r w:rsidRPr="00931403">
        <w:rPr>
          <w:rtl/>
        </w:rPr>
        <w:t>ف</w:t>
      </w:r>
      <w:r>
        <w:rPr>
          <w:rFonts w:hint="cs"/>
          <w:rtl/>
        </w:rPr>
        <w:t>ْ</w:t>
      </w:r>
      <w:r w:rsidRPr="00931403">
        <w:rPr>
          <w:rtl/>
        </w:rPr>
        <w:t xml:space="preserve"> إلى ذلك </w:t>
      </w:r>
      <w:r>
        <w:rPr>
          <w:rtl/>
        </w:rPr>
        <w:t>أ</w:t>
      </w:r>
      <w:r w:rsidRPr="00931403">
        <w:rPr>
          <w:rtl/>
        </w:rPr>
        <w:t>نّ القيود التي تفرض على الزوجة جرّاء النكاح أكبر مقارنة بتلك المفروضة على الزوج</w:t>
      </w:r>
      <w:r>
        <w:rPr>
          <w:rtl/>
        </w:rPr>
        <w:t>.</w:t>
      </w:r>
      <w:r w:rsidRPr="00931403">
        <w:rPr>
          <w:rtl/>
        </w:rPr>
        <w:t xml:space="preserve"> ك</w:t>
      </w:r>
      <w:r>
        <w:rPr>
          <w:rtl/>
        </w:rPr>
        <w:t>ما</w:t>
      </w:r>
      <w:r w:rsidRPr="00931403">
        <w:rPr>
          <w:rtl/>
        </w:rPr>
        <w:t xml:space="preserve"> يجب الالتفات إلى أنّ نفقات الأسرة كافة</w:t>
      </w:r>
      <w:r>
        <w:rPr>
          <w:rtl/>
        </w:rPr>
        <w:t xml:space="preserve"> </w:t>
      </w:r>
      <w:r w:rsidRPr="00931403">
        <w:rPr>
          <w:rtl/>
        </w:rPr>
        <w:t>تقع على عاتق الرجل</w:t>
      </w:r>
      <w:r w:rsidRPr="007F5B58">
        <w:rPr>
          <w:rtl/>
        </w:rPr>
        <w:t>،</w:t>
      </w:r>
      <w:r w:rsidRPr="00931403">
        <w:rPr>
          <w:rtl/>
        </w:rPr>
        <w:t xml:space="preserve"> وأنّ المرأة متحرّرة من هذا القيد بشكل كامل.</w:t>
      </w:r>
    </w:p>
    <w:p w:rsidR="0088518C" w:rsidRPr="00931403" w:rsidRDefault="0088518C" w:rsidP="00251242">
      <w:pPr>
        <w:pStyle w:val="ac"/>
        <w:rPr>
          <w:rtl/>
        </w:rPr>
      </w:pPr>
      <w:r w:rsidRPr="00931403">
        <w:rPr>
          <w:rtl/>
        </w:rPr>
        <w:t>2</w:t>
      </w:r>
      <w:r>
        <w:rPr>
          <w:rtl/>
        </w:rPr>
        <w:t>ـ</w:t>
      </w:r>
      <w:r w:rsidRPr="00931403">
        <w:rPr>
          <w:rtl/>
        </w:rPr>
        <w:t xml:space="preserve"> إنّ المهر مؤشّر على التكريم والاحترام الذي يكنّه الزوج لزوجته</w:t>
      </w:r>
      <w:r w:rsidRPr="007F5B58">
        <w:rPr>
          <w:rtl/>
        </w:rPr>
        <w:t>،</w:t>
      </w:r>
      <w:r w:rsidRPr="00931403">
        <w:rPr>
          <w:rtl/>
        </w:rPr>
        <w:t xml:space="preserve"> وإن كان هذا الاحترام موضع تأمّل</w:t>
      </w:r>
      <w:r w:rsidRPr="007F5B58">
        <w:rPr>
          <w:rtl/>
        </w:rPr>
        <w:t>؛</w:t>
      </w:r>
      <w:r w:rsidRPr="00931403">
        <w:rPr>
          <w:rtl/>
        </w:rPr>
        <w:t xml:space="preserve"> لكونه إجباري</w:t>
      </w:r>
      <w:r>
        <w:rPr>
          <w:rtl/>
        </w:rPr>
        <w:t>اً</w:t>
      </w:r>
      <w:r w:rsidRPr="007F5B58">
        <w:rPr>
          <w:rtl/>
        </w:rPr>
        <w:t>،</w:t>
      </w:r>
      <w:r w:rsidRPr="00931403">
        <w:rPr>
          <w:rtl/>
        </w:rPr>
        <w:t xml:space="preserve"> وكذلك الن</w:t>
      </w:r>
      <w:r>
        <w:rPr>
          <w:rFonts w:hint="cs"/>
          <w:rtl/>
        </w:rPr>
        <w:t>ِّ</w:t>
      </w:r>
      <w:r w:rsidRPr="00931403">
        <w:rPr>
          <w:rtl/>
        </w:rPr>
        <w:t>حلة موضوع المذكرة الإيضاحية (6) من قانون تعديل قوانين الطلاق</w:t>
      </w:r>
      <w:r w:rsidRPr="007F5B58">
        <w:rPr>
          <w:rtl/>
        </w:rPr>
        <w:t>،</w:t>
      </w:r>
      <w:r>
        <w:rPr>
          <w:rtl/>
        </w:rPr>
        <w:t xml:space="preserve"> </w:t>
      </w:r>
      <w:r w:rsidRPr="00931403">
        <w:rPr>
          <w:rtl/>
        </w:rPr>
        <w:t>بيد أنّ مقداره هو أمر مغاير لصفة الإجبار.</w:t>
      </w:r>
    </w:p>
    <w:p w:rsidR="0088518C" w:rsidRPr="00931403" w:rsidRDefault="0088518C" w:rsidP="00251242">
      <w:pPr>
        <w:pStyle w:val="ac"/>
        <w:rPr>
          <w:rtl/>
        </w:rPr>
      </w:pPr>
      <w:r w:rsidRPr="00931403">
        <w:rPr>
          <w:rtl/>
        </w:rPr>
        <w:t>3</w:t>
      </w:r>
      <w:r>
        <w:rPr>
          <w:rtl/>
        </w:rPr>
        <w:t>ـ</w:t>
      </w:r>
      <w:r w:rsidRPr="00931403">
        <w:rPr>
          <w:rtl/>
        </w:rPr>
        <w:t xml:space="preserve"> المهر دليل على التزام الرجل بالنكاح</w:t>
      </w:r>
      <w:r w:rsidRPr="007F5B58">
        <w:rPr>
          <w:rtl/>
        </w:rPr>
        <w:t>؛</w:t>
      </w:r>
      <w:r w:rsidRPr="00931403">
        <w:rPr>
          <w:rtl/>
        </w:rPr>
        <w:t xml:space="preserve"> لأنّه إذا لم يكن كذلك فما حاجة الرجل إلى التعهّد بدفع مبلغ يعتدّ به</w:t>
      </w:r>
      <w:r w:rsidRPr="007F5B58">
        <w:rPr>
          <w:rtl/>
        </w:rPr>
        <w:t>،</w:t>
      </w:r>
      <w:r w:rsidRPr="00931403">
        <w:rPr>
          <w:rtl/>
        </w:rPr>
        <w:t xml:space="preserve"> كما هو الحال في التعهّد الأكبر...</w:t>
      </w:r>
      <w:r w:rsidRPr="007F5B58">
        <w:rPr>
          <w:rtl/>
        </w:rPr>
        <w:t>،</w:t>
      </w:r>
      <w:r w:rsidRPr="00931403">
        <w:rPr>
          <w:rtl/>
        </w:rPr>
        <w:t xml:space="preserve"> ولكن ألا ينبغي للمرأة أيضاً أن تُظهر هي الأخرى تعهّدها؟ وإذا كان المهر شرطاً للتعهّد</w:t>
      </w:r>
      <w:r>
        <w:rPr>
          <w:rtl/>
        </w:rPr>
        <w:t xml:space="preserve"> </w:t>
      </w:r>
      <w:r w:rsidRPr="00931403">
        <w:rPr>
          <w:rtl/>
        </w:rPr>
        <w:t>فهل يكون هذا التعهّد ملزماً لطرف واحد دون الآخر</w:t>
      </w:r>
      <w:r w:rsidRPr="007F5B58">
        <w:rPr>
          <w:rtl/>
        </w:rPr>
        <w:t>،</w:t>
      </w:r>
      <w:r w:rsidRPr="00931403">
        <w:rPr>
          <w:rtl/>
        </w:rPr>
        <w:t xml:space="preserve"> وبإلزام القانون</w:t>
      </w:r>
      <w:r>
        <w:rPr>
          <w:rtl/>
        </w:rPr>
        <w:t>؟</w:t>
      </w:r>
      <w:r w:rsidRPr="00931403">
        <w:rPr>
          <w:rtl/>
        </w:rPr>
        <w:t xml:space="preserve"> طبعاً يمكن لهذه القضية أن تجد لها ارتباطاً بحقّ الرجل بالطلاق وتعدّد الزوجات</w:t>
      </w:r>
      <w:r w:rsidRPr="007F5B58">
        <w:rPr>
          <w:rtl/>
        </w:rPr>
        <w:t>،</w:t>
      </w:r>
      <w:r w:rsidRPr="00931403">
        <w:rPr>
          <w:rtl/>
        </w:rPr>
        <w:t xml:space="preserve"> لكنّ هذين الاثنين قد تمّ نقضهما و..</w:t>
      </w:r>
      <w:r>
        <w:rPr>
          <w:rtl/>
        </w:rPr>
        <w:t>.</w:t>
      </w:r>
      <w:r w:rsidRPr="00931403">
        <w:rPr>
          <w:rtl/>
        </w:rPr>
        <w:t>.</w:t>
      </w:r>
    </w:p>
    <w:p w:rsidR="0088518C" w:rsidRPr="00931403" w:rsidRDefault="0088518C" w:rsidP="00251242">
      <w:pPr>
        <w:pStyle w:val="ac"/>
        <w:rPr>
          <w:rtl/>
        </w:rPr>
      </w:pPr>
      <w:r w:rsidRPr="00931403">
        <w:rPr>
          <w:rtl/>
        </w:rPr>
        <w:lastRenderedPageBreak/>
        <w:t>4</w:t>
      </w:r>
      <w:r>
        <w:rPr>
          <w:rtl/>
        </w:rPr>
        <w:t>ـ</w:t>
      </w:r>
      <w:r w:rsidRPr="00931403">
        <w:rPr>
          <w:rtl/>
        </w:rPr>
        <w:t xml:space="preserve"> يكون </w:t>
      </w:r>
      <w:r>
        <w:rPr>
          <w:rtl/>
        </w:rPr>
        <w:t xml:space="preserve">المهر </w:t>
      </w:r>
      <w:r w:rsidRPr="00931403">
        <w:rPr>
          <w:rtl/>
        </w:rPr>
        <w:t>على شكل تعهّد أو اتفاق تابع للنكاح</w:t>
      </w:r>
      <w:r w:rsidRPr="007F5B58">
        <w:rPr>
          <w:rtl/>
        </w:rPr>
        <w:t>،</w:t>
      </w:r>
      <w:r w:rsidRPr="00931403">
        <w:rPr>
          <w:rtl/>
        </w:rPr>
        <w:t xml:space="preserve"> ولكن في ضوء جعل خيار زمان التأدية والتسدي</w:t>
      </w:r>
      <w:r>
        <w:rPr>
          <w:rtl/>
        </w:rPr>
        <w:t>د (وهو عند المطالبة) بيد الزوجة</w:t>
      </w:r>
      <w:r w:rsidRPr="007F5B58">
        <w:rPr>
          <w:rtl/>
        </w:rPr>
        <w:t>،</w:t>
      </w:r>
      <w:r>
        <w:rPr>
          <w:rtl/>
        </w:rPr>
        <w:t xml:space="preserve"> </w:t>
      </w:r>
      <w:r w:rsidRPr="00931403">
        <w:rPr>
          <w:rtl/>
        </w:rPr>
        <w:t>حيث تطالب به عند الانفصال عادةً</w:t>
      </w:r>
      <w:r w:rsidRPr="007F5B58">
        <w:rPr>
          <w:rtl/>
        </w:rPr>
        <w:t>،</w:t>
      </w:r>
      <w:r w:rsidRPr="00931403">
        <w:rPr>
          <w:rtl/>
        </w:rPr>
        <w:t xml:space="preserve"> فقد أوحى ذلك بأنّ دفع المهر هو نتيجة حتمية لوقوع الطلاق. </w:t>
      </w:r>
      <w:r>
        <w:rPr>
          <w:rtl/>
        </w:rPr>
        <w:t>و</w:t>
      </w:r>
      <w:r w:rsidRPr="00931403">
        <w:rPr>
          <w:rtl/>
        </w:rPr>
        <w:t>على هذا الأساس يصبح العبء الثقيل المترتّب على دفع المهر مانعاً أمام الطلاق أحياناً</w:t>
      </w:r>
      <w:r w:rsidRPr="007F5B58">
        <w:rPr>
          <w:rtl/>
        </w:rPr>
        <w:t>،</w:t>
      </w:r>
      <w:r w:rsidRPr="00931403">
        <w:rPr>
          <w:rtl/>
        </w:rPr>
        <w:t xml:space="preserve"> وهو مراد الشارع والعرف معاً.</w:t>
      </w:r>
    </w:p>
    <w:p w:rsidR="0088518C" w:rsidRDefault="0088518C" w:rsidP="00251242">
      <w:pPr>
        <w:pStyle w:val="ac"/>
        <w:rPr>
          <w:rtl/>
        </w:rPr>
      </w:pPr>
      <w:r>
        <w:rPr>
          <w:rtl/>
        </w:rPr>
        <w:t xml:space="preserve">5ـ </w:t>
      </w:r>
      <w:r w:rsidRPr="00931403">
        <w:rPr>
          <w:rtl/>
        </w:rPr>
        <w:t>في تفسر الآية الرابعة من سورة النساء اعتبر بعض الم</w:t>
      </w:r>
      <w:r>
        <w:rPr>
          <w:rtl/>
        </w:rPr>
        <w:t>فس</w:t>
      </w:r>
      <w:r>
        <w:rPr>
          <w:rFonts w:hint="cs"/>
          <w:rtl/>
        </w:rPr>
        <w:t>ِّ</w:t>
      </w:r>
      <w:r>
        <w:rPr>
          <w:rtl/>
        </w:rPr>
        <w:t>ر</w:t>
      </w:r>
      <w:r w:rsidRPr="00931403">
        <w:rPr>
          <w:rtl/>
        </w:rPr>
        <w:t>ين في بحث (الن</w:t>
      </w:r>
      <w:r>
        <w:rPr>
          <w:rtl/>
        </w:rPr>
        <w:t>ِّ</w:t>
      </w:r>
      <w:r w:rsidRPr="00931403">
        <w:rPr>
          <w:rtl/>
        </w:rPr>
        <w:t>حلة)</w:t>
      </w:r>
      <w:r w:rsidRPr="007F5B58">
        <w:rPr>
          <w:rtl/>
        </w:rPr>
        <w:t>،</w:t>
      </w:r>
      <w:r w:rsidRPr="00931403">
        <w:rPr>
          <w:rtl/>
        </w:rPr>
        <w:t xml:space="preserve"> التي وردت للإشارة إلى المهر</w:t>
      </w:r>
      <w:r w:rsidRPr="007F5B58">
        <w:rPr>
          <w:rtl/>
        </w:rPr>
        <w:t>،</w:t>
      </w:r>
      <w:r w:rsidRPr="00931403">
        <w:rPr>
          <w:rtl/>
        </w:rPr>
        <w:t xml:space="preserve"> أنّ المهر</w:t>
      </w:r>
      <w:r w:rsidRPr="007F5B58">
        <w:rPr>
          <w:rtl/>
        </w:rPr>
        <w:t>؛</w:t>
      </w:r>
      <w:r w:rsidRPr="00931403">
        <w:rPr>
          <w:rtl/>
        </w:rPr>
        <w:t xml:space="preserve"> بدليل كونه هدية من الله سبحانه وتعالى </w:t>
      </w:r>
      <w:r>
        <w:rPr>
          <w:rtl/>
        </w:rPr>
        <w:t>ل</w:t>
      </w:r>
      <w:r w:rsidRPr="00931403">
        <w:rPr>
          <w:rtl/>
        </w:rPr>
        <w:t>لزوجة</w:t>
      </w:r>
      <w:r w:rsidRPr="007F5B58">
        <w:rPr>
          <w:rtl/>
        </w:rPr>
        <w:t>،</w:t>
      </w:r>
      <w:r w:rsidRPr="00931403">
        <w:rPr>
          <w:rtl/>
        </w:rPr>
        <w:t xml:space="preserve"> يتوافر على عنوان (الن</w:t>
      </w:r>
      <w:r>
        <w:rPr>
          <w:rtl/>
        </w:rPr>
        <w:t>ِّ</w:t>
      </w:r>
      <w:r w:rsidRPr="00931403">
        <w:rPr>
          <w:rtl/>
        </w:rPr>
        <w:t>حلة)</w:t>
      </w:r>
      <w:r>
        <w:rPr>
          <w:rtl/>
        </w:rPr>
        <w:t>.</w:t>
      </w:r>
      <w:r w:rsidRPr="00931403">
        <w:rPr>
          <w:rtl/>
        </w:rPr>
        <w:t xml:space="preserve"> </w:t>
      </w:r>
      <w:r>
        <w:rPr>
          <w:rtl/>
        </w:rPr>
        <w:t>و</w:t>
      </w:r>
      <w:r w:rsidRPr="00931403">
        <w:rPr>
          <w:rtl/>
        </w:rPr>
        <w:t>بعبارة أوضح</w:t>
      </w:r>
      <w:r w:rsidRPr="007F5B58">
        <w:rPr>
          <w:rtl/>
        </w:rPr>
        <w:t>:</w:t>
      </w:r>
      <w:r w:rsidRPr="00931403">
        <w:rPr>
          <w:rtl/>
        </w:rPr>
        <w:t xml:space="preserve"> اعتبر هؤلاء أنّ المهر هدية من عند الله </w:t>
      </w:r>
      <w:r>
        <w:rPr>
          <w:rtl/>
        </w:rPr>
        <w:t>ل</w:t>
      </w:r>
      <w:r w:rsidRPr="00931403">
        <w:rPr>
          <w:rtl/>
        </w:rPr>
        <w:t>لزوجة</w:t>
      </w:r>
      <w:r w:rsidRPr="00815C4C">
        <w:rPr>
          <w:rFonts w:cs="Taher"/>
          <w:vertAlign w:val="superscript"/>
          <w:rtl/>
        </w:rPr>
        <w:t>(</w:t>
      </w:r>
      <w:r w:rsidRPr="00815C4C">
        <w:rPr>
          <w:rFonts w:cs="Taher"/>
          <w:vertAlign w:val="superscript"/>
          <w:rtl/>
        </w:rPr>
        <w:footnoteReference w:id="833"/>
      </w:r>
      <w:r w:rsidRPr="00815C4C">
        <w:rPr>
          <w:rFonts w:cs="Taher"/>
          <w:vertAlign w:val="superscript"/>
          <w:rtl/>
        </w:rPr>
        <w:t>)</w:t>
      </w:r>
      <w:r w:rsidRPr="00931403">
        <w:rPr>
          <w:rtl/>
        </w:rPr>
        <w:t>.</w:t>
      </w:r>
    </w:p>
    <w:p w:rsidR="0088518C" w:rsidRPr="00931403" w:rsidRDefault="0088518C" w:rsidP="00251242">
      <w:pPr>
        <w:pStyle w:val="ac"/>
        <w:rPr>
          <w:rtl/>
        </w:rPr>
      </w:pPr>
      <w:r>
        <w:rPr>
          <w:rtl/>
        </w:rPr>
        <w:t xml:space="preserve">6ـ </w:t>
      </w:r>
      <w:r>
        <w:rPr>
          <w:rFonts w:hint="cs"/>
          <w:rtl/>
        </w:rPr>
        <w:t>إ</w:t>
      </w:r>
      <w:r w:rsidRPr="00931403">
        <w:rPr>
          <w:rtl/>
        </w:rPr>
        <w:t>نّ عنوان صدقة (وصداق) كناية عن سلامة نية وصدق الزوج</w:t>
      </w:r>
      <w:r w:rsidRPr="007F5B58">
        <w:rPr>
          <w:rtl/>
        </w:rPr>
        <w:t>،</w:t>
      </w:r>
      <w:r w:rsidRPr="00931403">
        <w:rPr>
          <w:rtl/>
        </w:rPr>
        <w:t xml:space="preserve"> ودليلاً على رغبته ومحبتة للزوجة</w:t>
      </w:r>
      <w:r w:rsidRPr="007F5B58">
        <w:rPr>
          <w:rtl/>
        </w:rPr>
        <w:t>،</w:t>
      </w:r>
      <w:r w:rsidRPr="00931403">
        <w:rPr>
          <w:rtl/>
        </w:rPr>
        <w:t xml:space="preserve"> لتشكيل الأسرة</w:t>
      </w:r>
      <w:r w:rsidRPr="00815C4C">
        <w:rPr>
          <w:rFonts w:cs="Taher"/>
          <w:vertAlign w:val="superscript"/>
          <w:rtl/>
        </w:rPr>
        <w:t>(</w:t>
      </w:r>
      <w:r w:rsidRPr="00815C4C">
        <w:rPr>
          <w:rFonts w:cs="Taher"/>
          <w:vertAlign w:val="superscript"/>
          <w:rtl/>
        </w:rPr>
        <w:footnoteReference w:id="834"/>
      </w:r>
      <w:r w:rsidRPr="00815C4C">
        <w:rPr>
          <w:rFonts w:cs="Taher"/>
          <w:vertAlign w:val="superscript"/>
          <w:rtl/>
        </w:rPr>
        <w:t>)</w:t>
      </w:r>
      <w:r w:rsidRPr="00931403">
        <w:rPr>
          <w:rtl/>
        </w:rPr>
        <w:t>. كما كتبوا</w:t>
      </w:r>
      <w:r w:rsidRPr="007F5B58">
        <w:rPr>
          <w:rtl/>
        </w:rPr>
        <w:t>:</w:t>
      </w:r>
      <w:r w:rsidRPr="00931403">
        <w:rPr>
          <w:rtl/>
        </w:rPr>
        <w:t xml:space="preserve"> «الص</w:t>
      </w:r>
      <w:r>
        <w:rPr>
          <w:rtl/>
        </w:rPr>
        <w:t>َّ</w:t>
      </w:r>
      <w:r w:rsidRPr="00931403">
        <w:rPr>
          <w:rtl/>
        </w:rPr>
        <w:t xml:space="preserve">داق </w:t>
      </w:r>
      <w:r>
        <w:rPr>
          <w:rtl/>
        </w:rPr>
        <w:t xml:space="preserve">ـ </w:t>
      </w:r>
      <w:r w:rsidRPr="00931403">
        <w:rPr>
          <w:rtl/>
        </w:rPr>
        <w:t xml:space="preserve">بفتح الصاد وكسرها </w:t>
      </w:r>
      <w:r>
        <w:rPr>
          <w:rtl/>
        </w:rPr>
        <w:t>ـ</w:t>
      </w:r>
      <w:r w:rsidRPr="00931403">
        <w:rPr>
          <w:rtl/>
        </w:rPr>
        <w:t xml:space="preserve"> س</w:t>
      </w:r>
      <w:r>
        <w:rPr>
          <w:rtl/>
        </w:rPr>
        <w:t>ُ</w:t>
      </w:r>
      <w:r w:rsidRPr="00931403">
        <w:rPr>
          <w:rtl/>
        </w:rPr>
        <w:t>م</w:t>
      </w:r>
      <w:r>
        <w:rPr>
          <w:rtl/>
        </w:rPr>
        <w:t>ِّ</w:t>
      </w:r>
      <w:r w:rsidRPr="00931403">
        <w:rPr>
          <w:rtl/>
        </w:rPr>
        <w:t>ي به لإشعاره بصدق رغبة باذل</w:t>
      </w:r>
      <w:r>
        <w:rPr>
          <w:rtl/>
        </w:rPr>
        <w:t>ه</w:t>
      </w:r>
      <w:r w:rsidRPr="00931403">
        <w:rPr>
          <w:rtl/>
        </w:rPr>
        <w:t xml:space="preserve"> في النكاح»</w:t>
      </w:r>
      <w:r w:rsidRPr="00815C4C">
        <w:rPr>
          <w:rFonts w:cs="Taher"/>
          <w:vertAlign w:val="superscript"/>
          <w:rtl/>
        </w:rPr>
        <w:t>(</w:t>
      </w:r>
      <w:r w:rsidRPr="00815C4C">
        <w:rPr>
          <w:rFonts w:cs="Taher"/>
          <w:vertAlign w:val="superscript"/>
          <w:rtl/>
        </w:rPr>
        <w:footnoteReference w:id="835"/>
      </w:r>
      <w:r w:rsidRPr="00815C4C">
        <w:rPr>
          <w:rFonts w:cs="Taher"/>
          <w:vertAlign w:val="superscript"/>
          <w:rtl/>
        </w:rPr>
        <w:t>)</w:t>
      </w:r>
      <w:r>
        <w:rPr>
          <w:rtl/>
        </w:rPr>
        <w:t>.</w:t>
      </w:r>
    </w:p>
    <w:p w:rsidR="0088518C" w:rsidRDefault="0088518C" w:rsidP="00251242">
      <w:pPr>
        <w:pStyle w:val="ac"/>
        <w:rPr>
          <w:rtl/>
        </w:rPr>
      </w:pPr>
      <w:r>
        <w:rPr>
          <w:rtl/>
        </w:rPr>
        <w:t>7ـ اعتبر بعض المفسرين</w:t>
      </w:r>
      <w:r w:rsidRPr="00931403">
        <w:rPr>
          <w:rtl/>
        </w:rPr>
        <w:t xml:space="preserve"> كذلك أنّ المهر عامل إعزاز للمرأة وتثبيت واستمرار </w:t>
      </w:r>
      <w:r>
        <w:rPr>
          <w:rtl/>
        </w:rPr>
        <w:t>ل</w:t>
      </w:r>
      <w:r w:rsidRPr="00931403">
        <w:rPr>
          <w:rtl/>
        </w:rPr>
        <w:t>لنكاح في وقت واحد</w:t>
      </w:r>
      <w:r w:rsidRPr="00815C4C">
        <w:rPr>
          <w:rFonts w:cs="Taher"/>
          <w:vertAlign w:val="superscript"/>
          <w:rtl/>
        </w:rPr>
        <w:t>(</w:t>
      </w:r>
      <w:r w:rsidRPr="00815C4C">
        <w:rPr>
          <w:rFonts w:cs="Taher"/>
          <w:vertAlign w:val="superscript"/>
          <w:rtl/>
        </w:rPr>
        <w:footnoteReference w:id="836"/>
      </w:r>
      <w:r w:rsidRPr="00815C4C">
        <w:rPr>
          <w:rFonts w:cs="Taher"/>
          <w:vertAlign w:val="superscript"/>
          <w:rtl/>
        </w:rPr>
        <w:t>)</w:t>
      </w:r>
      <w:r w:rsidRPr="00931403">
        <w:rPr>
          <w:rtl/>
        </w:rPr>
        <w:t>.</w:t>
      </w:r>
    </w:p>
    <w:p w:rsidR="0088518C" w:rsidRPr="00931403" w:rsidRDefault="0088518C" w:rsidP="00935CC0">
      <w:pPr>
        <w:pStyle w:val="ac"/>
      </w:pPr>
      <w:r>
        <w:rPr>
          <w:rtl/>
        </w:rPr>
        <w:t>8ـ</w:t>
      </w:r>
      <w:r w:rsidRPr="00931403">
        <w:rPr>
          <w:rtl/>
        </w:rPr>
        <w:t xml:space="preserve"> </w:t>
      </w:r>
      <w:r>
        <w:rPr>
          <w:rtl/>
        </w:rPr>
        <w:t>بما</w:t>
      </w:r>
      <w:r w:rsidRPr="00931403">
        <w:rPr>
          <w:rtl/>
        </w:rPr>
        <w:t xml:space="preserve"> أنّ الإسلام يحثّ الزوجة على البقاء في البيت</w:t>
      </w:r>
      <w:r w:rsidRPr="007F5B58">
        <w:rPr>
          <w:rtl/>
        </w:rPr>
        <w:t>؛</w:t>
      </w:r>
      <w:r w:rsidRPr="00931403">
        <w:rPr>
          <w:rtl/>
        </w:rPr>
        <w:t xml:space="preserve"> لغرض إدارة شؤون الأسرة على أكمل وجه</w:t>
      </w:r>
      <w:r w:rsidRPr="007F5B58">
        <w:rPr>
          <w:rtl/>
        </w:rPr>
        <w:t>،</w:t>
      </w:r>
      <w:r w:rsidRPr="00931403">
        <w:rPr>
          <w:rtl/>
        </w:rPr>
        <w:t xml:space="preserve"> ولأنّ النساء لا يمتلكن عملاً يدرّ عليهنّ دخلاً معيناً</w:t>
      </w:r>
      <w:r w:rsidRPr="007F5B58">
        <w:rPr>
          <w:rtl/>
        </w:rPr>
        <w:t>،</w:t>
      </w:r>
      <w:r w:rsidRPr="00931403">
        <w:rPr>
          <w:rtl/>
        </w:rPr>
        <w:t xml:space="preserve"> يمكن للمهر أن يمنع إلى حين الضائقة المالية الناجمة عن الانفصال</w:t>
      </w:r>
      <w:r w:rsidRPr="007F5B58">
        <w:rPr>
          <w:rtl/>
        </w:rPr>
        <w:t>،</w:t>
      </w:r>
      <w:r w:rsidRPr="00931403">
        <w:rPr>
          <w:rtl/>
        </w:rPr>
        <w:t xml:space="preserve"> بيد أنّ هذا الأمر هو في طور الأفول في العصر الحالي</w:t>
      </w:r>
      <w:r w:rsidRPr="007F5B58">
        <w:rPr>
          <w:rtl/>
        </w:rPr>
        <w:t>؛</w:t>
      </w:r>
      <w:r w:rsidRPr="00931403">
        <w:rPr>
          <w:rtl/>
        </w:rPr>
        <w:t xml:space="preserve"> نظراً لانخراط معظم النساء المسلمات في العمل</w:t>
      </w:r>
      <w:r w:rsidRPr="007F5B58">
        <w:rPr>
          <w:rtl/>
        </w:rPr>
        <w:t>،</w:t>
      </w:r>
      <w:r w:rsidRPr="00931403">
        <w:rPr>
          <w:rtl/>
        </w:rPr>
        <w:t xml:space="preserve"> بالإضافة إلى الشرط القائل بتقاسم الزوجين للثروة الح</w:t>
      </w:r>
      <w:r>
        <w:rPr>
          <w:rtl/>
        </w:rPr>
        <w:t>ا</w:t>
      </w:r>
      <w:r w:rsidRPr="00931403">
        <w:rPr>
          <w:rtl/>
        </w:rPr>
        <w:t>صلة بعد الزواج</w:t>
      </w:r>
      <w:r w:rsidRPr="007F5B58">
        <w:rPr>
          <w:rtl/>
        </w:rPr>
        <w:t>،</w:t>
      </w:r>
      <w:r w:rsidRPr="00931403">
        <w:rPr>
          <w:rtl/>
        </w:rPr>
        <w:t xml:space="preserve"> وكذلك التعويض المنصوص عليه </w:t>
      </w:r>
      <w:r w:rsidRPr="00931403">
        <w:rPr>
          <w:rtl/>
        </w:rPr>
        <w:lastRenderedPageBreak/>
        <w:t xml:space="preserve">في المذكرة الإيضاحية رقم </w:t>
      </w:r>
      <w:r>
        <w:rPr>
          <w:rtl/>
        </w:rPr>
        <w:t>(</w:t>
      </w:r>
      <w:r w:rsidRPr="00931403">
        <w:rPr>
          <w:rtl/>
        </w:rPr>
        <w:t>6</w:t>
      </w:r>
      <w:r>
        <w:rPr>
          <w:rtl/>
        </w:rPr>
        <w:t>)</w:t>
      </w:r>
      <w:r w:rsidRPr="00931403">
        <w:rPr>
          <w:rtl/>
        </w:rPr>
        <w:t xml:space="preserve"> من قانون الطلاق المعدّل</w:t>
      </w:r>
      <w:r w:rsidRPr="007F5B58">
        <w:rPr>
          <w:rtl/>
        </w:rPr>
        <w:t>،</w:t>
      </w:r>
      <w:r w:rsidRPr="00931403">
        <w:rPr>
          <w:rtl/>
        </w:rPr>
        <w:t xml:space="preserve"> </w:t>
      </w:r>
      <w:r>
        <w:rPr>
          <w:rtl/>
        </w:rPr>
        <w:t>وكذلك</w:t>
      </w:r>
      <w:r w:rsidRPr="00931403">
        <w:rPr>
          <w:rtl/>
        </w:rPr>
        <w:t xml:space="preserve"> التحسّن المط</w:t>
      </w:r>
      <w:r>
        <w:rPr>
          <w:rtl/>
        </w:rPr>
        <w:t>ّ</w:t>
      </w:r>
      <w:r w:rsidRPr="00931403">
        <w:rPr>
          <w:rtl/>
        </w:rPr>
        <w:t>رد للأوضاع الاقتصادية للنساء</w:t>
      </w:r>
      <w:r w:rsidRPr="007F5B58">
        <w:rPr>
          <w:rtl/>
        </w:rPr>
        <w:t>،</w:t>
      </w:r>
      <w:r w:rsidRPr="00931403">
        <w:rPr>
          <w:rtl/>
        </w:rPr>
        <w:t xml:space="preserve"> وشمولهنّ بقوانين مؤسسات الضمان الاجتماعي. ربما أدت هذه الحقائق إلى اكتفاء العديد من النساء المتعلّمات بمهر رمزي للتأسّي بأمر الشارع المقدس</w:t>
      </w:r>
      <w:r w:rsidRPr="007F5B58">
        <w:rPr>
          <w:rtl/>
        </w:rPr>
        <w:t>،</w:t>
      </w:r>
      <w:r w:rsidRPr="00931403">
        <w:rPr>
          <w:rtl/>
        </w:rPr>
        <w:t xml:space="preserve"> ويتمثّل في هدية من المصحف الشريف ومرآة وشمعدان وعدد من باقات الزهور</w:t>
      </w:r>
      <w:r w:rsidRPr="007F5B58">
        <w:rPr>
          <w:rtl/>
        </w:rPr>
        <w:t>،</w:t>
      </w:r>
      <w:r w:rsidRPr="00931403">
        <w:rPr>
          <w:rtl/>
        </w:rPr>
        <w:t xml:space="preserve"> والرفض التامّ لأي مبلغ نقدي </w:t>
      </w:r>
      <w:r>
        <w:rPr>
          <w:rtl/>
        </w:rPr>
        <w:t>ب</w:t>
      </w:r>
      <w:r w:rsidRPr="00931403">
        <w:rPr>
          <w:rtl/>
        </w:rPr>
        <w:t>عنوان المهر</w:t>
      </w:r>
      <w:r w:rsidRPr="007F5B58">
        <w:rPr>
          <w:rtl/>
        </w:rPr>
        <w:t>،</w:t>
      </w:r>
      <w:r w:rsidRPr="00931403">
        <w:rPr>
          <w:rtl/>
        </w:rPr>
        <w:t xml:space="preserve"> ولكن لا تزال الأكثرية العظمى من الفتيات يطالبن بمهر مرتفع</w:t>
      </w:r>
      <w:r w:rsidRPr="007F5B58">
        <w:rPr>
          <w:rtl/>
        </w:rPr>
        <w:t>،</w:t>
      </w:r>
      <w:r w:rsidRPr="00931403">
        <w:rPr>
          <w:rtl/>
        </w:rPr>
        <w:t xml:space="preserve"> وأكثر أشكال المهر تداولاً في الوقت الحاضر عبارة عن مسكوكات ذهبية بعدد سنة ولادة الفتاة</w:t>
      </w:r>
      <w:r w:rsidRPr="007F5B58">
        <w:rPr>
          <w:rtl/>
        </w:rPr>
        <w:t>،</w:t>
      </w:r>
      <w:r w:rsidRPr="00931403">
        <w:rPr>
          <w:rtl/>
        </w:rPr>
        <w:t xml:space="preserve"> أي لو وافقت </w:t>
      </w:r>
      <w:r>
        <w:rPr>
          <w:rtl/>
        </w:rPr>
        <w:t xml:space="preserve">فتاة </w:t>
      </w:r>
      <w:r w:rsidRPr="00931403">
        <w:rPr>
          <w:rtl/>
        </w:rPr>
        <w:t>من مواليد 1989</w:t>
      </w:r>
      <w:r>
        <w:rPr>
          <w:rtl/>
        </w:rPr>
        <w:t xml:space="preserve"> </w:t>
      </w:r>
      <w:r w:rsidRPr="00931403">
        <w:rPr>
          <w:rtl/>
        </w:rPr>
        <w:t>على الزواج فسيكون مهرها 1989 مسكوكة ذهبية</w:t>
      </w:r>
      <w:r w:rsidRPr="007F5B58">
        <w:rPr>
          <w:rtl/>
        </w:rPr>
        <w:t>،</w:t>
      </w:r>
      <w:r w:rsidRPr="00931403">
        <w:rPr>
          <w:rtl/>
        </w:rPr>
        <w:t xml:space="preserve"> ومبلغ هذا العدد من المسكوكات يعادل في الوقت الحاضر 437580</w:t>
      </w:r>
      <w:r w:rsidRPr="00935CC0">
        <w:rPr>
          <w:rtl/>
        </w:rPr>
        <w:t xml:space="preserve"> ألف </w:t>
      </w:r>
      <w:r w:rsidRPr="00931403">
        <w:rPr>
          <w:rtl/>
        </w:rPr>
        <w:t>دولار.</w:t>
      </w:r>
    </w:p>
    <w:p w:rsidR="0088518C" w:rsidRPr="00931403" w:rsidRDefault="0088518C" w:rsidP="00251242">
      <w:pPr>
        <w:pStyle w:val="ac"/>
        <w:rPr>
          <w:rtl/>
        </w:rPr>
      </w:pPr>
      <w:r w:rsidRPr="00931403">
        <w:rPr>
          <w:rtl/>
        </w:rPr>
        <w:t xml:space="preserve">ثمّة نقطة نرى من الضروري الإشارة إليها وهي أنّ ما تمّ استعراضه </w:t>
      </w:r>
      <w:r>
        <w:rPr>
          <w:rtl/>
        </w:rPr>
        <w:t>حتى</w:t>
      </w:r>
      <w:r w:rsidRPr="00931403">
        <w:rPr>
          <w:rtl/>
        </w:rPr>
        <w:t xml:space="preserve"> الآن هو ما درجت عليه العادات والتقاليد</w:t>
      </w:r>
      <w:r w:rsidRPr="007F5B58">
        <w:rPr>
          <w:rtl/>
        </w:rPr>
        <w:t>،</w:t>
      </w:r>
      <w:r w:rsidRPr="00931403">
        <w:rPr>
          <w:rtl/>
        </w:rPr>
        <w:t xml:space="preserve"> إلاّ أنّه توجد طرق أخرى لحساب المهر بالتاريخ </w:t>
      </w:r>
      <w:r>
        <w:rPr>
          <w:rtl/>
        </w:rPr>
        <w:t>الهجري الشمسي</w:t>
      </w:r>
      <w:r w:rsidRPr="007F5B58">
        <w:rPr>
          <w:rtl/>
        </w:rPr>
        <w:t>،</w:t>
      </w:r>
      <w:r w:rsidRPr="00931403">
        <w:rPr>
          <w:rtl/>
        </w:rPr>
        <w:t xml:space="preserve"> ما يقرّب مبلغ المهر إلى رقم نصف مليار تومان. إلاّ أنّ ذلك لا يعني عدم وجود مهور مناسبة هنا وهناك.</w:t>
      </w:r>
    </w:p>
    <w:p w:rsidR="0088518C" w:rsidRPr="00931403" w:rsidRDefault="0088518C" w:rsidP="00D063EC">
      <w:pPr>
        <w:pStyle w:val="afffffc"/>
        <w:rPr>
          <w:rtl/>
        </w:rPr>
      </w:pPr>
    </w:p>
    <w:p w:rsidR="0088518C" w:rsidRPr="00931403" w:rsidRDefault="0088518C" w:rsidP="00251242">
      <w:pPr>
        <w:pStyle w:val="1"/>
        <w:rPr>
          <w:rtl/>
        </w:rPr>
      </w:pPr>
      <w:bookmarkStart w:id="449" w:name="_Toc275128159"/>
      <w:r w:rsidRPr="00931403">
        <w:rPr>
          <w:rtl/>
        </w:rPr>
        <w:t>الآثار السلبية للمهور المرتفعة</w:t>
      </w:r>
      <w:bookmarkEnd w:id="449"/>
    </w:p>
    <w:p w:rsidR="0088518C" w:rsidRDefault="0088518C" w:rsidP="00251242">
      <w:pPr>
        <w:pStyle w:val="ac"/>
        <w:rPr>
          <w:rtl/>
        </w:rPr>
      </w:pPr>
      <w:r w:rsidRPr="00931403">
        <w:rPr>
          <w:rtl/>
        </w:rPr>
        <w:t>المقصود من المهر المرتفع في هذه المقالة هو الارتفاع الفاحش الذي لا يمكن التغاضي عنه</w:t>
      </w:r>
      <w:r w:rsidRPr="007F5B58">
        <w:rPr>
          <w:rtl/>
        </w:rPr>
        <w:t>،</w:t>
      </w:r>
      <w:r w:rsidRPr="00931403">
        <w:rPr>
          <w:rtl/>
        </w:rPr>
        <w:t xml:space="preserve"> وفي </w:t>
      </w:r>
      <w:r>
        <w:rPr>
          <w:rFonts w:hint="cs"/>
          <w:rtl/>
        </w:rPr>
        <w:t>بعض ال</w:t>
      </w:r>
      <w:r w:rsidRPr="00931403">
        <w:rPr>
          <w:rtl/>
        </w:rPr>
        <w:t>حالات يصل هذا الارت</w:t>
      </w:r>
      <w:r>
        <w:rPr>
          <w:rtl/>
        </w:rPr>
        <w:t>ف</w:t>
      </w:r>
      <w:r w:rsidRPr="00931403">
        <w:rPr>
          <w:rtl/>
        </w:rPr>
        <w:t>اع حداً يلغي معه أيّ يقين أو أمل بالتسديد</w:t>
      </w:r>
      <w:r w:rsidRPr="007F5B58">
        <w:rPr>
          <w:rtl/>
        </w:rPr>
        <w:t>،</w:t>
      </w:r>
      <w:r w:rsidRPr="00931403">
        <w:rPr>
          <w:rtl/>
        </w:rPr>
        <w:t xml:space="preserve"> ويتضمّن آثاراً سلبية كثيرة</w:t>
      </w:r>
      <w:r w:rsidRPr="007F5B58">
        <w:rPr>
          <w:rtl/>
        </w:rPr>
        <w:t>،</w:t>
      </w:r>
      <w:r w:rsidRPr="00931403">
        <w:rPr>
          <w:rtl/>
        </w:rPr>
        <w:t xml:space="preserve"> بحيث يكون في بعض الحالات</w:t>
      </w:r>
      <w:r w:rsidRPr="007F5B58">
        <w:rPr>
          <w:rtl/>
        </w:rPr>
        <w:t>؛</w:t>
      </w:r>
      <w:r w:rsidRPr="00931403">
        <w:rPr>
          <w:rtl/>
        </w:rPr>
        <w:t xml:space="preserve"> واس</w:t>
      </w:r>
      <w:r>
        <w:rPr>
          <w:rtl/>
        </w:rPr>
        <w:t>تـن</w:t>
      </w:r>
      <w:r w:rsidRPr="00931403">
        <w:rPr>
          <w:rtl/>
        </w:rPr>
        <w:t>اداً إلى القواعد العامة للعقود</w:t>
      </w:r>
      <w:r w:rsidRPr="007F5B58">
        <w:rPr>
          <w:rtl/>
        </w:rPr>
        <w:t>،</w:t>
      </w:r>
      <w:r w:rsidRPr="00931403">
        <w:rPr>
          <w:rtl/>
        </w:rPr>
        <w:t xml:space="preserve"> باطلاً وفاقداً للمسوّغ الشرعي أو القانوني. </w:t>
      </w:r>
      <w:r>
        <w:rPr>
          <w:rtl/>
        </w:rPr>
        <w:t>و</w:t>
      </w:r>
      <w:r w:rsidRPr="00931403">
        <w:rPr>
          <w:rtl/>
        </w:rPr>
        <w:t>على هذا الأساس نسعى هنا إلى الإشارة إلى عدد من النتائج الوخيمة لهذا النوع من المهور.</w:t>
      </w:r>
    </w:p>
    <w:p w:rsidR="0088518C" w:rsidRPr="00931403" w:rsidRDefault="0088518C" w:rsidP="00980084">
      <w:pPr>
        <w:pStyle w:val="ac"/>
        <w:rPr>
          <w:rtl/>
        </w:rPr>
      </w:pPr>
      <w:r>
        <w:rPr>
          <w:rtl/>
        </w:rPr>
        <w:t>إنّ أسو</w:t>
      </w:r>
      <w:r>
        <w:rPr>
          <w:rFonts w:hint="cs"/>
          <w:rtl/>
        </w:rPr>
        <w:t>أ</w:t>
      </w:r>
      <w:r w:rsidRPr="00931403">
        <w:rPr>
          <w:rtl/>
        </w:rPr>
        <w:t xml:space="preserve"> أثر للمهور المرتفعة يكمن في مواجهتها لنفس النكاح</w:t>
      </w:r>
      <w:r w:rsidRPr="007F5B58">
        <w:rPr>
          <w:rtl/>
        </w:rPr>
        <w:t>،</w:t>
      </w:r>
      <w:r w:rsidRPr="00931403">
        <w:rPr>
          <w:rtl/>
        </w:rPr>
        <w:t xml:space="preserve"> الأمر الذي لا يمكن التغاضي عنه في نظر الشارع المقدس. حيث يعزف الشاب المؤهّل للنكاح عن الزواج</w:t>
      </w:r>
      <w:r w:rsidRPr="007F5B58">
        <w:rPr>
          <w:rtl/>
        </w:rPr>
        <w:t>؛</w:t>
      </w:r>
      <w:r>
        <w:rPr>
          <w:rtl/>
        </w:rPr>
        <w:t xml:space="preserve"> ل</w:t>
      </w:r>
      <w:r w:rsidRPr="00931403">
        <w:rPr>
          <w:rtl/>
        </w:rPr>
        <w:t>عدم إمكان الوفاء ب</w:t>
      </w:r>
      <w:r>
        <w:rPr>
          <w:rtl/>
        </w:rPr>
        <w:t>الم</w:t>
      </w:r>
      <w:r w:rsidRPr="00931403">
        <w:rPr>
          <w:rtl/>
        </w:rPr>
        <w:t>ه</w:t>
      </w:r>
      <w:r>
        <w:rPr>
          <w:rtl/>
        </w:rPr>
        <w:t>ر المطلوب</w:t>
      </w:r>
      <w:r w:rsidRPr="007F5B58">
        <w:rPr>
          <w:rtl/>
        </w:rPr>
        <w:t>،</w:t>
      </w:r>
      <w:r w:rsidRPr="00931403">
        <w:rPr>
          <w:rtl/>
        </w:rPr>
        <w:t xml:space="preserve"> ومن خلال ترجيح العزوبية على الزواج يحمّل نفسه والمجتمع آثاراً روحية ونفسية واجتماعية واقتصادية و... كثيرة.</w:t>
      </w:r>
    </w:p>
    <w:p w:rsidR="0088518C" w:rsidRPr="00931403" w:rsidRDefault="0088518C" w:rsidP="00D063EC">
      <w:pPr>
        <w:pStyle w:val="ac"/>
        <w:spacing w:line="202" w:lineRule="auto"/>
        <w:rPr>
          <w:rtl/>
        </w:rPr>
      </w:pPr>
      <w:r w:rsidRPr="00931403">
        <w:rPr>
          <w:rtl/>
        </w:rPr>
        <w:lastRenderedPageBreak/>
        <w:t xml:space="preserve">وقد ترك ارتفاع المهور المتداولة أثره </w:t>
      </w:r>
      <w:r>
        <w:rPr>
          <w:rtl/>
        </w:rPr>
        <w:t xml:space="preserve">ـ </w:t>
      </w:r>
      <w:r w:rsidRPr="00931403">
        <w:rPr>
          <w:rtl/>
        </w:rPr>
        <w:t xml:space="preserve">إلى جانب سائر المشكلات </w:t>
      </w:r>
      <w:r>
        <w:rPr>
          <w:rtl/>
        </w:rPr>
        <w:t xml:space="preserve">ـ </w:t>
      </w:r>
      <w:r w:rsidRPr="00931403">
        <w:rPr>
          <w:rtl/>
        </w:rPr>
        <w:t>على قدرة الشباب في اتّخاذ قرار الزواج</w:t>
      </w:r>
      <w:r>
        <w:rPr>
          <w:rFonts w:hint="cs"/>
          <w:rtl/>
        </w:rPr>
        <w:t>،</w:t>
      </w:r>
      <w:r w:rsidRPr="00931403">
        <w:rPr>
          <w:rtl/>
        </w:rPr>
        <w:t xml:space="preserve"> حيث رفعت فترة الترديد بالقدرة على الزواج</w:t>
      </w:r>
      <w:r w:rsidRPr="007F5B58">
        <w:rPr>
          <w:rtl/>
        </w:rPr>
        <w:t>،</w:t>
      </w:r>
      <w:r w:rsidRPr="00931403">
        <w:rPr>
          <w:rtl/>
        </w:rPr>
        <w:t xml:space="preserve"> مع أنّها تشكّل أكثر فترات الغريزة الجنسية حساسية</w:t>
      </w:r>
      <w:r w:rsidRPr="007F5B58">
        <w:rPr>
          <w:rtl/>
        </w:rPr>
        <w:t>،</w:t>
      </w:r>
      <w:r w:rsidRPr="00931403">
        <w:rPr>
          <w:rtl/>
        </w:rPr>
        <w:t xml:space="preserve"> وهي ليست بالقصيرة</w:t>
      </w:r>
      <w:r w:rsidRPr="007F5B58">
        <w:rPr>
          <w:rtl/>
        </w:rPr>
        <w:t>،</w:t>
      </w:r>
      <w:r w:rsidRPr="00931403">
        <w:rPr>
          <w:rtl/>
        </w:rPr>
        <w:t xml:space="preserve"> ولا يمكن تجاوزها بسهولة</w:t>
      </w:r>
      <w:r w:rsidRPr="007F5B58">
        <w:rPr>
          <w:rtl/>
        </w:rPr>
        <w:t>،</w:t>
      </w:r>
      <w:r w:rsidRPr="00931403">
        <w:rPr>
          <w:rtl/>
        </w:rPr>
        <w:t xml:space="preserve"> رفعت من سنّ الزواج</w:t>
      </w:r>
      <w:r w:rsidRPr="007F5B58">
        <w:rPr>
          <w:rtl/>
        </w:rPr>
        <w:t>،</w:t>
      </w:r>
      <w:r w:rsidRPr="00931403">
        <w:rPr>
          <w:rtl/>
        </w:rPr>
        <w:t xml:space="preserve"> وفرضت هذه المرحلة المصحوبة بنوع من الإحباط في إمكانية الزواج سلوكيات منحرفة كثيرة على المجتمع.</w:t>
      </w:r>
    </w:p>
    <w:p w:rsidR="0088518C" w:rsidRPr="00931403" w:rsidRDefault="0088518C" w:rsidP="00D063EC">
      <w:pPr>
        <w:pStyle w:val="ac"/>
        <w:spacing w:line="202" w:lineRule="auto"/>
        <w:rPr>
          <w:rtl/>
        </w:rPr>
      </w:pPr>
      <w:r>
        <w:rPr>
          <w:rtl/>
        </w:rPr>
        <w:t xml:space="preserve">ومن </w:t>
      </w:r>
      <w:r w:rsidRPr="00931403">
        <w:rPr>
          <w:rtl/>
        </w:rPr>
        <w:t>الآثار المشؤومة لهذا النوع من المهور ظهور ما يعرف بالزواج الصوري</w:t>
      </w:r>
      <w:r w:rsidRPr="007F5B58">
        <w:rPr>
          <w:rtl/>
        </w:rPr>
        <w:t>،</w:t>
      </w:r>
      <w:r w:rsidRPr="00931403">
        <w:rPr>
          <w:rtl/>
        </w:rPr>
        <w:t xml:space="preserve"> الذي تلجأ إليه فئة قليلة من الفتيات بهدف استغلال المادة (1092) من القانون المدني</w:t>
      </w:r>
      <w:r w:rsidRPr="007F5B58">
        <w:rPr>
          <w:rtl/>
        </w:rPr>
        <w:t>،</w:t>
      </w:r>
      <w:r w:rsidRPr="00931403">
        <w:rPr>
          <w:rtl/>
        </w:rPr>
        <w:t xml:space="preserve"> وثمّة مخاوف من تفشيه</w:t>
      </w:r>
      <w:r w:rsidRPr="007F5B58">
        <w:rPr>
          <w:rtl/>
        </w:rPr>
        <w:t>،</w:t>
      </w:r>
      <w:r w:rsidRPr="00931403">
        <w:rPr>
          <w:rtl/>
        </w:rPr>
        <w:t xml:space="preserve"> وهو ما يثير القلق.</w:t>
      </w:r>
    </w:p>
    <w:p w:rsidR="0088518C" w:rsidRDefault="0088518C" w:rsidP="00D063EC">
      <w:pPr>
        <w:pStyle w:val="ac"/>
        <w:spacing w:line="202" w:lineRule="auto"/>
        <w:rPr>
          <w:rtl/>
        </w:rPr>
      </w:pPr>
      <w:r w:rsidRPr="00931403">
        <w:rPr>
          <w:rtl/>
        </w:rPr>
        <w:t xml:space="preserve">المادة (1092) من القانون المدني </w:t>
      </w:r>
      <w:r>
        <w:rPr>
          <w:rtl/>
        </w:rPr>
        <w:t>تـن</w:t>
      </w:r>
      <w:r w:rsidRPr="00931403">
        <w:rPr>
          <w:rtl/>
        </w:rPr>
        <w:t>صّ على أنّ</w:t>
      </w:r>
      <w:r>
        <w:rPr>
          <w:rtl/>
        </w:rPr>
        <w:t>ه</w:t>
      </w:r>
      <w:r w:rsidRPr="007F5B58">
        <w:rPr>
          <w:rtl/>
        </w:rPr>
        <w:t>:</w:t>
      </w:r>
      <w:r w:rsidRPr="00931403">
        <w:rPr>
          <w:rtl/>
        </w:rPr>
        <w:t xml:space="preserve"> «إذا طلّق الزوج زوجته قبل الدخول فللزوجة نصف المهر</w:t>
      </w:r>
      <w:r w:rsidRPr="007F5B58">
        <w:rPr>
          <w:rtl/>
        </w:rPr>
        <w:t>،</w:t>
      </w:r>
      <w:r w:rsidRPr="00931403">
        <w:rPr>
          <w:rtl/>
        </w:rPr>
        <w:t xml:space="preserve"> ولو كان الزوج قد دفع قبل ذلك أكثر من نصف المهر يحقّ له استرداد ما زاد على النصف</w:t>
      </w:r>
      <w:r w:rsidRPr="007F5B58">
        <w:rPr>
          <w:rtl/>
        </w:rPr>
        <w:t>،</w:t>
      </w:r>
      <w:r w:rsidRPr="00931403">
        <w:rPr>
          <w:rtl/>
        </w:rPr>
        <w:t xml:space="preserve"> عيناً</w:t>
      </w:r>
      <w:r w:rsidRPr="007F5B58">
        <w:rPr>
          <w:rtl/>
        </w:rPr>
        <w:t>،</w:t>
      </w:r>
      <w:r>
        <w:rPr>
          <w:rtl/>
        </w:rPr>
        <w:t xml:space="preserve"> أو</w:t>
      </w:r>
      <w:r w:rsidRPr="00931403">
        <w:rPr>
          <w:rtl/>
        </w:rPr>
        <w:t xml:space="preserve"> مثلاً أو قيمة»</w:t>
      </w:r>
      <w:r>
        <w:rPr>
          <w:rtl/>
        </w:rPr>
        <w:t>.</w:t>
      </w:r>
      <w:r w:rsidRPr="00931403">
        <w:rPr>
          <w:rtl/>
        </w:rPr>
        <w:t xml:space="preserve"> وقد دخلت هذه المادة من الحقوق إلى الفقه</w:t>
      </w:r>
      <w:r w:rsidRPr="00815C4C">
        <w:rPr>
          <w:rFonts w:cs="Taher"/>
          <w:vertAlign w:val="superscript"/>
          <w:rtl/>
        </w:rPr>
        <w:t>(</w:t>
      </w:r>
      <w:r w:rsidRPr="00815C4C">
        <w:rPr>
          <w:rFonts w:cs="Taher"/>
          <w:vertAlign w:val="superscript"/>
          <w:rtl/>
        </w:rPr>
        <w:footnoteReference w:id="837"/>
      </w:r>
      <w:r w:rsidRPr="00815C4C">
        <w:rPr>
          <w:rFonts w:cs="Taher"/>
          <w:vertAlign w:val="superscript"/>
          <w:rtl/>
        </w:rPr>
        <w:t>)</w:t>
      </w:r>
      <w:r>
        <w:rPr>
          <w:rtl/>
        </w:rPr>
        <w:t xml:space="preserve">. </w:t>
      </w:r>
    </w:p>
    <w:p w:rsidR="0088518C" w:rsidRPr="00931403" w:rsidRDefault="0088518C" w:rsidP="00D063EC">
      <w:pPr>
        <w:pStyle w:val="ac"/>
        <w:spacing w:line="199" w:lineRule="auto"/>
        <w:rPr>
          <w:rtl/>
        </w:rPr>
      </w:pPr>
      <w:r>
        <w:rPr>
          <w:rtl/>
        </w:rPr>
        <w:t>وفي</w:t>
      </w:r>
      <w:r w:rsidRPr="00931403">
        <w:rPr>
          <w:rtl/>
        </w:rPr>
        <w:t xml:space="preserve"> إحدى الحالات التي تمّ الكشف عنها حصلت فتاة على حوالي (12 ألف مسكوكة ذهبية)</w:t>
      </w:r>
      <w:r>
        <w:rPr>
          <w:rFonts w:hint="cs"/>
          <w:rtl/>
        </w:rPr>
        <w:t>،</w:t>
      </w:r>
      <w:r w:rsidRPr="00931403">
        <w:rPr>
          <w:rtl/>
        </w:rPr>
        <w:t xml:space="preserve"> في مناورات مزيفة (عملية نصب واحتيال)</w:t>
      </w:r>
      <w:r>
        <w:rPr>
          <w:rFonts w:hint="cs"/>
          <w:rtl/>
        </w:rPr>
        <w:t>،</w:t>
      </w:r>
      <w:r w:rsidRPr="00931403">
        <w:rPr>
          <w:rtl/>
        </w:rPr>
        <w:t xml:space="preserve"> بعد أن تمّ عقد قرانها لثلاث مرات</w:t>
      </w:r>
      <w:r w:rsidRPr="007F5B58">
        <w:rPr>
          <w:rtl/>
        </w:rPr>
        <w:t>،</w:t>
      </w:r>
      <w:r w:rsidRPr="00931403">
        <w:rPr>
          <w:rtl/>
        </w:rPr>
        <w:t xml:space="preserve"> </w:t>
      </w:r>
      <w:r>
        <w:rPr>
          <w:rtl/>
        </w:rPr>
        <w:t>ثم طُلِّقت في كل مرّة قبل الدخول</w:t>
      </w:r>
      <w:r w:rsidRPr="007F5B58">
        <w:rPr>
          <w:rtl/>
        </w:rPr>
        <w:t>،</w:t>
      </w:r>
      <w:r>
        <w:rPr>
          <w:rtl/>
        </w:rPr>
        <w:t xml:space="preserve"> بحجج واهية</w:t>
      </w:r>
      <w:r w:rsidRPr="007F5B58">
        <w:rPr>
          <w:rtl/>
        </w:rPr>
        <w:t>،</w:t>
      </w:r>
      <w:r>
        <w:rPr>
          <w:rtl/>
        </w:rPr>
        <w:t xml:space="preserve"> وحصلت بذلك على نصف المهر. </w:t>
      </w:r>
      <w:r w:rsidRPr="00931403">
        <w:rPr>
          <w:rtl/>
        </w:rPr>
        <w:t>إنّ بداهة وتعدّد النتائج الوخيمة لهذا العمل الشائن تلغي الحاجة إلى ال</w:t>
      </w:r>
      <w:r>
        <w:rPr>
          <w:rtl/>
        </w:rPr>
        <w:t>إ</w:t>
      </w:r>
      <w:r w:rsidRPr="00931403">
        <w:rPr>
          <w:rtl/>
        </w:rPr>
        <w:t>سهاب في الحديث عنه</w:t>
      </w:r>
      <w:r w:rsidRPr="007F5B58">
        <w:rPr>
          <w:rtl/>
        </w:rPr>
        <w:t>،</w:t>
      </w:r>
      <w:r w:rsidRPr="00931403">
        <w:rPr>
          <w:rtl/>
        </w:rPr>
        <w:t xml:space="preserve"> لكن يجب ال</w:t>
      </w:r>
      <w:r>
        <w:rPr>
          <w:rtl/>
        </w:rPr>
        <w:t>تـن</w:t>
      </w:r>
      <w:r w:rsidRPr="00931403">
        <w:rPr>
          <w:rtl/>
        </w:rPr>
        <w:t>ويه إلى أنّ التلاعب بقدسية الزواج</w:t>
      </w:r>
      <w:r w:rsidRPr="00815C4C">
        <w:rPr>
          <w:rFonts w:cs="Taher"/>
          <w:vertAlign w:val="superscript"/>
          <w:rtl/>
        </w:rPr>
        <w:t>(</w:t>
      </w:r>
      <w:r w:rsidRPr="00815C4C">
        <w:rPr>
          <w:rFonts w:cs="Taher"/>
          <w:vertAlign w:val="superscript"/>
          <w:rtl/>
        </w:rPr>
        <w:footnoteReference w:id="838"/>
      </w:r>
      <w:r w:rsidRPr="00815C4C">
        <w:rPr>
          <w:rFonts w:cs="Taher"/>
          <w:vertAlign w:val="superscript"/>
          <w:rtl/>
        </w:rPr>
        <w:t>)</w:t>
      </w:r>
      <w:r>
        <w:rPr>
          <w:rtl/>
        </w:rPr>
        <w:t xml:space="preserve"> </w:t>
      </w:r>
      <w:r w:rsidRPr="00931403">
        <w:rPr>
          <w:rtl/>
        </w:rPr>
        <w:t xml:space="preserve">وزوال قبح الطلاق أيضاً هما </w:t>
      </w:r>
      <w:r>
        <w:rPr>
          <w:rtl/>
        </w:rPr>
        <w:t xml:space="preserve">من </w:t>
      </w:r>
      <w:r w:rsidRPr="00931403">
        <w:rPr>
          <w:rtl/>
        </w:rPr>
        <w:t>النتائج الأخرى لهذه الظاهرة.</w:t>
      </w:r>
    </w:p>
    <w:p w:rsidR="0088518C" w:rsidRPr="00931403" w:rsidRDefault="0088518C" w:rsidP="00980084">
      <w:pPr>
        <w:pStyle w:val="ac"/>
        <w:rPr>
          <w:rtl/>
        </w:rPr>
      </w:pPr>
      <w:r w:rsidRPr="00931403">
        <w:rPr>
          <w:rtl/>
        </w:rPr>
        <w:t>إنّ الموارد المذكورة هي من الآثار المؤكّدة للمهور المرتفعة</w:t>
      </w:r>
      <w:r w:rsidRPr="007F5B58">
        <w:rPr>
          <w:rtl/>
        </w:rPr>
        <w:t>،</w:t>
      </w:r>
      <w:r w:rsidRPr="00931403">
        <w:rPr>
          <w:rtl/>
        </w:rPr>
        <w:t xml:space="preserve"> والتي </w:t>
      </w:r>
      <w:r>
        <w:rPr>
          <w:rtl/>
        </w:rPr>
        <w:t xml:space="preserve">ـ </w:t>
      </w:r>
      <w:r w:rsidRPr="00931403">
        <w:rPr>
          <w:rtl/>
        </w:rPr>
        <w:t>إلى جانب باقي آثارها السلبية</w:t>
      </w:r>
      <w:r>
        <w:rPr>
          <w:rtl/>
        </w:rPr>
        <w:t xml:space="preserve"> ـ</w:t>
      </w:r>
      <w:r w:rsidRPr="00931403">
        <w:rPr>
          <w:rtl/>
        </w:rPr>
        <w:t xml:space="preserve"> تعد مانعاً للنكاح أيضاً</w:t>
      </w:r>
      <w:r>
        <w:rPr>
          <w:rtl/>
        </w:rPr>
        <w:t>.</w:t>
      </w:r>
      <w:r w:rsidRPr="00931403">
        <w:rPr>
          <w:rtl/>
        </w:rPr>
        <w:t xml:space="preserve"> ومع أنّ هذه الخصوصية كافية للاس</w:t>
      </w:r>
      <w:r>
        <w:rPr>
          <w:rtl/>
        </w:rPr>
        <w:t>تـن</w:t>
      </w:r>
      <w:r w:rsidRPr="00931403">
        <w:rPr>
          <w:rtl/>
        </w:rPr>
        <w:t>تاج</w:t>
      </w:r>
      <w:r w:rsidRPr="007F5B58">
        <w:rPr>
          <w:rtl/>
        </w:rPr>
        <w:t>،</w:t>
      </w:r>
      <w:r w:rsidRPr="00931403">
        <w:rPr>
          <w:rtl/>
        </w:rPr>
        <w:t xml:space="preserve"> إلاّ أنّه</w:t>
      </w:r>
      <w:r w:rsidRPr="007F5B58">
        <w:rPr>
          <w:rtl/>
        </w:rPr>
        <w:t>؛</w:t>
      </w:r>
      <w:r w:rsidRPr="00931403">
        <w:rPr>
          <w:rtl/>
        </w:rPr>
        <w:t xml:space="preserve"> لمنع التكرار</w:t>
      </w:r>
      <w:r w:rsidRPr="007F5B58">
        <w:rPr>
          <w:rtl/>
        </w:rPr>
        <w:t>،</w:t>
      </w:r>
      <w:r w:rsidRPr="00931403">
        <w:rPr>
          <w:rtl/>
        </w:rPr>
        <w:t xml:space="preserve"> يبدو ضرورياً أن يقوم المرء باستذكار إجمالي لمصير أولئك الذين </w:t>
      </w:r>
      <w:r w:rsidRPr="00931403">
        <w:rPr>
          <w:rtl/>
        </w:rPr>
        <w:lastRenderedPageBreak/>
        <w:t>رضخوا لقبول مثل هذه المهور ليقف على فظاعة المسألة.</w:t>
      </w:r>
    </w:p>
    <w:p w:rsidR="0088518C" w:rsidRPr="00931403" w:rsidRDefault="0088518C" w:rsidP="00D063EC">
      <w:pPr>
        <w:pStyle w:val="ac"/>
        <w:spacing w:line="199" w:lineRule="auto"/>
        <w:rPr>
          <w:rtl/>
        </w:rPr>
      </w:pPr>
      <w:r w:rsidRPr="00931403">
        <w:rPr>
          <w:rtl/>
        </w:rPr>
        <w:t>تلجأ فئة أخرى من الشباب إلى المهور المرتفعة في ضوء أوضاعها</w:t>
      </w:r>
      <w:r w:rsidRPr="007F5B58">
        <w:rPr>
          <w:rtl/>
        </w:rPr>
        <w:t>،</w:t>
      </w:r>
      <w:r w:rsidRPr="00931403">
        <w:rPr>
          <w:rtl/>
        </w:rPr>
        <w:t xml:space="preserve"> أملاً بالحصول على المال في المستقبل</w:t>
      </w:r>
      <w:r w:rsidRPr="007F5B58">
        <w:rPr>
          <w:rtl/>
        </w:rPr>
        <w:t>،</w:t>
      </w:r>
      <w:r w:rsidRPr="00931403">
        <w:rPr>
          <w:rtl/>
        </w:rPr>
        <w:t xml:space="preserve"> </w:t>
      </w:r>
      <w:r>
        <w:rPr>
          <w:rtl/>
        </w:rPr>
        <w:t>وهؤلاء هم أحد ثلاثة أصناف</w:t>
      </w:r>
      <w:r w:rsidRPr="007F5B58">
        <w:rPr>
          <w:rtl/>
        </w:rPr>
        <w:t>:</w:t>
      </w:r>
      <w:r>
        <w:rPr>
          <w:rtl/>
        </w:rPr>
        <w:t xml:space="preserve"> </w:t>
      </w:r>
    </w:p>
    <w:p w:rsidR="0088518C" w:rsidRPr="00931403" w:rsidRDefault="0088518C" w:rsidP="00D063EC">
      <w:pPr>
        <w:pStyle w:val="ac"/>
        <w:spacing w:line="199" w:lineRule="auto"/>
        <w:rPr>
          <w:rtl/>
        </w:rPr>
      </w:pPr>
      <w:r>
        <w:rPr>
          <w:rtl/>
        </w:rPr>
        <w:t xml:space="preserve">1ـ شباب حديثو السن </w:t>
      </w:r>
      <w:r w:rsidRPr="00931403">
        <w:rPr>
          <w:rtl/>
        </w:rPr>
        <w:t>يمتلكون أموالاً كافية حصلوا عليها بطرق عدّة</w:t>
      </w:r>
      <w:r w:rsidRPr="007F5B58">
        <w:rPr>
          <w:rtl/>
        </w:rPr>
        <w:t>،</w:t>
      </w:r>
      <w:r w:rsidRPr="00931403">
        <w:rPr>
          <w:rtl/>
        </w:rPr>
        <w:t xml:space="preserve"> مثل</w:t>
      </w:r>
      <w:r w:rsidRPr="007F5B58">
        <w:rPr>
          <w:rtl/>
        </w:rPr>
        <w:t>:</w:t>
      </w:r>
      <w:r w:rsidRPr="00931403">
        <w:rPr>
          <w:rtl/>
        </w:rPr>
        <w:t xml:space="preserve"> الدعم المالي للوالدين</w:t>
      </w:r>
      <w:r w:rsidRPr="007F5B58">
        <w:rPr>
          <w:rtl/>
        </w:rPr>
        <w:t>،</w:t>
      </w:r>
      <w:r w:rsidRPr="00931403">
        <w:rPr>
          <w:rtl/>
        </w:rPr>
        <w:t xml:space="preserve"> الإرث</w:t>
      </w:r>
      <w:r w:rsidRPr="007F5B58">
        <w:rPr>
          <w:rtl/>
        </w:rPr>
        <w:t>،</w:t>
      </w:r>
      <w:r w:rsidRPr="00931403">
        <w:rPr>
          <w:rtl/>
        </w:rPr>
        <w:t xml:space="preserve"> و...</w:t>
      </w:r>
      <w:r w:rsidRPr="007F5B58">
        <w:rPr>
          <w:rtl/>
        </w:rPr>
        <w:t>،</w:t>
      </w:r>
      <w:r w:rsidRPr="00931403">
        <w:rPr>
          <w:rtl/>
        </w:rPr>
        <w:t xml:space="preserve"> ويقوم هؤلاء باللجوء إلى المهور المرتفعة</w:t>
      </w:r>
      <w:r>
        <w:rPr>
          <w:rFonts w:hint="cs"/>
          <w:rtl/>
        </w:rPr>
        <w:t>.</w:t>
      </w:r>
      <w:r w:rsidRPr="00931403">
        <w:rPr>
          <w:rtl/>
        </w:rPr>
        <w:t xml:space="preserve"> وعلى الرغم من أنّهم يمارسون هذا العمل في نطاق حاكمية الإرادة</w:t>
      </w:r>
      <w:r w:rsidRPr="007F5B58">
        <w:rPr>
          <w:rtl/>
        </w:rPr>
        <w:t>،</w:t>
      </w:r>
      <w:r>
        <w:rPr>
          <w:rtl/>
        </w:rPr>
        <w:t xml:space="preserve"> </w:t>
      </w:r>
      <w:r w:rsidRPr="00931403">
        <w:rPr>
          <w:rtl/>
        </w:rPr>
        <w:t>غير أنّ تكرار هذا العمل لا يخلو من لبس</w:t>
      </w:r>
      <w:r w:rsidRPr="007F5B58">
        <w:rPr>
          <w:rtl/>
        </w:rPr>
        <w:t>؛</w:t>
      </w:r>
      <w:r w:rsidRPr="00931403">
        <w:rPr>
          <w:rtl/>
        </w:rPr>
        <w:t xml:space="preserve"> لأنّه أولاً</w:t>
      </w:r>
      <w:r>
        <w:rPr>
          <w:rtl/>
        </w:rPr>
        <w:t xml:space="preserve"> </w:t>
      </w:r>
      <w:r w:rsidRPr="00931403">
        <w:rPr>
          <w:rtl/>
        </w:rPr>
        <w:t>ابتعاد</w:t>
      </w:r>
      <w:r>
        <w:rPr>
          <w:rtl/>
        </w:rPr>
        <w:t>ٌ</w:t>
      </w:r>
      <w:r w:rsidRPr="00931403">
        <w:rPr>
          <w:rtl/>
        </w:rPr>
        <w:t xml:space="preserve"> عن السنّة</w:t>
      </w:r>
      <w:r w:rsidRPr="007F5B58">
        <w:rPr>
          <w:rtl/>
        </w:rPr>
        <w:t>،</w:t>
      </w:r>
      <w:r w:rsidRPr="00931403">
        <w:rPr>
          <w:rtl/>
        </w:rPr>
        <w:t xml:space="preserve"> فالمهر ا</w:t>
      </w:r>
      <w:r>
        <w:rPr>
          <w:rtl/>
        </w:rPr>
        <w:t>لقليل مستحبّ والمهر المرتفع شؤم</w:t>
      </w:r>
      <w:r w:rsidRPr="00815C4C">
        <w:rPr>
          <w:rFonts w:cs="Taher"/>
          <w:vertAlign w:val="superscript"/>
          <w:rtl/>
        </w:rPr>
        <w:t>(</w:t>
      </w:r>
      <w:r w:rsidRPr="00815C4C">
        <w:rPr>
          <w:rFonts w:cs="Taher"/>
          <w:vertAlign w:val="superscript"/>
          <w:rtl/>
        </w:rPr>
        <w:footnoteReference w:id="839"/>
      </w:r>
      <w:r w:rsidRPr="00815C4C">
        <w:rPr>
          <w:rFonts w:cs="Taher"/>
          <w:vertAlign w:val="superscript"/>
          <w:rtl/>
        </w:rPr>
        <w:t>)</w:t>
      </w:r>
      <w:r w:rsidRPr="007F5B58">
        <w:rPr>
          <w:rtl/>
        </w:rPr>
        <w:t>،</w:t>
      </w:r>
      <w:r w:rsidRPr="00931403">
        <w:rPr>
          <w:rtl/>
        </w:rPr>
        <w:t xml:space="preserve"> علاوة على </w:t>
      </w:r>
      <w:r>
        <w:rPr>
          <w:rtl/>
        </w:rPr>
        <w:t>أ</w:t>
      </w:r>
      <w:r w:rsidRPr="00931403">
        <w:rPr>
          <w:rtl/>
        </w:rPr>
        <w:t>نّ النكاح المذكور يؤسّس لسنّة سيئة بالنسبة لسائر الفتيات</w:t>
      </w:r>
      <w:r w:rsidRPr="007F5B58">
        <w:rPr>
          <w:rtl/>
        </w:rPr>
        <w:t>،</w:t>
      </w:r>
      <w:r w:rsidRPr="00931403">
        <w:rPr>
          <w:rtl/>
        </w:rPr>
        <w:t xml:space="preserve"> من خلال محاكاتهنّ ومقايستهنّ لأنفسهنّ مع باقي بنات جنسهنّ</w:t>
      </w:r>
      <w:r w:rsidRPr="00815C4C">
        <w:rPr>
          <w:rFonts w:cs="Taher"/>
          <w:vertAlign w:val="superscript"/>
          <w:rtl/>
        </w:rPr>
        <w:t>(</w:t>
      </w:r>
      <w:r w:rsidRPr="00815C4C">
        <w:rPr>
          <w:rFonts w:cs="Taher"/>
          <w:vertAlign w:val="superscript"/>
          <w:rtl/>
        </w:rPr>
        <w:footnoteReference w:id="840"/>
      </w:r>
      <w:r w:rsidRPr="00815C4C">
        <w:rPr>
          <w:rFonts w:cs="Taher"/>
          <w:vertAlign w:val="superscript"/>
          <w:rtl/>
        </w:rPr>
        <w:t>)</w:t>
      </w:r>
      <w:r w:rsidRPr="007F5B58">
        <w:rPr>
          <w:rtl/>
        </w:rPr>
        <w:t>،</w:t>
      </w:r>
      <w:r w:rsidRPr="00931403">
        <w:rPr>
          <w:rtl/>
        </w:rPr>
        <w:t xml:space="preserve"> حيث </w:t>
      </w:r>
      <w:r>
        <w:rPr>
          <w:rtl/>
        </w:rPr>
        <w:t>إنّ هؤلاء ـ</w:t>
      </w:r>
      <w:r w:rsidRPr="00931403">
        <w:rPr>
          <w:rtl/>
        </w:rPr>
        <w:t xml:space="preserve"> اس</w:t>
      </w:r>
      <w:r>
        <w:rPr>
          <w:rtl/>
        </w:rPr>
        <w:t>تـن</w:t>
      </w:r>
      <w:r w:rsidRPr="00931403">
        <w:rPr>
          <w:rtl/>
        </w:rPr>
        <w:t>اداً إلى الحديث النبوي الشريف</w:t>
      </w:r>
      <w:r>
        <w:rPr>
          <w:rtl/>
        </w:rPr>
        <w:t xml:space="preserve"> ـ</w:t>
      </w:r>
      <w:r w:rsidRPr="00931403">
        <w:rPr>
          <w:rtl/>
        </w:rPr>
        <w:t xml:space="preserve"> </w:t>
      </w:r>
      <w:r>
        <w:rPr>
          <w:rtl/>
        </w:rPr>
        <w:t>ي</w:t>
      </w:r>
      <w:r w:rsidRPr="00931403">
        <w:rPr>
          <w:rtl/>
        </w:rPr>
        <w:t>تحمّلون وزر سنّهم لهذه السنّة ووزر من يعمل بها. ومن الناحية الوضعية أيضاً سوف يكون الأبناء</w:t>
      </w:r>
      <w:r w:rsidRPr="007F5B58">
        <w:rPr>
          <w:rtl/>
        </w:rPr>
        <w:t>،</w:t>
      </w:r>
      <w:r w:rsidRPr="00931403">
        <w:rPr>
          <w:rtl/>
        </w:rPr>
        <w:t xml:space="preserve"> والأجيال القادمة عموماً</w:t>
      </w:r>
      <w:r w:rsidRPr="007F5B58">
        <w:rPr>
          <w:rtl/>
        </w:rPr>
        <w:t>،</w:t>
      </w:r>
      <w:r w:rsidRPr="00931403">
        <w:rPr>
          <w:rtl/>
        </w:rPr>
        <w:t xml:space="preserve"> في معرض هذا الخطر</w:t>
      </w:r>
      <w:r w:rsidRPr="007F5B58">
        <w:rPr>
          <w:rtl/>
        </w:rPr>
        <w:t>،</w:t>
      </w:r>
      <w:r w:rsidRPr="00931403">
        <w:rPr>
          <w:rtl/>
        </w:rPr>
        <w:t xml:space="preserve"> حيث لا يعتبر ذلك نتيجة مطلوبة. أض</w:t>
      </w:r>
      <w:r>
        <w:rPr>
          <w:rFonts w:hint="cs"/>
          <w:rtl/>
        </w:rPr>
        <w:t>ِ</w:t>
      </w:r>
      <w:r w:rsidRPr="00931403">
        <w:rPr>
          <w:rtl/>
        </w:rPr>
        <w:t>ف</w:t>
      </w:r>
      <w:r>
        <w:rPr>
          <w:rFonts w:hint="cs"/>
          <w:rtl/>
        </w:rPr>
        <w:t>ْ</w:t>
      </w:r>
      <w:r w:rsidRPr="00931403">
        <w:rPr>
          <w:rtl/>
        </w:rPr>
        <w:t xml:space="preserve"> إلى ذلك </w:t>
      </w:r>
      <w:r>
        <w:rPr>
          <w:rtl/>
        </w:rPr>
        <w:t>أ</w:t>
      </w:r>
      <w:r w:rsidRPr="00931403">
        <w:rPr>
          <w:rtl/>
        </w:rPr>
        <w:t>نّ العقد المذكور يعدّ من باب السفه</w:t>
      </w:r>
      <w:r w:rsidRPr="007F5B58">
        <w:rPr>
          <w:rtl/>
        </w:rPr>
        <w:t>،</w:t>
      </w:r>
      <w:r w:rsidRPr="00931403">
        <w:rPr>
          <w:rtl/>
        </w:rPr>
        <w:t xml:space="preserve"> وهو ما يستلزم التأمّل والتدبّر.</w:t>
      </w:r>
    </w:p>
    <w:p w:rsidR="0088518C" w:rsidRPr="00931403" w:rsidRDefault="0088518C" w:rsidP="00D063EC">
      <w:pPr>
        <w:pStyle w:val="ac"/>
        <w:spacing w:line="199" w:lineRule="auto"/>
      </w:pPr>
      <w:r>
        <w:rPr>
          <w:rtl/>
        </w:rPr>
        <w:t xml:space="preserve">2ـ </w:t>
      </w:r>
      <w:r w:rsidRPr="00931403">
        <w:rPr>
          <w:rtl/>
        </w:rPr>
        <w:t>من لا يملكون مالاً وثروة كافية</w:t>
      </w:r>
      <w:r w:rsidRPr="007F5B58">
        <w:rPr>
          <w:rtl/>
        </w:rPr>
        <w:t>،</w:t>
      </w:r>
      <w:r w:rsidRPr="00931403">
        <w:rPr>
          <w:rtl/>
        </w:rPr>
        <w:t xml:space="preserve"> إلاّ أنّهم يقبلون تحت وطأة الإيحاءات المتفا</w:t>
      </w:r>
      <w:r>
        <w:rPr>
          <w:rtl/>
        </w:rPr>
        <w:t>ئ</w:t>
      </w:r>
      <w:r w:rsidRPr="00931403">
        <w:rPr>
          <w:rtl/>
        </w:rPr>
        <w:t>لة</w:t>
      </w:r>
      <w:r>
        <w:rPr>
          <w:rFonts w:hint="cs"/>
          <w:rtl/>
        </w:rPr>
        <w:t>.</w:t>
      </w:r>
      <w:r w:rsidRPr="00931403">
        <w:rPr>
          <w:rtl/>
        </w:rPr>
        <w:t xml:space="preserve"> ويمكن تقسيم هؤلاء إلى مجموعتين</w:t>
      </w:r>
      <w:r w:rsidRPr="007F5B58">
        <w:rPr>
          <w:rtl/>
        </w:rPr>
        <w:t>:</w:t>
      </w:r>
    </w:p>
    <w:p w:rsidR="0088518C" w:rsidRPr="00931403" w:rsidRDefault="0088518C" w:rsidP="00D063EC">
      <w:pPr>
        <w:pStyle w:val="ac"/>
        <w:spacing w:line="199" w:lineRule="auto"/>
        <w:rPr>
          <w:rtl/>
        </w:rPr>
      </w:pPr>
      <w:r w:rsidRPr="0034399E">
        <w:rPr>
          <w:b/>
          <w:bCs/>
          <w:rtl/>
        </w:rPr>
        <w:t>المجموعة الأولى</w:t>
      </w:r>
      <w:r w:rsidRPr="007F5B58">
        <w:rPr>
          <w:b/>
          <w:bCs/>
          <w:rtl/>
        </w:rPr>
        <w:t>:</w:t>
      </w:r>
      <w:r w:rsidRPr="00931403">
        <w:rPr>
          <w:rtl/>
        </w:rPr>
        <w:t xml:space="preserve"> التي ستواجه عاجلاً أم آجلاً مشكلة في هذا السياق</w:t>
      </w:r>
      <w:r w:rsidRPr="007F5B58">
        <w:rPr>
          <w:rtl/>
        </w:rPr>
        <w:t>،</w:t>
      </w:r>
      <w:r w:rsidRPr="00931403">
        <w:rPr>
          <w:rtl/>
        </w:rPr>
        <w:t xml:space="preserve"> وسيؤدّي بها ال</w:t>
      </w:r>
      <w:r>
        <w:rPr>
          <w:rtl/>
        </w:rPr>
        <w:t>أم</w:t>
      </w:r>
      <w:r w:rsidRPr="00931403">
        <w:rPr>
          <w:rtl/>
        </w:rPr>
        <w:t xml:space="preserve">ر إلى خلف القضبان بعد تطبيق القوانين بحقّهم. </w:t>
      </w:r>
      <w:r>
        <w:rPr>
          <w:rtl/>
        </w:rPr>
        <w:t>و</w:t>
      </w:r>
      <w:r w:rsidRPr="00931403">
        <w:rPr>
          <w:rtl/>
        </w:rPr>
        <w:t>على الرغم من وجود عدد لا يستهان به من هؤلاء إلاّ أنّه بسبب وعي المجتمع نتجنّب الدخول في حيثيات الموضوع. ولا بدّ لنا أن نعلم أنّ هذه المجموعة تشترك مع المجموعة السابقة في خلق النتائج المذكورة</w:t>
      </w:r>
      <w:r w:rsidRPr="007F5B58">
        <w:rPr>
          <w:rtl/>
        </w:rPr>
        <w:t>،</w:t>
      </w:r>
      <w:r w:rsidRPr="00931403">
        <w:rPr>
          <w:rtl/>
        </w:rPr>
        <w:t xml:space="preserve"> ولو أنّه يمكن أخذ العبر بالتعمّق في مص</w:t>
      </w:r>
      <w:r>
        <w:rPr>
          <w:rtl/>
        </w:rPr>
        <w:t>ي</w:t>
      </w:r>
      <w:r w:rsidRPr="00931403">
        <w:rPr>
          <w:rtl/>
        </w:rPr>
        <w:t>ر هؤلاء.</w:t>
      </w:r>
    </w:p>
    <w:p w:rsidR="0088518C" w:rsidRPr="00931403" w:rsidRDefault="0088518C" w:rsidP="00980084">
      <w:pPr>
        <w:pStyle w:val="ac"/>
        <w:rPr>
          <w:rtl/>
        </w:rPr>
      </w:pPr>
      <w:r w:rsidRPr="0094574A">
        <w:rPr>
          <w:b/>
          <w:bCs/>
          <w:rtl/>
        </w:rPr>
        <w:t>المجموعة الثانية:</w:t>
      </w:r>
      <w:r w:rsidRPr="00931403">
        <w:rPr>
          <w:rtl/>
        </w:rPr>
        <w:t xml:space="preserve"> وتتمثّل في الأكثرية العظمى من المتزوجين</w:t>
      </w:r>
      <w:r w:rsidRPr="007F5B58">
        <w:rPr>
          <w:rtl/>
        </w:rPr>
        <w:t>،</w:t>
      </w:r>
      <w:r w:rsidRPr="00931403">
        <w:rPr>
          <w:rtl/>
        </w:rPr>
        <w:t xml:space="preserve"> وتشكل شريحة قبلت مهراً يفوق طاقاتها المادية</w:t>
      </w:r>
      <w:r w:rsidRPr="007F5B58">
        <w:rPr>
          <w:rtl/>
        </w:rPr>
        <w:t>،</w:t>
      </w:r>
      <w:r w:rsidRPr="00931403">
        <w:rPr>
          <w:rtl/>
        </w:rPr>
        <w:t xml:space="preserve"> وترى أنّها حقّقت هدفها في الزواج المنشود</w:t>
      </w:r>
      <w:r w:rsidRPr="007F5B58">
        <w:rPr>
          <w:rtl/>
        </w:rPr>
        <w:t>،</w:t>
      </w:r>
      <w:r w:rsidRPr="00931403">
        <w:rPr>
          <w:rtl/>
        </w:rPr>
        <w:t xml:space="preserve"> وتواصل حياتها </w:t>
      </w:r>
      <w:r w:rsidRPr="00931403">
        <w:rPr>
          <w:rtl/>
        </w:rPr>
        <w:lastRenderedPageBreak/>
        <w:t>العادية. في حين تظهر حقيقة وباطن الأمر شيئاً آخر. وعليه</w:t>
      </w:r>
      <w:r w:rsidRPr="007F5B58">
        <w:rPr>
          <w:rtl/>
        </w:rPr>
        <w:t>،</w:t>
      </w:r>
      <w:r w:rsidRPr="00931403">
        <w:rPr>
          <w:rtl/>
        </w:rPr>
        <w:t xml:space="preserve"> للاقتراب أكثر من حياة هذه المجموعة</w:t>
      </w:r>
      <w:r w:rsidRPr="007F5B58">
        <w:rPr>
          <w:rtl/>
        </w:rPr>
        <w:t>،</w:t>
      </w:r>
      <w:r w:rsidRPr="00931403">
        <w:rPr>
          <w:rtl/>
        </w:rPr>
        <w:t xml:space="preserve"> وإيضاح المسألة بشكل أفضل</w:t>
      </w:r>
      <w:r w:rsidRPr="007F5B58">
        <w:rPr>
          <w:rtl/>
        </w:rPr>
        <w:t>،</w:t>
      </w:r>
      <w:r w:rsidRPr="00931403">
        <w:rPr>
          <w:rtl/>
        </w:rPr>
        <w:t xml:space="preserve"> فإنّ دراسة وضع هؤلاء يعدّ أمراً ضروريّاً. </w:t>
      </w:r>
      <w:r>
        <w:rPr>
          <w:rtl/>
        </w:rPr>
        <w:t>و</w:t>
      </w:r>
      <w:r w:rsidRPr="00931403">
        <w:rPr>
          <w:rtl/>
        </w:rPr>
        <w:t>بناء على هذا</w:t>
      </w:r>
      <w:r w:rsidRPr="007F5B58">
        <w:rPr>
          <w:rtl/>
        </w:rPr>
        <w:t>،</w:t>
      </w:r>
      <w:r w:rsidRPr="00931403">
        <w:rPr>
          <w:rtl/>
        </w:rPr>
        <w:t xml:space="preserve"> وبعد الأخذ بعين الاعتبار الإشكالات المذكورة آنفاً</w:t>
      </w:r>
      <w:r w:rsidRPr="007F5B58">
        <w:rPr>
          <w:rtl/>
        </w:rPr>
        <w:t>،</w:t>
      </w:r>
      <w:r w:rsidRPr="00931403">
        <w:rPr>
          <w:rtl/>
        </w:rPr>
        <w:t xml:space="preserve"> والدخول إلى الدائرة الضيقة في حياة هذه المجموعة</w:t>
      </w:r>
      <w:r w:rsidRPr="007F5B58">
        <w:rPr>
          <w:rtl/>
        </w:rPr>
        <w:t>،</w:t>
      </w:r>
      <w:r w:rsidRPr="00931403">
        <w:rPr>
          <w:rtl/>
        </w:rPr>
        <w:t xml:space="preserve"> نستعرض عدّة ضوابط </w:t>
      </w:r>
      <w:r>
        <w:rPr>
          <w:rtl/>
        </w:rPr>
        <w:t>يمكن لكلٍّ منها</w:t>
      </w:r>
      <w:r w:rsidRPr="00931403">
        <w:rPr>
          <w:rtl/>
        </w:rPr>
        <w:t xml:space="preserve"> أن تعرض قسماً من طرف معادلة غير متكافئة أحد طرفيها الدخل والطرف الآخر هو المهر موضع تعهّد الأفراد المشار إليهم.</w:t>
      </w:r>
    </w:p>
    <w:p w:rsidR="0088518C" w:rsidRPr="00931403" w:rsidRDefault="0088518C" w:rsidP="00D063EC">
      <w:pPr>
        <w:pStyle w:val="ac"/>
        <w:spacing w:line="206" w:lineRule="auto"/>
        <w:rPr>
          <w:rtl/>
        </w:rPr>
      </w:pPr>
      <w:r w:rsidRPr="00931403">
        <w:rPr>
          <w:rtl/>
        </w:rPr>
        <w:t>لو وضعنا قيمة أكثر المهور الحالية شيوعاً</w:t>
      </w:r>
      <w:r w:rsidRPr="007F5B58">
        <w:rPr>
          <w:rtl/>
        </w:rPr>
        <w:t>،</w:t>
      </w:r>
      <w:r w:rsidRPr="00931403">
        <w:rPr>
          <w:rtl/>
        </w:rPr>
        <w:t xml:space="preserve"> والذي يشكل جزءاً من النفقات التمهيدية للحياة المشتركة</w:t>
      </w:r>
      <w:r w:rsidRPr="007F5B58">
        <w:rPr>
          <w:rtl/>
        </w:rPr>
        <w:t>،</w:t>
      </w:r>
      <w:r w:rsidRPr="00931403">
        <w:rPr>
          <w:rtl/>
        </w:rPr>
        <w:t xml:space="preserve"> في أحد طرفي المعادلة</w:t>
      </w:r>
      <w:r w:rsidRPr="007F5B58">
        <w:rPr>
          <w:rtl/>
        </w:rPr>
        <w:t>،</w:t>
      </w:r>
      <w:r w:rsidRPr="00931403">
        <w:rPr>
          <w:rtl/>
        </w:rPr>
        <w:t xml:space="preserve"> والبالغ مليارين وسبعمائة وأربعة وثلاثين ألف تومان</w:t>
      </w:r>
      <w:r w:rsidRPr="007F5B58">
        <w:rPr>
          <w:rtl/>
        </w:rPr>
        <w:t>،</w:t>
      </w:r>
      <w:r w:rsidRPr="00931403">
        <w:rPr>
          <w:rtl/>
        </w:rPr>
        <w:t xml:space="preserve"> وفي الطرف الآخر من المعادلة الرقم الذي يمثّل دخل الفرد المتعهّد</w:t>
      </w:r>
      <w:r w:rsidRPr="007F5B58">
        <w:rPr>
          <w:rtl/>
        </w:rPr>
        <w:t>،</w:t>
      </w:r>
      <w:r w:rsidRPr="00931403">
        <w:rPr>
          <w:rtl/>
        </w:rPr>
        <w:t xml:space="preserve"> حيث </w:t>
      </w:r>
      <w:r>
        <w:rPr>
          <w:rtl/>
        </w:rPr>
        <w:t>إ</w:t>
      </w:r>
      <w:r w:rsidRPr="00931403">
        <w:rPr>
          <w:rtl/>
        </w:rPr>
        <w:t>نّ الحدّ الأدنى لرواتب موظفي دائرة الضمان الاجتماعي أقلّ من (220000تومان)</w:t>
      </w:r>
      <w:r w:rsidR="00F834C2" w:rsidRPr="00F834C2">
        <w:rPr>
          <w:rFonts w:cs="Taher" w:hint="cs"/>
          <w:vertAlign w:val="superscript"/>
          <w:rtl/>
        </w:rPr>
        <w:t>(</w:t>
      </w:r>
      <w:r w:rsidR="00F834C2" w:rsidRPr="00F834C2">
        <w:rPr>
          <w:rFonts w:cs="Taher"/>
          <w:vertAlign w:val="superscript"/>
          <w:rtl/>
        </w:rPr>
        <w:footnoteReference w:id="841"/>
      </w:r>
      <w:r w:rsidR="00F834C2" w:rsidRPr="00F834C2">
        <w:rPr>
          <w:rFonts w:cs="Taher" w:hint="cs"/>
          <w:vertAlign w:val="superscript"/>
          <w:rtl/>
        </w:rPr>
        <w:t>)</w:t>
      </w:r>
      <w:r w:rsidRPr="00931403">
        <w:rPr>
          <w:rtl/>
        </w:rPr>
        <w:t xml:space="preserve"> شهرياً</w:t>
      </w:r>
      <w:r w:rsidRPr="007F5B58">
        <w:rPr>
          <w:rtl/>
        </w:rPr>
        <w:t>،</w:t>
      </w:r>
      <w:r w:rsidRPr="00931403">
        <w:rPr>
          <w:rtl/>
        </w:rPr>
        <w:t xml:space="preserve"> والحدّ الأعلى للرواتب الشهرية لصغار الموظفين المشمولين بقانون التوظيف الحكومي أقل من (200000تومان). ولو افترضنا أنّ المتوسط العام للرواتب هو (50</w:t>
      </w:r>
      <w:r>
        <w:rPr>
          <w:rtl/>
        </w:rPr>
        <w:t>0000</w:t>
      </w:r>
      <w:r w:rsidRPr="00931403">
        <w:rPr>
          <w:rtl/>
        </w:rPr>
        <w:t>تومان) شهرياً</w:t>
      </w:r>
      <w:r w:rsidRPr="007F5B58">
        <w:rPr>
          <w:rtl/>
        </w:rPr>
        <w:t>،</w:t>
      </w:r>
      <w:r w:rsidRPr="00931403">
        <w:rPr>
          <w:rtl/>
        </w:rPr>
        <w:t xml:space="preserve"> أي ضعفين ونصف الضعف لدخل ذوي الحدّ الأدنى من الرواتب</w:t>
      </w:r>
      <w:r w:rsidRPr="007F5B58">
        <w:rPr>
          <w:rtl/>
        </w:rPr>
        <w:t>،</w:t>
      </w:r>
      <w:r w:rsidRPr="00931403">
        <w:rPr>
          <w:rtl/>
        </w:rPr>
        <w:t xml:space="preserve"> </w:t>
      </w:r>
      <w:r>
        <w:rPr>
          <w:rtl/>
        </w:rPr>
        <w:t>ف</w:t>
      </w:r>
      <w:r w:rsidRPr="00931403">
        <w:rPr>
          <w:rtl/>
        </w:rPr>
        <w:t>سوف نحصل على الجدول التالي</w:t>
      </w:r>
      <w:r w:rsidRPr="007F5B58">
        <w:rPr>
          <w:rtl/>
        </w:rPr>
        <w:t>:</w:t>
      </w:r>
    </w:p>
    <w:p w:rsidR="0088518C" w:rsidRPr="00931403" w:rsidRDefault="0088518C" w:rsidP="00D063EC">
      <w:pPr>
        <w:pStyle w:val="ac"/>
        <w:spacing w:line="206" w:lineRule="auto"/>
        <w:rPr>
          <w:rtl/>
        </w:rPr>
      </w:pPr>
      <w:r w:rsidRPr="00980084">
        <w:rPr>
          <w:rtl/>
        </w:rPr>
        <w:t>عدد مسكوكات المهر</w:t>
      </w:r>
      <w:r w:rsidR="00F834C2">
        <w:t xml:space="preserve"> </w:t>
      </w:r>
      <w:r w:rsidRPr="00980084">
        <w:rPr>
          <w:rFonts w:asciiTheme="majorBidi" w:hAnsiTheme="majorBidi" w:cstheme="majorBidi"/>
          <w:rtl/>
        </w:rPr>
        <w:t>×</w:t>
      </w:r>
      <w:r w:rsidRPr="007F763B">
        <w:rPr>
          <w:rtl/>
        </w:rPr>
        <w:t xml:space="preserve"> ثمن المسكوكة بالتومان = مبلغ المهر</w:t>
      </w:r>
      <w:r w:rsidRPr="007F763B">
        <w:t xml:space="preserve"> </w:t>
      </w:r>
      <w:r>
        <w:rPr>
          <w:rFonts w:hint="cs"/>
          <w:rtl/>
        </w:rPr>
        <w:t>&gt; م</w:t>
      </w:r>
      <w:r w:rsidRPr="007F763B">
        <w:rPr>
          <w:rtl/>
        </w:rPr>
        <w:t xml:space="preserve">توسط الراتب (بالتومان) </w:t>
      </w:r>
      <w:r w:rsidRPr="00980084">
        <w:rPr>
          <w:rFonts w:asciiTheme="majorBidi" w:hAnsiTheme="majorBidi" w:cstheme="majorBidi"/>
          <w:rtl/>
        </w:rPr>
        <w:t>×</w:t>
      </w:r>
      <w:r w:rsidRPr="007F763B">
        <w:rPr>
          <w:rtl/>
        </w:rPr>
        <w:t xml:space="preserve"> الحد الأعلى لأشهر العزوبية = مجموع</w:t>
      </w:r>
      <w:r w:rsidRPr="00931403">
        <w:rPr>
          <w:rtl/>
        </w:rPr>
        <w:t xml:space="preserve"> المبلغ المستحق دفعه</w:t>
      </w:r>
      <w:r>
        <w:rPr>
          <w:rFonts w:hint="cs"/>
          <w:rtl/>
        </w:rPr>
        <w:t>.</w:t>
      </w:r>
    </w:p>
    <w:p w:rsidR="0088518C" w:rsidRPr="00931403" w:rsidRDefault="0088518C" w:rsidP="00D063EC">
      <w:pPr>
        <w:pStyle w:val="ac"/>
        <w:spacing w:line="206" w:lineRule="auto"/>
        <w:rPr>
          <w:rtl/>
        </w:rPr>
      </w:pPr>
      <w:r>
        <w:rPr>
          <w:rFonts w:hint="cs"/>
          <w:rtl/>
        </w:rPr>
        <w:t xml:space="preserve">وبالأرقام: </w:t>
      </w:r>
      <w:r w:rsidRPr="007F763B">
        <w:rPr>
          <w:rtl/>
        </w:rPr>
        <w:t xml:space="preserve">(1387 </w:t>
      </w:r>
      <w:r>
        <w:rPr>
          <w:rtl/>
        </w:rPr>
        <w:t>ـ</w:t>
      </w:r>
      <w:r w:rsidRPr="007F763B">
        <w:rPr>
          <w:rtl/>
        </w:rPr>
        <w:t xml:space="preserve"> 20 سنة) </w:t>
      </w:r>
      <w:r w:rsidRPr="00980084">
        <w:rPr>
          <w:rFonts w:asciiTheme="majorBidi" w:hAnsiTheme="majorBidi" w:cstheme="majorBidi"/>
          <w:rtl/>
        </w:rPr>
        <w:t>×</w:t>
      </w:r>
      <w:r w:rsidRPr="007F763B">
        <w:rPr>
          <w:rtl/>
        </w:rPr>
        <w:t xml:space="preserve"> 200000تومان = 2734000000 </w:t>
      </w:r>
      <w:r>
        <w:rPr>
          <w:rFonts w:hint="cs"/>
          <w:rtl/>
        </w:rPr>
        <w:t>&gt;</w:t>
      </w:r>
      <w:r w:rsidRPr="007F763B">
        <w:rPr>
          <w:rtl/>
        </w:rPr>
        <w:t xml:space="preserve"> 500000 </w:t>
      </w:r>
      <w:r w:rsidRPr="00980084">
        <w:rPr>
          <w:rFonts w:asciiTheme="majorBidi" w:hAnsiTheme="majorBidi" w:cstheme="majorBidi"/>
          <w:rtl/>
        </w:rPr>
        <w:t>×</w:t>
      </w:r>
      <w:r>
        <w:rPr>
          <w:rFonts w:hint="cs"/>
          <w:rtl/>
        </w:rPr>
        <w:t xml:space="preserve"> </w:t>
      </w:r>
      <w:r w:rsidRPr="007F763B">
        <w:rPr>
          <w:rtl/>
        </w:rPr>
        <w:t xml:space="preserve">12 </w:t>
      </w:r>
      <w:r w:rsidRPr="00980084">
        <w:rPr>
          <w:rFonts w:asciiTheme="majorBidi" w:hAnsiTheme="majorBidi" w:cstheme="majorBidi"/>
          <w:rtl/>
        </w:rPr>
        <w:t>×</w:t>
      </w:r>
      <w:r>
        <w:rPr>
          <w:rFonts w:ascii="Times New Roman" w:hAnsi="Times New Roman" w:cs="Times New Roman" w:hint="cs"/>
          <w:rtl/>
        </w:rPr>
        <w:t> </w:t>
      </w:r>
      <w:r w:rsidRPr="007F763B">
        <w:rPr>
          <w:rtl/>
        </w:rPr>
        <w:t>30 = 180000000</w:t>
      </w:r>
      <w:r>
        <w:rPr>
          <w:rFonts w:hint="cs"/>
          <w:rtl/>
        </w:rPr>
        <w:t>.</w:t>
      </w:r>
    </w:p>
    <w:p w:rsidR="0088518C" w:rsidRPr="00931403" w:rsidRDefault="0088518C" w:rsidP="00D063EC">
      <w:pPr>
        <w:pStyle w:val="ac"/>
        <w:spacing w:line="206" w:lineRule="auto"/>
        <w:rPr>
          <w:rtl/>
        </w:rPr>
      </w:pPr>
      <w:r w:rsidRPr="00931403">
        <w:rPr>
          <w:rtl/>
        </w:rPr>
        <w:t>هذا الجدول غير متكافئ بالقدر الذي تضيع فيه كل الحياة</w:t>
      </w:r>
      <w:r w:rsidRPr="007F5B58">
        <w:rPr>
          <w:rtl/>
        </w:rPr>
        <w:t>،</w:t>
      </w:r>
      <w:r w:rsidRPr="00931403">
        <w:rPr>
          <w:rtl/>
        </w:rPr>
        <w:t xml:space="preserve"> ومن الطبيعي أنّ أيّ</w:t>
      </w:r>
      <w:r>
        <w:rPr>
          <w:rtl/>
        </w:rPr>
        <w:t>ة</w:t>
      </w:r>
      <w:r w:rsidRPr="00931403">
        <w:rPr>
          <w:rtl/>
        </w:rPr>
        <w:t xml:space="preserve"> حياة متواضعة شائعة يمكنها أن تستهلك جميع مبلغ الدخل</w:t>
      </w:r>
      <w:r w:rsidRPr="007F5B58">
        <w:rPr>
          <w:rtl/>
        </w:rPr>
        <w:t>،</w:t>
      </w:r>
      <w:r w:rsidRPr="00931403">
        <w:rPr>
          <w:rtl/>
        </w:rPr>
        <w:t xml:space="preserve"> وأن تجعل معدل الأمل في تسديد المهر صفراً.</w:t>
      </w:r>
    </w:p>
    <w:p w:rsidR="0088518C" w:rsidRPr="00931403" w:rsidRDefault="0088518C" w:rsidP="00980084">
      <w:pPr>
        <w:pStyle w:val="ac"/>
        <w:rPr>
          <w:rtl/>
        </w:rPr>
      </w:pPr>
      <w:r w:rsidRPr="00931403">
        <w:rPr>
          <w:rtl/>
        </w:rPr>
        <w:t xml:space="preserve">إنّ عدم منطقية التعهّد المذكور يمكن إثباتها أيضاً عن طريق عرض الزمان اللازم </w:t>
      </w:r>
      <w:r w:rsidRPr="00931403">
        <w:rPr>
          <w:rtl/>
        </w:rPr>
        <w:lastRenderedPageBreak/>
        <w:t>لنيل استحقاق مبلغ المهر</w:t>
      </w:r>
      <w:r w:rsidRPr="007F5B58">
        <w:rPr>
          <w:rtl/>
        </w:rPr>
        <w:t>،</w:t>
      </w:r>
      <w:r w:rsidRPr="00931403">
        <w:rPr>
          <w:rtl/>
        </w:rPr>
        <w:t xml:space="preserve"> لأنّه لأجل تحقّق مثل هذا الاستحقاق يلزم قضاء وقت </w:t>
      </w:r>
      <w:r>
        <w:rPr>
          <w:rtl/>
        </w:rPr>
        <w:t>يعادل</w:t>
      </w:r>
      <w:r w:rsidRPr="007F5B58">
        <w:rPr>
          <w:rtl/>
        </w:rPr>
        <w:t>:</w:t>
      </w:r>
    </w:p>
    <w:p w:rsidR="0088518C" w:rsidRPr="00931403" w:rsidRDefault="0088518C" w:rsidP="00D063EC">
      <w:pPr>
        <w:pStyle w:val="ac"/>
        <w:spacing w:line="206" w:lineRule="auto"/>
        <w:rPr>
          <w:rtl/>
        </w:rPr>
      </w:pPr>
      <w:r w:rsidRPr="007F763B">
        <w:rPr>
          <w:rtl/>
        </w:rPr>
        <w:t xml:space="preserve">(12 </w:t>
      </w:r>
      <w:r w:rsidRPr="00980084">
        <w:rPr>
          <w:rFonts w:asciiTheme="majorBidi" w:hAnsiTheme="majorBidi" w:cstheme="majorBidi"/>
          <w:rtl/>
        </w:rPr>
        <w:t>×</w:t>
      </w:r>
      <w:r>
        <w:rPr>
          <w:rFonts w:hint="cs"/>
          <w:rtl/>
        </w:rPr>
        <w:t xml:space="preserve"> </w:t>
      </w:r>
      <w:r w:rsidRPr="007F763B">
        <w:rPr>
          <w:rtl/>
        </w:rPr>
        <w:t xml:space="preserve">500000 </w:t>
      </w:r>
      <w:r w:rsidRPr="00980084">
        <w:rPr>
          <w:rFonts w:asciiTheme="majorBidi" w:hAnsiTheme="majorBidi" w:cstheme="majorBidi"/>
          <w:rtl/>
        </w:rPr>
        <w:t>÷</w:t>
      </w:r>
      <w:r w:rsidRPr="007F763B">
        <w:rPr>
          <w:rtl/>
        </w:rPr>
        <w:t xml:space="preserve"> 2724000000) أكثر من (455) سنة</w:t>
      </w:r>
      <w:r w:rsidRPr="007F5B58">
        <w:rPr>
          <w:rtl/>
        </w:rPr>
        <w:t>،</w:t>
      </w:r>
      <w:r w:rsidRPr="007F763B">
        <w:rPr>
          <w:rtl/>
        </w:rPr>
        <w:t xml:space="preserve"> حيث يمثل هذا الرقم بحساب العمر قبل الزواج</w:t>
      </w:r>
      <w:r w:rsidRPr="007F5B58">
        <w:rPr>
          <w:rtl/>
        </w:rPr>
        <w:t>،</w:t>
      </w:r>
      <w:r w:rsidRPr="007F763B">
        <w:rPr>
          <w:rtl/>
        </w:rPr>
        <w:t xml:space="preserve"> أكثر من مجموع </w:t>
      </w:r>
      <w:r w:rsidRPr="00931403">
        <w:rPr>
          <w:rtl/>
        </w:rPr>
        <w:t>الأمل بالحياة (6</w:t>
      </w:r>
      <w:r>
        <w:rPr>
          <w:rtl/>
        </w:rPr>
        <w:t xml:space="preserve"> </w:t>
      </w:r>
      <w:r w:rsidRPr="00931403">
        <w:rPr>
          <w:rtl/>
        </w:rPr>
        <w:t>=</w:t>
      </w:r>
      <w:r>
        <w:rPr>
          <w:rtl/>
        </w:rPr>
        <w:t xml:space="preserve"> </w:t>
      </w:r>
      <w:r w:rsidRPr="00931403">
        <w:rPr>
          <w:rtl/>
        </w:rPr>
        <w:t>70</w:t>
      </w:r>
      <w:r>
        <w:rPr>
          <w:rtl/>
        </w:rPr>
        <w:t xml:space="preserve"> </w:t>
      </w:r>
      <w:r w:rsidRPr="00980084">
        <w:rPr>
          <w:rFonts w:asciiTheme="majorBidi" w:hAnsiTheme="majorBidi" w:cstheme="majorBidi"/>
          <w:rtl/>
        </w:rPr>
        <w:t>÷</w:t>
      </w:r>
      <w:r>
        <w:rPr>
          <w:rtl/>
        </w:rPr>
        <w:t xml:space="preserve"> </w:t>
      </w:r>
      <w:r w:rsidRPr="00931403">
        <w:rPr>
          <w:rtl/>
        </w:rPr>
        <w:t>455) لسبعة أجيال</w:t>
      </w:r>
      <w:r w:rsidRPr="007F5B58">
        <w:rPr>
          <w:rtl/>
        </w:rPr>
        <w:t>،</w:t>
      </w:r>
      <w:r w:rsidRPr="00931403">
        <w:rPr>
          <w:rtl/>
        </w:rPr>
        <w:t xml:space="preserve"> ولا يتوقّع أيّ إنسان تحقّق ذلك.</w:t>
      </w:r>
    </w:p>
    <w:p w:rsidR="0088518C" w:rsidRPr="00931403" w:rsidRDefault="0088518C" w:rsidP="00D063EC">
      <w:pPr>
        <w:pStyle w:val="ac"/>
        <w:spacing w:line="206" w:lineRule="auto"/>
        <w:rPr>
          <w:rtl/>
        </w:rPr>
      </w:pPr>
      <w:r>
        <w:rPr>
          <w:rtl/>
        </w:rPr>
        <w:t>و</w:t>
      </w:r>
      <w:r w:rsidRPr="00931403">
        <w:rPr>
          <w:rtl/>
        </w:rPr>
        <w:t>ثمّة حقيقة تؤخذ بنظر الاعتبار</w:t>
      </w:r>
      <w:r w:rsidRPr="007F5B58">
        <w:rPr>
          <w:rtl/>
        </w:rPr>
        <w:t>،</w:t>
      </w:r>
      <w:r w:rsidRPr="00931403">
        <w:rPr>
          <w:rtl/>
        </w:rPr>
        <w:t xml:space="preserve"> وهي أنّه يضاف سنوياً مبلغ إلى رواتب الموظفين مقدار تضخّم هذه الرواتب</w:t>
      </w:r>
      <w:r w:rsidRPr="007F5B58">
        <w:rPr>
          <w:rtl/>
        </w:rPr>
        <w:t>،</w:t>
      </w:r>
      <w:r w:rsidRPr="00931403">
        <w:rPr>
          <w:rtl/>
        </w:rPr>
        <w:t xml:space="preserve"> إلاّ أنّ التضخّم يضاف تلقائياً إلى مبلغ المهر الذي هو من الذهب</w:t>
      </w:r>
      <w:r w:rsidRPr="007F5B58">
        <w:rPr>
          <w:rtl/>
        </w:rPr>
        <w:t>،</w:t>
      </w:r>
      <w:r w:rsidRPr="00931403">
        <w:rPr>
          <w:rtl/>
        </w:rPr>
        <w:t xml:space="preserve"> وإذا لم يكن ذهباً تطبّق المذكرة الإيضاحية للمادة (1082) من القانون المدني التي </w:t>
      </w:r>
      <w:r>
        <w:rPr>
          <w:rtl/>
        </w:rPr>
        <w:t>تـن</w:t>
      </w:r>
      <w:r w:rsidRPr="00931403">
        <w:rPr>
          <w:rtl/>
        </w:rPr>
        <w:t>صّ على</w:t>
      </w:r>
      <w:r w:rsidRPr="007F5B58">
        <w:rPr>
          <w:rtl/>
        </w:rPr>
        <w:t>:</w:t>
      </w:r>
      <w:r w:rsidRPr="00931403">
        <w:rPr>
          <w:rtl/>
        </w:rPr>
        <w:t xml:space="preserve"> «لو كان المهر نقداً متداولاً فإنّه سوف يُحسب ويدفع م</w:t>
      </w:r>
      <w:r>
        <w:rPr>
          <w:rtl/>
        </w:rPr>
        <w:t>تـن</w:t>
      </w:r>
      <w:r w:rsidRPr="00931403">
        <w:rPr>
          <w:rtl/>
        </w:rPr>
        <w:t xml:space="preserve">اسباً مع تغيّر القيمة السنوي في زمان التسديد بالنسبة لسنة </w:t>
      </w:r>
      <w:r>
        <w:rPr>
          <w:rtl/>
        </w:rPr>
        <w:t>تـن</w:t>
      </w:r>
      <w:r w:rsidRPr="00931403">
        <w:rPr>
          <w:rtl/>
        </w:rPr>
        <w:t>فيذ العقد الذي يحدده البنك المركزي في الجمهورية الإسلامية الإيرانية</w:t>
      </w:r>
      <w:r w:rsidRPr="007F5B58">
        <w:rPr>
          <w:rtl/>
        </w:rPr>
        <w:t>،</w:t>
      </w:r>
      <w:r w:rsidRPr="00931403">
        <w:rPr>
          <w:rtl/>
        </w:rPr>
        <w:t xml:space="preserve"> إلاّ أن يكون الزوجان قد تراضيا على نحو آخر في زمان </w:t>
      </w:r>
      <w:r>
        <w:rPr>
          <w:rtl/>
        </w:rPr>
        <w:t>تـن</w:t>
      </w:r>
      <w:r w:rsidRPr="00931403">
        <w:rPr>
          <w:rtl/>
        </w:rPr>
        <w:t>فيذ العقد...».</w:t>
      </w:r>
    </w:p>
    <w:p w:rsidR="0088518C" w:rsidRDefault="0088518C" w:rsidP="00D063EC">
      <w:pPr>
        <w:pStyle w:val="ac"/>
        <w:spacing w:line="206" w:lineRule="auto"/>
        <w:rPr>
          <w:rtl/>
        </w:rPr>
      </w:pPr>
      <w:r w:rsidRPr="00931403">
        <w:rPr>
          <w:rtl/>
        </w:rPr>
        <w:t xml:space="preserve">من هذا المنطلق يجب الإذعان أنّ </w:t>
      </w:r>
      <w:r>
        <w:rPr>
          <w:rtl/>
        </w:rPr>
        <w:t>المجموعة الأخيرة</w:t>
      </w:r>
      <w:r>
        <w:rPr>
          <w:rFonts w:hint="cs"/>
          <w:rtl/>
        </w:rPr>
        <w:t>،</w:t>
      </w:r>
      <w:r>
        <w:rPr>
          <w:rtl/>
        </w:rPr>
        <w:t xml:space="preserve"> على الرغم من أنه يمكن</w:t>
      </w:r>
      <w:r w:rsidRPr="00931403">
        <w:rPr>
          <w:rtl/>
        </w:rPr>
        <w:t xml:space="preserve"> أن لا تدخل </w:t>
      </w:r>
      <w:r>
        <w:rPr>
          <w:rtl/>
        </w:rPr>
        <w:t>ـ</w:t>
      </w:r>
      <w:r w:rsidRPr="00931403">
        <w:rPr>
          <w:rtl/>
        </w:rPr>
        <w:t xml:space="preserve"> إلى آخر العمر</w:t>
      </w:r>
      <w:r>
        <w:rPr>
          <w:rtl/>
        </w:rPr>
        <w:t xml:space="preserve"> ـ</w:t>
      </w:r>
      <w:r w:rsidRPr="00931403">
        <w:rPr>
          <w:rtl/>
        </w:rPr>
        <w:t xml:space="preserve"> السجن</w:t>
      </w:r>
      <w:r w:rsidRPr="007F5B58">
        <w:rPr>
          <w:rtl/>
        </w:rPr>
        <w:t>؛</w:t>
      </w:r>
      <w:r w:rsidRPr="00931403">
        <w:rPr>
          <w:rtl/>
        </w:rPr>
        <w:t xml:space="preserve"> بسبب عدم قدرتها على دفع المهر</w:t>
      </w:r>
      <w:r w:rsidRPr="007F5B58">
        <w:rPr>
          <w:rtl/>
        </w:rPr>
        <w:t>،</w:t>
      </w:r>
      <w:r w:rsidRPr="00931403">
        <w:rPr>
          <w:rtl/>
        </w:rPr>
        <w:t xml:space="preserve"> وأن تواصل حياتها المشتركة</w:t>
      </w:r>
      <w:r w:rsidRPr="007F5B58">
        <w:rPr>
          <w:rtl/>
        </w:rPr>
        <w:t>؛</w:t>
      </w:r>
      <w:r w:rsidRPr="00931403">
        <w:rPr>
          <w:rtl/>
        </w:rPr>
        <w:t xml:space="preserve"> إلاّ أنّها ستكون فاقدة للملكية</w:t>
      </w:r>
      <w:r w:rsidRPr="007F5B58">
        <w:rPr>
          <w:rtl/>
        </w:rPr>
        <w:t>،</w:t>
      </w:r>
      <w:r w:rsidRPr="00931403">
        <w:rPr>
          <w:rtl/>
        </w:rPr>
        <w:t xml:space="preserve"> بالمعنى العرفي لها</w:t>
      </w:r>
      <w:r w:rsidRPr="00815C4C">
        <w:rPr>
          <w:rFonts w:cs="Taher"/>
          <w:vertAlign w:val="superscript"/>
          <w:rtl/>
        </w:rPr>
        <w:t>(</w:t>
      </w:r>
      <w:r w:rsidRPr="00815C4C">
        <w:rPr>
          <w:rFonts w:cs="Taher"/>
          <w:vertAlign w:val="superscript"/>
          <w:rtl/>
        </w:rPr>
        <w:footnoteReference w:id="842"/>
      </w:r>
      <w:r w:rsidRPr="00815C4C">
        <w:rPr>
          <w:rFonts w:cs="Taher"/>
          <w:vertAlign w:val="superscript"/>
          <w:rtl/>
        </w:rPr>
        <w:t>)</w:t>
      </w:r>
      <w:r w:rsidRPr="007F5B58">
        <w:rPr>
          <w:rtl/>
        </w:rPr>
        <w:t>،</w:t>
      </w:r>
      <w:r>
        <w:rPr>
          <w:rtl/>
        </w:rPr>
        <w:t xml:space="preserve"> </w:t>
      </w:r>
      <w:r w:rsidRPr="00931403">
        <w:rPr>
          <w:rtl/>
        </w:rPr>
        <w:t>بل أنّه ينطبق عليها حيازتها لملكية سلبيّة</w:t>
      </w:r>
      <w:r w:rsidRPr="007F5B58">
        <w:rPr>
          <w:rtl/>
        </w:rPr>
        <w:t>،</w:t>
      </w:r>
      <w:r w:rsidRPr="00931403">
        <w:rPr>
          <w:rtl/>
        </w:rPr>
        <w:t xml:space="preserve"> بحيث </w:t>
      </w:r>
      <w:r>
        <w:rPr>
          <w:rtl/>
        </w:rPr>
        <w:t>إ</w:t>
      </w:r>
      <w:r w:rsidRPr="00931403">
        <w:rPr>
          <w:rtl/>
        </w:rPr>
        <w:t>نّ ثمن الكفن الذي سيلفّون به وهم بين يدي الله سيكون من مال الآخرين</w:t>
      </w:r>
      <w:r w:rsidRPr="007F5B58">
        <w:rPr>
          <w:rtl/>
        </w:rPr>
        <w:t>،</w:t>
      </w:r>
      <w:r w:rsidRPr="00931403">
        <w:rPr>
          <w:rtl/>
        </w:rPr>
        <w:t xml:space="preserve"> طبعاً إذا أجازوا له ذلك و... كما أنّ قسماً من هؤلاء يقضون عمرهم تحت ضغوط زوجاتهم غير الصائبة</w:t>
      </w:r>
      <w:r>
        <w:rPr>
          <w:rtl/>
        </w:rPr>
        <w:t>.</w:t>
      </w:r>
      <w:r w:rsidRPr="00931403">
        <w:rPr>
          <w:rtl/>
        </w:rPr>
        <w:t xml:space="preserve"> وهم</w:t>
      </w:r>
      <w:r>
        <w:rPr>
          <w:rFonts w:hint="cs"/>
          <w:rtl/>
        </w:rPr>
        <w:t>،</w:t>
      </w:r>
      <w:r w:rsidRPr="00931403">
        <w:rPr>
          <w:rtl/>
        </w:rPr>
        <w:t xml:space="preserve"> وإنْ </w:t>
      </w:r>
      <w:r>
        <w:rPr>
          <w:rtl/>
        </w:rPr>
        <w:t xml:space="preserve">كانوا </w:t>
      </w:r>
      <w:r w:rsidRPr="00931403">
        <w:rPr>
          <w:rtl/>
        </w:rPr>
        <w:t>لا يدخلون السجن</w:t>
      </w:r>
      <w:r w:rsidRPr="007F5B58">
        <w:rPr>
          <w:rtl/>
        </w:rPr>
        <w:t>؛</w:t>
      </w:r>
      <w:r w:rsidRPr="00931403">
        <w:rPr>
          <w:rtl/>
        </w:rPr>
        <w:t xml:space="preserve"> للسبب المتقدّم</w:t>
      </w:r>
      <w:r w:rsidRPr="007F5B58">
        <w:rPr>
          <w:rtl/>
        </w:rPr>
        <w:t>،</w:t>
      </w:r>
      <w:r w:rsidRPr="00931403">
        <w:rPr>
          <w:rtl/>
        </w:rPr>
        <w:t xml:space="preserve"> إلاّ أنّهم في شجارات عائلية ومشاحنات مستمرّة تهدّد أركان أسرهم</w:t>
      </w:r>
      <w:r>
        <w:rPr>
          <w:rFonts w:hint="cs"/>
          <w:rtl/>
        </w:rPr>
        <w:t>،</w:t>
      </w:r>
      <w:r w:rsidRPr="00931403">
        <w:rPr>
          <w:rtl/>
        </w:rPr>
        <w:t xml:space="preserve"> حيث لا يمكن إنكار الآثار السيئة لذلك. </w:t>
      </w:r>
      <w:r>
        <w:rPr>
          <w:rtl/>
        </w:rPr>
        <w:t>و</w:t>
      </w:r>
      <w:r w:rsidRPr="00931403">
        <w:rPr>
          <w:rtl/>
        </w:rPr>
        <w:t xml:space="preserve">هناك مجموعة أيضاً </w:t>
      </w:r>
      <w:r>
        <w:rPr>
          <w:rtl/>
        </w:rPr>
        <w:t>يمكن</w:t>
      </w:r>
      <w:r w:rsidRPr="00931403">
        <w:rPr>
          <w:rtl/>
        </w:rPr>
        <w:t xml:space="preserve"> الإشارة إليها تحت مسمّى ذوي الأعمال الحرّة حيث يتمكّن هؤلاء على مدى حياتهم من جمع مبلغ المهر</w:t>
      </w:r>
      <w:r w:rsidRPr="007F5B58">
        <w:rPr>
          <w:rtl/>
        </w:rPr>
        <w:t>،</w:t>
      </w:r>
      <w:r w:rsidRPr="00931403">
        <w:rPr>
          <w:rtl/>
        </w:rPr>
        <w:t xml:space="preserve"> ويمكننا أن نتسامح في إلحاقهم بالمجموعة الأولى. </w:t>
      </w:r>
    </w:p>
    <w:p w:rsidR="0088518C" w:rsidRPr="00931403" w:rsidRDefault="0088518C" w:rsidP="00980084">
      <w:pPr>
        <w:pStyle w:val="ac"/>
        <w:rPr>
          <w:rtl/>
        </w:rPr>
      </w:pPr>
      <w:r w:rsidRPr="00931403">
        <w:rPr>
          <w:rtl/>
        </w:rPr>
        <w:lastRenderedPageBreak/>
        <w:t>والخلاصة هي</w:t>
      </w:r>
      <w:r w:rsidRPr="007F5B58">
        <w:rPr>
          <w:rtl/>
        </w:rPr>
        <w:t>:</w:t>
      </w:r>
      <w:r w:rsidRPr="00931403">
        <w:rPr>
          <w:rtl/>
        </w:rPr>
        <w:t xml:space="preserve"> بما أنّ آثار المهور المرتفعة أكثر من أن يكون بالإمكان تسطيرها جميعاً بالقلم لذا فإنّنا نكتفي بهذا القدر منها كأمثلة.</w:t>
      </w:r>
    </w:p>
    <w:p w:rsidR="0088518C" w:rsidRPr="00D063EC" w:rsidRDefault="0088518C" w:rsidP="00D063EC">
      <w:pPr>
        <w:pStyle w:val="afffffc"/>
        <w:rPr>
          <w:sz w:val="16"/>
          <w:szCs w:val="14"/>
          <w:rtl/>
        </w:rPr>
      </w:pPr>
    </w:p>
    <w:p w:rsidR="0088518C" w:rsidRPr="00931403" w:rsidRDefault="0088518C" w:rsidP="00980084">
      <w:pPr>
        <w:pStyle w:val="1"/>
        <w:rPr>
          <w:szCs w:val="30"/>
          <w:rtl/>
        </w:rPr>
      </w:pPr>
      <w:bookmarkStart w:id="450" w:name="_Toc275128160"/>
      <w:r w:rsidRPr="00931403">
        <w:rPr>
          <w:rtl/>
        </w:rPr>
        <w:t>الحكم التكليفي للمهور المرتفعة</w:t>
      </w:r>
      <w:bookmarkEnd w:id="450"/>
    </w:p>
    <w:p w:rsidR="0088518C" w:rsidRPr="00931403" w:rsidRDefault="0088518C" w:rsidP="00D063EC">
      <w:pPr>
        <w:pStyle w:val="ac"/>
        <w:rPr>
          <w:rtl/>
        </w:rPr>
      </w:pPr>
      <w:r w:rsidRPr="00931403">
        <w:rPr>
          <w:rtl/>
        </w:rPr>
        <w:t>النقطة الهامة التي ينبغي الالتفات إليها هنا هي أنّ البحث لا يتركّز على قلّة أو كثرة المهر بشكله المتقدّم</w:t>
      </w:r>
      <w:r w:rsidRPr="007F5B58">
        <w:rPr>
          <w:rtl/>
        </w:rPr>
        <w:t>،</w:t>
      </w:r>
      <w:r w:rsidRPr="00931403">
        <w:rPr>
          <w:rtl/>
        </w:rPr>
        <w:t xml:space="preserve"> حتى نلجأ إلى الاستدلالات أو</w:t>
      </w:r>
      <w:r>
        <w:rPr>
          <w:rtl/>
        </w:rPr>
        <w:t xml:space="preserve"> </w:t>
      </w:r>
      <w:r w:rsidRPr="00931403">
        <w:rPr>
          <w:rtl/>
        </w:rPr>
        <w:t>المس</w:t>
      </w:r>
      <w:r>
        <w:rPr>
          <w:rtl/>
        </w:rPr>
        <w:t>تـن</w:t>
      </w:r>
      <w:r w:rsidRPr="00931403">
        <w:rPr>
          <w:rtl/>
        </w:rPr>
        <w:t>دات السابقة. إنّ الاهتمام في هذه المقالة يدور حول الوضع الراهن</w:t>
      </w:r>
      <w:r w:rsidRPr="007F5B58">
        <w:rPr>
          <w:rtl/>
        </w:rPr>
        <w:t>،</w:t>
      </w:r>
      <w:r w:rsidRPr="00931403">
        <w:rPr>
          <w:rtl/>
        </w:rPr>
        <w:t xml:space="preserve"> حيث </w:t>
      </w:r>
      <w:r>
        <w:rPr>
          <w:rtl/>
        </w:rPr>
        <w:t>إ</w:t>
      </w:r>
      <w:r w:rsidRPr="00931403">
        <w:rPr>
          <w:rtl/>
        </w:rPr>
        <w:t>نّه</w:t>
      </w:r>
      <w:r w:rsidRPr="007F5B58">
        <w:rPr>
          <w:rtl/>
        </w:rPr>
        <w:t>؛</w:t>
      </w:r>
      <w:r w:rsidRPr="00931403">
        <w:rPr>
          <w:rtl/>
        </w:rPr>
        <w:t xml:space="preserve"> بسبب الارتفاع غير المنضبط للمهور</w:t>
      </w:r>
      <w:r w:rsidRPr="007F5B58">
        <w:rPr>
          <w:rtl/>
        </w:rPr>
        <w:t>،</w:t>
      </w:r>
      <w:r w:rsidRPr="00931403">
        <w:rPr>
          <w:rtl/>
        </w:rPr>
        <w:t xml:space="preserve"> وصل إلى حدّ يتوقّع معه أن يُقضى على النكاح</w:t>
      </w:r>
      <w:r w:rsidRPr="007F5B58">
        <w:rPr>
          <w:rtl/>
        </w:rPr>
        <w:t>،</w:t>
      </w:r>
      <w:r w:rsidRPr="00931403">
        <w:rPr>
          <w:rtl/>
        </w:rPr>
        <w:t xml:space="preserve"> وأن يتحوّل إلى شيء وجوده مستلزم لعدمه</w:t>
      </w:r>
      <w:r w:rsidRPr="00815C4C">
        <w:rPr>
          <w:rFonts w:cs="Taher"/>
          <w:vertAlign w:val="superscript"/>
          <w:rtl/>
        </w:rPr>
        <w:t>(</w:t>
      </w:r>
      <w:r w:rsidRPr="00815C4C">
        <w:rPr>
          <w:rFonts w:cs="Taher"/>
          <w:vertAlign w:val="superscript"/>
          <w:rtl/>
        </w:rPr>
        <w:footnoteReference w:id="843"/>
      </w:r>
      <w:r w:rsidRPr="00815C4C">
        <w:rPr>
          <w:rFonts w:cs="Taher"/>
          <w:vertAlign w:val="superscript"/>
          <w:rtl/>
        </w:rPr>
        <w:t>)</w:t>
      </w:r>
      <w:r w:rsidRPr="007F5B58">
        <w:rPr>
          <w:rtl/>
        </w:rPr>
        <w:t>؛</w:t>
      </w:r>
      <w:r w:rsidRPr="00931403">
        <w:rPr>
          <w:rtl/>
        </w:rPr>
        <w:t xml:space="preserve"> لأنّه حين لا يقع النكاح فإنّ المهر الذي هو تابع للنكاح يفقد معناه</w:t>
      </w:r>
      <w:r w:rsidRPr="007F5B58">
        <w:rPr>
          <w:rtl/>
        </w:rPr>
        <w:t>،</w:t>
      </w:r>
      <w:r w:rsidRPr="00931403">
        <w:rPr>
          <w:rtl/>
        </w:rPr>
        <w:t xml:space="preserve"> ولا يؤيّد أي عقل مثل هذه الظاهرة. كما </w:t>
      </w:r>
      <w:r>
        <w:rPr>
          <w:rtl/>
        </w:rPr>
        <w:t xml:space="preserve">لابد من معالجة </w:t>
      </w:r>
      <w:r w:rsidRPr="00931403">
        <w:rPr>
          <w:rtl/>
        </w:rPr>
        <w:t>العضو المصاب الذي يمكن انتقال إص</w:t>
      </w:r>
      <w:r>
        <w:rPr>
          <w:rtl/>
        </w:rPr>
        <w:t xml:space="preserve">ابته إلى سائر أعضاء جسم الإنسان. </w:t>
      </w:r>
      <w:r w:rsidRPr="00931403">
        <w:rPr>
          <w:rtl/>
        </w:rPr>
        <w:t>وتأسيساً على ذلك يجب الإذعان بأن</w:t>
      </w:r>
      <w:r>
        <w:rPr>
          <w:rtl/>
        </w:rPr>
        <w:t>ه</w:t>
      </w:r>
      <w:r w:rsidRPr="007F5B58">
        <w:rPr>
          <w:rtl/>
        </w:rPr>
        <w:t>:</w:t>
      </w:r>
    </w:p>
    <w:p w:rsidR="0088518C" w:rsidRPr="00931403" w:rsidRDefault="0088518C" w:rsidP="00D063EC">
      <w:pPr>
        <w:pStyle w:val="ac"/>
        <w:spacing w:line="199" w:lineRule="auto"/>
        <w:rPr>
          <w:rtl/>
        </w:rPr>
      </w:pPr>
      <w:r>
        <w:rPr>
          <w:rtl/>
        </w:rPr>
        <w:t>1ـ قد</w:t>
      </w:r>
      <w:r w:rsidRPr="00931403">
        <w:rPr>
          <w:rtl/>
        </w:rPr>
        <w:t xml:space="preserve"> تحوّلت المهور الغالية الخارجة عن حدّ الاستطاعة إلى شيء </w:t>
      </w:r>
      <w:r>
        <w:rPr>
          <w:rtl/>
        </w:rPr>
        <w:t xml:space="preserve">يستلزم </w:t>
      </w:r>
      <w:r w:rsidRPr="00931403">
        <w:rPr>
          <w:rtl/>
        </w:rPr>
        <w:t>وجوده عدم</w:t>
      </w:r>
      <w:r>
        <w:rPr>
          <w:rtl/>
        </w:rPr>
        <w:t>َ</w:t>
      </w:r>
      <w:r w:rsidRPr="00931403">
        <w:rPr>
          <w:rtl/>
        </w:rPr>
        <w:t>ه</w:t>
      </w:r>
      <w:r w:rsidRPr="007F5B58">
        <w:rPr>
          <w:rtl/>
        </w:rPr>
        <w:t>،</w:t>
      </w:r>
      <w:r w:rsidRPr="00931403">
        <w:rPr>
          <w:rtl/>
        </w:rPr>
        <w:t xml:space="preserve"> ومثل هذا الأمر خلاف وبعيد عن العقل </w:t>
      </w:r>
      <w:r>
        <w:rPr>
          <w:rtl/>
        </w:rPr>
        <w:t>و</w:t>
      </w:r>
      <w:r w:rsidRPr="00931403">
        <w:rPr>
          <w:rtl/>
        </w:rPr>
        <w:t>المنطق</w:t>
      </w:r>
      <w:r w:rsidRPr="007F5B58">
        <w:rPr>
          <w:rtl/>
        </w:rPr>
        <w:t>،</w:t>
      </w:r>
      <w:r w:rsidRPr="00931403">
        <w:rPr>
          <w:rtl/>
        </w:rPr>
        <w:t xml:space="preserve"> ولا بدّ من إلغائه اضطراراً</w:t>
      </w:r>
      <w:r w:rsidRPr="00815C4C">
        <w:rPr>
          <w:rFonts w:cs="Taher"/>
          <w:vertAlign w:val="superscript"/>
          <w:rtl/>
        </w:rPr>
        <w:t>(</w:t>
      </w:r>
      <w:r w:rsidRPr="00815C4C">
        <w:rPr>
          <w:rFonts w:cs="Taher"/>
          <w:vertAlign w:val="superscript"/>
          <w:rtl/>
        </w:rPr>
        <w:footnoteReference w:id="844"/>
      </w:r>
      <w:r w:rsidRPr="00815C4C">
        <w:rPr>
          <w:rFonts w:cs="Taher"/>
          <w:vertAlign w:val="superscript"/>
          <w:rtl/>
        </w:rPr>
        <w:t>)</w:t>
      </w:r>
      <w:r>
        <w:rPr>
          <w:rtl/>
        </w:rPr>
        <w:t>.</w:t>
      </w:r>
    </w:p>
    <w:p w:rsidR="0088518C" w:rsidRPr="00931403" w:rsidRDefault="0088518C" w:rsidP="00D063EC">
      <w:pPr>
        <w:pStyle w:val="ac"/>
        <w:rPr>
          <w:rtl/>
        </w:rPr>
      </w:pPr>
      <w:r>
        <w:rPr>
          <w:rtl/>
        </w:rPr>
        <w:t xml:space="preserve">2ـ قد </w:t>
      </w:r>
      <w:r w:rsidRPr="00931403">
        <w:rPr>
          <w:rtl/>
        </w:rPr>
        <w:t>اعتبرت المهور المرتفعة عملاً عبثياً</w:t>
      </w:r>
      <w:r w:rsidRPr="007F5B58">
        <w:rPr>
          <w:rtl/>
        </w:rPr>
        <w:t>،</w:t>
      </w:r>
      <w:r w:rsidRPr="00931403">
        <w:rPr>
          <w:rtl/>
        </w:rPr>
        <w:t xml:space="preserve"> لأنّه لا يمكن تأديتها</w:t>
      </w:r>
      <w:r w:rsidRPr="007F5B58">
        <w:rPr>
          <w:rtl/>
        </w:rPr>
        <w:t>،</w:t>
      </w:r>
      <w:r w:rsidRPr="00931403">
        <w:rPr>
          <w:rtl/>
        </w:rPr>
        <w:t xml:space="preserve"> وحرمة العمل العبث في الإسلام أمرٌ مفروغ منه</w:t>
      </w:r>
      <w:r>
        <w:rPr>
          <w:rFonts w:hint="cs"/>
          <w:rtl/>
        </w:rPr>
        <w:t>.</w:t>
      </w:r>
      <w:r w:rsidRPr="00931403">
        <w:rPr>
          <w:rtl/>
        </w:rPr>
        <w:t xml:space="preserve"> وبالنظر إلى المحاسبة المجملة المقدمة تحتاج تأدية مثل هذه المهور إلى معجزة</w:t>
      </w:r>
      <w:r w:rsidRPr="007F5B58">
        <w:rPr>
          <w:rtl/>
        </w:rPr>
        <w:t>،</w:t>
      </w:r>
      <w:r w:rsidRPr="00931403">
        <w:rPr>
          <w:rtl/>
        </w:rPr>
        <w:t xml:space="preserve"> حادث</w:t>
      </w:r>
      <w:r w:rsidRPr="007F5B58">
        <w:rPr>
          <w:rtl/>
        </w:rPr>
        <w:t>،</w:t>
      </w:r>
      <w:r w:rsidRPr="00931403">
        <w:rPr>
          <w:rtl/>
        </w:rPr>
        <w:t xml:space="preserve"> أو...</w:t>
      </w:r>
      <w:r w:rsidRPr="007F5B58">
        <w:rPr>
          <w:rtl/>
        </w:rPr>
        <w:t>،</w:t>
      </w:r>
      <w:r w:rsidRPr="00931403">
        <w:rPr>
          <w:rtl/>
        </w:rPr>
        <w:t xml:space="preserve"> والتعهد الذي لا يمكن تأديته </w:t>
      </w:r>
      <w:r>
        <w:rPr>
          <w:rtl/>
        </w:rPr>
        <w:t xml:space="preserve">ـ </w:t>
      </w:r>
      <w:r w:rsidRPr="00931403">
        <w:rPr>
          <w:rtl/>
        </w:rPr>
        <w:t>علاوة على البطلان</w:t>
      </w:r>
      <w:r>
        <w:rPr>
          <w:rtl/>
        </w:rPr>
        <w:t xml:space="preserve"> ـ</w:t>
      </w:r>
      <w:r w:rsidRPr="00931403">
        <w:rPr>
          <w:rtl/>
        </w:rPr>
        <w:t xml:space="preserve"> هو عبث مذموم وحرام على الشرح الت</w:t>
      </w:r>
      <w:r>
        <w:rPr>
          <w:rtl/>
        </w:rPr>
        <w:t>ال</w:t>
      </w:r>
      <w:r w:rsidRPr="00931403">
        <w:rPr>
          <w:rtl/>
        </w:rPr>
        <w:t>ي</w:t>
      </w:r>
      <w:r w:rsidRPr="007F5B58">
        <w:rPr>
          <w:rtl/>
        </w:rPr>
        <w:t>:</w:t>
      </w:r>
    </w:p>
    <w:p w:rsidR="0088518C" w:rsidRPr="00931403" w:rsidRDefault="0088518C" w:rsidP="00D063EC">
      <w:pPr>
        <w:pStyle w:val="ac"/>
        <w:rPr>
          <w:rtl/>
        </w:rPr>
      </w:pPr>
      <w:r>
        <w:rPr>
          <w:rtl/>
        </w:rPr>
        <w:t xml:space="preserve">3ـ </w:t>
      </w:r>
      <w:r w:rsidRPr="00931403">
        <w:rPr>
          <w:rtl/>
        </w:rPr>
        <w:t>مغايرتها للكتاب والسنّة</w:t>
      </w:r>
      <w:r w:rsidRPr="007F5B58">
        <w:rPr>
          <w:rtl/>
        </w:rPr>
        <w:t>؛</w:t>
      </w:r>
      <w:r w:rsidRPr="00931403">
        <w:rPr>
          <w:rtl/>
        </w:rPr>
        <w:t xml:space="preserve"> بسبب معارضتها للنكاح</w:t>
      </w:r>
      <w:r w:rsidRPr="007F5B58">
        <w:rPr>
          <w:rtl/>
        </w:rPr>
        <w:t>،</w:t>
      </w:r>
      <w:r w:rsidRPr="00931403">
        <w:rPr>
          <w:rtl/>
        </w:rPr>
        <w:t xml:space="preserve"> والتي تؤدّي إلى معارضتها للإنسان. </w:t>
      </w:r>
      <w:r>
        <w:rPr>
          <w:rtl/>
        </w:rPr>
        <w:t>و</w:t>
      </w:r>
      <w:r w:rsidRPr="00931403">
        <w:rPr>
          <w:rtl/>
        </w:rPr>
        <w:t>في هذا القسم من البحث</w:t>
      </w:r>
      <w:r>
        <w:rPr>
          <w:rtl/>
        </w:rPr>
        <w:t xml:space="preserve"> يمكن الاستـناد ـ</w:t>
      </w:r>
      <w:r w:rsidRPr="00931403">
        <w:rPr>
          <w:rtl/>
        </w:rPr>
        <w:t xml:space="preserve"> إضافة إلى العقل المستقل</w:t>
      </w:r>
      <w:r>
        <w:rPr>
          <w:rtl/>
        </w:rPr>
        <w:t xml:space="preserve"> ـ</w:t>
      </w:r>
      <w:r w:rsidRPr="00931403">
        <w:rPr>
          <w:rtl/>
        </w:rPr>
        <w:t xml:space="preserve"> إلى الأصول والقواعد المعروفة</w:t>
      </w:r>
      <w:r w:rsidRPr="007F5B58">
        <w:rPr>
          <w:rtl/>
        </w:rPr>
        <w:t>،</w:t>
      </w:r>
      <w:r w:rsidRPr="00931403">
        <w:rPr>
          <w:rtl/>
        </w:rPr>
        <w:t xml:space="preserve"> مثل</w:t>
      </w:r>
      <w:r w:rsidRPr="007F5B58">
        <w:rPr>
          <w:rtl/>
        </w:rPr>
        <w:t>:</w:t>
      </w:r>
      <w:r w:rsidRPr="00931403">
        <w:rPr>
          <w:rtl/>
        </w:rPr>
        <w:t xml:space="preserve"> وجوب مقدمة الواجب</w:t>
      </w:r>
      <w:r w:rsidRPr="00815C4C">
        <w:rPr>
          <w:rFonts w:cs="Taher"/>
          <w:vertAlign w:val="superscript"/>
          <w:rtl/>
        </w:rPr>
        <w:t>(</w:t>
      </w:r>
      <w:r w:rsidRPr="00815C4C">
        <w:rPr>
          <w:rFonts w:cs="Taher"/>
          <w:vertAlign w:val="superscript"/>
          <w:rtl/>
        </w:rPr>
        <w:footnoteReference w:id="845"/>
      </w:r>
      <w:r w:rsidRPr="00815C4C">
        <w:rPr>
          <w:rFonts w:cs="Taher"/>
          <w:vertAlign w:val="superscript"/>
          <w:rtl/>
        </w:rPr>
        <w:t>)</w:t>
      </w:r>
      <w:r>
        <w:rPr>
          <w:rFonts w:hint="cs"/>
          <w:rtl/>
        </w:rPr>
        <w:t>،</w:t>
      </w:r>
      <w:r>
        <w:rPr>
          <w:rtl/>
        </w:rPr>
        <w:t xml:space="preserve"> </w:t>
      </w:r>
      <w:r w:rsidRPr="00931403">
        <w:rPr>
          <w:rtl/>
        </w:rPr>
        <w:t>سدّ الذرائع</w:t>
      </w:r>
      <w:r w:rsidRPr="00815C4C">
        <w:rPr>
          <w:rFonts w:cs="Taher"/>
          <w:vertAlign w:val="superscript"/>
          <w:rtl/>
        </w:rPr>
        <w:t>(</w:t>
      </w:r>
      <w:r w:rsidRPr="00815C4C">
        <w:rPr>
          <w:rFonts w:cs="Taher"/>
          <w:vertAlign w:val="superscript"/>
          <w:rtl/>
        </w:rPr>
        <w:footnoteReference w:id="846"/>
      </w:r>
      <w:r w:rsidRPr="00815C4C">
        <w:rPr>
          <w:rFonts w:cs="Taher"/>
          <w:vertAlign w:val="superscript"/>
          <w:rtl/>
        </w:rPr>
        <w:t>)</w:t>
      </w:r>
      <w:r w:rsidRPr="007F5B58">
        <w:rPr>
          <w:rtl/>
        </w:rPr>
        <w:t>،</w:t>
      </w:r>
      <w:r>
        <w:rPr>
          <w:rtl/>
        </w:rPr>
        <w:t xml:space="preserve"> ولوازم </w:t>
      </w:r>
      <w:r>
        <w:rPr>
          <w:rtl/>
        </w:rPr>
        <w:lastRenderedPageBreak/>
        <w:t>الحرام</w:t>
      </w:r>
      <w:r w:rsidRPr="00815C4C">
        <w:rPr>
          <w:rFonts w:cs="Taher"/>
          <w:vertAlign w:val="superscript"/>
          <w:rtl/>
        </w:rPr>
        <w:t>(</w:t>
      </w:r>
      <w:r w:rsidRPr="00815C4C">
        <w:rPr>
          <w:rFonts w:cs="Taher"/>
          <w:vertAlign w:val="superscript"/>
          <w:rtl/>
        </w:rPr>
        <w:footnoteReference w:id="847"/>
      </w:r>
      <w:r w:rsidRPr="00815C4C">
        <w:rPr>
          <w:rFonts w:cs="Taher"/>
          <w:vertAlign w:val="superscript"/>
          <w:rtl/>
        </w:rPr>
        <w:t>)</w:t>
      </w:r>
      <w:r w:rsidRPr="007F5B58">
        <w:rPr>
          <w:rtl/>
        </w:rPr>
        <w:t>،</w:t>
      </w:r>
      <w:r>
        <w:rPr>
          <w:rtl/>
        </w:rPr>
        <w:t xml:space="preserve"> </w:t>
      </w:r>
      <w:r w:rsidRPr="00931403">
        <w:rPr>
          <w:rtl/>
        </w:rPr>
        <w:t>وكذلك بالعقل المستلزم.</w:t>
      </w:r>
    </w:p>
    <w:p w:rsidR="0088518C" w:rsidRPr="00931403" w:rsidRDefault="0088518C" w:rsidP="00D063EC">
      <w:pPr>
        <w:pStyle w:val="ac"/>
        <w:spacing w:line="211" w:lineRule="auto"/>
        <w:rPr>
          <w:rtl/>
        </w:rPr>
      </w:pPr>
      <w:r>
        <w:rPr>
          <w:rtl/>
        </w:rPr>
        <w:t>و</w:t>
      </w:r>
      <w:r w:rsidRPr="00931403">
        <w:rPr>
          <w:rtl/>
        </w:rPr>
        <w:t xml:space="preserve">على الرغم من أنّ الحكم الوضعي للمهر المرتفع </w:t>
      </w:r>
      <w:r>
        <w:rPr>
          <w:rtl/>
        </w:rPr>
        <w:t>ـ</w:t>
      </w:r>
      <w:r w:rsidRPr="00931403">
        <w:rPr>
          <w:rtl/>
        </w:rPr>
        <w:t xml:space="preserve"> لتلك المجموعة الكبيرة التي لا ترى نفسها أبداً قادرة على دفعه </w:t>
      </w:r>
      <w:r>
        <w:rPr>
          <w:rtl/>
        </w:rPr>
        <w:t>ـ</w:t>
      </w:r>
      <w:r w:rsidRPr="00931403">
        <w:rPr>
          <w:rtl/>
        </w:rPr>
        <w:t xml:space="preserve"> هو البطلان يمكن الاستدلال على شرعية التحريم</w:t>
      </w:r>
      <w:r>
        <w:rPr>
          <w:rtl/>
        </w:rPr>
        <w:t xml:space="preserve"> من جهتين</w:t>
      </w:r>
      <w:r w:rsidRPr="007F5B58">
        <w:rPr>
          <w:rtl/>
        </w:rPr>
        <w:t>:</w:t>
      </w:r>
      <w:r w:rsidRPr="00931403">
        <w:rPr>
          <w:rtl/>
        </w:rPr>
        <w:t xml:space="preserve"> الحجية الذاتية للقطع</w:t>
      </w:r>
      <w:r w:rsidRPr="007F5B58">
        <w:rPr>
          <w:rtl/>
        </w:rPr>
        <w:t>؛</w:t>
      </w:r>
      <w:r w:rsidRPr="00931403">
        <w:rPr>
          <w:rtl/>
        </w:rPr>
        <w:t xml:space="preserve"> وقاعدة ملازمة الشرع والعمل. بيد أنّ </w:t>
      </w:r>
      <w:r>
        <w:rPr>
          <w:rtl/>
        </w:rPr>
        <w:t>وضع</w:t>
      </w:r>
      <w:r w:rsidRPr="00931403">
        <w:rPr>
          <w:rtl/>
        </w:rPr>
        <w:t xml:space="preserve"> حدّ </w:t>
      </w:r>
      <w:r>
        <w:rPr>
          <w:rtl/>
        </w:rPr>
        <w:t>ل</w:t>
      </w:r>
      <w:r w:rsidRPr="00931403">
        <w:rPr>
          <w:rtl/>
        </w:rPr>
        <w:t>لمهر</w:t>
      </w:r>
      <w:r>
        <w:rPr>
          <w:rtl/>
        </w:rPr>
        <w:t xml:space="preserve"> ـ</w:t>
      </w:r>
      <w:r w:rsidRPr="00931403">
        <w:rPr>
          <w:rtl/>
        </w:rPr>
        <w:t xml:space="preserve"> مثل الموسيقى</w:t>
      </w:r>
      <w:r>
        <w:rPr>
          <w:rFonts w:hint="cs"/>
          <w:rtl/>
        </w:rPr>
        <w:t>،</w:t>
      </w:r>
      <w:r w:rsidRPr="00931403">
        <w:rPr>
          <w:rtl/>
        </w:rPr>
        <w:t xml:space="preserve"> وحدّ الحجاب</w:t>
      </w:r>
      <w:r>
        <w:rPr>
          <w:rFonts w:hint="cs"/>
          <w:rtl/>
        </w:rPr>
        <w:t>،</w:t>
      </w:r>
      <w:r w:rsidRPr="00931403">
        <w:rPr>
          <w:rtl/>
        </w:rPr>
        <w:t xml:space="preserve"> و...</w:t>
      </w:r>
      <w:r>
        <w:rPr>
          <w:rtl/>
        </w:rPr>
        <w:t xml:space="preserve"> ـ</w:t>
      </w:r>
      <w:r w:rsidRPr="00931403">
        <w:rPr>
          <w:rtl/>
        </w:rPr>
        <w:t xml:space="preserve"> يحتاج إلى دقّة إضافية نضطرّ معها إلى عدم الولوج في الأبحاث قبل الابتلاء الحالي حتى نحصل على النقطة المطلوبة لتحديد مستوى الاحتياط بين جهتي الخفض والرفع ليتبدّل الترديد إلى قرار.</w:t>
      </w:r>
    </w:p>
    <w:p w:rsidR="00F834C2" w:rsidRDefault="0088518C" w:rsidP="00D063EC">
      <w:pPr>
        <w:pStyle w:val="ac"/>
        <w:spacing w:line="211" w:lineRule="auto"/>
        <w:rPr>
          <w:rtl/>
        </w:rPr>
      </w:pPr>
      <w:r>
        <w:rPr>
          <w:rtl/>
        </w:rPr>
        <w:t>و</w:t>
      </w:r>
      <w:r w:rsidRPr="00931403">
        <w:rPr>
          <w:rtl/>
        </w:rPr>
        <w:t>في هذا الخصوص نرجع إلى ملاحظات الشهيدين الأول والثاني</w:t>
      </w:r>
      <w:r w:rsidRPr="007F5B58">
        <w:rPr>
          <w:rtl/>
        </w:rPr>
        <w:t>،</w:t>
      </w:r>
      <w:r w:rsidRPr="00931403">
        <w:rPr>
          <w:rtl/>
        </w:rPr>
        <w:t xml:space="preserve"> حيث أنّ الشهيد الأول يحكم باستحباب النكاح ا</w:t>
      </w:r>
      <w:r>
        <w:rPr>
          <w:rtl/>
        </w:rPr>
        <w:t>لمؤكّد</w:t>
      </w:r>
      <w:r w:rsidRPr="00815C4C">
        <w:rPr>
          <w:rFonts w:cs="Taher"/>
          <w:vertAlign w:val="superscript"/>
          <w:rtl/>
        </w:rPr>
        <w:t>(</w:t>
      </w:r>
      <w:r w:rsidRPr="00815C4C">
        <w:rPr>
          <w:rFonts w:cs="Taher"/>
          <w:vertAlign w:val="superscript"/>
          <w:rtl/>
        </w:rPr>
        <w:footnoteReference w:id="848"/>
      </w:r>
      <w:r w:rsidRPr="00815C4C">
        <w:rPr>
          <w:rFonts w:cs="Taher"/>
          <w:vertAlign w:val="superscript"/>
          <w:rtl/>
        </w:rPr>
        <w:t>)</w:t>
      </w:r>
      <w:r w:rsidRPr="007F5B58">
        <w:rPr>
          <w:rtl/>
        </w:rPr>
        <w:t>،</w:t>
      </w:r>
      <w:r>
        <w:rPr>
          <w:rtl/>
        </w:rPr>
        <w:t xml:space="preserve"> </w:t>
      </w:r>
      <w:r w:rsidRPr="00931403">
        <w:rPr>
          <w:rtl/>
        </w:rPr>
        <w:t>ويوافق الشهيد الثاني على هذا الحكم بشرطين</w:t>
      </w:r>
      <w:r w:rsidRPr="007F5B58">
        <w:rPr>
          <w:rtl/>
        </w:rPr>
        <w:t>،</w:t>
      </w:r>
      <w:r w:rsidRPr="00931403">
        <w:rPr>
          <w:rtl/>
        </w:rPr>
        <w:t xml:space="preserve"> هما</w:t>
      </w:r>
      <w:r w:rsidRPr="007F5B58">
        <w:rPr>
          <w:rtl/>
        </w:rPr>
        <w:t>:</w:t>
      </w:r>
      <w:r w:rsidRPr="00931403">
        <w:rPr>
          <w:rtl/>
        </w:rPr>
        <w:t xml:space="preserve"> قدرة المكلف على القيام به</w:t>
      </w:r>
      <w:r>
        <w:rPr>
          <w:rtl/>
        </w:rPr>
        <w:t>.</w:t>
      </w:r>
      <w:r w:rsidRPr="00931403">
        <w:rPr>
          <w:rtl/>
        </w:rPr>
        <w:t xml:space="preserve"> ومن الطبيعي أنّه يمكن النظر إلى هذه الاستطاعة من نواح مختلفة</w:t>
      </w:r>
      <w:r w:rsidRPr="007F5B58">
        <w:rPr>
          <w:rtl/>
        </w:rPr>
        <w:t>،</w:t>
      </w:r>
      <w:r w:rsidRPr="00931403">
        <w:rPr>
          <w:rtl/>
        </w:rPr>
        <w:t xml:space="preserve"> لكن في كلتا الحالتين القدرة على القيام بالالتزام والتعهدات الناجمة عنه تقع في نفس هذه الدائرة</w:t>
      </w:r>
      <w:r w:rsidRPr="007F5B58">
        <w:rPr>
          <w:rtl/>
        </w:rPr>
        <w:t>،</w:t>
      </w:r>
      <w:r w:rsidRPr="00931403">
        <w:rPr>
          <w:rtl/>
        </w:rPr>
        <w:t xml:space="preserve"> والمهور الموجودة قد سلبت هذه القدرة من قسم كبير من الشباب المؤهل للزواج</w:t>
      </w:r>
      <w:r w:rsidRPr="007F5B58">
        <w:rPr>
          <w:rtl/>
        </w:rPr>
        <w:t>،</w:t>
      </w:r>
      <w:r w:rsidRPr="00931403">
        <w:rPr>
          <w:rtl/>
        </w:rPr>
        <w:t xml:space="preserve"> ومن الطبيعي أنّها تستلزم التفكير بحلّ لها</w:t>
      </w:r>
      <w:r w:rsidRPr="007F5B58">
        <w:rPr>
          <w:rtl/>
        </w:rPr>
        <w:t>؛</w:t>
      </w:r>
      <w:r w:rsidRPr="00931403">
        <w:rPr>
          <w:rtl/>
        </w:rPr>
        <w:t xml:space="preserve"> </w:t>
      </w:r>
      <w:r>
        <w:rPr>
          <w:rtl/>
        </w:rPr>
        <w:t>و</w:t>
      </w:r>
      <w:r w:rsidRPr="00931403">
        <w:rPr>
          <w:rtl/>
        </w:rPr>
        <w:t>الشرط الثاني للحكم المستحبّ المؤكّد هو ألا يرتكب المكل</w:t>
      </w:r>
      <w:r>
        <w:rPr>
          <w:rtl/>
        </w:rPr>
        <w:t>َّ</w:t>
      </w:r>
      <w:r w:rsidRPr="00931403">
        <w:rPr>
          <w:rtl/>
        </w:rPr>
        <w:t>ف الحرام بسبب ترك الزواج</w:t>
      </w:r>
      <w:r w:rsidRPr="007F5B58">
        <w:rPr>
          <w:rtl/>
        </w:rPr>
        <w:t>،</w:t>
      </w:r>
      <w:r w:rsidRPr="00931403">
        <w:rPr>
          <w:rtl/>
        </w:rPr>
        <w:t xml:space="preserve"> و</w:t>
      </w:r>
      <w:r>
        <w:rPr>
          <w:rtl/>
        </w:rPr>
        <w:t>إ</w:t>
      </w:r>
      <w:r w:rsidRPr="00931403">
        <w:rPr>
          <w:rtl/>
        </w:rPr>
        <w:t xml:space="preserve">لاّ </w:t>
      </w:r>
      <w:r>
        <w:rPr>
          <w:rtl/>
        </w:rPr>
        <w:t xml:space="preserve">أصبح الزواج </w:t>
      </w:r>
      <w:r w:rsidRPr="00931403">
        <w:rPr>
          <w:rtl/>
        </w:rPr>
        <w:t xml:space="preserve">واجباً. وعليه فإنّ الزواج </w:t>
      </w:r>
      <w:r>
        <w:rPr>
          <w:rtl/>
        </w:rPr>
        <w:t>إ</w:t>
      </w:r>
      <w:r w:rsidRPr="00931403">
        <w:rPr>
          <w:rtl/>
        </w:rPr>
        <w:t xml:space="preserve">مّا مستحبّ مؤكّد أو واجب. </w:t>
      </w:r>
      <w:r>
        <w:rPr>
          <w:rtl/>
        </w:rPr>
        <w:t>و</w:t>
      </w:r>
      <w:r w:rsidRPr="00931403">
        <w:rPr>
          <w:rtl/>
        </w:rPr>
        <w:t xml:space="preserve">من ثمّ يستعرض الشهيد الثاني </w:t>
      </w:r>
      <w:r>
        <w:rPr>
          <w:rtl/>
        </w:rPr>
        <w:t>أدلة</w:t>
      </w:r>
      <w:r w:rsidRPr="00931403">
        <w:rPr>
          <w:rtl/>
        </w:rPr>
        <w:t xml:space="preserve"> وجوب واستحباب الزواج على أثر كلام الشهيد الأول</w:t>
      </w:r>
      <w:r w:rsidRPr="007F5B58">
        <w:rPr>
          <w:rtl/>
        </w:rPr>
        <w:t>،</w:t>
      </w:r>
      <w:r w:rsidRPr="00931403">
        <w:rPr>
          <w:rtl/>
        </w:rPr>
        <w:t xml:space="preserve"> وهو أنّ فضيلة النكاح أمر مشهور</w:t>
      </w:r>
      <w:r w:rsidRPr="007F5B58">
        <w:rPr>
          <w:rtl/>
        </w:rPr>
        <w:t>،</w:t>
      </w:r>
      <w:r w:rsidRPr="00931403">
        <w:rPr>
          <w:rtl/>
        </w:rPr>
        <w:t xml:space="preserve"> ومحقّق وثابت</w:t>
      </w:r>
      <w:r w:rsidRPr="007F5B58">
        <w:rPr>
          <w:rtl/>
        </w:rPr>
        <w:t>،</w:t>
      </w:r>
      <w:r w:rsidRPr="00931403">
        <w:rPr>
          <w:rtl/>
        </w:rPr>
        <w:t xml:space="preserve"> وإنّ فضيلته على درجة يحرز المكلّف به نصف دينه</w:t>
      </w:r>
      <w:r w:rsidRPr="007F5B58">
        <w:rPr>
          <w:rtl/>
        </w:rPr>
        <w:t>،</w:t>
      </w:r>
      <w:r w:rsidRPr="00931403">
        <w:rPr>
          <w:rtl/>
        </w:rPr>
        <w:t xml:space="preserve"> وفي رواية أخرى</w:t>
      </w:r>
      <w:r w:rsidRPr="007F5B58">
        <w:rPr>
          <w:rtl/>
        </w:rPr>
        <w:t>:</w:t>
      </w:r>
      <w:r w:rsidRPr="00931403">
        <w:rPr>
          <w:rtl/>
        </w:rPr>
        <w:t xml:space="preserve"> ثلثي دينه</w:t>
      </w:r>
      <w:r>
        <w:rPr>
          <w:rtl/>
        </w:rPr>
        <w:t>.</w:t>
      </w:r>
      <w:r w:rsidRPr="00931403">
        <w:rPr>
          <w:rtl/>
        </w:rPr>
        <w:t xml:space="preserve"> </w:t>
      </w:r>
      <w:r>
        <w:rPr>
          <w:rtl/>
        </w:rPr>
        <w:t>و</w:t>
      </w:r>
      <w:r w:rsidRPr="00931403">
        <w:rPr>
          <w:rtl/>
        </w:rPr>
        <w:t>يكتب الشهيد الثاني أنّ فضيلة النكاح كانت مشهورة وشائعة بين المسلمين</w:t>
      </w:r>
      <w:r w:rsidRPr="007F5B58">
        <w:rPr>
          <w:rtl/>
        </w:rPr>
        <w:t>،</w:t>
      </w:r>
      <w:r w:rsidRPr="00931403">
        <w:rPr>
          <w:rtl/>
        </w:rPr>
        <w:t xml:space="preserve"> وهي أمر ثابت ومسلّم به في شريعتهم وتعاليمهم</w:t>
      </w:r>
      <w:r>
        <w:rPr>
          <w:rtl/>
        </w:rPr>
        <w:t>.</w:t>
      </w:r>
      <w:r w:rsidRPr="00931403">
        <w:rPr>
          <w:rtl/>
        </w:rPr>
        <w:t xml:space="preserve"> وفي الختام يتحدّث بكلام دالّ على أنّ النكاح بعد الإسلام </w:t>
      </w:r>
      <w:r w:rsidRPr="00931403">
        <w:rPr>
          <w:rtl/>
        </w:rPr>
        <w:lastRenderedPageBreak/>
        <w:t>تضمّن أعظم الفوائد</w:t>
      </w:r>
      <w:r w:rsidRPr="00815C4C">
        <w:rPr>
          <w:rFonts w:cs="Taher"/>
          <w:vertAlign w:val="superscript"/>
          <w:rtl/>
        </w:rPr>
        <w:t>(</w:t>
      </w:r>
      <w:r w:rsidRPr="00815C4C">
        <w:rPr>
          <w:rFonts w:cs="Taher"/>
          <w:vertAlign w:val="superscript"/>
          <w:rtl/>
        </w:rPr>
        <w:footnoteReference w:id="849"/>
      </w:r>
      <w:r w:rsidRPr="00815C4C">
        <w:rPr>
          <w:rFonts w:cs="Taher"/>
          <w:vertAlign w:val="superscript"/>
          <w:rtl/>
        </w:rPr>
        <w:t>)</w:t>
      </w:r>
      <w:r w:rsidRPr="00931403">
        <w:rPr>
          <w:rtl/>
        </w:rPr>
        <w:t xml:space="preserve">. </w:t>
      </w:r>
      <w:r>
        <w:rPr>
          <w:rtl/>
        </w:rPr>
        <w:t>و</w:t>
      </w:r>
      <w:r w:rsidRPr="00931403">
        <w:rPr>
          <w:rtl/>
        </w:rPr>
        <w:t>إنّ لباقي الفقهاء آراء مماثلة لما نقل أيضاً</w:t>
      </w:r>
      <w:r w:rsidRPr="00815C4C">
        <w:rPr>
          <w:rFonts w:cs="Taher"/>
          <w:vertAlign w:val="superscript"/>
          <w:rtl/>
        </w:rPr>
        <w:t>(</w:t>
      </w:r>
      <w:r w:rsidRPr="00815C4C">
        <w:rPr>
          <w:rFonts w:cs="Taher"/>
          <w:vertAlign w:val="superscript"/>
          <w:rtl/>
        </w:rPr>
        <w:footnoteReference w:id="850"/>
      </w:r>
      <w:r w:rsidRPr="00815C4C">
        <w:rPr>
          <w:rFonts w:cs="Taher"/>
          <w:vertAlign w:val="superscript"/>
          <w:rtl/>
        </w:rPr>
        <w:t>)</w:t>
      </w:r>
      <w:r>
        <w:rPr>
          <w:rtl/>
        </w:rPr>
        <w:t xml:space="preserve">. وقد </w:t>
      </w:r>
      <w:r w:rsidRPr="00931403">
        <w:rPr>
          <w:rtl/>
        </w:rPr>
        <w:t>اعتبر هؤلاء</w:t>
      </w:r>
      <w:r>
        <w:rPr>
          <w:rtl/>
        </w:rPr>
        <w:t xml:space="preserve"> ـ عموماً ـ</w:t>
      </w:r>
      <w:r w:rsidRPr="00931403">
        <w:rPr>
          <w:rtl/>
        </w:rPr>
        <w:t xml:space="preserve"> </w:t>
      </w:r>
      <w:r>
        <w:rPr>
          <w:rtl/>
        </w:rPr>
        <w:t>أ</w:t>
      </w:r>
      <w:r w:rsidRPr="00931403">
        <w:rPr>
          <w:rtl/>
        </w:rPr>
        <w:t>نّ قلّة المهر من الأوصاف الحسنة للمرأة</w:t>
      </w:r>
      <w:r w:rsidRPr="00815C4C">
        <w:rPr>
          <w:rFonts w:cs="Taher"/>
          <w:vertAlign w:val="superscript"/>
          <w:rtl/>
        </w:rPr>
        <w:t>(</w:t>
      </w:r>
      <w:r w:rsidRPr="00815C4C">
        <w:rPr>
          <w:rFonts w:cs="Taher"/>
          <w:vertAlign w:val="superscript"/>
          <w:rtl/>
        </w:rPr>
        <w:footnoteReference w:id="851"/>
      </w:r>
      <w:r w:rsidRPr="00815C4C">
        <w:rPr>
          <w:rFonts w:cs="Taher"/>
          <w:vertAlign w:val="superscript"/>
          <w:rtl/>
        </w:rPr>
        <w:t>)</w:t>
      </w:r>
      <w:r>
        <w:rPr>
          <w:rtl/>
        </w:rPr>
        <w:t>.</w:t>
      </w:r>
      <w:r w:rsidRPr="00931403">
        <w:rPr>
          <w:rtl/>
        </w:rPr>
        <w:t xml:space="preserve"> </w:t>
      </w:r>
      <w:r>
        <w:rPr>
          <w:rtl/>
        </w:rPr>
        <w:t>و</w:t>
      </w:r>
      <w:r w:rsidRPr="00931403">
        <w:rPr>
          <w:rtl/>
        </w:rPr>
        <w:t>الخلاصة</w:t>
      </w:r>
      <w:r w:rsidRPr="007F5B58">
        <w:rPr>
          <w:rtl/>
        </w:rPr>
        <w:t>:</w:t>
      </w:r>
      <w:r w:rsidRPr="00931403">
        <w:rPr>
          <w:rtl/>
        </w:rPr>
        <w:t xml:space="preserve"> </w:t>
      </w:r>
      <w:r>
        <w:rPr>
          <w:rtl/>
        </w:rPr>
        <w:t>إ</w:t>
      </w:r>
      <w:r w:rsidRPr="00931403">
        <w:rPr>
          <w:rtl/>
        </w:rPr>
        <w:t>نّ مسائل مثل</w:t>
      </w:r>
      <w:r w:rsidRPr="007F5B58">
        <w:rPr>
          <w:rtl/>
        </w:rPr>
        <w:t>:</w:t>
      </w:r>
      <w:r w:rsidRPr="00931403">
        <w:rPr>
          <w:rtl/>
        </w:rPr>
        <w:t xml:space="preserve"> كرامة الإنسان</w:t>
      </w:r>
      <w:r w:rsidRPr="007F5B58">
        <w:rPr>
          <w:rtl/>
        </w:rPr>
        <w:t>،</w:t>
      </w:r>
      <w:r w:rsidRPr="00931403">
        <w:rPr>
          <w:rtl/>
        </w:rPr>
        <w:t xml:space="preserve"> تساوي البشر بين يدي الله سبحانه وتعالى</w:t>
      </w:r>
      <w:r w:rsidRPr="007F5B58">
        <w:rPr>
          <w:rtl/>
        </w:rPr>
        <w:t>،</w:t>
      </w:r>
      <w:r w:rsidRPr="00931403">
        <w:rPr>
          <w:rtl/>
        </w:rPr>
        <w:t xml:space="preserve"> استحباب النكاح</w:t>
      </w:r>
      <w:r w:rsidRPr="007F5B58">
        <w:rPr>
          <w:rtl/>
        </w:rPr>
        <w:t>،</w:t>
      </w:r>
      <w:r w:rsidRPr="00931403">
        <w:rPr>
          <w:rtl/>
        </w:rPr>
        <w:t xml:space="preserve"> وجوب المهر</w:t>
      </w:r>
      <w:r w:rsidRPr="007F5B58">
        <w:rPr>
          <w:rtl/>
        </w:rPr>
        <w:t>،</w:t>
      </w:r>
      <w:r w:rsidRPr="00931403">
        <w:rPr>
          <w:rtl/>
        </w:rPr>
        <w:t xml:space="preserve"> استحسان قلّة المهر</w:t>
      </w:r>
      <w:r w:rsidRPr="007F5B58">
        <w:rPr>
          <w:rtl/>
        </w:rPr>
        <w:t>،</w:t>
      </w:r>
      <w:r w:rsidRPr="00931403">
        <w:rPr>
          <w:rtl/>
        </w:rPr>
        <w:t xml:space="preserve"> وكراهة كثرته...</w:t>
      </w:r>
      <w:r w:rsidRPr="007F5B58">
        <w:rPr>
          <w:rtl/>
        </w:rPr>
        <w:t>،</w:t>
      </w:r>
      <w:r w:rsidRPr="00931403">
        <w:rPr>
          <w:rtl/>
        </w:rPr>
        <w:t xml:space="preserve"> هي من الأمور التي تدلّ عليها أدلة كثيرة. </w:t>
      </w:r>
    </w:p>
    <w:p w:rsidR="0088518C" w:rsidRPr="00931403" w:rsidRDefault="0088518C" w:rsidP="00D063EC">
      <w:pPr>
        <w:pStyle w:val="ac"/>
        <w:spacing w:line="199" w:lineRule="auto"/>
        <w:rPr>
          <w:rtl/>
        </w:rPr>
      </w:pPr>
      <w:r w:rsidRPr="00931403">
        <w:rPr>
          <w:rtl/>
        </w:rPr>
        <w:t>ويمكن القول بأنّها من الأمور التي تجمع عليها كافة المذاهب الإسلامية</w:t>
      </w:r>
      <w:r w:rsidRPr="007F5B58">
        <w:rPr>
          <w:rtl/>
        </w:rPr>
        <w:t>،</w:t>
      </w:r>
      <w:r w:rsidRPr="00931403">
        <w:rPr>
          <w:rtl/>
        </w:rPr>
        <w:t xml:space="preserve"> ولا يقبل أيّ</w:t>
      </w:r>
      <w:r>
        <w:rPr>
          <w:rtl/>
        </w:rPr>
        <w:t>ٌ</w:t>
      </w:r>
      <w:r w:rsidRPr="00931403">
        <w:rPr>
          <w:rtl/>
        </w:rPr>
        <w:t xml:space="preserve"> منها اللبس. ومن الناحية الاجتماعية أيضاً</w:t>
      </w:r>
      <w:r w:rsidRPr="007F5B58">
        <w:rPr>
          <w:rtl/>
        </w:rPr>
        <w:t>،</w:t>
      </w:r>
      <w:r w:rsidRPr="00931403">
        <w:rPr>
          <w:rtl/>
        </w:rPr>
        <w:t xml:space="preserve"> لأنّ المهر المرتفع يعتبر مانعاً للزواج فإنّه بلا شك مخلّ</w:t>
      </w:r>
      <w:r>
        <w:rPr>
          <w:rtl/>
        </w:rPr>
        <w:t>ٌ</w:t>
      </w:r>
      <w:r w:rsidRPr="00931403">
        <w:rPr>
          <w:rtl/>
        </w:rPr>
        <w:t xml:space="preserve"> بالنظام ومُدان</w:t>
      </w:r>
      <w:r>
        <w:rPr>
          <w:rtl/>
        </w:rPr>
        <w:t>ٌ.</w:t>
      </w:r>
      <w:r w:rsidRPr="00931403">
        <w:rPr>
          <w:rtl/>
        </w:rPr>
        <w:t xml:space="preserve"> وبطبيعة الحال فإنّه</w:t>
      </w:r>
      <w:r>
        <w:rPr>
          <w:rtl/>
        </w:rPr>
        <w:t xml:space="preserve"> ـ</w:t>
      </w:r>
      <w:r w:rsidRPr="00931403">
        <w:rPr>
          <w:rtl/>
        </w:rPr>
        <w:t xml:space="preserve"> كما المعضلات الأخرى التي تسعى الحكومة إلى إزالتها</w:t>
      </w:r>
      <w:r w:rsidRPr="007F5B58">
        <w:rPr>
          <w:rtl/>
        </w:rPr>
        <w:t>،</w:t>
      </w:r>
      <w:r w:rsidRPr="00931403">
        <w:rPr>
          <w:rtl/>
        </w:rPr>
        <w:t xml:space="preserve"> لا بدّ أن تهتمّ </w:t>
      </w:r>
      <w:r>
        <w:rPr>
          <w:rtl/>
        </w:rPr>
        <w:t>بإزالة</w:t>
      </w:r>
      <w:r w:rsidRPr="00931403">
        <w:rPr>
          <w:rtl/>
        </w:rPr>
        <w:t xml:space="preserve"> المعضل الناشئ عن شيوع المهور المرتفعة. </w:t>
      </w:r>
    </w:p>
    <w:p w:rsidR="0088518C" w:rsidRPr="00931403" w:rsidRDefault="0088518C" w:rsidP="00D063EC">
      <w:pPr>
        <w:pStyle w:val="ac"/>
        <w:spacing w:line="199" w:lineRule="auto"/>
        <w:rPr>
          <w:rtl/>
        </w:rPr>
      </w:pPr>
      <w:r w:rsidRPr="00931403">
        <w:rPr>
          <w:rtl/>
        </w:rPr>
        <w:t xml:space="preserve">وفي ضوء ذلك فإنّ </w:t>
      </w:r>
      <w:r>
        <w:rPr>
          <w:rtl/>
        </w:rPr>
        <w:t>تـن</w:t>
      </w:r>
      <w:r w:rsidRPr="00931403">
        <w:rPr>
          <w:rtl/>
        </w:rPr>
        <w:t xml:space="preserve">ظيم أمر المهور يحتلّ أهمية وحساسية أكبر من الناحية المذهبية </w:t>
      </w:r>
      <w:r>
        <w:rPr>
          <w:rtl/>
        </w:rPr>
        <w:t>ـ</w:t>
      </w:r>
      <w:r w:rsidRPr="00931403">
        <w:rPr>
          <w:rtl/>
        </w:rPr>
        <w:t xml:space="preserve"> الدينية</w:t>
      </w:r>
      <w:r w:rsidRPr="007F5B58">
        <w:rPr>
          <w:rtl/>
        </w:rPr>
        <w:t>،</w:t>
      </w:r>
      <w:r w:rsidRPr="00931403">
        <w:rPr>
          <w:rtl/>
        </w:rPr>
        <w:t xml:space="preserve"> </w:t>
      </w:r>
      <w:r>
        <w:rPr>
          <w:rtl/>
        </w:rPr>
        <w:t>و</w:t>
      </w:r>
      <w:r w:rsidRPr="00931403">
        <w:rPr>
          <w:rtl/>
        </w:rPr>
        <w:t>ستتمّ الإشارة إلى ذلك في قسم الحكم الوضعي</w:t>
      </w:r>
      <w:r>
        <w:rPr>
          <w:rtl/>
        </w:rPr>
        <w:t>.</w:t>
      </w:r>
      <w:r w:rsidRPr="00931403">
        <w:rPr>
          <w:rtl/>
        </w:rPr>
        <w:t xml:space="preserve"> والمهور المرتفعة</w:t>
      </w:r>
      <w:r>
        <w:rPr>
          <w:rtl/>
        </w:rPr>
        <w:t xml:space="preserve"> ـ</w:t>
      </w:r>
      <w:r w:rsidRPr="00931403">
        <w:rPr>
          <w:rtl/>
        </w:rPr>
        <w:t xml:space="preserve"> كما كان يقول كبار علماء الفقه</w:t>
      </w:r>
      <w:r>
        <w:rPr>
          <w:rtl/>
        </w:rPr>
        <w:t xml:space="preserve"> ـ</w:t>
      </w:r>
      <w:r w:rsidRPr="00931403">
        <w:rPr>
          <w:rtl/>
        </w:rPr>
        <w:t xml:space="preserve"> محكومة بالكراهة ما دامت تشكّل مانعاً للزواج</w:t>
      </w:r>
      <w:r w:rsidRPr="007F5B58">
        <w:rPr>
          <w:rtl/>
        </w:rPr>
        <w:t>،</w:t>
      </w:r>
      <w:r w:rsidRPr="00931403">
        <w:rPr>
          <w:rtl/>
        </w:rPr>
        <w:t xml:space="preserve"> وهي في الوقت الحاضر تتحرّك باتجاه أن تكون حائلاً دونه</w:t>
      </w:r>
      <w:r w:rsidRPr="007F5B58">
        <w:rPr>
          <w:rtl/>
        </w:rPr>
        <w:t>،</w:t>
      </w:r>
      <w:r w:rsidRPr="00931403">
        <w:rPr>
          <w:rtl/>
        </w:rPr>
        <w:t xml:space="preserve"> من هنا نس</w:t>
      </w:r>
      <w:r>
        <w:rPr>
          <w:rtl/>
        </w:rPr>
        <w:t>تـن</w:t>
      </w:r>
      <w:r w:rsidRPr="00931403">
        <w:rPr>
          <w:rtl/>
        </w:rPr>
        <w:t xml:space="preserve">تج حرمتها الأكيدة. </w:t>
      </w:r>
      <w:r>
        <w:rPr>
          <w:rtl/>
        </w:rPr>
        <w:t xml:space="preserve">كما </w:t>
      </w:r>
      <w:r w:rsidRPr="00931403">
        <w:rPr>
          <w:rtl/>
        </w:rPr>
        <w:t>أنّها</w:t>
      </w:r>
      <w:r>
        <w:rPr>
          <w:rtl/>
        </w:rPr>
        <w:t xml:space="preserve"> كانت حراماً</w:t>
      </w:r>
      <w:r w:rsidRPr="00931403">
        <w:rPr>
          <w:rtl/>
        </w:rPr>
        <w:t xml:space="preserve"> في الماضي </w:t>
      </w:r>
      <w:r>
        <w:rPr>
          <w:rtl/>
        </w:rPr>
        <w:t>عندما</w:t>
      </w:r>
      <w:r w:rsidRPr="00931403">
        <w:rPr>
          <w:rtl/>
        </w:rPr>
        <w:t xml:space="preserve"> كانت مانعاً لزواج من وجب عليه الزواج</w:t>
      </w:r>
      <w:r w:rsidRPr="007F5B58">
        <w:rPr>
          <w:rtl/>
        </w:rPr>
        <w:t>،</w:t>
      </w:r>
      <w:r w:rsidRPr="00931403">
        <w:rPr>
          <w:rtl/>
        </w:rPr>
        <w:t xml:space="preserve"> وربما أصدر بعض الفقهاء الحكم بحرمتها</w:t>
      </w:r>
      <w:r>
        <w:rPr>
          <w:rtl/>
        </w:rPr>
        <w:t xml:space="preserve"> بسبب هذه الملاحظات</w:t>
      </w:r>
      <w:r w:rsidRPr="00815C4C">
        <w:rPr>
          <w:rFonts w:cs="Taher"/>
          <w:vertAlign w:val="superscript"/>
          <w:rtl/>
        </w:rPr>
        <w:t>(</w:t>
      </w:r>
      <w:r w:rsidRPr="00815C4C">
        <w:rPr>
          <w:rFonts w:cs="Taher"/>
          <w:vertAlign w:val="superscript"/>
          <w:rtl/>
        </w:rPr>
        <w:footnoteReference w:id="852"/>
      </w:r>
      <w:r w:rsidRPr="00815C4C">
        <w:rPr>
          <w:rFonts w:cs="Taher"/>
          <w:vertAlign w:val="superscript"/>
          <w:rtl/>
        </w:rPr>
        <w:t>)</w:t>
      </w:r>
      <w:r>
        <w:rPr>
          <w:rtl/>
        </w:rPr>
        <w:t xml:space="preserve">. </w:t>
      </w:r>
    </w:p>
    <w:p w:rsidR="0088518C" w:rsidRPr="00D063EC" w:rsidRDefault="0088518C" w:rsidP="00D063EC">
      <w:pPr>
        <w:pStyle w:val="afffffc"/>
        <w:rPr>
          <w:sz w:val="14"/>
          <w:szCs w:val="14"/>
          <w:rtl/>
        </w:rPr>
      </w:pPr>
    </w:p>
    <w:p w:rsidR="0088518C" w:rsidRPr="00931403" w:rsidRDefault="0088518C" w:rsidP="00980084">
      <w:pPr>
        <w:pStyle w:val="1"/>
        <w:rPr>
          <w:rtl/>
        </w:rPr>
      </w:pPr>
      <w:bookmarkStart w:id="451" w:name="_Toc275128161"/>
      <w:r w:rsidRPr="00931403">
        <w:rPr>
          <w:rtl/>
        </w:rPr>
        <w:t>الحكم الوضعي للمهور المرتفعة</w:t>
      </w:r>
      <w:bookmarkEnd w:id="451"/>
    </w:p>
    <w:p w:rsidR="0088518C" w:rsidRPr="00931403" w:rsidRDefault="0088518C" w:rsidP="00980084">
      <w:pPr>
        <w:pStyle w:val="ac"/>
        <w:rPr>
          <w:rtl/>
        </w:rPr>
      </w:pPr>
      <w:r w:rsidRPr="00931403">
        <w:rPr>
          <w:rtl/>
        </w:rPr>
        <w:t>الحكم بصحة التعهّد بوصفه عملاً حقوقياً يستلزم شروطاً متعددة</w:t>
      </w:r>
      <w:r w:rsidRPr="007F5B58">
        <w:rPr>
          <w:rtl/>
        </w:rPr>
        <w:t>،</w:t>
      </w:r>
      <w:r w:rsidRPr="00931403">
        <w:rPr>
          <w:rtl/>
        </w:rPr>
        <w:t xml:space="preserve"> </w:t>
      </w:r>
      <w:r>
        <w:rPr>
          <w:rtl/>
        </w:rPr>
        <w:t>و</w:t>
      </w:r>
      <w:r w:rsidRPr="00931403">
        <w:rPr>
          <w:rtl/>
        </w:rPr>
        <w:t xml:space="preserve">من جملتها إمكانية تأديته. </w:t>
      </w:r>
      <w:r>
        <w:rPr>
          <w:rtl/>
        </w:rPr>
        <w:t>و</w:t>
      </w:r>
      <w:r w:rsidRPr="00931403">
        <w:rPr>
          <w:rtl/>
        </w:rPr>
        <w:t xml:space="preserve">هذه حقيقة مقبولة ومعمولٌ بها في جميع الأنظمة الحقوقية الدينية </w:t>
      </w:r>
      <w:r w:rsidRPr="00931403">
        <w:rPr>
          <w:rtl/>
        </w:rPr>
        <w:lastRenderedPageBreak/>
        <w:t>والعلمانية على حدّ سواء</w:t>
      </w:r>
      <w:r w:rsidRPr="007F5B58">
        <w:rPr>
          <w:rtl/>
        </w:rPr>
        <w:t>،</w:t>
      </w:r>
      <w:r w:rsidRPr="00931403">
        <w:rPr>
          <w:rtl/>
        </w:rPr>
        <w:t xml:space="preserve"> </w:t>
      </w:r>
      <w:r>
        <w:rPr>
          <w:rtl/>
        </w:rPr>
        <w:t>بل</w:t>
      </w:r>
      <w:r w:rsidRPr="00931403">
        <w:rPr>
          <w:rtl/>
        </w:rPr>
        <w:t xml:space="preserve"> لا بدّ من القول</w:t>
      </w:r>
      <w:r w:rsidRPr="007F5B58">
        <w:rPr>
          <w:rtl/>
        </w:rPr>
        <w:t>:</w:t>
      </w:r>
      <w:r w:rsidRPr="00931403">
        <w:rPr>
          <w:rtl/>
        </w:rPr>
        <w:t xml:space="preserve"> </w:t>
      </w:r>
      <w:r>
        <w:rPr>
          <w:rtl/>
        </w:rPr>
        <w:t>إ</w:t>
      </w:r>
      <w:r w:rsidRPr="00931403">
        <w:rPr>
          <w:rtl/>
        </w:rPr>
        <w:t>نّ جميع أسس ومواد اتفاقية البيع الدولية تتّصل بكيفية التسليم والتسلّم</w:t>
      </w:r>
      <w:r w:rsidRPr="007F5B58">
        <w:rPr>
          <w:rtl/>
        </w:rPr>
        <w:t>،</w:t>
      </w:r>
      <w:r w:rsidRPr="00931403">
        <w:rPr>
          <w:rtl/>
        </w:rPr>
        <w:t xml:space="preserve"> أي التأدية ذاتها. إنّ هذا أمرٌ طبيعي</w:t>
      </w:r>
      <w:r w:rsidRPr="007F5B58">
        <w:rPr>
          <w:rtl/>
        </w:rPr>
        <w:t>؛</w:t>
      </w:r>
      <w:r w:rsidRPr="00931403">
        <w:rPr>
          <w:rtl/>
        </w:rPr>
        <w:t xml:space="preserve"> لأنّ التعهّد يتمّ أساساً بالاس</w:t>
      </w:r>
      <w:r>
        <w:rPr>
          <w:rtl/>
        </w:rPr>
        <w:t>تـن</w:t>
      </w:r>
      <w:r w:rsidRPr="00931403">
        <w:rPr>
          <w:rtl/>
        </w:rPr>
        <w:t>اد إلى إمكانية التأدية</w:t>
      </w:r>
      <w:r w:rsidRPr="007F5B58">
        <w:rPr>
          <w:rtl/>
        </w:rPr>
        <w:t>،</w:t>
      </w:r>
      <w:r w:rsidRPr="00931403">
        <w:rPr>
          <w:rtl/>
        </w:rPr>
        <w:t xml:space="preserve"> وإلاّ </w:t>
      </w:r>
      <w:r>
        <w:rPr>
          <w:rtl/>
        </w:rPr>
        <w:t>ف</w:t>
      </w:r>
      <w:r w:rsidRPr="00931403">
        <w:rPr>
          <w:rtl/>
        </w:rPr>
        <w:t xml:space="preserve">سوف يصبح ذات العمل أمراً عبثياً. </w:t>
      </w:r>
      <w:r>
        <w:rPr>
          <w:rtl/>
        </w:rPr>
        <w:t>و</w:t>
      </w:r>
      <w:r w:rsidRPr="00931403">
        <w:rPr>
          <w:rtl/>
        </w:rPr>
        <w:t>لهذا السبب تعتبر المعاملة باطلة في الحقوق والفقه إذا لم يكن إمكان للتسليم والتسلّم</w:t>
      </w:r>
      <w:r w:rsidRPr="007F5B58">
        <w:rPr>
          <w:rtl/>
        </w:rPr>
        <w:t>،</w:t>
      </w:r>
      <w:r w:rsidRPr="00931403">
        <w:rPr>
          <w:rtl/>
        </w:rPr>
        <w:t xml:space="preserve"> وإذا انتفى تكون المعاملة قابلة للفسخ</w:t>
      </w:r>
      <w:r w:rsidRPr="00815C4C">
        <w:rPr>
          <w:rFonts w:cs="Taher"/>
          <w:vertAlign w:val="superscript"/>
          <w:rtl/>
        </w:rPr>
        <w:t>(</w:t>
      </w:r>
      <w:r w:rsidRPr="00815C4C">
        <w:rPr>
          <w:rFonts w:cs="Taher"/>
          <w:vertAlign w:val="superscript"/>
          <w:rtl/>
        </w:rPr>
        <w:footnoteReference w:id="853"/>
      </w:r>
      <w:r w:rsidRPr="00815C4C">
        <w:rPr>
          <w:rFonts w:cs="Taher"/>
          <w:vertAlign w:val="superscript"/>
          <w:rtl/>
        </w:rPr>
        <w:t>)</w:t>
      </w:r>
      <w:r>
        <w:rPr>
          <w:rtl/>
        </w:rPr>
        <w:t>. وعليه</w:t>
      </w:r>
      <w:r w:rsidRPr="00931403">
        <w:rPr>
          <w:rtl/>
        </w:rPr>
        <w:t xml:space="preserve"> يجب التسليم بأنّ </w:t>
      </w:r>
      <w:r>
        <w:rPr>
          <w:rtl/>
        </w:rPr>
        <w:t xml:space="preserve">صحّة </w:t>
      </w:r>
      <w:r w:rsidRPr="00931403">
        <w:rPr>
          <w:rtl/>
        </w:rPr>
        <w:t>المهور المقصودة</w:t>
      </w:r>
      <w:r>
        <w:rPr>
          <w:rFonts w:hint="cs"/>
          <w:rtl/>
        </w:rPr>
        <w:t xml:space="preserve"> ـ</w:t>
      </w:r>
      <w:r w:rsidRPr="00931403">
        <w:rPr>
          <w:rtl/>
        </w:rPr>
        <w:t xml:space="preserve"> التي هي بلا أدنى شك فوق استطاعة المتعهّد </w:t>
      </w:r>
      <w:r>
        <w:rPr>
          <w:rFonts w:hint="cs"/>
          <w:rtl/>
        </w:rPr>
        <w:t xml:space="preserve">ـ </w:t>
      </w:r>
      <w:r w:rsidRPr="00931403">
        <w:rPr>
          <w:rtl/>
        </w:rPr>
        <w:t>موضع</w:t>
      </w:r>
      <w:r>
        <w:rPr>
          <w:rtl/>
        </w:rPr>
        <w:t>ُ</w:t>
      </w:r>
      <w:r w:rsidRPr="00931403">
        <w:rPr>
          <w:rtl/>
        </w:rPr>
        <w:t xml:space="preserve"> شكّ وترديد</w:t>
      </w:r>
      <w:r w:rsidRPr="007F5B58">
        <w:rPr>
          <w:rtl/>
        </w:rPr>
        <w:t>،</w:t>
      </w:r>
      <w:r w:rsidRPr="00931403">
        <w:rPr>
          <w:rtl/>
        </w:rPr>
        <w:t xml:space="preserve"> بالإضافة إلى أنّها من الناحية السلوكية عبارة عن فرض أحد الطرفين أمراً لا يطاق على الطرف الثاني</w:t>
      </w:r>
      <w:r w:rsidRPr="007F5B58">
        <w:rPr>
          <w:rtl/>
        </w:rPr>
        <w:t>،</w:t>
      </w:r>
      <w:r w:rsidRPr="00931403">
        <w:rPr>
          <w:rtl/>
        </w:rPr>
        <w:t xml:space="preserve"> وإعطاء الطرف المقابل وعداً بالتسديد</w:t>
      </w:r>
      <w:r w:rsidRPr="007F5B58">
        <w:rPr>
          <w:rtl/>
        </w:rPr>
        <w:t>،</w:t>
      </w:r>
      <w:r>
        <w:rPr>
          <w:rtl/>
        </w:rPr>
        <w:t xml:space="preserve"> مع أنه</w:t>
      </w:r>
      <w:r w:rsidRPr="00931403">
        <w:rPr>
          <w:rtl/>
        </w:rPr>
        <w:t xml:space="preserve"> ليس لديه </w:t>
      </w:r>
      <w:r>
        <w:rPr>
          <w:rtl/>
        </w:rPr>
        <w:t xml:space="preserve">أدنى أمل </w:t>
      </w:r>
      <w:r w:rsidRPr="00931403">
        <w:rPr>
          <w:rtl/>
        </w:rPr>
        <w:t>في ذلك</w:t>
      </w:r>
      <w:r w:rsidRPr="007F5B58">
        <w:rPr>
          <w:rtl/>
        </w:rPr>
        <w:t>،</w:t>
      </w:r>
      <w:r w:rsidRPr="00931403">
        <w:rPr>
          <w:rtl/>
        </w:rPr>
        <w:t xml:space="preserve"> أي </w:t>
      </w:r>
      <w:r>
        <w:rPr>
          <w:rtl/>
        </w:rPr>
        <w:t>تـن</w:t>
      </w:r>
      <w:r w:rsidRPr="00931403">
        <w:rPr>
          <w:rtl/>
        </w:rPr>
        <w:t>شأ علاقة أحد طرفيها فرض بالقوة</w:t>
      </w:r>
      <w:r w:rsidRPr="007F5B58">
        <w:rPr>
          <w:rtl/>
        </w:rPr>
        <w:t>،</w:t>
      </w:r>
      <w:r w:rsidRPr="00931403">
        <w:rPr>
          <w:rtl/>
        </w:rPr>
        <w:t xml:space="preserve"> والآخر عدم الصدق</w:t>
      </w:r>
      <w:r>
        <w:rPr>
          <w:rFonts w:hint="cs"/>
          <w:rtl/>
        </w:rPr>
        <w:t>.</w:t>
      </w:r>
      <w:r w:rsidRPr="00931403">
        <w:rPr>
          <w:rtl/>
        </w:rPr>
        <w:t xml:space="preserve"> وهذه الظاهرة التي تتشكّل متقارنة مع النكاح لا يمكن أن يكون لها نتائج طيبة في الحياة. إنّ لحاظ هذه الخصوصيات يجب أن يعتبر أساساً في اس</w:t>
      </w:r>
      <w:r>
        <w:rPr>
          <w:rtl/>
        </w:rPr>
        <w:t>تـن</w:t>
      </w:r>
      <w:r w:rsidRPr="00931403">
        <w:rPr>
          <w:rtl/>
        </w:rPr>
        <w:t>باط الرأي الفقهي الذي يصرّح بأنّ المتعه</w:t>
      </w:r>
      <w:r>
        <w:rPr>
          <w:rtl/>
        </w:rPr>
        <w:t>ِّ</w:t>
      </w:r>
      <w:r w:rsidRPr="00931403">
        <w:rPr>
          <w:rtl/>
        </w:rPr>
        <w:t xml:space="preserve">د </w:t>
      </w:r>
      <w:r>
        <w:rPr>
          <w:rtl/>
        </w:rPr>
        <w:t>ب</w:t>
      </w:r>
      <w:r w:rsidRPr="00931403">
        <w:rPr>
          <w:rtl/>
        </w:rPr>
        <w:t>مثل هذه المهور فاقد للقصد الجدّي على الدفع</w:t>
      </w:r>
      <w:r w:rsidRPr="007F5B58">
        <w:rPr>
          <w:rtl/>
        </w:rPr>
        <w:t>،</w:t>
      </w:r>
      <w:r w:rsidRPr="00931403">
        <w:rPr>
          <w:rtl/>
        </w:rPr>
        <w:t xml:space="preserve"> </w:t>
      </w:r>
      <w:r>
        <w:rPr>
          <w:rtl/>
        </w:rPr>
        <w:t>و</w:t>
      </w:r>
      <w:r w:rsidRPr="00931403">
        <w:rPr>
          <w:rtl/>
        </w:rPr>
        <w:t>بالأخصّ إذا كان المتعهّ</w:t>
      </w:r>
      <w:r>
        <w:rPr>
          <w:rtl/>
        </w:rPr>
        <w:t>َ</w:t>
      </w:r>
      <w:r w:rsidRPr="00931403">
        <w:rPr>
          <w:rtl/>
        </w:rPr>
        <w:t>د له لا يتمتّع بالحلم وسعة الصدر</w:t>
      </w:r>
      <w:r w:rsidRPr="007F5B58">
        <w:rPr>
          <w:rtl/>
        </w:rPr>
        <w:t>،</w:t>
      </w:r>
      <w:r w:rsidRPr="00931403">
        <w:rPr>
          <w:rtl/>
        </w:rPr>
        <w:t xml:space="preserve"> فإنّه يستطيع عبر الاستفادة من لوازم التعهّد أن يحو</w:t>
      </w:r>
      <w:r>
        <w:rPr>
          <w:rtl/>
        </w:rPr>
        <w:t>ِّ</w:t>
      </w:r>
      <w:r w:rsidRPr="00931403">
        <w:rPr>
          <w:rtl/>
        </w:rPr>
        <w:t>ل المتعهّد إلى آلة مسلوبة الإرادة</w:t>
      </w:r>
      <w:r w:rsidRPr="007F5B58">
        <w:rPr>
          <w:rtl/>
        </w:rPr>
        <w:t>،</w:t>
      </w:r>
      <w:r w:rsidRPr="00931403">
        <w:rPr>
          <w:rtl/>
        </w:rPr>
        <w:t xml:space="preserve"> </w:t>
      </w:r>
      <w:r>
        <w:rPr>
          <w:rtl/>
        </w:rPr>
        <w:t>و</w:t>
      </w:r>
      <w:r w:rsidRPr="00931403">
        <w:rPr>
          <w:rtl/>
        </w:rPr>
        <w:t xml:space="preserve">لن يكون </w:t>
      </w:r>
      <w:r>
        <w:rPr>
          <w:rtl/>
        </w:rPr>
        <w:t xml:space="preserve">ذلك </w:t>
      </w:r>
      <w:r w:rsidRPr="00931403">
        <w:rPr>
          <w:rtl/>
        </w:rPr>
        <w:t>عملاً محبّ</w:t>
      </w:r>
      <w:r>
        <w:rPr>
          <w:rtl/>
        </w:rPr>
        <w:t>َ</w:t>
      </w:r>
      <w:r w:rsidRPr="00931403">
        <w:rPr>
          <w:rtl/>
        </w:rPr>
        <w:t>ذاً</w:t>
      </w:r>
      <w:r w:rsidRPr="007F5B58">
        <w:rPr>
          <w:rtl/>
        </w:rPr>
        <w:t>،</w:t>
      </w:r>
      <w:r w:rsidRPr="00931403">
        <w:rPr>
          <w:rtl/>
        </w:rPr>
        <w:t xml:space="preserve"> ولا يمكن أن يستمر</w:t>
      </w:r>
      <w:r w:rsidRPr="007F5B58">
        <w:rPr>
          <w:rtl/>
        </w:rPr>
        <w:t>،</w:t>
      </w:r>
      <w:r w:rsidRPr="00931403">
        <w:rPr>
          <w:rtl/>
        </w:rPr>
        <w:t xml:space="preserve"> ولا يمكن أن يعتبر دليلاً على العلاقة الحميمة بين الزوج وزوجته</w:t>
      </w:r>
      <w:r w:rsidRPr="007F5B58">
        <w:rPr>
          <w:rtl/>
        </w:rPr>
        <w:t>،</w:t>
      </w:r>
      <w:r w:rsidRPr="00931403">
        <w:rPr>
          <w:rtl/>
        </w:rPr>
        <w:t xml:space="preserve"> ولا</w:t>
      </w:r>
      <w:r>
        <w:rPr>
          <w:rtl/>
        </w:rPr>
        <w:t>.</w:t>
      </w:r>
      <w:r w:rsidRPr="00931403">
        <w:rPr>
          <w:rtl/>
        </w:rPr>
        <w:t>.</w:t>
      </w:r>
      <w:r>
        <w:rPr>
          <w:rFonts w:hint="cs"/>
          <w:rtl/>
        </w:rPr>
        <w:t>.</w:t>
      </w:r>
      <w:r w:rsidRPr="00931403">
        <w:rPr>
          <w:rtl/>
        </w:rPr>
        <w:t xml:space="preserve"> </w:t>
      </w:r>
      <w:r>
        <w:rPr>
          <w:rtl/>
        </w:rPr>
        <w:t>ولعل</w:t>
      </w:r>
      <w:r w:rsidRPr="00931403">
        <w:rPr>
          <w:rtl/>
        </w:rPr>
        <w:t xml:space="preserve"> هذه المفاسد في المهور الباه</w:t>
      </w:r>
      <w:r>
        <w:rPr>
          <w:rtl/>
        </w:rPr>
        <w:t>ظ</w:t>
      </w:r>
      <w:r w:rsidRPr="00931403">
        <w:rPr>
          <w:rtl/>
        </w:rPr>
        <w:t>ة والمصالح المستترة في المهور المناسبة هي ما كان يرمي إليه الشارع المقدّس حي</w:t>
      </w:r>
      <w:r>
        <w:rPr>
          <w:rtl/>
        </w:rPr>
        <w:t>ن</w:t>
      </w:r>
      <w:r w:rsidRPr="00931403">
        <w:rPr>
          <w:rtl/>
        </w:rPr>
        <w:t xml:space="preserve"> أشار في مناسبات مختلفة إلى كراهة المهر المرتفع</w:t>
      </w:r>
      <w:r w:rsidRPr="007F5B58">
        <w:rPr>
          <w:rtl/>
        </w:rPr>
        <w:t>،</w:t>
      </w:r>
      <w:r w:rsidRPr="00931403">
        <w:rPr>
          <w:rtl/>
        </w:rPr>
        <w:t xml:space="preserve"> واستحباب المهر القليل</w:t>
      </w:r>
      <w:r>
        <w:rPr>
          <w:rtl/>
        </w:rPr>
        <w:t xml:space="preserve">. قال تعالى في </w:t>
      </w:r>
      <w:r w:rsidRPr="00931403">
        <w:rPr>
          <w:rtl/>
        </w:rPr>
        <w:t>الآية (236) من سورة البقرة</w:t>
      </w:r>
      <w:r w:rsidRPr="007F5B58">
        <w:rPr>
          <w:rtl/>
        </w:rPr>
        <w:t>:</w:t>
      </w:r>
      <w:r w:rsidRPr="00931403">
        <w:rPr>
          <w:rtl/>
        </w:rPr>
        <w:t xml:space="preserve"> </w:t>
      </w:r>
      <w:r w:rsidRPr="00D66643">
        <w:rPr>
          <w:rFonts w:cs="Taher"/>
          <w:b/>
          <w:bCs/>
          <w:rtl/>
        </w:rPr>
        <w:t>{</w:t>
      </w:r>
      <w:r w:rsidRPr="00980084">
        <w:rPr>
          <w:b/>
          <w:bCs/>
          <w:rtl/>
        </w:rPr>
        <w:t xml:space="preserve">لا جُنَاحَ عَلَيْكُمْ إِن طَلَّقْتُمُ النِّسَاءَ مَا لَمْ تَمَسُّوهُنُّ أَوْ تَفْرِضُواْ لَهُنَّ فَرِيضَةً وَمَتِّعُوهُنَّ عَلَى المُوسِعِ قَدَرُهُ وَعَلَى المُقْتِرِ قَدْرُهُ مَتَاعاً </w:t>
      </w:r>
      <w:r w:rsidRPr="00980084">
        <w:rPr>
          <w:b/>
          <w:bCs/>
          <w:rtl/>
        </w:rPr>
        <w:lastRenderedPageBreak/>
        <w:t>بِالمَعْرُوفِ حَقّاً عَلَى المُحْسِنِينَ</w:t>
      </w:r>
      <w:r w:rsidRPr="00D66643">
        <w:rPr>
          <w:rFonts w:cs="Taher"/>
          <w:b/>
          <w:bCs/>
          <w:rtl/>
        </w:rPr>
        <w:t>}</w:t>
      </w:r>
      <w:r w:rsidRPr="00931403">
        <w:rPr>
          <w:rtl/>
        </w:rPr>
        <w:t>.</w:t>
      </w:r>
    </w:p>
    <w:p w:rsidR="0088518C" w:rsidRPr="00931403" w:rsidRDefault="0088518C" w:rsidP="0051769C">
      <w:pPr>
        <w:pStyle w:val="ac"/>
        <w:rPr>
          <w:rtl/>
        </w:rPr>
      </w:pPr>
      <w:r>
        <w:rPr>
          <w:rtl/>
        </w:rPr>
        <w:t xml:space="preserve">وهذه </w:t>
      </w:r>
      <w:r w:rsidRPr="00931403">
        <w:rPr>
          <w:rtl/>
        </w:rPr>
        <w:t>الآية ترتبط بمهر المتعة</w:t>
      </w:r>
      <w:r w:rsidRPr="007F5B58">
        <w:rPr>
          <w:rtl/>
        </w:rPr>
        <w:t>،</w:t>
      </w:r>
      <w:r w:rsidRPr="00931403">
        <w:rPr>
          <w:rtl/>
        </w:rPr>
        <w:t xml:space="preserve"> إلاّ أنّ معيارها عام</w:t>
      </w:r>
      <w:r w:rsidRPr="007F5B58">
        <w:rPr>
          <w:rtl/>
        </w:rPr>
        <w:t>،</w:t>
      </w:r>
      <w:r w:rsidRPr="00931403">
        <w:rPr>
          <w:rtl/>
        </w:rPr>
        <w:t xml:space="preserve"> ولا تختصّ بمهر المتعة</w:t>
      </w:r>
      <w:r>
        <w:rPr>
          <w:rFonts w:hint="cs"/>
          <w:rtl/>
        </w:rPr>
        <w:t>.</w:t>
      </w:r>
      <w:r w:rsidRPr="00931403">
        <w:rPr>
          <w:rtl/>
        </w:rPr>
        <w:t xml:space="preserve"> وبالنظر إلى ال</w:t>
      </w:r>
      <w:r>
        <w:rPr>
          <w:rtl/>
        </w:rPr>
        <w:t>إ</w:t>
      </w:r>
      <w:r w:rsidRPr="00931403">
        <w:rPr>
          <w:rtl/>
        </w:rPr>
        <w:t>سناد العقلي لهذه الآية فإنّ الحكم هو حكم إرشادي</w:t>
      </w:r>
      <w:r w:rsidRPr="007F5B58">
        <w:rPr>
          <w:rtl/>
        </w:rPr>
        <w:t>؛</w:t>
      </w:r>
      <w:r w:rsidRPr="00931403">
        <w:rPr>
          <w:rtl/>
        </w:rPr>
        <w:t xml:space="preserve"> لأنّه لا يمكن القول</w:t>
      </w:r>
      <w:r w:rsidRPr="007F5B58">
        <w:rPr>
          <w:rtl/>
        </w:rPr>
        <w:t>:</w:t>
      </w:r>
      <w:r w:rsidRPr="00931403">
        <w:rPr>
          <w:rtl/>
        </w:rPr>
        <w:t xml:space="preserve"> إنّ على الفرد أن يتعهّد بما هو فوق طاقته</w:t>
      </w:r>
      <w:r>
        <w:rPr>
          <w:rFonts w:hint="cs"/>
          <w:rtl/>
        </w:rPr>
        <w:t>.</w:t>
      </w:r>
      <w:r w:rsidRPr="00931403">
        <w:rPr>
          <w:rtl/>
        </w:rPr>
        <w:t xml:space="preserve"> فالعقل يحكم ب</w:t>
      </w:r>
      <w:r>
        <w:rPr>
          <w:rtl/>
        </w:rPr>
        <w:t>تـن</w:t>
      </w:r>
      <w:r w:rsidRPr="00931403">
        <w:rPr>
          <w:rtl/>
        </w:rPr>
        <w:t>اسب السعة والتعهّد</w:t>
      </w:r>
      <w:r w:rsidRPr="007F5B58">
        <w:rPr>
          <w:rtl/>
        </w:rPr>
        <w:t>،</w:t>
      </w:r>
      <w:r w:rsidRPr="00931403">
        <w:rPr>
          <w:rtl/>
        </w:rPr>
        <w:t xml:space="preserve"> وأ</w:t>
      </w:r>
      <w:r>
        <w:rPr>
          <w:rtl/>
        </w:rPr>
        <w:t>ن لا</w:t>
      </w:r>
      <w:r w:rsidRPr="00931403">
        <w:rPr>
          <w:rtl/>
        </w:rPr>
        <w:t xml:space="preserve"> يصبح ذلك</w:t>
      </w:r>
      <w:r w:rsidRPr="007F5B58">
        <w:rPr>
          <w:rtl/>
        </w:rPr>
        <w:t>،</w:t>
      </w:r>
      <w:r w:rsidRPr="00931403">
        <w:rPr>
          <w:rtl/>
        </w:rPr>
        <w:t xml:space="preserve"> تكليف</w:t>
      </w:r>
      <w:r>
        <w:rPr>
          <w:rtl/>
        </w:rPr>
        <w:t>اً</w:t>
      </w:r>
      <w:r w:rsidRPr="00931403">
        <w:rPr>
          <w:rtl/>
        </w:rPr>
        <w:t xml:space="preserve"> </w:t>
      </w:r>
      <w:r>
        <w:rPr>
          <w:rtl/>
        </w:rPr>
        <w:t>ب</w:t>
      </w:r>
      <w:r w:rsidRPr="00931403">
        <w:rPr>
          <w:rtl/>
        </w:rPr>
        <w:t>ما لا يطاق</w:t>
      </w:r>
      <w:r w:rsidRPr="007F5B58">
        <w:rPr>
          <w:rtl/>
        </w:rPr>
        <w:t>،</w:t>
      </w:r>
      <w:r w:rsidRPr="00931403">
        <w:rPr>
          <w:rtl/>
        </w:rPr>
        <w:t xml:space="preserve"> </w:t>
      </w:r>
      <w:r>
        <w:rPr>
          <w:rtl/>
        </w:rPr>
        <w:t>و</w:t>
      </w:r>
      <w:r w:rsidRPr="00931403">
        <w:rPr>
          <w:rtl/>
        </w:rPr>
        <w:t>تعهد</w:t>
      </w:r>
      <w:r>
        <w:rPr>
          <w:rtl/>
        </w:rPr>
        <w:t>اً</w:t>
      </w:r>
      <w:r w:rsidRPr="00931403">
        <w:rPr>
          <w:rtl/>
        </w:rPr>
        <w:t xml:space="preserve"> غير قابل للتسليم</w:t>
      </w:r>
      <w:r w:rsidRPr="007F5B58">
        <w:rPr>
          <w:rtl/>
        </w:rPr>
        <w:t>؛</w:t>
      </w:r>
      <w:r w:rsidRPr="00931403">
        <w:rPr>
          <w:rtl/>
        </w:rPr>
        <w:t xml:space="preserve"> ف</w:t>
      </w:r>
      <w:r>
        <w:rPr>
          <w:rtl/>
        </w:rPr>
        <w:t xml:space="preserve">إن </w:t>
      </w:r>
      <w:r w:rsidRPr="00931403">
        <w:rPr>
          <w:rtl/>
        </w:rPr>
        <w:t>هذا عمل مذموم وباطل.</w:t>
      </w:r>
    </w:p>
    <w:p w:rsidR="0088518C" w:rsidRDefault="0088518C" w:rsidP="00C86626">
      <w:pPr>
        <w:pStyle w:val="ac"/>
      </w:pPr>
      <w:r>
        <w:rPr>
          <w:rtl/>
        </w:rPr>
        <w:t>و</w:t>
      </w:r>
      <w:r w:rsidRPr="00931403">
        <w:rPr>
          <w:rtl/>
        </w:rPr>
        <w:t>نحن نتجنّب نقل الروايات</w:t>
      </w:r>
      <w:r w:rsidRPr="007F5B58">
        <w:rPr>
          <w:rtl/>
        </w:rPr>
        <w:t>؛</w:t>
      </w:r>
      <w:r w:rsidRPr="00931403">
        <w:rPr>
          <w:rtl/>
        </w:rPr>
        <w:t xml:space="preserve"> لكثرتها</w:t>
      </w:r>
      <w:r w:rsidRPr="007F5B58">
        <w:rPr>
          <w:rtl/>
        </w:rPr>
        <w:t>،</w:t>
      </w:r>
      <w:r w:rsidRPr="00931403">
        <w:rPr>
          <w:rtl/>
        </w:rPr>
        <w:t xml:space="preserve"> ونكتفي بالتذكير أنّ الشيخ الحرّ العاملي</w:t>
      </w:r>
      <w:r w:rsidRPr="007F5B58">
        <w:rPr>
          <w:rtl/>
        </w:rPr>
        <w:t>،</w:t>
      </w:r>
      <w:r w:rsidRPr="00931403">
        <w:rPr>
          <w:rtl/>
        </w:rPr>
        <w:t xml:space="preserve"> مؤلف واحدة من المجموعات الحديثية الشيعية</w:t>
      </w:r>
      <w:r w:rsidRPr="007F5B58">
        <w:rPr>
          <w:rtl/>
        </w:rPr>
        <w:t>،</w:t>
      </w:r>
      <w:r w:rsidRPr="00931403">
        <w:rPr>
          <w:rtl/>
        </w:rPr>
        <w:t xml:space="preserve"> خصّص الباب الرابع من كتاب </w:t>
      </w:r>
      <w:r>
        <w:rPr>
          <w:rtl/>
        </w:rPr>
        <w:t>«</w:t>
      </w:r>
      <w:r w:rsidRPr="00931403">
        <w:rPr>
          <w:rtl/>
        </w:rPr>
        <w:t>وسائل الشيعة</w:t>
      </w:r>
      <w:r>
        <w:rPr>
          <w:rtl/>
        </w:rPr>
        <w:t>»</w:t>
      </w:r>
      <w:r w:rsidRPr="00931403">
        <w:rPr>
          <w:rtl/>
        </w:rPr>
        <w:t xml:space="preserve"> لاستحباب مهر السنّة</w:t>
      </w:r>
      <w:r w:rsidRPr="007F5B58">
        <w:rPr>
          <w:rtl/>
        </w:rPr>
        <w:t>،</w:t>
      </w:r>
      <w:r w:rsidRPr="00931403">
        <w:rPr>
          <w:rtl/>
        </w:rPr>
        <w:t xml:space="preserve"> وجمع (11) حديثاً في هامشها</w:t>
      </w:r>
      <w:r w:rsidRPr="007F5B58">
        <w:rPr>
          <w:rtl/>
        </w:rPr>
        <w:t>،</w:t>
      </w:r>
      <w:r w:rsidRPr="00931403">
        <w:rPr>
          <w:rtl/>
        </w:rPr>
        <w:t xml:space="preserve"> و</w:t>
      </w:r>
      <w:r>
        <w:rPr>
          <w:rtl/>
        </w:rPr>
        <w:t>خصَّص</w:t>
      </w:r>
      <w:r w:rsidRPr="00931403">
        <w:rPr>
          <w:rtl/>
        </w:rPr>
        <w:t xml:space="preserve"> الباب الخامس منه لكراهة المهر المرتفع واستحباب المهرالقليل</w:t>
      </w:r>
      <w:r w:rsidRPr="007F5B58">
        <w:rPr>
          <w:rtl/>
        </w:rPr>
        <w:t>،</w:t>
      </w:r>
      <w:r w:rsidRPr="00931403">
        <w:rPr>
          <w:rtl/>
        </w:rPr>
        <w:t xml:space="preserve"> </w:t>
      </w:r>
      <w:r>
        <w:rPr>
          <w:rtl/>
        </w:rPr>
        <w:t>و</w:t>
      </w:r>
      <w:r w:rsidRPr="00931403">
        <w:rPr>
          <w:rtl/>
        </w:rPr>
        <w:t>جم</w:t>
      </w:r>
      <w:r>
        <w:rPr>
          <w:rtl/>
        </w:rPr>
        <w:t>ع فيه أيضاً (12) حديثاً آخر</w:t>
      </w:r>
      <w:r w:rsidRPr="00815C4C">
        <w:rPr>
          <w:rFonts w:cs="Taher"/>
          <w:vertAlign w:val="superscript"/>
          <w:rtl/>
        </w:rPr>
        <w:t>(</w:t>
      </w:r>
      <w:r w:rsidRPr="00815C4C">
        <w:rPr>
          <w:rFonts w:cs="Taher"/>
          <w:vertAlign w:val="superscript"/>
          <w:rtl/>
        </w:rPr>
        <w:footnoteReference w:id="854"/>
      </w:r>
      <w:r w:rsidRPr="00815C4C">
        <w:rPr>
          <w:rFonts w:cs="Taher"/>
          <w:vertAlign w:val="superscript"/>
          <w:rtl/>
        </w:rPr>
        <w:t>)</w:t>
      </w:r>
      <w:r w:rsidRPr="00722052">
        <w:rPr>
          <w:rFonts w:cs="Taher"/>
          <w:sz w:val="32"/>
          <w:szCs w:val="32"/>
          <w:rtl/>
        </w:rPr>
        <w:t>.</w:t>
      </w:r>
      <w:r>
        <w:rPr>
          <w:rFonts w:cs="Taher"/>
          <w:sz w:val="32"/>
          <w:szCs w:val="32"/>
          <w:rtl/>
        </w:rPr>
        <w:t xml:space="preserve"> </w:t>
      </w:r>
      <w:r w:rsidRPr="00931403">
        <w:rPr>
          <w:rtl/>
        </w:rPr>
        <w:t>وبالنظر إلى أنّ مهر السنّة</w:t>
      </w:r>
      <w:r w:rsidRPr="007F5B58">
        <w:rPr>
          <w:rtl/>
        </w:rPr>
        <w:t>،</w:t>
      </w:r>
      <w:r w:rsidRPr="00931403">
        <w:rPr>
          <w:rtl/>
        </w:rPr>
        <w:t xml:space="preserve"> أي المهر الذي جعله النبي الكريم</w:t>
      </w:r>
      <w:r w:rsidR="00C86626">
        <w:rPr>
          <w:rFonts w:hint="cs"/>
          <w:rtl/>
        </w:rPr>
        <w:t>’</w:t>
      </w:r>
      <w:r w:rsidRPr="00931403">
        <w:rPr>
          <w:rtl/>
        </w:rPr>
        <w:t xml:space="preserve"> لزوجاته وابنته السيدة الزهراء</w:t>
      </w:r>
      <w:r w:rsidRPr="00361C2C">
        <w:rPr>
          <w:rFonts w:cs="Taher"/>
          <w:rtl/>
        </w:rPr>
        <w:t>÷</w:t>
      </w:r>
      <w:r w:rsidRPr="00931403">
        <w:rPr>
          <w:rtl/>
        </w:rPr>
        <w:t xml:space="preserve"> هو (500) درهم</w:t>
      </w:r>
      <w:r>
        <w:rPr>
          <w:rFonts w:hint="cs"/>
          <w:rtl/>
        </w:rPr>
        <w:t>،</w:t>
      </w:r>
      <w:r w:rsidRPr="00931403">
        <w:rPr>
          <w:rtl/>
        </w:rPr>
        <w:t xml:space="preserve"> ويعادل (262.5) مثقال من الفضة المسكوكة</w:t>
      </w:r>
      <w:r w:rsidRPr="00815C4C">
        <w:rPr>
          <w:rFonts w:cs="Taher"/>
          <w:vertAlign w:val="superscript"/>
          <w:rtl/>
        </w:rPr>
        <w:t>(</w:t>
      </w:r>
      <w:r w:rsidRPr="00815C4C">
        <w:rPr>
          <w:rFonts w:cs="Taher"/>
          <w:vertAlign w:val="superscript"/>
          <w:rtl/>
        </w:rPr>
        <w:footnoteReference w:id="855"/>
      </w:r>
      <w:r w:rsidRPr="00815C4C">
        <w:rPr>
          <w:rFonts w:cs="Taher"/>
          <w:vertAlign w:val="superscript"/>
          <w:rtl/>
        </w:rPr>
        <w:t>)</w:t>
      </w:r>
      <w:r>
        <w:rPr>
          <w:rFonts w:hint="cs"/>
          <w:rtl/>
        </w:rPr>
        <w:t xml:space="preserve">، </w:t>
      </w:r>
      <w:r w:rsidRPr="00931403">
        <w:rPr>
          <w:rtl/>
        </w:rPr>
        <w:t>يبدو من المناسب أن يكون معياراً للمهر في الفقه ومصادره</w:t>
      </w:r>
      <w:r>
        <w:rPr>
          <w:rFonts w:hint="cs"/>
          <w:rtl/>
        </w:rPr>
        <w:t>.</w:t>
      </w:r>
      <w:r w:rsidRPr="00931403">
        <w:rPr>
          <w:rtl/>
        </w:rPr>
        <w:t xml:space="preserve"> وما يؤيّد هذا الرأي هو أنّه لدينا في واحدة من المجموعات الحديثية فقط (23) حديثاً في موضوع استحباب المهر القليل ومطلوبية مهر السنة. </w:t>
      </w:r>
      <w:r>
        <w:rPr>
          <w:rtl/>
        </w:rPr>
        <w:t>وتجدر الإشارة هنا إلى</w:t>
      </w:r>
      <w:r w:rsidRPr="00931403">
        <w:rPr>
          <w:rtl/>
        </w:rPr>
        <w:t xml:space="preserve"> أنّ الذمّ يختصّ بالمهور التي باستطاعة المتعهد تأديتها</w:t>
      </w:r>
      <w:r w:rsidRPr="007F5B58">
        <w:rPr>
          <w:rtl/>
        </w:rPr>
        <w:t>،</w:t>
      </w:r>
      <w:r w:rsidRPr="00931403">
        <w:rPr>
          <w:rtl/>
        </w:rPr>
        <w:t xml:space="preserve"> وإلاّ </w:t>
      </w:r>
      <w:r>
        <w:rPr>
          <w:rFonts w:hint="cs"/>
          <w:rtl/>
        </w:rPr>
        <w:t xml:space="preserve">فإن </w:t>
      </w:r>
      <w:r w:rsidRPr="00931403">
        <w:rPr>
          <w:rtl/>
        </w:rPr>
        <w:t>المهور الخارجة عن الوسع محرّمة وباطلة.</w:t>
      </w:r>
    </w:p>
    <w:p w:rsidR="0051769C" w:rsidRPr="00D063EC" w:rsidRDefault="0051769C" w:rsidP="00D063EC">
      <w:pPr>
        <w:pStyle w:val="afffffc"/>
        <w:rPr>
          <w:sz w:val="20"/>
          <w:szCs w:val="18"/>
          <w:rtl/>
        </w:rPr>
      </w:pPr>
    </w:p>
    <w:p w:rsidR="0088518C" w:rsidRPr="00931403" w:rsidRDefault="0088518C" w:rsidP="0051769C">
      <w:pPr>
        <w:pStyle w:val="1"/>
        <w:rPr>
          <w:rtl/>
        </w:rPr>
      </w:pPr>
      <w:bookmarkStart w:id="452" w:name="_Toc275128162"/>
      <w:r w:rsidRPr="00931403">
        <w:rPr>
          <w:rtl/>
        </w:rPr>
        <w:t>الهدف المرجوّ</w:t>
      </w:r>
      <w:bookmarkEnd w:id="452"/>
    </w:p>
    <w:p w:rsidR="0088518C" w:rsidRPr="00931403" w:rsidRDefault="0088518C" w:rsidP="00BC2CEF">
      <w:pPr>
        <w:pStyle w:val="ac"/>
        <w:rPr>
          <w:rtl/>
        </w:rPr>
      </w:pPr>
      <w:r w:rsidRPr="00931403">
        <w:rPr>
          <w:rtl/>
        </w:rPr>
        <w:t xml:space="preserve">من مجموع النقاط المذكورة يتبادر إلى الذهن السؤال </w:t>
      </w:r>
      <w:r>
        <w:rPr>
          <w:rtl/>
        </w:rPr>
        <w:t>التالي</w:t>
      </w:r>
      <w:r w:rsidRPr="007F5B58">
        <w:rPr>
          <w:rtl/>
        </w:rPr>
        <w:t>:</w:t>
      </w:r>
      <w:r w:rsidRPr="00931403">
        <w:rPr>
          <w:rtl/>
        </w:rPr>
        <w:t xml:space="preserve"> أليست الدولة الإسلامية</w:t>
      </w:r>
      <w:r w:rsidRPr="007F5B58">
        <w:rPr>
          <w:rtl/>
        </w:rPr>
        <w:t>،</w:t>
      </w:r>
      <w:r w:rsidRPr="00931403">
        <w:rPr>
          <w:rtl/>
        </w:rPr>
        <w:t xml:space="preserve"> وفي ضوء استحباب المهر القليل</w:t>
      </w:r>
      <w:r w:rsidRPr="007F5B58">
        <w:rPr>
          <w:rtl/>
        </w:rPr>
        <w:t>،</w:t>
      </w:r>
      <w:r w:rsidRPr="00931403">
        <w:rPr>
          <w:rtl/>
        </w:rPr>
        <w:t xml:space="preserve"> </w:t>
      </w:r>
      <w:r>
        <w:rPr>
          <w:rtl/>
        </w:rPr>
        <w:t>و</w:t>
      </w:r>
      <w:r w:rsidRPr="00931403">
        <w:rPr>
          <w:rtl/>
        </w:rPr>
        <w:t>حرمة المهر المرتفع</w:t>
      </w:r>
      <w:r w:rsidRPr="007F5B58">
        <w:rPr>
          <w:rtl/>
        </w:rPr>
        <w:t>،</w:t>
      </w:r>
      <w:r w:rsidRPr="00931403">
        <w:rPr>
          <w:rtl/>
        </w:rPr>
        <w:t xml:space="preserve"> حيث يستدلّ من </w:t>
      </w:r>
      <w:r w:rsidRPr="00931403">
        <w:rPr>
          <w:rtl/>
        </w:rPr>
        <w:lastRenderedPageBreak/>
        <w:t>هذين ال</w:t>
      </w:r>
      <w:r>
        <w:rPr>
          <w:rtl/>
        </w:rPr>
        <w:t>حكم</w:t>
      </w:r>
      <w:r w:rsidRPr="00931403">
        <w:rPr>
          <w:rtl/>
        </w:rPr>
        <w:t>ين على المطلوبية الشرعية للعمل</w:t>
      </w:r>
      <w:r w:rsidRPr="007F5B58">
        <w:rPr>
          <w:rtl/>
        </w:rPr>
        <w:t>،</w:t>
      </w:r>
      <w:r w:rsidRPr="00931403">
        <w:rPr>
          <w:rtl/>
        </w:rPr>
        <w:t xml:space="preserve"> والذمّ العقلي للمهر المرتفع</w:t>
      </w:r>
      <w:r w:rsidRPr="007F5B58">
        <w:rPr>
          <w:rtl/>
        </w:rPr>
        <w:t>،</w:t>
      </w:r>
      <w:r w:rsidRPr="00931403">
        <w:rPr>
          <w:rtl/>
        </w:rPr>
        <w:t xml:space="preserve"> وكذلك بطلانه من الناحية الحقوقية</w:t>
      </w:r>
      <w:r w:rsidRPr="007F5B58">
        <w:rPr>
          <w:rtl/>
        </w:rPr>
        <w:t>،</w:t>
      </w:r>
      <w:r w:rsidRPr="00931403">
        <w:rPr>
          <w:rtl/>
        </w:rPr>
        <w:t xml:space="preserve"> وانتفاء الناقل الشرعي للمهر على أثر البطلان</w:t>
      </w:r>
      <w:r w:rsidRPr="007F5B58">
        <w:rPr>
          <w:rtl/>
        </w:rPr>
        <w:t>،</w:t>
      </w:r>
      <w:r w:rsidRPr="00931403">
        <w:rPr>
          <w:rtl/>
        </w:rPr>
        <w:t xml:space="preserve"> وفي النهاية أكل مال الغير بالباطل</w:t>
      </w:r>
      <w:r w:rsidRPr="007F5B58">
        <w:rPr>
          <w:rtl/>
        </w:rPr>
        <w:t>،</w:t>
      </w:r>
      <w:r w:rsidRPr="00931403">
        <w:rPr>
          <w:rtl/>
        </w:rPr>
        <w:t xml:space="preserve"> والقبح الأخلاقي لهذا النوع من المهور</w:t>
      </w:r>
      <w:r w:rsidRPr="007F5B58">
        <w:rPr>
          <w:rtl/>
        </w:rPr>
        <w:t>،</w:t>
      </w:r>
      <w:r w:rsidRPr="00931403">
        <w:rPr>
          <w:rtl/>
        </w:rPr>
        <w:t xml:space="preserve"> ومانعيّته للنكاح</w:t>
      </w:r>
      <w:r w:rsidRPr="007F5B58">
        <w:rPr>
          <w:rtl/>
        </w:rPr>
        <w:t>،</w:t>
      </w:r>
      <w:r w:rsidRPr="00931403">
        <w:rPr>
          <w:rtl/>
        </w:rPr>
        <w:t xml:space="preserve"> وتمهيده لفرص تفكّك الأسر</w:t>
      </w:r>
      <w:r w:rsidRPr="007F5B58">
        <w:rPr>
          <w:rtl/>
        </w:rPr>
        <w:t>،</w:t>
      </w:r>
      <w:r w:rsidRPr="00931403">
        <w:rPr>
          <w:rtl/>
        </w:rPr>
        <w:t xml:space="preserve"> و...</w:t>
      </w:r>
      <w:r w:rsidRPr="007F5B58">
        <w:rPr>
          <w:rtl/>
        </w:rPr>
        <w:t>،</w:t>
      </w:r>
      <w:r w:rsidRPr="00931403">
        <w:rPr>
          <w:rtl/>
        </w:rPr>
        <w:t xml:space="preserve"> أقول</w:t>
      </w:r>
      <w:r w:rsidRPr="007F5B58">
        <w:rPr>
          <w:rtl/>
        </w:rPr>
        <w:t>:</w:t>
      </w:r>
      <w:r w:rsidRPr="00931403">
        <w:rPr>
          <w:rtl/>
        </w:rPr>
        <w:t xml:space="preserve"> أليست الدولة الإسلامية في ضوء كل هذه الأسباب مكلّفة بالعمل </w:t>
      </w:r>
      <w:r>
        <w:rPr>
          <w:rtl/>
        </w:rPr>
        <w:t xml:space="preserve">على </w:t>
      </w:r>
      <w:r w:rsidRPr="00931403">
        <w:rPr>
          <w:rtl/>
        </w:rPr>
        <w:t xml:space="preserve">إزالة هذا المعضل؟ وإذا كان الجواب بالإيجاب </w:t>
      </w:r>
      <w:r>
        <w:rPr>
          <w:rtl/>
        </w:rPr>
        <w:t>ف</w:t>
      </w:r>
      <w:r w:rsidRPr="00931403">
        <w:rPr>
          <w:rtl/>
        </w:rPr>
        <w:t>ما هو الإجراء المتيسّ</w:t>
      </w:r>
      <w:r>
        <w:rPr>
          <w:rtl/>
        </w:rPr>
        <w:t>ِ</w:t>
      </w:r>
      <w:r w:rsidRPr="00931403">
        <w:rPr>
          <w:rtl/>
        </w:rPr>
        <w:t>ر؟ إنّ ما هو مؤكّد و</w:t>
      </w:r>
      <w:r>
        <w:rPr>
          <w:rtl/>
        </w:rPr>
        <w:t>ظاهر</w:t>
      </w:r>
      <w:r w:rsidRPr="00931403">
        <w:rPr>
          <w:rtl/>
        </w:rPr>
        <w:t xml:space="preserve"> من هذه المقالة أنّ الوضع الموجود يسير على غير هدىً</w:t>
      </w:r>
      <w:r w:rsidRPr="007F5B58">
        <w:rPr>
          <w:rtl/>
        </w:rPr>
        <w:t>،</w:t>
      </w:r>
      <w:r w:rsidRPr="00931403">
        <w:rPr>
          <w:rtl/>
        </w:rPr>
        <w:t xml:space="preserve"> ولا بدّ من التفكير بإجراء مناسب من أجل تعديله</w:t>
      </w:r>
      <w:r w:rsidRPr="007F5B58">
        <w:rPr>
          <w:rtl/>
        </w:rPr>
        <w:t>،</w:t>
      </w:r>
      <w:r w:rsidRPr="00931403">
        <w:rPr>
          <w:rtl/>
        </w:rPr>
        <w:t xml:space="preserve"> حيث يتطلّب هذا الأمر بدوره دراسة للخلفية التاريخية. </w:t>
      </w:r>
      <w:r>
        <w:rPr>
          <w:rtl/>
        </w:rPr>
        <w:t>و</w:t>
      </w:r>
      <w:r w:rsidRPr="00931403">
        <w:rPr>
          <w:rtl/>
        </w:rPr>
        <w:t xml:space="preserve">على أيّة حال </w:t>
      </w:r>
      <w:r>
        <w:rPr>
          <w:rtl/>
        </w:rPr>
        <w:t>فإ</w:t>
      </w:r>
      <w:r w:rsidRPr="00931403">
        <w:rPr>
          <w:rtl/>
        </w:rPr>
        <w:t xml:space="preserve">نّ ما يؤرّق الذهن التساؤل </w:t>
      </w:r>
      <w:r>
        <w:rPr>
          <w:rtl/>
        </w:rPr>
        <w:t>التالي</w:t>
      </w:r>
      <w:r w:rsidRPr="007F5B58">
        <w:rPr>
          <w:rtl/>
        </w:rPr>
        <w:t>:</w:t>
      </w:r>
      <w:r w:rsidRPr="00931403">
        <w:rPr>
          <w:rtl/>
        </w:rPr>
        <w:t xml:space="preserve"> في ضوء وضع المسؤول</w:t>
      </w:r>
      <w:r>
        <w:rPr>
          <w:rtl/>
        </w:rPr>
        <w:t>ي</w:t>
      </w:r>
      <w:r w:rsidRPr="00931403">
        <w:rPr>
          <w:rtl/>
        </w:rPr>
        <w:t>ن ثمناً لكلّ شيء</w:t>
      </w:r>
      <w:r w:rsidRPr="007F5B58">
        <w:rPr>
          <w:rtl/>
        </w:rPr>
        <w:t>،</w:t>
      </w:r>
      <w:r w:rsidRPr="00931403">
        <w:rPr>
          <w:rtl/>
        </w:rPr>
        <w:t xml:space="preserve"> حتى حياة البشر</w:t>
      </w:r>
      <w:r w:rsidRPr="007F5B58">
        <w:rPr>
          <w:rtl/>
        </w:rPr>
        <w:t>،</w:t>
      </w:r>
      <w:r w:rsidRPr="00931403">
        <w:rPr>
          <w:rtl/>
        </w:rPr>
        <w:t xml:space="preserve"> </w:t>
      </w:r>
      <w:r>
        <w:rPr>
          <w:rtl/>
        </w:rPr>
        <w:t>ف</w:t>
      </w:r>
      <w:r w:rsidRPr="00931403">
        <w:rPr>
          <w:rtl/>
        </w:rPr>
        <w:t>لماذا يحجمو</w:t>
      </w:r>
      <w:r>
        <w:rPr>
          <w:rtl/>
        </w:rPr>
        <w:t>ن</w:t>
      </w:r>
      <w:r w:rsidRPr="00931403">
        <w:rPr>
          <w:rtl/>
        </w:rPr>
        <w:t xml:space="preserve"> عن وضع حدّ</w:t>
      </w:r>
      <w:r>
        <w:rPr>
          <w:rtl/>
        </w:rPr>
        <w:t>ٍ</w:t>
      </w:r>
      <w:r w:rsidRPr="00931403">
        <w:rPr>
          <w:rtl/>
        </w:rPr>
        <w:t xml:space="preserve"> أعلى للمهر؟</w:t>
      </w:r>
    </w:p>
    <w:p w:rsidR="0088518C" w:rsidRPr="00931403" w:rsidRDefault="0088518C" w:rsidP="00391A35">
      <w:pPr>
        <w:pStyle w:val="ac"/>
        <w:rPr>
          <w:rtl/>
        </w:rPr>
      </w:pPr>
      <w:r>
        <w:rPr>
          <w:rtl/>
        </w:rPr>
        <w:t>و</w:t>
      </w:r>
      <w:r w:rsidRPr="00931403">
        <w:rPr>
          <w:rtl/>
        </w:rPr>
        <w:t>ينبغي هاهنا الالتفات إلى أنّ إجراءاتٍ مثل فرض ضريبة على المهر هو نوع من الاعتراف بالارتفاع الفاحش للمهور</w:t>
      </w:r>
      <w:r w:rsidRPr="007F5B58">
        <w:rPr>
          <w:rtl/>
        </w:rPr>
        <w:t>،</w:t>
      </w:r>
      <w:r w:rsidRPr="00931403">
        <w:rPr>
          <w:rtl/>
        </w:rPr>
        <w:t xml:space="preserve"> وسبب ارتفاعها. </w:t>
      </w:r>
      <w:r>
        <w:rPr>
          <w:rtl/>
        </w:rPr>
        <w:t>وعليه</w:t>
      </w:r>
      <w:r w:rsidRPr="00931403">
        <w:rPr>
          <w:rtl/>
        </w:rPr>
        <w:t xml:space="preserve"> يبدو أنّه لا مناص من تحديد الإرادات التي تتحكّم بهذا الموضوع.</w:t>
      </w:r>
    </w:p>
    <w:p w:rsidR="0088518C" w:rsidRPr="00931403" w:rsidRDefault="0088518C" w:rsidP="00D063EC">
      <w:pPr>
        <w:pStyle w:val="afffffc"/>
        <w:rPr>
          <w:rtl/>
        </w:rPr>
      </w:pPr>
    </w:p>
    <w:p w:rsidR="0088518C" w:rsidRPr="00931403" w:rsidRDefault="0088518C" w:rsidP="00391A35">
      <w:pPr>
        <w:pStyle w:val="1"/>
        <w:rPr>
          <w:rtl/>
        </w:rPr>
      </w:pPr>
      <w:bookmarkStart w:id="453" w:name="_Toc275128163"/>
      <w:r w:rsidRPr="00931403">
        <w:rPr>
          <w:rtl/>
        </w:rPr>
        <w:t>سابقة تعديل المهر</w:t>
      </w:r>
      <w:r>
        <w:rPr>
          <w:rFonts w:hint="cs"/>
          <w:rtl/>
        </w:rPr>
        <w:t>، تجارب تاريخية</w:t>
      </w:r>
      <w:bookmarkEnd w:id="453"/>
    </w:p>
    <w:p w:rsidR="0088518C" w:rsidRPr="00931403" w:rsidRDefault="0088518C" w:rsidP="00391A35">
      <w:pPr>
        <w:pStyle w:val="ac"/>
        <w:rPr>
          <w:rtl/>
        </w:rPr>
      </w:pPr>
      <w:r w:rsidRPr="00931403">
        <w:rPr>
          <w:rtl/>
        </w:rPr>
        <w:t>يتحدّث لنا التاريخ عن مسعيين متباينين وبارزين</w:t>
      </w:r>
      <w:r w:rsidRPr="007F5B58">
        <w:rPr>
          <w:rtl/>
        </w:rPr>
        <w:t>؛</w:t>
      </w:r>
      <w:r w:rsidRPr="00931403">
        <w:rPr>
          <w:rtl/>
        </w:rPr>
        <w:t xml:space="preserve"> بُذل الأول منهما باتجاه التعديل</w:t>
      </w:r>
      <w:r w:rsidRPr="007F5B58">
        <w:rPr>
          <w:rtl/>
        </w:rPr>
        <w:t>؛</w:t>
      </w:r>
      <w:r w:rsidRPr="00931403">
        <w:rPr>
          <w:rtl/>
        </w:rPr>
        <w:t xml:space="preserve"> والثاني باتجاه إزالة المعضل الموجود الذي ألمّ بالمجتمع</w:t>
      </w:r>
      <w:r>
        <w:rPr>
          <w:rFonts w:hint="cs"/>
          <w:rtl/>
        </w:rPr>
        <w:t>.</w:t>
      </w:r>
      <w:r w:rsidRPr="00931403">
        <w:rPr>
          <w:rtl/>
        </w:rPr>
        <w:t xml:space="preserve"> ولأنّ الثاني يرجع بشكل من الأشكال إلى زمان التأدية نتطرق بدايةً إلى هذا الزمان.</w:t>
      </w:r>
    </w:p>
    <w:p w:rsidR="0088518C" w:rsidRPr="00931403" w:rsidRDefault="0088518C" w:rsidP="00391A35">
      <w:pPr>
        <w:pStyle w:val="ac"/>
        <w:rPr>
          <w:rtl/>
        </w:rPr>
      </w:pPr>
      <w:r w:rsidRPr="00931403">
        <w:rPr>
          <w:rtl/>
        </w:rPr>
        <w:t>المواعد مشتقة من الوعد بين طرفي العقد</w:t>
      </w:r>
      <w:r w:rsidRPr="007F5B58">
        <w:rPr>
          <w:rtl/>
        </w:rPr>
        <w:t>،</w:t>
      </w:r>
      <w:r w:rsidRPr="00931403">
        <w:rPr>
          <w:rtl/>
        </w:rPr>
        <w:t xml:space="preserve"> وتتلخّص في الأشكال الأربعة التالية</w:t>
      </w:r>
      <w:r w:rsidRPr="007F5B58">
        <w:rPr>
          <w:rtl/>
        </w:rPr>
        <w:t>:</w:t>
      </w:r>
    </w:p>
    <w:p w:rsidR="0088518C" w:rsidRPr="00931403" w:rsidRDefault="0088518C" w:rsidP="00391A35">
      <w:pPr>
        <w:pStyle w:val="ac"/>
        <w:rPr>
          <w:rtl/>
        </w:rPr>
      </w:pPr>
      <w:r>
        <w:rPr>
          <w:rtl/>
        </w:rPr>
        <w:t xml:space="preserve">1ـ </w:t>
      </w:r>
      <w:r w:rsidRPr="00931403">
        <w:rPr>
          <w:rtl/>
        </w:rPr>
        <w:t>التعجيل</w:t>
      </w:r>
      <w:r w:rsidRPr="007F5B58">
        <w:rPr>
          <w:rtl/>
        </w:rPr>
        <w:t>،</w:t>
      </w:r>
      <w:r w:rsidRPr="00931403">
        <w:rPr>
          <w:rtl/>
        </w:rPr>
        <w:t xml:space="preserve"> أي المال النقد بكلّ أقسامه</w:t>
      </w:r>
      <w:r w:rsidRPr="007F5B58">
        <w:rPr>
          <w:rtl/>
        </w:rPr>
        <w:t>،</w:t>
      </w:r>
      <w:r w:rsidRPr="00931403">
        <w:rPr>
          <w:rtl/>
        </w:rPr>
        <w:t xml:space="preserve"> طبعاً الإطلاق أيضاً ينصرف إلى هذا المورد</w:t>
      </w:r>
      <w:r w:rsidRPr="007F5B58">
        <w:rPr>
          <w:rtl/>
        </w:rPr>
        <w:t>،</w:t>
      </w:r>
      <w:r w:rsidRPr="00931403">
        <w:rPr>
          <w:rtl/>
        </w:rPr>
        <w:t xml:space="preserve"> ومتى ما قدّم تبيين في هذا الخصوص فهو بمثابة تأكيد صرف.</w:t>
      </w:r>
    </w:p>
    <w:p w:rsidR="0088518C" w:rsidRPr="00931403" w:rsidRDefault="0088518C" w:rsidP="00391A35">
      <w:pPr>
        <w:pStyle w:val="ac"/>
      </w:pPr>
      <w:r>
        <w:rPr>
          <w:rtl/>
        </w:rPr>
        <w:t xml:space="preserve">2ـ </w:t>
      </w:r>
      <w:r w:rsidRPr="00931403">
        <w:rPr>
          <w:rtl/>
        </w:rPr>
        <w:t>النسيئة أو الآجل</w:t>
      </w:r>
      <w:r w:rsidRPr="007F5B58">
        <w:rPr>
          <w:rtl/>
        </w:rPr>
        <w:t>،</w:t>
      </w:r>
      <w:r w:rsidRPr="00931403">
        <w:rPr>
          <w:rtl/>
        </w:rPr>
        <w:t xml:space="preserve"> أعمّ من أن يكون كلّ التعهّد مؤجّلاً أو بعضه مؤجلاً والبعض الآخر معجّ</w:t>
      </w:r>
      <w:r>
        <w:rPr>
          <w:rFonts w:hint="cs"/>
          <w:rtl/>
        </w:rPr>
        <w:t>َ</w:t>
      </w:r>
      <w:r w:rsidRPr="00931403">
        <w:rPr>
          <w:rtl/>
        </w:rPr>
        <w:t>ل</w:t>
      </w:r>
      <w:r>
        <w:rPr>
          <w:rFonts w:hint="cs"/>
          <w:rtl/>
        </w:rPr>
        <w:t>اً</w:t>
      </w:r>
      <w:r w:rsidRPr="00931403">
        <w:rPr>
          <w:rtl/>
        </w:rPr>
        <w:t>. والخلاصة أنّ جميع أقسام المدة التي يقصدها الطرفان تتضمّنها هذه المقولة</w:t>
      </w:r>
      <w:r>
        <w:rPr>
          <w:rFonts w:hint="cs"/>
          <w:rtl/>
        </w:rPr>
        <w:t>.</w:t>
      </w:r>
      <w:r w:rsidRPr="00931403">
        <w:rPr>
          <w:rtl/>
        </w:rPr>
        <w:t xml:space="preserve"> ومن الطبيعي أن</w:t>
      </w:r>
      <w:r>
        <w:rPr>
          <w:rtl/>
        </w:rPr>
        <w:t xml:space="preserve"> يكون كلٌّ من</w:t>
      </w:r>
      <w:r w:rsidRPr="00931403">
        <w:rPr>
          <w:rtl/>
        </w:rPr>
        <w:t xml:space="preserve"> النقد والنسيئة تابع</w:t>
      </w:r>
      <w:r>
        <w:rPr>
          <w:rtl/>
        </w:rPr>
        <w:t>اً</w:t>
      </w:r>
      <w:r w:rsidRPr="00931403">
        <w:rPr>
          <w:rtl/>
        </w:rPr>
        <w:t xml:space="preserve"> لحكمه.</w:t>
      </w:r>
    </w:p>
    <w:p w:rsidR="0088518C" w:rsidRPr="00931403" w:rsidRDefault="0088518C" w:rsidP="00391A35">
      <w:pPr>
        <w:pStyle w:val="ac"/>
      </w:pPr>
      <w:r>
        <w:rPr>
          <w:rtl/>
        </w:rPr>
        <w:lastRenderedPageBreak/>
        <w:t xml:space="preserve">3ـ </w:t>
      </w:r>
      <w:r w:rsidRPr="00931403">
        <w:rPr>
          <w:rtl/>
        </w:rPr>
        <w:t>في الشكل الثالث يمكن أن يكون تحديد مدّة للتأدية والتسديد من صلاحيات المتعهد له</w:t>
      </w:r>
      <w:r w:rsidRPr="007F5B58">
        <w:rPr>
          <w:rtl/>
        </w:rPr>
        <w:t>،</w:t>
      </w:r>
      <w:r w:rsidRPr="00931403">
        <w:rPr>
          <w:rtl/>
        </w:rPr>
        <w:t xml:space="preserve"> حيث </w:t>
      </w:r>
      <w:r>
        <w:rPr>
          <w:rtl/>
        </w:rPr>
        <w:t>إ</w:t>
      </w:r>
      <w:r w:rsidRPr="00931403">
        <w:rPr>
          <w:rtl/>
        </w:rPr>
        <w:t>نّه في الوقت الحاضر تتوافر المهور على هذه الخصوصية عادةً</w:t>
      </w:r>
      <w:r w:rsidRPr="007F5B58">
        <w:rPr>
          <w:rtl/>
        </w:rPr>
        <w:t>،</w:t>
      </w:r>
      <w:r w:rsidRPr="00931403">
        <w:rPr>
          <w:rtl/>
        </w:rPr>
        <w:t xml:space="preserve"> أي عند المطالبة يتحقّق التعهد</w:t>
      </w:r>
      <w:r w:rsidRPr="007F5B58">
        <w:rPr>
          <w:rtl/>
        </w:rPr>
        <w:t>،</w:t>
      </w:r>
      <w:r w:rsidRPr="00931403">
        <w:rPr>
          <w:rtl/>
        </w:rPr>
        <w:t xml:space="preserve"> وتكون مطالبة المرأة باعتبارها متعه</w:t>
      </w:r>
      <w:r>
        <w:rPr>
          <w:rtl/>
        </w:rPr>
        <w:t>َّ</w:t>
      </w:r>
      <w:r w:rsidRPr="00931403">
        <w:rPr>
          <w:rtl/>
        </w:rPr>
        <w:t>د</w:t>
      </w:r>
      <w:r>
        <w:rPr>
          <w:rtl/>
        </w:rPr>
        <w:t>اً</w:t>
      </w:r>
      <w:r w:rsidRPr="00931403">
        <w:rPr>
          <w:rtl/>
        </w:rPr>
        <w:t xml:space="preserve"> لها مقدمةً للإجراءات اللاحقة.</w:t>
      </w:r>
    </w:p>
    <w:p w:rsidR="0088518C" w:rsidRPr="00931403" w:rsidRDefault="0088518C" w:rsidP="00391A35">
      <w:pPr>
        <w:pStyle w:val="ac"/>
      </w:pPr>
      <w:r>
        <w:rPr>
          <w:rtl/>
        </w:rPr>
        <w:t xml:space="preserve">4ـ </w:t>
      </w:r>
      <w:r w:rsidRPr="00931403">
        <w:rPr>
          <w:rtl/>
        </w:rPr>
        <w:t>النوع الرابع الذي لا يعتبره البعض تعهداً أساساً هو أن يكون تحديد فترة للتسديد بيد المتعهد</w:t>
      </w:r>
      <w:r w:rsidRPr="007F5B58">
        <w:rPr>
          <w:rtl/>
        </w:rPr>
        <w:t>،</w:t>
      </w:r>
      <w:r w:rsidRPr="00931403">
        <w:rPr>
          <w:rtl/>
        </w:rPr>
        <w:t xml:space="preserve"> حيث </w:t>
      </w:r>
      <w:r>
        <w:rPr>
          <w:rtl/>
        </w:rPr>
        <w:t>إ</w:t>
      </w:r>
      <w:r w:rsidRPr="00931403">
        <w:rPr>
          <w:rtl/>
        </w:rPr>
        <w:t>نّ هذا العنصر يحذف إمكانية المطالبة بالتعه</w:t>
      </w:r>
      <w:r>
        <w:rPr>
          <w:rtl/>
        </w:rPr>
        <w:t>ُّ</w:t>
      </w:r>
      <w:r w:rsidRPr="00931403">
        <w:rPr>
          <w:rtl/>
        </w:rPr>
        <w:t>د</w:t>
      </w:r>
      <w:r w:rsidRPr="007F5B58">
        <w:rPr>
          <w:rtl/>
        </w:rPr>
        <w:t>،</w:t>
      </w:r>
      <w:r w:rsidRPr="00931403">
        <w:rPr>
          <w:rtl/>
        </w:rPr>
        <w:t xml:space="preserve"> وكما هو معروف فإنّ التعهد غير القابل للمطالبة هو موضع تساؤل</w:t>
      </w:r>
      <w:r w:rsidRPr="00815C4C">
        <w:rPr>
          <w:rFonts w:cs="Taher"/>
          <w:vertAlign w:val="superscript"/>
          <w:rtl/>
        </w:rPr>
        <w:t>(</w:t>
      </w:r>
      <w:r w:rsidRPr="00815C4C">
        <w:rPr>
          <w:rFonts w:cs="Taher"/>
          <w:vertAlign w:val="superscript"/>
          <w:rtl/>
        </w:rPr>
        <w:footnoteReference w:id="856"/>
      </w:r>
      <w:r w:rsidRPr="00815C4C">
        <w:rPr>
          <w:rFonts w:cs="Taher"/>
          <w:vertAlign w:val="superscript"/>
          <w:rtl/>
        </w:rPr>
        <w:t>)</w:t>
      </w:r>
      <w:r>
        <w:rPr>
          <w:rtl/>
        </w:rPr>
        <w:t>.</w:t>
      </w:r>
    </w:p>
    <w:p w:rsidR="0088518C" w:rsidRPr="00931403" w:rsidRDefault="0088518C" w:rsidP="00D063EC">
      <w:pPr>
        <w:pStyle w:val="ac"/>
        <w:spacing w:line="209" w:lineRule="auto"/>
        <w:rPr>
          <w:rtl/>
        </w:rPr>
      </w:pPr>
      <w:r w:rsidRPr="00931403">
        <w:rPr>
          <w:rtl/>
        </w:rPr>
        <w:t xml:space="preserve">لقد أصدرت مديرية التسجيل العقاري تعميماً </w:t>
      </w:r>
      <w:r>
        <w:rPr>
          <w:rtl/>
        </w:rPr>
        <w:t xml:space="preserve">ـ </w:t>
      </w:r>
      <w:r w:rsidRPr="00931403">
        <w:rPr>
          <w:rtl/>
        </w:rPr>
        <w:t>ليس من اختصاصها أو صلاحياتها</w:t>
      </w:r>
      <w:r w:rsidRPr="007F5B58">
        <w:rPr>
          <w:rtl/>
        </w:rPr>
        <w:t>،</w:t>
      </w:r>
      <w:r w:rsidRPr="00931403">
        <w:rPr>
          <w:rtl/>
        </w:rPr>
        <w:t xml:space="preserve"> وينطوي على نقض للقانون </w:t>
      </w:r>
      <w:r>
        <w:rPr>
          <w:rtl/>
        </w:rPr>
        <w:t>ـ</w:t>
      </w:r>
      <w:r w:rsidRPr="00931403">
        <w:rPr>
          <w:rtl/>
        </w:rPr>
        <w:t xml:space="preserve"> أمرت بموجبه </w:t>
      </w:r>
      <w:r>
        <w:rPr>
          <w:rtl/>
        </w:rPr>
        <w:t>تبديل</w:t>
      </w:r>
      <w:r w:rsidRPr="00931403">
        <w:rPr>
          <w:rtl/>
        </w:rPr>
        <w:t xml:space="preserve"> عبارة التسديد </w:t>
      </w:r>
      <w:r>
        <w:rPr>
          <w:rtl/>
        </w:rPr>
        <w:t>«</w:t>
      </w:r>
      <w:r w:rsidRPr="00931403">
        <w:rPr>
          <w:rtl/>
        </w:rPr>
        <w:t>عند المطالبة</w:t>
      </w:r>
      <w:r>
        <w:rPr>
          <w:rtl/>
        </w:rPr>
        <w:t>» بـ«</w:t>
      </w:r>
      <w:r w:rsidRPr="00931403">
        <w:rPr>
          <w:rtl/>
        </w:rPr>
        <w:t>عند الاستطاعة</w:t>
      </w:r>
      <w:r>
        <w:rPr>
          <w:rtl/>
        </w:rPr>
        <w:t>»</w:t>
      </w:r>
      <w:r w:rsidRPr="007F5B58">
        <w:rPr>
          <w:rtl/>
        </w:rPr>
        <w:t>،</w:t>
      </w:r>
      <w:r w:rsidRPr="00931403">
        <w:rPr>
          <w:rtl/>
        </w:rPr>
        <w:t xml:space="preserve"> الذي هو بنحو وضع موعد التسديد تحت تصرّف المتعه</w:t>
      </w:r>
      <w:r>
        <w:rPr>
          <w:rtl/>
        </w:rPr>
        <w:t>ِّ</w:t>
      </w:r>
      <w:r w:rsidRPr="00931403">
        <w:rPr>
          <w:rtl/>
        </w:rPr>
        <w:t>د</w:t>
      </w:r>
      <w:r w:rsidRPr="007F5B58">
        <w:rPr>
          <w:rtl/>
        </w:rPr>
        <w:t>؛</w:t>
      </w:r>
      <w:r w:rsidRPr="00931403">
        <w:rPr>
          <w:rtl/>
        </w:rPr>
        <w:t xml:space="preserve"> لأنّ جهد المتعه</w:t>
      </w:r>
      <w:r>
        <w:rPr>
          <w:rtl/>
        </w:rPr>
        <w:t>ِّ</w:t>
      </w:r>
      <w:r w:rsidRPr="00931403">
        <w:rPr>
          <w:rtl/>
        </w:rPr>
        <w:t>د وحده يمكن أن يجعله مستطيعاً التسديد</w:t>
      </w:r>
      <w:r w:rsidRPr="007F5B58">
        <w:rPr>
          <w:rtl/>
        </w:rPr>
        <w:t>،</w:t>
      </w:r>
      <w:r w:rsidRPr="00931403">
        <w:rPr>
          <w:rtl/>
        </w:rPr>
        <w:t xml:space="preserve"> وعدم نشاطه وتحركه أو نشاطه القليل </w:t>
      </w:r>
      <w:r>
        <w:rPr>
          <w:rtl/>
        </w:rPr>
        <w:t>يجعل التسديد</w:t>
      </w:r>
      <w:r w:rsidRPr="00931403">
        <w:rPr>
          <w:rtl/>
        </w:rPr>
        <w:t xml:space="preserve"> أمر</w:t>
      </w:r>
      <w:r>
        <w:rPr>
          <w:rtl/>
        </w:rPr>
        <w:t>اً</w:t>
      </w:r>
      <w:r w:rsidRPr="00931403">
        <w:rPr>
          <w:rtl/>
        </w:rPr>
        <w:t xml:space="preserve"> محال</w:t>
      </w:r>
      <w:r>
        <w:rPr>
          <w:rtl/>
        </w:rPr>
        <w:t>اً</w:t>
      </w:r>
      <w:r w:rsidRPr="00931403">
        <w:rPr>
          <w:rtl/>
        </w:rPr>
        <w:t xml:space="preserve">. وهذه النتيجة ليست بعيدة عن التصوّر كثيراً بالنظر لاستغراق الجهد في ضخامة الدين. </w:t>
      </w:r>
      <w:r>
        <w:rPr>
          <w:rtl/>
        </w:rPr>
        <w:t>و</w:t>
      </w:r>
      <w:r w:rsidRPr="00931403">
        <w:rPr>
          <w:rtl/>
        </w:rPr>
        <w:t>من هنا ينبغي توقّع حدوث إشكالين مهمين</w:t>
      </w:r>
      <w:r w:rsidRPr="007F5B58">
        <w:rPr>
          <w:rtl/>
        </w:rPr>
        <w:t>:</w:t>
      </w:r>
      <w:r w:rsidRPr="00931403">
        <w:rPr>
          <w:rtl/>
        </w:rPr>
        <w:t xml:space="preserve"> </w:t>
      </w:r>
      <w:r w:rsidRPr="00120CC7">
        <w:rPr>
          <w:b/>
          <w:rtl/>
        </w:rPr>
        <w:t>الأول:</w:t>
      </w:r>
      <w:r w:rsidRPr="00931403">
        <w:rPr>
          <w:rtl/>
        </w:rPr>
        <w:t xml:space="preserve"> ضعف </w:t>
      </w:r>
      <w:r>
        <w:rPr>
          <w:rtl/>
        </w:rPr>
        <w:t>و</w:t>
      </w:r>
      <w:r w:rsidRPr="00931403">
        <w:rPr>
          <w:rtl/>
        </w:rPr>
        <w:t>اندثار هذا التشريع الإسلامي (المهر)</w:t>
      </w:r>
      <w:r w:rsidRPr="007F5B58">
        <w:rPr>
          <w:rtl/>
        </w:rPr>
        <w:t>،</w:t>
      </w:r>
      <w:r w:rsidRPr="00931403">
        <w:rPr>
          <w:rtl/>
        </w:rPr>
        <w:t xml:space="preserve"> أو تفاقم هذا المعضل</w:t>
      </w:r>
      <w:r w:rsidRPr="007F5B58">
        <w:rPr>
          <w:rtl/>
        </w:rPr>
        <w:t>؛</w:t>
      </w:r>
      <w:r w:rsidRPr="00931403">
        <w:rPr>
          <w:rtl/>
        </w:rPr>
        <w:t xml:space="preserve"> بسبب انعدام ضمانة ال</w:t>
      </w:r>
      <w:r>
        <w:rPr>
          <w:rtl/>
        </w:rPr>
        <w:t>تـن</w:t>
      </w:r>
      <w:r w:rsidRPr="00931403">
        <w:rPr>
          <w:rtl/>
        </w:rPr>
        <w:t>فيذ الحقوقي لتأدية المهر</w:t>
      </w:r>
      <w:r w:rsidRPr="007F5B58">
        <w:rPr>
          <w:rtl/>
        </w:rPr>
        <w:t>،</w:t>
      </w:r>
      <w:r w:rsidRPr="00931403">
        <w:rPr>
          <w:rtl/>
        </w:rPr>
        <w:t xml:space="preserve"> وبالتالي سهولة التعهد به</w:t>
      </w:r>
      <w:r w:rsidRPr="007F5B58">
        <w:rPr>
          <w:rtl/>
        </w:rPr>
        <w:t>؛</w:t>
      </w:r>
      <w:r w:rsidRPr="00931403">
        <w:rPr>
          <w:rtl/>
        </w:rPr>
        <w:t xml:space="preserve"> </w:t>
      </w:r>
      <w:r w:rsidRPr="00120CC7">
        <w:rPr>
          <w:b/>
          <w:rtl/>
        </w:rPr>
        <w:t>والثاني:</w:t>
      </w:r>
      <w:r w:rsidRPr="00931403">
        <w:rPr>
          <w:rtl/>
        </w:rPr>
        <w:t xml:space="preserve"> القصور في العمل الناجم عن انعدام الحافز لدى المتعهد الذي يجب عليه أن يعمل ويضع نتيجة عمله تحت تصرّف الغير</w:t>
      </w:r>
      <w:r w:rsidRPr="007F5B58">
        <w:rPr>
          <w:rtl/>
        </w:rPr>
        <w:t>،</w:t>
      </w:r>
      <w:r>
        <w:rPr>
          <w:rtl/>
        </w:rPr>
        <w:t xml:space="preserve"> علماً</w:t>
      </w:r>
      <w:r w:rsidRPr="00931403">
        <w:rPr>
          <w:rtl/>
        </w:rPr>
        <w:t xml:space="preserve"> أنّ ذمّته تفرغ من خلال هذه التأدية</w:t>
      </w:r>
      <w:r w:rsidRPr="007F5B58">
        <w:rPr>
          <w:rtl/>
        </w:rPr>
        <w:t>،</w:t>
      </w:r>
      <w:r w:rsidRPr="00931403">
        <w:rPr>
          <w:rtl/>
        </w:rPr>
        <w:t xml:space="preserve"> إلاّ </w:t>
      </w:r>
      <w:r>
        <w:rPr>
          <w:rFonts w:hint="cs"/>
          <w:rtl/>
        </w:rPr>
        <w:t>أ</w:t>
      </w:r>
      <w:r w:rsidRPr="00931403">
        <w:rPr>
          <w:rtl/>
        </w:rPr>
        <w:t>نّ هذا يحتاج إلى إيمان قوي</w:t>
      </w:r>
      <w:r w:rsidRPr="007F5B58">
        <w:rPr>
          <w:rtl/>
        </w:rPr>
        <w:t>،</w:t>
      </w:r>
      <w:r w:rsidRPr="00931403">
        <w:rPr>
          <w:rtl/>
        </w:rPr>
        <w:t xml:space="preserve"> ولا يمكن السيطرة عليه بشكل جيد. وعليه لا يمكن أن يكون هذا الأسلوب مطلوباً</w:t>
      </w:r>
      <w:r w:rsidRPr="007F5B58">
        <w:rPr>
          <w:rtl/>
        </w:rPr>
        <w:t>،</w:t>
      </w:r>
      <w:r w:rsidRPr="00931403">
        <w:rPr>
          <w:rtl/>
        </w:rPr>
        <w:t xml:space="preserve"> وفشله</w:t>
      </w:r>
      <w:r w:rsidRPr="007F5B58">
        <w:rPr>
          <w:rtl/>
        </w:rPr>
        <w:t>؛</w:t>
      </w:r>
      <w:r w:rsidRPr="00931403">
        <w:rPr>
          <w:rtl/>
        </w:rPr>
        <w:t xml:space="preserve"> بسبب فرض الطرف المقابل لإرادته</w:t>
      </w:r>
      <w:r w:rsidRPr="007F5B58">
        <w:rPr>
          <w:rtl/>
        </w:rPr>
        <w:t>،</w:t>
      </w:r>
      <w:r w:rsidRPr="00931403">
        <w:rPr>
          <w:rtl/>
        </w:rPr>
        <w:t xml:space="preserve"> مؤكّد سلفاً.</w:t>
      </w:r>
    </w:p>
    <w:p w:rsidR="0088518C" w:rsidRPr="00931403" w:rsidRDefault="0088518C" w:rsidP="00391A35">
      <w:pPr>
        <w:pStyle w:val="ac"/>
        <w:rPr>
          <w:rtl/>
        </w:rPr>
      </w:pPr>
      <w:r>
        <w:rPr>
          <w:rtl/>
        </w:rPr>
        <w:t xml:space="preserve">وأما </w:t>
      </w:r>
      <w:r w:rsidRPr="00931403">
        <w:rPr>
          <w:rtl/>
        </w:rPr>
        <w:t>المورد الأول</w:t>
      </w:r>
      <w:r>
        <w:rPr>
          <w:rtl/>
        </w:rPr>
        <w:t xml:space="preserve"> فهو</w:t>
      </w:r>
      <w:r w:rsidRPr="00931403">
        <w:rPr>
          <w:rtl/>
        </w:rPr>
        <w:t xml:space="preserve"> مسعى الخليفة الثاني في صدر الإسلام لتعديل المهر</w:t>
      </w:r>
      <w:r w:rsidRPr="007F5B58">
        <w:rPr>
          <w:rtl/>
        </w:rPr>
        <w:t>،</w:t>
      </w:r>
      <w:r w:rsidRPr="00931403">
        <w:rPr>
          <w:rtl/>
        </w:rPr>
        <w:t xml:space="preserve"> ففي خطبة له أمر بمنع المهر الذي يزيد عن (400) درهم</w:t>
      </w:r>
      <w:r w:rsidRPr="007F5B58">
        <w:rPr>
          <w:rtl/>
        </w:rPr>
        <w:t>،</w:t>
      </w:r>
      <w:r w:rsidRPr="00931403">
        <w:rPr>
          <w:rtl/>
        </w:rPr>
        <w:t xml:space="preserve"> ونقل ما زاد عن هذا المبلغ إلى </w:t>
      </w:r>
      <w:r w:rsidRPr="00931403">
        <w:rPr>
          <w:rtl/>
        </w:rPr>
        <w:lastRenderedPageBreak/>
        <w:t>بيت المال</w:t>
      </w:r>
      <w:r w:rsidRPr="007F5B58">
        <w:rPr>
          <w:rtl/>
        </w:rPr>
        <w:t>،</w:t>
      </w:r>
      <w:r w:rsidRPr="00931403">
        <w:rPr>
          <w:rtl/>
        </w:rPr>
        <w:t xml:space="preserve"> لكنّه اق</w:t>
      </w:r>
      <w:r>
        <w:rPr>
          <w:rtl/>
        </w:rPr>
        <w:t>تـن</w:t>
      </w:r>
      <w:r w:rsidRPr="00931403">
        <w:rPr>
          <w:rtl/>
        </w:rPr>
        <w:t xml:space="preserve">ع في النهاية باستدلال امرأة من قريش بالآية </w:t>
      </w:r>
      <w:r>
        <w:rPr>
          <w:rtl/>
        </w:rPr>
        <w:t>20</w:t>
      </w:r>
      <w:r w:rsidRPr="00931403">
        <w:rPr>
          <w:rtl/>
        </w:rPr>
        <w:t xml:space="preserve"> من سورة النساء التي يقول فيها تعالى</w:t>
      </w:r>
      <w:r w:rsidRPr="007F5B58">
        <w:rPr>
          <w:rtl/>
        </w:rPr>
        <w:t>:</w:t>
      </w:r>
      <w:r w:rsidRPr="00931403">
        <w:rPr>
          <w:rtl/>
        </w:rPr>
        <w:t xml:space="preserve"> </w:t>
      </w:r>
      <w:r w:rsidRPr="00D66643">
        <w:rPr>
          <w:rFonts w:cs="Taher"/>
          <w:b/>
          <w:szCs w:val="28"/>
          <w:rtl/>
        </w:rPr>
        <w:t>{</w:t>
      </w:r>
      <w:r w:rsidRPr="00391A35">
        <w:rPr>
          <w:b/>
          <w:bCs/>
          <w:rtl/>
        </w:rPr>
        <w:t>وَإِنْ أَرَدتُّمُ اسْتِبْدَالَ زَوْجٍ مَّكَانَ زَوْجٍ وَآتَيْتُمْ إِحْدَاهُنَّ قِنطَاراً فَلا تَأْخُذُواْ مِنْهُ شَيْئاً أَتَأْخُذُونَهُ بُهْتَاناً وَإِثْماً مُّبِيناً</w:t>
      </w:r>
      <w:r w:rsidRPr="00D66643">
        <w:rPr>
          <w:rFonts w:cs="Taher"/>
          <w:b/>
          <w:szCs w:val="28"/>
          <w:rtl/>
        </w:rPr>
        <w:t>}</w:t>
      </w:r>
      <w:r w:rsidRPr="007F5B58">
        <w:rPr>
          <w:rtl/>
        </w:rPr>
        <w:t>،</w:t>
      </w:r>
      <w:r w:rsidRPr="00931403">
        <w:rPr>
          <w:rtl/>
        </w:rPr>
        <w:t xml:space="preserve"> فصعد المنبر</w:t>
      </w:r>
      <w:r w:rsidRPr="007F5B58">
        <w:rPr>
          <w:rtl/>
        </w:rPr>
        <w:t>،</w:t>
      </w:r>
      <w:r w:rsidRPr="00931403">
        <w:rPr>
          <w:rtl/>
        </w:rPr>
        <w:t xml:space="preserve"> وقام بإصلاح رأيه في خطبة ثانية</w:t>
      </w:r>
      <w:r w:rsidRPr="00815C4C">
        <w:rPr>
          <w:rFonts w:cs="Taher"/>
          <w:vertAlign w:val="superscript"/>
          <w:rtl/>
        </w:rPr>
        <w:t>(</w:t>
      </w:r>
      <w:r w:rsidRPr="00815C4C">
        <w:rPr>
          <w:rFonts w:cs="Taher"/>
          <w:vertAlign w:val="superscript"/>
          <w:rtl/>
        </w:rPr>
        <w:footnoteReference w:id="857"/>
      </w:r>
      <w:r w:rsidRPr="00815C4C">
        <w:rPr>
          <w:rFonts w:cs="Taher"/>
          <w:vertAlign w:val="superscript"/>
          <w:rtl/>
        </w:rPr>
        <w:t>)</w:t>
      </w:r>
      <w:r>
        <w:rPr>
          <w:rtl/>
        </w:rPr>
        <w:t>. و</w:t>
      </w:r>
      <w:r w:rsidRPr="00931403">
        <w:rPr>
          <w:rtl/>
        </w:rPr>
        <w:t xml:space="preserve">التمعّن قليلاً في الآية يبيّن </w:t>
      </w:r>
      <w:r>
        <w:rPr>
          <w:rFonts w:hint="cs"/>
          <w:rtl/>
        </w:rPr>
        <w:t>أ</w:t>
      </w:r>
      <w:r w:rsidRPr="00931403">
        <w:rPr>
          <w:rtl/>
        </w:rPr>
        <w:t xml:space="preserve">نّ الآية المذكورة تعود على </w:t>
      </w:r>
      <w:r>
        <w:rPr>
          <w:rtl/>
        </w:rPr>
        <w:t>تـن</w:t>
      </w:r>
      <w:r w:rsidRPr="00931403">
        <w:rPr>
          <w:rtl/>
        </w:rPr>
        <w:t>فيذ الالتزام وليس إنشائه</w:t>
      </w:r>
      <w:r w:rsidRPr="007F5B58">
        <w:rPr>
          <w:rtl/>
        </w:rPr>
        <w:t>،</w:t>
      </w:r>
      <w:r w:rsidRPr="00931403">
        <w:rPr>
          <w:rtl/>
        </w:rPr>
        <w:t xml:space="preserve"> وطبيعي أن كل متعهد يتحمّل تبعات تعهده</w:t>
      </w:r>
      <w:r w:rsidRPr="007F5B58">
        <w:rPr>
          <w:rtl/>
        </w:rPr>
        <w:t>،</w:t>
      </w:r>
      <w:r w:rsidRPr="00931403">
        <w:rPr>
          <w:rtl/>
        </w:rPr>
        <w:t xml:space="preserve"> إلاّ أنّ الآية (236) من سورة البقرة وضعت أمامنا معيار وضوابط إنشاء التعهد</w:t>
      </w:r>
      <w:r>
        <w:rPr>
          <w:rFonts w:hint="cs"/>
          <w:rtl/>
        </w:rPr>
        <w:t>،</w:t>
      </w:r>
      <w:r w:rsidRPr="00931403">
        <w:rPr>
          <w:rtl/>
        </w:rPr>
        <w:t xml:space="preserve"> وشرط إمكان تأديته عن طريق </w:t>
      </w:r>
      <w:r>
        <w:rPr>
          <w:rtl/>
        </w:rPr>
        <w:t>تـن</w:t>
      </w:r>
      <w:r w:rsidRPr="00931403">
        <w:rPr>
          <w:rtl/>
        </w:rPr>
        <w:t>اسب المقدرة والتعهد</w:t>
      </w:r>
      <w:r>
        <w:rPr>
          <w:rFonts w:hint="cs"/>
          <w:rtl/>
        </w:rPr>
        <w:t>،</w:t>
      </w:r>
      <w:r w:rsidRPr="00931403">
        <w:rPr>
          <w:rtl/>
        </w:rPr>
        <w:t xml:space="preserve"> وهي أقرب إلى البحث. إنّ استدلال المرأة القرشية بالآية </w:t>
      </w:r>
      <w:r>
        <w:rPr>
          <w:rtl/>
        </w:rPr>
        <w:t>20</w:t>
      </w:r>
      <w:r w:rsidRPr="00931403">
        <w:rPr>
          <w:rtl/>
        </w:rPr>
        <w:t xml:space="preserve"> من سورة النساء ليس أساساً صحيحاً لتحديد المهر</w:t>
      </w:r>
      <w:r w:rsidRPr="007F5B58">
        <w:rPr>
          <w:rtl/>
        </w:rPr>
        <w:t>،</w:t>
      </w:r>
      <w:r w:rsidRPr="00931403">
        <w:rPr>
          <w:rtl/>
        </w:rPr>
        <w:t xml:space="preserve"> ولا سيما في ضوء الآثار المترتّبة على الرأي المقابل</w:t>
      </w:r>
      <w:r w:rsidRPr="007F5B58">
        <w:rPr>
          <w:rtl/>
        </w:rPr>
        <w:t>،</w:t>
      </w:r>
      <w:r w:rsidRPr="00931403">
        <w:rPr>
          <w:rtl/>
        </w:rPr>
        <w:t xml:space="preserve"> والأحاديث المستفيضة الموجودة بهذا الشأن</w:t>
      </w:r>
      <w:r w:rsidRPr="007F5B58">
        <w:rPr>
          <w:rtl/>
        </w:rPr>
        <w:t>،</w:t>
      </w:r>
      <w:r w:rsidRPr="00931403">
        <w:rPr>
          <w:rtl/>
        </w:rPr>
        <w:t xml:space="preserve"> فإنّ هذا الأساس يتمتّع بقوّة أكثر</w:t>
      </w:r>
      <w:r w:rsidRPr="007F5B58">
        <w:rPr>
          <w:rtl/>
        </w:rPr>
        <w:t>،</w:t>
      </w:r>
      <w:r w:rsidRPr="00931403">
        <w:rPr>
          <w:rtl/>
        </w:rPr>
        <w:t xml:space="preserve"> </w:t>
      </w:r>
      <w:r>
        <w:rPr>
          <w:rtl/>
        </w:rPr>
        <w:t>و</w:t>
      </w:r>
      <w:r w:rsidRPr="00931403">
        <w:rPr>
          <w:rtl/>
        </w:rPr>
        <w:t>لا سيّما في الوضع الموجود</w:t>
      </w:r>
      <w:r w:rsidRPr="007F5B58">
        <w:rPr>
          <w:rtl/>
        </w:rPr>
        <w:t>،</w:t>
      </w:r>
      <w:r w:rsidRPr="00931403">
        <w:rPr>
          <w:rtl/>
        </w:rPr>
        <w:t xml:space="preserve"> حيث بلغ الارتفاع غير المتوقّع للمهر حدّاً انجرّ الحديث من قلّة وكثرة المهر إلى الحديث عن بقاء أو عدم بقاء النكاح</w:t>
      </w:r>
      <w:r w:rsidRPr="007F5B58">
        <w:rPr>
          <w:rtl/>
        </w:rPr>
        <w:t>،</w:t>
      </w:r>
      <w:r w:rsidRPr="00931403">
        <w:rPr>
          <w:rtl/>
        </w:rPr>
        <w:t xml:space="preserve"> وبهذا تحوّل المهر إلى شيء </w:t>
      </w:r>
      <w:r>
        <w:rPr>
          <w:rtl/>
        </w:rPr>
        <w:t xml:space="preserve">يستلزم </w:t>
      </w:r>
      <w:r w:rsidRPr="00931403">
        <w:rPr>
          <w:rtl/>
        </w:rPr>
        <w:t>وجود</w:t>
      </w:r>
      <w:r>
        <w:rPr>
          <w:rtl/>
        </w:rPr>
        <w:t>ُ</w:t>
      </w:r>
      <w:r w:rsidRPr="00931403">
        <w:rPr>
          <w:rtl/>
        </w:rPr>
        <w:t>ه عدم</w:t>
      </w:r>
      <w:r>
        <w:rPr>
          <w:rtl/>
        </w:rPr>
        <w:t>َ</w:t>
      </w:r>
      <w:r w:rsidRPr="00931403">
        <w:rPr>
          <w:rtl/>
        </w:rPr>
        <w:t>ه</w:t>
      </w:r>
      <w:r w:rsidRPr="007F5B58">
        <w:rPr>
          <w:rtl/>
        </w:rPr>
        <w:t>،</w:t>
      </w:r>
      <w:r w:rsidRPr="00931403">
        <w:rPr>
          <w:rtl/>
        </w:rPr>
        <w:t xml:space="preserve"> وعليه تُحذف جميع الاستدلالات المؤيّدة على فرض عدم إخلال طرحها بأصل النكاح</w:t>
      </w:r>
      <w:r w:rsidRPr="007F5B58">
        <w:rPr>
          <w:rtl/>
        </w:rPr>
        <w:t>،</w:t>
      </w:r>
      <w:r w:rsidRPr="00931403">
        <w:rPr>
          <w:rtl/>
        </w:rPr>
        <w:t xml:space="preserve"> وتثبت حرمة أمور كهذه وبطلان الاستدلالات السابقة</w:t>
      </w:r>
      <w:r w:rsidRPr="007F5B58">
        <w:rPr>
          <w:rtl/>
        </w:rPr>
        <w:t>،</w:t>
      </w:r>
      <w:r w:rsidRPr="00931403">
        <w:rPr>
          <w:rtl/>
        </w:rPr>
        <w:t xml:space="preserve"> والنتيجة واضحة.</w:t>
      </w:r>
    </w:p>
    <w:p w:rsidR="0088518C" w:rsidRPr="00D063EC" w:rsidRDefault="0088518C" w:rsidP="00D063EC">
      <w:pPr>
        <w:pStyle w:val="afffffc"/>
        <w:rPr>
          <w:sz w:val="18"/>
          <w:szCs w:val="16"/>
          <w:rtl/>
        </w:rPr>
      </w:pPr>
    </w:p>
    <w:p w:rsidR="0088518C" w:rsidRPr="00931403" w:rsidRDefault="0088518C" w:rsidP="00391A35">
      <w:pPr>
        <w:pStyle w:val="1"/>
        <w:rPr>
          <w:szCs w:val="30"/>
          <w:rtl/>
        </w:rPr>
      </w:pPr>
      <w:bookmarkStart w:id="454" w:name="_Toc275128164"/>
      <w:r w:rsidRPr="00931403">
        <w:rPr>
          <w:rtl/>
        </w:rPr>
        <w:t>اس</w:t>
      </w:r>
      <w:r>
        <w:rPr>
          <w:rtl/>
        </w:rPr>
        <w:t>تن</w:t>
      </w:r>
      <w:r w:rsidRPr="00931403">
        <w:rPr>
          <w:rtl/>
        </w:rPr>
        <w:t>تاج</w:t>
      </w:r>
      <w:bookmarkEnd w:id="454"/>
    </w:p>
    <w:p w:rsidR="0088518C" w:rsidRPr="00931403" w:rsidRDefault="0088518C" w:rsidP="00391A35">
      <w:pPr>
        <w:pStyle w:val="ac"/>
        <w:rPr>
          <w:rtl/>
        </w:rPr>
      </w:pPr>
      <w:r w:rsidRPr="00931403">
        <w:rPr>
          <w:rtl/>
        </w:rPr>
        <w:t>من كل ما تقدّم</w:t>
      </w:r>
      <w:r w:rsidRPr="007F5B58">
        <w:rPr>
          <w:rtl/>
        </w:rPr>
        <w:t>،</w:t>
      </w:r>
      <w:r w:rsidRPr="00931403">
        <w:rPr>
          <w:rtl/>
        </w:rPr>
        <w:t xml:space="preserve"> وفي ضوء الاعتبارات</w:t>
      </w:r>
      <w:r>
        <w:rPr>
          <w:rtl/>
        </w:rPr>
        <w:t xml:space="preserve"> التالية</w:t>
      </w:r>
      <w:r w:rsidRPr="007F5B58">
        <w:rPr>
          <w:rtl/>
        </w:rPr>
        <w:t>:</w:t>
      </w:r>
    </w:p>
    <w:p w:rsidR="0088518C" w:rsidRDefault="0088518C" w:rsidP="00391A35">
      <w:pPr>
        <w:pStyle w:val="ac"/>
        <w:rPr>
          <w:rtl/>
        </w:rPr>
      </w:pPr>
      <w:r>
        <w:rPr>
          <w:rtl/>
        </w:rPr>
        <w:t xml:space="preserve">1ـ </w:t>
      </w:r>
      <w:r w:rsidRPr="00931403">
        <w:rPr>
          <w:rtl/>
        </w:rPr>
        <w:t>لقد أصبح المهر المرتفع سبباً في تقليل رغبة الشباب في الزواج</w:t>
      </w:r>
      <w:r>
        <w:rPr>
          <w:rFonts w:hint="cs"/>
          <w:rtl/>
        </w:rPr>
        <w:t>.</w:t>
      </w:r>
      <w:r w:rsidRPr="00931403">
        <w:rPr>
          <w:rtl/>
        </w:rPr>
        <w:t xml:space="preserve"> وفي موارد هامة أخرج إمكانية الزواج عن نطاق قدرتهم</w:t>
      </w:r>
      <w:r>
        <w:rPr>
          <w:rFonts w:hint="cs"/>
          <w:rtl/>
        </w:rPr>
        <w:t>.</w:t>
      </w:r>
      <w:r w:rsidRPr="00931403">
        <w:rPr>
          <w:rtl/>
        </w:rPr>
        <w:t xml:space="preserve"> ومن ناحية أخرى صار سبباً في بروز العديد من المشاكل العائلية</w:t>
      </w:r>
      <w:r>
        <w:rPr>
          <w:rFonts w:hint="cs"/>
          <w:rtl/>
        </w:rPr>
        <w:t>.</w:t>
      </w:r>
      <w:r w:rsidRPr="00931403">
        <w:rPr>
          <w:rtl/>
        </w:rPr>
        <w:t xml:space="preserve"> وفي حالات كثيرة قضى على حسن المعاشرة والتعاون بين الطرفين المكلفين بها</w:t>
      </w:r>
      <w:r w:rsidRPr="00815C4C">
        <w:rPr>
          <w:rFonts w:cs="Taher"/>
          <w:vertAlign w:val="superscript"/>
          <w:rtl/>
        </w:rPr>
        <w:t>(</w:t>
      </w:r>
      <w:r w:rsidRPr="00815C4C">
        <w:rPr>
          <w:rFonts w:cs="Taher"/>
          <w:vertAlign w:val="superscript"/>
          <w:rtl/>
        </w:rPr>
        <w:footnoteReference w:id="858"/>
      </w:r>
      <w:r w:rsidRPr="00815C4C">
        <w:rPr>
          <w:rFonts w:cs="Taher"/>
          <w:vertAlign w:val="superscript"/>
          <w:rtl/>
        </w:rPr>
        <w:t>)</w:t>
      </w:r>
      <w:r w:rsidRPr="007F5B58">
        <w:rPr>
          <w:rtl/>
        </w:rPr>
        <w:t>،</w:t>
      </w:r>
      <w:r w:rsidRPr="00931403">
        <w:rPr>
          <w:rtl/>
        </w:rPr>
        <w:t xml:space="preserve"> وصار سبباً لآثار سلبية جمّة</w:t>
      </w:r>
      <w:r w:rsidRPr="007F5B58">
        <w:rPr>
          <w:rtl/>
        </w:rPr>
        <w:t>،</w:t>
      </w:r>
      <w:r w:rsidRPr="00931403">
        <w:rPr>
          <w:rtl/>
        </w:rPr>
        <w:t xml:space="preserve"> و</w:t>
      </w:r>
      <w:r>
        <w:rPr>
          <w:rtl/>
        </w:rPr>
        <w:t xml:space="preserve">على رأسها </w:t>
      </w:r>
      <w:r w:rsidRPr="00931403">
        <w:rPr>
          <w:rtl/>
        </w:rPr>
        <w:t>اختلال النظام</w:t>
      </w:r>
      <w:r>
        <w:rPr>
          <w:rtl/>
        </w:rPr>
        <w:t>.</w:t>
      </w:r>
    </w:p>
    <w:p w:rsidR="0088518C" w:rsidRPr="00931403" w:rsidRDefault="0088518C" w:rsidP="00391A35">
      <w:pPr>
        <w:pStyle w:val="ac"/>
      </w:pPr>
      <w:r>
        <w:rPr>
          <w:rtl/>
        </w:rPr>
        <w:lastRenderedPageBreak/>
        <w:t xml:space="preserve">2ـ </w:t>
      </w:r>
      <w:r w:rsidRPr="00931403">
        <w:rPr>
          <w:rtl/>
        </w:rPr>
        <w:t>النتيجة الاجتماعية غير الإنسانية للمهور الباه</w:t>
      </w:r>
      <w:r>
        <w:rPr>
          <w:rtl/>
        </w:rPr>
        <w:t>ظ</w:t>
      </w:r>
      <w:r w:rsidRPr="00931403">
        <w:rPr>
          <w:rtl/>
        </w:rPr>
        <w:t>ة التي ليس لها حدّ تقف عنده أنّها أدّت إلى ازدياد عدد نزلاء السجون ممّن لا يقدرون على دفع هذه المهور التي تطالب بها زوجاتهم</w:t>
      </w:r>
      <w:r w:rsidRPr="007F5B58">
        <w:rPr>
          <w:rtl/>
        </w:rPr>
        <w:t>،</w:t>
      </w:r>
      <w:r w:rsidRPr="00931403">
        <w:rPr>
          <w:rtl/>
        </w:rPr>
        <w:t xml:space="preserve"> طبقاً لعقد الزواج</w:t>
      </w:r>
      <w:r w:rsidRPr="007F5B58">
        <w:rPr>
          <w:rtl/>
        </w:rPr>
        <w:t>،</w:t>
      </w:r>
      <w:r w:rsidRPr="00931403">
        <w:rPr>
          <w:rtl/>
        </w:rPr>
        <w:t xml:space="preserve"> </w:t>
      </w:r>
      <w:r>
        <w:rPr>
          <w:rtl/>
        </w:rPr>
        <w:t>و</w:t>
      </w:r>
      <w:r w:rsidRPr="00931403">
        <w:rPr>
          <w:rtl/>
        </w:rPr>
        <w:t>حضور نساء شابات متزوجات خارج دائرة الإحصان في المجتمع</w:t>
      </w:r>
      <w:r w:rsidRPr="007F5B58">
        <w:rPr>
          <w:rtl/>
        </w:rPr>
        <w:t>،</w:t>
      </w:r>
      <w:r w:rsidRPr="00931403">
        <w:rPr>
          <w:rtl/>
        </w:rPr>
        <w:t xml:space="preserve"> </w:t>
      </w:r>
      <w:r>
        <w:rPr>
          <w:rtl/>
        </w:rPr>
        <w:t xml:space="preserve">وازدياد </w:t>
      </w:r>
      <w:r w:rsidRPr="00931403">
        <w:rPr>
          <w:rtl/>
        </w:rPr>
        <w:t>وفور الطلاق والمطل</w:t>
      </w:r>
      <w:r>
        <w:rPr>
          <w:rtl/>
        </w:rPr>
        <w:t>َّ</w:t>
      </w:r>
      <w:r w:rsidRPr="00931403">
        <w:rPr>
          <w:rtl/>
        </w:rPr>
        <w:t>قات وأطفال الطلاق الحيارى بين الوالدين أو المشمولين بحضانة أحدهما والحرمان من الآخر</w:t>
      </w:r>
      <w:r w:rsidRPr="007F5B58">
        <w:rPr>
          <w:rtl/>
        </w:rPr>
        <w:t>،</w:t>
      </w:r>
      <w:r w:rsidRPr="00931403">
        <w:rPr>
          <w:rtl/>
        </w:rPr>
        <w:t xml:space="preserve"> وبالتالي حلول أحد الأقرباء محل الأب أو الأم للقيام بمهمّة حضانتهم ورعايتهم</w:t>
      </w:r>
      <w:r w:rsidRPr="007F5B58">
        <w:rPr>
          <w:rtl/>
        </w:rPr>
        <w:t>،</w:t>
      </w:r>
      <w:r w:rsidRPr="00931403">
        <w:rPr>
          <w:rtl/>
        </w:rPr>
        <w:t xml:space="preserve"> حسب الحالة</w:t>
      </w:r>
      <w:r w:rsidRPr="007F5B58">
        <w:rPr>
          <w:rtl/>
        </w:rPr>
        <w:t>،</w:t>
      </w:r>
      <w:r w:rsidRPr="00931403">
        <w:rPr>
          <w:rtl/>
        </w:rPr>
        <w:t xml:space="preserve"> حيث يعيش عادةً هؤلاء الأقرباء في وادٍ والعائلة المنكوبة في وادٍ آخر</w:t>
      </w:r>
      <w:r w:rsidRPr="007F5B58">
        <w:rPr>
          <w:rtl/>
        </w:rPr>
        <w:t>،</w:t>
      </w:r>
      <w:r w:rsidRPr="00931403">
        <w:rPr>
          <w:rtl/>
        </w:rPr>
        <w:t xml:space="preserve"> ولهم مقتضياتهم الخاصّة. وفي جميع الأحوال تسفر هذه الظاهرة عن نتائج وخيمة.</w:t>
      </w:r>
    </w:p>
    <w:p w:rsidR="0088518C" w:rsidRPr="00931403" w:rsidRDefault="0088518C" w:rsidP="00391A35">
      <w:pPr>
        <w:pStyle w:val="ac"/>
      </w:pPr>
      <w:r>
        <w:rPr>
          <w:rtl/>
        </w:rPr>
        <w:t xml:space="preserve">3ـ </w:t>
      </w:r>
      <w:r w:rsidRPr="00931403">
        <w:rPr>
          <w:rtl/>
        </w:rPr>
        <w:t>الابتعاد عن مطلوب الشارع</w:t>
      </w:r>
      <w:r>
        <w:rPr>
          <w:rtl/>
        </w:rPr>
        <w:t xml:space="preserve"> الظاهر من</w:t>
      </w:r>
      <w:r w:rsidRPr="00931403">
        <w:rPr>
          <w:rtl/>
        </w:rPr>
        <w:t xml:space="preserve"> الأحاديث الكثيرة التي ت</w:t>
      </w:r>
      <w:r>
        <w:rPr>
          <w:rtl/>
        </w:rPr>
        <w:t>تـن</w:t>
      </w:r>
      <w:r w:rsidRPr="00931403">
        <w:rPr>
          <w:rtl/>
        </w:rPr>
        <w:t>اقل محاسن المهر القليل وإيجابياته</w:t>
      </w:r>
      <w:r w:rsidRPr="007F5B58">
        <w:rPr>
          <w:rtl/>
        </w:rPr>
        <w:t>،</w:t>
      </w:r>
      <w:r w:rsidRPr="00931403">
        <w:rPr>
          <w:rtl/>
        </w:rPr>
        <w:t xml:space="preserve"> حيث حُمل ذلك على الاستحباب.</w:t>
      </w:r>
    </w:p>
    <w:p w:rsidR="0088518C" w:rsidRPr="00931403" w:rsidRDefault="0088518C" w:rsidP="00391A35">
      <w:pPr>
        <w:pStyle w:val="ac"/>
      </w:pPr>
      <w:r>
        <w:rPr>
          <w:rtl/>
        </w:rPr>
        <w:t xml:space="preserve">4ـ </w:t>
      </w:r>
      <w:r>
        <w:rPr>
          <w:rFonts w:hint="cs"/>
          <w:rtl/>
        </w:rPr>
        <w:t>إ</w:t>
      </w:r>
      <w:r>
        <w:rPr>
          <w:rtl/>
        </w:rPr>
        <w:t>ن ارتفاع المهور</w:t>
      </w:r>
      <w:r w:rsidRPr="00931403">
        <w:rPr>
          <w:rtl/>
        </w:rPr>
        <w:t xml:space="preserve"> ممّا يعرّض مرتكبيها لسخط الشارع</w:t>
      </w:r>
      <w:r w:rsidRPr="007F5B58">
        <w:rPr>
          <w:rtl/>
        </w:rPr>
        <w:t>؛</w:t>
      </w:r>
      <w:r w:rsidRPr="00931403">
        <w:rPr>
          <w:rtl/>
        </w:rPr>
        <w:t xml:space="preserve"> اس</w:t>
      </w:r>
      <w:r>
        <w:rPr>
          <w:rtl/>
        </w:rPr>
        <w:t>تـن</w:t>
      </w:r>
      <w:r w:rsidRPr="00931403">
        <w:rPr>
          <w:rtl/>
        </w:rPr>
        <w:t xml:space="preserve">اداً إلى الأحاديث التي اعتبرت </w:t>
      </w:r>
      <w:r>
        <w:rPr>
          <w:rtl/>
        </w:rPr>
        <w:t>أ</w:t>
      </w:r>
      <w:r w:rsidRPr="00931403">
        <w:rPr>
          <w:rtl/>
        </w:rPr>
        <w:t>نّ المهر المرتفع مكروه</w:t>
      </w:r>
      <w:r w:rsidRPr="007F5B58">
        <w:rPr>
          <w:rtl/>
        </w:rPr>
        <w:t>،</w:t>
      </w:r>
      <w:r w:rsidRPr="00931403">
        <w:rPr>
          <w:rtl/>
        </w:rPr>
        <w:t xml:space="preserve"> حيث يمكن القول</w:t>
      </w:r>
      <w:r w:rsidRPr="007F5B58">
        <w:rPr>
          <w:rtl/>
        </w:rPr>
        <w:t>:</w:t>
      </w:r>
      <w:r w:rsidRPr="00931403">
        <w:rPr>
          <w:rtl/>
        </w:rPr>
        <w:t xml:space="preserve"> </w:t>
      </w:r>
      <w:r>
        <w:rPr>
          <w:rtl/>
        </w:rPr>
        <w:t>إ</w:t>
      </w:r>
      <w:r w:rsidRPr="00931403">
        <w:rPr>
          <w:rtl/>
        </w:rPr>
        <w:t>نّه في الوقت الحاضر</w:t>
      </w:r>
      <w:r w:rsidRPr="007F5B58">
        <w:rPr>
          <w:rtl/>
        </w:rPr>
        <w:t>،</w:t>
      </w:r>
      <w:r w:rsidRPr="00931403">
        <w:rPr>
          <w:rtl/>
        </w:rPr>
        <w:t xml:space="preserve"> وبالنظر إلى آثار هذا النوع من المهور</w:t>
      </w:r>
      <w:r w:rsidRPr="007F5B58">
        <w:rPr>
          <w:rtl/>
        </w:rPr>
        <w:t>،</w:t>
      </w:r>
      <w:r w:rsidRPr="00931403">
        <w:rPr>
          <w:rtl/>
        </w:rPr>
        <w:t xml:space="preserve"> فإنّ مفاد هذه المجموعة من الأحاديث قد تمّ إثباته بالتجربة أيضاً</w:t>
      </w:r>
      <w:r w:rsidRPr="007F5B58">
        <w:rPr>
          <w:rtl/>
        </w:rPr>
        <w:t>،</w:t>
      </w:r>
      <w:r w:rsidRPr="00931403">
        <w:rPr>
          <w:rtl/>
        </w:rPr>
        <w:t xml:space="preserve"> والوضع الموجود يستلزم التحريم المؤكّد لهذه المهور على مستوى التداول الحالي.</w:t>
      </w:r>
    </w:p>
    <w:p w:rsidR="0088518C" w:rsidRPr="00931403" w:rsidRDefault="0088518C" w:rsidP="00391A35">
      <w:pPr>
        <w:pStyle w:val="ac"/>
      </w:pPr>
      <w:r>
        <w:rPr>
          <w:rtl/>
        </w:rPr>
        <w:t xml:space="preserve">5ـ </w:t>
      </w:r>
      <w:r w:rsidRPr="00931403">
        <w:rPr>
          <w:rtl/>
        </w:rPr>
        <w:t xml:space="preserve">الخطوة التي قام بها المسؤولون لتحديد </w:t>
      </w:r>
      <w:r>
        <w:rPr>
          <w:rtl/>
        </w:rPr>
        <w:t>ال</w:t>
      </w:r>
      <w:r w:rsidRPr="00931403">
        <w:rPr>
          <w:rtl/>
        </w:rPr>
        <w:t>مهر من خلال التأثير على الإرادات</w:t>
      </w:r>
      <w:r w:rsidRPr="007F5B58">
        <w:rPr>
          <w:rtl/>
        </w:rPr>
        <w:t>،</w:t>
      </w:r>
      <w:r w:rsidRPr="00931403">
        <w:rPr>
          <w:rtl/>
        </w:rPr>
        <w:t xml:space="preserve"> ومن أجل الحدّ من تدنّي المهر عبر إلحاق مذكرة إيضاحية بالمادة (1082)</w:t>
      </w:r>
      <w:r w:rsidRPr="007F5B58">
        <w:rPr>
          <w:rtl/>
        </w:rPr>
        <w:t>،</w:t>
      </w:r>
      <w:r w:rsidRPr="00931403">
        <w:rPr>
          <w:rtl/>
        </w:rPr>
        <w:t xml:space="preserve"> وترك تحديد سقف أعلى للمهر</w:t>
      </w:r>
      <w:r w:rsidRPr="007F5B58">
        <w:rPr>
          <w:rtl/>
        </w:rPr>
        <w:t>،</w:t>
      </w:r>
      <w:r w:rsidRPr="00931403">
        <w:rPr>
          <w:rtl/>
        </w:rPr>
        <w:t xml:space="preserve"> حيث يمكن أن يعتبر هذا نوعاً من التشجيع على رفعه.</w:t>
      </w:r>
    </w:p>
    <w:p w:rsidR="0088518C" w:rsidRPr="00931403" w:rsidRDefault="0088518C" w:rsidP="00391A35">
      <w:pPr>
        <w:pStyle w:val="ac"/>
      </w:pPr>
      <w:r>
        <w:rPr>
          <w:rtl/>
        </w:rPr>
        <w:t xml:space="preserve">6ـ </w:t>
      </w:r>
      <w:r w:rsidRPr="00931403">
        <w:rPr>
          <w:rtl/>
        </w:rPr>
        <w:t>بطلان المهور الخارجة عن الوسع بشكل مؤكّ</w:t>
      </w:r>
      <w:r>
        <w:rPr>
          <w:rtl/>
        </w:rPr>
        <w:t>َ</w:t>
      </w:r>
      <w:r w:rsidRPr="00931403">
        <w:rPr>
          <w:rtl/>
        </w:rPr>
        <w:t>د</w:t>
      </w:r>
      <w:r w:rsidRPr="007F5B58">
        <w:rPr>
          <w:rtl/>
        </w:rPr>
        <w:t>،</w:t>
      </w:r>
      <w:r w:rsidRPr="00931403">
        <w:rPr>
          <w:rtl/>
        </w:rPr>
        <w:t xml:space="preserve"> حتى أنّ أيّاً من الجوائز المتداولة في البلاد غير قادرة على تأديتها (المقصود الجوائز التي تضعها بعض البنوك والمؤسسات)</w:t>
      </w:r>
      <w:r w:rsidRPr="007F5B58">
        <w:rPr>
          <w:rtl/>
        </w:rPr>
        <w:t>،</w:t>
      </w:r>
      <w:r w:rsidRPr="00931403">
        <w:rPr>
          <w:rtl/>
        </w:rPr>
        <w:t xml:space="preserve"> والحاجة إلى فرض ضمانة لل</w:t>
      </w:r>
      <w:r>
        <w:rPr>
          <w:rtl/>
        </w:rPr>
        <w:t>تـن</w:t>
      </w:r>
      <w:r w:rsidRPr="00931403">
        <w:rPr>
          <w:rtl/>
        </w:rPr>
        <w:t>فيذ</w:t>
      </w:r>
      <w:r w:rsidRPr="007F5B58">
        <w:rPr>
          <w:rtl/>
        </w:rPr>
        <w:t>،</w:t>
      </w:r>
      <w:r w:rsidRPr="00931403">
        <w:rPr>
          <w:rtl/>
        </w:rPr>
        <w:t xml:space="preserve"> ولا سيّما بالنظر إلى </w:t>
      </w:r>
      <w:r>
        <w:rPr>
          <w:rtl/>
        </w:rPr>
        <w:t>تـن</w:t>
      </w:r>
      <w:r w:rsidRPr="00931403">
        <w:rPr>
          <w:rtl/>
        </w:rPr>
        <w:t>ظيم الوثيقة الرسمية للزواج من قبل الدولة</w:t>
      </w:r>
      <w:r w:rsidRPr="007F5B58">
        <w:rPr>
          <w:rtl/>
        </w:rPr>
        <w:t>،</w:t>
      </w:r>
      <w:r w:rsidRPr="00931403">
        <w:rPr>
          <w:rtl/>
        </w:rPr>
        <w:t xml:space="preserve"> ومسؤولية الدولة في منع القيام بالأمور الباطلة.</w:t>
      </w:r>
    </w:p>
    <w:p w:rsidR="0088518C" w:rsidRPr="00931403" w:rsidRDefault="0088518C" w:rsidP="00C86626">
      <w:pPr>
        <w:pStyle w:val="ac"/>
      </w:pPr>
      <w:r>
        <w:rPr>
          <w:rtl/>
        </w:rPr>
        <w:t xml:space="preserve">7ـ </w:t>
      </w:r>
      <w:r w:rsidRPr="00931403">
        <w:rPr>
          <w:rtl/>
        </w:rPr>
        <w:t>ضرورة الاهتمام بآراء علماء كبار في الفقه الشيعي الذين اختاروا بشكل قاطع سقف مهر السنّة للمهر</w:t>
      </w:r>
      <w:r>
        <w:rPr>
          <w:rFonts w:hint="cs"/>
          <w:rtl/>
        </w:rPr>
        <w:t>.</w:t>
      </w:r>
      <w:r w:rsidRPr="00931403">
        <w:rPr>
          <w:rtl/>
        </w:rPr>
        <w:t xml:space="preserve"> ويمكن بهذا الخصوص الإشارة إلى رأي الشيخ الصدوق </w:t>
      </w:r>
      <w:r w:rsidRPr="00931403">
        <w:rPr>
          <w:rtl/>
        </w:rPr>
        <w:lastRenderedPageBreak/>
        <w:t>الذي كان قد نقل ضمن تحرير محاسن الزواج</w:t>
      </w:r>
      <w:r w:rsidRPr="007F5B58">
        <w:rPr>
          <w:rtl/>
        </w:rPr>
        <w:t>،</w:t>
      </w:r>
      <w:r w:rsidRPr="00931403">
        <w:rPr>
          <w:rtl/>
        </w:rPr>
        <w:t xml:space="preserve"> والتأكيد الشرعي عليه</w:t>
      </w:r>
      <w:r w:rsidRPr="007F5B58">
        <w:rPr>
          <w:rtl/>
        </w:rPr>
        <w:t>،</w:t>
      </w:r>
      <w:r w:rsidRPr="00931403">
        <w:rPr>
          <w:rtl/>
        </w:rPr>
        <w:t xml:space="preserve"> والآداب الأخرى</w:t>
      </w:r>
      <w:r w:rsidRPr="007F5B58">
        <w:rPr>
          <w:rtl/>
        </w:rPr>
        <w:t>،</w:t>
      </w:r>
      <w:r w:rsidRPr="00931403">
        <w:rPr>
          <w:rtl/>
        </w:rPr>
        <w:t xml:space="preserve"> </w:t>
      </w:r>
      <w:r>
        <w:rPr>
          <w:rtl/>
        </w:rPr>
        <w:t>و</w:t>
      </w:r>
      <w:r w:rsidRPr="00931403">
        <w:rPr>
          <w:rtl/>
        </w:rPr>
        <w:t>شروطه وموانعه</w:t>
      </w:r>
      <w:r w:rsidRPr="007F5B58">
        <w:rPr>
          <w:rtl/>
        </w:rPr>
        <w:t>،</w:t>
      </w:r>
      <w:r w:rsidRPr="00931403">
        <w:rPr>
          <w:rtl/>
        </w:rPr>
        <w:t xml:space="preserve"> مطالب عن المهر قريبة من هذا المضمون</w:t>
      </w:r>
      <w:r w:rsidRPr="007F5B58">
        <w:rPr>
          <w:rtl/>
        </w:rPr>
        <w:t>،</w:t>
      </w:r>
      <w:r w:rsidRPr="00931403">
        <w:rPr>
          <w:rtl/>
        </w:rPr>
        <w:t xml:space="preserve"> وهي ضرورة التقيّد عند الزواج بعدم تحديد مهر يربو على مهر زوجات وبنات النبي الأكرم</w:t>
      </w:r>
      <w:r w:rsidR="00C86626">
        <w:rPr>
          <w:rFonts w:hint="cs"/>
          <w:rtl/>
        </w:rPr>
        <w:t>’</w:t>
      </w:r>
      <w:r w:rsidRPr="007F5B58">
        <w:rPr>
          <w:rtl/>
        </w:rPr>
        <w:t>،</w:t>
      </w:r>
      <w:r w:rsidRPr="00931403">
        <w:rPr>
          <w:rtl/>
        </w:rPr>
        <w:t xml:space="preserve"> والذي عرف بواسطة العمل (المكر</w:t>
      </w:r>
      <w:r>
        <w:rPr>
          <w:rtl/>
        </w:rPr>
        <w:t>َّ</w:t>
      </w:r>
      <w:r w:rsidRPr="00931403">
        <w:rPr>
          <w:rtl/>
        </w:rPr>
        <w:t>ر) لرسول الله</w:t>
      </w:r>
      <w:r w:rsidR="00C86626">
        <w:rPr>
          <w:rFonts w:hint="cs"/>
          <w:rtl/>
        </w:rPr>
        <w:t>’</w:t>
      </w:r>
      <w:r>
        <w:rPr>
          <w:rtl/>
        </w:rPr>
        <w:t xml:space="preserve"> </w:t>
      </w:r>
      <w:r w:rsidRPr="00931403">
        <w:rPr>
          <w:rtl/>
        </w:rPr>
        <w:t>بمهر السنّة</w:t>
      </w:r>
      <w:r w:rsidRPr="007F5B58">
        <w:rPr>
          <w:rtl/>
        </w:rPr>
        <w:t>،</w:t>
      </w:r>
      <w:r w:rsidRPr="00931403">
        <w:rPr>
          <w:rtl/>
        </w:rPr>
        <w:t xml:space="preserve"> وقدره (500) درهم</w:t>
      </w:r>
      <w:r>
        <w:rPr>
          <w:rFonts w:hint="cs"/>
          <w:rtl/>
        </w:rPr>
        <w:t>؛</w:t>
      </w:r>
      <w:r w:rsidRPr="00931403">
        <w:rPr>
          <w:rtl/>
        </w:rPr>
        <w:t xml:space="preserve"> لأنّه</w:t>
      </w:r>
      <w:r>
        <w:rPr>
          <w:rtl/>
        </w:rPr>
        <w:t>.</w:t>
      </w:r>
      <w:r w:rsidRPr="00931403">
        <w:rPr>
          <w:rtl/>
        </w:rPr>
        <w:t>..</w:t>
      </w:r>
      <w:r w:rsidRPr="00815C4C">
        <w:rPr>
          <w:rFonts w:cs="Taher"/>
          <w:vertAlign w:val="superscript"/>
          <w:rtl/>
        </w:rPr>
        <w:t>(</w:t>
      </w:r>
      <w:r w:rsidRPr="00815C4C">
        <w:rPr>
          <w:rFonts w:cs="Taher"/>
          <w:vertAlign w:val="superscript"/>
          <w:rtl/>
        </w:rPr>
        <w:footnoteReference w:id="859"/>
      </w:r>
      <w:r w:rsidRPr="00815C4C">
        <w:rPr>
          <w:rFonts w:cs="Taher"/>
          <w:vertAlign w:val="superscript"/>
          <w:rtl/>
        </w:rPr>
        <w:t>)</w:t>
      </w:r>
      <w:r w:rsidRPr="00931403">
        <w:rPr>
          <w:rtl/>
        </w:rPr>
        <w:t>. كذلك يعتقد الشريف المرتضى بأنّ</w:t>
      </w:r>
      <w:r w:rsidRPr="007F5B58">
        <w:rPr>
          <w:rtl/>
        </w:rPr>
        <w:t>:</w:t>
      </w:r>
      <w:r w:rsidRPr="00931403">
        <w:rPr>
          <w:rtl/>
        </w:rPr>
        <w:t xml:space="preserve"> «مما انفردت به الإمامية أنّه لا يتجاوز بالمهر خمسمئة درهم جياداً</w:t>
      </w:r>
      <w:r w:rsidRPr="007F5B58">
        <w:rPr>
          <w:rtl/>
        </w:rPr>
        <w:t>،</w:t>
      </w:r>
      <w:r w:rsidRPr="00931403">
        <w:rPr>
          <w:rtl/>
        </w:rPr>
        <w:t xml:space="preserve"> قيمتها خمسون ديناراً</w:t>
      </w:r>
      <w:r w:rsidRPr="007F5B58">
        <w:rPr>
          <w:rtl/>
        </w:rPr>
        <w:t>،</w:t>
      </w:r>
      <w:r w:rsidRPr="00931403">
        <w:rPr>
          <w:rtl/>
        </w:rPr>
        <w:t xml:space="preserve"> فما زاد على ذلك ردّ إلى هذه السنّة</w:t>
      </w:r>
      <w:r w:rsidRPr="007F5B58">
        <w:rPr>
          <w:rtl/>
        </w:rPr>
        <w:t>،</w:t>
      </w:r>
      <w:r w:rsidRPr="00931403">
        <w:rPr>
          <w:rtl/>
        </w:rPr>
        <w:t xml:space="preserve"> </w:t>
      </w:r>
      <w:r>
        <w:rPr>
          <w:rtl/>
        </w:rPr>
        <w:t>و</w:t>
      </w:r>
      <w:r w:rsidRPr="00931403">
        <w:rPr>
          <w:rtl/>
        </w:rPr>
        <w:t>باقي الفقهاء يخالفون في ذلك»</w:t>
      </w:r>
      <w:r w:rsidRPr="00815C4C">
        <w:rPr>
          <w:rFonts w:cs="Taher"/>
          <w:vertAlign w:val="superscript"/>
          <w:rtl/>
        </w:rPr>
        <w:t>(</w:t>
      </w:r>
      <w:r w:rsidRPr="00815C4C">
        <w:rPr>
          <w:rFonts w:cs="Taher"/>
          <w:vertAlign w:val="superscript"/>
          <w:rtl/>
        </w:rPr>
        <w:footnoteReference w:id="860"/>
      </w:r>
      <w:r w:rsidRPr="00815C4C">
        <w:rPr>
          <w:rFonts w:cs="Taher"/>
          <w:vertAlign w:val="superscript"/>
          <w:rtl/>
        </w:rPr>
        <w:t>)</w:t>
      </w:r>
      <w:r>
        <w:rPr>
          <w:rtl/>
        </w:rPr>
        <w:t>.</w:t>
      </w:r>
    </w:p>
    <w:p w:rsidR="0088518C" w:rsidRPr="00931403" w:rsidRDefault="0088518C" w:rsidP="00391A35">
      <w:pPr>
        <w:pStyle w:val="ac"/>
        <w:rPr>
          <w:rtl/>
        </w:rPr>
      </w:pPr>
      <w:r w:rsidRPr="00931403">
        <w:rPr>
          <w:rtl/>
        </w:rPr>
        <w:t xml:space="preserve">إنّ </w:t>
      </w:r>
      <w:r>
        <w:rPr>
          <w:rtl/>
        </w:rPr>
        <w:t>المهم</w:t>
      </w:r>
      <w:r w:rsidRPr="00931403">
        <w:rPr>
          <w:rtl/>
        </w:rPr>
        <w:t xml:space="preserve"> في هذا الخصوص هو أنّ الشيخ الصدوق يوصي بالاحتراس من تجاوز المهر لـ</w:t>
      </w:r>
      <w:r>
        <w:rPr>
          <w:rFonts w:ascii="Times New Roman" w:hAnsi="Times New Roman" w:cs="Times New Roman" w:hint="cs"/>
          <w:rtl/>
        </w:rPr>
        <w:t> </w:t>
      </w:r>
      <w:r w:rsidRPr="00931403">
        <w:rPr>
          <w:rtl/>
        </w:rPr>
        <w:t>(500) درهم</w:t>
      </w:r>
      <w:r w:rsidRPr="007F5B58">
        <w:rPr>
          <w:rtl/>
        </w:rPr>
        <w:t>،</w:t>
      </w:r>
      <w:r w:rsidRPr="00931403">
        <w:rPr>
          <w:rtl/>
        </w:rPr>
        <w:t xml:space="preserve"> والشريف المرتضى يس</w:t>
      </w:r>
      <w:r>
        <w:rPr>
          <w:rtl/>
        </w:rPr>
        <w:t>تـن</w:t>
      </w:r>
      <w:r w:rsidRPr="00931403">
        <w:rPr>
          <w:rtl/>
        </w:rPr>
        <w:t>د إلى إجماع المذهب لإثبات عدم حيازة ما زاد عن (500) درهم</w:t>
      </w:r>
      <w:r w:rsidRPr="007F5B58">
        <w:rPr>
          <w:rtl/>
        </w:rPr>
        <w:t>،</w:t>
      </w:r>
      <w:r w:rsidRPr="00931403">
        <w:rPr>
          <w:rtl/>
        </w:rPr>
        <w:t xml:space="preserve"> وهذا يكشف عن شيوع مهر السنّة في صدر الإسلام</w:t>
      </w:r>
      <w:r w:rsidRPr="007F5B58">
        <w:rPr>
          <w:rtl/>
        </w:rPr>
        <w:t>،</w:t>
      </w:r>
      <w:r w:rsidRPr="00931403">
        <w:rPr>
          <w:rtl/>
        </w:rPr>
        <w:t xml:space="preserve"> ومن المؤكّد أنّ القدر المتيقّن من السنّة النبوية الشريفة يمكن أن يكون موضع إجماع الشيعة والسنّة</w:t>
      </w:r>
      <w:r w:rsidRPr="007F5B58">
        <w:rPr>
          <w:rtl/>
        </w:rPr>
        <w:t>،</w:t>
      </w:r>
      <w:r w:rsidRPr="00931403">
        <w:rPr>
          <w:rtl/>
        </w:rPr>
        <w:t xml:space="preserve"> والتي تحوّلت في الوقت الحاضر إلى استحباب المهر القليل وكراهة المهر المرتفع</w:t>
      </w:r>
      <w:r w:rsidRPr="00815C4C">
        <w:rPr>
          <w:rFonts w:cs="Taher"/>
          <w:vertAlign w:val="superscript"/>
          <w:rtl/>
        </w:rPr>
        <w:t>(</w:t>
      </w:r>
      <w:r w:rsidRPr="00815C4C">
        <w:rPr>
          <w:rFonts w:cs="Taher"/>
          <w:vertAlign w:val="superscript"/>
          <w:rtl/>
        </w:rPr>
        <w:footnoteReference w:id="861"/>
      </w:r>
      <w:r w:rsidRPr="00815C4C">
        <w:rPr>
          <w:rFonts w:cs="Taher"/>
          <w:vertAlign w:val="superscript"/>
          <w:rtl/>
        </w:rPr>
        <w:t>)</w:t>
      </w:r>
      <w:r w:rsidRPr="00931403">
        <w:rPr>
          <w:rtl/>
        </w:rPr>
        <w:t>.</w:t>
      </w:r>
    </w:p>
    <w:p w:rsidR="0088518C" w:rsidRDefault="0088518C" w:rsidP="00391A35">
      <w:pPr>
        <w:pStyle w:val="ac"/>
        <w:rPr>
          <w:rtl/>
        </w:rPr>
      </w:pPr>
      <w:r>
        <w:rPr>
          <w:rtl/>
        </w:rPr>
        <w:t xml:space="preserve">8ـ </w:t>
      </w:r>
      <w:r w:rsidRPr="00931403">
        <w:rPr>
          <w:rtl/>
        </w:rPr>
        <w:t>حرمة الفعل العبث في الإسلام</w:t>
      </w:r>
      <w:r w:rsidRPr="007F5B58">
        <w:rPr>
          <w:rtl/>
        </w:rPr>
        <w:t>،</w:t>
      </w:r>
      <w:r w:rsidRPr="00931403">
        <w:rPr>
          <w:rtl/>
        </w:rPr>
        <w:t xml:space="preserve"> وعبثية المهر الباه</w:t>
      </w:r>
      <w:r>
        <w:rPr>
          <w:rtl/>
        </w:rPr>
        <w:t>ظ</w:t>
      </w:r>
      <w:r w:rsidRPr="007F5B58">
        <w:rPr>
          <w:rtl/>
        </w:rPr>
        <w:t>؛</w:t>
      </w:r>
      <w:r w:rsidRPr="00931403">
        <w:rPr>
          <w:rtl/>
        </w:rPr>
        <w:t xml:space="preserve"> بدليل عدم إمكان التأدية من قبل الزوج وعدم الاستلام من جانب الزوجة</w:t>
      </w:r>
      <w:r w:rsidRPr="007F5B58">
        <w:rPr>
          <w:rtl/>
        </w:rPr>
        <w:t>،</w:t>
      </w:r>
      <w:r w:rsidRPr="00931403">
        <w:rPr>
          <w:rtl/>
        </w:rPr>
        <w:t xml:space="preserve"> وعدم تصوّر فائدة أخرى مترتّبة عليه</w:t>
      </w:r>
      <w:r w:rsidRPr="00815C4C">
        <w:rPr>
          <w:rFonts w:cs="Taher"/>
          <w:vertAlign w:val="superscript"/>
          <w:rtl/>
        </w:rPr>
        <w:t>(</w:t>
      </w:r>
      <w:r w:rsidRPr="00815C4C">
        <w:rPr>
          <w:rFonts w:cs="Taher"/>
          <w:vertAlign w:val="superscript"/>
          <w:rtl/>
        </w:rPr>
        <w:footnoteReference w:id="862"/>
      </w:r>
      <w:r w:rsidRPr="00815C4C">
        <w:rPr>
          <w:rFonts w:cs="Taher"/>
          <w:vertAlign w:val="superscript"/>
          <w:rtl/>
        </w:rPr>
        <w:t>)</w:t>
      </w:r>
      <w:r w:rsidRPr="00931403">
        <w:rPr>
          <w:rtl/>
        </w:rPr>
        <w:t>.</w:t>
      </w:r>
    </w:p>
    <w:p w:rsidR="0088518C" w:rsidRDefault="0088518C" w:rsidP="00EE06ED">
      <w:pPr>
        <w:pStyle w:val="ac"/>
        <w:spacing w:line="209" w:lineRule="auto"/>
        <w:rPr>
          <w:rtl/>
        </w:rPr>
      </w:pPr>
      <w:r>
        <w:rPr>
          <w:rtl/>
        </w:rPr>
        <w:t>9ـ</w:t>
      </w:r>
      <w:r w:rsidRPr="00931403">
        <w:rPr>
          <w:rtl/>
        </w:rPr>
        <w:t xml:space="preserve"> وجود حالات تمّ فيها تحديد سقف للمهر في الفقه أو القانون</w:t>
      </w:r>
      <w:r w:rsidRPr="007F5B58">
        <w:rPr>
          <w:rtl/>
        </w:rPr>
        <w:t>،</w:t>
      </w:r>
      <w:r w:rsidRPr="00931403">
        <w:rPr>
          <w:rtl/>
        </w:rPr>
        <w:t xml:space="preserve"> </w:t>
      </w:r>
      <w:r>
        <w:rPr>
          <w:rtl/>
        </w:rPr>
        <w:t>و</w:t>
      </w:r>
      <w:r w:rsidRPr="00931403">
        <w:rPr>
          <w:rtl/>
        </w:rPr>
        <w:t>من جملتها</w:t>
      </w:r>
      <w:r>
        <w:rPr>
          <w:rtl/>
        </w:rPr>
        <w:t xml:space="preserve"> </w:t>
      </w:r>
      <w:r>
        <w:rPr>
          <w:rFonts w:hint="cs"/>
          <w:rtl/>
        </w:rPr>
        <w:t xml:space="preserve">ـ </w:t>
      </w:r>
      <w:r w:rsidRPr="00931403">
        <w:rPr>
          <w:rtl/>
        </w:rPr>
        <w:t>علاوة على آراء الشيخ الصدوق وعلم الهدى المنقولة في</w:t>
      </w:r>
      <w:r>
        <w:rPr>
          <w:rtl/>
        </w:rPr>
        <w:t xml:space="preserve"> </w:t>
      </w:r>
      <w:r w:rsidRPr="00931403">
        <w:rPr>
          <w:rtl/>
        </w:rPr>
        <w:t>ما تقدّم</w:t>
      </w:r>
      <w:r>
        <w:rPr>
          <w:rtl/>
        </w:rPr>
        <w:t xml:space="preserve"> ـ</w:t>
      </w:r>
      <w:r w:rsidRPr="00931403">
        <w:rPr>
          <w:rtl/>
        </w:rPr>
        <w:t xml:space="preserve"> يمكن الإشارة إلى حقّ المرأة في تحديد المهر</w:t>
      </w:r>
      <w:r>
        <w:rPr>
          <w:rFonts w:hint="cs"/>
          <w:rtl/>
        </w:rPr>
        <w:t>،</w:t>
      </w:r>
      <w:r w:rsidRPr="00931403">
        <w:rPr>
          <w:rtl/>
        </w:rPr>
        <w:t xml:space="preserve"> حيث أنّ لها الحدّ الأعلى لمهر المثل بحسب المادة (1090) من </w:t>
      </w:r>
      <w:r w:rsidRPr="00931403">
        <w:rPr>
          <w:rtl/>
        </w:rPr>
        <w:lastRenderedPageBreak/>
        <w:t>القانون المدني</w:t>
      </w:r>
      <w:r w:rsidRPr="007F5B58">
        <w:rPr>
          <w:rtl/>
        </w:rPr>
        <w:t>،</w:t>
      </w:r>
      <w:r w:rsidRPr="00931403">
        <w:rPr>
          <w:rtl/>
        </w:rPr>
        <w:t xml:space="preserve"> وسقف مهر السنّة بحسب الرأي الفقهي المشهور</w:t>
      </w:r>
      <w:r w:rsidRPr="00815C4C">
        <w:rPr>
          <w:rFonts w:cs="Taher"/>
          <w:vertAlign w:val="superscript"/>
          <w:rtl/>
        </w:rPr>
        <w:t>(</w:t>
      </w:r>
      <w:r w:rsidRPr="00815C4C">
        <w:rPr>
          <w:rFonts w:cs="Taher"/>
          <w:vertAlign w:val="superscript"/>
          <w:rtl/>
        </w:rPr>
        <w:footnoteReference w:id="863"/>
      </w:r>
      <w:r w:rsidRPr="00815C4C">
        <w:rPr>
          <w:rFonts w:cs="Taher"/>
          <w:vertAlign w:val="superscript"/>
          <w:rtl/>
        </w:rPr>
        <w:t>)</w:t>
      </w:r>
      <w:r w:rsidRPr="007F5B58">
        <w:rPr>
          <w:rtl/>
        </w:rPr>
        <w:t>،</w:t>
      </w:r>
      <w:r w:rsidRPr="00931403">
        <w:rPr>
          <w:rtl/>
        </w:rPr>
        <w:t xml:space="preserve"> أو مهر المتعة الذي له سقف مهر المثل</w:t>
      </w:r>
      <w:r w:rsidRPr="00815C4C">
        <w:rPr>
          <w:rFonts w:cs="Taher"/>
          <w:vertAlign w:val="superscript"/>
          <w:rtl/>
        </w:rPr>
        <w:t>(</w:t>
      </w:r>
      <w:r w:rsidRPr="00815C4C">
        <w:rPr>
          <w:rFonts w:cs="Taher"/>
          <w:vertAlign w:val="superscript"/>
          <w:rtl/>
        </w:rPr>
        <w:footnoteReference w:id="864"/>
      </w:r>
      <w:r w:rsidRPr="00815C4C">
        <w:rPr>
          <w:rFonts w:cs="Taher"/>
          <w:vertAlign w:val="superscript"/>
          <w:rtl/>
        </w:rPr>
        <w:t>)</w:t>
      </w:r>
      <w:r>
        <w:rPr>
          <w:rtl/>
        </w:rPr>
        <w:t xml:space="preserve">. </w:t>
      </w:r>
      <w:r w:rsidRPr="00931403">
        <w:rPr>
          <w:rtl/>
        </w:rPr>
        <w:t>و</w:t>
      </w:r>
      <w:r>
        <w:rPr>
          <w:rtl/>
        </w:rPr>
        <w:t xml:space="preserve">كثيرون </w:t>
      </w:r>
      <w:r w:rsidRPr="00931403">
        <w:rPr>
          <w:rtl/>
        </w:rPr>
        <w:t>هم الفقهاء الذين حدّدوا مهر المثل حداً أعلى معادلاً لمهر السنّة</w:t>
      </w:r>
      <w:r w:rsidRPr="007F5B58">
        <w:rPr>
          <w:rtl/>
        </w:rPr>
        <w:t>،</w:t>
      </w:r>
      <w:r w:rsidRPr="00931403">
        <w:rPr>
          <w:rtl/>
        </w:rPr>
        <w:t xml:space="preserve"> أي (500) درهم</w:t>
      </w:r>
      <w:r w:rsidRPr="00815C4C">
        <w:rPr>
          <w:rFonts w:cs="Taher"/>
          <w:vertAlign w:val="superscript"/>
          <w:rtl/>
        </w:rPr>
        <w:t>(</w:t>
      </w:r>
      <w:r w:rsidRPr="00815C4C">
        <w:rPr>
          <w:rFonts w:cs="Taher"/>
          <w:vertAlign w:val="superscript"/>
          <w:rtl/>
        </w:rPr>
        <w:footnoteReference w:id="865"/>
      </w:r>
      <w:r w:rsidRPr="00815C4C">
        <w:rPr>
          <w:rFonts w:cs="Taher"/>
          <w:vertAlign w:val="superscript"/>
          <w:rtl/>
        </w:rPr>
        <w:t>)</w:t>
      </w:r>
      <w:r w:rsidRPr="00931403">
        <w:rPr>
          <w:rtl/>
        </w:rPr>
        <w:t xml:space="preserve">. </w:t>
      </w:r>
      <w:r>
        <w:rPr>
          <w:rtl/>
        </w:rPr>
        <w:t>و</w:t>
      </w:r>
      <w:r w:rsidRPr="00931403">
        <w:rPr>
          <w:rtl/>
        </w:rPr>
        <w:t>البعض من هؤلاء الفقهاء الكبار نقلوا الأحاديث التي اس</w:t>
      </w:r>
      <w:r>
        <w:rPr>
          <w:rtl/>
        </w:rPr>
        <w:t>تـن</w:t>
      </w:r>
      <w:r w:rsidRPr="00931403">
        <w:rPr>
          <w:rtl/>
        </w:rPr>
        <w:t>دوا إليها في اس</w:t>
      </w:r>
      <w:r>
        <w:rPr>
          <w:rtl/>
        </w:rPr>
        <w:t>تـن</w:t>
      </w:r>
      <w:r w:rsidRPr="00931403">
        <w:rPr>
          <w:rtl/>
        </w:rPr>
        <w:t>باط فتاواهم</w:t>
      </w:r>
      <w:r>
        <w:rPr>
          <w:rFonts w:hint="cs"/>
          <w:rtl/>
        </w:rPr>
        <w:t>.</w:t>
      </w:r>
      <w:r w:rsidRPr="00931403">
        <w:rPr>
          <w:rtl/>
        </w:rPr>
        <w:t xml:space="preserve"> واعتبر البعض أيضاً</w:t>
      </w:r>
      <w:r w:rsidRPr="007F5B58">
        <w:rPr>
          <w:rtl/>
        </w:rPr>
        <w:t>؛</w:t>
      </w:r>
      <w:r w:rsidRPr="00931403">
        <w:rPr>
          <w:rtl/>
        </w:rPr>
        <w:t xml:space="preserve"> اس</w:t>
      </w:r>
      <w:r>
        <w:rPr>
          <w:rtl/>
        </w:rPr>
        <w:t>تـن</w:t>
      </w:r>
      <w:r w:rsidRPr="00931403">
        <w:rPr>
          <w:rtl/>
        </w:rPr>
        <w:t>اداً إلى نصوص الأحاديث</w:t>
      </w:r>
      <w:r w:rsidRPr="007F5B58">
        <w:rPr>
          <w:rtl/>
        </w:rPr>
        <w:t>،</w:t>
      </w:r>
      <w:r w:rsidRPr="00931403">
        <w:rPr>
          <w:rtl/>
        </w:rPr>
        <w:t xml:space="preserve"> أنّ أفضل المهر أسهله (أقلّه)</w:t>
      </w:r>
      <w:r w:rsidRPr="007F5B58">
        <w:rPr>
          <w:rtl/>
        </w:rPr>
        <w:t>،</w:t>
      </w:r>
      <w:r w:rsidRPr="00931403">
        <w:rPr>
          <w:rtl/>
        </w:rPr>
        <w:t xml:space="preserve"> وجعلوا مهر السنّة هو الأساس. </w:t>
      </w:r>
    </w:p>
    <w:p w:rsidR="00EE06ED" w:rsidRDefault="0088518C" w:rsidP="00EE06ED">
      <w:pPr>
        <w:pStyle w:val="ac"/>
        <w:spacing w:line="209" w:lineRule="auto"/>
        <w:rPr>
          <w:rtl/>
        </w:rPr>
      </w:pPr>
      <w:r w:rsidRPr="00931403">
        <w:rPr>
          <w:rtl/>
        </w:rPr>
        <w:t xml:space="preserve">وفي الختام </w:t>
      </w:r>
      <w:r>
        <w:rPr>
          <w:rtl/>
        </w:rPr>
        <w:t>نقول</w:t>
      </w:r>
      <w:r w:rsidRPr="007F5B58">
        <w:rPr>
          <w:rtl/>
        </w:rPr>
        <w:t>:</w:t>
      </w:r>
      <w:r>
        <w:rPr>
          <w:rtl/>
        </w:rPr>
        <w:t xml:space="preserve"> إ</w:t>
      </w:r>
      <w:r w:rsidRPr="00931403">
        <w:rPr>
          <w:rtl/>
        </w:rPr>
        <w:t>نّ جعل الحدّ الأعلى لمهر المثل مهر السنّة هو الرأي الفقهي المشهور ظاهراً. وعلى ضوء المشكلات الناجمة عن المهور الباه</w:t>
      </w:r>
      <w:r>
        <w:rPr>
          <w:rtl/>
        </w:rPr>
        <w:t>ظ</w:t>
      </w:r>
      <w:r w:rsidRPr="00931403">
        <w:rPr>
          <w:rtl/>
        </w:rPr>
        <w:t>ة</w:t>
      </w:r>
      <w:r w:rsidRPr="007F5B58">
        <w:rPr>
          <w:rtl/>
        </w:rPr>
        <w:t>،</w:t>
      </w:r>
      <w:r w:rsidRPr="00931403">
        <w:rPr>
          <w:rtl/>
        </w:rPr>
        <w:t xml:space="preserve"> والاتجاه العام للسنّة في</w:t>
      </w:r>
      <w:r>
        <w:rPr>
          <w:rtl/>
        </w:rPr>
        <w:t xml:space="preserve"> </w:t>
      </w:r>
      <w:r w:rsidRPr="00931403">
        <w:rPr>
          <w:rtl/>
        </w:rPr>
        <w:t>ما يتعلّق بالمهر</w:t>
      </w:r>
      <w:r w:rsidRPr="007F5B58">
        <w:rPr>
          <w:rtl/>
        </w:rPr>
        <w:t>،</w:t>
      </w:r>
      <w:r w:rsidRPr="00931403">
        <w:rPr>
          <w:rtl/>
        </w:rPr>
        <w:t xml:space="preserve"> وموقع الحاكمية في الإسلام</w:t>
      </w:r>
      <w:r w:rsidRPr="007F5B58">
        <w:rPr>
          <w:rtl/>
        </w:rPr>
        <w:t>،</w:t>
      </w:r>
      <w:r w:rsidRPr="00931403">
        <w:rPr>
          <w:rtl/>
        </w:rPr>
        <w:t xml:space="preserve"> و...</w:t>
      </w:r>
      <w:r w:rsidRPr="007F5B58">
        <w:rPr>
          <w:rtl/>
        </w:rPr>
        <w:t>،</w:t>
      </w:r>
      <w:r>
        <w:rPr>
          <w:rtl/>
        </w:rPr>
        <w:t xml:space="preserve"> يبدو أنّ جعل</w:t>
      </w:r>
      <w:r w:rsidRPr="00931403">
        <w:rPr>
          <w:rtl/>
        </w:rPr>
        <w:t xml:space="preserve"> حدّ أعلى مناسب للمهر</w:t>
      </w:r>
      <w:r w:rsidRPr="007F5B58">
        <w:rPr>
          <w:rtl/>
        </w:rPr>
        <w:t>،</w:t>
      </w:r>
      <w:r w:rsidRPr="00931403">
        <w:rPr>
          <w:rtl/>
        </w:rPr>
        <w:t xml:space="preserve"> يستطيع الزوجان خلاله فرض إرادتيهما في المسافة بين أقلّ المال</w:t>
      </w:r>
      <w:r w:rsidRPr="007F5B58">
        <w:rPr>
          <w:rtl/>
        </w:rPr>
        <w:t>؛</w:t>
      </w:r>
      <w:r w:rsidRPr="00931403">
        <w:rPr>
          <w:rtl/>
        </w:rPr>
        <w:t xml:space="preserve"> لإضفاء الصبغة الشرعية على ارتباطهما</w:t>
      </w:r>
      <w:r w:rsidRPr="007F5B58">
        <w:rPr>
          <w:rtl/>
        </w:rPr>
        <w:t>،</w:t>
      </w:r>
      <w:r w:rsidRPr="00931403">
        <w:rPr>
          <w:rtl/>
        </w:rPr>
        <w:t xml:space="preserve"> والمستوى المنشود</w:t>
      </w:r>
      <w:r w:rsidRPr="007F5B58">
        <w:rPr>
          <w:rtl/>
        </w:rPr>
        <w:t>؛</w:t>
      </w:r>
      <w:r w:rsidRPr="00931403">
        <w:rPr>
          <w:rtl/>
        </w:rPr>
        <w:t xml:space="preserve"> للمحافظة والقيام بالواجبات الشرعية</w:t>
      </w:r>
      <w:r w:rsidRPr="007F5B58">
        <w:rPr>
          <w:rtl/>
        </w:rPr>
        <w:t>،</w:t>
      </w:r>
      <w:r w:rsidRPr="00931403">
        <w:rPr>
          <w:rtl/>
        </w:rPr>
        <w:t xml:space="preserve"> وصون أنفسهم والمجتمع من مضارّ هذه الظاهرة السلبية</w:t>
      </w:r>
      <w:r w:rsidRPr="007F5B58">
        <w:rPr>
          <w:rtl/>
        </w:rPr>
        <w:t>،</w:t>
      </w:r>
      <w:r w:rsidRPr="00931403">
        <w:rPr>
          <w:rtl/>
        </w:rPr>
        <w:t xml:space="preserve"> أضحى اليوم ضرورة لا ريب فيها.</w:t>
      </w:r>
    </w:p>
    <w:p w:rsidR="00EE06ED" w:rsidRDefault="00EE06ED" w:rsidP="0088518C">
      <w:pPr>
        <w:pStyle w:val="ac"/>
        <w:rPr>
          <w:rtl/>
        </w:rPr>
        <w:sectPr w:rsidR="00EE06ED" w:rsidSect="00EA348C">
          <w:headerReference w:type="even" r:id="rId88"/>
          <w:headerReference w:type="default" r:id="rId89"/>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D063EC" w:rsidRDefault="00D063EC">
      <w:pPr>
        <w:widowControl/>
        <w:bidi w:val="0"/>
        <w:spacing w:line="240" w:lineRule="auto"/>
        <w:ind w:firstLine="0"/>
        <w:jc w:val="left"/>
        <w:outlineLvl w:val="9"/>
        <w:rPr>
          <w:rFonts w:ascii="Arno Pro Display" w:hAnsi="Arno Pro Display"/>
          <w:sz w:val="28"/>
          <w:szCs w:val="30"/>
          <w:rtl/>
        </w:rPr>
      </w:pPr>
      <w:r>
        <w:rPr>
          <w:rtl/>
        </w:rPr>
        <w:lastRenderedPageBreak/>
        <w:br w:type="page"/>
      </w:r>
    </w:p>
    <w:p w:rsidR="0088518C" w:rsidRDefault="0088518C" w:rsidP="00EE06ED">
      <w:pPr>
        <w:pStyle w:val="ac"/>
        <w:rPr>
          <w:rtl/>
        </w:rPr>
      </w:pPr>
    </w:p>
    <w:p w:rsidR="00EE06ED" w:rsidRDefault="00EE06ED" w:rsidP="00EE06ED">
      <w:pPr>
        <w:pStyle w:val="ac"/>
        <w:rPr>
          <w:rtl/>
        </w:rPr>
      </w:pPr>
    </w:p>
    <w:p w:rsidR="00EE06ED" w:rsidRDefault="00EE06ED" w:rsidP="00EE06ED">
      <w:pPr>
        <w:pStyle w:val="ac"/>
        <w:rPr>
          <w:rtl/>
        </w:rPr>
      </w:pPr>
    </w:p>
    <w:p w:rsidR="00EE06ED" w:rsidRDefault="00EE06ED" w:rsidP="00EE06ED">
      <w:pPr>
        <w:pStyle w:val="ac"/>
        <w:rPr>
          <w:rtl/>
        </w:rPr>
      </w:pPr>
    </w:p>
    <w:p w:rsidR="00EE06ED" w:rsidRDefault="00EE06ED" w:rsidP="00EE06ED">
      <w:pPr>
        <w:pStyle w:val="ac"/>
        <w:rPr>
          <w:rtl/>
        </w:rPr>
      </w:pPr>
    </w:p>
    <w:p w:rsidR="00EE06ED" w:rsidRDefault="00EE06ED" w:rsidP="00EE06ED">
      <w:pPr>
        <w:pStyle w:val="aff2"/>
        <w:rPr>
          <w:rtl/>
        </w:rPr>
        <w:sectPr w:rsidR="00EE06ED" w:rsidSect="00EA348C">
          <w:headerReference w:type="even" r:id="rId90"/>
          <w:headerReference w:type="default" r:id="rId91"/>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455" w:name="_Toc259167335"/>
    </w:p>
    <w:p w:rsidR="00391A35" w:rsidRDefault="00391A35" w:rsidP="00EE06ED">
      <w:pPr>
        <w:pStyle w:val="aff2"/>
        <w:rPr>
          <w:rtl/>
        </w:rPr>
      </w:pPr>
      <w:bookmarkStart w:id="456" w:name="_Toc275128165"/>
      <w:r>
        <w:rPr>
          <w:rFonts w:hint="cs"/>
          <w:rtl/>
        </w:rPr>
        <w:lastRenderedPageBreak/>
        <w:t>الرحم الإيجاري</w:t>
      </w:r>
      <w:bookmarkEnd w:id="455"/>
      <w:bookmarkEnd w:id="456"/>
    </w:p>
    <w:p w:rsidR="00391A35" w:rsidRPr="00391A35" w:rsidRDefault="00391A35" w:rsidP="00EE06ED">
      <w:pPr>
        <w:pStyle w:val="aff2"/>
        <w:rPr>
          <w:sz w:val="22"/>
          <w:szCs w:val="40"/>
          <w:rtl/>
        </w:rPr>
      </w:pPr>
      <w:bookmarkStart w:id="457" w:name="_Toc259167336"/>
      <w:bookmarkStart w:id="458" w:name="_Toc275128166"/>
      <w:r w:rsidRPr="00391A35">
        <w:rPr>
          <w:sz w:val="22"/>
          <w:szCs w:val="40"/>
          <w:rtl/>
        </w:rPr>
        <w:t>دراسة الحالة الحقوقيّة والفقهيّة لاتّفاقية استخدام رحم المرأة</w:t>
      </w:r>
      <w:bookmarkEnd w:id="457"/>
      <w:bookmarkEnd w:id="458"/>
    </w:p>
    <w:p w:rsidR="00391A35" w:rsidRDefault="00391A35" w:rsidP="00391A35">
      <w:pPr>
        <w:pStyle w:val="af7"/>
        <w:rPr>
          <w:rtl/>
        </w:rPr>
      </w:pPr>
      <w:bookmarkStart w:id="459" w:name="_Toc259167337"/>
      <w:bookmarkStart w:id="460" w:name="_Toc275128167"/>
      <w:r>
        <w:rPr>
          <w:rFonts w:hint="cs"/>
          <w:rtl/>
        </w:rPr>
        <w:t>د. فريبا حاجي علي</w:t>
      </w:r>
      <w:r w:rsidRPr="00DE7B0B">
        <w:rPr>
          <w:rFonts w:cs="md_ameli"/>
          <w:sz w:val="35"/>
          <w:szCs w:val="27"/>
          <w:vertAlign w:val="superscript"/>
          <w:rtl/>
        </w:rPr>
        <w:t>(</w:t>
      </w:r>
      <w:r w:rsidRPr="00DE7B0B">
        <w:rPr>
          <w:rStyle w:val="FootnoteReference"/>
          <w:rFonts w:cs="md_ameli"/>
          <w:sz w:val="35"/>
          <w:szCs w:val="27"/>
          <w:rtl/>
        </w:rPr>
        <w:footnoteReference w:customMarkFollows="1" w:id="866"/>
        <w:t>*</w:t>
      </w:r>
      <w:r w:rsidRPr="00DE7B0B">
        <w:rPr>
          <w:rFonts w:cs="md_ameli"/>
          <w:sz w:val="35"/>
          <w:szCs w:val="27"/>
          <w:vertAlign w:val="superscript"/>
          <w:rtl/>
        </w:rPr>
        <w:t>)</w:t>
      </w:r>
      <w:bookmarkEnd w:id="459"/>
      <w:bookmarkEnd w:id="460"/>
    </w:p>
    <w:p w:rsidR="00391A35" w:rsidRPr="00D063EC" w:rsidRDefault="00391A35" w:rsidP="00391A35">
      <w:pPr>
        <w:pStyle w:val="ac"/>
        <w:rPr>
          <w:sz w:val="18"/>
          <w:szCs w:val="20"/>
          <w:rtl/>
        </w:rPr>
      </w:pPr>
    </w:p>
    <w:p w:rsidR="00391A35" w:rsidRPr="00946FCA" w:rsidRDefault="00391A35" w:rsidP="00391A35">
      <w:pPr>
        <w:pStyle w:val="1"/>
        <w:rPr>
          <w:rtl/>
        </w:rPr>
      </w:pPr>
      <w:bookmarkStart w:id="461" w:name="_Toc275128168"/>
      <w:r w:rsidRPr="00946FCA">
        <w:rPr>
          <w:rtl/>
        </w:rPr>
        <w:t>مقدّمة</w:t>
      </w:r>
      <w:bookmarkEnd w:id="461"/>
      <w:r w:rsidRPr="00946FCA">
        <w:rPr>
          <w:rtl/>
        </w:rPr>
        <w:t xml:space="preserve"> </w:t>
      </w:r>
    </w:p>
    <w:p w:rsidR="00391A35" w:rsidRPr="00FE4C18" w:rsidRDefault="00391A35" w:rsidP="00391A35">
      <w:pPr>
        <w:pStyle w:val="ac"/>
        <w:rPr>
          <w:rtl/>
        </w:rPr>
      </w:pPr>
      <w:r w:rsidRPr="00FE4C18">
        <w:rPr>
          <w:rtl/>
        </w:rPr>
        <w:t xml:space="preserve">إثر تطور علم </w:t>
      </w:r>
      <w:r>
        <w:rPr>
          <w:rtl/>
        </w:rPr>
        <w:t>ا</w:t>
      </w:r>
      <w:r w:rsidRPr="00FE4C18">
        <w:rPr>
          <w:rtl/>
        </w:rPr>
        <w:t>لطب</w:t>
      </w:r>
      <w:r>
        <w:rPr>
          <w:rtl/>
        </w:rPr>
        <w:t xml:space="preserve"> وا</w:t>
      </w:r>
      <w:r w:rsidRPr="00FE4C18">
        <w:rPr>
          <w:rtl/>
        </w:rPr>
        <w:t xml:space="preserve">لوراثة </w:t>
      </w:r>
      <w:r>
        <w:rPr>
          <w:rtl/>
        </w:rPr>
        <w:t>(</w:t>
      </w:r>
      <w:r w:rsidRPr="00FE4C18">
        <w:rPr>
          <w:rtl/>
        </w:rPr>
        <w:t xml:space="preserve">علم </w:t>
      </w:r>
      <w:r>
        <w:rPr>
          <w:rtl/>
        </w:rPr>
        <w:t>ا</w:t>
      </w:r>
      <w:r w:rsidRPr="00FE4C18">
        <w:rPr>
          <w:rtl/>
        </w:rPr>
        <w:t>لج</w:t>
      </w:r>
      <w:r>
        <w:rPr>
          <w:rtl/>
        </w:rPr>
        <w:t>ي</w:t>
      </w:r>
      <w:r w:rsidRPr="00FE4C18">
        <w:rPr>
          <w:rtl/>
        </w:rPr>
        <w:t>نات</w:t>
      </w:r>
      <w:r>
        <w:rPr>
          <w:rtl/>
        </w:rPr>
        <w:t>)</w:t>
      </w:r>
      <w:r w:rsidRPr="00FE4C18">
        <w:rPr>
          <w:rtl/>
        </w:rPr>
        <w:t xml:space="preserve"> أبدع </w:t>
      </w:r>
      <w:r>
        <w:rPr>
          <w:rtl/>
        </w:rPr>
        <w:t>ا</w:t>
      </w:r>
      <w:r w:rsidRPr="00FE4C18">
        <w:rPr>
          <w:rtl/>
        </w:rPr>
        <w:t>لأ</w:t>
      </w:r>
      <w:r>
        <w:rPr>
          <w:rtl/>
        </w:rPr>
        <w:t>ط</w:t>
      </w:r>
      <w:r w:rsidRPr="00FE4C18">
        <w:rPr>
          <w:rtl/>
        </w:rPr>
        <w:t>بّاء أسال</w:t>
      </w:r>
      <w:r>
        <w:rPr>
          <w:rtl/>
        </w:rPr>
        <w:t>ي</w:t>
      </w:r>
      <w:r w:rsidRPr="00FE4C18">
        <w:rPr>
          <w:rtl/>
        </w:rPr>
        <w:t>ب مختبر</w:t>
      </w:r>
      <w:r>
        <w:rPr>
          <w:rtl/>
        </w:rPr>
        <w:t>يّ</w:t>
      </w:r>
      <w:r w:rsidRPr="00FE4C18">
        <w:rPr>
          <w:rtl/>
        </w:rPr>
        <w:t xml:space="preserve">ة مختلفة في مجال </w:t>
      </w:r>
      <w:r>
        <w:rPr>
          <w:rtl/>
        </w:rPr>
        <w:t>ا</w:t>
      </w:r>
      <w:r w:rsidRPr="00FE4C18">
        <w:rPr>
          <w:rtl/>
        </w:rPr>
        <w:t>ل</w:t>
      </w:r>
      <w:r>
        <w:rPr>
          <w:rtl/>
        </w:rPr>
        <w:t>تـن</w:t>
      </w:r>
      <w:r w:rsidRPr="00FE4C18">
        <w:rPr>
          <w:rtl/>
        </w:rPr>
        <w:t>اسل</w:t>
      </w:r>
      <w:r w:rsidRPr="007F5B58">
        <w:rPr>
          <w:rtl/>
        </w:rPr>
        <w:t>،</w:t>
      </w:r>
      <w:r>
        <w:rPr>
          <w:rtl/>
        </w:rPr>
        <w:t xml:space="preserve"> و</w:t>
      </w:r>
      <w:r w:rsidRPr="00FE4C18">
        <w:rPr>
          <w:rtl/>
        </w:rPr>
        <w:t xml:space="preserve">قد استطاعوا باستخدام هذه </w:t>
      </w:r>
      <w:r>
        <w:rPr>
          <w:rtl/>
        </w:rPr>
        <w:t>ا</w:t>
      </w:r>
      <w:r w:rsidRPr="00FE4C18">
        <w:rPr>
          <w:rtl/>
        </w:rPr>
        <w:t>ل</w:t>
      </w:r>
      <w:r>
        <w:rPr>
          <w:rFonts w:hint="cs"/>
          <w:rtl/>
        </w:rPr>
        <w:t>أ</w:t>
      </w:r>
      <w:r w:rsidRPr="00FE4C18">
        <w:rPr>
          <w:rtl/>
        </w:rPr>
        <w:t>سال</w:t>
      </w:r>
      <w:r>
        <w:rPr>
          <w:rtl/>
        </w:rPr>
        <w:t>ي</w:t>
      </w:r>
      <w:r w:rsidRPr="00FE4C18">
        <w:rPr>
          <w:rtl/>
        </w:rPr>
        <w:t xml:space="preserve">ب </w:t>
      </w:r>
      <w:r>
        <w:rPr>
          <w:rtl/>
        </w:rPr>
        <w:t>ا</w:t>
      </w:r>
      <w:r w:rsidRPr="00FE4C18">
        <w:rPr>
          <w:rtl/>
        </w:rPr>
        <w:t>لمختبر</w:t>
      </w:r>
      <w:r>
        <w:rPr>
          <w:rtl/>
        </w:rPr>
        <w:t>يّ</w:t>
      </w:r>
      <w:r w:rsidRPr="00FE4C18">
        <w:rPr>
          <w:rtl/>
        </w:rPr>
        <w:t xml:space="preserve">ة أن </w:t>
      </w:r>
      <w:r>
        <w:rPr>
          <w:rtl/>
        </w:rPr>
        <w:t>ي</w:t>
      </w:r>
      <w:r w:rsidRPr="00FE4C18">
        <w:rPr>
          <w:rtl/>
        </w:rPr>
        <w:t>نجزوا عمل</w:t>
      </w:r>
      <w:r>
        <w:rPr>
          <w:rtl/>
        </w:rPr>
        <w:t>يّ</w:t>
      </w:r>
      <w:r w:rsidRPr="00FE4C18">
        <w:rPr>
          <w:rtl/>
        </w:rPr>
        <w:t xml:space="preserve">ة </w:t>
      </w:r>
      <w:r>
        <w:rPr>
          <w:rtl/>
        </w:rPr>
        <w:t>ا</w:t>
      </w:r>
      <w:r w:rsidRPr="00FE4C18">
        <w:rPr>
          <w:rtl/>
        </w:rPr>
        <w:t>ل</w:t>
      </w:r>
      <w:r>
        <w:rPr>
          <w:rtl/>
        </w:rPr>
        <w:t>تـن</w:t>
      </w:r>
      <w:r w:rsidRPr="00FE4C18">
        <w:rPr>
          <w:rtl/>
        </w:rPr>
        <w:t>اسل</w:t>
      </w:r>
      <w:r>
        <w:rPr>
          <w:rtl/>
        </w:rPr>
        <w:t>.</w:t>
      </w:r>
      <w:r w:rsidRPr="00FE4C18">
        <w:rPr>
          <w:rtl/>
        </w:rPr>
        <w:t xml:space="preserve"> ل</w:t>
      </w:r>
      <w:r>
        <w:rPr>
          <w:rtl/>
        </w:rPr>
        <w:t>ك</w:t>
      </w:r>
      <w:r w:rsidRPr="00FE4C18">
        <w:rPr>
          <w:rtl/>
        </w:rPr>
        <w:t>نْ عل</w:t>
      </w:r>
      <w:r>
        <w:rPr>
          <w:rtl/>
        </w:rPr>
        <w:t>ى ا</w:t>
      </w:r>
      <w:r w:rsidRPr="00FE4C18">
        <w:rPr>
          <w:rtl/>
        </w:rPr>
        <w:t>لرغم من هذ</w:t>
      </w:r>
      <w:r>
        <w:rPr>
          <w:rtl/>
        </w:rPr>
        <w:t>ا</w:t>
      </w:r>
      <w:r w:rsidRPr="00FE4C18">
        <w:rPr>
          <w:rtl/>
        </w:rPr>
        <w:t xml:space="preserve"> </w:t>
      </w:r>
      <w:r>
        <w:rPr>
          <w:rtl/>
        </w:rPr>
        <w:t>ا</w:t>
      </w:r>
      <w:r w:rsidRPr="00FE4C18">
        <w:rPr>
          <w:rtl/>
        </w:rPr>
        <w:t xml:space="preserve">لتطور لم </w:t>
      </w:r>
      <w:r>
        <w:rPr>
          <w:rtl/>
        </w:rPr>
        <w:t>ي</w:t>
      </w:r>
      <w:r w:rsidRPr="00FE4C18">
        <w:rPr>
          <w:rtl/>
        </w:rPr>
        <w:t xml:space="preserve">ستطع </w:t>
      </w:r>
      <w:r>
        <w:rPr>
          <w:rtl/>
        </w:rPr>
        <w:t>حتى</w:t>
      </w:r>
      <w:r w:rsidRPr="00FE4C18">
        <w:rPr>
          <w:rtl/>
        </w:rPr>
        <w:t xml:space="preserve"> </w:t>
      </w:r>
      <w:r>
        <w:rPr>
          <w:rtl/>
        </w:rPr>
        <w:t>ا</w:t>
      </w:r>
      <w:r>
        <w:rPr>
          <w:rFonts w:hint="cs"/>
          <w:rtl/>
        </w:rPr>
        <w:t>لآ</w:t>
      </w:r>
      <w:r w:rsidRPr="00FE4C18">
        <w:rPr>
          <w:rtl/>
        </w:rPr>
        <w:t xml:space="preserve">ن طبُّ </w:t>
      </w:r>
      <w:r>
        <w:rPr>
          <w:rtl/>
        </w:rPr>
        <w:t>ا</w:t>
      </w:r>
      <w:r w:rsidRPr="00FE4C18">
        <w:rPr>
          <w:rtl/>
        </w:rPr>
        <w:t>ل</w:t>
      </w:r>
      <w:r>
        <w:rPr>
          <w:rtl/>
        </w:rPr>
        <w:t>تـن</w:t>
      </w:r>
      <w:r w:rsidRPr="00FE4C18">
        <w:rPr>
          <w:rtl/>
        </w:rPr>
        <w:t xml:space="preserve">اسل </w:t>
      </w:r>
      <w:r>
        <w:rPr>
          <w:rtl/>
        </w:rPr>
        <w:t>(</w:t>
      </w:r>
      <w:r w:rsidRPr="00FE4C18">
        <w:rPr>
          <w:rtl/>
        </w:rPr>
        <w:t xml:space="preserve">طبُّ </w:t>
      </w:r>
      <w:r>
        <w:rPr>
          <w:rtl/>
        </w:rPr>
        <w:t>ا</w:t>
      </w:r>
      <w:r w:rsidRPr="00FE4C18">
        <w:rPr>
          <w:rtl/>
        </w:rPr>
        <w:t>ل</w:t>
      </w:r>
      <w:r>
        <w:rPr>
          <w:rtl/>
        </w:rPr>
        <w:t>أ</w:t>
      </w:r>
      <w:r w:rsidRPr="00FE4C18">
        <w:rPr>
          <w:rtl/>
        </w:rPr>
        <w:t>جنّة</w:t>
      </w:r>
      <w:r>
        <w:rPr>
          <w:rtl/>
        </w:rPr>
        <w:t>)</w:t>
      </w:r>
      <w:r w:rsidRPr="00FE4C18">
        <w:rPr>
          <w:rtl/>
        </w:rPr>
        <w:t xml:space="preserve"> أنْ </w:t>
      </w:r>
      <w:r>
        <w:rPr>
          <w:rtl/>
        </w:rPr>
        <w:t>ي</w:t>
      </w:r>
      <w:r w:rsidRPr="00FE4C18">
        <w:rPr>
          <w:rtl/>
        </w:rPr>
        <w:t>بت</w:t>
      </w:r>
      <w:r>
        <w:rPr>
          <w:rtl/>
        </w:rPr>
        <w:t>ك</w:t>
      </w:r>
      <w:r w:rsidRPr="00FE4C18">
        <w:rPr>
          <w:rtl/>
        </w:rPr>
        <w:t>ر ظروفاً ت</w:t>
      </w:r>
      <w:r>
        <w:rPr>
          <w:rtl/>
        </w:rPr>
        <w:t>ك</w:t>
      </w:r>
      <w:r w:rsidRPr="00FE4C18">
        <w:rPr>
          <w:rtl/>
        </w:rPr>
        <w:t>ون أ</w:t>
      </w:r>
      <w:r>
        <w:rPr>
          <w:rtl/>
        </w:rPr>
        <w:t>ك</w:t>
      </w:r>
      <w:r w:rsidRPr="00FE4C18">
        <w:rPr>
          <w:rtl/>
        </w:rPr>
        <w:t xml:space="preserve">ثر ملاءمة لنمو </w:t>
      </w:r>
      <w:r>
        <w:rPr>
          <w:rtl/>
        </w:rPr>
        <w:t>ا</w:t>
      </w:r>
      <w:r w:rsidRPr="00FE4C18">
        <w:rPr>
          <w:rtl/>
        </w:rPr>
        <w:t>لجن</w:t>
      </w:r>
      <w:r>
        <w:rPr>
          <w:rtl/>
        </w:rPr>
        <w:t>ي</w:t>
      </w:r>
      <w:r w:rsidRPr="00FE4C18">
        <w:rPr>
          <w:rtl/>
        </w:rPr>
        <w:t>ن</w:t>
      </w:r>
      <w:r w:rsidRPr="007F5B58">
        <w:rPr>
          <w:rtl/>
        </w:rPr>
        <w:t>،</w:t>
      </w:r>
      <w:r w:rsidRPr="00FE4C18">
        <w:rPr>
          <w:rtl/>
        </w:rPr>
        <w:t xml:space="preserve"> لهذا </w:t>
      </w:r>
      <w:r>
        <w:rPr>
          <w:rtl/>
        </w:rPr>
        <w:t>ك</w:t>
      </w:r>
      <w:r w:rsidRPr="00FE4C18">
        <w:rPr>
          <w:rtl/>
        </w:rPr>
        <w:t xml:space="preserve">ان </w:t>
      </w:r>
      <w:r>
        <w:rPr>
          <w:rtl/>
        </w:rPr>
        <w:t>ا</w:t>
      </w:r>
      <w:r w:rsidRPr="00FE4C18">
        <w:rPr>
          <w:rtl/>
        </w:rPr>
        <w:t>ستخدام رحم امرأة أخر</w:t>
      </w:r>
      <w:r>
        <w:rPr>
          <w:rtl/>
        </w:rPr>
        <w:t xml:space="preserve">ى </w:t>
      </w:r>
      <w:r w:rsidRPr="00FE4C18">
        <w:rPr>
          <w:rtl/>
        </w:rPr>
        <w:t xml:space="preserve">من </w:t>
      </w:r>
      <w:r>
        <w:rPr>
          <w:rtl/>
        </w:rPr>
        <w:t>ا</w:t>
      </w:r>
      <w:r w:rsidRPr="00FE4C18">
        <w:rPr>
          <w:rtl/>
        </w:rPr>
        <w:t>ل</w:t>
      </w:r>
      <w:r>
        <w:rPr>
          <w:rFonts w:hint="cs"/>
          <w:rtl/>
        </w:rPr>
        <w:t>إ</w:t>
      </w:r>
      <w:r w:rsidRPr="00FE4C18">
        <w:rPr>
          <w:rtl/>
        </w:rPr>
        <w:t xml:space="preserve">نجازات </w:t>
      </w:r>
      <w:r>
        <w:rPr>
          <w:rtl/>
        </w:rPr>
        <w:t>ا</w:t>
      </w:r>
      <w:r w:rsidRPr="00FE4C18">
        <w:rPr>
          <w:rtl/>
        </w:rPr>
        <w:t xml:space="preserve">لمهمّة في مجال </w:t>
      </w:r>
      <w:r>
        <w:rPr>
          <w:rtl/>
        </w:rPr>
        <w:t>ا</w:t>
      </w:r>
      <w:r w:rsidRPr="00FE4C18">
        <w:rPr>
          <w:rtl/>
        </w:rPr>
        <w:t xml:space="preserve">نتقال </w:t>
      </w:r>
      <w:r>
        <w:rPr>
          <w:rtl/>
        </w:rPr>
        <w:t>ا</w:t>
      </w:r>
      <w:r w:rsidRPr="00FE4C18">
        <w:rPr>
          <w:rtl/>
        </w:rPr>
        <w:t>لجن</w:t>
      </w:r>
      <w:r>
        <w:rPr>
          <w:rtl/>
        </w:rPr>
        <w:t>ي</w:t>
      </w:r>
      <w:r w:rsidRPr="00FE4C18">
        <w:rPr>
          <w:rtl/>
        </w:rPr>
        <w:t>ن</w:t>
      </w:r>
      <w:r w:rsidRPr="007F5B58">
        <w:rPr>
          <w:rtl/>
        </w:rPr>
        <w:t>،</w:t>
      </w:r>
      <w:r>
        <w:rPr>
          <w:rtl/>
        </w:rPr>
        <w:t xml:space="preserve"> و</w:t>
      </w:r>
      <w:r w:rsidRPr="00FE4C18">
        <w:rPr>
          <w:rtl/>
        </w:rPr>
        <w:t>طرق تسه</w:t>
      </w:r>
      <w:r>
        <w:rPr>
          <w:rtl/>
        </w:rPr>
        <w:t>ي</w:t>
      </w:r>
      <w:r w:rsidRPr="00FE4C18">
        <w:rPr>
          <w:rtl/>
        </w:rPr>
        <w:t xml:space="preserve">ل </w:t>
      </w:r>
      <w:r>
        <w:rPr>
          <w:rtl/>
        </w:rPr>
        <w:t>ا</w:t>
      </w:r>
      <w:r w:rsidRPr="00FE4C18">
        <w:rPr>
          <w:rtl/>
        </w:rPr>
        <w:t>لتخص</w:t>
      </w:r>
      <w:r>
        <w:rPr>
          <w:rtl/>
        </w:rPr>
        <w:t>ي</w:t>
      </w:r>
      <w:r w:rsidRPr="00FE4C18">
        <w:rPr>
          <w:rtl/>
        </w:rPr>
        <w:t>ب</w:t>
      </w:r>
      <w:r>
        <w:rPr>
          <w:rtl/>
        </w:rPr>
        <w:t>.</w:t>
      </w:r>
      <w:r w:rsidRPr="00FE4C18">
        <w:rPr>
          <w:rtl/>
        </w:rPr>
        <w:t xml:space="preserve"> إنَّ </w:t>
      </w:r>
      <w:r>
        <w:rPr>
          <w:rtl/>
        </w:rPr>
        <w:t>ا</w:t>
      </w:r>
      <w:r w:rsidRPr="00FE4C18">
        <w:rPr>
          <w:rtl/>
        </w:rPr>
        <w:t xml:space="preserve">لاستفادة من رحم </w:t>
      </w:r>
      <w:r>
        <w:rPr>
          <w:rtl/>
        </w:rPr>
        <w:t>ا</w:t>
      </w:r>
      <w:r w:rsidRPr="00FE4C18">
        <w:rPr>
          <w:rtl/>
        </w:rPr>
        <w:t>مرأة أخر</w:t>
      </w:r>
      <w:r>
        <w:rPr>
          <w:rtl/>
        </w:rPr>
        <w:t xml:space="preserve">ى </w:t>
      </w:r>
      <w:r w:rsidRPr="00FE4C18">
        <w:rPr>
          <w:rtl/>
        </w:rPr>
        <w:t>استلزم طرح مسائل أخلاق</w:t>
      </w:r>
      <w:r>
        <w:rPr>
          <w:rtl/>
        </w:rPr>
        <w:t>يّ</w:t>
      </w:r>
      <w:r w:rsidRPr="00FE4C18">
        <w:rPr>
          <w:rtl/>
        </w:rPr>
        <w:t>ة</w:t>
      </w:r>
      <w:r>
        <w:rPr>
          <w:rtl/>
        </w:rPr>
        <w:t xml:space="preserve"> و</w:t>
      </w:r>
      <w:r w:rsidRPr="00FE4C18">
        <w:rPr>
          <w:rtl/>
        </w:rPr>
        <w:t>حقوق</w:t>
      </w:r>
      <w:r>
        <w:rPr>
          <w:rtl/>
        </w:rPr>
        <w:t>يّ</w:t>
      </w:r>
      <w:r w:rsidRPr="00FE4C18">
        <w:rPr>
          <w:rtl/>
        </w:rPr>
        <w:t>ة معق</w:t>
      </w:r>
      <w:r>
        <w:rPr>
          <w:rtl/>
        </w:rPr>
        <w:t>َّ</w:t>
      </w:r>
      <w:r w:rsidRPr="00FE4C18">
        <w:rPr>
          <w:rtl/>
        </w:rPr>
        <w:t>دة</w:t>
      </w:r>
      <w:r>
        <w:rPr>
          <w:rtl/>
        </w:rPr>
        <w:t>.</w:t>
      </w:r>
      <w:r w:rsidRPr="00FE4C18">
        <w:rPr>
          <w:rtl/>
        </w:rPr>
        <w:t xml:space="preserve"> لقد ظهرت إل</w:t>
      </w:r>
      <w:r>
        <w:rPr>
          <w:rtl/>
        </w:rPr>
        <w:t>ى ا</w:t>
      </w:r>
      <w:r w:rsidRPr="00FE4C18">
        <w:rPr>
          <w:rtl/>
        </w:rPr>
        <w:t>لع</w:t>
      </w:r>
      <w:r>
        <w:rPr>
          <w:rtl/>
        </w:rPr>
        <w:t>ي</w:t>
      </w:r>
      <w:r w:rsidRPr="00FE4C18">
        <w:rPr>
          <w:rtl/>
        </w:rPr>
        <w:t>ان حقوق معاملة جد</w:t>
      </w:r>
      <w:r>
        <w:rPr>
          <w:rtl/>
        </w:rPr>
        <w:t>ي</w:t>
      </w:r>
      <w:r w:rsidRPr="00FE4C18">
        <w:rPr>
          <w:rtl/>
        </w:rPr>
        <w:t xml:space="preserve">دة في </w:t>
      </w:r>
      <w:r>
        <w:rPr>
          <w:rtl/>
        </w:rPr>
        <w:t>ا</w:t>
      </w:r>
      <w:r w:rsidRPr="00FE4C18">
        <w:rPr>
          <w:rtl/>
        </w:rPr>
        <w:t>لعالم</w:t>
      </w:r>
      <w:r w:rsidRPr="007F5B58">
        <w:rPr>
          <w:rtl/>
        </w:rPr>
        <w:t>،</w:t>
      </w:r>
      <w:r>
        <w:rPr>
          <w:rtl/>
        </w:rPr>
        <w:t xml:space="preserve"> و</w:t>
      </w:r>
      <w:r w:rsidRPr="00FE4C18">
        <w:rPr>
          <w:rtl/>
        </w:rPr>
        <w:t>عل</w:t>
      </w:r>
      <w:r>
        <w:rPr>
          <w:rtl/>
        </w:rPr>
        <w:t xml:space="preserve">ى </w:t>
      </w:r>
      <w:r w:rsidRPr="00FE4C18">
        <w:rPr>
          <w:rtl/>
        </w:rPr>
        <w:t>إثر تل</w:t>
      </w:r>
      <w:r>
        <w:rPr>
          <w:rtl/>
        </w:rPr>
        <w:t>ك</w:t>
      </w:r>
      <w:r w:rsidRPr="00FE4C18">
        <w:rPr>
          <w:rtl/>
        </w:rPr>
        <w:t xml:space="preserve"> </w:t>
      </w:r>
      <w:r>
        <w:rPr>
          <w:rtl/>
        </w:rPr>
        <w:t>ا</w:t>
      </w:r>
      <w:r w:rsidRPr="00FE4C18">
        <w:rPr>
          <w:rtl/>
        </w:rPr>
        <w:t>لحقوق سَ</w:t>
      </w:r>
      <w:r>
        <w:rPr>
          <w:rtl/>
        </w:rPr>
        <w:t>ي</w:t>
      </w:r>
      <w:r w:rsidRPr="00FE4C18">
        <w:rPr>
          <w:rtl/>
        </w:rPr>
        <w:t xml:space="preserve">واجَه </w:t>
      </w:r>
      <w:r>
        <w:rPr>
          <w:rtl/>
        </w:rPr>
        <w:t>ا</w:t>
      </w:r>
      <w:r w:rsidRPr="00FE4C18">
        <w:rPr>
          <w:rtl/>
        </w:rPr>
        <w:t>لعالمُ بمسائل جد</w:t>
      </w:r>
      <w:r>
        <w:rPr>
          <w:rtl/>
        </w:rPr>
        <w:t>ي</w:t>
      </w:r>
      <w:r w:rsidRPr="00FE4C18">
        <w:rPr>
          <w:rtl/>
        </w:rPr>
        <w:t xml:space="preserve">دة تبرز </w:t>
      </w:r>
      <w:r>
        <w:rPr>
          <w:rtl/>
        </w:rPr>
        <w:t>ك</w:t>
      </w:r>
      <w:r w:rsidRPr="00FE4C18">
        <w:rPr>
          <w:rtl/>
        </w:rPr>
        <w:t>ظاهرة اجتماع</w:t>
      </w:r>
      <w:r>
        <w:rPr>
          <w:rtl/>
        </w:rPr>
        <w:t>يّ</w:t>
      </w:r>
      <w:r w:rsidRPr="00FE4C18">
        <w:rPr>
          <w:rtl/>
        </w:rPr>
        <w:t>ة</w:t>
      </w:r>
      <w:r>
        <w:rPr>
          <w:rtl/>
        </w:rPr>
        <w:t xml:space="preserve"> </w:t>
      </w:r>
      <w:r w:rsidRPr="00FE4C18">
        <w:rPr>
          <w:rFonts w:ascii="Times New Roman" w:hAnsi="Times New Roman" w:cs="Times New Roman" w:hint="cs"/>
          <w:rtl/>
        </w:rPr>
        <w:t>‌</w:t>
      </w:r>
      <w:r>
        <w:rPr>
          <w:rtl/>
        </w:rPr>
        <w:t>ي</w:t>
      </w:r>
      <w:r w:rsidRPr="00FE4C18">
        <w:rPr>
          <w:rtl/>
        </w:rPr>
        <w:t>جب وضعها عل</w:t>
      </w:r>
      <w:r>
        <w:rPr>
          <w:rtl/>
        </w:rPr>
        <w:t xml:space="preserve">ى </w:t>
      </w:r>
      <w:r w:rsidRPr="00FE4C18">
        <w:rPr>
          <w:rtl/>
        </w:rPr>
        <w:t xml:space="preserve">طاولة </w:t>
      </w:r>
      <w:r>
        <w:rPr>
          <w:rtl/>
        </w:rPr>
        <w:t>ا</w:t>
      </w:r>
      <w:r w:rsidRPr="00FE4C18">
        <w:rPr>
          <w:rtl/>
        </w:rPr>
        <w:t>لبحث</w:t>
      </w:r>
      <w:r>
        <w:rPr>
          <w:rtl/>
        </w:rPr>
        <w:t xml:space="preserve"> وا</w:t>
      </w:r>
      <w:r w:rsidRPr="00FE4C18">
        <w:rPr>
          <w:rtl/>
        </w:rPr>
        <w:t>لدرس</w:t>
      </w:r>
      <w:r w:rsidRPr="007F5B58">
        <w:rPr>
          <w:rtl/>
        </w:rPr>
        <w:t>؛</w:t>
      </w:r>
      <w:r w:rsidRPr="00FE4C18">
        <w:rPr>
          <w:rtl/>
        </w:rPr>
        <w:t xml:space="preserve"> ل</w:t>
      </w:r>
      <w:r>
        <w:rPr>
          <w:rtl/>
        </w:rPr>
        <w:t>إي</w:t>
      </w:r>
      <w:r w:rsidRPr="00FE4C18">
        <w:rPr>
          <w:rtl/>
        </w:rPr>
        <w:t>جاد قواعد تعط</w:t>
      </w:r>
      <w:r>
        <w:rPr>
          <w:rtl/>
        </w:rPr>
        <w:t>ي</w:t>
      </w:r>
      <w:r w:rsidRPr="00FE4C18">
        <w:rPr>
          <w:rtl/>
        </w:rPr>
        <w:t xml:space="preserve">ها نظاماً </w:t>
      </w:r>
      <w:r>
        <w:rPr>
          <w:rtl/>
        </w:rPr>
        <w:t>يُ</w:t>
      </w:r>
      <w:r w:rsidRPr="00FE4C18">
        <w:rPr>
          <w:rtl/>
        </w:rPr>
        <w:t>نس</w:t>
      </w:r>
      <w:r>
        <w:rPr>
          <w:rtl/>
        </w:rPr>
        <w:t>ِّ</w:t>
      </w:r>
      <w:r w:rsidRPr="00FE4C18">
        <w:rPr>
          <w:rtl/>
        </w:rPr>
        <w:t>ق مسائلها</w:t>
      </w:r>
      <w:r>
        <w:rPr>
          <w:rtl/>
        </w:rPr>
        <w:t>. و</w:t>
      </w:r>
      <w:r w:rsidRPr="00FE4C18">
        <w:rPr>
          <w:rtl/>
        </w:rPr>
        <w:t xml:space="preserve">من </w:t>
      </w:r>
      <w:r>
        <w:rPr>
          <w:rtl/>
        </w:rPr>
        <w:t>ا</w:t>
      </w:r>
      <w:r w:rsidRPr="00FE4C18">
        <w:rPr>
          <w:rtl/>
        </w:rPr>
        <w:t xml:space="preserve">لموضوعات </w:t>
      </w:r>
      <w:r>
        <w:rPr>
          <w:rtl/>
        </w:rPr>
        <w:t>ا</w:t>
      </w:r>
      <w:r w:rsidRPr="00FE4C18">
        <w:rPr>
          <w:rtl/>
        </w:rPr>
        <w:t>لهامّة في استخدام رحم امرأة أخر</w:t>
      </w:r>
      <w:r>
        <w:rPr>
          <w:rtl/>
        </w:rPr>
        <w:t xml:space="preserve">ى </w:t>
      </w:r>
      <w:r w:rsidRPr="00FE4C18">
        <w:rPr>
          <w:rtl/>
        </w:rPr>
        <w:t>الاتفاق</w:t>
      </w:r>
      <w:r>
        <w:rPr>
          <w:rtl/>
        </w:rPr>
        <w:t>يّ</w:t>
      </w:r>
      <w:r w:rsidRPr="00FE4C18">
        <w:rPr>
          <w:rtl/>
        </w:rPr>
        <w:t xml:space="preserve">ة </w:t>
      </w:r>
      <w:r>
        <w:rPr>
          <w:rtl/>
        </w:rPr>
        <w:t>ا</w:t>
      </w:r>
      <w:r w:rsidRPr="00FE4C18">
        <w:rPr>
          <w:rtl/>
        </w:rPr>
        <w:t xml:space="preserve">لتي </w:t>
      </w:r>
      <w:r>
        <w:rPr>
          <w:rtl/>
        </w:rPr>
        <w:t>تـن</w:t>
      </w:r>
      <w:r w:rsidRPr="00FE4C18">
        <w:rPr>
          <w:rtl/>
        </w:rPr>
        <w:t>عقد ب</w:t>
      </w:r>
      <w:r>
        <w:rPr>
          <w:rtl/>
        </w:rPr>
        <w:t>ي</w:t>
      </w:r>
      <w:r w:rsidRPr="00FE4C18">
        <w:rPr>
          <w:rtl/>
        </w:rPr>
        <w:t xml:space="preserve">ن </w:t>
      </w:r>
      <w:r>
        <w:rPr>
          <w:rtl/>
        </w:rPr>
        <w:t>ا</w:t>
      </w:r>
      <w:r w:rsidRPr="00FE4C18">
        <w:rPr>
          <w:rtl/>
        </w:rPr>
        <w:t>لطرف</w:t>
      </w:r>
      <w:r>
        <w:rPr>
          <w:rtl/>
        </w:rPr>
        <w:t>ي</w:t>
      </w:r>
      <w:r w:rsidRPr="00FE4C18">
        <w:rPr>
          <w:rtl/>
        </w:rPr>
        <w:t>ن</w:t>
      </w:r>
      <w:r w:rsidRPr="007F5B58">
        <w:rPr>
          <w:rtl/>
        </w:rPr>
        <w:t>،</w:t>
      </w:r>
      <w:r w:rsidRPr="00FE4C18">
        <w:rPr>
          <w:rtl/>
        </w:rPr>
        <w:t xml:space="preserve"> و</w:t>
      </w:r>
      <w:r>
        <w:rPr>
          <w:rtl/>
        </w:rPr>
        <w:t>ا</w:t>
      </w:r>
      <w:r w:rsidRPr="00FE4C18">
        <w:rPr>
          <w:rtl/>
        </w:rPr>
        <w:t>لتي تحتل ف</w:t>
      </w:r>
      <w:r>
        <w:rPr>
          <w:rtl/>
        </w:rPr>
        <w:t>ي</w:t>
      </w:r>
      <w:r w:rsidRPr="00FE4C18">
        <w:rPr>
          <w:rtl/>
        </w:rPr>
        <w:t xml:space="preserve">ها </w:t>
      </w:r>
      <w:r>
        <w:rPr>
          <w:rtl/>
        </w:rPr>
        <w:t>ا</w:t>
      </w:r>
      <w:r w:rsidRPr="00FE4C18">
        <w:rPr>
          <w:rtl/>
        </w:rPr>
        <w:t>لظروف</w:t>
      </w:r>
      <w:r>
        <w:rPr>
          <w:rtl/>
        </w:rPr>
        <w:t xml:space="preserve"> وا</w:t>
      </w:r>
      <w:r w:rsidRPr="00FE4C18">
        <w:rPr>
          <w:rtl/>
        </w:rPr>
        <w:t>لماه</w:t>
      </w:r>
      <w:r>
        <w:rPr>
          <w:rtl/>
        </w:rPr>
        <w:t>يّ</w:t>
      </w:r>
      <w:r w:rsidRPr="00FE4C18">
        <w:rPr>
          <w:rtl/>
        </w:rPr>
        <w:t>ة</w:t>
      </w:r>
      <w:r>
        <w:rPr>
          <w:rtl/>
        </w:rPr>
        <w:t xml:space="preserve"> وا</w:t>
      </w:r>
      <w:r w:rsidRPr="00FE4C18">
        <w:rPr>
          <w:rtl/>
        </w:rPr>
        <w:t xml:space="preserve">لآثار </w:t>
      </w:r>
      <w:r>
        <w:rPr>
          <w:rtl/>
        </w:rPr>
        <w:t>ا</w:t>
      </w:r>
      <w:r w:rsidRPr="00FE4C18">
        <w:rPr>
          <w:rtl/>
        </w:rPr>
        <w:t>لحقوق</w:t>
      </w:r>
      <w:r>
        <w:rPr>
          <w:rtl/>
        </w:rPr>
        <w:t>يّ</w:t>
      </w:r>
      <w:r w:rsidRPr="00FE4C18">
        <w:rPr>
          <w:rtl/>
        </w:rPr>
        <w:t>ة أهم</w:t>
      </w:r>
      <w:r>
        <w:rPr>
          <w:rtl/>
        </w:rPr>
        <w:t>يّ</w:t>
      </w:r>
      <w:r w:rsidRPr="00FE4C18">
        <w:rPr>
          <w:rtl/>
        </w:rPr>
        <w:t>ة خاصّة</w:t>
      </w:r>
      <w:r>
        <w:rPr>
          <w:rtl/>
        </w:rPr>
        <w:t>.</w:t>
      </w:r>
      <w:r w:rsidRPr="00FE4C18">
        <w:rPr>
          <w:rtl/>
        </w:rPr>
        <w:t xml:space="preserve"> </w:t>
      </w:r>
    </w:p>
    <w:p w:rsidR="00391A35" w:rsidRPr="00FE4C18" w:rsidRDefault="00F834C2" w:rsidP="00D063EC">
      <w:pPr>
        <w:pStyle w:val="1"/>
        <w:spacing w:line="168" w:lineRule="auto"/>
        <w:rPr>
          <w:rtl/>
        </w:rPr>
      </w:pPr>
      <w:bookmarkStart w:id="462" w:name="_Toc275128169"/>
      <w:r>
        <w:rPr>
          <w:rFonts w:hint="cs"/>
          <w:rtl/>
        </w:rPr>
        <w:lastRenderedPageBreak/>
        <w:t>أ</w:t>
      </w:r>
      <w:r w:rsidR="00391A35">
        <w:rPr>
          <w:rtl/>
        </w:rPr>
        <w:t>ـ</w:t>
      </w:r>
      <w:r w:rsidR="00391A35" w:rsidRPr="00FE4C18">
        <w:rPr>
          <w:rtl/>
        </w:rPr>
        <w:t xml:space="preserve"> ضرورة استخدام رحم امرأة أخر</w:t>
      </w:r>
      <w:r w:rsidR="00391A35">
        <w:rPr>
          <w:rtl/>
        </w:rPr>
        <w:t>ى</w:t>
      </w:r>
      <w:bookmarkEnd w:id="462"/>
      <w:r w:rsidR="00391A35">
        <w:rPr>
          <w:rtl/>
        </w:rPr>
        <w:t xml:space="preserve"> </w:t>
      </w:r>
    </w:p>
    <w:p w:rsidR="00391A35" w:rsidRPr="00FE4C18" w:rsidRDefault="00391A35" w:rsidP="00391A35">
      <w:pPr>
        <w:pStyle w:val="ac"/>
        <w:rPr>
          <w:rtl/>
        </w:rPr>
      </w:pPr>
      <w:r w:rsidRPr="00FE4C18">
        <w:rPr>
          <w:rtl/>
        </w:rPr>
        <w:t xml:space="preserve">العقم موضوع شائع </w:t>
      </w:r>
      <w:r>
        <w:rPr>
          <w:rtl/>
        </w:rPr>
        <w:t>ي</w:t>
      </w:r>
      <w:r w:rsidRPr="00FE4C18">
        <w:rPr>
          <w:rtl/>
        </w:rPr>
        <w:t xml:space="preserve">قلق </w:t>
      </w:r>
      <w:r>
        <w:rPr>
          <w:rtl/>
        </w:rPr>
        <w:t>ا</w:t>
      </w:r>
      <w:r w:rsidRPr="00FE4C18">
        <w:rPr>
          <w:rtl/>
        </w:rPr>
        <w:t>لزوج</w:t>
      </w:r>
      <w:r>
        <w:rPr>
          <w:rtl/>
        </w:rPr>
        <w:t>ي</w:t>
      </w:r>
      <w:r w:rsidRPr="00FE4C18">
        <w:rPr>
          <w:rtl/>
        </w:rPr>
        <w:t>ن</w:t>
      </w:r>
      <w:r w:rsidRPr="007F5B58">
        <w:rPr>
          <w:rtl/>
        </w:rPr>
        <w:t>،</w:t>
      </w:r>
      <w:r w:rsidRPr="00FE4C18">
        <w:rPr>
          <w:rtl/>
        </w:rPr>
        <w:t xml:space="preserve"> وقد ابتُلي 15 </w:t>
      </w:r>
      <w:r w:rsidRPr="00FE4C18">
        <w:rPr>
          <w:rFonts w:ascii="Tahoma" w:hAnsi="Tahoma" w:cs="Tahoma"/>
          <w:rtl/>
        </w:rPr>
        <w:t>٪</w:t>
      </w:r>
      <w:r w:rsidRPr="00FE4C18">
        <w:rPr>
          <w:rtl/>
        </w:rPr>
        <w:t xml:space="preserve"> تقر</w:t>
      </w:r>
      <w:r>
        <w:rPr>
          <w:rtl/>
        </w:rPr>
        <w:t>ي</w:t>
      </w:r>
      <w:r w:rsidRPr="00FE4C18">
        <w:rPr>
          <w:rtl/>
        </w:rPr>
        <w:t xml:space="preserve">باً من </w:t>
      </w:r>
      <w:r>
        <w:rPr>
          <w:rtl/>
        </w:rPr>
        <w:t>ا</w:t>
      </w:r>
      <w:r w:rsidRPr="00FE4C18">
        <w:rPr>
          <w:rtl/>
        </w:rPr>
        <w:t>ل</w:t>
      </w:r>
      <w:r>
        <w:rPr>
          <w:rtl/>
        </w:rPr>
        <w:t>أ</w:t>
      </w:r>
      <w:r w:rsidRPr="00FE4C18">
        <w:rPr>
          <w:rtl/>
        </w:rPr>
        <w:t>زو</w:t>
      </w:r>
      <w:r>
        <w:rPr>
          <w:rtl/>
        </w:rPr>
        <w:t>ا</w:t>
      </w:r>
      <w:r w:rsidRPr="00FE4C18">
        <w:rPr>
          <w:rtl/>
        </w:rPr>
        <w:t xml:space="preserve">ج بهذا </w:t>
      </w:r>
      <w:r>
        <w:rPr>
          <w:rtl/>
        </w:rPr>
        <w:t>ا</w:t>
      </w:r>
      <w:r w:rsidRPr="00FE4C18">
        <w:rPr>
          <w:rtl/>
        </w:rPr>
        <w:t>لمرض</w:t>
      </w:r>
      <w:r w:rsidRPr="007F5B58">
        <w:rPr>
          <w:rtl/>
        </w:rPr>
        <w:t>،</w:t>
      </w:r>
      <w:r w:rsidRPr="00FE4C18">
        <w:rPr>
          <w:rtl/>
        </w:rPr>
        <w:t xml:space="preserve"> </w:t>
      </w:r>
      <w:r>
        <w:rPr>
          <w:rtl/>
        </w:rPr>
        <w:t>ا</w:t>
      </w:r>
      <w:r w:rsidRPr="00FE4C18">
        <w:rPr>
          <w:rtl/>
        </w:rPr>
        <w:t>لذي لا</w:t>
      </w:r>
      <w:r>
        <w:rPr>
          <w:rtl/>
        </w:rPr>
        <w:t xml:space="preserve"> ي</w:t>
      </w:r>
      <w:r w:rsidRPr="00FE4C18">
        <w:rPr>
          <w:rtl/>
        </w:rPr>
        <w:t>نفع في مس</w:t>
      </w:r>
      <w:r>
        <w:rPr>
          <w:rtl/>
        </w:rPr>
        <w:t>ي</w:t>
      </w:r>
      <w:r w:rsidRPr="00FE4C18">
        <w:rPr>
          <w:rtl/>
        </w:rPr>
        <w:t xml:space="preserve">رة شفائه </w:t>
      </w:r>
      <w:r>
        <w:rPr>
          <w:rtl/>
        </w:rPr>
        <w:t>ا</w:t>
      </w:r>
      <w:r w:rsidRPr="00FE4C18">
        <w:rPr>
          <w:rtl/>
        </w:rPr>
        <w:t xml:space="preserve">لعلاج </w:t>
      </w:r>
      <w:r>
        <w:rPr>
          <w:rtl/>
        </w:rPr>
        <w:t>ا</w:t>
      </w:r>
      <w:r w:rsidRPr="00FE4C18">
        <w:rPr>
          <w:rtl/>
        </w:rPr>
        <w:t>لتدر</w:t>
      </w:r>
      <w:r>
        <w:rPr>
          <w:rtl/>
        </w:rPr>
        <w:t>ي</w:t>
      </w:r>
      <w:r w:rsidRPr="00FE4C18">
        <w:rPr>
          <w:rtl/>
        </w:rPr>
        <w:t>جي</w:t>
      </w:r>
      <w:r w:rsidRPr="007F5B58">
        <w:rPr>
          <w:rtl/>
        </w:rPr>
        <w:t>؛</w:t>
      </w:r>
      <w:r w:rsidRPr="00FE4C18">
        <w:rPr>
          <w:rtl/>
        </w:rPr>
        <w:t xml:space="preserve"> لأنَّ </w:t>
      </w:r>
      <w:r>
        <w:rPr>
          <w:rtl/>
        </w:rPr>
        <w:t>ا</w:t>
      </w:r>
      <w:r w:rsidRPr="00FE4C18">
        <w:rPr>
          <w:rtl/>
        </w:rPr>
        <w:t xml:space="preserve">لهدف </w:t>
      </w:r>
      <w:r>
        <w:rPr>
          <w:rtl/>
        </w:rPr>
        <w:t>ا</w:t>
      </w:r>
      <w:r w:rsidRPr="00FE4C18">
        <w:rPr>
          <w:rtl/>
        </w:rPr>
        <w:t xml:space="preserve">لنّهائي </w:t>
      </w:r>
      <w:r>
        <w:rPr>
          <w:rtl/>
        </w:rPr>
        <w:t>ا</w:t>
      </w:r>
      <w:r w:rsidRPr="00FE4C18">
        <w:rPr>
          <w:rtl/>
        </w:rPr>
        <w:t xml:space="preserve">لذي هو </w:t>
      </w:r>
      <w:r>
        <w:rPr>
          <w:rtl/>
        </w:rPr>
        <w:t>ا</w:t>
      </w:r>
      <w:r w:rsidRPr="00FE4C18">
        <w:rPr>
          <w:rtl/>
        </w:rPr>
        <w:t>لحصول عل</w:t>
      </w:r>
      <w:r>
        <w:rPr>
          <w:rtl/>
        </w:rPr>
        <w:t>ى ا</w:t>
      </w:r>
      <w:r w:rsidRPr="00FE4C18">
        <w:rPr>
          <w:rtl/>
        </w:rPr>
        <w:t>لأطفال أمر</w:t>
      </w:r>
      <w:r>
        <w:rPr>
          <w:rtl/>
        </w:rPr>
        <w:t>ٌ</w:t>
      </w:r>
      <w:r w:rsidRPr="00FE4C18">
        <w:rPr>
          <w:rtl/>
        </w:rPr>
        <w:t xml:space="preserve"> مطلق</w:t>
      </w:r>
      <w:r>
        <w:rPr>
          <w:rtl/>
        </w:rPr>
        <w:t>. و</w:t>
      </w:r>
      <w:r w:rsidRPr="00FE4C18">
        <w:rPr>
          <w:rtl/>
        </w:rPr>
        <w:t>بناء عل</w:t>
      </w:r>
      <w:r>
        <w:rPr>
          <w:rtl/>
        </w:rPr>
        <w:t xml:space="preserve">ى </w:t>
      </w:r>
      <w:r w:rsidRPr="00FE4C18">
        <w:rPr>
          <w:rtl/>
        </w:rPr>
        <w:t xml:space="preserve">هذا </w:t>
      </w:r>
      <w:r>
        <w:rPr>
          <w:rtl/>
        </w:rPr>
        <w:t>ف</w:t>
      </w:r>
      <w:r w:rsidRPr="00FE4C18">
        <w:rPr>
          <w:rtl/>
        </w:rPr>
        <w:t xml:space="preserve">قد اتّخذت في برنامج علاج </w:t>
      </w:r>
      <w:r>
        <w:rPr>
          <w:rtl/>
        </w:rPr>
        <w:t>ا</w:t>
      </w:r>
      <w:r w:rsidRPr="00FE4C18">
        <w:rPr>
          <w:rtl/>
        </w:rPr>
        <w:t>لعقم تداب</w:t>
      </w:r>
      <w:r>
        <w:rPr>
          <w:rtl/>
        </w:rPr>
        <w:t>ي</w:t>
      </w:r>
      <w:r w:rsidRPr="00FE4C18">
        <w:rPr>
          <w:rtl/>
        </w:rPr>
        <w:t xml:space="preserve">ر لتلافي </w:t>
      </w:r>
      <w:r>
        <w:rPr>
          <w:rtl/>
        </w:rPr>
        <w:t>ا</w:t>
      </w:r>
      <w:r w:rsidRPr="00FE4C18">
        <w:rPr>
          <w:rtl/>
        </w:rPr>
        <w:t xml:space="preserve">لنقص </w:t>
      </w:r>
      <w:r>
        <w:rPr>
          <w:rtl/>
        </w:rPr>
        <w:t>ا</w:t>
      </w:r>
      <w:r w:rsidRPr="00FE4C18">
        <w:rPr>
          <w:rtl/>
        </w:rPr>
        <w:t>لجسدي للمرض</w:t>
      </w:r>
      <w:r>
        <w:rPr>
          <w:rtl/>
        </w:rPr>
        <w:t xml:space="preserve">ي </w:t>
      </w:r>
      <w:r w:rsidRPr="00FE4C18">
        <w:rPr>
          <w:rtl/>
        </w:rPr>
        <w:t>أ</w:t>
      </w:r>
      <w:r>
        <w:rPr>
          <w:rtl/>
        </w:rPr>
        <w:t>ي</w:t>
      </w:r>
      <w:r w:rsidRPr="00FE4C18">
        <w:rPr>
          <w:rtl/>
        </w:rPr>
        <w:t>ضاً</w:t>
      </w:r>
      <w:r w:rsidRPr="00815C4C">
        <w:rPr>
          <w:rFonts w:cs="Taher"/>
          <w:vertAlign w:val="superscript"/>
          <w:rtl/>
        </w:rPr>
        <w:t>(</w:t>
      </w:r>
      <w:r w:rsidRPr="00815C4C">
        <w:rPr>
          <w:rFonts w:cs="Taher"/>
          <w:vertAlign w:val="superscript"/>
          <w:rtl/>
        </w:rPr>
        <w:footnoteReference w:id="867"/>
      </w:r>
      <w:r w:rsidRPr="00815C4C">
        <w:rPr>
          <w:rFonts w:cs="Taher"/>
          <w:vertAlign w:val="superscript"/>
          <w:rtl/>
        </w:rPr>
        <w:t>)</w:t>
      </w:r>
      <w:r>
        <w:rPr>
          <w:rtl/>
        </w:rPr>
        <w:t>.</w:t>
      </w:r>
    </w:p>
    <w:p w:rsidR="00391A35" w:rsidRPr="00FE4C18" w:rsidRDefault="00391A35" w:rsidP="00391A35">
      <w:pPr>
        <w:pStyle w:val="ac"/>
        <w:rPr>
          <w:rtl/>
        </w:rPr>
      </w:pPr>
      <w:r w:rsidRPr="00FE4C18">
        <w:rPr>
          <w:rtl/>
        </w:rPr>
        <w:t xml:space="preserve">إنَّ أحد </w:t>
      </w:r>
      <w:r>
        <w:rPr>
          <w:rtl/>
        </w:rPr>
        <w:t>ا</w:t>
      </w:r>
      <w:r w:rsidRPr="00FE4C18">
        <w:rPr>
          <w:rtl/>
        </w:rPr>
        <w:t>لتداب</w:t>
      </w:r>
      <w:r>
        <w:rPr>
          <w:rtl/>
        </w:rPr>
        <w:t>ي</w:t>
      </w:r>
      <w:r w:rsidRPr="00FE4C18">
        <w:rPr>
          <w:rtl/>
        </w:rPr>
        <w:t xml:space="preserve">ر </w:t>
      </w:r>
      <w:r>
        <w:rPr>
          <w:rtl/>
        </w:rPr>
        <w:t>ا</w:t>
      </w:r>
      <w:r w:rsidRPr="00FE4C18">
        <w:rPr>
          <w:rtl/>
        </w:rPr>
        <w:t>لمتّخذَة</w:t>
      </w:r>
      <w:r>
        <w:rPr>
          <w:rtl/>
        </w:rPr>
        <w:t xml:space="preserve"> </w:t>
      </w:r>
      <w:r w:rsidRPr="00FE4C18">
        <w:rPr>
          <w:rtl/>
        </w:rPr>
        <w:t xml:space="preserve">في برنامج علاج </w:t>
      </w:r>
      <w:r>
        <w:rPr>
          <w:rtl/>
        </w:rPr>
        <w:t>ا</w:t>
      </w:r>
      <w:r w:rsidRPr="00FE4C18">
        <w:rPr>
          <w:rtl/>
        </w:rPr>
        <w:t>لزوج</w:t>
      </w:r>
      <w:r>
        <w:rPr>
          <w:rFonts w:hint="cs"/>
          <w:rtl/>
        </w:rPr>
        <w:t>ي</w:t>
      </w:r>
      <w:r w:rsidRPr="00FE4C18">
        <w:rPr>
          <w:rtl/>
        </w:rPr>
        <w:t xml:space="preserve">ن </w:t>
      </w:r>
      <w:r>
        <w:rPr>
          <w:rtl/>
        </w:rPr>
        <w:t>ا</w:t>
      </w:r>
      <w:r w:rsidRPr="00FE4C18">
        <w:rPr>
          <w:rtl/>
        </w:rPr>
        <w:t>لعق</w:t>
      </w:r>
      <w:r>
        <w:rPr>
          <w:rtl/>
        </w:rPr>
        <w:t>ي</w:t>
      </w:r>
      <w:r w:rsidRPr="00FE4C18">
        <w:rPr>
          <w:rtl/>
        </w:rPr>
        <w:t>م</w:t>
      </w:r>
      <w:r>
        <w:rPr>
          <w:rtl/>
        </w:rPr>
        <w:t>ي</w:t>
      </w:r>
      <w:r w:rsidRPr="00FE4C18">
        <w:rPr>
          <w:rtl/>
        </w:rPr>
        <w:t xml:space="preserve">ن هو </w:t>
      </w:r>
      <w:r>
        <w:rPr>
          <w:rtl/>
        </w:rPr>
        <w:t>ا</w:t>
      </w:r>
      <w:r w:rsidRPr="00FE4C18">
        <w:rPr>
          <w:rtl/>
        </w:rPr>
        <w:t>لاستفادة من رحم امرأة أخر</w:t>
      </w:r>
      <w:r>
        <w:rPr>
          <w:rtl/>
        </w:rPr>
        <w:t>ى</w:t>
      </w:r>
      <w:r w:rsidRPr="007F5B58">
        <w:rPr>
          <w:rtl/>
        </w:rPr>
        <w:t>،</w:t>
      </w:r>
      <w:r w:rsidRPr="00FE4C18">
        <w:rPr>
          <w:rtl/>
        </w:rPr>
        <w:t xml:space="preserve"> ح</w:t>
      </w:r>
      <w:r>
        <w:rPr>
          <w:rtl/>
        </w:rPr>
        <w:t>ي</w:t>
      </w:r>
      <w:r w:rsidRPr="00FE4C18">
        <w:rPr>
          <w:rtl/>
        </w:rPr>
        <w:t xml:space="preserve">ث إنَّ </w:t>
      </w:r>
      <w:r>
        <w:rPr>
          <w:rtl/>
        </w:rPr>
        <w:t>ا</w:t>
      </w:r>
      <w:r w:rsidRPr="00FE4C18">
        <w:rPr>
          <w:rtl/>
        </w:rPr>
        <w:t xml:space="preserve">لمرأة </w:t>
      </w:r>
      <w:r>
        <w:rPr>
          <w:rtl/>
        </w:rPr>
        <w:t>ا</w:t>
      </w:r>
      <w:r w:rsidRPr="00FE4C18">
        <w:rPr>
          <w:rtl/>
        </w:rPr>
        <w:t>لتي لا تمتل</w:t>
      </w:r>
      <w:r>
        <w:rPr>
          <w:rtl/>
        </w:rPr>
        <w:t>ك</w:t>
      </w:r>
      <w:r w:rsidRPr="00FE4C18">
        <w:rPr>
          <w:rtl/>
        </w:rPr>
        <w:t xml:space="preserve"> رحماً</w:t>
      </w:r>
      <w:r w:rsidRPr="007F5B58">
        <w:rPr>
          <w:rtl/>
        </w:rPr>
        <w:t>،</w:t>
      </w:r>
      <w:r>
        <w:rPr>
          <w:rtl/>
        </w:rPr>
        <w:t xml:space="preserve"> وا</w:t>
      </w:r>
      <w:r w:rsidRPr="00FE4C18">
        <w:rPr>
          <w:rtl/>
        </w:rPr>
        <w:t>لمر</w:t>
      </w:r>
      <w:r>
        <w:rPr>
          <w:rtl/>
        </w:rPr>
        <w:t>ي</w:t>
      </w:r>
      <w:r w:rsidRPr="00FE4C18">
        <w:rPr>
          <w:rtl/>
        </w:rPr>
        <w:t xml:space="preserve">ضة </w:t>
      </w:r>
      <w:r>
        <w:rPr>
          <w:rtl/>
        </w:rPr>
        <w:t>ا</w:t>
      </w:r>
      <w:r w:rsidRPr="00FE4C18">
        <w:rPr>
          <w:rtl/>
        </w:rPr>
        <w:t>لتي لا تستط</w:t>
      </w:r>
      <w:r>
        <w:rPr>
          <w:rtl/>
        </w:rPr>
        <w:t>ي</w:t>
      </w:r>
      <w:r w:rsidRPr="00FE4C18">
        <w:rPr>
          <w:rtl/>
        </w:rPr>
        <w:t xml:space="preserve">ع </w:t>
      </w:r>
      <w:r>
        <w:rPr>
          <w:rtl/>
        </w:rPr>
        <w:t>ا</w:t>
      </w:r>
      <w:r w:rsidRPr="00FE4C18">
        <w:rPr>
          <w:rtl/>
        </w:rPr>
        <w:t>لحمل</w:t>
      </w:r>
      <w:r w:rsidRPr="007F5B58">
        <w:rPr>
          <w:rtl/>
        </w:rPr>
        <w:t>،</w:t>
      </w:r>
      <w:r w:rsidRPr="00FE4C18">
        <w:rPr>
          <w:rtl/>
        </w:rPr>
        <w:t xml:space="preserve"> لا</w:t>
      </w:r>
      <w:r w:rsidR="00F834C2">
        <w:rPr>
          <w:rFonts w:hint="cs"/>
          <w:rtl/>
        </w:rPr>
        <w:t xml:space="preserve"> </w:t>
      </w:r>
      <w:r>
        <w:rPr>
          <w:rtl/>
        </w:rPr>
        <w:t>ي</w:t>
      </w:r>
      <w:r w:rsidRPr="00FE4C18">
        <w:rPr>
          <w:rtl/>
        </w:rPr>
        <w:t>م</w:t>
      </w:r>
      <w:r>
        <w:rPr>
          <w:rtl/>
        </w:rPr>
        <w:t>ك</w:t>
      </w:r>
      <w:r w:rsidRPr="00FE4C18">
        <w:rPr>
          <w:rtl/>
        </w:rPr>
        <w:t xml:space="preserve">نها </w:t>
      </w:r>
      <w:r>
        <w:rPr>
          <w:rtl/>
        </w:rPr>
        <w:t>ا</w:t>
      </w:r>
      <w:r w:rsidRPr="00FE4C18">
        <w:rPr>
          <w:rtl/>
        </w:rPr>
        <w:t>لحصول عل</w:t>
      </w:r>
      <w:r>
        <w:rPr>
          <w:rtl/>
        </w:rPr>
        <w:t>ى ا</w:t>
      </w:r>
      <w:r w:rsidRPr="00FE4C18">
        <w:rPr>
          <w:rtl/>
        </w:rPr>
        <w:t>لأطفال إلاّ عن طر</w:t>
      </w:r>
      <w:r>
        <w:rPr>
          <w:rtl/>
        </w:rPr>
        <w:t>ي</w:t>
      </w:r>
      <w:r w:rsidRPr="00FE4C18">
        <w:rPr>
          <w:rtl/>
        </w:rPr>
        <w:t xml:space="preserve">ق </w:t>
      </w:r>
      <w:r>
        <w:rPr>
          <w:rtl/>
        </w:rPr>
        <w:t>ا</w:t>
      </w:r>
      <w:r w:rsidRPr="00FE4C18">
        <w:rPr>
          <w:rtl/>
        </w:rPr>
        <w:t>لاستفادة من رحم امرأة أخر</w:t>
      </w:r>
      <w:r>
        <w:rPr>
          <w:rtl/>
        </w:rPr>
        <w:t>ى</w:t>
      </w:r>
      <w:r w:rsidRPr="007F5B58">
        <w:rPr>
          <w:rtl/>
        </w:rPr>
        <w:t>؛</w:t>
      </w:r>
      <w:r>
        <w:rPr>
          <w:rtl/>
        </w:rPr>
        <w:t xml:space="preserve"> </w:t>
      </w:r>
      <w:r w:rsidRPr="00FE4C18">
        <w:rPr>
          <w:rtl/>
        </w:rPr>
        <w:t>ل</w:t>
      </w:r>
      <w:r>
        <w:rPr>
          <w:rtl/>
        </w:rPr>
        <w:t>ي</w:t>
      </w:r>
      <w:r w:rsidRPr="00FE4C18">
        <w:rPr>
          <w:rtl/>
        </w:rPr>
        <w:t>نمو جن</w:t>
      </w:r>
      <w:r>
        <w:rPr>
          <w:rtl/>
        </w:rPr>
        <w:t>ي</w:t>
      </w:r>
      <w:r w:rsidRPr="00FE4C18">
        <w:rPr>
          <w:rtl/>
        </w:rPr>
        <w:t>نها ف</w:t>
      </w:r>
      <w:r>
        <w:rPr>
          <w:rtl/>
        </w:rPr>
        <w:t>ي</w:t>
      </w:r>
      <w:r w:rsidRPr="00FE4C18">
        <w:rPr>
          <w:rtl/>
        </w:rPr>
        <w:t>ه</w:t>
      </w:r>
      <w:r>
        <w:rPr>
          <w:rtl/>
        </w:rPr>
        <w:t>.</w:t>
      </w:r>
      <w:r w:rsidRPr="00FE4C18">
        <w:rPr>
          <w:rtl/>
        </w:rPr>
        <w:t xml:space="preserve"> </w:t>
      </w:r>
    </w:p>
    <w:p w:rsidR="00391A35" w:rsidRPr="00FE4C18" w:rsidRDefault="00391A35" w:rsidP="00391A35">
      <w:pPr>
        <w:pStyle w:val="ac"/>
        <w:rPr>
          <w:rtl/>
        </w:rPr>
      </w:pPr>
      <w:r w:rsidRPr="00FE4C18">
        <w:rPr>
          <w:rtl/>
        </w:rPr>
        <w:t xml:space="preserve">لقد بدأتْ منذ سنة 1380 بعض </w:t>
      </w:r>
      <w:r>
        <w:rPr>
          <w:rtl/>
        </w:rPr>
        <w:t>ا</w:t>
      </w:r>
      <w:r w:rsidRPr="00FE4C18">
        <w:rPr>
          <w:rtl/>
        </w:rPr>
        <w:t xml:space="preserve">لمستوصفات </w:t>
      </w:r>
      <w:r>
        <w:rPr>
          <w:rtl/>
        </w:rPr>
        <w:t>ا</w:t>
      </w:r>
      <w:r w:rsidRPr="00FE4C18">
        <w:rPr>
          <w:rtl/>
        </w:rPr>
        <w:t>ل</w:t>
      </w:r>
      <w:r>
        <w:rPr>
          <w:rtl/>
        </w:rPr>
        <w:t>إي</w:t>
      </w:r>
      <w:r w:rsidRPr="00FE4C18">
        <w:rPr>
          <w:rtl/>
        </w:rPr>
        <w:t>ران</w:t>
      </w:r>
      <w:r>
        <w:rPr>
          <w:rtl/>
        </w:rPr>
        <w:t>يّ</w:t>
      </w:r>
      <w:r w:rsidRPr="00FE4C18">
        <w:rPr>
          <w:rtl/>
        </w:rPr>
        <w:t xml:space="preserve">ة </w:t>
      </w:r>
      <w:r>
        <w:rPr>
          <w:rtl/>
        </w:rPr>
        <w:t>ا</w:t>
      </w:r>
      <w:r w:rsidRPr="00FE4C18">
        <w:rPr>
          <w:rtl/>
        </w:rPr>
        <w:t xml:space="preserve">لمتخصّصة في </w:t>
      </w:r>
      <w:r>
        <w:rPr>
          <w:rtl/>
        </w:rPr>
        <w:t>ا</w:t>
      </w:r>
      <w:r w:rsidRPr="00FE4C18">
        <w:rPr>
          <w:rtl/>
        </w:rPr>
        <w:t>لتخص</w:t>
      </w:r>
      <w:r>
        <w:rPr>
          <w:rtl/>
        </w:rPr>
        <w:t>ي</w:t>
      </w:r>
      <w:r w:rsidRPr="00FE4C18">
        <w:rPr>
          <w:rtl/>
        </w:rPr>
        <w:t>ب</w:t>
      </w:r>
      <w:r>
        <w:rPr>
          <w:rtl/>
        </w:rPr>
        <w:t xml:space="preserve"> و</w:t>
      </w:r>
      <w:r w:rsidRPr="00FE4C18">
        <w:rPr>
          <w:rtl/>
        </w:rPr>
        <w:t xml:space="preserve">علاج </w:t>
      </w:r>
      <w:r>
        <w:rPr>
          <w:rtl/>
        </w:rPr>
        <w:t>ا</w:t>
      </w:r>
      <w:r w:rsidRPr="00FE4C18">
        <w:rPr>
          <w:rtl/>
        </w:rPr>
        <w:t>لعقم</w:t>
      </w:r>
      <w:r w:rsidRPr="007F5B58">
        <w:rPr>
          <w:rtl/>
        </w:rPr>
        <w:t>،</w:t>
      </w:r>
      <w:r w:rsidRPr="00FE4C18">
        <w:rPr>
          <w:rtl/>
        </w:rPr>
        <w:t xml:space="preserve"> ب</w:t>
      </w:r>
      <w:r>
        <w:rPr>
          <w:rtl/>
        </w:rPr>
        <w:t>إ</w:t>
      </w:r>
      <w:r w:rsidRPr="00FE4C18">
        <w:rPr>
          <w:rtl/>
        </w:rPr>
        <w:t xml:space="preserve">جراء مشروع </w:t>
      </w:r>
      <w:r>
        <w:rPr>
          <w:rtl/>
        </w:rPr>
        <w:t>ا</w:t>
      </w:r>
      <w:r w:rsidRPr="00FE4C18">
        <w:rPr>
          <w:rtl/>
        </w:rPr>
        <w:t xml:space="preserve">لاستفادة من رحم </w:t>
      </w:r>
      <w:r>
        <w:rPr>
          <w:rtl/>
        </w:rPr>
        <w:t>ا</w:t>
      </w:r>
      <w:r w:rsidRPr="00FE4C18">
        <w:rPr>
          <w:rtl/>
        </w:rPr>
        <w:t>لمرأة</w:t>
      </w:r>
      <w:r w:rsidRPr="00815C4C">
        <w:rPr>
          <w:rFonts w:cs="Taher"/>
          <w:vertAlign w:val="superscript"/>
          <w:rtl/>
        </w:rPr>
        <w:t>(</w:t>
      </w:r>
      <w:r w:rsidRPr="00815C4C">
        <w:rPr>
          <w:rFonts w:cs="Taher"/>
          <w:vertAlign w:val="superscript"/>
          <w:rtl/>
        </w:rPr>
        <w:footnoteReference w:id="868"/>
      </w:r>
      <w:r w:rsidRPr="00815C4C">
        <w:rPr>
          <w:rFonts w:cs="Taher"/>
          <w:vertAlign w:val="superscript"/>
          <w:rtl/>
        </w:rPr>
        <w:t>)</w:t>
      </w:r>
      <w:r>
        <w:rPr>
          <w:rtl/>
        </w:rPr>
        <w:t>.</w:t>
      </w:r>
      <w:r w:rsidRPr="00FE4C18">
        <w:rPr>
          <w:rtl/>
        </w:rPr>
        <w:t xml:space="preserve"> </w:t>
      </w:r>
    </w:p>
    <w:p w:rsidR="00391A35" w:rsidRPr="00D063EC" w:rsidRDefault="00391A35" w:rsidP="00D063EC">
      <w:pPr>
        <w:pStyle w:val="afffffc"/>
        <w:rPr>
          <w:sz w:val="18"/>
          <w:szCs w:val="16"/>
          <w:rtl/>
        </w:rPr>
      </w:pPr>
    </w:p>
    <w:p w:rsidR="00391A35" w:rsidRPr="00FE4C18" w:rsidRDefault="00F834C2" w:rsidP="00391A35">
      <w:pPr>
        <w:pStyle w:val="1"/>
        <w:rPr>
          <w:rtl/>
        </w:rPr>
      </w:pPr>
      <w:bookmarkStart w:id="463" w:name="_Toc275128170"/>
      <w:r>
        <w:rPr>
          <w:rFonts w:hint="cs"/>
          <w:rtl/>
        </w:rPr>
        <w:t xml:space="preserve">ب </w:t>
      </w:r>
      <w:r w:rsidR="00391A35">
        <w:rPr>
          <w:rtl/>
        </w:rPr>
        <w:t xml:space="preserve">ـ </w:t>
      </w:r>
      <w:r w:rsidR="00391A35" w:rsidRPr="00FE4C18">
        <w:rPr>
          <w:rtl/>
        </w:rPr>
        <w:t>موارد استخدام رحم امرأة أخر</w:t>
      </w:r>
      <w:r w:rsidR="00391A35">
        <w:rPr>
          <w:rtl/>
        </w:rPr>
        <w:t>ى</w:t>
      </w:r>
      <w:bookmarkEnd w:id="463"/>
      <w:r w:rsidR="00391A35" w:rsidRPr="00FE4C18">
        <w:rPr>
          <w:rtl/>
        </w:rPr>
        <w:t xml:space="preserve"> </w:t>
      </w:r>
    </w:p>
    <w:p w:rsidR="00391A35" w:rsidRPr="00FE4C18" w:rsidRDefault="00391A35" w:rsidP="00D063EC">
      <w:pPr>
        <w:pStyle w:val="ac"/>
        <w:spacing w:line="199" w:lineRule="auto"/>
        <w:rPr>
          <w:rtl/>
        </w:rPr>
      </w:pPr>
      <w:r w:rsidRPr="00FE4C18">
        <w:rPr>
          <w:rtl/>
        </w:rPr>
        <w:t xml:space="preserve">بعد نجاح </w:t>
      </w:r>
      <w:r>
        <w:rPr>
          <w:rtl/>
        </w:rPr>
        <w:t>ا</w:t>
      </w:r>
      <w:r w:rsidRPr="00FE4C18">
        <w:rPr>
          <w:rtl/>
        </w:rPr>
        <w:t>لتّخص</w:t>
      </w:r>
      <w:r>
        <w:rPr>
          <w:rtl/>
        </w:rPr>
        <w:t>ي</w:t>
      </w:r>
      <w:r w:rsidRPr="00FE4C18">
        <w:rPr>
          <w:rtl/>
        </w:rPr>
        <w:t xml:space="preserve">ب </w:t>
      </w:r>
      <w:r>
        <w:rPr>
          <w:rtl/>
        </w:rPr>
        <w:t>ا</w:t>
      </w:r>
      <w:r w:rsidRPr="00FE4C18">
        <w:rPr>
          <w:rtl/>
        </w:rPr>
        <w:t>لمختبري ط</w:t>
      </w:r>
      <w:r>
        <w:rPr>
          <w:rtl/>
        </w:rPr>
        <w:t>ُ</w:t>
      </w:r>
      <w:r w:rsidRPr="00FE4C18">
        <w:rPr>
          <w:rtl/>
        </w:rPr>
        <w:t xml:space="preserve">رحتْ هذه </w:t>
      </w:r>
      <w:r>
        <w:rPr>
          <w:rtl/>
        </w:rPr>
        <w:t>ا</w:t>
      </w:r>
      <w:r w:rsidRPr="00FE4C18">
        <w:rPr>
          <w:rtl/>
        </w:rPr>
        <w:t>لف</w:t>
      </w:r>
      <w:r>
        <w:rPr>
          <w:rtl/>
        </w:rPr>
        <w:t>ك</w:t>
      </w:r>
      <w:r w:rsidRPr="00FE4C18">
        <w:rPr>
          <w:rtl/>
        </w:rPr>
        <w:t>رة</w:t>
      </w:r>
      <w:r w:rsidRPr="007F5B58">
        <w:rPr>
          <w:rtl/>
        </w:rPr>
        <w:t>،</w:t>
      </w:r>
      <w:r>
        <w:rPr>
          <w:rtl/>
        </w:rPr>
        <w:t xml:space="preserve"> و</w:t>
      </w:r>
      <w:r w:rsidRPr="00FE4C18">
        <w:rPr>
          <w:rtl/>
        </w:rPr>
        <w:t xml:space="preserve">هي أنَّه </w:t>
      </w:r>
      <w:r>
        <w:rPr>
          <w:rtl/>
        </w:rPr>
        <w:t>ي</w:t>
      </w:r>
      <w:r w:rsidRPr="00FE4C18">
        <w:rPr>
          <w:rtl/>
        </w:rPr>
        <w:t>م</w:t>
      </w:r>
      <w:r>
        <w:rPr>
          <w:rtl/>
        </w:rPr>
        <w:t>ك</w:t>
      </w:r>
      <w:r w:rsidRPr="00FE4C18">
        <w:rPr>
          <w:rtl/>
        </w:rPr>
        <w:t>ن وضع أيّ جن</w:t>
      </w:r>
      <w:r>
        <w:rPr>
          <w:rtl/>
        </w:rPr>
        <w:t>ي</w:t>
      </w:r>
      <w:r w:rsidRPr="00FE4C18">
        <w:rPr>
          <w:rtl/>
        </w:rPr>
        <w:t>ن في أيّ رحم</w:t>
      </w:r>
      <w:r w:rsidRPr="007F5B58">
        <w:rPr>
          <w:rtl/>
        </w:rPr>
        <w:t>؛</w:t>
      </w:r>
      <w:r w:rsidRPr="00FE4C18">
        <w:rPr>
          <w:rtl/>
        </w:rPr>
        <w:t xml:space="preserve"> لأنّ </w:t>
      </w:r>
      <w:r>
        <w:rPr>
          <w:rtl/>
        </w:rPr>
        <w:t>ا</w:t>
      </w:r>
      <w:r w:rsidRPr="00FE4C18">
        <w:rPr>
          <w:rtl/>
        </w:rPr>
        <w:t xml:space="preserve">لموارد </w:t>
      </w:r>
      <w:r>
        <w:rPr>
          <w:rtl/>
        </w:rPr>
        <w:t>ا</w:t>
      </w:r>
      <w:r w:rsidRPr="00FE4C18">
        <w:rPr>
          <w:rtl/>
        </w:rPr>
        <w:t xml:space="preserve">لمحافظة تحفظ </w:t>
      </w:r>
      <w:r>
        <w:rPr>
          <w:rtl/>
        </w:rPr>
        <w:t>ا</w:t>
      </w:r>
      <w:r w:rsidRPr="00FE4C18">
        <w:rPr>
          <w:rtl/>
        </w:rPr>
        <w:t>لجن</w:t>
      </w:r>
      <w:r>
        <w:rPr>
          <w:rtl/>
        </w:rPr>
        <w:t>ي</w:t>
      </w:r>
      <w:r w:rsidRPr="00FE4C18">
        <w:rPr>
          <w:rtl/>
        </w:rPr>
        <w:t xml:space="preserve">ن </w:t>
      </w:r>
      <w:r>
        <w:rPr>
          <w:rtl/>
        </w:rPr>
        <w:t>ا</w:t>
      </w:r>
      <w:r w:rsidRPr="00FE4C18">
        <w:rPr>
          <w:rtl/>
        </w:rPr>
        <w:t xml:space="preserve">لذي </w:t>
      </w:r>
      <w:r>
        <w:rPr>
          <w:rtl/>
        </w:rPr>
        <w:t>ي</w:t>
      </w:r>
      <w:r w:rsidRPr="00FE4C18">
        <w:rPr>
          <w:rtl/>
        </w:rPr>
        <w:t xml:space="preserve">ختلف مع أمه في نصف </w:t>
      </w:r>
      <w:r>
        <w:rPr>
          <w:rtl/>
        </w:rPr>
        <w:t>ا</w:t>
      </w:r>
      <w:r w:rsidRPr="00FE4C18">
        <w:rPr>
          <w:rtl/>
        </w:rPr>
        <w:t>ل</w:t>
      </w:r>
      <w:r>
        <w:rPr>
          <w:rtl/>
        </w:rPr>
        <w:t>ك</w:t>
      </w:r>
      <w:r w:rsidRPr="00FE4C18">
        <w:rPr>
          <w:rtl/>
        </w:rPr>
        <w:t>روموسومات</w:t>
      </w:r>
      <w:r w:rsidRPr="007F5B58">
        <w:rPr>
          <w:rtl/>
        </w:rPr>
        <w:t>،</w:t>
      </w:r>
      <w:r>
        <w:rPr>
          <w:rtl/>
        </w:rPr>
        <w:t xml:space="preserve"> و</w:t>
      </w:r>
      <w:r w:rsidRPr="00FE4C18">
        <w:rPr>
          <w:rtl/>
        </w:rPr>
        <w:t>عل</w:t>
      </w:r>
      <w:r>
        <w:rPr>
          <w:rtl/>
        </w:rPr>
        <w:t xml:space="preserve">ى </w:t>
      </w:r>
      <w:r w:rsidRPr="00FE4C18">
        <w:rPr>
          <w:rtl/>
        </w:rPr>
        <w:t xml:space="preserve">هذا </w:t>
      </w:r>
      <w:r>
        <w:rPr>
          <w:rtl/>
        </w:rPr>
        <w:t>ي</w:t>
      </w:r>
      <w:r w:rsidRPr="00FE4C18">
        <w:rPr>
          <w:rtl/>
        </w:rPr>
        <w:t>م</w:t>
      </w:r>
      <w:r>
        <w:rPr>
          <w:rtl/>
        </w:rPr>
        <w:t>ك</w:t>
      </w:r>
      <w:r w:rsidRPr="00FE4C18">
        <w:rPr>
          <w:rtl/>
        </w:rPr>
        <w:t>ن أنْ تختلف جم</w:t>
      </w:r>
      <w:r>
        <w:rPr>
          <w:rtl/>
        </w:rPr>
        <w:t>ي</w:t>
      </w:r>
      <w:r w:rsidRPr="00FE4C18">
        <w:rPr>
          <w:rtl/>
        </w:rPr>
        <w:t xml:space="preserve">ع </w:t>
      </w:r>
      <w:r>
        <w:rPr>
          <w:rtl/>
        </w:rPr>
        <w:t>ا</w:t>
      </w:r>
      <w:r w:rsidRPr="00FE4C18">
        <w:rPr>
          <w:rtl/>
        </w:rPr>
        <w:t>ل</w:t>
      </w:r>
      <w:r>
        <w:rPr>
          <w:rtl/>
        </w:rPr>
        <w:t>ك</w:t>
      </w:r>
      <w:r w:rsidRPr="00FE4C18">
        <w:rPr>
          <w:rtl/>
        </w:rPr>
        <w:t xml:space="preserve">روموسومات </w:t>
      </w:r>
      <w:r>
        <w:rPr>
          <w:rtl/>
        </w:rPr>
        <w:t>ا</w:t>
      </w:r>
      <w:r w:rsidRPr="00FE4C18">
        <w:rPr>
          <w:rtl/>
        </w:rPr>
        <w:t>لجن</w:t>
      </w:r>
      <w:r>
        <w:rPr>
          <w:rtl/>
        </w:rPr>
        <w:t>ي</w:t>
      </w:r>
      <w:r w:rsidRPr="00FE4C18">
        <w:rPr>
          <w:rtl/>
        </w:rPr>
        <w:t>ن</w:t>
      </w:r>
      <w:r>
        <w:rPr>
          <w:rtl/>
        </w:rPr>
        <w:t>يّ</w:t>
      </w:r>
      <w:r w:rsidRPr="00FE4C18">
        <w:rPr>
          <w:rtl/>
        </w:rPr>
        <w:t>ة</w:t>
      </w:r>
      <w:r w:rsidRPr="007F5B58">
        <w:rPr>
          <w:rtl/>
        </w:rPr>
        <w:t>،</w:t>
      </w:r>
      <w:r>
        <w:rPr>
          <w:rtl/>
        </w:rPr>
        <w:t xml:space="preserve"> و</w:t>
      </w:r>
      <w:r w:rsidRPr="00FE4C18">
        <w:rPr>
          <w:rtl/>
        </w:rPr>
        <w:t>ل</w:t>
      </w:r>
      <w:r>
        <w:rPr>
          <w:rtl/>
        </w:rPr>
        <w:t>ك</w:t>
      </w:r>
      <w:r w:rsidRPr="00FE4C18">
        <w:rPr>
          <w:rtl/>
        </w:rPr>
        <w:t xml:space="preserve">نّ </w:t>
      </w:r>
      <w:r>
        <w:rPr>
          <w:rtl/>
        </w:rPr>
        <w:t>ا</w:t>
      </w:r>
      <w:r w:rsidRPr="00FE4C18">
        <w:rPr>
          <w:rtl/>
        </w:rPr>
        <w:t xml:space="preserve">لجسم </w:t>
      </w:r>
      <w:r>
        <w:rPr>
          <w:rtl/>
        </w:rPr>
        <w:t>ي</w:t>
      </w:r>
      <w:r w:rsidRPr="00FE4C18">
        <w:rPr>
          <w:rtl/>
        </w:rPr>
        <w:t>حافظ عل</w:t>
      </w:r>
      <w:r>
        <w:rPr>
          <w:rtl/>
        </w:rPr>
        <w:t xml:space="preserve">ى </w:t>
      </w:r>
      <w:r w:rsidRPr="00FE4C18">
        <w:rPr>
          <w:rtl/>
        </w:rPr>
        <w:t>ذل</w:t>
      </w:r>
      <w:r>
        <w:rPr>
          <w:rtl/>
        </w:rPr>
        <w:t>ك.</w:t>
      </w:r>
      <w:r w:rsidRPr="00FE4C18">
        <w:rPr>
          <w:rtl/>
        </w:rPr>
        <w:t xml:space="preserve"> إنَّ أهمّ موارد </w:t>
      </w:r>
      <w:r>
        <w:rPr>
          <w:rtl/>
        </w:rPr>
        <w:t>ا</w:t>
      </w:r>
      <w:r w:rsidRPr="00FE4C18">
        <w:rPr>
          <w:rtl/>
        </w:rPr>
        <w:t>لإستفادة من ه</w:t>
      </w:r>
      <w:r>
        <w:rPr>
          <w:rtl/>
        </w:rPr>
        <w:t>ذ</w:t>
      </w:r>
      <w:r w:rsidRPr="00FE4C18">
        <w:rPr>
          <w:rtl/>
        </w:rPr>
        <w:t xml:space="preserve">ه </w:t>
      </w:r>
      <w:r>
        <w:rPr>
          <w:rtl/>
        </w:rPr>
        <w:t>ا</w:t>
      </w:r>
      <w:r w:rsidRPr="00FE4C18">
        <w:rPr>
          <w:rtl/>
        </w:rPr>
        <w:t>لطر</w:t>
      </w:r>
      <w:r>
        <w:rPr>
          <w:rtl/>
        </w:rPr>
        <w:t>ي</w:t>
      </w:r>
      <w:r w:rsidRPr="00FE4C18">
        <w:rPr>
          <w:rtl/>
        </w:rPr>
        <w:t xml:space="preserve">قة </w:t>
      </w:r>
      <w:r>
        <w:rPr>
          <w:rtl/>
        </w:rPr>
        <w:t>ا</w:t>
      </w:r>
      <w:r w:rsidRPr="00FE4C18">
        <w:rPr>
          <w:rtl/>
        </w:rPr>
        <w:t>لعلاج</w:t>
      </w:r>
      <w:r>
        <w:rPr>
          <w:rtl/>
        </w:rPr>
        <w:t>يّ</w:t>
      </w:r>
      <w:r w:rsidRPr="00FE4C18">
        <w:rPr>
          <w:rtl/>
        </w:rPr>
        <w:t xml:space="preserve">ة تشمل علاج </w:t>
      </w:r>
      <w:r>
        <w:rPr>
          <w:rtl/>
        </w:rPr>
        <w:t>ا</w:t>
      </w:r>
      <w:r w:rsidRPr="00FE4C18">
        <w:rPr>
          <w:rtl/>
        </w:rPr>
        <w:t xml:space="preserve">لنّساء </w:t>
      </w:r>
      <w:r>
        <w:rPr>
          <w:rtl/>
        </w:rPr>
        <w:t>ا</w:t>
      </w:r>
      <w:r w:rsidRPr="00FE4C18">
        <w:rPr>
          <w:rtl/>
        </w:rPr>
        <w:t>للاتي ولدن بلا رحم</w:t>
      </w:r>
      <w:r w:rsidRPr="007F5B58">
        <w:rPr>
          <w:rtl/>
        </w:rPr>
        <w:t>،</w:t>
      </w:r>
      <w:r>
        <w:rPr>
          <w:rtl/>
        </w:rPr>
        <w:t xml:space="preserve"> وا</w:t>
      </w:r>
      <w:r w:rsidRPr="00FE4C18">
        <w:rPr>
          <w:rtl/>
        </w:rPr>
        <w:t xml:space="preserve">للاتي فقدن </w:t>
      </w:r>
      <w:r>
        <w:rPr>
          <w:rtl/>
        </w:rPr>
        <w:t>أ</w:t>
      </w:r>
      <w:r w:rsidRPr="00FE4C18">
        <w:rPr>
          <w:rtl/>
        </w:rPr>
        <w:t>رح</w:t>
      </w:r>
      <w:r>
        <w:rPr>
          <w:rtl/>
        </w:rPr>
        <w:t>ا</w:t>
      </w:r>
      <w:r w:rsidRPr="00FE4C18">
        <w:rPr>
          <w:rtl/>
        </w:rPr>
        <w:t>مهنّ بأ</w:t>
      </w:r>
      <w:r>
        <w:rPr>
          <w:rtl/>
        </w:rPr>
        <w:t>يّ</w:t>
      </w:r>
      <w:r w:rsidRPr="00FE4C18">
        <w:rPr>
          <w:rtl/>
        </w:rPr>
        <w:t xml:space="preserve"> </w:t>
      </w:r>
      <w:r>
        <w:rPr>
          <w:rtl/>
        </w:rPr>
        <w:t>سبب</w:t>
      </w:r>
      <w:r w:rsidRPr="00FE4C18">
        <w:rPr>
          <w:rtl/>
        </w:rPr>
        <w:t xml:space="preserve"> </w:t>
      </w:r>
      <w:r>
        <w:rPr>
          <w:rtl/>
        </w:rPr>
        <w:t>ك</w:t>
      </w:r>
      <w:r w:rsidRPr="00FE4C18">
        <w:rPr>
          <w:rtl/>
        </w:rPr>
        <w:t>ان</w:t>
      </w:r>
      <w:r w:rsidRPr="007F5B58">
        <w:rPr>
          <w:rtl/>
        </w:rPr>
        <w:t>،</w:t>
      </w:r>
      <w:r>
        <w:rPr>
          <w:rtl/>
        </w:rPr>
        <w:t xml:space="preserve"> وا</w:t>
      </w:r>
      <w:r w:rsidRPr="00FE4C18">
        <w:rPr>
          <w:rtl/>
        </w:rPr>
        <w:t xml:space="preserve">للاتي </w:t>
      </w:r>
      <w:r>
        <w:rPr>
          <w:rtl/>
        </w:rPr>
        <w:t>ي</w:t>
      </w:r>
      <w:r w:rsidRPr="00FE4C18">
        <w:rPr>
          <w:rtl/>
        </w:rPr>
        <w:t>عان</w:t>
      </w:r>
      <w:r>
        <w:rPr>
          <w:rtl/>
        </w:rPr>
        <w:t>ي</w:t>
      </w:r>
      <w:r w:rsidRPr="00FE4C18">
        <w:rPr>
          <w:rtl/>
        </w:rPr>
        <w:t xml:space="preserve">ن من مرض </w:t>
      </w:r>
      <w:r>
        <w:rPr>
          <w:rtl/>
        </w:rPr>
        <w:t>ا</w:t>
      </w:r>
      <w:r w:rsidRPr="00FE4C18">
        <w:rPr>
          <w:rtl/>
        </w:rPr>
        <w:t>لسل</w:t>
      </w:r>
      <w:r>
        <w:rPr>
          <w:rtl/>
        </w:rPr>
        <w:t>ّ</w:t>
      </w:r>
      <w:r w:rsidRPr="00FE4C18">
        <w:rPr>
          <w:rtl/>
        </w:rPr>
        <w:t xml:space="preserve"> </w:t>
      </w:r>
      <w:r>
        <w:rPr>
          <w:rtl/>
        </w:rPr>
        <w:t>ا</w:t>
      </w:r>
      <w:r w:rsidRPr="00FE4C18">
        <w:rPr>
          <w:rtl/>
        </w:rPr>
        <w:t xml:space="preserve">لذي </w:t>
      </w:r>
      <w:r>
        <w:rPr>
          <w:rtl/>
        </w:rPr>
        <w:t>ي</w:t>
      </w:r>
      <w:r w:rsidRPr="00FE4C18">
        <w:rPr>
          <w:rtl/>
        </w:rPr>
        <w:t>ؤدي إل</w:t>
      </w:r>
      <w:r>
        <w:rPr>
          <w:rtl/>
        </w:rPr>
        <w:t>ى ا</w:t>
      </w:r>
      <w:r w:rsidRPr="00FE4C18">
        <w:rPr>
          <w:rtl/>
        </w:rPr>
        <w:t xml:space="preserve">نسداد </w:t>
      </w:r>
      <w:r>
        <w:rPr>
          <w:rtl/>
        </w:rPr>
        <w:t>أ</w:t>
      </w:r>
      <w:r w:rsidRPr="00FE4C18">
        <w:rPr>
          <w:rtl/>
        </w:rPr>
        <w:t>رح</w:t>
      </w:r>
      <w:r>
        <w:rPr>
          <w:rtl/>
        </w:rPr>
        <w:t>ا</w:t>
      </w:r>
      <w:r w:rsidRPr="00FE4C18">
        <w:rPr>
          <w:rtl/>
        </w:rPr>
        <w:t>مهنّ</w:t>
      </w:r>
      <w:r w:rsidRPr="007F5B58">
        <w:rPr>
          <w:rtl/>
        </w:rPr>
        <w:t>،</w:t>
      </w:r>
      <w:r>
        <w:rPr>
          <w:rtl/>
        </w:rPr>
        <w:t xml:space="preserve"> وا</w:t>
      </w:r>
      <w:r w:rsidRPr="00FE4C18">
        <w:rPr>
          <w:rtl/>
        </w:rPr>
        <w:t>للاتي ابتُلِ</w:t>
      </w:r>
      <w:r>
        <w:rPr>
          <w:rtl/>
        </w:rPr>
        <w:t>ي</w:t>
      </w:r>
      <w:r w:rsidRPr="00FE4C18">
        <w:rPr>
          <w:rtl/>
        </w:rPr>
        <w:t xml:space="preserve">نَ بمرض </w:t>
      </w:r>
      <w:r>
        <w:rPr>
          <w:rtl/>
        </w:rPr>
        <w:t>ا</w:t>
      </w:r>
      <w:r w:rsidRPr="00FE4C18">
        <w:rPr>
          <w:rtl/>
        </w:rPr>
        <w:t>لس</w:t>
      </w:r>
      <w:r>
        <w:rPr>
          <w:rtl/>
        </w:rPr>
        <w:t>ك</w:t>
      </w:r>
      <w:r w:rsidRPr="00FE4C18">
        <w:rPr>
          <w:rtl/>
        </w:rPr>
        <w:t xml:space="preserve">ر </w:t>
      </w:r>
      <w:r>
        <w:rPr>
          <w:rtl/>
        </w:rPr>
        <w:t>ا</w:t>
      </w:r>
      <w:r w:rsidRPr="00FE4C18">
        <w:rPr>
          <w:rtl/>
        </w:rPr>
        <w:t>لمزمن</w:t>
      </w:r>
      <w:r w:rsidRPr="007F5B58">
        <w:rPr>
          <w:rtl/>
        </w:rPr>
        <w:t>،</w:t>
      </w:r>
      <w:r w:rsidRPr="00FE4C18">
        <w:rPr>
          <w:rtl/>
        </w:rPr>
        <w:t xml:space="preserve"> أو بمرض </w:t>
      </w:r>
      <w:r>
        <w:rPr>
          <w:rtl/>
        </w:rPr>
        <w:t>ا</w:t>
      </w:r>
      <w:r w:rsidRPr="00FE4C18">
        <w:rPr>
          <w:rtl/>
        </w:rPr>
        <w:t>لقلب</w:t>
      </w:r>
      <w:r w:rsidRPr="007F5B58">
        <w:rPr>
          <w:rtl/>
        </w:rPr>
        <w:t>،</w:t>
      </w:r>
      <w:r w:rsidRPr="00FE4C18">
        <w:rPr>
          <w:rtl/>
        </w:rPr>
        <w:t xml:space="preserve"> أو بفقر </w:t>
      </w:r>
      <w:r>
        <w:rPr>
          <w:rtl/>
        </w:rPr>
        <w:t>ا</w:t>
      </w:r>
      <w:r w:rsidRPr="00FE4C18">
        <w:rPr>
          <w:rtl/>
        </w:rPr>
        <w:t xml:space="preserve">لدم </w:t>
      </w:r>
      <w:r>
        <w:rPr>
          <w:rtl/>
        </w:rPr>
        <w:t>ا</w:t>
      </w:r>
      <w:r w:rsidRPr="00FE4C18">
        <w:rPr>
          <w:rtl/>
        </w:rPr>
        <w:t>لشد</w:t>
      </w:r>
      <w:r>
        <w:rPr>
          <w:rtl/>
        </w:rPr>
        <w:t>ي</w:t>
      </w:r>
      <w:r w:rsidRPr="00FE4C18">
        <w:rPr>
          <w:rtl/>
        </w:rPr>
        <w:t>د</w:t>
      </w:r>
      <w:r w:rsidRPr="007F5B58">
        <w:rPr>
          <w:rtl/>
        </w:rPr>
        <w:t>،</w:t>
      </w:r>
      <w:r w:rsidRPr="00FE4C18">
        <w:rPr>
          <w:rtl/>
        </w:rPr>
        <w:t xml:space="preserve"> أو بأيّ مرض آخر من شأنه أنْ </w:t>
      </w:r>
      <w:r>
        <w:rPr>
          <w:rtl/>
        </w:rPr>
        <w:t>ي</w:t>
      </w:r>
      <w:r w:rsidRPr="00FE4C18">
        <w:rPr>
          <w:rtl/>
        </w:rPr>
        <w:t>ؤدي إل</w:t>
      </w:r>
      <w:r>
        <w:rPr>
          <w:rtl/>
        </w:rPr>
        <w:t xml:space="preserve">ى </w:t>
      </w:r>
      <w:r w:rsidRPr="00FE4C18">
        <w:rPr>
          <w:rtl/>
        </w:rPr>
        <w:t xml:space="preserve">عقم </w:t>
      </w:r>
      <w:r>
        <w:rPr>
          <w:rtl/>
        </w:rPr>
        <w:t>ا</w:t>
      </w:r>
      <w:r w:rsidRPr="00FE4C18">
        <w:rPr>
          <w:rtl/>
        </w:rPr>
        <w:t>لمرأة</w:t>
      </w:r>
      <w:r>
        <w:rPr>
          <w:rtl/>
        </w:rPr>
        <w:t>.</w:t>
      </w:r>
      <w:r w:rsidRPr="00FE4C18">
        <w:rPr>
          <w:rtl/>
        </w:rPr>
        <w:t xml:space="preserve"> </w:t>
      </w:r>
    </w:p>
    <w:p w:rsidR="00391A35" w:rsidRPr="00FE4C18" w:rsidRDefault="00391A35" w:rsidP="00391A35">
      <w:pPr>
        <w:pStyle w:val="ac"/>
        <w:rPr>
          <w:rtl/>
        </w:rPr>
      </w:pPr>
      <w:r w:rsidRPr="00FE4C18">
        <w:rPr>
          <w:rtl/>
        </w:rPr>
        <w:t xml:space="preserve">في هؤلاء </w:t>
      </w:r>
      <w:r>
        <w:rPr>
          <w:rtl/>
        </w:rPr>
        <w:t>ا</w:t>
      </w:r>
      <w:r w:rsidRPr="00FE4C18">
        <w:rPr>
          <w:rtl/>
        </w:rPr>
        <w:t>لمر</w:t>
      </w:r>
      <w:r>
        <w:rPr>
          <w:rtl/>
        </w:rPr>
        <w:t>ي</w:t>
      </w:r>
      <w:r w:rsidRPr="00FE4C18">
        <w:rPr>
          <w:rtl/>
        </w:rPr>
        <w:t xml:space="preserve">ضات تقع </w:t>
      </w:r>
      <w:r>
        <w:rPr>
          <w:rtl/>
        </w:rPr>
        <w:t>ا</w:t>
      </w:r>
      <w:r w:rsidRPr="00FE4C18">
        <w:rPr>
          <w:rtl/>
        </w:rPr>
        <w:t>لمب</w:t>
      </w:r>
      <w:r>
        <w:rPr>
          <w:rtl/>
        </w:rPr>
        <w:t>ي</w:t>
      </w:r>
      <w:r w:rsidRPr="00FE4C18">
        <w:rPr>
          <w:rtl/>
        </w:rPr>
        <w:t>ضات في م</w:t>
      </w:r>
      <w:r>
        <w:rPr>
          <w:rtl/>
        </w:rPr>
        <w:t>ك</w:t>
      </w:r>
      <w:r w:rsidRPr="00FE4C18">
        <w:rPr>
          <w:rtl/>
        </w:rPr>
        <w:t xml:space="preserve">انها </w:t>
      </w:r>
      <w:r>
        <w:rPr>
          <w:rtl/>
        </w:rPr>
        <w:t>ا</w:t>
      </w:r>
      <w:r w:rsidRPr="00FE4C18">
        <w:rPr>
          <w:rtl/>
        </w:rPr>
        <w:t>لطب</w:t>
      </w:r>
      <w:r>
        <w:rPr>
          <w:rtl/>
        </w:rPr>
        <w:t>ي</w:t>
      </w:r>
      <w:r w:rsidRPr="00FE4C18">
        <w:rPr>
          <w:rtl/>
        </w:rPr>
        <w:t>عي عادة</w:t>
      </w:r>
      <w:r w:rsidRPr="007F5B58">
        <w:rPr>
          <w:rtl/>
        </w:rPr>
        <w:t>،</w:t>
      </w:r>
      <w:r>
        <w:rPr>
          <w:rtl/>
        </w:rPr>
        <w:t xml:space="preserve"> و</w:t>
      </w:r>
      <w:r w:rsidRPr="00FE4C18">
        <w:rPr>
          <w:rtl/>
        </w:rPr>
        <w:t xml:space="preserve">تؤدي نشاطاتها </w:t>
      </w:r>
      <w:r>
        <w:rPr>
          <w:rtl/>
        </w:rPr>
        <w:lastRenderedPageBreak/>
        <w:t>ا</w:t>
      </w:r>
      <w:r w:rsidRPr="00FE4C18">
        <w:rPr>
          <w:rtl/>
        </w:rPr>
        <w:t>لطب</w:t>
      </w:r>
      <w:r>
        <w:rPr>
          <w:rtl/>
        </w:rPr>
        <w:t>ي</w:t>
      </w:r>
      <w:r w:rsidRPr="00FE4C18">
        <w:rPr>
          <w:rtl/>
        </w:rPr>
        <w:t>ع</w:t>
      </w:r>
      <w:r>
        <w:rPr>
          <w:rtl/>
        </w:rPr>
        <w:t>يّ</w:t>
      </w:r>
      <w:r w:rsidRPr="00FE4C18">
        <w:rPr>
          <w:rtl/>
        </w:rPr>
        <w:t>ة</w:t>
      </w:r>
      <w:r>
        <w:rPr>
          <w:rtl/>
        </w:rPr>
        <w:t>. و</w:t>
      </w:r>
      <w:r w:rsidRPr="00FE4C18">
        <w:rPr>
          <w:rtl/>
        </w:rPr>
        <w:t xml:space="preserve">في </w:t>
      </w:r>
      <w:r>
        <w:rPr>
          <w:rtl/>
        </w:rPr>
        <w:t>ا</w:t>
      </w:r>
      <w:r w:rsidRPr="00FE4C18">
        <w:rPr>
          <w:rtl/>
        </w:rPr>
        <w:t>لنها</w:t>
      </w:r>
      <w:r>
        <w:rPr>
          <w:rtl/>
        </w:rPr>
        <w:t>ي</w:t>
      </w:r>
      <w:r w:rsidRPr="00FE4C18">
        <w:rPr>
          <w:rtl/>
        </w:rPr>
        <w:t xml:space="preserve">ة </w:t>
      </w:r>
      <w:r>
        <w:rPr>
          <w:rtl/>
        </w:rPr>
        <w:t>ي</w:t>
      </w:r>
      <w:r w:rsidRPr="00FE4C18">
        <w:rPr>
          <w:rtl/>
        </w:rPr>
        <w:t>ستط</w:t>
      </w:r>
      <w:r>
        <w:rPr>
          <w:rtl/>
        </w:rPr>
        <w:t>ي</w:t>
      </w:r>
      <w:r w:rsidRPr="00FE4C18">
        <w:rPr>
          <w:rtl/>
        </w:rPr>
        <w:t xml:space="preserve">ع </w:t>
      </w:r>
      <w:r>
        <w:rPr>
          <w:rtl/>
        </w:rPr>
        <w:t>ا</w:t>
      </w:r>
      <w:r w:rsidRPr="00FE4C18">
        <w:rPr>
          <w:rtl/>
        </w:rPr>
        <w:t>لطب</w:t>
      </w:r>
      <w:r>
        <w:rPr>
          <w:rtl/>
        </w:rPr>
        <w:t>ي</w:t>
      </w:r>
      <w:r w:rsidRPr="00FE4C18">
        <w:rPr>
          <w:rtl/>
        </w:rPr>
        <w:t xml:space="preserve">ب أخذ </w:t>
      </w:r>
      <w:r>
        <w:rPr>
          <w:rtl/>
        </w:rPr>
        <w:t>ا</w:t>
      </w:r>
      <w:r w:rsidRPr="00FE4C18">
        <w:rPr>
          <w:rtl/>
        </w:rPr>
        <w:t>لبو</w:t>
      </w:r>
      <w:r>
        <w:rPr>
          <w:rtl/>
        </w:rPr>
        <w:t>ي</w:t>
      </w:r>
      <w:r w:rsidRPr="00FE4C18">
        <w:rPr>
          <w:rtl/>
        </w:rPr>
        <w:t xml:space="preserve">ضة من </w:t>
      </w:r>
      <w:r>
        <w:rPr>
          <w:rtl/>
        </w:rPr>
        <w:t>ا</w:t>
      </w:r>
      <w:r w:rsidRPr="00FE4C18">
        <w:rPr>
          <w:rtl/>
        </w:rPr>
        <w:t>ل</w:t>
      </w:r>
      <w:r>
        <w:rPr>
          <w:rtl/>
        </w:rPr>
        <w:t>أ</w:t>
      </w:r>
      <w:r w:rsidRPr="00FE4C18">
        <w:rPr>
          <w:rtl/>
        </w:rPr>
        <w:t>م</w:t>
      </w:r>
      <w:r>
        <w:rPr>
          <w:rtl/>
        </w:rPr>
        <w:t xml:space="preserve"> </w:t>
      </w:r>
      <w:r w:rsidRPr="00006F79">
        <w:rPr>
          <w:rFonts w:cs="Badr"/>
          <w:sz w:val="27"/>
          <w:rtl/>
        </w:rPr>
        <w:t>وال</w:t>
      </w:r>
      <w:r>
        <w:rPr>
          <w:rFonts w:cs="Badr" w:hint="cs"/>
          <w:sz w:val="27"/>
          <w:rtl/>
        </w:rPr>
        <w:t>إ</w:t>
      </w:r>
      <w:r w:rsidRPr="00006F79">
        <w:rPr>
          <w:rFonts w:cs="Badr"/>
          <w:sz w:val="27"/>
          <w:rtl/>
        </w:rPr>
        <w:t>سپرم</w:t>
      </w:r>
      <w:r w:rsidRPr="00FE4C18">
        <w:rPr>
          <w:rtl/>
        </w:rPr>
        <w:t xml:space="preserve"> من </w:t>
      </w:r>
      <w:r>
        <w:rPr>
          <w:rtl/>
        </w:rPr>
        <w:t>الأب</w:t>
      </w:r>
      <w:r w:rsidRPr="007F5B58">
        <w:rPr>
          <w:rtl/>
        </w:rPr>
        <w:t>،</w:t>
      </w:r>
      <w:r w:rsidRPr="00FE4C18">
        <w:rPr>
          <w:rtl/>
        </w:rPr>
        <w:t xml:space="preserve"> ثمّ </w:t>
      </w:r>
      <w:r>
        <w:rPr>
          <w:rtl/>
        </w:rPr>
        <w:t>ي</w:t>
      </w:r>
      <w:r w:rsidRPr="00FE4C18">
        <w:rPr>
          <w:rtl/>
        </w:rPr>
        <w:t>قوم بعمل</w:t>
      </w:r>
      <w:r>
        <w:rPr>
          <w:rtl/>
        </w:rPr>
        <w:t>يّ</w:t>
      </w:r>
      <w:r w:rsidRPr="00FE4C18">
        <w:rPr>
          <w:rtl/>
        </w:rPr>
        <w:t xml:space="preserve">ة </w:t>
      </w:r>
      <w:r>
        <w:rPr>
          <w:rtl/>
        </w:rPr>
        <w:t>ا</w:t>
      </w:r>
      <w:r w:rsidRPr="00FE4C18">
        <w:rPr>
          <w:rtl/>
        </w:rPr>
        <w:t>لتلق</w:t>
      </w:r>
      <w:r>
        <w:rPr>
          <w:rtl/>
        </w:rPr>
        <w:t>ي</w:t>
      </w:r>
      <w:r w:rsidRPr="00FE4C18">
        <w:rPr>
          <w:rtl/>
        </w:rPr>
        <w:t xml:space="preserve">ح في </w:t>
      </w:r>
      <w:r>
        <w:rPr>
          <w:rtl/>
        </w:rPr>
        <w:t>ا</w:t>
      </w:r>
      <w:r w:rsidRPr="00FE4C18">
        <w:rPr>
          <w:rtl/>
        </w:rPr>
        <w:t xml:space="preserve">لظروف </w:t>
      </w:r>
      <w:r>
        <w:rPr>
          <w:rtl/>
        </w:rPr>
        <w:t>ا</w:t>
      </w:r>
      <w:r w:rsidRPr="00FE4C18">
        <w:rPr>
          <w:rtl/>
        </w:rPr>
        <w:t>لمختبر</w:t>
      </w:r>
      <w:r>
        <w:rPr>
          <w:rtl/>
        </w:rPr>
        <w:t>يّ</w:t>
      </w:r>
      <w:r w:rsidRPr="00FE4C18">
        <w:rPr>
          <w:rtl/>
        </w:rPr>
        <w:t>ة</w:t>
      </w:r>
      <w:r w:rsidRPr="007F5B58">
        <w:rPr>
          <w:rtl/>
        </w:rPr>
        <w:t>،</w:t>
      </w:r>
      <w:r>
        <w:rPr>
          <w:rtl/>
        </w:rPr>
        <w:t xml:space="preserve"> وي</w:t>
      </w:r>
      <w:r w:rsidRPr="00FE4C18">
        <w:rPr>
          <w:rtl/>
        </w:rPr>
        <w:t xml:space="preserve">ضع </w:t>
      </w:r>
      <w:r>
        <w:rPr>
          <w:rtl/>
        </w:rPr>
        <w:t>ا</w:t>
      </w:r>
      <w:r w:rsidRPr="00FE4C18">
        <w:rPr>
          <w:rtl/>
        </w:rPr>
        <w:t>لجن</w:t>
      </w:r>
      <w:r>
        <w:rPr>
          <w:rtl/>
        </w:rPr>
        <w:t>ي</w:t>
      </w:r>
      <w:r w:rsidRPr="00FE4C18">
        <w:rPr>
          <w:rtl/>
        </w:rPr>
        <w:t xml:space="preserve">ن </w:t>
      </w:r>
      <w:r>
        <w:rPr>
          <w:rtl/>
        </w:rPr>
        <w:t>ا</w:t>
      </w:r>
      <w:r w:rsidRPr="00FE4C18">
        <w:rPr>
          <w:rtl/>
        </w:rPr>
        <w:t>لمت</w:t>
      </w:r>
      <w:r>
        <w:rPr>
          <w:rtl/>
        </w:rPr>
        <w:t>ك</w:t>
      </w:r>
      <w:r w:rsidRPr="00FE4C18">
        <w:rPr>
          <w:rtl/>
        </w:rPr>
        <w:t>وّ</w:t>
      </w:r>
      <w:r>
        <w:rPr>
          <w:rtl/>
        </w:rPr>
        <w:t>ِ</w:t>
      </w:r>
      <w:r w:rsidRPr="00FE4C18">
        <w:rPr>
          <w:rtl/>
        </w:rPr>
        <w:t>ن في رحم امرأة أخر</w:t>
      </w:r>
      <w:r>
        <w:rPr>
          <w:rtl/>
        </w:rPr>
        <w:t>ى</w:t>
      </w:r>
      <w:r w:rsidRPr="00815C4C">
        <w:rPr>
          <w:rFonts w:cs="Taher"/>
          <w:vertAlign w:val="superscript"/>
          <w:rtl/>
        </w:rPr>
        <w:t>(</w:t>
      </w:r>
      <w:r w:rsidRPr="00815C4C">
        <w:rPr>
          <w:rFonts w:cs="Taher"/>
          <w:vertAlign w:val="superscript"/>
          <w:rtl/>
        </w:rPr>
        <w:footnoteReference w:id="869"/>
      </w:r>
      <w:r w:rsidRPr="00815C4C">
        <w:rPr>
          <w:rFonts w:cs="Taher"/>
          <w:vertAlign w:val="superscript"/>
          <w:rtl/>
        </w:rPr>
        <w:t>)</w:t>
      </w:r>
      <w:r>
        <w:rPr>
          <w:rtl/>
        </w:rPr>
        <w:t xml:space="preserve">. </w:t>
      </w:r>
    </w:p>
    <w:p w:rsidR="00391A35" w:rsidRPr="0029383C" w:rsidRDefault="00391A35" w:rsidP="00391A35">
      <w:pPr>
        <w:pStyle w:val="ac"/>
        <w:rPr>
          <w:rtl/>
        </w:rPr>
      </w:pPr>
      <w:r w:rsidRPr="0029383C">
        <w:rPr>
          <w:rtl/>
        </w:rPr>
        <w:t>ومن الموارد العامة للاستفادة من رحم امرأة أخر</w:t>
      </w:r>
      <w:r>
        <w:rPr>
          <w:rFonts w:hint="cs"/>
          <w:rtl/>
        </w:rPr>
        <w:t>ى</w:t>
      </w:r>
      <w:r w:rsidRPr="0029383C">
        <w:rPr>
          <w:rtl/>
        </w:rPr>
        <w:t xml:space="preserve"> في طريقة التلقيح خارج الرحم</w:t>
      </w:r>
      <w:r w:rsidRPr="007F5B58">
        <w:rPr>
          <w:rtl/>
        </w:rPr>
        <w:t>:</w:t>
      </w:r>
      <w:r w:rsidRPr="0029383C">
        <w:rPr>
          <w:rtl/>
        </w:rPr>
        <w:t xml:space="preserve"> </w:t>
      </w:r>
    </w:p>
    <w:p w:rsidR="00391A35" w:rsidRPr="00FE4C18" w:rsidRDefault="00391A35" w:rsidP="00391A35">
      <w:pPr>
        <w:pStyle w:val="ac"/>
        <w:rPr>
          <w:rtl/>
        </w:rPr>
      </w:pPr>
      <w:r w:rsidRPr="00FE4C18">
        <w:rPr>
          <w:rtl/>
        </w:rPr>
        <w:t>1</w:t>
      </w:r>
      <w:r>
        <w:rPr>
          <w:rtl/>
        </w:rPr>
        <w:t>ـ</w:t>
      </w:r>
      <w:r w:rsidRPr="00FE4C18">
        <w:rPr>
          <w:rtl/>
        </w:rPr>
        <w:t xml:space="preserve"> فقدان </w:t>
      </w:r>
      <w:r>
        <w:rPr>
          <w:rtl/>
        </w:rPr>
        <w:t>ا</w:t>
      </w:r>
      <w:r w:rsidRPr="00FE4C18">
        <w:rPr>
          <w:rtl/>
        </w:rPr>
        <w:t xml:space="preserve">لرحم منذ </w:t>
      </w:r>
      <w:r>
        <w:rPr>
          <w:rtl/>
        </w:rPr>
        <w:t>ا</w:t>
      </w:r>
      <w:r w:rsidRPr="00FE4C18">
        <w:rPr>
          <w:rtl/>
        </w:rPr>
        <w:t>لولادة</w:t>
      </w:r>
      <w:r>
        <w:rPr>
          <w:rtl/>
        </w:rPr>
        <w:t>.</w:t>
      </w:r>
      <w:r w:rsidRPr="00FE4C18">
        <w:rPr>
          <w:rtl/>
        </w:rPr>
        <w:t xml:space="preserve"> </w:t>
      </w:r>
    </w:p>
    <w:p w:rsidR="00391A35" w:rsidRPr="00FE4C18" w:rsidRDefault="00391A35" w:rsidP="00391A35">
      <w:pPr>
        <w:pStyle w:val="ac"/>
        <w:rPr>
          <w:rtl/>
        </w:rPr>
      </w:pPr>
      <w:r w:rsidRPr="00FE4C18">
        <w:rPr>
          <w:rtl/>
        </w:rPr>
        <w:t>2</w:t>
      </w:r>
      <w:r>
        <w:rPr>
          <w:rtl/>
        </w:rPr>
        <w:t>ـ</w:t>
      </w:r>
      <w:r w:rsidRPr="00FE4C18">
        <w:rPr>
          <w:rtl/>
        </w:rPr>
        <w:t xml:space="preserve"> </w:t>
      </w:r>
      <w:r>
        <w:rPr>
          <w:rtl/>
        </w:rPr>
        <w:t>إ</w:t>
      </w:r>
      <w:r w:rsidRPr="00FE4C18">
        <w:rPr>
          <w:rtl/>
        </w:rPr>
        <w:t>زالة الرحم بعمل</w:t>
      </w:r>
      <w:r>
        <w:rPr>
          <w:rtl/>
        </w:rPr>
        <w:t>يّ</w:t>
      </w:r>
      <w:r w:rsidRPr="00FE4C18">
        <w:rPr>
          <w:rtl/>
        </w:rPr>
        <w:t>ة</w:t>
      </w:r>
      <w:r>
        <w:rPr>
          <w:rtl/>
        </w:rPr>
        <w:t xml:space="preserve"> </w:t>
      </w:r>
      <w:r w:rsidRPr="00FE4C18">
        <w:rPr>
          <w:rtl/>
        </w:rPr>
        <w:t>جراح</w:t>
      </w:r>
      <w:r>
        <w:rPr>
          <w:rtl/>
        </w:rPr>
        <w:t>يّ</w:t>
      </w:r>
      <w:r w:rsidRPr="00FE4C18">
        <w:rPr>
          <w:rtl/>
        </w:rPr>
        <w:t>ة</w:t>
      </w:r>
      <w:r>
        <w:rPr>
          <w:rtl/>
        </w:rPr>
        <w:t xml:space="preserve"> </w:t>
      </w:r>
      <w:r w:rsidRPr="00FE4C18">
        <w:rPr>
          <w:rtl/>
        </w:rPr>
        <w:t>(ه</w:t>
      </w:r>
      <w:r>
        <w:rPr>
          <w:rtl/>
        </w:rPr>
        <w:t>ي</w:t>
      </w:r>
      <w:r w:rsidRPr="00FE4C18">
        <w:rPr>
          <w:rtl/>
        </w:rPr>
        <w:t>ست</w:t>
      </w:r>
      <w:r>
        <w:rPr>
          <w:rtl/>
        </w:rPr>
        <w:t>ي</w:t>
      </w:r>
      <w:r w:rsidRPr="00FE4C18">
        <w:rPr>
          <w:rtl/>
        </w:rPr>
        <w:t>ر</w:t>
      </w:r>
      <w:r>
        <w:rPr>
          <w:rtl/>
        </w:rPr>
        <w:t>ك</w:t>
      </w:r>
      <w:r w:rsidRPr="00FE4C18">
        <w:rPr>
          <w:rtl/>
        </w:rPr>
        <w:t>تومي)</w:t>
      </w:r>
      <w:r>
        <w:rPr>
          <w:rtl/>
        </w:rPr>
        <w:t>.</w:t>
      </w:r>
      <w:r w:rsidRPr="00FE4C18">
        <w:rPr>
          <w:rtl/>
        </w:rPr>
        <w:t xml:space="preserve"> </w:t>
      </w:r>
    </w:p>
    <w:p w:rsidR="00391A35" w:rsidRPr="00FE4C18" w:rsidRDefault="00391A35" w:rsidP="00391A35">
      <w:pPr>
        <w:pStyle w:val="ac"/>
        <w:rPr>
          <w:rtl/>
        </w:rPr>
      </w:pPr>
      <w:r w:rsidRPr="00FE4C18">
        <w:rPr>
          <w:rtl/>
        </w:rPr>
        <w:t>3</w:t>
      </w:r>
      <w:r>
        <w:rPr>
          <w:rtl/>
        </w:rPr>
        <w:t>ـ</w:t>
      </w:r>
      <w:r w:rsidRPr="00FE4C18">
        <w:rPr>
          <w:rtl/>
        </w:rPr>
        <w:t xml:space="preserve"> </w:t>
      </w:r>
      <w:r>
        <w:rPr>
          <w:rtl/>
        </w:rPr>
        <w:t>ج</w:t>
      </w:r>
      <w:r w:rsidRPr="00FE4C18">
        <w:rPr>
          <w:rtl/>
        </w:rPr>
        <w:t>را</w:t>
      </w:r>
      <w:r>
        <w:rPr>
          <w:rtl/>
        </w:rPr>
        <w:t>ح</w:t>
      </w:r>
      <w:r w:rsidRPr="00FE4C18">
        <w:rPr>
          <w:rtl/>
        </w:rPr>
        <w:t xml:space="preserve">ة </w:t>
      </w:r>
      <w:r>
        <w:rPr>
          <w:rtl/>
        </w:rPr>
        <w:t>ا</w:t>
      </w:r>
      <w:r w:rsidRPr="00FE4C18">
        <w:rPr>
          <w:rtl/>
        </w:rPr>
        <w:t>لرحم (</w:t>
      </w:r>
      <w:r>
        <w:rPr>
          <w:rtl/>
        </w:rPr>
        <w:t>ك</w:t>
      </w:r>
      <w:r w:rsidRPr="00FE4C18">
        <w:rPr>
          <w:rtl/>
        </w:rPr>
        <w:t>ارس</w:t>
      </w:r>
      <w:r>
        <w:rPr>
          <w:rtl/>
        </w:rPr>
        <w:t>ي</w:t>
      </w:r>
      <w:r w:rsidRPr="00FE4C18">
        <w:rPr>
          <w:rtl/>
        </w:rPr>
        <w:t>نوم)</w:t>
      </w:r>
      <w:r>
        <w:rPr>
          <w:rtl/>
        </w:rPr>
        <w:t>.</w:t>
      </w:r>
      <w:r w:rsidRPr="00FE4C18">
        <w:rPr>
          <w:rtl/>
        </w:rPr>
        <w:t xml:space="preserve"> </w:t>
      </w:r>
    </w:p>
    <w:p w:rsidR="00391A35" w:rsidRPr="00FE4C18" w:rsidRDefault="00391A35" w:rsidP="00391A35">
      <w:pPr>
        <w:pStyle w:val="ac"/>
        <w:rPr>
          <w:rtl/>
        </w:rPr>
      </w:pPr>
      <w:r w:rsidRPr="00FE4C18">
        <w:rPr>
          <w:rtl/>
        </w:rPr>
        <w:t>4</w:t>
      </w:r>
      <w:r>
        <w:rPr>
          <w:rtl/>
        </w:rPr>
        <w:t>ـ</w:t>
      </w:r>
      <w:r w:rsidRPr="00FE4C18">
        <w:rPr>
          <w:rtl/>
        </w:rPr>
        <w:t xml:space="preserve"> نز</w:t>
      </w:r>
      <w:r>
        <w:rPr>
          <w:rtl/>
        </w:rPr>
        <w:t>ي</w:t>
      </w:r>
      <w:r w:rsidRPr="00FE4C18">
        <w:rPr>
          <w:rtl/>
        </w:rPr>
        <w:t xml:space="preserve">ف </w:t>
      </w:r>
      <w:r>
        <w:rPr>
          <w:rtl/>
        </w:rPr>
        <w:t>ا</w:t>
      </w:r>
      <w:r w:rsidRPr="00FE4C18">
        <w:rPr>
          <w:rtl/>
        </w:rPr>
        <w:t xml:space="preserve">لرحم </w:t>
      </w:r>
      <w:r>
        <w:rPr>
          <w:rtl/>
        </w:rPr>
        <w:t>ا</w:t>
      </w:r>
      <w:r w:rsidRPr="00FE4C18">
        <w:rPr>
          <w:rtl/>
        </w:rPr>
        <w:t>لشد</w:t>
      </w:r>
      <w:r>
        <w:rPr>
          <w:rtl/>
        </w:rPr>
        <w:t>ي</w:t>
      </w:r>
      <w:r w:rsidRPr="00FE4C18">
        <w:rPr>
          <w:rtl/>
        </w:rPr>
        <w:t xml:space="preserve">د أو </w:t>
      </w:r>
      <w:r>
        <w:rPr>
          <w:rtl/>
        </w:rPr>
        <w:t>ا</w:t>
      </w:r>
      <w:r w:rsidRPr="00FE4C18">
        <w:rPr>
          <w:rtl/>
        </w:rPr>
        <w:t xml:space="preserve">لرحم </w:t>
      </w:r>
      <w:r>
        <w:rPr>
          <w:rtl/>
        </w:rPr>
        <w:t>ا</w:t>
      </w:r>
      <w:r w:rsidRPr="00FE4C18">
        <w:rPr>
          <w:rtl/>
        </w:rPr>
        <w:t xml:space="preserve">لممزّق </w:t>
      </w:r>
      <w:r>
        <w:rPr>
          <w:rtl/>
        </w:rPr>
        <w:t>(</w:t>
      </w:r>
      <w:r w:rsidRPr="00FE4C18">
        <w:rPr>
          <w:rtl/>
        </w:rPr>
        <w:t>المع</w:t>
      </w:r>
      <w:r>
        <w:rPr>
          <w:rtl/>
        </w:rPr>
        <w:t>ي</w:t>
      </w:r>
      <w:r w:rsidRPr="00FE4C18">
        <w:rPr>
          <w:rtl/>
        </w:rPr>
        <w:t>ب)</w:t>
      </w:r>
      <w:r>
        <w:rPr>
          <w:rtl/>
        </w:rPr>
        <w:t>.</w:t>
      </w:r>
    </w:p>
    <w:p w:rsidR="00391A35" w:rsidRPr="00FE4C18" w:rsidRDefault="00391A35" w:rsidP="00391A35">
      <w:pPr>
        <w:pStyle w:val="ac"/>
        <w:rPr>
          <w:rtl/>
        </w:rPr>
      </w:pPr>
      <w:r w:rsidRPr="00FE4C18">
        <w:rPr>
          <w:rtl/>
        </w:rPr>
        <w:t>5</w:t>
      </w:r>
      <w:r>
        <w:rPr>
          <w:rtl/>
        </w:rPr>
        <w:t>ـ</w:t>
      </w:r>
      <w:r w:rsidRPr="00FE4C18">
        <w:rPr>
          <w:rtl/>
        </w:rPr>
        <w:t xml:space="preserve"> المر</w:t>
      </w:r>
      <w:r>
        <w:rPr>
          <w:rtl/>
        </w:rPr>
        <w:t>ي</w:t>
      </w:r>
      <w:r w:rsidRPr="00FE4C18">
        <w:rPr>
          <w:rtl/>
        </w:rPr>
        <w:t xml:space="preserve">ضات </w:t>
      </w:r>
      <w:r>
        <w:rPr>
          <w:rtl/>
        </w:rPr>
        <w:t>ا</w:t>
      </w:r>
      <w:r w:rsidRPr="00FE4C18">
        <w:rPr>
          <w:rtl/>
        </w:rPr>
        <w:t xml:space="preserve">للاتي </w:t>
      </w:r>
      <w:r>
        <w:rPr>
          <w:rtl/>
        </w:rPr>
        <w:t>ي</w:t>
      </w:r>
      <w:r w:rsidRPr="00FE4C18">
        <w:rPr>
          <w:rtl/>
        </w:rPr>
        <w:t>جهضن بش</w:t>
      </w:r>
      <w:r>
        <w:rPr>
          <w:rtl/>
        </w:rPr>
        <w:t>ك</w:t>
      </w:r>
      <w:r w:rsidRPr="00FE4C18">
        <w:rPr>
          <w:rtl/>
        </w:rPr>
        <w:t>ل دائم</w:t>
      </w:r>
      <w:r>
        <w:rPr>
          <w:rtl/>
        </w:rPr>
        <w:t>.</w:t>
      </w:r>
      <w:r w:rsidRPr="00FE4C18">
        <w:rPr>
          <w:rtl/>
        </w:rPr>
        <w:t xml:space="preserve"> </w:t>
      </w:r>
    </w:p>
    <w:p w:rsidR="00391A35" w:rsidRPr="00FE4C18" w:rsidRDefault="00391A35" w:rsidP="00391A35">
      <w:pPr>
        <w:pStyle w:val="ac"/>
        <w:rPr>
          <w:rtl/>
        </w:rPr>
      </w:pPr>
      <w:r w:rsidRPr="00FE4C18">
        <w:rPr>
          <w:rtl/>
        </w:rPr>
        <w:t>6</w:t>
      </w:r>
      <w:r>
        <w:rPr>
          <w:rtl/>
        </w:rPr>
        <w:t>ـ</w:t>
      </w:r>
      <w:r w:rsidRPr="00FE4C18">
        <w:rPr>
          <w:rtl/>
        </w:rPr>
        <w:t xml:space="preserve"> المر</w:t>
      </w:r>
      <w:r>
        <w:rPr>
          <w:rtl/>
        </w:rPr>
        <w:t>ي</w:t>
      </w:r>
      <w:r w:rsidRPr="00FE4C18">
        <w:rPr>
          <w:rtl/>
        </w:rPr>
        <w:t xml:space="preserve">ضات </w:t>
      </w:r>
      <w:r>
        <w:rPr>
          <w:rtl/>
        </w:rPr>
        <w:t>ا</w:t>
      </w:r>
      <w:r w:rsidRPr="00FE4C18">
        <w:rPr>
          <w:rtl/>
        </w:rPr>
        <w:t>للاتي لا</w:t>
      </w:r>
      <w:r>
        <w:rPr>
          <w:rtl/>
        </w:rPr>
        <w:t xml:space="preserve"> تـن</w:t>
      </w:r>
      <w:r w:rsidRPr="00FE4C18">
        <w:rPr>
          <w:rtl/>
        </w:rPr>
        <w:t xml:space="preserve">جح </w:t>
      </w:r>
      <w:r>
        <w:rPr>
          <w:rtl/>
        </w:rPr>
        <w:t>عندهن</w:t>
      </w:r>
      <w:r w:rsidRPr="00FE4C18">
        <w:rPr>
          <w:rtl/>
        </w:rPr>
        <w:t xml:space="preserve"> عمل</w:t>
      </w:r>
      <w:r>
        <w:rPr>
          <w:rtl/>
        </w:rPr>
        <w:t>يّ</w:t>
      </w:r>
      <w:r w:rsidRPr="00FE4C18">
        <w:rPr>
          <w:rtl/>
        </w:rPr>
        <w:t>ة</w:t>
      </w:r>
      <w:r>
        <w:rPr>
          <w:rtl/>
        </w:rPr>
        <w:t xml:space="preserve"> </w:t>
      </w:r>
      <w:r w:rsidRPr="00FE4C18">
        <w:rPr>
          <w:rtl/>
        </w:rPr>
        <w:t xml:space="preserve">وضع </w:t>
      </w:r>
      <w:r>
        <w:rPr>
          <w:rtl/>
        </w:rPr>
        <w:t>ا</w:t>
      </w:r>
      <w:r w:rsidRPr="00FE4C18">
        <w:rPr>
          <w:rtl/>
        </w:rPr>
        <w:t>لخل</w:t>
      </w:r>
      <w:r>
        <w:rPr>
          <w:rtl/>
        </w:rPr>
        <w:t>يّ</w:t>
      </w:r>
      <w:r w:rsidRPr="00FE4C18">
        <w:rPr>
          <w:rtl/>
        </w:rPr>
        <w:t>ة</w:t>
      </w:r>
      <w:r>
        <w:rPr>
          <w:rtl/>
        </w:rPr>
        <w:t xml:space="preserve"> ا</w:t>
      </w:r>
      <w:r w:rsidRPr="00FE4C18">
        <w:rPr>
          <w:rtl/>
        </w:rPr>
        <w:t>لم</w:t>
      </w:r>
      <w:r>
        <w:rPr>
          <w:rtl/>
        </w:rPr>
        <w:t>ك</w:t>
      </w:r>
      <w:r w:rsidRPr="00FE4C18">
        <w:rPr>
          <w:rtl/>
        </w:rPr>
        <w:t xml:space="preserve">رّر في </w:t>
      </w:r>
      <w:r>
        <w:rPr>
          <w:rtl/>
        </w:rPr>
        <w:t>ا</w:t>
      </w:r>
      <w:r w:rsidRPr="00FE4C18">
        <w:rPr>
          <w:rtl/>
        </w:rPr>
        <w:t>لرحم بعد</w:t>
      </w:r>
      <w:r w:rsidRPr="00FE4C18">
        <w:t>IVF</w:t>
      </w:r>
      <w:r>
        <w:rPr>
          <w:rtl/>
        </w:rPr>
        <w:t>.</w:t>
      </w:r>
      <w:r w:rsidRPr="00FE4C18">
        <w:rPr>
          <w:rtl/>
        </w:rPr>
        <w:t xml:space="preserve"> </w:t>
      </w:r>
    </w:p>
    <w:p w:rsidR="00391A35" w:rsidRPr="00FE4C18" w:rsidRDefault="00391A35" w:rsidP="00391A35">
      <w:pPr>
        <w:pStyle w:val="ac"/>
        <w:rPr>
          <w:rtl/>
        </w:rPr>
      </w:pPr>
      <w:r w:rsidRPr="00FE4C18">
        <w:rPr>
          <w:rtl/>
        </w:rPr>
        <w:t>7</w:t>
      </w:r>
      <w:r>
        <w:rPr>
          <w:rtl/>
        </w:rPr>
        <w:t>ـ</w:t>
      </w:r>
      <w:r w:rsidRPr="00FE4C18">
        <w:rPr>
          <w:rtl/>
        </w:rPr>
        <w:t xml:space="preserve"> الحالات </w:t>
      </w:r>
      <w:r>
        <w:rPr>
          <w:rtl/>
        </w:rPr>
        <w:t>ا</w:t>
      </w:r>
      <w:r w:rsidRPr="00FE4C18">
        <w:rPr>
          <w:rtl/>
        </w:rPr>
        <w:t>لطب</w:t>
      </w:r>
      <w:r>
        <w:rPr>
          <w:rtl/>
        </w:rPr>
        <w:t>ي</w:t>
      </w:r>
      <w:r w:rsidRPr="00FE4C18">
        <w:rPr>
          <w:rtl/>
        </w:rPr>
        <w:t xml:space="preserve">ة </w:t>
      </w:r>
      <w:r>
        <w:rPr>
          <w:rtl/>
        </w:rPr>
        <w:t>ا</w:t>
      </w:r>
      <w:r w:rsidRPr="00FE4C18">
        <w:rPr>
          <w:rtl/>
        </w:rPr>
        <w:t xml:space="preserve">لتي تورث </w:t>
      </w:r>
      <w:r>
        <w:rPr>
          <w:rtl/>
        </w:rPr>
        <w:t>ا</w:t>
      </w:r>
      <w:r w:rsidRPr="00FE4C18">
        <w:rPr>
          <w:rtl/>
        </w:rPr>
        <w:t xml:space="preserve">لخصوبة </w:t>
      </w:r>
      <w:r>
        <w:rPr>
          <w:rtl/>
        </w:rPr>
        <w:t>ا</w:t>
      </w:r>
      <w:r w:rsidRPr="00FE4C18">
        <w:rPr>
          <w:rtl/>
        </w:rPr>
        <w:t>لخطرة</w:t>
      </w:r>
      <w:r>
        <w:rPr>
          <w:rtl/>
        </w:rPr>
        <w:t>.</w:t>
      </w:r>
      <w:r w:rsidRPr="00FE4C18">
        <w:rPr>
          <w:rtl/>
        </w:rPr>
        <w:t xml:space="preserve"> </w:t>
      </w:r>
    </w:p>
    <w:p w:rsidR="00391A35" w:rsidRPr="00FE4C18" w:rsidRDefault="00391A35" w:rsidP="00391A35">
      <w:pPr>
        <w:pStyle w:val="ac"/>
        <w:rPr>
          <w:rtl/>
        </w:rPr>
      </w:pPr>
      <w:r w:rsidRPr="00FE4C18">
        <w:rPr>
          <w:rtl/>
        </w:rPr>
        <w:t>8</w:t>
      </w:r>
      <w:r>
        <w:rPr>
          <w:rtl/>
        </w:rPr>
        <w:t>ـ</w:t>
      </w:r>
      <w:r w:rsidRPr="00FE4C18">
        <w:rPr>
          <w:rtl/>
        </w:rPr>
        <w:t xml:space="preserve"> المر</w:t>
      </w:r>
      <w:r>
        <w:rPr>
          <w:rtl/>
        </w:rPr>
        <w:t>ي</w:t>
      </w:r>
      <w:r w:rsidRPr="00FE4C18">
        <w:rPr>
          <w:rtl/>
        </w:rPr>
        <w:t xml:space="preserve">ضات </w:t>
      </w:r>
      <w:r>
        <w:rPr>
          <w:rtl/>
        </w:rPr>
        <w:t>ا</w:t>
      </w:r>
      <w:r w:rsidRPr="00FE4C18">
        <w:rPr>
          <w:rtl/>
        </w:rPr>
        <w:t xml:space="preserve">للاتي </w:t>
      </w:r>
      <w:r>
        <w:rPr>
          <w:rtl/>
        </w:rPr>
        <w:t>ي</w:t>
      </w:r>
      <w:r w:rsidRPr="00FE4C18">
        <w:rPr>
          <w:rtl/>
        </w:rPr>
        <w:t xml:space="preserve">نتجنَ </w:t>
      </w:r>
      <w:r>
        <w:rPr>
          <w:rtl/>
        </w:rPr>
        <w:t>ا</w:t>
      </w:r>
      <w:r w:rsidRPr="00FE4C18">
        <w:rPr>
          <w:rtl/>
        </w:rPr>
        <w:t>لبو</w:t>
      </w:r>
      <w:r>
        <w:rPr>
          <w:rtl/>
        </w:rPr>
        <w:t>ي</w:t>
      </w:r>
      <w:r w:rsidRPr="00FE4C18">
        <w:rPr>
          <w:rtl/>
        </w:rPr>
        <w:t xml:space="preserve">ضات </w:t>
      </w:r>
      <w:r>
        <w:rPr>
          <w:rtl/>
        </w:rPr>
        <w:t>ا</w:t>
      </w:r>
      <w:r w:rsidRPr="00FE4C18">
        <w:rPr>
          <w:rtl/>
        </w:rPr>
        <w:t xml:space="preserve">لناضجة </w:t>
      </w:r>
      <w:r>
        <w:rPr>
          <w:rtl/>
        </w:rPr>
        <w:t>ا</w:t>
      </w:r>
      <w:r w:rsidRPr="00FE4C18">
        <w:rPr>
          <w:rtl/>
        </w:rPr>
        <w:t>لبالغة للتلق</w:t>
      </w:r>
      <w:r>
        <w:rPr>
          <w:rtl/>
        </w:rPr>
        <w:t>ي</w:t>
      </w:r>
      <w:r w:rsidRPr="00FE4C18">
        <w:rPr>
          <w:rtl/>
        </w:rPr>
        <w:t>ح</w:t>
      </w:r>
      <w:r>
        <w:rPr>
          <w:rFonts w:hint="cs"/>
          <w:rtl/>
        </w:rPr>
        <w:t>،</w:t>
      </w:r>
      <w:r>
        <w:rPr>
          <w:rtl/>
        </w:rPr>
        <w:t xml:space="preserve"> و</w:t>
      </w:r>
      <w:r w:rsidRPr="00FE4C18">
        <w:rPr>
          <w:rtl/>
        </w:rPr>
        <w:t>ل</w:t>
      </w:r>
      <w:r>
        <w:rPr>
          <w:rtl/>
        </w:rPr>
        <w:t>ك</w:t>
      </w:r>
      <w:r w:rsidRPr="00FE4C18">
        <w:rPr>
          <w:rtl/>
        </w:rPr>
        <w:t xml:space="preserve">ن لا </w:t>
      </w:r>
      <w:r>
        <w:rPr>
          <w:rtl/>
        </w:rPr>
        <w:t>ي</w:t>
      </w:r>
      <w:r w:rsidRPr="00FE4C18">
        <w:rPr>
          <w:rtl/>
        </w:rPr>
        <w:t xml:space="preserve">ستطعنَ </w:t>
      </w:r>
      <w:r>
        <w:rPr>
          <w:rtl/>
        </w:rPr>
        <w:t>ا</w:t>
      </w:r>
      <w:r w:rsidRPr="00FE4C18">
        <w:rPr>
          <w:rtl/>
        </w:rPr>
        <w:t xml:space="preserve">لحمل في </w:t>
      </w:r>
      <w:r>
        <w:rPr>
          <w:rtl/>
        </w:rPr>
        <w:t>ك</w:t>
      </w:r>
      <w:r w:rsidRPr="00FE4C18">
        <w:rPr>
          <w:rtl/>
        </w:rPr>
        <w:t xml:space="preserve">لّ </w:t>
      </w:r>
      <w:r>
        <w:rPr>
          <w:rtl/>
        </w:rPr>
        <w:t>ا</w:t>
      </w:r>
      <w:r w:rsidRPr="00FE4C18">
        <w:rPr>
          <w:rtl/>
        </w:rPr>
        <w:t>لدورة</w:t>
      </w:r>
      <w:r w:rsidRPr="00815C4C">
        <w:rPr>
          <w:rFonts w:cs="Taher"/>
          <w:vertAlign w:val="superscript"/>
          <w:rtl/>
        </w:rPr>
        <w:t>(</w:t>
      </w:r>
      <w:r w:rsidRPr="00815C4C">
        <w:rPr>
          <w:rFonts w:cs="Taher"/>
          <w:vertAlign w:val="superscript"/>
          <w:rtl/>
        </w:rPr>
        <w:footnoteReference w:id="870"/>
      </w:r>
      <w:r w:rsidRPr="00815C4C">
        <w:rPr>
          <w:rFonts w:cs="Taher"/>
          <w:vertAlign w:val="superscript"/>
          <w:rtl/>
        </w:rPr>
        <w:t>)</w:t>
      </w:r>
      <w:r>
        <w:rPr>
          <w:rtl/>
        </w:rPr>
        <w:t>.</w:t>
      </w:r>
    </w:p>
    <w:p w:rsidR="00391A35" w:rsidRDefault="00391A35" w:rsidP="00391A35">
      <w:pPr>
        <w:pStyle w:val="ac"/>
        <w:rPr>
          <w:rtl/>
        </w:rPr>
      </w:pPr>
      <w:r>
        <w:rPr>
          <w:rtl/>
        </w:rPr>
        <w:t>إن ل</w:t>
      </w:r>
      <w:r w:rsidRPr="00FE4C18">
        <w:rPr>
          <w:rtl/>
        </w:rPr>
        <w:t>لاستفادة من رحم امرأة أخر</w:t>
      </w:r>
      <w:r>
        <w:rPr>
          <w:rtl/>
        </w:rPr>
        <w:t xml:space="preserve">ى </w:t>
      </w:r>
      <w:r w:rsidRPr="00FE4C18">
        <w:rPr>
          <w:rtl/>
        </w:rPr>
        <w:t>صور</w:t>
      </w:r>
      <w:r>
        <w:rPr>
          <w:rFonts w:hint="cs"/>
          <w:rtl/>
        </w:rPr>
        <w:t>اً</w:t>
      </w:r>
      <w:r w:rsidRPr="00FE4C18">
        <w:rPr>
          <w:rtl/>
        </w:rPr>
        <w:t xml:space="preserve"> مختلفة</w:t>
      </w:r>
      <w:r w:rsidRPr="007F5B58">
        <w:rPr>
          <w:rtl/>
        </w:rPr>
        <w:t>،</w:t>
      </w:r>
      <w:r w:rsidRPr="00FE4C18">
        <w:rPr>
          <w:rtl/>
        </w:rPr>
        <w:t xml:space="preserve"> </w:t>
      </w:r>
      <w:r>
        <w:rPr>
          <w:rtl/>
        </w:rPr>
        <w:t>و</w:t>
      </w:r>
      <w:r w:rsidRPr="00FE4C18">
        <w:rPr>
          <w:rtl/>
        </w:rPr>
        <w:t>هي</w:t>
      </w:r>
      <w:r w:rsidRPr="007F5B58">
        <w:rPr>
          <w:rtl/>
        </w:rPr>
        <w:t>:</w:t>
      </w:r>
      <w:r w:rsidRPr="00FE4C18">
        <w:rPr>
          <w:rtl/>
        </w:rPr>
        <w:t xml:space="preserve"> </w:t>
      </w:r>
    </w:p>
    <w:p w:rsidR="00391A35" w:rsidRPr="00D063EC" w:rsidRDefault="00391A35" w:rsidP="00D063EC">
      <w:pPr>
        <w:pStyle w:val="afffffc"/>
        <w:rPr>
          <w:sz w:val="24"/>
          <w:szCs w:val="22"/>
          <w:rtl/>
        </w:rPr>
      </w:pPr>
    </w:p>
    <w:p w:rsidR="00391A35" w:rsidRDefault="00391A35" w:rsidP="00D063EC">
      <w:pPr>
        <w:pStyle w:val="1"/>
        <w:spacing w:line="168" w:lineRule="auto"/>
        <w:rPr>
          <w:rtl/>
        </w:rPr>
      </w:pPr>
      <w:bookmarkStart w:id="464" w:name="_Toc275128171"/>
      <w:r>
        <w:rPr>
          <w:rtl/>
        </w:rPr>
        <w:t xml:space="preserve">1ـ </w:t>
      </w:r>
      <w:r w:rsidRPr="00FE4C18">
        <w:rPr>
          <w:rtl/>
        </w:rPr>
        <w:t>الاستفادة من رحم امرأة أخر</w:t>
      </w:r>
      <w:r>
        <w:rPr>
          <w:rtl/>
        </w:rPr>
        <w:t>ى</w:t>
      </w:r>
      <w:r w:rsidRPr="00FE4C18">
        <w:rPr>
          <w:rtl/>
        </w:rPr>
        <w:t xml:space="preserve"> لامرأة غ</w:t>
      </w:r>
      <w:r>
        <w:rPr>
          <w:rtl/>
        </w:rPr>
        <w:t>ي</w:t>
      </w:r>
      <w:r w:rsidRPr="00FE4C18">
        <w:rPr>
          <w:rtl/>
        </w:rPr>
        <w:t>ر قادرة عل</w:t>
      </w:r>
      <w:r>
        <w:rPr>
          <w:rtl/>
        </w:rPr>
        <w:t xml:space="preserve">ى </w:t>
      </w:r>
      <w:r w:rsidRPr="00FE4C18">
        <w:rPr>
          <w:rtl/>
        </w:rPr>
        <w:t xml:space="preserve">إنتاج </w:t>
      </w:r>
      <w:r>
        <w:rPr>
          <w:rtl/>
        </w:rPr>
        <w:t>ا</w:t>
      </w:r>
      <w:r w:rsidRPr="00FE4C18">
        <w:rPr>
          <w:rtl/>
        </w:rPr>
        <w:t>لبو</w:t>
      </w:r>
      <w:r>
        <w:rPr>
          <w:rtl/>
        </w:rPr>
        <w:t>ي</w:t>
      </w:r>
      <w:r w:rsidRPr="00FE4C18">
        <w:rPr>
          <w:rtl/>
        </w:rPr>
        <w:t>ضة (استخدام رحم</w:t>
      </w:r>
      <w:r>
        <w:rPr>
          <w:rtl/>
        </w:rPr>
        <w:t xml:space="preserve"> و</w:t>
      </w:r>
      <w:r w:rsidRPr="00FE4C18">
        <w:rPr>
          <w:rtl/>
        </w:rPr>
        <w:t>مب</w:t>
      </w:r>
      <w:r>
        <w:rPr>
          <w:rtl/>
        </w:rPr>
        <w:t>ي</w:t>
      </w:r>
      <w:r w:rsidRPr="00FE4C18">
        <w:rPr>
          <w:rtl/>
        </w:rPr>
        <w:t>ض امرأة أخر</w:t>
      </w:r>
      <w:r>
        <w:rPr>
          <w:rtl/>
        </w:rPr>
        <w:t>ى</w:t>
      </w:r>
      <w:r w:rsidRPr="00FE4C18">
        <w:rPr>
          <w:rtl/>
        </w:rPr>
        <w:t>)</w:t>
      </w:r>
      <w:bookmarkEnd w:id="464"/>
      <w:r w:rsidRPr="00FE4C18">
        <w:rPr>
          <w:rtl/>
        </w:rPr>
        <w:t xml:space="preserve"> </w:t>
      </w:r>
    </w:p>
    <w:p w:rsidR="00391A35" w:rsidRDefault="00391A35" w:rsidP="00391A35">
      <w:pPr>
        <w:pStyle w:val="ac"/>
        <w:rPr>
          <w:rtl/>
        </w:rPr>
      </w:pPr>
      <w:r w:rsidRPr="00FE4C18">
        <w:rPr>
          <w:rtl/>
        </w:rPr>
        <w:t xml:space="preserve">في هذه </w:t>
      </w:r>
      <w:r>
        <w:rPr>
          <w:rtl/>
        </w:rPr>
        <w:t>ا</w:t>
      </w:r>
      <w:r w:rsidRPr="00FE4C18">
        <w:rPr>
          <w:rtl/>
        </w:rPr>
        <w:t xml:space="preserve">لحالة تتّفق </w:t>
      </w:r>
      <w:r>
        <w:rPr>
          <w:rtl/>
        </w:rPr>
        <w:t>ا</w:t>
      </w:r>
      <w:r w:rsidRPr="00FE4C18">
        <w:rPr>
          <w:rtl/>
        </w:rPr>
        <w:t>مرأة عاقر مع امرأة شابة عمرها أقل من 35 سنة عل</w:t>
      </w:r>
      <w:r>
        <w:rPr>
          <w:rtl/>
        </w:rPr>
        <w:t xml:space="preserve">ى </w:t>
      </w:r>
      <w:r w:rsidRPr="00FE4C18">
        <w:rPr>
          <w:rtl/>
        </w:rPr>
        <w:t xml:space="preserve">أنْ </w:t>
      </w:r>
      <w:r>
        <w:rPr>
          <w:rtl/>
        </w:rPr>
        <w:t>ي</w:t>
      </w:r>
      <w:r w:rsidRPr="00FE4C18">
        <w:rPr>
          <w:rtl/>
        </w:rPr>
        <w:t xml:space="preserve">وضع في </w:t>
      </w:r>
      <w:r>
        <w:rPr>
          <w:rtl/>
        </w:rPr>
        <w:t>ا</w:t>
      </w:r>
      <w:r w:rsidRPr="00FE4C18">
        <w:rPr>
          <w:rtl/>
        </w:rPr>
        <w:t xml:space="preserve">لمختبر </w:t>
      </w:r>
      <w:r w:rsidRPr="00006F79">
        <w:rPr>
          <w:rFonts w:cs="Badr"/>
          <w:sz w:val="27"/>
          <w:rtl/>
        </w:rPr>
        <w:t>إسپرم</w:t>
      </w:r>
      <w:r w:rsidRPr="00FE4C18">
        <w:rPr>
          <w:rtl/>
        </w:rPr>
        <w:t xml:space="preserve"> زوجها داخل مب</w:t>
      </w:r>
      <w:r>
        <w:rPr>
          <w:rtl/>
        </w:rPr>
        <w:t>ي</w:t>
      </w:r>
      <w:r w:rsidRPr="00FE4C18">
        <w:rPr>
          <w:rtl/>
        </w:rPr>
        <w:t xml:space="preserve">ض </w:t>
      </w:r>
      <w:r>
        <w:rPr>
          <w:rtl/>
        </w:rPr>
        <w:t>ا</w:t>
      </w:r>
      <w:r w:rsidRPr="00FE4C18">
        <w:rPr>
          <w:rtl/>
        </w:rPr>
        <w:t xml:space="preserve">لمرأة </w:t>
      </w:r>
      <w:r>
        <w:rPr>
          <w:rtl/>
        </w:rPr>
        <w:t>ا</w:t>
      </w:r>
      <w:r w:rsidRPr="00FE4C18">
        <w:rPr>
          <w:rtl/>
        </w:rPr>
        <w:t>لشابة</w:t>
      </w:r>
      <w:r w:rsidRPr="007F5B58">
        <w:rPr>
          <w:rtl/>
        </w:rPr>
        <w:t>،</w:t>
      </w:r>
      <w:r w:rsidRPr="00FE4C18">
        <w:rPr>
          <w:rtl/>
        </w:rPr>
        <w:t xml:space="preserve"> ثمّ </w:t>
      </w:r>
      <w:r>
        <w:rPr>
          <w:rtl/>
        </w:rPr>
        <w:t>ي</w:t>
      </w:r>
      <w:r w:rsidRPr="00FE4C18">
        <w:rPr>
          <w:rtl/>
        </w:rPr>
        <w:t xml:space="preserve">نقل </w:t>
      </w:r>
      <w:r>
        <w:rPr>
          <w:rtl/>
        </w:rPr>
        <w:t>ا</w:t>
      </w:r>
      <w:r w:rsidRPr="00FE4C18">
        <w:rPr>
          <w:rtl/>
        </w:rPr>
        <w:t>لجن</w:t>
      </w:r>
      <w:r>
        <w:rPr>
          <w:rtl/>
        </w:rPr>
        <w:t>ي</w:t>
      </w:r>
      <w:r w:rsidRPr="00FE4C18">
        <w:rPr>
          <w:rtl/>
        </w:rPr>
        <w:t>ن بعد ت</w:t>
      </w:r>
      <w:r>
        <w:rPr>
          <w:rtl/>
        </w:rPr>
        <w:t>ك</w:t>
      </w:r>
      <w:r w:rsidRPr="00FE4C18">
        <w:rPr>
          <w:rtl/>
        </w:rPr>
        <w:t>و</w:t>
      </w:r>
      <w:r>
        <w:rPr>
          <w:rtl/>
        </w:rPr>
        <w:t>ي</w:t>
      </w:r>
      <w:r w:rsidRPr="00FE4C18">
        <w:rPr>
          <w:rtl/>
        </w:rPr>
        <w:t>نه إل</w:t>
      </w:r>
      <w:r>
        <w:rPr>
          <w:rtl/>
        </w:rPr>
        <w:t xml:space="preserve">ى </w:t>
      </w:r>
      <w:r w:rsidRPr="00FE4C18">
        <w:rPr>
          <w:rtl/>
        </w:rPr>
        <w:t xml:space="preserve">رحم </w:t>
      </w:r>
      <w:r>
        <w:rPr>
          <w:rtl/>
        </w:rPr>
        <w:t>ا</w:t>
      </w:r>
      <w:r w:rsidRPr="00FE4C18">
        <w:rPr>
          <w:rtl/>
        </w:rPr>
        <w:t>لشابة</w:t>
      </w:r>
      <w:r w:rsidRPr="007F5B58">
        <w:rPr>
          <w:rtl/>
        </w:rPr>
        <w:t>،</w:t>
      </w:r>
      <w:r w:rsidRPr="00FE4C18">
        <w:rPr>
          <w:rtl/>
        </w:rPr>
        <w:t xml:space="preserve"> فاذا حملت به</w:t>
      </w:r>
      <w:r w:rsidRPr="007F5B58">
        <w:rPr>
          <w:rtl/>
        </w:rPr>
        <w:t>،</w:t>
      </w:r>
      <w:r w:rsidRPr="00FE4C18">
        <w:rPr>
          <w:rtl/>
        </w:rPr>
        <w:t xml:space="preserve"> تُسلّمه بعد </w:t>
      </w:r>
      <w:r>
        <w:rPr>
          <w:rtl/>
        </w:rPr>
        <w:t>ا</w:t>
      </w:r>
      <w:r w:rsidRPr="00FE4C18">
        <w:rPr>
          <w:rtl/>
        </w:rPr>
        <w:t>لولادة إل</w:t>
      </w:r>
      <w:r>
        <w:rPr>
          <w:rtl/>
        </w:rPr>
        <w:t>ى ا</w:t>
      </w:r>
      <w:r w:rsidRPr="00FE4C18">
        <w:rPr>
          <w:rtl/>
        </w:rPr>
        <w:t>لزوج</w:t>
      </w:r>
      <w:r>
        <w:rPr>
          <w:rtl/>
        </w:rPr>
        <w:t>ي</w:t>
      </w:r>
      <w:r w:rsidRPr="00FE4C18">
        <w:rPr>
          <w:rtl/>
        </w:rPr>
        <w:t>ن</w:t>
      </w:r>
      <w:r w:rsidRPr="007F5B58">
        <w:rPr>
          <w:rtl/>
        </w:rPr>
        <w:t>،</w:t>
      </w:r>
      <w:r>
        <w:rPr>
          <w:rtl/>
        </w:rPr>
        <w:t xml:space="preserve"> و</w:t>
      </w:r>
      <w:r w:rsidRPr="00FE4C18">
        <w:rPr>
          <w:rtl/>
        </w:rPr>
        <w:t xml:space="preserve">في هذه </w:t>
      </w:r>
      <w:r>
        <w:rPr>
          <w:rtl/>
        </w:rPr>
        <w:t>ا</w:t>
      </w:r>
      <w:r w:rsidRPr="00FE4C18">
        <w:rPr>
          <w:rtl/>
        </w:rPr>
        <w:t>لحالة</w:t>
      </w:r>
      <w:r>
        <w:rPr>
          <w:rtl/>
        </w:rPr>
        <w:t xml:space="preserve"> تكون</w:t>
      </w:r>
      <w:r w:rsidRPr="00FE4C18">
        <w:rPr>
          <w:rtl/>
        </w:rPr>
        <w:t xml:space="preserve"> </w:t>
      </w:r>
      <w:r>
        <w:rPr>
          <w:rtl/>
        </w:rPr>
        <w:t>ا</w:t>
      </w:r>
      <w:r w:rsidRPr="00FE4C18">
        <w:rPr>
          <w:rtl/>
        </w:rPr>
        <w:t>لبو</w:t>
      </w:r>
      <w:r>
        <w:rPr>
          <w:rtl/>
        </w:rPr>
        <w:t>ي</w:t>
      </w:r>
      <w:r w:rsidRPr="00FE4C18">
        <w:rPr>
          <w:rtl/>
        </w:rPr>
        <w:t>ضة</w:t>
      </w:r>
      <w:r>
        <w:rPr>
          <w:rtl/>
        </w:rPr>
        <w:t xml:space="preserve"> وا</w:t>
      </w:r>
      <w:r w:rsidRPr="00FE4C18">
        <w:rPr>
          <w:rtl/>
        </w:rPr>
        <w:t>لرحم لشخص آخر</w:t>
      </w:r>
      <w:r w:rsidRPr="00815C4C">
        <w:rPr>
          <w:rFonts w:cs="Taher"/>
          <w:vertAlign w:val="superscript"/>
          <w:rtl/>
        </w:rPr>
        <w:t>(</w:t>
      </w:r>
      <w:r w:rsidRPr="00815C4C">
        <w:rPr>
          <w:rFonts w:cs="Taher"/>
          <w:vertAlign w:val="superscript"/>
          <w:rtl/>
        </w:rPr>
        <w:footnoteReference w:id="871"/>
      </w:r>
      <w:r w:rsidRPr="00815C4C">
        <w:rPr>
          <w:rFonts w:cs="Taher"/>
          <w:vertAlign w:val="superscript"/>
          <w:rtl/>
        </w:rPr>
        <w:t>)</w:t>
      </w:r>
      <w:r>
        <w:rPr>
          <w:rtl/>
        </w:rPr>
        <w:t>.</w:t>
      </w:r>
    </w:p>
    <w:p w:rsidR="00391A35" w:rsidRPr="00FE4C18" w:rsidRDefault="00391A35" w:rsidP="00D063EC">
      <w:pPr>
        <w:pStyle w:val="1"/>
      </w:pPr>
      <w:bookmarkStart w:id="465" w:name="_Toc275128172"/>
      <w:r>
        <w:rPr>
          <w:rtl/>
        </w:rPr>
        <w:lastRenderedPageBreak/>
        <w:t xml:space="preserve">2ـ </w:t>
      </w:r>
      <w:r w:rsidRPr="00FE4C18">
        <w:rPr>
          <w:rtl/>
        </w:rPr>
        <w:t>استخدام رحم امرأة أخر</w:t>
      </w:r>
      <w:r>
        <w:rPr>
          <w:rtl/>
        </w:rPr>
        <w:t xml:space="preserve">ى </w:t>
      </w:r>
      <w:r w:rsidRPr="00FE4C18">
        <w:rPr>
          <w:rtl/>
        </w:rPr>
        <w:t>باستخدام جن</w:t>
      </w:r>
      <w:r>
        <w:rPr>
          <w:rtl/>
        </w:rPr>
        <w:t>ي</w:t>
      </w:r>
      <w:r w:rsidRPr="00FE4C18">
        <w:rPr>
          <w:rtl/>
        </w:rPr>
        <w:t xml:space="preserve">ن </w:t>
      </w:r>
      <w:r>
        <w:rPr>
          <w:rtl/>
        </w:rPr>
        <w:t>ا</w:t>
      </w:r>
      <w:r w:rsidRPr="00FE4C18">
        <w:rPr>
          <w:rtl/>
        </w:rPr>
        <w:t>لزوج</w:t>
      </w:r>
      <w:r>
        <w:rPr>
          <w:rtl/>
        </w:rPr>
        <w:t>ي</w:t>
      </w:r>
      <w:r w:rsidRPr="00FE4C18">
        <w:rPr>
          <w:rtl/>
        </w:rPr>
        <w:t>ن</w:t>
      </w:r>
      <w:bookmarkEnd w:id="465"/>
      <w:r w:rsidRPr="00FE4C18">
        <w:rPr>
          <w:rtl/>
        </w:rPr>
        <w:t xml:space="preserve"> </w:t>
      </w:r>
    </w:p>
    <w:p w:rsidR="00391A35" w:rsidRDefault="00391A35" w:rsidP="00D063EC">
      <w:pPr>
        <w:pStyle w:val="ac"/>
        <w:spacing w:line="209" w:lineRule="auto"/>
        <w:rPr>
          <w:rtl/>
        </w:rPr>
      </w:pPr>
      <w:r>
        <w:rPr>
          <w:rtl/>
        </w:rPr>
        <w:t>ف</w:t>
      </w:r>
      <w:r w:rsidRPr="00FE4C18">
        <w:rPr>
          <w:rtl/>
        </w:rPr>
        <w:t>المرأة</w:t>
      </w:r>
      <w:r>
        <w:rPr>
          <w:rtl/>
        </w:rPr>
        <w:t xml:space="preserve"> </w:t>
      </w:r>
      <w:r w:rsidRPr="00FE4C18">
        <w:rPr>
          <w:rtl/>
        </w:rPr>
        <w:t>‌</w:t>
      </w:r>
      <w:r>
        <w:rPr>
          <w:rtl/>
        </w:rPr>
        <w:t>ا</w:t>
      </w:r>
      <w:r w:rsidRPr="00FE4C18">
        <w:rPr>
          <w:rtl/>
        </w:rPr>
        <w:t>لتي تتمتّع ببو</w:t>
      </w:r>
      <w:r>
        <w:rPr>
          <w:rtl/>
        </w:rPr>
        <w:t>ي</w:t>
      </w:r>
      <w:r w:rsidRPr="00FE4C18">
        <w:rPr>
          <w:rtl/>
        </w:rPr>
        <w:t>ضة سالمة</w:t>
      </w:r>
      <w:r w:rsidRPr="007F5B58">
        <w:rPr>
          <w:rtl/>
        </w:rPr>
        <w:t>،</w:t>
      </w:r>
      <w:r w:rsidRPr="00FE4C18">
        <w:rPr>
          <w:rtl/>
        </w:rPr>
        <w:t xml:space="preserve"> ول</w:t>
      </w:r>
      <w:r>
        <w:rPr>
          <w:rtl/>
        </w:rPr>
        <w:t>ك</w:t>
      </w:r>
      <w:r w:rsidRPr="00FE4C18">
        <w:rPr>
          <w:rtl/>
        </w:rPr>
        <w:t>ن</w:t>
      </w:r>
      <w:r>
        <w:rPr>
          <w:rtl/>
        </w:rPr>
        <w:t>ّها</w:t>
      </w:r>
      <w:r w:rsidRPr="007F5B58">
        <w:rPr>
          <w:rtl/>
        </w:rPr>
        <w:t>؛</w:t>
      </w:r>
      <w:r w:rsidRPr="00FE4C18">
        <w:rPr>
          <w:rtl/>
        </w:rPr>
        <w:t xml:space="preserve"> بسبب عدم وجود </w:t>
      </w:r>
      <w:r>
        <w:rPr>
          <w:rtl/>
        </w:rPr>
        <w:t>ا</w:t>
      </w:r>
      <w:r w:rsidRPr="00FE4C18">
        <w:rPr>
          <w:rtl/>
        </w:rPr>
        <w:t>لرحم</w:t>
      </w:r>
      <w:r w:rsidRPr="007F5B58">
        <w:rPr>
          <w:rtl/>
        </w:rPr>
        <w:t>،</w:t>
      </w:r>
      <w:r w:rsidRPr="00FE4C18">
        <w:rPr>
          <w:rtl/>
        </w:rPr>
        <w:t xml:space="preserve"> أو مشا</w:t>
      </w:r>
      <w:r>
        <w:rPr>
          <w:rtl/>
        </w:rPr>
        <w:t>ك</w:t>
      </w:r>
      <w:r w:rsidRPr="00FE4C18">
        <w:rPr>
          <w:rtl/>
        </w:rPr>
        <w:t>له</w:t>
      </w:r>
      <w:r w:rsidRPr="007F5B58">
        <w:rPr>
          <w:rtl/>
        </w:rPr>
        <w:t>،</w:t>
      </w:r>
      <w:r w:rsidRPr="00FE4C18">
        <w:rPr>
          <w:rtl/>
        </w:rPr>
        <w:t xml:space="preserve"> أو </w:t>
      </w:r>
      <w:r>
        <w:rPr>
          <w:rtl/>
        </w:rPr>
        <w:t>ا</w:t>
      </w:r>
      <w:r w:rsidRPr="00FE4C18">
        <w:rPr>
          <w:rtl/>
        </w:rPr>
        <w:t>لمرض</w:t>
      </w:r>
      <w:r w:rsidRPr="007F5B58">
        <w:rPr>
          <w:rtl/>
        </w:rPr>
        <w:t>،</w:t>
      </w:r>
      <w:r w:rsidRPr="00FE4C18">
        <w:rPr>
          <w:rtl/>
        </w:rPr>
        <w:t xml:space="preserve"> لنْ تستط</w:t>
      </w:r>
      <w:r>
        <w:rPr>
          <w:rtl/>
        </w:rPr>
        <w:t>ي</w:t>
      </w:r>
      <w:r w:rsidRPr="00FE4C18">
        <w:rPr>
          <w:rtl/>
        </w:rPr>
        <w:t xml:space="preserve">ع حمل </w:t>
      </w:r>
      <w:r>
        <w:rPr>
          <w:rtl/>
        </w:rPr>
        <w:t>ا</w:t>
      </w:r>
      <w:r w:rsidRPr="00FE4C18">
        <w:rPr>
          <w:rtl/>
        </w:rPr>
        <w:t>لجن</w:t>
      </w:r>
      <w:r>
        <w:rPr>
          <w:rtl/>
        </w:rPr>
        <w:t>ي</w:t>
      </w:r>
      <w:r w:rsidRPr="00FE4C18">
        <w:rPr>
          <w:rtl/>
        </w:rPr>
        <w:t>ن</w:t>
      </w:r>
      <w:r w:rsidRPr="007F5B58">
        <w:rPr>
          <w:rtl/>
        </w:rPr>
        <w:t>،</w:t>
      </w:r>
      <w:r w:rsidRPr="00FE4C18">
        <w:rPr>
          <w:rtl/>
        </w:rPr>
        <w:t xml:space="preserve"> </w:t>
      </w:r>
      <w:r>
        <w:rPr>
          <w:rtl/>
        </w:rPr>
        <w:t>ي</w:t>
      </w:r>
      <w:r w:rsidRPr="00FE4C18">
        <w:rPr>
          <w:rtl/>
        </w:rPr>
        <w:t>قومون بتلق</w:t>
      </w:r>
      <w:r>
        <w:rPr>
          <w:rtl/>
        </w:rPr>
        <w:t>ي</w:t>
      </w:r>
      <w:r w:rsidRPr="00FE4C18">
        <w:rPr>
          <w:rtl/>
        </w:rPr>
        <w:t xml:space="preserve">ح </w:t>
      </w:r>
      <w:r w:rsidRPr="00006F79">
        <w:rPr>
          <w:rFonts w:cs="Badr"/>
          <w:rtl/>
        </w:rPr>
        <w:t>إسپرم</w:t>
      </w:r>
      <w:r w:rsidRPr="00FE4C18">
        <w:rPr>
          <w:rtl/>
        </w:rPr>
        <w:t xml:space="preserve"> </w:t>
      </w:r>
      <w:r>
        <w:rPr>
          <w:rtl/>
        </w:rPr>
        <w:t>ا</w:t>
      </w:r>
      <w:r w:rsidRPr="00FE4C18">
        <w:rPr>
          <w:rtl/>
        </w:rPr>
        <w:t>لزوج</w:t>
      </w:r>
      <w:r>
        <w:rPr>
          <w:rtl/>
        </w:rPr>
        <w:t xml:space="preserve"> و</w:t>
      </w:r>
      <w:r w:rsidRPr="00FE4C18">
        <w:rPr>
          <w:rtl/>
        </w:rPr>
        <w:t>بو</w:t>
      </w:r>
      <w:r>
        <w:rPr>
          <w:rtl/>
        </w:rPr>
        <w:t>ي</w:t>
      </w:r>
      <w:r w:rsidRPr="00FE4C18">
        <w:rPr>
          <w:rtl/>
        </w:rPr>
        <w:t xml:space="preserve">ضة </w:t>
      </w:r>
      <w:r>
        <w:rPr>
          <w:rtl/>
        </w:rPr>
        <w:t>ا</w:t>
      </w:r>
      <w:r w:rsidRPr="00FE4C18">
        <w:rPr>
          <w:rtl/>
        </w:rPr>
        <w:t xml:space="preserve">لزوجة في </w:t>
      </w:r>
      <w:r>
        <w:rPr>
          <w:rtl/>
        </w:rPr>
        <w:t>ا</w:t>
      </w:r>
      <w:r w:rsidRPr="00FE4C18">
        <w:rPr>
          <w:rtl/>
        </w:rPr>
        <w:t>لمختبر</w:t>
      </w:r>
      <w:r w:rsidRPr="007F5B58">
        <w:rPr>
          <w:rtl/>
        </w:rPr>
        <w:t>،</w:t>
      </w:r>
      <w:r w:rsidRPr="00FE4C18">
        <w:rPr>
          <w:rtl/>
        </w:rPr>
        <w:t xml:space="preserve"> ثمّ </w:t>
      </w:r>
      <w:r>
        <w:rPr>
          <w:rtl/>
        </w:rPr>
        <w:t>ي</w:t>
      </w:r>
      <w:r w:rsidRPr="00FE4C18">
        <w:rPr>
          <w:rtl/>
        </w:rPr>
        <w:t xml:space="preserve">نقلون </w:t>
      </w:r>
      <w:r>
        <w:rPr>
          <w:rtl/>
        </w:rPr>
        <w:t>ا</w:t>
      </w:r>
      <w:r w:rsidRPr="00FE4C18">
        <w:rPr>
          <w:rtl/>
        </w:rPr>
        <w:t>لجن</w:t>
      </w:r>
      <w:r>
        <w:rPr>
          <w:rtl/>
        </w:rPr>
        <w:t>ي</w:t>
      </w:r>
      <w:r w:rsidRPr="00FE4C18">
        <w:rPr>
          <w:rtl/>
        </w:rPr>
        <w:t xml:space="preserve">ن </w:t>
      </w:r>
      <w:r>
        <w:rPr>
          <w:rtl/>
        </w:rPr>
        <w:t>ا</w:t>
      </w:r>
      <w:r w:rsidRPr="00FE4C18">
        <w:rPr>
          <w:rtl/>
        </w:rPr>
        <w:t>لمت</w:t>
      </w:r>
      <w:r>
        <w:rPr>
          <w:rtl/>
        </w:rPr>
        <w:t>ك</w:t>
      </w:r>
      <w:r w:rsidRPr="00FE4C18">
        <w:rPr>
          <w:rtl/>
        </w:rPr>
        <w:t xml:space="preserve">وّن من </w:t>
      </w:r>
      <w:r>
        <w:rPr>
          <w:rtl/>
        </w:rPr>
        <w:t>ا</w:t>
      </w:r>
      <w:r w:rsidRPr="00FE4C18">
        <w:rPr>
          <w:rtl/>
        </w:rPr>
        <w:t>لتلق</w:t>
      </w:r>
      <w:r>
        <w:rPr>
          <w:rtl/>
        </w:rPr>
        <w:t>ي</w:t>
      </w:r>
      <w:r w:rsidRPr="00FE4C18">
        <w:rPr>
          <w:rtl/>
        </w:rPr>
        <w:t>ح إل</w:t>
      </w:r>
      <w:r>
        <w:rPr>
          <w:rtl/>
        </w:rPr>
        <w:t xml:space="preserve">ى </w:t>
      </w:r>
      <w:r w:rsidRPr="00FE4C18">
        <w:rPr>
          <w:rtl/>
        </w:rPr>
        <w:t>رحم امرأة أخر</w:t>
      </w:r>
      <w:r>
        <w:rPr>
          <w:rtl/>
        </w:rPr>
        <w:t>ى</w:t>
      </w:r>
      <w:r w:rsidRPr="00815C4C">
        <w:rPr>
          <w:rFonts w:cs="Taher"/>
          <w:vertAlign w:val="superscript"/>
          <w:rtl/>
        </w:rPr>
        <w:t>(</w:t>
      </w:r>
      <w:r w:rsidRPr="00815C4C">
        <w:rPr>
          <w:rFonts w:cs="Taher"/>
          <w:vertAlign w:val="superscript"/>
          <w:rtl/>
        </w:rPr>
        <w:footnoteReference w:id="872"/>
      </w:r>
      <w:r w:rsidRPr="00815C4C">
        <w:rPr>
          <w:rFonts w:cs="Taher"/>
          <w:vertAlign w:val="superscript"/>
          <w:rtl/>
        </w:rPr>
        <w:t>)</w:t>
      </w:r>
      <w:r w:rsidRPr="00FE4C18">
        <w:rPr>
          <w:rtl/>
        </w:rPr>
        <w:t xml:space="preserve">. </w:t>
      </w:r>
    </w:p>
    <w:p w:rsidR="00391A35" w:rsidRPr="00D063EC" w:rsidRDefault="00391A35" w:rsidP="00D063EC">
      <w:pPr>
        <w:pStyle w:val="afffffc"/>
        <w:rPr>
          <w:rFonts w:ascii="Mosawi" w:hAnsi="Mosawi"/>
        </w:rPr>
      </w:pPr>
    </w:p>
    <w:p w:rsidR="00391A35" w:rsidRPr="00FE4C18" w:rsidRDefault="00391A35" w:rsidP="00D063EC">
      <w:pPr>
        <w:pStyle w:val="1"/>
      </w:pPr>
      <w:bookmarkStart w:id="466" w:name="_Toc275128173"/>
      <w:r>
        <w:rPr>
          <w:rtl/>
        </w:rPr>
        <w:t>3ـ ا</w:t>
      </w:r>
      <w:r w:rsidRPr="00FE4C18">
        <w:rPr>
          <w:rtl/>
        </w:rPr>
        <w:t>ستخدام رحم امرأة أخر</w:t>
      </w:r>
      <w:r>
        <w:rPr>
          <w:rtl/>
        </w:rPr>
        <w:t xml:space="preserve">ى </w:t>
      </w:r>
      <w:r w:rsidRPr="00FE4C18">
        <w:rPr>
          <w:rtl/>
        </w:rPr>
        <w:t xml:space="preserve">باستخدام </w:t>
      </w:r>
      <w:r>
        <w:rPr>
          <w:rtl/>
        </w:rPr>
        <w:t>ا</w:t>
      </w:r>
      <w:r w:rsidRPr="00FE4C18">
        <w:rPr>
          <w:rtl/>
        </w:rPr>
        <w:t>لجن</w:t>
      </w:r>
      <w:r>
        <w:rPr>
          <w:rtl/>
        </w:rPr>
        <w:t>ي</w:t>
      </w:r>
      <w:r w:rsidRPr="00FE4C18">
        <w:rPr>
          <w:rtl/>
        </w:rPr>
        <w:t xml:space="preserve">ن </w:t>
      </w:r>
      <w:r>
        <w:rPr>
          <w:rtl/>
        </w:rPr>
        <w:t>ا</w:t>
      </w:r>
      <w:r w:rsidRPr="00FE4C18">
        <w:rPr>
          <w:rtl/>
        </w:rPr>
        <w:t>لذي أهدي</w:t>
      </w:r>
      <w:bookmarkEnd w:id="466"/>
    </w:p>
    <w:p w:rsidR="00391A35" w:rsidRPr="00FE4C18" w:rsidRDefault="00391A35" w:rsidP="00D063EC">
      <w:pPr>
        <w:pStyle w:val="ac"/>
        <w:spacing w:line="209" w:lineRule="auto"/>
        <w:rPr>
          <w:rtl/>
        </w:rPr>
      </w:pPr>
      <w:r w:rsidRPr="00FE4C18">
        <w:rPr>
          <w:rtl/>
        </w:rPr>
        <w:t xml:space="preserve">عندما </w:t>
      </w:r>
      <w:r>
        <w:rPr>
          <w:rtl/>
        </w:rPr>
        <w:t>ي</w:t>
      </w:r>
      <w:r w:rsidRPr="00FE4C18">
        <w:rPr>
          <w:rtl/>
        </w:rPr>
        <w:t xml:space="preserve">فقد </w:t>
      </w:r>
      <w:r>
        <w:rPr>
          <w:rtl/>
        </w:rPr>
        <w:t>ا</w:t>
      </w:r>
      <w:r w:rsidRPr="00FE4C18">
        <w:rPr>
          <w:rtl/>
        </w:rPr>
        <w:t xml:space="preserve">لزوج </w:t>
      </w:r>
      <w:r w:rsidRPr="00006F79">
        <w:rPr>
          <w:rFonts w:cs="Badr"/>
          <w:rtl/>
        </w:rPr>
        <w:t>الإسپرم</w:t>
      </w:r>
      <w:r>
        <w:rPr>
          <w:rtl/>
        </w:rPr>
        <w:t xml:space="preserve"> وا</w:t>
      </w:r>
      <w:r w:rsidRPr="00FE4C18">
        <w:rPr>
          <w:rtl/>
        </w:rPr>
        <w:t xml:space="preserve">لزوجة </w:t>
      </w:r>
      <w:r>
        <w:rPr>
          <w:rtl/>
        </w:rPr>
        <w:t>ا</w:t>
      </w:r>
      <w:r w:rsidRPr="00FE4C18">
        <w:rPr>
          <w:rtl/>
        </w:rPr>
        <w:t>لبو</w:t>
      </w:r>
      <w:r>
        <w:rPr>
          <w:rtl/>
        </w:rPr>
        <w:t>ي</w:t>
      </w:r>
      <w:r w:rsidRPr="00FE4C18">
        <w:rPr>
          <w:rtl/>
        </w:rPr>
        <w:t>ضة</w:t>
      </w:r>
      <w:r w:rsidRPr="007F5B58">
        <w:rPr>
          <w:rtl/>
        </w:rPr>
        <w:t>،</w:t>
      </w:r>
      <w:r w:rsidRPr="00FE4C18">
        <w:rPr>
          <w:rtl/>
        </w:rPr>
        <w:t xml:space="preserve"> أو لم </w:t>
      </w:r>
      <w:r>
        <w:rPr>
          <w:rtl/>
        </w:rPr>
        <w:t>يك</w:t>
      </w:r>
      <w:r w:rsidRPr="00FE4C18">
        <w:rPr>
          <w:rtl/>
        </w:rPr>
        <w:t xml:space="preserve">ن </w:t>
      </w:r>
      <w:r>
        <w:rPr>
          <w:rtl/>
        </w:rPr>
        <w:t>ا</w:t>
      </w:r>
      <w:r w:rsidRPr="00FE4C18">
        <w:rPr>
          <w:rtl/>
        </w:rPr>
        <w:t>ل</w:t>
      </w:r>
      <w:r>
        <w:rPr>
          <w:rtl/>
        </w:rPr>
        <w:t>إ</w:t>
      </w:r>
      <w:r w:rsidRPr="00E54F9D">
        <w:rPr>
          <w:rFonts w:cs="Taher"/>
          <w:rtl/>
        </w:rPr>
        <w:t>سپر</w:t>
      </w:r>
      <w:r w:rsidRPr="00FE4C18">
        <w:rPr>
          <w:rtl/>
        </w:rPr>
        <w:t>م</w:t>
      </w:r>
      <w:r>
        <w:rPr>
          <w:rtl/>
        </w:rPr>
        <w:t xml:space="preserve"> وا</w:t>
      </w:r>
      <w:r w:rsidRPr="00FE4C18">
        <w:rPr>
          <w:rtl/>
        </w:rPr>
        <w:t>لبو</w:t>
      </w:r>
      <w:r>
        <w:rPr>
          <w:rtl/>
        </w:rPr>
        <w:t>ي</w:t>
      </w:r>
      <w:r w:rsidRPr="00FE4C18">
        <w:rPr>
          <w:rtl/>
        </w:rPr>
        <w:t>ضة سالم</w:t>
      </w:r>
      <w:r>
        <w:rPr>
          <w:rtl/>
        </w:rPr>
        <w:t>ي</w:t>
      </w:r>
      <w:r w:rsidRPr="00FE4C18">
        <w:rPr>
          <w:rtl/>
        </w:rPr>
        <w:t xml:space="preserve">ن سلامة </w:t>
      </w:r>
      <w:r>
        <w:rPr>
          <w:rtl/>
        </w:rPr>
        <w:t>ك</w:t>
      </w:r>
      <w:r w:rsidRPr="00FE4C18">
        <w:rPr>
          <w:rtl/>
        </w:rPr>
        <w:t>اف</w:t>
      </w:r>
      <w:r>
        <w:rPr>
          <w:rtl/>
        </w:rPr>
        <w:t>ي</w:t>
      </w:r>
      <w:r w:rsidRPr="00FE4C18">
        <w:rPr>
          <w:rtl/>
        </w:rPr>
        <w:t>ة لل</w:t>
      </w:r>
      <w:r>
        <w:rPr>
          <w:rtl/>
        </w:rPr>
        <w:t>تـن</w:t>
      </w:r>
      <w:r w:rsidRPr="00FE4C18">
        <w:rPr>
          <w:rtl/>
        </w:rPr>
        <w:t>اسل</w:t>
      </w:r>
      <w:r w:rsidRPr="007F5B58">
        <w:rPr>
          <w:rtl/>
        </w:rPr>
        <w:t>،</w:t>
      </w:r>
      <w:r w:rsidRPr="00FE4C18">
        <w:rPr>
          <w:rtl/>
        </w:rPr>
        <w:t xml:space="preserve"> ل</w:t>
      </w:r>
      <w:r>
        <w:rPr>
          <w:rtl/>
        </w:rPr>
        <w:t>ك</w:t>
      </w:r>
      <w:r w:rsidRPr="00FE4C18">
        <w:rPr>
          <w:rtl/>
        </w:rPr>
        <w:t xml:space="preserve">نّ رحم </w:t>
      </w:r>
      <w:r>
        <w:rPr>
          <w:rtl/>
        </w:rPr>
        <w:t>ا</w:t>
      </w:r>
      <w:r w:rsidRPr="00FE4C18">
        <w:rPr>
          <w:rtl/>
        </w:rPr>
        <w:t xml:space="preserve">لزوجة </w:t>
      </w:r>
      <w:r>
        <w:rPr>
          <w:rtl/>
        </w:rPr>
        <w:t>ي</w:t>
      </w:r>
      <w:r w:rsidRPr="00FE4C18">
        <w:rPr>
          <w:rtl/>
        </w:rPr>
        <w:t>قدر عل</w:t>
      </w:r>
      <w:r>
        <w:rPr>
          <w:rtl/>
        </w:rPr>
        <w:t xml:space="preserve">ى </w:t>
      </w:r>
      <w:r w:rsidRPr="00FE4C18">
        <w:rPr>
          <w:rtl/>
        </w:rPr>
        <w:t>حفظ</w:t>
      </w:r>
      <w:r>
        <w:rPr>
          <w:rtl/>
        </w:rPr>
        <w:t xml:space="preserve"> و</w:t>
      </w:r>
      <w:r w:rsidRPr="00FE4C18">
        <w:rPr>
          <w:rtl/>
        </w:rPr>
        <w:t>ترب</w:t>
      </w:r>
      <w:r>
        <w:rPr>
          <w:rtl/>
        </w:rPr>
        <w:t>ي</w:t>
      </w:r>
      <w:r w:rsidRPr="00FE4C18">
        <w:rPr>
          <w:rtl/>
        </w:rPr>
        <w:t xml:space="preserve">ة </w:t>
      </w:r>
      <w:r>
        <w:rPr>
          <w:rtl/>
        </w:rPr>
        <w:t>ا</w:t>
      </w:r>
      <w:r w:rsidRPr="00FE4C18">
        <w:rPr>
          <w:rtl/>
        </w:rPr>
        <w:t>لجن</w:t>
      </w:r>
      <w:r>
        <w:rPr>
          <w:rtl/>
        </w:rPr>
        <w:t>ي</w:t>
      </w:r>
      <w:r w:rsidRPr="00FE4C18">
        <w:rPr>
          <w:rtl/>
        </w:rPr>
        <w:t>ن</w:t>
      </w:r>
      <w:r w:rsidRPr="007F5B58">
        <w:rPr>
          <w:rtl/>
        </w:rPr>
        <w:t>،</w:t>
      </w:r>
      <w:r w:rsidRPr="00FE4C18">
        <w:rPr>
          <w:rtl/>
        </w:rPr>
        <w:t xml:space="preserve"> </w:t>
      </w:r>
      <w:r>
        <w:rPr>
          <w:rtl/>
        </w:rPr>
        <w:t>ي</w:t>
      </w:r>
      <w:r w:rsidRPr="00FE4C18">
        <w:rPr>
          <w:rtl/>
        </w:rPr>
        <w:t>ستف</w:t>
      </w:r>
      <w:r>
        <w:rPr>
          <w:rtl/>
        </w:rPr>
        <w:t>ي</w:t>
      </w:r>
      <w:r w:rsidRPr="00FE4C18">
        <w:rPr>
          <w:rtl/>
        </w:rPr>
        <w:t xml:space="preserve">دون من </w:t>
      </w:r>
      <w:r>
        <w:rPr>
          <w:rtl/>
        </w:rPr>
        <w:t>ا</w:t>
      </w:r>
      <w:r w:rsidRPr="00FE4C18">
        <w:rPr>
          <w:rtl/>
        </w:rPr>
        <w:t>لجن</w:t>
      </w:r>
      <w:r>
        <w:rPr>
          <w:rtl/>
        </w:rPr>
        <w:t>ي</w:t>
      </w:r>
      <w:r w:rsidRPr="00FE4C18">
        <w:rPr>
          <w:rtl/>
        </w:rPr>
        <w:t xml:space="preserve">ن </w:t>
      </w:r>
      <w:r>
        <w:rPr>
          <w:rtl/>
        </w:rPr>
        <w:t>ا</w:t>
      </w:r>
      <w:r w:rsidRPr="00FE4C18">
        <w:rPr>
          <w:rtl/>
        </w:rPr>
        <w:t>لم</w:t>
      </w:r>
      <w:r>
        <w:rPr>
          <w:rtl/>
        </w:rPr>
        <w:t>ك</w:t>
      </w:r>
      <w:r w:rsidRPr="00FE4C18">
        <w:rPr>
          <w:rtl/>
        </w:rPr>
        <w:t>و</w:t>
      </w:r>
      <w:r>
        <w:rPr>
          <w:rtl/>
        </w:rPr>
        <w:t>َّ</w:t>
      </w:r>
      <w:r w:rsidRPr="00FE4C18">
        <w:rPr>
          <w:rtl/>
        </w:rPr>
        <w:t>ن لل</w:t>
      </w:r>
      <w:r>
        <w:rPr>
          <w:rtl/>
        </w:rPr>
        <w:t>ا</w:t>
      </w:r>
      <w:r w:rsidRPr="00FE4C18">
        <w:rPr>
          <w:rtl/>
        </w:rPr>
        <w:t>ستخدام</w:t>
      </w:r>
      <w:r w:rsidRPr="007F5B58">
        <w:rPr>
          <w:rtl/>
        </w:rPr>
        <w:t>،</w:t>
      </w:r>
      <w:r w:rsidRPr="00FE4C18">
        <w:rPr>
          <w:rtl/>
        </w:rPr>
        <w:t xml:space="preserve"> و</w:t>
      </w:r>
      <w:r>
        <w:rPr>
          <w:rtl/>
        </w:rPr>
        <w:t>ي</w:t>
      </w:r>
      <w:r w:rsidRPr="00FE4C18">
        <w:rPr>
          <w:rtl/>
        </w:rPr>
        <w:t>نقلونه إل</w:t>
      </w:r>
      <w:r>
        <w:rPr>
          <w:rtl/>
        </w:rPr>
        <w:t xml:space="preserve">ى </w:t>
      </w:r>
      <w:r w:rsidRPr="00FE4C18">
        <w:rPr>
          <w:rtl/>
        </w:rPr>
        <w:t xml:space="preserve">رحم </w:t>
      </w:r>
      <w:r>
        <w:rPr>
          <w:rtl/>
        </w:rPr>
        <w:t>ا</w:t>
      </w:r>
      <w:r w:rsidRPr="00FE4C18">
        <w:rPr>
          <w:rtl/>
        </w:rPr>
        <w:t xml:space="preserve">لمرأة </w:t>
      </w:r>
      <w:r>
        <w:rPr>
          <w:rtl/>
        </w:rPr>
        <w:t>ا</w:t>
      </w:r>
      <w:r w:rsidRPr="00FE4C18">
        <w:rPr>
          <w:rtl/>
        </w:rPr>
        <w:t xml:space="preserve">لعاقر. </w:t>
      </w:r>
      <w:r>
        <w:rPr>
          <w:rtl/>
        </w:rPr>
        <w:t>و</w:t>
      </w:r>
      <w:r w:rsidRPr="00FE4C18">
        <w:rPr>
          <w:rtl/>
        </w:rPr>
        <w:t>عل</w:t>
      </w:r>
      <w:r>
        <w:rPr>
          <w:rtl/>
        </w:rPr>
        <w:t xml:space="preserve">ى </w:t>
      </w:r>
      <w:r w:rsidRPr="00FE4C18">
        <w:rPr>
          <w:rtl/>
        </w:rPr>
        <w:t xml:space="preserve">أساس قانون </w:t>
      </w:r>
      <w:r>
        <w:rPr>
          <w:rtl/>
        </w:rPr>
        <w:t>كي</w:t>
      </w:r>
      <w:r w:rsidRPr="00FE4C18">
        <w:rPr>
          <w:rtl/>
        </w:rPr>
        <w:t>ف</w:t>
      </w:r>
      <w:r>
        <w:rPr>
          <w:rtl/>
        </w:rPr>
        <w:t>يّ</w:t>
      </w:r>
      <w:r w:rsidRPr="00FE4C18">
        <w:rPr>
          <w:rtl/>
        </w:rPr>
        <w:t xml:space="preserve">ة إهداء </w:t>
      </w:r>
      <w:r>
        <w:rPr>
          <w:rtl/>
        </w:rPr>
        <w:t>ا</w:t>
      </w:r>
      <w:r w:rsidRPr="00FE4C18">
        <w:rPr>
          <w:rtl/>
        </w:rPr>
        <w:t>لجن</w:t>
      </w:r>
      <w:r>
        <w:rPr>
          <w:rtl/>
        </w:rPr>
        <w:t>ي</w:t>
      </w:r>
      <w:r w:rsidRPr="00FE4C18">
        <w:rPr>
          <w:rtl/>
        </w:rPr>
        <w:t>ن إل</w:t>
      </w:r>
      <w:r>
        <w:rPr>
          <w:rtl/>
        </w:rPr>
        <w:t>ى ا</w:t>
      </w:r>
      <w:r w:rsidRPr="00FE4C18">
        <w:rPr>
          <w:rtl/>
        </w:rPr>
        <w:t>لزوج</w:t>
      </w:r>
      <w:r>
        <w:rPr>
          <w:rtl/>
        </w:rPr>
        <w:t>ي</w:t>
      </w:r>
      <w:r w:rsidRPr="00FE4C18">
        <w:rPr>
          <w:rtl/>
        </w:rPr>
        <w:t xml:space="preserve">ن </w:t>
      </w:r>
      <w:r>
        <w:rPr>
          <w:rtl/>
        </w:rPr>
        <w:t>ا</w:t>
      </w:r>
      <w:r w:rsidRPr="00FE4C18">
        <w:rPr>
          <w:rtl/>
        </w:rPr>
        <w:t>لعاقر</w:t>
      </w:r>
      <w:r>
        <w:rPr>
          <w:rtl/>
        </w:rPr>
        <w:t>ي</w:t>
      </w:r>
      <w:r w:rsidRPr="00FE4C18">
        <w:rPr>
          <w:rtl/>
        </w:rPr>
        <w:t>ن تُراع</w:t>
      </w:r>
      <w:r>
        <w:rPr>
          <w:rtl/>
        </w:rPr>
        <w:t xml:space="preserve">ى </w:t>
      </w:r>
      <w:r w:rsidRPr="00FE4C18">
        <w:rPr>
          <w:rtl/>
        </w:rPr>
        <w:t>مواز</w:t>
      </w:r>
      <w:r>
        <w:rPr>
          <w:rtl/>
        </w:rPr>
        <w:t>ي</w:t>
      </w:r>
      <w:r w:rsidRPr="00FE4C18">
        <w:rPr>
          <w:rtl/>
        </w:rPr>
        <w:t xml:space="preserve">ن إهداء </w:t>
      </w:r>
      <w:r>
        <w:rPr>
          <w:rtl/>
        </w:rPr>
        <w:t>ا</w:t>
      </w:r>
      <w:r w:rsidRPr="00FE4C18">
        <w:rPr>
          <w:rtl/>
        </w:rPr>
        <w:t>لجن</w:t>
      </w:r>
      <w:r>
        <w:rPr>
          <w:rtl/>
        </w:rPr>
        <w:t>ي</w:t>
      </w:r>
      <w:r w:rsidRPr="00FE4C18">
        <w:rPr>
          <w:rtl/>
        </w:rPr>
        <w:t>ن ف</w:t>
      </w:r>
      <w:r>
        <w:rPr>
          <w:rtl/>
        </w:rPr>
        <w:t xml:space="preserve">ي </w:t>
      </w:r>
      <w:r w:rsidRPr="00FE4C18">
        <w:rPr>
          <w:rtl/>
        </w:rPr>
        <w:t xml:space="preserve">ما </w:t>
      </w:r>
      <w:r>
        <w:rPr>
          <w:rtl/>
        </w:rPr>
        <w:t>ي</w:t>
      </w:r>
      <w:r w:rsidRPr="00FE4C18">
        <w:rPr>
          <w:rtl/>
        </w:rPr>
        <w:t xml:space="preserve">خصّ </w:t>
      </w:r>
      <w:r>
        <w:rPr>
          <w:rtl/>
        </w:rPr>
        <w:t>هك</w:t>
      </w:r>
      <w:r w:rsidRPr="00FE4C18">
        <w:rPr>
          <w:rtl/>
        </w:rPr>
        <w:t>ذا نساء</w:t>
      </w:r>
      <w:r w:rsidRPr="00815C4C">
        <w:rPr>
          <w:rFonts w:cs="Taher"/>
          <w:vertAlign w:val="superscript"/>
          <w:rtl/>
        </w:rPr>
        <w:t>(</w:t>
      </w:r>
      <w:r w:rsidRPr="00815C4C">
        <w:rPr>
          <w:rFonts w:cs="Taher"/>
          <w:vertAlign w:val="superscript"/>
          <w:rtl/>
        </w:rPr>
        <w:footnoteReference w:id="873"/>
      </w:r>
      <w:r w:rsidRPr="00815C4C">
        <w:rPr>
          <w:rFonts w:cs="Taher"/>
          <w:vertAlign w:val="superscript"/>
          <w:rtl/>
        </w:rPr>
        <w:t>)</w:t>
      </w:r>
      <w:r>
        <w:rPr>
          <w:rtl/>
        </w:rPr>
        <w:t>.</w:t>
      </w:r>
      <w:r w:rsidRPr="00FE4C18">
        <w:rPr>
          <w:rtl/>
        </w:rPr>
        <w:t xml:space="preserve"> </w:t>
      </w:r>
    </w:p>
    <w:p w:rsidR="00391A35" w:rsidRPr="00D063EC" w:rsidRDefault="00391A35" w:rsidP="00D063EC">
      <w:pPr>
        <w:pStyle w:val="afffffc"/>
        <w:rPr>
          <w:rFonts w:ascii="Mosawi" w:hAnsi="Mosawi"/>
          <w:sz w:val="24"/>
          <w:szCs w:val="22"/>
        </w:rPr>
      </w:pPr>
    </w:p>
    <w:p w:rsidR="00391A35" w:rsidRPr="00FE4C18" w:rsidRDefault="00391A35" w:rsidP="00391A35">
      <w:pPr>
        <w:pStyle w:val="1"/>
        <w:rPr>
          <w:rtl/>
        </w:rPr>
      </w:pPr>
      <w:bookmarkStart w:id="467" w:name="_Toc275128174"/>
      <w:r w:rsidRPr="00FE4C18">
        <w:rPr>
          <w:rtl/>
        </w:rPr>
        <w:t>4</w:t>
      </w:r>
      <w:r>
        <w:rPr>
          <w:rtl/>
        </w:rPr>
        <w:t>ـ</w:t>
      </w:r>
      <w:r w:rsidRPr="00FE4C18">
        <w:rPr>
          <w:rtl/>
        </w:rPr>
        <w:t xml:space="preserve"> أدلّة </w:t>
      </w:r>
      <w:r>
        <w:rPr>
          <w:rtl/>
        </w:rPr>
        <w:t>ا</w:t>
      </w:r>
      <w:r w:rsidRPr="00FE4C18">
        <w:rPr>
          <w:rtl/>
        </w:rPr>
        <w:t>ستخدام رحم امرأة أخر</w:t>
      </w:r>
      <w:r>
        <w:rPr>
          <w:rtl/>
        </w:rPr>
        <w:t>ى</w:t>
      </w:r>
      <w:bookmarkEnd w:id="467"/>
      <w:r w:rsidRPr="00FE4C18">
        <w:rPr>
          <w:rtl/>
        </w:rPr>
        <w:t xml:space="preserve"> </w:t>
      </w:r>
    </w:p>
    <w:p w:rsidR="00391A35" w:rsidRPr="00FE4C18" w:rsidRDefault="00391A35" w:rsidP="00D063EC">
      <w:pPr>
        <w:pStyle w:val="ac"/>
        <w:spacing w:line="209" w:lineRule="auto"/>
        <w:rPr>
          <w:rtl/>
        </w:rPr>
      </w:pPr>
      <w:r w:rsidRPr="00FE4C18">
        <w:rPr>
          <w:rtl/>
        </w:rPr>
        <w:t>نظراً إل</w:t>
      </w:r>
      <w:r>
        <w:rPr>
          <w:rtl/>
        </w:rPr>
        <w:t xml:space="preserve">ى </w:t>
      </w:r>
      <w:r w:rsidRPr="00FE4C18">
        <w:rPr>
          <w:rtl/>
        </w:rPr>
        <w:t>أنّ استخدام رحم امرأة أخر</w:t>
      </w:r>
      <w:r>
        <w:rPr>
          <w:rtl/>
        </w:rPr>
        <w:t>ى</w:t>
      </w:r>
      <w:r w:rsidRPr="00FE4C18">
        <w:rPr>
          <w:rtl/>
        </w:rPr>
        <w:t xml:space="preserve"> </w:t>
      </w:r>
      <w:r>
        <w:rPr>
          <w:rtl/>
        </w:rPr>
        <w:t>ي</w:t>
      </w:r>
      <w:r w:rsidRPr="00FE4C18">
        <w:rPr>
          <w:rtl/>
        </w:rPr>
        <w:t xml:space="preserve">عتبر </w:t>
      </w:r>
      <w:r>
        <w:rPr>
          <w:rtl/>
        </w:rPr>
        <w:t xml:space="preserve">حلاً </w:t>
      </w:r>
      <w:r w:rsidRPr="00FE4C18">
        <w:rPr>
          <w:rtl/>
        </w:rPr>
        <w:t xml:space="preserve">لبعض </w:t>
      </w:r>
      <w:r>
        <w:rPr>
          <w:rtl/>
        </w:rPr>
        <w:t>ا</w:t>
      </w:r>
      <w:r w:rsidRPr="00FE4C18">
        <w:rPr>
          <w:rtl/>
        </w:rPr>
        <w:t>لمشا</w:t>
      </w:r>
      <w:r>
        <w:rPr>
          <w:rtl/>
        </w:rPr>
        <w:t>ك</w:t>
      </w:r>
      <w:r w:rsidRPr="00FE4C18">
        <w:rPr>
          <w:rtl/>
        </w:rPr>
        <w:t xml:space="preserve">ل </w:t>
      </w:r>
      <w:r>
        <w:rPr>
          <w:rtl/>
        </w:rPr>
        <w:t>ا</w:t>
      </w:r>
      <w:r w:rsidRPr="00FE4C18">
        <w:rPr>
          <w:rtl/>
        </w:rPr>
        <w:t>لطب</w:t>
      </w:r>
      <w:r>
        <w:rPr>
          <w:rtl/>
        </w:rPr>
        <w:t>ي</w:t>
      </w:r>
      <w:r w:rsidRPr="00FE4C18">
        <w:rPr>
          <w:rtl/>
        </w:rPr>
        <w:t xml:space="preserve">ة </w:t>
      </w:r>
      <w:r>
        <w:rPr>
          <w:rtl/>
        </w:rPr>
        <w:t>ي</w:t>
      </w:r>
      <w:r>
        <w:rPr>
          <w:rFonts w:hint="cs"/>
          <w:rtl/>
        </w:rPr>
        <w:t>ُ</w:t>
      </w:r>
      <w:r w:rsidRPr="00FE4C18">
        <w:rPr>
          <w:rtl/>
        </w:rPr>
        <w:t>تَصوّ</w:t>
      </w:r>
      <w:r>
        <w:rPr>
          <w:rFonts w:hint="cs"/>
          <w:rtl/>
        </w:rPr>
        <w:t>َ</w:t>
      </w:r>
      <w:r w:rsidRPr="00FE4C18">
        <w:rPr>
          <w:rtl/>
        </w:rPr>
        <w:t>ر أنَّه إذا لمْ تمتل</w:t>
      </w:r>
      <w:r>
        <w:rPr>
          <w:rtl/>
        </w:rPr>
        <w:t>ك</w:t>
      </w:r>
      <w:r w:rsidRPr="00FE4C18">
        <w:rPr>
          <w:rtl/>
        </w:rPr>
        <w:t xml:space="preserve"> </w:t>
      </w:r>
      <w:r>
        <w:rPr>
          <w:rtl/>
        </w:rPr>
        <w:t>ا</w:t>
      </w:r>
      <w:r w:rsidRPr="00FE4C18">
        <w:rPr>
          <w:rtl/>
        </w:rPr>
        <w:t xml:space="preserve">لمرأة </w:t>
      </w:r>
      <w:r>
        <w:rPr>
          <w:rtl/>
        </w:rPr>
        <w:t>ا</w:t>
      </w:r>
      <w:r w:rsidRPr="00FE4C18">
        <w:rPr>
          <w:rtl/>
        </w:rPr>
        <w:t>لعاقر رحماً</w:t>
      </w:r>
      <w:r w:rsidRPr="007F5B58">
        <w:rPr>
          <w:rtl/>
        </w:rPr>
        <w:t>،</w:t>
      </w:r>
      <w:r w:rsidRPr="00FE4C18">
        <w:rPr>
          <w:rtl/>
        </w:rPr>
        <w:t xml:space="preserve"> أو فقدت رحمها بسبب من </w:t>
      </w:r>
      <w:r>
        <w:rPr>
          <w:rtl/>
        </w:rPr>
        <w:t>ا</w:t>
      </w:r>
      <w:r w:rsidRPr="00FE4C18">
        <w:rPr>
          <w:rtl/>
        </w:rPr>
        <w:t>ل</w:t>
      </w:r>
      <w:r>
        <w:rPr>
          <w:rtl/>
        </w:rPr>
        <w:t>أ</w:t>
      </w:r>
      <w:r w:rsidRPr="00FE4C18">
        <w:rPr>
          <w:rtl/>
        </w:rPr>
        <w:t>سباب</w:t>
      </w:r>
      <w:r w:rsidRPr="007F5B58">
        <w:rPr>
          <w:rtl/>
        </w:rPr>
        <w:t>،</w:t>
      </w:r>
      <w:r w:rsidRPr="00FE4C18">
        <w:rPr>
          <w:rtl/>
        </w:rPr>
        <w:t xml:space="preserve"> أو لمْ تستطع </w:t>
      </w:r>
      <w:r>
        <w:rPr>
          <w:rtl/>
        </w:rPr>
        <w:t>ا</w:t>
      </w:r>
      <w:r w:rsidRPr="00FE4C18">
        <w:rPr>
          <w:rtl/>
        </w:rPr>
        <w:t>لحمل بسبب مرض عضال</w:t>
      </w:r>
      <w:r w:rsidRPr="007F5B58">
        <w:rPr>
          <w:rtl/>
        </w:rPr>
        <w:t>،</w:t>
      </w:r>
      <w:r w:rsidRPr="00FE4C18">
        <w:rPr>
          <w:rtl/>
        </w:rPr>
        <w:t xml:space="preserve"> ول</w:t>
      </w:r>
      <w:r>
        <w:rPr>
          <w:rtl/>
        </w:rPr>
        <w:t>ك</w:t>
      </w:r>
      <w:r w:rsidRPr="00FE4C18">
        <w:rPr>
          <w:rtl/>
        </w:rPr>
        <w:t>نّها تمتل</w:t>
      </w:r>
      <w:r>
        <w:rPr>
          <w:rtl/>
        </w:rPr>
        <w:t>ك</w:t>
      </w:r>
      <w:r w:rsidRPr="00FE4C18">
        <w:rPr>
          <w:rtl/>
        </w:rPr>
        <w:t xml:space="preserve"> بو</w:t>
      </w:r>
      <w:r>
        <w:rPr>
          <w:rtl/>
        </w:rPr>
        <w:t>ي</w:t>
      </w:r>
      <w:r w:rsidRPr="00FE4C18">
        <w:rPr>
          <w:rtl/>
        </w:rPr>
        <w:t>ضة سالمة</w:t>
      </w:r>
      <w:r w:rsidRPr="007F5B58">
        <w:rPr>
          <w:rtl/>
        </w:rPr>
        <w:t>،</w:t>
      </w:r>
      <w:r w:rsidRPr="00FE4C18">
        <w:rPr>
          <w:rtl/>
        </w:rPr>
        <w:t xml:space="preserve"> فستستخدم رحم امرأة أخر</w:t>
      </w:r>
      <w:r>
        <w:rPr>
          <w:rFonts w:hint="cs"/>
          <w:rtl/>
        </w:rPr>
        <w:t>ى</w:t>
      </w:r>
      <w:r w:rsidRPr="00FE4C18">
        <w:rPr>
          <w:rtl/>
        </w:rPr>
        <w:t xml:space="preserve"> للحصول عل</w:t>
      </w:r>
      <w:r>
        <w:rPr>
          <w:rtl/>
        </w:rPr>
        <w:t>ى ا</w:t>
      </w:r>
      <w:r w:rsidRPr="00FE4C18">
        <w:rPr>
          <w:rtl/>
        </w:rPr>
        <w:t>لطفل</w:t>
      </w:r>
      <w:r>
        <w:rPr>
          <w:rtl/>
        </w:rPr>
        <w:t>.</w:t>
      </w:r>
      <w:r w:rsidRPr="00FE4C18">
        <w:rPr>
          <w:rtl/>
        </w:rPr>
        <w:t xml:space="preserve"> و</w:t>
      </w:r>
      <w:r>
        <w:rPr>
          <w:rtl/>
        </w:rPr>
        <w:t>قد</w:t>
      </w:r>
      <w:r w:rsidRPr="00FE4C18">
        <w:rPr>
          <w:rtl/>
        </w:rPr>
        <w:t xml:space="preserve"> </w:t>
      </w:r>
      <w:r>
        <w:rPr>
          <w:rtl/>
        </w:rPr>
        <w:t>ا</w:t>
      </w:r>
      <w:r w:rsidRPr="00FE4C18">
        <w:rPr>
          <w:rtl/>
        </w:rPr>
        <w:t xml:space="preserve">ستعمل أسلوب </w:t>
      </w:r>
      <w:r w:rsidRPr="00FE4C18">
        <w:t>IVF</w:t>
      </w:r>
      <w:r w:rsidRPr="00FE4C18">
        <w:rPr>
          <w:rtl/>
        </w:rPr>
        <w:t xml:space="preserve"> في </w:t>
      </w:r>
      <w:r>
        <w:rPr>
          <w:rtl/>
        </w:rPr>
        <w:t>ا</w:t>
      </w:r>
      <w:r w:rsidRPr="00FE4C18">
        <w:rPr>
          <w:rtl/>
        </w:rPr>
        <w:t>لبدا</w:t>
      </w:r>
      <w:r>
        <w:rPr>
          <w:rtl/>
        </w:rPr>
        <w:t>ي</w:t>
      </w:r>
      <w:r w:rsidRPr="00FE4C18">
        <w:rPr>
          <w:rtl/>
        </w:rPr>
        <w:t>ة لسد الأناب</w:t>
      </w:r>
      <w:r>
        <w:rPr>
          <w:rtl/>
        </w:rPr>
        <w:t>ي</w:t>
      </w:r>
      <w:r w:rsidRPr="00FE4C18">
        <w:rPr>
          <w:rtl/>
        </w:rPr>
        <w:t xml:space="preserve">ب </w:t>
      </w:r>
      <w:r>
        <w:rPr>
          <w:rtl/>
        </w:rPr>
        <w:t>ا</w:t>
      </w:r>
      <w:r w:rsidRPr="00FE4C18">
        <w:rPr>
          <w:rtl/>
        </w:rPr>
        <w:t>لرحم</w:t>
      </w:r>
      <w:r>
        <w:rPr>
          <w:rtl/>
        </w:rPr>
        <w:t>يّ</w:t>
      </w:r>
      <w:r w:rsidRPr="00FE4C18">
        <w:rPr>
          <w:rtl/>
        </w:rPr>
        <w:t>ة أ</w:t>
      </w:r>
      <w:r>
        <w:rPr>
          <w:rtl/>
        </w:rPr>
        <w:t>ي</w:t>
      </w:r>
      <w:r w:rsidRPr="00FE4C18">
        <w:rPr>
          <w:rtl/>
        </w:rPr>
        <w:t>ضاً</w:t>
      </w:r>
      <w:r w:rsidRPr="007F5B58">
        <w:rPr>
          <w:rtl/>
        </w:rPr>
        <w:t>،</w:t>
      </w:r>
      <w:r>
        <w:rPr>
          <w:rtl/>
        </w:rPr>
        <w:t xml:space="preserve"> و</w:t>
      </w:r>
      <w:r w:rsidRPr="00FE4C18">
        <w:rPr>
          <w:rtl/>
        </w:rPr>
        <w:t xml:space="preserve">بعد </w:t>
      </w:r>
      <w:r>
        <w:rPr>
          <w:rtl/>
        </w:rPr>
        <w:t>ا</w:t>
      </w:r>
      <w:r w:rsidRPr="00FE4C18">
        <w:rPr>
          <w:rtl/>
        </w:rPr>
        <w:t>لتطو</w:t>
      </w:r>
      <w:r>
        <w:rPr>
          <w:rtl/>
        </w:rPr>
        <w:t>ي</w:t>
      </w:r>
      <w:r w:rsidRPr="00FE4C18">
        <w:rPr>
          <w:rtl/>
        </w:rPr>
        <w:t xml:space="preserve">ر </w:t>
      </w:r>
      <w:r>
        <w:rPr>
          <w:rtl/>
        </w:rPr>
        <w:t>ت</w:t>
      </w:r>
      <w:r w:rsidRPr="00FE4C18">
        <w:rPr>
          <w:rtl/>
        </w:rPr>
        <w:t xml:space="preserve">جاوز هذا </w:t>
      </w:r>
      <w:r>
        <w:rPr>
          <w:rtl/>
        </w:rPr>
        <w:t>ا</w:t>
      </w:r>
      <w:r w:rsidRPr="00FE4C18">
        <w:rPr>
          <w:rtl/>
        </w:rPr>
        <w:t xml:space="preserve">لأسلوب عن </w:t>
      </w:r>
      <w:r>
        <w:rPr>
          <w:rFonts w:hint="cs"/>
          <w:rtl/>
        </w:rPr>
        <w:t>استخدام</w:t>
      </w:r>
      <w:r w:rsidRPr="00FE4C18">
        <w:rPr>
          <w:rtl/>
        </w:rPr>
        <w:t xml:space="preserve"> هذا </w:t>
      </w:r>
      <w:r>
        <w:rPr>
          <w:rtl/>
        </w:rPr>
        <w:t>ا</w:t>
      </w:r>
      <w:r w:rsidRPr="00FE4C18">
        <w:rPr>
          <w:rtl/>
        </w:rPr>
        <w:t xml:space="preserve">لنوع من </w:t>
      </w:r>
      <w:r>
        <w:rPr>
          <w:rtl/>
        </w:rPr>
        <w:t>ا</w:t>
      </w:r>
      <w:r w:rsidRPr="00FE4C18">
        <w:rPr>
          <w:rtl/>
        </w:rPr>
        <w:t>لنقائص لأخذ رحم امرأة أخر</w:t>
      </w:r>
      <w:r>
        <w:rPr>
          <w:rtl/>
        </w:rPr>
        <w:t>ى</w:t>
      </w:r>
      <w:r w:rsidRPr="00FE4C18">
        <w:rPr>
          <w:rtl/>
        </w:rPr>
        <w:t xml:space="preserve"> </w:t>
      </w:r>
      <w:r>
        <w:rPr>
          <w:rtl/>
        </w:rPr>
        <w:t>ـ إ</w:t>
      </w:r>
      <w:r w:rsidRPr="00FE4C18">
        <w:rPr>
          <w:rtl/>
        </w:rPr>
        <w:t xml:space="preserve">ضافة </w:t>
      </w:r>
      <w:r>
        <w:rPr>
          <w:rtl/>
        </w:rPr>
        <w:t>إ</w:t>
      </w:r>
      <w:r w:rsidRPr="00FE4C18">
        <w:rPr>
          <w:rtl/>
        </w:rPr>
        <w:t>ل</w:t>
      </w:r>
      <w:r>
        <w:rPr>
          <w:rtl/>
        </w:rPr>
        <w:t xml:space="preserve">ى </w:t>
      </w:r>
      <w:r w:rsidRPr="00FE4C18">
        <w:rPr>
          <w:rtl/>
        </w:rPr>
        <w:t>موضوع</w:t>
      </w:r>
      <w:r>
        <w:rPr>
          <w:rtl/>
        </w:rPr>
        <w:t xml:space="preserve"> </w:t>
      </w:r>
      <w:r w:rsidRPr="00FE4C18">
        <w:rPr>
          <w:rtl/>
        </w:rPr>
        <w:t xml:space="preserve">فقدان </w:t>
      </w:r>
      <w:r>
        <w:rPr>
          <w:rtl/>
        </w:rPr>
        <w:t>ا</w:t>
      </w:r>
      <w:r w:rsidRPr="00FE4C18">
        <w:rPr>
          <w:rtl/>
        </w:rPr>
        <w:t>لرحم</w:t>
      </w:r>
      <w:r>
        <w:rPr>
          <w:rtl/>
        </w:rPr>
        <w:t xml:space="preserve"> و</w:t>
      </w:r>
      <w:r w:rsidRPr="00FE4C18">
        <w:rPr>
          <w:rtl/>
        </w:rPr>
        <w:t xml:space="preserve">عدم قدرة </w:t>
      </w:r>
      <w:r>
        <w:rPr>
          <w:rtl/>
        </w:rPr>
        <w:t>ا</w:t>
      </w:r>
      <w:r w:rsidRPr="00FE4C18">
        <w:rPr>
          <w:rtl/>
        </w:rPr>
        <w:t xml:space="preserve">لمرأة </w:t>
      </w:r>
      <w:r>
        <w:rPr>
          <w:rtl/>
        </w:rPr>
        <w:t>ا</w:t>
      </w:r>
      <w:r w:rsidRPr="00FE4C18">
        <w:rPr>
          <w:rtl/>
        </w:rPr>
        <w:t>لعاقر عل</w:t>
      </w:r>
      <w:r>
        <w:rPr>
          <w:rtl/>
        </w:rPr>
        <w:t xml:space="preserve">ى </w:t>
      </w:r>
      <w:r w:rsidRPr="00FE4C18">
        <w:rPr>
          <w:rtl/>
        </w:rPr>
        <w:t xml:space="preserve">عمل </w:t>
      </w:r>
      <w:r>
        <w:rPr>
          <w:rtl/>
        </w:rPr>
        <w:t>ا</w:t>
      </w:r>
      <w:r w:rsidRPr="00FE4C18">
        <w:rPr>
          <w:rtl/>
        </w:rPr>
        <w:t>لجن</w:t>
      </w:r>
      <w:r>
        <w:rPr>
          <w:rtl/>
        </w:rPr>
        <w:t>ي</w:t>
      </w:r>
      <w:r w:rsidRPr="00FE4C18">
        <w:rPr>
          <w:rtl/>
        </w:rPr>
        <w:t>ن</w:t>
      </w:r>
      <w:r>
        <w:rPr>
          <w:rtl/>
        </w:rPr>
        <w:t xml:space="preserve"> ـ. ولاستعمال هذا الأسلوب</w:t>
      </w:r>
      <w:r w:rsidRPr="00FE4C18">
        <w:rPr>
          <w:rtl/>
        </w:rPr>
        <w:t xml:space="preserve"> بواعث أخر</w:t>
      </w:r>
      <w:r>
        <w:rPr>
          <w:rtl/>
        </w:rPr>
        <w:t>ى</w:t>
      </w:r>
      <w:r w:rsidRPr="00FE4C18">
        <w:rPr>
          <w:rtl/>
        </w:rPr>
        <w:t xml:space="preserve"> </w:t>
      </w:r>
      <w:r>
        <w:rPr>
          <w:rtl/>
        </w:rPr>
        <w:t>كذلك</w:t>
      </w:r>
      <w:r w:rsidRPr="007F5B58">
        <w:rPr>
          <w:rtl/>
        </w:rPr>
        <w:t>،</w:t>
      </w:r>
      <w:r>
        <w:rPr>
          <w:rtl/>
        </w:rPr>
        <w:t xml:space="preserve"> </w:t>
      </w:r>
      <w:r w:rsidRPr="00FE4C18">
        <w:rPr>
          <w:rtl/>
        </w:rPr>
        <w:t>وهي</w:t>
      </w:r>
      <w:r w:rsidRPr="007F5B58">
        <w:rPr>
          <w:rtl/>
        </w:rPr>
        <w:t>:</w:t>
      </w:r>
      <w:r w:rsidRPr="00FE4C18">
        <w:rPr>
          <w:rtl/>
        </w:rPr>
        <w:t xml:space="preserve"> </w:t>
      </w:r>
    </w:p>
    <w:p w:rsidR="00391A35" w:rsidRPr="00FE4C18" w:rsidRDefault="00391A35" w:rsidP="00D063EC">
      <w:pPr>
        <w:pStyle w:val="1"/>
        <w:spacing w:line="168" w:lineRule="auto"/>
      </w:pPr>
      <w:bookmarkStart w:id="468" w:name="_Toc275128175"/>
      <w:r w:rsidRPr="00FE4C18">
        <w:rPr>
          <w:rtl/>
        </w:rPr>
        <w:lastRenderedPageBreak/>
        <w:t xml:space="preserve">سبب </w:t>
      </w:r>
      <w:r>
        <w:rPr>
          <w:rtl/>
        </w:rPr>
        <w:t>العقم</w:t>
      </w:r>
      <w:bookmarkEnd w:id="468"/>
    </w:p>
    <w:p w:rsidR="00391A35" w:rsidRDefault="00391A35" w:rsidP="00391A35">
      <w:pPr>
        <w:pStyle w:val="ac"/>
        <w:rPr>
          <w:rtl/>
        </w:rPr>
      </w:pPr>
      <w:r w:rsidRPr="00FE4C18">
        <w:rPr>
          <w:rtl/>
        </w:rPr>
        <w:t>عل</w:t>
      </w:r>
      <w:r>
        <w:rPr>
          <w:rtl/>
        </w:rPr>
        <w:t xml:space="preserve">ى </w:t>
      </w:r>
      <w:r w:rsidRPr="00FE4C18">
        <w:rPr>
          <w:rtl/>
        </w:rPr>
        <w:t xml:space="preserve">أساس سبب </w:t>
      </w:r>
      <w:r>
        <w:rPr>
          <w:rtl/>
        </w:rPr>
        <w:t>ا</w:t>
      </w:r>
      <w:r w:rsidRPr="00FE4C18">
        <w:rPr>
          <w:rtl/>
        </w:rPr>
        <w:t xml:space="preserve">لعقم </w:t>
      </w:r>
      <w:r>
        <w:rPr>
          <w:rtl/>
        </w:rPr>
        <w:t>ي</w:t>
      </w:r>
      <w:r w:rsidRPr="00FE4C18">
        <w:rPr>
          <w:rtl/>
        </w:rPr>
        <w:t>ع</w:t>
      </w:r>
      <w:r>
        <w:rPr>
          <w:rtl/>
        </w:rPr>
        <w:t>يّ</w:t>
      </w:r>
      <w:r w:rsidRPr="00FE4C18">
        <w:rPr>
          <w:rtl/>
        </w:rPr>
        <w:t>ن نوع علاجه.</w:t>
      </w:r>
      <w:r>
        <w:rPr>
          <w:rtl/>
        </w:rPr>
        <w:t xml:space="preserve"> </w:t>
      </w:r>
      <w:r w:rsidRPr="00FE4C18">
        <w:rPr>
          <w:rtl/>
        </w:rPr>
        <w:t>و</w:t>
      </w:r>
      <w:r>
        <w:rPr>
          <w:rtl/>
        </w:rPr>
        <w:t>ي</w:t>
      </w:r>
      <w:r w:rsidRPr="00FE4C18">
        <w:rPr>
          <w:rtl/>
        </w:rPr>
        <w:t>نتخب استخدام رحم امر</w:t>
      </w:r>
      <w:r>
        <w:rPr>
          <w:rFonts w:hint="cs"/>
          <w:rtl/>
        </w:rPr>
        <w:t>أة</w:t>
      </w:r>
      <w:r w:rsidRPr="00FE4C18">
        <w:rPr>
          <w:rtl/>
        </w:rPr>
        <w:t xml:space="preserve"> أخر</w:t>
      </w:r>
      <w:r>
        <w:rPr>
          <w:rtl/>
        </w:rPr>
        <w:t xml:space="preserve">ى </w:t>
      </w:r>
      <w:r w:rsidRPr="00FE4C18">
        <w:rPr>
          <w:rtl/>
        </w:rPr>
        <w:t>لفر</w:t>
      </w:r>
      <w:r>
        <w:rPr>
          <w:rtl/>
        </w:rPr>
        <w:t>ي</w:t>
      </w:r>
      <w:r w:rsidRPr="00FE4C18">
        <w:rPr>
          <w:rtl/>
        </w:rPr>
        <w:t xml:space="preserve">ق من </w:t>
      </w:r>
      <w:r>
        <w:rPr>
          <w:rtl/>
        </w:rPr>
        <w:t>ا</w:t>
      </w:r>
      <w:r w:rsidRPr="00FE4C18">
        <w:rPr>
          <w:rtl/>
        </w:rPr>
        <w:t>لزوج</w:t>
      </w:r>
      <w:r>
        <w:rPr>
          <w:rtl/>
        </w:rPr>
        <w:t>ي</w:t>
      </w:r>
      <w:r w:rsidRPr="00FE4C18">
        <w:rPr>
          <w:rtl/>
        </w:rPr>
        <w:t xml:space="preserve">ن </w:t>
      </w:r>
      <w:r>
        <w:rPr>
          <w:rtl/>
        </w:rPr>
        <w:t>ا</w:t>
      </w:r>
      <w:r w:rsidRPr="00FE4C18">
        <w:rPr>
          <w:rtl/>
        </w:rPr>
        <w:t>لعاقر</w:t>
      </w:r>
      <w:r>
        <w:rPr>
          <w:rtl/>
        </w:rPr>
        <w:t>ي</w:t>
      </w:r>
      <w:r w:rsidRPr="00FE4C18">
        <w:rPr>
          <w:rtl/>
        </w:rPr>
        <w:t xml:space="preserve">ن </w:t>
      </w:r>
      <w:r>
        <w:rPr>
          <w:rtl/>
        </w:rPr>
        <w:t>ا</w:t>
      </w:r>
      <w:r w:rsidRPr="00FE4C18">
        <w:rPr>
          <w:rtl/>
        </w:rPr>
        <w:t>للذ</w:t>
      </w:r>
      <w:r>
        <w:rPr>
          <w:rtl/>
        </w:rPr>
        <w:t>ي</w:t>
      </w:r>
      <w:r w:rsidRPr="00FE4C18">
        <w:rPr>
          <w:rtl/>
        </w:rPr>
        <w:t xml:space="preserve">ن </w:t>
      </w:r>
      <w:r>
        <w:rPr>
          <w:rtl/>
        </w:rPr>
        <w:t>لم</w:t>
      </w:r>
      <w:r w:rsidRPr="00FE4C18">
        <w:rPr>
          <w:rtl/>
        </w:rPr>
        <w:t xml:space="preserve"> </w:t>
      </w:r>
      <w:r>
        <w:rPr>
          <w:rtl/>
        </w:rPr>
        <w:t>ينجح علاجهما</w:t>
      </w:r>
      <w:r w:rsidRPr="007F5B58">
        <w:rPr>
          <w:rtl/>
        </w:rPr>
        <w:t>؛</w:t>
      </w:r>
      <w:r>
        <w:rPr>
          <w:rtl/>
        </w:rPr>
        <w:t xml:space="preserve"> أو </w:t>
      </w:r>
      <w:r w:rsidRPr="00FE4C18">
        <w:rPr>
          <w:rtl/>
        </w:rPr>
        <w:t xml:space="preserve">رفضا نوع </w:t>
      </w:r>
      <w:r>
        <w:rPr>
          <w:rtl/>
        </w:rPr>
        <w:t>العلاج</w:t>
      </w:r>
      <w:r w:rsidRPr="007F5B58">
        <w:rPr>
          <w:rtl/>
        </w:rPr>
        <w:t>؛</w:t>
      </w:r>
      <w:r>
        <w:rPr>
          <w:rtl/>
        </w:rPr>
        <w:t xml:space="preserve"> أو كان </w:t>
      </w:r>
      <w:r w:rsidRPr="00FE4C18">
        <w:rPr>
          <w:rtl/>
        </w:rPr>
        <w:t xml:space="preserve">سبب </w:t>
      </w:r>
      <w:r>
        <w:rPr>
          <w:rtl/>
        </w:rPr>
        <w:t>ا</w:t>
      </w:r>
      <w:r w:rsidRPr="00FE4C18">
        <w:rPr>
          <w:rtl/>
        </w:rPr>
        <w:t xml:space="preserve">لعقم </w:t>
      </w:r>
      <w:r>
        <w:rPr>
          <w:rtl/>
        </w:rPr>
        <w:t xml:space="preserve">مما لا </w:t>
      </w:r>
      <w:r w:rsidRPr="00FE4C18">
        <w:rPr>
          <w:rtl/>
        </w:rPr>
        <w:t>علاج</w:t>
      </w:r>
      <w:r>
        <w:rPr>
          <w:rtl/>
        </w:rPr>
        <w:t xml:space="preserve"> له</w:t>
      </w:r>
      <w:r w:rsidRPr="00815C4C">
        <w:rPr>
          <w:rFonts w:cs="Taher"/>
          <w:vertAlign w:val="superscript"/>
          <w:rtl/>
        </w:rPr>
        <w:t>(</w:t>
      </w:r>
      <w:r w:rsidRPr="00815C4C">
        <w:rPr>
          <w:rFonts w:cs="Taher"/>
          <w:vertAlign w:val="superscript"/>
          <w:rtl/>
        </w:rPr>
        <w:footnoteReference w:id="874"/>
      </w:r>
      <w:r w:rsidRPr="00815C4C">
        <w:rPr>
          <w:rFonts w:cs="Taher"/>
          <w:vertAlign w:val="superscript"/>
          <w:rtl/>
        </w:rPr>
        <w:t>)</w:t>
      </w:r>
      <w:r>
        <w:rPr>
          <w:rtl/>
        </w:rPr>
        <w:t>.</w:t>
      </w:r>
    </w:p>
    <w:p w:rsidR="00391A35" w:rsidRPr="00D063EC" w:rsidRDefault="00391A35" w:rsidP="00D063EC">
      <w:pPr>
        <w:pStyle w:val="afffffc"/>
        <w:rPr>
          <w:rFonts w:ascii="Mosawi" w:hAnsi="Mosawi"/>
          <w:sz w:val="22"/>
          <w:szCs w:val="20"/>
        </w:rPr>
      </w:pPr>
    </w:p>
    <w:p w:rsidR="00391A35" w:rsidRPr="00FE4C18" w:rsidRDefault="00391A35" w:rsidP="00391A35">
      <w:pPr>
        <w:pStyle w:val="1"/>
      </w:pPr>
      <w:bookmarkStart w:id="469" w:name="_Toc275128176"/>
      <w:r w:rsidRPr="00FE4C18">
        <w:rPr>
          <w:rtl/>
        </w:rPr>
        <w:t xml:space="preserve">حالة </w:t>
      </w:r>
      <w:r>
        <w:rPr>
          <w:rtl/>
        </w:rPr>
        <w:t>ا</w:t>
      </w:r>
      <w:r w:rsidRPr="00FE4C18">
        <w:rPr>
          <w:rtl/>
        </w:rPr>
        <w:t xml:space="preserve">لمرأة </w:t>
      </w:r>
      <w:r>
        <w:rPr>
          <w:rtl/>
        </w:rPr>
        <w:t>ا</w:t>
      </w:r>
      <w:r w:rsidRPr="00FE4C18">
        <w:rPr>
          <w:rtl/>
        </w:rPr>
        <w:t>لصح</w:t>
      </w:r>
      <w:r>
        <w:rPr>
          <w:rtl/>
        </w:rPr>
        <w:t>ي</w:t>
      </w:r>
      <w:r w:rsidRPr="00FE4C18">
        <w:rPr>
          <w:rtl/>
        </w:rPr>
        <w:t xml:space="preserve">حة (عدم </w:t>
      </w:r>
      <w:r>
        <w:rPr>
          <w:rtl/>
        </w:rPr>
        <w:t>ا</w:t>
      </w:r>
      <w:r w:rsidRPr="00FE4C18">
        <w:rPr>
          <w:rtl/>
        </w:rPr>
        <w:t xml:space="preserve">لانطباق </w:t>
      </w:r>
      <w:r>
        <w:rPr>
          <w:rtl/>
        </w:rPr>
        <w:t>ا</w:t>
      </w:r>
      <w:r w:rsidRPr="00FE4C18">
        <w:rPr>
          <w:rtl/>
        </w:rPr>
        <w:t>لجن</w:t>
      </w:r>
      <w:r>
        <w:rPr>
          <w:rtl/>
        </w:rPr>
        <w:t>يني ـ الأمي)</w:t>
      </w:r>
      <w:bookmarkEnd w:id="469"/>
    </w:p>
    <w:p w:rsidR="00391A35" w:rsidRPr="00FE4C18" w:rsidRDefault="00391A35" w:rsidP="00391A35">
      <w:pPr>
        <w:pStyle w:val="ac"/>
        <w:rPr>
          <w:rtl/>
        </w:rPr>
      </w:pPr>
      <w:r w:rsidRPr="00FE4C18">
        <w:rPr>
          <w:rtl/>
        </w:rPr>
        <w:t>قد ت</w:t>
      </w:r>
      <w:r>
        <w:rPr>
          <w:rtl/>
        </w:rPr>
        <w:t>ك</w:t>
      </w:r>
      <w:r w:rsidRPr="00FE4C18">
        <w:rPr>
          <w:rtl/>
        </w:rPr>
        <w:t xml:space="preserve">ون حالة </w:t>
      </w:r>
      <w:r>
        <w:rPr>
          <w:rtl/>
        </w:rPr>
        <w:t>ا</w:t>
      </w:r>
      <w:r w:rsidRPr="00FE4C18">
        <w:rPr>
          <w:rtl/>
        </w:rPr>
        <w:t xml:space="preserve">لمرأة </w:t>
      </w:r>
      <w:r>
        <w:rPr>
          <w:rtl/>
        </w:rPr>
        <w:t>ا</w:t>
      </w:r>
      <w:r w:rsidRPr="00FE4C18">
        <w:rPr>
          <w:rtl/>
        </w:rPr>
        <w:t>لصح</w:t>
      </w:r>
      <w:r>
        <w:rPr>
          <w:rtl/>
        </w:rPr>
        <w:t>ي</w:t>
      </w:r>
      <w:r w:rsidRPr="00FE4C18">
        <w:rPr>
          <w:rtl/>
        </w:rPr>
        <w:t>حة</w:t>
      </w:r>
      <w:r w:rsidRPr="007F5B58">
        <w:rPr>
          <w:rtl/>
        </w:rPr>
        <w:t>،</w:t>
      </w:r>
      <w:r w:rsidRPr="00FE4C18">
        <w:rPr>
          <w:rtl/>
        </w:rPr>
        <w:t xml:space="preserve"> في بعض </w:t>
      </w:r>
      <w:r>
        <w:rPr>
          <w:rtl/>
        </w:rPr>
        <w:t>ا</w:t>
      </w:r>
      <w:r w:rsidRPr="00FE4C18">
        <w:rPr>
          <w:rtl/>
        </w:rPr>
        <w:t>لأح</w:t>
      </w:r>
      <w:r>
        <w:rPr>
          <w:rtl/>
        </w:rPr>
        <w:t>ي</w:t>
      </w:r>
      <w:r w:rsidRPr="00FE4C18">
        <w:rPr>
          <w:rtl/>
        </w:rPr>
        <w:t>ان</w:t>
      </w:r>
      <w:r w:rsidRPr="007F5B58">
        <w:rPr>
          <w:rtl/>
        </w:rPr>
        <w:t>،</w:t>
      </w:r>
      <w:r w:rsidRPr="00FE4C18">
        <w:rPr>
          <w:rtl/>
        </w:rPr>
        <w:t xml:space="preserve"> لا تسمح لها باستمرار دورة </w:t>
      </w:r>
      <w:r>
        <w:rPr>
          <w:rtl/>
        </w:rPr>
        <w:t>ا</w:t>
      </w:r>
      <w:r w:rsidRPr="00FE4C18">
        <w:rPr>
          <w:rtl/>
        </w:rPr>
        <w:t>لحمل حت</w:t>
      </w:r>
      <w:r>
        <w:rPr>
          <w:rtl/>
        </w:rPr>
        <w:t>ى ا</w:t>
      </w:r>
      <w:r w:rsidRPr="00FE4C18">
        <w:rPr>
          <w:rtl/>
        </w:rPr>
        <w:t xml:space="preserve">لولادة. </w:t>
      </w:r>
    </w:p>
    <w:p w:rsidR="00391A35" w:rsidRDefault="00391A35" w:rsidP="00391A35">
      <w:pPr>
        <w:pStyle w:val="ac"/>
        <w:rPr>
          <w:rtl/>
        </w:rPr>
      </w:pPr>
      <w:r w:rsidRPr="00FE4C18">
        <w:rPr>
          <w:rtl/>
        </w:rPr>
        <w:t>و</w:t>
      </w:r>
      <w:r>
        <w:rPr>
          <w:rtl/>
        </w:rPr>
        <w:t>ك</w:t>
      </w:r>
      <w:r w:rsidRPr="00FE4C18">
        <w:rPr>
          <w:rtl/>
        </w:rPr>
        <w:t>ذل</w:t>
      </w:r>
      <w:r>
        <w:rPr>
          <w:rtl/>
        </w:rPr>
        <w:t>ك</w:t>
      </w:r>
      <w:r w:rsidRPr="00FE4C18">
        <w:rPr>
          <w:rtl/>
        </w:rPr>
        <w:t xml:space="preserve"> </w:t>
      </w:r>
      <w:r>
        <w:rPr>
          <w:rtl/>
        </w:rPr>
        <w:t>توجد حالات ي</w:t>
      </w:r>
      <w:r w:rsidRPr="00FE4C18">
        <w:rPr>
          <w:rtl/>
        </w:rPr>
        <w:t xml:space="preserve">واجه </w:t>
      </w:r>
      <w:r>
        <w:rPr>
          <w:rtl/>
        </w:rPr>
        <w:t>ا</w:t>
      </w:r>
      <w:r w:rsidRPr="00FE4C18">
        <w:rPr>
          <w:rtl/>
        </w:rPr>
        <w:t>لجن</w:t>
      </w:r>
      <w:r>
        <w:rPr>
          <w:rtl/>
        </w:rPr>
        <w:t>ي</w:t>
      </w:r>
      <w:r w:rsidRPr="00FE4C18">
        <w:rPr>
          <w:rtl/>
        </w:rPr>
        <w:t>ن ف</w:t>
      </w:r>
      <w:r>
        <w:rPr>
          <w:rtl/>
        </w:rPr>
        <w:t>ي</w:t>
      </w:r>
      <w:r w:rsidRPr="00FE4C18">
        <w:rPr>
          <w:rtl/>
        </w:rPr>
        <w:t>ها أخطاراً انتقلت إل</w:t>
      </w:r>
      <w:r>
        <w:rPr>
          <w:rtl/>
        </w:rPr>
        <w:t>ي</w:t>
      </w:r>
      <w:r w:rsidRPr="00FE4C18">
        <w:rPr>
          <w:rtl/>
        </w:rPr>
        <w:t xml:space="preserve">ه من </w:t>
      </w:r>
      <w:r>
        <w:rPr>
          <w:rtl/>
        </w:rPr>
        <w:t>ا</w:t>
      </w:r>
      <w:r w:rsidRPr="00FE4C18">
        <w:rPr>
          <w:rtl/>
        </w:rPr>
        <w:t>لأم</w:t>
      </w:r>
      <w:r w:rsidRPr="007F5B58">
        <w:rPr>
          <w:rtl/>
        </w:rPr>
        <w:t>،</w:t>
      </w:r>
      <w:r w:rsidRPr="00FE4C18">
        <w:rPr>
          <w:rtl/>
        </w:rPr>
        <w:t xml:space="preserve"> فمثلاً</w:t>
      </w:r>
      <w:r w:rsidRPr="007F5B58">
        <w:rPr>
          <w:rtl/>
        </w:rPr>
        <w:t>:</w:t>
      </w:r>
      <w:r w:rsidRPr="00FE4C18">
        <w:rPr>
          <w:rtl/>
        </w:rPr>
        <w:t xml:space="preserve"> في حالة تأثر </w:t>
      </w:r>
      <w:r w:rsidRPr="00FE4C18">
        <w:t>RH</w:t>
      </w:r>
      <w:r w:rsidRPr="007F5B58">
        <w:rPr>
          <w:rtl/>
        </w:rPr>
        <w:t>،</w:t>
      </w:r>
      <w:r w:rsidRPr="00FE4C18">
        <w:rPr>
          <w:rtl/>
        </w:rPr>
        <w:t xml:space="preserve"> </w:t>
      </w:r>
      <w:r>
        <w:rPr>
          <w:rtl/>
        </w:rPr>
        <w:t>و</w:t>
      </w:r>
      <w:r w:rsidRPr="00FE4C18">
        <w:rPr>
          <w:rtl/>
        </w:rPr>
        <w:t xml:space="preserve">علاج </w:t>
      </w:r>
      <w:r>
        <w:rPr>
          <w:rtl/>
        </w:rPr>
        <w:t>ا</w:t>
      </w:r>
      <w:r w:rsidRPr="00FE4C18">
        <w:rPr>
          <w:rtl/>
        </w:rPr>
        <w:t xml:space="preserve">لأم </w:t>
      </w:r>
      <w:r>
        <w:rPr>
          <w:rtl/>
        </w:rPr>
        <w:t>ا</w:t>
      </w:r>
      <w:r w:rsidRPr="00FE4C18">
        <w:rPr>
          <w:rtl/>
        </w:rPr>
        <w:t>ل</w:t>
      </w:r>
      <w:r>
        <w:rPr>
          <w:rtl/>
        </w:rPr>
        <w:t>كي</w:t>
      </w:r>
      <w:r w:rsidRPr="00FE4C18">
        <w:rPr>
          <w:rtl/>
        </w:rPr>
        <w:t>م</w:t>
      </w:r>
      <w:r>
        <w:rPr>
          <w:rtl/>
        </w:rPr>
        <w:t>ي</w:t>
      </w:r>
      <w:r w:rsidRPr="00FE4C18">
        <w:rPr>
          <w:rtl/>
        </w:rPr>
        <w:t>او</w:t>
      </w:r>
      <w:r>
        <w:rPr>
          <w:rtl/>
        </w:rPr>
        <w:t>ي</w:t>
      </w:r>
      <w:r w:rsidRPr="007F5B58">
        <w:rPr>
          <w:rtl/>
        </w:rPr>
        <w:t>،</w:t>
      </w:r>
      <w:r>
        <w:rPr>
          <w:rtl/>
        </w:rPr>
        <w:t xml:space="preserve"> </w:t>
      </w:r>
      <w:r w:rsidRPr="00FE4C18">
        <w:rPr>
          <w:rtl/>
        </w:rPr>
        <w:t xml:space="preserve">أو </w:t>
      </w:r>
      <w:r>
        <w:rPr>
          <w:rtl/>
        </w:rPr>
        <w:t>ا</w:t>
      </w:r>
      <w:r w:rsidRPr="00FE4C18">
        <w:rPr>
          <w:rtl/>
        </w:rPr>
        <w:t xml:space="preserve">لإجهاضات </w:t>
      </w:r>
      <w:r>
        <w:rPr>
          <w:rtl/>
        </w:rPr>
        <w:t>ا</w:t>
      </w:r>
      <w:r w:rsidRPr="00FE4C18">
        <w:rPr>
          <w:rtl/>
        </w:rPr>
        <w:t>لرائجة</w:t>
      </w:r>
      <w:r w:rsidRPr="007F5B58">
        <w:rPr>
          <w:rtl/>
        </w:rPr>
        <w:t>،</w:t>
      </w:r>
      <w:r w:rsidRPr="00FE4C18">
        <w:rPr>
          <w:rtl/>
        </w:rPr>
        <w:t xml:space="preserve"> ت</w:t>
      </w:r>
      <w:r>
        <w:rPr>
          <w:rtl/>
        </w:rPr>
        <w:t>ك</w:t>
      </w:r>
      <w:r w:rsidRPr="00FE4C18">
        <w:rPr>
          <w:rtl/>
        </w:rPr>
        <w:t xml:space="preserve">ون هذه </w:t>
      </w:r>
      <w:r>
        <w:rPr>
          <w:rtl/>
        </w:rPr>
        <w:t>ا</w:t>
      </w:r>
      <w:r w:rsidRPr="00FE4C18">
        <w:rPr>
          <w:rtl/>
        </w:rPr>
        <w:t>لمشا</w:t>
      </w:r>
      <w:r>
        <w:rPr>
          <w:rtl/>
        </w:rPr>
        <w:t>ك</w:t>
      </w:r>
      <w:r w:rsidRPr="00FE4C18">
        <w:rPr>
          <w:rtl/>
        </w:rPr>
        <w:t>ل تحت عنوان (التطب</w:t>
      </w:r>
      <w:r>
        <w:rPr>
          <w:rtl/>
        </w:rPr>
        <w:t>ي</w:t>
      </w:r>
      <w:r w:rsidRPr="00FE4C18">
        <w:rPr>
          <w:rtl/>
        </w:rPr>
        <w:t>ق الجن</w:t>
      </w:r>
      <w:r>
        <w:rPr>
          <w:rtl/>
        </w:rPr>
        <w:t>ي</w:t>
      </w:r>
      <w:r w:rsidRPr="00FE4C18">
        <w:rPr>
          <w:rtl/>
        </w:rPr>
        <w:t>ني</w:t>
      </w:r>
      <w:r>
        <w:rPr>
          <w:rtl/>
        </w:rPr>
        <w:t xml:space="preserve"> ـ</w:t>
      </w:r>
      <w:r w:rsidRPr="00FE4C18">
        <w:rPr>
          <w:rtl/>
        </w:rPr>
        <w:t xml:space="preserve"> الأمي)</w:t>
      </w:r>
      <w:r>
        <w:rPr>
          <w:rtl/>
        </w:rPr>
        <w:t>.</w:t>
      </w:r>
      <w:r w:rsidRPr="00FE4C18">
        <w:rPr>
          <w:rtl/>
        </w:rPr>
        <w:t xml:space="preserve"> </w:t>
      </w:r>
    </w:p>
    <w:p w:rsidR="00391A35" w:rsidRPr="00D063EC" w:rsidRDefault="00391A35" w:rsidP="00D063EC">
      <w:pPr>
        <w:pStyle w:val="afffffc"/>
        <w:rPr>
          <w:sz w:val="24"/>
          <w:szCs w:val="22"/>
          <w:rtl/>
        </w:rPr>
      </w:pPr>
    </w:p>
    <w:p w:rsidR="00391A35" w:rsidRPr="00FE4C18" w:rsidRDefault="00391A35" w:rsidP="00391A35">
      <w:pPr>
        <w:pStyle w:val="1"/>
      </w:pPr>
      <w:bookmarkStart w:id="470" w:name="_Toc275128177"/>
      <w:r w:rsidRPr="00FE4C18">
        <w:rPr>
          <w:rtl/>
        </w:rPr>
        <w:t xml:space="preserve">المنع من انتقال </w:t>
      </w:r>
      <w:r>
        <w:rPr>
          <w:rtl/>
        </w:rPr>
        <w:t>ا</w:t>
      </w:r>
      <w:r w:rsidRPr="00FE4C18">
        <w:rPr>
          <w:rtl/>
        </w:rPr>
        <w:t xml:space="preserve">لنقائص </w:t>
      </w:r>
      <w:r>
        <w:rPr>
          <w:rtl/>
        </w:rPr>
        <w:t>ا</w:t>
      </w:r>
      <w:r w:rsidRPr="00FE4C18">
        <w:rPr>
          <w:rtl/>
        </w:rPr>
        <w:t>لوراث</w:t>
      </w:r>
      <w:r>
        <w:rPr>
          <w:rtl/>
        </w:rPr>
        <w:t>ي</w:t>
      </w:r>
      <w:r w:rsidRPr="00FE4C18">
        <w:rPr>
          <w:rtl/>
        </w:rPr>
        <w:t>ة</w:t>
      </w:r>
      <w:bookmarkEnd w:id="470"/>
      <w:r w:rsidRPr="00FE4C18">
        <w:rPr>
          <w:rtl/>
        </w:rPr>
        <w:t xml:space="preserve"> </w:t>
      </w:r>
    </w:p>
    <w:p w:rsidR="00391A35" w:rsidRPr="00FE4C18" w:rsidRDefault="00391A35" w:rsidP="00391A35">
      <w:pPr>
        <w:pStyle w:val="ac"/>
        <w:rPr>
          <w:rtl/>
        </w:rPr>
      </w:pPr>
      <w:r w:rsidRPr="00FE4C18">
        <w:rPr>
          <w:rtl/>
        </w:rPr>
        <w:t xml:space="preserve">في بعض </w:t>
      </w:r>
      <w:r>
        <w:rPr>
          <w:rtl/>
        </w:rPr>
        <w:t>ا</w:t>
      </w:r>
      <w:r w:rsidRPr="00FE4C18">
        <w:rPr>
          <w:rtl/>
        </w:rPr>
        <w:t xml:space="preserve">لأمراض </w:t>
      </w:r>
      <w:r>
        <w:rPr>
          <w:rtl/>
        </w:rPr>
        <w:t>ا</w:t>
      </w:r>
      <w:r w:rsidRPr="00FE4C18">
        <w:rPr>
          <w:rtl/>
        </w:rPr>
        <w:t>لوراث</w:t>
      </w:r>
      <w:r>
        <w:rPr>
          <w:rtl/>
        </w:rPr>
        <w:t>يّ</w:t>
      </w:r>
      <w:r w:rsidRPr="00FE4C18">
        <w:rPr>
          <w:rtl/>
        </w:rPr>
        <w:t xml:space="preserve">ة </w:t>
      </w:r>
      <w:r>
        <w:rPr>
          <w:rtl/>
        </w:rPr>
        <w:t>ي</w:t>
      </w:r>
      <w:r w:rsidRPr="00FE4C18">
        <w:rPr>
          <w:rtl/>
        </w:rPr>
        <w:t xml:space="preserve">برز خطر انتقال </w:t>
      </w:r>
      <w:r>
        <w:rPr>
          <w:rtl/>
        </w:rPr>
        <w:t>ا</w:t>
      </w:r>
      <w:r w:rsidRPr="00FE4C18">
        <w:rPr>
          <w:rtl/>
        </w:rPr>
        <w:t>لج</w:t>
      </w:r>
      <w:r>
        <w:rPr>
          <w:rtl/>
        </w:rPr>
        <w:t>ي</w:t>
      </w:r>
      <w:r w:rsidRPr="00FE4C18">
        <w:rPr>
          <w:rtl/>
        </w:rPr>
        <w:t xml:space="preserve">ن </w:t>
      </w:r>
      <w:r>
        <w:rPr>
          <w:rtl/>
        </w:rPr>
        <w:t>ا</w:t>
      </w:r>
      <w:r w:rsidRPr="00FE4C18">
        <w:rPr>
          <w:rtl/>
        </w:rPr>
        <w:t xml:space="preserve">لناقص عبر أحد </w:t>
      </w:r>
      <w:r>
        <w:rPr>
          <w:rtl/>
        </w:rPr>
        <w:t>ك</w:t>
      </w:r>
      <w:r w:rsidRPr="00FE4C18">
        <w:rPr>
          <w:rtl/>
        </w:rPr>
        <w:t xml:space="preserve">روموسومات </w:t>
      </w:r>
      <w:r>
        <w:rPr>
          <w:rtl/>
        </w:rPr>
        <w:t>ا</w:t>
      </w:r>
      <w:r w:rsidRPr="00FE4C18">
        <w:rPr>
          <w:rtl/>
        </w:rPr>
        <w:t>لمرأة إل</w:t>
      </w:r>
      <w:r>
        <w:rPr>
          <w:rtl/>
        </w:rPr>
        <w:t>ى ا</w:t>
      </w:r>
      <w:r w:rsidRPr="00FE4C18">
        <w:rPr>
          <w:rtl/>
        </w:rPr>
        <w:t>لجن</w:t>
      </w:r>
      <w:r>
        <w:rPr>
          <w:rtl/>
        </w:rPr>
        <w:t>ي</w:t>
      </w:r>
      <w:r w:rsidRPr="00FE4C18">
        <w:rPr>
          <w:rtl/>
        </w:rPr>
        <w:t>ن</w:t>
      </w:r>
      <w:r>
        <w:rPr>
          <w:rtl/>
        </w:rPr>
        <w:t>.</w:t>
      </w:r>
      <w:r w:rsidRPr="00FE4C18">
        <w:rPr>
          <w:rtl/>
        </w:rPr>
        <w:t xml:space="preserve"> </w:t>
      </w:r>
      <w:r>
        <w:rPr>
          <w:rtl/>
        </w:rPr>
        <w:t xml:space="preserve">وإن </w:t>
      </w:r>
      <w:r w:rsidRPr="00FE4C18">
        <w:rPr>
          <w:rtl/>
        </w:rPr>
        <w:t>التق</w:t>
      </w:r>
      <w:r>
        <w:rPr>
          <w:rtl/>
        </w:rPr>
        <w:t>يي</w:t>
      </w:r>
      <w:r w:rsidRPr="00FE4C18">
        <w:rPr>
          <w:rtl/>
        </w:rPr>
        <w:t xml:space="preserve">م </w:t>
      </w:r>
      <w:r>
        <w:rPr>
          <w:rtl/>
        </w:rPr>
        <w:t>ا</w:t>
      </w:r>
      <w:r w:rsidRPr="00FE4C18">
        <w:rPr>
          <w:rtl/>
        </w:rPr>
        <w:t>ل</w:t>
      </w:r>
      <w:r>
        <w:rPr>
          <w:rtl/>
        </w:rPr>
        <w:t>ك</w:t>
      </w:r>
      <w:r w:rsidRPr="00FE4C18">
        <w:rPr>
          <w:rtl/>
        </w:rPr>
        <w:t xml:space="preserve">روموسومي في مجال </w:t>
      </w:r>
      <w:r>
        <w:rPr>
          <w:rtl/>
        </w:rPr>
        <w:t>ا</w:t>
      </w:r>
      <w:r w:rsidRPr="00FE4C18">
        <w:rPr>
          <w:rtl/>
        </w:rPr>
        <w:t xml:space="preserve">لوراثة قبل وضع </w:t>
      </w:r>
      <w:r>
        <w:rPr>
          <w:rtl/>
        </w:rPr>
        <w:t>ا</w:t>
      </w:r>
      <w:r w:rsidRPr="00FE4C18">
        <w:rPr>
          <w:rtl/>
        </w:rPr>
        <w:t>لخل</w:t>
      </w:r>
      <w:r>
        <w:rPr>
          <w:rtl/>
        </w:rPr>
        <w:t>ي</w:t>
      </w:r>
      <w:r w:rsidRPr="00FE4C18">
        <w:rPr>
          <w:rtl/>
        </w:rPr>
        <w:t xml:space="preserve">ة </w:t>
      </w:r>
      <w:r>
        <w:rPr>
          <w:rtl/>
        </w:rPr>
        <w:t>ا</w:t>
      </w:r>
      <w:r w:rsidRPr="00FE4C18">
        <w:rPr>
          <w:rtl/>
        </w:rPr>
        <w:t xml:space="preserve">لمختلف عن علاج </w:t>
      </w:r>
      <w:r>
        <w:rPr>
          <w:rtl/>
        </w:rPr>
        <w:t>ا</w:t>
      </w:r>
      <w:r w:rsidRPr="00FE4C18">
        <w:rPr>
          <w:rtl/>
        </w:rPr>
        <w:t xml:space="preserve">لعقم </w:t>
      </w:r>
      <w:r>
        <w:rPr>
          <w:rtl/>
        </w:rPr>
        <w:t xml:space="preserve">هو </w:t>
      </w:r>
      <w:r w:rsidRPr="00FE4C18">
        <w:rPr>
          <w:rtl/>
        </w:rPr>
        <w:t xml:space="preserve">أحد </w:t>
      </w:r>
      <w:r>
        <w:rPr>
          <w:rtl/>
        </w:rPr>
        <w:t>ا</w:t>
      </w:r>
      <w:r w:rsidRPr="00FE4C18">
        <w:rPr>
          <w:rtl/>
        </w:rPr>
        <w:t>ل</w:t>
      </w:r>
      <w:r>
        <w:rPr>
          <w:rFonts w:hint="cs"/>
          <w:rtl/>
        </w:rPr>
        <w:t>أ</w:t>
      </w:r>
      <w:r w:rsidRPr="00FE4C18">
        <w:rPr>
          <w:rtl/>
        </w:rPr>
        <w:t xml:space="preserve">هداف </w:t>
      </w:r>
      <w:r>
        <w:rPr>
          <w:rtl/>
        </w:rPr>
        <w:t>ا</w:t>
      </w:r>
      <w:r w:rsidRPr="00FE4C18">
        <w:rPr>
          <w:rtl/>
        </w:rPr>
        <w:t>لطب</w:t>
      </w:r>
      <w:r>
        <w:rPr>
          <w:rtl/>
        </w:rPr>
        <w:t>ي</w:t>
      </w:r>
      <w:r w:rsidRPr="00FE4C18">
        <w:rPr>
          <w:rtl/>
        </w:rPr>
        <w:t>ة في استخدام أسال</w:t>
      </w:r>
      <w:r>
        <w:rPr>
          <w:rtl/>
        </w:rPr>
        <w:t>ي</w:t>
      </w:r>
      <w:r w:rsidRPr="00FE4C18">
        <w:rPr>
          <w:rtl/>
        </w:rPr>
        <w:t xml:space="preserve">ب </w:t>
      </w:r>
      <w:r w:rsidRPr="00FE4C18">
        <w:t>ART</w:t>
      </w:r>
      <w:r>
        <w:rPr>
          <w:rtl/>
        </w:rPr>
        <w:t>.</w:t>
      </w:r>
    </w:p>
    <w:p w:rsidR="00391A35" w:rsidRDefault="00391A35" w:rsidP="00391A35">
      <w:pPr>
        <w:pStyle w:val="ac"/>
        <w:rPr>
          <w:rtl/>
        </w:rPr>
      </w:pPr>
      <w:r>
        <w:rPr>
          <w:rtl/>
        </w:rPr>
        <w:t>وي</w:t>
      </w:r>
      <w:r w:rsidRPr="00FE4C18">
        <w:rPr>
          <w:rtl/>
        </w:rPr>
        <w:t xml:space="preserve">ستعمل هذا </w:t>
      </w:r>
      <w:r>
        <w:rPr>
          <w:rtl/>
        </w:rPr>
        <w:t>ا</w:t>
      </w:r>
      <w:r w:rsidRPr="00FE4C18">
        <w:rPr>
          <w:rtl/>
        </w:rPr>
        <w:t>لتق</w:t>
      </w:r>
      <w:r>
        <w:rPr>
          <w:rtl/>
        </w:rPr>
        <w:t>يي</w:t>
      </w:r>
      <w:r w:rsidRPr="00FE4C18">
        <w:rPr>
          <w:rtl/>
        </w:rPr>
        <w:t xml:space="preserve">م </w:t>
      </w:r>
      <w:r>
        <w:rPr>
          <w:rtl/>
        </w:rPr>
        <w:t>ا</w:t>
      </w:r>
      <w:r w:rsidRPr="00FE4C18">
        <w:rPr>
          <w:rtl/>
        </w:rPr>
        <w:t>لج</w:t>
      </w:r>
      <w:r>
        <w:rPr>
          <w:rtl/>
        </w:rPr>
        <w:t>ي</w:t>
      </w:r>
      <w:r w:rsidRPr="00FE4C18">
        <w:rPr>
          <w:rtl/>
        </w:rPr>
        <w:t>ني للمر</w:t>
      </w:r>
      <w:r>
        <w:rPr>
          <w:rtl/>
        </w:rPr>
        <w:t>ي</w:t>
      </w:r>
      <w:r w:rsidRPr="00FE4C18">
        <w:rPr>
          <w:rtl/>
        </w:rPr>
        <w:t xml:space="preserve">ضات </w:t>
      </w:r>
      <w:r>
        <w:rPr>
          <w:rtl/>
        </w:rPr>
        <w:t>غير ال</w:t>
      </w:r>
      <w:r w:rsidRPr="00FE4C18">
        <w:rPr>
          <w:rtl/>
        </w:rPr>
        <w:t>عاقرات أ</w:t>
      </w:r>
      <w:r>
        <w:rPr>
          <w:rtl/>
        </w:rPr>
        <w:t>ي</w:t>
      </w:r>
      <w:r w:rsidRPr="00FE4C18">
        <w:rPr>
          <w:rtl/>
        </w:rPr>
        <w:t>ضاً</w:t>
      </w:r>
      <w:r>
        <w:rPr>
          <w:rFonts w:hint="cs"/>
          <w:rtl/>
        </w:rPr>
        <w:t>.</w:t>
      </w:r>
      <w:r>
        <w:rPr>
          <w:rtl/>
        </w:rPr>
        <w:t xml:space="preserve"> و</w:t>
      </w:r>
      <w:r w:rsidRPr="00FE4C18">
        <w:rPr>
          <w:rtl/>
        </w:rPr>
        <w:t xml:space="preserve">باستخدام هذا </w:t>
      </w:r>
      <w:r w:rsidRPr="00D063EC">
        <w:rPr>
          <w:sz w:val="29"/>
          <w:szCs w:val="29"/>
          <w:rtl/>
        </w:rPr>
        <w:t>الأسلوب يمكننا أن نسيطر على المشكلة الوراثية إلى أبعد حد ممكن، ونمنع عن خطر الانتقال باستعمال البويضة التي أهديت، أو باستخدام رحم المرأة مع البويضة المذكورة</w:t>
      </w:r>
      <w:r w:rsidRPr="00D063EC">
        <w:rPr>
          <w:rFonts w:cs="Taher"/>
          <w:sz w:val="29"/>
          <w:szCs w:val="29"/>
          <w:vertAlign w:val="superscript"/>
          <w:rtl/>
        </w:rPr>
        <w:t>(</w:t>
      </w:r>
      <w:r w:rsidRPr="00D063EC">
        <w:rPr>
          <w:rFonts w:cs="Taher"/>
          <w:sz w:val="29"/>
          <w:szCs w:val="29"/>
          <w:vertAlign w:val="superscript"/>
          <w:rtl/>
        </w:rPr>
        <w:footnoteReference w:id="875"/>
      </w:r>
      <w:r w:rsidRPr="00D063EC">
        <w:rPr>
          <w:rFonts w:cs="Taher"/>
          <w:sz w:val="29"/>
          <w:szCs w:val="29"/>
          <w:vertAlign w:val="superscript"/>
          <w:rtl/>
        </w:rPr>
        <w:t>)</w:t>
      </w:r>
      <w:r w:rsidRPr="00D063EC">
        <w:rPr>
          <w:sz w:val="29"/>
          <w:szCs w:val="29"/>
          <w:rtl/>
        </w:rPr>
        <w:t>.</w:t>
      </w:r>
    </w:p>
    <w:p w:rsidR="00391A35" w:rsidRPr="00D063EC" w:rsidRDefault="00391A35" w:rsidP="00D063EC">
      <w:pPr>
        <w:pStyle w:val="afffffc"/>
        <w:rPr>
          <w:rFonts w:ascii="Mosawi" w:hAnsi="Mosawi"/>
          <w:sz w:val="20"/>
          <w:szCs w:val="18"/>
        </w:rPr>
      </w:pPr>
    </w:p>
    <w:p w:rsidR="00391A35" w:rsidRPr="00FE4C18" w:rsidRDefault="00391A35" w:rsidP="00391A35">
      <w:pPr>
        <w:pStyle w:val="1"/>
      </w:pPr>
      <w:bookmarkStart w:id="471" w:name="_Toc275128178"/>
      <w:r w:rsidRPr="00FE4C18">
        <w:rPr>
          <w:rtl/>
        </w:rPr>
        <w:t xml:space="preserve">الدلائل </w:t>
      </w:r>
      <w:r>
        <w:rPr>
          <w:rtl/>
        </w:rPr>
        <w:t>ا</w:t>
      </w:r>
      <w:r w:rsidRPr="00FE4C18">
        <w:rPr>
          <w:rtl/>
        </w:rPr>
        <w:t>لاجتماع</w:t>
      </w:r>
      <w:r>
        <w:rPr>
          <w:rtl/>
        </w:rPr>
        <w:t>يّ</w:t>
      </w:r>
      <w:r w:rsidRPr="00FE4C18">
        <w:rPr>
          <w:rtl/>
        </w:rPr>
        <w:t>ة</w:t>
      </w:r>
      <w:bookmarkEnd w:id="471"/>
      <w:r w:rsidRPr="00FE4C18">
        <w:rPr>
          <w:rtl/>
        </w:rPr>
        <w:t xml:space="preserve"> </w:t>
      </w:r>
    </w:p>
    <w:p w:rsidR="00391A35" w:rsidRPr="00FE4C18" w:rsidRDefault="00391A35" w:rsidP="00391A35">
      <w:pPr>
        <w:pStyle w:val="ac"/>
        <w:rPr>
          <w:rtl/>
        </w:rPr>
      </w:pPr>
      <w:r w:rsidRPr="00FE4C18">
        <w:rPr>
          <w:rtl/>
        </w:rPr>
        <w:t xml:space="preserve">إنّ بعض </w:t>
      </w:r>
      <w:r>
        <w:rPr>
          <w:rtl/>
        </w:rPr>
        <w:t>ا</w:t>
      </w:r>
      <w:r w:rsidRPr="00FE4C18">
        <w:rPr>
          <w:rtl/>
        </w:rPr>
        <w:t xml:space="preserve">لنساء </w:t>
      </w:r>
      <w:r>
        <w:rPr>
          <w:rtl/>
        </w:rPr>
        <w:t>ي</w:t>
      </w:r>
      <w:r w:rsidRPr="00FE4C18">
        <w:rPr>
          <w:rtl/>
        </w:rPr>
        <w:t xml:space="preserve">ضعن مهام </w:t>
      </w:r>
      <w:r>
        <w:rPr>
          <w:rtl/>
        </w:rPr>
        <w:t>ا</w:t>
      </w:r>
      <w:r w:rsidRPr="00FE4C18">
        <w:rPr>
          <w:rtl/>
        </w:rPr>
        <w:t>لحمل</w:t>
      </w:r>
      <w:r>
        <w:rPr>
          <w:rtl/>
        </w:rPr>
        <w:t xml:space="preserve"> وا</w:t>
      </w:r>
      <w:r w:rsidRPr="00FE4C18">
        <w:rPr>
          <w:rtl/>
        </w:rPr>
        <w:t>لولادة عل</w:t>
      </w:r>
      <w:r>
        <w:rPr>
          <w:rtl/>
        </w:rPr>
        <w:t xml:space="preserve">ى </w:t>
      </w:r>
      <w:r w:rsidRPr="00FE4C18">
        <w:rPr>
          <w:rtl/>
        </w:rPr>
        <w:t>عاتق امرأة أخر</w:t>
      </w:r>
      <w:r>
        <w:rPr>
          <w:rtl/>
        </w:rPr>
        <w:t xml:space="preserve">ى </w:t>
      </w:r>
      <w:r w:rsidRPr="00FE4C18">
        <w:rPr>
          <w:rtl/>
        </w:rPr>
        <w:t>عوضاً عنهُنَّ</w:t>
      </w:r>
      <w:r>
        <w:rPr>
          <w:rFonts w:hint="cs"/>
          <w:rtl/>
        </w:rPr>
        <w:t>؛</w:t>
      </w:r>
      <w:r>
        <w:rPr>
          <w:rtl/>
        </w:rPr>
        <w:t xml:space="preserve"> </w:t>
      </w:r>
      <w:r>
        <w:rPr>
          <w:rtl/>
        </w:rPr>
        <w:lastRenderedPageBreak/>
        <w:t>لما يلي</w:t>
      </w:r>
      <w:r w:rsidRPr="007F5B58">
        <w:rPr>
          <w:rtl/>
        </w:rPr>
        <w:t>:</w:t>
      </w:r>
      <w:r w:rsidRPr="00FE4C18">
        <w:rPr>
          <w:rtl/>
        </w:rPr>
        <w:t xml:space="preserve"> </w:t>
      </w:r>
    </w:p>
    <w:p w:rsidR="00391A35" w:rsidRPr="00FE4C18" w:rsidRDefault="00391A35" w:rsidP="0067362A">
      <w:pPr>
        <w:pStyle w:val="ac"/>
        <w:spacing w:line="199" w:lineRule="auto"/>
        <w:rPr>
          <w:rtl/>
        </w:rPr>
      </w:pPr>
      <w:r>
        <w:rPr>
          <w:rFonts w:hint="cs"/>
          <w:rtl/>
        </w:rPr>
        <w:t>1ـ</w:t>
      </w:r>
      <w:r w:rsidRPr="00FE4C18">
        <w:rPr>
          <w:rtl/>
        </w:rPr>
        <w:t xml:space="preserve"> </w:t>
      </w:r>
      <w:r>
        <w:rPr>
          <w:rtl/>
        </w:rPr>
        <w:t>ا</w:t>
      </w:r>
      <w:r w:rsidRPr="00FE4C18">
        <w:rPr>
          <w:rtl/>
        </w:rPr>
        <w:t xml:space="preserve">لبواعث </w:t>
      </w:r>
      <w:r>
        <w:rPr>
          <w:rtl/>
        </w:rPr>
        <w:t>ا</w:t>
      </w:r>
      <w:r w:rsidRPr="00FE4C18">
        <w:rPr>
          <w:rtl/>
        </w:rPr>
        <w:t>لمهن</w:t>
      </w:r>
      <w:r>
        <w:rPr>
          <w:rtl/>
        </w:rPr>
        <w:t>ي</w:t>
      </w:r>
      <w:r w:rsidRPr="00FE4C18">
        <w:rPr>
          <w:rtl/>
        </w:rPr>
        <w:t>ة الجادة</w:t>
      </w:r>
      <w:r>
        <w:rPr>
          <w:rtl/>
        </w:rPr>
        <w:t>.</w:t>
      </w:r>
      <w:r w:rsidRPr="00FE4C18">
        <w:rPr>
          <w:rtl/>
        </w:rPr>
        <w:t xml:space="preserve"> </w:t>
      </w:r>
    </w:p>
    <w:p w:rsidR="00391A35" w:rsidRPr="00FE4C18" w:rsidRDefault="00391A35" w:rsidP="0067362A">
      <w:pPr>
        <w:pStyle w:val="ac"/>
        <w:spacing w:line="199" w:lineRule="auto"/>
        <w:rPr>
          <w:rtl/>
        </w:rPr>
      </w:pPr>
      <w:r>
        <w:rPr>
          <w:rFonts w:hint="cs"/>
          <w:rtl/>
        </w:rPr>
        <w:t>2ـ عدم الرغبة في الحمل؛</w:t>
      </w:r>
      <w:r w:rsidRPr="00FE4C18">
        <w:rPr>
          <w:rtl/>
        </w:rPr>
        <w:t xml:space="preserve"> </w:t>
      </w:r>
      <w:r>
        <w:rPr>
          <w:rtl/>
        </w:rPr>
        <w:t>لأسباب خاصة</w:t>
      </w:r>
      <w:r w:rsidRPr="007F5B58">
        <w:rPr>
          <w:rtl/>
        </w:rPr>
        <w:t>،</w:t>
      </w:r>
      <w:r>
        <w:rPr>
          <w:rtl/>
        </w:rPr>
        <w:t xml:space="preserve"> ك</w:t>
      </w:r>
      <w:r w:rsidRPr="00FE4C18">
        <w:rPr>
          <w:rtl/>
        </w:rPr>
        <w:t xml:space="preserve">حب حفظ رشاقة أعضاء </w:t>
      </w:r>
      <w:r>
        <w:rPr>
          <w:rtl/>
        </w:rPr>
        <w:t>ا</w:t>
      </w:r>
      <w:r w:rsidRPr="00FE4C18">
        <w:rPr>
          <w:rtl/>
        </w:rPr>
        <w:t>لجسم</w:t>
      </w:r>
      <w:r>
        <w:rPr>
          <w:rtl/>
        </w:rPr>
        <w:t>.</w:t>
      </w:r>
      <w:r w:rsidRPr="00FE4C18">
        <w:rPr>
          <w:rtl/>
        </w:rPr>
        <w:t xml:space="preserve"> </w:t>
      </w:r>
    </w:p>
    <w:p w:rsidR="00391A35" w:rsidRPr="00FE4C18" w:rsidRDefault="00391A35" w:rsidP="0067362A">
      <w:pPr>
        <w:pStyle w:val="ac"/>
        <w:spacing w:line="199" w:lineRule="auto"/>
        <w:rPr>
          <w:rtl/>
        </w:rPr>
      </w:pPr>
      <w:r>
        <w:rPr>
          <w:rFonts w:hint="cs"/>
          <w:rtl/>
        </w:rPr>
        <w:t>3ـ</w:t>
      </w:r>
      <w:r w:rsidRPr="00FE4C18">
        <w:rPr>
          <w:rtl/>
        </w:rPr>
        <w:t xml:space="preserve"> طر</w:t>
      </w:r>
      <w:r>
        <w:rPr>
          <w:rtl/>
        </w:rPr>
        <w:t>ي</w:t>
      </w:r>
      <w:r w:rsidRPr="00FE4C18">
        <w:rPr>
          <w:rtl/>
        </w:rPr>
        <w:t xml:space="preserve">قة </w:t>
      </w:r>
      <w:r>
        <w:rPr>
          <w:rtl/>
        </w:rPr>
        <w:t>ا</w:t>
      </w:r>
      <w:r w:rsidRPr="00FE4C18">
        <w:rPr>
          <w:rtl/>
        </w:rPr>
        <w:t>لح</w:t>
      </w:r>
      <w:r>
        <w:rPr>
          <w:rtl/>
        </w:rPr>
        <w:t>ي</w:t>
      </w:r>
      <w:r w:rsidRPr="00FE4C18">
        <w:rPr>
          <w:rtl/>
        </w:rPr>
        <w:t>اة أو حبّ الراحة</w:t>
      </w:r>
      <w:r>
        <w:rPr>
          <w:rtl/>
        </w:rPr>
        <w:t xml:space="preserve"> وا</w:t>
      </w:r>
      <w:r w:rsidRPr="00FE4C18">
        <w:rPr>
          <w:rtl/>
        </w:rPr>
        <w:t>لارت</w:t>
      </w:r>
      <w:r>
        <w:rPr>
          <w:rtl/>
        </w:rPr>
        <w:t>ي</w:t>
      </w:r>
      <w:r w:rsidRPr="00FE4C18">
        <w:rPr>
          <w:rtl/>
        </w:rPr>
        <w:t>اح</w:t>
      </w:r>
      <w:r w:rsidRPr="00815C4C">
        <w:rPr>
          <w:rFonts w:cs="Taher"/>
          <w:vertAlign w:val="superscript"/>
          <w:rtl/>
        </w:rPr>
        <w:t>(</w:t>
      </w:r>
      <w:r w:rsidRPr="00815C4C">
        <w:rPr>
          <w:rFonts w:cs="Taher"/>
          <w:vertAlign w:val="superscript"/>
          <w:rtl/>
        </w:rPr>
        <w:footnoteReference w:id="876"/>
      </w:r>
      <w:r w:rsidRPr="00815C4C">
        <w:rPr>
          <w:rFonts w:cs="Taher"/>
          <w:vertAlign w:val="superscript"/>
          <w:rtl/>
        </w:rPr>
        <w:t>)</w:t>
      </w:r>
      <w:r w:rsidRPr="002A738B">
        <w:rPr>
          <w:rtl/>
        </w:rPr>
        <w:t>.</w:t>
      </w:r>
    </w:p>
    <w:p w:rsidR="00391A35" w:rsidRPr="0067362A" w:rsidRDefault="00391A35" w:rsidP="0067362A">
      <w:pPr>
        <w:pStyle w:val="afffffc"/>
        <w:rPr>
          <w:sz w:val="16"/>
          <w:szCs w:val="14"/>
          <w:rtl/>
        </w:rPr>
      </w:pPr>
    </w:p>
    <w:p w:rsidR="00391A35" w:rsidRPr="00FE4C18" w:rsidRDefault="00391A35" w:rsidP="00391A35">
      <w:pPr>
        <w:pStyle w:val="1"/>
        <w:rPr>
          <w:szCs w:val="28"/>
          <w:rtl/>
        </w:rPr>
      </w:pPr>
      <w:bookmarkStart w:id="472" w:name="_Toc275128179"/>
      <w:r w:rsidRPr="00FE4C18">
        <w:rPr>
          <w:rtl/>
        </w:rPr>
        <w:t>5</w:t>
      </w:r>
      <w:r>
        <w:rPr>
          <w:rtl/>
        </w:rPr>
        <w:t>ـ</w:t>
      </w:r>
      <w:r w:rsidRPr="00FE4C18">
        <w:rPr>
          <w:rtl/>
        </w:rPr>
        <w:t xml:space="preserve"> مسألة البحث</w:t>
      </w:r>
      <w:bookmarkEnd w:id="472"/>
      <w:r w:rsidRPr="00FE4C18">
        <w:rPr>
          <w:rtl/>
        </w:rPr>
        <w:t xml:space="preserve"> </w:t>
      </w:r>
    </w:p>
    <w:p w:rsidR="00391A35" w:rsidRPr="006B58FA" w:rsidRDefault="00391A35" w:rsidP="0067362A">
      <w:pPr>
        <w:pStyle w:val="ac"/>
        <w:spacing w:line="199" w:lineRule="auto"/>
        <w:rPr>
          <w:rtl/>
        </w:rPr>
      </w:pPr>
      <w:r w:rsidRPr="00E54F9D">
        <w:rPr>
          <w:rtl/>
        </w:rPr>
        <w:t>في أسلوب</w:t>
      </w:r>
      <w:r w:rsidRPr="00FE4C18">
        <w:rPr>
          <w:rFonts w:cs="Taher"/>
          <w:szCs w:val="28"/>
          <w:rtl/>
        </w:rPr>
        <w:t xml:space="preserve"> </w:t>
      </w:r>
      <w:r w:rsidRPr="00006F79">
        <w:rPr>
          <w:rtl/>
        </w:rPr>
        <w:t>استخدام رحم امرأة أخرى لل</w:t>
      </w:r>
      <w:r>
        <w:rPr>
          <w:rtl/>
        </w:rPr>
        <w:t>تـن</w:t>
      </w:r>
      <w:r w:rsidRPr="00006F79">
        <w:rPr>
          <w:rtl/>
        </w:rPr>
        <w:t>اسل يمكن للمرأة الطالبة (العاقر) أنْ تتمتع بالتخصيب، ولكنّها لا تقدر على حمل الجنين والولادة، أو أنَّ عمليّة الحمل تهدد صحتها، وفي هذه الحالة يستخدم رحم امرأة أخرى لتربية الجنين. ولأنَّ هذا الأسلوب لا يعتبر علاجاً، ولاستعمال التقنيات والأساليب الطيبة فقط للحصول على الطفل، فإن توافق الزوجين مع صاحبة الرحم في هذه المبادرة ذو أهميّة كبيرة‌. وإن اتفاقيّة استخدام رحم امرأة أخرى هو أهم الموضوعات المعين في هذا المجال. وبموجب هذه الاتفاقيّة تقوم المرأة بواجب حمل الجنين وولادته. والحقيقة أنها تتولى المرحلتين الحاسمتين لل</w:t>
      </w:r>
      <w:r>
        <w:rPr>
          <w:rtl/>
        </w:rPr>
        <w:t>تـن</w:t>
      </w:r>
      <w:r w:rsidRPr="00006F79">
        <w:rPr>
          <w:rtl/>
        </w:rPr>
        <w:t>اسل، أي الحمل والولادة، وبقبول هذا الالتزام تتحمل خطورة الحمل</w:t>
      </w:r>
      <w:r>
        <w:rPr>
          <w:rtl/>
        </w:rPr>
        <w:t xml:space="preserve"> و</w:t>
      </w:r>
      <w:r w:rsidRPr="006B58FA">
        <w:rPr>
          <w:rtl/>
        </w:rPr>
        <w:t>الولادة</w:t>
      </w:r>
      <w:r>
        <w:rPr>
          <w:rtl/>
        </w:rPr>
        <w:t>. و</w:t>
      </w:r>
      <w:r w:rsidRPr="006B58FA">
        <w:rPr>
          <w:rtl/>
        </w:rPr>
        <w:t>من الطبيعي أنّه يجب عقد الاتفاقيّة للتأ</w:t>
      </w:r>
      <w:r>
        <w:rPr>
          <w:rtl/>
        </w:rPr>
        <w:t>ك</w:t>
      </w:r>
      <w:r w:rsidRPr="006B58FA">
        <w:rPr>
          <w:rtl/>
        </w:rPr>
        <w:t>د من إجراء الالتزامات بين الزوجين العقيمين</w:t>
      </w:r>
      <w:r>
        <w:rPr>
          <w:rtl/>
        </w:rPr>
        <w:t xml:space="preserve"> و</w:t>
      </w:r>
      <w:r w:rsidRPr="006B58FA">
        <w:rPr>
          <w:rtl/>
        </w:rPr>
        <w:t>صاحبة الرحم.</w:t>
      </w:r>
      <w:r>
        <w:rPr>
          <w:rtl/>
        </w:rPr>
        <w:t xml:space="preserve"> و</w:t>
      </w:r>
      <w:r w:rsidRPr="006B58FA">
        <w:rPr>
          <w:rtl/>
        </w:rPr>
        <w:t xml:space="preserve">لأنّ هذا العقد ـ </w:t>
      </w:r>
      <w:r>
        <w:rPr>
          <w:rtl/>
        </w:rPr>
        <w:t>ك</w:t>
      </w:r>
      <w:r w:rsidRPr="006B58FA">
        <w:rPr>
          <w:rtl/>
        </w:rPr>
        <w:t>سائر الاتفاقيات ـ يجري على أساس موافقة</w:t>
      </w:r>
      <w:r>
        <w:rPr>
          <w:rtl/>
        </w:rPr>
        <w:t xml:space="preserve"> و</w:t>
      </w:r>
      <w:r w:rsidRPr="006B58FA">
        <w:rPr>
          <w:rtl/>
        </w:rPr>
        <w:t>إرادة الطرفين فيجب أن توضّ</w:t>
      </w:r>
      <w:r>
        <w:rPr>
          <w:rFonts w:hint="cs"/>
          <w:rtl/>
        </w:rPr>
        <w:t>َح</w:t>
      </w:r>
      <w:r w:rsidRPr="006B58FA">
        <w:rPr>
          <w:rtl/>
        </w:rPr>
        <w:t xml:space="preserve"> الحالة الحقوقيّة</w:t>
      </w:r>
      <w:r w:rsidRPr="007F5B58">
        <w:rPr>
          <w:rtl/>
        </w:rPr>
        <w:t>،</w:t>
      </w:r>
      <w:r>
        <w:rPr>
          <w:rtl/>
        </w:rPr>
        <w:t xml:space="preserve"> و</w:t>
      </w:r>
      <w:r w:rsidRPr="006B58FA">
        <w:rPr>
          <w:rtl/>
        </w:rPr>
        <w:t>ال</w:t>
      </w:r>
      <w:r>
        <w:rPr>
          <w:rtl/>
        </w:rPr>
        <w:t>ك</w:t>
      </w:r>
      <w:r w:rsidRPr="006B58FA">
        <w:rPr>
          <w:rtl/>
        </w:rPr>
        <w:t>يفيّة</w:t>
      </w:r>
      <w:r w:rsidRPr="007F5B58">
        <w:rPr>
          <w:rtl/>
        </w:rPr>
        <w:t>،</w:t>
      </w:r>
      <w:r>
        <w:rPr>
          <w:rtl/>
        </w:rPr>
        <w:t xml:space="preserve"> و</w:t>
      </w:r>
      <w:r w:rsidRPr="006B58FA">
        <w:rPr>
          <w:rtl/>
        </w:rPr>
        <w:t>الآثار المترتبة</w:t>
      </w:r>
      <w:r w:rsidRPr="007F5B58">
        <w:rPr>
          <w:rtl/>
        </w:rPr>
        <w:t>،</w:t>
      </w:r>
      <w:r>
        <w:rPr>
          <w:rtl/>
        </w:rPr>
        <w:t xml:space="preserve"> و</w:t>
      </w:r>
      <w:r w:rsidRPr="006B58FA">
        <w:rPr>
          <w:rtl/>
        </w:rPr>
        <w:t>التزامات الطرفين</w:t>
      </w:r>
      <w:r w:rsidRPr="007F5B58">
        <w:rPr>
          <w:rtl/>
        </w:rPr>
        <w:t>،</w:t>
      </w:r>
      <w:r w:rsidRPr="006B58FA">
        <w:rPr>
          <w:rtl/>
        </w:rPr>
        <w:t xml:space="preserve"> فيه</w:t>
      </w:r>
      <w:r>
        <w:rPr>
          <w:rtl/>
        </w:rPr>
        <w:t>.</w:t>
      </w:r>
      <w:r w:rsidRPr="006B58FA">
        <w:rPr>
          <w:rtl/>
        </w:rPr>
        <w:t xml:space="preserve"> </w:t>
      </w:r>
    </w:p>
    <w:p w:rsidR="00391A35" w:rsidRPr="0067362A" w:rsidRDefault="00391A35" w:rsidP="0067362A">
      <w:pPr>
        <w:pStyle w:val="afffffc"/>
        <w:rPr>
          <w:sz w:val="16"/>
          <w:szCs w:val="14"/>
          <w:rtl/>
        </w:rPr>
      </w:pPr>
    </w:p>
    <w:p w:rsidR="00391A35" w:rsidRPr="00FE4C18" w:rsidRDefault="00391A35" w:rsidP="00391A35">
      <w:pPr>
        <w:pStyle w:val="1"/>
        <w:rPr>
          <w:rtl/>
        </w:rPr>
      </w:pPr>
      <w:bookmarkStart w:id="473" w:name="_Toc275128180"/>
      <w:r w:rsidRPr="00FE4C18">
        <w:rPr>
          <w:rtl/>
        </w:rPr>
        <w:t>6</w:t>
      </w:r>
      <w:r>
        <w:rPr>
          <w:rtl/>
        </w:rPr>
        <w:t>ـ</w:t>
      </w:r>
      <w:r w:rsidRPr="00FE4C18">
        <w:rPr>
          <w:rtl/>
        </w:rPr>
        <w:t xml:space="preserve"> أسلوب </w:t>
      </w:r>
      <w:r>
        <w:rPr>
          <w:rtl/>
        </w:rPr>
        <w:t>ا</w:t>
      </w:r>
      <w:r w:rsidRPr="00FE4C18">
        <w:rPr>
          <w:rtl/>
        </w:rPr>
        <w:t>لبحث</w:t>
      </w:r>
      <w:bookmarkEnd w:id="473"/>
    </w:p>
    <w:p w:rsidR="00391A35" w:rsidRPr="00FE4C18" w:rsidRDefault="00391A35" w:rsidP="00391A35">
      <w:pPr>
        <w:pStyle w:val="ac"/>
        <w:rPr>
          <w:rtl/>
        </w:rPr>
      </w:pPr>
      <w:r w:rsidRPr="00FE4C18">
        <w:rPr>
          <w:b/>
          <w:bCs/>
          <w:sz w:val="32"/>
          <w:szCs w:val="32"/>
          <w:rtl/>
        </w:rPr>
        <w:t xml:space="preserve"> </w:t>
      </w:r>
      <w:r w:rsidRPr="00FE4C18">
        <w:rPr>
          <w:rtl/>
        </w:rPr>
        <w:t xml:space="preserve">أسلوب </w:t>
      </w:r>
      <w:r>
        <w:rPr>
          <w:rtl/>
        </w:rPr>
        <w:t>ا</w:t>
      </w:r>
      <w:r w:rsidRPr="00FE4C18">
        <w:rPr>
          <w:rtl/>
        </w:rPr>
        <w:t xml:space="preserve">لبحث من </w:t>
      </w:r>
      <w:r>
        <w:rPr>
          <w:rtl/>
        </w:rPr>
        <w:t>ا</w:t>
      </w:r>
      <w:r w:rsidRPr="00FE4C18">
        <w:rPr>
          <w:rtl/>
        </w:rPr>
        <w:t xml:space="preserve">لنوع </w:t>
      </w:r>
      <w:r>
        <w:rPr>
          <w:rtl/>
        </w:rPr>
        <w:t>ا</w:t>
      </w:r>
      <w:r w:rsidRPr="00FE4C18">
        <w:rPr>
          <w:rtl/>
        </w:rPr>
        <w:t>لوصفي</w:t>
      </w:r>
      <w:r>
        <w:rPr>
          <w:rtl/>
        </w:rPr>
        <w:t xml:space="preserve"> ـ </w:t>
      </w:r>
      <w:r w:rsidRPr="00FE4C18">
        <w:rPr>
          <w:rtl/>
        </w:rPr>
        <w:t>التحل</w:t>
      </w:r>
      <w:r>
        <w:rPr>
          <w:rtl/>
        </w:rPr>
        <w:t>ي</w:t>
      </w:r>
      <w:r w:rsidRPr="00FE4C18">
        <w:rPr>
          <w:rtl/>
        </w:rPr>
        <w:t>لي</w:t>
      </w:r>
      <w:r>
        <w:rPr>
          <w:rtl/>
        </w:rPr>
        <w:t>.</w:t>
      </w:r>
      <w:r w:rsidRPr="00FE4C18">
        <w:rPr>
          <w:rtl/>
        </w:rPr>
        <w:t xml:space="preserve"> </w:t>
      </w:r>
    </w:p>
    <w:p w:rsidR="00391A35" w:rsidRPr="0067362A" w:rsidRDefault="00391A35" w:rsidP="0067362A">
      <w:pPr>
        <w:pStyle w:val="afffffc"/>
        <w:rPr>
          <w:sz w:val="14"/>
          <w:szCs w:val="12"/>
          <w:rtl/>
        </w:rPr>
      </w:pPr>
    </w:p>
    <w:p w:rsidR="00391A35" w:rsidRPr="00FE4C18" w:rsidRDefault="00391A35" w:rsidP="00391A35">
      <w:pPr>
        <w:pStyle w:val="1"/>
        <w:rPr>
          <w:szCs w:val="28"/>
          <w:rtl/>
        </w:rPr>
      </w:pPr>
      <w:bookmarkStart w:id="474" w:name="_Toc275128181"/>
      <w:r w:rsidRPr="00FE4C18">
        <w:rPr>
          <w:rtl/>
        </w:rPr>
        <w:t>7</w:t>
      </w:r>
      <w:r>
        <w:rPr>
          <w:rtl/>
        </w:rPr>
        <w:t>ـ</w:t>
      </w:r>
      <w:r w:rsidRPr="00FE4C18">
        <w:rPr>
          <w:rtl/>
        </w:rPr>
        <w:t xml:space="preserve"> أسلوب جمع </w:t>
      </w:r>
      <w:r>
        <w:rPr>
          <w:rtl/>
        </w:rPr>
        <w:t>ا</w:t>
      </w:r>
      <w:r w:rsidRPr="00FE4C18">
        <w:rPr>
          <w:rtl/>
        </w:rPr>
        <w:t>لمعلومات</w:t>
      </w:r>
      <w:bookmarkEnd w:id="474"/>
      <w:r w:rsidRPr="00FE4C18">
        <w:rPr>
          <w:rtl/>
        </w:rPr>
        <w:t xml:space="preserve"> </w:t>
      </w:r>
    </w:p>
    <w:p w:rsidR="00391A35" w:rsidRPr="00FE4C18" w:rsidRDefault="00391A35" w:rsidP="00391A35">
      <w:pPr>
        <w:pStyle w:val="ac"/>
        <w:rPr>
          <w:rtl/>
        </w:rPr>
      </w:pPr>
      <w:r w:rsidRPr="00FE4C18">
        <w:rPr>
          <w:rtl/>
        </w:rPr>
        <w:t xml:space="preserve">أسلوب جمع </w:t>
      </w:r>
      <w:r>
        <w:rPr>
          <w:rtl/>
        </w:rPr>
        <w:t>ا</w:t>
      </w:r>
      <w:r w:rsidRPr="00FE4C18">
        <w:rPr>
          <w:rtl/>
        </w:rPr>
        <w:t xml:space="preserve">لمعلومات </w:t>
      </w:r>
      <w:r>
        <w:rPr>
          <w:rtl/>
        </w:rPr>
        <w:t>ا</w:t>
      </w:r>
      <w:r w:rsidRPr="00FE4C18">
        <w:rPr>
          <w:rtl/>
        </w:rPr>
        <w:t xml:space="preserve">لأصلي هو </w:t>
      </w:r>
      <w:r>
        <w:rPr>
          <w:rtl/>
        </w:rPr>
        <w:t>الك</w:t>
      </w:r>
      <w:r w:rsidRPr="00FE4C18">
        <w:rPr>
          <w:rtl/>
        </w:rPr>
        <w:t>تب</w:t>
      </w:r>
      <w:r w:rsidRPr="007F5B58">
        <w:rPr>
          <w:rtl/>
        </w:rPr>
        <w:t>،</w:t>
      </w:r>
      <w:r>
        <w:rPr>
          <w:rtl/>
        </w:rPr>
        <w:t xml:space="preserve"> وا</w:t>
      </w:r>
      <w:r w:rsidRPr="00FE4C18">
        <w:rPr>
          <w:rtl/>
        </w:rPr>
        <w:t>لمقالات</w:t>
      </w:r>
      <w:r w:rsidRPr="007F5B58">
        <w:rPr>
          <w:rtl/>
        </w:rPr>
        <w:t>،</w:t>
      </w:r>
      <w:r>
        <w:rPr>
          <w:rtl/>
        </w:rPr>
        <w:t xml:space="preserve"> و</w:t>
      </w:r>
      <w:r w:rsidRPr="00FE4C18">
        <w:rPr>
          <w:rtl/>
        </w:rPr>
        <w:t>استفتا</w:t>
      </w:r>
      <w:r>
        <w:rPr>
          <w:rtl/>
        </w:rPr>
        <w:t>ء</w:t>
      </w:r>
      <w:r w:rsidRPr="00FE4C18">
        <w:rPr>
          <w:rtl/>
        </w:rPr>
        <w:t xml:space="preserve">ات </w:t>
      </w:r>
      <w:r>
        <w:rPr>
          <w:rtl/>
        </w:rPr>
        <w:t>ا</w:t>
      </w:r>
      <w:r w:rsidRPr="00FE4C18">
        <w:rPr>
          <w:rtl/>
        </w:rPr>
        <w:t xml:space="preserve">لفقهاء </w:t>
      </w:r>
      <w:r>
        <w:rPr>
          <w:rtl/>
        </w:rPr>
        <w:lastRenderedPageBreak/>
        <w:t>ا</w:t>
      </w:r>
      <w:r w:rsidRPr="00FE4C18">
        <w:rPr>
          <w:rtl/>
        </w:rPr>
        <w:t>لعظماء</w:t>
      </w:r>
      <w:r w:rsidRPr="007F5B58">
        <w:rPr>
          <w:rtl/>
        </w:rPr>
        <w:t>،</w:t>
      </w:r>
      <w:r>
        <w:rPr>
          <w:rtl/>
        </w:rPr>
        <w:t xml:space="preserve"> و</w:t>
      </w:r>
      <w:r w:rsidRPr="00FE4C18">
        <w:rPr>
          <w:rtl/>
        </w:rPr>
        <w:t xml:space="preserve">أخذ </w:t>
      </w:r>
      <w:r>
        <w:rPr>
          <w:rtl/>
        </w:rPr>
        <w:t>ا</w:t>
      </w:r>
      <w:r w:rsidRPr="00FE4C18">
        <w:rPr>
          <w:rtl/>
        </w:rPr>
        <w:t xml:space="preserve">لرأي من </w:t>
      </w:r>
      <w:r>
        <w:rPr>
          <w:rtl/>
        </w:rPr>
        <w:t>ا</w:t>
      </w:r>
      <w:r w:rsidRPr="00FE4C18">
        <w:rPr>
          <w:rtl/>
        </w:rPr>
        <w:t>لقانون</w:t>
      </w:r>
      <w:r>
        <w:rPr>
          <w:rtl/>
        </w:rPr>
        <w:t>يي</w:t>
      </w:r>
      <w:r w:rsidRPr="00FE4C18">
        <w:rPr>
          <w:rtl/>
        </w:rPr>
        <w:t xml:space="preserve">ن </w:t>
      </w:r>
      <w:r>
        <w:rPr>
          <w:rtl/>
        </w:rPr>
        <w:t>ا</w:t>
      </w:r>
      <w:r w:rsidRPr="00FE4C18">
        <w:rPr>
          <w:rtl/>
        </w:rPr>
        <w:t>لمعاصر</w:t>
      </w:r>
      <w:r>
        <w:rPr>
          <w:rtl/>
        </w:rPr>
        <w:t>ي</w:t>
      </w:r>
      <w:r w:rsidRPr="00FE4C18">
        <w:rPr>
          <w:rtl/>
        </w:rPr>
        <w:t>ن</w:t>
      </w:r>
      <w:r>
        <w:rPr>
          <w:rtl/>
        </w:rPr>
        <w:t>.</w:t>
      </w:r>
      <w:r w:rsidRPr="00FE4C18">
        <w:rPr>
          <w:rtl/>
        </w:rPr>
        <w:t xml:space="preserve"> </w:t>
      </w:r>
    </w:p>
    <w:p w:rsidR="00391A35" w:rsidRPr="00FE4C18" w:rsidRDefault="00391A35" w:rsidP="0067362A">
      <w:pPr>
        <w:pStyle w:val="ac"/>
        <w:spacing w:line="199" w:lineRule="auto"/>
        <w:rPr>
          <w:rtl/>
        </w:rPr>
      </w:pPr>
      <w:r>
        <w:rPr>
          <w:rtl/>
        </w:rPr>
        <w:t>ي</w:t>
      </w:r>
      <w:r w:rsidRPr="00FE4C18">
        <w:rPr>
          <w:rtl/>
        </w:rPr>
        <w:t xml:space="preserve">بحث في هذه </w:t>
      </w:r>
      <w:r>
        <w:rPr>
          <w:rtl/>
        </w:rPr>
        <w:t>ا</w:t>
      </w:r>
      <w:r w:rsidRPr="00FE4C18">
        <w:rPr>
          <w:rtl/>
        </w:rPr>
        <w:t xml:space="preserve">لمقالة </w:t>
      </w:r>
      <w:r>
        <w:rPr>
          <w:rtl/>
        </w:rPr>
        <w:t>ـ إ</w:t>
      </w:r>
      <w:r w:rsidRPr="00FE4C18">
        <w:rPr>
          <w:rtl/>
        </w:rPr>
        <w:t>ضافة إل</w:t>
      </w:r>
      <w:r>
        <w:rPr>
          <w:rtl/>
        </w:rPr>
        <w:t xml:space="preserve">ى </w:t>
      </w:r>
      <w:r w:rsidRPr="00FE4C18">
        <w:rPr>
          <w:rtl/>
        </w:rPr>
        <w:t>تعر</w:t>
      </w:r>
      <w:r>
        <w:rPr>
          <w:rtl/>
        </w:rPr>
        <w:t>ي</w:t>
      </w:r>
      <w:r w:rsidRPr="00FE4C18">
        <w:rPr>
          <w:rtl/>
        </w:rPr>
        <w:t>ف اتفاق</w:t>
      </w:r>
      <w:r>
        <w:rPr>
          <w:rtl/>
        </w:rPr>
        <w:t>يّ</w:t>
      </w:r>
      <w:r w:rsidRPr="00FE4C18">
        <w:rPr>
          <w:rtl/>
        </w:rPr>
        <w:t xml:space="preserve">ة استخدام رحم </w:t>
      </w:r>
      <w:r>
        <w:rPr>
          <w:rtl/>
        </w:rPr>
        <w:t>ا</w:t>
      </w:r>
      <w:r w:rsidRPr="00FE4C18">
        <w:rPr>
          <w:rtl/>
        </w:rPr>
        <w:t>لمرأة</w:t>
      </w:r>
      <w:r>
        <w:rPr>
          <w:rtl/>
        </w:rPr>
        <w:t xml:space="preserve"> و</w:t>
      </w:r>
      <w:r w:rsidRPr="00FE4C18">
        <w:rPr>
          <w:rtl/>
        </w:rPr>
        <w:t>أنواعها</w:t>
      </w:r>
      <w:r>
        <w:rPr>
          <w:rtl/>
        </w:rPr>
        <w:t xml:space="preserve"> ـ</w:t>
      </w:r>
      <w:r w:rsidRPr="00FE4C18">
        <w:rPr>
          <w:rtl/>
        </w:rPr>
        <w:t xml:space="preserve"> </w:t>
      </w:r>
      <w:r>
        <w:rPr>
          <w:rtl/>
        </w:rPr>
        <w:t>ا</w:t>
      </w:r>
      <w:r w:rsidRPr="00FE4C18">
        <w:rPr>
          <w:rtl/>
        </w:rPr>
        <w:t xml:space="preserve">لحالة </w:t>
      </w:r>
      <w:r>
        <w:rPr>
          <w:rtl/>
        </w:rPr>
        <w:t>ا</w:t>
      </w:r>
      <w:r w:rsidRPr="00FE4C18">
        <w:rPr>
          <w:rtl/>
        </w:rPr>
        <w:t>لحقوق</w:t>
      </w:r>
      <w:r>
        <w:rPr>
          <w:rtl/>
        </w:rPr>
        <w:t>يّ</w:t>
      </w:r>
      <w:r w:rsidRPr="00FE4C18">
        <w:rPr>
          <w:rtl/>
        </w:rPr>
        <w:t>ة (ن</w:t>
      </w:r>
      <w:r>
        <w:rPr>
          <w:rtl/>
        </w:rPr>
        <w:t>يّ</w:t>
      </w:r>
      <w:r w:rsidRPr="00FE4C18">
        <w:rPr>
          <w:rtl/>
        </w:rPr>
        <w:t>ة</w:t>
      </w:r>
      <w:r>
        <w:rPr>
          <w:rtl/>
        </w:rPr>
        <w:t xml:space="preserve"> و</w:t>
      </w:r>
      <w:r w:rsidRPr="00FE4C18">
        <w:rPr>
          <w:rtl/>
        </w:rPr>
        <w:t>رض</w:t>
      </w:r>
      <w:r>
        <w:rPr>
          <w:rFonts w:hint="cs"/>
          <w:rtl/>
        </w:rPr>
        <w:t>ا</w:t>
      </w:r>
      <w:r w:rsidRPr="00FE4C18">
        <w:rPr>
          <w:rtl/>
        </w:rPr>
        <w:t xml:space="preserve"> </w:t>
      </w:r>
      <w:r>
        <w:rPr>
          <w:rtl/>
        </w:rPr>
        <w:t>ا</w:t>
      </w:r>
      <w:r w:rsidRPr="00FE4C18">
        <w:rPr>
          <w:rtl/>
        </w:rPr>
        <w:t>لطرف</w:t>
      </w:r>
      <w:r>
        <w:rPr>
          <w:rtl/>
        </w:rPr>
        <w:t>ي</w:t>
      </w:r>
      <w:r w:rsidRPr="00FE4C18">
        <w:rPr>
          <w:rtl/>
        </w:rPr>
        <w:t>ن</w:t>
      </w:r>
      <w:r w:rsidRPr="007F5B58">
        <w:rPr>
          <w:rtl/>
        </w:rPr>
        <w:t>،</w:t>
      </w:r>
      <w:r w:rsidRPr="00FE4C18">
        <w:rPr>
          <w:rtl/>
        </w:rPr>
        <w:t xml:space="preserve"> أهل</w:t>
      </w:r>
      <w:r>
        <w:rPr>
          <w:rtl/>
        </w:rPr>
        <w:t>يّ</w:t>
      </w:r>
      <w:r w:rsidRPr="00FE4C18">
        <w:rPr>
          <w:rtl/>
        </w:rPr>
        <w:t>تهما</w:t>
      </w:r>
      <w:r w:rsidRPr="007F5B58">
        <w:rPr>
          <w:rtl/>
        </w:rPr>
        <w:t>،</w:t>
      </w:r>
      <w:r>
        <w:rPr>
          <w:rtl/>
        </w:rPr>
        <w:t xml:space="preserve"> و</w:t>
      </w:r>
      <w:r w:rsidRPr="00FE4C18">
        <w:rPr>
          <w:rtl/>
        </w:rPr>
        <w:t xml:space="preserve">موضوع </w:t>
      </w:r>
      <w:r>
        <w:rPr>
          <w:rtl/>
        </w:rPr>
        <w:t>ا</w:t>
      </w:r>
      <w:r w:rsidRPr="00FE4C18">
        <w:rPr>
          <w:rtl/>
        </w:rPr>
        <w:t>لاتفاق</w:t>
      </w:r>
      <w:r>
        <w:rPr>
          <w:rtl/>
        </w:rPr>
        <w:t>ي</w:t>
      </w:r>
      <w:r w:rsidRPr="00FE4C18">
        <w:rPr>
          <w:rtl/>
        </w:rPr>
        <w:t>ة</w:t>
      </w:r>
      <w:r>
        <w:rPr>
          <w:rtl/>
        </w:rPr>
        <w:t xml:space="preserve"> </w:t>
      </w:r>
      <w:r w:rsidRPr="00FE4C18">
        <w:rPr>
          <w:rtl/>
        </w:rPr>
        <w:t xml:space="preserve">من جهة </w:t>
      </w:r>
      <w:r>
        <w:rPr>
          <w:rtl/>
        </w:rPr>
        <w:t>ا</w:t>
      </w:r>
      <w:r w:rsidRPr="00FE4C18">
        <w:rPr>
          <w:rtl/>
        </w:rPr>
        <w:t>لمعرفة و</w:t>
      </w:r>
      <w:r>
        <w:rPr>
          <w:rtl/>
        </w:rPr>
        <w:t>ا</w:t>
      </w:r>
      <w:r w:rsidRPr="00FE4C18">
        <w:rPr>
          <w:rtl/>
        </w:rPr>
        <w:t>لتع</w:t>
      </w:r>
      <w:r>
        <w:rPr>
          <w:rtl/>
        </w:rPr>
        <w:t>يي</w:t>
      </w:r>
      <w:r w:rsidRPr="00FE4C18">
        <w:rPr>
          <w:rtl/>
        </w:rPr>
        <w:t>ن</w:t>
      </w:r>
      <w:r w:rsidRPr="007F5B58">
        <w:rPr>
          <w:rtl/>
        </w:rPr>
        <w:t>،</w:t>
      </w:r>
      <w:r>
        <w:rPr>
          <w:rtl/>
        </w:rPr>
        <w:t xml:space="preserve"> و</w:t>
      </w:r>
      <w:r w:rsidRPr="00FE4C18">
        <w:rPr>
          <w:rtl/>
        </w:rPr>
        <w:t>إم</w:t>
      </w:r>
      <w:r>
        <w:rPr>
          <w:rtl/>
        </w:rPr>
        <w:t>ك</w:t>
      </w:r>
      <w:r w:rsidRPr="00FE4C18">
        <w:rPr>
          <w:rtl/>
        </w:rPr>
        <w:t>ان</w:t>
      </w:r>
      <w:r>
        <w:rPr>
          <w:rtl/>
        </w:rPr>
        <w:t>يّ</w:t>
      </w:r>
      <w:r w:rsidRPr="00FE4C18">
        <w:rPr>
          <w:rtl/>
        </w:rPr>
        <w:t>ة إجرائها</w:t>
      </w:r>
      <w:r>
        <w:rPr>
          <w:rtl/>
        </w:rPr>
        <w:t xml:space="preserve"> و</w:t>
      </w:r>
      <w:r w:rsidRPr="00FE4C18">
        <w:rPr>
          <w:rtl/>
        </w:rPr>
        <w:t>مشروع</w:t>
      </w:r>
      <w:r>
        <w:rPr>
          <w:rtl/>
        </w:rPr>
        <w:t>يّ</w:t>
      </w:r>
      <w:r w:rsidRPr="00FE4C18">
        <w:rPr>
          <w:rtl/>
        </w:rPr>
        <w:t>تها</w:t>
      </w:r>
      <w:r>
        <w:rPr>
          <w:rtl/>
        </w:rPr>
        <w:t>).</w:t>
      </w:r>
      <w:r w:rsidRPr="00FE4C18">
        <w:rPr>
          <w:rtl/>
        </w:rPr>
        <w:t xml:space="preserve"> </w:t>
      </w:r>
      <w:r>
        <w:rPr>
          <w:rtl/>
        </w:rPr>
        <w:t>ك</w:t>
      </w:r>
      <w:r w:rsidRPr="00FE4C18">
        <w:rPr>
          <w:rtl/>
        </w:rPr>
        <w:t xml:space="preserve">ما تدرس في هذه </w:t>
      </w:r>
      <w:r>
        <w:rPr>
          <w:rtl/>
        </w:rPr>
        <w:t>ا</w:t>
      </w:r>
      <w:r w:rsidRPr="00FE4C18">
        <w:rPr>
          <w:rtl/>
        </w:rPr>
        <w:t xml:space="preserve">لمقالة </w:t>
      </w:r>
      <w:r>
        <w:rPr>
          <w:rtl/>
        </w:rPr>
        <w:t>كي</w:t>
      </w:r>
      <w:r w:rsidRPr="00FE4C18">
        <w:rPr>
          <w:rtl/>
        </w:rPr>
        <w:t>ف</w:t>
      </w:r>
      <w:r>
        <w:rPr>
          <w:rtl/>
        </w:rPr>
        <w:t>يّ</w:t>
      </w:r>
      <w:r w:rsidRPr="00FE4C18">
        <w:rPr>
          <w:rtl/>
        </w:rPr>
        <w:t>ة</w:t>
      </w:r>
      <w:r>
        <w:rPr>
          <w:rtl/>
        </w:rPr>
        <w:t xml:space="preserve"> و</w:t>
      </w:r>
      <w:r w:rsidRPr="00FE4C18">
        <w:rPr>
          <w:rtl/>
        </w:rPr>
        <w:t xml:space="preserve">آثار </w:t>
      </w:r>
      <w:r>
        <w:rPr>
          <w:rtl/>
        </w:rPr>
        <w:t>ا</w:t>
      </w:r>
      <w:r w:rsidRPr="00FE4C18">
        <w:rPr>
          <w:rtl/>
        </w:rPr>
        <w:t>لاتفاق</w:t>
      </w:r>
      <w:r>
        <w:rPr>
          <w:rtl/>
        </w:rPr>
        <w:t>ي</w:t>
      </w:r>
      <w:r w:rsidRPr="00FE4C18">
        <w:rPr>
          <w:rtl/>
        </w:rPr>
        <w:t>ة بالنسبة للمتعاقد</w:t>
      </w:r>
      <w:r>
        <w:rPr>
          <w:rtl/>
        </w:rPr>
        <w:t>ي</w:t>
      </w:r>
      <w:r w:rsidRPr="00FE4C18">
        <w:rPr>
          <w:rtl/>
        </w:rPr>
        <w:t>ن و</w:t>
      </w:r>
      <w:r>
        <w:rPr>
          <w:rtl/>
        </w:rPr>
        <w:t>غيرهما</w:t>
      </w:r>
      <w:r w:rsidRPr="00FE4C18">
        <w:rPr>
          <w:rtl/>
        </w:rPr>
        <w:t>.</w:t>
      </w:r>
    </w:p>
    <w:p w:rsidR="00391A35" w:rsidRPr="0067362A" w:rsidRDefault="00391A35" w:rsidP="0067362A">
      <w:pPr>
        <w:pStyle w:val="ac"/>
        <w:spacing w:line="199" w:lineRule="auto"/>
        <w:rPr>
          <w:sz w:val="16"/>
          <w:szCs w:val="14"/>
          <w:rtl/>
        </w:rPr>
      </w:pPr>
    </w:p>
    <w:p w:rsidR="00391A35" w:rsidRPr="006038DF" w:rsidRDefault="00391A35" w:rsidP="00391A35">
      <w:pPr>
        <w:pStyle w:val="1"/>
        <w:rPr>
          <w:rtl/>
        </w:rPr>
      </w:pPr>
      <w:bookmarkStart w:id="475" w:name="_Toc275128182"/>
      <w:r w:rsidRPr="006038DF">
        <w:rPr>
          <w:rtl/>
        </w:rPr>
        <w:t>المفاهيم والمصطلحات</w:t>
      </w:r>
      <w:bookmarkEnd w:id="475"/>
    </w:p>
    <w:p w:rsidR="00391A35" w:rsidRPr="00FE4C18" w:rsidRDefault="00391A35" w:rsidP="0067362A">
      <w:pPr>
        <w:pStyle w:val="ac"/>
        <w:spacing w:line="199" w:lineRule="auto"/>
        <w:rPr>
          <w:rtl/>
        </w:rPr>
      </w:pPr>
      <w:r w:rsidRPr="00FE4C18">
        <w:rPr>
          <w:rtl/>
        </w:rPr>
        <w:t>تذ</w:t>
      </w:r>
      <w:r>
        <w:rPr>
          <w:rtl/>
        </w:rPr>
        <w:t>ك</w:t>
      </w:r>
      <w:r w:rsidRPr="00FE4C18">
        <w:rPr>
          <w:rtl/>
        </w:rPr>
        <w:t xml:space="preserve">ر أسماء </w:t>
      </w:r>
      <w:r>
        <w:rPr>
          <w:rtl/>
        </w:rPr>
        <w:t>ك</w:t>
      </w:r>
      <w:r w:rsidRPr="00FE4C18">
        <w:rPr>
          <w:rtl/>
        </w:rPr>
        <w:t>ث</w:t>
      </w:r>
      <w:r>
        <w:rPr>
          <w:rtl/>
        </w:rPr>
        <w:t>ي</w:t>
      </w:r>
      <w:r w:rsidRPr="00FE4C18">
        <w:rPr>
          <w:rtl/>
        </w:rPr>
        <w:t xml:space="preserve">رة للمرأة </w:t>
      </w:r>
      <w:r>
        <w:rPr>
          <w:rtl/>
        </w:rPr>
        <w:t>ا</w:t>
      </w:r>
      <w:r w:rsidRPr="00FE4C18">
        <w:rPr>
          <w:rtl/>
        </w:rPr>
        <w:t>لتي تستخدم رحمها لترب</w:t>
      </w:r>
      <w:r>
        <w:rPr>
          <w:rtl/>
        </w:rPr>
        <w:t>ي</w:t>
      </w:r>
      <w:r w:rsidRPr="00FE4C18">
        <w:rPr>
          <w:rtl/>
        </w:rPr>
        <w:t>ة جن</w:t>
      </w:r>
      <w:r>
        <w:rPr>
          <w:rtl/>
        </w:rPr>
        <w:t>ي</w:t>
      </w:r>
      <w:r w:rsidRPr="00FE4C18">
        <w:rPr>
          <w:rtl/>
        </w:rPr>
        <w:t xml:space="preserve">ن </w:t>
      </w:r>
      <w:r>
        <w:rPr>
          <w:rtl/>
        </w:rPr>
        <w:t>ا</w:t>
      </w:r>
      <w:r w:rsidRPr="00FE4C18">
        <w:rPr>
          <w:rtl/>
        </w:rPr>
        <w:t xml:space="preserve">لشخص </w:t>
      </w:r>
      <w:r>
        <w:rPr>
          <w:rtl/>
        </w:rPr>
        <w:t>ا</w:t>
      </w:r>
      <w:r w:rsidRPr="00FE4C18">
        <w:rPr>
          <w:rtl/>
        </w:rPr>
        <w:t>لآخر</w:t>
      </w:r>
      <w:r w:rsidRPr="007F5B58">
        <w:rPr>
          <w:rtl/>
        </w:rPr>
        <w:t>،</w:t>
      </w:r>
      <w:r w:rsidRPr="00FE4C18">
        <w:rPr>
          <w:rtl/>
        </w:rPr>
        <w:t xml:space="preserve"> </w:t>
      </w:r>
      <w:r>
        <w:rPr>
          <w:rtl/>
        </w:rPr>
        <w:t>ك</w:t>
      </w:r>
      <w:r w:rsidRPr="00FE4C18">
        <w:rPr>
          <w:rtl/>
        </w:rPr>
        <w:t xml:space="preserve">الأمّ </w:t>
      </w:r>
      <w:r>
        <w:rPr>
          <w:rtl/>
        </w:rPr>
        <w:t>ا</w:t>
      </w:r>
      <w:r w:rsidRPr="00FE4C18">
        <w:rPr>
          <w:rtl/>
        </w:rPr>
        <w:t>لبد</w:t>
      </w:r>
      <w:r>
        <w:rPr>
          <w:rtl/>
        </w:rPr>
        <w:t>ي</w:t>
      </w:r>
      <w:r w:rsidRPr="00FE4C18">
        <w:rPr>
          <w:rtl/>
        </w:rPr>
        <w:t>لة</w:t>
      </w:r>
      <w:r w:rsidRPr="00815C4C">
        <w:rPr>
          <w:rFonts w:cs="Taher" w:hint="cs"/>
          <w:vertAlign w:val="superscript"/>
          <w:rtl/>
        </w:rPr>
        <w:t>(</w:t>
      </w:r>
      <w:r w:rsidRPr="00815C4C">
        <w:rPr>
          <w:rFonts w:cs="Taher"/>
          <w:vertAlign w:val="superscript"/>
          <w:rtl/>
        </w:rPr>
        <w:footnoteReference w:id="877"/>
      </w:r>
      <w:r w:rsidRPr="00815C4C">
        <w:rPr>
          <w:rFonts w:cs="Taher" w:hint="cs"/>
          <w:vertAlign w:val="superscript"/>
          <w:rtl/>
        </w:rPr>
        <w:t>)</w:t>
      </w:r>
      <w:r w:rsidRPr="007F5B58">
        <w:rPr>
          <w:rtl/>
        </w:rPr>
        <w:t>،</w:t>
      </w:r>
      <w:r>
        <w:rPr>
          <w:rtl/>
        </w:rPr>
        <w:t xml:space="preserve"> وا</w:t>
      </w:r>
      <w:r w:rsidRPr="00FE4C18">
        <w:rPr>
          <w:rtl/>
        </w:rPr>
        <w:t xml:space="preserve">لأم </w:t>
      </w:r>
      <w:r>
        <w:rPr>
          <w:rtl/>
        </w:rPr>
        <w:t>ا</w:t>
      </w:r>
      <w:r w:rsidRPr="00FE4C18">
        <w:rPr>
          <w:rtl/>
        </w:rPr>
        <w:t>ل</w:t>
      </w:r>
      <w:r>
        <w:rPr>
          <w:rtl/>
        </w:rPr>
        <w:t>إي</w:t>
      </w:r>
      <w:r w:rsidRPr="00FE4C18">
        <w:rPr>
          <w:rtl/>
        </w:rPr>
        <w:t>جار</w:t>
      </w:r>
      <w:r>
        <w:rPr>
          <w:rtl/>
        </w:rPr>
        <w:t>يّ</w:t>
      </w:r>
      <w:r w:rsidRPr="00FE4C18">
        <w:rPr>
          <w:rtl/>
        </w:rPr>
        <w:t>ة</w:t>
      </w:r>
      <w:r w:rsidRPr="007F5B58">
        <w:rPr>
          <w:rtl/>
        </w:rPr>
        <w:t>،</w:t>
      </w:r>
      <w:r>
        <w:rPr>
          <w:rtl/>
        </w:rPr>
        <w:t xml:space="preserve"> وا</w:t>
      </w:r>
      <w:r w:rsidRPr="00FE4C18">
        <w:rPr>
          <w:rtl/>
        </w:rPr>
        <w:t>ل</w:t>
      </w:r>
      <w:r>
        <w:rPr>
          <w:rFonts w:hint="cs"/>
          <w:rtl/>
        </w:rPr>
        <w:t>أ</w:t>
      </w:r>
      <w:r w:rsidRPr="00FE4C18">
        <w:rPr>
          <w:rtl/>
        </w:rPr>
        <w:t xml:space="preserve">م </w:t>
      </w:r>
      <w:r>
        <w:rPr>
          <w:rtl/>
        </w:rPr>
        <w:t>ا</w:t>
      </w:r>
      <w:r w:rsidRPr="00FE4C18">
        <w:rPr>
          <w:rtl/>
        </w:rPr>
        <w:t>لوس</w:t>
      </w:r>
      <w:r>
        <w:rPr>
          <w:rtl/>
        </w:rPr>
        <w:t>ي</w:t>
      </w:r>
      <w:r w:rsidRPr="00FE4C18">
        <w:rPr>
          <w:rtl/>
        </w:rPr>
        <w:t>طة</w:t>
      </w:r>
      <w:r>
        <w:rPr>
          <w:rtl/>
        </w:rPr>
        <w:t>.</w:t>
      </w:r>
      <w:r w:rsidRPr="00FE4C18">
        <w:rPr>
          <w:rtl/>
        </w:rPr>
        <w:t xml:space="preserve"> </w:t>
      </w:r>
    </w:p>
    <w:p w:rsidR="00391A35" w:rsidRDefault="00391A35" w:rsidP="0067362A">
      <w:pPr>
        <w:pStyle w:val="ac"/>
        <w:spacing w:line="199" w:lineRule="auto"/>
        <w:rPr>
          <w:rtl/>
        </w:rPr>
      </w:pPr>
      <w:r w:rsidRPr="00FE4C18">
        <w:rPr>
          <w:rtl/>
        </w:rPr>
        <w:t xml:space="preserve">و حول </w:t>
      </w:r>
      <w:r>
        <w:rPr>
          <w:rtl/>
        </w:rPr>
        <w:t>ا</w:t>
      </w:r>
      <w:r w:rsidRPr="00FE4C18">
        <w:rPr>
          <w:rtl/>
        </w:rPr>
        <w:t xml:space="preserve">لرحم تستعمل </w:t>
      </w:r>
      <w:r>
        <w:rPr>
          <w:rtl/>
        </w:rPr>
        <w:t>ك</w:t>
      </w:r>
      <w:r w:rsidRPr="00FE4C18">
        <w:rPr>
          <w:rtl/>
        </w:rPr>
        <w:t xml:space="preserve">لمة </w:t>
      </w:r>
      <w:r>
        <w:rPr>
          <w:rtl/>
        </w:rPr>
        <w:t>ا</w:t>
      </w:r>
      <w:r w:rsidRPr="00FE4C18">
        <w:rPr>
          <w:rtl/>
        </w:rPr>
        <w:t xml:space="preserve">لرحم </w:t>
      </w:r>
      <w:r>
        <w:rPr>
          <w:rtl/>
        </w:rPr>
        <w:t>ا</w:t>
      </w:r>
      <w:r w:rsidRPr="00FE4C18">
        <w:rPr>
          <w:rtl/>
        </w:rPr>
        <w:t>ل</w:t>
      </w:r>
      <w:r>
        <w:rPr>
          <w:rtl/>
        </w:rPr>
        <w:t>إي</w:t>
      </w:r>
      <w:r w:rsidRPr="00FE4C18">
        <w:rPr>
          <w:rtl/>
        </w:rPr>
        <w:t>جاري</w:t>
      </w:r>
      <w:r w:rsidRPr="007F5B58">
        <w:rPr>
          <w:rtl/>
        </w:rPr>
        <w:t>،</w:t>
      </w:r>
      <w:r w:rsidRPr="00FE4C18">
        <w:rPr>
          <w:rtl/>
        </w:rPr>
        <w:t xml:space="preserve"> أو </w:t>
      </w:r>
      <w:r>
        <w:rPr>
          <w:rtl/>
        </w:rPr>
        <w:t>ا</w:t>
      </w:r>
      <w:r w:rsidRPr="00FE4C18">
        <w:rPr>
          <w:rtl/>
        </w:rPr>
        <w:t xml:space="preserve">لرحم </w:t>
      </w:r>
      <w:r>
        <w:rPr>
          <w:rtl/>
        </w:rPr>
        <w:t>ا</w:t>
      </w:r>
      <w:r w:rsidRPr="00FE4C18">
        <w:rPr>
          <w:rtl/>
        </w:rPr>
        <w:t>لبد</w:t>
      </w:r>
      <w:r>
        <w:rPr>
          <w:rtl/>
        </w:rPr>
        <w:t>ي</w:t>
      </w:r>
      <w:r w:rsidRPr="00FE4C18">
        <w:rPr>
          <w:rtl/>
        </w:rPr>
        <w:t>ل</w:t>
      </w:r>
      <w:r>
        <w:rPr>
          <w:rtl/>
        </w:rPr>
        <w:t>.</w:t>
      </w:r>
      <w:r w:rsidRPr="00FE4C18">
        <w:rPr>
          <w:rtl/>
        </w:rPr>
        <w:t xml:space="preserve"> </w:t>
      </w:r>
    </w:p>
    <w:p w:rsidR="00391A35" w:rsidRPr="00FE4C18" w:rsidRDefault="00391A35" w:rsidP="0067362A">
      <w:pPr>
        <w:pStyle w:val="ac"/>
        <w:spacing w:line="199" w:lineRule="auto"/>
        <w:rPr>
          <w:rtl/>
        </w:rPr>
      </w:pPr>
      <w:r>
        <w:rPr>
          <w:rtl/>
        </w:rPr>
        <w:t>إن ا</w:t>
      </w:r>
      <w:r w:rsidRPr="00FE4C18">
        <w:rPr>
          <w:rtl/>
        </w:rPr>
        <w:t>تفاق</w:t>
      </w:r>
      <w:r>
        <w:rPr>
          <w:rtl/>
        </w:rPr>
        <w:t>ي</w:t>
      </w:r>
      <w:r w:rsidRPr="00FE4C18">
        <w:rPr>
          <w:rtl/>
        </w:rPr>
        <w:t xml:space="preserve">ة استخدام رحم </w:t>
      </w:r>
      <w:r>
        <w:rPr>
          <w:rtl/>
        </w:rPr>
        <w:t>ا</w:t>
      </w:r>
      <w:r w:rsidRPr="00FE4C18">
        <w:rPr>
          <w:rtl/>
        </w:rPr>
        <w:t xml:space="preserve">لمرأة صارت مصطلحة بهذه </w:t>
      </w:r>
      <w:r>
        <w:rPr>
          <w:rtl/>
        </w:rPr>
        <w:t>ا</w:t>
      </w:r>
      <w:r w:rsidRPr="00FE4C18">
        <w:rPr>
          <w:rtl/>
        </w:rPr>
        <w:t>لعناو</w:t>
      </w:r>
      <w:r>
        <w:rPr>
          <w:rtl/>
        </w:rPr>
        <w:t>ي</w:t>
      </w:r>
      <w:r w:rsidRPr="00FE4C18">
        <w:rPr>
          <w:rtl/>
        </w:rPr>
        <w:t>ن</w:t>
      </w:r>
      <w:r w:rsidRPr="007F5B58">
        <w:rPr>
          <w:rtl/>
        </w:rPr>
        <w:t>:</w:t>
      </w:r>
      <w:r w:rsidRPr="00FE4C18">
        <w:rPr>
          <w:rtl/>
        </w:rPr>
        <w:t xml:space="preserve"> </w:t>
      </w:r>
    </w:p>
    <w:p w:rsidR="00391A35" w:rsidRPr="00FE4C18" w:rsidRDefault="00391A35" w:rsidP="0067362A">
      <w:pPr>
        <w:pStyle w:val="ac"/>
        <w:spacing w:line="199" w:lineRule="auto"/>
        <w:rPr>
          <w:rtl/>
        </w:rPr>
      </w:pPr>
      <w:r w:rsidRPr="00FE4C18">
        <w:rPr>
          <w:rtl/>
        </w:rPr>
        <w:t>1</w:t>
      </w:r>
      <w:r>
        <w:rPr>
          <w:rtl/>
        </w:rPr>
        <w:t>ـ</w:t>
      </w:r>
      <w:r>
        <w:rPr>
          <w:rFonts w:hint="cs"/>
          <w:rtl/>
        </w:rPr>
        <w:t xml:space="preserve"> </w:t>
      </w:r>
      <w:r w:rsidRPr="00FE4C18">
        <w:rPr>
          <w:rtl/>
        </w:rPr>
        <w:t>اتفاق</w:t>
      </w:r>
      <w:r>
        <w:rPr>
          <w:rtl/>
        </w:rPr>
        <w:t>ي</w:t>
      </w:r>
      <w:r w:rsidRPr="00FE4C18">
        <w:rPr>
          <w:rtl/>
        </w:rPr>
        <w:t xml:space="preserve">ة </w:t>
      </w:r>
      <w:r>
        <w:rPr>
          <w:rtl/>
        </w:rPr>
        <w:t>ا</w:t>
      </w:r>
      <w:r w:rsidRPr="00FE4C18">
        <w:rPr>
          <w:rtl/>
        </w:rPr>
        <w:t>ل</w:t>
      </w:r>
      <w:r>
        <w:rPr>
          <w:rtl/>
        </w:rPr>
        <w:t>أ</w:t>
      </w:r>
      <w:r w:rsidRPr="00FE4C18">
        <w:rPr>
          <w:rtl/>
        </w:rPr>
        <w:t xml:space="preserve">م </w:t>
      </w:r>
      <w:r>
        <w:rPr>
          <w:rFonts w:hint="cs"/>
          <w:rtl/>
        </w:rPr>
        <w:t>ا</w:t>
      </w:r>
      <w:r w:rsidRPr="00FE4C18">
        <w:rPr>
          <w:rtl/>
        </w:rPr>
        <w:t>لبد</w:t>
      </w:r>
      <w:r>
        <w:rPr>
          <w:rtl/>
        </w:rPr>
        <w:t>ي</w:t>
      </w:r>
      <w:r w:rsidRPr="00FE4C18">
        <w:rPr>
          <w:rtl/>
        </w:rPr>
        <w:t>لة</w:t>
      </w:r>
      <w:r w:rsidRPr="00815C4C">
        <w:rPr>
          <w:rFonts w:cs="Taher" w:hint="cs"/>
          <w:vertAlign w:val="superscript"/>
          <w:rtl/>
        </w:rPr>
        <w:t>(</w:t>
      </w:r>
      <w:r w:rsidRPr="00815C4C">
        <w:rPr>
          <w:rFonts w:cs="Taher"/>
          <w:vertAlign w:val="superscript"/>
          <w:rtl/>
        </w:rPr>
        <w:footnoteReference w:id="878"/>
      </w:r>
      <w:r w:rsidRPr="00815C4C">
        <w:rPr>
          <w:rFonts w:cs="Taher" w:hint="cs"/>
          <w:vertAlign w:val="superscript"/>
          <w:rtl/>
        </w:rPr>
        <w:t>)</w:t>
      </w:r>
      <w:r>
        <w:rPr>
          <w:rtl/>
        </w:rPr>
        <w:t>.</w:t>
      </w:r>
    </w:p>
    <w:p w:rsidR="00391A35" w:rsidRPr="00FE4C18" w:rsidRDefault="00391A35" w:rsidP="0067362A">
      <w:pPr>
        <w:pStyle w:val="ac"/>
        <w:spacing w:line="199" w:lineRule="auto"/>
        <w:rPr>
          <w:rtl/>
        </w:rPr>
      </w:pPr>
      <w:r w:rsidRPr="00FE4C18">
        <w:rPr>
          <w:rtl/>
        </w:rPr>
        <w:t>2</w:t>
      </w:r>
      <w:r>
        <w:rPr>
          <w:rtl/>
        </w:rPr>
        <w:t>ـ</w:t>
      </w:r>
      <w:r w:rsidRPr="00FE4C18">
        <w:rPr>
          <w:rtl/>
        </w:rPr>
        <w:t xml:space="preserve"> اتفاق</w:t>
      </w:r>
      <w:r>
        <w:rPr>
          <w:rtl/>
        </w:rPr>
        <w:t>ي</w:t>
      </w:r>
      <w:r w:rsidRPr="00FE4C18">
        <w:rPr>
          <w:rtl/>
        </w:rPr>
        <w:t xml:space="preserve">ة </w:t>
      </w:r>
      <w:r>
        <w:rPr>
          <w:rtl/>
        </w:rPr>
        <w:t>إي</w:t>
      </w:r>
      <w:r w:rsidRPr="00FE4C18">
        <w:rPr>
          <w:rtl/>
        </w:rPr>
        <w:t xml:space="preserve">جار </w:t>
      </w:r>
      <w:r>
        <w:rPr>
          <w:rtl/>
        </w:rPr>
        <w:t>ا</w:t>
      </w:r>
      <w:r w:rsidRPr="00FE4C18">
        <w:rPr>
          <w:rtl/>
        </w:rPr>
        <w:t>لرحم</w:t>
      </w:r>
      <w:r w:rsidRPr="00815C4C">
        <w:rPr>
          <w:rFonts w:cs="Taher" w:hint="cs"/>
          <w:vertAlign w:val="superscript"/>
          <w:rtl/>
        </w:rPr>
        <w:t>(</w:t>
      </w:r>
      <w:r w:rsidRPr="00815C4C">
        <w:rPr>
          <w:rFonts w:cs="Taher"/>
          <w:vertAlign w:val="superscript"/>
          <w:rtl/>
        </w:rPr>
        <w:footnoteReference w:id="879"/>
      </w:r>
      <w:r w:rsidRPr="00815C4C">
        <w:rPr>
          <w:rFonts w:cs="Taher" w:hint="cs"/>
          <w:vertAlign w:val="superscript"/>
          <w:rtl/>
        </w:rPr>
        <w:t>)</w:t>
      </w:r>
      <w:r>
        <w:rPr>
          <w:rtl/>
        </w:rPr>
        <w:t>.</w:t>
      </w:r>
    </w:p>
    <w:p w:rsidR="00391A35" w:rsidRDefault="00391A35" w:rsidP="0067362A">
      <w:pPr>
        <w:pStyle w:val="ac"/>
        <w:spacing w:line="199" w:lineRule="auto"/>
        <w:rPr>
          <w:rtl/>
        </w:rPr>
      </w:pPr>
      <w:r w:rsidRPr="00FE4C18">
        <w:rPr>
          <w:rtl/>
        </w:rPr>
        <w:t>3</w:t>
      </w:r>
      <w:r>
        <w:rPr>
          <w:rtl/>
        </w:rPr>
        <w:t>ـ</w:t>
      </w:r>
      <w:r w:rsidRPr="00FE4C18">
        <w:rPr>
          <w:rtl/>
        </w:rPr>
        <w:t xml:space="preserve"> الحمل ضمن </w:t>
      </w:r>
      <w:r>
        <w:rPr>
          <w:rtl/>
        </w:rPr>
        <w:t>ا</w:t>
      </w:r>
      <w:r w:rsidRPr="00FE4C18">
        <w:rPr>
          <w:rtl/>
        </w:rPr>
        <w:t>لعقد</w:t>
      </w:r>
      <w:r>
        <w:rPr>
          <w:rtl/>
        </w:rPr>
        <w:t xml:space="preserve">. </w:t>
      </w:r>
    </w:p>
    <w:p w:rsidR="00391A35" w:rsidRPr="00FE4C18" w:rsidRDefault="00391A35" w:rsidP="0067362A">
      <w:pPr>
        <w:pStyle w:val="ac"/>
        <w:spacing w:line="199" w:lineRule="auto"/>
        <w:rPr>
          <w:rtl/>
        </w:rPr>
      </w:pPr>
      <w:r>
        <w:rPr>
          <w:rtl/>
        </w:rPr>
        <w:t>وي</w:t>
      </w:r>
      <w:r w:rsidRPr="00FE4C18">
        <w:rPr>
          <w:rtl/>
        </w:rPr>
        <w:t xml:space="preserve">فهم من هذه </w:t>
      </w:r>
      <w:r>
        <w:rPr>
          <w:rtl/>
        </w:rPr>
        <w:t>ا</w:t>
      </w:r>
      <w:r w:rsidRPr="00FE4C18">
        <w:rPr>
          <w:rtl/>
        </w:rPr>
        <w:t xml:space="preserve">لمصطلحات </w:t>
      </w:r>
      <w:r>
        <w:rPr>
          <w:rtl/>
        </w:rPr>
        <w:t>ا</w:t>
      </w:r>
      <w:r w:rsidRPr="00FE4C18">
        <w:rPr>
          <w:rtl/>
        </w:rPr>
        <w:t>لثلاثة معن</w:t>
      </w:r>
      <w:r>
        <w:rPr>
          <w:rtl/>
        </w:rPr>
        <w:t xml:space="preserve">ى </w:t>
      </w:r>
      <w:r w:rsidRPr="00FE4C18">
        <w:rPr>
          <w:rtl/>
        </w:rPr>
        <w:t>واحد</w:t>
      </w:r>
      <w:r>
        <w:rPr>
          <w:rtl/>
        </w:rPr>
        <w:t>.</w:t>
      </w:r>
      <w:r w:rsidRPr="00FE4C18">
        <w:rPr>
          <w:rtl/>
        </w:rPr>
        <w:t xml:space="preserve"> </w:t>
      </w:r>
    </w:p>
    <w:p w:rsidR="00391A35" w:rsidRPr="00FE4C18" w:rsidRDefault="00391A35" w:rsidP="0067362A">
      <w:pPr>
        <w:pStyle w:val="ac"/>
        <w:spacing w:line="199" w:lineRule="auto"/>
        <w:rPr>
          <w:rtl/>
        </w:rPr>
      </w:pPr>
      <w:r>
        <w:rPr>
          <w:rtl/>
        </w:rPr>
        <w:t>و</w:t>
      </w:r>
      <w:r w:rsidRPr="00FE4C18">
        <w:rPr>
          <w:rtl/>
        </w:rPr>
        <w:t>نظراً إل</w:t>
      </w:r>
      <w:r>
        <w:rPr>
          <w:rtl/>
        </w:rPr>
        <w:t xml:space="preserve">ى </w:t>
      </w:r>
      <w:r w:rsidRPr="00FE4C18">
        <w:rPr>
          <w:rtl/>
        </w:rPr>
        <w:t xml:space="preserve">أنَّ صاحبة </w:t>
      </w:r>
      <w:r>
        <w:rPr>
          <w:rtl/>
        </w:rPr>
        <w:t>ا</w:t>
      </w:r>
      <w:r w:rsidRPr="00FE4C18">
        <w:rPr>
          <w:rtl/>
        </w:rPr>
        <w:t>لرحم تتول</w:t>
      </w:r>
      <w:r>
        <w:rPr>
          <w:rtl/>
        </w:rPr>
        <w:t xml:space="preserve">ى </w:t>
      </w:r>
      <w:r w:rsidRPr="00FE4C18">
        <w:rPr>
          <w:rtl/>
        </w:rPr>
        <w:t>حمل</w:t>
      </w:r>
      <w:r>
        <w:rPr>
          <w:rtl/>
        </w:rPr>
        <w:t xml:space="preserve"> و</w:t>
      </w:r>
      <w:r w:rsidRPr="00FE4C18">
        <w:rPr>
          <w:rtl/>
        </w:rPr>
        <w:t>ترب</w:t>
      </w:r>
      <w:r>
        <w:rPr>
          <w:rtl/>
        </w:rPr>
        <w:t>ي</w:t>
      </w:r>
      <w:r w:rsidRPr="00FE4C18">
        <w:rPr>
          <w:rtl/>
        </w:rPr>
        <w:t xml:space="preserve">ة </w:t>
      </w:r>
      <w:r>
        <w:rPr>
          <w:rtl/>
        </w:rPr>
        <w:t>ا</w:t>
      </w:r>
      <w:r w:rsidRPr="00FE4C18">
        <w:rPr>
          <w:rtl/>
        </w:rPr>
        <w:t>لجن</w:t>
      </w:r>
      <w:r>
        <w:rPr>
          <w:rtl/>
        </w:rPr>
        <w:t>ي</w:t>
      </w:r>
      <w:r w:rsidRPr="00FE4C18">
        <w:rPr>
          <w:rtl/>
        </w:rPr>
        <w:t xml:space="preserve">ن عوضاً عن </w:t>
      </w:r>
      <w:r>
        <w:rPr>
          <w:rtl/>
        </w:rPr>
        <w:t>ا</w:t>
      </w:r>
      <w:r w:rsidRPr="00FE4C18">
        <w:rPr>
          <w:rtl/>
        </w:rPr>
        <w:t xml:space="preserve">لأم </w:t>
      </w:r>
      <w:r>
        <w:rPr>
          <w:rtl/>
        </w:rPr>
        <w:t>ا</w:t>
      </w:r>
      <w:r w:rsidRPr="00FE4C18">
        <w:rPr>
          <w:rtl/>
        </w:rPr>
        <w:t>لأصل</w:t>
      </w:r>
      <w:r>
        <w:rPr>
          <w:rtl/>
        </w:rPr>
        <w:t>ي</w:t>
      </w:r>
      <w:r w:rsidRPr="00FE4C18">
        <w:rPr>
          <w:rtl/>
        </w:rPr>
        <w:t>ة</w:t>
      </w:r>
      <w:r w:rsidRPr="007F5B58">
        <w:rPr>
          <w:rtl/>
        </w:rPr>
        <w:t>،</w:t>
      </w:r>
      <w:r>
        <w:rPr>
          <w:rtl/>
        </w:rPr>
        <w:t xml:space="preserve"> و</w:t>
      </w:r>
      <w:r w:rsidRPr="00FE4C18">
        <w:rPr>
          <w:rtl/>
        </w:rPr>
        <w:t xml:space="preserve">من جانب طبي </w:t>
      </w:r>
      <w:r>
        <w:rPr>
          <w:rtl/>
        </w:rPr>
        <w:t>ي</w:t>
      </w:r>
      <w:r w:rsidRPr="00FE4C18">
        <w:rPr>
          <w:rtl/>
        </w:rPr>
        <w:t xml:space="preserve">نوب جسم صاحبة </w:t>
      </w:r>
      <w:r>
        <w:rPr>
          <w:rtl/>
        </w:rPr>
        <w:t>ا</w:t>
      </w:r>
      <w:r w:rsidRPr="00FE4C18">
        <w:rPr>
          <w:rtl/>
        </w:rPr>
        <w:t>لرحم ف</w:t>
      </w:r>
      <w:r>
        <w:rPr>
          <w:rtl/>
        </w:rPr>
        <w:t>ي</w:t>
      </w:r>
      <w:r w:rsidRPr="00FE4C18">
        <w:rPr>
          <w:rtl/>
        </w:rPr>
        <w:t>ز</w:t>
      </w:r>
      <w:r>
        <w:rPr>
          <w:rtl/>
        </w:rPr>
        <w:t>ي</w:t>
      </w:r>
      <w:r w:rsidRPr="00FE4C18">
        <w:rPr>
          <w:rtl/>
        </w:rPr>
        <w:t>ولوج</w:t>
      </w:r>
      <w:r>
        <w:rPr>
          <w:rtl/>
        </w:rPr>
        <w:t>ي</w:t>
      </w:r>
      <w:r w:rsidRPr="00FE4C18">
        <w:rPr>
          <w:rtl/>
        </w:rPr>
        <w:t>اً</w:t>
      </w:r>
      <w:r w:rsidRPr="00815C4C">
        <w:rPr>
          <w:rFonts w:cs="Taher" w:hint="cs"/>
          <w:vertAlign w:val="superscript"/>
          <w:rtl/>
        </w:rPr>
        <w:t>(</w:t>
      </w:r>
      <w:r w:rsidRPr="00815C4C">
        <w:rPr>
          <w:rFonts w:cs="Taher"/>
          <w:vertAlign w:val="superscript"/>
          <w:rtl/>
        </w:rPr>
        <w:footnoteReference w:id="880"/>
      </w:r>
      <w:r w:rsidRPr="00815C4C">
        <w:rPr>
          <w:rFonts w:cs="Taher" w:hint="cs"/>
          <w:vertAlign w:val="superscript"/>
          <w:rtl/>
        </w:rPr>
        <w:t>)</w:t>
      </w:r>
      <w:r>
        <w:rPr>
          <w:rtl/>
        </w:rPr>
        <w:t xml:space="preserve"> </w:t>
      </w:r>
      <w:r w:rsidRPr="00FE4C18">
        <w:rPr>
          <w:rtl/>
        </w:rPr>
        <w:t xml:space="preserve">عن جسد الأم </w:t>
      </w:r>
      <w:r>
        <w:rPr>
          <w:rtl/>
        </w:rPr>
        <w:t>ا</w:t>
      </w:r>
      <w:r w:rsidRPr="00FE4C18">
        <w:rPr>
          <w:rtl/>
        </w:rPr>
        <w:t>لأصل</w:t>
      </w:r>
      <w:r>
        <w:rPr>
          <w:rtl/>
        </w:rPr>
        <w:t>ي</w:t>
      </w:r>
      <w:r w:rsidRPr="00FE4C18">
        <w:rPr>
          <w:rtl/>
        </w:rPr>
        <w:t>ة</w:t>
      </w:r>
      <w:r w:rsidRPr="007F5B58">
        <w:rPr>
          <w:rtl/>
        </w:rPr>
        <w:t>،</w:t>
      </w:r>
      <w:r w:rsidRPr="00FE4C18">
        <w:rPr>
          <w:rtl/>
        </w:rPr>
        <w:t xml:space="preserve"> فاتخاذ اصطلاح </w:t>
      </w:r>
      <w:r>
        <w:rPr>
          <w:rtl/>
        </w:rPr>
        <w:t>ا</w:t>
      </w:r>
      <w:r w:rsidRPr="00FE4C18">
        <w:rPr>
          <w:rtl/>
        </w:rPr>
        <w:t>ل</w:t>
      </w:r>
      <w:r>
        <w:rPr>
          <w:rtl/>
        </w:rPr>
        <w:t>أ</w:t>
      </w:r>
      <w:r w:rsidRPr="00FE4C18">
        <w:rPr>
          <w:rtl/>
        </w:rPr>
        <w:t xml:space="preserve">م </w:t>
      </w:r>
      <w:r>
        <w:rPr>
          <w:rtl/>
        </w:rPr>
        <w:t>ا</w:t>
      </w:r>
      <w:r w:rsidRPr="00FE4C18">
        <w:rPr>
          <w:rtl/>
        </w:rPr>
        <w:t>لبد</w:t>
      </w:r>
      <w:r>
        <w:rPr>
          <w:rtl/>
        </w:rPr>
        <w:t>ي</w:t>
      </w:r>
      <w:r w:rsidRPr="00FE4C18">
        <w:rPr>
          <w:rtl/>
        </w:rPr>
        <w:t>ل</w:t>
      </w:r>
      <w:r>
        <w:rPr>
          <w:rtl/>
        </w:rPr>
        <w:t>ة</w:t>
      </w:r>
      <w:r w:rsidRPr="00FE4C18">
        <w:rPr>
          <w:rtl/>
        </w:rPr>
        <w:t xml:space="preserve"> أحسن ب</w:t>
      </w:r>
      <w:r>
        <w:rPr>
          <w:rtl/>
        </w:rPr>
        <w:t>ك</w:t>
      </w:r>
      <w:r w:rsidRPr="00FE4C18">
        <w:rPr>
          <w:rtl/>
        </w:rPr>
        <w:t>ث</w:t>
      </w:r>
      <w:r>
        <w:rPr>
          <w:rtl/>
        </w:rPr>
        <w:t>ي</w:t>
      </w:r>
      <w:r w:rsidRPr="00FE4C18">
        <w:rPr>
          <w:rtl/>
        </w:rPr>
        <w:t>ر</w:t>
      </w:r>
      <w:r>
        <w:rPr>
          <w:rtl/>
        </w:rPr>
        <w:t>.</w:t>
      </w:r>
    </w:p>
    <w:p w:rsidR="00391A35" w:rsidRPr="0067362A" w:rsidRDefault="00391A35" w:rsidP="0067362A">
      <w:pPr>
        <w:pStyle w:val="afffffc"/>
        <w:rPr>
          <w:sz w:val="18"/>
          <w:szCs w:val="16"/>
          <w:rtl/>
        </w:rPr>
      </w:pPr>
    </w:p>
    <w:p w:rsidR="00391A35" w:rsidRPr="00FE4C18" w:rsidRDefault="00391A35" w:rsidP="00391A35">
      <w:pPr>
        <w:pStyle w:val="1"/>
        <w:rPr>
          <w:rtl/>
        </w:rPr>
      </w:pPr>
      <w:bookmarkStart w:id="476" w:name="_Toc275128183"/>
      <w:r w:rsidRPr="00FE4C18">
        <w:rPr>
          <w:rtl/>
        </w:rPr>
        <w:t>تعر</w:t>
      </w:r>
      <w:r>
        <w:rPr>
          <w:rtl/>
        </w:rPr>
        <w:t>ي</w:t>
      </w:r>
      <w:r w:rsidRPr="00FE4C18">
        <w:rPr>
          <w:rtl/>
        </w:rPr>
        <w:t>ف اتفاق</w:t>
      </w:r>
      <w:r>
        <w:rPr>
          <w:rtl/>
        </w:rPr>
        <w:t>ي</w:t>
      </w:r>
      <w:r w:rsidRPr="00FE4C18">
        <w:rPr>
          <w:rtl/>
        </w:rPr>
        <w:t xml:space="preserve">ة استخدام رحم </w:t>
      </w:r>
      <w:r>
        <w:rPr>
          <w:rtl/>
        </w:rPr>
        <w:t>ا</w:t>
      </w:r>
      <w:r w:rsidRPr="00FE4C18">
        <w:rPr>
          <w:rtl/>
        </w:rPr>
        <w:t>لمرأة</w:t>
      </w:r>
      <w:bookmarkEnd w:id="476"/>
      <w:r w:rsidRPr="00FE4C18">
        <w:rPr>
          <w:rtl/>
        </w:rPr>
        <w:t xml:space="preserve"> </w:t>
      </w:r>
    </w:p>
    <w:p w:rsidR="00391A35" w:rsidRDefault="00391A35" w:rsidP="00391A35">
      <w:pPr>
        <w:pStyle w:val="ac"/>
        <w:rPr>
          <w:rtl/>
        </w:rPr>
      </w:pPr>
      <w:r w:rsidRPr="00FE4C18">
        <w:rPr>
          <w:rtl/>
        </w:rPr>
        <w:t xml:space="preserve">بموجب هذه </w:t>
      </w:r>
      <w:r>
        <w:rPr>
          <w:rtl/>
        </w:rPr>
        <w:t>ا</w:t>
      </w:r>
      <w:r w:rsidRPr="00FE4C18">
        <w:rPr>
          <w:rtl/>
        </w:rPr>
        <w:t>لاتفاق</w:t>
      </w:r>
      <w:r>
        <w:rPr>
          <w:rtl/>
        </w:rPr>
        <w:t>ي</w:t>
      </w:r>
      <w:r w:rsidRPr="00FE4C18">
        <w:rPr>
          <w:rtl/>
        </w:rPr>
        <w:t>ة تتعهد امرأة</w:t>
      </w:r>
      <w:r>
        <w:rPr>
          <w:rtl/>
        </w:rPr>
        <w:t xml:space="preserve"> </w:t>
      </w:r>
      <w:r w:rsidRPr="00FE4C18">
        <w:rPr>
          <w:rtl/>
        </w:rPr>
        <w:t xml:space="preserve">إزاء </w:t>
      </w:r>
      <w:r>
        <w:rPr>
          <w:rtl/>
        </w:rPr>
        <w:t>ا</w:t>
      </w:r>
      <w:r w:rsidRPr="00FE4C18">
        <w:rPr>
          <w:rtl/>
        </w:rPr>
        <w:t>لزوج</w:t>
      </w:r>
      <w:r>
        <w:rPr>
          <w:rtl/>
        </w:rPr>
        <w:t>ي</w:t>
      </w:r>
      <w:r w:rsidRPr="00FE4C18">
        <w:rPr>
          <w:rtl/>
        </w:rPr>
        <w:t xml:space="preserve">ن </w:t>
      </w:r>
      <w:r>
        <w:rPr>
          <w:rtl/>
        </w:rPr>
        <w:t>(</w:t>
      </w:r>
      <w:r w:rsidRPr="00FE4C18">
        <w:rPr>
          <w:rtl/>
        </w:rPr>
        <w:t>العاقر</w:t>
      </w:r>
      <w:r>
        <w:rPr>
          <w:rtl/>
        </w:rPr>
        <w:t>ي</w:t>
      </w:r>
      <w:r w:rsidRPr="00FE4C18">
        <w:rPr>
          <w:rtl/>
        </w:rPr>
        <w:t>ن أو غ</w:t>
      </w:r>
      <w:r>
        <w:rPr>
          <w:rtl/>
        </w:rPr>
        <w:t>ي</w:t>
      </w:r>
      <w:r w:rsidRPr="00FE4C18">
        <w:rPr>
          <w:rtl/>
        </w:rPr>
        <w:t xml:space="preserve">ر </w:t>
      </w:r>
      <w:r>
        <w:rPr>
          <w:rtl/>
        </w:rPr>
        <w:t>ا</w:t>
      </w:r>
      <w:r w:rsidRPr="00FE4C18">
        <w:rPr>
          <w:rtl/>
        </w:rPr>
        <w:t>لعاقر</w:t>
      </w:r>
      <w:r>
        <w:rPr>
          <w:rtl/>
        </w:rPr>
        <w:t>ي</w:t>
      </w:r>
      <w:r w:rsidRPr="00FE4C18">
        <w:rPr>
          <w:rtl/>
        </w:rPr>
        <w:t xml:space="preserve">ن) أنْ </w:t>
      </w:r>
      <w:r w:rsidRPr="00FE4C18">
        <w:rPr>
          <w:rtl/>
        </w:rPr>
        <w:lastRenderedPageBreak/>
        <w:t>تحمل لهما جن</w:t>
      </w:r>
      <w:r>
        <w:rPr>
          <w:rtl/>
        </w:rPr>
        <w:t>ي</w:t>
      </w:r>
      <w:r w:rsidRPr="00FE4C18">
        <w:rPr>
          <w:rtl/>
        </w:rPr>
        <w:t>نهما</w:t>
      </w:r>
      <w:r w:rsidRPr="007F5B58">
        <w:rPr>
          <w:rtl/>
        </w:rPr>
        <w:t>،</w:t>
      </w:r>
      <w:r w:rsidRPr="00FE4C18">
        <w:rPr>
          <w:rtl/>
        </w:rPr>
        <w:t xml:space="preserve"> ثمّ تلده</w:t>
      </w:r>
      <w:r w:rsidRPr="007F5B58">
        <w:rPr>
          <w:rtl/>
        </w:rPr>
        <w:t>،</w:t>
      </w:r>
      <w:r>
        <w:rPr>
          <w:rtl/>
        </w:rPr>
        <w:t xml:space="preserve"> و</w:t>
      </w:r>
      <w:r w:rsidRPr="00FE4C18">
        <w:rPr>
          <w:rtl/>
        </w:rPr>
        <w:t xml:space="preserve">تسلّم </w:t>
      </w:r>
      <w:r>
        <w:rPr>
          <w:rtl/>
        </w:rPr>
        <w:t>ا</w:t>
      </w:r>
      <w:r w:rsidRPr="00FE4C18">
        <w:rPr>
          <w:rtl/>
        </w:rPr>
        <w:t>لطفل إل</w:t>
      </w:r>
      <w:r>
        <w:rPr>
          <w:rtl/>
        </w:rPr>
        <w:t>ى ا</w:t>
      </w:r>
      <w:r w:rsidRPr="00FE4C18">
        <w:rPr>
          <w:rtl/>
        </w:rPr>
        <w:t>لزوج</w:t>
      </w:r>
      <w:r>
        <w:rPr>
          <w:rtl/>
        </w:rPr>
        <w:t>ي</w:t>
      </w:r>
      <w:r w:rsidRPr="00FE4C18">
        <w:rPr>
          <w:rtl/>
        </w:rPr>
        <w:t xml:space="preserve">ن بعد </w:t>
      </w:r>
      <w:r>
        <w:rPr>
          <w:rtl/>
        </w:rPr>
        <w:t>ا</w:t>
      </w:r>
      <w:r w:rsidRPr="00FE4C18">
        <w:rPr>
          <w:rtl/>
        </w:rPr>
        <w:t>لولادة</w:t>
      </w:r>
      <w:r w:rsidRPr="007F5B58">
        <w:rPr>
          <w:rtl/>
        </w:rPr>
        <w:t>،</w:t>
      </w:r>
      <w:r>
        <w:rPr>
          <w:rtl/>
        </w:rPr>
        <w:t xml:space="preserve"> وي</w:t>
      </w:r>
      <w:r w:rsidRPr="00FE4C18">
        <w:rPr>
          <w:rtl/>
        </w:rPr>
        <w:t>م</w:t>
      </w:r>
      <w:r>
        <w:rPr>
          <w:rtl/>
        </w:rPr>
        <w:t>ك</w:t>
      </w:r>
      <w:r w:rsidRPr="00FE4C18">
        <w:rPr>
          <w:rtl/>
        </w:rPr>
        <w:t xml:space="preserve">ن أنْ تتم هذه </w:t>
      </w:r>
      <w:r>
        <w:rPr>
          <w:rtl/>
        </w:rPr>
        <w:t>ا</w:t>
      </w:r>
      <w:r w:rsidRPr="00FE4C18">
        <w:rPr>
          <w:rtl/>
        </w:rPr>
        <w:t>لاتفاق</w:t>
      </w:r>
      <w:r>
        <w:rPr>
          <w:rtl/>
        </w:rPr>
        <w:t>ي</w:t>
      </w:r>
      <w:r w:rsidRPr="00FE4C18">
        <w:rPr>
          <w:rtl/>
        </w:rPr>
        <w:t>ة لقاء عوض أو بغ</w:t>
      </w:r>
      <w:r>
        <w:rPr>
          <w:rtl/>
        </w:rPr>
        <w:t>ي</w:t>
      </w:r>
      <w:r w:rsidRPr="00FE4C18">
        <w:rPr>
          <w:rtl/>
        </w:rPr>
        <w:t>ر عوض</w:t>
      </w:r>
      <w:r>
        <w:rPr>
          <w:rtl/>
        </w:rPr>
        <w:t>.</w:t>
      </w:r>
      <w:r w:rsidRPr="00FE4C18">
        <w:rPr>
          <w:rtl/>
        </w:rPr>
        <w:t xml:space="preserve"> </w:t>
      </w:r>
    </w:p>
    <w:p w:rsidR="00391A35" w:rsidRPr="0067362A" w:rsidRDefault="00391A35" w:rsidP="0067362A">
      <w:pPr>
        <w:pStyle w:val="afffffc"/>
        <w:rPr>
          <w:sz w:val="18"/>
          <w:szCs w:val="16"/>
          <w:rtl/>
        </w:rPr>
      </w:pPr>
    </w:p>
    <w:p w:rsidR="00391A35" w:rsidRPr="00FE4C18" w:rsidRDefault="00391A35" w:rsidP="00391A35">
      <w:pPr>
        <w:pStyle w:val="1"/>
        <w:rPr>
          <w:rtl/>
        </w:rPr>
      </w:pPr>
      <w:bookmarkStart w:id="477" w:name="_Toc275128184"/>
      <w:r w:rsidRPr="00FE4C18">
        <w:rPr>
          <w:rtl/>
        </w:rPr>
        <w:t>ضرور</w:t>
      </w:r>
      <w:r>
        <w:rPr>
          <w:rtl/>
        </w:rPr>
        <w:t>ة</w:t>
      </w:r>
      <w:r w:rsidRPr="00FE4C18">
        <w:rPr>
          <w:rtl/>
        </w:rPr>
        <w:t xml:space="preserve"> وجود عقد اتفاق</w:t>
      </w:r>
      <w:r>
        <w:rPr>
          <w:rtl/>
        </w:rPr>
        <w:t>ي</w:t>
      </w:r>
      <w:r w:rsidRPr="00FE4C18">
        <w:rPr>
          <w:rtl/>
        </w:rPr>
        <w:t>ة</w:t>
      </w:r>
      <w:bookmarkEnd w:id="477"/>
      <w:r w:rsidRPr="00FE4C18">
        <w:rPr>
          <w:rtl/>
        </w:rPr>
        <w:t xml:space="preserve"> </w:t>
      </w:r>
    </w:p>
    <w:p w:rsidR="00391A35" w:rsidRPr="00FE4C18" w:rsidRDefault="00391A35" w:rsidP="00391A35">
      <w:pPr>
        <w:pStyle w:val="ac"/>
        <w:rPr>
          <w:rtl/>
        </w:rPr>
      </w:pPr>
      <w:r w:rsidRPr="00FE4C18">
        <w:rPr>
          <w:rtl/>
        </w:rPr>
        <w:t>الحمل من أهم موضوعات ح</w:t>
      </w:r>
      <w:r>
        <w:rPr>
          <w:rtl/>
        </w:rPr>
        <w:t>ي</w:t>
      </w:r>
      <w:r w:rsidRPr="00FE4C18">
        <w:rPr>
          <w:rtl/>
        </w:rPr>
        <w:t xml:space="preserve">اة </w:t>
      </w:r>
      <w:r>
        <w:rPr>
          <w:rtl/>
        </w:rPr>
        <w:t>ا</w:t>
      </w:r>
      <w:r w:rsidRPr="00FE4C18">
        <w:rPr>
          <w:rtl/>
        </w:rPr>
        <w:t xml:space="preserve">لمرأة </w:t>
      </w:r>
      <w:r>
        <w:rPr>
          <w:rtl/>
        </w:rPr>
        <w:t>ا</w:t>
      </w:r>
      <w:r w:rsidRPr="00FE4C18">
        <w:rPr>
          <w:rtl/>
        </w:rPr>
        <w:t xml:space="preserve">لخاصة </w:t>
      </w:r>
      <w:r>
        <w:rPr>
          <w:rtl/>
        </w:rPr>
        <w:t>ا</w:t>
      </w:r>
      <w:r w:rsidRPr="00FE4C18">
        <w:rPr>
          <w:rtl/>
        </w:rPr>
        <w:t>لتي تشتمل عل</w:t>
      </w:r>
      <w:r>
        <w:rPr>
          <w:rtl/>
        </w:rPr>
        <w:t>ى ال</w:t>
      </w:r>
      <w:r w:rsidRPr="00FE4C18">
        <w:rPr>
          <w:rtl/>
        </w:rPr>
        <w:t xml:space="preserve">آثار </w:t>
      </w:r>
      <w:r>
        <w:rPr>
          <w:rtl/>
        </w:rPr>
        <w:t>ا</w:t>
      </w:r>
      <w:r w:rsidRPr="00FE4C18">
        <w:rPr>
          <w:rtl/>
        </w:rPr>
        <w:t>لاجتماع</w:t>
      </w:r>
      <w:r>
        <w:rPr>
          <w:rtl/>
        </w:rPr>
        <w:t>يّ</w:t>
      </w:r>
      <w:r w:rsidRPr="00FE4C18">
        <w:rPr>
          <w:rtl/>
        </w:rPr>
        <w:t>ة</w:t>
      </w:r>
      <w:r w:rsidRPr="007F5B58">
        <w:rPr>
          <w:rtl/>
        </w:rPr>
        <w:t>،</w:t>
      </w:r>
      <w:r w:rsidRPr="00FE4C18">
        <w:rPr>
          <w:rtl/>
        </w:rPr>
        <w:t xml:space="preserve"> إضافة إل</w:t>
      </w:r>
      <w:r>
        <w:rPr>
          <w:rtl/>
        </w:rPr>
        <w:t>ى ا</w:t>
      </w:r>
      <w:r w:rsidRPr="00FE4C18">
        <w:rPr>
          <w:rtl/>
        </w:rPr>
        <w:t xml:space="preserve">لمسائل </w:t>
      </w:r>
      <w:r>
        <w:rPr>
          <w:rtl/>
        </w:rPr>
        <w:t>ا</w:t>
      </w:r>
      <w:r w:rsidRPr="00FE4C18">
        <w:rPr>
          <w:rtl/>
        </w:rPr>
        <w:t>لشخص</w:t>
      </w:r>
      <w:r>
        <w:rPr>
          <w:rtl/>
        </w:rPr>
        <w:t>يّ</w:t>
      </w:r>
      <w:r w:rsidRPr="00FE4C18">
        <w:rPr>
          <w:rtl/>
        </w:rPr>
        <w:t xml:space="preserve">ة. </w:t>
      </w:r>
      <w:r>
        <w:rPr>
          <w:rtl/>
        </w:rPr>
        <w:t>و</w:t>
      </w:r>
      <w:r w:rsidRPr="00FE4C18">
        <w:rPr>
          <w:rtl/>
        </w:rPr>
        <w:t xml:space="preserve">الأصل في </w:t>
      </w:r>
      <w:r>
        <w:rPr>
          <w:rtl/>
        </w:rPr>
        <w:t>ا</w:t>
      </w:r>
      <w:r w:rsidRPr="00FE4C18">
        <w:rPr>
          <w:rtl/>
        </w:rPr>
        <w:t>لح</w:t>
      </w:r>
      <w:r>
        <w:rPr>
          <w:rtl/>
        </w:rPr>
        <w:t>ي</w:t>
      </w:r>
      <w:r w:rsidRPr="00FE4C18">
        <w:rPr>
          <w:rtl/>
        </w:rPr>
        <w:t xml:space="preserve">اة </w:t>
      </w:r>
      <w:r>
        <w:rPr>
          <w:rtl/>
        </w:rPr>
        <w:t>ا</w:t>
      </w:r>
      <w:r w:rsidRPr="00FE4C18">
        <w:rPr>
          <w:rtl/>
        </w:rPr>
        <w:t>لزوج</w:t>
      </w:r>
      <w:r>
        <w:rPr>
          <w:rtl/>
        </w:rPr>
        <w:t>ي</w:t>
      </w:r>
      <w:r w:rsidRPr="00FE4C18">
        <w:rPr>
          <w:rtl/>
        </w:rPr>
        <w:t xml:space="preserve">ة أنّ </w:t>
      </w:r>
      <w:r>
        <w:rPr>
          <w:rtl/>
        </w:rPr>
        <w:t>ا</w:t>
      </w:r>
      <w:r w:rsidRPr="00FE4C18">
        <w:rPr>
          <w:rtl/>
        </w:rPr>
        <w:t xml:space="preserve">لمرأة‌ تحبل بعد </w:t>
      </w:r>
      <w:r>
        <w:rPr>
          <w:rtl/>
        </w:rPr>
        <w:t>ا</w:t>
      </w:r>
      <w:r w:rsidRPr="00FE4C18">
        <w:rPr>
          <w:rtl/>
        </w:rPr>
        <w:t>لزواج</w:t>
      </w:r>
      <w:r>
        <w:rPr>
          <w:rtl/>
        </w:rPr>
        <w:t xml:space="preserve"> و</w:t>
      </w:r>
      <w:r w:rsidRPr="00FE4C18">
        <w:rPr>
          <w:rtl/>
        </w:rPr>
        <w:t xml:space="preserve">بناء </w:t>
      </w:r>
      <w:r>
        <w:rPr>
          <w:rtl/>
        </w:rPr>
        <w:t>ا</w:t>
      </w:r>
      <w:r w:rsidRPr="00FE4C18">
        <w:rPr>
          <w:rtl/>
        </w:rPr>
        <w:t>لأسرة</w:t>
      </w:r>
      <w:r w:rsidRPr="007F5B58">
        <w:rPr>
          <w:rtl/>
        </w:rPr>
        <w:t>؛</w:t>
      </w:r>
      <w:r>
        <w:rPr>
          <w:rtl/>
        </w:rPr>
        <w:t xml:space="preserve"> و</w:t>
      </w:r>
      <w:r w:rsidRPr="00FE4C18">
        <w:rPr>
          <w:rtl/>
        </w:rPr>
        <w:t>ل</w:t>
      </w:r>
      <w:r>
        <w:rPr>
          <w:rtl/>
        </w:rPr>
        <w:t>ك</w:t>
      </w:r>
      <w:r w:rsidRPr="00FE4C18">
        <w:rPr>
          <w:rtl/>
        </w:rPr>
        <w:t xml:space="preserve">ن عندما نفرض أنَّ حمل امرأة </w:t>
      </w:r>
      <w:r>
        <w:rPr>
          <w:rtl/>
        </w:rPr>
        <w:t>يك</w:t>
      </w:r>
      <w:r w:rsidRPr="00FE4C18">
        <w:rPr>
          <w:rtl/>
        </w:rPr>
        <w:t>ون لترب</w:t>
      </w:r>
      <w:r>
        <w:rPr>
          <w:rtl/>
        </w:rPr>
        <w:t>ي</w:t>
      </w:r>
      <w:r w:rsidRPr="00FE4C18">
        <w:rPr>
          <w:rtl/>
        </w:rPr>
        <w:t>ة جن</w:t>
      </w:r>
      <w:r>
        <w:rPr>
          <w:rtl/>
        </w:rPr>
        <w:t>ي</w:t>
      </w:r>
      <w:r w:rsidRPr="00FE4C18">
        <w:rPr>
          <w:rtl/>
        </w:rPr>
        <w:t>ن شخص آخر</w:t>
      </w:r>
      <w:r>
        <w:rPr>
          <w:rtl/>
        </w:rPr>
        <w:t xml:space="preserve"> فسيت</w:t>
      </w:r>
      <w:r w:rsidRPr="00FE4C18">
        <w:rPr>
          <w:rtl/>
        </w:rPr>
        <w:t xml:space="preserve">حول </w:t>
      </w:r>
      <w:r>
        <w:rPr>
          <w:rtl/>
        </w:rPr>
        <w:t>ا</w:t>
      </w:r>
      <w:r w:rsidRPr="00FE4C18">
        <w:rPr>
          <w:rtl/>
        </w:rPr>
        <w:t>لأساس إل</w:t>
      </w:r>
      <w:r>
        <w:rPr>
          <w:rtl/>
        </w:rPr>
        <w:t>ى ا</w:t>
      </w:r>
      <w:r w:rsidRPr="00FE4C18">
        <w:rPr>
          <w:rtl/>
        </w:rPr>
        <w:t>لمستثن</w:t>
      </w:r>
      <w:r>
        <w:rPr>
          <w:rtl/>
        </w:rPr>
        <w:t>ى</w:t>
      </w:r>
      <w:r w:rsidRPr="007F5B58">
        <w:rPr>
          <w:rtl/>
        </w:rPr>
        <w:t>،</w:t>
      </w:r>
      <w:r>
        <w:rPr>
          <w:rtl/>
        </w:rPr>
        <w:t xml:space="preserve"> و</w:t>
      </w:r>
      <w:r w:rsidRPr="00FE4C18">
        <w:rPr>
          <w:rtl/>
        </w:rPr>
        <w:t xml:space="preserve">لأنَّه </w:t>
      </w:r>
      <w:r>
        <w:rPr>
          <w:rtl/>
        </w:rPr>
        <w:t>ي</w:t>
      </w:r>
      <w:r w:rsidRPr="00FE4C18">
        <w:rPr>
          <w:rtl/>
        </w:rPr>
        <w:t xml:space="preserve">خالف </w:t>
      </w:r>
      <w:r>
        <w:rPr>
          <w:rtl/>
        </w:rPr>
        <w:t>ا</w:t>
      </w:r>
      <w:r w:rsidRPr="00FE4C18">
        <w:rPr>
          <w:rtl/>
        </w:rPr>
        <w:t xml:space="preserve">لقاعدة </w:t>
      </w:r>
      <w:r>
        <w:rPr>
          <w:rtl/>
        </w:rPr>
        <w:t>ي</w:t>
      </w:r>
      <w:r w:rsidRPr="00FE4C18">
        <w:rPr>
          <w:rtl/>
        </w:rPr>
        <w:t>جب إقامة‌ دل</w:t>
      </w:r>
      <w:r>
        <w:rPr>
          <w:rtl/>
        </w:rPr>
        <w:t>ي</w:t>
      </w:r>
      <w:r w:rsidRPr="00FE4C18">
        <w:rPr>
          <w:rtl/>
        </w:rPr>
        <w:t>ل لاثباته</w:t>
      </w:r>
      <w:r>
        <w:rPr>
          <w:rtl/>
        </w:rPr>
        <w:t>.</w:t>
      </w:r>
      <w:r w:rsidRPr="00FE4C18">
        <w:rPr>
          <w:rtl/>
        </w:rPr>
        <w:t xml:space="preserve"> </w:t>
      </w:r>
      <w:r>
        <w:rPr>
          <w:rtl/>
        </w:rPr>
        <w:t>و</w:t>
      </w:r>
      <w:r w:rsidRPr="00FE4C18">
        <w:rPr>
          <w:rtl/>
        </w:rPr>
        <w:t xml:space="preserve">أحسن شيء في هذا </w:t>
      </w:r>
      <w:r>
        <w:rPr>
          <w:rtl/>
        </w:rPr>
        <w:t>ا</w:t>
      </w:r>
      <w:r w:rsidRPr="00FE4C18">
        <w:rPr>
          <w:rtl/>
        </w:rPr>
        <w:t>لموضوع هو وجود اتفاق</w:t>
      </w:r>
      <w:r>
        <w:rPr>
          <w:rtl/>
        </w:rPr>
        <w:t>ي</w:t>
      </w:r>
      <w:r w:rsidRPr="00FE4C18">
        <w:rPr>
          <w:rtl/>
        </w:rPr>
        <w:t>ة تظهر ن</w:t>
      </w:r>
      <w:r>
        <w:rPr>
          <w:rtl/>
        </w:rPr>
        <w:t>ي</w:t>
      </w:r>
      <w:r w:rsidRPr="00FE4C18">
        <w:rPr>
          <w:rtl/>
        </w:rPr>
        <w:t>ة</w:t>
      </w:r>
      <w:r>
        <w:rPr>
          <w:rtl/>
        </w:rPr>
        <w:t xml:space="preserve"> و</w:t>
      </w:r>
      <w:r w:rsidRPr="00FE4C18">
        <w:rPr>
          <w:rtl/>
        </w:rPr>
        <w:t xml:space="preserve">موافقة </w:t>
      </w:r>
      <w:r>
        <w:rPr>
          <w:rtl/>
        </w:rPr>
        <w:t>ا</w:t>
      </w:r>
      <w:r w:rsidRPr="00FE4C18">
        <w:rPr>
          <w:rtl/>
        </w:rPr>
        <w:t>لطرف</w:t>
      </w:r>
      <w:r>
        <w:rPr>
          <w:rtl/>
        </w:rPr>
        <w:t>ي</w:t>
      </w:r>
      <w:r w:rsidRPr="00FE4C18">
        <w:rPr>
          <w:rtl/>
        </w:rPr>
        <w:t xml:space="preserve">ن لإجراء هذا </w:t>
      </w:r>
      <w:r>
        <w:rPr>
          <w:rtl/>
        </w:rPr>
        <w:t>ا</w:t>
      </w:r>
      <w:r w:rsidRPr="00FE4C18">
        <w:rPr>
          <w:rtl/>
        </w:rPr>
        <w:t>لعمل</w:t>
      </w:r>
      <w:r w:rsidRPr="007F5B58">
        <w:rPr>
          <w:rtl/>
        </w:rPr>
        <w:t>،</w:t>
      </w:r>
      <w:r>
        <w:rPr>
          <w:rtl/>
        </w:rPr>
        <w:t xml:space="preserve"> وا</w:t>
      </w:r>
      <w:r w:rsidRPr="00FE4C18">
        <w:rPr>
          <w:rtl/>
        </w:rPr>
        <w:t>لتي تؤثر في تع</w:t>
      </w:r>
      <w:r>
        <w:rPr>
          <w:rtl/>
        </w:rPr>
        <w:t>يي</w:t>
      </w:r>
      <w:r w:rsidRPr="00FE4C18">
        <w:rPr>
          <w:rtl/>
        </w:rPr>
        <w:t xml:space="preserve">ن علاقات </w:t>
      </w:r>
      <w:r>
        <w:rPr>
          <w:rtl/>
        </w:rPr>
        <w:t>ا</w:t>
      </w:r>
      <w:r w:rsidRPr="00FE4C18">
        <w:rPr>
          <w:rtl/>
        </w:rPr>
        <w:t>لطرف</w:t>
      </w:r>
      <w:r>
        <w:rPr>
          <w:rtl/>
        </w:rPr>
        <w:t>ي</w:t>
      </w:r>
      <w:r w:rsidRPr="00FE4C18">
        <w:rPr>
          <w:rtl/>
        </w:rPr>
        <w:t>ن</w:t>
      </w:r>
      <w:r w:rsidRPr="007F5B58">
        <w:rPr>
          <w:rtl/>
        </w:rPr>
        <w:t>،</w:t>
      </w:r>
      <w:r>
        <w:rPr>
          <w:rtl/>
        </w:rPr>
        <w:t xml:space="preserve"> و</w:t>
      </w:r>
      <w:r w:rsidRPr="00FE4C18">
        <w:rPr>
          <w:rtl/>
        </w:rPr>
        <w:t xml:space="preserve">رفع </w:t>
      </w:r>
      <w:r>
        <w:rPr>
          <w:rtl/>
        </w:rPr>
        <w:t>ا</w:t>
      </w:r>
      <w:r w:rsidRPr="00FE4C18">
        <w:rPr>
          <w:rtl/>
        </w:rPr>
        <w:t>لتساؤلات</w:t>
      </w:r>
      <w:r>
        <w:rPr>
          <w:rtl/>
        </w:rPr>
        <w:t xml:space="preserve"> وا</w:t>
      </w:r>
      <w:r w:rsidRPr="00FE4C18">
        <w:rPr>
          <w:rtl/>
        </w:rPr>
        <w:t>لنقائص</w:t>
      </w:r>
      <w:r w:rsidRPr="007F5B58">
        <w:rPr>
          <w:rtl/>
        </w:rPr>
        <w:t>،</w:t>
      </w:r>
      <w:r>
        <w:rPr>
          <w:rtl/>
        </w:rPr>
        <w:t xml:space="preserve"> و</w:t>
      </w:r>
      <w:r w:rsidRPr="00FE4C18">
        <w:rPr>
          <w:rtl/>
        </w:rPr>
        <w:t>أهمّها</w:t>
      </w:r>
      <w:r w:rsidRPr="007F5B58">
        <w:rPr>
          <w:rtl/>
        </w:rPr>
        <w:t>:</w:t>
      </w:r>
    </w:p>
    <w:p w:rsidR="00391A35" w:rsidRPr="00FE4C18" w:rsidRDefault="00391A35" w:rsidP="00391A35">
      <w:pPr>
        <w:pStyle w:val="ac"/>
        <w:rPr>
          <w:rtl/>
        </w:rPr>
      </w:pPr>
      <w:r w:rsidRPr="00FE4C18">
        <w:rPr>
          <w:rtl/>
        </w:rPr>
        <w:t>1</w:t>
      </w:r>
      <w:r>
        <w:rPr>
          <w:rtl/>
        </w:rPr>
        <w:t xml:space="preserve">ـ </w:t>
      </w:r>
      <w:r w:rsidRPr="00FE4C18">
        <w:rPr>
          <w:rtl/>
        </w:rPr>
        <w:t xml:space="preserve">رفض (قاعدة </w:t>
      </w:r>
      <w:r>
        <w:rPr>
          <w:rtl/>
        </w:rPr>
        <w:t>ا</w:t>
      </w:r>
      <w:r w:rsidRPr="00FE4C18">
        <w:rPr>
          <w:rtl/>
        </w:rPr>
        <w:t xml:space="preserve">لفراش) من </w:t>
      </w:r>
      <w:r>
        <w:rPr>
          <w:rtl/>
        </w:rPr>
        <w:t>ا</w:t>
      </w:r>
      <w:r w:rsidRPr="00FE4C18">
        <w:rPr>
          <w:rtl/>
        </w:rPr>
        <w:t xml:space="preserve">لمرأة‌ </w:t>
      </w:r>
      <w:r>
        <w:rPr>
          <w:rtl/>
        </w:rPr>
        <w:t>ا</w:t>
      </w:r>
      <w:r w:rsidRPr="00FE4C18">
        <w:rPr>
          <w:rtl/>
        </w:rPr>
        <w:t>لتي تحبل لشخص آخر</w:t>
      </w:r>
      <w:r>
        <w:rPr>
          <w:rtl/>
        </w:rPr>
        <w:t xml:space="preserve"> و</w:t>
      </w:r>
      <w:r w:rsidRPr="00FE4C18">
        <w:rPr>
          <w:rtl/>
        </w:rPr>
        <w:t>هي متزو</w:t>
      </w:r>
      <w:r>
        <w:rPr>
          <w:rtl/>
        </w:rPr>
        <w:t>ِّ</w:t>
      </w:r>
      <w:r w:rsidRPr="00FE4C18">
        <w:rPr>
          <w:rtl/>
        </w:rPr>
        <w:t>جة</w:t>
      </w:r>
      <w:r>
        <w:rPr>
          <w:rtl/>
        </w:rPr>
        <w:t>.</w:t>
      </w:r>
      <w:r w:rsidRPr="00FE4C18">
        <w:rPr>
          <w:rtl/>
        </w:rPr>
        <w:t xml:space="preserve"> </w:t>
      </w:r>
    </w:p>
    <w:p w:rsidR="00391A35" w:rsidRPr="00FE4C18" w:rsidRDefault="00391A35" w:rsidP="00391A35">
      <w:pPr>
        <w:pStyle w:val="ac"/>
        <w:rPr>
          <w:rtl/>
        </w:rPr>
      </w:pPr>
      <w:r w:rsidRPr="00FE4C18">
        <w:rPr>
          <w:rtl/>
        </w:rPr>
        <w:t>2</w:t>
      </w:r>
      <w:r>
        <w:rPr>
          <w:rtl/>
        </w:rPr>
        <w:t xml:space="preserve">ـ </w:t>
      </w:r>
      <w:r w:rsidRPr="00FE4C18">
        <w:rPr>
          <w:rtl/>
        </w:rPr>
        <w:t xml:space="preserve">رفض شبهة </w:t>
      </w:r>
      <w:r>
        <w:rPr>
          <w:rtl/>
        </w:rPr>
        <w:t>ا</w:t>
      </w:r>
      <w:r w:rsidRPr="00FE4C18">
        <w:rPr>
          <w:rtl/>
        </w:rPr>
        <w:t xml:space="preserve">لزنا من </w:t>
      </w:r>
      <w:r>
        <w:rPr>
          <w:rtl/>
        </w:rPr>
        <w:t>ا</w:t>
      </w:r>
      <w:r w:rsidRPr="00FE4C18">
        <w:rPr>
          <w:rtl/>
        </w:rPr>
        <w:t xml:space="preserve">لمرأة </w:t>
      </w:r>
      <w:r>
        <w:rPr>
          <w:rtl/>
        </w:rPr>
        <w:t>ا</w:t>
      </w:r>
      <w:r w:rsidRPr="00FE4C18">
        <w:rPr>
          <w:rtl/>
        </w:rPr>
        <w:t>لحبل</w:t>
      </w:r>
      <w:r>
        <w:rPr>
          <w:rtl/>
        </w:rPr>
        <w:t>ى ا</w:t>
      </w:r>
      <w:r w:rsidRPr="00FE4C18">
        <w:rPr>
          <w:rtl/>
        </w:rPr>
        <w:t>لتي ل</w:t>
      </w:r>
      <w:r>
        <w:rPr>
          <w:rtl/>
        </w:rPr>
        <w:t>ي</w:t>
      </w:r>
      <w:r w:rsidRPr="00FE4C18">
        <w:rPr>
          <w:rtl/>
        </w:rPr>
        <w:t>س لها زوج</w:t>
      </w:r>
      <w:r w:rsidRPr="007F5B58">
        <w:rPr>
          <w:rtl/>
        </w:rPr>
        <w:t>؛</w:t>
      </w:r>
      <w:r w:rsidRPr="00FE4C18">
        <w:rPr>
          <w:rtl/>
        </w:rPr>
        <w:t xml:space="preserve"> لأن حمل </w:t>
      </w:r>
      <w:r>
        <w:rPr>
          <w:rtl/>
        </w:rPr>
        <w:t>ا</w:t>
      </w:r>
      <w:r w:rsidRPr="00FE4C18">
        <w:rPr>
          <w:rtl/>
        </w:rPr>
        <w:t>لمرأة‌ غ</w:t>
      </w:r>
      <w:r>
        <w:rPr>
          <w:rtl/>
        </w:rPr>
        <w:t>ي</w:t>
      </w:r>
      <w:r w:rsidRPr="00FE4C18">
        <w:rPr>
          <w:rtl/>
        </w:rPr>
        <w:t>ر</w:t>
      </w:r>
      <w:r>
        <w:rPr>
          <w:rtl/>
        </w:rPr>
        <w:t>ا</w:t>
      </w:r>
      <w:r w:rsidRPr="00FE4C18">
        <w:rPr>
          <w:rtl/>
        </w:rPr>
        <w:t xml:space="preserve">لمتزوجة </w:t>
      </w:r>
      <w:r>
        <w:rPr>
          <w:rtl/>
        </w:rPr>
        <w:t>ي</w:t>
      </w:r>
      <w:r w:rsidRPr="00FE4C18">
        <w:rPr>
          <w:rtl/>
        </w:rPr>
        <w:t xml:space="preserve">لقي شبهة‌ </w:t>
      </w:r>
      <w:r>
        <w:rPr>
          <w:rtl/>
        </w:rPr>
        <w:t>ا</w:t>
      </w:r>
      <w:r w:rsidRPr="00FE4C18">
        <w:rPr>
          <w:rtl/>
        </w:rPr>
        <w:t>لزنا في أف</w:t>
      </w:r>
      <w:r>
        <w:rPr>
          <w:rtl/>
        </w:rPr>
        <w:t>ك</w:t>
      </w:r>
      <w:r w:rsidRPr="00FE4C18">
        <w:rPr>
          <w:rtl/>
        </w:rPr>
        <w:t xml:space="preserve">ار </w:t>
      </w:r>
      <w:r>
        <w:rPr>
          <w:rtl/>
        </w:rPr>
        <w:t>ا</w:t>
      </w:r>
      <w:r w:rsidRPr="00FE4C18">
        <w:rPr>
          <w:rtl/>
        </w:rPr>
        <w:t>لناس</w:t>
      </w:r>
      <w:r w:rsidRPr="007F5B58">
        <w:rPr>
          <w:rtl/>
        </w:rPr>
        <w:t>،</w:t>
      </w:r>
      <w:r>
        <w:rPr>
          <w:rtl/>
        </w:rPr>
        <w:t xml:space="preserve"> وا</w:t>
      </w:r>
      <w:r w:rsidRPr="00FE4C18">
        <w:rPr>
          <w:rtl/>
        </w:rPr>
        <w:t>لحمل</w:t>
      </w:r>
      <w:r>
        <w:rPr>
          <w:rtl/>
        </w:rPr>
        <w:t xml:space="preserve"> و</w:t>
      </w:r>
      <w:r w:rsidRPr="00FE4C18">
        <w:rPr>
          <w:rtl/>
        </w:rPr>
        <w:t xml:space="preserve">وضع طفل أجنبي عن أسرة </w:t>
      </w:r>
      <w:r>
        <w:rPr>
          <w:rtl/>
        </w:rPr>
        <w:t>ا</w:t>
      </w:r>
      <w:r w:rsidRPr="00FE4C18">
        <w:rPr>
          <w:rtl/>
        </w:rPr>
        <w:t>لمرأة‌</w:t>
      </w:r>
      <w:r>
        <w:rPr>
          <w:rtl/>
        </w:rPr>
        <w:t xml:space="preserve"> ي</w:t>
      </w:r>
      <w:r w:rsidRPr="00FE4C18">
        <w:rPr>
          <w:rtl/>
        </w:rPr>
        <w:t>حتاج إل</w:t>
      </w:r>
      <w:r>
        <w:rPr>
          <w:rtl/>
        </w:rPr>
        <w:t xml:space="preserve">ى </w:t>
      </w:r>
      <w:r w:rsidRPr="00FE4C18">
        <w:rPr>
          <w:rtl/>
        </w:rPr>
        <w:t>دل</w:t>
      </w:r>
      <w:r>
        <w:rPr>
          <w:rtl/>
        </w:rPr>
        <w:t>ي</w:t>
      </w:r>
      <w:r w:rsidRPr="00FE4C18">
        <w:rPr>
          <w:rtl/>
        </w:rPr>
        <w:t xml:space="preserve">ل </w:t>
      </w:r>
      <w:r>
        <w:rPr>
          <w:rtl/>
        </w:rPr>
        <w:t>ي</w:t>
      </w:r>
      <w:r w:rsidRPr="00FE4C18">
        <w:rPr>
          <w:rtl/>
        </w:rPr>
        <w:t>وج</w:t>
      </w:r>
      <w:r>
        <w:rPr>
          <w:rFonts w:hint="cs"/>
          <w:rtl/>
        </w:rPr>
        <w:t>ِّ</w:t>
      </w:r>
      <w:r w:rsidRPr="00FE4C18">
        <w:rPr>
          <w:rtl/>
        </w:rPr>
        <w:t>ه ذل</w:t>
      </w:r>
      <w:r>
        <w:rPr>
          <w:rtl/>
        </w:rPr>
        <w:t>ك.</w:t>
      </w:r>
      <w:r w:rsidRPr="00FE4C18">
        <w:rPr>
          <w:rtl/>
        </w:rPr>
        <w:t xml:space="preserve"> </w:t>
      </w:r>
    </w:p>
    <w:p w:rsidR="00391A35" w:rsidRPr="00FE4C18" w:rsidRDefault="00391A35" w:rsidP="00391A35">
      <w:pPr>
        <w:pStyle w:val="ac"/>
        <w:rPr>
          <w:rtl/>
        </w:rPr>
      </w:pPr>
      <w:r w:rsidRPr="00FE4C18">
        <w:rPr>
          <w:rtl/>
        </w:rPr>
        <w:t>3</w:t>
      </w:r>
      <w:r>
        <w:rPr>
          <w:rtl/>
        </w:rPr>
        <w:t>ـ</w:t>
      </w:r>
      <w:r w:rsidRPr="00FE4C18">
        <w:rPr>
          <w:rtl/>
        </w:rPr>
        <w:t xml:space="preserve"> تع</w:t>
      </w:r>
      <w:r>
        <w:rPr>
          <w:rtl/>
        </w:rPr>
        <w:t>يي</w:t>
      </w:r>
      <w:r w:rsidRPr="00FE4C18">
        <w:rPr>
          <w:rtl/>
        </w:rPr>
        <w:t xml:space="preserve">ن والدي </w:t>
      </w:r>
      <w:r>
        <w:rPr>
          <w:rtl/>
        </w:rPr>
        <w:t>ا</w:t>
      </w:r>
      <w:r w:rsidRPr="00FE4C18">
        <w:rPr>
          <w:rtl/>
        </w:rPr>
        <w:t>لطفل</w:t>
      </w:r>
      <w:r>
        <w:rPr>
          <w:rtl/>
        </w:rPr>
        <w:t>.</w:t>
      </w:r>
      <w:r w:rsidRPr="00FE4C18">
        <w:rPr>
          <w:rtl/>
        </w:rPr>
        <w:t xml:space="preserve"> </w:t>
      </w:r>
    </w:p>
    <w:p w:rsidR="00391A35" w:rsidRPr="00FE4C18" w:rsidRDefault="00391A35" w:rsidP="00391A35">
      <w:pPr>
        <w:pStyle w:val="ac"/>
        <w:rPr>
          <w:rtl/>
        </w:rPr>
      </w:pPr>
      <w:r>
        <w:rPr>
          <w:rtl/>
        </w:rPr>
        <w:t>4ـ</w:t>
      </w:r>
      <w:r w:rsidRPr="00FE4C18">
        <w:rPr>
          <w:rtl/>
        </w:rPr>
        <w:t xml:space="preserve"> تع</w:t>
      </w:r>
      <w:r>
        <w:rPr>
          <w:rtl/>
        </w:rPr>
        <w:t>يي</w:t>
      </w:r>
      <w:r w:rsidRPr="00FE4C18">
        <w:rPr>
          <w:rtl/>
        </w:rPr>
        <w:t xml:space="preserve">ن </w:t>
      </w:r>
      <w:r>
        <w:rPr>
          <w:rtl/>
        </w:rPr>
        <w:t>ا</w:t>
      </w:r>
      <w:r w:rsidRPr="00FE4C18">
        <w:rPr>
          <w:rtl/>
        </w:rPr>
        <w:t>لالتزامات</w:t>
      </w:r>
      <w:r>
        <w:rPr>
          <w:rtl/>
        </w:rPr>
        <w:t xml:space="preserve"> وا</w:t>
      </w:r>
      <w:r w:rsidRPr="00FE4C18">
        <w:rPr>
          <w:rtl/>
        </w:rPr>
        <w:t xml:space="preserve">لشروط </w:t>
      </w:r>
      <w:r>
        <w:rPr>
          <w:rtl/>
        </w:rPr>
        <w:t>ا</w:t>
      </w:r>
      <w:r w:rsidRPr="00FE4C18">
        <w:rPr>
          <w:rtl/>
        </w:rPr>
        <w:t xml:space="preserve">لتي </w:t>
      </w:r>
      <w:r>
        <w:rPr>
          <w:rtl/>
        </w:rPr>
        <w:t>ي</w:t>
      </w:r>
      <w:r w:rsidRPr="00FE4C18">
        <w:rPr>
          <w:rtl/>
        </w:rPr>
        <w:t>تفق عل</w:t>
      </w:r>
      <w:r>
        <w:rPr>
          <w:rtl/>
        </w:rPr>
        <w:t>ي</w:t>
      </w:r>
      <w:r w:rsidRPr="00FE4C18">
        <w:rPr>
          <w:rtl/>
        </w:rPr>
        <w:t xml:space="preserve">ها </w:t>
      </w:r>
      <w:r>
        <w:rPr>
          <w:rtl/>
        </w:rPr>
        <w:t>ا</w:t>
      </w:r>
      <w:r w:rsidRPr="00FE4C18">
        <w:rPr>
          <w:rtl/>
        </w:rPr>
        <w:t>لطرفان</w:t>
      </w:r>
      <w:r>
        <w:rPr>
          <w:rtl/>
        </w:rPr>
        <w:t>.</w:t>
      </w:r>
      <w:r w:rsidRPr="00FE4C18">
        <w:rPr>
          <w:rtl/>
        </w:rPr>
        <w:t xml:space="preserve"> </w:t>
      </w:r>
    </w:p>
    <w:p w:rsidR="00391A35" w:rsidRPr="00FE4C18" w:rsidRDefault="00391A35" w:rsidP="00391A35">
      <w:pPr>
        <w:pStyle w:val="ac"/>
        <w:rPr>
          <w:rtl/>
        </w:rPr>
      </w:pPr>
      <w:r w:rsidRPr="00FE4C18">
        <w:rPr>
          <w:rtl/>
        </w:rPr>
        <w:t>5</w:t>
      </w:r>
      <w:r>
        <w:rPr>
          <w:rtl/>
        </w:rPr>
        <w:t>ـ</w:t>
      </w:r>
      <w:r w:rsidRPr="00FE4C18">
        <w:rPr>
          <w:rtl/>
        </w:rPr>
        <w:t xml:space="preserve"> عند رفض إجراء </w:t>
      </w:r>
      <w:r>
        <w:rPr>
          <w:rtl/>
        </w:rPr>
        <w:t>ا</w:t>
      </w:r>
      <w:r w:rsidRPr="00FE4C18">
        <w:rPr>
          <w:rtl/>
        </w:rPr>
        <w:t xml:space="preserve">لالتزامات من جانب طرفي </w:t>
      </w:r>
      <w:r>
        <w:rPr>
          <w:rtl/>
        </w:rPr>
        <w:t>ا</w:t>
      </w:r>
      <w:r w:rsidRPr="00FE4C18">
        <w:rPr>
          <w:rtl/>
        </w:rPr>
        <w:t>لاتفاق</w:t>
      </w:r>
      <w:r>
        <w:rPr>
          <w:rtl/>
        </w:rPr>
        <w:t>ي</w:t>
      </w:r>
      <w:r w:rsidRPr="00FE4C18">
        <w:rPr>
          <w:rtl/>
        </w:rPr>
        <w:t>ة</w:t>
      </w:r>
      <w:r>
        <w:rPr>
          <w:rtl/>
        </w:rPr>
        <w:t xml:space="preserve"> وا</w:t>
      </w:r>
      <w:r w:rsidRPr="00FE4C18">
        <w:rPr>
          <w:rtl/>
        </w:rPr>
        <w:t xml:space="preserve">لموضوعات </w:t>
      </w:r>
      <w:r>
        <w:rPr>
          <w:rtl/>
        </w:rPr>
        <w:t>ا</w:t>
      </w:r>
      <w:r w:rsidRPr="00FE4C18">
        <w:rPr>
          <w:rtl/>
        </w:rPr>
        <w:t>لأخر</w:t>
      </w:r>
      <w:r>
        <w:rPr>
          <w:rtl/>
        </w:rPr>
        <w:t>ى</w:t>
      </w:r>
      <w:r>
        <w:rPr>
          <w:rFonts w:hint="cs"/>
          <w:rtl/>
        </w:rPr>
        <w:t>.</w:t>
      </w:r>
    </w:p>
    <w:p w:rsidR="00391A35" w:rsidRPr="0067362A" w:rsidRDefault="00391A35" w:rsidP="0067362A">
      <w:pPr>
        <w:pStyle w:val="afffffc"/>
        <w:rPr>
          <w:sz w:val="20"/>
          <w:szCs w:val="18"/>
          <w:rtl/>
        </w:rPr>
      </w:pPr>
    </w:p>
    <w:p w:rsidR="00391A35" w:rsidRPr="00FE4C18" w:rsidRDefault="00391A35" w:rsidP="00391A35">
      <w:pPr>
        <w:pStyle w:val="1"/>
        <w:rPr>
          <w:szCs w:val="28"/>
          <w:rtl/>
        </w:rPr>
      </w:pPr>
      <w:bookmarkStart w:id="478" w:name="_Toc275128185"/>
      <w:r w:rsidRPr="00FE4C18">
        <w:rPr>
          <w:rtl/>
        </w:rPr>
        <w:t>أنواع اتفاق</w:t>
      </w:r>
      <w:r>
        <w:rPr>
          <w:rtl/>
        </w:rPr>
        <w:t>ي</w:t>
      </w:r>
      <w:r w:rsidRPr="00FE4C18">
        <w:rPr>
          <w:rtl/>
        </w:rPr>
        <w:t xml:space="preserve">ة </w:t>
      </w:r>
      <w:r>
        <w:rPr>
          <w:rtl/>
        </w:rPr>
        <w:t>ا</w:t>
      </w:r>
      <w:r w:rsidRPr="00FE4C18">
        <w:rPr>
          <w:rtl/>
        </w:rPr>
        <w:t xml:space="preserve">ستخدام رحم </w:t>
      </w:r>
      <w:r>
        <w:rPr>
          <w:rtl/>
        </w:rPr>
        <w:t>ا</w:t>
      </w:r>
      <w:r w:rsidRPr="00FE4C18">
        <w:rPr>
          <w:rtl/>
        </w:rPr>
        <w:t>لمرأة</w:t>
      </w:r>
      <w:bookmarkEnd w:id="478"/>
      <w:r w:rsidRPr="00FE4C18">
        <w:rPr>
          <w:rtl/>
        </w:rPr>
        <w:t xml:space="preserve"> </w:t>
      </w:r>
    </w:p>
    <w:p w:rsidR="00391A35" w:rsidRPr="00FE4C18" w:rsidRDefault="00391A35" w:rsidP="00391A35">
      <w:pPr>
        <w:pStyle w:val="ac"/>
        <w:rPr>
          <w:rtl/>
        </w:rPr>
      </w:pPr>
      <w:r w:rsidRPr="00FE4C18">
        <w:rPr>
          <w:rtl/>
        </w:rPr>
        <w:t>تجري اتفاق</w:t>
      </w:r>
      <w:r>
        <w:rPr>
          <w:rtl/>
        </w:rPr>
        <w:t>ي</w:t>
      </w:r>
      <w:r w:rsidRPr="00FE4C18">
        <w:rPr>
          <w:rtl/>
        </w:rPr>
        <w:t xml:space="preserve">ة </w:t>
      </w:r>
      <w:r>
        <w:rPr>
          <w:rtl/>
        </w:rPr>
        <w:t>ا</w:t>
      </w:r>
      <w:r w:rsidRPr="00FE4C18">
        <w:rPr>
          <w:rtl/>
        </w:rPr>
        <w:t xml:space="preserve">ستخدام رحم </w:t>
      </w:r>
      <w:r>
        <w:rPr>
          <w:rtl/>
        </w:rPr>
        <w:t>ا</w:t>
      </w:r>
      <w:r w:rsidRPr="00FE4C18">
        <w:rPr>
          <w:rtl/>
        </w:rPr>
        <w:t>لمرأة بهذ</w:t>
      </w:r>
      <w:r>
        <w:rPr>
          <w:rtl/>
        </w:rPr>
        <w:t>ي</w:t>
      </w:r>
      <w:r w:rsidRPr="00FE4C18">
        <w:rPr>
          <w:rtl/>
        </w:rPr>
        <w:t xml:space="preserve">ن </w:t>
      </w:r>
      <w:r>
        <w:rPr>
          <w:rtl/>
        </w:rPr>
        <w:t>ا</w:t>
      </w:r>
      <w:r w:rsidRPr="00FE4C18">
        <w:rPr>
          <w:rtl/>
        </w:rPr>
        <w:t>لش</w:t>
      </w:r>
      <w:r>
        <w:rPr>
          <w:rtl/>
        </w:rPr>
        <w:t>ك</w:t>
      </w:r>
      <w:r w:rsidRPr="00FE4C18">
        <w:rPr>
          <w:rtl/>
        </w:rPr>
        <w:t>ل</w:t>
      </w:r>
      <w:r>
        <w:rPr>
          <w:rtl/>
        </w:rPr>
        <w:t>ي</w:t>
      </w:r>
      <w:r w:rsidRPr="00FE4C18">
        <w:rPr>
          <w:rtl/>
        </w:rPr>
        <w:t>ن</w:t>
      </w:r>
      <w:r w:rsidRPr="007F5B58">
        <w:rPr>
          <w:rtl/>
        </w:rPr>
        <w:t>:</w:t>
      </w:r>
      <w:r w:rsidRPr="00FE4C18">
        <w:rPr>
          <w:rtl/>
        </w:rPr>
        <w:t>‌</w:t>
      </w:r>
    </w:p>
    <w:p w:rsidR="00391A35" w:rsidRPr="0067362A" w:rsidRDefault="00391A35" w:rsidP="0067362A">
      <w:pPr>
        <w:pStyle w:val="afffffc"/>
        <w:rPr>
          <w:sz w:val="20"/>
          <w:szCs w:val="18"/>
          <w:rtl/>
        </w:rPr>
      </w:pPr>
    </w:p>
    <w:p w:rsidR="00391A35" w:rsidRPr="00FE4C18" w:rsidRDefault="00391A35" w:rsidP="0067362A">
      <w:pPr>
        <w:pStyle w:val="2"/>
        <w:rPr>
          <w:rtl/>
        </w:rPr>
      </w:pPr>
      <w:bookmarkStart w:id="479" w:name="_Toc275128186"/>
      <w:r>
        <w:rPr>
          <w:rtl/>
        </w:rPr>
        <w:t xml:space="preserve">1ـ </w:t>
      </w:r>
      <w:r w:rsidRPr="00FE4C18">
        <w:rPr>
          <w:rtl/>
        </w:rPr>
        <w:t>الاتفاق</w:t>
      </w:r>
      <w:r>
        <w:rPr>
          <w:rtl/>
        </w:rPr>
        <w:t>ي</w:t>
      </w:r>
      <w:r w:rsidRPr="00FE4C18">
        <w:rPr>
          <w:rtl/>
        </w:rPr>
        <w:t xml:space="preserve">ة </w:t>
      </w:r>
      <w:r>
        <w:rPr>
          <w:rtl/>
        </w:rPr>
        <w:t>ا</w:t>
      </w:r>
      <w:r w:rsidRPr="00FE4C18">
        <w:rPr>
          <w:rtl/>
        </w:rPr>
        <w:t>لتجار</w:t>
      </w:r>
      <w:r>
        <w:rPr>
          <w:rtl/>
        </w:rPr>
        <w:t>ي</w:t>
      </w:r>
      <w:r w:rsidRPr="00FE4C18">
        <w:rPr>
          <w:rtl/>
        </w:rPr>
        <w:t>ة</w:t>
      </w:r>
      <w:r w:rsidRPr="00815C4C">
        <w:rPr>
          <w:rFonts w:ascii="Arno Pro Display" w:hAnsi="Arno Pro Display" w:cs="Taher" w:hint="cs"/>
          <w:szCs w:val="30"/>
          <w:vertAlign w:val="superscript"/>
          <w:rtl/>
        </w:rPr>
        <w:t>(</w:t>
      </w:r>
      <w:r w:rsidRPr="00815C4C">
        <w:rPr>
          <w:rFonts w:ascii="Arno Pro Display" w:hAnsi="Arno Pro Display" w:cs="Taher"/>
          <w:szCs w:val="30"/>
          <w:vertAlign w:val="superscript"/>
          <w:rtl/>
        </w:rPr>
        <w:footnoteReference w:id="881"/>
      </w:r>
      <w:r w:rsidRPr="00815C4C">
        <w:rPr>
          <w:rFonts w:ascii="Arno Pro Display" w:hAnsi="Arno Pro Display" w:cs="Taher" w:hint="cs"/>
          <w:szCs w:val="30"/>
          <w:vertAlign w:val="superscript"/>
          <w:rtl/>
        </w:rPr>
        <w:t>)</w:t>
      </w:r>
      <w:bookmarkEnd w:id="479"/>
      <w:r w:rsidRPr="0010499E">
        <w:rPr>
          <w:rFonts w:cs="AL-Mohanad"/>
          <w:sz w:val="27"/>
          <w:szCs w:val="27"/>
          <w:rtl/>
        </w:rPr>
        <w:t xml:space="preserve"> </w:t>
      </w:r>
    </w:p>
    <w:p w:rsidR="00391A35" w:rsidRPr="00FE4C18" w:rsidRDefault="00391A35" w:rsidP="00391A35">
      <w:pPr>
        <w:pStyle w:val="ac"/>
        <w:rPr>
          <w:rtl/>
        </w:rPr>
      </w:pPr>
      <w:r>
        <w:rPr>
          <w:rtl/>
        </w:rPr>
        <w:t>و</w:t>
      </w:r>
      <w:r w:rsidRPr="00FE4C18">
        <w:rPr>
          <w:rtl/>
        </w:rPr>
        <w:t xml:space="preserve">في هذا </w:t>
      </w:r>
      <w:r>
        <w:rPr>
          <w:rtl/>
        </w:rPr>
        <w:t>ا</w:t>
      </w:r>
      <w:r w:rsidRPr="00FE4C18">
        <w:rPr>
          <w:rtl/>
        </w:rPr>
        <w:t xml:space="preserve">لنوع </w:t>
      </w:r>
      <w:r>
        <w:rPr>
          <w:rtl/>
        </w:rPr>
        <w:t>ي</w:t>
      </w:r>
      <w:r w:rsidRPr="00FE4C18">
        <w:rPr>
          <w:rtl/>
        </w:rPr>
        <w:t xml:space="preserve">تعهّد </w:t>
      </w:r>
      <w:r>
        <w:rPr>
          <w:rtl/>
        </w:rPr>
        <w:t>ا</w:t>
      </w:r>
      <w:r w:rsidRPr="00FE4C18">
        <w:rPr>
          <w:rtl/>
        </w:rPr>
        <w:t xml:space="preserve">لزوجان </w:t>
      </w:r>
      <w:r>
        <w:rPr>
          <w:rtl/>
        </w:rPr>
        <w:t>ا</w:t>
      </w:r>
      <w:r w:rsidRPr="00FE4C18">
        <w:rPr>
          <w:rtl/>
        </w:rPr>
        <w:t>لعاقران</w:t>
      </w:r>
      <w:r w:rsidRPr="007F5B58">
        <w:rPr>
          <w:rtl/>
        </w:rPr>
        <w:t>،</w:t>
      </w:r>
      <w:r w:rsidRPr="00FE4C18">
        <w:rPr>
          <w:rtl/>
        </w:rPr>
        <w:t xml:space="preserve"> أو </w:t>
      </w:r>
      <w:r>
        <w:rPr>
          <w:rtl/>
        </w:rPr>
        <w:t>ا</w:t>
      </w:r>
      <w:r w:rsidRPr="00FE4C18">
        <w:rPr>
          <w:rtl/>
        </w:rPr>
        <w:t>لزوج</w:t>
      </w:r>
      <w:r>
        <w:rPr>
          <w:rtl/>
        </w:rPr>
        <w:t xml:space="preserve"> وا</w:t>
      </w:r>
      <w:r w:rsidRPr="00FE4C18">
        <w:rPr>
          <w:rtl/>
        </w:rPr>
        <w:t xml:space="preserve">لزوجة </w:t>
      </w:r>
      <w:r>
        <w:rPr>
          <w:rtl/>
        </w:rPr>
        <w:t>ا</w:t>
      </w:r>
      <w:r w:rsidRPr="00FE4C18">
        <w:rPr>
          <w:rtl/>
        </w:rPr>
        <w:t>لطالبان للطفل</w:t>
      </w:r>
      <w:r w:rsidRPr="007F5B58">
        <w:rPr>
          <w:rtl/>
        </w:rPr>
        <w:t>،</w:t>
      </w:r>
      <w:r w:rsidRPr="00FE4C18">
        <w:rPr>
          <w:rtl/>
        </w:rPr>
        <w:t xml:space="preserve"> بدفع </w:t>
      </w:r>
      <w:r w:rsidRPr="00FE4C18">
        <w:rPr>
          <w:rtl/>
        </w:rPr>
        <w:lastRenderedPageBreak/>
        <w:t xml:space="preserve">ثمن لصاحبة </w:t>
      </w:r>
      <w:r>
        <w:rPr>
          <w:rtl/>
        </w:rPr>
        <w:t>ا</w:t>
      </w:r>
      <w:r w:rsidRPr="00FE4C18">
        <w:rPr>
          <w:rtl/>
        </w:rPr>
        <w:t xml:space="preserve">لرحم إزاء خدماتها </w:t>
      </w:r>
      <w:r>
        <w:rPr>
          <w:rtl/>
        </w:rPr>
        <w:t>ك</w:t>
      </w:r>
      <w:r w:rsidRPr="00FE4C18">
        <w:rPr>
          <w:rtl/>
        </w:rPr>
        <w:t>أجرة عمل</w:t>
      </w:r>
      <w:r w:rsidRPr="007F5B58">
        <w:rPr>
          <w:rtl/>
        </w:rPr>
        <w:t>،</w:t>
      </w:r>
      <w:r>
        <w:rPr>
          <w:rtl/>
        </w:rPr>
        <w:t xml:space="preserve"> وي</w:t>
      </w:r>
      <w:r w:rsidRPr="00FE4C18">
        <w:rPr>
          <w:rtl/>
        </w:rPr>
        <w:t xml:space="preserve">عتبر هذا </w:t>
      </w:r>
      <w:r>
        <w:rPr>
          <w:rtl/>
        </w:rPr>
        <w:t>ا</w:t>
      </w:r>
      <w:r w:rsidRPr="00FE4C18">
        <w:rPr>
          <w:rtl/>
        </w:rPr>
        <w:t xml:space="preserve">لثمن </w:t>
      </w:r>
      <w:r>
        <w:rPr>
          <w:rtl/>
        </w:rPr>
        <w:t>ا</w:t>
      </w:r>
      <w:r w:rsidRPr="00FE4C18">
        <w:rPr>
          <w:rtl/>
        </w:rPr>
        <w:t xml:space="preserve">لمدفوع </w:t>
      </w:r>
      <w:r>
        <w:rPr>
          <w:rtl/>
        </w:rPr>
        <w:t>ك</w:t>
      </w:r>
      <w:r w:rsidRPr="00FE4C18">
        <w:rPr>
          <w:rtl/>
        </w:rPr>
        <w:t xml:space="preserve">عوض عن </w:t>
      </w:r>
      <w:r>
        <w:rPr>
          <w:rtl/>
        </w:rPr>
        <w:t>ا</w:t>
      </w:r>
      <w:r w:rsidRPr="00FE4C18">
        <w:rPr>
          <w:rtl/>
        </w:rPr>
        <w:t xml:space="preserve">لتزامات صاحبة </w:t>
      </w:r>
      <w:r>
        <w:rPr>
          <w:rtl/>
        </w:rPr>
        <w:t>ا</w:t>
      </w:r>
      <w:r w:rsidRPr="00FE4C18">
        <w:rPr>
          <w:rtl/>
        </w:rPr>
        <w:t>لرحم</w:t>
      </w:r>
      <w:r>
        <w:rPr>
          <w:rtl/>
        </w:rPr>
        <w:t>.</w:t>
      </w:r>
      <w:r w:rsidRPr="00FE4C18">
        <w:rPr>
          <w:rtl/>
        </w:rPr>
        <w:t xml:space="preserve"> </w:t>
      </w:r>
    </w:p>
    <w:p w:rsidR="00391A35" w:rsidRPr="0067362A" w:rsidRDefault="00391A35" w:rsidP="0067362A">
      <w:pPr>
        <w:pStyle w:val="afffffc"/>
        <w:rPr>
          <w:sz w:val="20"/>
          <w:szCs w:val="18"/>
          <w:rtl/>
        </w:rPr>
      </w:pPr>
    </w:p>
    <w:p w:rsidR="00391A35" w:rsidRPr="00FE4C18" w:rsidRDefault="00391A35" w:rsidP="0067362A">
      <w:pPr>
        <w:pStyle w:val="2"/>
        <w:rPr>
          <w:rtl/>
        </w:rPr>
      </w:pPr>
      <w:bookmarkStart w:id="480" w:name="_Toc275128187"/>
      <w:r>
        <w:rPr>
          <w:rtl/>
        </w:rPr>
        <w:t xml:space="preserve">2ـ </w:t>
      </w:r>
      <w:r w:rsidRPr="00FE4C18">
        <w:rPr>
          <w:rtl/>
        </w:rPr>
        <w:t>الاتفاق</w:t>
      </w:r>
      <w:r>
        <w:rPr>
          <w:rtl/>
        </w:rPr>
        <w:t>ي</w:t>
      </w:r>
      <w:r w:rsidRPr="00FE4C18">
        <w:rPr>
          <w:rtl/>
        </w:rPr>
        <w:t>ة غ</w:t>
      </w:r>
      <w:r>
        <w:rPr>
          <w:rtl/>
        </w:rPr>
        <w:t>ي</w:t>
      </w:r>
      <w:r w:rsidRPr="00FE4C18">
        <w:rPr>
          <w:rtl/>
        </w:rPr>
        <w:t xml:space="preserve">ر </w:t>
      </w:r>
      <w:r>
        <w:rPr>
          <w:rtl/>
        </w:rPr>
        <w:t>ا</w:t>
      </w:r>
      <w:r w:rsidRPr="00FE4C18">
        <w:rPr>
          <w:rtl/>
        </w:rPr>
        <w:t>لتجار</w:t>
      </w:r>
      <w:r>
        <w:rPr>
          <w:rtl/>
        </w:rPr>
        <w:t>يّ</w:t>
      </w:r>
      <w:r w:rsidRPr="00FE4C18">
        <w:rPr>
          <w:rtl/>
        </w:rPr>
        <w:t xml:space="preserve">ة‌ </w:t>
      </w:r>
      <w:r>
        <w:rPr>
          <w:rtl/>
        </w:rPr>
        <w:t>(</w:t>
      </w:r>
      <w:r w:rsidRPr="00FE4C18">
        <w:rPr>
          <w:rtl/>
        </w:rPr>
        <w:t>بلا عوض)</w:t>
      </w:r>
      <w:r w:rsidRPr="00815C4C">
        <w:rPr>
          <w:rFonts w:ascii="Arno Pro Display" w:hAnsi="Arno Pro Display" w:cs="Taher" w:hint="cs"/>
          <w:szCs w:val="30"/>
          <w:vertAlign w:val="superscript"/>
          <w:rtl/>
        </w:rPr>
        <w:t>(</w:t>
      </w:r>
      <w:r w:rsidRPr="00815C4C">
        <w:rPr>
          <w:rFonts w:ascii="Arno Pro Display" w:hAnsi="Arno Pro Display" w:cs="Taher"/>
          <w:szCs w:val="30"/>
          <w:vertAlign w:val="superscript"/>
          <w:rtl/>
        </w:rPr>
        <w:footnoteReference w:id="882"/>
      </w:r>
      <w:r w:rsidRPr="00815C4C">
        <w:rPr>
          <w:rFonts w:ascii="Arno Pro Display" w:hAnsi="Arno Pro Display" w:cs="Taher" w:hint="cs"/>
          <w:szCs w:val="30"/>
          <w:vertAlign w:val="superscript"/>
          <w:rtl/>
        </w:rPr>
        <w:t>)</w:t>
      </w:r>
      <w:bookmarkEnd w:id="480"/>
    </w:p>
    <w:p w:rsidR="00391A35" w:rsidRDefault="00391A35" w:rsidP="0067362A">
      <w:pPr>
        <w:pStyle w:val="ac"/>
      </w:pPr>
      <w:r>
        <w:rPr>
          <w:rtl/>
        </w:rPr>
        <w:t>و</w:t>
      </w:r>
      <w:r w:rsidRPr="00FE4C18">
        <w:rPr>
          <w:rtl/>
        </w:rPr>
        <w:t xml:space="preserve">في هذا </w:t>
      </w:r>
      <w:r>
        <w:rPr>
          <w:rtl/>
        </w:rPr>
        <w:t>ا</w:t>
      </w:r>
      <w:r w:rsidRPr="00FE4C18">
        <w:rPr>
          <w:rtl/>
        </w:rPr>
        <w:t xml:space="preserve">لنوع تقوم صاحبة </w:t>
      </w:r>
      <w:r>
        <w:rPr>
          <w:rtl/>
        </w:rPr>
        <w:t>ا</w:t>
      </w:r>
      <w:r w:rsidRPr="00FE4C18">
        <w:rPr>
          <w:rtl/>
        </w:rPr>
        <w:t xml:space="preserve">لرحم بهذا </w:t>
      </w:r>
      <w:r>
        <w:rPr>
          <w:rtl/>
        </w:rPr>
        <w:t>ا</w:t>
      </w:r>
      <w:r w:rsidRPr="00FE4C18">
        <w:rPr>
          <w:rtl/>
        </w:rPr>
        <w:t xml:space="preserve">لعمل بسبب </w:t>
      </w:r>
      <w:r>
        <w:rPr>
          <w:rtl/>
        </w:rPr>
        <w:t>ا</w:t>
      </w:r>
      <w:r w:rsidRPr="00FE4C18">
        <w:rPr>
          <w:rtl/>
        </w:rPr>
        <w:t xml:space="preserve">لحوافز </w:t>
      </w:r>
      <w:r>
        <w:rPr>
          <w:rtl/>
        </w:rPr>
        <w:t>ا</w:t>
      </w:r>
      <w:r w:rsidRPr="00FE4C18">
        <w:rPr>
          <w:rtl/>
        </w:rPr>
        <w:t>لإنسان</w:t>
      </w:r>
      <w:r>
        <w:rPr>
          <w:rtl/>
        </w:rPr>
        <w:t>يّ</w:t>
      </w:r>
      <w:r w:rsidRPr="00FE4C18">
        <w:rPr>
          <w:rtl/>
        </w:rPr>
        <w:t>ة</w:t>
      </w:r>
      <w:r>
        <w:rPr>
          <w:rtl/>
        </w:rPr>
        <w:t xml:space="preserve"> وا</w:t>
      </w:r>
      <w:r w:rsidRPr="00FE4C18">
        <w:rPr>
          <w:rtl/>
        </w:rPr>
        <w:t>لإ</w:t>
      </w:r>
      <w:r>
        <w:rPr>
          <w:rtl/>
        </w:rPr>
        <w:t>ي</w:t>
      </w:r>
      <w:r w:rsidRPr="00FE4C18">
        <w:rPr>
          <w:rtl/>
        </w:rPr>
        <w:t>مان</w:t>
      </w:r>
      <w:r>
        <w:rPr>
          <w:rtl/>
        </w:rPr>
        <w:t>يّ</w:t>
      </w:r>
      <w:r w:rsidRPr="00FE4C18">
        <w:rPr>
          <w:rtl/>
        </w:rPr>
        <w:t>ة فقط</w:t>
      </w:r>
      <w:r w:rsidRPr="007F5B58">
        <w:rPr>
          <w:rtl/>
        </w:rPr>
        <w:t>،</w:t>
      </w:r>
      <w:r>
        <w:rPr>
          <w:rtl/>
        </w:rPr>
        <w:t xml:space="preserve"> و</w:t>
      </w:r>
      <w:r w:rsidRPr="00FE4C18">
        <w:rPr>
          <w:rtl/>
        </w:rPr>
        <w:t>لا تأخذ أجرة مقابل ذل</w:t>
      </w:r>
      <w:r>
        <w:rPr>
          <w:rtl/>
        </w:rPr>
        <w:t>ك</w:t>
      </w:r>
      <w:r w:rsidRPr="007F5B58">
        <w:rPr>
          <w:rtl/>
        </w:rPr>
        <w:t>،</w:t>
      </w:r>
      <w:r>
        <w:rPr>
          <w:rtl/>
        </w:rPr>
        <w:t xml:space="preserve"> و</w:t>
      </w:r>
      <w:r w:rsidRPr="00FE4C18">
        <w:rPr>
          <w:rtl/>
        </w:rPr>
        <w:t>لا تع</w:t>
      </w:r>
      <w:r>
        <w:rPr>
          <w:rtl/>
        </w:rPr>
        <w:t>يَّ</w:t>
      </w:r>
      <w:r w:rsidRPr="00FE4C18">
        <w:rPr>
          <w:rtl/>
        </w:rPr>
        <w:t xml:space="preserve">ن في عقد </w:t>
      </w:r>
      <w:r>
        <w:rPr>
          <w:rtl/>
        </w:rPr>
        <w:t>ا</w:t>
      </w:r>
      <w:r w:rsidRPr="00FE4C18">
        <w:rPr>
          <w:rtl/>
        </w:rPr>
        <w:t>لاتفاق</w:t>
      </w:r>
      <w:r>
        <w:rPr>
          <w:rtl/>
        </w:rPr>
        <w:t>يّ</w:t>
      </w:r>
      <w:r w:rsidRPr="00FE4C18">
        <w:rPr>
          <w:rtl/>
        </w:rPr>
        <w:t xml:space="preserve">ة أجرة </w:t>
      </w:r>
      <w:r>
        <w:rPr>
          <w:rtl/>
        </w:rPr>
        <w:t>ا</w:t>
      </w:r>
      <w:r w:rsidRPr="00FE4C18">
        <w:rPr>
          <w:rtl/>
        </w:rPr>
        <w:t xml:space="preserve">لعمل أو </w:t>
      </w:r>
      <w:r>
        <w:rPr>
          <w:rtl/>
        </w:rPr>
        <w:t>ا</w:t>
      </w:r>
      <w:r w:rsidRPr="00FE4C18">
        <w:rPr>
          <w:rtl/>
        </w:rPr>
        <w:t xml:space="preserve">لثمن </w:t>
      </w:r>
      <w:r>
        <w:rPr>
          <w:rtl/>
        </w:rPr>
        <w:t>ك</w:t>
      </w:r>
      <w:r w:rsidRPr="00FE4C18">
        <w:rPr>
          <w:rtl/>
        </w:rPr>
        <w:t xml:space="preserve">عوض عن </w:t>
      </w:r>
      <w:r>
        <w:rPr>
          <w:rtl/>
        </w:rPr>
        <w:t>ا</w:t>
      </w:r>
      <w:r w:rsidRPr="00FE4C18">
        <w:rPr>
          <w:rtl/>
        </w:rPr>
        <w:t>لالتزامات إزاء خدماتها</w:t>
      </w:r>
      <w:r>
        <w:rPr>
          <w:rtl/>
        </w:rPr>
        <w:t>. وي</w:t>
      </w:r>
      <w:r w:rsidRPr="00FE4C18">
        <w:rPr>
          <w:rtl/>
        </w:rPr>
        <w:t xml:space="preserve">قوم بإجراء هذا </w:t>
      </w:r>
      <w:r>
        <w:rPr>
          <w:rtl/>
        </w:rPr>
        <w:t>ا</w:t>
      </w:r>
      <w:r w:rsidRPr="00FE4C18">
        <w:rPr>
          <w:rtl/>
        </w:rPr>
        <w:t xml:space="preserve">لنوع من </w:t>
      </w:r>
      <w:r>
        <w:rPr>
          <w:rtl/>
        </w:rPr>
        <w:t>ا</w:t>
      </w:r>
      <w:r w:rsidRPr="00FE4C18">
        <w:rPr>
          <w:rtl/>
        </w:rPr>
        <w:t>لاتفاق</w:t>
      </w:r>
      <w:r>
        <w:rPr>
          <w:rtl/>
        </w:rPr>
        <w:t>ي</w:t>
      </w:r>
      <w:r w:rsidRPr="00FE4C18">
        <w:rPr>
          <w:rtl/>
        </w:rPr>
        <w:t xml:space="preserve">ة </w:t>
      </w:r>
      <w:r>
        <w:rPr>
          <w:rtl/>
        </w:rPr>
        <w:t>ا</w:t>
      </w:r>
      <w:r w:rsidRPr="00FE4C18">
        <w:rPr>
          <w:rtl/>
        </w:rPr>
        <w:t xml:space="preserve">لأصدقاء أو </w:t>
      </w:r>
      <w:r>
        <w:rPr>
          <w:rtl/>
        </w:rPr>
        <w:t>ا</w:t>
      </w:r>
      <w:r w:rsidRPr="00FE4C18">
        <w:rPr>
          <w:rtl/>
        </w:rPr>
        <w:t>لأقارب عادة</w:t>
      </w:r>
      <w:r>
        <w:rPr>
          <w:rtl/>
        </w:rPr>
        <w:t>ً</w:t>
      </w:r>
      <w:r w:rsidRPr="00815C4C">
        <w:rPr>
          <w:rFonts w:cs="Taher"/>
          <w:vertAlign w:val="superscript"/>
          <w:rtl/>
        </w:rPr>
        <w:t>(</w:t>
      </w:r>
      <w:r w:rsidRPr="00815C4C">
        <w:rPr>
          <w:rFonts w:cs="Taher"/>
          <w:vertAlign w:val="superscript"/>
          <w:rtl/>
        </w:rPr>
        <w:footnoteReference w:id="883"/>
      </w:r>
      <w:r w:rsidRPr="00815C4C">
        <w:rPr>
          <w:rFonts w:cs="Taher"/>
          <w:vertAlign w:val="superscript"/>
          <w:rtl/>
        </w:rPr>
        <w:t>)</w:t>
      </w:r>
      <w:r>
        <w:rPr>
          <w:rtl/>
        </w:rPr>
        <w:t>.</w:t>
      </w:r>
    </w:p>
    <w:p w:rsidR="00391A35" w:rsidRPr="0067362A" w:rsidRDefault="00391A35" w:rsidP="0067362A">
      <w:pPr>
        <w:pStyle w:val="afffffc"/>
        <w:rPr>
          <w:sz w:val="20"/>
          <w:szCs w:val="18"/>
          <w:rtl/>
        </w:rPr>
      </w:pPr>
    </w:p>
    <w:p w:rsidR="00391A35" w:rsidRPr="00FE4C18" w:rsidRDefault="00391A35" w:rsidP="00391A35">
      <w:pPr>
        <w:pStyle w:val="1"/>
        <w:rPr>
          <w:szCs w:val="28"/>
          <w:rtl/>
        </w:rPr>
      </w:pPr>
      <w:bookmarkStart w:id="481" w:name="_Toc275128188"/>
      <w:r>
        <w:rPr>
          <w:rtl/>
        </w:rPr>
        <w:t>كي</w:t>
      </w:r>
      <w:r w:rsidRPr="00FE4C18">
        <w:rPr>
          <w:rtl/>
        </w:rPr>
        <w:t>ف</w:t>
      </w:r>
      <w:r>
        <w:rPr>
          <w:rtl/>
        </w:rPr>
        <w:t>يّ</w:t>
      </w:r>
      <w:r w:rsidRPr="00FE4C18">
        <w:rPr>
          <w:rtl/>
        </w:rPr>
        <w:t>ة تع</w:t>
      </w:r>
      <w:r>
        <w:rPr>
          <w:rtl/>
        </w:rPr>
        <w:t>يي</w:t>
      </w:r>
      <w:r w:rsidRPr="00FE4C18">
        <w:rPr>
          <w:rtl/>
        </w:rPr>
        <w:t>ن</w:t>
      </w:r>
      <w:r>
        <w:rPr>
          <w:rtl/>
        </w:rPr>
        <w:t xml:space="preserve"> و</w:t>
      </w:r>
      <w:r w:rsidRPr="00FE4C18">
        <w:rPr>
          <w:rtl/>
        </w:rPr>
        <w:t>تبو</w:t>
      </w:r>
      <w:r>
        <w:rPr>
          <w:rtl/>
        </w:rPr>
        <w:t>ي</w:t>
      </w:r>
      <w:r w:rsidRPr="00FE4C18">
        <w:rPr>
          <w:rtl/>
        </w:rPr>
        <w:t xml:space="preserve">ب مراحل </w:t>
      </w:r>
      <w:r>
        <w:rPr>
          <w:rtl/>
        </w:rPr>
        <w:t>ا</w:t>
      </w:r>
      <w:r w:rsidRPr="00FE4C18">
        <w:rPr>
          <w:rtl/>
        </w:rPr>
        <w:t>لالتزامات</w:t>
      </w:r>
      <w:bookmarkEnd w:id="481"/>
      <w:r w:rsidRPr="00FE4C18">
        <w:rPr>
          <w:rtl/>
        </w:rPr>
        <w:t xml:space="preserve"> </w:t>
      </w:r>
    </w:p>
    <w:p w:rsidR="00391A35" w:rsidRPr="00FE4C18" w:rsidRDefault="00391A35" w:rsidP="0067362A">
      <w:pPr>
        <w:pStyle w:val="ac"/>
        <w:rPr>
          <w:rtl/>
        </w:rPr>
      </w:pPr>
      <w:r w:rsidRPr="00FE4C18">
        <w:rPr>
          <w:rtl/>
        </w:rPr>
        <w:t>عندما ت</w:t>
      </w:r>
      <w:r>
        <w:rPr>
          <w:rtl/>
        </w:rPr>
        <w:t>ك</w:t>
      </w:r>
      <w:r w:rsidRPr="00FE4C18">
        <w:rPr>
          <w:rtl/>
        </w:rPr>
        <w:t xml:space="preserve">ون </w:t>
      </w:r>
      <w:r>
        <w:rPr>
          <w:rtl/>
        </w:rPr>
        <w:t>ا</w:t>
      </w:r>
      <w:r w:rsidRPr="00FE4C18">
        <w:rPr>
          <w:rtl/>
        </w:rPr>
        <w:t>لاتفاق</w:t>
      </w:r>
      <w:r>
        <w:rPr>
          <w:rtl/>
        </w:rPr>
        <w:t>ي</w:t>
      </w:r>
      <w:r w:rsidRPr="00FE4C18">
        <w:rPr>
          <w:rtl/>
        </w:rPr>
        <w:t>ة تجار</w:t>
      </w:r>
      <w:r>
        <w:rPr>
          <w:rtl/>
        </w:rPr>
        <w:t>ي</w:t>
      </w:r>
      <w:r w:rsidRPr="00FE4C18">
        <w:rPr>
          <w:rtl/>
        </w:rPr>
        <w:t>ة معو</w:t>
      </w:r>
      <w:r>
        <w:rPr>
          <w:rtl/>
        </w:rPr>
        <w:t>َّ</w:t>
      </w:r>
      <w:r w:rsidRPr="00FE4C18">
        <w:rPr>
          <w:rtl/>
        </w:rPr>
        <w:t xml:space="preserve">ضة تجري </w:t>
      </w:r>
      <w:r>
        <w:rPr>
          <w:rtl/>
        </w:rPr>
        <w:t>ا</w:t>
      </w:r>
      <w:r w:rsidRPr="00FE4C18">
        <w:rPr>
          <w:rtl/>
        </w:rPr>
        <w:t xml:space="preserve">لالتزامات </w:t>
      </w:r>
      <w:r>
        <w:rPr>
          <w:rtl/>
        </w:rPr>
        <w:t>ا</w:t>
      </w:r>
      <w:r w:rsidRPr="00FE4C18">
        <w:rPr>
          <w:rtl/>
        </w:rPr>
        <w:t>لمال</w:t>
      </w:r>
      <w:r>
        <w:rPr>
          <w:rtl/>
        </w:rPr>
        <w:t>ي</w:t>
      </w:r>
      <w:r w:rsidRPr="00FE4C18">
        <w:rPr>
          <w:rtl/>
        </w:rPr>
        <w:t>ة ف</w:t>
      </w:r>
      <w:r>
        <w:rPr>
          <w:rtl/>
        </w:rPr>
        <w:t>ي</w:t>
      </w:r>
      <w:r w:rsidRPr="00FE4C18">
        <w:rPr>
          <w:rtl/>
        </w:rPr>
        <w:t>ها</w:t>
      </w:r>
      <w:r w:rsidRPr="007F5B58">
        <w:rPr>
          <w:rtl/>
        </w:rPr>
        <w:t>،</w:t>
      </w:r>
      <w:r w:rsidRPr="00FE4C18">
        <w:rPr>
          <w:rtl/>
        </w:rPr>
        <w:t xml:space="preserve"> </w:t>
      </w:r>
      <w:r>
        <w:rPr>
          <w:rtl/>
        </w:rPr>
        <w:t>ا</w:t>
      </w:r>
      <w:r w:rsidRPr="00FE4C18">
        <w:rPr>
          <w:rtl/>
        </w:rPr>
        <w:t>بتداء</w:t>
      </w:r>
      <w:r>
        <w:rPr>
          <w:rtl/>
        </w:rPr>
        <w:t>ً</w:t>
      </w:r>
      <w:r w:rsidRPr="00FE4C18">
        <w:rPr>
          <w:rtl/>
        </w:rPr>
        <w:t xml:space="preserve"> من إجراء </w:t>
      </w:r>
      <w:r>
        <w:rPr>
          <w:rtl/>
        </w:rPr>
        <w:t>ا</w:t>
      </w:r>
      <w:r w:rsidRPr="00FE4C18">
        <w:rPr>
          <w:rtl/>
        </w:rPr>
        <w:t xml:space="preserve">لمبادرات </w:t>
      </w:r>
      <w:r>
        <w:rPr>
          <w:rtl/>
        </w:rPr>
        <w:t>ا</w:t>
      </w:r>
      <w:r w:rsidRPr="00FE4C18">
        <w:rPr>
          <w:rtl/>
        </w:rPr>
        <w:t>لطب</w:t>
      </w:r>
      <w:r>
        <w:rPr>
          <w:rtl/>
        </w:rPr>
        <w:t>ي</w:t>
      </w:r>
      <w:r w:rsidRPr="00FE4C18">
        <w:rPr>
          <w:rtl/>
        </w:rPr>
        <w:t>ة حت</w:t>
      </w:r>
      <w:r>
        <w:rPr>
          <w:rtl/>
        </w:rPr>
        <w:t>ى ا</w:t>
      </w:r>
      <w:r w:rsidRPr="00FE4C18">
        <w:rPr>
          <w:rtl/>
        </w:rPr>
        <w:t>لولادة</w:t>
      </w:r>
      <w:r>
        <w:rPr>
          <w:rtl/>
        </w:rPr>
        <w:t xml:space="preserve"> و</w:t>
      </w:r>
      <w:r w:rsidRPr="00FE4C18">
        <w:rPr>
          <w:rtl/>
        </w:rPr>
        <w:t>تسل</w:t>
      </w:r>
      <w:r>
        <w:rPr>
          <w:rtl/>
        </w:rPr>
        <w:t>ي</w:t>
      </w:r>
      <w:r w:rsidRPr="00FE4C18">
        <w:rPr>
          <w:rtl/>
        </w:rPr>
        <w:t xml:space="preserve">م </w:t>
      </w:r>
      <w:r>
        <w:rPr>
          <w:rtl/>
        </w:rPr>
        <w:t>ا</w:t>
      </w:r>
      <w:r w:rsidRPr="00FE4C18">
        <w:rPr>
          <w:rtl/>
        </w:rPr>
        <w:t>لطفل</w:t>
      </w:r>
      <w:r w:rsidRPr="007F5B58">
        <w:rPr>
          <w:rtl/>
        </w:rPr>
        <w:t>،</w:t>
      </w:r>
      <w:r w:rsidRPr="00FE4C18">
        <w:rPr>
          <w:rtl/>
        </w:rPr>
        <w:t xml:space="preserve"> في أربع مراحل</w:t>
      </w:r>
      <w:r w:rsidRPr="007F5B58">
        <w:rPr>
          <w:rtl/>
        </w:rPr>
        <w:t>:</w:t>
      </w:r>
      <w:r w:rsidRPr="00FE4C18">
        <w:rPr>
          <w:rtl/>
        </w:rPr>
        <w:t xml:space="preserve"> </w:t>
      </w:r>
    </w:p>
    <w:p w:rsidR="00391A35" w:rsidRPr="0067362A" w:rsidRDefault="00391A35" w:rsidP="0067362A">
      <w:pPr>
        <w:pStyle w:val="ac"/>
        <w:rPr>
          <w:sz w:val="29"/>
          <w:szCs w:val="29"/>
          <w:rtl/>
        </w:rPr>
      </w:pPr>
      <w:r w:rsidRPr="0067362A">
        <w:rPr>
          <w:b/>
          <w:bCs/>
          <w:sz w:val="29"/>
          <w:szCs w:val="29"/>
          <w:rtl/>
        </w:rPr>
        <w:t>المرحلة الأولى:</w:t>
      </w:r>
      <w:r w:rsidRPr="0067362A">
        <w:rPr>
          <w:sz w:val="29"/>
          <w:szCs w:val="29"/>
          <w:rtl/>
        </w:rPr>
        <w:t xml:space="preserve"> ابتداء من المبادرات الطبية حتى انتقال الجنين وفحص الحمل المختبري. </w:t>
      </w:r>
    </w:p>
    <w:p w:rsidR="00391A35" w:rsidRPr="00FE4C18" w:rsidRDefault="00391A35" w:rsidP="0067362A">
      <w:pPr>
        <w:pStyle w:val="ac"/>
        <w:rPr>
          <w:rtl/>
        </w:rPr>
      </w:pPr>
      <w:r>
        <w:rPr>
          <w:rtl/>
        </w:rPr>
        <w:t>و</w:t>
      </w:r>
      <w:r w:rsidRPr="00FE4C18">
        <w:rPr>
          <w:rtl/>
        </w:rPr>
        <w:t xml:space="preserve">في حالة </w:t>
      </w:r>
      <w:r>
        <w:rPr>
          <w:rtl/>
        </w:rPr>
        <w:t>ا</w:t>
      </w:r>
      <w:r w:rsidRPr="00FE4C18">
        <w:rPr>
          <w:rtl/>
        </w:rPr>
        <w:t xml:space="preserve">ستمرار دورة </w:t>
      </w:r>
      <w:r>
        <w:rPr>
          <w:rtl/>
        </w:rPr>
        <w:t>ا</w:t>
      </w:r>
      <w:r w:rsidRPr="00FE4C18">
        <w:rPr>
          <w:rtl/>
        </w:rPr>
        <w:t>لحمل دون مشا</w:t>
      </w:r>
      <w:r>
        <w:rPr>
          <w:rtl/>
        </w:rPr>
        <w:t>ك</w:t>
      </w:r>
      <w:r w:rsidRPr="00FE4C18">
        <w:rPr>
          <w:rtl/>
        </w:rPr>
        <w:t xml:space="preserve">ل </w:t>
      </w:r>
      <w:r>
        <w:rPr>
          <w:rtl/>
        </w:rPr>
        <w:t>تأتي</w:t>
      </w:r>
      <w:r w:rsidRPr="007F5B58">
        <w:rPr>
          <w:rtl/>
        </w:rPr>
        <w:t>:</w:t>
      </w:r>
      <w:r w:rsidRPr="00FE4C18">
        <w:rPr>
          <w:rtl/>
        </w:rPr>
        <w:t xml:space="preserve"> </w:t>
      </w:r>
    </w:p>
    <w:p w:rsidR="00391A35" w:rsidRPr="00FE4C18" w:rsidRDefault="00391A35" w:rsidP="0067362A">
      <w:pPr>
        <w:pStyle w:val="ac"/>
        <w:rPr>
          <w:rtl/>
        </w:rPr>
      </w:pPr>
      <w:r w:rsidRPr="00DD383B">
        <w:rPr>
          <w:b/>
          <w:bCs/>
          <w:rtl/>
        </w:rPr>
        <w:t>المرحلة الثانية</w:t>
      </w:r>
      <w:r w:rsidRPr="007F5B58">
        <w:rPr>
          <w:b/>
          <w:bCs/>
          <w:rtl/>
        </w:rPr>
        <w:t>:</w:t>
      </w:r>
      <w:r w:rsidRPr="00FE4C18">
        <w:rPr>
          <w:rtl/>
        </w:rPr>
        <w:t xml:space="preserve"> </w:t>
      </w:r>
      <w:r>
        <w:rPr>
          <w:rtl/>
        </w:rPr>
        <w:t xml:space="preserve">وهي </w:t>
      </w:r>
      <w:r w:rsidRPr="00FE4C18">
        <w:rPr>
          <w:rtl/>
        </w:rPr>
        <w:t xml:space="preserve">الأشهر </w:t>
      </w:r>
      <w:r>
        <w:rPr>
          <w:rtl/>
        </w:rPr>
        <w:t>ا</w:t>
      </w:r>
      <w:r w:rsidRPr="00FE4C18">
        <w:rPr>
          <w:rtl/>
        </w:rPr>
        <w:t xml:space="preserve">لثلاثة </w:t>
      </w:r>
      <w:r>
        <w:rPr>
          <w:rtl/>
        </w:rPr>
        <w:t>ا</w:t>
      </w:r>
      <w:r w:rsidRPr="00FE4C18">
        <w:rPr>
          <w:rtl/>
        </w:rPr>
        <w:t>لأول</w:t>
      </w:r>
      <w:r>
        <w:rPr>
          <w:rtl/>
        </w:rPr>
        <w:t xml:space="preserve">ى </w:t>
      </w:r>
      <w:r w:rsidRPr="00FE4C18">
        <w:rPr>
          <w:rtl/>
        </w:rPr>
        <w:t>للحمل</w:t>
      </w:r>
      <w:r>
        <w:rPr>
          <w:rtl/>
        </w:rPr>
        <w:t>.</w:t>
      </w:r>
      <w:r w:rsidRPr="00FE4C18">
        <w:rPr>
          <w:rtl/>
        </w:rPr>
        <w:t xml:space="preserve"> </w:t>
      </w:r>
    </w:p>
    <w:p w:rsidR="00391A35" w:rsidRPr="00FE4C18" w:rsidRDefault="00391A35" w:rsidP="0067362A">
      <w:pPr>
        <w:pStyle w:val="ac"/>
        <w:rPr>
          <w:rtl/>
        </w:rPr>
      </w:pPr>
      <w:r w:rsidRPr="00DD383B">
        <w:rPr>
          <w:b/>
          <w:bCs/>
          <w:rtl/>
        </w:rPr>
        <w:t>المرحلة الثالثة</w:t>
      </w:r>
      <w:r w:rsidRPr="007F5B58">
        <w:rPr>
          <w:b/>
          <w:bCs/>
          <w:rtl/>
        </w:rPr>
        <w:t>:</w:t>
      </w:r>
      <w:r w:rsidRPr="00FE4C18">
        <w:rPr>
          <w:rtl/>
        </w:rPr>
        <w:t xml:space="preserve"> </w:t>
      </w:r>
      <w:r>
        <w:rPr>
          <w:rtl/>
        </w:rPr>
        <w:t xml:space="preserve">وهي </w:t>
      </w:r>
      <w:r w:rsidRPr="00FE4C18">
        <w:rPr>
          <w:rtl/>
        </w:rPr>
        <w:t xml:space="preserve">الأشهر </w:t>
      </w:r>
      <w:r>
        <w:rPr>
          <w:rtl/>
        </w:rPr>
        <w:t>ا</w:t>
      </w:r>
      <w:r w:rsidRPr="00FE4C18">
        <w:rPr>
          <w:rtl/>
        </w:rPr>
        <w:t xml:space="preserve">لثلاثة </w:t>
      </w:r>
      <w:r>
        <w:rPr>
          <w:rtl/>
        </w:rPr>
        <w:t>ا</w:t>
      </w:r>
      <w:r w:rsidRPr="00FE4C18">
        <w:rPr>
          <w:rtl/>
        </w:rPr>
        <w:t>لثان</w:t>
      </w:r>
      <w:r>
        <w:rPr>
          <w:rtl/>
        </w:rPr>
        <w:t>ي</w:t>
      </w:r>
      <w:r w:rsidRPr="00FE4C18">
        <w:rPr>
          <w:rtl/>
        </w:rPr>
        <w:t>ة للحمل</w:t>
      </w:r>
      <w:r>
        <w:rPr>
          <w:rtl/>
        </w:rPr>
        <w:t>.</w:t>
      </w:r>
      <w:r w:rsidRPr="00FE4C18">
        <w:rPr>
          <w:rtl/>
        </w:rPr>
        <w:t xml:space="preserve"> </w:t>
      </w:r>
    </w:p>
    <w:p w:rsidR="00391A35" w:rsidRPr="00FE4C18" w:rsidRDefault="00391A35" w:rsidP="0067362A">
      <w:pPr>
        <w:pStyle w:val="ac"/>
        <w:rPr>
          <w:rtl/>
        </w:rPr>
      </w:pPr>
      <w:r w:rsidRPr="00DD383B">
        <w:rPr>
          <w:b/>
          <w:bCs/>
          <w:rtl/>
        </w:rPr>
        <w:t>المرحلة الرابعة</w:t>
      </w:r>
      <w:r w:rsidRPr="007F5B58">
        <w:rPr>
          <w:b/>
          <w:bCs/>
          <w:rtl/>
        </w:rPr>
        <w:t>:</w:t>
      </w:r>
      <w:r w:rsidRPr="00FE4C18">
        <w:rPr>
          <w:rtl/>
        </w:rPr>
        <w:t xml:space="preserve"> </w:t>
      </w:r>
      <w:r>
        <w:rPr>
          <w:rtl/>
        </w:rPr>
        <w:t xml:space="preserve">وهي </w:t>
      </w:r>
      <w:r w:rsidRPr="00FE4C18">
        <w:rPr>
          <w:rtl/>
        </w:rPr>
        <w:t xml:space="preserve">الأشهر </w:t>
      </w:r>
      <w:r>
        <w:rPr>
          <w:rtl/>
        </w:rPr>
        <w:t>ا</w:t>
      </w:r>
      <w:r w:rsidRPr="00FE4C18">
        <w:rPr>
          <w:rtl/>
        </w:rPr>
        <w:t xml:space="preserve">لثلاثة </w:t>
      </w:r>
      <w:r>
        <w:rPr>
          <w:rtl/>
        </w:rPr>
        <w:t>ا</w:t>
      </w:r>
      <w:r w:rsidRPr="00FE4C18">
        <w:rPr>
          <w:rtl/>
        </w:rPr>
        <w:t>لثالثة للحمل حت</w:t>
      </w:r>
      <w:r>
        <w:rPr>
          <w:rtl/>
        </w:rPr>
        <w:t>ى ي</w:t>
      </w:r>
      <w:r w:rsidRPr="00FE4C18">
        <w:rPr>
          <w:rtl/>
        </w:rPr>
        <w:t xml:space="preserve">وم </w:t>
      </w:r>
      <w:r>
        <w:rPr>
          <w:rtl/>
        </w:rPr>
        <w:t>ا</w:t>
      </w:r>
      <w:r w:rsidRPr="00FE4C18">
        <w:rPr>
          <w:rtl/>
        </w:rPr>
        <w:t>لولادة</w:t>
      </w:r>
      <w:r>
        <w:rPr>
          <w:rtl/>
        </w:rPr>
        <w:t xml:space="preserve"> </w:t>
      </w:r>
      <w:r>
        <w:rPr>
          <w:rFonts w:hint="cs"/>
          <w:rtl/>
        </w:rPr>
        <w:t>و</w:t>
      </w:r>
      <w:r>
        <w:rPr>
          <w:rtl/>
        </w:rPr>
        <w:t>ا</w:t>
      </w:r>
      <w:r w:rsidRPr="00FE4C18">
        <w:rPr>
          <w:rtl/>
        </w:rPr>
        <w:t>لوضع</w:t>
      </w:r>
      <w:r>
        <w:rPr>
          <w:rtl/>
        </w:rPr>
        <w:t xml:space="preserve"> و</w:t>
      </w:r>
      <w:r w:rsidRPr="00FE4C18">
        <w:rPr>
          <w:rtl/>
        </w:rPr>
        <w:t>تسل</w:t>
      </w:r>
      <w:r>
        <w:rPr>
          <w:rtl/>
        </w:rPr>
        <w:t>ي</w:t>
      </w:r>
      <w:r w:rsidRPr="00FE4C18">
        <w:rPr>
          <w:rtl/>
        </w:rPr>
        <w:t xml:space="preserve">م </w:t>
      </w:r>
      <w:r>
        <w:rPr>
          <w:rtl/>
        </w:rPr>
        <w:t>ا</w:t>
      </w:r>
      <w:r w:rsidRPr="00FE4C18">
        <w:rPr>
          <w:rtl/>
        </w:rPr>
        <w:t>ل</w:t>
      </w:r>
      <w:r>
        <w:rPr>
          <w:rtl/>
        </w:rPr>
        <w:t>ط</w:t>
      </w:r>
      <w:r w:rsidRPr="00FE4C18">
        <w:rPr>
          <w:rtl/>
        </w:rPr>
        <w:t xml:space="preserve">فل </w:t>
      </w:r>
      <w:r>
        <w:rPr>
          <w:rtl/>
        </w:rPr>
        <w:t>ا</w:t>
      </w:r>
      <w:r w:rsidRPr="00FE4C18">
        <w:rPr>
          <w:rtl/>
        </w:rPr>
        <w:t>لمولود</w:t>
      </w:r>
      <w:r>
        <w:rPr>
          <w:rtl/>
        </w:rPr>
        <w:t>.</w:t>
      </w:r>
      <w:r w:rsidRPr="00FE4C18">
        <w:rPr>
          <w:rtl/>
        </w:rPr>
        <w:t xml:space="preserve"> </w:t>
      </w:r>
    </w:p>
    <w:p w:rsidR="00391A35" w:rsidRPr="00FE4C18" w:rsidRDefault="00391A35" w:rsidP="0067362A">
      <w:pPr>
        <w:pStyle w:val="ac"/>
        <w:rPr>
          <w:rtl/>
        </w:rPr>
      </w:pPr>
      <w:r>
        <w:rPr>
          <w:rtl/>
        </w:rPr>
        <w:t>وي</w:t>
      </w:r>
      <w:r w:rsidRPr="00FE4C18">
        <w:rPr>
          <w:rtl/>
        </w:rPr>
        <w:t>ع</w:t>
      </w:r>
      <w:r>
        <w:rPr>
          <w:rtl/>
        </w:rPr>
        <w:t>يّ</w:t>
      </w:r>
      <w:r w:rsidRPr="00FE4C18">
        <w:rPr>
          <w:rtl/>
        </w:rPr>
        <w:t>ن رص</w:t>
      </w:r>
      <w:r>
        <w:rPr>
          <w:rtl/>
        </w:rPr>
        <w:t>ي</w:t>
      </w:r>
      <w:r w:rsidRPr="00FE4C18">
        <w:rPr>
          <w:rtl/>
        </w:rPr>
        <w:t>د</w:t>
      </w:r>
      <w:r>
        <w:rPr>
          <w:rtl/>
        </w:rPr>
        <w:t>ٌ</w:t>
      </w:r>
      <w:r w:rsidRPr="00FE4C18">
        <w:rPr>
          <w:rtl/>
        </w:rPr>
        <w:t xml:space="preserve"> خاص</w:t>
      </w:r>
      <w:r>
        <w:rPr>
          <w:rFonts w:hint="cs"/>
          <w:rtl/>
        </w:rPr>
        <w:t>ٌّ</w:t>
      </w:r>
      <w:r w:rsidRPr="00FE4C18">
        <w:rPr>
          <w:rtl/>
        </w:rPr>
        <w:t xml:space="preserve"> ل</w:t>
      </w:r>
      <w:r>
        <w:rPr>
          <w:rtl/>
        </w:rPr>
        <w:t>ك</w:t>
      </w:r>
      <w:r w:rsidRPr="00FE4C18">
        <w:rPr>
          <w:rtl/>
        </w:rPr>
        <w:t xml:space="preserve">ل مرحلة من </w:t>
      </w:r>
      <w:r>
        <w:rPr>
          <w:rtl/>
        </w:rPr>
        <w:t>ا</w:t>
      </w:r>
      <w:r w:rsidRPr="00FE4C18">
        <w:rPr>
          <w:rtl/>
        </w:rPr>
        <w:t xml:space="preserve">لمراحل </w:t>
      </w:r>
      <w:r>
        <w:rPr>
          <w:rtl/>
        </w:rPr>
        <w:t>ا</w:t>
      </w:r>
      <w:r w:rsidRPr="00FE4C18">
        <w:rPr>
          <w:rtl/>
        </w:rPr>
        <w:t>لمذ</w:t>
      </w:r>
      <w:r>
        <w:rPr>
          <w:rtl/>
        </w:rPr>
        <w:t>ك</w:t>
      </w:r>
      <w:r w:rsidRPr="00FE4C18">
        <w:rPr>
          <w:rtl/>
        </w:rPr>
        <w:t>ورة</w:t>
      </w:r>
      <w:r>
        <w:rPr>
          <w:rtl/>
        </w:rPr>
        <w:t>.</w:t>
      </w:r>
      <w:r w:rsidRPr="00FE4C18">
        <w:rPr>
          <w:rtl/>
        </w:rPr>
        <w:t xml:space="preserve"> </w:t>
      </w:r>
    </w:p>
    <w:p w:rsidR="00391A35" w:rsidRPr="00FE4C18" w:rsidRDefault="00391A35" w:rsidP="0067362A">
      <w:pPr>
        <w:pStyle w:val="ac"/>
        <w:rPr>
          <w:rtl/>
        </w:rPr>
      </w:pPr>
      <w:r w:rsidRPr="00FE4C18">
        <w:rPr>
          <w:rtl/>
        </w:rPr>
        <w:t>و ح</w:t>
      </w:r>
      <w:r>
        <w:rPr>
          <w:rtl/>
        </w:rPr>
        <w:t>ي</w:t>
      </w:r>
      <w:r w:rsidRPr="00FE4C18">
        <w:rPr>
          <w:rtl/>
        </w:rPr>
        <w:t xml:space="preserve">ن </w:t>
      </w:r>
      <w:r>
        <w:rPr>
          <w:rtl/>
        </w:rPr>
        <w:t>يك</w:t>
      </w:r>
      <w:r w:rsidRPr="00FE4C18">
        <w:rPr>
          <w:rtl/>
        </w:rPr>
        <w:t xml:space="preserve">ون </w:t>
      </w:r>
      <w:r>
        <w:rPr>
          <w:rtl/>
        </w:rPr>
        <w:t>ا</w:t>
      </w:r>
      <w:r w:rsidRPr="00FE4C18">
        <w:rPr>
          <w:rtl/>
        </w:rPr>
        <w:t>لمولود أ</w:t>
      </w:r>
      <w:r>
        <w:rPr>
          <w:rtl/>
        </w:rPr>
        <w:t>ك</w:t>
      </w:r>
      <w:r w:rsidRPr="00FE4C18">
        <w:rPr>
          <w:rtl/>
        </w:rPr>
        <w:t xml:space="preserve">ثر من واحد </w:t>
      </w:r>
      <w:r>
        <w:rPr>
          <w:rtl/>
        </w:rPr>
        <w:t>ي</w:t>
      </w:r>
      <w:r w:rsidRPr="00FE4C18">
        <w:rPr>
          <w:rtl/>
        </w:rPr>
        <w:t>ع</w:t>
      </w:r>
      <w:r>
        <w:rPr>
          <w:rtl/>
        </w:rPr>
        <w:t>يّ</w:t>
      </w:r>
      <w:r w:rsidRPr="00FE4C18">
        <w:rPr>
          <w:rtl/>
        </w:rPr>
        <w:t xml:space="preserve">ن مبلغ إضافي إزاء </w:t>
      </w:r>
      <w:r>
        <w:rPr>
          <w:rtl/>
        </w:rPr>
        <w:t>ك</w:t>
      </w:r>
      <w:r w:rsidRPr="00FE4C18">
        <w:rPr>
          <w:rtl/>
        </w:rPr>
        <w:t>ل طفل إضافي (عل</w:t>
      </w:r>
      <w:r>
        <w:rPr>
          <w:rtl/>
        </w:rPr>
        <w:t xml:space="preserve">ى </w:t>
      </w:r>
      <w:r w:rsidRPr="00FE4C18">
        <w:rPr>
          <w:rtl/>
        </w:rPr>
        <w:t>أساس</w:t>
      </w:r>
      <w:r w:rsidRPr="00DD383B">
        <w:rPr>
          <w:rtl/>
        </w:rPr>
        <w:t xml:space="preserve"> نموذج </w:t>
      </w:r>
      <w:r>
        <w:rPr>
          <w:rtl/>
        </w:rPr>
        <w:t>ا</w:t>
      </w:r>
      <w:r w:rsidRPr="00FE4C18">
        <w:rPr>
          <w:rtl/>
        </w:rPr>
        <w:t>لاتفاق</w:t>
      </w:r>
      <w:r>
        <w:rPr>
          <w:rtl/>
        </w:rPr>
        <w:t>ي</w:t>
      </w:r>
      <w:r w:rsidRPr="00FE4C18">
        <w:rPr>
          <w:rtl/>
        </w:rPr>
        <w:t>ة)</w:t>
      </w:r>
      <w:r>
        <w:rPr>
          <w:rtl/>
        </w:rPr>
        <w:t>.</w:t>
      </w:r>
      <w:r w:rsidRPr="00FE4C18">
        <w:rPr>
          <w:rtl/>
        </w:rPr>
        <w:t xml:space="preserve"> </w:t>
      </w:r>
    </w:p>
    <w:p w:rsidR="00391A35" w:rsidRPr="00FE4C18" w:rsidRDefault="00391A35" w:rsidP="00391A35">
      <w:pPr>
        <w:pStyle w:val="ac"/>
        <w:rPr>
          <w:rtl/>
        </w:rPr>
      </w:pPr>
      <w:r>
        <w:rPr>
          <w:rtl/>
        </w:rPr>
        <w:t>و</w:t>
      </w:r>
      <w:r w:rsidRPr="00FE4C18">
        <w:rPr>
          <w:rtl/>
        </w:rPr>
        <w:t xml:space="preserve">في هذا </w:t>
      </w:r>
      <w:r>
        <w:rPr>
          <w:rtl/>
        </w:rPr>
        <w:t>ا</w:t>
      </w:r>
      <w:r w:rsidRPr="00FE4C18">
        <w:rPr>
          <w:rtl/>
        </w:rPr>
        <w:t xml:space="preserve">لأسلوب تجري </w:t>
      </w:r>
      <w:r>
        <w:rPr>
          <w:rtl/>
        </w:rPr>
        <w:t>ا</w:t>
      </w:r>
      <w:r w:rsidRPr="00FE4C18">
        <w:rPr>
          <w:rtl/>
        </w:rPr>
        <w:t>لولادة عن طر</w:t>
      </w:r>
      <w:r>
        <w:rPr>
          <w:rtl/>
        </w:rPr>
        <w:t>ي</w:t>
      </w:r>
      <w:r w:rsidRPr="00FE4C18">
        <w:rPr>
          <w:rtl/>
        </w:rPr>
        <w:t xml:space="preserve">ق </w:t>
      </w:r>
      <w:r>
        <w:rPr>
          <w:rtl/>
        </w:rPr>
        <w:t>ا</w:t>
      </w:r>
      <w:r w:rsidRPr="00FE4C18">
        <w:rPr>
          <w:rtl/>
        </w:rPr>
        <w:t>لعمل</w:t>
      </w:r>
      <w:r>
        <w:rPr>
          <w:rtl/>
        </w:rPr>
        <w:t>يّ</w:t>
      </w:r>
      <w:r w:rsidRPr="00FE4C18">
        <w:rPr>
          <w:rtl/>
        </w:rPr>
        <w:t>ة</w:t>
      </w:r>
      <w:r>
        <w:rPr>
          <w:rtl/>
        </w:rPr>
        <w:t xml:space="preserve"> </w:t>
      </w:r>
      <w:r w:rsidRPr="00FE4C18">
        <w:rPr>
          <w:rtl/>
        </w:rPr>
        <w:t>‌</w:t>
      </w:r>
      <w:r>
        <w:rPr>
          <w:rtl/>
        </w:rPr>
        <w:t>ا</w:t>
      </w:r>
      <w:r w:rsidRPr="00FE4C18">
        <w:rPr>
          <w:rtl/>
        </w:rPr>
        <w:t>لق</w:t>
      </w:r>
      <w:r>
        <w:rPr>
          <w:rtl/>
        </w:rPr>
        <w:t>ي</w:t>
      </w:r>
      <w:r w:rsidRPr="00FE4C18">
        <w:rPr>
          <w:rtl/>
        </w:rPr>
        <w:t>صر</w:t>
      </w:r>
      <w:r>
        <w:rPr>
          <w:rtl/>
        </w:rPr>
        <w:t>يّ</w:t>
      </w:r>
      <w:r w:rsidRPr="00FE4C18">
        <w:rPr>
          <w:rtl/>
        </w:rPr>
        <w:t>ة</w:t>
      </w:r>
      <w:r w:rsidRPr="007F5B58">
        <w:rPr>
          <w:rtl/>
        </w:rPr>
        <w:t>،</w:t>
      </w:r>
      <w:r>
        <w:rPr>
          <w:rtl/>
        </w:rPr>
        <w:t xml:space="preserve"> و</w:t>
      </w:r>
      <w:r w:rsidRPr="00FE4C18">
        <w:rPr>
          <w:rtl/>
        </w:rPr>
        <w:t xml:space="preserve">لإجراء هذه </w:t>
      </w:r>
      <w:r>
        <w:rPr>
          <w:rtl/>
        </w:rPr>
        <w:lastRenderedPageBreak/>
        <w:t>ا</w:t>
      </w:r>
      <w:r w:rsidRPr="00FE4C18">
        <w:rPr>
          <w:rtl/>
        </w:rPr>
        <w:t>لعمل</w:t>
      </w:r>
      <w:r>
        <w:rPr>
          <w:rtl/>
        </w:rPr>
        <w:t>يّ</w:t>
      </w:r>
      <w:r w:rsidRPr="00FE4C18">
        <w:rPr>
          <w:rtl/>
        </w:rPr>
        <w:t xml:space="preserve">ة </w:t>
      </w:r>
      <w:r>
        <w:rPr>
          <w:rtl/>
        </w:rPr>
        <w:t>ي</w:t>
      </w:r>
      <w:r w:rsidRPr="00FE4C18">
        <w:rPr>
          <w:rtl/>
        </w:rPr>
        <w:t xml:space="preserve">وجد </w:t>
      </w:r>
      <w:r>
        <w:rPr>
          <w:rtl/>
        </w:rPr>
        <w:t>سببان</w:t>
      </w:r>
      <w:r w:rsidRPr="00FE4C18">
        <w:rPr>
          <w:rtl/>
        </w:rPr>
        <w:t xml:space="preserve"> أصل</w:t>
      </w:r>
      <w:r>
        <w:rPr>
          <w:rtl/>
        </w:rPr>
        <w:t>ي</w:t>
      </w:r>
      <w:r w:rsidRPr="00FE4C18">
        <w:rPr>
          <w:rtl/>
        </w:rPr>
        <w:t>ان</w:t>
      </w:r>
      <w:r w:rsidRPr="007F5B58">
        <w:rPr>
          <w:rtl/>
        </w:rPr>
        <w:t>:</w:t>
      </w:r>
      <w:r w:rsidRPr="00FE4C18">
        <w:rPr>
          <w:rtl/>
        </w:rPr>
        <w:t xml:space="preserve"> </w:t>
      </w:r>
    </w:p>
    <w:p w:rsidR="00391A35" w:rsidRPr="00FE4C18" w:rsidRDefault="00391A35" w:rsidP="00391A35">
      <w:pPr>
        <w:pStyle w:val="ac"/>
        <w:rPr>
          <w:rtl/>
        </w:rPr>
      </w:pPr>
      <w:r w:rsidRPr="00FE4C18">
        <w:rPr>
          <w:rtl/>
        </w:rPr>
        <w:t>1</w:t>
      </w:r>
      <w:r>
        <w:rPr>
          <w:rtl/>
        </w:rPr>
        <w:t xml:space="preserve">ـ </w:t>
      </w:r>
      <w:r w:rsidRPr="00FE4C18">
        <w:rPr>
          <w:rtl/>
        </w:rPr>
        <w:t>خفض نسبة</w:t>
      </w:r>
      <w:r>
        <w:rPr>
          <w:rtl/>
        </w:rPr>
        <w:t xml:space="preserve"> ا</w:t>
      </w:r>
      <w:r w:rsidRPr="00FE4C18">
        <w:rPr>
          <w:rtl/>
        </w:rPr>
        <w:t xml:space="preserve">لخطورة في زمن </w:t>
      </w:r>
      <w:r>
        <w:rPr>
          <w:rtl/>
        </w:rPr>
        <w:t>ا</w:t>
      </w:r>
      <w:r w:rsidRPr="00FE4C18">
        <w:rPr>
          <w:rtl/>
        </w:rPr>
        <w:t>لولادة</w:t>
      </w:r>
      <w:r>
        <w:rPr>
          <w:rtl/>
        </w:rPr>
        <w:t>.</w:t>
      </w:r>
      <w:r w:rsidRPr="00FE4C18">
        <w:rPr>
          <w:rtl/>
        </w:rPr>
        <w:t xml:space="preserve"> </w:t>
      </w:r>
    </w:p>
    <w:p w:rsidR="00391A35" w:rsidRPr="00FE4C18" w:rsidRDefault="00391A35" w:rsidP="00391A35">
      <w:pPr>
        <w:pStyle w:val="ac"/>
        <w:rPr>
          <w:rtl/>
        </w:rPr>
      </w:pPr>
      <w:r w:rsidRPr="00FE4C18">
        <w:rPr>
          <w:rtl/>
        </w:rPr>
        <w:t>2</w:t>
      </w:r>
      <w:r>
        <w:rPr>
          <w:rtl/>
        </w:rPr>
        <w:t>ـ</w:t>
      </w:r>
      <w:r w:rsidRPr="00FE4C18">
        <w:rPr>
          <w:rtl/>
        </w:rPr>
        <w:t xml:space="preserve"> </w:t>
      </w:r>
      <w:r>
        <w:rPr>
          <w:rtl/>
        </w:rPr>
        <w:t>ا</w:t>
      </w:r>
      <w:r w:rsidRPr="00FE4C18">
        <w:rPr>
          <w:rtl/>
        </w:rPr>
        <w:t>لدقة في تع</w:t>
      </w:r>
      <w:r>
        <w:rPr>
          <w:rtl/>
        </w:rPr>
        <w:t>يي</w:t>
      </w:r>
      <w:r w:rsidRPr="00FE4C18">
        <w:rPr>
          <w:rtl/>
        </w:rPr>
        <w:t xml:space="preserve">ن زمن </w:t>
      </w:r>
      <w:r>
        <w:rPr>
          <w:rtl/>
        </w:rPr>
        <w:t>ا</w:t>
      </w:r>
      <w:r w:rsidRPr="00FE4C18">
        <w:rPr>
          <w:rtl/>
        </w:rPr>
        <w:t>لولادة</w:t>
      </w:r>
      <w:r w:rsidRPr="007F5B58">
        <w:rPr>
          <w:rtl/>
        </w:rPr>
        <w:t>،</w:t>
      </w:r>
      <w:r>
        <w:rPr>
          <w:rtl/>
        </w:rPr>
        <w:t xml:space="preserve"> وا</w:t>
      </w:r>
      <w:r w:rsidRPr="00FE4C18">
        <w:rPr>
          <w:rtl/>
        </w:rPr>
        <w:t>لمنع من حصول مشا</w:t>
      </w:r>
      <w:r>
        <w:rPr>
          <w:rtl/>
        </w:rPr>
        <w:t>ك</w:t>
      </w:r>
      <w:r w:rsidRPr="00FE4C18">
        <w:rPr>
          <w:rtl/>
        </w:rPr>
        <w:t>ل</w:t>
      </w:r>
      <w:r w:rsidRPr="007F5B58">
        <w:rPr>
          <w:rtl/>
        </w:rPr>
        <w:t>،</w:t>
      </w:r>
      <w:r w:rsidRPr="00FE4C18">
        <w:rPr>
          <w:rtl/>
        </w:rPr>
        <w:t xml:space="preserve"> </w:t>
      </w:r>
      <w:r>
        <w:rPr>
          <w:rtl/>
        </w:rPr>
        <w:t>ك</w:t>
      </w:r>
      <w:r w:rsidRPr="00FE4C18">
        <w:rPr>
          <w:rtl/>
        </w:rPr>
        <w:t xml:space="preserve">إصدار شهادة‌ </w:t>
      </w:r>
      <w:r>
        <w:rPr>
          <w:rtl/>
        </w:rPr>
        <w:t>ا</w:t>
      </w:r>
      <w:r w:rsidRPr="00FE4C18">
        <w:rPr>
          <w:rtl/>
        </w:rPr>
        <w:t>لولادة</w:t>
      </w:r>
      <w:r w:rsidRPr="00815C4C">
        <w:rPr>
          <w:rFonts w:cs="Taher" w:hint="cs"/>
          <w:vertAlign w:val="superscript"/>
          <w:rtl/>
        </w:rPr>
        <w:t>(</w:t>
      </w:r>
      <w:r w:rsidRPr="00815C4C">
        <w:rPr>
          <w:rFonts w:cs="Taher"/>
          <w:vertAlign w:val="superscript"/>
          <w:rtl/>
        </w:rPr>
        <w:footnoteReference w:id="884"/>
      </w:r>
      <w:r w:rsidRPr="00815C4C">
        <w:rPr>
          <w:rFonts w:cs="Taher" w:hint="cs"/>
          <w:vertAlign w:val="superscript"/>
          <w:rtl/>
        </w:rPr>
        <w:t>)</w:t>
      </w:r>
      <w:r w:rsidRPr="007F5B58">
        <w:rPr>
          <w:rtl/>
        </w:rPr>
        <w:t>،</w:t>
      </w:r>
      <w:r>
        <w:rPr>
          <w:rtl/>
        </w:rPr>
        <w:t xml:space="preserve"> و</w:t>
      </w:r>
      <w:r w:rsidRPr="00FE4C18">
        <w:rPr>
          <w:rtl/>
        </w:rPr>
        <w:t>تسل</w:t>
      </w:r>
      <w:r>
        <w:rPr>
          <w:rtl/>
        </w:rPr>
        <w:t>ي</w:t>
      </w:r>
      <w:r w:rsidRPr="00FE4C18">
        <w:rPr>
          <w:rtl/>
        </w:rPr>
        <w:t xml:space="preserve">م </w:t>
      </w:r>
      <w:r>
        <w:rPr>
          <w:rtl/>
        </w:rPr>
        <w:t>ا</w:t>
      </w:r>
      <w:r w:rsidRPr="00FE4C18">
        <w:rPr>
          <w:rtl/>
        </w:rPr>
        <w:t xml:space="preserve">لطفل. </w:t>
      </w:r>
    </w:p>
    <w:p w:rsidR="00391A35" w:rsidRPr="00FE4C18" w:rsidRDefault="00391A35" w:rsidP="00391A35">
      <w:pPr>
        <w:pStyle w:val="ac"/>
        <w:rPr>
          <w:rtl/>
        </w:rPr>
      </w:pPr>
      <w:r>
        <w:rPr>
          <w:rtl/>
        </w:rPr>
        <w:t>و</w:t>
      </w:r>
      <w:r w:rsidRPr="00FE4C18">
        <w:rPr>
          <w:rtl/>
        </w:rPr>
        <w:t>نظراً إل</w:t>
      </w:r>
      <w:r>
        <w:rPr>
          <w:rtl/>
        </w:rPr>
        <w:t xml:space="preserve">ى </w:t>
      </w:r>
      <w:r w:rsidRPr="00FE4C18">
        <w:rPr>
          <w:rtl/>
        </w:rPr>
        <w:t xml:space="preserve">أنَّ </w:t>
      </w:r>
      <w:r>
        <w:rPr>
          <w:rtl/>
        </w:rPr>
        <w:t>ا</w:t>
      </w:r>
      <w:r w:rsidRPr="00FE4C18">
        <w:rPr>
          <w:rtl/>
        </w:rPr>
        <w:t>لولادة غ</w:t>
      </w:r>
      <w:r>
        <w:rPr>
          <w:rtl/>
        </w:rPr>
        <w:t>ي</w:t>
      </w:r>
      <w:r w:rsidRPr="00FE4C18">
        <w:rPr>
          <w:rtl/>
        </w:rPr>
        <w:t>ر طب</w:t>
      </w:r>
      <w:r>
        <w:rPr>
          <w:rtl/>
        </w:rPr>
        <w:t>ي</w:t>
      </w:r>
      <w:r w:rsidRPr="00FE4C18">
        <w:rPr>
          <w:rtl/>
        </w:rPr>
        <w:t>ع</w:t>
      </w:r>
      <w:r>
        <w:rPr>
          <w:rtl/>
        </w:rPr>
        <w:t>يّ</w:t>
      </w:r>
      <w:r w:rsidRPr="00FE4C18">
        <w:rPr>
          <w:rtl/>
        </w:rPr>
        <w:t xml:space="preserve">ة </w:t>
      </w:r>
      <w:r>
        <w:rPr>
          <w:rtl/>
        </w:rPr>
        <w:t>ي</w:t>
      </w:r>
      <w:r w:rsidRPr="00FE4C18">
        <w:rPr>
          <w:rtl/>
        </w:rPr>
        <w:t>تم إ</w:t>
      </w:r>
      <w:r>
        <w:rPr>
          <w:rtl/>
        </w:rPr>
        <w:t>ك</w:t>
      </w:r>
      <w:r w:rsidRPr="00FE4C18">
        <w:rPr>
          <w:rtl/>
        </w:rPr>
        <w:t xml:space="preserve">مال عقد </w:t>
      </w:r>
      <w:r>
        <w:rPr>
          <w:rtl/>
        </w:rPr>
        <w:t>ا</w:t>
      </w:r>
      <w:r w:rsidRPr="00FE4C18">
        <w:rPr>
          <w:rtl/>
        </w:rPr>
        <w:t>لاتفاق</w:t>
      </w:r>
      <w:r>
        <w:rPr>
          <w:rtl/>
        </w:rPr>
        <w:t>ي</w:t>
      </w:r>
      <w:r w:rsidRPr="00FE4C18">
        <w:rPr>
          <w:rtl/>
        </w:rPr>
        <w:t xml:space="preserve">ة بعد علاج صاحبة </w:t>
      </w:r>
      <w:r>
        <w:rPr>
          <w:rtl/>
        </w:rPr>
        <w:t>ا</w:t>
      </w:r>
      <w:r w:rsidRPr="00FE4C18">
        <w:rPr>
          <w:rtl/>
        </w:rPr>
        <w:t>لرحم</w:t>
      </w:r>
      <w:r>
        <w:rPr>
          <w:rtl/>
        </w:rPr>
        <w:t xml:space="preserve"> و</w:t>
      </w:r>
      <w:r w:rsidRPr="00FE4C18">
        <w:rPr>
          <w:rtl/>
        </w:rPr>
        <w:t>شفائها</w:t>
      </w:r>
      <w:r w:rsidRPr="007F5B58">
        <w:rPr>
          <w:rtl/>
        </w:rPr>
        <w:t>،</w:t>
      </w:r>
      <w:r>
        <w:rPr>
          <w:rtl/>
        </w:rPr>
        <w:t xml:space="preserve"> وي</w:t>
      </w:r>
      <w:r w:rsidRPr="00FE4C18">
        <w:rPr>
          <w:rtl/>
        </w:rPr>
        <w:t>جب عل</w:t>
      </w:r>
      <w:r>
        <w:rPr>
          <w:rtl/>
        </w:rPr>
        <w:t>ى ا</w:t>
      </w:r>
      <w:r w:rsidRPr="00FE4C18">
        <w:rPr>
          <w:rtl/>
        </w:rPr>
        <w:t>لزوج</w:t>
      </w:r>
      <w:r>
        <w:rPr>
          <w:rtl/>
        </w:rPr>
        <w:t>ي</w:t>
      </w:r>
      <w:r w:rsidRPr="00FE4C18">
        <w:rPr>
          <w:rtl/>
        </w:rPr>
        <w:t xml:space="preserve">ن </w:t>
      </w:r>
      <w:r>
        <w:rPr>
          <w:rtl/>
        </w:rPr>
        <w:t>ا</w:t>
      </w:r>
      <w:r w:rsidRPr="00FE4C18">
        <w:rPr>
          <w:rtl/>
        </w:rPr>
        <w:t>لعاقر</w:t>
      </w:r>
      <w:r>
        <w:rPr>
          <w:rtl/>
        </w:rPr>
        <w:t>ي</w:t>
      </w:r>
      <w:r w:rsidRPr="00FE4C18">
        <w:rPr>
          <w:rtl/>
        </w:rPr>
        <w:t>ن دفع جم</w:t>
      </w:r>
      <w:r>
        <w:rPr>
          <w:rtl/>
        </w:rPr>
        <w:t>ي</w:t>
      </w:r>
      <w:r w:rsidRPr="00FE4C18">
        <w:rPr>
          <w:rtl/>
        </w:rPr>
        <w:t>ع مصار</w:t>
      </w:r>
      <w:r>
        <w:rPr>
          <w:rtl/>
        </w:rPr>
        <w:t>ي</w:t>
      </w:r>
      <w:r w:rsidRPr="00FE4C18">
        <w:rPr>
          <w:rtl/>
        </w:rPr>
        <w:t xml:space="preserve">ف </w:t>
      </w:r>
      <w:r>
        <w:rPr>
          <w:rtl/>
        </w:rPr>
        <w:t>ا</w:t>
      </w:r>
      <w:r w:rsidRPr="00FE4C18">
        <w:rPr>
          <w:rtl/>
        </w:rPr>
        <w:t>لعمل</w:t>
      </w:r>
      <w:r>
        <w:rPr>
          <w:rtl/>
        </w:rPr>
        <w:t>يّ</w:t>
      </w:r>
      <w:r w:rsidRPr="00FE4C18">
        <w:rPr>
          <w:rtl/>
        </w:rPr>
        <w:t>ة</w:t>
      </w:r>
      <w:r>
        <w:rPr>
          <w:rtl/>
        </w:rPr>
        <w:t xml:space="preserve"> وا</w:t>
      </w:r>
      <w:r w:rsidRPr="00FE4C18">
        <w:rPr>
          <w:rtl/>
        </w:rPr>
        <w:t>لعلاج</w:t>
      </w:r>
      <w:r w:rsidRPr="007F5B58">
        <w:rPr>
          <w:rtl/>
        </w:rPr>
        <w:t>،</w:t>
      </w:r>
      <w:r>
        <w:rPr>
          <w:rtl/>
        </w:rPr>
        <w:t xml:space="preserve"> وك</w:t>
      </w:r>
      <w:r w:rsidRPr="00FE4C18">
        <w:rPr>
          <w:rtl/>
        </w:rPr>
        <w:t>ذل</w:t>
      </w:r>
      <w:r>
        <w:rPr>
          <w:rtl/>
        </w:rPr>
        <w:t>ك</w:t>
      </w:r>
      <w:r w:rsidRPr="00FE4C18">
        <w:rPr>
          <w:rtl/>
        </w:rPr>
        <w:t xml:space="preserve"> مصار</w:t>
      </w:r>
      <w:r>
        <w:rPr>
          <w:rtl/>
        </w:rPr>
        <w:t>ي</w:t>
      </w:r>
      <w:r w:rsidRPr="00FE4C18">
        <w:rPr>
          <w:rtl/>
        </w:rPr>
        <w:t xml:space="preserve">ف </w:t>
      </w:r>
      <w:r>
        <w:rPr>
          <w:rtl/>
        </w:rPr>
        <w:t>ا</w:t>
      </w:r>
      <w:r w:rsidRPr="00FE4C18">
        <w:rPr>
          <w:rtl/>
        </w:rPr>
        <w:t>ل</w:t>
      </w:r>
      <w:r>
        <w:rPr>
          <w:rtl/>
        </w:rPr>
        <w:t>إ</w:t>
      </w:r>
      <w:r w:rsidRPr="00FE4C18">
        <w:rPr>
          <w:rtl/>
        </w:rPr>
        <w:t xml:space="preserve">قامة في </w:t>
      </w:r>
      <w:r>
        <w:rPr>
          <w:rtl/>
        </w:rPr>
        <w:t>ا</w:t>
      </w:r>
      <w:r w:rsidRPr="00FE4C18">
        <w:rPr>
          <w:rtl/>
        </w:rPr>
        <w:t>لمستشف</w:t>
      </w:r>
      <w:r>
        <w:rPr>
          <w:rtl/>
        </w:rPr>
        <w:t>ى.</w:t>
      </w:r>
      <w:r w:rsidRPr="00FE4C18">
        <w:rPr>
          <w:rtl/>
        </w:rPr>
        <w:t xml:space="preserve"> </w:t>
      </w:r>
    </w:p>
    <w:p w:rsidR="00391A35" w:rsidRPr="00FE4C18" w:rsidRDefault="00391A35" w:rsidP="00391A35">
      <w:pPr>
        <w:pStyle w:val="ac"/>
        <w:rPr>
          <w:rtl/>
        </w:rPr>
      </w:pPr>
      <w:r>
        <w:rPr>
          <w:rtl/>
        </w:rPr>
        <w:t xml:space="preserve">ومن الجدير </w:t>
      </w:r>
      <w:r w:rsidRPr="00FE4C18">
        <w:rPr>
          <w:rtl/>
        </w:rPr>
        <w:t>بالذ</w:t>
      </w:r>
      <w:r>
        <w:rPr>
          <w:rtl/>
        </w:rPr>
        <w:t>ك</w:t>
      </w:r>
      <w:r w:rsidRPr="00FE4C18">
        <w:rPr>
          <w:rtl/>
        </w:rPr>
        <w:t xml:space="preserve">ر أنّه </w:t>
      </w:r>
      <w:r>
        <w:rPr>
          <w:rtl/>
        </w:rPr>
        <w:t>ي</w:t>
      </w:r>
      <w:r w:rsidRPr="00FE4C18">
        <w:rPr>
          <w:rtl/>
        </w:rPr>
        <w:t>م</w:t>
      </w:r>
      <w:r>
        <w:rPr>
          <w:rtl/>
        </w:rPr>
        <w:t>ك</w:t>
      </w:r>
      <w:r w:rsidRPr="00FE4C18">
        <w:rPr>
          <w:rtl/>
        </w:rPr>
        <w:t>ن</w:t>
      </w:r>
      <w:r w:rsidRPr="007F5B58">
        <w:rPr>
          <w:rtl/>
        </w:rPr>
        <w:t>،</w:t>
      </w:r>
      <w:r w:rsidRPr="00FE4C18">
        <w:rPr>
          <w:rtl/>
        </w:rPr>
        <w:t xml:space="preserve"> بموجب اتفاق </w:t>
      </w:r>
      <w:r>
        <w:rPr>
          <w:rtl/>
        </w:rPr>
        <w:t>ا</w:t>
      </w:r>
      <w:r w:rsidRPr="00FE4C18">
        <w:rPr>
          <w:rtl/>
        </w:rPr>
        <w:t>لطرف</w:t>
      </w:r>
      <w:r>
        <w:rPr>
          <w:rtl/>
        </w:rPr>
        <w:t>ي</w:t>
      </w:r>
      <w:r w:rsidRPr="00FE4C18">
        <w:rPr>
          <w:rtl/>
        </w:rPr>
        <w:t>ن</w:t>
      </w:r>
      <w:r w:rsidRPr="007F5B58">
        <w:rPr>
          <w:rtl/>
        </w:rPr>
        <w:t>،</w:t>
      </w:r>
      <w:r w:rsidRPr="00FE4C18">
        <w:rPr>
          <w:rtl/>
        </w:rPr>
        <w:t xml:space="preserve"> تع</w:t>
      </w:r>
      <w:r>
        <w:rPr>
          <w:rtl/>
        </w:rPr>
        <w:t>يي</w:t>
      </w:r>
      <w:r w:rsidRPr="00FE4C18">
        <w:rPr>
          <w:rtl/>
        </w:rPr>
        <w:t>ن التزامات أخر</w:t>
      </w:r>
      <w:r>
        <w:rPr>
          <w:rtl/>
        </w:rPr>
        <w:t xml:space="preserve">ى </w:t>
      </w:r>
      <w:r w:rsidRPr="00FE4C18">
        <w:rPr>
          <w:rtl/>
        </w:rPr>
        <w:t xml:space="preserve">لصاحبة </w:t>
      </w:r>
      <w:r>
        <w:rPr>
          <w:rtl/>
        </w:rPr>
        <w:t>ا</w:t>
      </w:r>
      <w:r w:rsidRPr="00FE4C18">
        <w:rPr>
          <w:rtl/>
        </w:rPr>
        <w:t xml:space="preserve">لرحم في </w:t>
      </w:r>
      <w:r>
        <w:rPr>
          <w:rtl/>
        </w:rPr>
        <w:t>ا</w:t>
      </w:r>
      <w:r w:rsidRPr="00FE4C18">
        <w:rPr>
          <w:rtl/>
        </w:rPr>
        <w:t>لاتفاق</w:t>
      </w:r>
      <w:r>
        <w:rPr>
          <w:rtl/>
        </w:rPr>
        <w:t>يّ</w:t>
      </w:r>
      <w:r w:rsidRPr="00FE4C18">
        <w:rPr>
          <w:rtl/>
        </w:rPr>
        <w:t>ة</w:t>
      </w:r>
      <w:r w:rsidRPr="007F5B58">
        <w:rPr>
          <w:rtl/>
        </w:rPr>
        <w:t>،</w:t>
      </w:r>
      <w:r w:rsidRPr="00FE4C18">
        <w:rPr>
          <w:rtl/>
        </w:rPr>
        <w:t xml:space="preserve"> إضافة إل</w:t>
      </w:r>
      <w:r>
        <w:rPr>
          <w:rtl/>
        </w:rPr>
        <w:t xml:space="preserve">ى </w:t>
      </w:r>
      <w:r w:rsidRPr="00FE4C18">
        <w:rPr>
          <w:rtl/>
        </w:rPr>
        <w:t xml:space="preserve">حمل </w:t>
      </w:r>
      <w:r>
        <w:rPr>
          <w:rtl/>
        </w:rPr>
        <w:t>ا</w:t>
      </w:r>
      <w:r w:rsidRPr="00FE4C18">
        <w:rPr>
          <w:rtl/>
        </w:rPr>
        <w:t>لجن</w:t>
      </w:r>
      <w:r>
        <w:rPr>
          <w:rtl/>
        </w:rPr>
        <w:t>ي</w:t>
      </w:r>
      <w:r w:rsidRPr="00FE4C18">
        <w:rPr>
          <w:rtl/>
        </w:rPr>
        <w:t>ن</w:t>
      </w:r>
      <w:r>
        <w:rPr>
          <w:rtl/>
        </w:rPr>
        <w:t>.</w:t>
      </w:r>
      <w:r w:rsidRPr="00FE4C18">
        <w:rPr>
          <w:rtl/>
        </w:rPr>
        <w:t xml:space="preserve"> </w:t>
      </w:r>
    </w:p>
    <w:p w:rsidR="00391A35" w:rsidRPr="0067362A" w:rsidRDefault="00391A35" w:rsidP="0067362A">
      <w:pPr>
        <w:pStyle w:val="afffffc"/>
        <w:rPr>
          <w:sz w:val="18"/>
          <w:szCs w:val="16"/>
          <w:rtl/>
        </w:rPr>
      </w:pPr>
    </w:p>
    <w:p w:rsidR="00391A35" w:rsidRPr="0008200D" w:rsidRDefault="00391A35" w:rsidP="0067362A">
      <w:pPr>
        <w:pStyle w:val="2"/>
        <w:rPr>
          <w:rtl/>
        </w:rPr>
      </w:pPr>
      <w:bookmarkStart w:id="482" w:name="_Toc275128189"/>
      <w:r w:rsidRPr="0008200D">
        <w:rPr>
          <w:rtl/>
        </w:rPr>
        <w:t>3</w:t>
      </w:r>
      <w:r>
        <w:rPr>
          <w:rtl/>
        </w:rPr>
        <w:t>ـ</w:t>
      </w:r>
      <w:r w:rsidRPr="0008200D">
        <w:rPr>
          <w:rtl/>
        </w:rPr>
        <w:t xml:space="preserve"> الحالة الحقوقيّة لاتفاقية </w:t>
      </w:r>
      <w:r>
        <w:rPr>
          <w:rFonts w:hint="cs"/>
          <w:rtl/>
        </w:rPr>
        <w:t>ا</w:t>
      </w:r>
      <w:r w:rsidRPr="0008200D">
        <w:rPr>
          <w:rtl/>
        </w:rPr>
        <w:t>ستخدام رحم المرأة‌</w:t>
      </w:r>
      <w:bookmarkEnd w:id="482"/>
      <w:r w:rsidRPr="0008200D">
        <w:rPr>
          <w:rtl/>
        </w:rPr>
        <w:t xml:space="preserve"> </w:t>
      </w:r>
    </w:p>
    <w:p w:rsidR="00391A35" w:rsidRPr="00FE4C18" w:rsidRDefault="00391A35" w:rsidP="00391A35">
      <w:pPr>
        <w:pStyle w:val="ac"/>
        <w:rPr>
          <w:rtl/>
        </w:rPr>
      </w:pPr>
      <w:r w:rsidRPr="00FE4C18">
        <w:rPr>
          <w:rtl/>
        </w:rPr>
        <w:t xml:space="preserve">القصد من </w:t>
      </w:r>
      <w:r>
        <w:rPr>
          <w:rtl/>
        </w:rPr>
        <w:t>ا</w:t>
      </w:r>
      <w:r w:rsidRPr="00FE4C18">
        <w:rPr>
          <w:rtl/>
        </w:rPr>
        <w:t xml:space="preserve">لحالة </w:t>
      </w:r>
      <w:r>
        <w:rPr>
          <w:rtl/>
        </w:rPr>
        <w:t>ا</w:t>
      </w:r>
      <w:r w:rsidRPr="00FE4C18">
        <w:rPr>
          <w:rtl/>
        </w:rPr>
        <w:t>لحقوق</w:t>
      </w:r>
      <w:r>
        <w:rPr>
          <w:rtl/>
        </w:rPr>
        <w:t>يّ</w:t>
      </w:r>
      <w:r w:rsidRPr="00FE4C18">
        <w:rPr>
          <w:rtl/>
        </w:rPr>
        <w:t xml:space="preserve">ة هو </w:t>
      </w:r>
      <w:r>
        <w:rPr>
          <w:rtl/>
        </w:rPr>
        <w:t>ا</w:t>
      </w:r>
      <w:r w:rsidRPr="00FE4C18">
        <w:rPr>
          <w:rtl/>
        </w:rPr>
        <w:t>لح</w:t>
      </w:r>
      <w:r>
        <w:rPr>
          <w:rtl/>
        </w:rPr>
        <w:t>ك</w:t>
      </w:r>
      <w:r w:rsidRPr="00FE4C18">
        <w:rPr>
          <w:rtl/>
        </w:rPr>
        <w:t xml:space="preserve">م </w:t>
      </w:r>
      <w:r>
        <w:rPr>
          <w:rtl/>
        </w:rPr>
        <w:t>ا</w:t>
      </w:r>
      <w:r w:rsidRPr="00FE4C18">
        <w:rPr>
          <w:rtl/>
        </w:rPr>
        <w:t xml:space="preserve">لوضعي </w:t>
      </w:r>
      <w:r>
        <w:rPr>
          <w:rtl/>
        </w:rPr>
        <w:t>ا</w:t>
      </w:r>
      <w:r w:rsidRPr="00FE4C18">
        <w:rPr>
          <w:rtl/>
        </w:rPr>
        <w:t xml:space="preserve">لذي </w:t>
      </w:r>
      <w:r>
        <w:rPr>
          <w:rtl/>
        </w:rPr>
        <w:t>ي</w:t>
      </w:r>
      <w:r w:rsidRPr="00FE4C18">
        <w:rPr>
          <w:rtl/>
        </w:rPr>
        <w:t>ثبت للعقد</w:t>
      </w:r>
      <w:r w:rsidRPr="007F5B58">
        <w:rPr>
          <w:rtl/>
        </w:rPr>
        <w:t>،</w:t>
      </w:r>
      <w:r>
        <w:rPr>
          <w:rtl/>
        </w:rPr>
        <w:t xml:space="preserve"> و</w:t>
      </w:r>
      <w:r w:rsidRPr="00FE4C18">
        <w:rPr>
          <w:rtl/>
        </w:rPr>
        <w:t>للتعهّد</w:t>
      </w:r>
      <w:r>
        <w:rPr>
          <w:rtl/>
        </w:rPr>
        <w:t xml:space="preserve"> وا</w:t>
      </w:r>
      <w:r w:rsidRPr="00FE4C18">
        <w:rPr>
          <w:rtl/>
        </w:rPr>
        <w:t>لالتزام بتبعه</w:t>
      </w:r>
      <w:r w:rsidRPr="007F5B58">
        <w:rPr>
          <w:rtl/>
        </w:rPr>
        <w:t>،</w:t>
      </w:r>
      <w:r>
        <w:rPr>
          <w:rtl/>
        </w:rPr>
        <w:t xml:space="preserve"> وي</w:t>
      </w:r>
      <w:r w:rsidRPr="00FE4C18">
        <w:rPr>
          <w:rtl/>
        </w:rPr>
        <w:t>م</w:t>
      </w:r>
      <w:r>
        <w:rPr>
          <w:rtl/>
        </w:rPr>
        <w:t>ك</w:t>
      </w:r>
      <w:r w:rsidRPr="00FE4C18">
        <w:rPr>
          <w:rtl/>
        </w:rPr>
        <w:t>ن أن ت</w:t>
      </w:r>
      <w:r>
        <w:rPr>
          <w:rtl/>
        </w:rPr>
        <w:t>ك</w:t>
      </w:r>
      <w:r w:rsidRPr="00FE4C18">
        <w:rPr>
          <w:rtl/>
        </w:rPr>
        <w:t xml:space="preserve">ون </w:t>
      </w:r>
      <w:r>
        <w:rPr>
          <w:rtl/>
        </w:rPr>
        <w:t>ا</w:t>
      </w:r>
      <w:r w:rsidRPr="00FE4C18">
        <w:rPr>
          <w:rtl/>
        </w:rPr>
        <w:t>لأح</w:t>
      </w:r>
      <w:r>
        <w:rPr>
          <w:rtl/>
        </w:rPr>
        <w:t>ك</w:t>
      </w:r>
      <w:r w:rsidRPr="00FE4C18">
        <w:rPr>
          <w:rtl/>
        </w:rPr>
        <w:t xml:space="preserve">ام </w:t>
      </w:r>
      <w:r>
        <w:rPr>
          <w:rtl/>
        </w:rPr>
        <w:t>ا</w:t>
      </w:r>
      <w:r w:rsidRPr="00FE4C18">
        <w:rPr>
          <w:rtl/>
        </w:rPr>
        <w:t xml:space="preserve">لثلاثة </w:t>
      </w:r>
      <w:r>
        <w:rPr>
          <w:rtl/>
        </w:rPr>
        <w:t>ا</w:t>
      </w:r>
      <w:r w:rsidRPr="00FE4C18">
        <w:rPr>
          <w:rtl/>
        </w:rPr>
        <w:t>لتال</w:t>
      </w:r>
      <w:r>
        <w:rPr>
          <w:rtl/>
        </w:rPr>
        <w:t>ي</w:t>
      </w:r>
      <w:r w:rsidRPr="00FE4C18">
        <w:rPr>
          <w:rtl/>
        </w:rPr>
        <w:t xml:space="preserve">ة شاملة لعقد </w:t>
      </w:r>
      <w:r>
        <w:rPr>
          <w:rtl/>
        </w:rPr>
        <w:t>ا</w:t>
      </w:r>
      <w:r w:rsidRPr="00FE4C18">
        <w:rPr>
          <w:rtl/>
        </w:rPr>
        <w:t>لاتفاق</w:t>
      </w:r>
      <w:r>
        <w:rPr>
          <w:rtl/>
        </w:rPr>
        <w:t>ي</w:t>
      </w:r>
      <w:r w:rsidRPr="00FE4C18">
        <w:rPr>
          <w:rtl/>
        </w:rPr>
        <w:t>ة</w:t>
      </w:r>
      <w:r w:rsidRPr="007F5B58">
        <w:rPr>
          <w:rtl/>
        </w:rPr>
        <w:t>:</w:t>
      </w:r>
      <w:r w:rsidRPr="00FE4C18">
        <w:rPr>
          <w:rtl/>
        </w:rPr>
        <w:t xml:space="preserve"> الصحّة‌</w:t>
      </w:r>
      <w:r w:rsidRPr="007F5B58">
        <w:rPr>
          <w:rtl/>
        </w:rPr>
        <w:t>؛</w:t>
      </w:r>
      <w:r>
        <w:rPr>
          <w:rtl/>
        </w:rPr>
        <w:t xml:space="preserve"> وا</w:t>
      </w:r>
      <w:r w:rsidRPr="00FE4C18">
        <w:rPr>
          <w:rtl/>
        </w:rPr>
        <w:t>لبطلان</w:t>
      </w:r>
      <w:r w:rsidRPr="007F5B58">
        <w:rPr>
          <w:rtl/>
        </w:rPr>
        <w:t>؛</w:t>
      </w:r>
      <w:r>
        <w:rPr>
          <w:rtl/>
        </w:rPr>
        <w:t xml:space="preserve"> و</w:t>
      </w:r>
      <w:r w:rsidRPr="00FE4C18">
        <w:rPr>
          <w:rtl/>
        </w:rPr>
        <w:t xml:space="preserve">عدم </w:t>
      </w:r>
      <w:r>
        <w:rPr>
          <w:rtl/>
        </w:rPr>
        <w:t>ا</w:t>
      </w:r>
      <w:r w:rsidRPr="00FE4C18">
        <w:rPr>
          <w:rtl/>
        </w:rPr>
        <w:t>ل</w:t>
      </w:r>
      <w:r>
        <w:rPr>
          <w:rtl/>
        </w:rPr>
        <w:t>تـن</w:t>
      </w:r>
      <w:r w:rsidRPr="00FE4C18">
        <w:rPr>
          <w:rtl/>
        </w:rPr>
        <w:t>ف</w:t>
      </w:r>
      <w:r>
        <w:rPr>
          <w:rtl/>
        </w:rPr>
        <w:t>ي</w:t>
      </w:r>
      <w:r w:rsidRPr="00FE4C18">
        <w:rPr>
          <w:rtl/>
        </w:rPr>
        <w:t>ذ</w:t>
      </w:r>
      <w:r>
        <w:rPr>
          <w:rtl/>
        </w:rPr>
        <w:t>.</w:t>
      </w:r>
      <w:r w:rsidRPr="00FE4C18">
        <w:rPr>
          <w:rtl/>
        </w:rPr>
        <w:t xml:space="preserve"> </w:t>
      </w:r>
    </w:p>
    <w:p w:rsidR="00391A35" w:rsidRPr="00FE4C18" w:rsidRDefault="00391A35" w:rsidP="00391A35">
      <w:pPr>
        <w:pStyle w:val="ac"/>
        <w:rPr>
          <w:rtl/>
        </w:rPr>
      </w:pPr>
      <w:r w:rsidRPr="00FE4C18">
        <w:rPr>
          <w:rtl/>
        </w:rPr>
        <w:t xml:space="preserve">العقد </w:t>
      </w:r>
      <w:r>
        <w:rPr>
          <w:rtl/>
        </w:rPr>
        <w:t>ا</w:t>
      </w:r>
      <w:r w:rsidRPr="00FE4C18">
        <w:rPr>
          <w:rtl/>
        </w:rPr>
        <w:t xml:space="preserve">لذي </w:t>
      </w:r>
      <w:r>
        <w:rPr>
          <w:rtl/>
        </w:rPr>
        <w:t>ي</w:t>
      </w:r>
      <w:r w:rsidRPr="00FE4C18">
        <w:rPr>
          <w:rtl/>
        </w:rPr>
        <w:t xml:space="preserve">زوّد بهذه </w:t>
      </w:r>
      <w:r>
        <w:rPr>
          <w:rtl/>
        </w:rPr>
        <w:t>ا</w:t>
      </w:r>
      <w:r w:rsidRPr="00FE4C18">
        <w:rPr>
          <w:rtl/>
        </w:rPr>
        <w:t>لأح</w:t>
      </w:r>
      <w:r>
        <w:rPr>
          <w:rtl/>
        </w:rPr>
        <w:t>ك</w:t>
      </w:r>
      <w:r w:rsidRPr="00FE4C18">
        <w:rPr>
          <w:rtl/>
        </w:rPr>
        <w:t xml:space="preserve">ام </w:t>
      </w:r>
      <w:r>
        <w:rPr>
          <w:rtl/>
        </w:rPr>
        <w:t>ا</w:t>
      </w:r>
      <w:r w:rsidRPr="00FE4C18">
        <w:rPr>
          <w:rtl/>
        </w:rPr>
        <w:t>لثلاثة له أح</w:t>
      </w:r>
      <w:r>
        <w:rPr>
          <w:rtl/>
        </w:rPr>
        <w:t>ك</w:t>
      </w:r>
      <w:r w:rsidRPr="00FE4C18">
        <w:rPr>
          <w:rtl/>
        </w:rPr>
        <w:t>ام</w:t>
      </w:r>
      <w:r>
        <w:rPr>
          <w:rtl/>
        </w:rPr>
        <w:t xml:space="preserve"> و</w:t>
      </w:r>
      <w:r w:rsidRPr="00FE4C18">
        <w:rPr>
          <w:rtl/>
        </w:rPr>
        <w:t>مواز</w:t>
      </w:r>
      <w:r>
        <w:rPr>
          <w:rtl/>
        </w:rPr>
        <w:t>ي</w:t>
      </w:r>
      <w:r w:rsidRPr="00FE4C18">
        <w:rPr>
          <w:rtl/>
        </w:rPr>
        <w:t>ن قانون</w:t>
      </w:r>
      <w:r>
        <w:rPr>
          <w:rtl/>
        </w:rPr>
        <w:t>يّ</w:t>
      </w:r>
      <w:r w:rsidRPr="00FE4C18">
        <w:rPr>
          <w:rtl/>
        </w:rPr>
        <w:t>ة خاصّة تُع</w:t>
      </w:r>
      <w:r>
        <w:rPr>
          <w:rtl/>
        </w:rPr>
        <w:t>يّ</w:t>
      </w:r>
      <w:r w:rsidRPr="00FE4C18">
        <w:rPr>
          <w:rtl/>
        </w:rPr>
        <w:t xml:space="preserve">ن </w:t>
      </w:r>
      <w:r>
        <w:rPr>
          <w:rtl/>
        </w:rPr>
        <w:t>ا</w:t>
      </w:r>
      <w:r w:rsidRPr="00FE4C18">
        <w:rPr>
          <w:rtl/>
        </w:rPr>
        <w:t xml:space="preserve">لعلاقات </w:t>
      </w:r>
      <w:r>
        <w:rPr>
          <w:rtl/>
        </w:rPr>
        <w:t>ا</w:t>
      </w:r>
      <w:r w:rsidRPr="00FE4C18">
        <w:rPr>
          <w:rtl/>
        </w:rPr>
        <w:t>لحقوق</w:t>
      </w:r>
      <w:r>
        <w:rPr>
          <w:rtl/>
        </w:rPr>
        <w:t>يّ</w:t>
      </w:r>
      <w:r w:rsidRPr="00FE4C18">
        <w:rPr>
          <w:rtl/>
        </w:rPr>
        <w:t>ة لطرف</w:t>
      </w:r>
      <w:r>
        <w:rPr>
          <w:rtl/>
        </w:rPr>
        <w:t>ي</w:t>
      </w:r>
      <w:r w:rsidRPr="00FE4C18">
        <w:rPr>
          <w:rtl/>
        </w:rPr>
        <w:t>ه</w:t>
      </w:r>
      <w:r>
        <w:rPr>
          <w:rtl/>
        </w:rPr>
        <w:t>.</w:t>
      </w:r>
      <w:r w:rsidRPr="00FE4C18">
        <w:rPr>
          <w:rtl/>
        </w:rPr>
        <w:t xml:space="preserve"> </w:t>
      </w:r>
      <w:r>
        <w:rPr>
          <w:rtl/>
        </w:rPr>
        <w:t>و</w:t>
      </w:r>
      <w:r w:rsidRPr="00FE4C18">
        <w:rPr>
          <w:rtl/>
        </w:rPr>
        <w:t>لاعتبار</w:t>
      </w:r>
      <w:r>
        <w:rPr>
          <w:rtl/>
        </w:rPr>
        <w:t>يّ</w:t>
      </w:r>
      <w:r w:rsidRPr="00FE4C18">
        <w:rPr>
          <w:rtl/>
        </w:rPr>
        <w:t xml:space="preserve">ة هذه </w:t>
      </w:r>
      <w:r>
        <w:rPr>
          <w:rtl/>
        </w:rPr>
        <w:t>ا</w:t>
      </w:r>
      <w:r w:rsidRPr="00FE4C18">
        <w:rPr>
          <w:rtl/>
        </w:rPr>
        <w:t>لاتفاق</w:t>
      </w:r>
      <w:r>
        <w:rPr>
          <w:rtl/>
        </w:rPr>
        <w:t>ي</w:t>
      </w:r>
      <w:r w:rsidRPr="00FE4C18">
        <w:rPr>
          <w:rtl/>
        </w:rPr>
        <w:t xml:space="preserve">ة </w:t>
      </w:r>
      <w:r>
        <w:rPr>
          <w:rtl/>
        </w:rPr>
        <w:t>ـ ك</w:t>
      </w:r>
      <w:r w:rsidRPr="00FE4C18">
        <w:rPr>
          <w:rtl/>
        </w:rPr>
        <w:t xml:space="preserve">سائر </w:t>
      </w:r>
      <w:r>
        <w:rPr>
          <w:rtl/>
        </w:rPr>
        <w:t>ا</w:t>
      </w:r>
      <w:r w:rsidRPr="00FE4C18">
        <w:rPr>
          <w:rtl/>
        </w:rPr>
        <w:t>لاتفاق</w:t>
      </w:r>
      <w:r>
        <w:rPr>
          <w:rtl/>
        </w:rPr>
        <w:t>ي</w:t>
      </w:r>
      <w:r w:rsidRPr="00FE4C18">
        <w:rPr>
          <w:rtl/>
        </w:rPr>
        <w:t xml:space="preserve">ات </w:t>
      </w:r>
      <w:r>
        <w:rPr>
          <w:rtl/>
        </w:rPr>
        <w:t>ـ ا</w:t>
      </w:r>
      <w:r w:rsidRPr="00FE4C18">
        <w:rPr>
          <w:rtl/>
        </w:rPr>
        <w:t xml:space="preserve">لتي </w:t>
      </w:r>
      <w:r>
        <w:rPr>
          <w:rtl/>
        </w:rPr>
        <w:t>تـن</w:t>
      </w:r>
      <w:r w:rsidRPr="00FE4C18">
        <w:rPr>
          <w:rtl/>
        </w:rPr>
        <w:t xml:space="preserve">شئ </w:t>
      </w:r>
      <w:r>
        <w:rPr>
          <w:rFonts w:hint="cs"/>
          <w:rtl/>
        </w:rPr>
        <w:t xml:space="preserve">ـ </w:t>
      </w:r>
      <w:r w:rsidRPr="00FE4C18">
        <w:rPr>
          <w:rtl/>
        </w:rPr>
        <w:t xml:space="preserve">من </w:t>
      </w:r>
      <w:r>
        <w:rPr>
          <w:rtl/>
        </w:rPr>
        <w:t>ا</w:t>
      </w:r>
      <w:r w:rsidRPr="00FE4C18">
        <w:rPr>
          <w:rtl/>
        </w:rPr>
        <w:t>لناح</w:t>
      </w:r>
      <w:r>
        <w:rPr>
          <w:rtl/>
        </w:rPr>
        <w:t>ي</w:t>
      </w:r>
      <w:r w:rsidRPr="00FE4C18">
        <w:rPr>
          <w:rtl/>
        </w:rPr>
        <w:t xml:space="preserve">ة </w:t>
      </w:r>
      <w:r>
        <w:rPr>
          <w:rtl/>
        </w:rPr>
        <w:t>ا</w:t>
      </w:r>
      <w:r w:rsidRPr="00FE4C18">
        <w:rPr>
          <w:rtl/>
        </w:rPr>
        <w:t>لحقوق</w:t>
      </w:r>
      <w:r>
        <w:rPr>
          <w:rtl/>
        </w:rPr>
        <w:t>ي</w:t>
      </w:r>
      <w:r w:rsidRPr="00FE4C18">
        <w:rPr>
          <w:rtl/>
        </w:rPr>
        <w:t xml:space="preserve">ة </w:t>
      </w:r>
      <w:r>
        <w:rPr>
          <w:rFonts w:hint="cs"/>
          <w:rtl/>
        </w:rPr>
        <w:t xml:space="preserve">ـ </w:t>
      </w:r>
      <w:r>
        <w:rPr>
          <w:rtl/>
        </w:rPr>
        <w:t>ا</w:t>
      </w:r>
      <w:r w:rsidRPr="00FE4C18">
        <w:rPr>
          <w:rtl/>
        </w:rPr>
        <w:t>لتأث</w:t>
      </w:r>
      <w:r>
        <w:rPr>
          <w:rtl/>
        </w:rPr>
        <w:t>ي</w:t>
      </w:r>
      <w:r w:rsidRPr="00FE4C18">
        <w:rPr>
          <w:rtl/>
        </w:rPr>
        <w:t>ر</w:t>
      </w:r>
      <w:r w:rsidRPr="007F5B58">
        <w:rPr>
          <w:rtl/>
        </w:rPr>
        <w:t>،</w:t>
      </w:r>
      <w:r>
        <w:rPr>
          <w:rtl/>
        </w:rPr>
        <w:t xml:space="preserve"> وا</w:t>
      </w:r>
      <w:r w:rsidRPr="00FE4C18">
        <w:rPr>
          <w:rtl/>
        </w:rPr>
        <w:t>لحق</w:t>
      </w:r>
      <w:r w:rsidRPr="007F5B58">
        <w:rPr>
          <w:rtl/>
        </w:rPr>
        <w:t>،</w:t>
      </w:r>
      <w:r>
        <w:rPr>
          <w:rtl/>
        </w:rPr>
        <w:t xml:space="preserve"> وا</w:t>
      </w:r>
      <w:r w:rsidRPr="00FE4C18">
        <w:rPr>
          <w:rtl/>
        </w:rPr>
        <w:t>لالتزام لطرف</w:t>
      </w:r>
      <w:r>
        <w:rPr>
          <w:rtl/>
        </w:rPr>
        <w:t>ي</w:t>
      </w:r>
      <w:r w:rsidRPr="00FE4C18">
        <w:rPr>
          <w:rtl/>
        </w:rPr>
        <w:t>ها</w:t>
      </w:r>
      <w:r w:rsidRPr="007F5B58">
        <w:rPr>
          <w:rtl/>
        </w:rPr>
        <w:t>،</w:t>
      </w:r>
      <w:r w:rsidRPr="00FE4C18">
        <w:rPr>
          <w:rtl/>
        </w:rPr>
        <w:t xml:space="preserve"> </w:t>
      </w:r>
      <w:r>
        <w:rPr>
          <w:rtl/>
        </w:rPr>
        <w:t>ي</w:t>
      </w:r>
      <w:r w:rsidRPr="00FE4C18">
        <w:rPr>
          <w:rtl/>
        </w:rPr>
        <w:t xml:space="preserve">جب أن تلاحظ </w:t>
      </w:r>
      <w:r>
        <w:rPr>
          <w:rtl/>
        </w:rPr>
        <w:t>ا</w:t>
      </w:r>
      <w:r w:rsidRPr="00FE4C18">
        <w:rPr>
          <w:rtl/>
        </w:rPr>
        <w:t xml:space="preserve">لظروف </w:t>
      </w:r>
      <w:r>
        <w:rPr>
          <w:rtl/>
        </w:rPr>
        <w:t>ا</w:t>
      </w:r>
      <w:r w:rsidRPr="00FE4C18">
        <w:rPr>
          <w:rtl/>
        </w:rPr>
        <w:t xml:space="preserve">لتي وضعت في </w:t>
      </w:r>
      <w:r>
        <w:rPr>
          <w:rtl/>
        </w:rPr>
        <w:t>ا</w:t>
      </w:r>
      <w:r w:rsidRPr="00FE4C18">
        <w:rPr>
          <w:rtl/>
        </w:rPr>
        <w:t xml:space="preserve">لقانون لسلامة </w:t>
      </w:r>
      <w:r>
        <w:rPr>
          <w:rtl/>
        </w:rPr>
        <w:t>ا</w:t>
      </w:r>
      <w:r w:rsidRPr="00FE4C18">
        <w:rPr>
          <w:rtl/>
        </w:rPr>
        <w:t>لاتفاق</w:t>
      </w:r>
      <w:r>
        <w:rPr>
          <w:rtl/>
        </w:rPr>
        <w:t>ي</w:t>
      </w:r>
      <w:r w:rsidRPr="00FE4C18">
        <w:rPr>
          <w:rtl/>
        </w:rPr>
        <w:t>ات</w:t>
      </w:r>
      <w:r>
        <w:rPr>
          <w:rtl/>
        </w:rPr>
        <w:t>.</w:t>
      </w:r>
      <w:r w:rsidRPr="00FE4C18">
        <w:rPr>
          <w:rtl/>
        </w:rPr>
        <w:t xml:space="preserve"> </w:t>
      </w:r>
    </w:p>
    <w:p w:rsidR="00391A35" w:rsidRPr="0067362A" w:rsidRDefault="00391A35" w:rsidP="0067362A">
      <w:pPr>
        <w:pStyle w:val="afffffc"/>
        <w:rPr>
          <w:sz w:val="20"/>
          <w:szCs w:val="18"/>
          <w:rtl/>
        </w:rPr>
      </w:pPr>
    </w:p>
    <w:p w:rsidR="00391A35" w:rsidRPr="00FE4C18" w:rsidRDefault="00391A35" w:rsidP="0067362A">
      <w:pPr>
        <w:pStyle w:val="3"/>
        <w:rPr>
          <w:rtl/>
        </w:rPr>
      </w:pPr>
      <w:bookmarkStart w:id="483" w:name="_Toc275128190"/>
      <w:r w:rsidRPr="00FE4C18">
        <w:rPr>
          <w:rtl/>
        </w:rPr>
        <w:t>3</w:t>
      </w:r>
      <w:r>
        <w:rPr>
          <w:rtl/>
        </w:rPr>
        <w:t>ـ</w:t>
      </w:r>
      <w:r w:rsidRPr="00FE4C18">
        <w:rPr>
          <w:rtl/>
        </w:rPr>
        <w:t xml:space="preserve"> 1</w:t>
      </w:r>
      <w:r>
        <w:rPr>
          <w:rtl/>
        </w:rPr>
        <w:t>ـ</w:t>
      </w:r>
      <w:r w:rsidRPr="00FE4C18">
        <w:rPr>
          <w:rtl/>
        </w:rPr>
        <w:t xml:space="preserve"> ن</w:t>
      </w:r>
      <w:r>
        <w:rPr>
          <w:rtl/>
        </w:rPr>
        <w:t>يّة و</w:t>
      </w:r>
      <w:r w:rsidRPr="00FE4C18">
        <w:rPr>
          <w:rtl/>
        </w:rPr>
        <w:t xml:space="preserve">رضا </w:t>
      </w:r>
      <w:r>
        <w:rPr>
          <w:rtl/>
        </w:rPr>
        <w:t>ا</w:t>
      </w:r>
      <w:r w:rsidRPr="00FE4C18">
        <w:rPr>
          <w:rtl/>
        </w:rPr>
        <w:t>لطرف</w:t>
      </w:r>
      <w:r>
        <w:rPr>
          <w:rtl/>
        </w:rPr>
        <w:t>ي</w:t>
      </w:r>
      <w:r w:rsidRPr="00FE4C18">
        <w:rPr>
          <w:rtl/>
        </w:rPr>
        <w:t>ن</w:t>
      </w:r>
      <w:bookmarkEnd w:id="483"/>
      <w:r w:rsidRPr="00FE4C18">
        <w:rPr>
          <w:rtl/>
        </w:rPr>
        <w:t xml:space="preserve"> </w:t>
      </w:r>
    </w:p>
    <w:p w:rsidR="00391A35" w:rsidRPr="00FE4C18" w:rsidRDefault="00391A35" w:rsidP="00391A35">
      <w:pPr>
        <w:pStyle w:val="ac"/>
        <w:rPr>
          <w:rtl/>
        </w:rPr>
      </w:pPr>
      <w:r w:rsidRPr="00FE4C18">
        <w:rPr>
          <w:rtl/>
        </w:rPr>
        <w:t xml:space="preserve"> لتحقق </w:t>
      </w:r>
      <w:r>
        <w:rPr>
          <w:rtl/>
        </w:rPr>
        <w:t>ا</w:t>
      </w:r>
      <w:r w:rsidRPr="00FE4C18">
        <w:rPr>
          <w:rtl/>
        </w:rPr>
        <w:t xml:space="preserve">لعقد </w:t>
      </w:r>
      <w:r>
        <w:rPr>
          <w:rtl/>
        </w:rPr>
        <w:t>ي</w:t>
      </w:r>
      <w:r w:rsidRPr="00FE4C18">
        <w:rPr>
          <w:rtl/>
        </w:rPr>
        <w:t xml:space="preserve">جب توفر </w:t>
      </w:r>
      <w:r>
        <w:rPr>
          <w:rtl/>
        </w:rPr>
        <w:t>ا</w:t>
      </w:r>
      <w:r w:rsidRPr="00FE4C18">
        <w:rPr>
          <w:rtl/>
        </w:rPr>
        <w:t>لن</w:t>
      </w:r>
      <w:r>
        <w:rPr>
          <w:rtl/>
        </w:rPr>
        <w:t>يّ</w:t>
      </w:r>
      <w:r w:rsidRPr="00FE4C18">
        <w:rPr>
          <w:rtl/>
        </w:rPr>
        <w:t xml:space="preserve">ة </w:t>
      </w:r>
      <w:r>
        <w:rPr>
          <w:rtl/>
        </w:rPr>
        <w:t>ا</w:t>
      </w:r>
      <w:r w:rsidRPr="00FE4C18">
        <w:rPr>
          <w:rtl/>
        </w:rPr>
        <w:t>لنفس</w:t>
      </w:r>
      <w:r>
        <w:rPr>
          <w:rtl/>
        </w:rPr>
        <w:t>يّ</w:t>
      </w:r>
      <w:r w:rsidRPr="00FE4C18">
        <w:rPr>
          <w:rtl/>
        </w:rPr>
        <w:t>ة</w:t>
      </w:r>
      <w:r>
        <w:rPr>
          <w:rtl/>
        </w:rPr>
        <w:t xml:space="preserve"> و</w:t>
      </w:r>
      <w:r w:rsidRPr="00FE4C18">
        <w:rPr>
          <w:rtl/>
        </w:rPr>
        <w:t xml:space="preserve">رضا </w:t>
      </w:r>
      <w:r>
        <w:rPr>
          <w:rtl/>
        </w:rPr>
        <w:t>ا</w:t>
      </w:r>
      <w:r w:rsidRPr="00FE4C18">
        <w:rPr>
          <w:rtl/>
        </w:rPr>
        <w:t>لطرف</w:t>
      </w:r>
      <w:r>
        <w:rPr>
          <w:rtl/>
        </w:rPr>
        <w:t>ي</w:t>
      </w:r>
      <w:r w:rsidRPr="00FE4C18">
        <w:rPr>
          <w:rtl/>
        </w:rPr>
        <w:t>ن</w:t>
      </w:r>
      <w:r>
        <w:rPr>
          <w:rtl/>
        </w:rPr>
        <w:t>. و</w:t>
      </w:r>
      <w:r w:rsidRPr="00FE4C18">
        <w:rPr>
          <w:rtl/>
        </w:rPr>
        <w:t>في‌</w:t>
      </w:r>
      <w:r>
        <w:rPr>
          <w:rFonts w:hint="cs"/>
          <w:rtl/>
        </w:rPr>
        <w:t xml:space="preserve"> </w:t>
      </w:r>
      <w:r w:rsidRPr="00FE4C18">
        <w:rPr>
          <w:rtl/>
        </w:rPr>
        <w:t>اتفاق</w:t>
      </w:r>
      <w:r>
        <w:rPr>
          <w:rtl/>
        </w:rPr>
        <w:t>ي</w:t>
      </w:r>
      <w:r w:rsidRPr="00FE4C18">
        <w:rPr>
          <w:rtl/>
        </w:rPr>
        <w:t xml:space="preserve">ة </w:t>
      </w:r>
      <w:r>
        <w:rPr>
          <w:rtl/>
        </w:rPr>
        <w:t>ا</w:t>
      </w:r>
      <w:r w:rsidRPr="00FE4C18">
        <w:rPr>
          <w:rtl/>
        </w:rPr>
        <w:t xml:space="preserve">ستخدام رحم </w:t>
      </w:r>
      <w:r>
        <w:rPr>
          <w:rtl/>
        </w:rPr>
        <w:lastRenderedPageBreak/>
        <w:t>ا</w:t>
      </w:r>
      <w:r w:rsidRPr="00FE4C18">
        <w:rPr>
          <w:rtl/>
        </w:rPr>
        <w:t>لمرأة تعلن ن</w:t>
      </w:r>
      <w:r>
        <w:rPr>
          <w:rtl/>
        </w:rPr>
        <w:t>ي</w:t>
      </w:r>
      <w:r w:rsidRPr="00FE4C18">
        <w:rPr>
          <w:rtl/>
        </w:rPr>
        <w:t xml:space="preserve">ة </w:t>
      </w:r>
      <w:r>
        <w:rPr>
          <w:rtl/>
        </w:rPr>
        <w:t>ا</w:t>
      </w:r>
      <w:r w:rsidRPr="00FE4C18">
        <w:rPr>
          <w:rtl/>
        </w:rPr>
        <w:t>لطرف</w:t>
      </w:r>
      <w:r>
        <w:rPr>
          <w:rtl/>
        </w:rPr>
        <w:t>ي</w:t>
      </w:r>
      <w:r w:rsidRPr="00FE4C18">
        <w:rPr>
          <w:rtl/>
        </w:rPr>
        <w:t xml:space="preserve">ن بعد </w:t>
      </w:r>
      <w:r>
        <w:rPr>
          <w:rtl/>
        </w:rPr>
        <w:t>إي</w:t>
      </w:r>
      <w:r w:rsidRPr="00FE4C18">
        <w:rPr>
          <w:rtl/>
        </w:rPr>
        <w:t xml:space="preserve">جاب </w:t>
      </w:r>
      <w:r>
        <w:rPr>
          <w:rtl/>
        </w:rPr>
        <w:t>ا</w:t>
      </w:r>
      <w:r w:rsidRPr="00FE4C18">
        <w:rPr>
          <w:rtl/>
        </w:rPr>
        <w:t>لزوج</w:t>
      </w:r>
      <w:r>
        <w:rPr>
          <w:rtl/>
        </w:rPr>
        <w:t>ي</w:t>
      </w:r>
      <w:r w:rsidRPr="00FE4C18">
        <w:rPr>
          <w:rtl/>
        </w:rPr>
        <w:t xml:space="preserve">ن </w:t>
      </w:r>
      <w:r>
        <w:rPr>
          <w:rtl/>
        </w:rPr>
        <w:t>ا</w:t>
      </w:r>
      <w:r w:rsidRPr="00FE4C18">
        <w:rPr>
          <w:rtl/>
        </w:rPr>
        <w:t>لعاقر</w:t>
      </w:r>
      <w:r>
        <w:rPr>
          <w:rtl/>
        </w:rPr>
        <w:t>ي</w:t>
      </w:r>
      <w:r w:rsidRPr="00FE4C18">
        <w:rPr>
          <w:rtl/>
        </w:rPr>
        <w:t>ن</w:t>
      </w:r>
      <w:r>
        <w:rPr>
          <w:rtl/>
        </w:rPr>
        <w:t xml:space="preserve"> و</w:t>
      </w:r>
      <w:r w:rsidRPr="00FE4C18">
        <w:rPr>
          <w:rtl/>
        </w:rPr>
        <w:t xml:space="preserve">قبول صاحبة </w:t>
      </w:r>
      <w:r>
        <w:rPr>
          <w:rtl/>
        </w:rPr>
        <w:t>ا</w:t>
      </w:r>
      <w:r w:rsidRPr="00FE4C18">
        <w:rPr>
          <w:rtl/>
        </w:rPr>
        <w:t xml:space="preserve">لرحم </w:t>
      </w:r>
      <w:r>
        <w:rPr>
          <w:rtl/>
        </w:rPr>
        <w:t>أي</w:t>
      </w:r>
      <w:r w:rsidRPr="00FE4C18">
        <w:rPr>
          <w:rtl/>
        </w:rPr>
        <w:t>ضاً</w:t>
      </w:r>
      <w:r>
        <w:rPr>
          <w:rtl/>
        </w:rPr>
        <w:t>.</w:t>
      </w:r>
      <w:r w:rsidRPr="00FE4C18">
        <w:rPr>
          <w:rtl/>
        </w:rPr>
        <w:t xml:space="preserve"> </w:t>
      </w:r>
    </w:p>
    <w:p w:rsidR="00391A35" w:rsidRPr="00FE4C18" w:rsidRDefault="00391A35" w:rsidP="0067362A">
      <w:pPr>
        <w:pStyle w:val="ac"/>
        <w:spacing w:line="209" w:lineRule="auto"/>
        <w:rPr>
          <w:rtl/>
        </w:rPr>
      </w:pPr>
      <w:r>
        <w:rPr>
          <w:rFonts w:hint="cs"/>
          <w:rtl/>
        </w:rPr>
        <w:t xml:space="preserve">إنّ </w:t>
      </w:r>
      <w:r>
        <w:rPr>
          <w:rtl/>
        </w:rPr>
        <w:t>ا</w:t>
      </w:r>
      <w:r w:rsidRPr="00FE4C18">
        <w:rPr>
          <w:rtl/>
        </w:rPr>
        <w:t xml:space="preserve">لمبادرات </w:t>
      </w:r>
      <w:r>
        <w:rPr>
          <w:rtl/>
        </w:rPr>
        <w:t>ا</w:t>
      </w:r>
      <w:r w:rsidRPr="00FE4C18">
        <w:rPr>
          <w:rtl/>
        </w:rPr>
        <w:t>لطب</w:t>
      </w:r>
      <w:r>
        <w:rPr>
          <w:rtl/>
        </w:rPr>
        <w:t>ي</w:t>
      </w:r>
      <w:r w:rsidRPr="00FE4C18">
        <w:rPr>
          <w:rtl/>
        </w:rPr>
        <w:t xml:space="preserve">ة تبدأ بعد توافق </w:t>
      </w:r>
      <w:r>
        <w:rPr>
          <w:rtl/>
        </w:rPr>
        <w:t>ا</w:t>
      </w:r>
      <w:r w:rsidRPr="00FE4C18">
        <w:rPr>
          <w:rtl/>
        </w:rPr>
        <w:t>لزوج</w:t>
      </w:r>
      <w:r>
        <w:rPr>
          <w:rtl/>
        </w:rPr>
        <w:t>ي</w:t>
      </w:r>
      <w:r w:rsidRPr="00FE4C18">
        <w:rPr>
          <w:rtl/>
        </w:rPr>
        <w:t xml:space="preserve">ن </w:t>
      </w:r>
      <w:r>
        <w:rPr>
          <w:rtl/>
        </w:rPr>
        <w:t>ا</w:t>
      </w:r>
      <w:r w:rsidRPr="00FE4C18">
        <w:rPr>
          <w:rtl/>
        </w:rPr>
        <w:t>لعاقر</w:t>
      </w:r>
      <w:r>
        <w:rPr>
          <w:rtl/>
        </w:rPr>
        <w:t>ي</w:t>
      </w:r>
      <w:r w:rsidRPr="00FE4C18">
        <w:rPr>
          <w:rtl/>
        </w:rPr>
        <w:t xml:space="preserve">ن مع صاحبة </w:t>
      </w:r>
      <w:r>
        <w:rPr>
          <w:rtl/>
        </w:rPr>
        <w:t>ا</w:t>
      </w:r>
      <w:r w:rsidRPr="00FE4C18">
        <w:rPr>
          <w:rtl/>
        </w:rPr>
        <w:t>لرحم</w:t>
      </w:r>
      <w:r w:rsidRPr="007F5B58">
        <w:rPr>
          <w:rtl/>
        </w:rPr>
        <w:t>،</w:t>
      </w:r>
      <w:r w:rsidRPr="00FE4C18">
        <w:rPr>
          <w:rtl/>
        </w:rPr>
        <w:t xml:space="preserve"> و</w:t>
      </w:r>
      <w:r>
        <w:rPr>
          <w:rtl/>
        </w:rPr>
        <w:t>يأخذ</w:t>
      </w:r>
      <w:r w:rsidRPr="00FE4C18">
        <w:rPr>
          <w:rtl/>
        </w:rPr>
        <w:t xml:space="preserve"> </w:t>
      </w:r>
      <w:r>
        <w:rPr>
          <w:rtl/>
        </w:rPr>
        <w:t>ا</w:t>
      </w:r>
      <w:r w:rsidRPr="00FE4C18">
        <w:rPr>
          <w:rtl/>
        </w:rPr>
        <w:t xml:space="preserve">لأطباء </w:t>
      </w:r>
      <w:r>
        <w:rPr>
          <w:rtl/>
        </w:rPr>
        <w:t xml:space="preserve">شهادة رضا الطرفين </w:t>
      </w:r>
      <w:r w:rsidRPr="00FE4C18">
        <w:rPr>
          <w:rtl/>
        </w:rPr>
        <w:t xml:space="preserve">قبل إجراء </w:t>
      </w:r>
      <w:r>
        <w:rPr>
          <w:rtl/>
        </w:rPr>
        <w:t>ا</w:t>
      </w:r>
      <w:r w:rsidRPr="00FE4C18">
        <w:rPr>
          <w:rtl/>
        </w:rPr>
        <w:t>لعمل</w:t>
      </w:r>
      <w:r>
        <w:rPr>
          <w:rtl/>
        </w:rPr>
        <w:t>يّة</w:t>
      </w:r>
      <w:r w:rsidRPr="007F5B58">
        <w:rPr>
          <w:rtl/>
        </w:rPr>
        <w:t>،</w:t>
      </w:r>
      <w:r>
        <w:rPr>
          <w:rtl/>
        </w:rPr>
        <w:t xml:space="preserve"> و</w:t>
      </w:r>
      <w:r w:rsidRPr="00FE4C18">
        <w:rPr>
          <w:rtl/>
        </w:rPr>
        <w:t>ذل</w:t>
      </w:r>
      <w:r>
        <w:rPr>
          <w:rtl/>
        </w:rPr>
        <w:t>ك</w:t>
      </w:r>
      <w:r w:rsidRPr="00FE4C18">
        <w:rPr>
          <w:rtl/>
        </w:rPr>
        <w:t xml:space="preserve"> عل</w:t>
      </w:r>
      <w:r>
        <w:rPr>
          <w:rtl/>
        </w:rPr>
        <w:t>ى ا</w:t>
      </w:r>
      <w:r w:rsidRPr="00FE4C18">
        <w:rPr>
          <w:rtl/>
        </w:rPr>
        <w:t xml:space="preserve">لنحو </w:t>
      </w:r>
      <w:r>
        <w:rPr>
          <w:rtl/>
        </w:rPr>
        <w:t>ا</w:t>
      </w:r>
      <w:r w:rsidRPr="00FE4C18">
        <w:rPr>
          <w:rtl/>
        </w:rPr>
        <w:t>لتالي</w:t>
      </w:r>
      <w:r w:rsidRPr="007F5B58">
        <w:rPr>
          <w:rtl/>
        </w:rPr>
        <w:t>:</w:t>
      </w:r>
      <w:r w:rsidRPr="00FE4C18">
        <w:rPr>
          <w:rtl/>
        </w:rPr>
        <w:t xml:space="preserve"> </w:t>
      </w:r>
    </w:p>
    <w:p w:rsidR="00391A35" w:rsidRPr="00FE4C18" w:rsidRDefault="00391A35" w:rsidP="0067362A">
      <w:pPr>
        <w:pStyle w:val="ac"/>
        <w:spacing w:line="209" w:lineRule="auto"/>
        <w:rPr>
          <w:rtl/>
        </w:rPr>
      </w:pPr>
      <w:r w:rsidRPr="009E1E53">
        <w:rPr>
          <w:rtl/>
        </w:rPr>
        <w:t>أ) أخذ رضا صاحبة الرحم</w:t>
      </w:r>
      <w:r>
        <w:rPr>
          <w:rFonts w:hint="cs"/>
          <w:rtl/>
        </w:rPr>
        <w:t>.</w:t>
      </w:r>
      <w:r w:rsidRPr="009E1E53">
        <w:rPr>
          <w:rtl/>
        </w:rPr>
        <w:t xml:space="preserve"> </w:t>
      </w:r>
      <w:r w:rsidRPr="00FE4C18">
        <w:rPr>
          <w:rtl/>
        </w:rPr>
        <w:t xml:space="preserve">تؤخذ شهادتان للموافقة من صاحبة </w:t>
      </w:r>
      <w:r>
        <w:rPr>
          <w:rtl/>
        </w:rPr>
        <w:t>الرحم</w:t>
      </w:r>
      <w:r w:rsidRPr="007F5B58">
        <w:rPr>
          <w:rtl/>
        </w:rPr>
        <w:t>:</w:t>
      </w:r>
    </w:p>
    <w:p w:rsidR="00391A35" w:rsidRPr="00FE4C18" w:rsidRDefault="00391A35" w:rsidP="0067362A">
      <w:pPr>
        <w:pStyle w:val="ac"/>
        <w:spacing w:line="209" w:lineRule="auto"/>
        <w:rPr>
          <w:rtl/>
        </w:rPr>
      </w:pPr>
      <w:r w:rsidRPr="00FE4C18">
        <w:rPr>
          <w:rtl/>
        </w:rPr>
        <w:t>1</w:t>
      </w:r>
      <w:r>
        <w:rPr>
          <w:rtl/>
        </w:rPr>
        <w:t>ـ</w:t>
      </w:r>
      <w:r>
        <w:rPr>
          <w:rFonts w:hint="cs"/>
          <w:rtl/>
        </w:rPr>
        <w:t xml:space="preserve"> </w:t>
      </w:r>
      <w:r w:rsidRPr="00FE4C18">
        <w:rPr>
          <w:rtl/>
        </w:rPr>
        <w:t xml:space="preserve">الرضا </w:t>
      </w:r>
      <w:r>
        <w:rPr>
          <w:rtl/>
        </w:rPr>
        <w:t>ب</w:t>
      </w:r>
      <w:r w:rsidRPr="00FE4C18">
        <w:rPr>
          <w:rtl/>
        </w:rPr>
        <w:t xml:space="preserve">استعمال </w:t>
      </w:r>
      <w:r>
        <w:rPr>
          <w:rtl/>
        </w:rPr>
        <w:t>ا</w:t>
      </w:r>
      <w:r w:rsidRPr="00FE4C18">
        <w:rPr>
          <w:rtl/>
        </w:rPr>
        <w:t>لدواء</w:t>
      </w:r>
      <w:r>
        <w:rPr>
          <w:rtl/>
        </w:rPr>
        <w:t>.</w:t>
      </w:r>
      <w:r w:rsidRPr="00FE4C18">
        <w:rPr>
          <w:rtl/>
        </w:rPr>
        <w:t xml:space="preserve"> </w:t>
      </w:r>
    </w:p>
    <w:p w:rsidR="00391A35" w:rsidRPr="00FE4C18" w:rsidRDefault="00391A35" w:rsidP="0067362A">
      <w:pPr>
        <w:pStyle w:val="ac"/>
        <w:spacing w:line="209" w:lineRule="auto"/>
        <w:rPr>
          <w:rtl/>
        </w:rPr>
      </w:pPr>
      <w:r w:rsidRPr="00FE4C18">
        <w:rPr>
          <w:rtl/>
        </w:rPr>
        <w:t>2</w:t>
      </w:r>
      <w:r>
        <w:rPr>
          <w:rtl/>
        </w:rPr>
        <w:t>ـ</w:t>
      </w:r>
      <w:r w:rsidRPr="00FE4C18">
        <w:rPr>
          <w:rtl/>
        </w:rPr>
        <w:t xml:space="preserve"> الرضا </w:t>
      </w:r>
      <w:r>
        <w:rPr>
          <w:rtl/>
        </w:rPr>
        <w:t>ب</w:t>
      </w:r>
      <w:r w:rsidRPr="00FE4C18">
        <w:rPr>
          <w:rtl/>
        </w:rPr>
        <w:t xml:space="preserve">إجراء </w:t>
      </w:r>
      <w:r>
        <w:rPr>
          <w:rtl/>
        </w:rPr>
        <w:t>ا</w:t>
      </w:r>
      <w:r w:rsidRPr="00FE4C18">
        <w:rPr>
          <w:rtl/>
        </w:rPr>
        <w:t>لعمل</w:t>
      </w:r>
      <w:r>
        <w:rPr>
          <w:rtl/>
        </w:rPr>
        <w:t>يّ</w:t>
      </w:r>
      <w:r w:rsidRPr="00FE4C18">
        <w:rPr>
          <w:rtl/>
        </w:rPr>
        <w:t xml:space="preserve">ة </w:t>
      </w:r>
      <w:r>
        <w:rPr>
          <w:rtl/>
        </w:rPr>
        <w:t>ا</w:t>
      </w:r>
      <w:r w:rsidRPr="00FE4C18">
        <w:rPr>
          <w:rtl/>
        </w:rPr>
        <w:t>لجراح</w:t>
      </w:r>
      <w:r>
        <w:rPr>
          <w:rtl/>
        </w:rPr>
        <w:t>يّ</w:t>
      </w:r>
      <w:r w:rsidRPr="00FE4C18">
        <w:rPr>
          <w:rtl/>
        </w:rPr>
        <w:t>ة</w:t>
      </w:r>
      <w:r>
        <w:rPr>
          <w:rtl/>
        </w:rPr>
        <w:t>.</w:t>
      </w:r>
      <w:r w:rsidRPr="00FE4C18">
        <w:rPr>
          <w:rtl/>
        </w:rPr>
        <w:t xml:space="preserve"> </w:t>
      </w:r>
    </w:p>
    <w:p w:rsidR="00391A35" w:rsidRPr="00FE4C18" w:rsidRDefault="00391A35" w:rsidP="0067362A">
      <w:pPr>
        <w:pStyle w:val="ac"/>
        <w:spacing w:line="209" w:lineRule="auto"/>
        <w:rPr>
          <w:rtl/>
        </w:rPr>
      </w:pPr>
      <w:r>
        <w:rPr>
          <w:rtl/>
        </w:rPr>
        <w:t>و</w:t>
      </w:r>
      <w:r w:rsidRPr="00FE4C18">
        <w:rPr>
          <w:rtl/>
        </w:rPr>
        <w:t>عندما ت</w:t>
      </w:r>
      <w:r>
        <w:rPr>
          <w:rtl/>
        </w:rPr>
        <w:t>ك</w:t>
      </w:r>
      <w:r w:rsidRPr="00FE4C18">
        <w:rPr>
          <w:rtl/>
        </w:rPr>
        <w:t xml:space="preserve">ون صاحبة </w:t>
      </w:r>
      <w:r>
        <w:rPr>
          <w:rtl/>
        </w:rPr>
        <w:t>ا</w:t>
      </w:r>
      <w:r w:rsidRPr="00FE4C18">
        <w:rPr>
          <w:rtl/>
        </w:rPr>
        <w:t xml:space="preserve">لرحم متزوجة </w:t>
      </w:r>
      <w:r>
        <w:rPr>
          <w:rtl/>
        </w:rPr>
        <w:t>ي</w:t>
      </w:r>
      <w:r w:rsidRPr="00FE4C18">
        <w:rPr>
          <w:rtl/>
        </w:rPr>
        <w:t>ؤخذ رضا زوجها أ</w:t>
      </w:r>
      <w:r>
        <w:rPr>
          <w:rtl/>
        </w:rPr>
        <w:t>ي</w:t>
      </w:r>
      <w:r w:rsidRPr="00FE4C18">
        <w:rPr>
          <w:rtl/>
        </w:rPr>
        <w:t>ضاً</w:t>
      </w:r>
      <w:r>
        <w:rPr>
          <w:rtl/>
        </w:rPr>
        <w:t>.</w:t>
      </w:r>
      <w:r w:rsidRPr="00FE4C18">
        <w:rPr>
          <w:rtl/>
        </w:rPr>
        <w:t xml:space="preserve"> </w:t>
      </w:r>
    </w:p>
    <w:p w:rsidR="00391A35" w:rsidRPr="00FE4C18" w:rsidRDefault="00391A35" w:rsidP="0067362A">
      <w:pPr>
        <w:pStyle w:val="ac"/>
        <w:spacing w:line="209" w:lineRule="auto"/>
        <w:rPr>
          <w:rtl/>
        </w:rPr>
      </w:pPr>
      <w:r w:rsidRPr="009E1E53">
        <w:rPr>
          <w:rtl/>
        </w:rPr>
        <w:t>ب</w:t>
      </w:r>
      <w:r>
        <w:rPr>
          <w:rtl/>
        </w:rPr>
        <w:t>)</w:t>
      </w:r>
      <w:r w:rsidRPr="009E1E53">
        <w:rPr>
          <w:rtl/>
        </w:rPr>
        <w:t xml:space="preserve"> أخذ رضا الزوجين العاقرين</w:t>
      </w:r>
      <w:r w:rsidRPr="007F5B58">
        <w:rPr>
          <w:rtl/>
        </w:rPr>
        <w:t>:</w:t>
      </w:r>
      <w:r w:rsidRPr="009E1E53">
        <w:rPr>
          <w:rtl/>
        </w:rPr>
        <w:t xml:space="preserve"> </w:t>
      </w:r>
      <w:r w:rsidRPr="00FE4C18">
        <w:rPr>
          <w:rtl/>
        </w:rPr>
        <w:t xml:space="preserve">تؤخذ شهادة </w:t>
      </w:r>
      <w:r>
        <w:rPr>
          <w:rtl/>
        </w:rPr>
        <w:t>ا</w:t>
      </w:r>
      <w:r w:rsidRPr="00FE4C18">
        <w:rPr>
          <w:rtl/>
        </w:rPr>
        <w:t xml:space="preserve">لموافقة من </w:t>
      </w:r>
      <w:r>
        <w:rPr>
          <w:rFonts w:hint="cs"/>
          <w:rtl/>
        </w:rPr>
        <w:t>ا</w:t>
      </w:r>
      <w:r w:rsidRPr="00FE4C18">
        <w:rPr>
          <w:rtl/>
        </w:rPr>
        <w:t>لزوج</w:t>
      </w:r>
      <w:r>
        <w:rPr>
          <w:rtl/>
        </w:rPr>
        <w:t>ي</w:t>
      </w:r>
      <w:r w:rsidRPr="00FE4C18">
        <w:rPr>
          <w:rtl/>
        </w:rPr>
        <w:t xml:space="preserve">ن </w:t>
      </w:r>
      <w:r>
        <w:rPr>
          <w:rtl/>
        </w:rPr>
        <w:t>ا</w:t>
      </w:r>
      <w:r w:rsidRPr="00FE4C18">
        <w:rPr>
          <w:rtl/>
        </w:rPr>
        <w:t>لعاقر</w:t>
      </w:r>
      <w:r>
        <w:rPr>
          <w:rtl/>
        </w:rPr>
        <w:t>ي</w:t>
      </w:r>
      <w:r w:rsidRPr="00FE4C18">
        <w:rPr>
          <w:rtl/>
        </w:rPr>
        <w:t xml:space="preserve">ن لانتقال </w:t>
      </w:r>
      <w:r>
        <w:rPr>
          <w:rtl/>
        </w:rPr>
        <w:t>ا</w:t>
      </w:r>
      <w:r w:rsidRPr="00FE4C18">
        <w:rPr>
          <w:rtl/>
        </w:rPr>
        <w:t>لجن</w:t>
      </w:r>
      <w:r>
        <w:rPr>
          <w:rtl/>
        </w:rPr>
        <w:t>ي</w:t>
      </w:r>
      <w:r w:rsidRPr="00FE4C18">
        <w:rPr>
          <w:rtl/>
        </w:rPr>
        <w:t>ن</w:t>
      </w:r>
      <w:r w:rsidRPr="007F5B58">
        <w:rPr>
          <w:rtl/>
        </w:rPr>
        <w:t>،</w:t>
      </w:r>
      <w:r>
        <w:rPr>
          <w:rtl/>
        </w:rPr>
        <w:t xml:space="preserve"> وي</w:t>
      </w:r>
      <w:r w:rsidRPr="00FE4C18">
        <w:rPr>
          <w:rtl/>
        </w:rPr>
        <w:t xml:space="preserve">جب أنْ </w:t>
      </w:r>
      <w:r>
        <w:rPr>
          <w:rtl/>
        </w:rPr>
        <w:t>ي</w:t>
      </w:r>
      <w:r w:rsidRPr="00FE4C18">
        <w:rPr>
          <w:rtl/>
        </w:rPr>
        <w:t xml:space="preserve">ؤخذ رضا </w:t>
      </w:r>
      <w:r>
        <w:rPr>
          <w:rtl/>
        </w:rPr>
        <w:t>ك</w:t>
      </w:r>
      <w:r w:rsidRPr="00FE4C18">
        <w:rPr>
          <w:rtl/>
        </w:rPr>
        <w:t xml:space="preserve">لّ من </w:t>
      </w:r>
      <w:r>
        <w:rPr>
          <w:rtl/>
        </w:rPr>
        <w:t>ا</w:t>
      </w:r>
      <w:r w:rsidRPr="00FE4C18">
        <w:rPr>
          <w:rtl/>
        </w:rPr>
        <w:t>لزوج</w:t>
      </w:r>
      <w:r>
        <w:rPr>
          <w:rtl/>
        </w:rPr>
        <w:t xml:space="preserve"> وا</w:t>
      </w:r>
      <w:r w:rsidRPr="00FE4C18">
        <w:rPr>
          <w:rtl/>
        </w:rPr>
        <w:t>لزوجة بصورة مستقلة</w:t>
      </w:r>
      <w:r>
        <w:rPr>
          <w:rtl/>
        </w:rPr>
        <w:t>.</w:t>
      </w:r>
      <w:r w:rsidRPr="00FE4C18">
        <w:rPr>
          <w:rtl/>
        </w:rPr>
        <w:t xml:space="preserve"> </w:t>
      </w:r>
    </w:p>
    <w:p w:rsidR="00391A35" w:rsidRPr="00FE4C18" w:rsidRDefault="00391A35" w:rsidP="0067362A">
      <w:pPr>
        <w:pStyle w:val="afffffc"/>
        <w:rPr>
          <w:rtl/>
        </w:rPr>
      </w:pPr>
    </w:p>
    <w:p w:rsidR="00391A35" w:rsidRPr="00FE4C18" w:rsidRDefault="00391A35" w:rsidP="0067362A">
      <w:pPr>
        <w:pStyle w:val="3"/>
        <w:rPr>
          <w:szCs w:val="28"/>
          <w:rtl/>
        </w:rPr>
      </w:pPr>
      <w:bookmarkStart w:id="484" w:name="_Toc275128191"/>
      <w:r w:rsidRPr="00FE4C18">
        <w:rPr>
          <w:rtl/>
        </w:rPr>
        <w:t>3</w:t>
      </w:r>
      <w:r>
        <w:rPr>
          <w:rtl/>
        </w:rPr>
        <w:t>ـ</w:t>
      </w:r>
      <w:r w:rsidRPr="00FE4C18">
        <w:rPr>
          <w:rtl/>
        </w:rPr>
        <w:t xml:space="preserve"> 2</w:t>
      </w:r>
      <w:r>
        <w:rPr>
          <w:rtl/>
        </w:rPr>
        <w:t>ـ</w:t>
      </w:r>
      <w:r w:rsidRPr="00FE4C18">
        <w:rPr>
          <w:rtl/>
        </w:rPr>
        <w:t xml:space="preserve"> أهليّة</w:t>
      </w:r>
      <w:r>
        <w:rPr>
          <w:rtl/>
        </w:rPr>
        <w:t xml:space="preserve"> </w:t>
      </w:r>
      <w:r w:rsidRPr="00FE4C18">
        <w:rPr>
          <w:rtl/>
        </w:rPr>
        <w:t>‌</w:t>
      </w:r>
      <w:r>
        <w:rPr>
          <w:rtl/>
        </w:rPr>
        <w:t>ا</w:t>
      </w:r>
      <w:r w:rsidRPr="00FE4C18">
        <w:rPr>
          <w:rtl/>
        </w:rPr>
        <w:t>لطرف</w:t>
      </w:r>
      <w:r>
        <w:rPr>
          <w:rtl/>
        </w:rPr>
        <w:t>ي</w:t>
      </w:r>
      <w:r w:rsidRPr="00FE4C18">
        <w:rPr>
          <w:rtl/>
        </w:rPr>
        <w:t>ن</w:t>
      </w:r>
      <w:bookmarkEnd w:id="484"/>
      <w:r w:rsidRPr="00FE4C18">
        <w:rPr>
          <w:rtl/>
        </w:rPr>
        <w:t xml:space="preserve"> </w:t>
      </w:r>
    </w:p>
    <w:p w:rsidR="00391A35" w:rsidRPr="00FE4C18" w:rsidRDefault="00391A35" w:rsidP="0067362A">
      <w:pPr>
        <w:pStyle w:val="ac"/>
        <w:spacing w:line="206" w:lineRule="auto"/>
        <w:rPr>
          <w:rtl/>
        </w:rPr>
      </w:pPr>
      <w:r w:rsidRPr="006A37A2">
        <w:rPr>
          <w:b/>
          <w:bCs/>
          <w:rtl/>
        </w:rPr>
        <w:t>ـ الأهليّة العامة:</w:t>
      </w:r>
      <w:r w:rsidRPr="009E1E53">
        <w:rPr>
          <w:rtl/>
        </w:rPr>
        <w:t xml:space="preserve"> </w:t>
      </w:r>
      <w:r w:rsidRPr="00FE4C18">
        <w:rPr>
          <w:rtl/>
        </w:rPr>
        <w:t xml:space="preserve">بموجب </w:t>
      </w:r>
      <w:r>
        <w:rPr>
          <w:rtl/>
        </w:rPr>
        <w:t>ا</w:t>
      </w:r>
      <w:r w:rsidRPr="00FE4C18">
        <w:rPr>
          <w:rtl/>
        </w:rPr>
        <w:t xml:space="preserve">لقانون (مادة 211 من </w:t>
      </w:r>
      <w:r>
        <w:rPr>
          <w:rtl/>
        </w:rPr>
        <w:t>ا</w:t>
      </w:r>
      <w:r w:rsidRPr="00FE4C18">
        <w:rPr>
          <w:rtl/>
        </w:rPr>
        <w:t xml:space="preserve">لقانون </w:t>
      </w:r>
      <w:r>
        <w:rPr>
          <w:rtl/>
        </w:rPr>
        <w:t>ا</w:t>
      </w:r>
      <w:r w:rsidRPr="00FE4C18">
        <w:rPr>
          <w:rtl/>
        </w:rPr>
        <w:t xml:space="preserve">لمدني) </w:t>
      </w:r>
      <w:r>
        <w:rPr>
          <w:rtl/>
        </w:rPr>
        <w:t xml:space="preserve">فإن </w:t>
      </w:r>
      <w:r w:rsidRPr="00FE4C18">
        <w:rPr>
          <w:rtl/>
        </w:rPr>
        <w:t>مبدأ أهل</w:t>
      </w:r>
      <w:r>
        <w:rPr>
          <w:rtl/>
        </w:rPr>
        <w:t>يّ</w:t>
      </w:r>
      <w:r w:rsidRPr="00FE4C18">
        <w:rPr>
          <w:rtl/>
        </w:rPr>
        <w:t xml:space="preserve">ة طرفي </w:t>
      </w:r>
      <w:r>
        <w:rPr>
          <w:rtl/>
        </w:rPr>
        <w:t>ا</w:t>
      </w:r>
      <w:r w:rsidRPr="00FE4C18">
        <w:rPr>
          <w:rtl/>
        </w:rPr>
        <w:t xml:space="preserve">لعقد أنْ </w:t>
      </w:r>
      <w:r>
        <w:rPr>
          <w:rtl/>
        </w:rPr>
        <w:t>يك</w:t>
      </w:r>
      <w:r w:rsidRPr="00FE4C18">
        <w:rPr>
          <w:rtl/>
        </w:rPr>
        <w:t>ونا بالغ</w:t>
      </w:r>
      <w:r>
        <w:rPr>
          <w:rtl/>
        </w:rPr>
        <w:t>ي</w:t>
      </w:r>
      <w:r w:rsidRPr="00FE4C18">
        <w:rPr>
          <w:rtl/>
        </w:rPr>
        <w:t>ن عاقل</w:t>
      </w:r>
      <w:r>
        <w:rPr>
          <w:rtl/>
        </w:rPr>
        <w:t>ي</w:t>
      </w:r>
      <w:r w:rsidRPr="00FE4C18">
        <w:rPr>
          <w:rtl/>
        </w:rPr>
        <w:t>ن</w:t>
      </w:r>
      <w:r>
        <w:rPr>
          <w:rtl/>
        </w:rPr>
        <w:t>.</w:t>
      </w:r>
      <w:r w:rsidRPr="00FE4C18">
        <w:rPr>
          <w:rtl/>
        </w:rPr>
        <w:t xml:space="preserve"> </w:t>
      </w:r>
    </w:p>
    <w:p w:rsidR="00391A35" w:rsidRPr="00FE4C18" w:rsidRDefault="00391A35" w:rsidP="0067362A">
      <w:pPr>
        <w:pStyle w:val="ac"/>
        <w:spacing w:line="206" w:lineRule="auto"/>
        <w:rPr>
          <w:rtl/>
        </w:rPr>
      </w:pPr>
      <w:r w:rsidRPr="006A37A2">
        <w:rPr>
          <w:b/>
          <w:bCs/>
          <w:rtl/>
        </w:rPr>
        <w:t>ـ الأهليّة الخاصّة:</w:t>
      </w:r>
      <w:r w:rsidRPr="009E1E53">
        <w:rPr>
          <w:rtl/>
        </w:rPr>
        <w:t xml:space="preserve"> </w:t>
      </w:r>
      <w:r w:rsidRPr="00FE4C18">
        <w:rPr>
          <w:rtl/>
        </w:rPr>
        <w:t xml:space="preserve">في </w:t>
      </w:r>
      <w:r>
        <w:rPr>
          <w:rFonts w:hint="cs"/>
          <w:rtl/>
        </w:rPr>
        <w:t>ا</w:t>
      </w:r>
      <w:r w:rsidRPr="00FE4C18">
        <w:rPr>
          <w:rtl/>
        </w:rPr>
        <w:t>تفاق</w:t>
      </w:r>
      <w:r>
        <w:rPr>
          <w:rtl/>
        </w:rPr>
        <w:t>ي</w:t>
      </w:r>
      <w:r w:rsidRPr="00FE4C18">
        <w:rPr>
          <w:rtl/>
        </w:rPr>
        <w:t xml:space="preserve">ة </w:t>
      </w:r>
      <w:r>
        <w:rPr>
          <w:rtl/>
        </w:rPr>
        <w:t>ا</w:t>
      </w:r>
      <w:r w:rsidRPr="00FE4C18">
        <w:rPr>
          <w:rtl/>
        </w:rPr>
        <w:t xml:space="preserve">ستخدام رحم </w:t>
      </w:r>
      <w:r>
        <w:rPr>
          <w:rtl/>
        </w:rPr>
        <w:t>ا</w:t>
      </w:r>
      <w:r w:rsidRPr="00FE4C18">
        <w:rPr>
          <w:rtl/>
        </w:rPr>
        <w:t>لمرأة</w:t>
      </w:r>
      <w:r>
        <w:rPr>
          <w:rtl/>
        </w:rPr>
        <w:t xml:space="preserve"> ـ</w:t>
      </w:r>
      <w:r w:rsidRPr="00FE4C18">
        <w:rPr>
          <w:rtl/>
        </w:rPr>
        <w:t>‌ إضافة إل</w:t>
      </w:r>
      <w:r>
        <w:rPr>
          <w:rtl/>
        </w:rPr>
        <w:t>ى ك</w:t>
      </w:r>
      <w:r w:rsidRPr="00FE4C18">
        <w:rPr>
          <w:rtl/>
        </w:rPr>
        <w:t xml:space="preserve">ون طرفي </w:t>
      </w:r>
      <w:r>
        <w:rPr>
          <w:rtl/>
        </w:rPr>
        <w:t>ا</w:t>
      </w:r>
      <w:r w:rsidRPr="00FE4C18">
        <w:rPr>
          <w:rtl/>
        </w:rPr>
        <w:t>لاتفاق</w:t>
      </w:r>
      <w:r>
        <w:rPr>
          <w:rtl/>
        </w:rPr>
        <w:t>ي</w:t>
      </w:r>
      <w:r w:rsidRPr="00FE4C18">
        <w:rPr>
          <w:rtl/>
        </w:rPr>
        <w:t>ة عاقل</w:t>
      </w:r>
      <w:r>
        <w:rPr>
          <w:rtl/>
        </w:rPr>
        <w:t>ي</w:t>
      </w:r>
      <w:r w:rsidRPr="00FE4C18">
        <w:rPr>
          <w:rtl/>
        </w:rPr>
        <w:t>ن بالغ</w:t>
      </w:r>
      <w:r>
        <w:rPr>
          <w:rtl/>
        </w:rPr>
        <w:t>ي</w:t>
      </w:r>
      <w:r w:rsidRPr="00FE4C18">
        <w:rPr>
          <w:rtl/>
        </w:rPr>
        <w:t>ن رش</w:t>
      </w:r>
      <w:r>
        <w:rPr>
          <w:rtl/>
        </w:rPr>
        <w:t>ي</w:t>
      </w:r>
      <w:r w:rsidRPr="00FE4C18">
        <w:rPr>
          <w:rtl/>
        </w:rPr>
        <w:t>د</w:t>
      </w:r>
      <w:r>
        <w:rPr>
          <w:rtl/>
        </w:rPr>
        <w:t>ي</w:t>
      </w:r>
      <w:r w:rsidRPr="00FE4C18">
        <w:rPr>
          <w:rtl/>
        </w:rPr>
        <w:t xml:space="preserve">ن </w:t>
      </w:r>
      <w:r>
        <w:rPr>
          <w:rtl/>
        </w:rPr>
        <w:t>ـ</w:t>
      </w:r>
      <w:r w:rsidRPr="00FE4C18">
        <w:rPr>
          <w:rtl/>
        </w:rPr>
        <w:t xml:space="preserve"> </w:t>
      </w:r>
      <w:r>
        <w:rPr>
          <w:rtl/>
        </w:rPr>
        <w:t>ي</w:t>
      </w:r>
      <w:r w:rsidRPr="00FE4C18">
        <w:rPr>
          <w:rtl/>
        </w:rPr>
        <w:t>جب أنْ تتوفر ف</w:t>
      </w:r>
      <w:r>
        <w:rPr>
          <w:rtl/>
        </w:rPr>
        <w:t>ي</w:t>
      </w:r>
      <w:r w:rsidRPr="00FE4C18">
        <w:rPr>
          <w:rtl/>
        </w:rPr>
        <w:t>هما شروط أخر</w:t>
      </w:r>
      <w:r>
        <w:rPr>
          <w:rtl/>
        </w:rPr>
        <w:t>ى</w:t>
      </w:r>
      <w:r>
        <w:rPr>
          <w:rFonts w:hint="cs"/>
          <w:rtl/>
        </w:rPr>
        <w:t>،</w:t>
      </w:r>
      <w:r>
        <w:rPr>
          <w:rtl/>
        </w:rPr>
        <w:t xml:space="preserve"> </w:t>
      </w:r>
      <w:r w:rsidRPr="00FE4C18">
        <w:rPr>
          <w:rtl/>
        </w:rPr>
        <w:t>حت</w:t>
      </w:r>
      <w:r>
        <w:rPr>
          <w:rtl/>
        </w:rPr>
        <w:t>ى يك</w:t>
      </w:r>
      <w:r w:rsidRPr="00FE4C18">
        <w:rPr>
          <w:rtl/>
        </w:rPr>
        <w:t>ونا صالح</w:t>
      </w:r>
      <w:r>
        <w:rPr>
          <w:rtl/>
        </w:rPr>
        <w:t>ي</w:t>
      </w:r>
      <w:r w:rsidRPr="00FE4C18">
        <w:rPr>
          <w:rtl/>
        </w:rPr>
        <w:t>ن مؤه</w:t>
      </w:r>
      <w:r>
        <w:rPr>
          <w:rtl/>
        </w:rPr>
        <w:t>َّ</w:t>
      </w:r>
      <w:r w:rsidRPr="00FE4C18">
        <w:rPr>
          <w:rtl/>
        </w:rPr>
        <w:t>ل</w:t>
      </w:r>
      <w:r>
        <w:rPr>
          <w:rtl/>
        </w:rPr>
        <w:t>ي</w:t>
      </w:r>
      <w:r w:rsidRPr="00FE4C18">
        <w:rPr>
          <w:rtl/>
        </w:rPr>
        <w:t xml:space="preserve">ن لانعقاد هذه </w:t>
      </w:r>
      <w:r>
        <w:rPr>
          <w:rtl/>
        </w:rPr>
        <w:t>ا</w:t>
      </w:r>
      <w:r w:rsidRPr="00FE4C18">
        <w:rPr>
          <w:rtl/>
        </w:rPr>
        <w:t>لاتفاق</w:t>
      </w:r>
      <w:r>
        <w:rPr>
          <w:rtl/>
        </w:rPr>
        <w:t>ي</w:t>
      </w:r>
      <w:r w:rsidRPr="00FE4C18">
        <w:rPr>
          <w:rtl/>
        </w:rPr>
        <w:t>ة</w:t>
      </w:r>
      <w:r>
        <w:rPr>
          <w:rtl/>
        </w:rPr>
        <w:t>. وي</w:t>
      </w:r>
      <w:r w:rsidRPr="00FE4C18">
        <w:rPr>
          <w:rtl/>
        </w:rPr>
        <w:t>ذ</w:t>
      </w:r>
      <w:r>
        <w:rPr>
          <w:rtl/>
        </w:rPr>
        <w:t>ك</w:t>
      </w:r>
      <w:r w:rsidRPr="00FE4C18">
        <w:rPr>
          <w:rtl/>
        </w:rPr>
        <w:t xml:space="preserve">ر </w:t>
      </w:r>
      <w:r>
        <w:rPr>
          <w:rtl/>
        </w:rPr>
        <w:t>ا</w:t>
      </w:r>
      <w:r w:rsidRPr="00FE4C18">
        <w:rPr>
          <w:rtl/>
        </w:rPr>
        <w:t xml:space="preserve">لأطبّاء هذه </w:t>
      </w:r>
      <w:r>
        <w:rPr>
          <w:rtl/>
        </w:rPr>
        <w:t>ا</w:t>
      </w:r>
      <w:r w:rsidRPr="00FE4C18">
        <w:rPr>
          <w:rtl/>
        </w:rPr>
        <w:t>لشروط منعاً لحصول مشا</w:t>
      </w:r>
      <w:r>
        <w:rPr>
          <w:rtl/>
        </w:rPr>
        <w:t>ك</w:t>
      </w:r>
      <w:r w:rsidRPr="00FE4C18">
        <w:rPr>
          <w:rtl/>
        </w:rPr>
        <w:t>ل محتملة</w:t>
      </w:r>
      <w:r w:rsidRPr="007F5B58">
        <w:rPr>
          <w:rtl/>
        </w:rPr>
        <w:t>،</w:t>
      </w:r>
      <w:r>
        <w:rPr>
          <w:rtl/>
        </w:rPr>
        <w:t xml:space="preserve"> وي</w:t>
      </w:r>
      <w:r w:rsidRPr="00FE4C18">
        <w:rPr>
          <w:rtl/>
        </w:rPr>
        <w:t xml:space="preserve">شرحونها </w:t>
      </w:r>
      <w:r>
        <w:rPr>
          <w:rtl/>
        </w:rPr>
        <w:t>ك</w:t>
      </w:r>
      <w:r w:rsidRPr="00FE4C18">
        <w:rPr>
          <w:rtl/>
        </w:rPr>
        <w:t xml:space="preserve">ما </w:t>
      </w:r>
      <w:r>
        <w:rPr>
          <w:rtl/>
        </w:rPr>
        <w:t>ي</w:t>
      </w:r>
      <w:r w:rsidRPr="00FE4C18">
        <w:rPr>
          <w:rtl/>
        </w:rPr>
        <w:t>أتي</w:t>
      </w:r>
      <w:r w:rsidRPr="007F5B58">
        <w:rPr>
          <w:rtl/>
        </w:rPr>
        <w:t>:</w:t>
      </w:r>
      <w:r w:rsidRPr="00FE4C18">
        <w:rPr>
          <w:rtl/>
        </w:rPr>
        <w:t xml:space="preserve"> </w:t>
      </w:r>
    </w:p>
    <w:p w:rsidR="00391A35" w:rsidRPr="00FE4C18" w:rsidRDefault="00391A35" w:rsidP="0067362A">
      <w:pPr>
        <w:pStyle w:val="ac"/>
        <w:spacing w:line="206" w:lineRule="auto"/>
        <w:rPr>
          <w:rtl/>
        </w:rPr>
      </w:pPr>
      <w:r w:rsidRPr="00EC444C">
        <w:rPr>
          <w:b/>
          <w:bCs/>
          <w:rtl/>
        </w:rPr>
        <w:t>أ) ما يشترط في الزوجين:</w:t>
      </w:r>
      <w:r w:rsidRPr="009E1E53">
        <w:rPr>
          <w:rtl/>
        </w:rPr>
        <w:t xml:space="preserve"> </w:t>
      </w:r>
      <w:r w:rsidRPr="00FE4C18">
        <w:rPr>
          <w:rtl/>
        </w:rPr>
        <w:t xml:space="preserve">لعقد هذه </w:t>
      </w:r>
      <w:r>
        <w:rPr>
          <w:rtl/>
        </w:rPr>
        <w:t>ا</w:t>
      </w:r>
      <w:r w:rsidRPr="00FE4C18">
        <w:rPr>
          <w:rtl/>
        </w:rPr>
        <w:t>لاتفاق</w:t>
      </w:r>
      <w:r>
        <w:rPr>
          <w:rtl/>
        </w:rPr>
        <w:t>يّ</w:t>
      </w:r>
      <w:r w:rsidRPr="00FE4C18">
        <w:rPr>
          <w:rtl/>
        </w:rPr>
        <w:t xml:space="preserve">ة </w:t>
      </w:r>
      <w:r>
        <w:rPr>
          <w:rtl/>
        </w:rPr>
        <w:t>ك</w:t>
      </w:r>
      <w:r w:rsidRPr="00FE4C18">
        <w:rPr>
          <w:rtl/>
        </w:rPr>
        <w:t xml:space="preserve">أسلوب </w:t>
      </w:r>
      <w:r>
        <w:rPr>
          <w:rtl/>
        </w:rPr>
        <w:t>إ</w:t>
      </w:r>
      <w:r w:rsidRPr="00FE4C18">
        <w:rPr>
          <w:rtl/>
        </w:rPr>
        <w:t xml:space="preserve">هداء </w:t>
      </w:r>
      <w:r>
        <w:rPr>
          <w:rtl/>
        </w:rPr>
        <w:t>ا</w:t>
      </w:r>
      <w:r w:rsidRPr="00FE4C18">
        <w:rPr>
          <w:rtl/>
        </w:rPr>
        <w:t>لجن</w:t>
      </w:r>
      <w:r>
        <w:rPr>
          <w:rtl/>
        </w:rPr>
        <w:t>ي</w:t>
      </w:r>
      <w:r w:rsidRPr="00FE4C18">
        <w:rPr>
          <w:rtl/>
        </w:rPr>
        <w:t>ن تُعتبر شروط</w:t>
      </w:r>
      <w:r>
        <w:rPr>
          <w:rtl/>
        </w:rPr>
        <w:t>ٌ</w:t>
      </w:r>
      <w:r w:rsidRPr="00FE4C18">
        <w:rPr>
          <w:rtl/>
        </w:rPr>
        <w:t xml:space="preserve"> في </w:t>
      </w:r>
      <w:r>
        <w:rPr>
          <w:rtl/>
        </w:rPr>
        <w:t>ا</w:t>
      </w:r>
      <w:r w:rsidRPr="00FE4C18">
        <w:rPr>
          <w:rtl/>
        </w:rPr>
        <w:t>لزوج</w:t>
      </w:r>
      <w:r>
        <w:rPr>
          <w:rtl/>
        </w:rPr>
        <w:t>ي</w:t>
      </w:r>
      <w:r w:rsidRPr="00FE4C18">
        <w:rPr>
          <w:rtl/>
        </w:rPr>
        <w:t xml:space="preserve">ن </w:t>
      </w:r>
      <w:r>
        <w:rPr>
          <w:rtl/>
        </w:rPr>
        <w:t>ا</w:t>
      </w:r>
      <w:r w:rsidRPr="00FE4C18">
        <w:rPr>
          <w:rtl/>
        </w:rPr>
        <w:t>لعاقر</w:t>
      </w:r>
      <w:r>
        <w:rPr>
          <w:rtl/>
        </w:rPr>
        <w:t>ي</w:t>
      </w:r>
      <w:r w:rsidRPr="00FE4C18">
        <w:rPr>
          <w:rtl/>
        </w:rPr>
        <w:t>ن</w:t>
      </w:r>
      <w:r w:rsidRPr="007F5B58">
        <w:rPr>
          <w:rtl/>
        </w:rPr>
        <w:t>،</w:t>
      </w:r>
      <w:r w:rsidRPr="00FE4C18">
        <w:rPr>
          <w:rtl/>
        </w:rPr>
        <w:t xml:space="preserve"> </w:t>
      </w:r>
      <w:r>
        <w:rPr>
          <w:rtl/>
        </w:rPr>
        <w:t>ك</w:t>
      </w:r>
      <w:r w:rsidRPr="00FE4C18">
        <w:rPr>
          <w:rtl/>
        </w:rPr>
        <w:t xml:space="preserve">عدم </w:t>
      </w:r>
      <w:r>
        <w:rPr>
          <w:rtl/>
        </w:rPr>
        <w:t>ا</w:t>
      </w:r>
      <w:r w:rsidRPr="00FE4C18">
        <w:rPr>
          <w:rtl/>
        </w:rPr>
        <w:t>ل</w:t>
      </w:r>
      <w:r>
        <w:rPr>
          <w:rtl/>
        </w:rPr>
        <w:t>إ</w:t>
      </w:r>
      <w:r w:rsidRPr="00FE4C18">
        <w:rPr>
          <w:rtl/>
        </w:rPr>
        <w:t>دمان عل</w:t>
      </w:r>
      <w:r>
        <w:rPr>
          <w:rtl/>
        </w:rPr>
        <w:t>ى ا</w:t>
      </w:r>
      <w:r w:rsidRPr="00FE4C18">
        <w:rPr>
          <w:rtl/>
        </w:rPr>
        <w:t>لمخدّرات</w:t>
      </w:r>
      <w:r w:rsidRPr="007F5B58">
        <w:rPr>
          <w:rtl/>
        </w:rPr>
        <w:t>،</w:t>
      </w:r>
      <w:r w:rsidRPr="00FE4C18">
        <w:rPr>
          <w:rtl/>
        </w:rPr>
        <w:t xml:space="preserve"> أو عدم </w:t>
      </w:r>
      <w:r>
        <w:rPr>
          <w:rtl/>
        </w:rPr>
        <w:t>ا</w:t>
      </w:r>
      <w:r w:rsidRPr="00FE4C18">
        <w:rPr>
          <w:rtl/>
        </w:rPr>
        <w:t>ل</w:t>
      </w:r>
      <w:r>
        <w:rPr>
          <w:rtl/>
        </w:rPr>
        <w:t>إ</w:t>
      </w:r>
      <w:r w:rsidRPr="00FE4C18">
        <w:rPr>
          <w:rtl/>
        </w:rPr>
        <w:t xml:space="preserve">صابة بالأمراض </w:t>
      </w:r>
      <w:r>
        <w:rPr>
          <w:rtl/>
        </w:rPr>
        <w:t>ا</w:t>
      </w:r>
      <w:r w:rsidRPr="00FE4C18">
        <w:rPr>
          <w:rtl/>
        </w:rPr>
        <w:t>للاعلاج</w:t>
      </w:r>
      <w:r>
        <w:rPr>
          <w:rtl/>
        </w:rPr>
        <w:t>يّ</w:t>
      </w:r>
      <w:r w:rsidRPr="00FE4C18">
        <w:rPr>
          <w:rtl/>
        </w:rPr>
        <w:t xml:space="preserve">ة </w:t>
      </w:r>
      <w:r>
        <w:rPr>
          <w:rtl/>
        </w:rPr>
        <w:t>ا</w:t>
      </w:r>
      <w:r w:rsidRPr="00FE4C18">
        <w:rPr>
          <w:rtl/>
        </w:rPr>
        <w:t>لمعضلة</w:t>
      </w:r>
      <w:r>
        <w:rPr>
          <w:rtl/>
        </w:rPr>
        <w:t>.</w:t>
      </w:r>
      <w:r w:rsidRPr="00FE4C18">
        <w:rPr>
          <w:rtl/>
        </w:rPr>
        <w:t xml:space="preserve"> أما أقل </w:t>
      </w:r>
      <w:r>
        <w:rPr>
          <w:rtl/>
        </w:rPr>
        <w:t>ا</w:t>
      </w:r>
      <w:r w:rsidRPr="00FE4C18">
        <w:rPr>
          <w:rtl/>
        </w:rPr>
        <w:t>لشروط نظراً إل</w:t>
      </w:r>
      <w:r>
        <w:rPr>
          <w:rtl/>
        </w:rPr>
        <w:t>ى تـن</w:t>
      </w:r>
      <w:r w:rsidRPr="00FE4C18">
        <w:rPr>
          <w:rtl/>
        </w:rPr>
        <w:t>وع طر</w:t>
      </w:r>
      <w:r>
        <w:rPr>
          <w:rtl/>
        </w:rPr>
        <w:t>ي</w:t>
      </w:r>
      <w:r w:rsidRPr="00FE4C18">
        <w:rPr>
          <w:rtl/>
        </w:rPr>
        <w:t xml:space="preserve">قة </w:t>
      </w:r>
      <w:r w:rsidRPr="00FE4C18">
        <w:t>IVF</w:t>
      </w:r>
      <w:r w:rsidRPr="00FE4C18">
        <w:rPr>
          <w:rtl/>
        </w:rPr>
        <w:t xml:space="preserve"> هو</w:t>
      </w:r>
      <w:r>
        <w:rPr>
          <w:rFonts w:hint="cs"/>
          <w:rtl/>
        </w:rPr>
        <w:t xml:space="preserve"> </w:t>
      </w:r>
      <w:r w:rsidRPr="00FE4C18">
        <w:rPr>
          <w:rtl/>
        </w:rPr>
        <w:t xml:space="preserve">أنَّ هذه </w:t>
      </w:r>
      <w:r>
        <w:rPr>
          <w:rtl/>
        </w:rPr>
        <w:t>ا</w:t>
      </w:r>
      <w:r w:rsidRPr="00FE4C18">
        <w:rPr>
          <w:rtl/>
        </w:rPr>
        <w:t>لطر</w:t>
      </w:r>
      <w:r>
        <w:rPr>
          <w:rtl/>
        </w:rPr>
        <w:t>ي</w:t>
      </w:r>
      <w:r w:rsidRPr="00FE4C18">
        <w:rPr>
          <w:rtl/>
        </w:rPr>
        <w:t xml:space="preserve">قة تستعمل في </w:t>
      </w:r>
      <w:r>
        <w:rPr>
          <w:rtl/>
        </w:rPr>
        <w:t>ا</w:t>
      </w:r>
      <w:r w:rsidRPr="00FE4C18">
        <w:rPr>
          <w:rtl/>
        </w:rPr>
        <w:t>لمورد</w:t>
      </w:r>
      <w:r>
        <w:rPr>
          <w:rtl/>
        </w:rPr>
        <w:t>ي</w:t>
      </w:r>
      <w:r w:rsidRPr="00FE4C18">
        <w:rPr>
          <w:rtl/>
        </w:rPr>
        <w:t xml:space="preserve">ن </w:t>
      </w:r>
      <w:r>
        <w:rPr>
          <w:rtl/>
        </w:rPr>
        <w:t>ا</w:t>
      </w:r>
      <w:r w:rsidRPr="00FE4C18">
        <w:rPr>
          <w:rtl/>
        </w:rPr>
        <w:t>لتال</w:t>
      </w:r>
      <w:r>
        <w:rPr>
          <w:rtl/>
        </w:rPr>
        <w:t>يي</w:t>
      </w:r>
      <w:r w:rsidRPr="00FE4C18">
        <w:rPr>
          <w:rtl/>
        </w:rPr>
        <w:t>ن فقط</w:t>
      </w:r>
      <w:r w:rsidRPr="007F5B58">
        <w:rPr>
          <w:rtl/>
        </w:rPr>
        <w:t>:</w:t>
      </w:r>
      <w:r w:rsidRPr="00FE4C18">
        <w:rPr>
          <w:rtl/>
        </w:rPr>
        <w:t xml:space="preserve"> </w:t>
      </w:r>
    </w:p>
    <w:p w:rsidR="00391A35" w:rsidRPr="00FE4C18" w:rsidRDefault="00391A35" w:rsidP="0067362A">
      <w:pPr>
        <w:pStyle w:val="ac"/>
        <w:spacing w:line="206" w:lineRule="auto"/>
      </w:pPr>
      <w:r w:rsidRPr="00FE4C18">
        <w:rPr>
          <w:rtl/>
        </w:rPr>
        <w:t>1</w:t>
      </w:r>
      <w:r>
        <w:rPr>
          <w:rtl/>
        </w:rPr>
        <w:t>ـ</w:t>
      </w:r>
      <w:r w:rsidRPr="00FE4C18">
        <w:rPr>
          <w:rtl/>
        </w:rPr>
        <w:t xml:space="preserve"> </w:t>
      </w:r>
      <w:r>
        <w:rPr>
          <w:rtl/>
        </w:rPr>
        <w:t>ي</w:t>
      </w:r>
      <w:r w:rsidRPr="00FE4C18">
        <w:rPr>
          <w:rtl/>
        </w:rPr>
        <w:t xml:space="preserve">تمتّع </w:t>
      </w:r>
      <w:r>
        <w:rPr>
          <w:rtl/>
        </w:rPr>
        <w:t>ا</w:t>
      </w:r>
      <w:r w:rsidRPr="00FE4C18">
        <w:rPr>
          <w:rtl/>
        </w:rPr>
        <w:t xml:space="preserve">لزوجان </w:t>
      </w:r>
      <w:r w:rsidRPr="00EC444C">
        <w:rPr>
          <w:rFonts w:cs="Badr"/>
          <w:sz w:val="27"/>
          <w:rtl/>
        </w:rPr>
        <w:t>بإسپرم</w:t>
      </w:r>
      <w:r>
        <w:rPr>
          <w:rtl/>
        </w:rPr>
        <w:t xml:space="preserve"> و</w:t>
      </w:r>
      <w:r w:rsidRPr="00FE4C18">
        <w:rPr>
          <w:rtl/>
        </w:rPr>
        <w:t>بو</w:t>
      </w:r>
      <w:r>
        <w:rPr>
          <w:rtl/>
        </w:rPr>
        <w:t>ي</w:t>
      </w:r>
      <w:r w:rsidRPr="00FE4C18">
        <w:rPr>
          <w:rtl/>
        </w:rPr>
        <w:t>ضة سالم</w:t>
      </w:r>
      <w:r>
        <w:rPr>
          <w:rtl/>
        </w:rPr>
        <w:t>ي</w:t>
      </w:r>
      <w:r w:rsidRPr="00FE4C18">
        <w:rPr>
          <w:rtl/>
        </w:rPr>
        <w:t>ن</w:t>
      </w:r>
      <w:r>
        <w:rPr>
          <w:rtl/>
        </w:rPr>
        <w:t>.</w:t>
      </w:r>
      <w:r w:rsidRPr="00FE4C18">
        <w:rPr>
          <w:rtl/>
        </w:rPr>
        <w:t xml:space="preserve"> </w:t>
      </w:r>
    </w:p>
    <w:p w:rsidR="00391A35" w:rsidRPr="00FE4C18" w:rsidRDefault="00391A35" w:rsidP="0067362A">
      <w:pPr>
        <w:pStyle w:val="ac"/>
        <w:spacing w:line="206" w:lineRule="auto"/>
        <w:rPr>
          <w:rtl/>
        </w:rPr>
      </w:pPr>
      <w:r w:rsidRPr="00FE4C18">
        <w:rPr>
          <w:rtl/>
        </w:rPr>
        <w:t>2</w:t>
      </w:r>
      <w:r>
        <w:rPr>
          <w:rtl/>
        </w:rPr>
        <w:t>ـ</w:t>
      </w:r>
      <w:r w:rsidRPr="00FE4C18">
        <w:rPr>
          <w:rtl/>
        </w:rPr>
        <w:t xml:space="preserve"> </w:t>
      </w:r>
      <w:r>
        <w:rPr>
          <w:rtl/>
        </w:rPr>
        <w:t>ي</w:t>
      </w:r>
      <w:r w:rsidRPr="00FE4C18">
        <w:rPr>
          <w:rtl/>
        </w:rPr>
        <w:t xml:space="preserve">ستخدم رحم </w:t>
      </w:r>
      <w:r>
        <w:rPr>
          <w:rFonts w:hint="cs"/>
          <w:rtl/>
        </w:rPr>
        <w:t>ا</w:t>
      </w:r>
      <w:r w:rsidRPr="00FE4C18">
        <w:rPr>
          <w:rtl/>
        </w:rPr>
        <w:t>مرأة أخر</w:t>
      </w:r>
      <w:r>
        <w:rPr>
          <w:rtl/>
        </w:rPr>
        <w:t xml:space="preserve">ى </w:t>
      </w:r>
      <w:r w:rsidRPr="00FE4C18">
        <w:rPr>
          <w:rtl/>
        </w:rPr>
        <w:t xml:space="preserve">عندما تفقد </w:t>
      </w:r>
      <w:r>
        <w:rPr>
          <w:rtl/>
        </w:rPr>
        <w:t>ا</w:t>
      </w:r>
      <w:r w:rsidRPr="00FE4C18">
        <w:rPr>
          <w:rtl/>
        </w:rPr>
        <w:t>لزوجة رحمها لأسباب طارئة</w:t>
      </w:r>
      <w:r>
        <w:rPr>
          <w:rFonts w:hint="cs"/>
          <w:rtl/>
        </w:rPr>
        <w:t>،</w:t>
      </w:r>
      <w:r w:rsidRPr="00FE4C18">
        <w:rPr>
          <w:rtl/>
        </w:rPr>
        <w:t xml:space="preserve"> أو لا تقدر عل</w:t>
      </w:r>
      <w:r>
        <w:rPr>
          <w:rtl/>
        </w:rPr>
        <w:t xml:space="preserve">ى </w:t>
      </w:r>
      <w:r w:rsidRPr="00FE4C18">
        <w:rPr>
          <w:rtl/>
        </w:rPr>
        <w:t xml:space="preserve">حفظ </w:t>
      </w:r>
      <w:r>
        <w:rPr>
          <w:rtl/>
        </w:rPr>
        <w:t>ا</w:t>
      </w:r>
      <w:r w:rsidRPr="00FE4C18">
        <w:rPr>
          <w:rtl/>
        </w:rPr>
        <w:t>لجن</w:t>
      </w:r>
      <w:r>
        <w:rPr>
          <w:rtl/>
        </w:rPr>
        <w:t>ي</w:t>
      </w:r>
      <w:r w:rsidRPr="00FE4C18">
        <w:rPr>
          <w:rtl/>
        </w:rPr>
        <w:t>ن فقط</w:t>
      </w:r>
      <w:r>
        <w:rPr>
          <w:rtl/>
        </w:rPr>
        <w:t>.</w:t>
      </w:r>
      <w:r w:rsidRPr="00FE4C18">
        <w:rPr>
          <w:rtl/>
        </w:rPr>
        <w:t xml:space="preserve"> </w:t>
      </w:r>
    </w:p>
    <w:p w:rsidR="00391A35" w:rsidRPr="00FE4C18" w:rsidRDefault="00391A35" w:rsidP="00391A35">
      <w:pPr>
        <w:pStyle w:val="ac"/>
        <w:rPr>
          <w:rtl/>
        </w:rPr>
      </w:pPr>
      <w:r w:rsidRPr="00EC444C">
        <w:rPr>
          <w:b/>
          <w:bCs/>
          <w:rtl/>
        </w:rPr>
        <w:lastRenderedPageBreak/>
        <w:t>ب) شروط صاحبة الرحم:</w:t>
      </w:r>
      <w:r>
        <w:rPr>
          <w:rtl/>
        </w:rPr>
        <w:t xml:space="preserve"> </w:t>
      </w:r>
      <w:r w:rsidRPr="00FE4C18">
        <w:rPr>
          <w:rtl/>
        </w:rPr>
        <w:t>1</w:t>
      </w:r>
      <w:r>
        <w:rPr>
          <w:rtl/>
        </w:rPr>
        <w:t>ـ</w:t>
      </w:r>
      <w:r>
        <w:rPr>
          <w:rFonts w:hint="cs"/>
          <w:rtl/>
        </w:rPr>
        <w:t xml:space="preserve"> </w:t>
      </w:r>
      <w:r w:rsidRPr="00FE4C18">
        <w:rPr>
          <w:rtl/>
        </w:rPr>
        <w:t>أن ت</w:t>
      </w:r>
      <w:r>
        <w:rPr>
          <w:rtl/>
        </w:rPr>
        <w:t>ك</w:t>
      </w:r>
      <w:r w:rsidRPr="00FE4C18">
        <w:rPr>
          <w:rtl/>
        </w:rPr>
        <w:t>ون متزوجة.</w:t>
      </w:r>
    </w:p>
    <w:p w:rsidR="00391A35" w:rsidRPr="00FE4C18" w:rsidRDefault="00391A35" w:rsidP="00391A35">
      <w:pPr>
        <w:pStyle w:val="ac"/>
        <w:rPr>
          <w:rtl/>
        </w:rPr>
      </w:pPr>
      <w:r w:rsidRPr="00FE4C18">
        <w:rPr>
          <w:rtl/>
        </w:rPr>
        <w:t>2</w:t>
      </w:r>
      <w:r>
        <w:rPr>
          <w:rtl/>
        </w:rPr>
        <w:t>ـ</w:t>
      </w:r>
      <w:r w:rsidRPr="00FE4C18">
        <w:rPr>
          <w:rtl/>
        </w:rPr>
        <w:t xml:space="preserve"> أن ت</w:t>
      </w:r>
      <w:r>
        <w:rPr>
          <w:rtl/>
        </w:rPr>
        <w:t>ك</w:t>
      </w:r>
      <w:r w:rsidRPr="00FE4C18">
        <w:rPr>
          <w:rtl/>
        </w:rPr>
        <w:t xml:space="preserve">ون </w:t>
      </w:r>
      <w:r>
        <w:rPr>
          <w:rtl/>
        </w:rPr>
        <w:t xml:space="preserve">قد حملت من قبل </w:t>
      </w:r>
      <w:r w:rsidRPr="00FE4C18">
        <w:rPr>
          <w:rtl/>
        </w:rPr>
        <w:t>مرة واحدة عل</w:t>
      </w:r>
      <w:r>
        <w:rPr>
          <w:rtl/>
        </w:rPr>
        <w:t>ى ا</w:t>
      </w:r>
      <w:r w:rsidRPr="00FE4C18">
        <w:rPr>
          <w:rtl/>
        </w:rPr>
        <w:t>لأقل</w:t>
      </w:r>
      <w:r>
        <w:rPr>
          <w:rtl/>
        </w:rPr>
        <w:t>.</w:t>
      </w:r>
    </w:p>
    <w:p w:rsidR="00391A35" w:rsidRPr="00FE4C18" w:rsidRDefault="00391A35" w:rsidP="00391A35">
      <w:pPr>
        <w:pStyle w:val="ac"/>
        <w:rPr>
          <w:rtl/>
        </w:rPr>
      </w:pPr>
      <w:r w:rsidRPr="00FE4C18">
        <w:rPr>
          <w:rtl/>
        </w:rPr>
        <w:t>3</w:t>
      </w:r>
      <w:r>
        <w:rPr>
          <w:rtl/>
        </w:rPr>
        <w:t>ـ</w:t>
      </w:r>
      <w:r w:rsidRPr="00FE4C18">
        <w:rPr>
          <w:rtl/>
        </w:rPr>
        <w:t xml:space="preserve"> عند عقد </w:t>
      </w:r>
      <w:r>
        <w:rPr>
          <w:rtl/>
        </w:rPr>
        <w:t>ا</w:t>
      </w:r>
      <w:r w:rsidRPr="00FE4C18">
        <w:rPr>
          <w:rtl/>
        </w:rPr>
        <w:t>لاتفاق</w:t>
      </w:r>
      <w:r>
        <w:rPr>
          <w:rtl/>
        </w:rPr>
        <w:t>ي</w:t>
      </w:r>
      <w:r w:rsidRPr="00FE4C18">
        <w:rPr>
          <w:rtl/>
        </w:rPr>
        <w:t>ة تتول</w:t>
      </w:r>
      <w:r>
        <w:rPr>
          <w:rtl/>
        </w:rPr>
        <w:t xml:space="preserve">ى </w:t>
      </w:r>
      <w:r w:rsidRPr="00FE4C18">
        <w:rPr>
          <w:rtl/>
        </w:rPr>
        <w:t>رعا</w:t>
      </w:r>
      <w:r>
        <w:rPr>
          <w:rtl/>
        </w:rPr>
        <w:t>ي</w:t>
      </w:r>
      <w:r w:rsidRPr="00FE4C18">
        <w:rPr>
          <w:rtl/>
        </w:rPr>
        <w:t xml:space="preserve">ة </w:t>
      </w:r>
      <w:r>
        <w:rPr>
          <w:rtl/>
        </w:rPr>
        <w:t>ا</w:t>
      </w:r>
      <w:r w:rsidRPr="00FE4C18">
        <w:rPr>
          <w:rtl/>
        </w:rPr>
        <w:t>لطفل</w:t>
      </w:r>
      <w:r>
        <w:rPr>
          <w:rtl/>
        </w:rPr>
        <w:t>.</w:t>
      </w:r>
      <w:r w:rsidRPr="00FE4C18">
        <w:rPr>
          <w:rtl/>
        </w:rPr>
        <w:t xml:space="preserve"> </w:t>
      </w:r>
    </w:p>
    <w:p w:rsidR="00391A35" w:rsidRPr="00FE4C18" w:rsidRDefault="00391A35" w:rsidP="00391A35">
      <w:pPr>
        <w:pStyle w:val="ac"/>
        <w:rPr>
          <w:rtl/>
        </w:rPr>
      </w:pPr>
      <w:r w:rsidRPr="00FE4C18">
        <w:rPr>
          <w:rtl/>
        </w:rPr>
        <w:t>4</w:t>
      </w:r>
      <w:r>
        <w:rPr>
          <w:rtl/>
        </w:rPr>
        <w:t>ـ</w:t>
      </w:r>
      <w:r w:rsidRPr="00FE4C18">
        <w:rPr>
          <w:rtl/>
        </w:rPr>
        <w:t xml:space="preserve"> </w:t>
      </w:r>
      <w:r>
        <w:rPr>
          <w:rtl/>
        </w:rPr>
        <w:t>ي</w:t>
      </w:r>
      <w:r w:rsidRPr="00FE4C18">
        <w:rPr>
          <w:rtl/>
        </w:rPr>
        <w:t xml:space="preserve">جب أخذ موافقة </w:t>
      </w:r>
      <w:r>
        <w:rPr>
          <w:rtl/>
        </w:rPr>
        <w:t>ا</w:t>
      </w:r>
      <w:r w:rsidRPr="00FE4C18">
        <w:rPr>
          <w:rtl/>
        </w:rPr>
        <w:t>لزوج عندما ت</w:t>
      </w:r>
      <w:r>
        <w:rPr>
          <w:rtl/>
        </w:rPr>
        <w:t>ك</w:t>
      </w:r>
      <w:r w:rsidRPr="00FE4C18">
        <w:rPr>
          <w:rtl/>
        </w:rPr>
        <w:t xml:space="preserve">ون صاحبة </w:t>
      </w:r>
      <w:r>
        <w:rPr>
          <w:rtl/>
        </w:rPr>
        <w:t>ا</w:t>
      </w:r>
      <w:r w:rsidRPr="00FE4C18">
        <w:rPr>
          <w:rtl/>
        </w:rPr>
        <w:t>لرحم متزو</w:t>
      </w:r>
      <w:r>
        <w:rPr>
          <w:rtl/>
        </w:rPr>
        <w:t>ِّ</w:t>
      </w:r>
      <w:r w:rsidRPr="00FE4C18">
        <w:rPr>
          <w:rtl/>
        </w:rPr>
        <w:t>جة</w:t>
      </w:r>
      <w:r>
        <w:rPr>
          <w:rtl/>
        </w:rPr>
        <w:t>.</w:t>
      </w:r>
      <w:r w:rsidRPr="00FE4C18">
        <w:rPr>
          <w:rtl/>
        </w:rPr>
        <w:t xml:space="preserve"> </w:t>
      </w:r>
    </w:p>
    <w:p w:rsidR="00391A35" w:rsidRPr="00FE4C18" w:rsidRDefault="00391A35" w:rsidP="00391A35">
      <w:pPr>
        <w:pStyle w:val="ac"/>
        <w:rPr>
          <w:rtl/>
        </w:rPr>
      </w:pPr>
      <w:r w:rsidRPr="00FE4C18">
        <w:rPr>
          <w:rtl/>
        </w:rPr>
        <w:t>5</w:t>
      </w:r>
      <w:r>
        <w:rPr>
          <w:rtl/>
        </w:rPr>
        <w:t>ـ</w:t>
      </w:r>
      <w:r w:rsidRPr="00FE4C18">
        <w:rPr>
          <w:rtl/>
        </w:rPr>
        <w:t xml:space="preserve"> أن </w:t>
      </w:r>
      <w:r>
        <w:rPr>
          <w:rtl/>
        </w:rPr>
        <w:t>ي</w:t>
      </w:r>
      <w:r w:rsidRPr="00FE4C18">
        <w:rPr>
          <w:rtl/>
        </w:rPr>
        <w:t>تراوح عمرها ب</w:t>
      </w:r>
      <w:r>
        <w:rPr>
          <w:rtl/>
        </w:rPr>
        <w:t>ي</w:t>
      </w:r>
      <w:r w:rsidRPr="00FE4C18">
        <w:rPr>
          <w:rtl/>
        </w:rPr>
        <w:t>ن 20 إل</w:t>
      </w:r>
      <w:r>
        <w:rPr>
          <w:rtl/>
        </w:rPr>
        <w:t xml:space="preserve">ى </w:t>
      </w:r>
      <w:r w:rsidRPr="00FE4C18">
        <w:rPr>
          <w:rtl/>
        </w:rPr>
        <w:t>35 سنة</w:t>
      </w:r>
      <w:r>
        <w:rPr>
          <w:rtl/>
        </w:rPr>
        <w:t>.</w:t>
      </w:r>
      <w:r w:rsidRPr="00FE4C18">
        <w:rPr>
          <w:rtl/>
        </w:rPr>
        <w:t xml:space="preserve"> </w:t>
      </w:r>
    </w:p>
    <w:p w:rsidR="00391A35" w:rsidRPr="00FE4C18" w:rsidRDefault="00391A35" w:rsidP="00391A35">
      <w:pPr>
        <w:pStyle w:val="ac"/>
        <w:rPr>
          <w:rtl/>
        </w:rPr>
      </w:pPr>
      <w:r>
        <w:rPr>
          <w:rtl/>
        </w:rPr>
        <w:t xml:space="preserve">إنّ </w:t>
      </w:r>
      <w:r w:rsidRPr="00FE4C18">
        <w:rPr>
          <w:rtl/>
        </w:rPr>
        <w:t xml:space="preserve">وجود هذه </w:t>
      </w:r>
      <w:r>
        <w:rPr>
          <w:rtl/>
        </w:rPr>
        <w:t>ا</w:t>
      </w:r>
      <w:r w:rsidRPr="00FE4C18">
        <w:rPr>
          <w:rtl/>
        </w:rPr>
        <w:t>لشروط</w:t>
      </w:r>
      <w:r>
        <w:rPr>
          <w:rtl/>
        </w:rPr>
        <w:t xml:space="preserve"> ي</w:t>
      </w:r>
      <w:r w:rsidRPr="00FE4C18">
        <w:rPr>
          <w:rtl/>
        </w:rPr>
        <w:t>ظهر إل</w:t>
      </w:r>
      <w:r>
        <w:rPr>
          <w:rtl/>
        </w:rPr>
        <w:t xml:space="preserve">ى </w:t>
      </w:r>
      <w:r w:rsidRPr="00FE4C18">
        <w:rPr>
          <w:rtl/>
        </w:rPr>
        <w:t>حد</w:t>
      </w:r>
      <w:r>
        <w:rPr>
          <w:rFonts w:hint="cs"/>
          <w:rtl/>
        </w:rPr>
        <w:t>ٍّ</w:t>
      </w:r>
      <w:r w:rsidRPr="00FE4C18">
        <w:rPr>
          <w:rtl/>
        </w:rPr>
        <w:t xml:space="preserve"> ما أهل</w:t>
      </w:r>
      <w:r>
        <w:rPr>
          <w:rtl/>
        </w:rPr>
        <w:t>يّ</w:t>
      </w:r>
      <w:r w:rsidRPr="00FE4C18">
        <w:rPr>
          <w:rtl/>
        </w:rPr>
        <w:t xml:space="preserve">ة </w:t>
      </w:r>
      <w:r>
        <w:rPr>
          <w:rtl/>
        </w:rPr>
        <w:t>ا</w:t>
      </w:r>
      <w:r w:rsidRPr="00FE4C18">
        <w:rPr>
          <w:rtl/>
        </w:rPr>
        <w:t>لطرف</w:t>
      </w:r>
      <w:r>
        <w:rPr>
          <w:rtl/>
        </w:rPr>
        <w:t>ي</w:t>
      </w:r>
      <w:r w:rsidRPr="00FE4C18">
        <w:rPr>
          <w:rtl/>
        </w:rPr>
        <w:t>ن</w:t>
      </w:r>
      <w:r>
        <w:rPr>
          <w:rtl/>
        </w:rPr>
        <w:t>. و</w:t>
      </w:r>
      <w:r w:rsidRPr="00FE4C18">
        <w:rPr>
          <w:rtl/>
        </w:rPr>
        <w:t>عل</w:t>
      </w:r>
      <w:r>
        <w:rPr>
          <w:rtl/>
        </w:rPr>
        <w:t xml:space="preserve">ى </w:t>
      </w:r>
      <w:r w:rsidRPr="00FE4C18">
        <w:rPr>
          <w:rtl/>
        </w:rPr>
        <w:t xml:space="preserve">هذا </w:t>
      </w:r>
      <w:r>
        <w:rPr>
          <w:rtl/>
        </w:rPr>
        <w:t>ف</w:t>
      </w:r>
      <w:r w:rsidRPr="00FE4C18">
        <w:rPr>
          <w:rtl/>
        </w:rPr>
        <w:t>في اتفاق</w:t>
      </w:r>
      <w:r>
        <w:rPr>
          <w:rtl/>
        </w:rPr>
        <w:t>ي</w:t>
      </w:r>
      <w:r w:rsidRPr="00FE4C18">
        <w:rPr>
          <w:rtl/>
        </w:rPr>
        <w:t xml:space="preserve">ة </w:t>
      </w:r>
      <w:r>
        <w:rPr>
          <w:rtl/>
        </w:rPr>
        <w:t>ا</w:t>
      </w:r>
      <w:r w:rsidRPr="00FE4C18">
        <w:rPr>
          <w:rtl/>
        </w:rPr>
        <w:t xml:space="preserve">ستخدام رحم </w:t>
      </w:r>
      <w:r>
        <w:rPr>
          <w:rtl/>
        </w:rPr>
        <w:t>ا</w:t>
      </w:r>
      <w:r w:rsidRPr="00FE4C18">
        <w:rPr>
          <w:rtl/>
        </w:rPr>
        <w:t xml:space="preserve">لمرأة </w:t>
      </w:r>
      <w:r>
        <w:rPr>
          <w:rtl/>
        </w:rPr>
        <w:t>ي</w:t>
      </w:r>
      <w:r w:rsidRPr="00FE4C18">
        <w:rPr>
          <w:rtl/>
        </w:rPr>
        <w:t>جب عل</w:t>
      </w:r>
      <w:r>
        <w:rPr>
          <w:rtl/>
        </w:rPr>
        <w:t xml:space="preserve">ى </w:t>
      </w:r>
      <w:r w:rsidRPr="00FE4C18">
        <w:rPr>
          <w:rtl/>
        </w:rPr>
        <w:t xml:space="preserve">طرفي </w:t>
      </w:r>
      <w:r>
        <w:rPr>
          <w:rtl/>
        </w:rPr>
        <w:t>ا</w:t>
      </w:r>
      <w:r w:rsidRPr="00FE4C18">
        <w:rPr>
          <w:rtl/>
        </w:rPr>
        <w:t>لعقد أنْ تتوفّر ف</w:t>
      </w:r>
      <w:r>
        <w:rPr>
          <w:rtl/>
        </w:rPr>
        <w:t>ي</w:t>
      </w:r>
      <w:r w:rsidRPr="00FE4C18">
        <w:rPr>
          <w:rtl/>
        </w:rPr>
        <w:t xml:space="preserve">هما شروط </w:t>
      </w:r>
      <w:r>
        <w:rPr>
          <w:rtl/>
        </w:rPr>
        <w:t>ا</w:t>
      </w:r>
      <w:r w:rsidRPr="00FE4C18">
        <w:rPr>
          <w:rtl/>
        </w:rPr>
        <w:t>لأهل</w:t>
      </w:r>
      <w:r>
        <w:rPr>
          <w:rtl/>
        </w:rPr>
        <w:t>يّ</w:t>
      </w:r>
      <w:r w:rsidRPr="00FE4C18">
        <w:rPr>
          <w:rtl/>
        </w:rPr>
        <w:t xml:space="preserve">ة </w:t>
      </w:r>
      <w:r>
        <w:rPr>
          <w:rtl/>
        </w:rPr>
        <w:t>ا</w:t>
      </w:r>
      <w:r w:rsidRPr="00FE4C18">
        <w:rPr>
          <w:rtl/>
        </w:rPr>
        <w:t>لخاصّة</w:t>
      </w:r>
      <w:r w:rsidRPr="007F5B58">
        <w:rPr>
          <w:rtl/>
        </w:rPr>
        <w:t>،</w:t>
      </w:r>
      <w:r w:rsidRPr="00FE4C18">
        <w:rPr>
          <w:rtl/>
        </w:rPr>
        <w:t xml:space="preserve"> إضافة</w:t>
      </w:r>
      <w:r>
        <w:rPr>
          <w:rtl/>
        </w:rPr>
        <w:t xml:space="preserve"> </w:t>
      </w:r>
      <w:r w:rsidRPr="00FE4C18">
        <w:rPr>
          <w:rtl/>
        </w:rPr>
        <w:t>‌إل</w:t>
      </w:r>
      <w:r>
        <w:rPr>
          <w:rtl/>
        </w:rPr>
        <w:t xml:space="preserve">ى </w:t>
      </w:r>
      <w:r w:rsidRPr="00FE4C18">
        <w:rPr>
          <w:rtl/>
        </w:rPr>
        <w:t xml:space="preserve">تمتعهما بشروط </w:t>
      </w:r>
      <w:r>
        <w:rPr>
          <w:rtl/>
        </w:rPr>
        <w:t>ا</w:t>
      </w:r>
      <w:r w:rsidRPr="00FE4C18">
        <w:rPr>
          <w:rtl/>
        </w:rPr>
        <w:t>ل</w:t>
      </w:r>
      <w:r>
        <w:rPr>
          <w:rtl/>
        </w:rPr>
        <w:t>أ</w:t>
      </w:r>
      <w:r w:rsidRPr="00FE4C18">
        <w:rPr>
          <w:rtl/>
        </w:rPr>
        <w:t>هل</w:t>
      </w:r>
      <w:r>
        <w:rPr>
          <w:rtl/>
        </w:rPr>
        <w:t>يّ</w:t>
      </w:r>
      <w:r w:rsidRPr="00FE4C18">
        <w:rPr>
          <w:rtl/>
        </w:rPr>
        <w:t xml:space="preserve">ة </w:t>
      </w:r>
      <w:r>
        <w:rPr>
          <w:rtl/>
        </w:rPr>
        <w:t>ا</w:t>
      </w:r>
      <w:r w:rsidRPr="00FE4C18">
        <w:rPr>
          <w:rtl/>
        </w:rPr>
        <w:t>لعامة</w:t>
      </w:r>
      <w:r>
        <w:rPr>
          <w:rtl/>
        </w:rPr>
        <w:t xml:space="preserve"> </w:t>
      </w:r>
      <w:r w:rsidRPr="00FE4C18">
        <w:rPr>
          <w:rtl/>
        </w:rPr>
        <w:t>‌أ</w:t>
      </w:r>
      <w:r>
        <w:rPr>
          <w:rtl/>
        </w:rPr>
        <w:t>ي</w:t>
      </w:r>
      <w:r w:rsidRPr="00FE4C18">
        <w:rPr>
          <w:rtl/>
        </w:rPr>
        <w:t>ضاً</w:t>
      </w:r>
      <w:r>
        <w:rPr>
          <w:rtl/>
        </w:rPr>
        <w:t>.</w:t>
      </w:r>
      <w:r w:rsidRPr="00FE4C18">
        <w:rPr>
          <w:rtl/>
        </w:rPr>
        <w:t xml:space="preserve"> </w:t>
      </w:r>
    </w:p>
    <w:p w:rsidR="00391A35" w:rsidRPr="00FE4C18" w:rsidRDefault="00391A35" w:rsidP="00391A35">
      <w:pPr>
        <w:pStyle w:val="ac"/>
        <w:rPr>
          <w:rtl/>
        </w:rPr>
      </w:pPr>
      <w:r w:rsidRPr="00FE4C18">
        <w:rPr>
          <w:rtl/>
        </w:rPr>
        <w:t>و بناءً عل</w:t>
      </w:r>
      <w:r>
        <w:rPr>
          <w:rtl/>
        </w:rPr>
        <w:t xml:space="preserve">ى </w:t>
      </w:r>
      <w:r w:rsidRPr="00FE4C18">
        <w:rPr>
          <w:rtl/>
        </w:rPr>
        <w:t>هذا ف</w:t>
      </w:r>
      <w:r>
        <w:rPr>
          <w:rtl/>
        </w:rPr>
        <w:t>ك</w:t>
      </w:r>
      <w:r w:rsidRPr="00FE4C18">
        <w:rPr>
          <w:rtl/>
        </w:rPr>
        <w:t xml:space="preserve">ما أنَّ </w:t>
      </w:r>
      <w:r>
        <w:rPr>
          <w:rtl/>
        </w:rPr>
        <w:t>ا</w:t>
      </w:r>
      <w:r w:rsidRPr="00FE4C18">
        <w:rPr>
          <w:rtl/>
        </w:rPr>
        <w:t xml:space="preserve">لتعامل مع من لم </w:t>
      </w:r>
      <w:r>
        <w:rPr>
          <w:rtl/>
        </w:rPr>
        <w:t>يك</w:t>
      </w:r>
      <w:r w:rsidRPr="00FE4C18">
        <w:rPr>
          <w:rtl/>
        </w:rPr>
        <w:t>ن بالغاً وعاقلاً ورش</w:t>
      </w:r>
      <w:r>
        <w:rPr>
          <w:rtl/>
        </w:rPr>
        <w:t>ي</w:t>
      </w:r>
      <w:r w:rsidRPr="00FE4C18">
        <w:rPr>
          <w:rtl/>
        </w:rPr>
        <w:t xml:space="preserve">داً </w:t>
      </w:r>
      <w:r>
        <w:rPr>
          <w:rtl/>
        </w:rPr>
        <w:t>يك</w:t>
      </w:r>
      <w:r w:rsidRPr="00FE4C18">
        <w:rPr>
          <w:rtl/>
        </w:rPr>
        <w:t>ون</w:t>
      </w:r>
      <w:r>
        <w:rPr>
          <w:rFonts w:hint="cs"/>
          <w:rtl/>
        </w:rPr>
        <w:t>؛</w:t>
      </w:r>
      <w:r w:rsidRPr="00FE4C18">
        <w:rPr>
          <w:rtl/>
        </w:rPr>
        <w:t xml:space="preserve"> وفق </w:t>
      </w:r>
      <w:r>
        <w:rPr>
          <w:rtl/>
        </w:rPr>
        <w:t>ا</w:t>
      </w:r>
      <w:r w:rsidRPr="00FE4C18">
        <w:rPr>
          <w:rtl/>
        </w:rPr>
        <w:t xml:space="preserve">لمادة 212 </w:t>
      </w:r>
      <w:r>
        <w:rPr>
          <w:rtl/>
        </w:rPr>
        <w:t>مبدأ القانو</w:t>
      </w:r>
      <w:r>
        <w:rPr>
          <w:rFonts w:hint="cs"/>
          <w:rtl/>
        </w:rPr>
        <w:t>ن</w:t>
      </w:r>
      <w:r>
        <w:rPr>
          <w:rtl/>
        </w:rPr>
        <w:t xml:space="preserve"> المدني</w:t>
      </w:r>
      <w:r>
        <w:rPr>
          <w:rFonts w:hint="cs"/>
          <w:rtl/>
        </w:rPr>
        <w:t>،</w:t>
      </w:r>
      <w:r>
        <w:rPr>
          <w:rtl/>
        </w:rPr>
        <w:t xml:space="preserve"> </w:t>
      </w:r>
      <w:r w:rsidRPr="00FE4C18">
        <w:rPr>
          <w:rtl/>
        </w:rPr>
        <w:t>باطلاً</w:t>
      </w:r>
      <w:r w:rsidRPr="007F5B58">
        <w:rPr>
          <w:rtl/>
        </w:rPr>
        <w:t>؛</w:t>
      </w:r>
      <w:r w:rsidRPr="00FE4C18">
        <w:rPr>
          <w:rtl/>
        </w:rPr>
        <w:t xml:space="preserve"> لعدم إحراز </w:t>
      </w:r>
      <w:r>
        <w:rPr>
          <w:rtl/>
        </w:rPr>
        <w:t>ا</w:t>
      </w:r>
      <w:r w:rsidRPr="00FE4C18">
        <w:rPr>
          <w:rtl/>
        </w:rPr>
        <w:t>لأهل</w:t>
      </w:r>
      <w:r>
        <w:rPr>
          <w:rtl/>
        </w:rPr>
        <w:t>يّ</w:t>
      </w:r>
      <w:r w:rsidRPr="00FE4C18">
        <w:rPr>
          <w:rtl/>
        </w:rPr>
        <w:t>ة</w:t>
      </w:r>
      <w:r w:rsidRPr="007F5B58">
        <w:rPr>
          <w:rtl/>
        </w:rPr>
        <w:t>،</w:t>
      </w:r>
      <w:r w:rsidRPr="00FE4C18">
        <w:rPr>
          <w:rtl/>
        </w:rPr>
        <w:t xml:space="preserve"> ف</w:t>
      </w:r>
      <w:r>
        <w:rPr>
          <w:rtl/>
        </w:rPr>
        <w:t>ك</w:t>
      </w:r>
      <w:r w:rsidRPr="00FE4C18">
        <w:rPr>
          <w:rtl/>
        </w:rPr>
        <w:t>ذل</w:t>
      </w:r>
      <w:r>
        <w:rPr>
          <w:rtl/>
        </w:rPr>
        <w:t>ك</w:t>
      </w:r>
      <w:r w:rsidRPr="00FE4C18">
        <w:rPr>
          <w:rtl/>
        </w:rPr>
        <w:t xml:space="preserve"> </w:t>
      </w:r>
      <w:r>
        <w:rPr>
          <w:rtl/>
        </w:rPr>
        <w:t>ا</w:t>
      </w:r>
      <w:r w:rsidRPr="00FE4C18">
        <w:rPr>
          <w:rtl/>
        </w:rPr>
        <w:t>لأمر في عقد اتفاق</w:t>
      </w:r>
      <w:r>
        <w:rPr>
          <w:rtl/>
        </w:rPr>
        <w:t>ي</w:t>
      </w:r>
      <w:r w:rsidRPr="00FE4C18">
        <w:rPr>
          <w:rtl/>
        </w:rPr>
        <w:t xml:space="preserve">ة </w:t>
      </w:r>
      <w:r>
        <w:rPr>
          <w:rtl/>
        </w:rPr>
        <w:t>ا</w:t>
      </w:r>
      <w:r w:rsidRPr="00FE4C18">
        <w:rPr>
          <w:rtl/>
        </w:rPr>
        <w:t>لاستفادة من رحم امرأة</w:t>
      </w:r>
      <w:r>
        <w:rPr>
          <w:rtl/>
        </w:rPr>
        <w:t xml:space="preserve"> </w:t>
      </w:r>
      <w:r w:rsidRPr="00FE4C18">
        <w:rPr>
          <w:rtl/>
        </w:rPr>
        <w:t>‌ح</w:t>
      </w:r>
      <w:r>
        <w:rPr>
          <w:rtl/>
        </w:rPr>
        <w:t>ي</w:t>
      </w:r>
      <w:r w:rsidRPr="00FE4C18">
        <w:rPr>
          <w:rtl/>
        </w:rPr>
        <w:t xml:space="preserve">ن </w:t>
      </w:r>
      <w:r>
        <w:rPr>
          <w:rtl/>
        </w:rPr>
        <w:t>يك</w:t>
      </w:r>
      <w:r w:rsidRPr="00FE4C18">
        <w:rPr>
          <w:rtl/>
        </w:rPr>
        <w:t xml:space="preserve">ون </w:t>
      </w:r>
      <w:r>
        <w:rPr>
          <w:rtl/>
        </w:rPr>
        <w:t>ا</w:t>
      </w:r>
      <w:r w:rsidRPr="00FE4C18">
        <w:rPr>
          <w:rtl/>
        </w:rPr>
        <w:t>لطرفان فاقد</w:t>
      </w:r>
      <w:r>
        <w:rPr>
          <w:rtl/>
        </w:rPr>
        <w:t>ي</w:t>
      </w:r>
      <w:r w:rsidRPr="00FE4C18">
        <w:rPr>
          <w:rtl/>
        </w:rPr>
        <w:t>ن للأهل</w:t>
      </w:r>
      <w:r>
        <w:rPr>
          <w:rtl/>
        </w:rPr>
        <w:t>يّ</w:t>
      </w:r>
      <w:r w:rsidRPr="00FE4C18">
        <w:rPr>
          <w:rtl/>
        </w:rPr>
        <w:t xml:space="preserve">ة </w:t>
      </w:r>
      <w:r>
        <w:rPr>
          <w:rtl/>
        </w:rPr>
        <w:t>ا</w:t>
      </w:r>
      <w:r w:rsidRPr="00FE4C18">
        <w:rPr>
          <w:rtl/>
        </w:rPr>
        <w:t>لخاصّة</w:t>
      </w:r>
      <w:r w:rsidRPr="007F5B58">
        <w:rPr>
          <w:rtl/>
        </w:rPr>
        <w:t>،</w:t>
      </w:r>
      <w:r w:rsidRPr="00FE4C18">
        <w:rPr>
          <w:rtl/>
        </w:rPr>
        <w:t xml:space="preserve"> </w:t>
      </w:r>
      <w:r>
        <w:rPr>
          <w:rtl/>
        </w:rPr>
        <w:t>و</w:t>
      </w:r>
      <w:r w:rsidRPr="00FE4C18">
        <w:rPr>
          <w:rtl/>
        </w:rPr>
        <w:t>لذل</w:t>
      </w:r>
      <w:r>
        <w:rPr>
          <w:rtl/>
        </w:rPr>
        <w:t>ك</w:t>
      </w:r>
      <w:r w:rsidRPr="00FE4C18">
        <w:rPr>
          <w:rtl/>
        </w:rPr>
        <w:t xml:space="preserve"> </w:t>
      </w:r>
      <w:r>
        <w:rPr>
          <w:rtl/>
        </w:rPr>
        <w:t>يُ</w:t>
      </w:r>
      <w:r w:rsidRPr="00FE4C18">
        <w:rPr>
          <w:rtl/>
        </w:rPr>
        <w:t>منع انعقاد ه</w:t>
      </w:r>
      <w:r>
        <w:rPr>
          <w:rtl/>
        </w:rPr>
        <w:t>ك</w:t>
      </w:r>
      <w:r w:rsidRPr="00FE4C18">
        <w:rPr>
          <w:rtl/>
        </w:rPr>
        <w:t>ذا اتفاق</w:t>
      </w:r>
      <w:r>
        <w:rPr>
          <w:rtl/>
        </w:rPr>
        <w:t>ي</w:t>
      </w:r>
      <w:r w:rsidRPr="00FE4C18">
        <w:rPr>
          <w:rtl/>
        </w:rPr>
        <w:t>ات</w:t>
      </w:r>
      <w:r>
        <w:rPr>
          <w:rtl/>
        </w:rPr>
        <w:t>.</w:t>
      </w:r>
      <w:r w:rsidRPr="00FE4C18">
        <w:rPr>
          <w:rtl/>
        </w:rPr>
        <w:t xml:space="preserve"> </w:t>
      </w:r>
    </w:p>
    <w:p w:rsidR="00391A35" w:rsidRPr="0067362A" w:rsidRDefault="00391A35" w:rsidP="0067362A">
      <w:pPr>
        <w:pStyle w:val="afffffc"/>
        <w:rPr>
          <w:sz w:val="22"/>
          <w:szCs w:val="20"/>
          <w:rtl/>
        </w:rPr>
      </w:pPr>
    </w:p>
    <w:p w:rsidR="00391A35" w:rsidRPr="00FE4C18" w:rsidRDefault="00391A35" w:rsidP="0067362A">
      <w:pPr>
        <w:pStyle w:val="3"/>
        <w:rPr>
          <w:szCs w:val="28"/>
          <w:rtl/>
        </w:rPr>
      </w:pPr>
      <w:bookmarkStart w:id="485" w:name="_Toc275128192"/>
      <w:r w:rsidRPr="00FE4C18">
        <w:rPr>
          <w:rtl/>
        </w:rPr>
        <w:t>3</w:t>
      </w:r>
      <w:r>
        <w:rPr>
          <w:rtl/>
        </w:rPr>
        <w:t>ـ</w:t>
      </w:r>
      <w:r w:rsidRPr="00FE4C18">
        <w:rPr>
          <w:rtl/>
        </w:rPr>
        <w:t xml:space="preserve"> 3</w:t>
      </w:r>
      <w:r>
        <w:rPr>
          <w:rtl/>
        </w:rPr>
        <w:t>ـ</w:t>
      </w:r>
      <w:r w:rsidRPr="00FE4C18">
        <w:rPr>
          <w:rtl/>
        </w:rPr>
        <w:t xml:space="preserve"> موضوع </w:t>
      </w:r>
      <w:r>
        <w:rPr>
          <w:rtl/>
        </w:rPr>
        <w:t>ا</w:t>
      </w:r>
      <w:r w:rsidRPr="00FE4C18">
        <w:rPr>
          <w:rtl/>
        </w:rPr>
        <w:t xml:space="preserve">لمعاملة </w:t>
      </w:r>
      <w:r w:rsidRPr="00FE4C18">
        <w:rPr>
          <w:szCs w:val="28"/>
          <w:rtl/>
        </w:rPr>
        <w:t>‌</w:t>
      </w:r>
      <w:bookmarkEnd w:id="485"/>
    </w:p>
    <w:p w:rsidR="00391A35" w:rsidRPr="00FE4C18" w:rsidRDefault="00391A35" w:rsidP="00391A35">
      <w:pPr>
        <w:pStyle w:val="ac"/>
        <w:rPr>
          <w:b/>
          <w:bCs/>
          <w:rtl/>
        </w:rPr>
      </w:pPr>
      <w:r w:rsidRPr="00FE4C18">
        <w:rPr>
          <w:rtl/>
        </w:rPr>
        <w:t xml:space="preserve">من </w:t>
      </w:r>
      <w:r>
        <w:rPr>
          <w:rtl/>
        </w:rPr>
        <w:t>ا</w:t>
      </w:r>
      <w:r w:rsidRPr="00FE4C18">
        <w:rPr>
          <w:rtl/>
        </w:rPr>
        <w:t xml:space="preserve">لشروط </w:t>
      </w:r>
      <w:r>
        <w:rPr>
          <w:rtl/>
        </w:rPr>
        <w:t>ا</w:t>
      </w:r>
      <w:r w:rsidRPr="00FE4C18">
        <w:rPr>
          <w:rtl/>
        </w:rPr>
        <w:t>لأساس</w:t>
      </w:r>
      <w:r>
        <w:rPr>
          <w:rtl/>
        </w:rPr>
        <w:t>يّ</w:t>
      </w:r>
      <w:r w:rsidRPr="00FE4C18">
        <w:rPr>
          <w:rtl/>
        </w:rPr>
        <w:t xml:space="preserve">ة لصحّة </w:t>
      </w:r>
      <w:r>
        <w:rPr>
          <w:rtl/>
        </w:rPr>
        <w:t>ا</w:t>
      </w:r>
      <w:r w:rsidRPr="00FE4C18">
        <w:rPr>
          <w:rtl/>
        </w:rPr>
        <w:t xml:space="preserve">لعقد </w:t>
      </w:r>
      <w:r>
        <w:rPr>
          <w:rFonts w:hint="cs"/>
          <w:rtl/>
        </w:rPr>
        <w:t>ما</w:t>
      </w:r>
      <w:r w:rsidRPr="00FE4C18">
        <w:rPr>
          <w:rtl/>
        </w:rPr>
        <w:t xml:space="preserve"> </w:t>
      </w:r>
      <w:r>
        <w:rPr>
          <w:rtl/>
        </w:rPr>
        <w:t>ي</w:t>
      </w:r>
      <w:r w:rsidRPr="00FE4C18">
        <w:rPr>
          <w:rtl/>
        </w:rPr>
        <w:t xml:space="preserve">رتبط بموضوع </w:t>
      </w:r>
      <w:r>
        <w:rPr>
          <w:rtl/>
        </w:rPr>
        <w:t>ا</w:t>
      </w:r>
      <w:r w:rsidRPr="00FE4C18">
        <w:rPr>
          <w:rtl/>
        </w:rPr>
        <w:t>لمعاملة</w:t>
      </w:r>
      <w:r w:rsidRPr="007F5B58">
        <w:rPr>
          <w:rtl/>
        </w:rPr>
        <w:t>،</w:t>
      </w:r>
      <w:r w:rsidRPr="00FE4C18">
        <w:rPr>
          <w:rtl/>
        </w:rPr>
        <w:t xml:space="preserve"> أو </w:t>
      </w:r>
      <w:r>
        <w:rPr>
          <w:rtl/>
        </w:rPr>
        <w:t>ا</w:t>
      </w:r>
      <w:r w:rsidRPr="00FE4C18">
        <w:rPr>
          <w:rtl/>
        </w:rPr>
        <w:t xml:space="preserve">لالتزام </w:t>
      </w:r>
      <w:r>
        <w:rPr>
          <w:rtl/>
        </w:rPr>
        <w:t>ا</w:t>
      </w:r>
      <w:r w:rsidRPr="00FE4C18">
        <w:rPr>
          <w:rtl/>
        </w:rPr>
        <w:t>لذي ذ</w:t>
      </w:r>
      <w:r>
        <w:rPr>
          <w:rtl/>
        </w:rPr>
        <w:t>ك</w:t>
      </w:r>
      <w:r w:rsidRPr="00FE4C18">
        <w:rPr>
          <w:rtl/>
        </w:rPr>
        <w:t xml:space="preserve">رت شروطه </w:t>
      </w:r>
      <w:r>
        <w:rPr>
          <w:rtl/>
        </w:rPr>
        <w:t>ا</w:t>
      </w:r>
      <w:r w:rsidRPr="00FE4C18">
        <w:rPr>
          <w:rtl/>
        </w:rPr>
        <w:t>لمواد 214</w:t>
      </w:r>
      <w:r w:rsidRPr="007F5B58">
        <w:rPr>
          <w:rtl/>
        </w:rPr>
        <w:t>،</w:t>
      </w:r>
      <w:r w:rsidRPr="00FE4C18">
        <w:rPr>
          <w:rtl/>
        </w:rPr>
        <w:t xml:space="preserve"> 215 و216 من </w:t>
      </w:r>
      <w:r>
        <w:rPr>
          <w:rtl/>
        </w:rPr>
        <w:t>ا</w:t>
      </w:r>
      <w:r w:rsidRPr="00FE4C18">
        <w:rPr>
          <w:rtl/>
        </w:rPr>
        <w:t xml:space="preserve">لقانون </w:t>
      </w:r>
      <w:r>
        <w:rPr>
          <w:rtl/>
        </w:rPr>
        <w:t>ا</w:t>
      </w:r>
      <w:r w:rsidRPr="00FE4C18">
        <w:rPr>
          <w:rtl/>
        </w:rPr>
        <w:t>لمدني</w:t>
      </w:r>
      <w:r>
        <w:rPr>
          <w:rtl/>
        </w:rPr>
        <w:t>. و</w:t>
      </w:r>
      <w:r w:rsidRPr="00FE4C18">
        <w:rPr>
          <w:rtl/>
        </w:rPr>
        <w:t>نت</w:t>
      </w:r>
      <w:r>
        <w:rPr>
          <w:rtl/>
        </w:rPr>
        <w:t>ي</w:t>
      </w:r>
      <w:r w:rsidRPr="00FE4C18">
        <w:rPr>
          <w:rtl/>
        </w:rPr>
        <w:t>جة للاتفاق</w:t>
      </w:r>
      <w:r>
        <w:rPr>
          <w:rtl/>
        </w:rPr>
        <w:t>ي</w:t>
      </w:r>
      <w:r w:rsidRPr="00FE4C18">
        <w:rPr>
          <w:rtl/>
        </w:rPr>
        <w:t xml:space="preserve">ة تظهر </w:t>
      </w:r>
      <w:r>
        <w:rPr>
          <w:rtl/>
        </w:rPr>
        <w:t>ا</w:t>
      </w:r>
      <w:r w:rsidRPr="00FE4C18">
        <w:rPr>
          <w:rtl/>
        </w:rPr>
        <w:t xml:space="preserve">لتزامات لطرفي </w:t>
      </w:r>
      <w:r>
        <w:rPr>
          <w:rtl/>
        </w:rPr>
        <w:t>ا</w:t>
      </w:r>
      <w:r w:rsidRPr="00FE4C18">
        <w:rPr>
          <w:rtl/>
        </w:rPr>
        <w:t>لاتفاق</w:t>
      </w:r>
      <w:r>
        <w:rPr>
          <w:rtl/>
        </w:rPr>
        <w:t>ي</w:t>
      </w:r>
      <w:r w:rsidRPr="00FE4C18">
        <w:rPr>
          <w:rtl/>
        </w:rPr>
        <w:t>ة أو لأحدهما</w:t>
      </w:r>
      <w:r w:rsidRPr="007F5B58">
        <w:rPr>
          <w:rtl/>
        </w:rPr>
        <w:t>،</w:t>
      </w:r>
      <w:r>
        <w:rPr>
          <w:rtl/>
        </w:rPr>
        <w:t xml:space="preserve"> و</w:t>
      </w:r>
      <w:r w:rsidRPr="00FE4C18">
        <w:rPr>
          <w:rtl/>
        </w:rPr>
        <w:t xml:space="preserve">بموجبها </w:t>
      </w:r>
      <w:r>
        <w:rPr>
          <w:rtl/>
        </w:rPr>
        <w:t>ي</w:t>
      </w:r>
      <w:r w:rsidRPr="00FE4C18">
        <w:rPr>
          <w:rtl/>
        </w:rPr>
        <w:t xml:space="preserve">تمّ إعطاء </w:t>
      </w:r>
      <w:r>
        <w:rPr>
          <w:rtl/>
        </w:rPr>
        <w:t>ا</w:t>
      </w:r>
      <w:r w:rsidRPr="00FE4C18">
        <w:rPr>
          <w:rtl/>
        </w:rPr>
        <w:t>لمال أو إنجاز عمل مع</w:t>
      </w:r>
      <w:r>
        <w:rPr>
          <w:rtl/>
        </w:rPr>
        <w:t>يّ</w:t>
      </w:r>
      <w:r w:rsidRPr="00FE4C18">
        <w:rPr>
          <w:rtl/>
        </w:rPr>
        <w:t>ن</w:t>
      </w:r>
      <w:r>
        <w:rPr>
          <w:rtl/>
        </w:rPr>
        <w:t>.</w:t>
      </w:r>
      <w:r w:rsidRPr="00FE4C18">
        <w:rPr>
          <w:rtl/>
        </w:rPr>
        <w:t xml:space="preserve"> ذ</w:t>
      </w:r>
      <w:r>
        <w:rPr>
          <w:rtl/>
        </w:rPr>
        <w:t>ك</w:t>
      </w:r>
      <w:r w:rsidRPr="00FE4C18">
        <w:rPr>
          <w:rtl/>
        </w:rPr>
        <w:t xml:space="preserve">ر في مادة 214 من </w:t>
      </w:r>
      <w:r>
        <w:rPr>
          <w:rtl/>
        </w:rPr>
        <w:t>ا</w:t>
      </w:r>
      <w:r w:rsidRPr="00FE4C18">
        <w:rPr>
          <w:rtl/>
        </w:rPr>
        <w:t xml:space="preserve">لقانون </w:t>
      </w:r>
      <w:r>
        <w:rPr>
          <w:rtl/>
        </w:rPr>
        <w:t>ا</w:t>
      </w:r>
      <w:r w:rsidRPr="00FE4C18">
        <w:rPr>
          <w:rtl/>
        </w:rPr>
        <w:t>لمدني</w:t>
      </w:r>
      <w:r w:rsidRPr="007F5B58">
        <w:rPr>
          <w:rtl/>
        </w:rPr>
        <w:t>:</w:t>
      </w:r>
      <w:r>
        <w:rPr>
          <w:rFonts w:cs="Taher"/>
        </w:rPr>
        <w:t xml:space="preserve"> </w:t>
      </w:r>
      <w:r w:rsidRPr="00FE4C18">
        <w:rPr>
          <w:rtl/>
        </w:rPr>
        <w:t xml:space="preserve">«موضوع </w:t>
      </w:r>
      <w:r>
        <w:rPr>
          <w:rtl/>
        </w:rPr>
        <w:t>ا</w:t>
      </w:r>
      <w:r w:rsidRPr="00FE4C18">
        <w:rPr>
          <w:rtl/>
        </w:rPr>
        <w:t xml:space="preserve">لصفقة </w:t>
      </w:r>
      <w:r>
        <w:rPr>
          <w:rtl/>
        </w:rPr>
        <w:t>ي</w:t>
      </w:r>
      <w:r w:rsidRPr="00FE4C18">
        <w:rPr>
          <w:rtl/>
        </w:rPr>
        <w:t xml:space="preserve">جب أنْ </w:t>
      </w:r>
      <w:r>
        <w:rPr>
          <w:rtl/>
        </w:rPr>
        <w:t>يك</w:t>
      </w:r>
      <w:r w:rsidRPr="00FE4C18">
        <w:rPr>
          <w:rtl/>
        </w:rPr>
        <w:t>ون مالاً أو عملاً</w:t>
      </w:r>
      <w:r w:rsidRPr="007F5B58">
        <w:rPr>
          <w:rtl/>
        </w:rPr>
        <w:t>،</w:t>
      </w:r>
      <w:r>
        <w:rPr>
          <w:rtl/>
        </w:rPr>
        <w:t xml:space="preserve"> وي</w:t>
      </w:r>
      <w:r w:rsidRPr="00FE4C18">
        <w:rPr>
          <w:rtl/>
        </w:rPr>
        <w:t xml:space="preserve">لتزم </w:t>
      </w:r>
      <w:r>
        <w:rPr>
          <w:rtl/>
        </w:rPr>
        <w:t>ا</w:t>
      </w:r>
      <w:r w:rsidRPr="00FE4C18">
        <w:rPr>
          <w:rtl/>
        </w:rPr>
        <w:t xml:space="preserve">لطرفان بدفع </w:t>
      </w:r>
      <w:r>
        <w:rPr>
          <w:rtl/>
        </w:rPr>
        <w:t>ا</w:t>
      </w:r>
      <w:r w:rsidRPr="00FE4C18">
        <w:rPr>
          <w:rtl/>
        </w:rPr>
        <w:t xml:space="preserve">لمال أو إنجاز </w:t>
      </w:r>
      <w:r>
        <w:rPr>
          <w:rtl/>
        </w:rPr>
        <w:t>ا</w:t>
      </w:r>
      <w:r w:rsidRPr="00FE4C18">
        <w:rPr>
          <w:rtl/>
        </w:rPr>
        <w:t>لعمل»</w:t>
      </w:r>
      <w:r>
        <w:rPr>
          <w:rtl/>
        </w:rPr>
        <w:t>. و</w:t>
      </w:r>
      <w:r w:rsidRPr="00FE4C18">
        <w:rPr>
          <w:rtl/>
        </w:rPr>
        <w:t>عل</w:t>
      </w:r>
      <w:r>
        <w:rPr>
          <w:rtl/>
        </w:rPr>
        <w:t xml:space="preserve">ى </w:t>
      </w:r>
      <w:r w:rsidRPr="00FE4C18">
        <w:rPr>
          <w:rtl/>
        </w:rPr>
        <w:t>هذا فالش</w:t>
      </w:r>
      <w:r>
        <w:rPr>
          <w:rtl/>
        </w:rPr>
        <w:t>يء</w:t>
      </w:r>
      <w:r w:rsidRPr="00FE4C18">
        <w:rPr>
          <w:rtl/>
        </w:rPr>
        <w:t xml:space="preserve"> </w:t>
      </w:r>
      <w:r>
        <w:rPr>
          <w:rtl/>
        </w:rPr>
        <w:t>ا</w:t>
      </w:r>
      <w:r w:rsidRPr="00FE4C18">
        <w:rPr>
          <w:rtl/>
        </w:rPr>
        <w:t xml:space="preserve">لذي </w:t>
      </w:r>
      <w:r>
        <w:rPr>
          <w:rtl/>
        </w:rPr>
        <w:t>يك</w:t>
      </w:r>
      <w:r w:rsidRPr="00FE4C18">
        <w:rPr>
          <w:rtl/>
        </w:rPr>
        <w:t xml:space="preserve">ون موضوع </w:t>
      </w:r>
      <w:r>
        <w:rPr>
          <w:rtl/>
        </w:rPr>
        <w:t>ا</w:t>
      </w:r>
      <w:r w:rsidRPr="00FE4C18">
        <w:rPr>
          <w:rtl/>
        </w:rPr>
        <w:t xml:space="preserve">لالتزام قد </w:t>
      </w:r>
      <w:r>
        <w:rPr>
          <w:rtl/>
        </w:rPr>
        <w:t>يك</w:t>
      </w:r>
      <w:r w:rsidRPr="00FE4C18">
        <w:rPr>
          <w:rtl/>
        </w:rPr>
        <w:t>ون انتقال مال أو إنجاز عمل</w:t>
      </w:r>
      <w:r w:rsidRPr="007F5B58">
        <w:rPr>
          <w:rtl/>
        </w:rPr>
        <w:t>،</w:t>
      </w:r>
      <w:r>
        <w:rPr>
          <w:rtl/>
        </w:rPr>
        <w:t xml:space="preserve"> و</w:t>
      </w:r>
      <w:r w:rsidRPr="00FE4C18">
        <w:rPr>
          <w:rtl/>
        </w:rPr>
        <w:t>تختلف شروط هذ</w:t>
      </w:r>
      <w:r>
        <w:rPr>
          <w:rtl/>
        </w:rPr>
        <w:t>ي</w:t>
      </w:r>
      <w:r w:rsidRPr="00FE4C18">
        <w:rPr>
          <w:rtl/>
        </w:rPr>
        <w:t xml:space="preserve">ن </w:t>
      </w:r>
      <w:r>
        <w:rPr>
          <w:rtl/>
        </w:rPr>
        <w:t>ا</w:t>
      </w:r>
      <w:r w:rsidRPr="00FE4C18">
        <w:rPr>
          <w:rtl/>
        </w:rPr>
        <w:t>لموضوع</w:t>
      </w:r>
      <w:r>
        <w:rPr>
          <w:rtl/>
        </w:rPr>
        <w:t>ي</w:t>
      </w:r>
      <w:r w:rsidRPr="00FE4C18">
        <w:rPr>
          <w:rtl/>
        </w:rPr>
        <w:t>ن</w:t>
      </w:r>
      <w:r w:rsidRPr="00815C4C">
        <w:rPr>
          <w:rFonts w:cs="Taher"/>
          <w:vertAlign w:val="superscript"/>
          <w:rtl/>
        </w:rPr>
        <w:t>(</w:t>
      </w:r>
      <w:r w:rsidRPr="00815C4C">
        <w:rPr>
          <w:rFonts w:cs="Taher"/>
          <w:vertAlign w:val="superscript"/>
          <w:rtl/>
        </w:rPr>
        <w:footnoteReference w:id="885"/>
      </w:r>
      <w:r w:rsidRPr="00815C4C">
        <w:rPr>
          <w:rFonts w:cs="Taher"/>
          <w:vertAlign w:val="superscript"/>
          <w:rtl/>
        </w:rPr>
        <w:t>)</w:t>
      </w:r>
      <w:r w:rsidRPr="00FE4C18">
        <w:rPr>
          <w:b/>
          <w:bCs/>
          <w:rtl/>
        </w:rPr>
        <w:t xml:space="preserve">. </w:t>
      </w:r>
    </w:p>
    <w:p w:rsidR="00391A35" w:rsidRPr="0067362A" w:rsidRDefault="00391A35" w:rsidP="0067362A">
      <w:pPr>
        <w:pStyle w:val="afffffc"/>
        <w:rPr>
          <w:sz w:val="24"/>
          <w:szCs w:val="22"/>
          <w:rtl/>
        </w:rPr>
      </w:pPr>
    </w:p>
    <w:p w:rsidR="00391A35" w:rsidRPr="00FE4C18" w:rsidRDefault="00391A35" w:rsidP="0067362A">
      <w:pPr>
        <w:pStyle w:val="3"/>
        <w:rPr>
          <w:rtl/>
        </w:rPr>
      </w:pPr>
      <w:bookmarkStart w:id="486" w:name="_Toc275128193"/>
      <w:r w:rsidRPr="00FE4C18">
        <w:rPr>
          <w:rtl/>
        </w:rPr>
        <w:t xml:space="preserve">الشروط </w:t>
      </w:r>
      <w:r>
        <w:rPr>
          <w:rtl/>
        </w:rPr>
        <w:t>ا</w:t>
      </w:r>
      <w:r w:rsidRPr="00FE4C18">
        <w:rPr>
          <w:rtl/>
        </w:rPr>
        <w:t>لعامة للمعاملة (الاتفاق</w:t>
      </w:r>
      <w:r>
        <w:rPr>
          <w:rtl/>
        </w:rPr>
        <w:t>ي</w:t>
      </w:r>
      <w:r w:rsidRPr="00FE4C18">
        <w:rPr>
          <w:rtl/>
        </w:rPr>
        <w:t>ة)</w:t>
      </w:r>
      <w:bookmarkEnd w:id="486"/>
      <w:r w:rsidRPr="00FE4C18">
        <w:rPr>
          <w:rtl/>
        </w:rPr>
        <w:t xml:space="preserve"> </w:t>
      </w:r>
    </w:p>
    <w:p w:rsidR="00391A35" w:rsidRPr="00FE4C18" w:rsidRDefault="00391A35" w:rsidP="00391A35">
      <w:pPr>
        <w:pStyle w:val="ac"/>
        <w:rPr>
          <w:rtl/>
        </w:rPr>
      </w:pPr>
      <w:r w:rsidRPr="00FE4C18">
        <w:rPr>
          <w:rtl/>
        </w:rPr>
        <w:t>لصحّة</w:t>
      </w:r>
      <w:r>
        <w:rPr>
          <w:rtl/>
        </w:rPr>
        <w:t xml:space="preserve"> ك</w:t>
      </w:r>
      <w:r w:rsidRPr="00FE4C18">
        <w:rPr>
          <w:rtl/>
        </w:rPr>
        <w:t xml:space="preserve">لّ معاملة </w:t>
      </w:r>
      <w:r>
        <w:rPr>
          <w:rtl/>
        </w:rPr>
        <w:t>ي</w:t>
      </w:r>
      <w:r w:rsidRPr="00FE4C18">
        <w:rPr>
          <w:rtl/>
        </w:rPr>
        <w:t>جب أن</w:t>
      </w:r>
      <w:r>
        <w:rPr>
          <w:rtl/>
        </w:rPr>
        <w:t xml:space="preserve"> </w:t>
      </w:r>
      <w:r w:rsidRPr="00FE4C18">
        <w:rPr>
          <w:rtl/>
        </w:rPr>
        <w:t>‌</w:t>
      </w:r>
      <w:r>
        <w:rPr>
          <w:rtl/>
        </w:rPr>
        <w:t>ي</w:t>
      </w:r>
      <w:r w:rsidRPr="00FE4C18">
        <w:rPr>
          <w:rtl/>
        </w:rPr>
        <w:t xml:space="preserve">شتمل موضوع </w:t>
      </w:r>
      <w:r>
        <w:rPr>
          <w:rtl/>
        </w:rPr>
        <w:t>ا</w:t>
      </w:r>
      <w:r w:rsidRPr="00FE4C18">
        <w:rPr>
          <w:rtl/>
        </w:rPr>
        <w:t>لصفقة عل</w:t>
      </w:r>
      <w:r>
        <w:rPr>
          <w:rtl/>
        </w:rPr>
        <w:t xml:space="preserve">ى </w:t>
      </w:r>
      <w:r w:rsidRPr="00FE4C18">
        <w:rPr>
          <w:rtl/>
        </w:rPr>
        <w:t>شروط</w:t>
      </w:r>
      <w:r w:rsidRPr="007F5B58">
        <w:rPr>
          <w:rtl/>
        </w:rPr>
        <w:t>،</w:t>
      </w:r>
      <w:r>
        <w:rPr>
          <w:rtl/>
        </w:rPr>
        <w:t xml:space="preserve"> و</w:t>
      </w:r>
      <w:r w:rsidRPr="00FE4C18">
        <w:rPr>
          <w:rtl/>
        </w:rPr>
        <w:t xml:space="preserve">فقدان أحدها </w:t>
      </w:r>
      <w:r>
        <w:rPr>
          <w:rtl/>
        </w:rPr>
        <w:lastRenderedPageBreak/>
        <w:t>ي</w:t>
      </w:r>
      <w:r w:rsidRPr="00FE4C18">
        <w:rPr>
          <w:rtl/>
        </w:rPr>
        <w:t xml:space="preserve">بطل </w:t>
      </w:r>
      <w:r>
        <w:rPr>
          <w:rtl/>
        </w:rPr>
        <w:t>ا</w:t>
      </w:r>
      <w:r w:rsidRPr="00FE4C18">
        <w:rPr>
          <w:rtl/>
        </w:rPr>
        <w:t>لعقد</w:t>
      </w:r>
      <w:r>
        <w:rPr>
          <w:rtl/>
        </w:rPr>
        <w:t>. و</w:t>
      </w:r>
      <w:r w:rsidRPr="00FE4C18">
        <w:rPr>
          <w:rtl/>
        </w:rPr>
        <w:t>قد ذ</w:t>
      </w:r>
      <w:r>
        <w:rPr>
          <w:rtl/>
        </w:rPr>
        <w:t>ك</w:t>
      </w:r>
      <w:r w:rsidRPr="00FE4C18">
        <w:rPr>
          <w:rtl/>
        </w:rPr>
        <w:t xml:space="preserve">رت هذه </w:t>
      </w:r>
      <w:r>
        <w:rPr>
          <w:rtl/>
        </w:rPr>
        <w:t>ا</w:t>
      </w:r>
      <w:r w:rsidRPr="00FE4C18">
        <w:rPr>
          <w:rtl/>
        </w:rPr>
        <w:t xml:space="preserve">لشروط في </w:t>
      </w:r>
      <w:r>
        <w:rPr>
          <w:rtl/>
        </w:rPr>
        <w:t>ا</w:t>
      </w:r>
      <w:r w:rsidRPr="00FE4C18">
        <w:rPr>
          <w:rtl/>
        </w:rPr>
        <w:t>لماد</w:t>
      </w:r>
      <w:r>
        <w:rPr>
          <w:rtl/>
        </w:rPr>
        <w:t>تين</w:t>
      </w:r>
      <w:r w:rsidRPr="00FE4C18">
        <w:rPr>
          <w:rtl/>
        </w:rPr>
        <w:t xml:space="preserve"> 215</w:t>
      </w:r>
      <w:r>
        <w:rPr>
          <w:rtl/>
        </w:rPr>
        <w:t xml:space="preserve"> و216 من القانون المدني</w:t>
      </w:r>
      <w:r w:rsidRPr="00815C4C">
        <w:rPr>
          <w:rFonts w:cs="Taher"/>
          <w:vertAlign w:val="superscript"/>
          <w:rtl/>
        </w:rPr>
        <w:t>(</w:t>
      </w:r>
      <w:r w:rsidRPr="00815C4C">
        <w:rPr>
          <w:rFonts w:cs="Taher"/>
          <w:vertAlign w:val="superscript"/>
          <w:rtl/>
        </w:rPr>
        <w:footnoteReference w:id="886"/>
      </w:r>
      <w:r w:rsidRPr="00815C4C">
        <w:rPr>
          <w:rFonts w:cs="Taher"/>
          <w:vertAlign w:val="superscript"/>
          <w:rtl/>
        </w:rPr>
        <w:t>)</w:t>
      </w:r>
      <w:r>
        <w:rPr>
          <w:rtl/>
        </w:rPr>
        <w:t xml:space="preserve">. </w:t>
      </w:r>
    </w:p>
    <w:p w:rsidR="00391A35" w:rsidRPr="00FE4C18" w:rsidRDefault="00391A35" w:rsidP="00391A35">
      <w:pPr>
        <w:pStyle w:val="ac"/>
        <w:rPr>
          <w:rtl/>
        </w:rPr>
      </w:pPr>
      <w:r>
        <w:rPr>
          <w:rtl/>
        </w:rPr>
        <w:t xml:space="preserve">إنّ </w:t>
      </w:r>
      <w:r w:rsidRPr="00FE4C18">
        <w:rPr>
          <w:rtl/>
        </w:rPr>
        <w:t xml:space="preserve">موضوع </w:t>
      </w:r>
      <w:r>
        <w:rPr>
          <w:rtl/>
        </w:rPr>
        <w:t>ا</w:t>
      </w:r>
      <w:r w:rsidRPr="00FE4C18">
        <w:rPr>
          <w:rtl/>
        </w:rPr>
        <w:t>لمعاملة في اتفاق</w:t>
      </w:r>
      <w:r>
        <w:rPr>
          <w:rtl/>
        </w:rPr>
        <w:t>ي</w:t>
      </w:r>
      <w:r w:rsidRPr="00FE4C18">
        <w:rPr>
          <w:rtl/>
        </w:rPr>
        <w:t xml:space="preserve">ة </w:t>
      </w:r>
      <w:r>
        <w:rPr>
          <w:rtl/>
        </w:rPr>
        <w:t>ا</w:t>
      </w:r>
      <w:r w:rsidRPr="00FE4C18">
        <w:rPr>
          <w:rtl/>
        </w:rPr>
        <w:t xml:space="preserve">ستخدام رحم </w:t>
      </w:r>
      <w:r>
        <w:rPr>
          <w:rtl/>
        </w:rPr>
        <w:t>ا</w:t>
      </w:r>
      <w:r w:rsidRPr="00FE4C18">
        <w:rPr>
          <w:rtl/>
        </w:rPr>
        <w:t>لمرأة للزوج</w:t>
      </w:r>
      <w:r>
        <w:rPr>
          <w:rtl/>
        </w:rPr>
        <w:t>ي</w:t>
      </w:r>
      <w:r w:rsidRPr="00FE4C18">
        <w:rPr>
          <w:rtl/>
        </w:rPr>
        <w:t xml:space="preserve">ن </w:t>
      </w:r>
      <w:r>
        <w:rPr>
          <w:rtl/>
        </w:rPr>
        <w:t>ا</w:t>
      </w:r>
      <w:r w:rsidRPr="00FE4C18">
        <w:rPr>
          <w:rtl/>
        </w:rPr>
        <w:t>لعاقر</w:t>
      </w:r>
      <w:r>
        <w:rPr>
          <w:rtl/>
        </w:rPr>
        <w:t>ي</w:t>
      </w:r>
      <w:r w:rsidRPr="00FE4C18">
        <w:rPr>
          <w:rtl/>
        </w:rPr>
        <w:t xml:space="preserve">ن هو انتقال </w:t>
      </w:r>
      <w:r>
        <w:rPr>
          <w:rtl/>
        </w:rPr>
        <w:t>ا</w:t>
      </w:r>
      <w:r w:rsidRPr="00FE4C18">
        <w:rPr>
          <w:rtl/>
        </w:rPr>
        <w:t>لمال</w:t>
      </w:r>
      <w:r w:rsidRPr="007F5B58">
        <w:rPr>
          <w:rtl/>
        </w:rPr>
        <w:t>،</w:t>
      </w:r>
      <w:r>
        <w:rPr>
          <w:rtl/>
        </w:rPr>
        <w:t xml:space="preserve"> و</w:t>
      </w:r>
      <w:r w:rsidRPr="00FE4C18">
        <w:rPr>
          <w:rtl/>
        </w:rPr>
        <w:t xml:space="preserve">لصاحبة </w:t>
      </w:r>
      <w:r>
        <w:rPr>
          <w:rtl/>
        </w:rPr>
        <w:t>ا</w:t>
      </w:r>
      <w:r w:rsidRPr="00FE4C18">
        <w:rPr>
          <w:rtl/>
        </w:rPr>
        <w:t xml:space="preserve">لرحم </w:t>
      </w:r>
      <w:r>
        <w:rPr>
          <w:rtl/>
        </w:rPr>
        <w:t>ـ</w:t>
      </w:r>
      <w:r w:rsidRPr="00FE4C18">
        <w:rPr>
          <w:rtl/>
        </w:rPr>
        <w:t xml:space="preserve"> عندما </w:t>
      </w:r>
      <w:r>
        <w:rPr>
          <w:rtl/>
        </w:rPr>
        <w:t>ي</w:t>
      </w:r>
      <w:r w:rsidRPr="00FE4C18">
        <w:rPr>
          <w:rtl/>
        </w:rPr>
        <w:t xml:space="preserve">عتبر </w:t>
      </w:r>
      <w:r>
        <w:rPr>
          <w:rtl/>
        </w:rPr>
        <w:t>ا</w:t>
      </w:r>
      <w:r w:rsidRPr="00FE4C18">
        <w:rPr>
          <w:rtl/>
        </w:rPr>
        <w:t>لحمل</w:t>
      </w:r>
      <w:r>
        <w:rPr>
          <w:rtl/>
        </w:rPr>
        <w:t xml:space="preserve"> و</w:t>
      </w:r>
      <w:r w:rsidRPr="00FE4C18">
        <w:rPr>
          <w:rtl/>
        </w:rPr>
        <w:t>ترب</w:t>
      </w:r>
      <w:r>
        <w:rPr>
          <w:rtl/>
        </w:rPr>
        <w:t>ي</w:t>
      </w:r>
      <w:r w:rsidRPr="00FE4C18">
        <w:rPr>
          <w:rtl/>
        </w:rPr>
        <w:t xml:space="preserve">ة </w:t>
      </w:r>
      <w:r>
        <w:rPr>
          <w:rtl/>
        </w:rPr>
        <w:t>ا</w:t>
      </w:r>
      <w:r w:rsidRPr="00FE4C18">
        <w:rPr>
          <w:rtl/>
        </w:rPr>
        <w:t>لجن</w:t>
      </w:r>
      <w:r>
        <w:rPr>
          <w:rtl/>
        </w:rPr>
        <w:t>ي</w:t>
      </w:r>
      <w:r w:rsidRPr="00FE4C18">
        <w:rPr>
          <w:rtl/>
        </w:rPr>
        <w:t xml:space="preserve">ن عملاً </w:t>
      </w:r>
      <w:r>
        <w:rPr>
          <w:rtl/>
        </w:rPr>
        <w:t>ـ</w:t>
      </w:r>
      <w:r w:rsidRPr="00FE4C18">
        <w:rPr>
          <w:rtl/>
        </w:rPr>
        <w:t xml:space="preserve"> </w:t>
      </w:r>
      <w:r>
        <w:rPr>
          <w:rtl/>
        </w:rPr>
        <w:t>تـن</w:t>
      </w:r>
      <w:r w:rsidRPr="00FE4C18">
        <w:rPr>
          <w:rtl/>
        </w:rPr>
        <w:t>ف</w:t>
      </w:r>
      <w:r>
        <w:rPr>
          <w:rtl/>
        </w:rPr>
        <w:t>ي</w:t>
      </w:r>
      <w:r w:rsidRPr="00FE4C18">
        <w:rPr>
          <w:rtl/>
        </w:rPr>
        <w:t xml:space="preserve">ذ </w:t>
      </w:r>
      <w:r>
        <w:rPr>
          <w:rtl/>
        </w:rPr>
        <w:t>ا</w:t>
      </w:r>
      <w:r w:rsidRPr="00FE4C18">
        <w:rPr>
          <w:rtl/>
        </w:rPr>
        <w:t>لالتزام</w:t>
      </w:r>
      <w:r>
        <w:rPr>
          <w:rtl/>
        </w:rPr>
        <w:t>.</w:t>
      </w:r>
      <w:r w:rsidRPr="00FE4C18">
        <w:rPr>
          <w:rtl/>
        </w:rPr>
        <w:t xml:space="preserve"> </w:t>
      </w:r>
      <w:r>
        <w:rPr>
          <w:rtl/>
        </w:rPr>
        <w:t>و</w:t>
      </w:r>
      <w:r w:rsidRPr="00FE4C18">
        <w:rPr>
          <w:rtl/>
        </w:rPr>
        <w:t xml:space="preserve">تتعهّد صاحبة </w:t>
      </w:r>
      <w:r>
        <w:rPr>
          <w:rtl/>
        </w:rPr>
        <w:t>ا</w:t>
      </w:r>
      <w:r w:rsidRPr="00FE4C18">
        <w:rPr>
          <w:rtl/>
        </w:rPr>
        <w:t>لرحم ب</w:t>
      </w:r>
      <w:r>
        <w:rPr>
          <w:rtl/>
        </w:rPr>
        <w:t>تـن</w:t>
      </w:r>
      <w:r w:rsidRPr="00FE4C18">
        <w:rPr>
          <w:rtl/>
        </w:rPr>
        <w:t>ف</w:t>
      </w:r>
      <w:r>
        <w:rPr>
          <w:rtl/>
        </w:rPr>
        <w:t>ي</w:t>
      </w:r>
      <w:r w:rsidRPr="00FE4C18">
        <w:rPr>
          <w:rtl/>
        </w:rPr>
        <w:t xml:space="preserve">ذ مجموعة </w:t>
      </w:r>
      <w:r>
        <w:rPr>
          <w:rtl/>
        </w:rPr>
        <w:t>ا</w:t>
      </w:r>
      <w:r w:rsidRPr="00FE4C18">
        <w:rPr>
          <w:rtl/>
        </w:rPr>
        <w:t>لنشاطات</w:t>
      </w:r>
      <w:r>
        <w:rPr>
          <w:rtl/>
        </w:rPr>
        <w:t xml:space="preserve"> وا</w:t>
      </w:r>
      <w:r w:rsidRPr="00FE4C18">
        <w:rPr>
          <w:rtl/>
        </w:rPr>
        <w:t>لأفعال (العمل</w:t>
      </w:r>
      <w:r>
        <w:rPr>
          <w:rtl/>
        </w:rPr>
        <w:t xml:space="preserve"> و</w:t>
      </w:r>
      <w:r w:rsidRPr="00FE4C18">
        <w:rPr>
          <w:rtl/>
        </w:rPr>
        <w:t>تر</w:t>
      </w:r>
      <w:r>
        <w:rPr>
          <w:rtl/>
        </w:rPr>
        <w:t>ك</w:t>
      </w:r>
      <w:r w:rsidRPr="00FE4C18">
        <w:rPr>
          <w:rtl/>
        </w:rPr>
        <w:t>ه)</w:t>
      </w:r>
      <w:r>
        <w:rPr>
          <w:rtl/>
        </w:rPr>
        <w:t>.</w:t>
      </w:r>
      <w:r w:rsidRPr="00FE4C18">
        <w:rPr>
          <w:rtl/>
        </w:rPr>
        <w:t xml:space="preserve"> </w:t>
      </w:r>
      <w:r>
        <w:rPr>
          <w:rFonts w:hint="cs"/>
          <w:rtl/>
        </w:rPr>
        <w:t>و</w:t>
      </w:r>
      <w:r w:rsidRPr="00FE4C18">
        <w:rPr>
          <w:rtl/>
        </w:rPr>
        <w:t>عل</w:t>
      </w:r>
      <w:r>
        <w:rPr>
          <w:rtl/>
        </w:rPr>
        <w:t xml:space="preserve">ى </w:t>
      </w:r>
      <w:r w:rsidRPr="00FE4C18">
        <w:rPr>
          <w:rtl/>
        </w:rPr>
        <w:t xml:space="preserve">هذا </w:t>
      </w:r>
      <w:r>
        <w:rPr>
          <w:rtl/>
        </w:rPr>
        <w:t>ا</w:t>
      </w:r>
      <w:r w:rsidRPr="00FE4C18">
        <w:rPr>
          <w:rtl/>
        </w:rPr>
        <w:t xml:space="preserve">لأساس </w:t>
      </w:r>
      <w:r>
        <w:rPr>
          <w:rtl/>
        </w:rPr>
        <w:t>ا</w:t>
      </w:r>
      <w:r w:rsidRPr="00FE4C18">
        <w:rPr>
          <w:rtl/>
        </w:rPr>
        <w:t xml:space="preserve">لذي بموجبه </w:t>
      </w:r>
      <w:r>
        <w:rPr>
          <w:rtl/>
        </w:rPr>
        <w:t>ي</w:t>
      </w:r>
      <w:r w:rsidRPr="00FE4C18">
        <w:rPr>
          <w:rtl/>
        </w:rPr>
        <w:t xml:space="preserve">ستعمل رحم </w:t>
      </w:r>
      <w:r>
        <w:rPr>
          <w:rtl/>
        </w:rPr>
        <w:t>ا</w:t>
      </w:r>
      <w:r w:rsidRPr="00FE4C18">
        <w:rPr>
          <w:rtl/>
        </w:rPr>
        <w:t>لمرأة لترب</w:t>
      </w:r>
      <w:r>
        <w:rPr>
          <w:rtl/>
        </w:rPr>
        <w:t>ي</w:t>
      </w:r>
      <w:r w:rsidRPr="00FE4C18">
        <w:rPr>
          <w:rtl/>
        </w:rPr>
        <w:t xml:space="preserve">ة </w:t>
      </w:r>
      <w:r>
        <w:rPr>
          <w:rtl/>
        </w:rPr>
        <w:t>ا</w:t>
      </w:r>
      <w:r w:rsidRPr="00FE4C18">
        <w:rPr>
          <w:rtl/>
        </w:rPr>
        <w:t>لجن</w:t>
      </w:r>
      <w:r>
        <w:rPr>
          <w:rtl/>
        </w:rPr>
        <w:t>ي</w:t>
      </w:r>
      <w:r w:rsidRPr="00FE4C18">
        <w:rPr>
          <w:rtl/>
        </w:rPr>
        <w:t>ن</w:t>
      </w:r>
      <w:r w:rsidRPr="007F5B58">
        <w:rPr>
          <w:rtl/>
        </w:rPr>
        <w:t>،</w:t>
      </w:r>
      <w:r>
        <w:rPr>
          <w:rtl/>
        </w:rPr>
        <w:t xml:space="preserve"> وي</w:t>
      </w:r>
      <w:r w:rsidRPr="00FE4C18">
        <w:rPr>
          <w:rtl/>
        </w:rPr>
        <w:t>تّفق</w:t>
      </w:r>
      <w:r>
        <w:rPr>
          <w:rtl/>
        </w:rPr>
        <w:t xml:space="preserve"> ا</w:t>
      </w:r>
      <w:r w:rsidRPr="00FE4C18">
        <w:rPr>
          <w:rtl/>
        </w:rPr>
        <w:t>لطرفان عل</w:t>
      </w:r>
      <w:r>
        <w:rPr>
          <w:rtl/>
        </w:rPr>
        <w:t xml:space="preserve">ى </w:t>
      </w:r>
      <w:r w:rsidRPr="00FE4C18">
        <w:rPr>
          <w:rtl/>
        </w:rPr>
        <w:t xml:space="preserve">هذا </w:t>
      </w:r>
      <w:r>
        <w:rPr>
          <w:rtl/>
        </w:rPr>
        <w:t>ا</w:t>
      </w:r>
      <w:r w:rsidRPr="00FE4C18">
        <w:rPr>
          <w:rtl/>
        </w:rPr>
        <w:t>لموضوع</w:t>
      </w:r>
      <w:r w:rsidRPr="007F5B58">
        <w:rPr>
          <w:rtl/>
        </w:rPr>
        <w:t>،</w:t>
      </w:r>
      <w:r w:rsidRPr="00FE4C18">
        <w:rPr>
          <w:rtl/>
        </w:rPr>
        <w:t xml:space="preserve"> </w:t>
      </w:r>
      <w:r>
        <w:rPr>
          <w:rtl/>
        </w:rPr>
        <w:t>ي</w:t>
      </w:r>
      <w:r w:rsidRPr="00FE4C18">
        <w:rPr>
          <w:rtl/>
        </w:rPr>
        <w:t xml:space="preserve">طرح هذا </w:t>
      </w:r>
      <w:r>
        <w:rPr>
          <w:rtl/>
        </w:rPr>
        <w:t>ا</w:t>
      </w:r>
      <w:r w:rsidRPr="00FE4C18">
        <w:rPr>
          <w:rtl/>
        </w:rPr>
        <w:t>لسؤال</w:t>
      </w:r>
      <w:r w:rsidRPr="007F5B58">
        <w:rPr>
          <w:rtl/>
        </w:rPr>
        <w:t>،</w:t>
      </w:r>
      <w:r>
        <w:rPr>
          <w:rtl/>
        </w:rPr>
        <w:t xml:space="preserve"> و</w:t>
      </w:r>
      <w:r w:rsidRPr="00FE4C18">
        <w:rPr>
          <w:rtl/>
        </w:rPr>
        <w:t>هو</w:t>
      </w:r>
      <w:r w:rsidRPr="007F5B58">
        <w:rPr>
          <w:rtl/>
        </w:rPr>
        <w:t>:</w:t>
      </w:r>
      <w:r w:rsidRPr="00FE4C18">
        <w:rPr>
          <w:rtl/>
        </w:rPr>
        <w:t xml:space="preserve"> هل </w:t>
      </w:r>
      <w:r>
        <w:rPr>
          <w:rtl/>
        </w:rPr>
        <w:t>ي</w:t>
      </w:r>
      <w:r w:rsidRPr="00FE4C18">
        <w:rPr>
          <w:rtl/>
        </w:rPr>
        <w:t>م</w:t>
      </w:r>
      <w:r>
        <w:rPr>
          <w:rtl/>
        </w:rPr>
        <w:t>ك</w:t>
      </w:r>
      <w:r w:rsidRPr="00FE4C18">
        <w:rPr>
          <w:rtl/>
        </w:rPr>
        <w:t xml:space="preserve">ن لرحم </w:t>
      </w:r>
      <w:r>
        <w:rPr>
          <w:rtl/>
        </w:rPr>
        <w:t>ا</w:t>
      </w:r>
      <w:r w:rsidRPr="00FE4C18">
        <w:rPr>
          <w:rtl/>
        </w:rPr>
        <w:t xml:space="preserve">لمرأة أنْ </w:t>
      </w:r>
      <w:r>
        <w:rPr>
          <w:rtl/>
        </w:rPr>
        <w:t>يك</w:t>
      </w:r>
      <w:r w:rsidRPr="00FE4C18">
        <w:rPr>
          <w:rtl/>
        </w:rPr>
        <w:t xml:space="preserve">ون موضوع </w:t>
      </w:r>
      <w:r>
        <w:rPr>
          <w:rtl/>
        </w:rPr>
        <w:t>ا</w:t>
      </w:r>
      <w:r w:rsidRPr="00FE4C18">
        <w:rPr>
          <w:rtl/>
        </w:rPr>
        <w:t>لصفقة</w:t>
      </w:r>
      <w:r>
        <w:rPr>
          <w:rFonts w:hint="cs"/>
          <w:rtl/>
        </w:rPr>
        <w:t>؟</w:t>
      </w:r>
      <w:r w:rsidRPr="00FE4C18">
        <w:rPr>
          <w:rtl/>
        </w:rPr>
        <w:t xml:space="preserve"> في </w:t>
      </w:r>
      <w:r>
        <w:rPr>
          <w:rtl/>
        </w:rPr>
        <w:t>ا</w:t>
      </w:r>
      <w:r w:rsidRPr="00FE4C18">
        <w:rPr>
          <w:rtl/>
        </w:rPr>
        <w:t xml:space="preserve">لإجابة </w:t>
      </w:r>
      <w:r>
        <w:rPr>
          <w:rtl/>
        </w:rPr>
        <w:t>ي</w:t>
      </w:r>
      <w:r w:rsidRPr="00FE4C18">
        <w:rPr>
          <w:rtl/>
        </w:rPr>
        <w:t xml:space="preserve">قول </w:t>
      </w:r>
      <w:r>
        <w:rPr>
          <w:rtl/>
        </w:rPr>
        <w:t>ا</w:t>
      </w:r>
      <w:r w:rsidRPr="00FE4C18">
        <w:rPr>
          <w:rtl/>
        </w:rPr>
        <w:t>لقانون</w:t>
      </w:r>
      <w:r>
        <w:rPr>
          <w:rtl/>
        </w:rPr>
        <w:t>ي</w:t>
      </w:r>
      <w:r w:rsidRPr="00FE4C18">
        <w:rPr>
          <w:rtl/>
        </w:rPr>
        <w:t>ون</w:t>
      </w:r>
      <w:r w:rsidRPr="007F5B58">
        <w:rPr>
          <w:rtl/>
        </w:rPr>
        <w:t>:</w:t>
      </w:r>
      <w:r w:rsidRPr="00FE4C18">
        <w:rPr>
          <w:rtl/>
        </w:rPr>
        <w:t xml:space="preserve"> ل</w:t>
      </w:r>
      <w:r>
        <w:rPr>
          <w:rtl/>
        </w:rPr>
        <w:t>ي</w:t>
      </w:r>
      <w:r w:rsidRPr="00FE4C18">
        <w:rPr>
          <w:rtl/>
        </w:rPr>
        <w:t>س ب</w:t>
      </w:r>
      <w:r>
        <w:rPr>
          <w:rtl/>
        </w:rPr>
        <w:t>إ</w:t>
      </w:r>
      <w:r w:rsidRPr="00FE4C18">
        <w:rPr>
          <w:rtl/>
        </w:rPr>
        <w:t>م</w:t>
      </w:r>
      <w:r>
        <w:rPr>
          <w:rtl/>
        </w:rPr>
        <w:t>ك</w:t>
      </w:r>
      <w:r w:rsidRPr="00FE4C18">
        <w:rPr>
          <w:rtl/>
        </w:rPr>
        <w:t xml:space="preserve">ان جسم </w:t>
      </w:r>
      <w:r>
        <w:rPr>
          <w:rtl/>
        </w:rPr>
        <w:t>ا</w:t>
      </w:r>
      <w:r w:rsidRPr="00FE4C18">
        <w:rPr>
          <w:rtl/>
        </w:rPr>
        <w:t xml:space="preserve">لإنسان أنْ </w:t>
      </w:r>
      <w:r>
        <w:rPr>
          <w:rtl/>
        </w:rPr>
        <w:t>ي</w:t>
      </w:r>
      <w:r w:rsidRPr="00FE4C18">
        <w:rPr>
          <w:rtl/>
        </w:rPr>
        <w:t>قع موضوع أ</w:t>
      </w:r>
      <w:r>
        <w:rPr>
          <w:rtl/>
        </w:rPr>
        <w:t>ي</w:t>
      </w:r>
      <w:r w:rsidRPr="00FE4C18">
        <w:rPr>
          <w:rtl/>
        </w:rPr>
        <w:t>ة اتفاق</w:t>
      </w:r>
      <w:r>
        <w:rPr>
          <w:rtl/>
        </w:rPr>
        <w:t>ي</w:t>
      </w:r>
      <w:r w:rsidRPr="00FE4C18">
        <w:rPr>
          <w:rtl/>
        </w:rPr>
        <w:t>ة ملزمة</w:t>
      </w:r>
      <w:r w:rsidRPr="007F5B58">
        <w:rPr>
          <w:rtl/>
        </w:rPr>
        <w:t>،</w:t>
      </w:r>
      <w:r>
        <w:rPr>
          <w:rtl/>
        </w:rPr>
        <w:t xml:space="preserve"> و</w:t>
      </w:r>
      <w:r w:rsidRPr="00FE4C18">
        <w:rPr>
          <w:rtl/>
        </w:rPr>
        <w:t xml:space="preserve">هذا </w:t>
      </w:r>
      <w:r>
        <w:rPr>
          <w:rtl/>
        </w:rPr>
        <w:t>ا</w:t>
      </w:r>
      <w:r w:rsidRPr="00FE4C18">
        <w:rPr>
          <w:rtl/>
        </w:rPr>
        <w:t xml:space="preserve">لعمل </w:t>
      </w:r>
      <w:r>
        <w:rPr>
          <w:rtl/>
        </w:rPr>
        <w:t>ي</w:t>
      </w:r>
      <w:r w:rsidRPr="00FE4C18">
        <w:rPr>
          <w:rtl/>
        </w:rPr>
        <w:t>عتبر وجهاً جد</w:t>
      </w:r>
      <w:r>
        <w:rPr>
          <w:rtl/>
        </w:rPr>
        <w:t>ي</w:t>
      </w:r>
      <w:r w:rsidRPr="00FE4C18">
        <w:rPr>
          <w:rtl/>
        </w:rPr>
        <w:t xml:space="preserve">داً من تجارة </w:t>
      </w:r>
      <w:r>
        <w:rPr>
          <w:rtl/>
        </w:rPr>
        <w:t>ا</w:t>
      </w:r>
      <w:r w:rsidRPr="00FE4C18">
        <w:rPr>
          <w:rtl/>
        </w:rPr>
        <w:t>لرق</w:t>
      </w:r>
      <w:r>
        <w:rPr>
          <w:rtl/>
        </w:rPr>
        <w:t>ّ</w:t>
      </w:r>
      <w:r w:rsidRPr="00FE4C18">
        <w:rPr>
          <w:rtl/>
        </w:rPr>
        <w:t xml:space="preserve"> في عصرنا هذا</w:t>
      </w:r>
      <w:r w:rsidRPr="00815C4C">
        <w:rPr>
          <w:rFonts w:cs="Taher"/>
          <w:vertAlign w:val="superscript"/>
          <w:rtl/>
        </w:rPr>
        <w:t>(</w:t>
      </w:r>
      <w:r w:rsidRPr="00815C4C">
        <w:rPr>
          <w:rFonts w:cs="Taher"/>
          <w:vertAlign w:val="superscript"/>
          <w:rtl/>
        </w:rPr>
        <w:footnoteReference w:id="887"/>
      </w:r>
      <w:r w:rsidRPr="00815C4C">
        <w:rPr>
          <w:rFonts w:cs="Taher"/>
          <w:vertAlign w:val="superscript"/>
          <w:rtl/>
        </w:rPr>
        <w:t>)</w:t>
      </w:r>
      <w:r>
        <w:rPr>
          <w:rtl/>
        </w:rPr>
        <w:t>.</w:t>
      </w:r>
      <w:r w:rsidRPr="00FE4C18">
        <w:rPr>
          <w:rtl/>
        </w:rPr>
        <w:t xml:space="preserve"> </w:t>
      </w:r>
    </w:p>
    <w:p w:rsidR="00391A35" w:rsidRPr="00FE4C18" w:rsidRDefault="00391A35" w:rsidP="0067362A">
      <w:pPr>
        <w:pStyle w:val="ac"/>
        <w:spacing w:line="209" w:lineRule="auto"/>
        <w:rPr>
          <w:rtl/>
        </w:rPr>
      </w:pPr>
      <w:r w:rsidRPr="00FE4C18">
        <w:rPr>
          <w:rtl/>
        </w:rPr>
        <w:t xml:space="preserve">و في هذه </w:t>
      </w:r>
      <w:r>
        <w:rPr>
          <w:rtl/>
        </w:rPr>
        <w:t>ا</w:t>
      </w:r>
      <w:r w:rsidRPr="00FE4C18">
        <w:rPr>
          <w:rtl/>
        </w:rPr>
        <w:t>لاتفاق</w:t>
      </w:r>
      <w:r>
        <w:rPr>
          <w:rtl/>
        </w:rPr>
        <w:t>ي</w:t>
      </w:r>
      <w:r w:rsidRPr="00FE4C18">
        <w:rPr>
          <w:rtl/>
        </w:rPr>
        <w:t xml:space="preserve">ة </w:t>
      </w:r>
      <w:r>
        <w:rPr>
          <w:rtl/>
        </w:rPr>
        <w:t>ي</w:t>
      </w:r>
      <w:r w:rsidRPr="00FE4C18">
        <w:rPr>
          <w:rtl/>
        </w:rPr>
        <w:t xml:space="preserve">تعهّد أحد </w:t>
      </w:r>
      <w:r>
        <w:rPr>
          <w:rtl/>
        </w:rPr>
        <w:t>ا</w:t>
      </w:r>
      <w:r w:rsidRPr="00FE4C18">
        <w:rPr>
          <w:rtl/>
        </w:rPr>
        <w:t>لطرف</w:t>
      </w:r>
      <w:r>
        <w:rPr>
          <w:rtl/>
        </w:rPr>
        <w:t>ي</w:t>
      </w:r>
      <w:r w:rsidRPr="00FE4C18">
        <w:rPr>
          <w:rtl/>
        </w:rPr>
        <w:t xml:space="preserve">ن بانتقال </w:t>
      </w:r>
      <w:r>
        <w:rPr>
          <w:rtl/>
        </w:rPr>
        <w:t>ا</w:t>
      </w:r>
      <w:r w:rsidRPr="00FE4C18">
        <w:rPr>
          <w:rtl/>
        </w:rPr>
        <w:t>لمال و‌</w:t>
      </w:r>
      <w:r>
        <w:rPr>
          <w:rtl/>
        </w:rPr>
        <w:t>ا</w:t>
      </w:r>
      <w:r w:rsidRPr="00FE4C18">
        <w:rPr>
          <w:rtl/>
        </w:rPr>
        <w:t>لآخر بتف</w:t>
      </w:r>
      <w:r>
        <w:rPr>
          <w:rtl/>
        </w:rPr>
        <w:t>ي</w:t>
      </w:r>
      <w:r w:rsidRPr="00FE4C18">
        <w:rPr>
          <w:rtl/>
        </w:rPr>
        <w:t xml:space="preserve">ذ </w:t>
      </w:r>
      <w:r>
        <w:rPr>
          <w:rtl/>
        </w:rPr>
        <w:t>ا</w:t>
      </w:r>
      <w:r w:rsidRPr="00FE4C18">
        <w:rPr>
          <w:rtl/>
        </w:rPr>
        <w:t xml:space="preserve">لعمل. </w:t>
      </w:r>
      <w:r>
        <w:rPr>
          <w:rtl/>
        </w:rPr>
        <w:t>و</w:t>
      </w:r>
      <w:r w:rsidRPr="00FE4C18">
        <w:rPr>
          <w:rtl/>
        </w:rPr>
        <w:t>الحصول عل</w:t>
      </w:r>
      <w:r>
        <w:rPr>
          <w:rtl/>
        </w:rPr>
        <w:t>ى ا</w:t>
      </w:r>
      <w:r w:rsidRPr="00FE4C18">
        <w:rPr>
          <w:rtl/>
        </w:rPr>
        <w:t>لمال تحل</w:t>
      </w:r>
      <w:r>
        <w:rPr>
          <w:rtl/>
        </w:rPr>
        <w:t>ي</w:t>
      </w:r>
      <w:r w:rsidRPr="00FE4C18">
        <w:rPr>
          <w:rtl/>
        </w:rPr>
        <w:t>ل</w:t>
      </w:r>
      <w:r>
        <w:rPr>
          <w:rtl/>
        </w:rPr>
        <w:t>ي</w:t>
      </w:r>
      <w:r w:rsidRPr="00FE4C18">
        <w:rPr>
          <w:rtl/>
        </w:rPr>
        <w:t xml:space="preserve">اً هو عمل </w:t>
      </w:r>
      <w:r>
        <w:rPr>
          <w:rtl/>
        </w:rPr>
        <w:t>ي</w:t>
      </w:r>
      <w:r w:rsidRPr="00FE4C18">
        <w:rPr>
          <w:rtl/>
        </w:rPr>
        <w:t>تول</w:t>
      </w:r>
      <w:r>
        <w:rPr>
          <w:rtl/>
        </w:rPr>
        <w:t xml:space="preserve">ى </w:t>
      </w:r>
      <w:r w:rsidRPr="00FE4C18">
        <w:rPr>
          <w:rtl/>
        </w:rPr>
        <w:t xml:space="preserve">به </w:t>
      </w:r>
      <w:r>
        <w:rPr>
          <w:rtl/>
        </w:rPr>
        <w:t>ا</w:t>
      </w:r>
      <w:r w:rsidRPr="00FE4C18">
        <w:rPr>
          <w:rtl/>
        </w:rPr>
        <w:t>لمد</w:t>
      </w:r>
      <w:r>
        <w:rPr>
          <w:rtl/>
        </w:rPr>
        <w:t>ي</w:t>
      </w:r>
      <w:r w:rsidRPr="00FE4C18">
        <w:rPr>
          <w:rtl/>
        </w:rPr>
        <w:t>ن</w:t>
      </w:r>
      <w:r>
        <w:rPr>
          <w:rtl/>
        </w:rPr>
        <w:t xml:space="preserve"> و</w:t>
      </w:r>
      <w:r w:rsidRPr="00FE4C18">
        <w:rPr>
          <w:rtl/>
        </w:rPr>
        <w:t xml:space="preserve">إنجاز </w:t>
      </w:r>
      <w:r>
        <w:rPr>
          <w:rtl/>
        </w:rPr>
        <w:t>ا</w:t>
      </w:r>
      <w:r w:rsidRPr="00FE4C18">
        <w:rPr>
          <w:rtl/>
        </w:rPr>
        <w:t xml:space="preserve">لعمل أو عدم إنجازه </w:t>
      </w:r>
      <w:r>
        <w:rPr>
          <w:rtl/>
        </w:rPr>
        <w:t>ي</w:t>
      </w:r>
      <w:r w:rsidRPr="00FE4C18">
        <w:rPr>
          <w:rtl/>
        </w:rPr>
        <w:t xml:space="preserve">قوم به </w:t>
      </w:r>
      <w:r>
        <w:rPr>
          <w:rtl/>
        </w:rPr>
        <w:t>ا</w:t>
      </w:r>
      <w:r w:rsidRPr="00FE4C18">
        <w:rPr>
          <w:rtl/>
        </w:rPr>
        <w:t>لملتزم أ</w:t>
      </w:r>
      <w:r>
        <w:rPr>
          <w:rtl/>
        </w:rPr>
        <w:t>ي</w:t>
      </w:r>
      <w:r w:rsidRPr="00FE4C18">
        <w:rPr>
          <w:rtl/>
        </w:rPr>
        <w:t>ضاً</w:t>
      </w:r>
      <w:r w:rsidRPr="007F5B58">
        <w:rPr>
          <w:rtl/>
        </w:rPr>
        <w:t>،</w:t>
      </w:r>
      <w:r>
        <w:rPr>
          <w:rtl/>
        </w:rPr>
        <w:t xml:space="preserve"> و</w:t>
      </w:r>
      <w:r w:rsidRPr="00FE4C18">
        <w:rPr>
          <w:rtl/>
        </w:rPr>
        <w:t xml:space="preserve">موضوع </w:t>
      </w:r>
      <w:r>
        <w:rPr>
          <w:rtl/>
        </w:rPr>
        <w:t>ا</w:t>
      </w:r>
      <w:r w:rsidRPr="00FE4C18">
        <w:rPr>
          <w:rtl/>
        </w:rPr>
        <w:t xml:space="preserve">لالتزام دائماً هو </w:t>
      </w:r>
      <w:r>
        <w:rPr>
          <w:rtl/>
        </w:rPr>
        <w:t>تـن</w:t>
      </w:r>
      <w:r w:rsidRPr="00FE4C18">
        <w:rPr>
          <w:rtl/>
        </w:rPr>
        <w:t>ف</w:t>
      </w:r>
      <w:r>
        <w:rPr>
          <w:rtl/>
        </w:rPr>
        <w:t>ي</w:t>
      </w:r>
      <w:r w:rsidRPr="00FE4C18">
        <w:rPr>
          <w:rtl/>
        </w:rPr>
        <w:t xml:space="preserve">ذ </w:t>
      </w:r>
      <w:r>
        <w:rPr>
          <w:rtl/>
        </w:rPr>
        <w:t>ا</w:t>
      </w:r>
      <w:r w:rsidRPr="00FE4C18">
        <w:rPr>
          <w:rtl/>
        </w:rPr>
        <w:t>لعمل</w:t>
      </w:r>
      <w:r>
        <w:rPr>
          <w:rtl/>
        </w:rPr>
        <w:t>.</w:t>
      </w:r>
      <w:r w:rsidRPr="00FE4C18">
        <w:rPr>
          <w:rtl/>
        </w:rPr>
        <w:t xml:space="preserve"> </w:t>
      </w:r>
      <w:r>
        <w:rPr>
          <w:rtl/>
        </w:rPr>
        <w:t>وي</w:t>
      </w:r>
      <w:r w:rsidRPr="00FE4C18">
        <w:rPr>
          <w:rtl/>
        </w:rPr>
        <w:t>جدر بالذ</w:t>
      </w:r>
      <w:r>
        <w:rPr>
          <w:rtl/>
        </w:rPr>
        <w:t>ك</w:t>
      </w:r>
      <w:r w:rsidRPr="00FE4C18">
        <w:rPr>
          <w:rtl/>
        </w:rPr>
        <w:t>ر أنَّه في‌</w:t>
      </w:r>
      <w:r>
        <w:rPr>
          <w:rFonts w:hint="cs"/>
          <w:rtl/>
        </w:rPr>
        <w:t xml:space="preserve"> </w:t>
      </w:r>
      <w:r w:rsidRPr="00FE4C18">
        <w:rPr>
          <w:rtl/>
        </w:rPr>
        <w:t xml:space="preserve">هذه </w:t>
      </w:r>
      <w:r>
        <w:rPr>
          <w:rtl/>
        </w:rPr>
        <w:t>ا</w:t>
      </w:r>
      <w:r w:rsidRPr="00FE4C18">
        <w:rPr>
          <w:rtl/>
        </w:rPr>
        <w:t>لاتفاق</w:t>
      </w:r>
      <w:r>
        <w:rPr>
          <w:rtl/>
        </w:rPr>
        <w:t>ي</w:t>
      </w:r>
      <w:r w:rsidRPr="00FE4C18">
        <w:rPr>
          <w:rtl/>
        </w:rPr>
        <w:t>ة</w:t>
      </w:r>
      <w:r>
        <w:rPr>
          <w:rtl/>
        </w:rPr>
        <w:t xml:space="preserve"> يرتبط</w:t>
      </w:r>
      <w:r w:rsidRPr="00FE4C18">
        <w:rPr>
          <w:rtl/>
        </w:rPr>
        <w:t xml:space="preserve"> إنجاز </w:t>
      </w:r>
      <w:r>
        <w:rPr>
          <w:rtl/>
        </w:rPr>
        <w:t>ا</w:t>
      </w:r>
      <w:r w:rsidRPr="00FE4C18">
        <w:rPr>
          <w:rtl/>
        </w:rPr>
        <w:t>لعمل بشخص</w:t>
      </w:r>
      <w:r>
        <w:rPr>
          <w:rtl/>
        </w:rPr>
        <w:t>يّ</w:t>
      </w:r>
      <w:r w:rsidRPr="00FE4C18">
        <w:rPr>
          <w:rtl/>
        </w:rPr>
        <w:t xml:space="preserve">ة </w:t>
      </w:r>
      <w:r>
        <w:rPr>
          <w:rtl/>
        </w:rPr>
        <w:t>ا</w:t>
      </w:r>
      <w:r w:rsidRPr="00FE4C18">
        <w:rPr>
          <w:rtl/>
        </w:rPr>
        <w:t>لإنسان</w:t>
      </w:r>
      <w:r w:rsidRPr="007F5B58">
        <w:rPr>
          <w:rtl/>
        </w:rPr>
        <w:t>،</w:t>
      </w:r>
      <w:r w:rsidRPr="00FE4C18">
        <w:rPr>
          <w:rtl/>
        </w:rPr>
        <w:t xml:space="preserve"> «</w:t>
      </w:r>
      <w:r>
        <w:rPr>
          <w:rtl/>
        </w:rPr>
        <w:t>و</w:t>
      </w:r>
      <w:r w:rsidRPr="00FE4C18">
        <w:rPr>
          <w:rtl/>
        </w:rPr>
        <w:t xml:space="preserve">الالتزامات </w:t>
      </w:r>
      <w:r>
        <w:rPr>
          <w:rtl/>
        </w:rPr>
        <w:t>ا</w:t>
      </w:r>
      <w:r w:rsidRPr="00FE4C18">
        <w:rPr>
          <w:rtl/>
        </w:rPr>
        <w:t>لتي ترتبط بشخص</w:t>
      </w:r>
      <w:r>
        <w:rPr>
          <w:rtl/>
        </w:rPr>
        <w:t>يّ</w:t>
      </w:r>
      <w:r w:rsidRPr="00FE4C18">
        <w:rPr>
          <w:rtl/>
        </w:rPr>
        <w:t xml:space="preserve">ة </w:t>
      </w:r>
      <w:r>
        <w:rPr>
          <w:rtl/>
        </w:rPr>
        <w:t>ا</w:t>
      </w:r>
      <w:r w:rsidRPr="00FE4C18">
        <w:rPr>
          <w:rtl/>
        </w:rPr>
        <w:t>لإنسان تؤدي خصائص ل</w:t>
      </w:r>
      <w:r>
        <w:rPr>
          <w:rtl/>
        </w:rPr>
        <w:t>ي</w:t>
      </w:r>
      <w:r w:rsidRPr="00FE4C18">
        <w:rPr>
          <w:rtl/>
        </w:rPr>
        <w:t>س بإ</w:t>
      </w:r>
      <w:r>
        <w:rPr>
          <w:rtl/>
        </w:rPr>
        <w:t>مك</w:t>
      </w:r>
      <w:r w:rsidRPr="00FE4C18">
        <w:rPr>
          <w:rtl/>
        </w:rPr>
        <w:t xml:space="preserve">انها </w:t>
      </w:r>
      <w:r>
        <w:rPr>
          <w:rtl/>
        </w:rPr>
        <w:t>تـن</w:t>
      </w:r>
      <w:r w:rsidRPr="00FE4C18">
        <w:rPr>
          <w:rtl/>
        </w:rPr>
        <w:t>ف</w:t>
      </w:r>
      <w:r>
        <w:rPr>
          <w:rtl/>
        </w:rPr>
        <w:t>ي</w:t>
      </w:r>
      <w:r w:rsidRPr="00FE4C18">
        <w:rPr>
          <w:rtl/>
        </w:rPr>
        <w:t xml:space="preserve">ذ </w:t>
      </w:r>
      <w:r>
        <w:rPr>
          <w:rtl/>
        </w:rPr>
        <w:t>ا</w:t>
      </w:r>
      <w:r w:rsidRPr="00FE4C18">
        <w:rPr>
          <w:rtl/>
        </w:rPr>
        <w:t xml:space="preserve">لقواعد </w:t>
      </w:r>
      <w:r>
        <w:rPr>
          <w:rtl/>
        </w:rPr>
        <w:t>ا</w:t>
      </w:r>
      <w:r w:rsidRPr="00FE4C18">
        <w:rPr>
          <w:rtl/>
        </w:rPr>
        <w:t xml:space="preserve">لعامة للالتزامات بصورة </w:t>
      </w:r>
      <w:r>
        <w:rPr>
          <w:rtl/>
        </w:rPr>
        <w:t>ك</w:t>
      </w:r>
      <w:r w:rsidRPr="00FE4C18">
        <w:rPr>
          <w:rtl/>
        </w:rPr>
        <w:t>املة»</w:t>
      </w:r>
      <w:r w:rsidRPr="007F5B58">
        <w:rPr>
          <w:rtl/>
        </w:rPr>
        <w:t>،</w:t>
      </w:r>
      <w:r>
        <w:rPr>
          <w:rtl/>
        </w:rPr>
        <w:t xml:space="preserve"> و</w:t>
      </w:r>
      <w:r w:rsidRPr="00FE4C18">
        <w:rPr>
          <w:rtl/>
        </w:rPr>
        <w:t>عل</w:t>
      </w:r>
      <w:r>
        <w:rPr>
          <w:rtl/>
        </w:rPr>
        <w:t xml:space="preserve">ى </w:t>
      </w:r>
      <w:r w:rsidRPr="00FE4C18">
        <w:rPr>
          <w:rtl/>
        </w:rPr>
        <w:t>هذا تختلف ظروف هذ</w:t>
      </w:r>
      <w:r>
        <w:rPr>
          <w:rtl/>
        </w:rPr>
        <w:t>ي</w:t>
      </w:r>
      <w:r w:rsidRPr="00FE4C18">
        <w:rPr>
          <w:rtl/>
        </w:rPr>
        <w:t xml:space="preserve">ن </w:t>
      </w:r>
      <w:r>
        <w:rPr>
          <w:rtl/>
        </w:rPr>
        <w:t>ا</w:t>
      </w:r>
      <w:r w:rsidRPr="00FE4C18">
        <w:rPr>
          <w:rtl/>
        </w:rPr>
        <w:t>لالتزام</w:t>
      </w:r>
      <w:r>
        <w:rPr>
          <w:rtl/>
        </w:rPr>
        <w:t>ي</w:t>
      </w:r>
      <w:r w:rsidRPr="00FE4C18">
        <w:rPr>
          <w:rtl/>
        </w:rPr>
        <w:t>ن</w:t>
      </w:r>
      <w:r w:rsidRPr="00815C4C">
        <w:rPr>
          <w:rFonts w:cs="Taher"/>
          <w:vertAlign w:val="superscript"/>
          <w:rtl/>
        </w:rPr>
        <w:t>(</w:t>
      </w:r>
      <w:r w:rsidRPr="00815C4C">
        <w:rPr>
          <w:rFonts w:cs="Taher"/>
          <w:vertAlign w:val="superscript"/>
          <w:rtl/>
        </w:rPr>
        <w:footnoteReference w:id="888"/>
      </w:r>
      <w:r w:rsidRPr="00815C4C">
        <w:rPr>
          <w:rFonts w:cs="Taher"/>
          <w:vertAlign w:val="superscript"/>
          <w:rtl/>
        </w:rPr>
        <w:t>)</w:t>
      </w:r>
      <w:r>
        <w:rPr>
          <w:rtl/>
        </w:rPr>
        <w:t xml:space="preserve">. </w:t>
      </w:r>
      <w:r w:rsidRPr="00FE4C18">
        <w:rPr>
          <w:rtl/>
        </w:rPr>
        <w:t>في اتفاق</w:t>
      </w:r>
      <w:r>
        <w:rPr>
          <w:rtl/>
        </w:rPr>
        <w:t>ي</w:t>
      </w:r>
      <w:r w:rsidRPr="00FE4C18">
        <w:rPr>
          <w:rtl/>
        </w:rPr>
        <w:t xml:space="preserve">ة </w:t>
      </w:r>
      <w:r>
        <w:rPr>
          <w:rtl/>
        </w:rPr>
        <w:t>ا</w:t>
      </w:r>
      <w:r w:rsidRPr="00FE4C18">
        <w:rPr>
          <w:rtl/>
        </w:rPr>
        <w:t xml:space="preserve">ستخدام رحم </w:t>
      </w:r>
      <w:r>
        <w:rPr>
          <w:rtl/>
        </w:rPr>
        <w:t>ا</w:t>
      </w:r>
      <w:r w:rsidRPr="00FE4C18">
        <w:rPr>
          <w:rtl/>
        </w:rPr>
        <w:t>لمرأة</w:t>
      </w:r>
      <w:r>
        <w:rPr>
          <w:rtl/>
        </w:rPr>
        <w:t xml:space="preserve"> </w:t>
      </w:r>
      <w:r w:rsidRPr="00FE4C18">
        <w:rPr>
          <w:rtl/>
        </w:rPr>
        <w:t xml:space="preserve">‌موضوع </w:t>
      </w:r>
      <w:r>
        <w:rPr>
          <w:rtl/>
        </w:rPr>
        <w:t>ا</w:t>
      </w:r>
      <w:r w:rsidRPr="00FE4C18">
        <w:rPr>
          <w:rtl/>
        </w:rPr>
        <w:t xml:space="preserve">لعقد </w:t>
      </w:r>
      <w:r>
        <w:rPr>
          <w:rtl/>
        </w:rPr>
        <w:t>تـن</w:t>
      </w:r>
      <w:r w:rsidRPr="00FE4C18">
        <w:rPr>
          <w:rtl/>
        </w:rPr>
        <w:t>ف</w:t>
      </w:r>
      <w:r>
        <w:rPr>
          <w:rtl/>
        </w:rPr>
        <w:t>ي</w:t>
      </w:r>
      <w:r w:rsidRPr="00FE4C18">
        <w:rPr>
          <w:rtl/>
        </w:rPr>
        <w:t>ذ أفعال تشتمل عل</w:t>
      </w:r>
      <w:r>
        <w:rPr>
          <w:rtl/>
        </w:rPr>
        <w:t>ى ا</w:t>
      </w:r>
      <w:r w:rsidRPr="00FE4C18">
        <w:rPr>
          <w:rtl/>
        </w:rPr>
        <w:t>لعمل</w:t>
      </w:r>
      <w:r>
        <w:rPr>
          <w:rtl/>
        </w:rPr>
        <w:t xml:space="preserve"> و</w:t>
      </w:r>
      <w:r w:rsidRPr="00FE4C18">
        <w:rPr>
          <w:rtl/>
        </w:rPr>
        <w:t>عدم إجرائه في مجال تأم</w:t>
      </w:r>
      <w:r>
        <w:rPr>
          <w:rtl/>
        </w:rPr>
        <w:t>ي</w:t>
      </w:r>
      <w:r w:rsidRPr="00FE4C18">
        <w:rPr>
          <w:rtl/>
        </w:rPr>
        <w:t>ن منافع أخر</w:t>
      </w:r>
      <w:r>
        <w:rPr>
          <w:rtl/>
        </w:rPr>
        <w:t>ى</w:t>
      </w:r>
      <w:r w:rsidRPr="007F5B58">
        <w:rPr>
          <w:rtl/>
        </w:rPr>
        <w:t>،</w:t>
      </w:r>
      <w:r>
        <w:rPr>
          <w:rtl/>
        </w:rPr>
        <w:t xml:space="preserve"> و</w:t>
      </w:r>
      <w:r w:rsidRPr="00FE4C18">
        <w:rPr>
          <w:rtl/>
        </w:rPr>
        <w:t>من أهمها</w:t>
      </w:r>
      <w:r w:rsidRPr="007F5B58">
        <w:rPr>
          <w:rtl/>
        </w:rPr>
        <w:t>:</w:t>
      </w:r>
      <w:r w:rsidRPr="00FE4C18">
        <w:rPr>
          <w:rtl/>
        </w:rPr>
        <w:t xml:space="preserve"> التغذ</w:t>
      </w:r>
      <w:r>
        <w:rPr>
          <w:rtl/>
        </w:rPr>
        <w:t>ي</w:t>
      </w:r>
      <w:r w:rsidRPr="00FE4C18">
        <w:rPr>
          <w:rtl/>
        </w:rPr>
        <w:t>ة</w:t>
      </w:r>
      <w:r w:rsidRPr="007F5B58">
        <w:rPr>
          <w:rtl/>
        </w:rPr>
        <w:t>،</w:t>
      </w:r>
      <w:r w:rsidRPr="00FE4C18">
        <w:rPr>
          <w:rtl/>
        </w:rPr>
        <w:t xml:space="preserve"> مراقبة </w:t>
      </w:r>
      <w:r>
        <w:rPr>
          <w:rtl/>
        </w:rPr>
        <w:t>ا</w:t>
      </w:r>
      <w:r w:rsidRPr="00FE4C18">
        <w:rPr>
          <w:rtl/>
        </w:rPr>
        <w:t>لنفس</w:t>
      </w:r>
      <w:r w:rsidRPr="007F5B58">
        <w:rPr>
          <w:rtl/>
        </w:rPr>
        <w:t>،</w:t>
      </w:r>
      <w:r w:rsidRPr="00FE4C18">
        <w:rPr>
          <w:rtl/>
        </w:rPr>
        <w:t xml:space="preserve"> عدم </w:t>
      </w:r>
      <w:r>
        <w:rPr>
          <w:rtl/>
        </w:rPr>
        <w:t>ا</w:t>
      </w:r>
      <w:r w:rsidRPr="00FE4C18">
        <w:rPr>
          <w:rtl/>
        </w:rPr>
        <w:t>لجماع</w:t>
      </w:r>
      <w:r w:rsidRPr="007F5B58">
        <w:rPr>
          <w:rtl/>
        </w:rPr>
        <w:t>،</w:t>
      </w:r>
      <w:r w:rsidRPr="00FE4C18">
        <w:rPr>
          <w:rtl/>
        </w:rPr>
        <w:t xml:space="preserve"> عدم استعمال </w:t>
      </w:r>
      <w:r>
        <w:rPr>
          <w:rtl/>
        </w:rPr>
        <w:t>ا</w:t>
      </w:r>
      <w:r w:rsidRPr="00FE4C18">
        <w:rPr>
          <w:rtl/>
        </w:rPr>
        <w:t>لمخدرات</w:t>
      </w:r>
      <w:r w:rsidRPr="007F5B58">
        <w:rPr>
          <w:rtl/>
        </w:rPr>
        <w:t>،</w:t>
      </w:r>
      <w:r>
        <w:rPr>
          <w:rtl/>
        </w:rPr>
        <w:t xml:space="preserve"> و</w:t>
      </w:r>
      <w:r w:rsidRPr="00FE4C18">
        <w:rPr>
          <w:rtl/>
        </w:rPr>
        <w:t>...</w:t>
      </w:r>
      <w:r w:rsidRPr="007F5B58">
        <w:rPr>
          <w:rtl/>
        </w:rPr>
        <w:t>،</w:t>
      </w:r>
      <w:r>
        <w:rPr>
          <w:rtl/>
        </w:rPr>
        <w:t xml:space="preserve"> و</w:t>
      </w:r>
      <w:r w:rsidRPr="00FE4C18">
        <w:rPr>
          <w:rtl/>
        </w:rPr>
        <w:t>نظراً إل</w:t>
      </w:r>
      <w:r>
        <w:rPr>
          <w:rtl/>
        </w:rPr>
        <w:t xml:space="preserve">ى </w:t>
      </w:r>
      <w:r w:rsidRPr="00FE4C18">
        <w:rPr>
          <w:rtl/>
        </w:rPr>
        <w:t xml:space="preserve">شروط موضوع </w:t>
      </w:r>
      <w:r>
        <w:rPr>
          <w:rtl/>
        </w:rPr>
        <w:t>ا</w:t>
      </w:r>
      <w:r w:rsidRPr="00FE4C18">
        <w:rPr>
          <w:rtl/>
        </w:rPr>
        <w:t xml:space="preserve">لمعاملة في هذه </w:t>
      </w:r>
      <w:r>
        <w:rPr>
          <w:rtl/>
        </w:rPr>
        <w:t>ا</w:t>
      </w:r>
      <w:r w:rsidRPr="00FE4C18">
        <w:rPr>
          <w:rtl/>
        </w:rPr>
        <w:t>لاتفاق</w:t>
      </w:r>
      <w:r>
        <w:rPr>
          <w:rtl/>
        </w:rPr>
        <w:t>ي</w:t>
      </w:r>
      <w:r w:rsidRPr="00FE4C18">
        <w:rPr>
          <w:rtl/>
        </w:rPr>
        <w:t xml:space="preserve">ة فأهم هذه </w:t>
      </w:r>
      <w:r>
        <w:rPr>
          <w:rtl/>
        </w:rPr>
        <w:t>ا</w:t>
      </w:r>
      <w:r w:rsidRPr="00FE4C18">
        <w:rPr>
          <w:rtl/>
        </w:rPr>
        <w:t xml:space="preserve">لشروط </w:t>
      </w:r>
      <w:r>
        <w:rPr>
          <w:rtl/>
        </w:rPr>
        <w:t>ما يلي</w:t>
      </w:r>
      <w:r w:rsidRPr="007F5B58">
        <w:rPr>
          <w:rtl/>
        </w:rPr>
        <w:t>:</w:t>
      </w:r>
      <w:r w:rsidRPr="00FE4C18">
        <w:rPr>
          <w:rtl/>
        </w:rPr>
        <w:t xml:space="preserve"> </w:t>
      </w:r>
    </w:p>
    <w:p w:rsidR="00391A35" w:rsidRPr="0067362A" w:rsidRDefault="00391A35" w:rsidP="0067362A">
      <w:pPr>
        <w:pStyle w:val="afffffc"/>
        <w:rPr>
          <w:sz w:val="22"/>
          <w:szCs w:val="20"/>
          <w:rtl/>
        </w:rPr>
      </w:pPr>
    </w:p>
    <w:p w:rsidR="00391A35" w:rsidRPr="00FE4C18" w:rsidRDefault="00391A35" w:rsidP="0067362A">
      <w:pPr>
        <w:pStyle w:val="4"/>
        <w:rPr>
          <w:rtl/>
        </w:rPr>
      </w:pPr>
      <w:bookmarkStart w:id="487" w:name="_Toc275128194"/>
      <w:r w:rsidRPr="00FE4C18">
        <w:rPr>
          <w:rtl/>
        </w:rPr>
        <w:t>3</w:t>
      </w:r>
      <w:r>
        <w:rPr>
          <w:rtl/>
        </w:rPr>
        <w:t>ـ</w:t>
      </w:r>
      <w:r w:rsidRPr="00FE4C18">
        <w:rPr>
          <w:rtl/>
        </w:rPr>
        <w:t xml:space="preserve"> 3</w:t>
      </w:r>
      <w:r>
        <w:rPr>
          <w:rtl/>
        </w:rPr>
        <w:t>ـ</w:t>
      </w:r>
      <w:r w:rsidRPr="00FE4C18">
        <w:rPr>
          <w:rtl/>
        </w:rPr>
        <w:t xml:space="preserve"> 1</w:t>
      </w:r>
      <w:r>
        <w:rPr>
          <w:rtl/>
        </w:rPr>
        <w:t>ـ</w:t>
      </w:r>
      <w:r w:rsidRPr="00FE4C18">
        <w:rPr>
          <w:rtl/>
        </w:rPr>
        <w:t xml:space="preserve"> الوضوح</w:t>
      </w:r>
      <w:r>
        <w:rPr>
          <w:rtl/>
        </w:rPr>
        <w:t xml:space="preserve"> وا</w:t>
      </w:r>
      <w:r w:rsidRPr="00FE4C18">
        <w:rPr>
          <w:rtl/>
        </w:rPr>
        <w:t>لتع</w:t>
      </w:r>
      <w:r>
        <w:rPr>
          <w:rtl/>
        </w:rPr>
        <w:t>يي</w:t>
      </w:r>
      <w:r w:rsidRPr="00FE4C18">
        <w:rPr>
          <w:rtl/>
        </w:rPr>
        <w:t>ن</w:t>
      </w:r>
      <w:bookmarkEnd w:id="487"/>
      <w:r w:rsidRPr="00FE4C18">
        <w:rPr>
          <w:rtl/>
        </w:rPr>
        <w:t xml:space="preserve"> </w:t>
      </w:r>
    </w:p>
    <w:p w:rsidR="00391A35" w:rsidRPr="00FE4C18" w:rsidRDefault="00391A35" w:rsidP="00391A35">
      <w:pPr>
        <w:pStyle w:val="ac"/>
        <w:rPr>
          <w:rtl/>
        </w:rPr>
      </w:pPr>
      <w:r w:rsidRPr="00FE4C18">
        <w:rPr>
          <w:rtl/>
        </w:rPr>
        <w:t xml:space="preserve">بموجب </w:t>
      </w:r>
      <w:r>
        <w:rPr>
          <w:rtl/>
        </w:rPr>
        <w:t>ا</w:t>
      </w:r>
      <w:r w:rsidRPr="00FE4C18">
        <w:rPr>
          <w:rtl/>
        </w:rPr>
        <w:t xml:space="preserve">لقانون </w:t>
      </w:r>
      <w:r>
        <w:rPr>
          <w:rtl/>
        </w:rPr>
        <w:t>ا</w:t>
      </w:r>
      <w:r w:rsidRPr="00FE4C18">
        <w:rPr>
          <w:rtl/>
        </w:rPr>
        <w:t xml:space="preserve">لمدني (مادة 216) </w:t>
      </w:r>
      <w:r>
        <w:rPr>
          <w:rtl/>
        </w:rPr>
        <w:t>ي</w:t>
      </w:r>
      <w:r w:rsidRPr="00FE4C18">
        <w:rPr>
          <w:rtl/>
        </w:rPr>
        <w:t xml:space="preserve">جب أنْ </w:t>
      </w:r>
      <w:r>
        <w:rPr>
          <w:rtl/>
        </w:rPr>
        <w:t>يك</w:t>
      </w:r>
      <w:r w:rsidRPr="00FE4C18">
        <w:rPr>
          <w:rtl/>
        </w:rPr>
        <w:t xml:space="preserve">ون موضوع </w:t>
      </w:r>
      <w:r>
        <w:rPr>
          <w:rtl/>
        </w:rPr>
        <w:t>ا</w:t>
      </w:r>
      <w:r w:rsidRPr="00FE4C18">
        <w:rPr>
          <w:rtl/>
        </w:rPr>
        <w:t>لصفقة معلوماً غ</w:t>
      </w:r>
      <w:r>
        <w:rPr>
          <w:rtl/>
        </w:rPr>
        <w:t>ي</w:t>
      </w:r>
      <w:r w:rsidRPr="00FE4C18">
        <w:rPr>
          <w:rtl/>
        </w:rPr>
        <w:t xml:space="preserve">ر </w:t>
      </w:r>
      <w:r w:rsidRPr="00FE4C18">
        <w:rPr>
          <w:rtl/>
        </w:rPr>
        <w:lastRenderedPageBreak/>
        <w:t>مبهم</w:t>
      </w:r>
      <w:r w:rsidRPr="007F5B58">
        <w:rPr>
          <w:rtl/>
        </w:rPr>
        <w:t>،</w:t>
      </w:r>
      <w:r w:rsidRPr="00FE4C18">
        <w:rPr>
          <w:rtl/>
        </w:rPr>
        <w:t xml:space="preserve"> إلاّ في </w:t>
      </w:r>
      <w:r>
        <w:rPr>
          <w:rtl/>
        </w:rPr>
        <w:t>ا</w:t>
      </w:r>
      <w:r w:rsidRPr="00FE4C18">
        <w:rPr>
          <w:rtl/>
        </w:rPr>
        <w:t>لمواض</w:t>
      </w:r>
      <w:r>
        <w:rPr>
          <w:rtl/>
        </w:rPr>
        <w:t>ي</w:t>
      </w:r>
      <w:r w:rsidRPr="00FE4C18">
        <w:rPr>
          <w:rtl/>
        </w:rPr>
        <w:t xml:space="preserve">ع </w:t>
      </w:r>
      <w:r>
        <w:rPr>
          <w:rtl/>
        </w:rPr>
        <w:t>ا</w:t>
      </w:r>
      <w:r w:rsidRPr="00FE4C18">
        <w:rPr>
          <w:rtl/>
        </w:rPr>
        <w:t xml:space="preserve">لخاصّة </w:t>
      </w:r>
      <w:r>
        <w:rPr>
          <w:rtl/>
        </w:rPr>
        <w:t>ا</w:t>
      </w:r>
      <w:r w:rsidRPr="00FE4C18">
        <w:rPr>
          <w:rtl/>
        </w:rPr>
        <w:t xml:space="preserve">لتي </w:t>
      </w:r>
      <w:r>
        <w:rPr>
          <w:rtl/>
        </w:rPr>
        <w:t>يك</w:t>
      </w:r>
      <w:r w:rsidRPr="00FE4C18">
        <w:rPr>
          <w:rtl/>
        </w:rPr>
        <w:t>في ف</w:t>
      </w:r>
      <w:r>
        <w:rPr>
          <w:rtl/>
        </w:rPr>
        <w:t>ي</w:t>
      </w:r>
      <w:r w:rsidRPr="00FE4C18">
        <w:rPr>
          <w:rtl/>
        </w:rPr>
        <w:t xml:space="preserve">ها </w:t>
      </w:r>
      <w:r>
        <w:rPr>
          <w:rtl/>
        </w:rPr>
        <w:t>ا</w:t>
      </w:r>
      <w:r w:rsidRPr="00FE4C18">
        <w:rPr>
          <w:rtl/>
        </w:rPr>
        <w:t xml:space="preserve">لعلم </w:t>
      </w:r>
      <w:r>
        <w:rPr>
          <w:rtl/>
        </w:rPr>
        <w:t>ا</w:t>
      </w:r>
      <w:r w:rsidRPr="00FE4C18">
        <w:rPr>
          <w:rtl/>
        </w:rPr>
        <w:t>ل</w:t>
      </w:r>
      <w:r>
        <w:rPr>
          <w:rtl/>
        </w:rPr>
        <w:t>إ</w:t>
      </w:r>
      <w:r w:rsidRPr="00FE4C18">
        <w:rPr>
          <w:rtl/>
        </w:rPr>
        <w:t>جمالي</w:t>
      </w:r>
      <w:r>
        <w:rPr>
          <w:rtl/>
        </w:rPr>
        <w:t>. وي</w:t>
      </w:r>
      <w:r w:rsidRPr="00FE4C18">
        <w:rPr>
          <w:rtl/>
        </w:rPr>
        <w:t xml:space="preserve">عتقد </w:t>
      </w:r>
      <w:r>
        <w:rPr>
          <w:rtl/>
        </w:rPr>
        <w:t>ا</w:t>
      </w:r>
      <w:r w:rsidRPr="00FE4C18">
        <w:rPr>
          <w:rtl/>
        </w:rPr>
        <w:t>لقانون</w:t>
      </w:r>
      <w:r>
        <w:rPr>
          <w:rtl/>
        </w:rPr>
        <w:t>ي</w:t>
      </w:r>
      <w:r w:rsidRPr="00FE4C18">
        <w:rPr>
          <w:rtl/>
        </w:rPr>
        <w:t xml:space="preserve">ون بأنَّ </w:t>
      </w:r>
      <w:r>
        <w:rPr>
          <w:rtl/>
        </w:rPr>
        <w:t>حكم</w:t>
      </w:r>
      <w:r w:rsidRPr="00FE4C18">
        <w:rPr>
          <w:rtl/>
        </w:rPr>
        <w:t xml:space="preserve"> «هذه </w:t>
      </w:r>
      <w:r>
        <w:rPr>
          <w:rtl/>
        </w:rPr>
        <w:t>ا</w:t>
      </w:r>
      <w:r w:rsidRPr="00FE4C18">
        <w:rPr>
          <w:rtl/>
        </w:rPr>
        <w:t>لمادة‌</w:t>
      </w:r>
      <w:r>
        <w:rPr>
          <w:rtl/>
        </w:rPr>
        <w:t xml:space="preserve"> </w:t>
      </w:r>
      <w:r w:rsidRPr="00FE4C18">
        <w:rPr>
          <w:rtl/>
        </w:rPr>
        <w:t xml:space="preserve">لا </w:t>
      </w:r>
      <w:r>
        <w:rPr>
          <w:rtl/>
        </w:rPr>
        <w:t>ي</w:t>
      </w:r>
      <w:r w:rsidRPr="00FE4C18">
        <w:rPr>
          <w:rtl/>
        </w:rPr>
        <w:t xml:space="preserve">ختصّ بالمال </w:t>
      </w:r>
      <w:r>
        <w:rPr>
          <w:rtl/>
        </w:rPr>
        <w:t>ا</w:t>
      </w:r>
      <w:r w:rsidRPr="00FE4C18">
        <w:rPr>
          <w:rtl/>
        </w:rPr>
        <w:t>لمنقول</w:t>
      </w:r>
      <w:r w:rsidRPr="007F5B58">
        <w:rPr>
          <w:rtl/>
        </w:rPr>
        <w:t>،</w:t>
      </w:r>
      <w:r>
        <w:rPr>
          <w:rtl/>
        </w:rPr>
        <w:t xml:space="preserve"> وي</w:t>
      </w:r>
      <w:r w:rsidRPr="00FE4C18">
        <w:rPr>
          <w:rtl/>
        </w:rPr>
        <w:t xml:space="preserve">شمل عمل موضوع </w:t>
      </w:r>
      <w:r>
        <w:rPr>
          <w:rtl/>
        </w:rPr>
        <w:t>ا</w:t>
      </w:r>
      <w:r w:rsidRPr="00FE4C18">
        <w:rPr>
          <w:rtl/>
        </w:rPr>
        <w:t>لالتزام أ</w:t>
      </w:r>
      <w:r>
        <w:rPr>
          <w:rtl/>
        </w:rPr>
        <w:t>ي</w:t>
      </w:r>
      <w:r w:rsidRPr="00FE4C18">
        <w:rPr>
          <w:rtl/>
        </w:rPr>
        <w:t>ضاً</w:t>
      </w:r>
      <w:r w:rsidRPr="007F5B58">
        <w:rPr>
          <w:rtl/>
        </w:rPr>
        <w:t>،</w:t>
      </w:r>
      <w:r w:rsidRPr="00FE4C18">
        <w:rPr>
          <w:rtl/>
        </w:rPr>
        <w:t xml:space="preserve"> فلا </w:t>
      </w:r>
      <w:r>
        <w:rPr>
          <w:rtl/>
        </w:rPr>
        <w:t>ي</w:t>
      </w:r>
      <w:r w:rsidRPr="00FE4C18">
        <w:rPr>
          <w:rtl/>
        </w:rPr>
        <w:t>م</w:t>
      </w:r>
      <w:r>
        <w:rPr>
          <w:rtl/>
        </w:rPr>
        <w:t>ك</w:t>
      </w:r>
      <w:r w:rsidRPr="00FE4C18">
        <w:rPr>
          <w:rtl/>
        </w:rPr>
        <w:t xml:space="preserve">ن </w:t>
      </w:r>
      <w:r>
        <w:rPr>
          <w:rtl/>
        </w:rPr>
        <w:t>ا</w:t>
      </w:r>
      <w:r w:rsidRPr="00FE4C18">
        <w:rPr>
          <w:rtl/>
        </w:rPr>
        <w:t xml:space="preserve">لالتزام في </w:t>
      </w:r>
      <w:r>
        <w:rPr>
          <w:rtl/>
        </w:rPr>
        <w:t>ا</w:t>
      </w:r>
      <w:r w:rsidRPr="00FE4C18">
        <w:rPr>
          <w:rtl/>
        </w:rPr>
        <w:t>لاتفاق</w:t>
      </w:r>
      <w:r>
        <w:rPr>
          <w:rtl/>
        </w:rPr>
        <w:t>ي</w:t>
      </w:r>
      <w:r w:rsidRPr="00FE4C18">
        <w:rPr>
          <w:rtl/>
        </w:rPr>
        <w:t>ة بعمل مجهول أو غ</w:t>
      </w:r>
      <w:r>
        <w:rPr>
          <w:rtl/>
        </w:rPr>
        <w:t>ي</w:t>
      </w:r>
      <w:r w:rsidRPr="00FE4C18">
        <w:rPr>
          <w:rtl/>
        </w:rPr>
        <w:t>ر معلوم</w:t>
      </w:r>
      <w:r w:rsidRPr="00815C4C">
        <w:rPr>
          <w:rFonts w:cs="Taher"/>
          <w:vertAlign w:val="superscript"/>
          <w:rtl/>
        </w:rPr>
        <w:t>(</w:t>
      </w:r>
      <w:r w:rsidRPr="00815C4C">
        <w:rPr>
          <w:rFonts w:cs="Taher"/>
          <w:vertAlign w:val="superscript"/>
          <w:rtl/>
        </w:rPr>
        <w:footnoteReference w:id="889"/>
      </w:r>
      <w:r w:rsidRPr="00815C4C">
        <w:rPr>
          <w:rFonts w:cs="Taher"/>
          <w:vertAlign w:val="superscript"/>
          <w:rtl/>
        </w:rPr>
        <w:t>)</w:t>
      </w:r>
      <w:r>
        <w:rPr>
          <w:rtl/>
        </w:rPr>
        <w:t xml:space="preserve">. </w:t>
      </w:r>
    </w:p>
    <w:p w:rsidR="00391A35" w:rsidRPr="00FE4C18" w:rsidRDefault="00391A35" w:rsidP="0067362A">
      <w:pPr>
        <w:pStyle w:val="ac"/>
        <w:spacing w:line="199" w:lineRule="auto"/>
        <w:rPr>
          <w:rtl/>
        </w:rPr>
      </w:pPr>
      <w:r>
        <w:rPr>
          <w:rtl/>
        </w:rPr>
        <w:t>و</w:t>
      </w:r>
      <w:r w:rsidRPr="00FE4C18">
        <w:rPr>
          <w:rtl/>
        </w:rPr>
        <w:t>بالنظر إل</w:t>
      </w:r>
      <w:r>
        <w:rPr>
          <w:rtl/>
        </w:rPr>
        <w:t xml:space="preserve">ى </w:t>
      </w:r>
      <w:r w:rsidRPr="00FE4C18">
        <w:rPr>
          <w:rtl/>
        </w:rPr>
        <w:t xml:space="preserve">مواد </w:t>
      </w:r>
      <w:r>
        <w:rPr>
          <w:rtl/>
        </w:rPr>
        <w:t>ا</w:t>
      </w:r>
      <w:r w:rsidRPr="00FE4C18">
        <w:rPr>
          <w:rtl/>
        </w:rPr>
        <w:t xml:space="preserve">لقانون </w:t>
      </w:r>
      <w:r>
        <w:rPr>
          <w:rtl/>
        </w:rPr>
        <w:t>ا</w:t>
      </w:r>
      <w:r w:rsidRPr="00FE4C18">
        <w:rPr>
          <w:rtl/>
        </w:rPr>
        <w:t xml:space="preserve">لمدني </w:t>
      </w:r>
      <w:r>
        <w:rPr>
          <w:rtl/>
        </w:rPr>
        <w:t>ا</w:t>
      </w:r>
      <w:r w:rsidRPr="00FE4C18">
        <w:rPr>
          <w:rtl/>
        </w:rPr>
        <w:t>ل</w:t>
      </w:r>
      <w:r>
        <w:rPr>
          <w:rtl/>
        </w:rPr>
        <w:t>ك</w:t>
      </w:r>
      <w:r w:rsidRPr="00FE4C18">
        <w:rPr>
          <w:rtl/>
        </w:rPr>
        <w:t>ث</w:t>
      </w:r>
      <w:r>
        <w:rPr>
          <w:rtl/>
        </w:rPr>
        <w:t>ي</w:t>
      </w:r>
      <w:r w:rsidRPr="00FE4C18">
        <w:rPr>
          <w:rtl/>
        </w:rPr>
        <w:t>رة</w:t>
      </w:r>
      <w:r w:rsidRPr="007F5B58">
        <w:rPr>
          <w:rtl/>
        </w:rPr>
        <w:t>،</w:t>
      </w:r>
      <w:r w:rsidRPr="00FE4C18">
        <w:rPr>
          <w:rtl/>
        </w:rPr>
        <w:t xml:space="preserve"> </w:t>
      </w:r>
      <w:r>
        <w:rPr>
          <w:rtl/>
        </w:rPr>
        <w:t>ا</w:t>
      </w:r>
      <w:r w:rsidRPr="00FE4C18">
        <w:rPr>
          <w:rtl/>
        </w:rPr>
        <w:t>لتي تؤ</w:t>
      </w:r>
      <w:r>
        <w:rPr>
          <w:rtl/>
        </w:rPr>
        <w:t>ك</w:t>
      </w:r>
      <w:r w:rsidRPr="00FE4C18">
        <w:rPr>
          <w:rtl/>
        </w:rPr>
        <w:t>د عل</w:t>
      </w:r>
      <w:r>
        <w:rPr>
          <w:rtl/>
        </w:rPr>
        <w:t xml:space="preserve">ى </w:t>
      </w:r>
      <w:r w:rsidRPr="00FE4C18">
        <w:rPr>
          <w:rtl/>
        </w:rPr>
        <w:t xml:space="preserve">وضوح موضوع </w:t>
      </w:r>
      <w:r>
        <w:rPr>
          <w:rtl/>
        </w:rPr>
        <w:t>ا</w:t>
      </w:r>
      <w:r w:rsidRPr="00FE4C18">
        <w:rPr>
          <w:rtl/>
        </w:rPr>
        <w:t>لصفقة</w:t>
      </w:r>
      <w:r w:rsidRPr="00815C4C">
        <w:rPr>
          <w:rFonts w:cs="Taher" w:hint="cs"/>
          <w:vertAlign w:val="superscript"/>
          <w:rtl/>
        </w:rPr>
        <w:t>(</w:t>
      </w:r>
      <w:r w:rsidRPr="00815C4C">
        <w:rPr>
          <w:rFonts w:cs="Taher"/>
          <w:vertAlign w:val="superscript"/>
          <w:rtl/>
        </w:rPr>
        <w:footnoteReference w:id="890"/>
      </w:r>
      <w:r w:rsidRPr="00815C4C">
        <w:rPr>
          <w:rFonts w:cs="Taher" w:hint="cs"/>
          <w:vertAlign w:val="superscript"/>
          <w:rtl/>
        </w:rPr>
        <w:t>)</w:t>
      </w:r>
      <w:r w:rsidRPr="00FE4C18">
        <w:rPr>
          <w:rtl/>
        </w:rPr>
        <w:t xml:space="preserve"> نستط</w:t>
      </w:r>
      <w:r>
        <w:rPr>
          <w:rtl/>
        </w:rPr>
        <w:t>ي</w:t>
      </w:r>
      <w:r w:rsidRPr="00FE4C18">
        <w:rPr>
          <w:rtl/>
        </w:rPr>
        <w:t xml:space="preserve">ع </w:t>
      </w:r>
      <w:r>
        <w:rPr>
          <w:rtl/>
        </w:rPr>
        <w:t>ا</w:t>
      </w:r>
      <w:r w:rsidRPr="00FE4C18">
        <w:rPr>
          <w:rtl/>
        </w:rPr>
        <w:t>لقول</w:t>
      </w:r>
      <w:r w:rsidRPr="007F5B58">
        <w:rPr>
          <w:rtl/>
        </w:rPr>
        <w:t>:</w:t>
      </w:r>
      <w:r w:rsidRPr="00FE4C18">
        <w:rPr>
          <w:rtl/>
        </w:rPr>
        <w:t xml:space="preserve"> بصورة عامة عند ضرورة وضوح موضوع </w:t>
      </w:r>
      <w:r>
        <w:rPr>
          <w:rtl/>
        </w:rPr>
        <w:t>ا</w:t>
      </w:r>
      <w:r w:rsidRPr="00FE4C18">
        <w:rPr>
          <w:rtl/>
        </w:rPr>
        <w:t>لاتفاق</w:t>
      </w:r>
      <w:r>
        <w:rPr>
          <w:rtl/>
        </w:rPr>
        <w:t>ي</w:t>
      </w:r>
      <w:r w:rsidRPr="00FE4C18">
        <w:rPr>
          <w:rtl/>
        </w:rPr>
        <w:t xml:space="preserve">ة </w:t>
      </w:r>
      <w:r>
        <w:rPr>
          <w:rtl/>
        </w:rPr>
        <w:t>ـ</w:t>
      </w:r>
      <w:r w:rsidRPr="00FE4C18">
        <w:rPr>
          <w:rtl/>
        </w:rPr>
        <w:t xml:space="preserve"> الذي </w:t>
      </w:r>
      <w:r>
        <w:rPr>
          <w:rtl/>
        </w:rPr>
        <w:t>ي</w:t>
      </w:r>
      <w:r w:rsidRPr="00FE4C18">
        <w:rPr>
          <w:rtl/>
        </w:rPr>
        <w:t>شتمل عل</w:t>
      </w:r>
      <w:r>
        <w:rPr>
          <w:rtl/>
        </w:rPr>
        <w:t>ى ا</w:t>
      </w:r>
      <w:r w:rsidRPr="00FE4C18">
        <w:rPr>
          <w:rtl/>
        </w:rPr>
        <w:t>لتمل</w:t>
      </w:r>
      <w:r>
        <w:rPr>
          <w:rtl/>
        </w:rPr>
        <w:t>يك</w:t>
      </w:r>
      <w:r w:rsidRPr="00FE4C18">
        <w:rPr>
          <w:rtl/>
        </w:rPr>
        <w:t xml:space="preserve"> أو </w:t>
      </w:r>
      <w:r>
        <w:rPr>
          <w:rtl/>
        </w:rPr>
        <w:t>ا</w:t>
      </w:r>
      <w:r w:rsidRPr="00FE4C18">
        <w:rPr>
          <w:rtl/>
        </w:rPr>
        <w:t xml:space="preserve">لالتزام أو </w:t>
      </w:r>
      <w:r>
        <w:rPr>
          <w:rtl/>
        </w:rPr>
        <w:t>ا</w:t>
      </w:r>
      <w:r w:rsidRPr="00FE4C18">
        <w:rPr>
          <w:rtl/>
        </w:rPr>
        <w:t>لمال أو غ</w:t>
      </w:r>
      <w:r>
        <w:rPr>
          <w:rtl/>
        </w:rPr>
        <w:t>ي</w:t>
      </w:r>
      <w:r w:rsidRPr="00FE4C18">
        <w:rPr>
          <w:rtl/>
        </w:rPr>
        <w:t xml:space="preserve">ر </w:t>
      </w:r>
      <w:r>
        <w:rPr>
          <w:rtl/>
        </w:rPr>
        <w:t>ا</w:t>
      </w:r>
      <w:r w:rsidRPr="00FE4C18">
        <w:rPr>
          <w:rtl/>
        </w:rPr>
        <w:t xml:space="preserve">لمال </w:t>
      </w:r>
      <w:r>
        <w:rPr>
          <w:rtl/>
        </w:rPr>
        <w:t>ـ</w:t>
      </w:r>
      <w:r w:rsidRPr="00FE4C18">
        <w:rPr>
          <w:rtl/>
        </w:rPr>
        <w:t xml:space="preserve"> </w:t>
      </w:r>
      <w:r>
        <w:rPr>
          <w:rtl/>
        </w:rPr>
        <w:t>ف</w:t>
      </w:r>
      <w:r w:rsidRPr="00FE4C18">
        <w:rPr>
          <w:rtl/>
        </w:rPr>
        <w:t>ل</w:t>
      </w:r>
      <w:r>
        <w:rPr>
          <w:rtl/>
        </w:rPr>
        <w:t>ي</w:t>
      </w:r>
      <w:r w:rsidRPr="00FE4C18">
        <w:rPr>
          <w:rtl/>
        </w:rPr>
        <w:t>س هنا</w:t>
      </w:r>
      <w:r>
        <w:rPr>
          <w:rtl/>
        </w:rPr>
        <w:t>ك</w:t>
      </w:r>
      <w:r w:rsidRPr="00FE4C18">
        <w:rPr>
          <w:rtl/>
        </w:rPr>
        <w:t xml:space="preserve"> ر</w:t>
      </w:r>
      <w:r>
        <w:rPr>
          <w:rtl/>
        </w:rPr>
        <w:t>ي</w:t>
      </w:r>
      <w:r w:rsidRPr="00FE4C18">
        <w:rPr>
          <w:rtl/>
        </w:rPr>
        <w:t>ب</w:t>
      </w:r>
      <w:r w:rsidRPr="007F5B58">
        <w:rPr>
          <w:rtl/>
        </w:rPr>
        <w:t>،</w:t>
      </w:r>
      <w:r w:rsidRPr="00FE4C18">
        <w:rPr>
          <w:rtl/>
        </w:rPr>
        <w:t xml:space="preserve"> </w:t>
      </w:r>
      <w:r>
        <w:rPr>
          <w:rtl/>
        </w:rPr>
        <w:t>بل ي</w:t>
      </w:r>
      <w:r w:rsidRPr="00FE4C18">
        <w:rPr>
          <w:rtl/>
        </w:rPr>
        <w:t xml:space="preserve">بدو أنَّ موضوع أي نوع من </w:t>
      </w:r>
      <w:r>
        <w:rPr>
          <w:rtl/>
        </w:rPr>
        <w:t>ا</w:t>
      </w:r>
      <w:r w:rsidRPr="00FE4C18">
        <w:rPr>
          <w:rtl/>
        </w:rPr>
        <w:t xml:space="preserve">لالتزام </w:t>
      </w:r>
      <w:r>
        <w:rPr>
          <w:rtl/>
        </w:rPr>
        <w:t>ا</w:t>
      </w:r>
      <w:r w:rsidRPr="00FE4C18">
        <w:rPr>
          <w:rtl/>
        </w:rPr>
        <w:t xml:space="preserve">لقانوني </w:t>
      </w:r>
      <w:r>
        <w:rPr>
          <w:rtl/>
        </w:rPr>
        <w:t>ي</w:t>
      </w:r>
      <w:r w:rsidRPr="00FE4C18">
        <w:rPr>
          <w:rtl/>
        </w:rPr>
        <w:t xml:space="preserve">جب أن </w:t>
      </w:r>
      <w:r>
        <w:rPr>
          <w:rtl/>
        </w:rPr>
        <w:t>يك</w:t>
      </w:r>
      <w:r w:rsidRPr="00FE4C18">
        <w:rPr>
          <w:rtl/>
        </w:rPr>
        <w:t>ون واضحاً</w:t>
      </w:r>
      <w:r>
        <w:rPr>
          <w:rtl/>
        </w:rPr>
        <w:t xml:space="preserve"> و</w:t>
      </w:r>
      <w:r w:rsidRPr="00FE4C18">
        <w:rPr>
          <w:rtl/>
        </w:rPr>
        <w:t>مع</w:t>
      </w:r>
      <w:r>
        <w:rPr>
          <w:rtl/>
        </w:rPr>
        <w:t>ي</w:t>
      </w:r>
      <w:r w:rsidRPr="00FE4C18">
        <w:rPr>
          <w:rtl/>
        </w:rPr>
        <w:t>ناً</w:t>
      </w:r>
      <w:r>
        <w:rPr>
          <w:rFonts w:hint="cs"/>
          <w:rtl/>
        </w:rPr>
        <w:t>؛</w:t>
      </w:r>
      <w:r w:rsidRPr="00FE4C18">
        <w:rPr>
          <w:rtl/>
        </w:rPr>
        <w:t xml:space="preserve"> ل</w:t>
      </w:r>
      <w:r>
        <w:rPr>
          <w:rFonts w:hint="cs"/>
          <w:rtl/>
        </w:rPr>
        <w:t>أ</w:t>
      </w:r>
      <w:r w:rsidRPr="00FE4C18">
        <w:rPr>
          <w:rtl/>
        </w:rPr>
        <w:t xml:space="preserve">نّ </w:t>
      </w:r>
      <w:r>
        <w:rPr>
          <w:rtl/>
        </w:rPr>
        <w:t>ا</w:t>
      </w:r>
      <w:r w:rsidRPr="00FE4C18">
        <w:rPr>
          <w:rtl/>
        </w:rPr>
        <w:t xml:space="preserve">لصفقة </w:t>
      </w:r>
      <w:r>
        <w:rPr>
          <w:rtl/>
        </w:rPr>
        <w:t>ا</w:t>
      </w:r>
      <w:r w:rsidRPr="00FE4C18">
        <w:rPr>
          <w:rtl/>
        </w:rPr>
        <w:t>ل</w:t>
      </w:r>
      <w:r>
        <w:rPr>
          <w:rtl/>
        </w:rPr>
        <w:t>ك</w:t>
      </w:r>
      <w:r w:rsidRPr="00FE4C18">
        <w:rPr>
          <w:rtl/>
        </w:rPr>
        <w:t>اذبة باطلة</w:t>
      </w:r>
      <w:r>
        <w:rPr>
          <w:rtl/>
        </w:rPr>
        <w:t>. و</w:t>
      </w:r>
      <w:r w:rsidRPr="00FE4C18">
        <w:rPr>
          <w:rtl/>
        </w:rPr>
        <w:t>إضافة إل</w:t>
      </w:r>
      <w:r>
        <w:rPr>
          <w:rtl/>
        </w:rPr>
        <w:t xml:space="preserve">ى </w:t>
      </w:r>
      <w:r w:rsidRPr="00FE4C18">
        <w:rPr>
          <w:rtl/>
        </w:rPr>
        <w:t>ذل</w:t>
      </w:r>
      <w:r>
        <w:rPr>
          <w:rtl/>
        </w:rPr>
        <w:t>ك</w:t>
      </w:r>
      <w:r w:rsidRPr="00FE4C18">
        <w:rPr>
          <w:rtl/>
        </w:rPr>
        <w:t xml:space="preserve"> لا </w:t>
      </w:r>
      <w:r>
        <w:rPr>
          <w:rtl/>
        </w:rPr>
        <w:t>ي</w:t>
      </w:r>
      <w:r w:rsidRPr="00FE4C18">
        <w:rPr>
          <w:rtl/>
        </w:rPr>
        <w:t>م</w:t>
      </w:r>
      <w:r>
        <w:rPr>
          <w:rtl/>
        </w:rPr>
        <w:t>ك</w:t>
      </w:r>
      <w:r w:rsidRPr="00FE4C18">
        <w:rPr>
          <w:rtl/>
        </w:rPr>
        <w:t>ن تمل</w:t>
      </w:r>
      <w:r>
        <w:rPr>
          <w:rtl/>
        </w:rPr>
        <w:t>يك</w:t>
      </w:r>
      <w:r w:rsidRPr="00FE4C18">
        <w:rPr>
          <w:rtl/>
        </w:rPr>
        <w:t xml:space="preserve"> </w:t>
      </w:r>
      <w:r>
        <w:rPr>
          <w:rtl/>
        </w:rPr>
        <w:t>ا</w:t>
      </w:r>
      <w:r w:rsidRPr="00FE4C18">
        <w:rPr>
          <w:rtl/>
        </w:rPr>
        <w:t xml:space="preserve">لمال </w:t>
      </w:r>
      <w:r>
        <w:rPr>
          <w:rtl/>
        </w:rPr>
        <w:t>ا</w:t>
      </w:r>
      <w:r w:rsidRPr="00FE4C18">
        <w:rPr>
          <w:rtl/>
        </w:rPr>
        <w:t>لمجهول</w:t>
      </w:r>
      <w:r>
        <w:rPr>
          <w:rtl/>
        </w:rPr>
        <w:t xml:space="preserve"> و</w:t>
      </w:r>
      <w:r w:rsidRPr="00FE4C18">
        <w:rPr>
          <w:rtl/>
        </w:rPr>
        <w:t xml:space="preserve">إجراء </w:t>
      </w:r>
      <w:r>
        <w:rPr>
          <w:rtl/>
        </w:rPr>
        <w:t>ا</w:t>
      </w:r>
      <w:r w:rsidRPr="00FE4C18">
        <w:rPr>
          <w:rtl/>
        </w:rPr>
        <w:t xml:space="preserve">لالتزام </w:t>
      </w:r>
      <w:r>
        <w:rPr>
          <w:rtl/>
        </w:rPr>
        <w:t>ا</w:t>
      </w:r>
      <w:r w:rsidRPr="00FE4C18">
        <w:rPr>
          <w:rtl/>
        </w:rPr>
        <w:t>لمجهول</w:t>
      </w:r>
      <w:r>
        <w:rPr>
          <w:rtl/>
        </w:rPr>
        <w:t xml:space="preserve"> وتـن</w:t>
      </w:r>
      <w:r w:rsidRPr="00FE4C18">
        <w:rPr>
          <w:rtl/>
        </w:rPr>
        <w:t>ف</w:t>
      </w:r>
      <w:r>
        <w:rPr>
          <w:rtl/>
        </w:rPr>
        <w:t>ي</w:t>
      </w:r>
      <w:r w:rsidRPr="00FE4C18">
        <w:rPr>
          <w:rtl/>
        </w:rPr>
        <w:t xml:space="preserve">ذ </w:t>
      </w:r>
      <w:r>
        <w:rPr>
          <w:rtl/>
        </w:rPr>
        <w:t>ا</w:t>
      </w:r>
      <w:r w:rsidRPr="00FE4C18">
        <w:rPr>
          <w:rtl/>
        </w:rPr>
        <w:t xml:space="preserve">لالتزام </w:t>
      </w:r>
      <w:r>
        <w:rPr>
          <w:rtl/>
        </w:rPr>
        <w:t>ا</w:t>
      </w:r>
      <w:r w:rsidRPr="00FE4C18">
        <w:rPr>
          <w:rtl/>
        </w:rPr>
        <w:t xml:space="preserve">لقانوني </w:t>
      </w:r>
      <w:r>
        <w:rPr>
          <w:rtl/>
        </w:rPr>
        <w:t>ا</w:t>
      </w:r>
      <w:r w:rsidRPr="00FE4C18">
        <w:rPr>
          <w:rtl/>
        </w:rPr>
        <w:t>لمجهول</w:t>
      </w:r>
      <w:r w:rsidRPr="007F5B58">
        <w:rPr>
          <w:rtl/>
        </w:rPr>
        <w:t>،</w:t>
      </w:r>
      <w:r>
        <w:rPr>
          <w:rtl/>
        </w:rPr>
        <w:t xml:space="preserve"> و</w:t>
      </w:r>
      <w:r w:rsidRPr="00FE4C18">
        <w:rPr>
          <w:rtl/>
        </w:rPr>
        <w:t xml:space="preserve">من هذا </w:t>
      </w:r>
      <w:r>
        <w:rPr>
          <w:rtl/>
        </w:rPr>
        <w:t>ا</w:t>
      </w:r>
      <w:r w:rsidRPr="00FE4C18">
        <w:rPr>
          <w:rtl/>
        </w:rPr>
        <w:t xml:space="preserve">لمنطلق </w:t>
      </w:r>
      <w:r>
        <w:rPr>
          <w:rtl/>
        </w:rPr>
        <w:t>ي</w:t>
      </w:r>
      <w:r w:rsidRPr="00FE4C18">
        <w:rPr>
          <w:rtl/>
        </w:rPr>
        <w:t xml:space="preserve">جب </w:t>
      </w:r>
      <w:r>
        <w:rPr>
          <w:rtl/>
        </w:rPr>
        <w:t>ا</w:t>
      </w:r>
      <w:r w:rsidRPr="00FE4C18">
        <w:rPr>
          <w:rtl/>
        </w:rPr>
        <w:t>لتأ</w:t>
      </w:r>
      <w:r>
        <w:rPr>
          <w:rtl/>
        </w:rPr>
        <w:t>كي</w:t>
      </w:r>
      <w:r w:rsidRPr="00FE4C18">
        <w:rPr>
          <w:rtl/>
        </w:rPr>
        <w:t>د عل</w:t>
      </w:r>
      <w:r>
        <w:rPr>
          <w:rtl/>
        </w:rPr>
        <w:t xml:space="preserve">ى </w:t>
      </w:r>
      <w:r w:rsidRPr="00FE4C18">
        <w:rPr>
          <w:rtl/>
        </w:rPr>
        <w:t xml:space="preserve">بطلان </w:t>
      </w:r>
      <w:r>
        <w:rPr>
          <w:rtl/>
        </w:rPr>
        <w:t>ا</w:t>
      </w:r>
      <w:r w:rsidRPr="00FE4C18">
        <w:rPr>
          <w:rtl/>
        </w:rPr>
        <w:t>لاتفاق</w:t>
      </w:r>
      <w:r>
        <w:rPr>
          <w:rtl/>
        </w:rPr>
        <w:t>ي</w:t>
      </w:r>
      <w:r w:rsidRPr="00FE4C18">
        <w:rPr>
          <w:rtl/>
        </w:rPr>
        <w:t>ة</w:t>
      </w:r>
      <w:r>
        <w:rPr>
          <w:rtl/>
        </w:rPr>
        <w:t xml:space="preserve"> وا</w:t>
      </w:r>
      <w:r w:rsidRPr="00FE4C18">
        <w:rPr>
          <w:rtl/>
        </w:rPr>
        <w:t xml:space="preserve">لالتزام </w:t>
      </w:r>
      <w:r>
        <w:rPr>
          <w:rtl/>
        </w:rPr>
        <w:t>ا</w:t>
      </w:r>
      <w:r w:rsidRPr="00FE4C18">
        <w:rPr>
          <w:rtl/>
        </w:rPr>
        <w:t>للت</w:t>
      </w:r>
      <w:r>
        <w:rPr>
          <w:rtl/>
        </w:rPr>
        <w:t>ي</w:t>
      </w:r>
      <w:r w:rsidRPr="00FE4C18">
        <w:rPr>
          <w:rtl/>
        </w:rPr>
        <w:t xml:space="preserve">ن تتصفان بعدم </w:t>
      </w:r>
      <w:r>
        <w:rPr>
          <w:rtl/>
        </w:rPr>
        <w:t>ا</w:t>
      </w:r>
      <w:r w:rsidRPr="00FE4C18">
        <w:rPr>
          <w:rtl/>
        </w:rPr>
        <w:t>لوضوح</w:t>
      </w:r>
      <w:r w:rsidRPr="00815C4C">
        <w:rPr>
          <w:rFonts w:cs="Taher"/>
          <w:vertAlign w:val="superscript"/>
          <w:rtl/>
        </w:rPr>
        <w:t>(</w:t>
      </w:r>
      <w:r w:rsidRPr="00815C4C">
        <w:rPr>
          <w:rFonts w:cs="Taher"/>
          <w:vertAlign w:val="superscript"/>
          <w:rtl/>
        </w:rPr>
        <w:footnoteReference w:id="891"/>
      </w:r>
      <w:r w:rsidRPr="00815C4C">
        <w:rPr>
          <w:rFonts w:cs="Taher"/>
          <w:vertAlign w:val="superscript"/>
          <w:rtl/>
        </w:rPr>
        <w:t>)</w:t>
      </w:r>
      <w:r w:rsidRPr="00FE4C18">
        <w:rPr>
          <w:rtl/>
        </w:rPr>
        <w:t>.</w:t>
      </w:r>
    </w:p>
    <w:p w:rsidR="00391A35" w:rsidRDefault="00391A35" w:rsidP="0067362A">
      <w:pPr>
        <w:pStyle w:val="ac"/>
        <w:spacing w:line="199" w:lineRule="auto"/>
        <w:rPr>
          <w:rtl/>
        </w:rPr>
      </w:pPr>
      <w:r>
        <w:rPr>
          <w:rtl/>
        </w:rPr>
        <w:t>و</w:t>
      </w:r>
      <w:r w:rsidRPr="00FE4C18">
        <w:rPr>
          <w:rtl/>
        </w:rPr>
        <w:t xml:space="preserve">لأنَّ </w:t>
      </w:r>
      <w:r>
        <w:rPr>
          <w:rtl/>
        </w:rPr>
        <w:t>ا</w:t>
      </w:r>
      <w:r w:rsidRPr="00FE4C18">
        <w:rPr>
          <w:rtl/>
        </w:rPr>
        <w:t xml:space="preserve">لحبل </w:t>
      </w:r>
      <w:r>
        <w:rPr>
          <w:rtl/>
        </w:rPr>
        <w:t xml:space="preserve">ـ </w:t>
      </w:r>
      <w:r w:rsidRPr="00FE4C18">
        <w:rPr>
          <w:rtl/>
        </w:rPr>
        <w:t>في اتفاق</w:t>
      </w:r>
      <w:r>
        <w:rPr>
          <w:rtl/>
        </w:rPr>
        <w:t>ي</w:t>
      </w:r>
      <w:r w:rsidRPr="00FE4C18">
        <w:rPr>
          <w:rtl/>
        </w:rPr>
        <w:t xml:space="preserve">ة </w:t>
      </w:r>
      <w:r>
        <w:rPr>
          <w:rFonts w:hint="cs"/>
          <w:rtl/>
        </w:rPr>
        <w:t>ا</w:t>
      </w:r>
      <w:r w:rsidRPr="00FE4C18">
        <w:rPr>
          <w:rtl/>
        </w:rPr>
        <w:t xml:space="preserve">ستخدام رحم </w:t>
      </w:r>
      <w:r>
        <w:rPr>
          <w:rtl/>
        </w:rPr>
        <w:t>ا</w:t>
      </w:r>
      <w:r w:rsidRPr="00FE4C18">
        <w:rPr>
          <w:rtl/>
        </w:rPr>
        <w:t>لمرأة</w:t>
      </w:r>
      <w:r>
        <w:rPr>
          <w:rtl/>
        </w:rPr>
        <w:t xml:space="preserve"> ـ ي</w:t>
      </w:r>
      <w:r w:rsidRPr="00FE4C18">
        <w:rPr>
          <w:rtl/>
        </w:rPr>
        <w:t>حصل بأسلوب صناعي من طر</w:t>
      </w:r>
      <w:r>
        <w:rPr>
          <w:rtl/>
        </w:rPr>
        <w:t>ي</w:t>
      </w:r>
      <w:r w:rsidRPr="00FE4C18">
        <w:rPr>
          <w:rtl/>
        </w:rPr>
        <w:t xml:space="preserve">ق </w:t>
      </w:r>
      <w:r w:rsidRPr="00FE4C18">
        <w:t>IVF</w:t>
      </w:r>
      <w:r w:rsidRPr="007F5B58">
        <w:rPr>
          <w:rtl/>
        </w:rPr>
        <w:t>،</w:t>
      </w:r>
      <w:r>
        <w:rPr>
          <w:rtl/>
        </w:rPr>
        <w:t xml:space="preserve"> فإنهم </w:t>
      </w:r>
      <w:r w:rsidRPr="00FE4C18">
        <w:rPr>
          <w:rtl/>
        </w:rPr>
        <w:t xml:space="preserve">بهدف </w:t>
      </w:r>
      <w:r>
        <w:rPr>
          <w:rtl/>
        </w:rPr>
        <w:t>ا</w:t>
      </w:r>
      <w:r w:rsidRPr="00FE4C18">
        <w:rPr>
          <w:rtl/>
        </w:rPr>
        <w:t>لنجاح</w:t>
      </w:r>
      <w:r>
        <w:rPr>
          <w:rtl/>
        </w:rPr>
        <w:t xml:space="preserve"> وا</w:t>
      </w:r>
      <w:r w:rsidRPr="00FE4C18">
        <w:rPr>
          <w:rtl/>
        </w:rPr>
        <w:t>لوصول إل</w:t>
      </w:r>
      <w:r>
        <w:rPr>
          <w:rtl/>
        </w:rPr>
        <w:t>ى ا</w:t>
      </w:r>
      <w:r w:rsidRPr="00FE4C18">
        <w:rPr>
          <w:rtl/>
        </w:rPr>
        <w:t xml:space="preserve">لحبل </w:t>
      </w:r>
      <w:r>
        <w:rPr>
          <w:rtl/>
        </w:rPr>
        <w:t>ي</w:t>
      </w:r>
      <w:r w:rsidRPr="00FE4C18">
        <w:rPr>
          <w:rtl/>
        </w:rPr>
        <w:t xml:space="preserve">نقلون عدداً من </w:t>
      </w:r>
      <w:r>
        <w:rPr>
          <w:rtl/>
        </w:rPr>
        <w:t>ا</w:t>
      </w:r>
      <w:r w:rsidRPr="00FE4C18">
        <w:rPr>
          <w:rtl/>
        </w:rPr>
        <w:t>لأجنة إل</w:t>
      </w:r>
      <w:r>
        <w:rPr>
          <w:rtl/>
        </w:rPr>
        <w:t xml:space="preserve">ى </w:t>
      </w:r>
      <w:r w:rsidRPr="00FE4C18">
        <w:rPr>
          <w:rtl/>
        </w:rPr>
        <w:t xml:space="preserve">رحم </w:t>
      </w:r>
      <w:r>
        <w:rPr>
          <w:rtl/>
        </w:rPr>
        <w:t>ا</w:t>
      </w:r>
      <w:r w:rsidRPr="00FE4C18">
        <w:rPr>
          <w:rtl/>
        </w:rPr>
        <w:t>لمرأة عادة</w:t>
      </w:r>
      <w:r w:rsidRPr="007F5B58">
        <w:rPr>
          <w:rtl/>
        </w:rPr>
        <w:t>،</w:t>
      </w:r>
      <w:r>
        <w:rPr>
          <w:rtl/>
        </w:rPr>
        <w:t xml:space="preserve"> و</w:t>
      </w:r>
      <w:r w:rsidRPr="00FE4C18">
        <w:rPr>
          <w:rtl/>
        </w:rPr>
        <w:t>لذل</w:t>
      </w:r>
      <w:r>
        <w:rPr>
          <w:rtl/>
        </w:rPr>
        <w:t>ك</w:t>
      </w:r>
      <w:r w:rsidRPr="00FE4C18">
        <w:rPr>
          <w:rtl/>
        </w:rPr>
        <w:t xml:space="preserve"> </w:t>
      </w:r>
      <w:r>
        <w:rPr>
          <w:rtl/>
        </w:rPr>
        <w:t>ي</w:t>
      </w:r>
      <w:r w:rsidRPr="00FE4C18">
        <w:rPr>
          <w:rtl/>
        </w:rPr>
        <w:t>ز</w:t>
      </w:r>
      <w:r>
        <w:rPr>
          <w:rtl/>
        </w:rPr>
        <w:t>ي</w:t>
      </w:r>
      <w:r w:rsidRPr="00FE4C18">
        <w:rPr>
          <w:rtl/>
        </w:rPr>
        <w:t xml:space="preserve">د </w:t>
      </w:r>
      <w:r>
        <w:rPr>
          <w:rtl/>
        </w:rPr>
        <w:t>ا</w:t>
      </w:r>
      <w:r w:rsidRPr="00FE4C18">
        <w:rPr>
          <w:rtl/>
        </w:rPr>
        <w:t>حتمال وضع توأم</w:t>
      </w:r>
      <w:r>
        <w:rPr>
          <w:rtl/>
        </w:rPr>
        <w:t>ي</w:t>
      </w:r>
      <w:r w:rsidRPr="00FE4C18">
        <w:rPr>
          <w:rtl/>
        </w:rPr>
        <w:t>ن أو أ</w:t>
      </w:r>
      <w:r>
        <w:rPr>
          <w:rtl/>
        </w:rPr>
        <w:t>ك</w:t>
      </w:r>
      <w:r w:rsidRPr="00FE4C18">
        <w:rPr>
          <w:rtl/>
        </w:rPr>
        <w:t>ثر</w:t>
      </w:r>
      <w:r>
        <w:rPr>
          <w:rtl/>
        </w:rPr>
        <w:t>.</w:t>
      </w:r>
      <w:r w:rsidRPr="00FE4C18">
        <w:rPr>
          <w:rtl/>
        </w:rPr>
        <w:t xml:space="preserve"> </w:t>
      </w:r>
      <w:r>
        <w:rPr>
          <w:rtl/>
        </w:rPr>
        <w:t>و</w:t>
      </w:r>
      <w:r w:rsidRPr="00FE4C18">
        <w:rPr>
          <w:rtl/>
        </w:rPr>
        <w:t>تؤ</w:t>
      </w:r>
      <w:r>
        <w:rPr>
          <w:rtl/>
        </w:rPr>
        <w:t>ك</w:t>
      </w:r>
      <w:r w:rsidRPr="00FE4C18">
        <w:rPr>
          <w:rtl/>
        </w:rPr>
        <w:t xml:space="preserve">د </w:t>
      </w:r>
      <w:r>
        <w:rPr>
          <w:rtl/>
        </w:rPr>
        <w:t>ا</w:t>
      </w:r>
      <w:r w:rsidRPr="00FE4C18">
        <w:rPr>
          <w:rtl/>
        </w:rPr>
        <w:t xml:space="preserve">لدراسات أنّ </w:t>
      </w:r>
      <w:r>
        <w:rPr>
          <w:rtl/>
        </w:rPr>
        <w:t xml:space="preserve">وضع التوأمين </w:t>
      </w:r>
      <w:r w:rsidRPr="00FE4C18">
        <w:rPr>
          <w:rtl/>
        </w:rPr>
        <w:t xml:space="preserve">في عصرنا </w:t>
      </w:r>
      <w:r>
        <w:rPr>
          <w:rtl/>
        </w:rPr>
        <w:t>ا</w:t>
      </w:r>
      <w:r w:rsidRPr="00FE4C18">
        <w:rPr>
          <w:rtl/>
        </w:rPr>
        <w:t>لحاضر أشهر ظاهرة في أسال</w:t>
      </w:r>
      <w:r>
        <w:rPr>
          <w:rtl/>
        </w:rPr>
        <w:t>ي</w:t>
      </w:r>
      <w:r w:rsidRPr="00FE4C18">
        <w:rPr>
          <w:rtl/>
        </w:rPr>
        <w:t xml:space="preserve">ب </w:t>
      </w:r>
      <w:r w:rsidRPr="00FE4C18">
        <w:t>ART</w:t>
      </w:r>
      <w:r w:rsidRPr="00815C4C">
        <w:rPr>
          <w:rFonts w:cs="Taher"/>
          <w:vertAlign w:val="superscript"/>
          <w:rtl/>
        </w:rPr>
        <w:t>(</w:t>
      </w:r>
      <w:r w:rsidRPr="00815C4C">
        <w:rPr>
          <w:rFonts w:cs="Taher"/>
          <w:vertAlign w:val="superscript"/>
          <w:rtl/>
        </w:rPr>
        <w:footnoteReference w:id="892"/>
      </w:r>
      <w:r w:rsidRPr="00815C4C">
        <w:rPr>
          <w:rFonts w:cs="Taher"/>
          <w:vertAlign w:val="superscript"/>
          <w:rtl/>
        </w:rPr>
        <w:t>)</w:t>
      </w:r>
      <w:r>
        <w:rPr>
          <w:rtl/>
        </w:rPr>
        <w:t>.</w:t>
      </w:r>
    </w:p>
    <w:p w:rsidR="00391A35" w:rsidRPr="00FE4C18" w:rsidRDefault="00391A35" w:rsidP="0067362A">
      <w:pPr>
        <w:pStyle w:val="ac"/>
        <w:spacing w:line="199" w:lineRule="auto"/>
        <w:rPr>
          <w:rtl/>
        </w:rPr>
      </w:pPr>
      <w:r>
        <w:rPr>
          <w:rtl/>
        </w:rPr>
        <w:t>و</w:t>
      </w:r>
      <w:r w:rsidRPr="00FE4C18">
        <w:rPr>
          <w:rtl/>
        </w:rPr>
        <w:t xml:space="preserve">الخطورة </w:t>
      </w:r>
      <w:r>
        <w:rPr>
          <w:rtl/>
        </w:rPr>
        <w:t>ا</w:t>
      </w:r>
      <w:r w:rsidRPr="00FE4C18">
        <w:rPr>
          <w:rtl/>
        </w:rPr>
        <w:t>ل</w:t>
      </w:r>
      <w:r>
        <w:rPr>
          <w:rtl/>
        </w:rPr>
        <w:t>ك</w:t>
      </w:r>
      <w:r w:rsidRPr="00FE4C18">
        <w:rPr>
          <w:rtl/>
        </w:rPr>
        <w:t>ث</w:t>
      </w:r>
      <w:r>
        <w:rPr>
          <w:rtl/>
        </w:rPr>
        <w:t>ي</w:t>
      </w:r>
      <w:r w:rsidRPr="00FE4C18">
        <w:rPr>
          <w:rtl/>
        </w:rPr>
        <w:t xml:space="preserve">رة </w:t>
      </w:r>
      <w:r>
        <w:rPr>
          <w:rtl/>
        </w:rPr>
        <w:t>ا</w:t>
      </w:r>
      <w:r w:rsidRPr="00FE4C18">
        <w:rPr>
          <w:rtl/>
        </w:rPr>
        <w:t xml:space="preserve">لتي </w:t>
      </w:r>
      <w:r>
        <w:rPr>
          <w:rtl/>
        </w:rPr>
        <w:t>ت</w:t>
      </w:r>
      <w:r w:rsidRPr="00FE4C18">
        <w:rPr>
          <w:rtl/>
        </w:rPr>
        <w:t xml:space="preserve">حصل إثر ولادة عدد من </w:t>
      </w:r>
      <w:r>
        <w:rPr>
          <w:rtl/>
        </w:rPr>
        <w:t>ا</w:t>
      </w:r>
      <w:r w:rsidRPr="00FE4C18">
        <w:rPr>
          <w:rtl/>
        </w:rPr>
        <w:t xml:space="preserve">لتوائم في أسلوب </w:t>
      </w:r>
      <w:r w:rsidRPr="00FE4C18">
        <w:t>IVF</w:t>
      </w:r>
      <w:r w:rsidRPr="00FE4C18">
        <w:rPr>
          <w:rtl/>
        </w:rPr>
        <w:t xml:space="preserve"> </w:t>
      </w:r>
      <w:r>
        <w:rPr>
          <w:rtl/>
        </w:rPr>
        <w:t>ي</w:t>
      </w:r>
      <w:r w:rsidRPr="00FE4C18">
        <w:rPr>
          <w:rtl/>
        </w:rPr>
        <w:t xml:space="preserve">حدث بصورة مباشرة بنقل عدد </w:t>
      </w:r>
      <w:r>
        <w:rPr>
          <w:rtl/>
        </w:rPr>
        <w:t>من ا</w:t>
      </w:r>
      <w:r w:rsidRPr="00FE4C18">
        <w:rPr>
          <w:rtl/>
        </w:rPr>
        <w:t>لأجنة</w:t>
      </w:r>
      <w:r w:rsidRPr="00815C4C">
        <w:rPr>
          <w:rFonts w:cs="Taher"/>
          <w:vertAlign w:val="superscript"/>
          <w:rtl/>
        </w:rPr>
        <w:t>(</w:t>
      </w:r>
      <w:r w:rsidRPr="00815C4C">
        <w:rPr>
          <w:rFonts w:cs="Taher"/>
          <w:vertAlign w:val="superscript"/>
          <w:rtl/>
        </w:rPr>
        <w:footnoteReference w:id="893"/>
      </w:r>
      <w:r w:rsidRPr="00815C4C">
        <w:rPr>
          <w:rFonts w:cs="Taher"/>
          <w:vertAlign w:val="superscript"/>
          <w:rtl/>
        </w:rPr>
        <w:t>)</w:t>
      </w:r>
      <w:r w:rsidRPr="00FE4C18">
        <w:rPr>
          <w:rtl/>
        </w:rPr>
        <w:t xml:space="preserve">. </w:t>
      </w:r>
      <w:r>
        <w:rPr>
          <w:rtl/>
        </w:rPr>
        <w:t>و</w:t>
      </w:r>
      <w:r w:rsidRPr="00FE4C18">
        <w:rPr>
          <w:rtl/>
        </w:rPr>
        <w:t>الحبل بالتوأم</w:t>
      </w:r>
      <w:r>
        <w:rPr>
          <w:rtl/>
        </w:rPr>
        <w:t>ي</w:t>
      </w:r>
      <w:r w:rsidRPr="00FE4C18">
        <w:rPr>
          <w:rtl/>
        </w:rPr>
        <w:t>ن أو أ</w:t>
      </w:r>
      <w:r>
        <w:rPr>
          <w:rtl/>
        </w:rPr>
        <w:t>ك</w:t>
      </w:r>
      <w:r w:rsidRPr="00FE4C18">
        <w:rPr>
          <w:rtl/>
        </w:rPr>
        <w:t xml:space="preserve">ثر </w:t>
      </w:r>
      <w:r>
        <w:rPr>
          <w:rtl/>
        </w:rPr>
        <w:t>ي</w:t>
      </w:r>
      <w:r w:rsidRPr="00FE4C18">
        <w:rPr>
          <w:rtl/>
        </w:rPr>
        <w:t>ؤدي إل</w:t>
      </w:r>
      <w:r>
        <w:rPr>
          <w:rtl/>
        </w:rPr>
        <w:t xml:space="preserve">ى </w:t>
      </w:r>
      <w:r w:rsidRPr="00FE4C18">
        <w:rPr>
          <w:rtl/>
        </w:rPr>
        <w:t>عوارض متعددة</w:t>
      </w:r>
      <w:r w:rsidRPr="007F5B58">
        <w:rPr>
          <w:rtl/>
        </w:rPr>
        <w:t>:</w:t>
      </w:r>
      <w:r w:rsidRPr="00FE4C18">
        <w:rPr>
          <w:rtl/>
        </w:rPr>
        <w:t xml:space="preserve"> طب</w:t>
      </w:r>
      <w:r>
        <w:rPr>
          <w:rtl/>
        </w:rPr>
        <w:t>ي</w:t>
      </w:r>
      <w:r w:rsidRPr="00FE4C18">
        <w:rPr>
          <w:rtl/>
        </w:rPr>
        <w:t>ة</w:t>
      </w:r>
      <w:r w:rsidRPr="007F5B58">
        <w:rPr>
          <w:rtl/>
        </w:rPr>
        <w:t>،</w:t>
      </w:r>
      <w:r w:rsidRPr="00FE4C18">
        <w:rPr>
          <w:rtl/>
        </w:rPr>
        <w:t xml:space="preserve"> اقتصاد</w:t>
      </w:r>
      <w:r>
        <w:rPr>
          <w:rtl/>
        </w:rPr>
        <w:t>ي</w:t>
      </w:r>
      <w:r w:rsidRPr="00FE4C18">
        <w:rPr>
          <w:rtl/>
        </w:rPr>
        <w:t>ة</w:t>
      </w:r>
      <w:r w:rsidRPr="007F5B58">
        <w:rPr>
          <w:rtl/>
        </w:rPr>
        <w:t>،</w:t>
      </w:r>
      <w:r w:rsidRPr="00FE4C18">
        <w:rPr>
          <w:rtl/>
        </w:rPr>
        <w:t xml:space="preserve"> اجتماع</w:t>
      </w:r>
      <w:r>
        <w:rPr>
          <w:rtl/>
        </w:rPr>
        <w:t>يّ</w:t>
      </w:r>
      <w:r w:rsidRPr="00FE4C18">
        <w:rPr>
          <w:rtl/>
        </w:rPr>
        <w:t>ة</w:t>
      </w:r>
      <w:r w:rsidRPr="007F5B58">
        <w:rPr>
          <w:rtl/>
        </w:rPr>
        <w:t>،</w:t>
      </w:r>
      <w:r w:rsidRPr="00FE4C18">
        <w:rPr>
          <w:rtl/>
        </w:rPr>
        <w:t xml:space="preserve"> أخلاق</w:t>
      </w:r>
      <w:r>
        <w:rPr>
          <w:rtl/>
        </w:rPr>
        <w:t>يّ</w:t>
      </w:r>
      <w:r w:rsidRPr="00FE4C18">
        <w:rPr>
          <w:rtl/>
        </w:rPr>
        <w:t>ة</w:t>
      </w:r>
      <w:r w:rsidRPr="007F5B58">
        <w:rPr>
          <w:rtl/>
        </w:rPr>
        <w:t>،</w:t>
      </w:r>
      <w:r>
        <w:rPr>
          <w:rtl/>
        </w:rPr>
        <w:t xml:space="preserve"> و</w:t>
      </w:r>
      <w:r w:rsidRPr="00FE4C18">
        <w:rPr>
          <w:rtl/>
        </w:rPr>
        <w:t>نفس</w:t>
      </w:r>
      <w:r>
        <w:rPr>
          <w:rtl/>
        </w:rPr>
        <w:t>يّ</w:t>
      </w:r>
      <w:r w:rsidRPr="00FE4C18">
        <w:rPr>
          <w:rtl/>
        </w:rPr>
        <w:t>ة</w:t>
      </w:r>
      <w:r>
        <w:rPr>
          <w:rFonts w:hint="cs"/>
          <w:rtl/>
        </w:rPr>
        <w:t>،</w:t>
      </w:r>
      <w:r w:rsidRPr="00FE4C18">
        <w:rPr>
          <w:rtl/>
        </w:rPr>
        <w:t xml:space="preserve"> مختلفة</w:t>
      </w:r>
      <w:r w:rsidRPr="00815C4C">
        <w:rPr>
          <w:rFonts w:cs="Taher"/>
          <w:vertAlign w:val="superscript"/>
          <w:rtl/>
        </w:rPr>
        <w:t>(</w:t>
      </w:r>
      <w:r w:rsidRPr="00815C4C">
        <w:rPr>
          <w:rFonts w:cs="Taher"/>
          <w:vertAlign w:val="superscript"/>
          <w:rtl/>
        </w:rPr>
        <w:footnoteReference w:id="894"/>
      </w:r>
      <w:r w:rsidRPr="00815C4C">
        <w:rPr>
          <w:rFonts w:cs="Taher"/>
          <w:vertAlign w:val="superscript"/>
          <w:rtl/>
        </w:rPr>
        <w:t>)</w:t>
      </w:r>
      <w:r>
        <w:rPr>
          <w:rtl/>
        </w:rPr>
        <w:t>.</w:t>
      </w:r>
      <w:r w:rsidRPr="00FE4C18">
        <w:rPr>
          <w:rtl/>
        </w:rPr>
        <w:t xml:space="preserve"> </w:t>
      </w:r>
      <w:r>
        <w:rPr>
          <w:rtl/>
        </w:rPr>
        <w:t>و</w:t>
      </w:r>
      <w:r w:rsidRPr="00FE4C18">
        <w:rPr>
          <w:rtl/>
        </w:rPr>
        <w:t>هنا</w:t>
      </w:r>
      <w:r>
        <w:rPr>
          <w:rtl/>
        </w:rPr>
        <w:t>ك</w:t>
      </w:r>
      <w:r w:rsidRPr="00FE4C18">
        <w:rPr>
          <w:rtl/>
        </w:rPr>
        <w:t xml:space="preserve"> آثار اقتصاد</w:t>
      </w:r>
      <w:r>
        <w:rPr>
          <w:rtl/>
        </w:rPr>
        <w:t>يّ</w:t>
      </w:r>
      <w:r w:rsidRPr="00FE4C18">
        <w:rPr>
          <w:rtl/>
        </w:rPr>
        <w:t>ة للزوج</w:t>
      </w:r>
      <w:r>
        <w:rPr>
          <w:rtl/>
        </w:rPr>
        <w:t>ي</w:t>
      </w:r>
      <w:r w:rsidRPr="00FE4C18">
        <w:rPr>
          <w:rtl/>
        </w:rPr>
        <w:t xml:space="preserve">ن </w:t>
      </w:r>
      <w:r>
        <w:rPr>
          <w:rtl/>
        </w:rPr>
        <w:t>ا</w:t>
      </w:r>
      <w:r w:rsidRPr="00FE4C18">
        <w:rPr>
          <w:rtl/>
        </w:rPr>
        <w:t>لعاقر</w:t>
      </w:r>
      <w:r>
        <w:rPr>
          <w:rtl/>
        </w:rPr>
        <w:t>ي</w:t>
      </w:r>
      <w:r w:rsidRPr="00FE4C18">
        <w:rPr>
          <w:rtl/>
        </w:rPr>
        <w:t xml:space="preserve">ن </w:t>
      </w:r>
      <w:r>
        <w:rPr>
          <w:rtl/>
        </w:rPr>
        <w:t>تـن</w:t>
      </w:r>
      <w:r w:rsidRPr="00FE4C18">
        <w:rPr>
          <w:rtl/>
        </w:rPr>
        <w:t>ش</w:t>
      </w:r>
      <w:r>
        <w:rPr>
          <w:rtl/>
        </w:rPr>
        <w:t>أ</w:t>
      </w:r>
      <w:r w:rsidRPr="00FE4C18">
        <w:rPr>
          <w:rtl/>
        </w:rPr>
        <w:t xml:space="preserve"> بعد ولادة توأم</w:t>
      </w:r>
      <w:r>
        <w:rPr>
          <w:rtl/>
        </w:rPr>
        <w:t>ي</w:t>
      </w:r>
      <w:r w:rsidRPr="00FE4C18">
        <w:rPr>
          <w:rtl/>
        </w:rPr>
        <w:t>ن أو أ</w:t>
      </w:r>
      <w:r>
        <w:rPr>
          <w:rtl/>
        </w:rPr>
        <w:t>ك</w:t>
      </w:r>
      <w:r w:rsidRPr="00FE4C18">
        <w:rPr>
          <w:rtl/>
        </w:rPr>
        <w:t>ثر</w:t>
      </w:r>
      <w:r w:rsidRPr="007F5B58">
        <w:rPr>
          <w:rtl/>
        </w:rPr>
        <w:t>،</w:t>
      </w:r>
      <w:r w:rsidRPr="00FE4C18">
        <w:rPr>
          <w:rtl/>
        </w:rPr>
        <w:t xml:space="preserve"> وأمراض طب</w:t>
      </w:r>
      <w:r>
        <w:rPr>
          <w:rtl/>
        </w:rPr>
        <w:t>ي</w:t>
      </w:r>
      <w:r w:rsidRPr="00FE4C18">
        <w:rPr>
          <w:rtl/>
        </w:rPr>
        <w:t xml:space="preserve">ة </w:t>
      </w:r>
      <w:r>
        <w:rPr>
          <w:rtl/>
        </w:rPr>
        <w:t>و</w:t>
      </w:r>
      <w:r w:rsidRPr="00FE4C18">
        <w:rPr>
          <w:rtl/>
        </w:rPr>
        <w:t>جسم</w:t>
      </w:r>
      <w:r>
        <w:rPr>
          <w:rtl/>
        </w:rPr>
        <w:t>يّ</w:t>
      </w:r>
      <w:r w:rsidRPr="00FE4C18">
        <w:rPr>
          <w:rtl/>
        </w:rPr>
        <w:t>ة</w:t>
      </w:r>
      <w:r>
        <w:rPr>
          <w:rtl/>
        </w:rPr>
        <w:t xml:space="preserve"> و</w:t>
      </w:r>
      <w:r w:rsidRPr="00FE4C18">
        <w:rPr>
          <w:rtl/>
        </w:rPr>
        <w:t>نفس</w:t>
      </w:r>
      <w:r>
        <w:rPr>
          <w:rtl/>
        </w:rPr>
        <w:t>ي</w:t>
      </w:r>
      <w:r w:rsidRPr="00FE4C18">
        <w:rPr>
          <w:rtl/>
        </w:rPr>
        <w:t xml:space="preserve">ة </w:t>
      </w:r>
      <w:r w:rsidRPr="00FE4C18">
        <w:rPr>
          <w:rtl/>
        </w:rPr>
        <w:lastRenderedPageBreak/>
        <w:t xml:space="preserve">لصاحبة </w:t>
      </w:r>
      <w:r>
        <w:rPr>
          <w:rtl/>
        </w:rPr>
        <w:t>ا</w:t>
      </w:r>
      <w:r w:rsidRPr="00FE4C18">
        <w:rPr>
          <w:rtl/>
        </w:rPr>
        <w:t>لرحم</w:t>
      </w:r>
      <w:r>
        <w:rPr>
          <w:rtl/>
        </w:rPr>
        <w:t>. و</w:t>
      </w:r>
      <w:r w:rsidRPr="00FE4C18">
        <w:rPr>
          <w:rtl/>
        </w:rPr>
        <w:t>اس</w:t>
      </w:r>
      <w:r>
        <w:rPr>
          <w:rtl/>
        </w:rPr>
        <w:t>تـن</w:t>
      </w:r>
      <w:r w:rsidRPr="00FE4C18">
        <w:rPr>
          <w:rtl/>
        </w:rPr>
        <w:t xml:space="preserve">اداً للموارد </w:t>
      </w:r>
      <w:r>
        <w:rPr>
          <w:rtl/>
        </w:rPr>
        <w:t>ا</w:t>
      </w:r>
      <w:r w:rsidRPr="00FE4C18">
        <w:rPr>
          <w:rtl/>
        </w:rPr>
        <w:t>لمذ</w:t>
      </w:r>
      <w:r>
        <w:rPr>
          <w:rtl/>
        </w:rPr>
        <w:t>ك</w:t>
      </w:r>
      <w:r w:rsidRPr="00FE4C18">
        <w:rPr>
          <w:rtl/>
        </w:rPr>
        <w:t xml:space="preserve">ورة آنفاً لا </w:t>
      </w:r>
      <w:r>
        <w:rPr>
          <w:rtl/>
        </w:rPr>
        <w:t>ي</w:t>
      </w:r>
      <w:r w:rsidRPr="00FE4C18">
        <w:rPr>
          <w:rtl/>
        </w:rPr>
        <w:t>م</w:t>
      </w:r>
      <w:r>
        <w:rPr>
          <w:rtl/>
        </w:rPr>
        <w:t>ك</w:t>
      </w:r>
      <w:r w:rsidRPr="00FE4C18">
        <w:rPr>
          <w:rtl/>
        </w:rPr>
        <w:t>ن تع</w:t>
      </w:r>
      <w:r>
        <w:rPr>
          <w:rtl/>
        </w:rPr>
        <w:t>يي</w:t>
      </w:r>
      <w:r w:rsidRPr="00FE4C18">
        <w:rPr>
          <w:rtl/>
        </w:rPr>
        <w:t xml:space="preserve">ن موضوع </w:t>
      </w:r>
      <w:r>
        <w:rPr>
          <w:rtl/>
        </w:rPr>
        <w:t>ا</w:t>
      </w:r>
      <w:r w:rsidRPr="00FE4C18">
        <w:rPr>
          <w:rtl/>
        </w:rPr>
        <w:t>لالتزام في اتفاق</w:t>
      </w:r>
      <w:r>
        <w:rPr>
          <w:rtl/>
        </w:rPr>
        <w:t>ي</w:t>
      </w:r>
      <w:r w:rsidRPr="00FE4C18">
        <w:rPr>
          <w:rtl/>
        </w:rPr>
        <w:t xml:space="preserve">ة استخدام رحم </w:t>
      </w:r>
      <w:r>
        <w:rPr>
          <w:rtl/>
        </w:rPr>
        <w:t>ا</w:t>
      </w:r>
      <w:r w:rsidRPr="00FE4C18">
        <w:rPr>
          <w:rtl/>
        </w:rPr>
        <w:t xml:space="preserve">لمرأة بهذه </w:t>
      </w:r>
      <w:r>
        <w:rPr>
          <w:rtl/>
        </w:rPr>
        <w:t>ا</w:t>
      </w:r>
      <w:r w:rsidRPr="00FE4C18">
        <w:rPr>
          <w:rtl/>
        </w:rPr>
        <w:t>ل</w:t>
      </w:r>
      <w:r>
        <w:rPr>
          <w:rtl/>
        </w:rPr>
        <w:t>كي</w:t>
      </w:r>
      <w:r w:rsidRPr="00FE4C18">
        <w:rPr>
          <w:rtl/>
        </w:rPr>
        <w:t>ف</w:t>
      </w:r>
      <w:r>
        <w:rPr>
          <w:rtl/>
        </w:rPr>
        <w:t>يّ</w:t>
      </w:r>
      <w:r w:rsidRPr="00FE4C18">
        <w:rPr>
          <w:rtl/>
        </w:rPr>
        <w:t xml:space="preserve">ة عند عقد </w:t>
      </w:r>
      <w:r>
        <w:rPr>
          <w:rtl/>
        </w:rPr>
        <w:t>ا</w:t>
      </w:r>
      <w:r w:rsidRPr="00FE4C18">
        <w:rPr>
          <w:rtl/>
        </w:rPr>
        <w:t>لاتفاق</w:t>
      </w:r>
      <w:r>
        <w:rPr>
          <w:rtl/>
        </w:rPr>
        <w:t>ي</w:t>
      </w:r>
      <w:r w:rsidRPr="00FE4C18">
        <w:rPr>
          <w:rtl/>
        </w:rPr>
        <w:t>ة</w:t>
      </w:r>
      <w:r>
        <w:rPr>
          <w:rtl/>
        </w:rPr>
        <w:t>. و</w:t>
      </w:r>
      <w:r w:rsidRPr="00FE4C18">
        <w:rPr>
          <w:rtl/>
        </w:rPr>
        <w:t xml:space="preserve">لأنَّ موضوع </w:t>
      </w:r>
      <w:r>
        <w:rPr>
          <w:rtl/>
        </w:rPr>
        <w:t>ا</w:t>
      </w:r>
      <w:r w:rsidRPr="00FE4C18">
        <w:rPr>
          <w:rtl/>
        </w:rPr>
        <w:t xml:space="preserve">لالتزام عند </w:t>
      </w:r>
      <w:r>
        <w:rPr>
          <w:rtl/>
        </w:rPr>
        <w:t>ا</w:t>
      </w:r>
      <w:r w:rsidRPr="00FE4C18">
        <w:rPr>
          <w:rtl/>
        </w:rPr>
        <w:t>لعقد ل</w:t>
      </w:r>
      <w:r>
        <w:rPr>
          <w:rtl/>
        </w:rPr>
        <w:t>ي</w:t>
      </w:r>
      <w:r w:rsidRPr="00FE4C18">
        <w:rPr>
          <w:rtl/>
        </w:rPr>
        <w:t>س معلوماً للطرف</w:t>
      </w:r>
      <w:r>
        <w:rPr>
          <w:rtl/>
        </w:rPr>
        <w:t>ي</w:t>
      </w:r>
      <w:r w:rsidRPr="00FE4C18">
        <w:rPr>
          <w:rtl/>
        </w:rPr>
        <w:t xml:space="preserve">ن بصورة واضحة فهذه </w:t>
      </w:r>
      <w:r>
        <w:rPr>
          <w:rtl/>
        </w:rPr>
        <w:t>ا</w:t>
      </w:r>
      <w:r w:rsidRPr="00FE4C18">
        <w:rPr>
          <w:rtl/>
        </w:rPr>
        <w:t>لصفقة ل</w:t>
      </w:r>
      <w:r>
        <w:rPr>
          <w:rtl/>
        </w:rPr>
        <w:t>ي</w:t>
      </w:r>
      <w:r w:rsidRPr="00FE4C18">
        <w:rPr>
          <w:rtl/>
        </w:rPr>
        <w:t>ست بصح</w:t>
      </w:r>
      <w:r>
        <w:rPr>
          <w:rtl/>
        </w:rPr>
        <w:t>ي</w:t>
      </w:r>
      <w:r w:rsidRPr="00FE4C18">
        <w:rPr>
          <w:rtl/>
        </w:rPr>
        <w:t>حة</w:t>
      </w:r>
      <w:r>
        <w:rPr>
          <w:rtl/>
        </w:rPr>
        <w:t>.</w:t>
      </w:r>
      <w:r w:rsidRPr="00FE4C18">
        <w:rPr>
          <w:rtl/>
        </w:rPr>
        <w:t xml:space="preserve"> </w:t>
      </w:r>
    </w:p>
    <w:p w:rsidR="00391A35" w:rsidRPr="0067362A" w:rsidRDefault="00391A35" w:rsidP="00391A35">
      <w:pPr>
        <w:spacing w:line="192" w:lineRule="auto"/>
        <w:ind w:firstLine="253"/>
        <w:rPr>
          <w:rFonts w:cs="Taher"/>
          <w:sz w:val="22"/>
          <w:szCs w:val="22"/>
          <w:rtl/>
        </w:rPr>
      </w:pPr>
    </w:p>
    <w:p w:rsidR="00391A35" w:rsidRPr="00FE4C18" w:rsidRDefault="00391A35" w:rsidP="0067362A">
      <w:pPr>
        <w:pStyle w:val="4"/>
        <w:rPr>
          <w:rtl/>
        </w:rPr>
      </w:pPr>
      <w:bookmarkStart w:id="488" w:name="_Toc275128195"/>
      <w:r w:rsidRPr="00FE4C18">
        <w:rPr>
          <w:rtl/>
        </w:rPr>
        <w:t>3</w:t>
      </w:r>
      <w:r>
        <w:rPr>
          <w:rtl/>
        </w:rPr>
        <w:t>ـ</w:t>
      </w:r>
      <w:r w:rsidRPr="00FE4C18">
        <w:rPr>
          <w:rtl/>
        </w:rPr>
        <w:t xml:space="preserve"> 3</w:t>
      </w:r>
      <w:r>
        <w:rPr>
          <w:rtl/>
        </w:rPr>
        <w:t>ـ</w:t>
      </w:r>
      <w:r w:rsidRPr="00FE4C18">
        <w:rPr>
          <w:rtl/>
        </w:rPr>
        <w:t xml:space="preserve"> 2</w:t>
      </w:r>
      <w:r>
        <w:rPr>
          <w:rtl/>
        </w:rPr>
        <w:t>ـ</w:t>
      </w:r>
      <w:r w:rsidRPr="00FE4C18">
        <w:rPr>
          <w:rtl/>
        </w:rPr>
        <w:t xml:space="preserve"> القدرة</w:t>
      </w:r>
      <w:bookmarkEnd w:id="488"/>
      <w:r w:rsidRPr="00FE4C18">
        <w:rPr>
          <w:rtl/>
        </w:rPr>
        <w:t xml:space="preserve"> </w:t>
      </w:r>
    </w:p>
    <w:p w:rsidR="00391A35" w:rsidRPr="00FE4C18" w:rsidRDefault="00391A35" w:rsidP="00391A35">
      <w:pPr>
        <w:pStyle w:val="ac"/>
        <w:rPr>
          <w:rtl/>
        </w:rPr>
      </w:pPr>
      <w:r w:rsidRPr="00FE4C18">
        <w:rPr>
          <w:rtl/>
        </w:rPr>
        <w:t xml:space="preserve">الهدف من هذا </w:t>
      </w:r>
      <w:r>
        <w:rPr>
          <w:rtl/>
        </w:rPr>
        <w:t>ا</w:t>
      </w:r>
      <w:r w:rsidRPr="00FE4C18">
        <w:rPr>
          <w:rtl/>
        </w:rPr>
        <w:t xml:space="preserve">لشرط هو أنَّ ناقل </w:t>
      </w:r>
      <w:r>
        <w:rPr>
          <w:rtl/>
        </w:rPr>
        <w:t>ا</w:t>
      </w:r>
      <w:r w:rsidRPr="00FE4C18">
        <w:rPr>
          <w:rtl/>
        </w:rPr>
        <w:t xml:space="preserve">لمال أو </w:t>
      </w:r>
      <w:r>
        <w:rPr>
          <w:rtl/>
        </w:rPr>
        <w:t>ا</w:t>
      </w:r>
      <w:r w:rsidRPr="00FE4C18">
        <w:rPr>
          <w:rtl/>
        </w:rPr>
        <w:t xml:space="preserve">لحق أو </w:t>
      </w:r>
      <w:r>
        <w:rPr>
          <w:rtl/>
        </w:rPr>
        <w:t>ا</w:t>
      </w:r>
      <w:r w:rsidRPr="00FE4C18">
        <w:rPr>
          <w:rtl/>
        </w:rPr>
        <w:t>لالتزام بإم</w:t>
      </w:r>
      <w:r>
        <w:rPr>
          <w:rtl/>
        </w:rPr>
        <w:t>ك</w:t>
      </w:r>
      <w:r w:rsidRPr="00FE4C18">
        <w:rPr>
          <w:rtl/>
        </w:rPr>
        <w:t>انه تسل</w:t>
      </w:r>
      <w:r>
        <w:rPr>
          <w:rtl/>
        </w:rPr>
        <w:t>ي</w:t>
      </w:r>
      <w:r w:rsidRPr="00FE4C18">
        <w:rPr>
          <w:rtl/>
        </w:rPr>
        <w:t xml:space="preserve">م موضوع </w:t>
      </w:r>
      <w:r>
        <w:rPr>
          <w:rtl/>
        </w:rPr>
        <w:t>ا</w:t>
      </w:r>
      <w:r w:rsidRPr="00FE4C18">
        <w:rPr>
          <w:rtl/>
        </w:rPr>
        <w:t>لاتفاق</w:t>
      </w:r>
      <w:r>
        <w:rPr>
          <w:rtl/>
        </w:rPr>
        <w:t>ي</w:t>
      </w:r>
      <w:r w:rsidRPr="00FE4C18">
        <w:rPr>
          <w:rtl/>
        </w:rPr>
        <w:t xml:space="preserve">ة </w:t>
      </w:r>
      <w:r>
        <w:rPr>
          <w:rtl/>
        </w:rPr>
        <w:t>ا</w:t>
      </w:r>
      <w:r w:rsidRPr="00FE4C18">
        <w:rPr>
          <w:rtl/>
        </w:rPr>
        <w:t>لمتفق عل</w:t>
      </w:r>
      <w:r>
        <w:rPr>
          <w:rtl/>
        </w:rPr>
        <w:t>ي</w:t>
      </w:r>
      <w:r w:rsidRPr="00FE4C18">
        <w:rPr>
          <w:rtl/>
        </w:rPr>
        <w:t>ه إل</w:t>
      </w:r>
      <w:r>
        <w:rPr>
          <w:rtl/>
        </w:rPr>
        <w:t>ى ا</w:t>
      </w:r>
      <w:r w:rsidRPr="00FE4C18">
        <w:rPr>
          <w:rtl/>
        </w:rPr>
        <w:t xml:space="preserve">لمتفق معه أو </w:t>
      </w:r>
      <w:r>
        <w:rPr>
          <w:rtl/>
        </w:rPr>
        <w:t>ا</w:t>
      </w:r>
      <w:r w:rsidRPr="00FE4C18">
        <w:rPr>
          <w:rtl/>
        </w:rPr>
        <w:t>لالتزام</w:t>
      </w:r>
      <w:r w:rsidRPr="00815C4C">
        <w:rPr>
          <w:rFonts w:cs="Taher"/>
          <w:vertAlign w:val="superscript"/>
          <w:rtl/>
        </w:rPr>
        <w:t>(</w:t>
      </w:r>
      <w:r w:rsidRPr="00815C4C">
        <w:rPr>
          <w:rFonts w:cs="Taher"/>
          <w:vertAlign w:val="superscript"/>
          <w:rtl/>
        </w:rPr>
        <w:footnoteReference w:id="895"/>
      </w:r>
      <w:r w:rsidRPr="00815C4C">
        <w:rPr>
          <w:rFonts w:cs="Taher"/>
          <w:vertAlign w:val="superscript"/>
          <w:rtl/>
        </w:rPr>
        <w:t>)</w:t>
      </w:r>
      <w:r w:rsidRPr="007F5B58">
        <w:rPr>
          <w:rtl/>
        </w:rPr>
        <w:t>،</w:t>
      </w:r>
      <w:r w:rsidRPr="00FE4C18">
        <w:rPr>
          <w:rtl/>
        </w:rPr>
        <w:t xml:space="preserve"> إذا </w:t>
      </w:r>
      <w:r>
        <w:rPr>
          <w:rtl/>
        </w:rPr>
        <w:t>ك</w:t>
      </w:r>
      <w:r w:rsidRPr="00FE4C18">
        <w:rPr>
          <w:rtl/>
        </w:rPr>
        <w:t xml:space="preserve">ان موضوع </w:t>
      </w:r>
      <w:r>
        <w:rPr>
          <w:rtl/>
        </w:rPr>
        <w:t>ا</w:t>
      </w:r>
      <w:r w:rsidRPr="00FE4C18">
        <w:rPr>
          <w:rtl/>
        </w:rPr>
        <w:t xml:space="preserve">لصفقة هو </w:t>
      </w:r>
      <w:r>
        <w:rPr>
          <w:rtl/>
        </w:rPr>
        <w:t>ا</w:t>
      </w:r>
      <w:r w:rsidRPr="00FE4C18">
        <w:rPr>
          <w:rtl/>
        </w:rPr>
        <w:t>لعمل ف</w:t>
      </w:r>
      <w:r>
        <w:rPr>
          <w:rtl/>
        </w:rPr>
        <w:t>ي</w:t>
      </w:r>
      <w:r w:rsidRPr="00FE4C18">
        <w:rPr>
          <w:rtl/>
        </w:rPr>
        <w:t xml:space="preserve">جب </w:t>
      </w:r>
      <w:r>
        <w:rPr>
          <w:rFonts w:hint="cs"/>
          <w:rtl/>
        </w:rPr>
        <w:t>إ</w:t>
      </w:r>
      <w:r w:rsidRPr="00FE4C18">
        <w:rPr>
          <w:rtl/>
        </w:rPr>
        <w:t>م</w:t>
      </w:r>
      <w:r>
        <w:rPr>
          <w:rtl/>
        </w:rPr>
        <w:t>ك</w:t>
      </w:r>
      <w:r w:rsidRPr="00FE4C18">
        <w:rPr>
          <w:rtl/>
        </w:rPr>
        <w:t>ان</w:t>
      </w:r>
      <w:r>
        <w:rPr>
          <w:rtl/>
        </w:rPr>
        <w:t>يّ</w:t>
      </w:r>
      <w:r w:rsidRPr="00FE4C18">
        <w:rPr>
          <w:rtl/>
        </w:rPr>
        <w:t xml:space="preserve">ة </w:t>
      </w:r>
      <w:r>
        <w:rPr>
          <w:rtl/>
        </w:rPr>
        <w:t>ا</w:t>
      </w:r>
      <w:r w:rsidRPr="00FE4C18">
        <w:rPr>
          <w:rtl/>
        </w:rPr>
        <w:t>لقدرة ف</w:t>
      </w:r>
      <w:r>
        <w:rPr>
          <w:rtl/>
        </w:rPr>
        <w:t>ي</w:t>
      </w:r>
      <w:r w:rsidRPr="00FE4C18">
        <w:rPr>
          <w:rtl/>
        </w:rPr>
        <w:t xml:space="preserve">ه </w:t>
      </w:r>
      <w:r>
        <w:rPr>
          <w:rtl/>
        </w:rPr>
        <w:t>أي</w:t>
      </w:r>
      <w:r w:rsidRPr="00FE4C18">
        <w:rPr>
          <w:rtl/>
        </w:rPr>
        <w:t>ضاً</w:t>
      </w:r>
      <w:r>
        <w:rPr>
          <w:rtl/>
        </w:rPr>
        <w:t>. وا</w:t>
      </w:r>
      <w:r w:rsidRPr="00FE4C18">
        <w:rPr>
          <w:rtl/>
        </w:rPr>
        <w:t>لالتزام ب</w:t>
      </w:r>
      <w:r>
        <w:rPr>
          <w:rtl/>
        </w:rPr>
        <w:t>تـن</w:t>
      </w:r>
      <w:r w:rsidRPr="00FE4C18">
        <w:rPr>
          <w:rtl/>
        </w:rPr>
        <w:t>ف</w:t>
      </w:r>
      <w:r>
        <w:rPr>
          <w:rtl/>
        </w:rPr>
        <w:t>ي</w:t>
      </w:r>
      <w:r w:rsidRPr="00FE4C18">
        <w:rPr>
          <w:rtl/>
        </w:rPr>
        <w:t>ذ عمل لا</w:t>
      </w:r>
      <w:r>
        <w:rPr>
          <w:rtl/>
        </w:rPr>
        <w:t>ي</w:t>
      </w:r>
      <w:r w:rsidRPr="00FE4C18">
        <w:rPr>
          <w:rtl/>
        </w:rPr>
        <w:t>ستط</w:t>
      </w:r>
      <w:r>
        <w:rPr>
          <w:rtl/>
        </w:rPr>
        <w:t>ي</w:t>
      </w:r>
      <w:r w:rsidRPr="00FE4C18">
        <w:rPr>
          <w:rtl/>
        </w:rPr>
        <w:t xml:space="preserve">ع </w:t>
      </w:r>
      <w:r>
        <w:rPr>
          <w:rtl/>
        </w:rPr>
        <w:t>ا</w:t>
      </w:r>
      <w:r w:rsidRPr="00FE4C18">
        <w:rPr>
          <w:rtl/>
        </w:rPr>
        <w:t>لإنسان فعله باطل</w:t>
      </w:r>
      <w:r w:rsidRPr="007F5B58">
        <w:rPr>
          <w:rtl/>
        </w:rPr>
        <w:t>،</w:t>
      </w:r>
      <w:r>
        <w:rPr>
          <w:rtl/>
        </w:rPr>
        <w:t xml:space="preserve"> و</w:t>
      </w:r>
      <w:r w:rsidRPr="00FE4C18">
        <w:rPr>
          <w:rtl/>
        </w:rPr>
        <w:t>ل</w:t>
      </w:r>
      <w:r>
        <w:rPr>
          <w:rtl/>
        </w:rPr>
        <w:t>ي</w:t>
      </w:r>
      <w:r w:rsidRPr="00FE4C18">
        <w:rPr>
          <w:rtl/>
        </w:rPr>
        <w:t>ست له اعتبار</w:t>
      </w:r>
      <w:r>
        <w:rPr>
          <w:rtl/>
        </w:rPr>
        <w:t>يّ</w:t>
      </w:r>
      <w:r w:rsidRPr="00FE4C18">
        <w:rPr>
          <w:rtl/>
        </w:rPr>
        <w:t>ة</w:t>
      </w:r>
      <w:r w:rsidRPr="00815C4C">
        <w:rPr>
          <w:rFonts w:cs="Taher"/>
          <w:vertAlign w:val="superscript"/>
          <w:rtl/>
        </w:rPr>
        <w:t>(</w:t>
      </w:r>
      <w:r w:rsidRPr="00815C4C">
        <w:rPr>
          <w:rFonts w:cs="Taher"/>
          <w:vertAlign w:val="superscript"/>
          <w:rtl/>
        </w:rPr>
        <w:footnoteReference w:id="896"/>
      </w:r>
      <w:r w:rsidRPr="00815C4C">
        <w:rPr>
          <w:rFonts w:cs="Taher"/>
          <w:vertAlign w:val="superscript"/>
          <w:rtl/>
        </w:rPr>
        <w:t>)</w:t>
      </w:r>
      <w:r>
        <w:rPr>
          <w:rtl/>
        </w:rPr>
        <w:t>.</w:t>
      </w:r>
    </w:p>
    <w:p w:rsidR="00391A35" w:rsidRPr="00FE4C18" w:rsidRDefault="00391A35" w:rsidP="00391A35">
      <w:pPr>
        <w:pStyle w:val="ac"/>
        <w:rPr>
          <w:rtl/>
        </w:rPr>
      </w:pPr>
      <w:r w:rsidRPr="00FE4C18">
        <w:rPr>
          <w:rtl/>
        </w:rPr>
        <w:t>في اتفاق</w:t>
      </w:r>
      <w:r>
        <w:rPr>
          <w:rtl/>
        </w:rPr>
        <w:t>ي</w:t>
      </w:r>
      <w:r w:rsidRPr="00FE4C18">
        <w:rPr>
          <w:rtl/>
        </w:rPr>
        <w:t xml:space="preserve">ة استخدام رحم </w:t>
      </w:r>
      <w:r>
        <w:rPr>
          <w:rtl/>
        </w:rPr>
        <w:t>ا</w:t>
      </w:r>
      <w:r w:rsidRPr="00FE4C18">
        <w:rPr>
          <w:rtl/>
        </w:rPr>
        <w:t xml:space="preserve">لمرأة </w:t>
      </w:r>
      <w:r>
        <w:rPr>
          <w:rtl/>
        </w:rPr>
        <w:t>ي</w:t>
      </w:r>
      <w:r w:rsidRPr="00FE4C18">
        <w:rPr>
          <w:rtl/>
        </w:rPr>
        <w:t xml:space="preserve">جب أنْ تقدر صاحبة </w:t>
      </w:r>
      <w:r>
        <w:rPr>
          <w:rtl/>
        </w:rPr>
        <w:t>ا</w:t>
      </w:r>
      <w:r w:rsidRPr="00FE4C18">
        <w:rPr>
          <w:rtl/>
        </w:rPr>
        <w:t>لرحم عل</w:t>
      </w:r>
      <w:r>
        <w:rPr>
          <w:rtl/>
        </w:rPr>
        <w:t xml:space="preserve">ى </w:t>
      </w:r>
      <w:r w:rsidRPr="00FE4C18">
        <w:rPr>
          <w:rtl/>
        </w:rPr>
        <w:t xml:space="preserve">إنجاز </w:t>
      </w:r>
      <w:r>
        <w:rPr>
          <w:rtl/>
        </w:rPr>
        <w:t>ا</w:t>
      </w:r>
      <w:r w:rsidRPr="00FE4C18">
        <w:rPr>
          <w:rtl/>
        </w:rPr>
        <w:t xml:space="preserve">لعمل </w:t>
      </w:r>
      <w:r>
        <w:rPr>
          <w:rtl/>
        </w:rPr>
        <w:t>ا</w:t>
      </w:r>
      <w:r w:rsidRPr="00FE4C18">
        <w:rPr>
          <w:rtl/>
        </w:rPr>
        <w:t xml:space="preserve">لذي </w:t>
      </w:r>
      <w:r>
        <w:rPr>
          <w:rtl/>
        </w:rPr>
        <w:t>ا</w:t>
      </w:r>
      <w:r w:rsidRPr="00FE4C18">
        <w:rPr>
          <w:rtl/>
        </w:rPr>
        <w:t>لتزمت به</w:t>
      </w:r>
      <w:r>
        <w:rPr>
          <w:rtl/>
        </w:rPr>
        <w:t>. و</w:t>
      </w:r>
      <w:r w:rsidRPr="00FE4C18">
        <w:rPr>
          <w:rtl/>
        </w:rPr>
        <w:t xml:space="preserve">لأنَّ هذا </w:t>
      </w:r>
      <w:r>
        <w:rPr>
          <w:rtl/>
        </w:rPr>
        <w:t>ا</w:t>
      </w:r>
      <w:r w:rsidRPr="00FE4C18">
        <w:rPr>
          <w:rtl/>
        </w:rPr>
        <w:t xml:space="preserve">لعقد من </w:t>
      </w:r>
      <w:r>
        <w:rPr>
          <w:rtl/>
        </w:rPr>
        <w:t>ا</w:t>
      </w:r>
      <w:r w:rsidRPr="00FE4C18">
        <w:rPr>
          <w:rtl/>
        </w:rPr>
        <w:t xml:space="preserve">لعقود </w:t>
      </w:r>
      <w:r>
        <w:rPr>
          <w:rtl/>
        </w:rPr>
        <w:t>ا</w:t>
      </w:r>
      <w:r w:rsidRPr="00FE4C18">
        <w:rPr>
          <w:rtl/>
        </w:rPr>
        <w:t>لتي تعتبر شخص</w:t>
      </w:r>
      <w:r>
        <w:rPr>
          <w:rtl/>
        </w:rPr>
        <w:t>يّ</w:t>
      </w:r>
      <w:r w:rsidRPr="00FE4C18">
        <w:rPr>
          <w:rtl/>
        </w:rPr>
        <w:t xml:space="preserve">ة </w:t>
      </w:r>
      <w:r>
        <w:rPr>
          <w:rtl/>
        </w:rPr>
        <w:t>ا</w:t>
      </w:r>
      <w:r w:rsidRPr="00FE4C18">
        <w:rPr>
          <w:rtl/>
        </w:rPr>
        <w:t xml:space="preserve">لإنسان </w:t>
      </w:r>
      <w:r>
        <w:rPr>
          <w:rtl/>
        </w:rPr>
        <w:t>ا</w:t>
      </w:r>
      <w:r w:rsidRPr="00FE4C18">
        <w:rPr>
          <w:rtl/>
        </w:rPr>
        <w:t>لدل</w:t>
      </w:r>
      <w:r>
        <w:rPr>
          <w:rtl/>
        </w:rPr>
        <w:t>ي</w:t>
      </w:r>
      <w:r w:rsidRPr="00FE4C18">
        <w:rPr>
          <w:rtl/>
        </w:rPr>
        <w:t xml:space="preserve">ل </w:t>
      </w:r>
      <w:r>
        <w:rPr>
          <w:rtl/>
        </w:rPr>
        <w:t>ا</w:t>
      </w:r>
      <w:r w:rsidRPr="00FE4C18">
        <w:rPr>
          <w:rtl/>
        </w:rPr>
        <w:t>لأساس للعقد</w:t>
      </w:r>
      <w:r w:rsidRPr="007F5B58">
        <w:rPr>
          <w:rtl/>
        </w:rPr>
        <w:t>،</w:t>
      </w:r>
      <w:r>
        <w:rPr>
          <w:rtl/>
        </w:rPr>
        <w:t xml:space="preserve"> و</w:t>
      </w:r>
      <w:r w:rsidRPr="00FE4C18">
        <w:rPr>
          <w:rtl/>
        </w:rPr>
        <w:t xml:space="preserve">نفس </w:t>
      </w:r>
      <w:r>
        <w:rPr>
          <w:rtl/>
        </w:rPr>
        <w:t>ا</w:t>
      </w:r>
      <w:r w:rsidRPr="00FE4C18">
        <w:rPr>
          <w:rtl/>
        </w:rPr>
        <w:t>لشخص مهم ف</w:t>
      </w:r>
      <w:r>
        <w:rPr>
          <w:rtl/>
        </w:rPr>
        <w:t>ي</w:t>
      </w:r>
      <w:r w:rsidRPr="00FE4C18">
        <w:rPr>
          <w:rtl/>
        </w:rPr>
        <w:t>ه</w:t>
      </w:r>
      <w:r w:rsidRPr="007F5B58">
        <w:rPr>
          <w:rtl/>
        </w:rPr>
        <w:t>،</w:t>
      </w:r>
      <w:r>
        <w:rPr>
          <w:rtl/>
        </w:rPr>
        <w:t xml:space="preserve"> و</w:t>
      </w:r>
      <w:r w:rsidRPr="00FE4C18">
        <w:rPr>
          <w:rtl/>
        </w:rPr>
        <w:t>عل</w:t>
      </w:r>
      <w:r>
        <w:rPr>
          <w:rtl/>
        </w:rPr>
        <w:t xml:space="preserve">ى </w:t>
      </w:r>
      <w:r w:rsidRPr="00FE4C18">
        <w:rPr>
          <w:rtl/>
        </w:rPr>
        <w:t xml:space="preserve">صاحبة </w:t>
      </w:r>
      <w:r>
        <w:rPr>
          <w:rtl/>
        </w:rPr>
        <w:t>ا</w:t>
      </w:r>
      <w:r w:rsidRPr="00FE4C18">
        <w:rPr>
          <w:rtl/>
        </w:rPr>
        <w:t xml:space="preserve">لرحم </w:t>
      </w:r>
      <w:r>
        <w:rPr>
          <w:rtl/>
        </w:rPr>
        <w:t>ا</w:t>
      </w:r>
      <w:r w:rsidRPr="00FE4C18">
        <w:rPr>
          <w:rtl/>
        </w:rPr>
        <w:t xml:space="preserve">لتي </w:t>
      </w:r>
      <w:r>
        <w:rPr>
          <w:rtl/>
        </w:rPr>
        <w:t>ي</w:t>
      </w:r>
      <w:r w:rsidRPr="00FE4C18">
        <w:rPr>
          <w:rtl/>
        </w:rPr>
        <w:t xml:space="preserve">نتخبها </w:t>
      </w:r>
      <w:r>
        <w:rPr>
          <w:rtl/>
        </w:rPr>
        <w:t>ا</w:t>
      </w:r>
      <w:r w:rsidRPr="00FE4C18">
        <w:rPr>
          <w:rtl/>
        </w:rPr>
        <w:t xml:space="preserve">لزوجان </w:t>
      </w:r>
      <w:r>
        <w:rPr>
          <w:rtl/>
        </w:rPr>
        <w:t>ال</w:t>
      </w:r>
      <w:r w:rsidRPr="00FE4C18">
        <w:rPr>
          <w:rtl/>
        </w:rPr>
        <w:t>ق</w:t>
      </w:r>
      <w:r>
        <w:rPr>
          <w:rtl/>
        </w:rPr>
        <w:t>ي</w:t>
      </w:r>
      <w:r w:rsidRPr="00FE4C18">
        <w:rPr>
          <w:rtl/>
        </w:rPr>
        <w:t>ام ب</w:t>
      </w:r>
      <w:r>
        <w:rPr>
          <w:rtl/>
        </w:rPr>
        <w:t>تـن</w:t>
      </w:r>
      <w:r w:rsidRPr="00FE4C18">
        <w:rPr>
          <w:rtl/>
        </w:rPr>
        <w:t>ف</w:t>
      </w:r>
      <w:r>
        <w:rPr>
          <w:rtl/>
        </w:rPr>
        <w:t>ي</w:t>
      </w:r>
      <w:r w:rsidRPr="00FE4C18">
        <w:rPr>
          <w:rtl/>
        </w:rPr>
        <w:t xml:space="preserve">ذ </w:t>
      </w:r>
      <w:r>
        <w:rPr>
          <w:rtl/>
        </w:rPr>
        <w:t>ا</w:t>
      </w:r>
      <w:r w:rsidRPr="00FE4C18">
        <w:rPr>
          <w:rtl/>
        </w:rPr>
        <w:t>لالتزام</w:t>
      </w:r>
      <w:r w:rsidRPr="007F5B58">
        <w:rPr>
          <w:rtl/>
        </w:rPr>
        <w:t>،</w:t>
      </w:r>
      <w:r w:rsidRPr="00FE4C18">
        <w:rPr>
          <w:rtl/>
        </w:rPr>
        <w:t xml:space="preserve"> ف</w:t>
      </w:r>
      <w:r>
        <w:rPr>
          <w:rtl/>
        </w:rPr>
        <w:t>ي</w:t>
      </w:r>
      <w:r w:rsidRPr="00FE4C18">
        <w:rPr>
          <w:rtl/>
        </w:rPr>
        <w:t>جب أنْ ت</w:t>
      </w:r>
      <w:r>
        <w:rPr>
          <w:rtl/>
        </w:rPr>
        <w:t>ك</w:t>
      </w:r>
      <w:r w:rsidRPr="00FE4C18">
        <w:rPr>
          <w:rtl/>
        </w:rPr>
        <w:t xml:space="preserve">ون صاحبة </w:t>
      </w:r>
      <w:r>
        <w:rPr>
          <w:rtl/>
        </w:rPr>
        <w:t>ا</w:t>
      </w:r>
      <w:r w:rsidRPr="00FE4C18">
        <w:rPr>
          <w:rtl/>
        </w:rPr>
        <w:t>لرحم قادرة عل</w:t>
      </w:r>
      <w:r>
        <w:rPr>
          <w:rtl/>
        </w:rPr>
        <w:t xml:space="preserve">ى </w:t>
      </w:r>
      <w:r w:rsidRPr="00FE4C18">
        <w:rPr>
          <w:rtl/>
        </w:rPr>
        <w:t xml:space="preserve">حفظ </w:t>
      </w:r>
      <w:r>
        <w:rPr>
          <w:rtl/>
        </w:rPr>
        <w:t>ا</w:t>
      </w:r>
      <w:r w:rsidRPr="00FE4C18">
        <w:rPr>
          <w:rtl/>
        </w:rPr>
        <w:t>لجن</w:t>
      </w:r>
      <w:r>
        <w:rPr>
          <w:rtl/>
        </w:rPr>
        <w:t>ي</w:t>
      </w:r>
      <w:r w:rsidRPr="00FE4C18">
        <w:rPr>
          <w:rtl/>
        </w:rPr>
        <w:t>ن</w:t>
      </w:r>
      <w:r w:rsidRPr="007F5B58">
        <w:rPr>
          <w:rtl/>
        </w:rPr>
        <w:t>،</w:t>
      </w:r>
      <w:r>
        <w:rPr>
          <w:rtl/>
        </w:rPr>
        <w:t xml:space="preserve"> و</w:t>
      </w:r>
      <w:r w:rsidRPr="00FE4C18">
        <w:rPr>
          <w:rtl/>
        </w:rPr>
        <w:t xml:space="preserve">وضع </w:t>
      </w:r>
      <w:r>
        <w:rPr>
          <w:rtl/>
        </w:rPr>
        <w:t>ا</w:t>
      </w:r>
      <w:r w:rsidRPr="00FE4C18">
        <w:rPr>
          <w:rtl/>
        </w:rPr>
        <w:t>لطفل</w:t>
      </w:r>
      <w:r w:rsidRPr="007F5B58">
        <w:rPr>
          <w:rtl/>
        </w:rPr>
        <w:t>،</w:t>
      </w:r>
      <w:r>
        <w:rPr>
          <w:rtl/>
        </w:rPr>
        <w:t xml:space="preserve"> و</w:t>
      </w:r>
      <w:r w:rsidRPr="00FE4C18">
        <w:rPr>
          <w:rtl/>
        </w:rPr>
        <w:t>في غ</w:t>
      </w:r>
      <w:r>
        <w:rPr>
          <w:rtl/>
        </w:rPr>
        <w:t>ي</w:t>
      </w:r>
      <w:r w:rsidRPr="00FE4C18">
        <w:rPr>
          <w:rtl/>
        </w:rPr>
        <w:t>ر ذل</w:t>
      </w:r>
      <w:r>
        <w:rPr>
          <w:rtl/>
        </w:rPr>
        <w:t>ك</w:t>
      </w:r>
      <w:r w:rsidRPr="00FE4C18">
        <w:rPr>
          <w:rtl/>
        </w:rPr>
        <w:t xml:space="preserve"> </w:t>
      </w:r>
      <w:r>
        <w:rPr>
          <w:rtl/>
        </w:rPr>
        <w:t>ي</w:t>
      </w:r>
      <w:r w:rsidRPr="00FE4C18">
        <w:rPr>
          <w:rtl/>
        </w:rPr>
        <w:t xml:space="preserve">فقد موضوع </w:t>
      </w:r>
      <w:r>
        <w:rPr>
          <w:rtl/>
        </w:rPr>
        <w:t>ا</w:t>
      </w:r>
      <w:r w:rsidRPr="00FE4C18">
        <w:rPr>
          <w:rtl/>
        </w:rPr>
        <w:t xml:space="preserve">لالتزام هذا </w:t>
      </w:r>
      <w:r>
        <w:rPr>
          <w:rtl/>
        </w:rPr>
        <w:t>ا</w:t>
      </w:r>
      <w:r w:rsidRPr="00FE4C18">
        <w:rPr>
          <w:rtl/>
        </w:rPr>
        <w:t>لشرط</w:t>
      </w:r>
      <w:r w:rsidRPr="007F5B58">
        <w:rPr>
          <w:rtl/>
        </w:rPr>
        <w:t>،</w:t>
      </w:r>
      <w:r>
        <w:rPr>
          <w:rtl/>
        </w:rPr>
        <w:t xml:space="preserve"> ويك</w:t>
      </w:r>
      <w:r w:rsidRPr="00FE4C18">
        <w:rPr>
          <w:rtl/>
        </w:rPr>
        <w:t>ون باطلاً</w:t>
      </w:r>
      <w:r>
        <w:rPr>
          <w:rtl/>
        </w:rPr>
        <w:t>.</w:t>
      </w:r>
      <w:r w:rsidRPr="00FE4C18">
        <w:rPr>
          <w:rtl/>
        </w:rPr>
        <w:t xml:space="preserve"> </w:t>
      </w:r>
    </w:p>
    <w:p w:rsidR="00391A35" w:rsidRPr="00FE4C18" w:rsidRDefault="00391A35" w:rsidP="0067362A">
      <w:pPr>
        <w:pStyle w:val="ac"/>
        <w:spacing w:line="206" w:lineRule="auto"/>
        <w:rPr>
          <w:rtl/>
        </w:rPr>
      </w:pPr>
      <w:r w:rsidRPr="00FE4C18">
        <w:rPr>
          <w:rtl/>
        </w:rPr>
        <w:t>و نظراً إل</w:t>
      </w:r>
      <w:r>
        <w:rPr>
          <w:rtl/>
        </w:rPr>
        <w:t xml:space="preserve">ى </w:t>
      </w:r>
      <w:r w:rsidRPr="00FE4C18">
        <w:rPr>
          <w:rtl/>
        </w:rPr>
        <w:t>عمل</w:t>
      </w:r>
      <w:r>
        <w:rPr>
          <w:rtl/>
        </w:rPr>
        <w:t>يّ</w:t>
      </w:r>
      <w:r w:rsidRPr="00FE4C18">
        <w:rPr>
          <w:rtl/>
        </w:rPr>
        <w:t xml:space="preserve">ة </w:t>
      </w:r>
      <w:r>
        <w:rPr>
          <w:rtl/>
        </w:rPr>
        <w:t>ا</w:t>
      </w:r>
      <w:r w:rsidRPr="00FE4C18">
        <w:rPr>
          <w:rtl/>
        </w:rPr>
        <w:t>لتلق</w:t>
      </w:r>
      <w:r>
        <w:rPr>
          <w:rtl/>
        </w:rPr>
        <w:t>ي</w:t>
      </w:r>
      <w:r w:rsidRPr="00FE4C18">
        <w:rPr>
          <w:rtl/>
        </w:rPr>
        <w:t xml:space="preserve">ح </w:t>
      </w:r>
      <w:r>
        <w:rPr>
          <w:rtl/>
        </w:rPr>
        <w:t>ا</w:t>
      </w:r>
      <w:r w:rsidRPr="00FE4C18">
        <w:rPr>
          <w:rtl/>
        </w:rPr>
        <w:t>لصناعي</w:t>
      </w:r>
      <w:r>
        <w:rPr>
          <w:rtl/>
        </w:rPr>
        <w:t xml:space="preserve"> و</w:t>
      </w:r>
      <w:r w:rsidRPr="00FE4C18">
        <w:rPr>
          <w:rtl/>
        </w:rPr>
        <w:t xml:space="preserve">نقل </w:t>
      </w:r>
      <w:r>
        <w:rPr>
          <w:rtl/>
        </w:rPr>
        <w:t>ا</w:t>
      </w:r>
      <w:r w:rsidRPr="00FE4C18">
        <w:rPr>
          <w:rtl/>
        </w:rPr>
        <w:t>لجن</w:t>
      </w:r>
      <w:r>
        <w:rPr>
          <w:rtl/>
        </w:rPr>
        <w:t>ي</w:t>
      </w:r>
      <w:r w:rsidRPr="00FE4C18">
        <w:rPr>
          <w:rtl/>
        </w:rPr>
        <w:t xml:space="preserve">ن </w:t>
      </w:r>
      <w:r>
        <w:rPr>
          <w:rtl/>
        </w:rPr>
        <w:t>ا</w:t>
      </w:r>
      <w:r w:rsidRPr="00FE4C18">
        <w:rPr>
          <w:rtl/>
        </w:rPr>
        <w:t>للذ</w:t>
      </w:r>
      <w:r>
        <w:rPr>
          <w:rtl/>
        </w:rPr>
        <w:t>ي</w:t>
      </w:r>
      <w:r w:rsidRPr="00FE4C18">
        <w:rPr>
          <w:rtl/>
        </w:rPr>
        <w:t xml:space="preserve">ن </w:t>
      </w:r>
      <w:r>
        <w:rPr>
          <w:rtl/>
        </w:rPr>
        <w:t>ي</w:t>
      </w:r>
      <w:r w:rsidRPr="00FE4C18">
        <w:rPr>
          <w:rtl/>
        </w:rPr>
        <w:t xml:space="preserve">تمان بالتطورات </w:t>
      </w:r>
      <w:r>
        <w:rPr>
          <w:rtl/>
        </w:rPr>
        <w:t>ا</w:t>
      </w:r>
      <w:r w:rsidRPr="00FE4C18">
        <w:rPr>
          <w:rtl/>
        </w:rPr>
        <w:t>لعلم</w:t>
      </w:r>
      <w:r>
        <w:rPr>
          <w:rtl/>
        </w:rPr>
        <w:t>يّ</w:t>
      </w:r>
      <w:r w:rsidRPr="00FE4C18">
        <w:rPr>
          <w:rtl/>
        </w:rPr>
        <w:t>ة بصورة عمل</w:t>
      </w:r>
      <w:r>
        <w:rPr>
          <w:rtl/>
        </w:rPr>
        <w:t>يّ</w:t>
      </w:r>
      <w:r w:rsidRPr="00FE4C18">
        <w:rPr>
          <w:rtl/>
        </w:rPr>
        <w:t>ة</w:t>
      </w:r>
      <w:r w:rsidRPr="007F5B58">
        <w:rPr>
          <w:rtl/>
        </w:rPr>
        <w:t>،</w:t>
      </w:r>
      <w:r>
        <w:rPr>
          <w:rtl/>
        </w:rPr>
        <w:t xml:space="preserve"> وي</w:t>
      </w:r>
      <w:r w:rsidRPr="00FE4C18">
        <w:rPr>
          <w:rtl/>
        </w:rPr>
        <w:t xml:space="preserve">عتبر </w:t>
      </w:r>
      <w:r>
        <w:rPr>
          <w:rtl/>
        </w:rPr>
        <w:t>ا</w:t>
      </w:r>
      <w:r w:rsidRPr="00FE4C18">
        <w:rPr>
          <w:rtl/>
        </w:rPr>
        <w:t>لحبل موضوعاً طب</w:t>
      </w:r>
      <w:r>
        <w:rPr>
          <w:rtl/>
        </w:rPr>
        <w:t>ي</w:t>
      </w:r>
      <w:r w:rsidRPr="00FE4C18">
        <w:rPr>
          <w:rtl/>
        </w:rPr>
        <w:t>ع</w:t>
      </w:r>
      <w:r>
        <w:rPr>
          <w:rtl/>
        </w:rPr>
        <w:t>ي</w:t>
      </w:r>
      <w:r w:rsidRPr="00FE4C18">
        <w:rPr>
          <w:rtl/>
        </w:rPr>
        <w:t>اً للنساء</w:t>
      </w:r>
      <w:r w:rsidRPr="007F5B58">
        <w:rPr>
          <w:rtl/>
        </w:rPr>
        <w:t>،</w:t>
      </w:r>
      <w:r>
        <w:rPr>
          <w:rtl/>
        </w:rPr>
        <w:t xml:space="preserve"> ي</w:t>
      </w:r>
      <w:r w:rsidRPr="00FE4C18">
        <w:rPr>
          <w:rtl/>
        </w:rPr>
        <w:t xml:space="preserve">بدو </w:t>
      </w:r>
      <w:r>
        <w:rPr>
          <w:rtl/>
        </w:rPr>
        <w:t>أنه من الممكن تـن</w:t>
      </w:r>
      <w:r w:rsidRPr="00FE4C18">
        <w:rPr>
          <w:rtl/>
        </w:rPr>
        <w:t>ف</w:t>
      </w:r>
      <w:r>
        <w:rPr>
          <w:rtl/>
        </w:rPr>
        <w:t>ي</w:t>
      </w:r>
      <w:r w:rsidRPr="00FE4C18">
        <w:rPr>
          <w:rtl/>
        </w:rPr>
        <w:t xml:space="preserve">ذ موضوع </w:t>
      </w:r>
      <w:r>
        <w:rPr>
          <w:rtl/>
        </w:rPr>
        <w:t>ا</w:t>
      </w:r>
      <w:r w:rsidRPr="00FE4C18">
        <w:rPr>
          <w:rtl/>
        </w:rPr>
        <w:t xml:space="preserve">لصفقة من قبل صاحبة </w:t>
      </w:r>
      <w:r>
        <w:rPr>
          <w:rtl/>
        </w:rPr>
        <w:t>ا</w:t>
      </w:r>
      <w:r w:rsidRPr="00FE4C18">
        <w:rPr>
          <w:rtl/>
        </w:rPr>
        <w:t xml:space="preserve">لرحم </w:t>
      </w:r>
      <w:r>
        <w:rPr>
          <w:rtl/>
        </w:rPr>
        <w:t>ا</w:t>
      </w:r>
      <w:r w:rsidRPr="00FE4C18">
        <w:rPr>
          <w:rtl/>
        </w:rPr>
        <w:t>لملتزمة</w:t>
      </w:r>
      <w:r w:rsidRPr="007F5B58">
        <w:rPr>
          <w:rtl/>
        </w:rPr>
        <w:t>،</w:t>
      </w:r>
      <w:r>
        <w:rPr>
          <w:rtl/>
        </w:rPr>
        <w:t xml:space="preserve"> و</w:t>
      </w:r>
      <w:r w:rsidRPr="00FE4C18">
        <w:rPr>
          <w:rtl/>
        </w:rPr>
        <w:t>ل</w:t>
      </w:r>
      <w:r>
        <w:rPr>
          <w:rtl/>
        </w:rPr>
        <w:t>ك</w:t>
      </w:r>
      <w:r w:rsidRPr="00FE4C18">
        <w:rPr>
          <w:rtl/>
        </w:rPr>
        <w:t>ن نظراً إل</w:t>
      </w:r>
      <w:r>
        <w:rPr>
          <w:rtl/>
        </w:rPr>
        <w:t xml:space="preserve">ى </w:t>
      </w:r>
      <w:r w:rsidRPr="00FE4C18">
        <w:rPr>
          <w:rtl/>
        </w:rPr>
        <w:t>طب</w:t>
      </w:r>
      <w:r>
        <w:rPr>
          <w:rtl/>
        </w:rPr>
        <w:t>ي</w:t>
      </w:r>
      <w:r w:rsidRPr="00FE4C18">
        <w:rPr>
          <w:rtl/>
        </w:rPr>
        <w:t xml:space="preserve">عة </w:t>
      </w:r>
      <w:r>
        <w:rPr>
          <w:rtl/>
        </w:rPr>
        <w:t>ا</w:t>
      </w:r>
      <w:r w:rsidRPr="00FE4C18">
        <w:rPr>
          <w:rtl/>
        </w:rPr>
        <w:t xml:space="preserve">لعمل </w:t>
      </w:r>
      <w:r>
        <w:rPr>
          <w:rtl/>
        </w:rPr>
        <w:t xml:space="preserve">ـ </w:t>
      </w:r>
      <w:r w:rsidRPr="00FE4C18">
        <w:rPr>
          <w:rtl/>
        </w:rPr>
        <w:t>رغم أنَّ عمل</w:t>
      </w:r>
      <w:r>
        <w:rPr>
          <w:rtl/>
        </w:rPr>
        <w:t>يّ</w:t>
      </w:r>
      <w:r w:rsidRPr="00FE4C18">
        <w:rPr>
          <w:rtl/>
        </w:rPr>
        <w:t xml:space="preserve">ة </w:t>
      </w:r>
      <w:r>
        <w:rPr>
          <w:rtl/>
        </w:rPr>
        <w:t>ا</w:t>
      </w:r>
      <w:r w:rsidRPr="00FE4C18">
        <w:rPr>
          <w:rtl/>
        </w:rPr>
        <w:t>لتلق</w:t>
      </w:r>
      <w:r>
        <w:rPr>
          <w:rtl/>
        </w:rPr>
        <w:t>ي</w:t>
      </w:r>
      <w:r w:rsidRPr="00FE4C18">
        <w:rPr>
          <w:rtl/>
        </w:rPr>
        <w:t xml:space="preserve">ح تتم عبر </w:t>
      </w:r>
      <w:r>
        <w:rPr>
          <w:rtl/>
        </w:rPr>
        <w:t>ا</w:t>
      </w:r>
      <w:r w:rsidRPr="00FE4C18">
        <w:rPr>
          <w:rtl/>
        </w:rPr>
        <w:t xml:space="preserve">لأسلوب </w:t>
      </w:r>
      <w:r>
        <w:rPr>
          <w:rtl/>
        </w:rPr>
        <w:t>ا</w:t>
      </w:r>
      <w:r w:rsidRPr="00FE4C18">
        <w:rPr>
          <w:rtl/>
        </w:rPr>
        <w:t xml:space="preserve">لصناعي </w:t>
      </w:r>
      <w:r>
        <w:rPr>
          <w:rtl/>
        </w:rPr>
        <w:t>ـ</w:t>
      </w:r>
      <w:r w:rsidRPr="00FE4C18">
        <w:rPr>
          <w:rtl/>
        </w:rPr>
        <w:t xml:space="preserve"> </w:t>
      </w:r>
      <w:r>
        <w:rPr>
          <w:rtl/>
        </w:rPr>
        <w:t>ي</w:t>
      </w:r>
      <w:r w:rsidRPr="00FE4C18">
        <w:rPr>
          <w:rtl/>
        </w:rPr>
        <w:t xml:space="preserve">جب أنْ </w:t>
      </w:r>
      <w:r>
        <w:rPr>
          <w:rtl/>
        </w:rPr>
        <w:t>يك</w:t>
      </w:r>
      <w:r w:rsidRPr="00FE4C18">
        <w:rPr>
          <w:rtl/>
        </w:rPr>
        <w:t xml:space="preserve">ون </w:t>
      </w:r>
      <w:r>
        <w:rPr>
          <w:rtl/>
        </w:rPr>
        <w:t xml:space="preserve">الحبل </w:t>
      </w:r>
      <w:r w:rsidRPr="00FE4C18">
        <w:rPr>
          <w:rtl/>
        </w:rPr>
        <w:t>بصورة</w:t>
      </w:r>
      <w:r w:rsidRPr="00FE4C18">
        <w:rPr>
          <w:rFonts w:ascii="Times New Roman" w:hAnsi="Times New Roman" w:cs="Times New Roman" w:hint="cs"/>
          <w:rtl/>
        </w:rPr>
        <w:t>‌</w:t>
      </w:r>
      <w:r>
        <w:rPr>
          <w:rtl/>
        </w:rPr>
        <w:t xml:space="preserve"> </w:t>
      </w:r>
      <w:r w:rsidRPr="00FE4C18">
        <w:rPr>
          <w:rtl/>
        </w:rPr>
        <w:t>طب</w:t>
      </w:r>
      <w:r>
        <w:rPr>
          <w:rtl/>
        </w:rPr>
        <w:t>ي</w:t>
      </w:r>
      <w:r w:rsidRPr="00FE4C18">
        <w:rPr>
          <w:rtl/>
        </w:rPr>
        <w:t>ع</w:t>
      </w:r>
      <w:r>
        <w:rPr>
          <w:rtl/>
        </w:rPr>
        <w:t>يّ</w:t>
      </w:r>
      <w:r w:rsidRPr="00FE4C18">
        <w:rPr>
          <w:rtl/>
        </w:rPr>
        <w:t>ة</w:t>
      </w:r>
      <w:r w:rsidRPr="00FE4C18">
        <w:rPr>
          <w:rFonts w:ascii="Times New Roman" w:hAnsi="Times New Roman" w:cs="Times New Roman" w:hint="cs"/>
          <w:rtl/>
        </w:rPr>
        <w:t>‌</w:t>
      </w:r>
      <w:r w:rsidRPr="007F5B58">
        <w:rPr>
          <w:rtl/>
        </w:rPr>
        <w:t>،</w:t>
      </w:r>
      <w:r>
        <w:rPr>
          <w:rtl/>
        </w:rPr>
        <w:t xml:space="preserve"> و</w:t>
      </w:r>
      <w:r w:rsidRPr="00FE4C18">
        <w:rPr>
          <w:rtl/>
        </w:rPr>
        <w:t>في</w:t>
      </w:r>
      <w:r>
        <w:rPr>
          <w:rtl/>
        </w:rPr>
        <w:t xml:space="preserve"> </w:t>
      </w:r>
      <w:r w:rsidRPr="00FE4C18">
        <w:rPr>
          <w:rFonts w:ascii="Times New Roman" w:hAnsi="Times New Roman" w:cs="Times New Roman" w:hint="cs"/>
          <w:rtl/>
        </w:rPr>
        <w:t>‌</w:t>
      </w:r>
      <w:r>
        <w:rPr>
          <w:rtl/>
        </w:rPr>
        <w:t>ا</w:t>
      </w:r>
      <w:r w:rsidRPr="00FE4C18">
        <w:rPr>
          <w:rtl/>
        </w:rPr>
        <w:t>لحق</w:t>
      </w:r>
      <w:r>
        <w:rPr>
          <w:rtl/>
        </w:rPr>
        <w:t>ي</w:t>
      </w:r>
      <w:r w:rsidRPr="00FE4C18">
        <w:rPr>
          <w:rtl/>
        </w:rPr>
        <w:t xml:space="preserve">قة هذا </w:t>
      </w:r>
      <w:r w:rsidRPr="0067362A">
        <w:rPr>
          <w:sz w:val="29"/>
          <w:szCs w:val="29"/>
          <w:rtl/>
        </w:rPr>
        <w:t xml:space="preserve">الأمر لا يستطيع الأطبّاء وصاحبة </w:t>
      </w:r>
      <w:r w:rsidRPr="0067362A">
        <w:rPr>
          <w:rFonts w:ascii="Times New Roman" w:hAnsi="Times New Roman" w:cs="Times New Roman" w:hint="cs"/>
          <w:sz w:val="29"/>
          <w:szCs w:val="29"/>
          <w:rtl/>
        </w:rPr>
        <w:t>‌</w:t>
      </w:r>
      <w:r w:rsidRPr="0067362A">
        <w:rPr>
          <w:sz w:val="29"/>
          <w:szCs w:val="29"/>
          <w:rtl/>
        </w:rPr>
        <w:t xml:space="preserve">الرحم القيام بهذا الأمر. وقد ظهرت منذ زمن استخدام أسلوب التلقيح خارج الرحم </w:t>
      </w:r>
      <w:r w:rsidRPr="0067362A">
        <w:rPr>
          <w:sz w:val="29"/>
          <w:szCs w:val="29"/>
        </w:rPr>
        <w:t>IVF</w:t>
      </w:r>
      <w:r w:rsidRPr="0067362A">
        <w:rPr>
          <w:sz w:val="29"/>
          <w:szCs w:val="29"/>
          <w:rtl/>
        </w:rPr>
        <w:t xml:space="preserve"> حتى الآن تطورات باهرة</w:t>
      </w:r>
      <w:r w:rsidRPr="0067362A">
        <w:rPr>
          <w:rFonts w:ascii="Times New Roman" w:hAnsi="Times New Roman" w:cs="Times New Roman" w:hint="cs"/>
          <w:sz w:val="29"/>
          <w:szCs w:val="29"/>
          <w:rtl/>
        </w:rPr>
        <w:t>‌</w:t>
      </w:r>
      <w:r w:rsidRPr="0067362A">
        <w:rPr>
          <w:sz w:val="29"/>
          <w:szCs w:val="29"/>
          <w:rtl/>
        </w:rPr>
        <w:t xml:space="preserve">، ولكنهم مع ذلك لم يصلوا إلى الهدف الأساس، وهو تحسين مدى نظام وضع الخلايا والحمل. ومسيرة وضع الخلايا تعرف كعامل يحدد ميزان الحمل في </w:t>
      </w:r>
      <w:r w:rsidRPr="0067362A">
        <w:rPr>
          <w:rFonts w:ascii="Times New Roman" w:hAnsi="Times New Roman" w:cs="Times New Roman" w:hint="cs"/>
          <w:sz w:val="29"/>
          <w:szCs w:val="29"/>
          <w:rtl/>
        </w:rPr>
        <w:t>‌</w:t>
      </w:r>
      <w:r w:rsidRPr="0067362A">
        <w:rPr>
          <w:rFonts w:ascii="Mosawi" w:hAnsi="Mosawi" w:hint="cs"/>
          <w:sz w:val="29"/>
          <w:szCs w:val="29"/>
          <w:rtl/>
        </w:rPr>
        <w:t>دورات</w:t>
      </w:r>
      <w:r w:rsidRPr="0067362A">
        <w:rPr>
          <w:sz w:val="29"/>
          <w:szCs w:val="29"/>
          <w:rtl/>
        </w:rPr>
        <w:t xml:space="preserve"> </w:t>
      </w:r>
      <w:r w:rsidRPr="0067362A">
        <w:rPr>
          <w:sz w:val="29"/>
          <w:szCs w:val="29"/>
        </w:rPr>
        <w:t>ART</w:t>
      </w:r>
      <w:r w:rsidRPr="0067362A">
        <w:rPr>
          <w:sz w:val="29"/>
          <w:szCs w:val="29"/>
          <w:rtl/>
        </w:rPr>
        <w:t xml:space="preserve">. </w:t>
      </w:r>
    </w:p>
    <w:p w:rsidR="00391A35" w:rsidRPr="00FE4C18" w:rsidRDefault="00391A35" w:rsidP="0067362A">
      <w:pPr>
        <w:pStyle w:val="ac"/>
        <w:spacing w:line="211" w:lineRule="auto"/>
        <w:rPr>
          <w:rtl/>
        </w:rPr>
      </w:pPr>
      <w:r w:rsidRPr="00FE4C18">
        <w:rPr>
          <w:rtl/>
        </w:rPr>
        <w:lastRenderedPageBreak/>
        <w:t xml:space="preserve">وضع </w:t>
      </w:r>
      <w:r>
        <w:rPr>
          <w:rtl/>
        </w:rPr>
        <w:t>ا</w:t>
      </w:r>
      <w:r w:rsidRPr="00FE4C18">
        <w:rPr>
          <w:rtl/>
        </w:rPr>
        <w:t>لخلا</w:t>
      </w:r>
      <w:r>
        <w:rPr>
          <w:rtl/>
        </w:rPr>
        <w:t>ي</w:t>
      </w:r>
      <w:r w:rsidRPr="00FE4C18">
        <w:rPr>
          <w:rtl/>
        </w:rPr>
        <w:t>ا دورة موسعة</w:t>
      </w:r>
      <w:r w:rsidRPr="007F5B58">
        <w:rPr>
          <w:rtl/>
        </w:rPr>
        <w:t>،</w:t>
      </w:r>
      <w:r w:rsidRPr="00FE4C18">
        <w:rPr>
          <w:rtl/>
        </w:rPr>
        <w:t xml:space="preserve"> ح</w:t>
      </w:r>
      <w:r>
        <w:rPr>
          <w:rtl/>
        </w:rPr>
        <w:t>ي</w:t>
      </w:r>
      <w:r w:rsidRPr="00FE4C18">
        <w:rPr>
          <w:rtl/>
        </w:rPr>
        <w:t xml:space="preserve">ث </w:t>
      </w:r>
      <w:r>
        <w:rPr>
          <w:rtl/>
        </w:rPr>
        <w:t>ي</w:t>
      </w:r>
      <w:r w:rsidRPr="00FE4C18">
        <w:rPr>
          <w:rtl/>
        </w:rPr>
        <w:t xml:space="preserve">تصل </w:t>
      </w:r>
      <w:r>
        <w:rPr>
          <w:rtl/>
        </w:rPr>
        <w:t>ا</w:t>
      </w:r>
      <w:r w:rsidRPr="00FE4C18">
        <w:rPr>
          <w:rtl/>
        </w:rPr>
        <w:t>لجن</w:t>
      </w:r>
      <w:r>
        <w:rPr>
          <w:rtl/>
        </w:rPr>
        <w:t>ي</w:t>
      </w:r>
      <w:r w:rsidRPr="00FE4C18">
        <w:rPr>
          <w:rtl/>
        </w:rPr>
        <w:t xml:space="preserve">ن </w:t>
      </w:r>
      <w:r>
        <w:rPr>
          <w:rtl/>
        </w:rPr>
        <w:t xml:space="preserve">فيها </w:t>
      </w:r>
      <w:r w:rsidRPr="00FE4C18">
        <w:rPr>
          <w:rtl/>
        </w:rPr>
        <w:t>بأندوم</w:t>
      </w:r>
      <w:r>
        <w:rPr>
          <w:rtl/>
        </w:rPr>
        <w:t>ي</w:t>
      </w:r>
      <w:r w:rsidRPr="00FE4C18">
        <w:rPr>
          <w:rtl/>
        </w:rPr>
        <w:t xml:space="preserve">تر </w:t>
      </w:r>
      <w:r>
        <w:rPr>
          <w:rtl/>
        </w:rPr>
        <w:t>ا</w:t>
      </w:r>
      <w:r w:rsidRPr="00FE4C18">
        <w:rPr>
          <w:rtl/>
        </w:rPr>
        <w:t>لأم</w:t>
      </w:r>
      <w:r w:rsidRPr="007F5B58">
        <w:rPr>
          <w:rtl/>
        </w:rPr>
        <w:t>،</w:t>
      </w:r>
      <w:r>
        <w:rPr>
          <w:rtl/>
        </w:rPr>
        <w:t xml:space="preserve"> وي</w:t>
      </w:r>
      <w:r w:rsidRPr="00FE4C18">
        <w:rPr>
          <w:rtl/>
        </w:rPr>
        <w:t>دخل ف</w:t>
      </w:r>
      <w:r>
        <w:rPr>
          <w:rtl/>
        </w:rPr>
        <w:t>ي</w:t>
      </w:r>
      <w:r w:rsidRPr="00FE4C18">
        <w:rPr>
          <w:rtl/>
        </w:rPr>
        <w:t>ه تدر</w:t>
      </w:r>
      <w:r>
        <w:rPr>
          <w:rtl/>
        </w:rPr>
        <w:t>ي</w:t>
      </w:r>
      <w:r w:rsidRPr="00FE4C18">
        <w:rPr>
          <w:rtl/>
        </w:rPr>
        <w:t>ج</w:t>
      </w:r>
      <w:r>
        <w:rPr>
          <w:rtl/>
        </w:rPr>
        <w:t>ي</w:t>
      </w:r>
      <w:r w:rsidRPr="00FE4C18">
        <w:rPr>
          <w:rtl/>
        </w:rPr>
        <w:t>اً</w:t>
      </w:r>
      <w:r>
        <w:rPr>
          <w:rtl/>
        </w:rPr>
        <w:t>.</w:t>
      </w:r>
      <w:r w:rsidRPr="00FE4C18">
        <w:rPr>
          <w:rtl/>
        </w:rPr>
        <w:t xml:space="preserve"> </w:t>
      </w:r>
      <w:r>
        <w:rPr>
          <w:rtl/>
        </w:rPr>
        <w:t>و</w:t>
      </w:r>
      <w:r w:rsidRPr="00FE4C18">
        <w:rPr>
          <w:rtl/>
        </w:rPr>
        <w:t>أهم ش</w:t>
      </w:r>
      <w:r>
        <w:rPr>
          <w:rtl/>
        </w:rPr>
        <w:t>يء</w:t>
      </w:r>
      <w:r w:rsidRPr="00FE4C18">
        <w:rPr>
          <w:rtl/>
        </w:rPr>
        <w:t xml:space="preserve"> ملفت في دورة وضع </w:t>
      </w:r>
      <w:r>
        <w:rPr>
          <w:rtl/>
        </w:rPr>
        <w:t>ا</w:t>
      </w:r>
      <w:r w:rsidRPr="00FE4C18">
        <w:rPr>
          <w:rtl/>
        </w:rPr>
        <w:t>لخلا</w:t>
      </w:r>
      <w:r>
        <w:rPr>
          <w:rtl/>
        </w:rPr>
        <w:t>ي</w:t>
      </w:r>
      <w:r w:rsidRPr="00FE4C18">
        <w:rPr>
          <w:rtl/>
        </w:rPr>
        <w:t xml:space="preserve">ا هو أنّ </w:t>
      </w:r>
      <w:r>
        <w:rPr>
          <w:rtl/>
        </w:rPr>
        <w:t>ا</w:t>
      </w:r>
      <w:r w:rsidRPr="00FE4C18">
        <w:rPr>
          <w:rtl/>
        </w:rPr>
        <w:t>لعامل</w:t>
      </w:r>
      <w:r>
        <w:rPr>
          <w:rtl/>
        </w:rPr>
        <w:t>ي</w:t>
      </w:r>
      <w:r w:rsidRPr="00FE4C18">
        <w:rPr>
          <w:rtl/>
        </w:rPr>
        <w:t xml:space="preserve">ن </w:t>
      </w:r>
      <w:r>
        <w:rPr>
          <w:rtl/>
        </w:rPr>
        <w:t>ا</w:t>
      </w:r>
      <w:r w:rsidRPr="00FE4C18">
        <w:rPr>
          <w:rtl/>
        </w:rPr>
        <w:t>لتال</w:t>
      </w:r>
      <w:r>
        <w:rPr>
          <w:rtl/>
        </w:rPr>
        <w:t>يي</w:t>
      </w:r>
      <w:r w:rsidRPr="00FE4C18">
        <w:rPr>
          <w:rtl/>
        </w:rPr>
        <w:t xml:space="preserve">ن </w:t>
      </w:r>
      <w:r>
        <w:rPr>
          <w:rtl/>
        </w:rPr>
        <w:t>ي</w:t>
      </w:r>
      <w:r w:rsidRPr="00FE4C18">
        <w:rPr>
          <w:rtl/>
        </w:rPr>
        <w:t>ؤد</w:t>
      </w:r>
      <w:r>
        <w:rPr>
          <w:rtl/>
        </w:rPr>
        <w:t>ي</w:t>
      </w:r>
      <w:r w:rsidRPr="00FE4C18">
        <w:rPr>
          <w:rtl/>
        </w:rPr>
        <w:t xml:space="preserve">ان </w:t>
      </w:r>
      <w:r>
        <w:rPr>
          <w:rtl/>
        </w:rPr>
        <w:t>ا</w:t>
      </w:r>
      <w:r w:rsidRPr="00FE4C18">
        <w:rPr>
          <w:rtl/>
        </w:rPr>
        <w:t xml:space="preserve">لدور </w:t>
      </w:r>
      <w:r>
        <w:rPr>
          <w:rtl/>
        </w:rPr>
        <w:t>ا</w:t>
      </w:r>
      <w:r w:rsidRPr="00FE4C18">
        <w:rPr>
          <w:rtl/>
        </w:rPr>
        <w:t>لهام ف</w:t>
      </w:r>
      <w:r>
        <w:rPr>
          <w:rtl/>
        </w:rPr>
        <w:t>يها</w:t>
      </w:r>
      <w:r w:rsidRPr="007F5B58">
        <w:rPr>
          <w:rtl/>
        </w:rPr>
        <w:t>،</w:t>
      </w:r>
      <w:r>
        <w:rPr>
          <w:rtl/>
        </w:rPr>
        <w:t xml:space="preserve"> وهما</w:t>
      </w:r>
      <w:r w:rsidRPr="007F5B58">
        <w:rPr>
          <w:rtl/>
        </w:rPr>
        <w:t>:</w:t>
      </w:r>
      <w:r>
        <w:rPr>
          <w:rtl/>
        </w:rPr>
        <w:t xml:space="preserve"> </w:t>
      </w:r>
      <w:r w:rsidRPr="00FE4C18">
        <w:rPr>
          <w:rtl/>
        </w:rPr>
        <w:t>«أندوم</w:t>
      </w:r>
      <w:r>
        <w:rPr>
          <w:rtl/>
        </w:rPr>
        <w:t>ي</w:t>
      </w:r>
      <w:r w:rsidRPr="00FE4C18">
        <w:rPr>
          <w:rtl/>
        </w:rPr>
        <w:t xml:space="preserve">تر </w:t>
      </w:r>
      <w:r>
        <w:rPr>
          <w:rtl/>
        </w:rPr>
        <w:t>ا</w:t>
      </w:r>
      <w:r w:rsidRPr="00FE4C18">
        <w:rPr>
          <w:rtl/>
        </w:rPr>
        <w:t>لأم</w:t>
      </w:r>
      <w:r>
        <w:rPr>
          <w:rtl/>
        </w:rPr>
        <w:t xml:space="preserve"> وا</w:t>
      </w:r>
      <w:r w:rsidRPr="00FE4C18">
        <w:rPr>
          <w:rtl/>
        </w:rPr>
        <w:t>لجن</w:t>
      </w:r>
      <w:r>
        <w:rPr>
          <w:rtl/>
        </w:rPr>
        <w:t>ي</w:t>
      </w:r>
      <w:r w:rsidRPr="00FE4C18">
        <w:rPr>
          <w:rtl/>
        </w:rPr>
        <w:t>ن»</w:t>
      </w:r>
      <w:r>
        <w:rPr>
          <w:rFonts w:hint="cs"/>
          <w:rtl/>
        </w:rPr>
        <w:t>؛</w:t>
      </w:r>
      <w:r w:rsidRPr="00FE4C18">
        <w:rPr>
          <w:rtl/>
        </w:rPr>
        <w:t xml:space="preserve"> علاقة </w:t>
      </w:r>
      <w:r>
        <w:rPr>
          <w:rtl/>
        </w:rPr>
        <w:t>ا</w:t>
      </w:r>
      <w:r w:rsidRPr="00FE4C18">
        <w:rPr>
          <w:rtl/>
        </w:rPr>
        <w:t>لأم</w:t>
      </w:r>
      <w:r>
        <w:rPr>
          <w:rtl/>
        </w:rPr>
        <w:t xml:space="preserve"> وا</w:t>
      </w:r>
      <w:r w:rsidRPr="00FE4C18">
        <w:rPr>
          <w:rtl/>
        </w:rPr>
        <w:t>لجن</w:t>
      </w:r>
      <w:r>
        <w:rPr>
          <w:rtl/>
        </w:rPr>
        <w:t>ي</w:t>
      </w:r>
      <w:r w:rsidRPr="00FE4C18">
        <w:rPr>
          <w:rtl/>
        </w:rPr>
        <w:t>ن</w:t>
      </w:r>
      <w:r w:rsidRPr="007F5B58">
        <w:rPr>
          <w:rtl/>
        </w:rPr>
        <w:t>،</w:t>
      </w:r>
      <w:r>
        <w:rPr>
          <w:rtl/>
        </w:rPr>
        <w:t xml:space="preserve"> وك</w:t>
      </w:r>
      <w:r w:rsidRPr="00FE4C18">
        <w:rPr>
          <w:rtl/>
        </w:rPr>
        <w:t>ذل</w:t>
      </w:r>
      <w:r>
        <w:rPr>
          <w:rtl/>
        </w:rPr>
        <w:t>ك</w:t>
      </w:r>
      <w:r w:rsidRPr="00FE4C18">
        <w:rPr>
          <w:rtl/>
        </w:rPr>
        <w:t xml:space="preserve"> آثارهما </w:t>
      </w:r>
      <w:r>
        <w:rPr>
          <w:rtl/>
        </w:rPr>
        <w:t>ا</w:t>
      </w:r>
      <w:r w:rsidRPr="00FE4C18">
        <w:rPr>
          <w:rtl/>
        </w:rPr>
        <w:t>لمتقابلة ف</w:t>
      </w:r>
      <w:r>
        <w:rPr>
          <w:rtl/>
        </w:rPr>
        <w:t>ي</w:t>
      </w:r>
      <w:r w:rsidRPr="00FE4C18">
        <w:rPr>
          <w:rtl/>
        </w:rPr>
        <w:t>ما ب</w:t>
      </w:r>
      <w:r>
        <w:rPr>
          <w:rtl/>
        </w:rPr>
        <w:t>ي</w:t>
      </w:r>
      <w:r w:rsidRPr="00FE4C18">
        <w:rPr>
          <w:rtl/>
        </w:rPr>
        <w:t xml:space="preserve">نهما هي لغز غامض لم </w:t>
      </w:r>
      <w:r>
        <w:rPr>
          <w:rtl/>
        </w:rPr>
        <w:t>ي</w:t>
      </w:r>
      <w:r w:rsidRPr="00FE4C18">
        <w:rPr>
          <w:rtl/>
        </w:rPr>
        <w:t xml:space="preserve">ستطع طب </w:t>
      </w:r>
      <w:r>
        <w:rPr>
          <w:rtl/>
        </w:rPr>
        <w:t>ا</w:t>
      </w:r>
      <w:r w:rsidRPr="00FE4C18">
        <w:rPr>
          <w:rtl/>
        </w:rPr>
        <w:t>ل</w:t>
      </w:r>
      <w:r>
        <w:rPr>
          <w:rtl/>
        </w:rPr>
        <w:t>تـن</w:t>
      </w:r>
      <w:r w:rsidRPr="00FE4C18">
        <w:rPr>
          <w:rtl/>
        </w:rPr>
        <w:t xml:space="preserve">اسل </w:t>
      </w:r>
      <w:r>
        <w:rPr>
          <w:rtl/>
        </w:rPr>
        <w:t>حتى ا</w:t>
      </w:r>
      <w:r w:rsidRPr="00FE4C18">
        <w:rPr>
          <w:rtl/>
        </w:rPr>
        <w:t xml:space="preserve">لآن أن </w:t>
      </w:r>
      <w:r>
        <w:rPr>
          <w:rtl/>
        </w:rPr>
        <w:t>ي</w:t>
      </w:r>
      <w:r w:rsidRPr="00FE4C18">
        <w:rPr>
          <w:rtl/>
        </w:rPr>
        <w:t>جد حلاً مناسباً له</w:t>
      </w:r>
      <w:r>
        <w:rPr>
          <w:rtl/>
        </w:rPr>
        <w:t>.</w:t>
      </w:r>
      <w:r w:rsidRPr="00FE4C18">
        <w:rPr>
          <w:rtl/>
        </w:rPr>
        <w:t xml:space="preserve"> تشتمل هذه </w:t>
      </w:r>
      <w:r>
        <w:rPr>
          <w:rtl/>
        </w:rPr>
        <w:t>ا</w:t>
      </w:r>
      <w:r w:rsidRPr="00FE4C18">
        <w:rPr>
          <w:rtl/>
        </w:rPr>
        <w:t>لدورة عل</w:t>
      </w:r>
      <w:r>
        <w:rPr>
          <w:rtl/>
        </w:rPr>
        <w:t xml:space="preserve">ى </w:t>
      </w:r>
      <w:r w:rsidRPr="00FE4C18">
        <w:rPr>
          <w:rtl/>
        </w:rPr>
        <w:t>لصق ب</w:t>
      </w:r>
      <w:r>
        <w:rPr>
          <w:rtl/>
        </w:rPr>
        <w:t>ي</w:t>
      </w:r>
      <w:r w:rsidRPr="00FE4C18">
        <w:rPr>
          <w:rtl/>
        </w:rPr>
        <w:t>لاستوس</w:t>
      </w:r>
      <w:r>
        <w:rPr>
          <w:rtl/>
        </w:rPr>
        <w:t>ي</w:t>
      </w:r>
      <w:r w:rsidRPr="00FE4C18">
        <w:rPr>
          <w:rtl/>
        </w:rPr>
        <w:t>ست بأندوم</w:t>
      </w:r>
      <w:r>
        <w:rPr>
          <w:rtl/>
        </w:rPr>
        <w:t>ي</w:t>
      </w:r>
      <w:r w:rsidRPr="00FE4C18">
        <w:rPr>
          <w:rtl/>
        </w:rPr>
        <w:t xml:space="preserve">تر </w:t>
      </w:r>
      <w:r>
        <w:rPr>
          <w:rtl/>
        </w:rPr>
        <w:t>ا</w:t>
      </w:r>
      <w:r w:rsidRPr="00FE4C18">
        <w:rPr>
          <w:rtl/>
        </w:rPr>
        <w:t>لأم</w:t>
      </w:r>
      <w:r w:rsidRPr="007F5B58">
        <w:rPr>
          <w:rtl/>
        </w:rPr>
        <w:t>،</w:t>
      </w:r>
      <w:r>
        <w:rPr>
          <w:rtl/>
        </w:rPr>
        <w:t xml:space="preserve"> وا</w:t>
      </w:r>
      <w:r w:rsidRPr="00FE4C18">
        <w:rPr>
          <w:rtl/>
        </w:rPr>
        <w:t>لتي تحتاج إل</w:t>
      </w:r>
      <w:r>
        <w:rPr>
          <w:rtl/>
        </w:rPr>
        <w:t xml:space="preserve">ى </w:t>
      </w:r>
      <w:r w:rsidRPr="00FE4C18">
        <w:rPr>
          <w:rtl/>
        </w:rPr>
        <w:t>أندوم</w:t>
      </w:r>
      <w:r>
        <w:rPr>
          <w:rtl/>
        </w:rPr>
        <w:t>ي</w:t>
      </w:r>
      <w:r w:rsidRPr="00FE4C18">
        <w:rPr>
          <w:rtl/>
        </w:rPr>
        <w:t>تر مض</w:t>
      </w:r>
      <w:r>
        <w:rPr>
          <w:rtl/>
        </w:rPr>
        <w:t>يّ</w:t>
      </w:r>
      <w:r w:rsidRPr="00FE4C18">
        <w:rPr>
          <w:rtl/>
        </w:rPr>
        <w:t>ق</w:t>
      </w:r>
      <w:r w:rsidRPr="007F5B58">
        <w:rPr>
          <w:rtl/>
        </w:rPr>
        <w:t>،</w:t>
      </w:r>
      <w:r>
        <w:rPr>
          <w:rtl/>
        </w:rPr>
        <w:t xml:space="preserve"> و</w:t>
      </w:r>
      <w:r w:rsidRPr="00FE4C18">
        <w:rPr>
          <w:rtl/>
        </w:rPr>
        <w:t>جن</w:t>
      </w:r>
      <w:r>
        <w:rPr>
          <w:rtl/>
        </w:rPr>
        <w:t>ي</w:t>
      </w:r>
      <w:r w:rsidRPr="00FE4C18">
        <w:rPr>
          <w:rtl/>
        </w:rPr>
        <w:t>ن طب</w:t>
      </w:r>
      <w:r>
        <w:rPr>
          <w:rtl/>
        </w:rPr>
        <w:t>ي</w:t>
      </w:r>
      <w:r w:rsidRPr="00FE4C18">
        <w:rPr>
          <w:rtl/>
        </w:rPr>
        <w:t>عي</w:t>
      </w:r>
      <w:r>
        <w:rPr>
          <w:rtl/>
        </w:rPr>
        <w:t xml:space="preserve"> و</w:t>
      </w:r>
      <w:r w:rsidRPr="00FE4C18">
        <w:rPr>
          <w:rtl/>
        </w:rPr>
        <w:t>ناشط</w:t>
      </w:r>
      <w:r w:rsidRPr="007F5B58">
        <w:rPr>
          <w:rtl/>
        </w:rPr>
        <w:t>،</w:t>
      </w:r>
      <w:r w:rsidRPr="00FE4C18">
        <w:rPr>
          <w:rtl/>
        </w:rPr>
        <w:t xml:space="preserve"> الواقع في مرحلة ب</w:t>
      </w:r>
      <w:r>
        <w:rPr>
          <w:rtl/>
        </w:rPr>
        <w:t>ي</w:t>
      </w:r>
      <w:r w:rsidRPr="00FE4C18">
        <w:rPr>
          <w:rtl/>
        </w:rPr>
        <w:t>لاستوس</w:t>
      </w:r>
      <w:r>
        <w:rPr>
          <w:rtl/>
        </w:rPr>
        <w:t>ي</w:t>
      </w:r>
      <w:r w:rsidRPr="00FE4C18">
        <w:rPr>
          <w:rtl/>
        </w:rPr>
        <w:t>ست</w:t>
      </w:r>
      <w:r>
        <w:rPr>
          <w:rtl/>
        </w:rPr>
        <w:t xml:space="preserve"> و</w:t>
      </w:r>
      <w:r w:rsidRPr="00FE4C18">
        <w:rPr>
          <w:rtl/>
        </w:rPr>
        <w:t>علاقة منسقة أو متقابلة ب</w:t>
      </w:r>
      <w:r>
        <w:rPr>
          <w:rtl/>
        </w:rPr>
        <w:t>ي</w:t>
      </w:r>
      <w:r w:rsidRPr="00FE4C18">
        <w:rPr>
          <w:rtl/>
        </w:rPr>
        <w:t xml:space="preserve">ن </w:t>
      </w:r>
      <w:r>
        <w:rPr>
          <w:rtl/>
        </w:rPr>
        <w:t>ا</w:t>
      </w:r>
      <w:r w:rsidRPr="00FE4C18">
        <w:rPr>
          <w:rtl/>
        </w:rPr>
        <w:t>لنظام</w:t>
      </w:r>
      <w:r>
        <w:rPr>
          <w:rtl/>
        </w:rPr>
        <w:t>ي</w:t>
      </w:r>
      <w:r w:rsidRPr="00FE4C18">
        <w:rPr>
          <w:rtl/>
        </w:rPr>
        <w:t xml:space="preserve">ن </w:t>
      </w:r>
      <w:r>
        <w:rPr>
          <w:rtl/>
        </w:rPr>
        <w:t>ا</w:t>
      </w:r>
      <w:r w:rsidRPr="00FE4C18">
        <w:rPr>
          <w:rtl/>
        </w:rPr>
        <w:t>لجسد</w:t>
      </w:r>
      <w:r>
        <w:rPr>
          <w:rtl/>
        </w:rPr>
        <w:t>يي</w:t>
      </w:r>
      <w:r w:rsidRPr="00FE4C18">
        <w:rPr>
          <w:rtl/>
        </w:rPr>
        <w:t xml:space="preserve">ن </w:t>
      </w:r>
      <w:r>
        <w:rPr>
          <w:rtl/>
        </w:rPr>
        <w:t>ا</w:t>
      </w:r>
      <w:r w:rsidRPr="00FE4C18">
        <w:rPr>
          <w:rtl/>
        </w:rPr>
        <w:t>للذ</w:t>
      </w:r>
      <w:r>
        <w:rPr>
          <w:rtl/>
        </w:rPr>
        <w:t>ي</w:t>
      </w:r>
      <w:r w:rsidRPr="00FE4C18">
        <w:rPr>
          <w:rtl/>
        </w:rPr>
        <w:t xml:space="preserve">ن </w:t>
      </w:r>
      <w:r>
        <w:rPr>
          <w:rtl/>
        </w:rPr>
        <w:t>ي</w:t>
      </w:r>
      <w:r w:rsidRPr="00FE4C18">
        <w:rPr>
          <w:rtl/>
        </w:rPr>
        <w:t>ختلفان</w:t>
      </w:r>
      <w:r>
        <w:rPr>
          <w:rtl/>
        </w:rPr>
        <w:t xml:space="preserve"> </w:t>
      </w:r>
      <w:r w:rsidRPr="00FE4C18">
        <w:rPr>
          <w:rtl/>
        </w:rPr>
        <w:t>مع بعضهما من جانب وراثي</w:t>
      </w:r>
      <w:r>
        <w:rPr>
          <w:rtl/>
        </w:rPr>
        <w:t xml:space="preserve"> و</w:t>
      </w:r>
      <w:r w:rsidRPr="00FE4C18">
        <w:rPr>
          <w:rtl/>
        </w:rPr>
        <w:t>إ</w:t>
      </w:r>
      <w:r>
        <w:rPr>
          <w:rtl/>
        </w:rPr>
        <w:t>ي</w:t>
      </w:r>
      <w:r w:rsidRPr="00FE4C18">
        <w:rPr>
          <w:rtl/>
        </w:rPr>
        <w:t>مونولوج</w:t>
      </w:r>
      <w:r>
        <w:rPr>
          <w:rtl/>
        </w:rPr>
        <w:t>يكي بصورة كاملة</w:t>
      </w:r>
      <w:r w:rsidRPr="00815C4C">
        <w:rPr>
          <w:rFonts w:cs="Taher"/>
          <w:vertAlign w:val="superscript"/>
          <w:rtl/>
        </w:rPr>
        <w:t>(</w:t>
      </w:r>
      <w:r w:rsidRPr="00815C4C">
        <w:rPr>
          <w:rFonts w:cs="Taher"/>
          <w:vertAlign w:val="superscript"/>
          <w:rtl/>
        </w:rPr>
        <w:footnoteReference w:id="897"/>
      </w:r>
      <w:r w:rsidRPr="00815C4C">
        <w:rPr>
          <w:rFonts w:cs="Taher"/>
          <w:vertAlign w:val="superscript"/>
          <w:rtl/>
        </w:rPr>
        <w:t>)</w:t>
      </w:r>
      <w:r>
        <w:rPr>
          <w:rtl/>
        </w:rPr>
        <w:t>.</w:t>
      </w:r>
    </w:p>
    <w:p w:rsidR="00391A35" w:rsidRDefault="00391A35" w:rsidP="0067362A">
      <w:pPr>
        <w:pStyle w:val="ac"/>
        <w:spacing w:line="211" w:lineRule="auto"/>
      </w:pPr>
      <w:r>
        <w:rPr>
          <w:rtl/>
        </w:rPr>
        <w:t>و</w:t>
      </w:r>
      <w:r w:rsidRPr="00FE4C18">
        <w:rPr>
          <w:rtl/>
        </w:rPr>
        <w:t xml:space="preserve">في </w:t>
      </w:r>
      <w:r>
        <w:rPr>
          <w:rtl/>
        </w:rPr>
        <w:t>ا</w:t>
      </w:r>
      <w:r w:rsidRPr="00FE4C18">
        <w:rPr>
          <w:rtl/>
        </w:rPr>
        <w:t>لحق</w:t>
      </w:r>
      <w:r>
        <w:rPr>
          <w:rtl/>
        </w:rPr>
        <w:t>ي</w:t>
      </w:r>
      <w:r w:rsidRPr="00FE4C18">
        <w:rPr>
          <w:rtl/>
        </w:rPr>
        <w:t xml:space="preserve">قة </w:t>
      </w:r>
      <w:r>
        <w:rPr>
          <w:rtl/>
        </w:rPr>
        <w:t>فإن ا</w:t>
      </w:r>
      <w:r w:rsidRPr="00FE4C18">
        <w:rPr>
          <w:rtl/>
        </w:rPr>
        <w:t>لالتزام بالح</w:t>
      </w:r>
      <w:r>
        <w:rPr>
          <w:rtl/>
        </w:rPr>
        <w:t>َ</w:t>
      </w:r>
      <w:r w:rsidRPr="00FE4C18">
        <w:rPr>
          <w:rtl/>
        </w:rPr>
        <w:t>ب</w:t>
      </w:r>
      <w:r>
        <w:rPr>
          <w:rtl/>
        </w:rPr>
        <w:t>َ</w:t>
      </w:r>
      <w:r w:rsidRPr="00FE4C18">
        <w:rPr>
          <w:rtl/>
        </w:rPr>
        <w:t>ل مقدم عل</w:t>
      </w:r>
      <w:r>
        <w:rPr>
          <w:rtl/>
        </w:rPr>
        <w:t xml:space="preserve">ى </w:t>
      </w:r>
      <w:r w:rsidRPr="00FE4C18">
        <w:rPr>
          <w:rtl/>
        </w:rPr>
        <w:t>التزام ترب</w:t>
      </w:r>
      <w:r>
        <w:rPr>
          <w:rtl/>
        </w:rPr>
        <w:t>ي</w:t>
      </w:r>
      <w:r w:rsidRPr="00FE4C18">
        <w:rPr>
          <w:rtl/>
        </w:rPr>
        <w:t xml:space="preserve">ة </w:t>
      </w:r>
      <w:r>
        <w:rPr>
          <w:rtl/>
        </w:rPr>
        <w:t>ا</w:t>
      </w:r>
      <w:r w:rsidRPr="00FE4C18">
        <w:rPr>
          <w:rtl/>
        </w:rPr>
        <w:t>لجن</w:t>
      </w:r>
      <w:r>
        <w:rPr>
          <w:rtl/>
        </w:rPr>
        <w:t>ي</w:t>
      </w:r>
      <w:r w:rsidRPr="00FE4C18">
        <w:rPr>
          <w:rtl/>
        </w:rPr>
        <w:t>ن</w:t>
      </w:r>
      <w:r w:rsidRPr="007F5B58">
        <w:rPr>
          <w:rtl/>
        </w:rPr>
        <w:t>،</w:t>
      </w:r>
      <w:r>
        <w:rPr>
          <w:rtl/>
        </w:rPr>
        <w:t xml:space="preserve"> و</w:t>
      </w:r>
      <w:r w:rsidRPr="00FE4C18">
        <w:rPr>
          <w:rtl/>
        </w:rPr>
        <w:t xml:space="preserve">هو خارج عن قدرة صاحبة </w:t>
      </w:r>
      <w:r>
        <w:rPr>
          <w:rtl/>
        </w:rPr>
        <w:t>ا</w:t>
      </w:r>
      <w:r w:rsidRPr="00FE4C18">
        <w:rPr>
          <w:rtl/>
        </w:rPr>
        <w:t>لرحم</w:t>
      </w:r>
      <w:r w:rsidRPr="007F5B58">
        <w:rPr>
          <w:rtl/>
        </w:rPr>
        <w:t>،</w:t>
      </w:r>
      <w:r>
        <w:rPr>
          <w:rtl/>
        </w:rPr>
        <w:t xml:space="preserve"> وي</w:t>
      </w:r>
      <w:r w:rsidRPr="00FE4C18">
        <w:rPr>
          <w:rtl/>
        </w:rPr>
        <w:t>م</w:t>
      </w:r>
      <w:r>
        <w:rPr>
          <w:rtl/>
        </w:rPr>
        <w:t>ك</w:t>
      </w:r>
      <w:r w:rsidRPr="00FE4C18">
        <w:rPr>
          <w:rtl/>
        </w:rPr>
        <w:t xml:space="preserve">ن </w:t>
      </w:r>
      <w:r>
        <w:rPr>
          <w:rtl/>
        </w:rPr>
        <w:t>ا</w:t>
      </w:r>
      <w:r w:rsidRPr="00FE4C18">
        <w:rPr>
          <w:rtl/>
        </w:rPr>
        <w:t>لقول</w:t>
      </w:r>
      <w:r w:rsidRPr="007F5B58">
        <w:rPr>
          <w:rtl/>
        </w:rPr>
        <w:t>:</w:t>
      </w:r>
      <w:r w:rsidRPr="00FE4C18">
        <w:rPr>
          <w:rtl/>
        </w:rPr>
        <w:t xml:space="preserve"> </w:t>
      </w:r>
      <w:r>
        <w:rPr>
          <w:rtl/>
        </w:rPr>
        <w:t>إ</w:t>
      </w:r>
      <w:r w:rsidRPr="00FE4C18">
        <w:rPr>
          <w:rtl/>
        </w:rPr>
        <w:t xml:space="preserve">نه لا </w:t>
      </w:r>
      <w:r>
        <w:rPr>
          <w:rtl/>
        </w:rPr>
        <w:t>ي</w:t>
      </w:r>
      <w:r w:rsidRPr="00FE4C18">
        <w:rPr>
          <w:rtl/>
        </w:rPr>
        <w:t>م</w:t>
      </w:r>
      <w:r>
        <w:rPr>
          <w:rtl/>
        </w:rPr>
        <w:t>ك</w:t>
      </w:r>
      <w:r w:rsidRPr="00FE4C18">
        <w:rPr>
          <w:rtl/>
        </w:rPr>
        <w:t xml:space="preserve">ن إنجاز موضوع </w:t>
      </w:r>
      <w:r>
        <w:rPr>
          <w:rtl/>
        </w:rPr>
        <w:t>ا</w:t>
      </w:r>
      <w:r w:rsidRPr="00FE4C18">
        <w:rPr>
          <w:rtl/>
        </w:rPr>
        <w:t>لمعاملة</w:t>
      </w:r>
      <w:r>
        <w:rPr>
          <w:rtl/>
        </w:rPr>
        <w:t>. و</w:t>
      </w:r>
      <w:r w:rsidRPr="00FE4C18">
        <w:rPr>
          <w:rtl/>
        </w:rPr>
        <w:t xml:space="preserve">عدم </w:t>
      </w:r>
      <w:r>
        <w:rPr>
          <w:rtl/>
        </w:rPr>
        <w:t>ا</w:t>
      </w:r>
      <w:r w:rsidRPr="00FE4C18">
        <w:rPr>
          <w:rtl/>
        </w:rPr>
        <w:t xml:space="preserve">لقدرة </w:t>
      </w:r>
      <w:r>
        <w:rPr>
          <w:rtl/>
        </w:rPr>
        <w:t>ي</w:t>
      </w:r>
      <w:r w:rsidRPr="00FE4C18">
        <w:rPr>
          <w:rtl/>
        </w:rPr>
        <w:t xml:space="preserve">عتبر بمثابة فقدانه في </w:t>
      </w:r>
      <w:r>
        <w:rPr>
          <w:rtl/>
        </w:rPr>
        <w:t>ا</w:t>
      </w:r>
      <w:r w:rsidRPr="00FE4C18">
        <w:rPr>
          <w:rtl/>
        </w:rPr>
        <w:t>لصفقة</w:t>
      </w:r>
      <w:r w:rsidRPr="007F5B58">
        <w:rPr>
          <w:rtl/>
        </w:rPr>
        <w:t>،</w:t>
      </w:r>
      <w:r>
        <w:rPr>
          <w:rtl/>
        </w:rPr>
        <w:t xml:space="preserve"> وي</w:t>
      </w:r>
      <w:r w:rsidRPr="00FE4C18">
        <w:rPr>
          <w:rtl/>
        </w:rPr>
        <w:t>حمل ذل</w:t>
      </w:r>
      <w:r>
        <w:rPr>
          <w:rtl/>
        </w:rPr>
        <w:t>ك</w:t>
      </w:r>
      <w:r w:rsidRPr="00FE4C18">
        <w:rPr>
          <w:rtl/>
        </w:rPr>
        <w:t xml:space="preserve"> </w:t>
      </w:r>
      <w:r>
        <w:rPr>
          <w:rtl/>
        </w:rPr>
        <w:t>ا</w:t>
      </w:r>
      <w:r w:rsidRPr="00FE4C18">
        <w:rPr>
          <w:rtl/>
        </w:rPr>
        <w:t>لدل</w:t>
      </w:r>
      <w:r>
        <w:rPr>
          <w:rtl/>
        </w:rPr>
        <w:t>ي</w:t>
      </w:r>
      <w:r w:rsidRPr="00FE4C18">
        <w:rPr>
          <w:rtl/>
        </w:rPr>
        <w:t xml:space="preserve">ل </w:t>
      </w:r>
      <w:r>
        <w:rPr>
          <w:rtl/>
        </w:rPr>
        <w:t>ا</w:t>
      </w:r>
      <w:r w:rsidRPr="00FE4C18">
        <w:rPr>
          <w:rtl/>
        </w:rPr>
        <w:t xml:space="preserve">لذي </w:t>
      </w:r>
      <w:r>
        <w:rPr>
          <w:rtl/>
        </w:rPr>
        <w:t>ي</w:t>
      </w:r>
      <w:r w:rsidRPr="00FE4C18">
        <w:rPr>
          <w:rtl/>
        </w:rPr>
        <w:t>ؤ</w:t>
      </w:r>
      <w:r>
        <w:rPr>
          <w:rtl/>
        </w:rPr>
        <w:t>ك</w:t>
      </w:r>
      <w:r w:rsidRPr="00FE4C18">
        <w:rPr>
          <w:rtl/>
        </w:rPr>
        <w:t>د عل</w:t>
      </w:r>
      <w:r>
        <w:rPr>
          <w:rtl/>
        </w:rPr>
        <w:t xml:space="preserve">ى </w:t>
      </w:r>
      <w:r w:rsidRPr="00FE4C18">
        <w:rPr>
          <w:rtl/>
        </w:rPr>
        <w:t xml:space="preserve">بطلان </w:t>
      </w:r>
      <w:r>
        <w:rPr>
          <w:rtl/>
        </w:rPr>
        <w:t>ا</w:t>
      </w:r>
      <w:r w:rsidRPr="00FE4C18">
        <w:rPr>
          <w:rtl/>
        </w:rPr>
        <w:t>لصفقة بسبب فقد موضوعها</w:t>
      </w:r>
      <w:r w:rsidRPr="00815C4C">
        <w:rPr>
          <w:rFonts w:cs="Taher"/>
          <w:vertAlign w:val="superscript"/>
          <w:rtl/>
        </w:rPr>
        <w:t>(</w:t>
      </w:r>
      <w:r w:rsidRPr="00815C4C">
        <w:rPr>
          <w:rFonts w:cs="Taher"/>
          <w:vertAlign w:val="superscript"/>
          <w:rtl/>
        </w:rPr>
        <w:footnoteReference w:id="898"/>
      </w:r>
      <w:r w:rsidRPr="00815C4C">
        <w:rPr>
          <w:rFonts w:cs="Taher"/>
          <w:vertAlign w:val="superscript"/>
          <w:rtl/>
        </w:rPr>
        <w:t>)</w:t>
      </w:r>
      <w:r w:rsidRPr="00FE4C18">
        <w:rPr>
          <w:rtl/>
        </w:rPr>
        <w:t xml:space="preserve">. </w:t>
      </w:r>
    </w:p>
    <w:p w:rsidR="00391A35" w:rsidRPr="0067362A" w:rsidRDefault="00391A35" w:rsidP="0067362A">
      <w:pPr>
        <w:pStyle w:val="afffffc"/>
        <w:rPr>
          <w:sz w:val="22"/>
          <w:szCs w:val="20"/>
          <w:rtl/>
        </w:rPr>
      </w:pPr>
    </w:p>
    <w:p w:rsidR="00391A35" w:rsidRPr="00FE4C18" w:rsidRDefault="00391A35" w:rsidP="0067362A">
      <w:pPr>
        <w:pStyle w:val="4"/>
        <w:rPr>
          <w:rtl/>
        </w:rPr>
      </w:pPr>
      <w:bookmarkStart w:id="489" w:name="_Toc275128196"/>
      <w:r w:rsidRPr="00FE4C18">
        <w:rPr>
          <w:rtl/>
        </w:rPr>
        <w:t>3</w:t>
      </w:r>
      <w:r>
        <w:rPr>
          <w:rtl/>
        </w:rPr>
        <w:t>ـ</w:t>
      </w:r>
      <w:r w:rsidRPr="00FE4C18">
        <w:rPr>
          <w:rtl/>
        </w:rPr>
        <w:t xml:space="preserve"> 3</w:t>
      </w:r>
      <w:r>
        <w:rPr>
          <w:rtl/>
        </w:rPr>
        <w:t>ـ</w:t>
      </w:r>
      <w:r w:rsidRPr="00FE4C18">
        <w:rPr>
          <w:rtl/>
        </w:rPr>
        <w:t xml:space="preserve"> 3</w:t>
      </w:r>
      <w:r>
        <w:rPr>
          <w:rtl/>
        </w:rPr>
        <w:t>ـ</w:t>
      </w:r>
      <w:r w:rsidRPr="00FE4C18">
        <w:rPr>
          <w:rtl/>
        </w:rPr>
        <w:t xml:space="preserve"> </w:t>
      </w:r>
      <w:r>
        <w:rPr>
          <w:rtl/>
        </w:rPr>
        <w:t>ا</w:t>
      </w:r>
      <w:r w:rsidRPr="00FE4C18">
        <w:rPr>
          <w:rtl/>
        </w:rPr>
        <w:t>لشرع</w:t>
      </w:r>
      <w:r>
        <w:rPr>
          <w:rtl/>
        </w:rPr>
        <w:t>يّ</w:t>
      </w:r>
      <w:r w:rsidRPr="00FE4C18">
        <w:rPr>
          <w:rtl/>
        </w:rPr>
        <w:t>ة</w:t>
      </w:r>
      <w:bookmarkEnd w:id="489"/>
    </w:p>
    <w:p w:rsidR="00391A35" w:rsidRPr="00FE4C18" w:rsidRDefault="00391A35" w:rsidP="0067362A">
      <w:pPr>
        <w:pStyle w:val="ac"/>
        <w:spacing w:line="211" w:lineRule="auto"/>
        <w:rPr>
          <w:rtl/>
        </w:rPr>
      </w:pPr>
      <w:r w:rsidRPr="00FE4C18">
        <w:rPr>
          <w:rtl/>
        </w:rPr>
        <w:t xml:space="preserve">إذا </w:t>
      </w:r>
      <w:r>
        <w:rPr>
          <w:rtl/>
        </w:rPr>
        <w:t>ك</w:t>
      </w:r>
      <w:r w:rsidRPr="00FE4C18">
        <w:rPr>
          <w:rtl/>
        </w:rPr>
        <w:t xml:space="preserve">ان موضوع </w:t>
      </w:r>
      <w:r>
        <w:rPr>
          <w:rtl/>
        </w:rPr>
        <w:t>ا</w:t>
      </w:r>
      <w:r w:rsidRPr="00FE4C18">
        <w:rPr>
          <w:rtl/>
        </w:rPr>
        <w:t xml:space="preserve">لصفقة </w:t>
      </w:r>
      <w:r>
        <w:rPr>
          <w:rtl/>
        </w:rPr>
        <w:t>ا</w:t>
      </w:r>
      <w:r w:rsidRPr="00FE4C18">
        <w:rPr>
          <w:rtl/>
        </w:rPr>
        <w:t>لعمل</w:t>
      </w:r>
      <w:r>
        <w:rPr>
          <w:rtl/>
        </w:rPr>
        <w:t xml:space="preserve"> </w:t>
      </w:r>
      <w:r w:rsidRPr="00FE4C18">
        <w:rPr>
          <w:rtl/>
        </w:rPr>
        <w:t>ف</w:t>
      </w:r>
      <w:r>
        <w:rPr>
          <w:rtl/>
        </w:rPr>
        <w:t>ي</w:t>
      </w:r>
      <w:r w:rsidRPr="00FE4C18">
        <w:rPr>
          <w:rtl/>
        </w:rPr>
        <w:t xml:space="preserve">جب </w:t>
      </w:r>
      <w:r>
        <w:rPr>
          <w:rtl/>
        </w:rPr>
        <w:t>ك</w:t>
      </w:r>
      <w:r w:rsidRPr="00FE4C18">
        <w:rPr>
          <w:rtl/>
        </w:rPr>
        <w:t xml:space="preserve">ون هذا </w:t>
      </w:r>
      <w:r>
        <w:rPr>
          <w:rtl/>
        </w:rPr>
        <w:t>ا</w:t>
      </w:r>
      <w:r w:rsidRPr="00FE4C18">
        <w:rPr>
          <w:rtl/>
        </w:rPr>
        <w:t>لعمل مشروعاً</w:t>
      </w:r>
      <w:r w:rsidRPr="007F5B58">
        <w:rPr>
          <w:rtl/>
        </w:rPr>
        <w:t>،</w:t>
      </w:r>
      <w:r>
        <w:rPr>
          <w:rtl/>
        </w:rPr>
        <w:t xml:space="preserve"> و</w:t>
      </w:r>
      <w:r w:rsidRPr="00FE4C18">
        <w:rPr>
          <w:rtl/>
        </w:rPr>
        <w:t>في غ</w:t>
      </w:r>
      <w:r>
        <w:rPr>
          <w:rtl/>
        </w:rPr>
        <w:t>ي</w:t>
      </w:r>
      <w:r w:rsidRPr="00FE4C18">
        <w:rPr>
          <w:rtl/>
        </w:rPr>
        <w:t xml:space="preserve">ره تبطل </w:t>
      </w:r>
      <w:r>
        <w:rPr>
          <w:rtl/>
        </w:rPr>
        <w:t>ا</w:t>
      </w:r>
      <w:r w:rsidRPr="00FE4C18">
        <w:rPr>
          <w:rtl/>
        </w:rPr>
        <w:t>لصفقة</w:t>
      </w:r>
      <w:r>
        <w:rPr>
          <w:rtl/>
        </w:rPr>
        <w:t>.</w:t>
      </w:r>
      <w:r w:rsidRPr="00FE4C18">
        <w:rPr>
          <w:rtl/>
        </w:rPr>
        <w:t xml:space="preserve"> </w:t>
      </w:r>
    </w:p>
    <w:p w:rsidR="00391A35" w:rsidRPr="00FE4C18" w:rsidRDefault="00391A35" w:rsidP="0067362A">
      <w:pPr>
        <w:pStyle w:val="ac"/>
        <w:spacing w:line="211" w:lineRule="auto"/>
        <w:rPr>
          <w:rtl/>
        </w:rPr>
      </w:pPr>
      <w:r>
        <w:rPr>
          <w:rtl/>
        </w:rPr>
        <w:t>و</w:t>
      </w:r>
      <w:r w:rsidRPr="00FE4C18">
        <w:rPr>
          <w:rtl/>
        </w:rPr>
        <w:t>عل</w:t>
      </w:r>
      <w:r>
        <w:rPr>
          <w:rtl/>
        </w:rPr>
        <w:t xml:space="preserve">ى </w:t>
      </w:r>
      <w:r w:rsidRPr="00FE4C18">
        <w:rPr>
          <w:rtl/>
        </w:rPr>
        <w:t xml:space="preserve">أساس </w:t>
      </w:r>
      <w:r>
        <w:rPr>
          <w:rtl/>
        </w:rPr>
        <w:t>ا</w:t>
      </w:r>
      <w:r w:rsidRPr="00FE4C18">
        <w:rPr>
          <w:rtl/>
        </w:rPr>
        <w:t xml:space="preserve">لمادة 215 من </w:t>
      </w:r>
      <w:r>
        <w:rPr>
          <w:rtl/>
        </w:rPr>
        <w:t>ا</w:t>
      </w:r>
      <w:r w:rsidRPr="00FE4C18">
        <w:rPr>
          <w:rtl/>
        </w:rPr>
        <w:t xml:space="preserve">لقانون </w:t>
      </w:r>
      <w:r>
        <w:rPr>
          <w:rtl/>
        </w:rPr>
        <w:t>ا</w:t>
      </w:r>
      <w:r w:rsidRPr="00FE4C18">
        <w:rPr>
          <w:rtl/>
        </w:rPr>
        <w:t xml:space="preserve">لمدني </w:t>
      </w:r>
      <w:r>
        <w:rPr>
          <w:rtl/>
        </w:rPr>
        <w:t>ي</w:t>
      </w:r>
      <w:r w:rsidRPr="00FE4C18">
        <w:rPr>
          <w:rtl/>
        </w:rPr>
        <w:t xml:space="preserve">جب أن </w:t>
      </w:r>
      <w:r>
        <w:rPr>
          <w:rtl/>
        </w:rPr>
        <w:t>ي</w:t>
      </w:r>
      <w:r w:rsidRPr="00FE4C18">
        <w:rPr>
          <w:rtl/>
        </w:rPr>
        <w:t xml:space="preserve">حمل موضوع </w:t>
      </w:r>
      <w:r>
        <w:rPr>
          <w:rtl/>
        </w:rPr>
        <w:t>ا</w:t>
      </w:r>
      <w:r w:rsidRPr="00FE4C18">
        <w:rPr>
          <w:rtl/>
        </w:rPr>
        <w:t>لصفقة ربحاً مشروعاً</w:t>
      </w:r>
      <w:r>
        <w:rPr>
          <w:rtl/>
        </w:rPr>
        <w:t>.</w:t>
      </w:r>
      <w:r w:rsidRPr="00FE4C18">
        <w:rPr>
          <w:rtl/>
        </w:rPr>
        <w:t xml:space="preserve"> </w:t>
      </w:r>
      <w:r>
        <w:rPr>
          <w:rtl/>
        </w:rPr>
        <w:t>و</w:t>
      </w:r>
      <w:r w:rsidRPr="00FE4C18">
        <w:rPr>
          <w:rtl/>
        </w:rPr>
        <w:t xml:space="preserve">الربح </w:t>
      </w:r>
      <w:r>
        <w:rPr>
          <w:rtl/>
        </w:rPr>
        <w:t>ا</w:t>
      </w:r>
      <w:r w:rsidRPr="00FE4C18">
        <w:rPr>
          <w:rtl/>
        </w:rPr>
        <w:t xml:space="preserve">لمشروع في </w:t>
      </w:r>
      <w:r>
        <w:rPr>
          <w:rtl/>
        </w:rPr>
        <w:t>ا</w:t>
      </w:r>
      <w:r w:rsidRPr="00FE4C18">
        <w:rPr>
          <w:rtl/>
        </w:rPr>
        <w:t xml:space="preserve">لمصطلح </w:t>
      </w:r>
      <w:r>
        <w:rPr>
          <w:rtl/>
        </w:rPr>
        <w:t>ا</w:t>
      </w:r>
      <w:r w:rsidRPr="00FE4C18">
        <w:rPr>
          <w:rtl/>
        </w:rPr>
        <w:t>لحقوقي</w:t>
      </w:r>
      <w:r>
        <w:rPr>
          <w:rtl/>
        </w:rPr>
        <w:t xml:space="preserve"> </w:t>
      </w:r>
      <w:r w:rsidRPr="00FE4C18">
        <w:rPr>
          <w:rtl/>
        </w:rPr>
        <w:t xml:space="preserve">‌هو </w:t>
      </w:r>
      <w:r>
        <w:rPr>
          <w:rtl/>
        </w:rPr>
        <w:t>ا</w:t>
      </w:r>
      <w:r w:rsidRPr="00FE4C18">
        <w:rPr>
          <w:rtl/>
        </w:rPr>
        <w:t xml:space="preserve">لذي </w:t>
      </w:r>
      <w:r>
        <w:rPr>
          <w:rtl/>
        </w:rPr>
        <w:t>ما أباحه</w:t>
      </w:r>
      <w:r w:rsidRPr="00FE4C18">
        <w:rPr>
          <w:rtl/>
        </w:rPr>
        <w:t xml:space="preserve"> </w:t>
      </w:r>
      <w:r>
        <w:rPr>
          <w:rtl/>
        </w:rPr>
        <w:t>ا</w:t>
      </w:r>
      <w:r w:rsidRPr="00FE4C18">
        <w:rPr>
          <w:rtl/>
        </w:rPr>
        <w:t>لقانون</w:t>
      </w:r>
      <w:r>
        <w:rPr>
          <w:rtl/>
        </w:rPr>
        <w:t>. و</w:t>
      </w:r>
      <w:r w:rsidRPr="00FE4C18">
        <w:rPr>
          <w:rtl/>
        </w:rPr>
        <w:t xml:space="preserve">إذا </w:t>
      </w:r>
      <w:r>
        <w:rPr>
          <w:rtl/>
        </w:rPr>
        <w:t>ك</w:t>
      </w:r>
      <w:r w:rsidRPr="00FE4C18">
        <w:rPr>
          <w:rtl/>
        </w:rPr>
        <w:t xml:space="preserve">ان ربح موضوع </w:t>
      </w:r>
      <w:r>
        <w:rPr>
          <w:rtl/>
        </w:rPr>
        <w:t>ا</w:t>
      </w:r>
      <w:r w:rsidRPr="00FE4C18">
        <w:rPr>
          <w:rtl/>
        </w:rPr>
        <w:t>لصفقة ممنوعاً</w:t>
      </w:r>
      <w:r>
        <w:rPr>
          <w:rtl/>
        </w:rPr>
        <w:t xml:space="preserve"> و</w:t>
      </w:r>
      <w:r w:rsidRPr="00FE4C18">
        <w:rPr>
          <w:rtl/>
        </w:rPr>
        <w:t>غ</w:t>
      </w:r>
      <w:r>
        <w:rPr>
          <w:rtl/>
        </w:rPr>
        <w:t>ي</w:t>
      </w:r>
      <w:r w:rsidRPr="00FE4C18">
        <w:rPr>
          <w:rtl/>
        </w:rPr>
        <w:t xml:space="preserve">ر قانوني </w:t>
      </w:r>
      <w:r>
        <w:rPr>
          <w:rtl/>
        </w:rPr>
        <w:t>يبطل العقد.</w:t>
      </w:r>
      <w:r w:rsidRPr="00FE4C18">
        <w:rPr>
          <w:rtl/>
        </w:rPr>
        <w:t xml:space="preserve"> </w:t>
      </w:r>
    </w:p>
    <w:p w:rsidR="00391A35" w:rsidRPr="00FE4C18" w:rsidRDefault="00391A35" w:rsidP="0067362A">
      <w:pPr>
        <w:pStyle w:val="ac"/>
        <w:spacing w:line="211" w:lineRule="auto"/>
        <w:rPr>
          <w:rtl/>
        </w:rPr>
      </w:pPr>
      <w:r>
        <w:rPr>
          <w:rtl/>
        </w:rPr>
        <w:t>و</w:t>
      </w:r>
      <w:r w:rsidRPr="00FE4C18">
        <w:rPr>
          <w:rtl/>
        </w:rPr>
        <w:t xml:space="preserve">المقصود من </w:t>
      </w:r>
      <w:r>
        <w:rPr>
          <w:rtl/>
        </w:rPr>
        <w:t>ك</w:t>
      </w:r>
      <w:r w:rsidRPr="00FE4C18">
        <w:rPr>
          <w:rtl/>
        </w:rPr>
        <w:t>لمة</w:t>
      </w:r>
      <w:r>
        <w:rPr>
          <w:rtl/>
        </w:rPr>
        <w:t xml:space="preserve"> </w:t>
      </w:r>
      <w:r w:rsidRPr="00FE4C18">
        <w:rPr>
          <w:rtl/>
        </w:rPr>
        <w:t>‌</w:t>
      </w:r>
      <w:r>
        <w:rPr>
          <w:rtl/>
        </w:rPr>
        <w:t>ا</w:t>
      </w:r>
      <w:r w:rsidRPr="00FE4C18">
        <w:rPr>
          <w:rtl/>
        </w:rPr>
        <w:t xml:space="preserve">لمشروع </w:t>
      </w:r>
      <w:r>
        <w:rPr>
          <w:rtl/>
        </w:rPr>
        <w:t>ا</w:t>
      </w:r>
      <w:r w:rsidRPr="00FE4C18">
        <w:rPr>
          <w:rtl/>
        </w:rPr>
        <w:t xml:space="preserve">لتي استعملت في مواد مختلفة من </w:t>
      </w:r>
      <w:r>
        <w:rPr>
          <w:rtl/>
        </w:rPr>
        <w:t>ا</w:t>
      </w:r>
      <w:r w:rsidRPr="00FE4C18">
        <w:rPr>
          <w:rtl/>
        </w:rPr>
        <w:t xml:space="preserve">لقانون </w:t>
      </w:r>
      <w:r>
        <w:rPr>
          <w:rtl/>
        </w:rPr>
        <w:t>ا</w:t>
      </w:r>
      <w:r w:rsidRPr="00FE4C18">
        <w:rPr>
          <w:rtl/>
        </w:rPr>
        <w:t xml:space="preserve">لمدني </w:t>
      </w:r>
      <w:r>
        <w:rPr>
          <w:rtl/>
        </w:rPr>
        <w:t xml:space="preserve">ـ </w:t>
      </w:r>
      <w:r w:rsidRPr="00FE4C18">
        <w:rPr>
          <w:rtl/>
        </w:rPr>
        <w:t xml:space="preserve">طبقاً للمبادئ </w:t>
      </w:r>
      <w:r>
        <w:rPr>
          <w:rtl/>
        </w:rPr>
        <w:t>ا</w:t>
      </w:r>
      <w:r w:rsidRPr="00FE4C18">
        <w:rPr>
          <w:rtl/>
        </w:rPr>
        <w:t xml:space="preserve">لآمرة </w:t>
      </w:r>
      <w:r>
        <w:rPr>
          <w:rtl/>
        </w:rPr>
        <w:t>ـ</w:t>
      </w:r>
      <w:r w:rsidRPr="00FE4C18">
        <w:rPr>
          <w:rtl/>
        </w:rPr>
        <w:t xml:space="preserve"> هي </w:t>
      </w:r>
      <w:r>
        <w:rPr>
          <w:rtl/>
        </w:rPr>
        <w:t>ال</w:t>
      </w:r>
      <w:r w:rsidRPr="00FE4C18">
        <w:rPr>
          <w:rtl/>
        </w:rPr>
        <w:t xml:space="preserve">أعم من </w:t>
      </w:r>
      <w:r>
        <w:rPr>
          <w:rtl/>
        </w:rPr>
        <w:t>ا</w:t>
      </w:r>
      <w:r w:rsidRPr="00FE4C18">
        <w:rPr>
          <w:rtl/>
        </w:rPr>
        <w:t>لقوان</w:t>
      </w:r>
      <w:r>
        <w:rPr>
          <w:rtl/>
        </w:rPr>
        <w:t>ي</w:t>
      </w:r>
      <w:r w:rsidRPr="00FE4C18">
        <w:rPr>
          <w:rtl/>
        </w:rPr>
        <w:t xml:space="preserve">ن </w:t>
      </w:r>
      <w:r>
        <w:rPr>
          <w:rtl/>
        </w:rPr>
        <w:t>ا</w:t>
      </w:r>
      <w:r w:rsidRPr="00FE4C18">
        <w:rPr>
          <w:rtl/>
        </w:rPr>
        <w:t>لموضوعة</w:t>
      </w:r>
      <w:r>
        <w:rPr>
          <w:rtl/>
        </w:rPr>
        <w:t xml:space="preserve"> وا</w:t>
      </w:r>
      <w:r w:rsidRPr="00FE4C18">
        <w:rPr>
          <w:rtl/>
        </w:rPr>
        <w:t>لمواز</w:t>
      </w:r>
      <w:r>
        <w:rPr>
          <w:rtl/>
        </w:rPr>
        <w:t>ي</w:t>
      </w:r>
      <w:r w:rsidRPr="00FE4C18">
        <w:rPr>
          <w:rtl/>
        </w:rPr>
        <w:t xml:space="preserve">ن </w:t>
      </w:r>
      <w:r>
        <w:rPr>
          <w:rtl/>
        </w:rPr>
        <w:t>ا</w:t>
      </w:r>
      <w:r w:rsidRPr="00FE4C18">
        <w:rPr>
          <w:rtl/>
        </w:rPr>
        <w:t>لشرع</w:t>
      </w:r>
      <w:r>
        <w:rPr>
          <w:rtl/>
        </w:rPr>
        <w:t>يّ</w:t>
      </w:r>
      <w:r w:rsidRPr="00FE4C18">
        <w:rPr>
          <w:rtl/>
        </w:rPr>
        <w:t>ة</w:t>
      </w:r>
      <w:r w:rsidRPr="007F5B58">
        <w:rPr>
          <w:rtl/>
        </w:rPr>
        <w:t>،</w:t>
      </w:r>
      <w:r>
        <w:rPr>
          <w:rtl/>
        </w:rPr>
        <w:t xml:space="preserve"> وا</w:t>
      </w:r>
      <w:r w:rsidRPr="00FE4C18">
        <w:rPr>
          <w:rtl/>
        </w:rPr>
        <w:t xml:space="preserve">للامشروع </w:t>
      </w:r>
      <w:r w:rsidRPr="00FE4C18">
        <w:rPr>
          <w:rtl/>
        </w:rPr>
        <w:lastRenderedPageBreak/>
        <w:t xml:space="preserve">هو </w:t>
      </w:r>
      <w:r>
        <w:rPr>
          <w:rtl/>
        </w:rPr>
        <w:t>ا</w:t>
      </w:r>
      <w:r w:rsidRPr="00FE4C18">
        <w:rPr>
          <w:rtl/>
        </w:rPr>
        <w:t>لش</w:t>
      </w:r>
      <w:r>
        <w:rPr>
          <w:rtl/>
        </w:rPr>
        <w:t>يء</w:t>
      </w:r>
      <w:r w:rsidRPr="00FE4C18">
        <w:rPr>
          <w:rtl/>
        </w:rPr>
        <w:t xml:space="preserve"> </w:t>
      </w:r>
      <w:r>
        <w:rPr>
          <w:rtl/>
        </w:rPr>
        <w:t>ا</w:t>
      </w:r>
      <w:r w:rsidRPr="00FE4C18">
        <w:rPr>
          <w:rtl/>
        </w:rPr>
        <w:t xml:space="preserve">لذي </w:t>
      </w:r>
      <w:r>
        <w:rPr>
          <w:rtl/>
        </w:rPr>
        <w:t>ي</w:t>
      </w:r>
      <w:r w:rsidRPr="00FE4C18">
        <w:rPr>
          <w:rtl/>
        </w:rPr>
        <w:t xml:space="preserve">خالف </w:t>
      </w:r>
      <w:r>
        <w:rPr>
          <w:rtl/>
        </w:rPr>
        <w:t>ا</w:t>
      </w:r>
      <w:r w:rsidRPr="00FE4C18">
        <w:rPr>
          <w:rtl/>
        </w:rPr>
        <w:t xml:space="preserve">لمبادئ </w:t>
      </w:r>
      <w:r>
        <w:rPr>
          <w:rtl/>
        </w:rPr>
        <w:t>ا</w:t>
      </w:r>
      <w:r w:rsidRPr="00FE4C18">
        <w:rPr>
          <w:rtl/>
        </w:rPr>
        <w:t xml:space="preserve">لآمرة </w:t>
      </w:r>
      <w:r>
        <w:rPr>
          <w:rtl/>
        </w:rPr>
        <w:t>ا</w:t>
      </w:r>
      <w:r w:rsidRPr="00FE4C18">
        <w:rPr>
          <w:rtl/>
        </w:rPr>
        <w:t xml:space="preserve">لتي أنشأها </w:t>
      </w:r>
      <w:r>
        <w:rPr>
          <w:rtl/>
        </w:rPr>
        <w:t>ا</w:t>
      </w:r>
      <w:r w:rsidRPr="00FE4C18">
        <w:rPr>
          <w:rtl/>
        </w:rPr>
        <w:t xml:space="preserve">لقانون أو </w:t>
      </w:r>
      <w:r>
        <w:rPr>
          <w:rtl/>
        </w:rPr>
        <w:t>ا</w:t>
      </w:r>
      <w:r w:rsidRPr="00FE4C18">
        <w:rPr>
          <w:rtl/>
        </w:rPr>
        <w:t>لشرع</w:t>
      </w:r>
      <w:r w:rsidRPr="00815C4C">
        <w:rPr>
          <w:rFonts w:cs="Taher"/>
          <w:vertAlign w:val="superscript"/>
          <w:rtl/>
        </w:rPr>
        <w:t>(</w:t>
      </w:r>
      <w:r w:rsidRPr="00815C4C">
        <w:rPr>
          <w:rFonts w:cs="Taher"/>
          <w:vertAlign w:val="superscript"/>
          <w:rtl/>
        </w:rPr>
        <w:footnoteReference w:id="899"/>
      </w:r>
      <w:r w:rsidRPr="00815C4C">
        <w:rPr>
          <w:rFonts w:cs="Taher"/>
          <w:vertAlign w:val="superscript"/>
          <w:rtl/>
        </w:rPr>
        <w:t>)</w:t>
      </w:r>
      <w:r w:rsidRPr="00FE4C18">
        <w:rPr>
          <w:rtl/>
        </w:rPr>
        <w:t xml:space="preserve">. </w:t>
      </w:r>
      <w:r>
        <w:rPr>
          <w:rtl/>
        </w:rPr>
        <w:t xml:space="preserve">وعلى </w:t>
      </w:r>
      <w:r w:rsidRPr="00FE4C18">
        <w:rPr>
          <w:rtl/>
        </w:rPr>
        <w:t xml:space="preserve">هذا عندما </w:t>
      </w:r>
      <w:r>
        <w:rPr>
          <w:rtl/>
        </w:rPr>
        <w:t>ي</w:t>
      </w:r>
      <w:r w:rsidRPr="00FE4C18">
        <w:rPr>
          <w:rtl/>
        </w:rPr>
        <w:t xml:space="preserve">منع </w:t>
      </w:r>
      <w:r>
        <w:rPr>
          <w:rtl/>
        </w:rPr>
        <w:t>ا</w:t>
      </w:r>
      <w:r w:rsidRPr="00FE4C18">
        <w:rPr>
          <w:rtl/>
        </w:rPr>
        <w:t xml:space="preserve">لقانون </w:t>
      </w:r>
      <w:r>
        <w:rPr>
          <w:rtl/>
        </w:rPr>
        <w:t>عملاً ما</w:t>
      </w:r>
      <w:r w:rsidRPr="007F5B58">
        <w:rPr>
          <w:rtl/>
        </w:rPr>
        <w:t>،</w:t>
      </w:r>
      <w:r w:rsidRPr="00FE4C18">
        <w:rPr>
          <w:rtl/>
        </w:rPr>
        <w:t xml:space="preserve"> ف</w:t>
      </w:r>
      <w:r>
        <w:rPr>
          <w:rtl/>
        </w:rPr>
        <w:t>إن</w:t>
      </w:r>
      <w:r w:rsidRPr="00FE4C18">
        <w:rPr>
          <w:rtl/>
        </w:rPr>
        <w:t xml:space="preserve"> </w:t>
      </w:r>
      <w:r>
        <w:rPr>
          <w:rtl/>
        </w:rPr>
        <w:t>هذا ي</w:t>
      </w:r>
      <w:r w:rsidRPr="00FE4C18">
        <w:rPr>
          <w:rtl/>
        </w:rPr>
        <w:t xml:space="preserve">عني أنَّ </w:t>
      </w:r>
      <w:r>
        <w:rPr>
          <w:rtl/>
        </w:rPr>
        <w:t>ا</w:t>
      </w:r>
      <w:r w:rsidRPr="00FE4C18">
        <w:rPr>
          <w:rtl/>
        </w:rPr>
        <w:t xml:space="preserve">لعمل لا </w:t>
      </w:r>
      <w:r>
        <w:rPr>
          <w:rtl/>
        </w:rPr>
        <w:t>ي</w:t>
      </w:r>
      <w:r w:rsidRPr="00FE4C18">
        <w:rPr>
          <w:rtl/>
        </w:rPr>
        <w:t>قدر أحد عل</w:t>
      </w:r>
      <w:r>
        <w:rPr>
          <w:rtl/>
        </w:rPr>
        <w:t xml:space="preserve">ى </w:t>
      </w:r>
      <w:r w:rsidRPr="00FE4C18">
        <w:rPr>
          <w:rtl/>
        </w:rPr>
        <w:t>فعله</w:t>
      </w:r>
      <w:r>
        <w:rPr>
          <w:rtl/>
        </w:rPr>
        <w:t>. و</w:t>
      </w:r>
      <w:r w:rsidRPr="00FE4C18">
        <w:rPr>
          <w:rtl/>
        </w:rPr>
        <w:t>ح</w:t>
      </w:r>
      <w:r>
        <w:rPr>
          <w:rtl/>
        </w:rPr>
        <w:t>ي</w:t>
      </w:r>
      <w:r w:rsidRPr="00FE4C18">
        <w:rPr>
          <w:rtl/>
        </w:rPr>
        <w:t>ث</w:t>
      </w:r>
      <w:r>
        <w:rPr>
          <w:rtl/>
        </w:rPr>
        <w:t xml:space="preserve"> إن</w:t>
      </w:r>
      <w:r w:rsidRPr="00FE4C18">
        <w:rPr>
          <w:rtl/>
        </w:rPr>
        <w:t xml:space="preserve"> </w:t>
      </w:r>
      <w:r>
        <w:rPr>
          <w:rtl/>
        </w:rPr>
        <w:t>ك</w:t>
      </w:r>
      <w:r w:rsidRPr="00FE4C18">
        <w:rPr>
          <w:rtl/>
        </w:rPr>
        <w:t>لمة (المشروع) بمعن</w:t>
      </w:r>
      <w:r>
        <w:rPr>
          <w:rtl/>
        </w:rPr>
        <w:t>ى</w:t>
      </w:r>
      <w:r w:rsidRPr="00FE4C18">
        <w:rPr>
          <w:rtl/>
        </w:rPr>
        <w:t xml:space="preserve"> أشمل من </w:t>
      </w:r>
      <w:r>
        <w:rPr>
          <w:rtl/>
        </w:rPr>
        <w:t>ك</w:t>
      </w:r>
      <w:r w:rsidRPr="00FE4C18">
        <w:rPr>
          <w:rtl/>
        </w:rPr>
        <w:t>لمة (القانون)</w:t>
      </w:r>
      <w:r w:rsidRPr="007F5B58">
        <w:rPr>
          <w:rtl/>
        </w:rPr>
        <w:t>،</w:t>
      </w:r>
      <w:r>
        <w:rPr>
          <w:rtl/>
        </w:rPr>
        <w:t xml:space="preserve"> و</w:t>
      </w:r>
      <w:r w:rsidRPr="00FE4C18">
        <w:rPr>
          <w:rtl/>
        </w:rPr>
        <w:t>لها مد</w:t>
      </w:r>
      <w:r>
        <w:rPr>
          <w:rtl/>
        </w:rPr>
        <w:t xml:space="preserve">ى </w:t>
      </w:r>
      <w:r w:rsidRPr="00FE4C18">
        <w:rPr>
          <w:rtl/>
        </w:rPr>
        <w:t>أوسع ب</w:t>
      </w:r>
      <w:r>
        <w:rPr>
          <w:rtl/>
        </w:rPr>
        <w:t>ك</w:t>
      </w:r>
      <w:r w:rsidRPr="00FE4C18">
        <w:rPr>
          <w:rtl/>
        </w:rPr>
        <w:t>ث</w:t>
      </w:r>
      <w:r>
        <w:rPr>
          <w:rtl/>
        </w:rPr>
        <w:t>ي</w:t>
      </w:r>
      <w:r w:rsidRPr="00FE4C18">
        <w:rPr>
          <w:rtl/>
        </w:rPr>
        <w:t>ر</w:t>
      </w:r>
      <w:r w:rsidRPr="007F5B58">
        <w:rPr>
          <w:rtl/>
        </w:rPr>
        <w:t>،</w:t>
      </w:r>
      <w:r w:rsidRPr="00FE4C18">
        <w:rPr>
          <w:rtl/>
        </w:rPr>
        <w:t xml:space="preserve"> فالعمل </w:t>
      </w:r>
      <w:r>
        <w:rPr>
          <w:rtl/>
        </w:rPr>
        <w:t>ا</w:t>
      </w:r>
      <w:r w:rsidRPr="00FE4C18">
        <w:rPr>
          <w:rtl/>
        </w:rPr>
        <w:t xml:space="preserve">للامشروع </w:t>
      </w:r>
      <w:r>
        <w:rPr>
          <w:rtl/>
        </w:rPr>
        <w:t>ي</w:t>
      </w:r>
      <w:r w:rsidRPr="00FE4C18">
        <w:rPr>
          <w:rtl/>
        </w:rPr>
        <w:t>م</w:t>
      </w:r>
      <w:r>
        <w:rPr>
          <w:rtl/>
        </w:rPr>
        <w:t>ك</w:t>
      </w:r>
      <w:r w:rsidRPr="00FE4C18">
        <w:rPr>
          <w:rtl/>
        </w:rPr>
        <w:t xml:space="preserve">ن أن </w:t>
      </w:r>
      <w:r>
        <w:rPr>
          <w:rtl/>
        </w:rPr>
        <w:t>ي</w:t>
      </w:r>
      <w:r w:rsidRPr="00FE4C18">
        <w:rPr>
          <w:rtl/>
        </w:rPr>
        <w:t xml:space="preserve">منعه </w:t>
      </w:r>
      <w:r>
        <w:rPr>
          <w:rtl/>
        </w:rPr>
        <w:t>ا</w:t>
      </w:r>
      <w:r w:rsidRPr="00FE4C18">
        <w:rPr>
          <w:rtl/>
        </w:rPr>
        <w:t xml:space="preserve">لقانون أو </w:t>
      </w:r>
      <w:r>
        <w:rPr>
          <w:rtl/>
        </w:rPr>
        <w:t>ا</w:t>
      </w:r>
      <w:r w:rsidRPr="00FE4C18">
        <w:rPr>
          <w:rtl/>
        </w:rPr>
        <w:t>لأخلاق</w:t>
      </w:r>
      <w:r>
        <w:rPr>
          <w:rtl/>
        </w:rPr>
        <w:t xml:space="preserve"> وا</w:t>
      </w:r>
      <w:r w:rsidRPr="00FE4C18">
        <w:rPr>
          <w:rtl/>
        </w:rPr>
        <w:t xml:space="preserve">لنظم </w:t>
      </w:r>
      <w:r>
        <w:rPr>
          <w:rtl/>
        </w:rPr>
        <w:t>ا</w:t>
      </w:r>
      <w:r w:rsidRPr="00FE4C18">
        <w:rPr>
          <w:rtl/>
        </w:rPr>
        <w:t>لعام</w:t>
      </w:r>
      <w:r>
        <w:rPr>
          <w:rtl/>
        </w:rPr>
        <w:t>.</w:t>
      </w:r>
      <w:r w:rsidRPr="00FE4C18">
        <w:rPr>
          <w:rtl/>
        </w:rPr>
        <w:t xml:space="preserve"> </w:t>
      </w:r>
    </w:p>
    <w:p w:rsidR="00391A35" w:rsidRPr="00FE4C18" w:rsidRDefault="00391A35" w:rsidP="0067362A">
      <w:pPr>
        <w:pStyle w:val="ac"/>
        <w:spacing w:line="199" w:lineRule="auto"/>
        <w:rPr>
          <w:rtl/>
        </w:rPr>
      </w:pPr>
      <w:r w:rsidRPr="00FE4C18">
        <w:rPr>
          <w:rtl/>
        </w:rPr>
        <w:t xml:space="preserve">المادة 975 من </w:t>
      </w:r>
      <w:r>
        <w:rPr>
          <w:rtl/>
        </w:rPr>
        <w:t>ا</w:t>
      </w:r>
      <w:r w:rsidRPr="00FE4C18">
        <w:rPr>
          <w:rtl/>
        </w:rPr>
        <w:t xml:space="preserve">لقانون </w:t>
      </w:r>
      <w:r>
        <w:rPr>
          <w:rtl/>
        </w:rPr>
        <w:t>ا</w:t>
      </w:r>
      <w:r w:rsidRPr="00FE4C18">
        <w:rPr>
          <w:rtl/>
        </w:rPr>
        <w:t xml:space="preserve">لمدني تمنع </w:t>
      </w:r>
      <w:r>
        <w:rPr>
          <w:rtl/>
        </w:rPr>
        <w:t>ا</w:t>
      </w:r>
      <w:r w:rsidRPr="00FE4C18">
        <w:rPr>
          <w:rtl/>
        </w:rPr>
        <w:t>لح</w:t>
      </w:r>
      <w:r>
        <w:rPr>
          <w:rtl/>
        </w:rPr>
        <w:t>ك</w:t>
      </w:r>
      <w:r w:rsidRPr="00FE4C18">
        <w:rPr>
          <w:rtl/>
        </w:rPr>
        <w:t xml:space="preserve">ومة من </w:t>
      </w:r>
      <w:r>
        <w:rPr>
          <w:rtl/>
        </w:rPr>
        <w:t>تـن</w:t>
      </w:r>
      <w:r w:rsidRPr="00FE4C18">
        <w:rPr>
          <w:rtl/>
        </w:rPr>
        <w:t>ف</w:t>
      </w:r>
      <w:r>
        <w:rPr>
          <w:rtl/>
        </w:rPr>
        <w:t>ي</w:t>
      </w:r>
      <w:r w:rsidRPr="00FE4C18">
        <w:rPr>
          <w:rtl/>
        </w:rPr>
        <w:t>ذ اتفاق</w:t>
      </w:r>
      <w:r>
        <w:rPr>
          <w:rtl/>
        </w:rPr>
        <w:t>ي</w:t>
      </w:r>
      <w:r w:rsidRPr="00FE4C18">
        <w:rPr>
          <w:rtl/>
        </w:rPr>
        <w:t>ات</w:t>
      </w:r>
      <w:r w:rsidRPr="007F5B58">
        <w:rPr>
          <w:rtl/>
        </w:rPr>
        <w:t>:</w:t>
      </w:r>
      <w:r w:rsidRPr="00FE4C18">
        <w:rPr>
          <w:rtl/>
        </w:rPr>
        <w:t xml:space="preserve"> «تخالف </w:t>
      </w:r>
      <w:r>
        <w:rPr>
          <w:rtl/>
        </w:rPr>
        <w:t>ا</w:t>
      </w:r>
      <w:r w:rsidRPr="00FE4C18">
        <w:rPr>
          <w:rtl/>
        </w:rPr>
        <w:t xml:space="preserve">لأخلاق </w:t>
      </w:r>
      <w:r>
        <w:rPr>
          <w:rtl/>
        </w:rPr>
        <w:t>ا</w:t>
      </w:r>
      <w:r w:rsidRPr="00FE4C18">
        <w:rPr>
          <w:rtl/>
        </w:rPr>
        <w:t>لحسنة</w:t>
      </w:r>
      <w:r>
        <w:rPr>
          <w:rFonts w:hint="cs"/>
          <w:rtl/>
        </w:rPr>
        <w:t>،</w:t>
      </w:r>
      <w:r w:rsidRPr="00FE4C18">
        <w:rPr>
          <w:rtl/>
        </w:rPr>
        <w:t xml:space="preserve"> أو </w:t>
      </w:r>
      <w:r>
        <w:rPr>
          <w:rtl/>
        </w:rPr>
        <w:t>ت</w:t>
      </w:r>
      <w:r w:rsidRPr="00FE4C18">
        <w:rPr>
          <w:rtl/>
        </w:rPr>
        <w:t>سب</w:t>
      </w:r>
      <w:r>
        <w:rPr>
          <w:rtl/>
        </w:rPr>
        <w:t>ِّ</w:t>
      </w:r>
      <w:r w:rsidRPr="00FE4C18">
        <w:rPr>
          <w:rtl/>
        </w:rPr>
        <w:t>ب تجر</w:t>
      </w:r>
      <w:r>
        <w:rPr>
          <w:rtl/>
        </w:rPr>
        <w:t>ي</w:t>
      </w:r>
      <w:r w:rsidRPr="00FE4C18">
        <w:rPr>
          <w:rtl/>
        </w:rPr>
        <w:t>ح أحاس</w:t>
      </w:r>
      <w:r>
        <w:rPr>
          <w:rtl/>
        </w:rPr>
        <w:t>ي</w:t>
      </w:r>
      <w:r w:rsidRPr="00FE4C18">
        <w:rPr>
          <w:rtl/>
        </w:rPr>
        <w:t xml:space="preserve">س </w:t>
      </w:r>
      <w:r>
        <w:rPr>
          <w:rtl/>
        </w:rPr>
        <w:t>ا</w:t>
      </w:r>
      <w:r w:rsidRPr="00FE4C18">
        <w:rPr>
          <w:rtl/>
        </w:rPr>
        <w:t>لمجتمع</w:t>
      </w:r>
      <w:r w:rsidRPr="007F5B58">
        <w:rPr>
          <w:rtl/>
        </w:rPr>
        <w:t>،</w:t>
      </w:r>
      <w:r w:rsidRPr="00FE4C18">
        <w:rPr>
          <w:rtl/>
        </w:rPr>
        <w:t xml:space="preserve"> أو أي </w:t>
      </w:r>
      <w:r>
        <w:rPr>
          <w:rtl/>
        </w:rPr>
        <w:t>حكم</w:t>
      </w:r>
      <w:r w:rsidRPr="00FE4C18">
        <w:rPr>
          <w:rtl/>
        </w:rPr>
        <w:t xml:space="preserve"> آخر </w:t>
      </w:r>
      <w:r>
        <w:rPr>
          <w:rtl/>
        </w:rPr>
        <w:t>ي</w:t>
      </w:r>
      <w:r w:rsidRPr="00FE4C18">
        <w:rPr>
          <w:rtl/>
        </w:rPr>
        <w:t>عتبر مخالفا</w:t>
      </w:r>
      <w:r>
        <w:rPr>
          <w:rtl/>
        </w:rPr>
        <w:t>ً</w:t>
      </w:r>
      <w:r w:rsidRPr="00FE4C18">
        <w:rPr>
          <w:rtl/>
        </w:rPr>
        <w:t xml:space="preserve"> للنظم </w:t>
      </w:r>
      <w:r>
        <w:rPr>
          <w:rtl/>
        </w:rPr>
        <w:t>ا</w:t>
      </w:r>
      <w:r w:rsidRPr="00FE4C18">
        <w:rPr>
          <w:rtl/>
        </w:rPr>
        <w:t>لعام»</w:t>
      </w:r>
      <w:r w:rsidRPr="007F5B58">
        <w:rPr>
          <w:rtl/>
        </w:rPr>
        <w:t>،</w:t>
      </w:r>
      <w:r w:rsidRPr="00FE4C18">
        <w:rPr>
          <w:rtl/>
        </w:rPr>
        <w:t xml:space="preserve"> وهذا </w:t>
      </w:r>
      <w:r>
        <w:rPr>
          <w:rtl/>
        </w:rPr>
        <w:t>ا</w:t>
      </w:r>
      <w:r w:rsidRPr="00FE4C18">
        <w:rPr>
          <w:rtl/>
        </w:rPr>
        <w:t>لح</w:t>
      </w:r>
      <w:r>
        <w:rPr>
          <w:rtl/>
        </w:rPr>
        <w:t>ك</w:t>
      </w:r>
      <w:r w:rsidRPr="00FE4C18">
        <w:rPr>
          <w:rtl/>
        </w:rPr>
        <w:t xml:space="preserve">م </w:t>
      </w:r>
      <w:r>
        <w:rPr>
          <w:rtl/>
        </w:rPr>
        <w:t>ي</w:t>
      </w:r>
      <w:r w:rsidRPr="00FE4C18">
        <w:rPr>
          <w:rtl/>
        </w:rPr>
        <w:t>ؤ</w:t>
      </w:r>
      <w:r>
        <w:rPr>
          <w:rtl/>
        </w:rPr>
        <w:t>ك</w:t>
      </w:r>
      <w:r w:rsidRPr="00FE4C18">
        <w:rPr>
          <w:rtl/>
        </w:rPr>
        <w:t>د عل</w:t>
      </w:r>
      <w:r>
        <w:rPr>
          <w:rtl/>
        </w:rPr>
        <w:t xml:space="preserve">ى </w:t>
      </w:r>
      <w:r w:rsidRPr="00FE4C18">
        <w:rPr>
          <w:rtl/>
        </w:rPr>
        <w:t xml:space="preserve">بطلان </w:t>
      </w:r>
      <w:r>
        <w:rPr>
          <w:rtl/>
        </w:rPr>
        <w:t>ا</w:t>
      </w:r>
      <w:r w:rsidRPr="00FE4C18">
        <w:rPr>
          <w:rtl/>
        </w:rPr>
        <w:t>تفاق</w:t>
      </w:r>
      <w:r>
        <w:rPr>
          <w:rtl/>
        </w:rPr>
        <w:t>ي</w:t>
      </w:r>
      <w:r w:rsidRPr="00FE4C18">
        <w:rPr>
          <w:rtl/>
        </w:rPr>
        <w:t xml:space="preserve">ات </w:t>
      </w:r>
      <w:r>
        <w:rPr>
          <w:rtl/>
        </w:rPr>
        <w:t>ك</w:t>
      </w:r>
      <w:r w:rsidRPr="00FE4C18">
        <w:rPr>
          <w:rtl/>
        </w:rPr>
        <w:t>هذه</w:t>
      </w:r>
      <w:r w:rsidRPr="00815C4C">
        <w:rPr>
          <w:rFonts w:cs="Taher"/>
          <w:vertAlign w:val="superscript"/>
          <w:rtl/>
        </w:rPr>
        <w:t>(</w:t>
      </w:r>
      <w:r w:rsidRPr="00815C4C">
        <w:rPr>
          <w:rFonts w:cs="Taher"/>
          <w:vertAlign w:val="superscript"/>
          <w:rtl/>
        </w:rPr>
        <w:footnoteReference w:id="900"/>
      </w:r>
      <w:r w:rsidRPr="00815C4C">
        <w:rPr>
          <w:rFonts w:cs="Taher"/>
          <w:vertAlign w:val="superscript"/>
          <w:rtl/>
        </w:rPr>
        <w:t>)</w:t>
      </w:r>
      <w:r>
        <w:rPr>
          <w:rtl/>
        </w:rPr>
        <w:t>.</w:t>
      </w:r>
    </w:p>
    <w:p w:rsidR="00391A35" w:rsidRPr="00FE4C18" w:rsidRDefault="0067362A" w:rsidP="0067362A">
      <w:pPr>
        <w:pStyle w:val="ac"/>
        <w:spacing w:line="199" w:lineRule="auto"/>
        <w:rPr>
          <w:rtl/>
        </w:rPr>
      </w:pPr>
      <w:r>
        <w:rPr>
          <w:rtl/>
        </w:rPr>
        <w:t>و</w:t>
      </w:r>
      <w:r w:rsidR="00391A35" w:rsidRPr="00FE4C18">
        <w:rPr>
          <w:rtl/>
        </w:rPr>
        <w:t xml:space="preserve">بسبب عدم </w:t>
      </w:r>
      <w:r w:rsidR="00391A35">
        <w:rPr>
          <w:rtl/>
        </w:rPr>
        <w:t>الموافقة</w:t>
      </w:r>
      <w:r w:rsidR="00391A35" w:rsidRPr="00FE4C18">
        <w:rPr>
          <w:rtl/>
        </w:rPr>
        <w:t xml:space="preserve"> عل</w:t>
      </w:r>
      <w:r w:rsidR="00391A35">
        <w:rPr>
          <w:rtl/>
        </w:rPr>
        <w:t xml:space="preserve">ى </w:t>
      </w:r>
      <w:r w:rsidR="00391A35" w:rsidRPr="00FE4C18">
        <w:rPr>
          <w:rtl/>
        </w:rPr>
        <w:t xml:space="preserve">قانون </w:t>
      </w:r>
      <w:r w:rsidR="00391A35">
        <w:rPr>
          <w:rtl/>
        </w:rPr>
        <w:t>ي</w:t>
      </w:r>
      <w:r w:rsidR="00391A35" w:rsidRPr="00FE4C18">
        <w:rPr>
          <w:rtl/>
        </w:rPr>
        <w:t>خص حقوق إ</w:t>
      </w:r>
      <w:r w:rsidR="00391A35">
        <w:rPr>
          <w:rtl/>
        </w:rPr>
        <w:t>ي</w:t>
      </w:r>
      <w:r w:rsidR="00391A35" w:rsidRPr="00FE4C18">
        <w:rPr>
          <w:rtl/>
        </w:rPr>
        <w:t xml:space="preserve">ران </w:t>
      </w:r>
      <w:r w:rsidR="00391A35">
        <w:rPr>
          <w:rtl/>
        </w:rPr>
        <w:t>ا</w:t>
      </w:r>
      <w:r w:rsidR="00391A35" w:rsidRPr="00FE4C18">
        <w:rPr>
          <w:rtl/>
        </w:rPr>
        <w:t xml:space="preserve">لموضوعة حول </w:t>
      </w:r>
      <w:r w:rsidR="00391A35">
        <w:rPr>
          <w:rFonts w:hint="cs"/>
          <w:rtl/>
        </w:rPr>
        <w:t>ا</w:t>
      </w:r>
      <w:r w:rsidR="00391A35" w:rsidRPr="00FE4C18">
        <w:rPr>
          <w:rtl/>
        </w:rPr>
        <w:t>تفاق</w:t>
      </w:r>
      <w:r w:rsidR="00391A35">
        <w:rPr>
          <w:rtl/>
        </w:rPr>
        <w:t>ي</w:t>
      </w:r>
      <w:r w:rsidR="00391A35" w:rsidRPr="00FE4C18">
        <w:rPr>
          <w:rtl/>
        </w:rPr>
        <w:t xml:space="preserve">ة استخدام رحم </w:t>
      </w:r>
      <w:r w:rsidR="00391A35">
        <w:rPr>
          <w:rtl/>
        </w:rPr>
        <w:t>ا</w:t>
      </w:r>
      <w:r w:rsidR="00391A35" w:rsidRPr="00FE4C18">
        <w:rPr>
          <w:rtl/>
        </w:rPr>
        <w:t>لمرأة حت</w:t>
      </w:r>
      <w:r w:rsidR="00391A35">
        <w:rPr>
          <w:rtl/>
        </w:rPr>
        <w:t>ى ا</w:t>
      </w:r>
      <w:r w:rsidR="00391A35" w:rsidRPr="00FE4C18">
        <w:rPr>
          <w:rtl/>
        </w:rPr>
        <w:t>لآن تستط</w:t>
      </w:r>
      <w:r w:rsidR="00391A35">
        <w:rPr>
          <w:rtl/>
        </w:rPr>
        <w:t>ي</w:t>
      </w:r>
      <w:r w:rsidR="00391A35" w:rsidRPr="00FE4C18">
        <w:rPr>
          <w:rtl/>
        </w:rPr>
        <w:t xml:space="preserve">ع </w:t>
      </w:r>
      <w:r w:rsidR="00391A35">
        <w:rPr>
          <w:rtl/>
        </w:rPr>
        <w:t>ا</w:t>
      </w:r>
      <w:r w:rsidR="00391A35" w:rsidRPr="00FE4C18">
        <w:rPr>
          <w:rtl/>
        </w:rPr>
        <w:t xml:space="preserve">لمصادر </w:t>
      </w:r>
      <w:r w:rsidR="00391A35">
        <w:rPr>
          <w:rtl/>
        </w:rPr>
        <w:t>ا</w:t>
      </w:r>
      <w:r w:rsidR="00391A35" w:rsidRPr="00FE4C18">
        <w:rPr>
          <w:rtl/>
        </w:rPr>
        <w:t xml:space="preserve">لخارجة عن </w:t>
      </w:r>
      <w:r w:rsidR="00391A35">
        <w:rPr>
          <w:rtl/>
        </w:rPr>
        <w:t>ا</w:t>
      </w:r>
      <w:r w:rsidR="00391A35" w:rsidRPr="00FE4C18">
        <w:rPr>
          <w:rtl/>
        </w:rPr>
        <w:t>لقانون</w:t>
      </w:r>
      <w:r w:rsidR="00391A35" w:rsidRPr="007F5B58">
        <w:rPr>
          <w:rtl/>
        </w:rPr>
        <w:t>،</w:t>
      </w:r>
      <w:r w:rsidR="00391A35" w:rsidRPr="00FE4C18">
        <w:rPr>
          <w:rtl/>
        </w:rPr>
        <w:t xml:space="preserve"> </w:t>
      </w:r>
      <w:r w:rsidR="00391A35">
        <w:rPr>
          <w:rtl/>
        </w:rPr>
        <w:t>ك</w:t>
      </w:r>
      <w:r w:rsidR="00391A35" w:rsidRPr="00FE4C18">
        <w:rPr>
          <w:rtl/>
        </w:rPr>
        <w:t>الأخلاق</w:t>
      </w:r>
      <w:r w:rsidR="00391A35" w:rsidRPr="007F5B58">
        <w:rPr>
          <w:rtl/>
        </w:rPr>
        <w:t>،</w:t>
      </w:r>
      <w:r w:rsidR="00391A35" w:rsidRPr="00FE4C18">
        <w:rPr>
          <w:rtl/>
        </w:rPr>
        <w:t xml:space="preserve"> و</w:t>
      </w:r>
      <w:r w:rsidR="00391A35">
        <w:rPr>
          <w:rtl/>
        </w:rPr>
        <w:t>ا</w:t>
      </w:r>
      <w:r w:rsidR="00391A35" w:rsidRPr="00FE4C18">
        <w:rPr>
          <w:rtl/>
        </w:rPr>
        <w:t xml:space="preserve">لنظم </w:t>
      </w:r>
      <w:r w:rsidR="00391A35">
        <w:rPr>
          <w:rtl/>
        </w:rPr>
        <w:t>ا</w:t>
      </w:r>
      <w:r w:rsidR="00391A35" w:rsidRPr="00FE4C18">
        <w:rPr>
          <w:rtl/>
        </w:rPr>
        <w:t>لعام</w:t>
      </w:r>
      <w:r w:rsidR="00391A35" w:rsidRPr="007F5B58">
        <w:rPr>
          <w:rtl/>
        </w:rPr>
        <w:t>،</w:t>
      </w:r>
      <w:r w:rsidR="00391A35">
        <w:rPr>
          <w:rtl/>
        </w:rPr>
        <w:t xml:space="preserve"> وك</w:t>
      </w:r>
      <w:r w:rsidR="00391A35" w:rsidRPr="00FE4C18">
        <w:rPr>
          <w:rtl/>
        </w:rPr>
        <w:t>ذل</w:t>
      </w:r>
      <w:r w:rsidR="00391A35">
        <w:rPr>
          <w:rtl/>
        </w:rPr>
        <w:t>ك</w:t>
      </w:r>
      <w:r w:rsidR="00391A35" w:rsidRPr="00FE4C18">
        <w:rPr>
          <w:rtl/>
        </w:rPr>
        <w:t xml:space="preserve"> </w:t>
      </w:r>
      <w:r w:rsidR="00391A35">
        <w:rPr>
          <w:rtl/>
        </w:rPr>
        <w:t>ا</w:t>
      </w:r>
      <w:r w:rsidR="00391A35" w:rsidRPr="00FE4C18">
        <w:rPr>
          <w:rtl/>
        </w:rPr>
        <w:t>لمعتقدات</w:t>
      </w:r>
      <w:r w:rsidR="00391A35">
        <w:rPr>
          <w:rtl/>
        </w:rPr>
        <w:t xml:space="preserve"> وا</w:t>
      </w:r>
      <w:r w:rsidR="00391A35" w:rsidRPr="00FE4C18">
        <w:rPr>
          <w:rtl/>
        </w:rPr>
        <w:t>لتعال</w:t>
      </w:r>
      <w:r w:rsidR="00391A35">
        <w:rPr>
          <w:rtl/>
        </w:rPr>
        <w:t>ي</w:t>
      </w:r>
      <w:r w:rsidR="00391A35" w:rsidRPr="00FE4C18">
        <w:rPr>
          <w:rtl/>
        </w:rPr>
        <w:t xml:space="preserve">م </w:t>
      </w:r>
      <w:r w:rsidR="00391A35">
        <w:rPr>
          <w:rtl/>
        </w:rPr>
        <w:t>ا</w:t>
      </w:r>
      <w:r w:rsidR="00391A35" w:rsidRPr="00FE4C18">
        <w:rPr>
          <w:rtl/>
        </w:rPr>
        <w:t>لد</w:t>
      </w:r>
      <w:r w:rsidR="00391A35">
        <w:rPr>
          <w:rtl/>
        </w:rPr>
        <w:t>ي</w:t>
      </w:r>
      <w:r w:rsidR="00391A35" w:rsidRPr="00FE4C18">
        <w:rPr>
          <w:rtl/>
        </w:rPr>
        <w:t>ن</w:t>
      </w:r>
      <w:r w:rsidR="00391A35">
        <w:rPr>
          <w:rtl/>
        </w:rPr>
        <w:t>يّ</w:t>
      </w:r>
      <w:r w:rsidR="00391A35" w:rsidRPr="00FE4C18">
        <w:rPr>
          <w:rtl/>
        </w:rPr>
        <w:t>ة</w:t>
      </w:r>
      <w:r w:rsidR="00391A35" w:rsidRPr="007F5B58">
        <w:rPr>
          <w:rtl/>
        </w:rPr>
        <w:t>،</w:t>
      </w:r>
      <w:r w:rsidR="00391A35" w:rsidRPr="00FE4C18">
        <w:rPr>
          <w:rtl/>
        </w:rPr>
        <w:t xml:space="preserve"> أن تؤخذ </w:t>
      </w:r>
      <w:r w:rsidR="00391A35">
        <w:rPr>
          <w:rtl/>
        </w:rPr>
        <w:t>ك</w:t>
      </w:r>
      <w:r w:rsidR="00391A35" w:rsidRPr="00FE4C18">
        <w:rPr>
          <w:rtl/>
        </w:rPr>
        <w:t>أساس لمشروع</w:t>
      </w:r>
      <w:r w:rsidR="00391A35">
        <w:rPr>
          <w:rtl/>
        </w:rPr>
        <w:t>ي</w:t>
      </w:r>
      <w:r w:rsidR="00391A35">
        <w:rPr>
          <w:rFonts w:hint="cs"/>
          <w:rtl/>
        </w:rPr>
        <w:t>ة</w:t>
      </w:r>
      <w:r w:rsidR="00391A35" w:rsidRPr="00FE4C18">
        <w:rPr>
          <w:rtl/>
        </w:rPr>
        <w:t xml:space="preserve"> بعض </w:t>
      </w:r>
      <w:r w:rsidR="00391A35">
        <w:rPr>
          <w:rtl/>
        </w:rPr>
        <w:t>ا</w:t>
      </w:r>
      <w:r w:rsidR="00391A35" w:rsidRPr="00FE4C18">
        <w:rPr>
          <w:rtl/>
        </w:rPr>
        <w:t>لقرارات</w:t>
      </w:r>
      <w:r w:rsidR="00391A35">
        <w:rPr>
          <w:rtl/>
        </w:rPr>
        <w:t>.</w:t>
      </w:r>
      <w:r w:rsidR="00391A35" w:rsidRPr="00FE4C18">
        <w:rPr>
          <w:rtl/>
        </w:rPr>
        <w:t xml:space="preserve"> وعل</w:t>
      </w:r>
      <w:r w:rsidR="00391A35">
        <w:rPr>
          <w:rtl/>
        </w:rPr>
        <w:t xml:space="preserve">ى </w:t>
      </w:r>
      <w:r w:rsidR="00391A35" w:rsidRPr="00FE4C18">
        <w:rPr>
          <w:rtl/>
        </w:rPr>
        <w:t xml:space="preserve">أساس أصل 167 من </w:t>
      </w:r>
      <w:r w:rsidR="00391A35">
        <w:rPr>
          <w:rtl/>
        </w:rPr>
        <w:t>ا</w:t>
      </w:r>
      <w:r w:rsidR="00391A35" w:rsidRPr="00FE4C18">
        <w:rPr>
          <w:rtl/>
        </w:rPr>
        <w:t xml:space="preserve">لدستور عندما </w:t>
      </w:r>
      <w:r w:rsidR="00391A35">
        <w:rPr>
          <w:rtl/>
        </w:rPr>
        <w:t>ي</w:t>
      </w:r>
      <w:r w:rsidR="00391A35" w:rsidRPr="00FE4C18">
        <w:rPr>
          <w:rtl/>
        </w:rPr>
        <w:t>س</w:t>
      </w:r>
      <w:r w:rsidR="00391A35">
        <w:rPr>
          <w:rtl/>
        </w:rPr>
        <w:t>ك</w:t>
      </w:r>
      <w:r w:rsidR="00391A35" w:rsidRPr="00FE4C18">
        <w:rPr>
          <w:rtl/>
        </w:rPr>
        <w:t xml:space="preserve">ت </w:t>
      </w:r>
      <w:r w:rsidR="00391A35">
        <w:rPr>
          <w:rtl/>
        </w:rPr>
        <w:t>ا</w:t>
      </w:r>
      <w:r w:rsidR="00391A35" w:rsidRPr="00FE4C18">
        <w:rPr>
          <w:rtl/>
        </w:rPr>
        <w:t xml:space="preserve">لقانون في موضوع </w:t>
      </w:r>
      <w:r w:rsidR="00391A35">
        <w:rPr>
          <w:rtl/>
        </w:rPr>
        <w:t>ي</w:t>
      </w:r>
      <w:r w:rsidR="00391A35" w:rsidRPr="00FE4C18">
        <w:rPr>
          <w:rtl/>
        </w:rPr>
        <w:t xml:space="preserve">جب </w:t>
      </w:r>
      <w:r w:rsidR="00391A35">
        <w:rPr>
          <w:rtl/>
        </w:rPr>
        <w:t>ا</w:t>
      </w:r>
      <w:r w:rsidR="00391A35" w:rsidRPr="00FE4C18">
        <w:rPr>
          <w:rtl/>
        </w:rPr>
        <w:t>لرجوع إل</w:t>
      </w:r>
      <w:r w:rsidR="00391A35">
        <w:rPr>
          <w:rtl/>
        </w:rPr>
        <w:t>ى ا</w:t>
      </w:r>
      <w:r w:rsidR="00391A35" w:rsidRPr="00FE4C18">
        <w:rPr>
          <w:rtl/>
        </w:rPr>
        <w:t xml:space="preserve">لمصادر </w:t>
      </w:r>
      <w:r w:rsidR="00391A35">
        <w:rPr>
          <w:rtl/>
        </w:rPr>
        <w:t>ا</w:t>
      </w:r>
      <w:r w:rsidR="00391A35" w:rsidRPr="00FE4C18">
        <w:rPr>
          <w:rtl/>
        </w:rPr>
        <w:t>ل</w:t>
      </w:r>
      <w:r w:rsidR="00391A35">
        <w:rPr>
          <w:rtl/>
        </w:rPr>
        <w:t>إ</w:t>
      </w:r>
      <w:r w:rsidR="00391A35" w:rsidRPr="00FE4C18">
        <w:rPr>
          <w:rtl/>
        </w:rPr>
        <w:t>سلام</w:t>
      </w:r>
      <w:r w:rsidR="00391A35">
        <w:rPr>
          <w:rtl/>
        </w:rPr>
        <w:t>يّ</w:t>
      </w:r>
      <w:r w:rsidR="00391A35" w:rsidRPr="00FE4C18">
        <w:rPr>
          <w:rtl/>
        </w:rPr>
        <w:t xml:space="preserve">ة أو </w:t>
      </w:r>
      <w:r w:rsidR="00391A35">
        <w:rPr>
          <w:rtl/>
        </w:rPr>
        <w:t>ا</w:t>
      </w:r>
      <w:r w:rsidR="00391A35" w:rsidRPr="00FE4C18">
        <w:rPr>
          <w:rtl/>
        </w:rPr>
        <w:t>لفتاو</w:t>
      </w:r>
      <w:r w:rsidR="00391A35">
        <w:rPr>
          <w:rtl/>
        </w:rPr>
        <w:t>ى</w:t>
      </w:r>
      <w:r w:rsidR="00391A35" w:rsidRPr="00FE4C18">
        <w:rPr>
          <w:rtl/>
        </w:rPr>
        <w:t xml:space="preserve"> </w:t>
      </w:r>
      <w:r w:rsidR="00391A35">
        <w:rPr>
          <w:rtl/>
        </w:rPr>
        <w:t>ا</w:t>
      </w:r>
      <w:r w:rsidR="00391A35" w:rsidRPr="00FE4C18">
        <w:rPr>
          <w:rtl/>
        </w:rPr>
        <w:t>لمعتبرة لتوض</w:t>
      </w:r>
      <w:r w:rsidR="00391A35">
        <w:rPr>
          <w:rtl/>
        </w:rPr>
        <w:t>ي</w:t>
      </w:r>
      <w:r w:rsidR="00391A35" w:rsidRPr="00FE4C18">
        <w:rPr>
          <w:rtl/>
        </w:rPr>
        <w:t>ح ح</w:t>
      </w:r>
      <w:r w:rsidR="00391A35">
        <w:rPr>
          <w:rtl/>
        </w:rPr>
        <w:t>ك</w:t>
      </w:r>
      <w:r w:rsidR="00391A35" w:rsidRPr="00FE4C18">
        <w:rPr>
          <w:rtl/>
        </w:rPr>
        <w:t xml:space="preserve">م </w:t>
      </w:r>
      <w:r w:rsidR="00391A35">
        <w:rPr>
          <w:rtl/>
        </w:rPr>
        <w:t>ا</w:t>
      </w:r>
      <w:r w:rsidR="00391A35" w:rsidRPr="00FE4C18">
        <w:rPr>
          <w:rtl/>
        </w:rPr>
        <w:t>لموضوع</w:t>
      </w:r>
      <w:r w:rsidR="00391A35">
        <w:rPr>
          <w:rtl/>
        </w:rPr>
        <w:t>.</w:t>
      </w:r>
      <w:r w:rsidR="00391A35" w:rsidRPr="00FE4C18">
        <w:rPr>
          <w:rtl/>
        </w:rPr>
        <w:t xml:space="preserve"> </w:t>
      </w:r>
    </w:p>
    <w:p w:rsidR="00391A35" w:rsidRDefault="00391A35" w:rsidP="00391A35">
      <w:pPr>
        <w:pStyle w:val="ac"/>
        <w:rPr>
          <w:rtl/>
        </w:rPr>
      </w:pPr>
      <w:r>
        <w:rPr>
          <w:rtl/>
        </w:rPr>
        <w:t>وعليه فإنه لأجل عقد</w:t>
      </w:r>
      <w:r w:rsidRPr="00FE4C18">
        <w:rPr>
          <w:rtl/>
        </w:rPr>
        <w:t xml:space="preserve"> هذ</w:t>
      </w:r>
      <w:r>
        <w:rPr>
          <w:rtl/>
        </w:rPr>
        <w:t>ه</w:t>
      </w:r>
      <w:r w:rsidRPr="00FE4C18">
        <w:rPr>
          <w:rtl/>
        </w:rPr>
        <w:t xml:space="preserve"> </w:t>
      </w:r>
      <w:r>
        <w:rPr>
          <w:rtl/>
        </w:rPr>
        <w:t>ا</w:t>
      </w:r>
      <w:r w:rsidRPr="00FE4C18">
        <w:rPr>
          <w:rtl/>
        </w:rPr>
        <w:t>لاتفاق</w:t>
      </w:r>
      <w:r>
        <w:rPr>
          <w:rtl/>
        </w:rPr>
        <w:t>ي</w:t>
      </w:r>
      <w:r w:rsidRPr="00FE4C18">
        <w:rPr>
          <w:rtl/>
        </w:rPr>
        <w:t xml:space="preserve">ة </w:t>
      </w:r>
      <w:r>
        <w:rPr>
          <w:rtl/>
        </w:rPr>
        <w:t xml:space="preserve">ـ </w:t>
      </w:r>
      <w:r w:rsidRPr="00FE4C18">
        <w:rPr>
          <w:rtl/>
        </w:rPr>
        <w:t xml:space="preserve">التي تعتبر من </w:t>
      </w:r>
      <w:r>
        <w:rPr>
          <w:rtl/>
        </w:rPr>
        <w:t>ا</w:t>
      </w:r>
      <w:r w:rsidRPr="00FE4C18">
        <w:rPr>
          <w:rtl/>
        </w:rPr>
        <w:t xml:space="preserve">لموضوعات </w:t>
      </w:r>
      <w:r>
        <w:rPr>
          <w:rtl/>
        </w:rPr>
        <w:t>ا</w:t>
      </w:r>
      <w:r w:rsidRPr="00FE4C18">
        <w:rPr>
          <w:rtl/>
        </w:rPr>
        <w:t>لمستحدثة</w:t>
      </w:r>
      <w:r w:rsidRPr="007F5B58">
        <w:rPr>
          <w:rtl/>
        </w:rPr>
        <w:t>،</w:t>
      </w:r>
      <w:r>
        <w:rPr>
          <w:rtl/>
        </w:rPr>
        <w:t xml:space="preserve"> و</w:t>
      </w:r>
      <w:r w:rsidRPr="00FE4C18">
        <w:rPr>
          <w:rtl/>
        </w:rPr>
        <w:t>ل</w:t>
      </w:r>
      <w:r>
        <w:rPr>
          <w:rtl/>
        </w:rPr>
        <w:t>ي</w:t>
      </w:r>
      <w:r w:rsidRPr="00FE4C18">
        <w:rPr>
          <w:rtl/>
        </w:rPr>
        <w:t xml:space="preserve">س لها قانون </w:t>
      </w:r>
      <w:r>
        <w:rPr>
          <w:rtl/>
        </w:rPr>
        <w:t>ـ</w:t>
      </w:r>
      <w:r w:rsidRPr="00FE4C18">
        <w:rPr>
          <w:rtl/>
        </w:rPr>
        <w:t xml:space="preserve"> </w:t>
      </w:r>
      <w:r>
        <w:rPr>
          <w:rtl/>
        </w:rPr>
        <w:t>ي</w:t>
      </w:r>
      <w:r w:rsidRPr="00FE4C18">
        <w:rPr>
          <w:rtl/>
        </w:rPr>
        <w:t xml:space="preserve">جب </w:t>
      </w:r>
      <w:r>
        <w:rPr>
          <w:rtl/>
        </w:rPr>
        <w:t>ا</w:t>
      </w:r>
      <w:r w:rsidRPr="00FE4C18">
        <w:rPr>
          <w:rtl/>
        </w:rPr>
        <w:t>لتمس</w:t>
      </w:r>
      <w:r>
        <w:rPr>
          <w:rtl/>
        </w:rPr>
        <w:t>ك</w:t>
      </w:r>
      <w:r w:rsidRPr="00FE4C18">
        <w:rPr>
          <w:rtl/>
        </w:rPr>
        <w:t xml:space="preserve"> </w:t>
      </w:r>
      <w:r>
        <w:rPr>
          <w:rtl/>
        </w:rPr>
        <w:t>ب</w:t>
      </w:r>
      <w:r w:rsidRPr="00FE4C18">
        <w:rPr>
          <w:rtl/>
        </w:rPr>
        <w:t xml:space="preserve">آراء </w:t>
      </w:r>
      <w:r>
        <w:rPr>
          <w:rtl/>
        </w:rPr>
        <w:t>ا</w:t>
      </w:r>
      <w:r w:rsidRPr="00FE4C18">
        <w:rPr>
          <w:rtl/>
        </w:rPr>
        <w:t>لفقهاء</w:t>
      </w:r>
      <w:r w:rsidRPr="007F5B58">
        <w:rPr>
          <w:rtl/>
        </w:rPr>
        <w:t>:</w:t>
      </w:r>
      <w:r w:rsidRPr="00FE4C18">
        <w:rPr>
          <w:rtl/>
        </w:rPr>
        <w:t xml:space="preserve"> </w:t>
      </w:r>
    </w:p>
    <w:p w:rsidR="00391A35" w:rsidRPr="0067362A" w:rsidRDefault="00391A35" w:rsidP="0067362A">
      <w:pPr>
        <w:pStyle w:val="afffffc"/>
        <w:rPr>
          <w:sz w:val="18"/>
          <w:szCs w:val="16"/>
          <w:rtl/>
        </w:rPr>
      </w:pPr>
    </w:p>
    <w:p w:rsidR="00391A35" w:rsidRDefault="00391A35" w:rsidP="00F834C2">
      <w:pPr>
        <w:pStyle w:val="1"/>
        <w:rPr>
          <w:rtl/>
        </w:rPr>
      </w:pPr>
      <w:bookmarkStart w:id="490" w:name="_Toc275128197"/>
      <w:r w:rsidRPr="00FE4C18">
        <w:rPr>
          <w:rtl/>
        </w:rPr>
        <w:t xml:space="preserve">حالة </w:t>
      </w:r>
      <w:r>
        <w:rPr>
          <w:rtl/>
        </w:rPr>
        <w:t>ا</w:t>
      </w:r>
      <w:r w:rsidRPr="00FE4C18">
        <w:rPr>
          <w:rtl/>
        </w:rPr>
        <w:t>لاتفاق</w:t>
      </w:r>
      <w:r>
        <w:rPr>
          <w:rtl/>
        </w:rPr>
        <w:t>ي</w:t>
      </w:r>
      <w:r w:rsidRPr="00FE4C18">
        <w:rPr>
          <w:rtl/>
        </w:rPr>
        <w:t xml:space="preserve">ة في </w:t>
      </w:r>
      <w:r>
        <w:rPr>
          <w:rtl/>
        </w:rPr>
        <w:t>ا</w:t>
      </w:r>
      <w:r w:rsidRPr="00FE4C18">
        <w:rPr>
          <w:rtl/>
        </w:rPr>
        <w:t xml:space="preserve">لمصادر </w:t>
      </w:r>
      <w:r>
        <w:rPr>
          <w:rtl/>
        </w:rPr>
        <w:t>ا</w:t>
      </w:r>
      <w:r w:rsidRPr="00FE4C18">
        <w:rPr>
          <w:rtl/>
        </w:rPr>
        <w:t>ل</w:t>
      </w:r>
      <w:r w:rsidR="00F834C2">
        <w:rPr>
          <w:rFonts w:hint="cs"/>
          <w:rtl/>
        </w:rPr>
        <w:t>إ</w:t>
      </w:r>
      <w:r w:rsidRPr="00FE4C18">
        <w:rPr>
          <w:rtl/>
        </w:rPr>
        <w:t>سلام</w:t>
      </w:r>
      <w:r>
        <w:rPr>
          <w:rtl/>
        </w:rPr>
        <w:t>يّ</w:t>
      </w:r>
      <w:r w:rsidRPr="00FE4C18">
        <w:rPr>
          <w:rtl/>
        </w:rPr>
        <w:t>ة</w:t>
      </w:r>
      <w:r>
        <w:rPr>
          <w:rtl/>
        </w:rPr>
        <w:t xml:space="preserve"> و</w:t>
      </w:r>
      <w:r w:rsidRPr="00FE4C18">
        <w:rPr>
          <w:rtl/>
        </w:rPr>
        <w:t>فتاو</w:t>
      </w:r>
      <w:r>
        <w:rPr>
          <w:rtl/>
        </w:rPr>
        <w:t>ى ا</w:t>
      </w:r>
      <w:r w:rsidRPr="00FE4C18">
        <w:rPr>
          <w:rtl/>
        </w:rPr>
        <w:t>لفقهاء</w:t>
      </w:r>
      <w:bookmarkEnd w:id="490"/>
    </w:p>
    <w:p w:rsidR="00391A35" w:rsidRDefault="00391A35" w:rsidP="0067362A">
      <w:pPr>
        <w:pStyle w:val="ac"/>
        <w:spacing w:line="199" w:lineRule="auto"/>
        <w:rPr>
          <w:rtl/>
        </w:rPr>
      </w:pPr>
      <w:r w:rsidRPr="00FE4C18">
        <w:rPr>
          <w:rtl/>
        </w:rPr>
        <w:t xml:space="preserve">من </w:t>
      </w:r>
      <w:r>
        <w:rPr>
          <w:rtl/>
        </w:rPr>
        <w:t>ا</w:t>
      </w:r>
      <w:r w:rsidRPr="00FE4C18">
        <w:rPr>
          <w:rtl/>
        </w:rPr>
        <w:t xml:space="preserve">لمعلوم أنَّه </w:t>
      </w:r>
      <w:r>
        <w:rPr>
          <w:rtl/>
        </w:rPr>
        <w:t>ي</w:t>
      </w:r>
      <w:r w:rsidRPr="00FE4C18">
        <w:rPr>
          <w:rtl/>
        </w:rPr>
        <w:t>جب تع</w:t>
      </w:r>
      <w:r>
        <w:rPr>
          <w:rtl/>
        </w:rPr>
        <w:t>يي</w:t>
      </w:r>
      <w:r w:rsidRPr="00FE4C18">
        <w:rPr>
          <w:rtl/>
        </w:rPr>
        <w:t>ن شرع</w:t>
      </w:r>
      <w:r>
        <w:rPr>
          <w:rtl/>
        </w:rPr>
        <w:t>يّ</w:t>
      </w:r>
      <w:r w:rsidRPr="00FE4C18">
        <w:rPr>
          <w:rtl/>
        </w:rPr>
        <w:t xml:space="preserve">ة </w:t>
      </w:r>
      <w:r>
        <w:rPr>
          <w:rtl/>
        </w:rPr>
        <w:t>ا</w:t>
      </w:r>
      <w:r w:rsidRPr="00FE4C18">
        <w:rPr>
          <w:rtl/>
        </w:rPr>
        <w:t xml:space="preserve">لمبادرات </w:t>
      </w:r>
      <w:r>
        <w:rPr>
          <w:rtl/>
        </w:rPr>
        <w:t>ا</w:t>
      </w:r>
      <w:r w:rsidRPr="00FE4C18">
        <w:rPr>
          <w:rtl/>
        </w:rPr>
        <w:t xml:space="preserve">لتي تعتبر أساس هذا </w:t>
      </w:r>
      <w:r>
        <w:rPr>
          <w:rtl/>
        </w:rPr>
        <w:t>ا</w:t>
      </w:r>
      <w:r w:rsidRPr="00FE4C18">
        <w:rPr>
          <w:rtl/>
        </w:rPr>
        <w:t>لعمل</w:t>
      </w:r>
      <w:r>
        <w:rPr>
          <w:rtl/>
        </w:rPr>
        <w:t>.</w:t>
      </w:r>
      <w:r w:rsidRPr="00FE4C18">
        <w:rPr>
          <w:rtl/>
        </w:rPr>
        <w:t xml:space="preserve"> تقع مقدمة </w:t>
      </w:r>
      <w:r>
        <w:rPr>
          <w:rtl/>
        </w:rPr>
        <w:t>تـن</w:t>
      </w:r>
      <w:r w:rsidRPr="00FE4C18">
        <w:rPr>
          <w:rtl/>
        </w:rPr>
        <w:t>ف</w:t>
      </w:r>
      <w:r>
        <w:rPr>
          <w:rtl/>
        </w:rPr>
        <w:t>ي</w:t>
      </w:r>
      <w:r w:rsidRPr="00FE4C18">
        <w:rPr>
          <w:rtl/>
        </w:rPr>
        <w:t xml:space="preserve">ذ هذه </w:t>
      </w:r>
      <w:r>
        <w:rPr>
          <w:rtl/>
        </w:rPr>
        <w:t>ا</w:t>
      </w:r>
      <w:r w:rsidRPr="00FE4C18">
        <w:rPr>
          <w:rtl/>
        </w:rPr>
        <w:t>لاتفاق</w:t>
      </w:r>
      <w:r>
        <w:rPr>
          <w:rtl/>
        </w:rPr>
        <w:t>ي</w:t>
      </w:r>
      <w:r w:rsidRPr="00FE4C18">
        <w:rPr>
          <w:rtl/>
        </w:rPr>
        <w:t>ة في</w:t>
      </w:r>
      <w:r w:rsidRPr="00FE4C18">
        <w:rPr>
          <w:rFonts w:ascii="Times New Roman" w:hAnsi="Times New Roman" w:cs="Times New Roman" w:hint="cs"/>
          <w:rtl/>
        </w:rPr>
        <w:t>‌</w:t>
      </w:r>
      <w:r>
        <w:rPr>
          <w:rtl/>
        </w:rPr>
        <w:t xml:space="preserve"> </w:t>
      </w:r>
      <w:r w:rsidRPr="00FE4C18">
        <w:rPr>
          <w:rtl/>
        </w:rPr>
        <w:t>شرع</w:t>
      </w:r>
      <w:r>
        <w:rPr>
          <w:rtl/>
        </w:rPr>
        <w:t>يّ</w:t>
      </w:r>
      <w:r w:rsidRPr="00FE4C18">
        <w:rPr>
          <w:rtl/>
        </w:rPr>
        <w:t xml:space="preserve">ة مبادرات </w:t>
      </w:r>
      <w:r>
        <w:rPr>
          <w:rFonts w:hint="cs"/>
          <w:rtl/>
        </w:rPr>
        <w:t>كـ</w:t>
      </w:r>
      <w:r w:rsidRPr="006767E7">
        <w:rPr>
          <w:rFonts w:cs="Badr" w:hint="eastAsia"/>
          <w:sz w:val="27"/>
          <w:rtl/>
        </w:rPr>
        <w:t> </w:t>
      </w:r>
      <w:r w:rsidRPr="00FE4C18">
        <w:rPr>
          <w:rtl/>
        </w:rPr>
        <w:t>(شرع</w:t>
      </w:r>
      <w:r>
        <w:rPr>
          <w:rtl/>
        </w:rPr>
        <w:t>يّ</w:t>
      </w:r>
      <w:r w:rsidRPr="00FE4C18">
        <w:rPr>
          <w:rtl/>
        </w:rPr>
        <w:t xml:space="preserve">ة </w:t>
      </w:r>
      <w:r>
        <w:rPr>
          <w:rtl/>
        </w:rPr>
        <w:t>ا</w:t>
      </w:r>
      <w:r w:rsidRPr="00FE4C18">
        <w:rPr>
          <w:rtl/>
        </w:rPr>
        <w:t>لتلق</w:t>
      </w:r>
      <w:r>
        <w:rPr>
          <w:rtl/>
        </w:rPr>
        <w:t>ي</w:t>
      </w:r>
      <w:r w:rsidRPr="00FE4C18">
        <w:rPr>
          <w:rtl/>
        </w:rPr>
        <w:t xml:space="preserve">ح </w:t>
      </w:r>
      <w:r>
        <w:rPr>
          <w:rtl/>
        </w:rPr>
        <w:t>ا</w:t>
      </w:r>
      <w:r w:rsidRPr="00FE4C18">
        <w:rPr>
          <w:rtl/>
        </w:rPr>
        <w:t>لصناعي)</w:t>
      </w:r>
      <w:r w:rsidRPr="007F5B58">
        <w:rPr>
          <w:rtl/>
        </w:rPr>
        <w:t>،</w:t>
      </w:r>
      <w:r>
        <w:rPr>
          <w:rtl/>
        </w:rPr>
        <w:t xml:space="preserve"> و</w:t>
      </w:r>
      <w:r w:rsidRPr="00FE4C18">
        <w:rPr>
          <w:rtl/>
        </w:rPr>
        <w:t>(شرع</w:t>
      </w:r>
      <w:r>
        <w:rPr>
          <w:rtl/>
        </w:rPr>
        <w:t>يّ</w:t>
      </w:r>
      <w:r w:rsidRPr="00FE4C18">
        <w:rPr>
          <w:rtl/>
        </w:rPr>
        <w:t xml:space="preserve">ة نقل </w:t>
      </w:r>
      <w:r>
        <w:rPr>
          <w:rtl/>
        </w:rPr>
        <w:t>ا</w:t>
      </w:r>
      <w:r w:rsidRPr="00FE4C18">
        <w:rPr>
          <w:rtl/>
        </w:rPr>
        <w:t>لجن</w:t>
      </w:r>
      <w:r>
        <w:rPr>
          <w:rtl/>
        </w:rPr>
        <w:t>ي</w:t>
      </w:r>
      <w:r w:rsidRPr="00FE4C18">
        <w:rPr>
          <w:rtl/>
        </w:rPr>
        <w:t>ن)</w:t>
      </w:r>
      <w:r>
        <w:rPr>
          <w:rtl/>
        </w:rPr>
        <w:t>.</w:t>
      </w:r>
      <w:r w:rsidRPr="00FE4C18">
        <w:rPr>
          <w:rtl/>
        </w:rPr>
        <w:t xml:space="preserve"> </w:t>
      </w:r>
      <w:r>
        <w:rPr>
          <w:rtl/>
        </w:rPr>
        <w:t>أما بالنسبة لـ</w:t>
      </w:r>
      <w:r w:rsidRPr="00FE4C18">
        <w:rPr>
          <w:rtl/>
        </w:rPr>
        <w:t>(شرع</w:t>
      </w:r>
      <w:r>
        <w:rPr>
          <w:rtl/>
        </w:rPr>
        <w:t>ي</w:t>
      </w:r>
      <w:r>
        <w:rPr>
          <w:rFonts w:hint="cs"/>
          <w:rtl/>
        </w:rPr>
        <w:t>ة</w:t>
      </w:r>
      <w:r>
        <w:rPr>
          <w:rtl/>
        </w:rPr>
        <w:t xml:space="preserve"> تلقيح </w:t>
      </w:r>
      <w:r w:rsidRPr="00FE4C18">
        <w:rPr>
          <w:rtl/>
        </w:rPr>
        <w:t>بو</w:t>
      </w:r>
      <w:r>
        <w:rPr>
          <w:rtl/>
        </w:rPr>
        <w:t>ي</w:t>
      </w:r>
      <w:r w:rsidRPr="00FE4C18">
        <w:rPr>
          <w:rtl/>
        </w:rPr>
        <w:t xml:space="preserve">ضة </w:t>
      </w:r>
      <w:r>
        <w:rPr>
          <w:rtl/>
        </w:rPr>
        <w:t>ا</w:t>
      </w:r>
      <w:r w:rsidRPr="00FE4C18">
        <w:rPr>
          <w:rtl/>
        </w:rPr>
        <w:t xml:space="preserve">لزوجة </w:t>
      </w:r>
      <w:r w:rsidRPr="00A51544">
        <w:rPr>
          <w:rFonts w:cs="Badr"/>
          <w:sz w:val="27"/>
          <w:rtl/>
        </w:rPr>
        <w:t>بإس</w:t>
      </w:r>
      <w:r w:rsidRPr="00A51544">
        <w:rPr>
          <w:rFonts w:cs="Badr" w:hint="cs"/>
          <w:sz w:val="27"/>
          <w:rtl/>
        </w:rPr>
        <w:t>پ</w:t>
      </w:r>
      <w:r w:rsidRPr="00A51544">
        <w:rPr>
          <w:rFonts w:cs="Badr"/>
          <w:sz w:val="27"/>
          <w:rtl/>
        </w:rPr>
        <w:t>رم</w:t>
      </w:r>
      <w:r w:rsidRPr="00FE4C18">
        <w:rPr>
          <w:rtl/>
        </w:rPr>
        <w:t xml:space="preserve"> </w:t>
      </w:r>
      <w:r>
        <w:rPr>
          <w:rtl/>
        </w:rPr>
        <w:t>ا</w:t>
      </w:r>
      <w:r w:rsidRPr="00FE4C18">
        <w:rPr>
          <w:rtl/>
        </w:rPr>
        <w:t xml:space="preserve">لزوج </w:t>
      </w:r>
      <w:r>
        <w:rPr>
          <w:rtl/>
        </w:rPr>
        <w:t>ا</w:t>
      </w:r>
      <w:r w:rsidRPr="00FE4C18">
        <w:rPr>
          <w:rtl/>
        </w:rPr>
        <w:t>لشرع</w:t>
      </w:r>
      <w:r>
        <w:rPr>
          <w:rtl/>
        </w:rPr>
        <w:t>يي</w:t>
      </w:r>
      <w:r w:rsidRPr="00FE4C18">
        <w:rPr>
          <w:rtl/>
        </w:rPr>
        <w:t xml:space="preserve">ن </w:t>
      </w:r>
      <w:r>
        <w:rPr>
          <w:rtl/>
        </w:rPr>
        <w:t>ا</w:t>
      </w:r>
      <w:r w:rsidRPr="00FE4C18">
        <w:rPr>
          <w:rtl/>
        </w:rPr>
        <w:t>لقانون</w:t>
      </w:r>
      <w:r>
        <w:rPr>
          <w:rtl/>
        </w:rPr>
        <w:t>ي</w:t>
      </w:r>
      <w:r>
        <w:rPr>
          <w:rFonts w:hint="cs"/>
          <w:rtl/>
        </w:rPr>
        <w:t>ة)</w:t>
      </w:r>
      <w:r w:rsidRPr="00FE4C18">
        <w:rPr>
          <w:rtl/>
        </w:rPr>
        <w:t xml:space="preserve"> ف</w:t>
      </w:r>
      <w:r>
        <w:rPr>
          <w:rtl/>
        </w:rPr>
        <w:t>ي</w:t>
      </w:r>
      <w:r w:rsidRPr="00FE4C18">
        <w:rPr>
          <w:rtl/>
        </w:rPr>
        <w:t xml:space="preserve">عتقد </w:t>
      </w:r>
      <w:r>
        <w:rPr>
          <w:rtl/>
        </w:rPr>
        <w:t>ك</w:t>
      </w:r>
      <w:r w:rsidRPr="00FE4C18">
        <w:rPr>
          <w:rtl/>
        </w:rPr>
        <w:t>ث</w:t>
      </w:r>
      <w:r>
        <w:rPr>
          <w:rtl/>
        </w:rPr>
        <w:t>ي</w:t>
      </w:r>
      <w:r w:rsidRPr="00FE4C18">
        <w:rPr>
          <w:rtl/>
        </w:rPr>
        <w:t xml:space="preserve">ر من </w:t>
      </w:r>
      <w:r>
        <w:rPr>
          <w:rtl/>
        </w:rPr>
        <w:t>ا</w:t>
      </w:r>
      <w:r w:rsidRPr="00FE4C18">
        <w:rPr>
          <w:rtl/>
        </w:rPr>
        <w:t xml:space="preserve">لفقهاء عندما لا </w:t>
      </w:r>
      <w:r>
        <w:rPr>
          <w:rtl/>
        </w:rPr>
        <w:t>ي</w:t>
      </w:r>
      <w:r w:rsidRPr="00FE4C18">
        <w:rPr>
          <w:rtl/>
        </w:rPr>
        <w:t>حدث فعل حرام ف</w:t>
      </w:r>
      <w:r>
        <w:rPr>
          <w:rtl/>
        </w:rPr>
        <w:t>ي</w:t>
      </w:r>
      <w:r w:rsidRPr="00FE4C18">
        <w:rPr>
          <w:rtl/>
        </w:rPr>
        <w:t xml:space="preserve">جوز هذا </w:t>
      </w:r>
      <w:r>
        <w:rPr>
          <w:rtl/>
        </w:rPr>
        <w:t>ا</w:t>
      </w:r>
      <w:r w:rsidRPr="00FE4C18">
        <w:rPr>
          <w:rtl/>
        </w:rPr>
        <w:t>لعمل بذاته</w:t>
      </w:r>
      <w:r>
        <w:rPr>
          <w:rtl/>
        </w:rPr>
        <w:t>.</w:t>
      </w:r>
      <w:r w:rsidRPr="00FE4C18">
        <w:rPr>
          <w:rtl/>
        </w:rPr>
        <w:t xml:space="preserve"> </w:t>
      </w:r>
    </w:p>
    <w:p w:rsidR="00391A35" w:rsidRPr="00FE4C18" w:rsidRDefault="00391A35" w:rsidP="00391A35">
      <w:pPr>
        <w:pStyle w:val="ac"/>
        <w:rPr>
          <w:rtl/>
        </w:rPr>
      </w:pPr>
      <w:r>
        <w:rPr>
          <w:rtl/>
        </w:rPr>
        <w:t>وأما بالنسبة لـ</w:t>
      </w:r>
      <w:r w:rsidRPr="00FE4C18">
        <w:rPr>
          <w:rtl/>
        </w:rPr>
        <w:t xml:space="preserve">(نقل </w:t>
      </w:r>
      <w:r>
        <w:rPr>
          <w:rtl/>
        </w:rPr>
        <w:t>ا</w:t>
      </w:r>
      <w:r w:rsidRPr="00FE4C18">
        <w:rPr>
          <w:rtl/>
        </w:rPr>
        <w:t>لجن</w:t>
      </w:r>
      <w:r>
        <w:rPr>
          <w:rtl/>
        </w:rPr>
        <w:t>ي</w:t>
      </w:r>
      <w:r w:rsidRPr="00FE4C18">
        <w:rPr>
          <w:rtl/>
        </w:rPr>
        <w:t>ن) إل</w:t>
      </w:r>
      <w:r>
        <w:rPr>
          <w:rtl/>
        </w:rPr>
        <w:t xml:space="preserve">ى </w:t>
      </w:r>
      <w:r w:rsidRPr="00FE4C18">
        <w:rPr>
          <w:rtl/>
        </w:rPr>
        <w:t>رحم امرأة أخر</w:t>
      </w:r>
      <w:r>
        <w:rPr>
          <w:rtl/>
        </w:rPr>
        <w:t xml:space="preserve">ى </w:t>
      </w:r>
      <w:r w:rsidRPr="00FE4C18">
        <w:rPr>
          <w:rtl/>
        </w:rPr>
        <w:t>غ</w:t>
      </w:r>
      <w:r>
        <w:rPr>
          <w:rtl/>
        </w:rPr>
        <w:t>ي</w:t>
      </w:r>
      <w:r w:rsidRPr="00FE4C18">
        <w:rPr>
          <w:rtl/>
        </w:rPr>
        <w:t xml:space="preserve">ر زوجة </w:t>
      </w:r>
      <w:r>
        <w:rPr>
          <w:rtl/>
        </w:rPr>
        <w:t>ا</w:t>
      </w:r>
      <w:r w:rsidRPr="00FE4C18">
        <w:rPr>
          <w:rtl/>
        </w:rPr>
        <w:t>لرجل ف</w:t>
      </w:r>
      <w:r>
        <w:rPr>
          <w:rtl/>
        </w:rPr>
        <w:t>ي</w:t>
      </w:r>
      <w:r w:rsidRPr="00FE4C18">
        <w:rPr>
          <w:rtl/>
        </w:rPr>
        <w:t xml:space="preserve">ختلف </w:t>
      </w:r>
      <w:r>
        <w:rPr>
          <w:rtl/>
        </w:rPr>
        <w:lastRenderedPageBreak/>
        <w:t>ا</w:t>
      </w:r>
      <w:r w:rsidRPr="00FE4C18">
        <w:rPr>
          <w:rtl/>
        </w:rPr>
        <w:t>لفقهاء</w:t>
      </w:r>
      <w:r>
        <w:rPr>
          <w:rtl/>
        </w:rPr>
        <w:t xml:space="preserve"> بين من لا يجوِّز ذلك ويعتقد حرمته</w:t>
      </w:r>
      <w:r w:rsidRPr="00815C4C">
        <w:rPr>
          <w:rFonts w:cs="Taher" w:hint="cs"/>
          <w:vertAlign w:val="superscript"/>
          <w:rtl/>
        </w:rPr>
        <w:t>(</w:t>
      </w:r>
      <w:r w:rsidRPr="00815C4C">
        <w:rPr>
          <w:rFonts w:cs="Taher"/>
          <w:vertAlign w:val="superscript"/>
          <w:rtl/>
        </w:rPr>
        <w:footnoteReference w:id="901"/>
      </w:r>
      <w:r w:rsidRPr="00815C4C">
        <w:rPr>
          <w:rFonts w:cs="Taher" w:hint="cs"/>
          <w:vertAlign w:val="superscript"/>
          <w:rtl/>
        </w:rPr>
        <w:t>)</w:t>
      </w:r>
      <w:r>
        <w:rPr>
          <w:rFonts w:cs="Taher"/>
          <w:szCs w:val="28"/>
          <w:rtl/>
        </w:rPr>
        <w:t xml:space="preserve"> </w:t>
      </w:r>
      <w:r>
        <w:rPr>
          <w:rtl/>
        </w:rPr>
        <w:t>ومن يجوِّزه</w:t>
      </w:r>
      <w:r w:rsidRPr="00815C4C">
        <w:rPr>
          <w:rFonts w:cs="Taher" w:hint="cs"/>
          <w:vertAlign w:val="superscript"/>
          <w:rtl/>
        </w:rPr>
        <w:t>(</w:t>
      </w:r>
      <w:r w:rsidRPr="00815C4C">
        <w:rPr>
          <w:rFonts w:cs="Taher"/>
          <w:vertAlign w:val="superscript"/>
          <w:rtl/>
        </w:rPr>
        <w:footnoteReference w:id="902"/>
      </w:r>
      <w:r w:rsidRPr="00815C4C">
        <w:rPr>
          <w:rFonts w:cs="Taher" w:hint="cs"/>
          <w:vertAlign w:val="superscript"/>
          <w:rtl/>
        </w:rPr>
        <w:t>)</w:t>
      </w:r>
      <w:r>
        <w:rPr>
          <w:rtl/>
        </w:rPr>
        <w:t>.</w:t>
      </w:r>
      <w:r w:rsidRPr="00FE4C18">
        <w:rPr>
          <w:rtl/>
        </w:rPr>
        <w:t xml:space="preserve"> </w:t>
      </w:r>
    </w:p>
    <w:p w:rsidR="00391A35" w:rsidRPr="00FE4C18" w:rsidRDefault="00391A35" w:rsidP="0067362A">
      <w:pPr>
        <w:pStyle w:val="ac"/>
        <w:rPr>
          <w:rtl/>
        </w:rPr>
      </w:pPr>
      <w:r w:rsidRPr="00FE4C18">
        <w:rPr>
          <w:rtl/>
        </w:rPr>
        <w:t>و</w:t>
      </w:r>
      <w:r>
        <w:rPr>
          <w:rtl/>
        </w:rPr>
        <w:t>ي</w:t>
      </w:r>
      <w:r w:rsidRPr="00FE4C18">
        <w:rPr>
          <w:rtl/>
        </w:rPr>
        <w:t xml:space="preserve">قول </w:t>
      </w:r>
      <w:r>
        <w:rPr>
          <w:rtl/>
        </w:rPr>
        <w:t>ا</w:t>
      </w:r>
      <w:r w:rsidRPr="00FE4C18">
        <w:rPr>
          <w:rtl/>
        </w:rPr>
        <w:t>لمخالفون</w:t>
      </w:r>
      <w:r w:rsidRPr="007F5B58">
        <w:rPr>
          <w:rtl/>
        </w:rPr>
        <w:t>:</w:t>
      </w:r>
      <w:r w:rsidRPr="00FE4C18">
        <w:rPr>
          <w:rtl/>
        </w:rPr>
        <w:t xml:space="preserve"> الروا</w:t>
      </w:r>
      <w:r>
        <w:rPr>
          <w:rtl/>
        </w:rPr>
        <w:t>ي</w:t>
      </w:r>
      <w:r w:rsidRPr="00FE4C18">
        <w:rPr>
          <w:rtl/>
        </w:rPr>
        <w:t xml:space="preserve">ات </w:t>
      </w:r>
      <w:r>
        <w:rPr>
          <w:rtl/>
        </w:rPr>
        <w:t>ا</w:t>
      </w:r>
      <w:r w:rsidRPr="00FE4C18">
        <w:rPr>
          <w:rtl/>
        </w:rPr>
        <w:t>لتي تؤ</w:t>
      </w:r>
      <w:r>
        <w:rPr>
          <w:rtl/>
        </w:rPr>
        <w:t>ك</w:t>
      </w:r>
      <w:r w:rsidRPr="00FE4C18">
        <w:rPr>
          <w:rtl/>
        </w:rPr>
        <w:t>د عل</w:t>
      </w:r>
      <w:r>
        <w:rPr>
          <w:rtl/>
        </w:rPr>
        <w:t xml:space="preserve">ى </w:t>
      </w:r>
      <w:r w:rsidRPr="00FE4C18">
        <w:rPr>
          <w:rtl/>
        </w:rPr>
        <w:t>تحر</w:t>
      </w:r>
      <w:r>
        <w:rPr>
          <w:rtl/>
        </w:rPr>
        <w:t>ي</w:t>
      </w:r>
      <w:r w:rsidRPr="00FE4C18">
        <w:rPr>
          <w:rtl/>
        </w:rPr>
        <w:t>م تلق</w:t>
      </w:r>
      <w:r>
        <w:rPr>
          <w:rtl/>
        </w:rPr>
        <w:t>ي</w:t>
      </w:r>
      <w:r w:rsidRPr="00FE4C18">
        <w:rPr>
          <w:rtl/>
        </w:rPr>
        <w:t xml:space="preserve">ح نطفة </w:t>
      </w:r>
      <w:r>
        <w:rPr>
          <w:rtl/>
        </w:rPr>
        <w:t>ا</w:t>
      </w:r>
      <w:r w:rsidRPr="00FE4C18">
        <w:rPr>
          <w:rtl/>
        </w:rPr>
        <w:t xml:space="preserve">لرجل </w:t>
      </w:r>
      <w:r>
        <w:rPr>
          <w:rtl/>
        </w:rPr>
        <w:t>ا</w:t>
      </w:r>
      <w:r w:rsidRPr="00FE4C18">
        <w:rPr>
          <w:rtl/>
        </w:rPr>
        <w:t xml:space="preserve">لأجنبي في </w:t>
      </w:r>
      <w:r>
        <w:rPr>
          <w:rtl/>
        </w:rPr>
        <w:t>ا</w:t>
      </w:r>
      <w:r w:rsidRPr="00FE4C18">
        <w:rPr>
          <w:rtl/>
        </w:rPr>
        <w:t xml:space="preserve">لمرأة </w:t>
      </w:r>
      <w:r>
        <w:rPr>
          <w:rtl/>
        </w:rPr>
        <w:t>ا</w:t>
      </w:r>
      <w:r w:rsidRPr="00FE4C18">
        <w:rPr>
          <w:rtl/>
        </w:rPr>
        <w:t>لأجنب</w:t>
      </w:r>
      <w:r>
        <w:rPr>
          <w:rtl/>
        </w:rPr>
        <w:t>يّ</w:t>
      </w:r>
      <w:r w:rsidRPr="00FE4C18">
        <w:rPr>
          <w:rtl/>
        </w:rPr>
        <w:t>ة تذ</w:t>
      </w:r>
      <w:r>
        <w:rPr>
          <w:rtl/>
        </w:rPr>
        <w:t>ك</w:t>
      </w:r>
      <w:r w:rsidRPr="00FE4C18">
        <w:rPr>
          <w:rtl/>
        </w:rPr>
        <w:t>ر بصورة عامة</w:t>
      </w:r>
      <w:r w:rsidRPr="007F5B58">
        <w:rPr>
          <w:rtl/>
        </w:rPr>
        <w:t>،</w:t>
      </w:r>
      <w:r w:rsidRPr="00FE4C18">
        <w:rPr>
          <w:rtl/>
        </w:rPr>
        <w:t xml:space="preserve"> </w:t>
      </w:r>
      <w:r>
        <w:rPr>
          <w:rtl/>
        </w:rPr>
        <w:t>وتشمل صورة وضع ا</w:t>
      </w:r>
      <w:r w:rsidRPr="00FE4C18">
        <w:rPr>
          <w:rtl/>
        </w:rPr>
        <w:t xml:space="preserve">لزوجان نطفتهما بعد </w:t>
      </w:r>
      <w:r>
        <w:rPr>
          <w:rtl/>
        </w:rPr>
        <w:t>ا</w:t>
      </w:r>
      <w:r w:rsidRPr="00FE4C18">
        <w:rPr>
          <w:rtl/>
        </w:rPr>
        <w:t>للقاح في رحم امرأة أجنب</w:t>
      </w:r>
      <w:r>
        <w:rPr>
          <w:rtl/>
        </w:rPr>
        <w:t>يّ</w:t>
      </w:r>
      <w:r w:rsidRPr="00FE4C18">
        <w:rPr>
          <w:rtl/>
        </w:rPr>
        <w:t>ة</w:t>
      </w:r>
      <w:r>
        <w:rPr>
          <w:rtl/>
        </w:rPr>
        <w:t>.</w:t>
      </w:r>
      <w:r w:rsidRPr="00FE4C18">
        <w:rPr>
          <w:rtl/>
        </w:rPr>
        <w:t xml:space="preserve"> </w:t>
      </w:r>
    </w:p>
    <w:p w:rsidR="00391A35" w:rsidRPr="00FE4C18" w:rsidRDefault="00391A35" w:rsidP="0067362A">
      <w:pPr>
        <w:pStyle w:val="ac"/>
        <w:rPr>
          <w:rtl/>
        </w:rPr>
      </w:pPr>
      <w:r w:rsidRPr="00FE4C18">
        <w:rPr>
          <w:rtl/>
        </w:rPr>
        <w:t xml:space="preserve">و </w:t>
      </w:r>
      <w:r>
        <w:rPr>
          <w:rtl/>
        </w:rPr>
        <w:t>ي</w:t>
      </w:r>
      <w:r w:rsidRPr="00FE4C18">
        <w:rPr>
          <w:rtl/>
        </w:rPr>
        <w:t>س</w:t>
      </w:r>
      <w:r>
        <w:rPr>
          <w:rtl/>
        </w:rPr>
        <w:t>تـن</w:t>
      </w:r>
      <w:r w:rsidRPr="00FE4C18">
        <w:rPr>
          <w:rtl/>
        </w:rPr>
        <w:t>د هؤلاء إل</w:t>
      </w:r>
      <w:r>
        <w:rPr>
          <w:rtl/>
        </w:rPr>
        <w:t>ى ا</w:t>
      </w:r>
      <w:r w:rsidRPr="00FE4C18">
        <w:rPr>
          <w:rtl/>
        </w:rPr>
        <w:t>لروا</w:t>
      </w:r>
      <w:r>
        <w:rPr>
          <w:rtl/>
        </w:rPr>
        <w:t>ي</w:t>
      </w:r>
      <w:r w:rsidRPr="00FE4C18">
        <w:rPr>
          <w:rtl/>
        </w:rPr>
        <w:t>ت</w:t>
      </w:r>
      <w:r>
        <w:rPr>
          <w:rtl/>
        </w:rPr>
        <w:t>ي</w:t>
      </w:r>
      <w:r w:rsidRPr="00FE4C18">
        <w:rPr>
          <w:rtl/>
        </w:rPr>
        <w:t xml:space="preserve">ن </w:t>
      </w:r>
      <w:r>
        <w:rPr>
          <w:rtl/>
        </w:rPr>
        <w:t>ا</w:t>
      </w:r>
      <w:r w:rsidRPr="00FE4C18">
        <w:rPr>
          <w:rtl/>
        </w:rPr>
        <w:t>لتال</w:t>
      </w:r>
      <w:r>
        <w:rPr>
          <w:rtl/>
        </w:rPr>
        <w:t>ي</w:t>
      </w:r>
      <w:r w:rsidRPr="00FE4C18">
        <w:rPr>
          <w:rtl/>
        </w:rPr>
        <w:t>ت</w:t>
      </w:r>
      <w:r>
        <w:rPr>
          <w:rtl/>
        </w:rPr>
        <w:t>ي</w:t>
      </w:r>
      <w:r w:rsidRPr="00FE4C18">
        <w:rPr>
          <w:rtl/>
        </w:rPr>
        <w:t>ن</w:t>
      </w:r>
      <w:r w:rsidRPr="007F5B58">
        <w:rPr>
          <w:rtl/>
        </w:rPr>
        <w:t>:</w:t>
      </w:r>
      <w:r w:rsidRPr="00FE4C18">
        <w:rPr>
          <w:rtl/>
        </w:rPr>
        <w:t xml:space="preserve"> </w:t>
      </w:r>
    </w:p>
    <w:p w:rsidR="00391A35" w:rsidRPr="00FE4C18" w:rsidRDefault="00391A35" w:rsidP="0067362A">
      <w:pPr>
        <w:pStyle w:val="ac"/>
        <w:rPr>
          <w:rtl/>
        </w:rPr>
      </w:pPr>
      <w:r>
        <w:rPr>
          <w:rtl/>
        </w:rPr>
        <w:t xml:space="preserve">1ـ </w:t>
      </w:r>
      <w:r w:rsidRPr="00FE4C18">
        <w:rPr>
          <w:rtl/>
        </w:rPr>
        <w:t>مارواه عل</w:t>
      </w:r>
      <w:r>
        <w:rPr>
          <w:rtl/>
        </w:rPr>
        <w:t xml:space="preserve">ي </w:t>
      </w:r>
      <w:r w:rsidRPr="00FE4C18">
        <w:rPr>
          <w:rtl/>
        </w:rPr>
        <w:t xml:space="preserve">بن سالم عن </w:t>
      </w:r>
      <w:r>
        <w:rPr>
          <w:rtl/>
        </w:rPr>
        <w:t>ا</w:t>
      </w:r>
      <w:r w:rsidRPr="00FE4C18">
        <w:rPr>
          <w:rtl/>
        </w:rPr>
        <w:t>ل</w:t>
      </w:r>
      <w:r>
        <w:rPr>
          <w:rtl/>
        </w:rPr>
        <w:t>إ</w:t>
      </w:r>
      <w:r w:rsidRPr="00FE4C18">
        <w:rPr>
          <w:rtl/>
        </w:rPr>
        <w:t xml:space="preserve">مام </w:t>
      </w:r>
      <w:r>
        <w:rPr>
          <w:rtl/>
        </w:rPr>
        <w:t>ا</w:t>
      </w:r>
      <w:r w:rsidRPr="00FE4C18">
        <w:rPr>
          <w:rtl/>
        </w:rPr>
        <w:t>لصادق</w:t>
      </w:r>
      <w:r w:rsidRPr="00E54F9D">
        <w:rPr>
          <w:rFonts w:cs="Taher"/>
          <w:rtl/>
        </w:rPr>
        <w:t>×</w:t>
      </w:r>
      <w:r w:rsidRPr="00FE4C18">
        <w:rPr>
          <w:rtl/>
        </w:rPr>
        <w:t xml:space="preserve"> </w:t>
      </w:r>
      <w:r>
        <w:rPr>
          <w:rtl/>
        </w:rPr>
        <w:t>أ</w:t>
      </w:r>
      <w:r w:rsidRPr="00FE4C18">
        <w:rPr>
          <w:rtl/>
        </w:rPr>
        <w:t>نَّه قال</w:t>
      </w:r>
      <w:r w:rsidRPr="007F5B58">
        <w:rPr>
          <w:rtl/>
        </w:rPr>
        <w:t>:</w:t>
      </w:r>
      <w:r w:rsidRPr="00FE4C18">
        <w:rPr>
          <w:rtl/>
        </w:rPr>
        <w:t xml:space="preserve"> «أشد </w:t>
      </w:r>
      <w:r>
        <w:rPr>
          <w:rtl/>
        </w:rPr>
        <w:t>ا</w:t>
      </w:r>
      <w:r w:rsidRPr="00FE4C18">
        <w:rPr>
          <w:rtl/>
        </w:rPr>
        <w:t xml:space="preserve">لناس عذاباً </w:t>
      </w:r>
      <w:r>
        <w:rPr>
          <w:rtl/>
        </w:rPr>
        <w:t>ي</w:t>
      </w:r>
      <w:r w:rsidRPr="00FE4C18">
        <w:rPr>
          <w:rtl/>
        </w:rPr>
        <w:t xml:space="preserve">وم </w:t>
      </w:r>
      <w:r>
        <w:rPr>
          <w:rtl/>
        </w:rPr>
        <w:t>ا</w:t>
      </w:r>
      <w:r w:rsidRPr="00FE4C18">
        <w:rPr>
          <w:rtl/>
        </w:rPr>
        <w:t>لق</w:t>
      </w:r>
      <w:r>
        <w:rPr>
          <w:rtl/>
        </w:rPr>
        <w:t>ي</w:t>
      </w:r>
      <w:r w:rsidRPr="00FE4C18">
        <w:rPr>
          <w:rtl/>
        </w:rPr>
        <w:t xml:space="preserve">امة رجل أقر نطفته في رحم </w:t>
      </w:r>
      <w:r>
        <w:rPr>
          <w:rtl/>
        </w:rPr>
        <w:t>ي</w:t>
      </w:r>
      <w:r w:rsidRPr="00FE4C18">
        <w:rPr>
          <w:rtl/>
        </w:rPr>
        <w:t>حرم عل</w:t>
      </w:r>
      <w:r>
        <w:rPr>
          <w:rtl/>
        </w:rPr>
        <w:t>ي</w:t>
      </w:r>
      <w:r w:rsidRPr="00FE4C18">
        <w:rPr>
          <w:rtl/>
        </w:rPr>
        <w:t>ه»</w:t>
      </w:r>
      <w:r>
        <w:rPr>
          <w:rtl/>
        </w:rPr>
        <w:t>.</w:t>
      </w:r>
      <w:r w:rsidRPr="00FE4C18">
        <w:rPr>
          <w:rtl/>
        </w:rPr>
        <w:t xml:space="preserve"> </w:t>
      </w:r>
    </w:p>
    <w:p w:rsidR="00391A35" w:rsidRPr="00FE4C18" w:rsidRDefault="00391A35" w:rsidP="0067362A">
      <w:pPr>
        <w:pStyle w:val="ac"/>
        <w:rPr>
          <w:rtl/>
        </w:rPr>
      </w:pPr>
      <w:r w:rsidRPr="00FE4C18">
        <w:rPr>
          <w:rtl/>
        </w:rPr>
        <w:t>2</w:t>
      </w:r>
      <w:r>
        <w:rPr>
          <w:rtl/>
        </w:rPr>
        <w:t>ـ</w:t>
      </w:r>
      <w:r w:rsidRPr="00FE4C18">
        <w:rPr>
          <w:rtl/>
        </w:rPr>
        <w:t xml:space="preserve"> ما رواه إسحاق بن عمار قال</w:t>
      </w:r>
      <w:r w:rsidRPr="007F5B58">
        <w:rPr>
          <w:rtl/>
        </w:rPr>
        <w:t>:</w:t>
      </w:r>
      <w:r w:rsidRPr="00FE4C18">
        <w:rPr>
          <w:rtl/>
        </w:rPr>
        <w:t xml:space="preserve"> «قلتُ لأبي عبد الله</w:t>
      </w:r>
      <w:r w:rsidRPr="007F5B58">
        <w:rPr>
          <w:rtl/>
        </w:rPr>
        <w:t>:</w:t>
      </w:r>
      <w:r w:rsidRPr="00FE4C18">
        <w:rPr>
          <w:rtl/>
        </w:rPr>
        <w:t xml:space="preserve"> الزنا</w:t>
      </w:r>
      <w:r>
        <w:rPr>
          <w:rtl/>
        </w:rPr>
        <w:t xml:space="preserve"> </w:t>
      </w:r>
      <w:r w:rsidRPr="00FE4C18">
        <w:rPr>
          <w:rtl/>
        </w:rPr>
        <w:t>شر</w:t>
      </w:r>
      <w:r>
        <w:rPr>
          <w:rtl/>
        </w:rPr>
        <w:t xml:space="preserve"> </w:t>
      </w:r>
      <w:r w:rsidRPr="00FE4C18">
        <w:rPr>
          <w:rtl/>
        </w:rPr>
        <w:t xml:space="preserve">أو شرب </w:t>
      </w:r>
      <w:r>
        <w:rPr>
          <w:rtl/>
        </w:rPr>
        <w:t>ا</w:t>
      </w:r>
      <w:r w:rsidRPr="00FE4C18">
        <w:rPr>
          <w:rtl/>
        </w:rPr>
        <w:t>لخمر</w:t>
      </w:r>
      <w:r w:rsidRPr="000839E1">
        <w:rPr>
          <w:rtl/>
        </w:rPr>
        <w:t>؟</w:t>
      </w:r>
      <w:r>
        <w:rPr>
          <w:rtl/>
        </w:rPr>
        <w:t xml:space="preserve"> وكي</w:t>
      </w:r>
      <w:r w:rsidRPr="00FE4C18">
        <w:rPr>
          <w:rtl/>
        </w:rPr>
        <w:t xml:space="preserve">ف صار في شرب </w:t>
      </w:r>
      <w:r>
        <w:rPr>
          <w:rtl/>
        </w:rPr>
        <w:t>ا</w:t>
      </w:r>
      <w:r w:rsidRPr="00FE4C18">
        <w:rPr>
          <w:rtl/>
        </w:rPr>
        <w:t>لخمر ثمانون</w:t>
      </w:r>
      <w:r w:rsidRPr="007F5B58">
        <w:rPr>
          <w:rtl/>
        </w:rPr>
        <w:t>،</w:t>
      </w:r>
      <w:r>
        <w:rPr>
          <w:rtl/>
        </w:rPr>
        <w:t xml:space="preserve"> و</w:t>
      </w:r>
      <w:r w:rsidRPr="00FE4C18">
        <w:rPr>
          <w:rtl/>
        </w:rPr>
        <w:t xml:space="preserve">في </w:t>
      </w:r>
      <w:r>
        <w:rPr>
          <w:rtl/>
        </w:rPr>
        <w:t>ا</w:t>
      </w:r>
      <w:r w:rsidRPr="00FE4C18">
        <w:rPr>
          <w:rtl/>
        </w:rPr>
        <w:t>لزنا م</w:t>
      </w:r>
      <w:r>
        <w:rPr>
          <w:rtl/>
        </w:rPr>
        <w:t>ئ</w:t>
      </w:r>
      <w:r w:rsidRPr="00FE4C18">
        <w:rPr>
          <w:rtl/>
        </w:rPr>
        <w:t>ة</w:t>
      </w:r>
      <w:r w:rsidRPr="000839E1">
        <w:rPr>
          <w:rtl/>
        </w:rPr>
        <w:t>؟</w:t>
      </w:r>
      <w:r w:rsidRPr="00FE4C18">
        <w:rPr>
          <w:rtl/>
        </w:rPr>
        <w:t xml:space="preserve"> فقال</w:t>
      </w:r>
      <w:r w:rsidRPr="007F5B58">
        <w:rPr>
          <w:rtl/>
        </w:rPr>
        <w:t>:</w:t>
      </w:r>
      <w:r w:rsidRPr="00FE4C18">
        <w:rPr>
          <w:rtl/>
        </w:rPr>
        <w:t xml:space="preserve"> </w:t>
      </w:r>
      <w:r>
        <w:rPr>
          <w:rtl/>
        </w:rPr>
        <w:t>ي</w:t>
      </w:r>
      <w:r w:rsidRPr="00FE4C18">
        <w:rPr>
          <w:rtl/>
        </w:rPr>
        <w:t>ا إسحاق</w:t>
      </w:r>
      <w:r w:rsidRPr="007F5B58">
        <w:rPr>
          <w:rtl/>
        </w:rPr>
        <w:t>،</w:t>
      </w:r>
      <w:r w:rsidRPr="00FE4C18">
        <w:rPr>
          <w:rtl/>
        </w:rPr>
        <w:t xml:space="preserve"> الحد واحد</w:t>
      </w:r>
      <w:r w:rsidRPr="007F5B58">
        <w:rPr>
          <w:rtl/>
        </w:rPr>
        <w:t>،</w:t>
      </w:r>
      <w:r>
        <w:rPr>
          <w:rtl/>
        </w:rPr>
        <w:t xml:space="preserve"> و</w:t>
      </w:r>
      <w:r w:rsidRPr="00FE4C18">
        <w:rPr>
          <w:rtl/>
        </w:rPr>
        <w:t>ل</w:t>
      </w:r>
      <w:r>
        <w:rPr>
          <w:rtl/>
        </w:rPr>
        <w:t>ك</w:t>
      </w:r>
      <w:r w:rsidRPr="00FE4C18">
        <w:rPr>
          <w:rtl/>
        </w:rPr>
        <w:t>ن ز</w:t>
      </w:r>
      <w:r>
        <w:rPr>
          <w:rtl/>
        </w:rPr>
        <w:t>ي</w:t>
      </w:r>
      <w:r w:rsidRPr="00FE4C18">
        <w:rPr>
          <w:rtl/>
        </w:rPr>
        <w:t>د هذا</w:t>
      </w:r>
      <w:r w:rsidRPr="007F5B58">
        <w:rPr>
          <w:rtl/>
        </w:rPr>
        <w:t>؛</w:t>
      </w:r>
      <w:r w:rsidRPr="00FE4C18">
        <w:rPr>
          <w:rtl/>
        </w:rPr>
        <w:t xml:space="preserve"> لتض</w:t>
      </w:r>
      <w:r>
        <w:rPr>
          <w:rtl/>
        </w:rPr>
        <w:t>يي</w:t>
      </w:r>
      <w:r w:rsidRPr="00FE4C18">
        <w:rPr>
          <w:rtl/>
        </w:rPr>
        <w:t xml:space="preserve">عه </w:t>
      </w:r>
      <w:r>
        <w:rPr>
          <w:rtl/>
        </w:rPr>
        <w:t>ا</w:t>
      </w:r>
      <w:r w:rsidRPr="00FE4C18">
        <w:rPr>
          <w:rtl/>
        </w:rPr>
        <w:t>لنطفة</w:t>
      </w:r>
      <w:r w:rsidRPr="007F5B58">
        <w:rPr>
          <w:rtl/>
        </w:rPr>
        <w:t>؛</w:t>
      </w:r>
      <w:r>
        <w:rPr>
          <w:rtl/>
        </w:rPr>
        <w:t xml:space="preserve"> و</w:t>
      </w:r>
      <w:r w:rsidRPr="00FE4C18">
        <w:rPr>
          <w:rtl/>
        </w:rPr>
        <w:t xml:space="preserve">لوضعه </w:t>
      </w:r>
      <w:r>
        <w:rPr>
          <w:rtl/>
        </w:rPr>
        <w:t>إيّ</w:t>
      </w:r>
      <w:r w:rsidRPr="00FE4C18">
        <w:rPr>
          <w:rtl/>
        </w:rPr>
        <w:t>اها في غ</w:t>
      </w:r>
      <w:r>
        <w:rPr>
          <w:rtl/>
        </w:rPr>
        <w:t>ي</w:t>
      </w:r>
      <w:r w:rsidRPr="00FE4C18">
        <w:rPr>
          <w:rtl/>
        </w:rPr>
        <w:t xml:space="preserve">ر موضعه </w:t>
      </w:r>
      <w:r>
        <w:rPr>
          <w:rtl/>
        </w:rPr>
        <w:t>ا</w:t>
      </w:r>
      <w:r w:rsidRPr="00FE4C18">
        <w:rPr>
          <w:rtl/>
        </w:rPr>
        <w:t>لذي أمره الله عزّ</w:t>
      </w:r>
      <w:r>
        <w:rPr>
          <w:rtl/>
        </w:rPr>
        <w:t xml:space="preserve"> و</w:t>
      </w:r>
      <w:r w:rsidRPr="00FE4C18">
        <w:rPr>
          <w:rtl/>
        </w:rPr>
        <w:t>جلّ به»</w:t>
      </w:r>
      <w:r>
        <w:rPr>
          <w:rtl/>
        </w:rPr>
        <w:t>.</w:t>
      </w:r>
      <w:r w:rsidRPr="00FE4C18">
        <w:rPr>
          <w:rtl/>
        </w:rPr>
        <w:t xml:space="preserve"> فالم</w:t>
      </w:r>
      <w:r>
        <w:rPr>
          <w:rtl/>
        </w:rPr>
        <w:t>ك</w:t>
      </w:r>
      <w:r w:rsidRPr="00FE4C18">
        <w:rPr>
          <w:rtl/>
        </w:rPr>
        <w:t xml:space="preserve">ان </w:t>
      </w:r>
      <w:r>
        <w:rPr>
          <w:rtl/>
        </w:rPr>
        <w:t>ا</w:t>
      </w:r>
      <w:r w:rsidRPr="00FE4C18">
        <w:rPr>
          <w:rtl/>
        </w:rPr>
        <w:t xml:space="preserve">لمشروع لوضع </w:t>
      </w:r>
      <w:r>
        <w:rPr>
          <w:rtl/>
        </w:rPr>
        <w:t>ا</w:t>
      </w:r>
      <w:r w:rsidRPr="00FE4C18">
        <w:rPr>
          <w:rtl/>
        </w:rPr>
        <w:t xml:space="preserve">لنطفة </w:t>
      </w:r>
      <w:r>
        <w:rPr>
          <w:rtl/>
        </w:rPr>
        <w:t xml:space="preserve">هو </w:t>
      </w:r>
      <w:r w:rsidRPr="00FE4C18">
        <w:rPr>
          <w:rtl/>
        </w:rPr>
        <w:t xml:space="preserve">رحم </w:t>
      </w:r>
      <w:r>
        <w:rPr>
          <w:rtl/>
        </w:rPr>
        <w:t>ا</w:t>
      </w:r>
      <w:r w:rsidRPr="00FE4C18">
        <w:rPr>
          <w:rtl/>
        </w:rPr>
        <w:t>لزوجة</w:t>
      </w:r>
      <w:r w:rsidRPr="007F5B58">
        <w:rPr>
          <w:rtl/>
        </w:rPr>
        <w:t>،</w:t>
      </w:r>
      <w:r>
        <w:rPr>
          <w:rtl/>
        </w:rPr>
        <w:t xml:space="preserve"> وموضع ا</w:t>
      </w:r>
      <w:r w:rsidRPr="00FE4C18">
        <w:rPr>
          <w:rtl/>
        </w:rPr>
        <w:t>لنطفة في غ</w:t>
      </w:r>
      <w:r>
        <w:rPr>
          <w:rtl/>
        </w:rPr>
        <w:t>ي</w:t>
      </w:r>
      <w:r w:rsidRPr="00FE4C18">
        <w:rPr>
          <w:rtl/>
        </w:rPr>
        <w:t xml:space="preserve">ر هذا </w:t>
      </w:r>
      <w:r>
        <w:rPr>
          <w:rtl/>
        </w:rPr>
        <w:t>ا</w:t>
      </w:r>
      <w:r w:rsidRPr="00FE4C18">
        <w:rPr>
          <w:rtl/>
        </w:rPr>
        <w:t>لم</w:t>
      </w:r>
      <w:r>
        <w:rPr>
          <w:rtl/>
        </w:rPr>
        <w:t>ك</w:t>
      </w:r>
      <w:r w:rsidRPr="00FE4C18">
        <w:rPr>
          <w:rtl/>
        </w:rPr>
        <w:t>ان</w:t>
      </w:r>
      <w:r w:rsidRPr="007F5B58">
        <w:rPr>
          <w:rtl/>
        </w:rPr>
        <w:t>،</w:t>
      </w:r>
      <w:r w:rsidRPr="00FE4C18">
        <w:rPr>
          <w:rtl/>
        </w:rPr>
        <w:t xml:space="preserve"> أي في رحم امرأة </w:t>
      </w:r>
      <w:r>
        <w:rPr>
          <w:rtl/>
        </w:rPr>
        <w:t>أ</w:t>
      </w:r>
      <w:r w:rsidRPr="00FE4C18">
        <w:rPr>
          <w:rtl/>
        </w:rPr>
        <w:t>خر</w:t>
      </w:r>
      <w:r>
        <w:rPr>
          <w:rtl/>
        </w:rPr>
        <w:t>ى</w:t>
      </w:r>
      <w:r w:rsidRPr="00FE4C18">
        <w:rPr>
          <w:rtl/>
        </w:rPr>
        <w:t xml:space="preserve"> </w:t>
      </w:r>
      <w:r>
        <w:rPr>
          <w:rtl/>
        </w:rPr>
        <w:t>غير</w:t>
      </w:r>
      <w:r w:rsidRPr="00FE4C18">
        <w:rPr>
          <w:rtl/>
        </w:rPr>
        <w:t xml:space="preserve"> زوجته</w:t>
      </w:r>
      <w:r w:rsidRPr="007F5B58">
        <w:rPr>
          <w:rtl/>
        </w:rPr>
        <w:t>،</w:t>
      </w:r>
      <w:r w:rsidRPr="00FE4C18">
        <w:rPr>
          <w:rtl/>
        </w:rPr>
        <w:t xml:space="preserve"> عمل</w:t>
      </w:r>
      <w:r>
        <w:rPr>
          <w:rtl/>
        </w:rPr>
        <w:t>ٌ</w:t>
      </w:r>
      <w:r w:rsidRPr="00FE4C18">
        <w:rPr>
          <w:rtl/>
        </w:rPr>
        <w:t xml:space="preserve"> تحرمه</w:t>
      </w:r>
      <w:r>
        <w:rPr>
          <w:rFonts w:hint="cs"/>
          <w:rtl/>
        </w:rPr>
        <w:t xml:space="preserve"> الروايتان</w:t>
      </w:r>
      <w:r w:rsidRPr="00FE4C18">
        <w:rPr>
          <w:rtl/>
        </w:rPr>
        <w:t xml:space="preserve">. </w:t>
      </w:r>
      <w:r>
        <w:rPr>
          <w:rtl/>
        </w:rPr>
        <w:t>وي</w:t>
      </w:r>
      <w:r w:rsidRPr="00FE4C18">
        <w:rPr>
          <w:rtl/>
        </w:rPr>
        <w:t xml:space="preserve">قول هذا </w:t>
      </w:r>
      <w:r>
        <w:rPr>
          <w:rtl/>
        </w:rPr>
        <w:t>ا</w:t>
      </w:r>
      <w:r w:rsidRPr="00FE4C18">
        <w:rPr>
          <w:rtl/>
        </w:rPr>
        <w:t>لفر</w:t>
      </w:r>
      <w:r>
        <w:rPr>
          <w:rtl/>
        </w:rPr>
        <w:t>ي</w:t>
      </w:r>
      <w:r w:rsidRPr="00FE4C18">
        <w:rPr>
          <w:rtl/>
        </w:rPr>
        <w:t xml:space="preserve">ق من </w:t>
      </w:r>
      <w:r>
        <w:rPr>
          <w:rtl/>
        </w:rPr>
        <w:t>ا</w:t>
      </w:r>
      <w:r w:rsidRPr="00FE4C18">
        <w:rPr>
          <w:rtl/>
        </w:rPr>
        <w:t>لفقهاء</w:t>
      </w:r>
      <w:r>
        <w:rPr>
          <w:rFonts w:hint="cs"/>
          <w:rtl/>
        </w:rPr>
        <w:t>:</w:t>
      </w:r>
      <w:r w:rsidRPr="00FE4C18">
        <w:rPr>
          <w:rtl/>
        </w:rPr>
        <w:t xml:space="preserve"> </w:t>
      </w:r>
      <w:r>
        <w:rPr>
          <w:rFonts w:hint="cs"/>
          <w:rtl/>
        </w:rPr>
        <w:t>إ</w:t>
      </w:r>
      <w:r w:rsidRPr="00FE4C18">
        <w:rPr>
          <w:rtl/>
        </w:rPr>
        <w:t xml:space="preserve">نَّ </w:t>
      </w:r>
      <w:r>
        <w:rPr>
          <w:rtl/>
        </w:rPr>
        <w:t>ا</w:t>
      </w:r>
      <w:r w:rsidRPr="00FE4C18">
        <w:rPr>
          <w:rtl/>
        </w:rPr>
        <w:t xml:space="preserve">لمقصود من </w:t>
      </w:r>
      <w:r>
        <w:rPr>
          <w:rtl/>
        </w:rPr>
        <w:t>ا</w:t>
      </w:r>
      <w:r w:rsidRPr="00FE4C18">
        <w:rPr>
          <w:rtl/>
        </w:rPr>
        <w:t>لنطفة هو خل</w:t>
      </w:r>
      <w:r>
        <w:rPr>
          <w:rtl/>
        </w:rPr>
        <w:t>ي</w:t>
      </w:r>
      <w:r w:rsidRPr="00FE4C18">
        <w:rPr>
          <w:rtl/>
        </w:rPr>
        <w:t xml:space="preserve">ط مني </w:t>
      </w:r>
      <w:r>
        <w:rPr>
          <w:rtl/>
        </w:rPr>
        <w:t>ا</w:t>
      </w:r>
      <w:r w:rsidRPr="00FE4C18">
        <w:rPr>
          <w:rtl/>
        </w:rPr>
        <w:t>لزوج</w:t>
      </w:r>
      <w:r>
        <w:rPr>
          <w:rtl/>
        </w:rPr>
        <w:t xml:space="preserve"> و</w:t>
      </w:r>
      <w:r w:rsidRPr="00FE4C18">
        <w:rPr>
          <w:rtl/>
        </w:rPr>
        <w:t>بو</w:t>
      </w:r>
      <w:r>
        <w:rPr>
          <w:rtl/>
        </w:rPr>
        <w:t>ي</w:t>
      </w:r>
      <w:r w:rsidRPr="00FE4C18">
        <w:rPr>
          <w:rtl/>
        </w:rPr>
        <w:t xml:space="preserve">ضة </w:t>
      </w:r>
      <w:r>
        <w:rPr>
          <w:rtl/>
        </w:rPr>
        <w:t>ا</w:t>
      </w:r>
      <w:r w:rsidRPr="00FE4C18">
        <w:rPr>
          <w:rtl/>
        </w:rPr>
        <w:t>لزوجة</w:t>
      </w:r>
      <w:r w:rsidRPr="007F5B58">
        <w:rPr>
          <w:rtl/>
        </w:rPr>
        <w:t>،</w:t>
      </w:r>
      <w:r w:rsidRPr="00FE4C18">
        <w:rPr>
          <w:rtl/>
        </w:rPr>
        <w:t xml:space="preserve"> </w:t>
      </w:r>
      <w:r>
        <w:rPr>
          <w:rtl/>
        </w:rPr>
        <w:t>ك</w:t>
      </w:r>
      <w:r w:rsidRPr="00FE4C18">
        <w:rPr>
          <w:rtl/>
        </w:rPr>
        <w:t xml:space="preserve">ما جاء في </w:t>
      </w:r>
      <w:r>
        <w:rPr>
          <w:rtl/>
        </w:rPr>
        <w:t>ا</w:t>
      </w:r>
      <w:r w:rsidRPr="00FE4C18">
        <w:rPr>
          <w:rtl/>
        </w:rPr>
        <w:t>لحد</w:t>
      </w:r>
      <w:r>
        <w:rPr>
          <w:rtl/>
        </w:rPr>
        <w:t>ي</w:t>
      </w:r>
      <w:r w:rsidRPr="00FE4C18">
        <w:rPr>
          <w:rtl/>
        </w:rPr>
        <w:t xml:space="preserve">ث </w:t>
      </w:r>
      <w:r>
        <w:rPr>
          <w:rtl/>
        </w:rPr>
        <w:t>ا</w:t>
      </w:r>
      <w:r w:rsidRPr="00FE4C18">
        <w:rPr>
          <w:rtl/>
        </w:rPr>
        <w:t>لمروي عن إسحاق بن عمار</w:t>
      </w:r>
      <w:r>
        <w:rPr>
          <w:rFonts w:hint="cs"/>
          <w:rtl/>
        </w:rPr>
        <w:t>،</w:t>
      </w:r>
      <w:r w:rsidRPr="00FE4C18">
        <w:rPr>
          <w:rtl/>
        </w:rPr>
        <w:t xml:space="preserve"> </w:t>
      </w:r>
      <w:r>
        <w:rPr>
          <w:rtl/>
        </w:rPr>
        <w:t>ا</w:t>
      </w:r>
      <w:r w:rsidRPr="00FE4C18">
        <w:rPr>
          <w:rtl/>
        </w:rPr>
        <w:t>لذي قال</w:t>
      </w:r>
      <w:r w:rsidRPr="007F5B58">
        <w:rPr>
          <w:rtl/>
        </w:rPr>
        <w:t>:</w:t>
      </w:r>
      <w:r w:rsidRPr="00FE4C18">
        <w:rPr>
          <w:rtl/>
        </w:rPr>
        <w:t xml:space="preserve"> «قلتُ ل</w:t>
      </w:r>
      <w:r>
        <w:rPr>
          <w:rtl/>
        </w:rPr>
        <w:t>أ</w:t>
      </w:r>
      <w:r w:rsidRPr="00FE4C18">
        <w:rPr>
          <w:rtl/>
        </w:rPr>
        <w:t>ب</w:t>
      </w:r>
      <w:r>
        <w:rPr>
          <w:rFonts w:hint="cs"/>
          <w:rtl/>
        </w:rPr>
        <w:t>ي</w:t>
      </w:r>
      <w:r>
        <w:rPr>
          <w:rtl/>
        </w:rPr>
        <w:t xml:space="preserve"> ا</w:t>
      </w:r>
      <w:r w:rsidRPr="00FE4C18">
        <w:rPr>
          <w:rtl/>
        </w:rPr>
        <w:t>لحسن</w:t>
      </w:r>
      <w:r w:rsidRPr="007F5B58">
        <w:rPr>
          <w:rtl/>
        </w:rPr>
        <w:t>:</w:t>
      </w:r>
      <w:r w:rsidRPr="00FE4C18">
        <w:rPr>
          <w:rtl/>
        </w:rPr>
        <w:t xml:space="preserve"> المرأة تخالف </w:t>
      </w:r>
      <w:r>
        <w:rPr>
          <w:rtl/>
        </w:rPr>
        <w:t>ا</w:t>
      </w:r>
      <w:r w:rsidRPr="00FE4C18">
        <w:rPr>
          <w:rtl/>
        </w:rPr>
        <w:t xml:space="preserve">لحبل فتشرب </w:t>
      </w:r>
      <w:r>
        <w:rPr>
          <w:rtl/>
        </w:rPr>
        <w:t>ا</w:t>
      </w:r>
      <w:r w:rsidRPr="00FE4C18">
        <w:rPr>
          <w:rtl/>
        </w:rPr>
        <w:t>لدواء فتلق</w:t>
      </w:r>
      <w:r>
        <w:rPr>
          <w:rFonts w:hint="cs"/>
          <w:rtl/>
        </w:rPr>
        <w:t>ي</w:t>
      </w:r>
      <w:r>
        <w:rPr>
          <w:rtl/>
        </w:rPr>
        <w:t xml:space="preserve"> </w:t>
      </w:r>
      <w:r w:rsidRPr="00FE4C18">
        <w:rPr>
          <w:rtl/>
        </w:rPr>
        <w:t>ما في بطنها</w:t>
      </w:r>
      <w:r w:rsidRPr="000839E1">
        <w:rPr>
          <w:rtl/>
        </w:rPr>
        <w:t>؟</w:t>
      </w:r>
      <w:r>
        <w:rPr>
          <w:rFonts w:hint="cs"/>
          <w:rtl/>
        </w:rPr>
        <w:t xml:space="preserve"> </w:t>
      </w:r>
      <w:r w:rsidRPr="00FE4C18">
        <w:rPr>
          <w:rtl/>
        </w:rPr>
        <w:t>قال</w:t>
      </w:r>
      <w:r w:rsidRPr="007F5B58">
        <w:rPr>
          <w:rtl/>
        </w:rPr>
        <w:t>:</w:t>
      </w:r>
      <w:r>
        <w:rPr>
          <w:rtl/>
        </w:rPr>
        <w:t xml:space="preserve"> </w:t>
      </w:r>
      <w:r w:rsidRPr="00FE4C18">
        <w:rPr>
          <w:rtl/>
        </w:rPr>
        <w:t>لا.</w:t>
      </w:r>
      <w:r>
        <w:rPr>
          <w:rtl/>
        </w:rPr>
        <w:t xml:space="preserve"> </w:t>
      </w:r>
      <w:r w:rsidRPr="00FE4C18">
        <w:rPr>
          <w:rtl/>
        </w:rPr>
        <w:t>فقلت</w:t>
      </w:r>
      <w:r w:rsidRPr="007F5B58">
        <w:rPr>
          <w:rtl/>
        </w:rPr>
        <w:t>:</w:t>
      </w:r>
      <w:r w:rsidRPr="00FE4C18">
        <w:rPr>
          <w:rtl/>
        </w:rPr>
        <w:t xml:space="preserve"> </w:t>
      </w:r>
      <w:r>
        <w:rPr>
          <w:rtl/>
        </w:rPr>
        <w:t>إ</w:t>
      </w:r>
      <w:r w:rsidRPr="00FE4C18">
        <w:rPr>
          <w:rtl/>
        </w:rPr>
        <w:t>نما هو</w:t>
      </w:r>
      <w:r>
        <w:rPr>
          <w:rtl/>
        </w:rPr>
        <w:t xml:space="preserve"> ا</w:t>
      </w:r>
      <w:r w:rsidRPr="00FE4C18">
        <w:rPr>
          <w:rtl/>
        </w:rPr>
        <w:t>لنطفة</w:t>
      </w:r>
      <w:r>
        <w:rPr>
          <w:rFonts w:hint="cs"/>
          <w:rtl/>
        </w:rPr>
        <w:t xml:space="preserve">، </w:t>
      </w:r>
      <w:r w:rsidRPr="00FE4C18">
        <w:rPr>
          <w:rtl/>
        </w:rPr>
        <w:t>فقال</w:t>
      </w:r>
      <w:r w:rsidRPr="007F5B58">
        <w:rPr>
          <w:rtl/>
        </w:rPr>
        <w:t>:</w:t>
      </w:r>
      <w:r w:rsidRPr="00FE4C18">
        <w:rPr>
          <w:rtl/>
        </w:rPr>
        <w:t xml:space="preserve"> </w:t>
      </w:r>
      <w:r>
        <w:rPr>
          <w:rtl/>
        </w:rPr>
        <w:t>إ</w:t>
      </w:r>
      <w:r w:rsidRPr="00FE4C18">
        <w:rPr>
          <w:rtl/>
        </w:rPr>
        <w:t xml:space="preserve">ن </w:t>
      </w:r>
      <w:r>
        <w:rPr>
          <w:rtl/>
        </w:rPr>
        <w:t>أ</w:t>
      </w:r>
      <w:r w:rsidRPr="00FE4C18">
        <w:rPr>
          <w:rtl/>
        </w:rPr>
        <w:t xml:space="preserve">ول ما </w:t>
      </w:r>
      <w:r>
        <w:rPr>
          <w:rtl/>
        </w:rPr>
        <w:t>ي</w:t>
      </w:r>
      <w:r w:rsidRPr="00FE4C18">
        <w:rPr>
          <w:rtl/>
        </w:rPr>
        <w:t xml:space="preserve">خلق نطفة». </w:t>
      </w:r>
    </w:p>
    <w:p w:rsidR="00391A35" w:rsidRPr="00FE4C18" w:rsidRDefault="00391A35" w:rsidP="0067362A">
      <w:pPr>
        <w:pStyle w:val="ac"/>
        <w:rPr>
          <w:rtl/>
        </w:rPr>
      </w:pPr>
      <w:r w:rsidRPr="00FE4C18">
        <w:rPr>
          <w:rtl/>
        </w:rPr>
        <w:t xml:space="preserve">و </w:t>
      </w:r>
      <w:r>
        <w:rPr>
          <w:rtl/>
        </w:rPr>
        <w:t>ك</w:t>
      </w:r>
      <w:r w:rsidRPr="00FE4C18">
        <w:rPr>
          <w:rtl/>
        </w:rPr>
        <w:t>ذل</w:t>
      </w:r>
      <w:r>
        <w:rPr>
          <w:rtl/>
        </w:rPr>
        <w:t>ك</w:t>
      </w:r>
      <w:r w:rsidRPr="00FE4C18">
        <w:rPr>
          <w:rtl/>
        </w:rPr>
        <w:t xml:space="preserve"> عدة من </w:t>
      </w:r>
      <w:r>
        <w:rPr>
          <w:rtl/>
        </w:rPr>
        <w:t>ا</w:t>
      </w:r>
      <w:r w:rsidRPr="00FE4C18">
        <w:rPr>
          <w:rtl/>
        </w:rPr>
        <w:t>لروا</w:t>
      </w:r>
      <w:r>
        <w:rPr>
          <w:rtl/>
        </w:rPr>
        <w:t>ي</w:t>
      </w:r>
      <w:r w:rsidRPr="00FE4C18">
        <w:rPr>
          <w:rtl/>
        </w:rPr>
        <w:t>ات تستخدم مصطلح (نطفة) بمعن</w:t>
      </w:r>
      <w:r>
        <w:rPr>
          <w:rFonts w:hint="cs"/>
          <w:rtl/>
        </w:rPr>
        <w:t>ى</w:t>
      </w:r>
      <w:r w:rsidRPr="00FE4C18">
        <w:rPr>
          <w:rtl/>
        </w:rPr>
        <w:t xml:space="preserve"> عام </w:t>
      </w:r>
      <w:r>
        <w:rPr>
          <w:rtl/>
        </w:rPr>
        <w:t>ي</w:t>
      </w:r>
      <w:r w:rsidRPr="00FE4C18">
        <w:rPr>
          <w:rtl/>
        </w:rPr>
        <w:t xml:space="preserve">شمل مراحل </w:t>
      </w:r>
      <w:r>
        <w:rPr>
          <w:rtl/>
        </w:rPr>
        <w:lastRenderedPageBreak/>
        <w:t>ك</w:t>
      </w:r>
      <w:r w:rsidRPr="00FE4C18">
        <w:rPr>
          <w:rtl/>
        </w:rPr>
        <w:t>ث</w:t>
      </w:r>
      <w:r>
        <w:rPr>
          <w:rtl/>
        </w:rPr>
        <w:t>ي</w:t>
      </w:r>
      <w:r w:rsidRPr="00FE4C18">
        <w:rPr>
          <w:rtl/>
        </w:rPr>
        <w:t>رة من تغ</w:t>
      </w:r>
      <w:r>
        <w:rPr>
          <w:rtl/>
        </w:rPr>
        <w:t>يي</w:t>
      </w:r>
      <w:r w:rsidRPr="00FE4C18">
        <w:rPr>
          <w:rtl/>
        </w:rPr>
        <w:t>ر</w:t>
      </w:r>
      <w:r>
        <w:rPr>
          <w:rtl/>
        </w:rPr>
        <w:t xml:space="preserve"> و</w:t>
      </w:r>
      <w:r w:rsidRPr="00FE4C18">
        <w:rPr>
          <w:rtl/>
        </w:rPr>
        <w:t>ت</w:t>
      </w:r>
      <w:r>
        <w:rPr>
          <w:rtl/>
        </w:rPr>
        <w:t>ك</w:t>
      </w:r>
      <w:r w:rsidRPr="00FE4C18">
        <w:rPr>
          <w:rtl/>
        </w:rPr>
        <w:t xml:space="preserve">امل </w:t>
      </w:r>
      <w:r>
        <w:rPr>
          <w:rtl/>
        </w:rPr>
        <w:t>ا</w:t>
      </w:r>
      <w:r w:rsidRPr="00FE4C18">
        <w:rPr>
          <w:rtl/>
        </w:rPr>
        <w:t>لج</w:t>
      </w:r>
      <w:r>
        <w:rPr>
          <w:rtl/>
        </w:rPr>
        <w:t>ي</w:t>
      </w:r>
      <w:r w:rsidRPr="00FE4C18">
        <w:rPr>
          <w:rtl/>
        </w:rPr>
        <w:t xml:space="preserve">نات </w:t>
      </w:r>
      <w:r>
        <w:rPr>
          <w:rtl/>
        </w:rPr>
        <w:t>ا</w:t>
      </w:r>
      <w:r w:rsidRPr="00FE4C18">
        <w:rPr>
          <w:rtl/>
        </w:rPr>
        <w:t>لوراث</w:t>
      </w:r>
      <w:r>
        <w:rPr>
          <w:rtl/>
        </w:rPr>
        <w:t>ي</w:t>
      </w:r>
      <w:r w:rsidRPr="00FE4C18">
        <w:rPr>
          <w:rtl/>
        </w:rPr>
        <w:t>ة للزوج</w:t>
      </w:r>
      <w:r>
        <w:rPr>
          <w:rtl/>
        </w:rPr>
        <w:t xml:space="preserve"> وا</w:t>
      </w:r>
      <w:r w:rsidRPr="00FE4C18">
        <w:rPr>
          <w:rtl/>
        </w:rPr>
        <w:t>لزوجة</w:t>
      </w:r>
      <w:r w:rsidRPr="007F5B58">
        <w:rPr>
          <w:rtl/>
        </w:rPr>
        <w:t>،</w:t>
      </w:r>
      <w:r>
        <w:rPr>
          <w:rtl/>
        </w:rPr>
        <w:t xml:space="preserve"> وا</w:t>
      </w:r>
      <w:r w:rsidRPr="00FE4C18">
        <w:rPr>
          <w:rtl/>
        </w:rPr>
        <w:t>ل</w:t>
      </w:r>
      <w:r>
        <w:rPr>
          <w:rtl/>
        </w:rPr>
        <w:t>إ</w:t>
      </w:r>
      <w:r w:rsidRPr="0096784A">
        <w:rPr>
          <w:rFonts w:cs="Taher"/>
          <w:rtl/>
        </w:rPr>
        <w:t>سپر</w:t>
      </w:r>
      <w:r w:rsidRPr="00FE4C18">
        <w:rPr>
          <w:rtl/>
        </w:rPr>
        <w:t>م</w:t>
      </w:r>
      <w:r>
        <w:rPr>
          <w:rtl/>
        </w:rPr>
        <w:t xml:space="preserve"> وا</w:t>
      </w:r>
      <w:r w:rsidRPr="00FE4C18">
        <w:rPr>
          <w:rtl/>
        </w:rPr>
        <w:t>لبو</w:t>
      </w:r>
      <w:r>
        <w:rPr>
          <w:rtl/>
        </w:rPr>
        <w:t>ي</w:t>
      </w:r>
      <w:r w:rsidRPr="00FE4C18">
        <w:rPr>
          <w:rtl/>
        </w:rPr>
        <w:t>ضة بغ</w:t>
      </w:r>
      <w:r>
        <w:rPr>
          <w:rtl/>
        </w:rPr>
        <w:t>ي</w:t>
      </w:r>
      <w:r w:rsidRPr="00FE4C18">
        <w:rPr>
          <w:rtl/>
        </w:rPr>
        <w:t xml:space="preserve">ر </w:t>
      </w:r>
      <w:r>
        <w:rPr>
          <w:rtl/>
        </w:rPr>
        <w:t>ا</w:t>
      </w:r>
      <w:r w:rsidRPr="00FE4C18">
        <w:rPr>
          <w:rtl/>
        </w:rPr>
        <w:t>لتلق</w:t>
      </w:r>
      <w:r>
        <w:rPr>
          <w:rtl/>
        </w:rPr>
        <w:t>ي</w:t>
      </w:r>
      <w:r w:rsidRPr="00FE4C18">
        <w:rPr>
          <w:rtl/>
        </w:rPr>
        <w:t>ح</w:t>
      </w:r>
      <w:r w:rsidRPr="007F5B58">
        <w:rPr>
          <w:rtl/>
        </w:rPr>
        <w:t>،</w:t>
      </w:r>
      <w:r w:rsidRPr="00FE4C18">
        <w:rPr>
          <w:rtl/>
        </w:rPr>
        <w:t xml:space="preserve"> أو </w:t>
      </w:r>
      <w:r>
        <w:rPr>
          <w:rtl/>
        </w:rPr>
        <w:t>ا</w:t>
      </w:r>
      <w:r w:rsidRPr="00FE4C18">
        <w:rPr>
          <w:rtl/>
        </w:rPr>
        <w:t>لبو</w:t>
      </w:r>
      <w:r>
        <w:rPr>
          <w:rtl/>
        </w:rPr>
        <w:t>ي</w:t>
      </w:r>
      <w:r w:rsidRPr="00FE4C18">
        <w:rPr>
          <w:rtl/>
        </w:rPr>
        <w:t xml:space="preserve">ضة </w:t>
      </w:r>
      <w:r>
        <w:rPr>
          <w:rtl/>
        </w:rPr>
        <w:t>ا</w:t>
      </w:r>
      <w:r w:rsidRPr="00FE4C18">
        <w:rPr>
          <w:rtl/>
        </w:rPr>
        <w:t>لملقحة</w:t>
      </w:r>
      <w:r>
        <w:rPr>
          <w:rtl/>
        </w:rPr>
        <w:t>. و</w:t>
      </w:r>
      <w:r w:rsidRPr="00FE4C18">
        <w:rPr>
          <w:rtl/>
        </w:rPr>
        <w:t>حت</w:t>
      </w:r>
      <w:r>
        <w:rPr>
          <w:rtl/>
        </w:rPr>
        <w:t>ى</w:t>
      </w:r>
      <w:r w:rsidRPr="00FE4C18">
        <w:rPr>
          <w:rtl/>
        </w:rPr>
        <w:t xml:space="preserve"> </w:t>
      </w:r>
      <w:r>
        <w:rPr>
          <w:rtl/>
        </w:rPr>
        <w:t>ا</w:t>
      </w:r>
      <w:r w:rsidRPr="00FE4C18">
        <w:rPr>
          <w:rtl/>
        </w:rPr>
        <w:t>لبو</w:t>
      </w:r>
      <w:r>
        <w:rPr>
          <w:rtl/>
        </w:rPr>
        <w:t>ي</w:t>
      </w:r>
      <w:r w:rsidRPr="00FE4C18">
        <w:rPr>
          <w:rtl/>
        </w:rPr>
        <w:t xml:space="preserve">ضة </w:t>
      </w:r>
      <w:r>
        <w:rPr>
          <w:rtl/>
        </w:rPr>
        <w:t>ا</w:t>
      </w:r>
      <w:r w:rsidRPr="00FE4C18">
        <w:rPr>
          <w:rtl/>
        </w:rPr>
        <w:t xml:space="preserve">لملقّحة </w:t>
      </w:r>
      <w:r>
        <w:rPr>
          <w:rtl/>
        </w:rPr>
        <w:t>ا</w:t>
      </w:r>
      <w:r w:rsidRPr="00FE4C18">
        <w:rPr>
          <w:rtl/>
        </w:rPr>
        <w:t>لتي بدأت عمل</w:t>
      </w:r>
      <w:r>
        <w:rPr>
          <w:rtl/>
        </w:rPr>
        <w:t>يّ</w:t>
      </w:r>
      <w:r w:rsidRPr="00FE4C18">
        <w:rPr>
          <w:rtl/>
        </w:rPr>
        <w:t xml:space="preserve">ة </w:t>
      </w:r>
      <w:r>
        <w:rPr>
          <w:rtl/>
        </w:rPr>
        <w:t>ا</w:t>
      </w:r>
      <w:r w:rsidRPr="00FE4C18">
        <w:rPr>
          <w:rtl/>
        </w:rPr>
        <w:t>لنمو بز</w:t>
      </w:r>
      <w:r>
        <w:rPr>
          <w:rtl/>
        </w:rPr>
        <w:t>ي</w:t>
      </w:r>
      <w:r w:rsidRPr="00FE4C18">
        <w:rPr>
          <w:rtl/>
        </w:rPr>
        <w:t xml:space="preserve">ادة </w:t>
      </w:r>
      <w:r>
        <w:rPr>
          <w:rtl/>
        </w:rPr>
        <w:t>ا</w:t>
      </w:r>
      <w:r w:rsidRPr="00FE4C18">
        <w:rPr>
          <w:rtl/>
        </w:rPr>
        <w:t>لخلا</w:t>
      </w:r>
      <w:r>
        <w:rPr>
          <w:rtl/>
        </w:rPr>
        <w:t>ي</w:t>
      </w:r>
      <w:r w:rsidRPr="00FE4C18">
        <w:rPr>
          <w:rtl/>
        </w:rPr>
        <w:t>ا</w:t>
      </w:r>
      <w:r>
        <w:rPr>
          <w:rtl/>
        </w:rPr>
        <w:t xml:space="preserve"> و</w:t>
      </w:r>
      <w:r w:rsidRPr="00FE4C18">
        <w:rPr>
          <w:rtl/>
        </w:rPr>
        <w:t>وصلت إل</w:t>
      </w:r>
      <w:r>
        <w:rPr>
          <w:rtl/>
        </w:rPr>
        <w:t xml:space="preserve">ى </w:t>
      </w:r>
      <w:r w:rsidRPr="00FE4C18">
        <w:rPr>
          <w:rtl/>
        </w:rPr>
        <w:t xml:space="preserve">مرحلة من مراحل </w:t>
      </w:r>
      <w:r>
        <w:rPr>
          <w:rtl/>
        </w:rPr>
        <w:t>ا</w:t>
      </w:r>
      <w:r w:rsidRPr="00FE4C18">
        <w:rPr>
          <w:rtl/>
        </w:rPr>
        <w:t>لنمو</w:t>
      </w:r>
      <w:r>
        <w:rPr>
          <w:rtl/>
        </w:rPr>
        <w:t xml:space="preserve"> وا</w:t>
      </w:r>
      <w:r w:rsidRPr="00FE4C18">
        <w:rPr>
          <w:rtl/>
        </w:rPr>
        <w:t>لت</w:t>
      </w:r>
      <w:r>
        <w:rPr>
          <w:rtl/>
        </w:rPr>
        <w:t>ك</w:t>
      </w:r>
      <w:r w:rsidRPr="00FE4C18">
        <w:rPr>
          <w:rtl/>
        </w:rPr>
        <w:t>امل</w:t>
      </w:r>
      <w:r w:rsidRPr="007F5B58">
        <w:rPr>
          <w:rtl/>
        </w:rPr>
        <w:t>؛</w:t>
      </w:r>
      <w:r w:rsidRPr="00FE4C18">
        <w:rPr>
          <w:rtl/>
        </w:rPr>
        <w:t xml:space="preserve"> فمثلاً</w:t>
      </w:r>
      <w:r w:rsidRPr="007F5B58">
        <w:rPr>
          <w:rtl/>
        </w:rPr>
        <w:t>:</w:t>
      </w:r>
      <w:r w:rsidRPr="00FE4C18">
        <w:rPr>
          <w:rtl/>
        </w:rPr>
        <w:t xml:space="preserve"> هنا</w:t>
      </w:r>
      <w:r>
        <w:rPr>
          <w:rtl/>
        </w:rPr>
        <w:t>ك</w:t>
      </w:r>
      <w:r w:rsidRPr="00FE4C18">
        <w:rPr>
          <w:rtl/>
        </w:rPr>
        <w:t xml:space="preserve"> روا</w:t>
      </w:r>
      <w:r>
        <w:rPr>
          <w:rtl/>
        </w:rPr>
        <w:t>ي</w:t>
      </w:r>
      <w:r w:rsidRPr="00FE4C18">
        <w:rPr>
          <w:rtl/>
        </w:rPr>
        <w:t>ات ع</w:t>
      </w:r>
      <w:r>
        <w:rPr>
          <w:rtl/>
        </w:rPr>
        <w:t>يّ</w:t>
      </w:r>
      <w:r w:rsidRPr="00FE4C18">
        <w:rPr>
          <w:rtl/>
        </w:rPr>
        <w:t xml:space="preserve">نت لمراحل نمو </w:t>
      </w:r>
      <w:r>
        <w:rPr>
          <w:rtl/>
        </w:rPr>
        <w:t>ا</w:t>
      </w:r>
      <w:r w:rsidRPr="00FE4C18">
        <w:rPr>
          <w:rtl/>
        </w:rPr>
        <w:t>لجن</w:t>
      </w:r>
      <w:r>
        <w:rPr>
          <w:rtl/>
        </w:rPr>
        <w:t>ي</w:t>
      </w:r>
      <w:r w:rsidRPr="00FE4C18">
        <w:rPr>
          <w:rtl/>
        </w:rPr>
        <w:t xml:space="preserve">ن أو </w:t>
      </w:r>
      <w:r>
        <w:rPr>
          <w:rtl/>
        </w:rPr>
        <w:t>ا</w:t>
      </w:r>
      <w:r w:rsidRPr="00FE4C18">
        <w:rPr>
          <w:rtl/>
        </w:rPr>
        <w:t>لحمل زماناً محدداً</w:t>
      </w:r>
      <w:r w:rsidRPr="007F5B58">
        <w:rPr>
          <w:rtl/>
        </w:rPr>
        <w:t>،</w:t>
      </w:r>
      <w:r>
        <w:rPr>
          <w:rtl/>
        </w:rPr>
        <w:t xml:space="preserve"> و</w:t>
      </w:r>
      <w:r w:rsidRPr="00FE4C18">
        <w:rPr>
          <w:rtl/>
        </w:rPr>
        <w:t xml:space="preserve">من زمن </w:t>
      </w:r>
      <w:r>
        <w:rPr>
          <w:rtl/>
        </w:rPr>
        <w:t>ا</w:t>
      </w:r>
      <w:r w:rsidRPr="00FE4C18">
        <w:rPr>
          <w:rtl/>
        </w:rPr>
        <w:t>لتلق</w:t>
      </w:r>
      <w:r>
        <w:rPr>
          <w:rtl/>
        </w:rPr>
        <w:t>ي</w:t>
      </w:r>
      <w:r w:rsidRPr="00FE4C18">
        <w:rPr>
          <w:rtl/>
        </w:rPr>
        <w:t>ح</w:t>
      </w:r>
      <w:r>
        <w:rPr>
          <w:rtl/>
        </w:rPr>
        <w:t xml:space="preserve"> و</w:t>
      </w:r>
      <w:r w:rsidRPr="00FE4C18">
        <w:rPr>
          <w:rtl/>
        </w:rPr>
        <w:t xml:space="preserve">وضع </w:t>
      </w:r>
      <w:r>
        <w:rPr>
          <w:rtl/>
        </w:rPr>
        <w:t>ا</w:t>
      </w:r>
      <w:r w:rsidRPr="00FE4C18">
        <w:rPr>
          <w:rtl/>
        </w:rPr>
        <w:t>لخلا</w:t>
      </w:r>
      <w:r>
        <w:rPr>
          <w:rtl/>
        </w:rPr>
        <w:t>ي</w:t>
      </w:r>
      <w:r w:rsidRPr="00FE4C18">
        <w:rPr>
          <w:rtl/>
        </w:rPr>
        <w:t>ا حت</w:t>
      </w:r>
      <w:r>
        <w:rPr>
          <w:rtl/>
        </w:rPr>
        <w:t xml:space="preserve">ى </w:t>
      </w:r>
      <w:r w:rsidRPr="00FE4C18">
        <w:rPr>
          <w:rtl/>
        </w:rPr>
        <w:t>أربع</w:t>
      </w:r>
      <w:r>
        <w:rPr>
          <w:rtl/>
        </w:rPr>
        <w:t>ي</w:t>
      </w:r>
      <w:r w:rsidRPr="00FE4C18">
        <w:rPr>
          <w:rtl/>
        </w:rPr>
        <w:t xml:space="preserve">ن </w:t>
      </w:r>
      <w:r>
        <w:rPr>
          <w:rtl/>
        </w:rPr>
        <w:t>ي</w:t>
      </w:r>
      <w:r w:rsidRPr="00FE4C18">
        <w:rPr>
          <w:rtl/>
        </w:rPr>
        <w:t>وماً</w:t>
      </w:r>
      <w:r>
        <w:rPr>
          <w:rtl/>
        </w:rPr>
        <w:t xml:space="preserve"> </w:t>
      </w:r>
      <w:r w:rsidRPr="00FE4C18">
        <w:rPr>
          <w:rtl/>
        </w:rPr>
        <w:t>تعتبرها نطفة</w:t>
      </w:r>
      <w:r w:rsidRPr="007F5B58">
        <w:rPr>
          <w:rtl/>
        </w:rPr>
        <w:t>،</w:t>
      </w:r>
      <w:r>
        <w:rPr>
          <w:rtl/>
        </w:rPr>
        <w:t xml:space="preserve"> و</w:t>
      </w:r>
      <w:r w:rsidRPr="00FE4C18">
        <w:rPr>
          <w:rtl/>
        </w:rPr>
        <w:t>بعد أربع</w:t>
      </w:r>
      <w:r>
        <w:rPr>
          <w:rtl/>
        </w:rPr>
        <w:t>ي</w:t>
      </w:r>
      <w:r w:rsidRPr="00FE4C18">
        <w:rPr>
          <w:rtl/>
        </w:rPr>
        <w:t xml:space="preserve">ن </w:t>
      </w:r>
      <w:r>
        <w:rPr>
          <w:rtl/>
        </w:rPr>
        <w:t>ي</w:t>
      </w:r>
      <w:r w:rsidRPr="00FE4C18">
        <w:rPr>
          <w:rtl/>
        </w:rPr>
        <w:t>وماً حت</w:t>
      </w:r>
      <w:r>
        <w:rPr>
          <w:rtl/>
        </w:rPr>
        <w:t xml:space="preserve">ى </w:t>
      </w:r>
      <w:r w:rsidRPr="00FE4C18">
        <w:rPr>
          <w:rtl/>
        </w:rPr>
        <w:t>ثمان</w:t>
      </w:r>
      <w:r>
        <w:rPr>
          <w:rtl/>
        </w:rPr>
        <w:t>ي</w:t>
      </w:r>
      <w:r w:rsidRPr="00FE4C18">
        <w:rPr>
          <w:rtl/>
        </w:rPr>
        <w:t xml:space="preserve">ن </w:t>
      </w:r>
      <w:r>
        <w:rPr>
          <w:rtl/>
        </w:rPr>
        <w:t>ي</w:t>
      </w:r>
      <w:r w:rsidRPr="00FE4C18">
        <w:rPr>
          <w:rtl/>
        </w:rPr>
        <w:t>وماً علقة</w:t>
      </w:r>
      <w:r w:rsidRPr="007F5B58">
        <w:rPr>
          <w:rtl/>
        </w:rPr>
        <w:t>،</w:t>
      </w:r>
      <w:r w:rsidRPr="00FE4C18">
        <w:rPr>
          <w:rtl/>
        </w:rPr>
        <w:t xml:space="preserve"> فعل</w:t>
      </w:r>
      <w:r>
        <w:rPr>
          <w:rtl/>
        </w:rPr>
        <w:t xml:space="preserve">ى </w:t>
      </w:r>
      <w:r w:rsidRPr="00FE4C18">
        <w:rPr>
          <w:rtl/>
        </w:rPr>
        <w:t>هذا تؤ</w:t>
      </w:r>
      <w:r>
        <w:rPr>
          <w:rtl/>
        </w:rPr>
        <w:t>ك</w:t>
      </w:r>
      <w:r w:rsidRPr="00FE4C18">
        <w:rPr>
          <w:rtl/>
        </w:rPr>
        <w:t xml:space="preserve">د هذه </w:t>
      </w:r>
      <w:r>
        <w:rPr>
          <w:rtl/>
        </w:rPr>
        <w:t>ا</w:t>
      </w:r>
      <w:r w:rsidRPr="00FE4C18">
        <w:rPr>
          <w:rtl/>
        </w:rPr>
        <w:t>لروا</w:t>
      </w:r>
      <w:r>
        <w:rPr>
          <w:rtl/>
        </w:rPr>
        <w:t>ي</w:t>
      </w:r>
      <w:r w:rsidRPr="00FE4C18">
        <w:rPr>
          <w:rtl/>
        </w:rPr>
        <w:t xml:space="preserve">ات أنَّ </w:t>
      </w:r>
      <w:r>
        <w:rPr>
          <w:rtl/>
        </w:rPr>
        <w:t>ا</w:t>
      </w:r>
      <w:r w:rsidRPr="00FE4C18">
        <w:rPr>
          <w:rtl/>
        </w:rPr>
        <w:t xml:space="preserve">لنطفة تشمل مرحلة ما بعد </w:t>
      </w:r>
      <w:r>
        <w:rPr>
          <w:rtl/>
        </w:rPr>
        <w:t>ا</w:t>
      </w:r>
      <w:r w:rsidRPr="00FE4C18">
        <w:rPr>
          <w:rtl/>
        </w:rPr>
        <w:t>لتلق</w:t>
      </w:r>
      <w:r>
        <w:rPr>
          <w:rtl/>
        </w:rPr>
        <w:t>ي</w:t>
      </w:r>
      <w:r w:rsidRPr="00FE4C18">
        <w:rPr>
          <w:rtl/>
        </w:rPr>
        <w:t xml:space="preserve">ح. </w:t>
      </w:r>
    </w:p>
    <w:p w:rsidR="00391A35" w:rsidRPr="00FE4C18" w:rsidRDefault="00391A35" w:rsidP="0067362A">
      <w:pPr>
        <w:pStyle w:val="ac"/>
        <w:spacing w:line="199" w:lineRule="auto"/>
        <w:rPr>
          <w:rtl/>
        </w:rPr>
      </w:pPr>
      <w:r>
        <w:rPr>
          <w:rtl/>
        </w:rPr>
        <w:t>و</w:t>
      </w:r>
      <w:r w:rsidRPr="00FE4C18">
        <w:rPr>
          <w:rtl/>
        </w:rPr>
        <w:t xml:space="preserve">نظراً لهذه </w:t>
      </w:r>
      <w:r>
        <w:rPr>
          <w:rtl/>
        </w:rPr>
        <w:t>ا</w:t>
      </w:r>
      <w:r w:rsidRPr="00FE4C18">
        <w:rPr>
          <w:rtl/>
        </w:rPr>
        <w:t>لتمه</w:t>
      </w:r>
      <w:r>
        <w:rPr>
          <w:rtl/>
        </w:rPr>
        <w:t>ي</w:t>
      </w:r>
      <w:r w:rsidRPr="00FE4C18">
        <w:rPr>
          <w:rtl/>
        </w:rPr>
        <w:t xml:space="preserve">دات </w:t>
      </w:r>
      <w:r>
        <w:rPr>
          <w:rtl/>
        </w:rPr>
        <w:t>ي</w:t>
      </w:r>
      <w:r w:rsidRPr="00FE4C18">
        <w:rPr>
          <w:rtl/>
        </w:rPr>
        <w:t>م</w:t>
      </w:r>
      <w:r>
        <w:rPr>
          <w:rtl/>
        </w:rPr>
        <w:t>ك</w:t>
      </w:r>
      <w:r w:rsidRPr="00FE4C18">
        <w:rPr>
          <w:rtl/>
        </w:rPr>
        <w:t xml:space="preserve">ن </w:t>
      </w:r>
      <w:r>
        <w:rPr>
          <w:rtl/>
        </w:rPr>
        <w:t>ا</w:t>
      </w:r>
      <w:r w:rsidRPr="00FE4C18">
        <w:rPr>
          <w:rtl/>
        </w:rPr>
        <w:t>لقول</w:t>
      </w:r>
      <w:r w:rsidRPr="007F5B58">
        <w:rPr>
          <w:rtl/>
        </w:rPr>
        <w:t>:</w:t>
      </w:r>
      <w:r w:rsidRPr="00FE4C18">
        <w:rPr>
          <w:rtl/>
        </w:rPr>
        <w:t xml:space="preserve"> إنَّ </w:t>
      </w:r>
      <w:r>
        <w:rPr>
          <w:rtl/>
        </w:rPr>
        <w:t>وضع ا</w:t>
      </w:r>
      <w:r w:rsidRPr="00FE4C18">
        <w:rPr>
          <w:rtl/>
        </w:rPr>
        <w:t>لنطفة (خل</w:t>
      </w:r>
      <w:r>
        <w:rPr>
          <w:rtl/>
        </w:rPr>
        <w:t>ي</w:t>
      </w:r>
      <w:r w:rsidRPr="00FE4C18">
        <w:rPr>
          <w:rtl/>
        </w:rPr>
        <w:t>ط إ</w:t>
      </w:r>
      <w:r w:rsidRPr="005E272E">
        <w:rPr>
          <w:rFonts w:cs="Badr"/>
          <w:rtl/>
        </w:rPr>
        <w:t>سپرم</w:t>
      </w:r>
      <w:r>
        <w:rPr>
          <w:rtl/>
        </w:rPr>
        <w:t xml:space="preserve"> و</w:t>
      </w:r>
      <w:r w:rsidRPr="00FE4C18">
        <w:rPr>
          <w:rtl/>
        </w:rPr>
        <w:t>بو</w:t>
      </w:r>
      <w:r>
        <w:rPr>
          <w:rtl/>
        </w:rPr>
        <w:t>ي</w:t>
      </w:r>
      <w:r w:rsidRPr="00FE4C18">
        <w:rPr>
          <w:rtl/>
        </w:rPr>
        <w:t>ضة)</w:t>
      </w:r>
      <w:r w:rsidRPr="007F5B58">
        <w:rPr>
          <w:rtl/>
        </w:rPr>
        <w:t>،</w:t>
      </w:r>
      <w:r w:rsidRPr="00FE4C18">
        <w:rPr>
          <w:rtl/>
        </w:rPr>
        <w:t xml:space="preserve"> سواء</w:t>
      </w:r>
      <w:r>
        <w:rPr>
          <w:rtl/>
        </w:rPr>
        <w:t>ٌ</w:t>
      </w:r>
      <w:r w:rsidRPr="00FE4C18">
        <w:rPr>
          <w:rtl/>
        </w:rPr>
        <w:t xml:space="preserve"> </w:t>
      </w:r>
      <w:r>
        <w:rPr>
          <w:rtl/>
        </w:rPr>
        <w:t>ك</w:t>
      </w:r>
      <w:r w:rsidRPr="00FE4C18">
        <w:rPr>
          <w:rtl/>
        </w:rPr>
        <w:t>انت حلالاً أم حراماً</w:t>
      </w:r>
      <w:r w:rsidRPr="007F5B58">
        <w:rPr>
          <w:rtl/>
        </w:rPr>
        <w:t>،</w:t>
      </w:r>
      <w:r w:rsidRPr="00FE4C18">
        <w:rPr>
          <w:rtl/>
        </w:rPr>
        <w:t xml:space="preserve"> في رحم غ</w:t>
      </w:r>
      <w:r>
        <w:rPr>
          <w:rtl/>
        </w:rPr>
        <w:t>ي</w:t>
      </w:r>
      <w:r w:rsidRPr="00FE4C18">
        <w:rPr>
          <w:rtl/>
        </w:rPr>
        <w:t xml:space="preserve">ر مشروع </w:t>
      </w:r>
      <w:r>
        <w:rPr>
          <w:rtl/>
        </w:rPr>
        <w:t xml:space="preserve">ـ سواءٌ كان الرحم رحم محارم أم لم يكن ـ </w:t>
      </w:r>
      <w:r w:rsidRPr="00FE4C18">
        <w:rPr>
          <w:rtl/>
        </w:rPr>
        <w:t>ممنوع</w:t>
      </w:r>
      <w:r>
        <w:rPr>
          <w:rtl/>
        </w:rPr>
        <w:t xml:space="preserve"> و</w:t>
      </w:r>
      <w:r w:rsidRPr="00FE4C18">
        <w:rPr>
          <w:rtl/>
        </w:rPr>
        <w:t>حرام</w:t>
      </w:r>
      <w:r>
        <w:rPr>
          <w:rtl/>
        </w:rPr>
        <w:t>. مضافاً إلى أن</w:t>
      </w:r>
      <w:r w:rsidRPr="00FE4C18">
        <w:rPr>
          <w:rtl/>
        </w:rPr>
        <w:t xml:space="preserve"> انتقال </w:t>
      </w:r>
      <w:r>
        <w:rPr>
          <w:rtl/>
        </w:rPr>
        <w:t>ا</w:t>
      </w:r>
      <w:r w:rsidRPr="00FE4C18">
        <w:rPr>
          <w:rtl/>
        </w:rPr>
        <w:t>لنطفة إل</w:t>
      </w:r>
      <w:r>
        <w:rPr>
          <w:rtl/>
        </w:rPr>
        <w:t xml:space="preserve">ى </w:t>
      </w:r>
      <w:r w:rsidRPr="00FE4C18">
        <w:rPr>
          <w:rtl/>
        </w:rPr>
        <w:t xml:space="preserve">رحم </w:t>
      </w:r>
      <w:r>
        <w:rPr>
          <w:rtl/>
        </w:rPr>
        <w:t>ا</w:t>
      </w:r>
      <w:r w:rsidRPr="00FE4C18">
        <w:rPr>
          <w:rtl/>
        </w:rPr>
        <w:t xml:space="preserve">لمحارم </w:t>
      </w:r>
      <w:r>
        <w:rPr>
          <w:rtl/>
        </w:rPr>
        <w:t>ي</w:t>
      </w:r>
      <w:r w:rsidRPr="00FE4C18">
        <w:rPr>
          <w:rtl/>
        </w:rPr>
        <w:t>ؤدي إل</w:t>
      </w:r>
      <w:r>
        <w:rPr>
          <w:rtl/>
        </w:rPr>
        <w:t xml:space="preserve">ى </w:t>
      </w:r>
      <w:r w:rsidRPr="00FE4C18">
        <w:rPr>
          <w:rtl/>
        </w:rPr>
        <w:t>عواقب س</w:t>
      </w:r>
      <w:r>
        <w:rPr>
          <w:rtl/>
        </w:rPr>
        <w:t>يّ</w:t>
      </w:r>
      <w:r w:rsidRPr="00FE4C18">
        <w:rPr>
          <w:rtl/>
        </w:rPr>
        <w:t>ئة</w:t>
      </w:r>
      <w:r w:rsidRPr="00815C4C">
        <w:rPr>
          <w:rFonts w:cs="Taher"/>
          <w:vertAlign w:val="superscript"/>
          <w:rtl/>
        </w:rPr>
        <w:t>(</w:t>
      </w:r>
      <w:r w:rsidRPr="00815C4C">
        <w:rPr>
          <w:rFonts w:cs="Taher"/>
          <w:vertAlign w:val="superscript"/>
          <w:rtl/>
        </w:rPr>
        <w:footnoteReference w:id="903"/>
      </w:r>
      <w:r w:rsidRPr="00815C4C">
        <w:rPr>
          <w:rFonts w:cs="Taher"/>
          <w:vertAlign w:val="superscript"/>
          <w:rtl/>
        </w:rPr>
        <w:t>)</w:t>
      </w:r>
      <w:r>
        <w:rPr>
          <w:rtl/>
        </w:rPr>
        <w:t>.</w:t>
      </w:r>
    </w:p>
    <w:p w:rsidR="00391A35" w:rsidRPr="00FE4C18" w:rsidRDefault="00391A35" w:rsidP="0067362A">
      <w:pPr>
        <w:pStyle w:val="ac"/>
        <w:spacing w:line="199" w:lineRule="auto"/>
        <w:rPr>
          <w:rtl/>
        </w:rPr>
      </w:pPr>
      <w:r w:rsidRPr="00FE4C18">
        <w:rPr>
          <w:rtl/>
        </w:rPr>
        <w:t>ول</w:t>
      </w:r>
      <w:r>
        <w:rPr>
          <w:rtl/>
        </w:rPr>
        <w:t>ك</w:t>
      </w:r>
      <w:r w:rsidRPr="00FE4C18">
        <w:rPr>
          <w:rtl/>
        </w:rPr>
        <w:t xml:space="preserve">ن </w:t>
      </w:r>
      <w:r>
        <w:rPr>
          <w:rtl/>
        </w:rPr>
        <w:t>ي</w:t>
      </w:r>
      <w:r w:rsidRPr="00FE4C18">
        <w:rPr>
          <w:rtl/>
        </w:rPr>
        <w:t xml:space="preserve">عتقد </w:t>
      </w:r>
      <w:r>
        <w:rPr>
          <w:rtl/>
        </w:rPr>
        <w:t>ا</w:t>
      </w:r>
      <w:r w:rsidRPr="00FE4C18">
        <w:rPr>
          <w:rtl/>
        </w:rPr>
        <w:t xml:space="preserve">لموافقون </w:t>
      </w:r>
      <w:r>
        <w:rPr>
          <w:rtl/>
        </w:rPr>
        <w:t>أنه</w:t>
      </w:r>
      <w:r w:rsidRPr="00FE4C18">
        <w:rPr>
          <w:rtl/>
        </w:rPr>
        <w:t xml:space="preserve"> نظراً إل</w:t>
      </w:r>
      <w:r>
        <w:rPr>
          <w:rtl/>
        </w:rPr>
        <w:t xml:space="preserve">ى </w:t>
      </w:r>
      <w:r w:rsidRPr="00FE4C18">
        <w:rPr>
          <w:rtl/>
        </w:rPr>
        <w:t xml:space="preserve">أنّ </w:t>
      </w:r>
      <w:r>
        <w:rPr>
          <w:rtl/>
        </w:rPr>
        <w:t>ا</w:t>
      </w:r>
      <w:r w:rsidRPr="00FE4C18">
        <w:rPr>
          <w:rtl/>
        </w:rPr>
        <w:t>لجن</w:t>
      </w:r>
      <w:r>
        <w:rPr>
          <w:rtl/>
        </w:rPr>
        <w:t>ي</w:t>
      </w:r>
      <w:r w:rsidRPr="00FE4C18">
        <w:rPr>
          <w:rtl/>
        </w:rPr>
        <w:t xml:space="preserve">ن </w:t>
      </w:r>
      <w:r>
        <w:rPr>
          <w:rtl/>
        </w:rPr>
        <w:t>ا</w:t>
      </w:r>
      <w:r w:rsidRPr="00FE4C18">
        <w:rPr>
          <w:rtl/>
        </w:rPr>
        <w:t xml:space="preserve">لذي </w:t>
      </w:r>
      <w:r>
        <w:rPr>
          <w:rtl/>
        </w:rPr>
        <w:t>ي</w:t>
      </w:r>
      <w:r w:rsidRPr="00FE4C18">
        <w:rPr>
          <w:rtl/>
        </w:rPr>
        <w:t>ت</w:t>
      </w:r>
      <w:r>
        <w:rPr>
          <w:rtl/>
        </w:rPr>
        <w:t>ك</w:t>
      </w:r>
      <w:r w:rsidRPr="00FE4C18">
        <w:rPr>
          <w:rtl/>
        </w:rPr>
        <w:t>ون من بو</w:t>
      </w:r>
      <w:r>
        <w:rPr>
          <w:rtl/>
        </w:rPr>
        <w:t>ي</w:t>
      </w:r>
      <w:r w:rsidRPr="00FE4C18">
        <w:rPr>
          <w:rtl/>
        </w:rPr>
        <w:t>ضة</w:t>
      </w:r>
      <w:r>
        <w:rPr>
          <w:rtl/>
        </w:rPr>
        <w:t xml:space="preserve"> و</w:t>
      </w:r>
      <w:r w:rsidRPr="00FE4C18">
        <w:rPr>
          <w:rtl/>
        </w:rPr>
        <w:t>إ</w:t>
      </w:r>
      <w:r w:rsidRPr="00E54F9D">
        <w:rPr>
          <w:rFonts w:cs="Taher"/>
          <w:rtl/>
        </w:rPr>
        <w:t>سپر</w:t>
      </w:r>
      <w:r w:rsidRPr="00FE4C18">
        <w:rPr>
          <w:rtl/>
        </w:rPr>
        <w:t xml:space="preserve">م </w:t>
      </w:r>
      <w:r>
        <w:rPr>
          <w:rtl/>
        </w:rPr>
        <w:t>ا</w:t>
      </w:r>
      <w:r w:rsidRPr="00FE4C18">
        <w:rPr>
          <w:rtl/>
        </w:rPr>
        <w:t>لزوج</w:t>
      </w:r>
      <w:r>
        <w:rPr>
          <w:rtl/>
        </w:rPr>
        <w:t>ي</w:t>
      </w:r>
      <w:r w:rsidRPr="00FE4C18">
        <w:rPr>
          <w:rtl/>
        </w:rPr>
        <w:t xml:space="preserve">ن شرعي فنقل </w:t>
      </w:r>
      <w:r>
        <w:rPr>
          <w:rtl/>
        </w:rPr>
        <w:t>ا</w:t>
      </w:r>
      <w:r w:rsidRPr="00FE4C18">
        <w:rPr>
          <w:rtl/>
        </w:rPr>
        <w:t>لجن</w:t>
      </w:r>
      <w:r>
        <w:rPr>
          <w:rtl/>
        </w:rPr>
        <w:t>ي</w:t>
      </w:r>
      <w:r w:rsidRPr="00FE4C18">
        <w:rPr>
          <w:rtl/>
        </w:rPr>
        <w:t>ن إل</w:t>
      </w:r>
      <w:r>
        <w:rPr>
          <w:rtl/>
        </w:rPr>
        <w:t xml:space="preserve">ى </w:t>
      </w:r>
      <w:r w:rsidRPr="00FE4C18">
        <w:rPr>
          <w:rtl/>
        </w:rPr>
        <w:t>رحم مرأة أخر</w:t>
      </w:r>
      <w:r>
        <w:rPr>
          <w:rtl/>
        </w:rPr>
        <w:t>ى ك</w:t>
      </w:r>
      <w:r w:rsidRPr="00FE4C18">
        <w:rPr>
          <w:rtl/>
        </w:rPr>
        <w:t>وضعه في م</w:t>
      </w:r>
      <w:r>
        <w:rPr>
          <w:rtl/>
        </w:rPr>
        <w:t>ك</w:t>
      </w:r>
      <w:r w:rsidRPr="00FE4C18">
        <w:rPr>
          <w:rtl/>
        </w:rPr>
        <w:t xml:space="preserve">ان </w:t>
      </w:r>
      <w:r>
        <w:rPr>
          <w:rtl/>
        </w:rPr>
        <w:t>ي</w:t>
      </w:r>
      <w:r w:rsidRPr="00FE4C18">
        <w:rPr>
          <w:rtl/>
        </w:rPr>
        <w:t xml:space="preserve">ناسب </w:t>
      </w:r>
      <w:r>
        <w:rPr>
          <w:rtl/>
        </w:rPr>
        <w:t>ا</w:t>
      </w:r>
      <w:r w:rsidRPr="00FE4C18">
        <w:rPr>
          <w:rtl/>
        </w:rPr>
        <w:t>لنمو</w:t>
      </w:r>
      <w:r w:rsidRPr="007F5B58">
        <w:rPr>
          <w:rtl/>
        </w:rPr>
        <w:t>،</w:t>
      </w:r>
      <w:r>
        <w:rPr>
          <w:rtl/>
        </w:rPr>
        <w:t xml:space="preserve"> و</w:t>
      </w:r>
      <w:r w:rsidRPr="00FE4C18">
        <w:rPr>
          <w:rtl/>
        </w:rPr>
        <w:t xml:space="preserve">صاحبة </w:t>
      </w:r>
      <w:r>
        <w:rPr>
          <w:rtl/>
        </w:rPr>
        <w:t>ا</w:t>
      </w:r>
      <w:r w:rsidRPr="00FE4C18">
        <w:rPr>
          <w:rtl/>
        </w:rPr>
        <w:t>لرحم</w:t>
      </w:r>
      <w:r w:rsidRPr="007F5B58">
        <w:rPr>
          <w:rtl/>
        </w:rPr>
        <w:t>،</w:t>
      </w:r>
      <w:r w:rsidRPr="00FE4C18">
        <w:rPr>
          <w:rtl/>
        </w:rPr>
        <w:t xml:space="preserve"> دون </w:t>
      </w:r>
      <w:r>
        <w:rPr>
          <w:rtl/>
        </w:rPr>
        <w:t>ا</w:t>
      </w:r>
      <w:r w:rsidRPr="00FE4C18">
        <w:rPr>
          <w:rtl/>
        </w:rPr>
        <w:t>تصال وراثي معه</w:t>
      </w:r>
      <w:r w:rsidRPr="007F5B58">
        <w:rPr>
          <w:rtl/>
        </w:rPr>
        <w:t>،</w:t>
      </w:r>
      <w:r w:rsidRPr="00FE4C18">
        <w:rPr>
          <w:rtl/>
        </w:rPr>
        <w:t xml:space="preserve"> تحمل </w:t>
      </w:r>
      <w:r>
        <w:rPr>
          <w:rtl/>
        </w:rPr>
        <w:t>ا</w:t>
      </w:r>
      <w:r w:rsidRPr="00FE4C18">
        <w:rPr>
          <w:rtl/>
        </w:rPr>
        <w:t>لجن</w:t>
      </w:r>
      <w:r>
        <w:rPr>
          <w:rtl/>
        </w:rPr>
        <w:t>ي</w:t>
      </w:r>
      <w:r w:rsidRPr="00FE4C18">
        <w:rPr>
          <w:rtl/>
        </w:rPr>
        <w:t xml:space="preserve">ن </w:t>
      </w:r>
      <w:r>
        <w:rPr>
          <w:rtl/>
        </w:rPr>
        <w:t>ا</w:t>
      </w:r>
      <w:r w:rsidRPr="00FE4C18">
        <w:rPr>
          <w:rtl/>
        </w:rPr>
        <w:t>لم</w:t>
      </w:r>
      <w:r>
        <w:rPr>
          <w:rtl/>
        </w:rPr>
        <w:t>ك</w:t>
      </w:r>
      <w:r w:rsidRPr="00FE4C18">
        <w:rPr>
          <w:rtl/>
        </w:rPr>
        <w:t>وّن</w:t>
      </w:r>
      <w:r>
        <w:rPr>
          <w:rtl/>
        </w:rPr>
        <w:t xml:space="preserve"> و</w:t>
      </w:r>
      <w:r w:rsidRPr="00FE4C18">
        <w:rPr>
          <w:rtl/>
        </w:rPr>
        <w:t>ترب</w:t>
      </w:r>
      <w:r>
        <w:rPr>
          <w:rtl/>
        </w:rPr>
        <w:t>ّي</w:t>
      </w:r>
      <w:r w:rsidRPr="00FE4C18">
        <w:rPr>
          <w:rtl/>
        </w:rPr>
        <w:t>ه في رحمها</w:t>
      </w:r>
      <w:r>
        <w:rPr>
          <w:rtl/>
        </w:rPr>
        <w:t>. و</w:t>
      </w:r>
      <w:r w:rsidRPr="00FE4C18">
        <w:rPr>
          <w:rtl/>
        </w:rPr>
        <w:t xml:space="preserve">هذا </w:t>
      </w:r>
      <w:r>
        <w:rPr>
          <w:rtl/>
        </w:rPr>
        <w:t>ا</w:t>
      </w:r>
      <w:r w:rsidRPr="00FE4C18">
        <w:rPr>
          <w:rtl/>
        </w:rPr>
        <w:t xml:space="preserve">لعمل لا </w:t>
      </w:r>
      <w:r>
        <w:rPr>
          <w:rtl/>
        </w:rPr>
        <w:t>ي</w:t>
      </w:r>
      <w:r w:rsidRPr="00FE4C18">
        <w:rPr>
          <w:rtl/>
        </w:rPr>
        <w:t>ؤدي إل</w:t>
      </w:r>
      <w:r>
        <w:rPr>
          <w:rtl/>
        </w:rPr>
        <w:t xml:space="preserve">ى </w:t>
      </w:r>
      <w:r w:rsidRPr="00FE4C18">
        <w:rPr>
          <w:rtl/>
        </w:rPr>
        <w:t>فعل حرام</w:t>
      </w:r>
      <w:r w:rsidRPr="007F5B58">
        <w:rPr>
          <w:rtl/>
        </w:rPr>
        <w:t>،</w:t>
      </w:r>
      <w:r>
        <w:rPr>
          <w:rtl/>
        </w:rPr>
        <w:t xml:space="preserve"> و</w:t>
      </w:r>
      <w:r w:rsidRPr="00FE4C18">
        <w:rPr>
          <w:rtl/>
        </w:rPr>
        <w:t>ل</w:t>
      </w:r>
      <w:r>
        <w:rPr>
          <w:rtl/>
        </w:rPr>
        <w:t>ي</w:t>
      </w:r>
      <w:r w:rsidRPr="00FE4C18">
        <w:rPr>
          <w:rtl/>
        </w:rPr>
        <w:t xml:space="preserve">س </w:t>
      </w:r>
      <w:r>
        <w:rPr>
          <w:rtl/>
        </w:rPr>
        <w:t>ك</w:t>
      </w:r>
      <w:r w:rsidRPr="00FE4C18">
        <w:rPr>
          <w:rtl/>
        </w:rPr>
        <w:t>الزنا</w:t>
      </w:r>
      <w:r w:rsidRPr="007F5B58">
        <w:rPr>
          <w:rtl/>
        </w:rPr>
        <w:t>،</w:t>
      </w:r>
      <w:r>
        <w:rPr>
          <w:rtl/>
        </w:rPr>
        <w:t xml:space="preserve"> و</w:t>
      </w:r>
      <w:r w:rsidRPr="00FE4C18">
        <w:rPr>
          <w:rtl/>
        </w:rPr>
        <w:t xml:space="preserve">لا </w:t>
      </w:r>
      <w:r>
        <w:rPr>
          <w:rtl/>
        </w:rPr>
        <w:t>ك</w:t>
      </w:r>
      <w:r w:rsidRPr="00FE4C18">
        <w:rPr>
          <w:rtl/>
        </w:rPr>
        <w:t xml:space="preserve">صبّ </w:t>
      </w:r>
      <w:r>
        <w:rPr>
          <w:rtl/>
        </w:rPr>
        <w:t>ا</w:t>
      </w:r>
      <w:r w:rsidRPr="00FE4C18">
        <w:rPr>
          <w:rtl/>
        </w:rPr>
        <w:t>لمني في رحم حرام عل</w:t>
      </w:r>
      <w:r>
        <w:rPr>
          <w:rtl/>
        </w:rPr>
        <w:t>ى ا</w:t>
      </w:r>
      <w:r w:rsidRPr="00FE4C18">
        <w:rPr>
          <w:rtl/>
        </w:rPr>
        <w:t>لرجل</w:t>
      </w:r>
      <w:r w:rsidRPr="007F5B58">
        <w:rPr>
          <w:rtl/>
        </w:rPr>
        <w:t>،</w:t>
      </w:r>
      <w:r>
        <w:rPr>
          <w:rtl/>
        </w:rPr>
        <w:t xml:space="preserve"> و</w:t>
      </w:r>
      <w:r w:rsidRPr="00FE4C18">
        <w:rPr>
          <w:rtl/>
        </w:rPr>
        <w:t xml:space="preserve">لا </w:t>
      </w:r>
      <w:r>
        <w:rPr>
          <w:rtl/>
        </w:rPr>
        <w:t>ك</w:t>
      </w:r>
      <w:r w:rsidRPr="00FE4C18">
        <w:rPr>
          <w:rtl/>
        </w:rPr>
        <w:t xml:space="preserve">وضع </w:t>
      </w:r>
      <w:r>
        <w:rPr>
          <w:rtl/>
        </w:rPr>
        <w:t>ا</w:t>
      </w:r>
      <w:r w:rsidRPr="00FE4C18">
        <w:rPr>
          <w:rtl/>
        </w:rPr>
        <w:t xml:space="preserve">لنطفة في هذا </w:t>
      </w:r>
      <w:r>
        <w:rPr>
          <w:rtl/>
        </w:rPr>
        <w:t>ا</w:t>
      </w:r>
      <w:r w:rsidRPr="00FE4C18">
        <w:rPr>
          <w:rtl/>
        </w:rPr>
        <w:t>لرحم</w:t>
      </w:r>
      <w:r w:rsidRPr="00815C4C">
        <w:rPr>
          <w:rFonts w:cs="Taher"/>
          <w:vertAlign w:val="superscript"/>
          <w:rtl/>
        </w:rPr>
        <w:t>(</w:t>
      </w:r>
      <w:r w:rsidRPr="00815C4C">
        <w:rPr>
          <w:rFonts w:cs="Taher"/>
          <w:vertAlign w:val="superscript"/>
          <w:rtl/>
        </w:rPr>
        <w:footnoteReference w:id="904"/>
      </w:r>
      <w:r w:rsidRPr="00815C4C">
        <w:rPr>
          <w:rFonts w:cs="Taher"/>
          <w:vertAlign w:val="superscript"/>
          <w:rtl/>
        </w:rPr>
        <w:t>)</w:t>
      </w:r>
      <w:r>
        <w:rPr>
          <w:rtl/>
        </w:rPr>
        <w:t>. وا</w:t>
      </w:r>
      <w:r w:rsidRPr="00FE4C18">
        <w:rPr>
          <w:rtl/>
        </w:rPr>
        <w:t>لروا</w:t>
      </w:r>
      <w:r>
        <w:rPr>
          <w:rtl/>
        </w:rPr>
        <w:t>ي</w:t>
      </w:r>
      <w:r w:rsidRPr="00FE4C18">
        <w:rPr>
          <w:rtl/>
        </w:rPr>
        <w:t xml:space="preserve">ات </w:t>
      </w:r>
      <w:r>
        <w:rPr>
          <w:rtl/>
        </w:rPr>
        <w:t>ا</w:t>
      </w:r>
      <w:r w:rsidRPr="00FE4C18">
        <w:rPr>
          <w:rtl/>
        </w:rPr>
        <w:t>لتي تذ</w:t>
      </w:r>
      <w:r>
        <w:rPr>
          <w:rtl/>
        </w:rPr>
        <w:t>ك</w:t>
      </w:r>
      <w:r w:rsidRPr="00FE4C18">
        <w:rPr>
          <w:rtl/>
        </w:rPr>
        <w:t>ر في مجال تحر</w:t>
      </w:r>
      <w:r>
        <w:rPr>
          <w:rtl/>
        </w:rPr>
        <w:t>ي</w:t>
      </w:r>
      <w:r w:rsidRPr="00FE4C18">
        <w:rPr>
          <w:rtl/>
        </w:rPr>
        <w:t>م تلق</w:t>
      </w:r>
      <w:r>
        <w:rPr>
          <w:rtl/>
        </w:rPr>
        <w:t>ي</w:t>
      </w:r>
      <w:r w:rsidRPr="00FE4C18">
        <w:rPr>
          <w:rtl/>
        </w:rPr>
        <w:t>ح نطفة رجل أجنبي تش</w:t>
      </w:r>
      <w:r>
        <w:rPr>
          <w:rtl/>
        </w:rPr>
        <w:t>ي</w:t>
      </w:r>
      <w:r w:rsidRPr="00FE4C18">
        <w:rPr>
          <w:rtl/>
        </w:rPr>
        <w:t>ر إل</w:t>
      </w:r>
      <w:r>
        <w:rPr>
          <w:rtl/>
        </w:rPr>
        <w:t xml:space="preserve">ى </w:t>
      </w:r>
      <w:r w:rsidRPr="00FE4C18">
        <w:rPr>
          <w:rtl/>
        </w:rPr>
        <w:t xml:space="preserve">أنَّ رحم </w:t>
      </w:r>
      <w:r>
        <w:rPr>
          <w:rtl/>
        </w:rPr>
        <w:t>ا</w:t>
      </w:r>
      <w:r w:rsidRPr="00FE4C18">
        <w:rPr>
          <w:rtl/>
        </w:rPr>
        <w:t>لمرأة أحد ر</w:t>
      </w:r>
      <w:r>
        <w:rPr>
          <w:rtl/>
        </w:rPr>
        <w:t>ك</w:t>
      </w:r>
      <w:r w:rsidRPr="00FE4C18">
        <w:rPr>
          <w:rtl/>
        </w:rPr>
        <w:t>ني ت</w:t>
      </w:r>
      <w:r>
        <w:rPr>
          <w:rtl/>
        </w:rPr>
        <w:t>ك</w:t>
      </w:r>
      <w:r w:rsidRPr="00FE4C18">
        <w:rPr>
          <w:rtl/>
        </w:rPr>
        <w:t>و</w:t>
      </w:r>
      <w:r>
        <w:rPr>
          <w:rtl/>
        </w:rPr>
        <w:t>ي</w:t>
      </w:r>
      <w:r w:rsidRPr="00FE4C18">
        <w:rPr>
          <w:rtl/>
        </w:rPr>
        <w:t xml:space="preserve">ن </w:t>
      </w:r>
      <w:r>
        <w:rPr>
          <w:rtl/>
        </w:rPr>
        <w:t>ا</w:t>
      </w:r>
      <w:r w:rsidRPr="00FE4C18">
        <w:rPr>
          <w:rtl/>
        </w:rPr>
        <w:t>لنطفة</w:t>
      </w:r>
      <w:r w:rsidRPr="007F5B58">
        <w:rPr>
          <w:rtl/>
        </w:rPr>
        <w:t>،</w:t>
      </w:r>
      <w:r w:rsidRPr="00FE4C18">
        <w:rPr>
          <w:rtl/>
        </w:rPr>
        <w:t xml:space="preserve"> </w:t>
      </w:r>
      <w:r>
        <w:rPr>
          <w:rtl/>
        </w:rPr>
        <w:t>ا</w:t>
      </w:r>
      <w:r w:rsidRPr="00FE4C18">
        <w:rPr>
          <w:rtl/>
        </w:rPr>
        <w:t xml:space="preserve">لتي </w:t>
      </w:r>
      <w:r>
        <w:rPr>
          <w:rtl/>
        </w:rPr>
        <w:t>ك</w:t>
      </w:r>
      <w:r w:rsidRPr="00FE4C18">
        <w:rPr>
          <w:rtl/>
        </w:rPr>
        <w:t>وّنت بواسطة بو</w:t>
      </w:r>
      <w:r>
        <w:rPr>
          <w:rtl/>
        </w:rPr>
        <w:t>ي</w:t>
      </w:r>
      <w:r w:rsidRPr="00FE4C18">
        <w:rPr>
          <w:rtl/>
        </w:rPr>
        <w:t xml:space="preserve">ضة هذا </w:t>
      </w:r>
      <w:r>
        <w:rPr>
          <w:rtl/>
        </w:rPr>
        <w:t>ا</w:t>
      </w:r>
      <w:r w:rsidRPr="00FE4C18">
        <w:rPr>
          <w:rtl/>
        </w:rPr>
        <w:t>لرحم</w:t>
      </w:r>
      <w:r>
        <w:rPr>
          <w:rtl/>
        </w:rPr>
        <w:t>. و</w:t>
      </w:r>
      <w:r w:rsidRPr="00FE4C18">
        <w:rPr>
          <w:rtl/>
        </w:rPr>
        <w:t>ل</w:t>
      </w:r>
      <w:r>
        <w:rPr>
          <w:rtl/>
        </w:rPr>
        <w:t>ك</w:t>
      </w:r>
      <w:r w:rsidRPr="00FE4C18">
        <w:rPr>
          <w:rtl/>
        </w:rPr>
        <w:t xml:space="preserve">ن في هذا </w:t>
      </w:r>
      <w:r>
        <w:rPr>
          <w:rtl/>
        </w:rPr>
        <w:t>ا</w:t>
      </w:r>
      <w:r w:rsidRPr="00FE4C18">
        <w:rPr>
          <w:rtl/>
        </w:rPr>
        <w:t>لمورد ل</w:t>
      </w:r>
      <w:r>
        <w:rPr>
          <w:rtl/>
        </w:rPr>
        <w:t>ي</w:t>
      </w:r>
      <w:r w:rsidRPr="00FE4C18">
        <w:rPr>
          <w:rtl/>
        </w:rPr>
        <w:t>س للرحم أيّ دور في ت</w:t>
      </w:r>
      <w:r>
        <w:rPr>
          <w:rtl/>
        </w:rPr>
        <w:t>ك</w:t>
      </w:r>
      <w:r w:rsidRPr="00FE4C18">
        <w:rPr>
          <w:rtl/>
        </w:rPr>
        <w:t>و</w:t>
      </w:r>
      <w:r>
        <w:rPr>
          <w:rtl/>
        </w:rPr>
        <w:t>ي</w:t>
      </w:r>
      <w:r w:rsidRPr="00FE4C18">
        <w:rPr>
          <w:rtl/>
        </w:rPr>
        <w:t xml:space="preserve">ن </w:t>
      </w:r>
      <w:r>
        <w:rPr>
          <w:rtl/>
        </w:rPr>
        <w:t>ا</w:t>
      </w:r>
      <w:r w:rsidRPr="00FE4C18">
        <w:rPr>
          <w:rtl/>
        </w:rPr>
        <w:t>لنطفة</w:t>
      </w:r>
      <w:r>
        <w:rPr>
          <w:rFonts w:hint="cs"/>
          <w:rtl/>
        </w:rPr>
        <w:t>،</w:t>
      </w:r>
      <w:r w:rsidRPr="00FE4C18">
        <w:rPr>
          <w:rtl/>
        </w:rPr>
        <w:t xml:space="preserve"> بل إنَّه </w:t>
      </w:r>
      <w:r>
        <w:rPr>
          <w:rtl/>
        </w:rPr>
        <w:t>ك</w:t>
      </w:r>
      <w:r w:rsidRPr="00FE4C18">
        <w:rPr>
          <w:rtl/>
        </w:rPr>
        <w:t>إناء مناسب تتر</w:t>
      </w:r>
      <w:r>
        <w:rPr>
          <w:rFonts w:hint="cs"/>
          <w:rtl/>
        </w:rPr>
        <w:t>بى</w:t>
      </w:r>
      <w:r>
        <w:rPr>
          <w:rFonts w:ascii="Tahoma" w:hAnsi="Tahoma" w:cs="Tahoma" w:hint="cs"/>
          <w:rtl/>
        </w:rPr>
        <w:t xml:space="preserve"> </w:t>
      </w:r>
      <w:r w:rsidRPr="00FE4C18">
        <w:rPr>
          <w:rFonts w:hint="cs"/>
          <w:rtl/>
        </w:rPr>
        <w:t>ف</w:t>
      </w:r>
      <w:r>
        <w:rPr>
          <w:rtl/>
        </w:rPr>
        <w:t>ي</w:t>
      </w:r>
      <w:r w:rsidRPr="00FE4C18">
        <w:rPr>
          <w:rtl/>
        </w:rPr>
        <w:t xml:space="preserve">ه </w:t>
      </w:r>
      <w:r>
        <w:rPr>
          <w:rtl/>
        </w:rPr>
        <w:t>ا</w:t>
      </w:r>
      <w:r w:rsidRPr="00FE4C18">
        <w:rPr>
          <w:rtl/>
        </w:rPr>
        <w:t>لنطفة</w:t>
      </w:r>
      <w:r>
        <w:rPr>
          <w:rtl/>
        </w:rPr>
        <w:t xml:space="preserve"> وتـن</w:t>
      </w:r>
      <w:r w:rsidRPr="00FE4C18">
        <w:rPr>
          <w:rtl/>
        </w:rPr>
        <w:t>مو</w:t>
      </w:r>
      <w:r w:rsidRPr="007F5B58">
        <w:rPr>
          <w:rtl/>
        </w:rPr>
        <w:t>،</w:t>
      </w:r>
      <w:r w:rsidRPr="00FE4C18">
        <w:rPr>
          <w:rtl/>
        </w:rPr>
        <w:t xml:space="preserve"> </w:t>
      </w:r>
      <w:r>
        <w:rPr>
          <w:rtl/>
        </w:rPr>
        <w:t>وعليه فإن ا</w:t>
      </w:r>
      <w:r w:rsidRPr="00FE4C18">
        <w:rPr>
          <w:rtl/>
        </w:rPr>
        <w:t>لأحاد</w:t>
      </w:r>
      <w:r>
        <w:rPr>
          <w:rtl/>
        </w:rPr>
        <w:t>ي</w:t>
      </w:r>
      <w:r w:rsidRPr="00FE4C18">
        <w:rPr>
          <w:rtl/>
        </w:rPr>
        <w:t>ث</w:t>
      </w:r>
      <w:r>
        <w:rPr>
          <w:rtl/>
        </w:rPr>
        <w:t xml:space="preserve"> وا</w:t>
      </w:r>
      <w:r w:rsidRPr="00FE4C18">
        <w:rPr>
          <w:rtl/>
        </w:rPr>
        <w:t>لروا</w:t>
      </w:r>
      <w:r>
        <w:rPr>
          <w:rtl/>
        </w:rPr>
        <w:t>ي</w:t>
      </w:r>
      <w:r w:rsidRPr="00FE4C18">
        <w:rPr>
          <w:rtl/>
        </w:rPr>
        <w:t xml:space="preserve">ات لا تشمل هذا </w:t>
      </w:r>
      <w:r>
        <w:rPr>
          <w:rtl/>
        </w:rPr>
        <w:t>ا</w:t>
      </w:r>
      <w:r w:rsidRPr="00FE4C18">
        <w:rPr>
          <w:rtl/>
        </w:rPr>
        <w:t>لموضوع</w:t>
      </w:r>
      <w:r>
        <w:rPr>
          <w:rtl/>
        </w:rPr>
        <w:t>.</w:t>
      </w:r>
      <w:r w:rsidRPr="00FE4C18">
        <w:rPr>
          <w:rtl/>
        </w:rPr>
        <w:t xml:space="preserve"> </w:t>
      </w:r>
    </w:p>
    <w:p w:rsidR="00391A35" w:rsidRDefault="00391A35" w:rsidP="0067362A">
      <w:pPr>
        <w:pStyle w:val="ac"/>
        <w:spacing w:line="199" w:lineRule="auto"/>
        <w:rPr>
          <w:rtl/>
        </w:rPr>
      </w:pPr>
      <w:r>
        <w:rPr>
          <w:rtl/>
        </w:rPr>
        <w:t>و</w:t>
      </w:r>
      <w:r w:rsidRPr="00FE4C18">
        <w:rPr>
          <w:rtl/>
        </w:rPr>
        <w:t xml:space="preserve">عندما لا </w:t>
      </w:r>
      <w:r>
        <w:rPr>
          <w:rtl/>
        </w:rPr>
        <w:t>ي</w:t>
      </w:r>
      <w:r w:rsidRPr="00FE4C18">
        <w:rPr>
          <w:rtl/>
        </w:rPr>
        <w:t>وجد منع شرعي</w:t>
      </w:r>
      <w:r w:rsidRPr="007F5B58">
        <w:rPr>
          <w:rtl/>
        </w:rPr>
        <w:t>،</w:t>
      </w:r>
      <w:r w:rsidRPr="00FE4C18">
        <w:rPr>
          <w:rtl/>
        </w:rPr>
        <w:t xml:space="preserve"> و</w:t>
      </w:r>
      <w:r>
        <w:rPr>
          <w:rtl/>
        </w:rPr>
        <w:t>لا يوجد</w:t>
      </w:r>
      <w:r w:rsidRPr="00FE4C18">
        <w:rPr>
          <w:rtl/>
        </w:rPr>
        <w:t xml:space="preserve"> دل</w:t>
      </w:r>
      <w:r>
        <w:rPr>
          <w:rtl/>
        </w:rPr>
        <w:t>ي</w:t>
      </w:r>
      <w:r w:rsidRPr="00FE4C18">
        <w:rPr>
          <w:rtl/>
        </w:rPr>
        <w:t>ل عل</w:t>
      </w:r>
      <w:r>
        <w:rPr>
          <w:rtl/>
        </w:rPr>
        <w:t xml:space="preserve">ى </w:t>
      </w:r>
      <w:r w:rsidRPr="00FE4C18">
        <w:rPr>
          <w:rtl/>
        </w:rPr>
        <w:t>نفي إ</w:t>
      </w:r>
      <w:r>
        <w:rPr>
          <w:rtl/>
        </w:rPr>
        <w:t>ي</w:t>
      </w:r>
      <w:r w:rsidRPr="00FE4C18">
        <w:rPr>
          <w:rtl/>
        </w:rPr>
        <w:t xml:space="preserve">جار </w:t>
      </w:r>
      <w:r>
        <w:rPr>
          <w:rtl/>
        </w:rPr>
        <w:t>ا</w:t>
      </w:r>
      <w:r w:rsidRPr="00FE4C18">
        <w:rPr>
          <w:rtl/>
        </w:rPr>
        <w:t>لرحم بسبب تحق</w:t>
      </w:r>
      <w:r>
        <w:rPr>
          <w:rtl/>
        </w:rPr>
        <w:t>ي</w:t>
      </w:r>
      <w:r w:rsidRPr="00FE4C18">
        <w:rPr>
          <w:rtl/>
        </w:rPr>
        <w:t xml:space="preserve">ق </w:t>
      </w:r>
      <w:r>
        <w:rPr>
          <w:rtl/>
        </w:rPr>
        <w:t>ا</w:t>
      </w:r>
      <w:r w:rsidRPr="00FE4C18">
        <w:rPr>
          <w:rtl/>
        </w:rPr>
        <w:t xml:space="preserve">لخسارة أو </w:t>
      </w:r>
      <w:r>
        <w:rPr>
          <w:rFonts w:hint="cs"/>
          <w:rtl/>
        </w:rPr>
        <w:t>ا</w:t>
      </w:r>
      <w:r w:rsidRPr="00FE4C18">
        <w:rPr>
          <w:rtl/>
        </w:rPr>
        <w:t>ختلاف مع حق آخر</w:t>
      </w:r>
      <w:r w:rsidRPr="007F5B58">
        <w:rPr>
          <w:rtl/>
        </w:rPr>
        <w:t>،</w:t>
      </w:r>
      <w:r w:rsidRPr="00FE4C18">
        <w:rPr>
          <w:rtl/>
        </w:rPr>
        <w:t xml:space="preserve"> </w:t>
      </w:r>
      <w:r>
        <w:rPr>
          <w:rtl/>
        </w:rPr>
        <w:t>ي</w:t>
      </w:r>
      <w:r w:rsidRPr="00FE4C18">
        <w:rPr>
          <w:rtl/>
        </w:rPr>
        <w:t>م</w:t>
      </w:r>
      <w:r>
        <w:rPr>
          <w:rtl/>
        </w:rPr>
        <w:t>ك</w:t>
      </w:r>
      <w:r w:rsidRPr="00FE4C18">
        <w:rPr>
          <w:rtl/>
        </w:rPr>
        <w:t>ن</w:t>
      </w:r>
      <w:r w:rsidRPr="007F5B58">
        <w:rPr>
          <w:rtl/>
        </w:rPr>
        <w:t>؛</w:t>
      </w:r>
      <w:r w:rsidRPr="00FE4C18">
        <w:rPr>
          <w:rtl/>
        </w:rPr>
        <w:t xml:space="preserve"> بال</w:t>
      </w:r>
      <w:r>
        <w:rPr>
          <w:rFonts w:hint="cs"/>
          <w:rtl/>
        </w:rPr>
        <w:t>ا</w:t>
      </w:r>
      <w:r w:rsidRPr="00FE4C18">
        <w:rPr>
          <w:rtl/>
        </w:rPr>
        <w:t>س</w:t>
      </w:r>
      <w:r>
        <w:rPr>
          <w:rtl/>
        </w:rPr>
        <w:t>تـن</w:t>
      </w:r>
      <w:r w:rsidRPr="00FE4C18">
        <w:rPr>
          <w:rtl/>
        </w:rPr>
        <w:t xml:space="preserve">اد لمبدأ </w:t>
      </w:r>
      <w:r>
        <w:rPr>
          <w:rtl/>
        </w:rPr>
        <w:t>ا</w:t>
      </w:r>
      <w:r w:rsidRPr="00FE4C18">
        <w:rPr>
          <w:rtl/>
        </w:rPr>
        <w:t>ل</w:t>
      </w:r>
      <w:r>
        <w:rPr>
          <w:rtl/>
        </w:rPr>
        <w:t>إ</w:t>
      </w:r>
      <w:r w:rsidRPr="00FE4C18">
        <w:rPr>
          <w:rtl/>
        </w:rPr>
        <w:t>باحة (</w:t>
      </w:r>
      <w:r>
        <w:rPr>
          <w:rtl/>
        </w:rPr>
        <w:t>إ</w:t>
      </w:r>
      <w:r w:rsidRPr="00FE4C18">
        <w:rPr>
          <w:rtl/>
        </w:rPr>
        <w:t>باحة جم</w:t>
      </w:r>
      <w:r>
        <w:rPr>
          <w:rtl/>
        </w:rPr>
        <w:t>ي</w:t>
      </w:r>
      <w:r w:rsidRPr="00FE4C18">
        <w:rPr>
          <w:rtl/>
        </w:rPr>
        <w:t xml:space="preserve">ع </w:t>
      </w:r>
      <w:r>
        <w:rPr>
          <w:rtl/>
        </w:rPr>
        <w:t>ا</w:t>
      </w:r>
      <w:r w:rsidRPr="00FE4C18">
        <w:rPr>
          <w:rtl/>
        </w:rPr>
        <w:t>لأش</w:t>
      </w:r>
      <w:r>
        <w:rPr>
          <w:rtl/>
        </w:rPr>
        <w:t>ي</w:t>
      </w:r>
      <w:r w:rsidRPr="00FE4C18">
        <w:rPr>
          <w:rtl/>
        </w:rPr>
        <w:t>اء</w:t>
      </w:r>
      <w:r>
        <w:rPr>
          <w:rtl/>
        </w:rPr>
        <w:t xml:space="preserve"> وا</w:t>
      </w:r>
      <w:r w:rsidRPr="00FE4C18">
        <w:rPr>
          <w:rtl/>
        </w:rPr>
        <w:t xml:space="preserve">لنشاطات إلاّ </w:t>
      </w:r>
      <w:r>
        <w:rPr>
          <w:rtl/>
        </w:rPr>
        <w:t>ا</w:t>
      </w:r>
      <w:r w:rsidRPr="00FE4C18">
        <w:rPr>
          <w:rtl/>
        </w:rPr>
        <w:t xml:space="preserve">لموضوعات </w:t>
      </w:r>
      <w:r>
        <w:rPr>
          <w:rtl/>
        </w:rPr>
        <w:t>ا</w:t>
      </w:r>
      <w:r w:rsidRPr="00FE4C18">
        <w:rPr>
          <w:rtl/>
        </w:rPr>
        <w:t>لتي هنا</w:t>
      </w:r>
      <w:r>
        <w:rPr>
          <w:rtl/>
        </w:rPr>
        <w:t>ك</w:t>
      </w:r>
      <w:r w:rsidRPr="00FE4C18">
        <w:rPr>
          <w:rtl/>
        </w:rPr>
        <w:t xml:space="preserve"> دل</w:t>
      </w:r>
      <w:r>
        <w:rPr>
          <w:rtl/>
        </w:rPr>
        <w:t>ي</w:t>
      </w:r>
      <w:r w:rsidRPr="00FE4C18">
        <w:rPr>
          <w:rtl/>
        </w:rPr>
        <w:t>ل أساسي لمنعها)</w:t>
      </w:r>
      <w:r>
        <w:rPr>
          <w:rFonts w:hint="cs"/>
          <w:rtl/>
        </w:rPr>
        <w:t>،</w:t>
      </w:r>
      <w:r>
        <w:rPr>
          <w:rtl/>
        </w:rPr>
        <w:t xml:space="preserve"> و</w:t>
      </w:r>
      <w:r w:rsidRPr="00FE4C18">
        <w:rPr>
          <w:rtl/>
        </w:rPr>
        <w:t xml:space="preserve">مبدأ </w:t>
      </w:r>
      <w:r>
        <w:rPr>
          <w:rtl/>
        </w:rPr>
        <w:t>ا</w:t>
      </w:r>
      <w:r w:rsidRPr="00FE4C18">
        <w:rPr>
          <w:rtl/>
        </w:rPr>
        <w:t xml:space="preserve">لبراءة </w:t>
      </w:r>
      <w:r>
        <w:rPr>
          <w:rtl/>
        </w:rPr>
        <w:t>ا</w:t>
      </w:r>
      <w:r w:rsidRPr="00FE4C18">
        <w:rPr>
          <w:rtl/>
        </w:rPr>
        <w:t>لعقل</w:t>
      </w:r>
      <w:r>
        <w:rPr>
          <w:rtl/>
        </w:rPr>
        <w:t>يّ</w:t>
      </w:r>
      <w:r w:rsidRPr="00FE4C18">
        <w:rPr>
          <w:rtl/>
        </w:rPr>
        <w:t>ة</w:t>
      </w:r>
      <w:r>
        <w:rPr>
          <w:rtl/>
        </w:rPr>
        <w:t xml:space="preserve"> </w:t>
      </w:r>
      <w:r>
        <w:rPr>
          <w:rtl/>
        </w:rPr>
        <w:lastRenderedPageBreak/>
        <w:t>وا</w:t>
      </w:r>
      <w:r w:rsidRPr="00FE4C18">
        <w:rPr>
          <w:rtl/>
        </w:rPr>
        <w:t>لشرع</w:t>
      </w:r>
      <w:r>
        <w:rPr>
          <w:rtl/>
        </w:rPr>
        <w:t>يّ</w:t>
      </w:r>
      <w:r w:rsidRPr="00FE4C18">
        <w:rPr>
          <w:rtl/>
        </w:rPr>
        <w:t>ة</w:t>
      </w:r>
      <w:r w:rsidRPr="007F5B58">
        <w:rPr>
          <w:rtl/>
        </w:rPr>
        <w:t>،</w:t>
      </w:r>
      <w:r>
        <w:rPr>
          <w:rtl/>
        </w:rPr>
        <w:t xml:space="preserve"> وا</w:t>
      </w:r>
      <w:r w:rsidRPr="00FE4C18">
        <w:rPr>
          <w:rtl/>
        </w:rPr>
        <w:t>لعموم</w:t>
      </w:r>
      <w:r>
        <w:rPr>
          <w:rtl/>
        </w:rPr>
        <w:t>يّ</w:t>
      </w:r>
      <w:r w:rsidRPr="00FE4C18">
        <w:rPr>
          <w:rtl/>
        </w:rPr>
        <w:t>ة أ</w:t>
      </w:r>
      <w:r>
        <w:rPr>
          <w:rtl/>
        </w:rPr>
        <w:t>ي</w:t>
      </w:r>
      <w:r w:rsidRPr="00FE4C18">
        <w:rPr>
          <w:rtl/>
        </w:rPr>
        <w:t>ضاً</w:t>
      </w:r>
      <w:r w:rsidRPr="007F5B58">
        <w:rPr>
          <w:rtl/>
        </w:rPr>
        <w:t>،</w:t>
      </w:r>
      <w:r w:rsidRPr="00FE4C18">
        <w:rPr>
          <w:rtl/>
        </w:rPr>
        <w:t xml:space="preserve"> و</w:t>
      </w:r>
      <w:r>
        <w:rPr>
          <w:rtl/>
        </w:rPr>
        <w:t>وجود أدلة</w:t>
      </w:r>
      <w:r w:rsidRPr="00FE4C18">
        <w:rPr>
          <w:rtl/>
        </w:rPr>
        <w:t xml:space="preserve"> تش</w:t>
      </w:r>
      <w:r>
        <w:rPr>
          <w:rtl/>
        </w:rPr>
        <w:t>ي</w:t>
      </w:r>
      <w:r w:rsidRPr="00FE4C18">
        <w:rPr>
          <w:rtl/>
        </w:rPr>
        <w:t>ر إل</w:t>
      </w:r>
      <w:r>
        <w:rPr>
          <w:rtl/>
        </w:rPr>
        <w:t xml:space="preserve">ى </w:t>
      </w:r>
      <w:r w:rsidRPr="00FE4C18">
        <w:rPr>
          <w:rtl/>
        </w:rPr>
        <w:t>جواز تأج</w:t>
      </w:r>
      <w:r>
        <w:rPr>
          <w:rtl/>
        </w:rPr>
        <w:t>ي</w:t>
      </w:r>
      <w:r w:rsidRPr="00FE4C18">
        <w:rPr>
          <w:rtl/>
        </w:rPr>
        <w:t xml:space="preserve">ر </w:t>
      </w:r>
      <w:r>
        <w:rPr>
          <w:rtl/>
        </w:rPr>
        <w:t>ا</w:t>
      </w:r>
      <w:r w:rsidRPr="00FE4C18">
        <w:rPr>
          <w:rtl/>
        </w:rPr>
        <w:t>لإنسان</w:t>
      </w:r>
      <w:r>
        <w:rPr>
          <w:rtl/>
        </w:rPr>
        <w:t xml:space="preserve"> و</w:t>
      </w:r>
      <w:r w:rsidRPr="00FE4C18">
        <w:rPr>
          <w:rtl/>
        </w:rPr>
        <w:t>خدماته</w:t>
      </w:r>
      <w:r w:rsidRPr="007F5B58">
        <w:rPr>
          <w:rtl/>
        </w:rPr>
        <w:t>،</w:t>
      </w:r>
      <w:r w:rsidRPr="00FE4C18">
        <w:rPr>
          <w:rtl/>
        </w:rPr>
        <w:t xml:space="preserve"> </w:t>
      </w:r>
      <w:r>
        <w:rPr>
          <w:rtl/>
        </w:rPr>
        <w:t>ي</w:t>
      </w:r>
      <w:r w:rsidRPr="00FE4C18">
        <w:rPr>
          <w:rtl/>
        </w:rPr>
        <w:t>م</w:t>
      </w:r>
      <w:r>
        <w:rPr>
          <w:rtl/>
        </w:rPr>
        <w:t>ك</w:t>
      </w:r>
      <w:r w:rsidRPr="00FE4C18">
        <w:rPr>
          <w:rtl/>
        </w:rPr>
        <w:t xml:space="preserve">ن </w:t>
      </w:r>
      <w:r>
        <w:rPr>
          <w:rtl/>
        </w:rPr>
        <w:t>الحكم ب</w:t>
      </w:r>
      <w:r w:rsidRPr="00FE4C18">
        <w:rPr>
          <w:rtl/>
        </w:rPr>
        <w:t xml:space="preserve">جواز هذا </w:t>
      </w:r>
      <w:r>
        <w:rPr>
          <w:rtl/>
        </w:rPr>
        <w:t>ا</w:t>
      </w:r>
      <w:r w:rsidRPr="00FE4C18">
        <w:rPr>
          <w:rtl/>
        </w:rPr>
        <w:t>لعمل</w:t>
      </w:r>
      <w:r>
        <w:rPr>
          <w:rFonts w:hint="cs"/>
          <w:rtl/>
        </w:rPr>
        <w:t>.</w:t>
      </w:r>
      <w:r>
        <w:rPr>
          <w:rtl/>
        </w:rPr>
        <w:t xml:space="preserve"> و</w:t>
      </w:r>
      <w:r w:rsidRPr="00FE4C18">
        <w:rPr>
          <w:rtl/>
        </w:rPr>
        <w:t>ل</w:t>
      </w:r>
      <w:r>
        <w:rPr>
          <w:rtl/>
        </w:rPr>
        <w:t>ك</w:t>
      </w:r>
      <w:r w:rsidRPr="00FE4C18">
        <w:rPr>
          <w:rtl/>
        </w:rPr>
        <w:t>ن بالنسبة ل</w:t>
      </w:r>
      <w:r>
        <w:rPr>
          <w:rtl/>
        </w:rPr>
        <w:t>ا</w:t>
      </w:r>
      <w:r w:rsidRPr="00FE4C18">
        <w:rPr>
          <w:rtl/>
        </w:rPr>
        <w:t xml:space="preserve">مرأة متزوّجة </w:t>
      </w:r>
      <w:r>
        <w:rPr>
          <w:rtl/>
        </w:rPr>
        <w:t>يبقى</w:t>
      </w:r>
      <w:r w:rsidRPr="00FE4C18">
        <w:rPr>
          <w:rtl/>
        </w:rPr>
        <w:t xml:space="preserve"> احتمال </w:t>
      </w:r>
      <w:r>
        <w:rPr>
          <w:rtl/>
        </w:rPr>
        <w:t>ا</w:t>
      </w:r>
      <w:r w:rsidRPr="00FE4C18">
        <w:rPr>
          <w:rtl/>
        </w:rPr>
        <w:t xml:space="preserve">لمنع في </w:t>
      </w:r>
      <w:r>
        <w:rPr>
          <w:rtl/>
        </w:rPr>
        <w:t>ك</w:t>
      </w:r>
      <w:r w:rsidRPr="00FE4C18">
        <w:rPr>
          <w:rtl/>
        </w:rPr>
        <w:t xml:space="preserve">لا </w:t>
      </w:r>
      <w:r>
        <w:rPr>
          <w:rtl/>
        </w:rPr>
        <w:t>ا</w:t>
      </w:r>
      <w:r w:rsidRPr="00FE4C18">
        <w:rPr>
          <w:rtl/>
        </w:rPr>
        <w:t>لح</w:t>
      </w:r>
      <w:r>
        <w:rPr>
          <w:rtl/>
        </w:rPr>
        <w:t>ك</w:t>
      </w:r>
      <w:r w:rsidRPr="00FE4C18">
        <w:rPr>
          <w:rtl/>
        </w:rPr>
        <w:t>م</w:t>
      </w:r>
      <w:r>
        <w:rPr>
          <w:rtl/>
        </w:rPr>
        <w:t>ي</w:t>
      </w:r>
      <w:r w:rsidRPr="00FE4C18">
        <w:rPr>
          <w:rtl/>
        </w:rPr>
        <w:t xml:space="preserve">ن </w:t>
      </w:r>
      <w:r>
        <w:rPr>
          <w:rtl/>
        </w:rPr>
        <w:t>قائماً</w:t>
      </w:r>
      <w:r w:rsidRPr="007F5B58">
        <w:rPr>
          <w:rtl/>
        </w:rPr>
        <w:t>؛</w:t>
      </w:r>
      <w:r>
        <w:rPr>
          <w:rtl/>
        </w:rPr>
        <w:t xml:space="preserve"> إذ ا</w:t>
      </w:r>
      <w:r w:rsidRPr="00FE4C18">
        <w:rPr>
          <w:rtl/>
        </w:rPr>
        <w:t>لح</w:t>
      </w:r>
      <w:r>
        <w:rPr>
          <w:rtl/>
        </w:rPr>
        <w:t>ك</w:t>
      </w:r>
      <w:r w:rsidRPr="00FE4C18">
        <w:rPr>
          <w:rtl/>
        </w:rPr>
        <w:t xml:space="preserve">م </w:t>
      </w:r>
      <w:r>
        <w:rPr>
          <w:rtl/>
        </w:rPr>
        <w:t>بال</w:t>
      </w:r>
      <w:r w:rsidRPr="00FE4C18">
        <w:rPr>
          <w:rtl/>
        </w:rPr>
        <w:t xml:space="preserve">جواز </w:t>
      </w:r>
      <w:r>
        <w:rPr>
          <w:rtl/>
        </w:rPr>
        <w:t>ي</w:t>
      </w:r>
      <w:r w:rsidRPr="00FE4C18">
        <w:rPr>
          <w:rtl/>
        </w:rPr>
        <w:t xml:space="preserve">خالف </w:t>
      </w:r>
      <w:r>
        <w:rPr>
          <w:rtl/>
        </w:rPr>
        <w:t>ا</w:t>
      </w:r>
      <w:r w:rsidRPr="00FE4C18">
        <w:rPr>
          <w:rtl/>
        </w:rPr>
        <w:t>لاحت</w:t>
      </w:r>
      <w:r>
        <w:rPr>
          <w:rtl/>
        </w:rPr>
        <w:t>ي</w:t>
      </w:r>
      <w:r w:rsidRPr="00FE4C18">
        <w:rPr>
          <w:rtl/>
        </w:rPr>
        <w:t>اط</w:t>
      </w:r>
      <w:r w:rsidRPr="00815C4C">
        <w:rPr>
          <w:rFonts w:cs="Taher"/>
          <w:vertAlign w:val="superscript"/>
          <w:rtl/>
        </w:rPr>
        <w:t>(</w:t>
      </w:r>
      <w:r w:rsidRPr="00815C4C">
        <w:rPr>
          <w:rFonts w:cs="Taher"/>
          <w:vertAlign w:val="superscript"/>
          <w:rtl/>
        </w:rPr>
        <w:footnoteReference w:id="905"/>
      </w:r>
      <w:r w:rsidRPr="00815C4C">
        <w:rPr>
          <w:rFonts w:cs="Taher"/>
          <w:vertAlign w:val="superscript"/>
          <w:rtl/>
        </w:rPr>
        <w:t>)</w:t>
      </w:r>
      <w:r>
        <w:rPr>
          <w:rtl/>
        </w:rPr>
        <w:t>.</w:t>
      </w:r>
      <w:r w:rsidRPr="00FE4C18">
        <w:rPr>
          <w:rtl/>
        </w:rPr>
        <w:t xml:space="preserve"> </w:t>
      </w:r>
    </w:p>
    <w:p w:rsidR="00391A35" w:rsidRPr="00FE4C18" w:rsidRDefault="00391A35" w:rsidP="0067362A">
      <w:pPr>
        <w:pStyle w:val="afffffc"/>
        <w:rPr>
          <w:rtl/>
        </w:rPr>
      </w:pPr>
    </w:p>
    <w:p w:rsidR="00391A35" w:rsidRPr="00FE4C18" w:rsidRDefault="00391A35" w:rsidP="00391A35">
      <w:pPr>
        <w:pStyle w:val="1"/>
        <w:rPr>
          <w:rtl/>
        </w:rPr>
      </w:pPr>
      <w:bookmarkStart w:id="491" w:name="_Toc275128198"/>
      <w:r w:rsidRPr="00FE4C18">
        <w:rPr>
          <w:rtl/>
        </w:rPr>
        <w:t xml:space="preserve">مخالفة </w:t>
      </w:r>
      <w:r>
        <w:rPr>
          <w:rtl/>
        </w:rPr>
        <w:t>ا</w:t>
      </w:r>
      <w:r w:rsidRPr="00FE4C18">
        <w:rPr>
          <w:rtl/>
        </w:rPr>
        <w:t>لاتفاق</w:t>
      </w:r>
      <w:r>
        <w:rPr>
          <w:rtl/>
        </w:rPr>
        <w:t>ي</w:t>
      </w:r>
      <w:r w:rsidRPr="00FE4C18">
        <w:rPr>
          <w:rtl/>
        </w:rPr>
        <w:t xml:space="preserve">ة </w:t>
      </w:r>
      <w:r>
        <w:rPr>
          <w:rFonts w:hint="cs"/>
          <w:rtl/>
        </w:rPr>
        <w:t>للنظام</w:t>
      </w:r>
      <w:r w:rsidRPr="00FE4C18">
        <w:rPr>
          <w:rtl/>
        </w:rPr>
        <w:t xml:space="preserve"> العام</w:t>
      </w:r>
      <w:bookmarkEnd w:id="491"/>
      <w:r w:rsidRPr="00FE4C18">
        <w:rPr>
          <w:rtl/>
        </w:rPr>
        <w:t xml:space="preserve"> </w:t>
      </w:r>
    </w:p>
    <w:p w:rsidR="00391A35" w:rsidRPr="00FE4C18" w:rsidRDefault="00391A35" w:rsidP="00391A35">
      <w:pPr>
        <w:pStyle w:val="ac"/>
        <w:rPr>
          <w:rtl/>
        </w:rPr>
      </w:pPr>
      <w:r>
        <w:rPr>
          <w:rtl/>
        </w:rPr>
        <w:t>ي</w:t>
      </w:r>
      <w:r w:rsidRPr="00FE4C18">
        <w:rPr>
          <w:rtl/>
        </w:rPr>
        <w:t>م</w:t>
      </w:r>
      <w:r>
        <w:rPr>
          <w:rtl/>
        </w:rPr>
        <w:t>ك</w:t>
      </w:r>
      <w:r w:rsidRPr="00FE4C18">
        <w:rPr>
          <w:rtl/>
        </w:rPr>
        <w:t>ن أن ت</w:t>
      </w:r>
      <w:r>
        <w:rPr>
          <w:rtl/>
        </w:rPr>
        <w:t>ك</w:t>
      </w:r>
      <w:r w:rsidRPr="00FE4C18">
        <w:rPr>
          <w:rtl/>
        </w:rPr>
        <w:t xml:space="preserve">ون </w:t>
      </w:r>
      <w:r>
        <w:rPr>
          <w:rtl/>
        </w:rPr>
        <w:t>ا</w:t>
      </w:r>
      <w:r w:rsidRPr="00FE4C18">
        <w:rPr>
          <w:rtl/>
        </w:rPr>
        <w:t>تفاق</w:t>
      </w:r>
      <w:r>
        <w:rPr>
          <w:rtl/>
        </w:rPr>
        <w:t>ي</w:t>
      </w:r>
      <w:r w:rsidRPr="00FE4C18">
        <w:rPr>
          <w:rtl/>
        </w:rPr>
        <w:t xml:space="preserve">ة </w:t>
      </w:r>
      <w:r>
        <w:rPr>
          <w:rtl/>
        </w:rPr>
        <w:t>ا</w:t>
      </w:r>
      <w:r w:rsidRPr="00FE4C18">
        <w:rPr>
          <w:rtl/>
        </w:rPr>
        <w:t xml:space="preserve">ستخدام </w:t>
      </w:r>
      <w:r>
        <w:rPr>
          <w:rtl/>
        </w:rPr>
        <w:t>ا</w:t>
      </w:r>
      <w:r w:rsidRPr="00FE4C18">
        <w:rPr>
          <w:rtl/>
        </w:rPr>
        <w:t xml:space="preserve">لرحم مخالفة للنظام </w:t>
      </w:r>
      <w:r>
        <w:rPr>
          <w:rtl/>
        </w:rPr>
        <w:t>ا</w:t>
      </w:r>
      <w:r w:rsidRPr="00FE4C18">
        <w:rPr>
          <w:rtl/>
        </w:rPr>
        <w:t>لعام في نظرنا</w:t>
      </w:r>
      <w:r w:rsidRPr="007F5B58">
        <w:rPr>
          <w:rtl/>
        </w:rPr>
        <w:t>؛</w:t>
      </w:r>
      <w:r>
        <w:rPr>
          <w:rtl/>
        </w:rPr>
        <w:t xml:space="preserve"> </w:t>
      </w:r>
      <w:r w:rsidRPr="00FE4C18">
        <w:rPr>
          <w:rtl/>
        </w:rPr>
        <w:t xml:space="preserve">لأنَّ جسم </w:t>
      </w:r>
      <w:r>
        <w:rPr>
          <w:rtl/>
        </w:rPr>
        <w:t>ا</w:t>
      </w:r>
      <w:r w:rsidRPr="00FE4C18">
        <w:rPr>
          <w:rtl/>
        </w:rPr>
        <w:t>ل</w:t>
      </w:r>
      <w:r>
        <w:rPr>
          <w:rtl/>
        </w:rPr>
        <w:t>إ</w:t>
      </w:r>
      <w:r w:rsidRPr="00FE4C18">
        <w:rPr>
          <w:rtl/>
        </w:rPr>
        <w:t xml:space="preserve">نسان لا </w:t>
      </w:r>
      <w:r>
        <w:rPr>
          <w:rtl/>
        </w:rPr>
        <w:t>ي</w:t>
      </w:r>
      <w:r w:rsidRPr="00FE4C18">
        <w:rPr>
          <w:rtl/>
        </w:rPr>
        <w:t>م</w:t>
      </w:r>
      <w:r>
        <w:rPr>
          <w:rtl/>
        </w:rPr>
        <w:t>ك</w:t>
      </w:r>
      <w:r w:rsidRPr="00FE4C18">
        <w:rPr>
          <w:rtl/>
        </w:rPr>
        <w:t xml:space="preserve">ن أن </w:t>
      </w:r>
      <w:r>
        <w:rPr>
          <w:rtl/>
        </w:rPr>
        <w:t>يك</w:t>
      </w:r>
      <w:r w:rsidRPr="00FE4C18">
        <w:rPr>
          <w:rtl/>
        </w:rPr>
        <w:t>ون موضوع أ</w:t>
      </w:r>
      <w:r>
        <w:rPr>
          <w:rtl/>
        </w:rPr>
        <w:t>ي</w:t>
      </w:r>
      <w:r w:rsidRPr="00FE4C18">
        <w:rPr>
          <w:rtl/>
        </w:rPr>
        <w:t>ة اتفاق</w:t>
      </w:r>
      <w:r>
        <w:rPr>
          <w:rtl/>
        </w:rPr>
        <w:t>ي</w:t>
      </w:r>
      <w:r w:rsidRPr="00FE4C18">
        <w:rPr>
          <w:rtl/>
        </w:rPr>
        <w:t>ة ملزمة</w:t>
      </w:r>
      <w:r>
        <w:rPr>
          <w:rtl/>
        </w:rPr>
        <w:t>.</w:t>
      </w:r>
      <w:r w:rsidRPr="00FE4C18">
        <w:rPr>
          <w:rtl/>
        </w:rPr>
        <w:t xml:space="preserve"> </w:t>
      </w:r>
      <w:r>
        <w:rPr>
          <w:rtl/>
        </w:rPr>
        <w:t xml:space="preserve">وعليه </w:t>
      </w:r>
      <w:r w:rsidRPr="00FE4C18">
        <w:rPr>
          <w:rtl/>
        </w:rPr>
        <w:t xml:space="preserve">فهذه </w:t>
      </w:r>
      <w:r>
        <w:rPr>
          <w:rtl/>
        </w:rPr>
        <w:t>ا</w:t>
      </w:r>
      <w:r w:rsidRPr="00FE4C18">
        <w:rPr>
          <w:rtl/>
        </w:rPr>
        <w:t>لاتفاق</w:t>
      </w:r>
      <w:r>
        <w:rPr>
          <w:rtl/>
        </w:rPr>
        <w:t>ي</w:t>
      </w:r>
      <w:r w:rsidRPr="00FE4C18">
        <w:rPr>
          <w:rtl/>
        </w:rPr>
        <w:t xml:space="preserve">ة تخالف أصل عدم صحّة </w:t>
      </w:r>
      <w:r>
        <w:rPr>
          <w:rtl/>
        </w:rPr>
        <w:t>ا</w:t>
      </w:r>
      <w:r w:rsidRPr="00FE4C18">
        <w:rPr>
          <w:rtl/>
        </w:rPr>
        <w:t xml:space="preserve">لتصرف في جسم </w:t>
      </w:r>
      <w:r>
        <w:rPr>
          <w:rtl/>
        </w:rPr>
        <w:t>ا</w:t>
      </w:r>
      <w:r w:rsidRPr="00FE4C18">
        <w:rPr>
          <w:rtl/>
        </w:rPr>
        <w:t>ل</w:t>
      </w:r>
      <w:r>
        <w:rPr>
          <w:rtl/>
        </w:rPr>
        <w:t>إ</w:t>
      </w:r>
      <w:r w:rsidRPr="00FE4C18">
        <w:rPr>
          <w:rtl/>
        </w:rPr>
        <w:t>نسان</w:t>
      </w:r>
      <w:r w:rsidRPr="007F5B58">
        <w:rPr>
          <w:rtl/>
        </w:rPr>
        <w:t>،</w:t>
      </w:r>
      <w:r w:rsidRPr="00FE4C18">
        <w:rPr>
          <w:rtl/>
        </w:rPr>
        <w:t xml:space="preserve"> </w:t>
      </w:r>
      <w:r>
        <w:rPr>
          <w:rtl/>
        </w:rPr>
        <w:t>ك</w:t>
      </w:r>
      <w:r w:rsidRPr="00FE4C18">
        <w:rPr>
          <w:rtl/>
        </w:rPr>
        <w:t xml:space="preserve">ما تخالف عدم صحّة </w:t>
      </w:r>
      <w:r>
        <w:rPr>
          <w:rtl/>
        </w:rPr>
        <w:t>ا</w:t>
      </w:r>
      <w:r w:rsidRPr="00FE4C18">
        <w:rPr>
          <w:rtl/>
        </w:rPr>
        <w:t>لتصرف في وضع</w:t>
      </w:r>
      <w:r>
        <w:rPr>
          <w:rtl/>
        </w:rPr>
        <w:t>يّ</w:t>
      </w:r>
      <w:r w:rsidRPr="00FE4C18">
        <w:rPr>
          <w:rtl/>
        </w:rPr>
        <w:t xml:space="preserve">ة </w:t>
      </w:r>
      <w:r>
        <w:rPr>
          <w:rtl/>
        </w:rPr>
        <w:t>ا</w:t>
      </w:r>
      <w:r w:rsidRPr="00FE4C18">
        <w:rPr>
          <w:rtl/>
        </w:rPr>
        <w:t>لأشخاص</w:t>
      </w:r>
      <w:r w:rsidRPr="00815C4C">
        <w:rPr>
          <w:rFonts w:cs="Taher"/>
          <w:vertAlign w:val="superscript"/>
          <w:rtl/>
        </w:rPr>
        <w:t>(</w:t>
      </w:r>
      <w:r w:rsidRPr="00815C4C">
        <w:rPr>
          <w:rFonts w:cs="Taher"/>
          <w:vertAlign w:val="superscript"/>
          <w:rtl/>
        </w:rPr>
        <w:footnoteReference w:id="906"/>
      </w:r>
      <w:r w:rsidRPr="00815C4C">
        <w:rPr>
          <w:rFonts w:cs="Taher"/>
          <w:vertAlign w:val="superscript"/>
          <w:rtl/>
        </w:rPr>
        <w:t>)</w:t>
      </w:r>
      <w:r>
        <w:rPr>
          <w:rtl/>
        </w:rPr>
        <w:t>. و</w:t>
      </w:r>
      <w:r w:rsidRPr="00FE4C18">
        <w:rPr>
          <w:rtl/>
        </w:rPr>
        <w:t xml:space="preserve">من هذا </w:t>
      </w:r>
      <w:r>
        <w:rPr>
          <w:rtl/>
        </w:rPr>
        <w:t>ا</w:t>
      </w:r>
      <w:r w:rsidRPr="00FE4C18">
        <w:rPr>
          <w:rtl/>
        </w:rPr>
        <w:t>لمنط</w:t>
      </w:r>
      <w:r>
        <w:rPr>
          <w:rtl/>
        </w:rPr>
        <w:t>ل</w:t>
      </w:r>
      <w:r w:rsidRPr="00FE4C18">
        <w:rPr>
          <w:rtl/>
        </w:rPr>
        <w:t xml:space="preserve">ق </w:t>
      </w:r>
      <w:r>
        <w:rPr>
          <w:rtl/>
        </w:rPr>
        <w:t>ي</w:t>
      </w:r>
      <w:r w:rsidRPr="00FE4C18">
        <w:rPr>
          <w:rtl/>
        </w:rPr>
        <w:t xml:space="preserve">عتقد بعض </w:t>
      </w:r>
      <w:r>
        <w:rPr>
          <w:rtl/>
        </w:rPr>
        <w:t>ا</w:t>
      </w:r>
      <w:r w:rsidRPr="00FE4C18">
        <w:rPr>
          <w:rtl/>
        </w:rPr>
        <w:t>لقانون</w:t>
      </w:r>
      <w:r>
        <w:rPr>
          <w:rtl/>
        </w:rPr>
        <w:t>يي</w:t>
      </w:r>
      <w:r w:rsidRPr="00FE4C18">
        <w:rPr>
          <w:rtl/>
        </w:rPr>
        <w:t xml:space="preserve">ن أنَّ هذا </w:t>
      </w:r>
      <w:r>
        <w:rPr>
          <w:rtl/>
        </w:rPr>
        <w:t>ا</w:t>
      </w:r>
      <w:r w:rsidRPr="00FE4C18">
        <w:rPr>
          <w:rtl/>
        </w:rPr>
        <w:t>لموضوع وجه جد</w:t>
      </w:r>
      <w:r>
        <w:rPr>
          <w:rtl/>
        </w:rPr>
        <w:t>ي</w:t>
      </w:r>
      <w:r w:rsidRPr="00FE4C18">
        <w:rPr>
          <w:rtl/>
        </w:rPr>
        <w:t xml:space="preserve">د لتجارة </w:t>
      </w:r>
      <w:r>
        <w:rPr>
          <w:rtl/>
        </w:rPr>
        <w:t>ا</w:t>
      </w:r>
      <w:r w:rsidRPr="00FE4C18">
        <w:rPr>
          <w:rtl/>
        </w:rPr>
        <w:t>لرق</w:t>
      </w:r>
      <w:r>
        <w:rPr>
          <w:rtl/>
        </w:rPr>
        <w:t>ي</w:t>
      </w:r>
      <w:r w:rsidRPr="00FE4C18">
        <w:rPr>
          <w:rtl/>
        </w:rPr>
        <w:t xml:space="preserve">ق في عصرنا </w:t>
      </w:r>
      <w:r>
        <w:rPr>
          <w:rtl/>
        </w:rPr>
        <w:t>ا</w:t>
      </w:r>
      <w:r w:rsidRPr="00FE4C18">
        <w:rPr>
          <w:rtl/>
        </w:rPr>
        <w:t>لحاضر</w:t>
      </w:r>
      <w:r w:rsidRPr="00815C4C">
        <w:rPr>
          <w:rFonts w:cs="Taher"/>
          <w:vertAlign w:val="superscript"/>
          <w:rtl/>
        </w:rPr>
        <w:t>(</w:t>
      </w:r>
      <w:r w:rsidRPr="00815C4C">
        <w:rPr>
          <w:rFonts w:cs="Taher"/>
          <w:vertAlign w:val="superscript"/>
          <w:rtl/>
        </w:rPr>
        <w:footnoteReference w:id="907"/>
      </w:r>
      <w:r w:rsidRPr="00815C4C">
        <w:rPr>
          <w:rFonts w:cs="Taher"/>
          <w:vertAlign w:val="superscript"/>
          <w:rtl/>
        </w:rPr>
        <w:t>)</w:t>
      </w:r>
      <w:r>
        <w:rPr>
          <w:rtl/>
        </w:rPr>
        <w:t>.</w:t>
      </w:r>
    </w:p>
    <w:p w:rsidR="00391A35" w:rsidRDefault="00391A35" w:rsidP="00391A35">
      <w:pPr>
        <w:pStyle w:val="ac"/>
      </w:pPr>
      <w:r w:rsidRPr="00FE4C18">
        <w:rPr>
          <w:rtl/>
        </w:rPr>
        <w:t>و ل</w:t>
      </w:r>
      <w:r>
        <w:rPr>
          <w:rtl/>
        </w:rPr>
        <w:t>ك</w:t>
      </w:r>
      <w:r w:rsidRPr="00FE4C18">
        <w:rPr>
          <w:rtl/>
        </w:rPr>
        <w:t xml:space="preserve">ن بعض </w:t>
      </w:r>
      <w:r>
        <w:rPr>
          <w:rtl/>
        </w:rPr>
        <w:t>ا</w:t>
      </w:r>
      <w:r w:rsidRPr="00FE4C18">
        <w:rPr>
          <w:rtl/>
        </w:rPr>
        <w:t>لقانون</w:t>
      </w:r>
      <w:r>
        <w:rPr>
          <w:rtl/>
        </w:rPr>
        <w:t>يي</w:t>
      </w:r>
      <w:r w:rsidRPr="00FE4C18">
        <w:rPr>
          <w:rtl/>
        </w:rPr>
        <w:t xml:space="preserve">ن </w:t>
      </w:r>
      <w:r>
        <w:rPr>
          <w:rtl/>
        </w:rPr>
        <w:t>ي</w:t>
      </w:r>
      <w:r w:rsidRPr="00FE4C18">
        <w:rPr>
          <w:rtl/>
        </w:rPr>
        <w:t>ؤ</w:t>
      </w:r>
      <w:r>
        <w:rPr>
          <w:rtl/>
        </w:rPr>
        <w:t>ك</w:t>
      </w:r>
      <w:r w:rsidRPr="00FE4C18">
        <w:rPr>
          <w:rtl/>
        </w:rPr>
        <w:t>دون عل</w:t>
      </w:r>
      <w:r>
        <w:rPr>
          <w:rtl/>
        </w:rPr>
        <w:t>ى ا</w:t>
      </w:r>
      <w:r w:rsidRPr="00FE4C18">
        <w:rPr>
          <w:rtl/>
        </w:rPr>
        <w:t>عتبار</w:t>
      </w:r>
      <w:r>
        <w:rPr>
          <w:rtl/>
        </w:rPr>
        <w:t>يّ</w:t>
      </w:r>
      <w:r w:rsidRPr="00FE4C18">
        <w:rPr>
          <w:rtl/>
        </w:rPr>
        <w:t>ة اتفاق</w:t>
      </w:r>
      <w:r>
        <w:rPr>
          <w:rtl/>
        </w:rPr>
        <w:t>ي</w:t>
      </w:r>
      <w:r w:rsidRPr="00FE4C18">
        <w:rPr>
          <w:rtl/>
        </w:rPr>
        <w:t xml:space="preserve">ة استخدام رحم </w:t>
      </w:r>
      <w:r>
        <w:rPr>
          <w:rtl/>
        </w:rPr>
        <w:t>ا</w:t>
      </w:r>
      <w:r w:rsidRPr="00FE4C18">
        <w:rPr>
          <w:rtl/>
        </w:rPr>
        <w:t>لمرأة من جانب حقوقي بالاس</w:t>
      </w:r>
      <w:r>
        <w:rPr>
          <w:rtl/>
        </w:rPr>
        <w:t>تـناد</w:t>
      </w:r>
      <w:r w:rsidRPr="00FE4C18">
        <w:rPr>
          <w:rtl/>
        </w:rPr>
        <w:t xml:space="preserve"> لمبدأ </w:t>
      </w:r>
      <w:r>
        <w:rPr>
          <w:rtl/>
        </w:rPr>
        <w:t>ا</w:t>
      </w:r>
      <w:r w:rsidRPr="00FE4C18">
        <w:rPr>
          <w:rtl/>
        </w:rPr>
        <w:t>لصحّة</w:t>
      </w:r>
      <w:r w:rsidRPr="007F5B58">
        <w:rPr>
          <w:rtl/>
        </w:rPr>
        <w:t>،</w:t>
      </w:r>
      <w:r w:rsidRPr="00FE4C18">
        <w:rPr>
          <w:rtl/>
        </w:rPr>
        <w:t xml:space="preserve"> </w:t>
      </w:r>
      <w:r>
        <w:rPr>
          <w:rtl/>
        </w:rPr>
        <w:t>ال</w:t>
      </w:r>
      <w:r w:rsidRPr="00FE4C18">
        <w:rPr>
          <w:rtl/>
        </w:rPr>
        <w:t xml:space="preserve">مادة 10 من </w:t>
      </w:r>
      <w:r>
        <w:rPr>
          <w:rtl/>
        </w:rPr>
        <w:t>ا</w:t>
      </w:r>
      <w:r w:rsidRPr="00FE4C18">
        <w:rPr>
          <w:rtl/>
        </w:rPr>
        <w:t xml:space="preserve">لقانون </w:t>
      </w:r>
      <w:r>
        <w:rPr>
          <w:rtl/>
        </w:rPr>
        <w:t>ا</w:t>
      </w:r>
      <w:r w:rsidRPr="00FE4C18">
        <w:rPr>
          <w:rtl/>
        </w:rPr>
        <w:t xml:space="preserve">لمدني </w:t>
      </w:r>
      <w:r>
        <w:rPr>
          <w:rtl/>
        </w:rPr>
        <w:t>و</w:t>
      </w:r>
      <w:r w:rsidRPr="00FE4C18">
        <w:rPr>
          <w:rtl/>
        </w:rPr>
        <w:t>«أوفوا بالعقود»</w:t>
      </w:r>
      <w:r>
        <w:rPr>
          <w:rtl/>
        </w:rPr>
        <w:t>.</w:t>
      </w:r>
      <w:r w:rsidRPr="00FE4C18">
        <w:rPr>
          <w:rtl/>
        </w:rPr>
        <w:t xml:space="preserve"> </w:t>
      </w:r>
    </w:p>
    <w:p w:rsidR="00391A35" w:rsidRPr="00FE4C18" w:rsidRDefault="00391A35" w:rsidP="0067362A">
      <w:pPr>
        <w:pStyle w:val="afffffc"/>
        <w:rPr>
          <w:rtl/>
        </w:rPr>
      </w:pPr>
    </w:p>
    <w:p w:rsidR="00391A35" w:rsidRPr="00FE4C18" w:rsidRDefault="00391A35" w:rsidP="0067362A">
      <w:pPr>
        <w:pStyle w:val="2"/>
        <w:rPr>
          <w:rtl/>
        </w:rPr>
      </w:pPr>
      <w:bookmarkStart w:id="492" w:name="_Toc275128199"/>
      <w:r w:rsidRPr="00FE4C18">
        <w:rPr>
          <w:rtl/>
        </w:rPr>
        <w:t>4</w:t>
      </w:r>
      <w:r>
        <w:rPr>
          <w:rtl/>
        </w:rPr>
        <w:t>ـ</w:t>
      </w:r>
      <w:r w:rsidRPr="00FE4C18">
        <w:rPr>
          <w:rtl/>
        </w:rPr>
        <w:t xml:space="preserve"> تبعات </w:t>
      </w:r>
      <w:r>
        <w:rPr>
          <w:rtl/>
        </w:rPr>
        <w:t>ا</w:t>
      </w:r>
      <w:r w:rsidRPr="00FE4C18">
        <w:rPr>
          <w:rtl/>
        </w:rPr>
        <w:t>لاتفاق</w:t>
      </w:r>
      <w:r>
        <w:rPr>
          <w:rtl/>
        </w:rPr>
        <w:t>ي</w:t>
      </w:r>
      <w:r w:rsidRPr="00FE4C18">
        <w:rPr>
          <w:rtl/>
        </w:rPr>
        <w:t xml:space="preserve">ة </w:t>
      </w:r>
      <w:r>
        <w:rPr>
          <w:rtl/>
        </w:rPr>
        <w:t xml:space="preserve">على </w:t>
      </w:r>
      <w:r w:rsidRPr="00FE4C18">
        <w:rPr>
          <w:rtl/>
        </w:rPr>
        <w:t>فرض صحتها</w:t>
      </w:r>
      <w:bookmarkEnd w:id="492"/>
      <w:r w:rsidRPr="00FE4C18">
        <w:rPr>
          <w:rtl/>
        </w:rPr>
        <w:t xml:space="preserve"> </w:t>
      </w:r>
    </w:p>
    <w:p w:rsidR="00391A35" w:rsidRPr="00FE4C18" w:rsidRDefault="00391A35" w:rsidP="00391A35">
      <w:pPr>
        <w:pStyle w:val="ac"/>
        <w:rPr>
          <w:rtl/>
        </w:rPr>
      </w:pPr>
      <w:r w:rsidRPr="00FE4C18">
        <w:rPr>
          <w:rtl/>
        </w:rPr>
        <w:t xml:space="preserve"> اتفاق</w:t>
      </w:r>
      <w:r>
        <w:rPr>
          <w:rtl/>
        </w:rPr>
        <w:t>ي</w:t>
      </w:r>
      <w:r w:rsidRPr="00FE4C18">
        <w:rPr>
          <w:rtl/>
        </w:rPr>
        <w:t xml:space="preserve">ة </w:t>
      </w:r>
      <w:r>
        <w:rPr>
          <w:rtl/>
        </w:rPr>
        <w:t>ا</w:t>
      </w:r>
      <w:r w:rsidRPr="00FE4C18">
        <w:rPr>
          <w:rtl/>
        </w:rPr>
        <w:t>لمتعامل</w:t>
      </w:r>
      <w:r>
        <w:rPr>
          <w:rtl/>
        </w:rPr>
        <w:t>ي</w:t>
      </w:r>
      <w:r w:rsidRPr="00FE4C18">
        <w:rPr>
          <w:rtl/>
        </w:rPr>
        <w:t>ن لها تبعات</w:t>
      </w:r>
      <w:r w:rsidRPr="007F5B58">
        <w:rPr>
          <w:rtl/>
        </w:rPr>
        <w:t>،</w:t>
      </w:r>
      <w:r>
        <w:rPr>
          <w:rtl/>
        </w:rPr>
        <w:t xml:space="preserve"> وي</w:t>
      </w:r>
      <w:r w:rsidRPr="00FE4C18">
        <w:rPr>
          <w:rtl/>
        </w:rPr>
        <w:t>م</w:t>
      </w:r>
      <w:r>
        <w:rPr>
          <w:rtl/>
        </w:rPr>
        <w:t>ك</w:t>
      </w:r>
      <w:r w:rsidRPr="00FE4C18">
        <w:rPr>
          <w:rtl/>
        </w:rPr>
        <w:t>ن أن تؤدي‌</w:t>
      </w:r>
      <w:r>
        <w:rPr>
          <w:rtl/>
        </w:rPr>
        <w:t xml:space="preserve"> </w:t>
      </w:r>
      <w:r w:rsidRPr="00FE4C18">
        <w:rPr>
          <w:rtl/>
        </w:rPr>
        <w:t>إل</w:t>
      </w:r>
      <w:r>
        <w:rPr>
          <w:rtl/>
        </w:rPr>
        <w:t xml:space="preserve">ى </w:t>
      </w:r>
      <w:r w:rsidRPr="00FE4C18">
        <w:rPr>
          <w:rtl/>
        </w:rPr>
        <w:t xml:space="preserve">تبعات بالنسبة </w:t>
      </w:r>
      <w:r>
        <w:rPr>
          <w:rtl/>
        </w:rPr>
        <w:t>لآخرين</w:t>
      </w:r>
      <w:r w:rsidRPr="00815C4C">
        <w:rPr>
          <w:rFonts w:cs="Taher"/>
          <w:vertAlign w:val="superscript"/>
          <w:rtl/>
        </w:rPr>
        <w:t>(</w:t>
      </w:r>
      <w:r w:rsidRPr="00815C4C">
        <w:rPr>
          <w:rFonts w:cs="Taher"/>
          <w:vertAlign w:val="superscript"/>
          <w:rtl/>
        </w:rPr>
        <w:footnoteReference w:id="908"/>
      </w:r>
      <w:r w:rsidRPr="00815C4C">
        <w:rPr>
          <w:rFonts w:cs="Taher"/>
          <w:vertAlign w:val="superscript"/>
          <w:rtl/>
        </w:rPr>
        <w:t>)</w:t>
      </w:r>
      <w:r>
        <w:rPr>
          <w:rtl/>
        </w:rPr>
        <w:t>. و</w:t>
      </w:r>
      <w:r w:rsidRPr="00FE4C18">
        <w:rPr>
          <w:rtl/>
        </w:rPr>
        <w:t xml:space="preserve">هذه </w:t>
      </w:r>
      <w:r>
        <w:rPr>
          <w:rtl/>
        </w:rPr>
        <w:t>ا</w:t>
      </w:r>
      <w:r w:rsidRPr="00FE4C18">
        <w:rPr>
          <w:rtl/>
        </w:rPr>
        <w:t>لتبعات للاتفاق</w:t>
      </w:r>
      <w:r>
        <w:rPr>
          <w:rtl/>
        </w:rPr>
        <w:t>ي</w:t>
      </w:r>
      <w:r w:rsidRPr="00FE4C18">
        <w:rPr>
          <w:rtl/>
        </w:rPr>
        <w:t>ة</w:t>
      </w:r>
      <w:r>
        <w:rPr>
          <w:rtl/>
        </w:rPr>
        <w:t xml:space="preserve"> و</w:t>
      </w:r>
      <w:r w:rsidRPr="00FE4C18">
        <w:rPr>
          <w:rtl/>
        </w:rPr>
        <w:t xml:space="preserve">للالتزامات </w:t>
      </w:r>
      <w:r>
        <w:rPr>
          <w:rtl/>
        </w:rPr>
        <w:t>ا</w:t>
      </w:r>
      <w:r w:rsidRPr="00FE4C18">
        <w:rPr>
          <w:rtl/>
        </w:rPr>
        <w:t xml:space="preserve">لتي تظهر بعد </w:t>
      </w:r>
      <w:r>
        <w:rPr>
          <w:rtl/>
        </w:rPr>
        <w:t>العقد</w:t>
      </w:r>
      <w:r w:rsidRPr="00815C4C">
        <w:rPr>
          <w:rFonts w:cs="Taher"/>
          <w:vertAlign w:val="superscript"/>
          <w:rtl/>
        </w:rPr>
        <w:t>(</w:t>
      </w:r>
      <w:r w:rsidRPr="00815C4C">
        <w:rPr>
          <w:rFonts w:cs="Taher"/>
          <w:vertAlign w:val="superscript"/>
          <w:rtl/>
        </w:rPr>
        <w:footnoteReference w:id="909"/>
      </w:r>
      <w:r w:rsidRPr="00815C4C">
        <w:rPr>
          <w:rFonts w:cs="Taher"/>
          <w:vertAlign w:val="superscript"/>
          <w:rtl/>
        </w:rPr>
        <w:t>)</w:t>
      </w:r>
      <w:r w:rsidRPr="00FE4C18">
        <w:rPr>
          <w:rtl/>
        </w:rPr>
        <w:t xml:space="preserve"> </w:t>
      </w:r>
      <w:r>
        <w:rPr>
          <w:rtl/>
        </w:rPr>
        <w:t>تزول ببطلان</w:t>
      </w:r>
      <w:r w:rsidRPr="00FE4C18">
        <w:rPr>
          <w:rtl/>
        </w:rPr>
        <w:t xml:space="preserve"> هذه </w:t>
      </w:r>
      <w:r>
        <w:rPr>
          <w:rtl/>
        </w:rPr>
        <w:t>ا</w:t>
      </w:r>
      <w:r w:rsidRPr="00FE4C18">
        <w:rPr>
          <w:rtl/>
        </w:rPr>
        <w:t>لاتفاق</w:t>
      </w:r>
      <w:r>
        <w:rPr>
          <w:rtl/>
        </w:rPr>
        <w:t>ي</w:t>
      </w:r>
      <w:r w:rsidRPr="00FE4C18">
        <w:rPr>
          <w:rtl/>
        </w:rPr>
        <w:t>ة.</w:t>
      </w:r>
      <w:r>
        <w:rPr>
          <w:rtl/>
        </w:rPr>
        <w:t xml:space="preserve"> و</w:t>
      </w:r>
      <w:r w:rsidRPr="00FE4C18">
        <w:rPr>
          <w:rtl/>
        </w:rPr>
        <w:t>ل</w:t>
      </w:r>
      <w:r>
        <w:rPr>
          <w:rtl/>
        </w:rPr>
        <w:t>ك</w:t>
      </w:r>
      <w:r w:rsidRPr="00FE4C18">
        <w:rPr>
          <w:rtl/>
        </w:rPr>
        <w:t>ن عل</w:t>
      </w:r>
      <w:r>
        <w:rPr>
          <w:rtl/>
        </w:rPr>
        <w:t xml:space="preserve">ى </w:t>
      </w:r>
      <w:r w:rsidRPr="00FE4C18">
        <w:rPr>
          <w:rtl/>
        </w:rPr>
        <w:t xml:space="preserve">أساس </w:t>
      </w:r>
      <w:r>
        <w:rPr>
          <w:rtl/>
        </w:rPr>
        <w:t>ا</w:t>
      </w:r>
      <w:r w:rsidRPr="00FE4C18">
        <w:rPr>
          <w:rtl/>
        </w:rPr>
        <w:t xml:space="preserve">لقول بصحّة </w:t>
      </w:r>
      <w:r>
        <w:rPr>
          <w:rtl/>
        </w:rPr>
        <w:t>ا</w:t>
      </w:r>
      <w:r w:rsidRPr="00FE4C18">
        <w:rPr>
          <w:rtl/>
        </w:rPr>
        <w:t>لاتفاق</w:t>
      </w:r>
      <w:r>
        <w:rPr>
          <w:rtl/>
        </w:rPr>
        <w:t>ي</w:t>
      </w:r>
      <w:r w:rsidRPr="00FE4C18">
        <w:rPr>
          <w:rtl/>
        </w:rPr>
        <w:t xml:space="preserve">ة تدرس تبعات هذه </w:t>
      </w:r>
      <w:r>
        <w:rPr>
          <w:rtl/>
        </w:rPr>
        <w:t>ا</w:t>
      </w:r>
      <w:r w:rsidRPr="00FE4C18">
        <w:rPr>
          <w:rtl/>
        </w:rPr>
        <w:t>لاتفاق</w:t>
      </w:r>
      <w:r>
        <w:rPr>
          <w:rtl/>
        </w:rPr>
        <w:t>ي</w:t>
      </w:r>
      <w:r>
        <w:rPr>
          <w:rFonts w:hint="cs"/>
          <w:rtl/>
        </w:rPr>
        <w:t>ة</w:t>
      </w:r>
      <w:r w:rsidRPr="00FE4C18">
        <w:rPr>
          <w:rtl/>
        </w:rPr>
        <w:t xml:space="preserve"> بالنسبة للمتعامل</w:t>
      </w:r>
      <w:r>
        <w:rPr>
          <w:rtl/>
        </w:rPr>
        <w:t>ي</w:t>
      </w:r>
      <w:r w:rsidRPr="00FE4C18">
        <w:rPr>
          <w:rtl/>
        </w:rPr>
        <w:t>ن</w:t>
      </w:r>
      <w:r>
        <w:rPr>
          <w:rtl/>
        </w:rPr>
        <w:t xml:space="preserve"> وغيرهم</w:t>
      </w:r>
      <w:r w:rsidRPr="00FE4C18">
        <w:rPr>
          <w:rtl/>
        </w:rPr>
        <w:t xml:space="preserve">. </w:t>
      </w:r>
    </w:p>
    <w:p w:rsidR="00391A35" w:rsidRPr="00FE4C18" w:rsidRDefault="00391A35" w:rsidP="0067362A">
      <w:pPr>
        <w:pStyle w:val="3"/>
        <w:rPr>
          <w:szCs w:val="28"/>
          <w:rtl/>
        </w:rPr>
      </w:pPr>
      <w:bookmarkStart w:id="493" w:name="_Toc275128200"/>
      <w:r w:rsidRPr="00FE4C18">
        <w:rPr>
          <w:rtl/>
        </w:rPr>
        <w:lastRenderedPageBreak/>
        <w:t>4</w:t>
      </w:r>
      <w:r>
        <w:rPr>
          <w:rtl/>
        </w:rPr>
        <w:t>ـ</w:t>
      </w:r>
      <w:r w:rsidRPr="00FE4C18">
        <w:rPr>
          <w:rtl/>
        </w:rPr>
        <w:t xml:space="preserve"> 1</w:t>
      </w:r>
      <w:r>
        <w:rPr>
          <w:rtl/>
        </w:rPr>
        <w:t>ـ</w:t>
      </w:r>
      <w:r w:rsidRPr="00FE4C18">
        <w:rPr>
          <w:rtl/>
        </w:rPr>
        <w:t xml:space="preserve"> بالنسبة للمتعامل</w:t>
      </w:r>
      <w:r>
        <w:rPr>
          <w:rtl/>
        </w:rPr>
        <w:t>ي</w:t>
      </w:r>
      <w:r w:rsidRPr="00FE4C18">
        <w:rPr>
          <w:rtl/>
        </w:rPr>
        <w:t>ن</w:t>
      </w:r>
      <w:bookmarkEnd w:id="493"/>
      <w:r w:rsidRPr="00FE4C18">
        <w:rPr>
          <w:rtl/>
        </w:rPr>
        <w:t xml:space="preserve"> </w:t>
      </w:r>
    </w:p>
    <w:p w:rsidR="00391A35" w:rsidRPr="00FE4C18" w:rsidRDefault="00391A35" w:rsidP="00391A35">
      <w:pPr>
        <w:pStyle w:val="ac"/>
        <w:rPr>
          <w:rtl/>
        </w:rPr>
      </w:pPr>
      <w:r w:rsidRPr="00FE4C18">
        <w:rPr>
          <w:rtl/>
        </w:rPr>
        <w:t xml:space="preserve">في </w:t>
      </w:r>
      <w:r>
        <w:rPr>
          <w:rtl/>
        </w:rPr>
        <w:t>ا</w:t>
      </w:r>
      <w:r w:rsidRPr="00FE4C18">
        <w:rPr>
          <w:rtl/>
        </w:rPr>
        <w:t xml:space="preserve">لعلاقة </w:t>
      </w:r>
      <w:r>
        <w:rPr>
          <w:rtl/>
        </w:rPr>
        <w:t>ا</w:t>
      </w:r>
      <w:r w:rsidRPr="00FE4C18">
        <w:rPr>
          <w:rtl/>
        </w:rPr>
        <w:t>لتي تجري ب</w:t>
      </w:r>
      <w:r>
        <w:rPr>
          <w:rtl/>
        </w:rPr>
        <w:t>ي</w:t>
      </w:r>
      <w:r w:rsidRPr="00FE4C18">
        <w:rPr>
          <w:rtl/>
        </w:rPr>
        <w:t xml:space="preserve">ن طرفي </w:t>
      </w:r>
      <w:r>
        <w:rPr>
          <w:rtl/>
        </w:rPr>
        <w:t>ا</w:t>
      </w:r>
      <w:r w:rsidRPr="00FE4C18">
        <w:rPr>
          <w:rtl/>
        </w:rPr>
        <w:t>لاتفاق</w:t>
      </w:r>
      <w:r>
        <w:rPr>
          <w:rtl/>
        </w:rPr>
        <w:t>ي</w:t>
      </w:r>
      <w:r w:rsidRPr="00FE4C18">
        <w:rPr>
          <w:rtl/>
        </w:rPr>
        <w:t xml:space="preserve">ة قُبِل مبدأ </w:t>
      </w:r>
      <w:r>
        <w:rPr>
          <w:rtl/>
        </w:rPr>
        <w:t>ا</w:t>
      </w:r>
      <w:r w:rsidRPr="00FE4C18">
        <w:rPr>
          <w:rtl/>
        </w:rPr>
        <w:t>ل</w:t>
      </w:r>
      <w:r>
        <w:rPr>
          <w:rtl/>
        </w:rPr>
        <w:t>إ</w:t>
      </w:r>
      <w:r w:rsidRPr="00FE4C18">
        <w:rPr>
          <w:rtl/>
        </w:rPr>
        <w:t xml:space="preserve">لزام </w:t>
      </w:r>
      <w:r>
        <w:rPr>
          <w:rFonts w:hint="cs"/>
          <w:rtl/>
        </w:rPr>
        <w:t>(</w:t>
      </w:r>
      <w:r w:rsidRPr="00FE4C18">
        <w:rPr>
          <w:rtl/>
        </w:rPr>
        <w:t xml:space="preserve">أصل </w:t>
      </w:r>
      <w:r>
        <w:rPr>
          <w:rtl/>
        </w:rPr>
        <w:t>ا</w:t>
      </w:r>
      <w:r w:rsidRPr="00FE4C18">
        <w:rPr>
          <w:rtl/>
        </w:rPr>
        <w:t>للزوم</w:t>
      </w:r>
      <w:r>
        <w:rPr>
          <w:rtl/>
        </w:rPr>
        <w:t xml:space="preserve"> و</w:t>
      </w:r>
      <w:r w:rsidRPr="00FE4C18">
        <w:rPr>
          <w:rtl/>
        </w:rPr>
        <w:t>جبر</w:t>
      </w:r>
      <w:r>
        <w:rPr>
          <w:rtl/>
        </w:rPr>
        <w:t>ي</w:t>
      </w:r>
      <w:r w:rsidRPr="00FE4C18">
        <w:rPr>
          <w:rtl/>
        </w:rPr>
        <w:t xml:space="preserve">ة </w:t>
      </w:r>
      <w:r>
        <w:rPr>
          <w:rtl/>
        </w:rPr>
        <w:t>ا</w:t>
      </w:r>
      <w:r w:rsidRPr="00FE4C18">
        <w:rPr>
          <w:rtl/>
        </w:rPr>
        <w:t>لاتفاق</w:t>
      </w:r>
      <w:r>
        <w:rPr>
          <w:rtl/>
        </w:rPr>
        <w:t>ي</w:t>
      </w:r>
      <w:r w:rsidRPr="00FE4C18">
        <w:rPr>
          <w:rtl/>
        </w:rPr>
        <w:t>ة</w:t>
      </w:r>
      <w:r>
        <w:rPr>
          <w:rFonts w:hint="cs"/>
          <w:rtl/>
        </w:rPr>
        <w:t>)،</w:t>
      </w:r>
      <w:r>
        <w:rPr>
          <w:rtl/>
        </w:rPr>
        <w:t xml:space="preserve"> و</w:t>
      </w:r>
      <w:r w:rsidRPr="00FE4C18">
        <w:rPr>
          <w:rtl/>
        </w:rPr>
        <w:t xml:space="preserve">معناه أنَّ </w:t>
      </w:r>
      <w:r>
        <w:rPr>
          <w:rtl/>
        </w:rPr>
        <w:t>تـن</w:t>
      </w:r>
      <w:r w:rsidRPr="00FE4C18">
        <w:rPr>
          <w:rtl/>
        </w:rPr>
        <w:t>ف</w:t>
      </w:r>
      <w:r>
        <w:rPr>
          <w:rtl/>
        </w:rPr>
        <w:t>ي</w:t>
      </w:r>
      <w:r w:rsidRPr="00FE4C18">
        <w:rPr>
          <w:rtl/>
        </w:rPr>
        <w:t xml:space="preserve">ذ </w:t>
      </w:r>
      <w:r>
        <w:rPr>
          <w:rtl/>
        </w:rPr>
        <w:t>ا</w:t>
      </w:r>
      <w:r w:rsidRPr="00FE4C18">
        <w:rPr>
          <w:rtl/>
        </w:rPr>
        <w:t>لاتفاق</w:t>
      </w:r>
      <w:r>
        <w:rPr>
          <w:rtl/>
        </w:rPr>
        <w:t>ي</w:t>
      </w:r>
      <w:r w:rsidRPr="00FE4C18">
        <w:rPr>
          <w:rtl/>
        </w:rPr>
        <w:t>ة</w:t>
      </w:r>
      <w:r>
        <w:rPr>
          <w:rtl/>
        </w:rPr>
        <w:t xml:space="preserve"> و</w:t>
      </w:r>
      <w:r w:rsidRPr="00FE4C18">
        <w:rPr>
          <w:rtl/>
        </w:rPr>
        <w:t>است</w:t>
      </w:r>
      <w:r>
        <w:rPr>
          <w:rtl/>
        </w:rPr>
        <w:t>ي</w:t>
      </w:r>
      <w:r w:rsidRPr="00FE4C18">
        <w:rPr>
          <w:rtl/>
        </w:rPr>
        <w:t xml:space="preserve">فاء </w:t>
      </w:r>
      <w:r>
        <w:rPr>
          <w:rtl/>
        </w:rPr>
        <w:t>ا</w:t>
      </w:r>
      <w:r w:rsidRPr="00FE4C18">
        <w:rPr>
          <w:rtl/>
        </w:rPr>
        <w:t xml:space="preserve">لالتزامات </w:t>
      </w:r>
      <w:r>
        <w:rPr>
          <w:rtl/>
        </w:rPr>
        <w:t>ا</w:t>
      </w:r>
      <w:r w:rsidRPr="00FE4C18">
        <w:rPr>
          <w:rtl/>
        </w:rPr>
        <w:t>لناشئة عنها أمر واجب إجباري</w:t>
      </w:r>
      <w:r w:rsidRPr="007F5B58">
        <w:rPr>
          <w:rtl/>
        </w:rPr>
        <w:t>،</w:t>
      </w:r>
      <w:r>
        <w:rPr>
          <w:rtl/>
        </w:rPr>
        <w:t xml:space="preserve"> و</w:t>
      </w:r>
      <w:r w:rsidRPr="00FE4C18">
        <w:rPr>
          <w:rtl/>
        </w:rPr>
        <w:t xml:space="preserve">لا </w:t>
      </w:r>
      <w:r>
        <w:rPr>
          <w:rtl/>
        </w:rPr>
        <w:t>ي</w:t>
      </w:r>
      <w:r w:rsidRPr="00FE4C18">
        <w:rPr>
          <w:rtl/>
        </w:rPr>
        <w:t>ستط</w:t>
      </w:r>
      <w:r>
        <w:rPr>
          <w:rtl/>
        </w:rPr>
        <w:t>ي</w:t>
      </w:r>
      <w:r w:rsidRPr="00FE4C18">
        <w:rPr>
          <w:rtl/>
        </w:rPr>
        <w:t xml:space="preserve">ع أي من </w:t>
      </w:r>
      <w:r>
        <w:rPr>
          <w:rtl/>
        </w:rPr>
        <w:t>ا</w:t>
      </w:r>
      <w:r w:rsidRPr="00FE4C18">
        <w:rPr>
          <w:rtl/>
        </w:rPr>
        <w:t>لمتعامل</w:t>
      </w:r>
      <w:r>
        <w:rPr>
          <w:rtl/>
        </w:rPr>
        <w:t>ي</w:t>
      </w:r>
      <w:r w:rsidRPr="00FE4C18">
        <w:rPr>
          <w:rtl/>
        </w:rPr>
        <w:t xml:space="preserve">ن رفض </w:t>
      </w:r>
      <w:r>
        <w:rPr>
          <w:rtl/>
        </w:rPr>
        <w:t>تـن</w:t>
      </w:r>
      <w:r w:rsidRPr="00FE4C18">
        <w:rPr>
          <w:rtl/>
        </w:rPr>
        <w:t>ف</w:t>
      </w:r>
      <w:r>
        <w:rPr>
          <w:rtl/>
        </w:rPr>
        <w:t>ي</w:t>
      </w:r>
      <w:r w:rsidRPr="00FE4C18">
        <w:rPr>
          <w:rtl/>
        </w:rPr>
        <w:t>ذ التزاماتهم</w:t>
      </w:r>
      <w:r>
        <w:rPr>
          <w:rFonts w:hint="cs"/>
          <w:rtl/>
        </w:rPr>
        <w:t>،</w:t>
      </w:r>
      <w:r w:rsidRPr="00FE4C18">
        <w:rPr>
          <w:rtl/>
        </w:rPr>
        <w:t xml:space="preserve"> أو فسخها </w:t>
      </w:r>
      <w:r>
        <w:rPr>
          <w:rtl/>
        </w:rPr>
        <w:t>من جهة واحدة.</w:t>
      </w:r>
    </w:p>
    <w:p w:rsidR="00391A35" w:rsidRDefault="00391A35" w:rsidP="00391A35">
      <w:pPr>
        <w:pStyle w:val="ac"/>
        <w:rPr>
          <w:b/>
          <w:bCs/>
          <w:rtl/>
        </w:rPr>
      </w:pPr>
      <w:r>
        <w:rPr>
          <w:rtl/>
        </w:rPr>
        <w:t>و</w:t>
      </w:r>
      <w:r w:rsidRPr="00FE4C18">
        <w:rPr>
          <w:rtl/>
        </w:rPr>
        <w:t>عل</w:t>
      </w:r>
      <w:r>
        <w:rPr>
          <w:rtl/>
        </w:rPr>
        <w:t xml:space="preserve">ى </w:t>
      </w:r>
      <w:r w:rsidRPr="00FE4C18">
        <w:rPr>
          <w:rtl/>
        </w:rPr>
        <w:t xml:space="preserve">أساس </w:t>
      </w:r>
      <w:r>
        <w:rPr>
          <w:rtl/>
        </w:rPr>
        <w:t>ا</w:t>
      </w:r>
      <w:r w:rsidRPr="00FE4C18">
        <w:rPr>
          <w:rtl/>
        </w:rPr>
        <w:t>لاتفاق</w:t>
      </w:r>
      <w:r>
        <w:rPr>
          <w:rtl/>
        </w:rPr>
        <w:t>ي</w:t>
      </w:r>
      <w:r w:rsidRPr="00FE4C18">
        <w:rPr>
          <w:rtl/>
        </w:rPr>
        <w:t>ة</w:t>
      </w:r>
      <w:r>
        <w:rPr>
          <w:rtl/>
        </w:rPr>
        <w:t xml:space="preserve"> يثبت لكلٍّ</w:t>
      </w:r>
      <w:r w:rsidRPr="00FE4C18">
        <w:rPr>
          <w:rtl/>
        </w:rPr>
        <w:t xml:space="preserve"> من </w:t>
      </w:r>
      <w:r>
        <w:rPr>
          <w:rtl/>
        </w:rPr>
        <w:t>ا</w:t>
      </w:r>
      <w:r w:rsidRPr="00FE4C18">
        <w:rPr>
          <w:rtl/>
        </w:rPr>
        <w:t>لطرف</w:t>
      </w:r>
      <w:r>
        <w:rPr>
          <w:rtl/>
        </w:rPr>
        <w:t>ي</w:t>
      </w:r>
      <w:r w:rsidRPr="00FE4C18">
        <w:rPr>
          <w:rtl/>
        </w:rPr>
        <w:t xml:space="preserve">ن حق </w:t>
      </w:r>
      <w:r>
        <w:rPr>
          <w:rtl/>
        </w:rPr>
        <w:t>ا</w:t>
      </w:r>
      <w:r w:rsidRPr="00FE4C18">
        <w:rPr>
          <w:rtl/>
        </w:rPr>
        <w:t>لسلطة بالنسبة للآخر</w:t>
      </w:r>
      <w:r w:rsidRPr="007F5B58">
        <w:rPr>
          <w:rtl/>
        </w:rPr>
        <w:t>،</w:t>
      </w:r>
      <w:r>
        <w:rPr>
          <w:rtl/>
        </w:rPr>
        <w:t xml:space="preserve"> وي</w:t>
      </w:r>
      <w:r w:rsidRPr="00FE4C18">
        <w:rPr>
          <w:rtl/>
        </w:rPr>
        <w:t>نشأ له حق</w:t>
      </w:r>
      <w:r w:rsidRPr="007F5B58">
        <w:rPr>
          <w:rtl/>
        </w:rPr>
        <w:t>،</w:t>
      </w:r>
      <w:r>
        <w:rPr>
          <w:rtl/>
        </w:rPr>
        <w:t xml:space="preserve"> و</w:t>
      </w:r>
      <w:r w:rsidRPr="00FE4C18">
        <w:rPr>
          <w:rtl/>
        </w:rPr>
        <w:t>ل</w:t>
      </w:r>
      <w:r>
        <w:rPr>
          <w:rtl/>
        </w:rPr>
        <w:t>ك</w:t>
      </w:r>
      <w:r w:rsidRPr="00FE4C18">
        <w:rPr>
          <w:rtl/>
        </w:rPr>
        <w:t>ن أ</w:t>
      </w:r>
      <w:r>
        <w:rPr>
          <w:rtl/>
        </w:rPr>
        <w:t>ي</w:t>
      </w:r>
      <w:r w:rsidRPr="00FE4C18">
        <w:rPr>
          <w:rtl/>
        </w:rPr>
        <w:t xml:space="preserve">نما </w:t>
      </w:r>
      <w:r>
        <w:rPr>
          <w:rtl/>
        </w:rPr>
        <w:t>ك</w:t>
      </w:r>
      <w:r w:rsidRPr="00FE4C18">
        <w:rPr>
          <w:rtl/>
        </w:rPr>
        <w:t>ان هنا</w:t>
      </w:r>
      <w:r>
        <w:rPr>
          <w:rtl/>
        </w:rPr>
        <w:t>ك</w:t>
      </w:r>
      <w:r w:rsidRPr="00FE4C18">
        <w:rPr>
          <w:rtl/>
        </w:rPr>
        <w:t xml:space="preserve"> حق </w:t>
      </w:r>
      <w:r>
        <w:rPr>
          <w:rtl/>
        </w:rPr>
        <w:t>ي</w:t>
      </w:r>
      <w:r w:rsidRPr="00FE4C18">
        <w:rPr>
          <w:rtl/>
        </w:rPr>
        <w:t xml:space="preserve">وجد </w:t>
      </w:r>
      <w:r>
        <w:rPr>
          <w:rtl/>
        </w:rPr>
        <w:t>إ</w:t>
      </w:r>
      <w:r w:rsidRPr="00FE4C18">
        <w:rPr>
          <w:rtl/>
        </w:rPr>
        <w:t xml:space="preserve">زاءه </w:t>
      </w:r>
      <w:r>
        <w:rPr>
          <w:rtl/>
        </w:rPr>
        <w:t>ا</w:t>
      </w:r>
      <w:r w:rsidRPr="00FE4C18">
        <w:rPr>
          <w:rtl/>
        </w:rPr>
        <w:t>لتزام</w:t>
      </w:r>
      <w:r>
        <w:rPr>
          <w:rtl/>
        </w:rPr>
        <w:t>.</w:t>
      </w:r>
      <w:r w:rsidRPr="00FE4C18">
        <w:rPr>
          <w:rtl/>
        </w:rPr>
        <w:t xml:space="preserve"> </w:t>
      </w:r>
      <w:r>
        <w:rPr>
          <w:rtl/>
        </w:rPr>
        <w:t>وا</w:t>
      </w:r>
      <w:r w:rsidRPr="00FE4C18">
        <w:rPr>
          <w:rtl/>
        </w:rPr>
        <w:t xml:space="preserve">لتزامات طرفي </w:t>
      </w:r>
      <w:r>
        <w:rPr>
          <w:rtl/>
        </w:rPr>
        <w:t>ا</w:t>
      </w:r>
      <w:r w:rsidRPr="00FE4C18">
        <w:rPr>
          <w:rtl/>
        </w:rPr>
        <w:t>لاتفاق</w:t>
      </w:r>
      <w:r>
        <w:rPr>
          <w:rtl/>
        </w:rPr>
        <w:t>ي</w:t>
      </w:r>
      <w:r w:rsidRPr="00FE4C18">
        <w:rPr>
          <w:rtl/>
        </w:rPr>
        <w:t>ة تشمل</w:t>
      </w:r>
      <w:r>
        <w:rPr>
          <w:rtl/>
        </w:rPr>
        <w:t xml:space="preserve"> </w:t>
      </w:r>
      <w:r w:rsidRPr="00FE4C18">
        <w:rPr>
          <w:rtl/>
        </w:rPr>
        <w:t xml:space="preserve">التزامات </w:t>
      </w:r>
      <w:r>
        <w:rPr>
          <w:rtl/>
        </w:rPr>
        <w:t>ا</w:t>
      </w:r>
      <w:r w:rsidRPr="00FE4C18">
        <w:rPr>
          <w:rtl/>
        </w:rPr>
        <w:t>لطرف</w:t>
      </w:r>
      <w:r>
        <w:rPr>
          <w:rtl/>
        </w:rPr>
        <w:t>ي</w:t>
      </w:r>
      <w:r w:rsidRPr="00FE4C18">
        <w:rPr>
          <w:rtl/>
        </w:rPr>
        <w:t>ن ف</w:t>
      </w:r>
      <w:r>
        <w:rPr>
          <w:rtl/>
        </w:rPr>
        <w:t>ي</w:t>
      </w:r>
      <w:r w:rsidRPr="00FE4C18">
        <w:rPr>
          <w:rtl/>
        </w:rPr>
        <w:t>ما ب</w:t>
      </w:r>
      <w:r>
        <w:rPr>
          <w:rtl/>
        </w:rPr>
        <w:t>ي</w:t>
      </w:r>
      <w:r w:rsidRPr="00FE4C18">
        <w:rPr>
          <w:rtl/>
        </w:rPr>
        <w:t>نهم</w:t>
      </w:r>
      <w:r w:rsidRPr="007F5B58">
        <w:rPr>
          <w:rtl/>
        </w:rPr>
        <w:t>،</w:t>
      </w:r>
      <w:r>
        <w:rPr>
          <w:rtl/>
        </w:rPr>
        <w:t xml:space="preserve"> و</w:t>
      </w:r>
      <w:r w:rsidRPr="00FE4C18">
        <w:rPr>
          <w:rtl/>
        </w:rPr>
        <w:t xml:space="preserve">التزامات </w:t>
      </w:r>
      <w:r>
        <w:rPr>
          <w:rtl/>
        </w:rPr>
        <w:t>ا</w:t>
      </w:r>
      <w:r w:rsidRPr="00FE4C18">
        <w:rPr>
          <w:rtl/>
        </w:rPr>
        <w:t>لطرف</w:t>
      </w:r>
      <w:r>
        <w:rPr>
          <w:rtl/>
        </w:rPr>
        <w:t>ي</w:t>
      </w:r>
      <w:r w:rsidRPr="00FE4C18">
        <w:rPr>
          <w:rtl/>
        </w:rPr>
        <w:t>ن بالنسبة للجن</w:t>
      </w:r>
      <w:r>
        <w:rPr>
          <w:rtl/>
        </w:rPr>
        <w:t>ي</w:t>
      </w:r>
      <w:r w:rsidRPr="00FE4C18">
        <w:rPr>
          <w:rtl/>
        </w:rPr>
        <w:t>ن</w:t>
      </w:r>
      <w:r>
        <w:rPr>
          <w:rtl/>
        </w:rPr>
        <w:t>.</w:t>
      </w:r>
      <w:r w:rsidRPr="00FE4C18">
        <w:rPr>
          <w:rtl/>
        </w:rPr>
        <w:t xml:space="preserve"> </w:t>
      </w:r>
      <w:r>
        <w:rPr>
          <w:rtl/>
        </w:rPr>
        <w:t>و</w:t>
      </w:r>
      <w:r w:rsidRPr="00FE4C18">
        <w:rPr>
          <w:rtl/>
        </w:rPr>
        <w:t>لتع</w:t>
      </w:r>
      <w:r>
        <w:rPr>
          <w:rtl/>
        </w:rPr>
        <w:t>يي</w:t>
      </w:r>
      <w:r w:rsidRPr="00FE4C18">
        <w:rPr>
          <w:rtl/>
        </w:rPr>
        <w:t>ن حقوق</w:t>
      </w:r>
      <w:r>
        <w:rPr>
          <w:rtl/>
        </w:rPr>
        <w:t xml:space="preserve"> و</w:t>
      </w:r>
      <w:r w:rsidRPr="00FE4C18">
        <w:rPr>
          <w:rtl/>
        </w:rPr>
        <w:t xml:space="preserve">التزامات </w:t>
      </w:r>
      <w:r>
        <w:rPr>
          <w:rtl/>
        </w:rPr>
        <w:t>ا</w:t>
      </w:r>
      <w:r w:rsidRPr="00FE4C18">
        <w:rPr>
          <w:rtl/>
        </w:rPr>
        <w:t>لطرف</w:t>
      </w:r>
      <w:r>
        <w:rPr>
          <w:rtl/>
        </w:rPr>
        <w:t>ي</w:t>
      </w:r>
      <w:r w:rsidRPr="00FE4C18">
        <w:rPr>
          <w:rtl/>
        </w:rPr>
        <w:t xml:space="preserve">ن </w:t>
      </w:r>
      <w:r>
        <w:rPr>
          <w:rtl/>
        </w:rPr>
        <w:t>ي</w:t>
      </w:r>
      <w:r w:rsidRPr="00FE4C18">
        <w:rPr>
          <w:rtl/>
        </w:rPr>
        <w:t xml:space="preserve">جب أن </w:t>
      </w:r>
      <w:r>
        <w:rPr>
          <w:rtl/>
        </w:rPr>
        <w:t>ي</w:t>
      </w:r>
      <w:r w:rsidRPr="00FE4C18">
        <w:rPr>
          <w:rtl/>
        </w:rPr>
        <w:t>ع</w:t>
      </w:r>
      <w:r>
        <w:rPr>
          <w:rtl/>
        </w:rPr>
        <w:t>يّ</w:t>
      </w:r>
      <w:r w:rsidRPr="00FE4C18">
        <w:rPr>
          <w:rtl/>
        </w:rPr>
        <w:t xml:space="preserve">ن طرفا هذه </w:t>
      </w:r>
      <w:r>
        <w:rPr>
          <w:rtl/>
        </w:rPr>
        <w:t>ا</w:t>
      </w:r>
      <w:r w:rsidRPr="00FE4C18">
        <w:rPr>
          <w:rtl/>
        </w:rPr>
        <w:t>لاتفاق</w:t>
      </w:r>
      <w:r>
        <w:rPr>
          <w:rtl/>
        </w:rPr>
        <w:t>ي</w:t>
      </w:r>
      <w:r w:rsidRPr="00FE4C18">
        <w:rPr>
          <w:rtl/>
        </w:rPr>
        <w:t>ة</w:t>
      </w:r>
      <w:r>
        <w:rPr>
          <w:rtl/>
        </w:rPr>
        <w:t xml:space="preserve">. </w:t>
      </w:r>
    </w:p>
    <w:p w:rsidR="00391A35" w:rsidRPr="00FE4C18" w:rsidRDefault="00391A35" w:rsidP="00391A35">
      <w:pPr>
        <w:pStyle w:val="ac"/>
        <w:rPr>
          <w:rtl/>
        </w:rPr>
      </w:pPr>
      <w:r w:rsidRPr="00FE4C18">
        <w:rPr>
          <w:rtl/>
        </w:rPr>
        <w:t xml:space="preserve">لهذه </w:t>
      </w:r>
      <w:r>
        <w:rPr>
          <w:rtl/>
        </w:rPr>
        <w:t>ا</w:t>
      </w:r>
      <w:r w:rsidRPr="00FE4C18">
        <w:rPr>
          <w:rtl/>
        </w:rPr>
        <w:t>لاتفاق</w:t>
      </w:r>
      <w:r>
        <w:rPr>
          <w:rtl/>
        </w:rPr>
        <w:t>ي</w:t>
      </w:r>
      <w:r w:rsidRPr="00FE4C18">
        <w:rPr>
          <w:rtl/>
        </w:rPr>
        <w:t>ة طرفان أصل</w:t>
      </w:r>
      <w:r>
        <w:rPr>
          <w:rtl/>
        </w:rPr>
        <w:t>ي</w:t>
      </w:r>
      <w:r w:rsidRPr="00FE4C18">
        <w:rPr>
          <w:rtl/>
        </w:rPr>
        <w:t>ان</w:t>
      </w:r>
      <w:r w:rsidRPr="007F5B58">
        <w:rPr>
          <w:rtl/>
        </w:rPr>
        <w:t>،</w:t>
      </w:r>
      <w:r>
        <w:rPr>
          <w:rtl/>
        </w:rPr>
        <w:t xml:space="preserve"> وهما</w:t>
      </w:r>
      <w:r w:rsidRPr="007F5B58">
        <w:rPr>
          <w:rtl/>
        </w:rPr>
        <w:t>:</w:t>
      </w:r>
    </w:p>
    <w:p w:rsidR="00391A35" w:rsidRPr="00FE4C18" w:rsidRDefault="00391A35" w:rsidP="00391A35">
      <w:pPr>
        <w:pStyle w:val="ac"/>
        <w:rPr>
          <w:rtl/>
        </w:rPr>
      </w:pPr>
      <w:r w:rsidRPr="00FE4C18">
        <w:rPr>
          <w:rtl/>
        </w:rPr>
        <w:t>1</w:t>
      </w:r>
      <w:r>
        <w:rPr>
          <w:rtl/>
        </w:rPr>
        <w:t>ـ</w:t>
      </w:r>
      <w:r w:rsidRPr="00FE4C18">
        <w:rPr>
          <w:rtl/>
        </w:rPr>
        <w:t xml:space="preserve"> الزوجان</w:t>
      </w:r>
      <w:r w:rsidRPr="007F5B58">
        <w:rPr>
          <w:rtl/>
        </w:rPr>
        <w:t>؛</w:t>
      </w:r>
      <w:r w:rsidRPr="00FE4C18">
        <w:rPr>
          <w:rtl/>
        </w:rPr>
        <w:t xml:space="preserve"> 2</w:t>
      </w:r>
      <w:r>
        <w:rPr>
          <w:rtl/>
        </w:rPr>
        <w:t>ـ</w:t>
      </w:r>
      <w:r w:rsidRPr="00FE4C18">
        <w:rPr>
          <w:rtl/>
        </w:rPr>
        <w:t xml:space="preserve"> صاحبة </w:t>
      </w:r>
      <w:r>
        <w:rPr>
          <w:rtl/>
        </w:rPr>
        <w:t>الرحم.</w:t>
      </w:r>
    </w:p>
    <w:p w:rsidR="00391A35" w:rsidRPr="00FE4C18" w:rsidRDefault="00391A35" w:rsidP="00391A35">
      <w:pPr>
        <w:pStyle w:val="ac"/>
        <w:rPr>
          <w:rtl/>
        </w:rPr>
      </w:pPr>
      <w:r w:rsidRPr="00FE4C18">
        <w:rPr>
          <w:rtl/>
        </w:rPr>
        <w:t>ل</w:t>
      </w:r>
      <w:r>
        <w:rPr>
          <w:rtl/>
        </w:rPr>
        <w:t>ك</w:t>
      </w:r>
      <w:r w:rsidRPr="00FE4C18">
        <w:rPr>
          <w:rtl/>
        </w:rPr>
        <w:t>ن هنا</w:t>
      </w:r>
      <w:r>
        <w:rPr>
          <w:rtl/>
        </w:rPr>
        <w:t>ك</w:t>
      </w:r>
      <w:r w:rsidRPr="00FE4C18">
        <w:rPr>
          <w:rtl/>
        </w:rPr>
        <w:t xml:space="preserve"> أشخاص</w:t>
      </w:r>
      <w:r>
        <w:rPr>
          <w:rtl/>
        </w:rPr>
        <w:t>ٌ</w:t>
      </w:r>
      <w:r w:rsidRPr="00FE4C18">
        <w:rPr>
          <w:rtl/>
        </w:rPr>
        <w:t xml:space="preserve"> حق</w:t>
      </w:r>
      <w:r>
        <w:rPr>
          <w:rtl/>
        </w:rPr>
        <w:t>ي</w:t>
      </w:r>
      <w:r w:rsidRPr="00FE4C18">
        <w:rPr>
          <w:rtl/>
        </w:rPr>
        <w:t>ق</w:t>
      </w:r>
      <w:r>
        <w:rPr>
          <w:rtl/>
        </w:rPr>
        <w:t>يو</w:t>
      </w:r>
      <w:r w:rsidRPr="00FE4C18">
        <w:rPr>
          <w:rtl/>
        </w:rPr>
        <w:t>ن</w:t>
      </w:r>
      <w:r>
        <w:rPr>
          <w:rtl/>
        </w:rPr>
        <w:t xml:space="preserve"> و</w:t>
      </w:r>
      <w:r w:rsidRPr="00FE4C18">
        <w:rPr>
          <w:rtl/>
        </w:rPr>
        <w:t>حقوق</w:t>
      </w:r>
      <w:r>
        <w:rPr>
          <w:rtl/>
        </w:rPr>
        <w:t>يو</w:t>
      </w:r>
      <w:r w:rsidRPr="00FE4C18">
        <w:rPr>
          <w:rtl/>
        </w:rPr>
        <w:t>ن آخر</w:t>
      </w:r>
      <w:r>
        <w:rPr>
          <w:rtl/>
        </w:rPr>
        <w:t>و</w:t>
      </w:r>
      <w:r w:rsidRPr="00FE4C18">
        <w:rPr>
          <w:rtl/>
        </w:rPr>
        <w:t xml:space="preserve">ن </w:t>
      </w:r>
      <w:r>
        <w:rPr>
          <w:rtl/>
        </w:rPr>
        <w:t>ي</w:t>
      </w:r>
      <w:r w:rsidRPr="00FE4C18">
        <w:rPr>
          <w:rtl/>
        </w:rPr>
        <w:t xml:space="preserve">رتبطون </w:t>
      </w:r>
      <w:r>
        <w:rPr>
          <w:rtl/>
        </w:rPr>
        <w:t>به</w:t>
      </w:r>
      <w:r w:rsidRPr="00FE4C18">
        <w:rPr>
          <w:rtl/>
        </w:rPr>
        <w:t xml:space="preserve">ذه </w:t>
      </w:r>
      <w:r>
        <w:rPr>
          <w:rtl/>
        </w:rPr>
        <w:t>ا</w:t>
      </w:r>
      <w:r w:rsidRPr="00FE4C18">
        <w:rPr>
          <w:rtl/>
        </w:rPr>
        <w:t>لاتفاق</w:t>
      </w:r>
      <w:r>
        <w:rPr>
          <w:rtl/>
        </w:rPr>
        <w:t>ي</w:t>
      </w:r>
      <w:r w:rsidRPr="00FE4C18">
        <w:rPr>
          <w:rtl/>
        </w:rPr>
        <w:t>ة</w:t>
      </w:r>
      <w:r w:rsidRPr="007F5B58">
        <w:rPr>
          <w:rtl/>
        </w:rPr>
        <w:t>،</w:t>
      </w:r>
      <w:r w:rsidRPr="00FE4C18">
        <w:rPr>
          <w:rtl/>
        </w:rPr>
        <w:t xml:space="preserve"> وهم</w:t>
      </w:r>
      <w:r w:rsidRPr="007F5B58">
        <w:rPr>
          <w:rtl/>
        </w:rPr>
        <w:t>:</w:t>
      </w:r>
      <w:r w:rsidRPr="00FE4C18">
        <w:rPr>
          <w:rtl/>
        </w:rPr>
        <w:t xml:space="preserve"> </w:t>
      </w:r>
    </w:p>
    <w:p w:rsidR="00391A35" w:rsidRDefault="00391A35" w:rsidP="00391A35">
      <w:pPr>
        <w:pStyle w:val="ac"/>
        <w:rPr>
          <w:rtl/>
        </w:rPr>
      </w:pPr>
      <w:r w:rsidRPr="00FE4C18">
        <w:rPr>
          <w:rtl/>
        </w:rPr>
        <w:t>1</w:t>
      </w:r>
      <w:r>
        <w:rPr>
          <w:rtl/>
        </w:rPr>
        <w:t>ـ</w:t>
      </w:r>
      <w:r>
        <w:rPr>
          <w:rFonts w:hint="cs"/>
          <w:rtl/>
        </w:rPr>
        <w:t xml:space="preserve"> </w:t>
      </w:r>
      <w:r w:rsidRPr="00FE4C18">
        <w:rPr>
          <w:rtl/>
        </w:rPr>
        <w:t xml:space="preserve">مؤسسة </w:t>
      </w:r>
      <w:r>
        <w:rPr>
          <w:rtl/>
        </w:rPr>
        <w:t>ا</w:t>
      </w:r>
      <w:r w:rsidRPr="00FE4C18">
        <w:rPr>
          <w:rtl/>
        </w:rPr>
        <w:t xml:space="preserve">لعقر أو </w:t>
      </w:r>
      <w:r>
        <w:rPr>
          <w:rtl/>
        </w:rPr>
        <w:t>ا</w:t>
      </w:r>
      <w:r w:rsidRPr="00FE4C18">
        <w:rPr>
          <w:rtl/>
        </w:rPr>
        <w:t>لمستشف</w:t>
      </w:r>
      <w:r>
        <w:rPr>
          <w:rtl/>
        </w:rPr>
        <w:t>ى</w:t>
      </w:r>
      <w:r w:rsidRPr="007F5B58">
        <w:rPr>
          <w:rtl/>
        </w:rPr>
        <w:t>؛</w:t>
      </w:r>
      <w:r>
        <w:rPr>
          <w:rtl/>
        </w:rPr>
        <w:t xml:space="preserve"> </w:t>
      </w:r>
      <w:r w:rsidRPr="00FE4C18">
        <w:rPr>
          <w:rtl/>
        </w:rPr>
        <w:t>2</w:t>
      </w:r>
      <w:r>
        <w:rPr>
          <w:rtl/>
        </w:rPr>
        <w:t>ـ</w:t>
      </w:r>
      <w:r w:rsidRPr="00FE4C18">
        <w:rPr>
          <w:rtl/>
        </w:rPr>
        <w:t xml:space="preserve"> الطب</w:t>
      </w:r>
      <w:r>
        <w:rPr>
          <w:rtl/>
        </w:rPr>
        <w:t>ي</w:t>
      </w:r>
      <w:r w:rsidRPr="00FE4C18">
        <w:rPr>
          <w:rtl/>
        </w:rPr>
        <w:t xml:space="preserve">ب </w:t>
      </w:r>
      <w:r>
        <w:rPr>
          <w:rtl/>
        </w:rPr>
        <w:t>ا</w:t>
      </w:r>
      <w:r w:rsidRPr="00FE4C18">
        <w:rPr>
          <w:rtl/>
        </w:rPr>
        <w:t>لأخصائي للعقر</w:t>
      </w:r>
      <w:r w:rsidRPr="007F5B58">
        <w:rPr>
          <w:rtl/>
        </w:rPr>
        <w:t>؛</w:t>
      </w:r>
      <w:r w:rsidRPr="00FE4C18">
        <w:rPr>
          <w:rtl/>
        </w:rPr>
        <w:t xml:space="preserve"> 3</w:t>
      </w:r>
      <w:r>
        <w:rPr>
          <w:rtl/>
        </w:rPr>
        <w:t>ـ</w:t>
      </w:r>
      <w:r>
        <w:rPr>
          <w:rFonts w:hint="cs"/>
          <w:rtl/>
        </w:rPr>
        <w:t xml:space="preserve"> </w:t>
      </w:r>
      <w:r w:rsidRPr="00FE4C18">
        <w:rPr>
          <w:rtl/>
        </w:rPr>
        <w:t xml:space="preserve">زوج صاحبة </w:t>
      </w:r>
      <w:r>
        <w:rPr>
          <w:rtl/>
        </w:rPr>
        <w:t>ا</w:t>
      </w:r>
      <w:r w:rsidRPr="00FE4C18">
        <w:rPr>
          <w:rtl/>
        </w:rPr>
        <w:t>لرحم</w:t>
      </w:r>
      <w:r w:rsidRPr="007F5B58">
        <w:rPr>
          <w:rtl/>
        </w:rPr>
        <w:t>؛</w:t>
      </w:r>
      <w:r w:rsidRPr="00FE4C18">
        <w:rPr>
          <w:rtl/>
        </w:rPr>
        <w:t xml:space="preserve"> 4</w:t>
      </w:r>
      <w:r>
        <w:rPr>
          <w:rtl/>
        </w:rPr>
        <w:t>ـ</w:t>
      </w:r>
      <w:r>
        <w:rPr>
          <w:rFonts w:hint="cs"/>
          <w:rtl/>
        </w:rPr>
        <w:t xml:space="preserve"> </w:t>
      </w:r>
      <w:r w:rsidRPr="00FE4C18">
        <w:rPr>
          <w:rtl/>
        </w:rPr>
        <w:t>الطب</w:t>
      </w:r>
      <w:r>
        <w:rPr>
          <w:rtl/>
        </w:rPr>
        <w:t>ي</w:t>
      </w:r>
      <w:r w:rsidRPr="00FE4C18">
        <w:rPr>
          <w:rtl/>
        </w:rPr>
        <w:t xml:space="preserve">ب </w:t>
      </w:r>
      <w:r>
        <w:rPr>
          <w:rtl/>
        </w:rPr>
        <w:t>ا</w:t>
      </w:r>
      <w:r w:rsidRPr="00FE4C18">
        <w:rPr>
          <w:rtl/>
        </w:rPr>
        <w:t xml:space="preserve">لأخصائي في </w:t>
      </w:r>
      <w:r>
        <w:rPr>
          <w:rtl/>
        </w:rPr>
        <w:t>ا</w:t>
      </w:r>
      <w:r w:rsidRPr="00FE4C18">
        <w:rPr>
          <w:rtl/>
        </w:rPr>
        <w:t xml:space="preserve">لأمراض </w:t>
      </w:r>
      <w:r>
        <w:rPr>
          <w:rtl/>
        </w:rPr>
        <w:t>ا</w:t>
      </w:r>
      <w:r w:rsidRPr="00FE4C18">
        <w:rPr>
          <w:rtl/>
        </w:rPr>
        <w:t>لنسائ</w:t>
      </w:r>
      <w:r>
        <w:rPr>
          <w:rtl/>
        </w:rPr>
        <w:t>يّ</w:t>
      </w:r>
      <w:r w:rsidRPr="00FE4C18">
        <w:rPr>
          <w:rtl/>
        </w:rPr>
        <w:t>ة</w:t>
      </w:r>
      <w:r>
        <w:rPr>
          <w:rtl/>
        </w:rPr>
        <w:t xml:space="preserve"> وا</w:t>
      </w:r>
      <w:r w:rsidRPr="00FE4C18">
        <w:rPr>
          <w:rtl/>
        </w:rPr>
        <w:t>لقبال</w:t>
      </w:r>
      <w:r>
        <w:rPr>
          <w:rFonts w:hint="cs"/>
          <w:rtl/>
        </w:rPr>
        <w:t>ة</w:t>
      </w:r>
      <w:r w:rsidRPr="007F5B58">
        <w:rPr>
          <w:rtl/>
        </w:rPr>
        <w:t>؛</w:t>
      </w:r>
      <w:r w:rsidRPr="00FE4C18">
        <w:rPr>
          <w:rtl/>
        </w:rPr>
        <w:t xml:space="preserve"> 5</w:t>
      </w:r>
      <w:r>
        <w:rPr>
          <w:rtl/>
        </w:rPr>
        <w:t xml:space="preserve">ـ </w:t>
      </w:r>
      <w:r w:rsidRPr="00FE4C18">
        <w:rPr>
          <w:rtl/>
        </w:rPr>
        <w:t>الطب</w:t>
      </w:r>
      <w:r>
        <w:rPr>
          <w:rtl/>
        </w:rPr>
        <w:t>ي</w:t>
      </w:r>
      <w:r w:rsidRPr="00FE4C18">
        <w:rPr>
          <w:rtl/>
        </w:rPr>
        <w:t xml:space="preserve">ب </w:t>
      </w:r>
      <w:r>
        <w:rPr>
          <w:rtl/>
        </w:rPr>
        <w:t>ا</w:t>
      </w:r>
      <w:r w:rsidRPr="00FE4C18">
        <w:rPr>
          <w:rtl/>
        </w:rPr>
        <w:t>لنفسي</w:t>
      </w:r>
      <w:r>
        <w:rPr>
          <w:rtl/>
        </w:rPr>
        <w:t xml:space="preserve"> وا</w:t>
      </w:r>
      <w:r w:rsidRPr="00FE4C18">
        <w:rPr>
          <w:rtl/>
        </w:rPr>
        <w:t>لمستشار</w:t>
      </w:r>
      <w:r w:rsidRPr="007F5B58">
        <w:rPr>
          <w:rtl/>
        </w:rPr>
        <w:t>؛</w:t>
      </w:r>
      <w:r w:rsidRPr="00FE4C18">
        <w:rPr>
          <w:rtl/>
        </w:rPr>
        <w:t xml:space="preserve"> 6</w:t>
      </w:r>
      <w:r>
        <w:rPr>
          <w:rtl/>
        </w:rPr>
        <w:t>ـ</w:t>
      </w:r>
      <w:r w:rsidRPr="00FE4C18">
        <w:rPr>
          <w:rtl/>
        </w:rPr>
        <w:t xml:space="preserve"> المستشف</w:t>
      </w:r>
      <w:r>
        <w:rPr>
          <w:rtl/>
        </w:rPr>
        <w:t>ى و</w:t>
      </w:r>
      <w:r w:rsidRPr="00FE4C18">
        <w:rPr>
          <w:rtl/>
        </w:rPr>
        <w:t>مستشف</w:t>
      </w:r>
      <w:r>
        <w:rPr>
          <w:rtl/>
        </w:rPr>
        <w:t>ى ا</w:t>
      </w:r>
      <w:r w:rsidRPr="00FE4C18">
        <w:rPr>
          <w:rtl/>
        </w:rPr>
        <w:t>لولادة</w:t>
      </w:r>
      <w:r>
        <w:rPr>
          <w:rtl/>
        </w:rPr>
        <w:t>.</w:t>
      </w:r>
    </w:p>
    <w:p w:rsidR="00391A35" w:rsidRPr="0067362A" w:rsidRDefault="00391A35" w:rsidP="0067362A">
      <w:pPr>
        <w:pStyle w:val="afffffc"/>
        <w:rPr>
          <w:sz w:val="24"/>
          <w:szCs w:val="22"/>
          <w:rtl/>
        </w:rPr>
      </w:pPr>
    </w:p>
    <w:p w:rsidR="00391A35" w:rsidRPr="00FE4C18" w:rsidRDefault="00391A35" w:rsidP="0067362A">
      <w:pPr>
        <w:pStyle w:val="4"/>
        <w:rPr>
          <w:rtl/>
        </w:rPr>
      </w:pPr>
      <w:bookmarkStart w:id="494" w:name="_Toc275128201"/>
      <w:r>
        <w:rPr>
          <w:rtl/>
        </w:rPr>
        <w:t>4ـ</w:t>
      </w:r>
      <w:r w:rsidRPr="00FE4C18">
        <w:rPr>
          <w:rtl/>
        </w:rPr>
        <w:t>1</w:t>
      </w:r>
      <w:r>
        <w:rPr>
          <w:rtl/>
        </w:rPr>
        <w:t>ـ</w:t>
      </w:r>
      <w:r w:rsidRPr="00FE4C18">
        <w:rPr>
          <w:rtl/>
        </w:rPr>
        <w:t xml:space="preserve"> 1</w:t>
      </w:r>
      <w:r>
        <w:rPr>
          <w:rtl/>
        </w:rPr>
        <w:t>ـ</w:t>
      </w:r>
      <w:r w:rsidRPr="00FE4C18">
        <w:rPr>
          <w:rtl/>
        </w:rPr>
        <w:t xml:space="preserve"> التزامات </w:t>
      </w:r>
      <w:r>
        <w:rPr>
          <w:rtl/>
        </w:rPr>
        <w:t>ا</w:t>
      </w:r>
      <w:r w:rsidRPr="00FE4C18">
        <w:rPr>
          <w:rtl/>
        </w:rPr>
        <w:t>لزوج</w:t>
      </w:r>
      <w:r>
        <w:rPr>
          <w:rtl/>
        </w:rPr>
        <w:t>ي</w:t>
      </w:r>
      <w:r w:rsidRPr="00FE4C18">
        <w:rPr>
          <w:rtl/>
        </w:rPr>
        <w:t xml:space="preserve">ن في مقابل صاحبة </w:t>
      </w:r>
      <w:r>
        <w:rPr>
          <w:rtl/>
        </w:rPr>
        <w:t>ا</w:t>
      </w:r>
      <w:r w:rsidRPr="00FE4C18">
        <w:rPr>
          <w:rtl/>
        </w:rPr>
        <w:t>لرحم</w:t>
      </w:r>
      <w:bookmarkEnd w:id="494"/>
      <w:r w:rsidRPr="00FE4C18">
        <w:rPr>
          <w:rtl/>
        </w:rPr>
        <w:t xml:space="preserve"> </w:t>
      </w:r>
    </w:p>
    <w:p w:rsidR="00391A35" w:rsidRDefault="00391A35" w:rsidP="00391A35">
      <w:pPr>
        <w:pStyle w:val="ac"/>
      </w:pPr>
      <w:r w:rsidRPr="00FE4C18">
        <w:rPr>
          <w:rtl/>
        </w:rPr>
        <w:t xml:space="preserve">التزامات </w:t>
      </w:r>
      <w:r>
        <w:rPr>
          <w:rtl/>
        </w:rPr>
        <w:t>ا</w:t>
      </w:r>
      <w:r w:rsidRPr="00FE4C18">
        <w:rPr>
          <w:rtl/>
        </w:rPr>
        <w:t>لزوج</w:t>
      </w:r>
      <w:r>
        <w:rPr>
          <w:rtl/>
        </w:rPr>
        <w:t>ي</w:t>
      </w:r>
      <w:r w:rsidRPr="00FE4C18">
        <w:rPr>
          <w:rtl/>
        </w:rPr>
        <w:t xml:space="preserve">ن بالنسبة لصاحبة </w:t>
      </w:r>
      <w:r>
        <w:rPr>
          <w:rtl/>
        </w:rPr>
        <w:t>ا</w:t>
      </w:r>
      <w:r w:rsidRPr="00FE4C18">
        <w:rPr>
          <w:rtl/>
        </w:rPr>
        <w:t xml:space="preserve">لرحم من نوع </w:t>
      </w:r>
      <w:r>
        <w:rPr>
          <w:rtl/>
        </w:rPr>
        <w:t>ا</w:t>
      </w:r>
      <w:r w:rsidRPr="00FE4C18">
        <w:rPr>
          <w:rtl/>
        </w:rPr>
        <w:t xml:space="preserve">لالتزامات </w:t>
      </w:r>
      <w:r>
        <w:rPr>
          <w:rtl/>
        </w:rPr>
        <w:t>ا</w:t>
      </w:r>
      <w:r w:rsidRPr="00FE4C18">
        <w:rPr>
          <w:rtl/>
        </w:rPr>
        <w:t>لمال</w:t>
      </w:r>
      <w:r>
        <w:rPr>
          <w:rtl/>
        </w:rPr>
        <w:t>يّ</w:t>
      </w:r>
      <w:r w:rsidRPr="00FE4C18">
        <w:rPr>
          <w:rtl/>
        </w:rPr>
        <w:t>ة</w:t>
      </w:r>
      <w:r>
        <w:rPr>
          <w:rtl/>
        </w:rPr>
        <w:t>.</w:t>
      </w:r>
      <w:r w:rsidRPr="00FE4C18">
        <w:rPr>
          <w:rtl/>
        </w:rPr>
        <w:t xml:space="preserve"> </w:t>
      </w:r>
      <w:r>
        <w:rPr>
          <w:rtl/>
        </w:rPr>
        <w:t>و</w:t>
      </w:r>
      <w:r w:rsidRPr="00FE4C18">
        <w:rPr>
          <w:rtl/>
        </w:rPr>
        <w:t>عل</w:t>
      </w:r>
      <w:r>
        <w:rPr>
          <w:rtl/>
        </w:rPr>
        <w:t xml:space="preserve">ى </w:t>
      </w:r>
      <w:r w:rsidRPr="00FE4C18">
        <w:rPr>
          <w:rtl/>
        </w:rPr>
        <w:t xml:space="preserve">أساس </w:t>
      </w:r>
      <w:r>
        <w:rPr>
          <w:rtl/>
        </w:rPr>
        <w:t>ا</w:t>
      </w:r>
      <w:r w:rsidRPr="00FE4C18">
        <w:rPr>
          <w:rtl/>
        </w:rPr>
        <w:t>لاتفاق</w:t>
      </w:r>
      <w:r>
        <w:rPr>
          <w:rtl/>
        </w:rPr>
        <w:t>ي</w:t>
      </w:r>
      <w:r w:rsidRPr="00FE4C18">
        <w:rPr>
          <w:rtl/>
        </w:rPr>
        <w:t xml:space="preserve">ة </w:t>
      </w:r>
      <w:r>
        <w:rPr>
          <w:rtl/>
        </w:rPr>
        <w:t>ي</w:t>
      </w:r>
      <w:r w:rsidRPr="00FE4C18">
        <w:rPr>
          <w:rtl/>
        </w:rPr>
        <w:t>جب عل</w:t>
      </w:r>
      <w:r>
        <w:rPr>
          <w:rtl/>
        </w:rPr>
        <w:t>ي</w:t>
      </w:r>
      <w:r w:rsidRPr="00FE4C18">
        <w:rPr>
          <w:rtl/>
        </w:rPr>
        <w:t xml:space="preserve">هما دفع </w:t>
      </w:r>
      <w:r>
        <w:rPr>
          <w:rtl/>
        </w:rPr>
        <w:t>ا</w:t>
      </w:r>
      <w:r w:rsidRPr="00FE4C18">
        <w:rPr>
          <w:rtl/>
        </w:rPr>
        <w:t>لت</w:t>
      </w:r>
      <w:r>
        <w:rPr>
          <w:rtl/>
        </w:rPr>
        <w:t>ك</w:t>
      </w:r>
      <w:r w:rsidRPr="00FE4C18">
        <w:rPr>
          <w:rtl/>
        </w:rPr>
        <w:t>ال</w:t>
      </w:r>
      <w:r>
        <w:rPr>
          <w:rtl/>
        </w:rPr>
        <w:t>ي</w:t>
      </w:r>
      <w:r w:rsidRPr="00FE4C18">
        <w:rPr>
          <w:rtl/>
        </w:rPr>
        <w:t xml:space="preserve">ف </w:t>
      </w:r>
      <w:r>
        <w:rPr>
          <w:rtl/>
        </w:rPr>
        <w:t>ا</w:t>
      </w:r>
      <w:r w:rsidRPr="00FE4C18">
        <w:rPr>
          <w:rtl/>
        </w:rPr>
        <w:t>لمتفق عل</w:t>
      </w:r>
      <w:r>
        <w:rPr>
          <w:rtl/>
        </w:rPr>
        <w:t>ي</w:t>
      </w:r>
      <w:r w:rsidRPr="00FE4C18">
        <w:rPr>
          <w:rtl/>
        </w:rPr>
        <w:t xml:space="preserve">ها في </w:t>
      </w:r>
      <w:r>
        <w:rPr>
          <w:rtl/>
        </w:rPr>
        <w:t>ا</w:t>
      </w:r>
      <w:r w:rsidRPr="00FE4C18">
        <w:rPr>
          <w:rtl/>
        </w:rPr>
        <w:t>لاتفاق</w:t>
      </w:r>
      <w:r>
        <w:rPr>
          <w:rtl/>
        </w:rPr>
        <w:t>ي</w:t>
      </w:r>
      <w:r w:rsidRPr="00FE4C18">
        <w:rPr>
          <w:rtl/>
        </w:rPr>
        <w:t>ة</w:t>
      </w:r>
      <w:r w:rsidRPr="007F5B58">
        <w:rPr>
          <w:rtl/>
        </w:rPr>
        <w:t>،</w:t>
      </w:r>
      <w:r>
        <w:rPr>
          <w:rtl/>
        </w:rPr>
        <w:t xml:space="preserve"> وك</w:t>
      </w:r>
      <w:r w:rsidRPr="00FE4C18">
        <w:rPr>
          <w:rtl/>
        </w:rPr>
        <w:t>ذل</w:t>
      </w:r>
      <w:r>
        <w:rPr>
          <w:rtl/>
        </w:rPr>
        <w:t>ك</w:t>
      </w:r>
      <w:r w:rsidRPr="00FE4C18">
        <w:rPr>
          <w:rtl/>
        </w:rPr>
        <w:t xml:space="preserve"> ت</w:t>
      </w:r>
      <w:r>
        <w:rPr>
          <w:rtl/>
        </w:rPr>
        <w:t>ك</w:t>
      </w:r>
      <w:r w:rsidRPr="00FE4C18">
        <w:rPr>
          <w:rtl/>
        </w:rPr>
        <w:t>ال</w:t>
      </w:r>
      <w:r>
        <w:rPr>
          <w:rtl/>
        </w:rPr>
        <w:t>ي</w:t>
      </w:r>
      <w:r w:rsidRPr="00FE4C18">
        <w:rPr>
          <w:rtl/>
        </w:rPr>
        <w:t xml:space="preserve">ف </w:t>
      </w:r>
      <w:r>
        <w:rPr>
          <w:rtl/>
        </w:rPr>
        <w:t>ا</w:t>
      </w:r>
      <w:r w:rsidRPr="00FE4C18">
        <w:rPr>
          <w:rtl/>
        </w:rPr>
        <w:t xml:space="preserve">لمبادرات </w:t>
      </w:r>
      <w:r>
        <w:rPr>
          <w:rtl/>
        </w:rPr>
        <w:t>ا</w:t>
      </w:r>
      <w:r w:rsidRPr="00FE4C18">
        <w:rPr>
          <w:rtl/>
        </w:rPr>
        <w:t>لطب</w:t>
      </w:r>
      <w:r>
        <w:rPr>
          <w:rtl/>
        </w:rPr>
        <w:t>ي</w:t>
      </w:r>
      <w:r w:rsidRPr="00FE4C18">
        <w:rPr>
          <w:rtl/>
        </w:rPr>
        <w:t xml:space="preserve">ة من مرحلة نقل </w:t>
      </w:r>
      <w:r>
        <w:rPr>
          <w:rtl/>
        </w:rPr>
        <w:t>ا</w:t>
      </w:r>
      <w:r w:rsidRPr="00FE4C18">
        <w:rPr>
          <w:rtl/>
        </w:rPr>
        <w:t>لجن</w:t>
      </w:r>
      <w:r>
        <w:rPr>
          <w:rtl/>
        </w:rPr>
        <w:t>ي</w:t>
      </w:r>
      <w:r w:rsidRPr="00FE4C18">
        <w:rPr>
          <w:rtl/>
        </w:rPr>
        <w:t>ن حت</w:t>
      </w:r>
      <w:r>
        <w:rPr>
          <w:rtl/>
        </w:rPr>
        <w:t>ى ا</w:t>
      </w:r>
      <w:r w:rsidRPr="00FE4C18">
        <w:rPr>
          <w:rtl/>
        </w:rPr>
        <w:t xml:space="preserve">لولادة. </w:t>
      </w:r>
      <w:r>
        <w:rPr>
          <w:rtl/>
        </w:rPr>
        <w:t>و</w:t>
      </w:r>
      <w:r w:rsidRPr="00FE4C18">
        <w:rPr>
          <w:rtl/>
        </w:rPr>
        <w:t xml:space="preserve">تتم هذه </w:t>
      </w:r>
      <w:r>
        <w:rPr>
          <w:rtl/>
        </w:rPr>
        <w:t>ا</w:t>
      </w:r>
      <w:r w:rsidRPr="00FE4C18">
        <w:rPr>
          <w:rtl/>
        </w:rPr>
        <w:t>لالتزامات عل</w:t>
      </w:r>
      <w:r>
        <w:rPr>
          <w:rtl/>
        </w:rPr>
        <w:t xml:space="preserve">ى </w:t>
      </w:r>
      <w:r w:rsidRPr="00FE4C18">
        <w:rPr>
          <w:rtl/>
        </w:rPr>
        <w:t xml:space="preserve">أساس </w:t>
      </w:r>
      <w:r>
        <w:rPr>
          <w:rtl/>
        </w:rPr>
        <w:t>ا</w:t>
      </w:r>
      <w:r w:rsidRPr="00FE4C18">
        <w:rPr>
          <w:rtl/>
        </w:rPr>
        <w:t>لاتفاق</w:t>
      </w:r>
      <w:r>
        <w:rPr>
          <w:rtl/>
        </w:rPr>
        <w:t>ي</w:t>
      </w:r>
      <w:r w:rsidRPr="00FE4C18">
        <w:rPr>
          <w:rtl/>
        </w:rPr>
        <w:t>ة</w:t>
      </w:r>
      <w:r>
        <w:rPr>
          <w:rtl/>
        </w:rPr>
        <w:t>. و</w:t>
      </w:r>
      <w:r w:rsidRPr="00FE4C18">
        <w:rPr>
          <w:rtl/>
        </w:rPr>
        <w:t>أما ف</w:t>
      </w:r>
      <w:r>
        <w:rPr>
          <w:rtl/>
        </w:rPr>
        <w:t xml:space="preserve">ي </w:t>
      </w:r>
      <w:r w:rsidRPr="00FE4C18">
        <w:rPr>
          <w:rtl/>
        </w:rPr>
        <w:t xml:space="preserve">ما </w:t>
      </w:r>
      <w:r>
        <w:rPr>
          <w:rtl/>
        </w:rPr>
        <w:t>ي</w:t>
      </w:r>
      <w:r w:rsidRPr="00FE4C18">
        <w:rPr>
          <w:rtl/>
        </w:rPr>
        <w:t xml:space="preserve">خص </w:t>
      </w:r>
      <w:r>
        <w:rPr>
          <w:rtl/>
        </w:rPr>
        <w:t>كي</w:t>
      </w:r>
      <w:r w:rsidRPr="00FE4C18">
        <w:rPr>
          <w:rtl/>
        </w:rPr>
        <w:t>ف</w:t>
      </w:r>
      <w:r>
        <w:rPr>
          <w:rtl/>
        </w:rPr>
        <w:t>يّ</w:t>
      </w:r>
      <w:r w:rsidRPr="00FE4C18">
        <w:rPr>
          <w:rtl/>
        </w:rPr>
        <w:t>ة ح</w:t>
      </w:r>
      <w:r>
        <w:rPr>
          <w:rtl/>
        </w:rPr>
        <w:t>ي</w:t>
      </w:r>
      <w:r w:rsidRPr="00FE4C18">
        <w:rPr>
          <w:rtl/>
        </w:rPr>
        <w:t xml:space="preserve">اة </w:t>
      </w:r>
      <w:r>
        <w:rPr>
          <w:rtl/>
        </w:rPr>
        <w:t>ا</w:t>
      </w:r>
      <w:r w:rsidRPr="00FE4C18">
        <w:rPr>
          <w:rtl/>
        </w:rPr>
        <w:t>لجن</w:t>
      </w:r>
      <w:r>
        <w:rPr>
          <w:rtl/>
        </w:rPr>
        <w:t>ي</w:t>
      </w:r>
      <w:r w:rsidRPr="00FE4C18">
        <w:rPr>
          <w:rtl/>
        </w:rPr>
        <w:t>ن ف</w:t>
      </w:r>
      <w:r>
        <w:rPr>
          <w:rtl/>
        </w:rPr>
        <w:t>ي</w:t>
      </w:r>
      <w:r w:rsidRPr="00FE4C18">
        <w:rPr>
          <w:rtl/>
        </w:rPr>
        <w:t>جب عل</w:t>
      </w:r>
      <w:r>
        <w:rPr>
          <w:rtl/>
        </w:rPr>
        <w:t>ي</w:t>
      </w:r>
      <w:r w:rsidRPr="00FE4C18">
        <w:rPr>
          <w:rtl/>
        </w:rPr>
        <w:t xml:space="preserve">هما إعداد وسائل </w:t>
      </w:r>
      <w:r>
        <w:rPr>
          <w:rtl/>
        </w:rPr>
        <w:t>ا</w:t>
      </w:r>
      <w:r w:rsidRPr="00FE4C18">
        <w:rPr>
          <w:rtl/>
        </w:rPr>
        <w:t>لراحة</w:t>
      </w:r>
      <w:r>
        <w:rPr>
          <w:rtl/>
        </w:rPr>
        <w:t xml:space="preserve"> و</w:t>
      </w:r>
      <w:r w:rsidRPr="00FE4C18">
        <w:rPr>
          <w:rtl/>
        </w:rPr>
        <w:t>اطمئنان ح</w:t>
      </w:r>
      <w:r>
        <w:rPr>
          <w:rtl/>
        </w:rPr>
        <w:t>ي</w:t>
      </w:r>
      <w:r w:rsidRPr="00FE4C18">
        <w:rPr>
          <w:rtl/>
        </w:rPr>
        <w:t xml:space="preserve">اة صاحبة </w:t>
      </w:r>
      <w:r>
        <w:rPr>
          <w:rtl/>
        </w:rPr>
        <w:t>ا</w:t>
      </w:r>
      <w:r w:rsidRPr="00FE4C18">
        <w:rPr>
          <w:rtl/>
        </w:rPr>
        <w:t xml:space="preserve">لرحم في دورة </w:t>
      </w:r>
      <w:r>
        <w:rPr>
          <w:rtl/>
        </w:rPr>
        <w:t>ا</w:t>
      </w:r>
      <w:r w:rsidRPr="00FE4C18">
        <w:rPr>
          <w:rtl/>
        </w:rPr>
        <w:t xml:space="preserve">لحمل بالحد </w:t>
      </w:r>
      <w:r>
        <w:rPr>
          <w:rtl/>
        </w:rPr>
        <w:t>ا</w:t>
      </w:r>
      <w:r w:rsidRPr="00FE4C18">
        <w:rPr>
          <w:rtl/>
        </w:rPr>
        <w:t>لأدن</w:t>
      </w:r>
      <w:r>
        <w:rPr>
          <w:rFonts w:hint="cs"/>
          <w:rtl/>
        </w:rPr>
        <w:t>ى</w:t>
      </w:r>
      <w:r w:rsidRPr="00FE4C18">
        <w:rPr>
          <w:rtl/>
        </w:rPr>
        <w:t xml:space="preserve">. </w:t>
      </w:r>
    </w:p>
    <w:p w:rsidR="00391A35" w:rsidRPr="0067362A" w:rsidRDefault="00391A35" w:rsidP="0067362A">
      <w:pPr>
        <w:pStyle w:val="afffffc"/>
        <w:rPr>
          <w:sz w:val="22"/>
          <w:szCs w:val="20"/>
          <w:rtl/>
        </w:rPr>
      </w:pPr>
    </w:p>
    <w:p w:rsidR="00391A35" w:rsidRPr="00FE4C18" w:rsidRDefault="00391A35" w:rsidP="0067362A">
      <w:pPr>
        <w:pStyle w:val="4"/>
        <w:rPr>
          <w:rtl/>
        </w:rPr>
      </w:pPr>
      <w:bookmarkStart w:id="495" w:name="_Toc275128202"/>
      <w:r>
        <w:rPr>
          <w:rtl/>
        </w:rPr>
        <w:t>4ـ</w:t>
      </w:r>
      <w:r w:rsidRPr="00FE4C18">
        <w:rPr>
          <w:rtl/>
        </w:rPr>
        <w:t>1</w:t>
      </w:r>
      <w:r>
        <w:rPr>
          <w:rtl/>
        </w:rPr>
        <w:t>ـ</w:t>
      </w:r>
      <w:r w:rsidRPr="00FE4C18">
        <w:rPr>
          <w:rtl/>
        </w:rPr>
        <w:t xml:space="preserve"> 2</w:t>
      </w:r>
      <w:r>
        <w:rPr>
          <w:rtl/>
        </w:rPr>
        <w:t xml:space="preserve">ـ </w:t>
      </w:r>
      <w:r w:rsidRPr="00FE4C18">
        <w:rPr>
          <w:rtl/>
        </w:rPr>
        <w:t xml:space="preserve"> حقوق </w:t>
      </w:r>
      <w:r>
        <w:rPr>
          <w:rtl/>
        </w:rPr>
        <w:t>ا</w:t>
      </w:r>
      <w:r w:rsidRPr="00FE4C18">
        <w:rPr>
          <w:rtl/>
        </w:rPr>
        <w:t>لزوج</w:t>
      </w:r>
      <w:r>
        <w:rPr>
          <w:rtl/>
        </w:rPr>
        <w:t>ي</w:t>
      </w:r>
      <w:r w:rsidRPr="00FE4C18">
        <w:rPr>
          <w:rtl/>
        </w:rPr>
        <w:t xml:space="preserve">ن </w:t>
      </w:r>
      <w:r>
        <w:rPr>
          <w:rFonts w:hint="cs"/>
          <w:rtl/>
        </w:rPr>
        <w:t>عند صاحبة</w:t>
      </w:r>
      <w:r w:rsidRPr="00FE4C18">
        <w:rPr>
          <w:rtl/>
        </w:rPr>
        <w:t xml:space="preserve"> </w:t>
      </w:r>
      <w:r>
        <w:rPr>
          <w:rtl/>
        </w:rPr>
        <w:t>ا</w:t>
      </w:r>
      <w:r w:rsidRPr="00FE4C18">
        <w:rPr>
          <w:rtl/>
        </w:rPr>
        <w:t>لرحم</w:t>
      </w:r>
      <w:bookmarkEnd w:id="495"/>
      <w:r w:rsidRPr="00FE4C18">
        <w:rPr>
          <w:rtl/>
        </w:rPr>
        <w:t xml:space="preserve"> </w:t>
      </w:r>
    </w:p>
    <w:p w:rsidR="00391A35" w:rsidRPr="00FE4C18" w:rsidRDefault="00391A35" w:rsidP="00391A35">
      <w:pPr>
        <w:pStyle w:val="ac"/>
        <w:rPr>
          <w:rtl/>
        </w:rPr>
      </w:pPr>
      <w:r w:rsidRPr="00FE4C18">
        <w:rPr>
          <w:rtl/>
        </w:rPr>
        <w:t xml:space="preserve">إزاء </w:t>
      </w:r>
      <w:r>
        <w:rPr>
          <w:rtl/>
        </w:rPr>
        <w:t>تـن</w:t>
      </w:r>
      <w:r w:rsidRPr="00FE4C18">
        <w:rPr>
          <w:rtl/>
        </w:rPr>
        <w:t>ف</w:t>
      </w:r>
      <w:r>
        <w:rPr>
          <w:rtl/>
        </w:rPr>
        <w:t>ي</w:t>
      </w:r>
      <w:r w:rsidRPr="00FE4C18">
        <w:rPr>
          <w:rtl/>
        </w:rPr>
        <w:t xml:space="preserve">ذ هذه </w:t>
      </w:r>
      <w:r>
        <w:rPr>
          <w:rtl/>
        </w:rPr>
        <w:t>ا</w:t>
      </w:r>
      <w:r w:rsidRPr="00FE4C18">
        <w:rPr>
          <w:rtl/>
        </w:rPr>
        <w:t xml:space="preserve">لالتزامات </w:t>
      </w:r>
      <w:r>
        <w:rPr>
          <w:rtl/>
        </w:rPr>
        <w:t>ي</w:t>
      </w:r>
      <w:r w:rsidRPr="00FE4C18">
        <w:rPr>
          <w:rtl/>
        </w:rPr>
        <w:t>حق للزوج</w:t>
      </w:r>
      <w:r>
        <w:rPr>
          <w:rtl/>
        </w:rPr>
        <w:t>ي</w:t>
      </w:r>
      <w:r w:rsidRPr="00FE4C18">
        <w:rPr>
          <w:rtl/>
        </w:rPr>
        <w:t>ن ز</w:t>
      </w:r>
      <w:r>
        <w:rPr>
          <w:rtl/>
        </w:rPr>
        <w:t>ي</w:t>
      </w:r>
      <w:r w:rsidRPr="00FE4C18">
        <w:rPr>
          <w:rtl/>
        </w:rPr>
        <w:t>ا</w:t>
      </w:r>
      <w:r>
        <w:rPr>
          <w:rtl/>
        </w:rPr>
        <w:t>ر</w:t>
      </w:r>
      <w:r w:rsidRPr="00FE4C18">
        <w:rPr>
          <w:rtl/>
        </w:rPr>
        <w:t xml:space="preserve">ة صاحبة </w:t>
      </w:r>
      <w:r>
        <w:rPr>
          <w:rtl/>
        </w:rPr>
        <w:t>ا</w:t>
      </w:r>
      <w:r w:rsidRPr="00FE4C18">
        <w:rPr>
          <w:rtl/>
        </w:rPr>
        <w:t>لرحم</w:t>
      </w:r>
      <w:r w:rsidRPr="007F5B58">
        <w:rPr>
          <w:rtl/>
        </w:rPr>
        <w:t>،</w:t>
      </w:r>
      <w:r>
        <w:rPr>
          <w:rtl/>
        </w:rPr>
        <w:t xml:space="preserve"> و</w:t>
      </w:r>
      <w:r w:rsidRPr="00FE4C18">
        <w:rPr>
          <w:rtl/>
        </w:rPr>
        <w:t>مراقبتها</w:t>
      </w:r>
      <w:r w:rsidRPr="007F5B58">
        <w:rPr>
          <w:rtl/>
        </w:rPr>
        <w:t>،</w:t>
      </w:r>
      <w:r>
        <w:rPr>
          <w:rtl/>
        </w:rPr>
        <w:t xml:space="preserve"> </w:t>
      </w:r>
      <w:r>
        <w:rPr>
          <w:rtl/>
        </w:rPr>
        <w:lastRenderedPageBreak/>
        <w:t>وا</w:t>
      </w:r>
      <w:r w:rsidRPr="00FE4C18">
        <w:rPr>
          <w:rtl/>
        </w:rPr>
        <w:t>ل</w:t>
      </w:r>
      <w:r>
        <w:rPr>
          <w:rtl/>
        </w:rPr>
        <w:t>إ</w:t>
      </w:r>
      <w:r w:rsidRPr="00FE4C18">
        <w:rPr>
          <w:rtl/>
        </w:rPr>
        <w:t>شراف عل</w:t>
      </w:r>
      <w:r>
        <w:rPr>
          <w:rtl/>
        </w:rPr>
        <w:t>ى كي</w:t>
      </w:r>
      <w:r w:rsidRPr="00FE4C18">
        <w:rPr>
          <w:rtl/>
        </w:rPr>
        <w:t>ف</w:t>
      </w:r>
      <w:r>
        <w:rPr>
          <w:rtl/>
        </w:rPr>
        <w:t>يّ</w:t>
      </w:r>
      <w:r w:rsidRPr="00FE4C18">
        <w:rPr>
          <w:rtl/>
        </w:rPr>
        <w:t>ة ح</w:t>
      </w:r>
      <w:r>
        <w:rPr>
          <w:rtl/>
        </w:rPr>
        <w:t>ي</w:t>
      </w:r>
      <w:r w:rsidRPr="00FE4C18">
        <w:rPr>
          <w:rtl/>
        </w:rPr>
        <w:t>اتها</w:t>
      </w:r>
      <w:r>
        <w:rPr>
          <w:rtl/>
        </w:rPr>
        <w:t xml:space="preserve"> و</w:t>
      </w:r>
      <w:r w:rsidRPr="00FE4C18">
        <w:rPr>
          <w:rtl/>
        </w:rPr>
        <w:t>نشاطاتها</w:t>
      </w:r>
      <w:r w:rsidRPr="007F5B58">
        <w:rPr>
          <w:rtl/>
        </w:rPr>
        <w:t>،</w:t>
      </w:r>
      <w:r>
        <w:rPr>
          <w:rtl/>
        </w:rPr>
        <w:t xml:space="preserve"> وك</w:t>
      </w:r>
      <w:r w:rsidRPr="00FE4C18">
        <w:rPr>
          <w:rtl/>
        </w:rPr>
        <w:t>ذل</w:t>
      </w:r>
      <w:r>
        <w:rPr>
          <w:rtl/>
        </w:rPr>
        <w:t>ك</w:t>
      </w:r>
      <w:r w:rsidRPr="00FE4C18">
        <w:rPr>
          <w:rtl/>
        </w:rPr>
        <w:t xml:space="preserve"> </w:t>
      </w:r>
      <w:r>
        <w:rPr>
          <w:rtl/>
        </w:rPr>
        <w:t>ا</w:t>
      </w:r>
      <w:r w:rsidRPr="00FE4C18">
        <w:rPr>
          <w:rtl/>
        </w:rPr>
        <w:t>لرقا</w:t>
      </w:r>
      <w:r>
        <w:rPr>
          <w:rtl/>
        </w:rPr>
        <w:t>ب</w:t>
      </w:r>
      <w:r w:rsidRPr="00FE4C18">
        <w:rPr>
          <w:rtl/>
        </w:rPr>
        <w:t>ة عل</w:t>
      </w:r>
      <w:r>
        <w:rPr>
          <w:rtl/>
        </w:rPr>
        <w:t>ى تـن</w:t>
      </w:r>
      <w:r w:rsidRPr="00FE4C18">
        <w:rPr>
          <w:rtl/>
        </w:rPr>
        <w:t>ف</w:t>
      </w:r>
      <w:r>
        <w:rPr>
          <w:rtl/>
        </w:rPr>
        <w:t>ي</w:t>
      </w:r>
      <w:r w:rsidRPr="00FE4C18">
        <w:rPr>
          <w:rtl/>
        </w:rPr>
        <w:t xml:space="preserve">ذ </w:t>
      </w:r>
      <w:r>
        <w:rPr>
          <w:rtl/>
        </w:rPr>
        <w:t>ا</w:t>
      </w:r>
      <w:r w:rsidRPr="00FE4C18">
        <w:rPr>
          <w:rtl/>
        </w:rPr>
        <w:t>لوصا</w:t>
      </w:r>
      <w:r>
        <w:rPr>
          <w:rtl/>
        </w:rPr>
        <w:t>ي</w:t>
      </w:r>
      <w:r w:rsidRPr="00FE4C18">
        <w:rPr>
          <w:rtl/>
        </w:rPr>
        <w:t>ا</w:t>
      </w:r>
      <w:r>
        <w:rPr>
          <w:rtl/>
        </w:rPr>
        <w:t xml:space="preserve"> وا</w:t>
      </w:r>
      <w:r w:rsidRPr="00FE4C18">
        <w:rPr>
          <w:rtl/>
        </w:rPr>
        <w:t>لرعا</w:t>
      </w:r>
      <w:r>
        <w:rPr>
          <w:rtl/>
        </w:rPr>
        <w:t>ي</w:t>
      </w:r>
      <w:r>
        <w:rPr>
          <w:rFonts w:hint="cs"/>
          <w:rtl/>
        </w:rPr>
        <w:t>ة</w:t>
      </w:r>
      <w:r w:rsidRPr="00FE4C18">
        <w:rPr>
          <w:rtl/>
        </w:rPr>
        <w:t xml:space="preserve"> </w:t>
      </w:r>
      <w:r>
        <w:rPr>
          <w:rtl/>
        </w:rPr>
        <w:t>ا</w:t>
      </w:r>
      <w:r w:rsidRPr="00FE4C18">
        <w:rPr>
          <w:rtl/>
        </w:rPr>
        <w:t>لطب</w:t>
      </w:r>
      <w:r>
        <w:rPr>
          <w:rtl/>
        </w:rPr>
        <w:t>ي</w:t>
      </w:r>
      <w:r>
        <w:rPr>
          <w:rFonts w:hint="cs"/>
          <w:rtl/>
        </w:rPr>
        <w:t xml:space="preserve">ة </w:t>
      </w:r>
      <w:r>
        <w:rPr>
          <w:rtl/>
        </w:rPr>
        <w:t>ا</w:t>
      </w:r>
      <w:r w:rsidRPr="00FE4C18">
        <w:rPr>
          <w:rtl/>
        </w:rPr>
        <w:t xml:space="preserve">لتي تقوم بها صاحبة </w:t>
      </w:r>
      <w:r>
        <w:rPr>
          <w:rtl/>
        </w:rPr>
        <w:t>ا</w:t>
      </w:r>
      <w:r w:rsidRPr="00FE4C18">
        <w:rPr>
          <w:rtl/>
        </w:rPr>
        <w:t>لرحم</w:t>
      </w:r>
      <w:r>
        <w:rPr>
          <w:rtl/>
        </w:rPr>
        <w:t>.</w:t>
      </w:r>
      <w:r w:rsidRPr="00FE4C18">
        <w:rPr>
          <w:rtl/>
        </w:rPr>
        <w:t xml:space="preserve"> </w:t>
      </w:r>
    </w:p>
    <w:p w:rsidR="00391A35" w:rsidRPr="0067362A" w:rsidRDefault="00391A35" w:rsidP="0067362A">
      <w:pPr>
        <w:pStyle w:val="afffffc"/>
        <w:rPr>
          <w:sz w:val="20"/>
          <w:szCs w:val="18"/>
          <w:rtl/>
        </w:rPr>
      </w:pPr>
    </w:p>
    <w:p w:rsidR="00391A35" w:rsidRPr="00FE4C18" w:rsidRDefault="00391A35" w:rsidP="0067362A">
      <w:pPr>
        <w:pStyle w:val="4"/>
        <w:rPr>
          <w:rtl/>
        </w:rPr>
      </w:pPr>
      <w:bookmarkStart w:id="496" w:name="_Toc275128203"/>
      <w:r>
        <w:rPr>
          <w:rtl/>
        </w:rPr>
        <w:t>4ـ</w:t>
      </w:r>
      <w:r w:rsidRPr="00FE4C18">
        <w:rPr>
          <w:rtl/>
        </w:rPr>
        <w:t>1</w:t>
      </w:r>
      <w:r>
        <w:rPr>
          <w:rtl/>
        </w:rPr>
        <w:t>ـ</w:t>
      </w:r>
      <w:r w:rsidRPr="00FE4C18">
        <w:rPr>
          <w:rtl/>
        </w:rPr>
        <w:t xml:space="preserve"> 3</w:t>
      </w:r>
      <w:r>
        <w:rPr>
          <w:rtl/>
        </w:rPr>
        <w:t>ـ</w:t>
      </w:r>
      <w:r w:rsidRPr="00FE4C18">
        <w:rPr>
          <w:rtl/>
        </w:rPr>
        <w:t xml:space="preserve"> التزامات صاحبة </w:t>
      </w:r>
      <w:r>
        <w:rPr>
          <w:rtl/>
        </w:rPr>
        <w:t>ا</w:t>
      </w:r>
      <w:r w:rsidRPr="00FE4C18">
        <w:rPr>
          <w:rtl/>
        </w:rPr>
        <w:t xml:space="preserve">لرحم </w:t>
      </w:r>
      <w:r>
        <w:rPr>
          <w:rFonts w:hint="cs"/>
          <w:rtl/>
        </w:rPr>
        <w:t>تجاه ا</w:t>
      </w:r>
      <w:r w:rsidRPr="00FE4C18">
        <w:rPr>
          <w:rtl/>
        </w:rPr>
        <w:t>لزوج</w:t>
      </w:r>
      <w:r>
        <w:rPr>
          <w:rtl/>
        </w:rPr>
        <w:t>ي</w:t>
      </w:r>
      <w:r w:rsidRPr="00FE4C18">
        <w:rPr>
          <w:rtl/>
        </w:rPr>
        <w:t>ن</w:t>
      </w:r>
      <w:bookmarkEnd w:id="496"/>
    </w:p>
    <w:p w:rsidR="00391A35" w:rsidRPr="00FE4C18" w:rsidRDefault="00391A35" w:rsidP="00391A35">
      <w:pPr>
        <w:pStyle w:val="ac"/>
        <w:rPr>
          <w:rtl/>
        </w:rPr>
      </w:pPr>
      <w:r w:rsidRPr="00FE4C18">
        <w:rPr>
          <w:rtl/>
        </w:rPr>
        <w:t xml:space="preserve">تلتزم صاحبة </w:t>
      </w:r>
      <w:r>
        <w:rPr>
          <w:rtl/>
        </w:rPr>
        <w:t>ا</w:t>
      </w:r>
      <w:r w:rsidRPr="00FE4C18">
        <w:rPr>
          <w:rtl/>
        </w:rPr>
        <w:t xml:space="preserve">لرحم أمام </w:t>
      </w:r>
      <w:r>
        <w:rPr>
          <w:rtl/>
        </w:rPr>
        <w:t>ا</w:t>
      </w:r>
      <w:r w:rsidRPr="00FE4C18">
        <w:rPr>
          <w:rtl/>
        </w:rPr>
        <w:t>لزوج</w:t>
      </w:r>
      <w:r>
        <w:rPr>
          <w:rtl/>
        </w:rPr>
        <w:t>ي</w:t>
      </w:r>
      <w:r w:rsidRPr="00FE4C18">
        <w:rPr>
          <w:rtl/>
        </w:rPr>
        <w:t>ن بترب</w:t>
      </w:r>
      <w:r>
        <w:rPr>
          <w:rtl/>
        </w:rPr>
        <w:t>ي</w:t>
      </w:r>
      <w:r w:rsidRPr="00FE4C18">
        <w:rPr>
          <w:rtl/>
        </w:rPr>
        <w:t>ة جن</w:t>
      </w:r>
      <w:r>
        <w:rPr>
          <w:rtl/>
        </w:rPr>
        <w:t>ي</w:t>
      </w:r>
      <w:r w:rsidRPr="00FE4C18">
        <w:rPr>
          <w:rtl/>
        </w:rPr>
        <w:t>نهما</w:t>
      </w:r>
      <w:r>
        <w:rPr>
          <w:rtl/>
        </w:rPr>
        <w:t>. و</w:t>
      </w:r>
      <w:r w:rsidRPr="00FE4C18">
        <w:rPr>
          <w:rtl/>
        </w:rPr>
        <w:t xml:space="preserve">التزامها </w:t>
      </w:r>
      <w:r>
        <w:rPr>
          <w:rtl/>
        </w:rPr>
        <w:t>ا</w:t>
      </w:r>
      <w:r w:rsidRPr="00FE4C18">
        <w:rPr>
          <w:rtl/>
        </w:rPr>
        <w:t>لأول حفظ جن</w:t>
      </w:r>
      <w:r>
        <w:rPr>
          <w:rtl/>
        </w:rPr>
        <w:t>ي</w:t>
      </w:r>
      <w:r w:rsidRPr="00FE4C18">
        <w:rPr>
          <w:rtl/>
        </w:rPr>
        <w:t xml:space="preserve">ن صاحبي </w:t>
      </w:r>
      <w:r>
        <w:rPr>
          <w:rtl/>
        </w:rPr>
        <w:t>ا</w:t>
      </w:r>
      <w:r w:rsidRPr="00FE4C18">
        <w:rPr>
          <w:rtl/>
        </w:rPr>
        <w:t>لنطفة</w:t>
      </w:r>
      <w:r w:rsidRPr="007F5B58">
        <w:rPr>
          <w:rtl/>
        </w:rPr>
        <w:t>،</w:t>
      </w:r>
      <w:r>
        <w:rPr>
          <w:rtl/>
        </w:rPr>
        <w:t xml:space="preserve"> و</w:t>
      </w:r>
      <w:r w:rsidRPr="00FE4C18">
        <w:rPr>
          <w:rtl/>
        </w:rPr>
        <w:t>لا تستط</w:t>
      </w:r>
      <w:r>
        <w:rPr>
          <w:rtl/>
        </w:rPr>
        <w:t>ي</w:t>
      </w:r>
      <w:r w:rsidRPr="00FE4C18">
        <w:rPr>
          <w:rtl/>
        </w:rPr>
        <w:t>ع إجهاضه دون عذر مقبول.</w:t>
      </w:r>
      <w:r>
        <w:rPr>
          <w:rtl/>
        </w:rPr>
        <w:t xml:space="preserve"> و</w:t>
      </w:r>
      <w:r w:rsidRPr="00FE4C18">
        <w:rPr>
          <w:rtl/>
        </w:rPr>
        <w:t>ل</w:t>
      </w:r>
      <w:r>
        <w:rPr>
          <w:rtl/>
        </w:rPr>
        <w:t>ك</w:t>
      </w:r>
      <w:r w:rsidRPr="00FE4C18">
        <w:rPr>
          <w:rtl/>
        </w:rPr>
        <w:t>ن عل</w:t>
      </w:r>
      <w:r>
        <w:rPr>
          <w:rtl/>
        </w:rPr>
        <w:t xml:space="preserve">ى </w:t>
      </w:r>
      <w:r w:rsidRPr="00FE4C18">
        <w:rPr>
          <w:rtl/>
        </w:rPr>
        <w:t xml:space="preserve">أساس هذه </w:t>
      </w:r>
      <w:r>
        <w:rPr>
          <w:rtl/>
        </w:rPr>
        <w:t>ا</w:t>
      </w:r>
      <w:r w:rsidRPr="00FE4C18">
        <w:rPr>
          <w:rtl/>
        </w:rPr>
        <w:t>لاتفاق</w:t>
      </w:r>
      <w:r>
        <w:rPr>
          <w:rtl/>
        </w:rPr>
        <w:t>ي</w:t>
      </w:r>
      <w:r w:rsidRPr="00FE4C18">
        <w:rPr>
          <w:rtl/>
        </w:rPr>
        <w:t>ة ت</w:t>
      </w:r>
      <w:r>
        <w:rPr>
          <w:rtl/>
        </w:rPr>
        <w:t xml:space="preserve">لتزم </w:t>
      </w:r>
      <w:r w:rsidRPr="00FE4C18">
        <w:rPr>
          <w:rtl/>
        </w:rPr>
        <w:t xml:space="preserve">صاحبة </w:t>
      </w:r>
      <w:r>
        <w:rPr>
          <w:rtl/>
        </w:rPr>
        <w:t>ا</w:t>
      </w:r>
      <w:r w:rsidRPr="00FE4C18">
        <w:rPr>
          <w:rtl/>
        </w:rPr>
        <w:t xml:space="preserve">لرحم </w:t>
      </w:r>
      <w:r>
        <w:rPr>
          <w:rtl/>
        </w:rPr>
        <w:t>تـن</w:t>
      </w:r>
      <w:r w:rsidRPr="00FE4C18">
        <w:rPr>
          <w:rtl/>
        </w:rPr>
        <w:t>ف</w:t>
      </w:r>
      <w:r>
        <w:rPr>
          <w:rtl/>
        </w:rPr>
        <w:t>ي</w:t>
      </w:r>
      <w:r w:rsidRPr="00FE4C18">
        <w:rPr>
          <w:rtl/>
        </w:rPr>
        <w:t xml:space="preserve">ذ عمل </w:t>
      </w:r>
      <w:r>
        <w:rPr>
          <w:rtl/>
        </w:rPr>
        <w:t>ي</w:t>
      </w:r>
      <w:r w:rsidRPr="00FE4C18">
        <w:rPr>
          <w:rtl/>
        </w:rPr>
        <w:t xml:space="preserve">رتبط بالموضوعات </w:t>
      </w:r>
      <w:r>
        <w:rPr>
          <w:rtl/>
        </w:rPr>
        <w:t>ا</w:t>
      </w:r>
      <w:r w:rsidRPr="00FE4C18">
        <w:rPr>
          <w:rtl/>
        </w:rPr>
        <w:t>ل</w:t>
      </w:r>
      <w:r>
        <w:rPr>
          <w:rtl/>
        </w:rPr>
        <w:t>ك</w:t>
      </w:r>
      <w:r w:rsidRPr="00FE4C18">
        <w:rPr>
          <w:rtl/>
        </w:rPr>
        <w:t>ث</w:t>
      </w:r>
      <w:r>
        <w:rPr>
          <w:rtl/>
        </w:rPr>
        <w:t>ي</w:t>
      </w:r>
      <w:r w:rsidRPr="00FE4C18">
        <w:rPr>
          <w:rtl/>
        </w:rPr>
        <w:t>رة</w:t>
      </w:r>
      <w:r>
        <w:rPr>
          <w:rtl/>
        </w:rPr>
        <w:t>.</w:t>
      </w:r>
      <w:r w:rsidRPr="00FE4C18">
        <w:rPr>
          <w:rtl/>
        </w:rPr>
        <w:t xml:space="preserve"> </w:t>
      </w:r>
      <w:r>
        <w:rPr>
          <w:rtl/>
        </w:rPr>
        <w:t>و</w:t>
      </w:r>
      <w:r w:rsidRPr="00FE4C18">
        <w:rPr>
          <w:rtl/>
        </w:rPr>
        <w:t>لترب</w:t>
      </w:r>
      <w:r>
        <w:rPr>
          <w:rtl/>
        </w:rPr>
        <w:t>ي</w:t>
      </w:r>
      <w:r w:rsidRPr="00FE4C18">
        <w:rPr>
          <w:rtl/>
        </w:rPr>
        <w:t xml:space="preserve">ة </w:t>
      </w:r>
      <w:r>
        <w:rPr>
          <w:rtl/>
        </w:rPr>
        <w:t>ا</w:t>
      </w:r>
      <w:r w:rsidRPr="00FE4C18">
        <w:rPr>
          <w:rtl/>
        </w:rPr>
        <w:t>لجن</w:t>
      </w:r>
      <w:r>
        <w:rPr>
          <w:rtl/>
        </w:rPr>
        <w:t>ي</w:t>
      </w:r>
      <w:r w:rsidRPr="00FE4C18">
        <w:rPr>
          <w:rtl/>
        </w:rPr>
        <w:t xml:space="preserve">ن </w:t>
      </w:r>
      <w:r>
        <w:rPr>
          <w:rtl/>
        </w:rPr>
        <w:t>ي</w:t>
      </w:r>
      <w:r w:rsidRPr="00FE4C18">
        <w:rPr>
          <w:rtl/>
        </w:rPr>
        <w:t>جب بدا</w:t>
      </w:r>
      <w:r>
        <w:rPr>
          <w:rtl/>
        </w:rPr>
        <w:t>ي</w:t>
      </w:r>
      <w:r w:rsidRPr="00FE4C18">
        <w:rPr>
          <w:rtl/>
        </w:rPr>
        <w:t xml:space="preserve">ة أن </w:t>
      </w:r>
      <w:r>
        <w:rPr>
          <w:rtl/>
        </w:rPr>
        <w:t>ي</w:t>
      </w:r>
      <w:r w:rsidRPr="00FE4C18">
        <w:rPr>
          <w:rtl/>
        </w:rPr>
        <w:t xml:space="preserve">تم </w:t>
      </w:r>
      <w:r>
        <w:rPr>
          <w:rtl/>
        </w:rPr>
        <w:t>ا</w:t>
      </w:r>
      <w:r w:rsidRPr="00FE4C18">
        <w:rPr>
          <w:rtl/>
        </w:rPr>
        <w:t xml:space="preserve">لحمل </w:t>
      </w:r>
      <w:r>
        <w:rPr>
          <w:rtl/>
        </w:rPr>
        <w:t>ك</w:t>
      </w:r>
      <w:r w:rsidRPr="00FE4C18">
        <w:rPr>
          <w:rtl/>
        </w:rPr>
        <w:t xml:space="preserve">ما سبق في مسألة قدرة موضوع </w:t>
      </w:r>
      <w:r>
        <w:rPr>
          <w:rtl/>
        </w:rPr>
        <w:t>ا</w:t>
      </w:r>
      <w:r w:rsidRPr="00FE4C18">
        <w:rPr>
          <w:rtl/>
        </w:rPr>
        <w:t>لصفقة</w:t>
      </w:r>
      <w:r w:rsidRPr="007F5B58">
        <w:rPr>
          <w:rtl/>
        </w:rPr>
        <w:t>،</w:t>
      </w:r>
      <w:r>
        <w:rPr>
          <w:rtl/>
        </w:rPr>
        <w:t xml:space="preserve"> و</w:t>
      </w:r>
      <w:r w:rsidRPr="00FE4C18">
        <w:rPr>
          <w:rtl/>
        </w:rPr>
        <w:t>أهم ش</w:t>
      </w:r>
      <w:r>
        <w:rPr>
          <w:rtl/>
        </w:rPr>
        <w:t>يء</w:t>
      </w:r>
      <w:r w:rsidRPr="00FE4C18">
        <w:rPr>
          <w:rtl/>
        </w:rPr>
        <w:t xml:space="preserve"> في حصول </w:t>
      </w:r>
      <w:r>
        <w:rPr>
          <w:rtl/>
        </w:rPr>
        <w:t>ا</w:t>
      </w:r>
      <w:r w:rsidRPr="00FE4C18">
        <w:rPr>
          <w:rtl/>
        </w:rPr>
        <w:t xml:space="preserve">لحمل هو وضع </w:t>
      </w:r>
      <w:r>
        <w:rPr>
          <w:rtl/>
        </w:rPr>
        <w:t>ا</w:t>
      </w:r>
      <w:r w:rsidRPr="00FE4C18">
        <w:rPr>
          <w:rtl/>
        </w:rPr>
        <w:t>لخلا</w:t>
      </w:r>
      <w:r>
        <w:rPr>
          <w:rtl/>
        </w:rPr>
        <w:t>ي</w:t>
      </w:r>
      <w:r w:rsidRPr="00FE4C18">
        <w:rPr>
          <w:rtl/>
        </w:rPr>
        <w:t>ا</w:t>
      </w:r>
      <w:r>
        <w:rPr>
          <w:rtl/>
        </w:rPr>
        <w:t>.</w:t>
      </w:r>
      <w:r w:rsidRPr="00FE4C18">
        <w:rPr>
          <w:rtl/>
        </w:rPr>
        <w:t xml:space="preserve"> </w:t>
      </w:r>
    </w:p>
    <w:p w:rsidR="00391A35" w:rsidRPr="00FE4C18" w:rsidRDefault="00391A35" w:rsidP="00391A35">
      <w:pPr>
        <w:pStyle w:val="ac"/>
        <w:rPr>
          <w:rtl/>
        </w:rPr>
      </w:pPr>
      <w:r w:rsidRPr="00FE4C18">
        <w:rPr>
          <w:rtl/>
        </w:rPr>
        <w:t xml:space="preserve">فوضع </w:t>
      </w:r>
      <w:r>
        <w:rPr>
          <w:rtl/>
        </w:rPr>
        <w:t>ا</w:t>
      </w:r>
      <w:r w:rsidRPr="00FE4C18">
        <w:rPr>
          <w:rtl/>
        </w:rPr>
        <w:t>لخلا</w:t>
      </w:r>
      <w:r>
        <w:rPr>
          <w:rtl/>
        </w:rPr>
        <w:t>ي</w:t>
      </w:r>
      <w:r w:rsidRPr="00FE4C18">
        <w:rPr>
          <w:rtl/>
        </w:rPr>
        <w:t xml:space="preserve">ا دورة </w:t>
      </w:r>
      <w:r>
        <w:rPr>
          <w:rtl/>
        </w:rPr>
        <w:t>ي</w:t>
      </w:r>
      <w:r w:rsidRPr="00FE4C18">
        <w:rPr>
          <w:rtl/>
        </w:rPr>
        <w:t>جب أن تتم بصورة طب</w:t>
      </w:r>
      <w:r>
        <w:rPr>
          <w:rtl/>
        </w:rPr>
        <w:t>ي</w:t>
      </w:r>
      <w:r w:rsidRPr="00FE4C18">
        <w:rPr>
          <w:rtl/>
        </w:rPr>
        <w:t>ع</w:t>
      </w:r>
      <w:r>
        <w:rPr>
          <w:rtl/>
        </w:rPr>
        <w:t>يّ</w:t>
      </w:r>
      <w:r w:rsidRPr="00FE4C18">
        <w:rPr>
          <w:rtl/>
        </w:rPr>
        <w:t>ة</w:t>
      </w:r>
      <w:r>
        <w:rPr>
          <w:rtl/>
        </w:rPr>
        <w:t>. و</w:t>
      </w:r>
      <w:r w:rsidRPr="00FE4C18">
        <w:rPr>
          <w:rtl/>
        </w:rPr>
        <w:t>لأنَّ</w:t>
      </w:r>
      <w:r>
        <w:rPr>
          <w:rFonts w:hint="cs"/>
          <w:rtl/>
        </w:rPr>
        <w:t>ه</w:t>
      </w:r>
      <w:r w:rsidRPr="00FE4C18">
        <w:rPr>
          <w:rtl/>
        </w:rPr>
        <w:t xml:space="preserve"> في</w:t>
      </w:r>
      <w:r>
        <w:rPr>
          <w:rtl/>
        </w:rPr>
        <w:t xml:space="preserve"> </w:t>
      </w:r>
      <w:r w:rsidRPr="00FE4C18">
        <w:rPr>
          <w:rtl/>
        </w:rPr>
        <w:t xml:space="preserve">‌هذا </w:t>
      </w:r>
      <w:r>
        <w:rPr>
          <w:rtl/>
        </w:rPr>
        <w:t>ا</w:t>
      </w:r>
      <w:r w:rsidRPr="00FE4C18">
        <w:rPr>
          <w:rtl/>
        </w:rPr>
        <w:t xml:space="preserve">لأسلوب </w:t>
      </w:r>
      <w:r>
        <w:rPr>
          <w:rtl/>
        </w:rPr>
        <w:t>ي</w:t>
      </w:r>
      <w:r w:rsidRPr="00FE4C18">
        <w:rPr>
          <w:rtl/>
        </w:rPr>
        <w:t>جري ت</w:t>
      </w:r>
      <w:r>
        <w:rPr>
          <w:rtl/>
        </w:rPr>
        <w:t>ك</w:t>
      </w:r>
      <w:r w:rsidRPr="00FE4C18">
        <w:rPr>
          <w:rtl/>
        </w:rPr>
        <w:t>و</w:t>
      </w:r>
      <w:r>
        <w:rPr>
          <w:rtl/>
        </w:rPr>
        <w:t>ي</w:t>
      </w:r>
      <w:r w:rsidRPr="00FE4C18">
        <w:rPr>
          <w:rtl/>
        </w:rPr>
        <w:t xml:space="preserve">ن </w:t>
      </w:r>
      <w:r>
        <w:rPr>
          <w:rtl/>
        </w:rPr>
        <w:t>ا</w:t>
      </w:r>
      <w:r w:rsidRPr="00FE4C18">
        <w:rPr>
          <w:rtl/>
        </w:rPr>
        <w:t>لجن</w:t>
      </w:r>
      <w:r>
        <w:rPr>
          <w:rtl/>
        </w:rPr>
        <w:t>ي</w:t>
      </w:r>
      <w:r w:rsidRPr="00FE4C18">
        <w:rPr>
          <w:rtl/>
        </w:rPr>
        <w:t xml:space="preserve">ن في </w:t>
      </w:r>
      <w:r>
        <w:rPr>
          <w:rtl/>
        </w:rPr>
        <w:t>ا</w:t>
      </w:r>
      <w:r w:rsidRPr="00FE4C18">
        <w:rPr>
          <w:rtl/>
        </w:rPr>
        <w:t>لمختبر</w:t>
      </w:r>
      <w:r>
        <w:rPr>
          <w:rtl/>
        </w:rPr>
        <w:t xml:space="preserve"> </w:t>
      </w:r>
      <w:r w:rsidRPr="00FE4C18">
        <w:rPr>
          <w:rtl/>
        </w:rPr>
        <w:t>ف</w:t>
      </w:r>
      <w:r>
        <w:rPr>
          <w:rtl/>
        </w:rPr>
        <w:t>ك</w:t>
      </w:r>
      <w:r w:rsidRPr="00FE4C18">
        <w:rPr>
          <w:rtl/>
        </w:rPr>
        <w:t xml:space="preserve">ل من </w:t>
      </w:r>
      <w:r>
        <w:rPr>
          <w:rtl/>
        </w:rPr>
        <w:t>ا</w:t>
      </w:r>
      <w:r w:rsidRPr="00FE4C18">
        <w:rPr>
          <w:rtl/>
        </w:rPr>
        <w:t xml:space="preserve">لمبادرات </w:t>
      </w:r>
      <w:r>
        <w:rPr>
          <w:rtl/>
        </w:rPr>
        <w:t>ا</w:t>
      </w:r>
      <w:r w:rsidRPr="00FE4C18">
        <w:rPr>
          <w:rtl/>
        </w:rPr>
        <w:t xml:space="preserve">لتي </w:t>
      </w:r>
      <w:r>
        <w:rPr>
          <w:rtl/>
        </w:rPr>
        <w:t>ي</w:t>
      </w:r>
      <w:r w:rsidRPr="00FE4C18">
        <w:rPr>
          <w:rtl/>
        </w:rPr>
        <w:t>قام بها</w:t>
      </w:r>
      <w:r>
        <w:rPr>
          <w:rtl/>
        </w:rPr>
        <w:t xml:space="preserve"> </w:t>
      </w:r>
      <w:r w:rsidRPr="00FE4C18">
        <w:rPr>
          <w:rtl/>
        </w:rPr>
        <w:t>ذات أهم</w:t>
      </w:r>
      <w:r>
        <w:rPr>
          <w:rtl/>
        </w:rPr>
        <w:t>يّ</w:t>
      </w:r>
      <w:r w:rsidRPr="00FE4C18">
        <w:rPr>
          <w:rtl/>
        </w:rPr>
        <w:t>ة</w:t>
      </w:r>
      <w:r w:rsidRPr="007F5B58">
        <w:rPr>
          <w:rtl/>
        </w:rPr>
        <w:t>؛</w:t>
      </w:r>
      <w:r w:rsidRPr="00FE4C18">
        <w:rPr>
          <w:rtl/>
        </w:rPr>
        <w:t xml:space="preserve"> لأنَّ ت</w:t>
      </w:r>
      <w:r>
        <w:rPr>
          <w:rtl/>
        </w:rPr>
        <w:t>ك</w:t>
      </w:r>
      <w:r w:rsidRPr="00FE4C18">
        <w:rPr>
          <w:rtl/>
        </w:rPr>
        <w:t>و</w:t>
      </w:r>
      <w:r>
        <w:rPr>
          <w:rtl/>
        </w:rPr>
        <w:t>ي</w:t>
      </w:r>
      <w:r w:rsidRPr="00FE4C18">
        <w:rPr>
          <w:rtl/>
        </w:rPr>
        <w:t xml:space="preserve">ن </w:t>
      </w:r>
      <w:r>
        <w:rPr>
          <w:rtl/>
        </w:rPr>
        <w:t>ا</w:t>
      </w:r>
      <w:r w:rsidRPr="00FE4C18">
        <w:rPr>
          <w:rtl/>
        </w:rPr>
        <w:t>لجن</w:t>
      </w:r>
      <w:r>
        <w:rPr>
          <w:rtl/>
        </w:rPr>
        <w:t>ي</w:t>
      </w:r>
      <w:r w:rsidRPr="00FE4C18">
        <w:rPr>
          <w:rtl/>
        </w:rPr>
        <w:t xml:space="preserve">ن قبل وضع </w:t>
      </w:r>
      <w:r>
        <w:rPr>
          <w:rtl/>
        </w:rPr>
        <w:t>ا</w:t>
      </w:r>
      <w:r w:rsidRPr="00FE4C18">
        <w:rPr>
          <w:rtl/>
        </w:rPr>
        <w:t>لخلا</w:t>
      </w:r>
      <w:r>
        <w:rPr>
          <w:rtl/>
        </w:rPr>
        <w:t>ي</w:t>
      </w:r>
      <w:r w:rsidRPr="00FE4C18">
        <w:rPr>
          <w:rtl/>
        </w:rPr>
        <w:t xml:space="preserve">ا </w:t>
      </w:r>
      <w:r>
        <w:rPr>
          <w:rtl/>
        </w:rPr>
        <w:t>ي</w:t>
      </w:r>
      <w:r w:rsidRPr="00FE4C18">
        <w:rPr>
          <w:rtl/>
        </w:rPr>
        <w:t>تعلق بأنظمة مرتبطة</w:t>
      </w:r>
      <w:r>
        <w:rPr>
          <w:rtl/>
        </w:rPr>
        <w:t xml:space="preserve"> و</w:t>
      </w:r>
      <w:r w:rsidRPr="00FE4C18">
        <w:rPr>
          <w:rtl/>
        </w:rPr>
        <w:t xml:space="preserve">متزامنة </w:t>
      </w:r>
      <w:r>
        <w:rPr>
          <w:rtl/>
        </w:rPr>
        <w:t>ك</w:t>
      </w:r>
      <w:r w:rsidRPr="00FE4C18">
        <w:rPr>
          <w:rtl/>
        </w:rPr>
        <w:t>ث</w:t>
      </w:r>
      <w:r>
        <w:rPr>
          <w:rtl/>
        </w:rPr>
        <w:t>ي</w:t>
      </w:r>
      <w:r w:rsidRPr="00FE4C18">
        <w:rPr>
          <w:rtl/>
        </w:rPr>
        <w:t>رة</w:t>
      </w:r>
      <w:r w:rsidRPr="007F5B58">
        <w:rPr>
          <w:rtl/>
        </w:rPr>
        <w:t>،</w:t>
      </w:r>
      <w:r w:rsidRPr="00FE4C18">
        <w:rPr>
          <w:rtl/>
        </w:rPr>
        <w:t xml:space="preserve"> ف</w:t>
      </w:r>
      <w:r>
        <w:rPr>
          <w:rtl/>
        </w:rPr>
        <w:t>ي</w:t>
      </w:r>
      <w:r w:rsidRPr="00FE4C18">
        <w:rPr>
          <w:rtl/>
        </w:rPr>
        <w:t xml:space="preserve">جب </w:t>
      </w:r>
      <w:r>
        <w:rPr>
          <w:rtl/>
        </w:rPr>
        <w:t>تـن</w:t>
      </w:r>
      <w:r w:rsidRPr="00FE4C18">
        <w:rPr>
          <w:rtl/>
        </w:rPr>
        <w:t>ش</w:t>
      </w:r>
      <w:r>
        <w:rPr>
          <w:rtl/>
        </w:rPr>
        <w:t>ي</w:t>
      </w:r>
      <w:r w:rsidRPr="00FE4C18">
        <w:rPr>
          <w:rtl/>
        </w:rPr>
        <w:t xml:space="preserve">ط </w:t>
      </w:r>
      <w:r>
        <w:rPr>
          <w:rtl/>
        </w:rPr>
        <w:t>ك</w:t>
      </w:r>
      <w:r w:rsidRPr="00FE4C18">
        <w:rPr>
          <w:rtl/>
        </w:rPr>
        <w:t xml:space="preserve">ل منها في </w:t>
      </w:r>
      <w:r>
        <w:rPr>
          <w:rtl/>
        </w:rPr>
        <w:t>ا</w:t>
      </w:r>
      <w:r w:rsidRPr="00FE4C18">
        <w:rPr>
          <w:rtl/>
        </w:rPr>
        <w:t xml:space="preserve">لزمن </w:t>
      </w:r>
      <w:r>
        <w:rPr>
          <w:rtl/>
        </w:rPr>
        <w:t>ا</w:t>
      </w:r>
      <w:r w:rsidRPr="00FE4C18">
        <w:rPr>
          <w:rtl/>
        </w:rPr>
        <w:t>لمناسب عند ت</w:t>
      </w:r>
      <w:r>
        <w:rPr>
          <w:rtl/>
        </w:rPr>
        <w:t>ك</w:t>
      </w:r>
      <w:r w:rsidRPr="00FE4C18">
        <w:rPr>
          <w:rtl/>
        </w:rPr>
        <w:t>و</w:t>
      </w:r>
      <w:r>
        <w:rPr>
          <w:rtl/>
        </w:rPr>
        <w:t>ي</w:t>
      </w:r>
      <w:r w:rsidRPr="00FE4C18">
        <w:rPr>
          <w:rtl/>
        </w:rPr>
        <w:t xml:space="preserve">ن </w:t>
      </w:r>
      <w:r>
        <w:rPr>
          <w:rtl/>
        </w:rPr>
        <w:t>ا</w:t>
      </w:r>
      <w:r w:rsidRPr="00FE4C18">
        <w:rPr>
          <w:rtl/>
        </w:rPr>
        <w:t>لجن</w:t>
      </w:r>
      <w:r>
        <w:rPr>
          <w:rtl/>
        </w:rPr>
        <w:t>ي</w:t>
      </w:r>
      <w:r w:rsidRPr="00FE4C18">
        <w:rPr>
          <w:rtl/>
        </w:rPr>
        <w:t>ن</w:t>
      </w:r>
      <w:r w:rsidRPr="007F5B58">
        <w:rPr>
          <w:rtl/>
        </w:rPr>
        <w:t>،</w:t>
      </w:r>
      <w:r>
        <w:rPr>
          <w:rtl/>
        </w:rPr>
        <w:t xml:space="preserve"> و</w:t>
      </w:r>
      <w:r w:rsidRPr="00FE4C18">
        <w:rPr>
          <w:rtl/>
        </w:rPr>
        <w:t xml:space="preserve">تبدأ دورات من </w:t>
      </w:r>
      <w:r>
        <w:rPr>
          <w:rtl/>
        </w:rPr>
        <w:t>ا</w:t>
      </w:r>
      <w:r w:rsidRPr="00FE4C18">
        <w:rPr>
          <w:rtl/>
        </w:rPr>
        <w:t xml:space="preserve">لموضوعات </w:t>
      </w:r>
      <w:r>
        <w:rPr>
          <w:rtl/>
        </w:rPr>
        <w:t>ا</w:t>
      </w:r>
      <w:r w:rsidRPr="00FE4C18">
        <w:rPr>
          <w:rtl/>
        </w:rPr>
        <w:t xml:space="preserve">لمبرمجة </w:t>
      </w:r>
      <w:r>
        <w:rPr>
          <w:rtl/>
        </w:rPr>
        <w:t>ا</w:t>
      </w:r>
      <w:r w:rsidRPr="00FE4C18">
        <w:rPr>
          <w:rtl/>
        </w:rPr>
        <w:t>لدق</w:t>
      </w:r>
      <w:r>
        <w:rPr>
          <w:rtl/>
        </w:rPr>
        <w:t>ي</w:t>
      </w:r>
      <w:r w:rsidRPr="00FE4C18">
        <w:rPr>
          <w:rtl/>
        </w:rPr>
        <w:t>قة في غمتوج</w:t>
      </w:r>
      <w:r>
        <w:rPr>
          <w:rtl/>
        </w:rPr>
        <w:t>ي</w:t>
      </w:r>
      <w:r w:rsidRPr="00FE4C18">
        <w:rPr>
          <w:rtl/>
        </w:rPr>
        <w:t>نز</w:t>
      </w:r>
      <w:r w:rsidRPr="007F5B58">
        <w:rPr>
          <w:rtl/>
        </w:rPr>
        <w:t>،</w:t>
      </w:r>
      <w:r>
        <w:rPr>
          <w:rtl/>
        </w:rPr>
        <w:t xml:space="preserve"> و</w:t>
      </w:r>
      <w:r w:rsidRPr="00FE4C18">
        <w:rPr>
          <w:rtl/>
        </w:rPr>
        <w:t>تستمر حت</w:t>
      </w:r>
      <w:r>
        <w:rPr>
          <w:rtl/>
        </w:rPr>
        <w:t>ى ا</w:t>
      </w:r>
      <w:r w:rsidRPr="00FE4C18">
        <w:rPr>
          <w:rtl/>
        </w:rPr>
        <w:t>لولادة</w:t>
      </w:r>
      <w:r>
        <w:rPr>
          <w:rtl/>
        </w:rPr>
        <w:t>.</w:t>
      </w:r>
      <w:r w:rsidRPr="00FE4C18">
        <w:rPr>
          <w:rtl/>
        </w:rPr>
        <w:t xml:space="preserve"> </w:t>
      </w:r>
    </w:p>
    <w:p w:rsidR="00391A35" w:rsidRPr="00FE4C18" w:rsidRDefault="00391A35" w:rsidP="00391A35">
      <w:pPr>
        <w:pStyle w:val="ac"/>
        <w:rPr>
          <w:rtl/>
        </w:rPr>
      </w:pPr>
      <w:r>
        <w:rPr>
          <w:rtl/>
        </w:rPr>
        <w:t xml:space="preserve">إن </w:t>
      </w:r>
      <w:r w:rsidRPr="00FE4C18">
        <w:rPr>
          <w:rtl/>
        </w:rPr>
        <w:t>ت</w:t>
      </w:r>
      <w:r>
        <w:rPr>
          <w:rtl/>
        </w:rPr>
        <w:t>ك</w:t>
      </w:r>
      <w:r w:rsidRPr="00FE4C18">
        <w:rPr>
          <w:rtl/>
        </w:rPr>
        <w:t xml:space="preserve">ون </w:t>
      </w:r>
      <w:r>
        <w:rPr>
          <w:rtl/>
        </w:rPr>
        <w:t>ك</w:t>
      </w:r>
      <w:r w:rsidRPr="00FE4C18">
        <w:rPr>
          <w:rtl/>
        </w:rPr>
        <w:t>لّ إنسان جد</w:t>
      </w:r>
      <w:r>
        <w:rPr>
          <w:rtl/>
        </w:rPr>
        <w:t>ي</w:t>
      </w:r>
      <w:r w:rsidRPr="00FE4C18">
        <w:rPr>
          <w:rtl/>
        </w:rPr>
        <w:t xml:space="preserve">د </w:t>
      </w:r>
      <w:r>
        <w:rPr>
          <w:rtl/>
        </w:rPr>
        <w:t>ي</w:t>
      </w:r>
      <w:r w:rsidRPr="00FE4C18">
        <w:rPr>
          <w:rtl/>
        </w:rPr>
        <w:t>حتاج لدورة طو</w:t>
      </w:r>
      <w:r>
        <w:rPr>
          <w:rtl/>
        </w:rPr>
        <w:t>ي</w:t>
      </w:r>
      <w:r w:rsidRPr="00FE4C18">
        <w:rPr>
          <w:rtl/>
        </w:rPr>
        <w:t>لة</w:t>
      </w:r>
      <w:r>
        <w:rPr>
          <w:rtl/>
        </w:rPr>
        <w:t xml:space="preserve"> و</w:t>
      </w:r>
      <w:r w:rsidRPr="00FE4C18">
        <w:rPr>
          <w:rtl/>
        </w:rPr>
        <w:t>معقدة</w:t>
      </w:r>
      <w:r w:rsidRPr="007F5B58">
        <w:rPr>
          <w:rtl/>
        </w:rPr>
        <w:t>،</w:t>
      </w:r>
      <w:r>
        <w:rPr>
          <w:rtl/>
        </w:rPr>
        <w:t xml:space="preserve"> وي</w:t>
      </w:r>
      <w:r w:rsidRPr="00FE4C18">
        <w:rPr>
          <w:rtl/>
        </w:rPr>
        <w:t>م</w:t>
      </w:r>
      <w:r>
        <w:rPr>
          <w:rtl/>
        </w:rPr>
        <w:t>ك</w:t>
      </w:r>
      <w:r w:rsidRPr="00FE4C18">
        <w:rPr>
          <w:rtl/>
        </w:rPr>
        <w:t>ن إخفاقها في أيّ</w:t>
      </w:r>
      <w:r>
        <w:rPr>
          <w:rtl/>
        </w:rPr>
        <w:t>ة</w:t>
      </w:r>
      <w:r w:rsidRPr="00FE4C18">
        <w:rPr>
          <w:rtl/>
        </w:rPr>
        <w:t xml:space="preserve"> مرحلة</w:t>
      </w:r>
      <w:r>
        <w:rPr>
          <w:rtl/>
        </w:rPr>
        <w:t>. و</w:t>
      </w:r>
      <w:r w:rsidRPr="00FE4C18">
        <w:rPr>
          <w:rtl/>
        </w:rPr>
        <w:t xml:space="preserve">تتم </w:t>
      </w:r>
      <w:r>
        <w:rPr>
          <w:rtl/>
        </w:rPr>
        <w:t>ك</w:t>
      </w:r>
      <w:r w:rsidRPr="00FE4C18">
        <w:rPr>
          <w:rtl/>
        </w:rPr>
        <w:t>لّ مرحلة بصورة صح</w:t>
      </w:r>
      <w:r>
        <w:rPr>
          <w:rtl/>
        </w:rPr>
        <w:t>ي</w:t>
      </w:r>
      <w:r w:rsidRPr="00FE4C18">
        <w:rPr>
          <w:rtl/>
        </w:rPr>
        <w:t>حة عندما ت</w:t>
      </w:r>
      <w:r>
        <w:rPr>
          <w:rtl/>
        </w:rPr>
        <w:t>ك</w:t>
      </w:r>
      <w:r w:rsidRPr="00FE4C18">
        <w:rPr>
          <w:rtl/>
        </w:rPr>
        <w:t>مل جم</w:t>
      </w:r>
      <w:r>
        <w:rPr>
          <w:rtl/>
        </w:rPr>
        <w:t>ي</w:t>
      </w:r>
      <w:r w:rsidRPr="00FE4C18">
        <w:rPr>
          <w:rtl/>
        </w:rPr>
        <w:t xml:space="preserve">ع </w:t>
      </w:r>
      <w:r>
        <w:rPr>
          <w:rtl/>
        </w:rPr>
        <w:t>ا</w:t>
      </w:r>
      <w:r w:rsidRPr="00FE4C18">
        <w:rPr>
          <w:rtl/>
        </w:rPr>
        <w:t xml:space="preserve">لمراحل </w:t>
      </w:r>
      <w:r>
        <w:rPr>
          <w:rtl/>
        </w:rPr>
        <w:t>ا</w:t>
      </w:r>
      <w:r w:rsidRPr="00FE4C18">
        <w:rPr>
          <w:rtl/>
        </w:rPr>
        <w:t>لسابقة بصورة صح</w:t>
      </w:r>
      <w:r>
        <w:rPr>
          <w:rtl/>
        </w:rPr>
        <w:t>ي</w:t>
      </w:r>
      <w:r w:rsidRPr="00FE4C18">
        <w:rPr>
          <w:rtl/>
        </w:rPr>
        <w:t>حة</w:t>
      </w:r>
      <w:r w:rsidRPr="007F5B58">
        <w:rPr>
          <w:rtl/>
        </w:rPr>
        <w:t>،</w:t>
      </w:r>
      <w:r w:rsidRPr="00FE4C18">
        <w:rPr>
          <w:rtl/>
        </w:rPr>
        <w:t xml:space="preserve"> فعل</w:t>
      </w:r>
      <w:r>
        <w:rPr>
          <w:rtl/>
        </w:rPr>
        <w:t xml:space="preserve">ى </w:t>
      </w:r>
      <w:r w:rsidRPr="00FE4C18">
        <w:rPr>
          <w:rtl/>
        </w:rPr>
        <w:t xml:space="preserve">هذا </w:t>
      </w:r>
      <w:r>
        <w:rPr>
          <w:rtl/>
        </w:rPr>
        <w:t>ك</w:t>
      </w:r>
      <w:r w:rsidRPr="00FE4C18">
        <w:rPr>
          <w:rtl/>
        </w:rPr>
        <w:t xml:space="preserve">لّ دورة في هذا </w:t>
      </w:r>
      <w:r>
        <w:rPr>
          <w:rtl/>
        </w:rPr>
        <w:t>ا</w:t>
      </w:r>
      <w:r w:rsidRPr="00FE4C18">
        <w:rPr>
          <w:rtl/>
        </w:rPr>
        <w:t>لنظام تؤدّي دوراً أساس</w:t>
      </w:r>
      <w:r>
        <w:rPr>
          <w:rtl/>
        </w:rPr>
        <w:t>ي</w:t>
      </w:r>
      <w:r w:rsidRPr="00FE4C18">
        <w:rPr>
          <w:rtl/>
        </w:rPr>
        <w:t>اً</w:t>
      </w:r>
      <w:r w:rsidRPr="00815C4C">
        <w:rPr>
          <w:rFonts w:cs="Taher"/>
          <w:vertAlign w:val="superscript"/>
          <w:rtl/>
        </w:rPr>
        <w:t>(</w:t>
      </w:r>
      <w:r w:rsidRPr="00815C4C">
        <w:rPr>
          <w:rFonts w:cs="Taher"/>
          <w:vertAlign w:val="superscript"/>
          <w:rtl/>
        </w:rPr>
        <w:footnoteReference w:id="910"/>
      </w:r>
      <w:r w:rsidRPr="00815C4C">
        <w:rPr>
          <w:rFonts w:cs="Taher"/>
          <w:vertAlign w:val="superscript"/>
          <w:rtl/>
        </w:rPr>
        <w:t>)</w:t>
      </w:r>
      <w:r>
        <w:rPr>
          <w:rtl/>
        </w:rPr>
        <w:t>.</w:t>
      </w:r>
      <w:r w:rsidRPr="00FE4C18">
        <w:rPr>
          <w:rtl/>
        </w:rPr>
        <w:t xml:space="preserve"> </w:t>
      </w:r>
    </w:p>
    <w:p w:rsidR="00391A35" w:rsidRPr="00FE4C18" w:rsidRDefault="00391A35" w:rsidP="00391A35">
      <w:pPr>
        <w:pStyle w:val="ac"/>
        <w:rPr>
          <w:rtl/>
        </w:rPr>
      </w:pPr>
      <w:r w:rsidRPr="00FE4C18">
        <w:rPr>
          <w:rtl/>
        </w:rPr>
        <w:t xml:space="preserve">باستثناء مسألة وضع </w:t>
      </w:r>
      <w:r>
        <w:rPr>
          <w:rtl/>
        </w:rPr>
        <w:t>ا</w:t>
      </w:r>
      <w:r w:rsidRPr="00FE4C18">
        <w:rPr>
          <w:rtl/>
        </w:rPr>
        <w:t>لخلا</w:t>
      </w:r>
      <w:r>
        <w:rPr>
          <w:rtl/>
        </w:rPr>
        <w:t>ي</w:t>
      </w:r>
      <w:r w:rsidRPr="00FE4C18">
        <w:rPr>
          <w:rtl/>
        </w:rPr>
        <w:t>ا ف</w:t>
      </w:r>
      <w:r>
        <w:rPr>
          <w:rtl/>
        </w:rPr>
        <w:t>إ</w:t>
      </w:r>
      <w:r w:rsidRPr="00FE4C18">
        <w:rPr>
          <w:rtl/>
        </w:rPr>
        <w:t xml:space="preserve">نَّ إجهاض </w:t>
      </w:r>
      <w:r>
        <w:rPr>
          <w:rtl/>
        </w:rPr>
        <w:t>ا</w:t>
      </w:r>
      <w:r w:rsidRPr="00FE4C18">
        <w:rPr>
          <w:rtl/>
        </w:rPr>
        <w:t>لجن</w:t>
      </w:r>
      <w:r>
        <w:rPr>
          <w:rtl/>
        </w:rPr>
        <w:t>ي</w:t>
      </w:r>
      <w:r w:rsidRPr="00FE4C18">
        <w:rPr>
          <w:rtl/>
        </w:rPr>
        <w:t>ن تلقائ</w:t>
      </w:r>
      <w:r>
        <w:rPr>
          <w:rtl/>
        </w:rPr>
        <w:t>ي</w:t>
      </w:r>
      <w:r w:rsidRPr="00FE4C18">
        <w:rPr>
          <w:rtl/>
        </w:rPr>
        <w:t>اً مش</w:t>
      </w:r>
      <w:r>
        <w:rPr>
          <w:rtl/>
        </w:rPr>
        <w:t>ك</w:t>
      </w:r>
      <w:r w:rsidRPr="00FE4C18">
        <w:rPr>
          <w:rtl/>
        </w:rPr>
        <w:t xml:space="preserve">لة </w:t>
      </w:r>
      <w:r>
        <w:rPr>
          <w:rtl/>
        </w:rPr>
        <w:t>ي</w:t>
      </w:r>
      <w:r w:rsidRPr="00FE4C18">
        <w:rPr>
          <w:rtl/>
        </w:rPr>
        <w:t xml:space="preserve">واجهها </w:t>
      </w:r>
      <w:r>
        <w:rPr>
          <w:rtl/>
        </w:rPr>
        <w:t>ا</w:t>
      </w:r>
      <w:r w:rsidRPr="00FE4C18">
        <w:rPr>
          <w:rtl/>
        </w:rPr>
        <w:t xml:space="preserve">لتزام صاحبة </w:t>
      </w:r>
      <w:r>
        <w:rPr>
          <w:rtl/>
        </w:rPr>
        <w:t>ا</w:t>
      </w:r>
      <w:r w:rsidRPr="00FE4C18">
        <w:rPr>
          <w:rtl/>
        </w:rPr>
        <w:t>لرحم</w:t>
      </w:r>
      <w:r>
        <w:rPr>
          <w:rtl/>
        </w:rPr>
        <w:t>.</w:t>
      </w:r>
      <w:r w:rsidRPr="00FE4C18">
        <w:rPr>
          <w:rtl/>
        </w:rPr>
        <w:t xml:space="preserve"> </w:t>
      </w:r>
    </w:p>
    <w:p w:rsidR="00391A35" w:rsidRPr="00FE4C18" w:rsidRDefault="00391A35" w:rsidP="00391A35">
      <w:pPr>
        <w:pStyle w:val="ac"/>
        <w:rPr>
          <w:rtl/>
        </w:rPr>
      </w:pPr>
      <w:r w:rsidRPr="00FE4C18">
        <w:rPr>
          <w:rtl/>
        </w:rPr>
        <w:t xml:space="preserve">و </w:t>
      </w:r>
      <w:r>
        <w:rPr>
          <w:rtl/>
        </w:rPr>
        <w:t>ك</w:t>
      </w:r>
      <w:r w:rsidRPr="00FE4C18">
        <w:rPr>
          <w:rtl/>
        </w:rPr>
        <w:t>ذل</w:t>
      </w:r>
      <w:r>
        <w:rPr>
          <w:rtl/>
        </w:rPr>
        <w:t>ك</w:t>
      </w:r>
      <w:r w:rsidRPr="00FE4C18">
        <w:rPr>
          <w:rtl/>
        </w:rPr>
        <w:t xml:space="preserve"> عمر </w:t>
      </w:r>
      <w:r w:rsidRPr="00481691">
        <w:rPr>
          <w:rFonts w:cs="Badr"/>
          <w:sz w:val="27"/>
          <w:rtl/>
        </w:rPr>
        <w:t>الإسپرم</w:t>
      </w:r>
      <w:r>
        <w:rPr>
          <w:rtl/>
        </w:rPr>
        <w:t xml:space="preserve"> وا</w:t>
      </w:r>
      <w:r w:rsidRPr="00FE4C18">
        <w:rPr>
          <w:rtl/>
        </w:rPr>
        <w:t>لبو</w:t>
      </w:r>
      <w:r>
        <w:rPr>
          <w:rtl/>
        </w:rPr>
        <w:t>ي</w:t>
      </w:r>
      <w:r w:rsidRPr="00FE4C18">
        <w:rPr>
          <w:rtl/>
        </w:rPr>
        <w:t xml:space="preserve">ضة له دور مباشر في </w:t>
      </w:r>
      <w:r>
        <w:rPr>
          <w:rtl/>
        </w:rPr>
        <w:t>ا</w:t>
      </w:r>
      <w:r w:rsidRPr="00FE4C18">
        <w:rPr>
          <w:rtl/>
        </w:rPr>
        <w:t>ل</w:t>
      </w:r>
      <w:r>
        <w:rPr>
          <w:rtl/>
        </w:rPr>
        <w:t>إ</w:t>
      </w:r>
      <w:r w:rsidRPr="00FE4C18">
        <w:rPr>
          <w:rtl/>
        </w:rPr>
        <w:t xml:space="preserve">جهاض </w:t>
      </w:r>
      <w:r>
        <w:rPr>
          <w:rtl/>
        </w:rPr>
        <w:t>ا</w:t>
      </w:r>
      <w:r w:rsidRPr="00FE4C18">
        <w:rPr>
          <w:rtl/>
        </w:rPr>
        <w:t>لتلقائي</w:t>
      </w:r>
      <w:r>
        <w:rPr>
          <w:rtl/>
        </w:rPr>
        <w:t>. وا</w:t>
      </w:r>
      <w:r w:rsidRPr="00FE4C18">
        <w:rPr>
          <w:rtl/>
        </w:rPr>
        <w:t xml:space="preserve">لظروف بالحد </w:t>
      </w:r>
      <w:r>
        <w:rPr>
          <w:rtl/>
        </w:rPr>
        <w:t>ا</w:t>
      </w:r>
      <w:r w:rsidRPr="00FE4C18">
        <w:rPr>
          <w:rtl/>
        </w:rPr>
        <w:t>لأدن</w:t>
      </w:r>
      <w:r>
        <w:rPr>
          <w:rtl/>
        </w:rPr>
        <w:t xml:space="preserve">ى </w:t>
      </w:r>
      <w:r w:rsidRPr="00FE4C18">
        <w:rPr>
          <w:rtl/>
        </w:rPr>
        <w:t xml:space="preserve">من </w:t>
      </w:r>
      <w:r>
        <w:rPr>
          <w:rtl/>
        </w:rPr>
        <w:t>ا</w:t>
      </w:r>
      <w:r w:rsidRPr="00FE4C18">
        <w:rPr>
          <w:rtl/>
        </w:rPr>
        <w:t xml:space="preserve">لحالة </w:t>
      </w:r>
      <w:r>
        <w:rPr>
          <w:rtl/>
        </w:rPr>
        <w:t>ا</w:t>
      </w:r>
      <w:r w:rsidRPr="00FE4C18">
        <w:rPr>
          <w:rtl/>
        </w:rPr>
        <w:t xml:space="preserve">لمطلوبة في ساحة </w:t>
      </w:r>
      <w:r>
        <w:rPr>
          <w:rtl/>
        </w:rPr>
        <w:t>ا</w:t>
      </w:r>
      <w:r w:rsidRPr="00FE4C18">
        <w:rPr>
          <w:rtl/>
        </w:rPr>
        <w:t>لرحم ذات أهم</w:t>
      </w:r>
      <w:r>
        <w:rPr>
          <w:rtl/>
        </w:rPr>
        <w:t>يّ</w:t>
      </w:r>
      <w:r w:rsidRPr="00FE4C18">
        <w:rPr>
          <w:rtl/>
        </w:rPr>
        <w:t xml:space="preserve">ة في </w:t>
      </w:r>
      <w:r>
        <w:rPr>
          <w:rtl/>
        </w:rPr>
        <w:t>ا</w:t>
      </w:r>
      <w:r w:rsidRPr="00FE4C18">
        <w:rPr>
          <w:rtl/>
        </w:rPr>
        <w:t xml:space="preserve">لمراحل </w:t>
      </w:r>
      <w:r>
        <w:rPr>
          <w:rtl/>
        </w:rPr>
        <w:t>ا</w:t>
      </w:r>
      <w:r w:rsidRPr="00FE4C18">
        <w:rPr>
          <w:rtl/>
        </w:rPr>
        <w:t>لأول</w:t>
      </w:r>
      <w:r>
        <w:rPr>
          <w:rtl/>
        </w:rPr>
        <w:t xml:space="preserve">ى </w:t>
      </w:r>
      <w:r w:rsidRPr="00FE4C18">
        <w:rPr>
          <w:rtl/>
        </w:rPr>
        <w:t xml:space="preserve">من وضع </w:t>
      </w:r>
      <w:r>
        <w:rPr>
          <w:rtl/>
        </w:rPr>
        <w:t>ا</w:t>
      </w:r>
      <w:r w:rsidRPr="00FE4C18">
        <w:rPr>
          <w:rtl/>
        </w:rPr>
        <w:t>لخلا</w:t>
      </w:r>
      <w:r>
        <w:rPr>
          <w:rtl/>
        </w:rPr>
        <w:t>ي</w:t>
      </w:r>
      <w:r w:rsidRPr="00FE4C18">
        <w:rPr>
          <w:rtl/>
        </w:rPr>
        <w:t>ا</w:t>
      </w:r>
      <w:r>
        <w:rPr>
          <w:rtl/>
        </w:rPr>
        <w:t xml:space="preserve"> و</w:t>
      </w:r>
      <w:r w:rsidRPr="00FE4C18">
        <w:rPr>
          <w:rtl/>
        </w:rPr>
        <w:t>تغذ</w:t>
      </w:r>
      <w:r>
        <w:rPr>
          <w:rtl/>
        </w:rPr>
        <w:t>ي</w:t>
      </w:r>
      <w:r w:rsidRPr="00FE4C18">
        <w:rPr>
          <w:rtl/>
        </w:rPr>
        <w:t xml:space="preserve">ة </w:t>
      </w:r>
      <w:r>
        <w:rPr>
          <w:rtl/>
        </w:rPr>
        <w:t>ا</w:t>
      </w:r>
      <w:r w:rsidRPr="00FE4C18">
        <w:rPr>
          <w:rtl/>
        </w:rPr>
        <w:t>لجن</w:t>
      </w:r>
      <w:r>
        <w:rPr>
          <w:rtl/>
        </w:rPr>
        <w:t>ي</w:t>
      </w:r>
      <w:r w:rsidRPr="00FE4C18">
        <w:rPr>
          <w:rtl/>
        </w:rPr>
        <w:t>ن</w:t>
      </w:r>
      <w:r>
        <w:rPr>
          <w:rtl/>
        </w:rPr>
        <w:t xml:space="preserve"> و</w:t>
      </w:r>
      <w:r w:rsidRPr="00FE4C18">
        <w:rPr>
          <w:rtl/>
        </w:rPr>
        <w:t>تستط</w:t>
      </w:r>
      <w:r>
        <w:rPr>
          <w:rtl/>
        </w:rPr>
        <w:t>ي</w:t>
      </w:r>
      <w:r w:rsidRPr="00FE4C18">
        <w:rPr>
          <w:rtl/>
        </w:rPr>
        <w:t>ع هلا</w:t>
      </w:r>
      <w:r>
        <w:rPr>
          <w:rtl/>
        </w:rPr>
        <w:t>ك</w:t>
      </w:r>
      <w:r w:rsidRPr="00FE4C18">
        <w:rPr>
          <w:rtl/>
        </w:rPr>
        <w:t xml:space="preserve"> </w:t>
      </w:r>
      <w:r>
        <w:rPr>
          <w:rtl/>
        </w:rPr>
        <w:t>ا</w:t>
      </w:r>
      <w:r w:rsidRPr="00FE4C18">
        <w:rPr>
          <w:rtl/>
        </w:rPr>
        <w:t>لجن</w:t>
      </w:r>
      <w:r>
        <w:rPr>
          <w:rtl/>
        </w:rPr>
        <w:t>ي</w:t>
      </w:r>
      <w:r w:rsidRPr="00FE4C18">
        <w:rPr>
          <w:rtl/>
        </w:rPr>
        <w:t>ن</w:t>
      </w:r>
      <w:r w:rsidRPr="00815C4C">
        <w:rPr>
          <w:rFonts w:cs="Taher"/>
          <w:vertAlign w:val="superscript"/>
          <w:rtl/>
        </w:rPr>
        <w:t>(</w:t>
      </w:r>
      <w:r w:rsidRPr="00815C4C">
        <w:rPr>
          <w:rFonts w:cs="Taher"/>
          <w:vertAlign w:val="superscript"/>
          <w:rtl/>
        </w:rPr>
        <w:footnoteReference w:id="911"/>
      </w:r>
      <w:r w:rsidRPr="00815C4C">
        <w:rPr>
          <w:rFonts w:cs="Taher"/>
          <w:vertAlign w:val="superscript"/>
          <w:rtl/>
        </w:rPr>
        <w:t>)</w:t>
      </w:r>
      <w:r>
        <w:rPr>
          <w:rtl/>
        </w:rPr>
        <w:t>.</w:t>
      </w:r>
    </w:p>
    <w:p w:rsidR="00391A35" w:rsidRPr="00FE4C18" w:rsidRDefault="00391A35" w:rsidP="00391A35">
      <w:pPr>
        <w:pStyle w:val="ac"/>
        <w:rPr>
          <w:rtl/>
        </w:rPr>
      </w:pPr>
      <w:r>
        <w:rPr>
          <w:rtl/>
        </w:rPr>
        <w:lastRenderedPageBreak/>
        <w:t xml:space="preserve">وعلى </w:t>
      </w:r>
      <w:r w:rsidRPr="00FE4C18">
        <w:rPr>
          <w:rtl/>
        </w:rPr>
        <w:t xml:space="preserve">هذا </w:t>
      </w:r>
      <w:r>
        <w:rPr>
          <w:rtl/>
        </w:rPr>
        <w:t xml:space="preserve">الأساس </w:t>
      </w:r>
      <w:r w:rsidRPr="00FE4C18">
        <w:rPr>
          <w:rtl/>
        </w:rPr>
        <w:t xml:space="preserve">تلتزم صاحبة </w:t>
      </w:r>
      <w:r>
        <w:rPr>
          <w:rtl/>
        </w:rPr>
        <w:t>ا</w:t>
      </w:r>
      <w:r w:rsidRPr="00FE4C18">
        <w:rPr>
          <w:rtl/>
        </w:rPr>
        <w:t xml:space="preserve">لرحم إزاء التزام </w:t>
      </w:r>
      <w:r>
        <w:rPr>
          <w:rtl/>
        </w:rPr>
        <w:t>ا</w:t>
      </w:r>
      <w:r w:rsidRPr="00FE4C18">
        <w:rPr>
          <w:rtl/>
        </w:rPr>
        <w:t>لزوج</w:t>
      </w:r>
      <w:r>
        <w:rPr>
          <w:rtl/>
        </w:rPr>
        <w:t>ي</w:t>
      </w:r>
      <w:r w:rsidRPr="00FE4C18">
        <w:rPr>
          <w:rtl/>
        </w:rPr>
        <w:t xml:space="preserve">ن </w:t>
      </w:r>
      <w:r>
        <w:rPr>
          <w:rtl/>
        </w:rPr>
        <w:t>ا</w:t>
      </w:r>
      <w:r w:rsidRPr="00FE4C18">
        <w:rPr>
          <w:rtl/>
        </w:rPr>
        <w:t>لمالي ب</w:t>
      </w:r>
      <w:r>
        <w:rPr>
          <w:rtl/>
        </w:rPr>
        <w:t>تـن</w:t>
      </w:r>
      <w:r w:rsidRPr="00FE4C18">
        <w:rPr>
          <w:rtl/>
        </w:rPr>
        <w:t>ف</w:t>
      </w:r>
      <w:r>
        <w:rPr>
          <w:rtl/>
        </w:rPr>
        <w:t>ي</w:t>
      </w:r>
      <w:r w:rsidRPr="00FE4C18">
        <w:rPr>
          <w:rtl/>
        </w:rPr>
        <w:t xml:space="preserve">ذ </w:t>
      </w:r>
      <w:r>
        <w:rPr>
          <w:rtl/>
        </w:rPr>
        <w:t>أ</w:t>
      </w:r>
      <w:r w:rsidRPr="00FE4C18">
        <w:rPr>
          <w:rtl/>
        </w:rPr>
        <w:t>عمال خارجة عن قدرتها</w:t>
      </w:r>
      <w:r w:rsidRPr="007F5B58">
        <w:rPr>
          <w:rtl/>
        </w:rPr>
        <w:t>،</w:t>
      </w:r>
      <w:r w:rsidRPr="00FE4C18">
        <w:rPr>
          <w:rtl/>
        </w:rPr>
        <w:t xml:space="preserve"> بل </w:t>
      </w:r>
      <w:r>
        <w:rPr>
          <w:rtl/>
        </w:rPr>
        <w:t>ت</w:t>
      </w:r>
      <w:r w:rsidRPr="00FE4C18">
        <w:rPr>
          <w:rtl/>
        </w:rPr>
        <w:t>رتبط بمبادرات</w:t>
      </w:r>
      <w:r>
        <w:rPr>
          <w:rtl/>
        </w:rPr>
        <w:t xml:space="preserve"> و</w:t>
      </w:r>
      <w:r w:rsidRPr="00FE4C18">
        <w:rPr>
          <w:rtl/>
        </w:rPr>
        <w:t>موضوعات مختلفة بإم</w:t>
      </w:r>
      <w:r>
        <w:rPr>
          <w:rtl/>
        </w:rPr>
        <w:t>ك</w:t>
      </w:r>
      <w:r w:rsidRPr="00FE4C18">
        <w:rPr>
          <w:rtl/>
        </w:rPr>
        <w:t xml:space="preserve">ان </w:t>
      </w:r>
      <w:r>
        <w:rPr>
          <w:rtl/>
        </w:rPr>
        <w:t>ك</w:t>
      </w:r>
      <w:r w:rsidRPr="00FE4C18">
        <w:rPr>
          <w:rtl/>
        </w:rPr>
        <w:t xml:space="preserve">لّ منها </w:t>
      </w:r>
      <w:r>
        <w:rPr>
          <w:rtl/>
        </w:rPr>
        <w:t>ا</w:t>
      </w:r>
      <w:r w:rsidRPr="00FE4C18">
        <w:rPr>
          <w:rtl/>
        </w:rPr>
        <w:t xml:space="preserve">لمنع من </w:t>
      </w:r>
      <w:r>
        <w:rPr>
          <w:rtl/>
        </w:rPr>
        <w:t>تـن</w:t>
      </w:r>
      <w:r w:rsidRPr="00FE4C18">
        <w:rPr>
          <w:rtl/>
        </w:rPr>
        <w:t>ف</w:t>
      </w:r>
      <w:r>
        <w:rPr>
          <w:rtl/>
        </w:rPr>
        <w:t>ي</w:t>
      </w:r>
      <w:r w:rsidRPr="00FE4C18">
        <w:rPr>
          <w:rtl/>
        </w:rPr>
        <w:t xml:space="preserve">ذ </w:t>
      </w:r>
      <w:r>
        <w:rPr>
          <w:rtl/>
        </w:rPr>
        <w:t>ا</w:t>
      </w:r>
      <w:r w:rsidRPr="00FE4C18">
        <w:rPr>
          <w:rtl/>
        </w:rPr>
        <w:t xml:space="preserve">لتزامات صاحبة </w:t>
      </w:r>
      <w:r>
        <w:rPr>
          <w:rtl/>
        </w:rPr>
        <w:t>ا</w:t>
      </w:r>
      <w:r w:rsidRPr="00FE4C18">
        <w:rPr>
          <w:rtl/>
        </w:rPr>
        <w:t>لرحم</w:t>
      </w:r>
      <w:r w:rsidRPr="007F5B58">
        <w:rPr>
          <w:rtl/>
        </w:rPr>
        <w:t>؛</w:t>
      </w:r>
      <w:r w:rsidRPr="00FE4C18">
        <w:rPr>
          <w:rtl/>
        </w:rPr>
        <w:t xml:space="preserve"> ح</w:t>
      </w:r>
      <w:r>
        <w:rPr>
          <w:rtl/>
        </w:rPr>
        <w:t>ي</w:t>
      </w:r>
      <w:r w:rsidRPr="00FE4C18">
        <w:rPr>
          <w:rtl/>
        </w:rPr>
        <w:t>ث تع</w:t>
      </w:r>
      <w:r>
        <w:rPr>
          <w:rtl/>
        </w:rPr>
        <w:t>ي</w:t>
      </w:r>
      <w:r w:rsidRPr="00FE4C18">
        <w:rPr>
          <w:rtl/>
        </w:rPr>
        <w:t xml:space="preserve">ن هذه </w:t>
      </w:r>
      <w:r>
        <w:rPr>
          <w:rtl/>
        </w:rPr>
        <w:t>ا</w:t>
      </w:r>
      <w:r w:rsidRPr="00FE4C18">
        <w:rPr>
          <w:rtl/>
        </w:rPr>
        <w:t>لموضوعات برؤ</w:t>
      </w:r>
      <w:r>
        <w:rPr>
          <w:rtl/>
        </w:rPr>
        <w:t>ي</w:t>
      </w:r>
      <w:r w:rsidRPr="00FE4C18">
        <w:rPr>
          <w:rtl/>
        </w:rPr>
        <w:t xml:space="preserve">ة </w:t>
      </w:r>
      <w:r>
        <w:rPr>
          <w:rtl/>
        </w:rPr>
        <w:t>ا</w:t>
      </w:r>
      <w:r w:rsidRPr="00FE4C18">
        <w:rPr>
          <w:rtl/>
        </w:rPr>
        <w:t>لطب</w:t>
      </w:r>
      <w:r>
        <w:rPr>
          <w:rtl/>
        </w:rPr>
        <w:t>ي</w:t>
      </w:r>
      <w:r w:rsidRPr="00FE4C18">
        <w:rPr>
          <w:rtl/>
        </w:rPr>
        <w:t>ب</w:t>
      </w:r>
      <w:r>
        <w:rPr>
          <w:rtl/>
        </w:rPr>
        <w:t xml:space="preserve"> و</w:t>
      </w:r>
      <w:r w:rsidRPr="00FE4C18">
        <w:rPr>
          <w:rtl/>
        </w:rPr>
        <w:t>تم</w:t>
      </w:r>
      <w:r>
        <w:rPr>
          <w:rtl/>
        </w:rPr>
        <w:t>يي</w:t>
      </w:r>
      <w:r w:rsidRPr="00FE4C18">
        <w:rPr>
          <w:rtl/>
        </w:rPr>
        <w:t>زه</w:t>
      </w:r>
      <w:r w:rsidRPr="007F5B58">
        <w:rPr>
          <w:rtl/>
        </w:rPr>
        <w:t>،</w:t>
      </w:r>
      <w:r>
        <w:rPr>
          <w:rtl/>
        </w:rPr>
        <w:t xml:space="preserve"> و</w:t>
      </w:r>
      <w:r w:rsidRPr="00FE4C18">
        <w:rPr>
          <w:rtl/>
        </w:rPr>
        <w:t>ل</w:t>
      </w:r>
      <w:r>
        <w:rPr>
          <w:rtl/>
        </w:rPr>
        <w:t>ك</w:t>
      </w:r>
      <w:r w:rsidRPr="00FE4C18">
        <w:rPr>
          <w:rtl/>
        </w:rPr>
        <w:t xml:space="preserve">ن </w:t>
      </w:r>
      <w:r>
        <w:rPr>
          <w:rtl/>
        </w:rPr>
        <w:t>ا</w:t>
      </w:r>
      <w:r w:rsidRPr="00FE4C18">
        <w:rPr>
          <w:rtl/>
        </w:rPr>
        <w:t>لن</w:t>
      </w:r>
      <w:r>
        <w:rPr>
          <w:rFonts w:hint="cs"/>
          <w:rtl/>
        </w:rPr>
        <w:t>ق</w:t>
      </w:r>
      <w:r w:rsidRPr="00FE4C18">
        <w:rPr>
          <w:rtl/>
        </w:rPr>
        <w:t xml:space="preserve">طة </w:t>
      </w:r>
      <w:r>
        <w:rPr>
          <w:rtl/>
        </w:rPr>
        <w:t>ا</w:t>
      </w:r>
      <w:r w:rsidRPr="00FE4C18">
        <w:rPr>
          <w:rtl/>
        </w:rPr>
        <w:t>لأساس</w:t>
      </w:r>
      <w:r>
        <w:rPr>
          <w:rtl/>
        </w:rPr>
        <w:t>ي</w:t>
      </w:r>
      <w:r w:rsidRPr="00FE4C18">
        <w:rPr>
          <w:rtl/>
        </w:rPr>
        <w:t xml:space="preserve">ة هي أنَّ صاحبة </w:t>
      </w:r>
      <w:r>
        <w:rPr>
          <w:rtl/>
        </w:rPr>
        <w:t>ا</w:t>
      </w:r>
      <w:r w:rsidRPr="00FE4C18">
        <w:rPr>
          <w:rtl/>
        </w:rPr>
        <w:t>لرحم تلتزم عل</w:t>
      </w:r>
      <w:r>
        <w:rPr>
          <w:rtl/>
        </w:rPr>
        <w:t xml:space="preserve">ى </w:t>
      </w:r>
      <w:r w:rsidRPr="00FE4C18">
        <w:rPr>
          <w:rtl/>
        </w:rPr>
        <w:t xml:space="preserve">أساس </w:t>
      </w:r>
      <w:r>
        <w:rPr>
          <w:rtl/>
        </w:rPr>
        <w:t>ا</w:t>
      </w:r>
      <w:r w:rsidRPr="00FE4C18">
        <w:rPr>
          <w:rtl/>
        </w:rPr>
        <w:t>لاتفاق</w:t>
      </w:r>
      <w:r>
        <w:rPr>
          <w:rtl/>
        </w:rPr>
        <w:t>ي</w:t>
      </w:r>
      <w:r w:rsidRPr="00FE4C18">
        <w:rPr>
          <w:rtl/>
        </w:rPr>
        <w:t xml:space="preserve">ة فتحتاج لرفع </w:t>
      </w:r>
      <w:r>
        <w:rPr>
          <w:rtl/>
        </w:rPr>
        <w:t>ا</w:t>
      </w:r>
      <w:r w:rsidRPr="00FE4C18">
        <w:rPr>
          <w:rtl/>
        </w:rPr>
        <w:t>لمسؤول</w:t>
      </w:r>
      <w:r>
        <w:rPr>
          <w:rtl/>
        </w:rPr>
        <w:t>ي</w:t>
      </w:r>
      <w:r>
        <w:rPr>
          <w:rFonts w:hint="cs"/>
          <w:rtl/>
        </w:rPr>
        <w:t>ة</w:t>
      </w:r>
      <w:r w:rsidRPr="00FE4C18">
        <w:rPr>
          <w:rtl/>
        </w:rPr>
        <w:t xml:space="preserve"> عنها إل</w:t>
      </w:r>
      <w:r>
        <w:rPr>
          <w:rtl/>
        </w:rPr>
        <w:t xml:space="preserve">ى </w:t>
      </w:r>
      <w:r w:rsidRPr="00FE4C18">
        <w:rPr>
          <w:rtl/>
        </w:rPr>
        <w:t xml:space="preserve">إثبات هذه </w:t>
      </w:r>
      <w:r>
        <w:rPr>
          <w:rtl/>
        </w:rPr>
        <w:t>ا</w:t>
      </w:r>
      <w:r w:rsidRPr="00FE4C18">
        <w:rPr>
          <w:rtl/>
        </w:rPr>
        <w:t xml:space="preserve">لموارد. </w:t>
      </w:r>
    </w:p>
    <w:p w:rsidR="00391A35" w:rsidRPr="00FE4C18" w:rsidRDefault="00391A35" w:rsidP="00391A35">
      <w:pPr>
        <w:pStyle w:val="ac"/>
        <w:rPr>
          <w:rtl/>
        </w:rPr>
      </w:pPr>
      <w:r w:rsidRPr="00FE4C18">
        <w:rPr>
          <w:rtl/>
        </w:rPr>
        <w:t xml:space="preserve">و هذا </w:t>
      </w:r>
      <w:r>
        <w:rPr>
          <w:rtl/>
        </w:rPr>
        <w:t>ا</w:t>
      </w:r>
      <w:r w:rsidRPr="00FE4C18">
        <w:rPr>
          <w:rtl/>
        </w:rPr>
        <w:t>لش</w:t>
      </w:r>
      <w:r>
        <w:rPr>
          <w:rtl/>
        </w:rPr>
        <w:t>يء هو</w:t>
      </w:r>
      <w:r w:rsidRPr="00FE4C18">
        <w:rPr>
          <w:rtl/>
        </w:rPr>
        <w:t xml:space="preserve"> أحد أهم مواض</w:t>
      </w:r>
      <w:r>
        <w:rPr>
          <w:rtl/>
        </w:rPr>
        <w:t>ي</w:t>
      </w:r>
      <w:r w:rsidRPr="00FE4C18">
        <w:rPr>
          <w:rtl/>
        </w:rPr>
        <w:t xml:space="preserve">ع هذه </w:t>
      </w:r>
      <w:r>
        <w:rPr>
          <w:rtl/>
        </w:rPr>
        <w:t>ا</w:t>
      </w:r>
      <w:r w:rsidRPr="00FE4C18">
        <w:rPr>
          <w:rtl/>
        </w:rPr>
        <w:t>لاتفاق</w:t>
      </w:r>
      <w:r>
        <w:rPr>
          <w:rtl/>
        </w:rPr>
        <w:t>ي</w:t>
      </w:r>
      <w:r w:rsidRPr="00FE4C18">
        <w:rPr>
          <w:rtl/>
        </w:rPr>
        <w:t>ة</w:t>
      </w:r>
      <w:r>
        <w:rPr>
          <w:rtl/>
        </w:rPr>
        <w:t>. و</w:t>
      </w:r>
      <w:r w:rsidRPr="00FE4C18">
        <w:rPr>
          <w:rtl/>
        </w:rPr>
        <w:t xml:space="preserve">من </w:t>
      </w:r>
      <w:r>
        <w:rPr>
          <w:rtl/>
        </w:rPr>
        <w:t>ا</w:t>
      </w:r>
      <w:r w:rsidRPr="00FE4C18">
        <w:rPr>
          <w:rtl/>
        </w:rPr>
        <w:t>لطب</w:t>
      </w:r>
      <w:r>
        <w:rPr>
          <w:rtl/>
        </w:rPr>
        <w:t>ي</w:t>
      </w:r>
      <w:r w:rsidRPr="00FE4C18">
        <w:rPr>
          <w:rtl/>
        </w:rPr>
        <w:t xml:space="preserve">عي أنَّ صاحبة </w:t>
      </w:r>
      <w:r>
        <w:rPr>
          <w:rtl/>
        </w:rPr>
        <w:t>ا</w:t>
      </w:r>
      <w:r w:rsidRPr="00FE4C18">
        <w:rPr>
          <w:rtl/>
        </w:rPr>
        <w:t>لرحم غ</w:t>
      </w:r>
      <w:r>
        <w:rPr>
          <w:rtl/>
        </w:rPr>
        <w:t>ي</w:t>
      </w:r>
      <w:r w:rsidRPr="00FE4C18">
        <w:rPr>
          <w:rtl/>
        </w:rPr>
        <w:t>ر مطلعة عل</w:t>
      </w:r>
      <w:r>
        <w:rPr>
          <w:rtl/>
        </w:rPr>
        <w:t xml:space="preserve">ى </w:t>
      </w:r>
      <w:r w:rsidRPr="00FE4C18">
        <w:rPr>
          <w:rtl/>
        </w:rPr>
        <w:t xml:space="preserve">هذه </w:t>
      </w:r>
      <w:r>
        <w:rPr>
          <w:rtl/>
        </w:rPr>
        <w:t>ا</w:t>
      </w:r>
      <w:r w:rsidRPr="00FE4C18">
        <w:rPr>
          <w:rtl/>
        </w:rPr>
        <w:t xml:space="preserve">لمسائل بصورة </w:t>
      </w:r>
      <w:r>
        <w:rPr>
          <w:rtl/>
        </w:rPr>
        <w:t>ك</w:t>
      </w:r>
      <w:r w:rsidRPr="00FE4C18">
        <w:rPr>
          <w:rtl/>
        </w:rPr>
        <w:t>املة</w:t>
      </w:r>
      <w:r>
        <w:rPr>
          <w:rtl/>
        </w:rPr>
        <w:t>. و</w:t>
      </w:r>
      <w:r w:rsidRPr="00FE4C18">
        <w:rPr>
          <w:rtl/>
        </w:rPr>
        <w:t>عل</w:t>
      </w:r>
      <w:r>
        <w:rPr>
          <w:rtl/>
        </w:rPr>
        <w:t xml:space="preserve">ى </w:t>
      </w:r>
      <w:r w:rsidRPr="00FE4C18">
        <w:rPr>
          <w:rtl/>
        </w:rPr>
        <w:t xml:space="preserve">هذا </w:t>
      </w:r>
      <w:r>
        <w:rPr>
          <w:rtl/>
        </w:rPr>
        <w:t>يك</w:t>
      </w:r>
      <w:r w:rsidRPr="00FE4C18">
        <w:rPr>
          <w:rtl/>
        </w:rPr>
        <w:t xml:space="preserve">ون </w:t>
      </w:r>
      <w:r>
        <w:rPr>
          <w:rtl/>
        </w:rPr>
        <w:t>ا</w:t>
      </w:r>
      <w:r w:rsidRPr="00FE4C18">
        <w:rPr>
          <w:rtl/>
        </w:rPr>
        <w:t>لالتزام بمواض</w:t>
      </w:r>
      <w:r>
        <w:rPr>
          <w:rtl/>
        </w:rPr>
        <w:t>ي</w:t>
      </w:r>
      <w:r w:rsidRPr="00FE4C18">
        <w:rPr>
          <w:rtl/>
        </w:rPr>
        <w:t xml:space="preserve">ع </w:t>
      </w:r>
      <w:r>
        <w:rPr>
          <w:rtl/>
        </w:rPr>
        <w:t>ك</w:t>
      </w:r>
      <w:r w:rsidRPr="00FE4C18">
        <w:rPr>
          <w:rtl/>
        </w:rPr>
        <w:t>هذ</w:t>
      </w:r>
      <w:r>
        <w:rPr>
          <w:rtl/>
        </w:rPr>
        <w:t>ه</w:t>
      </w:r>
      <w:r w:rsidRPr="00FE4C18">
        <w:rPr>
          <w:rtl/>
        </w:rPr>
        <w:t xml:space="preserve"> إزاء </w:t>
      </w:r>
      <w:r>
        <w:rPr>
          <w:rtl/>
        </w:rPr>
        <w:t>ا</w:t>
      </w:r>
      <w:r w:rsidRPr="00FE4C18">
        <w:rPr>
          <w:rtl/>
        </w:rPr>
        <w:t xml:space="preserve">لالتزام </w:t>
      </w:r>
      <w:r>
        <w:rPr>
          <w:rtl/>
        </w:rPr>
        <w:t>ا</w:t>
      </w:r>
      <w:r w:rsidRPr="00FE4C18">
        <w:rPr>
          <w:rtl/>
        </w:rPr>
        <w:t xml:space="preserve">لمالي </w:t>
      </w:r>
      <w:r>
        <w:rPr>
          <w:rtl/>
        </w:rPr>
        <w:t>سبباً ل</w:t>
      </w:r>
      <w:r w:rsidRPr="00FE4C18">
        <w:rPr>
          <w:rtl/>
        </w:rPr>
        <w:t xml:space="preserve">عدم </w:t>
      </w:r>
      <w:r>
        <w:rPr>
          <w:rtl/>
        </w:rPr>
        <w:t>ا</w:t>
      </w:r>
      <w:r w:rsidRPr="00FE4C18">
        <w:rPr>
          <w:rtl/>
        </w:rPr>
        <w:t>لموازنة</w:t>
      </w:r>
      <w:r>
        <w:rPr>
          <w:rtl/>
        </w:rPr>
        <w:t xml:space="preserve"> وا</w:t>
      </w:r>
      <w:r w:rsidRPr="00FE4C18">
        <w:rPr>
          <w:rtl/>
        </w:rPr>
        <w:t>لتعادل ب</w:t>
      </w:r>
      <w:r>
        <w:rPr>
          <w:rtl/>
        </w:rPr>
        <w:t>ي</w:t>
      </w:r>
      <w:r w:rsidRPr="00FE4C18">
        <w:rPr>
          <w:rtl/>
        </w:rPr>
        <w:t xml:space="preserve">ن التزام </w:t>
      </w:r>
      <w:r>
        <w:rPr>
          <w:rtl/>
        </w:rPr>
        <w:t>ا</w:t>
      </w:r>
      <w:r w:rsidRPr="00FE4C18">
        <w:rPr>
          <w:rtl/>
        </w:rPr>
        <w:t>لطرف</w:t>
      </w:r>
      <w:r>
        <w:rPr>
          <w:rtl/>
        </w:rPr>
        <w:t>ي</w:t>
      </w:r>
      <w:r w:rsidRPr="00FE4C18">
        <w:rPr>
          <w:rtl/>
        </w:rPr>
        <w:t xml:space="preserve">ن. </w:t>
      </w:r>
    </w:p>
    <w:p w:rsidR="00391A35" w:rsidRPr="00FE4C18" w:rsidRDefault="00391A35" w:rsidP="00391A35">
      <w:pPr>
        <w:pStyle w:val="ac"/>
        <w:rPr>
          <w:rtl/>
        </w:rPr>
      </w:pPr>
      <w:r w:rsidRPr="00FE4C18">
        <w:rPr>
          <w:rtl/>
        </w:rPr>
        <w:t xml:space="preserve">الوجه </w:t>
      </w:r>
      <w:r>
        <w:rPr>
          <w:rtl/>
        </w:rPr>
        <w:t>ا</w:t>
      </w:r>
      <w:r w:rsidRPr="00FE4C18">
        <w:rPr>
          <w:rtl/>
        </w:rPr>
        <w:t xml:space="preserve">لآخر لالتزام صاحبة </w:t>
      </w:r>
      <w:r>
        <w:rPr>
          <w:rtl/>
        </w:rPr>
        <w:t>ا</w:t>
      </w:r>
      <w:r w:rsidRPr="00FE4C18">
        <w:rPr>
          <w:rtl/>
        </w:rPr>
        <w:t xml:space="preserve">لرحم </w:t>
      </w:r>
      <w:r>
        <w:rPr>
          <w:rtl/>
        </w:rPr>
        <w:t>ي</w:t>
      </w:r>
      <w:r w:rsidRPr="00FE4C18">
        <w:rPr>
          <w:rtl/>
        </w:rPr>
        <w:t xml:space="preserve">رتبط بأمور </w:t>
      </w:r>
      <w:r>
        <w:rPr>
          <w:rtl/>
        </w:rPr>
        <w:t>تـن</w:t>
      </w:r>
      <w:r w:rsidRPr="00FE4C18">
        <w:rPr>
          <w:rtl/>
        </w:rPr>
        <w:t>ف</w:t>
      </w:r>
      <w:r>
        <w:rPr>
          <w:rtl/>
        </w:rPr>
        <w:t>ي</w:t>
      </w:r>
      <w:r w:rsidRPr="00FE4C18">
        <w:rPr>
          <w:rtl/>
        </w:rPr>
        <w:t xml:space="preserve">ذها أو عدم </w:t>
      </w:r>
      <w:r>
        <w:rPr>
          <w:rtl/>
        </w:rPr>
        <w:t>تـن</w:t>
      </w:r>
      <w:r w:rsidRPr="00FE4C18">
        <w:rPr>
          <w:rtl/>
        </w:rPr>
        <w:t>ف</w:t>
      </w:r>
      <w:r>
        <w:rPr>
          <w:rtl/>
        </w:rPr>
        <w:t>ي</w:t>
      </w:r>
      <w:r w:rsidRPr="00FE4C18">
        <w:rPr>
          <w:rtl/>
        </w:rPr>
        <w:t>ذها ش</w:t>
      </w:r>
      <w:r>
        <w:rPr>
          <w:rtl/>
        </w:rPr>
        <w:t>يء</w:t>
      </w:r>
      <w:r w:rsidRPr="00FE4C18">
        <w:rPr>
          <w:rtl/>
        </w:rPr>
        <w:t xml:space="preserve"> </w:t>
      </w:r>
      <w:r>
        <w:rPr>
          <w:rtl/>
        </w:rPr>
        <w:t>ي</w:t>
      </w:r>
      <w:r w:rsidRPr="00FE4C18">
        <w:rPr>
          <w:rtl/>
        </w:rPr>
        <w:t xml:space="preserve">طلبه </w:t>
      </w:r>
      <w:r>
        <w:rPr>
          <w:rtl/>
        </w:rPr>
        <w:t>ا</w:t>
      </w:r>
      <w:r w:rsidRPr="00FE4C18">
        <w:rPr>
          <w:rtl/>
        </w:rPr>
        <w:t>لزوجان</w:t>
      </w:r>
      <w:r w:rsidRPr="007F5B58">
        <w:rPr>
          <w:rtl/>
        </w:rPr>
        <w:t>،</w:t>
      </w:r>
      <w:r w:rsidRPr="00FE4C18">
        <w:rPr>
          <w:rtl/>
        </w:rPr>
        <w:t xml:space="preserve"> فمثلاً</w:t>
      </w:r>
      <w:r w:rsidRPr="007F5B58">
        <w:rPr>
          <w:rtl/>
        </w:rPr>
        <w:t>:</w:t>
      </w:r>
      <w:r w:rsidRPr="00FE4C18">
        <w:rPr>
          <w:rtl/>
        </w:rPr>
        <w:t xml:space="preserve"> عدم </w:t>
      </w:r>
      <w:r>
        <w:rPr>
          <w:rtl/>
        </w:rPr>
        <w:t>ا</w:t>
      </w:r>
      <w:r w:rsidRPr="00FE4C18">
        <w:rPr>
          <w:rtl/>
        </w:rPr>
        <w:t>لتدخ</w:t>
      </w:r>
      <w:r>
        <w:rPr>
          <w:rtl/>
        </w:rPr>
        <w:t>ي</w:t>
      </w:r>
      <w:r w:rsidRPr="00FE4C18">
        <w:rPr>
          <w:rtl/>
        </w:rPr>
        <w:t>ن</w:t>
      </w:r>
      <w:r w:rsidRPr="007F5B58">
        <w:rPr>
          <w:rtl/>
        </w:rPr>
        <w:t>،</w:t>
      </w:r>
      <w:r>
        <w:rPr>
          <w:rtl/>
        </w:rPr>
        <w:t xml:space="preserve"> و</w:t>
      </w:r>
      <w:r w:rsidRPr="00FE4C18">
        <w:rPr>
          <w:rtl/>
        </w:rPr>
        <w:t xml:space="preserve">عدم استعمال </w:t>
      </w:r>
      <w:r>
        <w:rPr>
          <w:rtl/>
        </w:rPr>
        <w:t>ا</w:t>
      </w:r>
      <w:r w:rsidRPr="00FE4C18">
        <w:rPr>
          <w:rtl/>
        </w:rPr>
        <w:t>ل</w:t>
      </w:r>
      <w:r>
        <w:rPr>
          <w:rtl/>
        </w:rPr>
        <w:t>ك</w:t>
      </w:r>
      <w:r w:rsidRPr="00FE4C18">
        <w:rPr>
          <w:rtl/>
        </w:rPr>
        <w:t>حول</w:t>
      </w:r>
      <w:r w:rsidRPr="007F5B58">
        <w:rPr>
          <w:rtl/>
        </w:rPr>
        <w:t>،</w:t>
      </w:r>
      <w:r>
        <w:rPr>
          <w:rtl/>
        </w:rPr>
        <w:t xml:space="preserve"> و</w:t>
      </w:r>
      <w:r w:rsidRPr="00FE4C18">
        <w:rPr>
          <w:rtl/>
        </w:rPr>
        <w:t>..</w:t>
      </w:r>
      <w:r w:rsidRPr="007F5B58">
        <w:rPr>
          <w:rtl/>
        </w:rPr>
        <w:t>،</w:t>
      </w:r>
      <w:r>
        <w:rPr>
          <w:rtl/>
        </w:rPr>
        <w:t xml:space="preserve"> وي</w:t>
      </w:r>
      <w:r w:rsidRPr="00FE4C18">
        <w:rPr>
          <w:rtl/>
        </w:rPr>
        <w:t>م</w:t>
      </w:r>
      <w:r>
        <w:rPr>
          <w:rtl/>
        </w:rPr>
        <w:t>ك</w:t>
      </w:r>
      <w:r w:rsidRPr="00FE4C18">
        <w:rPr>
          <w:rtl/>
        </w:rPr>
        <w:t>ن أن تذ</w:t>
      </w:r>
      <w:r>
        <w:rPr>
          <w:rtl/>
        </w:rPr>
        <w:t>ك</w:t>
      </w:r>
      <w:r w:rsidRPr="00FE4C18">
        <w:rPr>
          <w:rtl/>
        </w:rPr>
        <w:t xml:space="preserve">ر هذه </w:t>
      </w:r>
      <w:r>
        <w:rPr>
          <w:rtl/>
        </w:rPr>
        <w:t>ا</w:t>
      </w:r>
      <w:r w:rsidRPr="00FE4C18">
        <w:rPr>
          <w:rtl/>
        </w:rPr>
        <w:t xml:space="preserve">لموارد في </w:t>
      </w:r>
      <w:r>
        <w:rPr>
          <w:rtl/>
        </w:rPr>
        <w:t>ا</w:t>
      </w:r>
      <w:r w:rsidRPr="00FE4C18">
        <w:rPr>
          <w:rtl/>
        </w:rPr>
        <w:t>لاتفاق</w:t>
      </w:r>
      <w:r>
        <w:rPr>
          <w:rtl/>
        </w:rPr>
        <w:t>ي</w:t>
      </w:r>
      <w:r w:rsidRPr="00FE4C18">
        <w:rPr>
          <w:rtl/>
        </w:rPr>
        <w:t>ة</w:t>
      </w:r>
      <w:r>
        <w:rPr>
          <w:rtl/>
        </w:rPr>
        <w:t>. و</w:t>
      </w:r>
      <w:r w:rsidRPr="00FE4C18">
        <w:rPr>
          <w:rtl/>
        </w:rPr>
        <w:t xml:space="preserve">لأنَّ عدم </w:t>
      </w:r>
      <w:r>
        <w:rPr>
          <w:rtl/>
        </w:rPr>
        <w:t>تـن</w:t>
      </w:r>
      <w:r w:rsidRPr="00FE4C18">
        <w:rPr>
          <w:rtl/>
        </w:rPr>
        <w:t>ف</w:t>
      </w:r>
      <w:r>
        <w:rPr>
          <w:rtl/>
        </w:rPr>
        <w:t>ي</w:t>
      </w:r>
      <w:r w:rsidRPr="00FE4C18">
        <w:rPr>
          <w:rtl/>
        </w:rPr>
        <w:t xml:space="preserve">ذها هذه </w:t>
      </w:r>
      <w:r>
        <w:rPr>
          <w:rtl/>
        </w:rPr>
        <w:t>ا</w:t>
      </w:r>
      <w:r w:rsidRPr="00FE4C18">
        <w:rPr>
          <w:rtl/>
        </w:rPr>
        <w:t xml:space="preserve">لأعمال </w:t>
      </w:r>
      <w:r>
        <w:rPr>
          <w:rtl/>
        </w:rPr>
        <w:t>ي</w:t>
      </w:r>
      <w:r w:rsidRPr="00FE4C18">
        <w:rPr>
          <w:rtl/>
        </w:rPr>
        <w:t xml:space="preserve">عتبر من </w:t>
      </w:r>
      <w:r>
        <w:rPr>
          <w:rtl/>
        </w:rPr>
        <w:t>ا</w:t>
      </w:r>
      <w:r w:rsidRPr="00FE4C18">
        <w:rPr>
          <w:rtl/>
        </w:rPr>
        <w:t xml:space="preserve">لموضوعات </w:t>
      </w:r>
      <w:r>
        <w:rPr>
          <w:rtl/>
        </w:rPr>
        <w:t>ا</w:t>
      </w:r>
      <w:r w:rsidRPr="00FE4C18">
        <w:rPr>
          <w:rtl/>
        </w:rPr>
        <w:t>لأخلاق</w:t>
      </w:r>
      <w:r>
        <w:rPr>
          <w:rtl/>
        </w:rPr>
        <w:t>يّ</w:t>
      </w:r>
      <w:r w:rsidRPr="00FE4C18">
        <w:rPr>
          <w:rtl/>
        </w:rPr>
        <w:t xml:space="preserve">ة </w:t>
      </w:r>
      <w:r>
        <w:rPr>
          <w:rFonts w:hint="cs"/>
          <w:rtl/>
        </w:rPr>
        <w:t>ف</w:t>
      </w:r>
      <w:r w:rsidRPr="00FE4C18">
        <w:rPr>
          <w:rtl/>
        </w:rPr>
        <w:t>إنها إن ذ</w:t>
      </w:r>
      <w:r>
        <w:rPr>
          <w:rtl/>
        </w:rPr>
        <w:t>ك</w:t>
      </w:r>
      <w:r w:rsidRPr="00FE4C18">
        <w:rPr>
          <w:rtl/>
        </w:rPr>
        <w:t xml:space="preserve">رت في </w:t>
      </w:r>
      <w:r>
        <w:rPr>
          <w:rtl/>
        </w:rPr>
        <w:t>ا</w:t>
      </w:r>
      <w:r w:rsidRPr="00FE4C18">
        <w:rPr>
          <w:rtl/>
        </w:rPr>
        <w:t>لاتفاق</w:t>
      </w:r>
      <w:r>
        <w:rPr>
          <w:rtl/>
        </w:rPr>
        <w:t>ي</w:t>
      </w:r>
      <w:r w:rsidRPr="00FE4C18">
        <w:rPr>
          <w:rtl/>
        </w:rPr>
        <w:t xml:space="preserve">ة فلا تُلزم </w:t>
      </w:r>
      <w:r>
        <w:rPr>
          <w:rtl/>
        </w:rPr>
        <w:t>ا</w:t>
      </w:r>
      <w:r w:rsidRPr="00FE4C18">
        <w:rPr>
          <w:rtl/>
        </w:rPr>
        <w:t xml:space="preserve">لطرف </w:t>
      </w:r>
      <w:r>
        <w:rPr>
          <w:rtl/>
        </w:rPr>
        <w:t>ا</w:t>
      </w:r>
      <w:r w:rsidRPr="00FE4C18">
        <w:rPr>
          <w:rtl/>
        </w:rPr>
        <w:t xml:space="preserve">لآخر (صاحبة </w:t>
      </w:r>
      <w:r>
        <w:rPr>
          <w:rtl/>
        </w:rPr>
        <w:t>ا</w:t>
      </w:r>
      <w:r w:rsidRPr="00FE4C18">
        <w:rPr>
          <w:rtl/>
        </w:rPr>
        <w:t>لرحم)</w:t>
      </w:r>
      <w:r w:rsidRPr="007F5B58">
        <w:rPr>
          <w:rtl/>
        </w:rPr>
        <w:t>،</w:t>
      </w:r>
      <w:r>
        <w:rPr>
          <w:rtl/>
        </w:rPr>
        <w:t xml:space="preserve"> و</w:t>
      </w:r>
      <w:r w:rsidRPr="00FE4C18">
        <w:rPr>
          <w:rtl/>
        </w:rPr>
        <w:t xml:space="preserve">لا </w:t>
      </w:r>
      <w:r>
        <w:rPr>
          <w:rtl/>
        </w:rPr>
        <w:t>ي</w:t>
      </w:r>
      <w:r w:rsidRPr="00FE4C18">
        <w:rPr>
          <w:rtl/>
        </w:rPr>
        <w:t>م</w:t>
      </w:r>
      <w:r>
        <w:rPr>
          <w:rtl/>
        </w:rPr>
        <w:t>ك</w:t>
      </w:r>
      <w:r w:rsidRPr="00FE4C18">
        <w:rPr>
          <w:rtl/>
        </w:rPr>
        <w:t>ن إجباره</w:t>
      </w:r>
      <w:r w:rsidRPr="007F5B58">
        <w:rPr>
          <w:rtl/>
        </w:rPr>
        <w:t>،</w:t>
      </w:r>
      <w:r>
        <w:rPr>
          <w:rtl/>
        </w:rPr>
        <w:t xml:space="preserve"> وك</w:t>
      </w:r>
      <w:r w:rsidRPr="00FE4C18">
        <w:rPr>
          <w:rtl/>
        </w:rPr>
        <w:t>ذل</w:t>
      </w:r>
      <w:r>
        <w:rPr>
          <w:rtl/>
        </w:rPr>
        <w:t>ك</w:t>
      </w:r>
      <w:r w:rsidRPr="00FE4C18">
        <w:rPr>
          <w:rtl/>
        </w:rPr>
        <w:t xml:space="preserve"> إذا ذ</w:t>
      </w:r>
      <w:r>
        <w:rPr>
          <w:rtl/>
        </w:rPr>
        <w:t>ك</w:t>
      </w:r>
      <w:r w:rsidRPr="00FE4C18">
        <w:rPr>
          <w:rtl/>
        </w:rPr>
        <w:t>رت في</w:t>
      </w:r>
      <w:r>
        <w:rPr>
          <w:rFonts w:hint="cs"/>
          <w:rtl/>
        </w:rPr>
        <w:t xml:space="preserve"> </w:t>
      </w:r>
      <w:r w:rsidRPr="00FE4C18">
        <w:rPr>
          <w:rtl/>
        </w:rPr>
        <w:t>‌</w:t>
      </w:r>
      <w:r>
        <w:rPr>
          <w:rtl/>
        </w:rPr>
        <w:t>ا</w:t>
      </w:r>
      <w:r w:rsidRPr="00FE4C18">
        <w:rPr>
          <w:rtl/>
        </w:rPr>
        <w:t>لاتفاق</w:t>
      </w:r>
      <w:r>
        <w:rPr>
          <w:rtl/>
        </w:rPr>
        <w:t>ي</w:t>
      </w:r>
      <w:r w:rsidRPr="00FE4C18">
        <w:rPr>
          <w:rtl/>
        </w:rPr>
        <w:t>ة ت</w:t>
      </w:r>
      <w:r>
        <w:rPr>
          <w:rtl/>
        </w:rPr>
        <w:t>ك</w:t>
      </w:r>
      <w:r w:rsidRPr="00FE4C18">
        <w:rPr>
          <w:rtl/>
        </w:rPr>
        <w:t>ال</w:t>
      </w:r>
      <w:r>
        <w:rPr>
          <w:rtl/>
        </w:rPr>
        <w:t>ي</w:t>
      </w:r>
      <w:r w:rsidRPr="00FE4C18">
        <w:rPr>
          <w:rtl/>
        </w:rPr>
        <w:t>ف لا</w:t>
      </w:r>
      <w:r>
        <w:rPr>
          <w:rtl/>
        </w:rPr>
        <w:t xml:space="preserve"> ي</w:t>
      </w:r>
      <w:r w:rsidRPr="00FE4C18">
        <w:rPr>
          <w:rtl/>
        </w:rPr>
        <w:t>ر</w:t>
      </w:r>
      <w:r>
        <w:rPr>
          <w:rtl/>
        </w:rPr>
        <w:t>ى ا</w:t>
      </w:r>
      <w:r w:rsidRPr="00FE4C18">
        <w:rPr>
          <w:rtl/>
        </w:rPr>
        <w:t xml:space="preserve">لعرف </w:t>
      </w:r>
      <w:r>
        <w:rPr>
          <w:rFonts w:hint="cs"/>
          <w:rtl/>
        </w:rPr>
        <w:t>و</w:t>
      </w:r>
      <w:r>
        <w:rPr>
          <w:rtl/>
        </w:rPr>
        <w:t>ا</w:t>
      </w:r>
      <w:r w:rsidRPr="00FE4C18">
        <w:rPr>
          <w:rtl/>
        </w:rPr>
        <w:t>لأخلاق لزومها</w:t>
      </w:r>
      <w:r>
        <w:rPr>
          <w:rtl/>
        </w:rPr>
        <w:t xml:space="preserve"> و</w:t>
      </w:r>
      <w:r w:rsidRPr="00FE4C18">
        <w:rPr>
          <w:rtl/>
        </w:rPr>
        <w:t xml:space="preserve">فعلها فلا تلزم صاحبة </w:t>
      </w:r>
      <w:r>
        <w:rPr>
          <w:rtl/>
        </w:rPr>
        <w:t>ا</w:t>
      </w:r>
      <w:r w:rsidRPr="00FE4C18">
        <w:rPr>
          <w:rtl/>
        </w:rPr>
        <w:t>لرحم بفعلها</w:t>
      </w:r>
      <w:r w:rsidRPr="00815C4C">
        <w:rPr>
          <w:rFonts w:cs="Taher"/>
          <w:vertAlign w:val="superscript"/>
          <w:rtl/>
        </w:rPr>
        <w:t>(</w:t>
      </w:r>
      <w:r w:rsidRPr="00815C4C">
        <w:rPr>
          <w:rFonts w:cs="Taher"/>
          <w:vertAlign w:val="superscript"/>
          <w:rtl/>
        </w:rPr>
        <w:footnoteReference w:id="912"/>
      </w:r>
      <w:r w:rsidRPr="00815C4C">
        <w:rPr>
          <w:rFonts w:cs="Taher"/>
          <w:vertAlign w:val="superscript"/>
          <w:rtl/>
        </w:rPr>
        <w:t>)</w:t>
      </w:r>
      <w:r w:rsidRPr="00FE4C18">
        <w:rPr>
          <w:rtl/>
        </w:rPr>
        <w:t xml:space="preserve">. </w:t>
      </w:r>
    </w:p>
    <w:p w:rsidR="00391A35" w:rsidRPr="009368DE" w:rsidRDefault="00391A35" w:rsidP="0067362A">
      <w:pPr>
        <w:pStyle w:val="afffffc"/>
        <w:rPr>
          <w:sz w:val="16"/>
          <w:szCs w:val="14"/>
          <w:rtl/>
        </w:rPr>
      </w:pPr>
    </w:p>
    <w:p w:rsidR="00391A35" w:rsidRPr="00FE4C18" w:rsidRDefault="00391A35" w:rsidP="0067362A">
      <w:pPr>
        <w:pStyle w:val="4"/>
        <w:rPr>
          <w:rtl/>
        </w:rPr>
      </w:pPr>
      <w:bookmarkStart w:id="497" w:name="_Toc275128204"/>
      <w:r w:rsidRPr="00FE4C18">
        <w:rPr>
          <w:rtl/>
        </w:rPr>
        <w:t>4</w:t>
      </w:r>
      <w:r>
        <w:rPr>
          <w:rtl/>
        </w:rPr>
        <w:t>ـ</w:t>
      </w:r>
      <w:r w:rsidRPr="00FE4C18">
        <w:rPr>
          <w:rtl/>
        </w:rPr>
        <w:t xml:space="preserve"> 1</w:t>
      </w:r>
      <w:r>
        <w:rPr>
          <w:rtl/>
        </w:rPr>
        <w:t>ـ</w:t>
      </w:r>
      <w:r w:rsidRPr="00FE4C18">
        <w:rPr>
          <w:rtl/>
        </w:rPr>
        <w:t xml:space="preserve"> 4</w:t>
      </w:r>
      <w:r>
        <w:rPr>
          <w:rtl/>
        </w:rPr>
        <w:t xml:space="preserve">ـ </w:t>
      </w:r>
      <w:r w:rsidRPr="00FE4C18">
        <w:rPr>
          <w:rtl/>
        </w:rPr>
        <w:t xml:space="preserve">حقوق صاحبة </w:t>
      </w:r>
      <w:r>
        <w:rPr>
          <w:rtl/>
        </w:rPr>
        <w:t>ا</w:t>
      </w:r>
      <w:r w:rsidRPr="00FE4C18">
        <w:rPr>
          <w:rtl/>
        </w:rPr>
        <w:t xml:space="preserve">لرحم </w:t>
      </w:r>
      <w:r>
        <w:rPr>
          <w:rFonts w:hint="cs"/>
          <w:rtl/>
        </w:rPr>
        <w:t>عند الزوجين</w:t>
      </w:r>
      <w:bookmarkEnd w:id="497"/>
      <w:r w:rsidRPr="00FE4C18">
        <w:rPr>
          <w:rtl/>
        </w:rPr>
        <w:t xml:space="preserve"> </w:t>
      </w:r>
    </w:p>
    <w:p w:rsidR="00391A35" w:rsidRPr="00FE4C18" w:rsidRDefault="00391A35" w:rsidP="00391A35">
      <w:pPr>
        <w:pStyle w:val="ac"/>
        <w:rPr>
          <w:rtl/>
        </w:rPr>
      </w:pPr>
      <w:r w:rsidRPr="00FE4C18">
        <w:rPr>
          <w:rtl/>
        </w:rPr>
        <w:t xml:space="preserve">نظراً للالتزامات </w:t>
      </w:r>
      <w:r>
        <w:rPr>
          <w:rtl/>
        </w:rPr>
        <w:t>ا</w:t>
      </w:r>
      <w:r w:rsidRPr="00FE4C18">
        <w:rPr>
          <w:rtl/>
        </w:rPr>
        <w:t>لمال</w:t>
      </w:r>
      <w:r>
        <w:rPr>
          <w:rtl/>
        </w:rPr>
        <w:t>يّ</w:t>
      </w:r>
      <w:r w:rsidRPr="00FE4C18">
        <w:rPr>
          <w:rtl/>
        </w:rPr>
        <w:t>ة للزوج</w:t>
      </w:r>
      <w:r>
        <w:rPr>
          <w:rtl/>
        </w:rPr>
        <w:t>ي</w:t>
      </w:r>
      <w:r w:rsidRPr="00FE4C18">
        <w:rPr>
          <w:rtl/>
        </w:rPr>
        <w:t>ن ف</w:t>
      </w:r>
      <w:r>
        <w:rPr>
          <w:rFonts w:hint="cs"/>
          <w:rtl/>
        </w:rPr>
        <w:t>إ</w:t>
      </w:r>
      <w:r w:rsidRPr="00FE4C18">
        <w:rPr>
          <w:rtl/>
        </w:rPr>
        <w:t xml:space="preserve">نَّ </w:t>
      </w:r>
      <w:r>
        <w:rPr>
          <w:rtl/>
        </w:rPr>
        <w:t>ا</w:t>
      </w:r>
      <w:r w:rsidRPr="00FE4C18">
        <w:rPr>
          <w:rtl/>
        </w:rPr>
        <w:t xml:space="preserve">لحق </w:t>
      </w:r>
      <w:r>
        <w:rPr>
          <w:rtl/>
        </w:rPr>
        <w:t>ا</w:t>
      </w:r>
      <w:r w:rsidRPr="00FE4C18">
        <w:rPr>
          <w:rtl/>
        </w:rPr>
        <w:t xml:space="preserve">لذي </w:t>
      </w:r>
      <w:r>
        <w:rPr>
          <w:rtl/>
        </w:rPr>
        <w:t>ي</w:t>
      </w:r>
      <w:r w:rsidRPr="00FE4C18">
        <w:rPr>
          <w:rtl/>
        </w:rPr>
        <w:t>ظهر</w:t>
      </w:r>
      <w:r>
        <w:rPr>
          <w:rtl/>
        </w:rPr>
        <w:t xml:space="preserve"> </w:t>
      </w:r>
      <w:r w:rsidRPr="00FE4C18">
        <w:rPr>
          <w:rtl/>
        </w:rPr>
        <w:t xml:space="preserve">لصاحبة </w:t>
      </w:r>
      <w:r>
        <w:rPr>
          <w:rtl/>
        </w:rPr>
        <w:t>ا</w:t>
      </w:r>
      <w:r w:rsidRPr="00FE4C18">
        <w:rPr>
          <w:rtl/>
        </w:rPr>
        <w:t xml:space="preserve">لرحم هو </w:t>
      </w:r>
      <w:r>
        <w:rPr>
          <w:rtl/>
        </w:rPr>
        <w:t>ا</w:t>
      </w:r>
      <w:r w:rsidRPr="00FE4C18">
        <w:rPr>
          <w:rtl/>
        </w:rPr>
        <w:t>لمطالبة بالت</w:t>
      </w:r>
      <w:r>
        <w:rPr>
          <w:rtl/>
        </w:rPr>
        <w:t>ك</w:t>
      </w:r>
      <w:r w:rsidRPr="00FE4C18">
        <w:rPr>
          <w:rtl/>
        </w:rPr>
        <w:t>ال</w:t>
      </w:r>
      <w:r>
        <w:rPr>
          <w:rtl/>
        </w:rPr>
        <w:t>ي</w:t>
      </w:r>
      <w:r w:rsidRPr="00FE4C18">
        <w:rPr>
          <w:rtl/>
        </w:rPr>
        <w:t xml:space="preserve">ف </w:t>
      </w:r>
      <w:r>
        <w:rPr>
          <w:rtl/>
        </w:rPr>
        <w:t>ا</w:t>
      </w:r>
      <w:r w:rsidRPr="00FE4C18">
        <w:rPr>
          <w:rtl/>
        </w:rPr>
        <w:t>لمع</w:t>
      </w:r>
      <w:r>
        <w:rPr>
          <w:rtl/>
        </w:rPr>
        <w:t>يّ</w:t>
      </w:r>
      <w:r w:rsidRPr="00FE4C18">
        <w:rPr>
          <w:rtl/>
        </w:rPr>
        <w:t xml:space="preserve">نة في </w:t>
      </w:r>
      <w:r>
        <w:rPr>
          <w:rtl/>
        </w:rPr>
        <w:t>ا</w:t>
      </w:r>
      <w:r w:rsidRPr="00FE4C18">
        <w:rPr>
          <w:rtl/>
        </w:rPr>
        <w:t>لاتفاق</w:t>
      </w:r>
      <w:r>
        <w:rPr>
          <w:rtl/>
        </w:rPr>
        <w:t>ي</w:t>
      </w:r>
      <w:r w:rsidRPr="00FE4C18">
        <w:rPr>
          <w:rtl/>
        </w:rPr>
        <w:t xml:space="preserve">ة. </w:t>
      </w:r>
    </w:p>
    <w:p w:rsidR="00391A35" w:rsidRPr="009368DE" w:rsidRDefault="00391A35" w:rsidP="0067362A">
      <w:pPr>
        <w:pStyle w:val="afffffc"/>
        <w:rPr>
          <w:sz w:val="24"/>
          <w:szCs w:val="22"/>
          <w:rtl/>
        </w:rPr>
      </w:pPr>
    </w:p>
    <w:p w:rsidR="00391A35" w:rsidRPr="00FE4C18" w:rsidRDefault="00391A35" w:rsidP="009368DE">
      <w:pPr>
        <w:pStyle w:val="3"/>
        <w:rPr>
          <w:szCs w:val="28"/>
          <w:rtl/>
        </w:rPr>
      </w:pPr>
      <w:bookmarkStart w:id="498" w:name="_Toc275128205"/>
      <w:r w:rsidRPr="00FE4C18">
        <w:rPr>
          <w:rtl/>
        </w:rPr>
        <w:t>4</w:t>
      </w:r>
      <w:r>
        <w:rPr>
          <w:rtl/>
        </w:rPr>
        <w:t>ـ</w:t>
      </w:r>
      <w:r w:rsidRPr="00FE4C18">
        <w:rPr>
          <w:rtl/>
        </w:rPr>
        <w:t xml:space="preserve"> 2</w:t>
      </w:r>
      <w:r>
        <w:rPr>
          <w:rtl/>
        </w:rPr>
        <w:t>ـ</w:t>
      </w:r>
      <w:r w:rsidRPr="00FE4C18">
        <w:rPr>
          <w:rtl/>
        </w:rPr>
        <w:t xml:space="preserve"> حقوق </w:t>
      </w:r>
      <w:r>
        <w:rPr>
          <w:rtl/>
        </w:rPr>
        <w:t>ا</w:t>
      </w:r>
      <w:r w:rsidRPr="00FE4C18">
        <w:rPr>
          <w:rtl/>
        </w:rPr>
        <w:t>لجن</w:t>
      </w:r>
      <w:r>
        <w:rPr>
          <w:rtl/>
        </w:rPr>
        <w:t>ي</w:t>
      </w:r>
      <w:r w:rsidRPr="00FE4C18">
        <w:rPr>
          <w:rtl/>
        </w:rPr>
        <w:t>ن</w:t>
      </w:r>
      <w:r>
        <w:rPr>
          <w:rtl/>
        </w:rPr>
        <w:t xml:space="preserve"> و</w:t>
      </w:r>
      <w:r w:rsidRPr="00FE4C18">
        <w:rPr>
          <w:rtl/>
        </w:rPr>
        <w:t xml:space="preserve">التزامات طرفي </w:t>
      </w:r>
      <w:r>
        <w:rPr>
          <w:rtl/>
        </w:rPr>
        <w:t>ا</w:t>
      </w:r>
      <w:r w:rsidRPr="00FE4C18">
        <w:rPr>
          <w:rtl/>
        </w:rPr>
        <w:t>لاتفاق</w:t>
      </w:r>
      <w:r>
        <w:rPr>
          <w:rtl/>
        </w:rPr>
        <w:t>ي</w:t>
      </w:r>
      <w:r w:rsidRPr="00FE4C18">
        <w:rPr>
          <w:rtl/>
        </w:rPr>
        <w:t xml:space="preserve">ة </w:t>
      </w:r>
      <w:r>
        <w:rPr>
          <w:rFonts w:hint="cs"/>
          <w:rtl/>
        </w:rPr>
        <w:t>تجاهه</w:t>
      </w:r>
      <w:bookmarkEnd w:id="498"/>
      <w:r>
        <w:rPr>
          <w:rtl/>
        </w:rPr>
        <w:t xml:space="preserve"> </w:t>
      </w:r>
    </w:p>
    <w:p w:rsidR="00391A35" w:rsidRDefault="00391A35" w:rsidP="00391A35">
      <w:pPr>
        <w:pStyle w:val="ac"/>
      </w:pPr>
      <w:r w:rsidRPr="00FE4C18">
        <w:rPr>
          <w:rtl/>
        </w:rPr>
        <w:t xml:space="preserve">منذ انعقاد </w:t>
      </w:r>
      <w:r>
        <w:rPr>
          <w:rtl/>
        </w:rPr>
        <w:t>ا</w:t>
      </w:r>
      <w:r w:rsidRPr="00FE4C18">
        <w:rPr>
          <w:rtl/>
        </w:rPr>
        <w:t>لنطفة</w:t>
      </w:r>
      <w:r>
        <w:rPr>
          <w:rtl/>
        </w:rPr>
        <w:t xml:space="preserve"> و</w:t>
      </w:r>
      <w:r w:rsidRPr="00FE4C18">
        <w:rPr>
          <w:rtl/>
        </w:rPr>
        <w:t>ت</w:t>
      </w:r>
      <w:r>
        <w:rPr>
          <w:rtl/>
        </w:rPr>
        <w:t>ك</w:t>
      </w:r>
      <w:r w:rsidRPr="00FE4C18">
        <w:rPr>
          <w:rtl/>
        </w:rPr>
        <w:t>و</w:t>
      </w:r>
      <w:r>
        <w:rPr>
          <w:rtl/>
        </w:rPr>
        <w:t>ي</w:t>
      </w:r>
      <w:r w:rsidRPr="00FE4C18">
        <w:rPr>
          <w:rtl/>
        </w:rPr>
        <w:t xml:space="preserve">ن </w:t>
      </w:r>
      <w:r>
        <w:rPr>
          <w:rtl/>
        </w:rPr>
        <w:t>ا</w:t>
      </w:r>
      <w:r w:rsidRPr="00FE4C18">
        <w:rPr>
          <w:rtl/>
        </w:rPr>
        <w:t>لجن</w:t>
      </w:r>
      <w:r>
        <w:rPr>
          <w:rtl/>
        </w:rPr>
        <w:t>ي</w:t>
      </w:r>
      <w:r w:rsidRPr="00FE4C18">
        <w:rPr>
          <w:rtl/>
        </w:rPr>
        <w:t xml:space="preserve">ن </w:t>
      </w:r>
      <w:r>
        <w:rPr>
          <w:rtl/>
        </w:rPr>
        <w:t>ي</w:t>
      </w:r>
      <w:r w:rsidRPr="00FE4C18">
        <w:rPr>
          <w:rtl/>
        </w:rPr>
        <w:t xml:space="preserve">عطي </w:t>
      </w:r>
      <w:r>
        <w:rPr>
          <w:rtl/>
        </w:rPr>
        <w:t>ك</w:t>
      </w:r>
      <w:r w:rsidRPr="00FE4C18">
        <w:rPr>
          <w:rtl/>
        </w:rPr>
        <w:t xml:space="preserve">لّ بلد </w:t>
      </w:r>
      <w:r>
        <w:rPr>
          <w:rtl/>
        </w:rPr>
        <w:t>ـ و</w:t>
      </w:r>
      <w:r w:rsidRPr="00FE4C18">
        <w:rPr>
          <w:rtl/>
        </w:rPr>
        <w:t>إ</w:t>
      </w:r>
      <w:r>
        <w:rPr>
          <w:rtl/>
        </w:rPr>
        <w:t>ي</w:t>
      </w:r>
      <w:r w:rsidRPr="00FE4C18">
        <w:rPr>
          <w:rtl/>
        </w:rPr>
        <w:t xml:space="preserve">ران </w:t>
      </w:r>
      <w:r>
        <w:rPr>
          <w:rtl/>
        </w:rPr>
        <w:t>ك</w:t>
      </w:r>
      <w:r w:rsidRPr="00FE4C18">
        <w:rPr>
          <w:rtl/>
        </w:rPr>
        <w:t>ذل</w:t>
      </w:r>
      <w:r>
        <w:rPr>
          <w:rtl/>
        </w:rPr>
        <w:t>ك ـ</w:t>
      </w:r>
      <w:r w:rsidRPr="00FE4C18">
        <w:rPr>
          <w:rtl/>
        </w:rPr>
        <w:t xml:space="preserve"> حقوقاً للجن</w:t>
      </w:r>
      <w:r>
        <w:rPr>
          <w:rtl/>
        </w:rPr>
        <w:t>ي</w:t>
      </w:r>
      <w:r w:rsidRPr="00FE4C18">
        <w:rPr>
          <w:rtl/>
        </w:rPr>
        <w:t xml:space="preserve">ن تحت عنوان </w:t>
      </w:r>
      <w:r>
        <w:rPr>
          <w:rtl/>
        </w:rPr>
        <w:t>ا</w:t>
      </w:r>
      <w:r w:rsidRPr="00FE4C18">
        <w:rPr>
          <w:rtl/>
        </w:rPr>
        <w:t xml:space="preserve">لحقوق </w:t>
      </w:r>
      <w:r>
        <w:rPr>
          <w:rtl/>
        </w:rPr>
        <w:t>ا</w:t>
      </w:r>
      <w:r w:rsidRPr="00FE4C18">
        <w:rPr>
          <w:rtl/>
        </w:rPr>
        <w:t>لمدن</w:t>
      </w:r>
      <w:r>
        <w:rPr>
          <w:rtl/>
        </w:rPr>
        <w:t>يّ</w:t>
      </w:r>
      <w:r w:rsidRPr="00FE4C18">
        <w:rPr>
          <w:rtl/>
        </w:rPr>
        <w:t>ة</w:t>
      </w:r>
      <w:r>
        <w:rPr>
          <w:rtl/>
        </w:rPr>
        <w:t>. و</w:t>
      </w:r>
      <w:r w:rsidRPr="00FE4C18">
        <w:rPr>
          <w:rtl/>
        </w:rPr>
        <w:t xml:space="preserve">من أهمّ حقوق </w:t>
      </w:r>
      <w:r>
        <w:rPr>
          <w:rtl/>
        </w:rPr>
        <w:t>ا</w:t>
      </w:r>
      <w:r w:rsidRPr="00FE4C18">
        <w:rPr>
          <w:rtl/>
        </w:rPr>
        <w:t>لجن</w:t>
      </w:r>
      <w:r>
        <w:rPr>
          <w:rtl/>
        </w:rPr>
        <w:t>ي</w:t>
      </w:r>
      <w:r w:rsidRPr="00FE4C18">
        <w:rPr>
          <w:rtl/>
        </w:rPr>
        <w:t xml:space="preserve">ن حق </w:t>
      </w:r>
      <w:r>
        <w:rPr>
          <w:rtl/>
        </w:rPr>
        <w:t>ا</w:t>
      </w:r>
      <w:r w:rsidRPr="00FE4C18">
        <w:rPr>
          <w:rtl/>
        </w:rPr>
        <w:t>لح</w:t>
      </w:r>
      <w:r>
        <w:rPr>
          <w:rtl/>
        </w:rPr>
        <w:t>ي</w:t>
      </w:r>
      <w:r w:rsidRPr="00FE4C18">
        <w:rPr>
          <w:rtl/>
        </w:rPr>
        <w:t>اة</w:t>
      </w:r>
      <w:r w:rsidRPr="007F5B58">
        <w:rPr>
          <w:rtl/>
        </w:rPr>
        <w:t>،</w:t>
      </w:r>
      <w:r>
        <w:rPr>
          <w:rtl/>
        </w:rPr>
        <w:t xml:space="preserve"> و</w:t>
      </w:r>
      <w:r w:rsidRPr="00FE4C18">
        <w:rPr>
          <w:rtl/>
        </w:rPr>
        <w:t>عل</w:t>
      </w:r>
      <w:r>
        <w:rPr>
          <w:rtl/>
        </w:rPr>
        <w:t xml:space="preserve">ى </w:t>
      </w:r>
      <w:r w:rsidRPr="00FE4C18">
        <w:rPr>
          <w:rtl/>
        </w:rPr>
        <w:t xml:space="preserve">هذا </w:t>
      </w:r>
      <w:r>
        <w:rPr>
          <w:rtl/>
        </w:rPr>
        <w:t>ي</w:t>
      </w:r>
      <w:r w:rsidRPr="00FE4C18">
        <w:rPr>
          <w:rtl/>
        </w:rPr>
        <w:t xml:space="preserve">حرم في نظام </w:t>
      </w:r>
      <w:r>
        <w:rPr>
          <w:rtl/>
        </w:rPr>
        <w:t>ا</w:t>
      </w:r>
      <w:r w:rsidRPr="00FE4C18">
        <w:rPr>
          <w:rtl/>
        </w:rPr>
        <w:t>ل</w:t>
      </w:r>
      <w:r>
        <w:rPr>
          <w:rtl/>
        </w:rPr>
        <w:t>إ</w:t>
      </w:r>
      <w:r w:rsidRPr="00FE4C18">
        <w:rPr>
          <w:rtl/>
        </w:rPr>
        <w:t xml:space="preserve">سلام </w:t>
      </w:r>
      <w:r>
        <w:rPr>
          <w:rtl/>
        </w:rPr>
        <w:t>ا</w:t>
      </w:r>
      <w:r w:rsidRPr="00FE4C18">
        <w:rPr>
          <w:rtl/>
        </w:rPr>
        <w:t xml:space="preserve">لحقوقي إجهاض </w:t>
      </w:r>
      <w:r>
        <w:rPr>
          <w:rtl/>
        </w:rPr>
        <w:t>ا</w:t>
      </w:r>
      <w:r w:rsidRPr="00FE4C18">
        <w:rPr>
          <w:rtl/>
        </w:rPr>
        <w:t>لجن</w:t>
      </w:r>
      <w:r>
        <w:rPr>
          <w:rtl/>
        </w:rPr>
        <w:t>ي</w:t>
      </w:r>
      <w:r w:rsidRPr="00FE4C18">
        <w:rPr>
          <w:rtl/>
        </w:rPr>
        <w:t>ن</w:t>
      </w:r>
      <w:r>
        <w:rPr>
          <w:rtl/>
        </w:rPr>
        <w:t>. و</w:t>
      </w:r>
      <w:r w:rsidRPr="00FE4C18">
        <w:rPr>
          <w:rtl/>
        </w:rPr>
        <w:t>قد وضع لمرت</w:t>
      </w:r>
      <w:r>
        <w:rPr>
          <w:rtl/>
        </w:rPr>
        <w:t>ك</w:t>
      </w:r>
      <w:r w:rsidRPr="00FE4C18">
        <w:rPr>
          <w:rtl/>
        </w:rPr>
        <w:t xml:space="preserve">ب هذه </w:t>
      </w:r>
      <w:r>
        <w:rPr>
          <w:rtl/>
        </w:rPr>
        <w:t>ا</w:t>
      </w:r>
      <w:r w:rsidRPr="00FE4C18">
        <w:rPr>
          <w:rtl/>
        </w:rPr>
        <w:t>لجر</w:t>
      </w:r>
      <w:r>
        <w:rPr>
          <w:rtl/>
        </w:rPr>
        <w:t>ي</w:t>
      </w:r>
      <w:r w:rsidRPr="00FE4C18">
        <w:rPr>
          <w:rtl/>
        </w:rPr>
        <w:t xml:space="preserve">مة </w:t>
      </w:r>
      <w:r>
        <w:rPr>
          <w:rtl/>
        </w:rPr>
        <w:t>ـ</w:t>
      </w:r>
      <w:r w:rsidRPr="00FE4C18">
        <w:rPr>
          <w:rtl/>
        </w:rPr>
        <w:t xml:space="preserve"> </w:t>
      </w:r>
      <w:r>
        <w:rPr>
          <w:rtl/>
        </w:rPr>
        <w:t>ولو</w:t>
      </w:r>
      <w:r w:rsidRPr="00FE4C18">
        <w:rPr>
          <w:rtl/>
        </w:rPr>
        <w:t xml:space="preserve"> </w:t>
      </w:r>
      <w:r>
        <w:rPr>
          <w:rtl/>
        </w:rPr>
        <w:t>ك</w:t>
      </w:r>
      <w:r w:rsidRPr="00FE4C18">
        <w:rPr>
          <w:rtl/>
        </w:rPr>
        <w:t xml:space="preserve">ان </w:t>
      </w:r>
      <w:r>
        <w:rPr>
          <w:rtl/>
        </w:rPr>
        <w:t>ا</w:t>
      </w:r>
      <w:r w:rsidRPr="00FE4C18">
        <w:rPr>
          <w:rtl/>
        </w:rPr>
        <w:t xml:space="preserve">لأب أو </w:t>
      </w:r>
      <w:r>
        <w:rPr>
          <w:rtl/>
        </w:rPr>
        <w:lastRenderedPageBreak/>
        <w:t>ا</w:t>
      </w:r>
      <w:r w:rsidRPr="00FE4C18">
        <w:rPr>
          <w:rtl/>
        </w:rPr>
        <w:t xml:space="preserve">لأم </w:t>
      </w:r>
      <w:r>
        <w:rPr>
          <w:rtl/>
        </w:rPr>
        <w:t>ـ</w:t>
      </w:r>
      <w:r w:rsidRPr="00FE4C18">
        <w:rPr>
          <w:rtl/>
        </w:rPr>
        <w:t xml:space="preserve"> قصاص</w:t>
      </w:r>
      <w:r>
        <w:rPr>
          <w:rtl/>
        </w:rPr>
        <w:t xml:space="preserve"> و</w:t>
      </w:r>
      <w:r w:rsidRPr="00FE4C18">
        <w:rPr>
          <w:rtl/>
        </w:rPr>
        <w:t>عقوبات</w:t>
      </w:r>
      <w:r>
        <w:rPr>
          <w:rtl/>
        </w:rPr>
        <w:t>.</w:t>
      </w:r>
      <w:r w:rsidRPr="00FE4C18">
        <w:rPr>
          <w:rtl/>
        </w:rPr>
        <w:t xml:space="preserve"> فعل</w:t>
      </w:r>
      <w:r>
        <w:rPr>
          <w:rtl/>
        </w:rPr>
        <w:t xml:space="preserve">ى </w:t>
      </w:r>
      <w:r w:rsidRPr="00FE4C18">
        <w:rPr>
          <w:rtl/>
        </w:rPr>
        <w:t xml:space="preserve">أساس </w:t>
      </w:r>
      <w:r>
        <w:rPr>
          <w:rtl/>
        </w:rPr>
        <w:t>ا</w:t>
      </w:r>
      <w:r w:rsidRPr="00FE4C18">
        <w:rPr>
          <w:rtl/>
        </w:rPr>
        <w:t>لاتفاق</w:t>
      </w:r>
      <w:r>
        <w:rPr>
          <w:rtl/>
        </w:rPr>
        <w:t>ي</w:t>
      </w:r>
      <w:r w:rsidRPr="00FE4C18">
        <w:rPr>
          <w:rtl/>
        </w:rPr>
        <w:t xml:space="preserve">ة </w:t>
      </w:r>
      <w:r>
        <w:rPr>
          <w:rtl/>
        </w:rPr>
        <w:t>ي</w:t>
      </w:r>
      <w:r w:rsidRPr="00FE4C18">
        <w:rPr>
          <w:rtl/>
        </w:rPr>
        <w:t xml:space="preserve">لتزم </w:t>
      </w:r>
      <w:r>
        <w:rPr>
          <w:rtl/>
        </w:rPr>
        <w:t>ك</w:t>
      </w:r>
      <w:r w:rsidRPr="00FE4C18">
        <w:rPr>
          <w:rtl/>
        </w:rPr>
        <w:t xml:space="preserve">لّ من </w:t>
      </w:r>
      <w:r>
        <w:rPr>
          <w:rtl/>
        </w:rPr>
        <w:t>ا</w:t>
      </w:r>
      <w:r w:rsidRPr="00FE4C18">
        <w:rPr>
          <w:rtl/>
        </w:rPr>
        <w:t>لطرف</w:t>
      </w:r>
      <w:r>
        <w:rPr>
          <w:rtl/>
        </w:rPr>
        <w:t>ي</w:t>
      </w:r>
      <w:r w:rsidRPr="00FE4C18">
        <w:rPr>
          <w:rtl/>
        </w:rPr>
        <w:t xml:space="preserve">ن بحفظ </w:t>
      </w:r>
      <w:r>
        <w:rPr>
          <w:rtl/>
        </w:rPr>
        <w:t>ا</w:t>
      </w:r>
      <w:r w:rsidRPr="00FE4C18">
        <w:rPr>
          <w:rtl/>
        </w:rPr>
        <w:t>لجن</w:t>
      </w:r>
      <w:r>
        <w:rPr>
          <w:rtl/>
        </w:rPr>
        <w:t>ي</w:t>
      </w:r>
      <w:r w:rsidRPr="00FE4C18">
        <w:rPr>
          <w:rtl/>
        </w:rPr>
        <w:t>ن أ</w:t>
      </w:r>
      <w:r>
        <w:rPr>
          <w:rtl/>
        </w:rPr>
        <w:t>ي</w:t>
      </w:r>
      <w:r w:rsidRPr="00FE4C18">
        <w:rPr>
          <w:rtl/>
        </w:rPr>
        <w:t xml:space="preserve">ضاً منذ انعقاد </w:t>
      </w:r>
      <w:r>
        <w:rPr>
          <w:rtl/>
        </w:rPr>
        <w:t>ا</w:t>
      </w:r>
      <w:r w:rsidRPr="00FE4C18">
        <w:rPr>
          <w:rtl/>
        </w:rPr>
        <w:t>لنطفة</w:t>
      </w:r>
      <w:r w:rsidRPr="007F5B58">
        <w:rPr>
          <w:rtl/>
        </w:rPr>
        <w:t>؛</w:t>
      </w:r>
      <w:r w:rsidRPr="00FE4C18">
        <w:rPr>
          <w:rtl/>
        </w:rPr>
        <w:t xml:space="preserve"> لأنَّ </w:t>
      </w:r>
      <w:r>
        <w:rPr>
          <w:rtl/>
        </w:rPr>
        <w:t>ل</w:t>
      </w:r>
      <w:r w:rsidRPr="00FE4C18">
        <w:rPr>
          <w:rtl/>
        </w:rPr>
        <w:t>لجن</w:t>
      </w:r>
      <w:r>
        <w:rPr>
          <w:rtl/>
        </w:rPr>
        <w:t>ي</w:t>
      </w:r>
      <w:r w:rsidRPr="00FE4C18">
        <w:rPr>
          <w:rtl/>
        </w:rPr>
        <w:t xml:space="preserve">ن له حق </w:t>
      </w:r>
      <w:r>
        <w:rPr>
          <w:rtl/>
        </w:rPr>
        <w:t>ا</w:t>
      </w:r>
      <w:r w:rsidRPr="00FE4C18">
        <w:rPr>
          <w:rtl/>
        </w:rPr>
        <w:t>لح</w:t>
      </w:r>
      <w:r>
        <w:rPr>
          <w:rtl/>
        </w:rPr>
        <w:t>ي</w:t>
      </w:r>
      <w:r w:rsidRPr="00FE4C18">
        <w:rPr>
          <w:rtl/>
        </w:rPr>
        <w:t>اة</w:t>
      </w:r>
      <w:r w:rsidRPr="007F5B58">
        <w:rPr>
          <w:rtl/>
        </w:rPr>
        <w:t>،</w:t>
      </w:r>
      <w:r w:rsidRPr="00FE4C18">
        <w:rPr>
          <w:rtl/>
        </w:rPr>
        <w:t xml:space="preserve"> فل</w:t>
      </w:r>
      <w:r>
        <w:rPr>
          <w:rtl/>
        </w:rPr>
        <w:t>ي</w:t>
      </w:r>
      <w:r w:rsidRPr="00FE4C18">
        <w:rPr>
          <w:rtl/>
        </w:rPr>
        <w:t>س للأبو</w:t>
      </w:r>
      <w:r>
        <w:rPr>
          <w:rtl/>
        </w:rPr>
        <w:t>ي</w:t>
      </w:r>
      <w:r w:rsidRPr="00FE4C18">
        <w:rPr>
          <w:rtl/>
        </w:rPr>
        <w:t>ن سلطة عل</w:t>
      </w:r>
      <w:r>
        <w:rPr>
          <w:rtl/>
        </w:rPr>
        <w:t>ي</w:t>
      </w:r>
      <w:r w:rsidRPr="00FE4C18">
        <w:rPr>
          <w:rtl/>
        </w:rPr>
        <w:t>ه أساساً</w:t>
      </w:r>
      <w:r w:rsidRPr="00815C4C">
        <w:rPr>
          <w:rFonts w:cs="Taher"/>
          <w:vertAlign w:val="superscript"/>
          <w:rtl/>
        </w:rPr>
        <w:t>(</w:t>
      </w:r>
      <w:r w:rsidRPr="00815C4C">
        <w:rPr>
          <w:rFonts w:cs="Taher"/>
          <w:vertAlign w:val="superscript"/>
          <w:rtl/>
        </w:rPr>
        <w:footnoteReference w:id="913"/>
      </w:r>
      <w:r w:rsidRPr="00815C4C">
        <w:rPr>
          <w:rFonts w:cs="Taher"/>
          <w:vertAlign w:val="superscript"/>
          <w:rtl/>
        </w:rPr>
        <w:t>)</w:t>
      </w:r>
      <w:r w:rsidRPr="007F5B58">
        <w:rPr>
          <w:rtl/>
        </w:rPr>
        <w:t>،</w:t>
      </w:r>
      <w:r>
        <w:rPr>
          <w:rtl/>
        </w:rPr>
        <w:t xml:space="preserve"> و</w:t>
      </w:r>
      <w:r w:rsidRPr="00FE4C18">
        <w:rPr>
          <w:rtl/>
        </w:rPr>
        <w:t>ل</w:t>
      </w:r>
      <w:r>
        <w:rPr>
          <w:rtl/>
        </w:rPr>
        <w:t>ي</w:t>
      </w:r>
      <w:r w:rsidRPr="00FE4C18">
        <w:rPr>
          <w:rtl/>
        </w:rPr>
        <w:t>س بإم</w:t>
      </w:r>
      <w:r>
        <w:rPr>
          <w:rtl/>
        </w:rPr>
        <w:t>ك</w:t>
      </w:r>
      <w:r w:rsidRPr="00FE4C18">
        <w:rPr>
          <w:rtl/>
        </w:rPr>
        <w:t xml:space="preserve">انهما إجبار صاحبة </w:t>
      </w:r>
      <w:r>
        <w:rPr>
          <w:rtl/>
        </w:rPr>
        <w:t>ا</w:t>
      </w:r>
      <w:r w:rsidRPr="00FE4C18">
        <w:rPr>
          <w:rtl/>
        </w:rPr>
        <w:t>لرحم عل</w:t>
      </w:r>
      <w:r>
        <w:rPr>
          <w:rtl/>
        </w:rPr>
        <w:t>ى ا</w:t>
      </w:r>
      <w:r w:rsidRPr="00FE4C18">
        <w:rPr>
          <w:rtl/>
        </w:rPr>
        <w:t>لإجهاض</w:t>
      </w:r>
      <w:r>
        <w:rPr>
          <w:rtl/>
        </w:rPr>
        <w:t>. و</w:t>
      </w:r>
      <w:r w:rsidRPr="00FE4C18">
        <w:rPr>
          <w:rtl/>
        </w:rPr>
        <w:t xml:space="preserve">صاحبة </w:t>
      </w:r>
      <w:r>
        <w:rPr>
          <w:rtl/>
        </w:rPr>
        <w:t>ا</w:t>
      </w:r>
      <w:r w:rsidRPr="00FE4C18">
        <w:rPr>
          <w:rtl/>
        </w:rPr>
        <w:t xml:space="preserve">لرحم </w:t>
      </w:r>
      <w:r>
        <w:rPr>
          <w:rtl/>
        </w:rPr>
        <w:t xml:space="preserve">ـ </w:t>
      </w:r>
      <w:r w:rsidRPr="00FE4C18">
        <w:rPr>
          <w:rtl/>
        </w:rPr>
        <w:t>وفقا</w:t>
      </w:r>
      <w:r>
        <w:rPr>
          <w:rtl/>
        </w:rPr>
        <w:t>ً</w:t>
      </w:r>
      <w:r w:rsidRPr="00FE4C18">
        <w:rPr>
          <w:rtl/>
        </w:rPr>
        <w:t xml:space="preserve"> للشر</w:t>
      </w:r>
      <w:r>
        <w:rPr>
          <w:rtl/>
        </w:rPr>
        <w:t>ي</w:t>
      </w:r>
      <w:r w:rsidRPr="00FE4C18">
        <w:rPr>
          <w:rtl/>
        </w:rPr>
        <w:t>عة</w:t>
      </w:r>
      <w:r>
        <w:rPr>
          <w:rtl/>
        </w:rPr>
        <w:t xml:space="preserve"> وا</w:t>
      </w:r>
      <w:r w:rsidRPr="00FE4C18">
        <w:rPr>
          <w:rtl/>
        </w:rPr>
        <w:t xml:space="preserve">لأخلاق </w:t>
      </w:r>
      <w:r>
        <w:rPr>
          <w:rtl/>
        </w:rPr>
        <w:t xml:space="preserve">ـ </w:t>
      </w:r>
      <w:r w:rsidRPr="00FE4C18">
        <w:rPr>
          <w:rtl/>
        </w:rPr>
        <w:t xml:space="preserve">ملزمة بحفظ </w:t>
      </w:r>
      <w:r>
        <w:rPr>
          <w:rtl/>
        </w:rPr>
        <w:t>ا</w:t>
      </w:r>
      <w:r w:rsidRPr="00FE4C18">
        <w:rPr>
          <w:rtl/>
        </w:rPr>
        <w:t>لجن</w:t>
      </w:r>
      <w:r>
        <w:rPr>
          <w:rtl/>
        </w:rPr>
        <w:t>ي</w:t>
      </w:r>
      <w:r w:rsidRPr="00FE4C18">
        <w:rPr>
          <w:rtl/>
        </w:rPr>
        <w:t>ن</w:t>
      </w:r>
      <w:r w:rsidRPr="00815C4C">
        <w:rPr>
          <w:rFonts w:cs="Taher"/>
          <w:vertAlign w:val="superscript"/>
          <w:rtl/>
        </w:rPr>
        <w:t>(</w:t>
      </w:r>
      <w:r w:rsidRPr="00815C4C">
        <w:rPr>
          <w:rFonts w:cs="Taher"/>
          <w:vertAlign w:val="superscript"/>
          <w:rtl/>
        </w:rPr>
        <w:footnoteReference w:id="914"/>
      </w:r>
      <w:r w:rsidRPr="00815C4C">
        <w:rPr>
          <w:rFonts w:cs="Taher"/>
          <w:vertAlign w:val="superscript"/>
          <w:rtl/>
        </w:rPr>
        <w:t>)</w:t>
      </w:r>
      <w:r w:rsidRPr="00FE4C18">
        <w:rPr>
          <w:rtl/>
        </w:rPr>
        <w:t xml:space="preserve">. </w:t>
      </w:r>
    </w:p>
    <w:p w:rsidR="00391A35" w:rsidRPr="009368DE" w:rsidRDefault="00391A35" w:rsidP="009368DE">
      <w:pPr>
        <w:pStyle w:val="afffffc"/>
        <w:rPr>
          <w:sz w:val="16"/>
          <w:szCs w:val="14"/>
          <w:rtl/>
        </w:rPr>
      </w:pPr>
    </w:p>
    <w:p w:rsidR="00391A35" w:rsidRPr="00FE4C18" w:rsidRDefault="00391A35" w:rsidP="009368DE">
      <w:pPr>
        <w:pStyle w:val="3"/>
        <w:rPr>
          <w:rtl/>
        </w:rPr>
      </w:pPr>
      <w:bookmarkStart w:id="499" w:name="_Toc275128206"/>
      <w:r w:rsidRPr="00FE4C18">
        <w:rPr>
          <w:rtl/>
        </w:rPr>
        <w:t>4</w:t>
      </w:r>
      <w:r>
        <w:rPr>
          <w:rtl/>
        </w:rPr>
        <w:t>ـ</w:t>
      </w:r>
      <w:r w:rsidRPr="00FE4C18">
        <w:rPr>
          <w:rtl/>
        </w:rPr>
        <w:t xml:space="preserve"> 3</w:t>
      </w:r>
      <w:r>
        <w:rPr>
          <w:rtl/>
        </w:rPr>
        <w:t>ـ</w:t>
      </w:r>
      <w:r w:rsidRPr="00FE4C18">
        <w:rPr>
          <w:rtl/>
        </w:rPr>
        <w:t xml:space="preserve"> بالنسبة </w:t>
      </w:r>
      <w:r>
        <w:rPr>
          <w:rtl/>
        </w:rPr>
        <w:t>لغير المتعاقدين</w:t>
      </w:r>
      <w:bookmarkEnd w:id="499"/>
      <w:r w:rsidRPr="00FE4C18">
        <w:rPr>
          <w:rtl/>
        </w:rPr>
        <w:t xml:space="preserve"> </w:t>
      </w:r>
    </w:p>
    <w:p w:rsidR="00391A35" w:rsidRPr="00FE4C18" w:rsidRDefault="00391A35" w:rsidP="009368DE">
      <w:pPr>
        <w:pStyle w:val="ac"/>
        <w:spacing w:line="199" w:lineRule="auto"/>
        <w:rPr>
          <w:rtl/>
        </w:rPr>
      </w:pPr>
      <w:r>
        <w:rPr>
          <w:rtl/>
        </w:rPr>
        <w:t>ي</w:t>
      </w:r>
      <w:r w:rsidRPr="00FE4C18">
        <w:rPr>
          <w:rtl/>
        </w:rPr>
        <w:t xml:space="preserve">قول </w:t>
      </w:r>
      <w:r>
        <w:rPr>
          <w:rtl/>
        </w:rPr>
        <w:t>ا</w:t>
      </w:r>
      <w:r w:rsidRPr="00FE4C18">
        <w:rPr>
          <w:rtl/>
        </w:rPr>
        <w:t xml:space="preserve">لقانون </w:t>
      </w:r>
      <w:r>
        <w:rPr>
          <w:rtl/>
        </w:rPr>
        <w:t>ا</w:t>
      </w:r>
      <w:r w:rsidRPr="00FE4C18">
        <w:rPr>
          <w:rtl/>
        </w:rPr>
        <w:t xml:space="preserve">لمدني في </w:t>
      </w:r>
      <w:r>
        <w:rPr>
          <w:rtl/>
        </w:rPr>
        <w:t>ا</w:t>
      </w:r>
      <w:r w:rsidRPr="00FE4C18">
        <w:rPr>
          <w:rtl/>
        </w:rPr>
        <w:t>لمادة 231</w:t>
      </w:r>
      <w:r w:rsidRPr="007F5B58">
        <w:rPr>
          <w:rtl/>
        </w:rPr>
        <w:t>:</w:t>
      </w:r>
      <w:r w:rsidRPr="00FE4C18">
        <w:rPr>
          <w:rtl/>
        </w:rPr>
        <w:t xml:space="preserve"> «الصفقات</w:t>
      </w:r>
      <w:r>
        <w:rPr>
          <w:rtl/>
        </w:rPr>
        <w:t xml:space="preserve"> وا</w:t>
      </w:r>
      <w:r w:rsidRPr="00FE4C18">
        <w:rPr>
          <w:rtl/>
        </w:rPr>
        <w:t>لعقود تؤثر عل</w:t>
      </w:r>
      <w:r>
        <w:rPr>
          <w:rtl/>
        </w:rPr>
        <w:t xml:space="preserve">ى </w:t>
      </w:r>
      <w:r w:rsidRPr="00FE4C18">
        <w:rPr>
          <w:rtl/>
        </w:rPr>
        <w:t xml:space="preserve">طرفي </w:t>
      </w:r>
      <w:r>
        <w:rPr>
          <w:rtl/>
        </w:rPr>
        <w:t>ا</w:t>
      </w:r>
      <w:r w:rsidRPr="00FE4C18">
        <w:rPr>
          <w:rtl/>
        </w:rPr>
        <w:t>لصفقة</w:t>
      </w:r>
      <w:r>
        <w:rPr>
          <w:rtl/>
        </w:rPr>
        <w:t xml:space="preserve"> و</w:t>
      </w:r>
      <w:r w:rsidRPr="00FE4C18">
        <w:rPr>
          <w:rtl/>
        </w:rPr>
        <w:t xml:space="preserve">نائبهما </w:t>
      </w:r>
      <w:r>
        <w:rPr>
          <w:rtl/>
        </w:rPr>
        <w:t>ا</w:t>
      </w:r>
      <w:r w:rsidRPr="00FE4C18">
        <w:rPr>
          <w:rtl/>
        </w:rPr>
        <w:t>لقانوني</w:t>
      </w:r>
      <w:r>
        <w:rPr>
          <w:rFonts w:hint="cs"/>
          <w:rtl/>
        </w:rPr>
        <w:t>،</w:t>
      </w:r>
      <w:r w:rsidRPr="00FE4C18">
        <w:rPr>
          <w:rtl/>
        </w:rPr>
        <w:t xml:space="preserve"> إلاّ في </w:t>
      </w:r>
      <w:r>
        <w:rPr>
          <w:rtl/>
        </w:rPr>
        <w:t>ا</w:t>
      </w:r>
      <w:r w:rsidRPr="00FE4C18">
        <w:rPr>
          <w:rtl/>
        </w:rPr>
        <w:t>لمادة 196»</w:t>
      </w:r>
      <w:r w:rsidRPr="00815C4C">
        <w:rPr>
          <w:rFonts w:cs="Taher" w:hint="cs"/>
          <w:vertAlign w:val="superscript"/>
          <w:rtl/>
        </w:rPr>
        <w:t>(</w:t>
      </w:r>
      <w:r w:rsidRPr="00815C4C">
        <w:rPr>
          <w:rFonts w:cs="Taher"/>
          <w:vertAlign w:val="superscript"/>
          <w:rtl/>
        </w:rPr>
        <w:footnoteReference w:id="915"/>
      </w:r>
      <w:r w:rsidRPr="00815C4C">
        <w:rPr>
          <w:rFonts w:cs="Taher" w:hint="cs"/>
          <w:vertAlign w:val="superscript"/>
          <w:rtl/>
        </w:rPr>
        <w:t>)</w:t>
      </w:r>
      <w:r>
        <w:rPr>
          <w:rtl/>
        </w:rPr>
        <w:t>.</w:t>
      </w:r>
      <w:r w:rsidRPr="00FE4C18">
        <w:rPr>
          <w:rtl/>
        </w:rPr>
        <w:t xml:space="preserve"> </w:t>
      </w:r>
    </w:p>
    <w:p w:rsidR="00391A35" w:rsidRPr="00FE4C18" w:rsidRDefault="00391A35" w:rsidP="00391A35">
      <w:pPr>
        <w:pStyle w:val="ac"/>
        <w:rPr>
          <w:rtl/>
        </w:rPr>
      </w:pPr>
      <w:r>
        <w:rPr>
          <w:rtl/>
        </w:rPr>
        <w:t>و</w:t>
      </w:r>
      <w:r w:rsidRPr="00FE4C18">
        <w:rPr>
          <w:rtl/>
        </w:rPr>
        <w:t xml:space="preserve">النائب </w:t>
      </w:r>
      <w:r>
        <w:rPr>
          <w:rtl/>
        </w:rPr>
        <w:t>ا</w:t>
      </w:r>
      <w:r w:rsidRPr="00FE4C18">
        <w:rPr>
          <w:rtl/>
        </w:rPr>
        <w:t xml:space="preserve">لقانوني هو </w:t>
      </w:r>
      <w:r>
        <w:rPr>
          <w:rtl/>
        </w:rPr>
        <w:t>ا</w:t>
      </w:r>
      <w:r w:rsidRPr="00FE4C18">
        <w:rPr>
          <w:rtl/>
        </w:rPr>
        <w:t xml:space="preserve">لذي </w:t>
      </w:r>
      <w:r>
        <w:rPr>
          <w:rtl/>
        </w:rPr>
        <w:t>ي</w:t>
      </w:r>
      <w:r w:rsidRPr="00FE4C18">
        <w:rPr>
          <w:rtl/>
        </w:rPr>
        <w:t xml:space="preserve">نوب عن </w:t>
      </w:r>
      <w:r>
        <w:rPr>
          <w:rtl/>
        </w:rPr>
        <w:t>ا</w:t>
      </w:r>
      <w:r w:rsidRPr="00FE4C18">
        <w:rPr>
          <w:rtl/>
        </w:rPr>
        <w:t xml:space="preserve">لشخص </w:t>
      </w:r>
      <w:r>
        <w:rPr>
          <w:rtl/>
        </w:rPr>
        <w:t>ا</w:t>
      </w:r>
      <w:r w:rsidRPr="00FE4C18">
        <w:rPr>
          <w:rtl/>
        </w:rPr>
        <w:t xml:space="preserve">لأصلي في </w:t>
      </w:r>
      <w:r>
        <w:rPr>
          <w:rtl/>
        </w:rPr>
        <w:t>ا</w:t>
      </w:r>
      <w:r w:rsidRPr="00FE4C18">
        <w:rPr>
          <w:rtl/>
        </w:rPr>
        <w:t>لحقوق</w:t>
      </w:r>
      <w:r>
        <w:rPr>
          <w:rtl/>
        </w:rPr>
        <w:t xml:space="preserve"> وا</w:t>
      </w:r>
      <w:r w:rsidRPr="00FE4C18">
        <w:rPr>
          <w:rtl/>
        </w:rPr>
        <w:t>لالتزامات</w:t>
      </w:r>
      <w:r w:rsidRPr="00815C4C">
        <w:rPr>
          <w:rFonts w:cs="Taher"/>
          <w:vertAlign w:val="superscript"/>
          <w:rtl/>
        </w:rPr>
        <w:t>(</w:t>
      </w:r>
      <w:r w:rsidRPr="00815C4C">
        <w:rPr>
          <w:rFonts w:cs="Taher"/>
          <w:vertAlign w:val="superscript"/>
          <w:rtl/>
        </w:rPr>
        <w:footnoteReference w:id="916"/>
      </w:r>
      <w:r w:rsidRPr="00815C4C">
        <w:rPr>
          <w:rFonts w:cs="Taher"/>
          <w:vertAlign w:val="superscript"/>
          <w:rtl/>
        </w:rPr>
        <w:t>)</w:t>
      </w:r>
      <w:r>
        <w:rPr>
          <w:rtl/>
        </w:rPr>
        <w:t>.</w:t>
      </w:r>
      <w:r w:rsidRPr="00FE4C18">
        <w:rPr>
          <w:rtl/>
        </w:rPr>
        <w:t xml:space="preserve"> </w:t>
      </w:r>
    </w:p>
    <w:p w:rsidR="00391A35" w:rsidRPr="00FE4C18" w:rsidRDefault="00391A35" w:rsidP="009368DE">
      <w:pPr>
        <w:pStyle w:val="ac"/>
        <w:spacing w:line="199" w:lineRule="auto"/>
        <w:rPr>
          <w:rtl/>
        </w:rPr>
      </w:pPr>
      <w:r>
        <w:rPr>
          <w:rtl/>
        </w:rPr>
        <w:t xml:space="preserve">إن </w:t>
      </w:r>
      <w:r w:rsidRPr="00FE4C18">
        <w:rPr>
          <w:rtl/>
        </w:rPr>
        <w:t>اتفاق</w:t>
      </w:r>
      <w:r>
        <w:rPr>
          <w:rtl/>
        </w:rPr>
        <w:t>ي</w:t>
      </w:r>
      <w:r w:rsidRPr="00FE4C18">
        <w:rPr>
          <w:rtl/>
        </w:rPr>
        <w:t xml:space="preserve">ة استخدام رحم </w:t>
      </w:r>
      <w:r>
        <w:rPr>
          <w:rtl/>
        </w:rPr>
        <w:t>ا</w:t>
      </w:r>
      <w:r w:rsidRPr="00FE4C18">
        <w:rPr>
          <w:rtl/>
        </w:rPr>
        <w:t>لمرأة طابع شخصي</w:t>
      </w:r>
      <w:r w:rsidRPr="007F5B58">
        <w:rPr>
          <w:rtl/>
        </w:rPr>
        <w:t>،</w:t>
      </w:r>
      <w:r>
        <w:rPr>
          <w:rtl/>
        </w:rPr>
        <w:t xml:space="preserve"> و</w:t>
      </w:r>
      <w:r w:rsidRPr="00FE4C18">
        <w:rPr>
          <w:rtl/>
        </w:rPr>
        <w:t xml:space="preserve">قد انعقدت مع ملاحظة طرف </w:t>
      </w:r>
      <w:r>
        <w:rPr>
          <w:rtl/>
        </w:rPr>
        <w:t>ا</w:t>
      </w:r>
      <w:r w:rsidRPr="00FE4C18">
        <w:rPr>
          <w:rtl/>
        </w:rPr>
        <w:t>لمعاملة</w:t>
      </w:r>
      <w:r w:rsidRPr="007F5B58">
        <w:rPr>
          <w:rtl/>
        </w:rPr>
        <w:t>،</w:t>
      </w:r>
      <w:r>
        <w:rPr>
          <w:rtl/>
        </w:rPr>
        <w:t xml:space="preserve"> وتـن</w:t>
      </w:r>
      <w:r w:rsidRPr="00FE4C18">
        <w:rPr>
          <w:rtl/>
        </w:rPr>
        <w:t>سخ بموته</w:t>
      </w:r>
      <w:r w:rsidRPr="007F5B58">
        <w:rPr>
          <w:rtl/>
        </w:rPr>
        <w:t>،</w:t>
      </w:r>
      <w:r>
        <w:rPr>
          <w:rtl/>
        </w:rPr>
        <w:t xml:space="preserve"> و</w:t>
      </w:r>
      <w:r w:rsidRPr="00FE4C18">
        <w:rPr>
          <w:rtl/>
        </w:rPr>
        <w:t>ل</w:t>
      </w:r>
      <w:r>
        <w:rPr>
          <w:rtl/>
        </w:rPr>
        <w:t>ك</w:t>
      </w:r>
      <w:r w:rsidRPr="00FE4C18">
        <w:rPr>
          <w:rtl/>
        </w:rPr>
        <w:t xml:space="preserve">ن لأنَّ قسماً من حقوق صاحبة </w:t>
      </w:r>
      <w:r>
        <w:rPr>
          <w:rtl/>
        </w:rPr>
        <w:t>ا</w:t>
      </w:r>
      <w:r w:rsidRPr="00FE4C18">
        <w:rPr>
          <w:rtl/>
        </w:rPr>
        <w:t xml:space="preserve">لرحم </w:t>
      </w:r>
      <w:r>
        <w:rPr>
          <w:rtl/>
        </w:rPr>
        <w:t>ي</w:t>
      </w:r>
      <w:r w:rsidRPr="00FE4C18">
        <w:rPr>
          <w:rtl/>
        </w:rPr>
        <w:t>عتبر مال</w:t>
      </w:r>
      <w:r>
        <w:rPr>
          <w:rtl/>
        </w:rPr>
        <w:t>ي</w:t>
      </w:r>
      <w:r w:rsidRPr="00FE4C18">
        <w:rPr>
          <w:rtl/>
        </w:rPr>
        <w:t xml:space="preserve">اً فالحقوق </w:t>
      </w:r>
      <w:r>
        <w:rPr>
          <w:rtl/>
        </w:rPr>
        <w:t>ا</w:t>
      </w:r>
      <w:r w:rsidRPr="00FE4C18">
        <w:rPr>
          <w:rtl/>
        </w:rPr>
        <w:t>لمال</w:t>
      </w:r>
      <w:r>
        <w:rPr>
          <w:rtl/>
        </w:rPr>
        <w:t>يّ</w:t>
      </w:r>
      <w:r w:rsidRPr="00FE4C18">
        <w:rPr>
          <w:rtl/>
        </w:rPr>
        <w:t xml:space="preserve">ة </w:t>
      </w:r>
      <w:r>
        <w:rPr>
          <w:rtl/>
        </w:rPr>
        <w:t>ا</w:t>
      </w:r>
      <w:r w:rsidRPr="00FE4C18">
        <w:rPr>
          <w:rtl/>
        </w:rPr>
        <w:t xml:space="preserve">لتي توجد إثر </w:t>
      </w:r>
      <w:r>
        <w:rPr>
          <w:rtl/>
        </w:rPr>
        <w:t>ا</w:t>
      </w:r>
      <w:r w:rsidRPr="00FE4C18">
        <w:rPr>
          <w:rtl/>
        </w:rPr>
        <w:t>لاتفاق</w:t>
      </w:r>
      <w:r>
        <w:rPr>
          <w:rtl/>
        </w:rPr>
        <w:t>ي</w:t>
      </w:r>
      <w:r w:rsidRPr="00FE4C18">
        <w:rPr>
          <w:rtl/>
        </w:rPr>
        <w:t xml:space="preserve">ة </w:t>
      </w:r>
      <w:r>
        <w:rPr>
          <w:rtl/>
        </w:rPr>
        <w:t>ي</w:t>
      </w:r>
      <w:r w:rsidRPr="00FE4C18">
        <w:rPr>
          <w:rtl/>
        </w:rPr>
        <w:t xml:space="preserve">قوم بها </w:t>
      </w:r>
      <w:r>
        <w:rPr>
          <w:rtl/>
        </w:rPr>
        <w:t>ا</w:t>
      </w:r>
      <w:r w:rsidRPr="00FE4C18">
        <w:rPr>
          <w:rtl/>
        </w:rPr>
        <w:t>لورثة ن</w:t>
      </w:r>
      <w:r>
        <w:rPr>
          <w:rtl/>
        </w:rPr>
        <w:t>ي</w:t>
      </w:r>
      <w:r w:rsidRPr="00FE4C18">
        <w:rPr>
          <w:rtl/>
        </w:rPr>
        <w:t xml:space="preserve">ابة عن </w:t>
      </w:r>
      <w:r>
        <w:rPr>
          <w:rtl/>
        </w:rPr>
        <w:t>ا</w:t>
      </w:r>
      <w:r w:rsidRPr="00FE4C18">
        <w:rPr>
          <w:rtl/>
        </w:rPr>
        <w:t xml:space="preserve">لطرف </w:t>
      </w:r>
      <w:r>
        <w:rPr>
          <w:rtl/>
        </w:rPr>
        <w:t>ا</w:t>
      </w:r>
      <w:r w:rsidRPr="00FE4C18">
        <w:rPr>
          <w:rtl/>
        </w:rPr>
        <w:t>لأصلي</w:t>
      </w:r>
      <w:r w:rsidRPr="007F5B58">
        <w:rPr>
          <w:rtl/>
        </w:rPr>
        <w:t>،</w:t>
      </w:r>
      <w:r w:rsidRPr="00FE4C18">
        <w:rPr>
          <w:rtl/>
        </w:rPr>
        <w:t xml:space="preserve"> </w:t>
      </w:r>
      <w:r>
        <w:rPr>
          <w:rtl/>
        </w:rPr>
        <w:t>أما ا</w:t>
      </w:r>
      <w:r w:rsidRPr="00FE4C18">
        <w:rPr>
          <w:rtl/>
        </w:rPr>
        <w:t xml:space="preserve">لالتزامات </w:t>
      </w:r>
      <w:r>
        <w:rPr>
          <w:rtl/>
        </w:rPr>
        <w:t>ا</w:t>
      </w:r>
      <w:r w:rsidRPr="00FE4C18">
        <w:rPr>
          <w:rtl/>
        </w:rPr>
        <w:t xml:space="preserve">لتي </w:t>
      </w:r>
      <w:r>
        <w:rPr>
          <w:rtl/>
        </w:rPr>
        <w:t>ي</w:t>
      </w:r>
      <w:r w:rsidRPr="00FE4C18">
        <w:rPr>
          <w:rtl/>
        </w:rPr>
        <w:t xml:space="preserve">جب </w:t>
      </w:r>
      <w:r>
        <w:rPr>
          <w:rtl/>
        </w:rPr>
        <w:t>تـن</w:t>
      </w:r>
      <w:r w:rsidRPr="00FE4C18">
        <w:rPr>
          <w:rtl/>
        </w:rPr>
        <w:t>ف</w:t>
      </w:r>
      <w:r>
        <w:rPr>
          <w:rtl/>
        </w:rPr>
        <w:t>ي</w:t>
      </w:r>
      <w:r w:rsidRPr="00FE4C18">
        <w:rPr>
          <w:rtl/>
        </w:rPr>
        <w:t xml:space="preserve">ذها بواسطة صاحبة </w:t>
      </w:r>
      <w:r>
        <w:rPr>
          <w:rtl/>
        </w:rPr>
        <w:t>ا</w:t>
      </w:r>
      <w:r w:rsidRPr="00FE4C18">
        <w:rPr>
          <w:rtl/>
        </w:rPr>
        <w:t>لرحم نفسها فلا</w:t>
      </w:r>
      <w:r>
        <w:rPr>
          <w:rtl/>
        </w:rPr>
        <w:t xml:space="preserve"> تـن</w:t>
      </w:r>
      <w:r w:rsidRPr="00FE4C18">
        <w:rPr>
          <w:rtl/>
        </w:rPr>
        <w:t>قل إل</w:t>
      </w:r>
      <w:r>
        <w:rPr>
          <w:rtl/>
        </w:rPr>
        <w:t xml:space="preserve">ى </w:t>
      </w:r>
      <w:r w:rsidRPr="00FE4C18">
        <w:rPr>
          <w:rtl/>
        </w:rPr>
        <w:t>نائب</w:t>
      </w:r>
      <w:r>
        <w:rPr>
          <w:rtl/>
        </w:rPr>
        <w:t>ه</w:t>
      </w:r>
      <w:r w:rsidRPr="00FE4C18">
        <w:rPr>
          <w:rtl/>
        </w:rPr>
        <w:t xml:space="preserve"> </w:t>
      </w:r>
      <w:r>
        <w:rPr>
          <w:rtl/>
        </w:rPr>
        <w:t>ا</w:t>
      </w:r>
      <w:r w:rsidRPr="00FE4C18">
        <w:rPr>
          <w:rtl/>
        </w:rPr>
        <w:t>لقانوني</w:t>
      </w:r>
      <w:r>
        <w:rPr>
          <w:rtl/>
        </w:rPr>
        <w:t>.</w:t>
      </w:r>
      <w:r w:rsidRPr="00FE4C18">
        <w:rPr>
          <w:rtl/>
        </w:rPr>
        <w:t xml:space="preserve"> </w:t>
      </w:r>
    </w:p>
    <w:p w:rsidR="00391A35" w:rsidRPr="009368DE" w:rsidRDefault="00391A35" w:rsidP="009368DE">
      <w:pPr>
        <w:pStyle w:val="afffffc"/>
        <w:rPr>
          <w:sz w:val="18"/>
          <w:szCs w:val="16"/>
          <w:rtl/>
        </w:rPr>
      </w:pPr>
    </w:p>
    <w:p w:rsidR="00391A35" w:rsidRPr="00FE4C18" w:rsidRDefault="00391A35" w:rsidP="009368DE">
      <w:pPr>
        <w:pStyle w:val="3"/>
        <w:rPr>
          <w:szCs w:val="28"/>
          <w:rtl/>
        </w:rPr>
      </w:pPr>
      <w:bookmarkStart w:id="500" w:name="_Toc275128207"/>
      <w:r w:rsidRPr="00FE4C18">
        <w:rPr>
          <w:rtl/>
        </w:rPr>
        <w:t>4</w:t>
      </w:r>
      <w:r>
        <w:rPr>
          <w:rtl/>
        </w:rPr>
        <w:t>ـ</w:t>
      </w:r>
      <w:r w:rsidRPr="00FE4C18">
        <w:rPr>
          <w:rtl/>
        </w:rPr>
        <w:t xml:space="preserve"> 4</w:t>
      </w:r>
      <w:r>
        <w:rPr>
          <w:rtl/>
        </w:rPr>
        <w:t>ـ</w:t>
      </w:r>
      <w:r w:rsidRPr="00FE4C18">
        <w:rPr>
          <w:rtl/>
        </w:rPr>
        <w:t xml:space="preserve"> </w:t>
      </w:r>
      <w:r>
        <w:rPr>
          <w:rFonts w:hint="cs"/>
          <w:rtl/>
        </w:rPr>
        <w:t>ا</w:t>
      </w:r>
      <w:r w:rsidRPr="00FE4C18">
        <w:rPr>
          <w:rtl/>
        </w:rPr>
        <w:t>س</w:t>
      </w:r>
      <w:r>
        <w:rPr>
          <w:rtl/>
        </w:rPr>
        <w:t>تن</w:t>
      </w:r>
      <w:r w:rsidRPr="00FE4C18">
        <w:rPr>
          <w:rtl/>
        </w:rPr>
        <w:t>اد اتفاق</w:t>
      </w:r>
      <w:r>
        <w:rPr>
          <w:rtl/>
        </w:rPr>
        <w:t>ي</w:t>
      </w:r>
      <w:r w:rsidRPr="00FE4C18">
        <w:rPr>
          <w:rtl/>
        </w:rPr>
        <w:t xml:space="preserve">ة استخدام رحم </w:t>
      </w:r>
      <w:r>
        <w:rPr>
          <w:rtl/>
        </w:rPr>
        <w:t>ا</w:t>
      </w:r>
      <w:r w:rsidRPr="00FE4C18">
        <w:rPr>
          <w:rtl/>
        </w:rPr>
        <w:t>لمرأة</w:t>
      </w:r>
      <w:r>
        <w:rPr>
          <w:rtl/>
        </w:rPr>
        <w:t xml:space="preserve"> لغير المتعاقدين</w:t>
      </w:r>
      <w:bookmarkEnd w:id="500"/>
      <w:r w:rsidRPr="00FE4C18">
        <w:rPr>
          <w:szCs w:val="28"/>
          <w:rtl/>
        </w:rPr>
        <w:t xml:space="preserve"> </w:t>
      </w:r>
    </w:p>
    <w:p w:rsidR="00391A35" w:rsidRDefault="00391A35" w:rsidP="00391A35">
      <w:pPr>
        <w:pStyle w:val="ac"/>
        <w:rPr>
          <w:rtl/>
        </w:rPr>
      </w:pPr>
      <w:r>
        <w:rPr>
          <w:rtl/>
        </w:rPr>
        <w:t>أ</w:t>
      </w:r>
      <w:r w:rsidRPr="00FE4C18">
        <w:rPr>
          <w:rtl/>
        </w:rPr>
        <w:t xml:space="preserve">هم </w:t>
      </w:r>
      <w:r>
        <w:rPr>
          <w:rtl/>
        </w:rPr>
        <w:t>ا</w:t>
      </w:r>
      <w:r w:rsidRPr="00FE4C18">
        <w:rPr>
          <w:rtl/>
        </w:rPr>
        <w:t xml:space="preserve">لأشخاص </w:t>
      </w:r>
      <w:r>
        <w:rPr>
          <w:rtl/>
        </w:rPr>
        <w:t>ا</w:t>
      </w:r>
      <w:r w:rsidRPr="00FE4C18">
        <w:rPr>
          <w:rtl/>
        </w:rPr>
        <w:t>لذ</w:t>
      </w:r>
      <w:r>
        <w:rPr>
          <w:rtl/>
        </w:rPr>
        <w:t>ي</w:t>
      </w:r>
      <w:r w:rsidRPr="00FE4C18">
        <w:rPr>
          <w:rtl/>
        </w:rPr>
        <w:t xml:space="preserve">ن </w:t>
      </w:r>
      <w:r>
        <w:rPr>
          <w:rtl/>
        </w:rPr>
        <w:t>ي</w:t>
      </w:r>
      <w:r w:rsidRPr="00FE4C18">
        <w:rPr>
          <w:rtl/>
        </w:rPr>
        <w:t>م</w:t>
      </w:r>
      <w:r>
        <w:rPr>
          <w:rtl/>
        </w:rPr>
        <w:t>ك</w:t>
      </w:r>
      <w:r w:rsidRPr="00FE4C18">
        <w:rPr>
          <w:rtl/>
        </w:rPr>
        <w:t>ن أن تس</w:t>
      </w:r>
      <w:r>
        <w:rPr>
          <w:rtl/>
        </w:rPr>
        <w:t>تـن</w:t>
      </w:r>
      <w:r w:rsidRPr="00FE4C18">
        <w:rPr>
          <w:rtl/>
        </w:rPr>
        <w:t>د إل</w:t>
      </w:r>
      <w:r>
        <w:rPr>
          <w:rtl/>
        </w:rPr>
        <w:t>ي</w:t>
      </w:r>
      <w:r w:rsidRPr="00FE4C18">
        <w:rPr>
          <w:rtl/>
        </w:rPr>
        <w:t>هم اتفاق</w:t>
      </w:r>
      <w:r>
        <w:rPr>
          <w:rtl/>
        </w:rPr>
        <w:t>ي</w:t>
      </w:r>
      <w:r w:rsidRPr="00FE4C18">
        <w:rPr>
          <w:rtl/>
        </w:rPr>
        <w:t xml:space="preserve">ة استخدام رحم </w:t>
      </w:r>
      <w:r>
        <w:rPr>
          <w:rtl/>
        </w:rPr>
        <w:t>ا</w:t>
      </w:r>
      <w:r w:rsidRPr="00FE4C18">
        <w:rPr>
          <w:rtl/>
        </w:rPr>
        <w:t>لمرأة هم</w:t>
      </w:r>
      <w:r w:rsidRPr="007F5B58">
        <w:rPr>
          <w:rtl/>
        </w:rPr>
        <w:t>:</w:t>
      </w:r>
      <w:r w:rsidRPr="00FE4C18">
        <w:rPr>
          <w:rtl/>
        </w:rPr>
        <w:t xml:space="preserve"> زوج صاحبة </w:t>
      </w:r>
      <w:r>
        <w:rPr>
          <w:rtl/>
        </w:rPr>
        <w:t>ا</w:t>
      </w:r>
      <w:r w:rsidRPr="00FE4C18">
        <w:rPr>
          <w:rtl/>
        </w:rPr>
        <w:t>لرحم</w:t>
      </w:r>
      <w:r w:rsidRPr="007F5B58">
        <w:rPr>
          <w:rtl/>
        </w:rPr>
        <w:t>؛</w:t>
      </w:r>
      <w:r>
        <w:rPr>
          <w:rtl/>
        </w:rPr>
        <w:t xml:space="preserve"> وا</w:t>
      </w:r>
      <w:r w:rsidRPr="00FE4C18">
        <w:rPr>
          <w:rtl/>
        </w:rPr>
        <w:t xml:space="preserve">لأشخاص </w:t>
      </w:r>
      <w:r>
        <w:rPr>
          <w:rtl/>
        </w:rPr>
        <w:t>ا</w:t>
      </w:r>
      <w:r w:rsidRPr="00FE4C18">
        <w:rPr>
          <w:rtl/>
        </w:rPr>
        <w:t>لذ</w:t>
      </w:r>
      <w:r>
        <w:rPr>
          <w:rtl/>
        </w:rPr>
        <w:t>ي</w:t>
      </w:r>
      <w:r w:rsidRPr="00FE4C18">
        <w:rPr>
          <w:rtl/>
        </w:rPr>
        <w:t xml:space="preserve">ن هم من محارم </w:t>
      </w:r>
      <w:r>
        <w:rPr>
          <w:rtl/>
        </w:rPr>
        <w:t>ا</w:t>
      </w:r>
      <w:r w:rsidRPr="00FE4C18">
        <w:rPr>
          <w:rtl/>
        </w:rPr>
        <w:t xml:space="preserve">لطفل </w:t>
      </w:r>
      <w:r>
        <w:rPr>
          <w:rtl/>
        </w:rPr>
        <w:t>ا</w:t>
      </w:r>
      <w:r w:rsidRPr="00FE4C18">
        <w:rPr>
          <w:rtl/>
        </w:rPr>
        <w:t>لمولود</w:t>
      </w:r>
      <w:r>
        <w:rPr>
          <w:rtl/>
        </w:rPr>
        <w:t>.</w:t>
      </w:r>
      <w:r w:rsidRPr="00FE4C18">
        <w:rPr>
          <w:rtl/>
        </w:rPr>
        <w:t xml:space="preserve"> </w:t>
      </w:r>
    </w:p>
    <w:p w:rsidR="00391A35" w:rsidRPr="009368DE" w:rsidRDefault="00391A35" w:rsidP="009368DE">
      <w:pPr>
        <w:pStyle w:val="afffffc"/>
        <w:rPr>
          <w:sz w:val="18"/>
          <w:szCs w:val="16"/>
          <w:rtl/>
        </w:rPr>
      </w:pPr>
    </w:p>
    <w:p w:rsidR="00391A35" w:rsidRPr="00FE4C18" w:rsidRDefault="00391A35" w:rsidP="009368DE">
      <w:pPr>
        <w:pStyle w:val="4"/>
        <w:rPr>
          <w:rtl/>
        </w:rPr>
      </w:pPr>
      <w:bookmarkStart w:id="501" w:name="_Toc275128208"/>
      <w:r>
        <w:rPr>
          <w:rtl/>
        </w:rPr>
        <w:t>أ</w:t>
      </w:r>
      <w:r w:rsidRPr="00FE4C18">
        <w:rPr>
          <w:rtl/>
        </w:rPr>
        <w:t xml:space="preserve">) </w:t>
      </w:r>
      <w:r>
        <w:rPr>
          <w:rtl/>
        </w:rPr>
        <w:t>ا</w:t>
      </w:r>
      <w:r w:rsidRPr="00FE4C18">
        <w:rPr>
          <w:rtl/>
        </w:rPr>
        <w:t>س</w:t>
      </w:r>
      <w:r>
        <w:rPr>
          <w:rtl/>
        </w:rPr>
        <w:t>تن</w:t>
      </w:r>
      <w:r w:rsidRPr="00FE4C18">
        <w:rPr>
          <w:rtl/>
        </w:rPr>
        <w:t xml:space="preserve">اد </w:t>
      </w:r>
      <w:r>
        <w:rPr>
          <w:rtl/>
        </w:rPr>
        <w:t>ا</w:t>
      </w:r>
      <w:r w:rsidRPr="00FE4C18">
        <w:rPr>
          <w:rtl/>
        </w:rPr>
        <w:t>لاتفاق</w:t>
      </w:r>
      <w:r>
        <w:rPr>
          <w:rtl/>
        </w:rPr>
        <w:t>ي</w:t>
      </w:r>
      <w:r w:rsidRPr="00FE4C18">
        <w:rPr>
          <w:rtl/>
        </w:rPr>
        <w:t xml:space="preserve">ة لزوج صاحبة </w:t>
      </w:r>
      <w:r>
        <w:rPr>
          <w:rtl/>
        </w:rPr>
        <w:t>ا</w:t>
      </w:r>
      <w:r w:rsidRPr="00FE4C18">
        <w:rPr>
          <w:rtl/>
        </w:rPr>
        <w:t>لرحم</w:t>
      </w:r>
      <w:bookmarkEnd w:id="501"/>
      <w:r w:rsidRPr="00FE4C18">
        <w:rPr>
          <w:rtl/>
        </w:rPr>
        <w:t xml:space="preserve"> </w:t>
      </w:r>
    </w:p>
    <w:p w:rsidR="00391A35" w:rsidRDefault="00391A35" w:rsidP="00391A35">
      <w:pPr>
        <w:pStyle w:val="ac"/>
        <w:rPr>
          <w:rtl/>
        </w:rPr>
      </w:pPr>
      <w:r w:rsidRPr="00FE4C18">
        <w:rPr>
          <w:rtl/>
        </w:rPr>
        <w:t xml:space="preserve">إذا </w:t>
      </w:r>
      <w:r>
        <w:rPr>
          <w:rtl/>
        </w:rPr>
        <w:t>ك</w:t>
      </w:r>
      <w:r w:rsidRPr="00FE4C18">
        <w:rPr>
          <w:rtl/>
        </w:rPr>
        <w:t xml:space="preserve">انت صاحبة </w:t>
      </w:r>
      <w:r>
        <w:rPr>
          <w:rtl/>
        </w:rPr>
        <w:t>ا</w:t>
      </w:r>
      <w:r w:rsidRPr="00FE4C18">
        <w:rPr>
          <w:rtl/>
        </w:rPr>
        <w:t xml:space="preserve">لرحم متزوجة </w:t>
      </w:r>
      <w:r>
        <w:rPr>
          <w:rtl/>
        </w:rPr>
        <w:t>فلابد ل</w:t>
      </w:r>
      <w:r w:rsidRPr="00FE4C18">
        <w:rPr>
          <w:rtl/>
        </w:rPr>
        <w:t xml:space="preserve">هذه </w:t>
      </w:r>
      <w:r>
        <w:rPr>
          <w:rtl/>
        </w:rPr>
        <w:t>ا</w:t>
      </w:r>
      <w:r w:rsidRPr="00FE4C18">
        <w:rPr>
          <w:rtl/>
        </w:rPr>
        <w:t>لاتفاق</w:t>
      </w:r>
      <w:r>
        <w:rPr>
          <w:rtl/>
        </w:rPr>
        <w:t>ي</w:t>
      </w:r>
      <w:r w:rsidRPr="00FE4C18">
        <w:rPr>
          <w:rtl/>
        </w:rPr>
        <w:t xml:space="preserve">ة </w:t>
      </w:r>
      <w:r>
        <w:rPr>
          <w:rtl/>
        </w:rPr>
        <w:t xml:space="preserve">من </w:t>
      </w:r>
      <w:r w:rsidRPr="00FE4C18">
        <w:rPr>
          <w:rtl/>
        </w:rPr>
        <w:t xml:space="preserve">نفي </w:t>
      </w:r>
      <w:r>
        <w:rPr>
          <w:rtl/>
        </w:rPr>
        <w:t>ا</w:t>
      </w:r>
      <w:r w:rsidRPr="00FE4C18">
        <w:rPr>
          <w:rtl/>
        </w:rPr>
        <w:t xml:space="preserve">لعلاقة </w:t>
      </w:r>
      <w:r>
        <w:rPr>
          <w:rtl/>
        </w:rPr>
        <w:t>ا</w:t>
      </w:r>
      <w:r w:rsidRPr="00FE4C18">
        <w:rPr>
          <w:rtl/>
        </w:rPr>
        <w:t>لأبو</w:t>
      </w:r>
      <w:r>
        <w:rPr>
          <w:rtl/>
        </w:rPr>
        <w:t>يّ</w:t>
      </w:r>
      <w:r w:rsidRPr="00FE4C18">
        <w:rPr>
          <w:rtl/>
        </w:rPr>
        <w:t>ة ب</w:t>
      </w:r>
      <w:r>
        <w:rPr>
          <w:rtl/>
        </w:rPr>
        <w:t>ي</w:t>
      </w:r>
      <w:r w:rsidRPr="00FE4C18">
        <w:rPr>
          <w:rtl/>
        </w:rPr>
        <w:t xml:space="preserve">ن </w:t>
      </w:r>
      <w:r>
        <w:rPr>
          <w:rtl/>
        </w:rPr>
        <w:lastRenderedPageBreak/>
        <w:t>ا</w:t>
      </w:r>
      <w:r w:rsidRPr="00FE4C18">
        <w:rPr>
          <w:rtl/>
        </w:rPr>
        <w:t>لطفل</w:t>
      </w:r>
      <w:r>
        <w:rPr>
          <w:rtl/>
        </w:rPr>
        <w:t xml:space="preserve"> و</w:t>
      </w:r>
      <w:r w:rsidRPr="00FE4C18">
        <w:rPr>
          <w:rtl/>
        </w:rPr>
        <w:t xml:space="preserve">زوج صاحبة </w:t>
      </w:r>
      <w:r>
        <w:rPr>
          <w:rtl/>
        </w:rPr>
        <w:t>ا</w:t>
      </w:r>
      <w:r w:rsidRPr="00FE4C18">
        <w:rPr>
          <w:rtl/>
        </w:rPr>
        <w:t>لرحم</w:t>
      </w:r>
      <w:r>
        <w:rPr>
          <w:rtl/>
        </w:rPr>
        <w:t>.</w:t>
      </w:r>
      <w:r w:rsidRPr="00FE4C18">
        <w:rPr>
          <w:rtl/>
        </w:rPr>
        <w:t xml:space="preserve"> </w:t>
      </w:r>
    </w:p>
    <w:p w:rsidR="00391A35" w:rsidRPr="009368DE" w:rsidRDefault="00391A35" w:rsidP="009368DE">
      <w:pPr>
        <w:pStyle w:val="afffffc"/>
        <w:rPr>
          <w:sz w:val="20"/>
          <w:szCs w:val="18"/>
          <w:rtl/>
        </w:rPr>
      </w:pPr>
    </w:p>
    <w:p w:rsidR="00391A35" w:rsidRPr="00FE4C18" w:rsidRDefault="00391A35" w:rsidP="009368DE">
      <w:pPr>
        <w:pStyle w:val="4"/>
        <w:rPr>
          <w:rtl/>
        </w:rPr>
      </w:pPr>
      <w:bookmarkStart w:id="502" w:name="_Toc275128209"/>
      <w:r w:rsidRPr="00FE4C18">
        <w:rPr>
          <w:rtl/>
        </w:rPr>
        <w:t>ب</w:t>
      </w:r>
      <w:r>
        <w:rPr>
          <w:rtl/>
        </w:rPr>
        <w:t>) محارم الطفل المولود</w:t>
      </w:r>
      <w:bookmarkEnd w:id="502"/>
    </w:p>
    <w:p w:rsidR="00391A35" w:rsidRPr="00FE4C18" w:rsidRDefault="00391A35" w:rsidP="00391A35">
      <w:pPr>
        <w:pStyle w:val="ac"/>
        <w:rPr>
          <w:rtl/>
        </w:rPr>
      </w:pPr>
      <w:r>
        <w:rPr>
          <w:rtl/>
        </w:rPr>
        <w:t>بلحاظ ا</w:t>
      </w:r>
      <w:r w:rsidRPr="00FE4C18">
        <w:rPr>
          <w:rtl/>
        </w:rPr>
        <w:t>لعلاق</w:t>
      </w:r>
      <w:r>
        <w:rPr>
          <w:rtl/>
        </w:rPr>
        <w:t xml:space="preserve">ة </w:t>
      </w:r>
      <w:r w:rsidRPr="00FE4C18">
        <w:rPr>
          <w:rtl/>
        </w:rPr>
        <w:t>ب</w:t>
      </w:r>
      <w:r>
        <w:rPr>
          <w:rtl/>
        </w:rPr>
        <w:t>ي</w:t>
      </w:r>
      <w:r w:rsidRPr="00FE4C18">
        <w:rPr>
          <w:rtl/>
        </w:rPr>
        <w:t xml:space="preserve">ن صاحبة </w:t>
      </w:r>
      <w:r>
        <w:rPr>
          <w:rtl/>
        </w:rPr>
        <w:t>ا</w:t>
      </w:r>
      <w:r w:rsidRPr="00FE4C18">
        <w:rPr>
          <w:rtl/>
        </w:rPr>
        <w:t>لرحم</w:t>
      </w:r>
      <w:r>
        <w:rPr>
          <w:rtl/>
        </w:rPr>
        <w:t xml:space="preserve"> وا</w:t>
      </w:r>
      <w:r w:rsidRPr="00FE4C18">
        <w:rPr>
          <w:rtl/>
        </w:rPr>
        <w:t xml:space="preserve">لطفل </w:t>
      </w:r>
      <w:r>
        <w:rPr>
          <w:rtl/>
        </w:rPr>
        <w:t>ا</w:t>
      </w:r>
      <w:r w:rsidRPr="00FE4C18">
        <w:rPr>
          <w:rtl/>
        </w:rPr>
        <w:t xml:space="preserve">لمولود </w:t>
      </w:r>
      <w:r>
        <w:rPr>
          <w:rtl/>
        </w:rPr>
        <w:t>ي</w:t>
      </w:r>
      <w:r w:rsidRPr="00FE4C18">
        <w:rPr>
          <w:rtl/>
        </w:rPr>
        <w:t xml:space="preserve">نقسم </w:t>
      </w:r>
      <w:r>
        <w:rPr>
          <w:rtl/>
        </w:rPr>
        <w:t>ا</w:t>
      </w:r>
      <w:r w:rsidRPr="00FE4C18">
        <w:rPr>
          <w:rtl/>
        </w:rPr>
        <w:t xml:space="preserve">لفقهاء </w:t>
      </w:r>
      <w:r>
        <w:rPr>
          <w:rtl/>
        </w:rPr>
        <w:t>ا</w:t>
      </w:r>
      <w:r w:rsidRPr="00FE4C18">
        <w:rPr>
          <w:rtl/>
        </w:rPr>
        <w:t>لذ</w:t>
      </w:r>
      <w:r>
        <w:rPr>
          <w:rtl/>
        </w:rPr>
        <w:t>ي</w:t>
      </w:r>
      <w:r w:rsidRPr="00FE4C18">
        <w:rPr>
          <w:rtl/>
        </w:rPr>
        <w:t xml:space="preserve">ن </w:t>
      </w:r>
      <w:r>
        <w:rPr>
          <w:rtl/>
        </w:rPr>
        <w:t>ي</w:t>
      </w:r>
      <w:r w:rsidRPr="00FE4C18">
        <w:rPr>
          <w:rtl/>
        </w:rPr>
        <w:t xml:space="preserve">جوزون عقد هذه </w:t>
      </w:r>
      <w:r>
        <w:rPr>
          <w:rtl/>
        </w:rPr>
        <w:t>ا</w:t>
      </w:r>
      <w:r w:rsidRPr="00FE4C18">
        <w:rPr>
          <w:rtl/>
        </w:rPr>
        <w:t>لاتفاق</w:t>
      </w:r>
      <w:r>
        <w:rPr>
          <w:rtl/>
        </w:rPr>
        <w:t>ي</w:t>
      </w:r>
      <w:r w:rsidRPr="00FE4C18">
        <w:rPr>
          <w:rtl/>
        </w:rPr>
        <w:t>ة شرع</w:t>
      </w:r>
      <w:r>
        <w:rPr>
          <w:rtl/>
        </w:rPr>
        <w:t>يّ</w:t>
      </w:r>
      <w:r w:rsidRPr="00FE4C18">
        <w:rPr>
          <w:rtl/>
        </w:rPr>
        <w:t>اً إل</w:t>
      </w:r>
      <w:r>
        <w:rPr>
          <w:rtl/>
        </w:rPr>
        <w:t xml:space="preserve">ى </w:t>
      </w:r>
      <w:r w:rsidRPr="00FE4C18">
        <w:rPr>
          <w:rtl/>
        </w:rPr>
        <w:t>عدة فئات</w:t>
      </w:r>
      <w:r w:rsidRPr="007F5B58">
        <w:rPr>
          <w:rtl/>
        </w:rPr>
        <w:t>:</w:t>
      </w:r>
      <w:r w:rsidRPr="00FE4C18">
        <w:rPr>
          <w:rtl/>
        </w:rPr>
        <w:t xml:space="preserve"> </w:t>
      </w:r>
      <w:r>
        <w:rPr>
          <w:rtl/>
        </w:rPr>
        <w:t>فمنهم من ي</w:t>
      </w:r>
      <w:r w:rsidRPr="00FE4C18">
        <w:rPr>
          <w:rtl/>
        </w:rPr>
        <w:t xml:space="preserve">عتبر أنَّ صاحبة </w:t>
      </w:r>
      <w:r>
        <w:rPr>
          <w:rtl/>
        </w:rPr>
        <w:t>ا</w:t>
      </w:r>
      <w:r w:rsidRPr="00FE4C18">
        <w:rPr>
          <w:rtl/>
        </w:rPr>
        <w:t xml:space="preserve">لرحم هي أمّ </w:t>
      </w:r>
      <w:r>
        <w:rPr>
          <w:rtl/>
        </w:rPr>
        <w:t>ا</w:t>
      </w:r>
      <w:r w:rsidRPr="00FE4C18">
        <w:rPr>
          <w:rtl/>
        </w:rPr>
        <w:t>لطفل</w:t>
      </w:r>
      <w:r w:rsidRPr="00815C4C">
        <w:rPr>
          <w:rFonts w:cs="Taher" w:hint="cs"/>
          <w:vertAlign w:val="superscript"/>
          <w:rtl/>
        </w:rPr>
        <w:t>(</w:t>
      </w:r>
      <w:r w:rsidRPr="00815C4C">
        <w:rPr>
          <w:rFonts w:cs="Taher"/>
          <w:vertAlign w:val="superscript"/>
          <w:rtl/>
        </w:rPr>
        <w:footnoteReference w:id="917"/>
      </w:r>
      <w:r w:rsidRPr="00815C4C">
        <w:rPr>
          <w:rFonts w:cs="Taher" w:hint="cs"/>
          <w:vertAlign w:val="superscript"/>
          <w:rtl/>
        </w:rPr>
        <w:t>)</w:t>
      </w:r>
      <w:r w:rsidRPr="007F5B58">
        <w:rPr>
          <w:rtl/>
        </w:rPr>
        <w:t>؛</w:t>
      </w:r>
      <w:r>
        <w:rPr>
          <w:rtl/>
        </w:rPr>
        <w:t xml:space="preserve"> وي</w:t>
      </w:r>
      <w:r w:rsidRPr="00FE4C18">
        <w:rPr>
          <w:rtl/>
        </w:rPr>
        <w:t xml:space="preserve">صرّح </w:t>
      </w:r>
      <w:r>
        <w:rPr>
          <w:rtl/>
        </w:rPr>
        <w:t>آخرون</w:t>
      </w:r>
      <w:r w:rsidRPr="00FE4C18">
        <w:rPr>
          <w:rtl/>
        </w:rPr>
        <w:t xml:space="preserve"> </w:t>
      </w:r>
      <w:r>
        <w:rPr>
          <w:rtl/>
        </w:rPr>
        <w:t>ب</w:t>
      </w:r>
      <w:r w:rsidRPr="00FE4C18">
        <w:rPr>
          <w:rtl/>
        </w:rPr>
        <w:t xml:space="preserve">أنَّ صاحبة </w:t>
      </w:r>
      <w:r>
        <w:rPr>
          <w:rtl/>
        </w:rPr>
        <w:t>ا</w:t>
      </w:r>
      <w:r w:rsidRPr="00FE4C18">
        <w:rPr>
          <w:rtl/>
        </w:rPr>
        <w:t>لبو</w:t>
      </w:r>
      <w:r>
        <w:rPr>
          <w:rtl/>
        </w:rPr>
        <w:t>ي</w:t>
      </w:r>
      <w:r w:rsidRPr="00FE4C18">
        <w:rPr>
          <w:rtl/>
        </w:rPr>
        <w:t xml:space="preserve">ضة هي أمّ </w:t>
      </w:r>
      <w:r>
        <w:rPr>
          <w:rtl/>
        </w:rPr>
        <w:t>ا</w:t>
      </w:r>
      <w:r w:rsidRPr="00FE4C18">
        <w:rPr>
          <w:rtl/>
        </w:rPr>
        <w:t>لطفل</w:t>
      </w:r>
      <w:r w:rsidRPr="00815C4C">
        <w:rPr>
          <w:rFonts w:cs="Taher" w:hint="cs"/>
          <w:vertAlign w:val="superscript"/>
          <w:rtl/>
        </w:rPr>
        <w:t>(</w:t>
      </w:r>
      <w:r w:rsidRPr="00815C4C">
        <w:rPr>
          <w:rFonts w:cs="Taher"/>
          <w:vertAlign w:val="superscript"/>
          <w:rtl/>
        </w:rPr>
        <w:footnoteReference w:id="918"/>
      </w:r>
      <w:r w:rsidRPr="00815C4C">
        <w:rPr>
          <w:rFonts w:cs="Taher" w:hint="cs"/>
          <w:vertAlign w:val="superscript"/>
          <w:rtl/>
        </w:rPr>
        <w:t>)</w:t>
      </w:r>
      <w:r w:rsidRPr="007F5B58">
        <w:rPr>
          <w:rtl/>
        </w:rPr>
        <w:t>؛</w:t>
      </w:r>
      <w:r>
        <w:rPr>
          <w:rtl/>
        </w:rPr>
        <w:t xml:space="preserve"> وي</w:t>
      </w:r>
      <w:r w:rsidRPr="00FE4C18">
        <w:rPr>
          <w:rtl/>
        </w:rPr>
        <w:t>عتقد</w:t>
      </w:r>
      <w:r>
        <w:rPr>
          <w:rtl/>
        </w:rPr>
        <w:t xml:space="preserve"> </w:t>
      </w:r>
      <w:r w:rsidRPr="00FE4C18">
        <w:rPr>
          <w:rtl/>
        </w:rPr>
        <w:t>فر</w:t>
      </w:r>
      <w:r>
        <w:rPr>
          <w:rtl/>
        </w:rPr>
        <w:t>ي</w:t>
      </w:r>
      <w:r w:rsidRPr="00FE4C18">
        <w:rPr>
          <w:rtl/>
        </w:rPr>
        <w:t xml:space="preserve">ق </w:t>
      </w:r>
      <w:r>
        <w:rPr>
          <w:rtl/>
        </w:rPr>
        <w:t xml:space="preserve">ثالث </w:t>
      </w:r>
      <w:r w:rsidRPr="00FE4C18">
        <w:rPr>
          <w:rtl/>
        </w:rPr>
        <w:t xml:space="preserve">أنَّ للطفل </w:t>
      </w:r>
      <w:r>
        <w:rPr>
          <w:rtl/>
        </w:rPr>
        <w:t>أ</w:t>
      </w:r>
      <w:r w:rsidRPr="00FE4C18">
        <w:rPr>
          <w:rtl/>
        </w:rPr>
        <w:t>مّ</w:t>
      </w:r>
      <w:r>
        <w:rPr>
          <w:rtl/>
        </w:rPr>
        <w:t>ي</w:t>
      </w:r>
      <w:r w:rsidRPr="00FE4C18">
        <w:rPr>
          <w:rtl/>
        </w:rPr>
        <w:t>ن</w:t>
      </w:r>
      <w:r w:rsidRPr="00815C4C">
        <w:rPr>
          <w:rFonts w:cs="Taher" w:hint="cs"/>
          <w:vertAlign w:val="superscript"/>
          <w:rtl/>
        </w:rPr>
        <w:t>(</w:t>
      </w:r>
      <w:r w:rsidRPr="00815C4C">
        <w:rPr>
          <w:rFonts w:cs="Taher"/>
          <w:vertAlign w:val="superscript"/>
          <w:rtl/>
        </w:rPr>
        <w:footnoteReference w:id="919"/>
      </w:r>
      <w:r w:rsidRPr="00815C4C">
        <w:rPr>
          <w:rFonts w:cs="Taher" w:hint="cs"/>
          <w:vertAlign w:val="superscript"/>
          <w:rtl/>
        </w:rPr>
        <w:t>)</w:t>
      </w:r>
      <w:r w:rsidRPr="007F5B58">
        <w:rPr>
          <w:rtl/>
        </w:rPr>
        <w:t>؛</w:t>
      </w:r>
      <w:r>
        <w:rPr>
          <w:rtl/>
        </w:rPr>
        <w:t xml:space="preserve"> وي</w:t>
      </w:r>
      <w:r w:rsidRPr="00FE4C18">
        <w:rPr>
          <w:rtl/>
        </w:rPr>
        <w:t>ؤ</w:t>
      </w:r>
      <w:r>
        <w:rPr>
          <w:rtl/>
        </w:rPr>
        <w:t>ك</w:t>
      </w:r>
      <w:r w:rsidRPr="00FE4C18">
        <w:rPr>
          <w:rtl/>
        </w:rPr>
        <w:t xml:space="preserve">د قسم </w:t>
      </w:r>
      <w:r>
        <w:rPr>
          <w:rtl/>
        </w:rPr>
        <w:t xml:space="preserve">رابع </w:t>
      </w:r>
      <w:r w:rsidRPr="00FE4C18">
        <w:rPr>
          <w:rtl/>
        </w:rPr>
        <w:t>عل</w:t>
      </w:r>
      <w:r>
        <w:rPr>
          <w:rtl/>
        </w:rPr>
        <w:t xml:space="preserve">ى </w:t>
      </w:r>
      <w:r w:rsidRPr="00FE4C18">
        <w:rPr>
          <w:rtl/>
        </w:rPr>
        <w:t>أنّ نتا</w:t>
      </w:r>
      <w:r>
        <w:rPr>
          <w:rtl/>
        </w:rPr>
        <w:t>ئ</w:t>
      </w:r>
      <w:r w:rsidRPr="00FE4C18">
        <w:rPr>
          <w:rtl/>
        </w:rPr>
        <w:t>ج</w:t>
      </w:r>
      <w:r>
        <w:rPr>
          <w:rtl/>
        </w:rPr>
        <w:t xml:space="preserve"> و</w:t>
      </w:r>
      <w:r w:rsidRPr="00FE4C18">
        <w:rPr>
          <w:rtl/>
        </w:rPr>
        <w:t xml:space="preserve">آثار </w:t>
      </w:r>
      <w:r>
        <w:rPr>
          <w:rtl/>
        </w:rPr>
        <w:t>ا</w:t>
      </w:r>
      <w:r w:rsidRPr="00FE4C18">
        <w:rPr>
          <w:rtl/>
        </w:rPr>
        <w:t>لرضاع توجد ب</w:t>
      </w:r>
      <w:r>
        <w:rPr>
          <w:rtl/>
        </w:rPr>
        <w:t>ي</w:t>
      </w:r>
      <w:r w:rsidRPr="00FE4C18">
        <w:rPr>
          <w:rtl/>
        </w:rPr>
        <w:t>نهما</w:t>
      </w:r>
      <w:r w:rsidRPr="00815C4C">
        <w:rPr>
          <w:rFonts w:cs="Taher" w:hint="cs"/>
          <w:vertAlign w:val="superscript"/>
          <w:rtl/>
        </w:rPr>
        <w:t>(</w:t>
      </w:r>
      <w:r w:rsidRPr="00815C4C">
        <w:rPr>
          <w:rFonts w:cs="Taher"/>
          <w:vertAlign w:val="superscript"/>
          <w:rtl/>
        </w:rPr>
        <w:footnoteReference w:id="920"/>
      </w:r>
      <w:r w:rsidRPr="00815C4C">
        <w:rPr>
          <w:rFonts w:cs="Taher" w:hint="cs"/>
          <w:vertAlign w:val="superscript"/>
          <w:rtl/>
        </w:rPr>
        <w:t>)</w:t>
      </w:r>
      <w:r w:rsidRPr="00FE4C18">
        <w:rPr>
          <w:rtl/>
        </w:rPr>
        <w:t>.</w:t>
      </w:r>
    </w:p>
    <w:p w:rsidR="00391A35" w:rsidRDefault="00391A35" w:rsidP="00391A35">
      <w:pPr>
        <w:pStyle w:val="ac"/>
      </w:pPr>
      <w:r w:rsidRPr="00FE4C18">
        <w:rPr>
          <w:rtl/>
        </w:rPr>
        <w:t>و ل</w:t>
      </w:r>
      <w:r>
        <w:rPr>
          <w:rtl/>
        </w:rPr>
        <w:t>ك</w:t>
      </w:r>
      <w:r w:rsidRPr="00FE4C18">
        <w:rPr>
          <w:rtl/>
        </w:rPr>
        <w:t>ن</w:t>
      </w:r>
      <w:r>
        <w:rPr>
          <w:rtl/>
        </w:rPr>
        <w:t>ّ</w:t>
      </w:r>
      <w:r w:rsidRPr="00FE4C18">
        <w:rPr>
          <w:rtl/>
        </w:rPr>
        <w:t xml:space="preserve"> جم</w:t>
      </w:r>
      <w:r>
        <w:rPr>
          <w:rtl/>
        </w:rPr>
        <w:t>ي</w:t>
      </w:r>
      <w:r w:rsidRPr="00FE4C18">
        <w:rPr>
          <w:rtl/>
        </w:rPr>
        <w:t xml:space="preserve">ع </w:t>
      </w:r>
      <w:r>
        <w:rPr>
          <w:rtl/>
        </w:rPr>
        <w:t>ا</w:t>
      </w:r>
      <w:r w:rsidRPr="00FE4C18">
        <w:rPr>
          <w:rtl/>
        </w:rPr>
        <w:t xml:space="preserve">لفقهاء </w:t>
      </w:r>
      <w:r>
        <w:rPr>
          <w:rtl/>
        </w:rPr>
        <w:t>ا</w:t>
      </w:r>
      <w:r w:rsidRPr="00FE4C18">
        <w:rPr>
          <w:rtl/>
        </w:rPr>
        <w:t>لذ</w:t>
      </w:r>
      <w:r>
        <w:rPr>
          <w:rtl/>
        </w:rPr>
        <w:t>ي</w:t>
      </w:r>
      <w:r w:rsidRPr="00FE4C18">
        <w:rPr>
          <w:rtl/>
        </w:rPr>
        <w:t xml:space="preserve">ن </w:t>
      </w:r>
      <w:r>
        <w:rPr>
          <w:rtl/>
        </w:rPr>
        <w:t>ي</w:t>
      </w:r>
      <w:r w:rsidRPr="00FE4C18">
        <w:rPr>
          <w:rtl/>
        </w:rPr>
        <w:t>ج</w:t>
      </w:r>
      <w:r>
        <w:rPr>
          <w:rtl/>
        </w:rPr>
        <w:t>ي</w:t>
      </w:r>
      <w:r w:rsidRPr="00FE4C18">
        <w:rPr>
          <w:rtl/>
        </w:rPr>
        <w:t xml:space="preserve">زون </w:t>
      </w:r>
      <w:r>
        <w:rPr>
          <w:rtl/>
        </w:rPr>
        <w:t>ا</w:t>
      </w:r>
      <w:r w:rsidRPr="00FE4C18">
        <w:rPr>
          <w:rtl/>
        </w:rPr>
        <w:t>لاتفاق</w:t>
      </w:r>
      <w:r>
        <w:rPr>
          <w:rtl/>
        </w:rPr>
        <w:t>ي</w:t>
      </w:r>
      <w:r w:rsidRPr="00FE4C18">
        <w:rPr>
          <w:rtl/>
        </w:rPr>
        <w:t>ة متّفقون عل</w:t>
      </w:r>
      <w:r>
        <w:rPr>
          <w:rtl/>
        </w:rPr>
        <w:t xml:space="preserve">ى </w:t>
      </w:r>
      <w:r w:rsidRPr="00FE4C18">
        <w:rPr>
          <w:rtl/>
        </w:rPr>
        <w:t>مسألة واحدة</w:t>
      </w:r>
      <w:r w:rsidRPr="007F5B58">
        <w:rPr>
          <w:rtl/>
        </w:rPr>
        <w:t>،</w:t>
      </w:r>
      <w:r>
        <w:rPr>
          <w:rtl/>
        </w:rPr>
        <w:t xml:space="preserve"> و</w:t>
      </w:r>
      <w:r w:rsidRPr="00FE4C18">
        <w:rPr>
          <w:rtl/>
        </w:rPr>
        <w:t xml:space="preserve">هي موضوع رابطة </w:t>
      </w:r>
      <w:r>
        <w:rPr>
          <w:rtl/>
        </w:rPr>
        <w:t>ا</w:t>
      </w:r>
      <w:r w:rsidRPr="00FE4C18">
        <w:rPr>
          <w:rtl/>
        </w:rPr>
        <w:t xml:space="preserve">لمحارم </w:t>
      </w:r>
      <w:r>
        <w:rPr>
          <w:rtl/>
        </w:rPr>
        <w:t>ا</w:t>
      </w:r>
      <w:r w:rsidRPr="00FE4C18">
        <w:rPr>
          <w:rtl/>
        </w:rPr>
        <w:t>لتي توجد ب</w:t>
      </w:r>
      <w:r>
        <w:rPr>
          <w:rtl/>
        </w:rPr>
        <w:t>ي</w:t>
      </w:r>
      <w:r w:rsidRPr="00FE4C18">
        <w:rPr>
          <w:rtl/>
        </w:rPr>
        <w:t xml:space="preserve">ن صاحبة </w:t>
      </w:r>
      <w:r>
        <w:rPr>
          <w:rtl/>
        </w:rPr>
        <w:t>ا</w:t>
      </w:r>
      <w:r w:rsidRPr="00FE4C18">
        <w:rPr>
          <w:rtl/>
        </w:rPr>
        <w:t>لرحم</w:t>
      </w:r>
      <w:r>
        <w:rPr>
          <w:rtl/>
        </w:rPr>
        <w:t xml:space="preserve"> وا</w:t>
      </w:r>
      <w:r w:rsidRPr="00FE4C18">
        <w:rPr>
          <w:rtl/>
        </w:rPr>
        <w:t>لطفل</w:t>
      </w:r>
      <w:r w:rsidRPr="007F5B58">
        <w:rPr>
          <w:rtl/>
        </w:rPr>
        <w:t>،</w:t>
      </w:r>
      <w:r>
        <w:rPr>
          <w:rtl/>
        </w:rPr>
        <w:t xml:space="preserve"> و</w:t>
      </w:r>
      <w:r w:rsidRPr="00FE4C18">
        <w:rPr>
          <w:rtl/>
        </w:rPr>
        <w:t>عل</w:t>
      </w:r>
      <w:r>
        <w:rPr>
          <w:rtl/>
        </w:rPr>
        <w:t xml:space="preserve">ى </w:t>
      </w:r>
      <w:r w:rsidRPr="00FE4C18">
        <w:rPr>
          <w:rtl/>
        </w:rPr>
        <w:t>أساس ذل</w:t>
      </w:r>
      <w:r>
        <w:rPr>
          <w:rtl/>
        </w:rPr>
        <w:t>ك</w:t>
      </w:r>
      <w:r w:rsidRPr="00FE4C18">
        <w:rPr>
          <w:rtl/>
        </w:rPr>
        <w:t xml:space="preserve"> فالطفل </w:t>
      </w:r>
      <w:r>
        <w:rPr>
          <w:rtl/>
        </w:rPr>
        <w:t>يُ</w:t>
      </w:r>
      <w:r w:rsidRPr="00FE4C18">
        <w:rPr>
          <w:rtl/>
        </w:rPr>
        <w:t xml:space="preserve">منع </w:t>
      </w:r>
      <w:r>
        <w:rPr>
          <w:rtl/>
        </w:rPr>
        <w:t>من ا</w:t>
      </w:r>
      <w:r w:rsidRPr="00FE4C18">
        <w:rPr>
          <w:rtl/>
        </w:rPr>
        <w:t xml:space="preserve">لزواج من محارم صاحبة </w:t>
      </w:r>
      <w:r>
        <w:rPr>
          <w:rtl/>
        </w:rPr>
        <w:t>ا</w:t>
      </w:r>
      <w:r w:rsidRPr="00FE4C18">
        <w:rPr>
          <w:rtl/>
        </w:rPr>
        <w:t>لرحم</w:t>
      </w:r>
      <w:r>
        <w:rPr>
          <w:rtl/>
        </w:rPr>
        <w:t>.</w:t>
      </w:r>
    </w:p>
    <w:p w:rsidR="00391A35" w:rsidRPr="00FE4C18" w:rsidRDefault="00391A35" w:rsidP="009368DE">
      <w:pPr>
        <w:pStyle w:val="afffffc"/>
        <w:rPr>
          <w:rtl/>
        </w:rPr>
      </w:pPr>
    </w:p>
    <w:p w:rsidR="00391A35" w:rsidRPr="00FE4C18" w:rsidRDefault="00391A35" w:rsidP="009368DE">
      <w:pPr>
        <w:pStyle w:val="2"/>
        <w:rPr>
          <w:rtl/>
        </w:rPr>
      </w:pPr>
      <w:bookmarkStart w:id="503" w:name="_Toc275128210"/>
      <w:r w:rsidRPr="00FE4C18">
        <w:rPr>
          <w:rtl/>
        </w:rPr>
        <w:t>5</w:t>
      </w:r>
      <w:r>
        <w:rPr>
          <w:rtl/>
        </w:rPr>
        <w:t>ـ</w:t>
      </w:r>
      <w:r w:rsidRPr="00FE4C18">
        <w:rPr>
          <w:rtl/>
        </w:rPr>
        <w:t xml:space="preserve"> أثر نقل </w:t>
      </w:r>
      <w:r>
        <w:rPr>
          <w:rtl/>
        </w:rPr>
        <w:t>ا</w:t>
      </w:r>
      <w:r w:rsidRPr="00FE4C18">
        <w:rPr>
          <w:rtl/>
        </w:rPr>
        <w:t>لجن</w:t>
      </w:r>
      <w:r>
        <w:rPr>
          <w:rtl/>
        </w:rPr>
        <w:t>ي</w:t>
      </w:r>
      <w:r w:rsidRPr="00FE4C18">
        <w:rPr>
          <w:rtl/>
        </w:rPr>
        <w:t>ن في</w:t>
      </w:r>
      <w:r>
        <w:rPr>
          <w:rtl/>
        </w:rPr>
        <w:t xml:space="preserve"> </w:t>
      </w:r>
      <w:r w:rsidRPr="00FE4C18">
        <w:rPr>
          <w:rtl/>
        </w:rPr>
        <w:t>‌</w:t>
      </w:r>
      <w:r>
        <w:rPr>
          <w:rtl/>
        </w:rPr>
        <w:t>ا</w:t>
      </w:r>
      <w:r w:rsidRPr="00FE4C18">
        <w:rPr>
          <w:rtl/>
        </w:rPr>
        <w:t>لنسب</w:t>
      </w:r>
      <w:bookmarkEnd w:id="503"/>
      <w:r w:rsidRPr="00FE4C18">
        <w:rPr>
          <w:rtl/>
        </w:rPr>
        <w:t xml:space="preserve"> </w:t>
      </w:r>
    </w:p>
    <w:p w:rsidR="00391A35" w:rsidRPr="00FE4C18" w:rsidRDefault="00391A35" w:rsidP="00391A35">
      <w:pPr>
        <w:pStyle w:val="ac"/>
        <w:rPr>
          <w:rtl/>
        </w:rPr>
      </w:pPr>
      <w:r w:rsidRPr="00FE4C18">
        <w:rPr>
          <w:rtl/>
        </w:rPr>
        <w:t xml:space="preserve">العلاقة </w:t>
      </w:r>
      <w:r>
        <w:rPr>
          <w:rtl/>
        </w:rPr>
        <w:t>ا</w:t>
      </w:r>
      <w:r w:rsidRPr="00FE4C18">
        <w:rPr>
          <w:rtl/>
        </w:rPr>
        <w:t>لنسب</w:t>
      </w:r>
      <w:r>
        <w:rPr>
          <w:rtl/>
        </w:rPr>
        <w:t>ي</w:t>
      </w:r>
      <w:r w:rsidRPr="00FE4C18">
        <w:rPr>
          <w:rtl/>
        </w:rPr>
        <w:t>ة تع</w:t>
      </w:r>
      <w:r>
        <w:rPr>
          <w:rtl/>
        </w:rPr>
        <w:t>ي</w:t>
      </w:r>
      <w:r w:rsidRPr="00FE4C18">
        <w:rPr>
          <w:rtl/>
        </w:rPr>
        <w:t>ن عل</w:t>
      </w:r>
      <w:r>
        <w:rPr>
          <w:rtl/>
        </w:rPr>
        <w:t xml:space="preserve">ى </w:t>
      </w:r>
      <w:r w:rsidRPr="00FE4C18">
        <w:rPr>
          <w:rtl/>
        </w:rPr>
        <w:t xml:space="preserve">أساس </w:t>
      </w:r>
      <w:r>
        <w:rPr>
          <w:rtl/>
        </w:rPr>
        <w:t>ا</w:t>
      </w:r>
      <w:r w:rsidRPr="00FE4C18">
        <w:rPr>
          <w:rtl/>
        </w:rPr>
        <w:t>لقانون بصورة عامة</w:t>
      </w:r>
      <w:r w:rsidRPr="007F5B58">
        <w:rPr>
          <w:rtl/>
        </w:rPr>
        <w:t>،</w:t>
      </w:r>
      <w:r w:rsidRPr="00FE4C18">
        <w:rPr>
          <w:rtl/>
        </w:rPr>
        <w:t xml:space="preserve"> ولا تؤثر ف</w:t>
      </w:r>
      <w:r>
        <w:rPr>
          <w:rtl/>
        </w:rPr>
        <w:t>ي</w:t>
      </w:r>
      <w:r w:rsidRPr="00FE4C18">
        <w:rPr>
          <w:rtl/>
        </w:rPr>
        <w:t xml:space="preserve">ها إرادة </w:t>
      </w:r>
      <w:r>
        <w:rPr>
          <w:rtl/>
        </w:rPr>
        <w:t>ا</w:t>
      </w:r>
      <w:r w:rsidRPr="00FE4C18">
        <w:rPr>
          <w:rtl/>
        </w:rPr>
        <w:t>لأشخاص</w:t>
      </w:r>
      <w:r w:rsidRPr="007F5B58">
        <w:rPr>
          <w:rtl/>
        </w:rPr>
        <w:t>،</w:t>
      </w:r>
      <w:r w:rsidRPr="00FE4C18">
        <w:rPr>
          <w:rtl/>
        </w:rPr>
        <w:t xml:space="preserve"> </w:t>
      </w:r>
      <w:r>
        <w:rPr>
          <w:rtl/>
        </w:rPr>
        <w:t>و</w:t>
      </w:r>
      <w:r w:rsidRPr="00FE4C18">
        <w:rPr>
          <w:rtl/>
        </w:rPr>
        <w:t>عل</w:t>
      </w:r>
      <w:r>
        <w:rPr>
          <w:rtl/>
        </w:rPr>
        <w:t xml:space="preserve">ى </w:t>
      </w:r>
      <w:r w:rsidRPr="00FE4C18">
        <w:rPr>
          <w:rtl/>
        </w:rPr>
        <w:t xml:space="preserve">هذا </w:t>
      </w:r>
      <w:r>
        <w:rPr>
          <w:rtl/>
        </w:rPr>
        <w:t>الأساس فإن</w:t>
      </w:r>
      <w:r w:rsidRPr="00FE4C18">
        <w:rPr>
          <w:rtl/>
        </w:rPr>
        <w:t xml:space="preserve"> علاقة صاحبة </w:t>
      </w:r>
      <w:r>
        <w:rPr>
          <w:rtl/>
        </w:rPr>
        <w:t>ا</w:t>
      </w:r>
      <w:r w:rsidRPr="00FE4C18">
        <w:rPr>
          <w:rtl/>
        </w:rPr>
        <w:t>لرحم</w:t>
      </w:r>
      <w:r>
        <w:rPr>
          <w:rtl/>
        </w:rPr>
        <w:t xml:space="preserve"> وا</w:t>
      </w:r>
      <w:r w:rsidRPr="00FE4C18">
        <w:rPr>
          <w:rtl/>
        </w:rPr>
        <w:t xml:space="preserve">لطفل تتبع </w:t>
      </w:r>
      <w:r>
        <w:rPr>
          <w:rtl/>
        </w:rPr>
        <w:t>ا</w:t>
      </w:r>
      <w:r w:rsidRPr="00FE4C18">
        <w:rPr>
          <w:rtl/>
        </w:rPr>
        <w:t xml:space="preserve">لقانون لا </w:t>
      </w:r>
      <w:r>
        <w:rPr>
          <w:rtl/>
        </w:rPr>
        <w:t>ا</w:t>
      </w:r>
      <w:r w:rsidRPr="00FE4C18">
        <w:rPr>
          <w:rtl/>
        </w:rPr>
        <w:t>لاتفاق</w:t>
      </w:r>
      <w:r>
        <w:rPr>
          <w:rtl/>
        </w:rPr>
        <w:t>ي</w:t>
      </w:r>
      <w:r w:rsidRPr="00FE4C18">
        <w:rPr>
          <w:rtl/>
        </w:rPr>
        <w:t>ة</w:t>
      </w:r>
      <w:r w:rsidRPr="00815C4C">
        <w:rPr>
          <w:rFonts w:cs="Taher"/>
          <w:vertAlign w:val="superscript"/>
          <w:rtl/>
        </w:rPr>
        <w:t>(</w:t>
      </w:r>
      <w:r w:rsidRPr="00815C4C">
        <w:rPr>
          <w:rFonts w:cs="Taher"/>
          <w:vertAlign w:val="superscript"/>
          <w:rtl/>
        </w:rPr>
        <w:footnoteReference w:id="921"/>
      </w:r>
      <w:r w:rsidRPr="00815C4C">
        <w:rPr>
          <w:rFonts w:cs="Taher"/>
          <w:vertAlign w:val="superscript"/>
          <w:rtl/>
        </w:rPr>
        <w:t>)</w:t>
      </w:r>
      <w:r>
        <w:rPr>
          <w:rtl/>
        </w:rPr>
        <w:t>. و</w:t>
      </w:r>
      <w:r w:rsidRPr="00FE4C18">
        <w:rPr>
          <w:rtl/>
        </w:rPr>
        <w:t xml:space="preserve">من هذا </w:t>
      </w:r>
      <w:r>
        <w:rPr>
          <w:rtl/>
        </w:rPr>
        <w:t>ا</w:t>
      </w:r>
      <w:r w:rsidRPr="00FE4C18">
        <w:rPr>
          <w:rtl/>
        </w:rPr>
        <w:t>لمنط</w:t>
      </w:r>
      <w:r>
        <w:rPr>
          <w:rtl/>
        </w:rPr>
        <w:t>ل</w:t>
      </w:r>
      <w:r w:rsidRPr="00FE4C18">
        <w:rPr>
          <w:rtl/>
        </w:rPr>
        <w:t xml:space="preserve">ق سواء </w:t>
      </w:r>
      <w:r>
        <w:rPr>
          <w:rtl/>
        </w:rPr>
        <w:t>ا</w:t>
      </w:r>
      <w:r w:rsidRPr="00FE4C18">
        <w:rPr>
          <w:rtl/>
        </w:rPr>
        <w:t xml:space="preserve">عتبرنا </w:t>
      </w:r>
      <w:r>
        <w:rPr>
          <w:rtl/>
        </w:rPr>
        <w:t>ا</w:t>
      </w:r>
      <w:r w:rsidRPr="00FE4C18">
        <w:rPr>
          <w:rtl/>
        </w:rPr>
        <w:t>لاتفاق</w:t>
      </w:r>
      <w:r>
        <w:rPr>
          <w:rtl/>
        </w:rPr>
        <w:t>ي</w:t>
      </w:r>
      <w:r w:rsidRPr="00FE4C18">
        <w:rPr>
          <w:rtl/>
        </w:rPr>
        <w:t xml:space="preserve">ة أم لم نعتبرها </w:t>
      </w:r>
      <w:r>
        <w:rPr>
          <w:rtl/>
        </w:rPr>
        <w:t>ي</w:t>
      </w:r>
      <w:r w:rsidRPr="00FE4C18">
        <w:rPr>
          <w:rtl/>
        </w:rPr>
        <w:t xml:space="preserve">جب دراسة </w:t>
      </w:r>
      <w:r>
        <w:rPr>
          <w:rtl/>
        </w:rPr>
        <w:t>مدى</w:t>
      </w:r>
      <w:r w:rsidRPr="00FE4C18">
        <w:rPr>
          <w:rtl/>
        </w:rPr>
        <w:t xml:space="preserve"> تأث</w:t>
      </w:r>
      <w:r>
        <w:rPr>
          <w:rtl/>
        </w:rPr>
        <w:t>ي</w:t>
      </w:r>
      <w:r w:rsidRPr="00FE4C18">
        <w:rPr>
          <w:rtl/>
        </w:rPr>
        <w:t xml:space="preserve">ر نقل </w:t>
      </w:r>
      <w:r>
        <w:rPr>
          <w:rtl/>
        </w:rPr>
        <w:t>ا</w:t>
      </w:r>
      <w:r w:rsidRPr="00FE4C18">
        <w:rPr>
          <w:rtl/>
        </w:rPr>
        <w:t>لجن</w:t>
      </w:r>
      <w:r>
        <w:rPr>
          <w:rtl/>
        </w:rPr>
        <w:t>ي</w:t>
      </w:r>
      <w:r w:rsidRPr="00FE4C18">
        <w:rPr>
          <w:rtl/>
        </w:rPr>
        <w:t>ن في‌</w:t>
      </w:r>
      <w:r>
        <w:rPr>
          <w:rtl/>
        </w:rPr>
        <w:t xml:space="preserve"> ا</w:t>
      </w:r>
      <w:r w:rsidRPr="00FE4C18">
        <w:rPr>
          <w:rtl/>
        </w:rPr>
        <w:t xml:space="preserve">لعلاقة </w:t>
      </w:r>
      <w:r>
        <w:rPr>
          <w:rtl/>
        </w:rPr>
        <w:t>ا</w:t>
      </w:r>
      <w:r w:rsidRPr="00FE4C18">
        <w:rPr>
          <w:rtl/>
        </w:rPr>
        <w:t>لنسب</w:t>
      </w:r>
      <w:r>
        <w:rPr>
          <w:rtl/>
        </w:rPr>
        <w:t>ي</w:t>
      </w:r>
      <w:r w:rsidRPr="00FE4C18">
        <w:rPr>
          <w:rtl/>
        </w:rPr>
        <w:t>ة ب</w:t>
      </w:r>
      <w:r>
        <w:rPr>
          <w:rtl/>
        </w:rPr>
        <w:t>ي</w:t>
      </w:r>
      <w:r w:rsidRPr="00FE4C18">
        <w:rPr>
          <w:rtl/>
        </w:rPr>
        <w:t xml:space="preserve">ن </w:t>
      </w:r>
      <w:r>
        <w:rPr>
          <w:rtl/>
        </w:rPr>
        <w:t>ا</w:t>
      </w:r>
      <w:r w:rsidRPr="00FE4C18">
        <w:rPr>
          <w:rtl/>
        </w:rPr>
        <w:t xml:space="preserve">لأشخاص ذوي </w:t>
      </w:r>
      <w:r>
        <w:rPr>
          <w:rtl/>
        </w:rPr>
        <w:t>ا</w:t>
      </w:r>
      <w:r w:rsidRPr="00FE4C18">
        <w:rPr>
          <w:rtl/>
        </w:rPr>
        <w:t>لعلاقة وفقاً للمواز</w:t>
      </w:r>
      <w:r>
        <w:rPr>
          <w:rtl/>
        </w:rPr>
        <w:t>ي</w:t>
      </w:r>
      <w:r w:rsidRPr="00FE4C18">
        <w:rPr>
          <w:rtl/>
        </w:rPr>
        <w:t xml:space="preserve">ن </w:t>
      </w:r>
      <w:r>
        <w:rPr>
          <w:rtl/>
        </w:rPr>
        <w:lastRenderedPageBreak/>
        <w:t>ا</w:t>
      </w:r>
      <w:r w:rsidRPr="00FE4C18">
        <w:rPr>
          <w:rtl/>
        </w:rPr>
        <w:t>لقانون</w:t>
      </w:r>
      <w:r>
        <w:rPr>
          <w:rtl/>
        </w:rPr>
        <w:t>يّ</w:t>
      </w:r>
      <w:r w:rsidRPr="00FE4C18">
        <w:rPr>
          <w:rtl/>
        </w:rPr>
        <w:t>ة</w:t>
      </w:r>
      <w:r>
        <w:rPr>
          <w:rtl/>
        </w:rPr>
        <w:t xml:space="preserve"> وا</w:t>
      </w:r>
      <w:r w:rsidRPr="00FE4C18">
        <w:rPr>
          <w:rtl/>
        </w:rPr>
        <w:t>لشرع</w:t>
      </w:r>
      <w:r>
        <w:rPr>
          <w:rtl/>
        </w:rPr>
        <w:t>يّ</w:t>
      </w:r>
      <w:r w:rsidRPr="00FE4C18">
        <w:rPr>
          <w:rtl/>
        </w:rPr>
        <w:t>ة</w:t>
      </w:r>
      <w:r w:rsidRPr="000839E1">
        <w:rPr>
          <w:rFonts w:cs="Taher"/>
          <w:rtl/>
        </w:rPr>
        <w:t>؟</w:t>
      </w:r>
      <w:r>
        <w:rPr>
          <w:rtl/>
        </w:rPr>
        <w:t xml:space="preserve"> و</w:t>
      </w:r>
      <w:r w:rsidRPr="00FE4C18">
        <w:rPr>
          <w:rtl/>
        </w:rPr>
        <w:t>بعبارة أخر</w:t>
      </w:r>
      <w:r>
        <w:rPr>
          <w:rtl/>
        </w:rPr>
        <w:t>ى</w:t>
      </w:r>
      <w:r w:rsidRPr="007F5B58">
        <w:rPr>
          <w:rtl/>
        </w:rPr>
        <w:t>:</w:t>
      </w:r>
      <w:r>
        <w:rPr>
          <w:rtl/>
        </w:rPr>
        <w:t xml:space="preserve"> </w:t>
      </w:r>
      <w:r w:rsidRPr="00FE4C18">
        <w:rPr>
          <w:rtl/>
        </w:rPr>
        <w:t xml:space="preserve">إنَّ </w:t>
      </w:r>
      <w:r>
        <w:rPr>
          <w:rtl/>
        </w:rPr>
        <w:t>ا</w:t>
      </w:r>
      <w:r w:rsidRPr="00FE4C18">
        <w:rPr>
          <w:rtl/>
        </w:rPr>
        <w:t>لاتفاق</w:t>
      </w:r>
      <w:r>
        <w:rPr>
          <w:rtl/>
        </w:rPr>
        <w:t>يّ</w:t>
      </w:r>
      <w:r w:rsidRPr="00FE4C18">
        <w:rPr>
          <w:rtl/>
        </w:rPr>
        <w:t>ة ل</w:t>
      </w:r>
      <w:r>
        <w:rPr>
          <w:rtl/>
        </w:rPr>
        <w:t>ي</w:t>
      </w:r>
      <w:r w:rsidRPr="00FE4C18">
        <w:rPr>
          <w:rtl/>
        </w:rPr>
        <w:t>س لها دور في تع</w:t>
      </w:r>
      <w:r>
        <w:rPr>
          <w:rtl/>
        </w:rPr>
        <w:t>يي</w:t>
      </w:r>
      <w:r w:rsidRPr="00FE4C18">
        <w:rPr>
          <w:rtl/>
        </w:rPr>
        <w:t xml:space="preserve">ن </w:t>
      </w:r>
      <w:r>
        <w:rPr>
          <w:rtl/>
        </w:rPr>
        <w:t>ا</w:t>
      </w:r>
      <w:r w:rsidRPr="00FE4C18">
        <w:rPr>
          <w:rtl/>
        </w:rPr>
        <w:t>لنسب</w:t>
      </w:r>
      <w:r w:rsidRPr="007F5B58">
        <w:rPr>
          <w:rtl/>
        </w:rPr>
        <w:t>،</w:t>
      </w:r>
      <w:r>
        <w:rPr>
          <w:rtl/>
        </w:rPr>
        <w:t xml:space="preserve"> و</w:t>
      </w:r>
      <w:r w:rsidRPr="00FE4C18">
        <w:rPr>
          <w:rtl/>
        </w:rPr>
        <w:t>لتع</w:t>
      </w:r>
      <w:r>
        <w:rPr>
          <w:rtl/>
        </w:rPr>
        <w:t>يي</w:t>
      </w:r>
      <w:r w:rsidRPr="00FE4C18">
        <w:rPr>
          <w:rtl/>
        </w:rPr>
        <w:t xml:space="preserve">نه </w:t>
      </w:r>
      <w:r>
        <w:rPr>
          <w:rFonts w:hint="cs"/>
          <w:rtl/>
        </w:rPr>
        <w:t>ي</w:t>
      </w:r>
      <w:r w:rsidRPr="00FE4C18">
        <w:rPr>
          <w:rtl/>
        </w:rPr>
        <w:t xml:space="preserve">جب </w:t>
      </w:r>
      <w:r>
        <w:rPr>
          <w:rtl/>
        </w:rPr>
        <w:t>ا</w:t>
      </w:r>
      <w:r w:rsidRPr="00FE4C18">
        <w:rPr>
          <w:rtl/>
        </w:rPr>
        <w:t>لرجوع إل</w:t>
      </w:r>
      <w:r>
        <w:rPr>
          <w:rtl/>
        </w:rPr>
        <w:t>ى ا</w:t>
      </w:r>
      <w:r w:rsidRPr="00FE4C18">
        <w:rPr>
          <w:rtl/>
        </w:rPr>
        <w:t>لمواز</w:t>
      </w:r>
      <w:r>
        <w:rPr>
          <w:rtl/>
        </w:rPr>
        <w:t>ي</w:t>
      </w:r>
      <w:r w:rsidRPr="00FE4C18">
        <w:rPr>
          <w:rtl/>
        </w:rPr>
        <w:t xml:space="preserve">ن </w:t>
      </w:r>
      <w:r>
        <w:rPr>
          <w:rtl/>
        </w:rPr>
        <w:t>ا</w:t>
      </w:r>
      <w:r w:rsidRPr="00FE4C18">
        <w:rPr>
          <w:rtl/>
        </w:rPr>
        <w:t>لقانون</w:t>
      </w:r>
      <w:r>
        <w:rPr>
          <w:rtl/>
        </w:rPr>
        <w:t>يّ</w:t>
      </w:r>
      <w:r w:rsidRPr="00FE4C18">
        <w:rPr>
          <w:rtl/>
        </w:rPr>
        <w:t xml:space="preserve">ة ذات </w:t>
      </w:r>
      <w:r>
        <w:rPr>
          <w:rtl/>
        </w:rPr>
        <w:t>ا</w:t>
      </w:r>
      <w:r w:rsidRPr="00FE4C18">
        <w:rPr>
          <w:rtl/>
        </w:rPr>
        <w:t>لعلاقة</w:t>
      </w:r>
      <w:r w:rsidRPr="00815C4C">
        <w:rPr>
          <w:rFonts w:cs="Taher" w:hint="cs"/>
          <w:vertAlign w:val="superscript"/>
          <w:rtl/>
        </w:rPr>
        <w:t>(</w:t>
      </w:r>
      <w:r w:rsidRPr="00815C4C">
        <w:rPr>
          <w:rFonts w:cs="Taher"/>
          <w:vertAlign w:val="superscript"/>
          <w:rtl/>
        </w:rPr>
        <w:footnoteReference w:id="922"/>
      </w:r>
      <w:r w:rsidRPr="00815C4C">
        <w:rPr>
          <w:rFonts w:cs="Taher" w:hint="cs"/>
          <w:vertAlign w:val="superscript"/>
          <w:rtl/>
        </w:rPr>
        <w:t>)</w:t>
      </w:r>
      <w:r>
        <w:rPr>
          <w:rtl/>
        </w:rPr>
        <w:t>.</w:t>
      </w:r>
      <w:r w:rsidRPr="00FE4C18">
        <w:rPr>
          <w:rtl/>
        </w:rPr>
        <w:t xml:space="preserve"> </w:t>
      </w:r>
    </w:p>
    <w:p w:rsidR="00391A35" w:rsidRPr="009368DE" w:rsidRDefault="00391A35" w:rsidP="009368DE">
      <w:pPr>
        <w:pStyle w:val="afffffc"/>
        <w:rPr>
          <w:sz w:val="20"/>
          <w:szCs w:val="18"/>
          <w:rtl/>
        </w:rPr>
      </w:pPr>
    </w:p>
    <w:p w:rsidR="00391A35" w:rsidRPr="00FE4C18" w:rsidRDefault="00391A35" w:rsidP="009368DE">
      <w:pPr>
        <w:pStyle w:val="3"/>
        <w:rPr>
          <w:szCs w:val="28"/>
          <w:rtl/>
        </w:rPr>
      </w:pPr>
      <w:bookmarkStart w:id="504" w:name="_Toc275128211"/>
      <w:r w:rsidRPr="00FE4C18">
        <w:rPr>
          <w:rtl/>
        </w:rPr>
        <w:t>5</w:t>
      </w:r>
      <w:r>
        <w:rPr>
          <w:rtl/>
        </w:rPr>
        <w:t>ـ</w:t>
      </w:r>
      <w:r w:rsidRPr="00FE4C18">
        <w:rPr>
          <w:rtl/>
        </w:rPr>
        <w:t xml:space="preserve"> 1</w:t>
      </w:r>
      <w:r>
        <w:rPr>
          <w:rtl/>
        </w:rPr>
        <w:t>ـ</w:t>
      </w:r>
      <w:r w:rsidRPr="00FE4C18">
        <w:rPr>
          <w:rtl/>
        </w:rPr>
        <w:t xml:space="preserve"> مفهوم </w:t>
      </w:r>
      <w:r>
        <w:rPr>
          <w:rtl/>
        </w:rPr>
        <w:t>ا</w:t>
      </w:r>
      <w:r w:rsidRPr="00FE4C18">
        <w:rPr>
          <w:rtl/>
        </w:rPr>
        <w:t>لنسب</w:t>
      </w:r>
      <w:bookmarkEnd w:id="504"/>
      <w:r w:rsidRPr="00FE4C18">
        <w:rPr>
          <w:rtl/>
        </w:rPr>
        <w:t xml:space="preserve"> </w:t>
      </w:r>
    </w:p>
    <w:p w:rsidR="00391A35" w:rsidRPr="00FE4C18" w:rsidRDefault="00391A35" w:rsidP="00391A35">
      <w:pPr>
        <w:pStyle w:val="ac"/>
        <w:rPr>
          <w:rtl/>
        </w:rPr>
      </w:pPr>
      <w:r w:rsidRPr="00FE4C18">
        <w:rPr>
          <w:rtl/>
        </w:rPr>
        <w:t>النسب لغة بمعن</w:t>
      </w:r>
      <w:r>
        <w:rPr>
          <w:rtl/>
        </w:rPr>
        <w:t>ى</w:t>
      </w:r>
      <w:r w:rsidRPr="00FE4C18">
        <w:rPr>
          <w:rtl/>
        </w:rPr>
        <w:t xml:space="preserve"> </w:t>
      </w:r>
      <w:r>
        <w:rPr>
          <w:rtl/>
        </w:rPr>
        <w:t>ا</w:t>
      </w:r>
      <w:r w:rsidRPr="00FE4C18">
        <w:rPr>
          <w:rtl/>
        </w:rPr>
        <w:t>لقرابة</w:t>
      </w:r>
      <w:r>
        <w:rPr>
          <w:rtl/>
        </w:rPr>
        <w:t xml:space="preserve"> وا</w:t>
      </w:r>
      <w:r w:rsidRPr="00FE4C18">
        <w:rPr>
          <w:rtl/>
        </w:rPr>
        <w:t>لأصل</w:t>
      </w:r>
      <w:r w:rsidRPr="007F5B58">
        <w:rPr>
          <w:rtl/>
        </w:rPr>
        <w:t>،</w:t>
      </w:r>
      <w:r>
        <w:rPr>
          <w:rtl/>
        </w:rPr>
        <w:t xml:space="preserve"> و</w:t>
      </w:r>
      <w:r w:rsidRPr="00FE4C18">
        <w:rPr>
          <w:rtl/>
        </w:rPr>
        <w:t xml:space="preserve">في </w:t>
      </w:r>
      <w:r>
        <w:rPr>
          <w:rtl/>
        </w:rPr>
        <w:t>ا</w:t>
      </w:r>
      <w:r w:rsidRPr="00FE4C18">
        <w:rPr>
          <w:rtl/>
        </w:rPr>
        <w:t xml:space="preserve">لمصطلح </w:t>
      </w:r>
      <w:r>
        <w:rPr>
          <w:rtl/>
        </w:rPr>
        <w:t>ا</w:t>
      </w:r>
      <w:r w:rsidRPr="00FE4C18">
        <w:rPr>
          <w:rtl/>
        </w:rPr>
        <w:t xml:space="preserve">لحقوقي </w:t>
      </w:r>
      <w:r>
        <w:rPr>
          <w:rtl/>
        </w:rPr>
        <w:t>هو</w:t>
      </w:r>
      <w:r w:rsidRPr="00FE4C18">
        <w:rPr>
          <w:rtl/>
        </w:rPr>
        <w:t xml:space="preserve"> عبارة عن علاقة </w:t>
      </w:r>
      <w:r>
        <w:rPr>
          <w:rtl/>
        </w:rPr>
        <w:t>ا</w:t>
      </w:r>
      <w:r w:rsidRPr="00FE4C18">
        <w:rPr>
          <w:rtl/>
        </w:rPr>
        <w:t>لقرابة ب</w:t>
      </w:r>
      <w:r>
        <w:rPr>
          <w:rtl/>
        </w:rPr>
        <w:t>ي</w:t>
      </w:r>
      <w:r w:rsidRPr="00FE4C18">
        <w:rPr>
          <w:rtl/>
        </w:rPr>
        <w:t xml:space="preserve">ن </w:t>
      </w:r>
      <w:r>
        <w:rPr>
          <w:rtl/>
        </w:rPr>
        <w:t>ا</w:t>
      </w:r>
      <w:r w:rsidRPr="00FE4C18">
        <w:rPr>
          <w:rtl/>
        </w:rPr>
        <w:t>لشخص</w:t>
      </w:r>
      <w:r>
        <w:rPr>
          <w:rtl/>
        </w:rPr>
        <w:t>ي</w:t>
      </w:r>
      <w:r w:rsidRPr="00FE4C18">
        <w:rPr>
          <w:rtl/>
        </w:rPr>
        <w:t xml:space="preserve">ن </w:t>
      </w:r>
      <w:r>
        <w:rPr>
          <w:rtl/>
        </w:rPr>
        <w:t>ا</w:t>
      </w:r>
      <w:r w:rsidRPr="00FE4C18">
        <w:rPr>
          <w:rtl/>
        </w:rPr>
        <w:t>للذ</w:t>
      </w:r>
      <w:r>
        <w:rPr>
          <w:rtl/>
        </w:rPr>
        <w:t>ي</w:t>
      </w:r>
      <w:r w:rsidRPr="00FE4C18">
        <w:rPr>
          <w:rtl/>
        </w:rPr>
        <w:t xml:space="preserve">ن أحدهما من أصل </w:t>
      </w:r>
      <w:r>
        <w:rPr>
          <w:rtl/>
        </w:rPr>
        <w:t>ال</w:t>
      </w:r>
      <w:r w:rsidRPr="00FE4C18">
        <w:rPr>
          <w:rtl/>
        </w:rPr>
        <w:t>آخر</w:t>
      </w:r>
      <w:r w:rsidRPr="007F5B58">
        <w:rPr>
          <w:rtl/>
        </w:rPr>
        <w:t>،</w:t>
      </w:r>
      <w:r w:rsidRPr="00FE4C18">
        <w:rPr>
          <w:rtl/>
        </w:rPr>
        <w:t xml:space="preserve"> أو </w:t>
      </w:r>
      <w:r>
        <w:rPr>
          <w:rtl/>
        </w:rPr>
        <w:t>ك</w:t>
      </w:r>
      <w:r w:rsidRPr="00FE4C18">
        <w:rPr>
          <w:rtl/>
        </w:rPr>
        <w:t>لاهما من أصل شخص ثالث.</w:t>
      </w:r>
      <w:r>
        <w:rPr>
          <w:rtl/>
        </w:rPr>
        <w:t xml:space="preserve"> و</w:t>
      </w:r>
      <w:r w:rsidRPr="00FE4C18">
        <w:rPr>
          <w:rtl/>
        </w:rPr>
        <w:t>بعبارة أخر</w:t>
      </w:r>
      <w:r>
        <w:rPr>
          <w:rtl/>
        </w:rPr>
        <w:t>ى</w:t>
      </w:r>
      <w:r w:rsidRPr="007F5B58">
        <w:rPr>
          <w:rtl/>
        </w:rPr>
        <w:t>:</w:t>
      </w:r>
      <w:r w:rsidRPr="00FE4C18">
        <w:rPr>
          <w:rtl/>
        </w:rPr>
        <w:t>‌ النسب علاقة ب</w:t>
      </w:r>
      <w:r>
        <w:rPr>
          <w:rtl/>
        </w:rPr>
        <w:t>ي</w:t>
      </w:r>
      <w:r w:rsidRPr="00FE4C18">
        <w:rPr>
          <w:rtl/>
        </w:rPr>
        <w:t xml:space="preserve">ن </w:t>
      </w:r>
      <w:r>
        <w:rPr>
          <w:rtl/>
        </w:rPr>
        <w:t>ا</w:t>
      </w:r>
      <w:r w:rsidRPr="00FE4C18">
        <w:rPr>
          <w:rtl/>
        </w:rPr>
        <w:t>لشخص</w:t>
      </w:r>
      <w:r>
        <w:rPr>
          <w:rtl/>
        </w:rPr>
        <w:t>ي</w:t>
      </w:r>
      <w:r w:rsidRPr="00FE4C18">
        <w:rPr>
          <w:rtl/>
        </w:rPr>
        <w:t>ن بح</w:t>
      </w:r>
      <w:r>
        <w:rPr>
          <w:rtl/>
        </w:rPr>
        <w:t>ي</w:t>
      </w:r>
      <w:r w:rsidRPr="00FE4C18">
        <w:rPr>
          <w:rtl/>
        </w:rPr>
        <w:t xml:space="preserve">ث </w:t>
      </w:r>
      <w:r>
        <w:rPr>
          <w:rtl/>
        </w:rPr>
        <w:t>ي</w:t>
      </w:r>
      <w:r w:rsidRPr="00FE4C18">
        <w:rPr>
          <w:rtl/>
        </w:rPr>
        <w:t xml:space="preserve">حدث بسبب ولادة أحدهما من </w:t>
      </w:r>
      <w:r>
        <w:rPr>
          <w:rtl/>
        </w:rPr>
        <w:t>ا</w:t>
      </w:r>
      <w:r w:rsidRPr="00FE4C18">
        <w:rPr>
          <w:rtl/>
        </w:rPr>
        <w:t xml:space="preserve">لآخر أو ولادتهما من شخص ثالث. </w:t>
      </w:r>
    </w:p>
    <w:p w:rsidR="00391A35" w:rsidRPr="00FE4C18" w:rsidRDefault="00391A35" w:rsidP="00391A35">
      <w:pPr>
        <w:pStyle w:val="ac"/>
        <w:rPr>
          <w:rtl/>
        </w:rPr>
      </w:pPr>
      <w:r w:rsidRPr="00FE4C18">
        <w:rPr>
          <w:rtl/>
        </w:rPr>
        <w:t xml:space="preserve">و </w:t>
      </w:r>
      <w:r>
        <w:rPr>
          <w:rtl/>
        </w:rPr>
        <w:t>ا</w:t>
      </w:r>
      <w:r w:rsidRPr="00FE4C18">
        <w:rPr>
          <w:rtl/>
        </w:rPr>
        <w:t>لنسب بالمعن</w:t>
      </w:r>
      <w:r>
        <w:rPr>
          <w:rtl/>
        </w:rPr>
        <w:t>ى</w:t>
      </w:r>
      <w:r w:rsidRPr="00FE4C18">
        <w:rPr>
          <w:rtl/>
        </w:rPr>
        <w:t xml:space="preserve"> </w:t>
      </w:r>
      <w:r>
        <w:rPr>
          <w:rtl/>
        </w:rPr>
        <w:t>ا</w:t>
      </w:r>
      <w:r w:rsidRPr="00FE4C18">
        <w:rPr>
          <w:rtl/>
        </w:rPr>
        <w:t xml:space="preserve">لخاصّ عبارة عن علاقة </w:t>
      </w:r>
      <w:r>
        <w:rPr>
          <w:rtl/>
        </w:rPr>
        <w:t>ا</w:t>
      </w:r>
      <w:r w:rsidRPr="00FE4C18">
        <w:rPr>
          <w:rtl/>
        </w:rPr>
        <w:t>لأب</w:t>
      </w:r>
      <w:r>
        <w:rPr>
          <w:rtl/>
        </w:rPr>
        <w:t xml:space="preserve"> و</w:t>
      </w:r>
      <w:r w:rsidRPr="00FE4C18">
        <w:rPr>
          <w:rtl/>
        </w:rPr>
        <w:t>ابنه</w:t>
      </w:r>
      <w:r w:rsidRPr="007F5B58">
        <w:rPr>
          <w:rtl/>
        </w:rPr>
        <w:t>،</w:t>
      </w:r>
      <w:r w:rsidRPr="00FE4C18">
        <w:rPr>
          <w:rtl/>
        </w:rPr>
        <w:t xml:space="preserve"> أو </w:t>
      </w:r>
      <w:r>
        <w:rPr>
          <w:rtl/>
        </w:rPr>
        <w:t>ا</w:t>
      </w:r>
      <w:r w:rsidRPr="00FE4C18">
        <w:rPr>
          <w:rtl/>
        </w:rPr>
        <w:t>لأم</w:t>
      </w:r>
      <w:r>
        <w:rPr>
          <w:rtl/>
        </w:rPr>
        <w:t xml:space="preserve"> و</w:t>
      </w:r>
      <w:r w:rsidRPr="00FE4C18">
        <w:rPr>
          <w:rtl/>
        </w:rPr>
        <w:t>ابنها</w:t>
      </w:r>
      <w:r>
        <w:rPr>
          <w:rtl/>
        </w:rPr>
        <w:t>. و</w:t>
      </w:r>
      <w:r w:rsidRPr="00FE4C18">
        <w:rPr>
          <w:rtl/>
        </w:rPr>
        <w:t>بتعب</w:t>
      </w:r>
      <w:r>
        <w:rPr>
          <w:rtl/>
        </w:rPr>
        <w:t>ي</w:t>
      </w:r>
      <w:r w:rsidRPr="00FE4C18">
        <w:rPr>
          <w:rtl/>
        </w:rPr>
        <w:t>ر آخر</w:t>
      </w:r>
      <w:r w:rsidRPr="007F5B58">
        <w:rPr>
          <w:rtl/>
        </w:rPr>
        <w:t>:</w:t>
      </w:r>
      <w:r>
        <w:rPr>
          <w:rtl/>
        </w:rPr>
        <w:t xml:space="preserve"> </w:t>
      </w:r>
      <w:r w:rsidRPr="00FE4C18">
        <w:rPr>
          <w:rtl/>
        </w:rPr>
        <w:t>النسب علاقة طب</w:t>
      </w:r>
      <w:r>
        <w:rPr>
          <w:rtl/>
        </w:rPr>
        <w:t>ي</w:t>
      </w:r>
      <w:r w:rsidRPr="00FE4C18">
        <w:rPr>
          <w:rtl/>
        </w:rPr>
        <w:t>ع</w:t>
      </w:r>
      <w:r>
        <w:rPr>
          <w:rtl/>
        </w:rPr>
        <w:t>يّ</w:t>
      </w:r>
      <w:r w:rsidRPr="00FE4C18">
        <w:rPr>
          <w:rtl/>
        </w:rPr>
        <w:t>ة</w:t>
      </w:r>
      <w:r>
        <w:rPr>
          <w:rtl/>
        </w:rPr>
        <w:t xml:space="preserve"> و</w:t>
      </w:r>
      <w:r w:rsidRPr="00FE4C18">
        <w:rPr>
          <w:rtl/>
        </w:rPr>
        <w:t>دمو</w:t>
      </w:r>
      <w:r>
        <w:rPr>
          <w:rtl/>
        </w:rPr>
        <w:t>ي</w:t>
      </w:r>
      <w:r w:rsidRPr="00FE4C18">
        <w:rPr>
          <w:rtl/>
        </w:rPr>
        <w:t>ة ب</w:t>
      </w:r>
      <w:r>
        <w:rPr>
          <w:rtl/>
        </w:rPr>
        <w:t>ي</w:t>
      </w:r>
      <w:r w:rsidRPr="00FE4C18">
        <w:rPr>
          <w:rtl/>
        </w:rPr>
        <w:t xml:space="preserve">ن </w:t>
      </w:r>
      <w:r>
        <w:rPr>
          <w:rtl/>
        </w:rPr>
        <w:t>ا</w:t>
      </w:r>
      <w:r w:rsidRPr="00FE4C18">
        <w:rPr>
          <w:rtl/>
        </w:rPr>
        <w:t>لشخص</w:t>
      </w:r>
      <w:r>
        <w:rPr>
          <w:rtl/>
        </w:rPr>
        <w:t>ي</w:t>
      </w:r>
      <w:r w:rsidRPr="00FE4C18">
        <w:rPr>
          <w:rtl/>
        </w:rPr>
        <w:t>ن ب</w:t>
      </w:r>
      <w:r>
        <w:rPr>
          <w:rtl/>
        </w:rPr>
        <w:t>أ</w:t>
      </w:r>
      <w:r w:rsidRPr="00FE4C18">
        <w:rPr>
          <w:rtl/>
        </w:rPr>
        <w:t>نَّ أحدهما ولد من صلب أو بطن شخص آخر بصورة مباشرة</w:t>
      </w:r>
      <w:r w:rsidRPr="00815C4C">
        <w:rPr>
          <w:rFonts w:cs="Taher"/>
          <w:vertAlign w:val="superscript"/>
          <w:rtl/>
        </w:rPr>
        <w:t>(</w:t>
      </w:r>
      <w:r w:rsidRPr="00815C4C">
        <w:rPr>
          <w:rFonts w:cs="Taher"/>
          <w:vertAlign w:val="superscript"/>
          <w:rtl/>
        </w:rPr>
        <w:footnoteReference w:id="923"/>
      </w:r>
      <w:r w:rsidRPr="00815C4C">
        <w:rPr>
          <w:rFonts w:cs="Taher"/>
          <w:vertAlign w:val="superscript"/>
          <w:rtl/>
        </w:rPr>
        <w:t>)</w:t>
      </w:r>
      <w:r>
        <w:rPr>
          <w:rtl/>
        </w:rPr>
        <w:t>.</w:t>
      </w:r>
    </w:p>
    <w:p w:rsidR="00391A35" w:rsidRPr="009368DE" w:rsidRDefault="00391A35" w:rsidP="009368DE">
      <w:pPr>
        <w:pStyle w:val="afffffc"/>
        <w:rPr>
          <w:sz w:val="16"/>
          <w:szCs w:val="14"/>
          <w:rtl/>
        </w:rPr>
      </w:pPr>
    </w:p>
    <w:p w:rsidR="00391A35" w:rsidRPr="00FE4C18" w:rsidRDefault="00391A35" w:rsidP="009368DE">
      <w:pPr>
        <w:pStyle w:val="3"/>
        <w:rPr>
          <w:rtl/>
        </w:rPr>
      </w:pPr>
      <w:bookmarkStart w:id="505" w:name="_Toc275128212"/>
      <w:r w:rsidRPr="00FE4C18">
        <w:rPr>
          <w:rtl/>
        </w:rPr>
        <w:t>5</w:t>
      </w:r>
      <w:r>
        <w:rPr>
          <w:rtl/>
        </w:rPr>
        <w:t>ـ</w:t>
      </w:r>
      <w:r w:rsidRPr="00FE4C18">
        <w:rPr>
          <w:rtl/>
        </w:rPr>
        <w:t xml:space="preserve"> 2</w:t>
      </w:r>
      <w:r>
        <w:rPr>
          <w:rtl/>
        </w:rPr>
        <w:t>ـ</w:t>
      </w:r>
      <w:r w:rsidRPr="00FE4C18">
        <w:rPr>
          <w:rtl/>
        </w:rPr>
        <w:t xml:space="preserve"> تع</w:t>
      </w:r>
      <w:r>
        <w:rPr>
          <w:rtl/>
        </w:rPr>
        <w:t>يي</w:t>
      </w:r>
      <w:r w:rsidRPr="00FE4C18">
        <w:rPr>
          <w:rtl/>
        </w:rPr>
        <w:t xml:space="preserve">ن </w:t>
      </w:r>
      <w:r>
        <w:rPr>
          <w:rtl/>
        </w:rPr>
        <w:t>ا</w:t>
      </w:r>
      <w:r w:rsidRPr="00FE4C18">
        <w:rPr>
          <w:rtl/>
        </w:rPr>
        <w:t xml:space="preserve">لنسب </w:t>
      </w:r>
      <w:r>
        <w:rPr>
          <w:rtl/>
        </w:rPr>
        <w:t>ا</w:t>
      </w:r>
      <w:r w:rsidRPr="00FE4C18">
        <w:rPr>
          <w:rtl/>
        </w:rPr>
        <w:t>لأمومي</w:t>
      </w:r>
      <w:bookmarkEnd w:id="505"/>
    </w:p>
    <w:p w:rsidR="00391A35" w:rsidRPr="00FE4C18" w:rsidRDefault="00391A35" w:rsidP="00391A35">
      <w:pPr>
        <w:pStyle w:val="ac"/>
        <w:rPr>
          <w:rtl/>
        </w:rPr>
      </w:pPr>
      <w:r w:rsidRPr="00FE4C18">
        <w:rPr>
          <w:rtl/>
        </w:rPr>
        <w:t xml:space="preserve">إثبات </w:t>
      </w:r>
      <w:r>
        <w:rPr>
          <w:rtl/>
        </w:rPr>
        <w:t>ا</w:t>
      </w:r>
      <w:r w:rsidRPr="00FE4C18">
        <w:rPr>
          <w:rtl/>
        </w:rPr>
        <w:t>لنسب ذو أهم</w:t>
      </w:r>
      <w:r>
        <w:rPr>
          <w:rtl/>
        </w:rPr>
        <w:t>يّ</w:t>
      </w:r>
      <w:r w:rsidRPr="00FE4C18">
        <w:rPr>
          <w:rtl/>
        </w:rPr>
        <w:t>ة بالغة</w:t>
      </w:r>
      <w:r w:rsidRPr="007F5B58">
        <w:rPr>
          <w:rtl/>
        </w:rPr>
        <w:t>؛</w:t>
      </w:r>
      <w:r w:rsidRPr="00FE4C18">
        <w:rPr>
          <w:rtl/>
        </w:rPr>
        <w:t xml:space="preserve"> إذ </w:t>
      </w:r>
      <w:r>
        <w:rPr>
          <w:rtl/>
        </w:rPr>
        <w:t>ي</w:t>
      </w:r>
      <w:r w:rsidRPr="00FE4C18">
        <w:rPr>
          <w:rtl/>
        </w:rPr>
        <w:t>قول سبحانه</w:t>
      </w:r>
      <w:r>
        <w:rPr>
          <w:rtl/>
        </w:rPr>
        <w:t xml:space="preserve"> و</w:t>
      </w:r>
      <w:r w:rsidRPr="00FE4C18">
        <w:rPr>
          <w:rtl/>
        </w:rPr>
        <w:t>تعال</w:t>
      </w:r>
      <w:r>
        <w:rPr>
          <w:rtl/>
        </w:rPr>
        <w:t xml:space="preserve">ى </w:t>
      </w:r>
      <w:r w:rsidRPr="00FE4C18">
        <w:rPr>
          <w:rtl/>
        </w:rPr>
        <w:t xml:space="preserve">في سورة </w:t>
      </w:r>
      <w:r>
        <w:rPr>
          <w:rtl/>
        </w:rPr>
        <w:t>ا</w:t>
      </w:r>
      <w:r w:rsidRPr="00FE4C18">
        <w:rPr>
          <w:rtl/>
        </w:rPr>
        <w:t>لفرقان</w:t>
      </w:r>
      <w:r w:rsidRPr="007F5B58">
        <w:rPr>
          <w:rtl/>
        </w:rPr>
        <w:t>،</w:t>
      </w:r>
      <w:r w:rsidRPr="00FE4C18">
        <w:rPr>
          <w:rtl/>
        </w:rPr>
        <w:t xml:space="preserve"> آ</w:t>
      </w:r>
      <w:r>
        <w:rPr>
          <w:rtl/>
        </w:rPr>
        <w:t>ي</w:t>
      </w:r>
      <w:r w:rsidRPr="00FE4C18">
        <w:rPr>
          <w:rtl/>
        </w:rPr>
        <w:t>ة 54</w:t>
      </w:r>
      <w:r w:rsidRPr="007F5B58">
        <w:rPr>
          <w:rtl/>
        </w:rPr>
        <w:t>:</w:t>
      </w:r>
      <w:r w:rsidRPr="00FE4C18">
        <w:rPr>
          <w:rtl/>
        </w:rPr>
        <w:t xml:space="preserve"> </w:t>
      </w:r>
      <w:r w:rsidRPr="00D66643">
        <w:rPr>
          <w:rFonts w:cs="Taher"/>
          <w:rtl/>
        </w:rPr>
        <w:t>{</w:t>
      </w:r>
      <w:r w:rsidRPr="006D355B">
        <w:rPr>
          <w:rStyle w:val="Char"/>
          <w:b/>
          <w:bCs/>
          <w:rtl/>
        </w:rPr>
        <w:t>وَهُوَ الَّذِي خَلَقَ مِنَ المَاء بَشَر</w:t>
      </w:r>
      <w:r>
        <w:rPr>
          <w:rStyle w:val="Char"/>
          <w:b/>
          <w:bCs/>
          <w:rtl/>
        </w:rPr>
        <w:t>اً</w:t>
      </w:r>
      <w:r w:rsidRPr="006D355B">
        <w:rPr>
          <w:rStyle w:val="Char"/>
          <w:b/>
          <w:bCs/>
          <w:rtl/>
        </w:rPr>
        <w:t xml:space="preserve"> فَجَعَلَهُ نَسَب</w:t>
      </w:r>
      <w:r>
        <w:rPr>
          <w:rStyle w:val="Char"/>
          <w:b/>
          <w:bCs/>
          <w:rtl/>
        </w:rPr>
        <w:t>اً</w:t>
      </w:r>
      <w:r w:rsidRPr="006D355B">
        <w:rPr>
          <w:rStyle w:val="Char"/>
          <w:b/>
          <w:bCs/>
          <w:rtl/>
        </w:rPr>
        <w:t xml:space="preserve"> وَصِهْر</w:t>
      </w:r>
      <w:r>
        <w:rPr>
          <w:rStyle w:val="Char"/>
          <w:b/>
          <w:bCs/>
          <w:rtl/>
        </w:rPr>
        <w:t>اً</w:t>
      </w:r>
      <w:r w:rsidRPr="006D355B">
        <w:rPr>
          <w:rStyle w:val="Char"/>
          <w:b/>
          <w:bCs/>
          <w:rtl/>
        </w:rPr>
        <w:t xml:space="preserve"> وَكَانَ رَبُّكَ قَدِير</w:t>
      </w:r>
      <w:r>
        <w:rPr>
          <w:rStyle w:val="Char"/>
          <w:b/>
          <w:bCs/>
          <w:rtl/>
        </w:rPr>
        <w:t>اً</w:t>
      </w:r>
      <w:r w:rsidRPr="00D66643">
        <w:rPr>
          <w:rFonts w:cs="Taher"/>
          <w:rtl/>
        </w:rPr>
        <w:t>}</w:t>
      </w:r>
      <w:r w:rsidRPr="00FE4C18">
        <w:rPr>
          <w:rtl/>
        </w:rPr>
        <w:t xml:space="preserve">. فبالنسب </w:t>
      </w:r>
      <w:r>
        <w:rPr>
          <w:rtl/>
        </w:rPr>
        <w:t>ي</w:t>
      </w:r>
      <w:r w:rsidRPr="00FE4C18">
        <w:rPr>
          <w:rtl/>
        </w:rPr>
        <w:t xml:space="preserve">فتخر </w:t>
      </w:r>
      <w:r>
        <w:rPr>
          <w:rtl/>
        </w:rPr>
        <w:t>ا</w:t>
      </w:r>
      <w:r w:rsidRPr="00FE4C18">
        <w:rPr>
          <w:rtl/>
        </w:rPr>
        <w:t>لأبناء بآبائهم</w:t>
      </w:r>
      <w:r>
        <w:rPr>
          <w:rtl/>
        </w:rPr>
        <w:t xml:space="preserve"> و</w:t>
      </w:r>
      <w:r w:rsidRPr="00FE4C18">
        <w:rPr>
          <w:rtl/>
        </w:rPr>
        <w:t>أجدادهم</w:t>
      </w:r>
      <w:r w:rsidRPr="007F5B58">
        <w:rPr>
          <w:rtl/>
        </w:rPr>
        <w:t>،</w:t>
      </w:r>
      <w:r w:rsidRPr="00FE4C18">
        <w:rPr>
          <w:rtl/>
        </w:rPr>
        <w:t xml:space="preserve"> و</w:t>
      </w:r>
      <w:r>
        <w:rPr>
          <w:rtl/>
        </w:rPr>
        <w:t>من هنا اهتمت</w:t>
      </w:r>
      <w:r w:rsidRPr="00FE4C18">
        <w:rPr>
          <w:rtl/>
        </w:rPr>
        <w:t xml:space="preserve"> </w:t>
      </w:r>
      <w:r>
        <w:rPr>
          <w:rtl/>
        </w:rPr>
        <w:t>ا</w:t>
      </w:r>
      <w:r w:rsidRPr="00FE4C18">
        <w:rPr>
          <w:rtl/>
        </w:rPr>
        <w:t>لشر</w:t>
      </w:r>
      <w:r>
        <w:rPr>
          <w:rtl/>
        </w:rPr>
        <w:t>ي</w:t>
      </w:r>
      <w:r w:rsidRPr="00FE4C18">
        <w:rPr>
          <w:rtl/>
        </w:rPr>
        <w:t xml:space="preserve">عة </w:t>
      </w:r>
      <w:r>
        <w:rPr>
          <w:rtl/>
        </w:rPr>
        <w:t>ا</w:t>
      </w:r>
      <w:r w:rsidRPr="00FE4C18">
        <w:rPr>
          <w:rtl/>
        </w:rPr>
        <w:t>لاسلام</w:t>
      </w:r>
      <w:r>
        <w:rPr>
          <w:rtl/>
        </w:rPr>
        <w:t>يّ</w:t>
      </w:r>
      <w:r w:rsidRPr="00FE4C18">
        <w:rPr>
          <w:rtl/>
        </w:rPr>
        <w:t xml:space="preserve">ة‌ بمعرفة </w:t>
      </w:r>
      <w:r>
        <w:rPr>
          <w:rtl/>
        </w:rPr>
        <w:t>ا</w:t>
      </w:r>
      <w:r w:rsidRPr="00FE4C18">
        <w:rPr>
          <w:rtl/>
        </w:rPr>
        <w:t xml:space="preserve">لنسب </w:t>
      </w:r>
      <w:r>
        <w:rPr>
          <w:rtl/>
        </w:rPr>
        <w:t>ك</w:t>
      </w:r>
      <w:r w:rsidRPr="00FE4C18">
        <w:rPr>
          <w:rtl/>
        </w:rPr>
        <w:t>ث</w:t>
      </w:r>
      <w:r>
        <w:rPr>
          <w:rtl/>
        </w:rPr>
        <w:t>ي</w:t>
      </w:r>
      <w:r w:rsidRPr="00FE4C18">
        <w:rPr>
          <w:rtl/>
        </w:rPr>
        <w:t>راً</w:t>
      </w:r>
      <w:r w:rsidRPr="007F5B58">
        <w:rPr>
          <w:rtl/>
        </w:rPr>
        <w:t>،</w:t>
      </w:r>
      <w:r>
        <w:rPr>
          <w:rtl/>
        </w:rPr>
        <w:t xml:space="preserve"> وا</w:t>
      </w:r>
      <w:r w:rsidRPr="00FE4C18">
        <w:rPr>
          <w:rtl/>
        </w:rPr>
        <w:t xml:space="preserve">لحق </w:t>
      </w:r>
      <w:r>
        <w:rPr>
          <w:rtl/>
        </w:rPr>
        <w:t>ا</w:t>
      </w:r>
      <w:r w:rsidRPr="00FE4C18">
        <w:rPr>
          <w:rtl/>
        </w:rPr>
        <w:t xml:space="preserve">لأول </w:t>
      </w:r>
      <w:r>
        <w:rPr>
          <w:rtl/>
        </w:rPr>
        <w:t>ا</w:t>
      </w:r>
      <w:r w:rsidRPr="00FE4C18">
        <w:rPr>
          <w:rtl/>
        </w:rPr>
        <w:t xml:space="preserve">لذي جُعل للطفل بعد </w:t>
      </w:r>
      <w:r>
        <w:rPr>
          <w:rtl/>
        </w:rPr>
        <w:t>ا</w:t>
      </w:r>
      <w:r w:rsidRPr="00FE4C18">
        <w:rPr>
          <w:rtl/>
        </w:rPr>
        <w:t>لولادة هو تع</w:t>
      </w:r>
      <w:r>
        <w:rPr>
          <w:rtl/>
        </w:rPr>
        <w:t>يي</w:t>
      </w:r>
      <w:r w:rsidRPr="00FE4C18">
        <w:rPr>
          <w:rtl/>
        </w:rPr>
        <w:t>ن نسبه</w:t>
      </w:r>
      <w:r w:rsidRPr="00815C4C">
        <w:rPr>
          <w:rFonts w:cs="Taher"/>
          <w:vertAlign w:val="superscript"/>
          <w:rtl/>
        </w:rPr>
        <w:t>(</w:t>
      </w:r>
      <w:r w:rsidRPr="00815C4C">
        <w:rPr>
          <w:rFonts w:cs="Taher"/>
          <w:vertAlign w:val="superscript"/>
          <w:rtl/>
        </w:rPr>
        <w:footnoteReference w:id="924"/>
      </w:r>
      <w:r w:rsidRPr="00815C4C">
        <w:rPr>
          <w:rFonts w:cs="Taher"/>
          <w:vertAlign w:val="superscript"/>
          <w:rtl/>
        </w:rPr>
        <w:t>)</w:t>
      </w:r>
      <w:r w:rsidRPr="00FE4C18">
        <w:rPr>
          <w:rtl/>
        </w:rPr>
        <w:t xml:space="preserve">. </w:t>
      </w:r>
    </w:p>
    <w:p w:rsidR="00391A35" w:rsidRPr="00FE4C18" w:rsidRDefault="00391A35" w:rsidP="009368DE">
      <w:pPr>
        <w:pStyle w:val="ac"/>
        <w:spacing w:line="199" w:lineRule="auto"/>
        <w:rPr>
          <w:rtl/>
        </w:rPr>
      </w:pPr>
      <w:r w:rsidRPr="00FE4C18">
        <w:rPr>
          <w:rtl/>
        </w:rPr>
        <w:t>و</w:t>
      </w:r>
      <w:r>
        <w:rPr>
          <w:rtl/>
        </w:rPr>
        <w:t>ا</w:t>
      </w:r>
      <w:r w:rsidRPr="00FE4C18">
        <w:rPr>
          <w:rtl/>
        </w:rPr>
        <w:t xml:space="preserve">لذي </w:t>
      </w:r>
      <w:r>
        <w:rPr>
          <w:rtl/>
        </w:rPr>
        <w:t>ي</w:t>
      </w:r>
      <w:r w:rsidRPr="00FE4C18">
        <w:rPr>
          <w:rtl/>
        </w:rPr>
        <w:t xml:space="preserve">سبب انتساب </w:t>
      </w:r>
      <w:r>
        <w:rPr>
          <w:rtl/>
        </w:rPr>
        <w:t>ا</w:t>
      </w:r>
      <w:r w:rsidRPr="00FE4C18">
        <w:rPr>
          <w:rtl/>
        </w:rPr>
        <w:t>لطفل لأبو</w:t>
      </w:r>
      <w:r>
        <w:rPr>
          <w:rtl/>
        </w:rPr>
        <w:t>ي</w:t>
      </w:r>
      <w:r w:rsidRPr="00FE4C18">
        <w:rPr>
          <w:rtl/>
        </w:rPr>
        <w:t xml:space="preserve">ه </w:t>
      </w:r>
      <w:r>
        <w:rPr>
          <w:rtl/>
        </w:rPr>
        <w:t>ا</w:t>
      </w:r>
      <w:r w:rsidRPr="00FE4C18">
        <w:rPr>
          <w:rtl/>
        </w:rPr>
        <w:t xml:space="preserve">لعلاقة </w:t>
      </w:r>
      <w:r>
        <w:rPr>
          <w:rtl/>
        </w:rPr>
        <w:t>ا</w:t>
      </w:r>
      <w:r w:rsidRPr="00FE4C18">
        <w:rPr>
          <w:rtl/>
        </w:rPr>
        <w:t>لزوج</w:t>
      </w:r>
      <w:r>
        <w:rPr>
          <w:rtl/>
        </w:rPr>
        <w:t>يّ</w:t>
      </w:r>
      <w:r w:rsidRPr="00FE4C18">
        <w:rPr>
          <w:rtl/>
        </w:rPr>
        <w:t>ة ب</w:t>
      </w:r>
      <w:r>
        <w:rPr>
          <w:rtl/>
        </w:rPr>
        <w:t>ي</w:t>
      </w:r>
      <w:r w:rsidRPr="00FE4C18">
        <w:rPr>
          <w:rtl/>
        </w:rPr>
        <w:t>نهما</w:t>
      </w:r>
      <w:r w:rsidRPr="007F5B58">
        <w:rPr>
          <w:rtl/>
        </w:rPr>
        <w:t>،</w:t>
      </w:r>
      <w:r w:rsidRPr="00FE4C18">
        <w:rPr>
          <w:rtl/>
        </w:rPr>
        <w:t xml:space="preserve"> أو </w:t>
      </w:r>
      <w:r>
        <w:rPr>
          <w:rtl/>
        </w:rPr>
        <w:t>ا</w:t>
      </w:r>
      <w:r w:rsidRPr="00FE4C18">
        <w:rPr>
          <w:rtl/>
        </w:rPr>
        <w:t xml:space="preserve">لاعتقاد بوجود هذه </w:t>
      </w:r>
      <w:r>
        <w:rPr>
          <w:rtl/>
        </w:rPr>
        <w:t>ا</w:t>
      </w:r>
      <w:r w:rsidRPr="00FE4C18">
        <w:rPr>
          <w:rtl/>
        </w:rPr>
        <w:t>لعلاقة</w:t>
      </w:r>
      <w:r w:rsidRPr="00815C4C">
        <w:rPr>
          <w:rFonts w:cs="Taher"/>
          <w:vertAlign w:val="superscript"/>
          <w:rtl/>
        </w:rPr>
        <w:t>(</w:t>
      </w:r>
      <w:r w:rsidRPr="00815C4C">
        <w:rPr>
          <w:rFonts w:cs="Taher"/>
          <w:vertAlign w:val="superscript"/>
          <w:rtl/>
        </w:rPr>
        <w:footnoteReference w:id="925"/>
      </w:r>
      <w:r w:rsidRPr="00815C4C">
        <w:rPr>
          <w:rFonts w:cs="Taher"/>
          <w:vertAlign w:val="superscript"/>
          <w:rtl/>
        </w:rPr>
        <w:t>)</w:t>
      </w:r>
      <w:r w:rsidRPr="007F5B58">
        <w:rPr>
          <w:rtl/>
        </w:rPr>
        <w:t>،</w:t>
      </w:r>
      <w:r w:rsidRPr="00FE4C18">
        <w:rPr>
          <w:rtl/>
        </w:rPr>
        <w:t xml:space="preserve"> ففي هذه </w:t>
      </w:r>
      <w:r>
        <w:rPr>
          <w:rtl/>
        </w:rPr>
        <w:t>ا</w:t>
      </w:r>
      <w:r w:rsidRPr="00FE4C18">
        <w:rPr>
          <w:rtl/>
        </w:rPr>
        <w:t xml:space="preserve">لعلاقة </w:t>
      </w:r>
      <w:r>
        <w:rPr>
          <w:rtl/>
        </w:rPr>
        <w:t>ا</w:t>
      </w:r>
      <w:r w:rsidRPr="00FE4C18">
        <w:rPr>
          <w:rtl/>
        </w:rPr>
        <w:t xml:space="preserve">لنسب </w:t>
      </w:r>
      <w:r>
        <w:rPr>
          <w:rtl/>
        </w:rPr>
        <w:t>ا</w:t>
      </w:r>
      <w:r w:rsidRPr="00FE4C18">
        <w:rPr>
          <w:rtl/>
        </w:rPr>
        <w:t>لأبوي للطفل معلوم</w:t>
      </w:r>
      <w:r w:rsidRPr="007F5B58">
        <w:rPr>
          <w:rtl/>
        </w:rPr>
        <w:t>،</w:t>
      </w:r>
      <w:r>
        <w:rPr>
          <w:rtl/>
        </w:rPr>
        <w:t xml:space="preserve"> وأما</w:t>
      </w:r>
      <w:r w:rsidRPr="00FE4C18">
        <w:rPr>
          <w:rtl/>
        </w:rPr>
        <w:t xml:space="preserve"> تع</w:t>
      </w:r>
      <w:r>
        <w:rPr>
          <w:rtl/>
        </w:rPr>
        <w:t>يي</w:t>
      </w:r>
      <w:r w:rsidRPr="00FE4C18">
        <w:rPr>
          <w:rtl/>
        </w:rPr>
        <w:t xml:space="preserve">ن </w:t>
      </w:r>
      <w:r>
        <w:rPr>
          <w:rtl/>
        </w:rPr>
        <w:t>ا</w:t>
      </w:r>
      <w:r w:rsidRPr="00FE4C18">
        <w:rPr>
          <w:rtl/>
        </w:rPr>
        <w:t xml:space="preserve">لنسب </w:t>
      </w:r>
      <w:r>
        <w:rPr>
          <w:rtl/>
        </w:rPr>
        <w:t>ا</w:t>
      </w:r>
      <w:r w:rsidRPr="00FE4C18">
        <w:rPr>
          <w:rtl/>
        </w:rPr>
        <w:t>لأمومي</w:t>
      </w:r>
      <w:r w:rsidRPr="007F5B58">
        <w:rPr>
          <w:rtl/>
        </w:rPr>
        <w:t>؛</w:t>
      </w:r>
      <w:r w:rsidRPr="00FE4C18">
        <w:rPr>
          <w:rtl/>
        </w:rPr>
        <w:t xml:space="preserve"> لأنَّ </w:t>
      </w:r>
      <w:r>
        <w:rPr>
          <w:rtl/>
        </w:rPr>
        <w:t>ا</w:t>
      </w:r>
      <w:r w:rsidRPr="00FE4C18">
        <w:rPr>
          <w:rtl/>
        </w:rPr>
        <w:t xml:space="preserve">لطفل </w:t>
      </w:r>
      <w:r>
        <w:rPr>
          <w:rtl/>
        </w:rPr>
        <w:t>ي</w:t>
      </w:r>
      <w:r w:rsidRPr="00FE4C18">
        <w:rPr>
          <w:rtl/>
        </w:rPr>
        <w:t>رتبط ب</w:t>
      </w:r>
      <w:r>
        <w:rPr>
          <w:rFonts w:hint="cs"/>
          <w:rtl/>
        </w:rPr>
        <w:t>ا</w:t>
      </w:r>
      <w:r w:rsidRPr="00FE4C18">
        <w:rPr>
          <w:rtl/>
        </w:rPr>
        <w:t>مرأت</w:t>
      </w:r>
      <w:r>
        <w:rPr>
          <w:rtl/>
        </w:rPr>
        <w:t>ي</w:t>
      </w:r>
      <w:r w:rsidRPr="00FE4C18">
        <w:rPr>
          <w:rtl/>
        </w:rPr>
        <w:t xml:space="preserve">ن (صاحبة </w:t>
      </w:r>
      <w:r>
        <w:rPr>
          <w:rtl/>
        </w:rPr>
        <w:t>ا</w:t>
      </w:r>
      <w:r w:rsidRPr="00FE4C18">
        <w:rPr>
          <w:rtl/>
        </w:rPr>
        <w:t>لرحم</w:t>
      </w:r>
      <w:r>
        <w:rPr>
          <w:rtl/>
        </w:rPr>
        <w:t xml:space="preserve"> و</w:t>
      </w:r>
      <w:r w:rsidRPr="00FE4C18">
        <w:rPr>
          <w:rtl/>
        </w:rPr>
        <w:t xml:space="preserve">صاحبة </w:t>
      </w:r>
      <w:r>
        <w:rPr>
          <w:rtl/>
        </w:rPr>
        <w:t>ا</w:t>
      </w:r>
      <w:r w:rsidRPr="00FE4C18">
        <w:rPr>
          <w:rtl/>
        </w:rPr>
        <w:t>لبو</w:t>
      </w:r>
      <w:r>
        <w:rPr>
          <w:rtl/>
        </w:rPr>
        <w:t>ي</w:t>
      </w:r>
      <w:r w:rsidRPr="00FE4C18">
        <w:rPr>
          <w:rtl/>
        </w:rPr>
        <w:t xml:space="preserve">ضة) في </w:t>
      </w:r>
      <w:r>
        <w:rPr>
          <w:rtl/>
        </w:rPr>
        <w:t>ا</w:t>
      </w:r>
      <w:r w:rsidRPr="00FE4C18">
        <w:rPr>
          <w:rtl/>
        </w:rPr>
        <w:t xml:space="preserve">لعلاقة </w:t>
      </w:r>
      <w:r>
        <w:rPr>
          <w:rtl/>
        </w:rPr>
        <w:lastRenderedPageBreak/>
        <w:t>ا</w:t>
      </w:r>
      <w:r w:rsidRPr="00FE4C18">
        <w:rPr>
          <w:rtl/>
        </w:rPr>
        <w:t>لت</w:t>
      </w:r>
      <w:r>
        <w:rPr>
          <w:rtl/>
        </w:rPr>
        <w:t>ك</w:t>
      </w:r>
      <w:r w:rsidRPr="00FE4C18">
        <w:rPr>
          <w:rtl/>
        </w:rPr>
        <w:t>و</w:t>
      </w:r>
      <w:r>
        <w:rPr>
          <w:rtl/>
        </w:rPr>
        <w:t>ي</w:t>
      </w:r>
      <w:r w:rsidRPr="00FE4C18">
        <w:rPr>
          <w:rtl/>
        </w:rPr>
        <w:t>ن</w:t>
      </w:r>
      <w:r>
        <w:rPr>
          <w:rtl/>
        </w:rPr>
        <w:t>يّ</w:t>
      </w:r>
      <w:r w:rsidRPr="00FE4C18">
        <w:rPr>
          <w:rtl/>
        </w:rPr>
        <w:t>ة</w:t>
      </w:r>
      <w:r w:rsidRPr="007F5B58">
        <w:rPr>
          <w:rtl/>
        </w:rPr>
        <w:t>،</w:t>
      </w:r>
      <w:r w:rsidRPr="00FE4C18">
        <w:rPr>
          <w:rtl/>
        </w:rPr>
        <w:t xml:space="preserve"> ف</w:t>
      </w:r>
      <w:r>
        <w:rPr>
          <w:rtl/>
        </w:rPr>
        <w:t>ي</w:t>
      </w:r>
      <w:r w:rsidRPr="00FE4C18">
        <w:rPr>
          <w:rtl/>
        </w:rPr>
        <w:t xml:space="preserve">ختلف </w:t>
      </w:r>
      <w:r>
        <w:rPr>
          <w:rtl/>
        </w:rPr>
        <w:t>ا</w:t>
      </w:r>
      <w:r w:rsidRPr="00FE4C18">
        <w:rPr>
          <w:rtl/>
        </w:rPr>
        <w:t>لفقهاء ف</w:t>
      </w:r>
      <w:r>
        <w:rPr>
          <w:rtl/>
        </w:rPr>
        <w:t>ي</w:t>
      </w:r>
      <w:r w:rsidRPr="00FE4C18">
        <w:rPr>
          <w:rtl/>
        </w:rPr>
        <w:t>ه</w:t>
      </w:r>
      <w:r w:rsidRPr="007F5B58">
        <w:rPr>
          <w:rtl/>
        </w:rPr>
        <w:t>؛</w:t>
      </w:r>
      <w:r>
        <w:rPr>
          <w:rtl/>
        </w:rPr>
        <w:t xml:space="preserve"> حيث ي</w:t>
      </w:r>
      <w:r w:rsidRPr="00FE4C18">
        <w:rPr>
          <w:rtl/>
        </w:rPr>
        <w:t>ؤ</w:t>
      </w:r>
      <w:r>
        <w:rPr>
          <w:rtl/>
        </w:rPr>
        <w:t>ك</w:t>
      </w:r>
      <w:r w:rsidRPr="00FE4C18">
        <w:rPr>
          <w:rtl/>
        </w:rPr>
        <w:t>د بعضهم</w:t>
      </w:r>
      <w:r w:rsidRPr="00815C4C">
        <w:rPr>
          <w:rFonts w:cs="Taher" w:hint="cs"/>
          <w:vertAlign w:val="superscript"/>
          <w:rtl/>
        </w:rPr>
        <w:t>(</w:t>
      </w:r>
      <w:r w:rsidRPr="00815C4C">
        <w:rPr>
          <w:rFonts w:cs="Taher"/>
          <w:vertAlign w:val="superscript"/>
          <w:rtl/>
        </w:rPr>
        <w:footnoteReference w:id="926"/>
      </w:r>
      <w:r w:rsidRPr="00815C4C">
        <w:rPr>
          <w:rFonts w:cs="Taher" w:hint="cs"/>
          <w:vertAlign w:val="superscript"/>
          <w:rtl/>
        </w:rPr>
        <w:t>)</w:t>
      </w:r>
      <w:r w:rsidRPr="007F5B58">
        <w:rPr>
          <w:rtl/>
        </w:rPr>
        <w:t>،</w:t>
      </w:r>
      <w:r>
        <w:rPr>
          <w:rtl/>
        </w:rPr>
        <w:t xml:space="preserve"> و</w:t>
      </w:r>
      <w:r w:rsidRPr="00FE4C18">
        <w:rPr>
          <w:rtl/>
        </w:rPr>
        <w:t>عل</w:t>
      </w:r>
      <w:r>
        <w:rPr>
          <w:rtl/>
        </w:rPr>
        <w:t xml:space="preserve">ى </w:t>
      </w:r>
      <w:r w:rsidRPr="00FE4C18">
        <w:rPr>
          <w:rtl/>
        </w:rPr>
        <w:t xml:space="preserve">رأسهم </w:t>
      </w:r>
      <w:r>
        <w:rPr>
          <w:rtl/>
        </w:rPr>
        <w:t>السيد</w:t>
      </w:r>
      <w:r w:rsidRPr="00FE4C18">
        <w:rPr>
          <w:rtl/>
        </w:rPr>
        <w:t xml:space="preserve"> </w:t>
      </w:r>
      <w:r>
        <w:rPr>
          <w:rtl/>
        </w:rPr>
        <w:t>ا</w:t>
      </w:r>
      <w:r w:rsidRPr="00FE4C18">
        <w:rPr>
          <w:rtl/>
        </w:rPr>
        <w:t>لخوئي</w:t>
      </w:r>
      <w:r w:rsidRPr="007F5B58">
        <w:rPr>
          <w:rtl/>
        </w:rPr>
        <w:t>،</w:t>
      </w:r>
      <w:r w:rsidRPr="00FE4C18">
        <w:rPr>
          <w:rtl/>
        </w:rPr>
        <w:t xml:space="preserve"> مس</w:t>
      </w:r>
      <w:r>
        <w:rPr>
          <w:rtl/>
        </w:rPr>
        <w:t>تـن</w:t>
      </w:r>
      <w:r w:rsidRPr="00FE4C18">
        <w:rPr>
          <w:rtl/>
        </w:rPr>
        <w:t>داً إل</w:t>
      </w:r>
      <w:r>
        <w:rPr>
          <w:rtl/>
        </w:rPr>
        <w:t>ى ا</w:t>
      </w:r>
      <w:r w:rsidRPr="00FE4C18">
        <w:rPr>
          <w:rtl/>
        </w:rPr>
        <w:t>لآ</w:t>
      </w:r>
      <w:r>
        <w:rPr>
          <w:rtl/>
        </w:rPr>
        <w:t>ي</w:t>
      </w:r>
      <w:r w:rsidRPr="00FE4C18">
        <w:rPr>
          <w:rtl/>
        </w:rPr>
        <w:t xml:space="preserve">ة 2 من سورة </w:t>
      </w:r>
      <w:r>
        <w:rPr>
          <w:rtl/>
        </w:rPr>
        <w:t>ا</w:t>
      </w:r>
      <w:r w:rsidRPr="00FE4C18">
        <w:rPr>
          <w:rtl/>
        </w:rPr>
        <w:t>لمجادلة</w:t>
      </w:r>
      <w:r w:rsidRPr="007F5B58">
        <w:rPr>
          <w:rtl/>
        </w:rPr>
        <w:t>:</w:t>
      </w:r>
      <w:r>
        <w:rPr>
          <w:rtl/>
        </w:rPr>
        <w:t xml:space="preserve"> </w:t>
      </w:r>
      <w:r w:rsidRPr="00D66643">
        <w:rPr>
          <w:rFonts w:cs="Taher"/>
          <w:rtl/>
        </w:rPr>
        <w:t>{</w:t>
      </w:r>
      <w:r w:rsidRPr="006D355B">
        <w:rPr>
          <w:rStyle w:val="Char"/>
          <w:b/>
          <w:bCs/>
          <w:rtl/>
        </w:rPr>
        <w:t>الَّذِينَ يُظَاهِرُونَ مِنكُم مِّن نِّسَائِهِم مَّا هُنَّ أُمَّهَاتِهِمْ إِنْ أُمَّهَاتُهُمْ إِلا</w:t>
      </w:r>
      <w:r>
        <w:rPr>
          <w:rStyle w:val="Char"/>
          <w:rFonts w:hint="cs"/>
          <w:b/>
          <w:bCs/>
          <w:rtl/>
        </w:rPr>
        <w:t>ّ</w:t>
      </w:r>
      <w:r w:rsidRPr="006D355B">
        <w:rPr>
          <w:rStyle w:val="Char"/>
          <w:b/>
          <w:bCs/>
          <w:rtl/>
        </w:rPr>
        <w:t xml:space="preserve"> اللائِي وَلَدْنَهُمْ</w:t>
      </w:r>
      <w:r>
        <w:rPr>
          <w:b/>
          <w:bCs/>
          <w:rtl/>
        </w:rPr>
        <w:t>.</w:t>
      </w:r>
      <w:r w:rsidRPr="006D355B">
        <w:rPr>
          <w:b/>
          <w:bCs/>
          <w:rtl/>
        </w:rPr>
        <w:t>..</w:t>
      </w:r>
      <w:r w:rsidRPr="00D66643">
        <w:rPr>
          <w:rFonts w:cs="Taher"/>
          <w:rtl/>
        </w:rPr>
        <w:t>}</w:t>
      </w:r>
      <w:r>
        <w:rPr>
          <w:rFonts w:cs="Taher" w:hint="cs"/>
          <w:rtl/>
        </w:rPr>
        <w:t>،</w:t>
      </w:r>
      <w:r>
        <w:rPr>
          <w:rtl/>
        </w:rPr>
        <w:t xml:space="preserve"> وك</w:t>
      </w:r>
      <w:r w:rsidRPr="00FE4C18">
        <w:rPr>
          <w:rtl/>
        </w:rPr>
        <w:t>ذل</w:t>
      </w:r>
      <w:r>
        <w:rPr>
          <w:rtl/>
        </w:rPr>
        <w:t>ك</w:t>
      </w:r>
      <w:r w:rsidRPr="00FE4C18">
        <w:rPr>
          <w:rtl/>
        </w:rPr>
        <w:t xml:space="preserve"> </w:t>
      </w:r>
      <w:r>
        <w:rPr>
          <w:rtl/>
        </w:rPr>
        <w:t>ا</w:t>
      </w:r>
      <w:r w:rsidRPr="00FE4C18">
        <w:rPr>
          <w:rtl/>
        </w:rPr>
        <w:t>لآ</w:t>
      </w:r>
      <w:r>
        <w:rPr>
          <w:rtl/>
        </w:rPr>
        <w:t>ي</w:t>
      </w:r>
      <w:r w:rsidRPr="00FE4C18">
        <w:rPr>
          <w:rtl/>
        </w:rPr>
        <w:t xml:space="preserve">ات </w:t>
      </w:r>
      <w:r>
        <w:rPr>
          <w:rtl/>
        </w:rPr>
        <w:t>ا</w:t>
      </w:r>
      <w:r w:rsidRPr="00FE4C18">
        <w:rPr>
          <w:rtl/>
        </w:rPr>
        <w:t>لآخر</w:t>
      </w:r>
      <w:r>
        <w:rPr>
          <w:rtl/>
        </w:rPr>
        <w:t xml:space="preserve">ى </w:t>
      </w:r>
      <w:r w:rsidRPr="00FE4C18">
        <w:rPr>
          <w:rtl/>
        </w:rPr>
        <w:t>(الأحقاف</w:t>
      </w:r>
      <w:r w:rsidRPr="007F5B58">
        <w:rPr>
          <w:rtl/>
        </w:rPr>
        <w:t>:</w:t>
      </w:r>
      <w:r w:rsidRPr="00FE4C18">
        <w:rPr>
          <w:rtl/>
        </w:rPr>
        <w:t xml:space="preserve"> 15</w:t>
      </w:r>
      <w:r w:rsidRPr="007F5B58">
        <w:rPr>
          <w:rtl/>
        </w:rPr>
        <w:t>؛</w:t>
      </w:r>
      <w:r w:rsidRPr="00FE4C18">
        <w:rPr>
          <w:rtl/>
        </w:rPr>
        <w:t xml:space="preserve"> لقمان</w:t>
      </w:r>
      <w:r w:rsidRPr="007F5B58">
        <w:rPr>
          <w:rtl/>
        </w:rPr>
        <w:t>:</w:t>
      </w:r>
      <w:r w:rsidRPr="00FE4C18">
        <w:rPr>
          <w:rtl/>
        </w:rPr>
        <w:t xml:space="preserve"> 14</w:t>
      </w:r>
      <w:r w:rsidRPr="007F5B58">
        <w:rPr>
          <w:rtl/>
        </w:rPr>
        <w:t>؛</w:t>
      </w:r>
      <w:r w:rsidRPr="00FE4C18">
        <w:rPr>
          <w:rtl/>
        </w:rPr>
        <w:t xml:space="preserve"> الزمر</w:t>
      </w:r>
      <w:r w:rsidRPr="007F5B58">
        <w:rPr>
          <w:rtl/>
        </w:rPr>
        <w:t>:</w:t>
      </w:r>
      <w:r w:rsidRPr="00FE4C18">
        <w:rPr>
          <w:rtl/>
        </w:rPr>
        <w:t xml:space="preserve"> 6)</w:t>
      </w:r>
      <w:r w:rsidRPr="007F5B58">
        <w:rPr>
          <w:rtl/>
        </w:rPr>
        <w:t>،</w:t>
      </w:r>
      <w:r>
        <w:rPr>
          <w:rtl/>
        </w:rPr>
        <w:t xml:space="preserve"> </w:t>
      </w:r>
      <w:r w:rsidRPr="00FE4C18">
        <w:rPr>
          <w:rtl/>
        </w:rPr>
        <w:t xml:space="preserve">أنَّ أم </w:t>
      </w:r>
      <w:r>
        <w:rPr>
          <w:rtl/>
        </w:rPr>
        <w:t>ا</w:t>
      </w:r>
      <w:r w:rsidRPr="00FE4C18">
        <w:rPr>
          <w:rtl/>
        </w:rPr>
        <w:t xml:space="preserve">لشخص هي </w:t>
      </w:r>
      <w:r>
        <w:rPr>
          <w:rtl/>
        </w:rPr>
        <w:t>المرأة ا</w:t>
      </w:r>
      <w:r w:rsidRPr="00FE4C18">
        <w:rPr>
          <w:rtl/>
        </w:rPr>
        <w:t>لتي حملته</w:t>
      </w:r>
      <w:r>
        <w:rPr>
          <w:rtl/>
        </w:rPr>
        <w:t xml:space="preserve"> و</w:t>
      </w:r>
      <w:r w:rsidRPr="00FE4C18">
        <w:rPr>
          <w:rtl/>
        </w:rPr>
        <w:t>ولدته</w:t>
      </w:r>
      <w:r w:rsidRPr="007F5B58">
        <w:rPr>
          <w:rtl/>
        </w:rPr>
        <w:t>،</w:t>
      </w:r>
      <w:r>
        <w:rPr>
          <w:rtl/>
        </w:rPr>
        <w:t xml:space="preserve"> وي</w:t>
      </w:r>
      <w:r w:rsidRPr="00FE4C18">
        <w:rPr>
          <w:rtl/>
        </w:rPr>
        <w:t xml:space="preserve">عتبرون </w:t>
      </w:r>
      <w:r>
        <w:rPr>
          <w:rtl/>
        </w:rPr>
        <w:t>ا</w:t>
      </w:r>
      <w:r w:rsidRPr="00FE4C18">
        <w:rPr>
          <w:rtl/>
        </w:rPr>
        <w:t xml:space="preserve">لوضع أساس </w:t>
      </w:r>
      <w:r>
        <w:rPr>
          <w:rtl/>
        </w:rPr>
        <w:t>ا</w:t>
      </w:r>
      <w:r w:rsidRPr="00FE4C18">
        <w:rPr>
          <w:rtl/>
        </w:rPr>
        <w:t>لأمومة</w:t>
      </w:r>
      <w:r w:rsidRPr="007F5B58">
        <w:rPr>
          <w:rtl/>
        </w:rPr>
        <w:t>،</w:t>
      </w:r>
      <w:r>
        <w:rPr>
          <w:rtl/>
        </w:rPr>
        <w:t xml:space="preserve"> وي</w:t>
      </w:r>
      <w:r w:rsidRPr="00FE4C18">
        <w:rPr>
          <w:rtl/>
        </w:rPr>
        <w:t xml:space="preserve">عتقدون أنَّ صاحبة </w:t>
      </w:r>
      <w:r>
        <w:rPr>
          <w:rtl/>
        </w:rPr>
        <w:t>ا</w:t>
      </w:r>
      <w:r w:rsidRPr="00FE4C18">
        <w:rPr>
          <w:rtl/>
        </w:rPr>
        <w:t xml:space="preserve">لرحم هي </w:t>
      </w:r>
      <w:r>
        <w:rPr>
          <w:rtl/>
        </w:rPr>
        <w:t>ا</w:t>
      </w:r>
      <w:r w:rsidRPr="00FE4C18">
        <w:rPr>
          <w:rtl/>
        </w:rPr>
        <w:t>لأم</w:t>
      </w:r>
      <w:r w:rsidRPr="007F5B58">
        <w:rPr>
          <w:rtl/>
        </w:rPr>
        <w:t>؛</w:t>
      </w:r>
      <w:r>
        <w:rPr>
          <w:rtl/>
        </w:rPr>
        <w:t xml:space="preserve"> وي</w:t>
      </w:r>
      <w:r w:rsidRPr="00FE4C18">
        <w:rPr>
          <w:rtl/>
        </w:rPr>
        <w:t xml:space="preserve">ستدلّ بعض آخر من </w:t>
      </w:r>
      <w:r>
        <w:rPr>
          <w:rtl/>
        </w:rPr>
        <w:t>ا</w:t>
      </w:r>
      <w:r w:rsidRPr="00FE4C18">
        <w:rPr>
          <w:rtl/>
        </w:rPr>
        <w:t>لفقهاء بأنَّ ملا</w:t>
      </w:r>
      <w:r>
        <w:rPr>
          <w:rtl/>
        </w:rPr>
        <w:t>ك</w:t>
      </w:r>
      <w:r w:rsidRPr="00FE4C18">
        <w:rPr>
          <w:rtl/>
        </w:rPr>
        <w:t xml:space="preserve"> </w:t>
      </w:r>
      <w:r>
        <w:rPr>
          <w:rtl/>
        </w:rPr>
        <w:t>ا</w:t>
      </w:r>
      <w:r w:rsidRPr="00FE4C18">
        <w:rPr>
          <w:rtl/>
        </w:rPr>
        <w:t xml:space="preserve">لأمومة من منطلق </w:t>
      </w:r>
      <w:r>
        <w:rPr>
          <w:rtl/>
        </w:rPr>
        <w:t>ا</w:t>
      </w:r>
      <w:r w:rsidRPr="00FE4C18">
        <w:rPr>
          <w:rtl/>
        </w:rPr>
        <w:t xml:space="preserve">لعرف </w:t>
      </w:r>
      <w:r>
        <w:rPr>
          <w:rtl/>
        </w:rPr>
        <w:t>ك</w:t>
      </w:r>
      <w:r w:rsidRPr="00FE4C18">
        <w:rPr>
          <w:rtl/>
        </w:rPr>
        <w:t>ملا</w:t>
      </w:r>
      <w:r>
        <w:rPr>
          <w:rtl/>
        </w:rPr>
        <w:t>ك</w:t>
      </w:r>
      <w:r w:rsidRPr="00FE4C18">
        <w:rPr>
          <w:rtl/>
        </w:rPr>
        <w:t xml:space="preserve"> </w:t>
      </w:r>
      <w:r>
        <w:rPr>
          <w:rtl/>
        </w:rPr>
        <w:t>ا</w:t>
      </w:r>
      <w:r w:rsidRPr="00FE4C18">
        <w:rPr>
          <w:rtl/>
        </w:rPr>
        <w:t>ل</w:t>
      </w:r>
      <w:r>
        <w:rPr>
          <w:rtl/>
        </w:rPr>
        <w:t>أ</w:t>
      </w:r>
      <w:r w:rsidRPr="00FE4C18">
        <w:rPr>
          <w:rtl/>
        </w:rPr>
        <w:t>بوة</w:t>
      </w:r>
      <w:r w:rsidRPr="007F5B58">
        <w:rPr>
          <w:rtl/>
        </w:rPr>
        <w:t>،</w:t>
      </w:r>
      <w:r>
        <w:rPr>
          <w:rtl/>
        </w:rPr>
        <w:t xml:space="preserve"> وا</w:t>
      </w:r>
      <w:r w:rsidRPr="00FE4C18">
        <w:rPr>
          <w:rtl/>
        </w:rPr>
        <w:t xml:space="preserve">لمرحلة </w:t>
      </w:r>
      <w:r>
        <w:rPr>
          <w:rtl/>
        </w:rPr>
        <w:t>ا</w:t>
      </w:r>
      <w:r w:rsidRPr="00FE4C18">
        <w:rPr>
          <w:rtl/>
        </w:rPr>
        <w:t>لأول</w:t>
      </w:r>
      <w:r>
        <w:rPr>
          <w:rFonts w:hint="cs"/>
          <w:rtl/>
        </w:rPr>
        <w:t>ى</w:t>
      </w:r>
      <w:r w:rsidRPr="00FE4C18">
        <w:rPr>
          <w:rtl/>
        </w:rPr>
        <w:t xml:space="preserve"> في ت</w:t>
      </w:r>
      <w:r>
        <w:rPr>
          <w:rtl/>
        </w:rPr>
        <w:t>ك</w:t>
      </w:r>
      <w:r w:rsidRPr="00FE4C18">
        <w:rPr>
          <w:rtl/>
        </w:rPr>
        <w:t>و</w:t>
      </w:r>
      <w:r>
        <w:rPr>
          <w:rtl/>
        </w:rPr>
        <w:t>ي</w:t>
      </w:r>
      <w:r w:rsidRPr="00FE4C18">
        <w:rPr>
          <w:rtl/>
        </w:rPr>
        <w:t xml:space="preserve">ن </w:t>
      </w:r>
      <w:r>
        <w:rPr>
          <w:rtl/>
        </w:rPr>
        <w:t>ا</w:t>
      </w:r>
      <w:r w:rsidRPr="00FE4C18">
        <w:rPr>
          <w:rtl/>
        </w:rPr>
        <w:t>لطفل تتمّ عبر</w:t>
      </w:r>
      <w:r>
        <w:rPr>
          <w:rtl/>
        </w:rPr>
        <w:t xml:space="preserve"> </w:t>
      </w:r>
      <w:r w:rsidRPr="00FE4C18">
        <w:rPr>
          <w:rtl/>
        </w:rPr>
        <w:t xml:space="preserve">ماء </w:t>
      </w:r>
      <w:r>
        <w:rPr>
          <w:rtl/>
        </w:rPr>
        <w:t>ا</w:t>
      </w:r>
      <w:r w:rsidRPr="00FE4C18">
        <w:rPr>
          <w:rtl/>
        </w:rPr>
        <w:t>لأمّ</w:t>
      </w:r>
      <w:r w:rsidRPr="00815C4C">
        <w:rPr>
          <w:rFonts w:cs="Taher" w:hint="cs"/>
          <w:vertAlign w:val="superscript"/>
          <w:rtl/>
        </w:rPr>
        <w:t>(</w:t>
      </w:r>
      <w:r w:rsidRPr="00815C4C">
        <w:rPr>
          <w:rFonts w:cs="Taher"/>
          <w:vertAlign w:val="superscript"/>
          <w:rtl/>
        </w:rPr>
        <w:footnoteReference w:id="927"/>
      </w:r>
      <w:r w:rsidRPr="00815C4C">
        <w:rPr>
          <w:rFonts w:cs="Taher" w:hint="cs"/>
          <w:vertAlign w:val="superscript"/>
          <w:rtl/>
        </w:rPr>
        <w:t>)</w:t>
      </w:r>
      <w:r w:rsidRPr="00FE4C18">
        <w:rPr>
          <w:rtl/>
        </w:rPr>
        <w:t xml:space="preserve">. </w:t>
      </w:r>
    </w:p>
    <w:p w:rsidR="00391A35" w:rsidRPr="00FE4C18" w:rsidRDefault="00391A35" w:rsidP="009368DE">
      <w:pPr>
        <w:pStyle w:val="ac"/>
        <w:spacing w:line="199" w:lineRule="auto"/>
        <w:rPr>
          <w:rtl/>
        </w:rPr>
      </w:pPr>
      <w:r>
        <w:rPr>
          <w:rtl/>
        </w:rPr>
        <w:t>وعليه</w:t>
      </w:r>
      <w:r w:rsidRPr="00FE4C18">
        <w:rPr>
          <w:rtl/>
        </w:rPr>
        <w:t xml:space="preserve"> عندما نتصور أنَّ نطفة هذا </w:t>
      </w:r>
      <w:r>
        <w:rPr>
          <w:rtl/>
        </w:rPr>
        <w:t>ا</w:t>
      </w:r>
      <w:r w:rsidRPr="00FE4C18">
        <w:rPr>
          <w:rtl/>
        </w:rPr>
        <w:t xml:space="preserve">لطفل </w:t>
      </w:r>
      <w:r>
        <w:rPr>
          <w:rtl/>
        </w:rPr>
        <w:t>ـ ا</w:t>
      </w:r>
      <w:r w:rsidRPr="00FE4C18">
        <w:rPr>
          <w:rtl/>
        </w:rPr>
        <w:t>لتي ت</w:t>
      </w:r>
      <w:r>
        <w:rPr>
          <w:rtl/>
        </w:rPr>
        <w:t>ك</w:t>
      </w:r>
      <w:r w:rsidRPr="00FE4C18">
        <w:rPr>
          <w:rtl/>
        </w:rPr>
        <w:t>و</w:t>
      </w:r>
      <w:r>
        <w:rPr>
          <w:rtl/>
        </w:rPr>
        <w:t>ِّ</w:t>
      </w:r>
      <w:r w:rsidRPr="00FE4C18">
        <w:rPr>
          <w:rtl/>
        </w:rPr>
        <w:t>ن بدء ح</w:t>
      </w:r>
      <w:r>
        <w:rPr>
          <w:rtl/>
        </w:rPr>
        <w:t>ي</w:t>
      </w:r>
      <w:r w:rsidRPr="00FE4C18">
        <w:rPr>
          <w:rtl/>
        </w:rPr>
        <w:t>اته</w:t>
      </w:r>
      <w:r>
        <w:rPr>
          <w:rtl/>
        </w:rPr>
        <w:t xml:space="preserve"> وا</w:t>
      </w:r>
      <w:r w:rsidRPr="00FE4C18">
        <w:rPr>
          <w:rtl/>
        </w:rPr>
        <w:t xml:space="preserve">لجزء </w:t>
      </w:r>
      <w:r>
        <w:rPr>
          <w:rtl/>
        </w:rPr>
        <w:t>ا</w:t>
      </w:r>
      <w:r w:rsidRPr="00FE4C18">
        <w:rPr>
          <w:rtl/>
        </w:rPr>
        <w:t>لأول من وجوده</w:t>
      </w:r>
      <w:r>
        <w:rPr>
          <w:rtl/>
        </w:rPr>
        <w:t xml:space="preserve"> ـ</w:t>
      </w:r>
      <w:r>
        <w:rPr>
          <w:rFonts w:hint="cs"/>
          <w:rtl/>
        </w:rPr>
        <w:t xml:space="preserve"> </w:t>
      </w:r>
      <w:r w:rsidRPr="00FE4C18">
        <w:rPr>
          <w:rtl/>
        </w:rPr>
        <w:t>ت</w:t>
      </w:r>
      <w:r>
        <w:rPr>
          <w:rtl/>
        </w:rPr>
        <w:t>ك</w:t>
      </w:r>
      <w:r w:rsidRPr="00FE4C18">
        <w:rPr>
          <w:rtl/>
        </w:rPr>
        <w:t>ونت من تلق</w:t>
      </w:r>
      <w:r>
        <w:rPr>
          <w:rtl/>
        </w:rPr>
        <w:t>ي</w:t>
      </w:r>
      <w:r w:rsidRPr="00FE4C18">
        <w:rPr>
          <w:rtl/>
        </w:rPr>
        <w:t>ح ما</w:t>
      </w:r>
      <w:r>
        <w:rPr>
          <w:rFonts w:hint="cs"/>
          <w:rtl/>
        </w:rPr>
        <w:t>ء</w:t>
      </w:r>
      <w:r>
        <w:rPr>
          <w:rtl/>
        </w:rPr>
        <w:t>ي</w:t>
      </w:r>
      <w:r w:rsidRPr="00FE4C18">
        <w:rPr>
          <w:rtl/>
        </w:rPr>
        <w:t>ن</w:t>
      </w:r>
      <w:r w:rsidRPr="007F5B58">
        <w:rPr>
          <w:rtl/>
        </w:rPr>
        <w:t>،</w:t>
      </w:r>
      <w:r w:rsidRPr="00FE4C18">
        <w:rPr>
          <w:rtl/>
        </w:rPr>
        <w:t xml:space="preserve"> </w:t>
      </w:r>
      <w:r>
        <w:rPr>
          <w:rtl/>
        </w:rPr>
        <w:t>وي</w:t>
      </w:r>
      <w:r w:rsidRPr="00FE4C18">
        <w:rPr>
          <w:rtl/>
        </w:rPr>
        <w:t xml:space="preserve">عتبر </w:t>
      </w:r>
      <w:r>
        <w:rPr>
          <w:rtl/>
        </w:rPr>
        <w:t xml:space="preserve">هذا التكوين الأوّل </w:t>
      </w:r>
      <w:r w:rsidRPr="00FE4C18">
        <w:rPr>
          <w:rtl/>
        </w:rPr>
        <w:t xml:space="preserve">أول مرحلة في إنشاء </w:t>
      </w:r>
      <w:r>
        <w:rPr>
          <w:rtl/>
        </w:rPr>
        <w:t>ا</w:t>
      </w:r>
      <w:r w:rsidRPr="00FE4C18">
        <w:rPr>
          <w:rtl/>
        </w:rPr>
        <w:t>لطفل</w:t>
      </w:r>
      <w:r>
        <w:rPr>
          <w:rtl/>
        </w:rPr>
        <w:t>. و</w:t>
      </w:r>
      <w:r w:rsidRPr="00FE4C18">
        <w:rPr>
          <w:rtl/>
        </w:rPr>
        <w:t xml:space="preserve">لأنَّ </w:t>
      </w:r>
      <w:r>
        <w:rPr>
          <w:rtl/>
        </w:rPr>
        <w:t>ا</w:t>
      </w:r>
      <w:r w:rsidRPr="00FE4C18">
        <w:rPr>
          <w:rtl/>
        </w:rPr>
        <w:t xml:space="preserve">لمرحلة </w:t>
      </w:r>
      <w:r>
        <w:rPr>
          <w:rtl/>
        </w:rPr>
        <w:t>ا</w:t>
      </w:r>
      <w:r w:rsidRPr="00FE4C18">
        <w:rPr>
          <w:rtl/>
        </w:rPr>
        <w:t>لأول</w:t>
      </w:r>
      <w:r>
        <w:rPr>
          <w:rFonts w:hint="cs"/>
          <w:rtl/>
        </w:rPr>
        <w:t>ى</w:t>
      </w:r>
      <w:r w:rsidRPr="00FE4C18">
        <w:rPr>
          <w:rtl/>
        </w:rPr>
        <w:t xml:space="preserve"> في ت</w:t>
      </w:r>
      <w:r>
        <w:rPr>
          <w:rtl/>
        </w:rPr>
        <w:t>ك</w:t>
      </w:r>
      <w:r w:rsidRPr="00FE4C18">
        <w:rPr>
          <w:rtl/>
        </w:rPr>
        <w:t>و</w:t>
      </w:r>
      <w:r>
        <w:rPr>
          <w:rtl/>
        </w:rPr>
        <w:t>ي</w:t>
      </w:r>
      <w:r w:rsidRPr="00FE4C18">
        <w:rPr>
          <w:rtl/>
        </w:rPr>
        <w:t xml:space="preserve">ن </w:t>
      </w:r>
      <w:r>
        <w:rPr>
          <w:rtl/>
        </w:rPr>
        <w:t>ا</w:t>
      </w:r>
      <w:r w:rsidRPr="00FE4C18">
        <w:rPr>
          <w:rtl/>
        </w:rPr>
        <w:t>لطفل تتم بواسطة مني</w:t>
      </w:r>
      <w:r>
        <w:rPr>
          <w:rtl/>
        </w:rPr>
        <w:t xml:space="preserve"> و</w:t>
      </w:r>
      <w:r w:rsidRPr="00FE4C18">
        <w:rPr>
          <w:rtl/>
        </w:rPr>
        <w:t>بو</w:t>
      </w:r>
      <w:r>
        <w:rPr>
          <w:rtl/>
        </w:rPr>
        <w:t>ي</w:t>
      </w:r>
      <w:r w:rsidRPr="00FE4C18">
        <w:rPr>
          <w:rtl/>
        </w:rPr>
        <w:t xml:space="preserve">ضة </w:t>
      </w:r>
      <w:r>
        <w:rPr>
          <w:rtl/>
        </w:rPr>
        <w:t>ا</w:t>
      </w:r>
      <w:r w:rsidRPr="00FE4C18">
        <w:rPr>
          <w:rtl/>
        </w:rPr>
        <w:t>لزوج</w:t>
      </w:r>
      <w:r>
        <w:rPr>
          <w:rtl/>
        </w:rPr>
        <w:t>ي</w:t>
      </w:r>
      <w:r w:rsidRPr="00FE4C18">
        <w:rPr>
          <w:rtl/>
        </w:rPr>
        <w:t xml:space="preserve">ن فصاحبة </w:t>
      </w:r>
      <w:r>
        <w:rPr>
          <w:rtl/>
        </w:rPr>
        <w:t>ا</w:t>
      </w:r>
      <w:r w:rsidRPr="00FE4C18">
        <w:rPr>
          <w:rtl/>
        </w:rPr>
        <w:t>لبو</w:t>
      </w:r>
      <w:r>
        <w:rPr>
          <w:rtl/>
        </w:rPr>
        <w:t>ي</w:t>
      </w:r>
      <w:r w:rsidRPr="00FE4C18">
        <w:rPr>
          <w:rtl/>
        </w:rPr>
        <w:t xml:space="preserve">ضة تعتبر </w:t>
      </w:r>
      <w:r>
        <w:rPr>
          <w:rtl/>
        </w:rPr>
        <w:t>أ</w:t>
      </w:r>
      <w:r w:rsidRPr="00FE4C18">
        <w:rPr>
          <w:rtl/>
        </w:rPr>
        <w:t>ماً</w:t>
      </w:r>
      <w:r>
        <w:rPr>
          <w:rtl/>
        </w:rPr>
        <w:t>.</w:t>
      </w:r>
      <w:r w:rsidRPr="00FE4C18">
        <w:rPr>
          <w:rtl/>
        </w:rPr>
        <w:t xml:space="preserve"> </w:t>
      </w:r>
    </w:p>
    <w:p w:rsidR="00391A35" w:rsidRPr="00FE4C18" w:rsidRDefault="00391A35" w:rsidP="009368DE">
      <w:pPr>
        <w:pStyle w:val="ac"/>
        <w:spacing w:line="199" w:lineRule="auto"/>
        <w:rPr>
          <w:rtl/>
        </w:rPr>
      </w:pPr>
      <w:r w:rsidRPr="00FE4C18">
        <w:rPr>
          <w:rtl/>
        </w:rPr>
        <w:t>و ل</w:t>
      </w:r>
      <w:r>
        <w:rPr>
          <w:rtl/>
        </w:rPr>
        <w:t>ك</w:t>
      </w:r>
      <w:r w:rsidRPr="00FE4C18">
        <w:rPr>
          <w:rtl/>
        </w:rPr>
        <w:t xml:space="preserve">نّ عدداً من </w:t>
      </w:r>
      <w:r>
        <w:rPr>
          <w:rtl/>
        </w:rPr>
        <w:t>ا</w:t>
      </w:r>
      <w:r w:rsidRPr="00FE4C18">
        <w:rPr>
          <w:rtl/>
        </w:rPr>
        <w:t>لفقهاء</w:t>
      </w:r>
      <w:r w:rsidRPr="00815C4C">
        <w:rPr>
          <w:rFonts w:cs="Taher" w:hint="cs"/>
          <w:vertAlign w:val="superscript"/>
          <w:rtl/>
        </w:rPr>
        <w:t>(</w:t>
      </w:r>
      <w:r w:rsidRPr="00815C4C">
        <w:rPr>
          <w:rFonts w:cs="Taher"/>
          <w:vertAlign w:val="superscript"/>
          <w:rtl/>
        </w:rPr>
        <w:footnoteReference w:id="928"/>
      </w:r>
      <w:r w:rsidRPr="00815C4C">
        <w:rPr>
          <w:rFonts w:cs="Taher" w:hint="cs"/>
          <w:vertAlign w:val="superscript"/>
          <w:rtl/>
        </w:rPr>
        <w:t>)</w:t>
      </w:r>
      <w:r>
        <w:rPr>
          <w:rtl/>
        </w:rPr>
        <w:t xml:space="preserve"> وا</w:t>
      </w:r>
      <w:r w:rsidRPr="00FE4C18">
        <w:rPr>
          <w:rtl/>
        </w:rPr>
        <w:t>لقانون</w:t>
      </w:r>
      <w:r>
        <w:rPr>
          <w:rtl/>
        </w:rPr>
        <w:t>يي</w:t>
      </w:r>
      <w:r w:rsidRPr="00FE4C18">
        <w:rPr>
          <w:rtl/>
        </w:rPr>
        <w:t>ن</w:t>
      </w:r>
      <w:r w:rsidRPr="00815C4C">
        <w:rPr>
          <w:rFonts w:cs="Taher" w:hint="cs"/>
          <w:vertAlign w:val="superscript"/>
          <w:rtl/>
        </w:rPr>
        <w:t>(</w:t>
      </w:r>
      <w:r w:rsidRPr="00815C4C">
        <w:rPr>
          <w:rFonts w:cs="Taher"/>
          <w:vertAlign w:val="superscript"/>
          <w:rtl/>
        </w:rPr>
        <w:footnoteReference w:id="929"/>
      </w:r>
      <w:r w:rsidRPr="00815C4C">
        <w:rPr>
          <w:rFonts w:cs="Taher" w:hint="cs"/>
          <w:vertAlign w:val="superscript"/>
          <w:rtl/>
        </w:rPr>
        <w:t>)</w:t>
      </w:r>
      <w:r>
        <w:rPr>
          <w:rFonts w:hint="cs"/>
          <w:rtl/>
        </w:rPr>
        <w:t xml:space="preserve">، </w:t>
      </w:r>
      <w:r w:rsidRPr="00FE4C18">
        <w:rPr>
          <w:rtl/>
        </w:rPr>
        <w:t>بعد قبول</w:t>
      </w:r>
      <w:r>
        <w:rPr>
          <w:rtl/>
        </w:rPr>
        <w:t>هم</w:t>
      </w:r>
      <w:r w:rsidRPr="00FE4C18">
        <w:rPr>
          <w:rtl/>
        </w:rPr>
        <w:t xml:space="preserve"> هذ</w:t>
      </w:r>
      <w:r>
        <w:rPr>
          <w:rtl/>
        </w:rPr>
        <w:t>ه</w:t>
      </w:r>
      <w:r w:rsidRPr="00FE4C18">
        <w:rPr>
          <w:rtl/>
        </w:rPr>
        <w:t xml:space="preserve"> </w:t>
      </w:r>
      <w:r>
        <w:rPr>
          <w:rtl/>
        </w:rPr>
        <w:t>ا</w:t>
      </w:r>
      <w:r w:rsidRPr="00FE4C18">
        <w:rPr>
          <w:rtl/>
        </w:rPr>
        <w:t>لحق</w:t>
      </w:r>
      <w:r>
        <w:rPr>
          <w:rtl/>
        </w:rPr>
        <w:t>ي</w:t>
      </w:r>
      <w:r w:rsidRPr="00FE4C18">
        <w:rPr>
          <w:rtl/>
        </w:rPr>
        <w:t>قة</w:t>
      </w:r>
      <w:r w:rsidRPr="007F5B58">
        <w:rPr>
          <w:rtl/>
        </w:rPr>
        <w:t>،</w:t>
      </w:r>
      <w:r w:rsidRPr="00FE4C18">
        <w:rPr>
          <w:rtl/>
        </w:rPr>
        <w:t xml:space="preserve"> </w:t>
      </w:r>
      <w:r>
        <w:rPr>
          <w:rtl/>
        </w:rPr>
        <w:t>و</w:t>
      </w:r>
      <w:r w:rsidRPr="00FE4C18">
        <w:rPr>
          <w:rtl/>
        </w:rPr>
        <w:t xml:space="preserve">هي أنَّ </w:t>
      </w:r>
      <w:r>
        <w:rPr>
          <w:rtl/>
        </w:rPr>
        <w:t>ا</w:t>
      </w:r>
      <w:r w:rsidRPr="00FE4C18">
        <w:rPr>
          <w:rtl/>
        </w:rPr>
        <w:t xml:space="preserve">لمرأة في </w:t>
      </w:r>
      <w:r>
        <w:rPr>
          <w:rtl/>
        </w:rPr>
        <w:t>ا</w:t>
      </w:r>
      <w:r w:rsidRPr="00FE4C18">
        <w:rPr>
          <w:rtl/>
        </w:rPr>
        <w:t>ل</w:t>
      </w:r>
      <w:r>
        <w:rPr>
          <w:rtl/>
        </w:rPr>
        <w:t>تـن</w:t>
      </w:r>
      <w:r w:rsidRPr="00FE4C18">
        <w:rPr>
          <w:rtl/>
        </w:rPr>
        <w:t>اسل تؤدّي دور</w:t>
      </w:r>
      <w:r>
        <w:rPr>
          <w:rtl/>
        </w:rPr>
        <w:t>ي</w:t>
      </w:r>
      <w:r w:rsidRPr="00FE4C18">
        <w:rPr>
          <w:rtl/>
        </w:rPr>
        <w:t xml:space="preserve">ن (دور </w:t>
      </w:r>
      <w:r>
        <w:rPr>
          <w:rtl/>
        </w:rPr>
        <w:t>ا</w:t>
      </w:r>
      <w:r w:rsidRPr="00FE4C18">
        <w:rPr>
          <w:rtl/>
        </w:rPr>
        <w:t>لبو</w:t>
      </w:r>
      <w:r>
        <w:rPr>
          <w:rtl/>
        </w:rPr>
        <w:t>ي</w:t>
      </w:r>
      <w:r w:rsidRPr="00FE4C18">
        <w:rPr>
          <w:rtl/>
        </w:rPr>
        <w:t>ضة</w:t>
      </w:r>
      <w:r>
        <w:rPr>
          <w:rtl/>
        </w:rPr>
        <w:t xml:space="preserve"> و</w:t>
      </w:r>
      <w:r w:rsidRPr="00FE4C18">
        <w:rPr>
          <w:rtl/>
        </w:rPr>
        <w:t>دور</w:t>
      </w:r>
      <w:r>
        <w:rPr>
          <w:rFonts w:hint="cs"/>
          <w:rtl/>
        </w:rPr>
        <w:t xml:space="preserve"> </w:t>
      </w:r>
      <w:r>
        <w:rPr>
          <w:rtl/>
        </w:rPr>
        <w:t>ا</w:t>
      </w:r>
      <w:r w:rsidRPr="00FE4C18">
        <w:rPr>
          <w:rtl/>
        </w:rPr>
        <w:t>لرحم)</w:t>
      </w:r>
      <w:r w:rsidRPr="007F5B58">
        <w:rPr>
          <w:rtl/>
        </w:rPr>
        <w:t>،</w:t>
      </w:r>
      <w:r w:rsidRPr="00FE4C18">
        <w:rPr>
          <w:rtl/>
        </w:rPr>
        <w:t xml:space="preserve"> و</w:t>
      </w:r>
      <w:r>
        <w:rPr>
          <w:rtl/>
        </w:rPr>
        <w:t>ا</w:t>
      </w:r>
      <w:r w:rsidRPr="00FE4C18">
        <w:rPr>
          <w:rtl/>
        </w:rPr>
        <w:t xml:space="preserve">لنقص أو </w:t>
      </w:r>
      <w:r>
        <w:rPr>
          <w:rtl/>
        </w:rPr>
        <w:t>ا</w:t>
      </w:r>
      <w:r w:rsidRPr="00FE4C18">
        <w:rPr>
          <w:rtl/>
        </w:rPr>
        <w:t xml:space="preserve">لخلل في أحدهما </w:t>
      </w:r>
      <w:r>
        <w:rPr>
          <w:rtl/>
        </w:rPr>
        <w:t>ي</w:t>
      </w:r>
      <w:r w:rsidRPr="00FE4C18">
        <w:rPr>
          <w:rtl/>
        </w:rPr>
        <w:t xml:space="preserve">منع </w:t>
      </w:r>
      <w:r>
        <w:rPr>
          <w:rtl/>
        </w:rPr>
        <w:t>ا</w:t>
      </w:r>
      <w:r w:rsidRPr="00FE4C18">
        <w:rPr>
          <w:rtl/>
        </w:rPr>
        <w:t>ل</w:t>
      </w:r>
      <w:r>
        <w:rPr>
          <w:rtl/>
        </w:rPr>
        <w:t>تـن</w:t>
      </w:r>
      <w:r w:rsidRPr="00FE4C18">
        <w:rPr>
          <w:rtl/>
        </w:rPr>
        <w:t>اسل</w:t>
      </w:r>
      <w:r w:rsidRPr="007F5B58">
        <w:rPr>
          <w:rtl/>
        </w:rPr>
        <w:t>،</w:t>
      </w:r>
      <w:r w:rsidRPr="00FE4C18">
        <w:rPr>
          <w:rtl/>
        </w:rPr>
        <w:t xml:space="preserve"> سعوا </w:t>
      </w:r>
      <w:r>
        <w:rPr>
          <w:rtl/>
        </w:rPr>
        <w:t xml:space="preserve">إلى </w:t>
      </w:r>
      <w:r w:rsidRPr="00FE4C18">
        <w:rPr>
          <w:rtl/>
        </w:rPr>
        <w:t xml:space="preserve">إبراز </w:t>
      </w:r>
      <w:r>
        <w:rPr>
          <w:rtl/>
        </w:rPr>
        <w:t>الأدلة</w:t>
      </w:r>
      <w:r w:rsidRPr="00FE4C18">
        <w:rPr>
          <w:rtl/>
        </w:rPr>
        <w:t xml:space="preserve"> </w:t>
      </w:r>
      <w:r>
        <w:rPr>
          <w:rtl/>
        </w:rPr>
        <w:t>ا</w:t>
      </w:r>
      <w:r w:rsidRPr="00FE4C18">
        <w:rPr>
          <w:rtl/>
        </w:rPr>
        <w:t>لعقل</w:t>
      </w:r>
      <w:r>
        <w:rPr>
          <w:rtl/>
        </w:rPr>
        <w:t>يّ</w:t>
      </w:r>
      <w:r w:rsidRPr="00FE4C18">
        <w:rPr>
          <w:rtl/>
        </w:rPr>
        <w:t>ة و</w:t>
      </w:r>
      <w:r>
        <w:rPr>
          <w:rtl/>
        </w:rPr>
        <w:t>ا</w:t>
      </w:r>
      <w:r w:rsidRPr="00FE4C18">
        <w:rPr>
          <w:rtl/>
        </w:rPr>
        <w:t>لنقل</w:t>
      </w:r>
      <w:r>
        <w:rPr>
          <w:rtl/>
        </w:rPr>
        <w:t>يّ</w:t>
      </w:r>
      <w:r w:rsidRPr="00FE4C18">
        <w:rPr>
          <w:rtl/>
        </w:rPr>
        <w:t xml:space="preserve">ة </w:t>
      </w:r>
      <w:r>
        <w:rPr>
          <w:rtl/>
        </w:rPr>
        <w:t xml:space="preserve">على </w:t>
      </w:r>
      <w:r w:rsidRPr="00FE4C18">
        <w:rPr>
          <w:rtl/>
        </w:rPr>
        <w:t xml:space="preserve">هذا </w:t>
      </w:r>
      <w:r>
        <w:rPr>
          <w:rtl/>
        </w:rPr>
        <w:t>ا</w:t>
      </w:r>
      <w:r w:rsidRPr="00FE4C18">
        <w:rPr>
          <w:rtl/>
        </w:rPr>
        <w:t>لرأي</w:t>
      </w:r>
      <w:r w:rsidRPr="007F5B58">
        <w:rPr>
          <w:rtl/>
        </w:rPr>
        <w:t>،</w:t>
      </w:r>
      <w:r>
        <w:rPr>
          <w:rtl/>
        </w:rPr>
        <w:t xml:space="preserve"> و</w:t>
      </w:r>
      <w:r w:rsidRPr="00FE4C18">
        <w:rPr>
          <w:rtl/>
        </w:rPr>
        <w:t xml:space="preserve">هو أنَّه </w:t>
      </w:r>
      <w:r>
        <w:rPr>
          <w:rtl/>
        </w:rPr>
        <w:t>ي</w:t>
      </w:r>
      <w:r w:rsidRPr="00FE4C18">
        <w:rPr>
          <w:rtl/>
        </w:rPr>
        <w:t>م</w:t>
      </w:r>
      <w:r>
        <w:rPr>
          <w:rtl/>
        </w:rPr>
        <w:t>ك</w:t>
      </w:r>
      <w:r w:rsidRPr="00FE4C18">
        <w:rPr>
          <w:rtl/>
        </w:rPr>
        <w:t>ن حصول علاقة طب</w:t>
      </w:r>
      <w:r>
        <w:rPr>
          <w:rtl/>
        </w:rPr>
        <w:t>ي</w:t>
      </w:r>
      <w:r w:rsidRPr="00FE4C18">
        <w:rPr>
          <w:rtl/>
        </w:rPr>
        <w:t>ع</w:t>
      </w:r>
      <w:r>
        <w:rPr>
          <w:rtl/>
        </w:rPr>
        <w:t>يّ</w:t>
      </w:r>
      <w:r w:rsidRPr="00FE4C18">
        <w:rPr>
          <w:rtl/>
        </w:rPr>
        <w:t>ة للطفل مع امرأت</w:t>
      </w:r>
      <w:r>
        <w:rPr>
          <w:rtl/>
        </w:rPr>
        <w:t>ي</w:t>
      </w:r>
      <w:r w:rsidRPr="00FE4C18">
        <w:rPr>
          <w:rtl/>
        </w:rPr>
        <w:t>ن</w:t>
      </w:r>
      <w:r>
        <w:rPr>
          <w:rtl/>
        </w:rPr>
        <w:t>. و</w:t>
      </w:r>
      <w:r w:rsidRPr="00FE4C18">
        <w:rPr>
          <w:rtl/>
        </w:rPr>
        <w:t>في ظروف خاصة تستط</w:t>
      </w:r>
      <w:r>
        <w:rPr>
          <w:rtl/>
        </w:rPr>
        <w:t>ي</w:t>
      </w:r>
      <w:r w:rsidRPr="00FE4C18">
        <w:rPr>
          <w:rtl/>
        </w:rPr>
        <w:t xml:space="preserve">ع </w:t>
      </w:r>
      <w:r>
        <w:rPr>
          <w:rtl/>
        </w:rPr>
        <w:t>ك</w:t>
      </w:r>
      <w:r w:rsidRPr="00FE4C18">
        <w:rPr>
          <w:rtl/>
        </w:rPr>
        <w:t>ل</w:t>
      </w:r>
      <w:r>
        <w:rPr>
          <w:rtl/>
        </w:rPr>
        <w:t>ٌّ</w:t>
      </w:r>
      <w:r w:rsidRPr="00FE4C18">
        <w:rPr>
          <w:rtl/>
        </w:rPr>
        <w:t xml:space="preserve"> منهما أن تعتبر </w:t>
      </w:r>
      <w:r>
        <w:rPr>
          <w:rtl/>
        </w:rPr>
        <w:t>ا</w:t>
      </w:r>
      <w:r w:rsidRPr="00FE4C18">
        <w:rPr>
          <w:rtl/>
        </w:rPr>
        <w:t xml:space="preserve">لأم </w:t>
      </w:r>
      <w:r>
        <w:rPr>
          <w:rtl/>
        </w:rPr>
        <w:t>ا</w:t>
      </w:r>
      <w:r w:rsidRPr="00FE4C18">
        <w:rPr>
          <w:rtl/>
        </w:rPr>
        <w:t>لقانون</w:t>
      </w:r>
      <w:r>
        <w:rPr>
          <w:rtl/>
        </w:rPr>
        <w:t>يّ</w:t>
      </w:r>
      <w:r w:rsidRPr="00FE4C18">
        <w:rPr>
          <w:rtl/>
        </w:rPr>
        <w:t>ة للطفل</w:t>
      </w:r>
      <w:r w:rsidRPr="007F5B58">
        <w:rPr>
          <w:rtl/>
        </w:rPr>
        <w:t>،</w:t>
      </w:r>
      <w:r>
        <w:rPr>
          <w:rtl/>
        </w:rPr>
        <w:t xml:space="preserve"> ويك</w:t>
      </w:r>
      <w:r w:rsidRPr="00FE4C18">
        <w:rPr>
          <w:rtl/>
        </w:rPr>
        <w:t xml:space="preserve">ون للطفل </w:t>
      </w:r>
      <w:r>
        <w:rPr>
          <w:rtl/>
        </w:rPr>
        <w:t>أ</w:t>
      </w:r>
      <w:r w:rsidRPr="00FE4C18">
        <w:rPr>
          <w:rtl/>
        </w:rPr>
        <w:t xml:space="preserve">مّان في </w:t>
      </w:r>
      <w:r>
        <w:rPr>
          <w:rtl/>
        </w:rPr>
        <w:t>ا</w:t>
      </w:r>
      <w:r w:rsidRPr="00FE4C18">
        <w:rPr>
          <w:rtl/>
        </w:rPr>
        <w:t>لاصطلاح</w:t>
      </w:r>
      <w:r>
        <w:rPr>
          <w:rtl/>
        </w:rPr>
        <w:t>.</w:t>
      </w:r>
      <w:r w:rsidRPr="00FE4C18">
        <w:rPr>
          <w:rtl/>
        </w:rPr>
        <w:t xml:space="preserve"> </w:t>
      </w:r>
    </w:p>
    <w:p w:rsidR="00391A35" w:rsidRPr="00FE4C18" w:rsidRDefault="00391A35" w:rsidP="009368DE">
      <w:pPr>
        <w:pStyle w:val="ac"/>
        <w:spacing w:line="199" w:lineRule="auto"/>
        <w:rPr>
          <w:rtl/>
        </w:rPr>
      </w:pPr>
      <w:r w:rsidRPr="00FE4C18">
        <w:rPr>
          <w:rtl/>
        </w:rPr>
        <w:t xml:space="preserve">من دراسة هذه </w:t>
      </w:r>
      <w:r>
        <w:rPr>
          <w:rtl/>
        </w:rPr>
        <w:t>ا</w:t>
      </w:r>
      <w:r w:rsidRPr="00FE4C18">
        <w:rPr>
          <w:rtl/>
        </w:rPr>
        <w:t>لنظر</w:t>
      </w:r>
      <w:r>
        <w:rPr>
          <w:rtl/>
        </w:rPr>
        <w:t>ي</w:t>
      </w:r>
      <w:r w:rsidRPr="00FE4C18">
        <w:rPr>
          <w:rtl/>
        </w:rPr>
        <w:t xml:space="preserve">ات </w:t>
      </w:r>
      <w:r>
        <w:rPr>
          <w:rtl/>
        </w:rPr>
        <w:t>ي</w:t>
      </w:r>
      <w:r w:rsidRPr="00FE4C18">
        <w:rPr>
          <w:rtl/>
        </w:rPr>
        <w:t>م</w:t>
      </w:r>
      <w:r>
        <w:rPr>
          <w:rtl/>
        </w:rPr>
        <w:t>ك</w:t>
      </w:r>
      <w:r w:rsidRPr="00FE4C18">
        <w:rPr>
          <w:rtl/>
        </w:rPr>
        <w:t>ن اس</w:t>
      </w:r>
      <w:r>
        <w:rPr>
          <w:rtl/>
        </w:rPr>
        <w:t>تـن</w:t>
      </w:r>
      <w:r w:rsidRPr="00FE4C18">
        <w:rPr>
          <w:rtl/>
        </w:rPr>
        <w:t xml:space="preserve">تاج أنَّ </w:t>
      </w:r>
      <w:r>
        <w:rPr>
          <w:rtl/>
        </w:rPr>
        <w:t>كلاّ</w:t>
      </w:r>
      <w:r>
        <w:rPr>
          <w:rFonts w:hint="cs"/>
          <w:rtl/>
        </w:rPr>
        <w:t xml:space="preserve">ً </w:t>
      </w:r>
      <w:r>
        <w:rPr>
          <w:rtl/>
        </w:rPr>
        <w:t>م</w:t>
      </w:r>
      <w:r>
        <w:rPr>
          <w:rFonts w:hint="cs"/>
          <w:rtl/>
        </w:rPr>
        <w:t>ن</w:t>
      </w:r>
      <w:r>
        <w:rPr>
          <w:rtl/>
        </w:rPr>
        <w:t xml:space="preserve"> </w:t>
      </w:r>
      <w:r w:rsidRPr="00FE4C18">
        <w:rPr>
          <w:rtl/>
        </w:rPr>
        <w:t xml:space="preserve">صاحبة </w:t>
      </w:r>
      <w:r>
        <w:rPr>
          <w:rtl/>
        </w:rPr>
        <w:t>ا</w:t>
      </w:r>
      <w:r w:rsidRPr="00FE4C18">
        <w:rPr>
          <w:rtl/>
        </w:rPr>
        <w:t>لرحم</w:t>
      </w:r>
      <w:r>
        <w:rPr>
          <w:rtl/>
        </w:rPr>
        <w:t xml:space="preserve"> و</w:t>
      </w:r>
      <w:r w:rsidRPr="00FE4C18">
        <w:rPr>
          <w:rtl/>
        </w:rPr>
        <w:t>صاحبة‌</w:t>
      </w:r>
      <w:r>
        <w:rPr>
          <w:rtl/>
        </w:rPr>
        <w:t xml:space="preserve"> ا</w:t>
      </w:r>
      <w:r w:rsidRPr="00FE4C18">
        <w:rPr>
          <w:rtl/>
        </w:rPr>
        <w:t>لبو</w:t>
      </w:r>
      <w:r>
        <w:rPr>
          <w:rtl/>
        </w:rPr>
        <w:t>ي</w:t>
      </w:r>
      <w:r w:rsidRPr="00FE4C18">
        <w:rPr>
          <w:rtl/>
        </w:rPr>
        <w:t xml:space="preserve">ضة </w:t>
      </w:r>
      <w:r>
        <w:rPr>
          <w:rtl/>
        </w:rPr>
        <w:t>تعتبر أمّاً</w:t>
      </w:r>
      <w:r w:rsidRPr="007F5B58">
        <w:rPr>
          <w:rtl/>
        </w:rPr>
        <w:t>،</w:t>
      </w:r>
      <w:r>
        <w:rPr>
          <w:rtl/>
        </w:rPr>
        <w:t xml:space="preserve"> وي</w:t>
      </w:r>
      <w:r w:rsidRPr="00FE4C18">
        <w:rPr>
          <w:rtl/>
        </w:rPr>
        <w:t xml:space="preserve">ؤخذ رأي </w:t>
      </w:r>
      <w:r>
        <w:rPr>
          <w:rtl/>
        </w:rPr>
        <w:t>ا</w:t>
      </w:r>
      <w:r w:rsidRPr="00FE4C18">
        <w:rPr>
          <w:rtl/>
        </w:rPr>
        <w:t>لقائل</w:t>
      </w:r>
      <w:r>
        <w:rPr>
          <w:rtl/>
        </w:rPr>
        <w:t>ي</w:t>
      </w:r>
      <w:r w:rsidRPr="00FE4C18">
        <w:rPr>
          <w:rtl/>
        </w:rPr>
        <w:t>ن بأمّ</w:t>
      </w:r>
      <w:r>
        <w:rPr>
          <w:rtl/>
        </w:rPr>
        <w:t>ي</w:t>
      </w:r>
      <w:r w:rsidRPr="00FE4C18">
        <w:rPr>
          <w:rtl/>
        </w:rPr>
        <w:t>ن للطفل ملا</w:t>
      </w:r>
      <w:r>
        <w:rPr>
          <w:rtl/>
        </w:rPr>
        <w:t>ك</w:t>
      </w:r>
      <w:r w:rsidRPr="00FE4C18">
        <w:rPr>
          <w:rtl/>
        </w:rPr>
        <w:t xml:space="preserve">اً لهذا </w:t>
      </w:r>
      <w:r>
        <w:rPr>
          <w:rtl/>
        </w:rPr>
        <w:t>ا</w:t>
      </w:r>
      <w:r w:rsidRPr="00FE4C18">
        <w:rPr>
          <w:rtl/>
        </w:rPr>
        <w:t>لاس</w:t>
      </w:r>
      <w:r>
        <w:rPr>
          <w:rtl/>
        </w:rPr>
        <w:t>تـن</w:t>
      </w:r>
      <w:r w:rsidRPr="00FE4C18">
        <w:rPr>
          <w:rtl/>
        </w:rPr>
        <w:t>تاج</w:t>
      </w:r>
      <w:r>
        <w:rPr>
          <w:rtl/>
        </w:rPr>
        <w:t>.</w:t>
      </w:r>
      <w:r w:rsidRPr="00FE4C18">
        <w:rPr>
          <w:rtl/>
        </w:rPr>
        <w:t xml:space="preserve"> </w:t>
      </w:r>
    </w:p>
    <w:p w:rsidR="00391A35" w:rsidRPr="009368DE" w:rsidRDefault="00391A35" w:rsidP="009368DE">
      <w:pPr>
        <w:pStyle w:val="afffffc"/>
        <w:rPr>
          <w:sz w:val="16"/>
          <w:szCs w:val="14"/>
          <w:rtl/>
        </w:rPr>
      </w:pPr>
    </w:p>
    <w:p w:rsidR="00391A35" w:rsidRPr="00FE4C18" w:rsidRDefault="00391A35" w:rsidP="009368DE">
      <w:pPr>
        <w:pStyle w:val="2"/>
        <w:rPr>
          <w:rtl/>
        </w:rPr>
      </w:pPr>
      <w:bookmarkStart w:id="506" w:name="_Toc275128213"/>
      <w:r w:rsidRPr="00FE4C18">
        <w:rPr>
          <w:rtl/>
        </w:rPr>
        <w:t>5</w:t>
      </w:r>
      <w:r>
        <w:rPr>
          <w:rtl/>
        </w:rPr>
        <w:t>ـ</w:t>
      </w:r>
      <w:r w:rsidRPr="00FE4C18">
        <w:rPr>
          <w:rtl/>
        </w:rPr>
        <w:t xml:space="preserve"> 3</w:t>
      </w:r>
      <w:r>
        <w:rPr>
          <w:rtl/>
        </w:rPr>
        <w:t>ـ</w:t>
      </w:r>
      <w:r w:rsidRPr="00FE4C18">
        <w:rPr>
          <w:rtl/>
        </w:rPr>
        <w:t xml:space="preserve"> إثبات </w:t>
      </w:r>
      <w:r>
        <w:rPr>
          <w:rtl/>
        </w:rPr>
        <w:t>ا</w:t>
      </w:r>
      <w:r w:rsidRPr="00FE4C18">
        <w:rPr>
          <w:rtl/>
        </w:rPr>
        <w:t xml:space="preserve">لنسب </w:t>
      </w:r>
      <w:r>
        <w:rPr>
          <w:rtl/>
        </w:rPr>
        <w:t>ا</w:t>
      </w:r>
      <w:r w:rsidRPr="00FE4C18">
        <w:rPr>
          <w:rtl/>
        </w:rPr>
        <w:t>لأمومي</w:t>
      </w:r>
      <w:bookmarkEnd w:id="506"/>
      <w:r w:rsidRPr="00FE4C18">
        <w:rPr>
          <w:rtl/>
        </w:rPr>
        <w:t xml:space="preserve"> </w:t>
      </w:r>
    </w:p>
    <w:p w:rsidR="00391A35" w:rsidRDefault="00391A35" w:rsidP="00391A35">
      <w:pPr>
        <w:pStyle w:val="ac"/>
        <w:rPr>
          <w:rtl/>
        </w:rPr>
      </w:pPr>
      <w:r w:rsidRPr="00FE4C18">
        <w:rPr>
          <w:rtl/>
        </w:rPr>
        <w:t>في قانون إ</w:t>
      </w:r>
      <w:r>
        <w:rPr>
          <w:rtl/>
        </w:rPr>
        <w:t>ي</w:t>
      </w:r>
      <w:r w:rsidRPr="00FE4C18">
        <w:rPr>
          <w:rtl/>
        </w:rPr>
        <w:t xml:space="preserve">ران </w:t>
      </w:r>
      <w:r>
        <w:rPr>
          <w:rtl/>
        </w:rPr>
        <w:t>ا</w:t>
      </w:r>
      <w:r w:rsidRPr="00FE4C18">
        <w:rPr>
          <w:rtl/>
        </w:rPr>
        <w:t>لمدني لا توجد مواز</w:t>
      </w:r>
      <w:r>
        <w:rPr>
          <w:rtl/>
        </w:rPr>
        <w:t>ي</w:t>
      </w:r>
      <w:r w:rsidRPr="00FE4C18">
        <w:rPr>
          <w:rtl/>
        </w:rPr>
        <w:t>ن خاصّة‌</w:t>
      </w:r>
      <w:r>
        <w:rPr>
          <w:rtl/>
        </w:rPr>
        <w:t xml:space="preserve"> </w:t>
      </w:r>
      <w:r w:rsidRPr="00FE4C18">
        <w:rPr>
          <w:rtl/>
        </w:rPr>
        <w:t>ل</w:t>
      </w:r>
      <w:r>
        <w:rPr>
          <w:rtl/>
        </w:rPr>
        <w:t>إ</w:t>
      </w:r>
      <w:r w:rsidRPr="00FE4C18">
        <w:rPr>
          <w:rtl/>
        </w:rPr>
        <w:t xml:space="preserve">ثبات </w:t>
      </w:r>
      <w:r>
        <w:rPr>
          <w:rtl/>
        </w:rPr>
        <w:t>ا</w:t>
      </w:r>
      <w:r w:rsidRPr="00FE4C18">
        <w:rPr>
          <w:rtl/>
        </w:rPr>
        <w:t xml:space="preserve">لنسب </w:t>
      </w:r>
      <w:r>
        <w:rPr>
          <w:rtl/>
        </w:rPr>
        <w:t>ا</w:t>
      </w:r>
      <w:r w:rsidRPr="00FE4C18">
        <w:rPr>
          <w:rtl/>
        </w:rPr>
        <w:t>لأمومي</w:t>
      </w:r>
      <w:r w:rsidRPr="007F5B58">
        <w:rPr>
          <w:rtl/>
        </w:rPr>
        <w:t>،</w:t>
      </w:r>
      <w:r>
        <w:rPr>
          <w:rtl/>
        </w:rPr>
        <w:t xml:space="preserve"> و</w:t>
      </w:r>
      <w:r w:rsidRPr="00FE4C18">
        <w:rPr>
          <w:rtl/>
        </w:rPr>
        <w:t xml:space="preserve">قواعد تتبع </w:t>
      </w:r>
      <w:r>
        <w:rPr>
          <w:rtl/>
        </w:rPr>
        <w:lastRenderedPageBreak/>
        <w:t>ا</w:t>
      </w:r>
      <w:r w:rsidRPr="00FE4C18">
        <w:rPr>
          <w:rtl/>
        </w:rPr>
        <w:t>لأح</w:t>
      </w:r>
      <w:r>
        <w:rPr>
          <w:rtl/>
        </w:rPr>
        <w:t>ك</w:t>
      </w:r>
      <w:r w:rsidRPr="00FE4C18">
        <w:rPr>
          <w:rtl/>
        </w:rPr>
        <w:t xml:space="preserve">ام </w:t>
      </w:r>
      <w:r>
        <w:rPr>
          <w:rtl/>
        </w:rPr>
        <w:t>ا</w:t>
      </w:r>
      <w:r w:rsidRPr="00FE4C18">
        <w:rPr>
          <w:rtl/>
        </w:rPr>
        <w:t>لعامة</w:t>
      </w:r>
      <w:r>
        <w:rPr>
          <w:rtl/>
        </w:rPr>
        <w:t xml:space="preserve"> </w:t>
      </w:r>
      <w:r w:rsidRPr="00FE4C18">
        <w:rPr>
          <w:rtl/>
        </w:rPr>
        <w:t xml:space="preserve">‌لأدلّة إثبات </w:t>
      </w:r>
      <w:r>
        <w:rPr>
          <w:rtl/>
        </w:rPr>
        <w:t>ا</w:t>
      </w:r>
      <w:r w:rsidRPr="00FE4C18">
        <w:rPr>
          <w:rtl/>
        </w:rPr>
        <w:t>لدعو</w:t>
      </w:r>
      <w:r>
        <w:rPr>
          <w:rtl/>
        </w:rPr>
        <w:t>ى.</w:t>
      </w:r>
      <w:r w:rsidRPr="00FE4C18">
        <w:rPr>
          <w:rtl/>
        </w:rPr>
        <w:t xml:space="preserve"> فالنسب </w:t>
      </w:r>
      <w:r>
        <w:rPr>
          <w:rtl/>
        </w:rPr>
        <w:t>ا</w:t>
      </w:r>
      <w:r w:rsidRPr="00FE4C18">
        <w:rPr>
          <w:rtl/>
        </w:rPr>
        <w:t>لأمومي عل</w:t>
      </w:r>
      <w:r>
        <w:rPr>
          <w:rtl/>
        </w:rPr>
        <w:t xml:space="preserve">ى </w:t>
      </w:r>
      <w:r w:rsidRPr="00FE4C18">
        <w:rPr>
          <w:rtl/>
        </w:rPr>
        <w:t xml:space="preserve">أساس </w:t>
      </w:r>
      <w:r>
        <w:rPr>
          <w:rtl/>
        </w:rPr>
        <w:t>ا</w:t>
      </w:r>
      <w:r w:rsidRPr="00FE4C18">
        <w:rPr>
          <w:rtl/>
        </w:rPr>
        <w:t xml:space="preserve">لأمور </w:t>
      </w:r>
      <w:r>
        <w:rPr>
          <w:rtl/>
        </w:rPr>
        <w:t>ا</w:t>
      </w:r>
      <w:r w:rsidRPr="00FE4C18">
        <w:rPr>
          <w:rtl/>
        </w:rPr>
        <w:t>لمحسوسة</w:t>
      </w:r>
      <w:r>
        <w:rPr>
          <w:rtl/>
        </w:rPr>
        <w:t xml:space="preserve"> وا</w:t>
      </w:r>
      <w:r w:rsidRPr="00FE4C18">
        <w:rPr>
          <w:rtl/>
        </w:rPr>
        <w:t xml:space="preserve">لمشهودة </w:t>
      </w:r>
      <w:r>
        <w:rPr>
          <w:rtl/>
        </w:rPr>
        <w:t>ي</w:t>
      </w:r>
      <w:r w:rsidRPr="00FE4C18">
        <w:rPr>
          <w:rtl/>
        </w:rPr>
        <w:t>م</w:t>
      </w:r>
      <w:r>
        <w:rPr>
          <w:rtl/>
        </w:rPr>
        <w:t>ك</w:t>
      </w:r>
      <w:r w:rsidRPr="00FE4C18">
        <w:rPr>
          <w:rtl/>
        </w:rPr>
        <w:t>ن إثباته</w:t>
      </w:r>
      <w:r>
        <w:rPr>
          <w:rtl/>
        </w:rPr>
        <w:t xml:space="preserve"> وي</w:t>
      </w:r>
      <w:r w:rsidRPr="00FE4C18">
        <w:rPr>
          <w:rtl/>
        </w:rPr>
        <w:t>رتبط بعامل</w:t>
      </w:r>
      <w:r>
        <w:rPr>
          <w:rtl/>
        </w:rPr>
        <w:t>ي</w:t>
      </w:r>
      <w:r w:rsidRPr="00FE4C18">
        <w:rPr>
          <w:rtl/>
        </w:rPr>
        <w:t>ن</w:t>
      </w:r>
      <w:r w:rsidRPr="007F5B58">
        <w:rPr>
          <w:rtl/>
        </w:rPr>
        <w:t>:</w:t>
      </w:r>
      <w:r w:rsidRPr="00FE4C18">
        <w:rPr>
          <w:rtl/>
        </w:rPr>
        <w:t xml:space="preserve"> </w:t>
      </w:r>
    </w:p>
    <w:p w:rsidR="00391A35" w:rsidRPr="00FE4C18" w:rsidRDefault="00391A35" w:rsidP="009368DE">
      <w:pPr>
        <w:pStyle w:val="ac"/>
        <w:spacing w:line="199" w:lineRule="auto"/>
        <w:rPr>
          <w:rtl/>
        </w:rPr>
      </w:pPr>
      <w:r w:rsidRPr="00FE4C18">
        <w:rPr>
          <w:rtl/>
        </w:rPr>
        <w:t>1</w:t>
      </w:r>
      <w:r>
        <w:rPr>
          <w:rtl/>
        </w:rPr>
        <w:t>ـ</w:t>
      </w:r>
      <w:r w:rsidRPr="00FE4C18">
        <w:rPr>
          <w:rtl/>
        </w:rPr>
        <w:t xml:space="preserve"> وضع </w:t>
      </w:r>
      <w:r>
        <w:rPr>
          <w:rtl/>
        </w:rPr>
        <w:t>ا</w:t>
      </w:r>
      <w:r w:rsidRPr="00FE4C18">
        <w:rPr>
          <w:rtl/>
        </w:rPr>
        <w:t>لمرأة للطفل</w:t>
      </w:r>
      <w:r w:rsidRPr="007F5B58">
        <w:rPr>
          <w:rtl/>
        </w:rPr>
        <w:t>؛</w:t>
      </w:r>
      <w:r w:rsidRPr="00FE4C18">
        <w:rPr>
          <w:rtl/>
        </w:rPr>
        <w:t xml:space="preserve"> 2</w:t>
      </w:r>
      <w:r>
        <w:rPr>
          <w:rtl/>
        </w:rPr>
        <w:t>ـ</w:t>
      </w:r>
      <w:r w:rsidRPr="00FE4C18">
        <w:rPr>
          <w:rtl/>
        </w:rPr>
        <w:t xml:space="preserve"> تط</w:t>
      </w:r>
      <w:r>
        <w:rPr>
          <w:rtl/>
        </w:rPr>
        <w:t>اب</w:t>
      </w:r>
      <w:r w:rsidRPr="00FE4C18">
        <w:rPr>
          <w:rtl/>
        </w:rPr>
        <w:t xml:space="preserve">ق </w:t>
      </w:r>
      <w:r>
        <w:rPr>
          <w:rtl/>
        </w:rPr>
        <w:t>ا</w:t>
      </w:r>
      <w:r w:rsidRPr="00FE4C18">
        <w:rPr>
          <w:rtl/>
        </w:rPr>
        <w:t xml:space="preserve">لطفل </w:t>
      </w:r>
      <w:r>
        <w:rPr>
          <w:rtl/>
        </w:rPr>
        <w:t>ا</w:t>
      </w:r>
      <w:r w:rsidRPr="00FE4C18">
        <w:rPr>
          <w:rtl/>
        </w:rPr>
        <w:t xml:space="preserve">لمولود مع مُدّعي </w:t>
      </w:r>
      <w:r>
        <w:rPr>
          <w:rtl/>
        </w:rPr>
        <w:t>ا</w:t>
      </w:r>
      <w:r w:rsidRPr="00FE4C18">
        <w:rPr>
          <w:rtl/>
        </w:rPr>
        <w:t>لنسب</w:t>
      </w:r>
      <w:r>
        <w:rPr>
          <w:rtl/>
        </w:rPr>
        <w:t>.</w:t>
      </w:r>
      <w:r w:rsidRPr="00FE4C18">
        <w:rPr>
          <w:rtl/>
        </w:rPr>
        <w:t xml:space="preserve"> </w:t>
      </w:r>
    </w:p>
    <w:p w:rsidR="00391A35" w:rsidRPr="00FE4C18" w:rsidRDefault="00391A35" w:rsidP="009368DE">
      <w:pPr>
        <w:pStyle w:val="ac"/>
        <w:spacing w:line="199" w:lineRule="auto"/>
        <w:rPr>
          <w:rtl/>
        </w:rPr>
      </w:pPr>
      <w:r w:rsidRPr="00FE4C18">
        <w:rPr>
          <w:rtl/>
        </w:rPr>
        <w:t>و ل</w:t>
      </w:r>
      <w:r>
        <w:rPr>
          <w:rtl/>
        </w:rPr>
        <w:t>ي</w:t>
      </w:r>
      <w:r w:rsidRPr="00FE4C18">
        <w:rPr>
          <w:rtl/>
        </w:rPr>
        <w:t>س أي من هذ</w:t>
      </w:r>
      <w:r>
        <w:rPr>
          <w:rtl/>
        </w:rPr>
        <w:t>ي</w:t>
      </w:r>
      <w:r w:rsidRPr="00FE4C18">
        <w:rPr>
          <w:rtl/>
        </w:rPr>
        <w:t xml:space="preserve">ن </w:t>
      </w:r>
      <w:r>
        <w:rPr>
          <w:rtl/>
        </w:rPr>
        <w:t>ا</w:t>
      </w:r>
      <w:r w:rsidRPr="00FE4C18">
        <w:rPr>
          <w:rtl/>
        </w:rPr>
        <w:t>لعامل</w:t>
      </w:r>
      <w:r>
        <w:rPr>
          <w:rtl/>
        </w:rPr>
        <w:t>ي</w:t>
      </w:r>
      <w:r w:rsidRPr="00FE4C18">
        <w:rPr>
          <w:rtl/>
        </w:rPr>
        <w:t xml:space="preserve">ن في عداد </w:t>
      </w:r>
      <w:r>
        <w:rPr>
          <w:rtl/>
        </w:rPr>
        <w:t>ا</w:t>
      </w:r>
      <w:r w:rsidRPr="00FE4C18">
        <w:rPr>
          <w:rtl/>
        </w:rPr>
        <w:t xml:space="preserve">لأعمال </w:t>
      </w:r>
      <w:r>
        <w:rPr>
          <w:rtl/>
        </w:rPr>
        <w:t>ا</w:t>
      </w:r>
      <w:r w:rsidRPr="00FE4C18">
        <w:rPr>
          <w:rtl/>
        </w:rPr>
        <w:t>لحقوق</w:t>
      </w:r>
      <w:r>
        <w:rPr>
          <w:rtl/>
        </w:rPr>
        <w:t>يّ</w:t>
      </w:r>
      <w:r w:rsidRPr="00FE4C18">
        <w:rPr>
          <w:rtl/>
        </w:rPr>
        <w:t>ة حت</w:t>
      </w:r>
      <w:r>
        <w:rPr>
          <w:rtl/>
        </w:rPr>
        <w:t xml:space="preserve">ى </w:t>
      </w:r>
      <w:r w:rsidRPr="00FE4C18">
        <w:rPr>
          <w:rtl/>
        </w:rPr>
        <w:t>تُ</w:t>
      </w:r>
      <w:r>
        <w:rPr>
          <w:rtl/>
        </w:rPr>
        <w:t>عَ</w:t>
      </w:r>
      <w:r w:rsidRPr="00FE4C18">
        <w:rPr>
          <w:rtl/>
        </w:rPr>
        <w:t>دّ أدلّة إثباته</w:t>
      </w:r>
      <w:r>
        <w:rPr>
          <w:rtl/>
        </w:rPr>
        <w:t>.</w:t>
      </w:r>
      <w:r w:rsidRPr="00FE4C18">
        <w:rPr>
          <w:rtl/>
        </w:rPr>
        <w:t xml:space="preserve"> فالحمل</w:t>
      </w:r>
      <w:r>
        <w:rPr>
          <w:rtl/>
        </w:rPr>
        <w:t xml:space="preserve"> وا</w:t>
      </w:r>
      <w:r w:rsidRPr="00FE4C18">
        <w:rPr>
          <w:rtl/>
        </w:rPr>
        <w:t xml:space="preserve">لوضع </w:t>
      </w:r>
      <w:r>
        <w:rPr>
          <w:rtl/>
        </w:rPr>
        <w:t>ي</w:t>
      </w:r>
      <w:r w:rsidRPr="00FE4C18">
        <w:rPr>
          <w:rtl/>
        </w:rPr>
        <w:t>عتبر</w:t>
      </w:r>
      <w:r>
        <w:rPr>
          <w:rtl/>
        </w:rPr>
        <w:t>ان</w:t>
      </w:r>
      <w:r w:rsidRPr="00FE4C18">
        <w:rPr>
          <w:rtl/>
        </w:rPr>
        <w:t xml:space="preserve"> </w:t>
      </w:r>
      <w:r>
        <w:rPr>
          <w:rtl/>
        </w:rPr>
        <w:t>ك</w:t>
      </w:r>
      <w:r w:rsidRPr="00FE4C18">
        <w:rPr>
          <w:rtl/>
        </w:rPr>
        <w:t>حوادث خارج</w:t>
      </w:r>
      <w:r>
        <w:rPr>
          <w:rtl/>
        </w:rPr>
        <w:t>يّ</w:t>
      </w:r>
      <w:r w:rsidRPr="00FE4C18">
        <w:rPr>
          <w:rtl/>
        </w:rPr>
        <w:t>ة</w:t>
      </w:r>
      <w:r w:rsidRPr="007F5B58">
        <w:rPr>
          <w:rtl/>
        </w:rPr>
        <w:t>،</w:t>
      </w:r>
      <w:r w:rsidRPr="00FE4C18">
        <w:rPr>
          <w:rtl/>
        </w:rPr>
        <w:t xml:space="preserve"> مثل</w:t>
      </w:r>
      <w:r w:rsidRPr="007F5B58">
        <w:rPr>
          <w:rtl/>
        </w:rPr>
        <w:t>:</w:t>
      </w:r>
      <w:r w:rsidRPr="00FE4C18">
        <w:rPr>
          <w:rtl/>
        </w:rPr>
        <w:t xml:space="preserve"> </w:t>
      </w:r>
      <w:r>
        <w:rPr>
          <w:rtl/>
        </w:rPr>
        <w:t>ا</w:t>
      </w:r>
      <w:r w:rsidRPr="00FE4C18">
        <w:rPr>
          <w:rtl/>
        </w:rPr>
        <w:t>لولادة‌</w:t>
      </w:r>
      <w:r w:rsidRPr="007F5B58">
        <w:rPr>
          <w:rtl/>
        </w:rPr>
        <w:t>،</w:t>
      </w:r>
      <w:r>
        <w:rPr>
          <w:rtl/>
        </w:rPr>
        <w:t xml:space="preserve"> وا</w:t>
      </w:r>
      <w:r w:rsidRPr="00FE4C18">
        <w:rPr>
          <w:rtl/>
        </w:rPr>
        <w:t>لموت</w:t>
      </w:r>
      <w:r w:rsidRPr="007F5B58">
        <w:rPr>
          <w:rtl/>
        </w:rPr>
        <w:t>،</w:t>
      </w:r>
      <w:r>
        <w:rPr>
          <w:rtl/>
        </w:rPr>
        <w:t xml:space="preserve"> و</w:t>
      </w:r>
      <w:r w:rsidRPr="00FE4C18">
        <w:rPr>
          <w:rtl/>
        </w:rPr>
        <w:t xml:space="preserve">اصطدام </w:t>
      </w:r>
      <w:r>
        <w:rPr>
          <w:rtl/>
        </w:rPr>
        <w:t>ا</w:t>
      </w:r>
      <w:r w:rsidRPr="00FE4C18">
        <w:rPr>
          <w:rtl/>
        </w:rPr>
        <w:t>لس</w:t>
      </w:r>
      <w:r>
        <w:rPr>
          <w:rtl/>
        </w:rPr>
        <w:t>ي</w:t>
      </w:r>
      <w:r w:rsidRPr="00FE4C18">
        <w:rPr>
          <w:rtl/>
        </w:rPr>
        <w:t>ارت</w:t>
      </w:r>
      <w:r>
        <w:rPr>
          <w:rtl/>
        </w:rPr>
        <w:t>ي</w:t>
      </w:r>
      <w:r w:rsidRPr="00FE4C18">
        <w:rPr>
          <w:rtl/>
        </w:rPr>
        <w:t>ن</w:t>
      </w:r>
      <w:r w:rsidRPr="007F5B58">
        <w:rPr>
          <w:rtl/>
        </w:rPr>
        <w:t>،</w:t>
      </w:r>
      <w:r>
        <w:rPr>
          <w:rtl/>
        </w:rPr>
        <w:t xml:space="preserve"> و</w:t>
      </w:r>
      <w:r w:rsidRPr="00FE4C18">
        <w:rPr>
          <w:rtl/>
        </w:rPr>
        <w:t>بأيّ دل</w:t>
      </w:r>
      <w:r>
        <w:rPr>
          <w:rtl/>
        </w:rPr>
        <w:t>ي</w:t>
      </w:r>
      <w:r w:rsidRPr="00FE4C18">
        <w:rPr>
          <w:rtl/>
        </w:rPr>
        <w:t xml:space="preserve">ل </w:t>
      </w:r>
      <w:r>
        <w:rPr>
          <w:rtl/>
        </w:rPr>
        <w:t>ك</w:t>
      </w:r>
      <w:r w:rsidRPr="00FE4C18">
        <w:rPr>
          <w:rtl/>
        </w:rPr>
        <w:t>ان</w:t>
      </w:r>
      <w:r w:rsidRPr="007F5B58">
        <w:rPr>
          <w:rtl/>
        </w:rPr>
        <w:t>،</w:t>
      </w:r>
      <w:r w:rsidRPr="00FE4C18">
        <w:rPr>
          <w:rtl/>
        </w:rPr>
        <w:t xml:space="preserve"> </w:t>
      </w:r>
      <w:r>
        <w:rPr>
          <w:rtl/>
        </w:rPr>
        <w:t>ك</w:t>
      </w:r>
      <w:r w:rsidRPr="00FE4C18">
        <w:rPr>
          <w:rtl/>
        </w:rPr>
        <w:t>الشهادة</w:t>
      </w:r>
      <w:r>
        <w:rPr>
          <w:rtl/>
        </w:rPr>
        <w:t xml:space="preserve"> وا</w:t>
      </w:r>
      <w:r w:rsidRPr="00FE4C18">
        <w:rPr>
          <w:rtl/>
        </w:rPr>
        <w:t>ل</w:t>
      </w:r>
      <w:r>
        <w:rPr>
          <w:rtl/>
        </w:rPr>
        <w:t>أ</w:t>
      </w:r>
      <w:r w:rsidRPr="00FE4C18">
        <w:rPr>
          <w:rtl/>
        </w:rPr>
        <w:t>مارة</w:t>
      </w:r>
      <w:r w:rsidRPr="007F5B58">
        <w:rPr>
          <w:rtl/>
        </w:rPr>
        <w:t>،</w:t>
      </w:r>
      <w:r w:rsidRPr="00FE4C18">
        <w:rPr>
          <w:rtl/>
        </w:rPr>
        <w:t xml:space="preserve"> </w:t>
      </w:r>
      <w:r>
        <w:rPr>
          <w:rtl/>
        </w:rPr>
        <w:t>ي</w:t>
      </w:r>
      <w:r w:rsidRPr="00FE4C18">
        <w:rPr>
          <w:rtl/>
        </w:rPr>
        <w:t>م</w:t>
      </w:r>
      <w:r>
        <w:rPr>
          <w:rtl/>
        </w:rPr>
        <w:t>ك</w:t>
      </w:r>
      <w:r w:rsidRPr="00FE4C18">
        <w:rPr>
          <w:rtl/>
        </w:rPr>
        <w:t>ن إثباته أ</w:t>
      </w:r>
      <w:r>
        <w:rPr>
          <w:rtl/>
        </w:rPr>
        <w:t>ي</w:t>
      </w:r>
      <w:r w:rsidRPr="00FE4C18">
        <w:rPr>
          <w:rtl/>
        </w:rPr>
        <w:t>ضاً</w:t>
      </w:r>
      <w:r w:rsidRPr="00815C4C">
        <w:rPr>
          <w:rFonts w:cs="Taher"/>
          <w:vertAlign w:val="superscript"/>
          <w:rtl/>
        </w:rPr>
        <w:t>(</w:t>
      </w:r>
      <w:r w:rsidRPr="00815C4C">
        <w:rPr>
          <w:rFonts w:cs="Taher"/>
          <w:vertAlign w:val="superscript"/>
          <w:rtl/>
        </w:rPr>
        <w:footnoteReference w:id="930"/>
      </w:r>
      <w:r w:rsidRPr="00815C4C">
        <w:rPr>
          <w:rFonts w:cs="Taher"/>
          <w:vertAlign w:val="superscript"/>
          <w:rtl/>
        </w:rPr>
        <w:t>)</w:t>
      </w:r>
      <w:r>
        <w:rPr>
          <w:rtl/>
        </w:rPr>
        <w:t>.</w:t>
      </w:r>
    </w:p>
    <w:p w:rsidR="00391A35" w:rsidRPr="00FE4C18" w:rsidRDefault="00391A35" w:rsidP="009368DE">
      <w:pPr>
        <w:pStyle w:val="ac"/>
        <w:spacing w:line="199" w:lineRule="auto"/>
        <w:rPr>
          <w:rtl/>
        </w:rPr>
      </w:pPr>
      <w:r>
        <w:rPr>
          <w:rtl/>
        </w:rPr>
        <w:t>و</w:t>
      </w:r>
      <w:r w:rsidRPr="00FE4C18">
        <w:rPr>
          <w:rtl/>
        </w:rPr>
        <w:t>ل</w:t>
      </w:r>
      <w:r>
        <w:rPr>
          <w:rtl/>
        </w:rPr>
        <w:t>إ</w:t>
      </w:r>
      <w:r w:rsidRPr="00FE4C18">
        <w:rPr>
          <w:rtl/>
        </w:rPr>
        <w:t xml:space="preserve">ثبات </w:t>
      </w:r>
      <w:r>
        <w:rPr>
          <w:rtl/>
        </w:rPr>
        <w:t>ا</w:t>
      </w:r>
      <w:r w:rsidRPr="00FE4C18">
        <w:rPr>
          <w:rtl/>
        </w:rPr>
        <w:t xml:space="preserve">لنسب </w:t>
      </w:r>
      <w:r>
        <w:rPr>
          <w:rtl/>
        </w:rPr>
        <w:t>ا</w:t>
      </w:r>
      <w:r w:rsidRPr="00FE4C18">
        <w:rPr>
          <w:rtl/>
        </w:rPr>
        <w:t xml:space="preserve">لأمومي </w:t>
      </w:r>
      <w:r>
        <w:rPr>
          <w:rtl/>
        </w:rPr>
        <w:t>يك</w:t>
      </w:r>
      <w:r w:rsidRPr="00FE4C18">
        <w:rPr>
          <w:rtl/>
        </w:rPr>
        <w:t>في إثبات وضعها للطفل</w:t>
      </w:r>
      <w:r w:rsidRPr="007F5B58">
        <w:rPr>
          <w:rtl/>
        </w:rPr>
        <w:t>،</w:t>
      </w:r>
      <w:r w:rsidRPr="00FE4C18">
        <w:rPr>
          <w:rtl/>
        </w:rPr>
        <w:t xml:space="preserve"> فولادة </w:t>
      </w:r>
      <w:r>
        <w:rPr>
          <w:rtl/>
        </w:rPr>
        <w:t>ا</w:t>
      </w:r>
      <w:r w:rsidRPr="00FE4C18">
        <w:rPr>
          <w:rtl/>
        </w:rPr>
        <w:t xml:space="preserve">لطفل من </w:t>
      </w:r>
      <w:r>
        <w:rPr>
          <w:rtl/>
        </w:rPr>
        <w:t>ا</w:t>
      </w:r>
      <w:r w:rsidRPr="00FE4C18">
        <w:rPr>
          <w:rtl/>
        </w:rPr>
        <w:t>لأم دل</w:t>
      </w:r>
      <w:r>
        <w:rPr>
          <w:rtl/>
        </w:rPr>
        <w:t>ي</w:t>
      </w:r>
      <w:r w:rsidRPr="00FE4C18">
        <w:rPr>
          <w:rtl/>
        </w:rPr>
        <w:t xml:space="preserve">ل قاطع </w:t>
      </w:r>
      <w:r>
        <w:rPr>
          <w:rtl/>
        </w:rPr>
        <w:t>ي</w:t>
      </w:r>
      <w:r w:rsidRPr="00FE4C18">
        <w:rPr>
          <w:rtl/>
        </w:rPr>
        <w:t xml:space="preserve">ثبت أنَّ </w:t>
      </w:r>
      <w:r>
        <w:rPr>
          <w:rtl/>
        </w:rPr>
        <w:t>ا</w:t>
      </w:r>
      <w:r w:rsidRPr="00FE4C18">
        <w:rPr>
          <w:rtl/>
        </w:rPr>
        <w:t xml:space="preserve">لمرأة </w:t>
      </w:r>
      <w:r>
        <w:rPr>
          <w:rtl/>
        </w:rPr>
        <w:t>ا</w:t>
      </w:r>
      <w:r w:rsidRPr="00FE4C18">
        <w:rPr>
          <w:rtl/>
        </w:rPr>
        <w:t xml:space="preserve">لتي وضعت </w:t>
      </w:r>
      <w:r>
        <w:rPr>
          <w:rtl/>
        </w:rPr>
        <w:t>ا</w:t>
      </w:r>
      <w:r w:rsidRPr="00FE4C18">
        <w:rPr>
          <w:rtl/>
        </w:rPr>
        <w:t xml:space="preserve">لطفل من </w:t>
      </w:r>
      <w:r>
        <w:rPr>
          <w:rtl/>
        </w:rPr>
        <w:t>ا</w:t>
      </w:r>
      <w:r w:rsidRPr="00FE4C18">
        <w:rPr>
          <w:rtl/>
        </w:rPr>
        <w:t>لناح</w:t>
      </w:r>
      <w:r>
        <w:rPr>
          <w:rtl/>
        </w:rPr>
        <w:t>يّ</w:t>
      </w:r>
      <w:r w:rsidRPr="00FE4C18">
        <w:rPr>
          <w:rtl/>
        </w:rPr>
        <w:t xml:space="preserve">ة </w:t>
      </w:r>
      <w:r>
        <w:rPr>
          <w:rtl/>
        </w:rPr>
        <w:t>ا</w:t>
      </w:r>
      <w:r w:rsidRPr="00FE4C18">
        <w:rPr>
          <w:rtl/>
        </w:rPr>
        <w:t>لبا</w:t>
      </w:r>
      <w:r>
        <w:rPr>
          <w:rtl/>
        </w:rPr>
        <w:t>ي</w:t>
      </w:r>
      <w:r w:rsidRPr="00FE4C18">
        <w:rPr>
          <w:rtl/>
        </w:rPr>
        <w:t>ولوج</w:t>
      </w:r>
      <w:r>
        <w:rPr>
          <w:rtl/>
        </w:rPr>
        <w:t>يّ</w:t>
      </w:r>
      <w:r w:rsidRPr="00FE4C18">
        <w:rPr>
          <w:rtl/>
        </w:rPr>
        <w:t>ة</w:t>
      </w:r>
      <w:r>
        <w:rPr>
          <w:rtl/>
        </w:rPr>
        <w:t xml:space="preserve"> وا</w:t>
      </w:r>
      <w:r w:rsidRPr="00FE4C18">
        <w:rPr>
          <w:rtl/>
        </w:rPr>
        <w:t>لقانون</w:t>
      </w:r>
      <w:r>
        <w:rPr>
          <w:rtl/>
        </w:rPr>
        <w:t>يّ</w:t>
      </w:r>
      <w:r w:rsidRPr="00FE4C18">
        <w:rPr>
          <w:rtl/>
        </w:rPr>
        <w:t xml:space="preserve">ة هي أم </w:t>
      </w:r>
      <w:r>
        <w:rPr>
          <w:rtl/>
        </w:rPr>
        <w:t>ا</w:t>
      </w:r>
      <w:r w:rsidRPr="00FE4C18">
        <w:rPr>
          <w:rtl/>
        </w:rPr>
        <w:t xml:space="preserve">لطفل </w:t>
      </w:r>
      <w:r>
        <w:rPr>
          <w:rtl/>
        </w:rPr>
        <w:t>ا</w:t>
      </w:r>
      <w:r w:rsidRPr="00FE4C18">
        <w:rPr>
          <w:rtl/>
        </w:rPr>
        <w:t>لحق</w:t>
      </w:r>
      <w:r>
        <w:rPr>
          <w:rtl/>
        </w:rPr>
        <w:t>ي</w:t>
      </w:r>
      <w:r w:rsidRPr="00FE4C18">
        <w:rPr>
          <w:rtl/>
        </w:rPr>
        <w:t>قي</w:t>
      </w:r>
      <w:r>
        <w:rPr>
          <w:rtl/>
        </w:rPr>
        <w:t>ة</w:t>
      </w:r>
      <w:r w:rsidRPr="007F5B58">
        <w:rPr>
          <w:rtl/>
        </w:rPr>
        <w:t>،</w:t>
      </w:r>
      <w:r>
        <w:rPr>
          <w:rtl/>
        </w:rPr>
        <w:t xml:space="preserve"> وي</w:t>
      </w:r>
      <w:r w:rsidRPr="00FE4C18">
        <w:rPr>
          <w:rtl/>
        </w:rPr>
        <w:t xml:space="preserve">عتبر </w:t>
      </w:r>
      <w:r>
        <w:rPr>
          <w:rtl/>
        </w:rPr>
        <w:t>ا</w:t>
      </w:r>
      <w:r w:rsidRPr="00FE4C18">
        <w:rPr>
          <w:rtl/>
        </w:rPr>
        <w:t xml:space="preserve">لقانون هذه </w:t>
      </w:r>
      <w:r>
        <w:rPr>
          <w:rtl/>
        </w:rPr>
        <w:t>ا</w:t>
      </w:r>
      <w:r w:rsidRPr="00FE4C18">
        <w:rPr>
          <w:rtl/>
        </w:rPr>
        <w:t xml:space="preserve">لمرأة أم </w:t>
      </w:r>
      <w:r>
        <w:rPr>
          <w:rtl/>
        </w:rPr>
        <w:t>ا</w:t>
      </w:r>
      <w:r w:rsidRPr="00FE4C18">
        <w:rPr>
          <w:rtl/>
        </w:rPr>
        <w:t>لطفل</w:t>
      </w:r>
      <w:r>
        <w:rPr>
          <w:rtl/>
        </w:rPr>
        <w:t>.</w:t>
      </w:r>
      <w:r w:rsidRPr="00FE4C18">
        <w:rPr>
          <w:rtl/>
        </w:rPr>
        <w:t xml:space="preserve"> </w:t>
      </w:r>
    </w:p>
    <w:p w:rsidR="00391A35" w:rsidRPr="00FE4C18" w:rsidRDefault="00391A35" w:rsidP="009368DE">
      <w:pPr>
        <w:pStyle w:val="ac"/>
        <w:spacing w:line="199" w:lineRule="auto"/>
        <w:rPr>
          <w:rtl/>
        </w:rPr>
      </w:pPr>
      <w:r w:rsidRPr="00FE4C18">
        <w:rPr>
          <w:rtl/>
        </w:rPr>
        <w:t xml:space="preserve">و </w:t>
      </w:r>
      <w:r>
        <w:rPr>
          <w:rtl/>
        </w:rPr>
        <w:t>ا</w:t>
      </w:r>
      <w:r w:rsidRPr="00FE4C18">
        <w:rPr>
          <w:rtl/>
        </w:rPr>
        <w:t>لآ</w:t>
      </w:r>
      <w:r>
        <w:rPr>
          <w:rtl/>
        </w:rPr>
        <w:t>ي</w:t>
      </w:r>
      <w:r w:rsidRPr="00FE4C18">
        <w:rPr>
          <w:rtl/>
        </w:rPr>
        <w:t xml:space="preserve">ات </w:t>
      </w:r>
      <w:r>
        <w:rPr>
          <w:rtl/>
        </w:rPr>
        <w:t>ا</w:t>
      </w:r>
      <w:r w:rsidRPr="00FE4C18">
        <w:rPr>
          <w:rtl/>
        </w:rPr>
        <w:t>لقرآن</w:t>
      </w:r>
      <w:r>
        <w:rPr>
          <w:rtl/>
        </w:rPr>
        <w:t>يّ</w:t>
      </w:r>
      <w:r w:rsidRPr="00FE4C18">
        <w:rPr>
          <w:rtl/>
        </w:rPr>
        <w:t xml:space="preserve">ة تعتبر </w:t>
      </w:r>
      <w:r>
        <w:rPr>
          <w:rtl/>
        </w:rPr>
        <w:t>ا</w:t>
      </w:r>
      <w:r w:rsidRPr="00FE4C18">
        <w:rPr>
          <w:rtl/>
        </w:rPr>
        <w:t>لوضع ملا</w:t>
      </w:r>
      <w:r>
        <w:rPr>
          <w:rtl/>
        </w:rPr>
        <w:t>ك</w:t>
      </w:r>
      <w:r w:rsidRPr="00FE4C18">
        <w:rPr>
          <w:rtl/>
        </w:rPr>
        <w:t>اً</w:t>
      </w:r>
      <w:r>
        <w:rPr>
          <w:rtl/>
        </w:rPr>
        <w:t xml:space="preserve"> و</w:t>
      </w:r>
      <w:r w:rsidRPr="00FE4C18">
        <w:rPr>
          <w:rtl/>
        </w:rPr>
        <w:t>مع</w:t>
      </w:r>
      <w:r>
        <w:rPr>
          <w:rtl/>
        </w:rPr>
        <w:t>ي</w:t>
      </w:r>
      <w:r w:rsidRPr="00FE4C18">
        <w:rPr>
          <w:rtl/>
        </w:rPr>
        <w:t xml:space="preserve">اراً للأمومة </w:t>
      </w:r>
      <w:r>
        <w:rPr>
          <w:rtl/>
        </w:rPr>
        <w:t>بشكل أساسي</w:t>
      </w:r>
      <w:r w:rsidRPr="007F5B58">
        <w:rPr>
          <w:rtl/>
        </w:rPr>
        <w:t>؛</w:t>
      </w:r>
      <w:r w:rsidRPr="00FE4C18">
        <w:rPr>
          <w:rtl/>
        </w:rPr>
        <w:t xml:space="preserve"> إذ </w:t>
      </w:r>
      <w:r>
        <w:rPr>
          <w:rtl/>
        </w:rPr>
        <w:t>ي</w:t>
      </w:r>
      <w:r w:rsidRPr="00FE4C18">
        <w:rPr>
          <w:rtl/>
        </w:rPr>
        <w:t>قول سبحانه</w:t>
      </w:r>
      <w:r>
        <w:rPr>
          <w:rtl/>
        </w:rPr>
        <w:t xml:space="preserve"> و</w:t>
      </w:r>
      <w:r w:rsidRPr="00FE4C18">
        <w:rPr>
          <w:rtl/>
        </w:rPr>
        <w:t>تعال</w:t>
      </w:r>
      <w:r>
        <w:rPr>
          <w:rtl/>
        </w:rPr>
        <w:t xml:space="preserve">ى </w:t>
      </w:r>
      <w:r w:rsidRPr="00FE4C18">
        <w:rPr>
          <w:rtl/>
        </w:rPr>
        <w:t xml:space="preserve">في </w:t>
      </w:r>
      <w:r>
        <w:rPr>
          <w:rtl/>
        </w:rPr>
        <w:t>ا</w:t>
      </w:r>
      <w:r w:rsidRPr="00FE4C18">
        <w:rPr>
          <w:rtl/>
        </w:rPr>
        <w:t>لآ</w:t>
      </w:r>
      <w:r>
        <w:rPr>
          <w:rtl/>
        </w:rPr>
        <w:t>ي</w:t>
      </w:r>
      <w:r w:rsidRPr="00FE4C18">
        <w:rPr>
          <w:rtl/>
        </w:rPr>
        <w:t xml:space="preserve">ة 2 من سورة </w:t>
      </w:r>
      <w:r>
        <w:rPr>
          <w:rtl/>
        </w:rPr>
        <w:t>ا</w:t>
      </w:r>
      <w:r w:rsidRPr="00FE4C18">
        <w:rPr>
          <w:rtl/>
        </w:rPr>
        <w:t>لمجاد</w:t>
      </w:r>
      <w:r>
        <w:rPr>
          <w:rtl/>
        </w:rPr>
        <w:t>ل</w:t>
      </w:r>
      <w:r w:rsidRPr="00FE4C18">
        <w:rPr>
          <w:rtl/>
        </w:rPr>
        <w:t>ة</w:t>
      </w:r>
      <w:r w:rsidRPr="007F5B58">
        <w:rPr>
          <w:rtl/>
        </w:rPr>
        <w:t>:</w:t>
      </w:r>
      <w:r w:rsidRPr="00FE4C18">
        <w:rPr>
          <w:rtl/>
        </w:rPr>
        <w:t xml:space="preserve"> </w:t>
      </w:r>
      <w:r w:rsidRPr="00D66643">
        <w:rPr>
          <w:rFonts w:cs="Taher"/>
          <w:rtl/>
        </w:rPr>
        <w:t>{</w:t>
      </w:r>
      <w:r w:rsidRPr="006D355B">
        <w:rPr>
          <w:rStyle w:val="Char"/>
          <w:b/>
          <w:bCs/>
          <w:rtl/>
        </w:rPr>
        <w:t>الَّذِينَ يُظَاهِرُونَ مِنكُم مِّن نِّسَائِهِم مَّا هُنَّ أُمَّهَاتِهِمْ إِنْ أُمَّهَاتُهُمْ إِلا</w:t>
      </w:r>
      <w:r>
        <w:rPr>
          <w:rStyle w:val="Char"/>
          <w:rFonts w:hint="cs"/>
          <w:b/>
          <w:bCs/>
          <w:rtl/>
        </w:rPr>
        <w:t>ّ</w:t>
      </w:r>
      <w:r w:rsidRPr="006D355B">
        <w:rPr>
          <w:rStyle w:val="Char"/>
          <w:b/>
          <w:bCs/>
          <w:rtl/>
        </w:rPr>
        <w:t xml:space="preserve"> اللائِي وَلَدْنَهُمْ</w:t>
      </w:r>
      <w:r w:rsidRPr="006D355B">
        <w:rPr>
          <w:b/>
          <w:bCs/>
          <w:rtl/>
        </w:rPr>
        <w:t>...</w:t>
      </w:r>
      <w:r w:rsidRPr="00D66643">
        <w:rPr>
          <w:rFonts w:cs="Taher"/>
          <w:rtl/>
        </w:rPr>
        <w:t>}</w:t>
      </w:r>
      <w:r>
        <w:rPr>
          <w:rtl/>
        </w:rPr>
        <w:t>. وي</w:t>
      </w:r>
      <w:r w:rsidRPr="00FE4C18">
        <w:rPr>
          <w:rtl/>
        </w:rPr>
        <w:t xml:space="preserve">ستفاد من هذه </w:t>
      </w:r>
      <w:r>
        <w:rPr>
          <w:rtl/>
        </w:rPr>
        <w:t>ا</w:t>
      </w:r>
      <w:r w:rsidRPr="00FE4C18">
        <w:rPr>
          <w:rtl/>
        </w:rPr>
        <w:t>لآ</w:t>
      </w:r>
      <w:r>
        <w:rPr>
          <w:rtl/>
        </w:rPr>
        <w:t>ي</w:t>
      </w:r>
      <w:r w:rsidRPr="00FE4C18">
        <w:rPr>
          <w:rtl/>
        </w:rPr>
        <w:t xml:space="preserve">ة أنَّ </w:t>
      </w:r>
      <w:r>
        <w:rPr>
          <w:rtl/>
        </w:rPr>
        <w:t>ا</w:t>
      </w:r>
      <w:r w:rsidRPr="00FE4C18">
        <w:rPr>
          <w:rtl/>
        </w:rPr>
        <w:t xml:space="preserve">لنساء </w:t>
      </w:r>
      <w:r>
        <w:rPr>
          <w:rtl/>
        </w:rPr>
        <w:t>ا</w:t>
      </w:r>
      <w:r w:rsidRPr="00FE4C18">
        <w:rPr>
          <w:rtl/>
        </w:rPr>
        <w:t xml:space="preserve">للاتي </w:t>
      </w:r>
      <w:r>
        <w:rPr>
          <w:rtl/>
        </w:rPr>
        <w:t>ي</w:t>
      </w:r>
      <w:r w:rsidRPr="00FE4C18">
        <w:rPr>
          <w:rtl/>
        </w:rPr>
        <w:t xml:space="preserve">لدن هن </w:t>
      </w:r>
      <w:r>
        <w:rPr>
          <w:rtl/>
        </w:rPr>
        <w:t>ا</w:t>
      </w:r>
      <w:r w:rsidRPr="00FE4C18">
        <w:rPr>
          <w:rtl/>
        </w:rPr>
        <w:t>لأمّهات</w:t>
      </w:r>
      <w:r w:rsidRPr="007F5B58">
        <w:rPr>
          <w:rtl/>
        </w:rPr>
        <w:t>،</w:t>
      </w:r>
      <w:r w:rsidRPr="00FE4C18">
        <w:rPr>
          <w:rtl/>
        </w:rPr>
        <w:t xml:space="preserve"> سواء </w:t>
      </w:r>
      <w:r>
        <w:rPr>
          <w:rtl/>
        </w:rPr>
        <w:t>أُ</w:t>
      </w:r>
      <w:r w:rsidRPr="00FE4C18">
        <w:rPr>
          <w:rtl/>
        </w:rPr>
        <w:t xml:space="preserve">خِذت </w:t>
      </w:r>
      <w:r>
        <w:rPr>
          <w:rtl/>
        </w:rPr>
        <w:t>ا</w:t>
      </w:r>
      <w:r w:rsidRPr="00FE4C18">
        <w:rPr>
          <w:rtl/>
        </w:rPr>
        <w:t>لبو</w:t>
      </w:r>
      <w:r>
        <w:rPr>
          <w:rtl/>
        </w:rPr>
        <w:t>ي</w:t>
      </w:r>
      <w:r w:rsidRPr="00FE4C18">
        <w:rPr>
          <w:rtl/>
        </w:rPr>
        <w:t>ضة منهن أم لم تؤخذ</w:t>
      </w:r>
      <w:r w:rsidRPr="007F5B58">
        <w:rPr>
          <w:rtl/>
        </w:rPr>
        <w:t>،</w:t>
      </w:r>
      <w:r>
        <w:rPr>
          <w:rtl/>
        </w:rPr>
        <w:t xml:space="preserve"> و</w:t>
      </w:r>
      <w:r w:rsidRPr="00FE4C18">
        <w:rPr>
          <w:rtl/>
        </w:rPr>
        <w:t xml:space="preserve">خاصة أنَّ </w:t>
      </w:r>
      <w:r>
        <w:rPr>
          <w:rtl/>
        </w:rPr>
        <w:t>ا</w:t>
      </w:r>
      <w:r w:rsidRPr="00FE4C18">
        <w:rPr>
          <w:rtl/>
        </w:rPr>
        <w:t>لآ</w:t>
      </w:r>
      <w:r>
        <w:rPr>
          <w:rtl/>
        </w:rPr>
        <w:t>ي</w:t>
      </w:r>
      <w:r w:rsidRPr="00FE4C18">
        <w:rPr>
          <w:rtl/>
        </w:rPr>
        <w:t>ة تذ</w:t>
      </w:r>
      <w:r>
        <w:rPr>
          <w:rtl/>
        </w:rPr>
        <w:t>ك</w:t>
      </w:r>
      <w:r w:rsidRPr="00FE4C18">
        <w:rPr>
          <w:rtl/>
        </w:rPr>
        <w:t xml:space="preserve">ر هذا </w:t>
      </w:r>
      <w:r>
        <w:rPr>
          <w:rtl/>
        </w:rPr>
        <w:t>ا</w:t>
      </w:r>
      <w:r w:rsidRPr="00FE4C18">
        <w:rPr>
          <w:rtl/>
        </w:rPr>
        <w:t xml:space="preserve">لمفهوم بأداة </w:t>
      </w:r>
      <w:r>
        <w:rPr>
          <w:rtl/>
        </w:rPr>
        <w:t>ا</w:t>
      </w:r>
      <w:r w:rsidRPr="00FE4C18">
        <w:rPr>
          <w:rtl/>
        </w:rPr>
        <w:t>لحصر</w:t>
      </w:r>
      <w:r w:rsidRPr="00815C4C">
        <w:rPr>
          <w:rFonts w:cs="Taher"/>
          <w:vertAlign w:val="superscript"/>
          <w:rtl/>
        </w:rPr>
        <w:t>(</w:t>
      </w:r>
      <w:r w:rsidRPr="00815C4C">
        <w:rPr>
          <w:rFonts w:cs="Taher"/>
          <w:vertAlign w:val="superscript"/>
          <w:rtl/>
        </w:rPr>
        <w:footnoteReference w:id="931"/>
      </w:r>
      <w:r w:rsidRPr="00815C4C">
        <w:rPr>
          <w:rFonts w:cs="Taher"/>
          <w:vertAlign w:val="superscript"/>
          <w:rtl/>
        </w:rPr>
        <w:t>)</w:t>
      </w:r>
      <w:r w:rsidRPr="00FE4C18">
        <w:rPr>
          <w:rtl/>
        </w:rPr>
        <w:t xml:space="preserve">. </w:t>
      </w:r>
    </w:p>
    <w:p w:rsidR="00391A35" w:rsidRPr="00FE4C18" w:rsidRDefault="00391A35" w:rsidP="009368DE">
      <w:pPr>
        <w:pStyle w:val="ac"/>
        <w:spacing w:line="199" w:lineRule="auto"/>
        <w:rPr>
          <w:rtl/>
        </w:rPr>
      </w:pPr>
      <w:r w:rsidRPr="00FE4C18">
        <w:rPr>
          <w:rtl/>
        </w:rPr>
        <w:t xml:space="preserve">و </w:t>
      </w:r>
      <w:r>
        <w:rPr>
          <w:rtl/>
        </w:rPr>
        <w:t>ا</w:t>
      </w:r>
      <w:r w:rsidRPr="00FE4C18">
        <w:rPr>
          <w:rtl/>
        </w:rPr>
        <w:t xml:space="preserve">لسؤال هو هل </w:t>
      </w:r>
      <w:r>
        <w:rPr>
          <w:rtl/>
        </w:rPr>
        <w:t>ي</w:t>
      </w:r>
      <w:r w:rsidRPr="00FE4C18">
        <w:rPr>
          <w:rtl/>
        </w:rPr>
        <w:t xml:space="preserve">عتبر </w:t>
      </w:r>
      <w:r>
        <w:rPr>
          <w:rtl/>
        </w:rPr>
        <w:t>ا</w:t>
      </w:r>
      <w:r w:rsidRPr="00FE4C18">
        <w:rPr>
          <w:rtl/>
        </w:rPr>
        <w:t>لعرف ت</w:t>
      </w:r>
      <w:r>
        <w:rPr>
          <w:rtl/>
        </w:rPr>
        <w:t>ك</w:t>
      </w:r>
      <w:r w:rsidRPr="00FE4C18">
        <w:rPr>
          <w:rtl/>
        </w:rPr>
        <w:t>و</w:t>
      </w:r>
      <w:r>
        <w:rPr>
          <w:rtl/>
        </w:rPr>
        <w:t>ي</w:t>
      </w:r>
      <w:r w:rsidRPr="00FE4C18">
        <w:rPr>
          <w:rtl/>
        </w:rPr>
        <w:t xml:space="preserve">ن </w:t>
      </w:r>
      <w:r>
        <w:rPr>
          <w:rtl/>
        </w:rPr>
        <w:t>ا</w:t>
      </w:r>
      <w:r w:rsidRPr="00FE4C18">
        <w:rPr>
          <w:rtl/>
        </w:rPr>
        <w:t>لإنسان من إ</w:t>
      </w:r>
      <w:r w:rsidRPr="001776DC">
        <w:rPr>
          <w:rFonts w:cs="Badr"/>
          <w:sz w:val="27"/>
          <w:rtl/>
        </w:rPr>
        <w:t>س</w:t>
      </w:r>
      <w:r w:rsidRPr="001776DC">
        <w:rPr>
          <w:rFonts w:cs="Badr" w:hint="cs"/>
          <w:sz w:val="27"/>
          <w:rtl/>
        </w:rPr>
        <w:t>پ</w:t>
      </w:r>
      <w:r w:rsidRPr="001776DC">
        <w:rPr>
          <w:rFonts w:cs="Badr"/>
          <w:sz w:val="27"/>
          <w:rtl/>
        </w:rPr>
        <w:t>ر</w:t>
      </w:r>
      <w:r w:rsidRPr="00FE4C18">
        <w:rPr>
          <w:rtl/>
        </w:rPr>
        <w:t xml:space="preserve">م </w:t>
      </w:r>
      <w:r>
        <w:rPr>
          <w:rtl/>
        </w:rPr>
        <w:t>ا</w:t>
      </w:r>
      <w:r w:rsidRPr="00FE4C18">
        <w:rPr>
          <w:rtl/>
        </w:rPr>
        <w:t>لزوج</w:t>
      </w:r>
      <w:r>
        <w:rPr>
          <w:rtl/>
        </w:rPr>
        <w:t xml:space="preserve"> و</w:t>
      </w:r>
      <w:r w:rsidRPr="00FE4C18">
        <w:rPr>
          <w:rtl/>
        </w:rPr>
        <w:t>بو</w:t>
      </w:r>
      <w:r>
        <w:rPr>
          <w:rtl/>
        </w:rPr>
        <w:t>ي</w:t>
      </w:r>
      <w:r w:rsidRPr="00FE4C18">
        <w:rPr>
          <w:rtl/>
        </w:rPr>
        <w:t xml:space="preserve">ضة </w:t>
      </w:r>
      <w:r>
        <w:rPr>
          <w:rtl/>
        </w:rPr>
        <w:t>ا</w:t>
      </w:r>
      <w:r w:rsidRPr="00FE4C18">
        <w:rPr>
          <w:rtl/>
        </w:rPr>
        <w:t>لزوجة مبدأ اعتبار</w:t>
      </w:r>
      <w:r>
        <w:rPr>
          <w:rtl/>
        </w:rPr>
        <w:t>ي</w:t>
      </w:r>
      <w:r w:rsidRPr="00FE4C18">
        <w:rPr>
          <w:rtl/>
        </w:rPr>
        <w:t xml:space="preserve">اً للعلاقة </w:t>
      </w:r>
      <w:r>
        <w:rPr>
          <w:rtl/>
        </w:rPr>
        <w:t>ا</w:t>
      </w:r>
      <w:r w:rsidRPr="00FE4C18">
        <w:rPr>
          <w:rtl/>
        </w:rPr>
        <w:t>لنسب</w:t>
      </w:r>
      <w:r>
        <w:rPr>
          <w:rtl/>
        </w:rPr>
        <w:t>يّة</w:t>
      </w:r>
      <w:r w:rsidRPr="007F5B58">
        <w:rPr>
          <w:rtl/>
        </w:rPr>
        <w:t>،</w:t>
      </w:r>
      <w:r w:rsidRPr="00FE4C18">
        <w:rPr>
          <w:rtl/>
        </w:rPr>
        <w:t xml:space="preserve"> أو </w:t>
      </w:r>
      <w:r>
        <w:rPr>
          <w:rtl/>
        </w:rPr>
        <w:t>ي</w:t>
      </w:r>
      <w:r w:rsidRPr="00FE4C18">
        <w:rPr>
          <w:rtl/>
        </w:rPr>
        <w:t>عتبر ترب</w:t>
      </w:r>
      <w:r>
        <w:rPr>
          <w:rtl/>
        </w:rPr>
        <w:t>ي</w:t>
      </w:r>
      <w:r w:rsidRPr="00FE4C18">
        <w:rPr>
          <w:rtl/>
        </w:rPr>
        <w:t xml:space="preserve">ة </w:t>
      </w:r>
      <w:r>
        <w:rPr>
          <w:rtl/>
        </w:rPr>
        <w:t>ا</w:t>
      </w:r>
      <w:r w:rsidRPr="00FE4C18">
        <w:rPr>
          <w:rtl/>
        </w:rPr>
        <w:t>لجن</w:t>
      </w:r>
      <w:r>
        <w:rPr>
          <w:rtl/>
        </w:rPr>
        <w:t>ي</w:t>
      </w:r>
      <w:r w:rsidRPr="00FE4C18">
        <w:rPr>
          <w:rtl/>
        </w:rPr>
        <w:t xml:space="preserve">ن في رحم </w:t>
      </w:r>
      <w:r>
        <w:rPr>
          <w:rtl/>
        </w:rPr>
        <w:t>ا</w:t>
      </w:r>
      <w:r w:rsidRPr="00FE4C18">
        <w:rPr>
          <w:rtl/>
        </w:rPr>
        <w:t>لمرأة</w:t>
      </w:r>
      <w:r>
        <w:rPr>
          <w:rtl/>
        </w:rPr>
        <w:t xml:space="preserve"> و</w:t>
      </w:r>
      <w:r w:rsidRPr="00FE4C18">
        <w:rPr>
          <w:rtl/>
        </w:rPr>
        <w:t>ولادته منها</w:t>
      </w:r>
      <w:r w:rsidRPr="007F5B58">
        <w:rPr>
          <w:rtl/>
        </w:rPr>
        <w:t>،</w:t>
      </w:r>
      <w:r w:rsidRPr="00FE4C18">
        <w:rPr>
          <w:rtl/>
        </w:rPr>
        <w:t xml:space="preserve"> أو </w:t>
      </w:r>
      <w:r>
        <w:rPr>
          <w:rtl/>
        </w:rPr>
        <w:t>ي</w:t>
      </w:r>
      <w:r w:rsidRPr="00FE4C18">
        <w:rPr>
          <w:rtl/>
        </w:rPr>
        <w:t xml:space="preserve">عتبرهما </w:t>
      </w:r>
      <w:r>
        <w:rPr>
          <w:rtl/>
        </w:rPr>
        <w:t>معاً</w:t>
      </w:r>
      <w:r w:rsidRPr="00FE4C18">
        <w:rPr>
          <w:rtl/>
        </w:rPr>
        <w:t xml:space="preserve">؟ </w:t>
      </w:r>
      <w:r>
        <w:rPr>
          <w:rtl/>
        </w:rPr>
        <w:t>ي</w:t>
      </w:r>
      <w:r w:rsidRPr="00FE4C18">
        <w:rPr>
          <w:rtl/>
        </w:rPr>
        <w:t xml:space="preserve">عتقد </w:t>
      </w:r>
      <w:r>
        <w:rPr>
          <w:rtl/>
        </w:rPr>
        <w:t>ا</w:t>
      </w:r>
      <w:r w:rsidRPr="00FE4C18">
        <w:rPr>
          <w:rtl/>
        </w:rPr>
        <w:t xml:space="preserve">لبعض أنَّ </w:t>
      </w:r>
      <w:r>
        <w:rPr>
          <w:rtl/>
        </w:rPr>
        <w:t>كلا ا</w:t>
      </w:r>
      <w:r w:rsidRPr="00FE4C18">
        <w:rPr>
          <w:rtl/>
        </w:rPr>
        <w:t>لأمر</w:t>
      </w:r>
      <w:r>
        <w:rPr>
          <w:rtl/>
        </w:rPr>
        <w:t>ي</w:t>
      </w:r>
      <w:r w:rsidRPr="00FE4C18">
        <w:rPr>
          <w:rtl/>
        </w:rPr>
        <w:t>ن واقع</w:t>
      </w:r>
      <w:r>
        <w:rPr>
          <w:rtl/>
        </w:rPr>
        <w:t>ي</w:t>
      </w:r>
      <w:r w:rsidRPr="00FE4C18">
        <w:rPr>
          <w:rtl/>
        </w:rPr>
        <w:t>ان</w:t>
      </w:r>
      <w:r w:rsidRPr="007F5B58">
        <w:rPr>
          <w:rtl/>
        </w:rPr>
        <w:t>،</w:t>
      </w:r>
      <w:r>
        <w:rPr>
          <w:rtl/>
        </w:rPr>
        <w:t xml:space="preserve"> وا</w:t>
      </w:r>
      <w:r w:rsidRPr="00FE4C18">
        <w:rPr>
          <w:rtl/>
        </w:rPr>
        <w:t xml:space="preserve">لموضوع بذاته </w:t>
      </w:r>
      <w:r>
        <w:rPr>
          <w:rtl/>
        </w:rPr>
        <w:t>ي</w:t>
      </w:r>
      <w:r w:rsidRPr="00FE4C18">
        <w:rPr>
          <w:rtl/>
        </w:rPr>
        <w:t>م</w:t>
      </w:r>
      <w:r>
        <w:rPr>
          <w:rtl/>
        </w:rPr>
        <w:t>ك</w:t>
      </w:r>
      <w:r w:rsidRPr="00FE4C18">
        <w:rPr>
          <w:rtl/>
        </w:rPr>
        <w:t xml:space="preserve">ن أن </w:t>
      </w:r>
      <w:r>
        <w:rPr>
          <w:rtl/>
        </w:rPr>
        <w:t>يك</w:t>
      </w:r>
      <w:r w:rsidRPr="00FE4C18">
        <w:rPr>
          <w:rtl/>
        </w:rPr>
        <w:t xml:space="preserve">ون مبدأ </w:t>
      </w:r>
      <w:r>
        <w:rPr>
          <w:rtl/>
        </w:rPr>
        <w:t>ا</w:t>
      </w:r>
      <w:r w:rsidRPr="00FE4C18">
        <w:rPr>
          <w:rtl/>
        </w:rPr>
        <w:t>ل</w:t>
      </w:r>
      <w:r>
        <w:rPr>
          <w:rtl/>
        </w:rPr>
        <w:t>ا</w:t>
      </w:r>
      <w:r w:rsidRPr="00FE4C18">
        <w:rPr>
          <w:rtl/>
        </w:rPr>
        <w:t>عتبار</w:t>
      </w:r>
      <w:r w:rsidRPr="00815C4C">
        <w:rPr>
          <w:rFonts w:cs="Taher"/>
          <w:vertAlign w:val="superscript"/>
          <w:rtl/>
        </w:rPr>
        <w:t>(</w:t>
      </w:r>
      <w:r w:rsidRPr="00815C4C">
        <w:rPr>
          <w:rFonts w:cs="Taher"/>
          <w:vertAlign w:val="superscript"/>
          <w:rtl/>
        </w:rPr>
        <w:footnoteReference w:id="932"/>
      </w:r>
      <w:r w:rsidRPr="00815C4C">
        <w:rPr>
          <w:rFonts w:cs="Taher"/>
          <w:vertAlign w:val="superscript"/>
          <w:rtl/>
        </w:rPr>
        <w:t>)</w:t>
      </w:r>
      <w:r>
        <w:rPr>
          <w:rtl/>
        </w:rPr>
        <w:t>.</w:t>
      </w:r>
    </w:p>
    <w:p w:rsidR="00391A35" w:rsidRPr="009368DE" w:rsidRDefault="009368DE" w:rsidP="009368DE">
      <w:pPr>
        <w:pStyle w:val="afffffc"/>
        <w:rPr>
          <w:sz w:val="12"/>
          <w:szCs w:val="10"/>
          <w:rtl/>
        </w:rPr>
      </w:pPr>
      <w:r>
        <w:rPr>
          <w:rtl/>
        </w:rPr>
        <w:tab/>
      </w:r>
    </w:p>
    <w:p w:rsidR="00391A35" w:rsidRPr="00FE4C18" w:rsidRDefault="00391A35" w:rsidP="009368DE">
      <w:pPr>
        <w:pStyle w:val="1"/>
        <w:rPr>
          <w:rtl/>
        </w:rPr>
      </w:pPr>
      <w:bookmarkStart w:id="507" w:name="_Toc275128214"/>
      <w:r w:rsidRPr="00FE4C18">
        <w:rPr>
          <w:rtl/>
        </w:rPr>
        <w:t>النت</w:t>
      </w:r>
      <w:r>
        <w:rPr>
          <w:rtl/>
        </w:rPr>
        <w:t>ي</w:t>
      </w:r>
      <w:r w:rsidRPr="00FE4C18">
        <w:rPr>
          <w:rtl/>
        </w:rPr>
        <w:t>جة</w:t>
      </w:r>
      <w:bookmarkEnd w:id="507"/>
      <w:r w:rsidRPr="00FE4C18">
        <w:rPr>
          <w:rtl/>
        </w:rPr>
        <w:t xml:space="preserve"> </w:t>
      </w:r>
    </w:p>
    <w:p w:rsidR="00391A35" w:rsidRPr="00FE4C18" w:rsidRDefault="00391A35" w:rsidP="00391A35">
      <w:pPr>
        <w:pStyle w:val="ac"/>
        <w:rPr>
          <w:rtl/>
        </w:rPr>
      </w:pPr>
      <w:r>
        <w:rPr>
          <w:rFonts w:hint="cs"/>
          <w:rtl/>
        </w:rPr>
        <w:t>ات</w:t>
      </w:r>
      <w:r w:rsidRPr="00FE4C18">
        <w:rPr>
          <w:rtl/>
        </w:rPr>
        <w:t>فاق</w:t>
      </w:r>
      <w:r>
        <w:rPr>
          <w:rtl/>
        </w:rPr>
        <w:t>ي</w:t>
      </w:r>
      <w:r w:rsidRPr="00FE4C18">
        <w:rPr>
          <w:rtl/>
        </w:rPr>
        <w:t xml:space="preserve">ة استعمال رحم </w:t>
      </w:r>
      <w:r>
        <w:rPr>
          <w:rtl/>
        </w:rPr>
        <w:t>ا</w:t>
      </w:r>
      <w:r w:rsidRPr="00FE4C18">
        <w:rPr>
          <w:rtl/>
        </w:rPr>
        <w:t>لمرأة هي عقد توافق امرأة بموجبه أن تحمل جن</w:t>
      </w:r>
      <w:r>
        <w:rPr>
          <w:rtl/>
        </w:rPr>
        <w:t>ي</w:t>
      </w:r>
      <w:r w:rsidRPr="00FE4C18">
        <w:rPr>
          <w:rtl/>
        </w:rPr>
        <w:t>ن زوج</w:t>
      </w:r>
      <w:r>
        <w:rPr>
          <w:rtl/>
        </w:rPr>
        <w:t>ي</w:t>
      </w:r>
      <w:r w:rsidRPr="00FE4C18">
        <w:rPr>
          <w:rtl/>
        </w:rPr>
        <w:t xml:space="preserve">ن </w:t>
      </w:r>
      <w:r w:rsidRPr="00FE4C18">
        <w:rPr>
          <w:rtl/>
        </w:rPr>
        <w:lastRenderedPageBreak/>
        <w:t>عاقر</w:t>
      </w:r>
      <w:r>
        <w:rPr>
          <w:rtl/>
        </w:rPr>
        <w:t>ي</w:t>
      </w:r>
      <w:r w:rsidRPr="00FE4C18">
        <w:rPr>
          <w:rtl/>
        </w:rPr>
        <w:t>ن أو غ</w:t>
      </w:r>
      <w:r>
        <w:rPr>
          <w:rtl/>
        </w:rPr>
        <w:t>ي</w:t>
      </w:r>
      <w:r w:rsidRPr="00FE4C18">
        <w:rPr>
          <w:rtl/>
        </w:rPr>
        <w:t>ر عاقر</w:t>
      </w:r>
      <w:r>
        <w:rPr>
          <w:rtl/>
        </w:rPr>
        <w:t>ي</w:t>
      </w:r>
      <w:r w:rsidRPr="00FE4C18">
        <w:rPr>
          <w:rtl/>
        </w:rPr>
        <w:t>ن</w:t>
      </w:r>
      <w:r w:rsidRPr="007F5B58">
        <w:rPr>
          <w:rtl/>
        </w:rPr>
        <w:t>،</w:t>
      </w:r>
      <w:r>
        <w:rPr>
          <w:rtl/>
        </w:rPr>
        <w:t xml:space="preserve"> و</w:t>
      </w:r>
      <w:r w:rsidRPr="00FE4C18">
        <w:rPr>
          <w:rtl/>
        </w:rPr>
        <w:t xml:space="preserve">بعد </w:t>
      </w:r>
      <w:r>
        <w:rPr>
          <w:rtl/>
        </w:rPr>
        <w:t>ا</w:t>
      </w:r>
      <w:r w:rsidRPr="00FE4C18">
        <w:rPr>
          <w:rtl/>
        </w:rPr>
        <w:t xml:space="preserve">لولادة </w:t>
      </w:r>
      <w:r>
        <w:rPr>
          <w:rtl/>
        </w:rPr>
        <w:t>تعطيه لهما</w:t>
      </w:r>
      <w:r w:rsidRPr="00FE4C18">
        <w:rPr>
          <w:rtl/>
        </w:rPr>
        <w:t xml:space="preserve">. </w:t>
      </w:r>
    </w:p>
    <w:p w:rsidR="00391A35" w:rsidRPr="00FE4C18" w:rsidRDefault="00391A35" w:rsidP="00391A35">
      <w:pPr>
        <w:pStyle w:val="ac"/>
        <w:rPr>
          <w:rtl/>
        </w:rPr>
      </w:pPr>
      <w:r>
        <w:rPr>
          <w:rtl/>
        </w:rPr>
        <w:t>ي</w:t>
      </w:r>
      <w:r w:rsidRPr="00FE4C18">
        <w:rPr>
          <w:rtl/>
        </w:rPr>
        <w:t>م</w:t>
      </w:r>
      <w:r>
        <w:rPr>
          <w:rtl/>
        </w:rPr>
        <w:t>ك</w:t>
      </w:r>
      <w:r w:rsidRPr="00FE4C18">
        <w:rPr>
          <w:rtl/>
        </w:rPr>
        <w:t>ن أن ت</w:t>
      </w:r>
      <w:r>
        <w:rPr>
          <w:rtl/>
        </w:rPr>
        <w:t>ك</w:t>
      </w:r>
      <w:r w:rsidRPr="00FE4C18">
        <w:rPr>
          <w:rtl/>
        </w:rPr>
        <w:t xml:space="preserve">ون </w:t>
      </w:r>
      <w:r>
        <w:rPr>
          <w:rtl/>
        </w:rPr>
        <w:t>ا</w:t>
      </w:r>
      <w:r w:rsidRPr="00FE4C18">
        <w:rPr>
          <w:rtl/>
        </w:rPr>
        <w:t>ل</w:t>
      </w:r>
      <w:r>
        <w:rPr>
          <w:rtl/>
        </w:rPr>
        <w:t>ا</w:t>
      </w:r>
      <w:r w:rsidRPr="00FE4C18">
        <w:rPr>
          <w:rtl/>
        </w:rPr>
        <w:t>تفاق</w:t>
      </w:r>
      <w:r>
        <w:rPr>
          <w:rtl/>
        </w:rPr>
        <w:t>ي</w:t>
      </w:r>
      <w:r w:rsidRPr="00FE4C18">
        <w:rPr>
          <w:rtl/>
        </w:rPr>
        <w:t>ة تجار</w:t>
      </w:r>
      <w:r>
        <w:rPr>
          <w:rtl/>
        </w:rPr>
        <w:t>يّة</w:t>
      </w:r>
      <w:r w:rsidRPr="00FE4C18">
        <w:rPr>
          <w:rtl/>
        </w:rPr>
        <w:t xml:space="preserve"> أو غ</w:t>
      </w:r>
      <w:r>
        <w:rPr>
          <w:rtl/>
        </w:rPr>
        <w:t>ي</w:t>
      </w:r>
      <w:r w:rsidRPr="00FE4C18">
        <w:rPr>
          <w:rtl/>
        </w:rPr>
        <w:t>ر تجار</w:t>
      </w:r>
      <w:r>
        <w:rPr>
          <w:rtl/>
        </w:rPr>
        <w:t>يّ</w:t>
      </w:r>
      <w:r w:rsidRPr="00FE4C18">
        <w:rPr>
          <w:rtl/>
        </w:rPr>
        <w:t>ة</w:t>
      </w:r>
      <w:r>
        <w:rPr>
          <w:rtl/>
        </w:rPr>
        <w:t>. و</w:t>
      </w:r>
      <w:r w:rsidRPr="00FE4C18">
        <w:rPr>
          <w:rtl/>
        </w:rPr>
        <w:t>في</w:t>
      </w:r>
      <w:r>
        <w:rPr>
          <w:rtl/>
        </w:rPr>
        <w:t xml:space="preserve"> </w:t>
      </w:r>
      <w:r w:rsidRPr="00FE4C18">
        <w:rPr>
          <w:rtl/>
        </w:rPr>
        <w:t>‌</w:t>
      </w:r>
      <w:r>
        <w:rPr>
          <w:rtl/>
        </w:rPr>
        <w:t>ا</w:t>
      </w:r>
      <w:r w:rsidRPr="00FE4C18">
        <w:rPr>
          <w:rtl/>
        </w:rPr>
        <w:t>لاتفاق</w:t>
      </w:r>
      <w:r>
        <w:rPr>
          <w:rtl/>
        </w:rPr>
        <w:t>ي</w:t>
      </w:r>
      <w:r w:rsidRPr="00FE4C18">
        <w:rPr>
          <w:rtl/>
        </w:rPr>
        <w:t xml:space="preserve">ة </w:t>
      </w:r>
      <w:r>
        <w:rPr>
          <w:rtl/>
        </w:rPr>
        <w:t>ا</w:t>
      </w:r>
      <w:r w:rsidRPr="00FE4C18">
        <w:rPr>
          <w:rtl/>
        </w:rPr>
        <w:t>لتجار</w:t>
      </w:r>
      <w:r>
        <w:rPr>
          <w:rtl/>
        </w:rPr>
        <w:t>ي</w:t>
      </w:r>
      <w:r w:rsidRPr="00FE4C18">
        <w:rPr>
          <w:rtl/>
        </w:rPr>
        <w:t xml:space="preserve">ة </w:t>
      </w:r>
      <w:r>
        <w:rPr>
          <w:rtl/>
        </w:rPr>
        <w:t>ي</w:t>
      </w:r>
      <w:r w:rsidRPr="00FE4C18">
        <w:rPr>
          <w:rtl/>
        </w:rPr>
        <w:t xml:space="preserve">دفع </w:t>
      </w:r>
      <w:r>
        <w:rPr>
          <w:rtl/>
        </w:rPr>
        <w:t>ا</w:t>
      </w:r>
      <w:r w:rsidRPr="00FE4C18">
        <w:rPr>
          <w:rtl/>
        </w:rPr>
        <w:t xml:space="preserve">لزوجان ثمناً إزاء خدمات صاحبة </w:t>
      </w:r>
      <w:r>
        <w:rPr>
          <w:rtl/>
        </w:rPr>
        <w:t>ا</w:t>
      </w:r>
      <w:r w:rsidRPr="00FE4C18">
        <w:rPr>
          <w:rtl/>
        </w:rPr>
        <w:t>لرحم</w:t>
      </w:r>
      <w:r w:rsidRPr="007F5B58">
        <w:rPr>
          <w:rtl/>
        </w:rPr>
        <w:t>،</w:t>
      </w:r>
      <w:r>
        <w:rPr>
          <w:rtl/>
        </w:rPr>
        <w:t xml:space="preserve"> و</w:t>
      </w:r>
      <w:r w:rsidRPr="00FE4C18">
        <w:rPr>
          <w:rtl/>
        </w:rPr>
        <w:t xml:space="preserve">هذا </w:t>
      </w:r>
      <w:r>
        <w:rPr>
          <w:rtl/>
        </w:rPr>
        <w:t>ا</w:t>
      </w:r>
      <w:r w:rsidRPr="00FE4C18">
        <w:rPr>
          <w:rtl/>
        </w:rPr>
        <w:t xml:space="preserve">لثمن </w:t>
      </w:r>
      <w:r>
        <w:rPr>
          <w:rtl/>
        </w:rPr>
        <w:t>ي</w:t>
      </w:r>
      <w:r w:rsidRPr="00FE4C18">
        <w:rPr>
          <w:rtl/>
        </w:rPr>
        <w:t xml:space="preserve">عتبر عوضاً عن </w:t>
      </w:r>
      <w:r>
        <w:rPr>
          <w:rtl/>
        </w:rPr>
        <w:t>ا</w:t>
      </w:r>
      <w:r w:rsidRPr="00FE4C18">
        <w:rPr>
          <w:rtl/>
        </w:rPr>
        <w:t xml:space="preserve">لتزامات صاحبة </w:t>
      </w:r>
      <w:r>
        <w:rPr>
          <w:rtl/>
        </w:rPr>
        <w:t>ا</w:t>
      </w:r>
      <w:r w:rsidRPr="00FE4C18">
        <w:rPr>
          <w:rtl/>
        </w:rPr>
        <w:t>لرحم</w:t>
      </w:r>
      <w:r>
        <w:rPr>
          <w:rtl/>
        </w:rPr>
        <w:t>.</w:t>
      </w:r>
      <w:r w:rsidRPr="00FE4C18">
        <w:rPr>
          <w:rtl/>
        </w:rPr>
        <w:t xml:space="preserve"> </w:t>
      </w:r>
    </w:p>
    <w:p w:rsidR="00391A35" w:rsidRPr="00FE4C18" w:rsidRDefault="00391A35" w:rsidP="00391A35">
      <w:pPr>
        <w:pStyle w:val="ac"/>
        <w:rPr>
          <w:rtl/>
        </w:rPr>
      </w:pPr>
      <w:r w:rsidRPr="00FE4C18">
        <w:rPr>
          <w:rtl/>
        </w:rPr>
        <w:t xml:space="preserve">و </w:t>
      </w:r>
      <w:r>
        <w:rPr>
          <w:rtl/>
        </w:rPr>
        <w:t>ي</w:t>
      </w:r>
      <w:r w:rsidRPr="00FE4C18">
        <w:rPr>
          <w:rtl/>
        </w:rPr>
        <w:t xml:space="preserve">عتقد </w:t>
      </w:r>
      <w:r>
        <w:rPr>
          <w:rtl/>
        </w:rPr>
        <w:t>ك</w:t>
      </w:r>
      <w:r w:rsidRPr="00FE4C18">
        <w:rPr>
          <w:rtl/>
        </w:rPr>
        <w:t>ث</w:t>
      </w:r>
      <w:r>
        <w:rPr>
          <w:rtl/>
        </w:rPr>
        <w:t>ي</w:t>
      </w:r>
      <w:r w:rsidRPr="00FE4C18">
        <w:rPr>
          <w:rtl/>
        </w:rPr>
        <w:t xml:space="preserve">ر من </w:t>
      </w:r>
      <w:r>
        <w:rPr>
          <w:rtl/>
        </w:rPr>
        <w:t>ا</w:t>
      </w:r>
      <w:r w:rsidRPr="00FE4C18">
        <w:rPr>
          <w:rtl/>
        </w:rPr>
        <w:t xml:space="preserve">لفقهاء </w:t>
      </w:r>
      <w:r>
        <w:rPr>
          <w:rtl/>
        </w:rPr>
        <w:t xml:space="preserve">بجواز </w:t>
      </w:r>
      <w:r w:rsidRPr="00FE4C18">
        <w:rPr>
          <w:rtl/>
        </w:rPr>
        <w:t xml:space="preserve">أخذ أجرة في مقابل هذا </w:t>
      </w:r>
      <w:r>
        <w:rPr>
          <w:rtl/>
        </w:rPr>
        <w:t>ا</w:t>
      </w:r>
      <w:r w:rsidRPr="00FE4C18">
        <w:rPr>
          <w:rtl/>
        </w:rPr>
        <w:t xml:space="preserve">لعمل. </w:t>
      </w:r>
    </w:p>
    <w:p w:rsidR="00391A35" w:rsidRPr="00FE4C18" w:rsidRDefault="00391A35" w:rsidP="00391A35">
      <w:pPr>
        <w:pStyle w:val="ac"/>
        <w:rPr>
          <w:rtl/>
        </w:rPr>
      </w:pPr>
      <w:r>
        <w:rPr>
          <w:rtl/>
        </w:rPr>
        <w:t>تـن</w:t>
      </w:r>
      <w:r w:rsidRPr="00FE4C18">
        <w:rPr>
          <w:rtl/>
        </w:rPr>
        <w:t xml:space="preserve">عقد هذه </w:t>
      </w:r>
      <w:r>
        <w:rPr>
          <w:rtl/>
        </w:rPr>
        <w:t>ا</w:t>
      </w:r>
      <w:r w:rsidRPr="00FE4C18">
        <w:rPr>
          <w:rtl/>
        </w:rPr>
        <w:t>لاتفاق</w:t>
      </w:r>
      <w:r>
        <w:rPr>
          <w:rtl/>
        </w:rPr>
        <w:t>ي</w:t>
      </w:r>
      <w:r w:rsidRPr="00FE4C18">
        <w:rPr>
          <w:rtl/>
        </w:rPr>
        <w:t>ة‌ بإرادت</w:t>
      </w:r>
      <w:r>
        <w:rPr>
          <w:rtl/>
        </w:rPr>
        <w:t>ي</w:t>
      </w:r>
      <w:r w:rsidRPr="00FE4C18">
        <w:rPr>
          <w:rtl/>
        </w:rPr>
        <w:t>ن (إرادة</w:t>
      </w:r>
      <w:r>
        <w:rPr>
          <w:rtl/>
        </w:rPr>
        <w:t xml:space="preserve"> </w:t>
      </w:r>
      <w:r w:rsidRPr="00FE4C18">
        <w:rPr>
          <w:rtl/>
        </w:rPr>
        <w:t>‌</w:t>
      </w:r>
      <w:r>
        <w:rPr>
          <w:rtl/>
        </w:rPr>
        <w:t>ا</w:t>
      </w:r>
      <w:r w:rsidRPr="00FE4C18">
        <w:rPr>
          <w:rtl/>
        </w:rPr>
        <w:t>لزوج</w:t>
      </w:r>
      <w:r>
        <w:rPr>
          <w:rtl/>
        </w:rPr>
        <w:t>ي</w:t>
      </w:r>
      <w:r w:rsidRPr="00FE4C18">
        <w:rPr>
          <w:rtl/>
        </w:rPr>
        <w:t>ن</w:t>
      </w:r>
      <w:r w:rsidRPr="007F5B58">
        <w:rPr>
          <w:rtl/>
        </w:rPr>
        <w:t>؛</w:t>
      </w:r>
      <w:r w:rsidRPr="00FE4C18">
        <w:rPr>
          <w:rtl/>
        </w:rPr>
        <w:t xml:space="preserve"> وإرادة صاحبة </w:t>
      </w:r>
      <w:r>
        <w:rPr>
          <w:rtl/>
        </w:rPr>
        <w:t>ا</w:t>
      </w:r>
      <w:r w:rsidRPr="00FE4C18">
        <w:rPr>
          <w:rtl/>
        </w:rPr>
        <w:t>لرحم)</w:t>
      </w:r>
      <w:r>
        <w:rPr>
          <w:rtl/>
        </w:rPr>
        <w:t>. وا</w:t>
      </w:r>
      <w:r w:rsidRPr="00FE4C18">
        <w:rPr>
          <w:rtl/>
        </w:rPr>
        <w:t xml:space="preserve">لهدف من </w:t>
      </w:r>
      <w:r>
        <w:rPr>
          <w:rtl/>
        </w:rPr>
        <w:t>ا</w:t>
      </w:r>
      <w:r w:rsidRPr="00FE4C18">
        <w:rPr>
          <w:rtl/>
        </w:rPr>
        <w:t xml:space="preserve">لموافقة إقامة </w:t>
      </w:r>
      <w:r>
        <w:rPr>
          <w:rtl/>
        </w:rPr>
        <w:t>ا</w:t>
      </w:r>
      <w:r w:rsidRPr="00FE4C18">
        <w:rPr>
          <w:rtl/>
        </w:rPr>
        <w:t>لالتزام للطرف</w:t>
      </w:r>
      <w:r>
        <w:rPr>
          <w:rtl/>
        </w:rPr>
        <w:t>ي</w:t>
      </w:r>
      <w:r w:rsidRPr="00FE4C18">
        <w:rPr>
          <w:rtl/>
        </w:rPr>
        <w:t>ن</w:t>
      </w:r>
      <w:r>
        <w:rPr>
          <w:rtl/>
        </w:rPr>
        <w:t>.</w:t>
      </w:r>
      <w:r w:rsidRPr="00FE4C18">
        <w:rPr>
          <w:rtl/>
        </w:rPr>
        <w:t xml:space="preserve"> </w:t>
      </w:r>
      <w:r>
        <w:rPr>
          <w:rtl/>
        </w:rPr>
        <w:t>و</w:t>
      </w:r>
      <w:r w:rsidRPr="00FE4C18">
        <w:rPr>
          <w:rtl/>
        </w:rPr>
        <w:t>إضافة إل</w:t>
      </w:r>
      <w:r>
        <w:rPr>
          <w:rtl/>
        </w:rPr>
        <w:t>ى ا</w:t>
      </w:r>
      <w:r w:rsidRPr="00FE4C18">
        <w:rPr>
          <w:rtl/>
        </w:rPr>
        <w:t>لشر</w:t>
      </w:r>
      <w:r>
        <w:rPr>
          <w:rFonts w:hint="cs"/>
          <w:rtl/>
        </w:rPr>
        <w:t>و</w:t>
      </w:r>
      <w:r w:rsidRPr="00FE4C18">
        <w:rPr>
          <w:rtl/>
        </w:rPr>
        <w:t xml:space="preserve">ط </w:t>
      </w:r>
      <w:r>
        <w:rPr>
          <w:rtl/>
        </w:rPr>
        <w:t>ا</w:t>
      </w:r>
      <w:r w:rsidRPr="00FE4C18">
        <w:rPr>
          <w:rtl/>
        </w:rPr>
        <w:t xml:space="preserve">لعامة </w:t>
      </w:r>
      <w:r>
        <w:rPr>
          <w:rtl/>
        </w:rPr>
        <w:t>ا</w:t>
      </w:r>
      <w:r w:rsidRPr="00FE4C18">
        <w:rPr>
          <w:rtl/>
        </w:rPr>
        <w:t xml:space="preserve">لتي تحملها </w:t>
      </w:r>
      <w:r>
        <w:rPr>
          <w:rtl/>
        </w:rPr>
        <w:t>ا</w:t>
      </w:r>
      <w:r w:rsidRPr="00FE4C18">
        <w:rPr>
          <w:rtl/>
        </w:rPr>
        <w:t>لاتفاق</w:t>
      </w:r>
      <w:r>
        <w:rPr>
          <w:rtl/>
        </w:rPr>
        <w:t>ي</w:t>
      </w:r>
      <w:r w:rsidRPr="00FE4C18">
        <w:rPr>
          <w:rtl/>
        </w:rPr>
        <w:t>ات (المذ</w:t>
      </w:r>
      <w:r>
        <w:rPr>
          <w:rtl/>
        </w:rPr>
        <w:t>ك</w:t>
      </w:r>
      <w:r w:rsidRPr="00FE4C18">
        <w:rPr>
          <w:rtl/>
        </w:rPr>
        <w:t xml:space="preserve">ورة في‌ مادة 190 من </w:t>
      </w:r>
      <w:r>
        <w:rPr>
          <w:rtl/>
        </w:rPr>
        <w:t>ا</w:t>
      </w:r>
      <w:r w:rsidRPr="00FE4C18">
        <w:rPr>
          <w:rtl/>
        </w:rPr>
        <w:t xml:space="preserve">لقانون </w:t>
      </w:r>
      <w:r>
        <w:rPr>
          <w:rtl/>
        </w:rPr>
        <w:t>ا</w:t>
      </w:r>
      <w:r w:rsidRPr="00FE4C18">
        <w:rPr>
          <w:rtl/>
        </w:rPr>
        <w:t xml:space="preserve">لمدني) </w:t>
      </w:r>
      <w:r>
        <w:rPr>
          <w:rtl/>
        </w:rPr>
        <w:t>ي</w:t>
      </w:r>
      <w:r w:rsidRPr="00FE4C18">
        <w:rPr>
          <w:rtl/>
        </w:rPr>
        <w:t xml:space="preserve">جب أن تحمل </w:t>
      </w:r>
      <w:r>
        <w:rPr>
          <w:rtl/>
        </w:rPr>
        <w:t>ا</w:t>
      </w:r>
      <w:r w:rsidRPr="00FE4C18">
        <w:rPr>
          <w:rtl/>
        </w:rPr>
        <w:t>لاتفاق</w:t>
      </w:r>
      <w:r>
        <w:rPr>
          <w:rtl/>
        </w:rPr>
        <w:t>ي</w:t>
      </w:r>
      <w:r w:rsidRPr="00FE4C18">
        <w:rPr>
          <w:rtl/>
        </w:rPr>
        <w:t xml:space="preserve">ة </w:t>
      </w:r>
      <w:r>
        <w:rPr>
          <w:rtl/>
        </w:rPr>
        <w:t>ا</w:t>
      </w:r>
      <w:r w:rsidRPr="00FE4C18">
        <w:rPr>
          <w:rtl/>
        </w:rPr>
        <w:t xml:space="preserve">لشروط </w:t>
      </w:r>
      <w:r>
        <w:rPr>
          <w:rtl/>
        </w:rPr>
        <w:t>ا</w:t>
      </w:r>
      <w:r w:rsidRPr="00FE4C18">
        <w:rPr>
          <w:rtl/>
        </w:rPr>
        <w:t>لخاصة أ</w:t>
      </w:r>
      <w:r>
        <w:rPr>
          <w:rtl/>
        </w:rPr>
        <w:t>ي</w:t>
      </w:r>
      <w:r w:rsidRPr="00FE4C18">
        <w:rPr>
          <w:rtl/>
        </w:rPr>
        <w:t>ضاً</w:t>
      </w:r>
      <w:r>
        <w:rPr>
          <w:rtl/>
        </w:rPr>
        <w:t>. وبما أنه</w:t>
      </w:r>
      <w:r w:rsidRPr="00FE4C18">
        <w:rPr>
          <w:rtl/>
        </w:rPr>
        <w:t xml:space="preserve"> في اتفاق</w:t>
      </w:r>
      <w:r>
        <w:rPr>
          <w:rtl/>
        </w:rPr>
        <w:t>ي</w:t>
      </w:r>
      <w:r w:rsidRPr="00FE4C18">
        <w:rPr>
          <w:rtl/>
        </w:rPr>
        <w:t xml:space="preserve">ة استخدام رحم </w:t>
      </w:r>
      <w:r>
        <w:rPr>
          <w:rtl/>
        </w:rPr>
        <w:t>ا</w:t>
      </w:r>
      <w:r w:rsidRPr="00FE4C18">
        <w:rPr>
          <w:rtl/>
        </w:rPr>
        <w:t xml:space="preserve">لمرأة </w:t>
      </w:r>
      <w:r>
        <w:rPr>
          <w:rtl/>
        </w:rPr>
        <w:t>ي</w:t>
      </w:r>
      <w:r w:rsidRPr="00FE4C18">
        <w:rPr>
          <w:rtl/>
        </w:rPr>
        <w:t xml:space="preserve">نقل عدد من </w:t>
      </w:r>
      <w:r>
        <w:rPr>
          <w:rtl/>
        </w:rPr>
        <w:t>ا</w:t>
      </w:r>
      <w:r w:rsidRPr="00FE4C18">
        <w:rPr>
          <w:rtl/>
        </w:rPr>
        <w:t>لأجنة إل</w:t>
      </w:r>
      <w:r>
        <w:rPr>
          <w:rtl/>
        </w:rPr>
        <w:t xml:space="preserve">ى </w:t>
      </w:r>
      <w:r w:rsidRPr="00FE4C18">
        <w:rPr>
          <w:rtl/>
        </w:rPr>
        <w:t xml:space="preserve">رحم </w:t>
      </w:r>
      <w:r>
        <w:rPr>
          <w:rtl/>
        </w:rPr>
        <w:t>ا</w:t>
      </w:r>
      <w:r w:rsidRPr="00FE4C18">
        <w:rPr>
          <w:rtl/>
        </w:rPr>
        <w:t>لمرأة</w:t>
      </w:r>
      <w:r w:rsidRPr="007F5B58">
        <w:rPr>
          <w:rtl/>
        </w:rPr>
        <w:t>،</w:t>
      </w:r>
      <w:r>
        <w:rPr>
          <w:rtl/>
        </w:rPr>
        <w:t xml:space="preserve"> و</w:t>
      </w:r>
      <w:r w:rsidRPr="00FE4C18">
        <w:rPr>
          <w:rtl/>
        </w:rPr>
        <w:t>ل</w:t>
      </w:r>
      <w:r>
        <w:rPr>
          <w:rtl/>
        </w:rPr>
        <w:t>ي</w:t>
      </w:r>
      <w:r w:rsidRPr="00FE4C18">
        <w:rPr>
          <w:rtl/>
        </w:rPr>
        <w:t xml:space="preserve">س بمعلوم </w:t>
      </w:r>
      <w:r>
        <w:rPr>
          <w:rtl/>
        </w:rPr>
        <w:t>ك</w:t>
      </w:r>
      <w:r w:rsidRPr="00FE4C18">
        <w:rPr>
          <w:rtl/>
        </w:rPr>
        <w:t xml:space="preserve">م منها </w:t>
      </w:r>
      <w:r>
        <w:rPr>
          <w:rtl/>
        </w:rPr>
        <w:t>ي</w:t>
      </w:r>
      <w:r w:rsidRPr="00FE4C18">
        <w:rPr>
          <w:rtl/>
        </w:rPr>
        <w:t>نتهي إل</w:t>
      </w:r>
      <w:r>
        <w:rPr>
          <w:rtl/>
        </w:rPr>
        <w:t>ى ا</w:t>
      </w:r>
      <w:r w:rsidRPr="00FE4C18">
        <w:rPr>
          <w:rtl/>
        </w:rPr>
        <w:t>لحبل</w:t>
      </w:r>
      <w:r w:rsidRPr="007F5B58">
        <w:rPr>
          <w:rtl/>
        </w:rPr>
        <w:t>،</w:t>
      </w:r>
      <w:r w:rsidRPr="00FE4C18">
        <w:rPr>
          <w:rtl/>
        </w:rPr>
        <w:t xml:space="preserve"> ف</w:t>
      </w:r>
      <w:r>
        <w:rPr>
          <w:rtl/>
        </w:rPr>
        <w:t xml:space="preserve">إن </w:t>
      </w:r>
      <w:r w:rsidRPr="00FE4C18">
        <w:rPr>
          <w:rtl/>
        </w:rPr>
        <w:t>تع</w:t>
      </w:r>
      <w:r>
        <w:rPr>
          <w:rtl/>
        </w:rPr>
        <w:t>يي</w:t>
      </w:r>
      <w:r w:rsidRPr="00FE4C18">
        <w:rPr>
          <w:rtl/>
        </w:rPr>
        <w:t xml:space="preserve">ن </w:t>
      </w:r>
      <w:r>
        <w:rPr>
          <w:rtl/>
        </w:rPr>
        <w:t>ا</w:t>
      </w:r>
      <w:r w:rsidRPr="00FE4C18">
        <w:rPr>
          <w:rtl/>
        </w:rPr>
        <w:t>لش</w:t>
      </w:r>
      <w:r>
        <w:rPr>
          <w:rtl/>
        </w:rPr>
        <w:t>يء</w:t>
      </w:r>
      <w:r w:rsidRPr="00FE4C18">
        <w:rPr>
          <w:rtl/>
        </w:rPr>
        <w:t xml:space="preserve"> </w:t>
      </w:r>
      <w:r>
        <w:rPr>
          <w:rtl/>
        </w:rPr>
        <w:t>ا</w:t>
      </w:r>
      <w:r w:rsidRPr="00FE4C18">
        <w:rPr>
          <w:rtl/>
        </w:rPr>
        <w:t>لمتفق عل</w:t>
      </w:r>
      <w:r>
        <w:rPr>
          <w:rtl/>
        </w:rPr>
        <w:t>ي</w:t>
      </w:r>
      <w:r w:rsidRPr="00FE4C18">
        <w:rPr>
          <w:rtl/>
        </w:rPr>
        <w:t xml:space="preserve">ه في </w:t>
      </w:r>
      <w:r>
        <w:rPr>
          <w:rtl/>
        </w:rPr>
        <w:t>ا</w:t>
      </w:r>
      <w:r w:rsidRPr="00FE4C18">
        <w:rPr>
          <w:rtl/>
        </w:rPr>
        <w:t>لالتزام غ</w:t>
      </w:r>
      <w:r>
        <w:rPr>
          <w:rtl/>
        </w:rPr>
        <w:t>ي</w:t>
      </w:r>
      <w:r w:rsidRPr="00FE4C18">
        <w:rPr>
          <w:rtl/>
        </w:rPr>
        <w:t>ر معلوم بصورة دق</w:t>
      </w:r>
      <w:r>
        <w:rPr>
          <w:rtl/>
        </w:rPr>
        <w:t>ي</w:t>
      </w:r>
      <w:r w:rsidRPr="00FE4C18">
        <w:rPr>
          <w:rtl/>
        </w:rPr>
        <w:t>قة</w:t>
      </w:r>
      <w:r>
        <w:rPr>
          <w:rtl/>
        </w:rPr>
        <w:t>.</w:t>
      </w:r>
      <w:r w:rsidRPr="00FE4C18">
        <w:rPr>
          <w:rtl/>
        </w:rPr>
        <w:t xml:space="preserve"> </w:t>
      </w:r>
      <w:r>
        <w:rPr>
          <w:rtl/>
        </w:rPr>
        <w:t>إن ا</w:t>
      </w:r>
      <w:r w:rsidRPr="00FE4C18">
        <w:rPr>
          <w:rtl/>
        </w:rPr>
        <w:t xml:space="preserve">لتزام صاحبة </w:t>
      </w:r>
      <w:r>
        <w:rPr>
          <w:rtl/>
        </w:rPr>
        <w:t>ا</w:t>
      </w:r>
      <w:r w:rsidRPr="00FE4C18">
        <w:rPr>
          <w:rtl/>
        </w:rPr>
        <w:t xml:space="preserve">لرحم </w:t>
      </w:r>
      <w:r>
        <w:rPr>
          <w:rtl/>
        </w:rPr>
        <w:t>ي</w:t>
      </w:r>
      <w:r w:rsidRPr="00FE4C18">
        <w:rPr>
          <w:rtl/>
        </w:rPr>
        <w:t>عني ترب</w:t>
      </w:r>
      <w:r>
        <w:rPr>
          <w:rtl/>
        </w:rPr>
        <w:t>ي</w:t>
      </w:r>
      <w:r w:rsidRPr="00FE4C18">
        <w:rPr>
          <w:rtl/>
        </w:rPr>
        <w:t xml:space="preserve">ة </w:t>
      </w:r>
      <w:r>
        <w:rPr>
          <w:rtl/>
        </w:rPr>
        <w:t>ا</w:t>
      </w:r>
      <w:r w:rsidRPr="00FE4C18">
        <w:rPr>
          <w:rtl/>
        </w:rPr>
        <w:t>لجن</w:t>
      </w:r>
      <w:r>
        <w:rPr>
          <w:rtl/>
        </w:rPr>
        <w:t>ي</w:t>
      </w:r>
      <w:r w:rsidRPr="00FE4C18">
        <w:rPr>
          <w:rtl/>
        </w:rPr>
        <w:t>ن</w:t>
      </w:r>
      <w:r w:rsidRPr="007F5B58">
        <w:rPr>
          <w:rtl/>
        </w:rPr>
        <w:t>،</w:t>
      </w:r>
      <w:r>
        <w:rPr>
          <w:rtl/>
        </w:rPr>
        <w:t xml:space="preserve"> وا</w:t>
      </w:r>
      <w:r w:rsidRPr="00FE4C18">
        <w:rPr>
          <w:rtl/>
        </w:rPr>
        <w:t xml:space="preserve">لالتزام بالحمل </w:t>
      </w:r>
      <w:r>
        <w:rPr>
          <w:rtl/>
        </w:rPr>
        <w:t>ي</w:t>
      </w:r>
      <w:r w:rsidRPr="00FE4C18">
        <w:rPr>
          <w:rtl/>
        </w:rPr>
        <w:t xml:space="preserve">سبق </w:t>
      </w:r>
      <w:r>
        <w:rPr>
          <w:rtl/>
        </w:rPr>
        <w:t>ا</w:t>
      </w:r>
      <w:r w:rsidRPr="00FE4C18">
        <w:rPr>
          <w:rtl/>
        </w:rPr>
        <w:t>لالتزام بترب</w:t>
      </w:r>
      <w:r>
        <w:rPr>
          <w:rtl/>
        </w:rPr>
        <w:t>ي</w:t>
      </w:r>
      <w:r w:rsidRPr="00FE4C18">
        <w:rPr>
          <w:rtl/>
        </w:rPr>
        <w:t xml:space="preserve">ة </w:t>
      </w:r>
      <w:r>
        <w:rPr>
          <w:rtl/>
        </w:rPr>
        <w:t>ا</w:t>
      </w:r>
      <w:r w:rsidRPr="00FE4C18">
        <w:rPr>
          <w:rtl/>
        </w:rPr>
        <w:t>لجن</w:t>
      </w:r>
      <w:r>
        <w:rPr>
          <w:rtl/>
        </w:rPr>
        <w:t>ي</w:t>
      </w:r>
      <w:r w:rsidRPr="00FE4C18">
        <w:rPr>
          <w:rtl/>
        </w:rPr>
        <w:t>ن</w:t>
      </w:r>
      <w:r w:rsidRPr="007F5B58">
        <w:rPr>
          <w:rtl/>
        </w:rPr>
        <w:t>،</w:t>
      </w:r>
      <w:r>
        <w:rPr>
          <w:rtl/>
        </w:rPr>
        <w:t xml:space="preserve"> و</w:t>
      </w:r>
      <w:r w:rsidRPr="00FE4C18">
        <w:rPr>
          <w:rtl/>
        </w:rPr>
        <w:t xml:space="preserve">لأنَّ </w:t>
      </w:r>
      <w:r>
        <w:rPr>
          <w:rtl/>
        </w:rPr>
        <w:t>ا</w:t>
      </w:r>
      <w:r w:rsidRPr="00FE4C18">
        <w:rPr>
          <w:rtl/>
        </w:rPr>
        <w:t xml:space="preserve">لحمل </w:t>
      </w:r>
      <w:r>
        <w:rPr>
          <w:rtl/>
        </w:rPr>
        <w:t>ي</w:t>
      </w:r>
      <w:r w:rsidRPr="00FE4C18">
        <w:rPr>
          <w:rtl/>
        </w:rPr>
        <w:t>تم بصورة</w:t>
      </w:r>
      <w:r>
        <w:rPr>
          <w:rtl/>
        </w:rPr>
        <w:t xml:space="preserve"> </w:t>
      </w:r>
      <w:r w:rsidRPr="00FE4C18">
        <w:rPr>
          <w:rtl/>
        </w:rPr>
        <w:t>طب</w:t>
      </w:r>
      <w:r>
        <w:rPr>
          <w:rtl/>
        </w:rPr>
        <w:t>ي</w:t>
      </w:r>
      <w:r w:rsidRPr="00FE4C18">
        <w:rPr>
          <w:rtl/>
        </w:rPr>
        <w:t>ع</w:t>
      </w:r>
      <w:r>
        <w:rPr>
          <w:rtl/>
        </w:rPr>
        <w:t>يّ</w:t>
      </w:r>
      <w:r w:rsidRPr="00FE4C18">
        <w:rPr>
          <w:rtl/>
        </w:rPr>
        <w:t xml:space="preserve">ة </w:t>
      </w:r>
      <w:r>
        <w:rPr>
          <w:rtl/>
        </w:rPr>
        <w:t>ي</w:t>
      </w:r>
      <w:r w:rsidRPr="00FE4C18">
        <w:rPr>
          <w:rtl/>
        </w:rPr>
        <w:t xml:space="preserve">خرج </w:t>
      </w:r>
      <w:r>
        <w:rPr>
          <w:rtl/>
        </w:rPr>
        <w:t>ا</w:t>
      </w:r>
      <w:r w:rsidRPr="00FE4C18">
        <w:rPr>
          <w:rtl/>
        </w:rPr>
        <w:t xml:space="preserve">لحمل من قدرة صاحبة </w:t>
      </w:r>
      <w:r>
        <w:rPr>
          <w:rtl/>
        </w:rPr>
        <w:t>ا</w:t>
      </w:r>
      <w:r w:rsidRPr="00FE4C18">
        <w:rPr>
          <w:rtl/>
        </w:rPr>
        <w:t>لرحم</w:t>
      </w:r>
      <w:r>
        <w:rPr>
          <w:rtl/>
        </w:rPr>
        <w:t>.</w:t>
      </w:r>
      <w:r w:rsidRPr="00FE4C18">
        <w:rPr>
          <w:rtl/>
        </w:rPr>
        <w:t xml:space="preserve"> </w:t>
      </w:r>
    </w:p>
    <w:p w:rsidR="00391A35" w:rsidRPr="00FE4C18" w:rsidRDefault="00391A35" w:rsidP="00391A35">
      <w:pPr>
        <w:pStyle w:val="ac"/>
        <w:rPr>
          <w:rtl/>
        </w:rPr>
      </w:pPr>
      <w:r w:rsidRPr="00FE4C18">
        <w:rPr>
          <w:rtl/>
        </w:rPr>
        <w:t>ترتبط شرع</w:t>
      </w:r>
      <w:r>
        <w:rPr>
          <w:rtl/>
        </w:rPr>
        <w:t>يّ</w:t>
      </w:r>
      <w:r w:rsidRPr="00FE4C18">
        <w:rPr>
          <w:rtl/>
        </w:rPr>
        <w:t xml:space="preserve">ة هذه </w:t>
      </w:r>
      <w:r>
        <w:rPr>
          <w:rtl/>
        </w:rPr>
        <w:t>ا</w:t>
      </w:r>
      <w:r w:rsidRPr="00FE4C18">
        <w:rPr>
          <w:rtl/>
        </w:rPr>
        <w:t>لاتفاق</w:t>
      </w:r>
      <w:r>
        <w:rPr>
          <w:rtl/>
        </w:rPr>
        <w:t>ي</w:t>
      </w:r>
      <w:r w:rsidRPr="00FE4C18">
        <w:rPr>
          <w:rtl/>
        </w:rPr>
        <w:t>ة بشرع</w:t>
      </w:r>
      <w:r>
        <w:rPr>
          <w:rtl/>
        </w:rPr>
        <w:t>يّ</w:t>
      </w:r>
      <w:r w:rsidRPr="00FE4C18">
        <w:rPr>
          <w:rtl/>
        </w:rPr>
        <w:t>ة موضوعي (التلق</w:t>
      </w:r>
      <w:r>
        <w:rPr>
          <w:rtl/>
        </w:rPr>
        <w:t>ي</w:t>
      </w:r>
      <w:r w:rsidRPr="00FE4C18">
        <w:rPr>
          <w:rtl/>
        </w:rPr>
        <w:t xml:space="preserve">ح </w:t>
      </w:r>
      <w:r>
        <w:rPr>
          <w:rtl/>
        </w:rPr>
        <w:t>ا</w:t>
      </w:r>
      <w:r w:rsidRPr="00FE4C18">
        <w:rPr>
          <w:rtl/>
        </w:rPr>
        <w:t>لصناعي)</w:t>
      </w:r>
      <w:r>
        <w:rPr>
          <w:rtl/>
        </w:rPr>
        <w:t xml:space="preserve"> و</w:t>
      </w:r>
      <w:r w:rsidRPr="00FE4C18">
        <w:rPr>
          <w:rtl/>
        </w:rPr>
        <w:t xml:space="preserve">(نقل </w:t>
      </w:r>
      <w:r>
        <w:rPr>
          <w:rtl/>
        </w:rPr>
        <w:t>ا</w:t>
      </w:r>
      <w:r w:rsidRPr="00FE4C18">
        <w:rPr>
          <w:rtl/>
        </w:rPr>
        <w:t>لجن</w:t>
      </w:r>
      <w:r>
        <w:rPr>
          <w:rtl/>
        </w:rPr>
        <w:t>ي</w:t>
      </w:r>
      <w:r w:rsidRPr="00FE4C18">
        <w:rPr>
          <w:rtl/>
        </w:rPr>
        <w:t>ن)</w:t>
      </w:r>
      <w:r w:rsidRPr="007F5B58">
        <w:rPr>
          <w:rtl/>
        </w:rPr>
        <w:t>،</w:t>
      </w:r>
      <w:r>
        <w:rPr>
          <w:rtl/>
        </w:rPr>
        <w:t xml:space="preserve"> وا</w:t>
      </w:r>
      <w:r w:rsidRPr="00FE4C18">
        <w:rPr>
          <w:rtl/>
        </w:rPr>
        <w:t xml:space="preserve">لقانون </w:t>
      </w:r>
      <w:r>
        <w:rPr>
          <w:rtl/>
        </w:rPr>
        <w:t>ا</w:t>
      </w:r>
      <w:r w:rsidRPr="00FE4C18">
        <w:rPr>
          <w:rtl/>
        </w:rPr>
        <w:t>ل</w:t>
      </w:r>
      <w:r>
        <w:rPr>
          <w:rFonts w:hint="cs"/>
          <w:rtl/>
        </w:rPr>
        <w:t>إ</w:t>
      </w:r>
      <w:r>
        <w:rPr>
          <w:rtl/>
        </w:rPr>
        <w:t>ي</w:t>
      </w:r>
      <w:r w:rsidRPr="00FE4C18">
        <w:rPr>
          <w:rtl/>
        </w:rPr>
        <w:t>راني لا</w:t>
      </w:r>
      <w:r>
        <w:rPr>
          <w:rtl/>
        </w:rPr>
        <w:t>ي</w:t>
      </w:r>
      <w:r w:rsidRPr="00FE4C18">
        <w:rPr>
          <w:rtl/>
        </w:rPr>
        <w:t>منع من ذل</w:t>
      </w:r>
      <w:r>
        <w:rPr>
          <w:rtl/>
        </w:rPr>
        <w:t>ك</w:t>
      </w:r>
      <w:r w:rsidRPr="007F5B58">
        <w:rPr>
          <w:rtl/>
        </w:rPr>
        <w:t>،</w:t>
      </w:r>
      <w:r>
        <w:rPr>
          <w:rtl/>
        </w:rPr>
        <w:t xml:space="preserve"> و</w:t>
      </w:r>
      <w:r w:rsidRPr="00FE4C18">
        <w:rPr>
          <w:rtl/>
        </w:rPr>
        <w:t>ل</w:t>
      </w:r>
      <w:r>
        <w:rPr>
          <w:rtl/>
        </w:rPr>
        <w:t>ك</w:t>
      </w:r>
      <w:r w:rsidRPr="00FE4C18">
        <w:rPr>
          <w:rtl/>
        </w:rPr>
        <w:t>ن</w:t>
      </w:r>
      <w:r>
        <w:rPr>
          <w:rtl/>
        </w:rPr>
        <w:t>ْ</w:t>
      </w:r>
      <w:r w:rsidRPr="00FE4C18">
        <w:rPr>
          <w:rtl/>
        </w:rPr>
        <w:t xml:space="preserve"> لأنَّ </w:t>
      </w:r>
      <w:r>
        <w:rPr>
          <w:rtl/>
        </w:rPr>
        <w:t>ا</w:t>
      </w:r>
      <w:r w:rsidRPr="00FE4C18">
        <w:rPr>
          <w:rtl/>
        </w:rPr>
        <w:t>لجن</w:t>
      </w:r>
      <w:r>
        <w:rPr>
          <w:rtl/>
        </w:rPr>
        <w:t>ي</w:t>
      </w:r>
      <w:r w:rsidRPr="00FE4C18">
        <w:rPr>
          <w:rtl/>
        </w:rPr>
        <w:t xml:space="preserve">ن </w:t>
      </w:r>
      <w:r>
        <w:rPr>
          <w:rtl/>
        </w:rPr>
        <w:t>ي</w:t>
      </w:r>
      <w:r w:rsidRPr="00FE4C18">
        <w:rPr>
          <w:rtl/>
        </w:rPr>
        <w:t>نقل إل</w:t>
      </w:r>
      <w:r>
        <w:rPr>
          <w:rtl/>
        </w:rPr>
        <w:t xml:space="preserve">ى </w:t>
      </w:r>
      <w:r w:rsidRPr="00FE4C18">
        <w:rPr>
          <w:rtl/>
        </w:rPr>
        <w:t xml:space="preserve">رحم </w:t>
      </w:r>
      <w:r>
        <w:rPr>
          <w:rFonts w:hint="cs"/>
          <w:rtl/>
        </w:rPr>
        <w:t>ا</w:t>
      </w:r>
      <w:r w:rsidRPr="00FE4C18">
        <w:rPr>
          <w:rtl/>
        </w:rPr>
        <w:t>مرأة أخر</w:t>
      </w:r>
      <w:r>
        <w:rPr>
          <w:rtl/>
        </w:rPr>
        <w:t xml:space="preserve">ى </w:t>
      </w:r>
      <w:r w:rsidRPr="00FE4C18">
        <w:rPr>
          <w:rtl/>
        </w:rPr>
        <w:t>غ</w:t>
      </w:r>
      <w:r>
        <w:rPr>
          <w:rtl/>
        </w:rPr>
        <w:t>ي</w:t>
      </w:r>
      <w:r w:rsidRPr="00FE4C18">
        <w:rPr>
          <w:rtl/>
        </w:rPr>
        <w:t xml:space="preserve">ر </w:t>
      </w:r>
      <w:r>
        <w:rPr>
          <w:rtl/>
        </w:rPr>
        <w:t>ا</w:t>
      </w:r>
      <w:r w:rsidRPr="00FE4C18">
        <w:rPr>
          <w:rtl/>
        </w:rPr>
        <w:t xml:space="preserve">لزوجة </w:t>
      </w:r>
      <w:r>
        <w:rPr>
          <w:rtl/>
        </w:rPr>
        <w:t>ي</w:t>
      </w:r>
      <w:r w:rsidRPr="00FE4C18">
        <w:rPr>
          <w:rtl/>
        </w:rPr>
        <w:t>جب تع</w:t>
      </w:r>
      <w:r>
        <w:rPr>
          <w:rtl/>
        </w:rPr>
        <w:t>يي</w:t>
      </w:r>
      <w:r w:rsidRPr="00FE4C18">
        <w:rPr>
          <w:rtl/>
        </w:rPr>
        <w:t>ن شرع</w:t>
      </w:r>
      <w:r>
        <w:rPr>
          <w:rtl/>
        </w:rPr>
        <w:t>يّ</w:t>
      </w:r>
      <w:r w:rsidRPr="00FE4C18">
        <w:rPr>
          <w:rtl/>
        </w:rPr>
        <w:t xml:space="preserve">ة هذا </w:t>
      </w:r>
      <w:r>
        <w:rPr>
          <w:rtl/>
        </w:rPr>
        <w:t>ا</w:t>
      </w:r>
      <w:r w:rsidRPr="00FE4C18">
        <w:rPr>
          <w:rtl/>
        </w:rPr>
        <w:t>لعمل أ</w:t>
      </w:r>
      <w:r>
        <w:rPr>
          <w:rtl/>
        </w:rPr>
        <w:t>ي</w:t>
      </w:r>
      <w:r w:rsidRPr="00FE4C18">
        <w:rPr>
          <w:rtl/>
        </w:rPr>
        <w:t>ضاً</w:t>
      </w:r>
      <w:r>
        <w:rPr>
          <w:rtl/>
        </w:rPr>
        <w:t>. و</w:t>
      </w:r>
      <w:r w:rsidRPr="00FE4C18">
        <w:rPr>
          <w:rtl/>
        </w:rPr>
        <w:t xml:space="preserve">تختلف آراء فقهاء </w:t>
      </w:r>
      <w:r>
        <w:rPr>
          <w:rtl/>
        </w:rPr>
        <w:t>ا</w:t>
      </w:r>
      <w:r w:rsidRPr="00FE4C18">
        <w:rPr>
          <w:rtl/>
        </w:rPr>
        <w:t>ل</w:t>
      </w:r>
      <w:r>
        <w:rPr>
          <w:rFonts w:hint="cs"/>
          <w:rtl/>
        </w:rPr>
        <w:t>إ</w:t>
      </w:r>
      <w:r w:rsidRPr="00FE4C18">
        <w:rPr>
          <w:rtl/>
        </w:rPr>
        <w:t>مام</w:t>
      </w:r>
      <w:r>
        <w:rPr>
          <w:rtl/>
        </w:rPr>
        <w:t>ي</w:t>
      </w:r>
      <w:r>
        <w:rPr>
          <w:rFonts w:hint="cs"/>
          <w:rtl/>
        </w:rPr>
        <w:t>ّة</w:t>
      </w:r>
      <w:r w:rsidRPr="00FE4C18">
        <w:rPr>
          <w:rtl/>
        </w:rPr>
        <w:t xml:space="preserve"> </w:t>
      </w:r>
      <w:r>
        <w:rPr>
          <w:rtl/>
        </w:rPr>
        <w:t>ا</w:t>
      </w:r>
      <w:r w:rsidRPr="00FE4C18">
        <w:rPr>
          <w:rtl/>
        </w:rPr>
        <w:t>لمعاصر</w:t>
      </w:r>
      <w:r>
        <w:rPr>
          <w:rtl/>
        </w:rPr>
        <w:t>ي</w:t>
      </w:r>
      <w:r w:rsidRPr="00FE4C18">
        <w:rPr>
          <w:rtl/>
        </w:rPr>
        <w:t xml:space="preserve">ن </w:t>
      </w:r>
      <w:r>
        <w:rPr>
          <w:rtl/>
        </w:rPr>
        <w:t>في جواز وصحة</w:t>
      </w:r>
      <w:r w:rsidRPr="00FE4C18">
        <w:rPr>
          <w:rtl/>
        </w:rPr>
        <w:t xml:space="preserve"> هذه </w:t>
      </w:r>
      <w:r>
        <w:rPr>
          <w:rtl/>
        </w:rPr>
        <w:t>ا</w:t>
      </w:r>
      <w:r w:rsidRPr="00FE4C18">
        <w:rPr>
          <w:rtl/>
        </w:rPr>
        <w:t>لاتفاق</w:t>
      </w:r>
      <w:r>
        <w:rPr>
          <w:rtl/>
        </w:rPr>
        <w:t>ي</w:t>
      </w:r>
      <w:r w:rsidRPr="00FE4C18">
        <w:rPr>
          <w:rtl/>
        </w:rPr>
        <w:t>ة</w:t>
      </w:r>
      <w:r w:rsidRPr="007F5B58">
        <w:rPr>
          <w:rtl/>
        </w:rPr>
        <w:t>؛</w:t>
      </w:r>
      <w:r w:rsidRPr="00FE4C18">
        <w:rPr>
          <w:rtl/>
        </w:rPr>
        <w:t xml:space="preserve"> ف</w:t>
      </w:r>
      <w:r>
        <w:rPr>
          <w:rtl/>
        </w:rPr>
        <w:t>ي</w:t>
      </w:r>
      <w:r w:rsidRPr="00FE4C18">
        <w:rPr>
          <w:rtl/>
        </w:rPr>
        <w:t>جو</w:t>
      </w:r>
      <w:r>
        <w:rPr>
          <w:rFonts w:hint="cs"/>
          <w:rtl/>
        </w:rPr>
        <w:t>ِّ</w:t>
      </w:r>
      <w:r w:rsidRPr="00FE4C18">
        <w:rPr>
          <w:rtl/>
        </w:rPr>
        <w:t>ز عدد منهم استخدام رحم امرأة أخر</w:t>
      </w:r>
      <w:r>
        <w:rPr>
          <w:rtl/>
        </w:rPr>
        <w:t>ى</w:t>
      </w:r>
      <w:r w:rsidRPr="007F5B58">
        <w:rPr>
          <w:rtl/>
        </w:rPr>
        <w:t>،</w:t>
      </w:r>
      <w:r>
        <w:rPr>
          <w:rtl/>
        </w:rPr>
        <w:t xml:space="preserve"> </w:t>
      </w:r>
      <w:r w:rsidRPr="00FE4C18">
        <w:rPr>
          <w:rtl/>
        </w:rPr>
        <w:t>و</w:t>
      </w:r>
      <w:r>
        <w:rPr>
          <w:rtl/>
        </w:rPr>
        <w:t>يرون هذه ا</w:t>
      </w:r>
      <w:r w:rsidRPr="00FE4C18">
        <w:rPr>
          <w:rtl/>
        </w:rPr>
        <w:t>لاتفاق</w:t>
      </w:r>
      <w:r>
        <w:rPr>
          <w:rtl/>
        </w:rPr>
        <w:t>ي</w:t>
      </w:r>
      <w:r w:rsidRPr="00FE4C18">
        <w:rPr>
          <w:rtl/>
        </w:rPr>
        <w:t xml:space="preserve">ة </w:t>
      </w:r>
      <w:r>
        <w:rPr>
          <w:rtl/>
        </w:rPr>
        <w:t>صحيحة</w:t>
      </w:r>
      <w:r>
        <w:rPr>
          <w:rFonts w:hint="cs"/>
          <w:rtl/>
        </w:rPr>
        <w:t>؛</w:t>
      </w:r>
      <w:r>
        <w:rPr>
          <w:rtl/>
        </w:rPr>
        <w:t xml:space="preserve"> وي</w:t>
      </w:r>
      <w:r w:rsidRPr="00FE4C18">
        <w:rPr>
          <w:rtl/>
        </w:rPr>
        <w:t>حر</w:t>
      </w:r>
      <w:r>
        <w:rPr>
          <w:rtl/>
        </w:rPr>
        <w:t>ِّ</w:t>
      </w:r>
      <w:r w:rsidRPr="00FE4C18">
        <w:rPr>
          <w:rtl/>
        </w:rPr>
        <w:t xml:space="preserve">م عدد آخر هذا </w:t>
      </w:r>
      <w:r>
        <w:rPr>
          <w:rtl/>
        </w:rPr>
        <w:t>ا</w:t>
      </w:r>
      <w:r w:rsidRPr="00FE4C18">
        <w:rPr>
          <w:rtl/>
        </w:rPr>
        <w:t>لعمل</w:t>
      </w:r>
      <w:r w:rsidRPr="007F5B58">
        <w:rPr>
          <w:rtl/>
        </w:rPr>
        <w:t>،</w:t>
      </w:r>
      <w:r>
        <w:rPr>
          <w:rtl/>
        </w:rPr>
        <w:t xml:space="preserve"> وي</w:t>
      </w:r>
      <w:r w:rsidRPr="00FE4C18">
        <w:rPr>
          <w:rtl/>
        </w:rPr>
        <w:t>ؤ</w:t>
      </w:r>
      <w:r>
        <w:rPr>
          <w:rtl/>
        </w:rPr>
        <w:t>ك</w:t>
      </w:r>
      <w:r w:rsidRPr="00FE4C18">
        <w:rPr>
          <w:rtl/>
        </w:rPr>
        <w:t>دون عل</w:t>
      </w:r>
      <w:r>
        <w:rPr>
          <w:rtl/>
        </w:rPr>
        <w:t xml:space="preserve">ى </w:t>
      </w:r>
      <w:r w:rsidRPr="00FE4C18">
        <w:rPr>
          <w:rtl/>
        </w:rPr>
        <w:t xml:space="preserve">عدم </w:t>
      </w:r>
      <w:r>
        <w:rPr>
          <w:rtl/>
        </w:rPr>
        <w:t>صحة ا</w:t>
      </w:r>
      <w:r w:rsidRPr="00FE4C18">
        <w:rPr>
          <w:rtl/>
        </w:rPr>
        <w:t>لاتفاق</w:t>
      </w:r>
      <w:r>
        <w:rPr>
          <w:rtl/>
        </w:rPr>
        <w:t>ي</w:t>
      </w:r>
      <w:r w:rsidRPr="00FE4C18">
        <w:rPr>
          <w:rtl/>
        </w:rPr>
        <w:t>ة</w:t>
      </w:r>
      <w:r>
        <w:rPr>
          <w:rtl/>
        </w:rPr>
        <w:t>. و</w:t>
      </w:r>
      <w:r w:rsidRPr="00FE4C18">
        <w:rPr>
          <w:rtl/>
        </w:rPr>
        <w:t>تختلف آراء قانون</w:t>
      </w:r>
      <w:r>
        <w:rPr>
          <w:rtl/>
        </w:rPr>
        <w:t>ي</w:t>
      </w:r>
      <w:r w:rsidRPr="00FE4C18">
        <w:rPr>
          <w:rtl/>
        </w:rPr>
        <w:t>ي إ</w:t>
      </w:r>
      <w:r>
        <w:rPr>
          <w:rtl/>
        </w:rPr>
        <w:t>ي</w:t>
      </w:r>
      <w:r w:rsidRPr="00FE4C18">
        <w:rPr>
          <w:rtl/>
        </w:rPr>
        <w:t xml:space="preserve">ران حول هذا </w:t>
      </w:r>
      <w:r>
        <w:rPr>
          <w:rtl/>
        </w:rPr>
        <w:t>ا</w:t>
      </w:r>
      <w:r w:rsidRPr="00FE4C18">
        <w:rPr>
          <w:rtl/>
        </w:rPr>
        <w:t>لموضوع أ</w:t>
      </w:r>
      <w:r>
        <w:rPr>
          <w:rtl/>
        </w:rPr>
        <w:t>ي</w:t>
      </w:r>
      <w:r w:rsidRPr="00FE4C18">
        <w:rPr>
          <w:rtl/>
        </w:rPr>
        <w:t>ضاً</w:t>
      </w:r>
      <w:r>
        <w:rPr>
          <w:rFonts w:hint="cs"/>
          <w:rtl/>
        </w:rPr>
        <w:t>؛</w:t>
      </w:r>
      <w:r>
        <w:rPr>
          <w:rtl/>
        </w:rPr>
        <w:t xml:space="preserve"> وي</w:t>
      </w:r>
      <w:r w:rsidRPr="00FE4C18">
        <w:rPr>
          <w:rtl/>
        </w:rPr>
        <w:t>صرح بعضهم بصحّتها</w:t>
      </w:r>
      <w:r w:rsidRPr="007F5B58">
        <w:rPr>
          <w:rtl/>
        </w:rPr>
        <w:t>؛</w:t>
      </w:r>
      <w:r>
        <w:rPr>
          <w:rtl/>
        </w:rPr>
        <w:t xml:space="preserve"> وي</w:t>
      </w:r>
      <w:r w:rsidRPr="00FE4C18">
        <w:rPr>
          <w:rtl/>
        </w:rPr>
        <w:t>بطلها جمع آخر</w:t>
      </w:r>
      <w:r w:rsidRPr="007F5B58">
        <w:rPr>
          <w:rtl/>
        </w:rPr>
        <w:t>؛</w:t>
      </w:r>
      <w:r w:rsidRPr="00FE4C18">
        <w:rPr>
          <w:rtl/>
        </w:rPr>
        <w:t xml:space="preserve"> لأنَّها تخالف </w:t>
      </w:r>
      <w:r>
        <w:rPr>
          <w:rtl/>
        </w:rPr>
        <w:t>ا</w:t>
      </w:r>
      <w:r w:rsidRPr="00FE4C18">
        <w:rPr>
          <w:rtl/>
        </w:rPr>
        <w:t>لعرف</w:t>
      </w:r>
      <w:r>
        <w:rPr>
          <w:rtl/>
        </w:rPr>
        <w:t xml:space="preserve"> وا</w:t>
      </w:r>
      <w:r w:rsidRPr="00FE4C18">
        <w:rPr>
          <w:rtl/>
        </w:rPr>
        <w:t xml:space="preserve">لنظام </w:t>
      </w:r>
      <w:r>
        <w:rPr>
          <w:rtl/>
        </w:rPr>
        <w:t>ا</w:t>
      </w:r>
      <w:r w:rsidRPr="00FE4C18">
        <w:rPr>
          <w:rtl/>
        </w:rPr>
        <w:t>لعام</w:t>
      </w:r>
      <w:r>
        <w:rPr>
          <w:rtl/>
        </w:rPr>
        <w:t>. و</w:t>
      </w:r>
      <w:r w:rsidRPr="00FE4C18">
        <w:rPr>
          <w:rtl/>
        </w:rPr>
        <w:t xml:space="preserve">بسبب </w:t>
      </w:r>
      <w:r>
        <w:rPr>
          <w:rtl/>
        </w:rPr>
        <w:t>ا</w:t>
      </w:r>
      <w:r w:rsidRPr="00FE4C18">
        <w:rPr>
          <w:rtl/>
        </w:rPr>
        <w:t>لترد</w:t>
      </w:r>
      <w:r>
        <w:rPr>
          <w:rtl/>
        </w:rPr>
        <w:t>ي</w:t>
      </w:r>
      <w:r w:rsidRPr="00FE4C18">
        <w:rPr>
          <w:rtl/>
        </w:rPr>
        <w:t>د في معلوم</w:t>
      </w:r>
      <w:r>
        <w:rPr>
          <w:rtl/>
        </w:rPr>
        <w:t>يّ</w:t>
      </w:r>
      <w:r w:rsidRPr="00FE4C18">
        <w:rPr>
          <w:rtl/>
        </w:rPr>
        <w:t>ة</w:t>
      </w:r>
      <w:r>
        <w:rPr>
          <w:rtl/>
        </w:rPr>
        <w:t xml:space="preserve"> و</w:t>
      </w:r>
      <w:r w:rsidRPr="00FE4C18">
        <w:rPr>
          <w:rtl/>
        </w:rPr>
        <w:t>مقدرة</w:t>
      </w:r>
      <w:r>
        <w:rPr>
          <w:rtl/>
        </w:rPr>
        <w:t xml:space="preserve"> و</w:t>
      </w:r>
      <w:r w:rsidRPr="00FE4C18">
        <w:rPr>
          <w:rtl/>
        </w:rPr>
        <w:t>شرع</w:t>
      </w:r>
      <w:r>
        <w:rPr>
          <w:rtl/>
        </w:rPr>
        <w:t>يّ</w:t>
      </w:r>
      <w:r w:rsidRPr="00FE4C18">
        <w:rPr>
          <w:rtl/>
        </w:rPr>
        <w:t xml:space="preserve">ة موضوع </w:t>
      </w:r>
      <w:r>
        <w:rPr>
          <w:rtl/>
        </w:rPr>
        <w:t>الصفقة</w:t>
      </w:r>
      <w:r w:rsidRPr="007F5B58">
        <w:rPr>
          <w:rtl/>
        </w:rPr>
        <w:t>،</w:t>
      </w:r>
      <w:r>
        <w:rPr>
          <w:rtl/>
        </w:rPr>
        <w:t xml:space="preserve"> والقدرة عليه</w:t>
      </w:r>
      <w:r w:rsidRPr="007F5B58">
        <w:rPr>
          <w:rtl/>
        </w:rPr>
        <w:t>،</w:t>
      </w:r>
      <w:r>
        <w:rPr>
          <w:rtl/>
        </w:rPr>
        <w:t xml:space="preserve"> </w:t>
      </w:r>
      <w:r w:rsidRPr="00FE4C18">
        <w:rPr>
          <w:rtl/>
        </w:rPr>
        <w:t>بإم</w:t>
      </w:r>
      <w:r>
        <w:rPr>
          <w:rtl/>
        </w:rPr>
        <w:t>ك</w:t>
      </w:r>
      <w:r w:rsidRPr="00FE4C18">
        <w:rPr>
          <w:rtl/>
        </w:rPr>
        <w:t xml:space="preserve">اننا </w:t>
      </w:r>
      <w:r>
        <w:rPr>
          <w:rtl/>
        </w:rPr>
        <w:t xml:space="preserve">أيضاً </w:t>
      </w:r>
      <w:r w:rsidRPr="00FE4C18">
        <w:rPr>
          <w:rtl/>
        </w:rPr>
        <w:t xml:space="preserve">إبطال </w:t>
      </w:r>
      <w:r>
        <w:rPr>
          <w:rtl/>
        </w:rPr>
        <w:t>ا</w:t>
      </w:r>
      <w:r w:rsidRPr="00FE4C18">
        <w:rPr>
          <w:rtl/>
        </w:rPr>
        <w:t>لاعتبار</w:t>
      </w:r>
      <w:r>
        <w:rPr>
          <w:rFonts w:hint="cs"/>
          <w:rtl/>
        </w:rPr>
        <w:t xml:space="preserve"> </w:t>
      </w:r>
      <w:r w:rsidRPr="00FE4C18">
        <w:rPr>
          <w:rtl/>
        </w:rPr>
        <w:t>‌</w:t>
      </w:r>
      <w:r>
        <w:rPr>
          <w:rtl/>
        </w:rPr>
        <w:t>ا</w:t>
      </w:r>
      <w:r w:rsidRPr="00FE4C18">
        <w:rPr>
          <w:rtl/>
        </w:rPr>
        <w:t>لقانوني للاتفاق</w:t>
      </w:r>
      <w:r>
        <w:rPr>
          <w:rtl/>
        </w:rPr>
        <w:t>ي</w:t>
      </w:r>
      <w:r w:rsidRPr="00FE4C18">
        <w:rPr>
          <w:rtl/>
        </w:rPr>
        <w:t>ة</w:t>
      </w:r>
      <w:r>
        <w:rPr>
          <w:rtl/>
        </w:rPr>
        <w:t>. وفي فرض صحة ا</w:t>
      </w:r>
      <w:r w:rsidRPr="00FE4C18">
        <w:rPr>
          <w:rtl/>
        </w:rPr>
        <w:t>لاتفاق</w:t>
      </w:r>
      <w:r>
        <w:rPr>
          <w:rtl/>
        </w:rPr>
        <w:t>ي</w:t>
      </w:r>
      <w:r w:rsidRPr="00FE4C18">
        <w:rPr>
          <w:rtl/>
        </w:rPr>
        <w:t>ة</w:t>
      </w:r>
      <w:r>
        <w:rPr>
          <w:rtl/>
        </w:rPr>
        <w:t xml:space="preserve"> ـ</w:t>
      </w:r>
      <w:r w:rsidRPr="00FE4C18">
        <w:rPr>
          <w:rtl/>
        </w:rPr>
        <w:t xml:space="preserve"> وفقاً لرأي </w:t>
      </w:r>
      <w:r>
        <w:rPr>
          <w:rtl/>
        </w:rPr>
        <w:t>ا</w:t>
      </w:r>
      <w:r w:rsidRPr="00FE4C18">
        <w:rPr>
          <w:rtl/>
        </w:rPr>
        <w:t xml:space="preserve">لفقهاء </w:t>
      </w:r>
      <w:r>
        <w:rPr>
          <w:rtl/>
        </w:rPr>
        <w:t>ا</w:t>
      </w:r>
      <w:r w:rsidRPr="00FE4C18">
        <w:rPr>
          <w:rtl/>
        </w:rPr>
        <w:t>لذ</w:t>
      </w:r>
      <w:r>
        <w:rPr>
          <w:rtl/>
        </w:rPr>
        <w:t>ي</w:t>
      </w:r>
      <w:r w:rsidRPr="00FE4C18">
        <w:rPr>
          <w:rtl/>
        </w:rPr>
        <w:t xml:space="preserve">ن </w:t>
      </w:r>
      <w:r>
        <w:rPr>
          <w:rtl/>
        </w:rPr>
        <w:t>ي</w:t>
      </w:r>
      <w:r w:rsidRPr="00FE4C18">
        <w:rPr>
          <w:rtl/>
        </w:rPr>
        <w:t>جو</w:t>
      </w:r>
      <w:r>
        <w:rPr>
          <w:rFonts w:hint="cs"/>
          <w:rtl/>
        </w:rPr>
        <w:t>ِّ</w:t>
      </w:r>
      <w:r w:rsidRPr="00FE4C18">
        <w:rPr>
          <w:rtl/>
        </w:rPr>
        <w:t xml:space="preserve">زون </w:t>
      </w:r>
      <w:r>
        <w:rPr>
          <w:rtl/>
        </w:rPr>
        <w:t>تـن</w:t>
      </w:r>
      <w:r w:rsidRPr="00FE4C18">
        <w:rPr>
          <w:rtl/>
        </w:rPr>
        <w:t>ف</w:t>
      </w:r>
      <w:r>
        <w:rPr>
          <w:rtl/>
        </w:rPr>
        <w:t>ي</w:t>
      </w:r>
      <w:r w:rsidRPr="00FE4C18">
        <w:rPr>
          <w:rtl/>
        </w:rPr>
        <w:t xml:space="preserve">ذ هذا </w:t>
      </w:r>
      <w:r>
        <w:rPr>
          <w:rtl/>
        </w:rPr>
        <w:t>ا</w:t>
      </w:r>
      <w:r w:rsidRPr="00FE4C18">
        <w:rPr>
          <w:rtl/>
        </w:rPr>
        <w:t xml:space="preserve">لعمل </w:t>
      </w:r>
      <w:r>
        <w:rPr>
          <w:rtl/>
        </w:rPr>
        <w:t xml:space="preserve">ـ </w:t>
      </w:r>
      <w:r w:rsidRPr="00FE4C18">
        <w:rPr>
          <w:rtl/>
        </w:rPr>
        <w:t xml:space="preserve">فتبعات هذه </w:t>
      </w:r>
      <w:r>
        <w:rPr>
          <w:rtl/>
        </w:rPr>
        <w:t>ا</w:t>
      </w:r>
      <w:r w:rsidRPr="00FE4C18">
        <w:rPr>
          <w:rtl/>
        </w:rPr>
        <w:t>لاتفاق</w:t>
      </w:r>
      <w:r>
        <w:rPr>
          <w:rtl/>
        </w:rPr>
        <w:t>ي</w:t>
      </w:r>
      <w:r w:rsidRPr="00FE4C18">
        <w:rPr>
          <w:rtl/>
        </w:rPr>
        <w:t xml:space="preserve">ة لا </w:t>
      </w:r>
      <w:r>
        <w:rPr>
          <w:rtl/>
        </w:rPr>
        <w:t>ي</w:t>
      </w:r>
      <w:r w:rsidRPr="00FE4C18">
        <w:rPr>
          <w:rtl/>
        </w:rPr>
        <w:t>م</w:t>
      </w:r>
      <w:r>
        <w:rPr>
          <w:rtl/>
        </w:rPr>
        <w:t>ك</w:t>
      </w:r>
      <w:r w:rsidRPr="00FE4C18">
        <w:rPr>
          <w:rtl/>
        </w:rPr>
        <w:t>ن تع</w:t>
      </w:r>
      <w:r>
        <w:rPr>
          <w:rtl/>
        </w:rPr>
        <w:t>يي</w:t>
      </w:r>
      <w:r w:rsidRPr="00FE4C18">
        <w:rPr>
          <w:rtl/>
        </w:rPr>
        <w:t>نها عل</w:t>
      </w:r>
      <w:r>
        <w:rPr>
          <w:rtl/>
        </w:rPr>
        <w:t xml:space="preserve">ى </w:t>
      </w:r>
      <w:r w:rsidRPr="00FE4C18">
        <w:rPr>
          <w:rtl/>
        </w:rPr>
        <w:t xml:space="preserve">أساس إرادة </w:t>
      </w:r>
      <w:r>
        <w:rPr>
          <w:rtl/>
        </w:rPr>
        <w:t>ا</w:t>
      </w:r>
      <w:r w:rsidRPr="00FE4C18">
        <w:rPr>
          <w:rtl/>
        </w:rPr>
        <w:t>لطرف</w:t>
      </w:r>
      <w:r>
        <w:rPr>
          <w:rtl/>
        </w:rPr>
        <w:t>ي</w:t>
      </w:r>
      <w:r w:rsidRPr="00FE4C18">
        <w:rPr>
          <w:rtl/>
        </w:rPr>
        <w:t>ن</w:t>
      </w:r>
      <w:r w:rsidRPr="007F5B58">
        <w:rPr>
          <w:rtl/>
        </w:rPr>
        <w:t>،</w:t>
      </w:r>
      <w:r>
        <w:rPr>
          <w:rtl/>
        </w:rPr>
        <w:t xml:space="preserve"> و</w:t>
      </w:r>
      <w:r w:rsidRPr="00FE4C18">
        <w:rPr>
          <w:rtl/>
        </w:rPr>
        <w:t>ل</w:t>
      </w:r>
      <w:r>
        <w:rPr>
          <w:rtl/>
        </w:rPr>
        <w:t>ك</w:t>
      </w:r>
      <w:r w:rsidRPr="00FE4C18">
        <w:rPr>
          <w:rtl/>
        </w:rPr>
        <w:t xml:space="preserve">نّ بعض </w:t>
      </w:r>
      <w:r>
        <w:rPr>
          <w:rtl/>
        </w:rPr>
        <w:t>ا</w:t>
      </w:r>
      <w:r w:rsidRPr="00FE4C18">
        <w:rPr>
          <w:rtl/>
        </w:rPr>
        <w:t>لآثار</w:t>
      </w:r>
      <w:r>
        <w:rPr>
          <w:rtl/>
        </w:rPr>
        <w:t xml:space="preserve"> وا</w:t>
      </w:r>
      <w:r w:rsidRPr="00FE4C18">
        <w:rPr>
          <w:rtl/>
        </w:rPr>
        <w:t>لتبعات تفرض نفسها عل</w:t>
      </w:r>
      <w:r>
        <w:rPr>
          <w:rtl/>
        </w:rPr>
        <w:t>ي</w:t>
      </w:r>
      <w:r w:rsidRPr="00FE4C18">
        <w:rPr>
          <w:rtl/>
        </w:rPr>
        <w:t>ها</w:t>
      </w:r>
      <w:r w:rsidRPr="007F5B58">
        <w:rPr>
          <w:rtl/>
        </w:rPr>
        <w:t>،</w:t>
      </w:r>
      <w:r>
        <w:rPr>
          <w:rtl/>
        </w:rPr>
        <w:t xml:space="preserve"> و</w:t>
      </w:r>
      <w:r w:rsidRPr="00FE4C18">
        <w:rPr>
          <w:rtl/>
        </w:rPr>
        <w:t>أهمها</w:t>
      </w:r>
      <w:r w:rsidRPr="007F5B58">
        <w:rPr>
          <w:rtl/>
        </w:rPr>
        <w:t>:</w:t>
      </w:r>
      <w:r w:rsidRPr="00FE4C18">
        <w:rPr>
          <w:rtl/>
        </w:rPr>
        <w:t xml:space="preserve"> </w:t>
      </w:r>
      <w:r>
        <w:rPr>
          <w:rtl/>
        </w:rPr>
        <w:t>ا</w:t>
      </w:r>
      <w:r w:rsidRPr="00FE4C18">
        <w:rPr>
          <w:rtl/>
        </w:rPr>
        <w:t>لقرابة</w:t>
      </w:r>
      <w:r w:rsidRPr="007F5B58">
        <w:rPr>
          <w:rtl/>
        </w:rPr>
        <w:t>؛</w:t>
      </w:r>
      <w:r>
        <w:rPr>
          <w:rtl/>
        </w:rPr>
        <w:t xml:space="preserve"> وا</w:t>
      </w:r>
      <w:r w:rsidRPr="00FE4C18">
        <w:rPr>
          <w:rtl/>
        </w:rPr>
        <w:t>لنسب</w:t>
      </w:r>
      <w:r w:rsidRPr="007F5B58">
        <w:rPr>
          <w:rtl/>
        </w:rPr>
        <w:t>،</w:t>
      </w:r>
      <w:r w:rsidRPr="00FE4C18">
        <w:rPr>
          <w:rtl/>
        </w:rPr>
        <w:t xml:space="preserve"> </w:t>
      </w:r>
      <w:r>
        <w:rPr>
          <w:rtl/>
        </w:rPr>
        <w:lastRenderedPageBreak/>
        <w:t>ا</w:t>
      </w:r>
      <w:r w:rsidRPr="00FE4C18">
        <w:rPr>
          <w:rtl/>
        </w:rPr>
        <w:t xml:space="preserve">للذان </w:t>
      </w:r>
      <w:r>
        <w:rPr>
          <w:rtl/>
        </w:rPr>
        <w:t>ي</w:t>
      </w:r>
      <w:r w:rsidRPr="00FE4C18">
        <w:rPr>
          <w:rtl/>
        </w:rPr>
        <w:t>حصلان بصورة لا إراد</w:t>
      </w:r>
      <w:r>
        <w:rPr>
          <w:rtl/>
        </w:rPr>
        <w:t>يّ</w:t>
      </w:r>
      <w:r w:rsidRPr="00FE4C18">
        <w:rPr>
          <w:rtl/>
        </w:rPr>
        <w:t xml:space="preserve">ة إثر نقل </w:t>
      </w:r>
      <w:r>
        <w:rPr>
          <w:rtl/>
        </w:rPr>
        <w:t>ا</w:t>
      </w:r>
      <w:r w:rsidRPr="00FE4C18">
        <w:rPr>
          <w:rtl/>
        </w:rPr>
        <w:t>لجن</w:t>
      </w:r>
      <w:r>
        <w:rPr>
          <w:rtl/>
        </w:rPr>
        <w:t>ي</w:t>
      </w:r>
      <w:r w:rsidRPr="00FE4C18">
        <w:rPr>
          <w:rtl/>
        </w:rPr>
        <w:t xml:space="preserve">ن. </w:t>
      </w:r>
    </w:p>
    <w:p w:rsidR="00EE06ED" w:rsidRDefault="00391A35" w:rsidP="00391A35">
      <w:pPr>
        <w:pStyle w:val="ac"/>
        <w:rPr>
          <w:rtl/>
        </w:rPr>
      </w:pPr>
      <w:r>
        <w:rPr>
          <w:rtl/>
        </w:rPr>
        <w:t>وعليه</w:t>
      </w:r>
      <w:r w:rsidRPr="00FE4C18">
        <w:rPr>
          <w:rtl/>
        </w:rPr>
        <w:t xml:space="preserve"> </w:t>
      </w:r>
      <w:r>
        <w:rPr>
          <w:rtl/>
        </w:rPr>
        <w:t>يك</w:t>
      </w:r>
      <w:r w:rsidRPr="00FE4C18">
        <w:rPr>
          <w:rtl/>
        </w:rPr>
        <w:t xml:space="preserve">ون </w:t>
      </w:r>
      <w:r>
        <w:rPr>
          <w:rtl/>
        </w:rPr>
        <w:t>ا</w:t>
      </w:r>
      <w:r w:rsidRPr="00FE4C18">
        <w:rPr>
          <w:rtl/>
        </w:rPr>
        <w:t xml:space="preserve">لنسب </w:t>
      </w:r>
      <w:r>
        <w:rPr>
          <w:rtl/>
        </w:rPr>
        <w:t>ا</w:t>
      </w:r>
      <w:r w:rsidRPr="00FE4C18">
        <w:rPr>
          <w:rtl/>
        </w:rPr>
        <w:t>لأبو</w:t>
      </w:r>
      <w:r>
        <w:rPr>
          <w:rFonts w:hint="cs"/>
          <w:rtl/>
        </w:rPr>
        <w:t>ي</w:t>
      </w:r>
      <w:r>
        <w:rPr>
          <w:rtl/>
        </w:rPr>
        <w:t xml:space="preserve"> </w:t>
      </w:r>
      <w:r w:rsidRPr="00FE4C18">
        <w:rPr>
          <w:rtl/>
        </w:rPr>
        <w:t xml:space="preserve">للطفل </w:t>
      </w:r>
      <w:r>
        <w:rPr>
          <w:rtl/>
        </w:rPr>
        <w:t>ا</w:t>
      </w:r>
      <w:r w:rsidRPr="00FE4C18">
        <w:rPr>
          <w:rtl/>
        </w:rPr>
        <w:t>لمولود ثابتاً بلاش</w:t>
      </w:r>
      <w:r>
        <w:rPr>
          <w:rtl/>
        </w:rPr>
        <w:t>ك</w:t>
      </w:r>
      <w:r w:rsidRPr="007F5B58">
        <w:rPr>
          <w:rtl/>
        </w:rPr>
        <w:t>؛</w:t>
      </w:r>
      <w:r w:rsidRPr="00FE4C18">
        <w:rPr>
          <w:rtl/>
        </w:rPr>
        <w:t xml:space="preserve"> و</w:t>
      </w:r>
      <w:r>
        <w:rPr>
          <w:rtl/>
        </w:rPr>
        <w:t>أما</w:t>
      </w:r>
      <w:r w:rsidRPr="00FE4C18">
        <w:rPr>
          <w:rtl/>
        </w:rPr>
        <w:t xml:space="preserve"> </w:t>
      </w:r>
      <w:r>
        <w:rPr>
          <w:rtl/>
        </w:rPr>
        <w:t>ا</w:t>
      </w:r>
      <w:r w:rsidRPr="00FE4C18">
        <w:rPr>
          <w:rtl/>
        </w:rPr>
        <w:t xml:space="preserve">لنسب </w:t>
      </w:r>
      <w:r>
        <w:rPr>
          <w:rtl/>
        </w:rPr>
        <w:t>ا</w:t>
      </w:r>
      <w:r w:rsidRPr="00FE4C18">
        <w:rPr>
          <w:rtl/>
        </w:rPr>
        <w:t xml:space="preserve">لأمومي </w:t>
      </w:r>
      <w:r>
        <w:rPr>
          <w:rtl/>
        </w:rPr>
        <w:t>فتختلف الآراء في تعيينه</w:t>
      </w:r>
      <w:r w:rsidRPr="007F5B58">
        <w:rPr>
          <w:rtl/>
        </w:rPr>
        <w:t>؛</w:t>
      </w:r>
      <w:r>
        <w:rPr>
          <w:rtl/>
        </w:rPr>
        <w:t xml:space="preserve"> </w:t>
      </w:r>
      <w:r w:rsidRPr="00FE4C18">
        <w:rPr>
          <w:rtl/>
        </w:rPr>
        <w:t xml:space="preserve">لأنَّ </w:t>
      </w:r>
      <w:r>
        <w:rPr>
          <w:rtl/>
        </w:rPr>
        <w:t>ا</w:t>
      </w:r>
      <w:r w:rsidRPr="00FE4C18">
        <w:rPr>
          <w:rtl/>
        </w:rPr>
        <w:t xml:space="preserve">لطفل </w:t>
      </w:r>
      <w:r>
        <w:rPr>
          <w:rtl/>
        </w:rPr>
        <w:t>ي</w:t>
      </w:r>
      <w:r w:rsidRPr="00FE4C18">
        <w:rPr>
          <w:rtl/>
        </w:rPr>
        <w:t>رتبط ت</w:t>
      </w:r>
      <w:r>
        <w:rPr>
          <w:rtl/>
        </w:rPr>
        <w:t>ك</w:t>
      </w:r>
      <w:r w:rsidRPr="00FE4C18">
        <w:rPr>
          <w:rtl/>
        </w:rPr>
        <w:t>و</w:t>
      </w:r>
      <w:r>
        <w:rPr>
          <w:rtl/>
        </w:rPr>
        <w:t>ي</w:t>
      </w:r>
      <w:r w:rsidRPr="00FE4C18">
        <w:rPr>
          <w:rtl/>
        </w:rPr>
        <w:t>ن</w:t>
      </w:r>
      <w:r>
        <w:rPr>
          <w:rtl/>
        </w:rPr>
        <w:t>ي</w:t>
      </w:r>
      <w:r w:rsidRPr="00FE4C18">
        <w:rPr>
          <w:rtl/>
        </w:rPr>
        <w:t>اً بامرأت</w:t>
      </w:r>
      <w:r>
        <w:rPr>
          <w:rtl/>
        </w:rPr>
        <w:t>ي</w:t>
      </w:r>
      <w:r w:rsidRPr="00FE4C18">
        <w:rPr>
          <w:rtl/>
        </w:rPr>
        <w:t xml:space="preserve">ن (صاحبة </w:t>
      </w:r>
      <w:r>
        <w:rPr>
          <w:rtl/>
        </w:rPr>
        <w:t>ا</w:t>
      </w:r>
      <w:r w:rsidRPr="00FE4C18">
        <w:rPr>
          <w:rtl/>
        </w:rPr>
        <w:t>لبو</w:t>
      </w:r>
      <w:r>
        <w:rPr>
          <w:rtl/>
        </w:rPr>
        <w:t>ي</w:t>
      </w:r>
      <w:r w:rsidRPr="00FE4C18">
        <w:rPr>
          <w:rtl/>
        </w:rPr>
        <w:t>ضة</w:t>
      </w:r>
      <w:r>
        <w:rPr>
          <w:rFonts w:hint="cs"/>
          <w:rtl/>
        </w:rPr>
        <w:t>؛</w:t>
      </w:r>
      <w:r>
        <w:rPr>
          <w:rtl/>
        </w:rPr>
        <w:t xml:space="preserve"> و</w:t>
      </w:r>
      <w:r w:rsidRPr="00FE4C18">
        <w:rPr>
          <w:rtl/>
        </w:rPr>
        <w:t xml:space="preserve">صاحبة </w:t>
      </w:r>
      <w:r>
        <w:rPr>
          <w:rtl/>
        </w:rPr>
        <w:t>ا</w:t>
      </w:r>
      <w:r w:rsidRPr="00FE4C18">
        <w:rPr>
          <w:rtl/>
        </w:rPr>
        <w:t>لرحم)</w:t>
      </w:r>
      <w:r w:rsidRPr="007F5B58">
        <w:rPr>
          <w:rtl/>
        </w:rPr>
        <w:t>؛</w:t>
      </w:r>
      <w:r w:rsidRPr="00FE4C18">
        <w:rPr>
          <w:rtl/>
        </w:rPr>
        <w:t xml:space="preserve"> فبعض من </w:t>
      </w:r>
      <w:r>
        <w:rPr>
          <w:rtl/>
        </w:rPr>
        <w:t>ا</w:t>
      </w:r>
      <w:r w:rsidRPr="00FE4C18">
        <w:rPr>
          <w:rtl/>
        </w:rPr>
        <w:t xml:space="preserve">لفقهاء </w:t>
      </w:r>
      <w:r>
        <w:rPr>
          <w:rtl/>
        </w:rPr>
        <w:t>ي</w:t>
      </w:r>
      <w:r w:rsidRPr="00FE4C18">
        <w:rPr>
          <w:rtl/>
        </w:rPr>
        <w:t xml:space="preserve">عتبرون صاحبة </w:t>
      </w:r>
      <w:r>
        <w:rPr>
          <w:rtl/>
        </w:rPr>
        <w:t>ا</w:t>
      </w:r>
      <w:r w:rsidRPr="00FE4C18">
        <w:rPr>
          <w:rtl/>
        </w:rPr>
        <w:t>لبو</w:t>
      </w:r>
      <w:r>
        <w:rPr>
          <w:rtl/>
        </w:rPr>
        <w:t>يضة</w:t>
      </w:r>
      <w:r>
        <w:rPr>
          <w:rFonts w:hint="cs"/>
          <w:rtl/>
        </w:rPr>
        <w:t xml:space="preserve"> أُ</w:t>
      </w:r>
      <w:r w:rsidRPr="00FE4C18">
        <w:rPr>
          <w:rtl/>
        </w:rPr>
        <w:t>مّاً</w:t>
      </w:r>
      <w:r w:rsidRPr="007F5B58">
        <w:rPr>
          <w:rtl/>
        </w:rPr>
        <w:t>؛</w:t>
      </w:r>
      <w:r w:rsidRPr="00FE4C18">
        <w:rPr>
          <w:rtl/>
        </w:rPr>
        <w:t xml:space="preserve"> و</w:t>
      </w:r>
      <w:r>
        <w:rPr>
          <w:rtl/>
        </w:rPr>
        <w:t>يعتقد</w:t>
      </w:r>
      <w:r w:rsidRPr="00FE4C18">
        <w:rPr>
          <w:rtl/>
        </w:rPr>
        <w:t xml:space="preserve"> بعض آخر أنَّ صاحبة </w:t>
      </w:r>
      <w:r>
        <w:rPr>
          <w:rtl/>
        </w:rPr>
        <w:t>ا</w:t>
      </w:r>
      <w:r w:rsidRPr="00FE4C18">
        <w:rPr>
          <w:rtl/>
        </w:rPr>
        <w:t xml:space="preserve">لرحم هي أمّ </w:t>
      </w:r>
      <w:r>
        <w:rPr>
          <w:rtl/>
        </w:rPr>
        <w:t>ا</w:t>
      </w:r>
      <w:r w:rsidRPr="00FE4C18">
        <w:rPr>
          <w:rtl/>
        </w:rPr>
        <w:t>لطفل</w:t>
      </w:r>
      <w:r w:rsidRPr="007F5B58">
        <w:rPr>
          <w:rtl/>
        </w:rPr>
        <w:t>،</w:t>
      </w:r>
      <w:r>
        <w:rPr>
          <w:rtl/>
        </w:rPr>
        <w:t xml:space="preserve"> وي</w:t>
      </w:r>
      <w:r w:rsidRPr="00FE4C18">
        <w:rPr>
          <w:rtl/>
        </w:rPr>
        <w:t xml:space="preserve">صرّح عدة آخرون أنَّ للطفل </w:t>
      </w:r>
      <w:r>
        <w:rPr>
          <w:rFonts w:hint="cs"/>
          <w:rtl/>
        </w:rPr>
        <w:t>أُ</w:t>
      </w:r>
      <w:r w:rsidRPr="00FE4C18">
        <w:rPr>
          <w:rtl/>
        </w:rPr>
        <w:t>مَّ</w:t>
      </w:r>
      <w:r>
        <w:rPr>
          <w:rtl/>
        </w:rPr>
        <w:t>ي</w:t>
      </w:r>
      <w:r w:rsidRPr="00FE4C18">
        <w:rPr>
          <w:rtl/>
        </w:rPr>
        <w:t>ن</w:t>
      </w:r>
      <w:r>
        <w:rPr>
          <w:rtl/>
        </w:rPr>
        <w:t>.</w:t>
      </w:r>
    </w:p>
    <w:p w:rsidR="00EE06ED" w:rsidRDefault="00EE06ED" w:rsidP="00391A35">
      <w:pPr>
        <w:pStyle w:val="ac"/>
        <w:rPr>
          <w:rtl/>
        </w:rPr>
        <w:sectPr w:rsidR="00EE06ED" w:rsidSect="00EA348C">
          <w:headerReference w:type="even" r:id="rId92"/>
          <w:headerReference w:type="default" r:id="rId93"/>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391A35" w:rsidRDefault="00391A35" w:rsidP="00391A35">
      <w:pPr>
        <w:pStyle w:val="ac"/>
        <w:rPr>
          <w:rtl/>
        </w:rPr>
      </w:pPr>
    </w:p>
    <w:p w:rsidR="00391A35" w:rsidRDefault="00391A35">
      <w:pPr>
        <w:widowControl/>
        <w:bidi w:val="0"/>
        <w:spacing w:line="240" w:lineRule="auto"/>
        <w:ind w:firstLine="0"/>
        <w:jc w:val="left"/>
        <w:outlineLvl w:val="9"/>
        <w:rPr>
          <w:rFonts w:ascii="Arno Pro Display" w:hAnsi="Arno Pro Display"/>
          <w:sz w:val="28"/>
          <w:szCs w:val="30"/>
          <w:rtl/>
        </w:rPr>
      </w:pPr>
      <w:r>
        <w:rPr>
          <w:rtl/>
        </w:rPr>
        <w:br w:type="page"/>
      </w:r>
    </w:p>
    <w:bookmarkEnd w:id="120"/>
    <w:p w:rsidR="001E6BEE" w:rsidRDefault="001A1CB7" w:rsidP="00EE06ED">
      <w:pPr>
        <w:pStyle w:val="ac"/>
        <w:rPr>
          <w:sz w:val="52"/>
          <w:szCs w:val="70"/>
          <w:rtl/>
        </w:rPr>
      </w:pPr>
      <w:r>
        <w:rPr>
          <w:rFonts w:hint="cs"/>
          <w:noProof/>
          <w:sz w:val="52"/>
          <w:szCs w:val="70"/>
          <w:rtl/>
        </w:rPr>
        <w:lastRenderedPageBreak/>
        <w:drawing>
          <wp:anchor distT="0" distB="0" distL="114300" distR="114300" simplePos="0" relativeHeight="251657216" behindDoc="1" locked="0" layoutInCell="1" allowOverlap="1">
            <wp:simplePos x="0" y="0"/>
            <wp:positionH relativeFrom="column">
              <wp:posOffset>-3810</wp:posOffset>
            </wp:positionH>
            <wp:positionV relativeFrom="paragraph">
              <wp:posOffset>-19050</wp:posOffset>
            </wp:positionV>
            <wp:extent cx="4671695" cy="7574915"/>
            <wp:effectExtent l="19050" t="0" r="0" b="0"/>
            <wp:wrapNone/>
            <wp:docPr id="18" name="صورة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8" descr="1"/>
                    <pic:cNvPicPr>
                      <a:picLocks noChangeAspect="1" noChangeArrowheads="1"/>
                    </pic:cNvPicPr>
                  </pic:nvPicPr>
                  <pic:blipFill>
                    <a:blip r:embed="rId10" cstate="print"/>
                    <a:srcRect/>
                    <a:stretch>
                      <a:fillRect/>
                    </a:stretch>
                  </pic:blipFill>
                  <pic:spPr bwMode="auto">
                    <a:xfrm>
                      <a:off x="0" y="0"/>
                      <a:ext cx="4671695" cy="7574915"/>
                    </a:xfrm>
                    <a:prstGeom prst="rect">
                      <a:avLst/>
                    </a:prstGeom>
                    <a:noFill/>
                    <a:ln w="9525">
                      <a:noFill/>
                      <a:miter lim="800000"/>
                      <a:headEnd/>
                      <a:tailEnd/>
                    </a:ln>
                  </pic:spPr>
                </pic:pic>
              </a:graphicData>
            </a:graphic>
          </wp:anchor>
        </w:drawing>
      </w:r>
      <w:bookmarkEnd w:id="107"/>
    </w:p>
    <w:p w:rsidR="001E6BEE" w:rsidRDefault="001E6BEE" w:rsidP="00FB6A2A">
      <w:pPr>
        <w:pStyle w:val="aff2"/>
        <w:bidi w:val="0"/>
        <w:rPr>
          <w:sz w:val="52"/>
          <w:szCs w:val="70"/>
          <w:rtl/>
        </w:rPr>
      </w:pPr>
    </w:p>
    <w:p w:rsidR="001E6BEE" w:rsidRPr="009A7F57" w:rsidRDefault="001E6BEE" w:rsidP="00FB6A2A">
      <w:pPr>
        <w:pStyle w:val="aff2"/>
        <w:bidi w:val="0"/>
        <w:rPr>
          <w:sz w:val="10"/>
          <w:szCs w:val="28"/>
          <w:rtl/>
        </w:rPr>
      </w:pPr>
    </w:p>
    <w:p w:rsidR="001E6BEE" w:rsidRPr="000757C4" w:rsidRDefault="001E6BEE" w:rsidP="00FB6A2A">
      <w:pPr>
        <w:pStyle w:val="aff2"/>
        <w:bidi w:val="0"/>
        <w:rPr>
          <w:sz w:val="38"/>
          <w:szCs w:val="56"/>
          <w:rtl/>
        </w:rPr>
      </w:pPr>
    </w:p>
    <w:p w:rsidR="001E6BEE" w:rsidRDefault="001E6BEE" w:rsidP="00E507AC">
      <w:pPr>
        <w:pStyle w:val="aff2"/>
        <w:rPr>
          <w:sz w:val="52"/>
          <w:szCs w:val="70"/>
          <w:rtl/>
        </w:rPr>
      </w:pPr>
      <w:bookmarkStart w:id="508" w:name="_Toc255949659"/>
      <w:bookmarkStart w:id="509" w:name="_Toc275128215"/>
      <w:r>
        <w:rPr>
          <w:rFonts w:hint="cs"/>
          <w:sz w:val="52"/>
          <w:szCs w:val="70"/>
          <w:rtl/>
        </w:rPr>
        <w:t>الفصل الثالث</w:t>
      </w:r>
      <w:bookmarkEnd w:id="508"/>
      <w:bookmarkEnd w:id="509"/>
    </w:p>
    <w:p w:rsidR="00FB19C8" w:rsidRPr="00FB19C8" w:rsidRDefault="00FB19C8" w:rsidP="00FB19C8">
      <w:pPr>
        <w:pStyle w:val="aff2"/>
        <w:bidi w:val="0"/>
        <w:rPr>
          <w:sz w:val="2"/>
          <w:szCs w:val="8"/>
          <w:rtl/>
        </w:rPr>
      </w:pPr>
    </w:p>
    <w:p w:rsidR="006340C1" w:rsidRDefault="006340C1" w:rsidP="006340C1">
      <w:pPr>
        <w:pStyle w:val="aff2"/>
        <w:rPr>
          <w:rtl/>
        </w:rPr>
      </w:pPr>
      <w:bookmarkStart w:id="510" w:name="_Toc275128216"/>
      <w:r>
        <w:rPr>
          <w:rFonts w:hint="cs"/>
          <w:rtl/>
        </w:rPr>
        <w:t>المرأة والقضايا الاجتماعية والتربوية</w:t>
      </w:r>
      <w:r w:rsidR="00F834C2">
        <w:rPr>
          <w:rFonts w:hint="cs"/>
          <w:rtl/>
        </w:rPr>
        <w:t xml:space="preserve"> و..</w:t>
      </w:r>
      <w:bookmarkEnd w:id="510"/>
    </w:p>
    <w:p w:rsidR="001E6BEE" w:rsidRDefault="001E6BEE" w:rsidP="00FB6A2A">
      <w:pPr>
        <w:suppressLineNumbers/>
        <w:suppressAutoHyphens/>
        <w:spacing w:line="192" w:lineRule="auto"/>
        <w:ind w:firstLine="0"/>
        <w:outlineLvl w:val="9"/>
        <w:rPr>
          <w:szCs w:val="32"/>
          <w:rtl/>
        </w:rPr>
      </w:pPr>
      <w:r>
        <w:rPr>
          <w:rtl/>
        </w:rPr>
        <w:t xml:space="preserve"> </w:t>
      </w:r>
      <w:r>
        <w:tab/>
      </w:r>
    </w:p>
    <w:p w:rsidR="001E6BEE" w:rsidRDefault="001E6BEE" w:rsidP="00FB6A2A">
      <w:pPr>
        <w:pStyle w:val="ac"/>
        <w:suppressLineNumbers/>
        <w:suppressAutoHyphens/>
        <w:ind w:firstLine="0"/>
        <w:rPr>
          <w:rFonts w:cs="Al-Ghadeer Bold"/>
          <w:kern w:val="32"/>
          <w:szCs w:val="36"/>
          <w:rtl/>
        </w:rPr>
      </w:pPr>
    </w:p>
    <w:p w:rsidR="001E6BEE" w:rsidRPr="006C6C91" w:rsidRDefault="001E6BEE" w:rsidP="00FB6A2A">
      <w:pPr>
        <w:autoSpaceDE w:val="0"/>
        <w:autoSpaceDN w:val="0"/>
        <w:adjustRightInd w:val="0"/>
        <w:jc w:val="lowKashida"/>
        <w:rPr>
          <w:rFonts w:ascii="Taher" w:cs="Taher"/>
          <w:sz w:val="32"/>
          <w:szCs w:val="32"/>
          <w:rtl/>
        </w:rPr>
      </w:pPr>
      <w:r>
        <w:rPr>
          <w:rtl/>
        </w:rPr>
        <w:br w:type="page"/>
      </w:r>
    </w:p>
    <w:p w:rsidR="001E6BEE" w:rsidRDefault="001E6BEE">
      <w:pPr>
        <w:widowControl/>
        <w:bidi w:val="0"/>
        <w:outlineLvl w:val="9"/>
        <w:rPr>
          <w:rFonts w:ascii="Traditional Arabic" w:hAnsi="Traditional Arabic" w:cs="Taher"/>
          <w:b/>
          <w:bCs/>
          <w:sz w:val="48"/>
          <w:szCs w:val="48"/>
          <w:rtl/>
        </w:rPr>
      </w:pPr>
      <w:r>
        <w:rPr>
          <w:rFonts w:ascii="Traditional Arabic" w:hAnsi="Traditional Arabic" w:cs="Taher"/>
          <w:b/>
          <w:bCs/>
          <w:sz w:val="48"/>
          <w:szCs w:val="48"/>
          <w:rtl/>
        </w:rPr>
        <w:lastRenderedPageBreak/>
        <w:br w:type="page"/>
      </w:r>
    </w:p>
    <w:p w:rsidR="001E6BEE" w:rsidRDefault="001E6BEE" w:rsidP="00BE22AA">
      <w:pPr>
        <w:pStyle w:val="ac"/>
        <w:rPr>
          <w:rtl/>
        </w:rPr>
        <w:sectPr w:rsidR="001E6BEE" w:rsidSect="00EA348C">
          <w:headerReference w:type="even" r:id="rId94"/>
          <w:headerReference w:type="default" r:id="rId95"/>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E6BEE" w:rsidRDefault="001E6BEE" w:rsidP="00FB6A2A">
      <w:pPr>
        <w:pStyle w:val="ac"/>
        <w:rPr>
          <w:rtl/>
        </w:rPr>
      </w:pPr>
    </w:p>
    <w:p w:rsidR="001E6BEE" w:rsidRDefault="001E6BEE" w:rsidP="00607ED7">
      <w:pPr>
        <w:pStyle w:val="ac"/>
        <w:rPr>
          <w:rtl/>
        </w:rPr>
        <w:sectPr w:rsidR="001E6BEE" w:rsidSect="00EA348C">
          <w:headerReference w:type="default" r:id="rId9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E6BEE" w:rsidRDefault="001E6BEE" w:rsidP="00607ED7">
      <w:pPr>
        <w:pStyle w:val="ac"/>
        <w:rPr>
          <w:rtl/>
        </w:rPr>
      </w:pPr>
    </w:p>
    <w:p w:rsidR="001E6BEE" w:rsidRDefault="001E6BEE" w:rsidP="00607ED7">
      <w:pPr>
        <w:pStyle w:val="ac"/>
        <w:rPr>
          <w:rtl/>
        </w:rPr>
        <w:sectPr w:rsidR="001E6BEE" w:rsidSect="00EA348C">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1E6BEE" w:rsidRPr="00607ED7" w:rsidRDefault="001E6BEE" w:rsidP="00607ED7">
      <w:pPr>
        <w:pStyle w:val="ac"/>
        <w:rPr>
          <w:sz w:val="36"/>
          <w:szCs w:val="38"/>
          <w:rtl/>
        </w:rPr>
      </w:pPr>
    </w:p>
    <w:p w:rsidR="00607ED7" w:rsidRPr="00607ED7" w:rsidRDefault="00607ED7" w:rsidP="00607ED7">
      <w:pPr>
        <w:pStyle w:val="ac"/>
        <w:rPr>
          <w:rtl/>
        </w:rPr>
      </w:pPr>
    </w:p>
    <w:p w:rsidR="002D3095" w:rsidRDefault="002D3095" w:rsidP="00607ED7">
      <w:pPr>
        <w:pStyle w:val="ac"/>
        <w:rPr>
          <w:rtl/>
        </w:rPr>
      </w:pPr>
    </w:p>
    <w:p w:rsidR="00EC2F04" w:rsidRDefault="00EC2F04" w:rsidP="000757C4">
      <w:pPr>
        <w:pStyle w:val="aff2"/>
        <w:rPr>
          <w:rtl/>
        </w:rPr>
        <w:sectPr w:rsidR="00EC2F04" w:rsidSect="00BE22AA">
          <w:headerReference w:type="even" r:id="rId97"/>
          <w:headerReference w:type="default" r:id="rId98"/>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511" w:name="_Toc130368108"/>
      <w:bookmarkStart w:id="512" w:name="_Toc255949663"/>
    </w:p>
    <w:p w:rsidR="006E0FDB" w:rsidRDefault="006E0FDB" w:rsidP="006E0FDB">
      <w:pPr>
        <w:pStyle w:val="aff2"/>
        <w:rPr>
          <w:rStyle w:val="254225CharCharChar"/>
          <w:rFonts w:cs="Abz-3 (Yagut)"/>
          <w:sz w:val="36"/>
          <w:szCs w:val="36"/>
          <w:rtl/>
        </w:rPr>
      </w:pPr>
      <w:bookmarkStart w:id="513" w:name="_Toc169521448"/>
      <w:bookmarkStart w:id="514" w:name="_Toc275128217"/>
      <w:r w:rsidRPr="006E0FDB">
        <w:rPr>
          <w:rFonts w:hint="cs"/>
          <w:rtl/>
        </w:rPr>
        <w:lastRenderedPageBreak/>
        <w:t>النسويّة في إيران والبحث عن موطن جديد</w:t>
      </w:r>
      <w:bookmarkEnd w:id="513"/>
      <w:bookmarkEnd w:id="514"/>
    </w:p>
    <w:p w:rsidR="006E0FDB" w:rsidRDefault="006E0FDB" w:rsidP="006E0FDB">
      <w:pPr>
        <w:pStyle w:val="af7"/>
        <w:rPr>
          <w:b/>
          <w:sz w:val="28"/>
          <w:rtl/>
        </w:rPr>
      </w:pPr>
      <w:bookmarkStart w:id="515" w:name="_Toc168326357"/>
      <w:bookmarkStart w:id="516" w:name="_Toc275128218"/>
      <w:r w:rsidRPr="00CF7B01">
        <w:rPr>
          <w:rFonts w:hint="cs"/>
          <w:rtl/>
        </w:rPr>
        <w:t>د</w:t>
      </w:r>
      <w:r w:rsidR="00090BFD">
        <w:rPr>
          <w:rFonts w:hint="cs"/>
          <w:rtl/>
        </w:rPr>
        <w:t>.</w:t>
      </w:r>
      <w:r w:rsidRPr="00CF7B01">
        <w:rPr>
          <w:rFonts w:hint="cs"/>
          <w:rtl/>
        </w:rPr>
        <w:t xml:space="preserve"> ناهيد مطيع</w:t>
      </w:r>
      <w:r w:rsidRPr="00F834C2">
        <w:rPr>
          <w:rFonts w:ascii="Arno Pro Display" w:hAnsi="Arno Pro Display" w:cs="Taher"/>
          <w:bCs w:val="0"/>
          <w:sz w:val="28"/>
          <w:szCs w:val="30"/>
          <w:vertAlign w:val="superscript"/>
          <w:rtl/>
          <w:lang w:eastAsia="en-US"/>
        </w:rPr>
        <w:footnoteReference w:customMarkFollows="1" w:id="933"/>
        <w:t>(*)</w:t>
      </w:r>
      <w:bookmarkEnd w:id="515"/>
      <w:bookmarkEnd w:id="516"/>
    </w:p>
    <w:p w:rsidR="006E0FDB" w:rsidRPr="007D7079" w:rsidRDefault="006E0FDB" w:rsidP="006E0FDB">
      <w:pPr>
        <w:pStyle w:val="af7"/>
        <w:spacing w:before="0"/>
        <w:rPr>
          <w:rFonts w:cs="AL-Mohanad"/>
          <w:szCs w:val="27"/>
          <w:rtl/>
        </w:rPr>
      </w:pPr>
      <w:bookmarkStart w:id="517" w:name="_Toc168326358"/>
      <w:bookmarkStart w:id="518" w:name="_Toc169521449"/>
      <w:bookmarkStart w:id="519" w:name="_Toc275128219"/>
      <w:r w:rsidRPr="00FB59F1">
        <w:rPr>
          <w:rFonts w:hint="cs"/>
          <w:rtl/>
        </w:rPr>
        <w:t>ترجمة: السيد علي عباس الموسوي</w:t>
      </w:r>
      <w:bookmarkEnd w:id="517"/>
      <w:bookmarkEnd w:id="518"/>
      <w:bookmarkEnd w:id="519"/>
    </w:p>
    <w:p w:rsidR="006E0FDB" w:rsidRPr="009368DE" w:rsidRDefault="006E0FDB" w:rsidP="006E0FDB">
      <w:pPr>
        <w:pStyle w:val="ac"/>
        <w:rPr>
          <w:sz w:val="18"/>
          <w:szCs w:val="20"/>
          <w:rtl/>
        </w:rPr>
      </w:pPr>
    </w:p>
    <w:p w:rsidR="006E0FDB" w:rsidRPr="00F834C2" w:rsidRDefault="006E0FDB" w:rsidP="0008530B">
      <w:pPr>
        <w:pStyle w:val="ac"/>
        <w:ind w:left="566" w:right="426" w:firstLine="0"/>
        <w:rPr>
          <w:b/>
          <w:bCs/>
          <w:rtl/>
        </w:rPr>
      </w:pPr>
      <w:r w:rsidRPr="00F834C2">
        <w:rPr>
          <w:rFonts w:hint="cs"/>
          <w:b/>
          <w:bCs/>
          <w:rtl/>
        </w:rPr>
        <w:t>هذه المقالة والمقالة التي تليها ناقدةً لها</w:t>
      </w:r>
      <w:r w:rsidR="0008530B">
        <w:rPr>
          <w:rFonts w:hint="cs"/>
          <w:b/>
          <w:bCs/>
          <w:rtl/>
        </w:rPr>
        <w:t xml:space="preserve">، </w:t>
      </w:r>
      <w:r w:rsidRPr="00F834C2">
        <w:rPr>
          <w:rFonts w:hint="cs"/>
          <w:b/>
          <w:bCs/>
          <w:rtl/>
        </w:rPr>
        <w:t>تعب</w:t>
      </w:r>
      <w:r w:rsidR="0008530B">
        <w:rPr>
          <w:rFonts w:hint="cs"/>
          <w:b/>
          <w:bCs/>
          <w:rtl/>
        </w:rPr>
        <w:t>ّ</w:t>
      </w:r>
      <w:r w:rsidRPr="00F834C2">
        <w:rPr>
          <w:rFonts w:hint="cs"/>
          <w:b/>
          <w:bCs/>
          <w:rtl/>
        </w:rPr>
        <w:t xml:space="preserve">ران عن وجهتي نظر في مسألة واحدة، وقد أحبّت مجلة </w:t>
      </w:r>
      <w:r w:rsidRPr="00F834C2">
        <w:rPr>
          <w:rFonts w:cs="AL-Mohanad" w:hint="cs"/>
          <w:b/>
          <w:bCs/>
          <w:sz w:val="30"/>
        </w:rPr>
        <w:sym w:font="Islamic Units 1" w:char="F06D"/>
      </w:r>
      <w:r w:rsidRPr="00F834C2">
        <w:rPr>
          <w:rFonts w:hint="cs"/>
          <w:b/>
          <w:bCs/>
          <w:rtl/>
        </w:rPr>
        <w:t>نصوص معاصرة</w:t>
      </w:r>
      <w:r w:rsidRPr="00F834C2">
        <w:rPr>
          <w:rFonts w:cs="AL-Mohanad" w:hint="cs"/>
          <w:b/>
          <w:bCs/>
          <w:sz w:val="30"/>
        </w:rPr>
        <w:sym w:font="Islamic Units 1" w:char="F06E"/>
      </w:r>
      <w:r w:rsidRPr="00F834C2">
        <w:rPr>
          <w:rFonts w:hint="cs"/>
          <w:b/>
          <w:bCs/>
          <w:rtl/>
        </w:rPr>
        <w:t xml:space="preserve"> عرض هاتين الوجهتين من قبل باحثين مختصّين في العلوم الاجتماعية.</w:t>
      </w:r>
    </w:p>
    <w:p w:rsidR="006E0FDB" w:rsidRPr="009368DE" w:rsidRDefault="006E0FDB" w:rsidP="009368DE">
      <w:pPr>
        <w:pStyle w:val="afffffc"/>
        <w:rPr>
          <w:sz w:val="20"/>
          <w:szCs w:val="18"/>
          <w:rtl/>
        </w:rPr>
      </w:pPr>
    </w:p>
    <w:p w:rsidR="006E0FDB" w:rsidRPr="00D457EB" w:rsidRDefault="006E0FDB" w:rsidP="006E0FDB">
      <w:pPr>
        <w:pStyle w:val="1"/>
        <w:rPr>
          <w:rtl/>
        </w:rPr>
      </w:pPr>
      <w:bookmarkStart w:id="520" w:name="_Toc169521450"/>
      <w:bookmarkStart w:id="521" w:name="_Toc275128220"/>
      <w:r w:rsidRPr="00D457EB">
        <w:rPr>
          <w:rFonts w:hint="cs"/>
          <w:rtl/>
        </w:rPr>
        <w:t>النسوية</w:t>
      </w:r>
      <w:r>
        <w:rPr>
          <w:rFonts w:cs="Simplified Arabic" w:hint="cs"/>
          <w:rtl/>
        </w:rPr>
        <w:t>:</w:t>
      </w:r>
      <w:r w:rsidRPr="00D457EB">
        <w:rPr>
          <w:rFonts w:hint="cs"/>
          <w:rtl/>
        </w:rPr>
        <w:t xml:space="preserve"> المصطلح</w:t>
      </w:r>
      <w:r w:rsidRPr="003A6D60">
        <w:rPr>
          <w:rFonts w:cs="Simplified Arabic" w:hint="cs"/>
          <w:rtl/>
        </w:rPr>
        <w:t>،</w:t>
      </w:r>
      <w:r w:rsidRPr="00D457EB">
        <w:rPr>
          <w:rFonts w:hint="cs"/>
          <w:rtl/>
        </w:rPr>
        <w:t xml:space="preserve"> والمدلولات</w:t>
      </w:r>
      <w:r w:rsidRPr="003A6D60">
        <w:rPr>
          <w:rFonts w:cs="Simplified Arabic" w:hint="cs"/>
          <w:rtl/>
        </w:rPr>
        <w:t>،</w:t>
      </w:r>
      <w:r w:rsidRPr="00D457EB">
        <w:rPr>
          <w:rFonts w:hint="cs"/>
          <w:rtl/>
        </w:rPr>
        <w:t xml:space="preserve"> والاتجاهات</w:t>
      </w:r>
      <w:bookmarkEnd w:id="520"/>
      <w:bookmarkEnd w:id="521"/>
      <w:r w:rsidRPr="00D457EB">
        <w:rPr>
          <w:rFonts w:hint="cs"/>
          <w:rtl/>
        </w:rPr>
        <w:t xml:space="preserve"> </w:t>
      </w:r>
    </w:p>
    <w:p w:rsidR="006E0FDB" w:rsidRDefault="006E0FDB" w:rsidP="006E0FDB">
      <w:pPr>
        <w:pStyle w:val="ac"/>
        <w:rPr>
          <w:rtl/>
        </w:rPr>
      </w:pPr>
      <w:r w:rsidRPr="007D7079">
        <w:rPr>
          <w:rFonts w:hint="cs"/>
          <w:rtl/>
        </w:rPr>
        <w:t>ولدت كلمة النسوية</w:t>
      </w:r>
      <w:r w:rsidRPr="00815C4C">
        <w:rPr>
          <w:rFonts w:cs="Taher" w:hint="cs"/>
          <w:vertAlign w:val="superscript"/>
          <w:rtl/>
        </w:rPr>
        <w:t>(</w:t>
      </w:r>
      <w:r w:rsidRPr="00815C4C">
        <w:rPr>
          <w:rFonts w:cs="Taher"/>
          <w:vertAlign w:val="superscript"/>
          <w:rtl/>
        </w:rPr>
        <w:footnoteReference w:id="934"/>
      </w:r>
      <w:r w:rsidRPr="00815C4C">
        <w:rPr>
          <w:rFonts w:cs="Taher" w:hint="cs"/>
          <w:vertAlign w:val="superscript"/>
          <w:rtl/>
        </w:rPr>
        <w:t>)</w:t>
      </w:r>
      <w:r w:rsidRPr="007D7079">
        <w:rPr>
          <w:rtl/>
        </w:rPr>
        <w:t xml:space="preserve"> </w:t>
      </w:r>
      <w:r>
        <w:rPr>
          <w:rFonts w:hint="cs"/>
          <w:rtl/>
        </w:rPr>
        <w:t>عام</w:t>
      </w:r>
      <w:r w:rsidRPr="007D7079">
        <w:rPr>
          <w:rFonts w:hint="cs"/>
          <w:rtl/>
        </w:rPr>
        <w:t xml:space="preserve"> 1890</w:t>
      </w:r>
      <w:r>
        <w:rPr>
          <w:rFonts w:hint="cs"/>
          <w:rtl/>
        </w:rPr>
        <w:t>م</w:t>
      </w:r>
      <w:r w:rsidRPr="007D7079">
        <w:rPr>
          <w:rFonts w:hint="cs"/>
          <w:rtl/>
        </w:rPr>
        <w:t xml:space="preserve"> ضمن معان</w:t>
      </w:r>
      <w:r>
        <w:rPr>
          <w:rFonts w:hint="cs"/>
          <w:rtl/>
        </w:rPr>
        <w:t>ٍ متعددة؛</w:t>
      </w:r>
      <w:r w:rsidRPr="007D7079">
        <w:rPr>
          <w:rFonts w:hint="cs"/>
          <w:rtl/>
        </w:rPr>
        <w:t xml:space="preserve"> فقد كانت تطلق كلمة نسوي</w:t>
      </w:r>
      <w:r>
        <w:rPr>
          <w:rFonts w:hint="cs"/>
          <w:rtl/>
        </w:rPr>
        <w:t>ّ</w:t>
      </w:r>
      <w:r w:rsidRPr="007D7079">
        <w:rPr>
          <w:rFonts w:hint="cs"/>
          <w:rtl/>
        </w:rPr>
        <w:t xml:space="preserve"> في تلك الحقبة ليس فقط على من يدافع عن الدور المتزايد للمرأة، بل </w:t>
      </w:r>
      <w:r>
        <w:rPr>
          <w:rFonts w:hint="cs"/>
          <w:rtl/>
        </w:rPr>
        <w:t>و</w:t>
      </w:r>
      <w:r w:rsidRPr="007D7079">
        <w:rPr>
          <w:rFonts w:hint="cs"/>
          <w:rtl/>
        </w:rPr>
        <w:t>أيضا</w:t>
      </w:r>
      <w:r>
        <w:rPr>
          <w:rFonts w:hint="cs"/>
          <w:rtl/>
        </w:rPr>
        <w:t>ً</w:t>
      </w:r>
      <w:r w:rsidRPr="007D7079">
        <w:rPr>
          <w:rFonts w:hint="cs"/>
          <w:rtl/>
        </w:rPr>
        <w:t xml:space="preserve"> على من يدافع عن النساء </w:t>
      </w:r>
      <w:r>
        <w:rPr>
          <w:rFonts w:hint="cs"/>
          <w:rtl/>
        </w:rPr>
        <w:t xml:space="preserve">بوصفهنّ </w:t>
      </w:r>
      <w:r w:rsidRPr="007D7079">
        <w:rPr>
          <w:rFonts w:hint="cs"/>
          <w:rtl/>
        </w:rPr>
        <w:t>موجودات مستقل</w:t>
      </w:r>
      <w:r>
        <w:rPr>
          <w:rFonts w:hint="cs"/>
          <w:rtl/>
        </w:rPr>
        <w:t>ّة،</w:t>
      </w:r>
      <w:r w:rsidRPr="007D7079">
        <w:rPr>
          <w:rFonts w:hint="cs"/>
          <w:rtl/>
        </w:rPr>
        <w:t xml:space="preserve"> لكن</w:t>
      </w:r>
      <w:r>
        <w:rPr>
          <w:rFonts w:hint="cs"/>
          <w:rtl/>
        </w:rPr>
        <w:t>ّ</w:t>
      </w:r>
      <w:r w:rsidRPr="007D7079">
        <w:rPr>
          <w:rFonts w:hint="cs"/>
          <w:rtl/>
        </w:rPr>
        <w:t xml:space="preserve"> الدور ال</w:t>
      </w:r>
      <w:r>
        <w:rPr>
          <w:rFonts w:hint="cs"/>
          <w:rtl/>
        </w:rPr>
        <w:t>اجتماع</w:t>
      </w:r>
      <w:r w:rsidRPr="007D7079">
        <w:rPr>
          <w:rFonts w:hint="cs"/>
          <w:rtl/>
        </w:rPr>
        <w:t>ي والفردي للمرأة</w:t>
      </w:r>
      <w:r>
        <w:rPr>
          <w:rFonts w:hint="cs"/>
          <w:rtl/>
        </w:rPr>
        <w:t xml:space="preserve"> خضع </w:t>
      </w:r>
      <w:r w:rsidRPr="007D7079">
        <w:rPr>
          <w:rFonts w:hint="cs"/>
          <w:rtl/>
        </w:rPr>
        <w:t>في القرن الماضي</w:t>
      </w:r>
      <w:r>
        <w:rPr>
          <w:rFonts w:hint="cs"/>
          <w:rtl/>
        </w:rPr>
        <w:t xml:space="preserve"> إلى بسطٍ وصيرورة،</w:t>
      </w:r>
      <w:r w:rsidRPr="007D7079">
        <w:rPr>
          <w:rFonts w:hint="cs"/>
          <w:rtl/>
        </w:rPr>
        <w:t xml:space="preserve"> وقد أد</w:t>
      </w:r>
      <w:r>
        <w:rPr>
          <w:rFonts w:hint="cs"/>
          <w:rtl/>
        </w:rPr>
        <w:t>ّ</w:t>
      </w:r>
      <w:r w:rsidRPr="007D7079">
        <w:rPr>
          <w:rFonts w:hint="cs"/>
          <w:rtl/>
        </w:rPr>
        <w:t>ى ذلك</w:t>
      </w:r>
      <w:r>
        <w:rPr>
          <w:rFonts w:hint="cs"/>
          <w:rtl/>
        </w:rPr>
        <w:t xml:space="preserve"> إلى </w:t>
      </w:r>
      <w:r w:rsidRPr="007D7079">
        <w:rPr>
          <w:rFonts w:hint="cs"/>
          <w:rtl/>
        </w:rPr>
        <w:t>نوع</w:t>
      </w:r>
      <w:r>
        <w:rPr>
          <w:rFonts w:hint="cs"/>
          <w:rtl/>
        </w:rPr>
        <w:t>ٍ</w:t>
      </w:r>
      <w:r w:rsidRPr="007D7079">
        <w:rPr>
          <w:rFonts w:hint="cs"/>
          <w:rtl/>
        </w:rPr>
        <w:t xml:space="preserve"> من </w:t>
      </w:r>
      <w:r>
        <w:rPr>
          <w:rFonts w:hint="cs"/>
          <w:rtl/>
        </w:rPr>
        <w:t xml:space="preserve">التحوّل في </w:t>
      </w:r>
      <w:r w:rsidRPr="007D7079">
        <w:rPr>
          <w:rFonts w:hint="cs"/>
          <w:rtl/>
        </w:rPr>
        <w:t xml:space="preserve">تعريف النسوية، </w:t>
      </w:r>
      <w:r>
        <w:rPr>
          <w:rFonts w:hint="cs"/>
          <w:rtl/>
        </w:rPr>
        <w:t>ف</w:t>
      </w:r>
      <w:r w:rsidRPr="007D7079">
        <w:rPr>
          <w:rFonts w:hint="cs"/>
          <w:rtl/>
        </w:rPr>
        <w:t>أصبح من غير الممكن التعبير عنه بشكل</w:t>
      </w:r>
      <w:r>
        <w:rPr>
          <w:rFonts w:hint="cs"/>
          <w:rtl/>
        </w:rPr>
        <w:t>ٍ</w:t>
      </w:r>
      <w:r w:rsidRPr="007D7079">
        <w:rPr>
          <w:rFonts w:hint="cs"/>
          <w:rtl/>
        </w:rPr>
        <w:t xml:space="preserve"> بسيط وبقالب</w:t>
      </w:r>
      <w:r>
        <w:rPr>
          <w:rFonts w:hint="cs"/>
          <w:rtl/>
        </w:rPr>
        <w:t>ٍ</w:t>
      </w:r>
      <w:r w:rsidRPr="007D7079">
        <w:rPr>
          <w:rFonts w:hint="cs"/>
          <w:rtl/>
        </w:rPr>
        <w:t xml:space="preserve"> موح</w:t>
      </w:r>
      <w:r>
        <w:rPr>
          <w:rFonts w:hint="cs"/>
          <w:rtl/>
        </w:rPr>
        <w:t xml:space="preserve">ّد، </w:t>
      </w:r>
      <w:r w:rsidRPr="007D7079">
        <w:rPr>
          <w:rFonts w:hint="cs"/>
          <w:rtl/>
        </w:rPr>
        <w:lastRenderedPageBreak/>
        <w:t>ونذكر هنا بعضا</w:t>
      </w:r>
      <w:r>
        <w:rPr>
          <w:rFonts w:hint="cs"/>
          <w:rtl/>
        </w:rPr>
        <w:t>ً من هذه التعاريف.</w:t>
      </w:r>
    </w:p>
    <w:p w:rsidR="006E0FDB" w:rsidRPr="007D7079" w:rsidRDefault="006E0FDB" w:rsidP="006E0FDB">
      <w:pPr>
        <w:pStyle w:val="ac"/>
        <w:rPr>
          <w:rtl/>
        </w:rPr>
      </w:pPr>
      <w:r>
        <w:rPr>
          <w:rFonts w:hint="cs"/>
          <w:rtl/>
        </w:rPr>
        <w:t>تعتقد أ</w:t>
      </w:r>
      <w:r w:rsidRPr="007D7079">
        <w:rPr>
          <w:rFonts w:hint="cs"/>
          <w:rtl/>
        </w:rPr>
        <w:t>درين ريتش (</w:t>
      </w:r>
      <w:r w:rsidRPr="007D7079">
        <w:t>Adrin Rich</w:t>
      </w:r>
      <w:r w:rsidRPr="007D7079">
        <w:rPr>
          <w:rFonts w:hint="cs"/>
          <w:rtl/>
        </w:rPr>
        <w:t xml:space="preserve">) أن النسوية </w:t>
      </w:r>
      <w:r>
        <w:rPr>
          <w:rFonts w:hint="cs"/>
          <w:rtl/>
        </w:rPr>
        <w:t xml:space="preserve">ـ </w:t>
      </w:r>
      <w:r w:rsidRPr="007D7079">
        <w:rPr>
          <w:rFonts w:hint="cs"/>
          <w:rtl/>
        </w:rPr>
        <w:t>من جهة</w:t>
      </w:r>
      <w:r>
        <w:rPr>
          <w:rFonts w:hint="cs"/>
          <w:rtl/>
        </w:rPr>
        <w:t>ٍ</w:t>
      </w:r>
      <w:r w:rsidRPr="007D7079">
        <w:rPr>
          <w:rFonts w:hint="cs"/>
          <w:rtl/>
        </w:rPr>
        <w:t xml:space="preserve"> </w:t>
      </w:r>
      <w:r>
        <w:rPr>
          <w:rFonts w:hint="cs"/>
          <w:rtl/>
        </w:rPr>
        <w:t xml:space="preserve">ـ </w:t>
      </w:r>
      <w:r w:rsidRPr="007D7079">
        <w:rPr>
          <w:rFonts w:hint="cs"/>
          <w:rtl/>
        </w:rPr>
        <w:t>لقب</w:t>
      </w:r>
      <w:r>
        <w:rPr>
          <w:rFonts w:hint="cs"/>
          <w:rtl/>
        </w:rPr>
        <w:t>ٌ</w:t>
      </w:r>
      <w:r w:rsidRPr="007D7079">
        <w:rPr>
          <w:rFonts w:hint="cs"/>
          <w:rtl/>
        </w:rPr>
        <w:t xml:space="preserve"> لا جدوى منه ويصح</w:t>
      </w:r>
      <w:r>
        <w:rPr>
          <w:rFonts w:hint="cs"/>
          <w:rtl/>
        </w:rPr>
        <w:t>ّ</w:t>
      </w:r>
      <w:r w:rsidRPr="007D7079">
        <w:rPr>
          <w:rFonts w:hint="cs"/>
          <w:rtl/>
        </w:rPr>
        <w:t xml:space="preserve"> وصفه ب</w:t>
      </w:r>
      <w:r>
        <w:rPr>
          <w:rFonts w:hint="cs"/>
          <w:rtl/>
        </w:rPr>
        <w:t xml:space="preserve">السخيف، </w:t>
      </w:r>
      <w:r w:rsidRPr="007D7079">
        <w:rPr>
          <w:rFonts w:hint="cs"/>
          <w:rtl/>
        </w:rPr>
        <w:t>لكن</w:t>
      </w:r>
      <w:r>
        <w:rPr>
          <w:rFonts w:hint="cs"/>
          <w:rtl/>
        </w:rPr>
        <w:t>ّ</w:t>
      </w:r>
      <w:r w:rsidRPr="007D7079">
        <w:rPr>
          <w:rFonts w:hint="cs"/>
          <w:rtl/>
        </w:rPr>
        <w:t xml:space="preserve">ها </w:t>
      </w:r>
      <w:r>
        <w:rPr>
          <w:rFonts w:hint="cs"/>
          <w:rtl/>
        </w:rPr>
        <w:t xml:space="preserve">ـ </w:t>
      </w:r>
      <w:r w:rsidRPr="007D7079">
        <w:rPr>
          <w:rFonts w:hint="cs"/>
          <w:rtl/>
        </w:rPr>
        <w:t>من جهة</w:t>
      </w:r>
      <w:r>
        <w:rPr>
          <w:rFonts w:hint="cs"/>
          <w:rtl/>
        </w:rPr>
        <w:t>ٍ</w:t>
      </w:r>
      <w:r w:rsidRPr="007D7079">
        <w:rPr>
          <w:rFonts w:hint="cs"/>
          <w:rtl/>
        </w:rPr>
        <w:t xml:space="preserve"> </w:t>
      </w:r>
      <w:r>
        <w:rPr>
          <w:rFonts w:hint="cs"/>
          <w:rtl/>
        </w:rPr>
        <w:t>أخرى</w:t>
      </w:r>
      <w:r w:rsidRPr="007D7079">
        <w:rPr>
          <w:rFonts w:hint="cs"/>
          <w:rtl/>
        </w:rPr>
        <w:t xml:space="preserve"> </w:t>
      </w:r>
      <w:r>
        <w:rPr>
          <w:rFonts w:hint="cs"/>
          <w:rtl/>
        </w:rPr>
        <w:t xml:space="preserve">ـ </w:t>
      </w:r>
      <w:r w:rsidRPr="007D7079">
        <w:rPr>
          <w:rFonts w:hint="cs"/>
          <w:rtl/>
        </w:rPr>
        <w:t>نوع</w:t>
      </w:r>
      <w:r>
        <w:rPr>
          <w:rFonts w:hint="cs"/>
          <w:rtl/>
        </w:rPr>
        <w:t>اً</w:t>
      </w:r>
      <w:r w:rsidRPr="007D7079">
        <w:rPr>
          <w:rFonts w:hint="cs"/>
          <w:rtl/>
        </w:rPr>
        <w:t xml:space="preserve"> من ال</w:t>
      </w:r>
      <w:r>
        <w:rPr>
          <w:rFonts w:hint="cs"/>
          <w:rtl/>
        </w:rPr>
        <w:t>أخلاق</w:t>
      </w:r>
      <w:r w:rsidRPr="007D7079">
        <w:rPr>
          <w:rFonts w:hint="cs"/>
          <w:rtl/>
        </w:rPr>
        <w:t xml:space="preserve"> ومنهج</w:t>
      </w:r>
      <w:r>
        <w:rPr>
          <w:rFonts w:hint="cs"/>
          <w:rtl/>
        </w:rPr>
        <w:t>اً</w:t>
      </w:r>
      <w:r w:rsidRPr="007D7079">
        <w:rPr>
          <w:rFonts w:hint="cs"/>
          <w:rtl/>
        </w:rPr>
        <w:t xml:space="preserve"> معرفي</w:t>
      </w:r>
      <w:r>
        <w:rPr>
          <w:rFonts w:hint="cs"/>
          <w:rtl/>
        </w:rPr>
        <w:t xml:space="preserve">ّاً، أو </w:t>
      </w:r>
      <w:r w:rsidRPr="007D7079">
        <w:rPr>
          <w:rFonts w:hint="cs"/>
          <w:rtl/>
        </w:rPr>
        <w:t>طريقة معقدة من التفكير والعمل تدور حول الظروف الحياتية التي نعيش فيها.</w:t>
      </w:r>
    </w:p>
    <w:p w:rsidR="006E0FDB" w:rsidRDefault="006E0FDB" w:rsidP="006E0FDB">
      <w:pPr>
        <w:pStyle w:val="ac"/>
        <w:rPr>
          <w:rtl/>
        </w:rPr>
      </w:pPr>
      <w:r w:rsidRPr="007D7079">
        <w:rPr>
          <w:rFonts w:hint="cs"/>
          <w:rtl/>
        </w:rPr>
        <w:t>ويرى كريس ويدون (</w:t>
      </w:r>
      <w:r w:rsidRPr="007D7079">
        <w:t>Chris Weedon</w:t>
      </w:r>
      <w:r w:rsidRPr="007D7079">
        <w:rPr>
          <w:rFonts w:hint="cs"/>
          <w:rtl/>
        </w:rPr>
        <w:t>)</w:t>
      </w:r>
      <w:r>
        <w:rPr>
          <w:rFonts w:hint="cs"/>
          <w:rtl/>
        </w:rPr>
        <w:t>،</w:t>
      </w:r>
      <w:r w:rsidRPr="007D7079">
        <w:rPr>
          <w:rFonts w:hint="cs"/>
          <w:rtl/>
        </w:rPr>
        <w:t xml:space="preserve"> عالم ال</w:t>
      </w:r>
      <w:r>
        <w:rPr>
          <w:rFonts w:hint="cs"/>
          <w:rtl/>
        </w:rPr>
        <w:t>اجتماع الانج</w:t>
      </w:r>
      <w:r w:rsidRPr="007D7079">
        <w:rPr>
          <w:rFonts w:hint="cs"/>
          <w:rtl/>
        </w:rPr>
        <w:t>ليزي المعروف</w:t>
      </w:r>
      <w:r>
        <w:rPr>
          <w:rFonts w:hint="cs"/>
          <w:rtl/>
        </w:rPr>
        <w:t>، أ</w:t>
      </w:r>
      <w:r w:rsidRPr="007D7079">
        <w:rPr>
          <w:rFonts w:hint="cs"/>
          <w:rtl/>
        </w:rPr>
        <w:t>ن</w:t>
      </w:r>
      <w:r>
        <w:rPr>
          <w:rFonts w:hint="cs"/>
          <w:rtl/>
        </w:rPr>
        <w:t>ّ</w:t>
      </w:r>
      <w:r w:rsidRPr="007D7079">
        <w:rPr>
          <w:rFonts w:hint="cs"/>
          <w:rtl/>
        </w:rPr>
        <w:t xml:space="preserve"> النسوية سياسة تت</w:t>
      </w:r>
      <w:r>
        <w:rPr>
          <w:rFonts w:hint="cs"/>
          <w:rtl/>
        </w:rPr>
        <w:t>ّ</w:t>
      </w:r>
      <w:r w:rsidRPr="007D7079">
        <w:rPr>
          <w:rFonts w:hint="cs"/>
          <w:rtl/>
        </w:rPr>
        <w:t>جه نحو تغيير موازين القوى في العلا</w:t>
      </w:r>
      <w:r>
        <w:rPr>
          <w:rFonts w:hint="cs"/>
          <w:rtl/>
        </w:rPr>
        <w:t>قات القائمة بين الرجل والمرأة، أ</w:t>
      </w:r>
      <w:r w:rsidRPr="007D7079">
        <w:rPr>
          <w:rFonts w:hint="cs"/>
          <w:rtl/>
        </w:rPr>
        <w:t>م</w:t>
      </w:r>
      <w:r>
        <w:rPr>
          <w:rFonts w:hint="cs"/>
          <w:rtl/>
        </w:rPr>
        <w:t>ّ</w:t>
      </w:r>
      <w:r w:rsidRPr="007D7079">
        <w:rPr>
          <w:rFonts w:hint="cs"/>
          <w:rtl/>
        </w:rPr>
        <w:t xml:space="preserve">ا وجهة نظر بيل هوكس </w:t>
      </w:r>
      <w:r w:rsidRPr="007D7079">
        <w:rPr>
          <w:rtl/>
        </w:rPr>
        <w:t>(</w:t>
      </w:r>
      <w:r w:rsidRPr="007D7079">
        <w:t>Bell Hooks</w:t>
      </w:r>
      <w:r w:rsidRPr="007D7079">
        <w:rPr>
          <w:rFonts w:hint="cs"/>
          <w:rtl/>
        </w:rPr>
        <w:t>)</w:t>
      </w:r>
      <w:r>
        <w:rPr>
          <w:rFonts w:hint="cs"/>
          <w:rtl/>
        </w:rPr>
        <w:t>،</w:t>
      </w:r>
      <w:r w:rsidRPr="007D7079">
        <w:rPr>
          <w:rFonts w:hint="cs"/>
          <w:rtl/>
        </w:rPr>
        <w:t xml:space="preserve"> الناقد ال</w:t>
      </w:r>
      <w:r>
        <w:rPr>
          <w:rFonts w:hint="cs"/>
          <w:rtl/>
        </w:rPr>
        <w:t>أمر</w:t>
      </w:r>
      <w:r w:rsidRPr="007D7079">
        <w:rPr>
          <w:rFonts w:hint="cs"/>
          <w:rtl/>
        </w:rPr>
        <w:t>يكي المعروف</w:t>
      </w:r>
      <w:r>
        <w:rPr>
          <w:rFonts w:hint="cs"/>
          <w:rtl/>
        </w:rPr>
        <w:t>،</w:t>
      </w:r>
      <w:r w:rsidRPr="007D7079">
        <w:rPr>
          <w:rFonts w:hint="cs"/>
          <w:rtl/>
        </w:rPr>
        <w:t xml:space="preserve"> فالنسوية حركة سياسية اقتصادية و</w:t>
      </w:r>
      <w:r>
        <w:rPr>
          <w:rFonts w:hint="cs"/>
          <w:rtl/>
        </w:rPr>
        <w:t>اجتماع</w:t>
      </w:r>
      <w:r w:rsidRPr="007D7079">
        <w:rPr>
          <w:rFonts w:hint="cs"/>
          <w:rtl/>
        </w:rPr>
        <w:t>ية تسعى</w:t>
      </w:r>
      <w:r>
        <w:rPr>
          <w:rFonts w:hint="cs"/>
          <w:rtl/>
        </w:rPr>
        <w:t xml:space="preserve"> إلى رفع</w:t>
      </w:r>
      <w:r w:rsidRPr="007D7079">
        <w:rPr>
          <w:rFonts w:hint="cs"/>
          <w:rtl/>
        </w:rPr>
        <w:t xml:space="preserve"> أي</w:t>
      </w:r>
      <w:r>
        <w:rPr>
          <w:rFonts w:hint="cs"/>
          <w:rtl/>
        </w:rPr>
        <w:t>ّ</w:t>
      </w:r>
      <w:r w:rsidRPr="007D7079">
        <w:rPr>
          <w:rFonts w:hint="cs"/>
          <w:rtl/>
        </w:rPr>
        <w:t xml:space="preserve"> نوع</w:t>
      </w:r>
      <w:r>
        <w:rPr>
          <w:rFonts w:hint="cs"/>
          <w:rtl/>
        </w:rPr>
        <w:t>ٍ</w:t>
      </w:r>
      <w:r w:rsidRPr="007D7079">
        <w:rPr>
          <w:rFonts w:hint="cs"/>
          <w:rtl/>
        </w:rPr>
        <w:t xml:space="preserve"> من ال</w:t>
      </w:r>
      <w:r>
        <w:rPr>
          <w:rFonts w:hint="cs"/>
          <w:rtl/>
        </w:rPr>
        <w:t xml:space="preserve">هيمنة القائمة على </w:t>
      </w:r>
      <w:r w:rsidRPr="007D7079">
        <w:rPr>
          <w:rFonts w:hint="cs"/>
          <w:rtl/>
        </w:rPr>
        <w:t>العامل الجنسي</w:t>
      </w:r>
      <w:r>
        <w:rPr>
          <w:rFonts w:hint="cs"/>
          <w:rtl/>
        </w:rPr>
        <w:t xml:space="preserve"> أو </w:t>
      </w:r>
      <w:r w:rsidRPr="007D7079">
        <w:rPr>
          <w:rFonts w:hint="cs"/>
          <w:rtl/>
        </w:rPr>
        <w:t>السياسي</w:t>
      </w:r>
      <w:r>
        <w:rPr>
          <w:rFonts w:hint="cs"/>
          <w:rtl/>
        </w:rPr>
        <w:t xml:space="preserve"> أو </w:t>
      </w:r>
      <w:r w:rsidRPr="007D7079">
        <w:rPr>
          <w:rFonts w:hint="cs"/>
          <w:rtl/>
        </w:rPr>
        <w:t>العرقي</w:t>
      </w:r>
      <w:r>
        <w:rPr>
          <w:rFonts w:hint="cs"/>
          <w:rtl/>
        </w:rPr>
        <w:t>،</w:t>
      </w:r>
      <w:r w:rsidRPr="007D7079">
        <w:rPr>
          <w:rFonts w:hint="cs"/>
          <w:rtl/>
        </w:rPr>
        <w:t xml:space="preserve"> وإعادة بناء المجتمع بنحو</w:t>
      </w:r>
      <w:r>
        <w:rPr>
          <w:rFonts w:hint="cs"/>
          <w:rtl/>
        </w:rPr>
        <w:t>ٍ</w:t>
      </w:r>
      <w:r w:rsidRPr="007D7079">
        <w:rPr>
          <w:rFonts w:hint="cs"/>
          <w:rtl/>
        </w:rPr>
        <w:t xml:space="preserve"> يسير فيه النمو</w:t>
      </w:r>
      <w:r>
        <w:rPr>
          <w:rFonts w:hint="cs"/>
          <w:rtl/>
        </w:rPr>
        <w:t>ّ</w:t>
      </w:r>
      <w:r w:rsidRPr="007D7079">
        <w:rPr>
          <w:rFonts w:hint="cs"/>
          <w:rtl/>
        </w:rPr>
        <w:t xml:space="preserve"> الفردي نحو ترجيح مصالح الإمبريالية والتنمية الاقتصادية والميول المادي</w:t>
      </w:r>
      <w:r>
        <w:rPr>
          <w:rFonts w:hint="cs"/>
          <w:rtl/>
        </w:rPr>
        <w:t>ة.</w:t>
      </w:r>
    </w:p>
    <w:p w:rsidR="006E0FDB" w:rsidRPr="007D7079" w:rsidRDefault="006E0FDB" w:rsidP="006E0FDB">
      <w:pPr>
        <w:pStyle w:val="ac"/>
        <w:rPr>
          <w:rtl/>
        </w:rPr>
      </w:pPr>
      <w:r>
        <w:rPr>
          <w:rFonts w:hint="cs"/>
          <w:rtl/>
        </w:rPr>
        <w:t>أ</w:t>
      </w:r>
      <w:r w:rsidRPr="007D7079">
        <w:rPr>
          <w:rFonts w:hint="cs"/>
          <w:rtl/>
        </w:rPr>
        <w:t>م</w:t>
      </w:r>
      <w:r>
        <w:rPr>
          <w:rFonts w:hint="cs"/>
          <w:rtl/>
        </w:rPr>
        <w:t>ّ</w:t>
      </w:r>
      <w:r w:rsidRPr="007D7079">
        <w:rPr>
          <w:rFonts w:hint="cs"/>
          <w:rtl/>
        </w:rPr>
        <w:t>ا الكاتبة الكندية ليندا كارتي (</w:t>
      </w:r>
      <w:r w:rsidRPr="007D7079">
        <w:t>Linda Carty</w:t>
      </w:r>
      <w:r w:rsidRPr="007D7079">
        <w:rPr>
          <w:rFonts w:hint="cs"/>
          <w:rtl/>
        </w:rPr>
        <w:t>)</w:t>
      </w:r>
      <w:r>
        <w:rPr>
          <w:rFonts w:hint="cs"/>
          <w:rtl/>
        </w:rPr>
        <w:t>،</w:t>
      </w:r>
      <w:r w:rsidRPr="007D7079">
        <w:rPr>
          <w:rFonts w:hint="cs"/>
          <w:rtl/>
        </w:rPr>
        <w:t xml:space="preserve"> فترى </w:t>
      </w:r>
      <w:r>
        <w:rPr>
          <w:rFonts w:hint="cs"/>
          <w:rtl/>
        </w:rPr>
        <w:t>ضرورة</w:t>
      </w:r>
      <w:r w:rsidRPr="007D7079">
        <w:rPr>
          <w:rFonts w:hint="cs"/>
          <w:rtl/>
        </w:rPr>
        <w:t xml:space="preserve"> إعادة بناء النسوية التي أطلقتها مجموعة من نساء الجنس الأبيض</w:t>
      </w:r>
      <w:r>
        <w:rPr>
          <w:rFonts w:hint="cs"/>
          <w:rtl/>
        </w:rPr>
        <w:t xml:space="preserve">؛ لأن </w:t>
      </w:r>
      <w:r w:rsidRPr="007D7079">
        <w:rPr>
          <w:rFonts w:hint="cs"/>
          <w:rtl/>
        </w:rPr>
        <w:t>(الجنس) لا يمكن أن يكون بمفرده مقولة</w:t>
      </w:r>
      <w:r>
        <w:rPr>
          <w:rFonts w:hint="cs"/>
          <w:rtl/>
        </w:rPr>
        <w:t>ً</w:t>
      </w:r>
      <w:r w:rsidRPr="007D7079">
        <w:rPr>
          <w:rFonts w:hint="cs"/>
          <w:rtl/>
        </w:rPr>
        <w:t xml:space="preserve"> واحدة ت</w:t>
      </w:r>
      <w:r>
        <w:rPr>
          <w:rFonts w:hint="cs"/>
          <w:rtl/>
        </w:rPr>
        <w:t>ت</w:t>
      </w:r>
      <w:r w:rsidRPr="007D7079">
        <w:rPr>
          <w:rFonts w:hint="cs"/>
          <w:rtl/>
        </w:rPr>
        <w:t>عنون بها حركة تحرير المرأة.</w:t>
      </w:r>
    </w:p>
    <w:p w:rsidR="006E0FDB" w:rsidRDefault="006E0FDB" w:rsidP="006E0FDB">
      <w:pPr>
        <w:pStyle w:val="ac"/>
        <w:rPr>
          <w:rtl/>
        </w:rPr>
      </w:pPr>
      <w:r w:rsidRPr="007D7079">
        <w:rPr>
          <w:rFonts w:hint="cs"/>
          <w:rtl/>
        </w:rPr>
        <w:t>إن هذه التعاريف المتعد</w:t>
      </w:r>
      <w:r>
        <w:rPr>
          <w:rFonts w:hint="cs"/>
          <w:rtl/>
        </w:rPr>
        <w:t>ّ</w:t>
      </w:r>
      <w:r w:rsidRPr="007D7079">
        <w:rPr>
          <w:rFonts w:hint="cs"/>
          <w:rtl/>
        </w:rPr>
        <w:t>دة تدل</w:t>
      </w:r>
      <w:r>
        <w:rPr>
          <w:rFonts w:hint="cs"/>
          <w:rtl/>
        </w:rPr>
        <w:t>ّ</w:t>
      </w:r>
      <w:r w:rsidRPr="007D7079">
        <w:rPr>
          <w:rFonts w:hint="cs"/>
          <w:rtl/>
        </w:rPr>
        <w:t xml:space="preserve">نا على </w:t>
      </w:r>
      <w:r>
        <w:rPr>
          <w:rFonts w:hint="cs"/>
          <w:rtl/>
        </w:rPr>
        <w:t>أمر،</w:t>
      </w:r>
      <w:r w:rsidRPr="007D7079">
        <w:rPr>
          <w:rFonts w:hint="cs"/>
          <w:rtl/>
        </w:rPr>
        <w:t xml:space="preserve"> وهو أن</w:t>
      </w:r>
      <w:r>
        <w:rPr>
          <w:rFonts w:hint="cs"/>
          <w:rtl/>
        </w:rPr>
        <w:t>ّ</w:t>
      </w:r>
      <w:r w:rsidRPr="007D7079">
        <w:rPr>
          <w:rFonts w:hint="cs"/>
          <w:rtl/>
        </w:rPr>
        <w:t xml:space="preserve"> النسوية ليست ظاهرة</w:t>
      </w:r>
      <w:r>
        <w:rPr>
          <w:rFonts w:hint="cs"/>
          <w:rtl/>
        </w:rPr>
        <w:t>ً</w:t>
      </w:r>
      <w:r w:rsidRPr="007D7079">
        <w:rPr>
          <w:rFonts w:hint="cs"/>
          <w:rtl/>
        </w:rPr>
        <w:t xml:space="preserve"> </w:t>
      </w:r>
      <w:r>
        <w:rPr>
          <w:rFonts w:hint="cs"/>
          <w:rtl/>
        </w:rPr>
        <w:t>اجتماع</w:t>
      </w:r>
      <w:r w:rsidRPr="007D7079">
        <w:rPr>
          <w:rFonts w:hint="cs"/>
          <w:rtl/>
        </w:rPr>
        <w:t>ية واحدة</w:t>
      </w:r>
      <w:r>
        <w:rPr>
          <w:rFonts w:hint="cs"/>
          <w:rtl/>
        </w:rPr>
        <w:t>،</w:t>
      </w:r>
      <w:r w:rsidRPr="007D7079">
        <w:rPr>
          <w:rFonts w:hint="cs"/>
          <w:rtl/>
        </w:rPr>
        <w:t xml:space="preserve"> </w:t>
      </w:r>
      <w:r>
        <w:rPr>
          <w:rFonts w:hint="cs"/>
          <w:rtl/>
        </w:rPr>
        <w:t xml:space="preserve">بل تنقسم </w:t>
      </w:r>
      <w:r w:rsidRPr="007D7079">
        <w:rPr>
          <w:rFonts w:hint="cs"/>
          <w:rtl/>
        </w:rPr>
        <w:t xml:space="preserve">اليوم </w:t>
      </w:r>
      <w:r>
        <w:rPr>
          <w:rFonts w:hint="cs"/>
          <w:rtl/>
        </w:rPr>
        <w:t xml:space="preserve">إلى </w:t>
      </w:r>
      <w:r w:rsidRPr="007D7079">
        <w:rPr>
          <w:rFonts w:hint="cs"/>
          <w:rtl/>
        </w:rPr>
        <w:t xml:space="preserve">اتجاهات </w:t>
      </w:r>
      <w:r>
        <w:rPr>
          <w:rFonts w:hint="cs"/>
          <w:rtl/>
        </w:rPr>
        <w:t>مختلفة،</w:t>
      </w:r>
      <w:r w:rsidRPr="007D7079">
        <w:rPr>
          <w:rFonts w:hint="cs"/>
          <w:rtl/>
        </w:rPr>
        <w:t xml:space="preserve"> كالليبرالية والماركسية والراديكالية، </w:t>
      </w:r>
      <w:r>
        <w:rPr>
          <w:rFonts w:hint="cs"/>
          <w:rtl/>
        </w:rPr>
        <w:t>ومن المسلّم أ</w:t>
      </w:r>
      <w:r w:rsidRPr="007D7079">
        <w:rPr>
          <w:rFonts w:hint="cs"/>
          <w:rtl/>
        </w:rPr>
        <w:t>ن</w:t>
      </w:r>
      <w:r>
        <w:rPr>
          <w:rFonts w:hint="cs"/>
          <w:rtl/>
        </w:rPr>
        <w:t>ّ</w:t>
      </w:r>
      <w:r w:rsidRPr="007D7079">
        <w:rPr>
          <w:rFonts w:hint="cs"/>
          <w:rtl/>
        </w:rPr>
        <w:t xml:space="preserve"> الوصول</w:t>
      </w:r>
      <w:r>
        <w:rPr>
          <w:rFonts w:hint="cs"/>
          <w:rtl/>
        </w:rPr>
        <w:t xml:space="preserve"> إلى فهم معمّق</w:t>
      </w:r>
      <w:r w:rsidRPr="007D7079">
        <w:rPr>
          <w:rFonts w:hint="cs"/>
          <w:rtl/>
        </w:rPr>
        <w:t xml:space="preserve"> لهذه الاتجاهات النظرية السالفة وعوامل ظهور كل</w:t>
      </w:r>
      <w:r>
        <w:rPr>
          <w:rFonts w:hint="cs"/>
          <w:rtl/>
        </w:rPr>
        <w:t>ّ</w:t>
      </w:r>
      <w:r w:rsidRPr="007D7079">
        <w:rPr>
          <w:rFonts w:hint="cs"/>
          <w:rtl/>
        </w:rPr>
        <w:t xml:space="preserve"> واحدة</w:t>
      </w:r>
      <w:r>
        <w:rPr>
          <w:rFonts w:hint="cs"/>
          <w:rtl/>
        </w:rPr>
        <w:t>ٍ</w:t>
      </w:r>
      <w:r w:rsidRPr="007D7079">
        <w:rPr>
          <w:rFonts w:hint="cs"/>
          <w:rtl/>
        </w:rPr>
        <w:t xml:space="preserve"> منها يتوق</w:t>
      </w:r>
      <w:r>
        <w:rPr>
          <w:rFonts w:hint="cs"/>
          <w:rtl/>
        </w:rPr>
        <w:t>ّف على القيام بسعي متواصل ومفتوح،</w:t>
      </w:r>
      <w:r w:rsidRPr="007D7079">
        <w:rPr>
          <w:rFonts w:hint="cs"/>
          <w:rtl/>
        </w:rPr>
        <w:t xml:space="preserve"> إن</w:t>
      </w:r>
      <w:r>
        <w:rPr>
          <w:rFonts w:hint="cs"/>
          <w:rtl/>
        </w:rPr>
        <w:t>ّ</w:t>
      </w:r>
      <w:r w:rsidRPr="007D7079">
        <w:rPr>
          <w:rFonts w:hint="cs"/>
          <w:rtl/>
        </w:rPr>
        <w:t xml:space="preserve"> </w:t>
      </w:r>
      <w:r>
        <w:rPr>
          <w:rFonts w:hint="cs"/>
          <w:rtl/>
        </w:rPr>
        <w:t xml:space="preserve">بلوغ </w:t>
      </w:r>
      <w:r w:rsidRPr="007D7079">
        <w:rPr>
          <w:rFonts w:hint="cs"/>
          <w:rtl/>
        </w:rPr>
        <w:t>مثل هذه المعرفة ي</w:t>
      </w:r>
      <w:r>
        <w:rPr>
          <w:rFonts w:hint="cs"/>
          <w:rtl/>
        </w:rPr>
        <w:t xml:space="preserve">حتاج إلى </w:t>
      </w:r>
      <w:r w:rsidRPr="007D7079">
        <w:rPr>
          <w:rFonts w:hint="cs"/>
          <w:rtl/>
        </w:rPr>
        <w:t>القيام بقراءة واسعة للنظري</w:t>
      </w:r>
      <w:r>
        <w:rPr>
          <w:rFonts w:hint="cs"/>
          <w:rtl/>
        </w:rPr>
        <w:t>ّ</w:t>
      </w:r>
      <w:r w:rsidRPr="007D7079">
        <w:rPr>
          <w:rFonts w:hint="cs"/>
          <w:rtl/>
        </w:rPr>
        <w:t xml:space="preserve">ات السالفة الذكر من </w:t>
      </w:r>
      <w:r>
        <w:rPr>
          <w:rFonts w:hint="cs"/>
          <w:rtl/>
        </w:rPr>
        <w:t>جانب</w:t>
      </w:r>
      <w:r w:rsidRPr="007D7079">
        <w:rPr>
          <w:rFonts w:hint="cs"/>
          <w:rtl/>
        </w:rPr>
        <w:t xml:space="preserve"> </w:t>
      </w:r>
      <w:r>
        <w:rPr>
          <w:rFonts w:hint="cs"/>
          <w:rtl/>
        </w:rPr>
        <w:t>أصحاب</w:t>
      </w:r>
      <w:r w:rsidRPr="007D7079">
        <w:rPr>
          <w:rFonts w:hint="cs"/>
          <w:rtl/>
        </w:rPr>
        <w:t xml:space="preserve"> الرأي و</w:t>
      </w:r>
      <w:r>
        <w:rPr>
          <w:rFonts w:hint="cs"/>
          <w:rtl/>
        </w:rPr>
        <w:t xml:space="preserve">العاملين على تشكيل </w:t>
      </w:r>
      <w:r w:rsidRPr="007D7079">
        <w:rPr>
          <w:rFonts w:hint="cs"/>
          <w:rtl/>
        </w:rPr>
        <w:t>مؤس</w:t>
      </w:r>
      <w:r>
        <w:rPr>
          <w:rFonts w:hint="cs"/>
          <w:rtl/>
        </w:rPr>
        <w:t>ّسات الدفاع عن حقوق المرأة، و</w:t>
      </w:r>
      <w:r w:rsidRPr="007D7079">
        <w:rPr>
          <w:rFonts w:hint="cs"/>
          <w:rtl/>
        </w:rPr>
        <w:t>مم</w:t>
      </w:r>
      <w:r>
        <w:rPr>
          <w:rFonts w:hint="cs"/>
          <w:rtl/>
        </w:rPr>
        <w:t>ّ</w:t>
      </w:r>
      <w:r w:rsidRPr="007D7079">
        <w:rPr>
          <w:rFonts w:hint="cs"/>
          <w:rtl/>
        </w:rPr>
        <w:t>ا لا شك فيه</w:t>
      </w:r>
      <w:r>
        <w:rPr>
          <w:rFonts w:hint="cs"/>
          <w:rtl/>
        </w:rPr>
        <w:t>،</w:t>
      </w:r>
      <w:r w:rsidRPr="007D7079">
        <w:rPr>
          <w:rFonts w:hint="cs"/>
          <w:rtl/>
        </w:rPr>
        <w:t xml:space="preserve"> أن</w:t>
      </w:r>
      <w:r>
        <w:rPr>
          <w:rFonts w:hint="cs"/>
          <w:rtl/>
        </w:rPr>
        <w:t>ّ</w:t>
      </w:r>
      <w:r w:rsidRPr="007D7079">
        <w:rPr>
          <w:rFonts w:hint="cs"/>
          <w:rtl/>
        </w:rPr>
        <w:t xml:space="preserve"> الوصول</w:t>
      </w:r>
      <w:r>
        <w:rPr>
          <w:rFonts w:hint="cs"/>
          <w:rtl/>
        </w:rPr>
        <w:t xml:space="preserve"> إلى </w:t>
      </w:r>
      <w:r w:rsidRPr="007D7079">
        <w:rPr>
          <w:rFonts w:hint="cs"/>
          <w:rtl/>
        </w:rPr>
        <w:t>مثل هذا الهدف يحتاج</w:t>
      </w:r>
      <w:r>
        <w:rPr>
          <w:rFonts w:hint="cs"/>
          <w:rtl/>
        </w:rPr>
        <w:t xml:space="preserve"> إلى </w:t>
      </w:r>
      <w:r w:rsidRPr="007D7079">
        <w:rPr>
          <w:rFonts w:hint="cs"/>
          <w:rtl/>
        </w:rPr>
        <w:t>وقت طويل</w:t>
      </w:r>
      <w:r>
        <w:rPr>
          <w:rFonts w:hint="cs"/>
          <w:rtl/>
        </w:rPr>
        <w:t>،</w:t>
      </w:r>
      <w:r w:rsidRPr="007D7079">
        <w:rPr>
          <w:rFonts w:hint="cs"/>
          <w:rtl/>
        </w:rPr>
        <w:t xml:space="preserve"> وتوف</w:t>
      </w:r>
      <w:r>
        <w:rPr>
          <w:rFonts w:hint="cs"/>
          <w:rtl/>
        </w:rPr>
        <w:t>ّ</w:t>
      </w:r>
      <w:r w:rsidRPr="007D7079">
        <w:rPr>
          <w:rFonts w:hint="cs"/>
          <w:rtl/>
        </w:rPr>
        <w:t>ر إمكانات علمية متعد</w:t>
      </w:r>
      <w:r>
        <w:rPr>
          <w:rFonts w:hint="cs"/>
          <w:rtl/>
        </w:rPr>
        <w:t>ّ</w:t>
      </w:r>
      <w:r w:rsidRPr="007D7079">
        <w:rPr>
          <w:rFonts w:hint="cs"/>
          <w:rtl/>
        </w:rPr>
        <w:t>دة</w:t>
      </w:r>
      <w:r>
        <w:rPr>
          <w:rFonts w:hint="cs"/>
          <w:rtl/>
        </w:rPr>
        <w:t>،</w:t>
      </w:r>
      <w:r w:rsidRPr="007D7079">
        <w:rPr>
          <w:rFonts w:hint="cs"/>
          <w:rtl/>
        </w:rPr>
        <w:t xml:space="preserve"> يدخل في ضمنها الوصول</w:t>
      </w:r>
      <w:r>
        <w:rPr>
          <w:rFonts w:hint="cs"/>
          <w:rtl/>
        </w:rPr>
        <w:t xml:space="preserve"> إلى </w:t>
      </w:r>
      <w:r w:rsidRPr="007D7079">
        <w:rPr>
          <w:rFonts w:hint="cs"/>
          <w:rtl/>
        </w:rPr>
        <w:t xml:space="preserve">مصادر جديدة، </w:t>
      </w:r>
      <w:r>
        <w:rPr>
          <w:rFonts w:hint="cs"/>
          <w:rtl/>
        </w:rPr>
        <w:t>و</w:t>
      </w:r>
      <w:r w:rsidRPr="007D7079">
        <w:rPr>
          <w:rFonts w:hint="cs"/>
          <w:rtl/>
        </w:rPr>
        <w:t>الارتباط المستمر</w:t>
      </w:r>
      <w:r>
        <w:rPr>
          <w:rFonts w:hint="cs"/>
          <w:rtl/>
        </w:rPr>
        <w:t>ّ</w:t>
      </w:r>
      <w:r w:rsidRPr="007D7079">
        <w:rPr>
          <w:rFonts w:hint="cs"/>
          <w:rtl/>
        </w:rPr>
        <w:t xml:space="preserve"> بالمؤس</w:t>
      </w:r>
      <w:r>
        <w:rPr>
          <w:rFonts w:hint="cs"/>
          <w:rtl/>
        </w:rPr>
        <w:t>ّسات العلمية الأ</w:t>
      </w:r>
      <w:r w:rsidRPr="007D7079">
        <w:rPr>
          <w:rFonts w:hint="cs"/>
          <w:rtl/>
        </w:rPr>
        <w:t>جنبية</w:t>
      </w:r>
      <w:r>
        <w:rPr>
          <w:rFonts w:hint="cs"/>
          <w:rtl/>
        </w:rPr>
        <w:t>،</w:t>
      </w:r>
      <w:r w:rsidRPr="007D7079">
        <w:rPr>
          <w:rFonts w:hint="cs"/>
          <w:rtl/>
        </w:rPr>
        <w:t xml:space="preserve"> والتواصل </w:t>
      </w:r>
      <w:r>
        <w:rPr>
          <w:rFonts w:hint="cs"/>
          <w:rtl/>
        </w:rPr>
        <w:t>الدائم بين علماء الداخل.</w:t>
      </w:r>
    </w:p>
    <w:p w:rsidR="006E0FDB" w:rsidRDefault="006E0FDB" w:rsidP="006E0FDB">
      <w:pPr>
        <w:pStyle w:val="ac"/>
        <w:rPr>
          <w:rtl/>
        </w:rPr>
      </w:pPr>
      <w:r w:rsidRPr="007D7079">
        <w:rPr>
          <w:rFonts w:hint="cs"/>
          <w:rtl/>
        </w:rPr>
        <w:t>وعلى أي</w:t>
      </w:r>
      <w:r>
        <w:rPr>
          <w:rFonts w:hint="cs"/>
          <w:rtl/>
        </w:rPr>
        <w:t>ّة</w:t>
      </w:r>
      <w:r w:rsidRPr="007D7079">
        <w:rPr>
          <w:rFonts w:hint="cs"/>
          <w:rtl/>
        </w:rPr>
        <w:t xml:space="preserve"> حال</w:t>
      </w:r>
      <w:r>
        <w:rPr>
          <w:rFonts w:hint="cs"/>
          <w:rtl/>
        </w:rPr>
        <w:t>،</w:t>
      </w:r>
      <w:r w:rsidRPr="007D7079">
        <w:rPr>
          <w:rFonts w:hint="cs"/>
          <w:rtl/>
        </w:rPr>
        <w:t xml:space="preserve"> </w:t>
      </w:r>
      <w:r>
        <w:rPr>
          <w:rFonts w:hint="cs"/>
          <w:rtl/>
        </w:rPr>
        <w:t>فالذي نراه أنّ صورة ا</w:t>
      </w:r>
      <w:r w:rsidRPr="007D7079">
        <w:rPr>
          <w:rFonts w:hint="cs"/>
          <w:rtl/>
        </w:rPr>
        <w:t xml:space="preserve">لعلاقة </w:t>
      </w:r>
      <w:r>
        <w:rPr>
          <w:rFonts w:hint="cs"/>
          <w:rtl/>
        </w:rPr>
        <w:t xml:space="preserve">القائمة </w:t>
      </w:r>
      <w:r w:rsidRPr="007D7079">
        <w:rPr>
          <w:rFonts w:hint="cs"/>
          <w:rtl/>
        </w:rPr>
        <w:t xml:space="preserve">بين الجنسين في إيران </w:t>
      </w:r>
      <w:r>
        <w:rPr>
          <w:rFonts w:hint="cs"/>
          <w:rtl/>
        </w:rPr>
        <w:t>قد نسجت باستعجال وسطحية وعموميّة،</w:t>
      </w:r>
      <w:r w:rsidRPr="007D7079">
        <w:rPr>
          <w:rFonts w:hint="cs"/>
          <w:rtl/>
        </w:rPr>
        <w:t xml:space="preserve"> وبعبارة </w:t>
      </w:r>
      <w:r>
        <w:rPr>
          <w:rFonts w:hint="cs"/>
          <w:rtl/>
        </w:rPr>
        <w:t>أخرى</w:t>
      </w:r>
      <w:r w:rsidRPr="007D7079">
        <w:rPr>
          <w:rFonts w:hint="cs"/>
          <w:rtl/>
        </w:rPr>
        <w:t xml:space="preserve"> </w:t>
      </w:r>
      <w:r>
        <w:rPr>
          <w:rFonts w:hint="cs"/>
          <w:rtl/>
        </w:rPr>
        <w:t xml:space="preserve">نرى أنّ </w:t>
      </w:r>
      <w:r w:rsidRPr="007D7079">
        <w:rPr>
          <w:rFonts w:hint="cs"/>
          <w:rtl/>
        </w:rPr>
        <w:t xml:space="preserve">أغلب المدافعين عن </w:t>
      </w:r>
      <w:r w:rsidRPr="007D7079">
        <w:rPr>
          <w:rFonts w:hint="cs"/>
          <w:rtl/>
        </w:rPr>
        <w:lastRenderedPageBreak/>
        <w:t>حقوق</w:t>
      </w:r>
      <w:r>
        <w:rPr>
          <w:rFonts w:hint="cs"/>
          <w:rtl/>
        </w:rPr>
        <w:t xml:space="preserve"> المرأة </w:t>
      </w:r>
      <w:r w:rsidRPr="007D7079">
        <w:rPr>
          <w:rFonts w:hint="cs"/>
          <w:rtl/>
        </w:rPr>
        <w:t xml:space="preserve">في إيران </w:t>
      </w:r>
      <w:r>
        <w:rPr>
          <w:rFonts w:hint="cs"/>
          <w:rtl/>
        </w:rPr>
        <w:t xml:space="preserve">ليسوا على </w:t>
      </w:r>
      <w:r w:rsidRPr="007D7079">
        <w:rPr>
          <w:rFonts w:hint="cs"/>
          <w:rtl/>
        </w:rPr>
        <w:t xml:space="preserve">معرفة صحيحة </w:t>
      </w:r>
      <w:r>
        <w:rPr>
          <w:rFonts w:hint="cs"/>
          <w:rtl/>
        </w:rPr>
        <w:t>ب</w:t>
      </w:r>
      <w:r w:rsidRPr="007D7079">
        <w:rPr>
          <w:rFonts w:hint="cs"/>
          <w:rtl/>
        </w:rPr>
        <w:t>ظروف</w:t>
      </w:r>
      <w:r>
        <w:rPr>
          <w:rFonts w:hint="cs"/>
          <w:rtl/>
        </w:rPr>
        <w:t>ها</w:t>
      </w:r>
      <w:r w:rsidRPr="007D7079">
        <w:rPr>
          <w:rFonts w:hint="cs"/>
          <w:rtl/>
        </w:rPr>
        <w:t xml:space="preserve"> ال</w:t>
      </w:r>
      <w:r>
        <w:rPr>
          <w:rFonts w:hint="cs"/>
          <w:rtl/>
        </w:rPr>
        <w:t>اجتماع</w:t>
      </w:r>
      <w:r w:rsidRPr="007D7079">
        <w:rPr>
          <w:rFonts w:hint="cs"/>
          <w:rtl/>
        </w:rPr>
        <w:t>ية والاقتصادية والثقافية</w:t>
      </w:r>
      <w:r>
        <w:rPr>
          <w:rFonts w:hint="cs"/>
          <w:rtl/>
        </w:rPr>
        <w:t>، بل ثمّة ضعف في تكوين صورة نسوية في هذا المجال</w:t>
      </w:r>
      <w:r w:rsidRPr="00815C4C">
        <w:rPr>
          <w:rFonts w:cs="Taher"/>
          <w:vertAlign w:val="superscript"/>
          <w:rtl/>
        </w:rPr>
        <w:t>(</w:t>
      </w:r>
      <w:r w:rsidRPr="00815C4C">
        <w:rPr>
          <w:rFonts w:cs="Taher"/>
          <w:vertAlign w:val="superscript"/>
        </w:rPr>
        <w:footnoteReference w:id="935"/>
      </w:r>
      <w:r w:rsidRPr="00815C4C">
        <w:rPr>
          <w:rFonts w:cs="Taher"/>
          <w:vertAlign w:val="superscript"/>
          <w:rtl/>
        </w:rPr>
        <w:t>)</w:t>
      </w:r>
      <w:r>
        <w:rPr>
          <w:rtl/>
        </w:rPr>
        <w:t>،</w:t>
      </w:r>
      <w:r>
        <w:rPr>
          <w:rFonts w:hint="cs"/>
          <w:rtl/>
        </w:rPr>
        <w:t xml:space="preserve"> ولم يقتصر الفشل على إلغاء التمييز بين الجنسين، بل </w:t>
      </w:r>
      <w:r w:rsidRPr="007D7079">
        <w:rPr>
          <w:rFonts w:hint="cs"/>
          <w:rtl/>
        </w:rPr>
        <w:t>ساعد</w:t>
      </w:r>
      <w:r>
        <w:rPr>
          <w:rFonts w:hint="cs"/>
          <w:rtl/>
        </w:rPr>
        <w:t xml:space="preserve"> ضعف الحركة النسوية في اتساع الخرق والهوّة.</w:t>
      </w:r>
    </w:p>
    <w:p w:rsidR="006E0FDB" w:rsidRPr="009368DE" w:rsidRDefault="006E0FDB" w:rsidP="009368DE">
      <w:pPr>
        <w:pStyle w:val="afffffc"/>
        <w:rPr>
          <w:sz w:val="20"/>
          <w:szCs w:val="18"/>
          <w:rtl/>
        </w:rPr>
      </w:pPr>
    </w:p>
    <w:p w:rsidR="006E0FDB" w:rsidRPr="00D457EB" w:rsidRDefault="006E0FDB" w:rsidP="009368DE">
      <w:pPr>
        <w:pStyle w:val="1"/>
        <w:spacing w:line="168" w:lineRule="auto"/>
        <w:rPr>
          <w:szCs w:val="27"/>
          <w:rtl/>
        </w:rPr>
      </w:pPr>
      <w:bookmarkStart w:id="522" w:name="_Toc169521451"/>
      <w:bookmarkStart w:id="523" w:name="_Toc275128221"/>
      <w:r w:rsidRPr="00D457EB">
        <w:rPr>
          <w:rFonts w:hint="cs"/>
          <w:rtl/>
        </w:rPr>
        <w:t>الخصوصيات العامّة للنسوية في إيران</w:t>
      </w:r>
      <w:r w:rsidRPr="003A6D60">
        <w:rPr>
          <w:rFonts w:cs="Simplified Arabic" w:hint="cs"/>
          <w:rtl/>
        </w:rPr>
        <w:t>،</w:t>
      </w:r>
      <w:r w:rsidRPr="00D457EB">
        <w:rPr>
          <w:rFonts w:hint="cs"/>
          <w:rtl/>
        </w:rPr>
        <w:t xml:space="preserve"> أزمة مشروع</w:t>
      </w:r>
      <w:bookmarkEnd w:id="522"/>
      <w:bookmarkEnd w:id="523"/>
      <w:r w:rsidRPr="00D457EB">
        <w:rPr>
          <w:rFonts w:hint="cs"/>
          <w:rtl/>
        </w:rPr>
        <w:t xml:space="preserve"> </w:t>
      </w:r>
    </w:p>
    <w:p w:rsidR="006E0FDB" w:rsidRPr="00D457EB" w:rsidRDefault="006E0FDB" w:rsidP="009368DE">
      <w:pPr>
        <w:pStyle w:val="1"/>
        <w:spacing w:line="168" w:lineRule="auto"/>
        <w:rPr>
          <w:rtl/>
        </w:rPr>
      </w:pPr>
      <w:bookmarkStart w:id="524" w:name="_Toc169521452"/>
      <w:bookmarkStart w:id="525" w:name="_Toc275128222"/>
      <w:r w:rsidRPr="00D457EB">
        <w:rPr>
          <w:rFonts w:hint="cs"/>
          <w:rtl/>
        </w:rPr>
        <w:t>نظرية التوظيف الرسمي للمرأة</w:t>
      </w:r>
      <w:r w:rsidRPr="003A6D60">
        <w:rPr>
          <w:rFonts w:cs="Simplified Arabic" w:hint="cs"/>
          <w:rtl/>
        </w:rPr>
        <w:t>،</w:t>
      </w:r>
      <w:r w:rsidRPr="00D457EB">
        <w:rPr>
          <w:rFonts w:hint="cs"/>
          <w:rtl/>
        </w:rPr>
        <w:t xml:space="preserve"> قراءة نقدية</w:t>
      </w:r>
      <w:bookmarkEnd w:id="524"/>
      <w:bookmarkEnd w:id="525"/>
    </w:p>
    <w:p w:rsidR="006E0FDB" w:rsidRDefault="006E0FDB" w:rsidP="009368DE">
      <w:pPr>
        <w:pStyle w:val="ac"/>
        <w:spacing w:line="202" w:lineRule="auto"/>
        <w:rPr>
          <w:rtl/>
        </w:rPr>
      </w:pPr>
      <w:r w:rsidRPr="00234CA6">
        <w:rPr>
          <w:rFonts w:hint="cs"/>
          <w:bCs/>
          <w:rtl/>
        </w:rPr>
        <w:t>1ـ الترويج لتولّي المرأة وظائف الدولة واعتبار ذلك طريق خلاصها:</w:t>
      </w:r>
      <w:r w:rsidRPr="007D7079">
        <w:rPr>
          <w:rFonts w:hint="cs"/>
          <w:rtl/>
        </w:rPr>
        <w:t xml:space="preserve"> </w:t>
      </w:r>
      <w:r>
        <w:rPr>
          <w:rFonts w:hint="cs"/>
          <w:rtl/>
        </w:rPr>
        <w:t>ف</w:t>
      </w:r>
      <w:r w:rsidRPr="007D7079">
        <w:rPr>
          <w:rFonts w:hint="cs"/>
          <w:rtl/>
        </w:rPr>
        <w:t xml:space="preserve">على </w:t>
      </w:r>
      <w:r>
        <w:rPr>
          <w:rFonts w:hint="cs"/>
          <w:rtl/>
        </w:rPr>
        <w:t>أساس</w:t>
      </w:r>
      <w:r w:rsidRPr="007D7079">
        <w:rPr>
          <w:rFonts w:hint="cs"/>
          <w:rtl/>
        </w:rPr>
        <w:t xml:space="preserve"> هذه الفكرة يتم</w:t>
      </w:r>
      <w:r>
        <w:rPr>
          <w:rFonts w:hint="cs"/>
          <w:rtl/>
        </w:rPr>
        <w:t>ّ</w:t>
      </w:r>
      <w:r w:rsidRPr="007D7079">
        <w:rPr>
          <w:rFonts w:hint="cs"/>
          <w:rtl/>
        </w:rPr>
        <w:t xml:space="preserve"> تقديم صورة </w:t>
      </w:r>
      <w:r>
        <w:rPr>
          <w:rFonts w:hint="cs"/>
          <w:rtl/>
        </w:rPr>
        <w:t xml:space="preserve">تعتبر أنّ تولّي المرأة </w:t>
      </w:r>
      <w:r w:rsidRPr="007D7079">
        <w:rPr>
          <w:rFonts w:hint="cs"/>
          <w:rtl/>
        </w:rPr>
        <w:t>الوظائف الرسمية هو ال</w:t>
      </w:r>
      <w:r>
        <w:rPr>
          <w:rFonts w:hint="cs"/>
          <w:rtl/>
        </w:rPr>
        <w:t>سبيل</w:t>
      </w:r>
      <w:r w:rsidRPr="007D7079">
        <w:rPr>
          <w:rFonts w:hint="cs"/>
          <w:rtl/>
        </w:rPr>
        <w:t xml:space="preserve"> ال</w:t>
      </w:r>
      <w:r>
        <w:rPr>
          <w:rFonts w:hint="cs"/>
          <w:rtl/>
        </w:rPr>
        <w:t>أساس</w:t>
      </w:r>
      <w:r w:rsidRPr="007D7079">
        <w:rPr>
          <w:rFonts w:hint="cs"/>
          <w:rtl/>
        </w:rPr>
        <w:t xml:space="preserve"> لحل</w:t>
      </w:r>
      <w:r>
        <w:rPr>
          <w:rFonts w:hint="cs"/>
          <w:rtl/>
        </w:rPr>
        <w:t>ّ</w:t>
      </w:r>
      <w:r w:rsidRPr="007D7079">
        <w:rPr>
          <w:rFonts w:hint="cs"/>
          <w:rtl/>
        </w:rPr>
        <w:t xml:space="preserve"> مشكلاتها </w:t>
      </w:r>
      <w:r>
        <w:rPr>
          <w:rFonts w:hint="cs"/>
          <w:rtl/>
        </w:rPr>
        <w:t xml:space="preserve">الرئيسة؛ لأن المرأة </w:t>
      </w:r>
      <w:r w:rsidRPr="007D7079">
        <w:rPr>
          <w:rFonts w:hint="cs"/>
          <w:rtl/>
        </w:rPr>
        <w:t xml:space="preserve">متى قامت باستلام </w:t>
      </w:r>
      <w:r>
        <w:rPr>
          <w:rFonts w:hint="cs"/>
          <w:rtl/>
        </w:rPr>
        <w:t xml:space="preserve">هذه </w:t>
      </w:r>
      <w:r w:rsidRPr="007D7079">
        <w:rPr>
          <w:rFonts w:hint="cs"/>
          <w:rtl/>
        </w:rPr>
        <w:t>الوظائف فستصبح ذات دخل، و</w:t>
      </w:r>
      <w:r>
        <w:rPr>
          <w:rFonts w:hint="cs"/>
          <w:rtl/>
        </w:rPr>
        <w:t xml:space="preserve">من ثمّ </w:t>
      </w:r>
      <w:r w:rsidRPr="007D7079">
        <w:rPr>
          <w:rFonts w:hint="cs"/>
          <w:rtl/>
        </w:rPr>
        <w:t>تتمك</w:t>
      </w:r>
      <w:r>
        <w:rPr>
          <w:rFonts w:hint="cs"/>
          <w:rtl/>
        </w:rPr>
        <w:t>ّ</w:t>
      </w:r>
      <w:r w:rsidRPr="007D7079">
        <w:rPr>
          <w:rFonts w:hint="cs"/>
          <w:rtl/>
        </w:rPr>
        <w:t>ن من تأمين استقلالها المادي، ومثل هذا ال</w:t>
      </w:r>
      <w:r>
        <w:rPr>
          <w:rFonts w:hint="cs"/>
          <w:rtl/>
        </w:rPr>
        <w:t>أمر</w:t>
      </w:r>
      <w:r w:rsidRPr="007D7079">
        <w:rPr>
          <w:rFonts w:hint="cs"/>
          <w:rtl/>
        </w:rPr>
        <w:t xml:space="preserve"> لن يقتصر دوره على الارتقاء بمكانتها ال</w:t>
      </w:r>
      <w:r>
        <w:rPr>
          <w:rFonts w:hint="cs"/>
          <w:rtl/>
        </w:rPr>
        <w:t>اجتماع</w:t>
      </w:r>
      <w:r w:rsidRPr="007D7079">
        <w:rPr>
          <w:rFonts w:hint="cs"/>
          <w:rtl/>
        </w:rPr>
        <w:t>ية، بل سيكون باعثا</w:t>
      </w:r>
      <w:r>
        <w:rPr>
          <w:rFonts w:hint="cs"/>
          <w:rtl/>
        </w:rPr>
        <w:t>ً لها على الخروج من قبضة الرجل،</w:t>
      </w:r>
      <w:r w:rsidRPr="007D7079">
        <w:rPr>
          <w:rFonts w:hint="cs"/>
          <w:rtl/>
        </w:rPr>
        <w:t xml:space="preserve"> وعلى </w:t>
      </w:r>
      <w:r>
        <w:rPr>
          <w:rFonts w:hint="cs"/>
          <w:rtl/>
        </w:rPr>
        <w:t>أساس</w:t>
      </w:r>
      <w:r w:rsidRPr="007D7079">
        <w:rPr>
          <w:rFonts w:hint="cs"/>
          <w:rtl/>
        </w:rPr>
        <w:t xml:space="preserve"> </w:t>
      </w:r>
      <w:r>
        <w:rPr>
          <w:rFonts w:hint="cs"/>
          <w:rtl/>
        </w:rPr>
        <w:t>ذلك فإ</w:t>
      </w:r>
      <w:r w:rsidRPr="007D7079">
        <w:rPr>
          <w:rFonts w:hint="cs"/>
          <w:rtl/>
        </w:rPr>
        <w:t>ن الوظيفة الرسمية هي الطريق الوحيد الذي تتمك</w:t>
      </w:r>
      <w:r>
        <w:rPr>
          <w:rFonts w:hint="cs"/>
          <w:rtl/>
        </w:rPr>
        <w:t>ّ</w:t>
      </w:r>
      <w:r w:rsidRPr="007D7079">
        <w:rPr>
          <w:rFonts w:hint="cs"/>
          <w:rtl/>
        </w:rPr>
        <w:t xml:space="preserve">ن </w:t>
      </w:r>
      <w:r>
        <w:rPr>
          <w:rFonts w:hint="cs"/>
          <w:rtl/>
        </w:rPr>
        <w:t xml:space="preserve">المرأة </w:t>
      </w:r>
      <w:r w:rsidRPr="007D7079">
        <w:rPr>
          <w:rFonts w:hint="cs"/>
          <w:rtl/>
        </w:rPr>
        <w:t>من خلاله</w:t>
      </w:r>
      <w:r>
        <w:rPr>
          <w:rFonts w:hint="cs"/>
          <w:rtl/>
        </w:rPr>
        <w:t xml:space="preserve"> </w:t>
      </w:r>
      <w:r w:rsidRPr="007D7079">
        <w:rPr>
          <w:rFonts w:hint="cs"/>
          <w:rtl/>
        </w:rPr>
        <w:t>أن تصبح قو</w:t>
      </w:r>
      <w:r>
        <w:rPr>
          <w:rFonts w:hint="cs"/>
          <w:rtl/>
        </w:rPr>
        <w:t>ّ</w:t>
      </w:r>
      <w:r w:rsidRPr="007D7079">
        <w:rPr>
          <w:rFonts w:hint="cs"/>
          <w:rtl/>
        </w:rPr>
        <w:t>ة</w:t>
      </w:r>
      <w:r>
        <w:rPr>
          <w:rFonts w:hint="cs"/>
          <w:rtl/>
        </w:rPr>
        <w:t>ً</w:t>
      </w:r>
      <w:r w:rsidRPr="007D7079">
        <w:rPr>
          <w:rFonts w:hint="cs"/>
          <w:rtl/>
        </w:rPr>
        <w:t xml:space="preserve"> فاعلة في التنمية الاقتصادية وال</w:t>
      </w:r>
      <w:r>
        <w:rPr>
          <w:rFonts w:hint="cs"/>
          <w:rtl/>
        </w:rPr>
        <w:t>اجتماعية، من هنا، يستخدم</w:t>
      </w:r>
      <w:r w:rsidRPr="007D7079">
        <w:rPr>
          <w:rFonts w:hint="cs"/>
          <w:rtl/>
        </w:rPr>
        <w:t xml:space="preserve"> </w:t>
      </w:r>
      <w:r>
        <w:rPr>
          <w:rFonts w:hint="cs"/>
          <w:rtl/>
        </w:rPr>
        <w:t>أنصار</w:t>
      </w:r>
      <w:r w:rsidRPr="007D7079">
        <w:rPr>
          <w:rFonts w:hint="cs"/>
          <w:rtl/>
        </w:rPr>
        <w:t xml:space="preserve"> هذا الاتجاه شعارات</w:t>
      </w:r>
      <w:r>
        <w:rPr>
          <w:rFonts w:hint="cs"/>
          <w:rtl/>
        </w:rPr>
        <w:t>،</w:t>
      </w:r>
      <w:r w:rsidRPr="007D7079">
        <w:rPr>
          <w:rFonts w:hint="cs"/>
          <w:rtl/>
        </w:rPr>
        <w:t xml:space="preserve"> مثل إن النساء </w:t>
      </w:r>
      <w:r>
        <w:rPr>
          <w:rFonts w:hint="cs"/>
          <w:rtl/>
        </w:rPr>
        <w:t>يشكّلن نصف اليد العاملة، وأ</w:t>
      </w:r>
      <w:r w:rsidRPr="007D7079">
        <w:rPr>
          <w:rFonts w:hint="cs"/>
          <w:rtl/>
        </w:rPr>
        <w:t>ن الطريق الوحيد للتنمية في دول العالم الثالث إن</w:t>
      </w:r>
      <w:r>
        <w:rPr>
          <w:rFonts w:hint="cs"/>
          <w:rtl/>
        </w:rPr>
        <w:t>ّ</w:t>
      </w:r>
      <w:r w:rsidRPr="007D7079">
        <w:rPr>
          <w:rFonts w:hint="cs"/>
          <w:rtl/>
        </w:rPr>
        <w:t xml:space="preserve">ما هو توليّها </w:t>
      </w:r>
      <w:r>
        <w:rPr>
          <w:rFonts w:hint="cs"/>
          <w:rtl/>
        </w:rPr>
        <w:t>كامل الأعمال.</w:t>
      </w:r>
    </w:p>
    <w:p w:rsidR="006E0FDB" w:rsidRDefault="006E0FDB" w:rsidP="009368DE">
      <w:pPr>
        <w:pStyle w:val="ac"/>
        <w:spacing w:line="202" w:lineRule="auto"/>
        <w:rPr>
          <w:rtl/>
        </w:rPr>
      </w:pPr>
      <w:r>
        <w:rPr>
          <w:rFonts w:hint="cs"/>
          <w:rtl/>
        </w:rPr>
        <w:t>و</w:t>
      </w:r>
      <w:r w:rsidRPr="007D7079">
        <w:rPr>
          <w:rFonts w:hint="cs"/>
          <w:rtl/>
        </w:rPr>
        <w:t>من الشعارات ال</w:t>
      </w:r>
      <w:r>
        <w:rPr>
          <w:rFonts w:hint="cs"/>
          <w:rtl/>
        </w:rPr>
        <w:t>أخرى،</w:t>
      </w:r>
      <w:r w:rsidRPr="007D7079">
        <w:rPr>
          <w:rFonts w:hint="cs"/>
          <w:rtl/>
        </w:rPr>
        <w:t xml:space="preserve"> التشنيع </w:t>
      </w:r>
      <w:r>
        <w:rPr>
          <w:rFonts w:hint="cs"/>
          <w:rtl/>
        </w:rPr>
        <w:t xml:space="preserve">على </w:t>
      </w:r>
      <w:r w:rsidRPr="007D7079">
        <w:rPr>
          <w:rFonts w:hint="cs"/>
          <w:rtl/>
        </w:rPr>
        <w:t>المرأة التي تقتصر حياتها على كونها ربّة بيت</w:t>
      </w:r>
      <w:r>
        <w:rPr>
          <w:rFonts w:hint="cs"/>
          <w:rtl/>
        </w:rPr>
        <w:t>ٍ،</w:t>
      </w:r>
      <w:r w:rsidRPr="007D7079">
        <w:rPr>
          <w:rFonts w:hint="cs"/>
          <w:rtl/>
        </w:rPr>
        <w:t xml:space="preserve"> واعتبارها غي</w:t>
      </w:r>
      <w:r>
        <w:rPr>
          <w:rFonts w:hint="cs"/>
          <w:rtl/>
        </w:rPr>
        <w:t>ر فاعلة،</w:t>
      </w:r>
      <w:r w:rsidRPr="007D7079">
        <w:rPr>
          <w:rFonts w:hint="cs"/>
          <w:rtl/>
        </w:rPr>
        <w:t xml:space="preserve"> بل يتم</w:t>
      </w:r>
      <w:r>
        <w:rPr>
          <w:rFonts w:hint="cs"/>
          <w:rtl/>
        </w:rPr>
        <w:t>ّ</w:t>
      </w:r>
      <w:r w:rsidRPr="007D7079">
        <w:rPr>
          <w:rFonts w:hint="cs"/>
          <w:rtl/>
        </w:rPr>
        <w:t xml:space="preserve"> تصوير</w:t>
      </w:r>
      <w:r>
        <w:rPr>
          <w:rFonts w:hint="cs"/>
          <w:rtl/>
        </w:rPr>
        <w:t>ها</w:t>
      </w:r>
      <w:r w:rsidRPr="007D7079">
        <w:rPr>
          <w:rFonts w:hint="cs"/>
          <w:rtl/>
        </w:rPr>
        <w:t xml:space="preserve"> موجود</w:t>
      </w:r>
      <w:r>
        <w:rPr>
          <w:rFonts w:hint="cs"/>
          <w:rtl/>
        </w:rPr>
        <w:t>اً</w:t>
      </w:r>
      <w:r w:rsidRPr="007D7079">
        <w:rPr>
          <w:rFonts w:hint="cs"/>
          <w:rtl/>
        </w:rPr>
        <w:t xml:space="preserve"> بعيد</w:t>
      </w:r>
      <w:r>
        <w:rPr>
          <w:rFonts w:hint="cs"/>
          <w:rtl/>
        </w:rPr>
        <w:t>اً</w:t>
      </w:r>
      <w:r w:rsidRPr="007D7079">
        <w:rPr>
          <w:rFonts w:hint="cs"/>
          <w:rtl/>
        </w:rPr>
        <w:t xml:space="preserve"> عن تطو</w:t>
      </w:r>
      <w:r>
        <w:rPr>
          <w:rFonts w:hint="cs"/>
          <w:rtl/>
        </w:rPr>
        <w:t>ّ</w:t>
      </w:r>
      <w:r w:rsidRPr="007D7079">
        <w:rPr>
          <w:rFonts w:hint="cs"/>
          <w:rtl/>
        </w:rPr>
        <w:t>ر الحياة ال</w:t>
      </w:r>
      <w:r>
        <w:rPr>
          <w:rFonts w:hint="cs"/>
          <w:rtl/>
        </w:rPr>
        <w:t>اجتماعية، وأ</w:t>
      </w:r>
      <w:r w:rsidRPr="007D7079">
        <w:rPr>
          <w:rFonts w:hint="cs"/>
          <w:rtl/>
        </w:rPr>
        <w:t>ن</w:t>
      </w:r>
      <w:r>
        <w:rPr>
          <w:rFonts w:hint="cs"/>
          <w:rtl/>
        </w:rPr>
        <w:t>ّ</w:t>
      </w:r>
      <w:r w:rsidRPr="007D7079">
        <w:rPr>
          <w:rFonts w:hint="cs"/>
          <w:rtl/>
        </w:rPr>
        <w:t xml:space="preserve"> دورها ينحصر في المنزل و</w:t>
      </w:r>
      <w:r>
        <w:rPr>
          <w:rFonts w:hint="cs"/>
          <w:rtl/>
        </w:rPr>
        <w:t>الغرق في أ</w:t>
      </w:r>
      <w:r w:rsidRPr="007D7079">
        <w:rPr>
          <w:rFonts w:hint="cs"/>
          <w:rtl/>
        </w:rPr>
        <w:t>عمال</w:t>
      </w:r>
      <w:r>
        <w:rPr>
          <w:rFonts w:hint="cs"/>
          <w:rtl/>
        </w:rPr>
        <w:t>ه، وأ</w:t>
      </w:r>
      <w:r w:rsidRPr="007D7079">
        <w:rPr>
          <w:rFonts w:hint="cs"/>
          <w:rtl/>
        </w:rPr>
        <w:t>ن</w:t>
      </w:r>
      <w:r>
        <w:rPr>
          <w:rFonts w:hint="cs"/>
          <w:rtl/>
        </w:rPr>
        <w:t>ّ</w:t>
      </w:r>
      <w:r w:rsidRPr="007D7079">
        <w:rPr>
          <w:rFonts w:hint="cs"/>
          <w:rtl/>
        </w:rPr>
        <w:t xml:space="preserve"> روتين</w:t>
      </w:r>
      <w:r>
        <w:rPr>
          <w:rFonts w:hint="cs"/>
          <w:rtl/>
        </w:rPr>
        <w:t>ه يحوّل</w:t>
      </w:r>
      <w:r w:rsidRPr="007D7079">
        <w:rPr>
          <w:rFonts w:hint="cs"/>
          <w:rtl/>
        </w:rPr>
        <w:t>ها</w:t>
      </w:r>
      <w:r>
        <w:rPr>
          <w:rFonts w:hint="cs"/>
          <w:rtl/>
        </w:rPr>
        <w:t xml:space="preserve"> إلى كائن </w:t>
      </w:r>
      <w:r w:rsidRPr="007D7079">
        <w:rPr>
          <w:rFonts w:hint="cs"/>
          <w:rtl/>
        </w:rPr>
        <w:t>أحمق</w:t>
      </w:r>
      <w:r>
        <w:rPr>
          <w:rFonts w:hint="cs"/>
          <w:rtl/>
        </w:rPr>
        <w:t>،</w:t>
      </w:r>
      <w:r w:rsidRPr="007D7079">
        <w:rPr>
          <w:rFonts w:hint="cs"/>
          <w:rtl/>
        </w:rPr>
        <w:t xml:space="preserve"> و</w:t>
      </w:r>
      <w:r>
        <w:rPr>
          <w:rFonts w:hint="cs"/>
          <w:rtl/>
        </w:rPr>
        <w:t xml:space="preserve">مجرّد </w:t>
      </w:r>
      <w:r w:rsidRPr="007D7079">
        <w:rPr>
          <w:rFonts w:hint="cs"/>
          <w:rtl/>
        </w:rPr>
        <w:t>آلة</w:t>
      </w:r>
      <w:r>
        <w:rPr>
          <w:rFonts w:hint="cs"/>
          <w:rtl/>
        </w:rPr>
        <w:t>ٍ للحمل والولادة فقط؛</w:t>
      </w:r>
      <w:r w:rsidRPr="007D7079">
        <w:rPr>
          <w:rFonts w:hint="cs"/>
          <w:rtl/>
        </w:rPr>
        <w:t xml:space="preserve"> </w:t>
      </w:r>
      <w:r>
        <w:rPr>
          <w:rFonts w:hint="cs"/>
          <w:rtl/>
        </w:rPr>
        <w:t>من هنا،</w:t>
      </w:r>
      <w:r w:rsidRPr="007D7079">
        <w:rPr>
          <w:rFonts w:hint="cs"/>
          <w:rtl/>
        </w:rPr>
        <w:t xml:space="preserve"> </w:t>
      </w:r>
      <w:r>
        <w:rPr>
          <w:rFonts w:hint="cs"/>
          <w:rtl/>
        </w:rPr>
        <w:t>ف</w:t>
      </w:r>
      <w:r w:rsidRPr="007D7079">
        <w:rPr>
          <w:rFonts w:hint="cs"/>
          <w:rtl/>
        </w:rPr>
        <w:t>تغيير هذا الدور التقليدي ضروري</w:t>
      </w:r>
      <w:r>
        <w:rPr>
          <w:rFonts w:hint="cs"/>
          <w:rtl/>
        </w:rPr>
        <w:t>ٌّ</w:t>
      </w:r>
      <w:r w:rsidRPr="007D7079">
        <w:rPr>
          <w:rFonts w:hint="cs"/>
          <w:rtl/>
        </w:rPr>
        <w:t xml:space="preserve"> عبر </w:t>
      </w:r>
      <w:r>
        <w:rPr>
          <w:rFonts w:hint="cs"/>
          <w:rtl/>
        </w:rPr>
        <w:t>الوظيفة الرسمية.</w:t>
      </w:r>
    </w:p>
    <w:p w:rsidR="006E0FDB" w:rsidRPr="007D7079" w:rsidRDefault="006E0FDB" w:rsidP="009368DE">
      <w:pPr>
        <w:pStyle w:val="ac"/>
        <w:spacing w:line="202" w:lineRule="auto"/>
      </w:pPr>
      <w:r>
        <w:rPr>
          <w:rFonts w:hint="cs"/>
          <w:rtl/>
        </w:rPr>
        <w:t>ولا ترىّ أيّ من التيارات النسوية جعل عمل المرأة سبيلَ خلاصها</w:t>
      </w:r>
      <w:r w:rsidRPr="007D7079">
        <w:rPr>
          <w:rFonts w:hint="cs"/>
          <w:rtl/>
        </w:rPr>
        <w:t xml:space="preserve">، بل على العكس </w:t>
      </w:r>
      <w:r>
        <w:rPr>
          <w:rFonts w:hint="cs"/>
          <w:rtl/>
        </w:rPr>
        <w:t xml:space="preserve">تذهب </w:t>
      </w:r>
      <w:r w:rsidRPr="007D7079">
        <w:rPr>
          <w:rFonts w:hint="cs"/>
          <w:rtl/>
        </w:rPr>
        <w:t xml:space="preserve">النسوية الماركسية والشيوعية </w:t>
      </w:r>
      <w:r>
        <w:rPr>
          <w:rFonts w:hint="cs"/>
          <w:rtl/>
        </w:rPr>
        <w:t xml:space="preserve">إلى أنّ انتشار ظاهرة </w:t>
      </w:r>
      <w:r w:rsidRPr="007D7079">
        <w:rPr>
          <w:rFonts w:hint="cs"/>
          <w:rtl/>
        </w:rPr>
        <w:t>عمل</w:t>
      </w:r>
      <w:r>
        <w:rPr>
          <w:rFonts w:hint="cs"/>
          <w:rtl/>
        </w:rPr>
        <w:t xml:space="preserve"> المرأة </w:t>
      </w:r>
      <w:r w:rsidRPr="007D7079">
        <w:rPr>
          <w:rFonts w:hint="cs"/>
          <w:rtl/>
        </w:rPr>
        <w:t xml:space="preserve">في الغرب </w:t>
      </w:r>
      <w:r>
        <w:rPr>
          <w:rFonts w:hint="cs"/>
          <w:rtl/>
        </w:rPr>
        <w:t xml:space="preserve">إنّما نتج </w:t>
      </w:r>
      <w:r>
        <w:rPr>
          <w:rFonts w:hint="cs"/>
          <w:rtl/>
        </w:rPr>
        <w:lastRenderedPageBreak/>
        <w:t>عن رغبة</w:t>
      </w:r>
      <w:r w:rsidRPr="007D7079">
        <w:rPr>
          <w:rFonts w:hint="cs"/>
          <w:rtl/>
        </w:rPr>
        <w:t xml:space="preserve"> النظام الرأسمالي </w:t>
      </w:r>
      <w:r>
        <w:rPr>
          <w:rFonts w:hint="cs"/>
          <w:rtl/>
        </w:rPr>
        <w:t xml:space="preserve">في </w:t>
      </w:r>
      <w:r w:rsidRPr="007D7079">
        <w:rPr>
          <w:rFonts w:hint="cs"/>
          <w:rtl/>
        </w:rPr>
        <w:t>جرّ</w:t>
      </w:r>
      <w:r>
        <w:rPr>
          <w:rFonts w:hint="cs"/>
          <w:rtl/>
        </w:rPr>
        <w:t xml:space="preserve"> المرأة </w:t>
      </w:r>
      <w:r w:rsidRPr="007D7079">
        <w:rPr>
          <w:rFonts w:hint="cs"/>
          <w:rtl/>
        </w:rPr>
        <w:t>للعمل الرسمي</w:t>
      </w:r>
      <w:r>
        <w:rPr>
          <w:rFonts w:hint="cs"/>
          <w:rtl/>
        </w:rPr>
        <w:t xml:space="preserve"> بغية الاستفادة منها،</w:t>
      </w:r>
      <w:r w:rsidRPr="007D7079">
        <w:rPr>
          <w:rFonts w:hint="cs"/>
          <w:rtl/>
        </w:rPr>
        <w:t xml:space="preserve"> </w:t>
      </w:r>
      <w:r>
        <w:rPr>
          <w:rFonts w:hint="cs"/>
          <w:rtl/>
        </w:rPr>
        <w:t>و</w:t>
      </w:r>
      <w:r w:rsidRPr="007D7079">
        <w:rPr>
          <w:rFonts w:hint="cs"/>
          <w:rtl/>
        </w:rPr>
        <w:t>مم</w:t>
      </w:r>
      <w:r>
        <w:rPr>
          <w:rFonts w:hint="cs"/>
          <w:rtl/>
        </w:rPr>
        <w:t>ّ</w:t>
      </w:r>
      <w:r w:rsidRPr="007D7079">
        <w:rPr>
          <w:rFonts w:hint="cs"/>
          <w:rtl/>
        </w:rPr>
        <w:t>ن يتبن</w:t>
      </w:r>
      <w:r>
        <w:rPr>
          <w:rFonts w:hint="cs"/>
          <w:rtl/>
        </w:rPr>
        <w:t>ّ</w:t>
      </w:r>
      <w:r w:rsidRPr="007D7079">
        <w:rPr>
          <w:rFonts w:hint="cs"/>
          <w:rtl/>
        </w:rPr>
        <w:t>ى هذا الاتجاه سيلفيا والبي (</w:t>
      </w:r>
      <w:r w:rsidRPr="007D7079">
        <w:t>Sylvia Walby</w:t>
      </w:r>
      <w:r w:rsidRPr="007D7079">
        <w:rPr>
          <w:rFonts w:hint="cs"/>
          <w:rtl/>
        </w:rPr>
        <w:t>)</w:t>
      </w:r>
      <w:r>
        <w:rPr>
          <w:rFonts w:hint="cs"/>
          <w:rtl/>
        </w:rPr>
        <w:t>،</w:t>
      </w:r>
      <w:r w:rsidRPr="007D7079">
        <w:rPr>
          <w:rFonts w:hint="cs"/>
          <w:rtl/>
        </w:rPr>
        <w:t xml:space="preserve"> </w:t>
      </w:r>
      <w:r>
        <w:rPr>
          <w:rFonts w:hint="cs"/>
          <w:rtl/>
        </w:rPr>
        <w:t xml:space="preserve">حيث </w:t>
      </w:r>
      <w:r w:rsidRPr="007D7079">
        <w:rPr>
          <w:rFonts w:hint="cs"/>
          <w:rtl/>
        </w:rPr>
        <w:t xml:space="preserve">تعتقد </w:t>
      </w:r>
      <w:r>
        <w:rPr>
          <w:rFonts w:hint="cs"/>
          <w:rtl/>
        </w:rPr>
        <w:t>أ</w:t>
      </w:r>
      <w:r w:rsidRPr="007D7079">
        <w:rPr>
          <w:rFonts w:hint="cs"/>
          <w:rtl/>
        </w:rPr>
        <w:t>ن</w:t>
      </w:r>
      <w:r>
        <w:rPr>
          <w:rFonts w:hint="cs"/>
          <w:rtl/>
        </w:rPr>
        <w:t>ّ</w:t>
      </w:r>
      <w:r w:rsidRPr="007D7079">
        <w:rPr>
          <w:rFonts w:hint="cs"/>
          <w:rtl/>
        </w:rPr>
        <w:t xml:space="preserve"> </w:t>
      </w:r>
      <w:r>
        <w:rPr>
          <w:rFonts w:hint="cs"/>
          <w:rtl/>
        </w:rPr>
        <w:t>فهم</w:t>
      </w:r>
      <w:r w:rsidRPr="007D7079">
        <w:rPr>
          <w:rFonts w:hint="cs"/>
          <w:rtl/>
        </w:rPr>
        <w:t xml:space="preserve"> دور</w:t>
      </w:r>
      <w:r>
        <w:rPr>
          <w:rFonts w:hint="cs"/>
          <w:rtl/>
        </w:rPr>
        <w:t xml:space="preserve"> المرأة </w:t>
      </w:r>
      <w:r w:rsidRPr="007D7079">
        <w:rPr>
          <w:rFonts w:hint="cs"/>
          <w:rtl/>
        </w:rPr>
        <w:t>في المجتمعات الصناعية يتوق</w:t>
      </w:r>
      <w:r>
        <w:rPr>
          <w:rFonts w:hint="cs"/>
          <w:rtl/>
        </w:rPr>
        <w:t>ّ</w:t>
      </w:r>
      <w:r w:rsidRPr="007D7079">
        <w:rPr>
          <w:rFonts w:hint="cs"/>
          <w:rtl/>
        </w:rPr>
        <w:t xml:space="preserve">ف على معرفة </w:t>
      </w:r>
      <w:r>
        <w:rPr>
          <w:rFonts w:hint="cs"/>
          <w:rtl/>
        </w:rPr>
        <w:t>نظام تدخّل سيادة الرجل في النظام الرأسمالي،</w:t>
      </w:r>
      <w:r w:rsidRPr="007D7079">
        <w:rPr>
          <w:rFonts w:hint="cs"/>
          <w:rtl/>
        </w:rPr>
        <w:t xml:space="preserve"> </w:t>
      </w:r>
      <w:r>
        <w:rPr>
          <w:rFonts w:hint="cs"/>
          <w:rtl/>
        </w:rPr>
        <w:t xml:space="preserve">على أساس </w:t>
      </w:r>
      <w:r w:rsidRPr="007D7079">
        <w:rPr>
          <w:rFonts w:hint="cs"/>
          <w:rtl/>
        </w:rPr>
        <w:t>أن</w:t>
      </w:r>
      <w:r>
        <w:rPr>
          <w:rFonts w:hint="cs"/>
          <w:rtl/>
        </w:rPr>
        <w:t>ّ</w:t>
      </w:r>
      <w:r w:rsidRPr="007D7079">
        <w:rPr>
          <w:rFonts w:hint="cs"/>
          <w:rtl/>
        </w:rPr>
        <w:t xml:space="preserve"> النظام الذي ي</w:t>
      </w:r>
      <w:r>
        <w:rPr>
          <w:rFonts w:hint="cs"/>
          <w:rtl/>
        </w:rPr>
        <w:t>ؤمن</w:t>
      </w:r>
      <w:r w:rsidRPr="007D7079">
        <w:rPr>
          <w:rFonts w:hint="cs"/>
          <w:rtl/>
        </w:rPr>
        <w:t xml:space="preserve"> </w:t>
      </w:r>
      <w:r>
        <w:rPr>
          <w:rFonts w:hint="cs"/>
          <w:rtl/>
        </w:rPr>
        <w:t>ب</w:t>
      </w:r>
      <w:r w:rsidRPr="007D7079">
        <w:rPr>
          <w:rFonts w:hint="cs"/>
          <w:rtl/>
        </w:rPr>
        <w:t>سيادة الرجل يمنع</w:t>
      </w:r>
      <w:r>
        <w:rPr>
          <w:rFonts w:hint="cs"/>
          <w:rtl/>
        </w:rPr>
        <w:t xml:space="preserve"> المرأة </w:t>
      </w:r>
      <w:r w:rsidRPr="007D7079">
        <w:rPr>
          <w:rFonts w:hint="cs"/>
          <w:rtl/>
        </w:rPr>
        <w:t>من دخول ساحة الوظيفة الرسمية، فيما يرى النظام الرأسمال</w:t>
      </w:r>
      <w:r w:rsidRPr="007D7079">
        <w:rPr>
          <w:rFonts w:hint="eastAsia"/>
          <w:rtl/>
        </w:rPr>
        <w:t>ي</w:t>
      </w:r>
      <w:r w:rsidRPr="007D7079">
        <w:rPr>
          <w:rFonts w:hint="cs"/>
          <w:rtl/>
        </w:rPr>
        <w:t xml:space="preserve"> ضرورة الاستفادة من اليد العاملة الرخيصة، أي أن النظام الرأسمالي وبخصوصي</w:t>
      </w:r>
      <w:r>
        <w:rPr>
          <w:rFonts w:hint="cs"/>
          <w:rtl/>
        </w:rPr>
        <w:t>ّ</w:t>
      </w:r>
      <w:r w:rsidRPr="007D7079">
        <w:rPr>
          <w:rFonts w:hint="cs"/>
          <w:rtl/>
        </w:rPr>
        <w:t>ته الذاتية (تراكم الثروة)</w:t>
      </w:r>
      <w:r>
        <w:rPr>
          <w:rFonts w:hint="cs"/>
          <w:rtl/>
        </w:rPr>
        <w:t>،</w:t>
      </w:r>
      <w:r w:rsidRPr="007D7079">
        <w:rPr>
          <w:rFonts w:hint="cs"/>
          <w:rtl/>
        </w:rPr>
        <w:t xml:space="preserve"> يسعى دائما</w:t>
      </w:r>
      <w:r>
        <w:rPr>
          <w:rFonts w:hint="cs"/>
          <w:rtl/>
        </w:rPr>
        <w:t>ً</w:t>
      </w:r>
      <w:r w:rsidRPr="007D7079">
        <w:rPr>
          <w:rFonts w:hint="cs"/>
          <w:rtl/>
        </w:rPr>
        <w:t xml:space="preserve"> لتنمية الإنتاج وتنويعه</w:t>
      </w:r>
      <w:r>
        <w:rPr>
          <w:rFonts w:hint="cs"/>
          <w:rtl/>
        </w:rPr>
        <w:t>،</w:t>
      </w:r>
      <w:r w:rsidRPr="007D7079">
        <w:rPr>
          <w:rFonts w:hint="cs"/>
          <w:rtl/>
        </w:rPr>
        <w:t xml:space="preserve"> لذا كان </w:t>
      </w:r>
      <w:r>
        <w:rPr>
          <w:rFonts w:hint="cs"/>
          <w:rtl/>
        </w:rPr>
        <w:t xml:space="preserve">توظيف المرأة في صالح التنمية الاقتصادية؛ لأنّها </w:t>
      </w:r>
      <w:r w:rsidRPr="007D7079">
        <w:rPr>
          <w:rFonts w:hint="cs"/>
          <w:rtl/>
        </w:rPr>
        <w:t>يد</w:t>
      </w:r>
      <w:r>
        <w:rPr>
          <w:rFonts w:hint="cs"/>
          <w:rtl/>
        </w:rPr>
        <w:t>ٌ</w:t>
      </w:r>
      <w:r w:rsidRPr="007D7079">
        <w:rPr>
          <w:rFonts w:hint="cs"/>
          <w:rtl/>
        </w:rPr>
        <w:t xml:space="preserve"> عاملة </w:t>
      </w:r>
      <w:r>
        <w:rPr>
          <w:rFonts w:hint="cs"/>
          <w:rtl/>
        </w:rPr>
        <w:t>من</w:t>
      </w:r>
      <w:r w:rsidRPr="007D7079">
        <w:rPr>
          <w:rFonts w:hint="cs"/>
          <w:rtl/>
        </w:rPr>
        <w:t xml:space="preserve"> </w:t>
      </w:r>
      <w:r>
        <w:rPr>
          <w:rFonts w:hint="cs"/>
          <w:rtl/>
        </w:rPr>
        <w:t>ال</w:t>
      </w:r>
      <w:r w:rsidRPr="007D7079">
        <w:rPr>
          <w:rFonts w:hint="cs"/>
          <w:rtl/>
        </w:rPr>
        <w:t xml:space="preserve">درجة </w:t>
      </w:r>
      <w:r>
        <w:rPr>
          <w:rFonts w:hint="cs"/>
          <w:rtl/>
        </w:rPr>
        <w:t>ال</w:t>
      </w:r>
      <w:r w:rsidRPr="007D7079">
        <w:rPr>
          <w:rFonts w:hint="cs"/>
          <w:rtl/>
        </w:rPr>
        <w:t>ثانية</w:t>
      </w:r>
      <w:r>
        <w:rPr>
          <w:rFonts w:hint="cs"/>
          <w:rtl/>
        </w:rPr>
        <w:t>؛</w:t>
      </w:r>
      <w:r w:rsidRPr="007D7079">
        <w:rPr>
          <w:rFonts w:hint="cs"/>
          <w:rtl/>
        </w:rPr>
        <w:t xml:space="preserve"> فأجرتها أقل</w:t>
      </w:r>
      <w:r>
        <w:rPr>
          <w:rFonts w:hint="cs"/>
          <w:rtl/>
        </w:rPr>
        <w:t>ّ من أجرة الرجل،</w:t>
      </w:r>
      <w:r w:rsidRPr="007D7079">
        <w:rPr>
          <w:rFonts w:hint="cs"/>
          <w:rtl/>
        </w:rPr>
        <w:t xml:space="preserve"> </w:t>
      </w:r>
      <w:r>
        <w:rPr>
          <w:rFonts w:hint="cs"/>
          <w:rtl/>
        </w:rPr>
        <w:t>علاوةً على أنّ</w:t>
      </w:r>
      <w:r w:rsidRPr="007D7079">
        <w:rPr>
          <w:rFonts w:hint="cs"/>
          <w:rtl/>
        </w:rPr>
        <w:t xml:space="preserve"> المساحة التي تشغلها</w:t>
      </w:r>
      <w:r>
        <w:rPr>
          <w:rFonts w:hint="cs"/>
          <w:rtl/>
        </w:rPr>
        <w:t xml:space="preserve"> المرأة </w:t>
      </w:r>
      <w:r w:rsidRPr="007D7079">
        <w:rPr>
          <w:rFonts w:hint="cs"/>
          <w:rtl/>
        </w:rPr>
        <w:t xml:space="preserve">في ساحة العمل تقتصر </w:t>
      </w:r>
      <w:r>
        <w:rPr>
          <w:rFonts w:hint="cs"/>
          <w:rtl/>
        </w:rPr>
        <w:t xml:space="preserve">ـ </w:t>
      </w:r>
      <w:r w:rsidRPr="007D7079">
        <w:rPr>
          <w:rFonts w:hint="cs"/>
          <w:rtl/>
        </w:rPr>
        <w:t>بشكل</w:t>
      </w:r>
      <w:r>
        <w:rPr>
          <w:rFonts w:hint="cs"/>
          <w:rtl/>
        </w:rPr>
        <w:t>ٍ</w:t>
      </w:r>
      <w:r w:rsidRPr="007D7079">
        <w:rPr>
          <w:rFonts w:hint="cs"/>
          <w:rtl/>
        </w:rPr>
        <w:t xml:space="preserve"> عام </w:t>
      </w:r>
      <w:r>
        <w:rPr>
          <w:rFonts w:hint="cs"/>
          <w:rtl/>
        </w:rPr>
        <w:t xml:space="preserve">ـ </w:t>
      </w:r>
      <w:r w:rsidRPr="007D7079">
        <w:rPr>
          <w:rFonts w:hint="cs"/>
          <w:rtl/>
        </w:rPr>
        <w:t>على الوظائف التقليدية</w:t>
      </w:r>
      <w:r>
        <w:rPr>
          <w:rFonts w:hint="cs"/>
          <w:rtl/>
        </w:rPr>
        <w:t>،</w:t>
      </w:r>
      <w:r w:rsidRPr="007D7079">
        <w:rPr>
          <w:rFonts w:hint="cs"/>
          <w:rtl/>
        </w:rPr>
        <w:t xml:space="preserve"> أي </w:t>
      </w:r>
      <w:r>
        <w:rPr>
          <w:rFonts w:hint="cs"/>
          <w:rtl/>
        </w:rPr>
        <w:t>التربية و</w:t>
      </w:r>
      <w:r w:rsidRPr="007D7079">
        <w:rPr>
          <w:rFonts w:hint="cs"/>
          <w:rtl/>
        </w:rPr>
        <w:t xml:space="preserve">التعليم </w:t>
      </w:r>
      <w:r>
        <w:rPr>
          <w:rFonts w:hint="cs"/>
          <w:rtl/>
        </w:rPr>
        <w:t>والخدمات العامة، كما أ</w:t>
      </w:r>
      <w:r w:rsidRPr="007D7079">
        <w:rPr>
          <w:rFonts w:hint="cs"/>
          <w:rtl/>
        </w:rPr>
        <w:t>ن الاستفادة من</w:t>
      </w:r>
      <w:r>
        <w:rPr>
          <w:rFonts w:hint="cs"/>
          <w:rtl/>
        </w:rPr>
        <w:t xml:space="preserve">ها </w:t>
      </w:r>
      <w:r w:rsidRPr="007D7079">
        <w:rPr>
          <w:rFonts w:hint="cs"/>
          <w:rtl/>
        </w:rPr>
        <w:t>في المصانع يقع غالبا</w:t>
      </w:r>
      <w:r>
        <w:rPr>
          <w:rFonts w:hint="cs"/>
          <w:rtl/>
        </w:rPr>
        <w:t>ً</w:t>
      </w:r>
      <w:r w:rsidRPr="007D7079">
        <w:rPr>
          <w:rFonts w:hint="cs"/>
          <w:rtl/>
        </w:rPr>
        <w:t xml:space="preserve"> في دائرة الوظائف غير ال</w:t>
      </w:r>
      <w:r>
        <w:rPr>
          <w:rFonts w:hint="cs"/>
          <w:rtl/>
        </w:rPr>
        <w:t>أساس</w:t>
      </w:r>
      <w:r w:rsidRPr="007D7079">
        <w:rPr>
          <w:rFonts w:hint="cs"/>
          <w:rtl/>
        </w:rPr>
        <w:t xml:space="preserve">ية كالتجميع والتوضيب، أي الأعمال التي تكون </w:t>
      </w:r>
      <w:r>
        <w:rPr>
          <w:rFonts w:hint="cs"/>
          <w:rtl/>
        </w:rPr>
        <w:t xml:space="preserve">أجرتها ـ </w:t>
      </w:r>
      <w:r w:rsidRPr="007D7079">
        <w:rPr>
          <w:rFonts w:hint="cs"/>
          <w:rtl/>
        </w:rPr>
        <w:t>عادة</w:t>
      </w:r>
      <w:r>
        <w:rPr>
          <w:rFonts w:hint="cs"/>
          <w:rtl/>
        </w:rPr>
        <w:t>ً</w:t>
      </w:r>
      <w:r w:rsidRPr="007D7079">
        <w:rPr>
          <w:rFonts w:hint="cs"/>
          <w:rtl/>
        </w:rPr>
        <w:t xml:space="preserve"> </w:t>
      </w:r>
      <w:r>
        <w:rPr>
          <w:rFonts w:hint="cs"/>
          <w:rtl/>
        </w:rPr>
        <w:t>ـ</w:t>
      </w:r>
      <w:r w:rsidRPr="007D7079">
        <w:rPr>
          <w:rFonts w:hint="cs"/>
          <w:rtl/>
        </w:rPr>
        <w:t xml:space="preserve"> أقلّ من غيرها</w:t>
      </w:r>
      <w:r>
        <w:rPr>
          <w:rFonts w:hint="cs"/>
          <w:rtl/>
        </w:rPr>
        <w:t>،</w:t>
      </w:r>
      <w:r w:rsidRPr="007D7079">
        <w:rPr>
          <w:rFonts w:hint="cs"/>
          <w:rtl/>
        </w:rPr>
        <w:t xml:space="preserve"> </w:t>
      </w:r>
      <w:r>
        <w:rPr>
          <w:rFonts w:hint="cs"/>
          <w:rtl/>
        </w:rPr>
        <w:t>فتلي ـ ف</w:t>
      </w:r>
      <w:r w:rsidRPr="007D7079">
        <w:rPr>
          <w:rFonts w:hint="cs"/>
          <w:rtl/>
        </w:rPr>
        <w:t xml:space="preserve">ي </w:t>
      </w:r>
      <w:r>
        <w:rPr>
          <w:rFonts w:hint="cs"/>
          <w:rtl/>
        </w:rPr>
        <w:t>ال</w:t>
      </w:r>
      <w:r w:rsidRPr="007D7079">
        <w:rPr>
          <w:rFonts w:hint="cs"/>
          <w:rtl/>
        </w:rPr>
        <w:t xml:space="preserve">درجة </w:t>
      </w:r>
      <w:r>
        <w:rPr>
          <w:rFonts w:hint="cs"/>
          <w:rtl/>
        </w:rPr>
        <w:t>الاجتماع</w:t>
      </w:r>
      <w:r w:rsidRPr="007D7079">
        <w:rPr>
          <w:rFonts w:hint="cs"/>
          <w:rtl/>
        </w:rPr>
        <w:t xml:space="preserve">ية </w:t>
      </w:r>
      <w:r>
        <w:rPr>
          <w:rFonts w:hint="cs"/>
          <w:rtl/>
        </w:rPr>
        <w:t>ـ الأ</w:t>
      </w:r>
      <w:r w:rsidRPr="007D7079">
        <w:rPr>
          <w:rFonts w:hint="cs"/>
          <w:rtl/>
        </w:rPr>
        <w:t xml:space="preserve">عمال التي يقوم بها الرجل، بل حتى </w:t>
      </w:r>
      <w:r>
        <w:rPr>
          <w:rFonts w:hint="cs"/>
          <w:rtl/>
        </w:rPr>
        <w:t>مع</w:t>
      </w:r>
      <w:r w:rsidRPr="007D7079">
        <w:rPr>
          <w:rFonts w:hint="cs"/>
          <w:rtl/>
        </w:rPr>
        <w:t xml:space="preserve"> قيام</w:t>
      </w:r>
      <w:r>
        <w:rPr>
          <w:rFonts w:hint="cs"/>
          <w:rtl/>
        </w:rPr>
        <w:t xml:space="preserve">ها </w:t>
      </w:r>
      <w:r w:rsidRPr="007D7079">
        <w:rPr>
          <w:rFonts w:hint="cs"/>
          <w:rtl/>
        </w:rPr>
        <w:t>بتول</w:t>
      </w:r>
      <w:r>
        <w:rPr>
          <w:rFonts w:hint="cs"/>
          <w:rtl/>
        </w:rPr>
        <w:t>ّ</w:t>
      </w:r>
      <w:r w:rsidRPr="007D7079">
        <w:rPr>
          <w:rFonts w:hint="cs"/>
          <w:rtl/>
        </w:rPr>
        <w:t>ي أعمال</w:t>
      </w:r>
      <w:r>
        <w:rPr>
          <w:rFonts w:hint="cs"/>
          <w:rtl/>
        </w:rPr>
        <w:t>ٍ</w:t>
      </w:r>
      <w:r w:rsidRPr="007D7079">
        <w:rPr>
          <w:rFonts w:hint="cs"/>
          <w:rtl/>
        </w:rPr>
        <w:t xml:space="preserve"> مشابهة </w:t>
      </w:r>
      <w:r>
        <w:rPr>
          <w:rFonts w:hint="cs"/>
          <w:rtl/>
        </w:rPr>
        <w:t>لما</w:t>
      </w:r>
      <w:r w:rsidRPr="007D7079">
        <w:rPr>
          <w:rFonts w:hint="cs"/>
          <w:rtl/>
        </w:rPr>
        <w:t xml:space="preserve"> يقوم به الرجل </w:t>
      </w:r>
      <w:r>
        <w:rPr>
          <w:rFonts w:hint="cs"/>
          <w:rtl/>
        </w:rPr>
        <w:t xml:space="preserve">تبقى أجرتها </w:t>
      </w:r>
      <w:r w:rsidRPr="007D7079">
        <w:rPr>
          <w:rFonts w:hint="cs"/>
          <w:rtl/>
        </w:rPr>
        <w:t>أقل.</w:t>
      </w:r>
    </w:p>
    <w:p w:rsidR="006E0FDB" w:rsidRPr="007D7079" w:rsidRDefault="006E0FDB" w:rsidP="009368DE">
      <w:pPr>
        <w:pStyle w:val="ac"/>
        <w:spacing w:line="199" w:lineRule="auto"/>
        <w:rPr>
          <w:rtl/>
        </w:rPr>
      </w:pPr>
      <w:r>
        <w:rPr>
          <w:rFonts w:hint="cs"/>
          <w:rtl/>
        </w:rPr>
        <w:t>أ</w:t>
      </w:r>
      <w:r w:rsidRPr="007D7079">
        <w:rPr>
          <w:rFonts w:hint="cs"/>
          <w:rtl/>
        </w:rPr>
        <w:t>م</w:t>
      </w:r>
      <w:r>
        <w:rPr>
          <w:rFonts w:hint="cs"/>
          <w:rtl/>
        </w:rPr>
        <w:t>ّ</w:t>
      </w:r>
      <w:r w:rsidRPr="007D7079">
        <w:rPr>
          <w:rFonts w:hint="cs"/>
          <w:rtl/>
        </w:rPr>
        <w:t xml:space="preserve">ا </w:t>
      </w:r>
      <w:r>
        <w:rPr>
          <w:rFonts w:hint="cs"/>
          <w:rtl/>
        </w:rPr>
        <w:t xml:space="preserve">الاتجاهات </w:t>
      </w:r>
      <w:r w:rsidRPr="007D7079">
        <w:rPr>
          <w:rFonts w:hint="cs"/>
          <w:rtl/>
        </w:rPr>
        <w:t>النسوي</w:t>
      </w:r>
      <w:r>
        <w:rPr>
          <w:rFonts w:hint="cs"/>
          <w:rtl/>
        </w:rPr>
        <w:t>ة</w:t>
      </w:r>
      <w:r w:rsidRPr="007D7079">
        <w:rPr>
          <w:rFonts w:hint="cs"/>
          <w:rtl/>
        </w:rPr>
        <w:t xml:space="preserve"> ال</w:t>
      </w:r>
      <w:r>
        <w:rPr>
          <w:rFonts w:hint="cs"/>
          <w:rtl/>
        </w:rPr>
        <w:t>أخرى،</w:t>
      </w:r>
      <w:r w:rsidRPr="007D7079">
        <w:rPr>
          <w:rFonts w:hint="cs"/>
          <w:rtl/>
        </w:rPr>
        <w:t xml:space="preserve"> ف</w:t>
      </w:r>
      <w:r>
        <w:rPr>
          <w:rFonts w:hint="cs"/>
          <w:rtl/>
        </w:rPr>
        <w:t>حلّلت دور المرأة بوصفها</w:t>
      </w:r>
      <w:r w:rsidRPr="007D7079">
        <w:rPr>
          <w:rFonts w:hint="cs"/>
          <w:rtl/>
        </w:rPr>
        <w:t xml:space="preserve"> ربّة منزل</w:t>
      </w:r>
      <w:r>
        <w:rPr>
          <w:rFonts w:hint="cs"/>
          <w:rtl/>
        </w:rPr>
        <w:t>،</w:t>
      </w:r>
      <w:r w:rsidRPr="007D7079">
        <w:rPr>
          <w:rFonts w:hint="cs"/>
          <w:rtl/>
        </w:rPr>
        <w:t xml:space="preserve"> وتوصلت</w:t>
      </w:r>
      <w:r>
        <w:rPr>
          <w:rFonts w:hint="cs"/>
          <w:rtl/>
        </w:rPr>
        <w:t xml:space="preserve"> إلى أنّها </w:t>
      </w:r>
      <w:r w:rsidRPr="007D7079">
        <w:rPr>
          <w:rFonts w:hint="cs"/>
          <w:rtl/>
        </w:rPr>
        <w:t>كانت عاملا</w:t>
      </w:r>
      <w:r>
        <w:rPr>
          <w:rFonts w:hint="cs"/>
          <w:rtl/>
        </w:rPr>
        <w:t>ً</w:t>
      </w:r>
      <w:r w:rsidRPr="007D7079">
        <w:rPr>
          <w:rFonts w:hint="cs"/>
          <w:rtl/>
        </w:rPr>
        <w:t xml:space="preserve"> مساعدا</w:t>
      </w:r>
      <w:r>
        <w:rPr>
          <w:rFonts w:hint="cs"/>
          <w:rtl/>
        </w:rPr>
        <w:t>ً</w:t>
      </w:r>
      <w:r w:rsidRPr="007D7079">
        <w:rPr>
          <w:rFonts w:hint="cs"/>
          <w:rtl/>
        </w:rPr>
        <w:t xml:space="preserve"> في الحياة الاقتصادية العائلية</w:t>
      </w:r>
      <w:r>
        <w:rPr>
          <w:rFonts w:hint="cs"/>
          <w:rtl/>
        </w:rPr>
        <w:t>،</w:t>
      </w:r>
      <w:r w:rsidRPr="007D7079">
        <w:rPr>
          <w:rFonts w:hint="cs"/>
          <w:rtl/>
        </w:rPr>
        <w:t xml:space="preserve"> سواء في النظام الزراعي</w:t>
      </w:r>
      <w:r>
        <w:rPr>
          <w:rFonts w:hint="cs"/>
          <w:rtl/>
        </w:rPr>
        <w:t xml:space="preserve"> أو الصناعي؛ لأنّ </w:t>
      </w:r>
      <w:r w:rsidRPr="007D7079">
        <w:rPr>
          <w:rFonts w:hint="cs"/>
          <w:rtl/>
        </w:rPr>
        <w:t>مشارك</w:t>
      </w:r>
      <w:r>
        <w:rPr>
          <w:rFonts w:hint="cs"/>
          <w:rtl/>
        </w:rPr>
        <w:t xml:space="preserve">تها </w:t>
      </w:r>
      <w:r w:rsidRPr="007D7079">
        <w:rPr>
          <w:rFonts w:hint="cs"/>
          <w:rtl/>
        </w:rPr>
        <w:t xml:space="preserve">وتقديمها المعونة في النظام الزراعي </w:t>
      </w:r>
      <w:r>
        <w:rPr>
          <w:rFonts w:hint="cs"/>
          <w:rtl/>
        </w:rPr>
        <w:t xml:space="preserve">ـ </w:t>
      </w:r>
      <w:r w:rsidRPr="007D7079">
        <w:rPr>
          <w:rFonts w:hint="cs"/>
          <w:rtl/>
        </w:rPr>
        <w:t>وخصوصا</w:t>
      </w:r>
      <w:r>
        <w:rPr>
          <w:rFonts w:hint="cs"/>
          <w:rtl/>
        </w:rPr>
        <w:t>ً</w:t>
      </w:r>
      <w:r w:rsidRPr="007D7079">
        <w:rPr>
          <w:rFonts w:hint="cs"/>
          <w:rtl/>
        </w:rPr>
        <w:t xml:space="preserve"> على مستوى الاستثمار العائلي </w:t>
      </w:r>
      <w:r>
        <w:rPr>
          <w:rFonts w:hint="cs"/>
          <w:rtl/>
        </w:rPr>
        <w:t xml:space="preserve">ـ </w:t>
      </w:r>
      <w:r w:rsidRPr="007D7079">
        <w:rPr>
          <w:rFonts w:hint="cs"/>
          <w:rtl/>
        </w:rPr>
        <w:t xml:space="preserve">وان لم يتم تقديره بشكل رسمي، </w:t>
      </w:r>
      <w:r>
        <w:rPr>
          <w:rFonts w:hint="cs"/>
          <w:rtl/>
        </w:rPr>
        <w:t xml:space="preserve">إلا أنّ </w:t>
      </w:r>
      <w:r w:rsidRPr="007D7079">
        <w:rPr>
          <w:rFonts w:hint="cs"/>
          <w:rtl/>
        </w:rPr>
        <w:t>ما لا شك</w:t>
      </w:r>
      <w:r>
        <w:rPr>
          <w:rFonts w:hint="cs"/>
          <w:rtl/>
        </w:rPr>
        <w:t>ّ فيه أ</w:t>
      </w:r>
      <w:r w:rsidRPr="007D7079">
        <w:rPr>
          <w:rFonts w:hint="cs"/>
          <w:rtl/>
        </w:rPr>
        <w:t>ن</w:t>
      </w:r>
      <w:r>
        <w:rPr>
          <w:rFonts w:hint="cs"/>
          <w:rtl/>
        </w:rPr>
        <w:t>ّ</w:t>
      </w:r>
      <w:r w:rsidRPr="007D7079">
        <w:rPr>
          <w:rFonts w:hint="cs"/>
          <w:rtl/>
        </w:rPr>
        <w:t xml:space="preserve"> هذا الاستثمار س</w:t>
      </w:r>
      <w:r>
        <w:rPr>
          <w:rFonts w:hint="cs"/>
          <w:rtl/>
        </w:rPr>
        <w:t>يعجز</w:t>
      </w:r>
      <w:r w:rsidRPr="007D7079">
        <w:rPr>
          <w:rFonts w:hint="cs"/>
          <w:rtl/>
        </w:rPr>
        <w:t xml:space="preserve"> عن الاستمرار في فعاليته الإنتاجية </w:t>
      </w:r>
      <w:r>
        <w:rPr>
          <w:rFonts w:hint="cs"/>
          <w:rtl/>
        </w:rPr>
        <w:t>مع الاستغناء عن المرأة،</w:t>
      </w:r>
      <w:r w:rsidRPr="007D7079">
        <w:rPr>
          <w:rFonts w:hint="cs"/>
          <w:rtl/>
        </w:rPr>
        <w:t xml:space="preserve"> وترى هذه </w:t>
      </w:r>
      <w:r>
        <w:rPr>
          <w:rFonts w:hint="cs"/>
          <w:rtl/>
        </w:rPr>
        <w:t>الاتجاهات أ</w:t>
      </w:r>
      <w:r w:rsidRPr="007D7079">
        <w:rPr>
          <w:rFonts w:hint="cs"/>
          <w:rtl/>
        </w:rPr>
        <w:t>ن</w:t>
      </w:r>
      <w:r>
        <w:rPr>
          <w:rFonts w:hint="cs"/>
          <w:rtl/>
        </w:rPr>
        <w:t xml:space="preserve">ّ المرأة </w:t>
      </w:r>
      <w:r w:rsidRPr="007D7079">
        <w:rPr>
          <w:rFonts w:hint="cs"/>
          <w:rtl/>
        </w:rPr>
        <w:t>أيضا</w:t>
      </w:r>
      <w:r>
        <w:rPr>
          <w:rFonts w:hint="cs"/>
          <w:rtl/>
        </w:rPr>
        <w:t>ً</w:t>
      </w:r>
      <w:r w:rsidRPr="007D7079">
        <w:rPr>
          <w:rFonts w:hint="cs"/>
          <w:rtl/>
        </w:rPr>
        <w:t xml:space="preserve"> في دورها الحالي (ربّات المنزل الجدد)</w:t>
      </w:r>
      <w:r w:rsidRPr="00815C4C">
        <w:rPr>
          <w:rFonts w:cs="Taher"/>
          <w:vertAlign w:val="superscript"/>
          <w:rtl/>
        </w:rPr>
        <w:t>(</w:t>
      </w:r>
      <w:r w:rsidRPr="00815C4C">
        <w:rPr>
          <w:rFonts w:cs="Taher"/>
          <w:vertAlign w:val="superscript"/>
        </w:rPr>
        <w:footnoteReference w:id="936"/>
      </w:r>
      <w:r w:rsidRPr="00815C4C">
        <w:rPr>
          <w:rFonts w:cs="Taher"/>
          <w:vertAlign w:val="superscript"/>
          <w:rtl/>
        </w:rPr>
        <w:t>)</w:t>
      </w:r>
      <w:r w:rsidRPr="007D7079">
        <w:rPr>
          <w:rtl/>
        </w:rPr>
        <w:t xml:space="preserve"> </w:t>
      </w:r>
      <w:r>
        <w:rPr>
          <w:rFonts w:hint="cs"/>
          <w:rtl/>
        </w:rPr>
        <w:t>تقوم</w:t>
      </w:r>
      <w:r w:rsidRPr="007D7079">
        <w:rPr>
          <w:rFonts w:hint="cs"/>
          <w:rtl/>
        </w:rPr>
        <w:t xml:space="preserve"> بتقديم العون الاقتصادي</w:t>
      </w:r>
      <w:r>
        <w:rPr>
          <w:rFonts w:hint="cs"/>
          <w:rtl/>
        </w:rPr>
        <w:t xml:space="preserve">ّ للعائلة بشكل غير مباشر؛ لأن </w:t>
      </w:r>
      <w:r w:rsidRPr="007D7079">
        <w:rPr>
          <w:rFonts w:hint="cs"/>
          <w:rtl/>
        </w:rPr>
        <w:t>وظائف</w:t>
      </w:r>
      <w:r>
        <w:rPr>
          <w:rFonts w:hint="cs"/>
          <w:rtl/>
        </w:rPr>
        <w:t>ها</w:t>
      </w:r>
      <w:r w:rsidRPr="007D7079">
        <w:rPr>
          <w:rFonts w:hint="cs"/>
          <w:rtl/>
        </w:rPr>
        <w:t xml:space="preserve"> المنزلية</w:t>
      </w:r>
      <w:r>
        <w:rPr>
          <w:rFonts w:hint="cs"/>
          <w:rtl/>
        </w:rPr>
        <w:t>،</w:t>
      </w:r>
      <w:r w:rsidRPr="007D7079">
        <w:rPr>
          <w:rFonts w:hint="cs"/>
          <w:rtl/>
        </w:rPr>
        <w:t xml:space="preserve"> </w:t>
      </w:r>
      <w:r>
        <w:rPr>
          <w:rFonts w:hint="cs"/>
          <w:rtl/>
        </w:rPr>
        <w:t>من الطبخ والنظافة وحضانة الأطفال،</w:t>
      </w:r>
      <w:r w:rsidRPr="007D7079">
        <w:rPr>
          <w:rFonts w:hint="cs"/>
          <w:rtl/>
        </w:rPr>
        <w:t xml:space="preserve"> لو لم تتم</w:t>
      </w:r>
      <w:r>
        <w:rPr>
          <w:rFonts w:hint="cs"/>
          <w:rtl/>
        </w:rPr>
        <w:t>ّ</w:t>
      </w:r>
      <w:r w:rsidRPr="007D7079">
        <w:rPr>
          <w:rFonts w:hint="cs"/>
          <w:rtl/>
        </w:rPr>
        <w:t xml:space="preserve"> ف</w:t>
      </w:r>
      <w:r>
        <w:rPr>
          <w:rFonts w:hint="cs"/>
          <w:rtl/>
        </w:rPr>
        <w:t>لن يتمكّن ال</w:t>
      </w:r>
      <w:r w:rsidRPr="007D7079">
        <w:rPr>
          <w:rFonts w:hint="cs"/>
          <w:rtl/>
        </w:rPr>
        <w:t>رجل من الإنتاج ال</w:t>
      </w:r>
      <w:r>
        <w:rPr>
          <w:rFonts w:hint="cs"/>
          <w:rtl/>
        </w:rPr>
        <w:t>اجتماع</w:t>
      </w:r>
      <w:r w:rsidRPr="007D7079">
        <w:rPr>
          <w:rFonts w:hint="cs"/>
          <w:rtl/>
        </w:rPr>
        <w:t>ي والرسمي</w:t>
      </w:r>
      <w:r>
        <w:rPr>
          <w:rFonts w:hint="cs"/>
          <w:rtl/>
        </w:rPr>
        <w:t>، إضافةً إلى أ</w:t>
      </w:r>
      <w:r w:rsidRPr="007D7079">
        <w:rPr>
          <w:rFonts w:hint="cs"/>
          <w:rtl/>
        </w:rPr>
        <w:t>ن</w:t>
      </w:r>
      <w:r>
        <w:rPr>
          <w:rFonts w:hint="cs"/>
          <w:rtl/>
        </w:rPr>
        <w:t>ّ المرأة بلعبها د</w:t>
      </w:r>
      <w:r w:rsidRPr="007D7079">
        <w:rPr>
          <w:rFonts w:hint="cs"/>
          <w:rtl/>
        </w:rPr>
        <w:t xml:space="preserve">ور ربّة </w:t>
      </w:r>
      <w:r>
        <w:rPr>
          <w:rFonts w:hint="cs"/>
          <w:rtl/>
        </w:rPr>
        <w:t>ال</w:t>
      </w:r>
      <w:r w:rsidRPr="007D7079">
        <w:rPr>
          <w:rFonts w:hint="cs"/>
          <w:rtl/>
        </w:rPr>
        <w:t xml:space="preserve">منزل </w:t>
      </w:r>
      <w:r>
        <w:rPr>
          <w:rFonts w:hint="cs"/>
          <w:rtl/>
        </w:rPr>
        <w:t>تحتضن</w:t>
      </w:r>
      <w:r w:rsidRPr="007D7079">
        <w:rPr>
          <w:rFonts w:hint="cs"/>
          <w:rtl/>
        </w:rPr>
        <w:t xml:space="preserve"> أو</w:t>
      </w:r>
      <w:r>
        <w:rPr>
          <w:rFonts w:hint="cs"/>
          <w:rtl/>
        </w:rPr>
        <w:t>ّ</w:t>
      </w:r>
      <w:r w:rsidRPr="007D7079">
        <w:rPr>
          <w:rFonts w:hint="cs"/>
          <w:rtl/>
        </w:rPr>
        <w:t xml:space="preserve">ل تشكيل </w:t>
      </w:r>
      <w:r>
        <w:rPr>
          <w:rFonts w:hint="cs"/>
          <w:rtl/>
        </w:rPr>
        <w:t xml:space="preserve">اجتماعي، أي المجتمع </w:t>
      </w:r>
      <w:r>
        <w:rPr>
          <w:rFonts w:hint="cs"/>
          <w:rtl/>
        </w:rPr>
        <w:lastRenderedPageBreak/>
        <w:t>الأ</w:t>
      </w:r>
      <w:r w:rsidRPr="007D7079">
        <w:rPr>
          <w:rFonts w:hint="cs"/>
          <w:rtl/>
        </w:rPr>
        <w:t>ول</w:t>
      </w:r>
      <w:r>
        <w:rPr>
          <w:rFonts w:hint="cs"/>
          <w:rtl/>
        </w:rPr>
        <w:t>،</w:t>
      </w:r>
      <w:r w:rsidRPr="007D7079">
        <w:rPr>
          <w:rFonts w:hint="cs"/>
          <w:rtl/>
        </w:rPr>
        <w:t xml:space="preserve"> وه</w:t>
      </w:r>
      <w:r>
        <w:rPr>
          <w:rFonts w:hint="cs"/>
          <w:rtl/>
        </w:rPr>
        <w:t>و</w:t>
      </w:r>
      <w:r w:rsidRPr="007D7079">
        <w:rPr>
          <w:rFonts w:hint="cs"/>
          <w:rtl/>
        </w:rPr>
        <w:t xml:space="preserve"> العائلة</w:t>
      </w:r>
      <w:r>
        <w:rPr>
          <w:rFonts w:hint="cs"/>
          <w:rtl/>
        </w:rPr>
        <w:t>،</w:t>
      </w:r>
      <w:r w:rsidRPr="007D7079">
        <w:rPr>
          <w:rFonts w:hint="cs"/>
          <w:rtl/>
        </w:rPr>
        <w:t xml:space="preserve"> وشخصية الطفل ال</w:t>
      </w:r>
      <w:r>
        <w:rPr>
          <w:rFonts w:hint="cs"/>
          <w:rtl/>
        </w:rPr>
        <w:t>أساس</w:t>
      </w:r>
      <w:r w:rsidRPr="007D7079">
        <w:rPr>
          <w:rFonts w:hint="cs"/>
          <w:rtl/>
        </w:rPr>
        <w:t xml:space="preserve">ية تتكوّن </w:t>
      </w:r>
      <w:r>
        <w:rPr>
          <w:rFonts w:hint="cs"/>
          <w:rtl/>
        </w:rPr>
        <w:t>عبر ذلك،</w:t>
      </w:r>
      <w:r w:rsidRPr="007D7079">
        <w:rPr>
          <w:rFonts w:hint="cs"/>
          <w:rtl/>
        </w:rPr>
        <w:t xml:space="preserve"> إن الجو</w:t>
      </w:r>
      <w:r>
        <w:rPr>
          <w:rFonts w:hint="cs"/>
          <w:rtl/>
        </w:rPr>
        <w:t>ّ</w:t>
      </w:r>
      <w:r w:rsidRPr="007D7079">
        <w:rPr>
          <w:rFonts w:hint="cs"/>
          <w:rtl/>
        </w:rPr>
        <w:t xml:space="preserve"> </w:t>
      </w:r>
      <w:r>
        <w:rPr>
          <w:rFonts w:hint="cs"/>
          <w:rtl/>
        </w:rPr>
        <w:t>العاطفي للعائلة يتمّ ـ في غالب الأ</w:t>
      </w:r>
      <w:r w:rsidRPr="007D7079">
        <w:rPr>
          <w:rFonts w:hint="cs"/>
          <w:rtl/>
        </w:rPr>
        <w:t xml:space="preserve">حيان </w:t>
      </w:r>
      <w:r>
        <w:rPr>
          <w:rFonts w:hint="cs"/>
          <w:rtl/>
        </w:rPr>
        <w:t xml:space="preserve">ـ </w:t>
      </w:r>
      <w:r w:rsidRPr="007D7079">
        <w:rPr>
          <w:rFonts w:hint="cs"/>
          <w:rtl/>
        </w:rPr>
        <w:t xml:space="preserve">من </w:t>
      </w:r>
      <w:r>
        <w:rPr>
          <w:rFonts w:hint="cs"/>
          <w:rtl/>
        </w:rPr>
        <w:t>طرف المرأة، كما أ</w:t>
      </w:r>
      <w:r w:rsidRPr="007D7079">
        <w:rPr>
          <w:rFonts w:hint="cs"/>
          <w:rtl/>
        </w:rPr>
        <w:t>ن</w:t>
      </w:r>
      <w:r>
        <w:rPr>
          <w:rFonts w:hint="cs"/>
          <w:rtl/>
        </w:rPr>
        <w:t>ّ مسؤولية السلامة الجسدية لأعضائها</w:t>
      </w:r>
      <w:r w:rsidRPr="007D7079">
        <w:rPr>
          <w:rFonts w:hint="cs"/>
          <w:rtl/>
        </w:rPr>
        <w:t xml:space="preserve"> تقع على </w:t>
      </w:r>
      <w:r>
        <w:rPr>
          <w:rFonts w:hint="cs"/>
          <w:rtl/>
        </w:rPr>
        <w:t>عاتقها</w:t>
      </w:r>
      <w:r w:rsidRPr="007D7079">
        <w:rPr>
          <w:rFonts w:hint="cs"/>
          <w:rtl/>
        </w:rPr>
        <w:t>.</w:t>
      </w:r>
    </w:p>
    <w:p w:rsidR="006E0FDB" w:rsidRPr="007D7079" w:rsidRDefault="006E0FDB" w:rsidP="006E0FDB">
      <w:pPr>
        <w:pStyle w:val="ac"/>
        <w:rPr>
          <w:rtl/>
        </w:rPr>
      </w:pPr>
      <w:r w:rsidRPr="007D7079">
        <w:rPr>
          <w:rFonts w:hint="cs"/>
          <w:rtl/>
        </w:rPr>
        <w:t>أليس لمثل هذه الأدوار التي تقوم بها</w:t>
      </w:r>
      <w:r>
        <w:rPr>
          <w:rFonts w:hint="cs"/>
          <w:rtl/>
        </w:rPr>
        <w:t xml:space="preserve"> المرأة </w:t>
      </w:r>
      <w:r w:rsidRPr="007D7079">
        <w:rPr>
          <w:rFonts w:hint="cs"/>
          <w:rtl/>
        </w:rPr>
        <w:t>أثرا</w:t>
      </w:r>
      <w:r>
        <w:rPr>
          <w:rFonts w:hint="cs"/>
          <w:rtl/>
        </w:rPr>
        <w:t>ً</w:t>
      </w:r>
      <w:r w:rsidRPr="007D7079">
        <w:rPr>
          <w:rFonts w:hint="cs"/>
          <w:rtl/>
        </w:rPr>
        <w:t xml:space="preserve"> في التنمية الاقتصادية وال</w:t>
      </w:r>
      <w:r>
        <w:rPr>
          <w:rFonts w:hint="cs"/>
          <w:rtl/>
        </w:rPr>
        <w:t>اجتماع</w:t>
      </w:r>
      <w:r w:rsidRPr="007D7079">
        <w:rPr>
          <w:rFonts w:hint="cs"/>
          <w:rtl/>
        </w:rPr>
        <w:t xml:space="preserve">ية؟ </w:t>
      </w:r>
      <w:r>
        <w:rPr>
          <w:rFonts w:hint="cs"/>
          <w:rtl/>
        </w:rPr>
        <w:t xml:space="preserve">يعتقد </w:t>
      </w:r>
      <w:r w:rsidRPr="007D7079">
        <w:rPr>
          <w:rFonts w:hint="cs"/>
          <w:rtl/>
        </w:rPr>
        <w:t>نلسون (</w:t>
      </w:r>
      <w:r w:rsidRPr="007D7079">
        <w:t>Nelson</w:t>
      </w:r>
      <w:r w:rsidRPr="007D7079">
        <w:rPr>
          <w:rFonts w:hint="cs"/>
          <w:rtl/>
        </w:rPr>
        <w:t xml:space="preserve">) </w:t>
      </w:r>
      <w:r>
        <w:rPr>
          <w:rFonts w:hint="cs"/>
          <w:rtl/>
        </w:rPr>
        <w:t>أ</w:t>
      </w:r>
      <w:r w:rsidRPr="007D7079">
        <w:rPr>
          <w:rFonts w:hint="cs"/>
          <w:rtl/>
        </w:rPr>
        <w:t>ن</w:t>
      </w:r>
      <w:r>
        <w:rPr>
          <w:rFonts w:hint="cs"/>
          <w:rtl/>
        </w:rPr>
        <w:t>ّ</w:t>
      </w:r>
      <w:r w:rsidRPr="007D7079">
        <w:rPr>
          <w:rFonts w:hint="cs"/>
          <w:rtl/>
        </w:rPr>
        <w:t xml:space="preserve"> عوامل فشل طرق التنمية تعود في أغلبها</w:t>
      </w:r>
      <w:r>
        <w:rPr>
          <w:rFonts w:hint="cs"/>
          <w:rtl/>
        </w:rPr>
        <w:t xml:space="preserve"> إلى </w:t>
      </w:r>
      <w:r w:rsidRPr="007D7079">
        <w:rPr>
          <w:rFonts w:hint="cs"/>
          <w:rtl/>
        </w:rPr>
        <w:t>عدم معرفة المسؤولين بطبيعة</w:t>
      </w:r>
      <w:r>
        <w:rPr>
          <w:rFonts w:hint="cs"/>
          <w:rtl/>
        </w:rPr>
        <w:t xml:space="preserve"> المرأة ووظائفها؛</w:t>
      </w:r>
      <w:r w:rsidRPr="007D7079">
        <w:rPr>
          <w:rFonts w:hint="cs"/>
          <w:rtl/>
        </w:rPr>
        <w:t xml:space="preserve"> فعندما </w:t>
      </w:r>
      <w:r>
        <w:rPr>
          <w:rFonts w:hint="cs"/>
          <w:rtl/>
        </w:rPr>
        <w:t xml:space="preserve">تثار مسألة </w:t>
      </w:r>
      <w:r w:rsidRPr="007D7079">
        <w:rPr>
          <w:rFonts w:hint="cs"/>
          <w:rtl/>
        </w:rPr>
        <w:t>دمج</w:t>
      </w:r>
      <w:r>
        <w:rPr>
          <w:rFonts w:hint="cs"/>
          <w:rtl/>
        </w:rPr>
        <w:t xml:space="preserve"> المرأة </w:t>
      </w:r>
      <w:r w:rsidRPr="007D7079">
        <w:rPr>
          <w:rFonts w:hint="cs"/>
          <w:rtl/>
        </w:rPr>
        <w:t>ف</w:t>
      </w:r>
      <w:r>
        <w:rPr>
          <w:rFonts w:hint="cs"/>
          <w:rtl/>
        </w:rPr>
        <w:t>ي التنمية</w:t>
      </w:r>
      <w:r w:rsidRPr="007D7079">
        <w:rPr>
          <w:rFonts w:hint="cs"/>
          <w:rtl/>
        </w:rPr>
        <w:t>، تتم</w:t>
      </w:r>
      <w:r>
        <w:rPr>
          <w:rFonts w:hint="cs"/>
          <w:rtl/>
        </w:rPr>
        <w:t>ّ</w:t>
      </w:r>
      <w:r w:rsidRPr="007D7079">
        <w:rPr>
          <w:rFonts w:hint="cs"/>
          <w:rtl/>
        </w:rPr>
        <w:t xml:space="preserve"> الغفلة عن </w:t>
      </w:r>
      <w:r>
        <w:rPr>
          <w:rFonts w:hint="cs"/>
          <w:rtl/>
        </w:rPr>
        <w:t>أمر</w:t>
      </w:r>
      <w:r w:rsidRPr="007D7079">
        <w:rPr>
          <w:rFonts w:hint="cs"/>
          <w:rtl/>
        </w:rPr>
        <w:t xml:space="preserve"> </w:t>
      </w:r>
      <w:r>
        <w:rPr>
          <w:rFonts w:hint="cs"/>
          <w:rtl/>
        </w:rPr>
        <w:t>أساس</w:t>
      </w:r>
      <w:r w:rsidRPr="007D7079">
        <w:rPr>
          <w:rFonts w:hint="cs"/>
          <w:rtl/>
        </w:rPr>
        <w:t>ي</w:t>
      </w:r>
      <w:r>
        <w:rPr>
          <w:rFonts w:hint="cs"/>
          <w:rtl/>
        </w:rPr>
        <w:t>،</w:t>
      </w:r>
      <w:r w:rsidRPr="007D7079">
        <w:rPr>
          <w:rFonts w:hint="cs"/>
          <w:rtl/>
        </w:rPr>
        <w:t xml:space="preserve"> هو </w:t>
      </w:r>
      <w:r>
        <w:rPr>
          <w:rFonts w:hint="cs"/>
          <w:rtl/>
        </w:rPr>
        <w:t>كون ا</w:t>
      </w:r>
      <w:r w:rsidRPr="007D7079">
        <w:rPr>
          <w:rFonts w:hint="cs"/>
          <w:rtl/>
        </w:rPr>
        <w:t xml:space="preserve">لمرأة </w:t>
      </w:r>
      <w:r>
        <w:rPr>
          <w:rFonts w:hint="cs"/>
          <w:rtl/>
        </w:rPr>
        <w:t>ـ</w:t>
      </w:r>
      <w:r w:rsidRPr="007D7079">
        <w:rPr>
          <w:rFonts w:hint="cs"/>
          <w:rtl/>
        </w:rPr>
        <w:t xml:space="preserve"> دائما</w:t>
      </w:r>
      <w:r>
        <w:rPr>
          <w:rFonts w:hint="cs"/>
          <w:rtl/>
        </w:rPr>
        <w:t>ً</w:t>
      </w:r>
      <w:r w:rsidRPr="007D7079">
        <w:rPr>
          <w:rFonts w:hint="cs"/>
          <w:rtl/>
        </w:rPr>
        <w:t xml:space="preserve"> </w:t>
      </w:r>
      <w:r>
        <w:rPr>
          <w:rFonts w:hint="cs"/>
          <w:rtl/>
        </w:rPr>
        <w:t xml:space="preserve">ـ </w:t>
      </w:r>
      <w:r w:rsidRPr="007D7079">
        <w:rPr>
          <w:rFonts w:hint="cs"/>
          <w:rtl/>
        </w:rPr>
        <w:t>عنصر</w:t>
      </w:r>
      <w:r>
        <w:rPr>
          <w:rFonts w:hint="cs"/>
          <w:rtl/>
        </w:rPr>
        <w:t>اً</w:t>
      </w:r>
      <w:r w:rsidRPr="007D7079">
        <w:rPr>
          <w:rFonts w:hint="cs"/>
          <w:rtl/>
        </w:rPr>
        <w:t xml:space="preserve"> فاعل</w:t>
      </w:r>
      <w:r>
        <w:rPr>
          <w:rFonts w:hint="cs"/>
          <w:rtl/>
        </w:rPr>
        <w:t>اً</w:t>
      </w:r>
      <w:r w:rsidRPr="007D7079">
        <w:rPr>
          <w:rFonts w:hint="cs"/>
          <w:rtl/>
        </w:rPr>
        <w:t xml:space="preserve"> في مستقبل التغيير والتنمية ال</w:t>
      </w:r>
      <w:r>
        <w:rPr>
          <w:rFonts w:hint="cs"/>
          <w:rtl/>
        </w:rPr>
        <w:t>اجتماعية،</w:t>
      </w:r>
      <w:r w:rsidRPr="007D7079">
        <w:rPr>
          <w:rFonts w:hint="cs"/>
          <w:rtl/>
        </w:rPr>
        <w:t xml:space="preserve"> </w:t>
      </w:r>
      <w:r>
        <w:rPr>
          <w:rFonts w:hint="cs"/>
          <w:rtl/>
        </w:rPr>
        <w:t>وبالاستخفاف والتهاون بهذا الدور النسوي</w:t>
      </w:r>
      <w:r w:rsidRPr="007D7079">
        <w:rPr>
          <w:rFonts w:hint="cs"/>
          <w:rtl/>
        </w:rPr>
        <w:t xml:space="preserve"> </w:t>
      </w:r>
      <w:r>
        <w:rPr>
          <w:rFonts w:hint="cs"/>
          <w:rtl/>
        </w:rPr>
        <w:t>تكوّن التصوّر الخا</w:t>
      </w:r>
      <w:r w:rsidRPr="007D7079">
        <w:rPr>
          <w:rFonts w:hint="cs"/>
          <w:rtl/>
        </w:rPr>
        <w:t xml:space="preserve">طئ </w:t>
      </w:r>
      <w:r>
        <w:rPr>
          <w:rFonts w:hint="cs"/>
          <w:rtl/>
        </w:rPr>
        <w:t>عن انعدام دور المرأة في مجال</w:t>
      </w:r>
      <w:r w:rsidRPr="007D7079">
        <w:rPr>
          <w:rFonts w:hint="cs"/>
          <w:rtl/>
        </w:rPr>
        <w:t xml:space="preserve"> التنمية</w:t>
      </w:r>
      <w:r>
        <w:rPr>
          <w:rFonts w:hint="cs"/>
          <w:rtl/>
        </w:rPr>
        <w:t>.</w:t>
      </w:r>
    </w:p>
    <w:p w:rsidR="006E0FDB" w:rsidRPr="007D7079" w:rsidRDefault="006E0FDB" w:rsidP="006E0FDB">
      <w:pPr>
        <w:pStyle w:val="ac"/>
        <w:rPr>
          <w:rtl/>
        </w:rPr>
      </w:pPr>
      <w:r w:rsidRPr="007D7079">
        <w:rPr>
          <w:rFonts w:hint="cs"/>
          <w:rtl/>
        </w:rPr>
        <w:t>أم</w:t>
      </w:r>
      <w:r>
        <w:rPr>
          <w:rFonts w:hint="cs"/>
          <w:rtl/>
        </w:rPr>
        <w:t>ّ</w:t>
      </w:r>
      <w:r w:rsidRPr="007D7079">
        <w:rPr>
          <w:rFonts w:hint="cs"/>
          <w:rtl/>
        </w:rPr>
        <w:t>ا عمل</w:t>
      </w:r>
      <w:r>
        <w:rPr>
          <w:rFonts w:hint="cs"/>
          <w:rtl/>
        </w:rPr>
        <w:t xml:space="preserve"> المرأة </w:t>
      </w:r>
      <w:r w:rsidRPr="007D7079">
        <w:rPr>
          <w:rFonts w:hint="cs"/>
          <w:rtl/>
        </w:rPr>
        <w:t>في إيران ف</w:t>
      </w:r>
      <w:r>
        <w:rPr>
          <w:rFonts w:hint="cs"/>
          <w:rtl/>
        </w:rPr>
        <w:t>ل</w:t>
      </w:r>
      <w:r w:rsidRPr="007D7079">
        <w:rPr>
          <w:rFonts w:hint="cs"/>
          <w:rtl/>
        </w:rPr>
        <w:t>ه</w:t>
      </w:r>
      <w:r>
        <w:rPr>
          <w:rFonts w:hint="cs"/>
          <w:rtl/>
        </w:rPr>
        <w:t xml:space="preserve"> أبعاد</w:t>
      </w:r>
      <w:r w:rsidRPr="007D7079">
        <w:rPr>
          <w:rFonts w:hint="cs"/>
          <w:rtl/>
        </w:rPr>
        <w:t xml:space="preserve"> </w:t>
      </w:r>
      <w:r>
        <w:rPr>
          <w:rFonts w:hint="cs"/>
          <w:rtl/>
        </w:rPr>
        <w:t>أخرى</w:t>
      </w:r>
      <w:r w:rsidRPr="007D7079">
        <w:rPr>
          <w:rFonts w:hint="cs"/>
          <w:rtl/>
        </w:rPr>
        <w:t xml:space="preserve">، </w:t>
      </w:r>
      <w:r>
        <w:rPr>
          <w:rFonts w:hint="cs"/>
          <w:rtl/>
        </w:rPr>
        <w:t>ف</w:t>
      </w:r>
      <w:r w:rsidRPr="007D7079">
        <w:rPr>
          <w:rFonts w:hint="cs"/>
          <w:rtl/>
        </w:rPr>
        <w:t>الإحصاءات الرسمية تتحد</w:t>
      </w:r>
      <w:r>
        <w:rPr>
          <w:rFonts w:hint="cs"/>
          <w:rtl/>
        </w:rPr>
        <w:t>ّ</w:t>
      </w:r>
      <w:r w:rsidRPr="007D7079">
        <w:rPr>
          <w:rFonts w:hint="cs"/>
          <w:rtl/>
        </w:rPr>
        <w:t>ث عن أن تسعة</w:t>
      </w:r>
      <w:r>
        <w:rPr>
          <w:rFonts w:hint="cs"/>
          <w:rtl/>
        </w:rPr>
        <w:t>ً</w:t>
      </w:r>
      <w:r w:rsidRPr="007D7079">
        <w:rPr>
          <w:rFonts w:hint="cs"/>
          <w:rtl/>
        </w:rPr>
        <w:t xml:space="preserve"> بالمائ</w:t>
      </w:r>
      <w:r w:rsidRPr="007D7079">
        <w:rPr>
          <w:rFonts w:hint="eastAsia"/>
          <w:rtl/>
        </w:rPr>
        <w:t>ة</w:t>
      </w:r>
      <w:r w:rsidRPr="007D7079">
        <w:rPr>
          <w:rFonts w:hint="cs"/>
          <w:rtl/>
        </w:rPr>
        <w:t xml:space="preserve"> من </w:t>
      </w:r>
      <w:r>
        <w:rPr>
          <w:rFonts w:hint="cs"/>
          <w:rtl/>
        </w:rPr>
        <w:t>الإيرانيّات</w:t>
      </w:r>
      <w:r w:rsidRPr="007D7079">
        <w:rPr>
          <w:rFonts w:hint="cs"/>
          <w:rtl/>
        </w:rPr>
        <w:t xml:space="preserve"> يتول</w:t>
      </w:r>
      <w:r>
        <w:rPr>
          <w:rFonts w:hint="cs"/>
          <w:rtl/>
        </w:rPr>
        <w:t>ّ</w:t>
      </w:r>
      <w:r w:rsidRPr="007D7079">
        <w:rPr>
          <w:rFonts w:hint="cs"/>
          <w:rtl/>
        </w:rPr>
        <w:t>ين وظائف رسمي</w:t>
      </w:r>
      <w:r>
        <w:rPr>
          <w:rFonts w:hint="cs"/>
          <w:rtl/>
        </w:rPr>
        <w:t>ّ</w:t>
      </w:r>
      <w:r w:rsidRPr="007D7079">
        <w:rPr>
          <w:rFonts w:hint="cs"/>
          <w:rtl/>
        </w:rPr>
        <w:t>ة، وبناء</w:t>
      </w:r>
      <w:r>
        <w:rPr>
          <w:rFonts w:hint="cs"/>
          <w:rtl/>
        </w:rPr>
        <w:t>ً</w:t>
      </w:r>
      <w:r w:rsidRPr="007D7079">
        <w:rPr>
          <w:rFonts w:hint="cs"/>
          <w:rtl/>
        </w:rPr>
        <w:t xml:space="preserve"> على ذلك فان </w:t>
      </w:r>
      <w:r>
        <w:rPr>
          <w:rFonts w:hint="cs"/>
          <w:rtl/>
        </w:rPr>
        <w:t xml:space="preserve">تسعين في </w:t>
      </w:r>
      <w:r w:rsidRPr="007D7079">
        <w:rPr>
          <w:rFonts w:hint="cs"/>
          <w:rtl/>
        </w:rPr>
        <w:t>الم</w:t>
      </w:r>
      <w:r>
        <w:rPr>
          <w:rFonts w:hint="cs"/>
          <w:rtl/>
        </w:rPr>
        <w:t>ا</w:t>
      </w:r>
      <w:r w:rsidRPr="007D7079">
        <w:rPr>
          <w:rFonts w:hint="cs"/>
          <w:rtl/>
        </w:rPr>
        <w:t xml:space="preserve">ئة </w:t>
      </w:r>
      <w:r>
        <w:rPr>
          <w:rFonts w:hint="cs"/>
          <w:rtl/>
        </w:rPr>
        <w:t>إ</w:t>
      </w:r>
      <w:r w:rsidRPr="007D7079">
        <w:rPr>
          <w:rFonts w:hint="cs"/>
          <w:rtl/>
        </w:rPr>
        <w:t>ما ربّات بيوت،</w:t>
      </w:r>
      <w:r>
        <w:rPr>
          <w:rFonts w:hint="cs"/>
          <w:rtl/>
        </w:rPr>
        <w:t xml:space="preserve"> أو محسوباتٍ فاقداتٍ للفعل التنموي الاقتصادي،</w:t>
      </w:r>
      <w:r w:rsidRPr="007D7079">
        <w:rPr>
          <w:rFonts w:hint="cs"/>
          <w:rtl/>
        </w:rPr>
        <w:t xml:space="preserve"> وما يلفت النظر </w:t>
      </w:r>
      <w:r>
        <w:rPr>
          <w:rFonts w:hint="cs"/>
          <w:rtl/>
        </w:rPr>
        <w:t>رغم ذلك</w:t>
      </w:r>
      <w:r w:rsidRPr="007D7079">
        <w:rPr>
          <w:rFonts w:hint="cs"/>
          <w:rtl/>
        </w:rPr>
        <w:t xml:space="preserve"> </w:t>
      </w:r>
      <w:r>
        <w:rPr>
          <w:rFonts w:hint="cs"/>
          <w:rtl/>
        </w:rPr>
        <w:t xml:space="preserve">أنّ </w:t>
      </w:r>
      <w:r w:rsidRPr="007D7079">
        <w:rPr>
          <w:rFonts w:hint="cs"/>
          <w:rtl/>
        </w:rPr>
        <w:t>أغلب الدراسات النسوية تت</w:t>
      </w:r>
      <w:r>
        <w:rPr>
          <w:rFonts w:hint="cs"/>
          <w:rtl/>
        </w:rPr>
        <w:t>ّ</w:t>
      </w:r>
      <w:r w:rsidRPr="007D7079">
        <w:rPr>
          <w:rFonts w:hint="cs"/>
          <w:rtl/>
        </w:rPr>
        <w:t xml:space="preserve">جه </w:t>
      </w:r>
      <w:r>
        <w:rPr>
          <w:rFonts w:hint="cs"/>
          <w:rtl/>
        </w:rPr>
        <w:t>نحو</w:t>
      </w:r>
      <w:r w:rsidRPr="007D7079">
        <w:rPr>
          <w:rFonts w:hint="cs"/>
          <w:rtl/>
        </w:rPr>
        <w:t xml:space="preserve"> عمل</w:t>
      </w:r>
      <w:r>
        <w:rPr>
          <w:rFonts w:hint="cs"/>
          <w:rtl/>
        </w:rPr>
        <w:t xml:space="preserve"> المرأة،</w:t>
      </w:r>
      <w:r w:rsidRPr="007D7079">
        <w:rPr>
          <w:rFonts w:hint="cs"/>
          <w:rtl/>
        </w:rPr>
        <w:t xml:space="preserve"> </w:t>
      </w:r>
      <w:r>
        <w:rPr>
          <w:rFonts w:hint="cs"/>
          <w:rtl/>
        </w:rPr>
        <w:t xml:space="preserve">وهو ما </w:t>
      </w:r>
      <w:r w:rsidRPr="007D7079">
        <w:rPr>
          <w:rFonts w:hint="cs"/>
          <w:rtl/>
        </w:rPr>
        <w:t>يدلّل بوضوح على مدى الأهمية التي ي</w:t>
      </w:r>
      <w:r>
        <w:rPr>
          <w:rFonts w:hint="cs"/>
          <w:rtl/>
        </w:rPr>
        <w:t>ُ</w:t>
      </w:r>
      <w:r w:rsidRPr="007D7079">
        <w:rPr>
          <w:rFonts w:hint="cs"/>
          <w:rtl/>
        </w:rPr>
        <w:t>بديها أنصار حقوق</w:t>
      </w:r>
      <w:r>
        <w:rPr>
          <w:rFonts w:hint="cs"/>
          <w:rtl/>
        </w:rPr>
        <w:t xml:space="preserve"> المرأة </w:t>
      </w:r>
      <w:r w:rsidRPr="007D7079">
        <w:rPr>
          <w:rFonts w:hint="cs"/>
          <w:rtl/>
        </w:rPr>
        <w:t xml:space="preserve">لمسألة </w:t>
      </w:r>
      <w:r>
        <w:rPr>
          <w:rFonts w:hint="cs"/>
          <w:rtl/>
        </w:rPr>
        <w:t>ال</w:t>
      </w:r>
      <w:r w:rsidRPr="007D7079">
        <w:rPr>
          <w:rFonts w:hint="cs"/>
          <w:rtl/>
        </w:rPr>
        <w:t>عمل</w:t>
      </w:r>
      <w:r>
        <w:rPr>
          <w:rFonts w:hint="cs"/>
          <w:rtl/>
        </w:rPr>
        <w:t>.</w:t>
      </w:r>
    </w:p>
    <w:p w:rsidR="006E0FDB" w:rsidRPr="007D7079" w:rsidRDefault="006E0FDB" w:rsidP="006E0FDB">
      <w:pPr>
        <w:pStyle w:val="ac"/>
        <w:rPr>
          <w:rtl/>
        </w:rPr>
      </w:pPr>
      <w:r w:rsidRPr="007D7079">
        <w:rPr>
          <w:rFonts w:hint="cs"/>
          <w:rtl/>
        </w:rPr>
        <w:t xml:space="preserve">ولنقف هنا </w:t>
      </w:r>
      <w:r>
        <w:rPr>
          <w:rFonts w:hint="cs"/>
          <w:rtl/>
        </w:rPr>
        <w:t>ق</w:t>
      </w:r>
      <w:r w:rsidRPr="007D7079">
        <w:rPr>
          <w:rFonts w:hint="cs"/>
          <w:rtl/>
        </w:rPr>
        <w:t>ليلا</w:t>
      </w:r>
      <w:r>
        <w:rPr>
          <w:rFonts w:hint="cs"/>
          <w:rtl/>
        </w:rPr>
        <w:t>ً،</w:t>
      </w:r>
      <w:r w:rsidRPr="007D7079">
        <w:rPr>
          <w:rFonts w:hint="cs"/>
          <w:rtl/>
        </w:rPr>
        <w:t xml:space="preserve"> </w:t>
      </w:r>
      <w:r>
        <w:rPr>
          <w:rFonts w:hint="cs"/>
          <w:rtl/>
        </w:rPr>
        <w:t>هل يمكن القول بأ</w:t>
      </w:r>
      <w:r w:rsidRPr="007D7079">
        <w:rPr>
          <w:rFonts w:hint="cs"/>
          <w:rtl/>
        </w:rPr>
        <w:t xml:space="preserve">ن </w:t>
      </w:r>
      <w:r>
        <w:rPr>
          <w:rFonts w:hint="cs"/>
          <w:rtl/>
        </w:rPr>
        <w:t xml:space="preserve">التسعين في </w:t>
      </w:r>
      <w:r w:rsidRPr="007D7079">
        <w:rPr>
          <w:rFonts w:hint="cs"/>
          <w:rtl/>
        </w:rPr>
        <w:t>الم</w:t>
      </w:r>
      <w:r>
        <w:rPr>
          <w:rFonts w:hint="cs"/>
          <w:rtl/>
        </w:rPr>
        <w:t>ا</w:t>
      </w:r>
      <w:r w:rsidRPr="007D7079">
        <w:rPr>
          <w:rFonts w:hint="cs"/>
          <w:rtl/>
        </w:rPr>
        <w:t xml:space="preserve">ئة الباقية من النساء لا يملكن </w:t>
      </w:r>
      <w:r>
        <w:rPr>
          <w:rFonts w:hint="cs"/>
          <w:rtl/>
        </w:rPr>
        <w:t>ـ فعلاً ـ أ</w:t>
      </w:r>
      <w:r w:rsidRPr="007D7079">
        <w:rPr>
          <w:rFonts w:hint="cs"/>
          <w:rtl/>
        </w:rPr>
        <w:t>ي</w:t>
      </w:r>
      <w:r>
        <w:rPr>
          <w:rFonts w:hint="cs"/>
          <w:rtl/>
        </w:rPr>
        <w:t>ّ</w:t>
      </w:r>
      <w:r w:rsidRPr="007D7079">
        <w:rPr>
          <w:rFonts w:hint="cs"/>
          <w:rtl/>
        </w:rPr>
        <w:t xml:space="preserve"> </w:t>
      </w:r>
      <w:r>
        <w:rPr>
          <w:rFonts w:hint="cs"/>
          <w:rtl/>
        </w:rPr>
        <w:t>نشاط اقتصادي</w:t>
      </w:r>
      <w:r w:rsidRPr="007D7079">
        <w:rPr>
          <w:rFonts w:hint="cs"/>
          <w:rtl/>
        </w:rPr>
        <w:t>؟</w:t>
      </w:r>
    </w:p>
    <w:p w:rsidR="006E0FDB" w:rsidRDefault="006E0FDB" w:rsidP="006E0FDB">
      <w:pPr>
        <w:pStyle w:val="ac"/>
        <w:rPr>
          <w:rtl/>
        </w:rPr>
      </w:pPr>
      <w:r w:rsidRPr="007D7079">
        <w:rPr>
          <w:rFonts w:hint="cs"/>
          <w:rtl/>
        </w:rPr>
        <w:t>إن</w:t>
      </w:r>
      <w:r>
        <w:rPr>
          <w:rFonts w:hint="cs"/>
          <w:rtl/>
        </w:rPr>
        <w:t>ّ</w:t>
      </w:r>
      <w:r w:rsidRPr="007D7079">
        <w:rPr>
          <w:rFonts w:hint="cs"/>
          <w:rtl/>
        </w:rPr>
        <w:t xml:space="preserve"> قسما</w:t>
      </w:r>
      <w:r>
        <w:rPr>
          <w:rFonts w:hint="cs"/>
          <w:rtl/>
        </w:rPr>
        <w:t>ً</w:t>
      </w:r>
      <w:r w:rsidRPr="007D7079">
        <w:rPr>
          <w:rFonts w:hint="cs"/>
          <w:rtl/>
        </w:rPr>
        <w:t xml:space="preserve"> مهم</w:t>
      </w:r>
      <w:r>
        <w:rPr>
          <w:rFonts w:hint="cs"/>
          <w:rtl/>
        </w:rPr>
        <w:t>ّ</w:t>
      </w:r>
      <w:r w:rsidRPr="007D7079">
        <w:rPr>
          <w:rFonts w:hint="cs"/>
          <w:rtl/>
        </w:rPr>
        <w:t>ا</w:t>
      </w:r>
      <w:r>
        <w:rPr>
          <w:rFonts w:hint="cs"/>
          <w:rtl/>
        </w:rPr>
        <w:t>ً</w:t>
      </w:r>
      <w:r w:rsidRPr="007D7079">
        <w:rPr>
          <w:rFonts w:hint="cs"/>
          <w:rtl/>
        </w:rPr>
        <w:t xml:space="preserve"> من اللواتي يوصفن بربّات </w:t>
      </w:r>
      <w:r>
        <w:rPr>
          <w:rFonts w:hint="cs"/>
          <w:rtl/>
        </w:rPr>
        <w:t>ال</w:t>
      </w:r>
      <w:r w:rsidRPr="007D7079">
        <w:rPr>
          <w:rFonts w:hint="cs"/>
          <w:rtl/>
        </w:rPr>
        <w:t>بيوت هن</w:t>
      </w:r>
      <w:r>
        <w:rPr>
          <w:rFonts w:hint="cs"/>
          <w:rtl/>
        </w:rPr>
        <w:t>ّ</w:t>
      </w:r>
      <w:r w:rsidRPr="007D7079">
        <w:rPr>
          <w:rFonts w:hint="cs"/>
          <w:rtl/>
        </w:rPr>
        <w:t xml:space="preserve"> من القرى</w:t>
      </w:r>
      <w:r>
        <w:rPr>
          <w:rFonts w:hint="cs"/>
          <w:rtl/>
        </w:rPr>
        <w:t xml:space="preserve"> والأرياف</w:t>
      </w:r>
      <w:r w:rsidRPr="007D7079">
        <w:rPr>
          <w:rFonts w:hint="cs"/>
          <w:rtl/>
        </w:rPr>
        <w:t xml:space="preserve">، وحيث </w:t>
      </w:r>
      <w:r>
        <w:rPr>
          <w:rFonts w:hint="cs"/>
          <w:rtl/>
        </w:rPr>
        <w:t>إ</w:t>
      </w:r>
      <w:r w:rsidRPr="007D7079">
        <w:rPr>
          <w:rFonts w:hint="cs"/>
          <w:rtl/>
        </w:rPr>
        <w:t>ن</w:t>
      </w:r>
      <w:r>
        <w:rPr>
          <w:rFonts w:hint="cs"/>
          <w:rtl/>
        </w:rPr>
        <w:t>ّ</w:t>
      </w:r>
      <w:r w:rsidRPr="007D7079">
        <w:rPr>
          <w:rFonts w:hint="cs"/>
          <w:rtl/>
        </w:rPr>
        <w:t xml:space="preserve"> أكثر من </w:t>
      </w:r>
      <w:r>
        <w:rPr>
          <w:rFonts w:hint="cs"/>
          <w:rtl/>
        </w:rPr>
        <w:t>خمسة وتسعين في الما</w:t>
      </w:r>
      <w:r w:rsidRPr="007D7079">
        <w:rPr>
          <w:rFonts w:hint="cs"/>
          <w:rtl/>
        </w:rPr>
        <w:t>ئ</w:t>
      </w:r>
      <w:r w:rsidRPr="007D7079">
        <w:rPr>
          <w:rFonts w:hint="eastAsia"/>
          <w:rtl/>
        </w:rPr>
        <w:t>ة</w:t>
      </w:r>
      <w:r w:rsidRPr="007D7079">
        <w:rPr>
          <w:rFonts w:hint="cs"/>
          <w:rtl/>
        </w:rPr>
        <w:t xml:space="preserve"> من إنتاج</w:t>
      </w:r>
      <w:r>
        <w:rPr>
          <w:rFonts w:hint="cs"/>
          <w:rtl/>
        </w:rPr>
        <w:t xml:space="preserve"> القطاع الزراعي في إ</w:t>
      </w:r>
      <w:r w:rsidRPr="007D7079">
        <w:rPr>
          <w:rFonts w:hint="cs"/>
          <w:rtl/>
        </w:rPr>
        <w:t>يران يتكوّن من الاستثمار العائلي، ف</w:t>
      </w:r>
      <w:r>
        <w:rPr>
          <w:rFonts w:hint="cs"/>
          <w:rtl/>
        </w:rPr>
        <w:t>نتيجة ذلك أ</w:t>
      </w:r>
      <w:r w:rsidRPr="007D7079">
        <w:rPr>
          <w:rFonts w:hint="cs"/>
          <w:rtl/>
        </w:rPr>
        <w:t>ن</w:t>
      </w:r>
      <w:r>
        <w:rPr>
          <w:rFonts w:hint="cs"/>
          <w:rtl/>
        </w:rPr>
        <w:t>ّ</w:t>
      </w:r>
      <w:r w:rsidRPr="007D7079">
        <w:rPr>
          <w:rFonts w:hint="cs"/>
          <w:rtl/>
        </w:rPr>
        <w:t xml:space="preserve"> النساء القرويات لهن</w:t>
      </w:r>
      <w:r>
        <w:rPr>
          <w:rFonts w:hint="cs"/>
          <w:rtl/>
        </w:rPr>
        <w:t>ّ</w:t>
      </w:r>
      <w:r w:rsidRPr="007D7079">
        <w:rPr>
          <w:rFonts w:hint="cs"/>
          <w:rtl/>
        </w:rPr>
        <w:t xml:space="preserve"> سهم</w:t>
      </w:r>
      <w:r>
        <w:rPr>
          <w:rFonts w:hint="cs"/>
          <w:rtl/>
        </w:rPr>
        <w:t>ٌ</w:t>
      </w:r>
      <w:r w:rsidRPr="007D7079">
        <w:rPr>
          <w:rFonts w:hint="cs"/>
          <w:rtl/>
        </w:rPr>
        <w:t xml:space="preserve"> كبير في </w:t>
      </w:r>
      <w:r>
        <w:rPr>
          <w:rFonts w:hint="cs"/>
          <w:rtl/>
        </w:rPr>
        <w:t xml:space="preserve">هذا </w:t>
      </w:r>
      <w:r w:rsidRPr="007D7079">
        <w:rPr>
          <w:rFonts w:hint="cs"/>
          <w:rtl/>
        </w:rPr>
        <w:t>الانتاج</w:t>
      </w:r>
      <w:r>
        <w:rPr>
          <w:rFonts w:hint="cs"/>
          <w:rtl/>
        </w:rPr>
        <w:t>،</w:t>
      </w:r>
      <w:r w:rsidRPr="007D7079">
        <w:rPr>
          <w:rFonts w:hint="cs"/>
          <w:rtl/>
        </w:rPr>
        <w:t xml:space="preserve"> بل </w:t>
      </w:r>
      <w:r>
        <w:rPr>
          <w:rFonts w:hint="cs"/>
          <w:rtl/>
        </w:rPr>
        <w:t xml:space="preserve">تدلّ </w:t>
      </w:r>
      <w:r w:rsidRPr="007D7079">
        <w:rPr>
          <w:rFonts w:hint="cs"/>
          <w:rtl/>
        </w:rPr>
        <w:t>الدراسات على أن</w:t>
      </w:r>
      <w:r>
        <w:rPr>
          <w:rFonts w:hint="cs"/>
          <w:rtl/>
        </w:rPr>
        <w:t>ّ</w:t>
      </w:r>
      <w:r w:rsidRPr="007D7079">
        <w:rPr>
          <w:rFonts w:hint="cs"/>
          <w:rtl/>
        </w:rPr>
        <w:t xml:space="preserve"> القرويات المرفّهات نسبيا</w:t>
      </w:r>
      <w:r>
        <w:rPr>
          <w:rFonts w:hint="cs"/>
          <w:rtl/>
        </w:rPr>
        <w:t>ً</w:t>
      </w:r>
      <w:r w:rsidRPr="007D7079">
        <w:rPr>
          <w:rFonts w:hint="cs"/>
          <w:rtl/>
        </w:rPr>
        <w:t xml:space="preserve"> واللواتي لا دور مباشر لهن</w:t>
      </w:r>
      <w:r>
        <w:rPr>
          <w:rFonts w:hint="cs"/>
          <w:rtl/>
        </w:rPr>
        <w:t>ّ</w:t>
      </w:r>
      <w:r w:rsidRPr="007D7079">
        <w:rPr>
          <w:rFonts w:hint="cs"/>
          <w:rtl/>
        </w:rPr>
        <w:t xml:space="preserve"> في الإنتاج الزراعي يلعبن دورا</w:t>
      </w:r>
      <w:r>
        <w:rPr>
          <w:rFonts w:hint="cs"/>
          <w:rtl/>
        </w:rPr>
        <w:t>ً</w:t>
      </w:r>
      <w:r w:rsidRPr="007D7079">
        <w:rPr>
          <w:rFonts w:hint="cs"/>
          <w:rtl/>
        </w:rPr>
        <w:t xml:space="preserve"> غير مباشر</w:t>
      </w:r>
      <w:r>
        <w:rPr>
          <w:rFonts w:hint="cs"/>
          <w:rtl/>
        </w:rPr>
        <w:t>؛</w:t>
      </w:r>
      <w:r w:rsidRPr="007D7079">
        <w:rPr>
          <w:rFonts w:hint="cs"/>
          <w:rtl/>
        </w:rPr>
        <w:t xml:space="preserve"> عبر قيامهن</w:t>
      </w:r>
      <w:r>
        <w:rPr>
          <w:rFonts w:hint="cs"/>
          <w:rtl/>
        </w:rPr>
        <w:t>ّ</w:t>
      </w:r>
      <w:r w:rsidRPr="007D7079">
        <w:rPr>
          <w:rFonts w:hint="cs"/>
          <w:rtl/>
        </w:rPr>
        <w:t xml:space="preserve"> بأعمال </w:t>
      </w:r>
      <w:r>
        <w:rPr>
          <w:rFonts w:hint="cs"/>
          <w:rtl/>
        </w:rPr>
        <w:t>أخرى،</w:t>
      </w:r>
      <w:r w:rsidRPr="007D7079">
        <w:rPr>
          <w:rFonts w:hint="cs"/>
          <w:rtl/>
        </w:rPr>
        <w:t xml:space="preserve"> كتهيئة الطعام للعم</w:t>
      </w:r>
      <w:r>
        <w:rPr>
          <w:rFonts w:hint="cs"/>
          <w:rtl/>
        </w:rPr>
        <w:t>ّ</w:t>
      </w:r>
      <w:r w:rsidRPr="007D7079">
        <w:rPr>
          <w:rFonts w:hint="cs"/>
          <w:rtl/>
        </w:rPr>
        <w:t>ال والمزارعين</w:t>
      </w:r>
      <w:r>
        <w:rPr>
          <w:rFonts w:hint="cs"/>
          <w:rtl/>
        </w:rPr>
        <w:t xml:space="preserve">، أو </w:t>
      </w:r>
      <w:r w:rsidRPr="007D7079">
        <w:rPr>
          <w:rFonts w:hint="cs"/>
          <w:rtl/>
        </w:rPr>
        <w:t>القيام بتدبير الأمور المنزلية</w:t>
      </w:r>
      <w:r>
        <w:rPr>
          <w:rFonts w:hint="cs"/>
          <w:rtl/>
        </w:rPr>
        <w:t xml:space="preserve">، أو </w:t>
      </w:r>
      <w:r w:rsidRPr="007D7079">
        <w:rPr>
          <w:rFonts w:hint="cs"/>
          <w:rtl/>
        </w:rPr>
        <w:t>بعض الصناعات اليدوية</w:t>
      </w:r>
      <w:r>
        <w:rPr>
          <w:rFonts w:hint="cs"/>
          <w:rtl/>
        </w:rPr>
        <w:t xml:space="preserve">، </w:t>
      </w:r>
      <w:r w:rsidRPr="007D7079">
        <w:rPr>
          <w:rFonts w:hint="cs"/>
          <w:rtl/>
        </w:rPr>
        <w:t xml:space="preserve">أو المواد الغذائية </w:t>
      </w:r>
      <w:r>
        <w:rPr>
          <w:rFonts w:hint="cs"/>
          <w:rtl/>
        </w:rPr>
        <w:t>كا</w:t>
      </w:r>
      <w:r w:rsidRPr="007D7079">
        <w:rPr>
          <w:rFonts w:hint="cs"/>
          <w:rtl/>
        </w:rPr>
        <w:t>لمرب</w:t>
      </w:r>
      <w:r>
        <w:rPr>
          <w:rFonts w:hint="cs"/>
          <w:rtl/>
        </w:rPr>
        <w:t>ّيات وشراب البندورة ونحوها،</w:t>
      </w:r>
      <w:r w:rsidRPr="007D7079">
        <w:rPr>
          <w:rFonts w:hint="cs"/>
          <w:rtl/>
        </w:rPr>
        <w:t xml:space="preserve"> ال</w:t>
      </w:r>
      <w:r>
        <w:rPr>
          <w:rFonts w:hint="cs"/>
          <w:rtl/>
        </w:rPr>
        <w:t>أمر الذي يزيد من الدخل العائلي.</w:t>
      </w:r>
    </w:p>
    <w:p w:rsidR="006E0FDB" w:rsidRPr="00D85E3C" w:rsidRDefault="006E0FDB" w:rsidP="006E0FDB">
      <w:pPr>
        <w:pStyle w:val="ac"/>
        <w:rPr>
          <w:spacing w:val="-2"/>
          <w:rtl/>
        </w:rPr>
      </w:pPr>
      <w:r w:rsidRPr="00D85E3C">
        <w:rPr>
          <w:rFonts w:hint="cs"/>
          <w:spacing w:val="-2"/>
          <w:rtl/>
        </w:rPr>
        <w:t xml:space="preserve">من جهةٍ أخرى، لا يتساوى نشاط ربّات البيوت في المدن واللواتي يقتصر عملهنّ على </w:t>
      </w:r>
      <w:r w:rsidRPr="00D85E3C">
        <w:rPr>
          <w:rFonts w:hint="cs"/>
          <w:spacing w:val="-2"/>
          <w:rtl/>
        </w:rPr>
        <w:lastRenderedPageBreak/>
        <w:t>القيام بوظائف (ربّات المنزل الجدد) مع السابقات؛ فقد جرت عادة نساء الطبقة المرفّهة على الاستفادة من الخادمات، سواء من كان منهنّ بشكل دائم أو مؤقت، وهنّ من يقمن بإنجاز الوظائف المنزلية الأساسية، أمّا الأطفال الذين تقلّ أعمارهم عن سنّ السادسة فغالباً ما يتمّ إرسالهم إلى حضانات الأطفال، إضافةً إلى استخدام الآلات الحديثة، كالغسالات، والمكانس الكهربائيّة، والمأكولات الجاهزة، إن هذا كلّه يُثمر تقليصاً كبيراً في حجم الوظائف التي تتلف الوقت وتستلزم إرهاق المرأة.</w:t>
      </w:r>
    </w:p>
    <w:p w:rsidR="006E0FDB" w:rsidRDefault="006E0FDB" w:rsidP="006E0FDB">
      <w:pPr>
        <w:pStyle w:val="ac"/>
        <w:rPr>
          <w:rtl/>
        </w:rPr>
      </w:pPr>
      <w:r>
        <w:rPr>
          <w:rFonts w:hint="cs"/>
          <w:rtl/>
        </w:rPr>
        <w:t>أ</w:t>
      </w:r>
      <w:r w:rsidRPr="007D7079">
        <w:rPr>
          <w:rFonts w:hint="cs"/>
          <w:rtl/>
        </w:rPr>
        <w:t>م</w:t>
      </w:r>
      <w:r>
        <w:rPr>
          <w:rFonts w:hint="cs"/>
          <w:rtl/>
        </w:rPr>
        <w:t xml:space="preserve">ّا </w:t>
      </w:r>
      <w:r w:rsidRPr="007D7079">
        <w:rPr>
          <w:rFonts w:hint="cs"/>
          <w:rtl/>
        </w:rPr>
        <w:t xml:space="preserve">نساء </w:t>
      </w:r>
      <w:r>
        <w:rPr>
          <w:rFonts w:hint="cs"/>
          <w:rtl/>
        </w:rPr>
        <w:t>المدن،</w:t>
      </w:r>
      <w:r w:rsidRPr="007D7079">
        <w:rPr>
          <w:rFonts w:hint="cs"/>
          <w:rtl/>
        </w:rPr>
        <w:t xml:space="preserve"> وهن</w:t>
      </w:r>
      <w:r>
        <w:rPr>
          <w:rFonts w:hint="cs"/>
          <w:rtl/>
        </w:rPr>
        <w:t>ّ</w:t>
      </w:r>
      <w:r w:rsidRPr="007D7079">
        <w:rPr>
          <w:rFonts w:hint="cs"/>
          <w:rtl/>
        </w:rPr>
        <w:t xml:space="preserve"> من الطبقة المتوس</w:t>
      </w:r>
      <w:r>
        <w:rPr>
          <w:rFonts w:hint="cs"/>
          <w:rtl/>
        </w:rPr>
        <w:t>ّ</w:t>
      </w:r>
      <w:r w:rsidRPr="007D7079">
        <w:rPr>
          <w:rFonts w:hint="cs"/>
          <w:rtl/>
        </w:rPr>
        <w:t>طة</w:t>
      </w:r>
      <w:r>
        <w:rPr>
          <w:rFonts w:hint="cs"/>
          <w:rtl/>
        </w:rPr>
        <w:t xml:space="preserve"> أو </w:t>
      </w:r>
      <w:r w:rsidRPr="007D7079">
        <w:rPr>
          <w:rFonts w:hint="cs"/>
          <w:rtl/>
        </w:rPr>
        <w:t>الفقيرة</w:t>
      </w:r>
      <w:r>
        <w:rPr>
          <w:rFonts w:hint="cs"/>
          <w:rtl/>
        </w:rPr>
        <w:t>،</w:t>
      </w:r>
      <w:r w:rsidRPr="007D7079">
        <w:rPr>
          <w:rFonts w:hint="cs"/>
          <w:rtl/>
        </w:rPr>
        <w:t xml:space="preserve"> فيلتزمن </w:t>
      </w:r>
      <w:r>
        <w:rPr>
          <w:rFonts w:hint="cs"/>
          <w:rtl/>
        </w:rPr>
        <w:t>ا</w:t>
      </w:r>
      <w:r w:rsidRPr="007D7079">
        <w:rPr>
          <w:rFonts w:hint="cs"/>
          <w:rtl/>
        </w:rPr>
        <w:t>لقيام</w:t>
      </w:r>
      <w:r>
        <w:rPr>
          <w:rFonts w:hint="cs"/>
          <w:rtl/>
        </w:rPr>
        <w:t>َ</w:t>
      </w:r>
      <w:r w:rsidRPr="007D7079">
        <w:rPr>
          <w:rFonts w:hint="cs"/>
          <w:rtl/>
        </w:rPr>
        <w:t xml:space="preserve"> بأعمال </w:t>
      </w:r>
      <w:r>
        <w:rPr>
          <w:rFonts w:hint="cs"/>
          <w:rtl/>
        </w:rPr>
        <w:t>أخرى</w:t>
      </w:r>
      <w:r w:rsidRPr="007D7079">
        <w:rPr>
          <w:rFonts w:hint="cs"/>
          <w:rtl/>
        </w:rPr>
        <w:t xml:space="preserve"> غير وظائفهن</w:t>
      </w:r>
      <w:r>
        <w:rPr>
          <w:rFonts w:hint="cs"/>
          <w:rtl/>
        </w:rPr>
        <w:t>ّ</w:t>
      </w:r>
      <w:r w:rsidRPr="007D7079">
        <w:rPr>
          <w:rFonts w:hint="cs"/>
          <w:rtl/>
        </w:rPr>
        <w:t xml:space="preserve"> المنزلية، وه</w:t>
      </w:r>
      <w:r>
        <w:rPr>
          <w:rFonts w:hint="cs"/>
          <w:rtl/>
        </w:rPr>
        <w:t>ي</w:t>
      </w:r>
      <w:r w:rsidRPr="007D7079">
        <w:rPr>
          <w:rFonts w:hint="cs"/>
          <w:rtl/>
        </w:rPr>
        <w:t xml:space="preserve"> أعمال تشمل الخياطة</w:t>
      </w:r>
      <w:r>
        <w:rPr>
          <w:rFonts w:hint="cs"/>
          <w:rtl/>
        </w:rPr>
        <w:t>،</w:t>
      </w:r>
      <w:r w:rsidRPr="007D7079">
        <w:rPr>
          <w:rFonts w:hint="cs"/>
          <w:rtl/>
        </w:rPr>
        <w:t xml:space="preserve"> والتزيين</w:t>
      </w:r>
      <w:r>
        <w:rPr>
          <w:rFonts w:hint="cs"/>
          <w:rtl/>
        </w:rPr>
        <w:t>،</w:t>
      </w:r>
      <w:r w:rsidRPr="007D7079">
        <w:rPr>
          <w:rFonts w:hint="cs"/>
          <w:rtl/>
        </w:rPr>
        <w:t xml:space="preserve"> والخدمة</w:t>
      </w:r>
      <w:r>
        <w:rPr>
          <w:rFonts w:hint="cs"/>
          <w:rtl/>
        </w:rPr>
        <w:t>،</w:t>
      </w:r>
      <w:r w:rsidRPr="007D7079">
        <w:rPr>
          <w:rFonts w:hint="cs"/>
          <w:rtl/>
        </w:rPr>
        <w:t xml:space="preserve"> وصناعة الحلويات و.. وهذا </w:t>
      </w:r>
      <w:r>
        <w:rPr>
          <w:rFonts w:hint="cs"/>
          <w:rtl/>
        </w:rPr>
        <w:t xml:space="preserve">ما يزيد </w:t>
      </w:r>
      <w:r w:rsidRPr="007D7079">
        <w:rPr>
          <w:rFonts w:hint="cs"/>
          <w:rtl/>
        </w:rPr>
        <w:t xml:space="preserve">بدوره من دخل </w:t>
      </w:r>
      <w:r>
        <w:rPr>
          <w:rFonts w:hint="cs"/>
          <w:rtl/>
        </w:rPr>
        <w:t>الأسرة،</w:t>
      </w:r>
      <w:r w:rsidRPr="007D7079">
        <w:rPr>
          <w:rFonts w:hint="cs"/>
          <w:rtl/>
        </w:rPr>
        <w:t xml:space="preserve"> </w:t>
      </w:r>
      <w:r>
        <w:rPr>
          <w:rFonts w:hint="cs"/>
          <w:rtl/>
        </w:rPr>
        <w:t xml:space="preserve">ولابدّ </w:t>
      </w:r>
      <w:r w:rsidRPr="007D7079">
        <w:rPr>
          <w:rFonts w:hint="cs"/>
          <w:rtl/>
        </w:rPr>
        <w:t>من الالتفات</w:t>
      </w:r>
      <w:r>
        <w:rPr>
          <w:rFonts w:hint="cs"/>
          <w:rtl/>
        </w:rPr>
        <w:t xml:space="preserve"> إلى </w:t>
      </w:r>
      <w:r w:rsidRPr="007D7079">
        <w:rPr>
          <w:rFonts w:hint="cs"/>
          <w:rtl/>
        </w:rPr>
        <w:t>أن</w:t>
      </w:r>
      <w:r>
        <w:rPr>
          <w:rFonts w:hint="cs"/>
          <w:rtl/>
        </w:rPr>
        <w:t>ّ</w:t>
      </w:r>
      <w:r w:rsidRPr="007D7079">
        <w:rPr>
          <w:rFonts w:hint="cs"/>
          <w:rtl/>
        </w:rPr>
        <w:t xml:space="preserve"> التضخ</w:t>
      </w:r>
      <w:r>
        <w:rPr>
          <w:rFonts w:hint="cs"/>
          <w:rtl/>
        </w:rPr>
        <w:t>ّ</w:t>
      </w:r>
      <w:r w:rsidRPr="007D7079">
        <w:rPr>
          <w:rFonts w:hint="cs"/>
          <w:rtl/>
        </w:rPr>
        <w:t xml:space="preserve">م الاقتصادي </w:t>
      </w:r>
      <w:r>
        <w:rPr>
          <w:rFonts w:hint="cs"/>
          <w:rtl/>
        </w:rPr>
        <w:t xml:space="preserve">قد أدّى إلى </w:t>
      </w:r>
      <w:r w:rsidRPr="007D7079">
        <w:rPr>
          <w:rFonts w:hint="cs"/>
          <w:rtl/>
        </w:rPr>
        <w:t>ات</w:t>
      </w:r>
      <w:r>
        <w:rPr>
          <w:rFonts w:hint="cs"/>
          <w:rtl/>
        </w:rPr>
        <w:t>ّ</w:t>
      </w:r>
      <w:r w:rsidRPr="007D7079">
        <w:rPr>
          <w:rFonts w:hint="cs"/>
          <w:rtl/>
        </w:rPr>
        <w:t>ساع العمل لدى هذه الطبقة</w:t>
      </w:r>
      <w:r>
        <w:rPr>
          <w:rFonts w:hint="cs"/>
          <w:rtl/>
        </w:rPr>
        <w:t>،</w:t>
      </w:r>
      <w:r w:rsidRPr="007D7079">
        <w:rPr>
          <w:rFonts w:hint="cs"/>
          <w:rtl/>
        </w:rPr>
        <w:t xml:space="preserve"> </w:t>
      </w:r>
      <w:r>
        <w:rPr>
          <w:rFonts w:hint="cs"/>
          <w:rtl/>
        </w:rPr>
        <w:t>ف</w:t>
      </w:r>
      <w:r w:rsidRPr="007D7079">
        <w:rPr>
          <w:rFonts w:hint="cs"/>
          <w:rtl/>
        </w:rPr>
        <w:t>وصل دخل هذه الأعمال</w:t>
      </w:r>
      <w:r>
        <w:rPr>
          <w:rFonts w:hint="cs"/>
          <w:rtl/>
        </w:rPr>
        <w:t xml:space="preserve"> إلى </w:t>
      </w:r>
      <w:r w:rsidRPr="007D7079">
        <w:rPr>
          <w:rFonts w:hint="cs"/>
          <w:rtl/>
        </w:rPr>
        <w:t>حد</w:t>
      </w:r>
      <w:r>
        <w:rPr>
          <w:rFonts w:hint="cs"/>
          <w:rtl/>
        </w:rPr>
        <w:t>ّ</w:t>
      </w:r>
      <w:r w:rsidRPr="007D7079">
        <w:rPr>
          <w:rFonts w:hint="cs"/>
          <w:rtl/>
        </w:rPr>
        <w:t xml:space="preserve"> يزيد عن الدخل الرسمي الذي يتمك</w:t>
      </w:r>
      <w:r>
        <w:rPr>
          <w:rFonts w:hint="cs"/>
          <w:rtl/>
        </w:rPr>
        <w:t>ّ</w:t>
      </w:r>
      <w:r w:rsidRPr="007D7079">
        <w:rPr>
          <w:rFonts w:hint="cs"/>
          <w:rtl/>
        </w:rPr>
        <w:t>ن رجل العائلة من تأمينه. وبعبارة</w:t>
      </w:r>
      <w:r>
        <w:rPr>
          <w:rFonts w:hint="cs"/>
          <w:rtl/>
        </w:rPr>
        <w:t>ٍ</w:t>
      </w:r>
      <w:r w:rsidRPr="007D7079">
        <w:rPr>
          <w:rFonts w:hint="cs"/>
          <w:rtl/>
        </w:rPr>
        <w:t xml:space="preserve"> </w:t>
      </w:r>
      <w:r>
        <w:rPr>
          <w:rFonts w:hint="cs"/>
          <w:rtl/>
        </w:rPr>
        <w:t>أخرى،</w:t>
      </w:r>
      <w:r w:rsidRPr="007D7079">
        <w:rPr>
          <w:rFonts w:hint="cs"/>
          <w:rtl/>
        </w:rPr>
        <w:t xml:space="preserve"> </w:t>
      </w:r>
      <w:r>
        <w:rPr>
          <w:rFonts w:hint="cs"/>
          <w:rtl/>
        </w:rPr>
        <w:t>تتمكّن المرأة / ربّة</w:t>
      </w:r>
      <w:r w:rsidRPr="007D7079">
        <w:rPr>
          <w:rFonts w:hint="cs"/>
          <w:rtl/>
        </w:rPr>
        <w:t xml:space="preserve"> </w:t>
      </w:r>
      <w:r>
        <w:rPr>
          <w:rFonts w:hint="cs"/>
          <w:rtl/>
        </w:rPr>
        <w:t xml:space="preserve">المنزل، </w:t>
      </w:r>
      <w:r w:rsidRPr="007D7079">
        <w:rPr>
          <w:rFonts w:hint="cs"/>
          <w:rtl/>
        </w:rPr>
        <w:t>و</w:t>
      </w:r>
      <w:r>
        <w:rPr>
          <w:rFonts w:hint="cs"/>
          <w:rtl/>
        </w:rPr>
        <w:t xml:space="preserve">التي </w:t>
      </w:r>
      <w:r w:rsidRPr="007D7079">
        <w:rPr>
          <w:rFonts w:hint="cs"/>
          <w:rtl/>
        </w:rPr>
        <w:t>توصف ب</w:t>
      </w:r>
      <w:r>
        <w:rPr>
          <w:rFonts w:hint="cs"/>
          <w:rtl/>
        </w:rPr>
        <w:t>ال</w:t>
      </w:r>
      <w:r w:rsidRPr="007D7079">
        <w:rPr>
          <w:rFonts w:hint="cs"/>
          <w:rtl/>
        </w:rPr>
        <w:t xml:space="preserve">حمقاء غير </w:t>
      </w:r>
      <w:r>
        <w:rPr>
          <w:rFonts w:hint="cs"/>
          <w:rtl/>
        </w:rPr>
        <w:t>ال</w:t>
      </w:r>
      <w:r w:rsidRPr="007D7079">
        <w:rPr>
          <w:rFonts w:hint="cs"/>
          <w:rtl/>
        </w:rPr>
        <w:t>فاعلة</w:t>
      </w:r>
      <w:r>
        <w:rPr>
          <w:rFonts w:hint="cs"/>
          <w:rtl/>
        </w:rPr>
        <w:t>،</w:t>
      </w:r>
      <w:r w:rsidRPr="007D7079">
        <w:rPr>
          <w:rFonts w:hint="cs"/>
          <w:rtl/>
        </w:rPr>
        <w:t xml:space="preserve"> من </w:t>
      </w:r>
      <w:r>
        <w:rPr>
          <w:rFonts w:hint="cs"/>
          <w:rtl/>
        </w:rPr>
        <w:t>لعب دور مؤثر</w:t>
      </w:r>
      <w:r w:rsidRPr="007D7079">
        <w:rPr>
          <w:rFonts w:hint="cs"/>
          <w:rtl/>
        </w:rPr>
        <w:t xml:space="preserve"> في زيادة الدخل </w:t>
      </w:r>
      <w:r>
        <w:rPr>
          <w:rFonts w:hint="cs"/>
          <w:rtl/>
        </w:rPr>
        <w:t>الأسري،</w:t>
      </w:r>
      <w:r w:rsidRPr="007D7079">
        <w:rPr>
          <w:rFonts w:hint="cs"/>
          <w:rtl/>
        </w:rPr>
        <w:t xml:space="preserve"> </w:t>
      </w:r>
      <w:r>
        <w:rPr>
          <w:rFonts w:hint="cs"/>
          <w:rtl/>
        </w:rPr>
        <w:t xml:space="preserve">لتغدو عنصراً فاعلاً </w:t>
      </w:r>
      <w:r w:rsidRPr="007D7079">
        <w:rPr>
          <w:rFonts w:hint="cs"/>
          <w:rtl/>
        </w:rPr>
        <w:t>ونشيط</w:t>
      </w:r>
      <w:r>
        <w:rPr>
          <w:rFonts w:hint="cs"/>
          <w:rtl/>
        </w:rPr>
        <w:t>اً</w:t>
      </w:r>
      <w:r w:rsidRPr="007D7079">
        <w:rPr>
          <w:rFonts w:hint="cs"/>
          <w:rtl/>
        </w:rPr>
        <w:t>.</w:t>
      </w:r>
    </w:p>
    <w:p w:rsidR="006E0FDB" w:rsidRDefault="006E0FDB" w:rsidP="009368DE">
      <w:pPr>
        <w:pStyle w:val="afffffc"/>
        <w:rPr>
          <w:rtl/>
        </w:rPr>
      </w:pPr>
    </w:p>
    <w:p w:rsidR="006E0FDB" w:rsidRPr="00D457EB" w:rsidRDefault="006E0FDB" w:rsidP="006E0FDB">
      <w:pPr>
        <w:pStyle w:val="1"/>
        <w:rPr>
          <w:rtl/>
        </w:rPr>
      </w:pPr>
      <w:bookmarkStart w:id="526" w:name="_Toc169521453"/>
      <w:bookmarkStart w:id="527" w:name="_Toc275128223"/>
      <w:r w:rsidRPr="00D457EB">
        <w:rPr>
          <w:rFonts w:hint="cs"/>
          <w:rtl/>
        </w:rPr>
        <w:t>بين عمل المرأة واستقلالها المادي</w:t>
      </w:r>
      <w:bookmarkEnd w:id="526"/>
      <w:bookmarkEnd w:id="527"/>
    </w:p>
    <w:p w:rsidR="006E0FDB" w:rsidRDefault="006E0FDB" w:rsidP="006E0FDB">
      <w:pPr>
        <w:pStyle w:val="ac"/>
        <w:rPr>
          <w:rtl/>
        </w:rPr>
      </w:pPr>
      <w:r w:rsidRPr="007D7079">
        <w:rPr>
          <w:rFonts w:hint="cs"/>
          <w:rtl/>
        </w:rPr>
        <w:t>إن</w:t>
      </w:r>
      <w:r>
        <w:rPr>
          <w:rFonts w:hint="cs"/>
          <w:rtl/>
        </w:rPr>
        <w:t>ّ</w:t>
      </w:r>
      <w:r w:rsidRPr="007D7079">
        <w:rPr>
          <w:rFonts w:hint="cs"/>
          <w:rtl/>
        </w:rPr>
        <w:t xml:space="preserve"> </w:t>
      </w:r>
      <w:r>
        <w:rPr>
          <w:rFonts w:hint="cs"/>
          <w:rtl/>
        </w:rPr>
        <w:t xml:space="preserve">دعاة </w:t>
      </w:r>
      <w:r w:rsidRPr="007D7079">
        <w:rPr>
          <w:rFonts w:hint="cs"/>
          <w:rtl/>
        </w:rPr>
        <w:t>عمل</w:t>
      </w:r>
      <w:r>
        <w:rPr>
          <w:rFonts w:hint="cs"/>
          <w:rtl/>
        </w:rPr>
        <w:t xml:space="preserve"> المرأة </w:t>
      </w:r>
      <w:r w:rsidRPr="007D7079">
        <w:rPr>
          <w:rFonts w:hint="cs"/>
          <w:rtl/>
        </w:rPr>
        <w:t>يدّعون أن</w:t>
      </w:r>
      <w:r>
        <w:rPr>
          <w:rFonts w:hint="cs"/>
          <w:rtl/>
        </w:rPr>
        <w:t xml:space="preserve">ها </w:t>
      </w:r>
      <w:r w:rsidRPr="007D7079">
        <w:rPr>
          <w:rFonts w:hint="cs"/>
          <w:rtl/>
        </w:rPr>
        <w:t>متى دخلت</w:t>
      </w:r>
      <w:r>
        <w:rPr>
          <w:rFonts w:hint="cs"/>
          <w:rtl/>
        </w:rPr>
        <w:t xml:space="preserve"> </w:t>
      </w:r>
      <w:r w:rsidRPr="007D7079">
        <w:rPr>
          <w:rFonts w:hint="cs"/>
          <w:rtl/>
        </w:rPr>
        <w:t>ميدان</w:t>
      </w:r>
      <w:r>
        <w:rPr>
          <w:rFonts w:hint="cs"/>
          <w:rtl/>
        </w:rPr>
        <w:t>ه</w:t>
      </w:r>
      <w:r w:rsidRPr="007D7079">
        <w:rPr>
          <w:rFonts w:hint="cs"/>
          <w:rtl/>
        </w:rPr>
        <w:t xml:space="preserve"> أمكنها </w:t>
      </w:r>
      <w:r>
        <w:rPr>
          <w:rFonts w:hint="cs"/>
          <w:rtl/>
        </w:rPr>
        <w:t xml:space="preserve">تأمين </w:t>
      </w:r>
      <w:r w:rsidRPr="007D7079">
        <w:rPr>
          <w:rFonts w:hint="cs"/>
          <w:rtl/>
        </w:rPr>
        <w:t xml:space="preserve">نفسها </w:t>
      </w:r>
      <w:r>
        <w:rPr>
          <w:rFonts w:hint="cs"/>
          <w:rtl/>
        </w:rPr>
        <w:t>بمنحها الاستقلال</w:t>
      </w:r>
      <w:r w:rsidRPr="007D7079">
        <w:rPr>
          <w:rFonts w:hint="cs"/>
          <w:rtl/>
        </w:rPr>
        <w:t xml:space="preserve"> </w:t>
      </w:r>
      <w:r>
        <w:rPr>
          <w:rFonts w:hint="cs"/>
          <w:rtl/>
        </w:rPr>
        <w:t>المادي،</w:t>
      </w:r>
      <w:r w:rsidRPr="007D7079">
        <w:rPr>
          <w:rFonts w:hint="cs"/>
          <w:rtl/>
        </w:rPr>
        <w:t xml:space="preserve"> </w:t>
      </w:r>
      <w:r>
        <w:rPr>
          <w:rFonts w:hint="cs"/>
          <w:rtl/>
        </w:rPr>
        <w:t>ممّا يجعلها ت</w:t>
      </w:r>
      <w:r w:rsidRPr="007D7079">
        <w:rPr>
          <w:rFonts w:hint="cs"/>
          <w:rtl/>
        </w:rPr>
        <w:t>تمك</w:t>
      </w:r>
      <w:r>
        <w:rPr>
          <w:rFonts w:hint="cs"/>
          <w:rtl/>
        </w:rPr>
        <w:t>ّ</w:t>
      </w:r>
      <w:r w:rsidRPr="007D7079">
        <w:rPr>
          <w:rFonts w:hint="cs"/>
          <w:rtl/>
        </w:rPr>
        <w:t xml:space="preserve">ن </w:t>
      </w:r>
      <w:r>
        <w:rPr>
          <w:rFonts w:hint="cs"/>
          <w:rtl/>
        </w:rPr>
        <w:t xml:space="preserve">ـ </w:t>
      </w:r>
      <w:r w:rsidRPr="007D7079">
        <w:rPr>
          <w:rFonts w:hint="cs"/>
          <w:rtl/>
        </w:rPr>
        <w:t>تبعا</w:t>
      </w:r>
      <w:r>
        <w:rPr>
          <w:rFonts w:hint="cs"/>
          <w:rtl/>
        </w:rPr>
        <w:t>ً</w:t>
      </w:r>
      <w:r w:rsidRPr="007D7079">
        <w:rPr>
          <w:rFonts w:hint="cs"/>
          <w:rtl/>
        </w:rPr>
        <w:t xml:space="preserve"> لذلك </w:t>
      </w:r>
      <w:r>
        <w:rPr>
          <w:rFonts w:hint="cs"/>
          <w:rtl/>
        </w:rPr>
        <w:t xml:space="preserve">ـ </w:t>
      </w:r>
      <w:r w:rsidRPr="007D7079">
        <w:rPr>
          <w:rFonts w:hint="cs"/>
          <w:rtl/>
        </w:rPr>
        <w:t>من أن ت</w:t>
      </w:r>
      <w:r>
        <w:rPr>
          <w:rFonts w:hint="cs"/>
          <w:rtl/>
        </w:rPr>
        <w:t>غدو</w:t>
      </w:r>
      <w:r w:rsidRPr="007D7079">
        <w:rPr>
          <w:rFonts w:hint="cs"/>
          <w:rtl/>
        </w:rPr>
        <w:t xml:space="preserve"> صاحبة قرار في مستقبل العائلة</w:t>
      </w:r>
      <w:r>
        <w:rPr>
          <w:rFonts w:hint="cs"/>
          <w:rtl/>
        </w:rPr>
        <w:t>،</w:t>
      </w:r>
      <w:r w:rsidRPr="007D7079">
        <w:rPr>
          <w:rFonts w:hint="cs"/>
          <w:rtl/>
        </w:rPr>
        <w:t xml:space="preserve"> </w:t>
      </w:r>
      <w:r>
        <w:rPr>
          <w:rFonts w:hint="cs"/>
          <w:rtl/>
        </w:rPr>
        <w:t>ف</w:t>
      </w:r>
      <w:r w:rsidRPr="007D7079">
        <w:rPr>
          <w:rFonts w:hint="cs"/>
          <w:rtl/>
        </w:rPr>
        <w:t>تخرج من مجر</w:t>
      </w:r>
      <w:r>
        <w:rPr>
          <w:rFonts w:hint="cs"/>
          <w:rtl/>
        </w:rPr>
        <w:t>ّ</w:t>
      </w:r>
      <w:r w:rsidRPr="007D7079">
        <w:rPr>
          <w:rFonts w:hint="cs"/>
          <w:rtl/>
        </w:rPr>
        <w:t>د كونها ربّة بيت</w:t>
      </w:r>
      <w:r>
        <w:rPr>
          <w:rFonts w:hint="cs"/>
          <w:rtl/>
        </w:rPr>
        <w:t>ٍ</w:t>
      </w:r>
      <w:r w:rsidRPr="007D7079">
        <w:rPr>
          <w:rFonts w:hint="cs"/>
          <w:rtl/>
        </w:rPr>
        <w:t xml:space="preserve"> مقي</w:t>
      </w:r>
      <w:r>
        <w:rPr>
          <w:rFonts w:hint="cs"/>
          <w:rtl/>
        </w:rPr>
        <w:t>ّ</w:t>
      </w:r>
      <w:r w:rsidRPr="007D7079">
        <w:rPr>
          <w:rFonts w:hint="cs"/>
          <w:rtl/>
        </w:rPr>
        <w:t>دة اليدين.</w:t>
      </w:r>
    </w:p>
    <w:p w:rsidR="006E0FDB" w:rsidRDefault="006E0FDB" w:rsidP="006E0FDB">
      <w:pPr>
        <w:pStyle w:val="ac"/>
        <w:rPr>
          <w:rtl/>
        </w:rPr>
      </w:pPr>
      <w:r>
        <w:rPr>
          <w:rFonts w:hint="cs"/>
          <w:rtl/>
        </w:rPr>
        <w:t>ول</w:t>
      </w:r>
      <w:r w:rsidRPr="007D7079">
        <w:rPr>
          <w:rFonts w:hint="cs"/>
          <w:rtl/>
        </w:rPr>
        <w:t>تقييم مثل هذه الدعوى</w:t>
      </w:r>
      <w:r>
        <w:rPr>
          <w:rFonts w:hint="cs"/>
          <w:rtl/>
        </w:rPr>
        <w:t>، لابد لنا من ملاحظة أمور:</w:t>
      </w:r>
    </w:p>
    <w:p w:rsidR="006E0FDB" w:rsidRDefault="006E0FDB" w:rsidP="006E0FDB">
      <w:pPr>
        <w:pStyle w:val="ac"/>
        <w:rPr>
          <w:rtl/>
        </w:rPr>
      </w:pPr>
      <w:r w:rsidRPr="007D7079">
        <w:rPr>
          <w:rFonts w:hint="cs"/>
          <w:rtl/>
        </w:rPr>
        <w:t>أولا</w:t>
      </w:r>
      <w:r>
        <w:rPr>
          <w:rFonts w:hint="cs"/>
          <w:rtl/>
        </w:rPr>
        <w:t>ً</w:t>
      </w:r>
      <w:r w:rsidRPr="007D7079">
        <w:rPr>
          <w:rFonts w:hint="cs"/>
          <w:rtl/>
        </w:rPr>
        <w:t>: لا ملازمة بين عمل</w:t>
      </w:r>
      <w:r>
        <w:rPr>
          <w:rFonts w:hint="cs"/>
          <w:rtl/>
        </w:rPr>
        <w:t xml:space="preserve"> المرأة </w:t>
      </w:r>
      <w:r w:rsidRPr="007D7079">
        <w:rPr>
          <w:rFonts w:hint="cs"/>
          <w:rtl/>
        </w:rPr>
        <w:t>وبين تأمينها لاستقلالها المادي</w:t>
      </w:r>
      <w:r>
        <w:rPr>
          <w:rFonts w:hint="cs"/>
          <w:rtl/>
        </w:rPr>
        <w:t>،</w:t>
      </w:r>
      <w:r w:rsidRPr="007D7079">
        <w:rPr>
          <w:rFonts w:hint="cs"/>
          <w:rtl/>
        </w:rPr>
        <w:t xml:space="preserve"> ول</w:t>
      </w:r>
      <w:r>
        <w:rPr>
          <w:rFonts w:hint="cs"/>
          <w:rtl/>
        </w:rPr>
        <w:t>تحديد</w:t>
      </w:r>
      <w:r w:rsidRPr="007D7079">
        <w:rPr>
          <w:rFonts w:hint="cs"/>
          <w:rtl/>
        </w:rPr>
        <w:t xml:space="preserve"> مدى الارتباط الثابت بين المتغي</w:t>
      </w:r>
      <w:r>
        <w:rPr>
          <w:rFonts w:hint="cs"/>
          <w:rtl/>
        </w:rPr>
        <w:t>ّ</w:t>
      </w:r>
      <w:r w:rsidRPr="007D7079">
        <w:rPr>
          <w:rFonts w:hint="cs"/>
          <w:rtl/>
        </w:rPr>
        <w:t>رين</w:t>
      </w:r>
      <w:r>
        <w:rPr>
          <w:rFonts w:hint="cs"/>
          <w:rtl/>
        </w:rPr>
        <w:t>:</w:t>
      </w:r>
      <w:r w:rsidRPr="007D7079">
        <w:rPr>
          <w:rFonts w:hint="cs"/>
          <w:rtl/>
        </w:rPr>
        <w:t xml:space="preserve"> </w:t>
      </w:r>
      <w:r>
        <w:rPr>
          <w:rFonts w:hint="cs"/>
          <w:rtl/>
        </w:rPr>
        <w:t>الدخل والاستقلال المادي،</w:t>
      </w:r>
      <w:r w:rsidRPr="007D7079">
        <w:rPr>
          <w:rFonts w:hint="cs"/>
          <w:rtl/>
        </w:rPr>
        <w:t xml:space="preserve"> </w:t>
      </w:r>
      <w:r>
        <w:rPr>
          <w:rFonts w:hint="cs"/>
          <w:rtl/>
        </w:rPr>
        <w:t xml:space="preserve">لابدّ </w:t>
      </w:r>
      <w:r w:rsidRPr="007D7079">
        <w:rPr>
          <w:rFonts w:hint="cs"/>
          <w:rtl/>
        </w:rPr>
        <w:t xml:space="preserve">من القيام بدراسات </w:t>
      </w:r>
      <w:r>
        <w:rPr>
          <w:rFonts w:hint="cs"/>
          <w:rtl/>
        </w:rPr>
        <w:t>اجتماع</w:t>
      </w:r>
      <w:r w:rsidRPr="007D7079">
        <w:rPr>
          <w:rFonts w:hint="cs"/>
          <w:rtl/>
        </w:rPr>
        <w:t>ية معم</w:t>
      </w:r>
      <w:r>
        <w:rPr>
          <w:rFonts w:hint="cs"/>
          <w:rtl/>
        </w:rPr>
        <w:t>ّقة،</w:t>
      </w:r>
      <w:r w:rsidRPr="007D7079">
        <w:rPr>
          <w:rFonts w:hint="cs"/>
          <w:rtl/>
        </w:rPr>
        <w:t xml:space="preserve"> </w:t>
      </w:r>
      <w:r>
        <w:rPr>
          <w:rFonts w:hint="cs"/>
          <w:rtl/>
        </w:rPr>
        <w:t xml:space="preserve">إضافةً إلى </w:t>
      </w:r>
      <w:r w:rsidRPr="007D7079">
        <w:rPr>
          <w:rFonts w:hint="cs"/>
          <w:rtl/>
        </w:rPr>
        <w:t>أن</w:t>
      </w:r>
      <w:r>
        <w:rPr>
          <w:rFonts w:hint="cs"/>
          <w:rtl/>
        </w:rPr>
        <w:t>ّه</w:t>
      </w:r>
      <w:r w:rsidRPr="007D7079">
        <w:rPr>
          <w:rFonts w:hint="cs"/>
          <w:rtl/>
        </w:rPr>
        <w:t xml:space="preserve"> </w:t>
      </w:r>
      <w:r>
        <w:rPr>
          <w:rFonts w:hint="cs"/>
          <w:rtl/>
        </w:rPr>
        <w:t>لو أريد بالا</w:t>
      </w:r>
      <w:r w:rsidRPr="007D7079">
        <w:rPr>
          <w:rFonts w:hint="cs"/>
          <w:rtl/>
        </w:rPr>
        <w:t xml:space="preserve">ستقلال المادي </w:t>
      </w:r>
      <w:r>
        <w:rPr>
          <w:rFonts w:hint="cs"/>
          <w:rtl/>
        </w:rPr>
        <w:t xml:space="preserve">أن يصبح بإمكان المرأة </w:t>
      </w:r>
      <w:r w:rsidRPr="007D7079">
        <w:rPr>
          <w:rFonts w:hint="cs"/>
          <w:rtl/>
        </w:rPr>
        <w:t>العاملة التصر</w:t>
      </w:r>
      <w:r>
        <w:rPr>
          <w:rFonts w:hint="cs"/>
          <w:rtl/>
        </w:rPr>
        <w:t>ّ</w:t>
      </w:r>
      <w:r w:rsidRPr="007D7079">
        <w:rPr>
          <w:rFonts w:hint="cs"/>
          <w:rtl/>
        </w:rPr>
        <w:t>ف بمالها كيف شاءت وتأمين حاجاتها الشخصية، فإن هذا ما لا تؤي</w:t>
      </w:r>
      <w:r>
        <w:rPr>
          <w:rFonts w:hint="cs"/>
          <w:rtl/>
        </w:rPr>
        <w:t>ّ</w:t>
      </w:r>
      <w:r w:rsidRPr="007D7079">
        <w:rPr>
          <w:rFonts w:hint="cs"/>
          <w:rtl/>
        </w:rPr>
        <w:t xml:space="preserve">ده الدراسات الفعلية، </w:t>
      </w:r>
      <w:r>
        <w:rPr>
          <w:rFonts w:hint="cs"/>
          <w:rtl/>
        </w:rPr>
        <w:t xml:space="preserve">فلا مفرّ للمرأة </w:t>
      </w:r>
      <w:r w:rsidRPr="007D7079">
        <w:rPr>
          <w:rFonts w:hint="cs"/>
          <w:rtl/>
        </w:rPr>
        <w:t xml:space="preserve">العاملة من صرف ما تحصل عليه في سبيل تأمين </w:t>
      </w:r>
      <w:r w:rsidRPr="007D7079">
        <w:rPr>
          <w:rFonts w:hint="cs"/>
          <w:rtl/>
        </w:rPr>
        <w:lastRenderedPageBreak/>
        <w:t>مصاريف شهرية ثابتة</w:t>
      </w:r>
      <w:r>
        <w:rPr>
          <w:rFonts w:hint="cs"/>
          <w:rtl/>
        </w:rPr>
        <w:t>،</w:t>
      </w:r>
      <w:r w:rsidRPr="007D7079">
        <w:rPr>
          <w:rFonts w:hint="cs"/>
          <w:rtl/>
        </w:rPr>
        <w:t xml:space="preserve"> كحضانة الأطفال</w:t>
      </w:r>
      <w:r>
        <w:rPr>
          <w:rFonts w:hint="cs"/>
          <w:rtl/>
        </w:rPr>
        <w:t>،</w:t>
      </w:r>
      <w:r w:rsidRPr="007D7079">
        <w:rPr>
          <w:rFonts w:hint="cs"/>
          <w:rtl/>
        </w:rPr>
        <w:t xml:space="preserve"> وإجارة البيت</w:t>
      </w:r>
      <w:r>
        <w:rPr>
          <w:rFonts w:hint="cs"/>
          <w:rtl/>
        </w:rPr>
        <w:t>،</w:t>
      </w:r>
      <w:r w:rsidRPr="007D7079">
        <w:rPr>
          <w:rFonts w:hint="cs"/>
          <w:rtl/>
        </w:rPr>
        <w:t xml:space="preserve"> وسائر المصارف العائلية، وبشكل عام فما تستطيع تأمينه لن تتمك</w:t>
      </w:r>
      <w:r>
        <w:rPr>
          <w:rFonts w:hint="cs"/>
          <w:rtl/>
        </w:rPr>
        <w:t>ّ</w:t>
      </w:r>
      <w:r w:rsidRPr="007D7079">
        <w:rPr>
          <w:rFonts w:hint="cs"/>
          <w:rtl/>
        </w:rPr>
        <w:t xml:space="preserve">ن من صرف إلا القليل منه </w:t>
      </w:r>
      <w:r>
        <w:rPr>
          <w:rFonts w:hint="cs"/>
          <w:rtl/>
        </w:rPr>
        <w:t>على شؤونها</w:t>
      </w:r>
      <w:r w:rsidRPr="007D7079">
        <w:rPr>
          <w:rFonts w:hint="cs"/>
          <w:rtl/>
        </w:rPr>
        <w:t xml:space="preserve"> الشخصية.</w:t>
      </w:r>
    </w:p>
    <w:p w:rsidR="006E0FDB" w:rsidRDefault="006E0FDB" w:rsidP="006E0FDB">
      <w:pPr>
        <w:pStyle w:val="ac"/>
        <w:rPr>
          <w:rtl/>
        </w:rPr>
      </w:pPr>
      <w:r w:rsidRPr="007D7079">
        <w:rPr>
          <w:rFonts w:hint="cs"/>
          <w:rtl/>
        </w:rPr>
        <w:t>ثانيا</w:t>
      </w:r>
      <w:r>
        <w:rPr>
          <w:rFonts w:hint="cs"/>
          <w:rtl/>
        </w:rPr>
        <w:t>ً: إ</w:t>
      </w:r>
      <w:r w:rsidRPr="007D7079">
        <w:rPr>
          <w:rFonts w:hint="cs"/>
          <w:rtl/>
        </w:rPr>
        <w:t>ن</w:t>
      </w:r>
      <w:r>
        <w:rPr>
          <w:rFonts w:hint="cs"/>
          <w:rtl/>
        </w:rPr>
        <w:t>ّ</w:t>
      </w:r>
      <w:r w:rsidRPr="007D7079">
        <w:rPr>
          <w:rFonts w:hint="cs"/>
          <w:rtl/>
        </w:rPr>
        <w:t xml:space="preserve"> نوع العمل، ودرجته، ومقدار الدخل، ونوع عمل الزوج</w:t>
      </w:r>
      <w:r>
        <w:rPr>
          <w:rFonts w:hint="cs"/>
          <w:rtl/>
        </w:rPr>
        <w:t>،</w:t>
      </w:r>
      <w:r w:rsidRPr="007D7079">
        <w:rPr>
          <w:rFonts w:hint="cs"/>
          <w:rtl/>
        </w:rPr>
        <w:t xml:space="preserve"> وبشكل عام السلوك الحياتي العام الذي تعيشه</w:t>
      </w:r>
      <w:r>
        <w:rPr>
          <w:rFonts w:hint="cs"/>
          <w:rtl/>
        </w:rPr>
        <w:t xml:space="preserve"> المرأة، </w:t>
      </w:r>
      <w:r w:rsidRPr="007D7079">
        <w:rPr>
          <w:rFonts w:hint="cs"/>
          <w:rtl/>
        </w:rPr>
        <w:t xml:space="preserve">هو </w:t>
      </w:r>
      <w:r>
        <w:rPr>
          <w:rFonts w:hint="cs"/>
          <w:rtl/>
        </w:rPr>
        <w:t xml:space="preserve">صاحب </w:t>
      </w:r>
      <w:r w:rsidRPr="007D7079">
        <w:rPr>
          <w:rFonts w:hint="cs"/>
          <w:rtl/>
        </w:rPr>
        <w:t xml:space="preserve">الدور </w:t>
      </w:r>
      <w:r>
        <w:rPr>
          <w:rFonts w:hint="cs"/>
          <w:rtl/>
        </w:rPr>
        <w:t xml:space="preserve">الرئيس </w:t>
      </w:r>
      <w:r w:rsidRPr="007D7079">
        <w:rPr>
          <w:rFonts w:hint="cs"/>
          <w:rtl/>
        </w:rPr>
        <w:t>في تحديد</w:t>
      </w:r>
      <w:r>
        <w:rPr>
          <w:rFonts w:hint="cs"/>
          <w:rtl/>
        </w:rPr>
        <w:t xml:space="preserve"> أو زيادة دورها على المستوى العائلي،</w:t>
      </w:r>
      <w:r w:rsidRPr="007D7079">
        <w:rPr>
          <w:rtl/>
        </w:rPr>
        <w:t xml:space="preserve"> </w:t>
      </w:r>
      <w:r w:rsidRPr="007D7079">
        <w:rPr>
          <w:rFonts w:hint="cs"/>
          <w:rtl/>
        </w:rPr>
        <w:t>ف</w:t>
      </w:r>
      <w:r>
        <w:rPr>
          <w:rFonts w:hint="cs"/>
          <w:rtl/>
        </w:rPr>
        <w:t>ال</w:t>
      </w:r>
      <w:r w:rsidRPr="007D7079">
        <w:rPr>
          <w:rFonts w:hint="cs"/>
          <w:rtl/>
        </w:rPr>
        <w:t xml:space="preserve">واضح </w:t>
      </w:r>
      <w:r>
        <w:rPr>
          <w:rFonts w:hint="cs"/>
          <w:rtl/>
        </w:rPr>
        <w:t>أنّ مقارنة امر</w:t>
      </w:r>
      <w:r w:rsidRPr="007D7079">
        <w:rPr>
          <w:rFonts w:hint="cs"/>
          <w:rtl/>
        </w:rPr>
        <w:t>أة</w:t>
      </w:r>
      <w:r>
        <w:rPr>
          <w:rFonts w:hint="cs"/>
          <w:rtl/>
        </w:rPr>
        <w:t>ٍ</w:t>
      </w:r>
      <w:r w:rsidRPr="007D7079">
        <w:rPr>
          <w:rFonts w:hint="cs"/>
          <w:rtl/>
        </w:rPr>
        <w:t xml:space="preserve"> عاملة </w:t>
      </w:r>
      <w:r>
        <w:rPr>
          <w:rFonts w:hint="cs"/>
          <w:rtl/>
        </w:rPr>
        <w:t>ب</w:t>
      </w:r>
      <w:r w:rsidRPr="007D7079">
        <w:rPr>
          <w:rFonts w:hint="cs"/>
          <w:rtl/>
        </w:rPr>
        <w:t xml:space="preserve">أستاذة جامعية </w:t>
      </w:r>
      <w:r>
        <w:rPr>
          <w:rFonts w:hint="cs"/>
          <w:rtl/>
        </w:rPr>
        <w:t xml:space="preserve">سوف تؤكّد أنهما ليستا </w:t>
      </w:r>
      <w:r w:rsidRPr="007D7079">
        <w:rPr>
          <w:rFonts w:hint="cs"/>
          <w:rtl/>
        </w:rPr>
        <w:t xml:space="preserve">بمستوى واحد </w:t>
      </w:r>
      <w:r>
        <w:rPr>
          <w:rFonts w:hint="cs"/>
          <w:rtl/>
        </w:rPr>
        <w:t>على الصعيد الأسري</w:t>
      </w:r>
      <w:r w:rsidRPr="007D7079">
        <w:rPr>
          <w:rFonts w:hint="cs"/>
          <w:rtl/>
        </w:rPr>
        <w:t>.</w:t>
      </w:r>
    </w:p>
    <w:p w:rsidR="006E0FDB" w:rsidRPr="007D7079" w:rsidRDefault="006E0FDB" w:rsidP="006E0FDB">
      <w:pPr>
        <w:pStyle w:val="ac"/>
        <w:rPr>
          <w:rtl/>
        </w:rPr>
      </w:pPr>
      <w:r w:rsidRPr="007D7079">
        <w:rPr>
          <w:rFonts w:hint="cs"/>
          <w:rtl/>
        </w:rPr>
        <w:t>ثالثا</w:t>
      </w:r>
      <w:r>
        <w:rPr>
          <w:rFonts w:hint="cs"/>
          <w:rtl/>
        </w:rPr>
        <w:t>ً</w:t>
      </w:r>
      <w:r w:rsidRPr="007D7079">
        <w:rPr>
          <w:rFonts w:hint="cs"/>
          <w:rtl/>
        </w:rPr>
        <w:t xml:space="preserve">: </w:t>
      </w:r>
      <w:r>
        <w:rPr>
          <w:rFonts w:hint="cs"/>
          <w:rtl/>
        </w:rPr>
        <w:t xml:space="preserve">تدلّنا </w:t>
      </w:r>
      <w:r w:rsidRPr="007D7079">
        <w:rPr>
          <w:rFonts w:hint="cs"/>
          <w:rtl/>
        </w:rPr>
        <w:t xml:space="preserve">الدراسات الموجودة </w:t>
      </w:r>
      <w:r>
        <w:rPr>
          <w:rFonts w:hint="cs"/>
          <w:rtl/>
        </w:rPr>
        <w:t xml:space="preserve">ـ </w:t>
      </w:r>
      <w:r w:rsidRPr="007D7079">
        <w:rPr>
          <w:rFonts w:hint="cs"/>
          <w:rtl/>
        </w:rPr>
        <w:t>سواء منها ما يرتبط بالعالم الغربي</w:t>
      </w:r>
      <w:r>
        <w:rPr>
          <w:rFonts w:hint="cs"/>
          <w:rtl/>
        </w:rPr>
        <w:t xml:space="preserve"> أو </w:t>
      </w:r>
      <w:r w:rsidRPr="007D7079">
        <w:rPr>
          <w:rFonts w:hint="cs"/>
          <w:rtl/>
        </w:rPr>
        <w:t xml:space="preserve">ما يرتبط بالعالم الثالث </w:t>
      </w:r>
      <w:r>
        <w:rPr>
          <w:rFonts w:hint="cs"/>
          <w:rtl/>
        </w:rPr>
        <w:t xml:space="preserve">ـ </w:t>
      </w:r>
      <w:r w:rsidRPr="007D7079">
        <w:rPr>
          <w:rFonts w:hint="cs"/>
          <w:rtl/>
        </w:rPr>
        <w:t>على أن</w:t>
      </w:r>
      <w:r>
        <w:rPr>
          <w:rFonts w:hint="cs"/>
          <w:rtl/>
        </w:rPr>
        <w:t xml:space="preserve"> المرأة لا تقلّل من عملها المنزلي رغم التزامها العملَ خارج البيت،</w:t>
      </w:r>
      <w:r w:rsidRPr="007D7079">
        <w:rPr>
          <w:rFonts w:hint="cs"/>
          <w:rtl/>
        </w:rPr>
        <w:t xml:space="preserve"> </w:t>
      </w:r>
      <w:r>
        <w:rPr>
          <w:rFonts w:hint="cs"/>
          <w:rtl/>
        </w:rPr>
        <w:t xml:space="preserve">فلا مفرّ لها ـ </w:t>
      </w:r>
      <w:r w:rsidRPr="007D7079">
        <w:rPr>
          <w:rFonts w:hint="cs"/>
          <w:rtl/>
        </w:rPr>
        <w:t xml:space="preserve">بعد </w:t>
      </w:r>
      <w:r>
        <w:rPr>
          <w:rFonts w:hint="cs"/>
          <w:rtl/>
        </w:rPr>
        <w:t>العودة</w:t>
      </w:r>
      <w:r w:rsidRPr="007D7079">
        <w:rPr>
          <w:rFonts w:hint="cs"/>
          <w:rtl/>
        </w:rPr>
        <w:t xml:space="preserve"> من ساعات العمل الرسمي </w:t>
      </w:r>
      <w:r>
        <w:rPr>
          <w:rFonts w:hint="cs"/>
          <w:rtl/>
        </w:rPr>
        <w:t xml:space="preserve">ـ </w:t>
      </w:r>
      <w:r w:rsidRPr="007D7079">
        <w:rPr>
          <w:rFonts w:hint="cs"/>
          <w:rtl/>
        </w:rPr>
        <w:t xml:space="preserve">من </w:t>
      </w:r>
      <w:r>
        <w:rPr>
          <w:rFonts w:hint="cs"/>
          <w:rtl/>
        </w:rPr>
        <w:t xml:space="preserve">ممارسة </w:t>
      </w:r>
      <w:r w:rsidRPr="007D7079">
        <w:rPr>
          <w:rFonts w:hint="cs"/>
          <w:rtl/>
        </w:rPr>
        <w:t>وظائفها التقليدية والقيام بها بمفردها</w:t>
      </w:r>
      <w:r>
        <w:rPr>
          <w:rFonts w:hint="cs"/>
          <w:rtl/>
        </w:rPr>
        <w:t>،</w:t>
      </w:r>
      <w:r w:rsidRPr="007D7079">
        <w:rPr>
          <w:rFonts w:hint="cs"/>
          <w:rtl/>
        </w:rPr>
        <w:t xml:space="preserve"> ولعل</w:t>
      </w:r>
      <w:r>
        <w:rPr>
          <w:rFonts w:hint="cs"/>
          <w:rtl/>
        </w:rPr>
        <w:t>ّ</w:t>
      </w:r>
      <w:r w:rsidRPr="007D7079">
        <w:rPr>
          <w:rFonts w:hint="cs"/>
          <w:rtl/>
        </w:rPr>
        <w:t xml:space="preserve"> عدم رضا عد</w:t>
      </w:r>
      <w:r>
        <w:rPr>
          <w:rFonts w:hint="cs"/>
          <w:rtl/>
        </w:rPr>
        <w:t>ّ</w:t>
      </w:r>
      <w:r w:rsidRPr="007D7079">
        <w:rPr>
          <w:rFonts w:hint="cs"/>
          <w:rtl/>
        </w:rPr>
        <w:t>ة</w:t>
      </w:r>
      <w:r>
        <w:rPr>
          <w:rFonts w:hint="cs"/>
          <w:rtl/>
        </w:rPr>
        <w:t>ٍ</w:t>
      </w:r>
      <w:r w:rsidRPr="007D7079">
        <w:rPr>
          <w:rFonts w:hint="cs"/>
          <w:rtl/>
        </w:rPr>
        <w:t xml:space="preserve"> من النساء ب</w:t>
      </w:r>
      <w:r>
        <w:rPr>
          <w:rFonts w:hint="cs"/>
          <w:rtl/>
        </w:rPr>
        <w:t>العمل خارج المنزل</w:t>
      </w:r>
      <w:r w:rsidRPr="007D7079">
        <w:rPr>
          <w:rFonts w:hint="cs"/>
          <w:rtl/>
        </w:rPr>
        <w:t xml:space="preserve"> يعود</w:t>
      </w:r>
      <w:r>
        <w:rPr>
          <w:rFonts w:hint="cs"/>
          <w:rtl/>
        </w:rPr>
        <w:t xml:space="preserve"> إلى تحمّلهنّ</w:t>
      </w:r>
      <w:r w:rsidRPr="007D7079">
        <w:rPr>
          <w:rFonts w:hint="cs"/>
          <w:rtl/>
        </w:rPr>
        <w:t xml:space="preserve"> مسؤولية القيام بوظيفتين معا</w:t>
      </w:r>
      <w:r>
        <w:rPr>
          <w:rFonts w:hint="cs"/>
          <w:rtl/>
        </w:rPr>
        <w:t>ً</w:t>
      </w:r>
      <w:r w:rsidRPr="007D7079">
        <w:rPr>
          <w:rFonts w:hint="cs"/>
          <w:rtl/>
        </w:rPr>
        <w:t>.</w:t>
      </w:r>
    </w:p>
    <w:p w:rsidR="006E0FDB" w:rsidRDefault="006E0FDB" w:rsidP="006E0FDB">
      <w:pPr>
        <w:pStyle w:val="ac"/>
        <w:rPr>
          <w:rtl/>
        </w:rPr>
      </w:pPr>
      <w:r w:rsidRPr="007D7079">
        <w:rPr>
          <w:rFonts w:hint="cs"/>
          <w:rtl/>
        </w:rPr>
        <w:t>بناء</w:t>
      </w:r>
      <w:r>
        <w:rPr>
          <w:rFonts w:hint="cs"/>
          <w:rtl/>
        </w:rPr>
        <w:t>ً</w:t>
      </w:r>
      <w:r w:rsidRPr="007D7079">
        <w:rPr>
          <w:rFonts w:hint="cs"/>
          <w:rtl/>
        </w:rPr>
        <w:t xml:space="preserve"> على هذا كل</w:t>
      </w:r>
      <w:r>
        <w:rPr>
          <w:rFonts w:hint="cs"/>
          <w:rtl/>
        </w:rPr>
        <w:t>ّ</w:t>
      </w:r>
      <w:r w:rsidRPr="007D7079">
        <w:rPr>
          <w:rFonts w:hint="cs"/>
          <w:rtl/>
        </w:rPr>
        <w:t>ه</w:t>
      </w:r>
      <w:r>
        <w:rPr>
          <w:rFonts w:hint="cs"/>
          <w:rtl/>
        </w:rPr>
        <w:t>،</w:t>
      </w:r>
      <w:r w:rsidRPr="007D7079">
        <w:rPr>
          <w:rFonts w:hint="cs"/>
          <w:rtl/>
        </w:rPr>
        <w:t xml:space="preserve"> يظهر لنا أن قيام</w:t>
      </w:r>
      <w:r>
        <w:rPr>
          <w:rFonts w:hint="cs"/>
          <w:rtl/>
        </w:rPr>
        <w:t xml:space="preserve"> المرأة </w:t>
      </w:r>
      <w:r w:rsidRPr="007D7079">
        <w:rPr>
          <w:rFonts w:hint="cs"/>
          <w:rtl/>
        </w:rPr>
        <w:t>بالعمل خارج المنزل لا يكفي لتحديد دورها في</w:t>
      </w:r>
      <w:r>
        <w:rPr>
          <w:rFonts w:hint="cs"/>
          <w:rtl/>
        </w:rPr>
        <w:t>ه،</w:t>
      </w:r>
      <w:r w:rsidRPr="007D7079">
        <w:rPr>
          <w:rFonts w:hint="cs"/>
          <w:rtl/>
        </w:rPr>
        <w:t xml:space="preserve"> بل</w:t>
      </w:r>
      <w:r>
        <w:rPr>
          <w:rFonts w:hint="cs"/>
          <w:rtl/>
        </w:rPr>
        <w:t xml:space="preserve"> لابد </w:t>
      </w:r>
      <w:r w:rsidRPr="007D7079">
        <w:rPr>
          <w:rFonts w:hint="cs"/>
          <w:rtl/>
        </w:rPr>
        <w:t>من ملاحظة مجموعة من المتغيرات المهم</w:t>
      </w:r>
      <w:r>
        <w:rPr>
          <w:rFonts w:hint="cs"/>
          <w:rtl/>
        </w:rPr>
        <w:t>ّ</w:t>
      </w:r>
      <w:r w:rsidRPr="007D7079">
        <w:rPr>
          <w:rFonts w:hint="cs"/>
          <w:rtl/>
        </w:rPr>
        <w:t>ة</w:t>
      </w:r>
      <w:r>
        <w:rPr>
          <w:rFonts w:hint="cs"/>
          <w:rtl/>
        </w:rPr>
        <w:t>،</w:t>
      </w:r>
      <w:r w:rsidRPr="007D7079">
        <w:rPr>
          <w:rFonts w:hint="cs"/>
          <w:rtl/>
        </w:rPr>
        <w:t xml:space="preserve"> كأسلوب الحياة والقيم العائلية.</w:t>
      </w:r>
    </w:p>
    <w:p w:rsidR="006E0FDB" w:rsidRDefault="006E0FDB" w:rsidP="009368DE">
      <w:pPr>
        <w:pStyle w:val="afffffc"/>
        <w:rPr>
          <w:rtl/>
        </w:rPr>
      </w:pPr>
    </w:p>
    <w:p w:rsidR="006E0FDB" w:rsidRPr="00D457EB" w:rsidRDefault="006E0FDB" w:rsidP="0008530B">
      <w:pPr>
        <w:pStyle w:val="1"/>
        <w:rPr>
          <w:rtl/>
        </w:rPr>
      </w:pPr>
      <w:bookmarkStart w:id="528" w:name="_Toc169521454"/>
      <w:bookmarkStart w:id="529" w:name="_Toc275128224"/>
      <w:r w:rsidRPr="00D457EB">
        <w:rPr>
          <w:rFonts w:hint="cs"/>
          <w:rtl/>
        </w:rPr>
        <w:t>نظرية العداوة بين الجنسين</w:t>
      </w:r>
      <w:r w:rsidRPr="003A6D60">
        <w:rPr>
          <w:rFonts w:cs="Simplified Arabic" w:hint="cs"/>
          <w:rtl/>
        </w:rPr>
        <w:t>،</w:t>
      </w:r>
      <w:r w:rsidRPr="00D457EB">
        <w:rPr>
          <w:rFonts w:hint="cs"/>
          <w:rtl/>
        </w:rPr>
        <w:t xml:space="preserve"> وقفة ناقدة</w:t>
      </w:r>
      <w:bookmarkEnd w:id="528"/>
      <w:bookmarkEnd w:id="529"/>
      <w:r w:rsidRPr="00D457EB">
        <w:rPr>
          <w:rFonts w:hint="cs"/>
          <w:rtl/>
        </w:rPr>
        <w:t xml:space="preserve"> </w:t>
      </w:r>
    </w:p>
    <w:p w:rsidR="006E0FDB" w:rsidRDefault="006E0FDB" w:rsidP="006E0FDB">
      <w:pPr>
        <w:pStyle w:val="ac"/>
        <w:rPr>
          <w:rtl/>
        </w:rPr>
      </w:pPr>
      <w:r w:rsidRPr="00234CA6">
        <w:rPr>
          <w:rFonts w:hint="cs"/>
          <w:bCs/>
          <w:rtl/>
        </w:rPr>
        <w:t>2</w:t>
      </w:r>
      <w:r>
        <w:rPr>
          <w:rFonts w:hint="cs"/>
          <w:bCs/>
          <w:rtl/>
        </w:rPr>
        <w:t>ـ</w:t>
      </w:r>
      <w:r w:rsidRPr="00234CA6">
        <w:rPr>
          <w:rFonts w:hint="cs"/>
          <w:bCs/>
          <w:rtl/>
        </w:rPr>
        <w:t xml:space="preserve"> إثارة فكرة العداوة بين الجنسين</w:t>
      </w:r>
      <w:r w:rsidRPr="009C7BF0">
        <w:rPr>
          <w:rFonts w:hint="cs"/>
          <w:b/>
          <w:rtl/>
        </w:rPr>
        <w:t>:</w:t>
      </w:r>
      <w:r w:rsidRPr="007D7079">
        <w:rPr>
          <w:rFonts w:hint="cs"/>
          <w:rtl/>
        </w:rPr>
        <w:t xml:space="preserve"> </w:t>
      </w:r>
      <w:r>
        <w:rPr>
          <w:rFonts w:hint="cs"/>
          <w:rtl/>
        </w:rPr>
        <w:t xml:space="preserve">يقوم هذا الاتجاه على </w:t>
      </w:r>
      <w:r w:rsidRPr="007D7079">
        <w:rPr>
          <w:rFonts w:hint="cs"/>
          <w:rtl/>
        </w:rPr>
        <w:t>تصوير الرجل والمرأة موجود</w:t>
      </w:r>
      <w:r>
        <w:rPr>
          <w:rFonts w:hint="cs"/>
          <w:rtl/>
        </w:rPr>
        <w:t>ي</w:t>
      </w:r>
      <w:r w:rsidRPr="007D7079">
        <w:rPr>
          <w:rFonts w:hint="cs"/>
          <w:rtl/>
        </w:rPr>
        <w:t>ن متضاد</w:t>
      </w:r>
      <w:r>
        <w:rPr>
          <w:rFonts w:hint="cs"/>
          <w:rtl/>
        </w:rPr>
        <w:t>ّين لا ينسجمان، وأ</w:t>
      </w:r>
      <w:r w:rsidRPr="007D7079">
        <w:rPr>
          <w:rFonts w:hint="cs"/>
          <w:rtl/>
        </w:rPr>
        <w:t>ن</w:t>
      </w:r>
      <w:r>
        <w:rPr>
          <w:rFonts w:hint="cs"/>
          <w:rtl/>
        </w:rPr>
        <w:t>ّ</w:t>
      </w:r>
      <w:r w:rsidRPr="007D7079">
        <w:rPr>
          <w:rFonts w:hint="cs"/>
          <w:rtl/>
        </w:rPr>
        <w:t xml:space="preserve"> بينهما تضاد</w:t>
      </w:r>
      <w:r>
        <w:rPr>
          <w:rFonts w:hint="cs"/>
          <w:rtl/>
        </w:rPr>
        <w:t>ّ</w:t>
      </w:r>
      <w:r w:rsidRPr="007D7079">
        <w:rPr>
          <w:rFonts w:hint="cs"/>
          <w:rtl/>
        </w:rPr>
        <w:t>ا</w:t>
      </w:r>
      <w:r>
        <w:rPr>
          <w:rFonts w:hint="cs"/>
          <w:rtl/>
        </w:rPr>
        <w:t>ً في المصالح؛</w:t>
      </w:r>
      <w:r w:rsidRPr="007D7079">
        <w:rPr>
          <w:rFonts w:hint="cs"/>
          <w:rtl/>
        </w:rPr>
        <w:t xml:space="preserve"> </w:t>
      </w:r>
      <w:r>
        <w:rPr>
          <w:rFonts w:hint="cs"/>
          <w:rtl/>
        </w:rPr>
        <w:t xml:space="preserve">من هنا </w:t>
      </w:r>
      <w:r w:rsidRPr="007D7079">
        <w:rPr>
          <w:rFonts w:hint="cs"/>
          <w:rtl/>
        </w:rPr>
        <w:t>يتم</w:t>
      </w:r>
      <w:r>
        <w:rPr>
          <w:rFonts w:hint="cs"/>
          <w:rtl/>
        </w:rPr>
        <w:t>ّ</w:t>
      </w:r>
      <w:r w:rsidRPr="007D7079">
        <w:rPr>
          <w:rFonts w:hint="cs"/>
          <w:rtl/>
        </w:rPr>
        <w:t xml:space="preserve"> الترويج ل</w:t>
      </w:r>
      <w:r>
        <w:rPr>
          <w:rFonts w:hint="cs"/>
          <w:rtl/>
        </w:rPr>
        <w:t>ل</w:t>
      </w:r>
      <w:r w:rsidRPr="007D7079">
        <w:rPr>
          <w:rFonts w:hint="cs"/>
          <w:rtl/>
        </w:rPr>
        <w:t xml:space="preserve">فكرة </w:t>
      </w:r>
      <w:r>
        <w:rPr>
          <w:rFonts w:hint="cs"/>
          <w:rtl/>
        </w:rPr>
        <w:t xml:space="preserve">القائلة بأنّ </w:t>
      </w:r>
      <w:r w:rsidRPr="007D7079">
        <w:rPr>
          <w:rFonts w:hint="cs"/>
          <w:rtl/>
        </w:rPr>
        <w:t>التبعة والتقصير تقع على عاتق الرجل في وضع</w:t>
      </w:r>
      <w:r>
        <w:rPr>
          <w:rFonts w:hint="cs"/>
          <w:rtl/>
        </w:rPr>
        <w:t>ه المرأة تحت قبضته وأ</w:t>
      </w:r>
      <w:r w:rsidRPr="007D7079">
        <w:rPr>
          <w:rFonts w:hint="cs"/>
          <w:rtl/>
        </w:rPr>
        <w:t>نه عبر استثماره ل</w:t>
      </w:r>
      <w:r>
        <w:rPr>
          <w:rFonts w:hint="cs"/>
          <w:rtl/>
        </w:rPr>
        <w:t>ها</w:t>
      </w:r>
      <w:r w:rsidRPr="007D7079">
        <w:rPr>
          <w:rFonts w:hint="cs"/>
          <w:rtl/>
        </w:rPr>
        <w:t xml:space="preserve"> داخل العائلة تمك</w:t>
      </w:r>
      <w:r>
        <w:rPr>
          <w:rFonts w:hint="cs"/>
          <w:rtl/>
        </w:rPr>
        <w:t>ّ</w:t>
      </w:r>
      <w:r w:rsidRPr="007D7079">
        <w:rPr>
          <w:rFonts w:hint="cs"/>
          <w:rtl/>
        </w:rPr>
        <w:t xml:space="preserve">ن من </w:t>
      </w:r>
      <w:r>
        <w:rPr>
          <w:rFonts w:hint="cs"/>
          <w:rtl/>
        </w:rPr>
        <w:t>احتكار تمام ا</w:t>
      </w:r>
      <w:r w:rsidRPr="007D7079">
        <w:rPr>
          <w:rFonts w:hint="cs"/>
          <w:rtl/>
        </w:rPr>
        <w:t>لمميزات ال</w:t>
      </w:r>
      <w:r>
        <w:rPr>
          <w:rFonts w:hint="cs"/>
          <w:rtl/>
        </w:rPr>
        <w:t>اجتماع</w:t>
      </w:r>
      <w:r w:rsidRPr="007D7079">
        <w:rPr>
          <w:rFonts w:hint="cs"/>
          <w:rtl/>
        </w:rPr>
        <w:t>ية.</w:t>
      </w:r>
    </w:p>
    <w:p w:rsidR="006E0FDB" w:rsidRDefault="006E0FDB" w:rsidP="006E0FDB">
      <w:pPr>
        <w:pStyle w:val="ac"/>
        <w:rPr>
          <w:rtl/>
        </w:rPr>
      </w:pPr>
      <w:r w:rsidRPr="007D7079">
        <w:rPr>
          <w:rFonts w:hint="cs"/>
          <w:rtl/>
        </w:rPr>
        <w:t>والنتيجة الواضحة لمثل هذا النوع من التفكير إيجاد الخ</w:t>
      </w:r>
      <w:r>
        <w:rPr>
          <w:rFonts w:hint="cs"/>
          <w:rtl/>
        </w:rPr>
        <w:t>صومة والعداوة بين الرجل والمرأة،</w:t>
      </w:r>
      <w:r w:rsidRPr="007D7079">
        <w:rPr>
          <w:rFonts w:hint="cs"/>
          <w:rtl/>
        </w:rPr>
        <w:t xml:space="preserve"> ولو أردنا ملاحظة النظري</w:t>
      </w:r>
      <w:r>
        <w:rPr>
          <w:rFonts w:hint="cs"/>
          <w:rtl/>
        </w:rPr>
        <w:t>ّ</w:t>
      </w:r>
      <w:r w:rsidRPr="007D7079">
        <w:rPr>
          <w:rFonts w:hint="cs"/>
          <w:rtl/>
        </w:rPr>
        <w:t>ات النسوية فلن نجد سوى النسوية الراديكالية</w:t>
      </w:r>
      <w:r>
        <w:rPr>
          <w:rFonts w:hint="cs"/>
          <w:rtl/>
        </w:rPr>
        <w:t xml:space="preserve"> أو </w:t>
      </w:r>
      <w:r w:rsidRPr="007D7079">
        <w:rPr>
          <w:rFonts w:hint="cs"/>
          <w:rtl/>
        </w:rPr>
        <w:t>المتشد</w:t>
      </w:r>
      <w:r>
        <w:rPr>
          <w:rFonts w:hint="cs"/>
          <w:rtl/>
        </w:rPr>
        <w:t>ّ</w:t>
      </w:r>
      <w:r w:rsidRPr="007D7079">
        <w:rPr>
          <w:rFonts w:hint="cs"/>
          <w:rtl/>
        </w:rPr>
        <w:t>دة تتبن</w:t>
      </w:r>
      <w:r>
        <w:rPr>
          <w:rFonts w:hint="cs"/>
          <w:rtl/>
        </w:rPr>
        <w:t>ّى هذا الاتجاه؛</w:t>
      </w:r>
      <w:r w:rsidRPr="007D7079">
        <w:rPr>
          <w:rtl/>
        </w:rPr>
        <w:t xml:space="preserve"> </w:t>
      </w:r>
      <w:r>
        <w:rPr>
          <w:rFonts w:hint="cs"/>
          <w:rtl/>
        </w:rPr>
        <w:t>ولذا يرى أتباع هذه النظرية أ</w:t>
      </w:r>
      <w:r w:rsidRPr="007D7079">
        <w:rPr>
          <w:rFonts w:hint="cs"/>
          <w:rtl/>
        </w:rPr>
        <w:t>ن ال</w:t>
      </w:r>
      <w:r>
        <w:rPr>
          <w:rFonts w:hint="cs"/>
          <w:rtl/>
        </w:rPr>
        <w:t>أمر</w:t>
      </w:r>
      <w:r w:rsidRPr="007D7079">
        <w:rPr>
          <w:rFonts w:hint="cs"/>
          <w:rtl/>
        </w:rPr>
        <w:t xml:space="preserve"> لا يقتصر على </w:t>
      </w:r>
      <w:r w:rsidRPr="007D7079">
        <w:rPr>
          <w:rFonts w:hint="cs"/>
          <w:rtl/>
        </w:rPr>
        <w:lastRenderedPageBreak/>
        <w:t xml:space="preserve">اللاتساوي الموجود بين </w:t>
      </w:r>
      <w:r>
        <w:rPr>
          <w:rFonts w:hint="cs"/>
          <w:rtl/>
        </w:rPr>
        <w:t>الجنسين،</w:t>
      </w:r>
      <w:r w:rsidRPr="007D7079">
        <w:rPr>
          <w:rFonts w:hint="cs"/>
          <w:rtl/>
        </w:rPr>
        <w:t xml:space="preserve"> بل يتعد</w:t>
      </w:r>
      <w:r>
        <w:rPr>
          <w:rFonts w:hint="cs"/>
          <w:rtl/>
        </w:rPr>
        <w:t>ّ</w:t>
      </w:r>
      <w:r w:rsidRPr="007D7079">
        <w:rPr>
          <w:rFonts w:hint="cs"/>
          <w:rtl/>
        </w:rPr>
        <w:t>اه</w:t>
      </w:r>
      <w:r>
        <w:rPr>
          <w:rFonts w:hint="cs"/>
          <w:rtl/>
        </w:rPr>
        <w:t xml:space="preserve"> إلى تسلّط الرجل على المرأة؛</w:t>
      </w:r>
      <w:r w:rsidRPr="007D7079">
        <w:rPr>
          <w:rFonts w:hint="cs"/>
          <w:rtl/>
        </w:rPr>
        <w:t xml:space="preserve"> </w:t>
      </w:r>
      <w:r>
        <w:rPr>
          <w:rFonts w:hint="cs"/>
          <w:rtl/>
        </w:rPr>
        <w:t xml:space="preserve">انطلاقاً من طبيعته التسلّطية، </w:t>
      </w:r>
      <w:r w:rsidRPr="007D7079">
        <w:rPr>
          <w:rFonts w:hint="cs"/>
          <w:rtl/>
        </w:rPr>
        <w:t xml:space="preserve">ونماذج </w:t>
      </w:r>
      <w:r>
        <w:rPr>
          <w:rFonts w:hint="cs"/>
          <w:rtl/>
        </w:rPr>
        <w:t xml:space="preserve">ذلك عديدة مثل: </w:t>
      </w:r>
      <w:r w:rsidRPr="007D7079">
        <w:rPr>
          <w:rFonts w:hint="cs"/>
          <w:rtl/>
        </w:rPr>
        <w:t>تكبيل قدمي</w:t>
      </w:r>
      <w:r>
        <w:rPr>
          <w:rFonts w:hint="cs"/>
          <w:rtl/>
        </w:rPr>
        <w:t xml:space="preserve">ّ المرأة </w:t>
      </w:r>
      <w:r w:rsidRPr="007D7079">
        <w:rPr>
          <w:rFonts w:hint="cs"/>
          <w:rtl/>
        </w:rPr>
        <w:t xml:space="preserve">في الصين، </w:t>
      </w:r>
      <w:r>
        <w:rPr>
          <w:rFonts w:hint="cs"/>
          <w:rtl/>
        </w:rPr>
        <w:t>وختان الإناث في أ</w:t>
      </w:r>
      <w:r w:rsidRPr="007D7079">
        <w:rPr>
          <w:rFonts w:hint="cs"/>
          <w:rtl/>
        </w:rPr>
        <w:t xml:space="preserve">فريقيا، </w:t>
      </w:r>
      <w:r>
        <w:rPr>
          <w:rFonts w:hint="cs"/>
          <w:rtl/>
        </w:rPr>
        <w:t>وحرق الأ</w:t>
      </w:r>
      <w:r w:rsidRPr="007D7079">
        <w:rPr>
          <w:rFonts w:hint="cs"/>
          <w:rtl/>
        </w:rPr>
        <w:t xml:space="preserve">رامل في الهند، </w:t>
      </w:r>
      <w:r>
        <w:rPr>
          <w:rFonts w:hint="cs"/>
          <w:rtl/>
        </w:rPr>
        <w:t>و</w:t>
      </w:r>
      <w:r w:rsidRPr="007D7079">
        <w:rPr>
          <w:rFonts w:hint="cs"/>
          <w:rtl/>
        </w:rPr>
        <w:t>صيد ا</w:t>
      </w:r>
      <w:r>
        <w:rPr>
          <w:rFonts w:hint="cs"/>
          <w:rtl/>
        </w:rPr>
        <w:t>لنسوة الساحرات في القرون الوسطى،</w:t>
      </w:r>
      <w:r w:rsidRPr="007D7079">
        <w:rPr>
          <w:rFonts w:hint="cs"/>
          <w:rtl/>
        </w:rPr>
        <w:t xml:space="preserve"> </w:t>
      </w:r>
      <w:r>
        <w:rPr>
          <w:rFonts w:hint="cs"/>
          <w:rtl/>
        </w:rPr>
        <w:t>وعليه</w:t>
      </w:r>
      <w:r w:rsidRPr="007D7079">
        <w:rPr>
          <w:rFonts w:hint="cs"/>
          <w:rtl/>
        </w:rPr>
        <w:t xml:space="preserve"> </w:t>
      </w:r>
      <w:r>
        <w:rPr>
          <w:rFonts w:hint="cs"/>
          <w:rtl/>
        </w:rPr>
        <w:t>ف</w:t>
      </w:r>
      <w:r w:rsidRPr="007D7079">
        <w:rPr>
          <w:rFonts w:hint="cs"/>
          <w:rtl/>
        </w:rPr>
        <w:t>طريق التخل</w:t>
      </w:r>
      <w:r>
        <w:rPr>
          <w:rFonts w:hint="cs"/>
          <w:rtl/>
        </w:rPr>
        <w:t>ّ</w:t>
      </w:r>
      <w:r w:rsidRPr="007D7079">
        <w:rPr>
          <w:rFonts w:hint="cs"/>
          <w:rtl/>
        </w:rPr>
        <w:t>ص من ذلك إن</w:t>
      </w:r>
      <w:r>
        <w:rPr>
          <w:rFonts w:hint="cs"/>
          <w:rtl/>
        </w:rPr>
        <w:t>ّ</w:t>
      </w:r>
      <w:r w:rsidRPr="007D7079">
        <w:rPr>
          <w:rFonts w:hint="cs"/>
          <w:rtl/>
        </w:rPr>
        <w:t>ما هو في تشكيل تجم</w:t>
      </w:r>
      <w:r>
        <w:rPr>
          <w:rFonts w:hint="cs"/>
          <w:rtl/>
        </w:rPr>
        <w:t>ّ</w:t>
      </w:r>
      <w:r w:rsidRPr="007D7079">
        <w:rPr>
          <w:rFonts w:hint="cs"/>
          <w:rtl/>
        </w:rPr>
        <w:t>عات نسائية خالية من الرجل مبني</w:t>
      </w:r>
      <w:r>
        <w:rPr>
          <w:rFonts w:hint="cs"/>
          <w:rtl/>
        </w:rPr>
        <w:t>ّة على مبادئ الأ</w:t>
      </w:r>
      <w:r w:rsidRPr="007D7079">
        <w:rPr>
          <w:rFonts w:hint="cs"/>
          <w:rtl/>
        </w:rPr>
        <w:t>خو</w:t>
      </w:r>
      <w:r>
        <w:rPr>
          <w:rFonts w:hint="cs"/>
          <w:rtl/>
        </w:rPr>
        <w:t>ّ</w:t>
      </w:r>
      <w:r w:rsidRPr="007D7079">
        <w:rPr>
          <w:rFonts w:hint="cs"/>
          <w:rtl/>
        </w:rPr>
        <w:t>ة والهوية النسائية.</w:t>
      </w:r>
    </w:p>
    <w:p w:rsidR="006E0FDB" w:rsidRPr="007D7079" w:rsidRDefault="006E0FDB" w:rsidP="006E0FDB">
      <w:pPr>
        <w:pStyle w:val="ac"/>
        <w:rPr>
          <w:rtl/>
        </w:rPr>
      </w:pPr>
      <w:r>
        <w:rPr>
          <w:rFonts w:hint="cs"/>
          <w:rtl/>
        </w:rPr>
        <w:t>و</w:t>
      </w:r>
      <w:r w:rsidRPr="007D7079">
        <w:rPr>
          <w:rFonts w:hint="cs"/>
          <w:rtl/>
        </w:rPr>
        <w:t>لا شك في أن علم ال</w:t>
      </w:r>
      <w:r>
        <w:rPr>
          <w:rFonts w:hint="cs"/>
          <w:rtl/>
        </w:rPr>
        <w:t xml:space="preserve">اجتماع يرفض </w:t>
      </w:r>
      <w:r w:rsidRPr="007D7079">
        <w:rPr>
          <w:rFonts w:hint="cs"/>
          <w:rtl/>
        </w:rPr>
        <w:t xml:space="preserve">اعتبار الرجل المقصّر في </w:t>
      </w:r>
      <w:r>
        <w:rPr>
          <w:rFonts w:hint="cs"/>
          <w:rtl/>
        </w:rPr>
        <w:t xml:space="preserve">تدنّي المستوى الاجتماعي للمرأة إلى الدرجة الثانية، </w:t>
      </w:r>
      <w:r w:rsidRPr="007D7079">
        <w:rPr>
          <w:rFonts w:hint="cs"/>
          <w:rtl/>
        </w:rPr>
        <w:t>لذا ت</w:t>
      </w:r>
      <w:r>
        <w:rPr>
          <w:rFonts w:hint="cs"/>
          <w:rtl/>
        </w:rPr>
        <w:t>ُ</w:t>
      </w:r>
      <w:r w:rsidRPr="007D7079">
        <w:rPr>
          <w:rFonts w:hint="cs"/>
          <w:rtl/>
        </w:rPr>
        <w:t xml:space="preserve">رجع </w:t>
      </w:r>
      <w:r>
        <w:rPr>
          <w:rFonts w:hint="cs"/>
          <w:rtl/>
        </w:rPr>
        <w:t xml:space="preserve">المدارس </w:t>
      </w:r>
      <w:r w:rsidRPr="007D7079">
        <w:rPr>
          <w:rFonts w:hint="cs"/>
          <w:rtl/>
        </w:rPr>
        <w:t>النسوي</w:t>
      </w:r>
      <w:r>
        <w:rPr>
          <w:rFonts w:hint="cs"/>
          <w:rtl/>
        </w:rPr>
        <w:t>ة</w:t>
      </w:r>
      <w:r w:rsidRPr="007D7079">
        <w:rPr>
          <w:rFonts w:hint="cs"/>
          <w:rtl/>
        </w:rPr>
        <w:t xml:space="preserve"> ال</w:t>
      </w:r>
      <w:r>
        <w:rPr>
          <w:rFonts w:hint="cs"/>
          <w:rtl/>
        </w:rPr>
        <w:t>أخرى</w:t>
      </w:r>
      <w:r w:rsidRPr="007D7079">
        <w:rPr>
          <w:rFonts w:hint="cs"/>
          <w:rtl/>
        </w:rPr>
        <w:t xml:space="preserve"> غير الراديكالية </w:t>
      </w:r>
      <w:r>
        <w:rPr>
          <w:rFonts w:hint="cs"/>
          <w:rtl/>
        </w:rPr>
        <w:t xml:space="preserve">ـ </w:t>
      </w:r>
      <w:r w:rsidRPr="007D7079">
        <w:rPr>
          <w:rFonts w:hint="cs"/>
          <w:rtl/>
        </w:rPr>
        <w:t xml:space="preserve">وبطريقة علمية </w:t>
      </w:r>
      <w:r>
        <w:rPr>
          <w:rFonts w:hint="cs"/>
          <w:rtl/>
        </w:rPr>
        <w:t xml:space="preserve">ـ </w:t>
      </w:r>
      <w:r w:rsidRPr="007D7079">
        <w:rPr>
          <w:rFonts w:hint="cs"/>
          <w:rtl/>
        </w:rPr>
        <w:t xml:space="preserve">مسألة اللاتساوي الموجود بين </w:t>
      </w:r>
      <w:r>
        <w:rPr>
          <w:rFonts w:hint="cs"/>
          <w:rtl/>
        </w:rPr>
        <w:t xml:space="preserve">الجنسين إلى </w:t>
      </w:r>
      <w:r w:rsidRPr="007D7079">
        <w:rPr>
          <w:rFonts w:hint="cs"/>
          <w:rtl/>
        </w:rPr>
        <w:t>العوامل ال</w:t>
      </w:r>
      <w:r>
        <w:rPr>
          <w:rFonts w:hint="cs"/>
          <w:rtl/>
        </w:rPr>
        <w:t>اجتماع</w:t>
      </w:r>
      <w:r w:rsidRPr="007D7079">
        <w:rPr>
          <w:rFonts w:hint="cs"/>
          <w:rtl/>
        </w:rPr>
        <w:t>ية</w:t>
      </w:r>
      <w:r>
        <w:rPr>
          <w:rFonts w:hint="cs"/>
          <w:rtl/>
        </w:rPr>
        <w:t xml:space="preserve">، كنظام القيم والنظام الجنسي، </w:t>
      </w:r>
      <w:r w:rsidRPr="007D7079">
        <w:rPr>
          <w:rFonts w:hint="cs"/>
          <w:rtl/>
        </w:rPr>
        <w:t>وبعبارة</w:t>
      </w:r>
      <w:r>
        <w:rPr>
          <w:rFonts w:hint="cs"/>
          <w:rtl/>
        </w:rPr>
        <w:t>ٍ</w:t>
      </w:r>
      <w:r w:rsidRPr="007D7079">
        <w:rPr>
          <w:rFonts w:hint="cs"/>
          <w:rtl/>
        </w:rPr>
        <w:t xml:space="preserve"> </w:t>
      </w:r>
      <w:r>
        <w:rPr>
          <w:rFonts w:hint="cs"/>
          <w:rtl/>
        </w:rPr>
        <w:t>أخرى،</w:t>
      </w:r>
      <w:r w:rsidRPr="007D7079">
        <w:rPr>
          <w:rFonts w:hint="cs"/>
          <w:rtl/>
        </w:rPr>
        <w:t xml:space="preserve"> </w:t>
      </w:r>
      <w:r>
        <w:rPr>
          <w:rFonts w:hint="cs"/>
          <w:rtl/>
        </w:rPr>
        <w:t xml:space="preserve">ترجع </w:t>
      </w:r>
      <w:r w:rsidRPr="007D7079">
        <w:rPr>
          <w:rFonts w:hint="cs"/>
          <w:rtl/>
        </w:rPr>
        <w:t xml:space="preserve">هذه القيم </w:t>
      </w:r>
      <w:r>
        <w:rPr>
          <w:rFonts w:hint="cs"/>
          <w:rtl/>
        </w:rPr>
        <w:t xml:space="preserve">إلى </w:t>
      </w:r>
      <w:r w:rsidRPr="007D7079">
        <w:rPr>
          <w:rFonts w:hint="cs"/>
          <w:rtl/>
        </w:rPr>
        <w:t xml:space="preserve">مفهوم سيادة الأب الذي </w:t>
      </w:r>
      <w:r>
        <w:rPr>
          <w:rFonts w:hint="cs"/>
          <w:rtl/>
        </w:rPr>
        <w:t xml:space="preserve">تربّينا جميعاً ـ </w:t>
      </w:r>
      <w:r w:rsidRPr="007D7079">
        <w:rPr>
          <w:rFonts w:hint="cs"/>
          <w:rtl/>
        </w:rPr>
        <w:t>نساء</w:t>
      </w:r>
      <w:r>
        <w:rPr>
          <w:rFonts w:hint="cs"/>
          <w:rtl/>
        </w:rPr>
        <w:t>ً</w:t>
      </w:r>
      <w:r w:rsidRPr="007D7079">
        <w:rPr>
          <w:rFonts w:hint="cs"/>
          <w:rtl/>
        </w:rPr>
        <w:t xml:space="preserve"> ورجالا</w:t>
      </w:r>
      <w:r>
        <w:rPr>
          <w:rFonts w:hint="cs"/>
          <w:rtl/>
        </w:rPr>
        <w:t>ً</w:t>
      </w:r>
      <w:r w:rsidRPr="007D7079">
        <w:rPr>
          <w:rFonts w:hint="cs"/>
          <w:rtl/>
        </w:rPr>
        <w:t xml:space="preserve"> </w:t>
      </w:r>
      <w:r>
        <w:rPr>
          <w:rFonts w:hint="cs"/>
          <w:rtl/>
        </w:rPr>
        <w:t xml:space="preserve">ـ </w:t>
      </w:r>
      <w:r w:rsidRPr="007D7079">
        <w:rPr>
          <w:rFonts w:hint="cs"/>
          <w:rtl/>
        </w:rPr>
        <w:t xml:space="preserve">على </w:t>
      </w:r>
      <w:r>
        <w:rPr>
          <w:rFonts w:hint="cs"/>
          <w:rtl/>
        </w:rPr>
        <w:t xml:space="preserve">أساسه؛ </w:t>
      </w:r>
      <w:r w:rsidRPr="007D7079">
        <w:rPr>
          <w:rFonts w:hint="cs"/>
          <w:rtl/>
        </w:rPr>
        <w:t xml:space="preserve">لذا </w:t>
      </w:r>
      <w:r>
        <w:rPr>
          <w:rFonts w:hint="cs"/>
          <w:rtl/>
        </w:rPr>
        <w:t>لزم تغيير هذا النظام لرفع هذا الاختلاف</w:t>
      </w:r>
      <w:r w:rsidRPr="007D7079">
        <w:rPr>
          <w:rFonts w:hint="cs"/>
          <w:rtl/>
        </w:rPr>
        <w:t>.</w:t>
      </w:r>
    </w:p>
    <w:p w:rsidR="006E0FDB" w:rsidRDefault="006E0FDB" w:rsidP="006E0FDB">
      <w:pPr>
        <w:pStyle w:val="ac"/>
        <w:rPr>
          <w:rtl/>
        </w:rPr>
      </w:pPr>
      <w:r w:rsidRPr="007D7079">
        <w:rPr>
          <w:rFonts w:hint="cs"/>
          <w:rtl/>
        </w:rPr>
        <w:t>لا بدّ من الالتفات</w:t>
      </w:r>
      <w:r>
        <w:rPr>
          <w:rFonts w:hint="cs"/>
          <w:rtl/>
        </w:rPr>
        <w:t xml:space="preserve"> إلى </w:t>
      </w:r>
      <w:r w:rsidRPr="007D7079">
        <w:rPr>
          <w:rFonts w:hint="cs"/>
          <w:rtl/>
        </w:rPr>
        <w:t xml:space="preserve">أن الترويج </w:t>
      </w:r>
      <w:r>
        <w:rPr>
          <w:rFonts w:hint="cs"/>
          <w:rtl/>
        </w:rPr>
        <w:t xml:space="preserve">لعدائية الجنسين لبعضهما </w:t>
      </w:r>
      <w:r w:rsidRPr="007D7079">
        <w:rPr>
          <w:rFonts w:hint="cs"/>
          <w:rtl/>
        </w:rPr>
        <w:t xml:space="preserve">ينشأ </w:t>
      </w:r>
      <w:r>
        <w:rPr>
          <w:rFonts w:hint="cs"/>
          <w:rtl/>
        </w:rPr>
        <w:t xml:space="preserve">ـ </w:t>
      </w:r>
      <w:r w:rsidRPr="007D7079">
        <w:rPr>
          <w:rFonts w:hint="cs"/>
          <w:rtl/>
        </w:rPr>
        <w:t>في ال</w:t>
      </w:r>
      <w:r>
        <w:rPr>
          <w:rFonts w:hint="cs"/>
          <w:rtl/>
        </w:rPr>
        <w:t>أساس</w:t>
      </w:r>
      <w:r w:rsidRPr="007D7079">
        <w:rPr>
          <w:rFonts w:hint="cs"/>
          <w:rtl/>
        </w:rPr>
        <w:t xml:space="preserve"> </w:t>
      </w:r>
      <w:r>
        <w:rPr>
          <w:rFonts w:hint="cs"/>
          <w:rtl/>
        </w:rPr>
        <w:t xml:space="preserve">ـ </w:t>
      </w:r>
      <w:r w:rsidRPr="007D7079">
        <w:rPr>
          <w:rFonts w:hint="cs"/>
          <w:rtl/>
        </w:rPr>
        <w:t>من قيم النظام الأبوي، ولو أن</w:t>
      </w:r>
      <w:r>
        <w:rPr>
          <w:rFonts w:hint="cs"/>
          <w:rtl/>
        </w:rPr>
        <w:t>ّ</w:t>
      </w:r>
      <w:r w:rsidRPr="007D7079">
        <w:rPr>
          <w:rFonts w:hint="cs"/>
          <w:rtl/>
        </w:rPr>
        <w:t xml:space="preserve"> الحركات النسائية في إيران أرادت </w:t>
      </w:r>
      <w:r>
        <w:rPr>
          <w:rFonts w:hint="cs"/>
          <w:rtl/>
        </w:rPr>
        <w:t>إشاعة</w:t>
      </w:r>
      <w:r w:rsidRPr="007D7079">
        <w:rPr>
          <w:rFonts w:hint="cs"/>
          <w:rtl/>
        </w:rPr>
        <w:t xml:space="preserve"> هذا التمايز العدائي فلا شك في أن</w:t>
      </w:r>
      <w:r>
        <w:rPr>
          <w:rFonts w:hint="cs"/>
          <w:rtl/>
        </w:rPr>
        <w:t>ّ</w:t>
      </w:r>
      <w:r w:rsidRPr="007D7079">
        <w:rPr>
          <w:rFonts w:hint="cs"/>
          <w:rtl/>
        </w:rPr>
        <w:t xml:space="preserve"> ذلك سوف يزيد من العداوة والانفصال بين الجنسين، واستخدام هذا الأسلوب السطحي له عواقب خطيرة على</w:t>
      </w:r>
      <w:r>
        <w:rPr>
          <w:rFonts w:hint="cs"/>
          <w:rtl/>
        </w:rPr>
        <w:t xml:space="preserve"> المرأة، وعلى العلاقات العائلية، أي أ</w:t>
      </w:r>
      <w:r w:rsidRPr="007D7079">
        <w:rPr>
          <w:rFonts w:hint="cs"/>
          <w:rtl/>
        </w:rPr>
        <w:t>ن</w:t>
      </w:r>
      <w:r>
        <w:rPr>
          <w:rFonts w:hint="cs"/>
          <w:rtl/>
        </w:rPr>
        <w:t>ّ</w:t>
      </w:r>
      <w:r w:rsidRPr="007D7079">
        <w:rPr>
          <w:rFonts w:hint="cs"/>
          <w:rtl/>
        </w:rPr>
        <w:t>ه وبدل إيجاد فرص تعاون واندماج</w:t>
      </w:r>
      <w:r>
        <w:rPr>
          <w:rFonts w:hint="cs"/>
          <w:rtl/>
        </w:rPr>
        <w:t>،</w:t>
      </w:r>
      <w:r w:rsidRPr="007D7079">
        <w:rPr>
          <w:rFonts w:hint="cs"/>
          <w:rtl/>
        </w:rPr>
        <w:t xml:space="preserve"> يتم</w:t>
      </w:r>
      <w:r>
        <w:rPr>
          <w:rFonts w:hint="cs"/>
          <w:rtl/>
        </w:rPr>
        <w:t>ّ</w:t>
      </w:r>
      <w:r w:rsidRPr="007D7079">
        <w:rPr>
          <w:rFonts w:hint="cs"/>
          <w:rtl/>
        </w:rPr>
        <w:t xml:space="preserve"> العمل على </w:t>
      </w:r>
      <w:r>
        <w:rPr>
          <w:rFonts w:hint="cs"/>
          <w:rtl/>
        </w:rPr>
        <w:t>خلق</w:t>
      </w:r>
      <w:r w:rsidRPr="007D7079">
        <w:rPr>
          <w:rFonts w:hint="cs"/>
          <w:rtl/>
        </w:rPr>
        <w:t xml:space="preserve"> فواصل بين </w:t>
      </w:r>
      <w:r>
        <w:rPr>
          <w:rFonts w:hint="cs"/>
          <w:rtl/>
        </w:rPr>
        <w:t>الطرفين ووضعهما في جبهتين مختلفتين.</w:t>
      </w:r>
    </w:p>
    <w:p w:rsidR="006E0FDB" w:rsidRDefault="006E0FDB" w:rsidP="006E0FDB">
      <w:pPr>
        <w:pStyle w:val="ac"/>
        <w:rPr>
          <w:rtl/>
        </w:rPr>
      </w:pPr>
      <w:r w:rsidRPr="007D7079">
        <w:rPr>
          <w:rFonts w:hint="cs"/>
          <w:rtl/>
        </w:rPr>
        <w:t>من جهة ثانية</w:t>
      </w:r>
      <w:r>
        <w:rPr>
          <w:rFonts w:hint="cs"/>
          <w:rtl/>
        </w:rPr>
        <w:t>،</w:t>
      </w:r>
      <w:r w:rsidRPr="007D7079">
        <w:rPr>
          <w:rFonts w:hint="cs"/>
          <w:rtl/>
        </w:rPr>
        <w:t xml:space="preserve"> </w:t>
      </w:r>
      <w:r>
        <w:rPr>
          <w:rFonts w:hint="cs"/>
          <w:rtl/>
        </w:rPr>
        <w:t>استفاد</w:t>
      </w:r>
      <w:r w:rsidRPr="007D7079">
        <w:rPr>
          <w:rFonts w:hint="cs"/>
          <w:rtl/>
        </w:rPr>
        <w:t xml:space="preserve"> الرافض</w:t>
      </w:r>
      <w:r>
        <w:rPr>
          <w:rFonts w:hint="cs"/>
          <w:rtl/>
        </w:rPr>
        <w:t>و</w:t>
      </w:r>
      <w:r w:rsidRPr="007D7079">
        <w:rPr>
          <w:rFonts w:hint="cs"/>
          <w:rtl/>
        </w:rPr>
        <w:t xml:space="preserve">ن </w:t>
      </w:r>
      <w:r>
        <w:rPr>
          <w:rFonts w:hint="cs"/>
          <w:rtl/>
        </w:rPr>
        <w:t>للمقولات</w:t>
      </w:r>
      <w:r w:rsidRPr="007D7079">
        <w:rPr>
          <w:rFonts w:hint="cs"/>
          <w:rtl/>
        </w:rPr>
        <w:t xml:space="preserve"> النسوية من هذه النقطة بالذات</w:t>
      </w:r>
      <w:r>
        <w:rPr>
          <w:rFonts w:hint="cs"/>
          <w:rtl/>
        </w:rPr>
        <w:t>؛</w:t>
      </w:r>
      <w:r w:rsidRPr="007D7079">
        <w:rPr>
          <w:rFonts w:hint="cs"/>
          <w:rtl/>
        </w:rPr>
        <w:t xml:space="preserve"> لاعتبار النساء موجودات تحمل في ذاتها حس</w:t>
      </w:r>
      <w:r>
        <w:rPr>
          <w:rFonts w:hint="cs"/>
          <w:rtl/>
        </w:rPr>
        <w:t>ّ</w:t>
      </w:r>
      <w:r w:rsidRPr="007D7079">
        <w:rPr>
          <w:rFonts w:hint="cs"/>
          <w:rtl/>
        </w:rPr>
        <w:t xml:space="preserve"> الانتقام</w:t>
      </w:r>
      <w:r>
        <w:rPr>
          <w:rFonts w:hint="cs"/>
          <w:rtl/>
        </w:rPr>
        <w:t>،</w:t>
      </w:r>
      <w:r w:rsidRPr="007D7079">
        <w:rPr>
          <w:rFonts w:hint="cs"/>
          <w:rtl/>
        </w:rPr>
        <w:t xml:space="preserve"> و</w:t>
      </w:r>
      <w:r>
        <w:rPr>
          <w:rFonts w:hint="cs"/>
          <w:rtl/>
        </w:rPr>
        <w:t xml:space="preserve">من ثمّ فهي </w:t>
      </w:r>
      <w:r w:rsidRPr="007D7079">
        <w:rPr>
          <w:rFonts w:hint="cs"/>
          <w:rtl/>
        </w:rPr>
        <w:t>بسيطة لا ت</w:t>
      </w:r>
      <w:r>
        <w:rPr>
          <w:rFonts w:hint="cs"/>
          <w:rtl/>
        </w:rPr>
        <w:t>تمتّع بأيّ استعداد أو إمكانات.</w:t>
      </w:r>
    </w:p>
    <w:p w:rsidR="006E0FDB" w:rsidRDefault="006E0FDB" w:rsidP="009368DE">
      <w:pPr>
        <w:pStyle w:val="afffffc"/>
        <w:rPr>
          <w:rtl/>
        </w:rPr>
      </w:pPr>
    </w:p>
    <w:p w:rsidR="006E0FDB" w:rsidRPr="00D457EB" w:rsidRDefault="006E0FDB" w:rsidP="006E0FDB">
      <w:pPr>
        <w:pStyle w:val="1"/>
        <w:rPr>
          <w:rtl/>
        </w:rPr>
      </w:pPr>
      <w:bookmarkStart w:id="530" w:name="_Toc169521455"/>
      <w:bookmarkStart w:id="531" w:name="_Toc275128225"/>
      <w:r w:rsidRPr="00D457EB">
        <w:rPr>
          <w:rFonts w:hint="cs"/>
          <w:rtl/>
        </w:rPr>
        <w:t>نظرية المرأة العالمية الواحدة</w:t>
      </w:r>
      <w:r w:rsidRPr="003A6D60">
        <w:rPr>
          <w:rFonts w:cs="Simplified Arabic" w:hint="cs"/>
          <w:rtl/>
        </w:rPr>
        <w:t>،</w:t>
      </w:r>
      <w:r w:rsidRPr="00D457EB">
        <w:rPr>
          <w:rFonts w:hint="cs"/>
          <w:rtl/>
        </w:rPr>
        <w:t xml:space="preserve"> تعليق نقدي</w:t>
      </w:r>
      <w:bookmarkEnd w:id="530"/>
      <w:bookmarkEnd w:id="531"/>
    </w:p>
    <w:p w:rsidR="006E0FDB" w:rsidRDefault="006E0FDB" w:rsidP="006E0FDB">
      <w:pPr>
        <w:pStyle w:val="ac"/>
        <w:rPr>
          <w:rtl/>
        </w:rPr>
      </w:pPr>
      <w:r w:rsidRPr="00CD2E72">
        <w:rPr>
          <w:rFonts w:hint="cs"/>
          <w:bCs/>
          <w:rtl/>
        </w:rPr>
        <w:t xml:space="preserve">3 </w:t>
      </w:r>
      <w:r>
        <w:rPr>
          <w:rFonts w:hint="cs"/>
          <w:bCs/>
          <w:rtl/>
        </w:rPr>
        <w:t>ـ</w:t>
      </w:r>
      <w:r w:rsidRPr="00CD2E72">
        <w:rPr>
          <w:rFonts w:hint="cs"/>
          <w:bCs/>
          <w:rtl/>
        </w:rPr>
        <w:t xml:space="preserve"> الغفلة عن تنوّع الظروف الحياتية للمرأة في إيران:</w:t>
      </w:r>
      <w:r w:rsidRPr="007D7079">
        <w:rPr>
          <w:rFonts w:hint="cs"/>
          <w:rtl/>
        </w:rPr>
        <w:t xml:space="preserve"> </w:t>
      </w:r>
      <w:r>
        <w:rPr>
          <w:rFonts w:hint="cs"/>
          <w:rtl/>
        </w:rPr>
        <w:t xml:space="preserve">تتمثل بعض </w:t>
      </w:r>
      <w:r w:rsidRPr="007D7079">
        <w:rPr>
          <w:rFonts w:hint="cs"/>
          <w:rtl/>
        </w:rPr>
        <w:t>الأسس النظرية للاتجاهات النسوية الأولى في اعتبار الظروف الحياتية التي تعيشها</w:t>
      </w:r>
      <w:r>
        <w:rPr>
          <w:rFonts w:hint="cs"/>
          <w:rtl/>
        </w:rPr>
        <w:t xml:space="preserve"> المرأة </w:t>
      </w:r>
      <w:r w:rsidRPr="007D7079">
        <w:rPr>
          <w:rFonts w:hint="cs"/>
          <w:rtl/>
        </w:rPr>
        <w:t>واحدة</w:t>
      </w:r>
      <w:r>
        <w:rPr>
          <w:rFonts w:hint="cs"/>
          <w:rtl/>
        </w:rPr>
        <w:t>ً</w:t>
      </w:r>
      <w:r w:rsidRPr="007D7079">
        <w:rPr>
          <w:rFonts w:hint="cs"/>
          <w:rtl/>
        </w:rPr>
        <w:t>، و</w:t>
      </w:r>
      <w:r>
        <w:rPr>
          <w:rFonts w:hint="cs"/>
          <w:rtl/>
        </w:rPr>
        <w:t xml:space="preserve">من </w:t>
      </w:r>
      <w:r>
        <w:rPr>
          <w:rFonts w:hint="cs"/>
          <w:rtl/>
        </w:rPr>
        <w:lastRenderedPageBreak/>
        <w:t xml:space="preserve">ثمّ </w:t>
      </w:r>
      <w:r w:rsidRPr="007D7079">
        <w:rPr>
          <w:rFonts w:hint="cs"/>
          <w:rtl/>
        </w:rPr>
        <w:t>تقديم طرق موح</w:t>
      </w:r>
      <w:r>
        <w:rPr>
          <w:rFonts w:hint="cs"/>
          <w:rtl/>
        </w:rPr>
        <w:t>ّ</w:t>
      </w:r>
      <w:r w:rsidRPr="007D7079">
        <w:rPr>
          <w:rFonts w:hint="cs"/>
          <w:rtl/>
        </w:rPr>
        <w:t>دة للحل</w:t>
      </w:r>
      <w:r>
        <w:rPr>
          <w:rFonts w:hint="cs"/>
          <w:rtl/>
        </w:rPr>
        <w:t>ّ</w:t>
      </w:r>
      <w:r w:rsidRPr="007D7079">
        <w:rPr>
          <w:rFonts w:hint="cs"/>
          <w:rtl/>
        </w:rPr>
        <w:t>، وطبق هذا الرأي</w:t>
      </w:r>
      <w:r>
        <w:rPr>
          <w:rFonts w:hint="cs"/>
          <w:rtl/>
        </w:rPr>
        <w:t>،</w:t>
      </w:r>
      <w:r w:rsidRPr="007D7079">
        <w:rPr>
          <w:rFonts w:hint="cs"/>
          <w:rtl/>
        </w:rPr>
        <w:t xml:space="preserve"> </w:t>
      </w:r>
      <w:r>
        <w:rPr>
          <w:rFonts w:hint="cs"/>
          <w:rtl/>
        </w:rPr>
        <w:t xml:space="preserve">تغدو مقولة: المرأة </w:t>
      </w:r>
      <w:r w:rsidRPr="007D7079">
        <w:rPr>
          <w:rFonts w:hint="cs"/>
          <w:rtl/>
        </w:rPr>
        <w:t>جنس</w:t>
      </w:r>
      <w:r>
        <w:rPr>
          <w:rFonts w:hint="cs"/>
          <w:rtl/>
        </w:rPr>
        <w:t>ٌ</w:t>
      </w:r>
      <w:r w:rsidRPr="007D7079">
        <w:rPr>
          <w:rFonts w:hint="cs"/>
          <w:rtl/>
        </w:rPr>
        <w:t xml:space="preserve"> من الدرجة الثانية</w:t>
      </w:r>
      <w:r>
        <w:rPr>
          <w:rFonts w:hint="cs"/>
          <w:rtl/>
        </w:rPr>
        <w:t>،</w:t>
      </w:r>
      <w:r w:rsidRPr="007D7079">
        <w:rPr>
          <w:rFonts w:hint="cs"/>
          <w:rtl/>
        </w:rPr>
        <w:t xml:space="preserve"> مقولة</w:t>
      </w:r>
      <w:r>
        <w:rPr>
          <w:rFonts w:hint="cs"/>
          <w:rtl/>
        </w:rPr>
        <w:t>ً واحدة وعالمية، وأ</w:t>
      </w:r>
      <w:r w:rsidRPr="007D7079">
        <w:rPr>
          <w:rFonts w:hint="cs"/>
          <w:rtl/>
        </w:rPr>
        <w:t>ن</w:t>
      </w:r>
      <w:r>
        <w:rPr>
          <w:rFonts w:hint="cs"/>
          <w:rtl/>
        </w:rPr>
        <w:t>ّ</w:t>
      </w:r>
      <w:r w:rsidRPr="007D7079">
        <w:rPr>
          <w:rFonts w:hint="cs"/>
          <w:rtl/>
        </w:rPr>
        <w:t xml:space="preserve"> هذه</w:t>
      </w:r>
      <w:r>
        <w:rPr>
          <w:rFonts w:hint="cs"/>
          <w:rtl/>
        </w:rPr>
        <w:t xml:space="preserve"> المرأة </w:t>
      </w:r>
      <w:r w:rsidRPr="007D7079">
        <w:rPr>
          <w:rFonts w:hint="cs"/>
          <w:rtl/>
        </w:rPr>
        <w:t>(الواحدة والعالمية) كانت دائما</w:t>
      </w:r>
      <w:r>
        <w:rPr>
          <w:rFonts w:hint="cs"/>
          <w:rtl/>
        </w:rPr>
        <w:t>ً</w:t>
      </w:r>
      <w:r w:rsidRPr="007D7079">
        <w:rPr>
          <w:rFonts w:hint="cs"/>
          <w:rtl/>
        </w:rPr>
        <w:t xml:space="preserve"> محل</w:t>
      </w:r>
      <w:r>
        <w:rPr>
          <w:rFonts w:hint="cs"/>
          <w:rtl/>
        </w:rPr>
        <w:t>ّ</w:t>
      </w:r>
      <w:r w:rsidRPr="007D7079">
        <w:rPr>
          <w:rFonts w:hint="cs"/>
          <w:rtl/>
        </w:rPr>
        <w:t xml:space="preserve"> اس</w:t>
      </w:r>
      <w:r>
        <w:rPr>
          <w:rFonts w:hint="cs"/>
          <w:rtl/>
        </w:rPr>
        <w:t>تغلال الرجل؛</w:t>
      </w:r>
      <w:r w:rsidRPr="007D7079">
        <w:rPr>
          <w:rFonts w:hint="cs"/>
          <w:rtl/>
        </w:rPr>
        <w:t xml:space="preserve"> و</w:t>
      </w:r>
      <w:r>
        <w:rPr>
          <w:rFonts w:hint="cs"/>
          <w:rtl/>
        </w:rPr>
        <w:t xml:space="preserve">عليه يمكننا عرض حلول </w:t>
      </w:r>
      <w:r w:rsidRPr="007D7079">
        <w:rPr>
          <w:rFonts w:hint="cs"/>
          <w:rtl/>
        </w:rPr>
        <w:t>متشابهة لتأمين خلاص</w:t>
      </w:r>
      <w:r>
        <w:rPr>
          <w:rFonts w:hint="cs"/>
          <w:rtl/>
        </w:rPr>
        <w:t xml:space="preserve"> المرأة </w:t>
      </w:r>
      <w:r w:rsidRPr="007D7079">
        <w:rPr>
          <w:rFonts w:hint="cs"/>
          <w:rtl/>
        </w:rPr>
        <w:t xml:space="preserve">من </w:t>
      </w:r>
      <w:r>
        <w:rPr>
          <w:rFonts w:hint="cs"/>
          <w:rtl/>
        </w:rPr>
        <w:t>هيمنة الرجل.</w:t>
      </w:r>
    </w:p>
    <w:p w:rsidR="006E0FDB" w:rsidRPr="007D7079" w:rsidRDefault="006E0FDB" w:rsidP="009368DE">
      <w:pPr>
        <w:pStyle w:val="ac"/>
        <w:spacing w:line="199" w:lineRule="auto"/>
        <w:rPr>
          <w:rtl/>
        </w:rPr>
      </w:pPr>
      <w:r w:rsidRPr="007D7079">
        <w:rPr>
          <w:rFonts w:hint="cs"/>
          <w:rtl/>
        </w:rPr>
        <w:t>و</w:t>
      </w:r>
      <w:r>
        <w:rPr>
          <w:rFonts w:hint="cs"/>
          <w:rtl/>
        </w:rPr>
        <w:t xml:space="preserve">قد جرى نقد هذا البناء النسوي </w:t>
      </w:r>
      <w:r w:rsidRPr="007D7079">
        <w:rPr>
          <w:rFonts w:hint="cs"/>
          <w:rtl/>
        </w:rPr>
        <w:t xml:space="preserve">من </w:t>
      </w:r>
      <w:r>
        <w:rPr>
          <w:rFonts w:hint="cs"/>
          <w:rtl/>
        </w:rPr>
        <w:t>جانب المدارس</w:t>
      </w:r>
      <w:r w:rsidRPr="007D7079">
        <w:rPr>
          <w:rFonts w:hint="cs"/>
          <w:rtl/>
        </w:rPr>
        <w:t xml:space="preserve"> النسوي</w:t>
      </w:r>
      <w:r>
        <w:rPr>
          <w:rFonts w:hint="cs"/>
          <w:rtl/>
        </w:rPr>
        <w:t>ّ</w:t>
      </w:r>
      <w:r w:rsidRPr="007D7079">
        <w:rPr>
          <w:rFonts w:hint="cs"/>
          <w:rtl/>
        </w:rPr>
        <w:t xml:space="preserve">ة الحديثة، </w:t>
      </w:r>
      <w:r>
        <w:rPr>
          <w:rFonts w:hint="cs"/>
          <w:rtl/>
        </w:rPr>
        <w:t xml:space="preserve">حيث </w:t>
      </w:r>
      <w:r w:rsidRPr="007D7079">
        <w:rPr>
          <w:rFonts w:hint="cs"/>
          <w:rtl/>
        </w:rPr>
        <w:t xml:space="preserve">ترى </w:t>
      </w:r>
      <w:r>
        <w:rPr>
          <w:rFonts w:hint="cs"/>
          <w:rtl/>
        </w:rPr>
        <w:t>أن</w:t>
      </w:r>
      <w:r w:rsidRPr="007D7079">
        <w:rPr>
          <w:rFonts w:hint="cs"/>
          <w:rtl/>
        </w:rPr>
        <w:t xml:space="preserve"> لا وجود ل</w:t>
      </w:r>
      <w:r>
        <w:rPr>
          <w:rFonts w:hint="cs"/>
          <w:rtl/>
        </w:rPr>
        <w:t>امر</w:t>
      </w:r>
      <w:r w:rsidRPr="007D7079">
        <w:rPr>
          <w:rFonts w:hint="cs"/>
          <w:rtl/>
        </w:rPr>
        <w:t>أة</w:t>
      </w:r>
      <w:r>
        <w:rPr>
          <w:rFonts w:hint="cs"/>
          <w:rtl/>
        </w:rPr>
        <w:t>ٍ (واحدة) في جميع أ</w:t>
      </w:r>
      <w:r w:rsidRPr="007D7079">
        <w:rPr>
          <w:rFonts w:hint="cs"/>
          <w:rtl/>
        </w:rPr>
        <w:t xml:space="preserve">نحاء العالم، بل </w:t>
      </w:r>
      <w:r>
        <w:rPr>
          <w:rFonts w:hint="cs"/>
          <w:rtl/>
        </w:rPr>
        <w:t xml:space="preserve">تتفاوت النسوة </w:t>
      </w:r>
      <w:r w:rsidRPr="007D7079">
        <w:rPr>
          <w:rFonts w:hint="cs"/>
          <w:rtl/>
        </w:rPr>
        <w:t xml:space="preserve">حسب </w:t>
      </w:r>
      <w:r>
        <w:rPr>
          <w:rFonts w:hint="cs"/>
          <w:rtl/>
        </w:rPr>
        <w:t>الطبقة</w:t>
      </w:r>
      <w:r w:rsidRPr="007D7079">
        <w:rPr>
          <w:rFonts w:hint="cs"/>
          <w:rtl/>
        </w:rPr>
        <w:t xml:space="preserve">، </w:t>
      </w:r>
      <w:r>
        <w:rPr>
          <w:rFonts w:hint="cs"/>
          <w:rtl/>
        </w:rPr>
        <w:t>و</w:t>
      </w:r>
      <w:r w:rsidRPr="007D7079">
        <w:rPr>
          <w:rFonts w:hint="cs"/>
          <w:rtl/>
        </w:rPr>
        <w:t>العرق</w:t>
      </w:r>
      <w:r>
        <w:rPr>
          <w:rFonts w:hint="cs"/>
          <w:rtl/>
        </w:rPr>
        <w:t>،</w:t>
      </w:r>
      <w:r w:rsidRPr="007D7079">
        <w:rPr>
          <w:rFonts w:hint="cs"/>
          <w:rtl/>
        </w:rPr>
        <w:t xml:space="preserve"> </w:t>
      </w:r>
      <w:r>
        <w:rPr>
          <w:rFonts w:hint="cs"/>
          <w:rtl/>
        </w:rPr>
        <w:t>و</w:t>
      </w:r>
      <w:r w:rsidRPr="007D7079">
        <w:rPr>
          <w:rFonts w:hint="cs"/>
          <w:rtl/>
        </w:rPr>
        <w:t>القومي</w:t>
      </w:r>
      <w:r>
        <w:rPr>
          <w:rFonts w:hint="cs"/>
          <w:rtl/>
        </w:rPr>
        <w:t>ّ</w:t>
      </w:r>
      <w:r w:rsidRPr="007D7079">
        <w:rPr>
          <w:rFonts w:hint="cs"/>
          <w:rtl/>
        </w:rPr>
        <w:t xml:space="preserve">ة، </w:t>
      </w:r>
      <w:r>
        <w:rPr>
          <w:rFonts w:hint="cs"/>
          <w:rtl/>
        </w:rPr>
        <w:t>و</w:t>
      </w:r>
      <w:r w:rsidRPr="007D7079">
        <w:rPr>
          <w:rFonts w:hint="cs"/>
          <w:rtl/>
        </w:rPr>
        <w:t>نوع العمل</w:t>
      </w:r>
      <w:r>
        <w:rPr>
          <w:rFonts w:hint="cs"/>
          <w:rtl/>
        </w:rPr>
        <w:t>،</w:t>
      </w:r>
      <w:r w:rsidRPr="007D7079">
        <w:rPr>
          <w:rFonts w:hint="cs"/>
          <w:rtl/>
        </w:rPr>
        <w:t xml:space="preserve"> والجغرافي</w:t>
      </w:r>
      <w:r>
        <w:rPr>
          <w:rFonts w:hint="cs"/>
          <w:rtl/>
        </w:rPr>
        <w:t>ا،</w:t>
      </w:r>
      <w:r w:rsidRPr="007D7079">
        <w:rPr>
          <w:rFonts w:hint="cs"/>
          <w:rtl/>
        </w:rPr>
        <w:t xml:space="preserve"> فالدور ال</w:t>
      </w:r>
      <w:r>
        <w:rPr>
          <w:rFonts w:hint="cs"/>
          <w:rtl/>
        </w:rPr>
        <w:t>اجتماع</w:t>
      </w:r>
      <w:r w:rsidRPr="007D7079">
        <w:rPr>
          <w:rFonts w:hint="cs"/>
          <w:rtl/>
        </w:rPr>
        <w:t xml:space="preserve">ي </w:t>
      </w:r>
      <w:r>
        <w:rPr>
          <w:rFonts w:hint="cs"/>
          <w:rtl/>
        </w:rPr>
        <w:t xml:space="preserve">للمرأة البيضاء </w:t>
      </w:r>
      <w:r w:rsidRPr="007D7079">
        <w:rPr>
          <w:rFonts w:hint="cs"/>
          <w:rtl/>
        </w:rPr>
        <w:t>في المجتمعات الغربي</w:t>
      </w:r>
      <w:r>
        <w:rPr>
          <w:rFonts w:hint="cs"/>
          <w:rtl/>
        </w:rPr>
        <w:t>ّ</w:t>
      </w:r>
      <w:r w:rsidRPr="007D7079">
        <w:rPr>
          <w:rFonts w:hint="cs"/>
          <w:rtl/>
        </w:rPr>
        <w:t xml:space="preserve">ة </w:t>
      </w:r>
      <w:r>
        <w:rPr>
          <w:rFonts w:hint="cs"/>
          <w:rtl/>
        </w:rPr>
        <w:t>مثلاً</w:t>
      </w:r>
      <w:r w:rsidRPr="007D7079">
        <w:rPr>
          <w:rFonts w:hint="cs"/>
          <w:rtl/>
        </w:rPr>
        <w:t xml:space="preserve"> يختلف عن</w:t>
      </w:r>
      <w:r>
        <w:rPr>
          <w:rFonts w:hint="cs"/>
          <w:rtl/>
        </w:rPr>
        <w:t>ه لدى سوداء البشرة، ويرى هؤلاء أ</w:t>
      </w:r>
      <w:r w:rsidRPr="007D7079">
        <w:rPr>
          <w:rFonts w:hint="cs"/>
          <w:rtl/>
        </w:rPr>
        <w:t>ن</w:t>
      </w:r>
      <w:r>
        <w:rPr>
          <w:rFonts w:hint="cs"/>
          <w:rtl/>
        </w:rPr>
        <w:t>ّ</w:t>
      </w:r>
      <w:r w:rsidRPr="007D7079">
        <w:rPr>
          <w:rFonts w:hint="cs"/>
          <w:rtl/>
        </w:rPr>
        <w:t xml:space="preserve"> </w:t>
      </w:r>
      <w:r>
        <w:rPr>
          <w:rFonts w:hint="cs"/>
          <w:rtl/>
        </w:rPr>
        <w:t xml:space="preserve">تصوّر </w:t>
      </w:r>
      <w:r w:rsidRPr="007D7079">
        <w:rPr>
          <w:rFonts w:hint="cs"/>
          <w:rtl/>
        </w:rPr>
        <w:t>النساء على أنهن</w:t>
      </w:r>
      <w:r>
        <w:rPr>
          <w:rFonts w:hint="cs"/>
          <w:rtl/>
        </w:rPr>
        <w:t>ّ</w:t>
      </w:r>
      <w:r w:rsidRPr="007D7079">
        <w:rPr>
          <w:rFonts w:hint="cs"/>
          <w:rtl/>
        </w:rPr>
        <w:t xml:space="preserve"> يعشن ظروفا</w:t>
      </w:r>
      <w:r>
        <w:rPr>
          <w:rFonts w:hint="cs"/>
          <w:rtl/>
        </w:rPr>
        <w:t>ً</w:t>
      </w:r>
      <w:r w:rsidRPr="007D7079">
        <w:rPr>
          <w:rFonts w:hint="cs"/>
          <w:rtl/>
        </w:rPr>
        <w:t xml:space="preserve"> واحدة كانت نتائجه لصالح</w:t>
      </w:r>
      <w:r>
        <w:rPr>
          <w:rFonts w:hint="cs"/>
          <w:rtl/>
        </w:rPr>
        <w:t xml:space="preserve"> المرأة </w:t>
      </w:r>
      <w:r w:rsidRPr="007D7079">
        <w:rPr>
          <w:rFonts w:hint="cs"/>
          <w:rtl/>
        </w:rPr>
        <w:t xml:space="preserve">البيضاء </w:t>
      </w:r>
      <w:r>
        <w:rPr>
          <w:rFonts w:hint="cs"/>
          <w:rtl/>
        </w:rPr>
        <w:t xml:space="preserve">على أساس اعتبار حقوقها حقوقاً عالميّة، فقد عدّت </w:t>
      </w:r>
      <w:r w:rsidRPr="007D7079">
        <w:rPr>
          <w:rFonts w:hint="cs"/>
          <w:rtl/>
        </w:rPr>
        <w:t>ميول</w:t>
      </w:r>
      <w:r>
        <w:rPr>
          <w:rFonts w:hint="cs"/>
          <w:rtl/>
        </w:rPr>
        <w:t xml:space="preserve"> المرأة </w:t>
      </w:r>
      <w:r w:rsidRPr="007D7079">
        <w:rPr>
          <w:rFonts w:hint="cs"/>
          <w:rtl/>
        </w:rPr>
        <w:t xml:space="preserve">الغربية ذات البشرة البيضاء </w:t>
      </w:r>
      <w:r>
        <w:rPr>
          <w:rFonts w:hint="cs"/>
          <w:rtl/>
        </w:rPr>
        <w:t>المعيار</w:t>
      </w:r>
      <w:r w:rsidRPr="007D7079">
        <w:rPr>
          <w:rFonts w:hint="cs"/>
          <w:rtl/>
        </w:rPr>
        <w:t xml:space="preserve"> المناسب ل</w:t>
      </w:r>
      <w:r>
        <w:rPr>
          <w:rFonts w:hint="cs"/>
          <w:rtl/>
        </w:rPr>
        <w:t>تمام</w:t>
      </w:r>
      <w:r w:rsidRPr="007D7079">
        <w:rPr>
          <w:rFonts w:hint="cs"/>
          <w:rtl/>
        </w:rPr>
        <w:t xml:space="preserve"> التجم</w:t>
      </w:r>
      <w:r>
        <w:rPr>
          <w:rFonts w:hint="cs"/>
          <w:rtl/>
        </w:rPr>
        <w:t>ّ</w:t>
      </w:r>
      <w:r w:rsidRPr="007D7079">
        <w:rPr>
          <w:rFonts w:hint="cs"/>
          <w:rtl/>
        </w:rPr>
        <w:t>عات النسائية في جميع أنحاء العالم</w:t>
      </w:r>
      <w:r>
        <w:rPr>
          <w:rFonts w:hint="cs"/>
          <w:rtl/>
        </w:rPr>
        <w:t>،</w:t>
      </w:r>
      <w:r w:rsidRPr="007D7079">
        <w:rPr>
          <w:rFonts w:hint="cs"/>
          <w:rtl/>
        </w:rPr>
        <w:t xml:space="preserve"> دون ملاحظة الظروف الحياتية التي تعيشها سائر النساء.</w:t>
      </w:r>
    </w:p>
    <w:p w:rsidR="006E0FDB" w:rsidRDefault="006E0FDB" w:rsidP="009368DE">
      <w:pPr>
        <w:pStyle w:val="ac"/>
        <w:spacing w:line="199" w:lineRule="auto"/>
        <w:rPr>
          <w:rtl/>
        </w:rPr>
      </w:pPr>
      <w:r w:rsidRPr="007D7079">
        <w:rPr>
          <w:rFonts w:hint="cs"/>
          <w:rtl/>
        </w:rPr>
        <w:t>على أنصار الدفاع عن حقوق</w:t>
      </w:r>
      <w:r>
        <w:rPr>
          <w:rFonts w:hint="cs"/>
          <w:rtl/>
        </w:rPr>
        <w:t xml:space="preserve"> المرأة </w:t>
      </w:r>
      <w:r w:rsidRPr="007D7079">
        <w:rPr>
          <w:rFonts w:hint="cs"/>
          <w:rtl/>
        </w:rPr>
        <w:t xml:space="preserve">في إيران </w:t>
      </w:r>
      <w:r>
        <w:rPr>
          <w:rFonts w:hint="cs"/>
          <w:rtl/>
        </w:rPr>
        <w:t xml:space="preserve">أن يعرفوا </w:t>
      </w:r>
      <w:r w:rsidRPr="007D7079">
        <w:rPr>
          <w:rFonts w:hint="cs"/>
          <w:rtl/>
        </w:rPr>
        <w:t>أن</w:t>
      </w:r>
      <w:r>
        <w:rPr>
          <w:rFonts w:hint="cs"/>
          <w:rtl/>
        </w:rPr>
        <w:t>ّ</w:t>
      </w:r>
      <w:r w:rsidRPr="007D7079">
        <w:rPr>
          <w:rFonts w:hint="cs"/>
          <w:rtl/>
        </w:rPr>
        <w:t xml:space="preserve"> النظر بعين</w:t>
      </w:r>
      <w:r>
        <w:rPr>
          <w:rFonts w:hint="cs"/>
          <w:rtl/>
        </w:rPr>
        <w:t>ٍ</w:t>
      </w:r>
      <w:r w:rsidRPr="007D7079">
        <w:rPr>
          <w:rFonts w:hint="cs"/>
          <w:rtl/>
        </w:rPr>
        <w:t xml:space="preserve"> واحدة</w:t>
      </w:r>
      <w:r>
        <w:rPr>
          <w:rFonts w:hint="cs"/>
          <w:rtl/>
        </w:rPr>
        <w:t xml:space="preserve"> إلى </w:t>
      </w:r>
      <w:r w:rsidRPr="007D7079">
        <w:rPr>
          <w:rFonts w:hint="cs"/>
          <w:rtl/>
        </w:rPr>
        <w:t>جميع التجم</w:t>
      </w:r>
      <w:r>
        <w:rPr>
          <w:rFonts w:hint="cs"/>
          <w:rtl/>
        </w:rPr>
        <w:t>ّ</w:t>
      </w:r>
      <w:r w:rsidRPr="007D7079">
        <w:rPr>
          <w:rFonts w:hint="cs"/>
          <w:rtl/>
        </w:rPr>
        <w:t>عات النسائية واعتبار</w:t>
      </w:r>
      <w:r>
        <w:rPr>
          <w:rFonts w:hint="cs"/>
          <w:rtl/>
        </w:rPr>
        <w:t xml:space="preserve"> المرأة </w:t>
      </w:r>
      <w:r w:rsidRPr="007D7079">
        <w:rPr>
          <w:rFonts w:hint="cs"/>
          <w:rtl/>
        </w:rPr>
        <w:t>ذات ظروف موح</w:t>
      </w:r>
      <w:r>
        <w:rPr>
          <w:rFonts w:hint="cs"/>
          <w:rtl/>
        </w:rPr>
        <w:t>ّ</w:t>
      </w:r>
      <w:r w:rsidRPr="007D7079">
        <w:rPr>
          <w:rFonts w:hint="cs"/>
          <w:rtl/>
        </w:rPr>
        <w:t xml:space="preserve">دة </w:t>
      </w:r>
      <w:r>
        <w:rPr>
          <w:rFonts w:hint="cs"/>
          <w:rtl/>
        </w:rPr>
        <w:t>أمرٌ</w:t>
      </w:r>
      <w:r w:rsidRPr="007D7079">
        <w:rPr>
          <w:rFonts w:hint="cs"/>
          <w:rtl/>
        </w:rPr>
        <w:t xml:space="preserve"> له أهمي</w:t>
      </w:r>
      <w:r>
        <w:rPr>
          <w:rFonts w:hint="cs"/>
          <w:rtl/>
        </w:rPr>
        <w:t>ّ</w:t>
      </w:r>
      <w:r w:rsidRPr="007D7079">
        <w:rPr>
          <w:rFonts w:hint="cs"/>
          <w:rtl/>
        </w:rPr>
        <w:t>ته م</w:t>
      </w:r>
      <w:r>
        <w:rPr>
          <w:rFonts w:hint="cs"/>
          <w:rtl/>
        </w:rPr>
        <w:t>ن جهتين:</w:t>
      </w:r>
    </w:p>
    <w:p w:rsidR="006E0FDB" w:rsidRDefault="006E0FDB" w:rsidP="009368DE">
      <w:pPr>
        <w:pStyle w:val="ac"/>
        <w:spacing w:line="199" w:lineRule="auto"/>
        <w:rPr>
          <w:rtl/>
        </w:rPr>
      </w:pPr>
      <w:r w:rsidRPr="007D7079">
        <w:rPr>
          <w:rFonts w:hint="cs"/>
          <w:rtl/>
        </w:rPr>
        <w:t>أولا</w:t>
      </w:r>
      <w:r>
        <w:rPr>
          <w:rFonts w:hint="cs"/>
          <w:rtl/>
        </w:rPr>
        <w:t>ً</w:t>
      </w:r>
      <w:r w:rsidRPr="007D7079">
        <w:rPr>
          <w:rFonts w:hint="cs"/>
          <w:rtl/>
        </w:rPr>
        <w:t xml:space="preserve">: </w:t>
      </w:r>
      <w:r>
        <w:rPr>
          <w:rFonts w:hint="cs"/>
          <w:rtl/>
        </w:rPr>
        <w:t>إ</w:t>
      </w:r>
      <w:r w:rsidRPr="007D7079">
        <w:rPr>
          <w:rFonts w:hint="cs"/>
          <w:rtl/>
        </w:rPr>
        <w:t>ن</w:t>
      </w:r>
      <w:r>
        <w:rPr>
          <w:rFonts w:hint="cs"/>
          <w:rtl/>
        </w:rPr>
        <w:t>ّ</w:t>
      </w:r>
      <w:r w:rsidRPr="007D7079">
        <w:rPr>
          <w:rFonts w:hint="cs"/>
          <w:rtl/>
        </w:rPr>
        <w:t>ه نظرا</w:t>
      </w:r>
      <w:r>
        <w:rPr>
          <w:rFonts w:hint="cs"/>
          <w:rtl/>
        </w:rPr>
        <w:t>ً</w:t>
      </w:r>
      <w:r w:rsidRPr="007D7079">
        <w:rPr>
          <w:rFonts w:hint="cs"/>
          <w:rtl/>
        </w:rPr>
        <w:t xml:space="preserve"> للتعد</w:t>
      </w:r>
      <w:r>
        <w:rPr>
          <w:rFonts w:hint="cs"/>
          <w:rtl/>
        </w:rPr>
        <w:t>ّ</w:t>
      </w:r>
      <w:r w:rsidRPr="007D7079">
        <w:rPr>
          <w:rFonts w:hint="cs"/>
          <w:rtl/>
        </w:rPr>
        <w:t>د القومي واللساني والديني في إيران فإن ذلك لا يسمح</w:t>
      </w:r>
      <w:r>
        <w:rPr>
          <w:rFonts w:hint="cs"/>
          <w:rtl/>
        </w:rPr>
        <w:t xml:space="preserve"> بدرس</w:t>
      </w:r>
      <w:r w:rsidRPr="007D7079">
        <w:rPr>
          <w:rFonts w:hint="cs"/>
          <w:rtl/>
        </w:rPr>
        <w:t xml:space="preserve"> حقوق</w:t>
      </w:r>
      <w:r>
        <w:rPr>
          <w:rFonts w:hint="cs"/>
          <w:rtl/>
        </w:rPr>
        <w:t xml:space="preserve"> المرأة بوصفها حالةً واحدة؛</w:t>
      </w:r>
      <w:r w:rsidRPr="007D7079">
        <w:rPr>
          <w:rFonts w:hint="cs"/>
          <w:rtl/>
        </w:rPr>
        <w:t xml:space="preserve"> فمن المسلّم به أن دور</w:t>
      </w:r>
      <w:r>
        <w:rPr>
          <w:rFonts w:hint="cs"/>
          <w:rtl/>
        </w:rPr>
        <w:t xml:space="preserve">ها </w:t>
      </w:r>
      <w:r w:rsidRPr="007D7079">
        <w:rPr>
          <w:rFonts w:hint="cs"/>
          <w:rtl/>
        </w:rPr>
        <w:t>ي</w:t>
      </w:r>
      <w:r>
        <w:rPr>
          <w:rFonts w:hint="cs"/>
          <w:rtl/>
        </w:rPr>
        <w:t>ختلف</w:t>
      </w:r>
      <w:r w:rsidRPr="007D7079">
        <w:rPr>
          <w:rFonts w:hint="cs"/>
          <w:rtl/>
        </w:rPr>
        <w:t xml:space="preserve"> تبعا</w:t>
      </w:r>
      <w:r>
        <w:rPr>
          <w:rFonts w:hint="cs"/>
          <w:rtl/>
        </w:rPr>
        <w:t>ً</w:t>
      </w:r>
      <w:r w:rsidRPr="007D7079">
        <w:rPr>
          <w:rFonts w:hint="cs"/>
          <w:rtl/>
        </w:rPr>
        <w:t xml:space="preserve"> ل</w:t>
      </w:r>
      <w:r>
        <w:rPr>
          <w:rFonts w:hint="cs"/>
          <w:rtl/>
        </w:rPr>
        <w:t>اختلاف</w:t>
      </w:r>
      <w:r w:rsidRPr="007D7079">
        <w:rPr>
          <w:rFonts w:hint="cs"/>
          <w:rtl/>
        </w:rPr>
        <w:t xml:space="preserve"> الظروف التي تعيشها </w:t>
      </w:r>
      <w:r>
        <w:rPr>
          <w:rFonts w:hint="cs"/>
          <w:rtl/>
        </w:rPr>
        <w:t>كما أسلفنا</w:t>
      </w:r>
      <w:r w:rsidRPr="007D7079">
        <w:rPr>
          <w:rFonts w:hint="cs"/>
          <w:rtl/>
        </w:rPr>
        <w:t>.</w:t>
      </w:r>
    </w:p>
    <w:p w:rsidR="006E0FDB" w:rsidRDefault="006E0FDB" w:rsidP="009368DE">
      <w:pPr>
        <w:pStyle w:val="ac"/>
        <w:spacing w:line="199" w:lineRule="auto"/>
        <w:rPr>
          <w:rtl/>
        </w:rPr>
      </w:pPr>
      <w:r w:rsidRPr="007D7079">
        <w:rPr>
          <w:rFonts w:hint="cs"/>
          <w:rtl/>
        </w:rPr>
        <w:t>ثانيا</w:t>
      </w:r>
      <w:r>
        <w:rPr>
          <w:rFonts w:hint="cs"/>
          <w:rtl/>
        </w:rPr>
        <w:t>ً</w:t>
      </w:r>
      <w:r w:rsidRPr="007D7079">
        <w:rPr>
          <w:rFonts w:hint="cs"/>
          <w:rtl/>
        </w:rPr>
        <w:t>: من المسل</w:t>
      </w:r>
      <w:r>
        <w:rPr>
          <w:rFonts w:hint="cs"/>
          <w:rtl/>
        </w:rPr>
        <w:t>ّ</w:t>
      </w:r>
      <w:r w:rsidRPr="007D7079">
        <w:rPr>
          <w:rFonts w:hint="cs"/>
          <w:rtl/>
        </w:rPr>
        <w:t xml:space="preserve">م به </w:t>
      </w:r>
      <w:r>
        <w:rPr>
          <w:rFonts w:hint="cs"/>
          <w:rtl/>
        </w:rPr>
        <w:t xml:space="preserve">أيضاً </w:t>
      </w:r>
      <w:r w:rsidRPr="007D7079">
        <w:rPr>
          <w:rFonts w:hint="cs"/>
          <w:rtl/>
        </w:rPr>
        <w:t>أن إيران حيث كان</w:t>
      </w:r>
      <w:r>
        <w:rPr>
          <w:rFonts w:hint="cs"/>
          <w:rtl/>
        </w:rPr>
        <w:t>ت من الدول النامية فلا</w:t>
      </w:r>
      <w:r w:rsidRPr="007D7079">
        <w:rPr>
          <w:rFonts w:hint="cs"/>
          <w:rtl/>
        </w:rPr>
        <w:t>بدّ أن يكون دور</w:t>
      </w:r>
      <w:r>
        <w:rPr>
          <w:rFonts w:hint="cs"/>
          <w:rtl/>
        </w:rPr>
        <w:t xml:space="preserve"> المرأة </w:t>
      </w:r>
      <w:r w:rsidRPr="007D7079">
        <w:rPr>
          <w:rFonts w:hint="cs"/>
          <w:rtl/>
        </w:rPr>
        <w:t>فيها خاضعا</w:t>
      </w:r>
      <w:r>
        <w:rPr>
          <w:rFonts w:hint="cs"/>
          <w:rtl/>
        </w:rPr>
        <w:t>ً للتحوّل، والمرأة الإ</w:t>
      </w:r>
      <w:r w:rsidRPr="007D7079">
        <w:rPr>
          <w:rFonts w:hint="cs"/>
          <w:rtl/>
        </w:rPr>
        <w:t>يرانية اليوم يختلف دور</w:t>
      </w:r>
      <w:r>
        <w:rPr>
          <w:rFonts w:hint="cs"/>
          <w:rtl/>
        </w:rPr>
        <w:t>ها</w:t>
      </w:r>
      <w:r w:rsidRPr="007D7079">
        <w:rPr>
          <w:rFonts w:hint="cs"/>
          <w:rtl/>
        </w:rPr>
        <w:t xml:space="preserve"> وموقعه</w:t>
      </w:r>
      <w:r>
        <w:rPr>
          <w:rFonts w:hint="cs"/>
          <w:rtl/>
        </w:rPr>
        <w:t xml:space="preserve">ا </w:t>
      </w:r>
      <w:r w:rsidRPr="007D7079">
        <w:rPr>
          <w:rFonts w:hint="cs"/>
          <w:rtl/>
        </w:rPr>
        <w:t>تبعا</w:t>
      </w:r>
      <w:r>
        <w:rPr>
          <w:rFonts w:hint="cs"/>
          <w:rtl/>
        </w:rPr>
        <w:t>ً</w:t>
      </w:r>
      <w:r w:rsidRPr="007D7079">
        <w:rPr>
          <w:rFonts w:hint="cs"/>
          <w:rtl/>
        </w:rPr>
        <w:t xml:space="preserve"> للمدينة</w:t>
      </w:r>
      <w:r>
        <w:rPr>
          <w:rFonts w:hint="cs"/>
          <w:rtl/>
        </w:rPr>
        <w:t xml:space="preserve"> أو </w:t>
      </w:r>
      <w:r w:rsidRPr="007D7079">
        <w:rPr>
          <w:rFonts w:hint="cs"/>
          <w:rtl/>
        </w:rPr>
        <w:t>القرية التي تقيم فيها والعمل الذي تلتزم</w:t>
      </w:r>
      <w:r>
        <w:rPr>
          <w:rFonts w:hint="cs"/>
          <w:rtl/>
        </w:rPr>
        <w:t>ه،</w:t>
      </w:r>
      <w:r w:rsidRPr="007D7079">
        <w:rPr>
          <w:rFonts w:hint="cs"/>
          <w:rtl/>
        </w:rPr>
        <w:t xml:space="preserve"> لذا</w:t>
      </w:r>
      <w:r>
        <w:rPr>
          <w:rFonts w:hint="cs"/>
          <w:rtl/>
        </w:rPr>
        <w:t xml:space="preserve"> لابد </w:t>
      </w:r>
      <w:r w:rsidRPr="007D7079">
        <w:rPr>
          <w:rFonts w:hint="cs"/>
          <w:rtl/>
        </w:rPr>
        <w:t xml:space="preserve">من ملاحظة </w:t>
      </w:r>
      <w:r>
        <w:rPr>
          <w:rFonts w:hint="cs"/>
          <w:rtl/>
        </w:rPr>
        <w:t xml:space="preserve">خصوصيّات </w:t>
      </w:r>
      <w:r w:rsidRPr="007D7079">
        <w:rPr>
          <w:rFonts w:hint="cs"/>
          <w:rtl/>
        </w:rPr>
        <w:t>كل</w:t>
      </w:r>
      <w:r>
        <w:rPr>
          <w:rFonts w:hint="cs"/>
          <w:rtl/>
        </w:rPr>
        <w:t>ّ</w:t>
      </w:r>
      <w:r w:rsidRPr="007D7079">
        <w:rPr>
          <w:rFonts w:hint="cs"/>
          <w:rtl/>
        </w:rPr>
        <w:t xml:space="preserve"> تجم</w:t>
      </w:r>
      <w:r>
        <w:rPr>
          <w:rFonts w:hint="cs"/>
          <w:rtl/>
        </w:rPr>
        <w:t>ّ</w:t>
      </w:r>
      <w:r w:rsidRPr="007D7079">
        <w:rPr>
          <w:rFonts w:hint="cs"/>
          <w:rtl/>
        </w:rPr>
        <w:t xml:space="preserve">ع نسائي، </w:t>
      </w:r>
      <w:r>
        <w:rPr>
          <w:rFonts w:hint="cs"/>
          <w:rtl/>
        </w:rPr>
        <w:t>مما يُلزم ب</w:t>
      </w:r>
      <w:r w:rsidRPr="007D7079">
        <w:rPr>
          <w:rFonts w:hint="cs"/>
          <w:rtl/>
        </w:rPr>
        <w:t xml:space="preserve">دراسات </w:t>
      </w:r>
      <w:r>
        <w:rPr>
          <w:rFonts w:hint="cs"/>
          <w:rtl/>
        </w:rPr>
        <w:t>اجتماع</w:t>
      </w:r>
      <w:r w:rsidRPr="007D7079">
        <w:rPr>
          <w:rFonts w:hint="cs"/>
          <w:rtl/>
        </w:rPr>
        <w:t xml:space="preserve">ية </w:t>
      </w:r>
      <w:r>
        <w:rPr>
          <w:rFonts w:hint="cs"/>
          <w:rtl/>
        </w:rPr>
        <w:t xml:space="preserve">في هذا الصدد </w:t>
      </w:r>
      <w:r w:rsidRPr="007D7079">
        <w:rPr>
          <w:rFonts w:hint="cs"/>
          <w:rtl/>
        </w:rPr>
        <w:t>للتوصل</w:t>
      </w:r>
      <w:r>
        <w:rPr>
          <w:rFonts w:hint="cs"/>
          <w:rtl/>
        </w:rPr>
        <w:t xml:space="preserve"> إلى الحلول</w:t>
      </w:r>
      <w:r w:rsidRPr="007D7079">
        <w:rPr>
          <w:rFonts w:hint="cs"/>
          <w:rtl/>
        </w:rPr>
        <w:t xml:space="preserve"> </w:t>
      </w:r>
      <w:r>
        <w:rPr>
          <w:rFonts w:hint="cs"/>
          <w:rtl/>
        </w:rPr>
        <w:t>ال</w:t>
      </w:r>
      <w:r w:rsidRPr="007D7079">
        <w:rPr>
          <w:rFonts w:hint="cs"/>
          <w:rtl/>
        </w:rPr>
        <w:t>مناسبة لذلك</w:t>
      </w:r>
      <w:r>
        <w:rPr>
          <w:rFonts w:hint="cs"/>
          <w:rtl/>
        </w:rPr>
        <w:t>،</w:t>
      </w:r>
      <w:r w:rsidRPr="007D7079">
        <w:rPr>
          <w:rFonts w:hint="cs"/>
          <w:rtl/>
        </w:rPr>
        <w:t xml:space="preserve"> </w:t>
      </w:r>
      <w:r>
        <w:rPr>
          <w:rFonts w:hint="cs"/>
          <w:rtl/>
        </w:rPr>
        <w:t>وما يلائم ظروف ا</w:t>
      </w:r>
      <w:r w:rsidRPr="007D7079">
        <w:rPr>
          <w:rFonts w:hint="cs"/>
          <w:rtl/>
        </w:rPr>
        <w:t>لمجتمع الإيراني.</w:t>
      </w:r>
    </w:p>
    <w:p w:rsidR="006E0FDB" w:rsidRPr="009368DE" w:rsidRDefault="006E0FDB" w:rsidP="009368DE">
      <w:pPr>
        <w:pStyle w:val="afffffc"/>
        <w:rPr>
          <w:sz w:val="20"/>
          <w:szCs w:val="18"/>
          <w:rtl/>
        </w:rPr>
      </w:pPr>
    </w:p>
    <w:p w:rsidR="006E0FDB" w:rsidRPr="00D457EB" w:rsidRDefault="006E0FDB" w:rsidP="006E0FDB">
      <w:pPr>
        <w:pStyle w:val="1"/>
        <w:rPr>
          <w:rtl/>
        </w:rPr>
      </w:pPr>
      <w:bookmarkStart w:id="532" w:name="_Toc169521456"/>
      <w:bookmarkStart w:id="533" w:name="_Toc275128226"/>
      <w:r w:rsidRPr="00D457EB">
        <w:rPr>
          <w:rFonts w:hint="cs"/>
          <w:rtl/>
        </w:rPr>
        <w:t>نظرية التشابه التام بين الجنسين</w:t>
      </w:r>
      <w:bookmarkEnd w:id="532"/>
      <w:bookmarkEnd w:id="533"/>
    </w:p>
    <w:p w:rsidR="006E0FDB" w:rsidRDefault="006E0FDB" w:rsidP="006E0FDB">
      <w:pPr>
        <w:pStyle w:val="ac"/>
        <w:rPr>
          <w:rtl/>
        </w:rPr>
      </w:pPr>
      <w:r w:rsidRPr="00CD2E72">
        <w:rPr>
          <w:rFonts w:hint="cs"/>
          <w:bCs/>
          <w:rtl/>
        </w:rPr>
        <w:t>4</w:t>
      </w:r>
      <w:r>
        <w:rPr>
          <w:rFonts w:hint="cs"/>
          <w:bCs/>
          <w:rtl/>
        </w:rPr>
        <w:t xml:space="preserve"> ـ</w:t>
      </w:r>
      <w:r w:rsidRPr="00CD2E72">
        <w:rPr>
          <w:rFonts w:hint="cs"/>
          <w:bCs/>
          <w:rtl/>
        </w:rPr>
        <w:t xml:space="preserve"> التشابه التامّ بين الرجل والمرأة:</w:t>
      </w:r>
      <w:r w:rsidRPr="007D7079">
        <w:rPr>
          <w:rFonts w:hint="cs"/>
          <w:rtl/>
        </w:rPr>
        <w:t xml:space="preserve"> الشعار الدائم الذي تحمله النسوي</w:t>
      </w:r>
      <w:r>
        <w:rPr>
          <w:rFonts w:hint="cs"/>
          <w:rtl/>
        </w:rPr>
        <w:t>ّ</w:t>
      </w:r>
      <w:r w:rsidRPr="007D7079">
        <w:rPr>
          <w:rFonts w:hint="cs"/>
          <w:rtl/>
        </w:rPr>
        <w:t xml:space="preserve">ة هو التشابه </w:t>
      </w:r>
      <w:r w:rsidRPr="007D7079">
        <w:rPr>
          <w:rFonts w:hint="cs"/>
          <w:rtl/>
        </w:rPr>
        <w:lastRenderedPageBreak/>
        <w:t>التام</w:t>
      </w:r>
      <w:r>
        <w:rPr>
          <w:rFonts w:hint="cs"/>
          <w:rtl/>
        </w:rPr>
        <w:t>ّ</w:t>
      </w:r>
      <w:r w:rsidRPr="007D7079">
        <w:rPr>
          <w:rFonts w:hint="cs"/>
          <w:rtl/>
        </w:rPr>
        <w:t xml:space="preserve"> في ال</w:t>
      </w:r>
      <w:r>
        <w:rPr>
          <w:rFonts w:hint="cs"/>
          <w:rtl/>
        </w:rPr>
        <w:t>مكانة والحقوق بين الرجل والمرأة؛</w:t>
      </w:r>
      <w:r w:rsidRPr="007D7079">
        <w:rPr>
          <w:rFonts w:hint="cs"/>
          <w:rtl/>
        </w:rPr>
        <w:t xml:space="preserve"> لذا تسعى اتجاهات</w:t>
      </w:r>
      <w:r>
        <w:rPr>
          <w:rFonts w:hint="cs"/>
          <w:rtl/>
        </w:rPr>
        <w:t xml:space="preserve">ها جميعاً إلى </w:t>
      </w:r>
      <w:r w:rsidRPr="007D7079">
        <w:rPr>
          <w:rFonts w:hint="cs"/>
          <w:rtl/>
        </w:rPr>
        <w:t>بذل جهد</w:t>
      </w:r>
      <w:r>
        <w:rPr>
          <w:rFonts w:hint="cs"/>
          <w:rtl/>
        </w:rPr>
        <w:t>ٍ</w:t>
      </w:r>
      <w:r w:rsidRPr="007D7079">
        <w:rPr>
          <w:rFonts w:hint="cs"/>
          <w:rtl/>
        </w:rPr>
        <w:t xml:space="preserve"> عملي </w:t>
      </w:r>
      <w:r>
        <w:rPr>
          <w:rFonts w:hint="cs"/>
          <w:rtl/>
        </w:rPr>
        <w:t>وعلمي</w:t>
      </w:r>
      <w:r w:rsidRPr="007D7079">
        <w:rPr>
          <w:rFonts w:hint="cs"/>
          <w:rtl/>
        </w:rPr>
        <w:t xml:space="preserve"> </w:t>
      </w:r>
      <w:r>
        <w:rPr>
          <w:rFonts w:hint="cs"/>
          <w:rtl/>
        </w:rPr>
        <w:t>لل</w:t>
      </w:r>
      <w:r w:rsidRPr="007D7079">
        <w:rPr>
          <w:rFonts w:hint="cs"/>
          <w:rtl/>
        </w:rPr>
        <w:t>وصول</w:t>
      </w:r>
      <w:r>
        <w:rPr>
          <w:rFonts w:hint="cs"/>
          <w:rtl/>
        </w:rPr>
        <w:t xml:space="preserve"> إلى </w:t>
      </w:r>
      <w:r w:rsidRPr="007D7079">
        <w:rPr>
          <w:rFonts w:hint="cs"/>
          <w:rtl/>
        </w:rPr>
        <w:t xml:space="preserve">حقوق متشابهة بين الرجل والمرأة، ويرى </w:t>
      </w:r>
      <w:r>
        <w:rPr>
          <w:rFonts w:hint="cs"/>
          <w:rtl/>
        </w:rPr>
        <w:t>أنصار</w:t>
      </w:r>
      <w:r w:rsidRPr="007D7079">
        <w:rPr>
          <w:rFonts w:hint="cs"/>
          <w:rtl/>
        </w:rPr>
        <w:t xml:space="preserve"> </w:t>
      </w:r>
      <w:r>
        <w:rPr>
          <w:rFonts w:hint="cs"/>
          <w:rtl/>
        </w:rPr>
        <w:t>النسويّة</w:t>
      </w:r>
      <w:r w:rsidRPr="007D7079">
        <w:rPr>
          <w:rFonts w:hint="cs"/>
          <w:rtl/>
        </w:rPr>
        <w:t xml:space="preserve"> ضرورة تغيير</w:t>
      </w:r>
      <w:r>
        <w:rPr>
          <w:rFonts w:hint="cs"/>
          <w:rtl/>
        </w:rPr>
        <w:t xml:space="preserve"> </w:t>
      </w:r>
      <w:r w:rsidRPr="007D7079">
        <w:rPr>
          <w:rFonts w:hint="cs"/>
          <w:rtl/>
        </w:rPr>
        <w:t>نظام القيم ونظام التعامل المختلف بين الرجل والمرأة</w:t>
      </w:r>
      <w:r>
        <w:rPr>
          <w:rFonts w:hint="cs"/>
          <w:rtl/>
        </w:rPr>
        <w:t>،</w:t>
      </w:r>
      <w:r w:rsidRPr="007D7079">
        <w:rPr>
          <w:rFonts w:hint="cs"/>
          <w:rtl/>
        </w:rPr>
        <w:t xml:space="preserve"> و</w:t>
      </w:r>
      <w:r>
        <w:rPr>
          <w:rFonts w:hint="cs"/>
          <w:rtl/>
        </w:rPr>
        <w:t>است</w:t>
      </w:r>
      <w:r w:rsidRPr="007D7079">
        <w:rPr>
          <w:rFonts w:hint="cs"/>
          <w:rtl/>
        </w:rPr>
        <w:t>بداله</w:t>
      </w:r>
      <w:r>
        <w:rPr>
          <w:rFonts w:hint="cs"/>
          <w:rtl/>
        </w:rPr>
        <w:t xml:space="preserve"> بنظام معياريّة الإنسان لا الذكورة أو ال</w:t>
      </w:r>
      <w:r w:rsidRPr="007D7079">
        <w:rPr>
          <w:rFonts w:hint="cs"/>
          <w:rtl/>
        </w:rPr>
        <w:t>أن</w:t>
      </w:r>
      <w:r>
        <w:rPr>
          <w:rFonts w:hint="cs"/>
          <w:rtl/>
        </w:rPr>
        <w:t>و</w:t>
      </w:r>
      <w:r w:rsidRPr="007D7079">
        <w:rPr>
          <w:rFonts w:hint="cs"/>
          <w:rtl/>
        </w:rPr>
        <w:t>ث</w:t>
      </w:r>
      <w:r>
        <w:rPr>
          <w:rFonts w:hint="cs"/>
          <w:rtl/>
        </w:rPr>
        <w:t>ة،</w:t>
      </w:r>
      <w:r w:rsidRPr="007D7079">
        <w:rPr>
          <w:rFonts w:hint="cs"/>
          <w:rtl/>
        </w:rPr>
        <w:t xml:space="preserve"> </w:t>
      </w:r>
      <w:r>
        <w:rPr>
          <w:rFonts w:hint="cs"/>
          <w:rtl/>
        </w:rPr>
        <w:t xml:space="preserve">فصورة الرجل في </w:t>
      </w:r>
      <w:r w:rsidRPr="007D7079">
        <w:rPr>
          <w:rFonts w:hint="cs"/>
          <w:rtl/>
        </w:rPr>
        <w:t xml:space="preserve">النظام الجنسي تختلف عن </w:t>
      </w:r>
      <w:r>
        <w:rPr>
          <w:rFonts w:hint="cs"/>
          <w:rtl/>
        </w:rPr>
        <w:t>صورة المرأة</w:t>
      </w:r>
      <w:r w:rsidRPr="007D7079">
        <w:rPr>
          <w:rFonts w:hint="cs"/>
          <w:rtl/>
        </w:rPr>
        <w:t>، لذا يُنظر</w:t>
      </w:r>
      <w:r>
        <w:rPr>
          <w:rFonts w:hint="cs"/>
          <w:rtl/>
        </w:rPr>
        <w:t xml:space="preserve"> إليها ذات سماتٍ من </w:t>
      </w:r>
      <w:r w:rsidRPr="007D7079">
        <w:rPr>
          <w:rFonts w:hint="cs"/>
          <w:rtl/>
        </w:rPr>
        <w:t>العاطفة والطاعة والوفاء</w:t>
      </w:r>
      <w:r>
        <w:rPr>
          <w:rFonts w:hint="cs"/>
          <w:rtl/>
        </w:rPr>
        <w:t>،</w:t>
      </w:r>
      <w:r w:rsidRPr="007D7079">
        <w:rPr>
          <w:rFonts w:hint="cs"/>
          <w:rtl/>
        </w:rPr>
        <w:t xml:space="preserve"> </w:t>
      </w:r>
      <w:r>
        <w:rPr>
          <w:rFonts w:hint="cs"/>
          <w:rtl/>
        </w:rPr>
        <w:t>أ</w:t>
      </w:r>
      <w:r w:rsidRPr="007D7079">
        <w:rPr>
          <w:rFonts w:hint="cs"/>
          <w:rtl/>
        </w:rPr>
        <w:t>م</w:t>
      </w:r>
      <w:r>
        <w:rPr>
          <w:rFonts w:hint="cs"/>
          <w:rtl/>
        </w:rPr>
        <w:t>ّ</w:t>
      </w:r>
      <w:r w:rsidRPr="007D7079">
        <w:rPr>
          <w:rFonts w:hint="cs"/>
          <w:rtl/>
        </w:rPr>
        <w:t>ا الرجل ف</w:t>
      </w:r>
      <w:r>
        <w:rPr>
          <w:rFonts w:hint="cs"/>
          <w:rtl/>
        </w:rPr>
        <w:t>هو</w:t>
      </w:r>
      <w:r w:rsidRPr="007D7079">
        <w:rPr>
          <w:rFonts w:hint="cs"/>
          <w:rtl/>
        </w:rPr>
        <w:t xml:space="preserve"> </w:t>
      </w:r>
      <w:r>
        <w:rPr>
          <w:rFonts w:hint="cs"/>
          <w:rtl/>
        </w:rPr>
        <w:t xml:space="preserve">هنا </w:t>
      </w:r>
      <w:r w:rsidRPr="007D7079">
        <w:rPr>
          <w:rFonts w:hint="cs"/>
          <w:rtl/>
        </w:rPr>
        <w:t>قوي</w:t>
      </w:r>
      <w:r>
        <w:rPr>
          <w:rFonts w:hint="cs"/>
          <w:rtl/>
        </w:rPr>
        <w:t>ّ،</w:t>
      </w:r>
      <w:r w:rsidRPr="007D7079">
        <w:rPr>
          <w:rFonts w:hint="cs"/>
          <w:rtl/>
        </w:rPr>
        <w:t xml:space="preserve"> خشن</w:t>
      </w:r>
      <w:r>
        <w:rPr>
          <w:rFonts w:hint="cs"/>
          <w:rtl/>
        </w:rPr>
        <w:t>،</w:t>
      </w:r>
      <w:r w:rsidRPr="007D7079">
        <w:rPr>
          <w:rFonts w:hint="cs"/>
          <w:rtl/>
        </w:rPr>
        <w:t xml:space="preserve"> قهّار</w:t>
      </w:r>
      <w:r>
        <w:rPr>
          <w:rFonts w:hint="cs"/>
          <w:rtl/>
        </w:rPr>
        <w:t>،</w:t>
      </w:r>
      <w:r w:rsidRPr="007D7079">
        <w:rPr>
          <w:rFonts w:hint="cs"/>
          <w:rtl/>
        </w:rPr>
        <w:t xml:space="preserve"> عاقل</w:t>
      </w:r>
      <w:r>
        <w:rPr>
          <w:rFonts w:hint="cs"/>
          <w:rtl/>
        </w:rPr>
        <w:t>،</w:t>
      </w:r>
      <w:r w:rsidRPr="007D7079">
        <w:rPr>
          <w:rFonts w:hint="cs"/>
          <w:rtl/>
        </w:rPr>
        <w:t xml:space="preserve"> </w:t>
      </w:r>
      <w:r>
        <w:rPr>
          <w:rFonts w:hint="cs"/>
          <w:rtl/>
        </w:rPr>
        <w:t>ذو</w:t>
      </w:r>
      <w:r w:rsidRPr="007D7079">
        <w:rPr>
          <w:rFonts w:hint="cs"/>
          <w:rtl/>
        </w:rPr>
        <w:t xml:space="preserve"> قدرة</w:t>
      </w:r>
      <w:r>
        <w:rPr>
          <w:rFonts w:hint="cs"/>
          <w:rtl/>
        </w:rPr>
        <w:t>ٍ على الابتكار.</w:t>
      </w:r>
    </w:p>
    <w:p w:rsidR="006E0FDB" w:rsidRPr="007D7079" w:rsidRDefault="006E0FDB" w:rsidP="009368DE">
      <w:pPr>
        <w:pStyle w:val="ac"/>
        <w:spacing w:line="206" w:lineRule="auto"/>
        <w:rPr>
          <w:rtl/>
        </w:rPr>
      </w:pPr>
      <w:r>
        <w:rPr>
          <w:rFonts w:hint="cs"/>
          <w:rtl/>
        </w:rPr>
        <w:t>أ</w:t>
      </w:r>
      <w:r w:rsidRPr="007D7079">
        <w:rPr>
          <w:rFonts w:hint="cs"/>
          <w:rtl/>
        </w:rPr>
        <w:t>م</w:t>
      </w:r>
      <w:r>
        <w:rPr>
          <w:rFonts w:hint="cs"/>
          <w:rtl/>
        </w:rPr>
        <w:t>ّ</w:t>
      </w:r>
      <w:r w:rsidRPr="007D7079">
        <w:rPr>
          <w:rFonts w:hint="cs"/>
          <w:rtl/>
        </w:rPr>
        <w:t>ا المجتمع الجديد</w:t>
      </w:r>
      <w:r>
        <w:rPr>
          <w:rFonts w:hint="cs"/>
          <w:rtl/>
        </w:rPr>
        <w:t xml:space="preserve"> أو </w:t>
      </w:r>
      <w:r w:rsidRPr="007D7079">
        <w:rPr>
          <w:rFonts w:hint="cs"/>
          <w:rtl/>
        </w:rPr>
        <w:t>الخنثى (</w:t>
      </w:r>
      <w:r w:rsidRPr="007D7079">
        <w:t>Androcentric</w:t>
      </w:r>
      <w:r w:rsidRPr="007D7079">
        <w:rPr>
          <w:rFonts w:hint="cs"/>
          <w:rtl/>
        </w:rPr>
        <w:t>)</w:t>
      </w:r>
      <w:r>
        <w:rPr>
          <w:rFonts w:hint="cs"/>
          <w:rtl/>
        </w:rPr>
        <w:t>،</w:t>
      </w:r>
      <w:r w:rsidRPr="007D7079">
        <w:rPr>
          <w:rFonts w:hint="cs"/>
          <w:rtl/>
        </w:rPr>
        <w:t xml:space="preserve"> </w:t>
      </w:r>
      <w:r>
        <w:rPr>
          <w:rFonts w:hint="cs"/>
          <w:rtl/>
        </w:rPr>
        <w:t>الخاضع ـ إ</w:t>
      </w:r>
      <w:r w:rsidRPr="007D7079">
        <w:rPr>
          <w:rFonts w:hint="cs"/>
          <w:rtl/>
        </w:rPr>
        <w:t xml:space="preserve">لى حدّ كبير </w:t>
      </w:r>
      <w:r>
        <w:rPr>
          <w:rFonts w:hint="cs"/>
          <w:rtl/>
        </w:rPr>
        <w:t xml:space="preserve">ـ </w:t>
      </w:r>
      <w:r w:rsidRPr="007D7079">
        <w:rPr>
          <w:rFonts w:hint="cs"/>
          <w:rtl/>
        </w:rPr>
        <w:t>لتأثير</w:t>
      </w:r>
      <w:r>
        <w:rPr>
          <w:rFonts w:hint="cs"/>
          <w:rtl/>
        </w:rPr>
        <w:t xml:space="preserve"> الاتجاهات </w:t>
      </w:r>
      <w:r w:rsidRPr="007D7079">
        <w:rPr>
          <w:rFonts w:hint="cs"/>
          <w:rtl/>
        </w:rPr>
        <w:t>النسوي</w:t>
      </w:r>
      <w:r>
        <w:rPr>
          <w:rFonts w:hint="cs"/>
          <w:rtl/>
        </w:rPr>
        <w:t>ة،</w:t>
      </w:r>
      <w:r w:rsidRPr="007D7079">
        <w:rPr>
          <w:rFonts w:hint="cs"/>
          <w:rtl/>
        </w:rPr>
        <w:t xml:space="preserve"> ف</w:t>
      </w:r>
      <w:r>
        <w:rPr>
          <w:rFonts w:hint="cs"/>
          <w:rtl/>
        </w:rPr>
        <w:t xml:space="preserve">هو </w:t>
      </w:r>
      <w:r w:rsidRPr="007D7079">
        <w:rPr>
          <w:rFonts w:hint="cs"/>
          <w:rtl/>
        </w:rPr>
        <w:t xml:space="preserve">يرفض هذا التقسيم، ويرى </w:t>
      </w:r>
      <w:r>
        <w:rPr>
          <w:rFonts w:hint="cs"/>
          <w:rtl/>
        </w:rPr>
        <w:t xml:space="preserve">عبثيّة الحديث </w:t>
      </w:r>
      <w:r w:rsidRPr="007D7079">
        <w:rPr>
          <w:rFonts w:hint="cs"/>
          <w:rtl/>
        </w:rPr>
        <w:t xml:space="preserve">عن </w:t>
      </w:r>
      <w:r>
        <w:rPr>
          <w:rFonts w:hint="cs"/>
          <w:rtl/>
        </w:rPr>
        <w:t>اختلاف بين شخصيّتي:</w:t>
      </w:r>
      <w:r w:rsidRPr="007D7079">
        <w:rPr>
          <w:rFonts w:hint="cs"/>
          <w:rtl/>
        </w:rPr>
        <w:t xml:space="preserve"> الرجل</w:t>
      </w:r>
      <w:r>
        <w:rPr>
          <w:rFonts w:hint="cs"/>
          <w:rtl/>
        </w:rPr>
        <w:t xml:space="preserve"> و</w:t>
      </w:r>
      <w:r w:rsidRPr="007D7079">
        <w:rPr>
          <w:rFonts w:hint="cs"/>
          <w:rtl/>
        </w:rPr>
        <w:t xml:space="preserve">المرأة، </w:t>
      </w:r>
      <w:r>
        <w:rPr>
          <w:rFonts w:hint="cs"/>
          <w:rtl/>
        </w:rPr>
        <w:t xml:space="preserve">ممّا يعني ضرورة فهمهما بما يرجعهما إلى صورة </w:t>
      </w:r>
      <w:r w:rsidRPr="007D7079">
        <w:rPr>
          <w:rFonts w:hint="cs"/>
          <w:rtl/>
        </w:rPr>
        <w:t>ال</w:t>
      </w:r>
      <w:r>
        <w:rPr>
          <w:rFonts w:hint="cs"/>
          <w:rtl/>
        </w:rPr>
        <w:t>إنسان</w:t>
      </w:r>
      <w:r w:rsidRPr="007D7079">
        <w:rPr>
          <w:rFonts w:hint="cs"/>
          <w:rtl/>
        </w:rPr>
        <w:t xml:space="preserve"> الواحد</w:t>
      </w:r>
      <w:r>
        <w:rPr>
          <w:rFonts w:hint="cs"/>
          <w:rtl/>
        </w:rPr>
        <w:t>،</w:t>
      </w:r>
      <w:r w:rsidRPr="007D7079">
        <w:rPr>
          <w:rFonts w:hint="cs"/>
          <w:rtl/>
        </w:rPr>
        <w:t xml:space="preserve"> </w:t>
      </w:r>
      <w:r>
        <w:rPr>
          <w:rFonts w:hint="cs"/>
          <w:rtl/>
        </w:rPr>
        <w:t>ويقضي بتماثلهما،</w:t>
      </w:r>
      <w:r w:rsidRPr="007D7079">
        <w:rPr>
          <w:rFonts w:hint="cs"/>
          <w:rtl/>
        </w:rPr>
        <w:t xml:space="preserve"> </w:t>
      </w:r>
      <w:r>
        <w:rPr>
          <w:rFonts w:hint="cs"/>
          <w:rtl/>
        </w:rPr>
        <w:t>و</w:t>
      </w:r>
      <w:r w:rsidRPr="007D7079">
        <w:rPr>
          <w:rFonts w:hint="cs"/>
          <w:rtl/>
        </w:rPr>
        <w:t>النتيجة المترت</w:t>
      </w:r>
      <w:r>
        <w:rPr>
          <w:rFonts w:hint="cs"/>
          <w:rtl/>
        </w:rPr>
        <w:t>ّ</w:t>
      </w:r>
      <w:r w:rsidRPr="007D7079">
        <w:rPr>
          <w:rFonts w:hint="cs"/>
          <w:rtl/>
        </w:rPr>
        <w:t xml:space="preserve">بة على مثل هذا النمط من التفكير </w:t>
      </w:r>
      <w:r>
        <w:rPr>
          <w:rFonts w:hint="cs"/>
          <w:rtl/>
        </w:rPr>
        <w:t>في الغرب هو تشابه الرجل والمرأة،</w:t>
      </w:r>
      <w:r w:rsidRPr="007D7079">
        <w:rPr>
          <w:rFonts w:hint="cs"/>
          <w:rtl/>
        </w:rPr>
        <w:t xml:space="preserve"> لكن هذه المشابهة لم </w:t>
      </w:r>
      <w:r>
        <w:rPr>
          <w:rFonts w:hint="cs"/>
          <w:rtl/>
        </w:rPr>
        <w:t xml:space="preserve">تلحظ انطلاقاً من </w:t>
      </w:r>
      <w:r w:rsidRPr="007D7079">
        <w:rPr>
          <w:rFonts w:hint="cs"/>
          <w:rtl/>
        </w:rPr>
        <w:t>خصوصيات</w:t>
      </w:r>
      <w:r>
        <w:rPr>
          <w:rFonts w:hint="cs"/>
          <w:rtl/>
        </w:rPr>
        <w:t>هما</w:t>
      </w:r>
      <w:r w:rsidRPr="007D7079">
        <w:rPr>
          <w:rFonts w:hint="cs"/>
          <w:rtl/>
        </w:rPr>
        <w:t xml:space="preserve">، إذ حيث كانت النزعة الذكورية هي الغالبة </w:t>
      </w:r>
      <w:r>
        <w:rPr>
          <w:rFonts w:hint="cs"/>
          <w:rtl/>
        </w:rPr>
        <w:t>أدّى ذلك إلى استلزام أن تشابه المرأة ا</w:t>
      </w:r>
      <w:r w:rsidRPr="007D7079">
        <w:rPr>
          <w:rFonts w:hint="cs"/>
          <w:rtl/>
        </w:rPr>
        <w:t>لرجل</w:t>
      </w:r>
      <w:r>
        <w:rPr>
          <w:rFonts w:hint="cs"/>
          <w:rtl/>
        </w:rPr>
        <w:t>،</w:t>
      </w:r>
      <w:r w:rsidRPr="007D7079">
        <w:rPr>
          <w:rFonts w:hint="cs"/>
          <w:rtl/>
        </w:rPr>
        <w:t xml:space="preserve"> وبحسب مقولة اليزابيت بدانتر (</w:t>
      </w:r>
      <w:r w:rsidRPr="007D7079">
        <w:t>Elizabet Badinter</w:t>
      </w:r>
      <w:r w:rsidRPr="007D7079">
        <w:rPr>
          <w:rFonts w:hint="cs"/>
          <w:rtl/>
        </w:rPr>
        <w:t xml:space="preserve">): </w:t>
      </w:r>
      <w:r w:rsidRPr="0064473E">
        <w:rPr>
          <w:rFonts w:hint="cs"/>
          <w:szCs w:val="29"/>
        </w:rPr>
        <w:sym w:font="Roumouz" w:char="F06D"/>
      </w:r>
      <w:r w:rsidRPr="007D7079">
        <w:rPr>
          <w:rFonts w:hint="cs"/>
          <w:rtl/>
        </w:rPr>
        <w:t>ما حدث أن</w:t>
      </w:r>
      <w:r>
        <w:rPr>
          <w:rFonts w:hint="cs"/>
          <w:rtl/>
        </w:rPr>
        <w:t xml:space="preserve">ّ المرأة </w:t>
      </w:r>
      <w:r w:rsidRPr="007D7079">
        <w:rPr>
          <w:rFonts w:hint="cs"/>
          <w:rtl/>
        </w:rPr>
        <w:t>اكتسبت الرجولة دون أن تتخل</w:t>
      </w:r>
      <w:r>
        <w:rPr>
          <w:rFonts w:hint="cs"/>
          <w:rtl/>
        </w:rPr>
        <w:t>ّ</w:t>
      </w:r>
      <w:r w:rsidRPr="007D7079">
        <w:rPr>
          <w:rFonts w:hint="cs"/>
          <w:rtl/>
        </w:rPr>
        <w:t>ى عن هويتها التقليدية، إن</w:t>
      </w:r>
      <w:r>
        <w:rPr>
          <w:rFonts w:hint="cs"/>
          <w:rtl/>
        </w:rPr>
        <w:t>ّ</w:t>
      </w:r>
      <w:r w:rsidRPr="007D7079">
        <w:rPr>
          <w:rFonts w:hint="cs"/>
          <w:rtl/>
        </w:rPr>
        <w:t xml:space="preserve"> ال</w:t>
      </w:r>
      <w:r>
        <w:rPr>
          <w:rFonts w:hint="cs"/>
          <w:rtl/>
        </w:rPr>
        <w:t xml:space="preserve">إنسان في </w:t>
      </w:r>
      <w:r w:rsidRPr="007D7079">
        <w:rPr>
          <w:rFonts w:hint="cs"/>
          <w:rtl/>
        </w:rPr>
        <w:t xml:space="preserve">غرب </w:t>
      </w:r>
      <w:r>
        <w:rPr>
          <w:rFonts w:hint="cs"/>
          <w:rtl/>
        </w:rPr>
        <w:t xml:space="preserve">القرن العشرين </w:t>
      </w:r>
      <w:r w:rsidRPr="007D7079">
        <w:rPr>
          <w:rFonts w:hint="cs"/>
          <w:rtl/>
        </w:rPr>
        <w:t>ـ لا سيما</w:t>
      </w:r>
      <w:r>
        <w:rPr>
          <w:rFonts w:hint="cs"/>
          <w:rtl/>
        </w:rPr>
        <w:t xml:space="preserve"> المرأة ـ </w:t>
      </w:r>
      <w:r w:rsidRPr="007D7079">
        <w:rPr>
          <w:rFonts w:hint="cs"/>
          <w:rtl/>
        </w:rPr>
        <w:t>مخلوق يحمل في واقعه صفات كلا الجن</w:t>
      </w:r>
      <w:r>
        <w:rPr>
          <w:rFonts w:hint="cs"/>
          <w:rtl/>
        </w:rPr>
        <w:t>سين،</w:t>
      </w:r>
      <w:r w:rsidRPr="007D7079">
        <w:rPr>
          <w:rFonts w:hint="cs"/>
          <w:rtl/>
        </w:rPr>
        <w:t xml:space="preserve"> ففي آن</w:t>
      </w:r>
      <w:r>
        <w:rPr>
          <w:rFonts w:hint="cs"/>
          <w:rtl/>
        </w:rPr>
        <w:t>ٍ</w:t>
      </w:r>
      <w:r w:rsidRPr="007D7079">
        <w:rPr>
          <w:rFonts w:hint="cs"/>
          <w:rtl/>
        </w:rPr>
        <w:t xml:space="preserve"> واحد هو ذكر وهو أنثى</w:t>
      </w:r>
      <w:r>
        <w:rPr>
          <w:rFonts w:hint="cs"/>
          <w:rtl/>
        </w:rPr>
        <w:t>،</w:t>
      </w:r>
      <w:r w:rsidRPr="007D7079">
        <w:rPr>
          <w:rFonts w:hint="cs"/>
          <w:rtl/>
        </w:rPr>
        <w:t xml:space="preserve"> و</w:t>
      </w:r>
      <w:r>
        <w:rPr>
          <w:rFonts w:hint="cs"/>
          <w:rtl/>
        </w:rPr>
        <w:t xml:space="preserve">هو </w:t>
      </w:r>
      <w:r w:rsidRPr="007D7079">
        <w:rPr>
          <w:rFonts w:hint="cs"/>
          <w:rtl/>
        </w:rPr>
        <w:t>يقوم بتبديل دوره في الحياة تبعا</w:t>
      </w:r>
      <w:r>
        <w:rPr>
          <w:rFonts w:hint="cs"/>
          <w:rtl/>
        </w:rPr>
        <w:t>ً لآ</w:t>
      </w:r>
      <w:r w:rsidRPr="007D7079">
        <w:rPr>
          <w:rFonts w:hint="cs"/>
          <w:rtl/>
        </w:rPr>
        <w:t>نا</w:t>
      </w:r>
      <w:r w:rsidRPr="007D7079">
        <w:rPr>
          <w:rFonts w:hint="eastAsia"/>
          <w:rtl/>
        </w:rPr>
        <w:t>ت</w:t>
      </w:r>
      <w:r>
        <w:rPr>
          <w:rFonts w:hint="cs"/>
          <w:rtl/>
        </w:rPr>
        <w:t xml:space="preserve"> الليل والنهار؛ لأن المرأة </w:t>
      </w:r>
      <w:r w:rsidRPr="007D7079">
        <w:rPr>
          <w:rFonts w:hint="cs"/>
          <w:rtl/>
        </w:rPr>
        <w:t>لا تريد أن تخسر شيئا</w:t>
      </w:r>
      <w:r>
        <w:rPr>
          <w:rFonts w:hint="cs"/>
          <w:rtl/>
        </w:rPr>
        <w:t>ً</w:t>
      </w:r>
      <w:r w:rsidRPr="007D7079">
        <w:rPr>
          <w:rFonts w:hint="cs"/>
          <w:rtl/>
        </w:rPr>
        <w:t xml:space="preserve">، </w:t>
      </w:r>
      <w:r>
        <w:rPr>
          <w:rFonts w:hint="cs"/>
          <w:rtl/>
        </w:rPr>
        <w:t xml:space="preserve">بل </w:t>
      </w:r>
      <w:r w:rsidRPr="007D7079">
        <w:rPr>
          <w:rFonts w:hint="cs"/>
          <w:rtl/>
        </w:rPr>
        <w:t>تريد أن تصل</w:t>
      </w:r>
      <w:r>
        <w:rPr>
          <w:rFonts w:hint="cs"/>
          <w:rtl/>
        </w:rPr>
        <w:t xml:space="preserve"> إلى </w:t>
      </w:r>
      <w:r w:rsidRPr="007D7079">
        <w:rPr>
          <w:rFonts w:hint="cs"/>
          <w:rtl/>
        </w:rPr>
        <w:t>آمال الذكر والأنثى</w:t>
      </w:r>
      <w:r>
        <w:rPr>
          <w:rFonts w:hint="cs"/>
          <w:rtl/>
        </w:rPr>
        <w:t>،</w:t>
      </w:r>
      <w:r w:rsidRPr="007D7079">
        <w:rPr>
          <w:rFonts w:hint="cs"/>
          <w:rtl/>
        </w:rPr>
        <w:t xml:space="preserve"> وه</w:t>
      </w:r>
      <w:r>
        <w:rPr>
          <w:rFonts w:hint="cs"/>
          <w:rtl/>
        </w:rPr>
        <w:t>و</w:t>
      </w:r>
      <w:r w:rsidRPr="007D7079">
        <w:rPr>
          <w:rFonts w:hint="cs"/>
          <w:rtl/>
        </w:rPr>
        <w:t xml:space="preserve"> </w:t>
      </w:r>
      <w:r>
        <w:rPr>
          <w:rFonts w:hint="cs"/>
          <w:rtl/>
        </w:rPr>
        <w:t>أمرٌ</w:t>
      </w:r>
      <w:r w:rsidRPr="007D7079">
        <w:rPr>
          <w:rFonts w:hint="cs"/>
          <w:rtl/>
        </w:rPr>
        <w:t xml:space="preserve"> ليس بالسهل دائما</w:t>
      </w:r>
      <w:r>
        <w:rPr>
          <w:rFonts w:hint="cs"/>
          <w:rtl/>
        </w:rPr>
        <w:t>ً</w:t>
      </w:r>
      <w:r w:rsidRPr="007D7079">
        <w:rPr>
          <w:rFonts w:hint="cs"/>
          <w:rtl/>
        </w:rPr>
        <w:t>، فالمرأة اليوم فاعل</w:t>
      </w:r>
      <w:r>
        <w:rPr>
          <w:rFonts w:hint="cs"/>
          <w:rtl/>
        </w:rPr>
        <w:t>ٌ</w:t>
      </w:r>
      <w:r w:rsidRPr="007D7079">
        <w:rPr>
          <w:rFonts w:hint="cs"/>
          <w:rtl/>
        </w:rPr>
        <w:t xml:space="preserve"> ومنفعل</w:t>
      </w:r>
      <w:r>
        <w:rPr>
          <w:rFonts w:hint="cs"/>
          <w:rtl/>
        </w:rPr>
        <w:t>،</w:t>
      </w:r>
      <w:r w:rsidRPr="007D7079">
        <w:rPr>
          <w:rFonts w:hint="cs"/>
          <w:rtl/>
        </w:rPr>
        <w:t xml:space="preserve"> أم</w:t>
      </w:r>
      <w:r>
        <w:rPr>
          <w:rFonts w:hint="cs"/>
          <w:rtl/>
        </w:rPr>
        <w:t>ّ</w:t>
      </w:r>
      <w:r w:rsidRPr="007D7079">
        <w:rPr>
          <w:rFonts w:hint="cs"/>
          <w:rtl/>
        </w:rPr>
        <w:t xml:space="preserve"> حنون وأنانية، قاهرة وصبورة ومتسل</w:t>
      </w:r>
      <w:r>
        <w:rPr>
          <w:rFonts w:hint="cs"/>
          <w:rtl/>
        </w:rPr>
        <w:t>ّ</w:t>
      </w:r>
      <w:r w:rsidRPr="007D7079">
        <w:rPr>
          <w:rFonts w:hint="cs"/>
          <w:rtl/>
        </w:rPr>
        <w:t>طة</w:t>
      </w:r>
      <w:r>
        <w:rPr>
          <w:rFonts w:hint="cs"/>
          <w:rtl/>
        </w:rPr>
        <w:t>،</w:t>
      </w:r>
      <w:r w:rsidRPr="007D7079">
        <w:rPr>
          <w:rFonts w:hint="cs"/>
          <w:rtl/>
        </w:rPr>
        <w:t xml:space="preserve"> </w:t>
      </w:r>
      <w:r>
        <w:rPr>
          <w:rFonts w:hint="cs"/>
          <w:rtl/>
        </w:rPr>
        <w:t xml:space="preserve">فقد أصبحت شخصيّتها ـ </w:t>
      </w:r>
      <w:r w:rsidRPr="007D7079">
        <w:rPr>
          <w:rFonts w:hint="cs"/>
          <w:rtl/>
        </w:rPr>
        <w:t xml:space="preserve">في الواقع </w:t>
      </w:r>
      <w:r>
        <w:rPr>
          <w:rFonts w:hint="cs"/>
          <w:rtl/>
        </w:rPr>
        <w:t xml:space="preserve">ـ </w:t>
      </w:r>
      <w:r w:rsidRPr="007D7079">
        <w:rPr>
          <w:rFonts w:hint="cs"/>
          <w:rtl/>
        </w:rPr>
        <w:t>مضطربة ومشو</w:t>
      </w:r>
      <w:r>
        <w:rPr>
          <w:rFonts w:hint="cs"/>
          <w:rtl/>
        </w:rPr>
        <w:t>ّ</w:t>
      </w:r>
      <w:r w:rsidRPr="007D7079">
        <w:rPr>
          <w:rFonts w:hint="cs"/>
          <w:rtl/>
        </w:rPr>
        <w:t>شة</w:t>
      </w:r>
      <w:r w:rsidRPr="0064473E">
        <w:rPr>
          <w:rFonts w:hint="cs"/>
          <w:szCs w:val="29"/>
        </w:rPr>
        <w:sym w:font="Roumouz" w:char="F06E"/>
      </w:r>
      <w:r w:rsidRPr="007D7079">
        <w:rPr>
          <w:rFonts w:hint="cs"/>
          <w:rtl/>
        </w:rPr>
        <w:t>.</w:t>
      </w:r>
    </w:p>
    <w:p w:rsidR="006E0FDB" w:rsidRDefault="006E0FDB" w:rsidP="009368DE">
      <w:pPr>
        <w:pStyle w:val="ac"/>
        <w:spacing w:line="206" w:lineRule="auto"/>
        <w:rPr>
          <w:rtl/>
        </w:rPr>
      </w:pPr>
      <w:r w:rsidRPr="007D7079">
        <w:rPr>
          <w:rFonts w:hint="cs"/>
          <w:rtl/>
        </w:rPr>
        <w:t>لقد كان لفكرة التشابه التام</w:t>
      </w:r>
      <w:r>
        <w:rPr>
          <w:rFonts w:hint="cs"/>
          <w:rtl/>
        </w:rPr>
        <w:t>ّ بين الرجل والمرأة أ</w:t>
      </w:r>
      <w:r w:rsidRPr="007D7079">
        <w:rPr>
          <w:rFonts w:hint="cs"/>
          <w:rtl/>
        </w:rPr>
        <w:t xml:space="preserve">ثرها </w:t>
      </w:r>
      <w:r>
        <w:rPr>
          <w:rFonts w:hint="cs"/>
          <w:rtl/>
        </w:rPr>
        <w:t xml:space="preserve">على </w:t>
      </w:r>
      <w:r w:rsidRPr="007D7079">
        <w:rPr>
          <w:rFonts w:hint="cs"/>
          <w:rtl/>
        </w:rPr>
        <w:t>حدوث انقلاب</w:t>
      </w:r>
      <w:r>
        <w:rPr>
          <w:rFonts w:hint="cs"/>
          <w:rtl/>
        </w:rPr>
        <w:t>ٍ</w:t>
      </w:r>
      <w:r w:rsidRPr="007D7079">
        <w:rPr>
          <w:rFonts w:hint="cs"/>
          <w:rtl/>
        </w:rPr>
        <w:t xml:space="preserve"> عظيم في القيم أد</w:t>
      </w:r>
      <w:r>
        <w:rPr>
          <w:rFonts w:hint="cs"/>
          <w:rtl/>
        </w:rPr>
        <w:t>ّ</w:t>
      </w:r>
      <w:r w:rsidRPr="007D7079">
        <w:rPr>
          <w:rFonts w:hint="cs"/>
          <w:rtl/>
        </w:rPr>
        <w:t>ى</w:t>
      </w:r>
      <w:r>
        <w:rPr>
          <w:rFonts w:hint="cs"/>
          <w:rtl/>
        </w:rPr>
        <w:t xml:space="preserve"> إلى </w:t>
      </w:r>
      <w:r w:rsidRPr="007D7079">
        <w:rPr>
          <w:rFonts w:hint="cs"/>
          <w:rtl/>
        </w:rPr>
        <w:t>نشوء ظواهر جديدة</w:t>
      </w:r>
      <w:r>
        <w:rPr>
          <w:rFonts w:hint="cs"/>
          <w:rtl/>
        </w:rPr>
        <w:t>،</w:t>
      </w:r>
      <w:r w:rsidRPr="007D7079">
        <w:rPr>
          <w:rFonts w:hint="cs"/>
          <w:rtl/>
        </w:rPr>
        <w:t xml:space="preserve"> مثل زواج مثيلي الجنس</w:t>
      </w:r>
      <w:r>
        <w:rPr>
          <w:rFonts w:hint="cs"/>
          <w:rtl/>
        </w:rPr>
        <w:t>، واضمحلال العائلة،</w:t>
      </w:r>
      <w:r w:rsidRPr="007D7079">
        <w:rPr>
          <w:rFonts w:hint="cs"/>
          <w:rtl/>
        </w:rPr>
        <w:t xml:space="preserve"> ولا نريد الدخول هنا في عملي</w:t>
      </w:r>
      <w:r>
        <w:rPr>
          <w:rFonts w:hint="cs"/>
          <w:rtl/>
        </w:rPr>
        <w:t>ّ</w:t>
      </w:r>
      <w:r w:rsidRPr="007D7079">
        <w:rPr>
          <w:rFonts w:hint="cs"/>
          <w:rtl/>
        </w:rPr>
        <w:t xml:space="preserve">ة تقييم </w:t>
      </w:r>
      <w:r>
        <w:rPr>
          <w:rFonts w:hint="cs"/>
          <w:rtl/>
        </w:rPr>
        <w:t>أخلاقي لآثار الترويج لهذه الفكرة، إ</w:t>
      </w:r>
      <w:r w:rsidRPr="007D7079">
        <w:rPr>
          <w:rFonts w:hint="cs"/>
          <w:rtl/>
        </w:rPr>
        <w:t>ن</w:t>
      </w:r>
      <w:r>
        <w:rPr>
          <w:rFonts w:hint="cs"/>
          <w:rtl/>
        </w:rPr>
        <w:t>ّ</w:t>
      </w:r>
      <w:r w:rsidRPr="007D7079">
        <w:rPr>
          <w:rFonts w:hint="cs"/>
          <w:rtl/>
        </w:rPr>
        <w:t xml:space="preserve">ما </w:t>
      </w:r>
      <w:r>
        <w:rPr>
          <w:rFonts w:hint="cs"/>
          <w:rtl/>
        </w:rPr>
        <w:t>نهدف</w:t>
      </w:r>
      <w:r w:rsidRPr="007D7079">
        <w:rPr>
          <w:rFonts w:hint="cs"/>
          <w:rtl/>
        </w:rPr>
        <w:t xml:space="preserve"> </w:t>
      </w:r>
      <w:r>
        <w:rPr>
          <w:rFonts w:hint="cs"/>
          <w:rtl/>
        </w:rPr>
        <w:t>ال</w:t>
      </w:r>
      <w:r w:rsidRPr="007D7079">
        <w:rPr>
          <w:rFonts w:hint="cs"/>
          <w:rtl/>
        </w:rPr>
        <w:t>بحث في أن</w:t>
      </w:r>
      <w:r>
        <w:rPr>
          <w:rFonts w:hint="cs"/>
          <w:rtl/>
        </w:rPr>
        <w:t>ّ</w:t>
      </w:r>
      <w:r w:rsidRPr="007D7079">
        <w:rPr>
          <w:rFonts w:hint="cs"/>
          <w:rtl/>
        </w:rPr>
        <w:t xml:space="preserve"> </w:t>
      </w:r>
      <w:r>
        <w:rPr>
          <w:rFonts w:hint="cs"/>
          <w:rtl/>
        </w:rPr>
        <w:t xml:space="preserve">إشاعة أنصار حقوق المرأة </w:t>
      </w:r>
      <w:r w:rsidRPr="007D7079">
        <w:rPr>
          <w:rFonts w:hint="cs"/>
          <w:rtl/>
        </w:rPr>
        <w:t>في إيران ل</w:t>
      </w:r>
      <w:r>
        <w:rPr>
          <w:rFonts w:hint="cs"/>
          <w:rtl/>
        </w:rPr>
        <w:t>ها،</w:t>
      </w:r>
      <w:r w:rsidRPr="007D7079">
        <w:rPr>
          <w:rFonts w:hint="cs"/>
          <w:rtl/>
        </w:rPr>
        <w:t xml:space="preserve"> هل </w:t>
      </w:r>
      <w:r>
        <w:rPr>
          <w:rFonts w:hint="cs"/>
          <w:rtl/>
        </w:rPr>
        <w:t>يعود بالنفع ف</w:t>
      </w:r>
      <w:r w:rsidRPr="007D7079">
        <w:rPr>
          <w:rFonts w:hint="cs"/>
          <w:rtl/>
        </w:rPr>
        <w:t xml:space="preserve">ي </w:t>
      </w:r>
      <w:r>
        <w:rPr>
          <w:rFonts w:hint="cs"/>
          <w:rtl/>
        </w:rPr>
        <w:t xml:space="preserve">مجال </w:t>
      </w:r>
      <w:r w:rsidRPr="007D7079">
        <w:rPr>
          <w:rFonts w:hint="cs"/>
          <w:rtl/>
        </w:rPr>
        <w:t>حل</w:t>
      </w:r>
      <w:r>
        <w:rPr>
          <w:rFonts w:hint="cs"/>
          <w:rtl/>
        </w:rPr>
        <w:t>ّ</w:t>
      </w:r>
      <w:r w:rsidRPr="007D7079">
        <w:rPr>
          <w:rFonts w:hint="cs"/>
          <w:rtl/>
        </w:rPr>
        <w:t xml:space="preserve"> مشاكل</w:t>
      </w:r>
      <w:r>
        <w:rPr>
          <w:rFonts w:hint="cs"/>
          <w:rtl/>
        </w:rPr>
        <w:t xml:space="preserve"> المرأة الإيرانية؟</w:t>
      </w:r>
    </w:p>
    <w:p w:rsidR="006E0FDB" w:rsidRPr="007D7079" w:rsidRDefault="006E0FDB" w:rsidP="006E0FDB">
      <w:pPr>
        <w:pStyle w:val="ac"/>
        <w:rPr>
          <w:rtl/>
        </w:rPr>
      </w:pPr>
      <w:r>
        <w:rPr>
          <w:rFonts w:hint="cs"/>
          <w:rtl/>
        </w:rPr>
        <w:lastRenderedPageBreak/>
        <w:t>لابدّ ـ ولأ</w:t>
      </w:r>
      <w:r w:rsidRPr="007D7079">
        <w:rPr>
          <w:rFonts w:hint="cs"/>
          <w:rtl/>
        </w:rPr>
        <w:t>جل الإجابة ع</w:t>
      </w:r>
      <w:r>
        <w:rPr>
          <w:rFonts w:hint="cs"/>
          <w:rtl/>
        </w:rPr>
        <w:t>ن</w:t>
      </w:r>
      <w:r w:rsidRPr="007D7079">
        <w:rPr>
          <w:rFonts w:hint="cs"/>
          <w:rtl/>
        </w:rPr>
        <w:t xml:space="preserve"> هذا السؤال</w:t>
      </w:r>
      <w:r>
        <w:rPr>
          <w:rFonts w:hint="cs"/>
          <w:rtl/>
        </w:rPr>
        <w:t xml:space="preserve"> ـ </w:t>
      </w:r>
      <w:r w:rsidRPr="007D7079">
        <w:rPr>
          <w:rFonts w:hint="cs"/>
          <w:rtl/>
        </w:rPr>
        <w:t>من إلقاء نظرة</w:t>
      </w:r>
      <w:r>
        <w:rPr>
          <w:rFonts w:hint="cs"/>
          <w:rtl/>
        </w:rPr>
        <w:t xml:space="preserve">ٍ إلى </w:t>
      </w:r>
      <w:r w:rsidRPr="007D7079">
        <w:rPr>
          <w:rFonts w:hint="cs"/>
          <w:rtl/>
        </w:rPr>
        <w:t>عهود ما قبل التاريخ، فالملاحظ في</w:t>
      </w:r>
      <w:r>
        <w:rPr>
          <w:rFonts w:hint="cs"/>
          <w:rtl/>
        </w:rPr>
        <w:t>ها</w:t>
      </w:r>
      <w:r w:rsidRPr="007D7079">
        <w:rPr>
          <w:rFonts w:hint="cs"/>
          <w:rtl/>
        </w:rPr>
        <w:t xml:space="preserve"> </w:t>
      </w:r>
      <w:r>
        <w:rPr>
          <w:rFonts w:hint="cs"/>
          <w:rtl/>
        </w:rPr>
        <w:t xml:space="preserve">ـ وهي العهود </w:t>
      </w:r>
      <w:r w:rsidRPr="007D7079">
        <w:rPr>
          <w:rFonts w:hint="cs"/>
          <w:rtl/>
        </w:rPr>
        <w:t xml:space="preserve">التي </w:t>
      </w:r>
      <w:r>
        <w:rPr>
          <w:rFonts w:hint="cs"/>
          <w:rtl/>
        </w:rPr>
        <w:t xml:space="preserve">تسمّيها </w:t>
      </w:r>
      <w:r w:rsidRPr="007D7079">
        <w:rPr>
          <w:rFonts w:hint="cs"/>
          <w:rtl/>
        </w:rPr>
        <w:t>النسوية خطأ</w:t>
      </w:r>
      <w:r>
        <w:rPr>
          <w:rFonts w:hint="cs"/>
          <w:rtl/>
        </w:rPr>
        <w:t>ً</w:t>
      </w:r>
      <w:r w:rsidRPr="007D7079">
        <w:rPr>
          <w:rFonts w:hint="cs"/>
          <w:rtl/>
        </w:rPr>
        <w:t xml:space="preserve"> عهود سيادة الرجل </w:t>
      </w:r>
      <w:r>
        <w:rPr>
          <w:rFonts w:hint="cs"/>
          <w:rtl/>
        </w:rPr>
        <w:t>ـ أ</w:t>
      </w:r>
      <w:r w:rsidRPr="007D7079">
        <w:rPr>
          <w:rFonts w:hint="cs"/>
          <w:rtl/>
        </w:rPr>
        <w:t>ن</w:t>
      </w:r>
      <w:r>
        <w:rPr>
          <w:rFonts w:hint="cs"/>
          <w:rtl/>
        </w:rPr>
        <w:t xml:space="preserve"> المرأة </w:t>
      </w:r>
      <w:r w:rsidRPr="007D7079">
        <w:rPr>
          <w:rFonts w:hint="cs"/>
          <w:rtl/>
        </w:rPr>
        <w:t>كانت تعيش حياتها المستقلة بشكل</w:t>
      </w:r>
      <w:r>
        <w:rPr>
          <w:rFonts w:hint="cs"/>
          <w:rtl/>
        </w:rPr>
        <w:t>ٍ</w:t>
      </w:r>
      <w:r w:rsidRPr="007D7079">
        <w:rPr>
          <w:rFonts w:hint="cs"/>
          <w:rtl/>
        </w:rPr>
        <w:t xml:space="preserve"> مساو</w:t>
      </w:r>
      <w:r>
        <w:rPr>
          <w:rFonts w:hint="cs"/>
          <w:rtl/>
        </w:rPr>
        <w:t>ٍ للرجل؛</w:t>
      </w:r>
      <w:r w:rsidRPr="007D7079">
        <w:rPr>
          <w:rFonts w:hint="cs"/>
          <w:rtl/>
        </w:rPr>
        <w:t xml:space="preserve"> ففي</w:t>
      </w:r>
      <w:r>
        <w:rPr>
          <w:rFonts w:hint="cs"/>
          <w:rtl/>
        </w:rPr>
        <w:t>ها</w:t>
      </w:r>
      <w:r w:rsidRPr="007D7079">
        <w:rPr>
          <w:rFonts w:hint="cs"/>
          <w:rtl/>
        </w:rPr>
        <w:t xml:space="preserve"> </w:t>
      </w:r>
      <w:r>
        <w:rPr>
          <w:rFonts w:hint="cs"/>
          <w:rtl/>
        </w:rPr>
        <w:t>كانت تكمل وظيفة كل طرف عمل الآخر، رغم</w:t>
      </w:r>
      <w:r w:rsidRPr="007D7079">
        <w:rPr>
          <w:rFonts w:hint="cs"/>
          <w:rtl/>
        </w:rPr>
        <w:t xml:space="preserve"> </w:t>
      </w:r>
      <w:r>
        <w:rPr>
          <w:rFonts w:hint="cs"/>
          <w:rtl/>
        </w:rPr>
        <w:t>خضوع</w:t>
      </w:r>
      <w:r w:rsidRPr="007D7079">
        <w:rPr>
          <w:rFonts w:hint="cs"/>
          <w:rtl/>
        </w:rPr>
        <w:t xml:space="preserve"> تقسيم العمل </w:t>
      </w:r>
      <w:r>
        <w:rPr>
          <w:rFonts w:hint="cs"/>
          <w:rtl/>
        </w:rPr>
        <w:t xml:space="preserve">لجنس العامل، ومعنى ذلك </w:t>
      </w:r>
      <w:r w:rsidRPr="007D7079">
        <w:rPr>
          <w:rFonts w:hint="cs"/>
          <w:rtl/>
        </w:rPr>
        <w:t>أن</w:t>
      </w:r>
      <w:r>
        <w:rPr>
          <w:rFonts w:hint="cs"/>
          <w:rtl/>
        </w:rPr>
        <w:t>ّ</w:t>
      </w:r>
      <w:r w:rsidRPr="007D7079">
        <w:rPr>
          <w:rFonts w:hint="cs"/>
          <w:rtl/>
        </w:rPr>
        <w:t xml:space="preserve"> ارتباط</w:t>
      </w:r>
      <w:r>
        <w:rPr>
          <w:rFonts w:hint="cs"/>
          <w:rtl/>
        </w:rPr>
        <w:t>هما</w:t>
      </w:r>
      <w:r w:rsidRPr="007D7079">
        <w:rPr>
          <w:rFonts w:hint="cs"/>
          <w:rtl/>
        </w:rPr>
        <w:t xml:space="preserve"> كان مت</w:t>
      </w:r>
      <w:r>
        <w:rPr>
          <w:rFonts w:hint="cs"/>
          <w:rtl/>
        </w:rPr>
        <w:t>بادلاً</w:t>
      </w:r>
      <w:r w:rsidRPr="007D7079">
        <w:rPr>
          <w:rFonts w:hint="cs"/>
          <w:rtl/>
        </w:rPr>
        <w:t>، فلم يكن أي</w:t>
      </w:r>
      <w:r>
        <w:rPr>
          <w:rFonts w:hint="cs"/>
          <w:rtl/>
        </w:rPr>
        <w:t>ّ</w:t>
      </w:r>
      <w:r w:rsidRPr="007D7079">
        <w:rPr>
          <w:rFonts w:hint="cs"/>
          <w:rtl/>
        </w:rPr>
        <w:t xml:space="preserve"> فريق يرى الثروة منحصرة</w:t>
      </w:r>
      <w:r>
        <w:rPr>
          <w:rFonts w:hint="cs"/>
          <w:rtl/>
        </w:rPr>
        <w:t>ً به؛ لأن الرجل لم يكن بإ</w:t>
      </w:r>
      <w:r w:rsidRPr="007D7079">
        <w:rPr>
          <w:rFonts w:hint="cs"/>
          <w:rtl/>
        </w:rPr>
        <w:t>مكانه الاستمرار في الحياة دون أن تمدّ له</w:t>
      </w:r>
      <w:r>
        <w:rPr>
          <w:rFonts w:hint="cs"/>
          <w:rtl/>
        </w:rPr>
        <w:t xml:space="preserve"> المرأةُ يد العون.</w:t>
      </w:r>
    </w:p>
    <w:p w:rsidR="006E0FDB" w:rsidRPr="007D7079" w:rsidRDefault="006E0FDB" w:rsidP="009368DE">
      <w:pPr>
        <w:pStyle w:val="ac"/>
        <w:spacing w:line="209" w:lineRule="auto"/>
        <w:rPr>
          <w:rtl/>
        </w:rPr>
      </w:pPr>
      <w:r w:rsidRPr="007D7079">
        <w:rPr>
          <w:rFonts w:hint="cs"/>
          <w:rtl/>
        </w:rPr>
        <w:t>من جهة</w:t>
      </w:r>
      <w:r>
        <w:rPr>
          <w:rFonts w:hint="cs"/>
          <w:rtl/>
        </w:rPr>
        <w:t>ٍ</w:t>
      </w:r>
      <w:r w:rsidRPr="007D7079">
        <w:rPr>
          <w:rFonts w:hint="cs"/>
          <w:rtl/>
        </w:rPr>
        <w:t xml:space="preserve"> </w:t>
      </w:r>
      <w:r>
        <w:rPr>
          <w:rFonts w:hint="cs"/>
          <w:rtl/>
        </w:rPr>
        <w:t>أخرى،</w:t>
      </w:r>
      <w:r w:rsidRPr="007D7079">
        <w:rPr>
          <w:rFonts w:hint="cs"/>
          <w:rtl/>
        </w:rPr>
        <w:t xml:space="preserve"> </w:t>
      </w:r>
      <w:r>
        <w:rPr>
          <w:rFonts w:hint="cs"/>
          <w:rtl/>
        </w:rPr>
        <w:t>كانت قدرة المرأة على الإنجاب توازي قدرة الرجل على الصيد</w:t>
      </w:r>
      <w:r w:rsidRPr="007D7079">
        <w:rPr>
          <w:rFonts w:hint="cs"/>
          <w:rtl/>
        </w:rPr>
        <w:t xml:space="preserve">، </w:t>
      </w:r>
      <w:r>
        <w:rPr>
          <w:rFonts w:hint="cs"/>
          <w:rtl/>
        </w:rPr>
        <w:t xml:space="preserve">بل أكبر رغم ما في الأخير من شجاعة و..؛ </w:t>
      </w:r>
      <w:r w:rsidRPr="007D7079">
        <w:rPr>
          <w:rFonts w:hint="cs"/>
          <w:rtl/>
        </w:rPr>
        <w:t>لذا كان ينظر</w:t>
      </w:r>
      <w:r>
        <w:rPr>
          <w:rFonts w:hint="cs"/>
          <w:rtl/>
        </w:rPr>
        <w:t xml:space="preserve"> إلى </w:t>
      </w:r>
      <w:r w:rsidRPr="007D7079">
        <w:rPr>
          <w:rFonts w:hint="cs"/>
          <w:rtl/>
        </w:rPr>
        <w:t>ذلك باحترام</w:t>
      </w:r>
      <w:r>
        <w:rPr>
          <w:rFonts w:hint="cs"/>
          <w:rtl/>
        </w:rPr>
        <w:t>ٍ وتقدير،</w:t>
      </w:r>
      <w:r w:rsidRPr="007D7079">
        <w:rPr>
          <w:rFonts w:hint="cs"/>
          <w:rtl/>
        </w:rPr>
        <w:t xml:space="preserve"> لقد كان الاعتقاد السائد </w:t>
      </w:r>
      <w:r>
        <w:rPr>
          <w:rFonts w:hint="cs"/>
          <w:rtl/>
        </w:rPr>
        <w:t>آنذاك</w:t>
      </w:r>
      <w:r w:rsidRPr="007D7079">
        <w:rPr>
          <w:rFonts w:hint="cs"/>
          <w:rtl/>
        </w:rPr>
        <w:t xml:space="preserve"> </w:t>
      </w:r>
      <w:r>
        <w:rPr>
          <w:rFonts w:hint="cs"/>
          <w:rtl/>
        </w:rPr>
        <w:t>أ</w:t>
      </w:r>
      <w:r w:rsidRPr="007D7079">
        <w:rPr>
          <w:rFonts w:hint="cs"/>
          <w:rtl/>
        </w:rPr>
        <w:t>ن</w:t>
      </w:r>
      <w:r>
        <w:rPr>
          <w:rFonts w:hint="cs"/>
          <w:rtl/>
        </w:rPr>
        <w:t xml:space="preserve">ّ المرأة </w:t>
      </w:r>
      <w:r w:rsidRPr="007D7079">
        <w:rPr>
          <w:rFonts w:hint="cs"/>
          <w:rtl/>
        </w:rPr>
        <w:t>وعبر قو</w:t>
      </w:r>
      <w:r>
        <w:rPr>
          <w:rFonts w:hint="cs"/>
          <w:rtl/>
        </w:rPr>
        <w:t>ّ</w:t>
      </w:r>
      <w:r w:rsidRPr="007D7079">
        <w:rPr>
          <w:rFonts w:hint="cs"/>
          <w:rtl/>
        </w:rPr>
        <w:t xml:space="preserve">ة </w:t>
      </w:r>
      <w:r>
        <w:rPr>
          <w:rFonts w:hint="cs"/>
          <w:rtl/>
        </w:rPr>
        <w:t xml:space="preserve">الإنجاب تمثل </w:t>
      </w:r>
      <w:r w:rsidRPr="007D7079">
        <w:rPr>
          <w:rFonts w:hint="cs"/>
          <w:rtl/>
        </w:rPr>
        <w:t>ض</w:t>
      </w:r>
      <w:r>
        <w:rPr>
          <w:rFonts w:hint="cs"/>
          <w:rtl/>
        </w:rPr>
        <w:t>ماناً</w:t>
      </w:r>
      <w:r w:rsidRPr="007D7079">
        <w:rPr>
          <w:rFonts w:hint="cs"/>
          <w:rtl/>
        </w:rPr>
        <w:t xml:space="preserve"> لاس</w:t>
      </w:r>
      <w:r>
        <w:rPr>
          <w:rFonts w:hint="cs"/>
          <w:rtl/>
        </w:rPr>
        <w:t>تمرار الحياة.</w:t>
      </w:r>
    </w:p>
    <w:p w:rsidR="006E0FDB" w:rsidRDefault="006E0FDB" w:rsidP="009368DE">
      <w:pPr>
        <w:pStyle w:val="ac"/>
        <w:spacing w:line="209" w:lineRule="auto"/>
        <w:rPr>
          <w:rtl/>
        </w:rPr>
      </w:pPr>
      <w:r>
        <w:rPr>
          <w:rFonts w:hint="cs"/>
          <w:rtl/>
        </w:rPr>
        <w:t xml:space="preserve">لكنّ الأمر اختلف لاحقاً؛ </w:t>
      </w:r>
      <w:r w:rsidRPr="007D7079">
        <w:rPr>
          <w:rFonts w:hint="cs"/>
          <w:rtl/>
        </w:rPr>
        <w:t>حيث أصبح</w:t>
      </w:r>
      <w:r>
        <w:rPr>
          <w:rFonts w:hint="cs"/>
          <w:rtl/>
        </w:rPr>
        <w:t>ت</w:t>
      </w:r>
      <w:r w:rsidRPr="007D7079">
        <w:rPr>
          <w:rFonts w:hint="cs"/>
          <w:rtl/>
        </w:rPr>
        <w:t xml:space="preserve"> </w:t>
      </w:r>
      <w:r>
        <w:rPr>
          <w:rFonts w:hint="cs"/>
          <w:rtl/>
        </w:rPr>
        <w:t>طاقة الإنجاب في المرأة عنصراً يبرّر تسلّط الرجل عليها</w:t>
      </w:r>
      <w:r w:rsidRPr="007D7079">
        <w:rPr>
          <w:rFonts w:hint="cs"/>
          <w:rtl/>
        </w:rPr>
        <w:t xml:space="preserve">، </w:t>
      </w:r>
      <w:r>
        <w:rPr>
          <w:rFonts w:hint="cs"/>
          <w:rtl/>
        </w:rPr>
        <w:t xml:space="preserve">فغدت في صورتها المتأخرة عنصراً </w:t>
      </w:r>
      <w:r w:rsidRPr="007D7079">
        <w:rPr>
          <w:rFonts w:hint="cs"/>
          <w:rtl/>
        </w:rPr>
        <w:t>ضعيف</w:t>
      </w:r>
      <w:r>
        <w:rPr>
          <w:rFonts w:hint="cs"/>
          <w:rtl/>
        </w:rPr>
        <w:t>اً</w:t>
      </w:r>
      <w:r w:rsidRPr="007D7079">
        <w:rPr>
          <w:rFonts w:hint="cs"/>
          <w:rtl/>
        </w:rPr>
        <w:t xml:space="preserve"> حقير</w:t>
      </w:r>
      <w:r>
        <w:rPr>
          <w:rFonts w:hint="cs"/>
          <w:rtl/>
        </w:rPr>
        <w:t>اً</w:t>
      </w:r>
      <w:r w:rsidRPr="007D7079">
        <w:rPr>
          <w:rFonts w:hint="cs"/>
          <w:rtl/>
        </w:rPr>
        <w:t xml:space="preserve"> من الدرجة الثانية. </w:t>
      </w:r>
      <w:r>
        <w:rPr>
          <w:rFonts w:hint="cs"/>
          <w:rtl/>
        </w:rPr>
        <w:t xml:space="preserve">وهذه النقطة مركزيّة في بحثنا؛ لأن </w:t>
      </w:r>
      <w:r w:rsidRPr="007D7079">
        <w:rPr>
          <w:rFonts w:hint="cs"/>
          <w:rtl/>
        </w:rPr>
        <w:t>نظام العصر الجديد</w:t>
      </w:r>
      <w:r>
        <w:rPr>
          <w:rFonts w:hint="cs"/>
          <w:rtl/>
        </w:rPr>
        <w:t xml:space="preserve"> أو </w:t>
      </w:r>
      <w:r w:rsidRPr="007D7079">
        <w:rPr>
          <w:rFonts w:hint="cs"/>
          <w:rtl/>
        </w:rPr>
        <w:t>النظام المتحض</w:t>
      </w:r>
      <w:r>
        <w:rPr>
          <w:rFonts w:hint="cs"/>
          <w:rtl/>
        </w:rPr>
        <w:t>ّ</w:t>
      </w:r>
      <w:r w:rsidRPr="007D7079">
        <w:rPr>
          <w:rFonts w:hint="cs"/>
          <w:rtl/>
        </w:rPr>
        <w:t xml:space="preserve">ر وإن </w:t>
      </w:r>
      <w:r>
        <w:rPr>
          <w:rFonts w:hint="cs"/>
          <w:rtl/>
        </w:rPr>
        <w:t>عرف بنظام</w:t>
      </w:r>
      <w:r w:rsidRPr="007D7079">
        <w:rPr>
          <w:rFonts w:hint="cs"/>
          <w:rtl/>
        </w:rPr>
        <w:t xml:space="preserve"> المساواة </w:t>
      </w:r>
      <w:r>
        <w:rPr>
          <w:rFonts w:hint="cs"/>
          <w:rtl/>
        </w:rPr>
        <w:t>دون سيادة الرجل،</w:t>
      </w:r>
      <w:r w:rsidRPr="007D7079">
        <w:rPr>
          <w:rFonts w:hint="cs"/>
          <w:rtl/>
        </w:rPr>
        <w:t xml:space="preserve"> لكن </w:t>
      </w:r>
      <w:r>
        <w:rPr>
          <w:rFonts w:hint="cs"/>
          <w:rtl/>
        </w:rPr>
        <w:t xml:space="preserve">ثمن </w:t>
      </w:r>
      <w:r w:rsidRPr="007D7079">
        <w:rPr>
          <w:rFonts w:hint="cs"/>
          <w:rtl/>
        </w:rPr>
        <w:t xml:space="preserve">هذه المساواة </w:t>
      </w:r>
      <w:r>
        <w:rPr>
          <w:rFonts w:hint="cs"/>
          <w:rtl/>
        </w:rPr>
        <w:t>سي</w:t>
      </w:r>
      <w:r w:rsidRPr="007D7079">
        <w:rPr>
          <w:rFonts w:hint="cs"/>
          <w:rtl/>
        </w:rPr>
        <w:t>كون التضحية بخصوصي</w:t>
      </w:r>
      <w:r>
        <w:rPr>
          <w:rFonts w:hint="cs"/>
          <w:rtl/>
        </w:rPr>
        <w:t>ّ</w:t>
      </w:r>
      <w:r w:rsidRPr="007D7079">
        <w:rPr>
          <w:rFonts w:hint="cs"/>
          <w:rtl/>
        </w:rPr>
        <w:t>ة</w:t>
      </w:r>
      <w:r>
        <w:rPr>
          <w:rFonts w:hint="cs"/>
          <w:rtl/>
        </w:rPr>
        <w:t xml:space="preserve"> المرأة أو إ</w:t>
      </w:r>
      <w:r w:rsidRPr="007D7079">
        <w:rPr>
          <w:rFonts w:hint="cs"/>
          <w:rtl/>
        </w:rPr>
        <w:t>لغا</w:t>
      </w:r>
      <w:r>
        <w:rPr>
          <w:rFonts w:hint="cs"/>
          <w:rtl/>
        </w:rPr>
        <w:t xml:space="preserve">ئها أو </w:t>
      </w:r>
      <w:r w:rsidRPr="007D7079">
        <w:rPr>
          <w:rFonts w:hint="cs"/>
          <w:rtl/>
        </w:rPr>
        <w:t xml:space="preserve">تجاهلها، </w:t>
      </w:r>
      <w:r>
        <w:rPr>
          <w:rFonts w:hint="cs"/>
          <w:rtl/>
        </w:rPr>
        <w:t>أ</w:t>
      </w:r>
      <w:r w:rsidRPr="007D7079">
        <w:rPr>
          <w:rFonts w:hint="cs"/>
          <w:rtl/>
        </w:rPr>
        <w:t>لا وهي خصوصي</w:t>
      </w:r>
      <w:r>
        <w:rPr>
          <w:rFonts w:hint="cs"/>
          <w:rtl/>
        </w:rPr>
        <w:t>ّ</w:t>
      </w:r>
      <w:r w:rsidRPr="007D7079">
        <w:rPr>
          <w:rFonts w:hint="cs"/>
          <w:rtl/>
        </w:rPr>
        <w:t xml:space="preserve">ة </w:t>
      </w:r>
      <w:r>
        <w:rPr>
          <w:rFonts w:hint="cs"/>
          <w:rtl/>
        </w:rPr>
        <w:t xml:space="preserve">الإنجاب وإبقاء النسل، </w:t>
      </w:r>
      <w:r w:rsidRPr="007D7079">
        <w:rPr>
          <w:rFonts w:hint="cs"/>
          <w:rtl/>
        </w:rPr>
        <w:t>وبعبارة</w:t>
      </w:r>
      <w:r>
        <w:rPr>
          <w:rFonts w:hint="cs"/>
          <w:rtl/>
        </w:rPr>
        <w:t>ٍ</w:t>
      </w:r>
      <w:r w:rsidRPr="007D7079">
        <w:rPr>
          <w:rFonts w:hint="cs"/>
          <w:rtl/>
        </w:rPr>
        <w:t xml:space="preserve"> </w:t>
      </w:r>
      <w:r>
        <w:rPr>
          <w:rFonts w:hint="cs"/>
          <w:rtl/>
        </w:rPr>
        <w:t>أخرى</w:t>
      </w:r>
      <w:r w:rsidRPr="007D7079">
        <w:rPr>
          <w:rFonts w:hint="cs"/>
          <w:rtl/>
        </w:rPr>
        <w:t xml:space="preserve"> </w:t>
      </w:r>
      <w:r>
        <w:rPr>
          <w:rFonts w:hint="cs"/>
          <w:rtl/>
        </w:rPr>
        <w:t xml:space="preserve">إنّما تمكّنت المرأة </w:t>
      </w:r>
      <w:r w:rsidRPr="007D7079">
        <w:rPr>
          <w:rFonts w:hint="cs"/>
          <w:rtl/>
        </w:rPr>
        <w:t xml:space="preserve">الغربية من </w:t>
      </w:r>
      <w:r>
        <w:rPr>
          <w:rFonts w:hint="cs"/>
          <w:rtl/>
        </w:rPr>
        <w:t>نيل المساواة</w:t>
      </w:r>
      <w:r w:rsidRPr="007D7079">
        <w:rPr>
          <w:rFonts w:hint="cs"/>
          <w:rtl/>
        </w:rPr>
        <w:t xml:space="preserve"> عن طريق التشبّه بالرجل وعدم الاعتناء بخصوصي</w:t>
      </w:r>
      <w:r>
        <w:rPr>
          <w:rFonts w:hint="cs"/>
          <w:rtl/>
        </w:rPr>
        <w:t>ّ</w:t>
      </w:r>
      <w:r w:rsidRPr="007D7079">
        <w:rPr>
          <w:rFonts w:hint="cs"/>
          <w:rtl/>
        </w:rPr>
        <w:t>اتها التي خ</w:t>
      </w:r>
      <w:r>
        <w:rPr>
          <w:rFonts w:hint="cs"/>
          <w:rtl/>
        </w:rPr>
        <w:t>ُلقت معها</w:t>
      </w:r>
      <w:r w:rsidRPr="007D7079">
        <w:rPr>
          <w:rFonts w:hint="cs"/>
          <w:rtl/>
        </w:rPr>
        <w:t>.</w:t>
      </w:r>
    </w:p>
    <w:p w:rsidR="006E0FDB" w:rsidRDefault="006E0FDB" w:rsidP="009368DE">
      <w:pPr>
        <w:pStyle w:val="ac"/>
        <w:spacing w:line="209" w:lineRule="auto"/>
        <w:rPr>
          <w:rtl/>
        </w:rPr>
      </w:pPr>
      <w:r w:rsidRPr="007D7079">
        <w:rPr>
          <w:rFonts w:hint="cs"/>
          <w:rtl/>
        </w:rPr>
        <w:t xml:space="preserve">بل </w:t>
      </w:r>
      <w:r>
        <w:rPr>
          <w:rFonts w:hint="cs"/>
          <w:rtl/>
        </w:rPr>
        <w:t xml:space="preserve">يذهب </w:t>
      </w:r>
      <w:r w:rsidRPr="007D7079">
        <w:rPr>
          <w:rFonts w:hint="cs"/>
          <w:rtl/>
        </w:rPr>
        <w:t xml:space="preserve">بعض </w:t>
      </w:r>
      <w:r>
        <w:rPr>
          <w:rFonts w:hint="cs"/>
          <w:rtl/>
        </w:rPr>
        <w:t>الباحثين</w:t>
      </w:r>
      <w:r w:rsidRPr="007D7079">
        <w:rPr>
          <w:rFonts w:hint="cs"/>
          <w:rtl/>
        </w:rPr>
        <w:t xml:space="preserve"> </w:t>
      </w:r>
      <w:r>
        <w:rPr>
          <w:rFonts w:hint="cs"/>
          <w:rtl/>
        </w:rPr>
        <w:t xml:space="preserve">إلى </w:t>
      </w:r>
      <w:r w:rsidRPr="007D7079">
        <w:rPr>
          <w:rFonts w:hint="cs"/>
          <w:rtl/>
        </w:rPr>
        <w:t>أن الطريقة التي اعتمدتها</w:t>
      </w:r>
      <w:r>
        <w:rPr>
          <w:rFonts w:hint="cs"/>
          <w:rtl/>
        </w:rPr>
        <w:t xml:space="preserve"> المرأة </w:t>
      </w:r>
      <w:r w:rsidRPr="007D7079">
        <w:rPr>
          <w:rFonts w:hint="cs"/>
          <w:rtl/>
        </w:rPr>
        <w:t>للتشب</w:t>
      </w:r>
      <w:r>
        <w:rPr>
          <w:rFonts w:hint="cs"/>
          <w:rtl/>
        </w:rPr>
        <w:t>ّ</w:t>
      </w:r>
      <w:r w:rsidRPr="007D7079">
        <w:rPr>
          <w:rFonts w:hint="cs"/>
          <w:rtl/>
        </w:rPr>
        <w:t>ه بالرجل يظهر منها أن</w:t>
      </w:r>
      <w:r>
        <w:rPr>
          <w:rFonts w:hint="cs"/>
          <w:rtl/>
        </w:rPr>
        <w:t xml:space="preserve">ّها كانت </w:t>
      </w:r>
      <w:r w:rsidRPr="007D7079">
        <w:rPr>
          <w:rFonts w:hint="cs"/>
          <w:rtl/>
        </w:rPr>
        <w:t>تريد أن تحل</w:t>
      </w:r>
      <w:r>
        <w:rPr>
          <w:rFonts w:hint="cs"/>
          <w:rtl/>
        </w:rPr>
        <w:t>ّ</w:t>
      </w:r>
      <w:r w:rsidRPr="007D7079">
        <w:rPr>
          <w:rFonts w:hint="cs"/>
          <w:rtl/>
        </w:rPr>
        <w:t xml:space="preserve"> محل</w:t>
      </w:r>
      <w:r>
        <w:rPr>
          <w:rFonts w:hint="cs"/>
          <w:rtl/>
        </w:rPr>
        <w:t>ّه</w:t>
      </w:r>
      <w:r w:rsidRPr="007D7079">
        <w:rPr>
          <w:rFonts w:hint="cs"/>
          <w:rtl/>
        </w:rPr>
        <w:t xml:space="preserve"> في خصوصي</w:t>
      </w:r>
      <w:r>
        <w:rPr>
          <w:rFonts w:hint="cs"/>
          <w:rtl/>
        </w:rPr>
        <w:t>ّ</w:t>
      </w:r>
      <w:r w:rsidRPr="007D7079">
        <w:rPr>
          <w:rFonts w:hint="cs"/>
          <w:rtl/>
        </w:rPr>
        <w:t xml:space="preserve">ات التسلط، </w:t>
      </w:r>
      <w:r>
        <w:rPr>
          <w:rFonts w:hint="cs"/>
          <w:rtl/>
        </w:rPr>
        <w:t>و</w:t>
      </w:r>
      <w:r w:rsidRPr="007D7079">
        <w:rPr>
          <w:rFonts w:hint="cs"/>
          <w:rtl/>
        </w:rPr>
        <w:t xml:space="preserve">القهر، </w:t>
      </w:r>
      <w:r>
        <w:rPr>
          <w:rFonts w:hint="cs"/>
          <w:rtl/>
        </w:rPr>
        <w:t>و</w:t>
      </w:r>
      <w:r w:rsidRPr="007D7079">
        <w:rPr>
          <w:rFonts w:hint="cs"/>
          <w:rtl/>
        </w:rPr>
        <w:t>الخشونة</w:t>
      </w:r>
      <w:r>
        <w:rPr>
          <w:rFonts w:hint="cs"/>
          <w:rtl/>
        </w:rPr>
        <w:t>،</w:t>
      </w:r>
      <w:r w:rsidRPr="007D7079">
        <w:rPr>
          <w:rFonts w:hint="cs"/>
          <w:rtl/>
        </w:rPr>
        <w:t xml:space="preserve"> </w:t>
      </w:r>
      <w:r>
        <w:rPr>
          <w:rFonts w:hint="cs"/>
          <w:rtl/>
        </w:rPr>
        <w:t xml:space="preserve">وهي السمات </w:t>
      </w:r>
      <w:r w:rsidRPr="007D7079">
        <w:rPr>
          <w:rFonts w:hint="cs"/>
          <w:rtl/>
        </w:rPr>
        <w:t>التي كانت سائدة</w:t>
      </w:r>
      <w:r>
        <w:rPr>
          <w:rFonts w:hint="cs"/>
          <w:rtl/>
        </w:rPr>
        <w:t>ً</w:t>
      </w:r>
      <w:r w:rsidRPr="007D7079">
        <w:rPr>
          <w:rFonts w:hint="cs"/>
          <w:rtl/>
        </w:rPr>
        <w:t xml:space="preserve"> في العصر السابق</w:t>
      </w:r>
      <w:r>
        <w:rPr>
          <w:rFonts w:hint="cs"/>
          <w:rtl/>
        </w:rPr>
        <w:t>،</w:t>
      </w:r>
      <w:r w:rsidRPr="007D7079">
        <w:rPr>
          <w:rFonts w:hint="cs"/>
          <w:rtl/>
        </w:rPr>
        <w:t xml:space="preserve"> </w:t>
      </w:r>
      <w:r>
        <w:rPr>
          <w:rFonts w:hint="cs"/>
          <w:rtl/>
        </w:rPr>
        <w:t>عصر سيادة الرجل،</w:t>
      </w:r>
      <w:r w:rsidRPr="007D7079">
        <w:rPr>
          <w:rFonts w:hint="cs"/>
          <w:rtl/>
        </w:rPr>
        <w:t xml:space="preserve"> وبعبارة ثالثة إن الغرب يتحو</w:t>
      </w:r>
      <w:r>
        <w:rPr>
          <w:rFonts w:hint="cs"/>
          <w:rtl/>
        </w:rPr>
        <w:t>ّ</w:t>
      </w:r>
      <w:r w:rsidRPr="007D7079">
        <w:rPr>
          <w:rFonts w:hint="cs"/>
          <w:rtl/>
        </w:rPr>
        <w:t>ل وبشكل تدريجي</w:t>
      </w:r>
      <w:r>
        <w:rPr>
          <w:rFonts w:hint="cs"/>
          <w:rtl/>
        </w:rPr>
        <w:t xml:space="preserve"> إلى </w:t>
      </w:r>
      <w:r w:rsidRPr="007D7079">
        <w:rPr>
          <w:rFonts w:hint="cs"/>
          <w:rtl/>
        </w:rPr>
        <w:t>عصر</w:t>
      </w:r>
      <w:r>
        <w:rPr>
          <w:rFonts w:hint="cs"/>
          <w:rtl/>
        </w:rPr>
        <w:t>ٍ</w:t>
      </w:r>
      <w:r w:rsidRPr="007D7079">
        <w:rPr>
          <w:rFonts w:hint="cs"/>
          <w:rtl/>
        </w:rPr>
        <w:t xml:space="preserve"> جديد يمكن تسمي</w:t>
      </w:r>
      <w:r>
        <w:rPr>
          <w:rFonts w:hint="cs"/>
          <w:rtl/>
        </w:rPr>
        <w:t>ته</w:t>
      </w:r>
      <w:r w:rsidRPr="007D7079">
        <w:rPr>
          <w:rFonts w:hint="cs"/>
          <w:rtl/>
        </w:rPr>
        <w:t xml:space="preserve"> عصر سياد</w:t>
      </w:r>
      <w:r w:rsidRPr="007D7079">
        <w:rPr>
          <w:rFonts w:hint="eastAsia"/>
          <w:rtl/>
        </w:rPr>
        <w:t>ة</w:t>
      </w:r>
      <w:r>
        <w:rPr>
          <w:rFonts w:hint="cs"/>
          <w:rtl/>
        </w:rPr>
        <w:t xml:space="preserve"> المرأة.</w:t>
      </w:r>
    </w:p>
    <w:p w:rsidR="006E0FDB" w:rsidRDefault="006E0FDB" w:rsidP="006E0FDB">
      <w:pPr>
        <w:pStyle w:val="ac"/>
        <w:rPr>
          <w:rtl/>
        </w:rPr>
      </w:pPr>
      <w:r w:rsidRPr="00743890">
        <w:rPr>
          <w:rFonts w:hint="cs"/>
          <w:rtl/>
        </w:rPr>
        <w:t>إنّ شعار التساوي والمساواة بين حقوق الرجل والمرأة وإن كان محور الصراع العلمي والعملي للحركات النسوية في الغرب، لكنّ النتيجة التي لا يمكن تجنّبها لنموّ هذه النسويات هي ظواهر مثيلي الجنس وازدياد نسبة الطلاق، واتجاه المرأة نحو التسلّط.</w:t>
      </w:r>
    </w:p>
    <w:p w:rsidR="006E0FDB" w:rsidRDefault="006E0FDB" w:rsidP="006E0FDB">
      <w:pPr>
        <w:pStyle w:val="1"/>
        <w:rPr>
          <w:rFonts w:cs="Abz-1 (Lotus)"/>
          <w:rtl/>
        </w:rPr>
      </w:pPr>
      <w:bookmarkStart w:id="534" w:name="_Toc169521457"/>
      <w:bookmarkStart w:id="535" w:name="_Toc275128227"/>
      <w:r w:rsidRPr="00D457EB">
        <w:rPr>
          <w:rFonts w:hint="cs"/>
          <w:rtl/>
        </w:rPr>
        <w:lastRenderedPageBreak/>
        <w:t>الحركة النسوية في إيران</w:t>
      </w:r>
      <w:r w:rsidRPr="003A6D60">
        <w:rPr>
          <w:rFonts w:cs="Simplified Arabic" w:hint="cs"/>
          <w:rtl/>
        </w:rPr>
        <w:t>:</w:t>
      </w:r>
      <w:r w:rsidRPr="00D457EB">
        <w:rPr>
          <w:rFonts w:hint="cs"/>
          <w:rtl/>
        </w:rPr>
        <w:t xml:space="preserve"> الاستراتيجيات وبرامج العمل</w:t>
      </w:r>
      <w:bookmarkEnd w:id="534"/>
      <w:bookmarkEnd w:id="535"/>
    </w:p>
    <w:p w:rsidR="006E0FDB" w:rsidRDefault="006E0FDB" w:rsidP="006E0FDB">
      <w:pPr>
        <w:pStyle w:val="ac"/>
        <w:rPr>
          <w:rtl/>
        </w:rPr>
      </w:pPr>
      <w:r>
        <w:rPr>
          <w:rFonts w:hint="cs"/>
          <w:rtl/>
        </w:rPr>
        <w:t>السؤال الذي يطرح نفسه الآ</w:t>
      </w:r>
      <w:r w:rsidRPr="007D7079">
        <w:rPr>
          <w:rFonts w:hint="cs"/>
          <w:rtl/>
        </w:rPr>
        <w:t>ن هو</w:t>
      </w:r>
      <w:r>
        <w:rPr>
          <w:rFonts w:hint="cs"/>
          <w:rtl/>
        </w:rPr>
        <w:t>:</w:t>
      </w:r>
      <w:r w:rsidRPr="007D7079">
        <w:rPr>
          <w:rFonts w:hint="cs"/>
          <w:rtl/>
        </w:rPr>
        <w:t xml:space="preserve"> هل التبعية الصرفة والتقليد </w:t>
      </w:r>
      <w:r>
        <w:rPr>
          <w:rFonts w:hint="cs"/>
          <w:rtl/>
        </w:rPr>
        <w:t xml:space="preserve">المحض </w:t>
      </w:r>
      <w:r w:rsidRPr="007D7079">
        <w:rPr>
          <w:rFonts w:hint="cs"/>
          <w:rtl/>
        </w:rPr>
        <w:t>من طرف</w:t>
      </w:r>
      <w:r>
        <w:rPr>
          <w:rFonts w:hint="cs"/>
          <w:rtl/>
        </w:rPr>
        <w:t>ٍ</w:t>
      </w:r>
      <w:r w:rsidRPr="007D7079">
        <w:rPr>
          <w:rFonts w:hint="cs"/>
          <w:rtl/>
        </w:rPr>
        <w:t xml:space="preserve"> واحد لشعارات النسوية الغربية </w:t>
      </w:r>
      <w:r>
        <w:rPr>
          <w:rFonts w:hint="cs"/>
          <w:rtl/>
        </w:rPr>
        <w:t xml:space="preserve">ومبادئها </w:t>
      </w:r>
      <w:r w:rsidRPr="007D7079">
        <w:rPr>
          <w:rFonts w:hint="cs"/>
          <w:rtl/>
        </w:rPr>
        <w:t>ـ مع ملاحظة ما يترت</w:t>
      </w:r>
      <w:r>
        <w:rPr>
          <w:rFonts w:hint="cs"/>
          <w:rtl/>
        </w:rPr>
        <w:t>ّب على ذلك ـ يمكنه أ</w:t>
      </w:r>
      <w:r w:rsidRPr="007D7079">
        <w:rPr>
          <w:rFonts w:hint="cs"/>
          <w:rtl/>
        </w:rPr>
        <w:t>ن يكون لصالح</w:t>
      </w:r>
      <w:r>
        <w:rPr>
          <w:rFonts w:hint="cs"/>
          <w:rtl/>
        </w:rPr>
        <w:t xml:space="preserve"> المرأة الإ</w:t>
      </w:r>
      <w:r w:rsidRPr="007D7079">
        <w:rPr>
          <w:rFonts w:hint="cs"/>
          <w:rtl/>
        </w:rPr>
        <w:t>يراني</w:t>
      </w:r>
      <w:r>
        <w:rPr>
          <w:rFonts w:hint="cs"/>
          <w:rtl/>
        </w:rPr>
        <w:t>ّ</w:t>
      </w:r>
      <w:r w:rsidRPr="007D7079">
        <w:rPr>
          <w:rFonts w:hint="cs"/>
          <w:rtl/>
        </w:rPr>
        <w:t xml:space="preserve">ة؟ وبعبارة </w:t>
      </w:r>
      <w:r>
        <w:rPr>
          <w:rFonts w:hint="cs"/>
          <w:rtl/>
        </w:rPr>
        <w:t>أخرى،</w:t>
      </w:r>
      <w:r w:rsidRPr="007D7079">
        <w:rPr>
          <w:rFonts w:hint="cs"/>
          <w:rtl/>
        </w:rPr>
        <w:t xml:space="preserve"> </w:t>
      </w:r>
      <w:r>
        <w:rPr>
          <w:rFonts w:hint="cs"/>
          <w:rtl/>
        </w:rPr>
        <w:t>هل ينحصر سبيل أ</w:t>
      </w:r>
      <w:r w:rsidRPr="007D7079">
        <w:rPr>
          <w:rFonts w:hint="cs"/>
          <w:rtl/>
        </w:rPr>
        <w:t>نصار حقوق</w:t>
      </w:r>
      <w:r>
        <w:rPr>
          <w:rFonts w:hint="cs"/>
          <w:rtl/>
        </w:rPr>
        <w:t xml:space="preserve"> المرأة في إ</w:t>
      </w:r>
      <w:r w:rsidRPr="007D7079">
        <w:rPr>
          <w:rFonts w:hint="cs"/>
          <w:rtl/>
        </w:rPr>
        <w:t xml:space="preserve">يران </w:t>
      </w:r>
      <w:r>
        <w:rPr>
          <w:rFonts w:hint="cs"/>
          <w:rtl/>
        </w:rPr>
        <w:t xml:space="preserve">ـ </w:t>
      </w:r>
      <w:r w:rsidRPr="007D7079">
        <w:rPr>
          <w:rFonts w:hint="cs"/>
          <w:rtl/>
        </w:rPr>
        <w:t>عن علم</w:t>
      </w:r>
      <w:r>
        <w:rPr>
          <w:rFonts w:hint="cs"/>
          <w:rtl/>
        </w:rPr>
        <w:t xml:space="preserve"> أو </w:t>
      </w:r>
      <w:r w:rsidRPr="007D7079">
        <w:rPr>
          <w:rFonts w:hint="cs"/>
          <w:rtl/>
        </w:rPr>
        <w:t xml:space="preserve">جهل </w:t>
      </w:r>
      <w:r>
        <w:rPr>
          <w:rFonts w:hint="cs"/>
          <w:rtl/>
        </w:rPr>
        <w:t xml:space="preserve">ـ </w:t>
      </w:r>
      <w:r w:rsidRPr="007D7079">
        <w:rPr>
          <w:rFonts w:hint="cs"/>
          <w:rtl/>
        </w:rPr>
        <w:t>بات</w:t>
      </w:r>
      <w:r>
        <w:rPr>
          <w:rFonts w:hint="cs"/>
          <w:rtl/>
        </w:rPr>
        <w:t>ّ</w:t>
      </w:r>
      <w:r w:rsidRPr="007D7079">
        <w:rPr>
          <w:rFonts w:hint="cs"/>
          <w:rtl/>
        </w:rPr>
        <w:t>باع طريق الغرب</w:t>
      </w:r>
      <w:r>
        <w:rPr>
          <w:rFonts w:hint="cs"/>
          <w:rtl/>
        </w:rPr>
        <w:t>،</w:t>
      </w:r>
      <w:r w:rsidRPr="007D7079">
        <w:rPr>
          <w:rFonts w:hint="cs"/>
          <w:rtl/>
        </w:rPr>
        <w:t xml:space="preserve"> أي العمل على إيجاد تشابه</w:t>
      </w:r>
      <w:r>
        <w:rPr>
          <w:rFonts w:hint="cs"/>
          <w:rtl/>
        </w:rPr>
        <w:t>ٍ</w:t>
      </w:r>
      <w:r w:rsidRPr="007D7079">
        <w:rPr>
          <w:rFonts w:hint="cs"/>
          <w:rtl/>
        </w:rPr>
        <w:t xml:space="preserve"> بين الرجل والمرأة لإحقاق حقوق</w:t>
      </w:r>
      <w:r>
        <w:rPr>
          <w:rFonts w:hint="cs"/>
          <w:rtl/>
        </w:rPr>
        <w:t>ها؟ والأ</w:t>
      </w:r>
      <w:r w:rsidRPr="007D7079">
        <w:rPr>
          <w:rFonts w:hint="cs"/>
          <w:rtl/>
        </w:rPr>
        <w:t>هم من هذا كل</w:t>
      </w:r>
      <w:r>
        <w:rPr>
          <w:rFonts w:hint="cs"/>
          <w:rtl/>
        </w:rPr>
        <w:t>ّ</w:t>
      </w:r>
      <w:r w:rsidRPr="007D7079">
        <w:rPr>
          <w:rFonts w:hint="cs"/>
          <w:rtl/>
        </w:rPr>
        <w:t xml:space="preserve">ه أن الطريق الوحيد لإحقاق الحقوق هل ينحصر </w:t>
      </w:r>
      <w:r>
        <w:rPr>
          <w:rFonts w:hint="cs"/>
          <w:rtl/>
        </w:rPr>
        <w:t xml:space="preserve">ـ فعلاً ـ </w:t>
      </w:r>
      <w:r w:rsidRPr="007D7079">
        <w:rPr>
          <w:rFonts w:hint="cs"/>
          <w:rtl/>
        </w:rPr>
        <w:t>بجعل</w:t>
      </w:r>
      <w:r>
        <w:rPr>
          <w:rFonts w:hint="cs"/>
          <w:rtl/>
        </w:rPr>
        <w:t xml:space="preserve"> المرأة </w:t>
      </w:r>
      <w:r w:rsidRPr="007D7079">
        <w:rPr>
          <w:rFonts w:hint="cs"/>
          <w:rtl/>
        </w:rPr>
        <w:t>شبيهة</w:t>
      </w:r>
      <w:r>
        <w:rPr>
          <w:rFonts w:hint="cs"/>
          <w:rtl/>
        </w:rPr>
        <w:t>ً للرجل بشكل كامل؟</w:t>
      </w:r>
    </w:p>
    <w:p w:rsidR="006E0FDB" w:rsidRDefault="006E0FDB" w:rsidP="006E0FDB">
      <w:pPr>
        <w:pStyle w:val="ac"/>
        <w:rPr>
          <w:rtl/>
        </w:rPr>
      </w:pPr>
      <w:r>
        <w:rPr>
          <w:rFonts w:hint="cs"/>
          <w:rtl/>
        </w:rPr>
        <w:t>و</w:t>
      </w:r>
      <w:r w:rsidRPr="007D7079">
        <w:rPr>
          <w:rFonts w:hint="cs"/>
          <w:rtl/>
        </w:rPr>
        <w:t>الجواب عم</w:t>
      </w:r>
      <w:r>
        <w:rPr>
          <w:rFonts w:hint="cs"/>
          <w:rtl/>
        </w:rPr>
        <w:t>ّ</w:t>
      </w:r>
      <w:r w:rsidRPr="007D7079">
        <w:rPr>
          <w:rFonts w:hint="cs"/>
          <w:rtl/>
        </w:rPr>
        <w:t xml:space="preserve">ا سبق </w:t>
      </w:r>
      <w:r>
        <w:rPr>
          <w:rFonts w:hint="cs"/>
          <w:rtl/>
        </w:rPr>
        <w:t>سلبيٌّ</w:t>
      </w:r>
      <w:r w:rsidRPr="007D7079">
        <w:rPr>
          <w:rFonts w:hint="cs"/>
          <w:rtl/>
        </w:rPr>
        <w:t xml:space="preserve">، فلا التشابه الكامل بين </w:t>
      </w:r>
      <w:r>
        <w:rPr>
          <w:rFonts w:hint="cs"/>
          <w:rtl/>
        </w:rPr>
        <w:t>الجنسين،</w:t>
      </w:r>
      <w:r w:rsidRPr="007D7079">
        <w:rPr>
          <w:rFonts w:hint="cs"/>
          <w:rtl/>
        </w:rPr>
        <w:t xml:space="preserve"> ولا كون الرجل والمرأة مُكمّلان لبعضهما هو الذي يمكنه حلّ قضايا المرأة، بل الحلّ إنما يكون بالتلفيق بين كونهما مُكم</w:t>
      </w:r>
      <w:r>
        <w:rPr>
          <w:rFonts w:hint="cs"/>
          <w:rtl/>
        </w:rPr>
        <w:t>ّ</w:t>
      </w:r>
      <w:r w:rsidRPr="007D7079">
        <w:rPr>
          <w:rFonts w:hint="cs"/>
          <w:rtl/>
        </w:rPr>
        <w:t>لين لبعضهما ومتشابهين</w:t>
      </w:r>
      <w:r>
        <w:rPr>
          <w:rFonts w:hint="cs"/>
          <w:rtl/>
        </w:rPr>
        <w:t>،</w:t>
      </w:r>
      <w:r w:rsidRPr="007D7079">
        <w:rPr>
          <w:rFonts w:hint="cs"/>
          <w:rtl/>
        </w:rPr>
        <w:t xml:space="preserve"> دون التضحية بخصوصي</w:t>
      </w:r>
      <w:r>
        <w:rPr>
          <w:rFonts w:hint="cs"/>
          <w:rtl/>
        </w:rPr>
        <w:t>ّ</w:t>
      </w:r>
      <w:r w:rsidRPr="007D7079">
        <w:rPr>
          <w:rFonts w:hint="cs"/>
          <w:rtl/>
        </w:rPr>
        <w:t>ة الرجل وخصوصي</w:t>
      </w:r>
      <w:r>
        <w:rPr>
          <w:rFonts w:hint="cs"/>
          <w:rtl/>
        </w:rPr>
        <w:t>ّة المرأة،</w:t>
      </w:r>
      <w:r w:rsidRPr="007D7079">
        <w:rPr>
          <w:rFonts w:hint="cs"/>
          <w:rtl/>
        </w:rPr>
        <w:t xml:space="preserve"> وهذا ما يُمكن أن يكون الهدف الذي تسعى إليه المرأة</w:t>
      </w:r>
      <w:r>
        <w:rPr>
          <w:rFonts w:hint="cs"/>
          <w:rtl/>
        </w:rPr>
        <w:t>،</w:t>
      </w:r>
      <w:r w:rsidRPr="007D7079">
        <w:rPr>
          <w:rFonts w:hint="cs"/>
          <w:rtl/>
        </w:rPr>
        <w:t xml:space="preserve"> نعم كون</w:t>
      </w:r>
      <w:r>
        <w:rPr>
          <w:rFonts w:hint="cs"/>
          <w:rtl/>
        </w:rPr>
        <w:t xml:space="preserve"> المرأة </w:t>
      </w:r>
      <w:r w:rsidRPr="007D7079">
        <w:rPr>
          <w:rFonts w:hint="cs"/>
          <w:rtl/>
        </w:rPr>
        <w:t>مُكملة</w:t>
      </w:r>
      <w:r>
        <w:rPr>
          <w:rFonts w:hint="cs"/>
          <w:rtl/>
        </w:rPr>
        <w:t>ً</w:t>
      </w:r>
      <w:r w:rsidRPr="007D7079">
        <w:rPr>
          <w:rFonts w:hint="cs"/>
          <w:rtl/>
        </w:rPr>
        <w:t xml:space="preserve"> للرجل و</w:t>
      </w:r>
      <w:r>
        <w:rPr>
          <w:rFonts w:hint="cs"/>
          <w:rtl/>
        </w:rPr>
        <w:t>ب</w:t>
      </w:r>
      <w:r w:rsidRPr="007D7079">
        <w:rPr>
          <w:rFonts w:hint="cs"/>
          <w:rtl/>
        </w:rPr>
        <w:t>العكس ل</w:t>
      </w:r>
      <w:r>
        <w:rPr>
          <w:rFonts w:hint="cs"/>
          <w:rtl/>
        </w:rPr>
        <w:t>ا</w:t>
      </w:r>
      <w:r w:rsidRPr="007D7079">
        <w:rPr>
          <w:rFonts w:hint="cs"/>
          <w:rtl/>
        </w:rPr>
        <w:t xml:space="preserve"> </w:t>
      </w:r>
      <w:r>
        <w:rPr>
          <w:rFonts w:hint="cs"/>
          <w:rtl/>
        </w:rPr>
        <w:t>ي</w:t>
      </w:r>
      <w:r w:rsidRPr="007D7079">
        <w:rPr>
          <w:rFonts w:hint="cs"/>
          <w:rtl/>
        </w:rPr>
        <w:t>راد منه ما هو متعارف</w:t>
      </w:r>
      <w:r>
        <w:rPr>
          <w:rFonts w:hint="cs"/>
          <w:rtl/>
        </w:rPr>
        <w:t xml:space="preserve">ٌ في </w:t>
      </w:r>
      <w:r w:rsidRPr="007D7079">
        <w:rPr>
          <w:rFonts w:hint="cs"/>
          <w:rtl/>
        </w:rPr>
        <w:t>نظام سيادة الرجل، أي إن</w:t>
      </w:r>
      <w:r>
        <w:rPr>
          <w:rFonts w:hint="cs"/>
          <w:rtl/>
        </w:rPr>
        <w:t>ّ</w:t>
      </w:r>
      <w:r w:rsidRPr="007D7079">
        <w:rPr>
          <w:rFonts w:hint="cs"/>
          <w:rtl/>
        </w:rPr>
        <w:t xml:space="preserve"> هذا التعاون بين </w:t>
      </w:r>
      <w:r>
        <w:rPr>
          <w:rFonts w:hint="cs"/>
          <w:rtl/>
        </w:rPr>
        <w:t>الطرفين</w:t>
      </w:r>
      <w:r w:rsidRPr="007D7079">
        <w:rPr>
          <w:rFonts w:hint="cs"/>
          <w:rtl/>
        </w:rPr>
        <w:t xml:space="preserve"> لا يتم</w:t>
      </w:r>
      <w:r>
        <w:rPr>
          <w:rFonts w:hint="cs"/>
          <w:rtl/>
        </w:rPr>
        <w:t>ّ</w:t>
      </w:r>
      <w:r w:rsidRPr="007D7079">
        <w:rPr>
          <w:rFonts w:hint="cs"/>
          <w:rtl/>
        </w:rPr>
        <w:t xml:space="preserve"> في </w:t>
      </w:r>
      <w:r>
        <w:rPr>
          <w:rFonts w:hint="cs"/>
          <w:rtl/>
        </w:rPr>
        <w:t xml:space="preserve">ظلّ مفهوم التعاون </w:t>
      </w:r>
      <w:r w:rsidRPr="007D7079">
        <w:rPr>
          <w:rFonts w:hint="cs"/>
          <w:rtl/>
        </w:rPr>
        <w:t>بين جنسين أحدهما أفضل</w:t>
      </w:r>
      <w:r>
        <w:rPr>
          <w:rFonts w:hint="cs"/>
          <w:rtl/>
        </w:rPr>
        <w:t xml:space="preserve"> أو متعاديين، بل يُمكن القول بأ</w:t>
      </w:r>
      <w:r w:rsidRPr="007D7079">
        <w:rPr>
          <w:rFonts w:hint="cs"/>
          <w:rtl/>
        </w:rPr>
        <w:t>ن</w:t>
      </w:r>
      <w:r>
        <w:rPr>
          <w:rFonts w:hint="cs"/>
          <w:rtl/>
        </w:rPr>
        <w:t>ّ</w:t>
      </w:r>
      <w:r w:rsidRPr="007D7079">
        <w:rPr>
          <w:rFonts w:hint="cs"/>
          <w:rtl/>
        </w:rPr>
        <w:t xml:space="preserve"> هذا التعاون مظهر</w:t>
      </w:r>
      <w:r>
        <w:rPr>
          <w:rFonts w:hint="cs"/>
          <w:rtl/>
        </w:rPr>
        <w:t>ٌ</w:t>
      </w:r>
      <w:r w:rsidRPr="007D7079">
        <w:rPr>
          <w:rFonts w:hint="cs"/>
          <w:rtl/>
        </w:rPr>
        <w:t xml:space="preserve"> للتكامل الذي كان سائدا</w:t>
      </w:r>
      <w:r>
        <w:rPr>
          <w:rFonts w:hint="cs"/>
          <w:rtl/>
        </w:rPr>
        <w:t>ً</w:t>
      </w:r>
      <w:r w:rsidRPr="007D7079">
        <w:rPr>
          <w:rFonts w:hint="cs"/>
          <w:rtl/>
        </w:rPr>
        <w:t xml:space="preserve"> في علاقة الرجل</w:t>
      </w:r>
      <w:r>
        <w:rPr>
          <w:rFonts w:hint="cs"/>
          <w:rtl/>
        </w:rPr>
        <w:t xml:space="preserve"> والمرأة في عصور ما قبل التاريخ،</w:t>
      </w:r>
      <w:r w:rsidRPr="007D7079">
        <w:rPr>
          <w:rFonts w:hint="cs"/>
          <w:rtl/>
        </w:rPr>
        <w:t xml:space="preserve"> التكامل المساوي يعني كون الوظائف المختلفة والمتمايزة بين الرجل والمرأة متساوية</w:t>
      </w:r>
      <w:r>
        <w:rPr>
          <w:rFonts w:hint="cs"/>
          <w:rtl/>
        </w:rPr>
        <w:t>ً،</w:t>
      </w:r>
      <w:r w:rsidRPr="007D7079">
        <w:rPr>
          <w:rFonts w:hint="cs"/>
          <w:rtl/>
        </w:rPr>
        <w:t xml:space="preserve"> سواء </w:t>
      </w:r>
      <w:r>
        <w:rPr>
          <w:rFonts w:hint="cs"/>
          <w:rtl/>
        </w:rPr>
        <w:t xml:space="preserve">على </w:t>
      </w:r>
      <w:r w:rsidRPr="007D7079">
        <w:rPr>
          <w:rFonts w:hint="cs"/>
          <w:rtl/>
        </w:rPr>
        <w:t>مستوى الدور ال</w:t>
      </w:r>
      <w:r>
        <w:rPr>
          <w:rFonts w:hint="cs"/>
          <w:rtl/>
        </w:rPr>
        <w:t>اجتماع</w:t>
      </w:r>
      <w:r w:rsidRPr="007D7079">
        <w:rPr>
          <w:rFonts w:hint="cs"/>
          <w:rtl/>
        </w:rPr>
        <w:t>ي</w:t>
      </w:r>
      <w:r>
        <w:rPr>
          <w:rFonts w:hint="cs"/>
          <w:rtl/>
        </w:rPr>
        <w:t xml:space="preserve"> أو العائلي.</w:t>
      </w:r>
    </w:p>
    <w:p w:rsidR="006E0FDB" w:rsidRDefault="006E0FDB" w:rsidP="006E0FDB">
      <w:pPr>
        <w:pStyle w:val="ac"/>
        <w:rPr>
          <w:rtl/>
        </w:rPr>
      </w:pPr>
      <w:r w:rsidRPr="007D7079">
        <w:rPr>
          <w:rFonts w:hint="cs"/>
          <w:rtl/>
        </w:rPr>
        <w:t>إن</w:t>
      </w:r>
      <w:r>
        <w:rPr>
          <w:rFonts w:hint="cs"/>
          <w:rtl/>
        </w:rPr>
        <w:t>ّ</w:t>
      </w:r>
      <w:r w:rsidRPr="007D7079">
        <w:rPr>
          <w:rFonts w:hint="cs"/>
          <w:rtl/>
        </w:rPr>
        <w:t xml:space="preserve"> ما أراه هو أن الهدف الذي ينبغي أن تسعى إليه النسوية في إيران هو العمل على المحاور التالية:</w:t>
      </w:r>
    </w:p>
    <w:p w:rsidR="006E0FDB" w:rsidRDefault="006E0FDB" w:rsidP="009368DE">
      <w:pPr>
        <w:pStyle w:val="afffffc"/>
        <w:rPr>
          <w:rtl/>
        </w:rPr>
      </w:pPr>
    </w:p>
    <w:p w:rsidR="006E0FDB" w:rsidRPr="00D457EB" w:rsidRDefault="006E0FDB" w:rsidP="009368DE">
      <w:pPr>
        <w:pStyle w:val="2"/>
        <w:rPr>
          <w:rtl/>
        </w:rPr>
      </w:pPr>
      <w:bookmarkStart w:id="536" w:name="_Toc169521458"/>
      <w:bookmarkStart w:id="537" w:name="_Toc275128228"/>
      <w:r w:rsidRPr="00D457EB">
        <w:rPr>
          <w:rFonts w:hint="cs"/>
          <w:rtl/>
        </w:rPr>
        <w:t>1 ـ رصد الدور التقليدي للمرأة</w:t>
      </w:r>
      <w:bookmarkEnd w:id="536"/>
      <w:bookmarkEnd w:id="537"/>
      <w:r w:rsidRPr="00D457EB">
        <w:rPr>
          <w:rFonts w:hint="cs"/>
          <w:rtl/>
        </w:rPr>
        <w:t xml:space="preserve"> </w:t>
      </w:r>
    </w:p>
    <w:p w:rsidR="006E0FDB" w:rsidRDefault="006E0FDB" w:rsidP="006E0FDB">
      <w:pPr>
        <w:pStyle w:val="ac"/>
        <w:rPr>
          <w:rtl/>
        </w:rPr>
      </w:pPr>
      <w:r w:rsidRPr="00E33C4C">
        <w:rPr>
          <w:rFonts w:hint="cs"/>
          <w:bCs/>
          <w:rtl/>
        </w:rPr>
        <w:t xml:space="preserve">أولاً: </w:t>
      </w:r>
      <w:r>
        <w:rPr>
          <w:rFonts w:hint="cs"/>
          <w:rtl/>
        </w:rPr>
        <w:t>المزيد من دراسة</w:t>
      </w:r>
      <w:r w:rsidRPr="007D7079">
        <w:rPr>
          <w:rFonts w:hint="cs"/>
          <w:rtl/>
        </w:rPr>
        <w:t xml:space="preserve"> الدور التقليدي للمرأة</w:t>
      </w:r>
      <w:r>
        <w:rPr>
          <w:rFonts w:hint="cs"/>
          <w:rtl/>
        </w:rPr>
        <w:t>،</w:t>
      </w:r>
      <w:r w:rsidRPr="007D7079">
        <w:rPr>
          <w:rFonts w:hint="cs"/>
          <w:rtl/>
        </w:rPr>
        <w:t xml:space="preserve"> أي الأمومة والزوجية</w:t>
      </w:r>
      <w:r>
        <w:rPr>
          <w:rFonts w:hint="cs"/>
          <w:rtl/>
        </w:rPr>
        <w:t>،</w:t>
      </w:r>
      <w:r w:rsidRPr="007D7079">
        <w:rPr>
          <w:rFonts w:hint="cs"/>
          <w:rtl/>
        </w:rPr>
        <w:t xml:space="preserve"> </w:t>
      </w:r>
      <w:r>
        <w:rPr>
          <w:rFonts w:hint="cs"/>
          <w:rtl/>
        </w:rPr>
        <w:t>ف</w:t>
      </w:r>
      <w:r w:rsidRPr="007D7079">
        <w:rPr>
          <w:rFonts w:hint="cs"/>
          <w:rtl/>
        </w:rPr>
        <w:t>على أنصار حقوق</w:t>
      </w:r>
      <w:r>
        <w:rPr>
          <w:rFonts w:hint="cs"/>
          <w:rtl/>
        </w:rPr>
        <w:t xml:space="preserve"> المرأة </w:t>
      </w:r>
      <w:r w:rsidRPr="007D7079">
        <w:rPr>
          <w:rFonts w:hint="cs"/>
          <w:rtl/>
        </w:rPr>
        <w:t xml:space="preserve">أن يقوموا </w:t>
      </w:r>
      <w:r>
        <w:rPr>
          <w:rFonts w:hint="cs"/>
          <w:rtl/>
        </w:rPr>
        <w:t xml:space="preserve">ـ </w:t>
      </w:r>
      <w:r w:rsidRPr="007D7079">
        <w:rPr>
          <w:rFonts w:hint="cs"/>
          <w:rtl/>
        </w:rPr>
        <w:t>بدل ملاحظة ب</w:t>
      </w:r>
      <w:r>
        <w:rPr>
          <w:rFonts w:hint="cs"/>
          <w:rtl/>
        </w:rPr>
        <w:t>ُ</w:t>
      </w:r>
      <w:r w:rsidRPr="007D7079">
        <w:rPr>
          <w:rFonts w:hint="cs"/>
          <w:rtl/>
        </w:rPr>
        <w:t>عد</w:t>
      </w:r>
      <w:r>
        <w:rPr>
          <w:rFonts w:hint="cs"/>
          <w:rtl/>
        </w:rPr>
        <w:t>ٍ</w:t>
      </w:r>
      <w:r w:rsidRPr="007D7079">
        <w:rPr>
          <w:rFonts w:hint="cs"/>
          <w:rtl/>
        </w:rPr>
        <w:t xml:space="preserve"> واحد</w:t>
      </w:r>
      <w:r>
        <w:rPr>
          <w:rFonts w:hint="cs"/>
          <w:rtl/>
        </w:rPr>
        <w:t>،</w:t>
      </w:r>
      <w:r w:rsidRPr="007D7079">
        <w:rPr>
          <w:rFonts w:hint="cs"/>
          <w:rtl/>
        </w:rPr>
        <w:t xml:space="preserve"> </w:t>
      </w:r>
      <w:r>
        <w:rPr>
          <w:rFonts w:hint="cs"/>
          <w:rtl/>
        </w:rPr>
        <w:t>هو عمل المرأة</w:t>
      </w:r>
      <w:r w:rsidRPr="007D7079">
        <w:rPr>
          <w:rFonts w:hint="cs"/>
          <w:rtl/>
        </w:rPr>
        <w:t xml:space="preserve"> </w:t>
      </w:r>
      <w:r>
        <w:rPr>
          <w:rFonts w:hint="cs"/>
          <w:rtl/>
        </w:rPr>
        <w:t>ـ ب</w:t>
      </w:r>
      <w:r w:rsidRPr="007D7079">
        <w:rPr>
          <w:rFonts w:hint="cs"/>
          <w:rtl/>
        </w:rPr>
        <w:t>الالتفات</w:t>
      </w:r>
      <w:r>
        <w:rPr>
          <w:rFonts w:hint="cs"/>
          <w:rtl/>
        </w:rPr>
        <w:t xml:space="preserve"> إلى </w:t>
      </w:r>
      <w:r w:rsidRPr="007D7079">
        <w:rPr>
          <w:rFonts w:hint="cs"/>
          <w:rtl/>
        </w:rPr>
        <w:t>الظروف الحياتية ال</w:t>
      </w:r>
      <w:r>
        <w:rPr>
          <w:rFonts w:hint="cs"/>
          <w:rtl/>
        </w:rPr>
        <w:t>حقيقيّة</w:t>
      </w:r>
      <w:r w:rsidRPr="007D7079">
        <w:rPr>
          <w:rFonts w:hint="cs"/>
          <w:rtl/>
        </w:rPr>
        <w:t xml:space="preserve"> التي تعيشها أغلبي</w:t>
      </w:r>
      <w:r>
        <w:rPr>
          <w:rFonts w:hint="cs"/>
          <w:rtl/>
        </w:rPr>
        <w:t>ّة النساء الإ</w:t>
      </w:r>
      <w:r w:rsidRPr="007D7079">
        <w:rPr>
          <w:rFonts w:hint="cs"/>
          <w:rtl/>
        </w:rPr>
        <w:t>يرانيات</w:t>
      </w:r>
      <w:r>
        <w:rPr>
          <w:rFonts w:hint="cs"/>
          <w:rtl/>
        </w:rPr>
        <w:t>،</w:t>
      </w:r>
      <w:r w:rsidRPr="007D7079">
        <w:rPr>
          <w:rFonts w:hint="cs"/>
          <w:rtl/>
        </w:rPr>
        <w:t xml:space="preserve"> والتي لم </w:t>
      </w:r>
      <w:r>
        <w:rPr>
          <w:rFonts w:hint="cs"/>
          <w:rtl/>
        </w:rPr>
        <w:t>تُر إلى الآن،</w:t>
      </w:r>
      <w:r w:rsidRPr="007D7079">
        <w:rPr>
          <w:rFonts w:hint="cs"/>
          <w:rtl/>
        </w:rPr>
        <w:t xml:space="preserve"> إن تعميق هذه المعرفة ضروري</w:t>
      </w:r>
      <w:r>
        <w:rPr>
          <w:rFonts w:hint="cs"/>
          <w:rtl/>
        </w:rPr>
        <w:t>ٌ</w:t>
      </w:r>
      <w:r w:rsidRPr="007D7079">
        <w:rPr>
          <w:rFonts w:hint="cs"/>
          <w:rtl/>
        </w:rPr>
        <w:t xml:space="preserve"> لنا</w:t>
      </w:r>
      <w:r>
        <w:rPr>
          <w:rFonts w:hint="cs"/>
          <w:rtl/>
        </w:rPr>
        <w:t>؛</w:t>
      </w:r>
      <w:r w:rsidRPr="007D7079">
        <w:rPr>
          <w:rFonts w:hint="cs"/>
          <w:rtl/>
        </w:rPr>
        <w:t xml:space="preserve"> </w:t>
      </w:r>
      <w:r>
        <w:rPr>
          <w:rFonts w:hint="cs"/>
          <w:rtl/>
        </w:rPr>
        <w:t>حيث ست</w:t>
      </w:r>
      <w:r w:rsidRPr="007D7079">
        <w:rPr>
          <w:rFonts w:hint="cs"/>
          <w:rtl/>
        </w:rPr>
        <w:t xml:space="preserve">بدّل </w:t>
      </w:r>
      <w:r>
        <w:rPr>
          <w:rFonts w:hint="cs"/>
          <w:rtl/>
        </w:rPr>
        <w:t xml:space="preserve">الصورة </w:t>
      </w:r>
      <w:r w:rsidRPr="007D7079">
        <w:rPr>
          <w:rFonts w:hint="cs"/>
          <w:rtl/>
        </w:rPr>
        <w:t xml:space="preserve">السائدة </w:t>
      </w:r>
      <w:r>
        <w:rPr>
          <w:rFonts w:hint="cs"/>
          <w:rtl/>
        </w:rPr>
        <w:t>للمرأة و</w:t>
      </w:r>
      <w:r w:rsidRPr="007D7079">
        <w:rPr>
          <w:rFonts w:hint="cs"/>
          <w:rtl/>
        </w:rPr>
        <w:t xml:space="preserve">التي هي (ربّة </w:t>
      </w:r>
      <w:r>
        <w:rPr>
          <w:rFonts w:hint="cs"/>
          <w:rtl/>
        </w:rPr>
        <w:lastRenderedPageBreak/>
        <w:t>ال</w:t>
      </w:r>
      <w:r w:rsidRPr="007D7079">
        <w:rPr>
          <w:rFonts w:hint="cs"/>
          <w:rtl/>
        </w:rPr>
        <w:t>بيت)</w:t>
      </w:r>
      <w:r>
        <w:rPr>
          <w:rFonts w:hint="cs"/>
          <w:rtl/>
        </w:rPr>
        <w:t>،</w:t>
      </w:r>
      <w:r w:rsidRPr="007D7079">
        <w:rPr>
          <w:rFonts w:hint="cs"/>
          <w:rtl/>
        </w:rPr>
        <w:t>والتي توصف عادة</w:t>
      </w:r>
      <w:r>
        <w:rPr>
          <w:rFonts w:hint="cs"/>
          <w:rtl/>
        </w:rPr>
        <w:t>ً</w:t>
      </w:r>
      <w:r w:rsidRPr="007D7079">
        <w:rPr>
          <w:rFonts w:hint="cs"/>
          <w:rtl/>
        </w:rPr>
        <w:t xml:space="preserve"> ب</w:t>
      </w:r>
      <w:r>
        <w:rPr>
          <w:rFonts w:hint="cs"/>
          <w:rtl/>
        </w:rPr>
        <w:t>ال</w:t>
      </w:r>
      <w:r w:rsidRPr="007D7079">
        <w:rPr>
          <w:rFonts w:hint="cs"/>
          <w:rtl/>
        </w:rPr>
        <w:t xml:space="preserve">ضعيفة </w:t>
      </w:r>
      <w:r>
        <w:rPr>
          <w:rFonts w:hint="cs"/>
          <w:rtl/>
        </w:rPr>
        <w:t>ال</w:t>
      </w:r>
      <w:r w:rsidRPr="007D7079">
        <w:rPr>
          <w:rFonts w:hint="cs"/>
          <w:rtl/>
        </w:rPr>
        <w:t>أسيرة للرجل و..</w:t>
      </w:r>
    </w:p>
    <w:p w:rsidR="006E0FDB" w:rsidRDefault="006E0FDB" w:rsidP="009368DE">
      <w:pPr>
        <w:pStyle w:val="afffffc"/>
        <w:rPr>
          <w:rtl/>
        </w:rPr>
      </w:pPr>
    </w:p>
    <w:p w:rsidR="006E0FDB" w:rsidRPr="00D457EB" w:rsidRDefault="006E0FDB" w:rsidP="009368DE">
      <w:pPr>
        <w:pStyle w:val="2"/>
        <w:rPr>
          <w:rtl/>
        </w:rPr>
      </w:pPr>
      <w:bookmarkStart w:id="538" w:name="_Toc169521459"/>
      <w:bookmarkStart w:id="539" w:name="_Toc275128229"/>
      <w:r w:rsidRPr="00D457EB">
        <w:rPr>
          <w:rFonts w:hint="cs"/>
          <w:rtl/>
        </w:rPr>
        <w:t>2 ـ مسؤولية نظام القيم</w:t>
      </w:r>
      <w:bookmarkEnd w:id="538"/>
      <w:bookmarkEnd w:id="539"/>
    </w:p>
    <w:p w:rsidR="006E0FDB" w:rsidRDefault="006E0FDB" w:rsidP="006E0FDB">
      <w:pPr>
        <w:pStyle w:val="ac"/>
        <w:rPr>
          <w:rtl/>
        </w:rPr>
      </w:pPr>
      <w:r w:rsidRPr="00E33C4C">
        <w:rPr>
          <w:rFonts w:hint="cs"/>
          <w:bCs/>
          <w:rtl/>
        </w:rPr>
        <w:t>ثانياً:</w:t>
      </w:r>
      <w:r>
        <w:rPr>
          <w:rFonts w:hint="cs"/>
          <w:rtl/>
        </w:rPr>
        <w:t xml:space="preserve"> لابدّ </w:t>
      </w:r>
      <w:r w:rsidRPr="007D7079">
        <w:rPr>
          <w:rFonts w:hint="cs"/>
          <w:rtl/>
        </w:rPr>
        <w:t xml:space="preserve">من </w:t>
      </w:r>
      <w:r>
        <w:rPr>
          <w:rFonts w:hint="cs"/>
          <w:rtl/>
        </w:rPr>
        <w:t xml:space="preserve">الأخذ بعين الاعتبار </w:t>
      </w:r>
      <w:r w:rsidRPr="007D7079">
        <w:rPr>
          <w:rFonts w:hint="cs"/>
          <w:rtl/>
        </w:rPr>
        <w:t>أن</w:t>
      </w:r>
      <w:r>
        <w:rPr>
          <w:rFonts w:hint="cs"/>
          <w:rtl/>
        </w:rPr>
        <w:t>ّ</w:t>
      </w:r>
      <w:r w:rsidRPr="007D7079">
        <w:rPr>
          <w:rFonts w:hint="cs"/>
          <w:rtl/>
        </w:rPr>
        <w:t xml:space="preserve"> الباعث على هذه النظرة الدونية</w:t>
      </w:r>
      <w:r>
        <w:rPr>
          <w:rFonts w:hint="cs"/>
          <w:rtl/>
        </w:rPr>
        <w:t xml:space="preserve"> ل</w:t>
      </w:r>
      <w:r w:rsidRPr="007D7079">
        <w:rPr>
          <w:rFonts w:hint="cs"/>
          <w:rtl/>
        </w:rPr>
        <w:t>دور</w:t>
      </w:r>
      <w:r>
        <w:rPr>
          <w:rFonts w:hint="cs"/>
          <w:rtl/>
        </w:rPr>
        <w:t xml:space="preserve"> المرأة بوصفها </w:t>
      </w:r>
      <w:r w:rsidRPr="007D7079">
        <w:rPr>
          <w:rFonts w:hint="cs"/>
          <w:rtl/>
        </w:rPr>
        <w:t>زوجة</w:t>
      </w:r>
      <w:r>
        <w:rPr>
          <w:rFonts w:hint="cs"/>
          <w:rtl/>
        </w:rPr>
        <w:t>ً</w:t>
      </w:r>
      <w:r w:rsidRPr="007D7079">
        <w:rPr>
          <w:rFonts w:hint="cs"/>
          <w:rtl/>
        </w:rPr>
        <w:t xml:space="preserve"> وأم</w:t>
      </w:r>
      <w:r>
        <w:rPr>
          <w:rFonts w:hint="cs"/>
          <w:rtl/>
        </w:rPr>
        <w:t>ّاً</w:t>
      </w:r>
      <w:r w:rsidRPr="007D7079">
        <w:rPr>
          <w:rFonts w:hint="cs"/>
          <w:rtl/>
        </w:rPr>
        <w:t xml:space="preserve"> من قبل الرجل ليس صرف الدور الموكول </w:t>
      </w:r>
      <w:r>
        <w:rPr>
          <w:rFonts w:hint="cs"/>
          <w:rtl/>
        </w:rPr>
        <w:t>إليها</w:t>
      </w:r>
      <w:r w:rsidRPr="007D7079">
        <w:rPr>
          <w:rFonts w:hint="cs"/>
          <w:rtl/>
        </w:rPr>
        <w:t>، بل نظام القيم الناظر</w:t>
      </w:r>
      <w:r>
        <w:rPr>
          <w:rFonts w:hint="cs"/>
          <w:rtl/>
        </w:rPr>
        <w:t xml:space="preserve"> إلى </w:t>
      </w:r>
      <w:r w:rsidRPr="007D7079">
        <w:rPr>
          <w:rFonts w:hint="cs"/>
          <w:rtl/>
        </w:rPr>
        <w:t>هذا الدور، ف</w:t>
      </w:r>
      <w:r>
        <w:rPr>
          <w:rFonts w:hint="cs"/>
          <w:rtl/>
        </w:rPr>
        <w:t>هو المسؤول عن ترويج</w:t>
      </w:r>
      <w:r w:rsidRPr="007D7079">
        <w:rPr>
          <w:rFonts w:hint="cs"/>
          <w:rtl/>
        </w:rPr>
        <w:t xml:space="preserve"> هذه الصورة. إن</w:t>
      </w:r>
      <w:r>
        <w:rPr>
          <w:rFonts w:hint="cs"/>
          <w:rtl/>
        </w:rPr>
        <w:t xml:space="preserve">ّ نظام القيم هذا (سيادة الرجل) وإن تبلور في النظام العائلي فقط </w:t>
      </w:r>
      <w:r w:rsidRPr="007D7079">
        <w:rPr>
          <w:rFonts w:hint="cs"/>
          <w:rtl/>
        </w:rPr>
        <w:t>لكنه يملك من القو</w:t>
      </w:r>
      <w:r>
        <w:rPr>
          <w:rFonts w:hint="cs"/>
          <w:rtl/>
        </w:rPr>
        <w:t>ّ</w:t>
      </w:r>
      <w:r w:rsidRPr="007D7079">
        <w:rPr>
          <w:rFonts w:hint="cs"/>
          <w:rtl/>
        </w:rPr>
        <w:t>ة ما يجعل تأثيره يمتد</w:t>
      </w:r>
      <w:r>
        <w:rPr>
          <w:rFonts w:hint="cs"/>
          <w:rtl/>
        </w:rPr>
        <w:t>ّ</w:t>
      </w:r>
      <w:r w:rsidRPr="007D7079">
        <w:rPr>
          <w:rFonts w:hint="cs"/>
          <w:rtl/>
        </w:rPr>
        <w:t xml:space="preserve"> حتى عندما تقوم</w:t>
      </w:r>
      <w:r>
        <w:rPr>
          <w:rFonts w:hint="cs"/>
          <w:rtl/>
        </w:rPr>
        <w:t xml:space="preserve"> المرأة </w:t>
      </w:r>
      <w:r w:rsidRPr="007D7079">
        <w:rPr>
          <w:rFonts w:hint="cs"/>
          <w:rtl/>
        </w:rPr>
        <w:t>بالتخل</w:t>
      </w:r>
      <w:r>
        <w:rPr>
          <w:rFonts w:hint="cs"/>
          <w:rtl/>
        </w:rPr>
        <w:t>ّ</w:t>
      </w:r>
      <w:r w:rsidRPr="007D7079">
        <w:rPr>
          <w:rFonts w:hint="cs"/>
          <w:rtl/>
        </w:rPr>
        <w:t>ي عن هذا الدور التقليدي والاتجاه نحو لعب دور</w:t>
      </w:r>
      <w:r>
        <w:rPr>
          <w:rFonts w:hint="cs"/>
          <w:rtl/>
        </w:rPr>
        <w:t>ٍ</w:t>
      </w:r>
      <w:r w:rsidRPr="007D7079">
        <w:rPr>
          <w:rFonts w:hint="cs"/>
          <w:rtl/>
        </w:rPr>
        <w:t xml:space="preserve"> </w:t>
      </w:r>
      <w:r>
        <w:rPr>
          <w:rFonts w:hint="cs"/>
          <w:rtl/>
        </w:rPr>
        <w:t>اجتماعي.</w:t>
      </w:r>
    </w:p>
    <w:p w:rsidR="006E0FDB" w:rsidRPr="007D7079" w:rsidRDefault="006E0FDB" w:rsidP="009368DE">
      <w:pPr>
        <w:pStyle w:val="ac"/>
        <w:spacing w:line="209" w:lineRule="auto"/>
        <w:rPr>
          <w:rtl/>
        </w:rPr>
      </w:pPr>
      <w:r>
        <w:rPr>
          <w:rFonts w:hint="cs"/>
          <w:rtl/>
        </w:rPr>
        <w:t xml:space="preserve">ويمكن توضيح </w:t>
      </w:r>
      <w:r w:rsidRPr="007D7079">
        <w:rPr>
          <w:rFonts w:hint="cs"/>
          <w:rtl/>
        </w:rPr>
        <w:t xml:space="preserve">تسلّط نظام القيم المعتمد على سيادة الرجل في الاقتصاد الحديث </w:t>
      </w:r>
      <w:r>
        <w:rPr>
          <w:rFonts w:hint="cs"/>
          <w:rtl/>
        </w:rPr>
        <w:t xml:space="preserve">عبر </w:t>
      </w:r>
      <w:r w:rsidRPr="007D7079">
        <w:rPr>
          <w:rFonts w:hint="cs"/>
          <w:rtl/>
        </w:rPr>
        <w:t>الأمثلة التالية: كون أجرة</w:t>
      </w:r>
      <w:r>
        <w:rPr>
          <w:rFonts w:hint="cs"/>
          <w:rtl/>
        </w:rPr>
        <w:t xml:space="preserve"> المرأة أ</w:t>
      </w:r>
      <w:r w:rsidRPr="007D7079">
        <w:rPr>
          <w:rFonts w:hint="cs"/>
          <w:rtl/>
        </w:rPr>
        <w:t>قل</w:t>
      </w:r>
      <w:r>
        <w:rPr>
          <w:rFonts w:hint="cs"/>
          <w:rtl/>
        </w:rPr>
        <w:t>ّ</w:t>
      </w:r>
      <w:r w:rsidRPr="007D7079">
        <w:rPr>
          <w:rFonts w:hint="cs"/>
          <w:rtl/>
        </w:rPr>
        <w:t xml:space="preserve"> من</w:t>
      </w:r>
      <w:r>
        <w:rPr>
          <w:rFonts w:hint="cs"/>
          <w:rtl/>
        </w:rPr>
        <w:t xml:space="preserve"> أجرة الرجل حتى في العمل الواحد،</w:t>
      </w:r>
      <w:r w:rsidRPr="007D7079">
        <w:rPr>
          <w:rFonts w:hint="cs"/>
          <w:rtl/>
        </w:rPr>
        <w:t xml:space="preserve"> </w:t>
      </w:r>
      <w:r>
        <w:rPr>
          <w:rFonts w:hint="cs"/>
          <w:rtl/>
        </w:rPr>
        <w:t>و</w:t>
      </w:r>
      <w:r w:rsidRPr="007D7079">
        <w:rPr>
          <w:rFonts w:hint="cs"/>
          <w:rtl/>
        </w:rPr>
        <w:t>تكف</w:t>
      </w:r>
      <w:r>
        <w:rPr>
          <w:rFonts w:hint="cs"/>
          <w:rtl/>
        </w:rPr>
        <w:t>ّ</w:t>
      </w:r>
      <w:r w:rsidRPr="007D7079">
        <w:rPr>
          <w:rFonts w:hint="cs"/>
          <w:rtl/>
        </w:rPr>
        <w:t>ل</w:t>
      </w:r>
      <w:r>
        <w:rPr>
          <w:rFonts w:hint="cs"/>
          <w:rtl/>
        </w:rPr>
        <w:t xml:space="preserve"> المرأة </w:t>
      </w:r>
      <w:r w:rsidRPr="007D7079">
        <w:rPr>
          <w:rFonts w:hint="cs"/>
          <w:rtl/>
        </w:rPr>
        <w:t>القيام بالأعمال الأنثوية</w:t>
      </w:r>
      <w:r>
        <w:rPr>
          <w:rFonts w:hint="cs"/>
          <w:rtl/>
        </w:rPr>
        <w:t xml:space="preserve"> أو </w:t>
      </w:r>
      <w:r w:rsidRPr="007D7079">
        <w:rPr>
          <w:rFonts w:hint="cs"/>
          <w:rtl/>
        </w:rPr>
        <w:t>فقل</w:t>
      </w:r>
      <w:r>
        <w:rPr>
          <w:rFonts w:hint="cs"/>
          <w:rtl/>
        </w:rPr>
        <w:t>:</w:t>
      </w:r>
      <w:r w:rsidRPr="007D7079">
        <w:rPr>
          <w:rFonts w:hint="cs"/>
          <w:rtl/>
        </w:rPr>
        <w:t xml:space="preserve"> شبه العائلية</w:t>
      </w:r>
      <w:r>
        <w:rPr>
          <w:rFonts w:hint="cs"/>
          <w:rtl/>
        </w:rPr>
        <w:t>،</w:t>
      </w:r>
      <w:r w:rsidRPr="007D7079">
        <w:rPr>
          <w:rFonts w:hint="cs"/>
          <w:rtl/>
        </w:rPr>
        <w:t xml:space="preserve"> </w:t>
      </w:r>
      <w:r>
        <w:rPr>
          <w:rFonts w:hint="cs"/>
          <w:rtl/>
        </w:rPr>
        <w:t>ك</w:t>
      </w:r>
      <w:r w:rsidRPr="007D7079">
        <w:rPr>
          <w:rFonts w:hint="cs"/>
          <w:rtl/>
        </w:rPr>
        <w:t>التعليم</w:t>
      </w:r>
      <w:r>
        <w:rPr>
          <w:rFonts w:hint="cs"/>
          <w:rtl/>
        </w:rPr>
        <w:t>،</w:t>
      </w:r>
      <w:r w:rsidRPr="007D7079">
        <w:rPr>
          <w:rFonts w:hint="cs"/>
          <w:rtl/>
        </w:rPr>
        <w:t xml:space="preserve"> </w:t>
      </w:r>
      <w:r>
        <w:rPr>
          <w:rFonts w:hint="cs"/>
          <w:rtl/>
        </w:rPr>
        <w:t>والتمريض، والخدمات،</w:t>
      </w:r>
      <w:r w:rsidRPr="007D7079">
        <w:rPr>
          <w:rFonts w:hint="cs"/>
          <w:rtl/>
        </w:rPr>
        <w:t xml:space="preserve"> </w:t>
      </w:r>
      <w:r>
        <w:rPr>
          <w:rFonts w:hint="cs"/>
          <w:rtl/>
        </w:rPr>
        <w:t>و</w:t>
      </w:r>
      <w:r w:rsidRPr="007D7079">
        <w:rPr>
          <w:rFonts w:hint="cs"/>
          <w:rtl/>
        </w:rPr>
        <w:t>كون عمل</w:t>
      </w:r>
      <w:r>
        <w:rPr>
          <w:rFonts w:hint="cs"/>
          <w:rtl/>
        </w:rPr>
        <w:t xml:space="preserve"> المرأة </w:t>
      </w:r>
      <w:r w:rsidRPr="007D7079">
        <w:rPr>
          <w:rFonts w:hint="cs"/>
          <w:rtl/>
        </w:rPr>
        <w:t>عُرضة</w:t>
      </w:r>
      <w:r>
        <w:rPr>
          <w:rFonts w:hint="cs"/>
          <w:rtl/>
        </w:rPr>
        <w:t>ً</w:t>
      </w:r>
      <w:r w:rsidRPr="007D7079">
        <w:rPr>
          <w:rFonts w:hint="cs"/>
          <w:rtl/>
        </w:rPr>
        <w:t xml:space="preserve"> للسقوط في </w:t>
      </w:r>
      <w:r>
        <w:rPr>
          <w:rFonts w:hint="cs"/>
          <w:rtl/>
        </w:rPr>
        <w:t xml:space="preserve">ظلّ </w:t>
      </w:r>
      <w:r w:rsidRPr="007D7079">
        <w:rPr>
          <w:rFonts w:hint="cs"/>
          <w:rtl/>
        </w:rPr>
        <w:t xml:space="preserve">الأزمات </w:t>
      </w:r>
      <w:r w:rsidRPr="00BC0623">
        <w:rPr>
          <w:rFonts w:hint="cs"/>
          <w:spacing w:val="-4"/>
          <w:rtl/>
        </w:rPr>
        <w:t>الاقتصادية، وتحمّلها العبء الإضافي المتمثل بالعمل المنزلي؛ وبناءً على هذا، فإنّ عمل المرأة وعدمه لا يشكّل بنفسه دليلاً على وجود تحوّل هامّ في الوضع التقليديّ لها.</w:t>
      </w:r>
    </w:p>
    <w:p w:rsidR="006E0FDB" w:rsidRDefault="006E0FDB" w:rsidP="009368DE">
      <w:pPr>
        <w:pStyle w:val="ac"/>
        <w:spacing w:line="209" w:lineRule="auto"/>
        <w:rPr>
          <w:rtl/>
        </w:rPr>
      </w:pPr>
      <w:r w:rsidRPr="007D7079">
        <w:rPr>
          <w:rFonts w:hint="cs"/>
          <w:rtl/>
        </w:rPr>
        <w:t>من جهة</w:t>
      </w:r>
      <w:r>
        <w:rPr>
          <w:rFonts w:hint="cs"/>
          <w:rtl/>
        </w:rPr>
        <w:t>ٍ</w:t>
      </w:r>
      <w:r w:rsidRPr="007D7079">
        <w:rPr>
          <w:rFonts w:hint="cs"/>
          <w:rtl/>
        </w:rPr>
        <w:t xml:space="preserve"> </w:t>
      </w:r>
      <w:r>
        <w:rPr>
          <w:rFonts w:hint="cs"/>
          <w:rtl/>
        </w:rPr>
        <w:t>أخرى،</w:t>
      </w:r>
      <w:r w:rsidRPr="007D7079">
        <w:rPr>
          <w:rFonts w:hint="cs"/>
          <w:rtl/>
        </w:rPr>
        <w:t xml:space="preserve"> لاحظنا أن دور</w:t>
      </w:r>
      <w:r>
        <w:rPr>
          <w:rFonts w:hint="cs"/>
          <w:rtl/>
        </w:rPr>
        <w:t xml:space="preserve"> المرأة </w:t>
      </w:r>
      <w:r w:rsidRPr="007D7079">
        <w:rPr>
          <w:rFonts w:hint="cs"/>
          <w:rtl/>
        </w:rPr>
        <w:t xml:space="preserve">العاطفي (الأمومة) في بعض العصور التاريخية كان له </w:t>
      </w:r>
      <w:r>
        <w:rPr>
          <w:rFonts w:hint="cs"/>
          <w:rtl/>
        </w:rPr>
        <w:t>أهمية تزيد عن دور الرجل (الصيد)،</w:t>
      </w:r>
      <w:r w:rsidRPr="007D7079">
        <w:rPr>
          <w:rFonts w:hint="cs"/>
          <w:rtl/>
        </w:rPr>
        <w:t xml:space="preserve"> </w:t>
      </w:r>
      <w:r>
        <w:rPr>
          <w:rFonts w:hint="cs"/>
          <w:rtl/>
        </w:rPr>
        <w:t>و</w:t>
      </w:r>
      <w:r w:rsidRPr="007D7079">
        <w:rPr>
          <w:rFonts w:hint="cs"/>
          <w:rtl/>
        </w:rPr>
        <w:t>ما يُمكن أن يكون واحدا</w:t>
      </w:r>
      <w:r>
        <w:rPr>
          <w:rFonts w:hint="cs"/>
          <w:rtl/>
        </w:rPr>
        <w:t>ً من الأهداف التي تسعى</w:t>
      </w:r>
      <w:r w:rsidRPr="007D7079">
        <w:rPr>
          <w:rFonts w:hint="cs"/>
          <w:rtl/>
        </w:rPr>
        <w:t xml:space="preserve"> إليها النسوية في إيران هو العمل على تغيير نظام القيم الذي يتم</w:t>
      </w:r>
      <w:r>
        <w:rPr>
          <w:rFonts w:hint="cs"/>
          <w:rtl/>
        </w:rPr>
        <w:t>ّ</w:t>
      </w:r>
      <w:r w:rsidRPr="007D7079">
        <w:rPr>
          <w:rFonts w:hint="cs"/>
          <w:rtl/>
        </w:rPr>
        <w:t xml:space="preserve"> من خلاله </w:t>
      </w:r>
      <w:r>
        <w:rPr>
          <w:rFonts w:hint="cs"/>
          <w:rtl/>
        </w:rPr>
        <w:t>مطالعة الدور التقليدي للمرأة،</w:t>
      </w:r>
      <w:r w:rsidRPr="007D7079">
        <w:rPr>
          <w:rFonts w:hint="cs"/>
          <w:rtl/>
        </w:rPr>
        <w:t xml:space="preserve"> وبعبارة</w:t>
      </w:r>
      <w:r>
        <w:rPr>
          <w:rFonts w:hint="cs"/>
          <w:rtl/>
        </w:rPr>
        <w:t>ٍ</w:t>
      </w:r>
      <w:r w:rsidRPr="007D7079">
        <w:rPr>
          <w:rFonts w:hint="cs"/>
          <w:rtl/>
        </w:rPr>
        <w:t xml:space="preserve"> </w:t>
      </w:r>
      <w:r>
        <w:rPr>
          <w:rFonts w:hint="cs"/>
          <w:rtl/>
        </w:rPr>
        <w:t xml:space="preserve">أخرى، لابدّ </w:t>
      </w:r>
      <w:r w:rsidRPr="007D7079">
        <w:rPr>
          <w:rFonts w:hint="cs"/>
          <w:rtl/>
        </w:rPr>
        <w:t>لنا من الدفاع عن القيم التي ترى تساويا</w:t>
      </w:r>
      <w:r>
        <w:rPr>
          <w:rFonts w:hint="cs"/>
          <w:rtl/>
        </w:rPr>
        <w:t>ً</w:t>
      </w:r>
      <w:r w:rsidRPr="007D7079">
        <w:rPr>
          <w:rFonts w:hint="cs"/>
          <w:rtl/>
        </w:rPr>
        <w:t xml:space="preserve"> في قيمة الدور الذي تؤد</w:t>
      </w:r>
      <w:r>
        <w:rPr>
          <w:rFonts w:hint="cs"/>
          <w:rtl/>
        </w:rPr>
        <w:t>ّ</w:t>
      </w:r>
      <w:r w:rsidRPr="007D7079">
        <w:rPr>
          <w:rFonts w:hint="cs"/>
          <w:rtl/>
        </w:rPr>
        <w:t>يه</w:t>
      </w:r>
      <w:r>
        <w:rPr>
          <w:rFonts w:hint="cs"/>
          <w:rtl/>
        </w:rPr>
        <w:t xml:space="preserve"> المرأة </w:t>
      </w:r>
      <w:r w:rsidRPr="007D7079">
        <w:rPr>
          <w:rFonts w:hint="cs"/>
          <w:rtl/>
        </w:rPr>
        <w:t>مع الدور الذي يؤد</w:t>
      </w:r>
      <w:r>
        <w:rPr>
          <w:rFonts w:hint="cs"/>
          <w:rtl/>
        </w:rPr>
        <w:t>ّيه الرجل، و</w:t>
      </w:r>
      <w:r w:rsidRPr="007D7079">
        <w:rPr>
          <w:rFonts w:hint="cs"/>
          <w:rtl/>
        </w:rPr>
        <w:t>ما يمكن أن يكون مفيدا</w:t>
      </w:r>
      <w:r>
        <w:rPr>
          <w:rFonts w:hint="cs"/>
          <w:rtl/>
        </w:rPr>
        <w:t>ً</w:t>
      </w:r>
      <w:r w:rsidRPr="007D7079">
        <w:rPr>
          <w:rFonts w:hint="cs"/>
          <w:rtl/>
        </w:rPr>
        <w:t xml:space="preserve"> </w:t>
      </w:r>
      <w:r>
        <w:rPr>
          <w:rFonts w:hint="cs"/>
          <w:rtl/>
        </w:rPr>
        <w:t xml:space="preserve">هنا </w:t>
      </w:r>
      <w:r w:rsidRPr="007D7079">
        <w:rPr>
          <w:rFonts w:hint="cs"/>
          <w:rtl/>
        </w:rPr>
        <w:t>هو الاعتماد على نظام القيم ال</w:t>
      </w:r>
      <w:r>
        <w:rPr>
          <w:rFonts w:hint="cs"/>
          <w:rtl/>
        </w:rPr>
        <w:t>إسلامي الذي يرى أ</w:t>
      </w:r>
      <w:r w:rsidRPr="007D7079">
        <w:rPr>
          <w:rFonts w:hint="cs"/>
          <w:rtl/>
        </w:rPr>
        <w:t>ن</w:t>
      </w:r>
      <w:r>
        <w:rPr>
          <w:rFonts w:hint="cs"/>
          <w:rtl/>
        </w:rPr>
        <w:t>ّ</w:t>
      </w:r>
      <w:r w:rsidRPr="007D7079">
        <w:rPr>
          <w:rFonts w:hint="cs"/>
          <w:rtl/>
        </w:rPr>
        <w:t xml:space="preserve"> قيمة </w:t>
      </w:r>
      <w:r>
        <w:rPr>
          <w:rFonts w:hint="cs"/>
          <w:rtl/>
        </w:rPr>
        <w:t xml:space="preserve">عمل المرأة </w:t>
      </w:r>
      <w:r w:rsidRPr="007D7079">
        <w:rPr>
          <w:rFonts w:hint="cs"/>
          <w:rtl/>
        </w:rPr>
        <w:t>مساو</w:t>
      </w:r>
      <w:r>
        <w:rPr>
          <w:rFonts w:hint="cs"/>
          <w:rtl/>
        </w:rPr>
        <w:t>يةً</w:t>
      </w:r>
      <w:r w:rsidRPr="007D7079">
        <w:rPr>
          <w:rFonts w:hint="cs"/>
          <w:rtl/>
        </w:rPr>
        <w:t xml:space="preserve"> لما يقوم به الرجل.</w:t>
      </w:r>
    </w:p>
    <w:p w:rsidR="006E0FDB" w:rsidRDefault="006E0FDB" w:rsidP="009368DE">
      <w:pPr>
        <w:pStyle w:val="afffffc"/>
        <w:rPr>
          <w:rtl/>
        </w:rPr>
      </w:pPr>
    </w:p>
    <w:p w:rsidR="006E0FDB" w:rsidRPr="00D457EB" w:rsidRDefault="006E0FDB" w:rsidP="009368DE">
      <w:pPr>
        <w:pStyle w:val="2"/>
        <w:rPr>
          <w:rtl/>
        </w:rPr>
      </w:pPr>
      <w:bookmarkStart w:id="540" w:name="_Toc169521460"/>
      <w:bookmarkStart w:id="541" w:name="_Toc275128230"/>
      <w:r w:rsidRPr="00D457EB">
        <w:rPr>
          <w:rFonts w:hint="cs"/>
          <w:rtl/>
        </w:rPr>
        <w:t>3 ـ دعم الرجل وتعاونه مع الحركة النسوية</w:t>
      </w:r>
      <w:bookmarkEnd w:id="540"/>
      <w:bookmarkEnd w:id="541"/>
    </w:p>
    <w:p w:rsidR="006E0FDB" w:rsidRDefault="006E0FDB" w:rsidP="006E0FDB">
      <w:pPr>
        <w:pStyle w:val="ac"/>
        <w:rPr>
          <w:rtl/>
        </w:rPr>
      </w:pPr>
      <w:r w:rsidRPr="00E33C4C">
        <w:rPr>
          <w:rFonts w:hint="cs"/>
          <w:bCs/>
          <w:rtl/>
        </w:rPr>
        <w:t>ثالثاً:</w:t>
      </w:r>
      <w:r w:rsidRPr="007D7079">
        <w:rPr>
          <w:rFonts w:hint="cs"/>
          <w:rtl/>
        </w:rPr>
        <w:t xml:space="preserve"> </w:t>
      </w:r>
      <w:r>
        <w:rPr>
          <w:rFonts w:hint="cs"/>
          <w:rtl/>
        </w:rPr>
        <w:t>يلزم ا</w:t>
      </w:r>
      <w:r w:rsidRPr="007D7079">
        <w:rPr>
          <w:rFonts w:hint="cs"/>
          <w:rtl/>
        </w:rPr>
        <w:t>لحركات النسوية في إيران</w:t>
      </w:r>
      <w:r>
        <w:rPr>
          <w:rFonts w:hint="cs"/>
          <w:rtl/>
        </w:rPr>
        <w:t xml:space="preserve"> أن تضع في بالها أ</w:t>
      </w:r>
      <w:r w:rsidRPr="007D7079">
        <w:rPr>
          <w:rFonts w:hint="cs"/>
          <w:rtl/>
        </w:rPr>
        <w:t>ن</w:t>
      </w:r>
      <w:r>
        <w:rPr>
          <w:rFonts w:hint="cs"/>
          <w:rtl/>
        </w:rPr>
        <w:t>ّ</w:t>
      </w:r>
      <w:r w:rsidRPr="007D7079">
        <w:rPr>
          <w:rFonts w:hint="cs"/>
          <w:rtl/>
        </w:rPr>
        <w:t xml:space="preserve">ه لن يكتب لها </w:t>
      </w:r>
      <w:r>
        <w:rPr>
          <w:rFonts w:hint="cs"/>
          <w:rtl/>
        </w:rPr>
        <w:t>النجاح</w:t>
      </w:r>
      <w:r w:rsidRPr="007D7079">
        <w:rPr>
          <w:rFonts w:hint="cs"/>
          <w:rtl/>
        </w:rPr>
        <w:t xml:space="preserve"> </w:t>
      </w:r>
      <w:r>
        <w:rPr>
          <w:rFonts w:hint="cs"/>
          <w:rtl/>
        </w:rPr>
        <w:t xml:space="preserve">دون </w:t>
      </w:r>
      <w:r>
        <w:rPr>
          <w:rFonts w:hint="cs"/>
          <w:rtl/>
        </w:rPr>
        <w:lastRenderedPageBreak/>
        <w:t>تقديم الرجل دعمه وتعاونه،</w:t>
      </w:r>
      <w:r w:rsidRPr="007D7079">
        <w:rPr>
          <w:rFonts w:hint="cs"/>
          <w:rtl/>
        </w:rPr>
        <w:t xml:space="preserve"> لذا</w:t>
      </w:r>
      <w:r>
        <w:rPr>
          <w:rFonts w:hint="cs"/>
          <w:rtl/>
        </w:rPr>
        <w:t xml:space="preserve"> لابد </w:t>
      </w:r>
      <w:r w:rsidRPr="007D7079">
        <w:rPr>
          <w:rFonts w:hint="cs"/>
          <w:rtl/>
        </w:rPr>
        <w:t xml:space="preserve">من إظهار </w:t>
      </w:r>
      <w:r>
        <w:rPr>
          <w:rFonts w:hint="cs"/>
          <w:rtl/>
        </w:rPr>
        <w:t>ق</w:t>
      </w:r>
      <w:r w:rsidRPr="007D7079">
        <w:rPr>
          <w:rFonts w:hint="cs"/>
          <w:rtl/>
        </w:rPr>
        <w:t>ضية التكامل المتساوي لصالح الرجل والمرأة معا</w:t>
      </w:r>
      <w:r>
        <w:rPr>
          <w:rFonts w:hint="cs"/>
          <w:rtl/>
        </w:rPr>
        <w:t>ً</w:t>
      </w:r>
      <w:r w:rsidRPr="007D7079">
        <w:rPr>
          <w:rFonts w:hint="cs"/>
          <w:rtl/>
        </w:rPr>
        <w:t>.</w:t>
      </w:r>
    </w:p>
    <w:p w:rsidR="006E0FDB" w:rsidRPr="009368DE" w:rsidRDefault="006E0FDB" w:rsidP="009368DE">
      <w:pPr>
        <w:pStyle w:val="afffffc"/>
        <w:rPr>
          <w:sz w:val="18"/>
          <w:szCs w:val="16"/>
          <w:rtl/>
        </w:rPr>
      </w:pPr>
    </w:p>
    <w:p w:rsidR="006E0FDB" w:rsidRPr="00D457EB" w:rsidRDefault="006E0FDB" w:rsidP="009368DE">
      <w:pPr>
        <w:pStyle w:val="2"/>
        <w:rPr>
          <w:rtl/>
        </w:rPr>
      </w:pPr>
      <w:bookmarkStart w:id="542" w:name="_Toc169521461"/>
      <w:bookmarkStart w:id="543" w:name="_Toc275128231"/>
      <w:r w:rsidRPr="00D457EB">
        <w:rPr>
          <w:rFonts w:hint="cs"/>
          <w:rtl/>
        </w:rPr>
        <w:t>4 ـ المرأة والرجل</w:t>
      </w:r>
      <w:r w:rsidRPr="003A6D60">
        <w:rPr>
          <w:rFonts w:cs="Simplified Arabic" w:hint="cs"/>
          <w:rtl/>
        </w:rPr>
        <w:t>،</w:t>
      </w:r>
      <w:r w:rsidRPr="00D457EB">
        <w:rPr>
          <w:rFonts w:hint="cs"/>
          <w:rtl/>
        </w:rPr>
        <w:t xml:space="preserve"> التساوي والتماثل</w:t>
      </w:r>
      <w:bookmarkEnd w:id="542"/>
      <w:bookmarkEnd w:id="543"/>
    </w:p>
    <w:p w:rsidR="006E0FDB" w:rsidRDefault="006E0FDB" w:rsidP="006E0FDB">
      <w:pPr>
        <w:pStyle w:val="ac"/>
        <w:rPr>
          <w:rtl/>
        </w:rPr>
      </w:pPr>
      <w:r w:rsidRPr="00CD2E72">
        <w:rPr>
          <w:rFonts w:hint="cs"/>
          <w:bCs/>
          <w:rtl/>
        </w:rPr>
        <w:t>رابعاً:</w:t>
      </w:r>
      <w:r>
        <w:rPr>
          <w:rFonts w:hint="cs"/>
          <w:rtl/>
        </w:rPr>
        <w:t xml:space="preserve"> يتضمّن </w:t>
      </w:r>
      <w:r w:rsidRPr="007D7079">
        <w:rPr>
          <w:rFonts w:hint="cs"/>
          <w:rtl/>
        </w:rPr>
        <w:t xml:space="preserve">التكامل المتساوي </w:t>
      </w:r>
      <w:r>
        <w:rPr>
          <w:rFonts w:hint="cs"/>
          <w:rtl/>
        </w:rPr>
        <w:t>بين الرجل والمرأة</w:t>
      </w:r>
      <w:r w:rsidRPr="007D7079">
        <w:rPr>
          <w:rFonts w:hint="cs"/>
          <w:rtl/>
        </w:rPr>
        <w:t xml:space="preserve"> </w:t>
      </w:r>
      <w:r>
        <w:rPr>
          <w:rFonts w:hint="cs"/>
          <w:rtl/>
        </w:rPr>
        <w:t xml:space="preserve">ـ </w:t>
      </w:r>
      <w:r w:rsidRPr="007D7079">
        <w:rPr>
          <w:rFonts w:hint="cs"/>
          <w:rtl/>
        </w:rPr>
        <w:t>مع كونه ناقصا</w:t>
      </w:r>
      <w:r>
        <w:rPr>
          <w:rFonts w:hint="cs"/>
          <w:rtl/>
        </w:rPr>
        <w:t>ً</w:t>
      </w:r>
      <w:r w:rsidRPr="007D7079">
        <w:rPr>
          <w:rFonts w:hint="cs"/>
          <w:rtl/>
        </w:rPr>
        <w:t xml:space="preserve"> </w:t>
      </w:r>
      <w:r>
        <w:rPr>
          <w:rFonts w:hint="cs"/>
          <w:rtl/>
        </w:rPr>
        <w:t>ـ التماثل بين الجنسين،</w:t>
      </w:r>
      <w:r w:rsidRPr="007D7079">
        <w:rPr>
          <w:rFonts w:hint="cs"/>
          <w:rtl/>
        </w:rPr>
        <w:t xml:space="preserve"> وبعبارة</w:t>
      </w:r>
      <w:r>
        <w:rPr>
          <w:rFonts w:hint="cs"/>
          <w:rtl/>
        </w:rPr>
        <w:t>ٍ</w:t>
      </w:r>
      <w:r w:rsidRPr="007D7079">
        <w:rPr>
          <w:rFonts w:hint="cs"/>
          <w:rtl/>
        </w:rPr>
        <w:t xml:space="preserve"> </w:t>
      </w:r>
      <w:r>
        <w:rPr>
          <w:rFonts w:hint="cs"/>
          <w:rtl/>
        </w:rPr>
        <w:t>أخرى:</w:t>
      </w:r>
      <w:r w:rsidRPr="007D7079">
        <w:rPr>
          <w:rFonts w:hint="cs"/>
          <w:rtl/>
        </w:rPr>
        <w:t xml:space="preserve"> إن التكامل بين الجنسين في العصر الحاضر لا يمكنه أن يتم</w:t>
      </w:r>
      <w:r>
        <w:rPr>
          <w:rFonts w:hint="cs"/>
          <w:rtl/>
        </w:rPr>
        <w:t>ّ</w:t>
      </w:r>
      <w:r w:rsidRPr="007D7079">
        <w:rPr>
          <w:rFonts w:hint="cs"/>
          <w:rtl/>
        </w:rPr>
        <w:t xml:space="preserve"> كما كان في مجتمعات ما قبل التاريخ</w:t>
      </w:r>
      <w:r>
        <w:rPr>
          <w:rFonts w:hint="cs"/>
          <w:rtl/>
        </w:rPr>
        <w:t>،</w:t>
      </w:r>
      <w:r w:rsidRPr="007D7079">
        <w:rPr>
          <w:rFonts w:hint="cs"/>
          <w:rtl/>
        </w:rPr>
        <w:t xml:space="preserve"> بل</w:t>
      </w:r>
      <w:r>
        <w:rPr>
          <w:rFonts w:hint="cs"/>
          <w:rtl/>
        </w:rPr>
        <w:t xml:space="preserve"> لابد </w:t>
      </w:r>
      <w:r w:rsidRPr="007D7079">
        <w:rPr>
          <w:rFonts w:hint="cs"/>
          <w:rtl/>
        </w:rPr>
        <w:t xml:space="preserve">للمرأة والرجل وضمن دورهما المكمّل لبعضه </w:t>
      </w:r>
      <w:r>
        <w:rPr>
          <w:rFonts w:hint="cs"/>
          <w:rtl/>
        </w:rPr>
        <w:t>أ</w:t>
      </w:r>
      <w:r w:rsidRPr="007D7079">
        <w:rPr>
          <w:rFonts w:hint="cs"/>
          <w:rtl/>
        </w:rPr>
        <w:t xml:space="preserve">ن يكون لهما أداور متشابهة. </w:t>
      </w:r>
      <w:r>
        <w:rPr>
          <w:rFonts w:hint="cs"/>
          <w:rtl/>
        </w:rPr>
        <w:t>ف</w:t>
      </w:r>
      <w:r w:rsidRPr="007D7079">
        <w:rPr>
          <w:rFonts w:hint="cs"/>
          <w:rtl/>
        </w:rPr>
        <w:t>التمايز الناشئ من الأدوار المكم</w:t>
      </w:r>
      <w:r>
        <w:rPr>
          <w:rFonts w:hint="cs"/>
          <w:rtl/>
        </w:rPr>
        <w:t>ّ</w:t>
      </w:r>
      <w:r w:rsidRPr="007D7079">
        <w:rPr>
          <w:rFonts w:hint="cs"/>
          <w:rtl/>
        </w:rPr>
        <w:t>لة لا يشكل نقضا</w:t>
      </w:r>
      <w:r>
        <w:rPr>
          <w:rFonts w:hint="cs"/>
          <w:rtl/>
        </w:rPr>
        <w:t>ً</w:t>
      </w:r>
      <w:r w:rsidRPr="007D7079">
        <w:rPr>
          <w:rFonts w:hint="cs"/>
          <w:rtl/>
        </w:rPr>
        <w:t xml:space="preserve"> للتشابه الناشئ من الأدوار المتماثلة، إن</w:t>
      </w:r>
      <w:r>
        <w:rPr>
          <w:rFonts w:hint="cs"/>
          <w:rtl/>
        </w:rPr>
        <w:t>ّ</w:t>
      </w:r>
      <w:r w:rsidRPr="007D7079">
        <w:rPr>
          <w:rFonts w:hint="cs"/>
          <w:rtl/>
        </w:rPr>
        <w:t xml:space="preserve"> التشابه في الأدوار المتماثلة يوفر لنا تشابها</w:t>
      </w:r>
      <w:r>
        <w:rPr>
          <w:rFonts w:hint="cs"/>
          <w:rtl/>
        </w:rPr>
        <w:t>ً</w:t>
      </w:r>
      <w:r w:rsidRPr="007D7079">
        <w:rPr>
          <w:rFonts w:hint="cs"/>
          <w:rtl/>
        </w:rPr>
        <w:t xml:space="preserve"> بين الرجل والمرأة</w:t>
      </w:r>
      <w:r>
        <w:rPr>
          <w:rFonts w:hint="cs"/>
          <w:rtl/>
        </w:rPr>
        <w:t>،</w:t>
      </w:r>
      <w:r w:rsidRPr="007D7079">
        <w:rPr>
          <w:rFonts w:hint="cs"/>
          <w:rtl/>
        </w:rPr>
        <w:t xml:space="preserve"> لكن</w:t>
      </w:r>
      <w:r>
        <w:rPr>
          <w:rFonts w:hint="cs"/>
          <w:rtl/>
        </w:rPr>
        <w:t>ّ هدف ذلك لن يكون</w:t>
      </w:r>
      <w:r w:rsidRPr="007D7079">
        <w:rPr>
          <w:rFonts w:hint="cs"/>
          <w:rtl/>
        </w:rPr>
        <w:t xml:space="preserve"> </w:t>
      </w:r>
      <w:r>
        <w:rPr>
          <w:rFonts w:hint="cs"/>
          <w:rtl/>
        </w:rPr>
        <w:t xml:space="preserve">إلغاء </w:t>
      </w:r>
      <w:r w:rsidRPr="007D7079">
        <w:rPr>
          <w:rFonts w:hint="cs"/>
          <w:rtl/>
        </w:rPr>
        <w:t>الدور التقليدي للمرأة</w:t>
      </w:r>
      <w:r>
        <w:rPr>
          <w:rFonts w:hint="cs"/>
          <w:rtl/>
        </w:rPr>
        <w:t>،</w:t>
      </w:r>
      <w:r w:rsidRPr="007D7079">
        <w:rPr>
          <w:rFonts w:hint="cs"/>
          <w:rtl/>
        </w:rPr>
        <w:t xml:space="preserve"> </w:t>
      </w:r>
      <w:r>
        <w:rPr>
          <w:rFonts w:hint="cs"/>
          <w:rtl/>
        </w:rPr>
        <w:t xml:space="preserve">أو عدم المبالاة به، أو </w:t>
      </w:r>
      <w:r w:rsidRPr="007D7079">
        <w:rPr>
          <w:rFonts w:hint="cs"/>
          <w:rtl/>
        </w:rPr>
        <w:t>جذب</w:t>
      </w:r>
      <w:r>
        <w:rPr>
          <w:rFonts w:hint="cs"/>
          <w:rtl/>
        </w:rPr>
        <w:t xml:space="preserve">ها </w:t>
      </w:r>
      <w:r w:rsidRPr="007D7079">
        <w:rPr>
          <w:rFonts w:hint="cs"/>
          <w:rtl/>
        </w:rPr>
        <w:t>لتحتل</w:t>
      </w:r>
      <w:r>
        <w:rPr>
          <w:rFonts w:hint="cs"/>
          <w:rtl/>
        </w:rPr>
        <w:t>ّ</w:t>
      </w:r>
      <w:r w:rsidRPr="007D7079">
        <w:rPr>
          <w:rFonts w:hint="cs"/>
          <w:rtl/>
        </w:rPr>
        <w:t xml:space="preserve"> مكانة الرجل، بل الهدف تقارب</w:t>
      </w:r>
      <w:r>
        <w:rPr>
          <w:rFonts w:hint="cs"/>
          <w:rtl/>
        </w:rPr>
        <w:t>هما</w:t>
      </w:r>
      <w:r w:rsidRPr="007D7079">
        <w:rPr>
          <w:rFonts w:hint="cs"/>
          <w:rtl/>
        </w:rPr>
        <w:t xml:space="preserve"> لإعطا</w:t>
      </w:r>
      <w:r>
        <w:rPr>
          <w:rFonts w:hint="cs"/>
          <w:rtl/>
        </w:rPr>
        <w:t xml:space="preserve">ئهما </w:t>
      </w:r>
      <w:r w:rsidRPr="007D7079">
        <w:rPr>
          <w:rFonts w:hint="cs"/>
          <w:rtl/>
        </w:rPr>
        <w:t>مكانة</w:t>
      </w:r>
      <w:r>
        <w:rPr>
          <w:rFonts w:hint="cs"/>
          <w:rtl/>
        </w:rPr>
        <w:t>ً</w:t>
      </w:r>
      <w:r w:rsidRPr="007D7079">
        <w:rPr>
          <w:rFonts w:hint="cs"/>
          <w:rtl/>
        </w:rPr>
        <w:t xml:space="preserve"> متساوية، </w:t>
      </w:r>
      <w:r>
        <w:rPr>
          <w:rFonts w:hint="cs"/>
          <w:rtl/>
        </w:rPr>
        <w:t>و</w:t>
      </w:r>
      <w:r w:rsidRPr="007D7079">
        <w:rPr>
          <w:rFonts w:hint="cs"/>
          <w:rtl/>
        </w:rPr>
        <w:t>إيجابية هذا ال</w:t>
      </w:r>
      <w:r>
        <w:rPr>
          <w:rFonts w:hint="cs"/>
          <w:rtl/>
        </w:rPr>
        <w:t>أ</w:t>
      </w:r>
      <w:r w:rsidRPr="007D7079">
        <w:rPr>
          <w:rFonts w:hint="cs"/>
          <w:rtl/>
        </w:rPr>
        <w:t>نموذج الذي نسم</w:t>
      </w:r>
      <w:r>
        <w:rPr>
          <w:rFonts w:hint="cs"/>
          <w:rtl/>
        </w:rPr>
        <w:t>ّ</w:t>
      </w:r>
      <w:r w:rsidRPr="007D7079">
        <w:rPr>
          <w:rFonts w:hint="cs"/>
          <w:rtl/>
        </w:rPr>
        <w:t>يه</w:t>
      </w:r>
      <w:r>
        <w:rPr>
          <w:rFonts w:hint="cs"/>
          <w:rtl/>
        </w:rPr>
        <w:t>:</w:t>
      </w:r>
      <w:r w:rsidRPr="007D7079">
        <w:rPr>
          <w:rFonts w:hint="cs"/>
          <w:rtl/>
        </w:rPr>
        <w:t xml:space="preserve"> المجتمع المتكامل والمتساوي بشكل غير كامل وا</w:t>
      </w:r>
      <w:r>
        <w:rPr>
          <w:rFonts w:hint="cs"/>
          <w:rtl/>
        </w:rPr>
        <w:t>لمتشابه في الأجور المتماثلة،</w:t>
      </w:r>
      <w:r w:rsidRPr="007D7079">
        <w:rPr>
          <w:rFonts w:hint="cs"/>
          <w:rtl/>
        </w:rPr>
        <w:t xml:space="preserve"> </w:t>
      </w:r>
      <w:r>
        <w:rPr>
          <w:rFonts w:hint="cs"/>
          <w:rtl/>
        </w:rPr>
        <w:t>أ</w:t>
      </w:r>
      <w:r w:rsidRPr="007D7079">
        <w:rPr>
          <w:rFonts w:hint="cs"/>
          <w:rtl/>
        </w:rPr>
        <w:t>ن</w:t>
      </w:r>
      <w:r>
        <w:rPr>
          <w:rFonts w:hint="cs"/>
          <w:rtl/>
        </w:rPr>
        <w:t>ّ</w:t>
      </w:r>
      <w:r w:rsidRPr="007D7079">
        <w:rPr>
          <w:rFonts w:hint="cs"/>
          <w:rtl/>
        </w:rPr>
        <w:t xml:space="preserve">ه يشكل نقطة </w:t>
      </w:r>
      <w:r>
        <w:rPr>
          <w:rFonts w:hint="cs"/>
          <w:rtl/>
        </w:rPr>
        <w:t>تحوّل</w:t>
      </w:r>
      <w:r w:rsidRPr="007D7079">
        <w:rPr>
          <w:rFonts w:hint="cs"/>
          <w:rtl/>
        </w:rPr>
        <w:t xml:space="preserve"> </w:t>
      </w:r>
      <w:r>
        <w:rPr>
          <w:rFonts w:hint="cs"/>
          <w:rtl/>
        </w:rPr>
        <w:t>يمكن فيها</w:t>
      </w:r>
      <w:r w:rsidRPr="007D7079">
        <w:rPr>
          <w:rFonts w:hint="cs"/>
          <w:rtl/>
        </w:rPr>
        <w:t xml:space="preserve"> </w:t>
      </w:r>
      <w:r>
        <w:rPr>
          <w:rFonts w:hint="cs"/>
          <w:rtl/>
        </w:rPr>
        <w:t>إ</w:t>
      </w:r>
      <w:r w:rsidRPr="007D7079">
        <w:rPr>
          <w:rFonts w:hint="cs"/>
          <w:rtl/>
        </w:rPr>
        <w:t>عادة بناء المكانة ال</w:t>
      </w:r>
      <w:r>
        <w:rPr>
          <w:rFonts w:hint="cs"/>
          <w:rtl/>
        </w:rPr>
        <w:t>اجتماع</w:t>
      </w:r>
      <w:r w:rsidRPr="007D7079">
        <w:rPr>
          <w:rFonts w:hint="cs"/>
          <w:rtl/>
        </w:rPr>
        <w:t>ية لجماعات النساء المختلفة.</w:t>
      </w:r>
    </w:p>
    <w:p w:rsidR="006E0FDB" w:rsidRPr="009368DE" w:rsidRDefault="006E0FDB" w:rsidP="009368DE">
      <w:pPr>
        <w:pStyle w:val="afffffc"/>
        <w:rPr>
          <w:sz w:val="20"/>
          <w:szCs w:val="18"/>
          <w:rtl/>
        </w:rPr>
      </w:pPr>
    </w:p>
    <w:p w:rsidR="006E0FDB" w:rsidRDefault="006E0FDB" w:rsidP="006E0FDB">
      <w:pPr>
        <w:pStyle w:val="1"/>
        <w:rPr>
          <w:rFonts w:cs="Abz-1 (Lotus)"/>
          <w:rtl/>
          <w:lang w:bidi="ar-LB"/>
        </w:rPr>
      </w:pPr>
      <w:bookmarkStart w:id="544" w:name="_Toc169521462"/>
      <w:bookmarkStart w:id="545" w:name="_Toc275128232"/>
      <w:r w:rsidRPr="00D457EB">
        <w:rPr>
          <w:rFonts w:hint="cs"/>
          <w:rtl/>
        </w:rPr>
        <w:t>النتيجة</w:t>
      </w:r>
      <w:bookmarkEnd w:id="544"/>
      <w:bookmarkEnd w:id="545"/>
    </w:p>
    <w:p w:rsidR="006E0FDB" w:rsidRPr="007D7079" w:rsidRDefault="006E0FDB" w:rsidP="006E0FDB">
      <w:pPr>
        <w:pStyle w:val="ac"/>
        <w:rPr>
          <w:rtl/>
        </w:rPr>
      </w:pPr>
      <w:r>
        <w:rPr>
          <w:rFonts w:hint="cs"/>
          <w:rtl/>
        </w:rPr>
        <w:t>يوصلنا ال</w:t>
      </w:r>
      <w:r w:rsidRPr="007D7079">
        <w:rPr>
          <w:rFonts w:hint="cs"/>
          <w:rtl/>
        </w:rPr>
        <w:t>بحث في طروحات النسوي</w:t>
      </w:r>
      <w:r>
        <w:rPr>
          <w:rFonts w:hint="cs"/>
          <w:rtl/>
        </w:rPr>
        <w:t>ّ</w:t>
      </w:r>
      <w:r w:rsidRPr="007D7079">
        <w:rPr>
          <w:rFonts w:hint="cs"/>
          <w:rtl/>
        </w:rPr>
        <w:t xml:space="preserve">ة في إيران </w:t>
      </w:r>
      <w:r>
        <w:rPr>
          <w:rFonts w:hint="cs"/>
          <w:rtl/>
        </w:rPr>
        <w:t>إلى أ</w:t>
      </w:r>
      <w:r w:rsidRPr="007D7079">
        <w:rPr>
          <w:rFonts w:hint="cs"/>
          <w:rtl/>
        </w:rPr>
        <w:t>ن</w:t>
      </w:r>
      <w:r>
        <w:rPr>
          <w:rFonts w:hint="cs"/>
          <w:rtl/>
        </w:rPr>
        <w:t>ّ</w:t>
      </w:r>
      <w:r w:rsidRPr="007D7079">
        <w:rPr>
          <w:rFonts w:hint="cs"/>
          <w:rtl/>
        </w:rPr>
        <w:t xml:space="preserve"> على </w:t>
      </w:r>
      <w:r>
        <w:rPr>
          <w:rFonts w:hint="cs"/>
          <w:rtl/>
        </w:rPr>
        <w:t>أ</w:t>
      </w:r>
      <w:r w:rsidRPr="007D7079">
        <w:rPr>
          <w:rFonts w:hint="cs"/>
          <w:rtl/>
        </w:rPr>
        <w:t>نصار حقوق</w:t>
      </w:r>
      <w:r>
        <w:rPr>
          <w:rFonts w:hint="cs"/>
          <w:rtl/>
        </w:rPr>
        <w:t xml:space="preserve"> المرأة فيها</w:t>
      </w:r>
      <w:r w:rsidRPr="007D7079">
        <w:rPr>
          <w:rFonts w:hint="cs"/>
          <w:rtl/>
        </w:rPr>
        <w:t xml:space="preserve"> القيام بالتدقيق وال</w:t>
      </w:r>
      <w:r>
        <w:rPr>
          <w:rFonts w:hint="cs"/>
          <w:rtl/>
        </w:rPr>
        <w:t>دراسة</w:t>
      </w:r>
      <w:r w:rsidRPr="007D7079">
        <w:rPr>
          <w:rFonts w:hint="cs"/>
          <w:rtl/>
        </w:rPr>
        <w:t xml:space="preserve"> والمقا</w:t>
      </w:r>
      <w:r>
        <w:rPr>
          <w:rFonts w:hint="cs"/>
          <w:rtl/>
        </w:rPr>
        <w:t>رنة الطويلة الأ</w:t>
      </w:r>
      <w:r w:rsidRPr="007D7079">
        <w:rPr>
          <w:rFonts w:hint="cs"/>
          <w:rtl/>
        </w:rPr>
        <w:t>مد للتوصل</w:t>
      </w:r>
      <w:r>
        <w:rPr>
          <w:rFonts w:hint="cs"/>
          <w:rtl/>
        </w:rPr>
        <w:t xml:space="preserve"> إلى </w:t>
      </w:r>
      <w:r w:rsidRPr="007D7079">
        <w:rPr>
          <w:rFonts w:hint="cs"/>
          <w:rtl/>
        </w:rPr>
        <w:t>معرفة عميقة بالنسوي</w:t>
      </w:r>
      <w:r>
        <w:rPr>
          <w:rFonts w:hint="cs"/>
          <w:rtl/>
        </w:rPr>
        <w:t>ّ</w:t>
      </w:r>
      <w:r w:rsidRPr="007D7079">
        <w:rPr>
          <w:rFonts w:hint="cs"/>
          <w:rtl/>
        </w:rPr>
        <w:t>ة</w:t>
      </w:r>
      <w:r>
        <w:rPr>
          <w:rFonts w:hint="cs"/>
          <w:rtl/>
        </w:rPr>
        <w:t>، والاستفادة من أسسها التي تعتمد عليها،</w:t>
      </w:r>
      <w:r w:rsidRPr="007D7079">
        <w:rPr>
          <w:rFonts w:hint="cs"/>
          <w:rtl/>
        </w:rPr>
        <w:t xml:space="preserve"> وال</w:t>
      </w:r>
      <w:r>
        <w:rPr>
          <w:rFonts w:hint="cs"/>
          <w:rtl/>
        </w:rPr>
        <w:t>أمر</w:t>
      </w:r>
      <w:r w:rsidRPr="007D7079">
        <w:rPr>
          <w:rFonts w:hint="cs"/>
          <w:rtl/>
        </w:rPr>
        <w:t xml:space="preserve"> المسل</w:t>
      </w:r>
      <w:r>
        <w:rPr>
          <w:rFonts w:hint="cs"/>
          <w:rtl/>
        </w:rPr>
        <w:t>ّ</w:t>
      </w:r>
      <w:r w:rsidRPr="007D7079">
        <w:rPr>
          <w:rFonts w:hint="cs"/>
          <w:rtl/>
        </w:rPr>
        <w:t>م به هنا أن التطبيق الكامل لل</w:t>
      </w:r>
      <w:r>
        <w:rPr>
          <w:rFonts w:hint="cs"/>
          <w:rtl/>
        </w:rPr>
        <w:t>أ</w:t>
      </w:r>
      <w:r w:rsidRPr="007D7079">
        <w:rPr>
          <w:rFonts w:hint="cs"/>
          <w:rtl/>
        </w:rPr>
        <w:t>نموذج الغربي ونتائجه لا يمكنه أن يكون مناسبا</w:t>
      </w:r>
      <w:r>
        <w:rPr>
          <w:rFonts w:hint="cs"/>
          <w:rtl/>
        </w:rPr>
        <w:t>ً</w:t>
      </w:r>
      <w:r w:rsidRPr="007D7079">
        <w:rPr>
          <w:rFonts w:hint="cs"/>
          <w:rtl/>
        </w:rPr>
        <w:t xml:space="preserve"> للمرأة الإيرانية، لا سيّما مع ملاحظة الظروف الخاص</w:t>
      </w:r>
      <w:r>
        <w:rPr>
          <w:rFonts w:hint="cs"/>
          <w:rtl/>
        </w:rPr>
        <w:t>ّ</w:t>
      </w:r>
      <w:r w:rsidRPr="007D7079">
        <w:rPr>
          <w:rFonts w:hint="cs"/>
          <w:rtl/>
        </w:rPr>
        <w:t>ة بها هنا</w:t>
      </w:r>
      <w:r>
        <w:rPr>
          <w:rFonts w:hint="cs"/>
          <w:rtl/>
        </w:rPr>
        <w:t>،</w:t>
      </w:r>
      <w:r w:rsidRPr="007D7079">
        <w:rPr>
          <w:rFonts w:hint="cs"/>
          <w:rtl/>
        </w:rPr>
        <w:t xml:space="preserve"> ونتائج الصراع النسوي في الغرب</w:t>
      </w:r>
      <w:r>
        <w:rPr>
          <w:rFonts w:hint="cs"/>
          <w:rtl/>
        </w:rPr>
        <w:t xml:space="preserve"> نفسه</w:t>
      </w:r>
      <w:r w:rsidRPr="007D7079">
        <w:rPr>
          <w:rFonts w:hint="cs"/>
          <w:rtl/>
        </w:rPr>
        <w:t>.</w:t>
      </w:r>
    </w:p>
    <w:p w:rsidR="006E0FDB" w:rsidRDefault="006E0FDB" w:rsidP="006E0FDB">
      <w:pPr>
        <w:pStyle w:val="ac"/>
        <w:rPr>
          <w:rtl/>
        </w:rPr>
      </w:pPr>
      <w:r w:rsidRPr="007D7079">
        <w:rPr>
          <w:rFonts w:hint="cs"/>
          <w:rtl/>
        </w:rPr>
        <w:t>مضافا</w:t>
      </w:r>
      <w:r>
        <w:rPr>
          <w:rFonts w:hint="cs"/>
          <w:rtl/>
        </w:rPr>
        <w:t>ً إلى أ</w:t>
      </w:r>
      <w:r w:rsidRPr="007D7079">
        <w:rPr>
          <w:rFonts w:hint="cs"/>
          <w:rtl/>
        </w:rPr>
        <w:t>ن</w:t>
      </w:r>
      <w:r>
        <w:rPr>
          <w:rFonts w:hint="cs"/>
          <w:rtl/>
        </w:rPr>
        <w:t>ّ</w:t>
      </w:r>
      <w:r w:rsidRPr="007D7079">
        <w:rPr>
          <w:rFonts w:hint="cs"/>
          <w:rtl/>
        </w:rPr>
        <w:t xml:space="preserve"> الترويج لعمل</w:t>
      </w:r>
      <w:r>
        <w:rPr>
          <w:rFonts w:hint="cs"/>
          <w:rtl/>
        </w:rPr>
        <w:t xml:space="preserve"> المرأة </w:t>
      </w:r>
      <w:r w:rsidRPr="007D7079">
        <w:rPr>
          <w:rFonts w:hint="cs"/>
          <w:rtl/>
        </w:rPr>
        <w:t>ب</w:t>
      </w:r>
      <w:r>
        <w:rPr>
          <w:rFonts w:hint="cs"/>
          <w:rtl/>
        </w:rPr>
        <w:t>وصفه خشبة</w:t>
      </w:r>
      <w:r w:rsidRPr="007D7079">
        <w:rPr>
          <w:rFonts w:hint="cs"/>
          <w:rtl/>
        </w:rPr>
        <w:t xml:space="preserve"> خلاصها،</w:t>
      </w:r>
      <w:r>
        <w:rPr>
          <w:rFonts w:hint="cs"/>
          <w:rtl/>
        </w:rPr>
        <w:t xml:space="preserve"> أو </w:t>
      </w:r>
      <w:r w:rsidRPr="007D7079">
        <w:rPr>
          <w:rFonts w:hint="cs"/>
          <w:rtl/>
        </w:rPr>
        <w:t xml:space="preserve">لفكرة العداوة بين </w:t>
      </w:r>
      <w:r>
        <w:rPr>
          <w:rFonts w:hint="cs"/>
          <w:rtl/>
        </w:rPr>
        <w:t xml:space="preserve">الجنسين، أو </w:t>
      </w:r>
      <w:r w:rsidRPr="007D7079">
        <w:rPr>
          <w:rFonts w:hint="cs"/>
          <w:rtl/>
        </w:rPr>
        <w:t>التشابه التام</w:t>
      </w:r>
      <w:r>
        <w:rPr>
          <w:rFonts w:hint="cs"/>
          <w:rtl/>
        </w:rPr>
        <w:t>ّ،</w:t>
      </w:r>
      <w:r w:rsidRPr="007D7079">
        <w:rPr>
          <w:rFonts w:hint="cs"/>
          <w:rtl/>
        </w:rPr>
        <w:t xml:space="preserve"> مع عدم </w:t>
      </w:r>
      <w:r>
        <w:rPr>
          <w:rFonts w:hint="cs"/>
          <w:rtl/>
        </w:rPr>
        <w:t xml:space="preserve">ملاحظة </w:t>
      </w:r>
      <w:r w:rsidRPr="007D7079">
        <w:rPr>
          <w:rFonts w:hint="cs"/>
          <w:rtl/>
        </w:rPr>
        <w:t>التنو</w:t>
      </w:r>
      <w:r>
        <w:rPr>
          <w:rFonts w:hint="cs"/>
          <w:rtl/>
        </w:rPr>
        <w:t>ّ</w:t>
      </w:r>
      <w:r w:rsidRPr="007D7079">
        <w:rPr>
          <w:rFonts w:hint="cs"/>
          <w:rtl/>
        </w:rPr>
        <w:t>ع الموجود لدى</w:t>
      </w:r>
      <w:r>
        <w:rPr>
          <w:rFonts w:hint="cs"/>
          <w:rtl/>
        </w:rPr>
        <w:t xml:space="preserve"> المرأة </w:t>
      </w:r>
      <w:r w:rsidRPr="007D7079">
        <w:rPr>
          <w:rFonts w:hint="cs"/>
          <w:rtl/>
        </w:rPr>
        <w:t>الايرانية</w:t>
      </w:r>
      <w:r>
        <w:rPr>
          <w:rFonts w:hint="cs"/>
          <w:rtl/>
        </w:rPr>
        <w:t>،</w:t>
      </w:r>
      <w:r w:rsidRPr="007D7079">
        <w:rPr>
          <w:rFonts w:hint="cs"/>
          <w:rtl/>
        </w:rPr>
        <w:t xml:space="preserve"> لن يؤد</w:t>
      </w:r>
      <w:r>
        <w:rPr>
          <w:rFonts w:hint="cs"/>
          <w:rtl/>
        </w:rPr>
        <w:t>ّ</w:t>
      </w:r>
      <w:r w:rsidRPr="007D7079">
        <w:rPr>
          <w:rFonts w:hint="cs"/>
          <w:rtl/>
        </w:rPr>
        <w:t>ي فقط</w:t>
      </w:r>
      <w:r>
        <w:rPr>
          <w:rFonts w:hint="cs"/>
          <w:rtl/>
        </w:rPr>
        <w:t xml:space="preserve"> إلى </w:t>
      </w:r>
      <w:r w:rsidRPr="007D7079">
        <w:rPr>
          <w:rFonts w:hint="cs"/>
          <w:rtl/>
        </w:rPr>
        <w:t>الابتعاد عن الوصول</w:t>
      </w:r>
      <w:r>
        <w:rPr>
          <w:rFonts w:hint="cs"/>
          <w:rtl/>
        </w:rPr>
        <w:t xml:space="preserve"> إلى </w:t>
      </w:r>
      <w:r w:rsidRPr="007D7079">
        <w:rPr>
          <w:rFonts w:hint="cs"/>
          <w:rtl/>
        </w:rPr>
        <w:t>معرفة صحيحة لوضع</w:t>
      </w:r>
      <w:r>
        <w:rPr>
          <w:rFonts w:hint="cs"/>
          <w:rtl/>
        </w:rPr>
        <w:t xml:space="preserve"> المرأة </w:t>
      </w:r>
      <w:r w:rsidRPr="007D7079">
        <w:rPr>
          <w:rFonts w:hint="cs"/>
          <w:rtl/>
        </w:rPr>
        <w:t>في إيران وعلاقتها بالرجل، بل سوف يؤد</w:t>
      </w:r>
      <w:r>
        <w:rPr>
          <w:rFonts w:hint="cs"/>
          <w:rtl/>
        </w:rPr>
        <w:t>ّ</w:t>
      </w:r>
      <w:r w:rsidRPr="007D7079">
        <w:rPr>
          <w:rFonts w:hint="cs"/>
          <w:rtl/>
        </w:rPr>
        <w:t>ي</w:t>
      </w:r>
      <w:r>
        <w:rPr>
          <w:rFonts w:hint="cs"/>
          <w:rtl/>
        </w:rPr>
        <w:t xml:space="preserve"> إلى </w:t>
      </w:r>
      <w:r w:rsidRPr="007D7079">
        <w:rPr>
          <w:rFonts w:hint="cs"/>
          <w:rtl/>
        </w:rPr>
        <w:t>عواقب خطيرة على الأسس العائلية</w:t>
      </w:r>
      <w:r>
        <w:rPr>
          <w:rFonts w:hint="cs"/>
          <w:rtl/>
        </w:rPr>
        <w:t>،</w:t>
      </w:r>
      <w:r w:rsidRPr="007D7079">
        <w:rPr>
          <w:rFonts w:hint="cs"/>
          <w:rtl/>
        </w:rPr>
        <w:t xml:space="preserve"> </w:t>
      </w:r>
      <w:r>
        <w:rPr>
          <w:rFonts w:hint="cs"/>
          <w:rtl/>
        </w:rPr>
        <w:t>دون أن</w:t>
      </w:r>
      <w:r w:rsidRPr="007D7079">
        <w:rPr>
          <w:rFonts w:hint="cs"/>
          <w:rtl/>
        </w:rPr>
        <w:t xml:space="preserve"> يؤم</w:t>
      </w:r>
      <w:r>
        <w:rPr>
          <w:rFonts w:hint="cs"/>
          <w:rtl/>
        </w:rPr>
        <w:t>ّ</w:t>
      </w:r>
      <w:r w:rsidRPr="007D7079">
        <w:rPr>
          <w:rFonts w:hint="cs"/>
          <w:rtl/>
        </w:rPr>
        <w:t>ن حلا</w:t>
      </w:r>
      <w:r>
        <w:rPr>
          <w:rFonts w:hint="cs"/>
          <w:rtl/>
        </w:rPr>
        <w:t xml:space="preserve">ً </w:t>
      </w:r>
      <w:r>
        <w:rPr>
          <w:rFonts w:hint="cs"/>
          <w:rtl/>
        </w:rPr>
        <w:lastRenderedPageBreak/>
        <w:t>لمشكلة المرأة.</w:t>
      </w:r>
    </w:p>
    <w:p w:rsidR="00D87048" w:rsidRDefault="006E0FDB" w:rsidP="006E0FDB">
      <w:pPr>
        <w:pStyle w:val="ac"/>
        <w:rPr>
          <w:rtl/>
        </w:rPr>
      </w:pPr>
      <w:r w:rsidRPr="007D7079">
        <w:rPr>
          <w:rFonts w:hint="cs"/>
          <w:rtl/>
        </w:rPr>
        <w:t>لقد سعينا في هذه المقالة القصيرة</w:t>
      </w:r>
      <w:r>
        <w:rPr>
          <w:rFonts w:hint="cs"/>
          <w:rtl/>
        </w:rPr>
        <w:t xml:space="preserve"> إلى </w:t>
      </w:r>
      <w:r w:rsidRPr="007D7079">
        <w:rPr>
          <w:rFonts w:hint="cs"/>
          <w:rtl/>
        </w:rPr>
        <w:t>تنبيه أنصار</w:t>
      </w:r>
      <w:r>
        <w:rPr>
          <w:rFonts w:hint="cs"/>
          <w:rtl/>
        </w:rPr>
        <w:t xml:space="preserve"> المرأة </w:t>
      </w:r>
      <w:r w:rsidRPr="007D7079">
        <w:rPr>
          <w:rFonts w:hint="cs"/>
          <w:rtl/>
        </w:rPr>
        <w:t xml:space="preserve">في إيران لأمور لم تكن </w:t>
      </w:r>
      <w:r>
        <w:rPr>
          <w:rFonts w:hint="cs"/>
          <w:rtl/>
        </w:rPr>
        <w:t>بحسبانهم،</w:t>
      </w:r>
      <w:r w:rsidRPr="007D7079">
        <w:rPr>
          <w:rFonts w:hint="cs"/>
          <w:rtl/>
        </w:rPr>
        <w:t xml:space="preserve"> لذا</w:t>
      </w:r>
      <w:r>
        <w:rPr>
          <w:rFonts w:hint="cs"/>
          <w:rtl/>
        </w:rPr>
        <w:t xml:space="preserve"> لابد ـ </w:t>
      </w:r>
      <w:r w:rsidRPr="007D7079">
        <w:rPr>
          <w:rFonts w:hint="cs"/>
          <w:rtl/>
        </w:rPr>
        <w:t>للرقي</w:t>
      </w:r>
      <w:r>
        <w:rPr>
          <w:rFonts w:hint="cs"/>
          <w:rtl/>
        </w:rPr>
        <w:t>ّ</w:t>
      </w:r>
      <w:r w:rsidRPr="007D7079">
        <w:rPr>
          <w:rFonts w:hint="cs"/>
          <w:rtl/>
        </w:rPr>
        <w:t xml:space="preserve"> بهذه الأفكار والتح</w:t>
      </w:r>
      <w:r>
        <w:rPr>
          <w:rFonts w:hint="cs"/>
          <w:rtl/>
        </w:rPr>
        <w:t>ليلات</w:t>
      </w:r>
      <w:r w:rsidRPr="007D7079">
        <w:rPr>
          <w:rFonts w:hint="cs"/>
          <w:rtl/>
        </w:rPr>
        <w:t xml:space="preserve"> </w:t>
      </w:r>
      <w:r>
        <w:rPr>
          <w:rFonts w:hint="cs"/>
          <w:rtl/>
        </w:rPr>
        <w:t xml:space="preserve">ـ </w:t>
      </w:r>
      <w:r w:rsidRPr="007D7079">
        <w:rPr>
          <w:rFonts w:hint="cs"/>
          <w:rtl/>
        </w:rPr>
        <w:t>من إظهار وجهات النظر المخالفة</w:t>
      </w:r>
      <w:r>
        <w:rPr>
          <w:rFonts w:hint="cs"/>
          <w:rtl/>
        </w:rPr>
        <w:t>،</w:t>
      </w:r>
      <w:r w:rsidRPr="007D7079">
        <w:rPr>
          <w:rFonts w:hint="cs"/>
          <w:rtl/>
        </w:rPr>
        <w:t xml:space="preserve"> حتى يتم</w:t>
      </w:r>
      <w:r>
        <w:rPr>
          <w:rFonts w:hint="cs"/>
          <w:rtl/>
        </w:rPr>
        <w:t>ّ</w:t>
      </w:r>
      <w:r w:rsidRPr="007D7079">
        <w:rPr>
          <w:rFonts w:hint="cs"/>
          <w:rtl/>
        </w:rPr>
        <w:t xml:space="preserve"> التوصل</w:t>
      </w:r>
      <w:r>
        <w:rPr>
          <w:rFonts w:hint="cs"/>
          <w:rtl/>
        </w:rPr>
        <w:t xml:space="preserve"> إلى </w:t>
      </w:r>
      <w:r w:rsidRPr="007D7079">
        <w:rPr>
          <w:rFonts w:hint="cs"/>
          <w:rtl/>
        </w:rPr>
        <w:t>ال</w:t>
      </w:r>
      <w:r>
        <w:rPr>
          <w:rFonts w:hint="cs"/>
          <w:rtl/>
        </w:rPr>
        <w:t>أ</w:t>
      </w:r>
      <w:r w:rsidRPr="007D7079">
        <w:rPr>
          <w:rFonts w:hint="cs"/>
          <w:rtl/>
        </w:rPr>
        <w:t xml:space="preserve">نموذج المقبول </w:t>
      </w:r>
      <w:r>
        <w:rPr>
          <w:rFonts w:hint="cs"/>
          <w:rtl/>
        </w:rPr>
        <w:t>اجتماع</w:t>
      </w:r>
      <w:r w:rsidRPr="007D7079">
        <w:rPr>
          <w:rFonts w:hint="cs"/>
          <w:rtl/>
        </w:rPr>
        <w:t>يّاً.</w:t>
      </w:r>
    </w:p>
    <w:p w:rsidR="009368DE" w:rsidRDefault="009368DE" w:rsidP="006E0FDB">
      <w:pPr>
        <w:pStyle w:val="ac"/>
        <w:rPr>
          <w:rtl/>
        </w:rPr>
        <w:sectPr w:rsidR="009368DE" w:rsidSect="006628C6">
          <w:headerReference w:type="even" r:id="rId99"/>
          <w:headerReference w:type="default" r:id="rId10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D87048" w:rsidRDefault="00D87048" w:rsidP="006E0FDB">
      <w:pPr>
        <w:pStyle w:val="ac"/>
        <w:rPr>
          <w:rtl/>
        </w:rPr>
        <w:sectPr w:rsidR="00D87048" w:rsidSect="006628C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6E0FDB" w:rsidRDefault="006E0FDB" w:rsidP="006E0FDB">
      <w:pPr>
        <w:pStyle w:val="ac"/>
        <w:rPr>
          <w:rtl/>
        </w:rPr>
      </w:pPr>
    </w:p>
    <w:p w:rsidR="006E0FDB" w:rsidRDefault="006E0FDB">
      <w:pPr>
        <w:widowControl/>
        <w:bidi w:val="0"/>
        <w:spacing w:line="240" w:lineRule="auto"/>
        <w:ind w:firstLine="0"/>
        <w:jc w:val="left"/>
        <w:outlineLvl w:val="9"/>
        <w:rPr>
          <w:rFonts w:ascii="SKR HEAD1" w:hAnsi="SKR HEAD1" w:cs="SKR HEAD1"/>
          <w:sz w:val="32"/>
          <w:szCs w:val="50"/>
          <w:rtl/>
        </w:rPr>
      </w:pPr>
      <w:r>
        <w:rPr>
          <w:rtl/>
        </w:rPr>
        <w:br w:type="page"/>
      </w:r>
    </w:p>
    <w:p w:rsidR="009368DE" w:rsidRDefault="009368DE">
      <w:pPr>
        <w:widowControl/>
        <w:bidi w:val="0"/>
        <w:spacing w:line="240" w:lineRule="auto"/>
        <w:ind w:firstLine="0"/>
        <w:jc w:val="left"/>
        <w:outlineLvl w:val="9"/>
        <w:rPr>
          <w:rFonts w:ascii="Arno Pro Display" w:hAnsi="Arno Pro Display"/>
          <w:sz w:val="28"/>
          <w:szCs w:val="30"/>
          <w:rtl/>
        </w:rPr>
      </w:pPr>
      <w:r>
        <w:rPr>
          <w:rtl/>
        </w:rPr>
        <w:lastRenderedPageBreak/>
        <w:br w:type="page"/>
      </w:r>
    </w:p>
    <w:p w:rsidR="006E0FDB" w:rsidRDefault="006E0FDB" w:rsidP="006E0FDB">
      <w:pPr>
        <w:pStyle w:val="ac"/>
        <w:rPr>
          <w:rtl/>
        </w:rPr>
      </w:pPr>
    </w:p>
    <w:p w:rsidR="006E0FDB" w:rsidRDefault="006E0FDB" w:rsidP="006E0FDB">
      <w:pPr>
        <w:pStyle w:val="ac"/>
        <w:rPr>
          <w:rtl/>
        </w:rPr>
      </w:pPr>
    </w:p>
    <w:p w:rsidR="006E0FDB" w:rsidRDefault="006E0FDB" w:rsidP="006E0FDB">
      <w:pPr>
        <w:pStyle w:val="ac"/>
        <w:rPr>
          <w:rtl/>
        </w:rPr>
      </w:pPr>
    </w:p>
    <w:p w:rsidR="006E0FDB" w:rsidRDefault="006E0FDB" w:rsidP="006E0FDB">
      <w:pPr>
        <w:pStyle w:val="ac"/>
        <w:rPr>
          <w:rtl/>
        </w:rPr>
      </w:pPr>
    </w:p>
    <w:p w:rsidR="006E0FDB" w:rsidRDefault="006E0FDB" w:rsidP="006E0FDB">
      <w:pPr>
        <w:pStyle w:val="ac"/>
        <w:rPr>
          <w:rtl/>
        </w:rPr>
      </w:pPr>
    </w:p>
    <w:p w:rsidR="009368DE" w:rsidRDefault="009368DE" w:rsidP="006E0FDB">
      <w:pPr>
        <w:pStyle w:val="aff2"/>
        <w:rPr>
          <w:rtl/>
        </w:rPr>
        <w:sectPr w:rsidR="009368DE" w:rsidSect="006628C6">
          <w:headerReference w:type="even" r:id="rId101"/>
          <w:headerReference w:type="default" r:id="rId102"/>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546" w:name="_Toc169521463"/>
    </w:p>
    <w:p w:rsidR="006E0FDB" w:rsidRDefault="006E0FDB" w:rsidP="006E0FDB">
      <w:pPr>
        <w:pStyle w:val="aff2"/>
        <w:rPr>
          <w:rStyle w:val="254225CharCharChar"/>
          <w:rFonts w:cs="Abz-3 (Yagut)"/>
          <w:sz w:val="36"/>
          <w:szCs w:val="36"/>
          <w:rtl/>
        </w:rPr>
      </w:pPr>
      <w:bookmarkStart w:id="547" w:name="_Toc275128233"/>
      <w:r w:rsidRPr="006E0FDB">
        <w:rPr>
          <w:rFonts w:hint="cs"/>
          <w:rtl/>
        </w:rPr>
        <w:lastRenderedPageBreak/>
        <w:t>مشروع الحركة النسوية</w:t>
      </w:r>
      <w:bookmarkEnd w:id="546"/>
      <w:bookmarkEnd w:id="547"/>
    </w:p>
    <w:p w:rsidR="006E0FDB" w:rsidRPr="006E0FDB" w:rsidRDefault="006E0FDB" w:rsidP="006E0FDB">
      <w:pPr>
        <w:pStyle w:val="aff2"/>
        <w:rPr>
          <w:rStyle w:val="254225CharCharChar"/>
          <w:rFonts w:cs="Abz-3 (Yagut)"/>
          <w:szCs w:val="26"/>
          <w:rtl/>
        </w:rPr>
      </w:pPr>
      <w:bookmarkStart w:id="548" w:name="_Toc169521464"/>
      <w:bookmarkStart w:id="549" w:name="_Toc275128234"/>
      <w:r w:rsidRPr="006E0FDB">
        <w:rPr>
          <w:rFonts w:hint="cs"/>
          <w:sz w:val="22"/>
          <w:szCs w:val="40"/>
          <w:rtl/>
        </w:rPr>
        <w:t>ما الذي تبحث عنه النسويّة في إيران</w:t>
      </w:r>
      <w:bookmarkEnd w:id="548"/>
      <w:r w:rsidRPr="006E0FDB">
        <w:rPr>
          <w:rFonts w:hint="cs"/>
          <w:sz w:val="22"/>
          <w:szCs w:val="40"/>
          <w:rtl/>
        </w:rPr>
        <w:t>؟</w:t>
      </w:r>
      <w:bookmarkEnd w:id="549"/>
    </w:p>
    <w:p w:rsidR="006E0FDB" w:rsidRDefault="006E0FDB" w:rsidP="006E0FDB">
      <w:pPr>
        <w:pStyle w:val="af7"/>
        <w:rPr>
          <w:b/>
          <w:sz w:val="28"/>
          <w:rtl/>
        </w:rPr>
      </w:pPr>
      <w:bookmarkStart w:id="550" w:name="_Toc169521465"/>
      <w:bookmarkStart w:id="551" w:name="_Toc275128235"/>
      <w:r w:rsidRPr="00CF7B01">
        <w:rPr>
          <w:rFonts w:hint="cs"/>
          <w:rtl/>
        </w:rPr>
        <w:t>د. حامد شهيديان</w:t>
      </w:r>
      <w:r w:rsidRPr="00E33C4C">
        <w:rPr>
          <w:rFonts w:ascii="Arno Pro Display" w:hAnsi="Arno Pro Display" w:cs="Taher"/>
          <w:bCs w:val="0"/>
          <w:sz w:val="28"/>
          <w:szCs w:val="30"/>
          <w:vertAlign w:val="superscript"/>
          <w:rtl/>
          <w:lang w:eastAsia="en-US"/>
        </w:rPr>
        <w:footnoteReference w:customMarkFollows="1" w:id="937"/>
        <w:t>(*)</w:t>
      </w:r>
      <w:bookmarkEnd w:id="550"/>
      <w:bookmarkEnd w:id="551"/>
    </w:p>
    <w:p w:rsidR="006E0FDB" w:rsidRPr="007D7079" w:rsidRDefault="006E0FDB" w:rsidP="006E0FDB">
      <w:pPr>
        <w:pStyle w:val="af7"/>
        <w:spacing w:before="0"/>
        <w:rPr>
          <w:rFonts w:cs="AL-Mohanad"/>
          <w:szCs w:val="27"/>
          <w:rtl/>
        </w:rPr>
      </w:pPr>
      <w:bookmarkStart w:id="552" w:name="_Toc169521466"/>
      <w:bookmarkStart w:id="553" w:name="_Toc275128236"/>
      <w:r w:rsidRPr="00FB59F1">
        <w:rPr>
          <w:rFonts w:hint="cs"/>
          <w:rtl/>
        </w:rPr>
        <w:t>ترجمة: السيد علي عباس الموسوي</w:t>
      </w:r>
      <w:bookmarkEnd w:id="552"/>
      <w:bookmarkEnd w:id="553"/>
    </w:p>
    <w:p w:rsidR="006E0FDB" w:rsidRDefault="006E0FDB" w:rsidP="006E0FDB">
      <w:pPr>
        <w:pStyle w:val="ac"/>
        <w:rPr>
          <w:rtl/>
        </w:rPr>
      </w:pPr>
      <w:bookmarkStart w:id="554" w:name="_Toc169521467"/>
    </w:p>
    <w:p w:rsidR="006E0FDB" w:rsidRPr="00D457EB" w:rsidRDefault="006E0FDB" w:rsidP="006E0FDB">
      <w:pPr>
        <w:pStyle w:val="1"/>
        <w:rPr>
          <w:rtl/>
        </w:rPr>
      </w:pPr>
      <w:bookmarkStart w:id="555" w:name="_Toc275128237"/>
      <w:r w:rsidRPr="00D457EB">
        <w:rPr>
          <w:rFonts w:hint="cs"/>
          <w:rtl/>
        </w:rPr>
        <w:t>مدخل</w:t>
      </w:r>
      <w:bookmarkEnd w:id="554"/>
      <w:bookmarkEnd w:id="555"/>
    </w:p>
    <w:p w:rsidR="006E0FDB" w:rsidRPr="00BC0623" w:rsidRDefault="006E0FDB" w:rsidP="006E0FDB">
      <w:pPr>
        <w:pStyle w:val="ac"/>
        <w:rPr>
          <w:rtl/>
        </w:rPr>
      </w:pPr>
      <w:r w:rsidRPr="00BC0623">
        <w:rPr>
          <w:rFonts w:hint="cs"/>
          <w:rtl/>
        </w:rPr>
        <w:t>من المتغيّرات المهمّة في إيران في السنوات العشر الأخيرة الاتجاه الذي سلكه موضوع حقوق المرأة، والترويج لدور مقولات كالجنس المتنوع</w:t>
      </w:r>
      <w:r w:rsidRPr="00815C4C">
        <w:rPr>
          <w:rFonts w:cs="Taher"/>
          <w:vertAlign w:val="superscript"/>
          <w:rtl/>
        </w:rPr>
        <w:t>(</w:t>
      </w:r>
      <w:r w:rsidRPr="00815C4C">
        <w:rPr>
          <w:rFonts w:cs="Taher"/>
          <w:vertAlign w:val="superscript"/>
          <w:rtl/>
        </w:rPr>
        <w:footnoteReference w:id="938"/>
      </w:r>
      <w:r w:rsidRPr="00815C4C">
        <w:rPr>
          <w:rFonts w:cs="Taher"/>
          <w:vertAlign w:val="superscript"/>
          <w:rtl/>
        </w:rPr>
        <w:t>)</w:t>
      </w:r>
      <w:r w:rsidRPr="00BC0623">
        <w:rPr>
          <w:rFonts w:hint="cs"/>
          <w:rtl/>
        </w:rPr>
        <w:t xml:space="preserve"> ـ الذكر والأنثى ـ (</w:t>
      </w:r>
      <w:r w:rsidRPr="00BC0623">
        <w:t>gender</w:t>
      </w:r>
      <w:r w:rsidRPr="00BC0623">
        <w:rPr>
          <w:rFonts w:hint="cs"/>
          <w:rtl/>
        </w:rPr>
        <w:t>)، النزعة الذكورية والنسوية لرسم السياسة الاجتماعية والثقافية،</w:t>
      </w:r>
      <w:r w:rsidRPr="00BC0623">
        <w:rPr>
          <w:rtl/>
        </w:rPr>
        <w:t xml:space="preserve"> </w:t>
      </w:r>
      <w:r w:rsidRPr="00BC0623">
        <w:rPr>
          <w:rFonts w:hint="cs"/>
          <w:rtl/>
        </w:rPr>
        <w:t>لقد صدرت العديد من الدراسات والأبحاث ـ داخل إيران وخارجها ـ تدرس حياة المرأة وسبل نجاتها من الظلم الذي تتعرّض له، والكثير من المقبولات التي كانت لمدّةٍ طويلة واضحةً للجميع مُبرهناً عليها أصبحت الآن محطّاً لعلامات الاستفهام وإعادة القراءة.</w:t>
      </w:r>
    </w:p>
    <w:p w:rsidR="006E0FDB" w:rsidRPr="007D7079" w:rsidRDefault="006E0FDB" w:rsidP="006E0FDB">
      <w:pPr>
        <w:pStyle w:val="ac"/>
        <w:rPr>
          <w:rtl/>
        </w:rPr>
      </w:pPr>
      <w:r>
        <w:rPr>
          <w:rFonts w:hint="cs"/>
          <w:rtl/>
        </w:rPr>
        <w:t>و</w:t>
      </w:r>
      <w:r w:rsidRPr="007D7079">
        <w:rPr>
          <w:rFonts w:hint="cs"/>
          <w:rtl/>
        </w:rPr>
        <w:t>من الدروس المهم</w:t>
      </w:r>
      <w:r>
        <w:rPr>
          <w:rFonts w:hint="cs"/>
          <w:rtl/>
        </w:rPr>
        <w:t>ّ</w:t>
      </w:r>
      <w:r w:rsidRPr="007D7079">
        <w:rPr>
          <w:rFonts w:hint="cs"/>
          <w:rtl/>
        </w:rPr>
        <w:t>ة لهذا التحو</w:t>
      </w:r>
      <w:r>
        <w:rPr>
          <w:rFonts w:hint="cs"/>
          <w:rtl/>
        </w:rPr>
        <w:t>ّ</w:t>
      </w:r>
      <w:r w:rsidRPr="007D7079">
        <w:rPr>
          <w:rFonts w:hint="cs"/>
          <w:rtl/>
        </w:rPr>
        <w:t xml:space="preserve">ل في الثقافة </w:t>
      </w:r>
      <w:r>
        <w:rPr>
          <w:rFonts w:hint="cs"/>
          <w:rtl/>
        </w:rPr>
        <w:t xml:space="preserve">ـ </w:t>
      </w:r>
      <w:r w:rsidRPr="007D7079">
        <w:rPr>
          <w:rFonts w:hint="cs"/>
          <w:rtl/>
        </w:rPr>
        <w:t>بحسب تصو</w:t>
      </w:r>
      <w:r>
        <w:rPr>
          <w:rFonts w:hint="cs"/>
          <w:rtl/>
        </w:rPr>
        <w:t>ّ</w:t>
      </w:r>
      <w:r w:rsidRPr="007D7079">
        <w:rPr>
          <w:rFonts w:hint="cs"/>
          <w:rtl/>
        </w:rPr>
        <w:t xml:space="preserve">ري </w:t>
      </w:r>
      <w:r>
        <w:rPr>
          <w:rFonts w:hint="cs"/>
          <w:rtl/>
        </w:rPr>
        <w:t>ـ أ</w:t>
      </w:r>
      <w:r w:rsidRPr="007D7079">
        <w:rPr>
          <w:rFonts w:hint="cs"/>
          <w:rtl/>
        </w:rPr>
        <w:t>ن</w:t>
      </w:r>
      <w:r>
        <w:rPr>
          <w:rFonts w:hint="cs"/>
          <w:rtl/>
        </w:rPr>
        <w:t>ّ</w:t>
      </w:r>
      <w:r w:rsidRPr="007D7079">
        <w:rPr>
          <w:rFonts w:hint="cs"/>
          <w:rtl/>
        </w:rPr>
        <w:t xml:space="preserve"> ثقافة (الصحيح) ليست موهبة</w:t>
      </w:r>
      <w:r>
        <w:rPr>
          <w:rFonts w:hint="cs"/>
          <w:rtl/>
        </w:rPr>
        <w:t>ً</w:t>
      </w:r>
      <w:r w:rsidRPr="007D7079">
        <w:rPr>
          <w:rFonts w:hint="cs"/>
          <w:rtl/>
        </w:rPr>
        <w:t xml:space="preserve"> لدى بعض</w:t>
      </w:r>
      <w:r>
        <w:rPr>
          <w:rFonts w:hint="cs"/>
          <w:rtl/>
        </w:rPr>
        <w:t>نا</w:t>
      </w:r>
      <w:r w:rsidRPr="007D7079">
        <w:rPr>
          <w:rFonts w:hint="cs"/>
          <w:rtl/>
        </w:rPr>
        <w:t xml:space="preserve"> توجد دفعة</w:t>
      </w:r>
      <w:r>
        <w:rPr>
          <w:rFonts w:hint="cs"/>
          <w:rtl/>
        </w:rPr>
        <w:t>ً</w:t>
      </w:r>
      <w:r w:rsidRPr="007D7079">
        <w:rPr>
          <w:rFonts w:hint="cs"/>
          <w:rtl/>
        </w:rPr>
        <w:t xml:space="preserve"> واحدة، بل هي نتيجة طريقة تبادل </w:t>
      </w:r>
      <w:r w:rsidRPr="007D7079">
        <w:rPr>
          <w:rFonts w:hint="cs"/>
          <w:rtl/>
        </w:rPr>
        <w:lastRenderedPageBreak/>
        <w:t>وحوار علمي يتبلور تدريجي</w:t>
      </w:r>
      <w:r>
        <w:rPr>
          <w:rFonts w:hint="cs"/>
          <w:rtl/>
        </w:rPr>
        <w:t>ّ</w:t>
      </w:r>
      <w:r w:rsidRPr="007D7079">
        <w:rPr>
          <w:rFonts w:hint="cs"/>
          <w:rtl/>
        </w:rPr>
        <w:t>ا</w:t>
      </w:r>
      <w:r>
        <w:rPr>
          <w:rFonts w:hint="cs"/>
          <w:rtl/>
        </w:rPr>
        <w:t>ً؛</w:t>
      </w:r>
      <w:r w:rsidRPr="007D7079">
        <w:rPr>
          <w:rFonts w:hint="cs"/>
          <w:rtl/>
        </w:rPr>
        <w:t xml:space="preserve"> لذا كانت </w:t>
      </w:r>
      <w:r>
        <w:rPr>
          <w:rFonts w:hint="cs"/>
          <w:rtl/>
        </w:rPr>
        <w:t>مقبولاتنا الصحيحة</w:t>
      </w:r>
      <w:r w:rsidRPr="007D7079">
        <w:rPr>
          <w:rFonts w:hint="cs"/>
          <w:rtl/>
        </w:rPr>
        <w:t xml:space="preserve"> خاضعة</w:t>
      </w:r>
      <w:r>
        <w:rPr>
          <w:rFonts w:hint="cs"/>
          <w:rtl/>
        </w:rPr>
        <w:t>ً</w:t>
      </w:r>
      <w:r w:rsidRPr="007D7079">
        <w:rPr>
          <w:rFonts w:hint="cs"/>
          <w:rtl/>
        </w:rPr>
        <w:t xml:space="preserve"> للتحوّل هي أيضا</w:t>
      </w:r>
      <w:r>
        <w:rPr>
          <w:rFonts w:hint="cs"/>
          <w:rtl/>
        </w:rPr>
        <w:t>ً؛</w:t>
      </w:r>
      <w:r w:rsidRPr="007D7079">
        <w:rPr>
          <w:rFonts w:hint="cs"/>
          <w:rtl/>
        </w:rPr>
        <w:t xml:space="preserve"> فما هو صحيح</w:t>
      </w:r>
      <w:r>
        <w:rPr>
          <w:rFonts w:hint="cs"/>
          <w:rtl/>
        </w:rPr>
        <w:t>ٌ</w:t>
      </w:r>
      <w:r w:rsidRPr="007D7079">
        <w:rPr>
          <w:rFonts w:hint="cs"/>
          <w:rtl/>
        </w:rPr>
        <w:t xml:space="preserve"> اليوم سيكون غدا</w:t>
      </w:r>
      <w:r>
        <w:rPr>
          <w:rFonts w:hint="cs"/>
          <w:rtl/>
        </w:rPr>
        <w:t>ً</w:t>
      </w:r>
      <w:r w:rsidRPr="007D7079">
        <w:rPr>
          <w:rFonts w:hint="cs"/>
          <w:rtl/>
        </w:rPr>
        <w:t xml:space="preserve"> محلا</w:t>
      </w:r>
      <w:r>
        <w:rPr>
          <w:rFonts w:hint="cs"/>
          <w:rtl/>
        </w:rPr>
        <w:t>ًّ</w:t>
      </w:r>
      <w:r w:rsidRPr="007D7079">
        <w:rPr>
          <w:rFonts w:hint="cs"/>
          <w:rtl/>
        </w:rPr>
        <w:t xml:space="preserve"> لدراسات جديدة،</w:t>
      </w:r>
      <w:r>
        <w:rPr>
          <w:rFonts w:hint="cs"/>
          <w:rtl/>
        </w:rPr>
        <w:t xml:space="preserve"> أو </w:t>
      </w:r>
      <w:r w:rsidRPr="007D7079">
        <w:rPr>
          <w:rFonts w:hint="cs"/>
          <w:rtl/>
        </w:rPr>
        <w:t>سيتم</w:t>
      </w:r>
      <w:r>
        <w:rPr>
          <w:rFonts w:hint="cs"/>
          <w:rtl/>
        </w:rPr>
        <w:t>ّ</w:t>
      </w:r>
      <w:r w:rsidRPr="007D7079">
        <w:rPr>
          <w:rFonts w:hint="cs"/>
          <w:rtl/>
        </w:rPr>
        <w:t xml:space="preserve"> تصنيفه</w:t>
      </w:r>
      <w:r>
        <w:rPr>
          <w:rFonts w:hint="cs"/>
          <w:rtl/>
        </w:rPr>
        <w:t xml:space="preserve"> باطلاً </w:t>
      </w:r>
      <w:r w:rsidRPr="007D7079">
        <w:rPr>
          <w:rFonts w:hint="cs"/>
          <w:rtl/>
        </w:rPr>
        <w:t xml:space="preserve">ضمن </w:t>
      </w:r>
      <w:r>
        <w:rPr>
          <w:rFonts w:hint="cs"/>
          <w:rtl/>
        </w:rPr>
        <w:t xml:space="preserve">أساليب </w:t>
      </w:r>
      <w:r w:rsidRPr="007D7079">
        <w:rPr>
          <w:rFonts w:hint="cs"/>
          <w:rtl/>
        </w:rPr>
        <w:t>البحث المستحدثة،</w:t>
      </w:r>
      <w:r>
        <w:rPr>
          <w:rFonts w:hint="cs"/>
          <w:rtl/>
        </w:rPr>
        <w:t xml:space="preserve"> أو </w:t>
      </w:r>
      <w:r w:rsidRPr="007D7079">
        <w:rPr>
          <w:rFonts w:hint="cs"/>
          <w:rtl/>
        </w:rPr>
        <w:t>سيقف حائلا</w:t>
      </w:r>
      <w:r>
        <w:rPr>
          <w:rFonts w:hint="cs"/>
          <w:rtl/>
        </w:rPr>
        <w:t>ً</w:t>
      </w:r>
      <w:r w:rsidRPr="007D7079">
        <w:rPr>
          <w:rFonts w:hint="cs"/>
          <w:rtl/>
        </w:rPr>
        <w:t xml:space="preserve"> أمام دراسات و</w:t>
      </w:r>
      <w:r>
        <w:rPr>
          <w:rFonts w:hint="cs"/>
          <w:rtl/>
        </w:rPr>
        <w:t>أبحاث جديدة؛</w:t>
      </w:r>
      <w:r w:rsidRPr="007D7079">
        <w:rPr>
          <w:rFonts w:hint="cs"/>
          <w:rtl/>
        </w:rPr>
        <w:t xml:space="preserve"> لذا كان</w:t>
      </w:r>
      <w:r>
        <w:rPr>
          <w:rFonts w:hint="cs"/>
          <w:rtl/>
        </w:rPr>
        <w:t xml:space="preserve"> لابدّ </w:t>
      </w:r>
      <w:r w:rsidRPr="007D7079">
        <w:rPr>
          <w:rFonts w:hint="cs"/>
          <w:rtl/>
        </w:rPr>
        <w:t>من إخضاع ولادة الحركة النسوية في إيران لل</w:t>
      </w:r>
      <w:r>
        <w:rPr>
          <w:rFonts w:hint="cs"/>
          <w:rtl/>
        </w:rPr>
        <w:t>رصد والمعالجة العلميّة،</w:t>
      </w:r>
      <w:r w:rsidRPr="007D7079">
        <w:rPr>
          <w:rFonts w:hint="cs"/>
          <w:rtl/>
        </w:rPr>
        <w:t xml:space="preserve"> و</w:t>
      </w:r>
      <w:r>
        <w:rPr>
          <w:rFonts w:hint="cs"/>
          <w:rtl/>
        </w:rPr>
        <w:t>جعلها مادّةً للدراسة والنظر وتبادل الرأي</w:t>
      </w:r>
      <w:r w:rsidRPr="007D7079">
        <w:rPr>
          <w:rFonts w:hint="cs"/>
          <w:rtl/>
        </w:rPr>
        <w:t xml:space="preserve">، كي </w:t>
      </w:r>
      <w:r>
        <w:rPr>
          <w:rFonts w:hint="cs"/>
          <w:rtl/>
        </w:rPr>
        <w:t>تنمو دراساتها وتتنامى.</w:t>
      </w:r>
    </w:p>
    <w:p w:rsidR="006E0FDB" w:rsidRDefault="006E0FDB" w:rsidP="006E0FDB">
      <w:pPr>
        <w:pStyle w:val="ac"/>
        <w:rPr>
          <w:rtl/>
        </w:rPr>
      </w:pPr>
      <w:r>
        <w:rPr>
          <w:rFonts w:hint="cs"/>
          <w:rtl/>
        </w:rPr>
        <w:t>لقد كان للدراسات</w:t>
      </w:r>
      <w:r w:rsidRPr="007D7079">
        <w:rPr>
          <w:rFonts w:hint="cs"/>
          <w:rtl/>
        </w:rPr>
        <w:t xml:space="preserve"> الجديدة التي سلّطت مجل</w:t>
      </w:r>
      <w:r>
        <w:rPr>
          <w:rFonts w:hint="cs"/>
          <w:rtl/>
        </w:rPr>
        <w:t>ّة زنان (</w:t>
      </w:r>
      <w:r w:rsidRPr="007D7079">
        <w:rPr>
          <w:rFonts w:hint="cs"/>
          <w:rtl/>
        </w:rPr>
        <w:t>الم</w:t>
      </w:r>
      <w:r>
        <w:rPr>
          <w:rFonts w:hint="cs"/>
          <w:rtl/>
        </w:rPr>
        <w:t>رأة) النظر عليها والتي ترتبط ب</w:t>
      </w:r>
      <w:r w:rsidRPr="007D7079">
        <w:rPr>
          <w:rFonts w:hint="cs"/>
          <w:rtl/>
        </w:rPr>
        <w:t xml:space="preserve">أهداف </w:t>
      </w:r>
      <w:r>
        <w:rPr>
          <w:rFonts w:hint="cs"/>
          <w:rtl/>
        </w:rPr>
        <w:t>الحركة</w:t>
      </w:r>
      <w:r w:rsidRPr="007D7079">
        <w:rPr>
          <w:rFonts w:hint="cs"/>
          <w:rtl/>
        </w:rPr>
        <w:t xml:space="preserve"> النسوية</w:t>
      </w:r>
      <w:r>
        <w:rPr>
          <w:rFonts w:hint="cs"/>
          <w:rtl/>
        </w:rPr>
        <w:t xml:space="preserve"> أو </w:t>
      </w:r>
      <w:r w:rsidRPr="007D7079">
        <w:rPr>
          <w:rFonts w:hint="cs"/>
          <w:rtl/>
        </w:rPr>
        <w:t>قضايا</w:t>
      </w:r>
      <w:r>
        <w:rPr>
          <w:rFonts w:hint="cs"/>
          <w:rtl/>
        </w:rPr>
        <w:t>ها</w:t>
      </w:r>
      <w:r w:rsidRPr="007D7079">
        <w:rPr>
          <w:rFonts w:hint="cs"/>
          <w:rtl/>
        </w:rPr>
        <w:t xml:space="preserve"> دور</w:t>
      </w:r>
      <w:r>
        <w:rPr>
          <w:rFonts w:hint="cs"/>
          <w:rtl/>
        </w:rPr>
        <w:t>ٌ</w:t>
      </w:r>
      <w:r w:rsidRPr="007D7079">
        <w:rPr>
          <w:rFonts w:hint="cs"/>
          <w:rtl/>
        </w:rPr>
        <w:t xml:space="preserve"> كبير في نقد</w:t>
      </w:r>
      <w:r>
        <w:rPr>
          <w:rFonts w:hint="cs"/>
          <w:rtl/>
        </w:rPr>
        <w:t>ها نقداً مركّزاً؛</w:t>
      </w:r>
      <w:r w:rsidRPr="007D7079">
        <w:rPr>
          <w:rFonts w:hint="cs"/>
          <w:rtl/>
        </w:rPr>
        <w:t xml:space="preserve"> </w:t>
      </w:r>
      <w:r>
        <w:rPr>
          <w:rFonts w:hint="cs"/>
          <w:rtl/>
        </w:rPr>
        <w:t>ف</w:t>
      </w:r>
      <w:r w:rsidRPr="007D7079">
        <w:rPr>
          <w:rFonts w:hint="cs"/>
          <w:rtl/>
        </w:rPr>
        <w:t>قد قامت الزميلة</w:t>
      </w:r>
      <w:r>
        <w:rPr>
          <w:rFonts w:hint="cs"/>
          <w:rtl/>
        </w:rPr>
        <w:t xml:space="preserve"> د. </w:t>
      </w:r>
      <w:r w:rsidRPr="007D7079">
        <w:rPr>
          <w:rFonts w:hint="cs"/>
          <w:rtl/>
        </w:rPr>
        <w:t>ناهيد مطيع ب</w:t>
      </w:r>
      <w:r>
        <w:rPr>
          <w:rFonts w:hint="cs"/>
          <w:rtl/>
        </w:rPr>
        <w:t>إثارة</w:t>
      </w:r>
      <w:r w:rsidRPr="007D7079">
        <w:rPr>
          <w:rFonts w:hint="cs"/>
          <w:rtl/>
        </w:rPr>
        <w:t xml:space="preserve"> العديد من المسائل التي ترتبط بالنسوية في إيران، </w:t>
      </w:r>
      <w:r>
        <w:rPr>
          <w:rFonts w:hint="cs"/>
          <w:rtl/>
        </w:rPr>
        <w:t>ف</w:t>
      </w:r>
      <w:r w:rsidRPr="007D7079">
        <w:rPr>
          <w:rFonts w:hint="cs"/>
          <w:rtl/>
        </w:rPr>
        <w:t xml:space="preserve">فتحت </w:t>
      </w:r>
      <w:r>
        <w:rPr>
          <w:rFonts w:hint="cs"/>
          <w:rtl/>
        </w:rPr>
        <w:t xml:space="preserve">بذلك </w:t>
      </w:r>
      <w:r w:rsidRPr="007D7079">
        <w:rPr>
          <w:rFonts w:hint="cs"/>
          <w:rtl/>
        </w:rPr>
        <w:t xml:space="preserve">باب </w:t>
      </w:r>
      <w:r>
        <w:rPr>
          <w:rFonts w:hint="cs"/>
          <w:rtl/>
        </w:rPr>
        <w:t>البحث العلمي لتناول</w:t>
      </w:r>
      <w:r w:rsidRPr="007D7079">
        <w:rPr>
          <w:rFonts w:hint="cs"/>
          <w:rtl/>
        </w:rPr>
        <w:t xml:space="preserve"> قضايا</w:t>
      </w:r>
      <w:r>
        <w:rPr>
          <w:rFonts w:hint="cs"/>
          <w:rtl/>
        </w:rPr>
        <w:t xml:space="preserve"> المرأة </w:t>
      </w:r>
      <w:r w:rsidRPr="007D7079">
        <w:rPr>
          <w:rFonts w:hint="cs"/>
          <w:rtl/>
        </w:rPr>
        <w:t xml:space="preserve">والنسوية في </w:t>
      </w:r>
      <w:r>
        <w:rPr>
          <w:rFonts w:hint="cs"/>
          <w:rtl/>
        </w:rPr>
        <w:t>هذا البلد.</w:t>
      </w:r>
    </w:p>
    <w:p w:rsidR="006E0FDB" w:rsidRPr="007D7079" w:rsidRDefault="006E0FDB" w:rsidP="006E0FDB">
      <w:pPr>
        <w:pStyle w:val="ac"/>
        <w:rPr>
          <w:rtl/>
        </w:rPr>
      </w:pPr>
      <w:r w:rsidRPr="007D7079">
        <w:rPr>
          <w:rFonts w:hint="cs"/>
          <w:rtl/>
        </w:rPr>
        <w:t xml:space="preserve">وقد </w:t>
      </w:r>
      <w:r>
        <w:rPr>
          <w:rFonts w:hint="cs"/>
          <w:rtl/>
        </w:rPr>
        <w:t>ألحّت الدراسة المذكورة على مبدأ سليم وهو</w:t>
      </w:r>
      <w:r w:rsidRPr="007D7079">
        <w:rPr>
          <w:rFonts w:hint="cs"/>
          <w:rtl/>
        </w:rPr>
        <w:t xml:space="preserve"> أهمي</w:t>
      </w:r>
      <w:r>
        <w:rPr>
          <w:rFonts w:hint="cs"/>
          <w:rtl/>
        </w:rPr>
        <w:t>ّ</w:t>
      </w:r>
      <w:r w:rsidRPr="007D7079">
        <w:rPr>
          <w:rFonts w:hint="cs"/>
          <w:rtl/>
        </w:rPr>
        <w:t xml:space="preserve">ة العمل المنزلي، </w:t>
      </w:r>
      <w:r>
        <w:rPr>
          <w:rFonts w:hint="cs"/>
          <w:rtl/>
        </w:rPr>
        <w:t>فأوضحت أ</w:t>
      </w:r>
      <w:r w:rsidRPr="007D7079">
        <w:rPr>
          <w:rFonts w:hint="cs"/>
          <w:rtl/>
        </w:rPr>
        <w:t>ن</w:t>
      </w:r>
      <w:r>
        <w:rPr>
          <w:rFonts w:hint="cs"/>
          <w:rtl/>
        </w:rPr>
        <w:t>ّ</w:t>
      </w:r>
      <w:r w:rsidRPr="007D7079">
        <w:rPr>
          <w:rFonts w:hint="cs"/>
          <w:rtl/>
        </w:rPr>
        <w:t xml:space="preserve">ه </w:t>
      </w:r>
      <w:r>
        <w:rPr>
          <w:rFonts w:hint="cs"/>
          <w:rtl/>
        </w:rPr>
        <w:t xml:space="preserve">لهذا العمل ـ </w:t>
      </w:r>
      <w:r w:rsidRPr="007D7079">
        <w:rPr>
          <w:rFonts w:hint="cs"/>
          <w:rtl/>
        </w:rPr>
        <w:t>وخلافا</w:t>
      </w:r>
      <w:r>
        <w:rPr>
          <w:rFonts w:hint="cs"/>
          <w:rtl/>
        </w:rPr>
        <w:t>ً للسائد بشكل عام؛</w:t>
      </w:r>
      <w:r w:rsidRPr="007D7079">
        <w:rPr>
          <w:rFonts w:hint="cs"/>
          <w:rtl/>
        </w:rPr>
        <w:t xml:space="preserve"> حيث لا يتم</w:t>
      </w:r>
      <w:r>
        <w:rPr>
          <w:rFonts w:hint="cs"/>
          <w:rtl/>
        </w:rPr>
        <w:t>ّ</w:t>
      </w:r>
      <w:r w:rsidRPr="007D7079">
        <w:rPr>
          <w:rFonts w:hint="cs"/>
          <w:rtl/>
        </w:rPr>
        <w:t xml:space="preserve"> تصنيف عمل</w:t>
      </w:r>
      <w:r>
        <w:rPr>
          <w:rFonts w:hint="cs"/>
          <w:rtl/>
        </w:rPr>
        <w:t xml:space="preserve"> المرأة </w:t>
      </w:r>
      <w:r w:rsidRPr="007D7079">
        <w:rPr>
          <w:rFonts w:hint="cs"/>
          <w:rtl/>
        </w:rPr>
        <w:t>المنزلي في الإحصاءات الرسمية للاقتصاد المنتج ـ</w:t>
      </w:r>
      <w:r>
        <w:rPr>
          <w:rFonts w:hint="cs"/>
          <w:rtl/>
        </w:rPr>
        <w:t xml:space="preserve"> </w:t>
      </w:r>
      <w:r w:rsidRPr="007D7079">
        <w:rPr>
          <w:rFonts w:hint="cs"/>
          <w:rtl/>
        </w:rPr>
        <w:t>دورا</w:t>
      </w:r>
      <w:r>
        <w:rPr>
          <w:rFonts w:hint="cs"/>
          <w:rtl/>
        </w:rPr>
        <w:t>ً</w:t>
      </w:r>
      <w:r w:rsidRPr="007D7079">
        <w:rPr>
          <w:rFonts w:hint="cs"/>
          <w:rtl/>
        </w:rPr>
        <w:t xml:space="preserve"> </w:t>
      </w:r>
      <w:r>
        <w:rPr>
          <w:rFonts w:hint="cs"/>
          <w:rtl/>
        </w:rPr>
        <w:t>نشطاً</w:t>
      </w:r>
      <w:r w:rsidRPr="007D7079">
        <w:rPr>
          <w:rFonts w:hint="cs"/>
          <w:rtl/>
        </w:rPr>
        <w:t xml:space="preserve"> </w:t>
      </w:r>
      <w:r>
        <w:rPr>
          <w:rFonts w:hint="cs"/>
          <w:rtl/>
        </w:rPr>
        <w:t>على الصعيدين: الاقتصادي</w:t>
      </w:r>
      <w:r w:rsidRPr="007D7079">
        <w:rPr>
          <w:rFonts w:hint="cs"/>
          <w:rtl/>
        </w:rPr>
        <w:t xml:space="preserve"> و</w:t>
      </w:r>
      <w:r>
        <w:rPr>
          <w:rFonts w:hint="cs"/>
          <w:rtl/>
        </w:rPr>
        <w:t>الاجتماعي</w:t>
      </w:r>
      <w:r w:rsidRPr="007D7079">
        <w:rPr>
          <w:rFonts w:hint="cs"/>
          <w:rtl/>
        </w:rPr>
        <w:t xml:space="preserve"> </w:t>
      </w:r>
      <w:r>
        <w:rPr>
          <w:rFonts w:hint="cs"/>
          <w:rtl/>
        </w:rPr>
        <w:t>ل</w:t>
      </w:r>
      <w:r w:rsidRPr="007D7079">
        <w:rPr>
          <w:rFonts w:hint="cs"/>
          <w:rtl/>
        </w:rPr>
        <w:t>لعائلة والمجتمع، وه</w:t>
      </w:r>
      <w:r>
        <w:rPr>
          <w:rFonts w:hint="cs"/>
          <w:rtl/>
        </w:rPr>
        <w:t>و</w:t>
      </w:r>
      <w:r w:rsidRPr="007D7079">
        <w:rPr>
          <w:rFonts w:hint="cs"/>
          <w:rtl/>
        </w:rPr>
        <w:t xml:space="preserve"> </w:t>
      </w:r>
      <w:r>
        <w:rPr>
          <w:rFonts w:hint="cs"/>
          <w:rtl/>
        </w:rPr>
        <w:t xml:space="preserve">ما </w:t>
      </w:r>
      <w:r w:rsidRPr="007D7079">
        <w:rPr>
          <w:rFonts w:hint="cs"/>
          <w:rtl/>
        </w:rPr>
        <w:t xml:space="preserve">لا تقتصر فائدته </w:t>
      </w:r>
      <w:r>
        <w:rPr>
          <w:rFonts w:hint="cs"/>
          <w:rtl/>
        </w:rPr>
        <w:t xml:space="preserve">على </w:t>
      </w:r>
      <w:r w:rsidRPr="007D7079">
        <w:rPr>
          <w:rFonts w:hint="cs"/>
          <w:rtl/>
        </w:rPr>
        <w:t xml:space="preserve">إعادة </w:t>
      </w:r>
      <w:r>
        <w:rPr>
          <w:rFonts w:hint="cs"/>
          <w:rtl/>
        </w:rPr>
        <w:t>قراءة</w:t>
      </w:r>
      <w:r w:rsidRPr="007D7079">
        <w:rPr>
          <w:rFonts w:hint="cs"/>
          <w:rtl/>
        </w:rPr>
        <w:t xml:space="preserve"> دور</w:t>
      </w:r>
      <w:r>
        <w:rPr>
          <w:rFonts w:hint="cs"/>
          <w:rtl/>
        </w:rPr>
        <w:t xml:space="preserve"> المرأة </w:t>
      </w:r>
      <w:r w:rsidRPr="007D7079">
        <w:rPr>
          <w:rFonts w:hint="cs"/>
          <w:rtl/>
        </w:rPr>
        <w:t xml:space="preserve">في </w:t>
      </w:r>
      <w:r>
        <w:rPr>
          <w:rFonts w:hint="cs"/>
          <w:rtl/>
        </w:rPr>
        <w:t>الأسرة</w:t>
      </w:r>
      <w:r w:rsidRPr="007D7079">
        <w:rPr>
          <w:rFonts w:hint="cs"/>
          <w:rtl/>
        </w:rPr>
        <w:t xml:space="preserve"> و</w:t>
      </w:r>
      <w:r>
        <w:rPr>
          <w:rFonts w:hint="cs"/>
          <w:rtl/>
        </w:rPr>
        <w:t>متابعة</w:t>
      </w:r>
      <w:r w:rsidRPr="007D7079">
        <w:rPr>
          <w:rFonts w:hint="cs"/>
          <w:rtl/>
        </w:rPr>
        <w:t xml:space="preserve"> تفاصيل دورها ال</w:t>
      </w:r>
      <w:r>
        <w:rPr>
          <w:rFonts w:hint="cs"/>
          <w:rtl/>
        </w:rPr>
        <w:t>اجتماع</w:t>
      </w:r>
      <w:r w:rsidRPr="007D7079">
        <w:rPr>
          <w:rFonts w:hint="cs"/>
          <w:rtl/>
        </w:rPr>
        <w:t>ي</w:t>
      </w:r>
      <w:r>
        <w:rPr>
          <w:rFonts w:hint="cs"/>
          <w:rtl/>
        </w:rPr>
        <w:t>،</w:t>
      </w:r>
      <w:r w:rsidRPr="007D7079">
        <w:rPr>
          <w:rFonts w:hint="cs"/>
          <w:rtl/>
        </w:rPr>
        <w:t xml:space="preserve"> بل </w:t>
      </w:r>
      <w:r>
        <w:rPr>
          <w:rFonts w:hint="cs"/>
          <w:rtl/>
        </w:rPr>
        <w:t>إ</w:t>
      </w:r>
      <w:r w:rsidRPr="007D7079">
        <w:rPr>
          <w:rFonts w:hint="cs"/>
          <w:rtl/>
        </w:rPr>
        <w:t>ن</w:t>
      </w:r>
      <w:r>
        <w:rPr>
          <w:rFonts w:hint="cs"/>
          <w:rtl/>
        </w:rPr>
        <w:t>ّ</w:t>
      </w:r>
      <w:r w:rsidRPr="007D7079">
        <w:rPr>
          <w:rFonts w:hint="cs"/>
          <w:rtl/>
        </w:rPr>
        <w:t>ه يُشك</w:t>
      </w:r>
      <w:r>
        <w:rPr>
          <w:rFonts w:hint="cs"/>
          <w:rtl/>
        </w:rPr>
        <w:t>ّ</w:t>
      </w:r>
      <w:r w:rsidRPr="007D7079">
        <w:rPr>
          <w:rFonts w:hint="cs"/>
          <w:rtl/>
        </w:rPr>
        <w:t>ل مفتاح البحث</w:t>
      </w:r>
      <w:r>
        <w:rPr>
          <w:rFonts w:hint="cs"/>
          <w:rtl/>
        </w:rPr>
        <w:t xml:space="preserve"> هنا،</w:t>
      </w:r>
      <w:r w:rsidRPr="007D7079">
        <w:rPr>
          <w:rFonts w:hint="cs"/>
          <w:rtl/>
        </w:rPr>
        <w:t xml:space="preserve"> وكذلك الحال بالنسبة لتحليلها الدقيق لتأثير التطو</w:t>
      </w:r>
      <w:r>
        <w:rPr>
          <w:rFonts w:hint="cs"/>
          <w:rtl/>
        </w:rPr>
        <w:t>ّ</w:t>
      </w:r>
      <w:r w:rsidRPr="007D7079">
        <w:rPr>
          <w:rFonts w:hint="cs"/>
          <w:rtl/>
        </w:rPr>
        <w:t>ر التكنولوجي على عمل</w:t>
      </w:r>
      <w:r>
        <w:rPr>
          <w:rFonts w:hint="cs"/>
          <w:rtl/>
        </w:rPr>
        <w:t xml:space="preserve"> المرأة </w:t>
      </w:r>
      <w:r w:rsidRPr="007D7079">
        <w:rPr>
          <w:rFonts w:hint="cs"/>
          <w:rtl/>
        </w:rPr>
        <w:t>المنزلي.</w:t>
      </w:r>
    </w:p>
    <w:p w:rsidR="006E0FDB" w:rsidRDefault="006E0FDB" w:rsidP="006E0FDB">
      <w:pPr>
        <w:pStyle w:val="ac"/>
        <w:rPr>
          <w:rtl/>
        </w:rPr>
      </w:pPr>
      <w:r w:rsidRPr="007D7079">
        <w:rPr>
          <w:rFonts w:hint="cs"/>
          <w:rtl/>
        </w:rPr>
        <w:t xml:space="preserve">ما أسعى إليه هنا </w:t>
      </w:r>
      <w:r>
        <w:rPr>
          <w:rFonts w:hint="cs"/>
          <w:rtl/>
        </w:rPr>
        <w:t xml:space="preserve">ـ </w:t>
      </w:r>
      <w:r w:rsidRPr="007D7079">
        <w:rPr>
          <w:rFonts w:hint="cs"/>
          <w:rtl/>
        </w:rPr>
        <w:t>و</w:t>
      </w:r>
      <w:r>
        <w:rPr>
          <w:rFonts w:hint="cs"/>
          <w:rtl/>
        </w:rPr>
        <w:t>مع</w:t>
      </w:r>
      <w:r w:rsidRPr="007D7079">
        <w:rPr>
          <w:rFonts w:hint="cs"/>
          <w:rtl/>
        </w:rPr>
        <w:t xml:space="preserve"> تقديري للجهد المبذول من قبل</w:t>
      </w:r>
      <w:r>
        <w:rPr>
          <w:rFonts w:hint="cs"/>
          <w:rtl/>
        </w:rPr>
        <w:t xml:space="preserve"> د. </w:t>
      </w:r>
      <w:r w:rsidRPr="007D7079">
        <w:rPr>
          <w:rFonts w:hint="cs"/>
          <w:rtl/>
        </w:rPr>
        <w:t>مطيع في بحثها عن تحديد دور</w:t>
      </w:r>
      <w:r>
        <w:rPr>
          <w:rFonts w:hint="cs"/>
          <w:rtl/>
        </w:rPr>
        <w:t xml:space="preserve"> المرأة الإ</w:t>
      </w:r>
      <w:r w:rsidRPr="007D7079">
        <w:rPr>
          <w:rFonts w:hint="cs"/>
          <w:rtl/>
        </w:rPr>
        <w:t>يرانية</w:t>
      </w:r>
      <w:r>
        <w:rPr>
          <w:rFonts w:hint="cs"/>
          <w:rtl/>
        </w:rPr>
        <w:t xml:space="preserve"> في الحياة</w:t>
      </w:r>
      <w:r w:rsidRPr="007D7079">
        <w:rPr>
          <w:rFonts w:hint="cs"/>
          <w:rtl/>
        </w:rPr>
        <w:t xml:space="preserve"> </w:t>
      </w:r>
      <w:r>
        <w:rPr>
          <w:rFonts w:hint="cs"/>
          <w:rtl/>
        </w:rPr>
        <w:t xml:space="preserve">ـ </w:t>
      </w:r>
      <w:r w:rsidRPr="007D7079">
        <w:rPr>
          <w:rFonts w:hint="cs"/>
          <w:rtl/>
        </w:rPr>
        <w:t xml:space="preserve">تسجيل بعض النقاط </w:t>
      </w:r>
      <w:r>
        <w:rPr>
          <w:rFonts w:hint="cs"/>
          <w:rtl/>
        </w:rPr>
        <w:t xml:space="preserve">بوصفها </w:t>
      </w:r>
      <w:r w:rsidRPr="007D7079">
        <w:rPr>
          <w:rFonts w:hint="cs"/>
          <w:rtl/>
        </w:rPr>
        <w:t>بداية</w:t>
      </w:r>
      <w:r>
        <w:rPr>
          <w:rFonts w:hint="cs"/>
          <w:rtl/>
        </w:rPr>
        <w:t>ً</w:t>
      </w:r>
      <w:r w:rsidRPr="007D7079">
        <w:rPr>
          <w:rFonts w:hint="cs"/>
          <w:rtl/>
        </w:rPr>
        <w:t xml:space="preserve"> لحوار</w:t>
      </w:r>
      <w:r>
        <w:rPr>
          <w:rFonts w:hint="cs"/>
          <w:rtl/>
        </w:rPr>
        <w:t>ٍ مثمر،</w:t>
      </w:r>
      <w:r w:rsidRPr="007D7079">
        <w:rPr>
          <w:rFonts w:hint="cs"/>
          <w:rtl/>
        </w:rPr>
        <w:t xml:space="preserve"> نعم</w:t>
      </w:r>
      <w:r>
        <w:rPr>
          <w:rFonts w:hint="cs"/>
          <w:rtl/>
        </w:rPr>
        <w:t xml:space="preserve"> لابدّ </w:t>
      </w:r>
      <w:r w:rsidRPr="007D7079">
        <w:rPr>
          <w:rFonts w:hint="cs"/>
          <w:rtl/>
        </w:rPr>
        <w:t xml:space="preserve">من التنبيه على </w:t>
      </w:r>
      <w:r>
        <w:rPr>
          <w:rFonts w:hint="cs"/>
          <w:rtl/>
        </w:rPr>
        <w:t>أمر،</w:t>
      </w:r>
      <w:r w:rsidRPr="007D7079">
        <w:rPr>
          <w:rFonts w:hint="cs"/>
          <w:rtl/>
        </w:rPr>
        <w:t xml:space="preserve"> وهو أن</w:t>
      </w:r>
      <w:r>
        <w:rPr>
          <w:rFonts w:hint="cs"/>
          <w:rtl/>
        </w:rPr>
        <w:t>ّ</w:t>
      </w:r>
      <w:r w:rsidRPr="007D7079">
        <w:rPr>
          <w:rFonts w:hint="cs"/>
          <w:rtl/>
        </w:rPr>
        <w:t xml:space="preserve"> </w:t>
      </w:r>
      <w:r>
        <w:rPr>
          <w:rFonts w:hint="cs"/>
          <w:rtl/>
        </w:rPr>
        <w:t xml:space="preserve">ما سنثيره لا يقتصر على ما كتبته د. </w:t>
      </w:r>
      <w:r w:rsidRPr="007D7079">
        <w:rPr>
          <w:rFonts w:hint="cs"/>
          <w:rtl/>
        </w:rPr>
        <w:t>مطيع</w:t>
      </w:r>
      <w:r>
        <w:rPr>
          <w:rFonts w:hint="cs"/>
          <w:rtl/>
        </w:rPr>
        <w:t>،</w:t>
      </w:r>
      <w:r w:rsidRPr="007D7079">
        <w:rPr>
          <w:rFonts w:hint="cs"/>
          <w:rtl/>
        </w:rPr>
        <w:t xml:space="preserve"> وما أ</w:t>
      </w:r>
      <w:r>
        <w:rPr>
          <w:rFonts w:hint="cs"/>
          <w:rtl/>
        </w:rPr>
        <w:t>ؤكّ</w:t>
      </w:r>
      <w:r w:rsidRPr="007D7079">
        <w:rPr>
          <w:rFonts w:hint="cs"/>
          <w:rtl/>
        </w:rPr>
        <w:t xml:space="preserve">د عليه </w:t>
      </w:r>
      <w:r>
        <w:rPr>
          <w:rFonts w:hint="cs"/>
          <w:rtl/>
        </w:rPr>
        <w:t>أ</w:t>
      </w:r>
      <w:r w:rsidRPr="007D7079">
        <w:rPr>
          <w:rFonts w:hint="cs"/>
          <w:rtl/>
        </w:rPr>
        <w:t>ن</w:t>
      </w:r>
      <w:r>
        <w:rPr>
          <w:rFonts w:hint="cs"/>
          <w:rtl/>
        </w:rPr>
        <w:t>ّ</w:t>
      </w:r>
      <w:r w:rsidRPr="007D7079">
        <w:rPr>
          <w:rFonts w:hint="cs"/>
          <w:rtl/>
        </w:rPr>
        <w:t xml:space="preserve"> النسوية </w:t>
      </w:r>
      <w:r>
        <w:rPr>
          <w:rFonts w:hint="cs"/>
          <w:rtl/>
        </w:rPr>
        <w:t>الإيرانية</w:t>
      </w:r>
      <w:r w:rsidRPr="007D7079">
        <w:rPr>
          <w:rFonts w:hint="cs"/>
          <w:rtl/>
        </w:rPr>
        <w:t xml:space="preserve"> لا ينبغي </w:t>
      </w:r>
      <w:r>
        <w:rPr>
          <w:rFonts w:hint="cs"/>
          <w:rtl/>
        </w:rPr>
        <w:t xml:space="preserve">لها </w:t>
      </w:r>
      <w:r w:rsidRPr="007D7079">
        <w:rPr>
          <w:rFonts w:hint="cs"/>
          <w:rtl/>
        </w:rPr>
        <w:t>أن تبقى أسيرة</w:t>
      </w:r>
      <w:r>
        <w:rPr>
          <w:rFonts w:hint="cs"/>
          <w:rtl/>
        </w:rPr>
        <w:t>ً</w:t>
      </w:r>
      <w:r w:rsidRPr="007D7079">
        <w:rPr>
          <w:rFonts w:hint="cs"/>
          <w:rtl/>
        </w:rPr>
        <w:t xml:space="preserve"> للمفاهيم والتعاريف المؤس</w:t>
      </w:r>
      <w:r>
        <w:rPr>
          <w:rFonts w:hint="cs"/>
          <w:rtl/>
        </w:rPr>
        <w:t>ّ</w:t>
      </w:r>
      <w:r w:rsidRPr="007D7079">
        <w:rPr>
          <w:rFonts w:hint="cs"/>
          <w:rtl/>
        </w:rPr>
        <w:t>سة مسبق</w:t>
      </w:r>
      <w:r>
        <w:rPr>
          <w:rFonts w:hint="cs"/>
          <w:rtl/>
        </w:rPr>
        <w:t>اً</w:t>
      </w:r>
      <w:r w:rsidRPr="007D7079">
        <w:rPr>
          <w:rFonts w:hint="cs"/>
          <w:rtl/>
        </w:rPr>
        <w:t>، و</w:t>
      </w:r>
      <w:r>
        <w:rPr>
          <w:rFonts w:hint="cs"/>
          <w:rtl/>
        </w:rPr>
        <w:t>إ</w:t>
      </w:r>
      <w:r w:rsidRPr="007D7079">
        <w:rPr>
          <w:rFonts w:hint="cs"/>
          <w:rtl/>
        </w:rPr>
        <w:t>ن كانت هذه ا</w:t>
      </w:r>
      <w:r>
        <w:rPr>
          <w:rFonts w:hint="cs"/>
          <w:rtl/>
        </w:rPr>
        <w:t>لتعاريف لا ضرر منها بل هي مفيدة،</w:t>
      </w:r>
      <w:r w:rsidRPr="007D7079">
        <w:rPr>
          <w:rFonts w:hint="cs"/>
          <w:rtl/>
        </w:rPr>
        <w:t xml:space="preserve"> وإذا كان</w:t>
      </w:r>
      <w:r>
        <w:rPr>
          <w:rFonts w:hint="cs"/>
          <w:rtl/>
        </w:rPr>
        <w:t xml:space="preserve"> لابد </w:t>
      </w:r>
      <w:r w:rsidRPr="007D7079">
        <w:rPr>
          <w:rFonts w:hint="cs"/>
          <w:rtl/>
        </w:rPr>
        <w:t xml:space="preserve">للنسوية من أن تخطو خطوتها الأولى نحو الديمقراطية والتساوي فلا بدّ لها من </w:t>
      </w:r>
      <w:r>
        <w:rPr>
          <w:rFonts w:hint="cs"/>
          <w:rtl/>
        </w:rPr>
        <w:t xml:space="preserve">أن </w:t>
      </w:r>
      <w:r w:rsidRPr="007D7079">
        <w:rPr>
          <w:rFonts w:hint="cs"/>
          <w:rtl/>
        </w:rPr>
        <w:t xml:space="preserve">تسير </w:t>
      </w:r>
      <w:r>
        <w:rPr>
          <w:rFonts w:hint="cs"/>
          <w:rtl/>
        </w:rPr>
        <w:t>نحو البحث</w:t>
      </w:r>
      <w:r w:rsidRPr="007D7079">
        <w:rPr>
          <w:rFonts w:hint="cs"/>
          <w:rtl/>
        </w:rPr>
        <w:t xml:space="preserve"> عن الهوية ال</w:t>
      </w:r>
      <w:r>
        <w:rPr>
          <w:rFonts w:hint="cs"/>
          <w:rtl/>
        </w:rPr>
        <w:t>إنسانية أ</w:t>
      </w:r>
      <w:r w:rsidRPr="007D7079">
        <w:rPr>
          <w:rFonts w:hint="cs"/>
          <w:rtl/>
        </w:rPr>
        <w:t>يضا</w:t>
      </w:r>
      <w:r>
        <w:rPr>
          <w:rFonts w:hint="cs"/>
          <w:rtl/>
        </w:rPr>
        <w:t>ً،</w:t>
      </w:r>
      <w:r w:rsidRPr="007D7079">
        <w:rPr>
          <w:rFonts w:hint="cs"/>
          <w:rtl/>
        </w:rPr>
        <w:t xml:space="preserve"> </w:t>
      </w:r>
      <w:r>
        <w:rPr>
          <w:rFonts w:hint="cs"/>
          <w:rtl/>
        </w:rPr>
        <w:t>ف</w:t>
      </w:r>
      <w:r w:rsidRPr="007D7079">
        <w:rPr>
          <w:rFonts w:hint="cs"/>
          <w:rtl/>
        </w:rPr>
        <w:t xml:space="preserve">تضييق </w:t>
      </w:r>
      <w:r>
        <w:rPr>
          <w:rFonts w:hint="cs"/>
          <w:rtl/>
        </w:rPr>
        <w:t xml:space="preserve">دائرة </w:t>
      </w:r>
      <w:r w:rsidRPr="007D7079">
        <w:rPr>
          <w:rFonts w:hint="cs"/>
          <w:rtl/>
        </w:rPr>
        <w:t>البحث في أطر</w:t>
      </w:r>
      <w:r>
        <w:rPr>
          <w:rFonts w:hint="cs"/>
          <w:rtl/>
        </w:rPr>
        <w:t>ٍ</w:t>
      </w:r>
      <w:r w:rsidRPr="007D7079">
        <w:rPr>
          <w:rFonts w:hint="cs"/>
          <w:rtl/>
        </w:rPr>
        <w:t xml:space="preserve"> مبحوثة </w:t>
      </w:r>
      <w:r>
        <w:rPr>
          <w:rFonts w:hint="cs"/>
          <w:rtl/>
        </w:rPr>
        <w:t>سلفاً</w:t>
      </w:r>
      <w:r w:rsidRPr="007D7079">
        <w:rPr>
          <w:rFonts w:hint="cs"/>
          <w:rtl/>
        </w:rPr>
        <w:t xml:space="preserve"> لا يعني سوى استبدال بعض المقبولات ب</w:t>
      </w:r>
      <w:r>
        <w:rPr>
          <w:rFonts w:hint="cs"/>
          <w:rtl/>
        </w:rPr>
        <w:t>أخرى</w:t>
      </w:r>
      <w:r w:rsidRPr="007D7079">
        <w:rPr>
          <w:rFonts w:hint="cs"/>
          <w:rtl/>
        </w:rPr>
        <w:t>.</w:t>
      </w:r>
    </w:p>
    <w:p w:rsidR="006E0FDB" w:rsidRDefault="006E0FDB" w:rsidP="006E0FDB">
      <w:pPr>
        <w:pStyle w:val="ac"/>
        <w:rPr>
          <w:rtl/>
        </w:rPr>
      </w:pPr>
      <w:r w:rsidRPr="007D7079">
        <w:rPr>
          <w:rFonts w:hint="cs"/>
          <w:rtl/>
        </w:rPr>
        <w:t>و</w:t>
      </w:r>
      <w:r>
        <w:rPr>
          <w:rFonts w:hint="cs"/>
          <w:rtl/>
        </w:rPr>
        <w:t>بغية</w:t>
      </w:r>
      <w:r w:rsidRPr="007D7079">
        <w:rPr>
          <w:rFonts w:hint="cs"/>
          <w:rtl/>
        </w:rPr>
        <w:t xml:space="preserve"> </w:t>
      </w:r>
      <w:r>
        <w:rPr>
          <w:rFonts w:hint="cs"/>
          <w:rtl/>
        </w:rPr>
        <w:t>تجنّب</w:t>
      </w:r>
      <w:r w:rsidRPr="007D7079">
        <w:rPr>
          <w:rFonts w:hint="cs"/>
          <w:rtl/>
        </w:rPr>
        <w:t xml:space="preserve"> الوقوع في </w:t>
      </w:r>
      <w:r>
        <w:rPr>
          <w:rFonts w:hint="cs"/>
          <w:rtl/>
        </w:rPr>
        <w:t>أمرٍ</w:t>
      </w:r>
      <w:r w:rsidRPr="007D7079">
        <w:rPr>
          <w:rFonts w:hint="cs"/>
          <w:rtl/>
        </w:rPr>
        <w:t xml:space="preserve"> </w:t>
      </w:r>
      <w:r>
        <w:rPr>
          <w:rFonts w:hint="cs"/>
          <w:rtl/>
        </w:rPr>
        <w:t xml:space="preserve">كهذا، </w:t>
      </w:r>
      <w:r w:rsidRPr="007D7079">
        <w:rPr>
          <w:rFonts w:hint="cs"/>
          <w:rtl/>
        </w:rPr>
        <w:t>كان</w:t>
      </w:r>
      <w:r>
        <w:rPr>
          <w:rFonts w:hint="cs"/>
          <w:rtl/>
        </w:rPr>
        <w:t xml:space="preserve"> لابد </w:t>
      </w:r>
      <w:r w:rsidRPr="007D7079">
        <w:rPr>
          <w:rFonts w:hint="cs"/>
          <w:rtl/>
        </w:rPr>
        <w:t xml:space="preserve">للنسوية من القيام بإعادة تعريف </w:t>
      </w:r>
      <w:r>
        <w:rPr>
          <w:rFonts w:hint="cs"/>
          <w:rtl/>
        </w:rPr>
        <w:t xml:space="preserve">لمفهوم </w:t>
      </w:r>
      <w:r>
        <w:rPr>
          <w:rFonts w:hint="cs"/>
          <w:rtl/>
        </w:rPr>
        <w:lastRenderedPageBreak/>
        <w:t>الجنسين،</w:t>
      </w:r>
      <w:r w:rsidRPr="007D7079">
        <w:rPr>
          <w:rFonts w:hint="cs"/>
          <w:rtl/>
        </w:rPr>
        <w:t xml:space="preserve"> </w:t>
      </w:r>
      <w:r>
        <w:rPr>
          <w:rFonts w:hint="cs"/>
          <w:rtl/>
        </w:rPr>
        <w:t>وهو تعريفٌ ملزمٌ بإيضاح</w:t>
      </w:r>
      <w:r w:rsidRPr="007D7079">
        <w:rPr>
          <w:rFonts w:hint="cs"/>
          <w:rtl/>
        </w:rPr>
        <w:t xml:space="preserve"> أن إدراكنا للذكورية والنسوية لما كان من الظواهر ال</w:t>
      </w:r>
      <w:r>
        <w:rPr>
          <w:rFonts w:hint="cs"/>
          <w:rtl/>
        </w:rPr>
        <w:t>اجتماع</w:t>
      </w:r>
      <w:r w:rsidRPr="007D7079">
        <w:rPr>
          <w:rFonts w:hint="cs"/>
          <w:rtl/>
        </w:rPr>
        <w:t>ية التاريخية فأي</w:t>
      </w:r>
      <w:r>
        <w:rPr>
          <w:rFonts w:hint="cs"/>
          <w:rtl/>
        </w:rPr>
        <w:t>ّ</w:t>
      </w:r>
      <w:r w:rsidRPr="007D7079">
        <w:rPr>
          <w:rFonts w:hint="cs"/>
          <w:rtl/>
        </w:rPr>
        <w:t xml:space="preserve"> تعريف</w:t>
      </w:r>
      <w:r>
        <w:rPr>
          <w:rFonts w:hint="cs"/>
          <w:rtl/>
        </w:rPr>
        <w:t>ٍ</w:t>
      </w:r>
      <w:r w:rsidRPr="007D7079">
        <w:rPr>
          <w:rFonts w:hint="cs"/>
          <w:rtl/>
        </w:rPr>
        <w:t xml:space="preserve"> مستقبلي له</w:t>
      </w:r>
      <w:r>
        <w:rPr>
          <w:rFonts w:hint="cs"/>
          <w:rtl/>
        </w:rPr>
        <w:t>م</w:t>
      </w:r>
      <w:r w:rsidRPr="007D7079">
        <w:rPr>
          <w:rFonts w:hint="cs"/>
          <w:rtl/>
        </w:rPr>
        <w:t>ا</w:t>
      </w:r>
      <w:r>
        <w:rPr>
          <w:rFonts w:hint="cs"/>
          <w:rtl/>
        </w:rPr>
        <w:t xml:space="preserve"> لابدّ وأ</w:t>
      </w:r>
      <w:r w:rsidRPr="007D7079">
        <w:rPr>
          <w:rFonts w:hint="cs"/>
          <w:rtl/>
        </w:rPr>
        <w:t>ن يكون محدودا</w:t>
      </w:r>
      <w:r>
        <w:rPr>
          <w:rFonts w:hint="cs"/>
          <w:rtl/>
        </w:rPr>
        <w:t>ً</w:t>
      </w:r>
      <w:r w:rsidRPr="007D7079">
        <w:rPr>
          <w:rFonts w:hint="cs"/>
          <w:rtl/>
        </w:rPr>
        <w:t xml:space="preserve"> بقيود ال</w:t>
      </w:r>
      <w:r>
        <w:rPr>
          <w:rFonts w:hint="cs"/>
          <w:rtl/>
        </w:rPr>
        <w:t>اجتماع</w:t>
      </w:r>
      <w:r w:rsidRPr="007D7079">
        <w:rPr>
          <w:rFonts w:hint="cs"/>
          <w:rtl/>
        </w:rPr>
        <w:t>ي ـ الت</w:t>
      </w:r>
      <w:r>
        <w:rPr>
          <w:rFonts w:hint="cs"/>
          <w:rtl/>
        </w:rPr>
        <w:t>اريخي،</w:t>
      </w:r>
      <w:r w:rsidRPr="007D7079">
        <w:rPr>
          <w:rFonts w:hint="cs"/>
          <w:rtl/>
        </w:rPr>
        <w:t xml:space="preserve"> وسوف أتابع هذه القضية في كتابات</w:t>
      </w:r>
      <w:r>
        <w:rPr>
          <w:rFonts w:hint="cs"/>
          <w:rtl/>
        </w:rPr>
        <w:t xml:space="preserve"> د. مطيع لا سيما في مسألة تش</w:t>
      </w:r>
      <w:r w:rsidRPr="007D7079">
        <w:rPr>
          <w:rFonts w:hint="cs"/>
          <w:rtl/>
        </w:rPr>
        <w:t>ب</w:t>
      </w:r>
      <w:r>
        <w:rPr>
          <w:rFonts w:hint="cs"/>
          <w:rtl/>
        </w:rPr>
        <w:t>ّ</w:t>
      </w:r>
      <w:r w:rsidRPr="007D7079">
        <w:rPr>
          <w:rFonts w:hint="cs"/>
          <w:rtl/>
        </w:rPr>
        <w:t>ه</w:t>
      </w:r>
      <w:r>
        <w:rPr>
          <w:rFonts w:hint="cs"/>
          <w:rtl/>
        </w:rPr>
        <w:t xml:space="preserve"> المرأة </w:t>
      </w:r>
      <w:r w:rsidRPr="007D7079">
        <w:rPr>
          <w:rFonts w:hint="cs"/>
          <w:rtl/>
        </w:rPr>
        <w:t>بالرجل في الغرب وقضية العائلة، لكن</w:t>
      </w:r>
      <w:r>
        <w:rPr>
          <w:rFonts w:hint="cs"/>
          <w:rtl/>
        </w:rPr>
        <w:t>ّ</w:t>
      </w:r>
      <w:r w:rsidRPr="007D7079">
        <w:rPr>
          <w:rFonts w:hint="cs"/>
          <w:rtl/>
        </w:rPr>
        <w:t>ني قبل ذلك كل</w:t>
      </w:r>
      <w:r>
        <w:rPr>
          <w:rFonts w:hint="cs"/>
          <w:rtl/>
        </w:rPr>
        <w:t>ّ</w:t>
      </w:r>
      <w:r w:rsidRPr="007D7079">
        <w:rPr>
          <w:rFonts w:hint="cs"/>
          <w:rtl/>
        </w:rPr>
        <w:t>ه</w:t>
      </w:r>
      <w:r>
        <w:rPr>
          <w:rFonts w:hint="cs"/>
          <w:rtl/>
        </w:rPr>
        <w:t xml:space="preserve"> أودّ ـ للضرورة ـ ا</w:t>
      </w:r>
      <w:r w:rsidRPr="007D7079">
        <w:rPr>
          <w:rFonts w:hint="cs"/>
          <w:rtl/>
        </w:rPr>
        <w:t>ل</w:t>
      </w:r>
      <w:r>
        <w:rPr>
          <w:rFonts w:hint="cs"/>
          <w:rtl/>
        </w:rPr>
        <w:t xml:space="preserve">إشارة إلى </w:t>
      </w:r>
      <w:r w:rsidRPr="007D7079">
        <w:rPr>
          <w:rFonts w:hint="cs"/>
          <w:rtl/>
        </w:rPr>
        <w:t>بعض الفرضيات المسبقة في ما كتبته</w:t>
      </w:r>
      <w:r>
        <w:rPr>
          <w:rFonts w:hint="cs"/>
          <w:rtl/>
        </w:rPr>
        <w:t xml:space="preserve"> د. </w:t>
      </w:r>
      <w:r w:rsidRPr="007D7079">
        <w:rPr>
          <w:rFonts w:hint="cs"/>
          <w:rtl/>
        </w:rPr>
        <w:t>مطيع.</w:t>
      </w:r>
    </w:p>
    <w:p w:rsidR="006E0FDB" w:rsidRPr="009368DE" w:rsidRDefault="006E0FDB" w:rsidP="009368DE">
      <w:pPr>
        <w:pStyle w:val="afffffc"/>
        <w:rPr>
          <w:sz w:val="20"/>
          <w:szCs w:val="18"/>
          <w:rtl/>
        </w:rPr>
      </w:pPr>
    </w:p>
    <w:p w:rsidR="006E0FDB" w:rsidRDefault="006E0FDB" w:rsidP="006E0FDB">
      <w:pPr>
        <w:pStyle w:val="1"/>
        <w:rPr>
          <w:rFonts w:cs="Abz-1 (Lotus)"/>
          <w:rtl/>
        </w:rPr>
      </w:pPr>
      <w:bookmarkStart w:id="556" w:name="_Toc169521468"/>
      <w:bookmarkStart w:id="557" w:name="_Toc275128238"/>
      <w:r w:rsidRPr="00D457EB">
        <w:rPr>
          <w:rFonts w:hint="cs"/>
          <w:rtl/>
        </w:rPr>
        <w:t>الغرب والنسوية</w:t>
      </w:r>
      <w:r w:rsidRPr="003A6D60">
        <w:rPr>
          <w:rFonts w:cs="Simplified Arabic" w:hint="cs"/>
          <w:rtl/>
        </w:rPr>
        <w:t>،</w:t>
      </w:r>
      <w:r w:rsidRPr="00D457EB">
        <w:rPr>
          <w:rFonts w:hint="cs"/>
          <w:rtl/>
        </w:rPr>
        <w:t xml:space="preserve"> أين وصلت الحركة النسوية في الغرب؟</w:t>
      </w:r>
      <w:bookmarkEnd w:id="556"/>
      <w:bookmarkEnd w:id="557"/>
    </w:p>
    <w:p w:rsidR="006E0FDB" w:rsidRDefault="006E0FDB" w:rsidP="006E0FDB">
      <w:pPr>
        <w:pStyle w:val="ac"/>
        <w:rPr>
          <w:rtl/>
        </w:rPr>
      </w:pPr>
      <w:r>
        <w:rPr>
          <w:rFonts w:hint="cs"/>
          <w:rtl/>
        </w:rPr>
        <w:t>ترتبط</w:t>
      </w:r>
      <w:r w:rsidRPr="007D7079">
        <w:rPr>
          <w:rFonts w:hint="cs"/>
          <w:rtl/>
        </w:rPr>
        <w:t xml:space="preserve"> كتابات</w:t>
      </w:r>
      <w:r>
        <w:rPr>
          <w:rFonts w:hint="cs"/>
          <w:rtl/>
        </w:rPr>
        <w:t xml:space="preserve"> د. </w:t>
      </w:r>
      <w:r w:rsidRPr="007D7079">
        <w:rPr>
          <w:rFonts w:hint="cs"/>
          <w:rtl/>
        </w:rPr>
        <w:t>مطيع</w:t>
      </w:r>
      <w:r w:rsidRPr="00815C4C">
        <w:rPr>
          <w:rFonts w:cs="Taher"/>
          <w:vertAlign w:val="superscript"/>
          <w:rtl/>
        </w:rPr>
        <w:t>(</w:t>
      </w:r>
      <w:r w:rsidRPr="00815C4C">
        <w:rPr>
          <w:rFonts w:cs="Taher"/>
          <w:vertAlign w:val="superscript"/>
          <w:rtl/>
        </w:rPr>
        <w:footnoteReference w:id="939"/>
      </w:r>
      <w:r w:rsidRPr="00815C4C">
        <w:rPr>
          <w:rFonts w:cs="Taher"/>
          <w:vertAlign w:val="superscript"/>
          <w:rtl/>
        </w:rPr>
        <w:t>)</w:t>
      </w:r>
      <w:r w:rsidRPr="00CE32CB">
        <w:rPr>
          <w:rFonts w:hint="cs"/>
          <w:rtl/>
        </w:rPr>
        <w:t xml:space="preserve"> بفرضين مسبق</w:t>
      </w:r>
      <w:r>
        <w:rPr>
          <w:rFonts w:hint="cs"/>
          <w:rtl/>
        </w:rPr>
        <w:t>ين خاطئين:</w:t>
      </w:r>
    </w:p>
    <w:p w:rsidR="006E0FDB" w:rsidRDefault="006E0FDB" w:rsidP="009368DE">
      <w:pPr>
        <w:pStyle w:val="ac"/>
        <w:spacing w:line="199" w:lineRule="auto"/>
        <w:rPr>
          <w:rtl/>
        </w:rPr>
      </w:pPr>
      <w:r w:rsidRPr="002F2F3A">
        <w:rPr>
          <w:rFonts w:hint="cs"/>
          <w:bCs/>
          <w:rtl/>
        </w:rPr>
        <w:t>الفرض الأول:</w:t>
      </w:r>
      <w:r w:rsidRPr="007D7079">
        <w:rPr>
          <w:rFonts w:hint="cs"/>
          <w:rtl/>
        </w:rPr>
        <w:t xml:space="preserve"> </w:t>
      </w:r>
      <w:r>
        <w:rPr>
          <w:rFonts w:hint="cs"/>
          <w:rtl/>
        </w:rPr>
        <w:t>ويتصل</w:t>
      </w:r>
      <w:r w:rsidRPr="007D7079">
        <w:rPr>
          <w:rFonts w:hint="cs"/>
          <w:rtl/>
        </w:rPr>
        <w:t xml:space="preserve"> بالنظام الحالي للقوى بين الر</w:t>
      </w:r>
      <w:r>
        <w:rPr>
          <w:rFonts w:hint="cs"/>
          <w:rtl/>
        </w:rPr>
        <w:t>جل والمرأة في المجتمعات الغربية؛</w:t>
      </w:r>
      <w:r w:rsidRPr="007D7079">
        <w:rPr>
          <w:rFonts w:hint="cs"/>
          <w:rtl/>
        </w:rPr>
        <w:t xml:space="preserve"> ف</w:t>
      </w:r>
      <w:r>
        <w:rPr>
          <w:rFonts w:hint="cs"/>
          <w:rtl/>
        </w:rPr>
        <w:t>م</w:t>
      </w:r>
      <w:r w:rsidRPr="007D7079">
        <w:rPr>
          <w:rFonts w:hint="cs"/>
          <w:rtl/>
        </w:rPr>
        <w:t>ن يقرأ ما كتبته يتصو</w:t>
      </w:r>
      <w:r>
        <w:rPr>
          <w:rFonts w:hint="cs"/>
          <w:rtl/>
        </w:rPr>
        <w:t>ّ</w:t>
      </w:r>
      <w:r w:rsidRPr="007D7079">
        <w:rPr>
          <w:rFonts w:hint="cs"/>
          <w:rtl/>
        </w:rPr>
        <w:t>ر أن الحركة النسوية في الغرب قد تمك</w:t>
      </w:r>
      <w:r>
        <w:rPr>
          <w:rFonts w:hint="cs"/>
          <w:rtl/>
        </w:rPr>
        <w:t>ّ</w:t>
      </w:r>
      <w:r w:rsidRPr="007D7079">
        <w:rPr>
          <w:rFonts w:hint="cs"/>
          <w:rtl/>
        </w:rPr>
        <w:t>نت من الانتصار، و</w:t>
      </w:r>
      <w:r>
        <w:rPr>
          <w:rFonts w:hint="cs"/>
          <w:rtl/>
        </w:rPr>
        <w:t>أ</w:t>
      </w:r>
      <w:r w:rsidRPr="007D7079">
        <w:rPr>
          <w:rFonts w:hint="cs"/>
          <w:rtl/>
        </w:rPr>
        <w:t>ن</w:t>
      </w:r>
      <w:r>
        <w:rPr>
          <w:rFonts w:hint="cs"/>
          <w:rtl/>
        </w:rPr>
        <w:t>ّ</w:t>
      </w:r>
      <w:r w:rsidRPr="007D7079">
        <w:rPr>
          <w:rFonts w:hint="cs"/>
          <w:rtl/>
        </w:rPr>
        <w:t xml:space="preserve"> المجتمعات الغربية الآن </w:t>
      </w:r>
      <w:r>
        <w:rPr>
          <w:rFonts w:hint="cs"/>
          <w:rtl/>
        </w:rPr>
        <w:t>دخلت</w:t>
      </w:r>
      <w:r w:rsidRPr="007D7079">
        <w:rPr>
          <w:rFonts w:hint="cs"/>
          <w:rtl/>
        </w:rPr>
        <w:t xml:space="preserve"> في عصر</w:t>
      </w:r>
      <w:r>
        <w:rPr>
          <w:rFonts w:hint="cs"/>
          <w:rtl/>
        </w:rPr>
        <w:t>ٍ</w:t>
      </w:r>
      <w:r w:rsidRPr="007D7079">
        <w:rPr>
          <w:rFonts w:hint="cs"/>
          <w:rtl/>
        </w:rPr>
        <w:t xml:space="preserve"> جديد </w:t>
      </w:r>
      <w:r>
        <w:rPr>
          <w:rFonts w:hint="cs"/>
          <w:rtl/>
        </w:rPr>
        <w:t>سيادتُه للمرأة،</w:t>
      </w:r>
      <w:r w:rsidRPr="007D7079">
        <w:rPr>
          <w:rFonts w:hint="cs"/>
          <w:rtl/>
        </w:rPr>
        <w:t xml:space="preserve"> ونتيجة ذلك </w:t>
      </w:r>
      <w:r>
        <w:rPr>
          <w:rFonts w:hint="cs"/>
          <w:rtl/>
        </w:rPr>
        <w:t>أ</w:t>
      </w:r>
      <w:r w:rsidRPr="007D7079">
        <w:rPr>
          <w:rFonts w:hint="cs"/>
          <w:rtl/>
        </w:rPr>
        <w:t>ن</w:t>
      </w:r>
      <w:r>
        <w:rPr>
          <w:rFonts w:hint="cs"/>
          <w:rtl/>
        </w:rPr>
        <w:t>ّ</w:t>
      </w:r>
      <w:r w:rsidRPr="007D7079">
        <w:rPr>
          <w:rFonts w:hint="cs"/>
          <w:rtl/>
        </w:rPr>
        <w:t xml:space="preserve"> ما يجري في الغرب من تبعات هذا العصر.</w:t>
      </w:r>
    </w:p>
    <w:p w:rsidR="006E0FDB" w:rsidRDefault="006E0FDB" w:rsidP="009368DE">
      <w:pPr>
        <w:pStyle w:val="ac"/>
        <w:spacing w:line="199" w:lineRule="auto"/>
        <w:rPr>
          <w:rtl/>
        </w:rPr>
      </w:pPr>
      <w:r>
        <w:rPr>
          <w:rFonts w:hint="cs"/>
          <w:rtl/>
        </w:rPr>
        <w:t>و</w:t>
      </w:r>
      <w:r w:rsidRPr="007D7079">
        <w:rPr>
          <w:rFonts w:hint="cs"/>
          <w:rtl/>
        </w:rPr>
        <w:t>مثل هذا التصو</w:t>
      </w:r>
      <w:r>
        <w:rPr>
          <w:rFonts w:hint="cs"/>
          <w:rtl/>
        </w:rPr>
        <w:t>ّ</w:t>
      </w:r>
      <w:r w:rsidRPr="007D7079">
        <w:rPr>
          <w:rFonts w:hint="cs"/>
          <w:rtl/>
        </w:rPr>
        <w:t>ر عن المجتمع الغربي خاطئ ومحيّر لأنصار تساوي</w:t>
      </w:r>
      <w:r>
        <w:rPr>
          <w:rFonts w:hint="cs"/>
          <w:rtl/>
        </w:rPr>
        <w:t xml:space="preserve"> المرأة </w:t>
      </w:r>
      <w:r w:rsidRPr="007D7079">
        <w:rPr>
          <w:rFonts w:hint="cs"/>
          <w:rtl/>
        </w:rPr>
        <w:t xml:space="preserve">قبل </w:t>
      </w:r>
      <w:r>
        <w:rPr>
          <w:rFonts w:hint="cs"/>
          <w:rtl/>
        </w:rPr>
        <w:t>غيرهم،</w:t>
      </w:r>
      <w:r w:rsidRPr="007D7079">
        <w:rPr>
          <w:rFonts w:hint="cs"/>
          <w:rtl/>
        </w:rPr>
        <w:t xml:space="preserve"> </w:t>
      </w:r>
      <w:r>
        <w:rPr>
          <w:rFonts w:hint="cs"/>
          <w:rtl/>
        </w:rPr>
        <w:t xml:space="preserve">فبعد أن يقرأ </w:t>
      </w:r>
      <w:r w:rsidRPr="007D7079">
        <w:rPr>
          <w:rFonts w:hint="cs"/>
          <w:rtl/>
        </w:rPr>
        <w:t xml:space="preserve">القارئ </w:t>
      </w:r>
      <w:r>
        <w:rPr>
          <w:rFonts w:hint="cs"/>
          <w:rtl/>
        </w:rPr>
        <w:t xml:space="preserve">عن دخول </w:t>
      </w:r>
      <w:r w:rsidRPr="007D7079">
        <w:rPr>
          <w:rFonts w:hint="cs"/>
          <w:rtl/>
        </w:rPr>
        <w:t>المجتمعات الغربية عصر سيادة</w:t>
      </w:r>
      <w:r>
        <w:rPr>
          <w:rFonts w:hint="cs"/>
          <w:rtl/>
        </w:rPr>
        <w:t xml:space="preserve"> المرأة الجديد،</w:t>
      </w:r>
      <w:r w:rsidRPr="007D7079">
        <w:rPr>
          <w:rFonts w:hint="cs"/>
          <w:rtl/>
        </w:rPr>
        <w:t xml:space="preserve"> يسأل نفسه عن التغييرات التي حدثت في</w:t>
      </w:r>
      <w:r>
        <w:rPr>
          <w:rFonts w:hint="cs"/>
          <w:rtl/>
        </w:rPr>
        <w:t>ها</w:t>
      </w:r>
      <w:r w:rsidRPr="007D7079">
        <w:rPr>
          <w:rFonts w:hint="cs"/>
          <w:rtl/>
        </w:rPr>
        <w:t xml:space="preserve"> وأد</w:t>
      </w:r>
      <w:r>
        <w:rPr>
          <w:rFonts w:hint="cs"/>
          <w:rtl/>
        </w:rPr>
        <w:t>ّ</w:t>
      </w:r>
      <w:r w:rsidRPr="007D7079">
        <w:rPr>
          <w:rFonts w:hint="cs"/>
          <w:rtl/>
        </w:rPr>
        <w:t>ت</w:t>
      </w:r>
      <w:r>
        <w:rPr>
          <w:rFonts w:hint="cs"/>
          <w:rtl/>
        </w:rPr>
        <w:t xml:space="preserve"> إلى </w:t>
      </w:r>
      <w:r w:rsidRPr="007D7079">
        <w:rPr>
          <w:rFonts w:hint="cs"/>
          <w:rtl/>
        </w:rPr>
        <w:t xml:space="preserve">موت سيادة الرجل؟ وعن خصائص هذا المجتمع الذي تكون فيه السيادة للمرأة؟ </w:t>
      </w:r>
      <w:r>
        <w:rPr>
          <w:rFonts w:hint="cs"/>
          <w:rtl/>
        </w:rPr>
        <w:t xml:space="preserve">إلاّ أنّه ليس من جواب عن ذلك، </w:t>
      </w:r>
      <w:r w:rsidRPr="007D7079">
        <w:rPr>
          <w:rFonts w:hint="cs"/>
          <w:rtl/>
        </w:rPr>
        <w:t xml:space="preserve">لا في </w:t>
      </w:r>
      <w:r>
        <w:rPr>
          <w:rFonts w:hint="cs"/>
          <w:rtl/>
        </w:rPr>
        <w:t xml:space="preserve">كتابات د. </w:t>
      </w:r>
      <w:r w:rsidRPr="007D7079">
        <w:rPr>
          <w:rFonts w:hint="cs"/>
          <w:rtl/>
        </w:rPr>
        <w:t>مطيع ولا في الظروف الخارجية التي تعيشها المجتمعات الغربية</w:t>
      </w:r>
      <w:r>
        <w:rPr>
          <w:rFonts w:hint="cs"/>
          <w:rtl/>
        </w:rPr>
        <w:t xml:space="preserve"> نفسها،</w:t>
      </w:r>
      <w:r w:rsidRPr="007D7079">
        <w:rPr>
          <w:rtl/>
        </w:rPr>
        <w:t xml:space="preserve"> </w:t>
      </w:r>
      <w:r w:rsidRPr="007D7079">
        <w:rPr>
          <w:rFonts w:hint="cs"/>
          <w:rtl/>
        </w:rPr>
        <w:t>لقد خاضت</w:t>
      </w:r>
      <w:r>
        <w:rPr>
          <w:rFonts w:hint="cs"/>
          <w:rtl/>
        </w:rPr>
        <w:t xml:space="preserve"> المرأة </w:t>
      </w:r>
      <w:r w:rsidRPr="007D7079">
        <w:rPr>
          <w:rFonts w:hint="cs"/>
          <w:rtl/>
        </w:rPr>
        <w:t xml:space="preserve">الغربية </w:t>
      </w:r>
      <w:r>
        <w:rPr>
          <w:rFonts w:hint="cs"/>
          <w:rtl/>
        </w:rPr>
        <w:t xml:space="preserve">ـ </w:t>
      </w:r>
      <w:r w:rsidRPr="007D7079">
        <w:rPr>
          <w:rFonts w:hint="cs"/>
          <w:rtl/>
        </w:rPr>
        <w:t>ولعقود</w:t>
      </w:r>
      <w:r>
        <w:rPr>
          <w:rFonts w:hint="cs"/>
          <w:rtl/>
        </w:rPr>
        <w:t>ٍ</w:t>
      </w:r>
      <w:r w:rsidRPr="007D7079">
        <w:rPr>
          <w:rFonts w:hint="cs"/>
          <w:rtl/>
        </w:rPr>
        <w:t xml:space="preserve"> </w:t>
      </w:r>
      <w:r>
        <w:rPr>
          <w:rFonts w:hint="cs"/>
          <w:rtl/>
        </w:rPr>
        <w:t xml:space="preserve">ـ </w:t>
      </w:r>
      <w:r w:rsidRPr="007D7079">
        <w:rPr>
          <w:rFonts w:hint="cs"/>
          <w:rtl/>
        </w:rPr>
        <w:t>صراعا</w:t>
      </w:r>
      <w:r>
        <w:rPr>
          <w:rFonts w:hint="cs"/>
          <w:rtl/>
        </w:rPr>
        <w:t>ً</w:t>
      </w:r>
      <w:r w:rsidRPr="007D7079">
        <w:rPr>
          <w:rFonts w:hint="cs"/>
          <w:rtl/>
        </w:rPr>
        <w:t xml:space="preserve"> </w:t>
      </w:r>
      <w:r>
        <w:rPr>
          <w:rFonts w:hint="cs"/>
          <w:rtl/>
        </w:rPr>
        <w:t>ضدّ</w:t>
      </w:r>
      <w:r w:rsidRPr="007D7079">
        <w:rPr>
          <w:rFonts w:hint="cs"/>
          <w:rtl/>
        </w:rPr>
        <w:t xml:space="preserve"> نظام سيادة الرجل، لكن</w:t>
      </w:r>
      <w:r>
        <w:rPr>
          <w:rFonts w:hint="cs"/>
          <w:rtl/>
        </w:rPr>
        <w:t>ّ</w:t>
      </w:r>
      <w:r w:rsidRPr="007D7079">
        <w:rPr>
          <w:rFonts w:hint="cs"/>
          <w:rtl/>
        </w:rPr>
        <w:t>ها لم تتمك</w:t>
      </w:r>
      <w:r>
        <w:rPr>
          <w:rFonts w:hint="cs"/>
          <w:rtl/>
        </w:rPr>
        <w:t>ّ</w:t>
      </w:r>
      <w:r w:rsidRPr="007D7079">
        <w:rPr>
          <w:rFonts w:hint="cs"/>
          <w:rtl/>
        </w:rPr>
        <w:t xml:space="preserve">ن سوى من تحقيق بعض التغييرات </w:t>
      </w:r>
      <w:r>
        <w:rPr>
          <w:rFonts w:hint="cs"/>
          <w:rtl/>
        </w:rPr>
        <w:t>الأساسيّة</w:t>
      </w:r>
      <w:r w:rsidRPr="007D7079">
        <w:rPr>
          <w:rFonts w:hint="cs"/>
          <w:rtl/>
        </w:rPr>
        <w:t xml:space="preserve"> أحيانا</w:t>
      </w:r>
      <w:r>
        <w:rPr>
          <w:rFonts w:hint="cs"/>
          <w:rtl/>
        </w:rPr>
        <w:t>ً</w:t>
      </w:r>
      <w:r w:rsidRPr="007D7079">
        <w:rPr>
          <w:rFonts w:hint="cs"/>
          <w:rtl/>
        </w:rPr>
        <w:t xml:space="preserve"> والمحدودة </w:t>
      </w:r>
      <w:r>
        <w:rPr>
          <w:rFonts w:hint="cs"/>
          <w:rtl/>
        </w:rPr>
        <w:t>أحياناً أخرى</w:t>
      </w:r>
      <w:r w:rsidRPr="007D7079">
        <w:rPr>
          <w:rFonts w:hint="cs"/>
          <w:rtl/>
        </w:rPr>
        <w:t xml:space="preserve"> في الحياة ال</w:t>
      </w:r>
      <w:r>
        <w:rPr>
          <w:rFonts w:hint="cs"/>
          <w:rtl/>
        </w:rPr>
        <w:t>اجتماعية،</w:t>
      </w:r>
      <w:r w:rsidRPr="007D7079">
        <w:rPr>
          <w:rFonts w:hint="cs"/>
          <w:rtl/>
        </w:rPr>
        <w:t xml:space="preserve"> </w:t>
      </w:r>
      <w:r>
        <w:rPr>
          <w:rFonts w:hint="cs"/>
          <w:rtl/>
        </w:rPr>
        <w:t xml:space="preserve">وهي مدعوّة ـ </w:t>
      </w:r>
      <w:r w:rsidRPr="007D7079">
        <w:rPr>
          <w:rFonts w:hint="cs"/>
          <w:rtl/>
        </w:rPr>
        <w:t xml:space="preserve">لإزالة </w:t>
      </w:r>
      <w:r>
        <w:rPr>
          <w:rFonts w:hint="cs"/>
          <w:rtl/>
        </w:rPr>
        <w:t>هذا ال</w:t>
      </w:r>
      <w:r w:rsidRPr="007D7079">
        <w:rPr>
          <w:rFonts w:hint="cs"/>
          <w:rtl/>
        </w:rPr>
        <w:t xml:space="preserve">نظام </w:t>
      </w:r>
      <w:r>
        <w:rPr>
          <w:rFonts w:hint="cs"/>
          <w:rtl/>
        </w:rPr>
        <w:t>ـ إلى مواصلة</w:t>
      </w:r>
      <w:r w:rsidRPr="007D7079">
        <w:rPr>
          <w:rFonts w:hint="cs"/>
          <w:rtl/>
        </w:rPr>
        <w:t xml:space="preserve"> الصراع لسنوات.</w:t>
      </w:r>
    </w:p>
    <w:p w:rsidR="006E0FDB" w:rsidRPr="007D7079" w:rsidRDefault="006E0FDB" w:rsidP="009368DE">
      <w:pPr>
        <w:pStyle w:val="ac"/>
        <w:spacing w:line="199" w:lineRule="auto"/>
        <w:rPr>
          <w:rtl/>
        </w:rPr>
      </w:pPr>
      <w:r>
        <w:rPr>
          <w:rFonts w:hint="cs"/>
          <w:rtl/>
        </w:rPr>
        <w:t xml:space="preserve">ثمّة حاجة لجهدٍ مضاعف لتغيير نظام سيادة الرجل، </w:t>
      </w:r>
      <w:r w:rsidRPr="007D7079">
        <w:rPr>
          <w:rFonts w:hint="cs"/>
          <w:rtl/>
        </w:rPr>
        <w:t>كسائر الأنظمة الظالمة</w:t>
      </w:r>
      <w:r>
        <w:rPr>
          <w:rFonts w:hint="cs"/>
          <w:rtl/>
        </w:rPr>
        <w:t>،</w:t>
      </w:r>
      <w:r w:rsidRPr="007D7079">
        <w:rPr>
          <w:rFonts w:hint="cs"/>
          <w:rtl/>
        </w:rPr>
        <w:t xml:space="preserve"> و</w:t>
      </w:r>
      <w:r>
        <w:rPr>
          <w:rFonts w:hint="cs"/>
          <w:rtl/>
        </w:rPr>
        <w:t>إذا</w:t>
      </w:r>
      <w:r w:rsidRPr="007D7079">
        <w:rPr>
          <w:rFonts w:hint="cs"/>
          <w:rtl/>
        </w:rPr>
        <w:t xml:space="preserve"> وفقت </w:t>
      </w:r>
      <w:r>
        <w:rPr>
          <w:rFonts w:hint="cs"/>
          <w:rtl/>
        </w:rPr>
        <w:t>النسويّة للنصر</w:t>
      </w:r>
      <w:r w:rsidRPr="007D7079">
        <w:rPr>
          <w:rFonts w:hint="cs"/>
          <w:rtl/>
        </w:rPr>
        <w:t xml:space="preserve"> في جبهة</w:t>
      </w:r>
      <w:r>
        <w:rPr>
          <w:rFonts w:hint="cs"/>
          <w:rtl/>
        </w:rPr>
        <w:t>ٍ</w:t>
      </w:r>
      <w:r w:rsidRPr="007D7079">
        <w:rPr>
          <w:rFonts w:hint="cs"/>
          <w:rtl/>
        </w:rPr>
        <w:t xml:space="preserve"> ما</w:t>
      </w:r>
      <w:r>
        <w:rPr>
          <w:rFonts w:hint="cs"/>
          <w:rtl/>
        </w:rPr>
        <w:t xml:space="preserve"> </w:t>
      </w:r>
      <w:r w:rsidRPr="007D7079">
        <w:rPr>
          <w:rFonts w:hint="cs"/>
          <w:rtl/>
        </w:rPr>
        <w:t>في حربها هذه فلن يتأخ</w:t>
      </w:r>
      <w:r>
        <w:rPr>
          <w:rFonts w:hint="cs"/>
          <w:rtl/>
        </w:rPr>
        <w:t>ّ</w:t>
      </w:r>
      <w:r w:rsidRPr="007D7079">
        <w:rPr>
          <w:rFonts w:hint="cs"/>
          <w:rtl/>
        </w:rPr>
        <w:t xml:space="preserve">ر الهجوم </w:t>
      </w:r>
      <w:r>
        <w:rPr>
          <w:rFonts w:hint="cs"/>
          <w:rtl/>
        </w:rPr>
        <w:t xml:space="preserve">المضادّ ضد قضايا المرأة </w:t>
      </w:r>
      <w:r w:rsidRPr="007D7079">
        <w:rPr>
          <w:rFonts w:hint="cs"/>
          <w:rtl/>
        </w:rPr>
        <w:t>من الجبهات ال</w:t>
      </w:r>
      <w:r>
        <w:rPr>
          <w:rFonts w:hint="cs"/>
          <w:rtl/>
        </w:rPr>
        <w:t>أخرى، و</w:t>
      </w:r>
      <w:r w:rsidRPr="007D7079">
        <w:rPr>
          <w:rFonts w:hint="cs"/>
          <w:rtl/>
        </w:rPr>
        <w:t>لا أ</w:t>
      </w:r>
      <w:r>
        <w:rPr>
          <w:rFonts w:hint="cs"/>
          <w:rtl/>
        </w:rPr>
        <w:t>زعم هنا فشل النسوية الغربية</w:t>
      </w:r>
      <w:r w:rsidRPr="007D7079">
        <w:rPr>
          <w:rFonts w:hint="cs"/>
          <w:rtl/>
        </w:rPr>
        <w:t xml:space="preserve">، بل </w:t>
      </w:r>
      <w:r>
        <w:rPr>
          <w:rFonts w:hint="cs"/>
          <w:rtl/>
        </w:rPr>
        <w:t>أركّز</w:t>
      </w:r>
      <w:r w:rsidRPr="007D7079">
        <w:rPr>
          <w:rFonts w:hint="cs"/>
          <w:rtl/>
        </w:rPr>
        <w:t xml:space="preserve"> على </w:t>
      </w:r>
      <w:r>
        <w:rPr>
          <w:rFonts w:hint="cs"/>
          <w:rtl/>
        </w:rPr>
        <w:t xml:space="preserve">ضرورة </w:t>
      </w:r>
      <w:r>
        <w:rPr>
          <w:rFonts w:hint="cs"/>
          <w:rtl/>
        </w:rPr>
        <w:lastRenderedPageBreak/>
        <w:t>أن لا نظنّ أن واقع الحياة الغربية هو الغاية المنشودة للحركة النسويّة.</w:t>
      </w:r>
    </w:p>
    <w:p w:rsidR="006E0FDB" w:rsidRDefault="006E0FDB" w:rsidP="006E0FDB">
      <w:pPr>
        <w:pStyle w:val="ac"/>
        <w:rPr>
          <w:rtl/>
        </w:rPr>
      </w:pPr>
      <w:r w:rsidRPr="002F2F3A">
        <w:rPr>
          <w:rFonts w:hint="cs"/>
          <w:bCs/>
          <w:rtl/>
        </w:rPr>
        <w:t>الفرض الثاني:</w:t>
      </w:r>
      <w:r w:rsidRPr="007D7079">
        <w:rPr>
          <w:rFonts w:hint="cs"/>
          <w:rtl/>
        </w:rPr>
        <w:t xml:space="preserve"> </w:t>
      </w:r>
      <w:r>
        <w:rPr>
          <w:rFonts w:hint="cs"/>
          <w:rtl/>
        </w:rPr>
        <w:t>و</w:t>
      </w:r>
      <w:r w:rsidRPr="007D7079">
        <w:rPr>
          <w:rFonts w:hint="cs"/>
          <w:rtl/>
        </w:rPr>
        <w:t>يرتبط بالهدف الذي تسعى إليه النسوية الغربية، فم</w:t>
      </w:r>
      <w:r>
        <w:rPr>
          <w:rFonts w:hint="cs"/>
          <w:rtl/>
        </w:rPr>
        <w:t>ّ</w:t>
      </w:r>
      <w:r w:rsidRPr="007D7079">
        <w:rPr>
          <w:rFonts w:hint="cs"/>
          <w:rtl/>
        </w:rPr>
        <w:t xml:space="preserve">ما لا شكّ فيه </w:t>
      </w:r>
      <w:r>
        <w:rPr>
          <w:rFonts w:hint="cs"/>
          <w:rtl/>
        </w:rPr>
        <w:t xml:space="preserve">وجود من يؤمن </w:t>
      </w:r>
      <w:r w:rsidRPr="007D7079">
        <w:rPr>
          <w:rFonts w:hint="cs"/>
          <w:rtl/>
        </w:rPr>
        <w:t xml:space="preserve">في الغرب </w:t>
      </w:r>
      <w:r>
        <w:rPr>
          <w:rFonts w:hint="cs"/>
          <w:rtl/>
        </w:rPr>
        <w:t xml:space="preserve">بأفضليّة المرأة ـ </w:t>
      </w:r>
      <w:r w:rsidRPr="007D7079">
        <w:rPr>
          <w:rFonts w:hint="cs"/>
          <w:rtl/>
        </w:rPr>
        <w:t xml:space="preserve">في جوهرها </w:t>
      </w:r>
      <w:r>
        <w:rPr>
          <w:rFonts w:hint="cs"/>
          <w:rtl/>
        </w:rPr>
        <w:t>ـ من الرجل، والهدف الذي يسعى إ</w:t>
      </w:r>
      <w:r w:rsidRPr="007D7079">
        <w:rPr>
          <w:rFonts w:hint="cs"/>
          <w:rtl/>
        </w:rPr>
        <w:t xml:space="preserve">ليه هؤلاء </w:t>
      </w:r>
      <w:r>
        <w:rPr>
          <w:rFonts w:hint="cs"/>
          <w:rtl/>
        </w:rPr>
        <w:t>إظهار هذه الأ</w:t>
      </w:r>
      <w:r w:rsidRPr="007D7079">
        <w:rPr>
          <w:rFonts w:hint="cs"/>
          <w:rtl/>
        </w:rPr>
        <w:t>فضلية</w:t>
      </w:r>
      <w:r>
        <w:rPr>
          <w:rFonts w:hint="cs"/>
          <w:rtl/>
        </w:rPr>
        <w:t>، إ</w:t>
      </w:r>
      <w:r w:rsidRPr="007D7079">
        <w:rPr>
          <w:rFonts w:hint="cs"/>
          <w:rtl/>
        </w:rPr>
        <w:t xml:space="preserve">ن هذه المزايدة ليست من خصوصيات النسوية الغربية، بل </w:t>
      </w:r>
      <w:r>
        <w:rPr>
          <w:rFonts w:hint="cs"/>
          <w:rtl/>
        </w:rPr>
        <w:t xml:space="preserve">تظهر للعيان لدى </w:t>
      </w:r>
      <w:r w:rsidRPr="007D7079">
        <w:rPr>
          <w:rFonts w:hint="cs"/>
          <w:rtl/>
        </w:rPr>
        <w:t>الحركات ال</w:t>
      </w:r>
      <w:r>
        <w:rPr>
          <w:rFonts w:hint="cs"/>
          <w:rtl/>
        </w:rPr>
        <w:t>اجتماع</w:t>
      </w:r>
      <w:r w:rsidRPr="007D7079">
        <w:rPr>
          <w:rFonts w:hint="cs"/>
          <w:rtl/>
        </w:rPr>
        <w:t xml:space="preserve">ية </w:t>
      </w:r>
      <w:r>
        <w:rPr>
          <w:rFonts w:hint="cs"/>
          <w:rtl/>
        </w:rPr>
        <w:t>جميعها</w:t>
      </w:r>
      <w:r w:rsidRPr="007D7079">
        <w:rPr>
          <w:rFonts w:hint="cs"/>
          <w:rtl/>
        </w:rPr>
        <w:t xml:space="preserve">، </w:t>
      </w:r>
      <w:r>
        <w:rPr>
          <w:rFonts w:hint="cs"/>
          <w:rtl/>
        </w:rPr>
        <w:t xml:space="preserve">أمّا </w:t>
      </w:r>
      <w:r w:rsidRPr="007D7079">
        <w:rPr>
          <w:rFonts w:hint="cs"/>
          <w:rtl/>
        </w:rPr>
        <w:t xml:space="preserve">لو أردنا </w:t>
      </w:r>
      <w:r>
        <w:rPr>
          <w:rFonts w:hint="cs"/>
          <w:rtl/>
        </w:rPr>
        <w:t>غضّ الطرف</w:t>
      </w:r>
      <w:r w:rsidRPr="007D7079">
        <w:rPr>
          <w:rFonts w:hint="cs"/>
          <w:rtl/>
        </w:rPr>
        <w:t xml:space="preserve"> عن هذه المزايدات فلن نجد حركة</w:t>
      </w:r>
      <w:r>
        <w:rPr>
          <w:rFonts w:hint="cs"/>
          <w:rtl/>
        </w:rPr>
        <w:t>ً</w:t>
      </w:r>
      <w:r w:rsidRPr="007D7079">
        <w:rPr>
          <w:rFonts w:hint="cs"/>
          <w:rtl/>
        </w:rPr>
        <w:t xml:space="preserve"> تهدف</w:t>
      </w:r>
      <w:r>
        <w:rPr>
          <w:rFonts w:hint="cs"/>
          <w:rtl/>
        </w:rPr>
        <w:t xml:space="preserve"> </w:t>
      </w:r>
      <w:r w:rsidRPr="007D7079">
        <w:rPr>
          <w:rFonts w:hint="cs"/>
          <w:rtl/>
        </w:rPr>
        <w:t>إرساء نظام سيادة المرأة.</w:t>
      </w:r>
    </w:p>
    <w:p w:rsidR="006E0FDB" w:rsidRDefault="006E0FDB" w:rsidP="006E0FDB">
      <w:pPr>
        <w:pStyle w:val="ac"/>
        <w:rPr>
          <w:rtl/>
        </w:rPr>
      </w:pPr>
      <w:r w:rsidRPr="007D7079">
        <w:rPr>
          <w:rFonts w:hint="cs"/>
          <w:rtl/>
        </w:rPr>
        <w:t>إن</w:t>
      </w:r>
      <w:r>
        <w:rPr>
          <w:rFonts w:hint="cs"/>
          <w:rtl/>
        </w:rPr>
        <w:t>ّ</w:t>
      </w:r>
      <w:r w:rsidRPr="007D7079">
        <w:rPr>
          <w:rFonts w:hint="cs"/>
          <w:rtl/>
        </w:rPr>
        <w:t xml:space="preserve"> الهدف الذي تسعى إليه النسوية هو إزالة </w:t>
      </w:r>
      <w:r>
        <w:rPr>
          <w:rFonts w:hint="cs"/>
          <w:rtl/>
        </w:rPr>
        <w:t>تمام</w:t>
      </w:r>
      <w:r w:rsidRPr="007D7079">
        <w:rPr>
          <w:rFonts w:hint="cs"/>
          <w:rtl/>
        </w:rPr>
        <w:t xml:space="preserve"> أنواع التمييز </w:t>
      </w:r>
      <w:r>
        <w:rPr>
          <w:rFonts w:hint="cs"/>
          <w:rtl/>
        </w:rPr>
        <w:t>القائم</w:t>
      </w:r>
      <w:r w:rsidRPr="007D7079">
        <w:rPr>
          <w:rFonts w:hint="cs"/>
          <w:rtl/>
        </w:rPr>
        <w:t xml:space="preserve"> على </w:t>
      </w:r>
      <w:r>
        <w:rPr>
          <w:rFonts w:hint="cs"/>
          <w:rtl/>
        </w:rPr>
        <w:t>أساس</w:t>
      </w:r>
      <w:r w:rsidRPr="007D7079">
        <w:rPr>
          <w:rFonts w:hint="cs"/>
          <w:rtl/>
        </w:rPr>
        <w:t xml:space="preserve"> الاختلاف الجنسي والجس</w:t>
      </w:r>
      <w:r>
        <w:rPr>
          <w:rFonts w:hint="cs"/>
          <w:rtl/>
        </w:rPr>
        <w:t>د</w:t>
      </w:r>
      <w:r w:rsidRPr="007D7079">
        <w:rPr>
          <w:rFonts w:hint="cs"/>
          <w:rtl/>
        </w:rPr>
        <w:t>ي</w:t>
      </w:r>
      <w:r>
        <w:rPr>
          <w:rFonts w:hint="cs"/>
          <w:rtl/>
        </w:rPr>
        <w:t>،</w:t>
      </w:r>
      <w:r w:rsidRPr="007D7079">
        <w:rPr>
          <w:rFonts w:hint="cs"/>
          <w:rtl/>
        </w:rPr>
        <w:t xml:space="preserve"> </w:t>
      </w:r>
      <w:r>
        <w:rPr>
          <w:rFonts w:hint="cs"/>
          <w:rtl/>
        </w:rPr>
        <w:t>وما تظنه الكثير من النسويات أ</w:t>
      </w:r>
      <w:r w:rsidRPr="007D7079">
        <w:rPr>
          <w:rFonts w:hint="cs"/>
          <w:rtl/>
        </w:rPr>
        <w:t>ن</w:t>
      </w:r>
      <w:r>
        <w:rPr>
          <w:rFonts w:hint="cs"/>
          <w:rtl/>
        </w:rPr>
        <w:t>ّ</w:t>
      </w:r>
      <w:r w:rsidRPr="007D7079">
        <w:rPr>
          <w:rFonts w:hint="cs"/>
          <w:rtl/>
        </w:rPr>
        <w:t xml:space="preserve"> ذلك لا ينفصل عن السعي لإزالة </w:t>
      </w:r>
      <w:r>
        <w:rPr>
          <w:rFonts w:hint="cs"/>
          <w:rtl/>
        </w:rPr>
        <w:t>تمام</w:t>
      </w:r>
      <w:r w:rsidRPr="007D7079">
        <w:rPr>
          <w:rFonts w:hint="cs"/>
          <w:rtl/>
        </w:rPr>
        <w:t xml:space="preserve"> أنواع اللاتساوي ال</w:t>
      </w:r>
      <w:r>
        <w:rPr>
          <w:rFonts w:hint="cs"/>
          <w:rtl/>
        </w:rPr>
        <w:t>اجتماعي،</w:t>
      </w:r>
      <w:r w:rsidRPr="007D7079">
        <w:rPr>
          <w:rFonts w:hint="cs"/>
          <w:rtl/>
        </w:rPr>
        <w:t xml:space="preserve"> كما لا تهدف النسوية</w:t>
      </w:r>
      <w:r>
        <w:rPr>
          <w:rFonts w:hint="cs"/>
          <w:rtl/>
        </w:rPr>
        <w:t xml:space="preserve"> إلى </w:t>
      </w:r>
      <w:r w:rsidRPr="007D7079">
        <w:rPr>
          <w:rFonts w:hint="cs"/>
          <w:rtl/>
        </w:rPr>
        <w:t>تفضيل جماعة</w:t>
      </w:r>
      <w:r>
        <w:rPr>
          <w:rFonts w:hint="cs"/>
          <w:rtl/>
        </w:rPr>
        <w:t>ٍ</w:t>
      </w:r>
      <w:r w:rsidRPr="007D7079">
        <w:rPr>
          <w:rFonts w:hint="cs"/>
          <w:rtl/>
        </w:rPr>
        <w:t xml:space="preserve"> على </w:t>
      </w:r>
      <w:r>
        <w:rPr>
          <w:rFonts w:hint="cs"/>
          <w:rtl/>
        </w:rPr>
        <w:t>أخرى،</w:t>
      </w:r>
      <w:r w:rsidRPr="007D7079">
        <w:rPr>
          <w:rFonts w:hint="cs"/>
          <w:rtl/>
        </w:rPr>
        <w:t xml:space="preserve"> </w:t>
      </w:r>
      <w:r>
        <w:rPr>
          <w:rFonts w:hint="cs"/>
          <w:rtl/>
        </w:rPr>
        <w:t>ف</w:t>
      </w:r>
      <w:r w:rsidRPr="007D7079">
        <w:rPr>
          <w:rFonts w:hint="cs"/>
          <w:rtl/>
        </w:rPr>
        <w:t>المحافظون في الغرب</w:t>
      </w:r>
      <w:r>
        <w:rPr>
          <w:rFonts w:hint="cs"/>
          <w:rtl/>
        </w:rPr>
        <w:t xml:space="preserve"> يذهبون إلى </w:t>
      </w:r>
      <w:r w:rsidRPr="007D7079">
        <w:rPr>
          <w:rFonts w:hint="cs"/>
          <w:rtl/>
        </w:rPr>
        <w:t>أن</w:t>
      </w:r>
      <w:r>
        <w:rPr>
          <w:rFonts w:hint="cs"/>
          <w:rtl/>
        </w:rPr>
        <w:t xml:space="preserve"> المرأة </w:t>
      </w:r>
      <w:r w:rsidRPr="007D7079">
        <w:rPr>
          <w:rFonts w:hint="cs"/>
          <w:rtl/>
        </w:rPr>
        <w:t xml:space="preserve">قد زادت من مطالبها </w:t>
      </w:r>
      <w:r>
        <w:rPr>
          <w:rFonts w:hint="cs"/>
          <w:rtl/>
        </w:rPr>
        <w:t>ف</w:t>
      </w:r>
      <w:r w:rsidRPr="007D7079">
        <w:rPr>
          <w:rFonts w:hint="cs"/>
          <w:rtl/>
        </w:rPr>
        <w:t>أوصلت ال</w:t>
      </w:r>
      <w:r>
        <w:rPr>
          <w:rFonts w:hint="cs"/>
          <w:rtl/>
        </w:rPr>
        <w:t xml:space="preserve">أمر إلى </w:t>
      </w:r>
      <w:r w:rsidRPr="007D7079">
        <w:rPr>
          <w:rFonts w:hint="cs"/>
          <w:rtl/>
        </w:rPr>
        <w:t>حد</w:t>
      </w:r>
      <w:r>
        <w:rPr>
          <w:rFonts w:hint="cs"/>
          <w:rtl/>
        </w:rPr>
        <w:t>ّ</w:t>
      </w:r>
      <w:r w:rsidRPr="007D7079">
        <w:rPr>
          <w:rFonts w:hint="cs"/>
          <w:rtl/>
        </w:rPr>
        <w:t xml:space="preserve"> </w:t>
      </w:r>
      <w:r>
        <w:rPr>
          <w:rFonts w:hint="cs"/>
          <w:rtl/>
        </w:rPr>
        <w:t xml:space="preserve">تعرّض </w:t>
      </w:r>
      <w:r w:rsidRPr="007D7079">
        <w:rPr>
          <w:rFonts w:hint="cs"/>
          <w:rtl/>
        </w:rPr>
        <w:t xml:space="preserve">الرجل فيه </w:t>
      </w:r>
      <w:r>
        <w:rPr>
          <w:rFonts w:hint="cs"/>
          <w:rtl/>
        </w:rPr>
        <w:t>نفسه للظلم،</w:t>
      </w:r>
      <w:r w:rsidRPr="007D7079">
        <w:rPr>
          <w:rFonts w:hint="cs"/>
          <w:rtl/>
        </w:rPr>
        <w:t xml:space="preserve"> فيما ترى النسوي</w:t>
      </w:r>
      <w:r>
        <w:rPr>
          <w:rFonts w:hint="cs"/>
          <w:rtl/>
        </w:rPr>
        <w:t>ّ</w:t>
      </w:r>
      <w:r w:rsidRPr="007D7079">
        <w:rPr>
          <w:rFonts w:hint="cs"/>
          <w:rtl/>
        </w:rPr>
        <w:t>ات وسائر الباحثين العلمي</w:t>
      </w:r>
      <w:r>
        <w:rPr>
          <w:rFonts w:hint="cs"/>
          <w:rtl/>
        </w:rPr>
        <w:t>ّ</w:t>
      </w:r>
      <w:r w:rsidRPr="007D7079">
        <w:rPr>
          <w:rFonts w:hint="cs"/>
          <w:rtl/>
        </w:rPr>
        <w:t xml:space="preserve">ين </w:t>
      </w:r>
      <w:r>
        <w:rPr>
          <w:rFonts w:hint="cs"/>
          <w:rtl/>
        </w:rPr>
        <w:t>أ</w:t>
      </w:r>
      <w:r w:rsidRPr="007D7079">
        <w:rPr>
          <w:rFonts w:hint="cs"/>
          <w:rtl/>
        </w:rPr>
        <w:t>ن</w:t>
      </w:r>
      <w:r>
        <w:rPr>
          <w:rFonts w:hint="cs"/>
          <w:rtl/>
        </w:rPr>
        <w:t>ّ</w:t>
      </w:r>
      <w:r w:rsidRPr="007D7079">
        <w:rPr>
          <w:rFonts w:hint="cs"/>
          <w:rtl/>
        </w:rPr>
        <w:t xml:space="preserve"> مثل هذه الدعاوى </w:t>
      </w:r>
      <w:r>
        <w:rPr>
          <w:rFonts w:hint="cs"/>
          <w:rtl/>
        </w:rPr>
        <w:t xml:space="preserve">تعبّر ـ </w:t>
      </w:r>
      <w:r w:rsidRPr="007D7079">
        <w:rPr>
          <w:rFonts w:hint="cs"/>
          <w:rtl/>
        </w:rPr>
        <w:t xml:space="preserve">فقط </w:t>
      </w:r>
      <w:r>
        <w:rPr>
          <w:rFonts w:hint="cs"/>
          <w:rtl/>
        </w:rPr>
        <w:t xml:space="preserve">ـ عن </w:t>
      </w:r>
      <w:r w:rsidRPr="007D7079">
        <w:rPr>
          <w:rFonts w:hint="cs"/>
          <w:rtl/>
        </w:rPr>
        <w:t>ردة فعل من نظام س</w:t>
      </w:r>
      <w:r>
        <w:rPr>
          <w:rFonts w:hint="cs"/>
          <w:rtl/>
        </w:rPr>
        <w:t>يادة الرجل تجاه الحركة النسوية.</w:t>
      </w:r>
    </w:p>
    <w:p w:rsidR="006E0FDB" w:rsidRDefault="006E0FDB" w:rsidP="006E0FDB">
      <w:pPr>
        <w:pStyle w:val="ac"/>
        <w:rPr>
          <w:rtl/>
        </w:rPr>
      </w:pPr>
      <w:r w:rsidRPr="007D7079">
        <w:rPr>
          <w:rFonts w:hint="cs"/>
          <w:rtl/>
        </w:rPr>
        <w:t>إن</w:t>
      </w:r>
      <w:r>
        <w:rPr>
          <w:rFonts w:hint="cs"/>
          <w:rtl/>
        </w:rPr>
        <w:t>ّ</w:t>
      </w:r>
      <w:r w:rsidRPr="007D7079">
        <w:rPr>
          <w:rFonts w:hint="cs"/>
          <w:rtl/>
        </w:rPr>
        <w:t xml:space="preserve"> الاقتراح المصر</w:t>
      </w:r>
      <w:r>
        <w:rPr>
          <w:rFonts w:hint="cs"/>
          <w:rtl/>
        </w:rPr>
        <w:t>ّ</w:t>
      </w:r>
      <w:r w:rsidRPr="007D7079">
        <w:rPr>
          <w:rFonts w:hint="cs"/>
          <w:rtl/>
        </w:rPr>
        <w:t>ح به</w:t>
      </w:r>
      <w:r>
        <w:rPr>
          <w:rFonts w:hint="cs"/>
          <w:rtl/>
        </w:rPr>
        <w:t xml:space="preserve"> أو </w:t>
      </w:r>
      <w:r w:rsidRPr="007D7079">
        <w:rPr>
          <w:rFonts w:hint="cs"/>
          <w:rtl/>
        </w:rPr>
        <w:t>الملم</w:t>
      </w:r>
      <w:r>
        <w:rPr>
          <w:rFonts w:hint="cs"/>
          <w:rtl/>
        </w:rPr>
        <w:t>ّ</w:t>
      </w:r>
      <w:r w:rsidRPr="007D7079">
        <w:rPr>
          <w:rFonts w:hint="cs"/>
          <w:rtl/>
        </w:rPr>
        <w:t>ح له ب</w:t>
      </w:r>
      <w:r>
        <w:rPr>
          <w:rFonts w:hint="cs"/>
          <w:rtl/>
        </w:rPr>
        <w:t>أ</w:t>
      </w:r>
      <w:r w:rsidRPr="007D7079">
        <w:rPr>
          <w:rFonts w:hint="cs"/>
          <w:rtl/>
        </w:rPr>
        <w:t>ن</w:t>
      </w:r>
      <w:r>
        <w:rPr>
          <w:rFonts w:hint="cs"/>
          <w:rtl/>
        </w:rPr>
        <w:t>ّ</w:t>
      </w:r>
      <w:r w:rsidRPr="007D7079">
        <w:rPr>
          <w:rFonts w:hint="cs"/>
          <w:rtl/>
        </w:rPr>
        <w:t xml:space="preserve"> النسوية الغربية في طريقها ل</w:t>
      </w:r>
      <w:r>
        <w:rPr>
          <w:rFonts w:hint="cs"/>
          <w:rtl/>
        </w:rPr>
        <w:t xml:space="preserve">بلوغ </w:t>
      </w:r>
      <w:r w:rsidRPr="007D7079">
        <w:rPr>
          <w:rFonts w:hint="cs"/>
          <w:rtl/>
        </w:rPr>
        <w:t>عصر سيادة</w:t>
      </w:r>
      <w:r>
        <w:rPr>
          <w:rFonts w:hint="cs"/>
          <w:rtl/>
        </w:rPr>
        <w:t xml:space="preserve"> المرأة، </w:t>
      </w:r>
      <w:r w:rsidRPr="007D7079">
        <w:rPr>
          <w:rFonts w:hint="cs"/>
          <w:rtl/>
        </w:rPr>
        <w:t xml:space="preserve">أو </w:t>
      </w:r>
      <w:r>
        <w:rPr>
          <w:rFonts w:hint="cs"/>
          <w:rtl/>
        </w:rPr>
        <w:t>أ</w:t>
      </w:r>
      <w:r w:rsidRPr="007D7079">
        <w:rPr>
          <w:rFonts w:hint="cs"/>
          <w:rtl/>
        </w:rPr>
        <w:t>ن</w:t>
      </w:r>
      <w:r>
        <w:rPr>
          <w:rFonts w:hint="cs"/>
          <w:rtl/>
        </w:rPr>
        <w:t>ّ</w:t>
      </w:r>
      <w:r w:rsidRPr="007D7079">
        <w:rPr>
          <w:rFonts w:hint="cs"/>
          <w:rtl/>
        </w:rPr>
        <w:t xml:space="preserve">ها قد </w:t>
      </w:r>
      <w:r>
        <w:rPr>
          <w:rFonts w:hint="cs"/>
          <w:rtl/>
        </w:rPr>
        <w:t>بلغته وتجاوزته،</w:t>
      </w:r>
      <w:r w:rsidRPr="007D7079">
        <w:rPr>
          <w:rFonts w:hint="cs"/>
          <w:rtl/>
        </w:rPr>
        <w:t xml:space="preserve"> ليس سوى حكم</w:t>
      </w:r>
      <w:r>
        <w:rPr>
          <w:rFonts w:hint="cs"/>
          <w:rtl/>
        </w:rPr>
        <w:t>ٍ</w:t>
      </w:r>
      <w:r w:rsidRPr="007D7079">
        <w:rPr>
          <w:rFonts w:hint="cs"/>
          <w:rtl/>
        </w:rPr>
        <w:t xml:space="preserve"> مسبق وخاطئ </w:t>
      </w:r>
      <w:r>
        <w:rPr>
          <w:rFonts w:hint="cs"/>
          <w:rtl/>
        </w:rPr>
        <w:t xml:space="preserve">على </w:t>
      </w:r>
      <w:r w:rsidRPr="007D7079">
        <w:rPr>
          <w:rFonts w:hint="cs"/>
          <w:rtl/>
        </w:rPr>
        <w:t>النسوية،</w:t>
      </w:r>
      <w:r>
        <w:rPr>
          <w:rFonts w:hint="cs"/>
          <w:rtl/>
        </w:rPr>
        <w:t xml:space="preserve"> وعلى المرأة </w:t>
      </w:r>
      <w:r w:rsidRPr="007D7079">
        <w:rPr>
          <w:rFonts w:hint="cs"/>
          <w:rtl/>
        </w:rPr>
        <w:t>الغربية</w:t>
      </w:r>
      <w:r>
        <w:rPr>
          <w:rFonts w:hint="cs"/>
          <w:rtl/>
        </w:rPr>
        <w:t>، والمجتمعات الغربية،</w:t>
      </w:r>
      <w:r w:rsidRPr="007D7079">
        <w:rPr>
          <w:rFonts w:hint="cs"/>
          <w:rtl/>
        </w:rPr>
        <w:t xml:space="preserve"> </w:t>
      </w:r>
      <w:r>
        <w:rPr>
          <w:rFonts w:hint="cs"/>
          <w:rtl/>
        </w:rPr>
        <w:t>ف</w:t>
      </w:r>
      <w:r w:rsidRPr="007D7079">
        <w:rPr>
          <w:rFonts w:hint="cs"/>
          <w:rtl/>
        </w:rPr>
        <w:t>الهدف من الالتقاء بالغرب إن كان الوصول عبر الحوار</w:t>
      </w:r>
      <w:r>
        <w:rPr>
          <w:rFonts w:hint="cs"/>
          <w:rtl/>
        </w:rPr>
        <w:t xml:space="preserve"> إلى </w:t>
      </w:r>
      <w:r w:rsidRPr="007D7079">
        <w:rPr>
          <w:rFonts w:hint="cs"/>
          <w:rtl/>
        </w:rPr>
        <w:t>الخطوة الأولى نحو توحيد الجهود المختلفة لإزالة الظلم المنتشر في أنحاء هذه الدنيا، فإن</w:t>
      </w:r>
      <w:r>
        <w:rPr>
          <w:rFonts w:hint="cs"/>
          <w:rtl/>
        </w:rPr>
        <w:t xml:space="preserve">ّ مثل هذه التعميمات الخاطئة </w:t>
      </w:r>
      <w:r w:rsidRPr="007D7079">
        <w:rPr>
          <w:rFonts w:hint="cs"/>
          <w:rtl/>
        </w:rPr>
        <w:t xml:space="preserve">توجب ابتعاد </w:t>
      </w:r>
      <w:r>
        <w:rPr>
          <w:rFonts w:hint="cs"/>
          <w:rtl/>
        </w:rPr>
        <w:t>أصحاب الأ</w:t>
      </w:r>
      <w:r w:rsidRPr="007D7079">
        <w:rPr>
          <w:rFonts w:hint="cs"/>
          <w:rtl/>
        </w:rPr>
        <w:t>هداف المشتركة عن بعضهم بعض</w:t>
      </w:r>
      <w:r>
        <w:rPr>
          <w:rFonts w:hint="cs"/>
          <w:rtl/>
        </w:rPr>
        <w:t>اً.</w:t>
      </w:r>
    </w:p>
    <w:p w:rsidR="006E0FDB" w:rsidRPr="007D7079" w:rsidRDefault="006E0FDB" w:rsidP="009368DE">
      <w:pPr>
        <w:pStyle w:val="afffffc"/>
        <w:rPr>
          <w:rtl/>
        </w:rPr>
      </w:pPr>
    </w:p>
    <w:p w:rsidR="006E0FDB" w:rsidRDefault="006E0FDB" w:rsidP="006E0FDB">
      <w:pPr>
        <w:pStyle w:val="1"/>
        <w:rPr>
          <w:rFonts w:cs="Abz-1 (Lotus)"/>
          <w:rtl/>
        </w:rPr>
      </w:pPr>
      <w:bookmarkStart w:id="558" w:name="_Toc169521469"/>
      <w:bookmarkStart w:id="559" w:name="_Toc275128239"/>
      <w:r w:rsidRPr="00D457EB">
        <w:rPr>
          <w:rFonts w:hint="cs"/>
          <w:rtl/>
        </w:rPr>
        <w:t>النسوية والجنس المتنوّع</w:t>
      </w:r>
      <w:bookmarkEnd w:id="558"/>
      <w:bookmarkEnd w:id="559"/>
    </w:p>
    <w:p w:rsidR="006E0FDB" w:rsidRPr="007D7079" w:rsidRDefault="006E0FDB" w:rsidP="006E0FDB">
      <w:pPr>
        <w:pStyle w:val="ac"/>
        <w:rPr>
          <w:rtl/>
        </w:rPr>
      </w:pPr>
      <w:r>
        <w:rPr>
          <w:rFonts w:hint="cs"/>
          <w:rtl/>
        </w:rPr>
        <w:t>و</w:t>
      </w:r>
      <w:r w:rsidRPr="007D7079">
        <w:rPr>
          <w:rFonts w:hint="cs"/>
          <w:rtl/>
        </w:rPr>
        <w:t>من الأسس التي اعتمدتها</w:t>
      </w:r>
      <w:r>
        <w:rPr>
          <w:rFonts w:hint="cs"/>
          <w:rtl/>
        </w:rPr>
        <w:t xml:space="preserve"> د. </w:t>
      </w:r>
      <w:r w:rsidRPr="007D7079">
        <w:rPr>
          <w:rFonts w:hint="cs"/>
          <w:rtl/>
        </w:rPr>
        <w:t>مطيع تأثير</w:t>
      </w:r>
      <w:r>
        <w:rPr>
          <w:rFonts w:hint="cs"/>
          <w:rtl/>
        </w:rPr>
        <w:t>ُ</w:t>
      </w:r>
      <w:r w:rsidRPr="007D7079">
        <w:rPr>
          <w:rFonts w:hint="cs"/>
          <w:rtl/>
        </w:rPr>
        <w:t xml:space="preserve"> النسوية الغربية على الشكل الذي اتخذته التعاريف الجديدة للجنسين، وبحسب ما تراه ف</w:t>
      </w:r>
      <w:r>
        <w:rPr>
          <w:rFonts w:hint="cs"/>
          <w:rtl/>
        </w:rPr>
        <w:t>إ</w:t>
      </w:r>
      <w:r w:rsidRPr="007D7079">
        <w:rPr>
          <w:rFonts w:hint="cs"/>
          <w:rtl/>
        </w:rPr>
        <w:t>نّ</w:t>
      </w:r>
      <w:r>
        <w:rPr>
          <w:rFonts w:hint="cs"/>
          <w:rtl/>
        </w:rPr>
        <w:t xml:space="preserve"> </w:t>
      </w:r>
      <w:r w:rsidRPr="007D7079">
        <w:rPr>
          <w:rFonts w:hint="cs"/>
          <w:rtl/>
        </w:rPr>
        <w:t>إعادة التعريف هذه كانت سلبية</w:t>
      </w:r>
      <w:r>
        <w:rPr>
          <w:rFonts w:hint="cs"/>
          <w:rtl/>
        </w:rPr>
        <w:t>ً وفاشلة؛ لأ</w:t>
      </w:r>
      <w:r w:rsidRPr="007D7079">
        <w:rPr>
          <w:rFonts w:hint="cs"/>
          <w:rtl/>
        </w:rPr>
        <w:t>ن</w:t>
      </w:r>
      <w:r>
        <w:rPr>
          <w:rFonts w:hint="cs"/>
          <w:rtl/>
        </w:rPr>
        <w:t>ّ</w:t>
      </w:r>
      <w:r w:rsidRPr="007D7079">
        <w:rPr>
          <w:rFonts w:hint="cs"/>
          <w:rtl/>
        </w:rPr>
        <w:t>ها أزالت الفوارق الموجودة بين الجنسين</w:t>
      </w:r>
      <w:r>
        <w:rPr>
          <w:rFonts w:hint="cs"/>
          <w:rtl/>
        </w:rPr>
        <w:t>،</w:t>
      </w:r>
      <w:r w:rsidRPr="007D7079">
        <w:rPr>
          <w:rFonts w:hint="cs"/>
          <w:rtl/>
        </w:rPr>
        <w:t xml:space="preserve"> وخرجت بصورة </w:t>
      </w:r>
      <w:r>
        <w:rPr>
          <w:rFonts w:hint="cs"/>
          <w:rtl/>
        </w:rPr>
        <w:t>للمر</w:t>
      </w:r>
      <w:r w:rsidRPr="007D7079">
        <w:rPr>
          <w:rFonts w:hint="cs"/>
          <w:rtl/>
        </w:rPr>
        <w:t xml:space="preserve">أة ليست </w:t>
      </w:r>
      <w:r>
        <w:rPr>
          <w:rFonts w:hint="cs"/>
          <w:rtl/>
        </w:rPr>
        <w:lastRenderedPageBreak/>
        <w:t xml:space="preserve">هي فيها </w:t>
      </w:r>
      <w:r w:rsidRPr="007D7079">
        <w:rPr>
          <w:rFonts w:hint="cs"/>
          <w:rtl/>
        </w:rPr>
        <w:t>ب</w:t>
      </w:r>
      <w:r>
        <w:rPr>
          <w:rFonts w:hint="cs"/>
          <w:rtl/>
        </w:rPr>
        <w:t>امر</w:t>
      </w:r>
      <w:r w:rsidRPr="007D7079">
        <w:rPr>
          <w:rFonts w:hint="cs"/>
          <w:rtl/>
        </w:rPr>
        <w:t xml:space="preserve">أة ولا رجل، وفي عين </w:t>
      </w:r>
      <w:r>
        <w:rPr>
          <w:rFonts w:hint="cs"/>
          <w:rtl/>
        </w:rPr>
        <w:t xml:space="preserve">الوقت </w:t>
      </w:r>
      <w:r w:rsidRPr="007D7079">
        <w:rPr>
          <w:rFonts w:hint="cs"/>
          <w:rtl/>
        </w:rPr>
        <w:t>كليهما</w:t>
      </w:r>
      <w:r>
        <w:rPr>
          <w:rFonts w:hint="cs"/>
          <w:rtl/>
        </w:rPr>
        <w:t xml:space="preserve"> معاً،</w:t>
      </w:r>
      <w:r w:rsidRPr="007D7079">
        <w:rPr>
          <w:rFonts w:hint="cs"/>
          <w:rtl/>
        </w:rPr>
        <w:t xml:space="preserve"> </w:t>
      </w:r>
      <w:r>
        <w:rPr>
          <w:rFonts w:hint="cs"/>
          <w:rtl/>
        </w:rPr>
        <w:t xml:space="preserve">لقد </w:t>
      </w:r>
      <w:r w:rsidRPr="007D7079">
        <w:rPr>
          <w:rFonts w:hint="cs"/>
          <w:rtl/>
        </w:rPr>
        <w:t xml:space="preserve">كتبت </w:t>
      </w:r>
      <w:r>
        <w:rPr>
          <w:rFonts w:hint="cs"/>
          <w:rtl/>
        </w:rPr>
        <w:t>تقول</w:t>
      </w:r>
      <w:r w:rsidRPr="007D7079">
        <w:rPr>
          <w:rFonts w:hint="cs"/>
          <w:rtl/>
        </w:rPr>
        <w:t>:</w:t>
      </w:r>
      <w:r>
        <w:rPr>
          <w:rFonts w:hint="cs"/>
          <w:rtl/>
        </w:rPr>
        <w:t xml:space="preserve"> </w:t>
      </w:r>
    </w:p>
    <w:p w:rsidR="006E0FDB" w:rsidRDefault="006E0FDB" w:rsidP="006E0FDB">
      <w:pPr>
        <w:pStyle w:val="ac"/>
        <w:rPr>
          <w:rtl/>
        </w:rPr>
      </w:pPr>
      <w:r w:rsidRPr="007D7079">
        <w:rPr>
          <w:rFonts w:hint="cs"/>
          <w:rtl/>
        </w:rPr>
        <w:t xml:space="preserve">لقد سادت في الستينات والسبعينات من قبل </w:t>
      </w:r>
      <w:r>
        <w:rPr>
          <w:rFonts w:hint="cs"/>
          <w:rtl/>
        </w:rPr>
        <w:t xml:space="preserve">بعض الحركات النسوية </w:t>
      </w:r>
      <w:r w:rsidRPr="007D7079">
        <w:rPr>
          <w:rFonts w:hint="cs"/>
          <w:rtl/>
        </w:rPr>
        <w:t>المتشددة الدعوة للتخل</w:t>
      </w:r>
      <w:r>
        <w:rPr>
          <w:rFonts w:hint="cs"/>
          <w:rtl/>
        </w:rPr>
        <w:t>ّ</w:t>
      </w:r>
      <w:r w:rsidRPr="007D7079">
        <w:rPr>
          <w:rFonts w:hint="cs"/>
          <w:rtl/>
        </w:rPr>
        <w:t>ص من الخصوصيات التي يختص</w:t>
      </w:r>
      <w:r>
        <w:rPr>
          <w:rFonts w:hint="cs"/>
          <w:rtl/>
        </w:rPr>
        <w:t>ّ</w:t>
      </w:r>
      <w:r w:rsidRPr="007D7079">
        <w:rPr>
          <w:rFonts w:hint="cs"/>
          <w:rtl/>
        </w:rPr>
        <w:t xml:space="preserve"> بها الرجل</w:t>
      </w:r>
      <w:r>
        <w:rPr>
          <w:rFonts w:hint="cs"/>
          <w:rtl/>
        </w:rPr>
        <w:t xml:space="preserve"> أو </w:t>
      </w:r>
      <w:r w:rsidRPr="007D7079">
        <w:rPr>
          <w:rFonts w:hint="cs"/>
          <w:rtl/>
        </w:rPr>
        <w:t>الأنثى، و</w:t>
      </w:r>
      <w:r>
        <w:rPr>
          <w:rFonts w:hint="cs"/>
          <w:rtl/>
        </w:rPr>
        <w:t>الالتزام بنماذج مشتركة ذكورية وأنثوية في الوقت نفسه،</w:t>
      </w:r>
      <w:r w:rsidRPr="007D7079">
        <w:rPr>
          <w:rFonts w:hint="cs"/>
          <w:rtl/>
        </w:rPr>
        <w:t xml:space="preserve"> </w:t>
      </w:r>
      <w:r>
        <w:rPr>
          <w:rFonts w:hint="cs"/>
          <w:rtl/>
        </w:rPr>
        <w:t>و</w:t>
      </w:r>
      <w:r w:rsidRPr="007D7079">
        <w:rPr>
          <w:rFonts w:hint="cs"/>
          <w:rtl/>
        </w:rPr>
        <w:t>قد كان التصور السائد لدى هؤلاء أن</w:t>
      </w:r>
      <w:r>
        <w:rPr>
          <w:rFonts w:hint="cs"/>
          <w:rtl/>
        </w:rPr>
        <w:t>ّ</w:t>
      </w:r>
      <w:r w:rsidRPr="007D7079">
        <w:rPr>
          <w:rFonts w:hint="cs"/>
          <w:rtl/>
        </w:rPr>
        <w:t xml:space="preserve"> ما ينبغي </w:t>
      </w:r>
      <w:r>
        <w:rPr>
          <w:rFonts w:hint="cs"/>
          <w:rtl/>
        </w:rPr>
        <w:t>ال</w:t>
      </w:r>
      <w:r w:rsidRPr="007D7079">
        <w:rPr>
          <w:rFonts w:hint="cs"/>
          <w:rtl/>
        </w:rPr>
        <w:t>توص</w:t>
      </w:r>
      <w:r>
        <w:rPr>
          <w:rFonts w:hint="cs"/>
          <w:rtl/>
        </w:rPr>
        <w:t>ّ</w:t>
      </w:r>
      <w:r w:rsidRPr="007D7079">
        <w:rPr>
          <w:rFonts w:hint="cs"/>
          <w:rtl/>
        </w:rPr>
        <w:t>ل إليه هو أن يقوم الرجال والنساء بنزع الخصال الخاص</w:t>
      </w:r>
      <w:r>
        <w:rPr>
          <w:rFonts w:hint="cs"/>
          <w:rtl/>
        </w:rPr>
        <w:t>ّ</w:t>
      </w:r>
      <w:r w:rsidRPr="007D7079">
        <w:rPr>
          <w:rFonts w:hint="cs"/>
          <w:rtl/>
        </w:rPr>
        <w:t>ة بكل</w:t>
      </w:r>
      <w:r>
        <w:rPr>
          <w:rFonts w:hint="cs"/>
          <w:rtl/>
        </w:rPr>
        <w:t>ّ</w:t>
      </w:r>
      <w:r w:rsidRPr="007D7079">
        <w:rPr>
          <w:rFonts w:hint="cs"/>
          <w:rtl/>
        </w:rPr>
        <w:t xml:space="preserve"> منهما </w:t>
      </w:r>
      <w:r>
        <w:rPr>
          <w:rFonts w:hint="cs"/>
          <w:rtl/>
        </w:rPr>
        <w:t>للوصول إلى إنسان</w:t>
      </w:r>
      <w:r w:rsidRPr="007D7079">
        <w:rPr>
          <w:rFonts w:hint="cs"/>
          <w:rtl/>
        </w:rPr>
        <w:t xml:space="preserve"> حرّ من قيود الجنس</w:t>
      </w:r>
      <w:r>
        <w:rPr>
          <w:rFonts w:hint="cs"/>
          <w:rtl/>
        </w:rPr>
        <w:t>،</w:t>
      </w:r>
      <w:r w:rsidRPr="007D7079">
        <w:rPr>
          <w:rFonts w:hint="cs"/>
          <w:rtl/>
        </w:rPr>
        <w:t xml:space="preserve"> أي ال</w:t>
      </w:r>
      <w:r>
        <w:rPr>
          <w:rFonts w:hint="cs"/>
          <w:rtl/>
        </w:rPr>
        <w:t>إنسان</w:t>
      </w:r>
      <w:r w:rsidRPr="007D7079">
        <w:rPr>
          <w:rFonts w:hint="cs"/>
          <w:rtl/>
        </w:rPr>
        <w:t xml:space="preserve"> (الرجل</w:t>
      </w:r>
      <w:r>
        <w:rPr>
          <w:rFonts w:hint="cs"/>
          <w:rtl/>
        </w:rPr>
        <w:t xml:space="preserve"> المرأة </w:t>
      </w:r>
      <w:r w:rsidRPr="007D7079">
        <w:t>androgynous</w:t>
      </w:r>
      <w:r>
        <w:rPr>
          <w:rFonts w:hint="cs"/>
          <w:rtl/>
        </w:rPr>
        <w:t>).</w:t>
      </w:r>
    </w:p>
    <w:p w:rsidR="006E0FDB" w:rsidRPr="007D7079" w:rsidRDefault="006E0FDB" w:rsidP="006E0FDB">
      <w:pPr>
        <w:pStyle w:val="ac"/>
        <w:rPr>
          <w:rtl/>
        </w:rPr>
      </w:pPr>
      <w:r w:rsidRPr="007D7079">
        <w:rPr>
          <w:rFonts w:hint="cs"/>
          <w:rtl/>
        </w:rPr>
        <w:t>لكن</w:t>
      </w:r>
      <w:r>
        <w:rPr>
          <w:rFonts w:hint="cs"/>
          <w:rtl/>
        </w:rPr>
        <w:t>ّ</w:t>
      </w:r>
      <w:r w:rsidRPr="007D7079">
        <w:rPr>
          <w:rFonts w:hint="cs"/>
          <w:rtl/>
        </w:rPr>
        <w:t xml:space="preserve"> هذه الرؤية نُسخت في العلوم ال</w:t>
      </w:r>
      <w:r>
        <w:rPr>
          <w:rFonts w:hint="cs"/>
          <w:rtl/>
        </w:rPr>
        <w:t>اجتماع</w:t>
      </w:r>
      <w:r w:rsidRPr="007D7079">
        <w:rPr>
          <w:rFonts w:hint="cs"/>
          <w:rtl/>
        </w:rPr>
        <w:t>ية في السنوات التالية للسبعينات</w:t>
      </w:r>
      <w:r>
        <w:rPr>
          <w:rFonts w:hint="cs"/>
          <w:rtl/>
        </w:rPr>
        <w:t>، و</w:t>
      </w:r>
      <w:r w:rsidRPr="007D7079">
        <w:rPr>
          <w:rFonts w:hint="cs"/>
          <w:rtl/>
        </w:rPr>
        <w:t>من جملة ما ذكره منتقدو هذا الرأي أن</w:t>
      </w:r>
      <w:r>
        <w:rPr>
          <w:rFonts w:hint="cs"/>
          <w:rtl/>
        </w:rPr>
        <w:t>ّ</w:t>
      </w:r>
      <w:r w:rsidRPr="007D7079">
        <w:rPr>
          <w:rFonts w:hint="cs"/>
          <w:rtl/>
        </w:rPr>
        <w:t xml:space="preserve"> هذه النظرية تلتزم بشكل مُسبق بتقسيم الخصوصيات ال</w:t>
      </w:r>
      <w:r>
        <w:rPr>
          <w:rFonts w:hint="cs"/>
          <w:rtl/>
        </w:rPr>
        <w:t>إنسان</w:t>
      </w:r>
      <w:r w:rsidRPr="007D7079">
        <w:rPr>
          <w:rFonts w:hint="cs"/>
          <w:rtl/>
        </w:rPr>
        <w:t>ية</w:t>
      </w:r>
      <w:r>
        <w:rPr>
          <w:rFonts w:hint="cs"/>
          <w:rtl/>
        </w:rPr>
        <w:t xml:space="preserve"> إلى </w:t>
      </w:r>
      <w:r w:rsidRPr="007D7079">
        <w:rPr>
          <w:rFonts w:hint="cs"/>
          <w:rtl/>
        </w:rPr>
        <w:t>خصوصي</w:t>
      </w:r>
      <w:r>
        <w:rPr>
          <w:rFonts w:hint="cs"/>
          <w:rtl/>
        </w:rPr>
        <w:t>ّ</w:t>
      </w:r>
      <w:r w:rsidRPr="007D7079">
        <w:rPr>
          <w:rFonts w:hint="cs"/>
          <w:rtl/>
        </w:rPr>
        <w:t>ات ذكورية وأنثوية</w:t>
      </w:r>
      <w:r>
        <w:rPr>
          <w:rFonts w:hint="cs"/>
          <w:rtl/>
        </w:rPr>
        <w:t>،</w:t>
      </w:r>
      <w:r w:rsidRPr="007D7079">
        <w:rPr>
          <w:rFonts w:hint="cs"/>
          <w:rtl/>
        </w:rPr>
        <w:t xml:space="preserve"> مضافا</w:t>
      </w:r>
      <w:r>
        <w:rPr>
          <w:rFonts w:hint="cs"/>
          <w:rtl/>
        </w:rPr>
        <w:t xml:space="preserve">ً إلى </w:t>
      </w:r>
      <w:r w:rsidRPr="007D7079">
        <w:rPr>
          <w:rFonts w:hint="cs"/>
          <w:rtl/>
        </w:rPr>
        <w:t>ما أشارت إليه</w:t>
      </w:r>
      <w:r>
        <w:rPr>
          <w:rFonts w:hint="cs"/>
          <w:rtl/>
        </w:rPr>
        <w:t xml:space="preserve"> د. </w:t>
      </w:r>
      <w:r w:rsidRPr="007D7079">
        <w:rPr>
          <w:rFonts w:hint="cs"/>
          <w:rtl/>
        </w:rPr>
        <w:t xml:space="preserve">مطيع </w:t>
      </w:r>
      <w:r>
        <w:rPr>
          <w:rFonts w:hint="cs"/>
          <w:rtl/>
        </w:rPr>
        <w:t xml:space="preserve">نفسها </w:t>
      </w:r>
      <w:r w:rsidRPr="007D7079">
        <w:rPr>
          <w:rFonts w:hint="cs"/>
          <w:rtl/>
        </w:rPr>
        <w:t>من أن</w:t>
      </w:r>
      <w:r>
        <w:rPr>
          <w:rFonts w:hint="cs"/>
          <w:rtl/>
        </w:rPr>
        <w:t>ّ</w:t>
      </w:r>
      <w:r w:rsidRPr="007D7079">
        <w:rPr>
          <w:rFonts w:hint="cs"/>
          <w:rtl/>
        </w:rPr>
        <w:t xml:space="preserve"> الخصوصيات الذكورية ستظهر عم</w:t>
      </w:r>
      <w:r>
        <w:rPr>
          <w:rFonts w:hint="cs"/>
          <w:rtl/>
        </w:rPr>
        <w:t>ليّاً</w:t>
      </w:r>
      <w:r w:rsidRPr="007D7079">
        <w:rPr>
          <w:rFonts w:hint="cs"/>
          <w:rtl/>
        </w:rPr>
        <w:t xml:space="preserve"> في المجتمع الذي تم</w:t>
      </w:r>
      <w:r>
        <w:rPr>
          <w:rFonts w:hint="cs"/>
          <w:rtl/>
        </w:rPr>
        <w:t>ّ</w:t>
      </w:r>
      <w:r w:rsidRPr="007D7079">
        <w:rPr>
          <w:rFonts w:hint="cs"/>
          <w:rtl/>
        </w:rPr>
        <w:t xml:space="preserve"> فيه دمج الخصوصيات</w:t>
      </w:r>
      <w:r>
        <w:rPr>
          <w:rFonts w:hint="cs"/>
          <w:rtl/>
        </w:rPr>
        <w:t>،</w:t>
      </w:r>
      <w:r w:rsidRPr="007D7079">
        <w:rPr>
          <w:rFonts w:hint="cs"/>
          <w:rtl/>
        </w:rPr>
        <w:t xml:space="preserve"> و</w:t>
      </w:r>
      <w:r>
        <w:rPr>
          <w:rFonts w:hint="cs"/>
          <w:rtl/>
        </w:rPr>
        <w:t>أ</w:t>
      </w:r>
      <w:r w:rsidRPr="007D7079">
        <w:rPr>
          <w:rFonts w:hint="cs"/>
          <w:rtl/>
        </w:rPr>
        <w:t>ن</w:t>
      </w:r>
      <w:r>
        <w:rPr>
          <w:rFonts w:hint="cs"/>
          <w:rtl/>
        </w:rPr>
        <w:t>ّ</w:t>
      </w:r>
      <w:r w:rsidRPr="007D7079">
        <w:rPr>
          <w:rFonts w:hint="cs"/>
          <w:rtl/>
        </w:rPr>
        <w:t xml:space="preserve"> هذه الخصوصيات الذكورية هي التي تضمن نمو</w:t>
      </w:r>
      <w:r>
        <w:rPr>
          <w:rFonts w:hint="cs"/>
          <w:rtl/>
        </w:rPr>
        <w:t>ّ</w:t>
      </w:r>
      <w:r w:rsidRPr="007D7079">
        <w:rPr>
          <w:rFonts w:hint="cs"/>
          <w:rtl/>
        </w:rPr>
        <w:t xml:space="preserve"> ال</w:t>
      </w:r>
      <w:r>
        <w:rPr>
          <w:rFonts w:hint="cs"/>
          <w:rtl/>
        </w:rPr>
        <w:t>إنسان</w:t>
      </w:r>
      <w:r w:rsidRPr="007D7079">
        <w:rPr>
          <w:rFonts w:hint="cs"/>
          <w:rtl/>
        </w:rPr>
        <w:t xml:space="preserve"> في مجتمع (الرجل ـ </w:t>
      </w:r>
      <w:r w:rsidRPr="007D7079">
        <w:rPr>
          <w:rtl/>
        </w:rPr>
        <w:t>المر</w:t>
      </w:r>
      <w:r>
        <w:rPr>
          <w:rFonts w:hint="cs"/>
          <w:rtl/>
        </w:rPr>
        <w:t>أة)، إ</w:t>
      </w:r>
      <w:r w:rsidRPr="007D7079">
        <w:rPr>
          <w:rFonts w:hint="cs"/>
          <w:rtl/>
        </w:rPr>
        <w:t>ن</w:t>
      </w:r>
      <w:r>
        <w:rPr>
          <w:rFonts w:hint="cs"/>
          <w:rtl/>
        </w:rPr>
        <w:t>ّ</w:t>
      </w:r>
      <w:r w:rsidRPr="007D7079">
        <w:rPr>
          <w:rFonts w:hint="cs"/>
          <w:rtl/>
        </w:rPr>
        <w:t xml:space="preserve"> التبعة المترتبة على هذه النظرية تتمثل في </w:t>
      </w:r>
      <w:r>
        <w:rPr>
          <w:rFonts w:hint="cs"/>
          <w:rtl/>
        </w:rPr>
        <w:t>أ</w:t>
      </w:r>
      <w:r w:rsidRPr="007D7079">
        <w:rPr>
          <w:rFonts w:hint="cs"/>
          <w:rtl/>
        </w:rPr>
        <w:t>ن</w:t>
      </w:r>
      <w:r>
        <w:rPr>
          <w:rFonts w:hint="cs"/>
          <w:rtl/>
        </w:rPr>
        <w:t>ّ</w:t>
      </w:r>
      <w:r w:rsidRPr="007D7079">
        <w:rPr>
          <w:rFonts w:hint="cs"/>
          <w:rtl/>
        </w:rPr>
        <w:t xml:space="preserve"> على</w:t>
      </w:r>
      <w:r>
        <w:rPr>
          <w:rFonts w:hint="cs"/>
          <w:rtl/>
        </w:rPr>
        <w:t xml:space="preserve"> المرأة ال</w:t>
      </w:r>
      <w:r w:rsidRPr="007D7079">
        <w:rPr>
          <w:rFonts w:hint="cs"/>
          <w:rtl/>
        </w:rPr>
        <w:t>سع</w:t>
      </w:r>
      <w:r>
        <w:rPr>
          <w:rFonts w:hint="cs"/>
          <w:rtl/>
        </w:rPr>
        <w:t>ي</w:t>
      </w:r>
      <w:r w:rsidRPr="007D7079">
        <w:rPr>
          <w:rFonts w:hint="cs"/>
          <w:rtl/>
        </w:rPr>
        <w:t xml:space="preserve"> </w:t>
      </w:r>
      <w:r>
        <w:rPr>
          <w:rFonts w:hint="cs"/>
          <w:rtl/>
        </w:rPr>
        <w:t xml:space="preserve">لأن تصبح رجلاً بغية </w:t>
      </w:r>
      <w:r w:rsidRPr="007D7079">
        <w:rPr>
          <w:rFonts w:hint="cs"/>
          <w:rtl/>
        </w:rPr>
        <w:t xml:space="preserve">الوصول </w:t>
      </w:r>
      <w:r>
        <w:rPr>
          <w:rFonts w:hint="cs"/>
          <w:rtl/>
        </w:rPr>
        <w:t xml:space="preserve">إلى </w:t>
      </w:r>
      <w:r w:rsidRPr="007D7079">
        <w:rPr>
          <w:rFonts w:hint="cs"/>
          <w:rtl/>
        </w:rPr>
        <w:t xml:space="preserve">حالة التساوي </w:t>
      </w:r>
      <w:r>
        <w:rPr>
          <w:rFonts w:hint="cs"/>
          <w:rtl/>
        </w:rPr>
        <w:t>المنشودة</w:t>
      </w:r>
      <w:r w:rsidRPr="007D7079">
        <w:rPr>
          <w:rFonts w:hint="cs"/>
          <w:rtl/>
        </w:rPr>
        <w:t>.</w:t>
      </w:r>
    </w:p>
    <w:p w:rsidR="006E0FDB" w:rsidRDefault="006E0FDB" w:rsidP="006E0FDB">
      <w:pPr>
        <w:pStyle w:val="ac"/>
        <w:rPr>
          <w:rtl/>
        </w:rPr>
      </w:pPr>
      <w:r w:rsidRPr="007D7079">
        <w:rPr>
          <w:rFonts w:hint="cs"/>
          <w:rtl/>
        </w:rPr>
        <w:t xml:space="preserve">لقد </w:t>
      </w:r>
      <w:r>
        <w:rPr>
          <w:rFonts w:hint="cs"/>
          <w:rtl/>
        </w:rPr>
        <w:t xml:space="preserve">طرحت النسويّة الليبراليّة </w:t>
      </w:r>
      <w:r w:rsidRPr="007D7079">
        <w:rPr>
          <w:rFonts w:hint="cs"/>
          <w:rtl/>
        </w:rPr>
        <w:t>مسألة تشابه الجنسين لنقد النسوية الراديكالية والاشتراكية</w:t>
      </w:r>
      <w:r>
        <w:rPr>
          <w:rFonts w:hint="cs"/>
          <w:rtl/>
        </w:rPr>
        <w:t>،</w:t>
      </w:r>
      <w:r w:rsidRPr="007D7079">
        <w:rPr>
          <w:rFonts w:hint="cs"/>
          <w:rtl/>
        </w:rPr>
        <w:t xml:space="preserve"> فالنسوية الليبرالية لا ترى وجودا</w:t>
      </w:r>
      <w:r>
        <w:rPr>
          <w:rFonts w:hint="cs"/>
          <w:rtl/>
        </w:rPr>
        <w:t>ً</w:t>
      </w:r>
      <w:r w:rsidRPr="007D7079">
        <w:rPr>
          <w:rFonts w:hint="cs"/>
          <w:rtl/>
        </w:rPr>
        <w:t xml:space="preserve"> في الخارج لسيادة الرجل </w:t>
      </w:r>
      <w:r>
        <w:rPr>
          <w:rFonts w:hint="cs"/>
          <w:rtl/>
        </w:rPr>
        <w:t xml:space="preserve">بوصفها </w:t>
      </w:r>
      <w:r w:rsidRPr="007D7079">
        <w:rPr>
          <w:rFonts w:hint="cs"/>
          <w:rtl/>
        </w:rPr>
        <w:t>نظام</w:t>
      </w:r>
      <w:r>
        <w:rPr>
          <w:rFonts w:hint="cs"/>
          <w:rtl/>
        </w:rPr>
        <w:t>اً</w:t>
      </w:r>
      <w:r w:rsidRPr="007D7079">
        <w:rPr>
          <w:rFonts w:hint="cs"/>
          <w:rtl/>
        </w:rPr>
        <w:t xml:space="preserve"> نفعي</w:t>
      </w:r>
      <w:r>
        <w:rPr>
          <w:rFonts w:hint="cs"/>
          <w:rtl/>
        </w:rPr>
        <w:t>ّاً</w:t>
      </w:r>
      <w:r w:rsidRPr="007D7079">
        <w:rPr>
          <w:rFonts w:hint="cs"/>
          <w:rtl/>
        </w:rPr>
        <w:t xml:space="preserve"> ظالم</w:t>
      </w:r>
      <w:r>
        <w:rPr>
          <w:rFonts w:hint="cs"/>
          <w:rtl/>
        </w:rPr>
        <w:t>اً</w:t>
      </w:r>
      <w:r w:rsidRPr="007D7079">
        <w:rPr>
          <w:rFonts w:hint="cs"/>
          <w:rtl/>
        </w:rPr>
        <w:t xml:space="preserve"> </w:t>
      </w:r>
      <w:r>
        <w:rPr>
          <w:rFonts w:hint="cs"/>
          <w:rtl/>
        </w:rPr>
        <w:t>يعاني من التمييز الجنسي،</w:t>
      </w:r>
      <w:r w:rsidRPr="007D7079">
        <w:rPr>
          <w:rFonts w:hint="cs"/>
          <w:rtl/>
        </w:rPr>
        <w:t xml:space="preserve"> بل هو ظاهرة</w:t>
      </w:r>
      <w:r>
        <w:rPr>
          <w:rFonts w:hint="cs"/>
          <w:rtl/>
        </w:rPr>
        <w:t>ٌ</w:t>
      </w:r>
      <w:r w:rsidRPr="007D7079">
        <w:rPr>
          <w:rFonts w:hint="cs"/>
          <w:rtl/>
        </w:rPr>
        <w:t xml:space="preserve"> تجري في الأفكار والنفوس وتظهر هنا وهناك</w:t>
      </w:r>
      <w:r>
        <w:rPr>
          <w:rFonts w:hint="cs"/>
          <w:rtl/>
        </w:rPr>
        <w:t xml:space="preserve"> كما تتمظهر في العلاقات البشرية،</w:t>
      </w:r>
      <w:r w:rsidRPr="007D7079">
        <w:rPr>
          <w:rFonts w:hint="cs"/>
          <w:rtl/>
        </w:rPr>
        <w:t xml:space="preserve"> وترى النسوية الليبرالية </w:t>
      </w:r>
      <w:r>
        <w:rPr>
          <w:rFonts w:hint="cs"/>
          <w:rtl/>
        </w:rPr>
        <w:t>أ</w:t>
      </w:r>
      <w:r w:rsidRPr="007D7079">
        <w:rPr>
          <w:rFonts w:hint="cs"/>
          <w:rtl/>
        </w:rPr>
        <w:t>ن</w:t>
      </w:r>
      <w:r>
        <w:rPr>
          <w:rFonts w:hint="cs"/>
          <w:rtl/>
        </w:rPr>
        <w:t>ّ</w:t>
      </w:r>
      <w:r w:rsidRPr="007D7079">
        <w:rPr>
          <w:rFonts w:hint="cs"/>
          <w:rtl/>
        </w:rPr>
        <w:t xml:space="preserve"> مواجهة نظام سيادة الرجل تتم</w:t>
      </w:r>
      <w:r>
        <w:rPr>
          <w:rFonts w:hint="cs"/>
          <w:rtl/>
        </w:rPr>
        <w:t>ّ</w:t>
      </w:r>
      <w:r w:rsidRPr="007D7079">
        <w:rPr>
          <w:rFonts w:hint="cs"/>
          <w:rtl/>
        </w:rPr>
        <w:t xml:space="preserve"> عن طريق: التعليم، </w:t>
      </w:r>
      <w:r>
        <w:rPr>
          <w:rFonts w:hint="cs"/>
          <w:rtl/>
        </w:rPr>
        <w:t>و</w:t>
      </w:r>
      <w:r w:rsidRPr="007D7079">
        <w:rPr>
          <w:rFonts w:hint="cs"/>
          <w:rtl/>
        </w:rPr>
        <w:t>التربية، وسوق العمل</w:t>
      </w:r>
      <w:r>
        <w:rPr>
          <w:rFonts w:hint="cs"/>
          <w:rtl/>
        </w:rPr>
        <w:t>،</w:t>
      </w:r>
      <w:r w:rsidRPr="007D7079">
        <w:rPr>
          <w:rFonts w:hint="cs"/>
          <w:rtl/>
        </w:rPr>
        <w:t xml:space="preserve"> أما على المستوى الثقافي فلا</w:t>
      </w:r>
      <w:r>
        <w:rPr>
          <w:rFonts w:hint="cs"/>
          <w:rtl/>
        </w:rPr>
        <w:t xml:space="preserve">بدّ من مواجهة العادات والتقاليد </w:t>
      </w:r>
      <w:r w:rsidRPr="007D7079">
        <w:rPr>
          <w:rFonts w:hint="cs"/>
          <w:rtl/>
        </w:rPr>
        <w:t>ورفع مستوى استفادة</w:t>
      </w:r>
      <w:r>
        <w:rPr>
          <w:rFonts w:hint="cs"/>
          <w:rtl/>
        </w:rPr>
        <w:t xml:space="preserve"> المرأة </w:t>
      </w:r>
      <w:r w:rsidRPr="007D7079">
        <w:rPr>
          <w:rFonts w:hint="cs"/>
          <w:rtl/>
        </w:rPr>
        <w:t>من</w:t>
      </w:r>
      <w:r>
        <w:rPr>
          <w:rFonts w:hint="cs"/>
          <w:rtl/>
        </w:rPr>
        <w:t xml:space="preserve"> الإمكانات التعليمية، وتأمين فرص</w:t>
      </w:r>
      <w:r w:rsidRPr="007D7079">
        <w:rPr>
          <w:rFonts w:hint="cs"/>
          <w:rtl/>
        </w:rPr>
        <w:t xml:space="preserve"> عمل مشابهة للنساء والرجال</w:t>
      </w:r>
      <w:r>
        <w:rPr>
          <w:rFonts w:hint="cs"/>
          <w:rtl/>
        </w:rPr>
        <w:t>؛</w:t>
      </w:r>
      <w:r w:rsidRPr="007D7079">
        <w:rPr>
          <w:rFonts w:hint="cs"/>
          <w:rtl/>
        </w:rPr>
        <w:t xml:space="preserve"> لكي تكون هناك منافسة متساوية.</w:t>
      </w:r>
    </w:p>
    <w:p w:rsidR="006E0FDB" w:rsidRPr="007D7079" w:rsidRDefault="006E0FDB" w:rsidP="006E0FDB">
      <w:pPr>
        <w:pStyle w:val="ac"/>
        <w:rPr>
          <w:rtl/>
        </w:rPr>
      </w:pPr>
      <w:r w:rsidRPr="007D7079">
        <w:rPr>
          <w:rFonts w:hint="cs"/>
          <w:rtl/>
        </w:rPr>
        <w:t>لكن النسوية الليبرالية لا تُبدي اهتماما</w:t>
      </w:r>
      <w:r>
        <w:rPr>
          <w:rFonts w:hint="cs"/>
          <w:rtl/>
        </w:rPr>
        <w:t>ً</w:t>
      </w:r>
      <w:r w:rsidRPr="007D7079">
        <w:rPr>
          <w:rFonts w:hint="cs"/>
          <w:rtl/>
        </w:rPr>
        <w:t xml:space="preserve"> </w:t>
      </w:r>
      <w:r>
        <w:rPr>
          <w:rFonts w:hint="cs"/>
          <w:rtl/>
        </w:rPr>
        <w:t xml:space="preserve">بجعل </w:t>
      </w:r>
      <w:r w:rsidRPr="007D7079">
        <w:rPr>
          <w:rFonts w:hint="cs"/>
          <w:rtl/>
        </w:rPr>
        <w:t xml:space="preserve">العائلة والمجتمع الذكوري </w:t>
      </w:r>
      <w:r>
        <w:rPr>
          <w:rFonts w:hint="cs"/>
          <w:rtl/>
        </w:rPr>
        <w:t>المرأةَ ـ و</w:t>
      </w:r>
      <w:r w:rsidRPr="007D7079">
        <w:rPr>
          <w:rFonts w:hint="cs"/>
          <w:rtl/>
        </w:rPr>
        <w:t xml:space="preserve">منذ البداية </w:t>
      </w:r>
      <w:r>
        <w:rPr>
          <w:rFonts w:hint="cs"/>
          <w:rtl/>
        </w:rPr>
        <w:t xml:space="preserve">ـ </w:t>
      </w:r>
      <w:r w:rsidRPr="007D7079">
        <w:rPr>
          <w:rFonts w:hint="cs"/>
          <w:rtl/>
        </w:rPr>
        <w:t>في ظروف</w:t>
      </w:r>
      <w:r>
        <w:rPr>
          <w:rFonts w:hint="cs"/>
          <w:rtl/>
        </w:rPr>
        <w:t>ٍ</w:t>
      </w:r>
      <w:r w:rsidRPr="007D7079">
        <w:rPr>
          <w:rFonts w:hint="cs"/>
          <w:rtl/>
        </w:rPr>
        <w:t xml:space="preserve"> غير متساوية مع الرجل، و</w:t>
      </w:r>
      <w:r>
        <w:rPr>
          <w:rFonts w:hint="cs"/>
          <w:rtl/>
        </w:rPr>
        <w:t>أ</w:t>
      </w:r>
      <w:r w:rsidRPr="007D7079">
        <w:rPr>
          <w:rFonts w:hint="cs"/>
          <w:rtl/>
        </w:rPr>
        <w:t>ن</w:t>
      </w:r>
      <w:r>
        <w:rPr>
          <w:rFonts w:hint="cs"/>
          <w:rtl/>
        </w:rPr>
        <w:t>ّ</w:t>
      </w:r>
      <w:r w:rsidRPr="007D7079">
        <w:rPr>
          <w:rFonts w:hint="cs"/>
          <w:rtl/>
        </w:rPr>
        <w:t xml:space="preserve"> ادعاء المنافسة المتساوية في سا</w:t>
      </w:r>
      <w:r>
        <w:rPr>
          <w:rFonts w:hint="cs"/>
          <w:rtl/>
        </w:rPr>
        <w:t>حة العمل قد تخفي هذه اللامساواة،</w:t>
      </w:r>
      <w:r w:rsidRPr="007D7079">
        <w:rPr>
          <w:rFonts w:hint="cs"/>
          <w:rtl/>
        </w:rPr>
        <w:t xml:space="preserve"> </w:t>
      </w:r>
      <w:r>
        <w:rPr>
          <w:rFonts w:hint="cs"/>
          <w:rtl/>
        </w:rPr>
        <w:t xml:space="preserve">إضافةً إلى </w:t>
      </w:r>
      <w:r w:rsidRPr="007D7079">
        <w:rPr>
          <w:rFonts w:hint="cs"/>
          <w:rtl/>
        </w:rPr>
        <w:t>سكوت النسوية الليبرالية عن الب</w:t>
      </w:r>
      <w:r>
        <w:rPr>
          <w:rFonts w:hint="cs"/>
          <w:rtl/>
        </w:rPr>
        <w:t>ُ</w:t>
      </w:r>
      <w:r w:rsidRPr="007D7079">
        <w:rPr>
          <w:rFonts w:hint="cs"/>
          <w:rtl/>
        </w:rPr>
        <w:t xml:space="preserve">عد المرتبط </w:t>
      </w:r>
      <w:r w:rsidRPr="007D7079">
        <w:rPr>
          <w:rFonts w:hint="cs"/>
          <w:rtl/>
        </w:rPr>
        <w:lastRenderedPageBreak/>
        <w:t>بالظلم السائد في نظام سيادة الرجل</w:t>
      </w:r>
      <w:r>
        <w:rPr>
          <w:rFonts w:hint="cs"/>
          <w:rtl/>
        </w:rPr>
        <w:t>،</w:t>
      </w:r>
      <w:r w:rsidRPr="007D7079">
        <w:rPr>
          <w:rFonts w:hint="cs"/>
          <w:rtl/>
        </w:rPr>
        <w:t xml:space="preserve"> وهي بهذا تبعد مكانة الرجل في </w:t>
      </w:r>
      <w:r>
        <w:rPr>
          <w:rFonts w:hint="cs"/>
          <w:rtl/>
        </w:rPr>
        <w:t>الأسرة</w:t>
      </w:r>
      <w:r w:rsidRPr="007D7079">
        <w:rPr>
          <w:rFonts w:hint="cs"/>
          <w:rtl/>
        </w:rPr>
        <w:t xml:space="preserve"> عن </w:t>
      </w:r>
      <w:r>
        <w:rPr>
          <w:rFonts w:hint="cs"/>
          <w:rtl/>
        </w:rPr>
        <w:t>أ</w:t>
      </w:r>
      <w:r w:rsidRPr="007D7079">
        <w:rPr>
          <w:rFonts w:hint="cs"/>
          <w:rtl/>
        </w:rPr>
        <w:t>ن يكون محلا</w:t>
      </w:r>
      <w:r>
        <w:rPr>
          <w:rFonts w:hint="cs"/>
          <w:rtl/>
        </w:rPr>
        <w:t>ً</w:t>
      </w:r>
      <w:r w:rsidRPr="007D7079">
        <w:rPr>
          <w:rFonts w:hint="cs"/>
          <w:rtl/>
        </w:rPr>
        <w:t xml:space="preserve"> لعلامات الاستفهام</w:t>
      </w:r>
      <w:r>
        <w:rPr>
          <w:rFonts w:hint="cs"/>
          <w:rtl/>
        </w:rPr>
        <w:t>.</w:t>
      </w:r>
    </w:p>
    <w:p w:rsidR="006E0FDB" w:rsidRDefault="006E0FDB" w:rsidP="006E0FDB">
      <w:pPr>
        <w:pStyle w:val="ac"/>
        <w:rPr>
          <w:rtl/>
        </w:rPr>
      </w:pPr>
      <w:r w:rsidRPr="007D7079">
        <w:rPr>
          <w:rFonts w:hint="cs"/>
          <w:rtl/>
        </w:rPr>
        <w:t>إن الانتقاد الذي توج</w:t>
      </w:r>
      <w:r>
        <w:rPr>
          <w:rFonts w:hint="cs"/>
          <w:rtl/>
        </w:rPr>
        <w:t>ّ</w:t>
      </w:r>
      <w:r w:rsidRPr="007D7079">
        <w:rPr>
          <w:rFonts w:hint="cs"/>
          <w:rtl/>
        </w:rPr>
        <w:t>هه النسوي</w:t>
      </w:r>
      <w:r>
        <w:rPr>
          <w:rFonts w:hint="cs"/>
          <w:rtl/>
        </w:rPr>
        <w:t>تان:</w:t>
      </w:r>
      <w:r w:rsidRPr="007D7079">
        <w:rPr>
          <w:rFonts w:hint="cs"/>
          <w:rtl/>
        </w:rPr>
        <w:t xml:space="preserve"> الراديكالية والاشتراكية</w:t>
      </w:r>
      <w:r>
        <w:rPr>
          <w:rFonts w:hint="cs"/>
          <w:rtl/>
        </w:rPr>
        <w:t>،</w:t>
      </w:r>
      <w:r w:rsidRPr="007D7079">
        <w:rPr>
          <w:rFonts w:hint="cs"/>
          <w:rtl/>
        </w:rPr>
        <w:t xml:space="preserve"> للاستراتيجية التي تعتمدها النسوية الليبرالية يتمثل في أن</w:t>
      </w:r>
      <w:r>
        <w:rPr>
          <w:rFonts w:hint="cs"/>
          <w:rtl/>
        </w:rPr>
        <w:t>ّ</w:t>
      </w:r>
      <w:r w:rsidRPr="007D7079">
        <w:rPr>
          <w:rFonts w:hint="cs"/>
          <w:rtl/>
        </w:rPr>
        <w:t xml:space="preserve"> الأخيرة تحصر ظلم</w:t>
      </w:r>
      <w:r>
        <w:rPr>
          <w:rFonts w:hint="cs"/>
          <w:rtl/>
        </w:rPr>
        <w:t xml:space="preserve"> المرأة </w:t>
      </w:r>
      <w:r w:rsidRPr="007D7079">
        <w:rPr>
          <w:rFonts w:hint="cs"/>
          <w:rtl/>
        </w:rPr>
        <w:t>في اللامساوة في التعليم والعمل</w:t>
      </w:r>
      <w:r>
        <w:rPr>
          <w:rFonts w:hint="cs"/>
          <w:rtl/>
        </w:rPr>
        <w:t xml:space="preserve"> والأفكار والعادات؛</w:t>
      </w:r>
      <w:r w:rsidRPr="007D7079">
        <w:rPr>
          <w:rFonts w:hint="cs"/>
          <w:rtl/>
        </w:rPr>
        <w:t xml:space="preserve"> ونتيجة ذلك </w:t>
      </w:r>
      <w:r>
        <w:rPr>
          <w:rFonts w:hint="cs"/>
          <w:rtl/>
        </w:rPr>
        <w:t>بقاء</w:t>
      </w:r>
      <w:r w:rsidRPr="007D7079">
        <w:rPr>
          <w:rFonts w:hint="cs"/>
          <w:rtl/>
        </w:rPr>
        <w:t xml:space="preserve"> نظام اللامساواة وسيادة الرجل والرأسمالية على حالها</w:t>
      </w:r>
      <w:r w:rsidRPr="00815C4C">
        <w:rPr>
          <w:rFonts w:cs="Taher"/>
          <w:vertAlign w:val="superscript"/>
          <w:rtl/>
        </w:rPr>
        <w:t>(</w:t>
      </w:r>
      <w:r w:rsidRPr="00815C4C">
        <w:rPr>
          <w:rFonts w:cs="Taher"/>
          <w:vertAlign w:val="superscript"/>
        </w:rPr>
        <w:footnoteReference w:id="940"/>
      </w:r>
      <w:r w:rsidRPr="00815C4C">
        <w:rPr>
          <w:rFonts w:cs="Taher"/>
          <w:vertAlign w:val="superscript"/>
          <w:rtl/>
        </w:rPr>
        <w:t>)</w:t>
      </w:r>
      <w:r>
        <w:rPr>
          <w:rFonts w:hint="cs"/>
          <w:rtl/>
        </w:rPr>
        <w:t>،</w:t>
      </w:r>
      <w:r w:rsidRPr="007D7079">
        <w:rPr>
          <w:rFonts w:hint="cs"/>
          <w:rtl/>
        </w:rPr>
        <w:t xml:space="preserve"> إن</w:t>
      </w:r>
      <w:r>
        <w:rPr>
          <w:rFonts w:hint="cs"/>
          <w:rtl/>
        </w:rPr>
        <w:t>ّ</w:t>
      </w:r>
      <w:r w:rsidRPr="007D7079">
        <w:rPr>
          <w:rFonts w:hint="cs"/>
          <w:rtl/>
        </w:rPr>
        <w:t xml:space="preserve"> التساوي بين الرجل والمرأة لدى الاتجاه النسوي الليبرالي يستلزم تساوى</w:t>
      </w:r>
      <w:r>
        <w:rPr>
          <w:rFonts w:hint="cs"/>
          <w:rtl/>
        </w:rPr>
        <w:t xml:space="preserve"> المرأة </w:t>
      </w:r>
      <w:r w:rsidRPr="007D7079">
        <w:rPr>
          <w:rFonts w:hint="cs"/>
          <w:rtl/>
        </w:rPr>
        <w:t>مع الرجل في نطاق ما يقتضيه طبع الرجل</w:t>
      </w:r>
      <w:r w:rsidRPr="00815C4C">
        <w:rPr>
          <w:rFonts w:cs="Taher"/>
          <w:vertAlign w:val="superscript"/>
          <w:rtl/>
        </w:rPr>
        <w:t>(</w:t>
      </w:r>
      <w:r w:rsidRPr="00815C4C">
        <w:rPr>
          <w:rFonts w:cs="Taher"/>
          <w:vertAlign w:val="superscript"/>
        </w:rPr>
        <w:footnoteReference w:id="941"/>
      </w:r>
      <w:r w:rsidRPr="00815C4C">
        <w:rPr>
          <w:rFonts w:cs="Taher"/>
          <w:vertAlign w:val="superscript"/>
          <w:rtl/>
        </w:rPr>
        <w:t>)</w:t>
      </w:r>
      <w:r>
        <w:rPr>
          <w:rFonts w:hint="cs"/>
          <w:rtl/>
        </w:rPr>
        <w:t xml:space="preserve">، </w:t>
      </w:r>
      <w:r w:rsidRPr="007D7079">
        <w:rPr>
          <w:rFonts w:hint="cs"/>
          <w:rtl/>
        </w:rPr>
        <w:t>ول</w:t>
      </w:r>
      <w:r>
        <w:rPr>
          <w:rFonts w:hint="cs"/>
          <w:rtl/>
        </w:rPr>
        <w:t>ل</w:t>
      </w:r>
      <w:r w:rsidRPr="007D7079">
        <w:rPr>
          <w:rFonts w:hint="cs"/>
          <w:rtl/>
        </w:rPr>
        <w:t>وصول</w:t>
      </w:r>
      <w:r>
        <w:rPr>
          <w:rFonts w:hint="cs"/>
          <w:rtl/>
        </w:rPr>
        <w:t xml:space="preserve"> إلى </w:t>
      </w:r>
      <w:r w:rsidRPr="007D7079">
        <w:rPr>
          <w:rFonts w:hint="cs"/>
          <w:rtl/>
        </w:rPr>
        <w:t>ذلك</w:t>
      </w:r>
      <w:r>
        <w:rPr>
          <w:rFonts w:hint="cs"/>
          <w:rtl/>
        </w:rPr>
        <w:t xml:space="preserve">، لابدّ </w:t>
      </w:r>
      <w:r w:rsidRPr="007D7079">
        <w:rPr>
          <w:rFonts w:hint="cs"/>
          <w:rtl/>
        </w:rPr>
        <w:t>للمرأة من العمل بنحو</w:t>
      </w:r>
      <w:r>
        <w:rPr>
          <w:rFonts w:hint="cs"/>
          <w:rtl/>
        </w:rPr>
        <w:t>ٍ</w:t>
      </w:r>
      <w:r w:rsidRPr="007D7079">
        <w:rPr>
          <w:rFonts w:hint="cs"/>
          <w:rtl/>
        </w:rPr>
        <w:t xml:space="preserve"> يعدّها الرجل من طبقته</w:t>
      </w:r>
      <w:r>
        <w:rPr>
          <w:rFonts w:hint="cs"/>
          <w:rtl/>
        </w:rPr>
        <w:t>،</w:t>
      </w:r>
      <w:r w:rsidRPr="007D7079">
        <w:rPr>
          <w:rFonts w:hint="cs"/>
          <w:rtl/>
        </w:rPr>
        <w:t xml:space="preserve"> أي أن يتقب</w:t>
      </w:r>
      <w:r>
        <w:rPr>
          <w:rFonts w:hint="cs"/>
          <w:rtl/>
        </w:rPr>
        <w:t>ّ</w:t>
      </w:r>
      <w:r w:rsidRPr="007D7079">
        <w:rPr>
          <w:rFonts w:hint="cs"/>
          <w:rtl/>
        </w:rPr>
        <w:t xml:space="preserve">لها </w:t>
      </w:r>
      <w:r>
        <w:rPr>
          <w:rFonts w:hint="cs"/>
          <w:rtl/>
        </w:rPr>
        <w:t xml:space="preserve">بوصفها </w:t>
      </w:r>
      <w:r w:rsidRPr="007D7079">
        <w:rPr>
          <w:rFonts w:hint="cs"/>
          <w:rtl/>
        </w:rPr>
        <w:t>رجل</w:t>
      </w:r>
      <w:r>
        <w:rPr>
          <w:rFonts w:hint="cs"/>
          <w:rtl/>
        </w:rPr>
        <w:t>اً</w:t>
      </w:r>
      <w:r w:rsidRPr="007D7079">
        <w:rPr>
          <w:rFonts w:hint="cs"/>
          <w:rtl/>
        </w:rPr>
        <w:t xml:space="preserve"> فخري</w:t>
      </w:r>
      <w:r>
        <w:rPr>
          <w:rFonts w:hint="cs"/>
          <w:rtl/>
        </w:rPr>
        <w:t>ّاً</w:t>
      </w:r>
      <w:r w:rsidRPr="007D7079">
        <w:rPr>
          <w:rFonts w:hint="cs"/>
          <w:rtl/>
        </w:rPr>
        <w:t xml:space="preserve"> (</w:t>
      </w:r>
      <w:r w:rsidRPr="007D7079">
        <w:t>honorary me</w:t>
      </w:r>
      <w:r w:rsidRPr="007D7079">
        <w:rPr>
          <w:rFonts w:hint="cs"/>
          <w:rtl/>
        </w:rPr>
        <w:t>).</w:t>
      </w:r>
    </w:p>
    <w:p w:rsidR="006E0FDB" w:rsidRPr="007D7079" w:rsidRDefault="006E0FDB" w:rsidP="006E0FDB">
      <w:pPr>
        <w:pStyle w:val="ac"/>
        <w:rPr>
          <w:rtl/>
        </w:rPr>
      </w:pPr>
      <w:r w:rsidRPr="007D7079">
        <w:rPr>
          <w:rFonts w:hint="cs"/>
          <w:rtl/>
        </w:rPr>
        <w:t>والنتيجة أن</w:t>
      </w:r>
      <w:r>
        <w:rPr>
          <w:rFonts w:hint="cs"/>
          <w:rtl/>
        </w:rPr>
        <w:t>ّ</w:t>
      </w:r>
      <w:r w:rsidRPr="007D7079">
        <w:rPr>
          <w:rFonts w:hint="cs"/>
          <w:rtl/>
        </w:rPr>
        <w:t xml:space="preserve"> هذا النقد يرد على كل من يقوم بتضييق وحصر التساوي بين الجنسين بالتساوي في العمل، حيث تتحو</w:t>
      </w:r>
      <w:r>
        <w:rPr>
          <w:rFonts w:hint="cs"/>
          <w:rtl/>
        </w:rPr>
        <w:t>ّل النساء ـ في مدينة أ</w:t>
      </w:r>
      <w:r w:rsidRPr="007D7079">
        <w:rPr>
          <w:rFonts w:hint="cs"/>
          <w:rtl/>
        </w:rPr>
        <w:t>حلام هؤلاء</w:t>
      </w:r>
      <w:r>
        <w:rPr>
          <w:rFonts w:hint="cs"/>
          <w:rtl/>
        </w:rPr>
        <w:t xml:space="preserve"> ـ إلى </w:t>
      </w:r>
      <w:r w:rsidRPr="007D7079">
        <w:rPr>
          <w:rFonts w:hint="cs"/>
          <w:rtl/>
        </w:rPr>
        <w:t>رجال، وينلن مرتبة</w:t>
      </w:r>
      <w:r>
        <w:rPr>
          <w:rFonts w:hint="cs"/>
          <w:rtl/>
        </w:rPr>
        <w:t>ً</w:t>
      </w:r>
      <w:r w:rsidRPr="007D7079">
        <w:rPr>
          <w:rFonts w:hint="cs"/>
          <w:rtl/>
        </w:rPr>
        <w:t xml:space="preserve"> في أعين الرجال عندما يتبد</w:t>
      </w:r>
      <w:r>
        <w:rPr>
          <w:rFonts w:hint="cs"/>
          <w:rtl/>
        </w:rPr>
        <w:t>ّ</w:t>
      </w:r>
      <w:r w:rsidRPr="007D7079">
        <w:rPr>
          <w:rFonts w:hint="cs"/>
          <w:rtl/>
        </w:rPr>
        <w:t>لن</w:t>
      </w:r>
      <w:r>
        <w:rPr>
          <w:rFonts w:hint="cs"/>
          <w:rtl/>
        </w:rPr>
        <w:t xml:space="preserve"> إلى </w:t>
      </w:r>
      <w:r w:rsidRPr="007D7079">
        <w:rPr>
          <w:rFonts w:hint="cs"/>
          <w:rtl/>
        </w:rPr>
        <w:t>رجال فخري</w:t>
      </w:r>
      <w:r>
        <w:rPr>
          <w:rFonts w:hint="cs"/>
          <w:rtl/>
        </w:rPr>
        <w:t>ّين،</w:t>
      </w:r>
      <w:r w:rsidRPr="007D7079">
        <w:rPr>
          <w:rFonts w:hint="cs"/>
          <w:rtl/>
        </w:rPr>
        <w:t xml:space="preserve"> وفي مثل هذا النظام</w:t>
      </w:r>
      <w:r>
        <w:rPr>
          <w:rFonts w:hint="cs"/>
          <w:rtl/>
        </w:rPr>
        <w:t xml:space="preserve"> يلزم ا</w:t>
      </w:r>
      <w:r w:rsidRPr="007D7079">
        <w:rPr>
          <w:rFonts w:hint="cs"/>
          <w:rtl/>
        </w:rPr>
        <w:t xml:space="preserve">لنساء </w:t>
      </w:r>
      <w:r>
        <w:rPr>
          <w:rFonts w:hint="cs"/>
          <w:rtl/>
        </w:rPr>
        <w:t xml:space="preserve">ـ بهدف </w:t>
      </w:r>
      <w:r w:rsidRPr="007D7079">
        <w:rPr>
          <w:rFonts w:hint="cs"/>
          <w:rtl/>
        </w:rPr>
        <w:t>إظهار تساويهن</w:t>
      </w:r>
      <w:r>
        <w:rPr>
          <w:rFonts w:hint="cs"/>
          <w:rtl/>
        </w:rPr>
        <w:t>ّ</w:t>
      </w:r>
      <w:r w:rsidRPr="007D7079">
        <w:rPr>
          <w:rFonts w:hint="cs"/>
          <w:rtl/>
        </w:rPr>
        <w:t xml:space="preserve"> مع الرجال </w:t>
      </w:r>
      <w:r>
        <w:rPr>
          <w:rFonts w:hint="cs"/>
          <w:rtl/>
        </w:rPr>
        <w:t xml:space="preserve">ـ </w:t>
      </w:r>
      <w:r w:rsidRPr="007D7079">
        <w:rPr>
          <w:rFonts w:hint="cs"/>
          <w:rtl/>
        </w:rPr>
        <w:t>ارتداء ثياب تكون في نظر الرجال رسمية</w:t>
      </w:r>
      <w:r>
        <w:rPr>
          <w:rFonts w:hint="cs"/>
          <w:rtl/>
        </w:rPr>
        <w:t>ً</w:t>
      </w:r>
      <w:r w:rsidRPr="007D7079">
        <w:rPr>
          <w:rFonts w:hint="cs"/>
          <w:rtl/>
        </w:rPr>
        <w:t>، كما</w:t>
      </w:r>
      <w:r>
        <w:rPr>
          <w:rFonts w:hint="cs"/>
          <w:rtl/>
        </w:rPr>
        <w:t xml:space="preserve"> يلزمهنّ</w:t>
      </w:r>
      <w:r w:rsidRPr="007D7079">
        <w:rPr>
          <w:rFonts w:hint="cs"/>
          <w:rtl/>
        </w:rPr>
        <w:t xml:space="preserve"> اعتماد أسلوب في التعاطي ي</w:t>
      </w:r>
      <w:r>
        <w:rPr>
          <w:rFonts w:hint="cs"/>
          <w:rtl/>
        </w:rPr>
        <w:t>راه</w:t>
      </w:r>
      <w:r w:rsidRPr="007D7079">
        <w:rPr>
          <w:rFonts w:hint="cs"/>
          <w:rtl/>
        </w:rPr>
        <w:t xml:space="preserve"> الرجال أسلوب</w:t>
      </w:r>
      <w:r>
        <w:rPr>
          <w:rFonts w:hint="cs"/>
          <w:rtl/>
        </w:rPr>
        <w:t>اً</w:t>
      </w:r>
      <w:r w:rsidRPr="007D7079">
        <w:rPr>
          <w:rFonts w:hint="cs"/>
          <w:rtl/>
        </w:rPr>
        <w:t xml:space="preserve"> رسمي</w:t>
      </w:r>
      <w:r>
        <w:rPr>
          <w:rFonts w:hint="cs"/>
          <w:rtl/>
        </w:rPr>
        <w:t>ّاً</w:t>
      </w:r>
      <w:r w:rsidRPr="007D7079">
        <w:rPr>
          <w:rFonts w:hint="cs"/>
          <w:rtl/>
        </w:rPr>
        <w:t>، وكذلك الحال على مستوى الأفكار</w:t>
      </w:r>
      <w:r>
        <w:rPr>
          <w:rFonts w:hint="cs"/>
          <w:rtl/>
        </w:rPr>
        <w:t>، فلا</w:t>
      </w:r>
      <w:r w:rsidRPr="007D7079">
        <w:rPr>
          <w:rFonts w:hint="cs"/>
          <w:rtl/>
        </w:rPr>
        <w:t>بدّ أن تكون أفكارهن</w:t>
      </w:r>
      <w:r>
        <w:rPr>
          <w:rFonts w:hint="cs"/>
          <w:rtl/>
        </w:rPr>
        <w:t>ّ</w:t>
      </w:r>
      <w:r w:rsidRPr="007D7079">
        <w:rPr>
          <w:rFonts w:hint="cs"/>
          <w:rtl/>
        </w:rPr>
        <w:t xml:space="preserve"> بالنحو الذي ير</w:t>
      </w:r>
      <w:r>
        <w:rPr>
          <w:rFonts w:hint="cs"/>
          <w:rtl/>
        </w:rPr>
        <w:t>اها</w:t>
      </w:r>
      <w:r w:rsidRPr="007D7079">
        <w:rPr>
          <w:rFonts w:hint="cs"/>
          <w:rtl/>
        </w:rPr>
        <w:t xml:space="preserve"> الرجال منطقي</w:t>
      </w:r>
      <w:r>
        <w:rPr>
          <w:rFonts w:hint="cs"/>
          <w:rtl/>
        </w:rPr>
        <w:t>ّةً</w:t>
      </w:r>
      <w:r w:rsidRPr="007D7079">
        <w:rPr>
          <w:rFonts w:hint="cs"/>
          <w:rtl/>
        </w:rPr>
        <w:t xml:space="preserve"> وعملي</w:t>
      </w:r>
      <w:r>
        <w:rPr>
          <w:rFonts w:hint="cs"/>
          <w:rtl/>
        </w:rPr>
        <w:t>ّة.</w:t>
      </w:r>
    </w:p>
    <w:p w:rsidR="006E0FDB" w:rsidRPr="007D7079" w:rsidRDefault="006E0FDB" w:rsidP="006E0FDB">
      <w:pPr>
        <w:pStyle w:val="ac"/>
        <w:rPr>
          <w:rtl/>
        </w:rPr>
      </w:pPr>
      <w:r w:rsidRPr="007D7079">
        <w:rPr>
          <w:rFonts w:hint="cs"/>
          <w:rtl/>
        </w:rPr>
        <w:t>و</w:t>
      </w:r>
      <w:r>
        <w:rPr>
          <w:rFonts w:hint="cs"/>
          <w:rtl/>
        </w:rPr>
        <w:t>يفترق ما</w:t>
      </w:r>
      <w:r w:rsidRPr="007D7079">
        <w:rPr>
          <w:rFonts w:hint="cs"/>
          <w:rtl/>
        </w:rPr>
        <w:t xml:space="preserve"> ذكرناه كثيرا</w:t>
      </w:r>
      <w:r>
        <w:rPr>
          <w:rFonts w:hint="cs"/>
          <w:rtl/>
        </w:rPr>
        <w:t>ً</w:t>
      </w:r>
      <w:r w:rsidRPr="007D7079">
        <w:rPr>
          <w:rFonts w:hint="cs"/>
          <w:rtl/>
        </w:rPr>
        <w:t xml:space="preserve"> عن </w:t>
      </w:r>
      <w:r>
        <w:rPr>
          <w:rFonts w:hint="cs"/>
          <w:rtl/>
        </w:rPr>
        <w:t xml:space="preserve">ادّعاء إرادة الحركة </w:t>
      </w:r>
      <w:r w:rsidRPr="007D7079">
        <w:rPr>
          <w:rFonts w:hint="cs"/>
          <w:rtl/>
        </w:rPr>
        <w:t>النسوية تبديل النساء</w:t>
      </w:r>
      <w:r>
        <w:rPr>
          <w:rFonts w:hint="cs"/>
          <w:rtl/>
        </w:rPr>
        <w:t xml:space="preserve"> إلى </w:t>
      </w:r>
      <w:r w:rsidRPr="007D7079">
        <w:rPr>
          <w:rFonts w:hint="cs"/>
          <w:rtl/>
        </w:rPr>
        <w:t>رجال</w:t>
      </w:r>
      <w:r>
        <w:rPr>
          <w:rFonts w:hint="cs"/>
          <w:rtl/>
        </w:rPr>
        <w:t xml:space="preserve"> أو </w:t>
      </w:r>
      <w:r w:rsidRPr="007D7079">
        <w:rPr>
          <w:rFonts w:hint="cs"/>
          <w:rtl/>
        </w:rPr>
        <w:t>أن يصبحن شبيهات ب</w:t>
      </w:r>
      <w:r>
        <w:rPr>
          <w:rFonts w:hint="cs"/>
          <w:rtl/>
        </w:rPr>
        <w:t>هم،</w:t>
      </w:r>
      <w:r w:rsidRPr="007D7079">
        <w:rPr>
          <w:rFonts w:hint="cs"/>
          <w:rtl/>
        </w:rPr>
        <w:t xml:space="preserve"> إن البحث عن تشابه النساء </w:t>
      </w:r>
      <w:r>
        <w:rPr>
          <w:rFonts w:hint="cs"/>
          <w:rtl/>
        </w:rPr>
        <w:t>و</w:t>
      </w:r>
      <w:r w:rsidRPr="007D7079">
        <w:rPr>
          <w:rFonts w:hint="cs"/>
          <w:rtl/>
        </w:rPr>
        <w:t>الرجال بالنحو الذي صوّرته</w:t>
      </w:r>
      <w:r>
        <w:rPr>
          <w:rFonts w:hint="cs"/>
          <w:rtl/>
        </w:rPr>
        <w:t xml:space="preserve"> د. </w:t>
      </w:r>
      <w:r w:rsidRPr="007D7079">
        <w:rPr>
          <w:rFonts w:hint="cs"/>
          <w:rtl/>
        </w:rPr>
        <w:t>مطيع في نقدها للنسوية، تتبن</w:t>
      </w:r>
      <w:r>
        <w:rPr>
          <w:rFonts w:hint="cs"/>
          <w:rtl/>
        </w:rPr>
        <w:t>ّ</w:t>
      </w:r>
      <w:r w:rsidRPr="007D7079">
        <w:rPr>
          <w:rFonts w:hint="cs"/>
          <w:rtl/>
        </w:rPr>
        <w:t xml:space="preserve">اه مجموعتان: الأولى </w:t>
      </w:r>
      <w:r>
        <w:rPr>
          <w:rFonts w:hint="cs"/>
          <w:rtl/>
        </w:rPr>
        <w:t xml:space="preserve">هي </w:t>
      </w:r>
      <w:r w:rsidRPr="007D7079">
        <w:rPr>
          <w:rFonts w:hint="cs"/>
          <w:rtl/>
        </w:rPr>
        <w:t xml:space="preserve">المجموعة التقليدية </w:t>
      </w:r>
      <w:r>
        <w:rPr>
          <w:rFonts w:hint="cs"/>
          <w:rtl/>
        </w:rPr>
        <w:t>التي ترى أ</w:t>
      </w:r>
      <w:r w:rsidRPr="007D7079">
        <w:rPr>
          <w:rFonts w:hint="cs"/>
          <w:rtl/>
        </w:rPr>
        <w:t>ن</w:t>
      </w:r>
      <w:r>
        <w:rPr>
          <w:rFonts w:hint="cs"/>
          <w:rtl/>
        </w:rPr>
        <w:t>ّ الأ</w:t>
      </w:r>
      <w:r w:rsidRPr="007D7079">
        <w:rPr>
          <w:rFonts w:hint="cs"/>
          <w:rtl/>
        </w:rPr>
        <w:t>فضل للنساء البقاء في بيوتهن</w:t>
      </w:r>
      <w:r>
        <w:rPr>
          <w:rFonts w:hint="cs"/>
          <w:rtl/>
        </w:rPr>
        <w:t>ّ والقيام بالأ</w:t>
      </w:r>
      <w:r w:rsidRPr="007D7079">
        <w:rPr>
          <w:rFonts w:hint="cs"/>
          <w:rtl/>
        </w:rPr>
        <w:t>عمال الخاص</w:t>
      </w:r>
      <w:r>
        <w:rPr>
          <w:rFonts w:hint="cs"/>
          <w:rtl/>
        </w:rPr>
        <w:t>ّ</w:t>
      </w:r>
      <w:r w:rsidRPr="007D7079">
        <w:rPr>
          <w:rFonts w:hint="cs"/>
          <w:rtl/>
        </w:rPr>
        <w:t>ة بهن</w:t>
      </w:r>
      <w:r>
        <w:rPr>
          <w:rFonts w:hint="cs"/>
          <w:rtl/>
        </w:rPr>
        <w:t>ّ؛</w:t>
      </w:r>
      <w:r w:rsidRPr="007D7079">
        <w:rPr>
          <w:rFonts w:hint="cs"/>
          <w:rtl/>
        </w:rPr>
        <w:t xml:space="preserve"> كي لا تضيع منهن</w:t>
      </w:r>
      <w:r>
        <w:rPr>
          <w:rFonts w:hint="cs"/>
          <w:rtl/>
        </w:rPr>
        <w:t xml:space="preserve">ّ </w:t>
      </w:r>
      <w:r>
        <w:rPr>
          <w:rFonts w:hint="cs"/>
          <w:rtl/>
        </w:rPr>
        <w:lastRenderedPageBreak/>
        <w:t>أصالتهن وأنوثتهن،</w:t>
      </w:r>
      <w:r w:rsidRPr="007D7079">
        <w:rPr>
          <w:rFonts w:hint="cs"/>
          <w:rtl/>
        </w:rPr>
        <w:t xml:space="preserve"> والمجموعة ال</w:t>
      </w:r>
      <w:r>
        <w:rPr>
          <w:rFonts w:hint="cs"/>
          <w:rtl/>
        </w:rPr>
        <w:t>أخرى</w:t>
      </w:r>
      <w:r w:rsidRPr="007D7079">
        <w:rPr>
          <w:rFonts w:hint="cs"/>
          <w:rtl/>
        </w:rPr>
        <w:t xml:space="preserve"> </w:t>
      </w:r>
      <w:r>
        <w:rPr>
          <w:rFonts w:hint="cs"/>
          <w:rtl/>
        </w:rPr>
        <w:t>تتمثل في بعض أ</w:t>
      </w:r>
      <w:r w:rsidRPr="007D7079">
        <w:rPr>
          <w:rFonts w:hint="cs"/>
          <w:rtl/>
        </w:rPr>
        <w:t xml:space="preserve">تباع النسوية </w:t>
      </w:r>
      <w:r>
        <w:rPr>
          <w:rFonts w:hint="cs"/>
          <w:rtl/>
        </w:rPr>
        <w:t xml:space="preserve">ممّن </w:t>
      </w:r>
      <w:r w:rsidRPr="007D7079">
        <w:rPr>
          <w:rFonts w:hint="cs"/>
          <w:rtl/>
        </w:rPr>
        <w:t>يتهج</w:t>
      </w:r>
      <w:r>
        <w:rPr>
          <w:rFonts w:hint="cs"/>
          <w:rtl/>
        </w:rPr>
        <w:t>ّ</w:t>
      </w:r>
      <w:r w:rsidRPr="007D7079">
        <w:rPr>
          <w:rFonts w:hint="cs"/>
          <w:rtl/>
        </w:rPr>
        <w:t xml:space="preserve">م على النسوية </w:t>
      </w:r>
      <w:r>
        <w:rPr>
          <w:rFonts w:hint="cs"/>
          <w:rtl/>
        </w:rPr>
        <w:t>نفسها، ف</w:t>
      </w:r>
      <w:r w:rsidRPr="007D7079">
        <w:rPr>
          <w:rFonts w:hint="cs"/>
          <w:rtl/>
        </w:rPr>
        <w:t>يعتقد بأنه لا ينبغي الوصول ب</w:t>
      </w:r>
      <w:r>
        <w:rPr>
          <w:rFonts w:hint="cs"/>
          <w:rtl/>
        </w:rPr>
        <w:t xml:space="preserve">ها إلى </w:t>
      </w:r>
      <w:r w:rsidRPr="007D7079">
        <w:rPr>
          <w:rFonts w:hint="cs"/>
          <w:rtl/>
        </w:rPr>
        <w:t>حد</w:t>
      </w:r>
      <w:r>
        <w:rPr>
          <w:rFonts w:hint="cs"/>
          <w:rtl/>
        </w:rPr>
        <w:t>ّ مفرط،</w:t>
      </w:r>
      <w:r w:rsidRPr="007D7079">
        <w:rPr>
          <w:rFonts w:hint="cs"/>
          <w:rtl/>
        </w:rPr>
        <w:t xml:space="preserve"> وهذه المجموعة الثانية هي التي يطلق عليها </w:t>
      </w:r>
      <w:r>
        <w:rPr>
          <w:rFonts w:hint="cs"/>
          <w:rtl/>
        </w:rPr>
        <w:t>التعبير الساخر:</w:t>
      </w:r>
      <w:r w:rsidRPr="007D7079">
        <w:rPr>
          <w:rFonts w:hint="cs"/>
          <w:rtl/>
        </w:rPr>
        <w:t xml:space="preserve"> (نسويات ضد النسوية)، وتسعى هذه النسويات </w:t>
      </w:r>
      <w:r>
        <w:rPr>
          <w:rFonts w:hint="cs"/>
          <w:rtl/>
        </w:rPr>
        <w:t xml:space="preserve">ـ </w:t>
      </w:r>
      <w:r w:rsidRPr="007D7079">
        <w:rPr>
          <w:rFonts w:hint="cs"/>
          <w:rtl/>
        </w:rPr>
        <w:t xml:space="preserve">وتحت عنوان النسوية </w:t>
      </w:r>
      <w:r>
        <w:rPr>
          <w:rFonts w:hint="cs"/>
          <w:rtl/>
        </w:rPr>
        <w:t xml:space="preserve">ـ </w:t>
      </w:r>
      <w:r w:rsidRPr="007D7079">
        <w:rPr>
          <w:rFonts w:hint="cs"/>
          <w:rtl/>
        </w:rPr>
        <w:t>لتحديد الحركة النسائية بالنحو الذي لا تُشكّل فيه خطرا</w:t>
      </w:r>
      <w:r>
        <w:rPr>
          <w:rFonts w:hint="cs"/>
          <w:rtl/>
        </w:rPr>
        <w:t xml:space="preserve">ً على الرجال، </w:t>
      </w:r>
      <w:r w:rsidRPr="007D7079">
        <w:rPr>
          <w:rFonts w:hint="cs"/>
          <w:rtl/>
        </w:rPr>
        <w:t xml:space="preserve">وما أراه </w:t>
      </w:r>
      <w:r>
        <w:rPr>
          <w:rFonts w:hint="cs"/>
          <w:rtl/>
        </w:rPr>
        <w:t>أ</w:t>
      </w:r>
      <w:r w:rsidRPr="007D7079">
        <w:rPr>
          <w:rFonts w:hint="cs"/>
          <w:rtl/>
        </w:rPr>
        <w:t>ن</w:t>
      </w:r>
      <w:r>
        <w:rPr>
          <w:rFonts w:hint="cs"/>
          <w:rtl/>
        </w:rPr>
        <w:t>ّ</w:t>
      </w:r>
      <w:r w:rsidRPr="007D7079">
        <w:rPr>
          <w:rFonts w:hint="cs"/>
          <w:rtl/>
        </w:rPr>
        <w:t xml:space="preserve">ه ينبغي علينا </w:t>
      </w:r>
      <w:r>
        <w:rPr>
          <w:rFonts w:hint="cs"/>
          <w:rtl/>
        </w:rPr>
        <w:t>نقد ا</w:t>
      </w:r>
      <w:r w:rsidRPr="007D7079">
        <w:rPr>
          <w:rFonts w:hint="cs"/>
          <w:rtl/>
        </w:rPr>
        <w:t xml:space="preserve">لنسوية الغربية في إيران </w:t>
      </w:r>
      <w:r>
        <w:rPr>
          <w:rFonts w:hint="cs"/>
          <w:rtl/>
        </w:rPr>
        <w:t>وفق معايير</w:t>
      </w:r>
      <w:r w:rsidRPr="007D7079">
        <w:rPr>
          <w:rFonts w:hint="cs"/>
          <w:rtl/>
        </w:rPr>
        <w:t xml:space="preserve"> </w:t>
      </w:r>
      <w:r>
        <w:rPr>
          <w:rFonts w:hint="cs"/>
          <w:rtl/>
        </w:rPr>
        <w:t>أ</w:t>
      </w:r>
      <w:r w:rsidRPr="007D7079">
        <w:rPr>
          <w:rFonts w:hint="cs"/>
          <w:rtl/>
        </w:rPr>
        <w:t>كثر دق</w:t>
      </w:r>
      <w:r>
        <w:rPr>
          <w:rFonts w:hint="cs"/>
          <w:rtl/>
        </w:rPr>
        <w:t>ّةً.</w:t>
      </w:r>
    </w:p>
    <w:p w:rsidR="006E0FDB" w:rsidRPr="007D7079" w:rsidRDefault="006E0FDB" w:rsidP="006E0FDB">
      <w:pPr>
        <w:pStyle w:val="ac"/>
        <w:rPr>
          <w:rtl/>
        </w:rPr>
      </w:pPr>
      <w:r>
        <w:rPr>
          <w:rFonts w:hint="cs"/>
          <w:rtl/>
        </w:rPr>
        <w:t>و</w:t>
      </w:r>
      <w:r w:rsidRPr="007D7079">
        <w:rPr>
          <w:rFonts w:hint="cs"/>
          <w:rtl/>
        </w:rPr>
        <w:t>أهم</w:t>
      </w:r>
      <w:r>
        <w:rPr>
          <w:rFonts w:hint="cs"/>
          <w:rtl/>
        </w:rPr>
        <w:t>ّ</w:t>
      </w:r>
      <w:r w:rsidRPr="007D7079">
        <w:rPr>
          <w:rFonts w:hint="cs"/>
          <w:rtl/>
        </w:rPr>
        <w:t xml:space="preserve"> </w:t>
      </w:r>
      <w:r>
        <w:rPr>
          <w:rFonts w:hint="cs"/>
          <w:rtl/>
        </w:rPr>
        <w:t>مقولات</w:t>
      </w:r>
      <w:r w:rsidRPr="007D7079">
        <w:rPr>
          <w:rFonts w:hint="cs"/>
          <w:rtl/>
        </w:rPr>
        <w:t xml:space="preserve"> </w:t>
      </w:r>
      <w:r>
        <w:rPr>
          <w:rFonts w:hint="cs"/>
          <w:rtl/>
        </w:rPr>
        <w:t xml:space="preserve">الحركة </w:t>
      </w:r>
      <w:r w:rsidRPr="007D7079">
        <w:rPr>
          <w:rFonts w:hint="cs"/>
          <w:rtl/>
        </w:rPr>
        <w:t xml:space="preserve">النسوية </w:t>
      </w:r>
      <w:r>
        <w:rPr>
          <w:rFonts w:hint="cs"/>
          <w:rtl/>
        </w:rPr>
        <w:t xml:space="preserve">تحديد </w:t>
      </w:r>
      <w:r w:rsidRPr="007D7079">
        <w:rPr>
          <w:rFonts w:hint="cs"/>
          <w:rtl/>
        </w:rPr>
        <w:t xml:space="preserve">أدوار </w:t>
      </w:r>
      <w:r>
        <w:rPr>
          <w:rFonts w:hint="cs"/>
          <w:rtl/>
        </w:rPr>
        <w:t>ا</w:t>
      </w:r>
      <w:r w:rsidRPr="007D7079">
        <w:rPr>
          <w:rFonts w:hint="cs"/>
          <w:rtl/>
        </w:rPr>
        <w:t>لجنسين مسبق</w:t>
      </w:r>
      <w:r>
        <w:rPr>
          <w:rFonts w:hint="cs"/>
          <w:rtl/>
        </w:rPr>
        <w:t>اً</w:t>
      </w:r>
      <w:r w:rsidRPr="007D7079">
        <w:rPr>
          <w:rFonts w:hint="cs"/>
          <w:rtl/>
        </w:rPr>
        <w:t xml:space="preserve"> (</w:t>
      </w:r>
      <w:r w:rsidRPr="007D7079">
        <w:t>gender rolex \ sex roles</w:t>
      </w:r>
      <w:r>
        <w:rPr>
          <w:rFonts w:hint="cs"/>
          <w:rtl/>
        </w:rPr>
        <w:t>)،</w:t>
      </w:r>
      <w:r w:rsidRPr="007D7079">
        <w:rPr>
          <w:rFonts w:hint="cs"/>
          <w:rtl/>
        </w:rPr>
        <w:t xml:space="preserve"> </w:t>
      </w:r>
      <w:r>
        <w:rPr>
          <w:rFonts w:hint="cs"/>
          <w:rtl/>
        </w:rPr>
        <w:t>ف</w:t>
      </w:r>
      <w:r w:rsidRPr="007D7079">
        <w:rPr>
          <w:rFonts w:hint="cs"/>
          <w:rtl/>
        </w:rPr>
        <w:t>النظام الذي يعتمد سيادة</w:t>
      </w:r>
      <w:r>
        <w:rPr>
          <w:rFonts w:hint="cs"/>
          <w:rtl/>
        </w:rPr>
        <w:t>َ</w:t>
      </w:r>
      <w:r w:rsidRPr="007D7079">
        <w:rPr>
          <w:rFonts w:hint="cs"/>
          <w:rtl/>
        </w:rPr>
        <w:t xml:space="preserve"> الرجل يقوم بتحديد أدوار خاص</w:t>
      </w:r>
      <w:r>
        <w:rPr>
          <w:rFonts w:hint="cs"/>
          <w:rtl/>
        </w:rPr>
        <w:t>ّ</w:t>
      </w:r>
      <w:r w:rsidRPr="007D7079">
        <w:rPr>
          <w:rFonts w:hint="cs"/>
          <w:rtl/>
        </w:rPr>
        <w:t>ة لأفراد ال</w:t>
      </w:r>
      <w:r>
        <w:rPr>
          <w:rFonts w:hint="cs"/>
          <w:rtl/>
        </w:rPr>
        <w:t>إنسان</w:t>
      </w:r>
      <w:r w:rsidRPr="007D7079">
        <w:rPr>
          <w:rFonts w:hint="cs"/>
          <w:rtl/>
        </w:rPr>
        <w:t xml:space="preserve"> عن طريق </w:t>
      </w:r>
      <w:r>
        <w:rPr>
          <w:rFonts w:hint="cs"/>
          <w:rtl/>
        </w:rPr>
        <w:t>التنوع الجنسي،</w:t>
      </w:r>
      <w:r w:rsidRPr="007D7079">
        <w:rPr>
          <w:rFonts w:hint="cs"/>
          <w:rtl/>
        </w:rPr>
        <w:t xml:space="preserve"> لكن</w:t>
      </w:r>
      <w:r>
        <w:rPr>
          <w:rFonts w:hint="cs"/>
          <w:rtl/>
        </w:rPr>
        <w:t>ّ</w:t>
      </w:r>
      <w:r w:rsidRPr="007D7079">
        <w:rPr>
          <w:rFonts w:hint="cs"/>
          <w:rtl/>
        </w:rPr>
        <w:t xml:space="preserve"> إرجاع السبب في هذا الاختلاف </w:t>
      </w:r>
      <w:r>
        <w:rPr>
          <w:rFonts w:hint="cs"/>
          <w:rtl/>
        </w:rPr>
        <w:t xml:space="preserve">إلى التنوع الجنسي إرجاع خاطئ؛ لأنّ </w:t>
      </w:r>
      <w:r w:rsidRPr="007D7079">
        <w:rPr>
          <w:rFonts w:hint="cs"/>
          <w:rtl/>
        </w:rPr>
        <w:t>الجنس المتنو</w:t>
      </w:r>
      <w:r>
        <w:rPr>
          <w:rFonts w:hint="cs"/>
          <w:rtl/>
        </w:rPr>
        <w:t>ّ</w:t>
      </w:r>
      <w:r w:rsidRPr="007D7079">
        <w:rPr>
          <w:rFonts w:hint="cs"/>
          <w:rtl/>
        </w:rPr>
        <w:t>ع لا يرجع</w:t>
      </w:r>
      <w:r>
        <w:rPr>
          <w:rFonts w:hint="cs"/>
          <w:rtl/>
        </w:rPr>
        <w:t xml:space="preserve"> إلى </w:t>
      </w:r>
      <w:r w:rsidRPr="007D7079">
        <w:rPr>
          <w:rFonts w:hint="cs"/>
          <w:rtl/>
        </w:rPr>
        <w:t>هوية محد</w:t>
      </w:r>
      <w:r>
        <w:rPr>
          <w:rFonts w:hint="cs"/>
          <w:rtl/>
        </w:rPr>
        <w:t>ّ</w:t>
      </w:r>
      <w:r w:rsidRPr="007D7079">
        <w:rPr>
          <w:rFonts w:hint="cs"/>
          <w:rtl/>
        </w:rPr>
        <w:t>دة مسبقا</w:t>
      </w:r>
      <w:r>
        <w:rPr>
          <w:rFonts w:hint="cs"/>
          <w:rtl/>
        </w:rPr>
        <w:t>ً</w:t>
      </w:r>
      <w:r w:rsidRPr="007D7079">
        <w:rPr>
          <w:rFonts w:hint="cs"/>
          <w:rtl/>
        </w:rPr>
        <w:t xml:space="preserve"> تكون (تطبيقية</w:t>
      </w:r>
      <w:r>
        <w:rPr>
          <w:rFonts w:hint="cs"/>
          <w:rtl/>
        </w:rPr>
        <w:t xml:space="preserve"> </w:t>
      </w:r>
      <w:r w:rsidRPr="007D7079">
        <w:rPr>
          <w:rFonts w:hint="cs"/>
          <w:rtl/>
        </w:rPr>
        <w:t>ـ مسرحية)</w:t>
      </w:r>
      <w:r>
        <w:rPr>
          <w:rFonts w:hint="cs"/>
          <w:rtl/>
        </w:rPr>
        <w:t>،</w:t>
      </w:r>
      <w:r w:rsidRPr="007D7079">
        <w:rPr>
          <w:rFonts w:hint="cs"/>
          <w:rtl/>
        </w:rPr>
        <w:t xml:space="preserve"> </w:t>
      </w:r>
      <w:r>
        <w:rPr>
          <w:rFonts w:hint="cs"/>
          <w:rtl/>
        </w:rPr>
        <w:t>ف</w:t>
      </w:r>
      <w:r w:rsidRPr="007D7079">
        <w:rPr>
          <w:rFonts w:hint="cs"/>
          <w:rtl/>
        </w:rPr>
        <w:t>ما يقوم به الرجل يصبح من أعمال</w:t>
      </w:r>
      <w:r>
        <w:rPr>
          <w:rFonts w:hint="cs"/>
          <w:rtl/>
        </w:rPr>
        <w:t>ه،</w:t>
      </w:r>
      <w:r w:rsidRPr="007D7079">
        <w:rPr>
          <w:rFonts w:hint="cs"/>
          <w:rtl/>
        </w:rPr>
        <w:t xml:space="preserve"> وكذ</w:t>
      </w:r>
      <w:r>
        <w:rPr>
          <w:rFonts w:hint="cs"/>
          <w:rtl/>
        </w:rPr>
        <w:t>ا</w:t>
      </w:r>
      <w:r w:rsidRPr="007D7079">
        <w:rPr>
          <w:rFonts w:hint="cs"/>
          <w:rtl/>
        </w:rPr>
        <w:t xml:space="preserve"> الحال </w:t>
      </w:r>
      <w:r>
        <w:rPr>
          <w:rFonts w:hint="cs"/>
          <w:rtl/>
        </w:rPr>
        <w:t>مع</w:t>
      </w:r>
      <w:r w:rsidRPr="007D7079">
        <w:rPr>
          <w:rFonts w:hint="cs"/>
          <w:rtl/>
        </w:rPr>
        <w:t xml:space="preserve"> النساء، </w:t>
      </w:r>
      <w:r>
        <w:rPr>
          <w:rFonts w:hint="cs"/>
          <w:rtl/>
        </w:rPr>
        <w:t xml:space="preserve">من هنا </w:t>
      </w:r>
      <w:r w:rsidRPr="007D7079">
        <w:rPr>
          <w:rFonts w:hint="cs"/>
          <w:rtl/>
        </w:rPr>
        <w:t>على الرجال التصر</w:t>
      </w:r>
      <w:r>
        <w:rPr>
          <w:rFonts w:hint="cs"/>
          <w:rtl/>
        </w:rPr>
        <w:t>ّ</w:t>
      </w:r>
      <w:r w:rsidRPr="007D7079">
        <w:rPr>
          <w:rFonts w:hint="cs"/>
          <w:rtl/>
        </w:rPr>
        <w:t xml:space="preserve">ف </w:t>
      </w:r>
      <w:r>
        <w:rPr>
          <w:rFonts w:hint="cs"/>
          <w:rtl/>
        </w:rPr>
        <w:t xml:space="preserve">بوصفهم </w:t>
      </w:r>
      <w:r w:rsidRPr="007D7079">
        <w:rPr>
          <w:rFonts w:hint="cs"/>
          <w:rtl/>
        </w:rPr>
        <w:t>رجال</w:t>
      </w:r>
      <w:r>
        <w:rPr>
          <w:rFonts w:hint="cs"/>
          <w:rtl/>
        </w:rPr>
        <w:t>،</w:t>
      </w:r>
      <w:r w:rsidRPr="007D7079">
        <w:rPr>
          <w:rFonts w:hint="cs"/>
          <w:rtl/>
        </w:rPr>
        <w:t xml:space="preserve"> وعلى النساء التصر</w:t>
      </w:r>
      <w:r>
        <w:rPr>
          <w:rFonts w:hint="cs"/>
          <w:rtl/>
        </w:rPr>
        <w:t>ّ</w:t>
      </w:r>
      <w:r w:rsidRPr="007D7079">
        <w:rPr>
          <w:rFonts w:hint="cs"/>
          <w:rtl/>
        </w:rPr>
        <w:t xml:space="preserve">ف </w:t>
      </w:r>
      <w:r>
        <w:rPr>
          <w:rFonts w:hint="cs"/>
          <w:rtl/>
        </w:rPr>
        <w:t>على الطريقة عينها، و</w:t>
      </w:r>
      <w:r w:rsidRPr="007D7079">
        <w:rPr>
          <w:rFonts w:hint="cs"/>
          <w:rtl/>
        </w:rPr>
        <w:t>السرّ وراء بقاء الاختلاف الجنسي إنما هو احتفاظ الجنس المتنو</w:t>
      </w:r>
      <w:r>
        <w:rPr>
          <w:rFonts w:hint="cs"/>
          <w:rtl/>
        </w:rPr>
        <w:t>ّ</w:t>
      </w:r>
      <w:r w:rsidRPr="007D7079">
        <w:rPr>
          <w:rFonts w:hint="cs"/>
          <w:rtl/>
        </w:rPr>
        <w:t xml:space="preserve">ع </w:t>
      </w:r>
      <w:r>
        <w:rPr>
          <w:rFonts w:hint="cs"/>
          <w:rtl/>
        </w:rPr>
        <w:t>باستمرار</w:t>
      </w:r>
      <w:r w:rsidRPr="007D7079">
        <w:rPr>
          <w:rFonts w:hint="cs"/>
          <w:rtl/>
        </w:rPr>
        <w:t xml:space="preserve"> بالتلب</w:t>
      </w:r>
      <w:r>
        <w:rPr>
          <w:rFonts w:hint="cs"/>
          <w:rtl/>
        </w:rPr>
        <w:t>ّ</w:t>
      </w:r>
      <w:r w:rsidRPr="007D7079">
        <w:rPr>
          <w:rFonts w:hint="cs"/>
          <w:rtl/>
        </w:rPr>
        <w:t>س بخصوصية (تطبيقية</w:t>
      </w:r>
      <w:r>
        <w:rPr>
          <w:rFonts w:hint="cs"/>
          <w:rtl/>
        </w:rPr>
        <w:t xml:space="preserve"> </w:t>
      </w:r>
      <w:r w:rsidRPr="007D7079">
        <w:rPr>
          <w:rFonts w:hint="cs"/>
          <w:rtl/>
        </w:rPr>
        <w:t>ـ مسرحية) لكي يتمظه</w:t>
      </w:r>
      <w:r>
        <w:rPr>
          <w:rFonts w:hint="cs"/>
          <w:rtl/>
        </w:rPr>
        <w:t>ر الاختلاف الجنسي بشكله الطبيعي،</w:t>
      </w:r>
      <w:r w:rsidRPr="007D7079">
        <w:rPr>
          <w:rFonts w:hint="cs"/>
          <w:rtl/>
        </w:rPr>
        <w:t xml:space="preserve"> فما نقوم به </w:t>
      </w:r>
      <w:r>
        <w:rPr>
          <w:rFonts w:hint="cs"/>
          <w:rtl/>
        </w:rPr>
        <w:t xml:space="preserve">هو </w:t>
      </w:r>
      <w:r w:rsidRPr="007D7079">
        <w:rPr>
          <w:rFonts w:hint="cs"/>
          <w:rtl/>
        </w:rPr>
        <w:t>عملية تصنيف</w:t>
      </w:r>
      <w:r>
        <w:rPr>
          <w:rFonts w:hint="cs"/>
          <w:rtl/>
        </w:rPr>
        <w:t xml:space="preserve"> إلى </w:t>
      </w:r>
      <w:r w:rsidRPr="007D7079">
        <w:rPr>
          <w:rFonts w:hint="cs"/>
          <w:rtl/>
        </w:rPr>
        <w:t>طبقات وبناء قوالب لذلك</w:t>
      </w:r>
      <w:r>
        <w:rPr>
          <w:rFonts w:hint="cs"/>
          <w:rtl/>
        </w:rPr>
        <w:t>،</w:t>
      </w:r>
      <w:r w:rsidRPr="007D7079">
        <w:rPr>
          <w:rFonts w:hint="cs"/>
          <w:rtl/>
        </w:rPr>
        <w:t xml:space="preserve"> ثم </w:t>
      </w:r>
      <w:r>
        <w:rPr>
          <w:rFonts w:hint="cs"/>
          <w:rtl/>
        </w:rPr>
        <w:t>محاولة</w:t>
      </w:r>
      <w:r w:rsidRPr="007D7079">
        <w:rPr>
          <w:rFonts w:hint="cs"/>
          <w:rtl/>
        </w:rPr>
        <w:t xml:space="preserve"> وضع ما يحصل في الخارج </w:t>
      </w:r>
      <w:r>
        <w:rPr>
          <w:rFonts w:hint="cs"/>
          <w:rtl/>
        </w:rPr>
        <w:t xml:space="preserve">ضمن </w:t>
      </w:r>
      <w:r w:rsidRPr="007D7079">
        <w:rPr>
          <w:rFonts w:hint="cs"/>
          <w:rtl/>
        </w:rPr>
        <w:t>تلك القوالب، ونرى في هذه القوالب صورة</w:t>
      </w:r>
      <w:r>
        <w:rPr>
          <w:rFonts w:hint="cs"/>
          <w:rtl/>
        </w:rPr>
        <w:t xml:space="preserve">ً للواقع، </w:t>
      </w:r>
      <w:r w:rsidRPr="007D7079">
        <w:rPr>
          <w:rFonts w:hint="cs"/>
          <w:rtl/>
        </w:rPr>
        <w:t xml:space="preserve">وبعبارة </w:t>
      </w:r>
      <w:r>
        <w:rPr>
          <w:rFonts w:hint="cs"/>
          <w:rtl/>
        </w:rPr>
        <w:t>أخرى،</w:t>
      </w:r>
      <w:r w:rsidRPr="007D7079">
        <w:rPr>
          <w:rFonts w:hint="cs"/>
          <w:rtl/>
        </w:rPr>
        <w:t xml:space="preserve"> الذكورية والأنثوية هوية محد</w:t>
      </w:r>
      <w:r>
        <w:rPr>
          <w:rFonts w:hint="cs"/>
          <w:rtl/>
        </w:rPr>
        <w:t>ّ</w:t>
      </w:r>
      <w:r w:rsidRPr="007D7079">
        <w:rPr>
          <w:rFonts w:hint="cs"/>
          <w:rtl/>
        </w:rPr>
        <w:t>دة مسبقا</w:t>
      </w:r>
      <w:r>
        <w:rPr>
          <w:rFonts w:hint="cs"/>
          <w:rtl/>
        </w:rPr>
        <w:t>ً</w:t>
      </w:r>
      <w:r w:rsidRPr="007D7079">
        <w:rPr>
          <w:rFonts w:hint="cs"/>
          <w:rtl/>
        </w:rPr>
        <w:t xml:space="preserve"> </w:t>
      </w:r>
      <w:r>
        <w:rPr>
          <w:rFonts w:hint="cs"/>
          <w:rtl/>
        </w:rPr>
        <w:t xml:space="preserve">هنا </w:t>
      </w:r>
      <w:r w:rsidRPr="007D7079">
        <w:rPr>
          <w:rFonts w:hint="cs"/>
          <w:rtl/>
        </w:rPr>
        <w:t>تتبلور في المجتمع الذي يتقب</w:t>
      </w:r>
      <w:r>
        <w:rPr>
          <w:rFonts w:hint="cs"/>
          <w:rtl/>
        </w:rPr>
        <w:t>ّ</w:t>
      </w:r>
      <w:r w:rsidRPr="007D7079">
        <w:rPr>
          <w:rFonts w:hint="cs"/>
          <w:rtl/>
        </w:rPr>
        <w:t>ل اختلاف الجنسين.</w:t>
      </w:r>
    </w:p>
    <w:p w:rsidR="006E0FDB" w:rsidRDefault="006E0FDB" w:rsidP="006E0FDB">
      <w:pPr>
        <w:pStyle w:val="ac"/>
        <w:rPr>
          <w:rtl/>
        </w:rPr>
      </w:pPr>
      <w:r w:rsidRPr="007D7079">
        <w:rPr>
          <w:rFonts w:hint="cs"/>
          <w:rtl/>
        </w:rPr>
        <w:t>لقد تبد</w:t>
      </w:r>
      <w:r>
        <w:rPr>
          <w:rFonts w:hint="cs"/>
          <w:rtl/>
        </w:rPr>
        <w:t>ّ</w:t>
      </w:r>
      <w:r w:rsidRPr="007D7079">
        <w:rPr>
          <w:rFonts w:hint="cs"/>
          <w:rtl/>
        </w:rPr>
        <w:t>لت الصورة في إيران بعد انتصار الثورة ال</w:t>
      </w:r>
      <w:r>
        <w:rPr>
          <w:rFonts w:hint="cs"/>
          <w:rtl/>
        </w:rPr>
        <w:t>إسلام</w:t>
      </w:r>
      <w:r w:rsidRPr="007D7079">
        <w:rPr>
          <w:rFonts w:hint="cs"/>
          <w:rtl/>
        </w:rPr>
        <w:t>ية</w:t>
      </w:r>
      <w:r>
        <w:rPr>
          <w:rFonts w:hint="cs"/>
          <w:rtl/>
        </w:rPr>
        <w:t>؛</w:t>
      </w:r>
      <w:r w:rsidRPr="007D7079">
        <w:rPr>
          <w:rFonts w:hint="cs"/>
          <w:rtl/>
        </w:rPr>
        <w:t xml:space="preserve"> حيث </w:t>
      </w:r>
      <w:r>
        <w:rPr>
          <w:rFonts w:hint="cs"/>
          <w:rtl/>
        </w:rPr>
        <w:t xml:space="preserve">تطالع </w:t>
      </w:r>
      <w:r w:rsidRPr="007D7079">
        <w:rPr>
          <w:rFonts w:hint="cs"/>
          <w:rtl/>
        </w:rPr>
        <w:t>حياة</w:t>
      </w:r>
      <w:r>
        <w:rPr>
          <w:rFonts w:hint="cs"/>
          <w:rtl/>
        </w:rPr>
        <w:t xml:space="preserve"> المرأة بوصفها </w:t>
      </w:r>
      <w:r w:rsidRPr="007D7079">
        <w:rPr>
          <w:rFonts w:hint="cs"/>
          <w:rtl/>
        </w:rPr>
        <w:t xml:space="preserve">ظاهرة ثقافية ـ </w:t>
      </w:r>
      <w:r>
        <w:rPr>
          <w:rFonts w:hint="cs"/>
          <w:rtl/>
        </w:rPr>
        <w:t>اجتماع</w:t>
      </w:r>
      <w:r w:rsidRPr="007D7079">
        <w:rPr>
          <w:rFonts w:hint="cs"/>
          <w:rtl/>
        </w:rPr>
        <w:t>ية، و</w:t>
      </w:r>
      <w:r>
        <w:rPr>
          <w:rFonts w:hint="cs"/>
          <w:rtl/>
        </w:rPr>
        <w:t xml:space="preserve">قد </w:t>
      </w:r>
      <w:r w:rsidRPr="007D7079">
        <w:rPr>
          <w:rFonts w:hint="cs"/>
          <w:rtl/>
        </w:rPr>
        <w:t>حلّ ذلك تدريجيا</w:t>
      </w:r>
      <w:r>
        <w:rPr>
          <w:rFonts w:hint="cs"/>
          <w:rtl/>
        </w:rPr>
        <w:t>ً</w:t>
      </w:r>
      <w:r w:rsidRPr="007D7079">
        <w:rPr>
          <w:rFonts w:hint="cs"/>
          <w:rtl/>
        </w:rPr>
        <w:t xml:space="preserve"> محل</w:t>
      </w:r>
      <w:r>
        <w:rPr>
          <w:rFonts w:hint="cs"/>
          <w:rtl/>
        </w:rPr>
        <w:t>ّ</w:t>
      </w:r>
      <w:r w:rsidRPr="007D7079">
        <w:rPr>
          <w:rFonts w:hint="cs"/>
          <w:rtl/>
        </w:rPr>
        <w:t xml:space="preserve"> ال</w:t>
      </w:r>
      <w:r>
        <w:rPr>
          <w:rFonts w:hint="cs"/>
          <w:rtl/>
        </w:rPr>
        <w:t>آراء</w:t>
      </w:r>
      <w:r w:rsidRPr="007D7079">
        <w:rPr>
          <w:rFonts w:hint="cs"/>
          <w:rtl/>
        </w:rPr>
        <w:t xml:space="preserve"> التي كانت تقوم بتفسير حالة اللاتساوي بين الجنسين على </w:t>
      </w:r>
      <w:r>
        <w:rPr>
          <w:rFonts w:hint="cs"/>
          <w:rtl/>
        </w:rPr>
        <w:t>أساس</w:t>
      </w:r>
      <w:r w:rsidRPr="007D7079">
        <w:rPr>
          <w:rFonts w:hint="cs"/>
          <w:rtl/>
        </w:rPr>
        <w:t xml:space="preserve"> الاختلاف التكويني</w:t>
      </w:r>
      <w:r>
        <w:rPr>
          <w:rFonts w:hint="cs"/>
          <w:rtl/>
        </w:rPr>
        <w:t xml:space="preserve"> ـ الطبيعي،</w:t>
      </w:r>
      <w:r w:rsidRPr="007D7079">
        <w:rPr>
          <w:rFonts w:hint="cs"/>
          <w:rtl/>
        </w:rPr>
        <w:t xml:space="preserve"> </w:t>
      </w:r>
      <w:r>
        <w:rPr>
          <w:rFonts w:hint="cs"/>
          <w:rtl/>
        </w:rPr>
        <w:t>و</w:t>
      </w:r>
      <w:r w:rsidRPr="007D7079">
        <w:rPr>
          <w:rFonts w:hint="cs"/>
          <w:rtl/>
        </w:rPr>
        <w:t>قد كان هذا التغيير</w:t>
      </w:r>
      <w:r>
        <w:rPr>
          <w:rFonts w:hint="cs"/>
          <w:rtl/>
        </w:rPr>
        <w:t xml:space="preserve"> أحد</w:t>
      </w:r>
      <w:r w:rsidRPr="007D7079">
        <w:rPr>
          <w:rFonts w:hint="cs"/>
          <w:rtl/>
        </w:rPr>
        <w:t xml:space="preserve"> المعطيات </w:t>
      </w:r>
      <w:r>
        <w:rPr>
          <w:rFonts w:hint="cs"/>
          <w:rtl/>
        </w:rPr>
        <w:t>الرئيسة للفكر النسوي في إيران.</w:t>
      </w:r>
    </w:p>
    <w:p w:rsidR="006E0FDB" w:rsidRPr="007D7079" w:rsidRDefault="006E0FDB" w:rsidP="006E0FDB">
      <w:pPr>
        <w:pStyle w:val="ac"/>
        <w:rPr>
          <w:rtl/>
        </w:rPr>
      </w:pPr>
      <w:r w:rsidRPr="007D7079">
        <w:rPr>
          <w:rFonts w:hint="cs"/>
          <w:rtl/>
        </w:rPr>
        <w:t>ومع ذلك كل</w:t>
      </w:r>
      <w:r>
        <w:rPr>
          <w:rFonts w:hint="cs"/>
          <w:rtl/>
        </w:rPr>
        <w:t>ّ</w:t>
      </w:r>
      <w:r w:rsidRPr="007D7079">
        <w:rPr>
          <w:rFonts w:hint="cs"/>
          <w:rtl/>
        </w:rPr>
        <w:t>ه</w:t>
      </w:r>
      <w:r>
        <w:rPr>
          <w:rFonts w:hint="cs"/>
          <w:rtl/>
        </w:rPr>
        <w:t>،</w:t>
      </w:r>
      <w:r w:rsidRPr="007D7079">
        <w:rPr>
          <w:rFonts w:hint="cs"/>
          <w:rtl/>
        </w:rPr>
        <w:t xml:space="preserve"> فما أراه أن</w:t>
      </w:r>
      <w:r>
        <w:rPr>
          <w:rFonts w:hint="cs"/>
          <w:rtl/>
        </w:rPr>
        <w:t>ّ</w:t>
      </w:r>
      <w:r w:rsidRPr="007D7079">
        <w:rPr>
          <w:rFonts w:hint="cs"/>
          <w:rtl/>
        </w:rPr>
        <w:t xml:space="preserve"> التحليل الذي نملكه</w:t>
      </w:r>
      <w:r>
        <w:rPr>
          <w:rFonts w:hint="cs"/>
          <w:rtl/>
        </w:rPr>
        <w:t xml:space="preserve"> إلى </w:t>
      </w:r>
      <w:r w:rsidRPr="007D7079">
        <w:rPr>
          <w:rFonts w:hint="cs"/>
          <w:rtl/>
        </w:rPr>
        <w:t>الآن للتنو</w:t>
      </w:r>
      <w:r>
        <w:rPr>
          <w:rFonts w:hint="cs"/>
          <w:rtl/>
        </w:rPr>
        <w:t>ّ</w:t>
      </w:r>
      <w:r w:rsidRPr="007D7079">
        <w:rPr>
          <w:rFonts w:hint="cs"/>
          <w:rtl/>
        </w:rPr>
        <w:t>ع الجنسي ما زال خاضعا</w:t>
      </w:r>
      <w:r>
        <w:rPr>
          <w:rFonts w:hint="cs"/>
          <w:rtl/>
        </w:rPr>
        <w:t>ً</w:t>
      </w:r>
      <w:r w:rsidRPr="007D7079">
        <w:rPr>
          <w:rFonts w:hint="cs"/>
          <w:rtl/>
        </w:rPr>
        <w:t xml:space="preserve"> لإطار الاختلاف التكويني الذي يقدّم تبريرا</w:t>
      </w:r>
      <w:r>
        <w:rPr>
          <w:rFonts w:hint="cs"/>
          <w:rtl/>
        </w:rPr>
        <w:t>ً</w:t>
      </w:r>
      <w:r w:rsidRPr="007D7079">
        <w:rPr>
          <w:rFonts w:hint="cs"/>
          <w:rtl/>
        </w:rPr>
        <w:t xml:space="preserve"> جوهريا</w:t>
      </w:r>
      <w:r>
        <w:rPr>
          <w:rFonts w:hint="cs"/>
          <w:rtl/>
        </w:rPr>
        <w:t>ً</w:t>
      </w:r>
      <w:r w:rsidRPr="007D7079">
        <w:rPr>
          <w:rFonts w:hint="cs"/>
          <w:rtl/>
        </w:rPr>
        <w:t xml:space="preserve"> لفكرة التنو</w:t>
      </w:r>
      <w:r>
        <w:rPr>
          <w:rFonts w:hint="cs"/>
          <w:rtl/>
        </w:rPr>
        <w:t>ع الجنسي.</w:t>
      </w:r>
    </w:p>
    <w:p w:rsidR="006E0FDB" w:rsidRDefault="006E0FDB" w:rsidP="006E0FDB">
      <w:pPr>
        <w:pStyle w:val="ac"/>
        <w:rPr>
          <w:rtl/>
        </w:rPr>
      </w:pPr>
      <w:r>
        <w:rPr>
          <w:rFonts w:hint="cs"/>
          <w:rtl/>
        </w:rPr>
        <w:t xml:space="preserve">هذا، وقد طرحت د. </w:t>
      </w:r>
      <w:r w:rsidRPr="007D7079">
        <w:rPr>
          <w:rFonts w:hint="cs"/>
          <w:rtl/>
        </w:rPr>
        <w:t xml:space="preserve">مطيع </w:t>
      </w:r>
      <w:r>
        <w:rPr>
          <w:rFonts w:hint="cs"/>
          <w:rtl/>
        </w:rPr>
        <w:t xml:space="preserve">في </w:t>
      </w:r>
      <w:r w:rsidRPr="007D7079">
        <w:rPr>
          <w:rFonts w:hint="cs"/>
          <w:rtl/>
        </w:rPr>
        <w:t xml:space="preserve">مقالة </w:t>
      </w:r>
      <w:r>
        <w:rPr>
          <w:rFonts w:hint="cs"/>
          <w:rtl/>
        </w:rPr>
        <w:t>أخرى،</w:t>
      </w:r>
      <w:r w:rsidRPr="007D7079">
        <w:rPr>
          <w:rFonts w:hint="cs"/>
          <w:rtl/>
        </w:rPr>
        <w:t xml:space="preserve"> </w:t>
      </w:r>
      <w:r>
        <w:rPr>
          <w:rFonts w:hint="cs"/>
          <w:rtl/>
        </w:rPr>
        <w:t xml:space="preserve">حملت عنوان: </w:t>
      </w:r>
      <w:r w:rsidRPr="007D7079">
        <w:rPr>
          <w:rFonts w:hint="cs"/>
          <w:rtl/>
        </w:rPr>
        <w:t>المجتمع القابل للتنو</w:t>
      </w:r>
      <w:r>
        <w:rPr>
          <w:rFonts w:hint="cs"/>
          <w:rtl/>
        </w:rPr>
        <w:t xml:space="preserve">ّع </w:t>
      </w:r>
      <w:r>
        <w:rPr>
          <w:rFonts w:hint="cs"/>
          <w:rtl/>
        </w:rPr>
        <w:lastRenderedPageBreak/>
        <w:t>الجنسي، مانعٌ أمام التنمية،</w:t>
      </w:r>
      <w:r w:rsidRPr="007D7079">
        <w:rPr>
          <w:rFonts w:hint="cs"/>
          <w:rtl/>
        </w:rPr>
        <w:t xml:space="preserve"> النظام</w:t>
      </w:r>
      <w:r>
        <w:rPr>
          <w:rFonts w:hint="cs"/>
          <w:rtl/>
        </w:rPr>
        <w:t>َ المعتمد في مثل هذا المجتمع،</w:t>
      </w:r>
      <w:r w:rsidRPr="007D7079">
        <w:rPr>
          <w:rFonts w:hint="cs"/>
          <w:rtl/>
        </w:rPr>
        <w:t xml:space="preserve"> </w:t>
      </w:r>
      <w:r>
        <w:rPr>
          <w:rFonts w:hint="cs"/>
          <w:rtl/>
        </w:rPr>
        <w:t>و</w:t>
      </w:r>
      <w:r w:rsidRPr="007D7079">
        <w:rPr>
          <w:rFonts w:hint="cs"/>
          <w:rtl/>
        </w:rPr>
        <w:t xml:space="preserve">في مقالة </w:t>
      </w:r>
      <w:r>
        <w:rPr>
          <w:rFonts w:hint="cs"/>
          <w:rtl/>
        </w:rPr>
        <w:t xml:space="preserve">أخرى </w:t>
      </w:r>
      <w:r w:rsidRPr="007D7079">
        <w:rPr>
          <w:rFonts w:hint="cs"/>
          <w:rtl/>
        </w:rPr>
        <w:t>لها حول الضحي</w:t>
      </w:r>
      <w:r>
        <w:rPr>
          <w:rFonts w:hint="cs"/>
          <w:rtl/>
        </w:rPr>
        <w:t>ّ</w:t>
      </w:r>
      <w:r w:rsidRPr="007D7079">
        <w:rPr>
          <w:rFonts w:hint="cs"/>
          <w:rtl/>
        </w:rPr>
        <w:t>ة النسائية</w:t>
      </w:r>
      <w:r>
        <w:rPr>
          <w:rFonts w:hint="cs"/>
          <w:rtl/>
        </w:rPr>
        <w:t>،</w:t>
      </w:r>
      <w:r w:rsidRPr="007D7079">
        <w:rPr>
          <w:rFonts w:hint="cs"/>
          <w:rtl/>
        </w:rPr>
        <w:t xml:space="preserve"> </w:t>
      </w:r>
      <w:r>
        <w:rPr>
          <w:rFonts w:hint="cs"/>
          <w:rtl/>
        </w:rPr>
        <w:t xml:space="preserve">رأت </w:t>
      </w:r>
      <w:r w:rsidRPr="007D7079">
        <w:rPr>
          <w:rFonts w:hint="cs"/>
          <w:rtl/>
        </w:rPr>
        <w:t>أن</w:t>
      </w:r>
      <w:r>
        <w:rPr>
          <w:rFonts w:hint="cs"/>
          <w:rtl/>
        </w:rPr>
        <w:t>ّ</w:t>
      </w:r>
      <w:r w:rsidRPr="007D7079">
        <w:rPr>
          <w:rFonts w:hint="cs"/>
          <w:rtl/>
        </w:rPr>
        <w:t xml:space="preserve"> على الحركة النسوية </w:t>
      </w:r>
      <w:r>
        <w:rPr>
          <w:rFonts w:hint="cs"/>
          <w:rtl/>
        </w:rPr>
        <w:t>العمل</w:t>
      </w:r>
      <w:r w:rsidRPr="007D7079">
        <w:rPr>
          <w:rFonts w:hint="cs"/>
          <w:rtl/>
        </w:rPr>
        <w:t xml:space="preserve"> على تقارب الأدوار وإعطاء قيمة واحدة</w:t>
      </w:r>
      <w:r>
        <w:rPr>
          <w:rFonts w:hint="cs"/>
          <w:rtl/>
        </w:rPr>
        <w:t xml:space="preserve"> للوظائف المختلفة للرجل والمرأة،</w:t>
      </w:r>
      <w:r w:rsidRPr="007D7079">
        <w:rPr>
          <w:rFonts w:hint="cs"/>
          <w:rtl/>
        </w:rPr>
        <w:t xml:space="preserve"> </w:t>
      </w:r>
      <w:r>
        <w:rPr>
          <w:rFonts w:hint="cs"/>
          <w:rtl/>
        </w:rPr>
        <w:t>وعقدة البحث</w:t>
      </w:r>
      <w:r w:rsidRPr="007D7079">
        <w:rPr>
          <w:rFonts w:hint="cs"/>
          <w:rtl/>
        </w:rPr>
        <w:t xml:space="preserve"> هنا </w:t>
      </w:r>
      <w:r>
        <w:rPr>
          <w:rFonts w:hint="cs"/>
          <w:rtl/>
        </w:rPr>
        <w:t>أ</w:t>
      </w:r>
      <w:r w:rsidRPr="007D7079">
        <w:rPr>
          <w:rFonts w:hint="cs"/>
          <w:rtl/>
        </w:rPr>
        <w:t>ن</w:t>
      </w:r>
      <w:r>
        <w:rPr>
          <w:rFonts w:hint="cs"/>
          <w:rtl/>
        </w:rPr>
        <w:t>ّ</w:t>
      </w:r>
      <w:r w:rsidRPr="007D7079">
        <w:rPr>
          <w:rFonts w:hint="cs"/>
          <w:rtl/>
        </w:rPr>
        <w:t>نا إ</w:t>
      </w:r>
      <w:r>
        <w:rPr>
          <w:rFonts w:hint="cs"/>
          <w:rtl/>
        </w:rPr>
        <w:t>ذا</w:t>
      </w:r>
      <w:r w:rsidRPr="007D7079">
        <w:rPr>
          <w:rFonts w:hint="cs"/>
          <w:rtl/>
        </w:rPr>
        <w:t xml:space="preserve"> اعتبرنا التنو</w:t>
      </w:r>
      <w:r>
        <w:rPr>
          <w:rFonts w:hint="cs"/>
          <w:rtl/>
        </w:rPr>
        <w:t>ّ</w:t>
      </w:r>
      <w:r w:rsidRPr="007D7079">
        <w:rPr>
          <w:rFonts w:hint="cs"/>
          <w:rtl/>
        </w:rPr>
        <w:t>ع الجنسي ظاهرة</w:t>
      </w:r>
      <w:r>
        <w:rPr>
          <w:rFonts w:hint="cs"/>
          <w:rtl/>
        </w:rPr>
        <w:t>ً</w:t>
      </w:r>
      <w:r w:rsidRPr="007D7079">
        <w:rPr>
          <w:rFonts w:hint="cs"/>
          <w:rtl/>
        </w:rPr>
        <w:t xml:space="preserve"> تاريخية</w:t>
      </w:r>
      <w:r>
        <w:rPr>
          <w:rFonts w:hint="cs"/>
          <w:rtl/>
        </w:rPr>
        <w:t xml:space="preserve"> </w:t>
      </w:r>
      <w:r w:rsidRPr="007D7079">
        <w:rPr>
          <w:rFonts w:hint="cs"/>
          <w:rtl/>
        </w:rPr>
        <w:t>ـ ثقافية</w:t>
      </w:r>
      <w:r>
        <w:rPr>
          <w:rFonts w:hint="cs"/>
          <w:rtl/>
        </w:rPr>
        <w:t>،</w:t>
      </w:r>
      <w:r w:rsidRPr="007D7079">
        <w:rPr>
          <w:rFonts w:hint="cs"/>
          <w:rtl/>
        </w:rPr>
        <w:t xml:space="preserve"> فمن أين نشأ الاختلاف الوظ</w:t>
      </w:r>
      <w:r>
        <w:rPr>
          <w:rFonts w:hint="cs"/>
          <w:rtl/>
        </w:rPr>
        <w:t>يفي بين الرجل والمرأة؟</w:t>
      </w:r>
    </w:p>
    <w:p w:rsidR="006E0FDB" w:rsidRDefault="006E0FDB" w:rsidP="006E0FDB">
      <w:pPr>
        <w:pStyle w:val="ac"/>
        <w:rPr>
          <w:rtl/>
        </w:rPr>
      </w:pPr>
      <w:r>
        <w:rPr>
          <w:rFonts w:hint="cs"/>
          <w:rtl/>
        </w:rPr>
        <w:t xml:space="preserve">ولا </w:t>
      </w:r>
      <w:r w:rsidRPr="007D7079">
        <w:rPr>
          <w:rFonts w:hint="cs"/>
          <w:rtl/>
        </w:rPr>
        <w:t>يصح تصوّر</w:t>
      </w:r>
      <w:r>
        <w:rPr>
          <w:rFonts w:hint="cs"/>
          <w:rtl/>
        </w:rPr>
        <w:t xml:space="preserve"> ذلك</w:t>
      </w:r>
      <w:r w:rsidRPr="007D7079">
        <w:rPr>
          <w:rFonts w:hint="cs"/>
          <w:rtl/>
        </w:rPr>
        <w:t xml:space="preserve"> متى تمّ القبول بالقوالب المبنية مسبقا</w:t>
      </w:r>
      <w:r>
        <w:rPr>
          <w:rFonts w:hint="cs"/>
          <w:rtl/>
        </w:rPr>
        <w:t>ً</w:t>
      </w:r>
      <w:r w:rsidRPr="007D7079">
        <w:rPr>
          <w:rFonts w:hint="cs"/>
          <w:rtl/>
        </w:rPr>
        <w:t xml:space="preserve"> حت</w:t>
      </w:r>
      <w:r>
        <w:rPr>
          <w:rFonts w:hint="cs"/>
          <w:rtl/>
        </w:rPr>
        <w:t>ّ</w:t>
      </w:r>
      <w:r w:rsidRPr="007D7079">
        <w:rPr>
          <w:rFonts w:hint="cs"/>
          <w:rtl/>
        </w:rPr>
        <w:t>ى لو كنا نخالف ما هو موجود ف</w:t>
      </w:r>
      <w:r>
        <w:rPr>
          <w:rFonts w:hint="cs"/>
          <w:rtl/>
        </w:rPr>
        <w:t>ي هذه القوالب،</w:t>
      </w:r>
      <w:r w:rsidRPr="007D7079">
        <w:rPr>
          <w:rFonts w:hint="cs"/>
          <w:rtl/>
        </w:rPr>
        <w:t xml:space="preserve"> فالمضمون التقليدي غير مقبول</w:t>
      </w:r>
      <w:r>
        <w:rPr>
          <w:rFonts w:hint="cs"/>
          <w:rtl/>
        </w:rPr>
        <w:t>؛ لأ</w:t>
      </w:r>
      <w:r w:rsidRPr="007D7079">
        <w:rPr>
          <w:rFonts w:hint="cs"/>
          <w:rtl/>
        </w:rPr>
        <w:t>نه يأسر</w:t>
      </w:r>
      <w:r>
        <w:rPr>
          <w:rFonts w:hint="cs"/>
          <w:rtl/>
        </w:rPr>
        <w:t xml:space="preserve"> المرأة </w:t>
      </w:r>
      <w:r w:rsidRPr="007D7079">
        <w:rPr>
          <w:rFonts w:hint="cs"/>
          <w:rtl/>
        </w:rPr>
        <w:t xml:space="preserve">في </w:t>
      </w:r>
      <w:r>
        <w:rPr>
          <w:rFonts w:hint="cs"/>
          <w:rtl/>
        </w:rPr>
        <w:t>ضمنه</w:t>
      </w:r>
      <w:r w:rsidRPr="007D7079">
        <w:rPr>
          <w:rFonts w:hint="cs"/>
          <w:rtl/>
        </w:rPr>
        <w:t>، والمضمون الموجود في النسوية الغربية غير مقبول أيضا</w:t>
      </w:r>
      <w:r>
        <w:rPr>
          <w:rFonts w:hint="cs"/>
          <w:rtl/>
        </w:rPr>
        <w:t>ً؛ لأنه لا يتلاءم مع هذا القالب؛</w:t>
      </w:r>
      <w:r w:rsidRPr="007D7079">
        <w:rPr>
          <w:rFonts w:hint="cs"/>
          <w:rtl/>
        </w:rPr>
        <w:t xml:space="preserve"> وعلى هذا ال</w:t>
      </w:r>
      <w:r>
        <w:rPr>
          <w:rFonts w:hint="cs"/>
          <w:rtl/>
        </w:rPr>
        <w:t>أساس</w:t>
      </w:r>
      <w:r w:rsidRPr="007D7079">
        <w:rPr>
          <w:rFonts w:hint="cs"/>
          <w:rtl/>
        </w:rPr>
        <w:t xml:space="preserve"> فالتنوع الجنسي </w:t>
      </w:r>
      <w:r>
        <w:rPr>
          <w:rFonts w:hint="cs"/>
          <w:rtl/>
        </w:rPr>
        <w:t xml:space="preserve">ـ </w:t>
      </w:r>
      <w:r w:rsidRPr="007D7079">
        <w:rPr>
          <w:rFonts w:hint="cs"/>
          <w:rtl/>
        </w:rPr>
        <w:t>في بحث</w:t>
      </w:r>
      <w:r>
        <w:rPr>
          <w:rFonts w:hint="cs"/>
          <w:rtl/>
        </w:rPr>
        <w:t xml:space="preserve"> د. </w:t>
      </w:r>
      <w:r w:rsidRPr="007D7079">
        <w:rPr>
          <w:rFonts w:hint="cs"/>
          <w:rtl/>
        </w:rPr>
        <w:t xml:space="preserve">مطيع </w:t>
      </w:r>
      <w:r>
        <w:rPr>
          <w:rFonts w:hint="cs"/>
          <w:rtl/>
        </w:rPr>
        <w:t xml:space="preserve">ـ </w:t>
      </w:r>
      <w:r w:rsidRPr="007D7079">
        <w:rPr>
          <w:rFonts w:hint="cs"/>
          <w:rtl/>
        </w:rPr>
        <w:t xml:space="preserve">هو نظام تاريخي ـ ثقافي يستلزم تقييد ما هو ذاتي وطبيعي في </w:t>
      </w:r>
      <w:r>
        <w:rPr>
          <w:rFonts w:hint="cs"/>
          <w:rtl/>
        </w:rPr>
        <w:t>النساء والرجال.</w:t>
      </w:r>
    </w:p>
    <w:p w:rsidR="006E0FDB" w:rsidRPr="007D7079" w:rsidRDefault="006E0FDB" w:rsidP="006E0FDB">
      <w:pPr>
        <w:pStyle w:val="ac"/>
        <w:rPr>
          <w:rtl/>
        </w:rPr>
      </w:pPr>
      <w:r w:rsidRPr="007D7079">
        <w:rPr>
          <w:rFonts w:hint="cs"/>
          <w:rtl/>
        </w:rPr>
        <w:t>إن</w:t>
      </w:r>
      <w:r>
        <w:rPr>
          <w:rFonts w:hint="cs"/>
          <w:rtl/>
        </w:rPr>
        <w:t>ّ</w:t>
      </w:r>
      <w:r w:rsidRPr="007D7079">
        <w:rPr>
          <w:rFonts w:hint="cs"/>
          <w:rtl/>
        </w:rPr>
        <w:t xml:space="preserve"> البحث يدور حول أننا كيف نتمك</w:t>
      </w:r>
      <w:r>
        <w:rPr>
          <w:rFonts w:hint="cs"/>
          <w:rtl/>
        </w:rPr>
        <w:t>ّ</w:t>
      </w:r>
      <w:r w:rsidRPr="007D7079">
        <w:rPr>
          <w:rFonts w:hint="cs"/>
          <w:rtl/>
        </w:rPr>
        <w:t>ن من تعريف الجنسين</w:t>
      </w:r>
      <w:r>
        <w:rPr>
          <w:rFonts w:hint="cs"/>
          <w:rtl/>
        </w:rPr>
        <w:t>؟</w:t>
      </w:r>
      <w:r w:rsidRPr="007D7079">
        <w:rPr>
          <w:rFonts w:hint="cs"/>
          <w:rtl/>
        </w:rPr>
        <w:t xml:space="preserve"> وهل ننظر إليهما </w:t>
      </w:r>
      <w:r>
        <w:rPr>
          <w:rFonts w:hint="cs"/>
          <w:rtl/>
        </w:rPr>
        <w:t xml:space="preserve">بوصفهما </w:t>
      </w:r>
      <w:r w:rsidRPr="007D7079">
        <w:rPr>
          <w:rFonts w:hint="cs"/>
          <w:rtl/>
        </w:rPr>
        <w:t>مختلفين</w:t>
      </w:r>
      <w:r>
        <w:rPr>
          <w:rFonts w:hint="cs"/>
          <w:rtl/>
        </w:rPr>
        <w:t xml:space="preserve"> متفاوتين</w:t>
      </w:r>
      <w:r w:rsidRPr="007D7079">
        <w:rPr>
          <w:rFonts w:hint="cs"/>
          <w:rtl/>
        </w:rPr>
        <w:t xml:space="preserve"> </w:t>
      </w:r>
      <w:r>
        <w:rPr>
          <w:rFonts w:hint="cs"/>
          <w:rtl/>
        </w:rPr>
        <w:t xml:space="preserve">أو </w:t>
      </w:r>
      <w:r w:rsidRPr="007D7079">
        <w:rPr>
          <w:rFonts w:hint="cs"/>
          <w:rtl/>
        </w:rPr>
        <w:t>متحدين</w:t>
      </w:r>
      <w:r>
        <w:rPr>
          <w:rFonts w:hint="cs"/>
          <w:rtl/>
        </w:rPr>
        <w:t xml:space="preserve"> </w:t>
      </w:r>
      <w:r w:rsidRPr="007D7079">
        <w:rPr>
          <w:rFonts w:hint="cs"/>
          <w:rtl/>
        </w:rPr>
        <w:t>متكاملين؟ والسؤال ال</w:t>
      </w:r>
      <w:r>
        <w:rPr>
          <w:rFonts w:hint="cs"/>
          <w:rtl/>
        </w:rPr>
        <w:t>أساس</w:t>
      </w:r>
      <w:r w:rsidRPr="007D7079">
        <w:rPr>
          <w:rFonts w:hint="cs"/>
          <w:rtl/>
        </w:rPr>
        <w:t xml:space="preserve"> الذي </w:t>
      </w:r>
      <w:r>
        <w:rPr>
          <w:rFonts w:hint="cs"/>
          <w:rtl/>
        </w:rPr>
        <w:t>لا يثار</w:t>
      </w:r>
      <w:r w:rsidRPr="007D7079">
        <w:rPr>
          <w:rFonts w:hint="cs"/>
          <w:rtl/>
        </w:rPr>
        <w:t xml:space="preserve"> </w:t>
      </w:r>
      <w:r>
        <w:rPr>
          <w:rFonts w:hint="cs"/>
          <w:rtl/>
        </w:rPr>
        <w:t>أن هذه الذكورية والأ</w:t>
      </w:r>
      <w:r w:rsidRPr="007D7079">
        <w:rPr>
          <w:rFonts w:hint="cs"/>
          <w:rtl/>
        </w:rPr>
        <w:t>نثوية التي يبحث عن تعريف</w:t>
      </w:r>
      <w:r>
        <w:rPr>
          <w:rFonts w:hint="cs"/>
          <w:rtl/>
        </w:rPr>
        <w:t>ٍ</w:t>
      </w:r>
      <w:r w:rsidRPr="007D7079">
        <w:rPr>
          <w:rFonts w:hint="cs"/>
          <w:rtl/>
        </w:rPr>
        <w:t xml:space="preserve"> لها، من أين اتخذت شكلها</w:t>
      </w:r>
      <w:r>
        <w:rPr>
          <w:rFonts w:hint="cs"/>
          <w:rtl/>
        </w:rPr>
        <w:t>؟</w:t>
      </w:r>
      <w:r w:rsidRPr="007D7079">
        <w:rPr>
          <w:rFonts w:hint="cs"/>
          <w:rtl/>
        </w:rPr>
        <w:t xml:space="preserve"> وكيف ظهرت وتبدّلت</w:t>
      </w:r>
      <w:r>
        <w:rPr>
          <w:rFonts w:hint="cs"/>
          <w:rtl/>
        </w:rPr>
        <w:t xml:space="preserve"> إلى </w:t>
      </w:r>
      <w:r w:rsidRPr="007D7079">
        <w:rPr>
          <w:rFonts w:hint="cs"/>
          <w:rtl/>
        </w:rPr>
        <w:t>قالب يحد</w:t>
      </w:r>
      <w:r>
        <w:rPr>
          <w:rFonts w:hint="cs"/>
          <w:rtl/>
        </w:rPr>
        <w:t>ّ</w:t>
      </w:r>
      <w:r w:rsidRPr="007D7079">
        <w:rPr>
          <w:rFonts w:hint="cs"/>
          <w:rtl/>
        </w:rPr>
        <w:t>د ما نريد ا</w:t>
      </w:r>
      <w:r>
        <w:rPr>
          <w:rFonts w:hint="cs"/>
          <w:rtl/>
        </w:rPr>
        <w:t>ختياره</w:t>
      </w:r>
      <w:r w:rsidRPr="007D7079">
        <w:rPr>
          <w:rFonts w:hint="cs"/>
          <w:rtl/>
        </w:rPr>
        <w:t xml:space="preserve">؟ </w:t>
      </w:r>
      <w:r>
        <w:rPr>
          <w:rFonts w:hint="cs"/>
          <w:rtl/>
        </w:rPr>
        <w:t>و</w:t>
      </w:r>
      <w:r w:rsidRPr="007D7079">
        <w:rPr>
          <w:rFonts w:hint="cs"/>
          <w:rtl/>
        </w:rPr>
        <w:t>ما أراه أن</w:t>
      </w:r>
      <w:r>
        <w:rPr>
          <w:rFonts w:hint="cs"/>
          <w:rtl/>
        </w:rPr>
        <w:t>ّ</w:t>
      </w:r>
      <w:r w:rsidRPr="007D7079">
        <w:rPr>
          <w:rFonts w:hint="cs"/>
          <w:rtl/>
        </w:rPr>
        <w:t xml:space="preserve"> التحذير الذي تُقدّمه</w:t>
      </w:r>
      <w:r>
        <w:rPr>
          <w:rFonts w:hint="cs"/>
          <w:rtl/>
        </w:rPr>
        <w:t xml:space="preserve"> د. </w:t>
      </w:r>
      <w:r w:rsidRPr="007D7079">
        <w:rPr>
          <w:rFonts w:hint="cs"/>
          <w:rtl/>
        </w:rPr>
        <w:t>مطيع في نقد الأدوار الموكلة</w:t>
      </w:r>
      <w:r>
        <w:rPr>
          <w:rFonts w:hint="cs"/>
          <w:rtl/>
        </w:rPr>
        <w:t xml:space="preserve"> إلى الجنسين من قبل النسوية الغ</w:t>
      </w:r>
      <w:r w:rsidRPr="007D7079">
        <w:rPr>
          <w:rFonts w:hint="cs"/>
          <w:rtl/>
        </w:rPr>
        <w:t>ربية ناشئ من هذا ال</w:t>
      </w:r>
      <w:r>
        <w:rPr>
          <w:rFonts w:hint="cs"/>
          <w:rtl/>
        </w:rPr>
        <w:t>أمر،</w:t>
      </w:r>
      <w:r w:rsidRPr="007D7079">
        <w:rPr>
          <w:rFonts w:hint="cs"/>
          <w:rtl/>
        </w:rPr>
        <w:t xml:space="preserve"> مع وجود فرض مسبق وهو </w:t>
      </w:r>
      <w:r>
        <w:rPr>
          <w:rFonts w:hint="cs"/>
          <w:rtl/>
        </w:rPr>
        <w:t>أ</w:t>
      </w:r>
      <w:r w:rsidRPr="007D7079">
        <w:rPr>
          <w:rFonts w:hint="cs"/>
          <w:rtl/>
        </w:rPr>
        <w:t>ن</w:t>
      </w:r>
      <w:r>
        <w:rPr>
          <w:rFonts w:hint="cs"/>
          <w:rtl/>
        </w:rPr>
        <w:t>ّ</w:t>
      </w:r>
      <w:r w:rsidRPr="007D7079">
        <w:rPr>
          <w:rFonts w:hint="cs"/>
          <w:rtl/>
        </w:rPr>
        <w:t xml:space="preserve"> ما تعل</w:t>
      </w:r>
      <w:r>
        <w:rPr>
          <w:rFonts w:hint="cs"/>
          <w:rtl/>
        </w:rPr>
        <w:t>ّ</w:t>
      </w:r>
      <w:r w:rsidRPr="007D7079">
        <w:rPr>
          <w:rFonts w:hint="cs"/>
          <w:rtl/>
        </w:rPr>
        <w:t>مناه من النسوية الغربية تعريف</w:t>
      </w:r>
      <w:r>
        <w:rPr>
          <w:rFonts w:hint="cs"/>
          <w:rtl/>
        </w:rPr>
        <w:t>ٌ</w:t>
      </w:r>
      <w:r w:rsidRPr="007D7079">
        <w:rPr>
          <w:rFonts w:hint="cs"/>
          <w:rtl/>
        </w:rPr>
        <w:t xml:space="preserve"> قد تم</w:t>
      </w:r>
      <w:r>
        <w:rPr>
          <w:rFonts w:hint="cs"/>
          <w:rtl/>
        </w:rPr>
        <w:t>ّ</w:t>
      </w:r>
      <w:r w:rsidRPr="007D7079">
        <w:rPr>
          <w:rFonts w:hint="cs"/>
          <w:rtl/>
        </w:rPr>
        <w:t xml:space="preserve"> إسقاطه على اللفظ.</w:t>
      </w:r>
    </w:p>
    <w:p w:rsidR="006E0FDB" w:rsidRPr="007D7079" w:rsidRDefault="006E0FDB" w:rsidP="006E0FDB">
      <w:pPr>
        <w:pStyle w:val="ac"/>
        <w:rPr>
          <w:rtl/>
        </w:rPr>
      </w:pPr>
      <w:r>
        <w:rPr>
          <w:rFonts w:hint="cs"/>
          <w:rtl/>
        </w:rPr>
        <w:t>و</w:t>
      </w:r>
      <w:r w:rsidRPr="007D7079">
        <w:rPr>
          <w:rFonts w:hint="cs"/>
          <w:rtl/>
        </w:rPr>
        <w:t>من المعطيات ال</w:t>
      </w:r>
      <w:r>
        <w:rPr>
          <w:rFonts w:hint="cs"/>
          <w:rtl/>
        </w:rPr>
        <w:t>أخرى</w:t>
      </w:r>
      <w:r w:rsidRPr="007D7079">
        <w:rPr>
          <w:rFonts w:hint="cs"/>
          <w:rtl/>
        </w:rPr>
        <w:t xml:space="preserve"> للنسوية مواجهة الأدوار المحد</w:t>
      </w:r>
      <w:r>
        <w:rPr>
          <w:rFonts w:hint="cs"/>
          <w:rtl/>
        </w:rPr>
        <w:t>ّ</w:t>
      </w:r>
      <w:r w:rsidRPr="007D7079">
        <w:rPr>
          <w:rFonts w:hint="cs"/>
          <w:rtl/>
        </w:rPr>
        <w:t>دة تبعا</w:t>
      </w:r>
      <w:r>
        <w:rPr>
          <w:rFonts w:hint="cs"/>
          <w:rtl/>
        </w:rPr>
        <w:t>ً لجنس الفرد،</w:t>
      </w:r>
      <w:r w:rsidRPr="007D7079">
        <w:rPr>
          <w:rFonts w:hint="cs"/>
          <w:rtl/>
        </w:rPr>
        <w:t xml:space="preserve"> ونتيجة هذا الصراع </w:t>
      </w:r>
      <w:r>
        <w:rPr>
          <w:rFonts w:hint="cs"/>
          <w:rtl/>
        </w:rPr>
        <w:t>أ</w:t>
      </w:r>
      <w:r w:rsidRPr="007D7079">
        <w:rPr>
          <w:rFonts w:hint="cs"/>
          <w:rtl/>
        </w:rPr>
        <w:t>ن</w:t>
      </w:r>
      <w:r>
        <w:rPr>
          <w:rFonts w:hint="cs"/>
          <w:rtl/>
        </w:rPr>
        <w:t>ّ كل ما كان قد تمّ توزيعه بين</w:t>
      </w:r>
      <w:r w:rsidRPr="007D7079">
        <w:rPr>
          <w:rFonts w:hint="cs"/>
          <w:rtl/>
        </w:rPr>
        <w:t xml:space="preserve"> الرجال والنساء على مدى القرون الماضية أصبح الآن ميس</w:t>
      </w:r>
      <w:r>
        <w:rPr>
          <w:rFonts w:hint="cs"/>
          <w:rtl/>
        </w:rPr>
        <w:t>ّ</w:t>
      </w:r>
      <w:r w:rsidRPr="007D7079">
        <w:rPr>
          <w:rFonts w:hint="cs"/>
          <w:rtl/>
        </w:rPr>
        <w:t>را</w:t>
      </w:r>
      <w:r>
        <w:rPr>
          <w:rFonts w:hint="cs"/>
          <w:rtl/>
        </w:rPr>
        <w:t>ً</w:t>
      </w:r>
      <w:r w:rsidRPr="007D7079">
        <w:rPr>
          <w:rFonts w:hint="cs"/>
          <w:rtl/>
        </w:rPr>
        <w:t xml:space="preserve"> شيئا</w:t>
      </w:r>
      <w:r>
        <w:rPr>
          <w:rFonts w:hint="cs"/>
          <w:rtl/>
        </w:rPr>
        <w:t>ً</w:t>
      </w:r>
      <w:r w:rsidRPr="007D7079">
        <w:rPr>
          <w:rFonts w:hint="cs"/>
          <w:rtl/>
        </w:rPr>
        <w:t xml:space="preserve"> فشيئا</w:t>
      </w:r>
      <w:r>
        <w:rPr>
          <w:rFonts w:hint="cs"/>
          <w:rtl/>
        </w:rPr>
        <w:t>ً</w:t>
      </w:r>
      <w:r w:rsidRPr="007D7079">
        <w:rPr>
          <w:rFonts w:hint="cs"/>
          <w:rtl/>
        </w:rPr>
        <w:t xml:space="preserve"> ل</w:t>
      </w:r>
      <w:r>
        <w:rPr>
          <w:rFonts w:hint="cs"/>
          <w:rtl/>
        </w:rPr>
        <w:t>هم،</w:t>
      </w:r>
      <w:r w:rsidRPr="007D7079">
        <w:rPr>
          <w:rFonts w:hint="cs"/>
          <w:rtl/>
        </w:rPr>
        <w:t xml:space="preserve"> وهذا هو ما أك</w:t>
      </w:r>
      <w:r>
        <w:rPr>
          <w:rFonts w:hint="cs"/>
          <w:rtl/>
        </w:rPr>
        <w:t>ّ</w:t>
      </w:r>
      <w:r w:rsidRPr="007D7079">
        <w:rPr>
          <w:rFonts w:hint="cs"/>
          <w:rtl/>
        </w:rPr>
        <w:t>دت عليه مقالة اليزابيت بدانتر</w:t>
      </w:r>
      <w:r>
        <w:rPr>
          <w:rFonts w:hint="cs"/>
          <w:rtl/>
        </w:rPr>
        <w:t>،</w:t>
      </w:r>
      <w:r w:rsidRPr="007D7079">
        <w:rPr>
          <w:rFonts w:hint="cs"/>
          <w:rtl/>
        </w:rPr>
        <w:t xml:space="preserve"> والتي استندت إليها</w:t>
      </w:r>
      <w:r>
        <w:rPr>
          <w:rFonts w:hint="cs"/>
          <w:rtl/>
        </w:rPr>
        <w:t xml:space="preserve"> د. </w:t>
      </w:r>
      <w:r w:rsidRPr="007D7079">
        <w:rPr>
          <w:rFonts w:hint="cs"/>
          <w:rtl/>
        </w:rPr>
        <w:t>مطيع</w:t>
      </w:r>
      <w:r>
        <w:rPr>
          <w:rFonts w:hint="cs"/>
          <w:rtl/>
        </w:rPr>
        <w:t xml:space="preserve"> نفسها،</w:t>
      </w:r>
      <w:r w:rsidRPr="007D7079">
        <w:rPr>
          <w:rFonts w:hint="cs"/>
          <w:rtl/>
        </w:rPr>
        <w:t xml:space="preserve"> لكن لا </w:t>
      </w:r>
      <w:r>
        <w:rPr>
          <w:rFonts w:hint="cs"/>
          <w:rtl/>
        </w:rPr>
        <w:t>إشارة</w:t>
      </w:r>
      <w:r w:rsidRPr="007D7079">
        <w:rPr>
          <w:rFonts w:hint="cs"/>
          <w:rtl/>
        </w:rPr>
        <w:t xml:space="preserve"> في أي</w:t>
      </w:r>
      <w:r>
        <w:rPr>
          <w:rFonts w:hint="cs"/>
          <w:rtl/>
        </w:rPr>
        <w:t>ّ</w:t>
      </w:r>
      <w:r w:rsidRPr="007D7079">
        <w:rPr>
          <w:rFonts w:hint="cs"/>
          <w:rtl/>
        </w:rPr>
        <w:t xml:space="preserve"> موضع من هذه المقالة على تأثر بدانتر من زوال هذا الحاجز الذي كان قائما</w:t>
      </w:r>
      <w:r>
        <w:rPr>
          <w:rFonts w:hint="cs"/>
          <w:rtl/>
        </w:rPr>
        <w:t>ً بين الأ</w:t>
      </w:r>
      <w:r w:rsidRPr="007D7079">
        <w:rPr>
          <w:rFonts w:hint="cs"/>
          <w:rtl/>
        </w:rPr>
        <w:t>دوار الموك</w:t>
      </w:r>
      <w:r>
        <w:rPr>
          <w:rFonts w:hint="cs"/>
          <w:rtl/>
        </w:rPr>
        <w:t>لة للجنسين،</w:t>
      </w:r>
      <w:r w:rsidRPr="007D7079">
        <w:rPr>
          <w:rFonts w:hint="cs"/>
          <w:rtl/>
        </w:rPr>
        <w:t xml:space="preserve"> </w:t>
      </w:r>
      <w:r>
        <w:rPr>
          <w:rFonts w:hint="cs"/>
          <w:rtl/>
        </w:rPr>
        <w:t xml:space="preserve">أمّا د. </w:t>
      </w:r>
      <w:r w:rsidRPr="007D7079">
        <w:rPr>
          <w:rFonts w:hint="cs"/>
          <w:rtl/>
        </w:rPr>
        <w:t xml:space="preserve">مطيع </w:t>
      </w:r>
      <w:r>
        <w:rPr>
          <w:rFonts w:hint="cs"/>
          <w:rtl/>
        </w:rPr>
        <w:t>ف</w:t>
      </w:r>
      <w:r w:rsidRPr="007D7079">
        <w:rPr>
          <w:rFonts w:hint="cs"/>
          <w:rtl/>
        </w:rPr>
        <w:t xml:space="preserve">اعتمدت </w:t>
      </w:r>
      <w:r>
        <w:rPr>
          <w:rFonts w:hint="cs"/>
          <w:rtl/>
        </w:rPr>
        <w:t xml:space="preserve">ـ </w:t>
      </w:r>
      <w:r w:rsidRPr="007D7079">
        <w:rPr>
          <w:rFonts w:hint="cs"/>
          <w:rtl/>
        </w:rPr>
        <w:t xml:space="preserve">وللأسف </w:t>
      </w:r>
      <w:r>
        <w:rPr>
          <w:rFonts w:hint="cs"/>
          <w:rtl/>
        </w:rPr>
        <w:t xml:space="preserve">ـ </w:t>
      </w:r>
      <w:r w:rsidRPr="007D7079">
        <w:rPr>
          <w:rFonts w:hint="cs"/>
          <w:rtl/>
        </w:rPr>
        <w:t xml:space="preserve">على ترجمة خاطئة </w:t>
      </w:r>
      <w:r>
        <w:rPr>
          <w:rFonts w:hint="cs"/>
          <w:rtl/>
        </w:rPr>
        <w:t>ل</w:t>
      </w:r>
      <w:r w:rsidRPr="007D7079">
        <w:rPr>
          <w:rFonts w:hint="cs"/>
          <w:rtl/>
        </w:rPr>
        <w:t>لمقالة</w:t>
      </w:r>
      <w:r>
        <w:rPr>
          <w:rFonts w:hint="cs"/>
          <w:rtl/>
        </w:rPr>
        <w:t>؛</w:t>
      </w:r>
      <w:r w:rsidRPr="007D7079">
        <w:rPr>
          <w:rFonts w:hint="cs"/>
          <w:rtl/>
        </w:rPr>
        <w:t xml:space="preserve"> </w:t>
      </w:r>
      <w:r>
        <w:rPr>
          <w:rFonts w:hint="cs"/>
          <w:rtl/>
        </w:rPr>
        <w:t>ف</w:t>
      </w:r>
      <w:r w:rsidRPr="007D7079">
        <w:rPr>
          <w:rFonts w:hint="cs"/>
          <w:rtl/>
        </w:rPr>
        <w:t>المقطع التي ا</w:t>
      </w:r>
      <w:r>
        <w:rPr>
          <w:rFonts w:hint="cs"/>
          <w:rtl/>
        </w:rPr>
        <w:t>ختارته</w:t>
      </w:r>
      <w:r w:rsidRPr="007D7079">
        <w:rPr>
          <w:rFonts w:hint="cs"/>
          <w:rtl/>
        </w:rPr>
        <w:t xml:space="preserve"> </w:t>
      </w:r>
      <w:r>
        <w:rPr>
          <w:rFonts w:hint="cs"/>
          <w:rtl/>
        </w:rPr>
        <w:t>ي</w:t>
      </w:r>
      <w:r w:rsidRPr="007D7079">
        <w:rPr>
          <w:rFonts w:hint="cs"/>
          <w:rtl/>
        </w:rPr>
        <w:t>وصلنا</w:t>
      </w:r>
      <w:r>
        <w:rPr>
          <w:rFonts w:hint="cs"/>
          <w:rtl/>
        </w:rPr>
        <w:t xml:space="preserve"> إلى </w:t>
      </w:r>
      <w:r w:rsidRPr="007D7079">
        <w:rPr>
          <w:rFonts w:hint="cs"/>
          <w:rtl/>
        </w:rPr>
        <w:t>أن</w:t>
      </w:r>
      <w:r>
        <w:rPr>
          <w:rFonts w:hint="cs"/>
          <w:rtl/>
        </w:rPr>
        <w:t xml:space="preserve">ّ المرأة </w:t>
      </w:r>
      <w:r w:rsidRPr="007D7079">
        <w:rPr>
          <w:rFonts w:hint="cs"/>
          <w:rtl/>
        </w:rPr>
        <w:t>في القرن العشرين تقوم بأداء دور كلا الجنسين</w:t>
      </w:r>
      <w:r>
        <w:rPr>
          <w:rFonts w:hint="cs"/>
          <w:rtl/>
        </w:rPr>
        <w:t>،</w:t>
      </w:r>
      <w:r w:rsidRPr="007D7079">
        <w:rPr>
          <w:rFonts w:hint="cs"/>
          <w:rtl/>
        </w:rPr>
        <w:t xml:space="preserve"> ف</w:t>
      </w:r>
      <w:r>
        <w:rPr>
          <w:rFonts w:hint="cs"/>
          <w:rtl/>
        </w:rPr>
        <w:t xml:space="preserve">هويّتها ـ </w:t>
      </w:r>
      <w:r w:rsidRPr="007D7079">
        <w:rPr>
          <w:rFonts w:hint="cs"/>
          <w:rtl/>
        </w:rPr>
        <w:t xml:space="preserve">في الواقع </w:t>
      </w:r>
      <w:r>
        <w:rPr>
          <w:rFonts w:hint="cs"/>
          <w:rtl/>
        </w:rPr>
        <w:t>ـ ضاعت واختلطت</w:t>
      </w:r>
      <w:r w:rsidRPr="007D7079">
        <w:rPr>
          <w:rFonts w:hint="cs"/>
          <w:rtl/>
        </w:rPr>
        <w:t>، ومثل هذا التعبير لا وجود له</w:t>
      </w:r>
      <w:r>
        <w:rPr>
          <w:rFonts w:hint="cs"/>
          <w:rtl/>
        </w:rPr>
        <w:t xml:space="preserve">، لا في الأصل الفرنسي ولا في الترجمة </w:t>
      </w:r>
      <w:r>
        <w:rPr>
          <w:rFonts w:hint="cs"/>
          <w:rtl/>
        </w:rPr>
        <w:lastRenderedPageBreak/>
        <w:t>الإنج</w:t>
      </w:r>
      <w:r w:rsidRPr="007D7079">
        <w:rPr>
          <w:rFonts w:hint="cs"/>
          <w:rtl/>
        </w:rPr>
        <w:t>ليزية، بل ما هو موجود هو أن</w:t>
      </w:r>
      <w:r>
        <w:rPr>
          <w:rFonts w:hint="cs"/>
          <w:rtl/>
        </w:rPr>
        <w:t xml:space="preserve">ّ المرأة </w:t>
      </w:r>
      <w:r w:rsidRPr="007D7079">
        <w:rPr>
          <w:rFonts w:hint="cs"/>
          <w:rtl/>
        </w:rPr>
        <w:t>اليوم قامت بدمج الأدوار الخاص</w:t>
      </w:r>
      <w:r>
        <w:rPr>
          <w:rFonts w:hint="cs"/>
          <w:rtl/>
        </w:rPr>
        <w:t>ّ</w:t>
      </w:r>
      <w:r w:rsidRPr="007D7079">
        <w:rPr>
          <w:rFonts w:hint="cs"/>
          <w:rtl/>
        </w:rPr>
        <w:t>ة بالنساء و</w:t>
      </w:r>
      <w:r>
        <w:rPr>
          <w:rFonts w:hint="cs"/>
          <w:rtl/>
        </w:rPr>
        <w:t xml:space="preserve">تلك </w:t>
      </w:r>
      <w:r w:rsidRPr="007D7079">
        <w:rPr>
          <w:rFonts w:hint="cs"/>
          <w:rtl/>
        </w:rPr>
        <w:t>الخاص</w:t>
      </w:r>
      <w:r>
        <w:rPr>
          <w:rFonts w:hint="cs"/>
          <w:rtl/>
        </w:rPr>
        <w:t>ّة بالرجال والخلط بينها،</w:t>
      </w:r>
      <w:r w:rsidRPr="007D7079">
        <w:rPr>
          <w:rFonts w:hint="cs"/>
          <w:rtl/>
        </w:rPr>
        <w:t xml:space="preserve"> والنص</w:t>
      </w:r>
      <w:r>
        <w:rPr>
          <w:rFonts w:hint="cs"/>
          <w:rtl/>
        </w:rPr>
        <w:t>ّ</w:t>
      </w:r>
      <w:r w:rsidRPr="007D7079">
        <w:rPr>
          <w:rFonts w:hint="cs"/>
          <w:rtl/>
        </w:rPr>
        <w:t xml:space="preserve"> الإن</w:t>
      </w:r>
      <w:r>
        <w:rPr>
          <w:rFonts w:hint="cs"/>
          <w:rtl/>
        </w:rPr>
        <w:t>ج</w:t>
      </w:r>
      <w:r w:rsidRPr="007D7079">
        <w:rPr>
          <w:rFonts w:hint="cs"/>
          <w:rtl/>
        </w:rPr>
        <w:t xml:space="preserve">ليزي والفرنسي يظهر فيه لحن من المديح، </w:t>
      </w:r>
      <w:r>
        <w:rPr>
          <w:rFonts w:hint="cs"/>
          <w:rtl/>
        </w:rPr>
        <w:t>أ</w:t>
      </w:r>
      <w:r w:rsidRPr="007D7079">
        <w:rPr>
          <w:rFonts w:hint="cs"/>
          <w:rtl/>
        </w:rPr>
        <w:t>م</w:t>
      </w:r>
      <w:r>
        <w:rPr>
          <w:rFonts w:hint="cs"/>
          <w:rtl/>
        </w:rPr>
        <w:t>ّ</w:t>
      </w:r>
      <w:r w:rsidRPr="007D7079">
        <w:rPr>
          <w:rFonts w:hint="cs"/>
          <w:rtl/>
        </w:rPr>
        <w:t>ا النص الفارسي فما يلوح منه لحن الأسف</w:t>
      </w:r>
      <w:r w:rsidRPr="00815C4C">
        <w:rPr>
          <w:rFonts w:cs="Taher"/>
          <w:vertAlign w:val="superscript"/>
          <w:rtl/>
        </w:rPr>
        <w:t>(</w:t>
      </w:r>
      <w:r w:rsidRPr="00815C4C">
        <w:rPr>
          <w:rFonts w:cs="Taher"/>
          <w:vertAlign w:val="superscript"/>
          <w:rtl/>
        </w:rPr>
        <w:footnoteReference w:id="942"/>
      </w:r>
      <w:r w:rsidRPr="00815C4C">
        <w:rPr>
          <w:rFonts w:cs="Taher"/>
          <w:vertAlign w:val="superscript"/>
          <w:rtl/>
        </w:rPr>
        <w:t>)</w:t>
      </w:r>
      <w:r>
        <w:rPr>
          <w:rFonts w:hint="cs"/>
          <w:rtl/>
        </w:rPr>
        <w:t>، كما أ</w:t>
      </w:r>
      <w:r w:rsidRPr="007D7079">
        <w:rPr>
          <w:rFonts w:hint="cs"/>
          <w:rtl/>
        </w:rPr>
        <w:t>ن</w:t>
      </w:r>
      <w:r>
        <w:rPr>
          <w:rFonts w:hint="cs"/>
          <w:rtl/>
        </w:rPr>
        <w:t>ّ</w:t>
      </w:r>
      <w:r w:rsidRPr="007D7079">
        <w:rPr>
          <w:rFonts w:hint="cs"/>
          <w:rtl/>
        </w:rPr>
        <w:t xml:space="preserve"> بدانتر تشير في بداية النص الذي تحد</w:t>
      </w:r>
      <w:r>
        <w:rPr>
          <w:rFonts w:hint="cs"/>
          <w:rtl/>
        </w:rPr>
        <w:t>ّ</w:t>
      </w:r>
      <w:r w:rsidRPr="007D7079">
        <w:rPr>
          <w:rFonts w:hint="cs"/>
          <w:rtl/>
        </w:rPr>
        <w:t>ثت فيه عن عملية الدمج هذه بين دور</w:t>
      </w:r>
      <w:r>
        <w:rPr>
          <w:rFonts w:hint="cs"/>
          <w:rtl/>
        </w:rPr>
        <w:t xml:space="preserve"> المرأة </w:t>
      </w:r>
      <w:r w:rsidRPr="007D7079">
        <w:rPr>
          <w:rFonts w:hint="cs"/>
          <w:rtl/>
        </w:rPr>
        <w:t>وهوي</w:t>
      </w:r>
      <w:r>
        <w:rPr>
          <w:rFonts w:hint="cs"/>
          <w:rtl/>
        </w:rPr>
        <w:t>ّ</w:t>
      </w:r>
      <w:r w:rsidRPr="007D7079">
        <w:rPr>
          <w:rFonts w:hint="cs"/>
          <w:rtl/>
        </w:rPr>
        <w:t>تها التقليدية</w:t>
      </w:r>
      <w:r>
        <w:rPr>
          <w:rFonts w:hint="cs"/>
          <w:rtl/>
        </w:rPr>
        <w:t xml:space="preserve"> إلى </w:t>
      </w:r>
      <w:r w:rsidRPr="007D7079">
        <w:rPr>
          <w:rFonts w:hint="cs"/>
          <w:rtl/>
        </w:rPr>
        <w:t>عدم انتهاء معركة</w:t>
      </w:r>
      <w:r>
        <w:rPr>
          <w:rFonts w:hint="cs"/>
          <w:rtl/>
        </w:rPr>
        <w:t xml:space="preserve"> المرأة </w:t>
      </w:r>
      <w:r w:rsidRPr="007D7079">
        <w:rPr>
          <w:rFonts w:hint="cs"/>
          <w:rtl/>
        </w:rPr>
        <w:t>هذه. ونص</w:t>
      </w:r>
      <w:r>
        <w:rPr>
          <w:rFonts w:hint="cs"/>
          <w:rtl/>
        </w:rPr>
        <w:t>ّ</w:t>
      </w:r>
      <w:r w:rsidRPr="007D7079">
        <w:rPr>
          <w:rFonts w:hint="cs"/>
          <w:rtl/>
        </w:rPr>
        <w:t xml:space="preserve"> المقالة يظهر منه بوضوح مثل هذه النتيج</w:t>
      </w:r>
      <w:r>
        <w:rPr>
          <w:rFonts w:hint="cs"/>
          <w:rtl/>
        </w:rPr>
        <w:t>ة.</w:t>
      </w:r>
    </w:p>
    <w:p w:rsidR="006E0FDB" w:rsidRPr="007D7079" w:rsidRDefault="006E0FDB" w:rsidP="006E0FDB">
      <w:pPr>
        <w:pStyle w:val="ac"/>
        <w:rPr>
          <w:rtl/>
        </w:rPr>
      </w:pPr>
      <w:r>
        <w:rPr>
          <w:rFonts w:hint="cs"/>
          <w:rtl/>
        </w:rPr>
        <w:t>وثمّة في النسوية الغربية حديث</w:t>
      </w:r>
      <w:r w:rsidRPr="007D7079">
        <w:rPr>
          <w:rFonts w:hint="cs"/>
          <w:rtl/>
        </w:rPr>
        <w:t xml:space="preserve"> عن ضعف اللون الذكوري والأنثوي </w:t>
      </w:r>
      <w:r>
        <w:rPr>
          <w:rFonts w:hint="cs"/>
          <w:rtl/>
        </w:rPr>
        <w:t>بوصفه مسعى نسوي</w:t>
      </w:r>
      <w:r w:rsidRPr="007D7079">
        <w:rPr>
          <w:rFonts w:hint="cs"/>
          <w:rtl/>
        </w:rPr>
        <w:t xml:space="preserve">، لا </w:t>
      </w:r>
      <w:r>
        <w:rPr>
          <w:rFonts w:hint="cs"/>
          <w:rtl/>
        </w:rPr>
        <w:t xml:space="preserve">مصدراً لخجل الحركات </w:t>
      </w:r>
      <w:r w:rsidRPr="007D7079">
        <w:rPr>
          <w:rFonts w:hint="cs"/>
          <w:rtl/>
        </w:rPr>
        <w:t>النسوي</w:t>
      </w:r>
      <w:r>
        <w:rPr>
          <w:rFonts w:hint="cs"/>
          <w:rtl/>
        </w:rPr>
        <w:t>ة</w:t>
      </w:r>
      <w:r w:rsidRPr="007D7079">
        <w:rPr>
          <w:rFonts w:hint="cs"/>
          <w:rtl/>
        </w:rPr>
        <w:t>، وه</w:t>
      </w:r>
      <w:r>
        <w:rPr>
          <w:rFonts w:hint="cs"/>
          <w:rtl/>
        </w:rPr>
        <w:t>و</w:t>
      </w:r>
      <w:r w:rsidRPr="007D7079">
        <w:rPr>
          <w:rFonts w:hint="cs"/>
          <w:rtl/>
        </w:rPr>
        <w:t xml:space="preserve"> </w:t>
      </w:r>
      <w:r>
        <w:rPr>
          <w:rFonts w:hint="cs"/>
          <w:rtl/>
        </w:rPr>
        <w:t xml:space="preserve">ما يبدو جليّاً في </w:t>
      </w:r>
      <w:r w:rsidRPr="007D7079">
        <w:rPr>
          <w:rFonts w:hint="cs"/>
          <w:rtl/>
        </w:rPr>
        <w:t xml:space="preserve">مقالة بدانتر، </w:t>
      </w:r>
      <w:r>
        <w:rPr>
          <w:rFonts w:hint="cs"/>
          <w:rtl/>
        </w:rPr>
        <w:t>ف</w:t>
      </w:r>
      <w:r w:rsidRPr="007D7079">
        <w:rPr>
          <w:rFonts w:hint="cs"/>
          <w:rtl/>
        </w:rPr>
        <w:t>قد راجعت</w:t>
      </w:r>
      <w:r>
        <w:rPr>
          <w:rFonts w:hint="cs"/>
          <w:rtl/>
        </w:rPr>
        <w:t>ها</w:t>
      </w:r>
      <w:r w:rsidRPr="007D7079">
        <w:rPr>
          <w:rFonts w:hint="cs"/>
          <w:rtl/>
        </w:rPr>
        <w:t xml:space="preserve"> ولم أجد في </w:t>
      </w:r>
      <w:r>
        <w:rPr>
          <w:rFonts w:hint="cs"/>
          <w:rtl/>
        </w:rPr>
        <w:t xml:space="preserve">أيّ </w:t>
      </w:r>
      <w:r w:rsidRPr="007D7079">
        <w:rPr>
          <w:rFonts w:hint="cs"/>
          <w:rtl/>
        </w:rPr>
        <w:t>موضع</w:t>
      </w:r>
      <w:r>
        <w:rPr>
          <w:rFonts w:hint="cs"/>
          <w:rtl/>
        </w:rPr>
        <w:t>ٍ</w:t>
      </w:r>
      <w:r w:rsidRPr="007D7079">
        <w:rPr>
          <w:rFonts w:hint="cs"/>
          <w:rtl/>
        </w:rPr>
        <w:t xml:space="preserve"> </w:t>
      </w:r>
      <w:r>
        <w:rPr>
          <w:rFonts w:hint="cs"/>
          <w:rtl/>
        </w:rPr>
        <w:t>منها</w:t>
      </w:r>
      <w:r w:rsidRPr="007D7079">
        <w:rPr>
          <w:rFonts w:hint="cs"/>
          <w:rtl/>
        </w:rPr>
        <w:t xml:space="preserve"> </w:t>
      </w:r>
      <w:r>
        <w:rPr>
          <w:rFonts w:hint="cs"/>
          <w:rtl/>
        </w:rPr>
        <w:t xml:space="preserve">أسفاً على </w:t>
      </w:r>
      <w:r w:rsidRPr="007D7079">
        <w:rPr>
          <w:rFonts w:hint="cs"/>
          <w:rtl/>
        </w:rPr>
        <w:t xml:space="preserve">الفارق الوحيد الموجود الآن بين الرجل والمرأة </w:t>
      </w:r>
      <w:r>
        <w:rPr>
          <w:rFonts w:hint="cs"/>
          <w:rtl/>
        </w:rPr>
        <w:t xml:space="preserve">وهو </w:t>
      </w:r>
      <w:r w:rsidRPr="007D7079">
        <w:rPr>
          <w:rFonts w:hint="cs"/>
          <w:rtl/>
        </w:rPr>
        <w:t>استعداد</w:t>
      </w:r>
      <w:r>
        <w:rPr>
          <w:rFonts w:hint="cs"/>
          <w:rtl/>
        </w:rPr>
        <w:t xml:space="preserve">ها </w:t>
      </w:r>
      <w:r w:rsidRPr="007D7079">
        <w:rPr>
          <w:rFonts w:hint="cs"/>
          <w:rtl/>
        </w:rPr>
        <w:t>للحمل دون</w:t>
      </w:r>
      <w:r>
        <w:rPr>
          <w:rFonts w:hint="cs"/>
          <w:rtl/>
        </w:rPr>
        <w:t>ه،</w:t>
      </w:r>
      <w:r w:rsidRPr="007D7079">
        <w:rPr>
          <w:rFonts w:hint="cs"/>
          <w:rtl/>
        </w:rPr>
        <w:t xml:space="preserve"> بل ال</w:t>
      </w:r>
      <w:r>
        <w:rPr>
          <w:rFonts w:hint="cs"/>
          <w:rtl/>
        </w:rPr>
        <w:t>أمر على العكس؛</w:t>
      </w:r>
      <w:r w:rsidRPr="007D7079">
        <w:rPr>
          <w:rFonts w:hint="cs"/>
          <w:rtl/>
        </w:rPr>
        <w:t xml:space="preserve"> </w:t>
      </w:r>
      <w:r>
        <w:rPr>
          <w:rFonts w:hint="cs"/>
          <w:rtl/>
        </w:rPr>
        <w:t>حيث</w:t>
      </w:r>
      <w:r w:rsidRPr="007D7079">
        <w:rPr>
          <w:rFonts w:hint="cs"/>
          <w:rtl/>
        </w:rPr>
        <w:t xml:space="preserve"> تؤك</w:t>
      </w:r>
      <w:r>
        <w:rPr>
          <w:rFonts w:hint="cs"/>
          <w:rtl/>
        </w:rPr>
        <w:t>ّ</w:t>
      </w:r>
      <w:r w:rsidRPr="007D7079">
        <w:rPr>
          <w:rFonts w:hint="cs"/>
          <w:rtl/>
        </w:rPr>
        <w:t xml:space="preserve">د على </w:t>
      </w:r>
      <w:r>
        <w:rPr>
          <w:rFonts w:hint="cs"/>
          <w:rtl/>
        </w:rPr>
        <w:t>تأثير ا</w:t>
      </w:r>
      <w:r w:rsidRPr="007D7079">
        <w:rPr>
          <w:rFonts w:hint="cs"/>
          <w:rtl/>
        </w:rPr>
        <w:t xml:space="preserve">لتغييرات التي حصلت في السنوات الأخيرة </w:t>
      </w:r>
      <w:r>
        <w:rPr>
          <w:rFonts w:hint="cs"/>
          <w:rtl/>
        </w:rPr>
        <w:t xml:space="preserve">على خلق </w:t>
      </w:r>
      <w:r w:rsidRPr="007D7079">
        <w:rPr>
          <w:rFonts w:hint="cs"/>
          <w:rtl/>
        </w:rPr>
        <w:t>أدوار جديدة للمرأة</w:t>
      </w:r>
      <w:r>
        <w:rPr>
          <w:rFonts w:hint="cs"/>
          <w:rtl/>
        </w:rPr>
        <w:t>،</w:t>
      </w:r>
      <w:r w:rsidRPr="007D7079">
        <w:rPr>
          <w:rFonts w:hint="cs"/>
          <w:rtl/>
        </w:rPr>
        <w:t xml:space="preserve"> </w:t>
      </w:r>
      <w:r>
        <w:rPr>
          <w:rFonts w:hint="cs"/>
          <w:rtl/>
        </w:rPr>
        <w:t xml:space="preserve">الأمر الذي </w:t>
      </w:r>
      <w:r w:rsidRPr="007D7079">
        <w:rPr>
          <w:rFonts w:hint="cs"/>
          <w:rtl/>
        </w:rPr>
        <w:t>جعل الت</w:t>
      </w:r>
      <w:r>
        <w:rPr>
          <w:rFonts w:hint="cs"/>
          <w:rtl/>
        </w:rPr>
        <w:t>صوّرات</w:t>
      </w:r>
      <w:r w:rsidRPr="007D7079">
        <w:rPr>
          <w:rFonts w:hint="cs"/>
          <w:rtl/>
        </w:rPr>
        <w:t xml:space="preserve"> الذكورية قديمة</w:t>
      </w:r>
      <w:r>
        <w:rPr>
          <w:rFonts w:hint="cs"/>
          <w:rtl/>
        </w:rPr>
        <w:t>ً مرفوضة؛</w:t>
      </w:r>
      <w:r w:rsidRPr="007D7079">
        <w:rPr>
          <w:rFonts w:hint="cs"/>
          <w:rtl/>
        </w:rPr>
        <w:t xml:space="preserve"> </w:t>
      </w:r>
      <w:r>
        <w:rPr>
          <w:rFonts w:hint="cs"/>
          <w:rtl/>
        </w:rPr>
        <w:t xml:space="preserve">فالموجود في الدراسة التي </w:t>
      </w:r>
      <w:r w:rsidRPr="007D7079">
        <w:rPr>
          <w:rFonts w:hint="cs"/>
          <w:rtl/>
        </w:rPr>
        <w:t>اعتمدتها مطيع و</w:t>
      </w:r>
      <w:r>
        <w:rPr>
          <w:rFonts w:hint="cs"/>
          <w:rtl/>
        </w:rPr>
        <w:t>في</w:t>
      </w:r>
      <w:r w:rsidRPr="007D7079">
        <w:rPr>
          <w:rFonts w:hint="cs"/>
          <w:rtl/>
        </w:rPr>
        <w:t xml:space="preserve"> كتاب رساتر (المرأة، الرجل) هو </w:t>
      </w:r>
      <w:r>
        <w:rPr>
          <w:rFonts w:hint="cs"/>
          <w:rtl/>
        </w:rPr>
        <w:t>أ</w:t>
      </w:r>
      <w:r w:rsidRPr="007D7079">
        <w:rPr>
          <w:rFonts w:hint="cs"/>
          <w:rtl/>
        </w:rPr>
        <w:t>ن</w:t>
      </w:r>
      <w:r>
        <w:rPr>
          <w:rFonts w:hint="cs"/>
          <w:rtl/>
        </w:rPr>
        <w:t>ّ</w:t>
      </w:r>
      <w:r w:rsidRPr="007D7079">
        <w:rPr>
          <w:rFonts w:hint="cs"/>
          <w:rtl/>
        </w:rPr>
        <w:t xml:space="preserve"> النداء ال</w:t>
      </w:r>
      <w:r>
        <w:rPr>
          <w:rFonts w:hint="cs"/>
          <w:rtl/>
        </w:rPr>
        <w:t>أساس</w:t>
      </w:r>
      <w:r w:rsidRPr="007D7079">
        <w:rPr>
          <w:rFonts w:hint="cs"/>
          <w:rtl/>
        </w:rPr>
        <w:t xml:space="preserve"> الذي توج</w:t>
      </w:r>
      <w:r>
        <w:rPr>
          <w:rFonts w:hint="cs"/>
          <w:rtl/>
        </w:rPr>
        <w:t>ّ</w:t>
      </w:r>
      <w:r w:rsidRPr="007D7079">
        <w:rPr>
          <w:rFonts w:hint="cs"/>
          <w:rtl/>
        </w:rPr>
        <w:t>هه</w:t>
      </w:r>
      <w:r>
        <w:rPr>
          <w:rFonts w:hint="cs"/>
          <w:rtl/>
        </w:rPr>
        <w:t xml:space="preserve"> المرأة </w:t>
      </w:r>
      <w:r w:rsidRPr="007D7079">
        <w:rPr>
          <w:rFonts w:hint="cs"/>
          <w:rtl/>
        </w:rPr>
        <w:t xml:space="preserve">للرجال </w:t>
      </w:r>
      <w:r>
        <w:rPr>
          <w:rFonts w:hint="cs"/>
          <w:rtl/>
        </w:rPr>
        <w:t>يتلخّص في تحديدها</w:t>
      </w:r>
      <w:r w:rsidRPr="007D7079">
        <w:rPr>
          <w:rFonts w:hint="cs"/>
          <w:rtl/>
        </w:rPr>
        <w:t xml:space="preserve"> وظيفتها و</w:t>
      </w:r>
      <w:r>
        <w:rPr>
          <w:rFonts w:hint="cs"/>
          <w:rtl/>
        </w:rPr>
        <w:t>إ</w:t>
      </w:r>
      <w:r w:rsidRPr="007D7079">
        <w:rPr>
          <w:rFonts w:hint="cs"/>
          <w:rtl/>
        </w:rPr>
        <w:t>عل</w:t>
      </w:r>
      <w:r>
        <w:rPr>
          <w:rFonts w:hint="cs"/>
          <w:rtl/>
        </w:rPr>
        <w:t>ا</w:t>
      </w:r>
      <w:r w:rsidRPr="007D7079">
        <w:rPr>
          <w:rFonts w:hint="cs"/>
          <w:rtl/>
        </w:rPr>
        <w:t>ن</w:t>
      </w:r>
      <w:r>
        <w:rPr>
          <w:rFonts w:hint="cs"/>
          <w:rtl/>
        </w:rPr>
        <w:t>ها</w:t>
      </w:r>
      <w:r w:rsidRPr="007D7079">
        <w:rPr>
          <w:rFonts w:hint="cs"/>
          <w:rtl/>
        </w:rPr>
        <w:t xml:space="preserve"> </w:t>
      </w:r>
      <w:r>
        <w:rPr>
          <w:rFonts w:hint="cs"/>
          <w:rtl/>
        </w:rPr>
        <w:t>رفض اللامساواة بعد اليوم،</w:t>
      </w:r>
      <w:r w:rsidRPr="007D7079">
        <w:rPr>
          <w:rFonts w:hint="cs"/>
          <w:rtl/>
        </w:rPr>
        <w:t xml:space="preserve"> </w:t>
      </w:r>
      <w:r>
        <w:rPr>
          <w:rFonts w:hint="cs"/>
          <w:rtl/>
        </w:rPr>
        <w:t>كما وتنديدها بحبسها داخل طاقة الحمل الكامنة فيها</w:t>
      </w:r>
      <w:r w:rsidRPr="007D7079">
        <w:rPr>
          <w:rFonts w:hint="cs"/>
          <w:rtl/>
        </w:rPr>
        <w:t xml:space="preserve"> </w:t>
      </w:r>
      <w:r>
        <w:rPr>
          <w:rFonts w:hint="cs"/>
          <w:rtl/>
        </w:rPr>
        <w:t>حصراً، ف</w:t>
      </w:r>
      <w:r w:rsidRPr="007D7079">
        <w:rPr>
          <w:rFonts w:hint="cs"/>
          <w:rtl/>
        </w:rPr>
        <w:t>الحمل لكثير</w:t>
      </w:r>
      <w:r>
        <w:rPr>
          <w:rFonts w:hint="cs"/>
          <w:rtl/>
        </w:rPr>
        <w:t>ٍ</w:t>
      </w:r>
      <w:r w:rsidRPr="007D7079">
        <w:rPr>
          <w:rFonts w:hint="cs"/>
          <w:rtl/>
        </w:rPr>
        <w:t xml:space="preserve"> من النساء ليس صدفة</w:t>
      </w:r>
      <w:r>
        <w:rPr>
          <w:rFonts w:hint="cs"/>
          <w:rtl/>
        </w:rPr>
        <w:t>ً،</w:t>
      </w:r>
      <w:r w:rsidRPr="007D7079">
        <w:rPr>
          <w:rFonts w:hint="cs"/>
          <w:rtl/>
        </w:rPr>
        <w:t xml:space="preserve"> بل </w:t>
      </w:r>
      <w:r>
        <w:rPr>
          <w:rFonts w:hint="cs"/>
          <w:rtl/>
        </w:rPr>
        <w:t>نتيجُ وعي</w:t>
      </w:r>
      <w:r w:rsidRPr="007D7079">
        <w:rPr>
          <w:rFonts w:hint="cs"/>
          <w:rtl/>
        </w:rPr>
        <w:t xml:space="preserve"> وتصميم مسبق</w:t>
      </w:r>
      <w:r>
        <w:rPr>
          <w:rFonts w:hint="cs"/>
          <w:rtl/>
        </w:rPr>
        <w:t>ين،</w:t>
      </w:r>
      <w:r w:rsidRPr="007D7079">
        <w:rPr>
          <w:rFonts w:hint="cs"/>
          <w:rtl/>
        </w:rPr>
        <w:t xml:space="preserve"> </w:t>
      </w:r>
      <w:r>
        <w:rPr>
          <w:rFonts w:hint="cs"/>
          <w:rtl/>
        </w:rPr>
        <w:t>أ</w:t>
      </w:r>
      <w:r w:rsidRPr="007D7079">
        <w:rPr>
          <w:rFonts w:hint="cs"/>
          <w:rtl/>
        </w:rPr>
        <w:t>م</w:t>
      </w:r>
      <w:r>
        <w:rPr>
          <w:rFonts w:hint="cs"/>
          <w:rtl/>
        </w:rPr>
        <w:t>ّ</w:t>
      </w:r>
      <w:r w:rsidRPr="007D7079">
        <w:rPr>
          <w:rFonts w:hint="cs"/>
          <w:rtl/>
        </w:rPr>
        <w:t xml:space="preserve">ا ما ينبغي على الرجال </w:t>
      </w:r>
      <w:r>
        <w:rPr>
          <w:rFonts w:hint="cs"/>
          <w:rtl/>
        </w:rPr>
        <w:t>اتخاذه</w:t>
      </w:r>
      <w:r w:rsidRPr="007D7079">
        <w:rPr>
          <w:rFonts w:hint="cs"/>
          <w:rtl/>
        </w:rPr>
        <w:t xml:space="preserve"> </w:t>
      </w:r>
      <w:r>
        <w:rPr>
          <w:rFonts w:hint="cs"/>
          <w:rtl/>
        </w:rPr>
        <w:t xml:space="preserve">فهو أمرٌ </w:t>
      </w:r>
      <w:r w:rsidRPr="007D7079">
        <w:rPr>
          <w:rFonts w:hint="cs"/>
          <w:rtl/>
        </w:rPr>
        <w:t>يرجع إليهم</w:t>
      </w:r>
      <w:r>
        <w:rPr>
          <w:rFonts w:hint="cs"/>
          <w:rtl/>
        </w:rPr>
        <w:t>،</w:t>
      </w:r>
      <w:r w:rsidRPr="007D7079">
        <w:rPr>
          <w:rFonts w:hint="cs"/>
          <w:rtl/>
        </w:rPr>
        <w:t xml:space="preserve"> </w:t>
      </w:r>
      <w:r>
        <w:rPr>
          <w:rFonts w:hint="cs"/>
          <w:rtl/>
        </w:rPr>
        <w:t>ف</w:t>
      </w:r>
      <w:r w:rsidRPr="007D7079">
        <w:rPr>
          <w:rFonts w:hint="cs"/>
          <w:rtl/>
        </w:rPr>
        <w:t>لهم تحديد نوع العلاقة التي سيبنونها مع</w:t>
      </w:r>
      <w:r>
        <w:rPr>
          <w:rFonts w:hint="cs"/>
          <w:rtl/>
        </w:rPr>
        <w:t xml:space="preserve"> المرأة،</w:t>
      </w:r>
      <w:r w:rsidRPr="007D7079">
        <w:rPr>
          <w:rFonts w:hint="cs"/>
          <w:rtl/>
        </w:rPr>
        <w:t xml:space="preserve"> </w:t>
      </w:r>
      <w:r>
        <w:rPr>
          <w:rFonts w:hint="cs"/>
          <w:rtl/>
        </w:rPr>
        <w:t>أي كيف سيقومون بتعريف أنفسهم؟</w:t>
      </w:r>
      <w:r w:rsidRPr="007D7079">
        <w:rPr>
          <w:rFonts w:hint="cs"/>
          <w:rtl/>
        </w:rPr>
        <w:t xml:space="preserve"> وتنهي بدانتر نداءها هذا بأمل</w:t>
      </w:r>
      <w:r>
        <w:rPr>
          <w:rFonts w:hint="cs"/>
          <w:rtl/>
        </w:rPr>
        <w:t>ٍ</w:t>
      </w:r>
      <w:r w:rsidRPr="007D7079">
        <w:rPr>
          <w:rFonts w:hint="cs"/>
          <w:rtl/>
        </w:rPr>
        <w:t xml:space="preserve"> </w:t>
      </w:r>
      <w:r>
        <w:rPr>
          <w:rFonts w:hint="cs"/>
          <w:rtl/>
        </w:rPr>
        <w:t xml:space="preserve">في </w:t>
      </w:r>
      <w:r w:rsidRPr="007D7079">
        <w:rPr>
          <w:rFonts w:hint="cs"/>
          <w:rtl/>
        </w:rPr>
        <w:t>أن لا تكون نتيجة ما ي</w:t>
      </w:r>
      <w:r>
        <w:rPr>
          <w:rFonts w:hint="cs"/>
          <w:rtl/>
        </w:rPr>
        <w:t>ختاره الرج</w:t>
      </w:r>
      <w:r w:rsidRPr="007D7079">
        <w:rPr>
          <w:rFonts w:hint="cs"/>
          <w:rtl/>
        </w:rPr>
        <w:t xml:space="preserve">ل </w:t>
      </w:r>
      <w:r w:rsidRPr="007D7079">
        <w:rPr>
          <w:rFonts w:hint="cs"/>
          <w:rtl/>
        </w:rPr>
        <w:lastRenderedPageBreak/>
        <w:t>موت</w:t>
      </w:r>
      <w:r>
        <w:rPr>
          <w:rFonts w:hint="cs"/>
          <w:rtl/>
        </w:rPr>
        <w:t>ه،</w:t>
      </w:r>
      <w:r w:rsidRPr="007D7079">
        <w:rPr>
          <w:rFonts w:hint="cs"/>
          <w:rtl/>
        </w:rPr>
        <w:t xml:space="preserve"> وولادة الرجل الجديد</w:t>
      </w:r>
      <w:r>
        <w:rPr>
          <w:rFonts w:hint="cs"/>
          <w:rtl/>
        </w:rPr>
        <w:t xml:space="preserve">، </w:t>
      </w:r>
      <w:r w:rsidRPr="007D7079">
        <w:rPr>
          <w:rFonts w:hint="cs"/>
          <w:rtl/>
        </w:rPr>
        <w:t>ولم أجد</w:t>
      </w:r>
      <w:r>
        <w:rPr>
          <w:rFonts w:hint="cs"/>
          <w:rtl/>
        </w:rPr>
        <w:t xml:space="preserve"> أثراً لما ذكرته د. مطيع عن بدانتر حول </w:t>
      </w:r>
      <w:r w:rsidRPr="007D7079">
        <w:rPr>
          <w:rFonts w:hint="cs"/>
          <w:rtl/>
        </w:rPr>
        <w:t>مستقبل</w:t>
      </w:r>
      <w:r>
        <w:rPr>
          <w:rFonts w:hint="cs"/>
          <w:rtl/>
        </w:rPr>
        <w:t xml:space="preserve"> المرأة </w:t>
      </w:r>
      <w:r w:rsidRPr="007D7079">
        <w:rPr>
          <w:rFonts w:hint="cs"/>
          <w:rtl/>
        </w:rPr>
        <w:t>وصيرورتها رجلا</w:t>
      </w:r>
      <w:r>
        <w:rPr>
          <w:rFonts w:hint="cs"/>
          <w:rtl/>
        </w:rPr>
        <w:t>ً</w:t>
      </w:r>
      <w:r w:rsidRPr="007D7079">
        <w:rPr>
          <w:rFonts w:hint="cs"/>
          <w:rtl/>
        </w:rPr>
        <w:t>.</w:t>
      </w:r>
    </w:p>
    <w:p w:rsidR="006E0FDB" w:rsidRDefault="006E0FDB" w:rsidP="009368DE">
      <w:pPr>
        <w:pStyle w:val="ac"/>
        <w:spacing w:line="209" w:lineRule="auto"/>
        <w:rPr>
          <w:rtl/>
        </w:rPr>
      </w:pPr>
      <w:r w:rsidRPr="007D7079">
        <w:rPr>
          <w:rFonts w:hint="cs"/>
          <w:rtl/>
        </w:rPr>
        <w:t>إن</w:t>
      </w:r>
      <w:r>
        <w:rPr>
          <w:rFonts w:hint="cs"/>
          <w:rtl/>
        </w:rPr>
        <w:t>ّ</w:t>
      </w:r>
      <w:r w:rsidRPr="007D7079">
        <w:rPr>
          <w:rFonts w:hint="cs"/>
          <w:rtl/>
        </w:rPr>
        <w:t xml:space="preserve"> الخصوصية التي تمتاز بها التعاريف </w:t>
      </w:r>
      <w:r>
        <w:rPr>
          <w:rFonts w:hint="cs"/>
          <w:rtl/>
        </w:rPr>
        <w:t xml:space="preserve">جميعها </w:t>
      </w:r>
      <w:r w:rsidRPr="007D7079">
        <w:rPr>
          <w:rFonts w:hint="cs"/>
          <w:rtl/>
        </w:rPr>
        <w:t>التي قد</w:t>
      </w:r>
      <w:r>
        <w:rPr>
          <w:rFonts w:hint="cs"/>
          <w:rtl/>
        </w:rPr>
        <w:t>ّ</w:t>
      </w:r>
      <w:r w:rsidRPr="007D7079">
        <w:rPr>
          <w:rFonts w:hint="cs"/>
          <w:rtl/>
        </w:rPr>
        <w:t>متها</w:t>
      </w:r>
      <w:r>
        <w:rPr>
          <w:rFonts w:hint="cs"/>
          <w:rtl/>
        </w:rPr>
        <w:t xml:space="preserve"> د. </w:t>
      </w:r>
      <w:r w:rsidRPr="007D7079">
        <w:rPr>
          <w:rFonts w:hint="cs"/>
          <w:rtl/>
        </w:rPr>
        <w:t>مطيع للمرأة هي خصوصية الاستعداد الطبيعي</w:t>
      </w:r>
      <w:r>
        <w:rPr>
          <w:rFonts w:hint="cs"/>
          <w:rtl/>
        </w:rPr>
        <w:t>،</w:t>
      </w:r>
      <w:r w:rsidRPr="007D7079">
        <w:rPr>
          <w:rFonts w:hint="cs"/>
          <w:rtl/>
        </w:rPr>
        <w:t xml:space="preserve"> وحيث لم تأت</w:t>
      </w:r>
      <w:r>
        <w:rPr>
          <w:rFonts w:hint="cs"/>
          <w:rtl/>
        </w:rPr>
        <w:t>ٍ</w:t>
      </w:r>
      <w:r w:rsidRPr="007D7079">
        <w:rPr>
          <w:rFonts w:hint="cs"/>
          <w:rtl/>
        </w:rPr>
        <w:t xml:space="preserve"> على تعريف هذه المقولة فمن الصعوبة بمكان</w:t>
      </w:r>
      <w:r>
        <w:rPr>
          <w:rFonts w:hint="cs"/>
          <w:rtl/>
        </w:rPr>
        <w:t>ٍ</w:t>
      </w:r>
      <w:r w:rsidRPr="007D7079">
        <w:rPr>
          <w:rFonts w:hint="cs"/>
          <w:rtl/>
        </w:rPr>
        <w:t xml:space="preserve"> تحديد ما تقصده من </w:t>
      </w:r>
      <w:r>
        <w:rPr>
          <w:rFonts w:hint="cs"/>
          <w:rtl/>
        </w:rPr>
        <w:t>هذه ال</w:t>
      </w:r>
      <w:r w:rsidRPr="007D7079">
        <w:rPr>
          <w:rFonts w:hint="cs"/>
          <w:rtl/>
        </w:rPr>
        <w:t>خصوصية</w:t>
      </w:r>
      <w:r>
        <w:rPr>
          <w:rFonts w:hint="cs"/>
          <w:rtl/>
        </w:rPr>
        <w:t>،</w:t>
      </w:r>
      <w:r w:rsidRPr="007D7079">
        <w:rPr>
          <w:rFonts w:hint="cs"/>
          <w:rtl/>
        </w:rPr>
        <w:t xml:space="preserve"> لكن </w:t>
      </w:r>
      <w:r>
        <w:rPr>
          <w:rFonts w:hint="cs"/>
          <w:rtl/>
        </w:rPr>
        <w:t xml:space="preserve">بإمكاننا ـ عبر </w:t>
      </w:r>
      <w:r w:rsidRPr="007D7079">
        <w:rPr>
          <w:rFonts w:hint="cs"/>
          <w:rtl/>
        </w:rPr>
        <w:t xml:space="preserve">ملاحظة مضمون </w:t>
      </w:r>
      <w:r>
        <w:rPr>
          <w:rFonts w:hint="cs"/>
          <w:rtl/>
        </w:rPr>
        <w:t>دراسة مطيع ـ اعتقاد أنّ نظرها تركّز على د</w:t>
      </w:r>
      <w:r w:rsidRPr="007D7079">
        <w:rPr>
          <w:rFonts w:hint="cs"/>
          <w:rtl/>
        </w:rPr>
        <w:t>ور الأمومة</w:t>
      </w:r>
      <w:r>
        <w:rPr>
          <w:rFonts w:hint="cs"/>
          <w:rtl/>
        </w:rPr>
        <w:t>، وأ</w:t>
      </w:r>
      <w:r w:rsidRPr="007D7079">
        <w:rPr>
          <w:rFonts w:hint="cs"/>
          <w:rtl/>
        </w:rPr>
        <w:t>ن</w:t>
      </w:r>
      <w:r>
        <w:rPr>
          <w:rFonts w:hint="cs"/>
          <w:rtl/>
        </w:rPr>
        <w:t>ّ</w:t>
      </w:r>
      <w:r w:rsidRPr="007D7079">
        <w:rPr>
          <w:rFonts w:hint="cs"/>
          <w:rtl/>
        </w:rPr>
        <w:t>ه من الخصوصيات التي لا تقبل التغي</w:t>
      </w:r>
      <w:r>
        <w:rPr>
          <w:rFonts w:hint="cs"/>
          <w:rtl/>
        </w:rPr>
        <w:t>ّر في جنس المرأة،</w:t>
      </w:r>
      <w:r w:rsidRPr="007D7079">
        <w:rPr>
          <w:rFonts w:hint="cs"/>
          <w:rtl/>
        </w:rPr>
        <w:t xml:space="preserve"> وما أظن</w:t>
      </w:r>
      <w:r>
        <w:rPr>
          <w:rFonts w:hint="cs"/>
          <w:rtl/>
        </w:rPr>
        <w:t>ّ</w:t>
      </w:r>
      <w:r w:rsidRPr="007D7079">
        <w:rPr>
          <w:rFonts w:hint="cs"/>
          <w:rtl/>
        </w:rPr>
        <w:t xml:space="preserve">ه </w:t>
      </w:r>
      <w:r>
        <w:rPr>
          <w:rFonts w:hint="cs"/>
          <w:rtl/>
        </w:rPr>
        <w:t>أ</w:t>
      </w:r>
      <w:r w:rsidRPr="007D7079">
        <w:rPr>
          <w:rFonts w:hint="cs"/>
          <w:rtl/>
        </w:rPr>
        <w:t>ن</w:t>
      </w:r>
      <w:r>
        <w:rPr>
          <w:rFonts w:hint="cs"/>
          <w:rtl/>
        </w:rPr>
        <w:t>ه</w:t>
      </w:r>
      <w:r w:rsidRPr="007D7079">
        <w:rPr>
          <w:rFonts w:hint="cs"/>
          <w:rtl/>
        </w:rPr>
        <w:t xml:space="preserve"> </w:t>
      </w:r>
      <w:r>
        <w:rPr>
          <w:rFonts w:hint="cs"/>
          <w:rtl/>
        </w:rPr>
        <w:t xml:space="preserve">أنموذج </w:t>
      </w:r>
      <w:r w:rsidRPr="007D7079">
        <w:rPr>
          <w:rFonts w:hint="cs"/>
          <w:rtl/>
        </w:rPr>
        <w:t>آخر من التعاريف ال</w:t>
      </w:r>
      <w:r>
        <w:rPr>
          <w:rFonts w:hint="cs"/>
          <w:rtl/>
        </w:rPr>
        <w:t>ذاتية</w:t>
      </w:r>
      <w:r w:rsidRPr="007D7079">
        <w:rPr>
          <w:rFonts w:hint="cs"/>
          <w:rtl/>
        </w:rPr>
        <w:t xml:space="preserve"> التي قُدّمت للجنس المتنو</w:t>
      </w:r>
      <w:r>
        <w:rPr>
          <w:rFonts w:hint="cs"/>
          <w:rtl/>
        </w:rPr>
        <w:t>ّ</w:t>
      </w:r>
      <w:r w:rsidRPr="007D7079">
        <w:rPr>
          <w:rFonts w:hint="cs"/>
          <w:rtl/>
        </w:rPr>
        <w:t>ع والذي يكب</w:t>
      </w:r>
      <w:r>
        <w:rPr>
          <w:rFonts w:hint="cs"/>
          <w:rtl/>
        </w:rPr>
        <w:t>ّ</w:t>
      </w:r>
      <w:r w:rsidRPr="007D7079">
        <w:rPr>
          <w:rFonts w:hint="cs"/>
          <w:rtl/>
        </w:rPr>
        <w:t>ل الفكر ويأسره.</w:t>
      </w:r>
    </w:p>
    <w:p w:rsidR="006E0FDB" w:rsidRPr="007D7079" w:rsidRDefault="006E0FDB" w:rsidP="009368DE">
      <w:pPr>
        <w:pStyle w:val="ac"/>
        <w:spacing w:line="209" w:lineRule="auto"/>
        <w:rPr>
          <w:rtl/>
        </w:rPr>
      </w:pPr>
      <w:r w:rsidRPr="007D7079">
        <w:rPr>
          <w:rFonts w:hint="cs"/>
          <w:rtl/>
        </w:rPr>
        <w:t>إن</w:t>
      </w:r>
      <w:r>
        <w:rPr>
          <w:rFonts w:hint="cs"/>
          <w:rtl/>
        </w:rPr>
        <w:t>ّ</w:t>
      </w:r>
      <w:r w:rsidRPr="007D7079">
        <w:rPr>
          <w:rFonts w:hint="cs"/>
          <w:rtl/>
        </w:rPr>
        <w:t xml:space="preserve"> القيام بتعريف الجنس المتنو</w:t>
      </w:r>
      <w:r>
        <w:rPr>
          <w:rFonts w:hint="cs"/>
          <w:rtl/>
        </w:rPr>
        <w:t>ّ</w:t>
      </w:r>
      <w:r w:rsidRPr="007D7079">
        <w:rPr>
          <w:rFonts w:hint="cs"/>
          <w:rtl/>
        </w:rPr>
        <w:t xml:space="preserve">ع للمرأة بالاعتماد على </w:t>
      </w:r>
      <w:r>
        <w:rPr>
          <w:rFonts w:hint="cs"/>
          <w:rtl/>
        </w:rPr>
        <w:t>عنصر</w:t>
      </w:r>
      <w:r w:rsidRPr="007D7079">
        <w:rPr>
          <w:rFonts w:hint="cs"/>
          <w:rtl/>
        </w:rPr>
        <w:t xml:space="preserve"> الاستعداد الطبيعي ليس سوى </w:t>
      </w:r>
      <w:r>
        <w:rPr>
          <w:rFonts w:hint="cs"/>
          <w:rtl/>
        </w:rPr>
        <w:t xml:space="preserve">حصر </w:t>
      </w:r>
      <w:r w:rsidRPr="007D7079">
        <w:rPr>
          <w:rFonts w:hint="cs"/>
          <w:rtl/>
        </w:rPr>
        <w:t>للمرأة ب</w:t>
      </w:r>
      <w:r>
        <w:rPr>
          <w:rFonts w:hint="cs"/>
          <w:rtl/>
        </w:rPr>
        <w:t>إمكاناتها وب</w:t>
      </w:r>
      <w:r w:rsidRPr="007D7079">
        <w:rPr>
          <w:rFonts w:hint="cs"/>
          <w:rtl/>
        </w:rPr>
        <w:t xml:space="preserve">عمل الطبيعة، </w:t>
      </w:r>
      <w:r>
        <w:rPr>
          <w:rFonts w:hint="cs"/>
          <w:rtl/>
        </w:rPr>
        <w:t xml:space="preserve">كما أنّه يتبع </w:t>
      </w:r>
      <w:r w:rsidRPr="007D7079">
        <w:rPr>
          <w:rFonts w:hint="cs"/>
          <w:rtl/>
        </w:rPr>
        <w:t>نوع علاق</w:t>
      </w:r>
      <w:r>
        <w:rPr>
          <w:rFonts w:hint="cs"/>
          <w:rtl/>
        </w:rPr>
        <w:t>تها</w:t>
      </w:r>
      <w:r w:rsidRPr="007D7079">
        <w:rPr>
          <w:rFonts w:hint="cs"/>
          <w:rtl/>
        </w:rPr>
        <w:t xml:space="preserve"> </w:t>
      </w:r>
      <w:r>
        <w:rPr>
          <w:rFonts w:hint="cs"/>
          <w:rtl/>
        </w:rPr>
        <w:t>ب</w:t>
      </w:r>
      <w:r w:rsidRPr="007D7079">
        <w:rPr>
          <w:rFonts w:hint="cs"/>
          <w:rtl/>
        </w:rPr>
        <w:t>الرج</w:t>
      </w:r>
      <w:r>
        <w:rPr>
          <w:rFonts w:hint="cs"/>
          <w:rtl/>
        </w:rPr>
        <w:t>ل،</w:t>
      </w:r>
      <w:r w:rsidRPr="007D7079">
        <w:rPr>
          <w:rFonts w:hint="cs"/>
          <w:rtl/>
        </w:rPr>
        <w:t xml:space="preserve"> وبعبارة </w:t>
      </w:r>
      <w:r>
        <w:rPr>
          <w:rFonts w:hint="cs"/>
          <w:rtl/>
        </w:rPr>
        <w:t>أخرى:</w:t>
      </w:r>
      <w:r w:rsidRPr="007D7079">
        <w:rPr>
          <w:rFonts w:hint="cs"/>
          <w:rtl/>
        </w:rPr>
        <w:t xml:space="preserve"> </w:t>
      </w:r>
      <w:r>
        <w:rPr>
          <w:rFonts w:hint="cs"/>
          <w:rtl/>
        </w:rPr>
        <w:t xml:space="preserve">النقطة التي يراد نقد </w:t>
      </w:r>
      <w:r w:rsidRPr="007D7079">
        <w:rPr>
          <w:rFonts w:hint="cs"/>
          <w:rtl/>
        </w:rPr>
        <w:t xml:space="preserve">النسوية فيها </w:t>
      </w:r>
      <w:r>
        <w:rPr>
          <w:rFonts w:hint="cs"/>
          <w:rtl/>
        </w:rPr>
        <w:t xml:space="preserve">ـ </w:t>
      </w:r>
      <w:r w:rsidRPr="007D7079">
        <w:rPr>
          <w:rFonts w:hint="cs"/>
          <w:rtl/>
        </w:rPr>
        <w:t>مع ضمان حرية</w:t>
      </w:r>
      <w:r>
        <w:rPr>
          <w:rFonts w:hint="cs"/>
          <w:rtl/>
        </w:rPr>
        <w:t xml:space="preserve"> المرأة ـ </w:t>
      </w:r>
      <w:r w:rsidRPr="007D7079">
        <w:rPr>
          <w:rFonts w:hint="cs"/>
          <w:rtl/>
        </w:rPr>
        <w:t xml:space="preserve">هي </w:t>
      </w:r>
      <w:r>
        <w:rPr>
          <w:rFonts w:hint="cs"/>
          <w:rtl/>
        </w:rPr>
        <w:t xml:space="preserve">السببب في وقوع المرأة </w:t>
      </w:r>
      <w:r w:rsidRPr="007D7079">
        <w:rPr>
          <w:rFonts w:hint="cs"/>
          <w:rtl/>
        </w:rPr>
        <w:t>ثانية</w:t>
      </w:r>
      <w:r>
        <w:rPr>
          <w:rFonts w:hint="cs"/>
          <w:rtl/>
        </w:rPr>
        <w:t>ً</w:t>
      </w:r>
      <w:r w:rsidRPr="007D7079">
        <w:rPr>
          <w:rFonts w:hint="cs"/>
          <w:rtl/>
        </w:rPr>
        <w:t xml:space="preserve"> في </w:t>
      </w:r>
      <w:r>
        <w:rPr>
          <w:rFonts w:hint="cs"/>
          <w:rtl/>
        </w:rPr>
        <w:t>أ</w:t>
      </w:r>
      <w:r w:rsidRPr="007D7079">
        <w:rPr>
          <w:rFonts w:hint="cs"/>
          <w:rtl/>
        </w:rPr>
        <w:t xml:space="preserve">سر القيود التي تُكبّل </w:t>
      </w:r>
      <w:r>
        <w:rPr>
          <w:rFonts w:hint="cs"/>
          <w:rtl/>
        </w:rPr>
        <w:t>يديها وقدميها؛</w:t>
      </w:r>
      <w:r w:rsidRPr="007D7079">
        <w:rPr>
          <w:rFonts w:hint="cs"/>
          <w:rtl/>
        </w:rPr>
        <w:t xml:space="preserve"> فماذا لدينا </w:t>
      </w:r>
      <w:r>
        <w:rPr>
          <w:rFonts w:hint="cs"/>
          <w:rtl/>
        </w:rPr>
        <w:t xml:space="preserve">من كلام ـ </w:t>
      </w:r>
      <w:r w:rsidRPr="007D7079">
        <w:rPr>
          <w:rFonts w:hint="cs"/>
          <w:rtl/>
        </w:rPr>
        <w:t>إ</w:t>
      </w:r>
      <w:r>
        <w:rPr>
          <w:rFonts w:hint="cs"/>
          <w:rtl/>
        </w:rPr>
        <w:t>ذا</w:t>
      </w:r>
      <w:r w:rsidRPr="007D7079">
        <w:rPr>
          <w:rFonts w:hint="cs"/>
          <w:rtl/>
        </w:rPr>
        <w:t xml:space="preserve"> اعتمدنا على مثل هذا </w:t>
      </w:r>
      <w:r>
        <w:rPr>
          <w:rFonts w:hint="cs"/>
          <w:rtl/>
        </w:rPr>
        <w:t xml:space="preserve">التصوّر </w:t>
      </w:r>
      <w:r w:rsidRPr="007D7079">
        <w:rPr>
          <w:rFonts w:hint="cs"/>
          <w:rtl/>
        </w:rPr>
        <w:t xml:space="preserve">للمرأة </w:t>
      </w:r>
      <w:r>
        <w:rPr>
          <w:rFonts w:hint="cs"/>
          <w:rtl/>
        </w:rPr>
        <w:t xml:space="preserve">ـ </w:t>
      </w:r>
      <w:r w:rsidRPr="007D7079">
        <w:rPr>
          <w:rFonts w:hint="cs"/>
          <w:rtl/>
        </w:rPr>
        <w:t>للنساء الكثيرات اللواتي لا يُمكنهن</w:t>
      </w:r>
      <w:r>
        <w:rPr>
          <w:rFonts w:hint="cs"/>
          <w:rtl/>
        </w:rPr>
        <w:t>ّ</w:t>
      </w:r>
      <w:r w:rsidRPr="007D7079">
        <w:rPr>
          <w:rFonts w:hint="cs"/>
          <w:rtl/>
        </w:rPr>
        <w:t xml:space="preserve"> الحمل</w:t>
      </w:r>
      <w:r>
        <w:rPr>
          <w:rFonts w:hint="cs"/>
          <w:rtl/>
        </w:rPr>
        <w:t xml:space="preserve"> أو </w:t>
      </w:r>
      <w:r w:rsidRPr="007D7079">
        <w:rPr>
          <w:rFonts w:hint="cs"/>
          <w:rtl/>
        </w:rPr>
        <w:t>لا يُردن</w:t>
      </w:r>
      <w:r>
        <w:rPr>
          <w:rFonts w:hint="cs"/>
          <w:rtl/>
        </w:rPr>
        <w:t>ه</w:t>
      </w:r>
      <w:r w:rsidRPr="007D7079">
        <w:rPr>
          <w:rFonts w:hint="cs"/>
          <w:rtl/>
        </w:rPr>
        <w:t>؟ فهل هن</w:t>
      </w:r>
      <w:r>
        <w:rPr>
          <w:rFonts w:hint="cs"/>
          <w:rtl/>
        </w:rPr>
        <w:t>ّ</w:t>
      </w:r>
      <w:r w:rsidRPr="007D7079">
        <w:rPr>
          <w:rFonts w:hint="cs"/>
          <w:rtl/>
        </w:rPr>
        <w:t xml:space="preserve"> </w:t>
      </w:r>
      <w:r>
        <w:rPr>
          <w:rFonts w:hint="cs"/>
          <w:rtl/>
        </w:rPr>
        <w:t>أ</w:t>
      </w:r>
      <w:r w:rsidRPr="007D7079">
        <w:rPr>
          <w:rFonts w:hint="cs"/>
          <w:rtl/>
        </w:rPr>
        <w:t>قل</w:t>
      </w:r>
      <w:r>
        <w:rPr>
          <w:rFonts w:hint="cs"/>
          <w:rtl/>
        </w:rPr>
        <w:t>ّ</w:t>
      </w:r>
      <w:r w:rsidRPr="007D7079">
        <w:rPr>
          <w:rFonts w:hint="cs"/>
          <w:rtl/>
        </w:rPr>
        <w:t xml:space="preserve"> شأنا</w:t>
      </w:r>
      <w:r>
        <w:rPr>
          <w:rFonts w:hint="cs"/>
          <w:rtl/>
        </w:rPr>
        <w:t>ً</w:t>
      </w:r>
      <w:r w:rsidRPr="007D7079">
        <w:rPr>
          <w:rFonts w:hint="cs"/>
          <w:rtl/>
        </w:rPr>
        <w:t xml:space="preserve"> من </w:t>
      </w:r>
      <w:r>
        <w:rPr>
          <w:rFonts w:hint="cs"/>
          <w:rtl/>
        </w:rPr>
        <w:t>ال</w:t>
      </w:r>
      <w:r w:rsidRPr="007D7079">
        <w:rPr>
          <w:rFonts w:hint="cs"/>
          <w:rtl/>
        </w:rPr>
        <w:t>أ</w:t>
      </w:r>
      <w:r>
        <w:rPr>
          <w:rFonts w:hint="cs"/>
          <w:rtl/>
        </w:rPr>
        <w:t>مهات أم أ</w:t>
      </w:r>
      <w:r w:rsidRPr="007D7079">
        <w:rPr>
          <w:rFonts w:hint="cs"/>
          <w:rtl/>
        </w:rPr>
        <w:t>ن</w:t>
      </w:r>
      <w:r>
        <w:rPr>
          <w:rFonts w:hint="cs"/>
          <w:rtl/>
        </w:rPr>
        <w:t>ّ</w:t>
      </w:r>
      <w:r w:rsidRPr="007D7079">
        <w:rPr>
          <w:rFonts w:hint="cs"/>
          <w:rtl/>
        </w:rPr>
        <w:t xml:space="preserve"> أُنثوي</w:t>
      </w:r>
      <w:r>
        <w:rPr>
          <w:rFonts w:hint="cs"/>
          <w:rtl/>
        </w:rPr>
        <w:t>ّ</w:t>
      </w:r>
      <w:r w:rsidRPr="007D7079">
        <w:rPr>
          <w:rFonts w:hint="cs"/>
          <w:rtl/>
        </w:rPr>
        <w:t>تهن</w:t>
      </w:r>
      <w:r>
        <w:rPr>
          <w:rFonts w:hint="cs"/>
          <w:rtl/>
        </w:rPr>
        <w:t>ّ</w:t>
      </w:r>
      <w:r w:rsidRPr="007D7079">
        <w:rPr>
          <w:rFonts w:hint="cs"/>
          <w:rtl/>
        </w:rPr>
        <w:t xml:space="preserve"> </w:t>
      </w:r>
      <w:r>
        <w:rPr>
          <w:rFonts w:hint="cs"/>
          <w:rtl/>
        </w:rPr>
        <w:t>أ</w:t>
      </w:r>
      <w:r w:rsidRPr="007D7079">
        <w:rPr>
          <w:rFonts w:hint="cs"/>
          <w:rtl/>
        </w:rPr>
        <w:t>قل</w:t>
      </w:r>
      <w:r>
        <w:rPr>
          <w:rFonts w:hint="cs"/>
          <w:rtl/>
        </w:rPr>
        <w:t>ّ</w:t>
      </w:r>
      <w:r w:rsidRPr="007D7079">
        <w:rPr>
          <w:rFonts w:hint="cs"/>
          <w:rtl/>
        </w:rPr>
        <w:t>؟</w:t>
      </w:r>
    </w:p>
    <w:p w:rsidR="006E0FDB" w:rsidRPr="007D7079" w:rsidRDefault="006E0FDB" w:rsidP="006E0FDB">
      <w:pPr>
        <w:pStyle w:val="ac"/>
        <w:rPr>
          <w:rtl/>
        </w:rPr>
      </w:pPr>
      <w:r w:rsidRPr="007D7079">
        <w:rPr>
          <w:rFonts w:hint="cs"/>
          <w:rtl/>
        </w:rPr>
        <w:t>نعم</w:t>
      </w:r>
      <w:r>
        <w:rPr>
          <w:rFonts w:hint="cs"/>
          <w:rtl/>
        </w:rPr>
        <w:t>،</w:t>
      </w:r>
      <w:r w:rsidRPr="007D7079">
        <w:rPr>
          <w:rFonts w:hint="cs"/>
          <w:rtl/>
        </w:rPr>
        <w:t xml:space="preserve"> استعداد</w:t>
      </w:r>
      <w:r>
        <w:rPr>
          <w:rFonts w:hint="cs"/>
          <w:rtl/>
        </w:rPr>
        <w:t xml:space="preserve"> المرأة </w:t>
      </w:r>
      <w:r w:rsidRPr="007D7079">
        <w:rPr>
          <w:rFonts w:hint="cs"/>
          <w:rtl/>
        </w:rPr>
        <w:t xml:space="preserve">للحمل والولادة </w:t>
      </w:r>
      <w:r>
        <w:rPr>
          <w:rFonts w:hint="cs"/>
          <w:rtl/>
        </w:rPr>
        <w:t>أمرٌ</w:t>
      </w:r>
      <w:r w:rsidRPr="007D7079">
        <w:rPr>
          <w:rFonts w:hint="cs"/>
          <w:rtl/>
        </w:rPr>
        <w:t xml:space="preserve"> لا مفرّ منه</w:t>
      </w:r>
      <w:r>
        <w:rPr>
          <w:rFonts w:hint="cs"/>
          <w:rtl/>
        </w:rPr>
        <w:t xml:space="preserve">، </w:t>
      </w:r>
      <w:r w:rsidRPr="007D7079">
        <w:rPr>
          <w:rFonts w:hint="cs"/>
          <w:rtl/>
        </w:rPr>
        <w:t>لكن</w:t>
      </w:r>
      <w:r>
        <w:rPr>
          <w:rFonts w:hint="cs"/>
          <w:rtl/>
        </w:rPr>
        <w:t>ّ</w:t>
      </w:r>
      <w:r w:rsidRPr="007D7079">
        <w:rPr>
          <w:rFonts w:hint="cs"/>
          <w:rtl/>
        </w:rPr>
        <w:t xml:space="preserve">نا لو تجاوزنا </w:t>
      </w:r>
      <w:r>
        <w:rPr>
          <w:rFonts w:hint="cs"/>
          <w:rtl/>
        </w:rPr>
        <w:t xml:space="preserve">ذلك بوصفه </w:t>
      </w:r>
      <w:r w:rsidRPr="007D7079">
        <w:rPr>
          <w:rFonts w:hint="cs"/>
          <w:rtl/>
        </w:rPr>
        <w:t>استعداد</w:t>
      </w:r>
      <w:r>
        <w:rPr>
          <w:rFonts w:hint="cs"/>
          <w:rtl/>
        </w:rPr>
        <w:t>اً</w:t>
      </w:r>
      <w:r w:rsidRPr="007D7079">
        <w:rPr>
          <w:rFonts w:hint="cs"/>
          <w:rtl/>
        </w:rPr>
        <w:t xml:space="preserve"> تكويني</w:t>
      </w:r>
      <w:r>
        <w:rPr>
          <w:rFonts w:hint="cs"/>
          <w:rtl/>
        </w:rPr>
        <w:t>ّاً</w:t>
      </w:r>
      <w:r w:rsidRPr="007D7079">
        <w:rPr>
          <w:rFonts w:hint="cs"/>
          <w:rtl/>
        </w:rPr>
        <w:t xml:space="preserve"> طبيعي</w:t>
      </w:r>
      <w:r>
        <w:rPr>
          <w:rFonts w:hint="cs"/>
          <w:rtl/>
        </w:rPr>
        <w:t xml:space="preserve">ّاً إلى </w:t>
      </w:r>
      <w:r w:rsidRPr="007D7079">
        <w:rPr>
          <w:rFonts w:hint="cs"/>
          <w:rtl/>
        </w:rPr>
        <w:t>خصوصية الجنس المتنو</w:t>
      </w:r>
      <w:r>
        <w:rPr>
          <w:rFonts w:hint="cs"/>
          <w:rtl/>
        </w:rPr>
        <w:t>ّ</w:t>
      </w:r>
      <w:r w:rsidRPr="007D7079">
        <w:rPr>
          <w:rFonts w:hint="cs"/>
          <w:rtl/>
        </w:rPr>
        <w:t>ع فلن يجد هذا طريقه</w:t>
      </w:r>
      <w:r>
        <w:rPr>
          <w:rFonts w:hint="cs"/>
          <w:rtl/>
        </w:rPr>
        <w:t xml:space="preserve"> إلى هناك،</w:t>
      </w:r>
      <w:r w:rsidRPr="007D7079">
        <w:rPr>
          <w:rFonts w:hint="cs"/>
          <w:rtl/>
        </w:rPr>
        <w:t xml:space="preserve"> إن</w:t>
      </w:r>
      <w:r>
        <w:rPr>
          <w:rFonts w:hint="cs"/>
          <w:rtl/>
        </w:rPr>
        <w:t>ّ</w:t>
      </w:r>
      <w:r w:rsidRPr="007D7079">
        <w:rPr>
          <w:rFonts w:hint="cs"/>
          <w:rtl/>
        </w:rPr>
        <w:t xml:space="preserve"> وظيفة الأمومة لا تجد معناها إلا في إطار الثقافة والقيم ال</w:t>
      </w:r>
      <w:r>
        <w:rPr>
          <w:rFonts w:hint="cs"/>
          <w:rtl/>
        </w:rPr>
        <w:t>اجتماع</w:t>
      </w:r>
      <w:r w:rsidRPr="007D7079">
        <w:rPr>
          <w:rFonts w:hint="cs"/>
          <w:rtl/>
        </w:rPr>
        <w:t>ية</w:t>
      </w:r>
      <w:r>
        <w:rPr>
          <w:rFonts w:hint="cs"/>
          <w:rtl/>
        </w:rPr>
        <w:t>،</w:t>
      </w:r>
      <w:r w:rsidRPr="007D7079">
        <w:rPr>
          <w:rFonts w:hint="cs"/>
          <w:rtl/>
        </w:rPr>
        <w:t xml:space="preserve"> أي ثقافة سيادة الرجل والقيم ال</w:t>
      </w:r>
      <w:r>
        <w:rPr>
          <w:rFonts w:hint="cs"/>
          <w:rtl/>
        </w:rPr>
        <w:t>اجتماع</w:t>
      </w:r>
      <w:r w:rsidRPr="007D7079">
        <w:rPr>
          <w:rFonts w:hint="cs"/>
          <w:rtl/>
        </w:rPr>
        <w:t xml:space="preserve">ية </w:t>
      </w:r>
      <w:r>
        <w:rPr>
          <w:rFonts w:hint="cs"/>
          <w:rtl/>
        </w:rPr>
        <w:t xml:space="preserve">القائمة عليها، </w:t>
      </w:r>
      <w:r w:rsidRPr="007D7079">
        <w:rPr>
          <w:rFonts w:hint="cs"/>
          <w:rtl/>
        </w:rPr>
        <w:t>و</w:t>
      </w:r>
      <w:r>
        <w:rPr>
          <w:rFonts w:hint="cs"/>
          <w:rtl/>
        </w:rPr>
        <w:t xml:space="preserve">هي الثقافة التي حكمت </w:t>
      </w:r>
      <w:r w:rsidRPr="007D7079">
        <w:rPr>
          <w:rFonts w:hint="cs"/>
          <w:rtl/>
        </w:rPr>
        <w:t xml:space="preserve">على </w:t>
      </w:r>
      <w:r>
        <w:rPr>
          <w:rFonts w:hint="cs"/>
          <w:rtl/>
        </w:rPr>
        <w:t>امتداد تاريخ البشرية،</w:t>
      </w:r>
      <w:r w:rsidRPr="007D7079">
        <w:rPr>
          <w:rFonts w:hint="cs"/>
          <w:rtl/>
        </w:rPr>
        <w:t xml:space="preserve"> </w:t>
      </w:r>
      <w:r>
        <w:rPr>
          <w:rFonts w:hint="cs"/>
          <w:rtl/>
        </w:rPr>
        <w:t>إنّنا لن نجد معنى ل</w:t>
      </w:r>
      <w:r w:rsidRPr="007D7079">
        <w:rPr>
          <w:rFonts w:hint="cs"/>
          <w:rtl/>
        </w:rPr>
        <w:t xml:space="preserve">وظيفة الأمومة </w:t>
      </w:r>
      <w:r>
        <w:rPr>
          <w:rFonts w:hint="cs"/>
          <w:rtl/>
        </w:rPr>
        <w:t xml:space="preserve">ـ </w:t>
      </w:r>
      <w:r w:rsidRPr="007D7079">
        <w:rPr>
          <w:rFonts w:hint="cs"/>
          <w:rtl/>
        </w:rPr>
        <w:t xml:space="preserve">لو أردنا </w:t>
      </w:r>
      <w:r>
        <w:rPr>
          <w:rFonts w:hint="cs"/>
          <w:rtl/>
        </w:rPr>
        <w:t xml:space="preserve">تخطّي كونها ظاهرة </w:t>
      </w:r>
      <w:r w:rsidRPr="007D7079">
        <w:rPr>
          <w:rFonts w:hint="cs"/>
          <w:rtl/>
        </w:rPr>
        <w:t xml:space="preserve">طبيعية </w:t>
      </w:r>
      <w:r>
        <w:rPr>
          <w:rFonts w:hint="cs"/>
          <w:rtl/>
        </w:rPr>
        <w:t xml:space="preserve">ـ </w:t>
      </w:r>
      <w:r w:rsidRPr="007D7079">
        <w:rPr>
          <w:rFonts w:hint="cs"/>
          <w:rtl/>
        </w:rPr>
        <w:t xml:space="preserve">داخل </w:t>
      </w:r>
      <w:r>
        <w:rPr>
          <w:rFonts w:hint="cs"/>
          <w:rtl/>
        </w:rPr>
        <w:t xml:space="preserve">البُنية </w:t>
      </w:r>
      <w:r w:rsidRPr="007D7079">
        <w:rPr>
          <w:rFonts w:hint="cs"/>
          <w:rtl/>
        </w:rPr>
        <w:t>ال</w:t>
      </w:r>
      <w:r>
        <w:rPr>
          <w:rFonts w:hint="cs"/>
          <w:rtl/>
        </w:rPr>
        <w:t>اجتماع</w:t>
      </w:r>
      <w:r w:rsidRPr="007D7079">
        <w:rPr>
          <w:rFonts w:hint="cs"/>
          <w:rtl/>
        </w:rPr>
        <w:t>ي</w:t>
      </w:r>
      <w:r>
        <w:rPr>
          <w:rFonts w:hint="cs"/>
          <w:rtl/>
        </w:rPr>
        <w:t>ّة</w:t>
      </w:r>
      <w:r w:rsidRPr="007D7079">
        <w:rPr>
          <w:rFonts w:hint="cs"/>
          <w:rtl/>
        </w:rPr>
        <w:t xml:space="preserve"> ـ الثقافي</w:t>
      </w:r>
      <w:r>
        <w:rPr>
          <w:rFonts w:hint="cs"/>
          <w:rtl/>
        </w:rPr>
        <w:t xml:space="preserve">ّة، فما </w:t>
      </w:r>
      <w:r w:rsidRPr="007D7079">
        <w:rPr>
          <w:rFonts w:hint="cs"/>
          <w:rtl/>
        </w:rPr>
        <w:t>نتصو</w:t>
      </w:r>
      <w:r>
        <w:rPr>
          <w:rFonts w:hint="cs"/>
          <w:rtl/>
        </w:rPr>
        <w:t>ّ</w:t>
      </w:r>
      <w:r w:rsidRPr="007D7079">
        <w:rPr>
          <w:rFonts w:hint="cs"/>
          <w:rtl/>
        </w:rPr>
        <w:t>ره عن هذ</w:t>
      </w:r>
      <w:r>
        <w:rPr>
          <w:rFonts w:hint="cs"/>
          <w:rtl/>
        </w:rPr>
        <w:t>ه الوظيفة</w:t>
      </w:r>
      <w:r w:rsidRPr="007D7079">
        <w:rPr>
          <w:rFonts w:hint="cs"/>
          <w:rtl/>
        </w:rPr>
        <w:t xml:space="preserve"> </w:t>
      </w:r>
      <w:r>
        <w:rPr>
          <w:rFonts w:hint="cs"/>
          <w:rtl/>
        </w:rPr>
        <w:t xml:space="preserve">من كونها </w:t>
      </w:r>
      <w:r w:rsidRPr="007D7079">
        <w:rPr>
          <w:rFonts w:hint="cs"/>
          <w:rtl/>
        </w:rPr>
        <w:t>استعداد</w:t>
      </w:r>
      <w:r>
        <w:rPr>
          <w:rFonts w:hint="cs"/>
          <w:rtl/>
        </w:rPr>
        <w:t>اً</w:t>
      </w:r>
      <w:r w:rsidRPr="007D7079">
        <w:rPr>
          <w:rFonts w:hint="cs"/>
          <w:rtl/>
        </w:rPr>
        <w:t xml:space="preserve"> طبيعي</w:t>
      </w:r>
      <w:r>
        <w:rPr>
          <w:rFonts w:hint="cs"/>
          <w:rtl/>
        </w:rPr>
        <w:t>ّاً</w:t>
      </w:r>
      <w:r w:rsidRPr="007D7079">
        <w:rPr>
          <w:rFonts w:hint="cs"/>
          <w:rtl/>
        </w:rPr>
        <w:t xml:space="preserve"> غير</w:t>
      </w:r>
      <w:r>
        <w:rPr>
          <w:rFonts w:hint="cs"/>
          <w:rtl/>
        </w:rPr>
        <w:t>ُ</w:t>
      </w:r>
      <w:r w:rsidRPr="007D7079">
        <w:rPr>
          <w:rFonts w:hint="cs"/>
          <w:rtl/>
        </w:rPr>
        <w:t xml:space="preserve"> منتزع من </w:t>
      </w:r>
      <w:r>
        <w:rPr>
          <w:rFonts w:hint="cs"/>
          <w:rtl/>
        </w:rPr>
        <w:t>بطن الاجتماع البشري،</w:t>
      </w:r>
      <w:r w:rsidRPr="007D7079">
        <w:rPr>
          <w:rFonts w:hint="cs"/>
          <w:rtl/>
        </w:rPr>
        <w:t xml:space="preserve"> بل إن إدراكنا لجسم ال</w:t>
      </w:r>
      <w:r>
        <w:rPr>
          <w:rFonts w:hint="cs"/>
          <w:rtl/>
        </w:rPr>
        <w:t>إنسان</w:t>
      </w:r>
      <w:r w:rsidRPr="007D7079">
        <w:rPr>
          <w:rFonts w:hint="cs"/>
          <w:rtl/>
        </w:rPr>
        <w:t xml:space="preserve"> </w:t>
      </w:r>
      <w:r>
        <w:rPr>
          <w:rFonts w:hint="cs"/>
          <w:rtl/>
        </w:rPr>
        <w:t xml:space="preserve">ـ </w:t>
      </w:r>
      <w:r w:rsidRPr="007D7079">
        <w:rPr>
          <w:rFonts w:hint="cs"/>
          <w:rtl/>
        </w:rPr>
        <w:t>ومن جملة ذلك القدرة على الحمل</w:t>
      </w:r>
      <w:r>
        <w:rPr>
          <w:rFonts w:hint="cs"/>
          <w:rtl/>
        </w:rPr>
        <w:t xml:space="preserve"> والاستعداد الطبيعي</w:t>
      </w:r>
      <w:r w:rsidRPr="007D7079">
        <w:rPr>
          <w:rFonts w:hint="cs"/>
          <w:rtl/>
        </w:rPr>
        <w:t xml:space="preserve"> </w:t>
      </w:r>
      <w:r>
        <w:rPr>
          <w:rFonts w:hint="cs"/>
          <w:rtl/>
        </w:rPr>
        <w:t xml:space="preserve">ـ </w:t>
      </w:r>
      <w:r w:rsidRPr="007D7079">
        <w:rPr>
          <w:rFonts w:hint="cs"/>
          <w:rtl/>
        </w:rPr>
        <w:t>يشك</w:t>
      </w:r>
      <w:r>
        <w:rPr>
          <w:rFonts w:hint="cs"/>
          <w:rtl/>
        </w:rPr>
        <w:t>ّ</w:t>
      </w:r>
      <w:r w:rsidRPr="007D7079">
        <w:rPr>
          <w:rFonts w:hint="cs"/>
          <w:rtl/>
        </w:rPr>
        <w:t>ل دائما</w:t>
      </w:r>
      <w:r>
        <w:rPr>
          <w:rFonts w:hint="cs"/>
          <w:rtl/>
        </w:rPr>
        <w:t>ً</w:t>
      </w:r>
      <w:r w:rsidRPr="007D7079">
        <w:rPr>
          <w:rFonts w:hint="cs"/>
          <w:rtl/>
        </w:rPr>
        <w:t xml:space="preserve"> معرفة</w:t>
      </w:r>
      <w:r>
        <w:rPr>
          <w:rFonts w:hint="cs"/>
          <w:rtl/>
        </w:rPr>
        <w:t>ً</w:t>
      </w:r>
      <w:r w:rsidRPr="007D7079">
        <w:rPr>
          <w:rFonts w:hint="cs"/>
          <w:rtl/>
        </w:rPr>
        <w:t xml:space="preserve"> </w:t>
      </w:r>
      <w:r>
        <w:rPr>
          <w:rFonts w:hint="cs"/>
          <w:rtl/>
        </w:rPr>
        <w:t>اجتماع</w:t>
      </w:r>
      <w:r w:rsidRPr="007D7079">
        <w:rPr>
          <w:rFonts w:hint="cs"/>
          <w:rtl/>
        </w:rPr>
        <w:t xml:space="preserve">ية ـ تاريخية، </w:t>
      </w:r>
      <w:r>
        <w:rPr>
          <w:rFonts w:hint="cs"/>
          <w:rtl/>
        </w:rPr>
        <w:t>فالأ</w:t>
      </w:r>
      <w:r w:rsidRPr="007D7079">
        <w:rPr>
          <w:rFonts w:hint="cs"/>
          <w:rtl/>
        </w:rPr>
        <w:t xml:space="preserve">مومة تجد معناها متى تجاوزنا النظر </w:t>
      </w:r>
      <w:r>
        <w:rPr>
          <w:rFonts w:hint="cs"/>
          <w:rtl/>
        </w:rPr>
        <w:t>إ</w:t>
      </w:r>
      <w:r w:rsidRPr="007D7079">
        <w:rPr>
          <w:rFonts w:hint="cs"/>
          <w:rtl/>
        </w:rPr>
        <w:t xml:space="preserve">ليها </w:t>
      </w:r>
      <w:r>
        <w:rPr>
          <w:rFonts w:hint="cs"/>
          <w:rtl/>
        </w:rPr>
        <w:t xml:space="preserve">بوصفها </w:t>
      </w:r>
      <w:r w:rsidRPr="007D7079">
        <w:rPr>
          <w:rFonts w:hint="cs"/>
          <w:rtl/>
        </w:rPr>
        <w:t>استعداد</w:t>
      </w:r>
      <w:r>
        <w:rPr>
          <w:rFonts w:hint="cs"/>
          <w:rtl/>
        </w:rPr>
        <w:t>اً</w:t>
      </w:r>
      <w:r w:rsidRPr="007D7079">
        <w:rPr>
          <w:rFonts w:hint="cs"/>
          <w:rtl/>
        </w:rPr>
        <w:t xml:space="preserve"> للحمل والولادة</w:t>
      </w:r>
      <w:r>
        <w:rPr>
          <w:rFonts w:hint="cs"/>
          <w:rtl/>
        </w:rPr>
        <w:t xml:space="preserve"> فقط، لتغدو</w:t>
      </w:r>
      <w:r w:rsidRPr="007D7079">
        <w:rPr>
          <w:rFonts w:hint="cs"/>
          <w:rtl/>
        </w:rPr>
        <w:t xml:space="preserve"> مجموعة</w:t>
      </w:r>
      <w:r>
        <w:rPr>
          <w:rFonts w:hint="cs"/>
          <w:rtl/>
        </w:rPr>
        <w:t>ً</w:t>
      </w:r>
      <w:r w:rsidRPr="007D7079">
        <w:rPr>
          <w:rFonts w:hint="cs"/>
          <w:rtl/>
        </w:rPr>
        <w:t xml:space="preserve"> من المقولات الثقافية والقيم ال</w:t>
      </w:r>
      <w:r>
        <w:rPr>
          <w:rFonts w:hint="cs"/>
          <w:rtl/>
        </w:rPr>
        <w:t>اجتماع</w:t>
      </w:r>
      <w:r w:rsidRPr="007D7079">
        <w:rPr>
          <w:rFonts w:hint="cs"/>
          <w:rtl/>
        </w:rPr>
        <w:t>ية المتول</w:t>
      </w:r>
      <w:r>
        <w:rPr>
          <w:rFonts w:hint="cs"/>
          <w:rtl/>
        </w:rPr>
        <w:t>ّ</w:t>
      </w:r>
      <w:r w:rsidRPr="007D7079">
        <w:rPr>
          <w:rFonts w:hint="cs"/>
          <w:rtl/>
        </w:rPr>
        <w:t xml:space="preserve">دة من هذا الاستعداد </w:t>
      </w:r>
      <w:r w:rsidRPr="007D7079">
        <w:rPr>
          <w:rFonts w:hint="cs"/>
          <w:rtl/>
        </w:rPr>
        <w:lastRenderedPageBreak/>
        <w:t>الطبيعي</w:t>
      </w:r>
      <w:r>
        <w:rPr>
          <w:rFonts w:hint="cs"/>
          <w:rtl/>
        </w:rPr>
        <w:t>،</w:t>
      </w:r>
      <w:r w:rsidRPr="007D7079">
        <w:rPr>
          <w:rFonts w:hint="cs"/>
          <w:rtl/>
        </w:rPr>
        <w:t xml:space="preserve"> كحضانة الأطفال</w:t>
      </w:r>
      <w:r>
        <w:rPr>
          <w:rFonts w:hint="cs"/>
          <w:rtl/>
        </w:rPr>
        <w:t>،</w:t>
      </w:r>
      <w:r w:rsidRPr="007D7079">
        <w:rPr>
          <w:rFonts w:hint="cs"/>
          <w:rtl/>
        </w:rPr>
        <w:t xml:space="preserve"> بما </w:t>
      </w:r>
      <w:r>
        <w:rPr>
          <w:rFonts w:hint="cs"/>
          <w:rtl/>
        </w:rPr>
        <w:t>هي</w:t>
      </w:r>
      <w:r w:rsidRPr="007D7079">
        <w:rPr>
          <w:rFonts w:hint="cs"/>
          <w:rtl/>
        </w:rPr>
        <w:t xml:space="preserve"> مسؤولية </w:t>
      </w:r>
      <w:r>
        <w:rPr>
          <w:rFonts w:hint="cs"/>
          <w:rtl/>
        </w:rPr>
        <w:t xml:space="preserve">منحصرة بالمرأة أو </w:t>
      </w:r>
      <w:r w:rsidRPr="007D7079">
        <w:rPr>
          <w:rFonts w:hint="cs"/>
          <w:rtl/>
        </w:rPr>
        <w:t xml:space="preserve">تقع في </w:t>
      </w:r>
      <w:r>
        <w:rPr>
          <w:rFonts w:hint="cs"/>
          <w:rtl/>
        </w:rPr>
        <w:t xml:space="preserve">الأغلب </w:t>
      </w:r>
      <w:r w:rsidRPr="007D7079">
        <w:rPr>
          <w:rFonts w:hint="cs"/>
          <w:rtl/>
        </w:rPr>
        <w:t>على عاتق</w:t>
      </w:r>
      <w:r>
        <w:rPr>
          <w:rFonts w:hint="cs"/>
          <w:rtl/>
        </w:rPr>
        <w:t>ها</w:t>
      </w:r>
      <w:r w:rsidRPr="007D7079">
        <w:rPr>
          <w:rFonts w:hint="cs"/>
          <w:rtl/>
        </w:rPr>
        <w:t>، وكالعلاقة في تقسيم الوظائف بين وجود الأطفال والدور الاقتصادي ـ ال</w:t>
      </w:r>
      <w:r>
        <w:rPr>
          <w:rFonts w:hint="cs"/>
          <w:rtl/>
        </w:rPr>
        <w:t>اجتماع</w:t>
      </w:r>
      <w:r w:rsidRPr="007D7079">
        <w:rPr>
          <w:rFonts w:hint="cs"/>
          <w:rtl/>
        </w:rPr>
        <w:t>ي للوالدين.</w:t>
      </w:r>
    </w:p>
    <w:p w:rsidR="006E0FDB" w:rsidRDefault="006E0FDB" w:rsidP="006E0FDB">
      <w:pPr>
        <w:pStyle w:val="ac"/>
        <w:rPr>
          <w:rtl/>
        </w:rPr>
      </w:pPr>
      <w:r w:rsidRPr="007D7079">
        <w:rPr>
          <w:rFonts w:hint="cs"/>
          <w:rtl/>
        </w:rPr>
        <w:t>إن</w:t>
      </w:r>
      <w:r>
        <w:rPr>
          <w:rFonts w:hint="cs"/>
          <w:rtl/>
        </w:rPr>
        <w:t>ّ</w:t>
      </w:r>
      <w:r w:rsidRPr="007D7079">
        <w:rPr>
          <w:rFonts w:hint="cs"/>
          <w:rtl/>
        </w:rPr>
        <w:t xml:space="preserve"> ما </w:t>
      </w:r>
      <w:r>
        <w:rPr>
          <w:rFonts w:hint="cs"/>
          <w:rtl/>
        </w:rPr>
        <w:t xml:space="preserve">يسمّى </w:t>
      </w:r>
      <w:r w:rsidRPr="007D7079">
        <w:rPr>
          <w:rFonts w:hint="cs"/>
          <w:rtl/>
        </w:rPr>
        <w:t>خصوصيات</w:t>
      </w:r>
      <w:r>
        <w:rPr>
          <w:rFonts w:hint="cs"/>
          <w:rtl/>
        </w:rPr>
        <w:t xml:space="preserve"> أو </w:t>
      </w:r>
      <w:r w:rsidRPr="007D7079">
        <w:rPr>
          <w:rFonts w:hint="cs"/>
          <w:rtl/>
        </w:rPr>
        <w:t xml:space="preserve">وظائف </w:t>
      </w:r>
      <w:r>
        <w:rPr>
          <w:rFonts w:hint="cs"/>
          <w:rtl/>
        </w:rPr>
        <w:t>ناتجة عن ال</w:t>
      </w:r>
      <w:r w:rsidRPr="007D7079">
        <w:rPr>
          <w:rFonts w:hint="cs"/>
          <w:rtl/>
        </w:rPr>
        <w:t xml:space="preserve">استعداد </w:t>
      </w:r>
      <w:r>
        <w:rPr>
          <w:rFonts w:hint="cs"/>
          <w:rtl/>
        </w:rPr>
        <w:t>ال</w:t>
      </w:r>
      <w:r w:rsidRPr="007D7079">
        <w:rPr>
          <w:rFonts w:hint="cs"/>
          <w:rtl/>
        </w:rPr>
        <w:t xml:space="preserve">طبيعي للمرأة </w:t>
      </w:r>
      <w:r>
        <w:rPr>
          <w:rFonts w:hint="cs"/>
          <w:rtl/>
        </w:rPr>
        <w:t xml:space="preserve">إنّما </w:t>
      </w:r>
      <w:r w:rsidRPr="007D7079">
        <w:rPr>
          <w:rFonts w:hint="cs"/>
          <w:rtl/>
        </w:rPr>
        <w:t>هو في الحقيقة انعكاس للقيم</w:t>
      </w:r>
      <w:r>
        <w:rPr>
          <w:rFonts w:hint="cs"/>
          <w:rtl/>
        </w:rPr>
        <w:t xml:space="preserve"> الثقافية التي تعيشها مجتمعاتنا،</w:t>
      </w:r>
      <w:r w:rsidRPr="007D7079">
        <w:rPr>
          <w:rFonts w:hint="cs"/>
          <w:rtl/>
        </w:rPr>
        <w:t xml:space="preserve"> وليس خصوصي</w:t>
      </w:r>
      <w:r>
        <w:rPr>
          <w:rFonts w:hint="cs"/>
          <w:rtl/>
        </w:rPr>
        <w:t>ّ</w:t>
      </w:r>
      <w:r w:rsidRPr="007D7079">
        <w:rPr>
          <w:rFonts w:hint="cs"/>
          <w:rtl/>
        </w:rPr>
        <w:t>ة</w:t>
      </w:r>
      <w:r>
        <w:rPr>
          <w:rFonts w:hint="cs"/>
          <w:rtl/>
        </w:rPr>
        <w:t>ً لا تقبل التغيير؛</w:t>
      </w:r>
      <w:r w:rsidRPr="007D7079">
        <w:rPr>
          <w:rFonts w:hint="cs"/>
          <w:rtl/>
        </w:rPr>
        <w:t xml:space="preserve"> ففي الكثير من المجتمعات </w:t>
      </w:r>
      <w:r>
        <w:rPr>
          <w:rFonts w:hint="cs"/>
          <w:rtl/>
        </w:rPr>
        <w:t>الآمنة م</w:t>
      </w:r>
      <w:r w:rsidRPr="007D7079">
        <w:rPr>
          <w:rFonts w:hint="cs"/>
          <w:rtl/>
        </w:rPr>
        <w:t>ن أن تنال النسوية استعدادات</w:t>
      </w:r>
      <w:r>
        <w:rPr>
          <w:rFonts w:hint="cs"/>
          <w:rtl/>
        </w:rPr>
        <w:t>ها</w:t>
      </w:r>
      <w:r w:rsidRPr="007D7079">
        <w:rPr>
          <w:rFonts w:hint="cs"/>
          <w:rtl/>
        </w:rPr>
        <w:t xml:space="preserve"> الطبيعية</w:t>
      </w:r>
      <w:r>
        <w:rPr>
          <w:rFonts w:hint="cs"/>
          <w:rtl/>
        </w:rPr>
        <w:t xml:space="preserve"> لا يقبل الناس مقولة أ</w:t>
      </w:r>
      <w:r w:rsidRPr="007D7079">
        <w:rPr>
          <w:rFonts w:hint="cs"/>
          <w:rtl/>
        </w:rPr>
        <w:t>ن</w:t>
      </w:r>
      <w:r>
        <w:rPr>
          <w:rFonts w:hint="cs"/>
          <w:rtl/>
        </w:rPr>
        <w:t xml:space="preserve">ّ </w:t>
      </w:r>
      <w:r w:rsidRPr="007D7079">
        <w:rPr>
          <w:rFonts w:hint="cs"/>
          <w:rtl/>
        </w:rPr>
        <w:t xml:space="preserve">النساء </w:t>
      </w:r>
      <w:r>
        <w:rPr>
          <w:rFonts w:hint="cs"/>
          <w:rtl/>
        </w:rPr>
        <w:t xml:space="preserve">كافّة </w:t>
      </w:r>
      <w:r w:rsidRPr="007D7079">
        <w:rPr>
          <w:rFonts w:hint="cs"/>
          <w:rtl/>
        </w:rPr>
        <w:t>لهن</w:t>
      </w:r>
      <w:r>
        <w:rPr>
          <w:rFonts w:hint="cs"/>
          <w:rtl/>
        </w:rPr>
        <w:t>ّ استعداد</w:t>
      </w:r>
      <w:r w:rsidRPr="007D7079">
        <w:rPr>
          <w:rFonts w:hint="cs"/>
          <w:rtl/>
        </w:rPr>
        <w:t xml:space="preserve"> متساو</w:t>
      </w:r>
      <w:r>
        <w:rPr>
          <w:rFonts w:hint="cs"/>
          <w:rtl/>
        </w:rPr>
        <w:t xml:space="preserve"> لصيرورة الأمومة،</w:t>
      </w:r>
      <w:r w:rsidRPr="007D7079">
        <w:rPr>
          <w:rFonts w:hint="cs"/>
          <w:rtl/>
        </w:rPr>
        <w:t xml:space="preserve"> بل بعض هذه المجتمعات </w:t>
      </w:r>
      <w:r>
        <w:rPr>
          <w:rFonts w:hint="cs"/>
          <w:rtl/>
        </w:rPr>
        <w:t>يوكل</w:t>
      </w:r>
      <w:r w:rsidRPr="007D7079">
        <w:rPr>
          <w:rFonts w:hint="cs"/>
          <w:rtl/>
        </w:rPr>
        <w:t xml:space="preserve"> </w:t>
      </w:r>
      <w:r>
        <w:rPr>
          <w:rFonts w:hint="cs"/>
          <w:rtl/>
        </w:rPr>
        <w:t>أمر</w:t>
      </w:r>
      <w:r w:rsidRPr="007D7079">
        <w:rPr>
          <w:rFonts w:hint="cs"/>
          <w:rtl/>
        </w:rPr>
        <w:t xml:space="preserve"> الطفل المتول</w:t>
      </w:r>
      <w:r>
        <w:rPr>
          <w:rFonts w:hint="cs"/>
          <w:rtl/>
        </w:rPr>
        <w:t>ّ</w:t>
      </w:r>
      <w:r w:rsidRPr="007D7079">
        <w:rPr>
          <w:rFonts w:hint="cs"/>
          <w:rtl/>
        </w:rPr>
        <w:t xml:space="preserve">د من </w:t>
      </w:r>
      <w:r>
        <w:rPr>
          <w:rFonts w:hint="cs"/>
          <w:rtl/>
        </w:rPr>
        <w:t>امر</w:t>
      </w:r>
      <w:r w:rsidRPr="007D7079">
        <w:rPr>
          <w:rFonts w:hint="cs"/>
          <w:rtl/>
        </w:rPr>
        <w:t xml:space="preserve">أة لا تملك </w:t>
      </w:r>
      <w:r>
        <w:rPr>
          <w:rFonts w:hint="cs"/>
          <w:rtl/>
        </w:rPr>
        <w:t xml:space="preserve">قدرة </w:t>
      </w:r>
      <w:r w:rsidRPr="007D7079">
        <w:rPr>
          <w:rFonts w:hint="cs"/>
          <w:rtl/>
        </w:rPr>
        <w:t>لعب دور الأم</w:t>
      </w:r>
      <w:r>
        <w:rPr>
          <w:rFonts w:hint="cs"/>
          <w:rtl/>
        </w:rPr>
        <w:t xml:space="preserve"> أو </w:t>
      </w:r>
      <w:r w:rsidRPr="007D7079">
        <w:rPr>
          <w:rFonts w:hint="cs"/>
          <w:rtl/>
        </w:rPr>
        <w:t>لا ترغب في ذلك ل</w:t>
      </w:r>
      <w:r>
        <w:rPr>
          <w:rFonts w:hint="cs"/>
          <w:rtl/>
        </w:rPr>
        <w:t>امر</w:t>
      </w:r>
      <w:r w:rsidRPr="007D7079">
        <w:rPr>
          <w:rFonts w:hint="cs"/>
          <w:rtl/>
        </w:rPr>
        <w:t xml:space="preserve">أة </w:t>
      </w:r>
      <w:r>
        <w:rPr>
          <w:rFonts w:hint="cs"/>
          <w:rtl/>
        </w:rPr>
        <w:t>أخرى،</w:t>
      </w:r>
      <w:r w:rsidRPr="007D7079">
        <w:rPr>
          <w:rFonts w:hint="cs"/>
          <w:rtl/>
        </w:rPr>
        <w:t xml:space="preserve"> </w:t>
      </w:r>
      <w:r>
        <w:rPr>
          <w:rFonts w:hint="cs"/>
          <w:rtl/>
        </w:rPr>
        <w:t xml:space="preserve">إذ تظهر الدراسات المنجزة </w:t>
      </w:r>
      <w:r w:rsidRPr="007D7079">
        <w:rPr>
          <w:rFonts w:hint="cs"/>
          <w:rtl/>
        </w:rPr>
        <w:t>عن النساء البرازيليات الفقيرات إنهن</w:t>
      </w:r>
      <w:r>
        <w:rPr>
          <w:rFonts w:hint="cs"/>
          <w:rtl/>
        </w:rPr>
        <w:t>ّ</w:t>
      </w:r>
      <w:r w:rsidRPr="007D7079">
        <w:rPr>
          <w:rFonts w:hint="cs"/>
          <w:rtl/>
        </w:rPr>
        <w:t xml:space="preserve"> </w:t>
      </w:r>
      <w:r>
        <w:rPr>
          <w:rFonts w:hint="cs"/>
          <w:rtl/>
        </w:rPr>
        <w:t xml:space="preserve">يلاحظن ـ </w:t>
      </w:r>
      <w:r w:rsidRPr="007D7079">
        <w:rPr>
          <w:rFonts w:hint="cs"/>
          <w:rtl/>
        </w:rPr>
        <w:t xml:space="preserve">بعد ولادة الطفل </w:t>
      </w:r>
      <w:r>
        <w:rPr>
          <w:rFonts w:hint="cs"/>
          <w:rtl/>
        </w:rPr>
        <w:t xml:space="preserve">ـ </w:t>
      </w:r>
      <w:r w:rsidRPr="007D7079">
        <w:rPr>
          <w:rFonts w:hint="cs"/>
          <w:rtl/>
        </w:rPr>
        <w:t>حالته الصحية</w:t>
      </w:r>
      <w:r>
        <w:rPr>
          <w:rFonts w:hint="cs"/>
          <w:rtl/>
        </w:rPr>
        <w:t>، فإ</w:t>
      </w:r>
      <w:r w:rsidRPr="007D7079">
        <w:rPr>
          <w:rFonts w:hint="cs"/>
          <w:rtl/>
        </w:rPr>
        <w:t>ن لم يكن لهن</w:t>
      </w:r>
      <w:r>
        <w:rPr>
          <w:rFonts w:hint="cs"/>
          <w:rtl/>
        </w:rPr>
        <w:t>ّ</w:t>
      </w:r>
      <w:r w:rsidRPr="007D7079">
        <w:rPr>
          <w:rFonts w:hint="cs"/>
          <w:rtl/>
        </w:rPr>
        <w:t xml:space="preserve"> أمل</w:t>
      </w:r>
      <w:r>
        <w:rPr>
          <w:rFonts w:hint="cs"/>
          <w:rtl/>
        </w:rPr>
        <w:t>ٌ</w:t>
      </w:r>
      <w:r w:rsidRPr="007D7079">
        <w:rPr>
          <w:rFonts w:hint="cs"/>
          <w:rtl/>
        </w:rPr>
        <w:t xml:space="preserve"> في بقائه حي</w:t>
      </w:r>
      <w:r>
        <w:rPr>
          <w:rFonts w:hint="cs"/>
          <w:rtl/>
        </w:rPr>
        <w:t>ّ</w:t>
      </w:r>
      <w:r w:rsidRPr="007D7079">
        <w:rPr>
          <w:rFonts w:hint="cs"/>
          <w:rtl/>
        </w:rPr>
        <w:t>ا</w:t>
      </w:r>
      <w:r>
        <w:rPr>
          <w:rFonts w:hint="cs"/>
          <w:rtl/>
        </w:rPr>
        <w:t>ً</w:t>
      </w:r>
      <w:r w:rsidRPr="007D7079">
        <w:rPr>
          <w:rFonts w:hint="cs"/>
          <w:rtl/>
        </w:rPr>
        <w:t xml:space="preserve"> لا يعتنين به</w:t>
      </w:r>
      <w:r>
        <w:rPr>
          <w:rFonts w:hint="cs"/>
          <w:rtl/>
        </w:rPr>
        <w:t xml:space="preserve"> أو </w:t>
      </w:r>
      <w:r w:rsidRPr="007D7079">
        <w:rPr>
          <w:rFonts w:hint="cs"/>
          <w:rtl/>
        </w:rPr>
        <w:t>لا يقمن بحضانته</w:t>
      </w:r>
      <w:r>
        <w:rPr>
          <w:rFonts w:hint="cs"/>
          <w:rtl/>
        </w:rPr>
        <w:t>، أ</w:t>
      </w:r>
      <w:r w:rsidRPr="007D7079">
        <w:rPr>
          <w:rFonts w:hint="cs"/>
          <w:rtl/>
        </w:rPr>
        <w:t>م</w:t>
      </w:r>
      <w:r>
        <w:rPr>
          <w:rFonts w:hint="cs"/>
          <w:rtl/>
        </w:rPr>
        <w:t>ّ</w:t>
      </w:r>
      <w:r w:rsidRPr="007D7079">
        <w:rPr>
          <w:rFonts w:hint="cs"/>
          <w:rtl/>
        </w:rPr>
        <w:t>ا في الكثير من مجتمعاتنا ـ ومن</w:t>
      </w:r>
      <w:r>
        <w:rPr>
          <w:rFonts w:hint="cs"/>
          <w:rtl/>
        </w:rPr>
        <w:t>ها</w:t>
      </w:r>
      <w:r w:rsidRPr="007D7079">
        <w:rPr>
          <w:rFonts w:hint="cs"/>
          <w:rtl/>
        </w:rPr>
        <w:t xml:space="preserve"> المجتمع الإيراني ـ </w:t>
      </w:r>
      <w:r>
        <w:rPr>
          <w:rFonts w:hint="cs"/>
          <w:rtl/>
        </w:rPr>
        <w:t>ف</w:t>
      </w:r>
      <w:r w:rsidRPr="007D7079">
        <w:rPr>
          <w:rFonts w:hint="cs"/>
          <w:rtl/>
        </w:rPr>
        <w:t>عندما لا يبق</w:t>
      </w:r>
      <w:r>
        <w:rPr>
          <w:rFonts w:hint="cs"/>
          <w:rtl/>
        </w:rPr>
        <w:t>ى</w:t>
      </w:r>
      <w:r w:rsidRPr="007D7079">
        <w:rPr>
          <w:rFonts w:hint="cs"/>
          <w:rtl/>
        </w:rPr>
        <w:t xml:space="preserve"> أي</w:t>
      </w:r>
      <w:r>
        <w:rPr>
          <w:rFonts w:hint="cs"/>
          <w:rtl/>
        </w:rPr>
        <w:t>ّ</w:t>
      </w:r>
      <w:r w:rsidRPr="007D7079">
        <w:rPr>
          <w:rFonts w:hint="cs"/>
          <w:rtl/>
        </w:rPr>
        <w:t xml:space="preserve"> أمل ببقاء الطفل حي</w:t>
      </w:r>
      <w:r>
        <w:rPr>
          <w:rFonts w:hint="cs"/>
          <w:rtl/>
        </w:rPr>
        <w:t>ّ</w:t>
      </w:r>
      <w:r w:rsidRPr="007D7079">
        <w:rPr>
          <w:rFonts w:hint="cs"/>
          <w:rtl/>
        </w:rPr>
        <w:t>ا</w:t>
      </w:r>
      <w:r>
        <w:rPr>
          <w:rFonts w:hint="cs"/>
          <w:rtl/>
        </w:rPr>
        <w:t>ً يقوم أقرباء الأ</w:t>
      </w:r>
      <w:r w:rsidRPr="007D7079">
        <w:rPr>
          <w:rFonts w:hint="cs"/>
          <w:rtl/>
        </w:rPr>
        <w:t>م</w:t>
      </w:r>
      <w:r>
        <w:rPr>
          <w:rFonts w:hint="cs"/>
          <w:rtl/>
        </w:rPr>
        <w:t>ّ</w:t>
      </w:r>
      <w:r w:rsidRPr="007D7079">
        <w:rPr>
          <w:rFonts w:hint="cs"/>
          <w:rtl/>
        </w:rPr>
        <w:t xml:space="preserve"> بشدّ عضد</w:t>
      </w:r>
      <w:r>
        <w:rPr>
          <w:rFonts w:hint="cs"/>
          <w:rtl/>
        </w:rPr>
        <w:t>ها كي لا تعيش على أ</w:t>
      </w:r>
      <w:r w:rsidRPr="007D7079">
        <w:rPr>
          <w:rFonts w:hint="cs"/>
          <w:rtl/>
        </w:rPr>
        <w:t>مل حيا</w:t>
      </w:r>
      <w:r>
        <w:rPr>
          <w:rFonts w:hint="cs"/>
          <w:rtl/>
        </w:rPr>
        <w:t>ته،</w:t>
      </w:r>
      <w:r w:rsidRPr="007D7079">
        <w:rPr>
          <w:rFonts w:hint="cs"/>
          <w:rtl/>
        </w:rPr>
        <w:t xml:space="preserve"> وه</w:t>
      </w:r>
      <w:r>
        <w:rPr>
          <w:rFonts w:hint="cs"/>
          <w:rtl/>
        </w:rPr>
        <w:t>و</w:t>
      </w:r>
      <w:r w:rsidRPr="007D7079">
        <w:rPr>
          <w:rFonts w:hint="cs"/>
          <w:rtl/>
        </w:rPr>
        <w:t xml:space="preserve"> </w:t>
      </w:r>
      <w:r>
        <w:rPr>
          <w:rFonts w:hint="cs"/>
          <w:rtl/>
        </w:rPr>
        <w:t xml:space="preserve">ما </w:t>
      </w:r>
      <w:r w:rsidRPr="007D7079">
        <w:rPr>
          <w:rFonts w:hint="cs"/>
          <w:rtl/>
        </w:rPr>
        <w:t>يدل</w:t>
      </w:r>
      <w:r>
        <w:rPr>
          <w:rFonts w:hint="cs"/>
          <w:rtl/>
        </w:rPr>
        <w:t>ّ</w:t>
      </w:r>
      <w:r w:rsidRPr="007D7079">
        <w:rPr>
          <w:rFonts w:hint="cs"/>
          <w:rtl/>
        </w:rPr>
        <w:t xml:space="preserve">نا على </w:t>
      </w:r>
      <w:r>
        <w:rPr>
          <w:rFonts w:hint="cs"/>
          <w:rtl/>
        </w:rPr>
        <w:t>أ</w:t>
      </w:r>
      <w:r w:rsidRPr="007D7079">
        <w:rPr>
          <w:rFonts w:hint="cs"/>
          <w:rtl/>
        </w:rPr>
        <w:t>ن</w:t>
      </w:r>
      <w:r>
        <w:rPr>
          <w:rFonts w:hint="cs"/>
          <w:rtl/>
        </w:rPr>
        <w:t>ّ</w:t>
      </w:r>
      <w:r w:rsidRPr="007D7079">
        <w:rPr>
          <w:rFonts w:hint="cs"/>
          <w:rtl/>
        </w:rPr>
        <w:t xml:space="preserve"> عاطفة الأمومة لا تنشأ من الاستعداد الطبيعي بل من العلاقات ال</w:t>
      </w:r>
      <w:r>
        <w:rPr>
          <w:rFonts w:hint="cs"/>
          <w:rtl/>
        </w:rPr>
        <w:t>اجتماع</w:t>
      </w:r>
      <w:r w:rsidRPr="007D7079">
        <w:rPr>
          <w:rFonts w:hint="cs"/>
          <w:rtl/>
        </w:rPr>
        <w:t>ية</w:t>
      </w:r>
      <w:r>
        <w:rPr>
          <w:rFonts w:hint="cs"/>
          <w:rtl/>
        </w:rPr>
        <w:t xml:space="preserve"> ـ التاريخية.</w:t>
      </w:r>
    </w:p>
    <w:p w:rsidR="006E0FDB" w:rsidRDefault="006E0FDB" w:rsidP="006E0FDB">
      <w:pPr>
        <w:pStyle w:val="ac"/>
        <w:rPr>
          <w:rtl/>
        </w:rPr>
      </w:pPr>
      <w:r w:rsidRPr="007D7079">
        <w:rPr>
          <w:rFonts w:hint="cs"/>
          <w:rtl/>
        </w:rPr>
        <w:t>إن التقد</w:t>
      </w:r>
      <w:r>
        <w:rPr>
          <w:rFonts w:hint="cs"/>
          <w:rtl/>
        </w:rPr>
        <w:t>ّ</w:t>
      </w:r>
      <w:r w:rsidRPr="007D7079">
        <w:rPr>
          <w:rFonts w:hint="cs"/>
          <w:rtl/>
        </w:rPr>
        <w:t>م الطبي الذي أوجب ابتعاد الحمل والولادة عن الجبر الطبيعي</w:t>
      </w:r>
      <w:r>
        <w:rPr>
          <w:rFonts w:hint="cs"/>
          <w:rtl/>
        </w:rPr>
        <w:t>،</w:t>
      </w:r>
      <w:r w:rsidRPr="007D7079">
        <w:rPr>
          <w:rFonts w:hint="cs"/>
          <w:rtl/>
        </w:rPr>
        <w:t xml:space="preserve"> يستلزم إعادة النظر في مقولات</w:t>
      </w:r>
      <w:r>
        <w:rPr>
          <w:rFonts w:hint="cs"/>
          <w:rtl/>
        </w:rPr>
        <w:t>:</w:t>
      </w:r>
      <w:r w:rsidRPr="007D7079">
        <w:rPr>
          <w:rFonts w:hint="cs"/>
          <w:rtl/>
        </w:rPr>
        <w:t xml:space="preserve"> الاستعداد الطبيعي و</w:t>
      </w:r>
      <w:r>
        <w:rPr>
          <w:rFonts w:hint="cs"/>
          <w:rtl/>
        </w:rPr>
        <w:t>عاطفة الأمومة</w:t>
      </w:r>
      <w:r w:rsidRPr="007D7079">
        <w:rPr>
          <w:rFonts w:hint="cs"/>
          <w:rtl/>
        </w:rPr>
        <w:t xml:space="preserve"> </w:t>
      </w:r>
      <w:r>
        <w:rPr>
          <w:rFonts w:hint="cs"/>
          <w:rtl/>
        </w:rPr>
        <w:t xml:space="preserve">بوصفها </w:t>
      </w:r>
      <w:r w:rsidRPr="007D7079">
        <w:rPr>
          <w:rFonts w:hint="cs"/>
          <w:rtl/>
        </w:rPr>
        <w:t>ضرورة</w:t>
      </w:r>
      <w:r>
        <w:rPr>
          <w:rFonts w:hint="cs"/>
          <w:rtl/>
        </w:rPr>
        <w:t>ً</w:t>
      </w:r>
      <w:r w:rsidRPr="007D7079">
        <w:rPr>
          <w:rFonts w:hint="cs"/>
          <w:rtl/>
        </w:rPr>
        <w:t xml:space="preserve"> حياتية للحركات </w:t>
      </w:r>
      <w:r>
        <w:rPr>
          <w:rFonts w:hint="cs"/>
          <w:rtl/>
        </w:rPr>
        <w:t xml:space="preserve">النسوية جميعها </w:t>
      </w:r>
      <w:r w:rsidRPr="007D7079">
        <w:rPr>
          <w:rFonts w:hint="cs"/>
          <w:rtl/>
        </w:rPr>
        <w:t xml:space="preserve">في </w:t>
      </w:r>
      <w:r>
        <w:rPr>
          <w:rFonts w:hint="cs"/>
          <w:rtl/>
        </w:rPr>
        <w:t>أ</w:t>
      </w:r>
      <w:r w:rsidRPr="007D7079">
        <w:rPr>
          <w:rFonts w:hint="cs"/>
          <w:rtl/>
        </w:rPr>
        <w:t>نحاء الكون</w:t>
      </w:r>
      <w:r>
        <w:rPr>
          <w:rFonts w:hint="cs"/>
          <w:rtl/>
        </w:rPr>
        <w:t xml:space="preserve"> المختلفة</w:t>
      </w:r>
      <w:r w:rsidRPr="007D7079">
        <w:rPr>
          <w:rFonts w:hint="cs"/>
          <w:rtl/>
        </w:rPr>
        <w:t>.</w:t>
      </w:r>
    </w:p>
    <w:p w:rsidR="006E0FDB" w:rsidRPr="007D7079" w:rsidRDefault="006E0FDB" w:rsidP="009368DE">
      <w:pPr>
        <w:pStyle w:val="afffffc"/>
        <w:rPr>
          <w:rtl/>
        </w:rPr>
      </w:pPr>
    </w:p>
    <w:p w:rsidR="006E0FDB" w:rsidRPr="00D457EB" w:rsidRDefault="006E0FDB" w:rsidP="006E0FDB">
      <w:pPr>
        <w:pStyle w:val="1"/>
        <w:rPr>
          <w:rtl/>
        </w:rPr>
      </w:pPr>
      <w:bookmarkStart w:id="560" w:name="_Toc169521470"/>
      <w:bookmarkStart w:id="561" w:name="_Toc275128240"/>
      <w:r w:rsidRPr="00D457EB">
        <w:rPr>
          <w:rFonts w:hint="cs"/>
          <w:rtl/>
        </w:rPr>
        <w:t>النسوية والأشكال الجديدة للأسرة</w:t>
      </w:r>
      <w:bookmarkEnd w:id="560"/>
      <w:bookmarkEnd w:id="561"/>
    </w:p>
    <w:p w:rsidR="006E0FDB" w:rsidRDefault="006E0FDB" w:rsidP="006E0FDB">
      <w:pPr>
        <w:pStyle w:val="ac"/>
        <w:rPr>
          <w:rtl/>
        </w:rPr>
      </w:pPr>
      <w:r w:rsidRPr="007D7079">
        <w:rPr>
          <w:rFonts w:hint="cs"/>
          <w:rtl/>
        </w:rPr>
        <w:t>تشير</w:t>
      </w:r>
      <w:r>
        <w:rPr>
          <w:rFonts w:hint="cs"/>
          <w:rtl/>
        </w:rPr>
        <w:t xml:space="preserve"> د. </w:t>
      </w:r>
      <w:r w:rsidRPr="007D7079">
        <w:rPr>
          <w:rFonts w:hint="cs"/>
          <w:rtl/>
        </w:rPr>
        <w:t>مطيع في بحثها</w:t>
      </w:r>
      <w:r>
        <w:rPr>
          <w:rFonts w:hint="cs"/>
          <w:rtl/>
        </w:rPr>
        <w:t xml:space="preserve"> إلى النتائج </w:t>
      </w:r>
      <w:r w:rsidRPr="007D7079">
        <w:rPr>
          <w:rFonts w:hint="cs"/>
          <w:rtl/>
        </w:rPr>
        <w:t>ال</w:t>
      </w:r>
      <w:r>
        <w:rPr>
          <w:rFonts w:hint="cs"/>
          <w:rtl/>
        </w:rPr>
        <w:t>أخرى</w:t>
      </w:r>
      <w:r w:rsidRPr="007D7079">
        <w:rPr>
          <w:rFonts w:hint="cs"/>
          <w:rtl/>
        </w:rPr>
        <w:t xml:space="preserve"> المترتبة على القيام بجعل</w:t>
      </w:r>
      <w:r>
        <w:rPr>
          <w:rFonts w:hint="cs"/>
          <w:rtl/>
        </w:rPr>
        <w:t xml:space="preserve"> المرأة </w:t>
      </w:r>
      <w:r w:rsidRPr="007D7079">
        <w:rPr>
          <w:rFonts w:hint="cs"/>
          <w:rtl/>
        </w:rPr>
        <w:t>والرجل متشابهين</w:t>
      </w:r>
      <w:r>
        <w:rPr>
          <w:rFonts w:hint="cs"/>
          <w:rtl/>
        </w:rPr>
        <w:t>،</w:t>
      </w:r>
      <w:r w:rsidRPr="007D7079">
        <w:rPr>
          <w:rFonts w:hint="cs"/>
          <w:rtl/>
        </w:rPr>
        <w:t xml:space="preserve"> ف</w:t>
      </w:r>
      <w:r>
        <w:rPr>
          <w:rFonts w:hint="cs"/>
          <w:rtl/>
        </w:rPr>
        <w:t xml:space="preserve">تقول: </w:t>
      </w:r>
      <w:r w:rsidRPr="009477D6">
        <w:rPr>
          <w:rFonts w:hint="cs"/>
          <w:szCs w:val="29"/>
        </w:rPr>
        <w:sym w:font="Roumouz" w:char="F06D"/>
      </w:r>
      <w:r>
        <w:rPr>
          <w:rFonts w:hint="cs"/>
          <w:rtl/>
        </w:rPr>
        <w:t>إ</w:t>
      </w:r>
      <w:r w:rsidRPr="007D7079">
        <w:rPr>
          <w:rFonts w:hint="cs"/>
          <w:rtl/>
        </w:rPr>
        <w:t>ن</w:t>
      </w:r>
      <w:r>
        <w:rPr>
          <w:rFonts w:hint="cs"/>
          <w:rtl/>
        </w:rPr>
        <w:t>ّ</w:t>
      </w:r>
      <w:r w:rsidRPr="007D7079">
        <w:rPr>
          <w:rFonts w:hint="cs"/>
          <w:rtl/>
        </w:rPr>
        <w:t xml:space="preserve"> شعار التساوي وال</w:t>
      </w:r>
      <w:r>
        <w:rPr>
          <w:rFonts w:hint="cs"/>
          <w:rtl/>
        </w:rPr>
        <w:t>مساواة بين حقوق الرجل والمرأة وإ</w:t>
      </w:r>
      <w:r w:rsidRPr="007D7079">
        <w:rPr>
          <w:rFonts w:hint="cs"/>
          <w:rtl/>
        </w:rPr>
        <w:t>ن كان محور الصراع ال</w:t>
      </w:r>
      <w:r>
        <w:rPr>
          <w:rFonts w:hint="cs"/>
          <w:rtl/>
        </w:rPr>
        <w:t>علمي</w:t>
      </w:r>
      <w:r w:rsidRPr="007D7079">
        <w:rPr>
          <w:rFonts w:hint="cs"/>
          <w:rtl/>
        </w:rPr>
        <w:t xml:space="preserve"> والعملي للحركات النسوية في الغرب، لكن</w:t>
      </w:r>
      <w:r>
        <w:rPr>
          <w:rFonts w:hint="cs"/>
          <w:rtl/>
        </w:rPr>
        <w:t>ّ</w:t>
      </w:r>
      <w:r w:rsidRPr="007D7079">
        <w:rPr>
          <w:rFonts w:hint="cs"/>
          <w:rtl/>
        </w:rPr>
        <w:t xml:space="preserve"> النتيجة التي لا يمكن تجن</w:t>
      </w:r>
      <w:r>
        <w:rPr>
          <w:rFonts w:hint="cs"/>
          <w:rtl/>
        </w:rPr>
        <w:t>ّ</w:t>
      </w:r>
      <w:r w:rsidRPr="007D7079">
        <w:rPr>
          <w:rFonts w:hint="cs"/>
          <w:rtl/>
        </w:rPr>
        <w:t>بها لنمو</w:t>
      </w:r>
      <w:r>
        <w:rPr>
          <w:rFonts w:hint="cs"/>
          <w:rtl/>
        </w:rPr>
        <w:t>ّ</w:t>
      </w:r>
      <w:r w:rsidRPr="007D7079">
        <w:rPr>
          <w:rFonts w:hint="cs"/>
          <w:rtl/>
        </w:rPr>
        <w:t xml:space="preserve"> هذه النسويات ه</w:t>
      </w:r>
      <w:r>
        <w:rPr>
          <w:rFonts w:hint="cs"/>
          <w:rtl/>
        </w:rPr>
        <w:t>ي</w:t>
      </w:r>
      <w:r w:rsidRPr="007D7079">
        <w:rPr>
          <w:rFonts w:hint="cs"/>
          <w:rtl/>
        </w:rPr>
        <w:t xml:space="preserve"> ظواهر مثيلي الجنس وازدياد نسبة الطلاق، </w:t>
      </w:r>
      <w:r>
        <w:rPr>
          <w:rFonts w:hint="cs"/>
          <w:rtl/>
        </w:rPr>
        <w:t>و</w:t>
      </w:r>
      <w:r w:rsidRPr="007D7079">
        <w:rPr>
          <w:rFonts w:hint="cs"/>
          <w:rtl/>
        </w:rPr>
        <w:t>اتجاه</w:t>
      </w:r>
      <w:r>
        <w:rPr>
          <w:rFonts w:hint="cs"/>
          <w:rtl/>
        </w:rPr>
        <w:t xml:space="preserve"> المرأة </w:t>
      </w:r>
      <w:r w:rsidRPr="007D7079">
        <w:rPr>
          <w:rFonts w:hint="cs"/>
          <w:rtl/>
        </w:rPr>
        <w:t>نحو التسل</w:t>
      </w:r>
      <w:r>
        <w:rPr>
          <w:rFonts w:hint="cs"/>
          <w:rtl/>
        </w:rPr>
        <w:t>ّط</w:t>
      </w:r>
      <w:r w:rsidRPr="009477D6">
        <w:rPr>
          <w:rFonts w:hint="cs"/>
          <w:szCs w:val="29"/>
        </w:rPr>
        <w:sym w:font="Roumouz" w:char="F06E"/>
      </w:r>
      <w:r>
        <w:rPr>
          <w:rFonts w:hint="cs"/>
          <w:rtl/>
        </w:rPr>
        <w:t>.</w:t>
      </w:r>
    </w:p>
    <w:p w:rsidR="006E0FDB" w:rsidRPr="007D7079" w:rsidRDefault="006E0FDB" w:rsidP="006E0FDB">
      <w:pPr>
        <w:pStyle w:val="ac"/>
        <w:rPr>
          <w:rtl/>
        </w:rPr>
      </w:pPr>
      <w:r w:rsidRPr="007D7079">
        <w:rPr>
          <w:rFonts w:hint="cs"/>
          <w:rtl/>
        </w:rPr>
        <w:lastRenderedPageBreak/>
        <w:t>لكن</w:t>
      </w:r>
      <w:r>
        <w:rPr>
          <w:rFonts w:hint="cs"/>
          <w:rtl/>
        </w:rPr>
        <w:t>ّ</w:t>
      </w:r>
      <w:r w:rsidRPr="007D7079">
        <w:rPr>
          <w:rFonts w:hint="cs"/>
          <w:rtl/>
        </w:rPr>
        <w:t>ها لا ت</w:t>
      </w:r>
      <w:r>
        <w:rPr>
          <w:rFonts w:hint="cs"/>
          <w:rtl/>
        </w:rPr>
        <w:t>وض</w:t>
      </w:r>
      <w:r w:rsidRPr="007D7079">
        <w:rPr>
          <w:rFonts w:hint="cs"/>
          <w:rtl/>
        </w:rPr>
        <w:t>ح تق</w:t>
      </w:r>
      <w:r>
        <w:rPr>
          <w:rFonts w:hint="cs"/>
          <w:rtl/>
        </w:rPr>
        <w:t>و</w:t>
      </w:r>
      <w:r w:rsidRPr="007D7079">
        <w:rPr>
          <w:rFonts w:hint="cs"/>
          <w:rtl/>
        </w:rPr>
        <w:t>يمها لظواهر مثيلي الجنس والتخن</w:t>
      </w:r>
      <w:r>
        <w:rPr>
          <w:rFonts w:hint="cs"/>
          <w:rtl/>
        </w:rPr>
        <w:t>ّث وازدياد نسبة الطلاق،</w:t>
      </w:r>
      <w:r w:rsidRPr="007D7079">
        <w:rPr>
          <w:rFonts w:hint="cs"/>
          <w:rtl/>
        </w:rPr>
        <w:t xml:space="preserve"> وقد أشرنا أو</w:t>
      </w:r>
      <w:r>
        <w:rPr>
          <w:rFonts w:hint="cs"/>
          <w:rtl/>
        </w:rPr>
        <w:t>ّ</w:t>
      </w:r>
      <w:r w:rsidRPr="007D7079">
        <w:rPr>
          <w:rFonts w:hint="cs"/>
          <w:rtl/>
        </w:rPr>
        <w:t>ل المقال</w:t>
      </w:r>
      <w:r>
        <w:rPr>
          <w:rFonts w:hint="cs"/>
          <w:rtl/>
        </w:rPr>
        <w:t xml:space="preserve"> إلى </w:t>
      </w:r>
      <w:r w:rsidRPr="007D7079">
        <w:rPr>
          <w:rFonts w:hint="cs"/>
          <w:rtl/>
        </w:rPr>
        <w:t>نزعة التسل</w:t>
      </w:r>
      <w:r>
        <w:rPr>
          <w:rFonts w:hint="cs"/>
          <w:rtl/>
        </w:rPr>
        <w:t>ّ</w:t>
      </w:r>
      <w:r w:rsidRPr="007D7079">
        <w:rPr>
          <w:rFonts w:hint="cs"/>
          <w:rtl/>
        </w:rPr>
        <w:t>ط</w:t>
      </w:r>
      <w:r>
        <w:rPr>
          <w:rFonts w:hint="cs"/>
          <w:rtl/>
        </w:rPr>
        <w:t>،</w:t>
      </w:r>
      <w:r w:rsidRPr="007D7079">
        <w:rPr>
          <w:rFonts w:hint="cs"/>
          <w:rtl/>
        </w:rPr>
        <w:t xml:space="preserve"> </w:t>
      </w:r>
      <w:r>
        <w:rPr>
          <w:rFonts w:hint="cs"/>
          <w:rtl/>
        </w:rPr>
        <w:t xml:space="preserve">والذي </w:t>
      </w:r>
      <w:r w:rsidRPr="007D7079">
        <w:rPr>
          <w:rFonts w:hint="cs"/>
          <w:rtl/>
        </w:rPr>
        <w:t>يظهر من طيّات البحث أن</w:t>
      </w:r>
      <w:r>
        <w:rPr>
          <w:rFonts w:hint="cs"/>
          <w:rtl/>
        </w:rPr>
        <w:t>ّ</w:t>
      </w:r>
      <w:r w:rsidRPr="007D7079">
        <w:rPr>
          <w:rFonts w:hint="cs"/>
          <w:rtl/>
        </w:rPr>
        <w:t xml:space="preserve"> هذه الظواهر </w:t>
      </w:r>
      <w:r>
        <w:rPr>
          <w:rFonts w:hint="cs"/>
          <w:rtl/>
        </w:rPr>
        <w:t xml:space="preserve">ـ </w:t>
      </w:r>
      <w:r w:rsidRPr="007D7079">
        <w:rPr>
          <w:rFonts w:hint="cs"/>
          <w:rtl/>
        </w:rPr>
        <w:t xml:space="preserve">بالمجموع </w:t>
      </w:r>
      <w:r>
        <w:rPr>
          <w:rFonts w:hint="cs"/>
          <w:rtl/>
        </w:rPr>
        <w:t xml:space="preserve">ـ </w:t>
      </w:r>
      <w:r w:rsidRPr="007D7079">
        <w:rPr>
          <w:rFonts w:hint="cs"/>
          <w:rtl/>
        </w:rPr>
        <w:t xml:space="preserve">من </w:t>
      </w:r>
      <w:r>
        <w:rPr>
          <w:rFonts w:hint="cs"/>
          <w:rtl/>
        </w:rPr>
        <w:t>النتائج غير المرغوبة للحركة النسوية،</w:t>
      </w:r>
      <w:r w:rsidRPr="007D7079">
        <w:rPr>
          <w:rFonts w:hint="cs"/>
          <w:rtl/>
        </w:rPr>
        <w:t xml:space="preserve"> وما أتصو</w:t>
      </w:r>
      <w:r>
        <w:rPr>
          <w:rFonts w:hint="cs"/>
          <w:rtl/>
        </w:rPr>
        <w:t>ّ</w:t>
      </w:r>
      <w:r w:rsidRPr="007D7079">
        <w:rPr>
          <w:rFonts w:hint="cs"/>
          <w:rtl/>
        </w:rPr>
        <w:t>ره أننا لن نصل</w:t>
      </w:r>
      <w:r>
        <w:rPr>
          <w:rFonts w:hint="cs"/>
          <w:rtl/>
        </w:rPr>
        <w:t xml:space="preserve"> إلى </w:t>
      </w:r>
      <w:r w:rsidRPr="007D7079">
        <w:rPr>
          <w:rFonts w:hint="cs"/>
          <w:rtl/>
        </w:rPr>
        <w:t xml:space="preserve">معرفة كاملة </w:t>
      </w:r>
      <w:r>
        <w:rPr>
          <w:rFonts w:hint="cs"/>
          <w:rtl/>
        </w:rPr>
        <w:t>ب</w:t>
      </w:r>
      <w:r w:rsidRPr="007D7079">
        <w:rPr>
          <w:rFonts w:hint="cs"/>
          <w:rtl/>
        </w:rPr>
        <w:t xml:space="preserve">سيادة الرجل دون </w:t>
      </w:r>
      <w:r>
        <w:rPr>
          <w:rFonts w:hint="cs"/>
          <w:rtl/>
        </w:rPr>
        <w:t>درس</w:t>
      </w:r>
      <w:r w:rsidRPr="007D7079">
        <w:rPr>
          <w:rFonts w:hint="cs"/>
          <w:rtl/>
        </w:rPr>
        <w:t xml:space="preserve"> مقولات</w:t>
      </w:r>
      <w:r>
        <w:rPr>
          <w:rFonts w:hint="cs"/>
          <w:rtl/>
        </w:rPr>
        <w:t>ٍ</w:t>
      </w:r>
      <w:r w:rsidRPr="007D7079">
        <w:rPr>
          <w:rFonts w:hint="cs"/>
          <w:rtl/>
        </w:rPr>
        <w:t xml:space="preserve"> </w:t>
      </w:r>
      <w:r>
        <w:rPr>
          <w:rFonts w:hint="cs"/>
          <w:rtl/>
        </w:rPr>
        <w:t>من مثل الميل نحو الجنس الآ</w:t>
      </w:r>
      <w:r w:rsidRPr="007D7079">
        <w:rPr>
          <w:rFonts w:hint="cs"/>
          <w:rtl/>
        </w:rPr>
        <w:t>خر</w:t>
      </w:r>
      <w:r>
        <w:rPr>
          <w:rFonts w:hint="cs"/>
          <w:rtl/>
        </w:rPr>
        <w:t xml:space="preserve"> أو مثيلي الجنس؛ لأن </w:t>
      </w:r>
      <w:r w:rsidRPr="007D7079">
        <w:rPr>
          <w:rFonts w:hint="cs"/>
          <w:rtl/>
        </w:rPr>
        <w:t>السلوك الجنسي</w:t>
      </w:r>
      <w:r w:rsidRPr="002B759E">
        <w:rPr>
          <w:rFonts w:hint="cs"/>
          <w:rtl/>
        </w:rPr>
        <w:sym w:font="Islamic Units 1" w:char="F06D"/>
      </w:r>
      <w:r>
        <w:rPr>
          <w:rFonts w:hint="cs"/>
          <w:rtl/>
        </w:rPr>
        <w:t xml:space="preserve"> </w:t>
      </w:r>
      <w:r>
        <w:t xml:space="preserve"> </w:t>
      </w:r>
      <w:r w:rsidRPr="007D7079">
        <w:t>sexuality</w:t>
      </w:r>
      <w:r w:rsidRPr="002B759E">
        <w:rPr>
          <w:rFonts w:hint="cs"/>
          <w:rtl/>
        </w:rPr>
        <w:sym w:font="Islamic Units 1" w:char="F06E"/>
      </w:r>
      <w:r w:rsidRPr="007D7079">
        <w:rPr>
          <w:rFonts w:hint="cs"/>
          <w:rtl/>
        </w:rPr>
        <w:t xml:space="preserve"> كالجنس المتنوع ظاهرة </w:t>
      </w:r>
      <w:r>
        <w:rPr>
          <w:rFonts w:hint="cs"/>
          <w:rtl/>
        </w:rPr>
        <w:t>اجتماعية ـ تاريخية،</w:t>
      </w:r>
      <w:r w:rsidRPr="007D7079">
        <w:rPr>
          <w:rFonts w:hint="cs"/>
          <w:rtl/>
        </w:rPr>
        <w:t xml:space="preserve"> و</w:t>
      </w:r>
      <w:r>
        <w:rPr>
          <w:rFonts w:hint="cs"/>
          <w:rtl/>
        </w:rPr>
        <w:t>ما أراه في تعريف السلوك الجنسي أ</w:t>
      </w:r>
      <w:r w:rsidRPr="007D7079">
        <w:rPr>
          <w:rFonts w:hint="cs"/>
          <w:rtl/>
        </w:rPr>
        <w:t>ن</w:t>
      </w:r>
      <w:r>
        <w:rPr>
          <w:rFonts w:hint="cs"/>
          <w:rtl/>
        </w:rPr>
        <w:t>ّ</w:t>
      </w:r>
      <w:r w:rsidRPr="007D7079">
        <w:rPr>
          <w:rFonts w:hint="cs"/>
          <w:rtl/>
        </w:rPr>
        <w:t xml:space="preserve">ه </w:t>
      </w:r>
      <w:r>
        <w:rPr>
          <w:rFonts w:hint="cs"/>
          <w:rtl/>
        </w:rPr>
        <w:t>ا</w:t>
      </w:r>
      <w:r w:rsidRPr="007D7079">
        <w:rPr>
          <w:rFonts w:hint="cs"/>
          <w:rtl/>
        </w:rPr>
        <w:t>ستجابة لل</w:t>
      </w:r>
      <w:r>
        <w:rPr>
          <w:rFonts w:hint="cs"/>
          <w:rtl/>
        </w:rPr>
        <w:t>ّ</w:t>
      </w:r>
      <w:r w:rsidRPr="007D7079">
        <w:rPr>
          <w:rFonts w:hint="cs"/>
          <w:rtl/>
        </w:rPr>
        <w:t xml:space="preserve">ذة والحاجة الجسدية باعتماد أساليب مقبولة </w:t>
      </w:r>
      <w:r>
        <w:rPr>
          <w:rFonts w:hint="cs"/>
          <w:rtl/>
        </w:rPr>
        <w:t>اجتماع</w:t>
      </w:r>
      <w:r w:rsidRPr="007D7079">
        <w:rPr>
          <w:rFonts w:hint="cs"/>
          <w:rtl/>
        </w:rPr>
        <w:t>يا</w:t>
      </w:r>
      <w:r>
        <w:rPr>
          <w:rFonts w:hint="cs"/>
          <w:rtl/>
        </w:rPr>
        <w:t>ً</w:t>
      </w:r>
      <w:r w:rsidRPr="007D7079">
        <w:rPr>
          <w:rFonts w:hint="cs"/>
          <w:rtl/>
        </w:rPr>
        <w:t xml:space="preserve"> وثقافيا</w:t>
      </w:r>
      <w:r>
        <w:rPr>
          <w:rFonts w:hint="cs"/>
          <w:rtl/>
        </w:rPr>
        <w:t>ً،</w:t>
      </w:r>
      <w:r w:rsidRPr="007D7079">
        <w:rPr>
          <w:rtl/>
        </w:rPr>
        <w:t xml:space="preserve"> </w:t>
      </w:r>
      <w:r>
        <w:rPr>
          <w:rFonts w:hint="cs"/>
          <w:rtl/>
        </w:rPr>
        <w:t>ف</w:t>
      </w:r>
      <w:r w:rsidRPr="007D7079">
        <w:rPr>
          <w:rFonts w:hint="cs"/>
          <w:rtl/>
        </w:rPr>
        <w:t>مقصودنا من</w:t>
      </w:r>
      <w:r>
        <w:rPr>
          <w:rFonts w:hint="cs"/>
          <w:rtl/>
        </w:rPr>
        <w:t>ه</w:t>
      </w:r>
      <w:r w:rsidRPr="007D7079">
        <w:rPr>
          <w:rFonts w:hint="cs"/>
          <w:rtl/>
        </w:rPr>
        <w:t xml:space="preserve"> ما لا يأتي إلا </w:t>
      </w:r>
      <w:r>
        <w:rPr>
          <w:rFonts w:hint="cs"/>
          <w:rtl/>
        </w:rPr>
        <w:t xml:space="preserve">عبر السيرورة </w:t>
      </w:r>
      <w:r w:rsidRPr="007D7079">
        <w:rPr>
          <w:rFonts w:hint="cs"/>
          <w:rtl/>
        </w:rPr>
        <w:t>الخارجي</w:t>
      </w:r>
      <w:r>
        <w:rPr>
          <w:rFonts w:hint="cs"/>
          <w:rtl/>
        </w:rPr>
        <w:t>ّة للعلاقات بين البشر،</w:t>
      </w:r>
      <w:r w:rsidRPr="007D7079">
        <w:rPr>
          <w:rFonts w:hint="cs"/>
          <w:rtl/>
        </w:rPr>
        <w:t xml:space="preserve"> لا على </w:t>
      </w:r>
      <w:r>
        <w:rPr>
          <w:rFonts w:hint="cs"/>
          <w:rtl/>
        </w:rPr>
        <w:t>أساس القوانين الأبدية والأزلية،</w:t>
      </w:r>
      <w:r w:rsidRPr="007D7079">
        <w:rPr>
          <w:rFonts w:hint="cs"/>
          <w:rtl/>
        </w:rPr>
        <w:t xml:space="preserve"> وعندما ن</w:t>
      </w:r>
      <w:r>
        <w:rPr>
          <w:rFonts w:hint="cs"/>
          <w:rtl/>
        </w:rPr>
        <w:t>نظر ل</w:t>
      </w:r>
      <w:r w:rsidRPr="007D7079">
        <w:rPr>
          <w:rFonts w:hint="cs"/>
          <w:rtl/>
        </w:rPr>
        <w:t>أي</w:t>
      </w:r>
      <w:r>
        <w:rPr>
          <w:rFonts w:hint="cs"/>
          <w:rtl/>
        </w:rPr>
        <w:t>ّ</w:t>
      </w:r>
      <w:r w:rsidRPr="007D7079">
        <w:rPr>
          <w:rFonts w:hint="cs"/>
          <w:rtl/>
        </w:rPr>
        <w:t xml:space="preserve"> سلوك جنسي خاص</w:t>
      </w:r>
      <w:r>
        <w:rPr>
          <w:rFonts w:hint="cs"/>
          <w:rtl/>
        </w:rPr>
        <w:t>ّ</w:t>
      </w:r>
      <w:r w:rsidRPr="007D7079">
        <w:rPr>
          <w:rFonts w:hint="cs"/>
          <w:rtl/>
        </w:rPr>
        <w:t xml:space="preserve"> على </w:t>
      </w:r>
      <w:r>
        <w:rPr>
          <w:rFonts w:hint="cs"/>
          <w:rtl/>
        </w:rPr>
        <w:t>أ</w:t>
      </w:r>
      <w:r w:rsidRPr="007D7079">
        <w:rPr>
          <w:rFonts w:hint="cs"/>
          <w:rtl/>
        </w:rPr>
        <w:t>ن</w:t>
      </w:r>
      <w:r>
        <w:rPr>
          <w:rFonts w:hint="cs"/>
          <w:rtl/>
        </w:rPr>
        <w:t>ّ</w:t>
      </w:r>
      <w:r w:rsidRPr="007D7079">
        <w:rPr>
          <w:rFonts w:hint="cs"/>
          <w:rtl/>
        </w:rPr>
        <w:t xml:space="preserve">ه </w:t>
      </w:r>
      <w:r>
        <w:rPr>
          <w:rFonts w:hint="cs"/>
          <w:rtl/>
        </w:rPr>
        <w:t>أمر</w:t>
      </w:r>
      <w:r w:rsidRPr="007D7079">
        <w:rPr>
          <w:rFonts w:hint="cs"/>
          <w:rtl/>
        </w:rPr>
        <w:t xml:space="preserve"> عادي</w:t>
      </w:r>
      <w:r>
        <w:rPr>
          <w:rFonts w:hint="cs"/>
          <w:rtl/>
        </w:rPr>
        <w:t xml:space="preserve"> أو </w:t>
      </w:r>
      <w:r w:rsidRPr="007D7079">
        <w:rPr>
          <w:rFonts w:hint="cs"/>
          <w:rtl/>
        </w:rPr>
        <w:t>طبيعي، ف</w:t>
      </w:r>
      <w:r>
        <w:rPr>
          <w:rFonts w:hint="cs"/>
          <w:rtl/>
        </w:rPr>
        <w:t>إ</w:t>
      </w:r>
      <w:r w:rsidRPr="007D7079">
        <w:rPr>
          <w:rFonts w:hint="cs"/>
          <w:rtl/>
        </w:rPr>
        <w:t xml:space="preserve">ننا </w:t>
      </w:r>
      <w:r>
        <w:rPr>
          <w:rFonts w:hint="cs"/>
          <w:rtl/>
        </w:rPr>
        <w:t xml:space="preserve">نصل ـ في الحقيقة ـ </w:t>
      </w:r>
      <w:r w:rsidRPr="007D7079">
        <w:rPr>
          <w:rFonts w:hint="cs"/>
          <w:rtl/>
        </w:rPr>
        <w:t xml:space="preserve">بذلك </w:t>
      </w:r>
      <w:r>
        <w:rPr>
          <w:rFonts w:hint="cs"/>
          <w:rtl/>
        </w:rPr>
        <w:t xml:space="preserve">إلى </w:t>
      </w:r>
      <w:r w:rsidRPr="007D7079">
        <w:rPr>
          <w:rFonts w:hint="cs"/>
          <w:rtl/>
        </w:rPr>
        <w:t xml:space="preserve">معرفة تاريخية ـ </w:t>
      </w:r>
      <w:r>
        <w:rPr>
          <w:rFonts w:hint="cs"/>
          <w:rtl/>
        </w:rPr>
        <w:t>اجتماع</w:t>
      </w:r>
      <w:r w:rsidRPr="007D7079">
        <w:rPr>
          <w:rFonts w:hint="cs"/>
          <w:rtl/>
        </w:rPr>
        <w:t>ية عالمية وشاملة</w:t>
      </w:r>
      <w:r>
        <w:rPr>
          <w:rFonts w:hint="cs"/>
          <w:rtl/>
        </w:rPr>
        <w:t>،</w:t>
      </w:r>
      <w:r w:rsidRPr="007D7079">
        <w:rPr>
          <w:rFonts w:hint="cs"/>
          <w:rtl/>
        </w:rPr>
        <w:t xml:space="preserve"> ونحل</w:t>
      </w:r>
      <w:r>
        <w:rPr>
          <w:rFonts w:hint="cs"/>
          <w:rtl/>
        </w:rPr>
        <w:t>ّ</w:t>
      </w:r>
      <w:r w:rsidRPr="007D7079">
        <w:rPr>
          <w:rFonts w:hint="cs"/>
          <w:rtl/>
        </w:rPr>
        <w:t xml:space="preserve"> الإيمان مكان التحليل المعرفي ال</w:t>
      </w:r>
      <w:r>
        <w:rPr>
          <w:rFonts w:hint="cs"/>
          <w:rtl/>
        </w:rPr>
        <w:t>اجتماع</w:t>
      </w:r>
      <w:r w:rsidRPr="007D7079">
        <w:rPr>
          <w:rFonts w:hint="cs"/>
          <w:rtl/>
        </w:rPr>
        <w:t>ي.</w:t>
      </w:r>
    </w:p>
    <w:p w:rsidR="006E0FDB" w:rsidRDefault="006E0FDB" w:rsidP="006E0FDB">
      <w:pPr>
        <w:pStyle w:val="ac"/>
        <w:rPr>
          <w:rtl/>
        </w:rPr>
      </w:pPr>
      <w:r>
        <w:rPr>
          <w:rFonts w:hint="cs"/>
          <w:rtl/>
        </w:rPr>
        <w:t xml:space="preserve">وليست </w:t>
      </w:r>
      <w:r w:rsidRPr="007D7079">
        <w:rPr>
          <w:rFonts w:hint="cs"/>
          <w:rtl/>
        </w:rPr>
        <w:t xml:space="preserve">نزعة الشذوذ الجنسي </w:t>
      </w:r>
      <w:r>
        <w:rPr>
          <w:rFonts w:hint="cs"/>
          <w:rtl/>
        </w:rPr>
        <w:t>نتاجاً للحركة النسوية،</w:t>
      </w:r>
      <w:r w:rsidRPr="007D7079">
        <w:rPr>
          <w:rFonts w:hint="cs"/>
          <w:rtl/>
        </w:rPr>
        <w:t xml:space="preserve"> بل </w:t>
      </w:r>
      <w:r>
        <w:rPr>
          <w:rFonts w:hint="cs"/>
          <w:rtl/>
        </w:rPr>
        <w:t xml:space="preserve">هو </w:t>
      </w:r>
      <w:r w:rsidRPr="007D7079">
        <w:rPr>
          <w:rFonts w:hint="cs"/>
          <w:rtl/>
        </w:rPr>
        <w:t>نمط</w:t>
      </w:r>
      <w:r>
        <w:rPr>
          <w:rFonts w:hint="cs"/>
          <w:rtl/>
        </w:rPr>
        <w:t xml:space="preserve"> من أنماط السلوك الجنسي،</w:t>
      </w:r>
      <w:r w:rsidRPr="007D7079">
        <w:rPr>
          <w:rFonts w:hint="cs"/>
          <w:rtl/>
        </w:rPr>
        <w:t xml:space="preserve"> والنماذج التي لا ح</w:t>
      </w:r>
      <w:r>
        <w:rPr>
          <w:rFonts w:hint="cs"/>
          <w:rtl/>
        </w:rPr>
        <w:t xml:space="preserve">صر لها لهذا الميل الجنسي موجودةٌ </w:t>
      </w:r>
      <w:r w:rsidRPr="007D7079">
        <w:rPr>
          <w:rFonts w:hint="cs"/>
          <w:rtl/>
        </w:rPr>
        <w:t xml:space="preserve">في تاريخ البشرية، ويكفينا لذلك </w:t>
      </w:r>
      <w:r>
        <w:rPr>
          <w:rFonts w:hint="cs"/>
          <w:rtl/>
        </w:rPr>
        <w:t>مطالعة حياة اليونانيين القدامى؛</w:t>
      </w:r>
      <w:r w:rsidRPr="007D7079">
        <w:rPr>
          <w:rFonts w:hint="cs"/>
          <w:rtl/>
        </w:rPr>
        <w:t xml:space="preserve"> ففي اليونان القديمة كان لدى الكثير من النساء والرجال من جنسهم ما يقيمون معه علاقة عاطفية، مضافا</w:t>
      </w:r>
      <w:r>
        <w:rPr>
          <w:rFonts w:hint="cs"/>
          <w:rtl/>
        </w:rPr>
        <w:t xml:space="preserve">ً إلى </w:t>
      </w:r>
      <w:r w:rsidRPr="007D7079">
        <w:rPr>
          <w:rFonts w:hint="cs"/>
          <w:rtl/>
        </w:rPr>
        <w:t>زوجاتهن</w:t>
      </w:r>
      <w:r>
        <w:rPr>
          <w:rFonts w:hint="cs"/>
          <w:rtl/>
        </w:rPr>
        <w:t>ّ</w:t>
      </w:r>
      <w:r w:rsidRPr="007D7079">
        <w:rPr>
          <w:rFonts w:hint="cs"/>
          <w:rtl/>
        </w:rPr>
        <w:t xml:space="preserve"> اللواتي كان دورهن</w:t>
      </w:r>
      <w:r>
        <w:rPr>
          <w:rFonts w:hint="cs"/>
          <w:rtl/>
        </w:rPr>
        <w:t>ّ</w:t>
      </w:r>
      <w:r w:rsidRPr="007D7079">
        <w:rPr>
          <w:rFonts w:hint="cs"/>
          <w:rtl/>
        </w:rPr>
        <w:t xml:space="preserve"> ال</w:t>
      </w:r>
      <w:r>
        <w:rPr>
          <w:rFonts w:hint="cs"/>
          <w:rtl/>
        </w:rPr>
        <w:t>أساس</w:t>
      </w:r>
      <w:r w:rsidRPr="007D7079">
        <w:rPr>
          <w:rFonts w:hint="cs"/>
          <w:rtl/>
        </w:rPr>
        <w:t>ي القيام بدور الزوجة</w:t>
      </w:r>
      <w:r>
        <w:rPr>
          <w:rFonts w:hint="cs"/>
          <w:rtl/>
        </w:rPr>
        <w:t>،</w:t>
      </w:r>
      <w:r w:rsidRPr="007D7079">
        <w:rPr>
          <w:rFonts w:hint="cs"/>
          <w:rtl/>
        </w:rPr>
        <w:t xml:space="preserve"> دون أن يكون هناك أي</w:t>
      </w:r>
      <w:r>
        <w:rPr>
          <w:rFonts w:hint="cs"/>
          <w:rtl/>
        </w:rPr>
        <w:t>ّ</w:t>
      </w:r>
      <w:r w:rsidRPr="007D7079">
        <w:rPr>
          <w:rFonts w:hint="cs"/>
          <w:rtl/>
        </w:rPr>
        <w:t xml:space="preserve"> </w:t>
      </w:r>
      <w:r>
        <w:rPr>
          <w:rFonts w:hint="cs"/>
          <w:rtl/>
        </w:rPr>
        <w:t xml:space="preserve">لون </w:t>
      </w:r>
      <w:r w:rsidRPr="007D7079">
        <w:rPr>
          <w:rFonts w:hint="cs"/>
          <w:rtl/>
        </w:rPr>
        <w:t>من الارتباط العاطفي مع أزواجهن</w:t>
      </w:r>
      <w:r>
        <w:rPr>
          <w:rFonts w:hint="cs"/>
          <w:rtl/>
        </w:rPr>
        <w:t>ّ،</w:t>
      </w:r>
      <w:r w:rsidRPr="007D7079">
        <w:rPr>
          <w:rFonts w:hint="cs"/>
          <w:rtl/>
        </w:rPr>
        <w:t xml:space="preserve"> لقد كانت القيود ال</w:t>
      </w:r>
      <w:r>
        <w:rPr>
          <w:rFonts w:hint="cs"/>
          <w:rtl/>
        </w:rPr>
        <w:t>اجتماع</w:t>
      </w:r>
      <w:r w:rsidRPr="007D7079">
        <w:rPr>
          <w:rFonts w:hint="cs"/>
          <w:rtl/>
        </w:rPr>
        <w:t>ية المفروضة على النساء تمنعهن</w:t>
      </w:r>
      <w:r>
        <w:rPr>
          <w:rFonts w:hint="cs"/>
          <w:rtl/>
        </w:rPr>
        <w:t>ّ</w:t>
      </w:r>
      <w:r w:rsidRPr="007D7079">
        <w:rPr>
          <w:rFonts w:hint="cs"/>
          <w:rtl/>
        </w:rPr>
        <w:t xml:space="preserve"> من القيام برغباتهن</w:t>
      </w:r>
      <w:r>
        <w:rPr>
          <w:rFonts w:hint="cs"/>
          <w:rtl/>
        </w:rPr>
        <w:t>ّ</w:t>
      </w:r>
      <w:r w:rsidRPr="007D7079">
        <w:rPr>
          <w:rFonts w:hint="cs"/>
          <w:rtl/>
        </w:rPr>
        <w:t xml:space="preserve"> النفسية</w:t>
      </w:r>
      <w:r>
        <w:rPr>
          <w:rFonts w:hint="cs"/>
          <w:rtl/>
        </w:rPr>
        <w:t>،</w:t>
      </w:r>
      <w:r w:rsidRPr="007D7079">
        <w:rPr>
          <w:rFonts w:hint="cs"/>
          <w:rtl/>
        </w:rPr>
        <w:t xml:space="preserve"> </w:t>
      </w:r>
      <w:r>
        <w:rPr>
          <w:rFonts w:hint="cs"/>
          <w:rtl/>
        </w:rPr>
        <w:t xml:space="preserve">أمّا </w:t>
      </w:r>
      <w:r w:rsidRPr="007D7079">
        <w:rPr>
          <w:rFonts w:hint="cs"/>
          <w:rtl/>
        </w:rPr>
        <w:t xml:space="preserve">الكثير من الرجال </w:t>
      </w:r>
      <w:r>
        <w:rPr>
          <w:rFonts w:hint="cs"/>
          <w:rtl/>
        </w:rPr>
        <w:t>ف</w:t>
      </w:r>
      <w:r w:rsidRPr="007D7079">
        <w:rPr>
          <w:rFonts w:hint="cs"/>
          <w:rtl/>
        </w:rPr>
        <w:t>كانوا أحرارا</w:t>
      </w:r>
      <w:r>
        <w:rPr>
          <w:rFonts w:hint="cs"/>
          <w:rtl/>
        </w:rPr>
        <w:t>ً</w:t>
      </w:r>
      <w:r w:rsidRPr="007D7079">
        <w:rPr>
          <w:rFonts w:hint="cs"/>
          <w:rtl/>
        </w:rPr>
        <w:t xml:space="preserve"> تجاه هذه القيود، وقد تحد</w:t>
      </w:r>
      <w:r>
        <w:rPr>
          <w:rFonts w:hint="cs"/>
          <w:rtl/>
        </w:rPr>
        <w:t>ّ</w:t>
      </w:r>
      <w:r w:rsidRPr="007D7079">
        <w:rPr>
          <w:rFonts w:hint="cs"/>
          <w:rtl/>
        </w:rPr>
        <w:t>ث كبار مفك</w:t>
      </w:r>
      <w:r>
        <w:rPr>
          <w:rFonts w:hint="cs"/>
          <w:rtl/>
        </w:rPr>
        <w:t>ّ</w:t>
      </w:r>
      <w:r w:rsidRPr="007D7079">
        <w:rPr>
          <w:rFonts w:hint="cs"/>
          <w:rtl/>
        </w:rPr>
        <w:t xml:space="preserve">ري اليونان وفلاسفتهم </w:t>
      </w:r>
      <w:r>
        <w:rPr>
          <w:rFonts w:hint="cs"/>
          <w:rtl/>
        </w:rPr>
        <w:t>ـ ك</w:t>
      </w:r>
      <w:r w:rsidRPr="007D7079">
        <w:rPr>
          <w:rFonts w:hint="cs"/>
          <w:rtl/>
        </w:rPr>
        <w:t xml:space="preserve">أفلاطون </w:t>
      </w:r>
      <w:r>
        <w:rPr>
          <w:rFonts w:hint="cs"/>
          <w:rtl/>
        </w:rPr>
        <w:t xml:space="preserve">ـ </w:t>
      </w:r>
      <w:r w:rsidRPr="007D7079">
        <w:rPr>
          <w:rFonts w:hint="cs"/>
          <w:rtl/>
        </w:rPr>
        <w:t>عن العشق</w:t>
      </w:r>
      <w:r>
        <w:rPr>
          <w:rFonts w:hint="cs"/>
          <w:rtl/>
        </w:rPr>
        <w:t>،</w:t>
      </w:r>
      <w:r w:rsidRPr="007D7079">
        <w:rPr>
          <w:rFonts w:hint="cs"/>
          <w:rtl/>
        </w:rPr>
        <w:t xml:space="preserve"> و</w:t>
      </w:r>
      <w:r>
        <w:rPr>
          <w:rFonts w:hint="cs"/>
          <w:rtl/>
        </w:rPr>
        <w:t>هو ما كان يعني في الغالب عندهم ال</w:t>
      </w:r>
      <w:r w:rsidRPr="007D7079">
        <w:rPr>
          <w:rFonts w:hint="cs"/>
          <w:rtl/>
        </w:rPr>
        <w:t>مث</w:t>
      </w:r>
      <w:r>
        <w:rPr>
          <w:rFonts w:hint="cs"/>
          <w:rtl/>
        </w:rPr>
        <w:t>لية</w:t>
      </w:r>
      <w:r w:rsidRPr="007D7079">
        <w:rPr>
          <w:rFonts w:hint="cs"/>
          <w:rtl/>
        </w:rPr>
        <w:t xml:space="preserve"> الجنسي</w:t>
      </w:r>
      <w:r>
        <w:rPr>
          <w:rFonts w:hint="cs"/>
          <w:rtl/>
        </w:rPr>
        <w:t xml:space="preserve">ّة، لا سيما الشباب، </w:t>
      </w:r>
      <w:r w:rsidRPr="007D7079">
        <w:rPr>
          <w:rFonts w:hint="cs"/>
          <w:rtl/>
        </w:rPr>
        <w:t>وكذلك نجد نماذج كثير</w:t>
      </w:r>
      <w:r>
        <w:rPr>
          <w:rFonts w:hint="cs"/>
          <w:rtl/>
        </w:rPr>
        <w:t>ة</w:t>
      </w:r>
      <w:r w:rsidRPr="007D7079">
        <w:rPr>
          <w:rFonts w:hint="cs"/>
          <w:rtl/>
        </w:rPr>
        <w:t xml:space="preserve"> في الأدب الفارسي تظهر فيها هذه العلاقة </w:t>
      </w:r>
      <w:r>
        <w:rPr>
          <w:rFonts w:hint="cs"/>
          <w:rtl/>
        </w:rPr>
        <w:t>المثليّة.</w:t>
      </w:r>
    </w:p>
    <w:p w:rsidR="006E0FDB" w:rsidRPr="007D7079" w:rsidRDefault="006E0FDB" w:rsidP="006E0FDB">
      <w:pPr>
        <w:pStyle w:val="ac"/>
        <w:rPr>
          <w:rtl/>
        </w:rPr>
      </w:pPr>
      <w:r>
        <w:rPr>
          <w:rFonts w:hint="cs"/>
          <w:rtl/>
        </w:rPr>
        <w:t>والتغيير الذي ظهر مؤ</w:t>
      </w:r>
      <w:r w:rsidRPr="007D7079">
        <w:rPr>
          <w:rFonts w:hint="cs"/>
          <w:rtl/>
        </w:rPr>
        <w:t>خرا</w:t>
      </w:r>
      <w:r>
        <w:rPr>
          <w:rFonts w:hint="cs"/>
          <w:rtl/>
        </w:rPr>
        <w:t>ً</w:t>
      </w:r>
      <w:r w:rsidRPr="007D7079">
        <w:rPr>
          <w:rFonts w:hint="cs"/>
          <w:rtl/>
        </w:rPr>
        <w:t xml:space="preserve"> </w:t>
      </w:r>
      <w:r>
        <w:rPr>
          <w:rFonts w:hint="cs"/>
          <w:rtl/>
        </w:rPr>
        <w:t xml:space="preserve">ـ </w:t>
      </w:r>
      <w:r w:rsidRPr="007D7079">
        <w:rPr>
          <w:rFonts w:hint="cs"/>
          <w:rtl/>
        </w:rPr>
        <w:t xml:space="preserve">لا سيما بعد ظهور الحركة النسوية </w:t>
      </w:r>
      <w:r>
        <w:rPr>
          <w:rFonts w:hint="cs"/>
          <w:rtl/>
        </w:rPr>
        <w:t>ـ هو أن أ</w:t>
      </w:r>
      <w:r w:rsidRPr="007D7079">
        <w:rPr>
          <w:rFonts w:hint="cs"/>
          <w:rtl/>
        </w:rPr>
        <w:t>تباع الشذوذ الجنسي وجدوا هوي</w:t>
      </w:r>
      <w:r>
        <w:rPr>
          <w:rFonts w:hint="cs"/>
          <w:rtl/>
        </w:rPr>
        <w:t>ّ</w:t>
      </w:r>
      <w:r w:rsidRPr="007D7079">
        <w:rPr>
          <w:rFonts w:hint="cs"/>
          <w:rtl/>
        </w:rPr>
        <w:t>ة</w:t>
      </w:r>
      <w:r>
        <w:rPr>
          <w:rFonts w:hint="cs"/>
          <w:rtl/>
        </w:rPr>
        <w:t>ً لأنفسهم،</w:t>
      </w:r>
      <w:r w:rsidRPr="007D7079">
        <w:rPr>
          <w:rFonts w:hint="cs"/>
          <w:rtl/>
        </w:rPr>
        <w:t xml:space="preserve"> </w:t>
      </w:r>
      <w:r>
        <w:rPr>
          <w:rFonts w:hint="cs"/>
          <w:rtl/>
        </w:rPr>
        <w:t>وكياناً لجماعتهم.</w:t>
      </w:r>
    </w:p>
    <w:p w:rsidR="006E0FDB" w:rsidRDefault="006E0FDB" w:rsidP="006E0FDB">
      <w:pPr>
        <w:pStyle w:val="ac"/>
        <w:rPr>
          <w:rtl/>
        </w:rPr>
      </w:pPr>
      <w:r w:rsidRPr="007D7079">
        <w:rPr>
          <w:rFonts w:hint="cs"/>
          <w:rtl/>
        </w:rPr>
        <w:t>أم</w:t>
      </w:r>
      <w:r>
        <w:rPr>
          <w:rFonts w:hint="cs"/>
          <w:rtl/>
        </w:rPr>
        <w:t>ّ</w:t>
      </w:r>
      <w:r w:rsidRPr="007D7079">
        <w:rPr>
          <w:rFonts w:hint="cs"/>
          <w:rtl/>
        </w:rPr>
        <w:t>ا ات</w:t>
      </w:r>
      <w:r>
        <w:rPr>
          <w:rFonts w:hint="cs"/>
          <w:rtl/>
        </w:rPr>
        <w:t>ّ</w:t>
      </w:r>
      <w:r w:rsidRPr="007D7079">
        <w:rPr>
          <w:rFonts w:hint="cs"/>
          <w:rtl/>
        </w:rPr>
        <w:t>هام الحركة النسوية في الغرب بإضعاف البنى والقيم العائلية</w:t>
      </w:r>
      <w:r>
        <w:rPr>
          <w:rFonts w:hint="cs"/>
          <w:rtl/>
        </w:rPr>
        <w:t>،</w:t>
      </w:r>
      <w:r w:rsidRPr="007D7079">
        <w:rPr>
          <w:rFonts w:hint="cs"/>
          <w:rtl/>
        </w:rPr>
        <w:t xml:space="preserve"> ف</w:t>
      </w:r>
      <w:r>
        <w:rPr>
          <w:rFonts w:hint="cs"/>
          <w:rtl/>
        </w:rPr>
        <w:t xml:space="preserve">إنّنا </w:t>
      </w:r>
      <w:r w:rsidRPr="007D7079">
        <w:rPr>
          <w:rFonts w:hint="cs"/>
          <w:rtl/>
        </w:rPr>
        <w:t>نسأل</w:t>
      </w:r>
      <w:r>
        <w:rPr>
          <w:rFonts w:hint="cs"/>
          <w:rtl/>
        </w:rPr>
        <w:t>:</w:t>
      </w:r>
      <w:r w:rsidRPr="007D7079">
        <w:rPr>
          <w:rFonts w:hint="cs"/>
          <w:rtl/>
        </w:rPr>
        <w:t xml:space="preserve"> أي</w:t>
      </w:r>
      <w:r>
        <w:rPr>
          <w:rFonts w:hint="cs"/>
          <w:rtl/>
        </w:rPr>
        <w:t>َّ</w:t>
      </w:r>
      <w:r w:rsidRPr="007D7079">
        <w:rPr>
          <w:rFonts w:hint="cs"/>
          <w:rtl/>
        </w:rPr>
        <w:t xml:space="preserve"> بنيان عائلي هذا الذي تمّ </w:t>
      </w:r>
      <w:r>
        <w:rPr>
          <w:rFonts w:hint="cs"/>
          <w:rtl/>
        </w:rPr>
        <w:t>إ</w:t>
      </w:r>
      <w:r w:rsidRPr="007D7079">
        <w:rPr>
          <w:rFonts w:hint="cs"/>
          <w:rtl/>
        </w:rPr>
        <w:t>ضعافه؟ هل يعتبر الطلاق ظاهرة</w:t>
      </w:r>
      <w:r>
        <w:rPr>
          <w:rFonts w:hint="cs"/>
          <w:rtl/>
        </w:rPr>
        <w:t>ً</w:t>
      </w:r>
      <w:r w:rsidRPr="007D7079">
        <w:rPr>
          <w:rFonts w:hint="cs"/>
          <w:rtl/>
        </w:rPr>
        <w:t xml:space="preserve"> سلبية مطلقا</w:t>
      </w:r>
      <w:r>
        <w:rPr>
          <w:rFonts w:hint="cs"/>
          <w:rtl/>
        </w:rPr>
        <w:t>ً؟ هل الأ</w:t>
      </w:r>
      <w:r w:rsidRPr="007D7079">
        <w:rPr>
          <w:rFonts w:hint="cs"/>
          <w:rtl/>
        </w:rPr>
        <w:t xml:space="preserve">فضل </w:t>
      </w:r>
      <w:r w:rsidRPr="007D7079">
        <w:rPr>
          <w:rFonts w:hint="cs"/>
          <w:rtl/>
        </w:rPr>
        <w:lastRenderedPageBreak/>
        <w:t>حماية</w:t>
      </w:r>
      <w:r>
        <w:rPr>
          <w:rFonts w:hint="cs"/>
          <w:rtl/>
        </w:rPr>
        <w:t xml:space="preserve"> المرأة من الطلاق وإبقاءها في البيت </w:t>
      </w:r>
      <w:r w:rsidRPr="007D7079">
        <w:rPr>
          <w:rFonts w:hint="cs"/>
          <w:rtl/>
        </w:rPr>
        <w:t>حيث تكون في خطر</w:t>
      </w:r>
      <w:r>
        <w:rPr>
          <w:rFonts w:hint="cs"/>
          <w:rtl/>
        </w:rPr>
        <w:t>ٍ</w:t>
      </w:r>
      <w:r w:rsidRPr="007D7079">
        <w:rPr>
          <w:rFonts w:hint="cs"/>
          <w:rtl/>
        </w:rPr>
        <w:t xml:space="preserve"> من الناحيتين</w:t>
      </w:r>
      <w:r>
        <w:rPr>
          <w:rFonts w:hint="cs"/>
          <w:rtl/>
        </w:rPr>
        <w:t>:</w:t>
      </w:r>
      <w:r w:rsidRPr="007D7079">
        <w:rPr>
          <w:rFonts w:hint="cs"/>
          <w:rtl/>
        </w:rPr>
        <w:t xml:space="preserve"> الجس</w:t>
      </w:r>
      <w:r>
        <w:rPr>
          <w:rFonts w:hint="cs"/>
          <w:rtl/>
        </w:rPr>
        <w:t>د</w:t>
      </w:r>
      <w:r w:rsidRPr="007D7079">
        <w:rPr>
          <w:rFonts w:hint="cs"/>
          <w:rtl/>
        </w:rPr>
        <w:t xml:space="preserve">ية والنفسية؟ فلو أن </w:t>
      </w:r>
      <w:r>
        <w:rPr>
          <w:rFonts w:hint="cs"/>
          <w:rtl/>
        </w:rPr>
        <w:t>امرأة أ</w:t>
      </w:r>
      <w:r w:rsidRPr="007D7079">
        <w:rPr>
          <w:rFonts w:hint="cs"/>
          <w:rtl/>
        </w:rPr>
        <w:t>قفل باب رقيّها وتقدّمها ما دامت تعيش</w:t>
      </w:r>
      <w:r>
        <w:rPr>
          <w:rFonts w:hint="cs"/>
          <w:rtl/>
        </w:rPr>
        <w:t xml:space="preserve"> إلى </w:t>
      </w:r>
      <w:r w:rsidRPr="007D7079">
        <w:rPr>
          <w:rFonts w:hint="cs"/>
          <w:rtl/>
        </w:rPr>
        <w:t>جنب زوجها</w:t>
      </w:r>
      <w:r>
        <w:rPr>
          <w:rFonts w:hint="cs"/>
          <w:rtl/>
        </w:rPr>
        <w:t>،</w:t>
      </w:r>
      <w:r w:rsidRPr="007D7079">
        <w:rPr>
          <w:rFonts w:hint="cs"/>
          <w:rtl/>
        </w:rPr>
        <w:t xml:space="preserve"> هل الأفضل لها أن تنسى آمالها كي تبتعد عن الطلاق وتحمي عائلتها من الاضمحلال وال</w:t>
      </w:r>
      <w:r>
        <w:rPr>
          <w:rFonts w:hint="cs"/>
          <w:rtl/>
        </w:rPr>
        <w:t>زوال؟ أ</w:t>
      </w:r>
      <w:r w:rsidRPr="007D7079">
        <w:rPr>
          <w:rFonts w:hint="cs"/>
          <w:rtl/>
        </w:rPr>
        <w:t xml:space="preserve">فهل من الأفضل للأولاد العيش مع </w:t>
      </w:r>
      <w:r>
        <w:rPr>
          <w:rFonts w:hint="cs"/>
          <w:rtl/>
        </w:rPr>
        <w:t xml:space="preserve">أبوين </w:t>
      </w:r>
      <w:r w:rsidRPr="007D7079">
        <w:rPr>
          <w:rFonts w:hint="cs"/>
          <w:rtl/>
        </w:rPr>
        <w:t>يعيش</w:t>
      </w:r>
      <w:r>
        <w:rPr>
          <w:rFonts w:hint="cs"/>
          <w:rtl/>
        </w:rPr>
        <w:t>ان</w:t>
      </w:r>
      <w:r w:rsidRPr="007D7079">
        <w:rPr>
          <w:rFonts w:hint="cs"/>
          <w:rtl/>
        </w:rPr>
        <w:t xml:space="preserve"> مشاكل يوم</w:t>
      </w:r>
      <w:r>
        <w:rPr>
          <w:rFonts w:hint="cs"/>
          <w:rtl/>
        </w:rPr>
        <w:t>ية</w:t>
      </w:r>
      <w:r w:rsidRPr="007D7079">
        <w:rPr>
          <w:rFonts w:hint="cs"/>
          <w:rtl/>
        </w:rPr>
        <w:t xml:space="preserve"> </w:t>
      </w:r>
      <w:r>
        <w:rPr>
          <w:rFonts w:hint="cs"/>
          <w:rtl/>
        </w:rPr>
        <w:t>أم</w:t>
      </w:r>
      <w:r w:rsidRPr="007D7079">
        <w:rPr>
          <w:rFonts w:hint="cs"/>
          <w:rtl/>
        </w:rPr>
        <w:t xml:space="preserve"> العيش مع أحد</w:t>
      </w:r>
      <w:r>
        <w:rPr>
          <w:rFonts w:hint="cs"/>
          <w:rtl/>
        </w:rPr>
        <w:t>هما</w:t>
      </w:r>
      <w:r w:rsidRPr="007D7079">
        <w:rPr>
          <w:rFonts w:hint="cs"/>
          <w:rtl/>
        </w:rPr>
        <w:t xml:space="preserve"> في محيط</w:t>
      </w:r>
      <w:r>
        <w:rPr>
          <w:rFonts w:hint="cs"/>
          <w:rtl/>
        </w:rPr>
        <w:t>ٍ بعيد عن الضغائن؟</w:t>
      </w:r>
    </w:p>
    <w:p w:rsidR="006E0FDB" w:rsidRDefault="006E0FDB" w:rsidP="006E0FDB">
      <w:pPr>
        <w:pStyle w:val="ac"/>
        <w:rPr>
          <w:rtl/>
        </w:rPr>
      </w:pPr>
      <w:r w:rsidRPr="007D7079">
        <w:rPr>
          <w:rFonts w:hint="cs"/>
          <w:rtl/>
        </w:rPr>
        <w:t>إن</w:t>
      </w:r>
      <w:r>
        <w:rPr>
          <w:rFonts w:hint="cs"/>
          <w:rtl/>
        </w:rPr>
        <w:t>ّ</w:t>
      </w:r>
      <w:r w:rsidRPr="007D7079">
        <w:rPr>
          <w:rFonts w:hint="cs"/>
          <w:rtl/>
        </w:rPr>
        <w:t xml:space="preserve"> هذه </w:t>
      </w:r>
      <w:r>
        <w:rPr>
          <w:rFonts w:hint="cs"/>
          <w:rtl/>
        </w:rPr>
        <w:t xml:space="preserve">الثنائيّات </w:t>
      </w:r>
      <w:r w:rsidRPr="007D7079">
        <w:rPr>
          <w:rFonts w:hint="cs"/>
          <w:rtl/>
        </w:rPr>
        <w:t>المخيفة التي وضعت أمام</w:t>
      </w:r>
      <w:r>
        <w:rPr>
          <w:rFonts w:hint="cs"/>
          <w:rtl/>
        </w:rPr>
        <w:t xml:space="preserve"> المرأة إنّما </w:t>
      </w:r>
      <w:r w:rsidRPr="007D7079">
        <w:rPr>
          <w:rFonts w:hint="cs"/>
          <w:rtl/>
        </w:rPr>
        <w:t xml:space="preserve">هي نتاج العائلة التي تخضع لنظام سيادة الرجل لا </w:t>
      </w:r>
      <w:r>
        <w:rPr>
          <w:rFonts w:hint="cs"/>
          <w:rtl/>
        </w:rPr>
        <w:t>النسوية؛</w:t>
      </w:r>
      <w:r w:rsidRPr="007D7079">
        <w:rPr>
          <w:rFonts w:hint="cs"/>
          <w:rtl/>
        </w:rPr>
        <w:t xml:space="preserve"> فالنسوية لم تأت لتهاجم النظام العائلي وتعمل على إضعافه</w:t>
      </w:r>
      <w:r>
        <w:rPr>
          <w:rFonts w:hint="cs"/>
          <w:rtl/>
        </w:rPr>
        <w:t>،</w:t>
      </w:r>
      <w:r w:rsidRPr="007D7079">
        <w:rPr>
          <w:rFonts w:hint="cs"/>
          <w:rtl/>
        </w:rPr>
        <w:t xml:space="preserve"> بل كان هدفها </w:t>
      </w:r>
      <w:r>
        <w:rPr>
          <w:rFonts w:hint="cs"/>
          <w:rtl/>
        </w:rPr>
        <w:t xml:space="preserve">فتح سبُل </w:t>
      </w:r>
      <w:r w:rsidRPr="007D7079">
        <w:rPr>
          <w:rFonts w:hint="cs"/>
          <w:rtl/>
        </w:rPr>
        <w:t>للنساء اللواتي يقعن في أسر مثل هذا الزواج؟ و</w:t>
      </w:r>
      <w:r>
        <w:rPr>
          <w:rFonts w:hint="cs"/>
          <w:rtl/>
        </w:rPr>
        <w:t xml:space="preserve">لم تكن هذه السبل </w:t>
      </w:r>
      <w:r w:rsidRPr="007D7079">
        <w:rPr>
          <w:rFonts w:hint="cs"/>
          <w:rtl/>
        </w:rPr>
        <w:t>هي العامل الذي أضعف البنيان ال</w:t>
      </w:r>
      <w:r>
        <w:rPr>
          <w:rFonts w:hint="cs"/>
          <w:rtl/>
        </w:rPr>
        <w:t>أسري،</w:t>
      </w:r>
      <w:r w:rsidRPr="007D7079">
        <w:rPr>
          <w:rFonts w:hint="cs"/>
          <w:rtl/>
        </w:rPr>
        <w:t xml:space="preserve"> بل </w:t>
      </w:r>
      <w:r>
        <w:rPr>
          <w:rFonts w:hint="cs"/>
          <w:rtl/>
        </w:rPr>
        <w:t xml:space="preserve">ذلك ما يقع على عاتق نظام سيادة الرجل، </w:t>
      </w:r>
      <w:r w:rsidRPr="007D7079">
        <w:rPr>
          <w:rFonts w:hint="cs"/>
          <w:rtl/>
        </w:rPr>
        <w:t>إن</w:t>
      </w:r>
      <w:r>
        <w:rPr>
          <w:rFonts w:hint="cs"/>
          <w:rtl/>
        </w:rPr>
        <w:t>ّ</w:t>
      </w:r>
      <w:r w:rsidRPr="007D7079">
        <w:rPr>
          <w:rFonts w:hint="cs"/>
          <w:rtl/>
        </w:rPr>
        <w:t xml:space="preserve"> ما قامت به النسوية هو محاربة السدود الموجودة في النظام العائلي، وبزوال هذه السدود انكشفت الأكذوبة التي كانت تتحد</w:t>
      </w:r>
      <w:r>
        <w:rPr>
          <w:rFonts w:hint="cs"/>
          <w:rtl/>
        </w:rPr>
        <w:t>ّ</w:t>
      </w:r>
      <w:r w:rsidRPr="007D7079">
        <w:rPr>
          <w:rFonts w:hint="cs"/>
          <w:rtl/>
        </w:rPr>
        <w:t xml:space="preserve">ث عن </w:t>
      </w:r>
      <w:r>
        <w:rPr>
          <w:rFonts w:hint="cs"/>
          <w:rtl/>
        </w:rPr>
        <w:t>أخلاق</w:t>
      </w:r>
      <w:r w:rsidRPr="007D7079">
        <w:rPr>
          <w:rFonts w:hint="cs"/>
          <w:rtl/>
        </w:rPr>
        <w:t>ي</w:t>
      </w:r>
      <w:r>
        <w:rPr>
          <w:rFonts w:hint="cs"/>
          <w:rtl/>
        </w:rPr>
        <w:t>ّة نظام سيادة الرجل،</w:t>
      </w:r>
      <w:r w:rsidRPr="007D7079">
        <w:rPr>
          <w:rFonts w:hint="cs"/>
          <w:rtl/>
        </w:rPr>
        <w:t xml:space="preserve"> إن</w:t>
      </w:r>
      <w:r>
        <w:rPr>
          <w:rFonts w:hint="cs"/>
          <w:rtl/>
        </w:rPr>
        <w:t>ّ</w:t>
      </w:r>
      <w:r w:rsidRPr="007D7079">
        <w:rPr>
          <w:rFonts w:hint="cs"/>
          <w:rtl/>
        </w:rPr>
        <w:t xml:space="preserve"> إسراع</w:t>
      </w:r>
      <w:r>
        <w:rPr>
          <w:rFonts w:hint="cs"/>
          <w:rtl/>
        </w:rPr>
        <w:t xml:space="preserve"> المرأة </w:t>
      </w:r>
      <w:r w:rsidRPr="007D7079">
        <w:rPr>
          <w:rFonts w:hint="cs"/>
          <w:rtl/>
        </w:rPr>
        <w:t>في الإقدام على الطلاق في أي</w:t>
      </w:r>
      <w:r>
        <w:rPr>
          <w:rFonts w:hint="cs"/>
          <w:rtl/>
        </w:rPr>
        <w:t>ّ</w:t>
      </w:r>
      <w:r w:rsidRPr="007D7079">
        <w:rPr>
          <w:rFonts w:hint="cs"/>
          <w:rtl/>
        </w:rPr>
        <w:t xml:space="preserve"> لحظة</w:t>
      </w:r>
      <w:r>
        <w:rPr>
          <w:rFonts w:hint="cs"/>
          <w:rtl/>
        </w:rPr>
        <w:t xml:space="preserve"> أو </w:t>
      </w:r>
      <w:r w:rsidRPr="007D7079">
        <w:rPr>
          <w:rFonts w:hint="cs"/>
          <w:rtl/>
        </w:rPr>
        <w:t>مكان تمك</w:t>
      </w:r>
      <w:r>
        <w:rPr>
          <w:rFonts w:hint="cs"/>
          <w:rtl/>
        </w:rPr>
        <w:t>ّ</w:t>
      </w:r>
      <w:r w:rsidRPr="007D7079">
        <w:rPr>
          <w:rFonts w:hint="cs"/>
          <w:rtl/>
        </w:rPr>
        <w:t>نت فيه من أن تنتزع حقوقها داخل الحياة العائلية يكشف عم</w:t>
      </w:r>
      <w:r>
        <w:rPr>
          <w:rFonts w:hint="cs"/>
          <w:rtl/>
        </w:rPr>
        <w:t>ّ</w:t>
      </w:r>
      <w:r w:rsidRPr="007D7079">
        <w:rPr>
          <w:rFonts w:hint="cs"/>
          <w:rtl/>
        </w:rPr>
        <w:t>ا كان يحفظ حياة أكثر العوائل في المجتمعات التي تعيش ضمن نظام سيادة الرجل، و</w:t>
      </w:r>
      <w:r>
        <w:rPr>
          <w:rFonts w:hint="cs"/>
          <w:rtl/>
        </w:rPr>
        <w:t>أ</w:t>
      </w:r>
      <w:r w:rsidRPr="007D7079">
        <w:rPr>
          <w:rFonts w:hint="cs"/>
          <w:rtl/>
        </w:rPr>
        <w:t>ن</w:t>
      </w:r>
      <w:r>
        <w:rPr>
          <w:rFonts w:hint="cs"/>
          <w:rtl/>
        </w:rPr>
        <w:t>ّ</w:t>
      </w:r>
      <w:r w:rsidRPr="007D7079">
        <w:rPr>
          <w:rFonts w:hint="cs"/>
          <w:rtl/>
        </w:rPr>
        <w:t>ه لم يكن في القيم العائلي</w:t>
      </w:r>
      <w:r>
        <w:rPr>
          <w:rFonts w:hint="cs"/>
          <w:rtl/>
        </w:rPr>
        <w:t>ة التي كانت لا ترعى حقوق المرأة،</w:t>
      </w:r>
      <w:r w:rsidRPr="007D7079">
        <w:rPr>
          <w:rFonts w:hint="cs"/>
          <w:rtl/>
        </w:rPr>
        <w:t xml:space="preserve"> وليس </w:t>
      </w:r>
      <w:r>
        <w:rPr>
          <w:rFonts w:hint="cs"/>
          <w:rtl/>
        </w:rPr>
        <w:t>أمر</w:t>
      </w:r>
      <w:r w:rsidRPr="007D7079">
        <w:rPr>
          <w:rFonts w:hint="cs"/>
          <w:rtl/>
        </w:rPr>
        <w:t>ا</w:t>
      </w:r>
      <w:r>
        <w:rPr>
          <w:rFonts w:hint="cs"/>
          <w:rtl/>
        </w:rPr>
        <w:t>ً</w:t>
      </w:r>
      <w:r w:rsidRPr="007D7079">
        <w:rPr>
          <w:rFonts w:hint="cs"/>
          <w:rtl/>
        </w:rPr>
        <w:t xml:space="preserve"> سيئا</w:t>
      </w:r>
      <w:r>
        <w:rPr>
          <w:rFonts w:hint="cs"/>
          <w:rtl/>
        </w:rPr>
        <w:t>ً</w:t>
      </w:r>
      <w:r w:rsidRPr="007D7079">
        <w:rPr>
          <w:rFonts w:hint="cs"/>
          <w:rtl/>
        </w:rPr>
        <w:t xml:space="preserve"> أن نتذك</w:t>
      </w:r>
      <w:r>
        <w:rPr>
          <w:rFonts w:hint="cs"/>
          <w:rtl/>
        </w:rPr>
        <w:t>ّ</w:t>
      </w:r>
      <w:r w:rsidRPr="007D7079">
        <w:rPr>
          <w:rFonts w:hint="cs"/>
          <w:rtl/>
        </w:rPr>
        <w:t>ر هنا أن إيران قبل انتصار الثورة ـ حيث كانت في أمان</w:t>
      </w:r>
      <w:r>
        <w:rPr>
          <w:rFonts w:hint="cs"/>
          <w:rtl/>
        </w:rPr>
        <w:t>ٍ</w:t>
      </w:r>
      <w:r w:rsidRPr="007D7079">
        <w:rPr>
          <w:rFonts w:hint="cs"/>
          <w:rtl/>
        </w:rPr>
        <w:t xml:space="preserve"> من هجوم </w:t>
      </w:r>
      <w:r>
        <w:rPr>
          <w:rFonts w:hint="cs"/>
          <w:rtl/>
        </w:rPr>
        <w:t xml:space="preserve">الحركات النسويّة </w:t>
      </w:r>
      <w:r w:rsidRPr="007D7079">
        <w:rPr>
          <w:rFonts w:hint="cs"/>
          <w:rtl/>
        </w:rPr>
        <w:t>ـ</w:t>
      </w:r>
      <w:r>
        <w:rPr>
          <w:rFonts w:hint="cs"/>
          <w:rtl/>
        </w:rPr>
        <w:t xml:space="preserve"> </w:t>
      </w:r>
      <w:r w:rsidRPr="007D7079">
        <w:rPr>
          <w:rFonts w:hint="cs"/>
          <w:rtl/>
        </w:rPr>
        <w:t>قامت بإصدار قانون حماية العائلة من ارتفاع نسبة الطلاق.</w:t>
      </w:r>
    </w:p>
    <w:p w:rsidR="006E0FDB" w:rsidRPr="007D7079" w:rsidRDefault="006E0FDB" w:rsidP="006E0FDB">
      <w:pPr>
        <w:pStyle w:val="ac"/>
        <w:rPr>
          <w:rtl/>
        </w:rPr>
      </w:pPr>
      <w:r w:rsidRPr="007D7079">
        <w:rPr>
          <w:rFonts w:hint="cs"/>
          <w:rtl/>
        </w:rPr>
        <w:t>لا شكّ لديّ في أن</w:t>
      </w:r>
      <w:r>
        <w:rPr>
          <w:rFonts w:hint="cs"/>
          <w:rtl/>
        </w:rPr>
        <w:t>ّ</w:t>
      </w:r>
      <w:r w:rsidRPr="007D7079">
        <w:rPr>
          <w:rFonts w:hint="cs"/>
          <w:rtl/>
        </w:rPr>
        <w:t xml:space="preserve"> الكثير من القر</w:t>
      </w:r>
      <w:r>
        <w:rPr>
          <w:rFonts w:hint="cs"/>
          <w:rtl/>
        </w:rPr>
        <w:t>ّ</w:t>
      </w:r>
      <w:r w:rsidRPr="007D7079">
        <w:rPr>
          <w:rFonts w:hint="cs"/>
          <w:rtl/>
        </w:rPr>
        <w:t xml:space="preserve">اء الكرام يرون </w:t>
      </w:r>
      <w:r>
        <w:rPr>
          <w:rFonts w:hint="cs"/>
          <w:rtl/>
        </w:rPr>
        <w:t xml:space="preserve">في الطلاق ـ </w:t>
      </w:r>
      <w:r w:rsidRPr="007D7079">
        <w:rPr>
          <w:rFonts w:hint="cs"/>
          <w:rtl/>
        </w:rPr>
        <w:t xml:space="preserve">ضمن الخيارات السابقة </w:t>
      </w:r>
      <w:r>
        <w:rPr>
          <w:rFonts w:hint="cs"/>
          <w:rtl/>
        </w:rPr>
        <w:t xml:space="preserve">ـ </w:t>
      </w:r>
      <w:r w:rsidRPr="007D7079">
        <w:rPr>
          <w:rFonts w:hint="cs"/>
          <w:rtl/>
        </w:rPr>
        <w:t>حلا</w:t>
      </w:r>
      <w:r>
        <w:rPr>
          <w:rFonts w:hint="cs"/>
          <w:rtl/>
        </w:rPr>
        <w:t>ً أفضل،</w:t>
      </w:r>
      <w:r w:rsidRPr="007D7079">
        <w:rPr>
          <w:rtl/>
        </w:rPr>
        <w:t xml:space="preserve"> </w:t>
      </w:r>
      <w:r w:rsidRPr="007D7079">
        <w:rPr>
          <w:rFonts w:hint="cs"/>
          <w:rtl/>
        </w:rPr>
        <w:t>أم</w:t>
      </w:r>
      <w:r>
        <w:rPr>
          <w:rFonts w:hint="cs"/>
          <w:rtl/>
        </w:rPr>
        <w:t>ّ</w:t>
      </w:r>
      <w:r w:rsidRPr="007D7079">
        <w:rPr>
          <w:rFonts w:hint="cs"/>
          <w:rtl/>
        </w:rPr>
        <w:t>ا ما أ</w:t>
      </w:r>
      <w:r>
        <w:rPr>
          <w:rFonts w:hint="cs"/>
          <w:rtl/>
        </w:rPr>
        <w:t>خشاه</w:t>
      </w:r>
      <w:r w:rsidRPr="007D7079">
        <w:rPr>
          <w:rFonts w:hint="cs"/>
          <w:rtl/>
        </w:rPr>
        <w:t xml:space="preserve"> </w:t>
      </w:r>
      <w:r>
        <w:rPr>
          <w:rFonts w:hint="cs"/>
          <w:rtl/>
        </w:rPr>
        <w:t>ف</w:t>
      </w:r>
      <w:r w:rsidRPr="007D7079">
        <w:rPr>
          <w:rFonts w:hint="cs"/>
          <w:rtl/>
        </w:rPr>
        <w:t xml:space="preserve">هو أن تضيق آمالنا الجميلة والرائعة في المحيط </w:t>
      </w:r>
      <w:r>
        <w:rPr>
          <w:rFonts w:hint="cs"/>
          <w:rtl/>
        </w:rPr>
        <w:t>العائلي المليء بالعاطفة والمحبة</w:t>
      </w:r>
      <w:r w:rsidRPr="007D7079">
        <w:rPr>
          <w:rFonts w:hint="cs"/>
          <w:rtl/>
        </w:rPr>
        <w:t xml:space="preserve"> م</w:t>
      </w:r>
      <w:r>
        <w:rPr>
          <w:rFonts w:hint="cs"/>
          <w:rtl/>
        </w:rPr>
        <w:t>تى دخلت ميدان التطبيق العملي، وأ</w:t>
      </w:r>
      <w:r w:rsidRPr="007D7079">
        <w:rPr>
          <w:rFonts w:hint="cs"/>
          <w:rtl/>
        </w:rPr>
        <w:t>ن تحل</w:t>
      </w:r>
      <w:r>
        <w:rPr>
          <w:rFonts w:hint="cs"/>
          <w:rtl/>
        </w:rPr>
        <w:t>ّ</w:t>
      </w:r>
      <w:r w:rsidRPr="007D7079">
        <w:rPr>
          <w:rFonts w:hint="cs"/>
          <w:rtl/>
        </w:rPr>
        <w:t xml:space="preserve"> محل النظرة العلمية والواقعية مقولات العائلة، </w:t>
      </w:r>
      <w:r>
        <w:rPr>
          <w:rFonts w:hint="cs"/>
          <w:rtl/>
        </w:rPr>
        <w:t>و</w:t>
      </w:r>
      <w:r w:rsidRPr="007D7079">
        <w:rPr>
          <w:rFonts w:hint="cs"/>
          <w:rtl/>
        </w:rPr>
        <w:t xml:space="preserve">الزواج، </w:t>
      </w:r>
      <w:r>
        <w:rPr>
          <w:rFonts w:hint="cs"/>
          <w:rtl/>
        </w:rPr>
        <w:t>و</w:t>
      </w:r>
      <w:r w:rsidRPr="007D7079">
        <w:rPr>
          <w:rFonts w:hint="cs"/>
          <w:rtl/>
        </w:rPr>
        <w:t>الطلا</w:t>
      </w:r>
      <w:r>
        <w:rPr>
          <w:rFonts w:hint="cs"/>
          <w:rtl/>
        </w:rPr>
        <w:t>ق؛</w:t>
      </w:r>
      <w:r w:rsidRPr="007D7079">
        <w:rPr>
          <w:rtl/>
        </w:rPr>
        <w:t xml:space="preserve"> </w:t>
      </w:r>
      <w:r w:rsidRPr="007D7079">
        <w:rPr>
          <w:rFonts w:hint="cs"/>
          <w:rtl/>
        </w:rPr>
        <w:t xml:space="preserve">لذا </w:t>
      </w:r>
      <w:r>
        <w:rPr>
          <w:rFonts w:hint="cs"/>
          <w:rtl/>
        </w:rPr>
        <w:t>تحلّ إحساسات عالمٍ مثل باقر ساروخاني</w:t>
      </w:r>
      <w:r w:rsidRPr="007D7079">
        <w:rPr>
          <w:rFonts w:hint="cs"/>
          <w:rtl/>
        </w:rPr>
        <w:t xml:space="preserve"> </w:t>
      </w:r>
      <w:r>
        <w:rPr>
          <w:rFonts w:hint="cs"/>
          <w:rtl/>
        </w:rPr>
        <w:t>ف</w:t>
      </w:r>
      <w:r w:rsidRPr="007D7079">
        <w:rPr>
          <w:rFonts w:hint="cs"/>
          <w:rtl/>
        </w:rPr>
        <w:t>ي موضوع الطلاق محل</w:t>
      </w:r>
      <w:r>
        <w:rPr>
          <w:rFonts w:hint="cs"/>
          <w:rtl/>
        </w:rPr>
        <w:t xml:space="preserve">ّ الدراسة العلمية، حيث يقول: </w:t>
      </w:r>
      <w:r w:rsidRPr="00D316A3">
        <w:rPr>
          <w:rFonts w:hint="cs"/>
          <w:szCs w:val="29"/>
        </w:rPr>
        <w:sym w:font="Roumouz" w:char="F06D"/>
      </w:r>
      <w:r w:rsidRPr="007D7079">
        <w:rPr>
          <w:rFonts w:hint="cs"/>
          <w:rtl/>
        </w:rPr>
        <w:t>لابدّ لنا ـ بنظري ـ وعبر القيام بدراسة للعوائل المنهارة</w:t>
      </w:r>
      <w:r>
        <w:rPr>
          <w:rFonts w:hint="cs"/>
          <w:rtl/>
        </w:rPr>
        <w:t>،</w:t>
      </w:r>
      <w:r w:rsidRPr="007D7079">
        <w:rPr>
          <w:rFonts w:hint="cs"/>
          <w:rtl/>
        </w:rPr>
        <w:t xml:space="preserve"> من السعي</w:t>
      </w:r>
      <w:r>
        <w:rPr>
          <w:rFonts w:hint="cs"/>
          <w:rtl/>
        </w:rPr>
        <w:t xml:space="preserve"> إلى محاربة وإزالة جميع الأ</w:t>
      </w:r>
      <w:r w:rsidRPr="007D7079">
        <w:rPr>
          <w:rFonts w:hint="cs"/>
          <w:rtl/>
        </w:rPr>
        <w:t>سباب الرئيسي</w:t>
      </w:r>
      <w:r>
        <w:rPr>
          <w:rFonts w:hint="cs"/>
          <w:rtl/>
        </w:rPr>
        <w:t>ّة للطلاق،</w:t>
      </w:r>
      <w:r w:rsidRPr="007D7079">
        <w:rPr>
          <w:rFonts w:hint="cs"/>
          <w:rtl/>
        </w:rPr>
        <w:t xml:space="preserve"> إن</w:t>
      </w:r>
      <w:r>
        <w:rPr>
          <w:rFonts w:hint="cs"/>
          <w:rtl/>
        </w:rPr>
        <w:t>ّ</w:t>
      </w:r>
      <w:r w:rsidRPr="007D7079">
        <w:rPr>
          <w:rFonts w:hint="cs"/>
          <w:rtl/>
        </w:rPr>
        <w:t xml:space="preserve"> محاربة النتائج لا يمكنها أن تكون مثمرة</w:t>
      </w:r>
      <w:r>
        <w:rPr>
          <w:rFonts w:hint="cs"/>
          <w:rtl/>
        </w:rPr>
        <w:t>ً</w:t>
      </w:r>
      <w:r w:rsidRPr="007D7079">
        <w:rPr>
          <w:rFonts w:hint="cs"/>
          <w:rtl/>
        </w:rPr>
        <w:t xml:space="preserve"> وصحيحة..</w:t>
      </w:r>
      <w:r>
        <w:rPr>
          <w:rFonts w:hint="cs"/>
          <w:rtl/>
        </w:rPr>
        <w:t xml:space="preserve"> </w:t>
      </w:r>
      <w:r>
        <w:rPr>
          <w:rFonts w:hint="cs"/>
          <w:rtl/>
        </w:rPr>
        <w:lastRenderedPageBreak/>
        <w:t xml:space="preserve">لابدّ </w:t>
      </w:r>
      <w:r w:rsidRPr="007D7079">
        <w:rPr>
          <w:rFonts w:hint="cs"/>
          <w:rtl/>
        </w:rPr>
        <w:t xml:space="preserve">لنا </w:t>
      </w:r>
      <w:r>
        <w:rPr>
          <w:rFonts w:hint="cs"/>
          <w:rtl/>
        </w:rPr>
        <w:t xml:space="preserve">ـ </w:t>
      </w:r>
      <w:r w:rsidRPr="007D7079">
        <w:rPr>
          <w:rFonts w:hint="cs"/>
          <w:rtl/>
        </w:rPr>
        <w:t xml:space="preserve">عن طريق التعليم وتحريك العواطف وإيجاد روح التعاون </w:t>
      </w:r>
      <w:r>
        <w:rPr>
          <w:rFonts w:hint="cs"/>
          <w:rtl/>
        </w:rPr>
        <w:t xml:space="preserve">ـ </w:t>
      </w:r>
      <w:r w:rsidRPr="007D7079">
        <w:rPr>
          <w:rFonts w:hint="cs"/>
          <w:rtl/>
        </w:rPr>
        <w:t>من الوصول</w:t>
      </w:r>
      <w:r>
        <w:rPr>
          <w:rFonts w:hint="cs"/>
          <w:rtl/>
        </w:rPr>
        <w:t xml:space="preserve"> إلى </w:t>
      </w:r>
      <w:r w:rsidRPr="007D7079">
        <w:rPr>
          <w:rFonts w:hint="cs"/>
          <w:rtl/>
        </w:rPr>
        <w:t>حد</w:t>
      </w:r>
      <w:r>
        <w:rPr>
          <w:rFonts w:hint="cs"/>
          <w:rtl/>
        </w:rPr>
        <w:t>ّ</w:t>
      </w:r>
      <w:r w:rsidRPr="007D7079">
        <w:rPr>
          <w:rFonts w:hint="cs"/>
          <w:rtl/>
        </w:rPr>
        <w:t xml:space="preserve"> تكون حتى كلمة الطلاق </w:t>
      </w:r>
      <w:r>
        <w:rPr>
          <w:rFonts w:hint="cs"/>
          <w:rtl/>
        </w:rPr>
        <w:t xml:space="preserve">فيه </w:t>
      </w:r>
      <w:r w:rsidRPr="007D7079">
        <w:rPr>
          <w:rFonts w:hint="cs"/>
          <w:rtl/>
        </w:rPr>
        <w:t>كلمة</w:t>
      </w:r>
      <w:r>
        <w:rPr>
          <w:rFonts w:hint="cs"/>
          <w:rtl/>
        </w:rPr>
        <w:t>ً</w:t>
      </w:r>
      <w:r w:rsidRPr="007D7079">
        <w:rPr>
          <w:rFonts w:hint="cs"/>
          <w:rtl/>
        </w:rPr>
        <w:t xml:space="preserve"> سي</w:t>
      </w:r>
      <w:r>
        <w:rPr>
          <w:rFonts w:hint="cs"/>
          <w:rtl/>
        </w:rPr>
        <w:t>ّئة،</w:t>
      </w:r>
      <w:r w:rsidRPr="007D7079">
        <w:rPr>
          <w:rFonts w:hint="cs"/>
          <w:rtl/>
        </w:rPr>
        <w:t xml:space="preserve"> </w:t>
      </w:r>
      <w:r>
        <w:rPr>
          <w:rFonts w:hint="cs"/>
          <w:rtl/>
        </w:rPr>
        <w:t xml:space="preserve">بل </w:t>
      </w:r>
      <w:r w:rsidRPr="007D7079">
        <w:rPr>
          <w:rFonts w:hint="cs"/>
          <w:rtl/>
        </w:rPr>
        <w:t>مزعجة لل</w:t>
      </w:r>
      <w:r>
        <w:rPr>
          <w:rFonts w:hint="cs"/>
          <w:rtl/>
        </w:rPr>
        <w:t>إنسان</w:t>
      </w:r>
      <w:r w:rsidRPr="007D7079">
        <w:rPr>
          <w:rFonts w:hint="cs"/>
          <w:rtl/>
        </w:rPr>
        <w:t xml:space="preserve"> ومؤذية له، </w:t>
      </w:r>
      <w:r>
        <w:rPr>
          <w:rFonts w:hint="cs"/>
          <w:rtl/>
        </w:rPr>
        <w:t xml:space="preserve">إنّه يلزمنا </w:t>
      </w:r>
      <w:r w:rsidRPr="007D7079">
        <w:rPr>
          <w:rFonts w:hint="cs"/>
          <w:rtl/>
        </w:rPr>
        <w:t>تقوية قدرات ال</w:t>
      </w:r>
      <w:r>
        <w:rPr>
          <w:rFonts w:hint="cs"/>
          <w:rtl/>
        </w:rPr>
        <w:t>إنسان في داخله بدل الآ</w:t>
      </w:r>
      <w:r w:rsidRPr="007D7079">
        <w:rPr>
          <w:rFonts w:hint="cs"/>
          <w:rtl/>
        </w:rPr>
        <w:t>خرين</w:t>
      </w:r>
      <w:r>
        <w:rPr>
          <w:rFonts w:hint="cs"/>
          <w:rtl/>
        </w:rPr>
        <w:t>؛</w:t>
      </w:r>
      <w:r w:rsidRPr="007D7079">
        <w:rPr>
          <w:rFonts w:hint="cs"/>
          <w:rtl/>
        </w:rPr>
        <w:t xml:space="preserve"> حتى ي</w:t>
      </w:r>
      <w:r>
        <w:rPr>
          <w:rFonts w:hint="cs"/>
          <w:rtl/>
        </w:rPr>
        <w:t>قيم</w:t>
      </w:r>
      <w:r w:rsidRPr="007D7079">
        <w:rPr>
          <w:rFonts w:hint="cs"/>
          <w:rtl/>
        </w:rPr>
        <w:t xml:space="preserve"> علاقة تكون لصال</w:t>
      </w:r>
      <w:r>
        <w:rPr>
          <w:rFonts w:hint="cs"/>
          <w:rtl/>
        </w:rPr>
        <w:t>ح بناء العائلة</w:t>
      </w:r>
      <w:r w:rsidRPr="00D316A3">
        <w:rPr>
          <w:rFonts w:hint="cs"/>
          <w:szCs w:val="29"/>
        </w:rPr>
        <w:sym w:font="Roumouz" w:char="F06E"/>
      </w:r>
      <w:r>
        <w:rPr>
          <w:rFonts w:hint="cs"/>
          <w:rtl/>
        </w:rPr>
        <w:t>.</w:t>
      </w:r>
    </w:p>
    <w:p w:rsidR="006E0FDB" w:rsidRPr="007D7079" w:rsidRDefault="006E0FDB" w:rsidP="006E0FDB">
      <w:pPr>
        <w:pStyle w:val="ac"/>
        <w:rPr>
          <w:rtl/>
        </w:rPr>
      </w:pPr>
      <w:r w:rsidRPr="007D7079">
        <w:rPr>
          <w:rFonts w:hint="cs"/>
          <w:rtl/>
        </w:rPr>
        <w:t>إن</w:t>
      </w:r>
      <w:r>
        <w:rPr>
          <w:rFonts w:hint="cs"/>
          <w:rtl/>
        </w:rPr>
        <w:t>ّ</w:t>
      </w:r>
      <w:r w:rsidRPr="007D7079">
        <w:rPr>
          <w:rFonts w:hint="cs"/>
          <w:rtl/>
        </w:rPr>
        <w:t xml:space="preserve"> الأمل ال</w:t>
      </w:r>
      <w:r>
        <w:rPr>
          <w:rFonts w:hint="cs"/>
          <w:rtl/>
        </w:rPr>
        <w:t>إنسان</w:t>
      </w:r>
      <w:r w:rsidRPr="007D7079">
        <w:rPr>
          <w:rFonts w:hint="cs"/>
          <w:rtl/>
        </w:rPr>
        <w:t>ي لدى هذا الأستاذ الكريم قيّم جدا</w:t>
      </w:r>
      <w:r>
        <w:rPr>
          <w:rFonts w:hint="cs"/>
          <w:rtl/>
        </w:rPr>
        <w:t>ً</w:t>
      </w:r>
      <w:r w:rsidRPr="007D7079">
        <w:rPr>
          <w:rFonts w:hint="cs"/>
          <w:rtl/>
        </w:rPr>
        <w:t>، لكن</w:t>
      </w:r>
      <w:r>
        <w:rPr>
          <w:rFonts w:hint="cs"/>
          <w:rtl/>
        </w:rPr>
        <w:t>ّ</w:t>
      </w:r>
      <w:r w:rsidRPr="007D7079">
        <w:rPr>
          <w:rFonts w:hint="cs"/>
          <w:rtl/>
        </w:rPr>
        <w:t xml:space="preserve"> خوفي من هذا النمط من التفكير أعظم من إحساسي بالتقدير لني</w:t>
      </w:r>
      <w:r>
        <w:rPr>
          <w:rFonts w:hint="cs"/>
          <w:rtl/>
        </w:rPr>
        <w:t>ته</w:t>
      </w:r>
      <w:r w:rsidRPr="007D7079">
        <w:rPr>
          <w:rFonts w:hint="cs"/>
          <w:rtl/>
        </w:rPr>
        <w:t xml:space="preserve"> السليمة</w:t>
      </w:r>
      <w:r>
        <w:rPr>
          <w:rFonts w:hint="cs"/>
          <w:rtl/>
        </w:rPr>
        <w:t>،</w:t>
      </w:r>
      <w:r w:rsidRPr="007D7079">
        <w:rPr>
          <w:rFonts w:hint="cs"/>
          <w:rtl/>
        </w:rPr>
        <w:t xml:space="preserve"> </w:t>
      </w:r>
      <w:r>
        <w:rPr>
          <w:rFonts w:hint="cs"/>
          <w:rtl/>
        </w:rPr>
        <w:t>ف</w:t>
      </w:r>
      <w:r w:rsidRPr="007D7079">
        <w:rPr>
          <w:rFonts w:hint="cs"/>
          <w:rtl/>
        </w:rPr>
        <w:t>السؤال الأهم</w:t>
      </w:r>
      <w:r>
        <w:rPr>
          <w:rFonts w:hint="cs"/>
          <w:rtl/>
        </w:rPr>
        <w:t>ّ</w:t>
      </w:r>
      <w:r w:rsidRPr="007D7079">
        <w:rPr>
          <w:rFonts w:hint="cs"/>
          <w:rtl/>
        </w:rPr>
        <w:t xml:space="preserve"> من الأمل </w:t>
      </w:r>
      <w:r>
        <w:rPr>
          <w:rFonts w:hint="cs"/>
          <w:rtl/>
        </w:rPr>
        <w:t>ب</w:t>
      </w:r>
      <w:r w:rsidRPr="007D7079">
        <w:rPr>
          <w:rFonts w:hint="cs"/>
          <w:rtl/>
        </w:rPr>
        <w:t xml:space="preserve">زوال حالات الطلاق بالكامل </w:t>
      </w:r>
      <w:r>
        <w:rPr>
          <w:rFonts w:hint="cs"/>
          <w:rtl/>
        </w:rPr>
        <w:t xml:space="preserve">ـ </w:t>
      </w:r>
      <w:r w:rsidRPr="007D7079">
        <w:rPr>
          <w:rFonts w:hint="cs"/>
          <w:rtl/>
        </w:rPr>
        <w:t>كما هو كلام ساروخاني</w:t>
      </w:r>
      <w:r>
        <w:rPr>
          <w:rFonts w:hint="cs"/>
          <w:rtl/>
        </w:rPr>
        <w:t xml:space="preserve"> ـ أو </w:t>
      </w:r>
      <w:r w:rsidRPr="007D7079">
        <w:rPr>
          <w:rFonts w:hint="cs"/>
          <w:rtl/>
        </w:rPr>
        <w:t xml:space="preserve">من الشماتة بالنسوية نتيجة ارتفاع نسب الطلاق في الغرب </w:t>
      </w:r>
      <w:r>
        <w:rPr>
          <w:rFonts w:hint="cs"/>
          <w:rtl/>
        </w:rPr>
        <w:t xml:space="preserve">ـ </w:t>
      </w:r>
      <w:r w:rsidRPr="007D7079">
        <w:rPr>
          <w:rFonts w:hint="cs"/>
          <w:rtl/>
        </w:rPr>
        <w:t xml:space="preserve">كما هو كلام </w:t>
      </w:r>
      <w:r>
        <w:rPr>
          <w:rFonts w:hint="cs"/>
          <w:rtl/>
        </w:rPr>
        <w:t>مطيع</w:t>
      </w:r>
      <w:r w:rsidRPr="007D7079">
        <w:rPr>
          <w:rFonts w:hint="cs"/>
          <w:rtl/>
        </w:rPr>
        <w:t xml:space="preserve"> </w:t>
      </w:r>
      <w:r>
        <w:rPr>
          <w:rFonts w:hint="cs"/>
          <w:rtl/>
        </w:rPr>
        <w:t xml:space="preserve">ـ </w:t>
      </w:r>
      <w:r w:rsidRPr="007D7079">
        <w:rPr>
          <w:rFonts w:hint="cs"/>
          <w:rtl/>
        </w:rPr>
        <w:t>هو الفرض المسبق لدى كل</w:t>
      </w:r>
      <w:r>
        <w:rPr>
          <w:rFonts w:hint="cs"/>
          <w:rtl/>
        </w:rPr>
        <w:t>يهما</w:t>
      </w:r>
      <w:r w:rsidRPr="007D7079">
        <w:rPr>
          <w:rFonts w:hint="cs"/>
          <w:rtl/>
        </w:rPr>
        <w:t xml:space="preserve"> في اعتبار الطلاق ظاهرة</w:t>
      </w:r>
      <w:r>
        <w:rPr>
          <w:rFonts w:hint="cs"/>
          <w:rtl/>
        </w:rPr>
        <w:t>ً سلبية بالمطلق،</w:t>
      </w:r>
      <w:r w:rsidRPr="007D7079">
        <w:rPr>
          <w:rFonts w:hint="cs"/>
          <w:rtl/>
        </w:rPr>
        <w:t xml:space="preserve"> فهل صحيح</w:t>
      </w:r>
      <w:r>
        <w:rPr>
          <w:rFonts w:hint="cs"/>
          <w:rtl/>
        </w:rPr>
        <w:t>ٌ</w:t>
      </w:r>
      <w:r w:rsidRPr="007D7079">
        <w:rPr>
          <w:rFonts w:hint="cs"/>
          <w:rtl/>
        </w:rPr>
        <w:t xml:space="preserve"> أن بالإمكان إزالة </w:t>
      </w:r>
      <w:r>
        <w:rPr>
          <w:rFonts w:hint="cs"/>
          <w:rtl/>
        </w:rPr>
        <w:t>ال</w:t>
      </w:r>
      <w:r w:rsidRPr="007D7079">
        <w:rPr>
          <w:rFonts w:hint="cs"/>
          <w:rtl/>
        </w:rPr>
        <w:t>أسباب ال</w:t>
      </w:r>
      <w:r>
        <w:rPr>
          <w:rFonts w:hint="cs"/>
          <w:rtl/>
        </w:rPr>
        <w:t>أساسية للطلاق بالكامل</w:t>
      </w:r>
      <w:r w:rsidRPr="007D7079">
        <w:rPr>
          <w:rFonts w:hint="cs"/>
          <w:rtl/>
        </w:rPr>
        <w:t xml:space="preserve"> حت</w:t>
      </w:r>
      <w:r>
        <w:rPr>
          <w:rFonts w:hint="cs"/>
          <w:rtl/>
        </w:rPr>
        <w:t>ّ</w:t>
      </w:r>
      <w:r w:rsidRPr="007D7079">
        <w:rPr>
          <w:rFonts w:hint="cs"/>
          <w:rtl/>
        </w:rPr>
        <w:t>ى تكون كلمة طلاق كلمة</w:t>
      </w:r>
      <w:r>
        <w:rPr>
          <w:rFonts w:hint="cs"/>
          <w:rtl/>
        </w:rPr>
        <w:t>ً</w:t>
      </w:r>
      <w:r w:rsidRPr="007D7079">
        <w:rPr>
          <w:rFonts w:hint="cs"/>
          <w:rtl/>
        </w:rPr>
        <w:t xml:space="preserve"> سيئة للغاية؟</w:t>
      </w:r>
      <w:r>
        <w:rPr>
          <w:rFonts w:hint="cs"/>
          <w:rtl/>
        </w:rPr>
        <w:t>!</w:t>
      </w:r>
      <w:r w:rsidRPr="007D7079">
        <w:rPr>
          <w:rFonts w:hint="cs"/>
          <w:rtl/>
        </w:rPr>
        <w:t xml:space="preserve"> هل النسوية هي السبب في </w:t>
      </w:r>
      <w:r>
        <w:rPr>
          <w:rFonts w:hint="cs"/>
          <w:rtl/>
        </w:rPr>
        <w:t xml:space="preserve">جهل </w:t>
      </w:r>
      <w:r w:rsidRPr="007D7079">
        <w:rPr>
          <w:rFonts w:hint="cs"/>
          <w:rtl/>
        </w:rPr>
        <w:t>ال</w:t>
      </w:r>
      <w:r>
        <w:rPr>
          <w:rFonts w:hint="cs"/>
          <w:rtl/>
        </w:rPr>
        <w:t>إنسان</w:t>
      </w:r>
      <w:r w:rsidRPr="007D7079">
        <w:rPr>
          <w:rFonts w:hint="cs"/>
          <w:rtl/>
        </w:rPr>
        <w:t xml:space="preserve"> قدر شريكه الآخر </w:t>
      </w:r>
      <w:r>
        <w:rPr>
          <w:rFonts w:hint="cs"/>
          <w:rtl/>
        </w:rPr>
        <w:t>ف</w:t>
      </w:r>
      <w:r w:rsidRPr="007D7079">
        <w:rPr>
          <w:rFonts w:hint="cs"/>
          <w:rtl/>
        </w:rPr>
        <w:t>لا يجد حلا</w:t>
      </w:r>
      <w:r>
        <w:rPr>
          <w:rFonts w:hint="cs"/>
          <w:rtl/>
        </w:rPr>
        <w:t>ً</w:t>
      </w:r>
      <w:r w:rsidRPr="007D7079">
        <w:rPr>
          <w:rFonts w:hint="cs"/>
          <w:rtl/>
        </w:rPr>
        <w:t xml:space="preserve"> لمشاكله سوى </w:t>
      </w:r>
      <w:r>
        <w:rPr>
          <w:rFonts w:hint="cs"/>
          <w:rtl/>
        </w:rPr>
        <w:t>الطلاق؟!</w:t>
      </w:r>
    </w:p>
    <w:p w:rsidR="006E0FDB" w:rsidRDefault="006E0FDB" w:rsidP="006E0FDB">
      <w:pPr>
        <w:pStyle w:val="ac"/>
        <w:rPr>
          <w:rtl/>
        </w:rPr>
      </w:pPr>
      <w:r>
        <w:rPr>
          <w:rFonts w:hint="cs"/>
          <w:rtl/>
        </w:rPr>
        <w:t>و</w:t>
      </w:r>
      <w:r w:rsidRPr="007D7079">
        <w:rPr>
          <w:rFonts w:hint="cs"/>
          <w:rtl/>
        </w:rPr>
        <w:t>الهدف الذي أ</w:t>
      </w:r>
      <w:r>
        <w:rPr>
          <w:rFonts w:hint="cs"/>
          <w:rtl/>
        </w:rPr>
        <w:t>قصده</w:t>
      </w:r>
      <w:r w:rsidRPr="007D7079">
        <w:rPr>
          <w:rFonts w:hint="cs"/>
          <w:rtl/>
        </w:rPr>
        <w:t xml:space="preserve"> من تعداد ما ذكرته من أمور</w:t>
      </w:r>
      <w:r>
        <w:rPr>
          <w:rFonts w:hint="cs"/>
          <w:rtl/>
        </w:rPr>
        <w:t>ٍ</w:t>
      </w:r>
      <w:r w:rsidRPr="007D7079">
        <w:rPr>
          <w:rFonts w:hint="cs"/>
          <w:rtl/>
        </w:rPr>
        <w:t xml:space="preserve"> هو القيام ب</w:t>
      </w:r>
      <w:r>
        <w:rPr>
          <w:rFonts w:hint="cs"/>
          <w:rtl/>
        </w:rPr>
        <w:t xml:space="preserve">إثارة مجموعة </w:t>
      </w:r>
      <w:r w:rsidRPr="007D7079">
        <w:rPr>
          <w:rFonts w:hint="cs"/>
          <w:rtl/>
        </w:rPr>
        <w:t xml:space="preserve">أسئلة </w:t>
      </w:r>
      <w:r>
        <w:rPr>
          <w:rFonts w:hint="cs"/>
          <w:rtl/>
        </w:rPr>
        <w:t xml:space="preserve">تمثل </w:t>
      </w:r>
      <w:r w:rsidRPr="007D7079">
        <w:rPr>
          <w:rFonts w:hint="cs"/>
          <w:rtl/>
        </w:rPr>
        <w:t xml:space="preserve">مفاتيح </w:t>
      </w:r>
      <w:r>
        <w:rPr>
          <w:rFonts w:hint="cs"/>
          <w:rtl/>
        </w:rPr>
        <w:t>الحركة النسوية في إيران،</w:t>
      </w:r>
      <w:r w:rsidRPr="007D7079">
        <w:rPr>
          <w:rFonts w:hint="cs"/>
          <w:rtl/>
        </w:rPr>
        <w:t xml:space="preserve"> فما هو موقف الحركة النسوية في</w:t>
      </w:r>
      <w:r>
        <w:rPr>
          <w:rFonts w:hint="cs"/>
          <w:rtl/>
        </w:rPr>
        <w:t xml:space="preserve">ها </w:t>
      </w:r>
      <w:r w:rsidRPr="007D7079">
        <w:rPr>
          <w:rFonts w:hint="cs"/>
          <w:rtl/>
        </w:rPr>
        <w:t>من التعميمات التي ترتبط بالحياة الجنسية والعلاقات العائلية التي ليس لها أي</w:t>
      </w:r>
      <w:r>
        <w:rPr>
          <w:rFonts w:hint="cs"/>
          <w:rtl/>
        </w:rPr>
        <w:t>ّ</w:t>
      </w:r>
      <w:r w:rsidRPr="007D7079">
        <w:rPr>
          <w:rFonts w:hint="cs"/>
          <w:rtl/>
        </w:rPr>
        <w:t xml:space="preserve"> مستند علمي ولا تفي بحل</w:t>
      </w:r>
      <w:r>
        <w:rPr>
          <w:rFonts w:hint="cs"/>
          <w:rtl/>
        </w:rPr>
        <w:t>ّ</w:t>
      </w:r>
      <w:r w:rsidRPr="007D7079">
        <w:rPr>
          <w:rFonts w:hint="cs"/>
          <w:rtl/>
        </w:rPr>
        <w:t xml:space="preserve"> التعقيدات الموجودة في العلاقات ال</w:t>
      </w:r>
      <w:r>
        <w:rPr>
          <w:rFonts w:hint="cs"/>
          <w:rtl/>
        </w:rPr>
        <w:t>إنسان</w:t>
      </w:r>
      <w:r w:rsidRPr="007D7079">
        <w:rPr>
          <w:rFonts w:hint="cs"/>
          <w:rtl/>
        </w:rPr>
        <w:t>ية؟ وكيف تستفيد الحركة النسوية في إيران من هذه التعميمات لتحليل جزئيات السلوك ال</w:t>
      </w:r>
      <w:r>
        <w:rPr>
          <w:rFonts w:hint="cs"/>
          <w:rtl/>
        </w:rPr>
        <w:t>إنسان</w:t>
      </w:r>
      <w:r w:rsidRPr="007D7079">
        <w:rPr>
          <w:rFonts w:hint="cs"/>
          <w:rtl/>
        </w:rPr>
        <w:t>ي؟</w:t>
      </w:r>
      <w:r>
        <w:rPr>
          <w:rFonts w:hint="cs"/>
          <w:rtl/>
        </w:rPr>
        <w:t xml:space="preserve"> </w:t>
      </w:r>
      <w:r w:rsidRPr="007D7079">
        <w:rPr>
          <w:rFonts w:hint="cs"/>
          <w:rtl/>
        </w:rPr>
        <w:t xml:space="preserve">وما الجديد الذي تملكه </w:t>
      </w:r>
      <w:r>
        <w:rPr>
          <w:rFonts w:hint="cs"/>
          <w:rtl/>
        </w:rPr>
        <w:t xml:space="preserve">هذه </w:t>
      </w:r>
      <w:r w:rsidRPr="007D7079">
        <w:rPr>
          <w:rFonts w:hint="cs"/>
          <w:rtl/>
        </w:rPr>
        <w:t>الحركة النسوية للرجال والنساء الذين يعيشون غير منسجمين في الإطار الضي</w:t>
      </w:r>
      <w:r>
        <w:rPr>
          <w:rFonts w:hint="cs"/>
          <w:rtl/>
        </w:rPr>
        <w:t>ّ</w:t>
      </w:r>
      <w:r w:rsidRPr="007D7079">
        <w:rPr>
          <w:rFonts w:hint="cs"/>
          <w:rtl/>
        </w:rPr>
        <w:t>ق للسلوك، وهم محكومون بالعيش على هامش المجتمع؟</w:t>
      </w:r>
      <w:r>
        <w:rPr>
          <w:rFonts w:hint="cs"/>
          <w:rtl/>
        </w:rPr>
        <w:t xml:space="preserve"> </w:t>
      </w:r>
      <w:r w:rsidRPr="007D7079">
        <w:rPr>
          <w:rFonts w:hint="cs"/>
          <w:rtl/>
        </w:rPr>
        <w:t>وما هو الاقتراح الذي تقد</w:t>
      </w:r>
      <w:r>
        <w:rPr>
          <w:rFonts w:hint="cs"/>
          <w:rtl/>
        </w:rPr>
        <w:t>ّ</w:t>
      </w:r>
      <w:r w:rsidRPr="007D7079">
        <w:rPr>
          <w:rFonts w:hint="cs"/>
          <w:rtl/>
        </w:rPr>
        <w:t xml:space="preserve">مه الحركة النسوية </w:t>
      </w:r>
      <w:r>
        <w:rPr>
          <w:rFonts w:hint="cs"/>
          <w:rtl/>
        </w:rPr>
        <w:t>سبيلاً</w:t>
      </w:r>
      <w:r w:rsidRPr="007D7079">
        <w:rPr>
          <w:rFonts w:hint="cs"/>
          <w:rtl/>
        </w:rPr>
        <w:t xml:space="preserve"> للخلاص من حصار الحياة العائلية التي تحس</w:t>
      </w:r>
      <w:r>
        <w:rPr>
          <w:rFonts w:hint="cs"/>
          <w:rtl/>
        </w:rPr>
        <w:t>ّ</w:t>
      </w:r>
      <w:r w:rsidRPr="007D7079">
        <w:rPr>
          <w:rFonts w:hint="cs"/>
          <w:rtl/>
        </w:rPr>
        <w:t xml:space="preserve"> فيها بالاختناق ولا يمكّنها من أن ترى مصلحتها إلا في إطار مصلحة </w:t>
      </w:r>
      <w:r>
        <w:rPr>
          <w:rFonts w:hint="cs"/>
          <w:rtl/>
        </w:rPr>
        <w:t>الأسرة</w:t>
      </w:r>
      <w:r w:rsidRPr="007D7079">
        <w:rPr>
          <w:rFonts w:hint="cs"/>
          <w:rtl/>
        </w:rPr>
        <w:t>، المصلحة التي تتقدّم دائما</w:t>
      </w:r>
      <w:r>
        <w:rPr>
          <w:rFonts w:hint="cs"/>
          <w:rtl/>
        </w:rPr>
        <w:t>ً</w:t>
      </w:r>
      <w:r w:rsidRPr="007D7079">
        <w:rPr>
          <w:rFonts w:hint="cs"/>
          <w:rtl/>
        </w:rPr>
        <w:t xml:space="preserve"> على</w:t>
      </w:r>
      <w:r>
        <w:rPr>
          <w:rFonts w:hint="cs"/>
          <w:rtl/>
        </w:rPr>
        <w:t xml:space="preserve"> المرأة وعلى آمالها</w:t>
      </w:r>
      <w:r w:rsidRPr="007D7079">
        <w:rPr>
          <w:rFonts w:hint="cs"/>
          <w:rtl/>
        </w:rPr>
        <w:t>؟</w:t>
      </w:r>
    </w:p>
    <w:p w:rsidR="006E0FDB" w:rsidRPr="007D7079" w:rsidRDefault="006E0FDB" w:rsidP="009368DE">
      <w:pPr>
        <w:pStyle w:val="afffffc"/>
        <w:rPr>
          <w:rtl/>
        </w:rPr>
      </w:pPr>
    </w:p>
    <w:p w:rsidR="006E0FDB" w:rsidRPr="00D457EB" w:rsidRDefault="006E0FDB" w:rsidP="006E0FDB">
      <w:pPr>
        <w:pStyle w:val="1"/>
        <w:rPr>
          <w:rtl/>
        </w:rPr>
      </w:pPr>
      <w:bookmarkStart w:id="562" w:name="_Toc169521471"/>
      <w:bookmarkStart w:id="563" w:name="_Toc275128241"/>
      <w:r w:rsidRPr="00D457EB">
        <w:rPr>
          <w:rFonts w:hint="cs"/>
          <w:rtl/>
        </w:rPr>
        <w:t>المرأة والعمل المنزلي</w:t>
      </w:r>
      <w:bookmarkEnd w:id="562"/>
      <w:bookmarkEnd w:id="563"/>
    </w:p>
    <w:p w:rsidR="006E0FDB" w:rsidRDefault="006E0FDB" w:rsidP="006E0FDB">
      <w:pPr>
        <w:pStyle w:val="ac"/>
        <w:rPr>
          <w:rtl/>
        </w:rPr>
      </w:pPr>
      <w:r w:rsidRPr="007D7079">
        <w:rPr>
          <w:rFonts w:hint="cs"/>
          <w:rtl/>
        </w:rPr>
        <w:t xml:space="preserve">تظهر د. مطيع في مقالتها </w:t>
      </w:r>
      <w:r>
        <w:rPr>
          <w:rFonts w:hint="cs"/>
          <w:rtl/>
        </w:rPr>
        <w:t xml:space="preserve">ـ </w:t>
      </w:r>
      <w:r w:rsidRPr="007D7079">
        <w:rPr>
          <w:rFonts w:hint="cs"/>
          <w:rtl/>
        </w:rPr>
        <w:t xml:space="preserve">وكما أشرنا </w:t>
      </w:r>
      <w:r>
        <w:rPr>
          <w:rFonts w:hint="cs"/>
          <w:rtl/>
        </w:rPr>
        <w:t>سابقاً ـ إلى أ</w:t>
      </w:r>
      <w:r w:rsidRPr="007D7079">
        <w:rPr>
          <w:rFonts w:hint="cs"/>
          <w:rtl/>
        </w:rPr>
        <w:t>ن</w:t>
      </w:r>
      <w:r>
        <w:rPr>
          <w:rFonts w:hint="cs"/>
          <w:rtl/>
        </w:rPr>
        <w:t>ّ</w:t>
      </w:r>
      <w:r w:rsidRPr="007D7079">
        <w:rPr>
          <w:rFonts w:hint="cs"/>
          <w:rtl/>
        </w:rPr>
        <w:t xml:space="preserve"> عمل</w:t>
      </w:r>
      <w:r>
        <w:rPr>
          <w:rFonts w:hint="cs"/>
          <w:rtl/>
        </w:rPr>
        <w:t xml:space="preserve"> المرأة </w:t>
      </w:r>
      <w:r w:rsidRPr="007D7079">
        <w:rPr>
          <w:rFonts w:hint="cs"/>
          <w:rtl/>
        </w:rPr>
        <w:t>المنزلي يعتبر نوعا</w:t>
      </w:r>
      <w:r>
        <w:rPr>
          <w:rFonts w:hint="cs"/>
          <w:rtl/>
        </w:rPr>
        <w:t xml:space="preserve">ً من </w:t>
      </w:r>
      <w:r>
        <w:rPr>
          <w:rFonts w:hint="cs"/>
          <w:rtl/>
        </w:rPr>
        <w:lastRenderedPageBreak/>
        <w:t>أنواع الإنتاج الاقتصادي؛</w:t>
      </w:r>
      <w:r w:rsidRPr="007D7079">
        <w:rPr>
          <w:rFonts w:hint="cs"/>
          <w:rtl/>
        </w:rPr>
        <w:t xml:space="preserve"> لذا تؤك</w:t>
      </w:r>
      <w:r>
        <w:rPr>
          <w:rFonts w:hint="cs"/>
          <w:rtl/>
        </w:rPr>
        <w:t>ّ</w:t>
      </w:r>
      <w:r w:rsidRPr="007D7079">
        <w:rPr>
          <w:rFonts w:hint="cs"/>
          <w:rtl/>
        </w:rPr>
        <w:t>د على عدم اعتبار</w:t>
      </w:r>
      <w:r>
        <w:rPr>
          <w:rFonts w:hint="cs"/>
          <w:rtl/>
        </w:rPr>
        <w:t xml:space="preserve">ها </w:t>
      </w:r>
      <w:r w:rsidRPr="007D7079">
        <w:rPr>
          <w:rFonts w:hint="cs"/>
          <w:rtl/>
        </w:rPr>
        <w:t>في بيتها موجودا</w:t>
      </w:r>
      <w:r>
        <w:rPr>
          <w:rFonts w:hint="cs"/>
          <w:rtl/>
        </w:rPr>
        <w:t>ً يعيش على تقبّل الظلم،</w:t>
      </w:r>
      <w:r w:rsidRPr="007D7079">
        <w:rPr>
          <w:rFonts w:hint="cs"/>
          <w:rtl/>
        </w:rPr>
        <w:t xml:space="preserve"> و</w:t>
      </w:r>
      <w:r>
        <w:rPr>
          <w:rFonts w:hint="cs"/>
          <w:rtl/>
        </w:rPr>
        <w:t>أ</w:t>
      </w:r>
      <w:r w:rsidRPr="007D7079">
        <w:rPr>
          <w:rFonts w:hint="cs"/>
          <w:rtl/>
        </w:rPr>
        <w:t>ن</w:t>
      </w:r>
      <w:r>
        <w:rPr>
          <w:rFonts w:hint="cs"/>
          <w:rtl/>
        </w:rPr>
        <w:t>ّها</w:t>
      </w:r>
      <w:r w:rsidRPr="007D7079">
        <w:rPr>
          <w:rFonts w:hint="cs"/>
          <w:rtl/>
        </w:rPr>
        <w:t xml:space="preserve"> تعيش في بيتها تحت ظلم الآخر تتمك</w:t>
      </w:r>
      <w:r>
        <w:rPr>
          <w:rFonts w:hint="cs"/>
          <w:rtl/>
        </w:rPr>
        <w:t>ّ</w:t>
      </w:r>
      <w:r w:rsidRPr="007D7079">
        <w:rPr>
          <w:rFonts w:hint="cs"/>
          <w:rtl/>
        </w:rPr>
        <w:t>ن من تحويل ما يقع تحت يدها</w:t>
      </w:r>
      <w:r>
        <w:rPr>
          <w:rFonts w:hint="cs"/>
          <w:rtl/>
        </w:rPr>
        <w:t xml:space="preserve"> إلى </w:t>
      </w:r>
      <w:r w:rsidRPr="007D7079">
        <w:rPr>
          <w:rFonts w:hint="cs"/>
          <w:rtl/>
        </w:rPr>
        <w:t>نقاط قو</w:t>
      </w:r>
      <w:r>
        <w:rPr>
          <w:rFonts w:hint="cs"/>
          <w:rtl/>
        </w:rPr>
        <w:t>ّ</w:t>
      </w:r>
      <w:r w:rsidRPr="007D7079">
        <w:rPr>
          <w:rFonts w:hint="cs"/>
          <w:rtl/>
        </w:rPr>
        <w:t xml:space="preserve">ة تستخدمها </w:t>
      </w:r>
      <w:r>
        <w:rPr>
          <w:rFonts w:hint="cs"/>
          <w:rtl/>
        </w:rPr>
        <w:t>ب</w:t>
      </w:r>
      <w:r w:rsidRPr="007D7079">
        <w:rPr>
          <w:rFonts w:hint="cs"/>
          <w:rtl/>
        </w:rPr>
        <w:t>الشكل الذي ينبغي</w:t>
      </w:r>
      <w:r>
        <w:rPr>
          <w:rFonts w:hint="cs"/>
          <w:rtl/>
        </w:rPr>
        <w:t xml:space="preserve"> أن تكون عليه العلاقات العائلية،</w:t>
      </w:r>
      <w:r w:rsidRPr="007D7079">
        <w:rPr>
          <w:rFonts w:hint="cs"/>
          <w:rtl/>
        </w:rPr>
        <w:t xml:space="preserve"> والنتيجة التي تصل إليها د. مطيع من هذا ال</w:t>
      </w:r>
      <w:r>
        <w:rPr>
          <w:rFonts w:hint="cs"/>
          <w:rtl/>
        </w:rPr>
        <w:t>أمر</w:t>
      </w:r>
      <w:r w:rsidRPr="007D7079">
        <w:rPr>
          <w:rFonts w:hint="cs"/>
          <w:rtl/>
        </w:rPr>
        <w:t xml:space="preserve"> </w:t>
      </w:r>
      <w:r>
        <w:rPr>
          <w:rFonts w:hint="cs"/>
          <w:rtl/>
        </w:rPr>
        <w:t>أ</w:t>
      </w:r>
      <w:r w:rsidRPr="007D7079">
        <w:rPr>
          <w:rFonts w:hint="cs"/>
          <w:rtl/>
        </w:rPr>
        <w:t>ن</w:t>
      </w:r>
      <w:r>
        <w:rPr>
          <w:rFonts w:hint="cs"/>
          <w:rtl/>
        </w:rPr>
        <w:t>ّ</w:t>
      </w:r>
      <w:r w:rsidRPr="007D7079">
        <w:rPr>
          <w:rFonts w:hint="cs"/>
          <w:rtl/>
        </w:rPr>
        <w:t xml:space="preserve"> المؤسسة العائلية (</w:t>
      </w:r>
      <w:r w:rsidRPr="007D7079">
        <w:t>domesticity</w:t>
      </w:r>
      <w:r>
        <w:rPr>
          <w:rFonts w:hint="cs"/>
          <w:rtl/>
        </w:rPr>
        <w:t>)</w:t>
      </w:r>
      <w:r w:rsidRPr="007D7079">
        <w:rPr>
          <w:rFonts w:hint="cs"/>
          <w:rtl/>
        </w:rPr>
        <w:t xml:space="preserve"> في حقيقتها وجوهرها غير ظالمة، </w:t>
      </w:r>
      <w:r>
        <w:rPr>
          <w:rFonts w:hint="cs"/>
          <w:rtl/>
        </w:rPr>
        <w:t xml:space="preserve">وإنّما </w:t>
      </w:r>
      <w:r w:rsidRPr="007D7079">
        <w:rPr>
          <w:rFonts w:hint="cs"/>
          <w:rtl/>
        </w:rPr>
        <w:t>قيمنا هي التي تبدّل هذه المؤسسة</w:t>
      </w:r>
      <w:r>
        <w:rPr>
          <w:rFonts w:hint="cs"/>
          <w:rtl/>
        </w:rPr>
        <w:t xml:space="preserve"> لتُخضعها لسيادة الرجل،</w:t>
      </w:r>
      <w:r w:rsidRPr="007D7079">
        <w:rPr>
          <w:rFonts w:hint="cs"/>
          <w:rtl/>
        </w:rPr>
        <w:t xml:space="preserve"> وتغيير هذه القيم س</w:t>
      </w:r>
      <w:r>
        <w:rPr>
          <w:rFonts w:hint="cs"/>
          <w:rtl/>
        </w:rPr>
        <w:t>يمنح ا</w:t>
      </w:r>
      <w:r w:rsidRPr="007D7079">
        <w:rPr>
          <w:rFonts w:hint="cs"/>
          <w:rtl/>
        </w:rPr>
        <w:t>لأدوار التقليدية للمرأة مكانا</w:t>
      </w:r>
      <w:r>
        <w:rPr>
          <w:rFonts w:hint="cs"/>
          <w:rtl/>
        </w:rPr>
        <w:t>ً</w:t>
      </w:r>
      <w:r w:rsidRPr="007D7079">
        <w:rPr>
          <w:rFonts w:hint="cs"/>
          <w:rtl/>
        </w:rPr>
        <w:t xml:space="preserve"> جديدا</w:t>
      </w:r>
      <w:r>
        <w:rPr>
          <w:rFonts w:hint="cs"/>
          <w:rtl/>
        </w:rPr>
        <w:t>ً،</w:t>
      </w:r>
      <w:r w:rsidRPr="007D7079">
        <w:rPr>
          <w:rFonts w:hint="cs"/>
          <w:rtl/>
        </w:rPr>
        <w:t xml:space="preserve"> ويكون ذلك سببا</w:t>
      </w:r>
      <w:r>
        <w:rPr>
          <w:rFonts w:hint="cs"/>
          <w:rtl/>
        </w:rPr>
        <w:t>ً</w:t>
      </w:r>
      <w:r w:rsidRPr="007D7079">
        <w:rPr>
          <w:rFonts w:hint="cs"/>
          <w:rtl/>
        </w:rPr>
        <w:t xml:space="preserve"> ل</w:t>
      </w:r>
      <w:r>
        <w:rPr>
          <w:rFonts w:hint="cs"/>
          <w:rtl/>
        </w:rPr>
        <w:t>إحكام منزلة المرأة.</w:t>
      </w:r>
    </w:p>
    <w:p w:rsidR="006E0FDB" w:rsidRPr="007D7079" w:rsidRDefault="006E0FDB" w:rsidP="009368DE">
      <w:pPr>
        <w:pStyle w:val="ac"/>
        <w:spacing w:line="199" w:lineRule="auto"/>
        <w:rPr>
          <w:rtl/>
        </w:rPr>
      </w:pPr>
      <w:r w:rsidRPr="007D7079">
        <w:rPr>
          <w:rFonts w:hint="cs"/>
          <w:rtl/>
        </w:rPr>
        <w:t>وتقوم باختراع تعريف جوهري حقيقي</w:t>
      </w:r>
      <w:r>
        <w:rPr>
          <w:rFonts w:hint="cs"/>
          <w:rtl/>
        </w:rPr>
        <w:t>ّ</w:t>
      </w:r>
      <w:r w:rsidRPr="007D7079">
        <w:rPr>
          <w:rFonts w:hint="cs"/>
          <w:rtl/>
        </w:rPr>
        <w:t xml:space="preserve"> للجنس المتنو</w:t>
      </w:r>
      <w:r>
        <w:rPr>
          <w:rFonts w:hint="cs"/>
          <w:rtl/>
        </w:rPr>
        <w:t>ّ</w:t>
      </w:r>
      <w:r w:rsidRPr="007D7079">
        <w:rPr>
          <w:rFonts w:hint="cs"/>
          <w:rtl/>
        </w:rPr>
        <w:t>ع</w:t>
      </w:r>
      <w:r>
        <w:rPr>
          <w:rFonts w:hint="cs"/>
          <w:rtl/>
        </w:rPr>
        <w:t>،</w:t>
      </w:r>
      <w:r w:rsidRPr="007D7079">
        <w:rPr>
          <w:rFonts w:hint="cs"/>
          <w:rtl/>
        </w:rPr>
        <w:t xml:space="preserve"> تحدد فيه للمرأة الأدوار العاطفية</w:t>
      </w:r>
      <w:r>
        <w:rPr>
          <w:rFonts w:hint="cs"/>
          <w:rtl/>
        </w:rPr>
        <w:t xml:space="preserve"> وللرجل </w:t>
      </w:r>
      <w:r w:rsidRPr="007D7079">
        <w:rPr>
          <w:rFonts w:hint="cs"/>
          <w:rtl/>
        </w:rPr>
        <w:t>الأدوار الآلية</w:t>
      </w:r>
      <w:r w:rsidRPr="00815C4C">
        <w:rPr>
          <w:rFonts w:cs="Taher"/>
          <w:vertAlign w:val="superscript"/>
          <w:rtl/>
        </w:rPr>
        <w:t>(</w:t>
      </w:r>
      <w:r w:rsidRPr="00815C4C">
        <w:rPr>
          <w:rFonts w:cs="Taher"/>
          <w:vertAlign w:val="superscript"/>
        </w:rPr>
        <w:footnoteReference w:id="943"/>
      </w:r>
      <w:r w:rsidRPr="00815C4C">
        <w:rPr>
          <w:rFonts w:cs="Taher"/>
          <w:vertAlign w:val="superscript"/>
          <w:rtl/>
        </w:rPr>
        <w:t>)</w:t>
      </w:r>
      <w:r>
        <w:rPr>
          <w:rFonts w:hint="cs"/>
          <w:rtl/>
        </w:rPr>
        <w:t>،</w:t>
      </w:r>
      <w:r w:rsidRPr="007D7079">
        <w:rPr>
          <w:rFonts w:hint="cs"/>
          <w:rtl/>
        </w:rPr>
        <w:t xml:space="preserve"> ومن خلال هذا التعريف لا معنى للعجب من </w:t>
      </w:r>
      <w:r>
        <w:rPr>
          <w:rFonts w:hint="cs"/>
          <w:rtl/>
        </w:rPr>
        <w:t xml:space="preserve">بقاء المرأة في نظر الآخرين ربّة منزلٍ </w:t>
      </w:r>
      <w:r w:rsidRPr="007D7079">
        <w:rPr>
          <w:rFonts w:hint="cs"/>
          <w:rtl/>
        </w:rPr>
        <w:t>حتى عندما تقوم بالتخل</w:t>
      </w:r>
      <w:r>
        <w:rPr>
          <w:rFonts w:hint="cs"/>
          <w:rtl/>
        </w:rPr>
        <w:t>ّ</w:t>
      </w:r>
      <w:r w:rsidRPr="007D7079">
        <w:rPr>
          <w:rFonts w:hint="cs"/>
          <w:rtl/>
        </w:rPr>
        <w:t xml:space="preserve">ي عن دورها التقليدي والعمل على إيفاء دور </w:t>
      </w:r>
      <w:r>
        <w:rPr>
          <w:rFonts w:hint="cs"/>
          <w:rtl/>
        </w:rPr>
        <w:t>اجتماع</w:t>
      </w:r>
      <w:r w:rsidRPr="007D7079">
        <w:rPr>
          <w:rFonts w:hint="cs"/>
          <w:rtl/>
        </w:rPr>
        <w:t>ي</w:t>
      </w:r>
      <w:r>
        <w:rPr>
          <w:rFonts w:hint="cs"/>
          <w:rtl/>
        </w:rPr>
        <w:t>.</w:t>
      </w:r>
    </w:p>
    <w:p w:rsidR="006E0FDB" w:rsidRPr="007D7079" w:rsidRDefault="006E0FDB" w:rsidP="009368DE">
      <w:pPr>
        <w:pStyle w:val="ac"/>
        <w:spacing w:line="199" w:lineRule="auto"/>
        <w:rPr>
          <w:rtl/>
        </w:rPr>
      </w:pPr>
      <w:r w:rsidRPr="007D7079">
        <w:rPr>
          <w:rFonts w:hint="cs"/>
          <w:rtl/>
        </w:rPr>
        <w:t>إن</w:t>
      </w:r>
      <w:r>
        <w:rPr>
          <w:rFonts w:hint="cs"/>
          <w:rtl/>
        </w:rPr>
        <w:t>ّني</w:t>
      </w:r>
      <w:r w:rsidRPr="007D7079">
        <w:rPr>
          <w:rFonts w:hint="cs"/>
          <w:rtl/>
        </w:rPr>
        <w:t xml:space="preserve"> أواجه في </w:t>
      </w:r>
      <w:r>
        <w:rPr>
          <w:rFonts w:hint="cs"/>
          <w:rtl/>
        </w:rPr>
        <w:t xml:space="preserve">دراسة </w:t>
      </w:r>
      <w:r w:rsidRPr="007D7079">
        <w:rPr>
          <w:rFonts w:hint="cs"/>
          <w:rtl/>
        </w:rPr>
        <w:t xml:space="preserve">د. مطيع مشكلتين: الأولى </w:t>
      </w:r>
      <w:r>
        <w:rPr>
          <w:rFonts w:hint="cs"/>
          <w:rtl/>
        </w:rPr>
        <w:t xml:space="preserve">أنّه </w:t>
      </w:r>
      <w:r w:rsidRPr="007D7079">
        <w:rPr>
          <w:rFonts w:hint="cs"/>
          <w:rtl/>
        </w:rPr>
        <w:t>عند قيامها بتقييم عمل</w:t>
      </w:r>
      <w:r>
        <w:rPr>
          <w:rFonts w:hint="cs"/>
          <w:rtl/>
        </w:rPr>
        <w:t xml:space="preserve"> المرأة </w:t>
      </w:r>
      <w:r w:rsidRPr="007D7079">
        <w:rPr>
          <w:rFonts w:hint="cs"/>
          <w:rtl/>
        </w:rPr>
        <w:t>البيتي تتجاهل نتاج المؤسسة المنزلية في نظام سيادة الرجل. والثانية ـ والتي لها ارتباط وثيق بالأولى ـ أنها في تقييم</w:t>
      </w:r>
      <w:r>
        <w:rPr>
          <w:rFonts w:hint="cs"/>
          <w:rtl/>
        </w:rPr>
        <w:t>ها</w:t>
      </w:r>
      <w:r w:rsidRPr="007D7079">
        <w:rPr>
          <w:rFonts w:hint="cs"/>
          <w:rtl/>
        </w:rPr>
        <w:t xml:space="preserve"> لدور</w:t>
      </w:r>
      <w:r>
        <w:rPr>
          <w:rFonts w:hint="cs"/>
          <w:rtl/>
        </w:rPr>
        <w:t xml:space="preserve"> المرأة ر</w:t>
      </w:r>
      <w:r w:rsidRPr="007D7079">
        <w:rPr>
          <w:rFonts w:hint="cs"/>
          <w:rtl/>
        </w:rPr>
        <w:t>بّة</w:t>
      </w:r>
      <w:r>
        <w:rPr>
          <w:rFonts w:hint="cs"/>
          <w:rtl/>
        </w:rPr>
        <w:t>َ</w:t>
      </w:r>
      <w:r w:rsidRPr="007D7079">
        <w:rPr>
          <w:rFonts w:hint="cs"/>
          <w:rtl/>
        </w:rPr>
        <w:t xml:space="preserve"> منزل</w:t>
      </w:r>
      <w:r>
        <w:rPr>
          <w:rFonts w:hint="cs"/>
          <w:rtl/>
        </w:rPr>
        <w:t>ٍ تعتبر أ</w:t>
      </w:r>
      <w:r w:rsidRPr="007D7079">
        <w:rPr>
          <w:rFonts w:hint="cs"/>
          <w:rtl/>
        </w:rPr>
        <w:t>ن</w:t>
      </w:r>
      <w:r>
        <w:rPr>
          <w:rFonts w:hint="cs"/>
          <w:rtl/>
        </w:rPr>
        <w:t>ّ المؤ</w:t>
      </w:r>
      <w:r w:rsidRPr="007D7079">
        <w:rPr>
          <w:rFonts w:hint="cs"/>
          <w:rtl/>
        </w:rPr>
        <w:t>سسة البيتية في أمان من سهام النسوية.</w:t>
      </w:r>
    </w:p>
    <w:p w:rsidR="006E0FDB" w:rsidRDefault="006E0FDB" w:rsidP="009368DE">
      <w:pPr>
        <w:pStyle w:val="ac"/>
        <w:spacing w:line="199" w:lineRule="auto"/>
        <w:rPr>
          <w:rtl/>
        </w:rPr>
      </w:pPr>
      <w:r w:rsidRPr="007D7079">
        <w:rPr>
          <w:rFonts w:hint="cs"/>
          <w:rtl/>
        </w:rPr>
        <w:t>إن</w:t>
      </w:r>
      <w:r>
        <w:rPr>
          <w:rFonts w:hint="cs"/>
          <w:rtl/>
        </w:rPr>
        <w:t>ّ</w:t>
      </w:r>
      <w:r w:rsidRPr="007D7079">
        <w:rPr>
          <w:rFonts w:hint="cs"/>
          <w:rtl/>
        </w:rPr>
        <w:t xml:space="preserve"> </w:t>
      </w:r>
      <w:r>
        <w:rPr>
          <w:rFonts w:hint="cs"/>
          <w:rtl/>
        </w:rPr>
        <w:t>أساس</w:t>
      </w:r>
      <w:r w:rsidRPr="007D7079">
        <w:rPr>
          <w:rFonts w:hint="cs"/>
          <w:rtl/>
        </w:rPr>
        <w:t xml:space="preserve"> القو</w:t>
      </w:r>
      <w:r>
        <w:rPr>
          <w:rFonts w:hint="cs"/>
          <w:rtl/>
        </w:rPr>
        <w:t>ّ</w:t>
      </w:r>
      <w:r w:rsidRPr="007D7079">
        <w:rPr>
          <w:rFonts w:hint="cs"/>
          <w:rtl/>
        </w:rPr>
        <w:t>ة التي يملكها ال</w:t>
      </w:r>
      <w:r>
        <w:rPr>
          <w:rFonts w:hint="cs"/>
          <w:rtl/>
        </w:rPr>
        <w:t>إنسان</w:t>
      </w:r>
      <w:r w:rsidRPr="007D7079">
        <w:rPr>
          <w:rFonts w:hint="cs"/>
          <w:rtl/>
        </w:rPr>
        <w:t xml:space="preserve"> إنما </w:t>
      </w:r>
      <w:r>
        <w:rPr>
          <w:rFonts w:hint="cs"/>
          <w:rtl/>
        </w:rPr>
        <w:t>يتمثل في الظروف</w:t>
      </w:r>
      <w:r w:rsidRPr="007D7079">
        <w:rPr>
          <w:rFonts w:hint="cs"/>
          <w:rtl/>
        </w:rPr>
        <w:t xml:space="preserve"> الحياتية وال</w:t>
      </w:r>
      <w:r>
        <w:rPr>
          <w:rFonts w:hint="cs"/>
          <w:rtl/>
        </w:rPr>
        <w:t>اجتماعية، لا في بعض القيم الثقافية،</w:t>
      </w:r>
      <w:r w:rsidRPr="007D7079">
        <w:rPr>
          <w:rFonts w:hint="cs"/>
          <w:rtl/>
        </w:rPr>
        <w:t xml:space="preserve"> و</w:t>
      </w:r>
      <w:r>
        <w:rPr>
          <w:rFonts w:hint="cs"/>
          <w:rtl/>
        </w:rPr>
        <w:t xml:space="preserve">الحدّ من </w:t>
      </w:r>
      <w:r w:rsidRPr="007D7079">
        <w:rPr>
          <w:rFonts w:hint="cs"/>
          <w:rtl/>
        </w:rPr>
        <w:t>تمت</w:t>
      </w:r>
      <w:r>
        <w:rPr>
          <w:rFonts w:hint="cs"/>
          <w:rtl/>
        </w:rPr>
        <w:t>ّ</w:t>
      </w:r>
      <w:r w:rsidRPr="007D7079">
        <w:rPr>
          <w:rFonts w:hint="cs"/>
          <w:rtl/>
        </w:rPr>
        <w:t xml:space="preserve">ع المرأة </w:t>
      </w:r>
      <w:r>
        <w:rPr>
          <w:rFonts w:hint="cs"/>
          <w:rtl/>
        </w:rPr>
        <w:t xml:space="preserve">ـ وهي </w:t>
      </w:r>
      <w:r w:rsidRPr="007D7079">
        <w:rPr>
          <w:rFonts w:hint="cs"/>
          <w:rtl/>
        </w:rPr>
        <w:t>ربّة منزل</w:t>
      </w:r>
      <w:r>
        <w:rPr>
          <w:rFonts w:hint="cs"/>
          <w:rtl/>
        </w:rPr>
        <w:t>ٍ</w:t>
      </w:r>
      <w:r w:rsidRPr="007D7079">
        <w:rPr>
          <w:rFonts w:hint="cs"/>
          <w:rtl/>
        </w:rPr>
        <w:t xml:space="preserve"> </w:t>
      </w:r>
      <w:r>
        <w:rPr>
          <w:rFonts w:hint="cs"/>
          <w:rtl/>
        </w:rPr>
        <w:t xml:space="preserve">ـ بنقاط </w:t>
      </w:r>
      <w:r w:rsidRPr="007D7079">
        <w:rPr>
          <w:rFonts w:hint="cs"/>
          <w:rtl/>
        </w:rPr>
        <w:t>قو</w:t>
      </w:r>
      <w:r>
        <w:rPr>
          <w:rFonts w:hint="cs"/>
          <w:rtl/>
        </w:rPr>
        <w:t>ّ</w:t>
      </w:r>
      <w:r w:rsidRPr="007D7079">
        <w:rPr>
          <w:rFonts w:hint="cs"/>
          <w:rtl/>
        </w:rPr>
        <w:t>ة يعود</w:t>
      </w:r>
      <w:r>
        <w:rPr>
          <w:rFonts w:hint="cs"/>
          <w:rtl/>
        </w:rPr>
        <w:t xml:space="preserve"> إلى </w:t>
      </w:r>
      <w:r w:rsidRPr="007D7079">
        <w:rPr>
          <w:rFonts w:hint="cs"/>
          <w:rtl/>
        </w:rPr>
        <w:t>الظروف ال</w:t>
      </w:r>
      <w:r>
        <w:rPr>
          <w:rFonts w:hint="cs"/>
          <w:rtl/>
        </w:rPr>
        <w:t>اجتماع</w:t>
      </w:r>
      <w:r w:rsidRPr="007D7079">
        <w:rPr>
          <w:rFonts w:hint="cs"/>
          <w:rtl/>
        </w:rPr>
        <w:t>ية لا</w:t>
      </w:r>
      <w:r>
        <w:rPr>
          <w:rFonts w:hint="cs"/>
          <w:rtl/>
        </w:rPr>
        <w:t xml:space="preserve"> إلى </w:t>
      </w:r>
      <w:r w:rsidRPr="007D7079">
        <w:rPr>
          <w:rFonts w:hint="cs"/>
          <w:rtl/>
        </w:rPr>
        <w:t xml:space="preserve">سوء الحالة الثقافية في </w:t>
      </w:r>
      <w:r>
        <w:rPr>
          <w:rFonts w:hint="cs"/>
          <w:rtl/>
        </w:rPr>
        <w:t>القرن الأخير،</w:t>
      </w:r>
      <w:r w:rsidRPr="007D7079">
        <w:rPr>
          <w:rFonts w:hint="cs"/>
          <w:rtl/>
        </w:rPr>
        <w:t xml:space="preserve"> إن</w:t>
      </w:r>
      <w:r>
        <w:rPr>
          <w:rFonts w:hint="cs"/>
          <w:rtl/>
        </w:rPr>
        <w:t>ّ</w:t>
      </w:r>
      <w:r w:rsidRPr="007D7079">
        <w:rPr>
          <w:rFonts w:hint="cs"/>
          <w:rtl/>
        </w:rPr>
        <w:t xml:space="preserve"> اختلاف موازين القوى بين</w:t>
      </w:r>
      <w:r>
        <w:rPr>
          <w:rFonts w:hint="cs"/>
          <w:rtl/>
        </w:rPr>
        <w:t xml:space="preserve"> المرأة </w:t>
      </w:r>
      <w:r w:rsidRPr="007D7079">
        <w:rPr>
          <w:rFonts w:hint="cs"/>
          <w:rtl/>
        </w:rPr>
        <w:t>التي ينحصر دورها في العمل المنزلي والرجل تعود أسبابه</w:t>
      </w:r>
      <w:r>
        <w:rPr>
          <w:rFonts w:hint="cs"/>
          <w:rtl/>
        </w:rPr>
        <w:t xml:space="preserve"> إلى </w:t>
      </w:r>
      <w:r w:rsidRPr="007D7079">
        <w:rPr>
          <w:rFonts w:hint="cs"/>
          <w:rtl/>
        </w:rPr>
        <w:t>عوامل خارجية</w:t>
      </w:r>
      <w:r>
        <w:rPr>
          <w:rFonts w:hint="cs"/>
          <w:rtl/>
        </w:rPr>
        <w:t>،</w:t>
      </w:r>
      <w:r w:rsidRPr="007D7079">
        <w:rPr>
          <w:rFonts w:hint="cs"/>
          <w:rtl/>
        </w:rPr>
        <w:t xml:space="preserve"> كالعمل، </w:t>
      </w:r>
      <w:r>
        <w:rPr>
          <w:rFonts w:hint="cs"/>
          <w:rtl/>
        </w:rPr>
        <w:t>و</w:t>
      </w:r>
      <w:r w:rsidRPr="007D7079">
        <w:rPr>
          <w:rFonts w:hint="cs"/>
          <w:rtl/>
        </w:rPr>
        <w:t xml:space="preserve">الدخل، </w:t>
      </w:r>
      <w:r>
        <w:rPr>
          <w:rFonts w:hint="cs"/>
          <w:rtl/>
        </w:rPr>
        <w:t>و</w:t>
      </w:r>
      <w:r w:rsidRPr="007D7079">
        <w:rPr>
          <w:rFonts w:hint="cs"/>
          <w:rtl/>
        </w:rPr>
        <w:t xml:space="preserve">التعليم، </w:t>
      </w:r>
      <w:r>
        <w:rPr>
          <w:rFonts w:hint="cs"/>
          <w:rtl/>
        </w:rPr>
        <w:t>و</w:t>
      </w:r>
      <w:r w:rsidRPr="007D7079">
        <w:rPr>
          <w:rFonts w:hint="cs"/>
          <w:rtl/>
        </w:rPr>
        <w:t>شبكة العلاقات ال</w:t>
      </w:r>
      <w:r>
        <w:rPr>
          <w:rFonts w:hint="cs"/>
          <w:rtl/>
        </w:rPr>
        <w:t>اجتماع</w:t>
      </w:r>
      <w:r w:rsidRPr="007D7079">
        <w:rPr>
          <w:rFonts w:hint="cs"/>
          <w:rtl/>
        </w:rPr>
        <w:t>ية ومسؤولي</w:t>
      </w:r>
      <w:r w:rsidRPr="007D7079">
        <w:rPr>
          <w:rFonts w:hint="eastAsia"/>
          <w:rtl/>
        </w:rPr>
        <w:t>ة</w:t>
      </w:r>
      <w:r>
        <w:rPr>
          <w:rFonts w:hint="cs"/>
          <w:rtl/>
        </w:rPr>
        <w:t xml:space="preserve"> تربية الأطفال،</w:t>
      </w:r>
      <w:r w:rsidRPr="007D7079">
        <w:rPr>
          <w:rFonts w:hint="cs"/>
          <w:rtl/>
        </w:rPr>
        <w:t xml:space="preserve"> </w:t>
      </w:r>
      <w:r>
        <w:rPr>
          <w:rFonts w:hint="cs"/>
          <w:rtl/>
        </w:rPr>
        <w:t>و</w:t>
      </w:r>
      <w:r w:rsidRPr="007D7079">
        <w:rPr>
          <w:rFonts w:hint="cs"/>
          <w:rtl/>
        </w:rPr>
        <w:t xml:space="preserve">لا شكّ في </w:t>
      </w:r>
      <w:r>
        <w:rPr>
          <w:rFonts w:hint="cs"/>
          <w:rtl/>
        </w:rPr>
        <w:t>أ</w:t>
      </w:r>
      <w:r w:rsidRPr="007D7079">
        <w:rPr>
          <w:rFonts w:hint="cs"/>
          <w:rtl/>
        </w:rPr>
        <w:t>ن</w:t>
      </w:r>
      <w:r>
        <w:rPr>
          <w:rFonts w:hint="cs"/>
          <w:rtl/>
        </w:rPr>
        <w:t>ّ</w:t>
      </w:r>
      <w:r w:rsidRPr="007D7079">
        <w:rPr>
          <w:rFonts w:hint="cs"/>
          <w:rtl/>
        </w:rPr>
        <w:t xml:space="preserve"> القيم التقليدية لها دور</w:t>
      </w:r>
      <w:r>
        <w:rPr>
          <w:rFonts w:hint="cs"/>
          <w:rtl/>
        </w:rPr>
        <w:t>ها في استمرار المقبولات القديمة،</w:t>
      </w:r>
      <w:r w:rsidRPr="007D7079">
        <w:rPr>
          <w:rFonts w:hint="cs"/>
          <w:rtl/>
        </w:rPr>
        <w:t xml:space="preserve"> لكن لا يمكن أن يكون </w:t>
      </w:r>
      <w:r>
        <w:rPr>
          <w:rFonts w:hint="cs"/>
          <w:rtl/>
        </w:rPr>
        <w:t>هذا ال</w:t>
      </w:r>
      <w:r w:rsidRPr="007D7079">
        <w:rPr>
          <w:rFonts w:hint="cs"/>
          <w:rtl/>
        </w:rPr>
        <w:t>تغيير القيم وزيادة تقدير</w:t>
      </w:r>
      <w:r>
        <w:rPr>
          <w:rFonts w:hint="cs"/>
          <w:rtl/>
        </w:rPr>
        <w:t xml:space="preserve"> المرأة </w:t>
      </w:r>
      <w:r w:rsidRPr="007D7079">
        <w:rPr>
          <w:rFonts w:hint="cs"/>
          <w:rtl/>
        </w:rPr>
        <w:t>العاملة في البيت عامل</w:t>
      </w:r>
      <w:r>
        <w:rPr>
          <w:rFonts w:hint="cs"/>
          <w:rtl/>
        </w:rPr>
        <w:t xml:space="preserve">ين في </w:t>
      </w:r>
      <w:r>
        <w:rPr>
          <w:rFonts w:hint="cs"/>
          <w:rtl/>
        </w:rPr>
        <w:lastRenderedPageBreak/>
        <w:t xml:space="preserve">زيادة نقاط </w:t>
      </w:r>
      <w:r w:rsidRPr="007D7079">
        <w:rPr>
          <w:rFonts w:hint="cs"/>
          <w:rtl/>
        </w:rPr>
        <w:t>قو</w:t>
      </w:r>
      <w:r>
        <w:rPr>
          <w:rFonts w:hint="cs"/>
          <w:rtl/>
        </w:rPr>
        <w:t>ّ</w:t>
      </w:r>
      <w:r w:rsidRPr="007D7079">
        <w:rPr>
          <w:rFonts w:hint="cs"/>
          <w:rtl/>
        </w:rPr>
        <w:t xml:space="preserve">ة </w:t>
      </w:r>
      <w:r>
        <w:rPr>
          <w:rFonts w:hint="cs"/>
          <w:rtl/>
        </w:rPr>
        <w:t>ا</w:t>
      </w:r>
      <w:r w:rsidRPr="007D7079">
        <w:rPr>
          <w:rFonts w:hint="cs"/>
          <w:rtl/>
        </w:rPr>
        <w:t>لمرأة على المستوى العائلي وال</w:t>
      </w:r>
      <w:r>
        <w:rPr>
          <w:rFonts w:hint="cs"/>
          <w:rtl/>
        </w:rPr>
        <w:t>اجتماع</w:t>
      </w:r>
      <w:r w:rsidRPr="007D7079">
        <w:rPr>
          <w:rFonts w:hint="cs"/>
          <w:rtl/>
        </w:rPr>
        <w:t>ي.</w:t>
      </w:r>
    </w:p>
    <w:p w:rsidR="006E0FDB" w:rsidRPr="007D7079" w:rsidRDefault="006E0FDB" w:rsidP="006E0FDB">
      <w:pPr>
        <w:pStyle w:val="ac"/>
        <w:rPr>
          <w:rtl/>
        </w:rPr>
      </w:pPr>
      <w:r>
        <w:rPr>
          <w:rFonts w:hint="cs"/>
          <w:rtl/>
        </w:rPr>
        <w:t>و</w:t>
      </w:r>
      <w:r w:rsidRPr="007D7079">
        <w:rPr>
          <w:rFonts w:hint="cs"/>
          <w:rtl/>
        </w:rPr>
        <w:t>السبب في عدم قيام الرجل بالإقدام على القيام ببعض الأعمال المنزلية لا يعود</w:t>
      </w:r>
      <w:r>
        <w:rPr>
          <w:rFonts w:hint="cs"/>
          <w:rtl/>
        </w:rPr>
        <w:t xml:space="preserve"> إلى </w:t>
      </w:r>
      <w:r w:rsidRPr="007D7079">
        <w:rPr>
          <w:rFonts w:hint="cs"/>
          <w:rtl/>
        </w:rPr>
        <w:t>سوء الثقافة الحاكمة منذ مئات السنين، والتي لا ترى لهذا العمل أي</w:t>
      </w:r>
      <w:r>
        <w:rPr>
          <w:rFonts w:hint="cs"/>
          <w:rtl/>
        </w:rPr>
        <w:t>ّ</w:t>
      </w:r>
      <w:r w:rsidRPr="007D7079">
        <w:rPr>
          <w:rFonts w:hint="cs"/>
          <w:rtl/>
        </w:rPr>
        <w:t xml:space="preserve"> قيمة تذكر</w:t>
      </w:r>
      <w:r>
        <w:rPr>
          <w:rFonts w:hint="cs"/>
          <w:rtl/>
        </w:rPr>
        <w:t>،</w:t>
      </w:r>
      <w:r w:rsidRPr="007D7079">
        <w:rPr>
          <w:rFonts w:hint="cs"/>
          <w:rtl/>
        </w:rPr>
        <w:t xml:space="preserve"> بل</w:t>
      </w:r>
      <w:r>
        <w:rPr>
          <w:rFonts w:hint="cs"/>
          <w:rtl/>
        </w:rPr>
        <w:t xml:space="preserve"> لأنّ هذه الأ</w:t>
      </w:r>
      <w:r w:rsidRPr="007D7079">
        <w:rPr>
          <w:rFonts w:hint="cs"/>
          <w:rtl/>
        </w:rPr>
        <w:t>عمال لا تزيد في نقاط القو</w:t>
      </w:r>
      <w:r>
        <w:rPr>
          <w:rFonts w:hint="cs"/>
          <w:rtl/>
        </w:rPr>
        <w:t>ّة شيئاً،</w:t>
      </w:r>
      <w:r w:rsidRPr="007D7079">
        <w:rPr>
          <w:rFonts w:hint="cs"/>
          <w:rtl/>
        </w:rPr>
        <w:t xml:space="preserve"> وهنا أعيد التأكيد على أن</w:t>
      </w:r>
      <w:r>
        <w:rPr>
          <w:rFonts w:hint="cs"/>
          <w:rtl/>
        </w:rPr>
        <w:t>ّ</w:t>
      </w:r>
      <w:r w:rsidRPr="007D7079">
        <w:rPr>
          <w:rFonts w:hint="cs"/>
          <w:rtl/>
        </w:rPr>
        <w:t xml:space="preserve"> مخالفتنا للعمل المنزلي لا تعني توجيه اللوم والتأنيب للمرأة التي تقوم بأداء </w:t>
      </w:r>
      <w:r>
        <w:rPr>
          <w:rFonts w:hint="cs"/>
          <w:rtl/>
        </w:rPr>
        <w:t xml:space="preserve">هذا </w:t>
      </w:r>
      <w:r w:rsidRPr="007D7079">
        <w:rPr>
          <w:rFonts w:hint="cs"/>
          <w:rtl/>
        </w:rPr>
        <w:t>العمل</w:t>
      </w:r>
      <w:r>
        <w:rPr>
          <w:rFonts w:hint="cs"/>
          <w:rtl/>
        </w:rPr>
        <w:t xml:space="preserve"> أو </w:t>
      </w:r>
      <w:r w:rsidRPr="007D7079">
        <w:rPr>
          <w:rFonts w:hint="cs"/>
          <w:rtl/>
        </w:rPr>
        <w:t>عدم اعتبار أي</w:t>
      </w:r>
      <w:r>
        <w:rPr>
          <w:rFonts w:hint="cs"/>
          <w:rtl/>
        </w:rPr>
        <w:t>ّ</w:t>
      </w:r>
      <w:r w:rsidRPr="007D7079">
        <w:rPr>
          <w:rFonts w:hint="cs"/>
          <w:rtl/>
        </w:rPr>
        <w:t xml:space="preserve"> قيمة له، بل </w:t>
      </w:r>
      <w:r>
        <w:rPr>
          <w:rFonts w:hint="cs"/>
          <w:rtl/>
        </w:rPr>
        <w:t xml:space="preserve">المرفوض </w:t>
      </w:r>
      <w:r w:rsidRPr="007D7079">
        <w:rPr>
          <w:rFonts w:hint="cs"/>
          <w:rtl/>
        </w:rPr>
        <w:t>في</w:t>
      </w:r>
      <w:r>
        <w:rPr>
          <w:rFonts w:hint="cs"/>
          <w:rtl/>
        </w:rPr>
        <w:t xml:space="preserve"> </w:t>
      </w:r>
      <w:r w:rsidRPr="007D7079">
        <w:rPr>
          <w:rFonts w:hint="cs"/>
          <w:rtl/>
        </w:rPr>
        <w:t>العمل المنزلي كونه مفروضا</w:t>
      </w:r>
      <w:r>
        <w:rPr>
          <w:rFonts w:hint="cs"/>
          <w:rtl/>
        </w:rPr>
        <w:t>ً</w:t>
      </w:r>
      <w:r w:rsidRPr="007D7079">
        <w:rPr>
          <w:rFonts w:hint="cs"/>
          <w:rtl/>
        </w:rPr>
        <w:t xml:space="preserve"> عل</w:t>
      </w:r>
      <w:r>
        <w:rPr>
          <w:rFonts w:hint="cs"/>
          <w:rtl/>
        </w:rPr>
        <w:t>يها،</w:t>
      </w:r>
      <w:r w:rsidRPr="007D7079">
        <w:rPr>
          <w:rFonts w:hint="cs"/>
          <w:rtl/>
        </w:rPr>
        <w:t xml:space="preserve"> </w:t>
      </w:r>
      <w:r>
        <w:rPr>
          <w:rFonts w:hint="cs"/>
          <w:rtl/>
        </w:rPr>
        <w:t xml:space="preserve">على أساس </w:t>
      </w:r>
      <w:r w:rsidRPr="007D7079">
        <w:rPr>
          <w:rFonts w:hint="cs"/>
          <w:rtl/>
        </w:rPr>
        <w:t>أن</w:t>
      </w:r>
      <w:r>
        <w:rPr>
          <w:rFonts w:hint="cs"/>
          <w:rtl/>
        </w:rPr>
        <w:t>ّ</w:t>
      </w:r>
      <w:r w:rsidRPr="007D7079">
        <w:rPr>
          <w:rFonts w:hint="cs"/>
          <w:rtl/>
        </w:rPr>
        <w:t xml:space="preserve"> الرجل يرى </w:t>
      </w:r>
      <w:r>
        <w:rPr>
          <w:rFonts w:hint="cs"/>
          <w:rtl/>
        </w:rPr>
        <w:t xml:space="preserve">في </w:t>
      </w:r>
      <w:r w:rsidRPr="007D7079">
        <w:rPr>
          <w:rFonts w:hint="cs"/>
          <w:rtl/>
        </w:rPr>
        <w:t>المحافظة على البيت أو</w:t>
      </w:r>
      <w:r>
        <w:rPr>
          <w:rFonts w:hint="cs"/>
          <w:rtl/>
        </w:rPr>
        <w:t>ّ</w:t>
      </w:r>
      <w:r w:rsidRPr="007D7079">
        <w:rPr>
          <w:rFonts w:hint="cs"/>
          <w:rtl/>
        </w:rPr>
        <w:t>ل وأهم</w:t>
      </w:r>
      <w:r>
        <w:rPr>
          <w:rFonts w:hint="cs"/>
          <w:rtl/>
        </w:rPr>
        <w:t>ّ</w:t>
      </w:r>
      <w:r w:rsidRPr="007D7079">
        <w:rPr>
          <w:rFonts w:hint="cs"/>
          <w:rtl/>
        </w:rPr>
        <w:t xml:space="preserve"> عمل </w:t>
      </w:r>
      <w:r>
        <w:rPr>
          <w:rFonts w:hint="cs"/>
          <w:rtl/>
        </w:rPr>
        <w:t xml:space="preserve">يقع على عاتق المرأة؛ </w:t>
      </w:r>
      <w:r w:rsidRPr="007D7079">
        <w:rPr>
          <w:rFonts w:hint="cs"/>
          <w:rtl/>
        </w:rPr>
        <w:t xml:space="preserve">لذا يعتبر </w:t>
      </w:r>
      <w:r>
        <w:rPr>
          <w:rFonts w:hint="cs"/>
          <w:rtl/>
        </w:rPr>
        <w:t xml:space="preserve">حضورها المباشر في العمل الرسمي خارج المنزل </w:t>
      </w:r>
      <w:r w:rsidRPr="007D7079">
        <w:rPr>
          <w:rFonts w:hint="cs"/>
          <w:rtl/>
        </w:rPr>
        <w:t>هامشيا</w:t>
      </w:r>
      <w:r>
        <w:rPr>
          <w:rFonts w:hint="cs"/>
          <w:rtl/>
        </w:rPr>
        <w:t>ً</w:t>
      </w:r>
      <w:r w:rsidRPr="007D7079">
        <w:rPr>
          <w:rFonts w:hint="cs"/>
          <w:rtl/>
        </w:rPr>
        <w:t xml:space="preserve"> بالقياس</w:t>
      </w:r>
      <w:r>
        <w:rPr>
          <w:rFonts w:hint="cs"/>
          <w:rtl/>
        </w:rPr>
        <w:t xml:space="preserve"> إلى عملها المنزلي،</w:t>
      </w:r>
      <w:r w:rsidRPr="007D7079">
        <w:rPr>
          <w:rtl/>
        </w:rPr>
        <w:t xml:space="preserve"> </w:t>
      </w:r>
      <w:r>
        <w:rPr>
          <w:rFonts w:hint="cs"/>
          <w:rtl/>
        </w:rPr>
        <w:t>ف</w:t>
      </w:r>
      <w:r w:rsidRPr="007D7079">
        <w:rPr>
          <w:rFonts w:hint="cs"/>
          <w:rtl/>
        </w:rPr>
        <w:t>يقوم بسلب</w:t>
      </w:r>
      <w:r>
        <w:rPr>
          <w:rFonts w:hint="cs"/>
          <w:rtl/>
        </w:rPr>
        <w:t xml:space="preserve">ها </w:t>
      </w:r>
      <w:r w:rsidRPr="007D7079">
        <w:rPr>
          <w:rFonts w:hint="cs"/>
          <w:rtl/>
        </w:rPr>
        <w:t>حق</w:t>
      </w:r>
      <w:r>
        <w:rPr>
          <w:rFonts w:hint="cs"/>
          <w:rtl/>
        </w:rPr>
        <w:t>ّ</w:t>
      </w:r>
      <w:r w:rsidRPr="007D7079">
        <w:rPr>
          <w:rFonts w:hint="cs"/>
          <w:rtl/>
        </w:rPr>
        <w:t xml:space="preserve"> الاختيار بين العمل</w:t>
      </w:r>
      <w:r>
        <w:rPr>
          <w:rFonts w:hint="cs"/>
          <w:rtl/>
        </w:rPr>
        <w:t>ين:</w:t>
      </w:r>
      <w:r w:rsidRPr="007D7079">
        <w:rPr>
          <w:rFonts w:hint="cs"/>
          <w:rtl/>
        </w:rPr>
        <w:t xml:space="preserve"> في الخارج و</w:t>
      </w:r>
      <w:r>
        <w:rPr>
          <w:rFonts w:hint="cs"/>
          <w:rtl/>
        </w:rPr>
        <w:t>ال</w:t>
      </w:r>
      <w:r w:rsidRPr="007D7079">
        <w:rPr>
          <w:rFonts w:hint="cs"/>
          <w:rtl/>
        </w:rPr>
        <w:t>داخل</w:t>
      </w:r>
      <w:r>
        <w:rPr>
          <w:rFonts w:hint="cs"/>
          <w:rtl/>
        </w:rPr>
        <w:t>؛</w:t>
      </w:r>
      <w:r w:rsidRPr="007D7079">
        <w:rPr>
          <w:rFonts w:hint="cs"/>
          <w:rtl/>
        </w:rPr>
        <w:t xml:space="preserve"> </w:t>
      </w:r>
      <w:r>
        <w:rPr>
          <w:rFonts w:hint="cs"/>
          <w:rtl/>
        </w:rPr>
        <w:t xml:space="preserve">من هنا كانت المؤسسة البيتيّة </w:t>
      </w:r>
      <w:r w:rsidRPr="007D7079">
        <w:rPr>
          <w:rFonts w:hint="cs"/>
          <w:rtl/>
        </w:rPr>
        <w:t>من الأسس التي يعتمدها نظام سيادة الرجل.</w:t>
      </w:r>
    </w:p>
    <w:p w:rsidR="006E0FDB" w:rsidRDefault="006E0FDB" w:rsidP="006E0FDB">
      <w:pPr>
        <w:pStyle w:val="ac"/>
        <w:rPr>
          <w:rtl/>
        </w:rPr>
      </w:pPr>
      <w:r w:rsidRPr="007D7079">
        <w:rPr>
          <w:rFonts w:hint="cs"/>
          <w:rtl/>
        </w:rPr>
        <w:t>إن القول ب</w:t>
      </w:r>
      <w:r>
        <w:rPr>
          <w:rFonts w:hint="cs"/>
          <w:rtl/>
        </w:rPr>
        <w:t>أ</w:t>
      </w:r>
      <w:r w:rsidRPr="007D7079">
        <w:rPr>
          <w:rFonts w:hint="cs"/>
          <w:rtl/>
        </w:rPr>
        <w:t>ن</w:t>
      </w:r>
      <w:r>
        <w:rPr>
          <w:rFonts w:hint="cs"/>
          <w:rtl/>
        </w:rPr>
        <w:t>ّ</w:t>
      </w:r>
      <w:r w:rsidRPr="007D7079">
        <w:rPr>
          <w:rFonts w:hint="cs"/>
          <w:rtl/>
        </w:rPr>
        <w:t xml:space="preserve"> المرأة اليوم تختلف عن</w:t>
      </w:r>
      <w:r>
        <w:rPr>
          <w:rFonts w:hint="cs"/>
          <w:rtl/>
        </w:rPr>
        <w:t>ها قبل قرن؛</w:t>
      </w:r>
      <w:r w:rsidRPr="007D7079">
        <w:rPr>
          <w:rFonts w:hint="cs"/>
          <w:rtl/>
        </w:rPr>
        <w:t xml:space="preserve"> </w:t>
      </w:r>
      <w:r>
        <w:rPr>
          <w:rFonts w:hint="cs"/>
          <w:rtl/>
        </w:rPr>
        <w:t xml:space="preserve">حيث </w:t>
      </w:r>
      <w:r w:rsidRPr="007D7079">
        <w:rPr>
          <w:rFonts w:hint="cs"/>
          <w:rtl/>
        </w:rPr>
        <w:t>لا تعد</w:t>
      </w:r>
      <w:r>
        <w:rPr>
          <w:rFonts w:hint="cs"/>
          <w:rtl/>
        </w:rPr>
        <w:t>ّ جليسة بيتها،</w:t>
      </w:r>
      <w:r w:rsidRPr="007D7079">
        <w:rPr>
          <w:rFonts w:hint="cs"/>
          <w:rtl/>
        </w:rPr>
        <w:t xml:space="preserve"> لا يشكل دليلا</w:t>
      </w:r>
      <w:r>
        <w:rPr>
          <w:rFonts w:hint="cs"/>
          <w:rtl/>
        </w:rPr>
        <w:t>ً</w:t>
      </w:r>
      <w:r w:rsidRPr="007D7079">
        <w:rPr>
          <w:rFonts w:hint="cs"/>
          <w:rtl/>
        </w:rPr>
        <w:t xml:space="preserve"> للدفاع عن المؤس</w:t>
      </w:r>
      <w:r>
        <w:rPr>
          <w:rFonts w:hint="cs"/>
          <w:rtl/>
        </w:rPr>
        <w:t>ّسة البيتية؛</w:t>
      </w:r>
      <w:r w:rsidRPr="007D7079">
        <w:rPr>
          <w:rFonts w:hint="cs"/>
          <w:rtl/>
        </w:rPr>
        <w:t xml:space="preserve"> </w:t>
      </w:r>
      <w:r>
        <w:rPr>
          <w:rFonts w:hint="cs"/>
          <w:rtl/>
        </w:rPr>
        <w:t>فلابدّ من ملاحظة أ</w:t>
      </w:r>
      <w:r w:rsidRPr="007D7079">
        <w:rPr>
          <w:rFonts w:hint="cs"/>
          <w:rtl/>
        </w:rPr>
        <w:t>ن</w:t>
      </w:r>
      <w:r>
        <w:rPr>
          <w:rFonts w:hint="cs"/>
          <w:rtl/>
        </w:rPr>
        <w:t>ّ</w:t>
      </w:r>
      <w:r w:rsidRPr="007D7079">
        <w:rPr>
          <w:rFonts w:hint="cs"/>
          <w:rtl/>
        </w:rPr>
        <w:t xml:space="preserve"> النساء ربّات البيوت كن</w:t>
      </w:r>
      <w:r>
        <w:rPr>
          <w:rFonts w:hint="cs"/>
          <w:rtl/>
        </w:rPr>
        <w:t>ّ</w:t>
      </w:r>
      <w:r w:rsidRPr="007D7079">
        <w:rPr>
          <w:rFonts w:hint="cs"/>
          <w:rtl/>
        </w:rPr>
        <w:t xml:space="preserve"> دائما</w:t>
      </w:r>
      <w:r>
        <w:rPr>
          <w:rFonts w:hint="cs"/>
          <w:rtl/>
        </w:rPr>
        <w:t>ً</w:t>
      </w:r>
      <w:r w:rsidRPr="007D7079">
        <w:rPr>
          <w:rFonts w:hint="cs"/>
          <w:rtl/>
        </w:rPr>
        <w:t xml:space="preserve"> ـ باستثناء نساء الطبقات العليا ـ يملكن ارتباطا</w:t>
      </w:r>
      <w:r>
        <w:rPr>
          <w:rFonts w:hint="cs"/>
          <w:rtl/>
        </w:rPr>
        <w:t>ً</w:t>
      </w:r>
      <w:r w:rsidRPr="007D7079">
        <w:rPr>
          <w:rFonts w:hint="cs"/>
          <w:rtl/>
        </w:rPr>
        <w:t xml:space="preserve"> مباشرا</w:t>
      </w:r>
      <w:r>
        <w:rPr>
          <w:rFonts w:hint="cs"/>
          <w:rtl/>
        </w:rPr>
        <w:t xml:space="preserve">ً أو </w:t>
      </w:r>
      <w:r w:rsidRPr="007D7079">
        <w:rPr>
          <w:rFonts w:hint="cs"/>
          <w:rtl/>
        </w:rPr>
        <w:t xml:space="preserve">غير مباشر خارج المنزل مع </w:t>
      </w:r>
      <w:r>
        <w:rPr>
          <w:rFonts w:hint="cs"/>
          <w:rtl/>
        </w:rPr>
        <w:t>ال</w:t>
      </w:r>
      <w:r w:rsidRPr="007D7079">
        <w:rPr>
          <w:rFonts w:hint="cs"/>
          <w:rtl/>
        </w:rPr>
        <w:t>محيط الذي</w:t>
      </w:r>
      <w:r>
        <w:rPr>
          <w:rFonts w:hint="cs"/>
          <w:rtl/>
        </w:rPr>
        <w:t xml:space="preserve"> يعشن فيه،</w:t>
      </w:r>
      <w:r w:rsidRPr="007D7079">
        <w:rPr>
          <w:rFonts w:hint="cs"/>
          <w:rtl/>
        </w:rPr>
        <w:t xml:space="preserve"> وبناء</w:t>
      </w:r>
      <w:r>
        <w:rPr>
          <w:rFonts w:hint="cs"/>
          <w:rtl/>
        </w:rPr>
        <w:t>ً</w:t>
      </w:r>
      <w:r w:rsidRPr="007D7079">
        <w:rPr>
          <w:rFonts w:hint="cs"/>
          <w:rtl/>
        </w:rPr>
        <w:t xml:space="preserve"> عليه</w:t>
      </w:r>
      <w:r>
        <w:rPr>
          <w:rFonts w:hint="cs"/>
          <w:rtl/>
        </w:rPr>
        <w:t>،</w:t>
      </w:r>
      <w:r w:rsidRPr="007D7079">
        <w:rPr>
          <w:rFonts w:hint="cs"/>
          <w:rtl/>
        </w:rPr>
        <w:t xml:space="preserve"> فالتعا</w:t>
      </w:r>
      <w:r>
        <w:rPr>
          <w:rFonts w:hint="cs"/>
          <w:rtl/>
        </w:rPr>
        <w:t>مل</w:t>
      </w:r>
      <w:r w:rsidRPr="007D7079">
        <w:rPr>
          <w:rFonts w:hint="cs"/>
          <w:rtl/>
        </w:rPr>
        <w:t xml:space="preserve"> مع الخارج، و</w:t>
      </w:r>
      <w:r>
        <w:rPr>
          <w:rFonts w:hint="cs"/>
          <w:rtl/>
        </w:rPr>
        <w:t>إ</w:t>
      </w:r>
      <w:r w:rsidRPr="007D7079">
        <w:rPr>
          <w:rFonts w:hint="cs"/>
          <w:rtl/>
        </w:rPr>
        <w:t>ن ك</w:t>
      </w:r>
      <w:r>
        <w:rPr>
          <w:rFonts w:hint="cs"/>
          <w:rtl/>
        </w:rPr>
        <w:t>َ</w:t>
      </w:r>
      <w:r w:rsidRPr="007D7079">
        <w:rPr>
          <w:rFonts w:hint="cs"/>
          <w:rtl/>
        </w:rPr>
        <w:t>ث</w:t>
      </w:r>
      <w:r>
        <w:rPr>
          <w:rFonts w:hint="cs"/>
          <w:rtl/>
        </w:rPr>
        <w:t>ُ</w:t>
      </w:r>
      <w:r w:rsidRPr="007D7079">
        <w:rPr>
          <w:rFonts w:hint="cs"/>
          <w:rtl/>
        </w:rPr>
        <w:t xml:space="preserve">ر </w:t>
      </w:r>
      <w:r>
        <w:rPr>
          <w:rFonts w:hint="cs"/>
          <w:rtl/>
        </w:rPr>
        <w:t xml:space="preserve">ـ </w:t>
      </w:r>
      <w:r w:rsidRPr="007D7079">
        <w:rPr>
          <w:rFonts w:hint="cs"/>
          <w:rtl/>
        </w:rPr>
        <w:t>نوعا</w:t>
      </w:r>
      <w:r>
        <w:rPr>
          <w:rFonts w:hint="cs"/>
          <w:rtl/>
        </w:rPr>
        <w:t>ً</w:t>
      </w:r>
      <w:r w:rsidRPr="007D7079">
        <w:rPr>
          <w:rFonts w:hint="cs"/>
          <w:rtl/>
        </w:rPr>
        <w:t xml:space="preserve"> وكم</w:t>
      </w:r>
      <w:r>
        <w:rPr>
          <w:rFonts w:hint="cs"/>
          <w:rtl/>
        </w:rPr>
        <w:t>ّ</w:t>
      </w:r>
      <w:r w:rsidRPr="007D7079">
        <w:rPr>
          <w:rFonts w:hint="cs"/>
          <w:rtl/>
        </w:rPr>
        <w:t>ا</w:t>
      </w:r>
      <w:r>
        <w:rPr>
          <w:rFonts w:hint="cs"/>
          <w:rtl/>
        </w:rPr>
        <w:t>ً</w:t>
      </w:r>
      <w:r w:rsidRPr="007D7079">
        <w:rPr>
          <w:rFonts w:hint="cs"/>
          <w:rtl/>
        </w:rPr>
        <w:t xml:space="preserve"> </w:t>
      </w:r>
      <w:r>
        <w:rPr>
          <w:rFonts w:hint="cs"/>
          <w:rtl/>
        </w:rPr>
        <w:t xml:space="preserve">ـ </w:t>
      </w:r>
      <w:r w:rsidRPr="007D7079">
        <w:rPr>
          <w:rFonts w:hint="cs"/>
          <w:rtl/>
        </w:rPr>
        <w:t>لكن</w:t>
      </w:r>
      <w:r>
        <w:rPr>
          <w:rFonts w:hint="cs"/>
          <w:rtl/>
        </w:rPr>
        <w:t>ّ</w:t>
      </w:r>
      <w:r w:rsidRPr="007D7079">
        <w:rPr>
          <w:rFonts w:hint="cs"/>
          <w:rtl/>
        </w:rPr>
        <w:t xml:space="preserve">ه لا يعتبر </w:t>
      </w:r>
      <w:r>
        <w:rPr>
          <w:rFonts w:hint="cs"/>
          <w:rtl/>
        </w:rPr>
        <w:t>أمر</w:t>
      </w:r>
      <w:r w:rsidRPr="007D7079">
        <w:rPr>
          <w:rFonts w:hint="cs"/>
          <w:rtl/>
        </w:rPr>
        <w:t>ا</w:t>
      </w:r>
      <w:r>
        <w:rPr>
          <w:rFonts w:hint="cs"/>
          <w:rtl/>
        </w:rPr>
        <w:t>ً جديداً،</w:t>
      </w:r>
      <w:r w:rsidRPr="007D7079">
        <w:rPr>
          <w:rFonts w:hint="cs"/>
          <w:rtl/>
        </w:rPr>
        <w:t xml:space="preserve"> </w:t>
      </w:r>
      <w:r>
        <w:rPr>
          <w:rFonts w:hint="cs"/>
          <w:rtl/>
        </w:rPr>
        <w:t>و</w:t>
      </w:r>
      <w:r w:rsidRPr="007D7079">
        <w:rPr>
          <w:rFonts w:hint="cs"/>
          <w:rtl/>
        </w:rPr>
        <w:t>القضية المهم</w:t>
      </w:r>
      <w:r>
        <w:rPr>
          <w:rFonts w:hint="cs"/>
          <w:rtl/>
        </w:rPr>
        <w:t>ّ</w:t>
      </w:r>
      <w:r w:rsidRPr="007D7079">
        <w:rPr>
          <w:rFonts w:hint="cs"/>
          <w:rtl/>
        </w:rPr>
        <w:t>ة هن</w:t>
      </w:r>
      <w:r w:rsidRPr="007D7079">
        <w:rPr>
          <w:rFonts w:hint="eastAsia"/>
          <w:rtl/>
        </w:rPr>
        <w:t>ا</w:t>
      </w:r>
      <w:r w:rsidRPr="007D7079">
        <w:rPr>
          <w:rFonts w:hint="cs"/>
          <w:rtl/>
        </w:rPr>
        <w:t xml:space="preserve"> ـ سواء اليوم</w:t>
      </w:r>
      <w:r>
        <w:rPr>
          <w:rFonts w:hint="cs"/>
          <w:rtl/>
        </w:rPr>
        <w:t xml:space="preserve"> أو قبله</w:t>
      </w:r>
      <w:r w:rsidRPr="007D7079">
        <w:rPr>
          <w:rFonts w:hint="cs"/>
          <w:rtl/>
        </w:rPr>
        <w:t xml:space="preserve"> ـ </w:t>
      </w:r>
      <w:r>
        <w:rPr>
          <w:rFonts w:hint="cs"/>
          <w:rtl/>
        </w:rPr>
        <w:t>أ</w:t>
      </w:r>
      <w:r w:rsidRPr="007D7079">
        <w:rPr>
          <w:rFonts w:hint="cs"/>
          <w:rtl/>
        </w:rPr>
        <w:t>ن</w:t>
      </w:r>
      <w:r>
        <w:rPr>
          <w:rFonts w:hint="cs"/>
          <w:rtl/>
        </w:rPr>
        <w:t xml:space="preserve">ّ المرأة </w:t>
      </w:r>
      <w:r w:rsidRPr="007D7079">
        <w:rPr>
          <w:rFonts w:hint="cs"/>
          <w:rtl/>
        </w:rPr>
        <w:t xml:space="preserve">ربّة </w:t>
      </w:r>
      <w:r>
        <w:rPr>
          <w:rFonts w:hint="cs"/>
          <w:rtl/>
        </w:rPr>
        <w:t>ال</w:t>
      </w:r>
      <w:r w:rsidRPr="007D7079">
        <w:rPr>
          <w:rFonts w:hint="cs"/>
          <w:rtl/>
        </w:rPr>
        <w:t>بيت</w:t>
      </w:r>
      <w:r>
        <w:rPr>
          <w:rFonts w:hint="cs"/>
          <w:rtl/>
        </w:rPr>
        <w:t xml:space="preserve"> لابد </w:t>
      </w:r>
      <w:r w:rsidRPr="007D7079">
        <w:rPr>
          <w:rFonts w:hint="cs"/>
          <w:rtl/>
        </w:rPr>
        <w:t xml:space="preserve">لها </w:t>
      </w:r>
      <w:r>
        <w:rPr>
          <w:rFonts w:hint="cs"/>
          <w:rtl/>
        </w:rPr>
        <w:t>من تحصيل حقوقها الأ</w:t>
      </w:r>
      <w:r w:rsidRPr="007D7079">
        <w:rPr>
          <w:rFonts w:hint="cs"/>
          <w:rtl/>
        </w:rPr>
        <w:t>و</w:t>
      </w:r>
      <w:r>
        <w:rPr>
          <w:rFonts w:hint="cs"/>
          <w:rtl/>
        </w:rPr>
        <w:t>ّ</w:t>
      </w:r>
      <w:r w:rsidRPr="007D7079">
        <w:rPr>
          <w:rFonts w:hint="cs"/>
          <w:rtl/>
        </w:rPr>
        <w:t>لية قبل</w:t>
      </w:r>
      <w:r>
        <w:rPr>
          <w:rFonts w:hint="cs"/>
          <w:rtl/>
        </w:rPr>
        <w:t xml:space="preserve"> المرأة </w:t>
      </w:r>
      <w:r w:rsidRPr="007D7079">
        <w:rPr>
          <w:rFonts w:hint="cs"/>
          <w:rtl/>
        </w:rPr>
        <w:t>العاملة في الخارج</w:t>
      </w:r>
      <w:r>
        <w:rPr>
          <w:rFonts w:hint="cs"/>
          <w:rtl/>
        </w:rPr>
        <w:t>،</w:t>
      </w:r>
      <w:r w:rsidRPr="007D7079">
        <w:rPr>
          <w:rFonts w:hint="cs"/>
          <w:rtl/>
        </w:rPr>
        <w:t xml:space="preserve"> والتي تملك استقلالا</w:t>
      </w:r>
      <w:r>
        <w:rPr>
          <w:rFonts w:hint="cs"/>
          <w:rtl/>
        </w:rPr>
        <w:t>ً</w:t>
      </w:r>
      <w:r w:rsidRPr="007D7079">
        <w:rPr>
          <w:rFonts w:hint="cs"/>
          <w:rtl/>
        </w:rPr>
        <w:t xml:space="preserve"> وقدرة</w:t>
      </w:r>
      <w:r>
        <w:rPr>
          <w:rFonts w:hint="cs"/>
          <w:rtl/>
        </w:rPr>
        <w:t>ً مالية أقوى،</w:t>
      </w:r>
      <w:r w:rsidRPr="007D7079">
        <w:rPr>
          <w:rFonts w:hint="cs"/>
          <w:rtl/>
        </w:rPr>
        <w:t xml:space="preserve"> ولا يهم</w:t>
      </w:r>
      <w:r>
        <w:rPr>
          <w:rFonts w:hint="cs"/>
          <w:rtl/>
        </w:rPr>
        <w:t>ّ</w:t>
      </w:r>
      <w:r w:rsidRPr="007D7079">
        <w:rPr>
          <w:rFonts w:hint="cs"/>
          <w:rtl/>
        </w:rPr>
        <w:t xml:space="preserve"> </w:t>
      </w:r>
      <w:r>
        <w:rPr>
          <w:rFonts w:hint="cs"/>
          <w:rtl/>
        </w:rPr>
        <w:t>في ربّات البيوت أن يكنّ جليسات بيوتهنّ أو محتكّات بالخارج،</w:t>
      </w:r>
      <w:r w:rsidRPr="007D7079">
        <w:rPr>
          <w:rFonts w:hint="cs"/>
          <w:rtl/>
        </w:rPr>
        <w:t xml:space="preserve">بل </w:t>
      </w:r>
      <w:r>
        <w:rPr>
          <w:rFonts w:hint="cs"/>
          <w:rtl/>
        </w:rPr>
        <w:t>ال</w:t>
      </w:r>
      <w:r w:rsidRPr="007D7079">
        <w:rPr>
          <w:rFonts w:hint="cs"/>
          <w:rtl/>
        </w:rPr>
        <w:t>مهم</w:t>
      </w:r>
      <w:r>
        <w:rPr>
          <w:rFonts w:hint="cs"/>
          <w:rtl/>
        </w:rPr>
        <w:t>ّ</w:t>
      </w:r>
      <w:r w:rsidRPr="007D7079">
        <w:rPr>
          <w:rFonts w:hint="cs"/>
          <w:rtl/>
        </w:rPr>
        <w:t xml:space="preserve"> هو </w:t>
      </w:r>
      <w:r>
        <w:rPr>
          <w:rFonts w:hint="cs"/>
          <w:rtl/>
        </w:rPr>
        <w:t>أ</w:t>
      </w:r>
      <w:r w:rsidRPr="007D7079">
        <w:rPr>
          <w:rFonts w:hint="cs"/>
          <w:rtl/>
        </w:rPr>
        <w:t>ن</w:t>
      </w:r>
      <w:r>
        <w:rPr>
          <w:rFonts w:hint="cs"/>
          <w:rtl/>
        </w:rPr>
        <w:t>ّ</w:t>
      </w:r>
      <w:r w:rsidRPr="007D7079">
        <w:rPr>
          <w:rFonts w:hint="cs"/>
          <w:rtl/>
        </w:rPr>
        <w:t xml:space="preserve"> هذه</w:t>
      </w:r>
      <w:r>
        <w:rPr>
          <w:rFonts w:hint="cs"/>
          <w:rtl/>
        </w:rPr>
        <w:t xml:space="preserve"> المرأة </w:t>
      </w:r>
      <w:r w:rsidRPr="007D7079">
        <w:rPr>
          <w:rFonts w:hint="cs"/>
          <w:rtl/>
        </w:rPr>
        <w:t>محكومة بالعمل المنزلي ولا تملك نقاط قو</w:t>
      </w:r>
      <w:r>
        <w:rPr>
          <w:rFonts w:hint="cs"/>
          <w:rtl/>
        </w:rPr>
        <w:t>ّة.</w:t>
      </w:r>
    </w:p>
    <w:p w:rsidR="006E0FDB" w:rsidRPr="007D7079" w:rsidRDefault="006E0FDB" w:rsidP="006E0FDB">
      <w:pPr>
        <w:pStyle w:val="ac"/>
        <w:rPr>
          <w:rtl/>
        </w:rPr>
      </w:pPr>
      <w:r w:rsidRPr="007D7079">
        <w:rPr>
          <w:rFonts w:hint="cs"/>
          <w:rtl/>
        </w:rPr>
        <w:t>نعم</w:t>
      </w:r>
      <w:r>
        <w:rPr>
          <w:rFonts w:hint="cs"/>
          <w:rtl/>
        </w:rPr>
        <w:t>،</w:t>
      </w:r>
      <w:r w:rsidRPr="007D7079">
        <w:rPr>
          <w:rFonts w:hint="cs"/>
          <w:rtl/>
        </w:rPr>
        <w:t xml:space="preserve"> لا شك </w:t>
      </w:r>
      <w:r>
        <w:rPr>
          <w:rFonts w:hint="cs"/>
          <w:rtl/>
        </w:rPr>
        <w:t>أ</w:t>
      </w:r>
      <w:r w:rsidRPr="007D7079">
        <w:rPr>
          <w:rFonts w:hint="cs"/>
          <w:rtl/>
        </w:rPr>
        <w:t>نّ عددا</w:t>
      </w:r>
      <w:r>
        <w:rPr>
          <w:rFonts w:hint="cs"/>
          <w:rtl/>
        </w:rPr>
        <w:t>ً</w:t>
      </w:r>
      <w:r w:rsidRPr="007D7079">
        <w:rPr>
          <w:rFonts w:hint="cs"/>
          <w:rtl/>
        </w:rPr>
        <w:t xml:space="preserve"> غير قليل من رب</w:t>
      </w:r>
      <w:r>
        <w:rPr>
          <w:rFonts w:hint="cs"/>
          <w:rtl/>
        </w:rPr>
        <w:t>ّ</w:t>
      </w:r>
      <w:r w:rsidRPr="007D7079">
        <w:rPr>
          <w:rFonts w:hint="cs"/>
          <w:rtl/>
        </w:rPr>
        <w:t xml:space="preserve">ات </w:t>
      </w:r>
      <w:r>
        <w:rPr>
          <w:rFonts w:hint="cs"/>
          <w:rtl/>
        </w:rPr>
        <w:t>البيوت على الرغم من أ</w:t>
      </w:r>
      <w:r w:rsidRPr="007D7079">
        <w:rPr>
          <w:rFonts w:hint="cs"/>
          <w:rtl/>
        </w:rPr>
        <w:t>نهن</w:t>
      </w:r>
      <w:r>
        <w:rPr>
          <w:rFonts w:hint="cs"/>
          <w:rtl/>
        </w:rPr>
        <w:t>ّ</w:t>
      </w:r>
      <w:r w:rsidRPr="007D7079">
        <w:rPr>
          <w:rFonts w:hint="cs"/>
          <w:rtl/>
        </w:rPr>
        <w:t xml:space="preserve"> لا يملكن حضورا</w:t>
      </w:r>
      <w:r>
        <w:rPr>
          <w:rFonts w:hint="cs"/>
          <w:rtl/>
        </w:rPr>
        <w:t>ً</w:t>
      </w:r>
      <w:r w:rsidRPr="007D7079">
        <w:rPr>
          <w:rFonts w:hint="cs"/>
          <w:rtl/>
        </w:rPr>
        <w:t xml:space="preserve"> مباشرا</w:t>
      </w:r>
      <w:r>
        <w:rPr>
          <w:rFonts w:hint="cs"/>
          <w:rtl/>
        </w:rPr>
        <w:t>ً</w:t>
      </w:r>
      <w:r w:rsidRPr="007D7079">
        <w:rPr>
          <w:rFonts w:hint="cs"/>
          <w:rtl/>
        </w:rPr>
        <w:t xml:space="preserve"> في ساحة العمل الرسمي</w:t>
      </w:r>
      <w:r>
        <w:rPr>
          <w:rFonts w:hint="cs"/>
          <w:rtl/>
        </w:rPr>
        <w:t xml:space="preserve"> أو أ</w:t>
      </w:r>
      <w:r w:rsidRPr="007D7079">
        <w:rPr>
          <w:rFonts w:hint="cs"/>
          <w:rtl/>
        </w:rPr>
        <w:t>ن</w:t>
      </w:r>
      <w:r>
        <w:rPr>
          <w:rFonts w:hint="cs"/>
          <w:rtl/>
        </w:rPr>
        <w:t>ّ</w:t>
      </w:r>
      <w:r w:rsidRPr="007D7079">
        <w:rPr>
          <w:rFonts w:hint="cs"/>
          <w:rtl/>
        </w:rPr>
        <w:t xml:space="preserve"> ع</w:t>
      </w:r>
      <w:r>
        <w:rPr>
          <w:rFonts w:hint="cs"/>
          <w:rtl/>
        </w:rPr>
        <w:t>م</w:t>
      </w:r>
      <w:r w:rsidRPr="007D7079">
        <w:rPr>
          <w:rFonts w:hint="cs"/>
          <w:rtl/>
        </w:rPr>
        <w:t>لهن</w:t>
      </w:r>
      <w:r>
        <w:rPr>
          <w:rFonts w:hint="cs"/>
          <w:rtl/>
        </w:rPr>
        <w:t>ّ</w:t>
      </w:r>
      <w:r w:rsidRPr="007D7079">
        <w:rPr>
          <w:rFonts w:hint="cs"/>
          <w:rtl/>
        </w:rPr>
        <w:t xml:space="preserve"> أقل</w:t>
      </w:r>
      <w:r>
        <w:rPr>
          <w:rFonts w:hint="cs"/>
          <w:rtl/>
        </w:rPr>
        <w:t>ّ</w:t>
      </w:r>
      <w:r w:rsidRPr="007D7079">
        <w:rPr>
          <w:rFonts w:hint="cs"/>
          <w:rtl/>
        </w:rPr>
        <w:t xml:space="preserve"> من أزواجهن</w:t>
      </w:r>
      <w:r>
        <w:rPr>
          <w:rFonts w:hint="cs"/>
          <w:rtl/>
        </w:rPr>
        <w:t>ّ،</w:t>
      </w:r>
      <w:r w:rsidRPr="007D7079">
        <w:rPr>
          <w:rFonts w:hint="cs"/>
          <w:rtl/>
        </w:rPr>
        <w:t xml:space="preserve"> لكنهن</w:t>
      </w:r>
      <w:r>
        <w:rPr>
          <w:rFonts w:hint="cs"/>
          <w:rtl/>
        </w:rPr>
        <w:t>ّ</w:t>
      </w:r>
      <w:r w:rsidRPr="007D7079">
        <w:rPr>
          <w:rFonts w:hint="cs"/>
          <w:rtl/>
        </w:rPr>
        <w:t xml:space="preserve"> يملكن </w:t>
      </w:r>
      <w:r>
        <w:rPr>
          <w:rFonts w:hint="cs"/>
          <w:rtl/>
        </w:rPr>
        <w:t>القدرة على اتخاذ قرارات عائلية،</w:t>
      </w:r>
      <w:r w:rsidRPr="007D7079">
        <w:rPr>
          <w:rFonts w:hint="cs"/>
          <w:rtl/>
        </w:rPr>
        <w:t xml:space="preserve"> </w:t>
      </w:r>
      <w:r>
        <w:rPr>
          <w:rFonts w:hint="cs"/>
          <w:rtl/>
        </w:rPr>
        <w:t xml:space="preserve">وما وفّر لهنّ نقاط القوّة هو </w:t>
      </w:r>
      <w:r w:rsidRPr="007D7079">
        <w:rPr>
          <w:rFonts w:hint="cs"/>
          <w:rtl/>
        </w:rPr>
        <w:t>صبرهن</w:t>
      </w:r>
      <w:r>
        <w:rPr>
          <w:rFonts w:hint="cs"/>
          <w:rtl/>
        </w:rPr>
        <w:t>ّ</w:t>
      </w:r>
      <w:r w:rsidRPr="007D7079">
        <w:rPr>
          <w:rFonts w:hint="cs"/>
          <w:rtl/>
        </w:rPr>
        <w:t xml:space="preserve"> في حربهن</w:t>
      </w:r>
      <w:r>
        <w:rPr>
          <w:rFonts w:hint="cs"/>
          <w:rtl/>
        </w:rPr>
        <w:t>ّ</w:t>
      </w:r>
      <w:r w:rsidRPr="007D7079">
        <w:rPr>
          <w:rFonts w:hint="cs"/>
          <w:rtl/>
        </w:rPr>
        <w:t xml:space="preserve"> الخطيرة هذه</w:t>
      </w:r>
      <w:r>
        <w:rPr>
          <w:rFonts w:hint="cs"/>
          <w:rtl/>
        </w:rPr>
        <w:t xml:space="preserve"> أو حظوتهنّ </w:t>
      </w:r>
      <w:r w:rsidRPr="007D7079">
        <w:rPr>
          <w:rFonts w:hint="cs"/>
          <w:rtl/>
        </w:rPr>
        <w:t>برجال</w:t>
      </w:r>
      <w:r>
        <w:rPr>
          <w:rFonts w:hint="cs"/>
          <w:rtl/>
        </w:rPr>
        <w:t>ٍ</w:t>
      </w:r>
      <w:r w:rsidRPr="007D7079">
        <w:rPr>
          <w:rFonts w:hint="cs"/>
          <w:rtl/>
        </w:rPr>
        <w:t xml:space="preserve"> </w:t>
      </w:r>
      <w:r>
        <w:rPr>
          <w:rFonts w:hint="cs"/>
          <w:rtl/>
        </w:rPr>
        <w:t xml:space="preserve">ذوي وعي، </w:t>
      </w:r>
      <w:r w:rsidRPr="007D7079">
        <w:rPr>
          <w:rFonts w:hint="cs"/>
          <w:rtl/>
        </w:rPr>
        <w:t>سواء عن معرفة مسبقة</w:t>
      </w:r>
      <w:r>
        <w:rPr>
          <w:rFonts w:hint="cs"/>
          <w:rtl/>
        </w:rPr>
        <w:t xml:space="preserve"> أو ل</w:t>
      </w:r>
      <w:r w:rsidRPr="007D7079">
        <w:rPr>
          <w:rFonts w:hint="cs"/>
          <w:rtl/>
        </w:rPr>
        <w:t>مجر</w:t>
      </w:r>
      <w:r>
        <w:rPr>
          <w:rFonts w:hint="cs"/>
          <w:rtl/>
        </w:rPr>
        <w:t>ّ</w:t>
      </w:r>
      <w:r w:rsidRPr="007D7079">
        <w:rPr>
          <w:rFonts w:hint="cs"/>
          <w:rtl/>
        </w:rPr>
        <w:t xml:space="preserve">د </w:t>
      </w:r>
      <w:r>
        <w:rPr>
          <w:rFonts w:hint="cs"/>
          <w:rtl/>
        </w:rPr>
        <w:t xml:space="preserve">الحظ، لكنّها ـ أي </w:t>
      </w:r>
      <w:r w:rsidRPr="007D7079">
        <w:rPr>
          <w:rFonts w:hint="cs"/>
          <w:rtl/>
        </w:rPr>
        <w:t xml:space="preserve">نقاط القوة هذه ـ </w:t>
      </w:r>
      <w:r>
        <w:rPr>
          <w:rFonts w:hint="cs"/>
          <w:rtl/>
        </w:rPr>
        <w:t>والمتمثلة ب</w:t>
      </w:r>
      <w:r w:rsidRPr="007D7079">
        <w:rPr>
          <w:rFonts w:hint="cs"/>
          <w:rtl/>
        </w:rPr>
        <w:t>أن يكون لهن</w:t>
      </w:r>
      <w:r>
        <w:rPr>
          <w:rFonts w:hint="cs"/>
          <w:rtl/>
        </w:rPr>
        <w:t>ّ</w:t>
      </w:r>
      <w:r w:rsidRPr="007D7079">
        <w:rPr>
          <w:rFonts w:hint="cs"/>
          <w:rtl/>
        </w:rPr>
        <w:t xml:space="preserve"> حق</w:t>
      </w:r>
      <w:r>
        <w:rPr>
          <w:rFonts w:hint="cs"/>
          <w:rtl/>
        </w:rPr>
        <w:t>ّ</w:t>
      </w:r>
      <w:r w:rsidRPr="007D7079">
        <w:rPr>
          <w:rFonts w:hint="cs"/>
          <w:rtl/>
        </w:rPr>
        <w:t xml:space="preserve"> الاختيار في نوع الحياة ودور في القرارا</w:t>
      </w:r>
      <w:r w:rsidRPr="007D7079">
        <w:rPr>
          <w:rFonts w:hint="eastAsia"/>
          <w:rtl/>
        </w:rPr>
        <w:t>ت</w:t>
      </w:r>
      <w:r>
        <w:rPr>
          <w:rFonts w:hint="cs"/>
          <w:rtl/>
        </w:rPr>
        <w:t xml:space="preserve"> العائلية،</w:t>
      </w:r>
      <w:r w:rsidRPr="007D7079">
        <w:rPr>
          <w:rFonts w:hint="cs"/>
          <w:rtl/>
        </w:rPr>
        <w:t xml:space="preserve"> ليست هي الجزاء الذي يليق بهن</w:t>
      </w:r>
      <w:r>
        <w:rPr>
          <w:rFonts w:hint="cs"/>
          <w:rtl/>
        </w:rPr>
        <w:t>ّ</w:t>
      </w:r>
      <w:r w:rsidRPr="007D7079">
        <w:rPr>
          <w:rFonts w:hint="cs"/>
          <w:rtl/>
        </w:rPr>
        <w:t>، بل هو حق</w:t>
      </w:r>
      <w:r>
        <w:rPr>
          <w:rFonts w:hint="cs"/>
          <w:rtl/>
        </w:rPr>
        <w:t>ّ</w:t>
      </w:r>
      <w:r w:rsidRPr="007D7079">
        <w:rPr>
          <w:rFonts w:hint="cs"/>
          <w:rtl/>
        </w:rPr>
        <w:t>هن</w:t>
      </w:r>
      <w:r>
        <w:rPr>
          <w:rFonts w:hint="cs"/>
          <w:rtl/>
        </w:rPr>
        <w:t>ّ</w:t>
      </w:r>
      <w:r w:rsidRPr="007D7079">
        <w:rPr>
          <w:rFonts w:hint="cs"/>
          <w:rtl/>
        </w:rPr>
        <w:t xml:space="preserve"> بحكم كونهن</w:t>
      </w:r>
      <w:r>
        <w:rPr>
          <w:rFonts w:hint="cs"/>
          <w:rtl/>
        </w:rPr>
        <w:t>ّ</w:t>
      </w:r>
      <w:r w:rsidRPr="007D7079">
        <w:rPr>
          <w:rFonts w:hint="cs"/>
          <w:rtl/>
        </w:rPr>
        <w:t xml:space="preserve"> من </w:t>
      </w:r>
      <w:r w:rsidRPr="007D7079">
        <w:rPr>
          <w:rFonts w:hint="cs"/>
          <w:rtl/>
        </w:rPr>
        <w:lastRenderedPageBreak/>
        <w:t>بني ال</w:t>
      </w:r>
      <w:r>
        <w:rPr>
          <w:rFonts w:hint="cs"/>
          <w:rtl/>
        </w:rPr>
        <w:t>إنسان.</w:t>
      </w:r>
    </w:p>
    <w:p w:rsidR="006E0FDB" w:rsidRPr="007D7079" w:rsidRDefault="006E0FDB" w:rsidP="006E0FDB">
      <w:pPr>
        <w:pStyle w:val="ac"/>
        <w:rPr>
          <w:rtl/>
        </w:rPr>
      </w:pPr>
      <w:r>
        <w:rPr>
          <w:rFonts w:hint="cs"/>
          <w:rtl/>
        </w:rPr>
        <w:t xml:space="preserve">تثير </w:t>
      </w:r>
      <w:r w:rsidRPr="007D7079">
        <w:rPr>
          <w:rFonts w:hint="cs"/>
          <w:rtl/>
        </w:rPr>
        <w:t>د. مطيع قضية</w:t>
      </w:r>
      <w:r>
        <w:rPr>
          <w:rFonts w:hint="cs"/>
          <w:rtl/>
        </w:rPr>
        <w:t xml:space="preserve"> المرأة </w:t>
      </w:r>
      <w:r w:rsidRPr="007D7079">
        <w:rPr>
          <w:rFonts w:hint="cs"/>
          <w:rtl/>
        </w:rPr>
        <w:t>الغربية</w:t>
      </w:r>
      <w:r>
        <w:rPr>
          <w:rFonts w:hint="cs"/>
          <w:rtl/>
        </w:rPr>
        <w:t>؛</w:t>
      </w:r>
      <w:r w:rsidRPr="007D7079">
        <w:rPr>
          <w:rFonts w:hint="cs"/>
          <w:rtl/>
        </w:rPr>
        <w:t xml:space="preserve"> </w:t>
      </w:r>
      <w:r>
        <w:rPr>
          <w:rFonts w:hint="cs"/>
          <w:rtl/>
        </w:rPr>
        <w:t>ف</w:t>
      </w:r>
      <w:r w:rsidRPr="007D7079">
        <w:rPr>
          <w:rFonts w:hint="cs"/>
          <w:rtl/>
        </w:rPr>
        <w:t>ت</w:t>
      </w:r>
      <w:r>
        <w:rPr>
          <w:rFonts w:hint="cs"/>
          <w:rtl/>
        </w:rPr>
        <w:t xml:space="preserve">رى أن </w:t>
      </w:r>
      <w:r w:rsidRPr="007D7079">
        <w:rPr>
          <w:rFonts w:hint="cs"/>
          <w:rtl/>
        </w:rPr>
        <w:t xml:space="preserve">الحضارة الغربية </w:t>
      </w:r>
      <w:r>
        <w:rPr>
          <w:rFonts w:hint="cs"/>
          <w:rtl/>
        </w:rPr>
        <w:t>إذا</w:t>
      </w:r>
      <w:r w:rsidRPr="007D7079">
        <w:rPr>
          <w:rFonts w:hint="cs"/>
          <w:rtl/>
        </w:rPr>
        <w:t xml:space="preserve"> تمك</w:t>
      </w:r>
      <w:r>
        <w:rPr>
          <w:rFonts w:hint="cs"/>
          <w:rtl/>
        </w:rPr>
        <w:t>ّ</w:t>
      </w:r>
      <w:r w:rsidRPr="007D7079">
        <w:rPr>
          <w:rFonts w:hint="cs"/>
          <w:rtl/>
        </w:rPr>
        <w:t>نت من تخفيف ثقل الوظائف العائلية، ف</w:t>
      </w:r>
      <w:r>
        <w:rPr>
          <w:rFonts w:hint="cs"/>
          <w:rtl/>
        </w:rPr>
        <w:t>إ</w:t>
      </w:r>
      <w:r w:rsidRPr="007D7079">
        <w:rPr>
          <w:rFonts w:hint="cs"/>
          <w:rtl/>
        </w:rPr>
        <w:t>ن</w:t>
      </w:r>
      <w:r>
        <w:rPr>
          <w:rFonts w:hint="cs"/>
          <w:rtl/>
        </w:rPr>
        <w:t>ّ</w:t>
      </w:r>
      <w:r w:rsidRPr="007D7079">
        <w:rPr>
          <w:rFonts w:hint="cs"/>
          <w:rtl/>
        </w:rPr>
        <w:t xml:space="preserve"> </w:t>
      </w:r>
      <w:r>
        <w:rPr>
          <w:rFonts w:hint="cs"/>
          <w:rtl/>
        </w:rPr>
        <w:t>العائلة</w:t>
      </w:r>
      <w:r w:rsidRPr="007D7079">
        <w:rPr>
          <w:rFonts w:hint="cs"/>
          <w:rtl/>
        </w:rPr>
        <w:t xml:space="preserve"> في إيران قد زاد</w:t>
      </w:r>
      <w:r>
        <w:rPr>
          <w:rFonts w:hint="cs"/>
          <w:rtl/>
        </w:rPr>
        <w:t>تها</w:t>
      </w:r>
      <w:r w:rsidRPr="007D7079">
        <w:rPr>
          <w:rFonts w:hint="cs"/>
          <w:rtl/>
        </w:rPr>
        <w:t xml:space="preserve"> كم</w:t>
      </w:r>
      <w:r>
        <w:rPr>
          <w:rFonts w:hint="cs"/>
          <w:rtl/>
        </w:rPr>
        <w:t>ّ</w:t>
      </w:r>
      <w:r w:rsidRPr="007D7079">
        <w:rPr>
          <w:rFonts w:hint="cs"/>
          <w:rtl/>
        </w:rPr>
        <w:t>ا</w:t>
      </w:r>
      <w:r>
        <w:rPr>
          <w:rFonts w:hint="cs"/>
          <w:rtl/>
        </w:rPr>
        <w:t>ً</w:t>
      </w:r>
      <w:r w:rsidRPr="007D7079">
        <w:rPr>
          <w:rFonts w:hint="cs"/>
          <w:rtl/>
        </w:rPr>
        <w:t xml:space="preserve"> ونوعا</w:t>
      </w:r>
      <w:r>
        <w:rPr>
          <w:rFonts w:hint="cs"/>
          <w:rtl/>
        </w:rPr>
        <w:t>ً</w:t>
      </w:r>
      <w:r w:rsidRPr="007D7079">
        <w:rPr>
          <w:rFonts w:hint="cs"/>
          <w:rtl/>
        </w:rPr>
        <w:t>.</w:t>
      </w:r>
    </w:p>
    <w:p w:rsidR="006E0FDB" w:rsidRPr="007D7079" w:rsidRDefault="006E0FDB" w:rsidP="006E0FDB">
      <w:pPr>
        <w:pStyle w:val="ac"/>
        <w:rPr>
          <w:rtl/>
        </w:rPr>
      </w:pPr>
      <w:r w:rsidRPr="007D7079">
        <w:rPr>
          <w:rFonts w:hint="cs"/>
          <w:rtl/>
        </w:rPr>
        <w:t xml:space="preserve">ولا </w:t>
      </w:r>
      <w:r>
        <w:rPr>
          <w:rFonts w:hint="cs"/>
          <w:rtl/>
        </w:rPr>
        <w:t>أ</w:t>
      </w:r>
      <w:r w:rsidRPr="007D7079">
        <w:rPr>
          <w:rFonts w:hint="cs"/>
          <w:rtl/>
        </w:rPr>
        <w:t>دري ما هو المراد من مثل هذه المقا</w:t>
      </w:r>
      <w:r>
        <w:rPr>
          <w:rFonts w:hint="cs"/>
          <w:rtl/>
        </w:rPr>
        <w:t>رنة</w:t>
      </w:r>
      <w:r w:rsidRPr="007D7079">
        <w:rPr>
          <w:rFonts w:hint="cs"/>
          <w:rtl/>
        </w:rPr>
        <w:t xml:space="preserve">؟ فهل </w:t>
      </w:r>
      <w:r>
        <w:rPr>
          <w:rFonts w:hint="cs"/>
          <w:rtl/>
        </w:rPr>
        <w:t>إذا قبلنا</w:t>
      </w:r>
      <w:r w:rsidRPr="007D7079">
        <w:rPr>
          <w:rFonts w:hint="cs"/>
          <w:rtl/>
        </w:rPr>
        <w:t xml:space="preserve"> </w:t>
      </w:r>
      <w:r>
        <w:rPr>
          <w:rFonts w:hint="cs"/>
          <w:rtl/>
        </w:rPr>
        <w:t>ب</w:t>
      </w:r>
      <w:r w:rsidRPr="007D7079">
        <w:rPr>
          <w:rFonts w:hint="cs"/>
          <w:rtl/>
        </w:rPr>
        <w:t xml:space="preserve">اختلاف </w:t>
      </w:r>
      <w:r>
        <w:rPr>
          <w:rFonts w:hint="cs"/>
          <w:rtl/>
        </w:rPr>
        <w:t xml:space="preserve">المرأة </w:t>
      </w:r>
      <w:r w:rsidRPr="007D7079">
        <w:rPr>
          <w:rFonts w:hint="cs"/>
          <w:rtl/>
        </w:rPr>
        <w:t xml:space="preserve">الغربية </w:t>
      </w:r>
      <w:r>
        <w:rPr>
          <w:rFonts w:hint="cs"/>
          <w:rtl/>
        </w:rPr>
        <w:t xml:space="preserve">ـ </w:t>
      </w:r>
      <w:r w:rsidRPr="007D7079">
        <w:rPr>
          <w:rFonts w:hint="cs"/>
          <w:rtl/>
        </w:rPr>
        <w:t xml:space="preserve">ربّة </w:t>
      </w:r>
      <w:r>
        <w:rPr>
          <w:rFonts w:hint="cs"/>
          <w:rtl/>
        </w:rPr>
        <w:t>ال</w:t>
      </w:r>
      <w:r w:rsidRPr="007D7079">
        <w:rPr>
          <w:rFonts w:hint="cs"/>
          <w:rtl/>
        </w:rPr>
        <w:t xml:space="preserve">بيت </w:t>
      </w:r>
      <w:r>
        <w:rPr>
          <w:rFonts w:hint="cs"/>
          <w:rtl/>
        </w:rPr>
        <w:t xml:space="preserve">ـ عن </w:t>
      </w:r>
      <w:r w:rsidRPr="007D7079">
        <w:rPr>
          <w:rFonts w:hint="cs"/>
          <w:rtl/>
        </w:rPr>
        <w:t>الإيرانية كذلك نصل</w:t>
      </w:r>
      <w:r>
        <w:rPr>
          <w:rFonts w:hint="cs"/>
          <w:rtl/>
        </w:rPr>
        <w:t xml:space="preserve"> إلى</w:t>
      </w:r>
      <w:r w:rsidRPr="007D7079">
        <w:rPr>
          <w:rFonts w:hint="cs"/>
          <w:rtl/>
        </w:rPr>
        <w:t xml:space="preserve"> أن</w:t>
      </w:r>
      <w:r>
        <w:rPr>
          <w:rFonts w:hint="cs"/>
          <w:rtl/>
        </w:rPr>
        <w:t>ّ</w:t>
      </w:r>
      <w:r w:rsidRPr="007D7079">
        <w:rPr>
          <w:rFonts w:hint="cs"/>
          <w:rtl/>
        </w:rPr>
        <w:t xml:space="preserve"> ما تمك</w:t>
      </w:r>
      <w:r>
        <w:rPr>
          <w:rFonts w:hint="cs"/>
          <w:rtl/>
        </w:rPr>
        <w:t>ّنت النسوية الغربية من الوصول إ</w:t>
      </w:r>
      <w:r w:rsidRPr="007D7079">
        <w:rPr>
          <w:rFonts w:hint="cs"/>
          <w:rtl/>
        </w:rPr>
        <w:t>ليه لم ت</w:t>
      </w:r>
      <w:r>
        <w:rPr>
          <w:rFonts w:hint="cs"/>
          <w:rtl/>
        </w:rPr>
        <w:t xml:space="preserve">قدر عليه الحركة </w:t>
      </w:r>
      <w:r w:rsidRPr="007D7079">
        <w:rPr>
          <w:rFonts w:hint="cs"/>
          <w:rtl/>
        </w:rPr>
        <w:t>النسوية الإيرانية؟ وهل تجربة</w:t>
      </w:r>
      <w:r>
        <w:rPr>
          <w:rFonts w:hint="cs"/>
          <w:rtl/>
        </w:rPr>
        <w:t xml:space="preserve"> المرأة </w:t>
      </w:r>
      <w:r w:rsidRPr="007D7079">
        <w:rPr>
          <w:rFonts w:hint="cs"/>
          <w:rtl/>
        </w:rPr>
        <w:t xml:space="preserve">الإيرانية </w:t>
      </w:r>
      <w:r>
        <w:rPr>
          <w:rFonts w:hint="cs"/>
          <w:rtl/>
        </w:rPr>
        <w:t xml:space="preserve">ـ </w:t>
      </w:r>
      <w:r w:rsidRPr="007D7079">
        <w:rPr>
          <w:rFonts w:hint="cs"/>
          <w:rtl/>
        </w:rPr>
        <w:t xml:space="preserve">ربّة </w:t>
      </w:r>
      <w:r>
        <w:rPr>
          <w:rFonts w:hint="cs"/>
          <w:rtl/>
        </w:rPr>
        <w:t xml:space="preserve">البيت ـ </w:t>
      </w:r>
      <w:r w:rsidRPr="007D7079">
        <w:rPr>
          <w:rFonts w:hint="cs"/>
          <w:rtl/>
        </w:rPr>
        <w:t>تختلف جوهري</w:t>
      </w:r>
      <w:r>
        <w:rPr>
          <w:rFonts w:hint="cs"/>
          <w:rtl/>
        </w:rPr>
        <w:t>ّ</w:t>
      </w:r>
      <w:r w:rsidRPr="007D7079">
        <w:rPr>
          <w:rFonts w:hint="cs"/>
          <w:rtl/>
        </w:rPr>
        <w:t>ا</w:t>
      </w:r>
      <w:r>
        <w:rPr>
          <w:rFonts w:hint="cs"/>
          <w:rtl/>
        </w:rPr>
        <w:t>ً</w:t>
      </w:r>
      <w:r w:rsidRPr="007D7079">
        <w:rPr>
          <w:rFonts w:hint="cs"/>
          <w:rtl/>
        </w:rPr>
        <w:t xml:space="preserve"> عن تجربة</w:t>
      </w:r>
      <w:r>
        <w:rPr>
          <w:rFonts w:hint="cs"/>
          <w:rtl/>
        </w:rPr>
        <w:t xml:space="preserve"> المرأة الغربية؟</w:t>
      </w:r>
      <w:r w:rsidRPr="007D7079">
        <w:rPr>
          <w:rFonts w:hint="cs"/>
          <w:rtl/>
        </w:rPr>
        <w:t xml:space="preserve"> وهل تتفاوت مسؤولية الفريقين؟ وهل دور العمل المنزلي يختلف بحسب نوع الحياة التي يعيشها </w:t>
      </w:r>
      <w:r>
        <w:rPr>
          <w:rFonts w:hint="cs"/>
          <w:rtl/>
        </w:rPr>
        <w:t>الفريقان</w:t>
      </w:r>
      <w:r w:rsidRPr="007D7079">
        <w:rPr>
          <w:rFonts w:hint="cs"/>
          <w:rtl/>
        </w:rPr>
        <w:t>؟ و</w:t>
      </w:r>
      <w:r>
        <w:rPr>
          <w:rFonts w:hint="cs"/>
          <w:rtl/>
        </w:rPr>
        <w:t xml:space="preserve">أخيراً هل تختلف نهاية </w:t>
      </w:r>
      <w:r w:rsidRPr="007D7079">
        <w:rPr>
          <w:rFonts w:hint="cs"/>
          <w:rtl/>
        </w:rPr>
        <w:t xml:space="preserve">المؤسسة العائلية </w:t>
      </w:r>
      <w:r>
        <w:rPr>
          <w:rFonts w:hint="cs"/>
          <w:rtl/>
        </w:rPr>
        <w:t>بين النسويّتين: ا</w:t>
      </w:r>
      <w:r w:rsidRPr="007D7079">
        <w:rPr>
          <w:rFonts w:hint="cs"/>
          <w:rtl/>
        </w:rPr>
        <w:t xml:space="preserve">لغربية </w:t>
      </w:r>
      <w:r>
        <w:rPr>
          <w:rFonts w:hint="cs"/>
          <w:rtl/>
        </w:rPr>
        <w:t>و</w:t>
      </w:r>
      <w:r w:rsidRPr="007D7079">
        <w:rPr>
          <w:rFonts w:hint="cs"/>
          <w:rtl/>
        </w:rPr>
        <w:t>الإيرانية؟</w:t>
      </w:r>
    </w:p>
    <w:p w:rsidR="006E0FDB" w:rsidRPr="007D7079" w:rsidRDefault="006E0FDB" w:rsidP="006E0FDB">
      <w:pPr>
        <w:pStyle w:val="ac"/>
        <w:rPr>
          <w:rtl/>
        </w:rPr>
      </w:pPr>
      <w:r w:rsidRPr="007D7079">
        <w:rPr>
          <w:rFonts w:hint="cs"/>
          <w:rtl/>
        </w:rPr>
        <w:t>إن تطو</w:t>
      </w:r>
      <w:r>
        <w:rPr>
          <w:rFonts w:hint="cs"/>
          <w:rtl/>
        </w:rPr>
        <w:t>ّ</w:t>
      </w:r>
      <w:r w:rsidRPr="007D7079">
        <w:rPr>
          <w:rFonts w:hint="cs"/>
          <w:rtl/>
        </w:rPr>
        <w:t xml:space="preserve">ر الحياة الغربية لم </w:t>
      </w:r>
      <w:r>
        <w:rPr>
          <w:rFonts w:hint="cs"/>
          <w:rtl/>
        </w:rPr>
        <w:t>يخفّف بشكلٍ ملحوظ</w:t>
      </w:r>
      <w:r w:rsidRPr="007D7079">
        <w:rPr>
          <w:rFonts w:hint="cs"/>
          <w:rtl/>
        </w:rPr>
        <w:t xml:space="preserve"> </w:t>
      </w:r>
      <w:r>
        <w:rPr>
          <w:rFonts w:hint="cs"/>
          <w:rtl/>
        </w:rPr>
        <w:t xml:space="preserve">من </w:t>
      </w:r>
      <w:r w:rsidRPr="007D7079">
        <w:rPr>
          <w:rFonts w:hint="cs"/>
          <w:rtl/>
        </w:rPr>
        <w:t>العمل المنزلي للمرأة، و</w:t>
      </w:r>
      <w:r>
        <w:rPr>
          <w:rFonts w:hint="cs"/>
          <w:rtl/>
        </w:rPr>
        <w:t>إ</w:t>
      </w:r>
      <w:r w:rsidRPr="007D7079">
        <w:rPr>
          <w:rFonts w:hint="cs"/>
          <w:rtl/>
        </w:rPr>
        <w:t>ن</w:t>
      </w:r>
      <w:r>
        <w:rPr>
          <w:rFonts w:hint="cs"/>
          <w:rtl/>
        </w:rPr>
        <w:t>ّ</w:t>
      </w:r>
      <w:r w:rsidRPr="007D7079">
        <w:rPr>
          <w:rFonts w:hint="cs"/>
          <w:rtl/>
        </w:rPr>
        <w:t>ما تمك</w:t>
      </w:r>
      <w:r>
        <w:rPr>
          <w:rFonts w:hint="cs"/>
          <w:rtl/>
        </w:rPr>
        <w:t>ّ</w:t>
      </w:r>
      <w:r w:rsidRPr="007D7079">
        <w:rPr>
          <w:rFonts w:hint="cs"/>
          <w:rtl/>
        </w:rPr>
        <w:t xml:space="preserve">ن من تطوير تنظيم </w:t>
      </w:r>
      <w:r>
        <w:rPr>
          <w:rFonts w:hint="cs"/>
          <w:rtl/>
        </w:rPr>
        <w:t xml:space="preserve">هذا </w:t>
      </w:r>
      <w:r w:rsidRPr="007D7079">
        <w:rPr>
          <w:rFonts w:hint="cs"/>
          <w:rtl/>
        </w:rPr>
        <w:t>العمل</w:t>
      </w:r>
      <w:r>
        <w:rPr>
          <w:rFonts w:hint="cs"/>
          <w:rtl/>
        </w:rPr>
        <w:t>، إ</w:t>
      </w:r>
      <w:r w:rsidRPr="007D7079">
        <w:rPr>
          <w:rFonts w:hint="cs"/>
          <w:rtl/>
        </w:rPr>
        <w:t>ن</w:t>
      </w:r>
      <w:r>
        <w:rPr>
          <w:rFonts w:hint="cs"/>
          <w:rtl/>
        </w:rPr>
        <w:t>ّ</w:t>
      </w:r>
      <w:r w:rsidRPr="007D7079">
        <w:rPr>
          <w:rFonts w:hint="cs"/>
          <w:rtl/>
        </w:rPr>
        <w:t xml:space="preserve"> الدراسات التي تناولت دور التطو</w:t>
      </w:r>
      <w:r>
        <w:rPr>
          <w:rFonts w:hint="cs"/>
          <w:rtl/>
        </w:rPr>
        <w:t>ّ</w:t>
      </w:r>
      <w:r w:rsidRPr="007D7079">
        <w:rPr>
          <w:rFonts w:hint="cs"/>
          <w:rtl/>
        </w:rPr>
        <w:t>ر التكنولوجي المنزلي في عمل</w:t>
      </w:r>
      <w:r>
        <w:rPr>
          <w:rFonts w:hint="cs"/>
          <w:rtl/>
        </w:rPr>
        <w:t xml:space="preserve"> المرأة </w:t>
      </w:r>
      <w:r w:rsidRPr="007D7079">
        <w:rPr>
          <w:rFonts w:hint="cs"/>
          <w:rtl/>
        </w:rPr>
        <w:t>تدل</w:t>
      </w:r>
      <w:r>
        <w:rPr>
          <w:rFonts w:hint="cs"/>
          <w:rtl/>
        </w:rPr>
        <w:t>ّ على أ</w:t>
      </w:r>
      <w:r w:rsidRPr="007D7079">
        <w:rPr>
          <w:rFonts w:hint="cs"/>
          <w:rtl/>
        </w:rPr>
        <w:t>ن</w:t>
      </w:r>
      <w:r>
        <w:rPr>
          <w:rFonts w:hint="cs"/>
          <w:rtl/>
        </w:rPr>
        <w:t>ّ</w:t>
      </w:r>
      <w:r w:rsidRPr="007D7079">
        <w:rPr>
          <w:rFonts w:hint="cs"/>
          <w:rtl/>
        </w:rPr>
        <w:t xml:space="preserve">ه </w:t>
      </w:r>
      <w:r>
        <w:rPr>
          <w:rFonts w:hint="cs"/>
          <w:rtl/>
        </w:rPr>
        <w:t xml:space="preserve">ـ </w:t>
      </w:r>
      <w:r w:rsidRPr="007D7079">
        <w:rPr>
          <w:rFonts w:hint="cs"/>
          <w:rtl/>
        </w:rPr>
        <w:t xml:space="preserve">وعلى خلاف المتوقع </w:t>
      </w:r>
      <w:r>
        <w:rPr>
          <w:rFonts w:hint="cs"/>
          <w:rtl/>
        </w:rPr>
        <w:t xml:space="preserve">ـ لم تتدنَّ </w:t>
      </w:r>
      <w:r w:rsidRPr="007D7079">
        <w:rPr>
          <w:rFonts w:hint="cs"/>
          <w:rtl/>
        </w:rPr>
        <w:t>منذ سنة 1920</w:t>
      </w:r>
      <w:r>
        <w:rPr>
          <w:rFonts w:hint="cs"/>
          <w:rtl/>
        </w:rPr>
        <w:t xml:space="preserve">م إلى </w:t>
      </w:r>
      <w:r w:rsidRPr="007D7079">
        <w:rPr>
          <w:rFonts w:hint="cs"/>
          <w:rtl/>
        </w:rPr>
        <w:t>الآن ساعات العمل التي تصرفها</w:t>
      </w:r>
      <w:r>
        <w:rPr>
          <w:rFonts w:hint="cs"/>
          <w:rtl/>
        </w:rPr>
        <w:t xml:space="preserve"> المرأة </w:t>
      </w:r>
      <w:r w:rsidRPr="007D7079">
        <w:rPr>
          <w:rFonts w:hint="cs"/>
          <w:rtl/>
        </w:rPr>
        <w:t>ال</w:t>
      </w:r>
      <w:r>
        <w:rPr>
          <w:rFonts w:hint="cs"/>
          <w:rtl/>
        </w:rPr>
        <w:t>أمر</w:t>
      </w:r>
      <w:r w:rsidRPr="007D7079">
        <w:rPr>
          <w:rFonts w:hint="cs"/>
          <w:rtl/>
        </w:rPr>
        <w:t>يكية في المنزل، وتتحد</w:t>
      </w:r>
      <w:r>
        <w:rPr>
          <w:rFonts w:hint="cs"/>
          <w:rtl/>
        </w:rPr>
        <w:t>ّ</w:t>
      </w:r>
      <w:r w:rsidRPr="007D7079">
        <w:rPr>
          <w:rFonts w:hint="cs"/>
          <w:rtl/>
        </w:rPr>
        <w:t xml:space="preserve">ث هذه الدراسات عن </w:t>
      </w:r>
      <w:r>
        <w:rPr>
          <w:rFonts w:hint="cs"/>
          <w:rtl/>
        </w:rPr>
        <w:t>أ</w:t>
      </w:r>
      <w:r w:rsidRPr="007D7079">
        <w:rPr>
          <w:rFonts w:hint="cs"/>
          <w:rtl/>
        </w:rPr>
        <w:t>ن</w:t>
      </w:r>
      <w:r>
        <w:rPr>
          <w:rFonts w:hint="cs"/>
          <w:rtl/>
        </w:rPr>
        <w:t>ّ</w:t>
      </w:r>
      <w:r w:rsidRPr="007D7079">
        <w:rPr>
          <w:rFonts w:hint="cs"/>
          <w:rtl/>
        </w:rPr>
        <w:t xml:space="preserve"> ساعات العمل التي كانت تقضيها</w:t>
      </w:r>
      <w:r>
        <w:rPr>
          <w:rFonts w:hint="cs"/>
          <w:rtl/>
        </w:rPr>
        <w:t xml:space="preserve"> المرأة </w:t>
      </w:r>
      <w:r w:rsidRPr="007D7079">
        <w:rPr>
          <w:rFonts w:hint="cs"/>
          <w:rtl/>
        </w:rPr>
        <w:t>ال</w:t>
      </w:r>
      <w:r>
        <w:rPr>
          <w:rFonts w:hint="cs"/>
          <w:rtl/>
        </w:rPr>
        <w:t>أمر</w:t>
      </w:r>
      <w:r w:rsidRPr="007D7079">
        <w:rPr>
          <w:rFonts w:hint="cs"/>
          <w:rtl/>
        </w:rPr>
        <w:t xml:space="preserve">يكية </w:t>
      </w:r>
      <w:r>
        <w:rPr>
          <w:rFonts w:hint="cs"/>
          <w:rtl/>
        </w:rPr>
        <w:t>عام</w:t>
      </w:r>
      <w:r w:rsidRPr="007D7079">
        <w:rPr>
          <w:rFonts w:hint="cs"/>
          <w:rtl/>
        </w:rPr>
        <w:t xml:space="preserve"> 1926</w:t>
      </w:r>
      <w:r>
        <w:rPr>
          <w:rFonts w:hint="cs"/>
          <w:rtl/>
        </w:rPr>
        <w:t>م</w:t>
      </w:r>
      <w:r w:rsidRPr="007D7079">
        <w:rPr>
          <w:rFonts w:hint="cs"/>
          <w:rtl/>
        </w:rPr>
        <w:t xml:space="preserve"> في العمل المنزلي كانت تصل</w:t>
      </w:r>
      <w:r>
        <w:rPr>
          <w:rFonts w:hint="cs"/>
          <w:rtl/>
        </w:rPr>
        <w:t xml:space="preserve"> إلى </w:t>
      </w:r>
      <w:r w:rsidRPr="007D7079">
        <w:rPr>
          <w:rFonts w:hint="cs"/>
          <w:rtl/>
        </w:rPr>
        <w:t>52 ساعة أُسبوعيا</w:t>
      </w:r>
      <w:r>
        <w:rPr>
          <w:rFonts w:hint="cs"/>
          <w:rtl/>
        </w:rPr>
        <w:t>ً</w:t>
      </w:r>
      <w:r w:rsidRPr="007D7079">
        <w:rPr>
          <w:rFonts w:hint="cs"/>
          <w:rtl/>
        </w:rPr>
        <w:t>، و</w:t>
      </w:r>
      <w:r>
        <w:rPr>
          <w:rFonts w:hint="cs"/>
          <w:rtl/>
        </w:rPr>
        <w:t xml:space="preserve">قد ارتفع </w:t>
      </w:r>
      <w:r w:rsidRPr="007D7079">
        <w:rPr>
          <w:rFonts w:hint="cs"/>
          <w:rtl/>
        </w:rPr>
        <w:t>هذا الرقم في الستينات</w:t>
      </w:r>
      <w:r>
        <w:rPr>
          <w:rFonts w:hint="cs"/>
          <w:rtl/>
        </w:rPr>
        <w:t xml:space="preserve"> إلى </w:t>
      </w:r>
      <w:r w:rsidRPr="007D7079">
        <w:rPr>
          <w:rFonts w:hint="cs"/>
          <w:rtl/>
        </w:rPr>
        <w:t>55 ساعة أسبوعيا</w:t>
      </w:r>
      <w:r>
        <w:rPr>
          <w:rFonts w:hint="cs"/>
          <w:rtl/>
        </w:rPr>
        <w:t>ً،</w:t>
      </w:r>
      <w:r w:rsidRPr="007D7079">
        <w:rPr>
          <w:rFonts w:hint="cs"/>
          <w:rtl/>
        </w:rPr>
        <w:t xml:space="preserve"> و</w:t>
      </w:r>
      <w:r>
        <w:rPr>
          <w:rFonts w:hint="cs"/>
          <w:rtl/>
        </w:rPr>
        <w:t xml:space="preserve">يعود </w:t>
      </w:r>
      <w:r w:rsidRPr="007D7079">
        <w:rPr>
          <w:rFonts w:hint="cs"/>
          <w:rtl/>
        </w:rPr>
        <w:t xml:space="preserve">السبب في </w:t>
      </w:r>
      <w:r>
        <w:rPr>
          <w:rFonts w:hint="cs"/>
          <w:rtl/>
        </w:rPr>
        <w:t>ذلك إلى تبدّل مقاييس الرفاهية العائلية،</w:t>
      </w:r>
      <w:r w:rsidRPr="007D7079">
        <w:rPr>
          <w:rFonts w:hint="cs"/>
          <w:rtl/>
        </w:rPr>
        <w:t xml:space="preserve"> وكمثال على ذلك </w:t>
      </w:r>
      <w:r>
        <w:rPr>
          <w:rFonts w:hint="cs"/>
          <w:rtl/>
        </w:rPr>
        <w:t xml:space="preserve">كانت النساء ـ </w:t>
      </w:r>
      <w:r w:rsidRPr="007D7079">
        <w:rPr>
          <w:rFonts w:hint="cs"/>
          <w:rtl/>
        </w:rPr>
        <w:t xml:space="preserve">قبل اختراع الغسالات </w:t>
      </w:r>
      <w:r>
        <w:rPr>
          <w:rFonts w:hint="cs"/>
          <w:rtl/>
        </w:rPr>
        <w:t>ـ يغسلن</w:t>
      </w:r>
      <w:r w:rsidRPr="007D7079">
        <w:rPr>
          <w:rFonts w:hint="cs"/>
          <w:rtl/>
        </w:rPr>
        <w:t xml:space="preserve"> الملابس مر</w:t>
      </w:r>
      <w:r>
        <w:rPr>
          <w:rFonts w:hint="cs"/>
          <w:rtl/>
        </w:rPr>
        <w:t>ّ</w:t>
      </w:r>
      <w:r w:rsidRPr="007D7079">
        <w:rPr>
          <w:rFonts w:hint="cs"/>
          <w:rtl/>
        </w:rPr>
        <w:t>ة</w:t>
      </w:r>
      <w:r>
        <w:rPr>
          <w:rFonts w:hint="cs"/>
          <w:rtl/>
        </w:rPr>
        <w:t>ً</w:t>
      </w:r>
      <w:r w:rsidRPr="007D7079">
        <w:rPr>
          <w:rFonts w:hint="cs"/>
          <w:rtl/>
        </w:rPr>
        <w:t xml:space="preserve"> واحدة أسبوعيا</w:t>
      </w:r>
      <w:r>
        <w:rPr>
          <w:rFonts w:hint="cs"/>
          <w:rtl/>
        </w:rPr>
        <w:t>ً</w:t>
      </w:r>
      <w:r w:rsidRPr="007D7079">
        <w:rPr>
          <w:rFonts w:hint="cs"/>
          <w:rtl/>
        </w:rPr>
        <w:t xml:space="preserve">، </w:t>
      </w:r>
      <w:r>
        <w:rPr>
          <w:rFonts w:hint="cs"/>
          <w:rtl/>
        </w:rPr>
        <w:t>أ</w:t>
      </w:r>
      <w:r w:rsidRPr="007D7079">
        <w:rPr>
          <w:rFonts w:hint="cs"/>
          <w:rtl/>
        </w:rPr>
        <w:t>م</w:t>
      </w:r>
      <w:r>
        <w:rPr>
          <w:rFonts w:hint="cs"/>
          <w:rtl/>
        </w:rPr>
        <w:t>ّ</w:t>
      </w:r>
      <w:r w:rsidRPr="007D7079">
        <w:rPr>
          <w:rFonts w:hint="cs"/>
          <w:rtl/>
        </w:rPr>
        <w:t>ا اليوم فالغس</w:t>
      </w:r>
      <w:r>
        <w:rPr>
          <w:rFonts w:hint="cs"/>
          <w:rtl/>
        </w:rPr>
        <w:t>ّالات وإ</w:t>
      </w:r>
      <w:r w:rsidRPr="007D7079">
        <w:rPr>
          <w:rFonts w:hint="cs"/>
          <w:rtl/>
        </w:rPr>
        <w:t xml:space="preserve">ن </w:t>
      </w:r>
      <w:r>
        <w:rPr>
          <w:rFonts w:hint="cs"/>
          <w:rtl/>
        </w:rPr>
        <w:t xml:space="preserve">قلّصت ساعات </w:t>
      </w:r>
      <w:r w:rsidRPr="007D7079">
        <w:rPr>
          <w:rFonts w:hint="cs"/>
          <w:rtl/>
        </w:rPr>
        <w:t xml:space="preserve">عمل </w:t>
      </w:r>
      <w:r>
        <w:rPr>
          <w:rFonts w:hint="cs"/>
          <w:rtl/>
        </w:rPr>
        <w:t xml:space="preserve">المرأة </w:t>
      </w:r>
      <w:r w:rsidRPr="007D7079">
        <w:rPr>
          <w:rFonts w:hint="cs"/>
          <w:rtl/>
        </w:rPr>
        <w:t xml:space="preserve">في غسل الملابس، </w:t>
      </w:r>
      <w:r>
        <w:rPr>
          <w:rFonts w:hint="cs"/>
          <w:rtl/>
        </w:rPr>
        <w:t xml:space="preserve">إلا أنّها </w:t>
      </w:r>
      <w:r w:rsidRPr="007D7079">
        <w:rPr>
          <w:rFonts w:hint="cs"/>
          <w:rtl/>
        </w:rPr>
        <w:t xml:space="preserve">زادت </w:t>
      </w:r>
      <w:r>
        <w:rPr>
          <w:rFonts w:hint="cs"/>
          <w:rtl/>
        </w:rPr>
        <w:t>من</w:t>
      </w:r>
      <w:r w:rsidRPr="007D7079">
        <w:rPr>
          <w:rFonts w:hint="cs"/>
          <w:rtl/>
        </w:rPr>
        <w:t xml:space="preserve"> عدد مرات غسيل</w:t>
      </w:r>
      <w:r>
        <w:rPr>
          <w:rFonts w:hint="cs"/>
          <w:rtl/>
        </w:rPr>
        <w:t>ها</w:t>
      </w:r>
      <w:r w:rsidRPr="007D7079">
        <w:rPr>
          <w:rFonts w:hint="cs"/>
          <w:rtl/>
        </w:rPr>
        <w:t xml:space="preserve"> أسبوعيا</w:t>
      </w:r>
      <w:r>
        <w:rPr>
          <w:rFonts w:hint="cs"/>
          <w:rtl/>
        </w:rPr>
        <w:t>ً،</w:t>
      </w:r>
      <w:r w:rsidRPr="007D7079">
        <w:rPr>
          <w:rFonts w:hint="cs"/>
          <w:rtl/>
        </w:rPr>
        <w:t xml:space="preserve"> وكذلك</w:t>
      </w:r>
      <w:r>
        <w:rPr>
          <w:rFonts w:hint="cs"/>
          <w:rtl/>
        </w:rPr>
        <w:t xml:space="preserve"> ارتفاع مقاييس النظافة العائلية؛ حيث </w:t>
      </w:r>
      <w:r w:rsidRPr="007D7079">
        <w:rPr>
          <w:rFonts w:hint="cs"/>
          <w:rtl/>
        </w:rPr>
        <w:t>زاد من ساعات العمل المن</w:t>
      </w:r>
      <w:r>
        <w:rPr>
          <w:rFonts w:hint="cs"/>
          <w:rtl/>
        </w:rPr>
        <w:t>زلي،</w:t>
      </w:r>
      <w:r w:rsidRPr="007D7079">
        <w:rPr>
          <w:rFonts w:hint="cs"/>
          <w:rtl/>
        </w:rPr>
        <w:t xml:space="preserve"> </w:t>
      </w:r>
      <w:r>
        <w:rPr>
          <w:rFonts w:hint="cs"/>
          <w:rtl/>
        </w:rPr>
        <w:t xml:space="preserve">كما أنّ </w:t>
      </w:r>
      <w:r w:rsidRPr="007D7079">
        <w:rPr>
          <w:rFonts w:hint="cs"/>
          <w:rtl/>
        </w:rPr>
        <w:t>تنو</w:t>
      </w:r>
      <w:r>
        <w:rPr>
          <w:rFonts w:hint="cs"/>
          <w:rtl/>
        </w:rPr>
        <w:t>ّ</w:t>
      </w:r>
      <w:r w:rsidRPr="007D7079">
        <w:rPr>
          <w:rFonts w:hint="cs"/>
          <w:rtl/>
        </w:rPr>
        <w:t xml:space="preserve">ع الأعمال زاد </w:t>
      </w:r>
      <w:r>
        <w:rPr>
          <w:rFonts w:hint="cs"/>
          <w:rtl/>
        </w:rPr>
        <w:t>هو الآخر من ساعات العمل؛</w:t>
      </w:r>
      <w:r w:rsidRPr="007D7079">
        <w:rPr>
          <w:rFonts w:hint="cs"/>
          <w:rtl/>
        </w:rPr>
        <w:t xml:space="preserve"> ف</w:t>
      </w:r>
      <w:r>
        <w:rPr>
          <w:rFonts w:hint="cs"/>
          <w:rtl/>
        </w:rPr>
        <w:t>إذا</w:t>
      </w:r>
      <w:r w:rsidRPr="007D7079">
        <w:rPr>
          <w:rFonts w:hint="cs"/>
          <w:rtl/>
        </w:rPr>
        <w:t xml:space="preserve"> </w:t>
      </w:r>
      <w:r>
        <w:rPr>
          <w:rFonts w:hint="cs"/>
          <w:rtl/>
        </w:rPr>
        <w:t xml:space="preserve">غدا </w:t>
      </w:r>
      <w:r w:rsidRPr="007D7079">
        <w:rPr>
          <w:rFonts w:hint="cs"/>
          <w:rtl/>
        </w:rPr>
        <w:t xml:space="preserve">إعداد الطعام </w:t>
      </w:r>
      <w:r>
        <w:rPr>
          <w:rFonts w:hint="cs"/>
          <w:rtl/>
        </w:rPr>
        <w:t>محتاجاً ل</w:t>
      </w:r>
      <w:r w:rsidRPr="007D7079">
        <w:rPr>
          <w:rFonts w:hint="cs"/>
          <w:rtl/>
        </w:rPr>
        <w:t>وقت</w:t>
      </w:r>
      <w:r>
        <w:rPr>
          <w:rFonts w:hint="cs"/>
          <w:rtl/>
        </w:rPr>
        <w:t>ٍ</w:t>
      </w:r>
      <w:r w:rsidRPr="007D7079">
        <w:rPr>
          <w:rFonts w:hint="cs"/>
          <w:rtl/>
        </w:rPr>
        <w:t xml:space="preserve"> أقل</w:t>
      </w:r>
      <w:r>
        <w:rPr>
          <w:rFonts w:hint="cs"/>
          <w:rtl/>
        </w:rPr>
        <w:t>ّ</w:t>
      </w:r>
      <w:r w:rsidRPr="007D7079">
        <w:rPr>
          <w:rFonts w:hint="cs"/>
          <w:rtl/>
        </w:rPr>
        <w:t xml:space="preserve"> ف</w:t>
      </w:r>
      <w:r>
        <w:rPr>
          <w:rFonts w:hint="cs"/>
          <w:rtl/>
        </w:rPr>
        <w:t>إ</w:t>
      </w:r>
      <w:r w:rsidRPr="007D7079">
        <w:rPr>
          <w:rFonts w:hint="cs"/>
          <w:rtl/>
        </w:rPr>
        <w:t>ن</w:t>
      </w:r>
      <w:r>
        <w:rPr>
          <w:rFonts w:hint="cs"/>
          <w:rtl/>
        </w:rPr>
        <w:t>ّ</w:t>
      </w:r>
      <w:r w:rsidRPr="007D7079">
        <w:rPr>
          <w:rFonts w:hint="cs"/>
          <w:rtl/>
        </w:rPr>
        <w:t xml:space="preserve"> تربية الأطفال أصبح</w:t>
      </w:r>
      <w:r>
        <w:rPr>
          <w:rFonts w:hint="cs"/>
          <w:rtl/>
        </w:rPr>
        <w:t>ت</w:t>
      </w:r>
      <w:r w:rsidRPr="007D7079">
        <w:rPr>
          <w:rFonts w:hint="cs"/>
          <w:rtl/>
        </w:rPr>
        <w:t xml:space="preserve"> الآن </w:t>
      </w:r>
      <w:r>
        <w:rPr>
          <w:rFonts w:hint="cs"/>
          <w:rtl/>
        </w:rPr>
        <w:t xml:space="preserve">بحاجة إلى </w:t>
      </w:r>
      <w:r w:rsidRPr="007D7079">
        <w:rPr>
          <w:rFonts w:hint="cs"/>
          <w:rtl/>
        </w:rPr>
        <w:t>وقت</w:t>
      </w:r>
      <w:r>
        <w:rPr>
          <w:rFonts w:hint="cs"/>
          <w:rtl/>
        </w:rPr>
        <w:t xml:space="preserve">ٍ أكثر، </w:t>
      </w:r>
      <w:r w:rsidRPr="007D7079">
        <w:rPr>
          <w:rFonts w:hint="cs"/>
          <w:rtl/>
        </w:rPr>
        <w:t>إن</w:t>
      </w:r>
      <w:r>
        <w:rPr>
          <w:rFonts w:hint="cs"/>
          <w:rtl/>
        </w:rPr>
        <w:t>ّ</w:t>
      </w:r>
      <w:r w:rsidRPr="007D7079">
        <w:rPr>
          <w:rFonts w:hint="cs"/>
          <w:rtl/>
        </w:rPr>
        <w:t xml:space="preserve"> مقا</w:t>
      </w:r>
      <w:r>
        <w:rPr>
          <w:rFonts w:hint="cs"/>
          <w:rtl/>
        </w:rPr>
        <w:t>رنة</w:t>
      </w:r>
      <w:r w:rsidRPr="007D7079">
        <w:rPr>
          <w:rFonts w:hint="cs"/>
          <w:rtl/>
        </w:rPr>
        <w:t xml:space="preserve"> نتائج ما قام به</w:t>
      </w:r>
      <w:r>
        <w:rPr>
          <w:rFonts w:hint="cs"/>
          <w:rtl/>
        </w:rPr>
        <w:t xml:space="preserve"> </w:t>
      </w:r>
      <w:r w:rsidRPr="007A45F2">
        <w:rPr>
          <w:rFonts w:hint="cs"/>
          <w:szCs w:val="29"/>
        </w:rPr>
        <w:sym w:font="Roumouz" w:char="F06D"/>
      </w:r>
      <w:r>
        <w:rPr>
          <w:rFonts w:hint="cs"/>
          <w:rtl/>
        </w:rPr>
        <w:t>وانك وكوئن</w:t>
      </w:r>
      <w:r w:rsidRPr="007A45F2">
        <w:rPr>
          <w:rFonts w:hint="cs"/>
          <w:szCs w:val="29"/>
        </w:rPr>
        <w:sym w:font="Roumouz" w:char="F06E"/>
      </w:r>
      <w:r w:rsidRPr="007D7079">
        <w:rPr>
          <w:rFonts w:hint="cs"/>
          <w:rtl/>
        </w:rPr>
        <w:t xml:space="preserve"> مع ما تكتبه د. مطيع لا يصلح</w:t>
      </w:r>
      <w:r>
        <w:rPr>
          <w:rFonts w:hint="cs"/>
          <w:rtl/>
        </w:rPr>
        <w:t xml:space="preserve"> بياناً </w:t>
      </w:r>
      <w:r w:rsidRPr="007D7079">
        <w:rPr>
          <w:rFonts w:hint="cs"/>
          <w:rtl/>
        </w:rPr>
        <w:t>للاختلاف الكيفي.</w:t>
      </w:r>
    </w:p>
    <w:p w:rsidR="006E0FDB" w:rsidRDefault="006E0FDB" w:rsidP="006E0FDB">
      <w:pPr>
        <w:pStyle w:val="ac"/>
        <w:rPr>
          <w:rtl/>
        </w:rPr>
      </w:pPr>
      <w:r w:rsidRPr="007D7079">
        <w:rPr>
          <w:rFonts w:hint="cs"/>
          <w:rtl/>
        </w:rPr>
        <w:t>تتحد</w:t>
      </w:r>
      <w:r>
        <w:rPr>
          <w:rFonts w:hint="cs"/>
          <w:rtl/>
        </w:rPr>
        <w:t>ّ</w:t>
      </w:r>
      <w:r w:rsidRPr="007D7079">
        <w:rPr>
          <w:rFonts w:hint="cs"/>
          <w:rtl/>
        </w:rPr>
        <w:t>ث د. مطيع عن نوع</w:t>
      </w:r>
      <w:r>
        <w:rPr>
          <w:rFonts w:hint="cs"/>
          <w:rtl/>
        </w:rPr>
        <w:t>ٍ</w:t>
      </w:r>
      <w:r w:rsidRPr="007D7079">
        <w:rPr>
          <w:rFonts w:hint="cs"/>
          <w:rtl/>
        </w:rPr>
        <w:t xml:space="preserve"> من الاندماج والوحدة بين</w:t>
      </w:r>
      <w:r>
        <w:rPr>
          <w:rFonts w:hint="cs"/>
          <w:rtl/>
        </w:rPr>
        <w:t xml:space="preserve"> </w:t>
      </w:r>
      <w:r w:rsidRPr="007D7079">
        <w:rPr>
          <w:rFonts w:hint="cs"/>
          <w:rtl/>
        </w:rPr>
        <w:t xml:space="preserve">ربّة </w:t>
      </w:r>
      <w:r>
        <w:rPr>
          <w:rFonts w:hint="cs"/>
          <w:rtl/>
        </w:rPr>
        <w:t>ال</w:t>
      </w:r>
      <w:r w:rsidRPr="007D7079">
        <w:rPr>
          <w:rFonts w:hint="cs"/>
          <w:rtl/>
        </w:rPr>
        <w:t>بيت وبين المؤس</w:t>
      </w:r>
      <w:r>
        <w:rPr>
          <w:rFonts w:hint="cs"/>
          <w:rtl/>
        </w:rPr>
        <w:t xml:space="preserve">ّسة </w:t>
      </w:r>
      <w:r>
        <w:rPr>
          <w:rFonts w:hint="cs"/>
          <w:rtl/>
        </w:rPr>
        <w:lastRenderedPageBreak/>
        <w:t>البيتية، وأ</w:t>
      </w:r>
      <w:r w:rsidRPr="007D7079">
        <w:rPr>
          <w:rFonts w:hint="cs"/>
          <w:rtl/>
        </w:rPr>
        <w:t>ن</w:t>
      </w:r>
      <w:r>
        <w:rPr>
          <w:rFonts w:hint="cs"/>
          <w:rtl/>
        </w:rPr>
        <w:t>ّ</w:t>
      </w:r>
      <w:r w:rsidRPr="007D7079">
        <w:rPr>
          <w:rFonts w:hint="cs"/>
          <w:rtl/>
        </w:rPr>
        <w:t xml:space="preserve"> احترام عمل</w:t>
      </w:r>
      <w:r>
        <w:rPr>
          <w:rFonts w:hint="cs"/>
          <w:rtl/>
        </w:rPr>
        <w:t xml:space="preserve"> المرأة </w:t>
      </w:r>
      <w:r w:rsidRPr="007D7079">
        <w:rPr>
          <w:rFonts w:hint="cs"/>
          <w:rtl/>
        </w:rPr>
        <w:t xml:space="preserve">في البيت يزيد من </w:t>
      </w:r>
      <w:r>
        <w:rPr>
          <w:rFonts w:hint="cs"/>
          <w:rtl/>
        </w:rPr>
        <w:t>مكانة</w:t>
      </w:r>
      <w:r w:rsidRPr="007D7079">
        <w:rPr>
          <w:rFonts w:hint="cs"/>
          <w:rtl/>
        </w:rPr>
        <w:t xml:space="preserve"> المؤس</w:t>
      </w:r>
      <w:r>
        <w:rPr>
          <w:rFonts w:hint="cs"/>
          <w:rtl/>
        </w:rPr>
        <w:t>ّسة البيتية،</w:t>
      </w:r>
      <w:r w:rsidRPr="007D7079">
        <w:rPr>
          <w:rFonts w:hint="cs"/>
          <w:rtl/>
        </w:rPr>
        <w:t xml:space="preserve"> إن</w:t>
      </w:r>
      <w:r>
        <w:rPr>
          <w:rFonts w:hint="cs"/>
          <w:rtl/>
        </w:rPr>
        <w:t>ّ</w:t>
      </w:r>
      <w:r w:rsidRPr="007D7079">
        <w:rPr>
          <w:rFonts w:hint="cs"/>
          <w:rtl/>
        </w:rPr>
        <w:t xml:space="preserve"> الأبحاث ال</w:t>
      </w:r>
      <w:r>
        <w:rPr>
          <w:rFonts w:hint="cs"/>
          <w:rtl/>
        </w:rPr>
        <w:t>اجتماع</w:t>
      </w:r>
      <w:r w:rsidRPr="007D7079">
        <w:rPr>
          <w:rFonts w:hint="cs"/>
          <w:rtl/>
        </w:rPr>
        <w:t>ية اليوم لا سي</w:t>
      </w:r>
      <w:r>
        <w:rPr>
          <w:rFonts w:hint="cs"/>
          <w:rtl/>
        </w:rPr>
        <w:t>ّ</w:t>
      </w:r>
      <w:r w:rsidRPr="007D7079">
        <w:rPr>
          <w:rFonts w:hint="cs"/>
          <w:rtl/>
        </w:rPr>
        <w:t>ما التي تتم</w:t>
      </w:r>
      <w:r>
        <w:rPr>
          <w:rFonts w:hint="cs"/>
          <w:rtl/>
        </w:rPr>
        <w:t>ّ</w:t>
      </w:r>
      <w:r w:rsidRPr="007D7079">
        <w:rPr>
          <w:rFonts w:hint="cs"/>
          <w:rtl/>
        </w:rPr>
        <w:t xml:space="preserve"> على ضوء نظريات علماء </w:t>
      </w:r>
      <w:r>
        <w:rPr>
          <w:rFonts w:hint="cs"/>
          <w:rtl/>
        </w:rPr>
        <w:t xml:space="preserve">مثل </w:t>
      </w:r>
      <w:r w:rsidRPr="007D7079">
        <w:rPr>
          <w:rFonts w:hint="cs"/>
          <w:rtl/>
        </w:rPr>
        <w:t>كرامشي وفوكو</w:t>
      </w:r>
      <w:r>
        <w:rPr>
          <w:rFonts w:hint="cs"/>
          <w:rtl/>
        </w:rPr>
        <w:t>،</w:t>
      </w:r>
      <w:r w:rsidRPr="007D7079">
        <w:rPr>
          <w:rFonts w:hint="cs"/>
          <w:rtl/>
        </w:rPr>
        <w:t xml:space="preserve"> تُظهر أن</w:t>
      </w:r>
      <w:r>
        <w:rPr>
          <w:rFonts w:hint="cs"/>
          <w:rtl/>
        </w:rPr>
        <w:t>ّ</w:t>
      </w:r>
      <w:r w:rsidRPr="007D7079">
        <w:rPr>
          <w:rFonts w:hint="cs"/>
          <w:rtl/>
        </w:rPr>
        <w:t xml:space="preserve"> القدرة ليست شيئا</w:t>
      </w:r>
      <w:r>
        <w:rPr>
          <w:rFonts w:hint="cs"/>
          <w:rtl/>
        </w:rPr>
        <w:t>ً</w:t>
      </w:r>
      <w:r w:rsidRPr="007D7079">
        <w:rPr>
          <w:rFonts w:hint="cs"/>
          <w:rtl/>
        </w:rPr>
        <w:t xml:space="preserve"> يتمت</w:t>
      </w:r>
      <w:r>
        <w:rPr>
          <w:rFonts w:hint="cs"/>
          <w:rtl/>
        </w:rPr>
        <w:t>ّ</w:t>
      </w:r>
      <w:r w:rsidRPr="007D7079">
        <w:rPr>
          <w:rFonts w:hint="cs"/>
          <w:rtl/>
        </w:rPr>
        <w:t>ع به بعض</w:t>
      </w:r>
      <w:r>
        <w:rPr>
          <w:rFonts w:hint="cs"/>
          <w:rtl/>
        </w:rPr>
        <w:t>ٌ ويحرم منه آخرون،</w:t>
      </w:r>
      <w:r w:rsidRPr="007D7079">
        <w:rPr>
          <w:rFonts w:hint="cs"/>
          <w:rtl/>
        </w:rPr>
        <w:t xml:space="preserve"> بل ال</w:t>
      </w:r>
      <w:r>
        <w:rPr>
          <w:rFonts w:hint="cs"/>
          <w:rtl/>
        </w:rPr>
        <w:t>أمر</w:t>
      </w:r>
      <w:r w:rsidRPr="007D7079">
        <w:rPr>
          <w:rFonts w:hint="cs"/>
          <w:rtl/>
        </w:rPr>
        <w:t xml:space="preserve"> على العكس</w:t>
      </w:r>
      <w:r>
        <w:rPr>
          <w:rFonts w:hint="cs"/>
          <w:rtl/>
        </w:rPr>
        <w:t>،</w:t>
      </w:r>
      <w:r w:rsidRPr="007D7079">
        <w:rPr>
          <w:rFonts w:hint="cs"/>
          <w:rtl/>
        </w:rPr>
        <w:t xml:space="preserve"> فالقدرة </w:t>
      </w:r>
      <w:r>
        <w:rPr>
          <w:rFonts w:hint="cs"/>
          <w:rtl/>
        </w:rPr>
        <w:t>ت</w:t>
      </w:r>
      <w:r w:rsidRPr="007D7079">
        <w:rPr>
          <w:rFonts w:hint="cs"/>
          <w:rtl/>
        </w:rPr>
        <w:t>تبد</w:t>
      </w:r>
      <w:r>
        <w:rPr>
          <w:rFonts w:hint="cs"/>
          <w:rtl/>
        </w:rPr>
        <w:t>ّ</w:t>
      </w:r>
      <w:r w:rsidRPr="007D7079">
        <w:rPr>
          <w:rFonts w:hint="cs"/>
          <w:rtl/>
        </w:rPr>
        <w:t>ل لحظة</w:t>
      </w:r>
      <w:r>
        <w:rPr>
          <w:rFonts w:hint="cs"/>
          <w:rtl/>
        </w:rPr>
        <w:t>ً</w:t>
      </w:r>
      <w:r w:rsidRPr="007D7079">
        <w:rPr>
          <w:rFonts w:hint="cs"/>
          <w:rtl/>
        </w:rPr>
        <w:t xml:space="preserve"> بلحظة</w:t>
      </w:r>
      <w:r>
        <w:rPr>
          <w:rFonts w:hint="cs"/>
          <w:rtl/>
        </w:rPr>
        <w:t>؛</w:t>
      </w:r>
      <w:r w:rsidRPr="007D7079">
        <w:rPr>
          <w:rFonts w:hint="cs"/>
          <w:rtl/>
        </w:rPr>
        <w:t xml:space="preserve"> تبعا</w:t>
      </w:r>
      <w:r>
        <w:rPr>
          <w:rFonts w:hint="cs"/>
          <w:rtl/>
        </w:rPr>
        <w:t>ً</w:t>
      </w:r>
      <w:r w:rsidRPr="007D7079">
        <w:rPr>
          <w:rFonts w:hint="cs"/>
          <w:rtl/>
        </w:rPr>
        <w:t xml:space="preserve"> لنوع التفاعل المتبادل للف</w:t>
      </w:r>
      <w:r>
        <w:rPr>
          <w:rFonts w:hint="cs"/>
          <w:rtl/>
        </w:rPr>
        <w:t>ئات</w:t>
      </w:r>
      <w:r w:rsidRPr="007D7079">
        <w:rPr>
          <w:rFonts w:hint="cs"/>
          <w:rtl/>
        </w:rPr>
        <w:t xml:space="preserve"> ال</w:t>
      </w:r>
      <w:r>
        <w:rPr>
          <w:rFonts w:hint="cs"/>
          <w:rtl/>
        </w:rPr>
        <w:t>اجتماعية،</w:t>
      </w:r>
      <w:r w:rsidRPr="007D7079">
        <w:rPr>
          <w:rFonts w:hint="cs"/>
          <w:rtl/>
        </w:rPr>
        <w:t xml:space="preserve"> وهذا الفعل ورد</w:t>
      </w:r>
      <w:r>
        <w:rPr>
          <w:rFonts w:hint="cs"/>
          <w:rtl/>
        </w:rPr>
        <w:t>ّ</w:t>
      </w:r>
      <w:r w:rsidRPr="007D7079">
        <w:rPr>
          <w:rFonts w:hint="cs"/>
          <w:rtl/>
        </w:rPr>
        <w:t>ة الفعل يُظهران لنا أن</w:t>
      </w:r>
      <w:r>
        <w:rPr>
          <w:rFonts w:hint="cs"/>
          <w:rtl/>
        </w:rPr>
        <w:t>ّ</w:t>
      </w:r>
      <w:r w:rsidRPr="007D7079">
        <w:rPr>
          <w:rFonts w:hint="cs"/>
          <w:rtl/>
        </w:rPr>
        <w:t xml:space="preserve"> ما يظهر ضحية</w:t>
      </w:r>
      <w:r>
        <w:rPr>
          <w:rFonts w:hint="cs"/>
          <w:rtl/>
        </w:rPr>
        <w:t>ً</w:t>
      </w:r>
      <w:r w:rsidRPr="007D7079">
        <w:rPr>
          <w:rFonts w:hint="cs"/>
          <w:rtl/>
        </w:rPr>
        <w:t xml:space="preserve"> </w:t>
      </w:r>
      <w:r>
        <w:rPr>
          <w:rFonts w:hint="cs"/>
          <w:rtl/>
        </w:rPr>
        <w:t>ل</w:t>
      </w:r>
      <w:r w:rsidRPr="007D7079">
        <w:rPr>
          <w:rFonts w:hint="cs"/>
          <w:rtl/>
        </w:rPr>
        <w:t>لظلم ليس بمظلوم</w:t>
      </w:r>
      <w:r>
        <w:rPr>
          <w:rFonts w:hint="cs"/>
          <w:rtl/>
        </w:rPr>
        <w:t xml:space="preserve">ٍ صامت ومنفعل </w:t>
      </w:r>
      <w:r w:rsidRPr="007D7079">
        <w:rPr>
          <w:rFonts w:hint="cs"/>
          <w:rtl/>
        </w:rPr>
        <w:t>لا يملك أي</w:t>
      </w:r>
      <w:r>
        <w:rPr>
          <w:rFonts w:hint="cs"/>
          <w:rtl/>
        </w:rPr>
        <w:t>ّ ردة فعل.</w:t>
      </w:r>
    </w:p>
    <w:p w:rsidR="006E0FDB" w:rsidRDefault="006E0FDB" w:rsidP="006E0FDB">
      <w:pPr>
        <w:pStyle w:val="ac"/>
        <w:rPr>
          <w:rtl/>
        </w:rPr>
      </w:pPr>
      <w:r w:rsidRPr="007D7079">
        <w:rPr>
          <w:rFonts w:hint="cs"/>
          <w:rtl/>
        </w:rPr>
        <w:t>إن</w:t>
      </w:r>
      <w:r>
        <w:rPr>
          <w:rFonts w:hint="cs"/>
          <w:rtl/>
        </w:rPr>
        <w:t>ّ</w:t>
      </w:r>
      <w:r w:rsidRPr="007D7079">
        <w:rPr>
          <w:rFonts w:hint="cs"/>
          <w:rtl/>
        </w:rPr>
        <w:t xml:space="preserve"> نقد النسوية وظلم نظام سيادة الرجل يُظهران أن</w:t>
      </w:r>
      <w:r>
        <w:rPr>
          <w:rFonts w:hint="cs"/>
          <w:rtl/>
        </w:rPr>
        <w:t>ّ</w:t>
      </w:r>
      <w:r w:rsidRPr="007D7079">
        <w:rPr>
          <w:rFonts w:hint="cs"/>
          <w:rtl/>
        </w:rPr>
        <w:t xml:space="preserve"> النساء كن</w:t>
      </w:r>
      <w:r>
        <w:rPr>
          <w:rFonts w:hint="cs"/>
          <w:rtl/>
        </w:rPr>
        <w:t>ّ</w:t>
      </w:r>
      <w:r w:rsidRPr="007D7079">
        <w:rPr>
          <w:rFonts w:hint="cs"/>
          <w:rtl/>
        </w:rPr>
        <w:t xml:space="preserve"> دائما</w:t>
      </w:r>
      <w:r>
        <w:rPr>
          <w:rFonts w:hint="cs"/>
          <w:rtl/>
        </w:rPr>
        <w:t>ً</w:t>
      </w:r>
      <w:r w:rsidRPr="007D7079">
        <w:rPr>
          <w:rFonts w:hint="cs"/>
          <w:rtl/>
        </w:rPr>
        <w:t xml:space="preserve"> يخالفن الظلم الجنسي ويحاربنه، </w:t>
      </w:r>
      <w:r>
        <w:rPr>
          <w:rFonts w:hint="cs"/>
          <w:rtl/>
        </w:rPr>
        <w:t xml:space="preserve">حتى لو حذف ذلك </w:t>
      </w:r>
      <w:r w:rsidRPr="007D7079">
        <w:rPr>
          <w:rFonts w:hint="cs"/>
          <w:rtl/>
        </w:rPr>
        <w:t>من الروايات التاريخية</w:t>
      </w:r>
      <w:r>
        <w:rPr>
          <w:rFonts w:hint="cs"/>
          <w:rtl/>
        </w:rPr>
        <w:t xml:space="preserve">، فقد كان ربّات البيوت </w:t>
      </w:r>
      <w:r w:rsidRPr="007D7079">
        <w:rPr>
          <w:rFonts w:hint="cs"/>
          <w:rtl/>
        </w:rPr>
        <w:t>ـ كأي</w:t>
      </w:r>
      <w:r>
        <w:rPr>
          <w:rFonts w:hint="cs"/>
          <w:rtl/>
        </w:rPr>
        <w:t>ّ</w:t>
      </w:r>
      <w:r w:rsidRPr="007D7079">
        <w:rPr>
          <w:rFonts w:hint="cs"/>
          <w:rtl/>
        </w:rPr>
        <w:t xml:space="preserve"> </w:t>
      </w:r>
      <w:r>
        <w:rPr>
          <w:rFonts w:hint="cs"/>
          <w:rtl/>
        </w:rPr>
        <w:t>امر</w:t>
      </w:r>
      <w:r w:rsidRPr="007D7079">
        <w:rPr>
          <w:rFonts w:hint="cs"/>
          <w:rtl/>
        </w:rPr>
        <w:t>أة</w:t>
      </w:r>
      <w:r>
        <w:rPr>
          <w:rFonts w:hint="cs"/>
          <w:rtl/>
        </w:rPr>
        <w:t>ٍ أو إنسانٍ</w:t>
      </w:r>
      <w:r w:rsidRPr="007D7079">
        <w:rPr>
          <w:rFonts w:hint="cs"/>
          <w:rtl/>
        </w:rPr>
        <w:t xml:space="preserve"> مظلوم ـ </w:t>
      </w:r>
      <w:r>
        <w:rPr>
          <w:rFonts w:hint="cs"/>
          <w:rtl/>
        </w:rPr>
        <w:t>تحارب هذا الظلم الجنسي،</w:t>
      </w:r>
      <w:r w:rsidRPr="007D7079">
        <w:rPr>
          <w:rFonts w:hint="cs"/>
          <w:rtl/>
        </w:rPr>
        <w:t xml:space="preserve"> لكن مخالفة اعتبار</w:t>
      </w:r>
      <w:r>
        <w:rPr>
          <w:rFonts w:hint="cs"/>
          <w:rtl/>
        </w:rPr>
        <w:t xml:space="preserve"> المرأة </w:t>
      </w:r>
      <w:r w:rsidRPr="007D7079">
        <w:rPr>
          <w:rFonts w:hint="cs"/>
          <w:rtl/>
        </w:rPr>
        <w:t>شيئا</w:t>
      </w:r>
      <w:r>
        <w:rPr>
          <w:rFonts w:hint="cs"/>
          <w:rtl/>
        </w:rPr>
        <w:t>ً</w:t>
      </w:r>
      <w:r w:rsidRPr="007D7079">
        <w:rPr>
          <w:rFonts w:hint="cs"/>
          <w:rtl/>
        </w:rPr>
        <w:t xml:space="preserve"> منفعلا</w:t>
      </w:r>
      <w:r>
        <w:rPr>
          <w:rFonts w:hint="cs"/>
          <w:rtl/>
        </w:rPr>
        <w:t>ً</w:t>
      </w:r>
      <w:r w:rsidRPr="007D7079">
        <w:rPr>
          <w:rFonts w:hint="cs"/>
          <w:rtl/>
        </w:rPr>
        <w:t xml:space="preserve"> لا ينبغي أن يوجب الغفلة عن الظروف الخارجية التي جعلت الرجل صاحب سلطة</w:t>
      </w:r>
      <w:r>
        <w:rPr>
          <w:rFonts w:hint="cs"/>
          <w:rtl/>
        </w:rPr>
        <w:t>ٍ</w:t>
      </w:r>
      <w:r w:rsidRPr="007D7079">
        <w:rPr>
          <w:rFonts w:hint="cs"/>
          <w:rtl/>
        </w:rPr>
        <w:t xml:space="preserve"> و</w:t>
      </w:r>
      <w:r>
        <w:rPr>
          <w:rFonts w:hint="cs"/>
          <w:rtl/>
        </w:rPr>
        <w:t>أ</w:t>
      </w:r>
      <w:r w:rsidRPr="007D7079">
        <w:rPr>
          <w:rFonts w:hint="cs"/>
          <w:rtl/>
        </w:rPr>
        <w:t>ضعفت من موقع</w:t>
      </w:r>
      <w:r>
        <w:rPr>
          <w:rFonts w:hint="cs"/>
          <w:rtl/>
        </w:rPr>
        <w:t xml:space="preserve"> ربّة المنزل،</w:t>
      </w:r>
      <w:r w:rsidRPr="007D7079">
        <w:rPr>
          <w:rFonts w:hint="cs"/>
          <w:rtl/>
        </w:rPr>
        <w:t xml:space="preserve"> إن</w:t>
      </w:r>
      <w:r>
        <w:rPr>
          <w:rFonts w:hint="cs"/>
          <w:rtl/>
        </w:rPr>
        <w:t>ّ</w:t>
      </w:r>
      <w:r w:rsidRPr="007D7079">
        <w:rPr>
          <w:rFonts w:hint="cs"/>
          <w:rtl/>
        </w:rPr>
        <w:t xml:space="preserve"> عدم كون</w:t>
      </w:r>
      <w:r>
        <w:rPr>
          <w:rFonts w:hint="cs"/>
          <w:rtl/>
        </w:rPr>
        <w:t xml:space="preserve"> المرأة </w:t>
      </w:r>
      <w:r w:rsidRPr="007D7079">
        <w:rPr>
          <w:rFonts w:hint="cs"/>
          <w:rtl/>
        </w:rPr>
        <w:t>منفعلة</w:t>
      </w:r>
      <w:r>
        <w:rPr>
          <w:rFonts w:hint="cs"/>
          <w:rtl/>
        </w:rPr>
        <w:t>ً</w:t>
      </w:r>
      <w:r w:rsidRPr="007D7079">
        <w:rPr>
          <w:rFonts w:hint="cs"/>
          <w:rtl/>
        </w:rPr>
        <w:t xml:space="preserve"> لا يعني أن المؤس</w:t>
      </w:r>
      <w:r>
        <w:rPr>
          <w:rFonts w:hint="cs"/>
          <w:rtl/>
        </w:rPr>
        <w:t>ّ</w:t>
      </w:r>
      <w:r w:rsidRPr="007D7079">
        <w:rPr>
          <w:rFonts w:hint="cs"/>
          <w:rtl/>
        </w:rPr>
        <w:t xml:space="preserve">سة البيتية والعمل المنزلي ليسا </w:t>
      </w:r>
      <w:r>
        <w:rPr>
          <w:rFonts w:hint="cs"/>
          <w:rtl/>
        </w:rPr>
        <w:t>أمرين خطيرين،</w:t>
      </w:r>
      <w:r w:rsidRPr="007D7079">
        <w:rPr>
          <w:rFonts w:hint="cs"/>
          <w:rtl/>
        </w:rPr>
        <w:t xml:space="preserve"> و</w:t>
      </w:r>
      <w:r>
        <w:rPr>
          <w:rFonts w:hint="cs"/>
          <w:rtl/>
        </w:rPr>
        <w:t>إذا</w:t>
      </w:r>
      <w:r w:rsidRPr="007D7079">
        <w:rPr>
          <w:rFonts w:hint="cs"/>
          <w:rtl/>
        </w:rPr>
        <w:t xml:space="preserve"> لم نتمك</w:t>
      </w:r>
      <w:r>
        <w:rPr>
          <w:rFonts w:hint="cs"/>
          <w:rtl/>
        </w:rPr>
        <w:t>ّ</w:t>
      </w:r>
      <w:r w:rsidRPr="007D7079">
        <w:rPr>
          <w:rFonts w:hint="cs"/>
          <w:rtl/>
        </w:rPr>
        <w:t xml:space="preserve">ن من التمييز بين </w:t>
      </w:r>
      <w:r>
        <w:rPr>
          <w:rFonts w:hint="cs"/>
          <w:rtl/>
        </w:rPr>
        <w:t xml:space="preserve">أساس </w:t>
      </w:r>
      <w:r w:rsidRPr="007D7079">
        <w:rPr>
          <w:rFonts w:hint="cs"/>
          <w:rtl/>
        </w:rPr>
        <w:t>مخالفة</w:t>
      </w:r>
      <w:r>
        <w:rPr>
          <w:rFonts w:hint="cs"/>
          <w:rtl/>
        </w:rPr>
        <w:t xml:space="preserve"> ربّة المنزل</w:t>
      </w:r>
      <w:r w:rsidRPr="007D7079">
        <w:rPr>
          <w:rFonts w:hint="cs"/>
          <w:rtl/>
        </w:rPr>
        <w:t xml:space="preserve"> وبين قيامها بمواجهة المؤس</w:t>
      </w:r>
      <w:r>
        <w:rPr>
          <w:rFonts w:hint="cs"/>
          <w:rtl/>
        </w:rPr>
        <w:t>ّ</w:t>
      </w:r>
      <w:r w:rsidRPr="007D7079">
        <w:rPr>
          <w:rFonts w:hint="cs"/>
          <w:rtl/>
        </w:rPr>
        <w:t>سة التي تظلمها</w:t>
      </w:r>
      <w:r>
        <w:rPr>
          <w:rFonts w:hint="cs"/>
          <w:rtl/>
        </w:rPr>
        <w:t>،</w:t>
      </w:r>
      <w:r w:rsidRPr="007D7079">
        <w:rPr>
          <w:rFonts w:hint="cs"/>
          <w:rtl/>
        </w:rPr>
        <w:t xml:space="preserve"> فهذا يعني </w:t>
      </w:r>
      <w:r>
        <w:rPr>
          <w:rFonts w:hint="cs"/>
          <w:rtl/>
        </w:rPr>
        <w:t>أننا أ</w:t>
      </w:r>
      <w:r w:rsidRPr="007D7079">
        <w:rPr>
          <w:rFonts w:hint="cs"/>
          <w:rtl/>
        </w:rPr>
        <w:t>خذنا بالمظهر الدفاعي الذي تتلب</w:t>
      </w:r>
      <w:r>
        <w:rPr>
          <w:rFonts w:hint="cs"/>
          <w:rtl/>
        </w:rPr>
        <w:t>ّ</w:t>
      </w:r>
      <w:r w:rsidRPr="007D7079">
        <w:rPr>
          <w:rFonts w:hint="cs"/>
          <w:rtl/>
        </w:rPr>
        <w:t>س به المؤس</w:t>
      </w:r>
      <w:r>
        <w:rPr>
          <w:rFonts w:hint="cs"/>
          <w:rtl/>
        </w:rPr>
        <w:t>ّسة الظالمة،</w:t>
      </w:r>
      <w:r w:rsidRPr="007D7079">
        <w:rPr>
          <w:rFonts w:hint="cs"/>
          <w:rtl/>
        </w:rPr>
        <w:t xml:space="preserve"> </w:t>
      </w:r>
      <w:r>
        <w:rPr>
          <w:rFonts w:hint="cs"/>
          <w:rtl/>
        </w:rPr>
        <w:t>فربّة</w:t>
      </w:r>
      <w:r w:rsidRPr="007D7079">
        <w:rPr>
          <w:rFonts w:hint="cs"/>
          <w:rtl/>
        </w:rPr>
        <w:t xml:space="preserve"> </w:t>
      </w:r>
      <w:r>
        <w:rPr>
          <w:rFonts w:hint="cs"/>
          <w:rtl/>
        </w:rPr>
        <w:t>ال</w:t>
      </w:r>
      <w:r w:rsidRPr="007D7079">
        <w:rPr>
          <w:rFonts w:hint="cs"/>
          <w:rtl/>
        </w:rPr>
        <w:t>بيت ليست منفعلة</w:t>
      </w:r>
      <w:r>
        <w:rPr>
          <w:rFonts w:hint="cs"/>
          <w:rtl/>
        </w:rPr>
        <w:t>ً،</w:t>
      </w:r>
      <w:r w:rsidRPr="007D7079">
        <w:rPr>
          <w:rFonts w:hint="cs"/>
          <w:rtl/>
        </w:rPr>
        <w:t xml:space="preserve"> </w:t>
      </w:r>
      <w:r>
        <w:rPr>
          <w:rFonts w:hint="cs"/>
          <w:rtl/>
        </w:rPr>
        <w:t xml:space="preserve">دون أن يعني </w:t>
      </w:r>
      <w:r w:rsidRPr="007D7079">
        <w:rPr>
          <w:rFonts w:hint="cs"/>
          <w:rtl/>
        </w:rPr>
        <w:t>ذلك براءة المؤس</w:t>
      </w:r>
      <w:r>
        <w:rPr>
          <w:rFonts w:hint="cs"/>
          <w:rtl/>
        </w:rPr>
        <w:t>ّ</w:t>
      </w:r>
      <w:r w:rsidRPr="007D7079">
        <w:rPr>
          <w:rFonts w:hint="cs"/>
          <w:rtl/>
        </w:rPr>
        <w:t>سة البيتية.</w:t>
      </w:r>
    </w:p>
    <w:p w:rsidR="006E0FDB" w:rsidRPr="007D7079" w:rsidRDefault="006E0FDB" w:rsidP="009368DE">
      <w:pPr>
        <w:pStyle w:val="afffffc"/>
        <w:rPr>
          <w:rtl/>
        </w:rPr>
      </w:pPr>
    </w:p>
    <w:p w:rsidR="006E0FDB" w:rsidRPr="00D457EB" w:rsidRDefault="006E0FDB" w:rsidP="0008530B">
      <w:pPr>
        <w:pStyle w:val="1"/>
        <w:rPr>
          <w:rtl/>
        </w:rPr>
      </w:pPr>
      <w:bookmarkStart w:id="564" w:name="_Toc169521472"/>
      <w:bookmarkStart w:id="565" w:name="_Toc275128242"/>
      <w:r w:rsidRPr="00D457EB">
        <w:rPr>
          <w:rFonts w:hint="cs"/>
          <w:rtl/>
        </w:rPr>
        <w:t>هل عصور ما قبل التاريخ تمثل مرجعاً يُح</w:t>
      </w:r>
      <w:r w:rsidR="0008530B">
        <w:rPr>
          <w:rFonts w:hint="cs"/>
          <w:rtl/>
        </w:rPr>
        <w:t>ت</w:t>
      </w:r>
      <w:r w:rsidRPr="00D457EB">
        <w:rPr>
          <w:rFonts w:hint="cs"/>
          <w:rtl/>
        </w:rPr>
        <w:t>كم إليه؟</w:t>
      </w:r>
      <w:bookmarkEnd w:id="564"/>
      <w:bookmarkEnd w:id="565"/>
    </w:p>
    <w:p w:rsidR="006E0FDB" w:rsidRDefault="006E0FDB" w:rsidP="006E0FDB">
      <w:pPr>
        <w:pStyle w:val="ac"/>
        <w:rPr>
          <w:rtl/>
        </w:rPr>
      </w:pPr>
      <w:r w:rsidRPr="007D7079">
        <w:rPr>
          <w:rFonts w:hint="cs"/>
          <w:rtl/>
        </w:rPr>
        <w:t>تقترح د. مطيع القي</w:t>
      </w:r>
      <w:r>
        <w:rPr>
          <w:rFonts w:hint="cs"/>
          <w:rtl/>
        </w:rPr>
        <w:t>ا</w:t>
      </w:r>
      <w:r w:rsidRPr="007D7079">
        <w:rPr>
          <w:rFonts w:hint="cs"/>
          <w:rtl/>
        </w:rPr>
        <w:t>م بمراجعة لعلاقة الرجل بالمرأة في عصور ما قبل التاريخ</w:t>
      </w:r>
      <w:r>
        <w:rPr>
          <w:rFonts w:hint="cs"/>
          <w:rtl/>
        </w:rPr>
        <w:t>؛</w:t>
      </w:r>
      <w:r w:rsidRPr="007D7079">
        <w:rPr>
          <w:rFonts w:hint="cs"/>
          <w:rtl/>
        </w:rPr>
        <w:t xml:space="preserve"> </w:t>
      </w:r>
      <w:r>
        <w:rPr>
          <w:rFonts w:hint="cs"/>
          <w:rtl/>
        </w:rPr>
        <w:t xml:space="preserve">بغية </w:t>
      </w:r>
      <w:r w:rsidRPr="007D7079">
        <w:rPr>
          <w:rFonts w:hint="cs"/>
          <w:rtl/>
        </w:rPr>
        <w:t>الوصول</w:t>
      </w:r>
      <w:r>
        <w:rPr>
          <w:rFonts w:hint="cs"/>
          <w:rtl/>
        </w:rPr>
        <w:t xml:space="preserve"> إلى فهم</w:t>
      </w:r>
      <w:r w:rsidRPr="007D7079">
        <w:rPr>
          <w:rFonts w:hint="cs"/>
          <w:rtl/>
        </w:rPr>
        <w:t xml:space="preserve"> صحيح </w:t>
      </w:r>
      <w:r>
        <w:rPr>
          <w:rFonts w:hint="cs"/>
          <w:rtl/>
        </w:rPr>
        <w:t>ل</w:t>
      </w:r>
      <w:r w:rsidRPr="007D7079">
        <w:rPr>
          <w:rFonts w:hint="cs"/>
          <w:rtl/>
        </w:rPr>
        <w:t>لعمل المنزلي للمرأة، و</w:t>
      </w:r>
      <w:r>
        <w:rPr>
          <w:rFonts w:hint="cs"/>
          <w:rtl/>
        </w:rPr>
        <w:t>القيام</w:t>
      </w:r>
      <w:r w:rsidRPr="007D7079">
        <w:rPr>
          <w:rFonts w:hint="cs"/>
          <w:rtl/>
        </w:rPr>
        <w:t xml:space="preserve"> </w:t>
      </w:r>
      <w:r>
        <w:rPr>
          <w:rFonts w:hint="cs"/>
          <w:rtl/>
        </w:rPr>
        <w:t xml:space="preserve">ـ </w:t>
      </w:r>
      <w:r w:rsidRPr="007D7079">
        <w:rPr>
          <w:rFonts w:hint="cs"/>
          <w:rtl/>
        </w:rPr>
        <w:t>بدل مهاجمة المؤس</w:t>
      </w:r>
      <w:r>
        <w:rPr>
          <w:rFonts w:hint="cs"/>
          <w:rtl/>
        </w:rPr>
        <w:t>ّ</w:t>
      </w:r>
      <w:r w:rsidRPr="007D7079">
        <w:rPr>
          <w:rFonts w:hint="cs"/>
          <w:rtl/>
        </w:rPr>
        <w:t xml:space="preserve">سة البيتية </w:t>
      </w:r>
      <w:r>
        <w:rPr>
          <w:rFonts w:hint="cs"/>
          <w:rtl/>
        </w:rPr>
        <w:t xml:space="preserve">ـ بقراءة </w:t>
      </w:r>
      <w:r w:rsidRPr="007D7079">
        <w:rPr>
          <w:rFonts w:hint="cs"/>
          <w:rtl/>
        </w:rPr>
        <w:t>عمل كل</w:t>
      </w:r>
      <w:r>
        <w:rPr>
          <w:rFonts w:hint="cs"/>
          <w:rtl/>
        </w:rPr>
        <w:t>ّ</w:t>
      </w:r>
      <w:r w:rsidRPr="007D7079">
        <w:rPr>
          <w:rFonts w:hint="cs"/>
          <w:rtl/>
        </w:rPr>
        <w:t xml:space="preserve"> من الرجل والمرأة </w:t>
      </w:r>
      <w:r>
        <w:rPr>
          <w:rFonts w:hint="cs"/>
          <w:rtl/>
        </w:rPr>
        <w:t>بوصفهما مكمّلين لبعضهما.</w:t>
      </w:r>
    </w:p>
    <w:p w:rsidR="006E0FDB" w:rsidRDefault="006E0FDB" w:rsidP="006E0FDB">
      <w:pPr>
        <w:pStyle w:val="ac"/>
        <w:rPr>
          <w:rtl/>
        </w:rPr>
      </w:pPr>
      <w:r w:rsidRPr="007D7079">
        <w:rPr>
          <w:rFonts w:hint="cs"/>
          <w:rtl/>
        </w:rPr>
        <w:t>ترى د. مطيع أن</w:t>
      </w:r>
      <w:r>
        <w:rPr>
          <w:rFonts w:hint="cs"/>
          <w:rtl/>
        </w:rPr>
        <w:t>ّ السبب الرئيس</w:t>
      </w:r>
      <w:r w:rsidRPr="007D7079">
        <w:rPr>
          <w:rFonts w:hint="cs"/>
          <w:rtl/>
        </w:rPr>
        <w:t xml:space="preserve"> </w:t>
      </w:r>
      <w:r>
        <w:rPr>
          <w:rFonts w:hint="cs"/>
          <w:rtl/>
        </w:rPr>
        <w:t>ل</w:t>
      </w:r>
      <w:r w:rsidRPr="007D7079">
        <w:rPr>
          <w:rFonts w:hint="cs"/>
          <w:rtl/>
        </w:rPr>
        <w:t>تساو</w:t>
      </w:r>
      <w:r>
        <w:rPr>
          <w:rFonts w:hint="cs"/>
          <w:rtl/>
        </w:rPr>
        <w:t>ي</w:t>
      </w:r>
      <w:r w:rsidRPr="007D7079">
        <w:rPr>
          <w:rFonts w:hint="cs"/>
          <w:rtl/>
        </w:rPr>
        <w:t xml:space="preserve"> الجنسين في عصور ما قبل التاريخ يعود</w:t>
      </w:r>
      <w:r>
        <w:rPr>
          <w:rFonts w:hint="cs"/>
          <w:rtl/>
        </w:rPr>
        <w:t xml:space="preserve"> إلى </w:t>
      </w:r>
      <w:r w:rsidRPr="007D7079">
        <w:rPr>
          <w:rFonts w:hint="cs"/>
          <w:rtl/>
        </w:rPr>
        <w:t xml:space="preserve">الأهمية الكبرى التي كانت للدور العاطفي للمرأة </w:t>
      </w:r>
      <w:r>
        <w:rPr>
          <w:rFonts w:hint="cs"/>
          <w:rtl/>
        </w:rPr>
        <w:t>/ الأمومة،</w:t>
      </w:r>
      <w:r w:rsidRPr="007D7079">
        <w:rPr>
          <w:rFonts w:hint="cs"/>
          <w:rtl/>
        </w:rPr>
        <w:t xml:space="preserve"> وال</w:t>
      </w:r>
      <w:r>
        <w:rPr>
          <w:rFonts w:hint="cs"/>
          <w:rtl/>
        </w:rPr>
        <w:t>ذي كان يوازي</w:t>
      </w:r>
      <w:r w:rsidRPr="007D7079">
        <w:rPr>
          <w:rFonts w:hint="cs"/>
          <w:rtl/>
        </w:rPr>
        <w:t xml:space="preserve"> عم</w:t>
      </w:r>
      <w:r>
        <w:rPr>
          <w:rFonts w:hint="cs"/>
          <w:rtl/>
        </w:rPr>
        <w:t>ل الرجل في الصيد</w:t>
      </w:r>
      <w:r w:rsidRPr="007D7079">
        <w:rPr>
          <w:rFonts w:hint="cs"/>
          <w:rtl/>
        </w:rPr>
        <w:t>،</w:t>
      </w:r>
      <w:r>
        <w:rPr>
          <w:rFonts w:hint="cs"/>
          <w:rtl/>
        </w:rPr>
        <w:t xml:space="preserve"> وهو ما اختلفت الحال فيه </w:t>
      </w:r>
      <w:r w:rsidRPr="007D7079">
        <w:rPr>
          <w:rFonts w:hint="cs"/>
          <w:rtl/>
        </w:rPr>
        <w:t>عصر</w:t>
      </w:r>
      <w:r>
        <w:rPr>
          <w:rFonts w:hint="cs"/>
          <w:rtl/>
        </w:rPr>
        <w:t>َ</w:t>
      </w:r>
      <w:r w:rsidRPr="007D7079">
        <w:rPr>
          <w:rFonts w:hint="cs"/>
          <w:rtl/>
        </w:rPr>
        <w:t xml:space="preserve"> سيادة الرجل</w:t>
      </w:r>
      <w:r>
        <w:rPr>
          <w:rFonts w:hint="cs"/>
          <w:rtl/>
        </w:rPr>
        <w:t>،</w:t>
      </w:r>
      <w:r w:rsidRPr="007D7079">
        <w:rPr>
          <w:rFonts w:hint="cs"/>
          <w:rtl/>
        </w:rPr>
        <w:t xml:space="preserve"> إذ أصبحت قدرة</w:t>
      </w:r>
      <w:r>
        <w:rPr>
          <w:rFonts w:hint="cs"/>
          <w:rtl/>
        </w:rPr>
        <w:t xml:space="preserve"> المرأة </w:t>
      </w:r>
      <w:r w:rsidRPr="007D7079">
        <w:rPr>
          <w:rFonts w:hint="cs"/>
          <w:rtl/>
        </w:rPr>
        <w:t>على الحمل والولادة عاملا</w:t>
      </w:r>
      <w:r>
        <w:rPr>
          <w:rFonts w:hint="cs"/>
          <w:rtl/>
        </w:rPr>
        <w:t>ً</w:t>
      </w:r>
      <w:r w:rsidRPr="007D7079">
        <w:rPr>
          <w:rFonts w:hint="cs"/>
          <w:rtl/>
        </w:rPr>
        <w:t xml:space="preserve"> لتسل</w:t>
      </w:r>
      <w:r>
        <w:rPr>
          <w:rFonts w:hint="cs"/>
          <w:rtl/>
        </w:rPr>
        <w:t>ّ</w:t>
      </w:r>
      <w:r w:rsidRPr="007D7079">
        <w:rPr>
          <w:rFonts w:hint="cs"/>
          <w:rtl/>
        </w:rPr>
        <w:t>ط الرجل عل</w:t>
      </w:r>
      <w:r>
        <w:rPr>
          <w:rFonts w:hint="cs"/>
          <w:rtl/>
        </w:rPr>
        <w:t xml:space="preserve">يها؛ </w:t>
      </w:r>
      <w:r w:rsidRPr="007D7079">
        <w:rPr>
          <w:rFonts w:hint="cs"/>
          <w:rtl/>
        </w:rPr>
        <w:t>لذا كان ينظر إليها على أن</w:t>
      </w:r>
      <w:r>
        <w:rPr>
          <w:rFonts w:hint="cs"/>
          <w:rtl/>
        </w:rPr>
        <w:t xml:space="preserve">ّها </w:t>
      </w:r>
      <w:r>
        <w:rPr>
          <w:rFonts w:hint="cs"/>
          <w:rtl/>
        </w:rPr>
        <w:lastRenderedPageBreak/>
        <w:t>ضعيفة حقيرة من الدرجة الثانية،</w:t>
      </w:r>
      <w:r w:rsidRPr="007D7079">
        <w:rPr>
          <w:rFonts w:hint="cs"/>
          <w:rtl/>
        </w:rPr>
        <w:t xml:space="preserve"> إن</w:t>
      </w:r>
      <w:r>
        <w:rPr>
          <w:rFonts w:hint="cs"/>
          <w:rtl/>
        </w:rPr>
        <w:t>ّ</w:t>
      </w:r>
      <w:r w:rsidRPr="007D7079">
        <w:rPr>
          <w:rFonts w:hint="cs"/>
          <w:rtl/>
        </w:rPr>
        <w:t xml:space="preserve"> الدراسات الموجودة حول حياة أهالي (</w:t>
      </w:r>
      <w:r w:rsidRPr="007D7079">
        <w:t>Kung</w:t>
      </w:r>
      <w:r w:rsidRPr="007D7079">
        <w:rPr>
          <w:rFonts w:hint="cs"/>
          <w:rtl/>
        </w:rPr>
        <w:t>) في الصحراء الأفريقية والذين يتشابه نمط حياتهم كثيرا</w:t>
      </w:r>
      <w:r>
        <w:rPr>
          <w:rFonts w:hint="cs"/>
          <w:rtl/>
        </w:rPr>
        <w:t>ً</w:t>
      </w:r>
      <w:r w:rsidRPr="007D7079">
        <w:rPr>
          <w:rFonts w:hint="cs"/>
          <w:rtl/>
        </w:rPr>
        <w:t xml:space="preserve"> مع حياة قدامى الصيادين (</w:t>
      </w:r>
      <w:r w:rsidRPr="007D7079">
        <w:t>Hunter-and - Gatherer</w:t>
      </w:r>
      <w:r>
        <w:rPr>
          <w:rFonts w:hint="cs"/>
          <w:rtl/>
        </w:rPr>
        <w:t>) تُظهر أ</w:t>
      </w:r>
      <w:r w:rsidRPr="007D7079">
        <w:rPr>
          <w:rFonts w:hint="cs"/>
          <w:rtl/>
        </w:rPr>
        <w:t>ن</w:t>
      </w:r>
      <w:r>
        <w:rPr>
          <w:rFonts w:hint="cs"/>
          <w:rtl/>
        </w:rPr>
        <w:t>ّ</w:t>
      </w:r>
      <w:r w:rsidRPr="007D7079">
        <w:rPr>
          <w:rFonts w:hint="cs"/>
          <w:rtl/>
        </w:rPr>
        <w:t>ه و</w:t>
      </w:r>
      <w:r>
        <w:rPr>
          <w:rFonts w:hint="cs"/>
          <w:rtl/>
        </w:rPr>
        <w:t>إ</w:t>
      </w:r>
      <w:r w:rsidRPr="007D7079">
        <w:rPr>
          <w:rFonts w:hint="cs"/>
          <w:rtl/>
        </w:rPr>
        <w:t>ن كان هناك تقسيم</w:t>
      </w:r>
      <w:r>
        <w:rPr>
          <w:rFonts w:hint="cs"/>
          <w:rtl/>
        </w:rPr>
        <w:t>ٌ</w:t>
      </w:r>
      <w:r w:rsidRPr="007D7079">
        <w:rPr>
          <w:rFonts w:hint="cs"/>
          <w:rtl/>
        </w:rPr>
        <w:t xml:space="preserve"> للعمل </w:t>
      </w:r>
      <w:r>
        <w:rPr>
          <w:rFonts w:hint="cs"/>
          <w:rtl/>
        </w:rPr>
        <w:t xml:space="preserve">على أساس الجنس، </w:t>
      </w:r>
      <w:r w:rsidRPr="007D7079">
        <w:rPr>
          <w:rFonts w:hint="cs"/>
          <w:rtl/>
        </w:rPr>
        <w:t>لكن</w:t>
      </w:r>
      <w:r>
        <w:rPr>
          <w:rFonts w:hint="cs"/>
          <w:rtl/>
        </w:rPr>
        <w:t>ّ</w:t>
      </w:r>
      <w:r w:rsidRPr="007D7079">
        <w:rPr>
          <w:rFonts w:hint="cs"/>
          <w:rtl/>
        </w:rPr>
        <w:t xml:space="preserve"> هذه الأعمال المقسّمة مرنة</w:t>
      </w:r>
      <w:r>
        <w:rPr>
          <w:rFonts w:hint="cs"/>
          <w:rtl/>
        </w:rPr>
        <w:t>ٌ</w:t>
      </w:r>
      <w:r w:rsidRPr="007D7079">
        <w:rPr>
          <w:rFonts w:hint="cs"/>
          <w:rtl/>
        </w:rPr>
        <w:t xml:space="preserve"> جدا</w:t>
      </w:r>
      <w:r>
        <w:rPr>
          <w:rFonts w:hint="cs"/>
          <w:rtl/>
        </w:rPr>
        <w:t>ً؛</w:t>
      </w:r>
      <w:r w:rsidRPr="007D7079">
        <w:rPr>
          <w:rFonts w:hint="cs"/>
          <w:rtl/>
        </w:rPr>
        <w:t xml:space="preserve"> فكثيرا</w:t>
      </w:r>
      <w:r>
        <w:rPr>
          <w:rFonts w:hint="cs"/>
          <w:rtl/>
        </w:rPr>
        <w:t>ً</w:t>
      </w:r>
      <w:r w:rsidRPr="007D7079">
        <w:rPr>
          <w:rFonts w:hint="cs"/>
          <w:rtl/>
        </w:rPr>
        <w:t xml:space="preserve"> ما يتول</w:t>
      </w:r>
      <w:r>
        <w:rPr>
          <w:rFonts w:hint="cs"/>
          <w:rtl/>
        </w:rPr>
        <w:t>ّ</w:t>
      </w:r>
      <w:r w:rsidRPr="007D7079">
        <w:rPr>
          <w:rFonts w:hint="cs"/>
          <w:rtl/>
        </w:rPr>
        <w:t>ى الرجال القيام بالأعمال الموكلة للنساء، وكثيرا</w:t>
      </w:r>
      <w:r>
        <w:rPr>
          <w:rFonts w:hint="cs"/>
          <w:rtl/>
        </w:rPr>
        <w:t>ً</w:t>
      </w:r>
      <w:r w:rsidRPr="007D7079">
        <w:rPr>
          <w:rFonts w:hint="cs"/>
          <w:rtl/>
        </w:rPr>
        <w:t xml:space="preserve"> ما تقوم النساء بتول</w:t>
      </w:r>
      <w:r>
        <w:rPr>
          <w:rFonts w:hint="cs"/>
          <w:rtl/>
        </w:rPr>
        <w:t>ّ</w:t>
      </w:r>
      <w:r w:rsidRPr="007D7079">
        <w:rPr>
          <w:rFonts w:hint="cs"/>
          <w:rtl/>
        </w:rPr>
        <w:t xml:space="preserve">ي أعمال </w:t>
      </w:r>
      <w:r>
        <w:rPr>
          <w:rFonts w:hint="cs"/>
          <w:rtl/>
        </w:rPr>
        <w:t>ا</w:t>
      </w:r>
      <w:r w:rsidRPr="007D7079">
        <w:rPr>
          <w:rFonts w:hint="cs"/>
          <w:rtl/>
        </w:rPr>
        <w:t>لرجال، فتارة</w:t>
      </w:r>
      <w:r>
        <w:rPr>
          <w:rFonts w:hint="cs"/>
          <w:rtl/>
        </w:rPr>
        <w:t>ً</w:t>
      </w:r>
      <w:r w:rsidRPr="007D7079">
        <w:rPr>
          <w:rFonts w:hint="cs"/>
          <w:rtl/>
        </w:rPr>
        <w:t xml:space="preserve"> يقوم الرجل بتهيئة الطعام</w:t>
      </w:r>
      <w:r>
        <w:rPr>
          <w:rFonts w:hint="cs"/>
          <w:rtl/>
        </w:rPr>
        <w:t>،</w:t>
      </w:r>
      <w:r w:rsidRPr="007D7079">
        <w:rPr>
          <w:rFonts w:hint="cs"/>
          <w:rtl/>
        </w:rPr>
        <w:t xml:space="preserve"> و</w:t>
      </w:r>
      <w:r>
        <w:rPr>
          <w:rFonts w:hint="cs"/>
          <w:rtl/>
        </w:rPr>
        <w:t xml:space="preserve">أخرى </w:t>
      </w:r>
      <w:r w:rsidRPr="007D7079">
        <w:rPr>
          <w:rFonts w:hint="cs"/>
          <w:rtl/>
        </w:rPr>
        <w:t>ت</w:t>
      </w:r>
      <w:r>
        <w:rPr>
          <w:rFonts w:hint="cs"/>
          <w:rtl/>
        </w:rPr>
        <w:t>صطاد المرأة</w:t>
      </w:r>
      <w:r w:rsidRPr="007D7079">
        <w:rPr>
          <w:rFonts w:hint="cs"/>
          <w:rtl/>
        </w:rPr>
        <w:t xml:space="preserve"> (</w:t>
      </w:r>
      <w:r w:rsidRPr="007D7079">
        <w:t>Draper and Cashdan</w:t>
      </w:r>
      <w:r>
        <w:rPr>
          <w:rFonts w:hint="cs"/>
          <w:rtl/>
        </w:rPr>
        <w:t>)،</w:t>
      </w:r>
      <w:r w:rsidRPr="007D7079">
        <w:rPr>
          <w:rFonts w:hint="cs"/>
          <w:rtl/>
        </w:rPr>
        <w:t xml:space="preserve"> كما أن</w:t>
      </w:r>
      <w:r>
        <w:rPr>
          <w:rFonts w:hint="cs"/>
          <w:rtl/>
        </w:rPr>
        <w:t>ّ</w:t>
      </w:r>
      <w:r w:rsidRPr="007D7079">
        <w:rPr>
          <w:rFonts w:hint="cs"/>
          <w:rtl/>
        </w:rPr>
        <w:t xml:space="preserve"> الدراسات التي بحثت في حياة أقوام</w:t>
      </w:r>
      <w:r>
        <w:rPr>
          <w:rFonts w:hint="cs"/>
          <w:rtl/>
        </w:rPr>
        <w:t>ٍ</w:t>
      </w:r>
      <w:r w:rsidRPr="007D7079">
        <w:rPr>
          <w:rFonts w:hint="cs"/>
          <w:rtl/>
        </w:rPr>
        <w:t xml:space="preserve"> آخرين تتشابه حياتهم مع حياة أهالي</w:t>
      </w:r>
      <w:r>
        <w:rPr>
          <w:rFonts w:hint="cs"/>
          <w:rtl/>
        </w:rPr>
        <w:t xml:space="preserve"> </w:t>
      </w:r>
      <w:r w:rsidRPr="007D7079">
        <w:rPr>
          <w:rFonts w:hint="cs"/>
          <w:rtl/>
        </w:rPr>
        <w:t>(</w:t>
      </w:r>
      <w:r w:rsidRPr="007D7079">
        <w:t>Kung</w:t>
      </w:r>
      <w:r w:rsidRPr="007D7079">
        <w:rPr>
          <w:rFonts w:hint="cs"/>
          <w:rtl/>
        </w:rPr>
        <w:t>)</w:t>
      </w:r>
      <w:r>
        <w:rPr>
          <w:rFonts w:hint="cs"/>
          <w:rtl/>
        </w:rPr>
        <w:t>،</w:t>
      </w:r>
      <w:r w:rsidRPr="007D7079">
        <w:rPr>
          <w:rFonts w:hint="cs"/>
          <w:rtl/>
        </w:rPr>
        <w:t xml:space="preserve"> تُظهر أن</w:t>
      </w:r>
      <w:r>
        <w:rPr>
          <w:rFonts w:hint="cs"/>
          <w:rtl/>
        </w:rPr>
        <w:t>ّ</w:t>
      </w:r>
      <w:r w:rsidRPr="007D7079">
        <w:rPr>
          <w:rFonts w:hint="cs"/>
          <w:rtl/>
        </w:rPr>
        <w:t xml:space="preserve"> عمل الصيد و</w:t>
      </w:r>
      <w:r>
        <w:rPr>
          <w:rFonts w:hint="cs"/>
          <w:rtl/>
        </w:rPr>
        <w:t>إ</w:t>
      </w:r>
      <w:r w:rsidRPr="007D7079">
        <w:rPr>
          <w:rFonts w:hint="cs"/>
          <w:rtl/>
        </w:rPr>
        <w:t>ن ق</w:t>
      </w:r>
      <w:r>
        <w:rPr>
          <w:rFonts w:hint="cs"/>
          <w:rtl/>
        </w:rPr>
        <w:t>ا</w:t>
      </w:r>
      <w:r w:rsidRPr="007D7079">
        <w:rPr>
          <w:rFonts w:hint="cs"/>
          <w:rtl/>
        </w:rPr>
        <w:t>م به أحد الجنسين غالبا</w:t>
      </w:r>
      <w:r>
        <w:rPr>
          <w:rFonts w:hint="cs"/>
          <w:rtl/>
        </w:rPr>
        <w:t>ً</w:t>
      </w:r>
      <w:r w:rsidRPr="007D7079">
        <w:rPr>
          <w:rFonts w:hint="cs"/>
          <w:rtl/>
        </w:rPr>
        <w:t xml:space="preserve"> كما يقوم الجنس الآخر </w:t>
      </w:r>
      <w:r>
        <w:rPr>
          <w:rFonts w:hint="cs"/>
          <w:rtl/>
        </w:rPr>
        <w:t>كذلك</w:t>
      </w:r>
      <w:r w:rsidRPr="007D7079">
        <w:rPr>
          <w:rFonts w:hint="cs"/>
          <w:rtl/>
        </w:rPr>
        <w:t xml:space="preserve"> ب</w:t>
      </w:r>
      <w:r>
        <w:rPr>
          <w:rFonts w:hint="cs"/>
          <w:rtl/>
        </w:rPr>
        <w:t>تحضير</w:t>
      </w:r>
      <w:r w:rsidRPr="007D7079">
        <w:rPr>
          <w:rFonts w:hint="cs"/>
          <w:rtl/>
        </w:rPr>
        <w:t xml:space="preserve"> الطعام، لكن لا مسؤولية خاص</w:t>
      </w:r>
      <w:r>
        <w:rPr>
          <w:rFonts w:hint="cs"/>
          <w:rtl/>
        </w:rPr>
        <w:t>ّ</w:t>
      </w:r>
      <w:r w:rsidRPr="007D7079">
        <w:rPr>
          <w:rFonts w:hint="cs"/>
          <w:rtl/>
        </w:rPr>
        <w:t>ة بأحد</w:t>
      </w:r>
      <w:r>
        <w:rPr>
          <w:rFonts w:hint="cs"/>
          <w:rtl/>
        </w:rPr>
        <w:t>هما.</w:t>
      </w:r>
    </w:p>
    <w:p w:rsidR="006E0FDB" w:rsidRPr="007D7079" w:rsidRDefault="006E0FDB" w:rsidP="009368DE">
      <w:pPr>
        <w:pStyle w:val="ac"/>
        <w:spacing w:line="209" w:lineRule="auto"/>
        <w:rPr>
          <w:rtl/>
        </w:rPr>
      </w:pPr>
      <w:r w:rsidRPr="007D7079">
        <w:rPr>
          <w:rFonts w:hint="cs"/>
          <w:rtl/>
        </w:rPr>
        <w:t>ومع هذا كل</w:t>
      </w:r>
      <w:r>
        <w:rPr>
          <w:rFonts w:hint="cs"/>
          <w:rtl/>
        </w:rPr>
        <w:t>ّ</w:t>
      </w:r>
      <w:r w:rsidRPr="007D7079">
        <w:rPr>
          <w:rFonts w:hint="cs"/>
          <w:rtl/>
        </w:rPr>
        <w:t>ه</w:t>
      </w:r>
      <w:r>
        <w:rPr>
          <w:rFonts w:hint="cs"/>
          <w:rtl/>
        </w:rPr>
        <w:t>،</w:t>
      </w:r>
      <w:r w:rsidRPr="007D7079">
        <w:rPr>
          <w:rFonts w:hint="cs"/>
          <w:rtl/>
        </w:rPr>
        <w:t xml:space="preserve"> فتداخل الأدوار هذا لم يكن بنفسه ض</w:t>
      </w:r>
      <w:r>
        <w:rPr>
          <w:rFonts w:hint="cs"/>
          <w:rtl/>
        </w:rPr>
        <w:t>ماناً</w:t>
      </w:r>
      <w:r w:rsidRPr="007D7079">
        <w:rPr>
          <w:rFonts w:hint="cs"/>
          <w:rtl/>
        </w:rPr>
        <w:t xml:space="preserve"> للتساوي بين الجنسين، وك</w:t>
      </w:r>
      <w:r>
        <w:rPr>
          <w:rFonts w:hint="cs"/>
          <w:rtl/>
        </w:rPr>
        <w:t>أ</w:t>
      </w:r>
      <w:r w:rsidRPr="007D7079">
        <w:rPr>
          <w:rFonts w:hint="cs"/>
          <w:rtl/>
        </w:rPr>
        <w:t>نموذج</w:t>
      </w:r>
      <w:r>
        <w:rPr>
          <w:rFonts w:hint="cs"/>
          <w:rtl/>
        </w:rPr>
        <w:t>ٍ</w:t>
      </w:r>
      <w:r w:rsidRPr="007D7079">
        <w:rPr>
          <w:rFonts w:hint="cs"/>
          <w:rtl/>
        </w:rPr>
        <w:t xml:space="preserve"> </w:t>
      </w:r>
      <w:r>
        <w:rPr>
          <w:rFonts w:hint="cs"/>
          <w:rtl/>
        </w:rPr>
        <w:t xml:space="preserve">على </w:t>
      </w:r>
      <w:r w:rsidRPr="007D7079">
        <w:rPr>
          <w:rFonts w:hint="cs"/>
          <w:rtl/>
        </w:rPr>
        <w:t>ذلك</w:t>
      </w:r>
      <w:r>
        <w:rPr>
          <w:rFonts w:hint="cs"/>
          <w:rtl/>
        </w:rPr>
        <w:t>،</w:t>
      </w:r>
      <w:r w:rsidRPr="007D7079">
        <w:rPr>
          <w:rFonts w:hint="cs"/>
          <w:rtl/>
        </w:rPr>
        <w:t xml:space="preserve"> ف</w:t>
      </w:r>
      <w:r>
        <w:rPr>
          <w:rFonts w:hint="cs"/>
          <w:rtl/>
        </w:rPr>
        <w:t>إ</w:t>
      </w:r>
      <w:r w:rsidRPr="007D7079">
        <w:rPr>
          <w:rFonts w:hint="cs"/>
          <w:rtl/>
        </w:rPr>
        <w:t>ن</w:t>
      </w:r>
      <w:r>
        <w:rPr>
          <w:rFonts w:hint="cs"/>
          <w:rtl/>
        </w:rPr>
        <w:t>ّ</w:t>
      </w:r>
      <w:r w:rsidRPr="007D7079">
        <w:rPr>
          <w:rFonts w:hint="cs"/>
          <w:rtl/>
        </w:rPr>
        <w:t xml:space="preserve"> كثيرا</w:t>
      </w:r>
      <w:r>
        <w:rPr>
          <w:rFonts w:hint="cs"/>
          <w:rtl/>
        </w:rPr>
        <w:t>ً</w:t>
      </w:r>
      <w:r w:rsidRPr="007D7079">
        <w:rPr>
          <w:rFonts w:hint="cs"/>
          <w:rtl/>
        </w:rPr>
        <w:t xml:space="preserve"> من السك</w:t>
      </w:r>
      <w:r>
        <w:rPr>
          <w:rFonts w:hint="cs"/>
          <w:rtl/>
        </w:rPr>
        <w:t>ّان الأصليين في أ</w:t>
      </w:r>
      <w:r w:rsidRPr="007D7079">
        <w:rPr>
          <w:rFonts w:hint="cs"/>
          <w:rtl/>
        </w:rPr>
        <w:t>ستراليا</w:t>
      </w:r>
      <w:r>
        <w:rPr>
          <w:rFonts w:hint="cs"/>
          <w:rtl/>
        </w:rPr>
        <w:t>،</w:t>
      </w:r>
      <w:r w:rsidRPr="007D7079">
        <w:rPr>
          <w:rFonts w:hint="cs"/>
          <w:rtl/>
        </w:rPr>
        <w:t xml:space="preserve"> والذين تتشابه حياتهم مع </w:t>
      </w:r>
      <w:r>
        <w:rPr>
          <w:rFonts w:hint="cs"/>
          <w:rtl/>
        </w:rPr>
        <w:t xml:space="preserve">حياة </w:t>
      </w:r>
      <w:r w:rsidRPr="007D7079">
        <w:rPr>
          <w:rFonts w:hint="cs"/>
          <w:rtl/>
        </w:rPr>
        <w:t>أهالي</w:t>
      </w:r>
      <w:r>
        <w:rPr>
          <w:rFonts w:hint="cs"/>
          <w:rtl/>
        </w:rPr>
        <w:t xml:space="preserve"> </w:t>
      </w:r>
      <w:r w:rsidR="00E33C4C" w:rsidRPr="00617008">
        <w:rPr>
          <w:rtl/>
        </w:rPr>
        <w:t>«</w:t>
      </w:r>
      <w:r w:rsidR="009368DE">
        <w:rPr>
          <w:rFonts w:ascii="Mosawi" w:hAnsi="Mosawi"/>
        </w:rPr>
        <w:t>«</w:t>
      </w:r>
      <w:r w:rsidRPr="007D7079">
        <w:t>Kung</w:t>
      </w:r>
      <w:r>
        <w:rPr>
          <w:rFonts w:hint="cs"/>
          <w:rtl/>
        </w:rPr>
        <w:t>،</w:t>
      </w:r>
      <w:r w:rsidRPr="007D7079">
        <w:rPr>
          <w:rFonts w:hint="cs"/>
          <w:rtl/>
        </w:rPr>
        <w:t xml:space="preserve"> بعيدون عن </w:t>
      </w:r>
      <w:r>
        <w:rPr>
          <w:rFonts w:hint="cs"/>
          <w:rtl/>
        </w:rPr>
        <w:t>المساواة في العلاقة بين الجنسين،</w:t>
      </w:r>
      <w:r w:rsidRPr="007D7079">
        <w:rPr>
          <w:rFonts w:hint="cs"/>
          <w:rtl/>
        </w:rPr>
        <w:t xml:space="preserve"> لقد أوصل البحث في هذه المجتمعات الباحث فريدل</w:t>
      </w:r>
      <w:r>
        <w:rPr>
          <w:rFonts w:hint="cs"/>
          <w:rtl/>
        </w:rPr>
        <w:t xml:space="preserve"> إلى أ</w:t>
      </w:r>
      <w:r w:rsidRPr="007D7079">
        <w:rPr>
          <w:rFonts w:hint="cs"/>
          <w:rtl/>
        </w:rPr>
        <w:t>ن</w:t>
      </w:r>
      <w:r>
        <w:rPr>
          <w:rFonts w:hint="cs"/>
          <w:rtl/>
        </w:rPr>
        <w:t>ّ</w:t>
      </w:r>
      <w:r w:rsidRPr="007D7079">
        <w:rPr>
          <w:rFonts w:hint="cs"/>
          <w:rtl/>
        </w:rPr>
        <w:t xml:space="preserve"> المجتمعات التي يقلّ ارتباطها بالصيد تتمت</w:t>
      </w:r>
      <w:r>
        <w:rPr>
          <w:rFonts w:hint="cs"/>
          <w:rtl/>
        </w:rPr>
        <w:t>ّ</w:t>
      </w:r>
      <w:r w:rsidRPr="007D7079">
        <w:rPr>
          <w:rFonts w:hint="cs"/>
          <w:rtl/>
        </w:rPr>
        <w:t xml:space="preserve">ع نساؤها بالمساواة بشكل </w:t>
      </w:r>
      <w:r>
        <w:rPr>
          <w:rFonts w:hint="cs"/>
          <w:rtl/>
        </w:rPr>
        <w:t>أ</w:t>
      </w:r>
      <w:r w:rsidRPr="007D7079">
        <w:rPr>
          <w:rFonts w:hint="cs"/>
          <w:rtl/>
        </w:rPr>
        <w:t>فضل</w:t>
      </w:r>
      <w:r>
        <w:rPr>
          <w:rFonts w:hint="cs"/>
          <w:rtl/>
        </w:rPr>
        <w:t>.</w:t>
      </w:r>
    </w:p>
    <w:p w:rsidR="006E0FDB" w:rsidRDefault="006E0FDB" w:rsidP="009368DE">
      <w:pPr>
        <w:pStyle w:val="ac"/>
        <w:spacing w:line="209" w:lineRule="auto"/>
        <w:rPr>
          <w:rtl/>
        </w:rPr>
      </w:pPr>
      <w:r>
        <w:rPr>
          <w:rFonts w:hint="cs"/>
          <w:rtl/>
        </w:rPr>
        <w:t>و</w:t>
      </w:r>
      <w:r w:rsidRPr="007D7079">
        <w:rPr>
          <w:rFonts w:hint="cs"/>
          <w:rtl/>
        </w:rPr>
        <w:t>حت</w:t>
      </w:r>
      <w:r>
        <w:rPr>
          <w:rFonts w:hint="cs"/>
          <w:rtl/>
        </w:rPr>
        <w:t>ّ</w:t>
      </w:r>
      <w:r w:rsidRPr="007D7079">
        <w:rPr>
          <w:rFonts w:hint="cs"/>
          <w:rtl/>
        </w:rPr>
        <w:t xml:space="preserve">ى لو </w:t>
      </w:r>
      <w:r>
        <w:rPr>
          <w:rFonts w:hint="cs"/>
          <w:rtl/>
        </w:rPr>
        <w:t>ت</w:t>
      </w:r>
      <w:r w:rsidRPr="007D7079">
        <w:rPr>
          <w:rFonts w:hint="cs"/>
          <w:rtl/>
        </w:rPr>
        <w:t>جاهل</w:t>
      </w:r>
      <w:r>
        <w:rPr>
          <w:rFonts w:hint="cs"/>
          <w:rtl/>
        </w:rPr>
        <w:t>نا</w:t>
      </w:r>
      <w:r w:rsidRPr="007D7079">
        <w:rPr>
          <w:rFonts w:hint="cs"/>
          <w:rtl/>
        </w:rPr>
        <w:t xml:space="preserve"> هذا التداخل في تقسيم العمل بحسب الجنس، وقصرنا النظر على النساء اللواتي لا يشتغلن إلا بالعمل المنزلي والرجال الذين يقتصر عملهم على وظائف الرجال</w:t>
      </w:r>
      <w:r>
        <w:rPr>
          <w:rFonts w:hint="cs"/>
          <w:rtl/>
        </w:rPr>
        <w:t>،</w:t>
      </w:r>
      <w:r w:rsidRPr="007D7079">
        <w:rPr>
          <w:rFonts w:hint="cs"/>
          <w:rtl/>
        </w:rPr>
        <w:t xml:space="preserve"> فلن نصل</w:t>
      </w:r>
      <w:r>
        <w:rPr>
          <w:rFonts w:hint="cs"/>
          <w:rtl/>
        </w:rPr>
        <w:t xml:space="preserve"> سوى إلى أ</w:t>
      </w:r>
      <w:r w:rsidRPr="007D7079">
        <w:rPr>
          <w:rFonts w:hint="cs"/>
          <w:rtl/>
        </w:rPr>
        <w:t>ن</w:t>
      </w:r>
      <w:r>
        <w:rPr>
          <w:rFonts w:hint="cs"/>
          <w:rtl/>
        </w:rPr>
        <w:t>ّ الأ</w:t>
      </w:r>
      <w:r w:rsidRPr="007D7079">
        <w:rPr>
          <w:rFonts w:hint="cs"/>
          <w:rtl/>
        </w:rPr>
        <w:t>همية ليست لعمل</w:t>
      </w:r>
      <w:r>
        <w:rPr>
          <w:rFonts w:hint="cs"/>
          <w:rtl/>
        </w:rPr>
        <w:t xml:space="preserve"> المرأة </w:t>
      </w:r>
      <w:r w:rsidRPr="007D7079">
        <w:rPr>
          <w:rFonts w:hint="cs"/>
          <w:rtl/>
        </w:rPr>
        <w:t>بل للقيمة المعطاة ل</w:t>
      </w:r>
      <w:r>
        <w:rPr>
          <w:rFonts w:hint="cs"/>
          <w:rtl/>
        </w:rPr>
        <w:t>ه،</w:t>
      </w:r>
      <w:r w:rsidRPr="007D7079">
        <w:rPr>
          <w:rFonts w:hint="cs"/>
          <w:rtl/>
        </w:rPr>
        <w:t xml:space="preserve"> </w:t>
      </w:r>
      <w:r>
        <w:rPr>
          <w:rFonts w:hint="cs"/>
          <w:rtl/>
        </w:rPr>
        <w:t xml:space="preserve">أمّا </w:t>
      </w:r>
      <w:r w:rsidRPr="007D7079">
        <w:rPr>
          <w:rFonts w:hint="cs"/>
          <w:rtl/>
        </w:rPr>
        <w:t>لم</w:t>
      </w:r>
      <w:r>
        <w:rPr>
          <w:rFonts w:hint="cs"/>
          <w:rtl/>
        </w:rPr>
        <w:t>َ ذلك؟ فلأ</w:t>
      </w:r>
      <w:r w:rsidRPr="007D7079">
        <w:rPr>
          <w:rFonts w:hint="cs"/>
          <w:rtl/>
        </w:rPr>
        <w:t>ن</w:t>
      </w:r>
      <w:r>
        <w:rPr>
          <w:rFonts w:hint="cs"/>
          <w:rtl/>
        </w:rPr>
        <w:t>ّ الرجل وإ</w:t>
      </w:r>
      <w:r w:rsidRPr="007D7079">
        <w:rPr>
          <w:rFonts w:hint="cs"/>
          <w:rtl/>
        </w:rPr>
        <w:t>ن كان يؤد</w:t>
      </w:r>
      <w:r>
        <w:rPr>
          <w:rFonts w:hint="cs"/>
          <w:rtl/>
        </w:rPr>
        <w:t>ّ</w:t>
      </w:r>
      <w:r w:rsidRPr="007D7079">
        <w:rPr>
          <w:rFonts w:hint="cs"/>
          <w:rtl/>
        </w:rPr>
        <w:t xml:space="preserve">ي وظيفة الصيد، </w:t>
      </w:r>
      <w:r>
        <w:rPr>
          <w:rFonts w:hint="cs"/>
          <w:rtl/>
        </w:rPr>
        <w:t>إلا أ</w:t>
      </w:r>
      <w:r w:rsidRPr="007D7079">
        <w:rPr>
          <w:rFonts w:hint="cs"/>
          <w:rtl/>
        </w:rPr>
        <w:t>ن</w:t>
      </w:r>
      <w:r>
        <w:rPr>
          <w:rFonts w:hint="cs"/>
          <w:rtl/>
        </w:rPr>
        <w:t>ّ</w:t>
      </w:r>
      <w:r w:rsidRPr="007D7079">
        <w:rPr>
          <w:rFonts w:hint="cs"/>
          <w:rtl/>
        </w:rPr>
        <w:t xml:space="preserve"> وظيفة</w:t>
      </w:r>
      <w:r>
        <w:rPr>
          <w:rFonts w:hint="cs"/>
          <w:rtl/>
        </w:rPr>
        <w:t xml:space="preserve"> المرأة كان لها دور</w:t>
      </w:r>
      <w:r w:rsidRPr="007D7079">
        <w:rPr>
          <w:rFonts w:hint="cs"/>
          <w:rtl/>
        </w:rPr>
        <w:t xml:space="preserve"> أهم</w:t>
      </w:r>
      <w:r>
        <w:rPr>
          <w:rFonts w:hint="cs"/>
          <w:rtl/>
        </w:rPr>
        <w:t>ّ</w:t>
      </w:r>
      <w:r w:rsidRPr="007D7079">
        <w:rPr>
          <w:rFonts w:hint="cs"/>
          <w:rtl/>
        </w:rPr>
        <w:t xml:space="preserve"> إن لم يكن مساويا</w:t>
      </w:r>
      <w:r>
        <w:rPr>
          <w:rFonts w:hint="cs"/>
          <w:rtl/>
        </w:rPr>
        <w:t>ً</w:t>
      </w:r>
      <w:r w:rsidRPr="007D7079">
        <w:rPr>
          <w:rFonts w:hint="cs"/>
          <w:rtl/>
        </w:rPr>
        <w:t xml:space="preserve"> لدور الرجل في استم</w:t>
      </w:r>
      <w:r>
        <w:rPr>
          <w:rFonts w:hint="cs"/>
          <w:rtl/>
        </w:rPr>
        <w:t xml:space="preserve">رار حياة المجتمع، </w:t>
      </w:r>
      <w:r w:rsidRPr="007D7079">
        <w:rPr>
          <w:rFonts w:hint="cs"/>
          <w:rtl/>
        </w:rPr>
        <w:t xml:space="preserve">وهذا الدور لا ينحصر </w:t>
      </w:r>
      <w:r>
        <w:rPr>
          <w:rFonts w:hint="cs"/>
          <w:rtl/>
        </w:rPr>
        <w:t>ـ ب</w:t>
      </w:r>
      <w:r w:rsidRPr="007D7079">
        <w:rPr>
          <w:rFonts w:hint="cs"/>
          <w:rtl/>
        </w:rPr>
        <w:t xml:space="preserve">نظر الرجل </w:t>
      </w:r>
      <w:r>
        <w:rPr>
          <w:rFonts w:hint="cs"/>
          <w:rtl/>
        </w:rPr>
        <w:t xml:space="preserve">ـ </w:t>
      </w:r>
      <w:r w:rsidRPr="007D7079">
        <w:rPr>
          <w:rFonts w:hint="cs"/>
          <w:rtl/>
        </w:rPr>
        <w:t>بقدرة</w:t>
      </w:r>
      <w:r>
        <w:rPr>
          <w:rFonts w:hint="cs"/>
          <w:rtl/>
        </w:rPr>
        <w:t xml:space="preserve"> المرأة </w:t>
      </w:r>
      <w:r w:rsidRPr="007D7079">
        <w:rPr>
          <w:rFonts w:hint="cs"/>
          <w:rtl/>
        </w:rPr>
        <w:t>على الحمل والولادة.</w:t>
      </w:r>
    </w:p>
    <w:p w:rsidR="006E0FDB" w:rsidRPr="007D7079" w:rsidRDefault="006E0FDB" w:rsidP="006E0FDB">
      <w:pPr>
        <w:pStyle w:val="ac"/>
        <w:rPr>
          <w:rtl/>
        </w:rPr>
      </w:pPr>
      <w:r w:rsidRPr="007D7079">
        <w:rPr>
          <w:rFonts w:hint="cs"/>
          <w:rtl/>
        </w:rPr>
        <w:t>إن</w:t>
      </w:r>
      <w:r>
        <w:rPr>
          <w:rFonts w:hint="cs"/>
          <w:rtl/>
        </w:rPr>
        <w:t>ّ</w:t>
      </w:r>
      <w:r w:rsidRPr="007D7079">
        <w:rPr>
          <w:rFonts w:hint="cs"/>
          <w:rtl/>
        </w:rPr>
        <w:t xml:space="preserve"> الأبحاث التي قامت بدراسة تلك المجتمعات ت</w:t>
      </w:r>
      <w:r>
        <w:rPr>
          <w:rFonts w:hint="cs"/>
          <w:rtl/>
        </w:rPr>
        <w:t>ُ</w:t>
      </w:r>
      <w:r w:rsidRPr="007D7079">
        <w:rPr>
          <w:rFonts w:hint="cs"/>
          <w:rtl/>
        </w:rPr>
        <w:t>ظهر لنا أن</w:t>
      </w:r>
      <w:r>
        <w:rPr>
          <w:rFonts w:hint="cs"/>
          <w:rtl/>
        </w:rPr>
        <w:t xml:space="preserve"> المرأة </w:t>
      </w:r>
      <w:r w:rsidRPr="007D7079">
        <w:rPr>
          <w:rFonts w:hint="cs"/>
          <w:rtl/>
        </w:rPr>
        <w:t xml:space="preserve">في مجتمعات الصيد كانت تقوم </w:t>
      </w:r>
      <w:r>
        <w:rPr>
          <w:rFonts w:hint="cs"/>
          <w:rtl/>
        </w:rPr>
        <w:t xml:space="preserve">ـ </w:t>
      </w:r>
      <w:r w:rsidRPr="007D7079">
        <w:rPr>
          <w:rFonts w:hint="cs"/>
          <w:rtl/>
        </w:rPr>
        <w:t>عبر جمع الاعشاب الصحي</w:t>
      </w:r>
      <w:r>
        <w:rPr>
          <w:rFonts w:hint="cs"/>
          <w:rtl/>
        </w:rPr>
        <w:t>ّ</w:t>
      </w:r>
      <w:r w:rsidRPr="007D7079">
        <w:rPr>
          <w:rFonts w:hint="cs"/>
          <w:rtl/>
        </w:rPr>
        <w:t xml:space="preserve">ة والفاكهة </w:t>
      </w:r>
      <w:r>
        <w:rPr>
          <w:rFonts w:hint="cs"/>
          <w:rtl/>
        </w:rPr>
        <w:t xml:space="preserve">ـ </w:t>
      </w:r>
      <w:r w:rsidRPr="007D7079">
        <w:rPr>
          <w:rFonts w:hint="cs"/>
          <w:rtl/>
        </w:rPr>
        <w:t xml:space="preserve">بتأمين </w:t>
      </w:r>
      <w:r>
        <w:rPr>
          <w:rFonts w:hint="cs"/>
          <w:rtl/>
        </w:rPr>
        <w:t xml:space="preserve">ما مقداره ستون إلى ثمانون </w:t>
      </w:r>
      <w:r w:rsidRPr="007D7079">
        <w:rPr>
          <w:rFonts w:hint="cs"/>
          <w:rtl/>
        </w:rPr>
        <w:t>بالم</w:t>
      </w:r>
      <w:r>
        <w:rPr>
          <w:rFonts w:hint="cs"/>
          <w:rtl/>
        </w:rPr>
        <w:t>ا</w:t>
      </w:r>
      <w:r w:rsidRPr="007D7079">
        <w:rPr>
          <w:rFonts w:hint="cs"/>
          <w:rtl/>
        </w:rPr>
        <w:t>ئة من المواد</w:t>
      </w:r>
      <w:r>
        <w:rPr>
          <w:rFonts w:hint="cs"/>
          <w:rtl/>
        </w:rPr>
        <w:t>ّ الغذائية، وأنّ</w:t>
      </w:r>
      <w:r w:rsidRPr="007D7079">
        <w:rPr>
          <w:rFonts w:hint="cs"/>
          <w:rtl/>
        </w:rPr>
        <w:t xml:space="preserve"> نساء القبيلة </w:t>
      </w:r>
      <w:r>
        <w:rPr>
          <w:rFonts w:hint="cs"/>
          <w:rtl/>
        </w:rPr>
        <w:t xml:space="preserve">ـ </w:t>
      </w:r>
      <w:r w:rsidRPr="007D7079">
        <w:rPr>
          <w:rFonts w:hint="cs"/>
          <w:rtl/>
        </w:rPr>
        <w:t xml:space="preserve">كرجالها </w:t>
      </w:r>
      <w:r>
        <w:rPr>
          <w:rFonts w:hint="cs"/>
          <w:rtl/>
        </w:rPr>
        <w:t xml:space="preserve">ـ </w:t>
      </w:r>
      <w:r w:rsidRPr="007D7079">
        <w:rPr>
          <w:rFonts w:hint="cs"/>
          <w:rtl/>
        </w:rPr>
        <w:t>كن</w:t>
      </w:r>
      <w:r>
        <w:rPr>
          <w:rFonts w:hint="cs"/>
          <w:rtl/>
        </w:rPr>
        <w:t>ّ</w:t>
      </w:r>
      <w:r w:rsidRPr="007D7079">
        <w:rPr>
          <w:rFonts w:hint="cs"/>
          <w:rtl/>
        </w:rPr>
        <w:t xml:space="preserve"> يخرجن مر</w:t>
      </w:r>
      <w:r>
        <w:rPr>
          <w:rFonts w:hint="cs"/>
          <w:rtl/>
        </w:rPr>
        <w:t>ّ</w:t>
      </w:r>
      <w:r w:rsidRPr="007D7079">
        <w:rPr>
          <w:rFonts w:hint="cs"/>
          <w:rtl/>
        </w:rPr>
        <w:t>تين</w:t>
      </w:r>
      <w:r>
        <w:rPr>
          <w:rFonts w:hint="cs"/>
          <w:rtl/>
        </w:rPr>
        <w:t xml:space="preserve"> أو ثلاث للقيام بتهيئة الطعام،</w:t>
      </w:r>
      <w:r w:rsidRPr="007D7079">
        <w:rPr>
          <w:rFonts w:hint="cs"/>
          <w:rtl/>
        </w:rPr>
        <w:t xml:space="preserve"> والصيد و</w:t>
      </w:r>
      <w:r>
        <w:rPr>
          <w:rFonts w:hint="cs"/>
          <w:rtl/>
        </w:rPr>
        <w:t>إ</w:t>
      </w:r>
      <w:r w:rsidRPr="007D7079">
        <w:rPr>
          <w:rFonts w:hint="cs"/>
          <w:rtl/>
        </w:rPr>
        <w:t xml:space="preserve">ن كان وظيفة الرجل </w:t>
      </w:r>
      <w:r>
        <w:rPr>
          <w:rFonts w:hint="cs"/>
          <w:rtl/>
        </w:rPr>
        <w:t xml:space="preserve">إلا أنّه </w:t>
      </w:r>
      <w:r w:rsidRPr="007D7079">
        <w:rPr>
          <w:rFonts w:hint="cs"/>
          <w:rtl/>
        </w:rPr>
        <w:t>نادرا</w:t>
      </w:r>
      <w:r>
        <w:rPr>
          <w:rFonts w:hint="cs"/>
          <w:rtl/>
        </w:rPr>
        <w:t>ً</w:t>
      </w:r>
      <w:r w:rsidRPr="007D7079">
        <w:rPr>
          <w:rFonts w:hint="cs"/>
          <w:rtl/>
        </w:rPr>
        <w:t xml:space="preserve"> ما لا يحسب الجميع </w:t>
      </w:r>
      <w:r w:rsidRPr="007D7079">
        <w:rPr>
          <w:rFonts w:hint="cs"/>
          <w:rtl/>
        </w:rPr>
        <w:lastRenderedPageBreak/>
        <w:t>له حسابه</w:t>
      </w:r>
      <w:r>
        <w:rPr>
          <w:rFonts w:hint="cs"/>
          <w:rtl/>
        </w:rPr>
        <w:t>،</w:t>
      </w:r>
      <w:r w:rsidRPr="007D7079">
        <w:rPr>
          <w:rFonts w:hint="cs"/>
          <w:rtl/>
        </w:rPr>
        <w:t xml:space="preserve"> </w:t>
      </w:r>
      <w:r>
        <w:rPr>
          <w:rFonts w:hint="cs"/>
          <w:rtl/>
        </w:rPr>
        <w:t>إضافةً إلى أ</w:t>
      </w:r>
      <w:r w:rsidRPr="007D7079">
        <w:rPr>
          <w:rFonts w:hint="cs"/>
          <w:rtl/>
        </w:rPr>
        <w:t>ن</w:t>
      </w:r>
      <w:r>
        <w:rPr>
          <w:rFonts w:hint="cs"/>
          <w:rtl/>
        </w:rPr>
        <w:t>ّ</w:t>
      </w:r>
      <w:r w:rsidRPr="007D7079">
        <w:rPr>
          <w:rFonts w:hint="cs"/>
          <w:rtl/>
        </w:rPr>
        <w:t xml:space="preserve"> </w:t>
      </w:r>
      <w:r>
        <w:rPr>
          <w:rFonts w:hint="cs"/>
          <w:rtl/>
        </w:rPr>
        <w:t>معطيات التحليل النسوي للتاريخ،</w:t>
      </w:r>
      <w:r w:rsidRPr="007D7079">
        <w:rPr>
          <w:rFonts w:hint="cs"/>
          <w:rtl/>
        </w:rPr>
        <w:t xml:space="preserve"> </w:t>
      </w:r>
      <w:r>
        <w:rPr>
          <w:rFonts w:hint="cs"/>
          <w:rtl/>
        </w:rPr>
        <w:t>ورغم</w:t>
      </w:r>
      <w:r w:rsidRPr="007D7079">
        <w:rPr>
          <w:rFonts w:hint="cs"/>
          <w:rtl/>
        </w:rPr>
        <w:t xml:space="preserve"> </w:t>
      </w:r>
      <w:r>
        <w:rPr>
          <w:rFonts w:hint="cs"/>
          <w:rtl/>
        </w:rPr>
        <w:t>الموروثات</w:t>
      </w:r>
      <w:r w:rsidRPr="007D7079">
        <w:rPr>
          <w:rFonts w:hint="cs"/>
          <w:rtl/>
        </w:rPr>
        <w:t xml:space="preserve"> القديمة التي تشك</w:t>
      </w:r>
      <w:r>
        <w:rPr>
          <w:rFonts w:hint="cs"/>
          <w:rtl/>
        </w:rPr>
        <w:t>ّ</w:t>
      </w:r>
      <w:r w:rsidRPr="007D7079">
        <w:rPr>
          <w:rFonts w:hint="cs"/>
          <w:rtl/>
        </w:rPr>
        <w:t>ل فرضيات مسبقة لكثير</w:t>
      </w:r>
      <w:r>
        <w:rPr>
          <w:rFonts w:hint="cs"/>
          <w:rtl/>
        </w:rPr>
        <w:t>ٍ</w:t>
      </w:r>
      <w:r w:rsidRPr="007D7079">
        <w:rPr>
          <w:rFonts w:hint="cs"/>
          <w:rtl/>
        </w:rPr>
        <w:t xml:space="preserve"> من التحليل</w:t>
      </w:r>
      <w:r>
        <w:rPr>
          <w:rFonts w:hint="cs"/>
          <w:rtl/>
        </w:rPr>
        <w:t>ات التاريخي،</w:t>
      </w:r>
      <w:r w:rsidRPr="007D7079">
        <w:rPr>
          <w:rFonts w:hint="cs"/>
          <w:rtl/>
        </w:rPr>
        <w:t xml:space="preserve"> </w:t>
      </w:r>
      <w:r>
        <w:rPr>
          <w:rFonts w:hint="cs"/>
          <w:rtl/>
        </w:rPr>
        <w:t xml:space="preserve">تؤكّد أنّ </w:t>
      </w:r>
      <w:r w:rsidRPr="007D7079">
        <w:rPr>
          <w:rFonts w:hint="cs"/>
          <w:rtl/>
        </w:rPr>
        <w:t xml:space="preserve">النساء </w:t>
      </w:r>
      <w:r>
        <w:rPr>
          <w:rFonts w:hint="cs"/>
          <w:rtl/>
        </w:rPr>
        <w:t>كنّ الآلات الصناعية في التاريخ البشري</w:t>
      </w:r>
      <w:r w:rsidR="00EE06ED">
        <w:rPr>
          <w:rFonts w:hint="cs"/>
          <w:rtl/>
        </w:rPr>
        <w:t>،</w:t>
      </w:r>
      <w:r w:rsidRPr="007D7079">
        <w:rPr>
          <w:rFonts w:hint="cs"/>
          <w:rtl/>
        </w:rPr>
        <w:t xml:space="preserve"> وكيف كان</w:t>
      </w:r>
      <w:r>
        <w:rPr>
          <w:rFonts w:hint="cs"/>
          <w:rtl/>
        </w:rPr>
        <w:t>،</w:t>
      </w:r>
      <w:r w:rsidRPr="007D7079">
        <w:rPr>
          <w:rFonts w:hint="cs"/>
          <w:rtl/>
        </w:rPr>
        <w:t xml:space="preserve"> </w:t>
      </w:r>
      <w:r>
        <w:rPr>
          <w:rFonts w:hint="cs"/>
          <w:rtl/>
        </w:rPr>
        <w:t>فإ</w:t>
      </w:r>
      <w:r w:rsidRPr="007D7079">
        <w:rPr>
          <w:rFonts w:hint="cs"/>
          <w:rtl/>
        </w:rPr>
        <w:t>ن لم تكن</w:t>
      </w:r>
      <w:r>
        <w:rPr>
          <w:rFonts w:hint="cs"/>
          <w:rtl/>
        </w:rPr>
        <w:t xml:space="preserve"> المرأة هي الأولى فإ</w:t>
      </w:r>
      <w:r w:rsidRPr="007D7079">
        <w:rPr>
          <w:rFonts w:hint="cs"/>
          <w:rtl/>
        </w:rPr>
        <w:t>ن</w:t>
      </w:r>
      <w:r>
        <w:rPr>
          <w:rFonts w:hint="cs"/>
          <w:rtl/>
        </w:rPr>
        <w:t>ّ</w:t>
      </w:r>
      <w:r w:rsidRPr="007D7079">
        <w:rPr>
          <w:rFonts w:hint="cs"/>
          <w:rtl/>
        </w:rPr>
        <w:t xml:space="preserve"> دورها لم يكن في الصناعة أقلّ من دور الرجال. و</w:t>
      </w:r>
      <w:r>
        <w:rPr>
          <w:rFonts w:hint="cs"/>
          <w:rtl/>
        </w:rPr>
        <w:t>إذا</w:t>
      </w:r>
      <w:r w:rsidRPr="007D7079">
        <w:rPr>
          <w:rFonts w:hint="cs"/>
          <w:rtl/>
        </w:rPr>
        <w:t xml:space="preserve"> كانت مسؤولية الرجل في القيام بتصنيع السلاح والسكاكين من الصخر والعظم، ف</w:t>
      </w:r>
      <w:r>
        <w:rPr>
          <w:rFonts w:hint="cs"/>
          <w:rtl/>
        </w:rPr>
        <w:t>إ</w:t>
      </w:r>
      <w:r w:rsidRPr="007D7079">
        <w:rPr>
          <w:rFonts w:hint="cs"/>
          <w:rtl/>
        </w:rPr>
        <w:t>ن</w:t>
      </w:r>
      <w:r>
        <w:rPr>
          <w:rFonts w:hint="cs"/>
          <w:rtl/>
        </w:rPr>
        <w:t>ّ</w:t>
      </w:r>
      <w:r w:rsidRPr="007D7079">
        <w:rPr>
          <w:rFonts w:hint="cs"/>
          <w:rtl/>
        </w:rPr>
        <w:t xml:space="preserve"> دور</w:t>
      </w:r>
      <w:r>
        <w:rPr>
          <w:rFonts w:hint="cs"/>
          <w:rtl/>
        </w:rPr>
        <w:t xml:space="preserve"> المرأة </w:t>
      </w:r>
      <w:r w:rsidRPr="007D7079">
        <w:rPr>
          <w:rFonts w:hint="cs"/>
          <w:rtl/>
        </w:rPr>
        <w:t xml:space="preserve">كان </w:t>
      </w:r>
      <w:r>
        <w:rPr>
          <w:rFonts w:hint="cs"/>
          <w:rtl/>
        </w:rPr>
        <w:t xml:space="preserve">ـ </w:t>
      </w:r>
      <w:r w:rsidRPr="007D7079">
        <w:rPr>
          <w:rFonts w:hint="cs"/>
          <w:rtl/>
        </w:rPr>
        <w:t>مضافا</w:t>
      </w:r>
      <w:r>
        <w:rPr>
          <w:rFonts w:hint="cs"/>
          <w:rtl/>
        </w:rPr>
        <w:t xml:space="preserve">ً إلى </w:t>
      </w:r>
      <w:r w:rsidRPr="007D7079">
        <w:rPr>
          <w:rFonts w:hint="cs"/>
          <w:rtl/>
        </w:rPr>
        <w:t>حفظ الأطفا</w:t>
      </w:r>
      <w:r>
        <w:rPr>
          <w:rFonts w:hint="cs"/>
          <w:rtl/>
        </w:rPr>
        <w:t>ل ورعايتهم</w:t>
      </w:r>
      <w:r w:rsidRPr="007D7079">
        <w:rPr>
          <w:rFonts w:hint="cs"/>
          <w:rtl/>
        </w:rPr>
        <w:t xml:space="preserve"> </w:t>
      </w:r>
      <w:r>
        <w:rPr>
          <w:rFonts w:hint="cs"/>
          <w:rtl/>
        </w:rPr>
        <w:t xml:space="preserve">ـ </w:t>
      </w:r>
      <w:r w:rsidRPr="007D7079">
        <w:rPr>
          <w:rFonts w:hint="cs"/>
          <w:rtl/>
        </w:rPr>
        <w:t xml:space="preserve">اختراع السلال من جلود الحيوانات وغصون الأشجار، </w:t>
      </w:r>
      <w:r>
        <w:rPr>
          <w:rFonts w:hint="cs"/>
          <w:rtl/>
        </w:rPr>
        <w:t>أ</w:t>
      </w:r>
      <w:r w:rsidRPr="007D7079">
        <w:rPr>
          <w:rFonts w:hint="cs"/>
          <w:rtl/>
        </w:rPr>
        <w:t>م</w:t>
      </w:r>
      <w:r>
        <w:rPr>
          <w:rFonts w:hint="cs"/>
          <w:rtl/>
        </w:rPr>
        <w:t>ّ</w:t>
      </w:r>
      <w:r w:rsidRPr="007D7079">
        <w:rPr>
          <w:rFonts w:hint="cs"/>
          <w:rtl/>
        </w:rPr>
        <w:t>ا بقاء ما كان يقوم به الرجل من صناعات دون ما كانت تقوم به</w:t>
      </w:r>
      <w:r>
        <w:rPr>
          <w:rFonts w:hint="cs"/>
          <w:rtl/>
        </w:rPr>
        <w:t xml:space="preserve"> المرأة </w:t>
      </w:r>
      <w:r w:rsidRPr="007D7079">
        <w:rPr>
          <w:rFonts w:hint="cs"/>
          <w:rtl/>
        </w:rPr>
        <w:t>فيعود</w:t>
      </w:r>
      <w:r>
        <w:rPr>
          <w:rFonts w:hint="cs"/>
          <w:rtl/>
        </w:rPr>
        <w:t xml:space="preserve"> إلى </w:t>
      </w:r>
      <w:r w:rsidRPr="007D7079">
        <w:rPr>
          <w:rFonts w:hint="cs"/>
          <w:rtl/>
        </w:rPr>
        <w:t>أن</w:t>
      </w:r>
      <w:r>
        <w:rPr>
          <w:rFonts w:hint="cs"/>
          <w:rtl/>
        </w:rPr>
        <w:t>ّ</w:t>
      </w:r>
      <w:r w:rsidRPr="007D7079">
        <w:rPr>
          <w:rFonts w:hint="cs"/>
          <w:rtl/>
        </w:rPr>
        <w:t xml:space="preserve"> ما كان يصنعه الرجل كان من الصخر والعظم الذي يعيش مد</w:t>
      </w:r>
      <w:r>
        <w:rPr>
          <w:rFonts w:hint="cs"/>
          <w:rtl/>
        </w:rPr>
        <w:t>ّ</w:t>
      </w:r>
      <w:r w:rsidRPr="007D7079">
        <w:rPr>
          <w:rFonts w:hint="cs"/>
          <w:rtl/>
        </w:rPr>
        <w:t>ة</w:t>
      </w:r>
      <w:r>
        <w:rPr>
          <w:rFonts w:hint="cs"/>
          <w:rtl/>
        </w:rPr>
        <w:t>ً</w:t>
      </w:r>
      <w:r w:rsidRPr="007D7079">
        <w:rPr>
          <w:rFonts w:hint="cs"/>
          <w:rtl/>
        </w:rPr>
        <w:t xml:space="preserve"> أطول من المواد التي كانت</w:t>
      </w:r>
      <w:r>
        <w:rPr>
          <w:rFonts w:hint="cs"/>
          <w:rtl/>
        </w:rPr>
        <w:t xml:space="preserve"> المرأة </w:t>
      </w:r>
      <w:r w:rsidRPr="007D7079">
        <w:rPr>
          <w:rFonts w:hint="cs"/>
          <w:rtl/>
        </w:rPr>
        <w:t>تستخدمها في ما تقوم به من أعمال.</w:t>
      </w:r>
    </w:p>
    <w:p w:rsidR="006E0FDB" w:rsidRPr="007D7079" w:rsidRDefault="006E0FDB" w:rsidP="006E0FDB">
      <w:pPr>
        <w:pStyle w:val="ac"/>
        <w:rPr>
          <w:rtl/>
        </w:rPr>
      </w:pPr>
      <w:r w:rsidRPr="007D7079">
        <w:rPr>
          <w:rFonts w:hint="cs"/>
          <w:rtl/>
        </w:rPr>
        <w:t>وبناء</w:t>
      </w:r>
      <w:r>
        <w:rPr>
          <w:rFonts w:hint="cs"/>
          <w:rtl/>
        </w:rPr>
        <w:t>ً</w:t>
      </w:r>
      <w:r w:rsidRPr="007D7079">
        <w:rPr>
          <w:rFonts w:hint="cs"/>
          <w:rtl/>
        </w:rPr>
        <w:t xml:space="preserve"> عليه</w:t>
      </w:r>
      <w:r>
        <w:rPr>
          <w:rFonts w:hint="cs"/>
          <w:rtl/>
        </w:rPr>
        <w:t>،</w:t>
      </w:r>
      <w:r w:rsidRPr="007D7079">
        <w:rPr>
          <w:rFonts w:hint="cs"/>
          <w:rtl/>
        </w:rPr>
        <w:t xml:space="preserve"> فما جعل عمل الرجل والمرأة مُكملين لب</w:t>
      </w:r>
      <w:r>
        <w:rPr>
          <w:rFonts w:hint="cs"/>
          <w:rtl/>
        </w:rPr>
        <w:t>عضهما في مجتمعات الصيد لم يكن</w:t>
      </w:r>
      <w:r w:rsidRPr="007D7079">
        <w:rPr>
          <w:rFonts w:hint="cs"/>
          <w:rtl/>
        </w:rPr>
        <w:t xml:space="preserve"> إضفاء قيمة</w:t>
      </w:r>
      <w:r>
        <w:rPr>
          <w:rFonts w:hint="cs"/>
          <w:rtl/>
        </w:rPr>
        <w:t>ٍ على تقسيم العمل،</w:t>
      </w:r>
      <w:r w:rsidRPr="007D7079">
        <w:rPr>
          <w:rFonts w:hint="cs"/>
          <w:rtl/>
        </w:rPr>
        <w:t xml:space="preserve"> بل الارتباط الموجود بين الرجال والنساء والتقييم المساوي لعمل</w:t>
      </w:r>
      <w:r>
        <w:rPr>
          <w:rFonts w:hint="cs"/>
          <w:rtl/>
        </w:rPr>
        <w:t>هما</w:t>
      </w:r>
      <w:r w:rsidRPr="007D7079">
        <w:rPr>
          <w:rFonts w:hint="cs"/>
          <w:rtl/>
        </w:rPr>
        <w:t xml:space="preserve"> هو </w:t>
      </w:r>
      <w:r>
        <w:rPr>
          <w:rFonts w:hint="cs"/>
          <w:rtl/>
        </w:rPr>
        <w:t xml:space="preserve">ما شكّل </w:t>
      </w:r>
      <w:r w:rsidRPr="007D7079">
        <w:rPr>
          <w:rFonts w:hint="cs"/>
          <w:rtl/>
        </w:rPr>
        <w:t>ضمانة بقاء المجتمع. إن</w:t>
      </w:r>
      <w:r>
        <w:rPr>
          <w:rFonts w:hint="cs"/>
          <w:rtl/>
        </w:rPr>
        <w:t>ّ</w:t>
      </w:r>
      <w:r w:rsidRPr="007D7079">
        <w:rPr>
          <w:rFonts w:hint="cs"/>
          <w:rtl/>
        </w:rPr>
        <w:t xml:space="preserve"> السبب في تمت</w:t>
      </w:r>
      <w:r>
        <w:rPr>
          <w:rFonts w:hint="cs"/>
          <w:rtl/>
        </w:rPr>
        <w:t>ّ</w:t>
      </w:r>
      <w:r w:rsidRPr="007D7079">
        <w:rPr>
          <w:rFonts w:hint="cs"/>
          <w:rtl/>
        </w:rPr>
        <w:t>ع</w:t>
      </w:r>
      <w:r>
        <w:rPr>
          <w:rFonts w:hint="cs"/>
          <w:rtl/>
        </w:rPr>
        <w:t xml:space="preserve"> المرأة </w:t>
      </w:r>
      <w:r w:rsidRPr="007D7079">
        <w:rPr>
          <w:rFonts w:hint="cs"/>
          <w:rtl/>
        </w:rPr>
        <w:t>بهذه المكانة لا يعود</w:t>
      </w:r>
      <w:r>
        <w:rPr>
          <w:rFonts w:hint="cs"/>
          <w:rtl/>
        </w:rPr>
        <w:t xml:space="preserve"> إلى </w:t>
      </w:r>
      <w:r w:rsidRPr="007D7079">
        <w:rPr>
          <w:rFonts w:hint="cs"/>
          <w:rtl/>
        </w:rPr>
        <w:t>الثقافة العالية التي كان يملكها الرجل والاحترام الذي يكنّه ل</w:t>
      </w:r>
      <w:r>
        <w:rPr>
          <w:rFonts w:hint="cs"/>
          <w:rtl/>
        </w:rPr>
        <w:t>ها</w:t>
      </w:r>
      <w:r w:rsidRPr="007D7079">
        <w:rPr>
          <w:rFonts w:hint="cs"/>
          <w:rtl/>
        </w:rPr>
        <w:t>، بل</w:t>
      </w:r>
      <w:r>
        <w:rPr>
          <w:rFonts w:hint="cs"/>
          <w:rtl/>
        </w:rPr>
        <w:t xml:space="preserve"> إلى </w:t>
      </w:r>
      <w:r w:rsidRPr="007D7079">
        <w:rPr>
          <w:rFonts w:hint="cs"/>
          <w:rtl/>
        </w:rPr>
        <w:t>الدور الحياتي ال</w:t>
      </w:r>
      <w:r>
        <w:rPr>
          <w:rFonts w:hint="cs"/>
          <w:rtl/>
        </w:rPr>
        <w:t>ذ</w:t>
      </w:r>
      <w:r w:rsidRPr="007D7079">
        <w:rPr>
          <w:rFonts w:hint="cs"/>
          <w:rtl/>
        </w:rPr>
        <w:t>ي كانت تقوم به</w:t>
      </w:r>
      <w:r>
        <w:rPr>
          <w:rFonts w:hint="cs"/>
          <w:rtl/>
        </w:rPr>
        <w:t xml:space="preserve"> </w:t>
      </w:r>
      <w:r w:rsidRPr="007D7079">
        <w:rPr>
          <w:rFonts w:hint="cs"/>
          <w:rtl/>
        </w:rPr>
        <w:t>في تلك المجتمعات. إن</w:t>
      </w:r>
      <w:r>
        <w:rPr>
          <w:rFonts w:hint="cs"/>
          <w:rtl/>
        </w:rPr>
        <w:t>ّ</w:t>
      </w:r>
      <w:r w:rsidRPr="007D7079">
        <w:rPr>
          <w:rFonts w:hint="cs"/>
          <w:rtl/>
        </w:rPr>
        <w:t xml:space="preserve"> البحث عن الجذور المولّدة لنظام سيادة الرجل </w:t>
      </w:r>
      <w:r>
        <w:rPr>
          <w:rFonts w:hint="cs"/>
          <w:rtl/>
        </w:rPr>
        <w:t xml:space="preserve">ـ </w:t>
      </w:r>
      <w:r w:rsidRPr="007D7079">
        <w:rPr>
          <w:rFonts w:hint="cs"/>
          <w:rtl/>
        </w:rPr>
        <w:t>بأي</w:t>
      </w:r>
      <w:r>
        <w:rPr>
          <w:rFonts w:hint="cs"/>
          <w:rtl/>
        </w:rPr>
        <w:t>ّ</w:t>
      </w:r>
      <w:r w:rsidRPr="007D7079">
        <w:rPr>
          <w:rFonts w:hint="cs"/>
          <w:rtl/>
        </w:rPr>
        <w:t xml:space="preserve"> مقدار كان </w:t>
      </w:r>
      <w:r>
        <w:rPr>
          <w:rFonts w:hint="cs"/>
          <w:rtl/>
        </w:rPr>
        <w:t>ـ</w:t>
      </w:r>
      <w:r w:rsidRPr="007D7079">
        <w:rPr>
          <w:rFonts w:hint="cs"/>
          <w:rtl/>
        </w:rPr>
        <w:t xml:space="preserve"> </w:t>
      </w:r>
      <w:r>
        <w:rPr>
          <w:rFonts w:hint="cs"/>
          <w:rtl/>
        </w:rPr>
        <w:t>أمر</w:t>
      </w:r>
      <w:r w:rsidRPr="007D7079">
        <w:rPr>
          <w:rFonts w:hint="cs"/>
          <w:rtl/>
        </w:rPr>
        <w:t xml:space="preserve"> مفيد وجذاب</w:t>
      </w:r>
      <w:r>
        <w:rPr>
          <w:rFonts w:hint="cs"/>
          <w:rtl/>
        </w:rPr>
        <w:t>،</w:t>
      </w:r>
      <w:r w:rsidRPr="007D7079">
        <w:rPr>
          <w:rFonts w:hint="cs"/>
          <w:rtl/>
        </w:rPr>
        <w:t xml:space="preserve"> ويشك</w:t>
      </w:r>
      <w:r>
        <w:rPr>
          <w:rFonts w:hint="cs"/>
          <w:rtl/>
        </w:rPr>
        <w:t>ّ</w:t>
      </w:r>
      <w:r w:rsidRPr="007D7079">
        <w:rPr>
          <w:rFonts w:hint="cs"/>
          <w:rtl/>
        </w:rPr>
        <w:t>ل قرائن تاريخية وطرقا</w:t>
      </w:r>
      <w:r>
        <w:rPr>
          <w:rFonts w:hint="cs"/>
          <w:rtl/>
        </w:rPr>
        <w:t>ً</w:t>
      </w:r>
      <w:r w:rsidRPr="007D7079">
        <w:rPr>
          <w:rFonts w:hint="cs"/>
          <w:rtl/>
        </w:rPr>
        <w:t xml:space="preserve"> لحل</w:t>
      </w:r>
      <w:r>
        <w:rPr>
          <w:rFonts w:hint="cs"/>
          <w:rtl/>
        </w:rPr>
        <w:t>ّ</w:t>
      </w:r>
      <w:r w:rsidRPr="007D7079">
        <w:rPr>
          <w:rFonts w:hint="cs"/>
          <w:rtl/>
        </w:rPr>
        <w:t xml:space="preserve"> مشكلاتنا الحالية</w:t>
      </w:r>
      <w:r>
        <w:rPr>
          <w:rFonts w:hint="cs"/>
          <w:rtl/>
        </w:rPr>
        <w:t>،</w:t>
      </w:r>
      <w:r w:rsidRPr="007D7079">
        <w:rPr>
          <w:rFonts w:hint="cs"/>
          <w:rtl/>
        </w:rPr>
        <w:t xml:space="preserve"> </w:t>
      </w:r>
      <w:r>
        <w:rPr>
          <w:rFonts w:hint="cs"/>
          <w:rtl/>
        </w:rPr>
        <w:t xml:space="preserve">كما </w:t>
      </w:r>
      <w:r w:rsidRPr="007D7079">
        <w:rPr>
          <w:rFonts w:hint="cs"/>
          <w:rtl/>
        </w:rPr>
        <w:t>وي</w:t>
      </w:r>
      <w:r>
        <w:rPr>
          <w:rFonts w:hint="cs"/>
          <w:rtl/>
        </w:rPr>
        <w:t>ُسهم في إعادة بناء الماضي</w:t>
      </w:r>
      <w:r w:rsidRPr="007D7079">
        <w:rPr>
          <w:rFonts w:hint="cs"/>
          <w:rtl/>
        </w:rPr>
        <w:t>.</w:t>
      </w:r>
    </w:p>
    <w:p w:rsidR="006E0FDB" w:rsidRPr="007D7079" w:rsidRDefault="006E0FDB" w:rsidP="006E0FDB">
      <w:pPr>
        <w:pStyle w:val="ac"/>
        <w:rPr>
          <w:rtl/>
        </w:rPr>
      </w:pPr>
      <w:r w:rsidRPr="007D7079">
        <w:rPr>
          <w:rFonts w:hint="cs"/>
          <w:rtl/>
        </w:rPr>
        <w:t>إن</w:t>
      </w:r>
      <w:r>
        <w:rPr>
          <w:rFonts w:hint="cs"/>
          <w:rtl/>
        </w:rPr>
        <w:t>ّ</w:t>
      </w:r>
      <w:r w:rsidRPr="007D7079">
        <w:rPr>
          <w:rFonts w:hint="cs"/>
          <w:rtl/>
        </w:rPr>
        <w:t xml:space="preserve"> المشكلة لا تكمن في </w:t>
      </w:r>
      <w:r>
        <w:rPr>
          <w:rFonts w:hint="cs"/>
          <w:rtl/>
        </w:rPr>
        <w:t xml:space="preserve">عدم رؤية </w:t>
      </w:r>
      <w:r w:rsidRPr="007D7079">
        <w:rPr>
          <w:rFonts w:hint="cs"/>
          <w:rtl/>
        </w:rPr>
        <w:t>الرجل أي</w:t>
      </w:r>
      <w:r>
        <w:rPr>
          <w:rFonts w:hint="cs"/>
          <w:rtl/>
        </w:rPr>
        <w:t>ّ</w:t>
      </w:r>
      <w:r w:rsidRPr="007D7079">
        <w:rPr>
          <w:rFonts w:hint="cs"/>
          <w:rtl/>
        </w:rPr>
        <w:t xml:space="preserve"> قيمة</w:t>
      </w:r>
      <w:r>
        <w:rPr>
          <w:rFonts w:hint="cs"/>
          <w:rtl/>
        </w:rPr>
        <w:t>ٍ</w:t>
      </w:r>
      <w:r w:rsidRPr="007D7079">
        <w:rPr>
          <w:rFonts w:hint="cs"/>
          <w:rtl/>
        </w:rPr>
        <w:t xml:space="preserve"> لعمل</w:t>
      </w:r>
      <w:r>
        <w:rPr>
          <w:rFonts w:hint="cs"/>
          <w:rtl/>
        </w:rPr>
        <w:t xml:space="preserve"> المرأة المنزلي،</w:t>
      </w:r>
      <w:r w:rsidRPr="007D7079">
        <w:rPr>
          <w:rFonts w:hint="cs"/>
          <w:rtl/>
        </w:rPr>
        <w:t xml:space="preserve"> بل </w:t>
      </w:r>
      <w:r>
        <w:rPr>
          <w:rFonts w:hint="cs"/>
          <w:rtl/>
        </w:rPr>
        <w:t xml:space="preserve">في ابتعاد </w:t>
      </w:r>
      <w:r w:rsidRPr="007D7079">
        <w:rPr>
          <w:rFonts w:hint="cs"/>
          <w:rtl/>
        </w:rPr>
        <w:t>المؤس</w:t>
      </w:r>
      <w:r>
        <w:rPr>
          <w:rFonts w:hint="cs"/>
          <w:rtl/>
        </w:rPr>
        <w:t>ّ</w:t>
      </w:r>
      <w:r w:rsidRPr="007D7079">
        <w:rPr>
          <w:rFonts w:hint="cs"/>
          <w:rtl/>
        </w:rPr>
        <w:t>سة البيتية بالمرأة خطوة</w:t>
      </w:r>
      <w:r>
        <w:rPr>
          <w:rFonts w:hint="cs"/>
          <w:rtl/>
        </w:rPr>
        <w:t>ً</w:t>
      </w:r>
      <w:r w:rsidRPr="007D7079">
        <w:rPr>
          <w:rFonts w:hint="cs"/>
          <w:rtl/>
        </w:rPr>
        <w:t xml:space="preserve"> خطوة عن مصادر القو</w:t>
      </w:r>
      <w:r>
        <w:rPr>
          <w:rFonts w:hint="cs"/>
          <w:rtl/>
        </w:rPr>
        <w:t>ّ</w:t>
      </w:r>
      <w:r w:rsidRPr="007D7079">
        <w:rPr>
          <w:rFonts w:hint="cs"/>
          <w:rtl/>
        </w:rPr>
        <w:t>ة الرئيس</w:t>
      </w:r>
      <w:r>
        <w:rPr>
          <w:rFonts w:hint="cs"/>
          <w:rtl/>
        </w:rPr>
        <w:t>ة،</w:t>
      </w:r>
      <w:r w:rsidRPr="007D7079">
        <w:rPr>
          <w:rFonts w:hint="cs"/>
          <w:rtl/>
        </w:rPr>
        <w:t xml:space="preserve"> </w:t>
      </w:r>
      <w:r>
        <w:rPr>
          <w:rFonts w:hint="cs"/>
          <w:rtl/>
        </w:rPr>
        <w:t>فأ</w:t>
      </w:r>
      <w:r w:rsidRPr="007D7079">
        <w:rPr>
          <w:rFonts w:hint="cs"/>
          <w:rtl/>
        </w:rPr>
        <w:t xml:space="preserve">ن نقوم </w:t>
      </w:r>
      <w:r>
        <w:rPr>
          <w:rFonts w:hint="cs"/>
          <w:rtl/>
        </w:rPr>
        <w:t xml:space="preserve">ـ </w:t>
      </w:r>
      <w:r w:rsidRPr="007D7079">
        <w:rPr>
          <w:rFonts w:hint="cs"/>
          <w:rtl/>
        </w:rPr>
        <w:t xml:space="preserve">بعد قرون من تقسيم </w:t>
      </w:r>
      <w:r>
        <w:rPr>
          <w:rFonts w:hint="cs"/>
          <w:rtl/>
        </w:rPr>
        <w:t xml:space="preserve">إلزامي </w:t>
      </w:r>
      <w:r w:rsidRPr="007D7079">
        <w:rPr>
          <w:rFonts w:hint="cs"/>
          <w:rtl/>
        </w:rPr>
        <w:t>للعمل على</w:t>
      </w:r>
      <w:r>
        <w:rPr>
          <w:rFonts w:hint="cs"/>
          <w:rtl/>
        </w:rPr>
        <w:t xml:space="preserve"> المرأة </w:t>
      </w:r>
      <w:r w:rsidRPr="007D7079">
        <w:rPr>
          <w:rFonts w:hint="cs"/>
          <w:rtl/>
        </w:rPr>
        <w:t xml:space="preserve">في </w:t>
      </w:r>
      <w:r>
        <w:rPr>
          <w:rFonts w:hint="cs"/>
          <w:rtl/>
        </w:rPr>
        <w:t xml:space="preserve">ظلّ </w:t>
      </w:r>
      <w:r w:rsidRPr="007D7079">
        <w:rPr>
          <w:rFonts w:hint="cs"/>
          <w:rtl/>
        </w:rPr>
        <w:t xml:space="preserve">نظام سيادة الرجل </w:t>
      </w:r>
      <w:r>
        <w:rPr>
          <w:rFonts w:hint="cs"/>
          <w:rtl/>
        </w:rPr>
        <w:t xml:space="preserve">ـ </w:t>
      </w:r>
      <w:r w:rsidRPr="007D7079">
        <w:rPr>
          <w:rFonts w:hint="cs"/>
          <w:rtl/>
        </w:rPr>
        <w:t>وند</w:t>
      </w:r>
      <w:r>
        <w:rPr>
          <w:rFonts w:hint="cs"/>
          <w:rtl/>
        </w:rPr>
        <w:t>ّ</w:t>
      </w:r>
      <w:r w:rsidRPr="007D7079">
        <w:rPr>
          <w:rFonts w:hint="cs"/>
          <w:rtl/>
        </w:rPr>
        <w:t xml:space="preserve">عي </w:t>
      </w:r>
      <w:r>
        <w:rPr>
          <w:rFonts w:hint="cs"/>
          <w:rtl/>
        </w:rPr>
        <w:t xml:space="preserve">القدرة على </w:t>
      </w:r>
      <w:r w:rsidRPr="007D7079">
        <w:rPr>
          <w:rFonts w:hint="cs"/>
          <w:rtl/>
        </w:rPr>
        <w:t xml:space="preserve">إعادة تقييم مثل هذا التقسيم </w:t>
      </w:r>
      <w:r>
        <w:rPr>
          <w:rFonts w:hint="cs"/>
          <w:rtl/>
        </w:rPr>
        <w:t>ب</w:t>
      </w:r>
      <w:r w:rsidRPr="007D7079">
        <w:rPr>
          <w:rFonts w:hint="cs"/>
          <w:rtl/>
        </w:rPr>
        <w:t>نحو مختلف يعطي عمل</w:t>
      </w:r>
      <w:r>
        <w:rPr>
          <w:rFonts w:hint="cs"/>
          <w:rtl/>
        </w:rPr>
        <w:t xml:space="preserve">ها </w:t>
      </w:r>
      <w:r w:rsidRPr="007D7079">
        <w:rPr>
          <w:rFonts w:hint="cs"/>
          <w:rtl/>
        </w:rPr>
        <w:t>أهمية</w:t>
      </w:r>
      <w:r>
        <w:rPr>
          <w:rFonts w:hint="cs"/>
          <w:rtl/>
        </w:rPr>
        <w:t>ً</w:t>
      </w:r>
      <w:r w:rsidRPr="007D7079">
        <w:rPr>
          <w:rFonts w:hint="cs"/>
          <w:rtl/>
        </w:rPr>
        <w:t xml:space="preserve"> أكثر</w:t>
      </w:r>
      <w:r>
        <w:rPr>
          <w:rFonts w:hint="cs"/>
          <w:rtl/>
        </w:rPr>
        <w:t>،</w:t>
      </w:r>
      <w:r w:rsidRPr="007D7079">
        <w:rPr>
          <w:rFonts w:hint="cs"/>
          <w:rtl/>
        </w:rPr>
        <w:t xml:space="preserve"> دون القيام بأي</w:t>
      </w:r>
      <w:r>
        <w:rPr>
          <w:rFonts w:hint="cs"/>
          <w:rtl/>
        </w:rPr>
        <w:t>ّ</w:t>
      </w:r>
      <w:r w:rsidRPr="007D7079">
        <w:rPr>
          <w:rFonts w:hint="cs"/>
          <w:rtl/>
        </w:rPr>
        <w:t xml:space="preserve"> تغيير في سلطة الرجل</w:t>
      </w:r>
      <w:r>
        <w:rPr>
          <w:rFonts w:hint="cs"/>
          <w:rtl/>
        </w:rPr>
        <w:t>..</w:t>
      </w:r>
      <w:r w:rsidRPr="007D7079">
        <w:rPr>
          <w:rFonts w:hint="cs"/>
          <w:rtl/>
        </w:rPr>
        <w:t xml:space="preserve"> </w:t>
      </w:r>
      <w:r>
        <w:rPr>
          <w:rFonts w:hint="cs"/>
          <w:rtl/>
        </w:rPr>
        <w:t xml:space="preserve">ذلك كلّه ليس سوى </w:t>
      </w:r>
      <w:r w:rsidRPr="007D7079">
        <w:rPr>
          <w:rFonts w:hint="cs"/>
          <w:rtl/>
        </w:rPr>
        <w:t>ذر</w:t>
      </w:r>
      <w:r>
        <w:rPr>
          <w:rFonts w:hint="cs"/>
          <w:rtl/>
        </w:rPr>
        <w:t>ٍّ</w:t>
      </w:r>
      <w:r w:rsidRPr="007D7079">
        <w:rPr>
          <w:rFonts w:hint="cs"/>
          <w:rtl/>
        </w:rPr>
        <w:t xml:space="preserve"> </w:t>
      </w:r>
      <w:r>
        <w:rPr>
          <w:rFonts w:hint="cs"/>
          <w:rtl/>
        </w:rPr>
        <w:t>ل</w:t>
      </w:r>
      <w:r w:rsidRPr="007D7079">
        <w:rPr>
          <w:rFonts w:hint="cs"/>
          <w:rtl/>
        </w:rPr>
        <w:t>لرماد في العيون أمام هذا الواقع المفروض.</w:t>
      </w:r>
    </w:p>
    <w:p w:rsidR="006E0FDB" w:rsidRPr="007D7079" w:rsidRDefault="006E0FDB" w:rsidP="006E0FDB">
      <w:pPr>
        <w:pStyle w:val="ac"/>
        <w:rPr>
          <w:rtl/>
        </w:rPr>
      </w:pPr>
      <w:r w:rsidRPr="007D7079">
        <w:rPr>
          <w:rFonts w:hint="cs"/>
          <w:rtl/>
        </w:rPr>
        <w:t>إن القيم والمعتقدات</w:t>
      </w:r>
      <w:r>
        <w:rPr>
          <w:rFonts w:hint="cs"/>
          <w:rtl/>
        </w:rPr>
        <w:t>،</w:t>
      </w:r>
      <w:r w:rsidRPr="007D7079">
        <w:rPr>
          <w:rFonts w:hint="cs"/>
          <w:rtl/>
        </w:rPr>
        <w:t xml:space="preserve"> و</w:t>
      </w:r>
      <w:r>
        <w:rPr>
          <w:rFonts w:hint="cs"/>
          <w:rtl/>
        </w:rPr>
        <w:t>إ</w:t>
      </w:r>
      <w:r w:rsidRPr="007D7079">
        <w:rPr>
          <w:rFonts w:hint="cs"/>
          <w:rtl/>
        </w:rPr>
        <w:t>ن كان لها أثرها في شكل الحياة ال</w:t>
      </w:r>
      <w:r>
        <w:rPr>
          <w:rFonts w:hint="cs"/>
          <w:rtl/>
        </w:rPr>
        <w:t>اجتماع</w:t>
      </w:r>
      <w:r w:rsidRPr="007D7079">
        <w:rPr>
          <w:rFonts w:hint="cs"/>
          <w:rtl/>
        </w:rPr>
        <w:t>ية</w:t>
      </w:r>
      <w:r>
        <w:rPr>
          <w:rFonts w:hint="cs"/>
          <w:rtl/>
        </w:rPr>
        <w:t>،</w:t>
      </w:r>
      <w:r w:rsidRPr="007D7079">
        <w:rPr>
          <w:rFonts w:hint="cs"/>
          <w:rtl/>
        </w:rPr>
        <w:t xml:space="preserve"> لكننا لا نتمك</w:t>
      </w:r>
      <w:r>
        <w:rPr>
          <w:rFonts w:hint="cs"/>
          <w:rtl/>
        </w:rPr>
        <w:t>ّ</w:t>
      </w:r>
      <w:r w:rsidRPr="007D7079">
        <w:rPr>
          <w:rFonts w:hint="cs"/>
          <w:rtl/>
        </w:rPr>
        <w:t>ن من إغماض العين عن الظروف الخارجية المحيطة</w:t>
      </w:r>
      <w:r>
        <w:rPr>
          <w:rFonts w:hint="cs"/>
          <w:rtl/>
        </w:rPr>
        <w:t>، كما أ</w:t>
      </w:r>
      <w:r w:rsidRPr="007D7079">
        <w:rPr>
          <w:rFonts w:hint="cs"/>
          <w:rtl/>
        </w:rPr>
        <w:t>ن</w:t>
      </w:r>
      <w:r>
        <w:rPr>
          <w:rFonts w:hint="cs"/>
          <w:rtl/>
        </w:rPr>
        <w:t>ّ</w:t>
      </w:r>
      <w:r w:rsidRPr="007D7079">
        <w:rPr>
          <w:rFonts w:hint="cs"/>
          <w:rtl/>
        </w:rPr>
        <w:t xml:space="preserve">ه لا أمل بكون تغيير </w:t>
      </w:r>
      <w:r>
        <w:rPr>
          <w:rFonts w:hint="cs"/>
          <w:rtl/>
        </w:rPr>
        <w:t xml:space="preserve">هذ </w:t>
      </w:r>
      <w:r w:rsidRPr="007D7079">
        <w:rPr>
          <w:rFonts w:hint="cs"/>
          <w:rtl/>
        </w:rPr>
        <w:t>الظروف عاملا</w:t>
      </w:r>
      <w:r>
        <w:rPr>
          <w:rFonts w:hint="cs"/>
          <w:rtl/>
        </w:rPr>
        <w:t>ً</w:t>
      </w:r>
      <w:r w:rsidRPr="007D7079">
        <w:rPr>
          <w:rFonts w:hint="cs"/>
          <w:rtl/>
        </w:rPr>
        <w:t xml:space="preserve"> في تغيير القيم ال</w:t>
      </w:r>
      <w:r>
        <w:rPr>
          <w:rFonts w:hint="cs"/>
          <w:rtl/>
        </w:rPr>
        <w:t>اجتماعية؛</w:t>
      </w:r>
      <w:r w:rsidRPr="007D7079">
        <w:rPr>
          <w:rFonts w:hint="cs"/>
          <w:rtl/>
        </w:rPr>
        <w:t xml:space="preserve"> ولذا لا يُمكن التقليل من أهمية مواجهة </w:t>
      </w:r>
      <w:r w:rsidRPr="007D7079">
        <w:rPr>
          <w:rFonts w:hint="cs"/>
          <w:rtl/>
        </w:rPr>
        <w:lastRenderedPageBreak/>
        <w:t xml:space="preserve">القيم الخاطئة في سبيل القيام بعملية تغيير </w:t>
      </w:r>
      <w:r>
        <w:rPr>
          <w:rFonts w:hint="cs"/>
          <w:rtl/>
        </w:rPr>
        <w:t>اجتماعي،</w:t>
      </w:r>
      <w:r w:rsidRPr="007D7079">
        <w:rPr>
          <w:rFonts w:hint="cs"/>
          <w:rtl/>
        </w:rPr>
        <w:t xml:space="preserve"> إن</w:t>
      </w:r>
      <w:r>
        <w:rPr>
          <w:rFonts w:hint="cs"/>
          <w:rtl/>
        </w:rPr>
        <w:t>ّ</w:t>
      </w:r>
      <w:r w:rsidRPr="007D7079">
        <w:rPr>
          <w:rFonts w:hint="cs"/>
          <w:rtl/>
        </w:rPr>
        <w:t xml:space="preserve"> سعينا وجهدنا</w:t>
      </w:r>
      <w:r>
        <w:rPr>
          <w:rFonts w:hint="cs"/>
          <w:rtl/>
        </w:rPr>
        <w:t xml:space="preserve"> لابدّ </w:t>
      </w:r>
      <w:r w:rsidRPr="007D7079">
        <w:rPr>
          <w:rFonts w:hint="cs"/>
          <w:rtl/>
        </w:rPr>
        <w:t>و</w:t>
      </w:r>
      <w:r>
        <w:rPr>
          <w:rFonts w:hint="cs"/>
          <w:rtl/>
        </w:rPr>
        <w:t>أ</w:t>
      </w:r>
      <w:r w:rsidRPr="007D7079">
        <w:rPr>
          <w:rFonts w:hint="cs"/>
          <w:rtl/>
        </w:rPr>
        <w:t>ن يبذل</w:t>
      </w:r>
      <w:r>
        <w:rPr>
          <w:rFonts w:hint="cs"/>
          <w:rtl/>
        </w:rPr>
        <w:t>ا في كلا الاتجاهين.</w:t>
      </w:r>
    </w:p>
    <w:p w:rsidR="006E0FDB" w:rsidRDefault="006E0FDB" w:rsidP="006E0FDB">
      <w:pPr>
        <w:pStyle w:val="ac"/>
        <w:rPr>
          <w:rtl/>
        </w:rPr>
      </w:pPr>
      <w:r w:rsidRPr="007D7079">
        <w:rPr>
          <w:rFonts w:hint="cs"/>
          <w:rtl/>
        </w:rPr>
        <w:t>ما أكثر الرجال الذين يحترمون عمل</w:t>
      </w:r>
      <w:r>
        <w:rPr>
          <w:rFonts w:hint="cs"/>
          <w:rtl/>
        </w:rPr>
        <w:t xml:space="preserve"> المرأة </w:t>
      </w:r>
      <w:r w:rsidRPr="007D7079">
        <w:rPr>
          <w:rFonts w:hint="cs"/>
          <w:rtl/>
        </w:rPr>
        <w:t>في حياتهم</w:t>
      </w:r>
      <w:r>
        <w:rPr>
          <w:rFonts w:hint="cs"/>
          <w:rtl/>
        </w:rPr>
        <w:t>،</w:t>
      </w:r>
      <w:r w:rsidRPr="007D7079">
        <w:rPr>
          <w:rFonts w:hint="cs"/>
          <w:rtl/>
        </w:rPr>
        <w:t xml:space="preserve"> لكن</w:t>
      </w:r>
      <w:r>
        <w:rPr>
          <w:rFonts w:hint="cs"/>
          <w:rtl/>
        </w:rPr>
        <w:t>ّ</w:t>
      </w:r>
      <w:r w:rsidRPr="007D7079">
        <w:rPr>
          <w:rFonts w:hint="cs"/>
          <w:rtl/>
        </w:rPr>
        <w:t xml:space="preserve"> هذا لا يعني قبول</w:t>
      </w:r>
      <w:r>
        <w:rPr>
          <w:rFonts w:hint="cs"/>
          <w:rtl/>
        </w:rPr>
        <w:t>هم</w:t>
      </w:r>
      <w:r w:rsidRPr="007D7079">
        <w:rPr>
          <w:rFonts w:hint="cs"/>
          <w:rtl/>
        </w:rPr>
        <w:t xml:space="preserve"> بالمساواة</w:t>
      </w:r>
      <w:r>
        <w:rPr>
          <w:rFonts w:hint="cs"/>
          <w:rtl/>
        </w:rPr>
        <w:t xml:space="preserve"> أو </w:t>
      </w:r>
      <w:r w:rsidRPr="007D7079">
        <w:rPr>
          <w:rFonts w:hint="cs"/>
          <w:rtl/>
        </w:rPr>
        <w:t>الاعتراف بجميع</w:t>
      </w:r>
      <w:r>
        <w:rPr>
          <w:rFonts w:hint="cs"/>
          <w:rtl/>
        </w:rPr>
        <w:t xml:space="preserve"> الاستعدادات التي تملكها المرأة،</w:t>
      </w:r>
      <w:r w:rsidRPr="007D7079">
        <w:rPr>
          <w:rFonts w:hint="cs"/>
          <w:rtl/>
        </w:rPr>
        <w:t xml:space="preserve"> وما أكثر النساء اللواتي يحترمن الرجال في حياتهن</w:t>
      </w:r>
      <w:r>
        <w:rPr>
          <w:rFonts w:hint="cs"/>
          <w:rtl/>
        </w:rPr>
        <w:t>ّ</w:t>
      </w:r>
      <w:r w:rsidRPr="007D7079">
        <w:rPr>
          <w:rFonts w:hint="cs"/>
          <w:rtl/>
        </w:rPr>
        <w:t xml:space="preserve"> ويشعرن بالرضا حيال</w:t>
      </w:r>
      <w:r>
        <w:rPr>
          <w:rFonts w:hint="cs"/>
          <w:rtl/>
        </w:rPr>
        <w:t xml:space="preserve">هم، </w:t>
      </w:r>
      <w:r w:rsidRPr="007D7079">
        <w:rPr>
          <w:rFonts w:hint="cs"/>
          <w:rtl/>
        </w:rPr>
        <w:t>لكن</w:t>
      </w:r>
      <w:r>
        <w:rPr>
          <w:rFonts w:hint="cs"/>
          <w:rtl/>
        </w:rPr>
        <w:t>ّ</w:t>
      </w:r>
      <w:r w:rsidRPr="007D7079">
        <w:rPr>
          <w:rFonts w:hint="cs"/>
          <w:rtl/>
        </w:rPr>
        <w:t xml:space="preserve"> ذلك لا يعني قبولهن</w:t>
      </w:r>
      <w:r>
        <w:rPr>
          <w:rFonts w:hint="cs"/>
          <w:rtl/>
        </w:rPr>
        <w:t>ّ</w:t>
      </w:r>
      <w:r w:rsidRPr="007D7079">
        <w:rPr>
          <w:rFonts w:hint="cs"/>
          <w:rtl/>
        </w:rPr>
        <w:t xml:space="preserve"> بظلم </w:t>
      </w:r>
      <w:r>
        <w:rPr>
          <w:rFonts w:hint="cs"/>
          <w:rtl/>
        </w:rPr>
        <w:t>ال</w:t>
      </w:r>
      <w:r w:rsidRPr="007D7079">
        <w:rPr>
          <w:rFonts w:hint="cs"/>
          <w:rtl/>
        </w:rPr>
        <w:t xml:space="preserve">نظام </w:t>
      </w:r>
      <w:r>
        <w:rPr>
          <w:rFonts w:hint="cs"/>
          <w:rtl/>
        </w:rPr>
        <w:t>الذكوري،</w:t>
      </w:r>
      <w:r w:rsidRPr="007D7079">
        <w:rPr>
          <w:rFonts w:hint="cs"/>
          <w:rtl/>
        </w:rPr>
        <w:t xml:space="preserve"> إن</w:t>
      </w:r>
      <w:r>
        <w:rPr>
          <w:rFonts w:hint="cs"/>
          <w:rtl/>
        </w:rPr>
        <w:t>ّ</w:t>
      </w:r>
      <w:r w:rsidRPr="007D7079">
        <w:rPr>
          <w:rFonts w:hint="cs"/>
          <w:rtl/>
        </w:rPr>
        <w:t xml:space="preserve"> </w:t>
      </w:r>
      <w:r>
        <w:rPr>
          <w:rFonts w:hint="cs"/>
          <w:rtl/>
        </w:rPr>
        <w:t>هذا ال</w:t>
      </w:r>
      <w:r w:rsidRPr="007D7079">
        <w:rPr>
          <w:rFonts w:hint="cs"/>
          <w:rtl/>
        </w:rPr>
        <w:t xml:space="preserve">نظام </w:t>
      </w:r>
      <w:r>
        <w:rPr>
          <w:rFonts w:hint="cs"/>
          <w:rtl/>
        </w:rPr>
        <w:t>ل</w:t>
      </w:r>
      <w:r w:rsidRPr="007D7079">
        <w:rPr>
          <w:rFonts w:hint="cs"/>
          <w:rtl/>
        </w:rPr>
        <w:t xml:space="preserve">يس </w:t>
      </w:r>
      <w:r>
        <w:rPr>
          <w:rFonts w:hint="cs"/>
          <w:rtl/>
        </w:rPr>
        <w:t>خطأ</w:t>
      </w:r>
      <w:r w:rsidRPr="007D7079">
        <w:rPr>
          <w:rFonts w:hint="cs"/>
          <w:rtl/>
        </w:rPr>
        <w:t xml:space="preserve"> ثقافي</w:t>
      </w:r>
      <w:r>
        <w:rPr>
          <w:rFonts w:hint="cs"/>
          <w:rtl/>
        </w:rPr>
        <w:t xml:space="preserve">ّاً </w:t>
      </w:r>
      <w:r w:rsidRPr="007D7079">
        <w:rPr>
          <w:rFonts w:hint="cs"/>
          <w:rtl/>
        </w:rPr>
        <w:t>تتمك</w:t>
      </w:r>
      <w:r>
        <w:rPr>
          <w:rFonts w:hint="cs"/>
          <w:rtl/>
        </w:rPr>
        <w:t>ّ</w:t>
      </w:r>
      <w:r w:rsidRPr="007D7079">
        <w:rPr>
          <w:rFonts w:hint="cs"/>
          <w:rtl/>
        </w:rPr>
        <w:t xml:space="preserve">ن </w:t>
      </w:r>
      <w:r>
        <w:rPr>
          <w:rFonts w:hint="cs"/>
          <w:rtl/>
        </w:rPr>
        <w:t xml:space="preserve">الحركة </w:t>
      </w:r>
      <w:r w:rsidRPr="007D7079">
        <w:rPr>
          <w:rFonts w:hint="cs"/>
          <w:rtl/>
        </w:rPr>
        <w:t xml:space="preserve">النسوية من حلّه عبر إبدال مجموعة من القيم السائدة بمجموعة </w:t>
      </w:r>
      <w:r>
        <w:rPr>
          <w:rFonts w:hint="cs"/>
          <w:rtl/>
        </w:rPr>
        <w:t>أخرى،</w:t>
      </w:r>
      <w:r w:rsidRPr="007D7079">
        <w:rPr>
          <w:rFonts w:hint="cs"/>
          <w:rtl/>
        </w:rPr>
        <w:t xml:space="preserve"> </w:t>
      </w:r>
      <w:r>
        <w:rPr>
          <w:rFonts w:hint="cs"/>
          <w:rtl/>
        </w:rPr>
        <w:t xml:space="preserve">بل هو </w:t>
      </w:r>
      <w:r w:rsidRPr="007D7079">
        <w:rPr>
          <w:rFonts w:hint="cs"/>
          <w:rtl/>
        </w:rPr>
        <w:t>نظام يستفيد فيه الرجل من</w:t>
      </w:r>
      <w:r>
        <w:rPr>
          <w:rFonts w:hint="cs"/>
          <w:rtl/>
        </w:rPr>
        <w:t xml:space="preserve"> المرأة ل</w:t>
      </w:r>
      <w:r w:rsidRPr="007D7079">
        <w:rPr>
          <w:rFonts w:hint="cs"/>
          <w:rtl/>
        </w:rPr>
        <w:t xml:space="preserve">يقوم بتنظيم عملية توزيع </w:t>
      </w:r>
      <w:r>
        <w:rPr>
          <w:rFonts w:hint="cs"/>
          <w:rtl/>
        </w:rPr>
        <w:t xml:space="preserve">المواقع </w:t>
      </w:r>
      <w:r w:rsidRPr="007D7079">
        <w:rPr>
          <w:rFonts w:hint="cs"/>
          <w:rtl/>
        </w:rPr>
        <w:t>السياسية والاقتصادية وال</w:t>
      </w:r>
      <w:r>
        <w:rPr>
          <w:rFonts w:hint="cs"/>
          <w:rtl/>
        </w:rPr>
        <w:t>اجتماع</w:t>
      </w:r>
      <w:r w:rsidRPr="007D7079">
        <w:rPr>
          <w:rFonts w:hint="cs"/>
          <w:rtl/>
        </w:rPr>
        <w:t xml:space="preserve">ية والثقافية بشكل </w:t>
      </w:r>
      <w:r>
        <w:rPr>
          <w:rFonts w:hint="cs"/>
          <w:rtl/>
        </w:rPr>
        <w:t>غير متساوٍ،</w:t>
      </w:r>
      <w:r w:rsidRPr="007D7079">
        <w:rPr>
          <w:rFonts w:hint="cs"/>
          <w:rtl/>
        </w:rPr>
        <w:t xml:space="preserve"> والرجل </w:t>
      </w:r>
      <w:r>
        <w:rPr>
          <w:rFonts w:hint="cs"/>
          <w:rtl/>
        </w:rPr>
        <w:t xml:space="preserve">ـ بوصفه </w:t>
      </w:r>
      <w:r w:rsidRPr="007D7079">
        <w:rPr>
          <w:rFonts w:hint="cs"/>
          <w:rtl/>
        </w:rPr>
        <w:t>فرد</w:t>
      </w:r>
      <w:r>
        <w:rPr>
          <w:rFonts w:hint="cs"/>
          <w:rtl/>
        </w:rPr>
        <w:t xml:space="preserve">اً أو </w:t>
      </w:r>
      <w:r w:rsidRPr="007D7079">
        <w:rPr>
          <w:rFonts w:hint="cs"/>
          <w:rtl/>
        </w:rPr>
        <w:t>مجموعة</w:t>
      </w:r>
      <w:r>
        <w:rPr>
          <w:rFonts w:hint="cs"/>
          <w:rtl/>
        </w:rPr>
        <w:t>ً</w:t>
      </w:r>
      <w:r w:rsidRPr="007D7079">
        <w:rPr>
          <w:rFonts w:hint="cs"/>
          <w:rtl/>
        </w:rPr>
        <w:t xml:space="preserve"> </w:t>
      </w:r>
      <w:r>
        <w:rPr>
          <w:rFonts w:hint="cs"/>
          <w:rtl/>
        </w:rPr>
        <w:t xml:space="preserve">ـ </w:t>
      </w:r>
      <w:r w:rsidRPr="007D7079">
        <w:rPr>
          <w:rFonts w:hint="cs"/>
          <w:rtl/>
        </w:rPr>
        <w:t>يعود عليه هذا التقسيم بالفائدة</w:t>
      </w:r>
      <w:r>
        <w:rPr>
          <w:rFonts w:hint="cs"/>
          <w:rtl/>
        </w:rPr>
        <w:t>،</w:t>
      </w:r>
      <w:r w:rsidRPr="007D7079">
        <w:rPr>
          <w:rFonts w:hint="cs"/>
          <w:rtl/>
        </w:rPr>
        <w:t xml:space="preserve"> لهذا يرغب </w:t>
      </w:r>
      <w:r>
        <w:rPr>
          <w:rFonts w:hint="cs"/>
          <w:rtl/>
        </w:rPr>
        <w:t xml:space="preserve">الرجال ـ </w:t>
      </w:r>
      <w:r w:rsidRPr="007D7079">
        <w:rPr>
          <w:rFonts w:hint="cs"/>
          <w:rtl/>
        </w:rPr>
        <w:t xml:space="preserve">وبدرجات مختلفة </w:t>
      </w:r>
      <w:r>
        <w:rPr>
          <w:rFonts w:hint="cs"/>
          <w:rtl/>
        </w:rPr>
        <w:t xml:space="preserve">ـ </w:t>
      </w:r>
      <w:r w:rsidRPr="007D7079">
        <w:rPr>
          <w:rFonts w:hint="cs"/>
          <w:rtl/>
        </w:rPr>
        <w:t>ببقا</w:t>
      </w:r>
      <w:r>
        <w:rPr>
          <w:rFonts w:hint="cs"/>
          <w:rtl/>
        </w:rPr>
        <w:t>ئه،</w:t>
      </w:r>
      <w:r w:rsidRPr="007D7079">
        <w:rPr>
          <w:rFonts w:hint="cs"/>
          <w:rtl/>
        </w:rPr>
        <w:t xml:space="preserve"> و</w:t>
      </w:r>
      <w:r>
        <w:rPr>
          <w:rFonts w:hint="cs"/>
          <w:rtl/>
        </w:rPr>
        <w:t xml:space="preserve">الحركة </w:t>
      </w:r>
      <w:r w:rsidRPr="007D7079">
        <w:rPr>
          <w:rFonts w:hint="cs"/>
          <w:rtl/>
        </w:rPr>
        <w:t xml:space="preserve">النسوية تسعى </w:t>
      </w:r>
      <w:r>
        <w:rPr>
          <w:rFonts w:hint="cs"/>
          <w:rtl/>
        </w:rPr>
        <w:t xml:space="preserve">ـ </w:t>
      </w:r>
      <w:r w:rsidRPr="007D7079">
        <w:rPr>
          <w:rFonts w:hint="cs"/>
          <w:rtl/>
        </w:rPr>
        <w:t>فقط</w:t>
      </w:r>
      <w:r>
        <w:rPr>
          <w:rFonts w:hint="cs"/>
          <w:rtl/>
        </w:rPr>
        <w:t xml:space="preserve"> ـ إلى </w:t>
      </w:r>
      <w:r w:rsidRPr="007D7079">
        <w:rPr>
          <w:rFonts w:hint="cs"/>
          <w:rtl/>
        </w:rPr>
        <w:t xml:space="preserve">إزالة هذا التقسيم </w:t>
      </w:r>
      <w:r>
        <w:rPr>
          <w:rFonts w:hint="cs"/>
          <w:rtl/>
        </w:rPr>
        <w:t>الجائر؛ عبر إقرار التساوي بين الجنسين.</w:t>
      </w:r>
    </w:p>
    <w:p w:rsidR="00D87048" w:rsidRDefault="006E0FDB" w:rsidP="006E0FDB">
      <w:pPr>
        <w:pStyle w:val="ac"/>
        <w:rPr>
          <w:spacing w:val="-2"/>
          <w:rtl/>
        </w:rPr>
      </w:pPr>
      <w:r w:rsidRPr="005D2EA0">
        <w:rPr>
          <w:rFonts w:hint="cs"/>
          <w:spacing w:val="-2"/>
          <w:rtl/>
        </w:rPr>
        <w:t>إنّ السعي لترتيب وجه لا يكون خطيراً للنسوية بأمل أن تتمكّن من إقناع الرجل بظلم النظام الذكوري، وبأمل أن يراها الرجل طريقاً للخلاص، غير ممكن، إلا بتركها سلاحها وتخفيف إصلاحاتها إلى إصلاحات قد تجعل المرأة في راحةٍ أكبر، لتمنح الرجل صورة شخصٍ محبوب وعاطفي، لكنّها لن تتمكّن من إلغاء التمييز القائم.</w:t>
      </w:r>
    </w:p>
    <w:p w:rsidR="00D87048" w:rsidRDefault="00D87048" w:rsidP="006E0FDB">
      <w:pPr>
        <w:pStyle w:val="ac"/>
        <w:rPr>
          <w:spacing w:val="-2"/>
          <w:rtl/>
        </w:rPr>
        <w:sectPr w:rsidR="00D87048" w:rsidSect="006628C6">
          <w:headerReference w:type="even" r:id="rId103"/>
          <w:headerReference w:type="default" r:id="rId10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6E0FDB" w:rsidRDefault="006E0FDB" w:rsidP="006E0FDB">
      <w:pPr>
        <w:pStyle w:val="ac"/>
        <w:rPr>
          <w:spacing w:val="-2"/>
          <w:rtl/>
        </w:rPr>
      </w:pPr>
    </w:p>
    <w:p w:rsidR="006E0FDB" w:rsidRDefault="006E0FDB">
      <w:pPr>
        <w:widowControl/>
        <w:bidi w:val="0"/>
        <w:spacing w:line="240" w:lineRule="auto"/>
        <w:ind w:firstLine="0"/>
        <w:jc w:val="left"/>
        <w:outlineLvl w:val="9"/>
        <w:rPr>
          <w:rFonts w:ascii="Arno Pro Display" w:hAnsi="Arno Pro Display"/>
          <w:spacing w:val="-2"/>
          <w:sz w:val="28"/>
          <w:szCs w:val="30"/>
          <w:rtl/>
        </w:rPr>
      </w:pPr>
      <w:r>
        <w:rPr>
          <w:spacing w:val="-2"/>
          <w:rtl/>
        </w:rPr>
        <w:br w:type="page"/>
      </w:r>
    </w:p>
    <w:p w:rsidR="009368DE" w:rsidRDefault="009368DE">
      <w:pPr>
        <w:widowControl/>
        <w:bidi w:val="0"/>
        <w:spacing w:line="240" w:lineRule="auto"/>
        <w:ind w:firstLine="0"/>
        <w:jc w:val="left"/>
        <w:outlineLvl w:val="9"/>
        <w:rPr>
          <w:rFonts w:ascii="Arno Pro Display" w:hAnsi="Arno Pro Display"/>
          <w:sz w:val="28"/>
          <w:szCs w:val="30"/>
          <w:rtl/>
        </w:rPr>
      </w:pPr>
      <w:r>
        <w:rPr>
          <w:rtl/>
        </w:rPr>
        <w:lastRenderedPageBreak/>
        <w:br w:type="page"/>
      </w:r>
    </w:p>
    <w:p w:rsidR="006E0FDB" w:rsidRDefault="006E0FDB" w:rsidP="006E0FDB">
      <w:pPr>
        <w:pStyle w:val="ac"/>
        <w:rPr>
          <w:rtl/>
        </w:rPr>
      </w:pPr>
    </w:p>
    <w:p w:rsidR="006E0FDB" w:rsidRDefault="006E0FDB" w:rsidP="006E0FDB">
      <w:pPr>
        <w:pStyle w:val="ac"/>
        <w:rPr>
          <w:rtl/>
        </w:rPr>
      </w:pPr>
    </w:p>
    <w:p w:rsidR="006E0FDB" w:rsidRDefault="006E0FDB" w:rsidP="006E0FDB">
      <w:pPr>
        <w:pStyle w:val="ac"/>
        <w:rPr>
          <w:rtl/>
        </w:rPr>
      </w:pPr>
    </w:p>
    <w:p w:rsidR="006E0FDB" w:rsidRDefault="006E0FDB" w:rsidP="006E0FDB">
      <w:pPr>
        <w:pStyle w:val="ac"/>
        <w:rPr>
          <w:rtl/>
        </w:rPr>
      </w:pPr>
    </w:p>
    <w:p w:rsidR="006E0FDB" w:rsidRDefault="006E0FDB" w:rsidP="006E0FDB">
      <w:pPr>
        <w:pStyle w:val="ac"/>
        <w:rPr>
          <w:rtl/>
        </w:rPr>
      </w:pPr>
    </w:p>
    <w:p w:rsidR="00D87048" w:rsidRDefault="00D87048" w:rsidP="006E0FDB">
      <w:pPr>
        <w:pStyle w:val="aff2"/>
        <w:rPr>
          <w:rtl/>
        </w:rPr>
        <w:sectPr w:rsidR="00D87048" w:rsidSect="006628C6">
          <w:headerReference w:type="even" r:id="rId105"/>
          <w:headerReference w:type="default" r:id="rId10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566" w:name="_Toc169521473"/>
    </w:p>
    <w:p w:rsidR="006E0FDB" w:rsidRDefault="006E0FDB" w:rsidP="006E0FDB">
      <w:pPr>
        <w:pStyle w:val="aff2"/>
        <w:rPr>
          <w:rStyle w:val="CharCharChar"/>
          <w:rFonts w:cs="Abz-3 (Yagut)"/>
          <w:b w:val="0"/>
          <w:szCs w:val="36"/>
          <w:rtl/>
        </w:rPr>
      </w:pPr>
      <w:bookmarkStart w:id="567" w:name="_Toc275128243"/>
      <w:r w:rsidRPr="006E0FDB">
        <w:rPr>
          <w:rFonts w:hint="cs"/>
          <w:rtl/>
        </w:rPr>
        <w:lastRenderedPageBreak/>
        <w:t>الحركة النسوية ومنزلة المرأة في الإسلام</w:t>
      </w:r>
      <w:bookmarkEnd w:id="566"/>
      <w:bookmarkEnd w:id="567"/>
    </w:p>
    <w:p w:rsidR="006E0FDB" w:rsidRPr="006E0FDB" w:rsidRDefault="006E0FDB" w:rsidP="006E0FDB">
      <w:pPr>
        <w:pStyle w:val="aff2"/>
        <w:rPr>
          <w:rStyle w:val="CharCharChar"/>
          <w:rFonts w:cs="Abz-3 (Yagut)"/>
          <w:b w:val="0"/>
          <w:sz w:val="20"/>
          <w:szCs w:val="26"/>
          <w:rtl/>
        </w:rPr>
      </w:pPr>
      <w:bookmarkStart w:id="568" w:name="_Toc169521474"/>
      <w:bookmarkStart w:id="569" w:name="_Toc275128244"/>
      <w:r w:rsidRPr="006E0FDB">
        <w:rPr>
          <w:rFonts w:hint="cs"/>
          <w:sz w:val="22"/>
          <w:szCs w:val="40"/>
          <w:rtl/>
        </w:rPr>
        <w:t>قراءة مقارنة</w:t>
      </w:r>
      <w:bookmarkEnd w:id="568"/>
      <w:bookmarkEnd w:id="569"/>
    </w:p>
    <w:p w:rsidR="006E0FDB" w:rsidRPr="00FE6483" w:rsidRDefault="006E0FDB" w:rsidP="006E0FDB">
      <w:pPr>
        <w:pStyle w:val="af7"/>
        <w:rPr>
          <w:rtl/>
        </w:rPr>
      </w:pPr>
      <w:bookmarkStart w:id="570" w:name="_Toc169521475"/>
      <w:bookmarkStart w:id="571" w:name="_Toc275128245"/>
      <w:r w:rsidRPr="00FE6483">
        <w:rPr>
          <w:rFonts w:hint="cs"/>
          <w:rtl/>
        </w:rPr>
        <w:t>السيد محمد شفيعي المازندراني</w:t>
      </w:r>
      <w:r w:rsidRPr="00E33C4C">
        <w:rPr>
          <w:rFonts w:ascii="Mosawi" w:hAnsi="Mosawi" w:cs="Taher"/>
          <w:b/>
          <w:bCs w:val="0"/>
          <w:position w:val="-2"/>
          <w:sz w:val="28"/>
          <w:szCs w:val="30"/>
          <w:vertAlign w:val="superscript"/>
          <w:rtl/>
          <w:lang w:eastAsia="en-US"/>
        </w:rPr>
        <w:footnoteReference w:customMarkFollows="1" w:id="944"/>
        <w:t>(*)</w:t>
      </w:r>
      <w:bookmarkEnd w:id="570"/>
      <w:bookmarkEnd w:id="571"/>
    </w:p>
    <w:p w:rsidR="006E0FDB" w:rsidRPr="0017088F" w:rsidRDefault="006E0FDB" w:rsidP="006E0FDB">
      <w:pPr>
        <w:pStyle w:val="af7"/>
        <w:spacing w:before="0"/>
        <w:rPr>
          <w:color w:val="000000"/>
          <w:rtl/>
        </w:rPr>
      </w:pPr>
      <w:bookmarkStart w:id="572" w:name="_Toc275128246"/>
      <w:r w:rsidRPr="00FE6483">
        <w:rPr>
          <w:rFonts w:hint="cs"/>
          <w:rtl/>
        </w:rPr>
        <w:t>ترجمة: الشيخ علي ظاهر</w:t>
      </w:r>
      <w:bookmarkEnd w:id="572"/>
    </w:p>
    <w:p w:rsidR="006E0FDB" w:rsidRPr="009368DE" w:rsidRDefault="006E0FDB" w:rsidP="006E0FDB">
      <w:pPr>
        <w:pStyle w:val="ac"/>
        <w:rPr>
          <w:sz w:val="24"/>
          <w:szCs w:val="26"/>
          <w:rtl/>
        </w:rPr>
      </w:pPr>
      <w:bookmarkStart w:id="573" w:name="_Toc169521476"/>
    </w:p>
    <w:p w:rsidR="006E0FDB" w:rsidRPr="0017088F" w:rsidRDefault="006E0FDB" w:rsidP="006E0FDB">
      <w:pPr>
        <w:pStyle w:val="1"/>
        <w:rPr>
          <w:rtl/>
        </w:rPr>
      </w:pPr>
      <w:bookmarkStart w:id="574" w:name="_Toc275128247"/>
      <w:r w:rsidRPr="0017088F">
        <w:rPr>
          <w:rFonts w:hint="cs"/>
          <w:rtl/>
        </w:rPr>
        <w:t>ال</w:t>
      </w:r>
      <w:r>
        <w:rPr>
          <w:rFonts w:hint="cs"/>
          <w:rtl/>
        </w:rPr>
        <w:t>مقدمة</w:t>
      </w:r>
      <w:bookmarkEnd w:id="573"/>
      <w:bookmarkEnd w:id="574"/>
    </w:p>
    <w:p w:rsidR="006E0FDB" w:rsidRPr="0017088F" w:rsidRDefault="006E0FDB" w:rsidP="00C86626">
      <w:pPr>
        <w:pStyle w:val="ac"/>
        <w:rPr>
          <w:rFonts w:cs="DanaFajr"/>
          <w:szCs w:val="33"/>
          <w:rtl/>
        </w:rPr>
      </w:pPr>
      <w:r w:rsidRPr="00E14ED6">
        <w:rPr>
          <w:rFonts w:hint="cs"/>
          <w:rtl/>
        </w:rPr>
        <w:t>قبل فتح مكة كان أبو سفيان قد نقض صلح الحديبية فأراد المجيء إلى المدينة لوضع حلٍّ للمشكلة لصالحه، لهذا الأمر توجّه قاصداً المدينة للقاء كبرائها؛ بغية التوسط لمقابلة رسول الله</w:t>
      </w:r>
      <w:r w:rsidR="00C86626">
        <w:rPr>
          <w:rFonts w:hint="cs"/>
          <w:rtl/>
        </w:rPr>
        <w:t>’</w:t>
      </w:r>
      <w:r w:rsidRPr="00E14ED6">
        <w:rPr>
          <w:rFonts w:hint="cs"/>
          <w:rtl/>
        </w:rPr>
        <w:t xml:space="preserve"> والحصول على الأمان، والتوصل لمعاهدة للصلح، فلم تتم الاستجابة له، ويروى أنه التجأ إلى السيدة فاطمة الزهراء عليها السلام فلم يصل إلى نتيجة: </w:t>
      </w:r>
      <w:r w:rsidRPr="00617008">
        <w:rPr>
          <w:rFonts w:hint="cs"/>
          <w:rtl/>
        </w:rPr>
        <w:t>«</w:t>
      </w:r>
      <w:r w:rsidRPr="00E14ED6">
        <w:rPr>
          <w:rFonts w:hint="cs"/>
          <w:rtl/>
        </w:rPr>
        <w:t>فالتجأ إلى فاطمة عليها السلام فلم ينفعه</w:t>
      </w:r>
      <w:r w:rsidRPr="00617008">
        <w:rPr>
          <w:rFonts w:hint="cs"/>
          <w:rtl/>
        </w:rPr>
        <w:t>»</w:t>
      </w:r>
      <w:r w:rsidRPr="00815C4C">
        <w:rPr>
          <w:rFonts w:cs="Taher"/>
          <w:vertAlign w:val="superscript"/>
          <w:rtl/>
        </w:rPr>
        <w:t>(</w:t>
      </w:r>
      <w:r w:rsidRPr="00815C4C">
        <w:rPr>
          <w:rFonts w:cs="Taher"/>
          <w:vertAlign w:val="superscript"/>
          <w:rtl/>
        </w:rPr>
        <w:footnoteReference w:id="945"/>
      </w:r>
      <w:r w:rsidRPr="00815C4C">
        <w:rPr>
          <w:rFonts w:cs="Taher"/>
          <w:vertAlign w:val="superscript"/>
          <w:rtl/>
        </w:rPr>
        <w:t>)</w:t>
      </w:r>
      <w:r w:rsidRPr="0017088F">
        <w:rPr>
          <w:rFonts w:hint="cs"/>
          <w:szCs w:val="33"/>
          <w:rtl/>
        </w:rPr>
        <w:t>.</w:t>
      </w:r>
    </w:p>
    <w:p w:rsidR="006E0FDB" w:rsidRPr="00A62353" w:rsidRDefault="006E0FDB" w:rsidP="00C86626">
      <w:pPr>
        <w:pStyle w:val="ac"/>
        <w:rPr>
          <w:spacing w:val="-4"/>
          <w:rtl/>
        </w:rPr>
      </w:pPr>
      <w:r w:rsidRPr="00A62353">
        <w:rPr>
          <w:rFonts w:hint="cs"/>
          <w:spacing w:val="-4"/>
          <w:rtl/>
        </w:rPr>
        <w:t>من هذا المقطع التاريخي، يظهر لنا أنّه كان للسيدة فاطمة</w:t>
      </w:r>
      <w:r w:rsidR="00C86626">
        <w:rPr>
          <w:rFonts w:hint="cs"/>
          <w:spacing w:val="-4"/>
          <w:rtl/>
        </w:rPr>
        <w:t>÷</w:t>
      </w:r>
      <w:r w:rsidRPr="00A62353">
        <w:rPr>
          <w:rFonts w:hint="cs"/>
          <w:spacing w:val="-4"/>
          <w:rtl/>
        </w:rPr>
        <w:t xml:space="preserve"> دخالة في الأمور الاجتماعية والسياسية؛ ولذلك رجع أبو سفيان إليها، إلاّ أنها لم تقبل التوسّط له.</w:t>
      </w:r>
    </w:p>
    <w:p w:rsidR="006E0FDB" w:rsidRPr="00E14ED6" w:rsidRDefault="006E0FDB" w:rsidP="00350F90">
      <w:pPr>
        <w:pStyle w:val="ac"/>
        <w:rPr>
          <w:rtl/>
        </w:rPr>
      </w:pPr>
      <w:r w:rsidRPr="00E14ED6">
        <w:rPr>
          <w:rFonts w:hint="cs"/>
          <w:rtl/>
        </w:rPr>
        <w:t>وفي عام فتح مكة التجأ الحارث بن هشام إلى أم هانئ ابنة أبي طالب فأعطته الأمان، ولما دخل الإمام علي</w:t>
      </w:r>
      <w:r w:rsidR="00350F90">
        <w:rPr>
          <w:rFonts w:hint="cs"/>
          <w:rtl/>
        </w:rPr>
        <w:t>×</w:t>
      </w:r>
      <w:r w:rsidRPr="00E14ED6">
        <w:rPr>
          <w:rFonts w:hint="cs"/>
          <w:rtl/>
        </w:rPr>
        <w:t xml:space="preserve"> المنـزل أراد مجازاة الحارث، فوقفت أم هانئ أمامه حائلةً دون </w:t>
      </w:r>
      <w:r w:rsidRPr="00E14ED6">
        <w:rPr>
          <w:rFonts w:hint="cs"/>
          <w:rtl/>
        </w:rPr>
        <w:lastRenderedPageBreak/>
        <w:t>ذلك.</w:t>
      </w:r>
    </w:p>
    <w:p w:rsidR="006E0FDB" w:rsidRPr="00E14ED6" w:rsidRDefault="006E0FDB" w:rsidP="00C86626">
      <w:pPr>
        <w:pStyle w:val="ac"/>
        <w:rPr>
          <w:rtl/>
        </w:rPr>
      </w:pPr>
      <w:r w:rsidRPr="00E14ED6">
        <w:rPr>
          <w:rFonts w:hint="cs"/>
          <w:rtl/>
        </w:rPr>
        <w:t>عندها دخل النبي الأكرم</w:t>
      </w:r>
      <w:r w:rsidR="00C86626">
        <w:rPr>
          <w:rFonts w:hint="cs"/>
          <w:rtl/>
        </w:rPr>
        <w:t>’</w:t>
      </w:r>
      <w:r w:rsidRPr="00E14ED6">
        <w:rPr>
          <w:rFonts w:hint="cs"/>
          <w:rtl/>
        </w:rPr>
        <w:t xml:space="preserve"> فشاهد أم هانئ على هذه الحالة فنظر إليها فتبسّم، وقال:</w:t>
      </w:r>
      <w:r>
        <w:rPr>
          <w:rFonts w:hint="cs"/>
          <w:rtl/>
        </w:rPr>
        <w:t xml:space="preserve"> </w:t>
      </w:r>
      <w:r w:rsidRPr="00617008">
        <w:rPr>
          <w:rFonts w:hint="cs"/>
          <w:rtl/>
        </w:rPr>
        <w:t>«</w:t>
      </w:r>
      <w:r w:rsidRPr="00E14ED6">
        <w:rPr>
          <w:rFonts w:hint="cs"/>
          <w:rtl/>
        </w:rPr>
        <w:t>قد أجرنا من أجرت؛ ولا تغضبي علياً فإنّ الله يغضب لغضبه</w:t>
      </w:r>
      <w:r w:rsidRPr="00617008">
        <w:rPr>
          <w:rFonts w:hint="cs"/>
          <w:rtl/>
        </w:rPr>
        <w:t>»</w:t>
      </w:r>
      <w:r w:rsidRPr="00E14ED6">
        <w:rPr>
          <w:rFonts w:hint="cs"/>
          <w:rtl/>
        </w:rPr>
        <w:t>.</w:t>
      </w:r>
    </w:p>
    <w:p w:rsidR="006E0FDB" w:rsidRPr="0017088F" w:rsidRDefault="006E0FDB" w:rsidP="00350F90">
      <w:pPr>
        <w:pStyle w:val="ac"/>
        <w:rPr>
          <w:rFonts w:cs="DanaFajr"/>
          <w:szCs w:val="33"/>
          <w:rtl/>
        </w:rPr>
      </w:pPr>
      <w:r w:rsidRPr="00E14ED6">
        <w:rPr>
          <w:rFonts w:hint="cs"/>
          <w:rtl/>
        </w:rPr>
        <w:t>ثم قال</w:t>
      </w:r>
      <w:r w:rsidR="00350F90">
        <w:rPr>
          <w:rFonts w:hint="cs"/>
          <w:rtl/>
        </w:rPr>
        <w:t>’</w:t>
      </w:r>
      <w:r w:rsidRPr="00E14ED6">
        <w:rPr>
          <w:rFonts w:hint="cs"/>
          <w:rtl/>
        </w:rPr>
        <w:t xml:space="preserve">: يا علي أغلبتك امرأة؟ فقال: يا رسول الله ما قدرت أن أرفع قدمي من الأرض، فضحك النبي عليه الصلاة والسلام وقال: </w:t>
      </w:r>
      <w:r w:rsidRPr="00885E99">
        <w:rPr>
          <w:rFonts w:hint="cs"/>
          <w:rtl/>
        </w:rPr>
        <w:t>«</w:t>
      </w:r>
      <w:r w:rsidRPr="00E14ED6">
        <w:rPr>
          <w:rFonts w:hint="cs"/>
          <w:rtl/>
        </w:rPr>
        <w:t>لو أن أبا طالب ولد الناس لكانوا شجعاناً</w:t>
      </w:r>
      <w:r w:rsidRPr="00617008">
        <w:rPr>
          <w:rFonts w:hint="cs"/>
          <w:rtl/>
        </w:rPr>
        <w:t>»</w:t>
      </w:r>
      <w:r w:rsidRPr="00815C4C">
        <w:rPr>
          <w:rFonts w:cs="Taher"/>
          <w:vertAlign w:val="superscript"/>
          <w:rtl/>
        </w:rPr>
        <w:t>(</w:t>
      </w:r>
      <w:r w:rsidRPr="00815C4C">
        <w:rPr>
          <w:rFonts w:cs="Taher"/>
          <w:vertAlign w:val="superscript"/>
          <w:rtl/>
        </w:rPr>
        <w:footnoteReference w:id="946"/>
      </w:r>
      <w:r w:rsidRPr="00815C4C">
        <w:rPr>
          <w:rFonts w:cs="Taher"/>
          <w:vertAlign w:val="superscript"/>
          <w:rtl/>
        </w:rPr>
        <w:t>)</w:t>
      </w:r>
      <w:r w:rsidRPr="00E14ED6">
        <w:rPr>
          <w:rFonts w:hint="cs"/>
          <w:rtl/>
        </w:rPr>
        <w:t>.</w:t>
      </w:r>
    </w:p>
    <w:p w:rsidR="006E0FDB" w:rsidRPr="00E14ED6" w:rsidRDefault="006E0FDB" w:rsidP="00A731E2">
      <w:pPr>
        <w:pStyle w:val="ac"/>
        <w:rPr>
          <w:rtl/>
        </w:rPr>
      </w:pPr>
      <w:r w:rsidRPr="00E14ED6">
        <w:rPr>
          <w:rFonts w:hint="cs"/>
          <w:rtl/>
        </w:rPr>
        <w:t xml:space="preserve">وفي كتاب </w:t>
      </w:r>
      <w:r w:rsidRPr="00885E99">
        <w:rPr>
          <w:rFonts w:hint="cs"/>
          <w:rtl/>
        </w:rPr>
        <w:t>«</w:t>
      </w:r>
      <w:r w:rsidRPr="00E14ED6">
        <w:rPr>
          <w:rFonts w:hint="cs"/>
          <w:rtl/>
        </w:rPr>
        <w:t>النهاية</w:t>
      </w:r>
      <w:r w:rsidRPr="00617008">
        <w:rPr>
          <w:rFonts w:hint="cs"/>
          <w:rtl/>
        </w:rPr>
        <w:t>»</w:t>
      </w:r>
      <w:r w:rsidRPr="00E14ED6">
        <w:rPr>
          <w:rFonts w:hint="cs"/>
          <w:rtl/>
        </w:rPr>
        <w:t xml:space="preserve"> لإبن الأثير، ورد في بحث </w:t>
      </w:r>
      <w:r w:rsidRPr="00885E99">
        <w:rPr>
          <w:rFonts w:hint="cs"/>
          <w:rtl/>
        </w:rPr>
        <w:t>«</w:t>
      </w:r>
      <w:r w:rsidRPr="00E14ED6">
        <w:rPr>
          <w:rFonts w:hint="cs"/>
          <w:rtl/>
        </w:rPr>
        <w:t>لمم</w:t>
      </w:r>
      <w:r w:rsidRPr="00617008">
        <w:rPr>
          <w:rFonts w:hint="cs"/>
          <w:rtl/>
        </w:rPr>
        <w:t>»</w:t>
      </w:r>
      <w:r w:rsidRPr="00E14ED6">
        <w:rPr>
          <w:rFonts w:hint="cs"/>
          <w:rtl/>
        </w:rPr>
        <w:t xml:space="preserve"> حول استجواب السيدة فاطمة الزهراء</w:t>
      </w:r>
      <w:r w:rsidR="00A731E2">
        <w:rPr>
          <w:rFonts w:hint="cs"/>
          <w:rtl/>
        </w:rPr>
        <w:t>÷</w:t>
      </w:r>
      <w:r w:rsidRPr="00E14ED6">
        <w:rPr>
          <w:rFonts w:hint="cs"/>
          <w:rtl/>
        </w:rPr>
        <w:t xml:space="preserve"> </w:t>
      </w:r>
      <w:r>
        <w:rPr>
          <w:rFonts w:hint="cs"/>
          <w:rtl/>
        </w:rPr>
        <w:t xml:space="preserve">لأبي </w:t>
      </w:r>
      <w:r w:rsidRPr="00E14ED6">
        <w:rPr>
          <w:rFonts w:hint="cs"/>
          <w:rtl/>
        </w:rPr>
        <w:t xml:space="preserve">كر حول مسألة فدك: </w:t>
      </w:r>
      <w:r w:rsidRPr="00885E99">
        <w:rPr>
          <w:rFonts w:hint="cs"/>
          <w:rtl/>
        </w:rPr>
        <w:t>«</w:t>
      </w:r>
      <w:r w:rsidRPr="00E14ED6">
        <w:rPr>
          <w:rFonts w:hint="cs"/>
          <w:rtl/>
        </w:rPr>
        <w:t>أنها خرجت في لُمّة من نسائها تتوطّأ ذيلها إلى أبي بكر فعاتبته</w:t>
      </w:r>
      <w:r w:rsidRPr="00617008">
        <w:rPr>
          <w:rFonts w:hint="cs"/>
          <w:rtl/>
        </w:rPr>
        <w:t>»</w:t>
      </w:r>
      <w:r w:rsidRPr="00815C4C">
        <w:rPr>
          <w:rFonts w:cs="Taher"/>
          <w:vertAlign w:val="superscript"/>
          <w:rtl/>
        </w:rPr>
        <w:t>(</w:t>
      </w:r>
      <w:r w:rsidRPr="00815C4C">
        <w:rPr>
          <w:rFonts w:cs="Taher"/>
          <w:vertAlign w:val="superscript"/>
          <w:rtl/>
        </w:rPr>
        <w:footnoteReference w:id="947"/>
      </w:r>
      <w:r w:rsidRPr="00815C4C">
        <w:rPr>
          <w:rFonts w:cs="Taher"/>
          <w:vertAlign w:val="superscript"/>
          <w:rtl/>
        </w:rPr>
        <w:t>)</w:t>
      </w:r>
      <w:r w:rsidRPr="00E14ED6">
        <w:rPr>
          <w:rFonts w:hint="cs"/>
          <w:rtl/>
        </w:rPr>
        <w:t xml:space="preserve">. </w:t>
      </w:r>
    </w:p>
    <w:p w:rsidR="006E0FDB" w:rsidRPr="00E14ED6" w:rsidRDefault="006E0FDB" w:rsidP="006E0FDB">
      <w:pPr>
        <w:pStyle w:val="ac"/>
        <w:rPr>
          <w:rtl/>
        </w:rPr>
      </w:pPr>
      <w:r w:rsidRPr="00E14ED6">
        <w:rPr>
          <w:rFonts w:hint="cs"/>
          <w:rtl/>
        </w:rPr>
        <w:t>ومن ملاحظة الشواهد الكثيرة في العديد من مصادر أهل السنة والمقبولة عندنا أيضاً، نخلص إلى ما يلي:</w:t>
      </w:r>
    </w:p>
    <w:p w:rsidR="006E0FDB" w:rsidRPr="00E14ED6" w:rsidRDefault="006E0FDB" w:rsidP="006E0FDB">
      <w:pPr>
        <w:pStyle w:val="ac"/>
        <w:rPr>
          <w:rtl/>
        </w:rPr>
      </w:pPr>
      <w:r w:rsidRPr="00E14ED6">
        <w:rPr>
          <w:rFonts w:hint="cs"/>
          <w:rtl/>
        </w:rPr>
        <w:t>أ ـ المرأة التي تملك اللياقة والجدارة لها حق إبداء الرأي في أهمّ الأمور السياسية والاجتماعية للبلاد.</w:t>
      </w:r>
    </w:p>
    <w:p w:rsidR="006E0FDB" w:rsidRPr="00E14ED6" w:rsidRDefault="006E0FDB" w:rsidP="00350F90">
      <w:pPr>
        <w:pStyle w:val="ac"/>
        <w:rPr>
          <w:rtl/>
        </w:rPr>
      </w:pPr>
      <w:r w:rsidRPr="00E14ED6">
        <w:rPr>
          <w:rFonts w:hint="cs"/>
          <w:rtl/>
        </w:rPr>
        <w:t>ب ـ اهتمام النبي</w:t>
      </w:r>
      <w:r w:rsidR="00350F90">
        <w:rPr>
          <w:rFonts w:hint="cs"/>
          <w:rtl/>
        </w:rPr>
        <w:t>’</w:t>
      </w:r>
      <w:r w:rsidRPr="00E14ED6">
        <w:rPr>
          <w:rFonts w:hint="cs"/>
          <w:rtl/>
        </w:rPr>
        <w:t xml:space="preserve"> بآراء النساء ومواقفهنّ، بحيث إن أعطين الأمان لأحد وافق</w:t>
      </w:r>
      <w:r w:rsidR="00350F90">
        <w:rPr>
          <w:rFonts w:hint="cs"/>
          <w:rtl/>
        </w:rPr>
        <w:t>’</w:t>
      </w:r>
      <w:r w:rsidRPr="00E14ED6">
        <w:rPr>
          <w:rFonts w:hint="cs"/>
          <w:rtl/>
        </w:rPr>
        <w:t xml:space="preserve"> على ذلك وأمضاه.</w:t>
      </w:r>
    </w:p>
    <w:p w:rsidR="006E0FDB" w:rsidRDefault="006E0FDB" w:rsidP="006E0FDB">
      <w:pPr>
        <w:pStyle w:val="ac"/>
        <w:rPr>
          <w:rtl/>
        </w:rPr>
      </w:pPr>
      <w:r w:rsidRPr="00E14ED6">
        <w:rPr>
          <w:rFonts w:hint="cs"/>
          <w:rtl/>
        </w:rPr>
        <w:t>ج ـ على الرغم من أنّ مسألة الاهتمام برأي المرأة ونظرتها للأمور لا تتمتّع بسابقة طويلة في البلدان الديمقراطية، إلاّ أن الإسلام ومنذ ظهوره كان قد احترم رأي المرأة وكان له السبق في هذا المضمار.</w:t>
      </w:r>
    </w:p>
    <w:p w:rsidR="006E0FDB" w:rsidRPr="00A731E2" w:rsidRDefault="006E0FDB" w:rsidP="00A731E2">
      <w:pPr>
        <w:pStyle w:val="afffffc"/>
        <w:rPr>
          <w:sz w:val="24"/>
          <w:szCs w:val="22"/>
        </w:rPr>
      </w:pPr>
    </w:p>
    <w:p w:rsidR="006E0FDB" w:rsidRPr="0017088F" w:rsidRDefault="006E0FDB" w:rsidP="006E0FDB">
      <w:pPr>
        <w:pStyle w:val="1"/>
        <w:rPr>
          <w:rtl/>
        </w:rPr>
      </w:pPr>
      <w:bookmarkStart w:id="575" w:name="_Toc169521477"/>
      <w:bookmarkStart w:id="576" w:name="_Toc275128248"/>
      <w:r w:rsidRPr="0017088F">
        <w:rPr>
          <w:rFonts w:hint="cs"/>
          <w:rtl/>
        </w:rPr>
        <w:t>حضور المرأة في المجتمع ومنع دوافع الفساد</w:t>
      </w:r>
      <w:bookmarkEnd w:id="575"/>
      <w:bookmarkEnd w:id="576"/>
    </w:p>
    <w:p w:rsidR="006E0FDB" w:rsidRDefault="006E0FDB" w:rsidP="0008530B">
      <w:pPr>
        <w:pStyle w:val="ac"/>
        <w:rPr>
          <w:rtl/>
        </w:rPr>
      </w:pPr>
      <w:r w:rsidRPr="00E14ED6">
        <w:rPr>
          <w:rFonts w:hint="cs"/>
          <w:rtl/>
        </w:rPr>
        <w:t xml:space="preserve">في المدينة المنورة منطقة تعرف باسم </w:t>
      </w:r>
      <w:r w:rsidRPr="00885E99">
        <w:rPr>
          <w:rFonts w:hint="cs"/>
          <w:rtl/>
        </w:rPr>
        <w:t>«</w:t>
      </w:r>
      <w:r w:rsidRPr="00E14ED6">
        <w:rPr>
          <w:rFonts w:hint="cs"/>
          <w:rtl/>
        </w:rPr>
        <w:t>المساجد السبعة</w:t>
      </w:r>
      <w:r w:rsidRPr="00617008">
        <w:rPr>
          <w:rFonts w:hint="cs"/>
          <w:rtl/>
        </w:rPr>
        <w:t>»</w:t>
      </w:r>
      <w:r w:rsidRPr="00E14ED6">
        <w:rPr>
          <w:rFonts w:hint="cs"/>
          <w:rtl/>
        </w:rPr>
        <w:t>، وهي المنطقة التي وقعت فيها معركة الأحزاب، حيث يوجد هناك وعلى مقربة من مسج</w:t>
      </w:r>
      <w:r>
        <w:rPr>
          <w:rFonts w:hint="cs"/>
          <w:rtl/>
        </w:rPr>
        <w:t>ـ</w:t>
      </w:r>
      <w:r w:rsidRPr="00E14ED6">
        <w:rPr>
          <w:rFonts w:hint="cs"/>
          <w:rtl/>
        </w:rPr>
        <w:t>د</w:t>
      </w:r>
      <w:r w:rsidRPr="00E14ED6">
        <w:rPr>
          <w:rtl/>
        </w:rPr>
        <w:t xml:space="preserve"> </w:t>
      </w:r>
      <w:r w:rsidR="0008530B">
        <w:rPr>
          <w:rFonts w:hint="cs"/>
          <w:rtl/>
        </w:rPr>
        <w:t>ا</w:t>
      </w:r>
      <w:r w:rsidRPr="00E14ED6">
        <w:rPr>
          <w:rFonts w:hint="cs"/>
          <w:rtl/>
        </w:rPr>
        <w:t>لإم</w:t>
      </w:r>
      <w:r>
        <w:rPr>
          <w:rFonts w:hint="cs"/>
          <w:rtl/>
        </w:rPr>
        <w:t>ـ</w:t>
      </w:r>
      <w:r w:rsidRPr="00E14ED6">
        <w:rPr>
          <w:rFonts w:hint="cs"/>
          <w:rtl/>
        </w:rPr>
        <w:t>ـام ع</w:t>
      </w:r>
      <w:r>
        <w:rPr>
          <w:rFonts w:hint="cs"/>
          <w:rtl/>
        </w:rPr>
        <w:t>ــ</w:t>
      </w:r>
      <w:r w:rsidRPr="00E14ED6">
        <w:rPr>
          <w:rFonts w:hint="cs"/>
          <w:rtl/>
        </w:rPr>
        <w:t>لي</w:t>
      </w:r>
      <w:r w:rsidR="00350F90">
        <w:rPr>
          <w:rFonts w:hint="cs"/>
          <w:rtl/>
        </w:rPr>
        <w:t>×</w:t>
      </w:r>
      <w:r w:rsidRPr="00E14ED6">
        <w:rPr>
          <w:rFonts w:hint="cs"/>
          <w:rtl/>
        </w:rPr>
        <w:t xml:space="preserve"> </w:t>
      </w:r>
      <w:r w:rsidRPr="00E14ED6">
        <w:rPr>
          <w:rFonts w:hint="cs"/>
          <w:rtl/>
        </w:rPr>
        <w:lastRenderedPageBreak/>
        <w:t>مسجد السيدة فاطمة</w:t>
      </w:r>
      <w:r w:rsidR="00CE32CB">
        <w:rPr>
          <w:rFonts w:hint="cs"/>
          <w:rtl/>
        </w:rPr>
        <w:t>÷</w:t>
      </w:r>
      <w:r w:rsidRPr="00E14ED6">
        <w:rPr>
          <w:rFonts w:hint="cs"/>
          <w:rtl/>
        </w:rPr>
        <w:t>، هذه المساجد</w:t>
      </w:r>
      <w:r w:rsidRPr="00E14ED6">
        <w:rPr>
          <w:rtl/>
        </w:rPr>
        <w:t xml:space="preserve"> </w:t>
      </w:r>
      <w:r w:rsidR="0008530B">
        <w:rPr>
          <w:rFonts w:hint="cs"/>
          <w:rtl/>
        </w:rPr>
        <w:t>كا</w:t>
      </w:r>
      <w:r w:rsidRPr="00E14ED6">
        <w:rPr>
          <w:rFonts w:hint="cs"/>
          <w:rtl/>
        </w:rPr>
        <w:t>نت أماكن عبادة للحاضرين في ذلك الميدان (معركة الاحزاب) وللمتخندقين للحرب، وهي شهادة تاريخية على حضور المرأة ودورها في مجتمع المسلمين.</w:t>
      </w:r>
    </w:p>
    <w:p w:rsidR="006E0FDB" w:rsidRPr="00E14ED6" w:rsidRDefault="006E0FDB" w:rsidP="00350F90">
      <w:pPr>
        <w:pStyle w:val="ac"/>
        <w:rPr>
          <w:rtl/>
        </w:rPr>
      </w:pPr>
      <w:r w:rsidRPr="00E14ED6">
        <w:rPr>
          <w:rFonts w:hint="cs"/>
          <w:rtl/>
        </w:rPr>
        <w:t>بناءً عليه، كان حضور المرأة ودورها في الساحات الاجتماعية والسياسية مورد تأييد الرسول الأكرم وقبوله</w:t>
      </w:r>
      <w:r w:rsidR="00350F90">
        <w:rPr>
          <w:rFonts w:hint="cs"/>
          <w:rtl/>
        </w:rPr>
        <w:t>’</w:t>
      </w:r>
      <w:r w:rsidRPr="00E14ED6">
        <w:rPr>
          <w:rFonts w:hint="cs"/>
          <w:rtl/>
        </w:rPr>
        <w:t>، وإنما نهى</w:t>
      </w:r>
      <w:r w:rsidR="00350F90">
        <w:rPr>
          <w:rFonts w:hint="cs"/>
          <w:rtl/>
        </w:rPr>
        <w:t>’</w:t>
      </w:r>
      <w:r w:rsidRPr="00E14ED6">
        <w:rPr>
          <w:rFonts w:hint="cs"/>
          <w:rtl/>
        </w:rPr>
        <w:t xml:space="preserve"> فقط عن تلك النشاطات والفعاليات التي تؤدّي إلى تهييج النفوس وإثارة الشهوات.</w:t>
      </w:r>
    </w:p>
    <w:p w:rsidR="006E0FDB" w:rsidRPr="00E14ED6" w:rsidRDefault="006E0FDB" w:rsidP="00350F90">
      <w:pPr>
        <w:pStyle w:val="ac"/>
        <w:rPr>
          <w:rtl/>
        </w:rPr>
      </w:pPr>
      <w:r w:rsidRPr="00E14ED6">
        <w:rPr>
          <w:rFonts w:hint="cs"/>
          <w:rtl/>
        </w:rPr>
        <w:t>بعد إنجاز بناء مسجد النبي</w:t>
      </w:r>
      <w:r w:rsidR="00350F90">
        <w:rPr>
          <w:rFonts w:hint="cs"/>
          <w:rtl/>
        </w:rPr>
        <w:t>’</w:t>
      </w:r>
      <w:r w:rsidRPr="00E14ED6">
        <w:rPr>
          <w:rFonts w:hint="cs"/>
          <w:rtl/>
        </w:rPr>
        <w:t xml:space="preserve"> في المدينة، أقيمت فيه صلاة الجماعة للرجال بإمامة النبي</w:t>
      </w:r>
      <w:r w:rsidR="00350F90">
        <w:rPr>
          <w:rFonts w:hint="cs"/>
          <w:rtl/>
        </w:rPr>
        <w:t>’</w:t>
      </w:r>
      <w:r w:rsidRPr="00E14ED6">
        <w:rPr>
          <w:rFonts w:hint="cs"/>
          <w:rtl/>
        </w:rPr>
        <w:t>، وللنساء بإمامة أحد الصحابة.</w:t>
      </w:r>
    </w:p>
    <w:p w:rsidR="006E0FDB" w:rsidRPr="00D4484D" w:rsidRDefault="006E0FDB" w:rsidP="00617008">
      <w:pPr>
        <w:pStyle w:val="ac"/>
        <w:rPr>
          <w:spacing w:val="-6"/>
          <w:rtl/>
        </w:rPr>
      </w:pPr>
      <w:r w:rsidRPr="00D4484D">
        <w:rPr>
          <w:rFonts w:hint="cs"/>
          <w:spacing w:val="-6"/>
          <w:rtl/>
        </w:rPr>
        <w:t>ينقل عبدالله بن عمر عن النبي</w:t>
      </w:r>
      <w:r w:rsidR="00350F90">
        <w:rPr>
          <w:rFonts w:hint="cs"/>
          <w:rtl/>
        </w:rPr>
        <w:t>’</w:t>
      </w:r>
      <w:r w:rsidRPr="00D4484D">
        <w:rPr>
          <w:rFonts w:hint="cs"/>
          <w:spacing w:val="-6"/>
          <w:rtl/>
        </w:rPr>
        <w:t xml:space="preserve"> أنّه قال: </w:t>
      </w:r>
      <w:r w:rsidRPr="006E0FDB">
        <w:rPr>
          <w:rFonts w:hint="cs"/>
          <w:rtl/>
        </w:rPr>
        <w:t>«</w:t>
      </w:r>
      <w:r w:rsidRPr="006E0FDB">
        <w:rPr>
          <w:rFonts w:hint="cs"/>
          <w:b/>
          <w:bCs/>
          <w:rtl/>
        </w:rPr>
        <w:t>لا تمنعوا نساءكم المساجد وبيوتهن خيرٌ لهن</w:t>
      </w:r>
      <w:r w:rsidRPr="006E0FDB">
        <w:rPr>
          <w:rFonts w:hint="cs"/>
          <w:rtl/>
        </w:rPr>
        <w:t>»</w:t>
      </w:r>
      <w:r w:rsidRPr="00815C4C">
        <w:rPr>
          <w:rFonts w:cs="Taher"/>
          <w:vertAlign w:val="superscript"/>
          <w:rtl/>
        </w:rPr>
        <w:t>(</w:t>
      </w:r>
      <w:r w:rsidRPr="00815C4C">
        <w:rPr>
          <w:rFonts w:cs="Taher"/>
          <w:vertAlign w:val="superscript"/>
          <w:rtl/>
        </w:rPr>
        <w:footnoteReference w:id="948"/>
      </w:r>
      <w:r w:rsidRPr="00815C4C">
        <w:rPr>
          <w:rFonts w:cs="Taher"/>
          <w:vertAlign w:val="superscript"/>
          <w:rtl/>
        </w:rPr>
        <w:t>)</w:t>
      </w:r>
      <w:r w:rsidRPr="00D4484D">
        <w:rPr>
          <w:rFonts w:hint="cs"/>
          <w:spacing w:val="-6"/>
          <w:rtl/>
        </w:rPr>
        <w:t>، وقد فسَّر</w:t>
      </w:r>
      <w:r w:rsidR="00350F90">
        <w:rPr>
          <w:rFonts w:hint="cs"/>
          <w:rtl/>
        </w:rPr>
        <w:t>’</w:t>
      </w:r>
      <w:r w:rsidRPr="00D4484D">
        <w:rPr>
          <w:rFonts w:hint="cs"/>
          <w:spacing w:val="-6"/>
          <w:rtl/>
        </w:rPr>
        <w:t xml:space="preserve"> الآية: </w:t>
      </w:r>
      <w:r w:rsidRPr="006E0FDB">
        <w:rPr>
          <w:rFonts w:hint="cs"/>
          <w:rtl/>
        </w:rPr>
        <w:t>«</w:t>
      </w:r>
      <w:r w:rsidRPr="006E0FDB">
        <w:rPr>
          <w:rFonts w:hint="cs"/>
          <w:b/>
          <w:bCs/>
          <w:rtl/>
        </w:rPr>
        <w:t>ولا يبدينَ زينتهنَ إلاّ لبعولتهن</w:t>
      </w:r>
      <w:r w:rsidRPr="00617008">
        <w:rPr>
          <w:rFonts w:hint="cs"/>
          <w:rtl/>
        </w:rPr>
        <w:t>»</w:t>
      </w:r>
      <w:r w:rsidRPr="006E0FDB">
        <w:rPr>
          <w:rFonts w:hint="cs"/>
          <w:b/>
          <w:bCs/>
          <w:rtl/>
        </w:rPr>
        <w:t xml:space="preserve">: </w:t>
      </w:r>
      <w:r w:rsidRPr="00617008">
        <w:rPr>
          <w:rFonts w:hint="cs"/>
          <w:rtl/>
        </w:rPr>
        <w:t>«</w:t>
      </w:r>
      <w:r w:rsidRPr="006E0FDB">
        <w:rPr>
          <w:rFonts w:hint="cs"/>
          <w:b/>
          <w:bCs/>
          <w:rtl/>
        </w:rPr>
        <w:t>لا خلخال ولا شنف ولا قرط ولا قلادة</w:t>
      </w:r>
      <w:r w:rsidRPr="006E0FDB">
        <w:rPr>
          <w:rFonts w:hint="cs"/>
          <w:rtl/>
        </w:rPr>
        <w:t>»</w:t>
      </w:r>
      <w:r w:rsidRPr="00D4484D">
        <w:rPr>
          <w:rFonts w:hint="cs"/>
          <w:spacing w:val="-6"/>
          <w:rtl/>
        </w:rPr>
        <w:t xml:space="preserve">. وفي معرض تفسير الآية: </w:t>
      </w:r>
      <w:r w:rsidR="00617008">
        <w:rPr>
          <w:rFonts w:ascii="Mosawi" w:hAnsi="Mosawi"/>
          <w:b/>
          <w:bCs/>
          <w:rtl/>
        </w:rPr>
        <w:t>﴿</w:t>
      </w:r>
      <w:r w:rsidR="00617008" w:rsidRPr="00617008">
        <w:rPr>
          <w:b/>
          <w:bCs/>
          <w:rtl/>
        </w:rPr>
        <w:t>إِلَّا مَا ظَهَرَ مِنْهَا</w:t>
      </w:r>
      <w:r w:rsidR="00617008">
        <w:rPr>
          <w:rFonts w:ascii="Mosawi" w:hAnsi="Mosawi"/>
          <w:b/>
          <w:bCs/>
          <w:rtl/>
        </w:rPr>
        <w:t>﴾</w:t>
      </w:r>
      <w:r w:rsidRPr="006E0FDB">
        <w:rPr>
          <w:rFonts w:hint="cs"/>
          <w:b/>
          <w:bCs/>
          <w:rtl/>
        </w:rPr>
        <w:t xml:space="preserve"> </w:t>
      </w:r>
      <w:r w:rsidRPr="00D4484D">
        <w:rPr>
          <w:rFonts w:hint="cs"/>
          <w:spacing w:val="-6"/>
          <w:rtl/>
        </w:rPr>
        <w:t>قال</w:t>
      </w:r>
      <w:r w:rsidR="00350F90">
        <w:rPr>
          <w:rFonts w:hint="cs"/>
          <w:rtl/>
        </w:rPr>
        <w:t>’</w:t>
      </w:r>
      <w:r w:rsidRPr="00D4484D">
        <w:rPr>
          <w:rFonts w:hint="cs"/>
          <w:spacing w:val="-6"/>
          <w:rtl/>
        </w:rPr>
        <w:t xml:space="preserve">: </w:t>
      </w:r>
      <w:r w:rsidRPr="00617008">
        <w:rPr>
          <w:rFonts w:hint="cs"/>
          <w:rtl/>
        </w:rPr>
        <w:t>«</w:t>
      </w:r>
      <w:r w:rsidRPr="00D4484D">
        <w:rPr>
          <w:rFonts w:hint="cs"/>
          <w:spacing w:val="-6"/>
          <w:rtl/>
        </w:rPr>
        <w:t>الثياب</w:t>
      </w:r>
      <w:r w:rsidRPr="00617008">
        <w:rPr>
          <w:rFonts w:hint="cs"/>
          <w:rtl/>
        </w:rPr>
        <w:t>»</w:t>
      </w:r>
      <w:r w:rsidRPr="00815C4C">
        <w:rPr>
          <w:rFonts w:cs="Taher"/>
          <w:vertAlign w:val="superscript"/>
          <w:rtl/>
        </w:rPr>
        <w:t>(</w:t>
      </w:r>
      <w:r w:rsidRPr="00815C4C">
        <w:rPr>
          <w:rFonts w:cs="Taher"/>
          <w:vertAlign w:val="superscript"/>
          <w:rtl/>
        </w:rPr>
        <w:footnoteReference w:id="949"/>
      </w:r>
      <w:r w:rsidRPr="00815C4C">
        <w:rPr>
          <w:rFonts w:cs="Taher"/>
          <w:vertAlign w:val="superscript"/>
          <w:rtl/>
        </w:rPr>
        <w:t>)</w:t>
      </w:r>
      <w:r w:rsidRPr="00D4484D">
        <w:rPr>
          <w:rFonts w:hint="cs"/>
          <w:spacing w:val="-6"/>
          <w:rtl/>
        </w:rPr>
        <w:t>.</w:t>
      </w:r>
    </w:p>
    <w:p w:rsidR="006E0FDB" w:rsidRPr="00E14ED6" w:rsidRDefault="006E0FDB" w:rsidP="00350F90">
      <w:pPr>
        <w:pStyle w:val="ac"/>
        <w:rPr>
          <w:rtl/>
        </w:rPr>
      </w:pPr>
      <w:r w:rsidRPr="00E14ED6">
        <w:rPr>
          <w:rFonts w:hint="cs"/>
          <w:rtl/>
        </w:rPr>
        <w:t>روى أبو موسى الأشعري أنّ النبي</w:t>
      </w:r>
      <w:r w:rsidR="00350F90">
        <w:rPr>
          <w:rFonts w:hint="cs"/>
          <w:rtl/>
        </w:rPr>
        <w:t>’</w:t>
      </w:r>
      <w:r w:rsidRPr="00E14ED6">
        <w:rPr>
          <w:rFonts w:hint="cs"/>
          <w:rtl/>
        </w:rPr>
        <w:t xml:space="preserve"> قال: </w:t>
      </w:r>
      <w:r w:rsidRPr="00617008">
        <w:rPr>
          <w:rFonts w:hint="cs"/>
          <w:rtl/>
        </w:rPr>
        <w:t>«</w:t>
      </w:r>
      <w:r w:rsidRPr="00E14ED6">
        <w:rPr>
          <w:rFonts w:hint="cs"/>
          <w:rtl/>
        </w:rPr>
        <w:t>أيّما امرأة استعطرت، فمرّت على قوم ليجدوا ريحها فهي زانية</w:t>
      </w:r>
      <w:r w:rsidRPr="00617008">
        <w:rPr>
          <w:rFonts w:hint="cs"/>
          <w:rtl/>
        </w:rPr>
        <w:t>»</w:t>
      </w:r>
      <w:r w:rsidRPr="00815C4C">
        <w:rPr>
          <w:rFonts w:cs="Taher"/>
          <w:vertAlign w:val="superscript"/>
          <w:rtl/>
        </w:rPr>
        <w:t>(</w:t>
      </w:r>
      <w:r w:rsidRPr="00815C4C">
        <w:rPr>
          <w:rFonts w:cs="Taher"/>
          <w:vertAlign w:val="superscript"/>
          <w:rtl/>
        </w:rPr>
        <w:footnoteReference w:id="950"/>
      </w:r>
      <w:r w:rsidRPr="00815C4C">
        <w:rPr>
          <w:rFonts w:cs="Taher"/>
          <w:vertAlign w:val="superscript"/>
          <w:rtl/>
        </w:rPr>
        <w:t>)</w:t>
      </w:r>
      <w:r w:rsidRPr="00E14ED6">
        <w:rPr>
          <w:rFonts w:hint="cs"/>
          <w:rtl/>
        </w:rPr>
        <w:t>.</w:t>
      </w:r>
    </w:p>
    <w:p w:rsidR="006E0FDB" w:rsidRPr="00E14ED6" w:rsidRDefault="006E0FDB" w:rsidP="006E0FDB">
      <w:pPr>
        <w:pStyle w:val="ac"/>
        <w:rPr>
          <w:rtl/>
        </w:rPr>
      </w:pPr>
      <w:r w:rsidRPr="00E14ED6">
        <w:rPr>
          <w:rFonts w:hint="cs"/>
          <w:rtl/>
        </w:rPr>
        <w:t>بعد التدقيق في الأحاديث المتقدّمة يظهر أنّ ما هو محرَّم وممنوع هو حضور النساء المضرّ والمخرّب، وليس الحضور البنّاء الهادف.</w:t>
      </w:r>
    </w:p>
    <w:p w:rsidR="006E0FDB" w:rsidRPr="00E14ED6" w:rsidRDefault="006E0FDB" w:rsidP="00350F90">
      <w:pPr>
        <w:pStyle w:val="ac"/>
        <w:rPr>
          <w:rtl/>
        </w:rPr>
      </w:pPr>
      <w:r w:rsidRPr="00E14ED6">
        <w:rPr>
          <w:rFonts w:hint="cs"/>
          <w:rtl/>
        </w:rPr>
        <w:t>في الماضي كان الأب يحزن ويغتم إذا ولدت له اُنثى، في ذلك الوقت قال رسول الله</w:t>
      </w:r>
      <w:r w:rsidR="00350F90">
        <w:rPr>
          <w:rFonts w:hint="cs"/>
          <w:rtl/>
        </w:rPr>
        <w:t>’</w:t>
      </w:r>
      <w:r w:rsidRPr="00E14ED6">
        <w:rPr>
          <w:rFonts w:hint="cs"/>
          <w:rtl/>
        </w:rPr>
        <w:t xml:space="preserve">: </w:t>
      </w:r>
      <w:r w:rsidRPr="00617008">
        <w:rPr>
          <w:rFonts w:hint="cs"/>
          <w:rtl/>
        </w:rPr>
        <w:t>«</w:t>
      </w:r>
      <w:r w:rsidRPr="006E0FDB">
        <w:rPr>
          <w:rFonts w:hint="cs"/>
          <w:b/>
          <w:bCs/>
          <w:rtl/>
        </w:rPr>
        <w:t>البنات حسنات</w:t>
      </w:r>
      <w:r w:rsidRPr="006E0FDB">
        <w:rPr>
          <w:rFonts w:hint="cs"/>
          <w:rtl/>
        </w:rPr>
        <w:t>»</w:t>
      </w:r>
      <w:r w:rsidRPr="00815C4C">
        <w:rPr>
          <w:rFonts w:cs="Taher"/>
          <w:vertAlign w:val="superscript"/>
          <w:rtl/>
        </w:rPr>
        <w:t>(</w:t>
      </w:r>
      <w:r w:rsidRPr="00815C4C">
        <w:rPr>
          <w:rFonts w:cs="Taher"/>
          <w:vertAlign w:val="superscript"/>
          <w:rtl/>
        </w:rPr>
        <w:footnoteReference w:id="951"/>
      </w:r>
      <w:r w:rsidRPr="00815C4C">
        <w:rPr>
          <w:rFonts w:cs="Taher"/>
          <w:vertAlign w:val="superscript"/>
          <w:rtl/>
        </w:rPr>
        <w:t>)</w:t>
      </w:r>
      <w:r w:rsidRPr="00E14ED6">
        <w:rPr>
          <w:rFonts w:hint="cs"/>
          <w:rtl/>
        </w:rPr>
        <w:t>، وفي مجتمع لم يكن يرى أية قيمة تذكر للنساء قال</w:t>
      </w:r>
      <w:r w:rsidR="00350F90">
        <w:rPr>
          <w:rFonts w:hint="cs"/>
          <w:rtl/>
        </w:rPr>
        <w:t>’</w:t>
      </w:r>
      <w:r w:rsidRPr="00E14ED6">
        <w:rPr>
          <w:rFonts w:hint="cs"/>
          <w:rtl/>
        </w:rPr>
        <w:t xml:space="preserve">: </w:t>
      </w:r>
      <w:r w:rsidRPr="00617008">
        <w:rPr>
          <w:rFonts w:hint="cs"/>
          <w:rtl/>
        </w:rPr>
        <w:t>«</w:t>
      </w:r>
      <w:r w:rsidRPr="006E0FDB">
        <w:rPr>
          <w:rFonts w:hint="cs"/>
          <w:b/>
          <w:bCs/>
          <w:rtl/>
        </w:rPr>
        <w:t>حبّب إليّ النساء والطيب، وجعلت قرة عيني الصلاة</w:t>
      </w:r>
      <w:r w:rsidRPr="00617008">
        <w:rPr>
          <w:rFonts w:hint="cs"/>
          <w:rtl/>
        </w:rPr>
        <w:t>»</w:t>
      </w:r>
      <w:r w:rsidRPr="00815C4C">
        <w:rPr>
          <w:rFonts w:cs="Taher"/>
          <w:vertAlign w:val="superscript"/>
          <w:rtl/>
        </w:rPr>
        <w:t>(</w:t>
      </w:r>
      <w:r w:rsidRPr="00815C4C">
        <w:rPr>
          <w:rFonts w:cs="Taher"/>
          <w:vertAlign w:val="superscript"/>
          <w:rtl/>
        </w:rPr>
        <w:footnoteReference w:id="952"/>
      </w:r>
      <w:r w:rsidRPr="00815C4C">
        <w:rPr>
          <w:rFonts w:cs="Taher"/>
          <w:vertAlign w:val="superscript"/>
          <w:rtl/>
        </w:rPr>
        <w:t>)</w:t>
      </w:r>
      <w:r w:rsidRPr="00E14ED6">
        <w:rPr>
          <w:rFonts w:hint="cs"/>
          <w:rtl/>
        </w:rPr>
        <w:t>.</w:t>
      </w:r>
    </w:p>
    <w:p w:rsidR="006E0FDB" w:rsidRPr="00E14ED6" w:rsidRDefault="006E0FDB" w:rsidP="00350F90">
      <w:pPr>
        <w:pStyle w:val="ac"/>
        <w:rPr>
          <w:rtl/>
        </w:rPr>
      </w:pPr>
      <w:r w:rsidRPr="00E14ED6">
        <w:rPr>
          <w:rFonts w:hint="cs"/>
          <w:rtl/>
        </w:rPr>
        <w:t>وكان النبي</w:t>
      </w:r>
      <w:r w:rsidR="00350F90">
        <w:rPr>
          <w:rFonts w:hint="cs"/>
          <w:rtl/>
        </w:rPr>
        <w:t>’</w:t>
      </w:r>
      <w:r w:rsidRPr="00E14ED6">
        <w:rPr>
          <w:rFonts w:hint="cs"/>
          <w:rtl/>
        </w:rPr>
        <w:t xml:space="preserve"> في بعض أسفاره يصطحب معه عدداً من النساء، وكذلك في </w:t>
      </w:r>
      <w:r w:rsidRPr="00E14ED6">
        <w:rPr>
          <w:rFonts w:hint="cs"/>
          <w:rtl/>
        </w:rPr>
        <w:lastRenderedPageBreak/>
        <w:t>الحروب، كان يأخذ معه إلى ساحة القتال ممَّن لديهنّ القدرة والخبرة في الحرب.</w:t>
      </w:r>
    </w:p>
    <w:p w:rsidR="006E0FDB" w:rsidRDefault="006E0FDB" w:rsidP="00A731E2">
      <w:pPr>
        <w:pStyle w:val="ac"/>
        <w:spacing w:line="199" w:lineRule="auto"/>
        <w:rPr>
          <w:rtl/>
        </w:rPr>
      </w:pPr>
      <w:r w:rsidRPr="00E14ED6">
        <w:rPr>
          <w:rFonts w:hint="cs"/>
          <w:rtl/>
        </w:rPr>
        <w:t>ففي معركة أحُد كانت هناك امرأة تدعى نسيبة، أخذت سيفاً ودافعت به عن الرسول</w:t>
      </w:r>
      <w:r w:rsidR="00350F90">
        <w:rPr>
          <w:rFonts w:hint="cs"/>
          <w:rtl/>
        </w:rPr>
        <w:t>’</w:t>
      </w:r>
      <w:r w:rsidRPr="00E14ED6">
        <w:rPr>
          <w:rFonts w:hint="cs"/>
          <w:rtl/>
        </w:rPr>
        <w:t xml:space="preserve"> حيث قال في حقّها: </w:t>
      </w:r>
      <w:r w:rsidRPr="00617008">
        <w:rPr>
          <w:rFonts w:hint="cs"/>
          <w:rtl/>
        </w:rPr>
        <w:t>«</w:t>
      </w:r>
      <w:r w:rsidRPr="006E0FDB">
        <w:rPr>
          <w:rFonts w:hint="cs"/>
          <w:b/>
          <w:bCs/>
          <w:rtl/>
        </w:rPr>
        <w:t>لمقام نسيبة بنت كعب أفضل من مقام فلان وفلان</w:t>
      </w:r>
      <w:r w:rsidRPr="00617008">
        <w:rPr>
          <w:rFonts w:hint="cs"/>
          <w:rtl/>
        </w:rPr>
        <w:t>»</w:t>
      </w:r>
      <w:r w:rsidRPr="00815C4C">
        <w:rPr>
          <w:rFonts w:cs="Taher"/>
          <w:vertAlign w:val="superscript"/>
          <w:rtl/>
        </w:rPr>
        <w:t>(</w:t>
      </w:r>
      <w:r w:rsidRPr="00815C4C">
        <w:rPr>
          <w:rFonts w:cs="Taher"/>
          <w:vertAlign w:val="superscript"/>
          <w:rtl/>
        </w:rPr>
        <w:footnoteReference w:id="953"/>
      </w:r>
      <w:r w:rsidRPr="00815C4C">
        <w:rPr>
          <w:rFonts w:cs="Taher"/>
          <w:vertAlign w:val="superscript"/>
          <w:rtl/>
        </w:rPr>
        <w:t>)</w:t>
      </w:r>
      <w:r w:rsidRPr="00E14ED6">
        <w:rPr>
          <w:rFonts w:hint="cs"/>
          <w:rtl/>
        </w:rPr>
        <w:t>.</w:t>
      </w:r>
    </w:p>
    <w:p w:rsidR="006E0FDB" w:rsidRPr="00A731E2" w:rsidRDefault="006E0FDB" w:rsidP="00A731E2">
      <w:pPr>
        <w:pStyle w:val="afffffc"/>
        <w:rPr>
          <w:rFonts w:ascii="Mosawi" w:hAnsi="Mosawi"/>
          <w:sz w:val="18"/>
          <w:szCs w:val="16"/>
        </w:rPr>
      </w:pPr>
    </w:p>
    <w:p w:rsidR="006E0FDB" w:rsidRPr="0017088F" w:rsidRDefault="006E0FDB" w:rsidP="006E0FDB">
      <w:pPr>
        <w:pStyle w:val="1"/>
        <w:rPr>
          <w:rtl/>
        </w:rPr>
      </w:pPr>
      <w:bookmarkStart w:id="577" w:name="_Toc169521478"/>
      <w:bookmarkStart w:id="578" w:name="_Toc275128249"/>
      <w:r w:rsidRPr="0017088F">
        <w:rPr>
          <w:rFonts w:hint="cs"/>
          <w:rtl/>
        </w:rPr>
        <w:t>دعاة تحرير المرأة أو الحركة النسوية</w:t>
      </w:r>
      <w:bookmarkEnd w:id="577"/>
      <w:bookmarkEnd w:id="578"/>
    </w:p>
    <w:p w:rsidR="006E0FDB" w:rsidRPr="00E14ED6" w:rsidRDefault="006E0FDB" w:rsidP="00A731E2">
      <w:pPr>
        <w:pStyle w:val="ac"/>
        <w:spacing w:line="202" w:lineRule="auto"/>
        <w:rPr>
          <w:rtl/>
        </w:rPr>
      </w:pPr>
      <w:r w:rsidRPr="00E14ED6">
        <w:rPr>
          <w:rFonts w:hint="cs"/>
          <w:rtl/>
        </w:rPr>
        <w:t xml:space="preserve">إنّ شعار </w:t>
      </w:r>
      <w:r w:rsidRPr="00885E99">
        <w:rPr>
          <w:rFonts w:hint="cs"/>
          <w:rtl/>
        </w:rPr>
        <w:t>«</w:t>
      </w:r>
      <w:r w:rsidRPr="00E14ED6">
        <w:rPr>
          <w:rFonts w:hint="cs"/>
          <w:rtl/>
        </w:rPr>
        <w:t>حقوق المرأة</w:t>
      </w:r>
      <w:r w:rsidRPr="00617008">
        <w:rPr>
          <w:rFonts w:hint="cs"/>
          <w:rtl/>
        </w:rPr>
        <w:t>»</w:t>
      </w:r>
      <w:r w:rsidRPr="00E14ED6">
        <w:rPr>
          <w:rFonts w:hint="cs"/>
          <w:rtl/>
        </w:rPr>
        <w:t xml:space="preserve"> والدفاع عنها واحد من الشعارات المغرية التي انتشرت في أفق الفكر الإنساني، وإن مسألة حماية حقوق المرأة إن كانت جدّية وبعيدةً عن الكذب والخداع فهي ذو قيمة واحترام؛ ذلك أنّ نظرة الدين عموماً وبخاصة الدين الإسلامي إلى المرأة نظرة خاصة، تعطي المرأة مكانتها اللائقة بها وتحترمها، على عكس ما هو موجود ـ وللأسف ـ في المجتمعات اللادينية أو البعيدة عن الدين.</w:t>
      </w:r>
    </w:p>
    <w:p w:rsidR="006E0FDB" w:rsidRPr="00E14ED6" w:rsidRDefault="006E0FDB" w:rsidP="00A731E2">
      <w:pPr>
        <w:pStyle w:val="ac"/>
        <w:spacing w:line="202" w:lineRule="auto"/>
        <w:rPr>
          <w:rtl/>
        </w:rPr>
      </w:pPr>
      <w:r w:rsidRPr="00E14ED6">
        <w:rPr>
          <w:rFonts w:hint="cs"/>
          <w:rtl/>
        </w:rPr>
        <w:t>ولاشـكّ أنّ غلو المدافعين عن المرأة وإفراطهم ساهم في تضييع حقوقها الإنسانية، فكانت النتيجة أن انتقص هؤلاء ـ دعاة حقوق المرأة ـ من قيمة المرأة وهويتها تحت شعار الدفاع عنها. وبديهي ألاّ يصلوا إلى غير هذه النتيجة بسبب سلوكهم المنحرف والضال؛ وإن جاءت فكرة الدفاع عن حقوق المرأة بوصفها ردة فعل طبيعية على إهمال حقوق المرأة وتجاهلها على مدى عصور، لكن لا ينبغي البحث عن العلاج من خلال هذه الحركات.</w:t>
      </w:r>
    </w:p>
    <w:p w:rsidR="006E0FDB" w:rsidRDefault="006E0FDB" w:rsidP="00A731E2">
      <w:pPr>
        <w:pStyle w:val="ac"/>
        <w:spacing w:line="202" w:lineRule="auto"/>
        <w:rPr>
          <w:rtl/>
        </w:rPr>
      </w:pPr>
      <w:r w:rsidRPr="00E14ED6">
        <w:rPr>
          <w:rFonts w:hint="cs"/>
          <w:rtl/>
        </w:rPr>
        <w:t>نعم في الأعصار المختلفة ـ ظُلمت المرأة كثيراً وتعرضّت للامتهان إلا لدى أتباع الرسل والأنبياء، وأمّا فكر الحركة النسوية فإنّ له ارتباطاً ـ بالتأكيد ـ بالعلوم الإنسانية، دون أ، يحظى بماضٍ طويل من الناحية التاريخية.</w:t>
      </w:r>
    </w:p>
    <w:p w:rsidR="006E0FDB" w:rsidRPr="00A731E2" w:rsidRDefault="006E0FDB" w:rsidP="00A731E2">
      <w:pPr>
        <w:pStyle w:val="afffffc"/>
        <w:rPr>
          <w:sz w:val="34"/>
          <w:szCs w:val="32"/>
        </w:rPr>
      </w:pPr>
    </w:p>
    <w:p w:rsidR="006E0FDB" w:rsidRPr="0017088F" w:rsidRDefault="006E0FDB" w:rsidP="006E0FDB">
      <w:pPr>
        <w:pStyle w:val="1"/>
        <w:rPr>
          <w:rtl/>
        </w:rPr>
      </w:pPr>
      <w:bookmarkStart w:id="579" w:name="_Toc169521479"/>
      <w:bookmarkStart w:id="580" w:name="_Toc275128250"/>
      <w:r w:rsidRPr="0017088F">
        <w:rPr>
          <w:rFonts w:hint="cs"/>
          <w:rtl/>
        </w:rPr>
        <w:t>منطق الحركة النسوية</w:t>
      </w:r>
      <w:bookmarkEnd w:id="579"/>
      <w:bookmarkEnd w:id="580"/>
    </w:p>
    <w:p w:rsidR="006E0FDB" w:rsidRPr="00E14ED6" w:rsidRDefault="006E0FDB" w:rsidP="006E0FDB">
      <w:pPr>
        <w:pStyle w:val="ac"/>
        <w:rPr>
          <w:rtl/>
        </w:rPr>
      </w:pPr>
      <w:r w:rsidRPr="00E14ED6">
        <w:rPr>
          <w:rFonts w:hint="cs"/>
          <w:rtl/>
        </w:rPr>
        <w:t xml:space="preserve">راجت فكرة المساواة بين الرجل والمرأة في القرن السابع عشر الميلادي. فالحركة </w:t>
      </w:r>
      <w:r w:rsidRPr="00E14ED6">
        <w:rPr>
          <w:rFonts w:hint="cs"/>
          <w:rtl/>
        </w:rPr>
        <w:lastRenderedPageBreak/>
        <w:t>التي بدأت في ذلك القرن باسم حقوق الإنسان الفطرية والطبيعية ظهرت ثمارها في فرنسا في القرن الثامن عشر الميلادي.</w:t>
      </w:r>
    </w:p>
    <w:p w:rsidR="006E0FDB" w:rsidRPr="00E14ED6" w:rsidRDefault="006E0FDB" w:rsidP="00A731E2">
      <w:pPr>
        <w:pStyle w:val="ac"/>
        <w:spacing w:line="199" w:lineRule="auto"/>
        <w:rPr>
          <w:rtl/>
        </w:rPr>
      </w:pPr>
      <w:r w:rsidRPr="00E14ED6">
        <w:rPr>
          <w:rFonts w:hint="cs"/>
          <w:rtl/>
        </w:rPr>
        <w:t>في البداية نظر دعاة حقوق البشر نظرةً دونيةً للمرأة، فالكاتب الفرنسي الشهير مونتسكيو ـ أحد رادة الثورة الفرنسية ـ عرَّف النساء في كتابه روح القوانين (1748م) بأنها موجودات ذات أرواح حقيرة وضعيفة الدماغ، متكبرة ومحبّة لنفسها.</w:t>
      </w:r>
    </w:p>
    <w:p w:rsidR="006E0FDB" w:rsidRPr="00E14ED6" w:rsidRDefault="006E0FDB" w:rsidP="00A731E2">
      <w:pPr>
        <w:pStyle w:val="ac"/>
        <w:spacing w:line="199" w:lineRule="auto"/>
        <w:rPr>
          <w:rtl/>
        </w:rPr>
      </w:pPr>
      <w:r w:rsidRPr="00E14ED6">
        <w:rPr>
          <w:rFonts w:hint="cs"/>
          <w:rtl/>
        </w:rPr>
        <w:t xml:space="preserve">هذا ولم يرد كلام حول المساواة بين الرجل والمرأة في وثيقة </w:t>
      </w:r>
      <w:r w:rsidRPr="00885E99">
        <w:rPr>
          <w:rFonts w:hint="cs"/>
          <w:rtl/>
        </w:rPr>
        <w:t>«</w:t>
      </w:r>
      <w:r w:rsidRPr="00E14ED6">
        <w:rPr>
          <w:rFonts w:hint="cs"/>
          <w:rtl/>
        </w:rPr>
        <w:t>حقوق الإنسان</w:t>
      </w:r>
      <w:r w:rsidRPr="00617008">
        <w:rPr>
          <w:rFonts w:hint="cs"/>
          <w:rtl/>
        </w:rPr>
        <w:t>»</w:t>
      </w:r>
      <w:r w:rsidRPr="00E14ED6">
        <w:rPr>
          <w:rFonts w:hint="cs"/>
          <w:rtl/>
        </w:rPr>
        <w:t xml:space="preserve"> التي صودق عليها في فرنسا عام 1789م، وهذه الوثيقة في الحقيقة كان ينبغي إعلانها وثيقةَ حقوقٍ للرجل.</w:t>
      </w:r>
    </w:p>
    <w:p w:rsidR="006E0FDB" w:rsidRPr="00E14ED6" w:rsidRDefault="006E0FDB" w:rsidP="00A731E2">
      <w:pPr>
        <w:pStyle w:val="ac"/>
        <w:spacing w:line="199" w:lineRule="auto"/>
        <w:rPr>
          <w:rtl/>
        </w:rPr>
      </w:pPr>
      <w:r w:rsidRPr="00E14ED6">
        <w:rPr>
          <w:rFonts w:hint="cs"/>
          <w:rtl/>
        </w:rPr>
        <w:t xml:space="preserve">في القرن التاسع عشر الميلادي توسّعت حركة المرأة في فرنسا، وأُطلق عليها المصطلح الفرنسي </w:t>
      </w:r>
      <w:r w:rsidRPr="00D52994">
        <w:rPr>
          <w:rFonts w:hint="cs"/>
          <w:szCs w:val="22"/>
          <w:rtl/>
        </w:rPr>
        <w:t>(</w:t>
      </w:r>
      <w:r w:rsidRPr="00E14ED6">
        <w:t>Feminusm</w:t>
      </w:r>
      <w:r w:rsidRPr="00D52994">
        <w:rPr>
          <w:rFonts w:hint="cs"/>
          <w:szCs w:val="22"/>
          <w:rtl/>
        </w:rPr>
        <w:t>)</w:t>
      </w:r>
      <w:r w:rsidRPr="00E14ED6">
        <w:rPr>
          <w:rFonts w:hint="cs"/>
          <w:rtl/>
        </w:rPr>
        <w:t>، وفي الواقع كانت الحركة هذه نوعاً من الاعتراض على سيادة الرجل الواضحة والتي كانت حاكمة على وثيقة حقوق الإنسان التي صدرت في فرنسا</w:t>
      </w:r>
      <w:r w:rsidRPr="00815C4C">
        <w:rPr>
          <w:rFonts w:cs="Taher"/>
          <w:vertAlign w:val="superscript"/>
          <w:rtl/>
        </w:rPr>
        <w:t>(</w:t>
      </w:r>
      <w:r w:rsidRPr="00815C4C">
        <w:rPr>
          <w:rFonts w:cs="Taher"/>
          <w:vertAlign w:val="superscript"/>
          <w:rtl/>
        </w:rPr>
        <w:footnoteReference w:id="954"/>
      </w:r>
      <w:r w:rsidRPr="00815C4C">
        <w:rPr>
          <w:rFonts w:cs="Taher"/>
          <w:vertAlign w:val="superscript"/>
          <w:rtl/>
        </w:rPr>
        <w:t>)</w:t>
      </w:r>
      <w:r w:rsidRPr="00E14ED6">
        <w:rPr>
          <w:rFonts w:hint="cs"/>
          <w:rtl/>
        </w:rPr>
        <w:t>.</w:t>
      </w:r>
    </w:p>
    <w:p w:rsidR="006E0FDB" w:rsidRPr="00E14ED6" w:rsidRDefault="006E0FDB" w:rsidP="00A731E2">
      <w:pPr>
        <w:pStyle w:val="ac"/>
        <w:spacing w:line="199" w:lineRule="auto"/>
        <w:rPr>
          <w:rtl/>
        </w:rPr>
      </w:pPr>
      <w:r w:rsidRPr="00E14ED6">
        <w:rPr>
          <w:rFonts w:hint="cs"/>
          <w:rtl/>
        </w:rPr>
        <w:t>عام 1918م حصلت النساء في بريطانيا على حقّ إبداء الرأي، وهذا الأمر كان واحداً من إنجازات الحركة النسوية التي تراجعت بعد ذلك وخبا وهجها، حتى أن البعض اعتبر العقدين الأوّلين من القرن العشرين سنوات الطفرة البدائية لحركة المرأة.</w:t>
      </w:r>
    </w:p>
    <w:p w:rsidR="006E0FDB" w:rsidRPr="00E14ED6" w:rsidRDefault="006E0FDB" w:rsidP="00A731E2">
      <w:pPr>
        <w:pStyle w:val="ac"/>
        <w:spacing w:line="199" w:lineRule="auto"/>
        <w:rPr>
          <w:rtl/>
        </w:rPr>
      </w:pPr>
      <w:r w:rsidRPr="00E14ED6">
        <w:rPr>
          <w:rFonts w:hint="cs"/>
          <w:rtl/>
        </w:rPr>
        <w:t xml:space="preserve">بعد الحرب العالمية الثانية، أي في سنة 1945م، وجدت نظرية </w:t>
      </w:r>
      <w:r w:rsidRPr="00617008">
        <w:rPr>
          <w:rFonts w:hint="cs"/>
          <w:rtl/>
        </w:rPr>
        <w:t>«</w:t>
      </w:r>
      <w:r w:rsidRPr="00E14ED6">
        <w:rPr>
          <w:rFonts w:hint="cs"/>
          <w:rtl/>
        </w:rPr>
        <w:t>المساواة بين الجنسين</w:t>
      </w:r>
      <w:r w:rsidRPr="00617008">
        <w:rPr>
          <w:rFonts w:hint="cs"/>
          <w:rtl/>
        </w:rPr>
        <w:t>»</w:t>
      </w:r>
      <w:r w:rsidRPr="00E14ED6">
        <w:rPr>
          <w:rFonts w:hint="cs"/>
          <w:rtl/>
        </w:rPr>
        <w:t xml:space="preserve"> أنصاراً كثر، فكانت محصّلة الأمر أن طرحت لأول مرة مسألة </w:t>
      </w:r>
      <w:r w:rsidRPr="00617008">
        <w:rPr>
          <w:rFonts w:hint="cs"/>
          <w:rtl/>
        </w:rPr>
        <w:t>«</w:t>
      </w:r>
      <w:r w:rsidRPr="00E14ED6">
        <w:rPr>
          <w:rFonts w:hint="cs"/>
          <w:rtl/>
        </w:rPr>
        <w:t>المساواة</w:t>
      </w:r>
      <w:r w:rsidRPr="00617008">
        <w:rPr>
          <w:rFonts w:hint="cs"/>
          <w:rtl/>
        </w:rPr>
        <w:t>»</w:t>
      </w:r>
      <w:r w:rsidRPr="00E14ED6">
        <w:rPr>
          <w:rFonts w:hint="cs"/>
          <w:rtl/>
        </w:rPr>
        <w:t xml:space="preserve"> وبشكل واضح في إعلان </w:t>
      </w:r>
      <w:r w:rsidRPr="00617008">
        <w:rPr>
          <w:rFonts w:hint="cs"/>
          <w:rtl/>
        </w:rPr>
        <w:t>«</w:t>
      </w:r>
      <w:r w:rsidRPr="00E14ED6">
        <w:rPr>
          <w:rFonts w:hint="cs"/>
          <w:rtl/>
        </w:rPr>
        <w:t>حقوق الإنسان</w:t>
      </w:r>
      <w:r w:rsidRPr="00617008">
        <w:rPr>
          <w:rFonts w:hint="cs"/>
          <w:rtl/>
        </w:rPr>
        <w:t>»</w:t>
      </w:r>
      <w:r w:rsidRPr="00E14ED6">
        <w:rPr>
          <w:rFonts w:hint="cs"/>
          <w:rtl/>
        </w:rPr>
        <w:t xml:space="preserve"> على مستوى عالمي، لينتشر عام 1948م من قبل الأمم المتحدة.</w:t>
      </w:r>
    </w:p>
    <w:p w:rsidR="006E0FDB" w:rsidRPr="00E14ED6" w:rsidRDefault="006E0FDB" w:rsidP="00A731E2">
      <w:pPr>
        <w:pStyle w:val="ac"/>
        <w:spacing w:line="199" w:lineRule="auto"/>
        <w:rPr>
          <w:rtl/>
        </w:rPr>
      </w:pPr>
      <w:r w:rsidRPr="00E14ED6">
        <w:rPr>
          <w:rFonts w:hint="cs"/>
          <w:rtl/>
        </w:rPr>
        <w:t>وعلى كلّ حال، فمع أنّ إعلان حقوق الإنسان، أكّد على الحقوق الطبيعية والفطرية للإنسان إلا أنه أضحى فاقداً للاعتبار القانوني وللضمانة التنفيذية، وبمعنى آخر، لم يصل إلى حيز التنفيذ ولم يطبق بالأصل</w:t>
      </w:r>
      <w:r w:rsidRPr="00815C4C">
        <w:rPr>
          <w:rFonts w:cs="Taher"/>
          <w:vertAlign w:val="superscript"/>
          <w:rtl/>
        </w:rPr>
        <w:t>(</w:t>
      </w:r>
      <w:r w:rsidRPr="00815C4C">
        <w:rPr>
          <w:rFonts w:cs="Taher"/>
          <w:vertAlign w:val="superscript"/>
          <w:rtl/>
        </w:rPr>
        <w:footnoteReference w:id="955"/>
      </w:r>
      <w:r w:rsidRPr="00815C4C">
        <w:rPr>
          <w:rFonts w:cs="Taher"/>
          <w:vertAlign w:val="superscript"/>
          <w:rtl/>
        </w:rPr>
        <w:t>)</w:t>
      </w:r>
      <w:r w:rsidRPr="00E14ED6">
        <w:rPr>
          <w:rFonts w:hint="cs"/>
          <w:rtl/>
        </w:rPr>
        <w:t>.</w:t>
      </w:r>
    </w:p>
    <w:p w:rsidR="006E0FDB" w:rsidRPr="00E14ED6" w:rsidRDefault="006E0FDB" w:rsidP="006E0FDB">
      <w:pPr>
        <w:pStyle w:val="ac"/>
        <w:rPr>
          <w:rtl/>
        </w:rPr>
      </w:pPr>
      <w:r w:rsidRPr="00E14ED6">
        <w:rPr>
          <w:rFonts w:hint="cs"/>
          <w:rtl/>
        </w:rPr>
        <w:lastRenderedPageBreak/>
        <w:t>ومنذ ذلك الحين فصاعداً أدّى هذا الأمر إلى بروز معاهدات دولية ضمن منظومة عمل الأمم المتحدة تتمتّع باعتبار قانوني أكبر، وتعنى بشكل أوضح بقضايا المرأة، ويمكن الإشارة في هذا الصدد إلى عدة اتفاقيات أو وثائق.</w:t>
      </w:r>
    </w:p>
    <w:p w:rsidR="006E0FDB" w:rsidRPr="00E14ED6" w:rsidRDefault="006E0FDB" w:rsidP="006E0FDB">
      <w:pPr>
        <w:pStyle w:val="ac"/>
        <w:rPr>
          <w:rtl/>
        </w:rPr>
      </w:pPr>
      <w:r w:rsidRPr="00E14ED6">
        <w:rPr>
          <w:rFonts w:hint="cs"/>
          <w:rtl/>
        </w:rPr>
        <w:t>ـ وثيقة حقوق النساء السياسية عام 1952م.</w:t>
      </w:r>
    </w:p>
    <w:p w:rsidR="006E0FDB" w:rsidRPr="00E14ED6" w:rsidRDefault="006E0FDB" w:rsidP="006E0FDB">
      <w:pPr>
        <w:pStyle w:val="ac"/>
        <w:rPr>
          <w:rtl/>
        </w:rPr>
      </w:pPr>
      <w:r w:rsidRPr="00E14ED6">
        <w:rPr>
          <w:rFonts w:hint="cs"/>
          <w:rtl/>
        </w:rPr>
        <w:t>ـ وثيقة موافقة المرأة في زواجها عام 1962م.</w:t>
      </w:r>
    </w:p>
    <w:p w:rsidR="006E0FDB" w:rsidRPr="00E14ED6" w:rsidRDefault="006E0FDB" w:rsidP="006E0FDB">
      <w:pPr>
        <w:pStyle w:val="ac"/>
        <w:rPr>
          <w:rtl/>
        </w:rPr>
      </w:pPr>
      <w:r w:rsidRPr="00E14ED6">
        <w:rPr>
          <w:rFonts w:hint="cs"/>
          <w:rtl/>
        </w:rPr>
        <w:t>ـ وثيقة منع أي شكل من أشكال التمييز ضد النساء عام 1979.</w:t>
      </w:r>
    </w:p>
    <w:p w:rsidR="006E0FDB" w:rsidRDefault="006E0FDB" w:rsidP="006E0FDB">
      <w:pPr>
        <w:pStyle w:val="ac"/>
        <w:rPr>
          <w:rtl/>
        </w:rPr>
      </w:pPr>
      <w:r w:rsidRPr="00E14ED6">
        <w:rPr>
          <w:rFonts w:hint="cs"/>
          <w:rtl/>
        </w:rPr>
        <w:t>وأعلنت الاُمم المتّحدة الأعوام العشرة ما بين 1974 و 1985م أعوام المرأة العشرة أو عقد المرأة.</w:t>
      </w:r>
    </w:p>
    <w:p w:rsidR="006E0FDB" w:rsidRPr="00A731E2" w:rsidRDefault="006E0FDB" w:rsidP="00A731E2">
      <w:pPr>
        <w:pStyle w:val="afffffc"/>
        <w:rPr>
          <w:rFonts w:ascii="Mosawi" w:hAnsi="Mosawi"/>
        </w:rPr>
      </w:pPr>
    </w:p>
    <w:p w:rsidR="006E0FDB" w:rsidRPr="0017088F" w:rsidRDefault="006E0FDB" w:rsidP="006E0FDB">
      <w:pPr>
        <w:pStyle w:val="1"/>
        <w:rPr>
          <w:rtl/>
        </w:rPr>
      </w:pPr>
      <w:bookmarkStart w:id="581" w:name="_Toc169521480"/>
      <w:bookmarkStart w:id="582" w:name="_Toc275128251"/>
      <w:r w:rsidRPr="0017088F">
        <w:rPr>
          <w:rFonts w:hint="cs"/>
          <w:rtl/>
        </w:rPr>
        <w:t>أفول الحركة النسوية</w:t>
      </w:r>
      <w:bookmarkEnd w:id="581"/>
      <w:bookmarkEnd w:id="582"/>
    </w:p>
    <w:p w:rsidR="006E0FDB" w:rsidRPr="00E14ED6" w:rsidRDefault="006E0FDB" w:rsidP="006E0FDB">
      <w:pPr>
        <w:pStyle w:val="ac"/>
        <w:rPr>
          <w:rtl/>
        </w:rPr>
      </w:pPr>
      <w:r w:rsidRPr="00E14ED6">
        <w:rPr>
          <w:rFonts w:hint="cs"/>
          <w:rtl/>
        </w:rPr>
        <w:t>خلال عقد السبعينات كانت أي امرأة تنتسب أو تناصر الحركة النسوية تعرف من خلال مظهرها الخارجي، شعرها القصير (الذكوري)، الحذاء ذو الكعب البسيط الارتفاع، البنطال (السروال) الخشن الملاصق للجسم، والوجه الخالي من آثار التجميل، بحيث تمتاز بذلك عن باقي أفراد بنات جنسها.</w:t>
      </w:r>
    </w:p>
    <w:p w:rsidR="006E0FDB" w:rsidRPr="00E14ED6" w:rsidRDefault="006E0FDB" w:rsidP="006E0FDB">
      <w:pPr>
        <w:pStyle w:val="ac"/>
        <w:rPr>
          <w:rtl/>
        </w:rPr>
      </w:pPr>
      <w:r w:rsidRPr="00E14ED6">
        <w:rPr>
          <w:rFonts w:hint="cs"/>
          <w:rtl/>
        </w:rPr>
        <w:t>وقد أعلن أتباع هذه الحركة عن أهدافهم عبر رفضهم المطلق للزواج، وتأكيدهم على حرية المرأة، واستقلالها في العمل من الناحية الاقتصادية.</w:t>
      </w:r>
    </w:p>
    <w:p w:rsidR="006E0FDB" w:rsidRPr="00E14ED6" w:rsidRDefault="006E0FDB" w:rsidP="006E0FDB">
      <w:pPr>
        <w:pStyle w:val="ac"/>
        <w:rPr>
          <w:rtl/>
        </w:rPr>
      </w:pPr>
      <w:r w:rsidRPr="00E14ED6">
        <w:rPr>
          <w:rFonts w:hint="cs"/>
          <w:rtl/>
        </w:rPr>
        <w:t xml:space="preserve">من هنا، يمكن القول: إنّ شعار </w:t>
      </w:r>
      <w:r w:rsidRPr="00617008">
        <w:rPr>
          <w:rFonts w:hint="cs"/>
          <w:rtl/>
        </w:rPr>
        <w:t>«</w:t>
      </w:r>
      <w:r w:rsidRPr="00E14ED6">
        <w:rPr>
          <w:rFonts w:hint="cs"/>
          <w:rtl/>
        </w:rPr>
        <w:t>نساء من دون رجال</w:t>
      </w:r>
      <w:r w:rsidRPr="00617008">
        <w:rPr>
          <w:rFonts w:hint="cs"/>
          <w:rtl/>
        </w:rPr>
        <w:t>»</w:t>
      </w:r>
      <w:r w:rsidRPr="00E14ED6">
        <w:rPr>
          <w:rFonts w:hint="cs"/>
          <w:rtl/>
        </w:rPr>
        <w:t xml:space="preserve">، أو </w:t>
      </w:r>
      <w:r w:rsidRPr="00617008">
        <w:rPr>
          <w:rFonts w:hint="cs"/>
          <w:rtl/>
        </w:rPr>
        <w:t>«</w:t>
      </w:r>
      <w:r w:rsidRPr="00E14ED6">
        <w:rPr>
          <w:rFonts w:hint="cs"/>
          <w:rtl/>
        </w:rPr>
        <w:t>السلوك الرجالي</w:t>
      </w:r>
      <w:r w:rsidRPr="00617008">
        <w:rPr>
          <w:rFonts w:hint="cs"/>
          <w:rtl/>
        </w:rPr>
        <w:t>»</w:t>
      </w:r>
      <w:r w:rsidRPr="00E14ED6">
        <w:rPr>
          <w:rFonts w:hint="cs"/>
          <w:rtl/>
        </w:rPr>
        <w:t xml:space="preserve"> قد ارتبط بهذه المرحلة وكان من سماتها.</w:t>
      </w:r>
    </w:p>
    <w:p w:rsidR="006E0FDB" w:rsidRPr="00E14ED6" w:rsidRDefault="006E0FDB" w:rsidP="006E0FDB">
      <w:pPr>
        <w:pStyle w:val="ac"/>
        <w:rPr>
          <w:rtl/>
        </w:rPr>
      </w:pPr>
      <w:r w:rsidRPr="00E14ED6">
        <w:rPr>
          <w:rFonts w:hint="cs"/>
          <w:rtl/>
        </w:rPr>
        <w:t>فيما بعد، انتقلت الحركة النسوية من حالة التطرّف إلى حالة الاعتدال حيث سلكت منحىً آخر، الاّ أنّ الآثار السيئة للتطرّف كانت ما زالت واضحة لدى تلك الحركات التي كان مبدؤها محورية المرأة، مما أدّى إلى أن تغدو المرأة عرضةً ـ بالدرجة الأولى ـ لهذه الأضرار.</w:t>
      </w:r>
    </w:p>
    <w:p w:rsidR="006E0FDB" w:rsidRPr="00E14ED6" w:rsidRDefault="006E0FDB" w:rsidP="006E0FDB">
      <w:pPr>
        <w:pStyle w:val="ac"/>
        <w:rPr>
          <w:rtl/>
        </w:rPr>
      </w:pPr>
      <w:r w:rsidRPr="00E14ED6">
        <w:rPr>
          <w:rFonts w:hint="cs"/>
          <w:rtl/>
        </w:rPr>
        <w:t>لقد كان من نتائج تلك المرحلة العنف الذي أخذ يتزايد يومياً في محيط العائلة وفي محيط العمل، بالإضافة إلى فقدان الأمان الجنسي.</w:t>
      </w:r>
    </w:p>
    <w:p w:rsidR="006E0FDB" w:rsidRPr="00E14ED6" w:rsidRDefault="006E0FDB" w:rsidP="00A731E2">
      <w:pPr>
        <w:pStyle w:val="ac"/>
        <w:spacing w:line="199" w:lineRule="auto"/>
        <w:rPr>
          <w:rtl/>
        </w:rPr>
      </w:pPr>
      <w:r w:rsidRPr="00E14ED6">
        <w:rPr>
          <w:rFonts w:hint="cs"/>
          <w:rtl/>
        </w:rPr>
        <w:lastRenderedPageBreak/>
        <w:t xml:space="preserve">على إثر ذلك، توجّه المجتمع الغربي مجدداً نحو الأدوار التقليدية للأسرة من خلال النظر إلى ترويج العادات والتقاليد الأسرية، فالعالمان دانيل لژه </w:t>
      </w:r>
      <w:r w:rsidRPr="00E14ED6">
        <w:t>Danyal Lageh</w:t>
      </w:r>
      <w:r w:rsidRPr="00E14ED6">
        <w:rPr>
          <w:rFonts w:hint="cs"/>
          <w:rtl/>
        </w:rPr>
        <w:t xml:space="preserve"> وبرنزان هارويو </w:t>
      </w:r>
      <w:r w:rsidRPr="00E14ED6">
        <w:t>Bern Zane Harvyou</w:t>
      </w:r>
      <w:r w:rsidRPr="00E14ED6">
        <w:rPr>
          <w:rFonts w:hint="cs"/>
          <w:rtl/>
        </w:rPr>
        <w:t xml:space="preserve"> لاحظا عند البحث في أحوال المجتمع، أن تحولاً جديداً قد ظهر إلى العلن. حيث ظهرت صورة العائلة الأكثر تقليديةً ومثالية، وأنّ الناس توافقوا على ضمّ الجد والجدة إلى البنية العائلية، لتصبح العائلة متكوّنة من ثلاثة أجيال: الأم والأب، الأولاد، الجد والجدّة، وبرزت هذه الأدوار التقليدية ونمت بشكل متسارع، وبالنتيجة أصبح الرجل أكثر قوّة وقيمومة على الأسرة</w:t>
      </w:r>
      <w:r w:rsidRPr="00815C4C">
        <w:rPr>
          <w:rFonts w:cs="Taher"/>
          <w:vertAlign w:val="superscript"/>
          <w:rtl/>
        </w:rPr>
        <w:t>(</w:t>
      </w:r>
      <w:r w:rsidRPr="00815C4C">
        <w:rPr>
          <w:rFonts w:cs="Taher"/>
          <w:vertAlign w:val="superscript"/>
          <w:rtl/>
        </w:rPr>
        <w:footnoteReference w:id="956"/>
      </w:r>
      <w:r w:rsidRPr="00815C4C">
        <w:rPr>
          <w:rFonts w:cs="Taher"/>
          <w:vertAlign w:val="superscript"/>
          <w:rtl/>
        </w:rPr>
        <w:t>)</w:t>
      </w:r>
      <w:r w:rsidRPr="00E14ED6">
        <w:rPr>
          <w:rFonts w:hint="cs"/>
          <w:rtl/>
        </w:rPr>
        <w:t>.</w:t>
      </w:r>
    </w:p>
    <w:p w:rsidR="006E0FDB" w:rsidRDefault="006E0FDB" w:rsidP="00A731E2">
      <w:pPr>
        <w:pStyle w:val="ac"/>
        <w:spacing w:line="199" w:lineRule="auto"/>
        <w:rPr>
          <w:rtl/>
        </w:rPr>
      </w:pPr>
      <w:r w:rsidRPr="00E14ED6">
        <w:rPr>
          <w:rFonts w:hint="cs"/>
          <w:rtl/>
        </w:rPr>
        <w:t>وأيضاً أعلنت منظمة الأمم المتحدة عام 1994م عاماً للعائلة، ومنذ ذلك الحين أخذت النساء العصريات تسعى في إظهار تمايزها عن الرجال بمظهرها وسلوكها الأنثوي الخاص المتميّز باللين والرقّة واللطافة.</w:t>
      </w:r>
    </w:p>
    <w:p w:rsidR="006E0FDB" w:rsidRPr="00A731E2" w:rsidRDefault="006E0FDB" w:rsidP="00A731E2">
      <w:pPr>
        <w:pStyle w:val="afffffc"/>
        <w:rPr>
          <w:rFonts w:ascii="Mosawi" w:hAnsi="Mosawi"/>
          <w:sz w:val="20"/>
          <w:szCs w:val="18"/>
        </w:rPr>
      </w:pPr>
    </w:p>
    <w:p w:rsidR="006E0FDB" w:rsidRPr="0017088F" w:rsidRDefault="006E0FDB" w:rsidP="006E0FDB">
      <w:pPr>
        <w:pStyle w:val="1"/>
        <w:rPr>
          <w:rtl/>
        </w:rPr>
      </w:pPr>
      <w:bookmarkStart w:id="583" w:name="_Toc169521481"/>
      <w:bookmarkStart w:id="584" w:name="_Toc275128252"/>
      <w:r w:rsidRPr="0017088F">
        <w:rPr>
          <w:rFonts w:hint="cs"/>
          <w:rtl/>
        </w:rPr>
        <w:t>الإفراط في الدعوة إلى حرية المرأة</w:t>
      </w:r>
      <w:bookmarkEnd w:id="583"/>
      <w:bookmarkEnd w:id="584"/>
    </w:p>
    <w:p w:rsidR="006E0FDB" w:rsidRPr="00E14ED6" w:rsidRDefault="006E0FDB" w:rsidP="00A731E2">
      <w:pPr>
        <w:pStyle w:val="ac"/>
        <w:spacing w:line="202" w:lineRule="auto"/>
        <w:rPr>
          <w:rtl/>
        </w:rPr>
      </w:pPr>
      <w:r w:rsidRPr="00E14ED6">
        <w:rPr>
          <w:rFonts w:hint="cs"/>
          <w:rtl/>
        </w:rPr>
        <w:t>اعتبر بعض دعاة حرية المرأة أنّ أساس الظلم الذي لحق بالمرأة يكمن في فقدان الحقوق المدنية، وعدم المساواة في فرص التعليم.</w:t>
      </w:r>
    </w:p>
    <w:p w:rsidR="006E0FDB" w:rsidRPr="00E14ED6" w:rsidRDefault="006E0FDB" w:rsidP="00A731E2">
      <w:pPr>
        <w:pStyle w:val="ac"/>
        <w:spacing w:line="202" w:lineRule="auto"/>
        <w:rPr>
          <w:rtl/>
        </w:rPr>
      </w:pPr>
      <w:r w:rsidRPr="00E14ED6">
        <w:rPr>
          <w:rFonts w:hint="cs"/>
          <w:rtl/>
        </w:rPr>
        <w:t>كما أن بعضهم رفض أن يكون جنس الشخص (ذكر أو أنثى) مؤثراً في تحديد حقوقه، واعتبروا أنّ الفطرة لدى النساء والرجال واحدة تماماً، وأنّ ما هو موجود هو الإنسان فقط لا الجنس.</w:t>
      </w:r>
    </w:p>
    <w:p w:rsidR="006E0FDB" w:rsidRPr="00E14ED6" w:rsidRDefault="006E0FDB" w:rsidP="00A731E2">
      <w:pPr>
        <w:pStyle w:val="ac"/>
        <w:spacing w:line="202" w:lineRule="auto"/>
        <w:rPr>
          <w:rtl/>
        </w:rPr>
      </w:pPr>
      <w:r w:rsidRPr="00E14ED6">
        <w:rPr>
          <w:rFonts w:hint="cs"/>
          <w:rtl/>
        </w:rPr>
        <w:t>وقد كانت من أهداف هؤلاء تحقيق المجتمع القائم على الجنسين معاً اللذَيْن هما أعضاء المجتمع سوية، بغضّ النظر عن الخصائص الرجالية والنسائية والاختلافات والفوارق النفسية المبالغ فيها.</w:t>
      </w:r>
    </w:p>
    <w:p w:rsidR="006E0FDB" w:rsidRPr="00E14ED6" w:rsidRDefault="006E0FDB" w:rsidP="00A731E2">
      <w:pPr>
        <w:pStyle w:val="ac"/>
        <w:spacing w:line="202" w:lineRule="auto"/>
        <w:rPr>
          <w:rtl/>
        </w:rPr>
      </w:pPr>
      <w:r w:rsidRPr="00E14ED6">
        <w:rPr>
          <w:rFonts w:hint="cs"/>
          <w:rtl/>
        </w:rPr>
        <w:t>وهذا يعني عدم وجود فروقات قوية بين تلك الخصائص للجنسين، فالفتيان والفتيات يحظون سويةً بإمكان التعلّم، ولا تفرض تلك المميزات والخصائص عليهم أمراً آخر.</w:t>
      </w:r>
    </w:p>
    <w:p w:rsidR="006E0FDB" w:rsidRPr="00E14ED6" w:rsidRDefault="006E0FDB" w:rsidP="006E0FDB">
      <w:pPr>
        <w:pStyle w:val="ac"/>
        <w:rPr>
          <w:rtl/>
        </w:rPr>
      </w:pPr>
      <w:r w:rsidRPr="00E14ED6">
        <w:rPr>
          <w:rFonts w:hint="cs"/>
          <w:rtl/>
        </w:rPr>
        <w:lastRenderedPageBreak/>
        <w:t>وكذلك اعتبروا أنّ واقع الجنس ودوره كان نتيجة العلاقات الاجتماعية طوال التاريخ، وليست ودائع أو مواهب للطبيعة غير قابلة للتخلّف.</w:t>
      </w:r>
    </w:p>
    <w:p w:rsidR="006E0FDB" w:rsidRDefault="006E0FDB" w:rsidP="006E0FDB">
      <w:pPr>
        <w:pStyle w:val="ac"/>
        <w:rPr>
          <w:rtl/>
        </w:rPr>
      </w:pPr>
      <w:r w:rsidRPr="00E14ED6">
        <w:rPr>
          <w:rFonts w:hint="cs"/>
          <w:rtl/>
        </w:rPr>
        <w:t xml:space="preserve">وقد قبلوا بنظرية </w:t>
      </w:r>
      <w:r w:rsidRPr="00885E99">
        <w:rPr>
          <w:rFonts w:hint="cs"/>
          <w:rtl/>
        </w:rPr>
        <w:t>«</w:t>
      </w:r>
      <w:r w:rsidRPr="00E14ED6">
        <w:rPr>
          <w:rFonts w:hint="cs"/>
          <w:rtl/>
        </w:rPr>
        <w:t>موركَان</w:t>
      </w:r>
      <w:r w:rsidRPr="00617008">
        <w:rPr>
          <w:rFonts w:hint="cs"/>
          <w:rtl/>
        </w:rPr>
        <w:t>»</w:t>
      </w:r>
      <w:r w:rsidRPr="00E14ED6">
        <w:rPr>
          <w:rFonts w:hint="cs"/>
          <w:rtl/>
        </w:rPr>
        <w:t xml:space="preserve"> </w:t>
      </w:r>
      <w:r w:rsidRPr="00E14ED6">
        <w:t>Morkan</w:t>
      </w:r>
      <w:r w:rsidRPr="00E14ED6">
        <w:rPr>
          <w:rFonts w:hint="cs"/>
          <w:rtl/>
        </w:rPr>
        <w:t xml:space="preserve"> الذي اعتقد أنّ الأمومة </w:t>
      </w:r>
      <w:r w:rsidRPr="00885E99">
        <w:rPr>
          <w:rFonts w:hint="cs"/>
          <w:rtl/>
        </w:rPr>
        <w:t>«</w:t>
      </w:r>
      <w:r w:rsidRPr="00E14ED6">
        <w:rPr>
          <w:rFonts w:hint="cs"/>
          <w:rtl/>
        </w:rPr>
        <w:t>قيمومة الأم</w:t>
      </w:r>
      <w:r w:rsidRPr="00617008">
        <w:rPr>
          <w:rFonts w:hint="cs"/>
          <w:rtl/>
        </w:rPr>
        <w:t>»</w:t>
      </w:r>
      <w:r w:rsidRPr="00E14ED6">
        <w:rPr>
          <w:rFonts w:hint="cs"/>
          <w:rtl/>
        </w:rPr>
        <w:t xml:space="preserve"> قد راجت في بداية الحياة البشرية، أما قيمومة الرجل </w:t>
      </w:r>
      <w:r w:rsidRPr="00885E99">
        <w:rPr>
          <w:rFonts w:hint="cs"/>
          <w:rtl/>
        </w:rPr>
        <w:t>«</w:t>
      </w:r>
      <w:r w:rsidRPr="00E14ED6">
        <w:rPr>
          <w:rFonts w:hint="cs"/>
          <w:rtl/>
        </w:rPr>
        <w:t>الأب</w:t>
      </w:r>
      <w:r w:rsidRPr="00617008">
        <w:rPr>
          <w:rFonts w:hint="cs"/>
          <w:rtl/>
        </w:rPr>
        <w:t>»</w:t>
      </w:r>
      <w:r w:rsidRPr="00E14ED6">
        <w:rPr>
          <w:rFonts w:hint="cs"/>
          <w:rtl/>
        </w:rPr>
        <w:t xml:space="preserve"> فاعتُبِرت أمراً طارئاً وعابراً، بحيث هيمن ـ  وبشكل تدريجي ـ على المجتمعات فيما بعد</w:t>
      </w:r>
      <w:r w:rsidRPr="00815C4C">
        <w:rPr>
          <w:rFonts w:cs="Taher"/>
          <w:vertAlign w:val="superscript"/>
          <w:rtl/>
        </w:rPr>
        <w:t>(</w:t>
      </w:r>
      <w:r w:rsidRPr="00815C4C">
        <w:rPr>
          <w:rFonts w:cs="Taher"/>
          <w:vertAlign w:val="superscript"/>
          <w:rtl/>
        </w:rPr>
        <w:footnoteReference w:id="957"/>
      </w:r>
      <w:r w:rsidRPr="00815C4C">
        <w:rPr>
          <w:rFonts w:cs="Taher"/>
          <w:vertAlign w:val="superscript"/>
          <w:rtl/>
        </w:rPr>
        <w:t>)</w:t>
      </w:r>
      <w:r w:rsidRPr="00E14ED6">
        <w:rPr>
          <w:rFonts w:hint="cs"/>
          <w:rtl/>
        </w:rPr>
        <w:t>.</w:t>
      </w:r>
    </w:p>
    <w:p w:rsidR="006E0FDB" w:rsidRPr="00A731E2" w:rsidRDefault="006E0FDB" w:rsidP="00A731E2">
      <w:pPr>
        <w:pStyle w:val="afffffc"/>
        <w:rPr>
          <w:rFonts w:ascii="Mosawi" w:hAnsi="Mosawi"/>
          <w:sz w:val="20"/>
          <w:szCs w:val="18"/>
        </w:rPr>
      </w:pPr>
    </w:p>
    <w:p w:rsidR="006E0FDB" w:rsidRPr="0017088F" w:rsidRDefault="006E0FDB" w:rsidP="006E0FDB">
      <w:pPr>
        <w:pStyle w:val="1"/>
        <w:rPr>
          <w:rtl/>
        </w:rPr>
      </w:pPr>
      <w:bookmarkStart w:id="585" w:name="_Toc169521482"/>
      <w:bookmarkStart w:id="586" w:name="_Toc275128253"/>
      <w:r w:rsidRPr="0017088F">
        <w:rPr>
          <w:rFonts w:hint="cs"/>
          <w:rtl/>
        </w:rPr>
        <w:t>الحركة النسوية الماركسية</w:t>
      </w:r>
      <w:bookmarkEnd w:id="585"/>
      <w:bookmarkEnd w:id="586"/>
    </w:p>
    <w:p w:rsidR="006E0FDB" w:rsidRPr="00E14ED6" w:rsidRDefault="006E0FDB" w:rsidP="00A731E2">
      <w:pPr>
        <w:pStyle w:val="ac"/>
        <w:spacing w:line="199" w:lineRule="auto"/>
        <w:rPr>
          <w:rtl/>
        </w:rPr>
      </w:pPr>
      <w:r w:rsidRPr="00E14ED6">
        <w:rPr>
          <w:rFonts w:hint="cs"/>
          <w:rtl/>
        </w:rPr>
        <w:t xml:space="preserve">في القرن التاسع عشر للميلاد وانطلاقاً من نظرية مروكَان </w:t>
      </w:r>
      <w:r w:rsidRPr="00E14ED6">
        <w:t>morkan</w:t>
      </w:r>
      <w:r w:rsidRPr="00E14ED6">
        <w:rPr>
          <w:rFonts w:hint="cs"/>
          <w:rtl/>
        </w:rPr>
        <w:t xml:space="preserve"> في </w:t>
      </w:r>
      <w:r w:rsidRPr="00885E99">
        <w:rPr>
          <w:rFonts w:hint="cs"/>
          <w:rtl/>
        </w:rPr>
        <w:t>«</w:t>
      </w:r>
      <w:r w:rsidRPr="00E14ED6">
        <w:rPr>
          <w:rFonts w:hint="cs"/>
          <w:rtl/>
        </w:rPr>
        <w:t>قيمومة الأم</w:t>
      </w:r>
      <w:r w:rsidRPr="00617008">
        <w:rPr>
          <w:rFonts w:hint="cs"/>
          <w:rtl/>
        </w:rPr>
        <w:t>»</w:t>
      </w:r>
      <w:r w:rsidRPr="00E14ED6">
        <w:rPr>
          <w:rFonts w:hint="cs"/>
          <w:rtl/>
        </w:rPr>
        <w:t xml:space="preserve"> في المجتمعات البشرية، اعتقد المذهب الماركسي أنّ ظهور الملكية الخاصة في المجتمعات سبّب تقييد المرأة والحدّ من فعاليتها، وهذه الحالة ستستمر مادامت الملكية موجودة وما دامت الأسرة البرجوازية حاكمة.</w:t>
      </w:r>
    </w:p>
    <w:p w:rsidR="006E0FDB" w:rsidRPr="00E14ED6" w:rsidRDefault="006E0FDB" w:rsidP="00A731E2">
      <w:pPr>
        <w:pStyle w:val="ac"/>
        <w:spacing w:line="199" w:lineRule="auto"/>
        <w:rPr>
          <w:rtl/>
        </w:rPr>
      </w:pPr>
      <w:r w:rsidRPr="00E14ED6">
        <w:rPr>
          <w:rFonts w:hint="cs"/>
          <w:rtl/>
        </w:rPr>
        <w:t xml:space="preserve">بينما سعت الرأسمالية إلى المحافظة على العمل المنـزلي بشكله الحالي، وقد عارضوا تحوّله إلى ظاهرة تعمّ المجتمع أي: </w:t>
      </w:r>
      <w:r w:rsidRPr="00885E99">
        <w:rPr>
          <w:rFonts w:hint="cs"/>
          <w:rtl/>
        </w:rPr>
        <w:t>«</w:t>
      </w:r>
      <w:r w:rsidRPr="00E14ED6">
        <w:rPr>
          <w:rFonts w:hint="cs"/>
          <w:rtl/>
        </w:rPr>
        <w:t>حالة اجتماعية عامة</w:t>
      </w:r>
      <w:r w:rsidRPr="00617008">
        <w:rPr>
          <w:rFonts w:hint="cs"/>
          <w:rtl/>
        </w:rPr>
        <w:t>»</w:t>
      </w:r>
      <w:r w:rsidRPr="00E14ED6">
        <w:rPr>
          <w:rFonts w:hint="cs"/>
          <w:rtl/>
        </w:rPr>
        <w:t>.</w:t>
      </w:r>
    </w:p>
    <w:p w:rsidR="006E0FDB" w:rsidRPr="00E14ED6" w:rsidRDefault="006E0FDB" w:rsidP="00A731E2">
      <w:pPr>
        <w:pStyle w:val="ac"/>
        <w:spacing w:line="199" w:lineRule="auto"/>
        <w:rPr>
          <w:rtl/>
        </w:rPr>
      </w:pPr>
      <w:r w:rsidRPr="00E14ED6">
        <w:rPr>
          <w:rFonts w:hint="cs"/>
          <w:rtl/>
        </w:rPr>
        <w:t>وانطلاقاً من هذا التحليل عينه طرح إنجلز وماركس [</w:t>
      </w:r>
      <w:r w:rsidRPr="00E14ED6">
        <w:t>Marx &amp; Engls</w:t>
      </w:r>
      <w:r w:rsidRPr="00E14ED6">
        <w:rPr>
          <w:rFonts w:hint="cs"/>
          <w:rtl/>
        </w:rPr>
        <w:t xml:space="preserve">] نظرية إلغاء الأسرة، كونها أصغر وحدة اقتصادية في المجتمع، حيث اعتقد انجلز </w:t>
      </w:r>
      <w:r w:rsidRPr="00E14ED6">
        <w:t>Engles</w:t>
      </w:r>
      <w:r w:rsidRPr="00E14ED6">
        <w:rPr>
          <w:rFonts w:hint="cs"/>
          <w:rtl/>
        </w:rPr>
        <w:t xml:space="preserve"> أنّ ظهور الأسرة كان تجلّياً ونتيجة لاستثمار الرجل للمرأة والأولاد. وقد ادعوا أنّ النساء سوف يتحرّرن بعد سقوط النظام البرجوازي، ومن هذه الجهة افترضوا أنّ النظال النسوي من أجل تحرير المرأة تابعٌ للنضال الطبقي.</w:t>
      </w:r>
    </w:p>
    <w:p w:rsidR="006E0FDB" w:rsidRPr="00E14ED6" w:rsidRDefault="006E0FDB" w:rsidP="00A731E2">
      <w:pPr>
        <w:pStyle w:val="ac"/>
        <w:spacing w:line="199" w:lineRule="auto"/>
        <w:rPr>
          <w:rtl/>
        </w:rPr>
      </w:pPr>
      <w:r w:rsidRPr="00E14ED6">
        <w:rPr>
          <w:rFonts w:hint="cs"/>
          <w:rtl/>
        </w:rPr>
        <w:t>وبالنظر إلى أنّ النظام الراسمالي قد قسّم المجتمع إلى قطاعين وساحتين:</w:t>
      </w:r>
    </w:p>
    <w:p w:rsidR="006E0FDB" w:rsidRPr="00E14ED6" w:rsidRDefault="006E0FDB" w:rsidP="00A731E2">
      <w:pPr>
        <w:pStyle w:val="ac"/>
        <w:spacing w:line="199" w:lineRule="auto"/>
        <w:rPr>
          <w:rtl/>
        </w:rPr>
      </w:pPr>
      <w:r w:rsidRPr="00E14ED6">
        <w:rPr>
          <w:rFonts w:hint="cs"/>
          <w:rtl/>
        </w:rPr>
        <w:t>ـ القطاع العام (السوق).</w:t>
      </w:r>
    </w:p>
    <w:p w:rsidR="006E0FDB" w:rsidRPr="00E14ED6" w:rsidRDefault="006E0FDB" w:rsidP="00A731E2">
      <w:pPr>
        <w:pStyle w:val="ac"/>
        <w:spacing w:line="199" w:lineRule="auto"/>
        <w:rPr>
          <w:rtl/>
        </w:rPr>
      </w:pPr>
      <w:r w:rsidRPr="00E14ED6">
        <w:rPr>
          <w:rFonts w:hint="cs"/>
          <w:rtl/>
        </w:rPr>
        <w:t>ـ القطاع الخاص (العائلة).</w:t>
      </w:r>
    </w:p>
    <w:p w:rsidR="006E0FDB" w:rsidRPr="009F4FA4" w:rsidRDefault="006E0FDB" w:rsidP="00A731E2">
      <w:pPr>
        <w:pStyle w:val="ac"/>
        <w:spacing w:line="199" w:lineRule="auto"/>
        <w:rPr>
          <w:spacing w:val="-6"/>
          <w:rtl/>
        </w:rPr>
      </w:pPr>
      <w:r w:rsidRPr="009F4FA4">
        <w:rPr>
          <w:rFonts w:hint="cs"/>
          <w:spacing w:val="-6"/>
          <w:rtl/>
        </w:rPr>
        <w:t xml:space="preserve">اعتبر انجلز أنّ أول شرط لتحرير النساء ربات البيوت، هو انخراط هذا الجنس (المؤنث) في الحياة اليومية والأنشطة العامّة في حياة المجتمع، وقد سدّدت الماركسية بهذه الطريقة ضربة </w:t>
      </w:r>
      <w:r w:rsidRPr="009F4FA4">
        <w:rPr>
          <w:rFonts w:hint="cs"/>
          <w:spacing w:val="-6"/>
          <w:rtl/>
        </w:rPr>
        <w:lastRenderedPageBreak/>
        <w:t>قاسية إلى أركان الأسرة، لم تكن قابلة للجبران بتلك السرعة.</w:t>
      </w:r>
    </w:p>
    <w:p w:rsidR="006E0FDB" w:rsidRPr="00E14ED6" w:rsidRDefault="006E0FDB" w:rsidP="006E0FDB">
      <w:pPr>
        <w:pStyle w:val="ac"/>
        <w:rPr>
          <w:rtl/>
        </w:rPr>
      </w:pPr>
      <w:r w:rsidRPr="00E14ED6">
        <w:rPr>
          <w:rFonts w:hint="cs"/>
          <w:rtl/>
        </w:rPr>
        <w:t xml:space="preserve">أما المغالون من دعاة الحركة النسوية وتحرير المرأة فقد عارضوا الزواج لأنّه يحوِّل المرأة إلى </w:t>
      </w:r>
      <w:r w:rsidRPr="00617008">
        <w:rPr>
          <w:rFonts w:hint="cs"/>
          <w:rtl/>
        </w:rPr>
        <w:t>«</w:t>
      </w:r>
      <w:r w:rsidRPr="00E14ED6">
        <w:rPr>
          <w:rFonts w:hint="cs"/>
          <w:rtl/>
        </w:rPr>
        <w:t>ربة منـزل، ومنجبة أولاد</w:t>
      </w:r>
      <w:r w:rsidRPr="00617008">
        <w:rPr>
          <w:rFonts w:hint="cs"/>
          <w:rtl/>
        </w:rPr>
        <w:t>»</w:t>
      </w:r>
      <w:r w:rsidRPr="00E14ED6">
        <w:rPr>
          <w:rFonts w:hint="cs"/>
          <w:rtl/>
        </w:rPr>
        <w:t xml:space="preserve"> و</w:t>
      </w:r>
      <w:r w:rsidRPr="00617008">
        <w:rPr>
          <w:rFonts w:hint="cs"/>
          <w:rtl/>
        </w:rPr>
        <w:t>«</w:t>
      </w:r>
      <w:r w:rsidRPr="00E14ED6">
        <w:rPr>
          <w:rFonts w:hint="cs"/>
          <w:rtl/>
        </w:rPr>
        <w:t>متفانية في خدمتهم</w:t>
      </w:r>
      <w:r w:rsidRPr="00617008">
        <w:rPr>
          <w:rFonts w:hint="cs"/>
          <w:rtl/>
        </w:rPr>
        <w:t>»</w:t>
      </w:r>
      <w:r w:rsidRPr="00E14ED6">
        <w:rPr>
          <w:rFonts w:hint="cs"/>
          <w:rtl/>
        </w:rPr>
        <w:t xml:space="preserve">. ويحوّل الرجل إلى </w:t>
      </w:r>
      <w:r w:rsidRPr="00617008">
        <w:rPr>
          <w:rFonts w:hint="cs"/>
          <w:rtl/>
        </w:rPr>
        <w:t>«</w:t>
      </w:r>
      <w:r w:rsidRPr="00E14ED6">
        <w:rPr>
          <w:rFonts w:hint="cs"/>
          <w:rtl/>
        </w:rPr>
        <w:t>معيل، وأب، وأناني</w:t>
      </w:r>
      <w:r w:rsidRPr="00617008">
        <w:rPr>
          <w:rFonts w:hint="cs"/>
          <w:rtl/>
        </w:rPr>
        <w:t>»</w:t>
      </w:r>
      <w:r w:rsidRPr="00E14ED6">
        <w:rPr>
          <w:rFonts w:hint="cs"/>
          <w:rtl/>
        </w:rPr>
        <w:t>.</w:t>
      </w:r>
    </w:p>
    <w:p w:rsidR="006E0FDB" w:rsidRPr="00E14ED6" w:rsidRDefault="006E0FDB" w:rsidP="006E0FDB">
      <w:pPr>
        <w:pStyle w:val="ac"/>
        <w:rPr>
          <w:rtl/>
        </w:rPr>
      </w:pPr>
      <w:r w:rsidRPr="00E14ED6">
        <w:rPr>
          <w:rFonts w:hint="cs"/>
          <w:rtl/>
        </w:rPr>
        <w:t>من جانب آخر، وبسبب إخضاع الرجال النساءَ لسلطتهم حتى في علاقاتهم الجنسية، ينبغي أن تعيش النساء منفصلةً عن الرجال، وأن يعتبرن الرجال العدو الأساس لهنّ.</w:t>
      </w:r>
    </w:p>
    <w:p w:rsidR="006E0FDB" w:rsidRPr="00E14ED6" w:rsidRDefault="006E0FDB" w:rsidP="006E0FDB">
      <w:pPr>
        <w:pStyle w:val="ac"/>
        <w:rPr>
          <w:rtl/>
        </w:rPr>
      </w:pPr>
      <w:r w:rsidRPr="00E14ED6">
        <w:rPr>
          <w:rFonts w:hint="cs"/>
          <w:rtl/>
        </w:rPr>
        <w:t xml:space="preserve">وقد عدُّوا نظرية </w:t>
      </w:r>
      <w:r w:rsidRPr="00617008">
        <w:rPr>
          <w:rFonts w:hint="cs"/>
          <w:rtl/>
        </w:rPr>
        <w:t>«</w:t>
      </w:r>
      <w:r w:rsidRPr="00E14ED6">
        <w:rPr>
          <w:rFonts w:hint="cs"/>
          <w:rtl/>
        </w:rPr>
        <w:t>الزواج الحر</w:t>
      </w:r>
      <w:r w:rsidRPr="00617008">
        <w:rPr>
          <w:rFonts w:hint="cs"/>
          <w:rtl/>
        </w:rPr>
        <w:t>»</w:t>
      </w:r>
      <w:r w:rsidRPr="00E14ED6">
        <w:rPr>
          <w:rFonts w:hint="cs"/>
          <w:rtl/>
        </w:rPr>
        <w:t xml:space="preserve"> أسهل طريقة للخلاص من العبودية والاستغلال الذكوري.</w:t>
      </w:r>
    </w:p>
    <w:p w:rsidR="006E0FDB" w:rsidRPr="00E14ED6" w:rsidRDefault="006E0FDB" w:rsidP="006E0FDB">
      <w:pPr>
        <w:pStyle w:val="ac"/>
        <w:rPr>
          <w:rtl/>
        </w:rPr>
      </w:pPr>
      <w:r w:rsidRPr="00E14ED6">
        <w:rPr>
          <w:rFonts w:hint="cs"/>
          <w:rtl/>
        </w:rPr>
        <w:t>و</w:t>
      </w:r>
      <w:r w:rsidRPr="00617008">
        <w:rPr>
          <w:rFonts w:hint="cs"/>
          <w:rtl/>
        </w:rPr>
        <w:t>«</w:t>
      </w:r>
      <w:r w:rsidRPr="00E14ED6">
        <w:rPr>
          <w:rFonts w:hint="cs"/>
          <w:rtl/>
        </w:rPr>
        <w:t>الزواج الحر</w:t>
      </w:r>
      <w:r w:rsidRPr="00617008">
        <w:rPr>
          <w:rFonts w:hint="cs"/>
          <w:rtl/>
        </w:rPr>
        <w:t>»</w:t>
      </w:r>
      <w:r w:rsidRPr="00E14ED6">
        <w:rPr>
          <w:rFonts w:hint="cs"/>
          <w:rtl/>
        </w:rPr>
        <w:t xml:space="preserve"> نوع من التعايش المشترك بين الرجل والمرأة.</w:t>
      </w:r>
    </w:p>
    <w:p w:rsidR="006E0FDB" w:rsidRPr="00E14ED6" w:rsidRDefault="006E0FDB" w:rsidP="006E0FDB">
      <w:pPr>
        <w:pStyle w:val="ac"/>
        <w:rPr>
          <w:rtl/>
        </w:rPr>
      </w:pPr>
      <w:r w:rsidRPr="00E14ED6">
        <w:rPr>
          <w:rFonts w:hint="cs"/>
          <w:rtl/>
        </w:rPr>
        <w:t>وعلى أساس هذه النظرية لا توجد أية مسؤوليات حقوقية على عهدة الطرفين، وهذه الرابطة هي فقط استجابة للحاجات الجنسية بدون إيلاء دور للجانب العاطفي.</w:t>
      </w:r>
    </w:p>
    <w:p w:rsidR="006E0FDB" w:rsidRDefault="006E0FDB" w:rsidP="006E0FDB">
      <w:pPr>
        <w:pStyle w:val="ac"/>
        <w:rPr>
          <w:rtl/>
        </w:rPr>
      </w:pPr>
      <w:r w:rsidRPr="00E14ED6">
        <w:rPr>
          <w:rFonts w:hint="cs"/>
          <w:rtl/>
        </w:rPr>
        <w:t>والجدير بالذكر أن هذه الدعوة الإفراطية ترقّت بعد ذلك إلى مرحلة الدعوة إلى حرية الزواج بالمثل.</w:t>
      </w:r>
    </w:p>
    <w:p w:rsidR="006E0FDB" w:rsidRPr="00A731E2" w:rsidRDefault="006E0FDB" w:rsidP="00A731E2">
      <w:pPr>
        <w:pStyle w:val="afffffc"/>
        <w:rPr>
          <w:rFonts w:ascii="Mosawi" w:hAnsi="Mosawi"/>
        </w:rPr>
      </w:pPr>
    </w:p>
    <w:p w:rsidR="006E0FDB" w:rsidRPr="0017088F" w:rsidRDefault="006E0FDB" w:rsidP="006E0FDB">
      <w:pPr>
        <w:pStyle w:val="1"/>
        <w:rPr>
          <w:rtl/>
        </w:rPr>
      </w:pPr>
      <w:bookmarkStart w:id="587" w:name="_Toc169521483"/>
      <w:bookmarkStart w:id="588" w:name="_Toc275128254"/>
      <w:r w:rsidRPr="0017088F">
        <w:rPr>
          <w:rFonts w:hint="cs"/>
          <w:rtl/>
        </w:rPr>
        <w:t>أنصار الحركة النسوية اليوم</w:t>
      </w:r>
      <w:bookmarkEnd w:id="587"/>
      <w:bookmarkEnd w:id="588"/>
    </w:p>
    <w:p w:rsidR="006E0FDB" w:rsidRPr="00E14ED6" w:rsidRDefault="006E0FDB" w:rsidP="006E0FDB">
      <w:pPr>
        <w:pStyle w:val="ac"/>
        <w:rPr>
          <w:rtl/>
        </w:rPr>
      </w:pPr>
      <w:r w:rsidRPr="00E14ED6">
        <w:rPr>
          <w:rFonts w:hint="cs"/>
          <w:rtl/>
        </w:rPr>
        <w:t xml:space="preserve">من السبعينات من القرن الماضي برز على الساحة تيار جديد داخل الحركة النسوية باسم: </w:t>
      </w:r>
      <w:r w:rsidRPr="00885E99">
        <w:rPr>
          <w:rFonts w:hint="cs"/>
          <w:rtl/>
        </w:rPr>
        <w:t>«</w:t>
      </w:r>
      <w:r w:rsidRPr="00E14ED6">
        <w:rPr>
          <w:rFonts w:hint="cs"/>
          <w:rtl/>
        </w:rPr>
        <w:t>دعاة المرأة الجدد</w:t>
      </w:r>
      <w:r w:rsidRPr="00617008">
        <w:rPr>
          <w:rFonts w:hint="cs"/>
          <w:rtl/>
        </w:rPr>
        <w:t>»</w:t>
      </w:r>
      <w:r w:rsidRPr="00E14ED6">
        <w:rPr>
          <w:rFonts w:hint="cs"/>
          <w:rtl/>
        </w:rPr>
        <w:t>، حيث تأثّر هذا التيار بالمدارس الفكرية ما بعد الحداثية، بحيث استند دعاة المرأة الجدد إلى علم النفس السلوكي للتأكيد على حفظ الخصائص النسائية.</w:t>
      </w:r>
    </w:p>
    <w:p w:rsidR="006E0FDB" w:rsidRPr="00E14ED6" w:rsidRDefault="006E0FDB" w:rsidP="006E0FDB">
      <w:pPr>
        <w:pStyle w:val="ac"/>
        <w:rPr>
          <w:rtl/>
        </w:rPr>
      </w:pPr>
      <w:r w:rsidRPr="00E14ED6">
        <w:rPr>
          <w:rFonts w:hint="cs"/>
          <w:rtl/>
        </w:rPr>
        <w:t>وهؤلاء بتأكيدهم على أصل التفاوت الموجود بين بني البشر اعتقدوا أن قيم ومبادئ الحركات النسوية الراديكالية التي سادت العالم آنذاك ليست مستحيلة التحقق فقط، بل من الممكن لها خلق أشكال جديدة من الظلم؛ ذلك أنّ هذه الرؤى قد غفلت عن تفاوت ظروف المجتمعات واختلاف الثقافات.</w:t>
      </w:r>
    </w:p>
    <w:p w:rsidR="006E0FDB" w:rsidRPr="00E14ED6" w:rsidRDefault="006E0FDB" w:rsidP="006E0FDB">
      <w:pPr>
        <w:pStyle w:val="ac"/>
        <w:rPr>
          <w:rtl/>
        </w:rPr>
      </w:pPr>
      <w:r w:rsidRPr="00E14ED6">
        <w:rPr>
          <w:rFonts w:hint="cs"/>
          <w:rtl/>
        </w:rPr>
        <w:lastRenderedPageBreak/>
        <w:t>بالإضافة إلى ذلك، يذهب هذا الاتجاه إلى أنّ المرأة تحتاج إلى الأسرة سواء زوجة كانت أو بنتاً.</w:t>
      </w:r>
    </w:p>
    <w:p w:rsidR="006E0FDB" w:rsidRPr="00E14ED6" w:rsidRDefault="006E0FDB" w:rsidP="006E0FDB">
      <w:pPr>
        <w:pStyle w:val="ac"/>
        <w:rPr>
          <w:rtl/>
        </w:rPr>
      </w:pPr>
      <w:r w:rsidRPr="00E14ED6">
        <w:rPr>
          <w:rFonts w:hint="cs"/>
          <w:rtl/>
        </w:rPr>
        <w:t>ومع وجود الاختلافات الكثيرة في توجهات أتباع الحركة النسوية، إلاّ أنّه يمكن الإشارة إلى الوجوه المشتركة فيما بينها جميعاً.</w:t>
      </w:r>
    </w:p>
    <w:p w:rsidR="006E0FDB" w:rsidRPr="00E14ED6" w:rsidRDefault="006E0FDB" w:rsidP="006E0FDB">
      <w:pPr>
        <w:pStyle w:val="ac"/>
        <w:rPr>
          <w:rtl/>
        </w:rPr>
      </w:pPr>
      <w:r w:rsidRPr="00E14ED6">
        <w:rPr>
          <w:rFonts w:hint="cs"/>
          <w:rtl/>
        </w:rPr>
        <w:t>ـ إنّ مصدر التشريع والتقنين ومعيارهما هو النتاج الفكري البشري نفسه.</w:t>
      </w:r>
    </w:p>
    <w:p w:rsidR="006E0FDB" w:rsidRPr="00E14ED6" w:rsidRDefault="006E0FDB" w:rsidP="006E0FDB">
      <w:pPr>
        <w:pStyle w:val="ac"/>
        <w:rPr>
          <w:rtl/>
        </w:rPr>
      </w:pPr>
      <w:r w:rsidRPr="00E14ED6">
        <w:rPr>
          <w:rFonts w:hint="cs"/>
          <w:rtl/>
        </w:rPr>
        <w:t xml:space="preserve">ـ جميع أعضاء هذه الحركات هم </w:t>
      </w:r>
      <w:r w:rsidRPr="00885E99">
        <w:rPr>
          <w:rFonts w:hint="cs"/>
          <w:rtl/>
        </w:rPr>
        <w:t>«</w:t>
      </w:r>
      <w:r w:rsidRPr="00E14ED6">
        <w:rPr>
          <w:rFonts w:hint="cs"/>
          <w:rtl/>
        </w:rPr>
        <w:t>الأبناء البررة</w:t>
      </w:r>
      <w:r w:rsidRPr="00617008">
        <w:rPr>
          <w:rFonts w:hint="cs"/>
          <w:rtl/>
        </w:rPr>
        <w:t>»</w:t>
      </w:r>
      <w:r w:rsidRPr="00E14ED6">
        <w:rPr>
          <w:rFonts w:hint="cs"/>
          <w:rtl/>
        </w:rPr>
        <w:t xml:space="preserve"> لعصر النهضة ومذهب الأنسنة.</w:t>
      </w:r>
    </w:p>
    <w:p w:rsidR="006E0FDB" w:rsidRPr="00E14ED6" w:rsidRDefault="006E0FDB" w:rsidP="006E0FDB">
      <w:pPr>
        <w:pStyle w:val="ac"/>
        <w:rPr>
          <w:rtl/>
        </w:rPr>
      </w:pPr>
      <w:r w:rsidRPr="00E14ED6">
        <w:rPr>
          <w:rFonts w:hint="cs"/>
          <w:rtl/>
        </w:rPr>
        <w:t>ـ الهجوم على الأسرة ومحاربتها باعتبارها نواةً قائمةً على أساس قيمومة الرجل ورعايته.</w:t>
      </w:r>
    </w:p>
    <w:p w:rsidR="006E0FDB" w:rsidRDefault="006E0FDB" w:rsidP="006E0FDB">
      <w:pPr>
        <w:pStyle w:val="ac"/>
        <w:rPr>
          <w:rtl/>
        </w:rPr>
      </w:pPr>
      <w:r w:rsidRPr="00E14ED6">
        <w:rPr>
          <w:rFonts w:hint="cs"/>
          <w:rtl/>
        </w:rPr>
        <w:t>ـ المطالبة بإزالة التمايز بين الجنسين في قوانين التربية والتعليم، وعلى مستوى الفرص والإمكانات.</w:t>
      </w:r>
    </w:p>
    <w:p w:rsidR="006E0FDB" w:rsidRPr="00A731E2" w:rsidRDefault="006E0FDB" w:rsidP="00A731E2">
      <w:pPr>
        <w:pStyle w:val="afffffc"/>
        <w:rPr>
          <w:rFonts w:ascii="Mosawi" w:hAnsi="Mosawi"/>
        </w:rPr>
      </w:pPr>
    </w:p>
    <w:p w:rsidR="006E0FDB" w:rsidRPr="0017088F" w:rsidRDefault="006E0FDB" w:rsidP="006E0FDB">
      <w:pPr>
        <w:pStyle w:val="1"/>
        <w:rPr>
          <w:rtl/>
        </w:rPr>
      </w:pPr>
      <w:bookmarkStart w:id="589" w:name="_Toc169521484"/>
      <w:bookmarkStart w:id="590" w:name="_Toc275128255"/>
      <w:r w:rsidRPr="0017088F">
        <w:rPr>
          <w:rFonts w:hint="cs"/>
          <w:rtl/>
        </w:rPr>
        <w:t>الحركة النسوية في إيران</w:t>
      </w:r>
      <w:bookmarkEnd w:id="589"/>
      <w:bookmarkEnd w:id="590"/>
    </w:p>
    <w:p w:rsidR="006E0FDB" w:rsidRPr="00E14ED6" w:rsidRDefault="006E0FDB" w:rsidP="006E0FDB">
      <w:pPr>
        <w:pStyle w:val="ac"/>
        <w:rPr>
          <w:rtl/>
        </w:rPr>
      </w:pPr>
      <w:r w:rsidRPr="00E14ED6">
        <w:rPr>
          <w:rFonts w:hint="cs"/>
          <w:rtl/>
        </w:rPr>
        <w:t>مع الغزو الجديد للثقافة الغربية، وعلى أعتاب الحركة الدستورية، تغيّرت وضعية النساء في إيران، وجاء ذلك مترافقاً مع سائر التغييرات التي رافقت بقية فئات المجتمع.</w:t>
      </w:r>
    </w:p>
    <w:p w:rsidR="006E0FDB" w:rsidRPr="00E14ED6" w:rsidRDefault="006E0FDB" w:rsidP="006E0FDB">
      <w:pPr>
        <w:pStyle w:val="ac"/>
        <w:rPr>
          <w:rtl/>
        </w:rPr>
      </w:pPr>
      <w:r w:rsidRPr="00E14ED6">
        <w:rPr>
          <w:rFonts w:hint="cs"/>
          <w:rtl/>
        </w:rPr>
        <w:t>ومن هنا، ينبغي اعتبار الحركة الدستورية نقطة تحوّل مفصلية في تاريخ إيران السياسي؛ لأنّها أوجدت تأثيراً وتحولاً جديداً في تطوّر التوجهات والاهتمامات في أوساط النساء وتبدلها، وجرَّت المجتمع الإيراني ـ على حين غفلة ودون إرادته ـ إلى فلك الثقافة الغربية.</w:t>
      </w:r>
    </w:p>
    <w:p w:rsidR="006E0FDB" w:rsidRPr="00E14ED6" w:rsidRDefault="006E0FDB" w:rsidP="006E0FDB">
      <w:pPr>
        <w:pStyle w:val="ac"/>
        <w:rPr>
          <w:rtl/>
        </w:rPr>
      </w:pPr>
      <w:r w:rsidRPr="00E14ED6">
        <w:rPr>
          <w:rFonts w:hint="cs"/>
          <w:rtl/>
        </w:rPr>
        <w:t>وقد قرأ بعض المتأثّرين بالغرب والفكر الغربي في الداخل التحوّلات الثقافية في العالم الغربي بنوعٍٍ من الإيجابية والتفاؤل، معتبرين أنّ طريق السعادة يكمن فقط في السير على خطى العالم المتحضِّر واتخاذه قدوة، وترك المظاهر التقليدية والعادات المحليّة.</w:t>
      </w:r>
    </w:p>
    <w:p w:rsidR="006E0FDB" w:rsidRPr="0017088F" w:rsidRDefault="006E0FDB" w:rsidP="006E0FDB">
      <w:pPr>
        <w:pStyle w:val="ac"/>
        <w:rPr>
          <w:rFonts w:cs="DanaFajr"/>
          <w:szCs w:val="33"/>
          <w:rtl/>
        </w:rPr>
      </w:pPr>
      <w:r w:rsidRPr="00E14ED6">
        <w:rPr>
          <w:rFonts w:hint="cs"/>
          <w:rtl/>
        </w:rPr>
        <w:t xml:space="preserve">ولهذا ظهرت في أواخر حكم القاجاريين حركات قويت ونمت بفعل نشاط النساء ـ زوجات وبنات ـ اللواتي تربين في أجواء ثقافة الغرب، حتى أنّ بعض هؤلاء المثّقفات </w:t>
      </w:r>
      <w:r w:rsidRPr="00E14ED6">
        <w:rPr>
          <w:rFonts w:hint="cs"/>
          <w:rtl/>
        </w:rPr>
        <w:lastRenderedPageBreak/>
        <w:t>كنّ يكتبن مقالات في مجلات إيرانية تطبع خارج البلاد قبل الحركة الدستورية نفسها، وكنّ يروّجن ـ في كتاباتهن هذه ـ ثقافة الغرب ورؤاه، بحيث أصبحت الكتابات والأفكار التي تبنتها هذه الفئة شاهداً قوياً على تأثرهنّ بالتحولات والتغيّرات الغربية</w:t>
      </w:r>
      <w:r w:rsidRPr="00815C4C">
        <w:rPr>
          <w:rFonts w:cs="Taher"/>
          <w:vertAlign w:val="superscript"/>
          <w:rtl/>
        </w:rPr>
        <w:t>(</w:t>
      </w:r>
      <w:r w:rsidRPr="00815C4C">
        <w:rPr>
          <w:rFonts w:cs="Taher"/>
          <w:vertAlign w:val="superscript"/>
          <w:rtl/>
        </w:rPr>
        <w:footnoteReference w:id="958"/>
      </w:r>
      <w:r w:rsidRPr="00815C4C">
        <w:rPr>
          <w:rFonts w:cs="Taher"/>
          <w:vertAlign w:val="superscript"/>
          <w:rtl/>
        </w:rPr>
        <w:t>)</w:t>
      </w:r>
      <w:r w:rsidRPr="0017088F">
        <w:rPr>
          <w:rFonts w:hint="cs"/>
          <w:szCs w:val="33"/>
          <w:rtl/>
        </w:rPr>
        <w:t>.</w:t>
      </w:r>
    </w:p>
    <w:p w:rsidR="006E0FDB" w:rsidRDefault="006E0FDB" w:rsidP="00A731E2">
      <w:pPr>
        <w:pStyle w:val="ac"/>
        <w:spacing w:line="199" w:lineRule="auto"/>
        <w:rPr>
          <w:rtl/>
        </w:rPr>
      </w:pPr>
      <w:r w:rsidRPr="00E14ED6">
        <w:rPr>
          <w:rFonts w:hint="cs"/>
          <w:rtl/>
        </w:rPr>
        <w:t xml:space="preserve">مع حلول عصر سلالة البهلويين ـ الحكم الشاهنشاهي ـ بدأ فصل جديد في تاريخ المرأة في إيران، بحيث أظهر التغرُّب واللاإنتماء ما تبقّى من وجهه المخفي، إلى درجة أصبحت الدعوة إلى </w:t>
      </w:r>
      <w:r w:rsidRPr="00885E99">
        <w:rPr>
          <w:rFonts w:hint="cs"/>
          <w:rtl/>
        </w:rPr>
        <w:t>«</w:t>
      </w:r>
      <w:r w:rsidRPr="00E14ED6">
        <w:rPr>
          <w:rFonts w:hint="cs"/>
          <w:rtl/>
        </w:rPr>
        <w:t>كشف الحجاب</w:t>
      </w:r>
      <w:r w:rsidRPr="00617008">
        <w:rPr>
          <w:rFonts w:hint="cs"/>
          <w:rtl/>
        </w:rPr>
        <w:t>»</w:t>
      </w:r>
      <w:r w:rsidRPr="00E14ED6">
        <w:rPr>
          <w:rFonts w:hint="cs"/>
          <w:rtl/>
        </w:rPr>
        <w:t xml:space="preserve"> الذي جرى عام 1938م بحجّة تحرير نصف قوى المجتمع الإنساني، أصبحت نقطة تحوّل حملت الكثير من التغييرات في الساحة الإيرانية، مما أوجد تأثيرات وانطباعات سلبية في ذهن المجتمع الإيراني المسلم.</w:t>
      </w:r>
    </w:p>
    <w:p w:rsidR="006E0FDB" w:rsidRPr="00A731E2" w:rsidRDefault="006E0FDB" w:rsidP="006E0FDB">
      <w:pPr>
        <w:pStyle w:val="ac"/>
        <w:rPr>
          <w:rFonts w:ascii="Mosawi" w:hAnsi="Mosawi"/>
          <w:sz w:val="20"/>
          <w:szCs w:val="20"/>
        </w:rPr>
      </w:pPr>
    </w:p>
    <w:p w:rsidR="006E0FDB" w:rsidRPr="0017088F" w:rsidRDefault="006E0FDB" w:rsidP="006E0FDB">
      <w:pPr>
        <w:pStyle w:val="1"/>
        <w:rPr>
          <w:rtl/>
        </w:rPr>
      </w:pPr>
      <w:bookmarkStart w:id="591" w:name="_Toc169521485"/>
      <w:bookmarkStart w:id="592" w:name="_Toc275128256"/>
      <w:r w:rsidRPr="0017088F">
        <w:rPr>
          <w:rFonts w:hint="cs"/>
          <w:rtl/>
        </w:rPr>
        <w:t>مبادئ الحركة النسوية</w:t>
      </w:r>
      <w:bookmarkEnd w:id="591"/>
      <w:bookmarkEnd w:id="592"/>
    </w:p>
    <w:p w:rsidR="006E0FDB" w:rsidRPr="00E14ED6" w:rsidRDefault="006E0FDB" w:rsidP="00A731E2">
      <w:pPr>
        <w:pStyle w:val="ac"/>
        <w:spacing w:line="199" w:lineRule="auto"/>
        <w:rPr>
          <w:rtl/>
        </w:rPr>
      </w:pPr>
      <w:r w:rsidRPr="00E14ED6">
        <w:rPr>
          <w:rFonts w:hint="cs"/>
          <w:rtl/>
        </w:rPr>
        <w:t>المبادئ الإنسانية لهذه الحركة في الغرب مبنية على ما يلي:</w:t>
      </w:r>
    </w:p>
    <w:p w:rsidR="006E0FDB" w:rsidRPr="00E14ED6" w:rsidRDefault="006E0FDB" w:rsidP="00A731E2">
      <w:pPr>
        <w:pStyle w:val="ac"/>
        <w:spacing w:line="199" w:lineRule="auto"/>
        <w:rPr>
          <w:rtl/>
        </w:rPr>
      </w:pPr>
      <w:r w:rsidRPr="00E14ED6">
        <w:rPr>
          <w:rFonts w:hint="cs"/>
          <w:rtl/>
        </w:rPr>
        <w:t>1 ـ رفض الكنيسة ونفوذ المسيحية.</w:t>
      </w:r>
    </w:p>
    <w:p w:rsidR="006E0FDB" w:rsidRPr="00E14ED6" w:rsidRDefault="006E0FDB" w:rsidP="00A731E2">
      <w:pPr>
        <w:pStyle w:val="ac"/>
        <w:spacing w:line="199" w:lineRule="auto"/>
        <w:rPr>
          <w:rtl/>
        </w:rPr>
      </w:pPr>
      <w:r w:rsidRPr="00E14ED6">
        <w:rPr>
          <w:rFonts w:hint="cs"/>
          <w:rtl/>
        </w:rPr>
        <w:t>2 ـ تحطيم الانتماء الديني، وإبعاد الدين عن الأسرة.</w:t>
      </w:r>
    </w:p>
    <w:p w:rsidR="006E0FDB" w:rsidRPr="00E14ED6" w:rsidRDefault="006E0FDB" w:rsidP="00A731E2">
      <w:pPr>
        <w:pStyle w:val="ac"/>
        <w:spacing w:line="199" w:lineRule="auto"/>
        <w:rPr>
          <w:rtl/>
        </w:rPr>
      </w:pPr>
      <w:r w:rsidRPr="00E14ED6">
        <w:rPr>
          <w:rFonts w:hint="cs"/>
          <w:rtl/>
        </w:rPr>
        <w:t>3 ـ رفض قيم الدين الأخلاقية المتعلّقة بالمرأة ومن أبرزها:</w:t>
      </w:r>
    </w:p>
    <w:p w:rsidR="006E0FDB" w:rsidRPr="00E14ED6" w:rsidRDefault="006E0FDB" w:rsidP="00A731E2">
      <w:pPr>
        <w:pStyle w:val="ac"/>
        <w:spacing w:line="197" w:lineRule="auto"/>
        <w:rPr>
          <w:rtl/>
        </w:rPr>
      </w:pPr>
      <w:r w:rsidRPr="00E14ED6">
        <w:rPr>
          <w:rFonts w:hint="cs"/>
          <w:rtl/>
        </w:rPr>
        <w:t>ـ الحجاب.</w:t>
      </w:r>
    </w:p>
    <w:p w:rsidR="006E0FDB" w:rsidRPr="00E14ED6" w:rsidRDefault="006E0FDB" w:rsidP="00A731E2">
      <w:pPr>
        <w:pStyle w:val="ac"/>
        <w:spacing w:line="197" w:lineRule="auto"/>
        <w:rPr>
          <w:rtl/>
        </w:rPr>
      </w:pPr>
      <w:r w:rsidRPr="00E14ED6">
        <w:rPr>
          <w:rFonts w:hint="cs"/>
          <w:rtl/>
        </w:rPr>
        <w:t>ـ العفاف.</w:t>
      </w:r>
    </w:p>
    <w:p w:rsidR="006E0FDB" w:rsidRPr="00E14ED6" w:rsidRDefault="006E0FDB" w:rsidP="00A731E2">
      <w:pPr>
        <w:pStyle w:val="ac"/>
        <w:spacing w:line="197" w:lineRule="auto"/>
        <w:rPr>
          <w:rtl/>
        </w:rPr>
      </w:pPr>
      <w:r w:rsidRPr="00E14ED6">
        <w:rPr>
          <w:rFonts w:hint="cs"/>
          <w:rtl/>
        </w:rPr>
        <w:t>ـ التحصُّن.</w:t>
      </w:r>
    </w:p>
    <w:p w:rsidR="006E0FDB" w:rsidRPr="00E14ED6" w:rsidRDefault="006E0FDB" w:rsidP="00A731E2">
      <w:pPr>
        <w:pStyle w:val="ac"/>
        <w:spacing w:line="197" w:lineRule="auto"/>
        <w:rPr>
          <w:rtl/>
        </w:rPr>
      </w:pPr>
      <w:r w:rsidRPr="00E14ED6">
        <w:rPr>
          <w:rFonts w:hint="cs"/>
          <w:rtl/>
        </w:rPr>
        <w:t>ـ الوفاء.</w:t>
      </w:r>
    </w:p>
    <w:p w:rsidR="006E0FDB" w:rsidRPr="00E14ED6" w:rsidRDefault="006E0FDB" w:rsidP="00A731E2">
      <w:pPr>
        <w:pStyle w:val="ac"/>
        <w:spacing w:line="199" w:lineRule="auto"/>
        <w:rPr>
          <w:rtl/>
        </w:rPr>
      </w:pPr>
      <w:r w:rsidRPr="00E14ED6">
        <w:rPr>
          <w:rFonts w:hint="cs"/>
          <w:rtl/>
        </w:rPr>
        <w:t>ـ الحياء... وكل ما يشكّل قيمة إنسانية بنظر الدين.</w:t>
      </w:r>
    </w:p>
    <w:p w:rsidR="006E0FDB" w:rsidRPr="00E14ED6" w:rsidRDefault="006E0FDB" w:rsidP="00A731E2">
      <w:pPr>
        <w:pStyle w:val="ac"/>
        <w:spacing w:line="199" w:lineRule="auto"/>
        <w:rPr>
          <w:rtl/>
        </w:rPr>
      </w:pPr>
      <w:r w:rsidRPr="00E14ED6">
        <w:rPr>
          <w:rFonts w:hint="cs"/>
          <w:rtl/>
        </w:rPr>
        <w:t>4 ـ التعدّي على حريم الأسرة وتخريب العلاقات العائلية السليمة.</w:t>
      </w:r>
    </w:p>
    <w:p w:rsidR="006E0FDB" w:rsidRPr="00E14ED6" w:rsidRDefault="006E0FDB" w:rsidP="00A731E2">
      <w:pPr>
        <w:pStyle w:val="ac"/>
        <w:spacing w:line="199" w:lineRule="auto"/>
        <w:rPr>
          <w:rtl/>
        </w:rPr>
      </w:pPr>
      <w:r w:rsidRPr="00E14ED6">
        <w:rPr>
          <w:rFonts w:hint="cs"/>
          <w:rtl/>
        </w:rPr>
        <w:t>5 ـ العمل على الحدّ من الضوابط والالتزامات الأسرية والقضاء عليها.</w:t>
      </w:r>
    </w:p>
    <w:p w:rsidR="006E0FDB" w:rsidRPr="00E14ED6" w:rsidRDefault="006E0FDB" w:rsidP="006E0FDB">
      <w:pPr>
        <w:pStyle w:val="ac"/>
        <w:rPr>
          <w:rtl/>
        </w:rPr>
      </w:pPr>
      <w:r w:rsidRPr="00E14ED6">
        <w:rPr>
          <w:rFonts w:hint="cs"/>
          <w:rtl/>
        </w:rPr>
        <w:t xml:space="preserve">هذه المبادئ أعلاه بنيت على أساس نظرية المتشدّدين في الدعوة الى الأنسنة، حيث </w:t>
      </w:r>
      <w:r w:rsidRPr="00E14ED6">
        <w:rPr>
          <w:rFonts w:hint="cs"/>
          <w:rtl/>
        </w:rPr>
        <w:lastRenderedPageBreak/>
        <w:t>النفي القاطع للجوانب المعنوية من الإنسان، ومعاداة الدين وإنكار كلّ ما يتعلّق بالله من مبادئ وأصول.</w:t>
      </w:r>
    </w:p>
    <w:p w:rsidR="006E0FDB" w:rsidRDefault="006E0FDB" w:rsidP="006E0FDB">
      <w:pPr>
        <w:pStyle w:val="ac"/>
        <w:rPr>
          <w:rtl/>
        </w:rPr>
      </w:pPr>
      <w:r w:rsidRPr="00E14ED6">
        <w:rPr>
          <w:rFonts w:hint="cs"/>
          <w:rtl/>
        </w:rPr>
        <w:t>لذا كان لزاماً على المسلمين الالتفات إلى أن تعاليم الحركة النسوية ومبادئها قد تشكّلت في إطار معايير ومعتقداتٍ إلحادية خاصّة، لا تمتلك أي موازين ثابتة أو نقاط اشتراك مع مبادئ وتعاليم الأديان الإلهية السمحة والحيّة، وخاصة الإسلام، من أجل الدفاع عن المرأة وحماية حقوقها، وجعلها في المكان المناسب الذي يليق بها وبكرامتها ومنـزلتها.</w:t>
      </w:r>
    </w:p>
    <w:p w:rsidR="006E0FDB" w:rsidRPr="00A731E2" w:rsidRDefault="006E0FDB" w:rsidP="00A731E2">
      <w:pPr>
        <w:pStyle w:val="afffffc"/>
        <w:rPr>
          <w:rFonts w:ascii="Mosawi" w:hAnsi="Mosawi"/>
          <w:sz w:val="18"/>
          <w:szCs w:val="16"/>
        </w:rPr>
      </w:pPr>
    </w:p>
    <w:p w:rsidR="006E0FDB" w:rsidRPr="0017088F" w:rsidRDefault="006E0FDB" w:rsidP="00E33C4C">
      <w:pPr>
        <w:pStyle w:val="1"/>
        <w:rPr>
          <w:rtl/>
        </w:rPr>
      </w:pPr>
      <w:bookmarkStart w:id="593" w:name="_Toc169521486"/>
      <w:bookmarkStart w:id="594" w:name="_Toc275128257"/>
      <w:r w:rsidRPr="0017088F">
        <w:rPr>
          <w:rFonts w:hint="cs"/>
          <w:rtl/>
        </w:rPr>
        <w:t>حقوق المرأة من وجهة نظر الإمام الخميني</w:t>
      </w:r>
      <w:bookmarkEnd w:id="593"/>
      <w:bookmarkEnd w:id="594"/>
    </w:p>
    <w:p w:rsidR="006E0FDB" w:rsidRPr="00E14ED6" w:rsidRDefault="006E0FDB" w:rsidP="006E0FDB">
      <w:pPr>
        <w:pStyle w:val="ac"/>
        <w:rPr>
          <w:rtl/>
        </w:rPr>
      </w:pPr>
      <w:r w:rsidRPr="00E14ED6">
        <w:rPr>
          <w:rFonts w:hint="cs"/>
          <w:rtl/>
        </w:rPr>
        <w:t>بناءً على رؤية الإسلام ونظرته للمرأة، أوضح الإمام الخميني في مناسبات مختلفة هذه النظرة وبيَّن منـزلة المرأة ومكانتها الحقيقية.</w:t>
      </w:r>
    </w:p>
    <w:p w:rsidR="006E0FDB" w:rsidRPr="00E14ED6" w:rsidRDefault="006E0FDB" w:rsidP="006E0FDB">
      <w:pPr>
        <w:pStyle w:val="ac"/>
        <w:rPr>
          <w:rtl/>
        </w:rPr>
      </w:pPr>
      <w:r w:rsidRPr="00E14ED6">
        <w:rPr>
          <w:rFonts w:hint="cs"/>
          <w:rtl/>
        </w:rPr>
        <w:t>للمرأة في نظر الإمام الخميني منـزلة ومقام لم يستطع أي مذهب وأي حركة إعطائها ومنحها لها، بل على العكس من ذلك فقد أهبطت تلك الحركات أو المذاهب مستوى المرأة إلى حدّ المهزلة والألعوبة.</w:t>
      </w:r>
    </w:p>
    <w:p w:rsidR="006E0FDB" w:rsidRPr="00E14ED6" w:rsidRDefault="006E0FDB" w:rsidP="00A731E2">
      <w:pPr>
        <w:pStyle w:val="ac"/>
        <w:rPr>
          <w:rtl/>
        </w:rPr>
      </w:pPr>
      <w:r w:rsidRPr="00E14ED6">
        <w:rPr>
          <w:rFonts w:hint="cs"/>
          <w:rtl/>
        </w:rPr>
        <w:t>يشير الإمـام الخميني إلى تلك المنـزلة وذاك المقام في معرض حديثه عن مقام السيدة الزهراء</w:t>
      </w:r>
      <w:r w:rsidR="00A731E2">
        <w:rPr>
          <w:rFonts w:hint="cs"/>
          <w:rtl/>
        </w:rPr>
        <w:t>÷</w:t>
      </w:r>
      <w:r w:rsidRPr="00E14ED6">
        <w:rPr>
          <w:rFonts w:hint="cs"/>
          <w:rtl/>
        </w:rPr>
        <w:t xml:space="preserve"> بمناسبة يوم المرأة العالمي ويقول: </w:t>
      </w:r>
      <w:r w:rsidRPr="00885E99">
        <w:rPr>
          <w:rFonts w:hint="eastAsia"/>
          <w:rtl/>
        </w:rPr>
        <w:t>«</w:t>
      </w:r>
      <w:r w:rsidRPr="00E14ED6">
        <w:rPr>
          <w:rFonts w:hint="cs"/>
          <w:rtl/>
        </w:rPr>
        <w:t>غداً يوم المرأة، يوم المرأة التي يفتخر بها العالم بأسره، يوم امرأةٍ وقفت ابنتها في وجه الحكومات الطاغية، ونطقت بذلك الكلام الذي نعرفه جميعاً...</w:t>
      </w:r>
      <w:r w:rsidRPr="006E0FDB">
        <w:rPr>
          <w:rFonts w:hint="eastAsia"/>
          <w:rtl/>
        </w:rPr>
        <w:t>»</w:t>
      </w:r>
      <w:r w:rsidRPr="00815C4C">
        <w:rPr>
          <w:rFonts w:cs="Taher"/>
          <w:vertAlign w:val="superscript"/>
          <w:rtl/>
        </w:rPr>
        <w:t>(</w:t>
      </w:r>
      <w:r w:rsidRPr="00815C4C">
        <w:rPr>
          <w:rFonts w:cs="Taher"/>
          <w:vertAlign w:val="superscript"/>
          <w:rtl/>
        </w:rPr>
        <w:footnoteReference w:id="959"/>
      </w:r>
      <w:r w:rsidRPr="00815C4C">
        <w:rPr>
          <w:rFonts w:cs="Taher"/>
          <w:vertAlign w:val="superscript"/>
          <w:rtl/>
        </w:rPr>
        <w:t>)</w:t>
      </w:r>
      <w:r w:rsidRPr="00E14ED6">
        <w:rPr>
          <w:rFonts w:hint="cs"/>
          <w:rtl/>
        </w:rPr>
        <w:t xml:space="preserve">، </w:t>
      </w:r>
      <w:r w:rsidRPr="00885E99">
        <w:rPr>
          <w:rFonts w:hint="cs"/>
          <w:rtl/>
        </w:rPr>
        <w:t>«</w:t>
      </w:r>
      <w:r w:rsidRPr="00E14ED6">
        <w:rPr>
          <w:rFonts w:hint="cs"/>
          <w:rtl/>
        </w:rPr>
        <w:t>إنّه يوم عظيم أن أطلّت على الدنيا امرأة تضاهي الرجال جميعاً، امرأة هي أنموذج الإنسان الكامل، امرأة تجلّت فيها الهوية الإنسانية الكاملة...</w:t>
      </w:r>
      <w:r w:rsidRPr="00617008">
        <w:rPr>
          <w:rFonts w:hint="cs"/>
          <w:rtl/>
        </w:rPr>
        <w:t>»</w:t>
      </w:r>
      <w:r w:rsidRPr="00E14ED6">
        <w:rPr>
          <w:rFonts w:hint="cs"/>
          <w:rtl/>
        </w:rPr>
        <w:t>.</w:t>
      </w:r>
    </w:p>
    <w:p w:rsidR="006E0FDB" w:rsidRPr="00E14ED6" w:rsidRDefault="006E0FDB" w:rsidP="006E0FDB">
      <w:pPr>
        <w:pStyle w:val="ac"/>
        <w:rPr>
          <w:rtl/>
        </w:rPr>
      </w:pPr>
      <w:r w:rsidRPr="00617008">
        <w:rPr>
          <w:rFonts w:hint="cs"/>
          <w:rtl/>
        </w:rPr>
        <w:t>«</w:t>
      </w:r>
      <w:r w:rsidRPr="00E75F8E">
        <w:rPr>
          <w:rFonts w:hint="cs"/>
          <w:rtl/>
        </w:rPr>
        <w:t xml:space="preserve">أبارك للشعب الإيراني العظيم، لا سيما النساء المحترمات يوم المرأة المبارك، إنّه يوم </w:t>
      </w:r>
      <w:r w:rsidRPr="00E75F8E">
        <w:rPr>
          <w:rFonts w:hint="cs"/>
          <w:rtl/>
        </w:rPr>
        <w:lastRenderedPageBreak/>
        <w:t>شريف للعنصر المتألّق (المرأة) الذي هو أساس الفضائل الإنسانية والقيم السامية لخليفة الله في الأرض، وما هو أكثر بركة وأعظم قيمة، هذا الاختيار الموفق للعشرين من جمادى الآخرة ـ ذكرى ميلاد المرأة العظيمة، مفخرة الوجود ومعجزة التاريخ ـ يوماً للمرأة</w:t>
      </w:r>
      <w:r w:rsidRPr="00617008">
        <w:rPr>
          <w:rFonts w:hint="cs"/>
          <w:rtl/>
        </w:rPr>
        <w:t>»</w:t>
      </w:r>
      <w:r w:rsidRPr="00815C4C">
        <w:rPr>
          <w:rFonts w:cs="Taher"/>
          <w:vertAlign w:val="superscript"/>
          <w:rtl/>
        </w:rPr>
        <w:t>(</w:t>
      </w:r>
      <w:r w:rsidRPr="00815C4C">
        <w:rPr>
          <w:rFonts w:cs="Taher"/>
          <w:vertAlign w:val="superscript"/>
          <w:rtl/>
        </w:rPr>
        <w:footnoteReference w:id="960"/>
      </w:r>
      <w:r w:rsidRPr="00815C4C">
        <w:rPr>
          <w:rFonts w:cs="Taher"/>
          <w:vertAlign w:val="superscript"/>
          <w:rtl/>
        </w:rPr>
        <w:t>)</w:t>
      </w:r>
      <w:r w:rsidRPr="00E75F8E">
        <w:rPr>
          <w:rFonts w:hint="cs"/>
          <w:rtl/>
        </w:rPr>
        <w:t>.</w:t>
      </w:r>
    </w:p>
    <w:p w:rsidR="006E0FDB" w:rsidRDefault="006E0FDB" w:rsidP="006E0FDB">
      <w:pPr>
        <w:pStyle w:val="ac"/>
        <w:rPr>
          <w:rFonts w:cs="Traditional Arabic"/>
          <w:szCs w:val="33"/>
          <w:rtl/>
        </w:rPr>
      </w:pPr>
      <w:r w:rsidRPr="006E0FDB">
        <w:rPr>
          <w:rFonts w:hint="cs"/>
          <w:rtl/>
        </w:rPr>
        <w:t>«</w:t>
      </w:r>
      <w:r w:rsidRPr="00E75F8E">
        <w:rPr>
          <w:rFonts w:hint="cs"/>
          <w:rtl/>
        </w:rPr>
        <w:t>أبارك لكنّ أيتها السيدات وجميع نساء البلدان الإسلامية العيد السعيد، عيد ولادة المولد الأعظم، الصديقة فاطمة الزهراء، وآمل أن تسلك كل النساء الطريق الذي اختطّه الله تبارك وتعالى لهنّ، وأن يحققن الأهداف الإسلامية السامية، إنّه لمفخرة كبرى اختيار يوم مولد الصديقة الزهراء يوماً للمرأة، إنّه لمفخرة ومسؤولية أيضاً</w:t>
      </w:r>
      <w:r w:rsidRPr="006E0FDB">
        <w:rPr>
          <w:rFonts w:hint="cs"/>
          <w:rtl/>
        </w:rPr>
        <w:t>»</w:t>
      </w:r>
      <w:r w:rsidRPr="00815C4C">
        <w:rPr>
          <w:rFonts w:cs="Taher"/>
          <w:vertAlign w:val="superscript"/>
          <w:rtl/>
        </w:rPr>
        <w:t>(</w:t>
      </w:r>
      <w:r w:rsidRPr="00815C4C">
        <w:rPr>
          <w:rFonts w:cs="Taher"/>
          <w:vertAlign w:val="superscript"/>
          <w:rtl/>
        </w:rPr>
        <w:footnoteReference w:id="961"/>
      </w:r>
      <w:r w:rsidRPr="00815C4C">
        <w:rPr>
          <w:rFonts w:cs="Taher"/>
          <w:vertAlign w:val="superscript"/>
          <w:rtl/>
        </w:rPr>
        <w:t>)</w:t>
      </w:r>
      <w:r w:rsidRPr="0017088F">
        <w:rPr>
          <w:rFonts w:cs="Traditional Arabic" w:hint="cs"/>
          <w:szCs w:val="33"/>
          <w:rtl/>
        </w:rPr>
        <w:t>.</w:t>
      </w:r>
    </w:p>
    <w:p w:rsidR="006E0FDB" w:rsidRPr="00A731E2" w:rsidRDefault="006E0FDB" w:rsidP="006E0FDB">
      <w:pPr>
        <w:pStyle w:val="ac"/>
        <w:rPr>
          <w:rFonts w:ascii="Mosawi" w:hAnsi="Mosawi"/>
          <w:sz w:val="14"/>
          <w:szCs w:val="14"/>
        </w:rPr>
      </w:pPr>
    </w:p>
    <w:p w:rsidR="006E0FDB" w:rsidRPr="0017088F" w:rsidRDefault="006E0FDB" w:rsidP="006E0FDB">
      <w:pPr>
        <w:pStyle w:val="1"/>
        <w:rPr>
          <w:rtl/>
        </w:rPr>
      </w:pPr>
      <w:bookmarkStart w:id="595" w:name="_Toc169521487"/>
      <w:bookmarkStart w:id="596" w:name="_Toc275128258"/>
      <w:r w:rsidRPr="0017088F">
        <w:rPr>
          <w:rFonts w:hint="cs"/>
          <w:rtl/>
        </w:rPr>
        <w:t>تكريم وجود المرأة</w:t>
      </w:r>
      <w:bookmarkEnd w:id="595"/>
      <w:bookmarkEnd w:id="596"/>
    </w:p>
    <w:p w:rsidR="006E0FDB" w:rsidRPr="00E14ED6" w:rsidRDefault="006E0FDB" w:rsidP="00A731E2">
      <w:pPr>
        <w:pStyle w:val="ac"/>
        <w:spacing w:line="199" w:lineRule="auto"/>
        <w:rPr>
          <w:rtl/>
        </w:rPr>
      </w:pPr>
      <w:r w:rsidRPr="00E14ED6">
        <w:rPr>
          <w:rFonts w:hint="cs"/>
          <w:rtl/>
        </w:rPr>
        <w:t xml:space="preserve">كرّمت المرأة في نظر الإمام الخميني تكريماً عظيماً وكثيراً، وجعلت في منـزلة رفيعة جداً، ويتّضح ذلك من خلال حديثه الذي يقول فيه: </w:t>
      </w:r>
    </w:p>
    <w:p w:rsidR="006E0FDB" w:rsidRPr="00E14ED6" w:rsidRDefault="006E0FDB" w:rsidP="00A731E2">
      <w:pPr>
        <w:pStyle w:val="ac"/>
        <w:spacing w:line="199" w:lineRule="auto"/>
        <w:rPr>
          <w:rtl/>
        </w:rPr>
      </w:pPr>
      <w:r w:rsidRPr="006E0FDB">
        <w:rPr>
          <w:rFonts w:hint="eastAsia"/>
          <w:rtl/>
        </w:rPr>
        <w:t>«</w:t>
      </w:r>
      <w:r w:rsidRPr="00E75F8E">
        <w:rPr>
          <w:rFonts w:hint="cs"/>
          <w:rtl/>
        </w:rPr>
        <w:t>يريد الإسلام للرجل والمرأة أن يحثّا السير في مدارج الكمال، فالإسلام أنقذ المرأة مما كانت عليه في الجاهلية.</w:t>
      </w:r>
    </w:p>
    <w:p w:rsidR="006E0FDB" w:rsidRDefault="006E0FDB" w:rsidP="00A731E2">
      <w:pPr>
        <w:pStyle w:val="ac"/>
        <w:spacing w:line="199" w:lineRule="auto"/>
        <w:rPr>
          <w:rtl/>
        </w:rPr>
      </w:pPr>
      <w:r w:rsidRPr="00E14ED6">
        <w:rPr>
          <w:rFonts w:hint="cs"/>
          <w:rtl/>
        </w:rPr>
        <w:t>لقد قدّم الإسلام للمرأة خدمةً كبيرةً تفوق ـ بقدر كبير ـ الخدمة التي قدّمها للرجال، وأنتنّ تعلمن كيف كانت المرأة في الجاهلية وما أصبحت عليه في الإسلام، ففي العصر الذي بعث فيه نبي الإسلام</w:t>
      </w:r>
      <w:r w:rsidR="00350F90">
        <w:rPr>
          <w:rFonts w:hint="cs"/>
          <w:rtl/>
        </w:rPr>
        <w:t>’</w:t>
      </w:r>
      <w:r w:rsidRPr="00E14ED6">
        <w:rPr>
          <w:rFonts w:hint="cs"/>
          <w:rtl/>
        </w:rPr>
        <w:t xml:space="preserve"> لم يكن للمرأة شأن أو قيمة تذكر، الإسلام هو الذي منحها القدرة والمكانة</w:t>
      </w:r>
      <w:r w:rsidRPr="006E0FDB">
        <w:rPr>
          <w:rFonts w:hint="eastAsia"/>
          <w:rtl/>
        </w:rPr>
        <w:t>»</w:t>
      </w:r>
      <w:r w:rsidRPr="00815C4C">
        <w:rPr>
          <w:rFonts w:cs="Taher"/>
          <w:vertAlign w:val="superscript"/>
          <w:rtl/>
        </w:rPr>
        <w:t>(</w:t>
      </w:r>
      <w:r w:rsidRPr="00815C4C">
        <w:rPr>
          <w:rFonts w:cs="Taher"/>
          <w:vertAlign w:val="superscript"/>
          <w:rtl/>
        </w:rPr>
        <w:footnoteReference w:id="962"/>
      </w:r>
      <w:r w:rsidRPr="00815C4C">
        <w:rPr>
          <w:rFonts w:cs="Taher"/>
          <w:vertAlign w:val="superscript"/>
          <w:rtl/>
        </w:rPr>
        <w:t>)</w:t>
      </w:r>
      <w:r w:rsidRPr="00E14ED6">
        <w:rPr>
          <w:rFonts w:hint="cs"/>
          <w:rtl/>
        </w:rPr>
        <w:t>.</w:t>
      </w:r>
    </w:p>
    <w:p w:rsidR="006E0FDB" w:rsidRPr="00A731E2" w:rsidRDefault="006E0FDB" w:rsidP="006E0FDB">
      <w:pPr>
        <w:pStyle w:val="ac"/>
        <w:rPr>
          <w:rFonts w:ascii="Mosawi" w:hAnsi="Mosawi"/>
          <w:sz w:val="16"/>
          <w:szCs w:val="16"/>
        </w:rPr>
      </w:pPr>
    </w:p>
    <w:p w:rsidR="006E0FDB" w:rsidRPr="0017088F" w:rsidRDefault="006E0FDB" w:rsidP="006E0FDB">
      <w:pPr>
        <w:pStyle w:val="1"/>
        <w:rPr>
          <w:rtl/>
        </w:rPr>
      </w:pPr>
      <w:bookmarkStart w:id="597" w:name="_Toc169521488"/>
      <w:bookmarkStart w:id="598" w:name="_Toc275128259"/>
      <w:r w:rsidRPr="0017088F">
        <w:rPr>
          <w:rFonts w:hint="cs"/>
          <w:rtl/>
        </w:rPr>
        <w:t>المرأة منبع السعادة</w:t>
      </w:r>
      <w:bookmarkEnd w:id="597"/>
      <w:bookmarkEnd w:id="598"/>
    </w:p>
    <w:p w:rsidR="006E0FDB" w:rsidRPr="00E14ED6" w:rsidRDefault="006E0FDB" w:rsidP="00E33C4C">
      <w:pPr>
        <w:pStyle w:val="ac"/>
        <w:rPr>
          <w:rtl/>
        </w:rPr>
      </w:pPr>
      <w:r w:rsidRPr="00E14ED6">
        <w:rPr>
          <w:rFonts w:hint="cs"/>
          <w:rtl/>
        </w:rPr>
        <w:t xml:space="preserve">لقد تنبه الإمام الخميني إلى الأغراض السيئة والنوايا المشبوهة لآراء ما يسمّى </w:t>
      </w:r>
      <w:r w:rsidRPr="00E14ED6">
        <w:rPr>
          <w:rFonts w:hint="cs"/>
          <w:rtl/>
        </w:rPr>
        <w:lastRenderedPageBreak/>
        <w:t xml:space="preserve">بالحركة النسوية، وكان يؤكّد على الدوام على مكانة النساء وتأثيرهن على المجتمع، يقول: </w:t>
      </w:r>
      <w:r w:rsidRPr="00617008">
        <w:rPr>
          <w:rFonts w:hint="cs"/>
          <w:rtl/>
        </w:rPr>
        <w:t>«</w:t>
      </w:r>
      <w:r w:rsidRPr="00E14ED6">
        <w:rPr>
          <w:rFonts w:hint="cs"/>
          <w:rtl/>
        </w:rPr>
        <w:t>لو جرّدوا الأمم والمجتمعات من النساء الشجاعات والمربيات الفاضلات فسوف تهزم هذه الأمم وتؤول إلى الانحطاط، الإسلام يوليكنّ ذلك القدر من الاحترام الذي لم يوله للرجال، الإسلام يريد لكنّ النجاة، الإسلام يريد إنقاذكنّ من المهزلة التي يريدها هؤلاء لكنّ، لتصبحن ألعوبةً بأيديهم، الإسلام يريد أن يصنع من المرأة إنساناً كاملاً</w:t>
      </w:r>
      <w:r w:rsidRPr="00617008">
        <w:rPr>
          <w:rFonts w:hint="cs"/>
          <w:rtl/>
        </w:rPr>
        <w:t>»</w:t>
      </w:r>
      <w:r w:rsidRPr="00815C4C">
        <w:rPr>
          <w:rFonts w:cs="Taher"/>
          <w:vertAlign w:val="superscript"/>
          <w:rtl/>
        </w:rPr>
        <w:t>(</w:t>
      </w:r>
      <w:r w:rsidRPr="00815C4C">
        <w:rPr>
          <w:rFonts w:cs="Taher"/>
          <w:vertAlign w:val="superscript"/>
          <w:rtl/>
        </w:rPr>
        <w:footnoteReference w:id="963"/>
      </w:r>
      <w:r w:rsidRPr="00815C4C">
        <w:rPr>
          <w:rFonts w:cs="Taher"/>
          <w:vertAlign w:val="superscript"/>
          <w:rtl/>
        </w:rPr>
        <w:t>)</w:t>
      </w:r>
      <w:r w:rsidRPr="00E14ED6">
        <w:rPr>
          <w:rFonts w:hint="cs"/>
          <w:rtl/>
        </w:rPr>
        <w:t>.</w:t>
      </w:r>
    </w:p>
    <w:p w:rsidR="006E0FDB" w:rsidRPr="00E14ED6" w:rsidRDefault="006E0FDB" w:rsidP="00E33C4C">
      <w:pPr>
        <w:pStyle w:val="ac"/>
        <w:rPr>
          <w:rtl/>
        </w:rPr>
      </w:pPr>
      <w:r w:rsidRPr="00E14ED6">
        <w:rPr>
          <w:rFonts w:hint="cs"/>
          <w:rtl/>
        </w:rPr>
        <w:t xml:space="preserve">ويضيف الإمام الخميني: </w:t>
      </w:r>
      <w:r w:rsidRPr="00617008">
        <w:rPr>
          <w:rFonts w:hint="cs"/>
          <w:rtl/>
        </w:rPr>
        <w:t>«</w:t>
      </w:r>
      <w:r w:rsidRPr="00E14ED6">
        <w:rPr>
          <w:rFonts w:hint="cs"/>
          <w:rtl/>
        </w:rPr>
        <w:t>المرأة إنسان، بل إنسان عظيم، وهي مربية للمجتمع، فمن أحضان النساء يولد الرجال الصالحون، في البداية يأتي الرجل والمرأة السالمين من حضن المرأة، سعادة البلدان وتعاستها منوطة بالمرأة، لأنّها بتربيتها الصالحة تصنع الإنسان الصالح وبتربيتها السليمة تعمر البلاد، إنّ حضن المرأة مهد للسعادة والخير والبركة؛ لذا ينبغي أن تكون المرأة منبع جميع السعادات</w:t>
      </w:r>
      <w:r w:rsidRPr="00617008">
        <w:rPr>
          <w:rFonts w:hint="cs"/>
          <w:rtl/>
        </w:rPr>
        <w:t>»</w:t>
      </w:r>
      <w:r w:rsidRPr="00815C4C">
        <w:rPr>
          <w:rFonts w:cs="Taher"/>
          <w:vertAlign w:val="superscript"/>
          <w:rtl/>
        </w:rPr>
        <w:t>(</w:t>
      </w:r>
      <w:r w:rsidRPr="00815C4C">
        <w:rPr>
          <w:rFonts w:cs="Taher"/>
          <w:vertAlign w:val="superscript"/>
          <w:rtl/>
        </w:rPr>
        <w:footnoteReference w:id="964"/>
      </w:r>
      <w:r w:rsidRPr="00815C4C">
        <w:rPr>
          <w:rFonts w:cs="Taher"/>
          <w:vertAlign w:val="superscript"/>
          <w:rtl/>
        </w:rPr>
        <w:t>)</w:t>
      </w:r>
      <w:r w:rsidRPr="00E14ED6">
        <w:rPr>
          <w:rFonts w:hint="cs"/>
          <w:rtl/>
        </w:rPr>
        <w:t>.</w:t>
      </w:r>
    </w:p>
    <w:p w:rsidR="006E0FDB" w:rsidRPr="00E14ED6" w:rsidRDefault="006E0FDB" w:rsidP="006E0FDB">
      <w:pPr>
        <w:pStyle w:val="ac"/>
        <w:rPr>
          <w:rtl/>
        </w:rPr>
      </w:pPr>
      <w:r w:rsidRPr="00617008">
        <w:rPr>
          <w:rFonts w:hint="cs"/>
          <w:rtl/>
        </w:rPr>
        <w:t>«</w:t>
      </w:r>
      <w:r w:rsidRPr="00E75F8E">
        <w:rPr>
          <w:rFonts w:hint="cs"/>
          <w:rtl/>
        </w:rPr>
        <w:t>المرأة مظهر تحقق آمال البشرية، هي مربية النساء والرجال الأفاضل</w:t>
      </w:r>
      <w:r w:rsidRPr="00617008">
        <w:rPr>
          <w:rFonts w:hint="cs"/>
          <w:rtl/>
        </w:rPr>
        <w:t>»</w:t>
      </w:r>
      <w:r w:rsidRPr="00815C4C">
        <w:rPr>
          <w:rFonts w:cs="Taher"/>
          <w:vertAlign w:val="superscript"/>
          <w:rtl/>
        </w:rPr>
        <w:t>(</w:t>
      </w:r>
      <w:r w:rsidRPr="00815C4C">
        <w:rPr>
          <w:rFonts w:cs="Taher"/>
          <w:vertAlign w:val="superscript"/>
          <w:rtl/>
        </w:rPr>
        <w:footnoteReference w:id="965"/>
      </w:r>
      <w:r w:rsidRPr="00815C4C">
        <w:rPr>
          <w:rFonts w:cs="Taher"/>
          <w:vertAlign w:val="superscript"/>
          <w:rtl/>
        </w:rPr>
        <w:t>)</w:t>
      </w:r>
      <w:r w:rsidRPr="00E75F8E">
        <w:rPr>
          <w:rFonts w:hint="cs"/>
          <w:rtl/>
        </w:rPr>
        <w:t>.</w:t>
      </w:r>
    </w:p>
    <w:p w:rsidR="006E0FDB" w:rsidRDefault="006E0FDB" w:rsidP="006E0FDB">
      <w:pPr>
        <w:pStyle w:val="ac"/>
        <w:rPr>
          <w:rtl/>
        </w:rPr>
      </w:pPr>
      <w:r w:rsidRPr="00617008">
        <w:rPr>
          <w:rFonts w:hint="cs"/>
          <w:rtl/>
        </w:rPr>
        <w:t>«</w:t>
      </w:r>
      <w:r w:rsidRPr="00E75F8E">
        <w:rPr>
          <w:rFonts w:hint="cs"/>
          <w:rtl/>
        </w:rPr>
        <w:t>تربي النساء في أحضانهنّ الرجال الشجعان، فالقرآن يصنع الإنسان، والمرأة أيضاً تربي الإنسان، ولو جرّدت الاُمم من النساء المربيات للإنسان، فإنّها ستهزم، وتتجه إلى الانحطاط، وتتدنى إلى الحضيض</w:t>
      </w:r>
      <w:r w:rsidRPr="00617008">
        <w:rPr>
          <w:rFonts w:hint="cs"/>
          <w:rtl/>
        </w:rPr>
        <w:t>»</w:t>
      </w:r>
      <w:r w:rsidRPr="00815C4C">
        <w:rPr>
          <w:rFonts w:cs="Taher"/>
          <w:vertAlign w:val="superscript"/>
          <w:rtl/>
        </w:rPr>
        <w:t>(</w:t>
      </w:r>
      <w:r w:rsidRPr="00815C4C">
        <w:rPr>
          <w:rFonts w:cs="Taher"/>
          <w:vertAlign w:val="superscript"/>
          <w:rtl/>
        </w:rPr>
        <w:footnoteReference w:id="966"/>
      </w:r>
      <w:r w:rsidRPr="00815C4C">
        <w:rPr>
          <w:rFonts w:cs="Taher"/>
          <w:vertAlign w:val="superscript"/>
          <w:rtl/>
        </w:rPr>
        <w:t>)</w:t>
      </w:r>
      <w:r w:rsidRPr="00E75F8E">
        <w:rPr>
          <w:rFonts w:hint="cs"/>
          <w:rtl/>
        </w:rPr>
        <w:t>.</w:t>
      </w:r>
    </w:p>
    <w:p w:rsidR="006E0FDB" w:rsidRPr="00E14ED6" w:rsidRDefault="006E0FDB" w:rsidP="00A731E2">
      <w:pPr>
        <w:pStyle w:val="afffffc"/>
      </w:pPr>
    </w:p>
    <w:p w:rsidR="006E0FDB" w:rsidRPr="0017088F" w:rsidRDefault="006E0FDB" w:rsidP="00E33C4C">
      <w:pPr>
        <w:pStyle w:val="1"/>
        <w:rPr>
          <w:rtl/>
        </w:rPr>
      </w:pPr>
      <w:bookmarkStart w:id="599" w:name="_Toc169521489"/>
      <w:bookmarkStart w:id="600" w:name="_Toc275128260"/>
      <w:r w:rsidRPr="0017088F">
        <w:rPr>
          <w:rFonts w:hint="cs"/>
          <w:rtl/>
        </w:rPr>
        <w:t>الحرية والمساواة بين الجنسين في نظر الإمام الخميني</w:t>
      </w:r>
      <w:bookmarkEnd w:id="599"/>
      <w:bookmarkEnd w:id="600"/>
    </w:p>
    <w:p w:rsidR="006E0FDB" w:rsidRPr="00E14ED6" w:rsidRDefault="006E0FDB" w:rsidP="00E33C4C">
      <w:pPr>
        <w:pStyle w:val="ac"/>
        <w:rPr>
          <w:rtl/>
        </w:rPr>
      </w:pPr>
      <w:r w:rsidRPr="00E14ED6">
        <w:rPr>
          <w:rFonts w:hint="cs"/>
          <w:rtl/>
        </w:rPr>
        <w:t>في نظر الإمام الخميني، الإسلام يريد للمرأة العزّة والفخر، أما أصحاب التوجهات اللادينية فما يريدونه للمرأة ليس إلا الفساد والانحراف، وأن تصبح وسيلة تسليةٍ وألعوبة.</w:t>
      </w:r>
    </w:p>
    <w:p w:rsidR="006E0FDB" w:rsidRPr="0017088F" w:rsidRDefault="006E0FDB" w:rsidP="006E0FDB">
      <w:pPr>
        <w:pStyle w:val="ac"/>
        <w:rPr>
          <w:rFonts w:cs="DanaFajr"/>
          <w:szCs w:val="33"/>
          <w:rtl/>
        </w:rPr>
      </w:pPr>
      <w:r w:rsidRPr="00E14ED6">
        <w:rPr>
          <w:rFonts w:hint="cs"/>
          <w:rtl/>
        </w:rPr>
        <w:lastRenderedPageBreak/>
        <w:t xml:space="preserve">حول ذلك يوضّح الإمام الخميني قائلاً: </w:t>
      </w:r>
      <w:r w:rsidRPr="00885E99">
        <w:rPr>
          <w:rFonts w:hint="cs"/>
          <w:rtl/>
        </w:rPr>
        <w:t>«</w:t>
      </w:r>
      <w:r w:rsidRPr="00E14ED6">
        <w:rPr>
          <w:rFonts w:hint="cs"/>
          <w:rtl/>
        </w:rPr>
        <w:t>إن مقام المرأة عالٍ، وهي تتمتّع بمكانة رفيعة، للسيدات في نظر الإسلام منـزلة سامية</w:t>
      </w:r>
      <w:r w:rsidRPr="00617008">
        <w:rPr>
          <w:rFonts w:hint="cs"/>
          <w:rtl/>
        </w:rPr>
        <w:t>»</w:t>
      </w:r>
      <w:r w:rsidRPr="00815C4C">
        <w:rPr>
          <w:rFonts w:cs="Taher"/>
          <w:vertAlign w:val="superscript"/>
          <w:rtl/>
        </w:rPr>
        <w:t>(</w:t>
      </w:r>
      <w:r w:rsidRPr="00815C4C">
        <w:rPr>
          <w:rFonts w:cs="Taher"/>
          <w:vertAlign w:val="superscript"/>
          <w:rtl/>
        </w:rPr>
        <w:footnoteReference w:id="967"/>
      </w:r>
      <w:r w:rsidRPr="00815C4C">
        <w:rPr>
          <w:rFonts w:cs="Taher"/>
          <w:vertAlign w:val="superscript"/>
          <w:rtl/>
        </w:rPr>
        <w:t>)</w:t>
      </w:r>
      <w:r w:rsidRPr="00E14ED6">
        <w:rPr>
          <w:rFonts w:hint="cs"/>
          <w:rtl/>
        </w:rPr>
        <w:t>.</w:t>
      </w:r>
    </w:p>
    <w:p w:rsidR="006E0FDB" w:rsidRPr="00E14ED6" w:rsidRDefault="006E0FDB" w:rsidP="006E0FDB">
      <w:pPr>
        <w:pStyle w:val="ac"/>
        <w:rPr>
          <w:rtl/>
        </w:rPr>
      </w:pPr>
      <w:r w:rsidRPr="00617008">
        <w:rPr>
          <w:rFonts w:hint="cs"/>
          <w:rtl/>
        </w:rPr>
        <w:t>«</w:t>
      </w:r>
      <w:r w:rsidRPr="00E75F8E">
        <w:rPr>
          <w:rFonts w:hint="cs"/>
          <w:rtl/>
        </w:rPr>
        <w:t>إننّا نطالب أن ترتقي المرأة مكانتها الإنسانية السامية، لا أن تكون ألعوبة بأيدي رجال أراذل</w:t>
      </w:r>
      <w:r w:rsidRPr="00617008">
        <w:rPr>
          <w:rFonts w:hint="cs"/>
          <w:rtl/>
        </w:rPr>
        <w:t>»</w:t>
      </w:r>
      <w:r w:rsidRPr="00815C4C">
        <w:rPr>
          <w:rFonts w:cs="Taher"/>
          <w:vertAlign w:val="superscript"/>
          <w:rtl/>
        </w:rPr>
        <w:t>(</w:t>
      </w:r>
      <w:r w:rsidRPr="00815C4C">
        <w:rPr>
          <w:rFonts w:cs="Taher"/>
          <w:vertAlign w:val="superscript"/>
          <w:rtl/>
        </w:rPr>
        <w:footnoteReference w:id="968"/>
      </w:r>
      <w:r w:rsidRPr="00815C4C">
        <w:rPr>
          <w:rFonts w:cs="Taher"/>
          <w:vertAlign w:val="superscript"/>
          <w:rtl/>
        </w:rPr>
        <w:t>)</w:t>
      </w:r>
      <w:r w:rsidRPr="00E75F8E">
        <w:rPr>
          <w:rFonts w:hint="cs"/>
          <w:rtl/>
        </w:rPr>
        <w:t>.</w:t>
      </w:r>
    </w:p>
    <w:p w:rsidR="006E0FDB" w:rsidRPr="00E14ED6" w:rsidRDefault="006E0FDB" w:rsidP="006E0FDB">
      <w:pPr>
        <w:pStyle w:val="ac"/>
        <w:rPr>
          <w:rtl/>
        </w:rPr>
      </w:pPr>
      <w:r w:rsidRPr="00617008">
        <w:rPr>
          <w:rFonts w:hint="cs"/>
          <w:rtl/>
        </w:rPr>
        <w:t>«</w:t>
      </w:r>
      <w:r w:rsidRPr="00E75F8E">
        <w:rPr>
          <w:rFonts w:hint="cs"/>
          <w:rtl/>
        </w:rPr>
        <w:t>يؤهّل الإسلام المرأة لأن يكون لها دور في جميع الاُمور ـ كما للرجل دور في جميع الأمور ـ فكما ينبغي على الرجل أن يجتنب ويبتعد عن الفساد كذلك يجب على المرأة أن تبتعد عن الفساد، ولا ينبغي لها أن تصبح ألعوبة بأيدي شباب تافهين، ولا ينبغي لها أن تحطّ من مكانتها ومنـزلتها وتخرج متبرّجةً ـ لا سمح الله ـ لتطاردها أنظار التافهين من الرجال، ينبغي للمرأة أن تحافظ على إنسانيتها، وأن تتحلّى بالتقوى والعفّة، للمرأة منـزلة كريمة، ولها إرادة، وقد خلقها الله عزوجل حرّة كريمة</w:t>
      </w:r>
      <w:r w:rsidRPr="00617008">
        <w:rPr>
          <w:rFonts w:hint="cs"/>
          <w:rtl/>
        </w:rPr>
        <w:t>»</w:t>
      </w:r>
      <w:r w:rsidRPr="00815C4C">
        <w:rPr>
          <w:rFonts w:cs="Taher"/>
          <w:vertAlign w:val="superscript"/>
          <w:rtl/>
        </w:rPr>
        <w:t>(</w:t>
      </w:r>
      <w:r w:rsidRPr="00815C4C">
        <w:rPr>
          <w:rFonts w:cs="Taher"/>
          <w:vertAlign w:val="superscript"/>
          <w:rtl/>
        </w:rPr>
        <w:footnoteReference w:id="969"/>
      </w:r>
      <w:r w:rsidRPr="00815C4C">
        <w:rPr>
          <w:rFonts w:cs="Taher"/>
          <w:vertAlign w:val="superscript"/>
          <w:rtl/>
        </w:rPr>
        <w:t>)</w:t>
      </w:r>
      <w:r w:rsidRPr="00E75F8E">
        <w:rPr>
          <w:rFonts w:hint="cs"/>
          <w:rtl/>
        </w:rPr>
        <w:t>.</w:t>
      </w:r>
    </w:p>
    <w:p w:rsidR="006E0FDB" w:rsidRDefault="006E0FDB" w:rsidP="006E0FDB">
      <w:pPr>
        <w:pStyle w:val="ac"/>
        <w:rPr>
          <w:rtl/>
        </w:rPr>
      </w:pPr>
      <w:r w:rsidRPr="00617008">
        <w:rPr>
          <w:rFonts w:hint="cs"/>
          <w:rtl/>
        </w:rPr>
        <w:t>«</w:t>
      </w:r>
      <w:r w:rsidRPr="00E75F8E">
        <w:rPr>
          <w:rFonts w:hint="cs"/>
          <w:rtl/>
        </w:rPr>
        <w:t>ينظر الإسلام إليكن ـ إيتها السيدات ـ نظرة خاصة، عندما ظهر الإسلام في الجزيرة العربية كانت المرأة تفتقر إلى المكانة اللائقة لدى الرجال. الإسلام هو الذي منحها العزة والرفعة وهو الذي ساواها بالرجل، إن العناية التي يوليها الإسلام للمرأة تفوق العناية التي خص بها الرجل</w:t>
      </w:r>
      <w:r w:rsidRPr="00617008">
        <w:rPr>
          <w:rFonts w:hint="cs"/>
          <w:rtl/>
        </w:rPr>
        <w:t>»</w:t>
      </w:r>
      <w:r w:rsidRPr="00815C4C">
        <w:rPr>
          <w:rFonts w:cs="Taher"/>
          <w:vertAlign w:val="superscript"/>
          <w:rtl/>
        </w:rPr>
        <w:t>(</w:t>
      </w:r>
      <w:r w:rsidRPr="00815C4C">
        <w:rPr>
          <w:rFonts w:cs="Taher"/>
          <w:vertAlign w:val="superscript"/>
          <w:rtl/>
        </w:rPr>
        <w:footnoteReference w:id="970"/>
      </w:r>
      <w:r w:rsidRPr="00815C4C">
        <w:rPr>
          <w:rFonts w:cs="Taher"/>
          <w:vertAlign w:val="superscript"/>
          <w:rtl/>
        </w:rPr>
        <w:t>)</w:t>
      </w:r>
      <w:r w:rsidRPr="00E75F8E">
        <w:rPr>
          <w:rFonts w:hint="cs"/>
          <w:rtl/>
        </w:rPr>
        <w:t>.</w:t>
      </w:r>
    </w:p>
    <w:p w:rsidR="006E0FDB" w:rsidRPr="00A731E2" w:rsidRDefault="006E0FDB" w:rsidP="00A731E2">
      <w:pPr>
        <w:pStyle w:val="afffffc"/>
        <w:rPr>
          <w:rFonts w:ascii="Mosawi" w:hAnsi="Mosawi"/>
          <w:sz w:val="22"/>
          <w:szCs w:val="22"/>
        </w:rPr>
      </w:pPr>
    </w:p>
    <w:p w:rsidR="006E0FDB" w:rsidRPr="0017088F" w:rsidRDefault="006E0FDB" w:rsidP="006E0FDB">
      <w:pPr>
        <w:pStyle w:val="1"/>
        <w:rPr>
          <w:rtl/>
        </w:rPr>
      </w:pPr>
      <w:bookmarkStart w:id="601" w:name="_Toc169521490"/>
      <w:bookmarkStart w:id="602" w:name="_Toc275128261"/>
      <w:r w:rsidRPr="0017088F">
        <w:rPr>
          <w:rFonts w:hint="cs"/>
          <w:rtl/>
        </w:rPr>
        <w:t>حقوق المرأة</w:t>
      </w:r>
      <w:bookmarkEnd w:id="601"/>
      <w:bookmarkEnd w:id="602"/>
    </w:p>
    <w:p w:rsidR="006E0FDB" w:rsidRPr="00E14ED6" w:rsidRDefault="006E0FDB" w:rsidP="006E0FDB">
      <w:pPr>
        <w:pStyle w:val="ac"/>
        <w:rPr>
          <w:rtl/>
        </w:rPr>
      </w:pPr>
      <w:r w:rsidRPr="00E14ED6">
        <w:rPr>
          <w:rFonts w:hint="cs"/>
          <w:rtl/>
        </w:rPr>
        <w:t>إنّ موضوع الزواج والطلاق بين الرجل والمرأة من المواضيع الساخنة والمطروحة بقوة في المجتمعات المختلفة، ويستخدم هذا الموضوع سلاحاً لأجل تشويش أفكار النساء وعقولهن.</w:t>
      </w:r>
    </w:p>
    <w:p w:rsidR="006E0FDB" w:rsidRPr="00E14ED6" w:rsidRDefault="006E0FDB" w:rsidP="006E0FDB">
      <w:pPr>
        <w:pStyle w:val="ac"/>
        <w:rPr>
          <w:rtl/>
        </w:rPr>
      </w:pPr>
      <w:r w:rsidRPr="00E14ED6">
        <w:rPr>
          <w:rFonts w:hint="cs"/>
          <w:rtl/>
        </w:rPr>
        <w:t xml:space="preserve">المعترضون، وبدون التفات إلى حقّ المرأة في اختيار الزوج، عدُّوا المرأة في نظر الدين </w:t>
      </w:r>
      <w:r w:rsidRPr="00E14ED6">
        <w:rPr>
          <w:rFonts w:hint="cs"/>
          <w:rtl/>
        </w:rPr>
        <w:lastRenderedPageBreak/>
        <w:t>الإسلامي مملوكةً للرجل؛ وذلك بتمسّكهم ببعض النماذج من الزيـجات، وأنّ كون اختيار الطلاق بيد الرجل هو بحدّ ذاته تمييز بحق النساء.</w:t>
      </w:r>
    </w:p>
    <w:p w:rsidR="006E0FDB" w:rsidRPr="00E14ED6" w:rsidRDefault="006E0FDB" w:rsidP="00A731E2">
      <w:pPr>
        <w:pStyle w:val="ac"/>
        <w:spacing w:line="209" w:lineRule="auto"/>
        <w:rPr>
          <w:rtl/>
        </w:rPr>
      </w:pPr>
      <w:r w:rsidRPr="00E14ED6">
        <w:rPr>
          <w:rFonts w:hint="cs"/>
          <w:rtl/>
        </w:rPr>
        <w:t xml:space="preserve">لقد أشار الإمام الخميني إلى هذا الموضوع، وبيّن أنّ الإسلام أعطى صلاحيةً للنساء؛ يقول عندما سئل عن ذلك: </w:t>
      </w:r>
      <w:r w:rsidRPr="00617008">
        <w:rPr>
          <w:rFonts w:hint="cs"/>
          <w:rtl/>
        </w:rPr>
        <w:t>«</w:t>
      </w:r>
      <w:r w:rsidRPr="00E14ED6">
        <w:rPr>
          <w:rFonts w:hint="cs"/>
          <w:rtl/>
        </w:rPr>
        <w:t>يسأل بعضهم عن اشتراط المرأة في عقد الزواج كونها موكّلة في طلاق نفسها، ثم يسألون عن مصير النسوة اللاتي لم يشترطن هذا الشرط ويعانين من أزواجهن؟</w:t>
      </w:r>
    </w:p>
    <w:p w:rsidR="006E0FDB" w:rsidRPr="00E14ED6" w:rsidRDefault="006E0FDB" w:rsidP="00A731E2">
      <w:pPr>
        <w:pStyle w:val="ac"/>
        <w:spacing w:line="209" w:lineRule="auto"/>
        <w:rPr>
          <w:rtl/>
        </w:rPr>
      </w:pPr>
      <w:r w:rsidRPr="00E14ED6">
        <w:rPr>
          <w:rFonts w:hint="cs"/>
          <w:rtl/>
        </w:rPr>
        <w:t>إنّ هؤلاء يخالفون ولاية الفقيه ويجهلون أنّ من صلاحياته التدخل في مثل هذه الحالات، فإذا ما أساء الرجل معاملة زوجته ينصحه الولي الفقيه أولاً، ويؤدّبه ثانياً، فإن لم ينفع معه ذلك أجبره على الطلاق وفرَّق بينهما، اعرفوا قدَرْ هذه الولاية.</w:t>
      </w:r>
    </w:p>
    <w:p w:rsidR="006E0FDB" w:rsidRPr="00E14ED6" w:rsidRDefault="006E0FDB" w:rsidP="00A731E2">
      <w:pPr>
        <w:pStyle w:val="ac"/>
        <w:spacing w:line="209" w:lineRule="auto"/>
        <w:rPr>
          <w:rtl/>
        </w:rPr>
      </w:pPr>
      <w:r w:rsidRPr="00E14ED6">
        <w:rPr>
          <w:rFonts w:hint="cs"/>
          <w:rtl/>
        </w:rPr>
        <w:t>إنّ ولاية الفقيه نعمة وموهبة إلهية أعطاها الله تبارك وتعالى للمسلمين، ومن الأمور التي سألتم عنها وطرحتموها هو أنّه ما هو مصير النساء اللاتي هنَّ الآن في عصمة أزواجهن، فإذا كنَّ يواجهن مثل هذه المعاناة فماذا يفعلن؟</w:t>
      </w:r>
    </w:p>
    <w:p w:rsidR="006E0FDB" w:rsidRPr="00E14ED6" w:rsidRDefault="006E0FDB" w:rsidP="00A731E2">
      <w:pPr>
        <w:pStyle w:val="ac"/>
        <w:spacing w:line="209" w:lineRule="auto"/>
        <w:rPr>
          <w:rtl/>
        </w:rPr>
      </w:pPr>
      <w:r w:rsidRPr="00E14ED6">
        <w:rPr>
          <w:rFonts w:hint="cs"/>
          <w:rtl/>
        </w:rPr>
        <w:t>فليرجع إلى الفقيه أو المجلس الذي فيه الفقيه أو المحكمة التي فيها الفقيه، والفقيه هو الذي يبتّ بالأمر، فإذا صحّ ادّعاء الزوجة يقوم الفقيه بتأدّيب الزوج ويأمره بإصلاح سلوكه، فإن انصاع للأمر فبه، وإلاّ فرَّق بينه وبين زوجته.</w:t>
      </w:r>
    </w:p>
    <w:p w:rsidR="006E0FDB" w:rsidRPr="00E14ED6" w:rsidRDefault="006E0FDB" w:rsidP="006E0FDB">
      <w:pPr>
        <w:pStyle w:val="ac"/>
        <w:rPr>
          <w:rtl/>
        </w:rPr>
      </w:pPr>
      <w:r w:rsidRPr="00E14ED6">
        <w:rPr>
          <w:rFonts w:hint="cs"/>
          <w:rtl/>
        </w:rPr>
        <w:t>فالولاية تتمتع بهذه الصلاحيات، فإذا قاد الأمر إلى الفساد فبإمكان الفقيه أن يطلّقها رغم أنّ الطلاق بيد الرجل، فللفقيه طلاقها في الموقع الذي يرى فيه مصلحة الإسلام والمسلمين، وفي الحالة التي لا يوجد سبيل آخر ـ غير الطلاق ـ، هذه ولاية الفقيه، إنها هدية إلهية لكم</w:t>
      </w:r>
      <w:r w:rsidRPr="00617008">
        <w:rPr>
          <w:rFonts w:hint="cs"/>
          <w:rtl/>
        </w:rPr>
        <w:t>»</w:t>
      </w:r>
      <w:r w:rsidRPr="00815C4C">
        <w:rPr>
          <w:rFonts w:cs="Taher"/>
          <w:vertAlign w:val="superscript"/>
          <w:rtl/>
        </w:rPr>
        <w:t>(</w:t>
      </w:r>
      <w:r w:rsidRPr="00815C4C">
        <w:rPr>
          <w:rFonts w:cs="Taher"/>
          <w:vertAlign w:val="superscript"/>
          <w:rtl/>
        </w:rPr>
        <w:footnoteReference w:id="971"/>
      </w:r>
      <w:r w:rsidRPr="00815C4C">
        <w:rPr>
          <w:rFonts w:cs="Taher"/>
          <w:vertAlign w:val="superscript"/>
          <w:rtl/>
        </w:rPr>
        <w:t>)</w:t>
      </w:r>
      <w:r w:rsidRPr="00E14ED6">
        <w:rPr>
          <w:rFonts w:hint="cs"/>
          <w:rtl/>
        </w:rPr>
        <w:t>.</w:t>
      </w:r>
    </w:p>
    <w:p w:rsidR="006E0FDB" w:rsidRPr="00E14ED6" w:rsidRDefault="006E0FDB" w:rsidP="006E0FDB">
      <w:pPr>
        <w:pStyle w:val="ac"/>
        <w:rPr>
          <w:rtl/>
        </w:rPr>
      </w:pPr>
      <w:r w:rsidRPr="00E14ED6">
        <w:rPr>
          <w:rFonts w:hint="cs"/>
          <w:rtl/>
        </w:rPr>
        <w:t xml:space="preserve">ويقول في موضع آخر: </w:t>
      </w:r>
      <w:r w:rsidRPr="00617008">
        <w:rPr>
          <w:rFonts w:hint="cs"/>
          <w:rtl/>
        </w:rPr>
        <w:t>«</w:t>
      </w:r>
      <w:r w:rsidRPr="00E14ED6">
        <w:rPr>
          <w:rFonts w:hint="cs"/>
          <w:rtl/>
        </w:rPr>
        <w:t xml:space="preserve">ينظر الإسلام إلى المرأة على قدم المساواة مع الرجل، لاشكّ في وجود أحكام خاصة بالرجال تتناسب وطبيعة الرجل، وأخرى خاصة بالنساء تتناسب مع طبيعة المرأة وخصوصياتها، إلاّ أنّ هذا لا يعني أنّ الإسلام يفاضل بين </w:t>
      </w:r>
      <w:r w:rsidRPr="00E14ED6">
        <w:rPr>
          <w:rFonts w:hint="cs"/>
          <w:rtl/>
        </w:rPr>
        <w:lastRenderedPageBreak/>
        <w:t>المرأة والرجل</w:t>
      </w:r>
      <w:r w:rsidRPr="00617008">
        <w:rPr>
          <w:rFonts w:hint="cs"/>
          <w:rtl/>
        </w:rPr>
        <w:t>»</w:t>
      </w:r>
      <w:r w:rsidRPr="00815C4C">
        <w:rPr>
          <w:rFonts w:cs="Taher"/>
          <w:vertAlign w:val="superscript"/>
          <w:rtl/>
        </w:rPr>
        <w:t>(</w:t>
      </w:r>
      <w:r w:rsidRPr="00815C4C">
        <w:rPr>
          <w:rFonts w:cs="Taher"/>
          <w:vertAlign w:val="superscript"/>
          <w:rtl/>
        </w:rPr>
        <w:footnoteReference w:id="972"/>
      </w:r>
      <w:r w:rsidRPr="00815C4C">
        <w:rPr>
          <w:rFonts w:cs="Taher"/>
          <w:vertAlign w:val="superscript"/>
          <w:rtl/>
        </w:rPr>
        <w:t>)</w:t>
      </w:r>
      <w:r w:rsidRPr="00E14ED6">
        <w:rPr>
          <w:rFonts w:hint="cs"/>
          <w:rtl/>
        </w:rPr>
        <w:t>.</w:t>
      </w:r>
    </w:p>
    <w:p w:rsidR="006E0FDB" w:rsidRPr="00E14ED6" w:rsidRDefault="006E0FDB" w:rsidP="00A731E2">
      <w:pPr>
        <w:pStyle w:val="ac"/>
        <w:rPr>
          <w:rtl/>
        </w:rPr>
      </w:pPr>
      <w:r w:rsidRPr="00617008">
        <w:rPr>
          <w:rFonts w:hint="cs"/>
          <w:rtl/>
        </w:rPr>
        <w:t>«</w:t>
      </w:r>
      <w:r w:rsidRPr="00E75F8E">
        <w:rPr>
          <w:rFonts w:hint="cs"/>
          <w:rtl/>
        </w:rPr>
        <w:t>إن المرأة في النظام الإسلامي تتمتع بالحقوق ذاتها التي يتمتع بها الرجل بما في ذلك حقّ التعليم، والعمل، والتملّك، والانتخاب، والترشيح، بيدَ أنّ هناك أموراً تُعدُّ مزاولتها من قبل الرجل حراماً لأنها تقوده إلى المفاسد، وأخرى يحظر على المرأة مزاولتها لأنّها تشيع المفسدة.</w:t>
      </w:r>
    </w:p>
    <w:p w:rsidR="006E0FDB" w:rsidRPr="00E14ED6" w:rsidRDefault="006E0FDB" w:rsidP="00A731E2">
      <w:pPr>
        <w:pStyle w:val="ac"/>
        <w:spacing w:line="209" w:lineRule="auto"/>
        <w:rPr>
          <w:rtl/>
        </w:rPr>
      </w:pPr>
      <w:r w:rsidRPr="00E14ED6">
        <w:rPr>
          <w:rFonts w:hint="cs"/>
          <w:rtl/>
        </w:rPr>
        <w:t>لقد أراد الإسلام للرجل والمرأة أن يحافظا على كيانهما الإنساني. فالإسلام لا يريد أن تصبح المرأة ألعوبةً بيد الرجل، وأن ما يردّدونه في الخارج من أن الإسلام يتعامل بخشونة وصلافة مع المرأة لا أساس له من الصحة، وهو ادعاء باطل يروّج له المغرضون، وإلاّ فإنّ الرجل والمرأة كلاهما يتمتّع بصلاحيات في الإسلام، وإذا ما وجد تباين واختلاف فهو لكليهما، وإن ذلك عائد إلى طبيعتهما</w:t>
      </w:r>
      <w:r w:rsidRPr="00617008">
        <w:rPr>
          <w:rFonts w:hint="cs"/>
          <w:rtl/>
        </w:rPr>
        <w:t>»</w:t>
      </w:r>
      <w:r w:rsidRPr="00815C4C">
        <w:rPr>
          <w:rFonts w:cs="Taher"/>
          <w:vertAlign w:val="superscript"/>
          <w:rtl/>
        </w:rPr>
        <w:t>(</w:t>
      </w:r>
      <w:r w:rsidRPr="00815C4C">
        <w:rPr>
          <w:rFonts w:cs="Taher"/>
          <w:vertAlign w:val="superscript"/>
          <w:rtl/>
        </w:rPr>
        <w:footnoteReference w:id="973"/>
      </w:r>
      <w:r w:rsidRPr="00815C4C">
        <w:rPr>
          <w:rFonts w:cs="Taher"/>
          <w:vertAlign w:val="superscript"/>
          <w:rtl/>
        </w:rPr>
        <w:t>)</w:t>
      </w:r>
      <w:r w:rsidRPr="00E14ED6">
        <w:rPr>
          <w:rFonts w:hint="cs"/>
          <w:rtl/>
        </w:rPr>
        <w:t>.</w:t>
      </w:r>
    </w:p>
    <w:p w:rsidR="006E0FDB" w:rsidRPr="00E14ED6" w:rsidRDefault="006E0FDB" w:rsidP="006E0FDB">
      <w:pPr>
        <w:pStyle w:val="ac"/>
        <w:rPr>
          <w:rtl/>
        </w:rPr>
      </w:pPr>
      <w:r w:rsidRPr="00617008">
        <w:rPr>
          <w:rFonts w:hint="cs"/>
          <w:rtl/>
        </w:rPr>
        <w:t>«</w:t>
      </w:r>
      <w:r w:rsidRPr="00E75F8E">
        <w:rPr>
          <w:rFonts w:hint="cs"/>
          <w:rtl/>
        </w:rPr>
        <w:t>طبعاً ثمة ضوابط وقيود للرجال في الشرق، وهي لمصلحة الرجال أنفسهم، وتلك القيود معناه</w:t>
      </w:r>
      <w:r>
        <w:rPr>
          <w:rFonts w:hint="cs"/>
          <w:rtl/>
        </w:rPr>
        <w:t>ـ</w:t>
      </w:r>
      <w:r w:rsidRPr="00E75F8E">
        <w:rPr>
          <w:rFonts w:hint="cs"/>
          <w:rtl/>
        </w:rPr>
        <w:t>ا أن الإسلام يحرِّم ممارسة الأفعال التي فيها مفسدة للرجال، فالإسلام يمنع مثلاً من لعب القمار، وتناول الخمور والهيروئين، واستعمال المخدّرات؛ لأنها مقرونة بالمفاسد، فهناك قيود وضوابط للجميع، شرعية وإلهية، ضوابط لأجل صلاح المجتمع نفسه، لا أنّ الإسلام يمنع عن أشياء مفيدة ينتفع منها المجتمع نفسه</w:t>
      </w:r>
      <w:r w:rsidRPr="00617008">
        <w:rPr>
          <w:rFonts w:hint="cs"/>
          <w:rtl/>
        </w:rPr>
        <w:t>»</w:t>
      </w:r>
      <w:r w:rsidRPr="00815C4C">
        <w:rPr>
          <w:rFonts w:cs="Taher"/>
          <w:vertAlign w:val="superscript"/>
          <w:rtl/>
        </w:rPr>
        <w:t>(</w:t>
      </w:r>
      <w:r w:rsidRPr="00815C4C">
        <w:rPr>
          <w:rFonts w:cs="Taher"/>
          <w:vertAlign w:val="superscript"/>
          <w:rtl/>
        </w:rPr>
        <w:footnoteReference w:id="974"/>
      </w:r>
      <w:r w:rsidRPr="00815C4C">
        <w:rPr>
          <w:rFonts w:cs="Taher"/>
          <w:vertAlign w:val="superscript"/>
          <w:rtl/>
        </w:rPr>
        <w:t>)</w:t>
      </w:r>
      <w:r w:rsidRPr="00E75F8E">
        <w:rPr>
          <w:rFonts w:hint="cs"/>
          <w:rtl/>
        </w:rPr>
        <w:t>.</w:t>
      </w:r>
    </w:p>
    <w:p w:rsidR="006E0FDB" w:rsidRPr="00E14ED6" w:rsidRDefault="006E0FDB" w:rsidP="006E0FDB">
      <w:pPr>
        <w:pStyle w:val="ac"/>
        <w:rPr>
          <w:rtl/>
        </w:rPr>
      </w:pPr>
      <w:r w:rsidRPr="00617008">
        <w:rPr>
          <w:rFonts w:hint="cs"/>
          <w:rtl/>
        </w:rPr>
        <w:t>«</w:t>
      </w:r>
      <w:r w:rsidRPr="00E75F8E">
        <w:rPr>
          <w:rFonts w:hint="cs"/>
          <w:rtl/>
        </w:rPr>
        <w:t>لا يوجد في الإسلام فرق وتمايز بين فئة وأخرى، إنما التمايز بالتقوى فحسب</w:t>
      </w:r>
      <w:r w:rsidRPr="00617008">
        <w:rPr>
          <w:rFonts w:hint="cs"/>
          <w:rtl/>
        </w:rPr>
        <w:t>»</w:t>
      </w:r>
      <w:r w:rsidRPr="00815C4C">
        <w:rPr>
          <w:rFonts w:cs="Taher"/>
          <w:vertAlign w:val="superscript"/>
          <w:rtl/>
        </w:rPr>
        <w:t>(</w:t>
      </w:r>
      <w:r w:rsidRPr="00815C4C">
        <w:rPr>
          <w:rFonts w:cs="Taher"/>
          <w:vertAlign w:val="superscript"/>
          <w:rtl/>
        </w:rPr>
        <w:footnoteReference w:id="975"/>
      </w:r>
      <w:r w:rsidRPr="00815C4C">
        <w:rPr>
          <w:rFonts w:cs="Taher"/>
          <w:vertAlign w:val="superscript"/>
          <w:rtl/>
        </w:rPr>
        <w:t>)</w:t>
      </w:r>
      <w:r w:rsidRPr="00E75F8E">
        <w:rPr>
          <w:rFonts w:hint="cs"/>
          <w:rtl/>
        </w:rPr>
        <w:t>.</w:t>
      </w:r>
    </w:p>
    <w:p w:rsidR="006E0FDB" w:rsidRPr="00E14ED6" w:rsidRDefault="006E0FDB" w:rsidP="006E0FDB">
      <w:pPr>
        <w:pStyle w:val="ac"/>
        <w:rPr>
          <w:rtl/>
        </w:rPr>
      </w:pPr>
      <w:r w:rsidRPr="00617008">
        <w:rPr>
          <w:rFonts w:hint="cs"/>
          <w:rtl/>
        </w:rPr>
        <w:t>«</w:t>
      </w:r>
      <w:r w:rsidRPr="00E75F8E">
        <w:rPr>
          <w:rFonts w:hint="cs"/>
          <w:rtl/>
        </w:rPr>
        <w:t>بإمكان الفتيات المقبلات على الزواج أن يضعن منذ البداية شروطاً لأنفسهنّ، لا تخالف الشرع ولا تتعارض وشأنهنّ ومنـزلتهن، كأن يشترطن ـ بدءاً ـ بأنه إذا ما كان الرجل سيء الخلق أو أساء معاملة زوجته فهي وكيل في الطلاق.</w:t>
      </w:r>
    </w:p>
    <w:p w:rsidR="006E0FDB" w:rsidRPr="00E14ED6" w:rsidRDefault="006E0FDB" w:rsidP="00A731E2">
      <w:pPr>
        <w:pStyle w:val="ac"/>
        <w:spacing w:line="211" w:lineRule="auto"/>
        <w:rPr>
          <w:rtl/>
        </w:rPr>
      </w:pPr>
      <w:r w:rsidRPr="00E14ED6">
        <w:rPr>
          <w:rFonts w:hint="cs"/>
          <w:rtl/>
        </w:rPr>
        <w:lastRenderedPageBreak/>
        <w:t>لقد سنَّ الإسلام هذا الحقّ للمرأة، ولئن وضع الإسلام قيوداً للرجال والنساء فهي لمصلحتهم.</w:t>
      </w:r>
    </w:p>
    <w:p w:rsidR="006E0FDB" w:rsidRPr="00E14ED6" w:rsidRDefault="006E0FDB" w:rsidP="00A731E2">
      <w:pPr>
        <w:pStyle w:val="ac"/>
        <w:spacing w:line="211" w:lineRule="auto"/>
        <w:rPr>
          <w:rtl/>
        </w:rPr>
      </w:pPr>
      <w:r w:rsidRPr="00E14ED6">
        <w:rPr>
          <w:rFonts w:hint="cs"/>
          <w:rtl/>
        </w:rPr>
        <w:t>إنّ أحكام الإسلام كافّة سواء تلك التي تدعو للتجديد والتطور، أو تلك التي تضع بعض القيود.. كلّها لصالحكم ومن أجلكم، فكما أنّه جعل للرجل حق الطلاق، وضع للمرأة خيار الاشتراط على الزوج أثناء العقد، بأن تكون الوكيل في الطلاق إذا ما أساء التصرّف معها، فإذا ما اشترطت المرأة ذلك لن يعذر الرجل، ولن يتمكّن من وضع قيود لها، ولن يستطيع أن يسيء الخلق معها، وإذا أساء الرجل التعامل مع زوجته فإنّ الحكومة الإسلامية تحول دون ذلك، فإن استجاب الزوج عزِّر وأُجري عليه الحد، وإلا يفرّق الفقيه المجتهد بينه وبينها</w:t>
      </w:r>
      <w:r w:rsidRPr="00617008">
        <w:rPr>
          <w:rFonts w:hint="cs"/>
          <w:rtl/>
        </w:rPr>
        <w:t>»</w:t>
      </w:r>
      <w:r w:rsidRPr="00815C4C">
        <w:rPr>
          <w:rFonts w:cs="Taher"/>
          <w:vertAlign w:val="superscript"/>
          <w:rtl/>
        </w:rPr>
        <w:t>(</w:t>
      </w:r>
      <w:r w:rsidRPr="00815C4C">
        <w:rPr>
          <w:rFonts w:cs="Taher"/>
          <w:vertAlign w:val="superscript"/>
          <w:rtl/>
        </w:rPr>
        <w:footnoteReference w:id="976"/>
      </w:r>
      <w:r w:rsidRPr="00815C4C">
        <w:rPr>
          <w:rFonts w:cs="Taher"/>
          <w:vertAlign w:val="superscript"/>
          <w:rtl/>
        </w:rPr>
        <w:t>)</w:t>
      </w:r>
      <w:r w:rsidRPr="00E14ED6">
        <w:rPr>
          <w:rFonts w:hint="cs"/>
          <w:rtl/>
        </w:rPr>
        <w:t>.</w:t>
      </w:r>
    </w:p>
    <w:p w:rsidR="006E0FDB" w:rsidRPr="00E14ED6" w:rsidRDefault="006E0FDB" w:rsidP="00A731E2">
      <w:pPr>
        <w:pStyle w:val="ac"/>
        <w:spacing w:line="211" w:lineRule="auto"/>
        <w:rPr>
          <w:rtl/>
        </w:rPr>
      </w:pPr>
      <w:r w:rsidRPr="00617008">
        <w:rPr>
          <w:rFonts w:hint="cs"/>
          <w:rtl/>
        </w:rPr>
        <w:t>«</w:t>
      </w:r>
      <w:r w:rsidRPr="00E75F8E">
        <w:rPr>
          <w:rFonts w:hint="cs"/>
          <w:rtl/>
        </w:rPr>
        <w:t>مثلما وضع الله تبارك وتعالى قيوداً للرجال لئلا تقودهم شهواتهم إلى الفساد والإفساد، كذلك صنع مع النساء، كل ذلك من أجل صلاحهنّ، فالأحكام الإسلامية كلّها من أجل صلاح المجتمع</w:t>
      </w:r>
      <w:r w:rsidRPr="00617008">
        <w:rPr>
          <w:rFonts w:hint="cs"/>
          <w:rtl/>
        </w:rPr>
        <w:t>»</w:t>
      </w:r>
      <w:r w:rsidRPr="00815C4C">
        <w:rPr>
          <w:rFonts w:cs="Taher"/>
          <w:vertAlign w:val="superscript"/>
          <w:rtl/>
        </w:rPr>
        <w:t>(</w:t>
      </w:r>
      <w:r w:rsidRPr="00815C4C">
        <w:rPr>
          <w:rFonts w:cs="Taher"/>
          <w:vertAlign w:val="superscript"/>
          <w:rtl/>
        </w:rPr>
        <w:footnoteReference w:id="977"/>
      </w:r>
      <w:r w:rsidRPr="00815C4C">
        <w:rPr>
          <w:rFonts w:cs="Taher"/>
          <w:vertAlign w:val="superscript"/>
          <w:rtl/>
        </w:rPr>
        <w:t>)</w:t>
      </w:r>
      <w:r w:rsidRPr="00E75F8E">
        <w:rPr>
          <w:rFonts w:hint="cs"/>
          <w:rtl/>
        </w:rPr>
        <w:t>.</w:t>
      </w:r>
    </w:p>
    <w:p w:rsidR="006E0FDB" w:rsidRPr="00E14ED6" w:rsidRDefault="006E0FDB" w:rsidP="00A731E2">
      <w:pPr>
        <w:pStyle w:val="ac"/>
        <w:spacing w:line="211" w:lineRule="auto"/>
        <w:rPr>
          <w:rtl/>
        </w:rPr>
      </w:pPr>
      <w:r w:rsidRPr="00E14ED6">
        <w:rPr>
          <w:rFonts w:hint="cs"/>
          <w:rtl/>
        </w:rPr>
        <w:t xml:space="preserve">ويشير الإمام الخميني أيضاً فيقول: </w:t>
      </w:r>
      <w:r w:rsidRPr="00617008">
        <w:rPr>
          <w:rFonts w:hint="cs"/>
          <w:rtl/>
        </w:rPr>
        <w:t>«</w:t>
      </w:r>
      <w:r w:rsidRPr="00E14ED6">
        <w:rPr>
          <w:rFonts w:hint="cs"/>
          <w:rtl/>
        </w:rPr>
        <w:t>أوصي الرجل والمرأة وكلّ من بلغ السن القانونية بالمشاركة في انتخابات مجلس الشورى، وبالإدلاء بأصواتهم لمرشحيهم</w:t>
      </w:r>
      <w:r w:rsidRPr="00617008">
        <w:rPr>
          <w:rFonts w:hint="cs"/>
          <w:rtl/>
        </w:rPr>
        <w:t>»</w:t>
      </w:r>
      <w:r w:rsidRPr="00815C4C">
        <w:rPr>
          <w:rFonts w:cs="Taher"/>
          <w:vertAlign w:val="superscript"/>
          <w:rtl/>
        </w:rPr>
        <w:t>(</w:t>
      </w:r>
      <w:r w:rsidRPr="00815C4C">
        <w:rPr>
          <w:rFonts w:cs="Taher"/>
          <w:vertAlign w:val="superscript"/>
          <w:rtl/>
        </w:rPr>
        <w:footnoteReference w:id="978"/>
      </w:r>
      <w:r w:rsidRPr="00815C4C">
        <w:rPr>
          <w:rFonts w:cs="Taher"/>
          <w:vertAlign w:val="superscript"/>
          <w:rtl/>
        </w:rPr>
        <w:t>)</w:t>
      </w:r>
      <w:r w:rsidRPr="00E14ED6">
        <w:rPr>
          <w:rFonts w:hint="cs"/>
          <w:rtl/>
        </w:rPr>
        <w:t>.</w:t>
      </w:r>
    </w:p>
    <w:p w:rsidR="006E0FDB" w:rsidRPr="00E14ED6" w:rsidRDefault="006E0FDB" w:rsidP="00A731E2">
      <w:pPr>
        <w:pStyle w:val="ac"/>
        <w:spacing w:line="211" w:lineRule="auto"/>
        <w:rPr>
          <w:rtl/>
        </w:rPr>
      </w:pPr>
      <w:r w:rsidRPr="00617008">
        <w:rPr>
          <w:rFonts w:hint="cs"/>
          <w:rtl/>
        </w:rPr>
        <w:t>«</w:t>
      </w:r>
      <w:r w:rsidRPr="00E75F8E">
        <w:rPr>
          <w:rFonts w:hint="cs"/>
          <w:rtl/>
        </w:rPr>
        <w:t>الإسلام قدّم لكنّ خدمة [أيتها النساء] بذلك القدر الذي لم يقدّم مثله للرجال، الإسلام حفظكنّ فاحفظن بدوركُنّ الإسلام.</w:t>
      </w:r>
    </w:p>
    <w:p w:rsidR="006E0FDB" w:rsidRDefault="006E0FDB" w:rsidP="00A731E2">
      <w:pPr>
        <w:pStyle w:val="ac"/>
        <w:spacing w:line="211" w:lineRule="auto"/>
        <w:rPr>
          <w:rtl/>
        </w:rPr>
      </w:pPr>
      <w:r w:rsidRPr="00E14ED6">
        <w:rPr>
          <w:rFonts w:hint="cs"/>
          <w:rtl/>
        </w:rPr>
        <w:t>ومثلما يجب على الرجال المشاركة في القضايا السياسية والحفاظ على مجتمعهم، يجب على النساء أيضاً المشاركة والحفاظ على المجتمع، بالطبع مع المحافظة على الشؤون التي أمر بها الإسلام، والتي هي بحمد الله متحقّقة اليوم في إيران</w:t>
      </w:r>
      <w:r w:rsidRPr="00617008">
        <w:rPr>
          <w:rFonts w:hint="cs"/>
          <w:rtl/>
        </w:rPr>
        <w:t>»</w:t>
      </w:r>
      <w:r w:rsidRPr="00815C4C">
        <w:rPr>
          <w:rFonts w:cs="Taher"/>
          <w:vertAlign w:val="superscript"/>
          <w:rtl/>
        </w:rPr>
        <w:t>(</w:t>
      </w:r>
      <w:r w:rsidRPr="00815C4C">
        <w:rPr>
          <w:rFonts w:cs="Taher"/>
          <w:vertAlign w:val="superscript"/>
          <w:rtl/>
        </w:rPr>
        <w:footnoteReference w:id="979"/>
      </w:r>
      <w:r w:rsidRPr="00815C4C">
        <w:rPr>
          <w:rFonts w:cs="Taher"/>
          <w:vertAlign w:val="superscript"/>
          <w:rtl/>
        </w:rPr>
        <w:t>)</w:t>
      </w:r>
      <w:r w:rsidRPr="00E14ED6">
        <w:rPr>
          <w:rFonts w:hint="cs"/>
          <w:rtl/>
        </w:rPr>
        <w:t>.</w:t>
      </w:r>
    </w:p>
    <w:p w:rsidR="006E0FDB" w:rsidRPr="0017088F" w:rsidRDefault="006E0FDB" w:rsidP="006E0FDB">
      <w:pPr>
        <w:pStyle w:val="1"/>
        <w:rPr>
          <w:rtl/>
        </w:rPr>
      </w:pPr>
      <w:bookmarkStart w:id="603" w:name="_Toc169521491"/>
      <w:bookmarkStart w:id="604" w:name="_Toc275128262"/>
      <w:r w:rsidRPr="0017088F">
        <w:rPr>
          <w:rFonts w:hint="cs"/>
          <w:rtl/>
        </w:rPr>
        <w:lastRenderedPageBreak/>
        <w:t>رعاية المرأة للحجاب</w:t>
      </w:r>
      <w:bookmarkEnd w:id="603"/>
      <w:bookmarkEnd w:id="604"/>
    </w:p>
    <w:p w:rsidR="006E0FDB" w:rsidRPr="00E14ED6" w:rsidRDefault="006E0FDB" w:rsidP="006E0FDB">
      <w:pPr>
        <w:pStyle w:val="ac"/>
        <w:rPr>
          <w:rtl/>
        </w:rPr>
      </w:pPr>
      <w:r w:rsidRPr="00E14ED6">
        <w:rPr>
          <w:rFonts w:hint="cs"/>
          <w:rtl/>
        </w:rPr>
        <w:t>الستر والحجاب من القضايا التي يدركها الإنسان بالفطرة، فهو غير مختصّ بالمرأة، وإنّما يمتاز فيها عنه من حيث الكيفية فحسب، وذلك لتمايز طبيعة كلّ منهما.</w:t>
      </w:r>
    </w:p>
    <w:p w:rsidR="006E0FDB" w:rsidRPr="00E14ED6" w:rsidRDefault="006E0FDB" w:rsidP="006E0FDB">
      <w:pPr>
        <w:pStyle w:val="ac"/>
        <w:rPr>
          <w:rtl/>
        </w:rPr>
      </w:pPr>
      <w:r w:rsidRPr="00E14ED6">
        <w:rPr>
          <w:rFonts w:hint="cs"/>
          <w:rtl/>
        </w:rPr>
        <w:t>حجاب المرأة في الإسلام لباس معقول، يمكن أن يتّخذ أشكالاً مختلفة لدى كل أمّة بالنظر إلى عادات وتقاليد ذلك الشعب.</w:t>
      </w:r>
    </w:p>
    <w:p w:rsidR="006E0FDB" w:rsidRPr="00E14ED6" w:rsidRDefault="006E0FDB" w:rsidP="00A731E2">
      <w:pPr>
        <w:pStyle w:val="ac"/>
        <w:spacing w:line="206" w:lineRule="auto"/>
        <w:rPr>
          <w:rtl/>
        </w:rPr>
      </w:pPr>
      <w:r w:rsidRPr="00E14ED6">
        <w:rPr>
          <w:rFonts w:hint="cs"/>
          <w:rtl/>
        </w:rPr>
        <w:t xml:space="preserve">يقول الإمام الخميني في معرض ردّه عن سؤال في هذا المجال: </w:t>
      </w:r>
      <w:r w:rsidRPr="00617008">
        <w:rPr>
          <w:rFonts w:hint="cs"/>
          <w:rtl/>
        </w:rPr>
        <w:t>«</w:t>
      </w:r>
      <w:r w:rsidRPr="00E14ED6">
        <w:rPr>
          <w:rFonts w:hint="cs"/>
          <w:rtl/>
        </w:rPr>
        <w:t>الحجاب بالمعنى المتداول بيننا والذي يسمّى بالحجاب الإسلامي لا يتنافى مع الحرية، الإسلام يعارض ما هو خلاف العفّة، ونحن ندعو هؤلاء للأخذ بالحجاب الإسلامي، لقد ضاقت نساؤنا الشجاعات الفاضلات ذرعاً بالبلايا التي أنزلها الغرب على رؤوسهنَّ باسم الحضارة، ووجدن ملاذهنّ في الإسلام</w:t>
      </w:r>
      <w:r w:rsidRPr="00617008">
        <w:rPr>
          <w:rFonts w:hint="cs"/>
          <w:rtl/>
        </w:rPr>
        <w:t>»</w:t>
      </w:r>
      <w:r w:rsidRPr="00815C4C">
        <w:rPr>
          <w:rFonts w:cs="Taher"/>
          <w:vertAlign w:val="superscript"/>
          <w:rtl/>
        </w:rPr>
        <w:t>(</w:t>
      </w:r>
      <w:r w:rsidRPr="00815C4C">
        <w:rPr>
          <w:rFonts w:cs="Taher"/>
          <w:vertAlign w:val="superscript"/>
          <w:rtl/>
        </w:rPr>
        <w:footnoteReference w:id="980"/>
      </w:r>
      <w:r w:rsidRPr="00815C4C">
        <w:rPr>
          <w:rFonts w:cs="Taher"/>
          <w:vertAlign w:val="superscript"/>
          <w:rtl/>
        </w:rPr>
        <w:t>)</w:t>
      </w:r>
      <w:r w:rsidRPr="00E14ED6">
        <w:rPr>
          <w:rFonts w:hint="cs"/>
          <w:rtl/>
        </w:rPr>
        <w:t>.</w:t>
      </w:r>
    </w:p>
    <w:p w:rsidR="006E0FDB" w:rsidRPr="0017088F" w:rsidRDefault="006E0FDB" w:rsidP="00A731E2">
      <w:pPr>
        <w:pStyle w:val="ac"/>
        <w:spacing w:line="206" w:lineRule="auto"/>
        <w:rPr>
          <w:rFonts w:cs="DanaFajr"/>
          <w:szCs w:val="33"/>
          <w:rtl/>
        </w:rPr>
      </w:pPr>
      <w:r w:rsidRPr="00617008">
        <w:rPr>
          <w:rFonts w:hint="cs"/>
          <w:rtl/>
        </w:rPr>
        <w:t>«</w:t>
      </w:r>
      <w:r w:rsidRPr="00E75F8E">
        <w:rPr>
          <w:rFonts w:hint="cs"/>
          <w:rtl/>
        </w:rPr>
        <w:t>في الإسلام يجب على المرأة أن تكون محجّبة، ولكن ليس بالضرورة أن يكون الشادور</w:t>
      </w:r>
      <w:r w:rsidRPr="00815C4C">
        <w:rPr>
          <w:rFonts w:cs="Taher"/>
          <w:vertAlign w:val="superscript"/>
          <w:rtl/>
        </w:rPr>
        <w:t>(</w:t>
      </w:r>
      <w:r w:rsidRPr="00815C4C">
        <w:rPr>
          <w:rFonts w:cs="Taher"/>
          <w:vertAlign w:val="superscript"/>
          <w:rtl/>
        </w:rPr>
        <w:footnoteReference w:id="981"/>
      </w:r>
      <w:r w:rsidRPr="00815C4C">
        <w:rPr>
          <w:rFonts w:cs="Taher"/>
          <w:vertAlign w:val="superscript"/>
          <w:rtl/>
        </w:rPr>
        <w:t>)</w:t>
      </w:r>
      <w:r w:rsidRPr="00E75F8E">
        <w:rPr>
          <w:rFonts w:hint="cs"/>
          <w:rtl/>
        </w:rPr>
        <w:t>، بل تستطيع المرأة أن تختار أيّ لباس يحقق لها حجابها</w:t>
      </w:r>
      <w:r w:rsidRPr="00617008">
        <w:rPr>
          <w:rFonts w:hint="cs"/>
          <w:rtl/>
        </w:rPr>
        <w:t>»</w:t>
      </w:r>
      <w:r w:rsidRPr="00815C4C">
        <w:rPr>
          <w:rFonts w:cs="Taher"/>
          <w:vertAlign w:val="superscript"/>
          <w:rtl/>
        </w:rPr>
        <w:t>(</w:t>
      </w:r>
      <w:r w:rsidRPr="00815C4C">
        <w:rPr>
          <w:rFonts w:cs="Taher"/>
          <w:vertAlign w:val="superscript"/>
          <w:rtl/>
        </w:rPr>
        <w:footnoteReference w:id="982"/>
      </w:r>
      <w:r w:rsidRPr="00815C4C">
        <w:rPr>
          <w:rFonts w:cs="Taher"/>
          <w:vertAlign w:val="superscript"/>
          <w:rtl/>
        </w:rPr>
        <w:t>)</w:t>
      </w:r>
      <w:r w:rsidRPr="00E75F8E">
        <w:rPr>
          <w:rFonts w:hint="cs"/>
          <w:rtl/>
        </w:rPr>
        <w:t>.</w:t>
      </w:r>
    </w:p>
    <w:p w:rsidR="006E0FDB" w:rsidRDefault="006E0FDB" w:rsidP="00A731E2">
      <w:pPr>
        <w:pStyle w:val="ac"/>
        <w:spacing w:line="206" w:lineRule="auto"/>
        <w:rPr>
          <w:rtl/>
        </w:rPr>
      </w:pPr>
      <w:r w:rsidRPr="00617008">
        <w:rPr>
          <w:rFonts w:hint="cs"/>
          <w:rtl/>
        </w:rPr>
        <w:t>«</w:t>
      </w:r>
      <w:r w:rsidRPr="00E75F8E">
        <w:rPr>
          <w:rFonts w:hint="cs"/>
          <w:rtl/>
        </w:rPr>
        <w:t>لا ينبغي للمرأة أن تأتي وتعمل في الدوائر والمؤسسات الإسلامية متبرجةً، لتذهب المرأة وتعمل، لكن مرتديةً الحجاب، فلا مانع من عملها في الدوائر الحكومية، لكن مع مراعاة الحجاب الشرعي، والحفاظ على الشؤون الشرعية</w:t>
      </w:r>
      <w:r w:rsidRPr="00617008">
        <w:rPr>
          <w:rFonts w:hint="cs"/>
          <w:rtl/>
        </w:rPr>
        <w:t>»</w:t>
      </w:r>
      <w:r w:rsidRPr="00815C4C">
        <w:rPr>
          <w:rFonts w:cs="Taher"/>
          <w:vertAlign w:val="superscript"/>
          <w:rtl/>
        </w:rPr>
        <w:t>(</w:t>
      </w:r>
      <w:r w:rsidRPr="00815C4C">
        <w:rPr>
          <w:rFonts w:cs="Taher"/>
          <w:vertAlign w:val="superscript"/>
          <w:rtl/>
        </w:rPr>
        <w:footnoteReference w:id="983"/>
      </w:r>
      <w:r w:rsidRPr="00815C4C">
        <w:rPr>
          <w:rFonts w:cs="Taher"/>
          <w:vertAlign w:val="superscript"/>
          <w:rtl/>
        </w:rPr>
        <w:t>)</w:t>
      </w:r>
      <w:r w:rsidRPr="00E75F8E">
        <w:rPr>
          <w:rFonts w:hint="cs"/>
          <w:rtl/>
        </w:rPr>
        <w:t>.</w:t>
      </w:r>
    </w:p>
    <w:p w:rsidR="006E0FDB" w:rsidRPr="00A731E2" w:rsidRDefault="006E0FDB" w:rsidP="00A731E2">
      <w:pPr>
        <w:pStyle w:val="afffffc"/>
        <w:rPr>
          <w:rFonts w:ascii="Mosawi" w:hAnsi="Mosawi"/>
        </w:rPr>
      </w:pPr>
    </w:p>
    <w:p w:rsidR="006E0FDB" w:rsidRPr="0017088F" w:rsidRDefault="006E0FDB" w:rsidP="006E0FDB">
      <w:pPr>
        <w:pStyle w:val="1"/>
        <w:rPr>
          <w:rtl/>
        </w:rPr>
      </w:pPr>
      <w:bookmarkStart w:id="605" w:name="_Toc169521492"/>
      <w:bookmarkStart w:id="606" w:name="_Toc275128263"/>
      <w:r w:rsidRPr="0017088F">
        <w:rPr>
          <w:rFonts w:hint="cs"/>
          <w:rtl/>
        </w:rPr>
        <w:t>ردّ الإمام الخميني على نظرات البعض</w:t>
      </w:r>
      <w:bookmarkEnd w:id="605"/>
      <w:bookmarkEnd w:id="606"/>
    </w:p>
    <w:p w:rsidR="006E0FDB" w:rsidRPr="00E14ED6" w:rsidRDefault="006E0FDB" w:rsidP="00E33C4C">
      <w:pPr>
        <w:pStyle w:val="ac"/>
        <w:spacing w:line="440" w:lineRule="exact"/>
        <w:rPr>
          <w:rtl/>
        </w:rPr>
      </w:pPr>
      <w:r w:rsidRPr="00E14ED6">
        <w:rPr>
          <w:rFonts w:hint="cs"/>
          <w:rtl/>
        </w:rPr>
        <w:t>أحد الأسئلة التي طُرحت على الإمام الخميني سعى فيه ـ صاحب السؤال ـ إلى شرح دور الحجاب في انزواء المرأة وابتعادها عن المجتمع، والسؤال هو:</w:t>
      </w:r>
    </w:p>
    <w:p w:rsidR="006E0FDB" w:rsidRPr="00E14ED6" w:rsidRDefault="006E0FDB" w:rsidP="006E0FDB">
      <w:pPr>
        <w:pStyle w:val="ac"/>
        <w:rPr>
          <w:rtl/>
        </w:rPr>
      </w:pPr>
      <w:r w:rsidRPr="00E14ED6">
        <w:rPr>
          <w:rFonts w:hint="cs"/>
          <w:rtl/>
        </w:rPr>
        <w:lastRenderedPageBreak/>
        <w:t>هل من الصحيح أن تخفي النساء أنفسهن وراء الشادور؟ هذه النسوة اللائي شاركن في الثورة، قتلن وسجنّ، وناضلن، وهذا الشادور الذي هو تقليد من بقايا الماضي وقد تغيّرت الدنيا الآن وتطوّرت، فهل صحيح إخفاؤهنّ أنفسهن وراءه؟؟</w:t>
      </w:r>
    </w:p>
    <w:p w:rsidR="006E0FDB" w:rsidRPr="00E14ED6" w:rsidRDefault="006E0FDB" w:rsidP="00E33C4C">
      <w:pPr>
        <w:pStyle w:val="ac"/>
        <w:rPr>
          <w:rtl/>
        </w:rPr>
      </w:pPr>
      <w:r w:rsidRPr="00E14ED6">
        <w:rPr>
          <w:rFonts w:hint="cs"/>
          <w:rtl/>
        </w:rPr>
        <w:t xml:space="preserve">أجاب الإمام الخميني قائلاً: </w:t>
      </w:r>
      <w:r w:rsidRPr="00617008">
        <w:rPr>
          <w:rFonts w:hint="cs"/>
          <w:rtl/>
        </w:rPr>
        <w:t>«</w:t>
      </w:r>
      <w:r w:rsidRPr="00E14ED6">
        <w:rPr>
          <w:rFonts w:hint="cs"/>
          <w:rtl/>
        </w:rPr>
        <w:t>أولاً: إنّ هذا الاختيار لم يفرض على النساء، وإنّما هنَّ اللاتي اخترنه، فبأيّ حق تسـلبين الاختيار من أيديهن؟</w:t>
      </w:r>
    </w:p>
    <w:p w:rsidR="006E0FDB" w:rsidRPr="00E14ED6" w:rsidRDefault="006E0FDB" w:rsidP="006E0FDB">
      <w:pPr>
        <w:pStyle w:val="ac"/>
        <w:rPr>
          <w:rtl/>
        </w:rPr>
      </w:pPr>
      <w:r w:rsidRPr="00E14ED6">
        <w:rPr>
          <w:rFonts w:hint="cs"/>
          <w:rtl/>
        </w:rPr>
        <w:t>نحن لو طلبنا من النساء اللواتي يفضلن الشادور أو اللباس الإسلامي، الخروج إلى الشارع. فمن مجموع خمسة وثلاثين مليوناً [عدد نفوس إيران آنذاك] سوف يخرج ثلاثة وثلاثين مليوناً، فبأي حقّ تسلبين حق الاختيار من هؤلاء؟ وأي استبداد هذا الذي تحملينه تجاه النساء.</w:t>
      </w:r>
    </w:p>
    <w:p w:rsidR="006E0FDB" w:rsidRPr="00E14ED6" w:rsidRDefault="006E0FDB" w:rsidP="006E0FDB">
      <w:pPr>
        <w:pStyle w:val="ac"/>
        <w:rPr>
          <w:rtl/>
        </w:rPr>
      </w:pPr>
      <w:r w:rsidRPr="00E14ED6">
        <w:rPr>
          <w:rFonts w:hint="cs"/>
          <w:rtl/>
        </w:rPr>
        <w:t>وثانياً: نحن لا ندعو إلى لباس خاص، وليست هناك مشكلة بالنسبة للنساء اللواتي في سنِّك</w:t>
      </w:r>
      <w:r w:rsidRPr="00815C4C">
        <w:rPr>
          <w:rFonts w:cs="Taher"/>
          <w:vertAlign w:val="superscript"/>
          <w:rtl/>
        </w:rPr>
        <w:t>(</w:t>
      </w:r>
      <w:r w:rsidRPr="00815C4C">
        <w:rPr>
          <w:rFonts w:cs="Taher"/>
          <w:vertAlign w:val="superscript"/>
          <w:rtl/>
        </w:rPr>
        <w:footnoteReference w:id="984"/>
      </w:r>
      <w:r w:rsidRPr="00815C4C">
        <w:rPr>
          <w:rFonts w:cs="Taher"/>
          <w:vertAlign w:val="superscript"/>
          <w:rtl/>
        </w:rPr>
        <w:t>)</w:t>
      </w:r>
      <w:r w:rsidRPr="00E14ED6">
        <w:rPr>
          <w:rFonts w:hint="cs"/>
          <w:rtl/>
        </w:rPr>
        <w:t>، نحن نريد أن نقف بوجه الفتيات اللاتي يتجمّلن [يتبرجن ويتزينَّ] ويخرجن من بيوتهن ليتبعهن فوج من الشباب التافه، إنّنا نقف أمام مثل هذه الحالات، فلا تقلقي</w:t>
      </w:r>
      <w:r w:rsidRPr="00617008">
        <w:rPr>
          <w:rFonts w:hint="cs"/>
          <w:rtl/>
        </w:rPr>
        <w:t>»</w:t>
      </w:r>
      <w:r w:rsidRPr="00815C4C">
        <w:rPr>
          <w:rFonts w:cs="Taher"/>
          <w:vertAlign w:val="superscript"/>
          <w:rtl/>
        </w:rPr>
        <w:t>(</w:t>
      </w:r>
      <w:r w:rsidRPr="00815C4C">
        <w:rPr>
          <w:rFonts w:cs="Taher"/>
          <w:vertAlign w:val="superscript"/>
          <w:rtl/>
        </w:rPr>
        <w:footnoteReference w:id="985"/>
      </w:r>
      <w:r w:rsidRPr="00815C4C">
        <w:rPr>
          <w:rFonts w:cs="Taher"/>
          <w:vertAlign w:val="superscript"/>
          <w:rtl/>
        </w:rPr>
        <w:t>)</w:t>
      </w:r>
      <w:r w:rsidRPr="00E14ED6">
        <w:rPr>
          <w:rFonts w:hint="cs"/>
          <w:rtl/>
        </w:rPr>
        <w:t>.</w:t>
      </w:r>
    </w:p>
    <w:p w:rsidR="006E0FDB" w:rsidRDefault="006E0FDB" w:rsidP="00E33C4C">
      <w:pPr>
        <w:pStyle w:val="ac"/>
        <w:rPr>
          <w:rtl/>
        </w:rPr>
      </w:pPr>
      <w:r w:rsidRPr="00E14ED6">
        <w:rPr>
          <w:rFonts w:hint="cs"/>
          <w:rtl/>
        </w:rPr>
        <w:t xml:space="preserve">يقول: </w:t>
      </w:r>
      <w:r w:rsidRPr="00617008">
        <w:rPr>
          <w:rFonts w:hint="cs"/>
          <w:rtl/>
        </w:rPr>
        <w:t>«</w:t>
      </w:r>
      <w:r w:rsidRPr="00E14ED6">
        <w:rPr>
          <w:rFonts w:hint="cs"/>
          <w:rtl/>
        </w:rPr>
        <w:t>بالطبع يجب أن تدركن أنّ الحجاب الذي شرّعه الإسلام هو من أجل الحفاظ على مكانتكنّ، إنّ كلّ ما أمر به الله سبحانه سواء بالنسبة للمرأة أو الرجل، هو من أجل الإبقاء على هذه المنـزلة حيّة، فهذه المكانة الرفيعة التي يتمتع بها كلّ من الرجل والمرأة في ظل الإسلام من الممكن أن تسحق وتضمحل بوحي من الوساوس الشيطانية أو الأيادي الاستعمارية الفاسدة وعملاء الاستكبار</w:t>
      </w:r>
      <w:r w:rsidRPr="00617008">
        <w:rPr>
          <w:rFonts w:hint="cs"/>
          <w:rtl/>
        </w:rPr>
        <w:t>»</w:t>
      </w:r>
      <w:r w:rsidRPr="00815C4C">
        <w:rPr>
          <w:rFonts w:cs="Taher"/>
          <w:vertAlign w:val="superscript"/>
          <w:rtl/>
        </w:rPr>
        <w:t>(</w:t>
      </w:r>
      <w:r w:rsidRPr="00815C4C">
        <w:rPr>
          <w:rFonts w:cs="Taher"/>
          <w:vertAlign w:val="superscript"/>
          <w:rtl/>
        </w:rPr>
        <w:footnoteReference w:id="986"/>
      </w:r>
      <w:r w:rsidRPr="00815C4C">
        <w:rPr>
          <w:rFonts w:cs="Taher"/>
          <w:vertAlign w:val="superscript"/>
          <w:rtl/>
        </w:rPr>
        <w:t>)</w:t>
      </w:r>
      <w:r w:rsidRPr="00E14ED6">
        <w:rPr>
          <w:rFonts w:hint="cs"/>
          <w:rtl/>
        </w:rPr>
        <w:t>.</w:t>
      </w:r>
    </w:p>
    <w:p w:rsidR="006E0FDB" w:rsidRPr="00A731E2" w:rsidRDefault="006E0FDB" w:rsidP="006E0FDB">
      <w:pPr>
        <w:pStyle w:val="ac"/>
        <w:rPr>
          <w:rFonts w:ascii="Mosawi" w:hAnsi="Mosawi"/>
          <w:sz w:val="22"/>
          <w:szCs w:val="22"/>
        </w:rPr>
      </w:pPr>
    </w:p>
    <w:p w:rsidR="006E0FDB" w:rsidRPr="0017088F" w:rsidRDefault="006E0FDB" w:rsidP="00E33C4C">
      <w:pPr>
        <w:pStyle w:val="1"/>
        <w:rPr>
          <w:rtl/>
        </w:rPr>
      </w:pPr>
      <w:bookmarkStart w:id="607" w:name="_Toc169521493"/>
      <w:bookmarkStart w:id="608" w:name="_Toc275128264"/>
      <w:r w:rsidRPr="0017088F">
        <w:rPr>
          <w:rFonts w:hint="cs"/>
          <w:rtl/>
        </w:rPr>
        <w:t>رؤية الإمام الخميني  لحرية المرأة</w:t>
      </w:r>
      <w:bookmarkEnd w:id="607"/>
      <w:bookmarkEnd w:id="608"/>
    </w:p>
    <w:p w:rsidR="006E0FDB" w:rsidRPr="00E14ED6" w:rsidRDefault="006E0FDB" w:rsidP="006E0FDB">
      <w:pPr>
        <w:pStyle w:val="ac"/>
        <w:rPr>
          <w:rtl/>
        </w:rPr>
      </w:pPr>
      <w:r w:rsidRPr="00E14ED6">
        <w:rPr>
          <w:rFonts w:hint="cs"/>
          <w:rtl/>
        </w:rPr>
        <w:t>يمكن التعرف على هذه القضية من خلال توجيهات الإمام الخميني كما يلي:</w:t>
      </w:r>
    </w:p>
    <w:p w:rsidR="006E0FDB" w:rsidRPr="00E14ED6" w:rsidRDefault="006E0FDB" w:rsidP="00A731E2">
      <w:pPr>
        <w:pStyle w:val="ac"/>
        <w:spacing w:line="211" w:lineRule="auto"/>
        <w:rPr>
          <w:rtl/>
        </w:rPr>
      </w:pPr>
      <w:r w:rsidRPr="00617008">
        <w:rPr>
          <w:rFonts w:hint="cs"/>
          <w:rtl/>
        </w:rPr>
        <w:lastRenderedPageBreak/>
        <w:t>«</w:t>
      </w:r>
      <w:r w:rsidRPr="00E75F8E">
        <w:rPr>
          <w:rFonts w:hint="cs"/>
          <w:rtl/>
        </w:rPr>
        <w:t>لدينا نوعان من الحريّة، النوع المفيد منها لم يكن متوفراً في عهد هذين المجرمين</w:t>
      </w:r>
      <w:r w:rsidRPr="00815C4C">
        <w:rPr>
          <w:rFonts w:cs="Taher"/>
          <w:vertAlign w:val="superscript"/>
          <w:rtl/>
        </w:rPr>
        <w:t>(</w:t>
      </w:r>
      <w:r w:rsidRPr="00815C4C">
        <w:rPr>
          <w:rFonts w:cs="Taher"/>
          <w:vertAlign w:val="superscript"/>
          <w:rtl/>
        </w:rPr>
        <w:footnoteReference w:id="987"/>
      </w:r>
      <w:r w:rsidRPr="00815C4C">
        <w:rPr>
          <w:rFonts w:cs="Taher"/>
          <w:vertAlign w:val="superscript"/>
          <w:rtl/>
        </w:rPr>
        <w:t>)</w:t>
      </w:r>
      <w:r w:rsidRPr="00E75F8E">
        <w:rPr>
          <w:rFonts w:hint="cs"/>
          <w:rtl/>
        </w:rPr>
        <w:t>، كان هذا النوع من الحرية ممنوعاً تماماً في عهدهما. أما الحرية التي كان يدعو إليها هؤلاء فهي التي تسمح للنساء بالتبرّج والتعرِّي بما يحلو لهنّ، والنـزول إلى الشارع وارتكاب كل خطيئة، كانوا قد سمّوا ذلك حريةً، والآن تتحرَّق قلوب الذين يطالبون بإلغاء الحكم الإسلامي لهذه الحرية</w:t>
      </w:r>
      <w:r w:rsidRPr="00617008">
        <w:rPr>
          <w:rFonts w:hint="cs"/>
          <w:rtl/>
        </w:rPr>
        <w:t>»</w:t>
      </w:r>
      <w:r w:rsidRPr="00815C4C">
        <w:rPr>
          <w:rFonts w:cs="Taher"/>
          <w:vertAlign w:val="superscript"/>
          <w:rtl/>
        </w:rPr>
        <w:t>(</w:t>
      </w:r>
      <w:r w:rsidRPr="00815C4C">
        <w:rPr>
          <w:rFonts w:cs="Taher"/>
          <w:vertAlign w:val="superscript"/>
          <w:rtl/>
        </w:rPr>
        <w:footnoteReference w:id="988"/>
      </w:r>
      <w:r w:rsidRPr="00815C4C">
        <w:rPr>
          <w:rFonts w:cs="Taher"/>
          <w:vertAlign w:val="superscript"/>
          <w:rtl/>
        </w:rPr>
        <w:t>)</w:t>
      </w:r>
      <w:r w:rsidRPr="00E75F8E">
        <w:rPr>
          <w:rFonts w:hint="cs"/>
          <w:rtl/>
        </w:rPr>
        <w:t>.</w:t>
      </w:r>
    </w:p>
    <w:p w:rsidR="006E0FDB" w:rsidRPr="00E14ED6" w:rsidRDefault="006E0FDB" w:rsidP="00A731E2">
      <w:pPr>
        <w:pStyle w:val="ac"/>
        <w:spacing w:line="211" w:lineRule="auto"/>
        <w:rPr>
          <w:rtl/>
        </w:rPr>
      </w:pPr>
      <w:r w:rsidRPr="00617008">
        <w:rPr>
          <w:rFonts w:hint="cs"/>
          <w:rtl/>
        </w:rPr>
        <w:t>«</w:t>
      </w:r>
      <w:r w:rsidRPr="00E75F8E">
        <w:rPr>
          <w:rFonts w:hint="cs"/>
          <w:rtl/>
        </w:rPr>
        <w:t xml:space="preserve">كان هؤلاء قد أبقوا على نوع واحدٍ من الحرية، وكانوا يرفعون عقيرتهم بـ </w:t>
      </w:r>
      <w:r w:rsidRPr="00617008">
        <w:rPr>
          <w:rFonts w:hint="cs"/>
          <w:rtl/>
        </w:rPr>
        <w:t>«</w:t>
      </w:r>
      <w:r w:rsidRPr="00E75F8E">
        <w:rPr>
          <w:rFonts w:hint="cs"/>
          <w:rtl/>
        </w:rPr>
        <w:t>تحرير النساء وتحرير الرجال</w:t>
      </w:r>
      <w:r w:rsidRPr="00617008">
        <w:rPr>
          <w:rFonts w:hint="cs"/>
          <w:rtl/>
        </w:rPr>
        <w:t>»</w:t>
      </w:r>
      <w:r w:rsidRPr="00E75F8E">
        <w:rPr>
          <w:rFonts w:hint="cs"/>
          <w:rtl/>
        </w:rPr>
        <w:t>، وكانوا يقصدون بذلك أن يكونوا أحراراً في فعل ما يحلو لهم، يذهبون إلى مراكز الفحشاء متى ما يريدون، وكان الاضطهـاد والاختناق في الجانب الآخر، إذ لا يحقّ للأقلام أن تكتب كلمةً واحدة عن مصالح البلاد أو الإسلام، لأن ذلك لم يكن مسموحاً به، وكان ثمة اختناق رهيب</w:t>
      </w:r>
      <w:r w:rsidRPr="00617008">
        <w:rPr>
          <w:rFonts w:hint="cs"/>
          <w:rtl/>
        </w:rPr>
        <w:t>»</w:t>
      </w:r>
      <w:r w:rsidRPr="00815C4C">
        <w:rPr>
          <w:rFonts w:cs="Taher"/>
          <w:vertAlign w:val="superscript"/>
          <w:rtl/>
        </w:rPr>
        <w:t>(</w:t>
      </w:r>
      <w:r w:rsidRPr="00815C4C">
        <w:rPr>
          <w:rFonts w:cs="Taher"/>
          <w:vertAlign w:val="superscript"/>
          <w:rtl/>
        </w:rPr>
        <w:footnoteReference w:id="989"/>
      </w:r>
      <w:r w:rsidRPr="00815C4C">
        <w:rPr>
          <w:rFonts w:cs="Taher"/>
          <w:vertAlign w:val="superscript"/>
          <w:rtl/>
        </w:rPr>
        <w:t>)</w:t>
      </w:r>
      <w:r w:rsidRPr="00E75F8E">
        <w:rPr>
          <w:rFonts w:hint="cs"/>
          <w:rtl/>
        </w:rPr>
        <w:t>.</w:t>
      </w:r>
    </w:p>
    <w:p w:rsidR="006E0FDB" w:rsidRPr="00E14ED6" w:rsidRDefault="006E0FDB" w:rsidP="00A731E2">
      <w:pPr>
        <w:pStyle w:val="ac"/>
        <w:spacing w:line="211" w:lineRule="auto"/>
        <w:rPr>
          <w:rtl/>
        </w:rPr>
      </w:pPr>
      <w:r w:rsidRPr="00617008">
        <w:rPr>
          <w:rFonts w:hint="cs"/>
          <w:rtl/>
        </w:rPr>
        <w:t>«</w:t>
      </w:r>
      <w:r w:rsidRPr="00E75F8E">
        <w:rPr>
          <w:rFonts w:hint="cs"/>
          <w:rtl/>
        </w:rPr>
        <w:t>لقد أساءوا إلى الطاقات الإنسانية لهذه البلاد بنحوٍ لم تلحق مثل هذه الأساءة بثرواتنا الأخرى؛ لأنّهم شلَّوا القدرات، وساقوا الشباب الذين كان ينبغي لهم أن يجندوا أنفسهم لخدمة هذا البلد، إلى أماكن لم يجنوا منها غير تعطيل أفكارهم، وعجزهم عن تقديم أية خدمة لهذه البلاد.</w:t>
      </w:r>
    </w:p>
    <w:p w:rsidR="006E0FDB" w:rsidRPr="00E14ED6" w:rsidRDefault="006E0FDB" w:rsidP="00A731E2">
      <w:pPr>
        <w:pStyle w:val="ac"/>
        <w:spacing w:line="211" w:lineRule="auto"/>
        <w:rPr>
          <w:rtl/>
        </w:rPr>
      </w:pPr>
      <w:r w:rsidRPr="00E14ED6">
        <w:rPr>
          <w:rFonts w:hint="cs"/>
          <w:rtl/>
        </w:rPr>
        <w:t>لقد فتح هؤلاء أبواب مراكز الفحشاء والمنكر على مصراعيها، وروّجوا لهما، وفسحوا لهما كل السبل وعبَّدوا الطرق لكي يتجه شبابنا إلى مراكز الفحشاء وبالتالي تعطيل طاقاتهم، لقد سلبوا الحيوية من شبابنا وعطّلوا قدراتهم.</w:t>
      </w:r>
    </w:p>
    <w:p w:rsidR="006E0FDB" w:rsidRDefault="006E0FDB" w:rsidP="00A731E2">
      <w:pPr>
        <w:pStyle w:val="ac"/>
        <w:spacing w:line="211" w:lineRule="auto"/>
        <w:rPr>
          <w:rtl/>
        </w:rPr>
      </w:pPr>
      <w:r w:rsidRPr="00E14ED6">
        <w:rPr>
          <w:rFonts w:hint="cs"/>
          <w:rtl/>
        </w:rPr>
        <w:t xml:space="preserve">إنّ ما يثير الأسى والحزن لدى الغيورين من أبناء هذا البلد، هو أن يروا الأخوات المحترمات قد انخدعن بأباطيل هؤلاء، وبإعلامهم مما أدى الى ابتعادهنّ عن مسؤولياتهن الإنسانية، فأضحين ألعوبةً بأيدي المجرمين. إنّه ليثير الأسى والحزن حقاً </w:t>
      </w:r>
      <w:r w:rsidRPr="00E14ED6">
        <w:rPr>
          <w:rFonts w:hint="cs"/>
          <w:rtl/>
        </w:rPr>
        <w:lastRenderedPageBreak/>
        <w:t>أن يمارَس كلّ هذا ـ بحق النساء المحترمات ـ باسم الحرية</w:t>
      </w:r>
      <w:r w:rsidRPr="00617008">
        <w:rPr>
          <w:rFonts w:hint="cs"/>
          <w:rtl/>
        </w:rPr>
        <w:t>»</w:t>
      </w:r>
      <w:r w:rsidRPr="00815C4C">
        <w:rPr>
          <w:rFonts w:cs="Taher"/>
          <w:vertAlign w:val="superscript"/>
          <w:rtl/>
        </w:rPr>
        <w:t>(</w:t>
      </w:r>
      <w:r w:rsidRPr="00815C4C">
        <w:rPr>
          <w:rFonts w:cs="Taher"/>
          <w:vertAlign w:val="superscript"/>
          <w:rtl/>
        </w:rPr>
        <w:footnoteReference w:id="990"/>
      </w:r>
      <w:r w:rsidRPr="00815C4C">
        <w:rPr>
          <w:rFonts w:cs="Taher"/>
          <w:vertAlign w:val="superscript"/>
          <w:rtl/>
        </w:rPr>
        <w:t>)</w:t>
      </w:r>
      <w:r w:rsidRPr="00E14ED6">
        <w:rPr>
          <w:rFonts w:hint="cs"/>
          <w:rtl/>
        </w:rPr>
        <w:t>.</w:t>
      </w:r>
    </w:p>
    <w:p w:rsidR="006E0FDB" w:rsidRPr="00A731E2" w:rsidRDefault="006E0FDB" w:rsidP="00A731E2">
      <w:pPr>
        <w:pStyle w:val="afffffc"/>
        <w:rPr>
          <w:rFonts w:ascii="Mosawi" w:hAnsi="Mosawi"/>
        </w:rPr>
      </w:pPr>
    </w:p>
    <w:p w:rsidR="006E0FDB" w:rsidRPr="0017088F" w:rsidRDefault="006E0FDB" w:rsidP="006E0FDB">
      <w:pPr>
        <w:pStyle w:val="1"/>
        <w:rPr>
          <w:rtl/>
        </w:rPr>
      </w:pPr>
      <w:bookmarkStart w:id="609" w:name="_Toc169521494"/>
      <w:bookmarkStart w:id="610" w:name="_Toc275128265"/>
      <w:r w:rsidRPr="0017088F">
        <w:rPr>
          <w:rFonts w:hint="cs"/>
          <w:rtl/>
        </w:rPr>
        <w:t>خاتمة</w:t>
      </w:r>
      <w:bookmarkEnd w:id="609"/>
      <w:bookmarkEnd w:id="610"/>
    </w:p>
    <w:p w:rsidR="006E0FDB" w:rsidRPr="00E14ED6" w:rsidRDefault="006E0FDB" w:rsidP="006E0FDB">
      <w:pPr>
        <w:pStyle w:val="ac"/>
        <w:rPr>
          <w:rtl/>
        </w:rPr>
      </w:pPr>
      <w:r w:rsidRPr="00E14ED6">
        <w:rPr>
          <w:rFonts w:hint="cs"/>
          <w:rtl/>
        </w:rPr>
        <w:t>لا يوجد أيّ تفاوت بين الرجل والمرأة ـ بنظر الإسلام ـ في الحقيقة الإنسانية والسير التكاملي، وعلى هذا الأسـاس فإن كلاً منهما يسير ويتقدّم جنباً إلى جنب في الساحات الأساسية ومن جملتها:</w:t>
      </w:r>
    </w:p>
    <w:p w:rsidR="006E0FDB" w:rsidRPr="00E14ED6" w:rsidRDefault="006E0FDB" w:rsidP="006E0FDB">
      <w:pPr>
        <w:pStyle w:val="ac"/>
        <w:rPr>
          <w:rtl/>
        </w:rPr>
      </w:pPr>
      <w:r w:rsidRPr="00E14ED6">
        <w:rPr>
          <w:rFonts w:hint="cs"/>
          <w:rtl/>
        </w:rPr>
        <w:t>1 ـ في ميدان الكمال والحركة العلمية التكاملية.</w:t>
      </w:r>
    </w:p>
    <w:p w:rsidR="006E0FDB" w:rsidRPr="00E14ED6" w:rsidRDefault="006E0FDB" w:rsidP="006E0FDB">
      <w:pPr>
        <w:pStyle w:val="ac"/>
        <w:rPr>
          <w:rtl/>
        </w:rPr>
      </w:pPr>
      <w:r w:rsidRPr="00E14ED6">
        <w:rPr>
          <w:rFonts w:hint="cs"/>
          <w:rtl/>
        </w:rPr>
        <w:t>2 ـ على مستوى الثواب والعقاب والأجر الإلهي.</w:t>
      </w:r>
    </w:p>
    <w:p w:rsidR="006E0FDB" w:rsidRPr="00E14ED6" w:rsidRDefault="006E0FDB" w:rsidP="006E0FDB">
      <w:pPr>
        <w:pStyle w:val="ac"/>
        <w:rPr>
          <w:rtl/>
        </w:rPr>
      </w:pPr>
      <w:r w:rsidRPr="00E14ED6">
        <w:rPr>
          <w:rFonts w:hint="cs"/>
          <w:rtl/>
        </w:rPr>
        <w:t>3 ـ في دخول الجنة والحصول على الدرجات الأخروية.</w:t>
      </w:r>
    </w:p>
    <w:p w:rsidR="006E0FDB" w:rsidRPr="00E14ED6" w:rsidRDefault="006E0FDB" w:rsidP="006E0FDB">
      <w:pPr>
        <w:pStyle w:val="ac"/>
        <w:rPr>
          <w:rtl/>
        </w:rPr>
      </w:pPr>
      <w:r w:rsidRPr="00E14ED6">
        <w:rPr>
          <w:rFonts w:hint="cs"/>
          <w:rtl/>
        </w:rPr>
        <w:t>4 ـ في ساحة التقرّب من الخالق والحصول على المقامات المعنوية.</w:t>
      </w:r>
    </w:p>
    <w:p w:rsidR="00A731E2" w:rsidRDefault="006E0FDB" w:rsidP="006E0FDB">
      <w:pPr>
        <w:pStyle w:val="ac"/>
      </w:pPr>
      <w:r w:rsidRPr="00E14ED6">
        <w:rPr>
          <w:rFonts w:hint="cs"/>
          <w:rtl/>
        </w:rPr>
        <w:t>لاشكّ أنّ الرجل والمرأة متساويان في هذه المجالات والميادين المشار إليها أعلاه من وجهة نظر الإسلام، إلاّ في بعض الساحات الفرعية فيوجد بعض التفاوت والاختلاف على أساس العدالة الاجتماعية، وبالالتفات إلى خصوصيات كلّ منهما في النظام الأحسن، ومن حيث الأحكام الإسلامية، بحيث إنّ لديهما ـ على أساس فلسفة الخلقة ـ تجانساً وتناسقاً تامين.</w:t>
      </w:r>
    </w:p>
    <w:p w:rsidR="00A731E2" w:rsidRDefault="00A731E2" w:rsidP="006E0FDB">
      <w:pPr>
        <w:pStyle w:val="ac"/>
        <w:rPr>
          <w:rtl/>
        </w:rPr>
        <w:sectPr w:rsidR="00A731E2" w:rsidSect="006628C6">
          <w:headerReference w:type="even" r:id="rId107"/>
          <w:headerReference w:type="default" r:id="rId108"/>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6E0FDB" w:rsidRDefault="006E0FDB" w:rsidP="006E0FDB">
      <w:pPr>
        <w:pStyle w:val="ac"/>
        <w:rPr>
          <w:rtl/>
        </w:rPr>
      </w:pPr>
    </w:p>
    <w:p w:rsidR="00853A10" w:rsidRDefault="00853A10" w:rsidP="006E0FDB">
      <w:pPr>
        <w:pStyle w:val="ac"/>
        <w:rPr>
          <w:rtl/>
        </w:rPr>
      </w:pPr>
    </w:p>
    <w:p w:rsidR="00853A10" w:rsidRPr="00A731E2" w:rsidRDefault="00853A10" w:rsidP="00A731E2">
      <w:pPr>
        <w:pStyle w:val="ac"/>
        <w:rPr>
          <w:rFonts w:ascii="Mosawi" w:hAnsi="Mosawi"/>
        </w:rPr>
      </w:pPr>
    </w:p>
    <w:p w:rsidR="00A731E2" w:rsidRPr="00A731E2" w:rsidRDefault="00A731E2" w:rsidP="00A731E2">
      <w:pPr>
        <w:pStyle w:val="ac"/>
        <w:rPr>
          <w:rFonts w:ascii="Mosawi" w:hAnsi="Mosawi"/>
        </w:rPr>
      </w:pPr>
    </w:p>
    <w:p w:rsidR="00A731E2" w:rsidRPr="00A731E2" w:rsidRDefault="00A731E2" w:rsidP="00A731E2">
      <w:pPr>
        <w:pStyle w:val="ac"/>
        <w:rPr>
          <w:rFonts w:ascii="Mosawi" w:hAnsi="Mosawi"/>
          <w:rtl/>
        </w:rPr>
      </w:pPr>
    </w:p>
    <w:p w:rsidR="00A731E2" w:rsidRDefault="00A731E2" w:rsidP="00853A10">
      <w:pPr>
        <w:pStyle w:val="aff2"/>
        <w:rPr>
          <w:rtl/>
        </w:rPr>
        <w:sectPr w:rsidR="00A731E2" w:rsidSect="006628C6">
          <w:headerReference w:type="even" r:id="rId109"/>
          <w:headerReference w:type="default" r:id="rId11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611" w:name="_Toc169521495"/>
    </w:p>
    <w:p w:rsidR="00853A10" w:rsidRDefault="00853A10" w:rsidP="00853A10">
      <w:pPr>
        <w:pStyle w:val="aff2"/>
        <w:rPr>
          <w:rStyle w:val="254225CharCharChar"/>
          <w:rFonts w:cs="Abz-3 (Yagut)"/>
          <w:szCs w:val="36"/>
          <w:rtl/>
        </w:rPr>
      </w:pPr>
      <w:bookmarkStart w:id="612" w:name="_Toc275128266"/>
      <w:r w:rsidRPr="00853A10">
        <w:rPr>
          <w:rFonts w:hint="cs"/>
          <w:rtl/>
        </w:rPr>
        <w:lastRenderedPageBreak/>
        <w:t>التنمية  الاجتماعية بين الإسلام والمنظمات الدولية</w:t>
      </w:r>
      <w:bookmarkEnd w:id="611"/>
      <w:bookmarkEnd w:id="612"/>
    </w:p>
    <w:p w:rsidR="00853A10" w:rsidRPr="00853A10" w:rsidRDefault="00853A10" w:rsidP="00853A10">
      <w:pPr>
        <w:pStyle w:val="aff2"/>
        <w:rPr>
          <w:sz w:val="22"/>
          <w:szCs w:val="40"/>
          <w:rtl/>
        </w:rPr>
      </w:pPr>
      <w:bookmarkStart w:id="613" w:name="_Toc169521496"/>
      <w:bookmarkStart w:id="614" w:name="_Toc275128267"/>
      <w:r w:rsidRPr="00853A10">
        <w:rPr>
          <w:rFonts w:hint="cs"/>
          <w:sz w:val="22"/>
          <w:szCs w:val="40"/>
          <w:rtl/>
        </w:rPr>
        <w:t>المرأة أنموذجاً</w:t>
      </w:r>
      <w:bookmarkEnd w:id="613"/>
      <w:bookmarkEnd w:id="614"/>
    </w:p>
    <w:p w:rsidR="00853A10" w:rsidRDefault="00853A10" w:rsidP="00853A10">
      <w:pPr>
        <w:pStyle w:val="af7"/>
        <w:rPr>
          <w:rFonts w:cs="Simplified Arabic"/>
          <w:position w:val="4"/>
          <w:szCs w:val="26"/>
          <w:vertAlign w:val="superscript"/>
          <w:rtl/>
        </w:rPr>
      </w:pPr>
      <w:bookmarkStart w:id="615" w:name="_Toc168326359"/>
      <w:bookmarkStart w:id="616" w:name="_Toc169521497"/>
      <w:bookmarkStart w:id="617" w:name="_Toc275128268"/>
      <w:r>
        <w:rPr>
          <w:rFonts w:hint="cs"/>
          <w:rtl/>
        </w:rPr>
        <w:t>الشيخ محمد علي التسخيري</w:t>
      </w:r>
      <w:r w:rsidRPr="00A731E2">
        <w:rPr>
          <w:rFonts w:cs="Taher"/>
          <w:position w:val="4"/>
          <w:sz w:val="30"/>
          <w:szCs w:val="30"/>
          <w:vertAlign w:val="superscript"/>
          <w:rtl/>
        </w:rPr>
        <w:footnoteReference w:customMarkFollows="1" w:id="991"/>
        <w:t>(</w:t>
      </w:r>
      <w:r w:rsidRPr="00A731E2">
        <w:rPr>
          <w:rFonts w:cs="Taher"/>
          <w:position w:val="8"/>
          <w:sz w:val="30"/>
          <w:szCs w:val="30"/>
          <w:vertAlign w:val="superscript"/>
          <w:rtl/>
        </w:rPr>
        <w:t>*</w:t>
      </w:r>
      <w:r w:rsidRPr="00A731E2">
        <w:rPr>
          <w:rFonts w:cs="Taher"/>
          <w:position w:val="4"/>
          <w:sz w:val="30"/>
          <w:szCs w:val="30"/>
          <w:vertAlign w:val="superscript"/>
          <w:rtl/>
        </w:rPr>
        <w:t>)</w:t>
      </w:r>
      <w:bookmarkEnd w:id="615"/>
      <w:bookmarkEnd w:id="616"/>
      <w:bookmarkEnd w:id="617"/>
    </w:p>
    <w:p w:rsidR="00853A10" w:rsidRPr="00A731E2" w:rsidRDefault="00853A10" w:rsidP="00A731E2">
      <w:pPr>
        <w:pStyle w:val="afffffc"/>
        <w:rPr>
          <w:sz w:val="22"/>
          <w:szCs w:val="20"/>
          <w:rtl/>
        </w:rPr>
      </w:pPr>
    </w:p>
    <w:p w:rsidR="00853A10" w:rsidRPr="00092F64" w:rsidRDefault="00853A10" w:rsidP="00853A10">
      <w:pPr>
        <w:pStyle w:val="1"/>
        <w:rPr>
          <w:rtl/>
        </w:rPr>
      </w:pPr>
      <w:bookmarkStart w:id="618" w:name="_Toc169521498"/>
      <w:bookmarkStart w:id="619" w:name="_Toc275128269"/>
      <w:r w:rsidRPr="00092F64">
        <w:rPr>
          <w:rFonts w:hint="cs"/>
          <w:rtl/>
        </w:rPr>
        <w:t>مدخل إلى تعريف التنمية الاجتماعية</w:t>
      </w:r>
      <w:bookmarkEnd w:id="618"/>
      <w:bookmarkEnd w:id="619"/>
    </w:p>
    <w:p w:rsidR="00853A10" w:rsidRPr="00707B3E" w:rsidRDefault="00853A10" w:rsidP="00853A10">
      <w:pPr>
        <w:pStyle w:val="ac"/>
        <w:rPr>
          <w:rFonts w:cs="AL-Mohanad"/>
          <w:b/>
          <w:sz w:val="26"/>
          <w:szCs w:val="27"/>
          <w:rtl/>
        </w:rPr>
      </w:pPr>
      <w:r w:rsidRPr="00853A10">
        <w:rPr>
          <w:rFonts w:hint="cs"/>
          <w:rtl/>
        </w:rPr>
        <w:t xml:space="preserve">قال تعالى: </w:t>
      </w:r>
      <w:r w:rsidRPr="00853A10">
        <w:rPr>
          <w:rFonts w:hint="cs"/>
          <w:rtl/>
        </w:rPr>
        <w:sym w:font="Islamic Units 1" w:char="F03E"/>
      </w:r>
      <w:r w:rsidRPr="00853A10">
        <w:rPr>
          <w:b/>
          <w:bCs/>
          <w:rtl/>
        </w:rPr>
        <w:t>مَنْ عَمِلَ صَالِحًا مِّن ذَكَرٍ أَوْ أُنثَى وَهُوَ مُؤْمِنٌ فَلَنُحْيِيَنَّهُ حَيَاةً طَيِّبَةً وَلَنَجْزِيَنَّهُمْ أَجْرَهُم بِأَحْسَنِ مَا كَانُواْ يَعْمَلُونَ</w:t>
      </w:r>
      <w:r w:rsidRPr="00853A10">
        <w:rPr>
          <w:rFonts w:hint="cs"/>
          <w:rtl/>
        </w:rPr>
        <w:sym w:font="Islamic Units 1" w:char="F03C"/>
      </w:r>
      <w:r w:rsidRPr="00853A10">
        <w:rPr>
          <w:rFonts w:hint="cs"/>
          <w:rtl/>
        </w:rPr>
        <w:t xml:space="preserve"> (النحل</w:t>
      </w:r>
      <w:r w:rsidRPr="00F638AF">
        <w:rPr>
          <w:rFonts w:hint="cs"/>
          <w:rtl/>
        </w:rPr>
        <w:t>: 97).</w:t>
      </w:r>
    </w:p>
    <w:p w:rsidR="00853A10" w:rsidRPr="00707B3E" w:rsidRDefault="00853A10" w:rsidP="00853A10">
      <w:pPr>
        <w:pStyle w:val="ac"/>
        <w:rPr>
          <w:rtl/>
        </w:rPr>
      </w:pPr>
      <w:r w:rsidRPr="00707B3E">
        <w:rPr>
          <w:rFonts w:hint="cs"/>
          <w:rtl/>
        </w:rPr>
        <w:t xml:space="preserve">إذا كان لنا أن نعرّف التنمية الاجتماعية بتعريف عام، أمكننا القول: إنّ المراد منها هو </w:t>
      </w:r>
      <w:r w:rsidRPr="002B759E">
        <w:rPr>
          <w:rFonts w:hint="cs"/>
          <w:rtl/>
        </w:rPr>
        <w:sym w:font="Islamic Units 1" w:char="F06D"/>
      </w:r>
      <w:r w:rsidRPr="00707B3E">
        <w:rPr>
          <w:rFonts w:hint="cs"/>
          <w:rtl/>
        </w:rPr>
        <w:t>التحرّك الاجتماعي الواعي المنظّم، والمنسق على مختلف الصُعُد، المادية والمعنوية، نحو الأفضل إنسانياً</w:t>
      </w:r>
      <w:r>
        <w:rPr>
          <w:rFonts w:hint="cs"/>
          <w:rtl/>
        </w:rPr>
        <w:sym w:font="Islamic Units 1" w:char="F06E"/>
      </w:r>
      <w:r w:rsidRPr="00707B3E">
        <w:rPr>
          <w:rFonts w:hint="cs"/>
          <w:rtl/>
        </w:rPr>
        <w:t>.</w:t>
      </w:r>
    </w:p>
    <w:p w:rsidR="00853A10" w:rsidRPr="00707B3E" w:rsidRDefault="00853A10" w:rsidP="00853A10">
      <w:pPr>
        <w:pStyle w:val="ac"/>
        <w:rPr>
          <w:rtl/>
        </w:rPr>
      </w:pPr>
      <w:r w:rsidRPr="00707B3E">
        <w:rPr>
          <w:rFonts w:hint="cs"/>
          <w:rtl/>
        </w:rPr>
        <w:t>ويستبطن هذا التعريف عناصر من قبيل:</w:t>
      </w:r>
    </w:p>
    <w:p w:rsidR="00853A10" w:rsidRPr="005179D5" w:rsidRDefault="00853A10" w:rsidP="00853A10">
      <w:pPr>
        <w:pStyle w:val="ac"/>
        <w:rPr>
          <w:rtl/>
        </w:rPr>
      </w:pPr>
      <w:r w:rsidRPr="005179D5">
        <w:rPr>
          <w:rFonts w:hint="cs"/>
          <w:rtl/>
        </w:rPr>
        <w:t xml:space="preserve">1 </w:t>
      </w:r>
      <w:r>
        <w:rPr>
          <w:rFonts w:hint="cs"/>
          <w:rtl/>
        </w:rPr>
        <w:t>ـ</w:t>
      </w:r>
      <w:r w:rsidRPr="005179D5">
        <w:rPr>
          <w:rFonts w:hint="cs"/>
          <w:rtl/>
        </w:rPr>
        <w:t xml:space="preserve"> الهدف الإنساني المتميّز عن الأهداف الحيوانية الغريزية العمياء، وإنما تكتسب الحركة هذه الهدفية إذا كانت منسجمةً مع تطلّعات الفطرة الإنسانية ومؤشراتها.</w:t>
      </w:r>
    </w:p>
    <w:p w:rsidR="00853A10" w:rsidRPr="00707B3E" w:rsidRDefault="00853A10" w:rsidP="00853A10">
      <w:pPr>
        <w:pStyle w:val="ac"/>
        <w:rPr>
          <w:rtl/>
        </w:rPr>
      </w:pPr>
      <w:r w:rsidRPr="00707B3E">
        <w:rPr>
          <w:rFonts w:hint="cs"/>
          <w:rtl/>
        </w:rPr>
        <w:t>2</w:t>
      </w:r>
      <w:r>
        <w:rPr>
          <w:rFonts w:hint="cs"/>
          <w:rtl/>
        </w:rPr>
        <w:t xml:space="preserve"> ـ </w:t>
      </w:r>
      <w:r w:rsidRPr="00707B3E">
        <w:rPr>
          <w:rFonts w:hint="cs"/>
          <w:rtl/>
        </w:rPr>
        <w:t>الحركية الإرادية نحو هذا الهدف الإنساني، وهي متميزة أيضاً عن</w:t>
      </w:r>
      <w:r>
        <w:rPr>
          <w:rFonts w:hint="cs"/>
          <w:rtl/>
        </w:rPr>
        <w:t xml:space="preserve"> </w:t>
      </w:r>
      <w:r w:rsidRPr="00707B3E">
        <w:rPr>
          <w:rFonts w:hint="cs"/>
          <w:rtl/>
        </w:rPr>
        <w:t>الحركية الحيوانية؛ لأنها حركة وعي وإرادة وتعقّل.</w:t>
      </w:r>
    </w:p>
    <w:p w:rsidR="00853A10" w:rsidRDefault="00853A10" w:rsidP="00853A10">
      <w:pPr>
        <w:pStyle w:val="ac"/>
        <w:rPr>
          <w:rtl/>
        </w:rPr>
      </w:pPr>
      <w:r w:rsidRPr="00707B3E">
        <w:rPr>
          <w:rFonts w:hint="cs"/>
          <w:rtl/>
        </w:rPr>
        <w:lastRenderedPageBreak/>
        <w:t>3</w:t>
      </w:r>
      <w:r>
        <w:rPr>
          <w:rFonts w:hint="cs"/>
          <w:rtl/>
        </w:rPr>
        <w:t xml:space="preserve"> ـ </w:t>
      </w:r>
      <w:r w:rsidRPr="00707B3E">
        <w:rPr>
          <w:rFonts w:hint="cs"/>
          <w:rtl/>
        </w:rPr>
        <w:t>التناسق والتنظيم والتناسب بين كلّ الجوانب المادية والمعنوية من خلال هذه الحركة.</w:t>
      </w:r>
    </w:p>
    <w:p w:rsidR="00853A10" w:rsidRPr="00707B3E" w:rsidRDefault="00853A10" w:rsidP="00853A10">
      <w:pPr>
        <w:pStyle w:val="ac"/>
        <w:rPr>
          <w:rtl/>
        </w:rPr>
      </w:pPr>
      <w:r w:rsidRPr="00707B3E">
        <w:rPr>
          <w:rFonts w:hint="cs"/>
          <w:rtl/>
        </w:rPr>
        <w:t>وهذا شرط أساس، فالتنمية التي تهمل عنصر التناسب تصاب بتورّم ونموّ طبيعي في جانب أو جوانب، مع خمول الجوانب الأخرى، الأمر الذي يعرّض المسيرة الاجتماعية لاختلال التوازن، ومن ثم التمزق أو التطرف.</w:t>
      </w:r>
    </w:p>
    <w:p w:rsidR="00853A10" w:rsidRPr="00707B3E" w:rsidRDefault="00853A10" w:rsidP="00853A10">
      <w:pPr>
        <w:pStyle w:val="ac"/>
        <w:rPr>
          <w:rtl/>
        </w:rPr>
      </w:pPr>
      <w:r w:rsidRPr="00707B3E">
        <w:rPr>
          <w:rFonts w:hint="cs"/>
          <w:rtl/>
        </w:rPr>
        <w:t>4</w:t>
      </w:r>
      <w:r>
        <w:rPr>
          <w:rFonts w:hint="cs"/>
          <w:rtl/>
        </w:rPr>
        <w:t xml:space="preserve"> ـ </w:t>
      </w:r>
      <w:r w:rsidRPr="00707B3E">
        <w:rPr>
          <w:rFonts w:hint="cs"/>
          <w:rtl/>
        </w:rPr>
        <w:t>الاجتماعية في التحرك، بمعنى أن كلّ جزء من الأجزاء المكوّنة للمجتمع يجب أن يساهم في هذا التحرّك وينمو من خلاله، بمعنى أن الآثار التي سيتركها هذا التحرك يجب أن تنعكس على مختلف العناصر والمكوّنات الاجتماعية.</w:t>
      </w:r>
    </w:p>
    <w:p w:rsidR="00853A10" w:rsidRPr="00707B3E" w:rsidRDefault="00853A10" w:rsidP="00853A10">
      <w:pPr>
        <w:pStyle w:val="ac"/>
        <w:rPr>
          <w:rtl/>
        </w:rPr>
      </w:pPr>
      <w:r w:rsidRPr="00707B3E">
        <w:rPr>
          <w:rFonts w:hint="cs"/>
          <w:rtl/>
        </w:rPr>
        <w:t>بعد هذه المقدّمة</w:t>
      </w:r>
      <w:r>
        <w:rPr>
          <w:rFonts w:hint="cs"/>
          <w:rtl/>
        </w:rPr>
        <w:t>،</w:t>
      </w:r>
      <w:r w:rsidRPr="00707B3E">
        <w:rPr>
          <w:rFonts w:hint="cs"/>
          <w:rtl/>
        </w:rPr>
        <w:t xml:space="preserve"> أحاول أن يكون حديثي في موضوعين:</w:t>
      </w:r>
    </w:p>
    <w:p w:rsidR="00853A10" w:rsidRPr="00707B3E" w:rsidRDefault="00853A10" w:rsidP="00853A10">
      <w:pPr>
        <w:pStyle w:val="ac"/>
        <w:rPr>
          <w:rtl/>
        </w:rPr>
      </w:pPr>
      <w:r w:rsidRPr="00F638AF">
        <w:rPr>
          <w:rFonts w:hint="cs"/>
          <w:b/>
          <w:bCs/>
          <w:rtl/>
        </w:rPr>
        <w:t>الأول</w:t>
      </w:r>
      <w:r w:rsidRPr="00111C11">
        <w:rPr>
          <w:rFonts w:hint="cs"/>
          <w:rtl/>
        </w:rPr>
        <w:t xml:space="preserve">: </w:t>
      </w:r>
      <w:r w:rsidRPr="00707B3E">
        <w:rPr>
          <w:rFonts w:hint="cs"/>
          <w:rtl/>
        </w:rPr>
        <w:t>الإشارة إلى دور المرأة في عملية التنمية الاجتماعية.</w:t>
      </w:r>
    </w:p>
    <w:p w:rsidR="00853A10" w:rsidRDefault="00853A10" w:rsidP="00853A10">
      <w:pPr>
        <w:pStyle w:val="ac"/>
        <w:rPr>
          <w:spacing w:val="-8"/>
          <w:rtl/>
        </w:rPr>
      </w:pPr>
      <w:r w:rsidRPr="00865731">
        <w:rPr>
          <w:rFonts w:hint="cs"/>
          <w:b/>
          <w:bCs/>
          <w:spacing w:val="-8"/>
          <w:rtl/>
        </w:rPr>
        <w:t>الثاني</w:t>
      </w:r>
      <w:r w:rsidRPr="00865731">
        <w:rPr>
          <w:rFonts w:hint="cs"/>
          <w:spacing w:val="-8"/>
          <w:rtl/>
        </w:rPr>
        <w:t>: الإشارة إلى لقاءات ومؤتمرات الأمم المتحدة في هذا الصدد، وموقفنا منها.</w:t>
      </w:r>
    </w:p>
    <w:p w:rsidR="00853A10" w:rsidRPr="00853A10" w:rsidRDefault="00853A10" w:rsidP="00A731E2">
      <w:pPr>
        <w:pStyle w:val="afffffc"/>
        <w:rPr>
          <w:rtl/>
        </w:rPr>
      </w:pPr>
    </w:p>
    <w:p w:rsidR="00853A10" w:rsidRDefault="00853A10" w:rsidP="00853A10">
      <w:pPr>
        <w:pStyle w:val="1"/>
        <w:rPr>
          <w:rtl/>
        </w:rPr>
      </w:pPr>
      <w:bookmarkStart w:id="620" w:name="_Toc169521499"/>
      <w:bookmarkStart w:id="621" w:name="_Toc275128270"/>
      <w:r>
        <w:rPr>
          <w:rFonts w:hint="cs"/>
          <w:rtl/>
        </w:rPr>
        <w:t>دور المرأة في عملية التنمية الاجتماعية</w:t>
      </w:r>
      <w:bookmarkEnd w:id="620"/>
      <w:bookmarkEnd w:id="621"/>
    </w:p>
    <w:p w:rsidR="00853A10" w:rsidRPr="00707B3E" w:rsidRDefault="00853A10" w:rsidP="00853A10">
      <w:pPr>
        <w:pStyle w:val="ac"/>
        <w:rPr>
          <w:rtl/>
        </w:rPr>
      </w:pPr>
      <w:r w:rsidRPr="00707B3E">
        <w:rPr>
          <w:rFonts w:hint="cs"/>
          <w:rtl/>
        </w:rPr>
        <w:t>المرأة تارة ننظر إليها بوصفها إنساناً فعالاً في عملية التنمية، وأخرى نركّز عليها بما لها من خصائص تنفرد بها باعتبارها الأمّ والبنت والزوجة، وهي بهذا الاعتبار تمتاز عن الرجل بما تحمله من طاقات عاطفية متميّزة، وقدرات تكوينية مؤثرة، ومن ثم ما تحمله من وظائف اجتماعية فريدة.</w:t>
      </w:r>
    </w:p>
    <w:p w:rsidR="00853A10" w:rsidRPr="00707B3E" w:rsidRDefault="00853A10" w:rsidP="00853A10">
      <w:pPr>
        <w:pStyle w:val="ac"/>
        <w:rPr>
          <w:rtl/>
        </w:rPr>
      </w:pPr>
      <w:r w:rsidRPr="00707B3E">
        <w:rPr>
          <w:rFonts w:hint="cs"/>
          <w:rtl/>
        </w:rPr>
        <w:t xml:space="preserve">فإذا نظرنا إليها بوصفها إنساناً نشطاً في عملية التنمية، وأخذنا بعين الاعتبار أنّ الإنسان هو محور التنمية، وأن التنمية المستمرّة هي تلك التي تحقّق انسجاماً متوازناً بين مجموع عناصر التنمية، والأسس التحتية للثقافة المعنوية التي تعمل في مجال إسقاطاتها، وأدركنا بعد ذلك أن مكوّنات الفطرة الإنسانية هي أهمّ هذه الأسس وأعمقها في وجود الإنسان، بل بدونها يفقد الإنسان هويته ويتحول إلى شيء، لا نستطيع أن نتحدث عن حقوقه أو نموّه الاجتماعي، أو حركته العادلة، أو أخلاقيته، أو حتى بقائه الحضاري، وأضفنا إلى كلّ هذا حقيقةً أخرى، وهي أن الدين الذي يستمدّ أصوله من </w:t>
      </w:r>
      <w:r w:rsidRPr="00707B3E">
        <w:rPr>
          <w:rFonts w:hint="cs"/>
          <w:rtl/>
        </w:rPr>
        <w:lastRenderedPageBreak/>
        <w:t>منابع فطرية، هو الصيغة الأكمل التي وضعها خالق الإنسان ليحقّق من خلالها تكامله المادي والمعنوي المنسجم، وأن الدين وحده هو الذي يستطيع أن يمنح هذه المسيرة ثباتاً في الهوية والشخصية، واطمئناناً في القلب، وأملاً دفّاقاً بالمستقبل، كما يستطيع أن يحلّ الإشكالات الاجتماعية الكبرى من قبيل حلّ التضاد الدائم بين حب</w:t>
      </w:r>
      <w:r>
        <w:rPr>
          <w:rFonts w:hint="cs"/>
          <w:rtl/>
        </w:rPr>
        <w:t>ّ</w:t>
      </w:r>
      <w:r w:rsidRPr="00707B3E">
        <w:rPr>
          <w:rFonts w:hint="cs"/>
          <w:rtl/>
        </w:rPr>
        <w:t xml:space="preserve"> الذات والأنانية، والعمل لصالح المجتمع ونسيان الذات في سبيله، وحلّ التناقض بين اتجاهات الإلحاد واتجاهات الإيمان المفرط بالأمور النسبية</w:t>
      </w:r>
      <w:r>
        <w:rPr>
          <w:rFonts w:hint="cs"/>
          <w:rtl/>
        </w:rPr>
        <w:t>،</w:t>
      </w:r>
      <w:r w:rsidRPr="00707B3E">
        <w:rPr>
          <w:rFonts w:hint="cs"/>
          <w:rtl/>
        </w:rPr>
        <w:t xml:space="preserve"> إذا أخذنا بعين الاعتبار تمام هذه الحقائق الكبرى، أدركنا أن المرأة الإنسان هي محور التنمية وركنها الركين، ولن تستطيع أية عملية تنموية أن تحقّق صدقاً مع ذاتها ومدعياتها، إلاّ إذا طوّرت الحسّ الإنساني</w:t>
      </w:r>
      <w:r>
        <w:rPr>
          <w:rFonts w:hint="cs"/>
          <w:rtl/>
        </w:rPr>
        <w:t xml:space="preserve"> ـ </w:t>
      </w:r>
      <w:r w:rsidRPr="00707B3E">
        <w:rPr>
          <w:rFonts w:hint="cs"/>
          <w:rtl/>
        </w:rPr>
        <w:t>والفطري في وجود المرأة، وأعطتها مكانتها الإنسانية الطبيعية، ورفعت من البين كل عناصر التفريق</w:t>
      </w:r>
      <w:r>
        <w:rPr>
          <w:rFonts w:hint="cs"/>
          <w:rtl/>
        </w:rPr>
        <w:t xml:space="preserve"> ـ </w:t>
      </w:r>
      <w:r w:rsidRPr="00707B3E">
        <w:rPr>
          <w:rFonts w:hint="cs"/>
          <w:rtl/>
        </w:rPr>
        <w:t>من الجانب الإنساني</w:t>
      </w:r>
      <w:r>
        <w:rPr>
          <w:rFonts w:hint="cs"/>
          <w:rtl/>
        </w:rPr>
        <w:t xml:space="preserve"> ـ </w:t>
      </w:r>
      <w:r w:rsidRPr="00707B3E">
        <w:rPr>
          <w:rFonts w:hint="cs"/>
          <w:rtl/>
        </w:rPr>
        <w:t>بين الرجل والمرأة، ومنحتها الدور الإنساني المتساوي في هذا المضمار، ثم عادت لتستفيد من هذه الطاقة الإنسانية الخيّرة لصالح المجموع الاجتماعي بأفضل أسلوب.</w:t>
      </w:r>
    </w:p>
    <w:p w:rsidR="00853A10" w:rsidRDefault="00853A10" w:rsidP="00853A10">
      <w:pPr>
        <w:pStyle w:val="ac"/>
        <w:rPr>
          <w:rtl/>
        </w:rPr>
      </w:pPr>
      <w:r w:rsidRPr="00707B3E">
        <w:rPr>
          <w:rFonts w:hint="cs"/>
          <w:rtl/>
        </w:rPr>
        <w:t>ولا يفوتنا أن نشير إلى أن المرأة إن تأصّل الثبات في شخصيتها، والاطمئنان في قلبها، والأمل بالمستقبل في وجودها.. منحت كلّ المسيرة الاجتماعية طاقةً كبرى، وهيأت لها كلّ مقومات المسيرة الصالحة.</w:t>
      </w:r>
    </w:p>
    <w:p w:rsidR="00853A10" w:rsidRPr="00707B3E" w:rsidRDefault="00853A10" w:rsidP="00A731E2">
      <w:pPr>
        <w:pStyle w:val="afffffc"/>
        <w:rPr>
          <w:rtl/>
        </w:rPr>
      </w:pPr>
    </w:p>
    <w:p w:rsidR="00853A10" w:rsidRPr="003043F1" w:rsidRDefault="00853A10" w:rsidP="00853A10">
      <w:pPr>
        <w:pStyle w:val="1"/>
        <w:rPr>
          <w:rtl/>
        </w:rPr>
      </w:pPr>
      <w:bookmarkStart w:id="622" w:name="_Toc169521500"/>
      <w:bookmarkStart w:id="623" w:name="_Toc275128271"/>
      <w:r>
        <w:rPr>
          <w:rFonts w:hint="cs"/>
          <w:rtl/>
        </w:rPr>
        <w:t>الأدوار الخاصّة بالمرأة</w:t>
      </w:r>
      <w:bookmarkEnd w:id="622"/>
      <w:bookmarkEnd w:id="623"/>
    </w:p>
    <w:p w:rsidR="00853A10" w:rsidRPr="00707B3E" w:rsidRDefault="00853A10" w:rsidP="00853A10">
      <w:pPr>
        <w:pStyle w:val="ac"/>
        <w:rPr>
          <w:rtl/>
        </w:rPr>
      </w:pPr>
      <w:r w:rsidRPr="00707B3E">
        <w:rPr>
          <w:rFonts w:hint="cs"/>
          <w:rtl/>
        </w:rPr>
        <w:t>وإذا عدنا وركّزنا على خصائص المرأة التي تميّزها عن الرجل، فسنجد أن خصائصها لا تغيّر مطلقاً من قيمتها الإنسانية بل تزيد عليها، وإنما تترك أثرها الوظيفي في البين، بمعنى أن هناك تقسيماً طبيعياً قدّرته الرحمة الإلهية بين وظيفة الرجل ووظيفة المرأة، في عملية التنمية الاجتماعية بل الفردية أيضاً.</w:t>
      </w:r>
    </w:p>
    <w:p w:rsidR="00853A10" w:rsidRPr="00707B3E" w:rsidRDefault="00853A10" w:rsidP="00853A10">
      <w:pPr>
        <w:pStyle w:val="ac"/>
        <w:rPr>
          <w:rtl/>
        </w:rPr>
      </w:pPr>
      <w:r w:rsidRPr="00707B3E">
        <w:rPr>
          <w:rFonts w:hint="cs"/>
          <w:rtl/>
        </w:rPr>
        <w:t>فالمرأة الزوجة والمرأة الأم لهما دوران متمايزان عن دور الرجل الزوج، والرجل الأب بلا ريب، إلاّ أن هذين الدورين متكاملان تماماً بحيث لا يمكن أن تستغني الحياة عنهما، بمقدار عدم إمكان استبدال أحدهما بالآخر تماماً.</w:t>
      </w:r>
    </w:p>
    <w:p w:rsidR="00853A10" w:rsidRPr="00707B3E" w:rsidRDefault="00853A10" w:rsidP="00853A10">
      <w:pPr>
        <w:pStyle w:val="ac"/>
        <w:rPr>
          <w:rtl/>
        </w:rPr>
      </w:pPr>
      <w:r w:rsidRPr="00707B3E">
        <w:rPr>
          <w:rFonts w:hint="cs"/>
          <w:rtl/>
        </w:rPr>
        <w:lastRenderedPageBreak/>
        <w:t>بعد هذا نقول: إن للمرأة أثرها الكبير</w:t>
      </w:r>
      <w:r>
        <w:rPr>
          <w:rFonts w:hint="cs"/>
          <w:rtl/>
        </w:rPr>
        <w:t xml:space="preserve"> ـ </w:t>
      </w:r>
      <w:r w:rsidRPr="00707B3E">
        <w:rPr>
          <w:rFonts w:hint="cs"/>
          <w:rtl/>
        </w:rPr>
        <w:t>بهذا الاعتبار</w:t>
      </w:r>
      <w:r>
        <w:rPr>
          <w:rFonts w:hint="cs"/>
          <w:rtl/>
        </w:rPr>
        <w:t xml:space="preserve"> ـ </w:t>
      </w:r>
      <w:r w:rsidRPr="00707B3E">
        <w:rPr>
          <w:rFonts w:hint="cs"/>
          <w:rtl/>
        </w:rPr>
        <w:t>على عملية التنمية أيضاً، ومهما تعدّدت علل التنمية فشملت العلل الفاعلية، والعلل الغائية، والعلل الصورية بالإضافة للعلل المادية، فإن إسقاطات دور المرأة يبقى لها أكبر الأثر في هذا المجال؛ ذلك أن المرأة تستطيع أن تترك آثاراً كبرى، نذكر منها على سبيل المثال ما يلي:</w:t>
      </w:r>
    </w:p>
    <w:p w:rsidR="00853A10" w:rsidRPr="00707B3E" w:rsidRDefault="00853A10" w:rsidP="00A731E2">
      <w:pPr>
        <w:pStyle w:val="ac"/>
        <w:rPr>
          <w:rtl/>
        </w:rPr>
      </w:pPr>
      <w:r w:rsidRPr="00707B3E">
        <w:rPr>
          <w:rFonts w:hint="cs"/>
          <w:rtl/>
        </w:rPr>
        <w:t>1</w:t>
      </w:r>
      <w:r>
        <w:rPr>
          <w:rFonts w:hint="cs"/>
          <w:rtl/>
        </w:rPr>
        <w:t xml:space="preserve">ـ </w:t>
      </w:r>
      <w:r w:rsidRPr="00707B3E">
        <w:rPr>
          <w:rFonts w:hint="cs"/>
          <w:rtl/>
        </w:rPr>
        <w:t>إعداد البيئة العائلية السليمة، وتهيئتها وتوفيرها، وهي بهذا</w:t>
      </w:r>
      <w:r>
        <w:rPr>
          <w:rFonts w:hint="cs"/>
          <w:rtl/>
        </w:rPr>
        <w:t xml:space="preserve"> ـ </w:t>
      </w:r>
      <w:r w:rsidRPr="00707B3E">
        <w:rPr>
          <w:rFonts w:hint="cs"/>
          <w:rtl/>
        </w:rPr>
        <w:t>لو وفّقت</w:t>
      </w:r>
      <w:r>
        <w:rPr>
          <w:rFonts w:hint="cs"/>
          <w:rtl/>
        </w:rPr>
        <w:t xml:space="preserve"> ـ </w:t>
      </w:r>
      <w:r w:rsidRPr="00707B3E">
        <w:rPr>
          <w:rFonts w:hint="cs"/>
          <w:rtl/>
        </w:rPr>
        <w:t>تستطيع أن تضع الحجر الأساس لمجتمع إنساني سليم ثابت الجأش قوي القلب، ناشد للمستقبل.</w:t>
      </w:r>
    </w:p>
    <w:p w:rsidR="00853A10" w:rsidRPr="00707B3E" w:rsidRDefault="00853A10" w:rsidP="00853A10">
      <w:pPr>
        <w:pStyle w:val="ac"/>
        <w:rPr>
          <w:rtl/>
        </w:rPr>
      </w:pPr>
      <w:r w:rsidRPr="00707B3E">
        <w:rPr>
          <w:rFonts w:hint="cs"/>
          <w:rtl/>
        </w:rPr>
        <w:t>وبدون هذا سيبقى المجتمع ممزّقاً عاطفياً، ومهلهلاً معنوياً، تتفشى فيه الجريمة، ويعبث فيه الكسل، ويفقد صفته الخلاقة شيئاً فشيئاً.</w:t>
      </w:r>
    </w:p>
    <w:p w:rsidR="00853A10" w:rsidRPr="00707B3E" w:rsidRDefault="00853A10" w:rsidP="00853A10">
      <w:pPr>
        <w:pStyle w:val="ac"/>
        <w:rPr>
          <w:rtl/>
        </w:rPr>
      </w:pPr>
      <w:r w:rsidRPr="00707B3E">
        <w:rPr>
          <w:rFonts w:hint="cs"/>
          <w:rtl/>
        </w:rPr>
        <w:t>فالزوجة الصالحة والأم الصالحة هما قوام الحياة العائلية الصالحة، وهذه هي قوام المجتمع الصالح، كما تؤكّد ذلك النصوص الإسلامية.</w:t>
      </w:r>
    </w:p>
    <w:p w:rsidR="00853A10" w:rsidRPr="00707B3E" w:rsidRDefault="00853A10" w:rsidP="00A731E2">
      <w:pPr>
        <w:pStyle w:val="ac"/>
        <w:rPr>
          <w:rtl/>
        </w:rPr>
      </w:pPr>
      <w:r w:rsidRPr="00707B3E">
        <w:rPr>
          <w:rFonts w:hint="cs"/>
          <w:rtl/>
        </w:rPr>
        <w:t>2</w:t>
      </w:r>
      <w:r>
        <w:rPr>
          <w:rFonts w:hint="cs"/>
          <w:rtl/>
        </w:rPr>
        <w:t xml:space="preserve">ـ </w:t>
      </w:r>
      <w:r w:rsidRPr="00707B3E">
        <w:rPr>
          <w:rFonts w:hint="cs"/>
          <w:rtl/>
        </w:rPr>
        <w:t>توفير الجو</w:t>
      </w:r>
      <w:r>
        <w:rPr>
          <w:rFonts w:hint="cs"/>
          <w:rtl/>
        </w:rPr>
        <w:t>ّ</w:t>
      </w:r>
      <w:r w:rsidRPr="00707B3E">
        <w:rPr>
          <w:rFonts w:hint="cs"/>
          <w:rtl/>
        </w:rPr>
        <w:t xml:space="preserve"> المناسب لتربية الجيل القوي الفاعل، حيث قلنا: إن الإنسان الصالح هو محور التنمية، وهو بحاجة إلى عملية تربوية مستمرّة </w:t>
      </w:r>
      <w:r>
        <w:rPr>
          <w:rFonts w:hint="cs"/>
          <w:rtl/>
        </w:rPr>
        <w:t>ت</w:t>
      </w:r>
      <w:r w:rsidRPr="00707B3E">
        <w:rPr>
          <w:rFonts w:hint="cs"/>
          <w:rtl/>
        </w:rPr>
        <w:t>تفجر فيه</w:t>
      </w:r>
      <w:r>
        <w:rPr>
          <w:rFonts w:hint="cs"/>
          <w:rtl/>
        </w:rPr>
        <w:t>ا</w:t>
      </w:r>
      <w:r w:rsidRPr="00707B3E">
        <w:rPr>
          <w:rFonts w:hint="cs"/>
          <w:rtl/>
        </w:rPr>
        <w:t xml:space="preserve"> طاقاته، وتبرز فيه</w:t>
      </w:r>
      <w:r>
        <w:rPr>
          <w:rFonts w:hint="cs"/>
          <w:rtl/>
        </w:rPr>
        <w:t>ا</w:t>
      </w:r>
      <w:r w:rsidRPr="00707B3E">
        <w:rPr>
          <w:rFonts w:hint="cs"/>
          <w:rtl/>
        </w:rPr>
        <w:t xml:space="preserve"> مكوناته الذاتية، وهي لا تتفجر ولا تبرز عشوائياً أو تلقائياً، وإنما تحتاج إلى عملية تربوية وجوّ تربوي مناسب.</w:t>
      </w:r>
    </w:p>
    <w:p w:rsidR="00853A10" w:rsidRPr="00707B3E" w:rsidRDefault="00853A10" w:rsidP="00853A10">
      <w:pPr>
        <w:pStyle w:val="ac"/>
        <w:rPr>
          <w:rtl/>
        </w:rPr>
      </w:pPr>
      <w:r w:rsidRPr="00707B3E">
        <w:rPr>
          <w:rFonts w:hint="cs"/>
          <w:rtl/>
        </w:rPr>
        <w:t>ولا ريب أن للمرأة أعظم الأثر في تربية العناصر الإنسانية، ووراء كلّ عظيم امرأة</w:t>
      </w:r>
      <w:r>
        <w:rPr>
          <w:rFonts w:hint="cs"/>
          <w:rtl/>
        </w:rPr>
        <w:t xml:space="preserve"> ـ </w:t>
      </w:r>
      <w:r w:rsidRPr="00707B3E">
        <w:rPr>
          <w:rFonts w:hint="cs"/>
          <w:rtl/>
        </w:rPr>
        <w:t>كما يقولون</w:t>
      </w:r>
      <w:r>
        <w:rPr>
          <w:rFonts w:hint="cs"/>
          <w:rtl/>
        </w:rPr>
        <w:t xml:space="preserve"> ـ </w:t>
      </w:r>
      <w:r w:rsidRPr="00707B3E">
        <w:rPr>
          <w:rFonts w:hint="cs"/>
          <w:rtl/>
        </w:rPr>
        <w:t>بل ما أكثر العظماء النساء في تاريخنا الطويل.</w:t>
      </w:r>
    </w:p>
    <w:p w:rsidR="00853A10" w:rsidRPr="00707B3E" w:rsidRDefault="00853A10" w:rsidP="00853A10">
      <w:pPr>
        <w:pStyle w:val="ac"/>
        <w:rPr>
          <w:rtl/>
        </w:rPr>
      </w:pPr>
      <w:r w:rsidRPr="00707B3E">
        <w:rPr>
          <w:rFonts w:hint="cs"/>
          <w:rtl/>
        </w:rPr>
        <w:t>3</w:t>
      </w:r>
      <w:r>
        <w:rPr>
          <w:rFonts w:hint="cs"/>
          <w:rtl/>
        </w:rPr>
        <w:t xml:space="preserve"> ـ </w:t>
      </w:r>
      <w:r w:rsidRPr="00707B3E">
        <w:rPr>
          <w:rFonts w:hint="cs"/>
          <w:rtl/>
        </w:rPr>
        <w:t>الإعداد لجوّ وبيئة حماسيين عاطفيين من خلال الاستعداد الطبيعي للمرأة، لتسدّ به هذه الحاجة الضرورية للإنسان من جهة، وتوفر له الحالة الحماسية الضرورية لتخطّي العقبات وصنع تنمية اجتماعية مستديمة من جهة أخرى.</w:t>
      </w:r>
    </w:p>
    <w:p w:rsidR="00853A10" w:rsidRPr="00707B3E" w:rsidRDefault="00853A10" w:rsidP="00853A10">
      <w:pPr>
        <w:pStyle w:val="ac"/>
        <w:rPr>
          <w:rtl/>
        </w:rPr>
      </w:pPr>
      <w:r w:rsidRPr="00707B3E">
        <w:rPr>
          <w:rFonts w:hint="cs"/>
          <w:rtl/>
        </w:rPr>
        <w:t>أما المجتمع الذي يخلو من هذه الحالة العاطفية والحماسية فهو مجتمع خامد، وبيئة جامدة، ربما تتقدم في بعض المجالات المادية إلاّ أنها تفقد الصفاء الإنساني المطلوب، ومن بعدُ تفقد القدرة على إيجاد التنمية المتوازنة.</w:t>
      </w:r>
    </w:p>
    <w:p w:rsidR="00853A10" w:rsidRPr="00707B3E" w:rsidRDefault="00853A10" w:rsidP="00853A10">
      <w:pPr>
        <w:pStyle w:val="ac"/>
        <w:rPr>
          <w:rtl/>
        </w:rPr>
      </w:pPr>
      <w:r w:rsidRPr="00707B3E">
        <w:rPr>
          <w:rFonts w:hint="cs"/>
          <w:rtl/>
        </w:rPr>
        <w:t xml:space="preserve">من هنا، يظهر جلياً أن المرأة لها دورٌ كبير في توفير الجو العائلي النظيف، وأن العائلة </w:t>
      </w:r>
      <w:r w:rsidRPr="00707B3E">
        <w:rPr>
          <w:rFonts w:hint="cs"/>
          <w:rtl/>
        </w:rPr>
        <w:lastRenderedPageBreak/>
        <w:t>وتشكيلاتها</w:t>
      </w:r>
      <w:r>
        <w:rPr>
          <w:rFonts w:hint="cs"/>
          <w:rtl/>
        </w:rPr>
        <w:t xml:space="preserve"> ـ</w:t>
      </w:r>
      <w:r w:rsidRPr="00707B3E">
        <w:rPr>
          <w:rFonts w:hint="cs"/>
          <w:rtl/>
        </w:rPr>
        <w:t xml:space="preserve"> بما لها من مفهوم كلاسيكي معروف لدى المجتمعات والأديان كلها</w:t>
      </w:r>
      <w:r>
        <w:rPr>
          <w:rFonts w:hint="cs"/>
          <w:rtl/>
        </w:rPr>
        <w:t xml:space="preserve"> ـ</w:t>
      </w:r>
      <w:r w:rsidRPr="00707B3E">
        <w:rPr>
          <w:rFonts w:hint="cs"/>
          <w:rtl/>
        </w:rPr>
        <w:t xml:space="preserve"> هي حجر الزاوية في عملية التنمية.</w:t>
      </w:r>
    </w:p>
    <w:p w:rsidR="00853A10" w:rsidRDefault="00853A10" w:rsidP="00853A10">
      <w:pPr>
        <w:pStyle w:val="ac"/>
        <w:rPr>
          <w:rtl/>
        </w:rPr>
      </w:pPr>
      <w:r w:rsidRPr="00707B3E">
        <w:rPr>
          <w:rFonts w:hint="cs"/>
          <w:rtl/>
        </w:rPr>
        <w:t xml:space="preserve">كما يظهر أيضاً أن أيّة ضربة توجّه لدور المرأة في البناء العائلي المشار </w:t>
      </w:r>
      <w:r>
        <w:rPr>
          <w:rFonts w:hint="cs"/>
          <w:rtl/>
        </w:rPr>
        <w:t>إ</w:t>
      </w:r>
      <w:r w:rsidRPr="00707B3E">
        <w:rPr>
          <w:rFonts w:hint="cs"/>
          <w:rtl/>
        </w:rPr>
        <w:t>ليه، وأي تقليل من أهميّة الرباط العائلي المقدّس، أو محاولة لطرح مفاهيم جديدة، وادعاء مصاديق عصرية له، أو إضعاف روابطه، أو إيجاد بديل مزعوم له.. كل هذه المحاولات تترك أعظم الآثار السلبية على مستقبل الإنسانية جمعاء، وتفقده الحركية التنموية المطلوبة، بل هي تآمر واضح على كلّ الوجود الإنساني، حتى لو جاء هذ</w:t>
      </w:r>
      <w:r>
        <w:rPr>
          <w:rFonts w:hint="cs"/>
          <w:rtl/>
        </w:rPr>
        <w:t>ا</w:t>
      </w:r>
      <w:r w:rsidRPr="00707B3E">
        <w:rPr>
          <w:rFonts w:hint="cs"/>
          <w:rtl/>
        </w:rPr>
        <w:t xml:space="preserve"> التآمر تحت غطاء الخدمة الدولية لعملية التنمية.</w:t>
      </w:r>
    </w:p>
    <w:p w:rsidR="00853A10" w:rsidRPr="00707B3E" w:rsidRDefault="00853A10" w:rsidP="00A731E2">
      <w:pPr>
        <w:pStyle w:val="afffffc"/>
        <w:rPr>
          <w:rtl/>
        </w:rPr>
      </w:pPr>
    </w:p>
    <w:p w:rsidR="00853A10" w:rsidRDefault="00853A10" w:rsidP="00853A10">
      <w:pPr>
        <w:pStyle w:val="1"/>
        <w:rPr>
          <w:rtl/>
        </w:rPr>
      </w:pPr>
      <w:bookmarkStart w:id="624" w:name="_Toc169521501"/>
      <w:bookmarkStart w:id="625" w:name="_Toc275128272"/>
      <w:r>
        <w:rPr>
          <w:rFonts w:hint="cs"/>
          <w:rtl/>
        </w:rPr>
        <w:t xml:space="preserve">الجهود </w:t>
      </w:r>
      <w:r w:rsidRPr="0029648F">
        <w:rPr>
          <w:rFonts w:hint="cs"/>
          <w:rtl/>
        </w:rPr>
        <w:t>الدولية في مجال التنمية ال</w:t>
      </w:r>
      <w:r>
        <w:rPr>
          <w:rFonts w:hint="cs"/>
          <w:rtl/>
        </w:rPr>
        <w:t>اجتماع</w:t>
      </w:r>
      <w:r w:rsidRPr="0029648F">
        <w:rPr>
          <w:rFonts w:hint="cs"/>
          <w:rtl/>
        </w:rPr>
        <w:t>ية</w:t>
      </w:r>
      <w:r>
        <w:rPr>
          <w:rFonts w:hint="cs"/>
          <w:rtl/>
        </w:rPr>
        <w:t>، وقفات نقد وتأمل</w:t>
      </w:r>
      <w:bookmarkEnd w:id="624"/>
      <w:bookmarkEnd w:id="625"/>
    </w:p>
    <w:p w:rsidR="00853A10" w:rsidRPr="00707B3E" w:rsidRDefault="00853A10" w:rsidP="00853A10">
      <w:pPr>
        <w:pStyle w:val="ac"/>
        <w:rPr>
          <w:rtl/>
        </w:rPr>
      </w:pPr>
      <w:r w:rsidRPr="00707B3E">
        <w:rPr>
          <w:rFonts w:hint="cs"/>
          <w:rtl/>
        </w:rPr>
        <w:t>لا ريب أن عملية التنمية استأثرت من نشاط الأمم المتحدة بالحظّ الوفير، وخصوصاً في السنوات الأخيرة، وعقدت لها مؤتمرات دولية على مختلف المستويات، كمؤتمر بوخارست 1974م، ومؤتمر مكسيكو سيتي 1984م، ومؤتمر القاهرة 1994م، ومؤتمر كوبنهاغن عام 1995م، وغيرها من الاجتماعات الدولية، وخصوصاً تلك المنعقدة لدراسة حقوق المرأة بالخصوص، كمؤتمر نيروبي، ومؤتمر بكين.</w:t>
      </w:r>
    </w:p>
    <w:p w:rsidR="00853A10" w:rsidRPr="00707B3E" w:rsidRDefault="00853A10" w:rsidP="00853A10">
      <w:pPr>
        <w:pStyle w:val="ac"/>
        <w:rPr>
          <w:rtl/>
        </w:rPr>
      </w:pPr>
      <w:r w:rsidRPr="00707B3E">
        <w:rPr>
          <w:rFonts w:hint="cs"/>
          <w:rtl/>
        </w:rPr>
        <w:t>وكان التركيز على دور العائلة في عملية التنمية ملحوظاً تماماً في كلّ الاجتماعات الدولية، إلاّ أن الملاحظ في مختلف الوثائق المقترحة أنها نُظّمت تنظيماً يُبعدها عن المسيرة المتوازنة، وينسيها دور الدين في الحياة، ويتغافل عن أثر العناصر المعنوية في هذا الصدد.</w:t>
      </w:r>
    </w:p>
    <w:p w:rsidR="00853A10" w:rsidRPr="00707B3E" w:rsidRDefault="00853A10" w:rsidP="00853A10">
      <w:pPr>
        <w:pStyle w:val="ac"/>
        <w:rPr>
          <w:rtl/>
        </w:rPr>
      </w:pPr>
      <w:r w:rsidRPr="00707B3E">
        <w:rPr>
          <w:rFonts w:hint="cs"/>
          <w:rtl/>
        </w:rPr>
        <w:t>وكانت وثيقة القاهرة المقترحة على مؤتمر السكّان والتنمية القنبلةَ الضخمة التي فجّرت الوضع، فرأى المخلصون التآمر الاستعماري الواضح على كلّ القيم والمقدّسات الإنسانية؛ لأنها سعت إلى تفكيك الروابط العائلية، وطرح مفاهيم متنوعة للعائلة، وفسح المجال لعلاقات خارج الإطار العائلي، وقد حضرتُ هذا المؤتمر على رأس الوفد الإسلامي الإيراني، على أمل أن نترك أثراً إيجابياً على الوثيقة</w:t>
      </w:r>
      <w:r>
        <w:rPr>
          <w:rFonts w:hint="cs"/>
          <w:rtl/>
        </w:rPr>
        <w:t>،</w:t>
      </w:r>
      <w:r w:rsidRPr="00707B3E">
        <w:rPr>
          <w:rFonts w:hint="cs"/>
          <w:rtl/>
        </w:rPr>
        <w:t xml:space="preserve"> وهذا ما حدث، إذ رغم </w:t>
      </w:r>
      <w:r w:rsidRPr="00707B3E">
        <w:rPr>
          <w:rFonts w:hint="cs"/>
          <w:rtl/>
        </w:rPr>
        <w:lastRenderedPageBreak/>
        <w:t>عدم التنسيق بين مواقف الدول الإسلامية</w:t>
      </w:r>
      <w:r>
        <w:rPr>
          <w:rFonts w:hint="cs"/>
          <w:rtl/>
        </w:rPr>
        <w:t xml:space="preserve"> ـ </w:t>
      </w:r>
      <w:r w:rsidRPr="00707B3E">
        <w:rPr>
          <w:rFonts w:hint="cs"/>
          <w:rtl/>
        </w:rPr>
        <w:t>التي حرّم بعضها حضور المؤتمر</w:t>
      </w:r>
      <w:r>
        <w:rPr>
          <w:rFonts w:hint="cs"/>
          <w:rtl/>
        </w:rPr>
        <w:t xml:space="preserve"> ـ </w:t>
      </w:r>
      <w:r w:rsidRPr="00707B3E">
        <w:rPr>
          <w:rFonts w:hint="cs"/>
          <w:rtl/>
        </w:rPr>
        <w:t>ورغم قوة الضغط الغربي المعادي للإسلام، فقد استطعنا تشكيل مجموعة إسلامية قوية تعاونت مع المجموعة المسيحية الدينية، واستطاعت أن تغيّر عشرات المصطلحات والمواقف في الوثيقة، من قبيل حذف مصطلحات (الحق</w:t>
      </w:r>
      <w:r>
        <w:rPr>
          <w:rFonts w:hint="cs"/>
          <w:rtl/>
        </w:rPr>
        <w:t>ّ</w:t>
      </w:r>
      <w:r w:rsidRPr="00707B3E">
        <w:rPr>
          <w:rFonts w:hint="cs"/>
          <w:rtl/>
        </w:rPr>
        <w:t xml:space="preserve"> الجنسي) و (العلاقات الأخرى غير علاقات الزواج) وحذف عنصر الإلزام في الوثيقة، وكذلك تعديل المادة التي تسمح بالإجهاض وغير ذلك، وقد ألقيتُ في الاجتماع الدولي خطاباً أكّدت فيه الحقائق التالية:</w:t>
      </w:r>
    </w:p>
    <w:p w:rsidR="00853A10" w:rsidRPr="00707B3E" w:rsidRDefault="00853A10" w:rsidP="00853A10">
      <w:pPr>
        <w:pStyle w:val="ac"/>
        <w:rPr>
          <w:rtl/>
        </w:rPr>
      </w:pPr>
      <w:r w:rsidRPr="00707B3E">
        <w:rPr>
          <w:rFonts w:hint="cs"/>
          <w:rtl/>
        </w:rPr>
        <w:t>أولاً: إننا إذ نحاول تنظيم التحرّك السكاني في إطار من التنمية المطلوبة علينا</w:t>
      </w:r>
      <w:r>
        <w:rPr>
          <w:rFonts w:hint="cs"/>
          <w:rtl/>
        </w:rPr>
        <w:t xml:space="preserve"> ـ </w:t>
      </w:r>
      <w:r w:rsidRPr="00707B3E">
        <w:rPr>
          <w:rFonts w:hint="cs"/>
          <w:rtl/>
        </w:rPr>
        <w:t>قبل كل شيء</w:t>
      </w:r>
      <w:r>
        <w:rPr>
          <w:rFonts w:hint="cs"/>
          <w:rtl/>
        </w:rPr>
        <w:t xml:space="preserve"> ـ </w:t>
      </w:r>
      <w:r w:rsidRPr="00707B3E">
        <w:rPr>
          <w:rFonts w:hint="cs"/>
          <w:rtl/>
        </w:rPr>
        <w:t>أن ننظر إلى الإنسان بكلّ أبعاده المادية والمعنوية؛ ليكون تخطيطاً منسجماً مع فطرته الإنسانية وموقعه من الكون، وفي هذا الصدد نعتقد أن هذه المشكلة الاجتماعية لا تكمن في عدم استجابة الإمكانات الطبيعية لمعدلات النموّ السكاني، بل تنبع من عدم الاستثمار الجيد لهذه الإمكانات وأنماط الظلم في توزيعها، يقول القرآن الكريم</w:t>
      </w:r>
      <w:r>
        <w:rPr>
          <w:rFonts w:hint="cs"/>
          <w:rtl/>
        </w:rPr>
        <w:t xml:space="preserve"> ـ </w:t>
      </w:r>
      <w:r w:rsidRPr="00707B3E">
        <w:rPr>
          <w:rFonts w:hint="cs"/>
          <w:rtl/>
        </w:rPr>
        <w:t>بعد أن يذكر النعم الإلهية الكثيرة</w:t>
      </w:r>
      <w:r>
        <w:rPr>
          <w:rFonts w:hint="cs"/>
          <w:rtl/>
        </w:rPr>
        <w:t xml:space="preserve"> ـ </w:t>
      </w:r>
      <w:r w:rsidRPr="00707B3E">
        <w:rPr>
          <w:rFonts w:hint="cs"/>
          <w:rtl/>
        </w:rPr>
        <w:t xml:space="preserve">: </w:t>
      </w:r>
      <w:r w:rsidRPr="00853A10">
        <w:rPr>
          <w:rFonts w:hint="cs"/>
          <w:b/>
          <w:bCs/>
          <w:rtl/>
        </w:rPr>
        <w:sym w:font="Islamic Units 1" w:char="F03E"/>
      </w:r>
      <w:r w:rsidRPr="00853A10">
        <w:rPr>
          <w:b/>
          <w:bCs/>
          <w:rtl/>
        </w:rPr>
        <w:t>وَآتَاكُم مِّن كُلِّ مَا سَأَلْتُمُوهُ وَإِن تَعُدُّواْ نِعْمَتَ الله لاَ تُحْصُوهَا إِنَّ الإنسان لَظَلُومٌ كَفَّارٌ</w:t>
      </w:r>
      <w:r w:rsidRPr="00853A10">
        <w:rPr>
          <w:rFonts w:hint="cs"/>
          <w:b/>
          <w:bCs/>
          <w:rtl/>
        </w:rPr>
        <w:sym w:font="Islamic Units 1" w:char="F03C"/>
      </w:r>
      <w:r w:rsidRPr="00707B3E">
        <w:rPr>
          <w:rFonts w:hint="cs"/>
          <w:rtl/>
        </w:rPr>
        <w:t xml:space="preserve"> (إبراهيم: 34).</w:t>
      </w:r>
    </w:p>
    <w:p w:rsidR="00853A10" w:rsidRPr="00707B3E" w:rsidRDefault="00853A10" w:rsidP="00853A10">
      <w:pPr>
        <w:pStyle w:val="ac"/>
        <w:rPr>
          <w:rtl/>
        </w:rPr>
      </w:pPr>
      <w:r w:rsidRPr="00F638AF">
        <w:rPr>
          <w:rFonts w:hint="cs"/>
          <w:b/>
          <w:bCs/>
          <w:rtl/>
        </w:rPr>
        <w:t>ثانياً</w:t>
      </w:r>
      <w:r w:rsidRPr="00707B3E">
        <w:rPr>
          <w:rFonts w:hint="cs"/>
          <w:rtl/>
        </w:rPr>
        <w:t>: إن ملاحظة الواقع الإنساني عبر التاريخ وما تقرّره الشرائع الإلهية في نظريّاتها الاجتماعية، تؤكد أن الكيان العائلي يشكّل حجر الزاوية في البناء الاجتماعي، وأنّ أي تحرّك يوهن في استحكامه أو يطرح بديلاً عنه يشكل ضربةً للمسيرة الإنسانية الأصيلة، لكنّ هذا لا يعني مطلقاً أن لا نلجأ إلى تنظيم هذا الكيان بالأساليب المشروعة فذلك جزء من تحكيمه وتوجيهه.</w:t>
      </w:r>
    </w:p>
    <w:p w:rsidR="00853A10" w:rsidRPr="00707B3E" w:rsidRDefault="00853A10" w:rsidP="00853A10">
      <w:pPr>
        <w:pStyle w:val="ac"/>
        <w:rPr>
          <w:rtl/>
        </w:rPr>
      </w:pPr>
      <w:r w:rsidRPr="00F410C6">
        <w:rPr>
          <w:rFonts w:hint="cs"/>
          <w:b/>
          <w:bCs/>
          <w:rtl/>
        </w:rPr>
        <w:t>ثالثاً</w:t>
      </w:r>
      <w:r w:rsidRPr="00707B3E">
        <w:rPr>
          <w:rFonts w:hint="cs"/>
          <w:rtl/>
        </w:rPr>
        <w:t>: إنّ للمرأة</w:t>
      </w:r>
      <w:r>
        <w:rPr>
          <w:rFonts w:hint="cs"/>
          <w:rtl/>
        </w:rPr>
        <w:t xml:space="preserve"> ـ </w:t>
      </w:r>
      <w:r w:rsidRPr="00707B3E">
        <w:rPr>
          <w:rFonts w:hint="cs"/>
          <w:rtl/>
        </w:rPr>
        <w:t>باعتبارها نصف المجتمع الإنساني</w:t>
      </w:r>
      <w:r>
        <w:rPr>
          <w:rFonts w:hint="cs"/>
          <w:rtl/>
        </w:rPr>
        <w:t xml:space="preserve"> ـ </w:t>
      </w:r>
      <w:r w:rsidRPr="00707B3E">
        <w:rPr>
          <w:rFonts w:hint="cs"/>
          <w:rtl/>
        </w:rPr>
        <w:t>دورها الأساس في صياغة البناء الاجتماعي والسياسي، ويجب بكلّ تأكيد أن تلعب دورها بكلّ ثقة ودونما أي حطّ لكرامتها أو امتهان لقدراتها الإنسانية.</w:t>
      </w:r>
    </w:p>
    <w:p w:rsidR="00853A10" w:rsidRPr="00707B3E" w:rsidRDefault="00853A10" w:rsidP="00853A10">
      <w:pPr>
        <w:pStyle w:val="ac"/>
        <w:rPr>
          <w:rtl/>
        </w:rPr>
      </w:pPr>
      <w:r w:rsidRPr="00F410C6">
        <w:rPr>
          <w:rFonts w:hint="cs"/>
          <w:b/>
          <w:bCs/>
          <w:rtl/>
        </w:rPr>
        <w:t>رابعاً</w:t>
      </w:r>
      <w:r w:rsidRPr="00707B3E">
        <w:rPr>
          <w:rFonts w:hint="cs"/>
          <w:rtl/>
        </w:rPr>
        <w:t xml:space="preserve">: إنّ أية خطة واقعية لإقامة تنمية مستقرّة لا يمكنها أن تتغافل عن دور القيم الأخلاقية والعقيدة الدينية في تحكيم أسس التنمية والإشباع المتوازن لمتطلبات الإنسان </w:t>
      </w:r>
      <w:r w:rsidRPr="00707B3E">
        <w:rPr>
          <w:rFonts w:hint="cs"/>
          <w:rtl/>
        </w:rPr>
        <w:lastRenderedPageBreak/>
        <w:t>باعتباره محور الإعمار، فلابد إذاً من توكيد هذه القيم والعمل على دعمها واستبعاد كل ما ينافيها.</w:t>
      </w:r>
    </w:p>
    <w:p w:rsidR="00853A10" w:rsidRPr="00707B3E" w:rsidRDefault="00853A10" w:rsidP="00853A10">
      <w:pPr>
        <w:pStyle w:val="ac"/>
        <w:rPr>
          <w:rtl/>
        </w:rPr>
      </w:pPr>
      <w:r w:rsidRPr="00F410C6">
        <w:rPr>
          <w:rFonts w:hint="cs"/>
          <w:b/>
          <w:bCs/>
          <w:rtl/>
        </w:rPr>
        <w:t>خامساً</w:t>
      </w:r>
      <w:r w:rsidRPr="00707B3E">
        <w:rPr>
          <w:rFonts w:hint="cs"/>
          <w:rtl/>
        </w:rPr>
        <w:t>: إن مبدأ التساوي في إمكانية الاستفادة من الخيرات الطبيعية، وهي هبة الله تعالى، ليدعونا جميعاً للعمل على تحقيق تقارب كبير بين مستويات المعيشة، وعلى المستوى العالمي، الأمر الذي يحمّل الدول الغنية عبئاً كبيراً لتحقيق هذا الهدف</w:t>
      </w:r>
      <w:r>
        <w:rPr>
          <w:rFonts w:hint="cs"/>
          <w:rtl/>
        </w:rPr>
        <w:t>،</w:t>
      </w:r>
      <w:r w:rsidRPr="00707B3E">
        <w:rPr>
          <w:rFonts w:hint="cs"/>
          <w:rtl/>
        </w:rPr>
        <w:t xml:space="preserve"> بحيث لا يمكنها التنصّل منه إن شاءت تحقيق الاندماج الإنساني المطلوب.</w:t>
      </w:r>
    </w:p>
    <w:p w:rsidR="00853A10" w:rsidRDefault="00853A10" w:rsidP="00853A10">
      <w:pPr>
        <w:pStyle w:val="ac"/>
        <w:rPr>
          <w:spacing w:val="-2"/>
          <w:rtl/>
        </w:rPr>
      </w:pPr>
      <w:r w:rsidRPr="0084228B">
        <w:rPr>
          <w:rFonts w:hint="cs"/>
          <w:b/>
          <w:bCs/>
          <w:spacing w:val="-2"/>
          <w:rtl/>
        </w:rPr>
        <w:t>سادساً</w:t>
      </w:r>
      <w:r w:rsidRPr="0084228B">
        <w:rPr>
          <w:rFonts w:hint="cs"/>
          <w:spacing w:val="-2"/>
          <w:rtl/>
        </w:rPr>
        <w:t xml:space="preserve">: إن حقوق الإنسان </w:t>
      </w:r>
      <w:r>
        <w:rPr>
          <w:rFonts w:hint="cs"/>
          <w:spacing w:val="-2"/>
          <w:rtl/>
        </w:rPr>
        <w:t>ـ</w:t>
      </w:r>
      <w:r w:rsidRPr="0084228B">
        <w:rPr>
          <w:rFonts w:hint="cs"/>
          <w:spacing w:val="-2"/>
          <w:rtl/>
        </w:rPr>
        <w:t xml:space="preserve"> كما تقرّرها الوثيقة العالمية والوثائق الأخرى كالوثيقة الإسلامية </w:t>
      </w:r>
      <w:r>
        <w:rPr>
          <w:rFonts w:hint="cs"/>
          <w:spacing w:val="-2"/>
          <w:rtl/>
        </w:rPr>
        <w:t>ـ</w:t>
      </w:r>
      <w:r w:rsidRPr="0084228B">
        <w:rPr>
          <w:rFonts w:hint="cs"/>
          <w:spacing w:val="-2"/>
          <w:rtl/>
        </w:rPr>
        <w:t xml:space="preserve"> تجب مراعاتها بشكل دقيق؛ إلا أن من الطبيعي الإصرار على أنه لا يحقّ لأية دولة أو مجموعة أن تفرض مفهومها لها على الدول الأخرى أو تحاول الاستهانة بالعناصر الثقافية والدينية التي يحملها الآخرون بذريعة فهمها، بل يجب الوصول إلى تعريفات مشتركة مقبولة يمكن من خلالها تشخيص الحقيقة دونما أيّ تحميل، ولتكون الوثائق معتمدةً عن بصيرة ودقة؛ فلا يمكن استغلالها بسهولة.</w:t>
      </w:r>
    </w:p>
    <w:p w:rsidR="00853A10" w:rsidRPr="0084228B" w:rsidRDefault="00853A10" w:rsidP="006630AC">
      <w:pPr>
        <w:pStyle w:val="afffffc"/>
        <w:rPr>
          <w:rtl/>
        </w:rPr>
      </w:pPr>
    </w:p>
    <w:p w:rsidR="00853A10" w:rsidRPr="004516AA" w:rsidRDefault="00853A10" w:rsidP="00853A10">
      <w:pPr>
        <w:pStyle w:val="1"/>
        <w:rPr>
          <w:rtl/>
        </w:rPr>
      </w:pPr>
      <w:bookmarkStart w:id="626" w:name="_Toc169521502"/>
      <w:bookmarkStart w:id="627" w:name="_Toc275128273"/>
      <w:r w:rsidRPr="004516AA">
        <w:rPr>
          <w:rFonts w:hint="cs"/>
          <w:rtl/>
        </w:rPr>
        <w:t>دور المنظمات الشعبية في تحقيق الأهداف الدولية</w:t>
      </w:r>
      <w:r>
        <w:rPr>
          <w:rFonts w:hint="cs"/>
          <w:rtl/>
        </w:rPr>
        <w:t xml:space="preserve"> للتنمية</w:t>
      </w:r>
      <w:bookmarkEnd w:id="626"/>
      <w:bookmarkEnd w:id="627"/>
    </w:p>
    <w:p w:rsidR="00853A10" w:rsidRPr="00707B3E" w:rsidRDefault="00853A10" w:rsidP="00853A10">
      <w:pPr>
        <w:pStyle w:val="ac"/>
        <w:rPr>
          <w:rtl/>
        </w:rPr>
      </w:pPr>
      <w:r w:rsidRPr="00707B3E">
        <w:rPr>
          <w:rFonts w:hint="cs"/>
          <w:rtl/>
        </w:rPr>
        <w:t>خطت البشرية خطوات واسعة على طريق إيجاد تشكيلات دولية شاملة تعمل على حلّ مشاكلها، وتحقيق تفاهم ممكن بين أعضائها، و</w:t>
      </w:r>
      <w:r>
        <w:rPr>
          <w:rFonts w:hint="cs"/>
          <w:rtl/>
        </w:rPr>
        <w:t xml:space="preserve">هي </w:t>
      </w:r>
      <w:r w:rsidRPr="00707B3E">
        <w:rPr>
          <w:rFonts w:hint="cs"/>
          <w:rtl/>
        </w:rPr>
        <w:t>تحاول الوصول إلى طروحات عالمية تترك آثارها الإيجابية على المستوى العالمي.</w:t>
      </w:r>
    </w:p>
    <w:p w:rsidR="00853A10" w:rsidRPr="00707B3E" w:rsidRDefault="00853A10" w:rsidP="00853A10">
      <w:pPr>
        <w:pStyle w:val="ac"/>
        <w:rPr>
          <w:rtl/>
        </w:rPr>
      </w:pPr>
      <w:r w:rsidRPr="00707B3E">
        <w:rPr>
          <w:rFonts w:hint="cs"/>
          <w:rtl/>
        </w:rPr>
        <w:t>وهكذا تمّ إنشاء الأمم المتحدة</w:t>
      </w:r>
      <w:r>
        <w:rPr>
          <w:rFonts w:hint="cs"/>
          <w:rtl/>
        </w:rPr>
        <w:t xml:space="preserve"> ـ </w:t>
      </w:r>
      <w:r w:rsidRPr="00707B3E">
        <w:rPr>
          <w:rFonts w:hint="cs"/>
          <w:rtl/>
        </w:rPr>
        <w:t>بوصفها أوسع منظمة دولية</w:t>
      </w:r>
      <w:r>
        <w:rPr>
          <w:rFonts w:hint="cs"/>
          <w:rtl/>
        </w:rPr>
        <w:t xml:space="preserve"> ـ </w:t>
      </w:r>
      <w:r w:rsidRPr="00707B3E">
        <w:rPr>
          <w:rFonts w:hint="cs"/>
          <w:rtl/>
        </w:rPr>
        <w:t>بما لها من منظمات فرعية في مختلف المجالات الثقافية</w:t>
      </w:r>
      <w:r>
        <w:rPr>
          <w:rFonts w:hint="cs"/>
          <w:rtl/>
        </w:rPr>
        <w:t>،</w:t>
      </w:r>
      <w:r w:rsidRPr="00707B3E">
        <w:rPr>
          <w:rFonts w:hint="cs"/>
          <w:rtl/>
        </w:rPr>
        <w:t xml:space="preserve"> والاقتصادية، والصحية، والتجارية، وغيرها.</w:t>
      </w:r>
    </w:p>
    <w:p w:rsidR="00853A10" w:rsidRPr="00707B3E" w:rsidRDefault="00853A10" w:rsidP="00853A10">
      <w:pPr>
        <w:pStyle w:val="ac"/>
        <w:rPr>
          <w:rtl/>
        </w:rPr>
      </w:pPr>
      <w:r w:rsidRPr="00707B3E">
        <w:rPr>
          <w:rFonts w:hint="cs"/>
          <w:rtl/>
        </w:rPr>
        <w:t>كما تمّ إنشاء حركة عدم الانحياز في مجال أضيق، ومنظمة المؤتمر الإسلامي في إطار العالم الإسلامي.</w:t>
      </w:r>
    </w:p>
    <w:p w:rsidR="00853A10" w:rsidRPr="00707B3E" w:rsidRDefault="00853A10" w:rsidP="00853A10">
      <w:pPr>
        <w:pStyle w:val="ac"/>
        <w:rPr>
          <w:rtl/>
        </w:rPr>
      </w:pPr>
      <w:r w:rsidRPr="00707B3E">
        <w:rPr>
          <w:rFonts w:hint="cs"/>
          <w:rtl/>
        </w:rPr>
        <w:t>وهناك منظمات وتجمّعات دولية كبرى أخرى لها أثرها الكبير في المسيرة، إلا أن أكثر المنظمات الدولية ما زالت مبتلاة بنقاط كبرى تمنعها من تحقيق أهدافها الإنسانية، ويمكننا أن نشير إلى بعضها فيما يلي:</w:t>
      </w:r>
    </w:p>
    <w:p w:rsidR="00853A10" w:rsidRPr="00707B3E" w:rsidRDefault="00853A10" w:rsidP="006630AC">
      <w:pPr>
        <w:pStyle w:val="ac"/>
        <w:rPr>
          <w:rtl/>
        </w:rPr>
      </w:pPr>
      <w:r w:rsidRPr="00707B3E">
        <w:rPr>
          <w:rFonts w:hint="cs"/>
          <w:rtl/>
        </w:rPr>
        <w:lastRenderedPageBreak/>
        <w:t>1</w:t>
      </w:r>
      <w:r>
        <w:rPr>
          <w:rFonts w:hint="cs"/>
          <w:rtl/>
        </w:rPr>
        <w:t xml:space="preserve">ـ </w:t>
      </w:r>
      <w:r w:rsidRPr="00707B3E">
        <w:rPr>
          <w:rFonts w:hint="cs"/>
          <w:rtl/>
        </w:rPr>
        <w:t>إن قرارات هذه المنظمات إنما تحقّق</w:t>
      </w:r>
      <w:r>
        <w:rPr>
          <w:rFonts w:hint="cs"/>
          <w:rtl/>
        </w:rPr>
        <w:t xml:space="preserve"> ـ </w:t>
      </w:r>
      <w:r w:rsidRPr="00707B3E">
        <w:rPr>
          <w:rFonts w:hint="cs"/>
          <w:rtl/>
        </w:rPr>
        <w:t>في أحسن الحالات</w:t>
      </w:r>
      <w:r>
        <w:rPr>
          <w:rFonts w:hint="cs"/>
          <w:rtl/>
        </w:rPr>
        <w:t xml:space="preserve"> ـ </w:t>
      </w:r>
      <w:r w:rsidRPr="00707B3E">
        <w:rPr>
          <w:rFonts w:hint="cs"/>
          <w:rtl/>
        </w:rPr>
        <w:t>مصالح الحكومات وتوجّهاتها، ولا ضمانة فيها لتحقيق أهداف الجماهير، على أنها في الواقع إنما تحقّق مصالح القوى المتحكمة في هذه المنظمات إن لم نقل بأنها إنما تحقق مصالح القطب الواحد المتحكّم اليوم فيها.</w:t>
      </w:r>
    </w:p>
    <w:p w:rsidR="00853A10" w:rsidRPr="00707B3E" w:rsidRDefault="00853A10" w:rsidP="006630AC">
      <w:pPr>
        <w:pStyle w:val="ac"/>
        <w:rPr>
          <w:rtl/>
        </w:rPr>
      </w:pPr>
      <w:r w:rsidRPr="00707B3E">
        <w:rPr>
          <w:rFonts w:hint="cs"/>
          <w:rtl/>
        </w:rPr>
        <w:t>2</w:t>
      </w:r>
      <w:r>
        <w:rPr>
          <w:rFonts w:hint="cs"/>
          <w:rtl/>
        </w:rPr>
        <w:t xml:space="preserve">ـ </w:t>
      </w:r>
      <w:r w:rsidRPr="00707B3E">
        <w:rPr>
          <w:rFonts w:hint="cs"/>
          <w:rtl/>
        </w:rPr>
        <w:t>إن واقع الحال المشاهد في هذه المنظمات يقضي بأنها في كثير من الأحيان تقع تحت تأثير اتجاهات معادية للإنسانية، كالاتجاهات الصهيونية والاتجاهات المادية الإلحادية وغيرها؛ الأمر الذي يعود بأعظم الخسائر على المسيرة الإنسانية.</w:t>
      </w:r>
    </w:p>
    <w:p w:rsidR="00853A10" w:rsidRPr="00707B3E" w:rsidRDefault="00853A10" w:rsidP="006630AC">
      <w:pPr>
        <w:pStyle w:val="ac"/>
        <w:rPr>
          <w:rtl/>
        </w:rPr>
      </w:pPr>
      <w:r w:rsidRPr="00707B3E">
        <w:rPr>
          <w:rFonts w:hint="cs"/>
          <w:rtl/>
        </w:rPr>
        <w:t>3</w:t>
      </w:r>
      <w:r>
        <w:rPr>
          <w:rFonts w:hint="cs"/>
          <w:rtl/>
        </w:rPr>
        <w:t xml:space="preserve">ـ </w:t>
      </w:r>
      <w:r w:rsidRPr="00707B3E">
        <w:rPr>
          <w:rFonts w:hint="cs"/>
          <w:rtl/>
        </w:rPr>
        <w:t>كما أنّ التأمل في قراراتها يكشف لنا</w:t>
      </w:r>
      <w:r>
        <w:rPr>
          <w:rFonts w:hint="cs"/>
          <w:rtl/>
        </w:rPr>
        <w:t xml:space="preserve"> ـ </w:t>
      </w:r>
      <w:r w:rsidRPr="00707B3E">
        <w:rPr>
          <w:rFonts w:hint="cs"/>
          <w:rtl/>
        </w:rPr>
        <w:t>أحياناً</w:t>
      </w:r>
      <w:r>
        <w:rPr>
          <w:rFonts w:hint="cs"/>
          <w:rtl/>
        </w:rPr>
        <w:t xml:space="preserve"> ـ </w:t>
      </w:r>
      <w:r w:rsidRPr="00707B3E">
        <w:rPr>
          <w:rFonts w:hint="cs"/>
          <w:rtl/>
        </w:rPr>
        <w:t>عن قيام هذه المنظمات بإشاعات كاذبة لتطلّعات الجماهير دون أن يكون وراء الشعارات المرفوعة واقع مؤثر؛ وذلك كما في قرارات حقوق الإنسان، ومحاربة العنصرية، والدفاع عن حقوق المرأة، وتنظيم عملية التنمية الاجتماعية وغيرها، كما أنّنا نجدها في هذا المجال تكيل بمكاييل متعدّدة حسبما تقتضيه المصالح الضيّقة، على أنّ القرارات الحقيقيّة تبقى حبراً على ورق ما لم تتفق مع مصالح القوى الكبرى.</w:t>
      </w:r>
    </w:p>
    <w:p w:rsidR="00853A10" w:rsidRPr="00707B3E" w:rsidRDefault="00853A10" w:rsidP="00853A10">
      <w:pPr>
        <w:pStyle w:val="ac"/>
        <w:rPr>
          <w:rtl/>
        </w:rPr>
      </w:pPr>
      <w:r w:rsidRPr="00707B3E">
        <w:rPr>
          <w:rFonts w:hint="cs"/>
          <w:rtl/>
        </w:rPr>
        <w:t>وكذلك ما نشاهده من ضعف في قرارات منظمة المؤتمر الإسلامي في مختلف القضايا الإسلامية، رغم ضخامة الشعارات التي ترفعها تجاه القضية الفلسطينية</w:t>
      </w:r>
      <w:r>
        <w:rPr>
          <w:rFonts w:hint="cs"/>
          <w:rtl/>
        </w:rPr>
        <w:t xml:space="preserve"> ـ </w:t>
      </w:r>
      <w:r w:rsidRPr="00707B3E">
        <w:rPr>
          <w:rFonts w:hint="cs"/>
          <w:rtl/>
        </w:rPr>
        <w:t>مثلاً</w:t>
      </w:r>
      <w:r>
        <w:rPr>
          <w:rFonts w:hint="cs"/>
          <w:rtl/>
        </w:rPr>
        <w:t xml:space="preserve"> ـ </w:t>
      </w:r>
      <w:r w:rsidRPr="00707B3E">
        <w:rPr>
          <w:rFonts w:hint="cs"/>
          <w:rtl/>
        </w:rPr>
        <w:t>وغيرها، غير أنها تبقى عاجزةً عن التنفيذ.</w:t>
      </w:r>
    </w:p>
    <w:p w:rsidR="00853A10" w:rsidRPr="00707B3E" w:rsidRDefault="00853A10" w:rsidP="006630AC">
      <w:pPr>
        <w:pStyle w:val="ac"/>
        <w:rPr>
          <w:rtl/>
        </w:rPr>
      </w:pPr>
      <w:r w:rsidRPr="00707B3E">
        <w:rPr>
          <w:rFonts w:hint="cs"/>
          <w:rtl/>
        </w:rPr>
        <w:t>4</w:t>
      </w:r>
      <w:r>
        <w:rPr>
          <w:rFonts w:hint="cs"/>
          <w:rtl/>
        </w:rPr>
        <w:t xml:space="preserve">ـ </w:t>
      </w:r>
      <w:r w:rsidRPr="00707B3E">
        <w:rPr>
          <w:rFonts w:hint="cs"/>
          <w:rtl/>
        </w:rPr>
        <w:t>ثم إنها تعتمد عنصر التأجيل والمماطلة والمساومة وأنصاف الحلول، وأساليب ما وراء الأستار وغيرها مما قد يؤجّل الحلّ المطلوب.</w:t>
      </w:r>
    </w:p>
    <w:p w:rsidR="00853A10" w:rsidRPr="00707B3E" w:rsidRDefault="00853A10" w:rsidP="00E33C4C">
      <w:pPr>
        <w:pStyle w:val="ac"/>
        <w:rPr>
          <w:rtl/>
        </w:rPr>
      </w:pPr>
      <w:r w:rsidRPr="00707B3E">
        <w:rPr>
          <w:rFonts w:hint="cs"/>
          <w:rtl/>
        </w:rPr>
        <w:t>وغير ذلك من النقائص المشهودة.</w:t>
      </w:r>
    </w:p>
    <w:p w:rsidR="00853A10" w:rsidRPr="00707B3E" w:rsidRDefault="00853A10" w:rsidP="00853A10">
      <w:pPr>
        <w:pStyle w:val="ac"/>
        <w:rPr>
          <w:rtl/>
        </w:rPr>
      </w:pPr>
      <w:r w:rsidRPr="00707B3E">
        <w:rPr>
          <w:rFonts w:hint="cs"/>
          <w:rtl/>
        </w:rPr>
        <w:t>من هنا، نجد مجالاً واسعاً لقيام المنظمات غير الحكومية بالاشتراك في الاجتماعات الدولية والسعي للضغط على الجهات الرسمية لتتخذ القرارات الأكثر انسجاماً مع الأهداف المطلوبة.</w:t>
      </w:r>
    </w:p>
    <w:p w:rsidR="00853A10" w:rsidRPr="00707B3E" w:rsidRDefault="00853A10" w:rsidP="00853A10">
      <w:pPr>
        <w:pStyle w:val="ac"/>
        <w:rPr>
          <w:rtl/>
        </w:rPr>
      </w:pPr>
      <w:r w:rsidRPr="00707B3E">
        <w:rPr>
          <w:rFonts w:hint="cs"/>
          <w:rtl/>
        </w:rPr>
        <w:t>إنّ مشاركة هذه المنظمات يمكنها أن تترك آثاراً إيجابية من جهات عديدة من قبيل ما يلي:</w:t>
      </w:r>
    </w:p>
    <w:p w:rsidR="00853A10" w:rsidRPr="00707B3E" w:rsidRDefault="00E33C4C" w:rsidP="00853A10">
      <w:pPr>
        <w:pStyle w:val="ac"/>
        <w:rPr>
          <w:rtl/>
        </w:rPr>
      </w:pPr>
      <w:r>
        <w:rPr>
          <w:rFonts w:hint="cs"/>
          <w:rtl/>
        </w:rPr>
        <w:lastRenderedPageBreak/>
        <w:t>أ</w:t>
      </w:r>
      <w:r w:rsidR="00853A10">
        <w:rPr>
          <w:rFonts w:hint="cs"/>
          <w:rtl/>
        </w:rPr>
        <w:t xml:space="preserve"> ـ </w:t>
      </w:r>
      <w:r w:rsidR="00853A10" w:rsidRPr="00707B3E">
        <w:rPr>
          <w:rFonts w:hint="cs"/>
          <w:rtl/>
        </w:rPr>
        <w:t>لمّا كانت هذه المنظمات الشعبية أقرب إلى واقع المشكلات الاجتماعية فإنها أكثر تفهماً للحلول المطلوبة جماهيرياً؛ وهي</w:t>
      </w:r>
      <w:r w:rsidR="00853A10">
        <w:rPr>
          <w:rFonts w:hint="cs"/>
          <w:rtl/>
        </w:rPr>
        <w:t xml:space="preserve"> ـ </w:t>
      </w:r>
      <w:r w:rsidR="00853A10" w:rsidRPr="00707B3E">
        <w:rPr>
          <w:rFonts w:hint="cs"/>
          <w:rtl/>
        </w:rPr>
        <w:t>من ثمّ</w:t>
      </w:r>
      <w:r w:rsidR="00853A10">
        <w:rPr>
          <w:rFonts w:hint="cs"/>
          <w:rtl/>
        </w:rPr>
        <w:t xml:space="preserve"> ـ </w:t>
      </w:r>
      <w:r w:rsidR="00853A10" w:rsidRPr="00707B3E">
        <w:rPr>
          <w:rFonts w:hint="cs"/>
          <w:rtl/>
        </w:rPr>
        <w:t>قادرة على الاقتراب بالقرارات من هذه الأهداف.</w:t>
      </w:r>
    </w:p>
    <w:p w:rsidR="00853A10" w:rsidRPr="00707B3E" w:rsidRDefault="00E33C4C" w:rsidP="00853A10">
      <w:pPr>
        <w:pStyle w:val="ac"/>
        <w:rPr>
          <w:rtl/>
        </w:rPr>
      </w:pPr>
      <w:r>
        <w:rPr>
          <w:rFonts w:hint="cs"/>
          <w:rtl/>
        </w:rPr>
        <w:t xml:space="preserve">ب </w:t>
      </w:r>
      <w:r w:rsidR="00853A10">
        <w:rPr>
          <w:rFonts w:hint="cs"/>
          <w:rtl/>
        </w:rPr>
        <w:t xml:space="preserve">ـ </w:t>
      </w:r>
      <w:r w:rsidR="00853A10" w:rsidRPr="00707B3E">
        <w:rPr>
          <w:rFonts w:hint="cs"/>
          <w:rtl/>
        </w:rPr>
        <w:t>ولما كانت هذا المنظمات غير الحكومية حرّةً في تحليلاتها وغير مقيّدة بالقيود الرسمية، فإنها تستطيع أن تصل إلى الحلّ الواقعي، وتطرح ذلك بقوّة أمام المحافل الدولية.</w:t>
      </w:r>
    </w:p>
    <w:p w:rsidR="00853A10" w:rsidRDefault="00E33C4C" w:rsidP="00853A10">
      <w:pPr>
        <w:pStyle w:val="ac"/>
        <w:rPr>
          <w:rtl/>
        </w:rPr>
      </w:pPr>
      <w:r>
        <w:rPr>
          <w:rFonts w:hint="cs"/>
          <w:rtl/>
        </w:rPr>
        <w:t>ج</w:t>
      </w:r>
      <w:r w:rsidR="00853A10">
        <w:rPr>
          <w:rFonts w:hint="cs"/>
          <w:rtl/>
        </w:rPr>
        <w:t xml:space="preserve"> ـ </w:t>
      </w:r>
      <w:r w:rsidR="00853A10" w:rsidRPr="00707B3E">
        <w:rPr>
          <w:rFonts w:hint="cs"/>
          <w:rtl/>
        </w:rPr>
        <w:t>على أنّ حضور هذه المنظمات يشكّل تواصلاً جماهيرياً جيداً قد يكوّن رأياً عاماً دولياً لا تستطيع معه الجهات الرسمية إلا الاستجابة لمقتضيات هذا الرأي العام، مما يمنحها روحاً جماهيرية وإقداماً على خطوات أكثر واقعية.</w:t>
      </w:r>
    </w:p>
    <w:p w:rsidR="00853A10" w:rsidRPr="00707B3E" w:rsidRDefault="00853A10" w:rsidP="006630AC">
      <w:pPr>
        <w:pStyle w:val="afffffc"/>
        <w:rPr>
          <w:rtl/>
        </w:rPr>
      </w:pPr>
    </w:p>
    <w:p w:rsidR="00853A10" w:rsidRPr="00E74B40" w:rsidRDefault="00853A10" w:rsidP="00853A10">
      <w:pPr>
        <w:pStyle w:val="1"/>
        <w:rPr>
          <w:rtl/>
        </w:rPr>
      </w:pPr>
      <w:bookmarkStart w:id="628" w:name="_Toc169521503"/>
      <w:bookmarkStart w:id="629" w:name="_Toc275128274"/>
      <w:r>
        <w:rPr>
          <w:rFonts w:hint="cs"/>
          <w:rtl/>
        </w:rPr>
        <w:t>نتائج وتوصيات</w:t>
      </w:r>
      <w:bookmarkEnd w:id="628"/>
      <w:bookmarkEnd w:id="629"/>
    </w:p>
    <w:p w:rsidR="00853A10" w:rsidRPr="00707B3E" w:rsidRDefault="00853A10" w:rsidP="00853A10">
      <w:pPr>
        <w:pStyle w:val="ac"/>
        <w:rPr>
          <w:rtl/>
        </w:rPr>
      </w:pPr>
      <w:r w:rsidRPr="00707B3E">
        <w:rPr>
          <w:rFonts w:hint="cs"/>
          <w:rtl/>
        </w:rPr>
        <w:t>على ضوء ما تقدّم نستطيع أن نقرّر الحقائق التالية:</w:t>
      </w:r>
    </w:p>
    <w:p w:rsidR="00853A10" w:rsidRPr="00707B3E" w:rsidRDefault="00853A10" w:rsidP="00853A10">
      <w:pPr>
        <w:pStyle w:val="ac"/>
        <w:rPr>
          <w:rtl/>
        </w:rPr>
      </w:pPr>
      <w:r w:rsidRPr="00707B3E">
        <w:rPr>
          <w:rFonts w:hint="cs"/>
          <w:rtl/>
        </w:rPr>
        <w:t>1</w:t>
      </w:r>
      <w:r>
        <w:rPr>
          <w:rFonts w:hint="cs"/>
          <w:rtl/>
        </w:rPr>
        <w:t xml:space="preserve"> ـ </w:t>
      </w:r>
      <w:r w:rsidRPr="00707B3E">
        <w:rPr>
          <w:rFonts w:hint="cs"/>
          <w:rtl/>
        </w:rPr>
        <w:t>إن عملية التنمية الاجتماعية عملية إنسانية لا تحدّها حدود جنسية ولا جغرافية ولا مادية، وإن المرأة</w:t>
      </w:r>
      <w:r>
        <w:rPr>
          <w:rFonts w:hint="cs"/>
          <w:rtl/>
        </w:rPr>
        <w:t xml:space="preserve"> ـ </w:t>
      </w:r>
      <w:r w:rsidRPr="00707B3E">
        <w:rPr>
          <w:rFonts w:hint="cs"/>
          <w:rtl/>
        </w:rPr>
        <w:t>في التصوّر الإسلامي</w:t>
      </w:r>
      <w:r>
        <w:rPr>
          <w:rFonts w:hint="cs"/>
          <w:rtl/>
        </w:rPr>
        <w:t xml:space="preserve"> ـ </w:t>
      </w:r>
      <w:r w:rsidRPr="00707B3E">
        <w:rPr>
          <w:rFonts w:hint="cs"/>
          <w:rtl/>
        </w:rPr>
        <w:t>عنصر أساس في هذه المسيرة، وبدونها ستبقى العملية بتراء غير فاعلة.</w:t>
      </w:r>
    </w:p>
    <w:p w:rsidR="00853A10" w:rsidRPr="00707B3E" w:rsidRDefault="00853A10" w:rsidP="00853A10">
      <w:pPr>
        <w:pStyle w:val="ac"/>
        <w:rPr>
          <w:rtl/>
        </w:rPr>
      </w:pPr>
      <w:r w:rsidRPr="00707B3E">
        <w:rPr>
          <w:rFonts w:hint="cs"/>
          <w:rtl/>
        </w:rPr>
        <w:t>2</w:t>
      </w:r>
      <w:r>
        <w:rPr>
          <w:rFonts w:hint="cs"/>
          <w:rtl/>
        </w:rPr>
        <w:t xml:space="preserve"> ـ </w:t>
      </w:r>
      <w:r w:rsidRPr="00707B3E">
        <w:rPr>
          <w:rFonts w:hint="cs"/>
          <w:rtl/>
        </w:rPr>
        <w:t>إن العالم أدرك</w:t>
      </w:r>
      <w:r>
        <w:rPr>
          <w:rFonts w:hint="cs"/>
          <w:rtl/>
        </w:rPr>
        <w:t xml:space="preserve"> ـ </w:t>
      </w:r>
      <w:r w:rsidRPr="00707B3E">
        <w:rPr>
          <w:rFonts w:hint="cs"/>
          <w:rtl/>
        </w:rPr>
        <w:t>متأخراً</w:t>
      </w:r>
      <w:r>
        <w:rPr>
          <w:rFonts w:hint="cs"/>
          <w:rtl/>
        </w:rPr>
        <w:t xml:space="preserve"> ـ </w:t>
      </w:r>
      <w:r w:rsidRPr="00707B3E">
        <w:rPr>
          <w:rFonts w:hint="cs"/>
          <w:rtl/>
        </w:rPr>
        <w:t>هذه الحقيقة، فيما سبقه الإسلام إليها بأكثر من عشرة قرون؛ حينما جعل المرأة عدل الرجل في الولاية الاجتماعية، ومنحها كلّ ما يحقق لها مشاركتها في القرارات السياسية والاقتصادية والاجتماعية.</w:t>
      </w:r>
    </w:p>
    <w:p w:rsidR="00853A10" w:rsidRPr="00707B3E" w:rsidRDefault="00853A10" w:rsidP="00853A10">
      <w:pPr>
        <w:pStyle w:val="ac"/>
        <w:rPr>
          <w:rtl/>
        </w:rPr>
      </w:pPr>
      <w:r w:rsidRPr="00707B3E">
        <w:rPr>
          <w:rFonts w:hint="cs"/>
          <w:rtl/>
        </w:rPr>
        <w:t>3</w:t>
      </w:r>
      <w:r>
        <w:rPr>
          <w:rFonts w:hint="cs"/>
          <w:rtl/>
        </w:rPr>
        <w:t xml:space="preserve"> ـ </w:t>
      </w:r>
      <w:r w:rsidRPr="00707B3E">
        <w:rPr>
          <w:rFonts w:hint="cs"/>
          <w:rtl/>
        </w:rPr>
        <w:t>إن للحكومات والجهات الرسمية دورها الكبير في تحقيق هذه الأنماط من المشاركة، لكنّ ذلك لن يحقق النتيجة المطلوبة ما لم تقم المنظمات الشعبية باحتلال مركزها في دفع هذه العملية إلى الأمام.</w:t>
      </w:r>
    </w:p>
    <w:p w:rsidR="00853A10" w:rsidRPr="00707B3E" w:rsidRDefault="00853A10" w:rsidP="00853A10">
      <w:pPr>
        <w:pStyle w:val="ac"/>
        <w:rPr>
          <w:rtl/>
        </w:rPr>
      </w:pPr>
      <w:r w:rsidRPr="00707B3E">
        <w:rPr>
          <w:rFonts w:hint="cs"/>
          <w:rtl/>
        </w:rPr>
        <w:t>4</w:t>
      </w:r>
      <w:r>
        <w:rPr>
          <w:rFonts w:hint="cs"/>
          <w:rtl/>
        </w:rPr>
        <w:t xml:space="preserve"> ـ </w:t>
      </w:r>
      <w:r w:rsidRPr="00707B3E">
        <w:rPr>
          <w:rFonts w:hint="cs"/>
          <w:rtl/>
        </w:rPr>
        <w:t>إن منظمة المؤتمر الإسلامي لم تحقّق الأمل المطلوب منها في الانسجام مع النظرة الإسلامية للمرأة، ولم تعطها الدور الأساس المطلوب مع الأسف، متخلّفةً عن الطبيعة الإسلامية الرائدة، وإنّ عليها اليوم أن تسابق الزمن من أجل تأمين هذا الانسجام.</w:t>
      </w:r>
    </w:p>
    <w:p w:rsidR="00853A10" w:rsidRPr="00707B3E" w:rsidRDefault="00853A10" w:rsidP="00853A10">
      <w:pPr>
        <w:pStyle w:val="ac"/>
        <w:rPr>
          <w:rtl/>
        </w:rPr>
      </w:pPr>
      <w:r w:rsidRPr="00707B3E">
        <w:rPr>
          <w:rFonts w:hint="cs"/>
          <w:rtl/>
        </w:rPr>
        <w:lastRenderedPageBreak/>
        <w:t>والحقيقة أن القرار الصادر عن مؤتمر القمّة الثامن بطهران يشكّل سابقةً جيدة في هذا المجال؛ إلا أنني أعتقد أنه يبقى مختلفاً عن مسايرة التطوّر المطروح دولياً في هذا المجال.</w:t>
      </w:r>
    </w:p>
    <w:p w:rsidR="00853A10" w:rsidRPr="00707B3E" w:rsidRDefault="00853A10" w:rsidP="00853A10">
      <w:pPr>
        <w:pStyle w:val="ac"/>
        <w:rPr>
          <w:rtl/>
        </w:rPr>
      </w:pPr>
      <w:r w:rsidRPr="00707B3E">
        <w:rPr>
          <w:rFonts w:hint="cs"/>
          <w:rtl/>
        </w:rPr>
        <w:t>وهنا أقول: يجب أن لا ننسى التحديات التي تواجهنا</w:t>
      </w:r>
      <w:r>
        <w:rPr>
          <w:rFonts w:hint="cs"/>
          <w:rtl/>
        </w:rPr>
        <w:t xml:space="preserve"> ـ </w:t>
      </w:r>
      <w:r w:rsidRPr="00707B3E">
        <w:rPr>
          <w:rFonts w:hint="cs"/>
          <w:rtl/>
        </w:rPr>
        <w:t>مطلع القرن الحادي والعشرين</w:t>
      </w:r>
      <w:r>
        <w:rPr>
          <w:rFonts w:hint="cs"/>
          <w:rtl/>
        </w:rPr>
        <w:t xml:space="preserve"> ـ </w:t>
      </w:r>
      <w:r w:rsidRPr="00707B3E">
        <w:rPr>
          <w:rFonts w:hint="cs"/>
          <w:rtl/>
        </w:rPr>
        <w:t>على الصعيد السياسي أو الاقتصادي أو الاجتماعي، تحدّيات العولمة، وتحديات الهيمنة الثقافية، وتحديات القرية الصغيرة إعلامياً، وتحديات الشعارات البراقة التي يتستّر خلفها أعداء العلاقات الإنسانية السليمة، وصولاً حتى إلى قوانيننا الفرعية لتطويرها وفق مقاصدهم.</w:t>
      </w:r>
    </w:p>
    <w:p w:rsidR="00853A10" w:rsidRPr="00707B3E" w:rsidRDefault="00853A10" w:rsidP="00853A10">
      <w:pPr>
        <w:pStyle w:val="ac"/>
        <w:rPr>
          <w:rtl/>
        </w:rPr>
      </w:pPr>
      <w:r w:rsidRPr="00707B3E">
        <w:rPr>
          <w:rFonts w:hint="cs"/>
          <w:rtl/>
        </w:rPr>
        <w:t>لذا يجب الإبداع في كلّ الحقول، وأذكر مثلاً الحقل الرياضي؛ فلا يمكننا أن ندع المرأة كسولةً بدينة مريضة، وإنما يجب ابتكار الأساليب السليمة المتسمة بالعفة والخلق الإسلامي الرفيع لتقديم البديل المطلوب عن الأساليب المعروفة عالمياً والمنافية لكل قيمنا وأعرافنا. إنه مثلٌ واحد على ضرورة التطوير والتغيير في مختلف الحقول، وكذلك الحقل السياسي، فلا مجال لتناسي دور المرأة الفعّال في صياغة القرار السياسي، وهذا ما تفتقدُه بعض مناطقنا الإسلامية، بل نجد بعض الفئات المتحجّرة تفرض على المرأة أن تكون حبس بيتها بعيدةً عن التعليم فضلاً عن المشاركة في الحياة الاقتصادية، وذلك طبقاً لاجتهادات قشرية غريبة عن الروح الإسلامية، وهذا العمل، فضلاً عن تشويهه للصورة الإسلامية، يكبّل مسيرة الأمّة نحو مواجهة التحدّي الذي أشرنا اليه.</w:t>
      </w:r>
    </w:p>
    <w:p w:rsidR="00853A10" w:rsidRPr="00707B3E" w:rsidRDefault="00853A10" w:rsidP="00853A10">
      <w:pPr>
        <w:pStyle w:val="ac"/>
        <w:rPr>
          <w:rtl/>
        </w:rPr>
      </w:pPr>
      <w:r w:rsidRPr="00707B3E">
        <w:rPr>
          <w:rFonts w:hint="cs"/>
          <w:rtl/>
        </w:rPr>
        <w:t>إننا نشعر بكلّ تأكيد بالحاجة لا لكتابة استراتيجيّتنا الثقافية في مختلف الحقول، ولا للموافقة على لائحة رسمية لحقوق الإنسان في التصوّر الإسلامي، ولا حتى لاستراتيجية إعلامية او اجتماعية لعالمنا الإسلامي، فإنها جميعاً قد دوّنت بعد تداول طويل، بل تكاد تكون واضحة في خلد كل من له معرفة بالتوجهات الإسلامية، وإنما نشعر بالحاجة للعمل المنظّم والمتكامل</w:t>
      </w:r>
      <w:r>
        <w:rPr>
          <w:rFonts w:hint="cs"/>
          <w:rtl/>
        </w:rPr>
        <w:t xml:space="preserve"> ـ </w:t>
      </w:r>
      <w:r w:rsidRPr="00707B3E">
        <w:rPr>
          <w:rFonts w:hint="cs"/>
          <w:rtl/>
        </w:rPr>
        <w:t>على صعيد العالم الإسلامي</w:t>
      </w:r>
      <w:r>
        <w:rPr>
          <w:rFonts w:hint="cs"/>
          <w:rtl/>
        </w:rPr>
        <w:t xml:space="preserve"> ـ </w:t>
      </w:r>
      <w:r w:rsidRPr="00707B3E">
        <w:rPr>
          <w:rFonts w:hint="cs"/>
          <w:rtl/>
        </w:rPr>
        <w:t>بهذه الاستراتيجيات المتفق عليها، سواء في مؤتمرات إسلامية دولية، كمؤتمر القمّة السادس بداكار (السنغال) أو مؤتمر وزراء الخارجية الثامن عشر بالقاهرة أو غيرها.</w:t>
      </w:r>
    </w:p>
    <w:p w:rsidR="00853A10" w:rsidRPr="00707B3E" w:rsidRDefault="00853A10" w:rsidP="00853A10">
      <w:pPr>
        <w:pStyle w:val="ac"/>
        <w:rPr>
          <w:rtl/>
        </w:rPr>
      </w:pPr>
      <w:r w:rsidRPr="00707B3E">
        <w:rPr>
          <w:rFonts w:hint="cs"/>
          <w:rtl/>
        </w:rPr>
        <w:lastRenderedPageBreak/>
        <w:t>ومما آسف له أن أعلن أن العالم الإسلامي</w:t>
      </w:r>
      <w:r>
        <w:rPr>
          <w:rFonts w:hint="cs"/>
          <w:rtl/>
        </w:rPr>
        <w:t xml:space="preserve"> ـ </w:t>
      </w:r>
      <w:r w:rsidRPr="00707B3E">
        <w:rPr>
          <w:rFonts w:hint="cs"/>
          <w:rtl/>
        </w:rPr>
        <w:t>على مستوى منظمة المؤتمر الإسلامي</w:t>
      </w:r>
      <w:r>
        <w:rPr>
          <w:rFonts w:hint="cs"/>
          <w:rtl/>
        </w:rPr>
        <w:t xml:space="preserve"> ـ </w:t>
      </w:r>
      <w:r w:rsidRPr="00707B3E">
        <w:rPr>
          <w:rFonts w:hint="cs"/>
          <w:rtl/>
        </w:rPr>
        <w:t>لم يتفق بعدُ على الصيغة العملية للتنفيذ، رغم وجود صور تنفيذية هنا أو هناك.</w:t>
      </w:r>
    </w:p>
    <w:p w:rsidR="00853A10" w:rsidRPr="00707B3E" w:rsidRDefault="00853A10" w:rsidP="00853A10">
      <w:pPr>
        <w:pStyle w:val="ac"/>
        <w:rPr>
          <w:rtl/>
        </w:rPr>
      </w:pPr>
      <w:r w:rsidRPr="00707B3E">
        <w:rPr>
          <w:rFonts w:hint="cs"/>
          <w:rtl/>
        </w:rPr>
        <w:t>ونؤكّد أخيراً على أن هذه الأمة الإسلامية لها خصائص معيّنة تحدّد له</w:t>
      </w:r>
      <w:r>
        <w:rPr>
          <w:rFonts w:hint="cs"/>
          <w:rtl/>
        </w:rPr>
        <w:t>ا هويتها وترسم لها معالمها القر</w:t>
      </w:r>
      <w:r w:rsidRPr="00707B3E">
        <w:rPr>
          <w:rFonts w:hint="cs"/>
          <w:rtl/>
        </w:rPr>
        <w:t>آنية، ومنها: الخصيصة الإلهية والانتساب في العقيدة والتشريع إلى الله تعالى، كما أن منها الخصوصيّة الأخلاقية الإنسانية التي تتجلّى من خلالها كلّ السمات الأخلاقية الإسلامية، وتتخلّص من كل أنماط الفساد والصور اللاأخلاقية التي تلعب الغرائز الجنسية دورها فيها لتشويه الصورة الصحيحة، فلا يمكن لهذه الأمة أن تفتخر بانتسابها للإسلام إلا إذا طبّقت الصورة الإسلامية السامية، وأقامت علاقاتها على أساس من معايير الإسلام، وحصّنت جماهيرنا بالوعي المطلوب، بل أوجدت فيها</w:t>
      </w:r>
      <w:r>
        <w:rPr>
          <w:rFonts w:hint="cs"/>
          <w:rtl/>
        </w:rPr>
        <w:t xml:space="preserve"> ـ </w:t>
      </w:r>
      <w:r w:rsidRPr="00707B3E">
        <w:rPr>
          <w:rFonts w:hint="cs"/>
          <w:rtl/>
        </w:rPr>
        <w:t>بما فيها العنصر النسائي ذي النسبة الكبيرة</w:t>
      </w:r>
      <w:r>
        <w:rPr>
          <w:rFonts w:hint="cs"/>
          <w:rtl/>
        </w:rPr>
        <w:t xml:space="preserve"> ـ </w:t>
      </w:r>
      <w:r w:rsidRPr="00707B3E">
        <w:rPr>
          <w:rFonts w:hint="cs"/>
          <w:rtl/>
        </w:rPr>
        <w:t>الدوافع الكبرى لمواجهة التحدّي المذكور.</w:t>
      </w:r>
    </w:p>
    <w:p w:rsidR="006630AC" w:rsidRDefault="00853A10" w:rsidP="00853A10">
      <w:pPr>
        <w:pStyle w:val="ac"/>
      </w:pPr>
      <w:r w:rsidRPr="00707B3E">
        <w:rPr>
          <w:rFonts w:hint="cs"/>
          <w:rtl/>
        </w:rPr>
        <w:t>إنّ الصحوة الإسلامية قدرُنا، وإلا أدركتنا التحدّيات وقضت على خصائصنا، وهنا يبرز العلماء</w:t>
      </w:r>
      <w:r>
        <w:rPr>
          <w:rFonts w:hint="cs"/>
          <w:rtl/>
        </w:rPr>
        <w:t xml:space="preserve"> ـ </w:t>
      </w:r>
      <w:r w:rsidRPr="00707B3E">
        <w:rPr>
          <w:rFonts w:hint="cs"/>
          <w:rtl/>
        </w:rPr>
        <w:t>رجالاً ونساءً</w:t>
      </w:r>
      <w:r>
        <w:rPr>
          <w:rFonts w:hint="cs"/>
          <w:rtl/>
        </w:rPr>
        <w:t xml:space="preserve"> ـ </w:t>
      </w:r>
      <w:r w:rsidRPr="00707B3E">
        <w:rPr>
          <w:rFonts w:hint="cs"/>
          <w:rtl/>
        </w:rPr>
        <w:t>ليقوموا بدور ورثة الأنبياء.</w:t>
      </w:r>
    </w:p>
    <w:p w:rsidR="006630AC" w:rsidRDefault="006630AC" w:rsidP="00853A10">
      <w:pPr>
        <w:pStyle w:val="ac"/>
        <w:rPr>
          <w:rtl/>
        </w:rPr>
        <w:sectPr w:rsidR="006630AC" w:rsidSect="006628C6">
          <w:headerReference w:type="even" r:id="rId111"/>
          <w:headerReference w:type="default" r:id="rId112"/>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853A10" w:rsidRDefault="00853A10" w:rsidP="00853A10">
      <w:pPr>
        <w:pStyle w:val="ac"/>
        <w:rPr>
          <w:rtl/>
        </w:rPr>
      </w:pPr>
    </w:p>
    <w:p w:rsidR="00853A10" w:rsidRDefault="00853A10">
      <w:pPr>
        <w:widowControl/>
        <w:bidi w:val="0"/>
        <w:spacing w:line="240" w:lineRule="auto"/>
        <w:ind w:firstLine="0"/>
        <w:jc w:val="left"/>
        <w:outlineLvl w:val="9"/>
        <w:rPr>
          <w:rFonts w:ascii="Arno Pro Display" w:hAnsi="Arno Pro Display"/>
          <w:sz w:val="28"/>
          <w:szCs w:val="30"/>
          <w:rtl/>
        </w:rPr>
      </w:pPr>
      <w:r>
        <w:rPr>
          <w:rtl/>
        </w:rPr>
        <w:br w:type="page"/>
      </w:r>
    </w:p>
    <w:p w:rsidR="006630AC" w:rsidRDefault="006630AC">
      <w:pPr>
        <w:widowControl/>
        <w:bidi w:val="0"/>
        <w:spacing w:line="240" w:lineRule="auto"/>
        <w:ind w:firstLine="0"/>
        <w:jc w:val="left"/>
        <w:outlineLvl w:val="9"/>
        <w:rPr>
          <w:rFonts w:ascii="Arno Pro Display" w:hAnsi="Arno Pro Display"/>
          <w:sz w:val="28"/>
          <w:szCs w:val="30"/>
          <w:rtl/>
        </w:rPr>
      </w:pPr>
      <w:r>
        <w:rPr>
          <w:rtl/>
        </w:rPr>
        <w:lastRenderedPageBreak/>
        <w:br w:type="page"/>
      </w:r>
    </w:p>
    <w:p w:rsidR="00853A10" w:rsidRDefault="00853A10" w:rsidP="00853A10">
      <w:pPr>
        <w:pStyle w:val="ac"/>
        <w:rPr>
          <w:rtl/>
        </w:rPr>
      </w:pPr>
    </w:p>
    <w:p w:rsidR="00853A10" w:rsidRDefault="00853A10" w:rsidP="00853A10">
      <w:pPr>
        <w:pStyle w:val="ac"/>
        <w:rPr>
          <w:rtl/>
        </w:rPr>
      </w:pPr>
    </w:p>
    <w:p w:rsidR="00853A10" w:rsidRDefault="00853A10" w:rsidP="00853A10">
      <w:pPr>
        <w:pStyle w:val="ac"/>
        <w:rPr>
          <w:rtl/>
        </w:rPr>
      </w:pPr>
    </w:p>
    <w:p w:rsidR="00853A10" w:rsidRDefault="00853A10" w:rsidP="00853A10">
      <w:pPr>
        <w:pStyle w:val="ac"/>
        <w:rPr>
          <w:rtl/>
        </w:rPr>
      </w:pPr>
    </w:p>
    <w:p w:rsidR="00853A10" w:rsidRDefault="00853A10" w:rsidP="00853A10">
      <w:pPr>
        <w:pStyle w:val="ac"/>
        <w:rPr>
          <w:rtl/>
        </w:rPr>
      </w:pPr>
    </w:p>
    <w:p w:rsidR="006630AC" w:rsidRDefault="006630AC" w:rsidP="00853A10">
      <w:pPr>
        <w:pStyle w:val="aff2"/>
        <w:rPr>
          <w:rtl/>
        </w:rPr>
        <w:sectPr w:rsidR="006630AC" w:rsidSect="006628C6">
          <w:headerReference w:type="even" r:id="rId113"/>
          <w:headerReference w:type="default" r:id="rId114"/>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630" w:name="_Toc169521504"/>
    </w:p>
    <w:p w:rsidR="00853A10" w:rsidRDefault="00853A10" w:rsidP="00853A10">
      <w:pPr>
        <w:pStyle w:val="aff2"/>
        <w:rPr>
          <w:rtl/>
        </w:rPr>
      </w:pPr>
      <w:bookmarkStart w:id="631" w:name="_Toc275128275"/>
      <w:r w:rsidRPr="0017088F">
        <w:rPr>
          <w:rFonts w:hint="cs"/>
          <w:rtl/>
        </w:rPr>
        <w:lastRenderedPageBreak/>
        <w:t>القضايا الاجتماعية للمرأة</w:t>
      </w:r>
      <w:r>
        <w:rPr>
          <w:rFonts w:hint="cs"/>
          <w:rtl/>
        </w:rPr>
        <w:t xml:space="preserve"> في ضوء المدرسة الإسلامية</w:t>
      </w:r>
      <w:bookmarkEnd w:id="631"/>
      <w:r>
        <w:rPr>
          <w:rFonts w:hint="cs"/>
          <w:rtl/>
        </w:rPr>
        <w:t xml:space="preserve"> </w:t>
      </w:r>
    </w:p>
    <w:p w:rsidR="00853A10" w:rsidRPr="00853A10" w:rsidRDefault="00853A10" w:rsidP="00853A10">
      <w:pPr>
        <w:pStyle w:val="aff2"/>
        <w:rPr>
          <w:sz w:val="22"/>
          <w:szCs w:val="40"/>
          <w:rtl/>
        </w:rPr>
      </w:pPr>
      <w:bookmarkStart w:id="632" w:name="_Toc275128276"/>
      <w:r w:rsidRPr="00853A10">
        <w:rPr>
          <w:rFonts w:hint="cs"/>
          <w:sz w:val="22"/>
          <w:szCs w:val="40"/>
          <w:rtl/>
        </w:rPr>
        <w:t>والمدارس النسوية</w:t>
      </w:r>
      <w:bookmarkEnd w:id="630"/>
      <w:bookmarkEnd w:id="632"/>
    </w:p>
    <w:p w:rsidR="00853A10" w:rsidRPr="00A86062" w:rsidRDefault="00853A10" w:rsidP="00853A10">
      <w:pPr>
        <w:pStyle w:val="af7"/>
        <w:rPr>
          <w:rtl/>
        </w:rPr>
      </w:pPr>
      <w:bookmarkStart w:id="633" w:name="_Toc169521505"/>
      <w:bookmarkStart w:id="634" w:name="_Toc275128277"/>
      <w:r w:rsidRPr="00A86062">
        <w:rPr>
          <w:rFonts w:hint="cs"/>
          <w:rtl/>
        </w:rPr>
        <w:t>د. مهدية السادات مستقيمي</w:t>
      </w:r>
      <w:r w:rsidRPr="006630AC">
        <w:rPr>
          <w:rFonts w:cs="Taher"/>
          <w:position w:val="4"/>
          <w:sz w:val="30"/>
          <w:szCs w:val="30"/>
          <w:vertAlign w:val="superscript"/>
          <w:rtl/>
        </w:rPr>
        <w:footnoteReference w:customMarkFollows="1" w:id="992"/>
        <w:t>(</w:t>
      </w:r>
      <w:r w:rsidRPr="006630AC">
        <w:rPr>
          <w:rFonts w:cs="Taher"/>
          <w:position w:val="8"/>
          <w:sz w:val="30"/>
          <w:szCs w:val="30"/>
          <w:vertAlign w:val="superscript"/>
          <w:rtl/>
        </w:rPr>
        <w:t>*</w:t>
      </w:r>
      <w:r w:rsidRPr="006630AC">
        <w:rPr>
          <w:rFonts w:cs="Taher"/>
          <w:position w:val="4"/>
          <w:sz w:val="30"/>
          <w:szCs w:val="30"/>
          <w:vertAlign w:val="superscript"/>
          <w:rtl/>
        </w:rPr>
        <w:t>)</w:t>
      </w:r>
      <w:bookmarkEnd w:id="633"/>
      <w:bookmarkEnd w:id="634"/>
    </w:p>
    <w:p w:rsidR="00853A10" w:rsidRDefault="00853A10" w:rsidP="00853A10">
      <w:pPr>
        <w:pStyle w:val="af7"/>
        <w:spacing w:before="0"/>
        <w:rPr>
          <w:rtl/>
        </w:rPr>
      </w:pPr>
      <w:bookmarkStart w:id="635" w:name="_Toc275128278"/>
      <w:r w:rsidRPr="00A86062">
        <w:rPr>
          <w:rFonts w:hint="cs"/>
          <w:rtl/>
        </w:rPr>
        <w:t>ترجمة: فاطمة الموسـوي</w:t>
      </w:r>
      <w:bookmarkEnd w:id="635"/>
    </w:p>
    <w:p w:rsidR="00853A10" w:rsidRPr="006630AC" w:rsidRDefault="00853A10" w:rsidP="006630AC">
      <w:pPr>
        <w:pStyle w:val="ac"/>
        <w:rPr>
          <w:sz w:val="20"/>
          <w:szCs w:val="22"/>
          <w:rtl/>
        </w:rPr>
      </w:pPr>
    </w:p>
    <w:p w:rsidR="00853A10" w:rsidRPr="00C71112" w:rsidRDefault="00853A10" w:rsidP="00853A10">
      <w:pPr>
        <w:pStyle w:val="1"/>
        <w:rPr>
          <w:rtl/>
        </w:rPr>
      </w:pPr>
      <w:bookmarkStart w:id="636" w:name="_Toc169521506"/>
      <w:bookmarkStart w:id="637" w:name="_Toc275128279"/>
      <w:r w:rsidRPr="00C71112">
        <w:rPr>
          <w:rFonts w:hint="cs"/>
          <w:rtl/>
        </w:rPr>
        <w:t>تمهيد</w:t>
      </w:r>
      <w:bookmarkEnd w:id="636"/>
      <w:bookmarkEnd w:id="637"/>
    </w:p>
    <w:p w:rsidR="00853A10" w:rsidRPr="00E14ED6" w:rsidRDefault="00853A10" w:rsidP="00853A10">
      <w:pPr>
        <w:pStyle w:val="ac"/>
        <w:rPr>
          <w:rtl/>
        </w:rPr>
      </w:pPr>
      <w:r w:rsidRPr="00E14ED6">
        <w:rPr>
          <w:rFonts w:hint="cs"/>
          <w:rtl/>
        </w:rPr>
        <w:t>إذا نظرنا إلى الإطار العام للنظريات المطروحة بشأن القضايا الاجتماعية للمرأة ومسيرة نشوئها وتبلورها في ظل الأطر الخاصة والثقافات المعينة، ثمّ أمعنا النظر في تعدّدية المذاهب والمدارس التي تهدف إلى توسيع دائرة القضايا الاجتماعية التي ينبغي للمرأة ممارسة نشاطها وحضورها الفاعل فيها، وعدنا قليلاً إلى أسس هذه المدارس والمذاهب ومبادئها، لاكتشفنا حقيقةً تفيد مدى تأثير هذه النظريات الفلسفية في تغيير وجهات النظر بشأن القضايا ذات الصلة بالمرأة في النطاق الاجتماعي.</w:t>
      </w:r>
    </w:p>
    <w:p w:rsidR="00853A10" w:rsidRPr="00E14ED6" w:rsidRDefault="00853A10" w:rsidP="00853A10">
      <w:pPr>
        <w:pStyle w:val="ac"/>
        <w:rPr>
          <w:rtl/>
        </w:rPr>
      </w:pPr>
      <w:r w:rsidRPr="00E14ED6">
        <w:rPr>
          <w:rFonts w:hint="cs"/>
          <w:rtl/>
        </w:rPr>
        <w:t xml:space="preserve">وطالما كانت المرأة تشكّل نصف المجتمع البشري ـ من حيث السكان ـ بل قد تؤلّف تمام المجتمع بفضل ما تتحلّى به من مكانة تربوية ذات تأثير بالغ على الرجل الذي يؤلّف النصف الثاني للمجتمع، بات من الواضح أن يتمتع كلّ بحث للتطورات التي عاشتها المرأة في الإطار الاجتماعي بمميزاته وخصائصه المهمة في هذا المجال، وهنا </w:t>
      </w:r>
      <w:r w:rsidRPr="00E14ED6">
        <w:rPr>
          <w:rFonts w:hint="cs"/>
          <w:rtl/>
        </w:rPr>
        <w:lastRenderedPageBreak/>
        <w:t>تكمن أهمية التعرّف على النظريات الهامشية والسطحية والأسس والمبادئ التي تعرّضت لهذه القضية؛ ذلك لأنّ قضايا المرأة كافّة من قبيل إدارتها للشؤون الاجتماعية، مروراً بحقوقها ووظائفها الاجتماعية والسياسية، إلى جانب حقوقها وواجباتها الزوجية، إلى إدارتها للشؤون المنـزلية.. إنما تتأثر بالنظريات الاجتماعية التي أوردتها المدارس والمذاهب الفلسفية بهذا الشأن.</w:t>
      </w:r>
    </w:p>
    <w:p w:rsidR="00853A10" w:rsidRPr="00BC629D" w:rsidRDefault="00853A10" w:rsidP="00853A10">
      <w:pPr>
        <w:pStyle w:val="ac"/>
        <w:rPr>
          <w:rtl/>
        </w:rPr>
      </w:pPr>
      <w:r w:rsidRPr="00BC629D">
        <w:rPr>
          <w:rFonts w:hint="cs"/>
          <w:rtl/>
        </w:rPr>
        <w:t>ومما لا شك فيه أنّ الكلمة الفصل في تقويم النظريات الاجتماعية في معالجتها لقضايا المرأة إنما تستند لدائرة المعرفة والإدراك التي تمثّل البنى التحتية للفكر البشري في الأصعدة والميادين كافّة، وعلى جميع المستويات التي تقع ضمن دائرة الفكر.</w:t>
      </w:r>
    </w:p>
    <w:p w:rsidR="00853A10" w:rsidRPr="00E14ED6" w:rsidRDefault="00853A10" w:rsidP="00853A10">
      <w:pPr>
        <w:pStyle w:val="ac"/>
        <w:rPr>
          <w:rtl/>
        </w:rPr>
      </w:pPr>
      <w:r w:rsidRPr="00E14ED6">
        <w:rPr>
          <w:rFonts w:hint="cs"/>
          <w:rtl/>
        </w:rPr>
        <w:t xml:space="preserve">ومن بين الفلسفات التي تلعب دوراً بالغ التأثير في القضايا الاجتماعية </w:t>
      </w:r>
      <w:r w:rsidRPr="00E14ED6">
        <w:rPr>
          <w:rtl/>
        </w:rPr>
        <w:br/>
      </w:r>
      <w:r w:rsidRPr="00E14ED6">
        <w:rPr>
          <w:rFonts w:hint="cs"/>
          <w:rtl/>
        </w:rPr>
        <w:t>للمرأة؛ فلسفة علم المعرفة، وعلم النفس، وعلم الاجتماع، حيث تشكّل العناصر الرئيسية الإيجابية في تحديد الأنظمة الاجتماعية والأطروحات المتعلّقة بقضايا</w:t>
      </w:r>
      <w:r>
        <w:rPr>
          <w:rFonts w:hint="cs"/>
          <w:rtl/>
        </w:rPr>
        <w:t xml:space="preserve"> </w:t>
      </w:r>
      <w:r w:rsidRPr="00E14ED6">
        <w:rPr>
          <w:rFonts w:hint="cs"/>
          <w:rtl/>
        </w:rPr>
        <w:t>المرأة من جانب، وتؤثر في النظريات والأساليب والرؤى الفردية للمرأة من جانب آخر.</w:t>
      </w:r>
    </w:p>
    <w:p w:rsidR="00853A10" w:rsidRPr="00E14ED6" w:rsidRDefault="00853A10" w:rsidP="00853A10">
      <w:pPr>
        <w:pStyle w:val="ac"/>
        <w:rPr>
          <w:rtl/>
        </w:rPr>
      </w:pPr>
      <w:r w:rsidRPr="00E14ED6">
        <w:rPr>
          <w:rFonts w:hint="cs"/>
          <w:rtl/>
        </w:rPr>
        <w:t>وتسعى المقالة التي بين أيدينا إلى تبيين النظريات الاجتماعية وما تعانيه من بعض المخاطر والمطبّات، إلى جانب استعراض رأي المدرسة الإسلامية وآراء سائر المدارس التي تنادي بسيادة المرأة في بعض المحاور المهمة المرتبطة بالقضايا الاجتماعية، كقضية اختلاط الرجل بالمرأة، والفصل بينهما في الوسط الاجتماعي، وحقوق المرأة، ومشاركتها في العملية التنموية، وممارستها للعمل خارج البيت، وما إلى ذلك من أنشطة يمكن أن تضطلع بها المرأة.</w:t>
      </w:r>
    </w:p>
    <w:p w:rsidR="00853A10" w:rsidRDefault="00853A10" w:rsidP="00853A10">
      <w:pPr>
        <w:pStyle w:val="ac"/>
        <w:rPr>
          <w:rtl/>
        </w:rPr>
      </w:pPr>
      <w:r w:rsidRPr="00E14ED6">
        <w:rPr>
          <w:rFonts w:hint="cs"/>
          <w:rtl/>
        </w:rPr>
        <w:t>ولا يخفى أنّ هذه النظريات الفكرية تعدّ من الأبحاث الخطيرة التي حظيت باهتمام الإنسان على مدى الدهور والعصور.</w:t>
      </w:r>
    </w:p>
    <w:p w:rsidR="00853A10" w:rsidRPr="006630AC" w:rsidRDefault="00853A10" w:rsidP="006630AC">
      <w:pPr>
        <w:pStyle w:val="ac"/>
        <w:rPr>
          <w:rFonts w:ascii="Mosawi" w:hAnsi="Mosawi"/>
        </w:rPr>
      </w:pPr>
    </w:p>
    <w:p w:rsidR="00853A10" w:rsidRPr="0017088F" w:rsidRDefault="00853A10" w:rsidP="00E33C4C">
      <w:pPr>
        <w:pStyle w:val="1"/>
        <w:rPr>
          <w:rtl/>
        </w:rPr>
      </w:pPr>
      <w:bookmarkStart w:id="638" w:name="_Toc169521507"/>
      <w:bookmarkStart w:id="639" w:name="_Toc275128280"/>
      <w:r w:rsidRPr="0017088F">
        <w:rPr>
          <w:rFonts w:hint="cs"/>
          <w:rtl/>
        </w:rPr>
        <w:t>دائرة تأثّر القضـايا الاجتماعيـة للمـرأة بالمذاهب الفلسفية</w:t>
      </w:r>
      <w:bookmarkEnd w:id="638"/>
      <w:bookmarkEnd w:id="639"/>
      <w:r>
        <w:rPr>
          <w:rFonts w:hint="cs"/>
          <w:rtl/>
        </w:rPr>
        <w:t xml:space="preserve"> </w:t>
      </w:r>
    </w:p>
    <w:p w:rsidR="00853A10" w:rsidRPr="00E14ED6" w:rsidRDefault="00853A10" w:rsidP="00853A10">
      <w:pPr>
        <w:pStyle w:val="ac"/>
        <w:rPr>
          <w:rtl/>
        </w:rPr>
      </w:pPr>
      <w:r w:rsidRPr="00E14ED6">
        <w:rPr>
          <w:rFonts w:hint="cs"/>
          <w:rtl/>
        </w:rPr>
        <w:t xml:space="preserve">لا يمكن إنكار تأثير الـنـزعات والمذاهب الفلسفية ـ بغض النظر عن مبادئها وأسسها ـ في القضايا الاجتماعية للمرأة، فالنظريات التي أفرزتها التحقيقات الأصولية </w:t>
      </w:r>
      <w:r w:rsidRPr="00E14ED6">
        <w:rPr>
          <w:rFonts w:hint="cs"/>
          <w:rtl/>
        </w:rPr>
        <w:lastRenderedPageBreak/>
        <w:t>التي تستهدف بيان الآلية الصورية والتحليل المنطقي للرؤى المطروحة بشأن مكانة المرأة، وتلك التي تمخضت عن التحقيقات القائمة على أساس تقويم قضايا المرأة، مضافاً إلى التحقيقات العملية التي تعرضت للوضع الراهن للمرأة إلى جانب تصوير الوضع المطلوب والسبل الكفيلة للوصول بالمرأة إلى الوضع الأفضل، تلك النظريات كلّها إنّما تستند إلى مذاهب فلسفية تتأثر ـ إلى حدّ بعيد ـ بالفرضيات والمبادئ التي تطرحها بشأن المرأة وقضاياها الاجتماعية، وبناءً على هذا، فإنّ إحدى القضايا المهمة</w:t>
      </w:r>
      <w:r>
        <w:rPr>
          <w:rFonts w:hint="cs"/>
          <w:rtl/>
        </w:rPr>
        <w:t xml:space="preserve"> </w:t>
      </w:r>
      <w:r w:rsidRPr="00E14ED6">
        <w:rPr>
          <w:rFonts w:hint="cs"/>
          <w:rtl/>
        </w:rPr>
        <w:t>التي ينبغي الالتفات إليها هي أنّ اختلاف الآراء ووجهات النظر بشأن قضايا المرأة في إطار النظريات والمناهج والقيم والمبادئ، لا يقتصر عليها في النظرة إلى مكانة المرأة ومنـزلتها وشأنها الاجتماعي وحقوقها وواجباتها وما إلى ذلك من الأمور المرتبطة بها، بل إنّ أغلب الاختلافات إنّما تفرزها ـ عادةً ـ الفرضيات والمبادئ الفلسفية والكلامية لهذه الأبحاث الاجتماعية. أمّا القضايا الرئيسية المرتبطة بالدائرة الاجتماعية لأنشطة المرأة وفعالياتها فيمكن تلخيصها في المحاور الآتية:</w:t>
      </w:r>
    </w:p>
    <w:p w:rsidR="00853A10" w:rsidRPr="00E14ED6" w:rsidRDefault="00853A10" w:rsidP="00853A10">
      <w:pPr>
        <w:pStyle w:val="ac"/>
        <w:rPr>
          <w:rtl/>
        </w:rPr>
      </w:pPr>
      <w:r w:rsidRPr="00E14ED6">
        <w:rPr>
          <w:rFonts w:hint="cs"/>
          <w:rtl/>
        </w:rPr>
        <w:t>أ ـ مكانة المرأة ومنـزلتها بالنسبة لخالق الكون والوجود.</w:t>
      </w:r>
    </w:p>
    <w:p w:rsidR="00853A10" w:rsidRPr="00E14ED6" w:rsidRDefault="00853A10" w:rsidP="00853A10">
      <w:pPr>
        <w:pStyle w:val="ac"/>
        <w:rPr>
          <w:rtl/>
        </w:rPr>
      </w:pPr>
      <w:r w:rsidRPr="00E14ED6">
        <w:rPr>
          <w:rFonts w:hint="cs"/>
          <w:rtl/>
        </w:rPr>
        <w:t>ب ـ حقوق المرأة بالنسبة لوجودها وشأنها.</w:t>
      </w:r>
    </w:p>
    <w:p w:rsidR="00853A10" w:rsidRPr="00E14ED6" w:rsidRDefault="00853A10" w:rsidP="00853A10">
      <w:pPr>
        <w:pStyle w:val="ac"/>
        <w:rPr>
          <w:rtl/>
        </w:rPr>
      </w:pPr>
      <w:r w:rsidRPr="00E14ED6">
        <w:rPr>
          <w:rFonts w:hint="cs"/>
          <w:rtl/>
        </w:rPr>
        <w:t>ج ـ واجبات المرأة تجاه عالم الوجود وشؤونه.</w:t>
      </w:r>
    </w:p>
    <w:p w:rsidR="00853A10" w:rsidRPr="00E14ED6" w:rsidRDefault="00853A10" w:rsidP="00853A10">
      <w:pPr>
        <w:pStyle w:val="ac"/>
        <w:rPr>
          <w:rtl/>
        </w:rPr>
      </w:pPr>
      <w:r w:rsidRPr="00E14ED6">
        <w:rPr>
          <w:rFonts w:hint="cs"/>
          <w:rtl/>
        </w:rPr>
        <w:t>فحدود تأثّر قضايا المرأة الاجتماعية تقع ضمن المحاور الثلاثة المذكورة.</w:t>
      </w:r>
    </w:p>
    <w:p w:rsidR="00853A10" w:rsidRPr="00E14ED6" w:rsidRDefault="00853A10" w:rsidP="00853A10">
      <w:pPr>
        <w:pStyle w:val="ac"/>
        <w:rPr>
          <w:rtl/>
        </w:rPr>
      </w:pPr>
      <w:r w:rsidRPr="00E14ED6">
        <w:rPr>
          <w:rFonts w:hint="cs"/>
          <w:rtl/>
        </w:rPr>
        <w:t>على سبيل المثال، لو صنفنا الحقوق الاجتماعية للمرأة إلى نوعين هما: الحقوق الطبيعية والحقوق الاكتسابية (المكتسبة)، فإن الرؤى الفلسفية والكلّية ستلعب دوراً هاماً في تعيين حدود هذين النوعين وقيودهما.</w:t>
      </w:r>
    </w:p>
    <w:p w:rsidR="00853A10" w:rsidRPr="00E14ED6" w:rsidRDefault="00853A10" w:rsidP="00853A10">
      <w:pPr>
        <w:pStyle w:val="ac"/>
        <w:rPr>
          <w:rtl/>
        </w:rPr>
      </w:pPr>
      <w:r w:rsidRPr="00E14ED6">
        <w:rPr>
          <w:rFonts w:hint="cs"/>
          <w:rtl/>
        </w:rPr>
        <w:t>ومما لا شك فيه أن جذور بعض الفوارق التي وضعت بشأن حقوق المرأة والرجل إنّما تعود في الواقع إلى أصل هذه النظرة، أو تلك التي تقول باختلاف حقوق المرأة عن الرجل، كما تخلص بعضها في نهاية المطاف إلى نتيجة تفيد عدم إمكانية تمتّع المرأة بذات الحقوق التي يتمتع بها الرجل.</w:t>
      </w:r>
    </w:p>
    <w:p w:rsidR="00853A10" w:rsidRPr="00E14ED6" w:rsidRDefault="00853A10" w:rsidP="00853A10">
      <w:pPr>
        <w:pStyle w:val="ac"/>
        <w:rPr>
          <w:rtl/>
        </w:rPr>
      </w:pPr>
      <w:r w:rsidRPr="00E14ED6">
        <w:rPr>
          <w:rFonts w:hint="cs"/>
          <w:rtl/>
        </w:rPr>
        <w:t xml:space="preserve">والواقع أنّ الالتفات إلى طبيعة الثقافة والمجتمع والمدنية السائدة، وظروف تعدّد </w:t>
      </w:r>
      <w:r w:rsidRPr="00E14ED6">
        <w:rPr>
          <w:rFonts w:hint="cs"/>
          <w:rtl/>
        </w:rPr>
        <w:lastRenderedPageBreak/>
        <w:t>حيثيات واعتبارات قضايا المرأة، إلى جانب تداخل العلوم والمعارف البشرية، هذه الأمور برمّتها يمكنها أن توقفنا على مدى تأثيرها في هذا المجال، كما يمكنها في نفس الوقت أن تشير إلى الدقّة في كيفية ارتباط الرؤى بالأيديولوجيات، والفروع بالأصول في سائر مجالات العلوم الإنسانية، ومدى تأثر الدائرة الاجتماعية لقضايا المرأة بهذه الرؤى والنـزعات الفلسفية. أما دراسة هذه النـزعات الفلسفية المتعلقة بقضايا المرأة فإنها تنطوي على نتائج مفيدة يمكن خلاصتها بما يلي:</w:t>
      </w:r>
    </w:p>
    <w:p w:rsidR="00853A10" w:rsidRPr="00E14ED6" w:rsidRDefault="00853A10" w:rsidP="00853A10">
      <w:pPr>
        <w:pStyle w:val="ac"/>
        <w:rPr>
          <w:rtl/>
        </w:rPr>
      </w:pPr>
      <w:r w:rsidRPr="00E14ED6">
        <w:rPr>
          <w:rFonts w:hint="cs"/>
          <w:rtl/>
        </w:rPr>
        <w:t>1</w:t>
      </w:r>
      <w:r>
        <w:rPr>
          <w:rFonts w:hint="cs"/>
          <w:rtl/>
        </w:rPr>
        <w:t xml:space="preserve">ـ </w:t>
      </w:r>
      <w:r w:rsidRPr="00E14ED6">
        <w:rPr>
          <w:rFonts w:hint="cs"/>
          <w:rtl/>
        </w:rPr>
        <w:t>إنّها تسهّل عملية التعرّف على الحدّ الفاصل بين المبادئ والأسس الفلسفية للنظريات الاجتماعية المختلفة، والمبادئ والأسس الفلسفية للنظريات الدينية المعتمدة في هذا الشأن.</w:t>
      </w:r>
    </w:p>
    <w:p w:rsidR="00853A10" w:rsidRPr="00E14ED6" w:rsidRDefault="00853A10" w:rsidP="00853A10">
      <w:pPr>
        <w:pStyle w:val="ac"/>
        <w:rPr>
          <w:rtl/>
        </w:rPr>
      </w:pPr>
      <w:r w:rsidRPr="00E14ED6">
        <w:rPr>
          <w:rFonts w:hint="cs"/>
          <w:rtl/>
        </w:rPr>
        <w:t>2</w:t>
      </w:r>
      <w:r>
        <w:rPr>
          <w:rFonts w:hint="cs"/>
          <w:rtl/>
        </w:rPr>
        <w:t>ـ</w:t>
      </w:r>
      <w:r w:rsidRPr="00E14ED6">
        <w:rPr>
          <w:rFonts w:hint="cs"/>
          <w:rtl/>
        </w:rPr>
        <w:t xml:space="preserve"> إنّها تسهّل تصنيف النظريات الاجتماعية على ضوء المبادئ والأصول الفلسفية، وتشخيص ما يترتب من فوائد يفرزها هذا النوع من التصنيف.</w:t>
      </w:r>
    </w:p>
    <w:p w:rsidR="00853A10" w:rsidRPr="00E14ED6" w:rsidRDefault="00853A10" w:rsidP="00853A10">
      <w:pPr>
        <w:pStyle w:val="ac"/>
        <w:rPr>
          <w:rtl/>
        </w:rPr>
      </w:pPr>
      <w:r w:rsidRPr="00E14ED6">
        <w:rPr>
          <w:rFonts w:hint="cs"/>
          <w:rtl/>
        </w:rPr>
        <w:t>3</w:t>
      </w:r>
      <w:r>
        <w:rPr>
          <w:rFonts w:hint="cs"/>
          <w:rtl/>
        </w:rPr>
        <w:t xml:space="preserve">ـ </w:t>
      </w:r>
      <w:r w:rsidRPr="00E14ED6">
        <w:rPr>
          <w:rFonts w:hint="cs"/>
          <w:rtl/>
        </w:rPr>
        <w:t>دراسة الجذور الفكرية والأصول الأساسية التي يعتمدها المنظّرون في نظرياتهم وأطروحاتهم، كونها تشكّل اللوازم الأساسية للنظريات الاجتماعية التي قد يغفل عنها المنظّرون أنفسهم.</w:t>
      </w:r>
    </w:p>
    <w:p w:rsidR="00853A10" w:rsidRPr="00E14ED6" w:rsidRDefault="00853A10" w:rsidP="00853A10">
      <w:pPr>
        <w:pStyle w:val="ac"/>
        <w:rPr>
          <w:rtl/>
        </w:rPr>
      </w:pPr>
      <w:r w:rsidRPr="00E14ED6">
        <w:rPr>
          <w:rFonts w:hint="cs"/>
          <w:rtl/>
        </w:rPr>
        <w:t>4</w:t>
      </w:r>
      <w:r>
        <w:rPr>
          <w:rFonts w:hint="cs"/>
          <w:rtl/>
        </w:rPr>
        <w:t xml:space="preserve">ـ </w:t>
      </w:r>
      <w:r w:rsidRPr="00E14ED6">
        <w:rPr>
          <w:rFonts w:hint="cs"/>
          <w:rtl/>
        </w:rPr>
        <w:t>بيان المبادئ الفكرية والأصول الأساسية للنظريات الاجتماعية المطروحة بهذا الشأن للقرّاء والمخاطبين الذين لا يسعهم إدراك صحّة وسقم أي موضوع إلاّ من خلال تصويب الرؤى والأطروحات الاجتماعية.</w:t>
      </w:r>
    </w:p>
    <w:p w:rsidR="00853A10" w:rsidRPr="00E14ED6" w:rsidRDefault="00853A10" w:rsidP="00853A10">
      <w:pPr>
        <w:pStyle w:val="ac"/>
        <w:rPr>
          <w:rtl/>
        </w:rPr>
      </w:pPr>
      <w:r w:rsidRPr="00E14ED6">
        <w:rPr>
          <w:rFonts w:hint="cs"/>
          <w:rtl/>
        </w:rPr>
        <w:t>5</w:t>
      </w:r>
      <w:r>
        <w:rPr>
          <w:rFonts w:hint="cs"/>
          <w:rtl/>
        </w:rPr>
        <w:t xml:space="preserve">ـ </w:t>
      </w:r>
      <w:r w:rsidRPr="00E14ED6">
        <w:rPr>
          <w:rFonts w:hint="cs"/>
          <w:rtl/>
        </w:rPr>
        <w:t>توضيح الجذور الفكرية والبنى الأساسية الفلسفية للنظريات الاجتماعية لمن يروم معرفة وتقويم علاقة هذه النظريات والأطروحات بسائر الأيديولوجيات المطروحة بهذا الخصوص.</w:t>
      </w:r>
    </w:p>
    <w:p w:rsidR="00853A10" w:rsidRPr="00E14ED6" w:rsidRDefault="00853A10" w:rsidP="00853A10">
      <w:pPr>
        <w:pStyle w:val="ac"/>
        <w:rPr>
          <w:rtl/>
        </w:rPr>
      </w:pPr>
      <w:r w:rsidRPr="00E14ED6">
        <w:rPr>
          <w:rFonts w:hint="cs"/>
          <w:rtl/>
        </w:rPr>
        <w:t>6</w:t>
      </w:r>
      <w:r>
        <w:rPr>
          <w:rFonts w:hint="cs"/>
          <w:rtl/>
        </w:rPr>
        <w:t xml:space="preserve">ـ </w:t>
      </w:r>
      <w:r w:rsidRPr="00E14ED6">
        <w:rPr>
          <w:rFonts w:hint="cs"/>
          <w:rtl/>
        </w:rPr>
        <w:t>الانعكاس غير المباشر لمسار التطوّر في المتطلّبات الفلسفية والأفكار التي تمثل البنى التحتية للفكر البشري.</w:t>
      </w:r>
    </w:p>
    <w:p w:rsidR="00853A10" w:rsidRPr="00E14ED6" w:rsidRDefault="00853A10" w:rsidP="00853A10">
      <w:pPr>
        <w:pStyle w:val="ac"/>
        <w:rPr>
          <w:rtl/>
        </w:rPr>
      </w:pPr>
      <w:r w:rsidRPr="00E14ED6">
        <w:rPr>
          <w:rFonts w:hint="cs"/>
          <w:rtl/>
        </w:rPr>
        <w:t>7</w:t>
      </w:r>
      <w:r>
        <w:rPr>
          <w:rFonts w:hint="cs"/>
          <w:rtl/>
        </w:rPr>
        <w:t xml:space="preserve">ـ </w:t>
      </w:r>
      <w:r w:rsidRPr="00E14ED6">
        <w:rPr>
          <w:rFonts w:hint="cs"/>
          <w:rtl/>
        </w:rPr>
        <w:t>السهولة في كيفية ترابط الأطروحات والنظريات الواردة بشأن القضايا الاجتماعية للمرأة بعضها ببعض على أساس ارتباطها بالأسس والمبادئ الفلسفية.</w:t>
      </w:r>
    </w:p>
    <w:p w:rsidR="00853A10" w:rsidRPr="00E14ED6" w:rsidRDefault="00853A10" w:rsidP="006630AC">
      <w:pPr>
        <w:pStyle w:val="ac"/>
        <w:spacing w:line="202" w:lineRule="auto"/>
        <w:rPr>
          <w:rtl/>
        </w:rPr>
      </w:pPr>
      <w:r w:rsidRPr="00E14ED6">
        <w:rPr>
          <w:rFonts w:hint="cs"/>
          <w:rtl/>
        </w:rPr>
        <w:lastRenderedPageBreak/>
        <w:t>8</w:t>
      </w:r>
      <w:r>
        <w:rPr>
          <w:rFonts w:hint="cs"/>
          <w:rtl/>
        </w:rPr>
        <w:t xml:space="preserve">ـ </w:t>
      </w:r>
      <w:r w:rsidRPr="00E14ED6">
        <w:rPr>
          <w:rFonts w:hint="cs"/>
          <w:rtl/>
        </w:rPr>
        <w:t>إيجاد الحلول والمعالجات العملية لتصحيح الآراء الفاسدة بشأن القضايا الاجتماعية للمرأة، من خلال تصوير عمق فسادها وانحرافها، مع الطعن فيها وتقديم البديل الصالح.</w:t>
      </w:r>
    </w:p>
    <w:p w:rsidR="00853A10" w:rsidRPr="00E14ED6" w:rsidRDefault="00853A10" w:rsidP="006630AC">
      <w:pPr>
        <w:pStyle w:val="ac"/>
        <w:spacing w:line="202" w:lineRule="auto"/>
        <w:rPr>
          <w:rtl/>
        </w:rPr>
      </w:pPr>
      <w:r w:rsidRPr="00E14ED6">
        <w:rPr>
          <w:rFonts w:hint="cs"/>
          <w:rtl/>
        </w:rPr>
        <w:t>9</w:t>
      </w:r>
      <w:r>
        <w:rPr>
          <w:rFonts w:hint="cs"/>
          <w:rtl/>
        </w:rPr>
        <w:t xml:space="preserve">ـ </w:t>
      </w:r>
      <w:r w:rsidRPr="00E14ED6">
        <w:rPr>
          <w:rFonts w:hint="cs"/>
          <w:rtl/>
        </w:rPr>
        <w:t>إيجاد الحلول العملية بالاستناد إلى وجهات النظر الصائبة بشأن القضايا الاجتماعية للمرأة، ومن ثمّ الخوض في تفاصيل وجهات النظر هذه والكشف عن عمق مبادئها وأصولها الفلسفية.</w:t>
      </w:r>
    </w:p>
    <w:p w:rsidR="00853A10" w:rsidRDefault="00853A10" w:rsidP="006630AC">
      <w:pPr>
        <w:pStyle w:val="ac"/>
        <w:spacing w:line="202" w:lineRule="auto"/>
        <w:rPr>
          <w:rtl/>
        </w:rPr>
      </w:pPr>
      <w:r w:rsidRPr="00E14ED6">
        <w:rPr>
          <w:rFonts w:hint="cs"/>
          <w:rtl/>
        </w:rPr>
        <w:t>10</w:t>
      </w:r>
      <w:r>
        <w:rPr>
          <w:rFonts w:hint="cs"/>
          <w:rtl/>
        </w:rPr>
        <w:t xml:space="preserve">ـ </w:t>
      </w:r>
      <w:r w:rsidRPr="00E14ED6">
        <w:rPr>
          <w:rFonts w:hint="cs"/>
          <w:rtl/>
        </w:rPr>
        <w:t>إعداد الإحصاءات والخطوط البيانية ليتسنّى من خلال اعتماد استقراء الاحتمالات التكهّن مستقبلاً ببعض النظريات التي تطرح بشأن القضايا الاجتماعية للمرأة على ضوء تطوّر النظريات الفلسفية.</w:t>
      </w:r>
    </w:p>
    <w:p w:rsidR="00853A10" w:rsidRPr="006630AC" w:rsidRDefault="00853A10" w:rsidP="006630AC">
      <w:pPr>
        <w:pStyle w:val="ac"/>
        <w:rPr>
          <w:rFonts w:ascii="Mosawi" w:hAnsi="Mosawi"/>
          <w:sz w:val="18"/>
          <w:szCs w:val="20"/>
        </w:rPr>
      </w:pPr>
    </w:p>
    <w:p w:rsidR="00853A10" w:rsidRPr="0017088F" w:rsidRDefault="00853A10" w:rsidP="00853A10">
      <w:pPr>
        <w:pStyle w:val="1"/>
        <w:rPr>
          <w:rtl/>
        </w:rPr>
      </w:pPr>
      <w:bookmarkStart w:id="640" w:name="_Toc169521509"/>
      <w:bookmarkStart w:id="641" w:name="_Toc275128281"/>
      <w:r w:rsidRPr="0017088F">
        <w:rPr>
          <w:rFonts w:hint="cs"/>
          <w:rtl/>
        </w:rPr>
        <w:t xml:space="preserve">دائرة تأثير الإدراك </w:t>
      </w:r>
      <w:r>
        <w:rPr>
          <w:rFonts w:hint="cs"/>
          <w:rtl/>
        </w:rPr>
        <w:t>والفلسفة على القضايا الاجتماعية للمرأة</w:t>
      </w:r>
      <w:bookmarkEnd w:id="640"/>
      <w:bookmarkEnd w:id="641"/>
    </w:p>
    <w:p w:rsidR="00853A10" w:rsidRPr="00E14ED6" w:rsidRDefault="00853A10" w:rsidP="006630AC">
      <w:pPr>
        <w:pStyle w:val="ac"/>
        <w:spacing w:line="199" w:lineRule="auto"/>
        <w:rPr>
          <w:rtl/>
        </w:rPr>
      </w:pPr>
      <w:r w:rsidRPr="00E14ED6">
        <w:rPr>
          <w:rFonts w:hint="cs"/>
          <w:rtl/>
        </w:rPr>
        <w:t>لقد أدّت كثرة المعلومات واتّساع الفرضيات وازدياد النظريات وتعدد المدارس العلمية والمذاهب الفلسفية إلى أن تتطلع البشرية إلى الآراء المختلفة بشأن قضايا المرأة الاجتماعية على ضوء أنواع التقنيات والمعارف السلوكية والصيغ والأطروحات الفكرية التي عالجت هذا الأمر. إلاّ أن المسألة التي ينبغي الالتفات إليها وعدم تجاهلها في هذا المجال هي دائرة تأثير الإدراك والفلسفة على القضايا الاجتماعية للمرأة.</w:t>
      </w:r>
    </w:p>
    <w:p w:rsidR="00853A10" w:rsidRPr="00E14ED6" w:rsidRDefault="00853A10" w:rsidP="006630AC">
      <w:pPr>
        <w:pStyle w:val="ac"/>
        <w:spacing w:line="199" w:lineRule="auto"/>
        <w:rPr>
          <w:rtl/>
        </w:rPr>
      </w:pPr>
      <w:r w:rsidRPr="00E14ED6">
        <w:rPr>
          <w:rFonts w:hint="cs"/>
          <w:rtl/>
        </w:rPr>
        <w:t>ومما لا شكّ فيه أنّ تعدّد القراءات الثقافية والنـزعات الفلسفية الخاصة، وحتى النـزعات اللادينية، وأحياناً تأريخ وجغرافيا الأجواء السياسية والنهضات العلمية والثقافية والفلسفية، إنمّا تلعب دوراً خطيراً وبارزاً في تحديد كمية وكيفية الآراء التي تعالج القضايا الاجتماعية للمرأة.</w:t>
      </w:r>
    </w:p>
    <w:p w:rsidR="00853A10" w:rsidRPr="00E14ED6" w:rsidRDefault="00853A10" w:rsidP="006630AC">
      <w:pPr>
        <w:pStyle w:val="ac"/>
        <w:spacing w:line="199" w:lineRule="auto"/>
        <w:rPr>
          <w:rtl/>
        </w:rPr>
      </w:pPr>
      <w:r w:rsidRPr="00E14ED6">
        <w:rPr>
          <w:rFonts w:hint="cs"/>
          <w:rtl/>
        </w:rPr>
        <w:t xml:space="preserve">والمراد بدائرة الإدراك والفلسفة المؤثرة على القضايا الاجتماعية للمرأة تلك المجالات والميادين التي تشمل الفروع المختلفة من قبيل فلسفة العلم، فلسفة السياسة، فلسفة الأخلاق، فلسفة التأريخ، فلسفة علم النفس، فلسفة الجمال والفلسفة السلوكية وما إلى ذلك من فلسفات. والواقع إنّ للآراء الوجودية ـ التي تنطوي على معارف تؤدي إلى حصول علم يقيني وضروري ـ تأثيراً معيناً على النظريات الاجتماعية </w:t>
      </w:r>
      <w:r w:rsidRPr="00E14ED6">
        <w:rPr>
          <w:rFonts w:hint="cs"/>
          <w:rtl/>
        </w:rPr>
        <w:lastRenderedPageBreak/>
        <w:t>المطروحة بشأن المرأة، بينما هناك تأثير من نوع آخر تلعبه الآراء الفلسفية الحسية والشكّية على تلك النظريات.</w:t>
      </w:r>
    </w:p>
    <w:p w:rsidR="00853A10" w:rsidRPr="00E14ED6" w:rsidRDefault="00853A10" w:rsidP="006630AC">
      <w:pPr>
        <w:pStyle w:val="ac"/>
        <w:spacing w:line="202" w:lineRule="auto"/>
        <w:rPr>
          <w:rtl/>
        </w:rPr>
      </w:pPr>
      <w:r w:rsidRPr="00E14ED6">
        <w:rPr>
          <w:rFonts w:hint="cs"/>
          <w:rtl/>
        </w:rPr>
        <w:t>فهناك بعض المذاهب الفلسفية التي تُنكر معرفة العقل، في توجد مدارس فكرية قائمة أساساً على علوم المعرفة، والمرتكزة على أصالة العقل والنقل والدين، المستند بدوره عليهما. ومما لا شك فيه، هناك تأثيرات مختلفة باختلاف الأسس والأصول التي تنطوي عليها المدارس الفكرية، وبالتالي ما تسوقه من نظريات اجتماعية بشأن المرأة، فعلى سبيل المثال، ثمّة بون شاسع بين آراء من يقول بنسبية المعرفة في الأبحاث الفلسفية للعلوم والمعارف الدينية، ولا يقرّ بالمبادئ الفكرية المسوغة لاستمرار اجتهاد الفقيه واستنباطه للأحكام الشرعية المختصة بالمواضيع المستحدثة، ولا يتعامل مع آراء الفقيه إذا ما اعتمد نظريةً بشأن المسائل المستحدثة في مجال التطورات الاجتماعية لقضايا المرأة، وآراء من ينتمي إلى مدرسة فلسفية تثبت العلم والمعرفة وتعتمد عليهما في معظم الأمور ومختلف المجالات، كما يعتقد بضرورة ديمومة الاجتهاد في كل زمان، ويرى أنّ المجتهد إنّما يتحرك على ضوء دائرته الطبيعية والاجتماعية للتوصل إلى معرفة الحكم الشرعي، حيث يستفرغ ما في وُسعه لاستنباط أحكام المسائل المستحدثة على ضوء القواعد والأصول المنصوص عليها في الشريعة، فعلم المعرفة ليس منفصلاً عن علم الوجود، كما أنّ هذين العلمين لا ينفصلان قط عن القوانين الفرعية والجزئية المرتبطة بنظام الحقوق والواجبات.</w:t>
      </w:r>
    </w:p>
    <w:p w:rsidR="00853A10" w:rsidRDefault="00853A10" w:rsidP="006630AC">
      <w:pPr>
        <w:pStyle w:val="ac"/>
        <w:rPr>
          <w:rtl/>
        </w:rPr>
      </w:pPr>
      <w:r w:rsidRPr="00E14ED6">
        <w:rPr>
          <w:rFonts w:hint="cs"/>
          <w:rtl/>
        </w:rPr>
        <w:t>فمن لا يؤمن بالغيب، ويراه نوعاً من الخرافة، من الطبيعي أن يحذف من حساباته القوانين الاجتماعية التي تعالج الشؤون المستقبلية قبل تحقّقها، وعليه فهو ينكر شطراً كبيراً خارج هذا العالم ويغفل حتى عن تصوّره. أمّا من يؤمن بالعقلانية المطلقة، ولا يرى من حدود في التعامل مع تلك العقلانية، فإنه لن يحيد عنها، بل لن يتخلّى عنها في الأحكام الجزئية والفرعية التي يعتقد بعقلنتها.</w:t>
      </w:r>
    </w:p>
    <w:p w:rsidR="00853A10" w:rsidRPr="006630AC" w:rsidRDefault="00853A10" w:rsidP="006630AC">
      <w:pPr>
        <w:pStyle w:val="afffffc"/>
        <w:rPr>
          <w:rFonts w:ascii="Mosawi" w:hAnsi="Mosawi"/>
          <w:sz w:val="20"/>
          <w:szCs w:val="18"/>
        </w:rPr>
      </w:pPr>
    </w:p>
    <w:p w:rsidR="00853A10" w:rsidRPr="0017088F" w:rsidRDefault="00853A10" w:rsidP="00E33C4C">
      <w:pPr>
        <w:pStyle w:val="1"/>
        <w:rPr>
          <w:rtl/>
        </w:rPr>
      </w:pPr>
      <w:bookmarkStart w:id="642" w:name="_Toc169521510"/>
      <w:bookmarkStart w:id="643" w:name="_Toc275128282"/>
      <w:r w:rsidRPr="0017088F">
        <w:rPr>
          <w:rFonts w:hint="cs"/>
          <w:rtl/>
        </w:rPr>
        <w:t>المكانة الاجتماعية للمرأة</w:t>
      </w:r>
      <w:bookmarkEnd w:id="642"/>
      <w:r w:rsidRPr="0017088F">
        <w:rPr>
          <w:rFonts w:hint="cs"/>
          <w:rtl/>
        </w:rPr>
        <w:t xml:space="preserve"> </w:t>
      </w:r>
      <w:r w:rsidR="00E33C4C">
        <w:rPr>
          <w:rFonts w:hint="cs"/>
          <w:rtl/>
        </w:rPr>
        <w:t>بين الإسلام والنسوية</w:t>
      </w:r>
      <w:bookmarkEnd w:id="643"/>
    </w:p>
    <w:p w:rsidR="00853A10" w:rsidRPr="00E14ED6" w:rsidRDefault="00853A10" w:rsidP="00853A10">
      <w:pPr>
        <w:pStyle w:val="ac"/>
        <w:rPr>
          <w:rtl/>
        </w:rPr>
      </w:pPr>
      <w:r w:rsidRPr="00E14ED6">
        <w:rPr>
          <w:rFonts w:hint="cs"/>
          <w:rtl/>
        </w:rPr>
        <w:t xml:space="preserve">من الخصائص المميزة لأصحاب نظرية سيادة المرأة ومساواتها مع الرجل الدفاع عن </w:t>
      </w:r>
      <w:r w:rsidRPr="00E14ED6">
        <w:rPr>
          <w:rFonts w:hint="cs"/>
          <w:rtl/>
        </w:rPr>
        <w:lastRenderedPageBreak/>
        <w:t xml:space="preserve">المرأة وحقوقها الاجتماعية أكثر من إحياء شخصيتها الاجتماعية وعلاقاتها الاجتماعية الصحيحة، فلا ينبغي للمرأة أن تكون أقلّ شأناً وأوطأ درجة من الرجل: </w:t>
      </w:r>
      <w:r w:rsidRPr="00617008">
        <w:rPr>
          <w:rFonts w:hint="cs"/>
          <w:rtl/>
        </w:rPr>
        <w:t>«</w:t>
      </w:r>
      <w:r w:rsidRPr="00E14ED6">
        <w:rPr>
          <w:rFonts w:hint="cs"/>
          <w:rtl/>
        </w:rPr>
        <w:t>إن القول بسيادة المرأة لا يمثل حركة فكرية واحدة، غير أن جميع القائلين بهذا الأمر ـ سيادة المرأة ـ يعتقدون بضرورة إدراك وفهم هذه الحالة السلبية، وهي الدونية في الشأن، والعمل على إزالتها، مع ذلك فهم لا يتفقون على تحديد العناصر التي تقف وراء هذه الشأنية المتنـزلة ولا على كيفية التوصل إلى تحرير المرأة من خلال إزالة تلك العناصر</w:t>
      </w:r>
      <w:r w:rsidRPr="00617008">
        <w:rPr>
          <w:rFonts w:hint="cs"/>
          <w:rtl/>
        </w:rPr>
        <w:t>»</w:t>
      </w:r>
      <w:r w:rsidRPr="00815C4C">
        <w:rPr>
          <w:rFonts w:cs="Taher"/>
          <w:vertAlign w:val="superscript"/>
          <w:rtl/>
        </w:rPr>
        <w:t>(</w:t>
      </w:r>
      <w:r w:rsidRPr="00815C4C">
        <w:rPr>
          <w:rFonts w:cs="Taher"/>
          <w:vertAlign w:val="superscript"/>
          <w:rtl/>
        </w:rPr>
        <w:footnoteReference w:id="993"/>
      </w:r>
      <w:r w:rsidRPr="00815C4C">
        <w:rPr>
          <w:rFonts w:cs="Taher"/>
          <w:vertAlign w:val="superscript"/>
          <w:rtl/>
        </w:rPr>
        <w:t>)</w:t>
      </w:r>
      <w:r w:rsidRPr="00E14ED6">
        <w:rPr>
          <w:rFonts w:hint="cs"/>
          <w:rtl/>
        </w:rPr>
        <w:t>.</w:t>
      </w:r>
    </w:p>
    <w:p w:rsidR="00853A10" w:rsidRPr="00E14ED6" w:rsidRDefault="00853A10" w:rsidP="006630AC">
      <w:pPr>
        <w:pStyle w:val="ac"/>
        <w:rPr>
          <w:rtl/>
        </w:rPr>
      </w:pPr>
      <w:r w:rsidRPr="00E14ED6">
        <w:rPr>
          <w:rFonts w:hint="cs"/>
          <w:rtl/>
        </w:rPr>
        <w:t xml:space="preserve">وعليه، فإنّ كافة دعاة سيادة المرأة يرون أنّ أهم قضاياها الاجتماعية إنما تكمن في مظلوميتها، غير أن البعض منهم كالجناح الراديكالي إنمّا ينظر إلى المرأة على أنها شريحة اجتماعية ويضيف: </w:t>
      </w:r>
      <w:r w:rsidRPr="00617008">
        <w:rPr>
          <w:rFonts w:hint="cs"/>
          <w:rtl/>
        </w:rPr>
        <w:t>«</w:t>
      </w:r>
      <w:r w:rsidRPr="00E14ED6">
        <w:rPr>
          <w:rFonts w:hint="cs"/>
          <w:rtl/>
        </w:rPr>
        <w:t>للنساء مصالح مشتركة، حيث عانين من ظلم الرجل واضطهاده، وعليه فانهنّ يؤلفن شريحة اجتماعية تقف على الضدّ من الشريحة الاجتماعية التي يؤلّفها الرجل</w:t>
      </w:r>
      <w:r w:rsidRPr="00617008">
        <w:rPr>
          <w:rFonts w:hint="cs"/>
          <w:rtl/>
        </w:rPr>
        <w:t>»</w:t>
      </w:r>
      <w:r w:rsidRPr="00815C4C">
        <w:rPr>
          <w:rFonts w:cs="Taher"/>
          <w:vertAlign w:val="superscript"/>
          <w:rtl/>
        </w:rPr>
        <w:t>(</w:t>
      </w:r>
      <w:r w:rsidRPr="00815C4C">
        <w:rPr>
          <w:rFonts w:cs="Taher"/>
          <w:vertAlign w:val="superscript"/>
          <w:rtl/>
        </w:rPr>
        <w:footnoteReference w:id="994"/>
      </w:r>
      <w:r w:rsidRPr="00815C4C">
        <w:rPr>
          <w:rFonts w:cs="Taher"/>
          <w:vertAlign w:val="superscript"/>
          <w:rtl/>
        </w:rPr>
        <w:t>)</w:t>
      </w:r>
      <w:r w:rsidRPr="00E14ED6">
        <w:rPr>
          <w:rFonts w:hint="cs"/>
          <w:rtl/>
        </w:rPr>
        <w:t>.</w:t>
      </w:r>
    </w:p>
    <w:p w:rsidR="00853A10" w:rsidRPr="00E14ED6" w:rsidRDefault="00853A10" w:rsidP="006630AC">
      <w:pPr>
        <w:pStyle w:val="ac"/>
        <w:spacing w:line="199" w:lineRule="auto"/>
        <w:rPr>
          <w:rtl/>
        </w:rPr>
      </w:pPr>
      <w:r w:rsidRPr="00E14ED6">
        <w:rPr>
          <w:rFonts w:hint="cs"/>
          <w:rtl/>
        </w:rPr>
        <w:t xml:space="preserve">أَمّا الاتجاهات الماركسية والاشتراكية واستناداً لأيديولوجياتها الفكرية المادية، فترى نفسها مضطرةً لعرض التحليلات الثنائية بشأن تحديد المكانة الاجتماعية للمرأة، فتطرح قضية الفوارق الطبقية إلى جانب قضية سيادة الرجل الممقوتة عالمياً ـ حسب زعم أنصار سيادة المرأة ـ حيث ينسجم هذا الطرح مع النظم الفكرية الماركسية. أَمّا النـزعة الاشتراكية فتطرح التفسير الاقتصادي لقضية المرأة: </w:t>
      </w:r>
      <w:r w:rsidRPr="00617008">
        <w:rPr>
          <w:rFonts w:hint="cs"/>
          <w:rtl/>
        </w:rPr>
        <w:t>«</w:t>
      </w:r>
      <w:r w:rsidRPr="00E14ED6">
        <w:rPr>
          <w:rFonts w:hint="cs"/>
          <w:rtl/>
        </w:rPr>
        <w:t>فعلاقة المرأة بالنظام الاقتصادي كعلاقتها بالرجل</w:t>
      </w:r>
      <w:r w:rsidRPr="00617008">
        <w:rPr>
          <w:rFonts w:hint="cs"/>
          <w:rtl/>
        </w:rPr>
        <w:t>»</w:t>
      </w:r>
      <w:r w:rsidRPr="00815C4C">
        <w:rPr>
          <w:rFonts w:cs="Taher"/>
          <w:vertAlign w:val="superscript"/>
          <w:rtl/>
        </w:rPr>
        <w:t>(</w:t>
      </w:r>
      <w:r w:rsidRPr="00815C4C">
        <w:rPr>
          <w:rFonts w:cs="Taher"/>
          <w:vertAlign w:val="superscript"/>
          <w:rtl/>
        </w:rPr>
        <w:footnoteReference w:id="995"/>
      </w:r>
      <w:r w:rsidRPr="00815C4C">
        <w:rPr>
          <w:rFonts w:cs="Taher"/>
          <w:vertAlign w:val="superscript"/>
          <w:rtl/>
        </w:rPr>
        <w:t>)</w:t>
      </w:r>
      <w:r w:rsidRPr="00E14ED6">
        <w:rPr>
          <w:rFonts w:hint="cs"/>
          <w:rtl/>
        </w:rPr>
        <w:t xml:space="preserve">. إلاّ أنّ بعض أنصار مذهب سيادة المرأة يعترض على هذا التفسير الذي يقتصر على إبراز الطبقية الاقتصادية بين الرجل والمرأة، ذاهباً إلى نوع آخر من الطبقية على حد زعمه بين الرجل والمرأة، وهو الاعتقاد بأنّ الظلم الذي تفرزه ظاهرة سيادة الرجل وتسلّطه على المرأة كان وما يزال مقدّماً على الظلم الذي ينبثق من التفاوت الطبقي الاقتصادي الذي ينشأ في ظل النظام الاشتراكي في توزيع وسائل </w:t>
      </w:r>
      <w:r w:rsidRPr="00E14ED6">
        <w:rPr>
          <w:rFonts w:hint="cs"/>
          <w:rtl/>
        </w:rPr>
        <w:lastRenderedPageBreak/>
        <w:t>الإنتاج.</w:t>
      </w:r>
    </w:p>
    <w:p w:rsidR="00853A10" w:rsidRPr="00E14ED6" w:rsidRDefault="00853A10" w:rsidP="006630AC">
      <w:pPr>
        <w:pStyle w:val="ac"/>
        <w:spacing w:line="199" w:lineRule="auto"/>
        <w:rPr>
          <w:rtl/>
        </w:rPr>
      </w:pPr>
      <w:r w:rsidRPr="00E14ED6">
        <w:rPr>
          <w:rFonts w:hint="cs"/>
          <w:rtl/>
        </w:rPr>
        <w:t xml:space="preserve">أمّا أصحاب نزعة سيادة المرأة من التيار الليبرالي فهم يشتركون مع سائر أنصار هذه القضية من خلال المطالبة بإزالة التمايز الطبقي بين الرجل والمرأة: </w:t>
      </w:r>
      <w:r w:rsidRPr="00885E99">
        <w:rPr>
          <w:rFonts w:hint="eastAsia"/>
          <w:rtl/>
        </w:rPr>
        <w:t>«</w:t>
      </w:r>
      <w:r w:rsidRPr="00E14ED6">
        <w:rPr>
          <w:rFonts w:hint="cs"/>
          <w:rtl/>
        </w:rPr>
        <w:t>فقد خاضوا في الدفاع عن حقوق المرأة على أَساس مبدأ المساواة الذي يصرّح بتمتع المرأة بذات الحقوق التي منحت للرجل</w:t>
      </w:r>
      <w:r w:rsidRPr="00853A10">
        <w:rPr>
          <w:rFonts w:hint="eastAsia"/>
          <w:rtl/>
        </w:rPr>
        <w:t>»</w:t>
      </w:r>
      <w:r w:rsidRPr="00815C4C">
        <w:rPr>
          <w:rFonts w:cs="Taher"/>
          <w:vertAlign w:val="superscript"/>
          <w:rtl/>
        </w:rPr>
        <w:t>(</w:t>
      </w:r>
      <w:r w:rsidRPr="00815C4C">
        <w:rPr>
          <w:rFonts w:cs="Taher"/>
          <w:vertAlign w:val="superscript"/>
          <w:rtl/>
        </w:rPr>
        <w:footnoteReference w:id="996"/>
      </w:r>
      <w:r w:rsidRPr="00815C4C">
        <w:rPr>
          <w:rFonts w:cs="Taher"/>
          <w:vertAlign w:val="superscript"/>
          <w:rtl/>
        </w:rPr>
        <w:t>)</w:t>
      </w:r>
      <w:r w:rsidRPr="00E14ED6">
        <w:rPr>
          <w:rFonts w:hint="cs"/>
          <w:rtl/>
        </w:rPr>
        <w:t>، الأمر الذي جعلهم يرفضون القوانين والأنظمة الحقوقية التي اختصّت بالرجل ولم تصرّح بمثلها للمرأة، بل قد اندفع أنصار المساواة أبعد من ذلك فوقفوا بوجه القوانين التي شرّعت في إطار الدفاع عن مساواة المرأة ومنحها بعض الامتيازات، ثم بالغوا أكثر من ذلك، ولم يكتفوا حتى بالمساواة، فدعموا القوانين التي تمنع من الأصل مبدأ التمييز بين المرأة والرجل</w:t>
      </w:r>
      <w:r w:rsidRPr="00815C4C">
        <w:rPr>
          <w:rFonts w:cs="Taher"/>
          <w:vertAlign w:val="superscript"/>
          <w:rtl/>
        </w:rPr>
        <w:t>(</w:t>
      </w:r>
      <w:r w:rsidRPr="00815C4C">
        <w:rPr>
          <w:rFonts w:cs="Taher"/>
          <w:vertAlign w:val="superscript"/>
          <w:rtl/>
        </w:rPr>
        <w:footnoteReference w:id="997"/>
      </w:r>
      <w:r w:rsidRPr="00815C4C">
        <w:rPr>
          <w:rFonts w:cs="Taher"/>
          <w:vertAlign w:val="superscript"/>
          <w:rtl/>
        </w:rPr>
        <w:t>)</w:t>
      </w:r>
      <w:r w:rsidRPr="00E14ED6">
        <w:rPr>
          <w:rFonts w:hint="cs"/>
          <w:rtl/>
        </w:rPr>
        <w:t>.</w:t>
      </w:r>
    </w:p>
    <w:p w:rsidR="00853A10" w:rsidRPr="00E14ED6" w:rsidRDefault="00853A10" w:rsidP="006630AC">
      <w:pPr>
        <w:pStyle w:val="ac"/>
        <w:spacing w:line="199" w:lineRule="auto"/>
        <w:rPr>
          <w:rtl/>
        </w:rPr>
      </w:pPr>
      <w:r w:rsidRPr="00E14ED6">
        <w:rPr>
          <w:rFonts w:hint="cs"/>
          <w:rtl/>
        </w:rPr>
        <w:t xml:space="preserve">أما أنصار هذا المبدأ المعاصرون، فهم يعتقدون بضرورة الفصل بين </w:t>
      </w:r>
      <w:r w:rsidRPr="00E14ED6">
        <w:rPr>
          <w:rtl/>
        </w:rPr>
        <w:br/>
      </w:r>
      <w:r w:rsidRPr="00E14ED6">
        <w:rPr>
          <w:rFonts w:hint="cs"/>
          <w:rtl/>
        </w:rPr>
        <w:t>الجنسين، ويرون وجوب إقامة سدّ شامخ يفصل بين عالم المرأة وعالم  الرجل بالشكل الذي لا يمكِّن الرجل من اختراقه، ومن ثم، الاعتداء على حرمة عالم المرأة والنيل من كرامتها.</w:t>
      </w:r>
    </w:p>
    <w:p w:rsidR="00853A10" w:rsidRPr="00E14ED6" w:rsidRDefault="00853A10" w:rsidP="006630AC">
      <w:pPr>
        <w:pStyle w:val="ac"/>
        <w:spacing w:line="199" w:lineRule="auto"/>
        <w:rPr>
          <w:rtl/>
        </w:rPr>
      </w:pPr>
      <w:r w:rsidRPr="00E14ED6">
        <w:rPr>
          <w:rFonts w:hint="cs"/>
          <w:rtl/>
        </w:rPr>
        <w:t>أمّا المرأة على ضوء الشريعة الإسلامية، فهي تتمتع بقيمة ومنـزلة وكرامة قلّما يمكن العثور على نظيرها في سائر المدارس والمذاهب الفلسفية، بل لعلّه يمكن القول: إنّ الإسلام كان الرائد في منح المرأة دورها اللائق في المجال الاجتماعي في ظل العدالة الإسلامية، بالشكل الذي يجعل من المتعذر مقارنة مكانتها تلك مع ما نصّت عليه سائر المدارس الأخرى.</w:t>
      </w:r>
    </w:p>
    <w:p w:rsidR="00853A10" w:rsidRPr="00E14ED6" w:rsidRDefault="00853A10" w:rsidP="00853A10">
      <w:pPr>
        <w:pStyle w:val="ac"/>
        <w:rPr>
          <w:rtl/>
        </w:rPr>
      </w:pPr>
      <w:r w:rsidRPr="00E14ED6">
        <w:rPr>
          <w:rFonts w:hint="cs"/>
          <w:rtl/>
        </w:rPr>
        <w:t>بل لعلّنا لا نبالغ إذا قلنا: إنّ المحورَ الرئيسي والقسم الأعظم من التعاليم الإسلامية إنمّا اختص بالدفاع عن حقوق المرأة، ورفض مختلف أنواع الظلم والاضطهاد الذي يُمارس ضدها، إلاّ أنّ النظرية الإسلامية التي تتبنى حقوق المرأة إنمّا تدور مدار الأحكام الشرعية والقوانين الإلهية، على العكس من أغلب</w:t>
      </w:r>
      <w:r>
        <w:rPr>
          <w:rFonts w:hint="cs"/>
          <w:rtl/>
        </w:rPr>
        <w:t xml:space="preserve"> </w:t>
      </w:r>
      <w:r w:rsidRPr="00E14ED6">
        <w:rPr>
          <w:rFonts w:hint="cs"/>
          <w:rtl/>
        </w:rPr>
        <w:t xml:space="preserve">التيارات والاتجاهات التي </w:t>
      </w:r>
      <w:r w:rsidRPr="00E14ED6">
        <w:rPr>
          <w:rFonts w:hint="cs"/>
          <w:rtl/>
        </w:rPr>
        <w:lastRenderedPageBreak/>
        <w:t>تبنّت ذات الحقوق غير أنها لا تستند فيها إلى السماء،</w:t>
      </w:r>
      <w:r>
        <w:rPr>
          <w:rFonts w:hint="cs"/>
          <w:rtl/>
        </w:rPr>
        <w:t xml:space="preserve"> </w:t>
      </w:r>
      <w:r w:rsidRPr="00E14ED6">
        <w:rPr>
          <w:rFonts w:hint="cs"/>
          <w:rtl/>
        </w:rPr>
        <w:t>فهي مثقلة بالشوائب والأوزار التي تجعل من السهل الطعن فيها وعدم الوثوق بمصداقيّتها.</w:t>
      </w:r>
    </w:p>
    <w:p w:rsidR="00853A10" w:rsidRPr="00E14ED6" w:rsidRDefault="00853A10" w:rsidP="00853A10">
      <w:pPr>
        <w:pStyle w:val="ac"/>
        <w:rPr>
          <w:rtl/>
        </w:rPr>
      </w:pPr>
      <w:r w:rsidRPr="00E14ED6">
        <w:rPr>
          <w:rFonts w:hint="cs"/>
          <w:rtl/>
        </w:rPr>
        <w:t>ولم يكتف الإسلام في إطار دفاعه عن المرأة في إحقاق حقوقها فحسب، بل استهدف إشعارها بشخصيتها الحقيقية في الميادين كافة، سيّما على الصعيد الاجتماعي وبشكل مبرمج ومنظّم يبتعد عن كافة أشكال الحب والبغض والانفعال وما إلى ذلك من الاُمور الغريزية التي طغت على سائر المذاهب التي تعاملت مع الموضوع ذاته، فما زالت الآثار السلبية السيئة لبعض التيارات والاتجاهات الفكرية التي نادت بالدفاع عن حقوق المرأة تشاهد بوضوح في عالمنا المعاصر، فتصدّع كيان الأسرة، وتحطيم شخصية المرأة، وتحويلها إلى سلعة تجارية، وانهيار الأواصر والعلاقات العاطفية داخل الأسرة، وتشتتها الروحي، والحيرة والقلق الذي يلفّ أبناءها.. إنّما تمثل النتائج الطبيعية لما نادت به تلك المدارس والمذاهب الانفعالية، فالواقع أنّ العقيدة الإسلامية لا ترى ثمّة تضادّ بين الرجل والمرأة، وبالتالي فهي لا تزجّ بهما في منافسة غير عادلة، بل تراهما وجهين لعملةٍ واحدة، لذلك فالإسلام يسنّ القوانين والأحكام الشرعية في مرحلة العمل، كما تطرح القوانين الأخلاقية وتطرح الرؤية الكلية الرصينة التي تتكفّل بتنفيذ تلك الأحكام وتطبيقها على مستوى الواقع.</w:t>
      </w:r>
    </w:p>
    <w:p w:rsidR="00853A10" w:rsidRPr="00E14ED6" w:rsidRDefault="00853A10" w:rsidP="00853A10">
      <w:pPr>
        <w:pStyle w:val="ac"/>
        <w:rPr>
          <w:rtl/>
        </w:rPr>
      </w:pPr>
      <w:r w:rsidRPr="00E14ED6">
        <w:rPr>
          <w:rFonts w:hint="cs"/>
          <w:rtl/>
        </w:rPr>
        <w:t>لقد مارست المدارس والمذاهب التي رفعت شعار مساواة المرأة مع الرجل نوعاً من التحقير والإهانة للمرأة باسم الدفاع عن حقوقها، وليتها اكتفت بهذا الحد، بل أخذت تهاجم القوانين والأحكام الإسلامية السامية التي تبنّت حقوق المرأة وعملت على تحريرها ومنحها ثقتها بنفسها، فقد صرّح أصحاب ذلك الشعار بعدم جدوى النظام الحقوقي للمرأة في الإسلام، ناهيك عن توجيه التهم والافتراءات والتشنيع على القوانين الإسلامية، الأمر الذي تتصاعد حدّته من حين لآخر للنيل من الشريعة السمحاء.</w:t>
      </w:r>
    </w:p>
    <w:p w:rsidR="00853A10" w:rsidRPr="00E14ED6" w:rsidRDefault="00853A10" w:rsidP="00853A10">
      <w:pPr>
        <w:pStyle w:val="ac"/>
        <w:rPr>
          <w:rtl/>
        </w:rPr>
      </w:pPr>
      <w:r w:rsidRPr="00E14ED6">
        <w:rPr>
          <w:rFonts w:hint="cs"/>
          <w:rtl/>
        </w:rPr>
        <w:t>لا شكّ أن النظرة إلى المكانة الاجتماعية للمرأة انما تتبلور في ثلاثة عناصر:</w:t>
      </w:r>
    </w:p>
    <w:p w:rsidR="00853A10" w:rsidRPr="00E14ED6" w:rsidRDefault="006630AC" w:rsidP="006630AC">
      <w:pPr>
        <w:pStyle w:val="ac"/>
        <w:rPr>
          <w:rtl/>
        </w:rPr>
      </w:pPr>
      <w:r>
        <w:rPr>
          <w:rFonts w:hint="cs"/>
          <w:rtl/>
        </w:rPr>
        <w:t xml:space="preserve">1ـ </w:t>
      </w:r>
      <w:r w:rsidR="00853A10" w:rsidRPr="00E14ED6">
        <w:rPr>
          <w:rFonts w:hint="cs"/>
          <w:rtl/>
        </w:rPr>
        <w:t>النظرة إلى شأنها الحقيقي في المجتمع.</w:t>
      </w:r>
    </w:p>
    <w:p w:rsidR="00853A10" w:rsidRPr="00E14ED6" w:rsidRDefault="00853A10" w:rsidP="006630AC">
      <w:pPr>
        <w:pStyle w:val="ac"/>
        <w:rPr>
          <w:rtl/>
        </w:rPr>
      </w:pPr>
      <w:r w:rsidRPr="00E14ED6">
        <w:rPr>
          <w:rFonts w:hint="cs"/>
          <w:rtl/>
        </w:rPr>
        <w:lastRenderedPageBreak/>
        <w:t>2</w:t>
      </w:r>
      <w:r w:rsidR="006630AC">
        <w:rPr>
          <w:rFonts w:hint="cs"/>
          <w:rtl/>
        </w:rPr>
        <w:t>ـ</w:t>
      </w:r>
      <w:r w:rsidRPr="00E14ED6">
        <w:rPr>
          <w:rFonts w:hint="cs"/>
          <w:rtl/>
        </w:rPr>
        <w:t xml:space="preserve"> القوانين الحقوقية الاجتماعية من حيث الكمّ والكيف.</w:t>
      </w:r>
    </w:p>
    <w:p w:rsidR="00853A10" w:rsidRPr="00E14ED6" w:rsidRDefault="00853A10" w:rsidP="006630AC">
      <w:pPr>
        <w:pStyle w:val="ac"/>
        <w:rPr>
          <w:rtl/>
        </w:rPr>
      </w:pPr>
      <w:r w:rsidRPr="00E14ED6">
        <w:rPr>
          <w:rFonts w:hint="cs"/>
          <w:rtl/>
        </w:rPr>
        <w:t>3</w:t>
      </w:r>
      <w:r w:rsidR="006630AC">
        <w:rPr>
          <w:rFonts w:hint="cs"/>
          <w:rtl/>
        </w:rPr>
        <w:t>ـ</w:t>
      </w:r>
      <w:r w:rsidRPr="00E14ED6">
        <w:rPr>
          <w:rFonts w:hint="cs"/>
          <w:rtl/>
        </w:rPr>
        <w:t xml:space="preserve"> الوظائف القانونية والأخلاقية والإلهية في البيئة الاجتماعية.</w:t>
      </w:r>
    </w:p>
    <w:p w:rsidR="00853A10" w:rsidRDefault="00853A10" w:rsidP="006630AC">
      <w:pPr>
        <w:pStyle w:val="ac"/>
        <w:rPr>
          <w:rtl/>
        </w:rPr>
      </w:pPr>
      <w:r w:rsidRPr="00E14ED6">
        <w:rPr>
          <w:rFonts w:hint="cs"/>
          <w:rtl/>
        </w:rPr>
        <w:t>أمّا توضيح الاختلاف بين المدرسة الإسلامية وسائر المدارس</w:t>
      </w:r>
      <w:r w:rsidR="006630AC">
        <w:rPr>
          <w:rFonts w:hint="cs"/>
          <w:rtl/>
        </w:rPr>
        <w:t xml:space="preserve"> </w:t>
      </w:r>
      <w:r w:rsidRPr="00E14ED6">
        <w:rPr>
          <w:rFonts w:hint="cs"/>
          <w:rtl/>
        </w:rPr>
        <w:t>التي</w:t>
      </w:r>
      <w:r w:rsidR="006630AC">
        <w:rPr>
          <w:rFonts w:hint="cs"/>
          <w:rtl/>
        </w:rPr>
        <w:t xml:space="preserve"> </w:t>
      </w:r>
      <w:r w:rsidRPr="00E14ED6">
        <w:rPr>
          <w:rFonts w:hint="cs"/>
          <w:rtl/>
        </w:rPr>
        <w:t>تنادي بسيادة المرأة في إطار النظر إلى القضايا الاجتماعية للمرأة ومكانتها ومنـزلتها في المجتمع، فإنما يكمن في أسس ومبادئ كل مدرسة بشأن</w:t>
      </w:r>
      <w:r>
        <w:rPr>
          <w:rFonts w:hint="cs"/>
          <w:rtl/>
        </w:rPr>
        <w:t xml:space="preserve"> </w:t>
      </w:r>
      <w:r w:rsidRPr="00E14ED6">
        <w:rPr>
          <w:rFonts w:hint="cs"/>
          <w:rtl/>
        </w:rPr>
        <w:t>المواضيع والمحاور المرتبطة بقضية المرأة، وكما أشرنا في المقدمة فإنّنا سنسلّط الضوء على كافّة المذاهب الفلسفية ـ وفي مقدمتها الفلسفة الإسلامية ـ لنتعرف على وجهات نظرها بشأن بعض المواضيع الاجتماعية الساخنة المتعلّقة بالمرأة، والتي ستؤدي في خاتمة المطاف إلى انفصال المدرسة الإسلامية التي تتميز بآرائها المستقلّة بهذا الشأن.</w:t>
      </w:r>
    </w:p>
    <w:p w:rsidR="00853A10" w:rsidRPr="006630AC" w:rsidRDefault="00853A10" w:rsidP="006630AC">
      <w:pPr>
        <w:pStyle w:val="afffffc"/>
        <w:rPr>
          <w:rFonts w:ascii="Mosawi" w:hAnsi="Mosawi"/>
        </w:rPr>
      </w:pPr>
    </w:p>
    <w:p w:rsidR="00853A10" w:rsidRPr="0017088F" w:rsidRDefault="00853A10" w:rsidP="00853A10">
      <w:pPr>
        <w:pStyle w:val="1"/>
        <w:rPr>
          <w:rtl/>
        </w:rPr>
      </w:pPr>
      <w:bookmarkStart w:id="644" w:name="_Toc169521512"/>
      <w:bookmarkStart w:id="645" w:name="_Toc275128283"/>
      <w:r w:rsidRPr="0017088F">
        <w:rPr>
          <w:rFonts w:hint="cs"/>
          <w:rtl/>
        </w:rPr>
        <w:t>الاختلاط بين الجنسين</w:t>
      </w:r>
      <w:bookmarkEnd w:id="644"/>
      <w:bookmarkEnd w:id="645"/>
    </w:p>
    <w:p w:rsidR="00853A10" w:rsidRPr="00E14ED6" w:rsidRDefault="00853A10" w:rsidP="00853A10">
      <w:pPr>
        <w:pStyle w:val="ac"/>
        <w:rPr>
          <w:rtl/>
        </w:rPr>
      </w:pPr>
      <w:r w:rsidRPr="00E14ED6">
        <w:rPr>
          <w:rFonts w:hint="cs"/>
          <w:rtl/>
        </w:rPr>
        <w:t>يمكن دراسة هذه القضية الاجتماعية على ضوء الآراء التي صرحت بها المدرسة الإسلامية، وسائر المدارس التي تبنت هذه المسألة على أساس المبدأ العام القائل بمساواة المرأة مع الرجل، فبعض هذه المدارس تستنكر ـ وبشدّة ـ قضية الفصل بين الجنسين، ولم تنفك منذ ظهورها ولحد الآن عن طرح بعض المفاهيم العصرية في إطار تحليل الأوضاع الاجتماعية للمرأة، غير أنّها تنادي باتّساع رقعة حقوق المرأة في ممارستها للنشاط الاجتماعي على الأصعدة والمستويات كافّة.</w:t>
      </w:r>
    </w:p>
    <w:p w:rsidR="00853A10" w:rsidRPr="00E14ED6" w:rsidRDefault="00853A10" w:rsidP="00853A10">
      <w:pPr>
        <w:pStyle w:val="ac"/>
        <w:rPr>
          <w:rtl/>
        </w:rPr>
      </w:pPr>
      <w:r w:rsidRPr="00E14ED6">
        <w:rPr>
          <w:rFonts w:hint="cs"/>
          <w:rtl/>
        </w:rPr>
        <w:t xml:space="preserve">إنّ هذه التيارات تعتقد أنّ مبدأ سيادة الرجل أو الأب ـ سواء وفق المنظار الفلسفي والدائرة الاجتماعية أو على مستوى القضايا الأيديولوجية والفكرية والعلمية ـ هو الذي كان وراء إضعاف مكانة المرأة والحطّ من شأنها وهضمها حقوقها. إنهم يرفضون قضية وجود المرأة في المنـزل رفضاً قاطعاً ولا يرون للمرأة من حياة إلاّ بالمقدار الذي تمارس فيه دورها الاجتماعي خارج المنـزل، فقد صرح آندريه ميشيل في كتابه (الحركة الاجتماعية للمرأة) قائلاً: </w:t>
      </w:r>
      <w:r w:rsidRPr="00617008">
        <w:rPr>
          <w:rFonts w:hint="cs"/>
          <w:rtl/>
        </w:rPr>
        <w:t>«</w:t>
      </w:r>
      <w:r w:rsidRPr="00E14ED6">
        <w:rPr>
          <w:rFonts w:hint="cs"/>
          <w:rtl/>
        </w:rPr>
        <w:t xml:space="preserve">لقد سعت الاتجاهات المستغلّة للمرأة إلى فصل الحقل الخاص ـ المنـزل ـ عن الحقل العام ـ المجتمع ـ فمنحت الأولوية في الحقل العام </w:t>
      </w:r>
      <w:r w:rsidRPr="00E14ED6">
        <w:rPr>
          <w:rFonts w:hint="cs"/>
          <w:rtl/>
        </w:rPr>
        <w:lastRenderedPageBreak/>
        <w:t>للرجل، وساقت المرأة إلى الحقل الخاص. ولا ريب ولا شكّ أنّ هذا يمثل تمييزاً وعنصريةً سياسية تستتبع علاقة اجتماعية تفيد تبعية المرأة للرجل واستغلالها من قبله</w:t>
      </w:r>
      <w:r w:rsidRPr="00617008">
        <w:rPr>
          <w:rFonts w:hint="cs"/>
          <w:rtl/>
        </w:rPr>
        <w:t>»</w:t>
      </w:r>
      <w:r w:rsidRPr="00815C4C">
        <w:rPr>
          <w:rFonts w:cs="Taher"/>
          <w:vertAlign w:val="superscript"/>
          <w:rtl/>
        </w:rPr>
        <w:t>(</w:t>
      </w:r>
      <w:r w:rsidRPr="00815C4C">
        <w:rPr>
          <w:rFonts w:cs="Taher"/>
          <w:vertAlign w:val="superscript"/>
          <w:rtl/>
        </w:rPr>
        <w:footnoteReference w:id="998"/>
      </w:r>
      <w:r w:rsidRPr="00815C4C">
        <w:rPr>
          <w:rFonts w:cs="Taher"/>
          <w:vertAlign w:val="superscript"/>
          <w:rtl/>
        </w:rPr>
        <w:t>)</w:t>
      </w:r>
      <w:r w:rsidRPr="00E14ED6">
        <w:rPr>
          <w:rFonts w:hint="cs"/>
          <w:rtl/>
        </w:rPr>
        <w:t>.</w:t>
      </w:r>
    </w:p>
    <w:p w:rsidR="00853A10" w:rsidRPr="00E14ED6" w:rsidRDefault="00853A10" w:rsidP="006630AC">
      <w:pPr>
        <w:pStyle w:val="ac"/>
        <w:spacing w:line="199" w:lineRule="auto"/>
        <w:rPr>
          <w:rtl/>
        </w:rPr>
      </w:pPr>
      <w:r w:rsidRPr="00E14ED6">
        <w:rPr>
          <w:rFonts w:hint="cs"/>
          <w:rtl/>
        </w:rPr>
        <w:t>وبسبب هذه النظرة الضيقة التي ترى أنّ عملية إنقاذ المرأة من عبودية الرجل مرهونة بحضورها الفاعل في المجتمع، فقد طرح تساؤل بشأن ضرورة ممارسة المرأة لنشاطها الاجتماعي في المجالات التي ينشط فيها الرجل، وهو: هل ينبغي الفصل بين الرجل والمرأة في الأوساط الاجتماعية أم لا؟ قد يمكن القول ببساطة: إنّ أكثر الأوساط ترى أن الفصل بين الجنسين إنما يعود إلى الرؤية الاُحادية للرجل في هذا المجال، لا الرؤية الواقعية المطلوبة، الأمر الذي جعل الأصوات ترتفع من بعض الاتجاهات مطالبةً بالمساواة بين الرجل والمرأة في الحقوق كافة، ومن الطبيعي أن يترتب على تلك المساواة الحضور الفعال للمرأة إلى جانب الرجل في الميادين والمجالات كافّة.</w:t>
      </w:r>
    </w:p>
    <w:p w:rsidR="00853A10" w:rsidRPr="00E14ED6" w:rsidRDefault="00853A10" w:rsidP="006630AC">
      <w:pPr>
        <w:pStyle w:val="ac"/>
        <w:spacing w:line="199" w:lineRule="auto"/>
        <w:rPr>
          <w:rtl/>
        </w:rPr>
      </w:pPr>
      <w:r w:rsidRPr="00E14ED6">
        <w:rPr>
          <w:rFonts w:hint="cs"/>
          <w:rtl/>
        </w:rPr>
        <w:t xml:space="preserve">إنّ تلك التيارات تعارض أي تحديد للمرأة، ولا شكّ أنّ الفصل بين الجنسين يمثّل تحديداً للمرأة وعقبةً أمام تطوّرها ورقيها، وهنا انبرت بعض الاتجاهات لتعمل على تحطيم تلك العقبات ـ وفي مقدمة هذه الاتجاهات، المذاهب الاشتراكية والماركسية والليبرالية والعلمانية ـ دون أن تكترث من قريب أو بعيد بالاتجاهات الدينية، وما تنطوي عليه من تعاليم أخلاقية بشأن مراعاة العفّة والورع والتقوى في اختلاط المرأة بالرجل وممارستها لدورها الاجتماعي، لقد بدت بعض المذاهب التي تتبنى فكرة سيادة المرأة منتقدةً حتى لعلوم الاجتماع: </w:t>
      </w:r>
      <w:r w:rsidRPr="00885E99">
        <w:rPr>
          <w:rFonts w:hint="eastAsia"/>
          <w:rtl/>
        </w:rPr>
        <w:t>«</w:t>
      </w:r>
      <w:r w:rsidRPr="00E14ED6">
        <w:rPr>
          <w:rFonts w:hint="cs"/>
          <w:rtl/>
        </w:rPr>
        <w:t>على أنها تناولت قضية الرجل بالبحث والدرس وخاضت في النظريات التي تضمّنت حقوق الرجل، غير أنّها أهملت أغلب الموضوعات والمسائل المرتبطة بالمرأة، ولم تولها أدنى اِهتمام</w:t>
      </w:r>
      <w:r w:rsidRPr="00853A10">
        <w:rPr>
          <w:rFonts w:hint="eastAsia"/>
          <w:rtl/>
        </w:rPr>
        <w:t>»</w:t>
      </w:r>
      <w:r w:rsidRPr="00815C4C">
        <w:rPr>
          <w:rFonts w:cs="Taher"/>
          <w:vertAlign w:val="superscript"/>
          <w:rtl/>
        </w:rPr>
        <w:t>(</w:t>
      </w:r>
      <w:r w:rsidRPr="00815C4C">
        <w:rPr>
          <w:rFonts w:cs="Taher"/>
          <w:vertAlign w:val="superscript"/>
          <w:rtl/>
        </w:rPr>
        <w:footnoteReference w:id="999"/>
      </w:r>
      <w:r w:rsidRPr="00815C4C">
        <w:rPr>
          <w:rFonts w:cs="Taher"/>
          <w:vertAlign w:val="superscript"/>
          <w:rtl/>
        </w:rPr>
        <w:t>)</w:t>
      </w:r>
      <w:r w:rsidRPr="00E14ED6">
        <w:rPr>
          <w:rFonts w:hint="cs"/>
          <w:rtl/>
        </w:rPr>
        <w:t>.</w:t>
      </w:r>
    </w:p>
    <w:p w:rsidR="00853A10" w:rsidRPr="00E14ED6" w:rsidRDefault="00853A10" w:rsidP="00853A10">
      <w:pPr>
        <w:pStyle w:val="ac"/>
        <w:rPr>
          <w:rtl/>
        </w:rPr>
      </w:pPr>
      <w:r w:rsidRPr="00E14ED6">
        <w:rPr>
          <w:rFonts w:hint="cs"/>
          <w:rtl/>
        </w:rPr>
        <w:t xml:space="preserve">وتضيف هذه المذاهب أنّ التصنيف السائد، وطبيعة توزيع العمل، واعتماد مصادر القدرة، إنما نُظم بالشكل الذي يحطّ من قدر المرأة ويجعلها أقل شأناً من الرجل، فيما </w:t>
      </w:r>
      <w:r w:rsidRPr="00E14ED6">
        <w:rPr>
          <w:rFonts w:hint="cs"/>
          <w:rtl/>
        </w:rPr>
        <w:lastRenderedPageBreak/>
        <w:t>يمكن للمرأة النهوض بمسؤوليتها التأريخية، وممارسة أنشطتها الاجتماعية حتى في الأوساط ذات الظروف القاسية والأجور الزهيدة.</w:t>
      </w:r>
    </w:p>
    <w:p w:rsidR="00853A10" w:rsidRPr="00E14ED6" w:rsidRDefault="00853A10" w:rsidP="006630AC">
      <w:pPr>
        <w:pStyle w:val="ac"/>
        <w:spacing w:line="199" w:lineRule="auto"/>
        <w:rPr>
          <w:rtl/>
        </w:rPr>
      </w:pPr>
      <w:r w:rsidRPr="00E14ED6">
        <w:rPr>
          <w:rFonts w:hint="cs"/>
          <w:rtl/>
        </w:rPr>
        <w:t>والحال أنّ هناك من أنصار نفس هذا المبدأ ـ سيادة المرأة ـ من الذين يعتبرون أكثر تجدّداً وعصرنة من سابقيهم ممن ذهب إلى العكس من ذلك تماماً، فهم يؤمنون بالعزل والفصل بين الجنسين لأنّهم يرون بأنه يشكل العنصر المهم الذي سيجعل المرأة في مكانة أرفع، ويمنحها رقيّها وتطورها في حياتها الاجتماعية.</w:t>
      </w:r>
    </w:p>
    <w:p w:rsidR="00853A10" w:rsidRPr="00E14ED6" w:rsidRDefault="00853A10" w:rsidP="006630AC">
      <w:pPr>
        <w:pStyle w:val="ac"/>
        <w:spacing w:line="199" w:lineRule="auto"/>
        <w:rPr>
          <w:rtl/>
        </w:rPr>
      </w:pPr>
      <w:r w:rsidRPr="00E14ED6">
        <w:rPr>
          <w:rFonts w:hint="cs"/>
          <w:rtl/>
        </w:rPr>
        <w:t>ويبدو أنّ هذه النظرية ـ التي تتبنى الفصل بين الجنسين ـ تلاحظ الآن بوضوح في مجتمعاتنا الإسلامية من خلال المقالات والخطابات التي أوردها غير واحد في الأوساط الاجتماعية، والحق أنّ ظاهر هذه النظرية يشبه إلى حدّ بعيد جوهر النظرية الدينية بشأن العلاقات الاجتماعية بين الرجل والمرأة، لكن هناك بوناً شاسعاً بين تلك النظرية ـ من حيث الرؤى ووجهات النظر والأهداف والصيغ التطبيقية ـ وما عليه الحال في النظرية الدينية، فالنظريات العلمانية التي تطرح هذا الأمر ـ عدم الاختلاط بين الرجل والمرأة ـ لا تلتفت البتّة إلى الأحكام الشرعية والتعاليم الدينية والوصايا الأخلاقية بشأن العلاقة التي يجب أن تحكم الجنسين، وإنمّا تنظر إلى تلك القضية من خلال بعض الخصائص التي تميز عالم المرأة، إلى الحد الذي جعل القائلين بتلك النظرية يعتقدون بضرورة تبلور الكفاح النسوي في ظل الجمعيات والمؤسّسات النسوية التي يمكنها أن تخدم المرأة في هذا المجال أفضل من الدين</w:t>
      </w:r>
      <w:r w:rsidRPr="00815C4C">
        <w:rPr>
          <w:rFonts w:cs="Taher"/>
          <w:vertAlign w:val="superscript"/>
          <w:rtl/>
        </w:rPr>
        <w:t>(</w:t>
      </w:r>
      <w:r w:rsidRPr="00815C4C">
        <w:rPr>
          <w:rFonts w:cs="Taher"/>
          <w:vertAlign w:val="superscript"/>
          <w:rtl/>
        </w:rPr>
        <w:footnoteReference w:id="1000"/>
      </w:r>
      <w:r w:rsidRPr="00815C4C">
        <w:rPr>
          <w:rFonts w:cs="Taher"/>
          <w:vertAlign w:val="superscript"/>
          <w:rtl/>
        </w:rPr>
        <w:t>)</w:t>
      </w:r>
      <w:r w:rsidRPr="00E14ED6">
        <w:rPr>
          <w:rFonts w:hint="cs"/>
          <w:rtl/>
        </w:rPr>
        <w:t>.</w:t>
      </w:r>
    </w:p>
    <w:p w:rsidR="00853A10" w:rsidRPr="00E14ED6" w:rsidRDefault="00853A10" w:rsidP="006630AC">
      <w:pPr>
        <w:pStyle w:val="ac"/>
        <w:spacing w:line="199" w:lineRule="auto"/>
        <w:rPr>
          <w:rtl/>
        </w:rPr>
      </w:pPr>
      <w:r w:rsidRPr="00E14ED6">
        <w:rPr>
          <w:rFonts w:hint="cs"/>
          <w:rtl/>
        </w:rPr>
        <w:t>كما تصرّح الحركات الأكثر عصرنةً الداعمة لسيادة المرأة ومساواتها</w:t>
      </w:r>
      <w:r>
        <w:rPr>
          <w:rFonts w:hint="cs"/>
          <w:rtl/>
        </w:rPr>
        <w:t xml:space="preserve"> </w:t>
      </w:r>
      <w:r w:rsidRPr="00E14ED6">
        <w:rPr>
          <w:rFonts w:hint="cs"/>
          <w:rtl/>
        </w:rPr>
        <w:t>للرجل بضرورة إدراك المرأة لخصائصها الذاتية ووثوقها بفكرها وعلمها وسعة أفقها.</w:t>
      </w:r>
    </w:p>
    <w:p w:rsidR="00853A10" w:rsidRPr="00E14ED6" w:rsidRDefault="00853A10" w:rsidP="006630AC">
      <w:pPr>
        <w:pStyle w:val="ac"/>
        <w:spacing w:line="199" w:lineRule="auto"/>
        <w:rPr>
          <w:rtl/>
        </w:rPr>
      </w:pPr>
      <w:r w:rsidRPr="00E14ED6">
        <w:rPr>
          <w:rFonts w:hint="cs"/>
          <w:rtl/>
        </w:rPr>
        <w:t xml:space="preserve">أما النظرية الإسلامية التي تعرّضت لموضوع الفصل أو الاختلاط بين المرأة والرجل في الأوساط الاجتماعية، فقد تكفّلت ضمان الحقوق الإنسانية والطبيعية، وحتى الحقوق الخاصّة المرتبطة ببعض الخصائص الجنسية، إلى جانب حرصها التام على العناصر الأخلاقية وتوفير الأمن الفكري والروحي، وإشاعة مفاهيم العفّة والتقوى </w:t>
      </w:r>
      <w:r w:rsidRPr="00E14ED6">
        <w:rPr>
          <w:rFonts w:hint="cs"/>
          <w:rtl/>
        </w:rPr>
        <w:lastRenderedPageBreak/>
        <w:t xml:space="preserve">والورع، وفسح المجال أمام الرجل والمرأة لخوض المنافسة الشريفة العادلة والتسابق والمسارعة في الخيرات، فالنصوص الإسلامية صريحة في إرادة الفصل بين الرجل والمرأة في بعض الظروف الخاصّة، إلى جانب الحدّ من الاختلاط في الأوساط العامّة، والتي لا تستلزم أساساً تجاوز بعض الأصول الشرعية، وهذا ما يشاهد بوضوح في السيرة العملية للرسول الأكرم </w:t>
      </w:r>
      <w:r w:rsidR="00350F90">
        <w:rPr>
          <w:rFonts w:hint="cs"/>
          <w:rtl/>
        </w:rPr>
        <w:t>’</w:t>
      </w:r>
      <w:r w:rsidRPr="00E14ED6">
        <w:rPr>
          <w:rFonts w:hint="cs"/>
          <w:rtl/>
        </w:rPr>
        <w:t>.</w:t>
      </w:r>
    </w:p>
    <w:p w:rsidR="00853A10" w:rsidRPr="00E14ED6" w:rsidRDefault="00853A10" w:rsidP="006630AC">
      <w:pPr>
        <w:pStyle w:val="ac"/>
        <w:spacing w:line="199" w:lineRule="auto"/>
        <w:rPr>
          <w:rtl/>
        </w:rPr>
      </w:pPr>
      <w:r w:rsidRPr="00E14ED6">
        <w:rPr>
          <w:rFonts w:hint="cs"/>
          <w:rtl/>
        </w:rPr>
        <w:t>إلاّ أنّ ما يجدر ذكره في هذا المجال هو أنّ هذه الوصايا والإرشادات الإسلامية لا تعني أنّ الرجل والمرأة ـ واستناداً إلى الفوارق التي تحكم طبيعتهما ـ لا يستطيعان أن يكونا معاً إلى جانب بعضهما بعضاً، أو حتى لا يمكنهما خوض المنافسة الشريفة معاً، بل الهدف منها تمهيد السبيل أمام سيادة العفّة، والأمن الفكري والاجتماعي، ومضاعفة مسيرة التسابق بين المرأة والرجل في الميادين التي ينشطان فيها معاً.</w:t>
      </w:r>
    </w:p>
    <w:p w:rsidR="00853A10" w:rsidRPr="00E14ED6" w:rsidRDefault="00853A10" w:rsidP="006630AC">
      <w:pPr>
        <w:pStyle w:val="ac"/>
        <w:spacing w:line="199" w:lineRule="auto"/>
        <w:rPr>
          <w:rtl/>
        </w:rPr>
      </w:pPr>
      <w:r w:rsidRPr="00E14ED6">
        <w:rPr>
          <w:rFonts w:hint="cs"/>
          <w:rtl/>
        </w:rPr>
        <w:t>إنّ الإسلام حين ينادي بالفصل وعدم الاختلاط، لا يريد تكوين مفهوم التضادّ بين المرأة والرجل جنسيهما، بحيث يقف كلّ منهما بوجه الآخر، بل هدف الإسلام هو احترام الحقائق التكوينية والخلقية التي ضمنت لكل من الجنسين رقيّه وتكامله على ضوء ما أودع فيه، ولا تكتفي التعاليم الإسلامية التي تبنّت مفهوم الحجاب باقتصاره على ظاهر المرأة فقط، فكان لابد من التأكيد على جانب الحياء، وتوجيه السلوك، ورعاية الوقار في الوسط الاجتماعي، بما يضمن امتثاله ورعايته على مستوى الباطن والجوهر، الأمر الذي جعل التعاليم الدينية تؤكّد على مراعاة التقوى والعفة حين الاختلاط، فضلاً عن الحثّ على الفصل قدر المستطاع.</w:t>
      </w:r>
    </w:p>
    <w:p w:rsidR="00853A10" w:rsidRPr="00E14ED6" w:rsidRDefault="00853A10" w:rsidP="006630AC">
      <w:pPr>
        <w:pStyle w:val="ac"/>
        <w:spacing w:line="199" w:lineRule="auto"/>
        <w:rPr>
          <w:rtl/>
        </w:rPr>
      </w:pPr>
      <w:r w:rsidRPr="00E14ED6">
        <w:rPr>
          <w:rFonts w:hint="cs"/>
          <w:rtl/>
        </w:rPr>
        <w:t>ولا يهدف الإسلام من هذا الفصل سوى احترام المرأة وحفظ أنوثتها والنأي بها بعيداً عن مطامع مرضى القلوب الذين يصوّبون سهام غرائزهم نحوها، وهذا ما صرّح به القرآن ليفصح عن حكمة تشريع الحجاب، فقال عزّ من قائل:</w:t>
      </w:r>
      <w:r>
        <w:rPr>
          <w:rFonts w:hint="cs"/>
          <w:rtl/>
        </w:rPr>
        <w:t xml:space="preserve"> </w:t>
      </w:r>
      <w:r w:rsidRPr="00853A10">
        <w:rPr>
          <w:b/>
          <w:bCs/>
        </w:rPr>
        <w:sym w:font="Islamic Units 1" w:char="F03E"/>
      </w:r>
      <w:r w:rsidRPr="00853A10">
        <w:rPr>
          <w:b/>
          <w:bCs/>
          <w:rtl/>
        </w:rPr>
        <w:t>ذَلِكَ أَدْنَى أَن يُعْرَفْنَ فَلا يُؤْذَيْنَ وَكَانَ اللَّهُ غَفُورًا رَّحِيمًا</w:t>
      </w:r>
      <w:r w:rsidRPr="00853A10">
        <w:rPr>
          <w:b/>
          <w:bCs/>
        </w:rPr>
        <w:sym w:font="Islamic Units 1" w:char="F03C"/>
      </w:r>
      <w:r w:rsidRPr="00815C4C">
        <w:rPr>
          <w:rFonts w:cs="Taher"/>
          <w:vertAlign w:val="superscript"/>
          <w:rtl/>
        </w:rPr>
        <w:t>(</w:t>
      </w:r>
      <w:r w:rsidRPr="00815C4C">
        <w:rPr>
          <w:rFonts w:cs="Taher"/>
          <w:vertAlign w:val="superscript"/>
          <w:rtl/>
        </w:rPr>
        <w:footnoteReference w:id="1001"/>
      </w:r>
      <w:r w:rsidRPr="00815C4C">
        <w:rPr>
          <w:rFonts w:cs="Taher"/>
          <w:vertAlign w:val="superscript"/>
          <w:rtl/>
        </w:rPr>
        <w:t>)</w:t>
      </w:r>
      <w:r w:rsidRPr="00E14ED6">
        <w:rPr>
          <w:rFonts w:hint="cs"/>
          <w:rtl/>
        </w:rPr>
        <w:t>.</w:t>
      </w:r>
    </w:p>
    <w:p w:rsidR="00853A10" w:rsidRPr="00E14ED6" w:rsidRDefault="00853A10" w:rsidP="006630AC">
      <w:pPr>
        <w:pStyle w:val="ac"/>
        <w:rPr>
          <w:rtl/>
        </w:rPr>
      </w:pPr>
      <w:r w:rsidRPr="00E14ED6">
        <w:rPr>
          <w:rFonts w:hint="cs"/>
          <w:rtl/>
        </w:rPr>
        <w:t>فتأكيد الشارع على ممارسة المرأة لدورها الاجتماعي مع رعاية جانب</w:t>
      </w:r>
      <w:r w:rsidR="006630AC">
        <w:t xml:space="preserve"> </w:t>
      </w:r>
      <w:r w:rsidRPr="00E14ED6">
        <w:rPr>
          <w:rFonts w:hint="cs"/>
          <w:rtl/>
        </w:rPr>
        <w:t xml:space="preserve">التقوى والورع </w:t>
      </w:r>
      <w:r w:rsidRPr="00E14ED6">
        <w:rPr>
          <w:rFonts w:hint="cs"/>
          <w:rtl/>
        </w:rPr>
        <w:lastRenderedPageBreak/>
        <w:t xml:space="preserve">ـ كقوله تعالى: </w:t>
      </w:r>
      <w:r w:rsidRPr="00853A10">
        <w:sym w:font="Islamic Units 1" w:char="F03E"/>
      </w:r>
      <w:r w:rsidRPr="00853A10">
        <w:rPr>
          <w:b/>
          <w:bCs/>
          <w:rtl/>
        </w:rPr>
        <w:t>وَإِذَا سَأَلْتُمُوهُنَّ مَتَاعًا فَاسْأَلُوهُنَّ مِن وَرَاء حِجَاب</w:t>
      </w:r>
      <w:r w:rsidRPr="00853A10">
        <w:rPr>
          <w:rFonts w:hint="cs"/>
          <w:b/>
          <w:bCs/>
          <w:rtl/>
        </w:rPr>
        <w:t>...</w:t>
      </w:r>
      <w:r w:rsidRPr="00853A10">
        <w:rPr>
          <w:b/>
          <w:bCs/>
        </w:rPr>
        <w:sym w:font="Islamic Units 1" w:char="F03C"/>
      </w:r>
      <w:r w:rsidRPr="00815C4C">
        <w:rPr>
          <w:rFonts w:cs="Taher"/>
          <w:vertAlign w:val="superscript"/>
          <w:rtl/>
        </w:rPr>
        <w:t>(</w:t>
      </w:r>
      <w:r w:rsidRPr="00815C4C">
        <w:rPr>
          <w:rFonts w:cs="Taher"/>
          <w:vertAlign w:val="superscript"/>
          <w:rtl/>
        </w:rPr>
        <w:footnoteReference w:id="1002"/>
      </w:r>
      <w:r w:rsidRPr="00815C4C">
        <w:rPr>
          <w:rFonts w:cs="Taher"/>
          <w:vertAlign w:val="superscript"/>
          <w:rtl/>
        </w:rPr>
        <w:t>)</w:t>
      </w:r>
      <w:r w:rsidRPr="00B236CE">
        <w:rPr>
          <w:rStyle w:val="Char3"/>
          <w:rFonts w:hint="cs"/>
          <w:rtl/>
        </w:rPr>
        <w:t>،</w:t>
      </w:r>
      <w:r w:rsidRPr="00E14ED6">
        <w:rPr>
          <w:rFonts w:hint="cs"/>
          <w:rtl/>
        </w:rPr>
        <w:t xml:space="preserve"> وسائر الآيات القرآنية الواردة بهذا الشأن من قبيل قوله: </w:t>
      </w:r>
      <w:r w:rsidRPr="00097C06">
        <w:rPr>
          <w:b/>
          <w:bCs/>
          <w:sz w:val="30"/>
          <w:szCs w:val="34"/>
        </w:rPr>
        <w:sym w:font="Islamic Units 1" w:char="F03E"/>
      </w:r>
      <w:r w:rsidRPr="00853A10">
        <w:rPr>
          <w:rFonts w:hint="cs"/>
          <w:b/>
          <w:bCs/>
          <w:rtl/>
        </w:rPr>
        <w:t>ذلك أطهر لقلوبكم وقلوبهنّ وإن يستعففنَ خير لهن</w:t>
      </w:r>
      <w:r w:rsidRPr="00853A10">
        <w:rPr>
          <w:b/>
          <w:bCs/>
        </w:rPr>
        <w:sym w:font="Islamic Units 1" w:char="F03C"/>
      </w:r>
      <w:r w:rsidRPr="00815C4C">
        <w:rPr>
          <w:rFonts w:cs="Taher"/>
          <w:vertAlign w:val="superscript"/>
          <w:rtl/>
        </w:rPr>
        <w:t>(</w:t>
      </w:r>
      <w:r w:rsidRPr="00815C4C">
        <w:rPr>
          <w:rFonts w:cs="Taher"/>
          <w:vertAlign w:val="superscript"/>
          <w:rtl/>
        </w:rPr>
        <w:footnoteReference w:id="1003"/>
      </w:r>
      <w:r w:rsidRPr="00815C4C">
        <w:rPr>
          <w:rFonts w:cs="Taher"/>
          <w:vertAlign w:val="superscript"/>
          <w:rtl/>
        </w:rPr>
        <w:t>)</w:t>
      </w:r>
      <w:r w:rsidRPr="00E14ED6">
        <w:rPr>
          <w:rFonts w:hint="cs"/>
          <w:rtl/>
        </w:rPr>
        <w:t xml:space="preserve"> ـ يدلّ على أن الرجل والمرأة إنمّا يكونان أقرب للتقوى والورع والطهر الذي يمثل جوهر الشريعة بقدر رعايتهما للستر والحجاب، والابتعاد عن الاختلاط غير الضروري في الأوساط الاجتماعية.</w:t>
      </w:r>
    </w:p>
    <w:p w:rsidR="00853A10" w:rsidRPr="006630AC" w:rsidRDefault="00853A10" w:rsidP="00853A10">
      <w:pPr>
        <w:pStyle w:val="ac"/>
        <w:rPr>
          <w:sz w:val="29"/>
          <w:szCs w:val="29"/>
          <w:rtl/>
        </w:rPr>
      </w:pPr>
      <w:r w:rsidRPr="00E14ED6">
        <w:rPr>
          <w:rFonts w:hint="cs"/>
          <w:rtl/>
        </w:rPr>
        <w:t>فالنفس</w:t>
      </w:r>
      <w:r w:rsidRPr="006630AC">
        <w:rPr>
          <w:rFonts w:hint="cs"/>
          <w:sz w:val="29"/>
          <w:szCs w:val="29"/>
          <w:rtl/>
        </w:rPr>
        <w:t xml:space="preserve"> جوهرة مجرّدة في ذاتها، إلاّ أنها تحتاج إلى المادة في أفعالها؛ وبعبارة أخرى فالنفس الإنسانية ليست ذكراً ولا أنثى، غير أنّها لا تستغني عن الجسم المادي في نشأتها الحسّية حين ممارستها لحياتها الطبيعية والمادية، فقد يكون هذا الجسم المادي ذكراً أو أنثى.</w:t>
      </w:r>
    </w:p>
    <w:p w:rsidR="00853A10" w:rsidRPr="00E14ED6" w:rsidRDefault="00853A10" w:rsidP="006630AC">
      <w:pPr>
        <w:pStyle w:val="ac"/>
        <w:spacing w:line="206" w:lineRule="auto"/>
        <w:rPr>
          <w:rtl/>
        </w:rPr>
      </w:pPr>
      <w:r w:rsidRPr="00E14ED6">
        <w:rPr>
          <w:rFonts w:hint="cs"/>
          <w:rtl/>
        </w:rPr>
        <w:t>لقد بلغ من تأكيد الإسلام على سلامة شخصية المرأة وحفظ حرمتها في</w:t>
      </w:r>
      <w:r>
        <w:rPr>
          <w:rFonts w:hint="cs"/>
          <w:rtl/>
        </w:rPr>
        <w:t xml:space="preserve"> </w:t>
      </w:r>
      <w:r w:rsidRPr="00E14ED6">
        <w:rPr>
          <w:rFonts w:hint="cs"/>
          <w:rtl/>
        </w:rPr>
        <w:t>الأوساط الاجتماعية إلى الحد الذي أوردت الكثير من النصوص في هذا المجال، منها: ما روي عن الإمـام الصـادق</w:t>
      </w:r>
      <w:r w:rsidR="00350F90">
        <w:rPr>
          <w:rFonts w:hint="cs"/>
          <w:rtl/>
        </w:rPr>
        <w:t>×</w:t>
      </w:r>
      <w:r w:rsidRPr="00E14ED6">
        <w:rPr>
          <w:rFonts w:hint="cs"/>
          <w:rtl/>
        </w:rPr>
        <w:t xml:space="preserve"> أنـه قال: </w:t>
      </w:r>
      <w:r w:rsidRPr="00617008">
        <w:rPr>
          <w:rFonts w:hint="cs"/>
          <w:rtl/>
        </w:rPr>
        <w:t>«</w:t>
      </w:r>
      <w:r w:rsidRPr="00E14ED6">
        <w:rPr>
          <w:rFonts w:hint="cs"/>
          <w:rtl/>
        </w:rPr>
        <w:t>نـهى رسول الله</w:t>
      </w:r>
      <w:r w:rsidR="00350F90">
        <w:rPr>
          <w:rFonts w:hint="cs"/>
          <w:rtl/>
        </w:rPr>
        <w:t>’</w:t>
      </w:r>
      <w:r w:rsidRPr="00E14ED6">
        <w:rPr>
          <w:rFonts w:hint="cs"/>
          <w:rtl/>
        </w:rPr>
        <w:t xml:space="preserve"> أن يدخل الرجال على النساء إلاّ بإذنهنّ</w:t>
      </w:r>
      <w:r w:rsidRPr="00617008">
        <w:rPr>
          <w:rFonts w:hint="cs"/>
          <w:rtl/>
        </w:rPr>
        <w:t>»</w:t>
      </w:r>
      <w:r w:rsidRPr="00815C4C">
        <w:rPr>
          <w:rFonts w:cs="Taher"/>
          <w:vertAlign w:val="superscript"/>
          <w:rtl/>
        </w:rPr>
        <w:t>(</w:t>
      </w:r>
      <w:r w:rsidRPr="00815C4C">
        <w:rPr>
          <w:rFonts w:cs="Taher"/>
          <w:vertAlign w:val="superscript"/>
          <w:rtl/>
        </w:rPr>
        <w:footnoteReference w:id="1004"/>
      </w:r>
      <w:r w:rsidRPr="00815C4C">
        <w:rPr>
          <w:rFonts w:cs="Taher"/>
          <w:vertAlign w:val="superscript"/>
          <w:rtl/>
        </w:rPr>
        <w:t>)</w:t>
      </w:r>
      <w:r w:rsidRPr="00E14ED6">
        <w:rPr>
          <w:rFonts w:hint="cs"/>
          <w:rtl/>
        </w:rPr>
        <w:t xml:space="preserve">. </w:t>
      </w:r>
    </w:p>
    <w:p w:rsidR="00853A10" w:rsidRPr="00E14ED6" w:rsidRDefault="00853A10" w:rsidP="006630AC">
      <w:pPr>
        <w:pStyle w:val="ac"/>
        <w:spacing w:line="206" w:lineRule="auto"/>
        <w:rPr>
          <w:rtl/>
        </w:rPr>
      </w:pPr>
      <w:r w:rsidRPr="00E14ED6">
        <w:rPr>
          <w:rFonts w:hint="cs"/>
          <w:rtl/>
        </w:rPr>
        <w:t xml:space="preserve">فالإسلام لا يكفّ عن توجيهاته وإرشاداته بالتحلّي بالأخلاق والآداب والعفّة في كل نشاط اجتماعي تمارسه المرأة جنباً إلى جنب مع الرجل، ولم يغفل عن تحديد الإطار العام الذي ينبغي للمرأة أن تقف عنده حين ممارستها للنشاط الاجتماعي: </w:t>
      </w:r>
      <w:r w:rsidRPr="00617008">
        <w:rPr>
          <w:rFonts w:hint="cs"/>
          <w:rtl/>
        </w:rPr>
        <w:t>«</w:t>
      </w:r>
      <w:r w:rsidRPr="00E14ED6">
        <w:rPr>
          <w:rFonts w:hint="cs"/>
          <w:rtl/>
        </w:rPr>
        <w:t>إنّ كل ما يجرّ إلى الفتنة يجب الاحتراز عنه</w:t>
      </w:r>
      <w:r w:rsidRPr="00617008">
        <w:rPr>
          <w:rFonts w:hint="cs"/>
          <w:rtl/>
        </w:rPr>
        <w:t>»</w:t>
      </w:r>
      <w:r w:rsidRPr="00815C4C">
        <w:rPr>
          <w:rFonts w:cs="Taher"/>
          <w:vertAlign w:val="superscript"/>
          <w:rtl/>
        </w:rPr>
        <w:t>(</w:t>
      </w:r>
      <w:r w:rsidRPr="00815C4C">
        <w:rPr>
          <w:rFonts w:cs="Taher"/>
          <w:vertAlign w:val="superscript"/>
          <w:rtl/>
        </w:rPr>
        <w:footnoteReference w:id="1005"/>
      </w:r>
      <w:r w:rsidRPr="00815C4C">
        <w:rPr>
          <w:rFonts w:cs="Taher"/>
          <w:vertAlign w:val="superscript"/>
          <w:rtl/>
        </w:rPr>
        <w:t>)</w:t>
      </w:r>
      <w:r w:rsidRPr="00E14ED6">
        <w:rPr>
          <w:rFonts w:hint="cs"/>
          <w:rtl/>
        </w:rPr>
        <w:t xml:space="preserve">. فليس هناك من غبار على قضية ممارسة المرأة للنشاط الاجتماعي على ضوء النظرة الدينية، بل ورد الحث عليها من جانب السنّة النبوية الشريفـة، فقد روي </w:t>
      </w:r>
      <w:r w:rsidRPr="00617008">
        <w:rPr>
          <w:rFonts w:hint="cs"/>
          <w:rtl/>
        </w:rPr>
        <w:t>«</w:t>
      </w:r>
      <w:r w:rsidRPr="00E14ED6">
        <w:rPr>
          <w:rFonts w:hint="cs"/>
          <w:rtl/>
        </w:rPr>
        <w:t>أنّ رسـول الله</w:t>
      </w:r>
      <w:r w:rsidR="00350F90">
        <w:rPr>
          <w:rFonts w:hint="cs"/>
          <w:rtl/>
        </w:rPr>
        <w:t>’</w:t>
      </w:r>
      <w:r w:rsidRPr="00E14ED6">
        <w:rPr>
          <w:rFonts w:hint="cs"/>
          <w:rtl/>
        </w:rPr>
        <w:t xml:space="preserve"> خرج بالنساء في الحرب، فكنّ يداوين الجرحى و...</w:t>
      </w:r>
      <w:r w:rsidRPr="00E14ED6">
        <w:rPr>
          <w:rFonts w:hint="cs"/>
          <w:position w:val="4"/>
          <w:rtl/>
        </w:rPr>
        <w:t xml:space="preserve"> </w:t>
      </w:r>
      <w:r w:rsidRPr="00617008">
        <w:rPr>
          <w:rFonts w:hint="cs"/>
          <w:rtl/>
        </w:rPr>
        <w:t>»</w:t>
      </w:r>
      <w:r w:rsidRPr="00815C4C">
        <w:rPr>
          <w:rFonts w:cs="Taher"/>
          <w:vertAlign w:val="superscript"/>
          <w:rtl/>
        </w:rPr>
        <w:t>(</w:t>
      </w:r>
      <w:r w:rsidRPr="00815C4C">
        <w:rPr>
          <w:rFonts w:cs="Taher"/>
          <w:vertAlign w:val="superscript"/>
          <w:rtl/>
        </w:rPr>
        <w:footnoteReference w:id="1006"/>
      </w:r>
      <w:r w:rsidRPr="00815C4C">
        <w:rPr>
          <w:rFonts w:cs="Taher"/>
          <w:vertAlign w:val="superscript"/>
          <w:rtl/>
        </w:rPr>
        <w:t>)</w:t>
      </w:r>
      <w:r w:rsidRPr="00E14ED6">
        <w:rPr>
          <w:rFonts w:hint="cs"/>
          <w:rtl/>
        </w:rPr>
        <w:t>، وقد وفدت مجموعة من النساء على النبي</w:t>
      </w:r>
      <w:r w:rsidR="00350F90">
        <w:rPr>
          <w:rFonts w:hint="cs"/>
          <w:rtl/>
        </w:rPr>
        <w:t>’</w:t>
      </w:r>
      <w:r w:rsidRPr="00E14ED6">
        <w:rPr>
          <w:rFonts w:hint="cs"/>
          <w:rtl/>
        </w:rPr>
        <w:t xml:space="preserve"> في معركة خيبر، </w:t>
      </w:r>
      <w:r w:rsidRPr="00E14ED6">
        <w:rPr>
          <w:rFonts w:hint="cs"/>
          <w:rtl/>
        </w:rPr>
        <w:lastRenderedPageBreak/>
        <w:t>فتقدّمت ممثلتهن أم سلمة وقالت لرسول الله</w:t>
      </w:r>
      <w:r w:rsidR="00350F90">
        <w:rPr>
          <w:rFonts w:hint="cs"/>
          <w:rtl/>
        </w:rPr>
        <w:t>’</w:t>
      </w:r>
      <w:r w:rsidRPr="00E14ED6">
        <w:rPr>
          <w:rFonts w:hint="cs"/>
          <w:rtl/>
        </w:rPr>
        <w:t>: إنّا نريد أن نخرج معك في وجهك هذا، فنداوي الجرحى ونعين المسلمين بما استطعنا</w:t>
      </w:r>
      <w:r w:rsidRPr="00815C4C">
        <w:rPr>
          <w:rFonts w:cs="Taher"/>
          <w:vertAlign w:val="superscript"/>
          <w:rtl/>
        </w:rPr>
        <w:t>(</w:t>
      </w:r>
      <w:r w:rsidRPr="00815C4C">
        <w:rPr>
          <w:rFonts w:cs="Taher"/>
          <w:vertAlign w:val="superscript"/>
          <w:rtl/>
        </w:rPr>
        <w:footnoteReference w:id="1007"/>
      </w:r>
      <w:r w:rsidRPr="00815C4C">
        <w:rPr>
          <w:rFonts w:cs="Taher"/>
          <w:vertAlign w:val="superscript"/>
          <w:rtl/>
        </w:rPr>
        <w:t>)</w:t>
      </w:r>
      <w:r w:rsidRPr="00E14ED6">
        <w:rPr>
          <w:rFonts w:hint="cs"/>
          <w:rtl/>
        </w:rPr>
        <w:t>، فجزاهن النبي</w:t>
      </w:r>
      <w:r w:rsidR="00350F90">
        <w:rPr>
          <w:rFonts w:hint="cs"/>
          <w:rtl/>
        </w:rPr>
        <w:t>’</w:t>
      </w:r>
      <w:r w:rsidRPr="00E14ED6">
        <w:rPr>
          <w:rFonts w:hint="cs"/>
          <w:rtl/>
        </w:rPr>
        <w:t xml:space="preserve"> خيراً على هذا الحضور الاجتماعي والسياسي الفعّال إلى جانب الرجال، ثم أذن لهن بالاشتراك في المعركة، بل دعا رسول الله</w:t>
      </w:r>
      <w:r w:rsidR="00350F90">
        <w:rPr>
          <w:rFonts w:hint="cs"/>
          <w:rtl/>
        </w:rPr>
        <w:t>’</w:t>
      </w:r>
      <w:r w:rsidRPr="00E14ED6">
        <w:rPr>
          <w:rFonts w:hint="cs"/>
          <w:rtl/>
        </w:rPr>
        <w:t xml:space="preserve"> لأم سلمة حين حملت خنجراً، وانطلقت إلى الميدان دفاعاً عن الإسلام.</w:t>
      </w:r>
    </w:p>
    <w:p w:rsidR="00853A10" w:rsidRPr="00E14ED6" w:rsidRDefault="00853A10" w:rsidP="006630AC">
      <w:pPr>
        <w:pStyle w:val="ac"/>
        <w:spacing w:line="199" w:lineRule="auto"/>
        <w:rPr>
          <w:rtl/>
        </w:rPr>
      </w:pPr>
      <w:r w:rsidRPr="00E14ED6">
        <w:rPr>
          <w:rFonts w:hint="cs"/>
          <w:rtl/>
        </w:rPr>
        <w:t xml:space="preserve">أَما التعاليم الدينية التي حثّت على الحضور الاجتماعي الفاعل للمرأة في ميادين العلم، وتعلّم العلوم والمعارف، فهي من الأمور التي لا تشوبها شائبة، فقد ورد في الحديث المأثور: </w:t>
      </w:r>
      <w:r w:rsidRPr="00885E99">
        <w:rPr>
          <w:rFonts w:hint="eastAsia"/>
          <w:rtl/>
        </w:rPr>
        <w:t>«</w:t>
      </w:r>
      <w:r w:rsidRPr="00E14ED6">
        <w:rPr>
          <w:rFonts w:hint="cs"/>
          <w:rtl/>
        </w:rPr>
        <w:t>طلب العلم فريضة على كلّ مسلم ومسلمة</w:t>
      </w:r>
      <w:r w:rsidRPr="00853A10">
        <w:rPr>
          <w:rFonts w:hint="eastAsia"/>
          <w:rtl/>
        </w:rPr>
        <w:t>»</w:t>
      </w:r>
      <w:r w:rsidRPr="00E14ED6">
        <w:rPr>
          <w:rFonts w:hint="cs"/>
          <w:rtl/>
        </w:rPr>
        <w:t>، غير أنّ ما ورد التأكيد عليه في التعاليم الإسلامية أيضاً هو أنّ المرأة ـ وفي إطار ممارستها لوظائفها وحقوقها الاجتماعية ـ حتى في الفصول الدراسية وطلب العلم والمعرفة لابدّ أن تحافظ على حدود العفّة، وعدم انتهاك حرمة أنوثتها وتمهيد السبيل أمام وقوعها فريسةً لأطماع الرجال وشهواتهم.</w:t>
      </w:r>
    </w:p>
    <w:p w:rsidR="00853A10" w:rsidRPr="00E14ED6" w:rsidRDefault="00853A10" w:rsidP="006630AC">
      <w:pPr>
        <w:pStyle w:val="ac"/>
        <w:spacing w:line="199" w:lineRule="auto"/>
        <w:rPr>
          <w:rtl/>
        </w:rPr>
      </w:pPr>
      <w:r w:rsidRPr="00E14ED6">
        <w:rPr>
          <w:rFonts w:hint="cs"/>
          <w:rtl/>
        </w:rPr>
        <w:t>فقد روي أنّ أبا بصير قال: كنت أقرئ امرأةً كنت أعلّمها القرآن، فمازحتها بشيء، فقدمتُ على أبي جعفر</w:t>
      </w:r>
      <w:r w:rsidR="00350F90">
        <w:rPr>
          <w:rFonts w:hint="cs"/>
          <w:rtl/>
        </w:rPr>
        <w:t>×</w:t>
      </w:r>
      <w:r w:rsidRPr="00E14ED6">
        <w:rPr>
          <w:rFonts w:hint="cs"/>
          <w:rtl/>
        </w:rPr>
        <w:t xml:space="preserve"> فقال: </w:t>
      </w:r>
      <w:r w:rsidRPr="00617008">
        <w:rPr>
          <w:rFonts w:hint="cs"/>
          <w:rtl/>
        </w:rPr>
        <w:t>«</w:t>
      </w:r>
      <w:r w:rsidRPr="00E14ED6">
        <w:rPr>
          <w:rFonts w:hint="cs"/>
          <w:rtl/>
        </w:rPr>
        <w:t>أي شيء قلت للمرأة؟</w:t>
      </w:r>
      <w:r w:rsidRPr="00617008">
        <w:rPr>
          <w:rFonts w:hint="cs"/>
          <w:rtl/>
        </w:rPr>
        <w:t>»</w:t>
      </w:r>
      <w:r w:rsidRPr="00E14ED6">
        <w:rPr>
          <w:rFonts w:hint="cs"/>
          <w:rtl/>
        </w:rPr>
        <w:t xml:space="preserve"> فغطيت وجهي، فقال</w:t>
      </w:r>
      <w:r w:rsidR="00350F90">
        <w:rPr>
          <w:rFonts w:hint="cs"/>
          <w:rtl/>
        </w:rPr>
        <w:t>×</w:t>
      </w:r>
      <w:r w:rsidRPr="00E14ED6">
        <w:rPr>
          <w:rFonts w:hint="cs"/>
          <w:rtl/>
        </w:rPr>
        <w:t xml:space="preserve">: </w:t>
      </w:r>
      <w:r w:rsidRPr="00617008">
        <w:rPr>
          <w:rFonts w:hint="cs"/>
          <w:rtl/>
        </w:rPr>
        <w:t>«</w:t>
      </w:r>
      <w:r w:rsidRPr="00E14ED6">
        <w:rPr>
          <w:rFonts w:hint="cs"/>
          <w:rtl/>
        </w:rPr>
        <w:t>لا تعودن إليها</w:t>
      </w:r>
      <w:r w:rsidRPr="00617008">
        <w:rPr>
          <w:rFonts w:hint="cs"/>
          <w:rtl/>
        </w:rPr>
        <w:t>»</w:t>
      </w:r>
      <w:r w:rsidRPr="00815C4C">
        <w:rPr>
          <w:rFonts w:cs="Taher"/>
          <w:vertAlign w:val="superscript"/>
          <w:rtl/>
        </w:rPr>
        <w:t>(</w:t>
      </w:r>
      <w:r w:rsidRPr="00815C4C">
        <w:rPr>
          <w:rFonts w:cs="Taher"/>
          <w:vertAlign w:val="superscript"/>
          <w:rtl/>
        </w:rPr>
        <w:footnoteReference w:id="1008"/>
      </w:r>
      <w:r w:rsidRPr="00815C4C">
        <w:rPr>
          <w:rFonts w:cs="Taher"/>
          <w:vertAlign w:val="superscript"/>
          <w:rtl/>
        </w:rPr>
        <w:t>)</w:t>
      </w:r>
      <w:r w:rsidRPr="00E14ED6">
        <w:rPr>
          <w:rFonts w:hint="cs"/>
          <w:rtl/>
        </w:rPr>
        <w:t xml:space="preserve">. </w:t>
      </w:r>
    </w:p>
    <w:p w:rsidR="00853A10" w:rsidRDefault="00853A10" w:rsidP="006630AC">
      <w:pPr>
        <w:pStyle w:val="ac"/>
        <w:spacing w:line="199" w:lineRule="auto"/>
        <w:rPr>
          <w:rtl/>
        </w:rPr>
      </w:pPr>
      <w:r w:rsidRPr="00E14ED6">
        <w:rPr>
          <w:rFonts w:hint="cs"/>
          <w:rtl/>
        </w:rPr>
        <w:t xml:space="preserve">إن الإسلام يولي عنايةً فائقة للتعقل وموزانة الأهم والمهم بعد تحديدهما، وهي القاعدة التي تمثل تقنيناً فقهياً بشأن المستحبات والوصايا الإرشادية للديانة الإسلامية. والإطار العام لهذه القاعدة يفيد ضرورة الاحتراز عند الإتيان ببعض المستحبات، من قبيل تعليم القرآن للآخرين في أجواء مختلطة، إذا كان ذلك المستحب يؤدي إلى الوقوع في فتنة وفساد، أو يفوت بعض الأمور المؤكدة في الشريعة، فتعليم القرآن على ضوء القاعدة المذكورة أمر مهم، إلاّ أنّ عدم الوقوع في الفتنة والفساد يشكّل أَمراً أهم، والعقل يدعو بدوره إلى تقديم الأهم علىالمهم. وهذا ما نلمسه بوضوح في السيرة </w:t>
      </w:r>
      <w:r w:rsidRPr="00E14ED6">
        <w:rPr>
          <w:rFonts w:hint="cs"/>
          <w:rtl/>
        </w:rPr>
        <w:lastRenderedPageBreak/>
        <w:t>العملية للنبي الأكرم</w:t>
      </w:r>
      <w:r w:rsidR="00350F90">
        <w:rPr>
          <w:rFonts w:hint="cs"/>
          <w:rtl/>
        </w:rPr>
        <w:t>’</w:t>
      </w:r>
      <w:r w:rsidRPr="00E14ED6">
        <w:rPr>
          <w:rFonts w:hint="cs"/>
          <w:rtl/>
        </w:rPr>
        <w:t xml:space="preserve"> حين أمر بتخصيص بابٍ لدخول النساء وخروجهنّ في مسجده.</w:t>
      </w:r>
    </w:p>
    <w:p w:rsidR="00853A10" w:rsidRPr="006630AC" w:rsidRDefault="00853A10" w:rsidP="006630AC">
      <w:pPr>
        <w:pStyle w:val="afffffc"/>
        <w:rPr>
          <w:rFonts w:ascii="Mosawi" w:hAnsi="Mosawi"/>
          <w:sz w:val="16"/>
          <w:szCs w:val="14"/>
        </w:rPr>
      </w:pPr>
    </w:p>
    <w:p w:rsidR="00853A10" w:rsidRPr="006630AC" w:rsidRDefault="00853A10" w:rsidP="006630AC">
      <w:pPr>
        <w:pStyle w:val="1"/>
        <w:spacing w:line="173" w:lineRule="auto"/>
        <w:rPr>
          <w:sz w:val="39"/>
          <w:szCs w:val="39"/>
          <w:rtl/>
        </w:rPr>
      </w:pPr>
      <w:bookmarkStart w:id="646" w:name="_Toc169521513"/>
      <w:bookmarkStart w:id="647" w:name="_Toc275128284"/>
      <w:r w:rsidRPr="006630AC">
        <w:rPr>
          <w:rFonts w:hint="cs"/>
          <w:sz w:val="39"/>
          <w:szCs w:val="39"/>
          <w:rtl/>
        </w:rPr>
        <w:t xml:space="preserve">وقفة </w:t>
      </w:r>
      <w:r w:rsidR="00E33C4C" w:rsidRPr="006630AC">
        <w:rPr>
          <w:rFonts w:hint="cs"/>
          <w:sz w:val="39"/>
          <w:szCs w:val="39"/>
          <w:rtl/>
        </w:rPr>
        <w:t>مع الأسس</w:t>
      </w:r>
      <w:r w:rsidRPr="006630AC">
        <w:rPr>
          <w:rFonts w:hint="cs"/>
          <w:sz w:val="39"/>
          <w:szCs w:val="39"/>
          <w:rtl/>
        </w:rPr>
        <w:t xml:space="preserve"> الفلسـفية للنزعات النسـوية بشـأن المـرأة وقضـاياها الاجتماعية</w:t>
      </w:r>
      <w:bookmarkEnd w:id="646"/>
      <w:bookmarkEnd w:id="647"/>
    </w:p>
    <w:p w:rsidR="00853A10" w:rsidRPr="00E14ED6" w:rsidRDefault="00853A10" w:rsidP="00853A10">
      <w:pPr>
        <w:pStyle w:val="ac"/>
        <w:rPr>
          <w:rtl/>
        </w:rPr>
      </w:pPr>
      <w:r w:rsidRPr="00E14ED6">
        <w:rPr>
          <w:rFonts w:hint="cs"/>
          <w:rtl/>
        </w:rPr>
        <w:t>كما أشرنا سابقاً، هناك على الدوام مجموعة من المبادئ التصورية والتصديقية، والبنى الأساسية والأصول الموضوعة والمتعارفة، والفرضيات الفلسفية التي تؤلّف النظريات الفرعية والجزئية، وكل نظرية ليست بمعزل عن المبادئ الفلسفية، ولكلّ من المدرسة الإسلامية والاتجاهات التي تزعمت فكرة سيادة المرأة رأيها في الفلسفة الوجودية وعلوم المعرفة، والوجود والعدم، والواجبات والمحظورات، بالشكل الذي يميز المبادئ والأصول الأساسية لكل مدرسة عن المدرسة الأخرى.</w:t>
      </w:r>
    </w:p>
    <w:p w:rsidR="00853A10" w:rsidRPr="00E14ED6" w:rsidRDefault="00853A10" w:rsidP="00853A10">
      <w:pPr>
        <w:pStyle w:val="ac"/>
        <w:rPr>
          <w:rtl/>
        </w:rPr>
      </w:pPr>
      <w:r w:rsidRPr="00E14ED6">
        <w:rPr>
          <w:rFonts w:hint="cs"/>
          <w:rtl/>
        </w:rPr>
        <w:t xml:space="preserve">على سبيل المثال، حين أكّد أنصار نزعة سيادة المرأة ـ الأكثر تجدداً من غيرهم ـ على ضرورة إقامة سدّ عظيم يشكّل حاجزاً بين عالم المرأة وعالم الرجل لا ينبغي اختراقه، فإنّهم إنّما توصلوا إلى ذلك من خلال أطروحاتهم الفكرية في علوم النفس والاجتماع، على أساس روحية المرأة والرجل وسلوكهما القائم على نظريات المدرسة السلوكية التي يتبنّاها أصحاب تلك النـزعة الفلسفية، فمن الخصائص التي يتميز بها أنصار هذه النـزعة: </w:t>
      </w:r>
      <w:r w:rsidRPr="00617008">
        <w:rPr>
          <w:rFonts w:hint="cs"/>
          <w:rtl/>
        </w:rPr>
        <w:t>«</w:t>
      </w:r>
      <w:r w:rsidRPr="00E14ED6">
        <w:rPr>
          <w:rFonts w:hint="cs"/>
          <w:rtl/>
        </w:rPr>
        <w:t>تأكيدهم على حفظ الخصائص النسوية بالاستناد إلى علوم النفس السلوكية، واعتقادهم بأنّ الاعتقادات كافة في العالم يمكنها أن توجد أنواعاً جديدة من الظلم والاضطهاد</w:t>
      </w:r>
      <w:r w:rsidRPr="00617008">
        <w:rPr>
          <w:rFonts w:hint="cs"/>
          <w:rtl/>
        </w:rPr>
        <w:t>»</w:t>
      </w:r>
      <w:r w:rsidRPr="00815C4C">
        <w:rPr>
          <w:rFonts w:cs="Taher"/>
          <w:vertAlign w:val="superscript"/>
          <w:rtl/>
        </w:rPr>
        <w:t>(</w:t>
      </w:r>
      <w:r w:rsidRPr="00815C4C">
        <w:rPr>
          <w:rFonts w:cs="Taher"/>
          <w:vertAlign w:val="superscript"/>
          <w:rtl/>
        </w:rPr>
        <w:footnoteReference w:id="1009"/>
      </w:r>
      <w:r w:rsidRPr="00815C4C">
        <w:rPr>
          <w:rFonts w:cs="Taher"/>
          <w:vertAlign w:val="superscript"/>
          <w:rtl/>
        </w:rPr>
        <w:t>)</w:t>
      </w:r>
      <w:r w:rsidRPr="00E14ED6">
        <w:rPr>
          <w:rFonts w:hint="cs"/>
          <w:rtl/>
        </w:rPr>
        <w:t>.</w:t>
      </w:r>
    </w:p>
    <w:p w:rsidR="00853A10" w:rsidRPr="00E14ED6" w:rsidRDefault="00853A10" w:rsidP="00853A10">
      <w:pPr>
        <w:pStyle w:val="ac"/>
        <w:rPr>
          <w:rtl/>
        </w:rPr>
      </w:pPr>
      <w:r w:rsidRPr="00E14ED6">
        <w:rPr>
          <w:rFonts w:hint="cs"/>
          <w:rtl/>
        </w:rPr>
        <w:t xml:space="preserve">ويبدو أنّ المباني النظرية والبنى الفلسفية وعلوم المعرفة والفرضيات الفلسفية لعلوم النفس والاجتماع واللغة هي التي توجّه مثل هذه الأفكار وتقودها، وقد لعبت بعض فلسفات المعرفة والإدراك التي تخضع لعدد من النظريات والفرضيات دوراً مضطرداً في التأثير على هذه الأفكار، فقد ذهب علماء النفس الاجتماعي منذ عهد كورت لورين: </w:t>
      </w:r>
      <w:r w:rsidRPr="00617008">
        <w:rPr>
          <w:rFonts w:hint="cs"/>
          <w:rtl/>
        </w:rPr>
        <w:lastRenderedPageBreak/>
        <w:t>«</w:t>
      </w:r>
      <w:r w:rsidRPr="00E14ED6">
        <w:rPr>
          <w:rFonts w:hint="cs"/>
          <w:rtl/>
        </w:rPr>
        <w:t>إلى أنّ الأسلوب الأفضل في التعرّف على السلوك الاجتماعي هو ما يتوصّل إليه الذهن البشري من الظواهر العالمية دون إخضاع هذه الظواهر للدراسات العينية، فالسلوك الاجتماعي إنّما يتمّ التعرّف عليه من خلال الفهم والتصوّر...</w:t>
      </w:r>
      <w:r w:rsidRPr="00617008">
        <w:rPr>
          <w:rFonts w:hint="cs"/>
          <w:rtl/>
        </w:rPr>
        <w:t>»</w:t>
      </w:r>
      <w:r w:rsidRPr="00815C4C">
        <w:rPr>
          <w:rFonts w:cs="Taher"/>
          <w:vertAlign w:val="superscript"/>
          <w:rtl/>
        </w:rPr>
        <w:t>(</w:t>
      </w:r>
      <w:r w:rsidRPr="00815C4C">
        <w:rPr>
          <w:rFonts w:cs="Taher"/>
          <w:vertAlign w:val="superscript"/>
          <w:rtl/>
        </w:rPr>
        <w:footnoteReference w:id="1010"/>
      </w:r>
      <w:r w:rsidRPr="00815C4C">
        <w:rPr>
          <w:rFonts w:cs="Taher"/>
          <w:vertAlign w:val="superscript"/>
          <w:rtl/>
        </w:rPr>
        <w:t>)</w:t>
      </w:r>
      <w:r w:rsidRPr="00E14ED6">
        <w:rPr>
          <w:rFonts w:hint="cs"/>
          <w:rtl/>
        </w:rPr>
        <w:t>.</w:t>
      </w:r>
    </w:p>
    <w:p w:rsidR="00853A10" w:rsidRPr="00E14ED6" w:rsidRDefault="00853A10" w:rsidP="006630AC">
      <w:pPr>
        <w:pStyle w:val="ac"/>
        <w:spacing w:line="199" w:lineRule="auto"/>
        <w:rPr>
          <w:rtl/>
        </w:rPr>
      </w:pPr>
      <w:r w:rsidRPr="00E14ED6">
        <w:rPr>
          <w:rFonts w:hint="cs"/>
          <w:rtl/>
        </w:rPr>
        <w:t xml:space="preserve">فالسلوكية من لوازم النظريات التي تنادي بالمساواة بين الجنسين ـ أو سيادة المرأة ـ حيث تنتمي إلى مدارس العلوم النفسية التي تعتبر أميركا اليوم إحدى قواعدها الرئيسية في العالم، </w:t>
      </w:r>
      <w:r w:rsidRPr="00617008">
        <w:rPr>
          <w:rFonts w:hint="cs"/>
          <w:rtl/>
        </w:rPr>
        <w:t>«</w:t>
      </w:r>
      <w:r w:rsidRPr="00E14ED6">
        <w:rPr>
          <w:rFonts w:hint="cs"/>
          <w:rtl/>
        </w:rPr>
        <w:t>حيث يعتقد أتباع المدرسة السلوكية أنّ الذهن ليس حقيقةً منفصلةً عن البدن، وليس هناك شيء مستقل اسمه الشعور والذهن، ولكلّ كائن حي سلوك في ظل الظروف والعوامل الفسيولوجية، وأعمال يقوم بها تتم عن طريق الدماغ</w:t>
      </w:r>
      <w:r w:rsidRPr="00617008">
        <w:rPr>
          <w:rFonts w:hint="cs"/>
          <w:rtl/>
        </w:rPr>
        <w:t>»</w:t>
      </w:r>
      <w:r w:rsidRPr="00815C4C">
        <w:rPr>
          <w:rFonts w:cs="Taher"/>
          <w:vertAlign w:val="superscript"/>
          <w:rtl/>
        </w:rPr>
        <w:t>(</w:t>
      </w:r>
      <w:r w:rsidRPr="00815C4C">
        <w:rPr>
          <w:rFonts w:cs="Taher"/>
          <w:vertAlign w:val="superscript"/>
          <w:rtl/>
        </w:rPr>
        <w:footnoteReference w:id="1011"/>
      </w:r>
      <w:r w:rsidRPr="00815C4C">
        <w:rPr>
          <w:rFonts w:cs="Taher"/>
          <w:vertAlign w:val="superscript"/>
          <w:rtl/>
        </w:rPr>
        <w:t>)</w:t>
      </w:r>
      <w:r w:rsidRPr="00E14ED6">
        <w:rPr>
          <w:rFonts w:hint="cs"/>
          <w:rtl/>
        </w:rPr>
        <w:t xml:space="preserve">. </w:t>
      </w:r>
    </w:p>
    <w:p w:rsidR="00853A10" w:rsidRPr="00E14ED6" w:rsidRDefault="00853A10" w:rsidP="006630AC">
      <w:pPr>
        <w:pStyle w:val="ac"/>
        <w:spacing w:line="199" w:lineRule="auto"/>
        <w:rPr>
          <w:rtl/>
        </w:rPr>
      </w:pPr>
      <w:r w:rsidRPr="00617008">
        <w:rPr>
          <w:rFonts w:hint="cs"/>
          <w:rtl/>
        </w:rPr>
        <w:t>«</w:t>
      </w:r>
      <w:r w:rsidRPr="00E75F8E">
        <w:rPr>
          <w:rFonts w:hint="cs"/>
          <w:rtl/>
        </w:rPr>
        <w:t>ويشير هذا الاصطلاح ـ أي السلوكية ـ إلى أطروحة تبنّتها المذاهب التجريبية الحديثة، ومدلوله يفيد أنّ كل اصطلاح وصفي في لغة العلوم بما فيها العلوم الاجتماعية والإنسانية يرتبط بمفردات تبيّن الخواص التي يمكن مشاهدتها في الأشياء، الأمر الذي جعل من المتعذّر التكهّن بالتعامل مع القضايا والمشاكل الميتافيزيقية، فهي عبارة عن قضايا تفتقر للموضوعية الواقعية، حيث وردت بهيئة مركبة من العلوم النفسية والفيزيائية للمدرسة المعروفة ـ السلوكية ـ التي منحت الأصالة للسلوك</w:t>
      </w:r>
      <w:r w:rsidRPr="00617008">
        <w:rPr>
          <w:rFonts w:hint="cs"/>
          <w:rtl/>
        </w:rPr>
        <w:t>»</w:t>
      </w:r>
      <w:r w:rsidRPr="00815C4C">
        <w:rPr>
          <w:rFonts w:cs="Taher"/>
          <w:vertAlign w:val="superscript"/>
          <w:rtl/>
        </w:rPr>
        <w:t>(</w:t>
      </w:r>
      <w:r w:rsidRPr="00815C4C">
        <w:rPr>
          <w:rFonts w:cs="Taher"/>
          <w:vertAlign w:val="superscript"/>
          <w:rtl/>
        </w:rPr>
        <w:footnoteReference w:id="1012"/>
      </w:r>
      <w:r w:rsidRPr="00815C4C">
        <w:rPr>
          <w:rFonts w:cs="Taher"/>
          <w:vertAlign w:val="superscript"/>
          <w:rtl/>
        </w:rPr>
        <w:t>)</w:t>
      </w:r>
      <w:r w:rsidRPr="00E75F8E">
        <w:rPr>
          <w:rFonts w:hint="cs"/>
          <w:rtl/>
        </w:rPr>
        <w:t>.</w:t>
      </w:r>
    </w:p>
    <w:p w:rsidR="00853A10" w:rsidRPr="00E14ED6" w:rsidRDefault="00853A10" w:rsidP="006630AC">
      <w:pPr>
        <w:pStyle w:val="ac"/>
        <w:rPr>
          <w:rtl/>
        </w:rPr>
      </w:pPr>
      <w:r w:rsidRPr="00E14ED6">
        <w:rPr>
          <w:rFonts w:hint="cs"/>
          <w:rtl/>
        </w:rPr>
        <w:t>وطالما كانت المدارس الفكرية المعاصرة التي تبنّت أطروحة المساواة، تتعاطى مع هذا الاتجاه الفلسفي وتتفاعل معه، كان من الطبيعي أن تولي هي الاُخرى الأصالة للسلوك أيضاً، اعتماداً على المدرسة السلوكية التي قالت بذلك.</w:t>
      </w:r>
    </w:p>
    <w:p w:rsidR="00853A10" w:rsidRPr="00E14ED6" w:rsidRDefault="00853A10" w:rsidP="006630AC">
      <w:pPr>
        <w:pStyle w:val="ac"/>
        <w:rPr>
          <w:rtl/>
        </w:rPr>
      </w:pPr>
      <w:r w:rsidRPr="00E14ED6">
        <w:rPr>
          <w:rFonts w:hint="cs"/>
          <w:rtl/>
        </w:rPr>
        <w:t>ولا يراد به طبعاً مطلق السلوك، بل السلوك الذي يتأثر فقط بالعينيات</w:t>
      </w:r>
      <w:r w:rsidR="006630AC">
        <w:t xml:space="preserve"> </w:t>
      </w:r>
      <w:r w:rsidRPr="00E14ED6">
        <w:rPr>
          <w:rFonts w:hint="cs"/>
          <w:rtl/>
        </w:rPr>
        <w:t xml:space="preserve">والمحسوسات، ومن المسلّم به أَن الفيلسوف الذي لا يعتبر جوهر الفكر حقيقةً متعاليةً ومتمايزةً عن البدن، ولا يؤمن بوجود فطرة أصيلة مشتركة للمرأة والرجل، ويختزل تمام الأشياء في الطبيعة، سينساق قطعاً للاعتقاد بوجود الفارق الجوهري بين عالم المرأة </w:t>
      </w:r>
      <w:r w:rsidRPr="00E14ED6">
        <w:rPr>
          <w:rFonts w:hint="cs"/>
          <w:rtl/>
        </w:rPr>
        <w:lastRenderedPageBreak/>
        <w:t>وعالم الرجل حين يروم التمييز بين طبيعتيهما ووضعهما الجنسي والفيزيائي.</w:t>
      </w:r>
    </w:p>
    <w:p w:rsidR="00853A10" w:rsidRPr="00E14ED6" w:rsidRDefault="00853A10" w:rsidP="006630AC">
      <w:pPr>
        <w:pStyle w:val="ac"/>
        <w:spacing w:line="199" w:lineRule="auto"/>
        <w:rPr>
          <w:rtl/>
        </w:rPr>
      </w:pPr>
      <w:r w:rsidRPr="00E14ED6">
        <w:rPr>
          <w:rFonts w:hint="cs"/>
          <w:rtl/>
        </w:rPr>
        <w:t>ولا ننكر ـ بالطبع ـ أبداً الفارق بين المرأة والرجل من حيث التأثير الفيزيائي والعضوي للبدن على المشاعر والأفكار، غير أنّ الذي نرفضه رفضاً قاطعاً المبالغة والإفراط في التأكيد على هذا الفارق، حيث تذوب في ظلّه الحقيقة الإنسانية المشتركة بين الرجل والمرأة. وبصورة عامّة يمكن القول: إنّ الذين يعتقدون بأصالة السلوك يعتقدون أيضاً بأصالة الحسّ والتجربة في إطار الفكر الفلسفي، وعلى ضوء هذه النظرة الفلسفية تعدّ التجربة من أقوى العوامل التي تحدّد النظرية الاجتماعية بهذا الشأن، ومن المسلّمات أن إحدى نتائج المذاهب الفلسفية إنّما تكمن فيما تتوصل إليه من معارف على أساس أصالة التجربة وأصالة الحسّ المفرط، والاعتقاد بالفوارق الجوهرية بين عالم المرأة وعالم الرجل.</w:t>
      </w:r>
    </w:p>
    <w:p w:rsidR="00853A10" w:rsidRPr="00E14ED6" w:rsidRDefault="00853A10" w:rsidP="006630AC">
      <w:pPr>
        <w:pStyle w:val="ac"/>
        <w:spacing w:line="199" w:lineRule="auto"/>
        <w:rPr>
          <w:rtl/>
        </w:rPr>
      </w:pPr>
      <w:r w:rsidRPr="00E14ED6">
        <w:rPr>
          <w:rFonts w:hint="cs"/>
          <w:rtl/>
        </w:rPr>
        <w:t>لا شكّ أنّ اعتماد نظرية فرويد وأفكاره الفلسفية الباطلة هي التي حدت بأنصار مذهب المساواة وسيادة المرأة إلى طرح أفكارهم المنحرفة الفاسدة بشأن المرأة وقضاياها الاجتماعية، فالمعروف أنّ فرويد فلسف الوجود على أساس الغرائز، وفي مقدمتها غريزة اللبيدو والغريزة الجنسية</w:t>
      </w:r>
      <w:r w:rsidRPr="00815C4C">
        <w:rPr>
          <w:rFonts w:cs="Taher"/>
          <w:vertAlign w:val="superscript"/>
          <w:rtl/>
        </w:rPr>
        <w:t>(</w:t>
      </w:r>
      <w:r w:rsidRPr="00815C4C">
        <w:rPr>
          <w:rFonts w:cs="Taher"/>
          <w:vertAlign w:val="superscript"/>
          <w:rtl/>
        </w:rPr>
        <w:footnoteReference w:id="1013"/>
      </w:r>
      <w:r w:rsidRPr="00815C4C">
        <w:rPr>
          <w:rFonts w:cs="Taher"/>
          <w:vertAlign w:val="superscript"/>
          <w:rtl/>
        </w:rPr>
        <w:t>)</w:t>
      </w:r>
      <w:r w:rsidRPr="00E14ED6">
        <w:rPr>
          <w:rFonts w:hint="cs"/>
          <w:rtl/>
        </w:rPr>
        <w:t xml:space="preserve">. </w:t>
      </w:r>
    </w:p>
    <w:p w:rsidR="00853A10" w:rsidRPr="00E14ED6" w:rsidRDefault="00853A10" w:rsidP="006630AC">
      <w:pPr>
        <w:pStyle w:val="ac"/>
        <w:spacing w:line="199" w:lineRule="auto"/>
        <w:rPr>
          <w:rtl/>
        </w:rPr>
      </w:pPr>
      <w:r w:rsidRPr="00E14ED6">
        <w:rPr>
          <w:rFonts w:hint="cs"/>
          <w:rtl/>
        </w:rPr>
        <w:t>كما يعتقد بعض العلماء من أمثال إبراهام ماسلو ـ من علماء النفس المشهورين في أميركا ـ أن الحاجات الفسيولوجية والعضوية للبدن تلعب دوراً هاماً في تحديد السلوك والشخصية</w:t>
      </w:r>
      <w:r w:rsidRPr="00815C4C">
        <w:rPr>
          <w:rFonts w:cs="Taher"/>
          <w:vertAlign w:val="superscript"/>
          <w:rtl/>
        </w:rPr>
        <w:t>(</w:t>
      </w:r>
      <w:r w:rsidRPr="00815C4C">
        <w:rPr>
          <w:rFonts w:cs="Taher"/>
          <w:vertAlign w:val="superscript"/>
          <w:rtl/>
        </w:rPr>
        <w:footnoteReference w:id="1014"/>
      </w:r>
      <w:r w:rsidRPr="00815C4C">
        <w:rPr>
          <w:rFonts w:cs="Taher"/>
          <w:vertAlign w:val="superscript"/>
          <w:rtl/>
        </w:rPr>
        <w:t>)</w:t>
      </w:r>
      <w:r w:rsidRPr="00E14ED6">
        <w:rPr>
          <w:rFonts w:hint="cs"/>
          <w:rtl/>
        </w:rPr>
        <w:t xml:space="preserve">، وهنا لابد من القول بأنّ سائر المنظّرين الذين سقطوا في وحل المدارس التي تنادي بالمساواة بين الجنسين إنّما تأثروا من قريب أو من بعيد بالفلسفات القائمة على أساس الحسّ والتجربة. </w:t>
      </w:r>
    </w:p>
    <w:p w:rsidR="00853A10" w:rsidRPr="00E14ED6" w:rsidRDefault="00853A10" w:rsidP="00853A10">
      <w:pPr>
        <w:pStyle w:val="ac"/>
        <w:rPr>
          <w:rtl/>
        </w:rPr>
      </w:pPr>
      <w:r w:rsidRPr="00E14ED6">
        <w:rPr>
          <w:rFonts w:hint="cs"/>
          <w:rtl/>
        </w:rPr>
        <w:t xml:space="preserve">وفي الواقع، ثمّة مدارس فلسفية أخرى لا تكتفي بالحسّ والتجربة في رؤيتها لهذه المسألة، فمثلاً يعتمد بعض الفلاسفة من قبيل الفيلسوف الإنجليزي هوبز أسلوب القياس، رغم اتكائه على التجربة في المنطق. وكذلك الفيلسوف الأميركي وليم جيمز </w:t>
      </w:r>
      <w:r w:rsidRPr="00E14ED6">
        <w:rPr>
          <w:rFonts w:hint="cs"/>
          <w:rtl/>
        </w:rPr>
        <w:lastRenderedPageBreak/>
        <w:t>الذي يقول بأصالة التجربة، فيما ذهب جمع آخر من الفلاسفة وفي مقدمتهم عمانوئيل كانط إلى أصالة العقل في العلوم الإنسانية، إلى جانب دور الحسّ والتجربة في هذا المجال أيضاً</w:t>
      </w:r>
      <w:r w:rsidRPr="00815C4C">
        <w:rPr>
          <w:rFonts w:cs="Taher"/>
          <w:vertAlign w:val="superscript"/>
          <w:rtl/>
        </w:rPr>
        <w:t>(</w:t>
      </w:r>
      <w:r w:rsidRPr="00815C4C">
        <w:rPr>
          <w:rFonts w:cs="Taher"/>
          <w:vertAlign w:val="superscript"/>
          <w:rtl/>
        </w:rPr>
        <w:footnoteReference w:id="1015"/>
      </w:r>
      <w:r w:rsidRPr="00815C4C">
        <w:rPr>
          <w:rFonts w:cs="Taher"/>
          <w:vertAlign w:val="superscript"/>
          <w:rtl/>
        </w:rPr>
        <w:t>)</w:t>
      </w:r>
      <w:r w:rsidRPr="00E14ED6">
        <w:rPr>
          <w:rFonts w:hint="cs"/>
          <w:rtl/>
        </w:rPr>
        <w:t>.</w:t>
      </w:r>
    </w:p>
    <w:p w:rsidR="00853A10" w:rsidRPr="00E14ED6" w:rsidRDefault="00853A10" w:rsidP="006630AC">
      <w:pPr>
        <w:pStyle w:val="ac"/>
        <w:spacing w:line="199" w:lineRule="auto"/>
        <w:rPr>
          <w:rtl/>
        </w:rPr>
      </w:pPr>
      <w:r w:rsidRPr="00E14ED6">
        <w:rPr>
          <w:rFonts w:hint="cs"/>
          <w:rtl/>
        </w:rPr>
        <w:t>ولا تخلو هذه النـزعات التي تنادي بالمساواة من بعض وجهات النظر الاقتصادية التي تصبّ في صالح المرأة وتمنّيها كذباً وبهتاناً بالغد الأفضل، فهي تنمّق وتزيّن ظاهر نظريّاتها الاجتماعية بما يسيل له اللعاب ويخطف الأبصار، فيما تختزن في باطنها كلّ مفردات الضعف والخواء والبطلان</w:t>
      </w:r>
      <w:r w:rsidRPr="00815C4C">
        <w:rPr>
          <w:rFonts w:cs="Taher"/>
          <w:vertAlign w:val="superscript"/>
          <w:rtl/>
        </w:rPr>
        <w:t>(</w:t>
      </w:r>
      <w:r w:rsidRPr="00815C4C">
        <w:rPr>
          <w:rFonts w:cs="Taher"/>
          <w:vertAlign w:val="superscript"/>
          <w:rtl/>
        </w:rPr>
        <w:footnoteReference w:id="1016"/>
      </w:r>
      <w:r w:rsidRPr="00815C4C">
        <w:rPr>
          <w:rFonts w:cs="Taher"/>
          <w:vertAlign w:val="superscript"/>
          <w:rtl/>
        </w:rPr>
        <w:t>)</w:t>
      </w:r>
      <w:r w:rsidRPr="00E14ED6">
        <w:rPr>
          <w:rFonts w:hint="cs"/>
          <w:rtl/>
        </w:rPr>
        <w:t xml:space="preserve">. </w:t>
      </w:r>
    </w:p>
    <w:p w:rsidR="00853A10" w:rsidRPr="00E14ED6" w:rsidRDefault="00853A10" w:rsidP="006630AC">
      <w:pPr>
        <w:pStyle w:val="ac"/>
        <w:spacing w:line="199" w:lineRule="auto"/>
        <w:rPr>
          <w:rtl/>
        </w:rPr>
      </w:pPr>
      <w:r w:rsidRPr="00E14ED6">
        <w:rPr>
          <w:rFonts w:hint="cs"/>
          <w:rtl/>
        </w:rPr>
        <w:t>ومما لا شكّ فيه أنّ من يؤمن بالفلسفة الإسلامية ونظرتها المتينة بهذا الشأن لا يكلّف نفسه جهد ولا عناء إلقاء نظرة ـ ولو سطحية عابرة ـ على تلك النظريات الاجتماعية التي تعتمد الفلسفة العينية، والحسّ والتجربة بصورة مفرطة.</w:t>
      </w:r>
    </w:p>
    <w:p w:rsidR="00853A10" w:rsidRPr="00E14ED6" w:rsidRDefault="00853A10" w:rsidP="006630AC">
      <w:pPr>
        <w:pStyle w:val="ac"/>
        <w:spacing w:line="199" w:lineRule="auto"/>
        <w:rPr>
          <w:rtl/>
        </w:rPr>
      </w:pPr>
      <w:r w:rsidRPr="00E14ED6">
        <w:rPr>
          <w:rFonts w:hint="cs"/>
          <w:rtl/>
        </w:rPr>
        <w:t>فضرورة الفصل بين الجنسين التي نادت بها بعض الاتجاهات القائلة بالمساواة، إنّما نشأت من هذه المقدمة التي تصرح بالفارق الكبير بين الجنسين على مستوى الذهن والثقافة واللغة والعلوم والآفاق الفكرية، بحيث يصبح لكلّ من الرجل والمرأة عالمه الذي يختص به ويميزه عن صاحبه.</w:t>
      </w:r>
    </w:p>
    <w:p w:rsidR="00853A10" w:rsidRPr="00E14ED6" w:rsidRDefault="00853A10" w:rsidP="006630AC">
      <w:pPr>
        <w:pStyle w:val="ac"/>
        <w:spacing w:line="199" w:lineRule="auto"/>
        <w:rPr>
          <w:rtl/>
        </w:rPr>
      </w:pPr>
      <w:r w:rsidRPr="00E14ED6">
        <w:rPr>
          <w:rFonts w:hint="cs"/>
          <w:rtl/>
        </w:rPr>
        <w:t>وإذا حاولنا دراسة المقولة التي تنادي بضرورة انفصال بيئة المرأة عن بيئة الرجل ضمن نطاق فلسفة علوم المعرفة لأمكننا التوصّل ـ من خلال التحليل الهيكلي والأساسي ـ إلى كنه عددٍ من الفرضيات والمبادئ التي تأخذ بها جملة من التيارات المنادية بالمساواة، فالذي يعتقد بأن التغييرات في بعض الهورمونات الأنثوية والذكورية، والأوضاع الفسلجية والبيولوجية للجسم، ونوع الفعاليات الجنسية، والتفاوت في الحقيقة الذهنية واللغة والثقافة، والفوارق بين عالم المرأة وعالم الرجل، لابد أن يقول بنوع من أنواع نسبية المعرفة.</w:t>
      </w:r>
    </w:p>
    <w:p w:rsidR="00853A10" w:rsidRPr="00E14ED6" w:rsidRDefault="00853A10" w:rsidP="00853A10">
      <w:pPr>
        <w:pStyle w:val="ac"/>
        <w:rPr>
          <w:rtl/>
        </w:rPr>
      </w:pPr>
      <w:r w:rsidRPr="00E14ED6">
        <w:rPr>
          <w:rFonts w:hint="cs"/>
          <w:rtl/>
        </w:rPr>
        <w:t xml:space="preserve">يقول أصحاب نسبية المعرفة في إطار استعراض أفكارهم: </w:t>
      </w:r>
      <w:r w:rsidRPr="00617008">
        <w:rPr>
          <w:rFonts w:hint="cs"/>
          <w:rtl/>
        </w:rPr>
        <w:t>«</w:t>
      </w:r>
      <w:r w:rsidRPr="00E14ED6">
        <w:rPr>
          <w:rFonts w:hint="cs"/>
          <w:rtl/>
        </w:rPr>
        <w:t xml:space="preserve">علم كل فرد نتيجة </w:t>
      </w:r>
      <w:r w:rsidRPr="00E14ED6">
        <w:rPr>
          <w:rFonts w:hint="cs"/>
          <w:rtl/>
        </w:rPr>
        <w:lastRenderedPageBreak/>
        <w:t>مزدوجة لما يمتلكه في الباطن ويكتسبه من الخارج من معارف، لذلك فإنّ معرفة الفرد للحقائق الخارجية لا تتبادر إلى الذهن كما هي حاضرة عنده، بل تحضر عنده بعد تركبها بقوالب ذهنية بصورة نسبية، والفرضيات والتصوّرات الذهنية هي الأخرى قوالب تتخذ شكلها النهائي من خلال تأثير الدوافع والعوامل النفسية والاجتماعية والاقتصادية والسياسية</w:t>
      </w:r>
      <w:r w:rsidRPr="00617008">
        <w:rPr>
          <w:rFonts w:hint="cs"/>
          <w:rtl/>
        </w:rPr>
        <w:t>»</w:t>
      </w:r>
      <w:r w:rsidRPr="00815C4C">
        <w:rPr>
          <w:rFonts w:cs="Taher"/>
          <w:vertAlign w:val="superscript"/>
          <w:rtl/>
        </w:rPr>
        <w:t>(</w:t>
      </w:r>
      <w:r w:rsidRPr="00815C4C">
        <w:rPr>
          <w:rFonts w:cs="Taher"/>
          <w:vertAlign w:val="superscript"/>
          <w:rtl/>
        </w:rPr>
        <w:footnoteReference w:id="1017"/>
      </w:r>
      <w:r w:rsidRPr="00815C4C">
        <w:rPr>
          <w:rFonts w:cs="Taher"/>
          <w:vertAlign w:val="superscript"/>
          <w:rtl/>
        </w:rPr>
        <w:t>)</w:t>
      </w:r>
      <w:r w:rsidRPr="00E14ED6">
        <w:rPr>
          <w:rFonts w:hint="cs"/>
          <w:rtl/>
        </w:rPr>
        <w:t>.</w:t>
      </w:r>
    </w:p>
    <w:p w:rsidR="00853A10" w:rsidRPr="00B078C7" w:rsidRDefault="00853A10" w:rsidP="006630AC">
      <w:pPr>
        <w:pStyle w:val="ac"/>
        <w:spacing w:line="209" w:lineRule="auto"/>
        <w:rPr>
          <w:rtl/>
        </w:rPr>
      </w:pPr>
      <w:r w:rsidRPr="00B078C7">
        <w:rPr>
          <w:rFonts w:hint="cs"/>
          <w:rtl/>
        </w:rPr>
        <w:t>فأولئك الذين يحدّون المعرفة بأصالة التجربة والحسّ، لابد أن يقولوا باختلاف القوالب الذهنية للمرأة والرجل، وذلك تبعاً لاختلاف الدوافع والعوامل النفسية والاجتماعية والاقتصادية التي تكوّن تلك القوالب عندهما، وإنّ هذه الأفكار الفلسفية في دائرة نظرية المعرفة ستستتبع بنى فلسفية أخرى في دائرة علم الوجود، فإحدى اللوازم الحتمية للقول بهذا الأمر هي نسبية المعرفة وأنّ الحقيقة ليست إلاّ معرفة كل شخص، وهذا ما يمكنه بدوره أن ينطوي على مبادئ وقواعد فلسفية أخرى.</w:t>
      </w:r>
    </w:p>
    <w:p w:rsidR="00853A10" w:rsidRPr="00E14ED6" w:rsidRDefault="00853A10" w:rsidP="006630AC">
      <w:pPr>
        <w:pStyle w:val="ac"/>
        <w:spacing w:line="209" w:lineRule="auto"/>
        <w:rPr>
          <w:rtl/>
        </w:rPr>
      </w:pPr>
      <w:r w:rsidRPr="00E14ED6">
        <w:rPr>
          <w:rFonts w:hint="cs"/>
          <w:rtl/>
        </w:rPr>
        <w:t>أما الفرضيات والأفكار الفلسفية لدعوى المساواة التي تتبناها الماركسية</w:t>
      </w:r>
      <w:r>
        <w:rPr>
          <w:rFonts w:hint="cs"/>
          <w:rtl/>
        </w:rPr>
        <w:t xml:space="preserve"> </w:t>
      </w:r>
      <w:r w:rsidRPr="00E14ED6">
        <w:rPr>
          <w:rFonts w:hint="cs"/>
          <w:rtl/>
        </w:rPr>
        <w:t xml:space="preserve">والاشتراكية والليبرالية بهذا الشأن فهي واضحة جدّاً من خلال أسمائها وعناوينها، فالفلسفات الماركسية والاشتراكية التي تعدّ من الفلسفات الإلحادية أسّست بنيانها على إنكار وجود واقع أو حقيقة سوى هذ العالم المادي المحسوس، ولا يمكن التوصل إلى الحقيقة والواقع إلاّ من خلال الحسّ والتجربة، وهكذا اصطبغت المفاهيم الفردية والاجتماعية جميعها في هذه المدرسة الفكرية بالصبغة المادية. ومن البديهي استناد قراءة هذه المدرسة لمسألة الاختلاط بين الجنسين إلى ذلك الاتجاه الفكري وأيديولوجيته؛ </w:t>
      </w:r>
      <w:r w:rsidR="00E33C4C" w:rsidRPr="00617008">
        <w:rPr>
          <w:rtl/>
        </w:rPr>
        <w:t>«</w:t>
      </w:r>
      <w:r w:rsidRPr="00E14ED6">
        <w:rPr>
          <w:rFonts w:hint="cs"/>
          <w:rtl/>
        </w:rPr>
        <w:t xml:space="preserve">فوجهة نظر دعاة المساواة من الاشتراكيين هي السعي لترجمة المفاهيم على أساس تحليلاتهم الفكرية، وكأنهم لا يعترفون إلاّ بنظامين، هما: النظام الطبقي ونظام الهوية الجنسية، وعلى ضوء هذا الرأي، فإن الرجال في المجتمعات كافّة إنما يمارسون تسلّطهم على النساء، الأمر الذي يحتم على المرأة أن تعي وتفهم دوافع هذا التسلّط وكيفيته، ولا </w:t>
      </w:r>
      <w:r w:rsidRPr="00E14ED6">
        <w:rPr>
          <w:rFonts w:hint="cs"/>
          <w:rtl/>
        </w:rPr>
        <w:lastRenderedPageBreak/>
        <w:t>يهدف هؤلاء من ذلك إلاّ إلى بلورة نظرية لسيادة الرجل، حيث يتمّ على أساس هذه النظرية تيسير فهم الأوضاع التي تفيد تسلّط الرجل في ظلّ النظام الطبقي، وبذلك يتسنىّ لهم الدفاع عن حقوق المرأة في النظام الاجتماعي. أما النظرية الماركسية فقد سعت لتفسير العالم من خلال نظرية تحرير البروليتاريا أو الطبقة العاملة</w:t>
      </w:r>
      <w:r w:rsidRPr="00617008">
        <w:rPr>
          <w:rFonts w:hint="cs"/>
          <w:rtl/>
        </w:rPr>
        <w:t>»</w:t>
      </w:r>
      <w:r w:rsidRPr="00815C4C">
        <w:rPr>
          <w:rFonts w:cs="Taher"/>
          <w:vertAlign w:val="superscript"/>
          <w:rtl/>
        </w:rPr>
        <w:t>(</w:t>
      </w:r>
      <w:r w:rsidRPr="00815C4C">
        <w:rPr>
          <w:rFonts w:cs="Taher"/>
          <w:vertAlign w:val="superscript"/>
          <w:rtl/>
        </w:rPr>
        <w:footnoteReference w:id="1018"/>
      </w:r>
      <w:r w:rsidRPr="00815C4C">
        <w:rPr>
          <w:rFonts w:cs="Taher"/>
          <w:vertAlign w:val="superscript"/>
          <w:rtl/>
        </w:rPr>
        <w:t>)</w:t>
      </w:r>
      <w:r w:rsidRPr="00E14ED6">
        <w:rPr>
          <w:rFonts w:hint="cs"/>
          <w:rtl/>
        </w:rPr>
        <w:t>.</w:t>
      </w:r>
    </w:p>
    <w:p w:rsidR="00853A10" w:rsidRPr="00E14ED6" w:rsidRDefault="00853A10" w:rsidP="006630AC">
      <w:pPr>
        <w:pStyle w:val="ac"/>
        <w:spacing w:line="199" w:lineRule="auto"/>
        <w:rPr>
          <w:rtl/>
        </w:rPr>
      </w:pPr>
      <w:r w:rsidRPr="00E14ED6">
        <w:rPr>
          <w:rFonts w:hint="cs"/>
          <w:rtl/>
        </w:rPr>
        <w:t xml:space="preserve">إنّ دعاة المساواة من الاتجاه الليبرالي واستناداً لهذه النـزعة يعتقدون أنّ: </w:t>
      </w:r>
      <w:r w:rsidRPr="00617008">
        <w:rPr>
          <w:rFonts w:hint="cs"/>
          <w:rtl/>
        </w:rPr>
        <w:t>«</w:t>
      </w:r>
      <w:r w:rsidRPr="00E14ED6">
        <w:rPr>
          <w:rFonts w:hint="cs"/>
          <w:rtl/>
        </w:rPr>
        <w:t>هناك قراءات مختلفة للذاتية الفردية، من الفردية الألمانية والفرنسية إلى الفردية الإنجليزية والأميركية، ومن الفردية الاحتكارية إلى الفردية التعددية، وكذلك الفردية في علوم المعرفة وما إلى ذلك من شؤون الفردية، فالعنصر المشترك في جميع هذه القراءات محورية الفرد وأصالته. طبعاً دعاة المساواة من الاتجاه الليبرالي يعارضون قضية الفصل بين الجنسين</w:t>
      </w:r>
      <w:r w:rsidRPr="00617008">
        <w:rPr>
          <w:rFonts w:hint="cs"/>
          <w:rtl/>
        </w:rPr>
        <w:t>»</w:t>
      </w:r>
      <w:r w:rsidRPr="00815C4C">
        <w:rPr>
          <w:rFonts w:cs="Taher"/>
          <w:vertAlign w:val="superscript"/>
          <w:rtl/>
        </w:rPr>
        <w:t>(</w:t>
      </w:r>
      <w:r w:rsidRPr="00815C4C">
        <w:rPr>
          <w:rFonts w:cs="Taher"/>
          <w:vertAlign w:val="superscript"/>
          <w:rtl/>
        </w:rPr>
        <w:footnoteReference w:id="1019"/>
      </w:r>
      <w:r w:rsidRPr="00815C4C">
        <w:rPr>
          <w:rFonts w:cs="Taher"/>
          <w:vertAlign w:val="superscript"/>
          <w:rtl/>
        </w:rPr>
        <w:t>)</w:t>
      </w:r>
      <w:r w:rsidRPr="00E14ED6">
        <w:rPr>
          <w:rFonts w:hint="cs"/>
          <w:rtl/>
        </w:rPr>
        <w:t>.</w:t>
      </w:r>
    </w:p>
    <w:p w:rsidR="00853A10" w:rsidRPr="00E14ED6" w:rsidRDefault="00853A10" w:rsidP="006630AC">
      <w:pPr>
        <w:pStyle w:val="ac"/>
        <w:spacing w:line="199" w:lineRule="auto"/>
        <w:rPr>
          <w:rtl/>
        </w:rPr>
      </w:pPr>
      <w:r w:rsidRPr="00617008">
        <w:rPr>
          <w:rFonts w:hint="cs"/>
          <w:rtl/>
        </w:rPr>
        <w:t>«</w:t>
      </w:r>
      <w:r w:rsidRPr="00E75F8E">
        <w:rPr>
          <w:rFonts w:hint="cs"/>
          <w:rtl/>
        </w:rPr>
        <w:t>إن القضية التي تحظى باهتمام دعاة المساواة الليبراليين أو الإصلاحيين في علم الاجتماع والقضايا الاجتماعية إثبات أن التفاوت بين الجنسين ليس ذاتياً بل</w:t>
      </w:r>
      <w:r>
        <w:rPr>
          <w:rFonts w:hint="cs"/>
          <w:rtl/>
        </w:rPr>
        <w:t xml:space="preserve"> </w:t>
      </w:r>
      <w:r w:rsidRPr="00E75F8E">
        <w:rPr>
          <w:rFonts w:hint="cs"/>
          <w:rtl/>
        </w:rPr>
        <w:t>اجتماعياً جنسياً</w:t>
      </w:r>
      <w:r w:rsidRPr="00617008">
        <w:rPr>
          <w:rFonts w:hint="cs"/>
          <w:rtl/>
        </w:rPr>
        <w:t>»</w:t>
      </w:r>
      <w:r w:rsidRPr="00815C4C">
        <w:rPr>
          <w:rFonts w:cs="Taher"/>
          <w:vertAlign w:val="superscript"/>
          <w:rtl/>
        </w:rPr>
        <w:t>(</w:t>
      </w:r>
      <w:r w:rsidRPr="00815C4C">
        <w:rPr>
          <w:rFonts w:cs="Taher"/>
          <w:vertAlign w:val="superscript"/>
          <w:rtl/>
        </w:rPr>
        <w:footnoteReference w:id="1020"/>
      </w:r>
      <w:r w:rsidRPr="00815C4C">
        <w:rPr>
          <w:rFonts w:cs="Taher"/>
          <w:vertAlign w:val="superscript"/>
          <w:rtl/>
        </w:rPr>
        <w:t>)</w:t>
      </w:r>
      <w:r w:rsidRPr="00E75F8E">
        <w:rPr>
          <w:rFonts w:hint="cs"/>
          <w:rtl/>
        </w:rPr>
        <w:t>. والأصالة في هذه المدرسة إنّما مُنحت للّذة والمنفعة. فاللّذة والمنفعة هي التي تحكم الروابط الجنسية، كما أنّ الحرية مطلقة، فليس هناك من حدّ للحرية سوى حرية الأفراد.</w:t>
      </w:r>
    </w:p>
    <w:p w:rsidR="00853A10" w:rsidRPr="00E14ED6" w:rsidRDefault="00853A10" w:rsidP="006630AC">
      <w:pPr>
        <w:pStyle w:val="ac"/>
        <w:rPr>
          <w:rtl/>
        </w:rPr>
      </w:pPr>
      <w:r w:rsidRPr="00E14ED6">
        <w:rPr>
          <w:rFonts w:hint="cs"/>
          <w:rtl/>
        </w:rPr>
        <w:t>والذي نخلص إليه ممّا تقدم، عدم وجود أي مجال في الاتجاهات الليبرالية والاشتراكية والماركسية لرعاية الأخلاق والعفاف في قضية الفصل بين الجنسين أو الاختلاط بينهما.</w:t>
      </w:r>
    </w:p>
    <w:p w:rsidR="00853A10" w:rsidRDefault="00853A10" w:rsidP="006630AC">
      <w:pPr>
        <w:pStyle w:val="ac"/>
        <w:spacing w:line="199" w:lineRule="auto"/>
        <w:rPr>
          <w:rtl/>
        </w:rPr>
      </w:pPr>
      <w:r w:rsidRPr="00E14ED6">
        <w:rPr>
          <w:rFonts w:hint="cs"/>
          <w:rtl/>
        </w:rPr>
        <w:t xml:space="preserve">فدعاة المساواة من الاتجاهات الليبرالية والاشتراكية والماركسية إنّما يتبنون الاختلاط حيثما كانت منافع المرأة ولذّاتها، في حين لا يتفقون والاختلاط إذا كان يشكّل خطراً على أهدافها وأغراضها، وعليه فهم يعتقدون بأنّ المرأة إنما يكتب لها </w:t>
      </w:r>
      <w:r w:rsidRPr="00E14ED6">
        <w:rPr>
          <w:rFonts w:hint="cs"/>
          <w:rtl/>
        </w:rPr>
        <w:lastRenderedPageBreak/>
        <w:t>النجاح إذا مارست دورها في الوسط الذي تسند إدارته وتنظيم شؤونه إلى المرأة نفسها، الأمر الذي يجعلها تحظى بمكتسبات أعظم في إطار منافستها للرجل. أمّا الأفكار الدينية فهي إلى جانب اهتمامها بالخصائص الشفافة واللطيفة المتعلّقة بجسم المرأة وروحها، تضع لها بعض القيود والحدود التي تضمن عفّتها وصونها من الفساد، حال خوضها مجال المنافسة جنباً إلى جنب مع الرجل، فالإسلام يرى المرأة والرجل وجهين لعملة واحدة، وبعبارة أخرى يراهما حقيقة واحدة ذات وجهين.</w:t>
      </w:r>
    </w:p>
    <w:p w:rsidR="00853A10" w:rsidRPr="006630AC" w:rsidRDefault="00853A10" w:rsidP="006630AC">
      <w:pPr>
        <w:pStyle w:val="afffffc"/>
        <w:rPr>
          <w:rFonts w:ascii="Mosawi" w:hAnsi="Mosawi"/>
          <w:sz w:val="18"/>
          <w:szCs w:val="16"/>
        </w:rPr>
      </w:pPr>
    </w:p>
    <w:p w:rsidR="00853A10" w:rsidRPr="0017088F" w:rsidRDefault="00853A10" w:rsidP="00853A10">
      <w:pPr>
        <w:pStyle w:val="1"/>
        <w:rPr>
          <w:rtl/>
        </w:rPr>
      </w:pPr>
      <w:bookmarkStart w:id="648" w:name="_Toc169521514"/>
      <w:bookmarkStart w:id="649" w:name="_Toc275128285"/>
      <w:r w:rsidRPr="0017088F">
        <w:rPr>
          <w:rFonts w:hint="cs"/>
          <w:rtl/>
        </w:rPr>
        <w:t>النظرة الفلسفية والاجتماعية للمدرسة الإسلامية</w:t>
      </w:r>
      <w:bookmarkEnd w:id="648"/>
      <w:bookmarkEnd w:id="649"/>
    </w:p>
    <w:p w:rsidR="00853A10" w:rsidRPr="00E14ED6" w:rsidRDefault="00853A10" w:rsidP="006630AC">
      <w:pPr>
        <w:pStyle w:val="ac"/>
        <w:spacing w:line="202" w:lineRule="auto"/>
        <w:rPr>
          <w:rtl/>
        </w:rPr>
      </w:pPr>
      <w:r w:rsidRPr="00E14ED6">
        <w:rPr>
          <w:rFonts w:hint="cs"/>
          <w:rtl/>
        </w:rPr>
        <w:t>النظرية الاجتماعية الإسلامية هي النظرية التي تقابل النظريات الفلسفية المذكورة آنفاً بشأن الحضور الاجتماعي للمرأة في الأماكن العامّة والاختلاط والعزل بين الجنسين، والتي تتميز ببناءاتها وأسها المتينة.</w:t>
      </w:r>
    </w:p>
    <w:p w:rsidR="00853A10" w:rsidRPr="00E14ED6" w:rsidRDefault="00853A10" w:rsidP="006630AC">
      <w:pPr>
        <w:pStyle w:val="ac"/>
        <w:spacing w:line="202" w:lineRule="auto"/>
        <w:rPr>
          <w:rtl/>
        </w:rPr>
      </w:pPr>
      <w:r w:rsidRPr="00E14ED6">
        <w:rPr>
          <w:rFonts w:hint="cs"/>
          <w:rtl/>
        </w:rPr>
        <w:t xml:space="preserve">فالإسلام يقول بوحدة جوهر الخلقة لدى الجنسين، فهما متساويان في الماهية والجوهر، وهما وحدة واحدة تأبى التجزئة والإنفصال، فليس هناك من فارق بين ماهية الرجل وحقيقته وماهية المرأة وحقيقتها، ويؤيد القرآن الكريم هذا المعنى حين يتعرّض لقضية الرجل والمرأة، </w:t>
      </w:r>
      <w:r w:rsidRPr="00617008">
        <w:rPr>
          <w:rFonts w:hint="cs"/>
          <w:rtl/>
        </w:rPr>
        <w:t>«</w:t>
      </w:r>
      <w:r w:rsidRPr="00E14ED6">
        <w:rPr>
          <w:rFonts w:hint="cs"/>
          <w:rtl/>
        </w:rPr>
        <w:t>لا تنظروا للرجل والمرأة على أساس جنسيتهما الذكرية أو الانثوية، فحقيقة الإنسان إنما تستند إلى روحه لا إلى بدنه، وإنسانيته بروحه لا بجسمه، وليس بروحه وجسمه معاً</w:t>
      </w:r>
      <w:r w:rsidRPr="00617008">
        <w:rPr>
          <w:rFonts w:hint="cs"/>
          <w:rtl/>
        </w:rPr>
        <w:t>»</w:t>
      </w:r>
      <w:r w:rsidRPr="00815C4C">
        <w:rPr>
          <w:rFonts w:cs="Taher"/>
          <w:vertAlign w:val="superscript"/>
          <w:rtl/>
        </w:rPr>
        <w:t>(</w:t>
      </w:r>
      <w:r w:rsidRPr="00815C4C">
        <w:rPr>
          <w:rFonts w:cs="Taher"/>
          <w:vertAlign w:val="superscript"/>
          <w:rtl/>
        </w:rPr>
        <w:footnoteReference w:id="1021"/>
      </w:r>
      <w:r w:rsidRPr="00815C4C">
        <w:rPr>
          <w:rFonts w:cs="Taher"/>
          <w:vertAlign w:val="superscript"/>
          <w:rtl/>
        </w:rPr>
        <w:t>)</w:t>
      </w:r>
      <w:r w:rsidRPr="00E14ED6">
        <w:rPr>
          <w:rFonts w:hint="cs"/>
          <w:rtl/>
        </w:rPr>
        <w:t>.</w:t>
      </w:r>
    </w:p>
    <w:p w:rsidR="00853A10" w:rsidRPr="00E14ED6" w:rsidRDefault="00853A10" w:rsidP="006630AC">
      <w:pPr>
        <w:pStyle w:val="ac"/>
        <w:spacing w:line="202" w:lineRule="auto"/>
        <w:rPr>
          <w:rtl/>
        </w:rPr>
      </w:pPr>
      <w:r w:rsidRPr="00E14ED6">
        <w:rPr>
          <w:rFonts w:hint="cs"/>
          <w:rtl/>
        </w:rPr>
        <w:t xml:space="preserve">ويغدو العقل والتفكير ـ على ضوء النظرة الإسلامية ـ من مظاهر الروح المرتبطة بالقوة الناطقة والمدركة للإنسان، لا من مظاهر الجسم، وعليه فالتفاوت البدني لا يؤدي إلى أيّ تفاوت جوهري بين المرأة والرجل على مستوى الذهن واللغة والثقافة والمعرفة، لذا فالذي نخلص إليه هو أنّ المبادئ الإسلامية إنما تقف على الضدّ من مبادئ الفلسفات المعاصرة التي تنادي بالمساواة بين الجنسين، فهذه الفلسفات تؤمن بوجود تفاوت حقيقي بين عالمي المرأة والرجل، فيما يصرّح الإسلام بوحدة عالم الرجل </w:t>
      </w:r>
      <w:r w:rsidRPr="00E14ED6">
        <w:rPr>
          <w:rFonts w:hint="cs"/>
          <w:rtl/>
        </w:rPr>
        <w:lastRenderedPageBreak/>
        <w:t xml:space="preserve">والمرأة إلى الحدّ الذي يجعل من العبث التساؤل عن حقيقة هذين الجنسين، هل هما متساويان أم متمايزان؟ وذلك لأن </w:t>
      </w:r>
      <w:r w:rsidRPr="00617008">
        <w:rPr>
          <w:rFonts w:hint="cs"/>
          <w:rtl/>
        </w:rPr>
        <w:t>«</w:t>
      </w:r>
      <w:r w:rsidRPr="00E14ED6">
        <w:rPr>
          <w:rFonts w:hint="cs"/>
          <w:rtl/>
        </w:rPr>
        <w:t>حقيقة كل فرد روحُه، وما الجسم إلاّ أداة ووسيلة، وقد تكون هذه الأداة مذكرة تارة ومؤنثة تارة أخرى</w:t>
      </w:r>
      <w:r w:rsidRPr="00617008">
        <w:rPr>
          <w:rFonts w:hint="cs"/>
          <w:rtl/>
        </w:rPr>
        <w:t>»</w:t>
      </w:r>
      <w:r w:rsidRPr="00815C4C">
        <w:rPr>
          <w:rFonts w:cs="Taher"/>
          <w:vertAlign w:val="superscript"/>
          <w:rtl/>
        </w:rPr>
        <w:t>(</w:t>
      </w:r>
      <w:r w:rsidRPr="00815C4C">
        <w:rPr>
          <w:rFonts w:cs="Taher"/>
          <w:vertAlign w:val="superscript"/>
          <w:rtl/>
        </w:rPr>
        <w:footnoteReference w:id="1022"/>
      </w:r>
      <w:r w:rsidRPr="00815C4C">
        <w:rPr>
          <w:rFonts w:cs="Taher"/>
          <w:vertAlign w:val="superscript"/>
          <w:rtl/>
        </w:rPr>
        <w:t>)</w:t>
      </w:r>
      <w:r w:rsidRPr="00E14ED6">
        <w:rPr>
          <w:rFonts w:hint="cs"/>
          <w:rtl/>
        </w:rPr>
        <w:t>.</w:t>
      </w:r>
    </w:p>
    <w:p w:rsidR="00853A10" w:rsidRPr="00E14ED6" w:rsidRDefault="00853A10" w:rsidP="006630AC">
      <w:pPr>
        <w:pStyle w:val="ac"/>
        <w:spacing w:line="199" w:lineRule="auto"/>
        <w:rPr>
          <w:rtl/>
        </w:rPr>
      </w:pPr>
      <w:r w:rsidRPr="00E14ED6">
        <w:rPr>
          <w:rFonts w:hint="cs"/>
          <w:rtl/>
        </w:rPr>
        <w:t>فالإسلام لا يرى في المرأة والرجل أكثر من حقيقة واحدة، لذا لا تصل النوبة لطرح عملية التساوي أو التمايز التي تتطلب وجود حقيقتين، فالبناء الرئيس للنظرية الدينية إنّما يثبت الأصالة في الإنسان لروحه، ولا تقتصر الأفكار الفلسفية التي منحت الأصالة في الإنسان لروحه على اختزال حقائق العالم وواقعياته في المادة والماديات، بل إنّ المجردات هي الاُخرى لا تشتمل على حقيقة وواقع إذا ما أخذت لوحدها، بل الأصالة فيها كالأصالة في الماديات.</w:t>
      </w:r>
    </w:p>
    <w:p w:rsidR="00853A10" w:rsidRPr="00E14ED6" w:rsidRDefault="00853A10" w:rsidP="006630AC">
      <w:pPr>
        <w:pStyle w:val="ac"/>
        <w:rPr>
          <w:rtl/>
        </w:rPr>
      </w:pPr>
      <w:r w:rsidRPr="00E14ED6">
        <w:rPr>
          <w:rFonts w:hint="cs"/>
          <w:rtl/>
        </w:rPr>
        <w:t>المبدأ الفلسفي الآخر للنظرية الإسلامية في هذا المجال هو أنّ وسائل المعرفة البشرية لا تنحصر في الحسّ والتجربة؛ إذ لو كان الأمر كذلك لأدّت الفوارق الفسلجية والبيولوجية المحسوسة إلى تباين معرفة المرأة تماماً عن معرفة الرجل، فيما الأمر ليس كذلك.</w:t>
      </w:r>
    </w:p>
    <w:p w:rsidR="00853A10" w:rsidRPr="00E14ED6" w:rsidRDefault="00853A10" w:rsidP="006630AC">
      <w:pPr>
        <w:pStyle w:val="ac"/>
        <w:spacing w:line="199" w:lineRule="auto"/>
        <w:rPr>
          <w:rtl/>
        </w:rPr>
      </w:pPr>
      <w:r w:rsidRPr="00E14ED6">
        <w:rPr>
          <w:rFonts w:hint="cs"/>
          <w:rtl/>
        </w:rPr>
        <w:t>فالعقل النظري إحدى وسائل المعرفة في الفلسفة الإسلامية، وهو الذي يوصف بالفكر والعلم، وليس لـه ربط بكون الفرد ذكراً أو أنثى، إلى جانب ذلك هناك القلب الذي يتولّى مسؤولية الكشف والشهود، فهو الوسيلة الأخرى التي تتبناها المدرسة الإسلامية أداةً للمعرفة ووسيلة، وهو ما لا ربط له بدوره لا بالذكورة ولا بالأنوثة، فإذا كانت القضايا المرتبطة بالعلم ـ سواءٌ كان ذلك العلم حصولياً أو حضورياً ـ خاليةً من عنوان الذكورة والأنوثة، وأن الذي يتصف بالعلم الحصولي أو الشهودي لا تصدق عليه صفة الذكورة والأنوثة، كان من العبث طرح التساؤل الذي يقول: هل تتساوى المرأة مع الرجل في المعرفة والمفاهيم الذهنية أم لا؟ فمن الواضح عدم وجود أيّ فارق بين المرأة والرجل على مستوى المعارف استناداً للنظرية الإسلامية</w:t>
      </w:r>
      <w:r w:rsidRPr="00815C4C">
        <w:rPr>
          <w:rFonts w:cs="Taher"/>
          <w:vertAlign w:val="superscript"/>
          <w:rtl/>
        </w:rPr>
        <w:t>(</w:t>
      </w:r>
      <w:r w:rsidRPr="00815C4C">
        <w:rPr>
          <w:rFonts w:cs="Taher"/>
          <w:vertAlign w:val="superscript"/>
          <w:rtl/>
        </w:rPr>
        <w:footnoteReference w:id="1023"/>
      </w:r>
      <w:r w:rsidRPr="00815C4C">
        <w:rPr>
          <w:rFonts w:cs="Taher"/>
          <w:vertAlign w:val="superscript"/>
          <w:rtl/>
        </w:rPr>
        <w:t>)</w:t>
      </w:r>
      <w:r w:rsidRPr="00E14ED6">
        <w:rPr>
          <w:rFonts w:hint="cs"/>
          <w:rtl/>
        </w:rPr>
        <w:t>.</w:t>
      </w:r>
    </w:p>
    <w:p w:rsidR="00853A10" w:rsidRPr="00E14ED6" w:rsidRDefault="00853A10" w:rsidP="006630AC">
      <w:pPr>
        <w:pStyle w:val="ac"/>
        <w:spacing w:line="206" w:lineRule="auto"/>
        <w:rPr>
          <w:rtl/>
        </w:rPr>
      </w:pPr>
      <w:r w:rsidRPr="00E14ED6">
        <w:rPr>
          <w:rFonts w:hint="cs"/>
          <w:rtl/>
        </w:rPr>
        <w:lastRenderedPageBreak/>
        <w:t>فالنظرية الإسلامية في المعرفة ترى أنّ العلم حقيقة ثابتة مجرّدة وليست نسبية، ولذلك فإن الذكورة والأنوثة، والتجارب الخاصة للمرأة أو الرجل لا تغيّر من حقيقة المعرفة شيئاً، فإذا أراد الرجل والمرأة التوصل إلى معرفة نظرية أو عملية بما لديهما من عقل وقلب ـ بغض النظر عن التجارب والمهارات الفردية ـ وسلكا طريقاً واحداً واستندا إلى مدرسة نظرية واحدة، فإنّهما سيتوصلان حتماً إلى حقيقة واحدة لا أكثر، وعليه فقضية الاختلاط بين الجنسين التي تفسّرها أطروحة دعاة المساواة لا تنسجم قطّ وما صرحت به الأسس الفلسفية للأطروحة الإسلامية، فالوصايا الأخلاقية هي ضابطة المعارف الإسلامية والقرآنية في قضية الاختلاط بين الجنسين، وهذه بدورها تتطلّب ضمانة تطبيقية لا يمكن التكهّن بها إلاّ في ظل الدين والشرائع السماوية.</w:t>
      </w:r>
    </w:p>
    <w:p w:rsidR="00853A10" w:rsidRPr="00E14ED6" w:rsidRDefault="00853A10" w:rsidP="006630AC">
      <w:pPr>
        <w:pStyle w:val="ac"/>
        <w:spacing w:line="206" w:lineRule="auto"/>
        <w:rPr>
          <w:rtl/>
        </w:rPr>
      </w:pPr>
      <w:r w:rsidRPr="00E14ED6">
        <w:rPr>
          <w:rFonts w:hint="cs"/>
          <w:rtl/>
        </w:rPr>
        <w:t xml:space="preserve">وعلى سبيل المثال، بعد أن حذّرت الآية القرآنية الكريمة من مغبة الإتيان بالأعمال التي تثير الشهوة والفتنة، ذكّرت بالعودة إلى الله والتوجه إليه والفوز بالفلاح: </w:t>
      </w:r>
      <w:r w:rsidRPr="007F0001">
        <w:rPr>
          <w:rStyle w:val="Char3"/>
          <w:sz w:val="28"/>
          <w:szCs w:val="28"/>
        </w:rPr>
        <w:sym w:font="Islamic Units 1" w:char="F03E"/>
      </w:r>
      <w:r w:rsidRPr="00853A10">
        <w:rPr>
          <w:b/>
          <w:bCs/>
          <w:rtl/>
        </w:rPr>
        <w:t>وَل</w:t>
      </w:r>
      <w:r w:rsidRPr="00853A10">
        <w:rPr>
          <w:rFonts w:hint="cs"/>
          <w:b/>
          <w:bCs/>
          <w:rtl/>
        </w:rPr>
        <w:t>ا</w:t>
      </w:r>
      <w:r w:rsidRPr="00853A10">
        <w:rPr>
          <w:b/>
          <w:bCs/>
          <w:rtl/>
        </w:rPr>
        <w:t xml:space="preserve"> يَضْرِبْنَ بِأَرْجُلِهِنَّ لِيُعْلَمَ مَا يُخْفِينَ مِن زِينَتِهِنَّ وَتُوبُوا إلى اللَّهِ جَمِيعًا أَيُّهَا الْمُؤْمِنُونَ لَعَلَّكُمْ تُفْلِحُونَ</w:t>
      </w:r>
      <w:r w:rsidRPr="007F0001">
        <w:rPr>
          <w:rStyle w:val="Char3"/>
          <w:sz w:val="28"/>
          <w:szCs w:val="28"/>
        </w:rPr>
        <w:sym w:font="Islamic Units 1" w:char="F03C"/>
      </w:r>
      <w:r w:rsidRPr="00815C4C">
        <w:rPr>
          <w:rFonts w:cs="Taher"/>
          <w:vertAlign w:val="superscript"/>
          <w:rtl/>
        </w:rPr>
        <w:t>(</w:t>
      </w:r>
      <w:r w:rsidRPr="00815C4C">
        <w:rPr>
          <w:rFonts w:cs="Taher"/>
          <w:vertAlign w:val="superscript"/>
          <w:rtl/>
        </w:rPr>
        <w:footnoteReference w:id="1024"/>
      </w:r>
      <w:r w:rsidRPr="00815C4C">
        <w:rPr>
          <w:rFonts w:cs="Taher"/>
          <w:vertAlign w:val="superscript"/>
          <w:rtl/>
        </w:rPr>
        <w:t>)</w:t>
      </w:r>
      <w:r w:rsidRPr="00E14ED6">
        <w:rPr>
          <w:rFonts w:hint="cs"/>
          <w:rtl/>
        </w:rPr>
        <w:t>.</w:t>
      </w:r>
    </w:p>
    <w:p w:rsidR="00853A10" w:rsidRPr="00E14ED6" w:rsidRDefault="00853A10" w:rsidP="006630AC">
      <w:pPr>
        <w:pStyle w:val="ac"/>
        <w:spacing w:line="206" w:lineRule="auto"/>
        <w:rPr>
          <w:rtl/>
        </w:rPr>
      </w:pPr>
      <w:r w:rsidRPr="00E14ED6">
        <w:rPr>
          <w:rFonts w:hint="cs"/>
          <w:rtl/>
        </w:rPr>
        <w:t>فهذه الوصايا والإرشادات الأخلاقية تتطلّب إيماناً بالمبدأ والمعاد وخالق الوجود الذي لم يخلق الناس عبثاً ولن يتركهم سدى، فهناك عالم آخر سترد إليه جميع الكائنات شاءت أم أبت.</w:t>
      </w:r>
    </w:p>
    <w:p w:rsidR="00853A10" w:rsidRDefault="00853A10" w:rsidP="006630AC">
      <w:pPr>
        <w:pStyle w:val="ac"/>
        <w:spacing w:line="209" w:lineRule="auto"/>
        <w:rPr>
          <w:rtl/>
        </w:rPr>
      </w:pPr>
      <w:r w:rsidRPr="00E14ED6">
        <w:rPr>
          <w:rFonts w:hint="cs"/>
          <w:rtl/>
        </w:rPr>
        <w:t>المبدأ الآخر الذي تعتمده الأطروحة الإسلامية هو أنّ الإيمان يمثل حقيقة عينية، وليس من نوع الحقائق الذهنية والاعتبارية، وأن السبيل ممهدٌ أمام الجميع لبلوغ هذه الحقيقة العينية وإدراكها، فالتأمل في الفكر الإسلامي يقود إلى أنّ الفصل بين الجنسين يؤدي إلى الإبقاء على الروح الإنسانية بعيدةً عن الجاذبية الجنسية الناقصة، ويؤدي إلى انفتاحها على الجمال المطلق، دون الانهماك بالنظر إلى الجمال المحدود المشوب بالنقص، كما من شأنه أن يضاعف مسيرة الإنسان وانطلاقه نحو السعادة والكمال.</w:t>
      </w:r>
    </w:p>
    <w:p w:rsidR="00853A10" w:rsidRPr="0017088F" w:rsidRDefault="00853A10" w:rsidP="00853A10">
      <w:pPr>
        <w:pStyle w:val="1"/>
        <w:rPr>
          <w:rtl/>
        </w:rPr>
      </w:pPr>
      <w:bookmarkStart w:id="650" w:name="_Toc169521515"/>
      <w:bookmarkStart w:id="651" w:name="_Toc275128286"/>
      <w:r w:rsidRPr="0017088F">
        <w:rPr>
          <w:rFonts w:hint="cs"/>
          <w:rtl/>
        </w:rPr>
        <w:lastRenderedPageBreak/>
        <w:t>تمايز القوانين الاجتماعية للرجل والمرأة</w:t>
      </w:r>
      <w:r>
        <w:rPr>
          <w:rFonts w:hint="cs"/>
          <w:rtl/>
        </w:rPr>
        <w:t xml:space="preserve"> </w:t>
      </w:r>
      <w:r w:rsidRPr="0017088F">
        <w:rPr>
          <w:rFonts w:hint="cs"/>
          <w:rtl/>
        </w:rPr>
        <w:t>خـارج حدود الهوية</w:t>
      </w:r>
      <w:bookmarkEnd w:id="650"/>
      <w:bookmarkEnd w:id="651"/>
    </w:p>
    <w:p w:rsidR="00853A10" w:rsidRPr="00E14ED6" w:rsidRDefault="00853A10" w:rsidP="00853A10">
      <w:pPr>
        <w:pStyle w:val="ac"/>
        <w:rPr>
          <w:rtl/>
        </w:rPr>
      </w:pPr>
      <w:r w:rsidRPr="00E14ED6">
        <w:rPr>
          <w:rFonts w:hint="cs"/>
          <w:rtl/>
        </w:rPr>
        <w:t>المسألة الأخرى ذات الصلة بالدائرة الاجتماعية لقضايا المرأة والتي وردت بشكل أبحاث مسهبة في الأوساط الدولية والحركات التحررية المهتمة بقضايا المرأة والجمعيات والمؤسسات النسوية الاجتماعية، هي قضية المساواة في حقوق المرأة وواجباتها في القوانين الاجتماعية وعدمها.</w:t>
      </w:r>
    </w:p>
    <w:p w:rsidR="00853A10" w:rsidRPr="00E14ED6" w:rsidRDefault="00853A10" w:rsidP="00853A10">
      <w:pPr>
        <w:pStyle w:val="ac"/>
        <w:rPr>
          <w:rtl/>
        </w:rPr>
      </w:pPr>
      <w:r w:rsidRPr="00E14ED6">
        <w:rPr>
          <w:rFonts w:hint="cs"/>
          <w:rtl/>
        </w:rPr>
        <w:t>فهناك عدّة أسئلة تطرح نفسها في مجال القضايا الاجتماعية للمرأة من قبيل: هل كان السلوك المختلف للمرأة والرجل في إطار الفارق في الجنسية والفوارق الفسلجية، سبباً لتمتعها بحقوق ووظائف مختلفة في حين لا بد أن تكون للرجل والمرأة حقوقاً وواجبات متساوية تماماً في سائر المجالات الاجتماعية والاقتصادية والسياسية و...، أم أنّه في غير المسائل المرتبطة بالفارق في الجنسية لابد من القول ببعض التفاوت بين الرجل والمرأة في البعض الآخر من القوانين؟ وهل يجب مراعاة المساواة بين حقوق المرأة والرجل في كافة الأصعدة والميادين؟</w:t>
      </w:r>
    </w:p>
    <w:p w:rsidR="00853A10" w:rsidRPr="00E14ED6" w:rsidRDefault="00853A10" w:rsidP="00853A10">
      <w:pPr>
        <w:pStyle w:val="ac"/>
        <w:rPr>
          <w:rtl/>
        </w:rPr>
      </w:pPr>
      <w:r w:rsidRPr="00E14ED6">
        <w:rPr>
          <w:rFonts w:hint="cs"/>
          <w:rtl/>
        </w:rPr>
        <w:t>لا شك أنّ بحث تساوي حقوق المرأة والرجل من الأبحاث التأريخية القديمة، لكنّ أحد إشكالات هذا المبحث، يكمن في صحّة انحصار التفاوت في وضع القوانين الحقوقية والاجتماعية للمرأة والرجل خارج دائرة الفوارق في الهوية الجنسية وفساده، فبعض دعاة المساواة يعتقدون بضرورة تضييق دائرة التفاوت بين المرأة والرجل لتقتصر على التفاوت في الجنسية بينهما، وعليه فالتمييز في تشريع القوانين لا بد أن يقتصر فقط وفقط على هذه الدائرة المحدودة. ويستدلّ بعض المنظّرين على الادعاء السابق من خلال تأكيدهم على متطلبات الحياة، والرجوع إلى علم السلوك الاجتماعي، فيجعلون ذلك أنموذجاً للحياة الاجتماعية للإنسان.</w:t>
      </w:r>
    </w:p>
    <w:p w:rsidR="00853A10" w:rsidRPr="00E14ED6" w:rsidRDefault="00853A10" w:rsidP="00853A10">
      <w:pPr>
        <w:pStyle w:val="ac"/>
        <w:rPr>
          <w:rtl/>
        </w:rPr>
      </w:pPr>
      <w:r w:rsidRPr="00E14ED6">
        <w:rPr>
          <w:rFonts w:hint="cs"/>
          <w:rtl/>
        </w:rPr>
        <w:t xml:space="preserve">أمّا وجهة نظر الإسلام بشأن هذه المسألة الاجتماعية فهي وجوب اتّباع النظريات والقوانين والتعاليم التي أمر بها الخالق بهذا الخصوص، الخالق الذي خلق الزوجية المتمثلة بالرجل والمرأة، فجعل أحدهما ذكراً والآخر أنثى، ولا يمكن الاقتصار بهذا التفاوت في الأحكام الاجتماعية على دائرة خاصة معينة، بل على الإنسان أن يقتفي آثار </w:t>
      </w:r>
      <w:r w:rsidRPr="00E14ED6">
        <w:rPr>
          <w:rFonts w:hint="cs"/>
          <w:rtl/>
        </w:rPr>
        <w:lastRenderedPageBreak/>
        <w:t>الشارع المقدس ويتعبّد بقوله حيثما صرّح بالتفاوت بين الجنسين، لأن الشارع هو الخالق، وهناك تطابق مطلق بين قوانين التشريع وقوانين الخلقة والتكوين.</w:t>
      </w:r>
    </w:p>
    <w:p w:rsidR="00853A10" w:rsidRPr="00E14ED6" w:rsidRDefault="00853A10" w:rsidP="006630AC">
      <w:pPr>
        <w:pStyle w:val="ac"/>
        <w:spacing w:line="209" w:lineRule="auto"/>
        <w:rPr>
          <w:rtl/>
        </w:rPr>
      </w:pPr>
      <w:r w:rsidRPr="00E14ED6">
        <w:rPr>
          <w:rFonts w:hint="cs"/>
          <w:rtl/>
        </w:rPr>
        <w:t>إنّ أغلب الاتجاهات التي تنادي بالمساواة وإن صرّحت بالتفاوت في نطاق تلك الدائرة الضيقة التي تقتصر على الهوية الجنسية ـ الذكورة والأنوثة ـ إلاّ أنها تثبت ماهية متساوية تماماً لجميع القوانين المرتبطة بالمرأة والرجل (في الأمور التي لا ترتبط بالشؤون الفسلجية والوراثية الحاصلة بفعل الجينات).</w:t>
      </w:r>
    </w:p>
    <w:p w:rsidR="00853A10" w:rsidRPr="00E14ED6" w:rsidRDefault="00853A10" w:rsidP="006630AC">
      <w:pPr>
        <w:pStyle w:val="ac"/>
        <w:spacing w:line="209" w:lineRule="auto"/>
        <w:rPr>
          <w:rtl/>
        </w:rPr>
      </w:pPr>
      <w:r w:rsidRPr="00E14ED6">
        <w:rPr>
          <w:rFonts w:hint="cs"/>
          <w:rtl/>
        </w:rPr>
        <w:t>وبالطبع، فقد أدّى اختلاف الآراء والأنظمة الفكرية لهذه الاتجاهات ـ التي تتبنى قضية المساواة ـ إلى اعتمادها صيغ عدّة وأطروحات متعددة بشأن هذا الموضوع، فالبعض يوكّد ـ بقوّة ـ على قضية متطلبات الحياة، بينما يعتقد البعض الآخر بأن التفاوت في العُرف بشأن توزيع العمل بين المرأة والرجل ليس له من ارتباط بجنسيتهما أو بمتطلبات الحياة، بل ينبثق من الاجتماع وتسلّط الرجال على المجتمعات البشرية.</w:t>
      </w:r>
    </w:p>
    <w:p w:rsidR="00853A10" w:rsidRPr="00E14ED6" w:rsidRDefault="00853A10" w:rsidP="006630AC">
      <w:pPr>
        <w:pStyle w:val="ac"/>
        <w:spacing w:line="209" w:lineRule="auto"/>
        <w:rPr>
          <w:rtl/>
        </w:rPr>
      </w:pPr>
      <w:r w:rsidRPr="00E14ED6">
        <w:rPr>
          <w:rFonts w:hint="cs"/>
          <w:rtl/>
        </w:rPr>
        <w:t>ولا يقرّ دعاة المساواة ـ على ضوء الفلسفة الماركسية ـ بتوزيع الأعمال التي يضطلع بها الرجل لتأمين الأوضاع المعيشية للمرأة، ولا يرون لنظام الأسرة انسجاماً مع أسس نظرتهم الفكرية التي تنادي بالمساواة وقواعدها.</w:t>
      </w:r>
    </w:p>
    <w:p w:rsidR="00853A10" w:rsidRPr="00E14ED6" w:rsidRDefault="00853A10" w:rsidP="006630AC">
      <w:pPr>
        <w:pStyle w:val="ac"/>
        <w:rPr>
          <w:rtl/>
        </w:rPr>
      </w:pPr>
      <w:r w:rsidRPr="00E14ED6">
        <w:rPr>
          <w:rFonts w:hint="cs"/>
          <w:rtl/>
        </w:rPr>
        <w:t>فهم يعتقدون بضرورة عدم تزعّم الرجل في القوانين الاقتصادية لشؤون المرأة الاقتصادية، وهذا هو الرأي السائد لدى أغلب الماركسيين ودعاة المساواة من الذين يعارضون بعنف أولئك الذين لا يأخذون بنظر الاعتبار النظريات التحقيقية في دائرة الروابط الأسرية والتفاوت بين الجنسين.</w:t>
      </w:r>
    </w:p>
    <w:p w:rsidR="00853A10" w:rsidRPr="00E14ED6" w:rsidRDefault="00853A10" w:rsidP="006630AC">
      <w:pPr>
        <w:pStyle w:val="ac"/>
        <w:spacing w:line="209" w:lineRule="auto"/>
        <w:rPr>
          <w:rtl/>
        </w:rPr>
      </w:pPr>
      <w:r w:rsidRPr="00E14ED6">
        <w:rPr>
          <w:rFonts w:hint="cs"/>
          <w:rtl/>
        </w:rPr>
        <w:t xml:space="preserve">فقد كتب پاملا ابوت وكلرو الاس ـ من علماء الاجتماع الذين ينادون بمساواة المرأة مع الرجل ـ بهذا الشأن: </w:t>
      </w:r>
      <w:r w:rsidRPr="00617008">
        <w:rPr>
          <w:rFonts w:hint="cs"/>
          <w:rtl/>
        </w:rPr>
        <w:t>«</w:t>
      </w:r>
      <w:r w:rsidRPr="00E14ED6">
        <w:rPr>
          <w:rFonts w:hint="cs"/>
          <w:rtl/>
        </w:rPr>
        <w:t>إننا بحاجة إلى علم الاجتماع الذي حدّد هذه المجالات ـ أي مجالات التفاوت بين المرأة والرجل ـ ووضع بشأنها النظريات، كما أولى أهمية قصوى للنظام الجنسي ـ الذكورة والأنوثة ـ إلى جانب الطبقة والأصل والسن</w:t>
      </w:r>
      <w:r w:rsidRPr="00617008">
        <w:rPr>
          <w:rFonts w:hint="cs"/>
          <w:rtl/>
        </w:rPr>
        <w:t>»</w:t>
      </w:r>
      <w:r w:rsidRPr="00815C4C">
        <w:rPr>
          <w:rFonts w:cs="Taher"/>
          <w:vertAlign w:val="superscript"/>
          <w:rtl/>
        </w:rPr>
        <w:t>(</w:t>
      </w:r>
      <w:r w:rsidRPr="00815C4C">
        <w:rPr>
          <w:rFonts w:cs="Taher"/>
          <w:vertAlign w:val="superscript"/>
          <w:rtl/>
        </w:rPr>
        <w:footnoteReference w:id="1025"/>
      </w:r>
      <w:r w:rsidRPr="00815C4C">
        <w:rPr>
          <w:rFonts w:cs="Taher"/>
          <w:vertAlign w:val="superscript"/>
          <w:rtl/>
        </w:rPr>
        <w:t>)</w:t>
      </w:r>
      <w:r w:rsidRPr="00E14ED6">
        <w:rPr>
          <w:rFonts w:hint="cs"/>
          <w:rtl/>
        </w:rPr>
        <w:t>.</w:t>
      </w:r>
    </w:p>
    <w:p w:rsidR="00853A10" w:rsidRPr="00E14ED6" w:rsidRDefault="00853A10" w:rsidP="006630AC">
      <w:pPr>
        <w:pStyle w:val="ac"/>
        <w:spacing w:line="199" w:lineRule="auto"/>
        <w:rPr>
          <w:rtl/>
        </w:rPr>
      </w:pPr>
      <w:r w:rsidRPr="00E14ED6">
        <w:rPr>
          <w:rFonts w:hint="cs"/>
          <w:rtl/>
        </w:rPr>
        <w:lastRenderedPageBreak/>
        <w:t>وعلى هذا الأساس، كان لابد لأنصار المساواة من الاعتقاد بضرورة تشريع القوانين الاجتماعية المتفاوتة تماماً بين المرأة والرجل. ومن المعروف أنّ الموضوع الذي يعالجه علم الاجتماع ـ أي الدائرة الاجتماعية وروابطها ـ ليس له من صلة بالهوية الجنسية، مع ذلك فإنّ بعض الاتجاهات التي تنادي بالمساواة ترى ضرورة إحياء حقوق المرأة، على أن التمايز الجنسي بين المرأة والرجل لا بد من التركيز عليه في غير دائرة التأثير الجنسي، وتشريع القوانين الاجتماعية التي تتناسب وجنس المرأة.</w:t>
      </w:r>
    </w:p>
    <w:p w:rsidR="00853A10" w:rsidRPr="00E14ED6" w:rsidRDefault="00853A10" w:rsidP="006630AC">
      <w:pPr>
        <w:pStyle w:val="ac"/>
        <w:spacing w:line="199" w:lineRule="auto"/>
        <w:rPr>
          <w:rtl/>
        </w:rPr>
      </w:pPr>
      <w:r w:rsidRPr="00E14ED6">
        <w:rPr>
          <w:rFonts w:hint="cs"/>
          <w:rtl/>
        </w:rPr>
        <w:t xml:space="preserve">وهنا انبرى بعض المنظّرين الاجتماعيين للاعتراض بشدّة على وضع القوانين الاجتماعية المتفاوتة بين الرجل والمرأة خارج دائرة الجنس، فقد أكّد هؤلاء على متطلّبات الحياة، وأن دراسة حياة الحيوانات والرجوع إلى علم سلوك الكائنات والحركة التي تشهدها، سيمكننا من الظفر بالأنموذج الذي يحتذى به في الحياة للنهوض بالعلاقات الاجتماعية في المجتمعات البشرية، كما اعتقدوا أنّ </w:t>
      </w:r>
      <w:r w:rsidRPr="00617008">
        <w:rPr>
          <w:rFonts w:hint="cs"/>
          <w:rtl/>
        </w:rPr>
        <w:t>«</w:t>
      </w:r>
      <w:r w:rsidRPr="00E14ED6">
        <w:rPr>
          <w:rFonts w:hint="cs"/>
          <w:rtl/>
        </w:rPr>
        <w:t>تفاوت سلوك الحيوانات بين جنسي الذكر والأنثى إنما ثبت بصورة عامّة من ناحية انتقال الإيعازات الجنسية والوراثية ـ الجينات ـ المرتبطة بالجنس، وليس هناك من اختلاف في سائر النواحي التي لا ترتبط بالأمور الفسلجية والجنسية. وعلى ضوء هذه النظرية، يمكن للتركيز على متطلبات الحياة وأسسها القائمة على التفاوت بين المرأة والرجل تقوية الرأي القائل بأن الحياة الاجتماعية طالما كانت هكذا لدى الحيوانات فإنّ ماهية الأحكام والقوانين لابد أن تكون متساويةً بالنسبة للمرأة والرجل معاً، سوى القضايا المرتبطة بالأمور الجنسية وبقاء النسل، فإن التمايز في السلوك والاختلاف في القانون لا إشكال فيه</w:t>
      </w:r>
      <w:r w:rsidRPr="00617008">
        <w:rPr>
          <w:rFonts w:hint="cs"/>
          <w:rtl/>
        </w:rPr>
        <w:t>»</w:t>
      </w:r>
      <w:r w:rsidRPr="00815C4C">
        <w:rPr>
          <w:rFonts w:cs="Taher"/>
          <w:vertAlign w:val="superscript"/>
          <w:rtl/>
        </w:rPr>
        <w:t>(</w:t>
      </w:r>
      <w:r w:rsidRPr="00815C4C">
        <w:rPr>
          <w:rFonts w:cs="Taher"/>
          <w:vertAlign w:val="superscript"/>
          <w:rtl/>
        </w:rPr>
        <w:footnoteReference w:id="1026"/>
      </w:r>
      <w:r w:rsidRPr="00815C4C">
        <w:rPr>
          <w:rFonts w:cs="Taher"/>
          <w:vertAlign w:val="superscript"/>
          <w:rtl/>
        </w:rPr>
        <w:t>)</w:t>
      </w:r>
      <w:r w:rsidRPr="00E14ED6">
        <w:rPr>
          <w:rFonts w:hint="cs"/>
          <w:rtl/>
        </w:rPr>
        <w:t>، يرون هذا بينما لا يقولون بالتفاوت القانوني في القضايا التي ليس لها ارتباط بالمسائل المادية والوراثية.</w:t>
      </w:r>
    </w:p>
    <w:p w:rsidR="00853A10" w:rsidRPr="00E14ED6" w:rsidRDefault="00853A10" w:rsidP="006630AC">
      <w:pPr>
        <w:pStyle w:val="ac"/>
        <w:spacing w:line="199" w:lineRule="auto"/>
        <w:rPr>
          <w:rtl/>
        </w:rPr>
      </w:pPr>
      <w:r w:rsidRPr="00E14ED6">
        <w:rPr>
          <w:rFonts w:hint="cs"/>
          <w:rtl/>
        </w:rPr>
        <w:t xml:space="preserve">أما الذي يستشفّ من روح المعارف الإسلامية فهو أنّ التفاوت بين المرأة والرجل ليس من قبيل التفاوت بين جنس الذكر والأنثى في عالم الحيوان مقتصراً على الامتياز في إطار السلوك والتصرّفات الجنسية، بل إن المرأة والرجل يشتركان في حقيقة واحدة </w:t>
      </w:r>
      <w:r w:rsidRPr="00E14ED6">
        <w:rPr>
          <w:rFonts w:hint="cs"/>
          <w:rtl/>
        </w:rPr>
        <w:lastRenderedPageBreak/>
        <w:t>وهي أصل الروح، فتكون الذكورة والأنوثة كاللباس الذي يضمّ روحيهما، ولذلك يمكن مشاهدة هذا اللباس الرجولي أو النسوي في بعض المظاهر السلوكية النابعة من الروح.</w:t>
      </w:r>
    </w:p>
    <w:p w:rsidR="00853A10" w:rsidRPr="00E14ED6" w:rsidRDefault="00853A10" w:rsidP="006630AC">
      <w:pPr>
        <w:pStyle w:val="ac"/>
        <w:spacing w:line="199" w:lineRule="auto"/>
        <w:rPr>
          <w:rtl/>
        </w:rPr>
      </w:pPr>
      <w:r w:rsidRPr="00E14ED6">
        <w:rPr>
          <w:rFonts w:hint="cs"/>
          <w:rtl/>
        </w:rPr>
        <w:t>على سبيل المثال، يمكن للمرأة الكشف عن عقلها وفكرها الإنساني بعواطفها، بجمالية صوتها وسلوكها، وكيفية تحاورها..</w:t>
      </w:r>
    </w:p>
    <w:p w:rsidR="00853A10" w:rsidRPr="00E14ED6" w:rsidRDefault="00853A10" w:rsidP="006630AC">
      <w:pPr>
        <w:pStyle w:val="ac"/>
        <w:spacing w:line="199" w:lineRule="auto"/>
        <w:rPr>
          <w:rtl/>
        </w:rPr>
      </w:pPr>
      <w:r w:rsidRPr="00E14ED6">
        <w:rPr>
          <w:rFonts w:hint="cs"/>
          <w:rtl/>
        </w:rPr>
        <w:t>وخلاصة القول: إنّ المرأة ـ بحكم أنوثتها ـ تستطيع أن تبدي ظرائف الحكمة في ظرائف الفن؛ أما الرجل ـ وبحكم رجولته ـ فإنما يبدي ظرائف الفنّ في الحكمة.</w:t>
      </w:r>
    </w:p>
    <w:p w:rsidR="00853A10" w:rsidRPr="00E14ED6" w:rsidRDefault="00853A10" w:rsidP="006630AC">
      <w:pPr>
        <w:pStyle w:val="ac"/>
        <w:spacing w:line="199" w:lineRule="auto"/>
        <w:rPr>
          <w:rtl/>
        </w:rPr>
      </w:pPr>
      <w:r w:rsidRPr="00E14ED6">
        <w:rPr>
          <w:rFonts w:hint="cs"/>
          <w:rtl/>
        </w:rPr>
        <w:t>إن التأكيد على الحسّ والتجربة ومتطلّبات الحياة لغرض التعرّف على الأنموذج الاجتماعي الصحيح بالنسبة للمجتمعات الإنسانية.. هو الآخر ليس بضروري على ضوء النظرية الإسلامية، لا سيما إذا انطوى هذا الأنموذج على تمايز الإنسان عن الحيوان في الكيفيات الذهنية، فمبدأ انعكاس الحياة الحيوانية على الحياة البشرية مرفوض تماماً في الإسلام، حيث تعتقد المدرسة الإسلامية بأنّ حقيقة روح الإنسان مدعاة للتمايز الجوهري بينه وبين سائر الحيوانات، ولا يمكن لهذه الخلقة الإنسانية العجيبة أن تبحث عن مثلها وأنموذجها في المجتمعات الحيوانية، فقد هداها فاطرها في عالم التشريع إلى أفضل المثل والنماذج ذات الانطباق على الحقائق التكوينية، التي كشفت عنها الشريعة التامّة الكاملة.</w:t>
      </w:r>
    </w:p>
    <w:p w:rsidR="00853A10" w:rsidRPr="00E14ED6" w:rsidRDefault="00853A10" w:rsidP="006630AC">
      <w:pPr>
        <w:pStyle w:val="ac"/>
        <w:spacing w:line="199" w:lineRule="auto"/>
        <w:rPr>
          <w:rtl/>
        </w:rPr>
      </w:pPr>
      <w:r w:rsidRPr="00E14ED6">
        <w:rPr>
          <w:rFonts w:hint="cs"/>
          <w:rtl/>
        </w:rPr>
        <w:t>فالتمايز التكويني بين المرأة والرجل لم يُهمل طرفة عينٍ في عالم التشريع، بل لقد ظلّ هناك تأثير عميق لهذه التكوينيات في الأحكام والقوانين الفقهية التي لا ترتبط بدائرة الجنس.</w:t>
      </w:r>
    </w:p>
    <w:p w:rsidR="00853A10" w:rsidRPr="00E14ED6" w:rsidRDefault="00853A10" w:rsidP="006630AC">
      <w:pPr>
        <w:pStyle w:val="ac"/>
        <w:spacing w:line="199" w:lineRule="auto"/>
        <w:rPr>
          <w:rtl/>
        </w:rPr>
      </w:pPr>
      <w:r w:rsidRPr="00E14ED6">
        <w:rPr>
          <w:rFonts w:hint="cs"/>
          <w:rtl/>
        </w:rPr>
        <w:t xml:space="preserve">فالفوارق في القوانين الاجتماعية بالنسبة للرجل والمرأة في الإسلام لا تعني التمييز بينهما أبداً، بل غاية هذه الفوارق إعادة التوازن بين المرأة والرجل من ناحية الحقوق ـ وإن كانت لا تؤدي إلى المساواة في الحقوق ـ فقد قال سبحانه: </w:t>
      </w:r>
      <w:r w:rsidR="006630AC" w:rsidRPr="006630AC">
        <w:rPr>
          <w:rtl/>
        </w:rPr>
        <w:t>﴿</w:t>
      </w:r>
      <w:r w:rsidRPr="006630AC">
        <w:rPr>
          <w:b/>
          <w:bCs/>
          <w:rtl/>
        </w:rPr>
        <w:t>وَإِنْ مِنْ شَيْ‏ءٍ إِلاَّ عِنْدَنا خَزائِنُهُ وَما نُنَزِّلُهُ إِلاَّ بِقَدَرٍ مَعْلُومٍ</w:t>
      </w:r>
      <w:r w:rsidR="006630AC" w:rsidRPr="006630AC">
        <w:rPr>
          <w:rtl/>
        </w:rPr>
        <w:t>﴾</w:t>
      </w:r>
      <w:r w:rsidRPr="00815C4C">
        <w:rPr>
          <w:rFonts w:cs="Taher"/>
          <w:vertAlign w:val="superscript"/>
          <w:rtl/>
        </w:rPr>
        <w:t>(</w:t>
      </w:r>
      <w:r w:rsidRPr="00815C4C">
        <w:rPr>
          <w:rFonts w:cs="Taher"/>
          <w:vertAlign w:val="superscript"/>
          <w:rtl/>
        </w:rPr>
        <w:footnoteReference w:id="1027"/>
      </w:r>
      <w:r w:rsidRPr="00815C4C">
        <w:rPr>
          <w:rFonts w:cs="Taher"/>
          <w:vertAlign w:val="superscript"/>
          <w:rtl/>
        </w:rPr>
        <w:t>)</w:t>
      </w:r>
      <w:r w:rsidRPr="00E14ED6">
        <w:rPr>
          <w:rFonts w:hint="cs"/>
          <w:rtl/>
        </w:rPr>
        <w:t xml:space="preserve">، أي إنّ التفاوت بين المرأة والرجل ـ وهو نوع من </w:t>
      </w:r>
      <w:r w:rsidRPr="00E14ED6">
        <w:rPr>
          <w:rFonts w:hint="cs"/>
          <w:rtl/>
        </w:rPr>
        <w:lastRenderedPageBreak/>
        <w:t>التفاوت الآلي ـ إنّما نشأ من خزائن السماء والشريعة السمحاء، حيث تنـزل القوانين الاجتماعية والدينية من تلك الخزائن.</w:t>
      </w:r>
    </w:p>
    <w:p w:rsidR="00853A10" w:rsidRPr="00E14ED6" w:rsidRDefault="00853A10" w:rsidP="00853A10">
      <w:pPr>
        <w:pStyle w:val="ac"/>
        <w:rPr>
          <w:rtl/>
        </w:rPr>
      </w:pPr>
      <w:r w:rsidRPr="00E14ED6">
        <w:rPr>
          <w:rFonts w:hint="cs"/>
          <w:rtl/>
        </w:rPr>
        <w:t>الدين الإسلامي المتكامل يشتمل على مشروع هداية حقيقي، وأنموذج تام يشير إلى أفضل نظام فكري وعملي في عالم التكوين، وطبق النظرية الإسلامية فإنّه لا ينبغي التعامل مع المثل والأسوة من خلال القياس والاستحسان والاستنتاج من الطبيعة، ونشأة الإنسان التي تستند إلى التطور الذي شهده الحيوان، هذه الأمور برمّتها مرفوضة من قبل الإسلام. نعم، هناك اشتراك بين الإسلام ودعاة المساواة في عدم المساواة بين الرجل والمرأة خارج قضية الجنس التي تحكم الرجل والمرأة، وهذه هي الفلسفة التي قامت على أساسها الأحكام الشرعية من واجبات ومحظورات، حيث يمكن تفسير الواجبات على أساس الوجودات، وتفسير القيم والمثل على أساس الواقعيات والحقائق. أما المبدأ الرئيسي الذي تفترق فيه المدرسة الإسلامية عن الاتجاهات التي تطالب بالمساواة، فهو أنّ أغلب الموجودات والمعدومات ليس فقط لا يمكن التوصّل إليها عن طريق الحس والتجربة فحسب، بل يعجز عن كشفها والتوصل إليها حتى العقل النظري والعقل العملي المتعارف لدى البشر، أي أنّ العقل الجزئي هو الآخر ليس له القدرة على كشف الموجودات والمعدومات جميعها وإدراكها، في حين ذهبت أغلب الاتجاهات التي تزعّمت قضية المساواة بين الجنسين إلى كشف الموجودات والمعدومات عن طريق التجربة والحسّ والعقل الجزئي.</w:t>
      </w:r>
    </w:p>
    <w:p w:rsidR="00853A10" w:rsidRPr="00E14ED6" w:rsidRDefault="00853A10" w:rsidP="00853A10">
      <w:pPr>
        <w:pStyle w:val="ac"/>
        <w:rPr>
          <w:rtl/>
        </w:rPr>
      </w:pPr>
      <w:r w:rsidRPr="00E14ED6">
        <w:rPr>
          <w:rFonts w:hint="cs"/>
          <w:rtl/>
        </w:rPr>
        <w:t>ذهب أغلب المتكلمين والفلاسفة المسلمين إلى أنّ الوحي هو الذي تكفّل بتفسير أغلب الواجبات والمحظورات على أساس الموجودات والمعدومات التكوينية.</w:t>
      </w:r>
    </w:p>
    <w:p w:rsidR="00853A10" w:rsidRPr="00E14ED6" w:rsidRDefault="00853A10" w:rsidP="00853A10">
      <w:pPr>
        <w:pStyle w:val="ac"/>
        <w:rPr>
          <w:rtl/>
        </w:rPr>
      </w:pPr>
      <w:r w:rsidRPr="00E14ED6">
        <w:rPr>
          <w:rFonts w:hint="cs"/>
          <w:rtl/>
        </w:rPr>
        <w:t>فالأفراد الذين لا يرون التفاوت بين المرأة والرجل إلاّ في الفوارق الفسلجية والجنسية وينكرون الفوارق الظريفة المتجلّية في الجوانب الروحية للمرأة والرجل، سيرون أنفسهم مضطرّين لحصر الموجودات والمعدومات في الأشياء التي توصلوا إليها عن طريق الحسّ والتجربة.</w:t>
      </w:r>
    </w:p>
    <w:p w:rsidR="00853A10" w:rsidRPr="00E14ED6" w:rsidRDefault="00853A10" w:rsidP="00853A10">
      <w:pPr>
        <w:pStyle w:val="ac"/>
        <w:rPr>
          <w:rtl/>
        </w:rPr>
      </w:pPr>
      <w:r w:rsidRPr="00E14ED6">
        <w:rPr>
          <w:rFonts w:hint="cs"/>
          <w:rtl/>
        </w:rPr>
        <w:t xml:space="preserve">ولا شك أنّ النـزعات والتيارات التي منحت الأصالة للعمل أو الواقع أو </w:t>
      </w:r>
      <w:r w:rsidRPr="00E14ED6">
        <w:rPr>
          <w:rFonts w:hint="cs"/>
          <w:rtl/>
        </w:rPr>
        <w:lastRenderedPageBreak/>
        <w:t>السلوك.. إنّما ظهرت ـ كافّة ـ بصيغ فلسفية في بريطانيا وأميركا بوصفها أصداء وانعكاسات للمدرسة اللاأدرية، ولعلّ التحليل النهائي لجذور هذه النـزعات إنما يعود بنا إلى الفرضيات الفلسفية التي جاءت في فلسفة هيوم</w:t>
      </w:r>
      <w:r w:rsidRPr="00815C4C">
        <w:rPr>
          <w:rFonts w:cs="Taher"/>
          <w:vertAlign w:val="superscript"/>
          <w:rtl/>
        </w:rPr>
        <w:t>(</w:t>
      </w:r>
      <w:r w:rsidRPr="00815C4C">
        <w:rPr>
          <w:rFonts w:cs="Taher"/>
          <w:vertAlign w:val="superscript"/>
          <w:rtl/>
        </w:rPr>
        <w:footnoteReference w:id="1028"/>
      </w:r>
      <w:r w:rsidRPr="00815C4C">
        <w:rPr>
          <w:rFonts w:cs="Taher"/>
          <w:vertAlign w:val="superscript"/>
          <w:rtl/>
        </w:rPr>
        <w:t>)</w:t>
      </w:r>
      <w:r w:rsidRPr="00E14ED6">
        <w:rPr>
          <w:rFonts w:hint="cs"/>
          <w:rtl/>
        </w:rPr>
        <w:t>. أما بعض النـزعات الفلسفية الناشئة من تيارات المساواة فإنما تعود إلى أنواع الفلسفة الشكّية.</w:t>
      </w:r>
    </w:p>
    <w:p w:rsidR="00853A10" w:rsidRPr="00E14ED6" w:rsidRDefault="00853A10" w:rsidP="006630AC">
      <w:pPr>
        <w:pStyle w:val="ac"/>
        <w:spacing w:line="209" w:lineRule="auto"/>
        <w:rPr>
          <w:rtl/>
        </w:rPr>
      </w:pPr>
      <w:r w:rsidRPr="00E14ED6">
        <w:rPr>
          <w:rFonts w:hint="cs"/>
          <w:rtl/>
        </w:rPr>
        <w:t>والواقع أن تلك الطائفة من المنظّرين الاجتماعيين الذين يؤكّدون على إثارة المساواة وتكافؤ حقوق المرأة والرجل في علم السلوك الاجتماعي، لابد أن يكونوا ـ وعلى ضوء وجهة النظر الفلسفية ـ معارضين لأصالة الإنسان التي ترى أنّ نشأة الروح من الله، ولا يرون من تمايزٍ للإنسان عن الحيوان إلاّ في المسيرة التكاملية والطفرات التي أدّت إلى ظهوره، لأنّ من يقول بالتمايز الجوهري والحقيقي بين الإنسان والحيوان لا يمكنه أبداً أن يجعل متطلّبات الحياة والنماذج الاجتماعية مستمسكاً لإثبات بل لإقرار بعض النماذج السلوكية في المجتمعات البشرية.</w:t>
      </w:r>
    </w:p>
    <w:p w:rsidR="00853A10" w:rsidRPr="00E14ED6" w:rsidRDefault="00853A10" w:rsidP="006630AC">
      <w:pPr>
        <w:pStyle w:val="ac"/>
        <w:spacing w:line="211" w:lineRule="auto"/>
        <w:rPr>
          <w:rtl/>
        </w:rPr>
      </w:pPr>
      <w:r w:rsidRPr="00E14ED6">
        <w:rPr>
          <w:rFonts w:hint="cs"/>
          <w:rtl/>
        </w:rPr>
        <w:t>في فلسفة الأخلاق والفقه والكلام، تؤيّد النظريات والفرضيات الفلسفية من قبيل الآراء التعريفية، والحسن الذاتي لأفعال الحق، وعينية الأحكام الفقهية، وعدم كونها اعتبارية، تؤيد أن أنموذجية أحكام الشريعة الإسلامية إنما صيغت على ضوء الحقائق التكوينية، ولكن لا يمكن لهذه الحقائق التكوينية أن تكون أسس الحياة البدائية لدى الحيوانات وسلوكها الاجتماعي أبداً.. فقد فرغ في العرفان النظري الإسلامي من مبحث انطباق التكوين على التشريع.</w:t>
      </w:r>
    </w:p>
    <w:p w:rsidR="00853A10" w:rsidRPr="00E14ED6" w:rsidRDefault="00853A10" w:rsidP="006630AC">
      <w:pPr>
        <w:pStyle w:val="ac"/>
        <w:spacing w:line="209" w:lineRule="auto"/>
        <w:rPr>
          <w:rtl/>
        </w:rPr>
      </w:pPr>
      <w:r w:rsidRPr="00E14ED6">
        <w:rPr>
          <w:rFonts w:hint="cs"/>
          <w:rtl/>
        </w:rPr>
        <w:t>إن إدراك مفهوم النظم والوجود في الجملة، والنماذج الطبيعية في مقام الثبوت والواقع من الفرضيات والمبادئ المسلّمة في الفلسفة الإسلامية، ولكن لا يمكن اعتماد هذا المبدأ في مقام الإثبات أساساً لقياس منطقي لوضع الأحكام والقوانين الفقهية والحقوقية والاجتماعية و...</w:t>
      </w:r>
    </w:p>
    <w:p w:rsidR="00853A10" w:rsidRPr="00E14ED6" w:rsidRDefault="00853A10" w:rsidP="006630AC">
      <w:pPr>
        <w:pStyle w:val="ac"/>
        <w:spacing w:line="199" w:lineRule="auto"/>
        <w:rPr>
          <w:rtl/>
        </w:rPr>
      </w:pPr>
      <w:r w:rsidRPr="00E14ED6">
        <w:rPr>
          <w:rFonts w:hint="cs"/>
          <w:rtl/>
        </w:rPr>
        <w:lastRenderedPageBreak/>
        <w:t>والآراء الفلسفية والعرفانية من قبيل الاعتقاد بتطابق قوس النـزول وقوس الصعود، والاعتقاد بترشحات الوجود وكيفية إرتباطاتها بالعوالم، والالتفات إلى أسرار الشريعة وأسرار الطريقة و... جميعها من القضايا التي تؤيّد الأطروحة الفلسفية التي تقول بأنّ الواجبات والمحظورات إنما شرعت على أساس الوجودات والعدميات، إلا أنّ مفكري الشيعة يرون تعذّر معرفة علل الشرائع إلاّ من خلال النص على العلّة، وعليه فمجرّد التشابه السلوكي بين حياة الإنسان والحيوان لا يمكنه أن يقدّم للبشرية أنموذجاً كاملاً تحتذي به في مسيرتها.</w:t>
      </w:r>
    </w:p>
    <w:p w:rsidR="00853A10" w:rsidRPr="00E14ED6" w:rsidRDefault="00853A10" w:rsidP="006630AC">
      <w:pPr>
        <w:pStyle w:val="ac"/>
        <w:spacing w:line="199" w:lineRule="auto"/>
        <w:rPr>
          <w:rtl/>
        </w:rPr>
      </w:pPr>
      <w:r w:rsidRPr="00E14ED6">
        <w:rPr>
          <w:rFonts w:hint="cs"/>
          <w:rtl/>
        </w:rPr>
        <w:t>إنّ أسس المعرفة التي يعتمدها علم الاجتماع الإسلامي هي الأخرى صيغت على أساس الاستناد إلى وجود العلم القدسي والتعبّد بالعلم المطلق، أما أسلوب المعرفة في علم الاجتماع الديني فليس من قبيل أسلوب المشاهدة والتجربة واحتمال الخطأ، بل هو الأسلوب المستند على حقيقة الوحي، أي الاستناد والتعبّد بالمعارف التي يُتوصل إليها عن طريق الكشف والشهود، لا كلّ كشف وشهود، بل كشف النبي</w:t>
      </w:r>
      <w:r w:rsidR="00350F90">
        <w:rPr>
          <w:rFonts w:hint="cs"/>
          <w:rtl/>
        </w:rPr>
        <w:t>’</w:t>
      </w:r>
      <w:r w:rsidRPr="00E14ED6">
        <w:rPr>
          <w:rFonts w:hint="cs"/>
          <w:rtl/>
        </w:rPr>
        <w:t xml:space="preserve"> الذي يتلقّى الوحي الذي يمثل نوعاً من الاتصال العقلي القدسي بمعدن العلم المطلق، وصياغته في قالب أخبار دينية.</w:t>
      </w:r>
    </w:p>
    <w:p w:rsidR="00853A10" w:rsidRPr="005526E0" w:rsidRDefault="00853A10" w:rsidP="006630AC">
      <w:pPr>
        <w:pStyle w:val="ac"/>
        <w:spacing w:line="199" w:lineRule="auto"/>
        <w:rPr>
          <w:spacing w:val="-6"/>
          <w:rtl/>
        </w:rPr>
      </w:pPr>
      <w:r w:rsidRPr="005526E0">
        <w:rPr>
          <w:rFonts w:hint="cs"/>
          <w:spacing w:val="-6"/>
          <w:rtl/>
        </w:rPr>
        <w:t xml:space="preserve">ومن المسلّم به أن المدارس والمذاهب التي تتعامل مع برمجة وتنظيم العلاقات والقوانين الاجتماعية المرتبطة بالرجل والمرأة على أساس علوم الحسّ والتجربة لا يمكنها أبداً ادّعاء بلوغ الكمال في علومها ومعارفها، </w:t>
      </w:r>
      <w:r w:rsidRPr="00617008">
        <w:rPr>
          <w:rFonts w:hint="cs"/>
          <w:rtl/>
        </w:rPr>
        <w:t>«</w:t>
      </w:r>
      <w:r w:rsidRPr="005526E0">
        <w:rPr>
          <w:rFonts w:hint="cs"/>
          <w:spacing w:val="-6"/>
          <w:rtl/>
        </w:rPr>
        <w:t>فوجهة النظر الدينية تفيد الإخبار عن الناسوت والطبيعة، مروراً بدائرة الملكوت والجبروت، وانتهاءً باللوح المحفوظ والكتاب المبين وأمّ الكتاب والخزائن الإلهية وقوسي الصعود والنـزول و..</w:t>
      </w:r>
      <w:r w:rsidRPr="00617008">
        <w:rPr>
          <w:rFonts w:hint="cs"/>
          <w:rtl/>
        </w:rPr>
        <w:t>»</w:t>
      </w:r>
      <w:r w:rsidRPr="00815C4C">
        <w:rPr>
          <w:rFonts w:cs="Taher"/>
          <w:vertAlign w:val="superscript"/>
          <w:rtl/>
        </w:rPr>
        <w:t>(</w:t>
      </w:r>
      <w:r w:rsidRPr="00815C4C">
        <w:rPr>
          <w:rFonts w:cs="Taher"/>
          <w:vertAlign w:val="superscript"/>
          <w:rtl/>
        </w:rPr>
        <w:footnoteReference w:id="1029"/>
      </w:r>
      <w:r w:rsidRPr="00815C4C">
        <w:rPr>
          <w:rFonts w:cs="Taher"/>
          <w:vertAlign w:val="superscript"/>
          <w:rtl/>
        </w:rPr>
        <w:t>)</w:t>
      </w:r>
      <w:r w:rsidRPr="005526E0">
        <w:rPr>
          <w:rFonts w:hint="cs"/>
          <w:spacing w:val="-6"/>
          <w:rtl/>
        </w:rPr>
        <w:t>.</w:t>
      </w:r>
    </w:p>
    <w:p w:rsidR="00853A10" w:rsidRPr="00E14ED6" w:rsidRDefault="00853A10" w:rsidP="006630AC">
      <w:pPr>
        <w:pStyle w:val="ac"/>
        <w:spacing w:line="199" w:lineRule="auto"/>
        <w:rPr>
          <w:position w:val="4"/>
          <w:rtl/>
        </w:rPr>
      </w:pPr>
      <w:r w:rsidRPr="00E14ED6">
        <w:rPr>
          <w:rFonts w:hint="cs"/>
          <w:rtl/>
        </w:rPr>
        <w:t xml:space="preserve">ومما لا شك فيه أنّ المفكّر الإسلامي الذي يؤمن بالأطروحة الإسلامية يفكّر بطريقة تختلف تماماً عما يدور في أذهان سائر المفكّرين الاجتماعيين ممن ينتمون إلى مدارس ومذاهب أخرى، والأسس والمبادئ الفلسفية في علم الوجود والمعرفة هي التي تلعب دوراً مهماً ومؤثراً في تفسيره للتفاوت في القوانين الاجتماعية بين المرأة والرجل، وهذا </w:t>
      </w:r>
      <w:r w:rsidRPr="00E14ED6">
        <w:rPr>
          <w:rFonts w:hint="cs"/>
          <w:rtl/>
        </w:rPr>
        <w:lastRenderedPageBreak/>
        <w:t>التأثير من الشدة والدوام بحيث إذا أردنا أن نبين جميع الأفكار وارتباطها بالمفاهيم الواردة في هذه النظرية لتوجّب علينا استعراض كافة أصول المعارف الإسلامية وخصائصها، وهذا ما لا يسعه البحث.</w:t>
      </w:r>
    </w:p>
    <w:p w:rsidR="00853A10" w:rsidRPr="00E14ED6" w:rsidRDefault="00853A10" w:rsidP="006630AC">
      <w:pPr>
        <w:pStyle w:val="ac"/>
        <w:spacing w:line="199" w:lineRule="auto"/>
        <w:rPr>
          <w:rtl/>
        </w:rPr>
      </w:pPr>
      <w:r w:rsidRPr="00617008">
        <w:rPr>
          <w:rFonts w:hint="cs"/>
          <w:rtl/>
        </w:rPr>
        <w:t>«</w:t>
      </w:r>
      <w:r w:rsidRPr="00E75F8E">
        <w:rPr>
          <w:rFonts w:hint="cs"/>
          <w:rtl/>
        </w:rPr>
        <w:t>إنّ قراءة العلماء والمفكرين المسلمين للخلقة والنسل والمجتمع والتأريخ قراءة متكاملة، تثبت ممارسة جميع الأجزاء لأعمالها، بحيث ترتبط هذه الأجزاء مع بعضها ارتباطاً يأبى الانفصال، وهذه الرؤية منبثقة ـ بلا شك ـ من جوهر الفلسفة والحكمة الإسلامية، والمحور الأصلي للحكمة الإلهية بمعناها الأخص يؤكّد هو الآخر سلسلة المراتب وارتباطها في الموجودات</w:t>
      </w:r>
      <w:r w:rsidRPr="00617008">
        <w:rPr>
          <w:rFonts w:hint="cs"/>
          <w:rtl/>
        </w:rPr>
        <w:t>»</w:t>
      </w:r>
      <w:r w:rsidRPr="00815C4C">
        <w:rPr>
          <w:rFonts w:cs="Taher"/>
          <w:vertAlign w:val="superscript"/>
          <w:rtl/>
        </w:rPr>
        <w:t>(</w:t>
      </w:r>
      <w:r w:rsidRPr="00815C4C">
        <w:rPr>
          <w:rFonts w:cs="Taher"/>
          <w:vertAlign w:val="superscript"/>
          <w:rtl/>
        </w:rPr>
        <w:footnoteReference w:id="1030"/>
      </w:r>
      <w:r w:rsidRPr="00815C4C">
        <w:rPr>
          <w:rFonts w:cs="Taher"/>
          <w:vertAlign w:val="superscript"/>
          <w:rtl/>
        </w:rPr>
        <w:t>)</w:t>
      </w:r>
      <w:r w:rsidRPr="00E75F8E">
        <w:rPr>
          <w:rFonts w:hint="cs"/>
          <w:rtl/>
        </w:rPr>
        <w:t>.</w:t>
      </w:r>
    </w:p>
    <w:p w:rsidR="00853A10" w:rsidRPr="00E14ED6" w:rsidRDefault="00853A10" w:rsidP="006630AC">
      <w:pPr>
        <w:pStyle w:val="ac"/>
        <w:rPr>
          <w:rtl/>
        </w:rPr>
      </w:pPr>
      <w:r w:rsidRPr="00E14ED6">
        <w:rPr>
          <w:rFonts w:hint="cs"/>
          <w:rtl/>
        </w:rPr>
        <w:t>وعلى ضوء هذه الرؤية، يقع النوع الإنساني في سلسلة مراتب الأجناس التي تمثّل النوع العالي والداني والسافل، والتي تؤلّف بمجموعها عالم الوجود.</w:t>
      </w:r>
    </w:p>
    <w:p w:rsidR="00853A10" w:rsidRPr="00E14ED6" w:rsidRDefault="00853A10" w:rsidP="006630AC">
      <w:pPr>
        <w:pStyle w:val="ac"/>
        <w:spacing w:line="199" w:lineRule="auto"/>
        <w:rPr>
          <w:rtl/>
        </w:rPr>
      </w:pPr>
      <w:r w:rsidRPr="00E14ED6">
        <w:rPr>
          <w:rFonts w:hint="cs"/>
          <w:rtl/>
        </w:rPr>
        <w:t xml:space="preserve">المدرسة الإسلامية تنظر إلى الإنسان بوصفه نوعاً، والذكورة والأنوثة من العوارض الخارجة عن الذات الإنسانية، غير أنّ الذكورة والأنوثة تعتبر من العوارض اللازمة للذات وليست عرضية بالمعنى المفارق، لأن المفارقة نوع خروج عن طبيعة الشيء، وعليه فالأطروحة الإسلامية التفتت إلى التفاوت العرضي بين المرأة والرجل بنفس المقدار الذي اهتمت فيه بوحدة ذاتيهما وحقيقتهما التي تمثل نوعاً واحداً. وتفصيل هذا الموضوع يتطلب بحثاً مستقلاً لا يسعه المقام. وعلى حد تعبير فرويد: </w:t>
      </w:r>
      <w:r w:rsidR="00885E99" w:rsidRPr="00885E99">
        <w:rPr>
          <w:rFonts w:hint="eastAsia"/>
          <w:rtl/>
        </w:rPr>
        <w:t>«</w:t>
      </w:r>
      <w:r w:rsidRPr="00E14ED6">
        <w:rPr>
          <w:rFonts w:hint="cs"/>
          <w:rtl/>
        </w:rPr>
        <w:t>لا بد من الخوض في جميع المعارف على ضوء ما ورد في علم المعرفة، فهي تتناول المباني العلمية العالمية لكل نظرية يمكنها أن تمثل تأريخا كاملاً، ففي هذه الحالة يمكن التوصل إلى الإدراك التأريخي للموضوع الذي نريد التعرف عليه بصورة واقعية تامة</w:t>
      </w:r>
      <w:r w:rsidR="00885E99" w:rsidRPr="00885E99">
        <w:rPr>
          <w:rFonts w:hint="eastAsia"/>
          <w:rtl/>
        </w:rPr>
        <w:t>»</w:t>
      </w:r>
      <w:r w:rsidRPr="00815C4C">
        <w:rPr>
          <w:rFonts w:cs="Taher"/>
          <w:vertAlign w:val="superscript"/>
          <w:rtl/>
        </w:rPr>
        <w:t>(</w:t>
      </w:r>
      <w:r w:rsidRPr="00815C4C">
        <w:rPr>
          <w:rFonts w:cs="Taher"/>
          <w:vertAlign w:val="superscript"/>
          <w:rtl/>
        </w:rPr>
        <w:footnoteReference w:id="1031"/>
      </w:r>
      <w:r w:rsidRPr="00815C4C">
        <w:rPr>
          <w:rFonts w:cs="Taher"/>
          <w:vertAlign w:val="superscript"/>
          <w:rtl/>
        </w:rPr>
        <w:t>)</w:t>
      </w:r>
      <w:r w:rsidRPr="00E14ED6">
        <w:rPr>
          <w:rFonts w:hint="cs"/>
          <w:rtl/>
        </w:rPr>
        <w:t>.</w:t>
      </w:r>
    </w:p>
    <w:p w:rsidR="00853A10" w:rsidRPr="00E14ED6" w:rsidRDefault="00853A10" w:rsidP="00853A10">
      <w:pPr>
        <w:pStyle w:val="ac"/>
        <w:rPr>
          <w:rtl/>
        </w:rPr>
      </w:pPr>
      <w:r w:rsidRPr="00E14ED6">
        <w:rPr>
          <w:rFonts w:hint="cs"/>
          <w:rtl/>
        </w:rPr>
        <w:t xml:space="preserve">وعليه فإذا ادعى منظّر اجتماعي مساواة المرأة للرجل في الحقوق في المـجالات كافّة، أو في الـمجالات التي لا ترتبط بالهوية الجنسية للرجل والمرأة، كان لا بد من سؤاله عن الأسس التي يعتمدها في معرفة العالم، وعن كيفية تفسيره للإنسان معرفيّاً، وعن مدى </w:t>
      </w:r>
      <w:r w:rsidRPr="00E14ED6">
        <w:rPr>
          <w:rFonts w:hint="cs"/>
          <w:rtl/>
        </w:rPr>
        <w:lastRenderedPageBreak/>
        <w:t>الأصالة التي يمنحها للروح، وعن تفسيره لنوعية ارتباط الروح بالبدن، فالذي لا يرى من فرقٍ في السلوك والمجالات ـ غير تلك التي ترتبط بالهوية الجنسية ـ بين المرأة والرجل فإنه إمّا لا يولي الروح أصالتها المطلوبة ويقتصر بالتفاوت على ما يشاهده في الفوارق المادية والكيميائية بينهما، أو أنه ـ وعلى ضوء فلسفته ونظرته للإنسان ـ يعجز عن تقديم بيان صحيح لعلاقة الروح بالجسم.</w:t>
      </w:r>
    </w:p>
    <w:p w:rsidR="00853A10" w:rsidRPr="00E14ED6" w:rsidRDefault="00853A10" w:rsidP="006630AC">
      <w:pPr>
        <w:pStyle w:val="ac"/>
        <w:spacing w:line="199" w:lineRule="auto"/>
        <w:rPr>
          <w:rtl/>
        </w:rPr>
      </w:pPr>
      <w:r w:rsidRPr="00E14ED6">
        <w:rPr>
          <w:rFonts w:hint="cs"/>
          <w:rtl/>
        </w:rPr>
        <w:t>إن الروح وإن كانت تشكّل تمام حقيقة الإنسان في الفلسفة الإسلامية، إلاّ أنّها ليست بمعزل عن الجسم وتأثيره الآلي فيها.</w:t>
      </w:r>
    </w:p>
    <w:p w:rsidR="00853A10" w:rsidRPr="00E14ED6" w:rsidRDefault="00853A10" w:rsidP="006630AC">
      <w:pPr>
        <w:pStyle w:val="ac"/>
        <w:spacing w:line="199" w:lineRule="auto"/>
        <w:rPr>
          <w:rtl/>
        </w:rPr>
      </w:pPr>
      <w:r w:rsidRPr="00E14ED6">
        <w:rPr>
          <w:rFonts w:hint="cs"/>
          <w:rtl/>
        </w:rPr>
        <w:t>فأحد البناءات الفلسفية للحكمة المتعالية للملا صدرا الشيرازي أنّ الروح جسمانية الحدوث، وفي الوقت عينه، الجسم هو الصورة الهابطة للنفس، وعليه فكلما كان الجسم ألطف كان تأثيره في الروح أعمق، وإن انعدم مثل هذا التأثير على دائرة ذات الروح، فالروح ليست ذكراً ولا أنثى إلاّ أنها حلّت في قالب قد يكون مذكراً أو مؤنثاً.</w:t>
      </w:r>
    </w:p>
    <w:p w:rsidR="00853A10" w:rsidRPr="006630AC" w:rsidRDefault="00853A10" w:rsidP="006630AC">
      <w:pPr>
        <w:pStyle w:val="ac"/>
        <w:spacing w:line="199" w:lineRule="auto"/>
        <w:rPr>
          <w:sz w:val="29"/>
          <w:szCs w:val="29"/>
          <w:rtl/>
        </w:rPr>
      </w:pPr>
      <w:r w:rsidRPr="006630AC">
        <w:rPr>
          <w:rFonts w:hint="cs"/>
          <w:sz w:val="29"/>
          <w:szCs w:val="29"/>
          <w:rtl/>
        </w:rPr>
        <w:t>لقد عُرّفت النفس في الفلسفة الإسلامية جوهراً مجرداً في ذاته محتاج إلى المادة في أفعاله؛ أي أنّ النفس ليست مذكّرة ولا مؤنثة، إلاّ أنّها تحتاج في نشأتها الحسّية إلى الجسم المادي لممارسة دورها في الحياة الطبيعية والمادية، وهذا الجسم قد يكون ذكراً وقد يكون أنثى.</w:t>
      </w:r>
    </w:p>
    <w:p w:rsidR="00853A10" w:rsidRPr="00E14ED6" w:rsidRDefault="00853A10" w:rsidP="006630AC">
      <w:pPr>
        <w:pStyle w:val="ac"/>
        <w:spacing w:line="199" w:lineRule="auto"/>
        <w:rPr>
          <w:rtl/>
        </w:rPr>
      </w:pPr>
      <w:r w:rsidRPr="00E14ED6">
        <w:rPr>
          <w:rFonts w:hint="cs"/>
          <w:rtl/>
        </w:rPr>
        <w:t>وعليه، فلم لا يمكن تصور قبول الاسلام ببعض التفاوت الذي يتميز بالظرافة بين المرأة والرجل في القوانين الاجتماعية غير المرتبطة مباشرة بدور الهوية الجنسية وأحياناً ضمن هذا الإطار بصورة غير مباشرة؟ فالإسلام وحي الله، خالق الذكر والأنثى.</w:t>
      </w:r>
    </w:p>
    <w:p w:rsidR="00853A10" w:rsidRPr="00E14ED6" w:rsidRDefault="00853A10" w:rsidP="006630AC">
      <w:pPr>
        <w:pStyle w:val="ac"/>
        <w:spacing w:line="199" w:lineRule="auto"/>
        <w:rPr>
          <w:rtl/>
        </w:rPr>
      </w:pPr>
      <w:r w:rsidRPr="00E14ED6">
        <w:rPr>
          <w:rFonts w:hint="cs"/>
          <w:rtl/>
        </w:rPr>
        <w:t>تؤمن الفلسفة الإسلامية بالحركة الجوهرية في عالم الوجود، فقضية الوجود وتشكيله وكيفية ارتباطه ومراتبه ودرجاته وسيلان حركته ليست بمعزل عن النظرية الاجتماعية للمدرسة الإسلامية فيما يخصّ القوانين الاجتماعية للرجل والمرأة، فهناك تبدّل في الحركة الجوهرية، حيث يمكن للجسم البشري أن يبلغ في حركته الجوهرية مرتبةً تؤهّله لتلقّي الروح، وهي المرحلة المتقدّمة في الخلق التي يعبر عنها القرآن بالخلق الآخر:</w:t>
      </w:r>
      <w:r w:rsidRPr="006F45C2">
        <w:rPr>
          <w:rStyle w:val="Char3"/>
          <w:rFonts w:hint="cs"/>
          <w:rtl/>
        </w:rPr>
        <w:t xml:space="preserve"> </w:t>
      </w:r>
      <w:r w:rsidR="006630AC" w:rsidRPr="006630AC">
        <w:rPr>
          <w:rtl/>
        </w:rPr>
        <w:t>﴿</w:t>
      </w:r>
      <w:r w:rsidR="006630AC" w:rsidRPr="006630AC">
        <w:rPr>
          <w:b/>
          <w:bCs/>
          <w:rtl/>
        </w:rPr>
        <w:t>ثُمَّ أَنشَأْنَاهُ خَلْقًا آخَرَ فَتَبَارَكَ اللهُ أَحْسَنُ الخَالِقِينَ</w:t>
      </w:r>
      <w:r w:rsidR="006630AC" w:rsidRPr="006630AC">
        <w:rPr>
          <w:rtl/>
        </w:rPr>
        <w:t>﴾</w:t>
      </w:r>
      <w:r w:rsidRPr="00815C4C">
        <w:rPr>
          <w:rFonts w:cs="Taher"/>
          <w:vertAlign w:val="superscript"/>
          <w:rtl/>
        </w:rPr>
        <w:t>(</w:t>
      </w:r>
      <w:r w:rsidRPr="00815C4C">
        <w:rPr>
          <w:rFonts w:cs="Taher"/>
          <w:vertAlign w:val="superscript"/>
          <w:rtl/>
        </w:rPr>
        <w:footnoteReference w:id="1032"/>
      </w:r>
      <w:r w:rsidRPr="00815C4C">
        <w:rPr>
          <w:rFonts w:cs="Taher"/>
          <w:vertAlign w:val="superscript"/>
          <w:rtl/>
        </w:rPr>
        <w:t>)</w:t>
      </w:r>
      <w:r w:rsidRPr="00E14ED6">
        <w:rPr>
          <w:rFonts w:hint="cs"/>
          <w:rtl/>
        </w:rPr>
        <w:t>.</w:t>
      </w:r>
    </w:p>
    <w:p w:rsidR="00853A10" w:rsidRPr="00E14ED6" w:rsidRDefault="00E33C4C" w:rsidP="00E33C4C">
      <w:pPr>
        <w:pStyle w:val="ac"/>
        <w:rPr>
          <w:rtl/>
        </w:rPr>
      </w:pPr>
      <w:r w:rsidRPr="00617008">
        <w:rPr>
          <w:rtl/>
        </w:rPr>
        <w:lastRenderedPageBreak/>
        <w:t>«</w:t>
      </w:r>
      <w:r w:rsidR="00853A10" w:rsidRPr="00E75F8E">
        <w:rPr>
          <w:rFonts w:hint="cs"/>
          <w:rtl/>
        </w:rPr>
        <w:t xml:space="preserve">في هذا التبدّل والتحوّل إلى شيء آخر، ليس هناك من كلام في الذكورة والأنوثة، لأنّ هذا الكلام إنما يصحّ لو كان هذا التبدّل على نحو التجافي أو من قبيل التبدلات الكونية والمادية، فالبدن قد خُلق وتحول إلى صور مجردة، فليس هناك من فارق بين روح الرجل وروح المرأة، فالكلام ليس عن حركة زمانية أو مكانية، كما ليس الكلام عن حركة كمية وكيفية، كأن يتحرّك بدن المرأة أو الرجل ليصل إلى مقام الروح، بحيث يكون هناك مجال للذكورة أو الأنوثة في هذه الحركة، بل ليس من سبيل لهذه الحركة سوى لجوهر وجود الشيء، وجوهر الوجود ليس مذكراً ولا مؤنثاً، وعليه فليس هناك من فرق في مرحلة </w:t>
      </w:r>
      <w:r w:rsidR="00853A10">
        <w:rPr>
          <w:rFonts w:hint="cs"/>
          <w:b/>
          <w:bCs/>
          <w:rtl/>
        </w:rPr>
        <w:t>﴿</w:t>
      </w:r>
      <w:r w:rsidR="00853A10" w:rsidRPr="00853A10">
        <w:rPr>
          <w:b/>
          <w:bCs/>
          <w:rtl/>
        </w:rPr>
        <w:t xml:space="preserve">ثُمَّ أَنْشَأْناهُ خَلْقاً آخَرَ </w:t>
      </w:r>
      <w:r w:rsidR="00853A10" w:rsidRPr="00853A10">
        <w:rPr>
          <w:rFonts w:hint="cs"/>
          <w:b/>
          <w:bCs/>
          <w:rtl/>
        </w:rPr>
        <w:t>...</w:t>
      </w:r>
      <w:r w:rsidR="00853A10" w:rsidRPr="00853A10">
        <w:rPr>
          <w:b/>
          <w:bCs/>
          <w:rtl/>
        </w:rPr>
        <w:t>﴾</w:t>
      </w:r>
      <w:r w:rsidR="00853A10" w:rsidRPr="00815C4C">
        <w:rPr>
          <w:rFonts w:cs="Taher"/>
          <w:vertAlign w:val="superscript"/>
          <w:rtl/>
        </w:rPr>
        <w:t>(</w:t>
      </w:r>
      <w:r w:rsidR="00853A10" w:rsidRPr="00815C4C">
        <w:rPr>
          <w:rFonts w:cs="Taher"/>
          <w:vertAlign w:val="superscript"/>
          <w:rtl/>
        </w:rPr>
        <w:footnoteReference w:id="1033"/>
      </w:r>
      <w:r w:rsidR="00853A10" w:rsidRPr="00815C4C">
        <w:rPr>
          <w:rFonts w:cs="Taher"/>
          <w:vertAlign w:val="superscript"/>
          <w:rtl/>
        </w:rPr>
        <w:t>)</w:t>
      </w:r>
      <w:r w:rsidR="00853A10" w:rsidRPr="00E75F8E">
        <w:rPr>
          <w:rFonts w:hint="cs"/>
          <w:rtl/>
        </w:rPr>
        <w:t>.</w:t>
      </w:r>
    </w:p>
    <w:p w:rsidR="006630AC" w:rsidRDefault="00853A10" w:rsidP="00853A10">
      <w:pPr>
        <w:pStyle w:val="ac"/>
        <w:rPr>
          <w:rtl/>
        </w:rPr>
      </w:pPr>
      <w:r w:rsidRPr="00E14ED6">
        <w:rPr>
          <w:rFonts w:hint="cs"/>
          <w:rtl/>
        </w:rPr>
        <w:t>ثم تحل هذه الروح في هذا الجسم وتتجلى في حركاته وسكناته، أما تفاوت الوسائل فليس بمعزل عن التأثير على النتائج، ومن الممكن أن يكون الشارع المقدس قد أوصى بعض الوصايا الخاصة لكل من هذه الوسائل.</w:t>
      </w:r>
    </w:p>
    <w:p w:rsidR="006630AC" w:rsidRDefault="006630AC" w:rsidP="00853A10">
      <w:pPr>
        <w:pStyle w:val="ac"/>
        <w:rPr>
          <w:rtl/>
        </w:rPr>
        <w:sectPr w:rsidR="006630AC" w:rsidSect="006628C6">
          <w:headerReference w:type="even" r:id="rId115"/>
          <w:headerReference w:type="default" r:id="rId11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853A10" w:rsidRDefault="00853A10" w:rsidP="00853A10">
      <w:pPr>
        <w:pStyle w:val="ac"/>
        <w:rPr>
          <w:rtl/>
        </w:rPr>
      </w:pPr>
    </w:p>
    <w:p w:rsidR="00853A10" w:rsidRDefault="00853A10" w:rsidP="006630AC">
      <w:pPr>
        <w:pStyle w:val="ac"/>
        <w:bidi w:val="0"/>
        <w:rPr>
          <w:rtl/>
        </w:rPr>
      </w:pPr>
    </w:p>
    <w:p w:rsidR="00853A10" w:rsidRDefault="00853A10" w:rsidP="006630AC">
      <w:pPr>
        <w:pStyle w:val="ac"/>
        <w:rPr>
          <w:rtl/>
        </w:rPr>
      </w:pPr>
    </w:p>
    <w:p w:rsidR="006630AC" w:rsidRDefault="006630AC" w:rsidP="006630AC">
      <w:pPr>
        <w:pStyle w:val="ac"/>
        <w:rPr>
          <w:rtl/>
        </w:rPr>
      </w:pPr>
    </w:p>
    <w:p w:rsidR="00853A10" w:rsidRDefault="00853A10" w:rsidP="00853A10">
      <w:pPr>
        <w:pStyle w:val="ac"/>
        <w:rPr>
          <w:rtl/>
        </w:rPr>
      </w:pPr>
    </w:p>
    <w:p w:rsidR="006630AC" w:rsidRDefault="006630AC" w:rsidP="00853A10">
      <w:pPr>
        <w:pStyle w:val="aff2"/>
        <w:rPr>
          <w:rtl/>
        </w:rPr>
        <w:sectPr w:rsidR="006630AC" w:rsidSect="006628C6">
          <w:headerReference w:type="default" r:id="rId117"/>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652" w:name="_Toc169521516"/>
    </w:p>
    <w:p w:rsidR="00853A10" w:rsidRDefault="00853A10" w:rsidP="00853A10">
      <w:pPr>
        <w:pStyle w:val="aff2"/>
        <w:rPr>
          <w:rtl/>
        </w:rPr>
      </w:pPr>
      <w:bookmarkStart w:id="653" w:name="_Toc275128287"/>
      <w:r w:rsidRPr="0017088F">
        <w:rPr>
          <w:rFonts w:hint="cs"/>
          <w:rtl/>
        </w:rPr>
        <w:lastRenderedPageBreak/>
        <w:t>الفتيات وأزمة التربية الدينية</w:t>
      </w:r>
      <w:bookmarkEnd w:id="652"/>
      <w:bookmarkEnd w:id="653"/>
    </w:p>
    <w:p w:rsidR="00853A10" w:rsidRPr="00853A10" w:rsidRDefault="00853A10" w:rsidP="00853A10">
      <w:pPr>
        <w:pStyle w:val="aff2"/>
        <w:rPr>
          <w:sz w:val="22"/>
          <w:szCs w:val="40"/>
          <w:rtl/>
        </w:rPr>
      </w:pPr>
      <w:bookmarkStart w:id="654" w:name="_Toc169521517"/>
      <w:bookmarkStart w:id="655" w:name="_Toc275128288"/>
      <w:r w:rsidRPr="00853A10">
        <w:rPr>
          <w:rFonts w:hint="cs"/>
          <w:sz w:val="22"/>
          <w:szCs w:val="40"/>
          <w:rtl/>
        </w:rPr>
        <w:t>قراءة في إشكاليات الموروث التربوي</w:t>
      </w:r>
      <w:bookmarkEnd w:id="654"/>
      <w:bookmarkEnd w:id="655"/>
      <w:r w:rsidRPr="00853A10">
        <w:rPr>
          <w:rFonts w:hint="cs"/>
          <w:sz w:val="22"/>
          <w:szCs w:val="40"/>
          <w:rtl/>
        </w:rPr>
        <w:t xml:space="preserve"> </w:t>
      </w:r>
    </w:p>
    <w:p w:rsidR="00853A10" w:rsidRPr="00645C33" w:rsidRDefault="00853A10" w:rsidP="0008530B">
      <w:pPr>
        <w:pStyle w:val="af7"/>
        <w:rPr>
          <w:rtl/>
        </w:rPr>
      </w:pPr>
      <w:bookmarkStart w:id="656" w:name="_Toc275128289"/>
      <w:r w:rsidRPr="00645C33">
        <w:rPr>
          <w:rFonts w:hint="cs"/>
          <w:rtl/>
        </w:rPr>
        <w:t>حوار مع:</w:t>
      </w:r>
      <w:r w:rsidR="0008530B">
        <w:rPr>
          <w:rFonts w:hint="cs"/>
          <w:rtl/>
        </w:rPr>
        <w:t xml:space="preserve"> </w:t>
      </w:r>
      <w:r w:rsidRPr="00645C33">
        <w:rPr>
          <w:rFonts w:hint="cs"/>
          <w:rtl/>
        </w:rPr>
        <w:t>د. خسـرو بـاقري</w:t>
      </w:r>
      <w:r w:rsidRPr="006630AC">
        <w:rPr>
          <w:rFonts w:cs="Taher"/>
          <w:position w:val="4"/>
          <w:sz w:val="30"/>
          <w:szCs w:val="30"/>
          <w:vertAlign w:val="superscript"/>
          <w:rtl/>
        </w:rPr>
        <w:footnoteReference w:customMarkFollows="1" w:id="1034"/>
        <w:t>(</w:t>
      </w:r>
      <w:r w:rsidRPr="006630AC">
        <w:rPr>
          <w:rFonts w:cs="Taher"/>
          <w:position w:val="8"/>
          <w:sz w:val="30"/>
          <w:szCs w:val="30"/>
          <w:vertAlign w:val="superscript"/>
          <w:rtl/>
        </w:rPr>
        <w:t>*</w:t>
      </w:r>
      <w:r w:rsidRPr="006630AC">
        <w:rPr>
          <w:rFonts w:cs="Taher"/>
          <w:position w:val="4"/>
          <w:sz w:val="30"/>
          <w:szCs w:val="30"/>
          <w:vertAlign w:val="superscript"/>
          <w:rtl/>
        </w:rPr>
        <w:t>)</w:t>
      </w:r>
      <w:bookmarkEnd w:id="656"/>
    </w:p>
    <w:p w:rsidR="00853A10" w:rsidRDefault="00853A10" w:rsidP="00853A10">
      <w:pPr>
        <w:pStyle w:val="af7"/>
        <w:spacing w:before="0"/>
        <w:rPr>
          <w:rtl/>
        </w:rPr>
      </w:pPr>
      <w:bookmarkStart w:id="657" w:name="_Toc275128290"/>
      <w:r w:rsidRPr="00645C33">
        <w:rPr>
          <w:rFonts w:hint="cs"/>
          <w:rtl/>
        </w:rPr>
        <w:t>ترجمة:  كمال السيد</w:t>
      </w:r>
      <w:bookmarkEnd w:id="657"/>
    </w:p>
    <w:p w:rsidR="00853A10" w:rsidRPr="0017088F" w:rsidRDefault="00853A10" w:rsidP="00853A10">
      <w:pPr>
        <w:pStyle w:val="af7"/>
        <w:spacing w:before="0"/>
        <w:rPr>
          <w:lang w:eastAsia="en-US"/>
        </w:rPr>
      </w:pPr>
    </w:p>
    <w:p w:rsidR="00853A10" w:rsidRPr="0017088F" w:rsidRDefault="00853A10" w:rsidP="006630AC">
      <w:pPr>
        <w:pStyle w:val="1"/>
        <w:rPr>
          <w:rtl/>
        </w:rPr>
      </w:pPr>
      <w:bookmarkStart w:id="658" w:name="_Toc169521518"/>
      <w:bookmarkStart w:id="659" w:name="_Toc275128291"/>
      <w:r w:rsidRPr="0017088F">
        <w:rPr>
          <w:rFonts w:hint="cs"/>
          <w:rtl/>
        </w:rPr>
        <w:t>مدخل</w:t>
      </w:r>
      <w:bookmarkEnd w:id="658"/>
      <w:bookmarkEnd w:id="659"/>
    </w:p>
    <w:p w:rsidR="00853A10" w:rsidRPr="00E14ED6" w:rsidRDefault="00853A10" w:rsidP="00853A10">
      <w:pPr>
        <w:pStyle w:val="ac"/>
        <w:rPr>
          <w:rtl/>
        </w:rPr>
      </w:pPr>
      <w:r w:rsidRPr="00E14ED6">
        <w:rPr>
          <w:rFonts w:hint="cs"/>
          <w:rtl/>
        </w:rPr>
        <w:t>يحتدم الجدل في موضوع التربية الدينية للأطفال، وتحديد الوقت المناسب لإجراء برامج التربية وتنيذها، وتلقين الأطفال التعاليم الدينية.</w:t>
      </w:r>
    </w:p>
    <w:p w:rsidR="00853A10" w:rsidRPr="00E14ED6" w:rsidRDefault="00853A10" w:rsidP="00853A10">
      <w:pPr>
        <w:pStyle w:val="ac"/>
        <w:rPr>
          <w:rtl/>
        </w:rPr>
      </w:pPr>
      <w:r w:rsidRPr="00E14ED6">
        <w:rPr>
          <w:rFonts w:hint="cs"/>
          <w:rtl/>
        </w:rPr>
        <w:t>ففريق يرى أنّ الطفل يفتقد الاستعداد الكافي لتلقّي التعاليم الدينية ما لم يصل سن البلوغ، ولذا فليس ثمة جدوى في إخضاعه لبرنامج تربوي في هذا المضمار.</w:t>
      </w:r>
    </w:p>
    <w:p w:rsidR="00853A10" w:rsidRPr="00E14ED6" w:rsidRDefault="00853A10" w:rsidP="00853A10">
      <w:pPr>
        <w:pStyle w:val="ac"/>
        <w:rPr>
          <w:rtl/>
        </w:rPr>
      </w:pPr>
      <w:r w:rsidRPr="00E14ED6">
        <w:rPr>
          <w:rFonts w:hint="cs"/>
          <w:rtl/>
        </w:rPr>
        <w:t>وفريق آخر يرى عكس ذلك، ويؤكّد على وجود الاستعداد لدى الأطفال لتلقّي التعاليم الدينية، شرط أن تصبّ في قوالب بسيطة قابلة للفهم والإدراك، ولذا فمن الضروري تنشئة الأطفال وتعويدهم على الأفكار والآداب الدينية.</w:t>
      </w:r>
    </w:p>
    <w:p w:rsidR="00853A10" w:rsidRPr="00E14ED6" w:rsidRDefault="00853A10" w:rsidP="00853A10">
      <w:pPr>
        <w:pStyle w:val="ac"/>
        <w:rPr>
          <w:rtl/>
        </w:rPr>
      </w:pPr>
      <w:r w:rsidRPr="00E14ED6">
        <w:rPr>
          <w:rFonts w:hint="cs"/>
          <w:rtl/>
        </w:rPr>
        <w:t>ومن وجهة النظر الإسلامية، تجدر الإشارة إلى أن مهام الوالدين في تربية البنات أصعب منها إزاء تربية البنين، ذلك أن الانحراف عن قانون الفطرة السليمة والمنهج الصحيح سوف يتهدّد الأسرة وبقاء النسل السليم بالخطر.</w:t>
      </w:r>
    </w:p>
    <w:p w:rsidR="00853A10" w:rsidRPr="00E14ED6" w:rsidRDefault="00853A10" w:rsidP="00853A10">
      <w:pPr>
        <w:pStyle w:val="ac"/>
        <w:rPr>
          <w:rtl/>
        </w:rPr>
      </w:pPr>
      <w:r w:rsidRPr="00E14ED6">
        <w:rPr>
          <w:rFonts w:hint="cs"/>
          <w:rtl/>
        </w:rPr>
        <w:lastRenderedPageBreak/>
        <w:t>من هنا، يجب أن يكون تعليم البنات وتربيتهنّ بالغ الدقة، لكي يمكن ضمان عدم انحرافهنّ عن الفطرة، خاصّة بعد مرحلة البلوغ وتفتّح الميول الجنسية؛ بالنظر لطباعهنّ اللطيفة، وسهولة استغلال هذه الميول، وبالتالي جرّهن إلى السقوط</w:t>
      </w:r>
      <w:r>
        <w:rPr>
          <w:rFonts w:hint="cs"/>
          <w:rtl/>
        </w:rPr>
        <w:t xml:space="preserve"> </w:t>
      </w:r>
      <w:r w:rsidRPr="00E14ED6">
        <w:rPr>
          <w:rFonts w:hint="cs"/>
          <w:rtl/>
        </w:rPr>
        <w:t>والانحراف عن الطريق الصحيح.</w:t>
      </w:r>
    </w:p>
    <w:p w:rsidR="00853A10" w:rsidRPr="00E14ED6" w:rsidRDefault="00853A10" w:rsidP="00853A10">
      <w:pPr>
        <w:pStyle w:val="ac"/>
        <w:rPr>
          <w:rtl/>
        </w:rPr>
      </w:pPr>
      <w:r w:rsidRPr="00E14ED6">
        <w:rPr>
          <w:rFonts w:hint="cs"/>
          <w:rtl/>
        </w:rPr>
        <w:t>وفي هذا الموضوع، يجب أن يلتفت إلى مجموعة من النقاط الأساسية من</w:t>
      </w:r>
      <w:r>
        <w:rPr>
          <w:rFonts w:hint="cs"/>
          <w:rtl/>
        </w:rPr>
        <w:t xml:space="preserve"> </w:t>
      </w:r>
      <w:r w:rsidRPr="00E14ED6">
        <w:rPr>
          <w:rFonts w:hint="cs"/>
          <w:rtl/>
        </w:rPr>
        <w:t>قبيل: كيفية الإفادة من المثل الدينية في تعزيز القدرات الذاتية والاجتماعية للبنات، ودور الدين في الحياة الفردية والاجتماعية لهنّ، وهل هناك منهج تربوي خاص بالبنات أم لا؟</w:t>
      </w:r>
    </w:p>
    <w:p w:rsidR="00853A10" w:rsidRDefault="00853A10" w:rsidP="00853A10">
      <w:pPr>
        <w:pStyle w:val="ac"/>
      </w:pPr>
      <w:r w:rsidRPr="00E14ED6">
        <w:rPr>
          <w:rFonts w:hint="cs"/>
          <w:rtl/>
        </w:rPr>
        <w:t>كل هذا أثير في الحوار مع الأستاذ خسرو باقري الحائز على شهادة الدكتوراه في العلوم التربوية، وعضو الهيئة العلمية في كلية العلوم التربوية بجامعة طهران.</w:t>
      </w:r>
    </w:p>
    <w:p w:rsidR="006630AC" w:rsidRPr="00B96741" w:rsidRDefault="006630AC" w:rsidP="00B96741">
      <w:pPr>
        <w:pStyle w:val="afffffc"/>
        <w:rPr>
          <w:rtl/>
        </w:rPr>
      </w:pPr>
    </w:p>
    <w:p w:rsidR="00E33C4C" w:rsidRDefault="00E33C4C" w:rsidP="00E33C4C">
      <w:pPr>
        <w:pStyle w:val="1"/>
        <w:rPr>
          <w:rtl/>
        </w:rPr>
      </w:pPr>
      <w:bookmarkStart w:id="660" w:name="_Toc275128292"/>
      <w:r>
        <w:rPr>
          <w:rFonts w:hint="cs"/>
          <w:rtl/>
        </w:rPr>
        <w:t>تعريف التربية الدينية</w:t>
      </w:r>
      <w:bookmarkEnd w:id="660"/>
    </w:p>
    <w:p w:rsidR="00853A10" w:rsidRPr="00853A10" w:rsidRDefault="00E33C4C" w:rsidP="00853A10">
      <w:pPr>
        <w:pStyle w:val="ac"/>
        <w:rPr>
          <w:b/>
          <w:bCs/>
          <w:rtl/>
        </w:rPr>
      </w:pPr>
      <w:r w:rsidRPr="00E33C4C">
        <w:rPr>
          <w:rFonts w:hint="cs"/>
        </w:rPr>
        <w:sym w:font="AGA Arabesque" w:char="F05F"/>
      </w:r>
      <w:r w:rsidRPr="00E33C4C">
        <w:rPr>
          <w:rFonts w:hint="cs"/>
          <w:rtl/>
        </w:rPr>
        <w:t xml:space="preserve"> </w:t>
      </w:r>
      <w:r w:rsidR="00853A10" w:rsidRPr="00853A10">
        <w:rPr>
          <w:rFonts w:hint="cs"/>
          <w:b/>
          <w:bCs/>
          <w:rtl/>
        </w:rPr>
        <w:t xml:space="preserve">كيف تعرّف التربية الدينية، وهل ثمة اختلاف بينها وبين المجالات التربوية الأخرى؟ </w:t>
      </w:r>
    </w:p>
    <w:p w:rsidR="00853A10" w:rsidRPr="00E14ED6" w:rsidRDefault="00E33C4C" w:rsidP="00853A10">
      <w:pPr>
        <w:pStyle w:val="ac"/>
        <w:rPr>
          <w:rtl/>
        </w:rPr>
      </w:pPr>
      <w:r w:rsidRPr="00E33C4C">
        <w:rPr>
          <w:rFonts w:hint="cs"/>
        </w:rPr>
        <w:sym w:font="AGA Arabesque" w:char="F05E"/>
      </w:r>
      <w:r w:rsidRPr="00E33C4C">
        <w:rPr>
          <w:rFonts w:hint="cs"/>
          <w:rtl/>
        </w:rPr>
        <w:t xml:space="preserve"> </w:t>
      </w:r>
      <w:r w:rsidR="00853A10" w:rsidRPr="00E75F8E">
        <w:rPr>
          <w:rFonts w:hint="cs"/>
          <w:rtl/>
        </w:rPr>
        <w:t>إذا نظرنا إلى التربية الدينية في عرض سائر المجالات التربوية الأخرى من قبيل: التربية الاجتماعية، التربية البدنية، التربية العاطفية و... فستكتسب التربية الدينية معنىً معيناً، أمّا إذا أخذنا التربية الدينية على نحو أشمل، بحيث تضمّ قسماً من الأبعاد التربوية أو سائر أبعادها فإنّها ستتّخذ مفهوماً آخر.</w:t>
      </w:r>
    </w:p>
    <w:p w:rsidR="00853A10" w:rsidRPr="00E14ED6" w:rsidRDefault="00853A10" w:rsidP="00853A10">
      <w:pPr>
        <w:pStyle w:val="ac"/>
        <w:rPr>
          <w:rtl/>
        </w:rPr>
      </w:pPr>
      <w:r w:rsidRPr="00E14ED6">
        <w:rPr>
          <w:rFonts w:hint="cs"/>
          <w:rtl/>
        </w:rPr>
        <w:t xml:space="preserve">فالتربية الدينية في معناها الأول ستكون إلى جانب التربية العاطفية التي نعلّمها أبناءنا وبناتنا، وكذا تنظيم علاقاتهم الاجتماعية، فنعلّمهم الآداب والمناسك التي لها أثر ديني واضح، ونسعى بجدّ في هذا السبيل لتحقيق ما نطلق عليه: التربية الدينية، وفي العالم يستخدم الاصطلاح: </w:t>
      </w:r>
      <w:r w:rsidRPr="00885E99">
        <w:rPr>
          <w:rFonts w:hint="eastAsia"/>
          <w:rtl/>
        </w:rPr>
        <w:t>«</w:t>
      </w:r>
      <w:r w:rsidRPr="00E14ED6">
        <w:t>edacation Religious</w:t>
      </w:r>
      <w:r>
        <w:rPr>
          <w:rFonts w:hint="eastAsia"/>
          <w:rtl/>
        </w:rPr>
        <w:t>»</w:t>
      </w:r>
      <w:r w:rsidRPr="00E14ED6">
        <w:rPr>
          <w:rFonts w:hint="cs"/>
          <w:rtl/>
        </w:rPr>
        <w:t xml:space="preserve"> بهذا المعنى؛ يعني أنّ هناك حدوداً خاصّة وواضحة بهذا المجال تختلف عن سائر المجالات الأخرى. وهذا ما يبدو جلياً في الدول العلمانية، إذ يكون للتربية الدينية مجال محدود جداً، وربما لا تشغل التربية الدينية في مدارسها قسماً متكاملاً ذا أهمية.</w:t>
      </w:r>
    </w:p>
    <w:p w:rsidR="00853A10" w:rsidRPr="00E14ED6" w:rsidRDefault="00853A10" w:rsidP="00853A10">
      <w:pPr>
        <w:pStyle w:val="ac"/>
        <w:rPr>
          <w:rtl/>
        </w:rPr>
      </w:pPr>
      <w:r w:rsidRPr="00E14ED6">
        <w:rPr>
          <w:rFonts w:hint="cs"/>
          <w:rtl/>
        </w:rPr>
        <w:lastRenderedPageBreak/>
        <w:t>أمّا وفق اصطلاحنا فإن التربية الدينية تطلق على جملة من الاُمور التي تبدو دينية بوضوح وتختلف عن سائر النشاطات الأخرى فنعدّها في دائرة التربية الدينية.</w:t>
      </w:r>
    </w:p>
    <w:p w:rsidR="00853A10" w:rsidRPr="00E14ED6" w:rsidRDefault="00853A10" w:rsidP="00853A10">
      <w:pPr>
        <w:pStyle w:val="ac"/>
        <w:rPr>
          <w:rtl/>
        </w:rPr>
      </w:pPr>
      <w:r w:rsidRPr="00E14ED6">
        <w:rPr>
          <w:rFonts w:hint="cs"/>
          <w:rtl/>
        </w:rPr>
        <w:t>وإلى جانب هذا، يوجد مفهوم آخر تكون التربية الدينية فيه إطاراً واسعاً ومعياراً عريضاً يشمل كل الأنشطة التي تنسجم مع الأهداف الغائيّة للخلق، فتنضوي حينئذٍ تحته النشاطات الاجتماعية والعاطفية والبدنية كافّة، وهنا سيكون لهذا المفهوم الواسع دور في غاية الأهمية، غير أنّ المربّي والمتربّي كلّ منهما يبقى حرّاً في انتخاب المناهج والتفاصيل في جزئيات الأمور المختلفة وفي المجالات المتنوعة؛ ذلك أنها غالباً ما تبقى مستقلّةً عن التعاليم الدينية، وما أكثر النظريات التي ظهرت في هذا المضمار. ومع ذلك يمكن القول: إنّ قسماً من التفاصيل في كلّ من هذه المجالات لم يتعرّض له الدين، ولذا يتوجب تنمية هذه التفاصيل والجزئيات من خلال التجارب والدراسات.</w:t>
      </w:r>
    </w:p>
    <w:p w:rsidR="00853A10" w:rsidRPr="00E14ED6" w:rsidRDefault="00853A10" w:rsidP="00853A10">
      <w:pPr>
        <w:pStyle w:val="ac"/>
        <w:rPr>
          <w:rtl/>
        </w:rPr>
      </w:pPr>
      <w:r w:rsidRPr="00E14ED6">
        <w:rPr>
          <w:rFonts w:hint="cs"/>
          <w:rtl/>
        </w:rPr>
        <w:t>من هنا، تغدو التربية الدينية في مفهومها الأول في عرض المجالات التربوية الأخرى، وفي مفهومها الثاني في طولها، فتقوم بدور ترشيدي في الأصول والمناهج والغايات، حيث يشمل الدين مختلف التفاصيل الحياتية في أبعادها المتنوّعة النفسية، والعاطفية، والجسمانية.</w:t>
      </w:r>
    </w:p>
    <w:p w:rsidR="00853A10" w:rsidRPr="00E14ED6" w:rsidRDefault="00853A10" w:rsidP="00853A10">
      <w:pPr>
        <w:pStyle w:val="ac"/>
        <w:rPr>
          <w:rtl/>
        </w:rPr>
      </w:pPr>
      <w:r w:rsidRPr="00E14ED6">
        <w:rPr>
          <w:rFonts w:hint="cs"/>
          <w:rtl/>
        </w:rPr>
        <w:t>ولا شك أنّ الدين معنيّ قبل غيره بهذه التفاصيل بأجمعها، غير أنّنا مضطرون لأن نتوقف عند مقولة: أنّ للدين برنامجه المفصّل لكلّ حاجات اليوم والغد بجزئياتهما المختلفة، حيث إن في هذا ما يدعو إلى مزيد من البحث، وربما لا يكون من الضروري أن تكون عند الدين تمام هذه التفاصيل، ذلك أنّ الدين يقدّم ـ فقط ـ المعايير والضوابط والأصول العامّة، وينتظر هنا أن نعرض عليها الغايات والأصول والتفاصيل الأخرى، الأمر الذي يستلزم منا ـ وبشكل حتمي ـ المزيد من الدراسات واكتساب المزيد من المعارف والمعلومات.</w:t>
      </w:r>
    </w:p>
    <w:p w:rsidR="00853A10" w:rsidRPr="00E14ED6" w:rsidRDefault="00853A10" w:rsidP="00853A10">
      <w:pPr>
        <w:pStyle w:val="ac"/>
        <w:rPr>
          <w:rtl/>
        </w:rPr>
      </w:pPr>
      <w:r w:rsidRPr="00E14ED6">
        <w:rPr>
          <w:rFonts w:hint="cs"/>
          <w:rtl/>
        </w:rPr>
        <w:t>وإذا ما أراد الأفراد الرجوع إلى الدين في القضايا التربوية فإنّ هذا سيكون على نحوين:</w:t>
      </w:r>
    </w:p>
    <w:p w:rsidR="00853A10" w:rsidRPr="00E14ED6" w:rsidRDefault="00853A10" w:rsidP="00853A10">
      <w:pPr>
        <w:pStyle w:val="ac"/>
        <w:rPr>
          <w:rtl/>
        </w:rPr>
      </w:pPr>
      <w:r w:rsidRPr="003065FF">
        <w:rPr>
          <w:rFonts w:hint="cs"/>
          <w:b/>
          <w:bCs/>
          <w:rtl/>
        </w:rPr>
        <w:t>الأول</w:t>
      </w:r>
      <w:r w:rsidRPr="00B102A4">
        <w:rPr>
          <w:rFonts w:cs="Traditional Arabic" w:hint="cs"/>
          <w:b/>
          <w:szCs w:val="32"/>
          <w:rtl/>
        </w:rPr>
        <w:t>:</w:t>
      </w:r>
      <w:r w:rsidRPr="00E75F8E">
        <w:rPr>
          <w:rFonts w:hint="cs"/>
          <w:rtl/>
        </w:rPr>
        <w:t xml:space="preserve"> أن نعتبر المسألة برمّتها مسألة تعبديّة؛ بمعنى أنّ على المرء</w:t>
      </w:r>
      <w:r>
        <w:rPr>
          <w:rFonts w:hint="cs"/>
          <w:rtl/>
        </w:rPr>
        <w:t xml:space="preserve"> </w:t>
      </w:r>
      <w:r w:rsidRPr="00E75F8E">
        <w:rPr>
          <w:rFonts w:hint="cs"/>
          <w:rtl/>
        </w:rPr>
        <w:t xml:space="preserve">الإعراض عن </w:t>
      </w:r>
      <w:r w:rsidRPr="00E75F8E">
        <w:rPr>
          <w:rFonts w:hint="cs"/>
          <w:rtl/>
        </w:rPr>
        <w:lastRenderedPageBreak/>
        <w:t>بحث الأدلّة والعلل والحكمة في كل أمر يقوم به، وهذا غير وارد تربوياً، ولا يمتلك في الوقت عينه منطلقاً شرعياً يستند إليه، ويعدّ هذا الأمر تلقيناً؛ لأنه لا سؤال، والمطلوب قبول النتائج فقط، أمّا كيف يمكن صياغة فرد بهذه المواصفات؟ فهذا في ذاته أمر يحتاج إلى بحث آخر.</w:t>
      </w:r>
    </w:p>
    <w:p w:rsidR="00853A10" w:rsidRPr="00E14ED6" w:rsidRDefault="00853A10" w:rsidP="00350F90">
      <w:pPr>
        <w:pStyle w:val="ac"/>
        <w:rPr>
          <w:rtl/>
        </w:rPr>
      </w:pPr>
      <w:r w:rsidRPr="003065FF">
        <w:rPr>
          <w:rFonts w:hint="cs"/>
          <w:b/>
          <w:bCs/>
          <w:rtl/>
        </w:rPr>
        <w:t>الثاني</w:t>
      </w:r>
      <w:r w:rsidRPr="00B102A4">
        <w:rPr>
          <w:rFonts w:cs="Traditional Arabic" w:hint="cs"/>
          <w:b/>
          <w:szCs w:val="32"/>
          <w:rtl/>
        </w:rPr>
        <w:t>:</w:t>
      </w:r>
      <w:r w:rsidRPr="00E75F8E">
        <w:rPr>
          <w:rFonts w:hint="cs"/>
          <w:rtl/>
        </w:rPr>
        <w:t xml:space="preserve"> وهو ما يمكن الدفاع عنه من الناحية الشرعية ـ إننا نعرف طبعاً أنّ الشريعة لم تبيّن التفاصيل كلّها، لكن هذا لا يعني أنّها لم تبيّن الأمور العامّة والقواعد الكليّة، فعلى سبيل المثال، فروع الدين من قبيل الصلاة، والصوم، والجهاد، والحج، والزكاة وغيرها، كلّها تمتلك رصيداً مفهومياً واضحاً؛ إذ وردت في نهج البلاغة للإمام أمير المؤمنين</w:t>
      </w:r>
      <w:r w:rsidR="00350F90">
        <w:rPr>
          <w:rFonts w:hint="cs"/>
          <w:rtl/>
        </w:rPr>
        <w:t>×</w:t>
      </w:r>
      <w:r w:rsidRPr="00E75F8E">
        <w:rPr>
          <w:rFonts w:hint="cs"/>
          <w:rtl/>
        </w:rPr>
        <w:t xml:space="preserve"> فلسفة هذه الأمور جميعاً، ولكن من المؤسف أننا نتعامل مع التعبد أحياناً كما لو أنّه يعني انعدام الفهم، وبعبارة أخرى انعدام السؤال أبداً، فيما السؤال ممكن، وكذا وجود الجواب أيضاً.</w:t>
      </w:r>
    </w:p>
    <w:p w:rsidR="00853A10" w:rsidRDefault="00853A10" w:rsidP="00853A10">
      <w:pPr>
        <w:pStyle w:val="ac"/>
      </w:pPr>
      <w:r w:rsidRPr="00E14ED6">
        <w:rPr>
          <w:rFonts w:hint="cs"/>
          <w:rtl/>
        </w:rPr>
        <w:t>وعلى هذا لو عرّفنا الدين باعتباره نظاماً تربوياً ينطوي على أهداف ومعايير وأصول، يتوجب علينا حينئذٍ بحث هذه المقولة بغية تنمية ما يطرحه الدين نفسه، وأن يكون ذلك منسجماً مع فهم المخاطب ولغته، لتقديم أطروحة عقلانية للفرد للتوصل إلى انتفاء التضاد بين العبودية والعقلانية، بل ولمس مدى الانسجام بينهما.</w:t>
      </w:r>
    </w:p>
    <w:p w:rsidR="00B96741" w:rsidRDefault="00B96741" w:rsidP="00B96741">
      <w:pPr>
        <w:pStyle w:val="afffffc"/>
        <w:rPr>
          <w:rtl/>
        </w:rPr>
      </w:pPr>
    </w:p>
    <w:p w:rsidR="00E33C4C" w:rsidRPr="00E14ED6" w:rsidRDefault="00E33C4C" w:rsidP="00E33C4C">
      <w:pPr>
        <w:pStyle w:val="1"/>
        <w:rPr>
          <w:rtl/>
        </w:rPr>
      </w:pPr>
      <w:bookmarkStart w:id="661" w:name="_Toc275128293"/>
      <w:r>
        <w:rPr>
          <w:rFonts w:hint="cs"/>
          <w:rtl/>
        </w:rPr>
        <w:t>بين البلوغ الجنسي والميول الدينية</w:t>
      </w:r>
      <w:bookmarkEnd w:id="661"/>
    </w:p>
    <w:p w:rsidR="00853A10" w:rsidRPr="00853A10" w:rsidRDefault="00E33C4C" w:rsidP="00853A10">
      <w:pPr>
        <w:pStyle w:val="ac"/>
        <w:rPr>
          <w:b/>
          <w:bCs/>
          <w:rtl/>
        </w:rPr>
      </w:pPr>
      <w:r w:rsidRPr="00E33C4C">
        <w:rPr>
          <w:rFonts w:hint="cs"/>
        </w:rPr>
        <w:sym w:font="AGA Arabesque" w:char="F05F"/>
      </w:r>
      <w:r w:rsidRPr="00E33C4C">
        <w:rPr>
          <w:rFonts w:hint="cs"/>
          <w:rtl/>
        </w:rPr>
        <w:t xml:space="preserve"> </w:t>
      </w:r>
      <w:r w:rsidR="00853A10" w:rsidRPr="00853A10">
        <w:rPr>
          <w:rFonts w:hint="cs"/>
          <w:b/>
          <w:bCs/>
          <w:rtl/>
        </w:rPr>
        <w:t>بالالتفات إلى ما يقولـه علماء النفس بأنّ مرحلة تفتح الحسّ الديني تواكب بروز الغرائز البشرية أثناء البلوغ وسنّ الشباب، هل ثمة ارتباط بين أزمة البلوغ وهذه القفزة والتحوّل في الحاجات والميول الدينية؟</w:t>
      </w:r>
    </w:p>
    <w:p w:rsidR="00853A10" w:rsidRPr="00E14ED6" w:rsidRDefault="00E33C4C" w:rsidP="00853A10">
      <w:pPr>
        <w:pStyle w:val="ac"/>
        <w:rPr>
          <w:rtl/>
        </w:rPr>
      </w:pPr>
      <w:r>
        <w:rPr>
          <w:rFonts w:hint="cs"/>
        </w:rPr>
        <w:sym w:font="AGA Arabesque" w:char="F05E"/>
      </w:r>
      <w:r>
        <w:rPr>
          <w:rFonts w:hint="cs"/>
          <w:rtl/>
        </w:rPr>
        <w:t xml:space="preserve"> </w:t>
      </w:r>
      <w:r w:rsidR="00853A10" w:rsidRPr="00E75F8E">
        <w:rPr>
          <w:rFonts w:hint="cs"/>
          <w:rtl/>
        </w:rPr>
        <w:t>هناك بحث كلّي لدى علماء النفس في حدوث قفزة فجائية في الحالة النفسية والذهنية للشباب؛ إذ تظهر حالة من الهياج النفسي والعاطفي في الجوانب المعرفية والمسؤوليات الاجتماعية يمكن ملاحظتها بشكل واضح. وهنا ينبغي أن نفهم فيما إذا كان الحس الديني ينتمي إلى مثل هذه الإحساسات أم لا؟</w:t>
      </w:r>
    </w:p>
    <w:p w:rsidR="00853A10" w:rsidRPr="00E14ED6" w:rsidRDefault="00853A10" w:rsidP="00B96741">
      <w:pPr>
        <w:pStyle w:val="ac"/>
        <w:spacing w:line="199" w:lineRule="auto"/>
        <w:rPr>
          <w:rtl/>
        </w:rPr>
      </w:pPr>
      <w:r w:rsidRPr="00E14ED6">
        <w:rPr>
          <w:rFonts w:hint="cs"/>
          <w:rtl/>
        </w:rPr>
        <w:lastRenderedPageBreak/>
        <w:t>طبعاً ذات القفزة هذه، والتي تعني حدوث تغير أساسي وفجائي، مسألة لم يقطع بها علماء النفس حتى الآن لكي يمكن أن نحدّد خطاً للبلوغ يحدث فيه هذا التغير الأساسي والفجائي الفسيولوجي ـ النفسي والذهني.</w:t>
      </w:r>
    </w:p>
    <w:p w:rsidR="00853A10" w:rsidRPr="00E14ED6" w:rsidRDefault="00853A10" w:rsidP="00B96741">
      <w:pPr>
        <w:pStyle w:val="ac"/>
        <w:spacing w:line="199" w:lineRule="auto"/>
        <w:rPr>
          <w:rtl/>
        </w:rPr>
      </w:pPr>
      <w:r w:rsidRPr="00E14ED6">
        <w:rPr>
          <w:rFonts w:hint="cs"/>
          <w:rtl/>
        </w:rPr>
        <w:t>ولأن الأبعاد النفسية للمسألة ترتبط بالثقافة فهذا يعني أنّ الخصوصيات الثقافية للمجتمع يمكنها أن تكمل ذلك. إذن فالخلفية التربوية والثقافية للفرد والمجتمع يمكن أن يكون لها دور مصيري في هذا المضمار. لنفترض وجود فتاة نشأت في أسرة متدينة، يعني أنّها عاشت منذ البداية في بيئة دينية، الأفكار والسلوكيات دينية، والأحاديث التي يتبادلها أعضاء الأسرة دينية أيضاً، حيث ينمو ذهنها ويتبلور بشكل تدريجي مواكباً لمنطق هذه المسائل الدينية.</w:t>
      </w:r>
    </w:p>
    <w:p w:rsidR="00853A10" w:rsidRPr="00E14ED6" w:rsidRDefault="00853A10" w:rsidP="00B96741">
      <w:pPr>
        <w:pStyle w:val="ac"/>
        <w:spacing w:line="199" w:lineRule="auto"/>
        <w:rPr>
          <w:rtl/>
        </w:rPr>
      </w:pPr>
      <w:r w:rsidRPr="00E14ED6">
        <w:rPr>
          <w:rFonts w:hint="cs"/>
          <w:rtl/>
        </w:rPr>
        <w:t>وفي النتيجة يمكن القول: إنّنا لا نشهد قفزة فجائية في الحس الديني ليصبح الفرد فجأة متديناً، وإنّما سنشهد استمراراً للتربية الدينية التي بدأت منذ مرحلة الطفولة، ومن ثم حدوث التغييرات بصورة تدريجية.</w:t>
      </w:r>
    </w:p>
    <w:p w:rsidR="00853A10" w:rsidRPr="00E14ED6" w:rsidRDefault="00853A10" w:rsidP="00B96741">
      <w:pPr>
        <w:pStyle w:val="ac"/>
        <w:spacing w:line="199" w:lineRule="auto"/>
        <w:rPr>
          <w:rtl/>
        </w:rPr>
      </w:pPr>
      <w:r w:rsidRPr="00E14ED6">
        <w:rPr>
          <w:rFonts w:hint="cs"/>
          <w:rtl/>
        </w:rPr>
        <w:t>وهذا ما لا يمنع ـ بطبيعة الحال ـ من القول بحدوث ترسيخ في المشاعر الدينية في سنّ البلوغ، أي أنّ الحس الديني سيشهد حالةً من العمق أكثر.</w:t>
      </w:r>
    </w:p>
    <w:p w:rsidR="00853A10" w:rsidRDefault="00853A10" w:rsidP="00B96741">
      <w:pPr>
        <w:pStyle w:val="ac"/>
        <w:spacing w:line="199" w:lineRule="auto"/>
      </w:pPr>
      <w:r w:rsidRPr="00E14ED6">
        <w:rPr>
          <w:rFonts w:hint="cs"/>
          <w:rtl/>
        </w:rPr>
        <w:t>أما في حالة نشوء فرد في بيئة غير دينية أو في أجواء معادية للدين، فمن الممكن في سنوات البلوغ وإثر احتكاكه بمعلم طيب (متدين) أو أستاذ أو حتى زميل في الدراسة بتلك الصفة أن تحدث تغيرات فجائية سريعة. وأساساً، ليست هذه مسألة ثابتة في التحول النفسي، بل إنّ الأرضية الثقافية والتربوية للفرد لها بُعد مصيري ومؤثر أيضاً.</w:t>
      </w:r>
    </w:p>
    <w:p w:rsidR="00B96741" w:rsidRPr="00B96741" w:rsidRDefault="00B96741" w:rsidP="00B96741">
      <w:pPr>
        <w:pStyle w:val="afffffc"/>
        <w:rPr>
          <w:sz w:val="16"/>
          <w:szCs w:val="14"/>
          <w:rtl/>
        </w:rPr>
      </w:pPr>
    </w:p>
    <w:p w:rsidR="00E33C4C" w:rsidRPr="00E14ED6" w:rsidRDefault="00E33C4C" w:rsidP="00E33C4C">
      <w:pPr>
        <w:pStyle w:val="1"/>
        <w:rPr>
          <w:rtl/>
        </w:rPr>
      </w:pPr>
      <w:bookmarkStart w:id="662" w:name="_Toc275128294"/>
      <w:r>
        <w:rPr>
          <w:rFonts w:hint="cs"/>
          <w:rtl/>
        </w:rPr>
        <w:t>بين الطفولة والمراهقة</w:t>
      </w:r>
      <w:bookmarkEnd w:id="662"/>
    </w:p>
    <w:p w:rsidR="00853A10" w:rsidRPr="00853A10" w:rsidRDefault="00E33C4C" w:rsidP="00853A10">
      <w:pPr>
        <w:pStyle w:val="ac"/>
        <w:rPr>
          <w:b/>
          <w:bCs/>
          <w:rtl/>
        </w:rPr>
      </w:pPr>
      <w:r w:rsidRPr="00E33C4C">
        <w:rPr>
          <w:rFonts w:hint="cs"/>
        </w:rPr>
        <w:sym w:font="AGA Arabesque" w:char="F05F"/>
      </w:r>
      <w:r w:rsidRPr="00E33C4C">
        <w:rPr>
          <w:rFonts w:hint="cs"/>
          <w:rtl/>
        </w:rPr>
        <w:t xml:space="preserve"> </w:t>
      </w:r>
      <w:r w:rsidR="00853A10" w:rsidRPr="00853A10">
        <w:rPr>
          <w:rFonts w:hint="cs"/>
          <w:b/>
          <w:bCs/>
          <w:rtl/>
        </w:rPr>
        <w:t>هل هناك سن محدّدة لإرساء المعارف الدينية والوصول إلى عقائد صحيحة؟ وهل ثمة اختلاف بين مرحلة الطفولة ومرحلة المراهقة؟</w:t>
      </w:r>
    </w:p>
    <w:p w:rsidR="00853A10" w:rsidRPr="00E14ED6" w:rsidRDefault="00E33C4C" w:rsidP="00853A10">
      <w:pPr>
        <w:pStyle w:val="ac"/>
        <w:rPr>
          <w:rtl/>
        </w:rPr>
      </w:pPr>
      <w:r>
        <w:rPr>
          <w:rFonts w:hint="cs"/>
        </w:rPr>
        <w:sym w:font="AGA Arabesque" w:char="F05E"/>
      </w:r>
      <w:r>
        <w:rPr>
          <w:rFonts w:hint="cs"/>
          <w:rtl/>
        </w:rPr>
        <w:t xml:space="preserve"> </w:t>
      </w:r>
      <w:r w:rsidR="00853A10" w:rsidRPr="00E75F8E">
        <w:rPr>
          <w:rFonts w:hint="cs"/>
          <w:rtl/>
        </w:rPr>
        <w:t>انطلاقاً من بدء نشاط الذهن في مرحلة الطفولة وقدرة الطفل على إقامة وإنشاء حالات من التفاهم مع من حوله تبدأ عملية التعلّم.</w:t>
      </w:r>
    </w:p>
    <w:p w:rsidR="00853A10" w:rsidRPr="00E14ED6" w:rsidRDefault="00853A10" w:rsidP="00853A10">
      <w:pPr>
        <w:pStyle w:val="ac"/>
        <w:rPr>
          <w:rtl/>
        </w:rPr>
      </w:pPr>
      <w:r w:rsidRPr="00E14ED6">
        <w:rPr>
          <w:rFonts w:hint="cs"/>
          <w:rtl/>
        </w:rPr>
        <w:t xml:space="preserve">إنني أعتقد أنّ المسائل الدينية تنضوي ضمن هذا المستوى، يعني لا ضرورة لأن </w:t>
      </w:r>
      <w:r w:rsidRPr="00E14ED6">
        <w:rPr>
          <w:rFonts w:hint="cs"/>
          <w:rtl/>
        </w:rPr>
        <w:lastRenderedPageBreak/>
        <w:t>نحدّد سنّاً معينة تبدأ فيها عملية التعليم، بل إنّ هذه العملية يمكن أن تكون مسايرةً لعجلة الحياة العادية، ومتناسبة مع مستوى فهم الفرد وإدراكه.</w:t>
      </w:r>
    </w:p>
    <w:p w:rsidR="00853A10" w:rsidRPr="00E14ED6" w:rsidRDefault="00853A10" w:rsidP="00853A10">
      <w:pPr>
        <w:pStyle w:val="ac"/>
        <w:rPr>
          <w:rtl/>
        </w:rPr>
      </w:pPr>
      <w:r w:rsidRPr="00E14ED6">
        <w:rPr>
          <w:rFonts w:hint="cs"/>
          <w:rtl/>
        </w:rPr>
        <w:t>فلو افترضنا أنّ التعليم في مرحلة الطفولة تلقينيّ ثم يحدث تحوّل كيفي في مرحلة المراهقة مما يؤدي إلى اتخاذه ـ أي التعليم ـ بُعداً تحقيقياً، فإننا في هذه الحالة لا نستطيع أن نضع حدوداً صارمة بين هاتين المرحلتين، أي أنّنا في مرحلة الطفولة نقوم بتلقين التعاليم الدينية دون تقديم دلائل كافية، ثم نبدأ فيما بعد في سنّ خاصّة مرحلة التحقيقات.</w:t>
      </w:r>
    </w:p>
    <w:p w:rsidR="00853A10" w:rsidRPr="00E14ED6" w:rsidRDefault="00853A10" w:rsidP="00853A10">
      <w:pPr>
        <w:pStyle w:val="ac"/>
        <w:rPr>
          <w:rtl/>
        </w:rPr>
      </w:pPr>
      <w:r w:rsidRPr="00E14ED6">
        <w:rPr>
          <w:rFonts w:hint="cs"/>
          <w:rtl/>
        </w:rPr>
        <w:t>وانطلاقاً من أنّ النمو البشري نموّ متصل وأنّ الدين والعقائد الدينية تنطوي على دلائل وبراهين وعلى منطق إقناعي فمن الممكن البدء بعملية التعليم مع طرح هذه الدلائل والبراهين وبمستويات متدرجة منذ المراحل المبكّرة في حياة الإنسان. ونظراً لمحدودية التفكير الطفولي يمكن القيام بخطوات متناسبة مع مستويات إدراك الطفل.</w:t>
      </w:r>
    </w:p>
    <w:p w:rsidR="00853A10" w:rsidRPr="00E14ED6" w:rsidRDefault="00853A10" w:rsidP="00853A10">
      <w:pPr>
        <w:pStyle w:val="ac"/>
        <w:rPr>
          <w:rtl/>
        </w:rPr>
      </w:pPr>
      <w:r w:rsidRPr="00E14ED6">
        <w:rPr>
          <w:rFonts w:hint="cs"/>
          <w:rtl/>
        </w:rPr>
        <w:t>لا يقوم الطفل من الناحية الثقافية عادةً بالمطالبة بدليل أو برهان في تعامله مع البيئة الثقافية من حوله، وهذا ما ينسحب على المسائل الدينية، فعلى سبيل المثال لم يحدث أن تلميذاً سأل معلّمه عن مصدر المعلومات التي يلقيها في الصف؟ أو عن طبيعة منهجه في التعليم؟ أو عن منطقية هذا المنهج؟</w:t>
      </w:r>
    </w:p>
    <w:p w:rsidR="00853A10" w:rsidRPr="00E14ED6" w:rsidRDefault="00853A10" w:rsidP="00853A10">
      <w:pPr>
        <w:pStyle w:val="ac"/>
        <w:rPr>
          <w:rtl/>
        </w:rPr>
      </w:pPr>
      <w:r w:rsidRPr="00E14ED6">
        <w:rPr>
          <w:rFonts w:hint="cs"/>
          <w:rtl/>
        </w:rPr>
        <w:t>وكأن هناك فرضية راسخة في وعي التلميذ تقوم على صوابية كلّ ما يقوله معلّمه، وأنّ عليه فقط أن يصغي ويتلقى المعرفة باقتناع تام وإيمان كامل، وهذه حالة لا يمكن إنكارها في حياة الأطفال والناشئين.</w:t>
      </w:r>
    </w:p>
    <w:p w:rsidR="00853A10" w:rsidRPr="00E14ED6" w:rsidRDefault="00853A10" w:rsidP="00853A10">
      <w:pPr>
        <w:pStyle w:val="ac"/>
        <w:rPr>
          <w:rtl/>
        </w:rPr>
      </w:pPr>
      <w:r w:rsidRPr="00E14ED6">
        <w:rPr>
          <w:rFonts w:hint="cs"/>
          <w:rtl/>
        </w:rPr>
        <w:t>وينظر الأطفال ـ في الحقيقة ـ إلى التربية بمعناها العام، حيث تكون التربية الدينية جزءاً من هذا المسار الكلّي.</w:t>
      </w:r>
    </w:p>
    <w:p w:rsidR="00853A10" w:rsidRPr="00E14ED6" w:rsidRDefault="00853A10" w:rsidP="00853A10">
      <w:pPr>
        <w:pStyle w:val="ac"/>
        <w:rPr>
          <w:rtl/>
        </w:rPr>
      </w:pPr>
      <w:r w:rsidRPr="00E14ED6">
        <w:rPr>
          <w:rFonts w:hint="cs"/>
          <w:rtl/>
        </w:rPr>
        <w:t xml:space="preserve">فهناك إيمان بقدرٍ ما باعتبار المعلم والمربّي الديني، وهناك فرضية قوية وراسخة بصوابيّته، وهذا لا يعني أن نطلب منهم عدم السؤال، أو نعرض عن تقديم الجواب على أسئلتهم، إنّما نقدّم أجوبةً تتناسب ومستوى إدراكهم، وهكذا يتطوّر المسار التعليمي، حتى إذا حلّت مرحلة المراهقة يجد اليافع أرضية مناسبة لتعميق إدراكاته، </w:t>
      </w:r>
      <w:r w:rsidRPr="00E14ED6">
        <w:rPr>
          <w:rFonts w:hint="cs"/>
          <w:rtl/>
        </w:rPr>
        <w:lastRenderedPageBreak/>
        <w:t>ومن ثم تظهر أسئلته في قالب نوعي جديد.</w:t>
      </w:r>
    </w:p>
    <w:p w:rsidR="00853A10" w:rsidRDefault="00853A10" w:rsidP="00B96741">
      <w:pPr>
        <w:pStyle w:val="ac"/>
        <w:spacing w:line="199" w:lineRule="auto"/>
      </w:pPr>
      <w:r w:rsidRPr="00E14ED6">
        <w:rPr>
          <w:rFonts w:hint="cs"/>
          <w:rtl/>
        </w:rPr>
        <w:t>ومن الطبيعي في هذه المرحلة أن تتجه الأسئلة إلى الأسس والمرتكزات التي يستند إليها الدين، وتدور الأسئلة ـ في الغالب ـ حول المحور العقائدي، وفي هذه الحالة يجب أن تكون الأجوبة متناسبةً تماماً ومستوى الأسئلة وعمقها.</w:t>
      </w:r>
    </w:p>
    <w:p w:rsidR="00B96741" w:rsidRPr="00B96741" w:rsidRDefault="00B96741" w:rsidP="00B96741">
      <w:pPr>
        <w:pStyle w:val="afffffc"/>
        <w:rPr>
          <w:sz w:val="16"/>
          <w:szCs w:val="14"/>
          <w:rtl/>
        </w:rPr>
      </w:pPr>
    </w:p>
    <w:p w:rsidR="00E33C4C" w:rsidRPr="00E14ED6" w:rsidRDefault="00E33C4C" w:rsidP="00E33C4C">
      <w:pPr>
        <w:pStyle w:val="1"/>
        <w:rPr>
          <w:rtl/>
        </w:rPr>
      </w:pPr>
      <w:bookmarkStart w:id="663" w:name="_Toc275128295"/>
      <w:r>
        <w:rPr>
          <w:rFonts w:hint="cs"/>
          <w:rtl/>
        </w:rPr>
        <w:t>المنهج التربوي للفتيات</w:t>
      </w:r>
      <w:bookmarkEnd w:id="663"/>
    </w:p>
    <w:p w:rsidR="00853A10" w:rsidRPr="00853A10" w:rsidRDefault="00E33C4C" w:rsidP="00853A10">
      <w:pPr>
        <w:pStyle w:val="ac"/>
        <w:rPr>
          <w:b/>
          <w:bCs/>
          <w:rtl/>
        </w:rPr>
      </w:pPr>
      <w:r w:rsidRPr="00E33C4C">
        <w:rPr>
          <w:rFonts w:hint="cs"/>
        </w:rPr>
        <w:sym w:font="AGA Arabesque" w:char="F05F"/>
      </w:r>
      <w:r w:rsidRPr="00E33C4C">
        <w:rPr>
          <w:rFonts w:hint="cs"/>
          <w:rtl/>
        </w:rPr>
        <w:t xml:space="preserve"> </w:t>
      </w:r>
      <w:r w:rsidR="00853A10" w:rsidRPr="00853A10">
        <w:rPr>
          <w:rFonts w:hint="cs"/>
          <w:b/>
          <w:bCs/>
          <w:rtl/>
        </w:rPr>
        <w:t>هل هناك منهج تربوي خاص بالفتيات؟</w:t>
      </w:r>
    </w:p>
    <w:p w:rsidR="00853A10" w:rsidRPr="00E14ED6" w:rsidRDefault="00E33C4C" w:rsidP="00853A10">
      <w:pPr>
        <w:pStyle w:val="ac"/>
        <w:rPr>
          <w:rtl/>
        </w:rPr>
      </w:pPr>
      <w:r>
        <w:rPr>
          <w:rFonts w:hint="cs"/>
        </w:rPr>
        <w:sym w:font="AGA Arabesque" w:char="F05E"/>
      </w:r>
      <w:r>
        <w:rPr>
          <w:rFonts w:hint="cs"/>
          <w:rtl/>
        </w:rPr>
        <w:t xml:space="preserve"> </w:t>
      </w:r>
      <w:r w:rsidR="00853A10" w:rsidRPr="00E75F8E">
        <w:rPr>
          <w:rFonts w:hint="cs"/>
          <w:rtl/>
        </w:rPr>
        <w:t>هناك إطار عام تشترك فيه المناهج التربوية، فانطلاقاً من اشتراك الصبيان والبنات في الإنسانية، من الطبيعي اشتراكهما في قواعد تربوية، دينية كانت أو غير دينية، مع التأكيد على وجود بعض النقاط التي يختص بها جنس دون آخر، وهذا ما يعود ـ بطبيعة الحال ـ إلى الفروق والمميزات الجنسية، وإلى العوامل التاريخية والاجتماعية.</w:t>
      </w:r>
    </w:p>
    <w:p w:rsidR="00853A10" w:rsidRPr="00E14ED6" w:rsidRDefault="00853A10" w:rsidP="00853A10">
      <w:pPr>
        <w:pStyle w:val="ac"/>
        <w:rPr>
          <w:rtl/>
        </w:rPr>
      </w:pPr>
      <w:r w:rsidRPr="00E14ED6">
        <w:rPr>
          <w:rFonts w:hint="cs"/>
          <w:rtl/>
        </w:rPr>
        <w:t>فمن الممكن ـ مثلاً ـ أن نجد فروقاً واختلافاً في المناهج التربوية للجنسين لأسباب تعود إلى البعد الجنسي من حيث الجانب النفسي والغائي والهياج الأنثوي، مما يوجب ـ مثلاً ـ اتّباع أسلوب تربوي مع الإناث يختلف عمّا هو متّبع إزاء الذكور. فعلى سبيل المثال تحتاج البنت إلى برنامج تربوي في الثقة بالنفس أكثر مما يحتاج إليه الصبي، لأن البنت تمتاز بمشاعر جيّاشة ومتدفقة، وهذا ما يكسبها حساسيةً أكثر، فتكون حاجتها للثقة بالنفس والثبات أكبر.</w:t>
      </w:r>
    </w:p>
    <w:p w:rsidR="00853A10" w:rsidRPr="00E14ED6" w:rsidRDefault="00853A10" w:rsidP="00853A10">
      <w:pPr>
        <w:pStyle w:val="ac"/>
        <w:rPr>
          <w:rtl/>
        </w:rPr>
      </w:pPr>
      <w:r w:rsidRPr="00E14ED6">
        <w:rPr>
          <w:rFonts w:hint="cs"/>
          <w:rtl/>
        </w:rPr>
        <w:t>وفي هذه الحالة، يمكن القول بأنّ ثمّة حاجة في تربية البنات إلى تنمية الثقة بالنفس تنميةً مضاعفةً، وهذا لا يعني بطبيعة الحال استغناء الأولاد عن الثقة بالذات، فهم أيضاً بحاجة إلى ذلك.</w:t>
      </w:r>
    </w:p>
    <w:p w:rsidR="00853A10" w:rsidRPr="00E14ED6" w:rsidRDefault="00853A10" w:rsidP="00853A10">
      <w:pPr>
        <w:pStyle w:val="ac"/>
        <w:rPr>
          <w:rtl/>
        </w:rPr>
      </w:pPr>
      <w:r w:rsidRPr="00E14ED6">
        <w:rPr>
          <w:rFonts w:hint="cs"/>
          <w:rtl/>
        </w:rPr>
        <w:t>وبالنظر إلى أنّ البنت تبلغ ـ بشكل عام ـ مرحلة البلوغ قبل الصبي، وسنّ البلوغ في البنات أقل مما هو لدى الأولاد، فمن اللازم إذن إعداد أرضية للثقة بالنفس مبكّراً بالنسبة للبنات؛ ذلك أنّ الجانب العاطفي لدى البنات المراهقات أقوى منه لدى الأولاد، وبالتالي تحتاج البنت إلى ثبات واستقرار في شخصيتها، يصونها ويحافظ على كيانها.</w:t>
      </w:r>
    </w:p>
    <w:p w:rsidR="00853A10" w:rsidRPr="00E14ED6" w:rsidRDefault="00853A10" w:rsidP="00853A10">
      <w:pPr>
        <w:pStyle w:val="ac"/>
        <w:rPr>
          <w:rtl/>
        </w:rPr>
      </w:pPr>
      <w:r w:rsidRPr="00E14ED6">
        <w:rPr>
          <w:rFonts w:hint="cs"/>
          <w:rtl/>
        </w:rPr>
        <w:lastRenderedPageBreak/>
        <w:t>فبعض الفتيات في سنّ المراهقة سرعان ما ينخدعن من قبل الجنس الآخر، ويعود هذا إلى التزلزل العاطفي في مرحلة الطفولة في شخصية البنت، ولذا يتوجّب توعية الفتاة بألاّ تثق بالآخر بهذه الطريقة السطحية الساذجة.</w:t>
      </w:r>
    </w:p>
    <w:p w:rsidR="00853A10" w:rsidRPr="00E14ED6" w:rsidRDefault="00853A10" w:rsidP="00853A10">
      <w:pPr>
        <w:pStyle w:val="ac"/>
        <w:rPr>
          <w:rtl/>
        </w:rPr>
      </w:pPr>
      <w:r w:rsidRPr="00E14ED6">
        <w:rPr>
          <w:rFonts w:hint="cs"/>
          <w:rtl/>
        </w:rPr>
        <w:t>هذه بعض الخصائص في المناهج التربوية للبنات، والتي تعود إلى الجانب الجنسي.</w:t>
      </w:r>
    </w:p>
    <w:p w:rsidR="00853A10" w:rsidRPr="00E14ED6" w:rsidRDefault="00853A10" w:rsidP="00853A10">
      <w:pPr>
        <w:pStyle w:val="ac"/>
        <w:rPr>
          <w:rtl/>
        </w:rPr>
      </w:pPr>
      <w:r w:rsidRPr="00E14ED6">
        <w:rPr>
          <w:rFonts w:hint="cs"/>
          <w:rtl/>
        </w:rPr>
        <w:t>أمّا من الناحية التاريخية، فهناك نقطة جديرة بالتأمل والبحث، وهي أنّ المرأة اليوم قد شعرت بهذا الحيف التاريخي الذي تعرّضت له النساء على مرّ العصور والأزمنة، وهذه المظلومية والحيف قد تنسحب علينا أيضاً إلى حدٍّ ما؛ إذ وقعت هذه الظاهرة بمستويات مختلفة، وهذا التغير ثقافي ـ تاريخي أكثر منه ديني أو إسلامي. وعدم التوازن التاريخي هذا يوجب علينا تدارك ما فات وتلافيه، مما هو خارج قدرة البنات والنساء، بتقوية الأرضيات الخاصّة وتعزيزها.</w:t>
      </w:r>
    </w:p>
    <w:p w:rsidR="00853A10" w:rsidRPr="00E14ED6" w:rsidRDefault="00853A10" w:rsidP="00853A10">
      <w:pPr>
        <w:pStyle w:val="ac"/>
        <w:rPr>
          <w:rtl/>
        </w:rPr>
      </w:pPr>
      <w:r w:rsidRPr="00E14ED6">
        <w:rPr>
          <w:rFonts w:hint="cs"/>
          <w:rtl/>
        </w:rPr>
        <w:t>إنّ الحضور النسوي في المجالات المختلفة سواء العلمية، أو الثقافية، أو الاجتماعية و.. في المجتمع مؤشر جيد، ولكنه ما يزال بحاجة إلى دراسات دقيقة في خصوص الحقوق الاجتماعية، والحقوق العائلية، أو قضايا المرأة المختلفة في المجال التربوي، وبخاصّة في الإطار الأسري.</w:t>
      </w:r>
    </w:p>
    <w:p w:rsidR="00853A10" w:rsidRPr="00E14ED6" w:rsidRDefault="00853A10" w:rsidP="00853A10">
      <w:pPr>
        <w:pStyle w:val="ac"/>
        <w:rPr>
          <w:rtl/>
        </w:rPr>
      </w:pPr>
      <w:r w:rsidRPr="00E14ED6">
        <w:rPr>
          <w:rFonts w:hint="cs"/>
          <w:rtl/>
        </w:rPr>
        <w:t>فهناك سلسلة من الثوابت الثقافية في الأسرة تلحق أضراراً بالبنات في المجال التربوي أو ترتّب على الأسرة مسؤوليات مضاعفة تؤدّي إلى إيجاد محدوديات في التحصيل الدراسي والمشاركة الاجتماعية، وبالتالي فقدان بعض الامتيازات. هذا كلّه يدعو إلى إعادة النظر لجبر ما فات تاريخيا ًوثقافياً.</w:t>
      </w:r>
    </w:p>
    <w:p w:rsidR="00853A10" w:rsidRDefault="00853A10" w:rsidP="00853A10">
      <w:pPr>
        <w:pStyle w:val="ac"/>
      </w:pPr>
      <w:r w:rsidRPr="00E14ED6">
        <w:rPr>
          <w:rFonts w:hint="cs"/>
          <w:rtl/>
        </w:rPr>
        <w:t>من هنا، يمكن القول بضرورة تدوين المناهج والأصول التربوية الخاصة بالبنات، وبذل الدقّة اللازمة في الدراسات التحقيقية في مضمار العلاقات الاجتماعية الأسرية، والشطب على العلاقات الظالمة بشكل منطقي لا يؤدي إلى وقوع الظلم على جنس الذكور.</w:t>
      </w:r>
    </w:p>
    <w:p w:rsidR="00B96741" w:rsidRPr="00B96741" w:rsidRDefault="00B96741" w:rsidP="00B96741">
      <w:pPr>
        <w:pStyle w:val="afffffc"/>
        <w:rPr>
          <w:sz w:val="14"/>
          <w:szCs w:val="12"/>
          <w:rtl/>
        </w:rPr>
      </w:pPr>
    </w:p>
    <w:p w:rsidR="00E33C4C" w:rsidRPr="00E14ED6" w:rsidRDefault="00E33C4C" w:rsidP="00E33C4C">
      <w:pPr>
        <w:pStyle w:val="1"/>
        <w:rPr>
          <w:rtl/>
        </w:rPr>
      </w:pPr>
      <w:bookmarkStart w:id="664" w:name="_Toc275128296"/>
      <w:r>
        <w:rPr>
          <w:rFonts w:hint="cs"/>
          <w:rtl/>
        </w:rPr>
        <w:t>دور الدين في حياة الفتاة</w:t>
      </w:r>
      <w:bookmarkEnd w:id="664"/>
    </w:p>
    <w:p w:rsidR="00853A10" w:rsidRPr="00853A10" w:rsidRDefault="00E33C4C" w:rsidP="00853A10">
      <w:pPr>
        <w:pStyle w:val="ac"/>
        <w:rPr>
          <w:b/>
          <w:bCs/>
          <w:rtl/>
        </w:rPr>
      </w:pPr>
      <w:r w:rsidRPr="00E33C4C">
        <w:rPr>
          <w:rFonts w:hint="cs"/>
        </w:rPr>
        <w:sym w:font="AGA Arabesque" w:char="F05F"/>
      </w:r>
      <w:r w:rsidRPr="00E33C4C">
        <w:rPr>
          <w:rFonts w:hint="cs"/>
          <w:rtl/>
        </w:rPr>
        <w:t xml:space="preserve"> </w:t>
      </w:r>
      <w:r w:rsidR="00853A10" w:rsidRPr="00853A10">
        <w:rPr>
          <w:rFonts w:hint="cs"/>
          <w:b/>
          <w:bCs/>
          <w:rtl/>
        </w:rPr>
        <w:t>ما هو دور الدين في الحياة الفردية والاجتماعية للفتيات؟</w:t>
      </w:r>
    </w:p>
    <w:p w:rsidR="00853A10" w:rsidRPr="00E14ED6" w:rsidRDefault="00E33C4C" w:rsidP="00B96741">
      <w:pPr>
        <w:pStyle w:val="ac"/>
        <w:spacing w:line="199" w:lineRule="auto"/>
        <w:rPr>
          <w:rtl/>
        </w:rPr>
      </w:pPr>
      <w:r>
        <w:rPr>
          <w:rFonts w:hint="cs"/>
        </w:rPr>
        <w:lastRenderedPageBreak/>
        <w:sym w:font="AGA Arabesque" w:char="F05E"/>
      </w:r>
      <w:r>
        <w:rPr>
          <w:rFonts w:hint="cs"/>
          <w:rtl/>
        </w:rPr>
        <w:t xml:space="preserve"> </w:t>
      </w:r>
      <w:r w:rsidR="00853A10" w:rsidRPr="00E75F8E">
        <w:rPr>
          <w:rFonts w:hint="cs"/>
          <w:rtl/>
        </w:rPr>
        <w:t>للدين آثاره العديدة في الحياة الفردية والاجتماعية للإنسان تتناسب مع كيفية طرحه وتلقّيه، والتربية الدينية لها بعد عام مرتبط بالجميع، لكن تأثيرها في الحياة الفردية للإنسان مرتبط بتبلور فهم مناسب عن العالم في التفكير، وهذا كما يعني ارتباط عالم الوجود بالمبدأ القادر والعالم والحكيم والمدبّر وله نهاية منطقية، فهو إذن عالَم منظّم، غائي وقابل للفهم.</w:t>
      </w:r>
    </w:p>
    <w:p w:rsidR="00853A10" w:rsidRPr="00E14ED6" w:rsidRDefault="00853A10" w:rsidP="00B96741">
      <w:pPr>
        <w:pStyle w:val="ac"/>
        <w:spacing w:line="199" w:lineRule="auto"/>
        <w:rPr>
          <w:rtl/>
        </w:rPr>
      </w:pPr>
      <w:r w:rsidRPr="00E14ED6">
        <w:rPr>
          <w:rFonts w:hint="cs"/>
          <w:rtl/>
        </w:rPr>
        <w:t>فمن الحاجات الفردية، قابلية العالم للفهم في الأطر الكلية التي تلعب دوراً هاماً في سعي الإنسان ونشاطه، لأنّ أيّ خلل في هذه الأطر الكلية قد يؤدي بالإنسان إلى الشعور بالعبثية والضياع، هذا أولاً.</w:t>
      </w:r>
    </w:p>
    <w:p w:rsidR="00853A10" w:rsidRPr="00E14ED6" w:rsidRDefault="00853A10" w:rsidP="00B96741">
      <w:pPr>
        <w:pStyle w:val="ac"/>
        <w:spacing w:line="199" w:lineRule="auto"/>
        <w:rPr>
          <w:rtl/>
        </w:rPr>
      </w:pPr>
      <w:r w:rsidRPr="00E14ED6">
        <w:rPr>
          <w:rFonts w:hint="cs"/>
          <w:rtl/>
        </w:rPr>
        <w:t>وثانياً: إنّ قسماً من العلاقات الدينية هي علاقات عرفانية وعبادية، تقوم بدور تلطيفي للهيجانات والعواطف الإنسانية؛ إذ تؤدي هذه العلاقة بين الفرد وربّه إلى تلطيفٍ في كيانه، وهو دور يشبه دور الشِّعر في تلطيف العاطفة، بل إنّ دور العرفان والعبادة أكبر بكثير إذا قيس بالشعر.</w:t>
      </w:r>
    </w:p>
    <w:p w:rsidR="00853A10" w:rsidRPr="00E14ED6" w:rsidRDefault="00853A10" w:rsidP="00B96741">
      <w:pPr>
        <w:pStyle w:val="ac"/>
        <w:spacing w:line="199" w:lineRule="auto"/>
        <w:rPr>
          <w:rtl/>
        </w:rPr>
      </w:pPr>
      <w:r w:rsidRPr="00E14ED6">
        <w:rPr>
          <w:rFonts w:hint="cs"/>
          <w:rtl/>
        </w:rPr>
        <w:t>ثالثاً: إن للدين دوراً فاعلاً في توسيع رقعة العلاقات الإنسانية بما يبني من علاقات اجتماعية متنوعة حيث تتسع الدائرة لتشمل الناس كافّة.</w:t>
      </w:r>
    </w:p>
    <w:p w:rsidR="00853A10" w:rsidRPr="00E14ED6" w:rsidRDefault="00853A10" w:rsidP="00B96741">
      <w:pPr>
        <w:pStyle w:val="ac"/>
        <w:spacing w:line="199" w:lineRule="auto"/>
        <w:rPr>
          <w:rtl/>
        </w:rPr>
      </w:pPr>
      <w:r w:rsidRPr="00E14ED6">
        <w:rPr>
          <w:rFonts w:hint="cs"/>
          <w:rtl/>
        </w:rPr>
        <w:t>بعبارة أخرى، كل ما ينضوي تحت عنوان عباد الله ومخلوقاته، أو على حدّ تعبير الإمام علي</w:t>
      </w:r>
      <w:r w:rsidR="00350F90">
        <w:rPr>
          <w:rFonts w:hint="cs"/>
          <w:rtl/>
        </w:rPr>
        <w:t>×</w:t>
      </w:r>
      <w:r w:rsidRPr="00E14ED6">
        <w:rPr>
          <w:rFonts w:hint="cs"/>
          <w:rtl/>
        </w:rPr>
        <w:t xml:space="preserve"> في عهده إلى مالك الأشتر: </w:t>
      </w:r>
      <w:r w:rsidRPr="00617008">
        <w:rPr>
          <w:rFonts w:hint="cs"/>
          <w:rtl/>
        </w:rPr>
        <w:t>«</w:t>
      </w:r>
      <w:r w:rsidRPr="00E14ED6">
        <w:rPr>
          <w:rFonts w:hint="cs"/>
          <w:rtl/>
        </w:rPr>
        <w:t>إنّ الناس إمّا أخ لك في الدين أو نظير لك في الخلق</w:t>
      </w:r>
      <w:r w:rsidRPr="00617008">
        <w:rPr>
          <w:rFonts w:hint="cs"/>
          <w:rtl/>
        </w:rPr>
        <w:t>»</w:t>
      </w:r>
      <w:r w:rsidRPr="00815C4C">
        <w:rPr>
          <w:rFonts w:cs="Taher"/>
          <w:vertAlign w:val="superscript"/>
          <w:rtl/>
        </w:rPr>
        <w:t>(</w:t>
      </w:r>
      <w:r w:rsidRPr="00815C4C">
        <w:rPr>
          <w:rFonts w:cs="Taher"/>
          <w:vertAlign w:val="superscript"/>
          <w:rtl/>
        </w:rPr>
        <w:footnoteReference w:id="1035"/>
      </w:r>
      <w:r w:rsidRPr="00815C4C">
        <w:rPr>
          <w:rFonts w:cs="Taher"/>
          <w:vertAlign w:val="superscript"/>
          <w:rtl/>
        </w:rPr>
        <w:t>)</w:t>
      </w:r>
      <w:r w:rsidRPr="00E14ED6">
        <w:rPr>
          <w:rFonts w:hint="cs"/>
          <w:rtl/>
        </w:rPr>
        <w:t xml:space="preserve">، أو كما ورد في الحديث المأثور: </w:t>
      </w:r>
      <w:r w:rsidRPr="00617008">
        <w:rPr>
          <w:rFonts w:hint="cs"/>
          <w:rtl/>
        </w:rPr>
        <w:t>«</w:t>
      </w:r>
      <w:r w:rsidRPr="00E14ED6">
        <w:rPr>
          <w:rFonts w:hint="cs"/>
          <w:rtl/>
        </w:rPr>
        <w:t>الخلق عيال الله</w:t>
      </w:r>
      <w:r w:rsidRPr="00617008">
        <w:rPr>
          <w:rFonts w:hint="cs"/>
          <w:rtl/>
        </w:rPr>
        <w:t>»</w:t>
      </w:r>
      <w:r w:rsidRPr="00815C4C">
        <w:rPr>
          <w:rFonts w:cs="Taher"/>
          <w:vertAlign w:val="superscript"/>
          <w:rtl/>
        </w:rPr>
        <w:t>(</w:t>
      </w:r>
      <w:r w:rsidRPr="00815C4C">
        <w:rPr>
          <w:rFonts w:cs="Taher"/>
          <w:vertAlign w:val="superscript"/>
          <w:rtl/>
        </w:rPr>
        <w:footnoteReference w:id="1036"/>
      </w:r>
      <w:r w:rsidRPr="00815C4C">
        <w:rPr>
          <w:rFonts w:cs="Taher"/>
          <w:vertAlign w:val="superscript"/>
          <w:rtl/>
        </w:rPr>
        <w:t>)</w:t>
      </w:r>
      <w:r w:rsidRPr="00E14ED6">
        <w:rPr>
          <w:rFonts w:hint="cs"/>
          <w:rtl/>
        </w:rPr>
        <w:t>.</w:t>
      </w:r>
    </w:p>
    <w:p w:rsidR="00853A10" w:rsidRPr="00E14ED6" w:rsidRDefault="00853A10" w:rsidP="00B96741">
      <w:pPr>
        <w:pStyle w:val="ac"/>
        <w:rPr>
          <w:rtl/>
        </w:rPr>
      </w:pPr>
      <w:r w:rsidRPr="00E14ED6">
        <w:rPr>
          <w:rFonts w:hint="cs"/>
          <w:rtl/>
        </w:rPr>
        <w:t xml:space="preserve">وعلى كلّ حال، فهذه رؤية واسعة تؤثر في التعامل الاجتماعي والعلاقات بين الناس، وهي رؤية يقدّمها الدين، ولكن المتدينين عندنا لم يهضموها بشكل صحيح فنتج عن ذلك ضيق في النظر بحيث يصبح كل من دان بديننا فهو منّا ومن لم يدن فمنبوذ ومطرود! وهذا الأمر لا يعدم التأثير في العلاقات الاجتماعية. </w:t>
      </w:r>
    </w:p>
    <w:p w:rsidR="00853A10" w:rsidRPr="00E14ED6" w:rsidRDefault="00853A10" w:rsidP="00853A10">
      <w:pPr>
        <w:pStyle w:val="ac"/>
        <w:rPr>
          <w:rtl/>
        </w:rPr>
      </w:pPr>
      <w:r w:rsidRPr="00E14ED6">
        <w:rPr>
          <w:rFonts w:hint="cs"/>
          <w:rtl/>
        </w:rPr>
        <w:t xml:space="preserve">هناك نقاط متألّقة في أدبيات الدين مثل الرفق، والمداراة، وحتى التغافل، ذلك كلّه </w:t>
      </w:r>
      <w:r w:rsidRPr="00E14ED6">
        <w:rPr>
          <w:rFonts w:hint="cs"/>
          <w:rtl/>
        </w:rPr>
        <w:lastRenderedPageBreak/>
        <w:t xml:space="preserve">له شأن في إعادة التوازن في العلاقات الاجتماعية، ولا نعني بالتغافل الغفلة، لأن التغافل يتضمّن حالة من الوعي والانتباه. </w:t>
      </w:r>
    </w:p>
    <w:p w:rsidR="00853A10" w:rsidRPr="00E14ED6" w:rsidRDefault="00853A10" w:rsidP="00B96741">
      <w:pPr>
        <w:pStyle w:val="ac"/>
        <w:spacing w:line="209" w:lineRule="auto"/>
        <w:rPr>
          <w:rtl/>
        </w:rPr>
      </w:pPr>
      <w:r w:rsidRPr="00E14ED6">
        <w:rPr>
          <w:rFonts w:hint="cs"/>
          <w:rtl/>
        </w:rPr>
        <w:t>وللدين في حياة الفتيات مجموعةٌ من الآثار الخاصّة في مضمار الحياة الذاتية لما يتميز به كيان الفتاة من خصوصيات ترتبط بالجانب العاطفي، بوصفه ظاهرةً قيمةً وهبةً إلهية.</w:t>
      </w:r>
    </w:p>
    <w:p w:rsidR="00853A10" w:rsidRPr="00E14ED6" w:rsidRDefault="00853A10" w:rsidP="00B96741">
      <w:pPr>
        <w:pStyle w:val="ac"/>
        <w:spacing w:line="209" w:lineRule="auto"/>
        <w:rPr>
          <w:rtl/>
        </w:rPr>
      </w:pPr>
      <w:r w:rsidRPr="00E14ED6">
        <w:rPr>
          <w:rFonts w:hint="cs"/>
          <w:rtl/>
        </w:rPr>
        <w:t>ونظراً للخصوصيات الفردية ـ من حيث التكوين والوجود ـ بالنسبة للفتيات والنساء وتأثيرها على العلاقات والروابط الاجتماعية، لذا تترتب على خصائص المرأة وميزاتها السيكولوجية وتأثير ذلك في الحياة الاجتماعية حقوق تتعدّى مسائل مثل النفقة، بحيث يكون نوع عملها في ضوء مقولة الإمام علي</w:t>
      </w:r>
      <w:r w:rsidR="00350F90">
        <w:rPr>
          <w:rFonts w:hint="cs"/>
          <w:rtl/>
        </w:rPr>
        <w:t>×</w:t>
      </w:r>
      <w:r w:rsidRPr="00E14ED6">
        <w:rPr>
          <w:rFonts w:hint="cs"/>
          <w:rtl/>
        </w:rPr>
        <w:t xml:space="preserve">: </w:t>
      </w:r>
      <w:r w:rsidRPr="00617008">
        <w:rPr>
          <w:rFonts w:hint="cs"/>
          <w:rtl/>
        </w:rPr>
        <w:t>«</w:t>
      </w:r>
      <w:r w:rsidRPr="00E14ED6">
        <w:rPr>
          <w:rFonts w:hint="cs"/>
          <w:rtl/>
        </w:rPr>
        <w:t>المرأة ريحانة وليست بقهرمانة</w:t>
      </w:r>
      <w:r w:rsidRPr="00617008">
        <w:rPr>
          <w:rFonts w:hint="cs"/>
          <w:rtl/>
        </w:rPr>
        <w:t>»</w:t>
      </w:r>
      <w:r w:rsidRPr="00815C4C">
        <w:rPr>
          <w:rFonts w:cs="Taher"/>
          <w:vertAlign w:val="superscript"/>
          <w:rtl/>
        </w:rPr>
        <w:t>(</w:t>
      </w:r>
      <w:r w:rsidRPr="00815C4C">
        <w:rPr>
          <w:rFonts w:cs="Taher"/>
          <w:vertAlign w:val="superscript"/>
          <w:rtl/>
        </w:rPr>
        <w:footnoteReference w:id="1037"/>
      </w:r>
      <w:r w:rsidRPr="00815C4C">
        <w:rPr>
          <w:rFonts w:cs="Taher"/>
          <w:vertAlign w:val="superscript"/>
          <w:rtl/>
        </w:rPr>
        <w:t>)</w:t>
      </w:r>
      <w:r w:rsidRPr="00E14ED6">
        <w:rPr>
          <w:rFonts w:hint="cs"/>
          <w:rtl/>
        </w:rPr>
        <w:t xml:space="preserve"> فلا تسند لهذا الجنس الناعم أعمال شاقّة وصعبة، وتتعين طبقاً لذلك حدود واضحة للأعمال الخاصّة بالمرأة تتلاءم وتكوينها النفسي والجسمي بعيداً عن شعار المساواة على الطريقة الغربية، والذي كلّف المرأة في الوقت الراهن خسائر كبيرة، جعلها تعيش ظروفاً سيئة للغاية، فنجد المرأة تعمل في سلك الشرطة، كما تعمل في البناء، وتقود الشاحنات وغير ذلك من الأعمال الشاقة التي تستنـزف المرأة عاطفياً وإنسانياً، الأمر الذي أدّى إلى نتائج سلبية مؤسفة.</w:t>
      </w:r>
    </w:p>
    <w:p w:rsidR="00853A10" w:rsidRPr="00E14ED6" w:rsidRDefault="00853A10" w:rsidP="00B96741">
      <w:pPr>
        <w:pStyle w:val="ac"/>
        <w:spacing w:line="209" w:lineRule="auto"/>
        <w:rPr>
          <w:rtl/>
        </w:rPr>
      </w:pPr>
      <w:r w:rsidRPr="00E14ED6">
        <w:rPr>
          <w:rFonts w:hint="cs"/>
          <w:rtl/>
        </w:rPr>
        <w:t>وبالالتفات إلى أنّ فتيات اليوم أمهات الغد، فإنّ جزءاً من المقدمات التربوية سوف يسهم في تنمية ونمو عاطفة الأمومة، وبالتالي يجب تأهيل الفتاة لتكون اُمّاً مثاليةً في تربية أبنائها تربيةً صحيحةً تبدأ منذ المراحل المبكرة.</w:t>
      </w:r>
    </w:p>
    <w:p w:rsidR="00853A10" w:rsidRPr="00E14ED6" w:rsidRDefault="00853A10" w:rsidP="00B96741">
      <w:pPr>
        <w:pStyle w:val="ac"/>
        <w:rPr>
          <w:rtl/>
        </w:rPr>
      </w:pPr>
      <w:r w:rsidRPr="00E14ED6">
        <w:rPr>
          <w:rFonts w:hint="cs"/>
          <w:rtl/>
        </w:rPr>
        <w:t>على سبيل المثال، حالة عدم الاكتراث واللاأبالية في حياة الفتاة العاطفية، حيث يمكن أن تكون أرضية مساعدة على إهمال أبنائها بعد أن تصبح أمّاً.</w:t>
      </w:r>
    </w:p>
    <w:p w:rsidR="00853A10" w:rsidRPr="00E14ED6" w:rsidRDefault="00853A10" w:rsidP="00B96741">
      <w:pPr>
        <w:pStyle w:val="ac"/>
        <w:spacing w:line="209" w:lineRule="auto"/>
        <w:rPr>
          <w:rtl/>
        </w:rPr>
      </w:pPr>
      <w:r w:rsidRPr="00E14ED6">
        <w:rPr>
          <w:rFonts w:hint="cs"/>
          <w:rtl/>
        </w:rPr>
        <w:t>وطبيعي أنّ عاطفة الاُمومة هبة إلهية متأصّلة في ذات المرأة وفطرتها السليمة، لكن التربية لها دور في تعزيز وتقوية هذه العاطفة أو إضعافها.</w:t>
      </w:r>
    </w:p>
    <w:p w:rsidR="00853A10" w:rsidRPr="00E14ED6" w:rsidRDefault="00853A10" w:rsidP="00853A10">
      <w:pPr>
        <w:pStyle w:val="ac"/>
        <w:rPr>
          <w:rtl/>
        </w:rPr>
      </w:pPr>
      <w:r w:rsidRPr="00E14ED6">
        <w:rPr>
          <w:rFonts w:hint="cs"/>
          <w:rtl/>
        </w:rPr>
        <w:lastRenderedPageBreak/>
        <w:t>من هنا، يمكن القول بأنه يتوجب ـ في تربية البنات ـ العمل على تعزيز حالة الاهتمام بالآخرين والشعور بالمسؤولية، وهكذا بالنسبة لمسؤولية البنين الاجتماعية حيث ينبغي أن تكون متناسبةً ومسؤوليات الأسرة، من قبيل تأمين الجانب المعاشي والاقتصادي و...</w:t>
      </w:r>
    </w:p>
    <w:p w:rsidR="00853A10" w:rsidRDefault="00853A10" w:rsidP="00853A10">
      <w:pPr>
        <w:pStyle w:val="ac"/>
      </w:pPr>
      <w:r w:rsidRPr="00E14ED6">
        <w:rPr>
          <w:rFonts w:hint="cs"/>
          <w:rtl/>
        </w:rPr>
        <w:t>غير أنّه ـ وعلى ضوء رؤية الإسلام لدور المرأة في الأسرة ـ أوكلت إليها مسؤوليات عديدة في التربية، فيلاحظ إذن بناء الخلفيات وتناسبها مع تلك الأدوار.</w:t>
      </w:r>
    </w:p>
    <w:p w:rsidR="00B96741" w:rsidRPr="00B96741" w:rsidRDefault="00B96741" w:rsidP="00B96741">
      <w:pPr>
        <w:pStyle w:val="afffffc"/>
        <w:rPr>
          <w:sz w:val="20"/>
          <w:szCs w:val="18"/>
          <w:rtl/>
        </w:rPr>
      </w:pPr>
    </w:p>
    <w:p w:rsidR="00E33C4C" w:rsidRPr="00E14ED6" w:rsidRDefault="00E33C4C" w:rsidP="00E33C4C">
      <w:pPr>
        <w:pStyle w:val="1"/>
        <w:rPr>
          <w:rtl/>
        </w:rPr>
      </w:pPr>
      <w:bookmarkStart w:id="665" w:name="_Toc275128297"/>
      <w:r>
        <w:rPr>
          <w:rFonts w:hint="cs"/>
          <w:rtl/>
        </w:rPr>
        <w:t>الفتاة والتديّن الخرافي</w:t>
      </w:r>
      <w:bookmarkEnd w:id="665"/>
    </w:p>
    <w:p w:rsidR="00853A10" w:rsidRPr="00B96741" w:rsidRDefault="00E33C4C" w:rsidP="00B96741">
      <w:pPr>
        <w:pStyle w:val="ac"/>
        <w:spacing w:line="199" w:lineRule="auto"/>
        <w:rPr>
          <w:b/>
          <w:bCs/>
          <w:sz w:val="30"/>
          <w:rtl/>
        </w:rPr>
      </w:pPr>
      <w:r w:rsidRPr="00E33C4C">
        <w:rPr>
          <w:rFonts w:hint="cs"/>
        </w:rPr>
        <w:sym w:font="AGA Arabesque" w:char="F05F"/>
      </w:r>
      <w:r w:rsidRPr="00E33C4C">
        <w:rPr>
          <w:rFonts w:hint="cs"/>
          <w:rtl/>
        </w:rPr>
        <w:t xml:space="preserve"> </w:t>
      </w:r>
      <w:r w:rsidR="00853A10" w:rsidRPr="00853A10">
        <w:rPr>
          <w:rFonts w:hint="cs"/>
          <w:b/>
          <w:bCs/>
          <w:rtl/>
        </w:rPr>
        <w:t xml:space="preserve">قد تُحدث الميول </w:t>
      </w:r>
      <w:r w:rsidR="00853A10" w:rsidRPr="00B96741">
        <w:rPr>
          <w:rFonts w:hint="cs"/>
          <w:b/>
          <w:bCs/>
          <w:sz w:val="30"/>
          <w:rtl/>
        </w:rPr>
        <w:t>الدينية لدى بعض الفتيات وبسبب من تأثير العواطف والأحاسيس قفزة عرفانية، ومن الممكن في غياب الترشيد لهذه الميول أن تتّجه الفتاة إلى بعض المظاهر الخرافية، فكيف يمكن الحؤول دون ذلك؟</w:t>
      </w:r>
    </w:p>
    <w:p w:rsidR="00853A10" w:rsidRPr="00B96741" w:rsidRDefault="00E33C4C" w:rsidP="00B96741">
      <w:pPr>
        <w:pStyle w:val="ac"/>
        <w:spacing w:line="199" w:lineRule="auto"/>
        <w:rPr>
          <w:sz w:val="30"/>
          <w:rtl/>
        </w:rPr>
      </w:pPr>
      <w:r w:rsidRPr="00B96741">
        <w:rPr>
          <w:rFonts w:hint="cs"/>
          <w:sz w:val="30"/>
        </w:rPr>
        <w:sym w:font="AGA Arabesque" w:char="F05E"/>
      </w:r>
      <w:r w:rsidRPr="00B96741">
        <w:rPr>
          <w:rFonts w:hint="cs"/>
          <w:sz w:val="30"/>
          <w:rtl/>
        </w:rPr>
        <w:t xml:space="preserve"> </w:t>
      </w:r>
      <w:r w:rsidR="00853A10" w:rsidRPr="00B96741">
        <w:rPr>
          <w:rFonts w:hint="cs"/>
          <w:sz w:val="30"/>
          <w:rtl/>
        </w:rPr>
        <w:t xml:space="preserve">تظهر ـ بسبب طبيعة البنت العاطفية ـ الميول نحو المسائل العرفانية والأدبية بصورة أقوى، ومن هنا ينبغي إعداد أرضية مناسبة للنمو الصحيح، كما يتوجب أيضاً العمل على إيجاد برنامج وقائي ودفاعي ضد أشكال الاستغراق والإفراط في هذا الجانب. </w:t>
      </w:r>
    </w:p>
    <w:p w:rsidR="00853A10" w:rsidRPr="00B96741" w:rsidRDefault="00853A10" w:rsidP="00B96741">
      <w:pPr>
        <w:pStyle w:val="ac"/>
        <w:spacing w:line="199" w:lineRule="auto"/>
        <w:rPr>
          <w:sz w:val="30"/>
          <w:rtl/>
        </w:rPr>
      </w:pPr>
      <w:r w:rsidRPr="00B96741">
        <w:rPr>
          <w:rFonts w:hint="cs"/>
          <w:sz w:val="30"/>
          <w:rtl/>
        </w:rPr>
        <w:t>وبما أنّ فرص الانحراف موجودة، فإنّ من المنطقي القيام بعمل وقائي، خصوصاً لتوافرها في دائرتي الأدب والعرفان، وسرعة امتزاجهما بالخرافات، حتى الخرافات الدينية منها، أي الخرافات المنتشرة في ثقافتنا الدينية، ومن المؤسف ألاّ نجد لدى البعض قاعدةً فكريةً وعقيديةً صحيحة، ولذا سرعان ما يكون عرضةً للتلوث بالخرافة.</w:t>
      </w:r>
    </w:p>
    <w:p w:rsidR="00853A10" w:rsidRPr="00E14ED6" w:rsidRDefault="00853A10" w:rsidP="00B96741">
      <w:pPr>
        <w:pStyle w:val="ac"/>
        <w:spacing w:line="199" w:lineRule="auto"/>
        <w:rPr>
          <w:rtl/>
        </w:rPr>
      </w:pPr>
      <w:r w:rsidRPr="00B96741">
        <w:rPr>
          <w:rFonts w:hint="cs"/>
          <w:sz w:val="30"/>
          <w:rtl/>
        </w:rPr>
        <w:t>إلا أنّه يمكننا ـ مع ذلك ـ إدخال عنصر العقلانية بوصفه صمام أمان من الجنوح نحو الخرافة، أي يتوجب القول بضرورة عقلنة البرامج التربوية للبنات؛ وذلك بسبب طبيعة هذا الجنس وميوله نحو العرفان وتأثره الشديد بالمسائل العاطفية، فإذا ترك الحبل على غاربه فسوف تتجذّر الحالة</w:t>
      </w:r>
      <w:r w:rsidRPr="00E14ED6">
        <w:rPr>
          <w:rFonts w:hint="cs"/>
          <w:rtl/>
        </w:rPr>
        <w:t xml:space="preserve"> اللاعقلانية.</w:t>
      </w:r>
    </w:p>
    <w:p w:rsidR="00853A10" w:rsidRPr="00E14ED6" w:rsidRDefault="00853A10" w:rsidP="00853A10">
      <w:pPr>
        <w:pStyle w:val="ac"/>
        <w:rPr>
          <w:rtl/>
        </w:rPr>
      </w:pPr>
      <w:r w:rsidRPr="00E14ED6">
        <w:rPr>
          <w:rFonts w:hint="cs"/>
          <w:rtl/>
        </w:rPr>
        <w:t xml:space="preserve">وعلى هذا الأساس، يبدو عنصر العقلانية في تربية البنات أكثر أهمية منه لدى البنين، </w:t>
      </w:r>
      <w:r w:rsidRPr="00E14ED6">
        <w:rPr>
          <w:rFonts w:hint="cs"/>
          <w:rtl/>
        </w:rPr>
        <w:lastRenderedPageBreak/>
        <w:t>وهذا يعني أنّ هناك اختلافاً في المستويين، وإن توفرت مشتركات كثيرة بين الجنسين.</w:t>
      </w:r>
    </w:p>
    <w:p w:rsidR="00853A10" w:rsidRPr="00E14ED6" w:rsidRDefault="00853A10" w:rsidP="00853A10">
      <w:pPr>
        <w:pStyle w:val="ac"/>
        <w:rPr>
          <w:rtl/>
        </w:rPr>
      </w:pPr>
      <w:r w:rsidRPr="00E14ED6">
        <w:rPr>
          <w:rFonts w:hint="cs"/>
          <w:rtl/>
        </w:rPr>
        <w:t>إذن يتوجّب علينا وضع العرفان والأحاسيس الأخرى ضمن ضوابط عقلانية، وهذا يعني الحذر الشديد من الخرافة، وسيكون دور الدين مهماً في تجذير الحقائق والعمل على ترسيخها، وما عدا ذلك فإنّه سيمنحنا القدرة على النظر بعين الشك حتّى بلوغ اليقين.</w:t>
      </w:r>
    </w:p>
    <w:p w:rsidR="00853A10" w:rsidRPr="00E14ED6" w:rsidRDefault="00853A10" w:rsidP="00853A10">
      <w:pPr>
        <w:pStyle w:val="ac"/>
        <w:rPr>
          <w:rtl/>
        </w:rPr>
      </w:pPr>
      <w:r w:rsidRPr="00E14ED6">
        <w:rPr>
          <w:rFonts w:hint="cs"/>
          <w:rtl/>
        </w:rPr>
        <w:t>ودين الإسلام بالذات ينطوي ـ إذا ما تعمّقنا في دراسته من خلال النصوص والروايات ـ على توجيهات تدحض الخرافة وتذمّ الجنوح إليها، غير أنّ ثقافتنا الدينية خصوصاً المنتشرة بين العوام من الناس ومع بالغ الأسف توفّر أرضية مناسبة لشيوع الخرافة، ولذا يتوجب عرض الثقافة على المعايير الدينية الأصيلة وتقويمها باستمرار حتى لا يبقى ثمة مجال لتفشي الظواهر السلبية في مجال التربية الدينية.</w:t>
      </w:r>
    </w:p>
    <w:p w:rsidR="00853A10" w:rsidRPr="00853A10" w:rsidRDefault="00E33C4C" w:rsidP="00853A10">
      <w:pPr>
        <w:pStyle w:val="ac"/>
        <w:rPr>
          <w:b/>
          <w:bCs/>
          <w:rtl/>
        </w:rPr>
      </w:pPr>
      <w:r w:rsidRPr="00E33C4C">
        <w:rPr>
          <w:rFonts w:hint="cs"/>
        </w:rPr>
        <w:sym w:font="AGA Arabesque" w:char="F05F"/>
      </w:r>
      <w:r w:rsidRPr="00E33C4C">
        <w:rPr>
          <w:rFonts w:hint="cs"/>
          <w:rtl/>
        </w:rPr>
        <w:t xml:space="preserve"> </w:t>
      </w:r>
      <w:r w:rsidR="00853A10" w:rsidRPr="00853A10">
        <w:rPr>
          <w:rFonts w:hint="cs"/>
          <w:b/>
          <w:bCs/>
          <w:rtl/>
        </w:rPr>
        <w:t>ما هي في رأيكم المناهج المطلوبة في صياغة المثال والأنموذج والقدوة من أجل تعزيز القدرات الذاتية والاجتماعية لدى الفتيات؟</w:t>
      </w:r>
    </w:p>
    <w:p w:rsidR="00853A10" w:rsidRPr="00E14ED6" w:rsidRDefault="00E33C4C" w:rsidP="00853A10">
      <w:pPr>
        <w:pStyle w:val="ac"/>
        <w:rPr>
          <w:rtl/>
        </w:rPr>
      </w:pPr>
      <w:r>
        <w:rPr>
          <w:rFonts w:hint="cs"/>
        </w:rPr>
        <w:sym w:font="AGA Arabesque" w:char="F05E"/>
      </w:r>
      <w:r>
        <w:rPr>
          <w:rFonts w:hint="cs"/>
          <w:rtl/>
        </w:rPr>
        <w:t xml:space="preserve"> </w:t>
      </w:r>
      <w:r w:rsidR="00853A10" w:rsidRPr="00E75F8E">
        <w:rPr>
          <w:rFonts w:hint="cs"/>
          <w:rtl/>
        </w:rPr>
        <w:t>من الأصول والأساليب التربوية وجود الأسوة والقدوة في المسار التربوي، وهذا ركن أساسي بنّاء للغاية، ويمكن القول: إنّ أيّة عملية تربوية تنجح في صياغة المثال والقدوة تكون قد اجتازت منتصف الطريق في مسار التربية، إذ تحدث تحولاً في ذات الفرد، يدفعه إلى الإيمان والثقة في تحقيق المثال في ذاته.</w:t>
      </w:r>
    </w:p>
    <w:p w:rsidR="00853A10" w:rsidRPr="00E14ED6" w:rsidRDefault="00853A10" w:rsidP="00853A10">
      <w:pPr>
        <w:pStyle w:val="ac"/>
        <w:rPr>
          <w:rtl/>
        </w:rPr>
      </w:pPr>
      <w:r w:rsidRPr="00E14ED6">
        <w:rPr>
          <w:rFonts w:hint="cs"/>
          <w:rtl/>
        </w:rPr>
        <w:t>كما لو أنّ تلميذاً لديه ميول أدبية، فإنّ وجود معلم شاعر وأديب سوف يعزّز هذه الميول والتوجهات، فيكون لوجود المعلّم أثر هام في نموّ الطاقات الأدبية والشعرية لديه.</w:t>
      </w:r>
    </w:p>
    <w:p w:rsidR="00853A10" w:rsidRPr="00E14ED6" w:rsidRDefault="00853A10" w:rsidP="00853A10">
      <w:pPr>
        <w:pStyle w:val="ac"/>
        <w:rPr>
          <w:rtl/>
        </w:rPr>
      </w:pPr>
      <w:r w:rsidRPr="00E14ED6">
        <w:rPr>
          <w:rFonts w:hint="cs"/>
          <w:rtl/>
        </w:rPr>
        <w:t>وهذه نقطة أساسية، إذ نجد القرآن الكريم يتحدّث باستمرار عن الشخصية الأسوة والقدوة والمثال الذي ينبغي الاقتداء به وتمثّل خُطاه.</w:t>
      </w:r>
    </w:p>
    <w:p w:rsidR="00853A10" w:rsidRPr="00E14ED6" w:rsidRDefault="00853A10" w:rsidP="00853A10">
      <w:pPr>
        <w:pStyle w:val="ac"/>
        <w:rPr>
          <w:rtl/>
        </w:rPr>
      </w:pPr>
      <w:r w:rsidRPr="00E14ED6">
        <w:rPr>
          <w:rFonts w:hint="cs"/>
          <w:rtl/>
        </w:rPr>
        <w:t xml:space="preserve">من هنا، يتعيّن في العملية التربوية إدخال المثال والأنموذج والقدوة في حياة الفرد النفسية والفكرية، وألاّ يكون تعريف القدوة لمجرّد الحب فقط، فهذه علاقة غير مجدية وغير فاعلة، إنما يجب أن يتمّ خلق الأنموذج بأسلوب قوي ومؤثر ليُحدث الأثر </w:t>
      </w:r>
      <w:r w:rsidRPr="00E14ED6">
        <w:rPr>
          <w:rFonts w:hint="cs"/>
          <w:rtl/>
        </w:rPr>
        <w:lastRenderedPageBreak/>
        <w:t>التربوي الإيجابي المطلوب.</w:t>
      </w:r>
    </w:p>
    <w:p w:rsidR="00853A10" w:rsidRPr="00E14ED6" w:rsidRDefault="00853A10" w:rsidP="00B96741">
      <w:pPr>
        <w:pStyle w:val="ac"/>
        <w:spacing w:line="199" w:lineRule="auto"/>
        <w:rPr>
          <w:rtl/>
        </w:rPr>
      </w:pPr>
      <w:r w:rsidRPr="00E14ED6">
        <w:rPr>
          <w:rFonts w:hint="cs"/>
          <w:rtl/>
        </w:rPr>
        <w:t>ومن المؤسف أنّنا لا نجد كتابات وآثار في هذا المضمار يمكن التعويل عليها؛ لأنها لا تتطرّق ـ في الغالب ـ إلى تفاصيل السلوك الإنساني والرؤى الفكرية لكي تكون نقاطاً مشعّة وملهمة.</w:t>
      </w:r>
    </w:p>
    <w:p w:rsidR="00853A10" w:rsidRPr="00E14ED6" w:rsidRDefault="00853A10" w:rsidP="00B96741">
      <w:pPr>
        <w:pStyle w:val="ac"/>
        <w:spacing w:line="199" w:lineRule="auto"/>
        <w:rPr>
          <w:rtl/>
        </w:rPr>
      </w:pPr>
      <w:r w:rsidRPr="00E14ED6">
        <w:rPr>
          <w:rFonts w:hint="cs"/>
          <w:rtl/>
        </w:rPr>
        <w:t>يجب ألاّ نتصور القدوة تمثالاً خالياً من كلّ نقص وعيب.. تمثالاً من الفضيلة والتقوى و... بل يجب أن يكون تصوير القدوة بطريقة تمزج بين الإثنين، يعني إمكان رؤية الهدف والغاية وكذلك بعض نقاط الضعف، وهذا ما نلاحظه في أدبياتنا الدينية. فلقد طرح القرآن الكريم النبي</w:t>
      </w:r>
      <w:r w:rsidR="00350F90">
        <w:rPr>
          <w:rFonts w:hint="cs"/>
          <w:rtl/>
        </w:rPr>
        <w:t>’</w:t>
      </w:r>
      <w:r w:rsidRPr="00E14ED6">
        <w:rPr>
          <w:rFonts w:hint="cs"/>
          <w:rtl/>
        </w:rPr>
        <w:t xml:space="preserve"> مثالاً وقدوة وأنموذجاً، قال تعالى:</w:t>
      </w:r>
      <w:r w:rsidRPr="00A553AB">
        <w:rPr>
          <w:rStyle w:val="Char3"/>
          <w:rFonts w:hint="cs"/>
          <w:rtl/>
        </w:rPr>
        <w:t xml:space="preserve"> </w:t>
      </w:r>
      <w:r>
        <w:rPr>
          <w:rtl/>
        </w:rPr>
        <w:t>﴿</w:t>
      </w:r>
      <w:r w:rsidRPr="00853A10">
        <w:rPr>
          <w:b/>
          <w:bCs/>
          <w:rtl/>
        </w:rPr>
        <w:t>وَإِنَّكَ لَعَلى خُلُقٍ عَظِيمٍ</w:t>
      </w:r>
      <w:r>
        <w:rPr>
          <w:rtl/>
        </w:rPr>
        <w:t>﴾</w:t>
      </w:r>
      <w:r w:rsidRPr="00815C4C">
        <w:rPr>
          <w:rFonts w:cs="Taher"/>
          <w:vertAlign w:val="superscript"/>
          <w:rtl/>
        </w:rPr>
        <w:t>(</w:t>
      </w:r>
      <w:r w:rsidRPr="00815C4C">
        <w:rPr>
          <w:rFonts w:cs="Taher"/>
          <w:vertAlign w:val="superscript"/>
          <w:rtl/>
        </w:rPr>
        <w:footnoteReference w:id="1038"/>
      </w:r>
      <w:r w:rsidRPr="00815C4C">
        <w:rPr>
          <w:rFonts w:cs="Taher"/>
          <w:vertAlign w:val="superscript"/>
          <w:rtl/>
        </w:rPr>
        <w:t>)</w:t>
      </w:r>
      <w:r w:rsidRPr="00E14ED6">
        <w:rPr>
          <w:rFonts w:hint="cs"/>
          <w:rtl/>
        </w:rPr>
        <w:t xml:space="preserve">، وفي الوقت نفسه نرى خطاباً آخر للنبي يصرّح: </w:t>
      </w:r>
      <w:r>
        <w:rPr>
          <w:b/>
          <w:bCs/>
          <w:sz w:val="24"/>
          <w:szCs w:val="24"/>
          <w:rtl/>
        </w:rPr>
        <w:t>﴿</w:t>
      </w:r>
      <w:r w:rsidRPr="00853A10">
        <w:rPr>
          <w:rFonts w:hint="cs"/>
          <w:b/>
          <w:bCs/>
          <w:rtl/>
        </w:rPr>
        <w:t>واستغفر لذنبك</w:t>
      </w:r>
      <w:r w:rsidRPr="00853A10">
        <w:rPr>
          <w:rFonts w:hint="cs"/>
          <w:rtl/>
        </w:rPr>
        <w:t>﴾</w:t>
      </w:r>
      <w:r w:rsidRPr="00815C4C">
        <w:rPr>
          <w:rFonts w:cs="Taher"/>
          <w:vertAlign w:val="superscript"/>
          <w:rtl/>
        </w:rPr>
        <w:t>(</w:t>
      </w:r>
      <w:r w:rsidRPr="00815C4C">
        <w:rPr>
          <w:rFonts w:cs="Taher"/>
          <w:vertAlign w:val="superscript"/>
          <w:rtl/>
        </w:rPr>
        <w:footnoteReference w:id="1039"/>
      </w:r>
      <w:r w:rsidRPr="00815C4C">
        <w:rPr>
          <w:rFonts w:cs="Taher"/>
          <w:vertAlign w:val="superscript"/>
          <w:rtl/>
        </w:rPr>
        <w:t>)</w:t>
      </w:r>
      <w:r w:rsidRPr="00E14ED6">
        <w:rPr>
          <w:rFonts w:hint="cs"/>
          <w:rtl/>
        </w:rPr>
        <w:t xml:space="preserve"> ولا يهمنا هنا آراء المفسّرين في تأويل الذنب فربما يكون ترك الأولى، أو ترك المستحب فهو بكلّ الأحوال يعدّ ذنباً بالنسبة لشخصية مثل النبي</w:t>
      </w:r>
      <w:r w:rsidR="00350F90">
        <w:rPr>
          <w:rFonts w:hint="cs"/>
          <w:rtl/>
        </w:rPr>
        <w:t>’</w:t>
      </w:r>
      <w:r w:rsidRPr="00E14ED6">
        <w:rPr>
          <w:rFonts w:hint="cs"/>
          <w:rtl/>
        </w:rPr>
        <w:t xml:space="preserve"> القدوة والمثال، والآية صريحة في الخطاب، فلماذا خاطب القرآن النبي</w:t>
      </w:r>
      <w:r w:rsidR="00350F90">
        <w:rPr>
          <w:rFonts w:hint="cs"/>
          <w:rtl/>
        </w:rPr>
        <w:t>’</w:t>
      </w:r>
      <w:r w:rsidRPr="00E14ED6">
        <w:rPr>
          <w:rFonts w:hint="cs"/>
          <w:rtl/>
        </w:rPr>
        <w:t xml:space="preserve"> بهذه الطريقة؟ فإذا كان المثال والقدوة والأنموذج يطرح بطريقة خالية من كل نقص لاتخذ القرآن اتجاهاً ومنحىً آخر في التعبير، أو لتمّ الأمر خارج النص القرآني في وحي خفيّ.</w:t>
      </w:r>
    </w:p>
    <w:p w:rsidR="00853A10" w:rsidRPr="00E14ED6" w:rsidRDefault="00853A10" w:rsidP="00B96741">
      <w:pPr>
        <w:pStyle w:val="ac"/>
        <w:spacing w:line="199" w:lineRule="auto"/>
        <w:rPr>
          <w:rtl/>
        </w:rPr>
      </w:pPr>
      <w:r w:rsidRPr="00E14ED6">
        <w:rPr>
          <w:rFonts w:hint="cs"/>
          <w:rtl/>
        </w:rPr>
        <w:t>ولكنّ القرآن الكريم استخدم هذه الصراحة أيضاً ليكون ذلك الاستغفار جزءاً لا ينفك عن القدوة، يعني طلب الغفران في حالة ارتكاب ذنبٍ كبير أو صغير.</w:t>
      </w:r>
    </w:p>
    <w:p w:rsidR="00853A10" w:rsidRPr="00E14ED6" w:rsidRDefault="00853A10" w:rsidP="00B96741">
      <w:pPr>
        <w:pStyle w:val="ac"/>
        <w:rPr>
          <w:rtl/>
        </w:rPr>
      </w:pPr>
      <w:r w:rsidRPr="00E14ED6">
        <w:rPr>
          <w:rFonts w:hint="cs"/>
          <w:rtl/>
        </w:rPr>
        <w:t xml:space="preserve">إذن، ينبغي عدم تصوّر توجّه ضربة للعملية التربوية في حالة ظهور نقطة ضعف في المربّي، فبعض المربّين والمعلّمين ـ على سبيل المثال ـ يتخوّفون من قول: </w:t>
      </w:r>
      <w:r w:rsidRPr="00617008">
        <w:rPr>
          <w:rFonts w:hint="cs"/>
          <w:rtl/>
        </w:rPr>
        <w:t>«</w:t>
      </w:r>
      <w:r w:rsidRPr="00E14ED6">
        <w:rPr>
          <w:rFonts w:hint="cs"/>
          <w:rtl/>
        </w:rPr>
        <w:t>لا أعلم</w:t>
      </w:r>
      <w:r w:rsidRPr="00617008">
        <w:rPr>
          <w:rFonts w:hint="cs"/>
          <w:rtl/>
        </w:rPr>
        <w:t>»</w:t>
      </w:r>
      <w:r w:rsidRPr="00E14ED6">
        <w:rPr>
          <w:rFonts w:hint="cs"/>
          <w:rtl/>
        </w:rPr>
        <w:t xml:space="preserve">، لأنه يتصوّر أنّ ذلك لا ينسجم معه بوصفه قدوةً، وأنّ القدوة والمثال يجب أن يعرف كلّ شيء ويجيب عن الأسئلة جميعها، في حين أن مقولة: </w:t>
      </w:r>
      <w:r w:rsidRPr="00617008">
        <w:rPr>
          <w:rFonts w:hint="cs"/>
          <w:rtl/>
        </w:rPr>
        <w:t>«</w:t>
      </w:r>
      <w:r w:rsidRPr="00E14ED6">
        <w:rPr>
          <w:rFonts w:hint="cs"/>
          <w:rtl/>
        </w:rPr>
        <w:t>لا أعلم</w:t>
      </w:r>
      <w:r w:rsidRPr="00617008">
        <w:rPr>
          <w:rFonts w:hint="cs"/>
          <w:rtl/>
        </w:rPr>
        <w:t>»</w:t>
      </w:r>
      <w:r w:rsidRPr="00E14ED6">
        <w:rPr>
          <w:rFonts w:hint="cs"/>
          <w:rtl/>
        </w:rPr>
        <w:t xml:space="preserve"> هي بحدّ ذاتها مثال، يتعلّم التلميذ منه أن </w:t>
      </w:r>
      <w:r w:rsidRPr="00853A10">
        <w:rPr>
          <w:rFonts w:hint="cs"/>
          <w:rtl/>
        </w:rPr>
        <w:t xml:space="preserve">مقولة: </w:t>
      </w:r>
      <w:r w:rsidRPr="00885E99">
        <w:rPr>
          <w:rFonts w:hint="cs"/>
          <w:rtl/>
        </w:rPr>
        <w:t>«</w:t>
      </w:r>
      <w:r w:rsidRPr="00853A10">
        <w:rPr>
          <w:rFonts w:hint="cs"/>
          <w:rtl/>
        </w:rPr>
        <w:t>لا أعلم»</w:t>
      </w:r>
      <w:r w:rsidRPr="00E14ED6">
        <w:rPr>
          <w:rFonts w:hint="cs"/>
          <w:rtl/>
        </w:rPr>
        <w:t xml:space="preserve"> ذات قيمة اجتماعية وتربوية.</w:t>
      </w:r>
    </w:p>
    <w:p w:rsidR="00853A10" w:rsidRDefault="00853A10" w:rsidP="00853A10">
      <w:pPr>
        <w:pStyle w:val="ac"/>
      </w:pPr>
      <w:r w:rsidRPr="00E14ED6">
        <w:rPr>
          <w:rFonts w:hint="cs"/>
          <w:rtl/>
        </w:rPr>
        <w:t xml:space="preserve">إنّ علينا أن نقدّم مثالاً حيّاً سهل التناول قريباً من الواقع حتى لو تطلّب ذلك إبداء </w:t>
      </w:r>
      <w:r w:rsidRPr="00E14ED6">
        <w:rPr>
          <w:rFonts w:hint="cs"/>
          <w:rtl/>
        </w:rPr>
        <w:lastRenderedPageBreak/>
        <w:t>بعض نقاط الضعف؛ لأنّ المثال البعيد جداً لا يُرى بوضوح، ولن يكون له الدور التربوي المطلوب، لذا ينبغي ألاّ تكون القدوة فوق قمم الجبال؛ إذ سيوحي ذلك للمرء بأنّ ذلك المثال مخلوق آخر يختلف في تكوينه وتوجّهاته، وبالتالي سوف يحدث انفصال بين الطرفين، كما ينبغي ـ في الوقت عينه ـ ألاّ يكون المثال في مكان لا يحفّز المرء على الصعود والرقي نحو ذرى الكمال والسير نحو التطوّر والتقدم.</w:t>
      </w:r>
    </w:p>
    <w:p w:rsidR="00B96741" w:rsidRPr="00B96741" w:rsidRDefault="00B96741" w:rsidP="00B96741">
      <w:pPr>
        <w:pStyle w:val="afffffc"/>
        <w:rPr>
          <w:sz w:val="18"/>
          <w:szCs w:val="16"/>
          <w:rtl/>
        </w:rPr>
      </w:pPr>
    </w:p>
    <w:p w:rsidR="00E33C4C" w:rsidRPr="00E14ED6" w:rsidRDefault="00E33C4C" w:rsidP="00E33C4C">
      <w:pPr>
        <w:pStyle w:val="1"/>
        <w:rPr>
          <w:rtl/>
        </w:rPr>
      </w:pPr>
      <w:bookmarkStart w:id="666" w:name="_Toc275128298"/>
      <w:r>
        <w:rPr>
          <w:rFonts w:hint="cs"/>
          <w:rtl/>
        </w:rPr>
        <w:t>دور الوالدين في التربية الدينية</w:t>
      </w:r>
      <w:bookmarkEnd w:id="666"/>
    </w:p>
    <w:p w:rsidR="00853A10" w:rsidRPr="00853A10" w:rsidRDefault="00E33C4C" w:rsidP="00B96741">
      <w:pPr>
        <w:pStyle w:val="ac"/>
        <w:spacing w:line="199" w:lineRule="auto"/>
        <w:rPr>
          <w:b/>
          <w:bCs/>
          <w:rtl/>
        </w:rPr>
      </w:pPr>
      <w:r w:rsidRPr="00E33C4C">
        <w:rPr>
          <w:rFonts w:hint="cs"/>
        </w:rPr>
        <w:sym w:font="AGA Arabesque" w:char="F05F"/>
      </w:r>
      <w:r w:rsidRPr="00E33C4C">
        <w:rPr>
          <w:rFonts w:hint="cs"/>
          <w:rtl/>
        </w:rPr>
        <w:t xml:space="preserve"> </w:t>
      </w:r>
      <w:r w:rsidR="00853A10" w:rsidRPr="00853A10">
        <w:rPr>
          <w:rFonts w:hint="cs"/>
          <w:b/>
          <w:bCs/>
          <w:rtl/>
        </w:rPr>
        <w:t>ما هو دور الوالدين في التربية الدينية وبناء الروح وبلورة الشخصية لدى الفتاة؟</w:t>
      </w:r>
    </w:p>
    <w:p w:rsidR="00853A10" w:rsidRPr="00E14ED6" w:rsidRDefault="00E33C4C" w:rsidP="00B96741">
      <w:pPr>
        <w:pStyle w:val="ac"/>
        <w:spacing w:line="199" w:lineRule="auto"/>
        <w:rPr>
          <w:rtl/>
        </w:rPr>
      </w:pPr>
      <w:r>
        <w:rPr>
          <w:rFonts w:hint="cs"/>
        </w:rPr>
        <w:sym w:font="AGA Arabesque" w:char="F05E"/>
      </w:r>
      <w:r>
        <w:rPr>
          <w:rFonts w:hint="cs"/>
          <w:rtl/>
        </w:rPr>
        <w:t xml:space="preserve"> </w:t>
      </w:r>
      <w:r w:rsidR="00853A10" w:rsidRPr="00E75F8E">
        <w:rPr>
          <w:rFonts w:hint="cs"/>
          <w:rtl/>
        </w:rPr>
        <w:t>إذا قام الأبوان في أدائهم التربوي بالعمل على وتيرة واحدة، وعملا على ترسيخ رأيهما، سواء بوسائل إقناعية أو إجبارية لدى ابنتهما أو ابنهما، فسيكون هذا المنحى التربوي متزلزلاً قلقاً، ولن يكتب للمثال أو الأنموذج الذي يقدّماه الاستمرار طويلاً.</w:t>
      </w:r>
    </w:p>
    <w:p w:rsidR="00853A10" w:rsidRPr="00E14ED6" w:rsidRDefault="00853A10" w:rsidP="00B96741">
      <w:pPr>
        <w:pStyle w:val="ac"/>
        <w:spacing w:line="199" w:lineRule="auto"/>
        <w:rPr>
          <w:rtl/>
        </w:rPr>
      </w:pPr>
      <w:r w:rsidRPr="00E14ED6">
        <w:rPr>
          <w:rFonts w:hint="cs"/>
          <w:rtl/>
        </w:rPr>
        <w:t>ذلك أنّ الفتاة سوف تواجه أشكالاً جديدة من التربية تخطف البريق من المثال العائلي، وما أكثر ما نلاحظ ذلك في مسألة الحجاب، فإذا كان حجاب الأم يمثّل لدى الفتاة مثالاً شكلياً وتقليدياً فقط فإنّها وبعد أن تواجه ـ وبسبب ظروفها الجديدة ـ علاقات اجتماعية أوسع، وترى زيّاً آخر للحجاب أكثر راحة فيما يبدو، خصوصاً عندما تكون الأزياء الجديدة هذه ذات أثر في تعزيز العلاقات والروابط الاجتماعية، سوف تُقدم الفتاة على انتخاب الشكل الجديد متخلّيةً عن الشكل التقليدي القديم الذي لن يكتب له الاستمرار طويلاً.</w:t>
      </w:r>
    </w:p>
    <w:p w:rsidR="00853A10" w:rsidRPr="00E14ED6" w:rsidRDefault="00853A10" w:rsidP="00B96741">
      <w:pPr>
        <w:pStyle w:val="ac"/>
        <w:spacing w:line="199" w:lineRule="auto"/>
        <w:rPr>
          <w:rtl/>
        </w:rPr>
      </w:pPr>
      <w:r w:rsidRPr="00E14ED6">
        <w:rPr>
          <w:rFonts w:hint="cs"/>
          <w:rtl/>
        </w:rPr>
        <w:t>أمّا الاسلوب التربوي الثاني ـ وهو الأسلوب الذي يعتمد المنطق السليم في التعامل مع تلك الأشكال ـ فيتطلّب من الأم، وقبل أن تدافع عن زيّها التقليدي، توضيح الدلائل المنطقية التي يسند ذلك الزيّ إليها.</w:t>
      </w:r>
    </w:p>
    <w:p w:rsidR="00853A10" w:rsidRPr="00E14ED6" w:rsidRDefault="00853A10" w:rsidP="00B96741">
      <w:pPr>
        <w:pStyle w:val="ac"/>
        <w:spacing w:line="199" w:lineRule="auto"/>
        <w:rPr>
          <w:rtl/>
        </w:rPr>
      </w:pPr>
      <w:r w:rsidRPr="00E14ED6">
        <w:rPr>
          <w:rFonts w:hint="cs"/>
          <w:rtl/>
        </w:rPr>
        <w:t>وكذا بالنسبة للأب إذا ما أراد الدفاع عن أسلوبه في التعامل الاجتماعي؛ إذ يتوجّب عليه ـ إبتداءً ـ توضيح منطقه ودلائله والإعراب عن استعداده للتغيير إذا ما لاحظ أشكالاً أخرى وأساليب في التعامل أفضل وأنسب، وهذا ما يجعل القدوة في حالة تطوّر وتكامل في المسار التربوي.</w:t>
      </w:r>
    </w:p>
    <w:p w:rsidR="00853A10" w:rsidRPr="00E14ED6" w:rsidRDefault="00853A10" w:rsidP="00853A10">
      <w:pPr>
        <w:pStyle w:val="ac"/>
        <w:rPr>
          <w:rtl/>
        </w:rPr>
      </w:pPr>
      <w:r w:rsidRPr="00E14ED6">
        <w:rPr>
          <w:rFonts w:hint="cs"/>
          <w:rtl/>
        </w:rPr>
        <w:lastRenderedPageBreak/>
        <w:t>إنّ العلاقات الشكلية عادةً ما تنهار وتتحطّم أمام الاختبارات الحياتية، لأنها علاقات هشّة في الأساس وقصيرة الأمد، وقد انخفضت السنّ التي تظهر فيها علامات التمزّق والتلاشي في العلاقات بسبب الثورة التي</w:t>
      </w:r>
      <w:r>
        <w:rPr>
          <w:rFonts w:hint="cs"/>
          <w:rtl/>
        </w:rPr>
        <w:t xml:space="preserve"> </w:t>
      </w:r>
      <w:r w:rsidRPr="00E14ED6">
        <w:rPr>
          <w:rFonts w:hint="cs"/>
          <w:rtl/>
        </w:rPr>
        <w:t>حصلت في عالم</w:t>
      </w:r>
      <w:r>
        <w:rPr>
          <w:rFonts w:hint="cs"/>
          <w:rtl/>
        </w:rPr>
        <w:t xml:space="preserve"> </w:t>
      </w:r>
      <w:r w:rsidRPr="00E14ED6">
        <w:rPr>
          <w:rFonts w:hint="cs"/>
          <w:rtl/>
        </w:rPr>
        <w:t>الاتصالات، ودخول المراهقين في دوائر اجتماعية عديدة ومتنوعة، غير أنه إذا ما اتّبع منهج في التعامل لا يفرض مثالاً أو أنموذجاً معيناً بالضرورة فإنّ الدوام سيكتب له النجاح أكثر، وذلك للاهتمام بفكرة إصلاح المثال؛ لأن النماذج الثابتة وغير المتزلزلة هي النماذج التي تنتهج أسلوبها في التعامل من خلال منطلقات مفاهيمية ومنطقية.</w:t>
      </w:r>
    </w:p>
    <w:p w:rsidR="00853A10" w:rsidRPr="00853A10" w:rsidRDefault="00E33C4C" w:rsidP="00853A10">
      <w:pPr>
        <w:pStyle w:val="ac"/>
        <w:rPr>
          <w:b/>
          <w:bCs/>
          <w:rtl/>
        </w:rPr>
      </w:pPr>
      <w:r w:rsidRPr="00E33C4C">
        <w:rPr>
          <w:rFonts w:hint="cs"/>
        </w:rPr>
        <w:sym w:font="AGA Arabesque" w:char="F05F"/>
      </w:r>
      <w:r w:rsidRPr="00E33C4C">
        <w:rPr>
          <w:rFonts w:hint="cs"/>
          <w:rtl/>
        </w:rPr>
        <w:t xml:space="preserve"> </w:t>
      </w:r>
      <w:r w:rsidR="00853A10" w:rsidRPr="00853A10">
        <w:rPr>
          <w:rFonts w:hint="cs"/>
          <w:b/>
          <w:bCs/>
          <w:rtl/>
        </w:rPr>
        <w:t>كيف تنظرون إلى القدوة والمثال في ظاهرة فرار الفتيات من الدين والمتدينين؟</w:t>
      </w:r>
    </w:p>
    <w:p w:rsidR="00853A10" w:rsidRPr="00E14ED6" w:rsidRDefault="00E33C4C" w:rsidP="00853A10">
      <w:pPr>
        <w:pStyle w:val="ac"/>
        <w:rPr>
          <w:rtl/>
        </w:rPr>
      </w:pPr>
      <w:r>
        <w:rPr>
          <w:rFonts w:hint="cs"/>
        </w:rPr>
        <w:sym w:font="AGA Arabesque" w:char="F05E"/>
      </w:r>
      <w:r>
        <w:rPr>
          <w:rFonts w:hint="cs"/>
          <w:rtl/>
        </w:rPr>
        <w:t xml:space="preserve"> </w:t>
      </w:r>
      <w:r w:rsidR="00853A10" w:rsidRPr="00E75F8E">
        <w:rPr>
          <w:rFonts w:hint="cs"/>
          <w:rtl/>
        </w:rPr>
        <w:t>بالطبع هذه الظاهرة  لها عدّة أبعاد، ولا يمكن تحليلها من خلال بُعد واحد.</w:t>
      </w:r>
    </w:p>
    <w:p w:rsidR="00853A10" w:rsidRPr="00E14ED6" w:rsidRDefault="00853A10" w:rsidP="00853A10">
      <w:pPr>
        <w:pStyle w:val="ac"/>
        <w:rPr>
          <w:rtl/>
        </w:rPr>
      </w:pPr>
      <w:r w:rsidRPr="00E14ED6">
        <w:rPr>
          <w:rFonts w:hint="cs"/>
          <w:rtl/>
        </w:rPr>
        <w:t>والبحث في هذه الظاهرة من جانبها الأسري ينطوي على أبعادٍ اجتماعية وتاريخية ودولية أيضاً، فلا يمكنك الآن إهمال العلاقات الاجتماعية والعالمية في هذه المسألة.</w:t>
      </w:r>
    </w:p>
    <w:p w:rsidR="00853A10" w:rsidRPr="00E14ED6" w:rsidRDefault="00853A10" w:rsidP="00853A10">
      <w:pPr>
        <w:pStyle w:val="ac"/>
        <w:rPr>
          <w:rtl/>
        </w:rPr>
      </w:pPr>
      <w:r w:rsidRPr="00E14ED6">
        <w:rPr>
          <w:rFonts w:hint="cs"/>
          <w:rtl/>
        </w:rPr>
        <w:t>فعندما يعيش الفردٍ في محيط ريفي مغلق ـ مثلاً ـ ستكون نسبة قناعاته بالتعاليم الدينية أو التقاليد الثقافية في تلك البيئة المحدودة أوضح بكثير من ذلك الذي يمكنه من خلال حصيلته المعلوماتية ـ حول آداب المجتمعات المختلفة والعلاقات الاجتماعية المتنوعة ـ الاتصال بأبعد نقطة في العالم، وإقامة علاقات واسعة. وللأسرة أيضاً دورها في تشديد شيوع ظاهرة فرار أبنائها من الدين، أو إضعاف الميول الدينية لدى الشباب؛ لأنّ الأسرة بطرحها الدين بشكل فرضي وجبري وقهري وغير منطقي ومعدوم المرونة وبطريقة متشدّدة، مع عدم أخذ السنّ بنظر الاعتبار وعدم إرساء منطق في الأولويات الدينية، وطرح بعض المستحبات بوصفها واجبات، هذا مضافاً إلى طرح ذلك على إنسان ربما لم يصل بعد سنّ البلوغ، أو الشطب على الأسئلة الدينية وعدم السماح بها، واعتبار المعرفة الدينية مسألةً تعبدية فقط بحيث يمنع السؤال أو يطلب من السائل الاكتفاء بجواب موجز لا يفي بالغرض دون قيد أو شرط أو حوار.</w:t>
      </w:r>
    </w:p>
    <w:p w:rsidR="00853A10" w:rsidRPr="00E14ED6" w:rsidRDefault="00853A10" w:rsidP="00853A10">
      <w:pPr>
        <w:pStyle w:val="ac"/>
        <w:rPr>
          <w:rtl/>
        </w:rPr>
      </w:pPr>
      <w:r w:rsidRPr="00E14ED6">
        <w:rPr>
          <w:rFonts w:hint="cs"/>
          <w:rtl/>
        </w:rPr>
        <w:t>إنّ ذلك كلّه ـ وللأسف ـ مما يمكن مشاهدته لدى بعض الأسر المتدينة قد يسهم في تشديد واستفحال هذه الظاهرة المؤسفة.</w:t>
      </w:r>
    </w:p>
    <w:p w:rsidR="00853A10" w:rsidRPr="00E14ED6" w:rsidRDefault="00853A10" w:rsidP="00350F90">
      <w:pPr>
        <w:pStyle w:val="ac"/>
        <w:rPr>
          <w:rtl/>
        </w:rPr>
      </w:pPr>
      <w:r w:rsidRPr="00E14ED6">
        <w:rPr>
          <w:rFonts w:hint="cs"/>
          <w:rtl/>
        </w:rPr>
        <w:lastRenderedPageBreak/>
        <w:t>هذا بأجمعه، في الوقت الذي نسمع فيه الإمام الصادق</w:t>
      </w:r>
      <w:r w:rsidR="00350F90">
        <w:rPr>
          <w:rFonts w:hint="cs"/>
          <w:rtl/>
        </w:rPr>
        <w:t>×</w:t>
      </w:r>
      <w:r w:rsidRPr="00E14ED6">
        <w:rPr>
          <w:rFonts w:hint="cs"/>
          <w:rtl/>
        </w:rPr>
        <w:t xml:space="preserve"> ـ كما ورد في بعض الروايات ـ يقول حين يرى ابنه وهو يؤدي صلاة الليل بإعياء وتعب شديدين: </w:t>
      </w:r>
      <w:r w:rsidRPr="00617008">
        <w:rPr>
          <w:rFonts w:hint="cs"/>
          <w:rtl/>
        </w:rPr>
        <w:t>«</w:t>
      </w:r>
      <w:r w:rsidRPr="00E14ED6">
        <w:rPr>
          <w:rFonts w:hint="cs"/>
          <w:rtl/>
        </w:rPr>
        <w:t>لا تكرهوا إلى أنفسكم العبادة</w:t>
      </w:r>
      <w:r w:rsidRPr="00617008">
        <w:rPr>
          <w:rFonts w:hint="cs"/>
          <w:rtl/>
        </w:rPr>
        <w:t>»</w:t>
      </w:r>
      <w:r w:rsidRPr="00815C4C">
        <w:rPr>
          <w:rFonts w:cs="Taher"/>
          <w:vertAlign w:val="superscript"/>
          <w:rtl/>
        </w:rPr>
        <w:t>(</w:t>
      </w:r>
      <w:r w:rsidRPr="00815C4C">
        <w:rPr>
          <w:rFonts w:cs="Taher"/>
          <w:vertAlign w:val="superscript"/>
          <w:rtl/>
        </w:rPr>
        <w:footnoteReference w:id="1040"/>
      </w:r>
      <w:r w:rsidRPr="00815C4C">
        <w:rPr>
          <w:rFonts w:cs="Taher"/>
          <w:vertAlign w:val="superscript"/>
          <w:rtl/>
        </w:rPr>
        <w:t>)</w:t>
      </w:r>
      <w:r w:rsidRPr="00E14ED6">
        <w:rPr>
          <w:rFonts w:hint="cs"/>
          <w:rtl/>
        </w:rPr>
        <w:t>.</w:t>
      </w:r>
    </w:p>
    <w:p w:rsidR="00853A10" w:rsidRPr="00E14ED6" w:rsidRDefault="00853A10" w:rsidP="00853A10">
      <w:pPr>
        <w:pStyle w:val="ac"/>
        <w:rPr>
          <w:rtl/>
        </w:rPr>
      </w:pPr>
      <w:r w:rsidRPr="00E14ED6">
        <w:rPr>
          <w:rFonts w:hint="cs"/>
          <w:rtl/>
        </w:rPr>
        <w:t>ومن العوامل والأسباب التي تؤدّي إلى الهروب الخلطُ بين المعتقدات الثقافية والمسائل الدينية، فعلى سبيل المثال: إحجام الرجل عن تقديم العون والمساعدة لزوجته في الشؤون المنـزلية وحصر مسؤولية ذلك على عاتق المرأة بشكل كامل، حتى في حالات اشتغال المرأة أو ممارستها للنشاط الاجتماعي.</w:t>
      </w:r>
    </w:p>
    <w:p w:rsidR="00853A10" w:rsidRPr="00E14ED6" w:rsidRDefault="00853A10" w:rsidP="00853A10">
      <w:pPr>
        <w:pStyle w:val="ac"/>
        <w:rPr>
          <w:rtl/>
        </w:rPr>
      </w:pPr>
      <w:r w:rsidRPr="00E14ED6">
        <w:rPr>
          <w:rFonts w:hint="cs"/>
          <w:rtl/>
        </w:rPr>
        <w:t>إنّ هذا التقليد اجتماعي وثقافي بحت وليس دينياً بالضرورة، مع أننا نجد التعبير عن هذه الظاهرة وتبريرها في بعض الأحيان، بينما الدين لا يؤدي إلى هذا المنحى في التعامل.</w:t>
      </w:r>
    </w:p>
    <w:p w:rsidR="00853A10" w:rsidRPr="00E14ED6" w:rsidRDefault="00853A10" w:rsidP="00B96741">
      <w:pPr>
        <w:pStyle w:val="ac"/>
        <w:spacing w:line="209" w:lineRule="auto"/>
        <w:rPr>
          <w:rtl/>
        </w:rPr>
      </w:pPr>
      <w:r w:rsidRPr="00E14ED6">
        <w:rPr>
          <w:rFonts w:hint="cs"/>
          <w:rtl/>
        </w:rPr>
        <w:t>انّ التفكيك بين الثقافة الاجتماعية السائدة وجوهر الدين أمر ضروري بالنسبة للشباب، وبخاصة الفتيات؛ من أجل أن تتولّد قناعة في أن حصول التغيير في التقاليد الموروثة أمر يحتاج إلى وقت، ولكي يمكن وضع حدود فاصلة بين التقاليد والدين.</w:t>
      </w:r>
    </w:p>
    <w:p w:rsidR="00853A10" w:rsidRPr="00E14ED6" w:rsidRDefault="00853A10" w:rsidP="00B96741">
      <w:pPr>
        <w:pStyle w:val="ac"/>
        <w:spacing w:line="209" w:lineRule="auto"/>
        <w:rPr>
          <w:rtl/>
        </w:rPr>
      </w:pPr>
      <w:r w:rsidRPr="00E14ED6">
        <w:rPr>
          <w:rFonts w:hint="cs"/>
          <w:rtl/>
        </w:rPr>
        <w:t>وإذا ما أحجم المسؤولون عن إدارة المجتمع أو تردّدوا في التفكيك ووضع حدود واضحة، فإنّ ظاهرة فرار الشباب من الدين سوف تشهد تفاقماً واتساعاً.</w:t>
      </w:r>
    </w:p>
    <w:p w:rsidR="00853A10" w:rsidRPr="00E14ED6" w:rsidRDefault="00853A10" w:rsidP="00B96741">
      <w:pPr>
        <w:pStyle w:val="ac"/>
        <w:spacing w:line="209" w:lineRule="auto"/>
        <w:rPr>
          <w:rtl/>
        </w:rPr>
      </w:pPr>
      <w:r w:rsidRPr="00E14ED6">
        <w:rPr>
          <w:rFonts w:hint="cs"/>
          <w:rtl/>
        </w:rPr>
        <w:t>إنّ بقاء الأمر بالمعروف والنهي عن المنكر في إطاره الحكومي يقوم به أفراد معينون وموظّفون رسمياً قرار اجتماعي خاطئ، فيما المطلوب طرح الأمر بالمعروف والنهي عن المنكر بوصفه ظاهرةً طبيعية وواجباً اجتماعياً، مع التأكيد على شروطه، والاسلوب الأمثل في ممارسته وأدائه.</w:t>
      </w:r>
    </w:p>
    <w:p w:rsidR="00853A10" w:rsidRPr="00E14ED6" w:rsidRDefault="00853A10" w:rsidP="00853A10">
      <w:pPr>
        <w:pStyle w:val="ac"/>
        <w:rPr>
          <w:rtl/>
        </w:rPr>
      </w:pPr>
      <w:r w:rsidRPr="00E14ED6">
        <w:rPr>
          <w:rFonts w:hint="cs"/>
          <w:rtl/>
        </w:rPr>
        <w:t xml:space="preserve">ربما نرى أنّ الأمر بالمعروف والنهي عن المنكر قد غدوا وكأنهما هدف بذاتهما، فيما هما مجرّد وسيلة لترسيخ الدين بغية سلامة المجتمع، لذا يتوجّب أداء الأمر بالمعروف والنهي عن المنكر بطريقة تؤمّن هذا الهدف، من هنا، نلاحظ أنّ الأداء الخاطئ في ذلك </w:t>
      </w:r>
      <w:r w:rsidRPr="00E14ED6">
        <w:rPr>
          <w:rFonts w:hint="cs"/>
          <w:rtl/>
        </w:rPr>
        <w:lastRenderedPageBreak/>
        <w:t>يؤدّي إلى الفرار من الدين.</w:t>
      </w:r>
    </w:p>
    <w:p w:rsidR="00853A10" w:rsidRPr="00E14ED6" w:rsidRDefault="00853A10" w:rsidP="00853A10">
      <w:pPr>
        <w:pStyle w:val="ac"/>
        <w:rPr>
          <w:rtl/>
        </w:rPr>
      </w:pPr>
      <w:r w:rsidRPr="00E14ED6">
        <w:rPr>
          <w:rFonts w:hint="cs"/>
          <w:rtl/>
        </w:rPr>
        <w:t>وثمة مسألة أخرى جديرة بالنظر، تكمن في تعاملنا السطحي ـ ومن طرف واحد ـ مع الغرب، وهو تعامل غالباً ما يكون تحريمياً دون حكم منصف، في الوقت الذي يدرك فيه الشباب وبمقتضى سنّهم الحكم الصادر عن التعصّب وعدم الإنصاف والحكم المنصف الصادر عن الحكمة والتعقل.</w:t>
      </w:r>
    </w:p>
    <w:p w:rsidR="00853A10" w:rsidRPr="00E14ED6" w:rsidRDefault="00853A10" w:rsidP="00853A10">
      <w:pPr>
        <w:pStyle w:val="ac"/>
        <w:rPr>
          <w:rtl/>
        </w:rPr>
      </w:pPr>
      <w:r w:rsidRPr="00E14ED6">
        <w:rPr>
          <w:rFonts w:hint="cs"/>
          <w:rtl/>
        </w:rPr>
        <w:t>إن الإنصاف هوالذي يدفع الإنسان إلى التكامل والرقيّ، فالمجتمعات البشرية فيها نقاط قوّة ونقاط ضعف، مما يوجب أخذها جميعاً بنظر الاعتبار، لإعداد أرضية مناسبة للرقي والتكامل وكسب التجارب والخبرات، حتى لا نقع في فخّ التباهي والغرور.</w:t>
      </w:r>
    </w:p>
    <w:p w:rsidR="00853A10" w:rsidRPr="00E14ED6" w:rsidRDefault="00853A10" w:rsidP="00853A10">
      <w:pPr>
        <w:pStyle w:val="ac"/>
        <w:rPr>
          <w:rtl/>
        </w:rPr>
      </w:pPr>
      <w:r w:rsidRPr="00E14ED6">
        <w:rPr>
          <w:rFonts w:hint="cs"/>
          <w:rtl/>
        </w:rPr>
        <w:t>انّنا بإصدار أحكام منصفة نكون قد عزّزنا إرادة الاختيار في نفوس الشباب، إذ يميل الإنسان غالباً نحو الخير، وما علينا الاّ أن نميّز له الخير من الشر والقبح من الحسن. لذا فلنترك الخيار للشباب في تحقيق إراداتهم واستقلالهم في الاختيار، مع الإشارة إلى أننا قد عززنا عندهم الانتخاب المعقول المبني على أسس أخلاقية متينة.</w:t>
      </w:r>
    </w:p>
    <w:p w:rsidR="00853A10" w:rsidRPr="00E14ED6" w:rsidRDefault="00853A10" w:rsidP="00853A10">
      <w:pPr>
        <w:pStyle w:val="ac"/>
        <w:rPr>
          <w:rtl/>
        </w:rPr>
      </w:pPr>
      <w:r w:rsidRPr="00E14ED6">
        <w:rPr>
          <w:rFonts w:hint="cs"/>
          <w:rtl/>
        </w:rPr>
        <w:t>وفي غير هذه الحالة فإنّ العنصر الشاب سيواجه تهديداً جاداً، لأنّه لم يعتد على الاختيار مع فقدانه القدرة على تمييز الخير من الشر.</w:t>
      </w:r>
    </w:p>
    <w:p w:rsidR="00853A10" w:rsidRDefault="00853A10" w:rsidP="00853A10">
      <w:pPr>
        <w:pStyle w:val="ac"/>
      </w:pPr>
      <w:r w:rsidRPr="00E14ED6">
        <w:rPr>
          <w:rFonts w:hint="cs"/>
          <w:rtl/>
        </w:rPr>
        <w:t>أما إذا تدرّج الطفل وفي مراحل مبكّرة على برامج تربوية تؤهله للتشخيص والتفكيك بين الخير والشر وبين الحسن والقبح فإنه سوف يتمتّع بمناعة ذاتية تصونه من آثار الغزو الثقافي أو توفّر له على الأقل طريق العودة إذا ما ابتلي بسلبيات هذا الغزو، لذا ينبغي تجهيز الشباب بالحسّ المنطقي الذي يؤهّلهم لعملية الفرز.</w:t>
      </w:r>
    </w:p>
    <w:p w:rsidR="00B96741" w:rsidRDefault="00B96741" w:rsidP="00B96741">
      <w:pPr>
        <w:pStyle w:val="afffffc"/>
        <w:rPr>
          <w:rtl/>
        </w:rPr>
      </w:pPr>
    </w:p>
    <w:p w:rsidR="00617008" w:rsidRPr="00E14ED6" w:rsidRDefault="00617008" w:rsidP="00617008">
      <w:pPr>
        <w:pStyle w:val="1"/>
        <w:rPr>
          <w:rtl/>
        </w:rPr>
      </w:pPr>
      <w:bookmarkStart w:id="667" w:name="_Toc275128299"/>
      <w:r>
        <w:rPr>
          <w:rFonts w:hint="cs"/>
          <w:rtl/>
        </w:rPr>
        <w:t>مشاكل الفتيات</w:t>
      </w:r>
      <w:bookmarkEnd w:id="667"/>
      <w:r>
        <w:rPr>
          <w:rFonts w:hint="cs"/>
          <w:rtl/>
        </w:rPr>
        <w:t xml:space="preserve"> </w:t>
      </w:r>
    </w:p>
    <w:p w:rsidR="00853A10" w:rsidRPr="00853A10" w:rsidRDefault="00617008" w:rsidP="00853A10">
      <w:pPr>
        <w:pStyle w:val="ac"/>
        <w:rPr>
          <w:b/>
          <w:bCs/>
          <w:rtl/>
        </w:rPr>
      </w:pPr>
      <w:r w:rsidRPr="00617008">
        <w:rPr>
          <w:rFonts w:hint="cs"/>
        </w:rPr>
        <w:sym w:font="AGA Arabesque" w:char="F05F"/>
      </w:r>
      <w:r w:rsidRPr="00617008">
        <w:rPr>
          <w:rFonts w:hint="cs"/>
          <w:rtl/>
        </w:rPr>
        <w:t xml:space="preserve"> </w:t>
      </w:r>
      <w:r w:rsidR="00853A10" w:rsidRPr="00853A10">
        <w:rPr>
          <w:rFonts w:hint="cs"/>
          <w:b/>
          <w:bCs/>
          <w:rtl/>
        </w:rPr>
        <w:t>إن معرفة الحاجات والمتطلبات الحياتية للفتيات من القضايا الهامة في تربيتهنّ الدينية، وهو ما يتم عبر دراسات نفسية واجتماعية، فما هي ـ في رأيكم ـ مشكلات الفتيات في المجتمع؟ وهل اُخذت بنظر الاعتبار في برامج التربية الدينية؟</w:t>
      </w:r>
    </w:p>
    <w:p w:rsidR="00853A10" w:rsidRPr="00E14ED6" w:rsidRDefault="00617008" w:rsidP="00853A10">
      <w:pPr>
        <w:pStyle w:val="ac"/>
        <w:rPr>
          <w:rtl/>
        </w:rPr>
      </w:pPr>
      <w:r>
        <w:rPr>
          <w:rFonts w:hint="cs"/>
        </w:rPr>
        <w:sym w:font="AGA Arabesque" w:char="F05E"/>
      </w:r>
      <w:r>
        <w:rPr>
          <w:rFonts w:hint="cs"/>
          <w:rtl/>
        </w:rPr>
        <w:t xml:space="preserve"> </w:t>
      </w:r>
      <w:r w:rsidR="00853A10" w:rsidRPr="00853A10">
        <w:rPr>
          <w:rFonts w:hint="cs"/>
          <w:rtl/>
        </w:rPr>
        <w:t>لقد</w:t>
      </w:r>
      <w:r w:rsidR="00853A10" w:rsidRPr="00AD4983">
        <w:rPr>
          <w:rFonts w:hint="cs"/>
          <w:rtl/>
        </w:rPr>
        <w:t xml:space="preserve"> أشارت</w:t>
      </w:r>
      <w:r w:rsidR="00853A10" w:rsidRPr="0017088F">
        <w:rPr>
          <w:rFonts w:cs="Traditional Arabic" w:hint="cs"/>
          <w:szCs w:val="24"/>
          <w:rtl/>
        </w:rPr>
        <w:t xml:space="preserve"> </w:t>
      </w:r>
      <w:r w:rsidR="00853A10" w:rsidRPr="00E75F8E">
        <w:rPr>
          <w:rFonts w:hint="cs"/>
          <w:rtl/>
        </w:rPr>
        <w:t xml:space="preserve">دراسات علم النفس إلى الخصائص النفسية والعاطفية للفتيات، كما </w:t>
      </w:r>
      <w:r w:rsidR="00853A10" w:rsidRPr="00E75F8E">
        <w:rPr>
          <w:rFonts w:hint="cs"/>
          <w:rtl/>
        </w:rPr>
        <w:lastRenderedPageBreak/>
        <w:t>أنّ دراسات علم الاجتماع، والتحوّلات التي طرأت على بناء المجتمعات، وثورة الاتصالات والمعلومات، أدت إلى بروز سلسلة من التحدّيات لا يمكن إغفال دورها في التربية بشكل عام والتربية الدينية بشكل خاص، وبشكل أخص فيما يرتبط بتربية البنات، مما جعلنا نشهد مساحة واسعة من التأثيرات في المجتمع، وظهور تيارات نشير إليها عادة بوصفها مصاديق للغزو الثقافي، ونتعامل معها ـ حتى الآن ـ بشكل انفعالي، وأغلب نشاطنا وجهدنا في قبال هذه التيارات يتركّز في إخفاء الأفراد أو إقصائهم عن دوائر التأثير ـ أي وضعهم في معزل ـ ؛ لضمان عدم تأثرهم بهذه الموجات.</w:t>
      </w:r>
    </w:p>
    <w:p w:rsidR="00853A10" w:rsidRPr="00E14ED6" w:rsidRDefault="00853A10" w:rsidP="00B96741">
      <w:pPr>
        <w:pStyle w:val="ac"/>
        <w:spacing w:line="206" w:lineRule="auto"/>
        <w:rPr>
          <w:rtl/>
        </w:rPr>
      </w:pPr>
      <w:r w:rsidRPr="00E14ED6">
        <w:rPr>
          <w:rFonts w:hint="cs"/>
          <w:rtl/>
        </w:rPr>
        <w:t>طبعاً، إبعاد الأفراد عن مصدر الصدمات هو مبدأ عام؛ لأن من أسس التربية إعداد بيئة مساعدة كالمدرسة مثلاً وتهيئتها، حيث يوضع التلميذ في محيط مساعد لتلقي الأصول التربوية، لكن التحدي سييظهر في تقويم الحماية المعتمدة إزاء مثل هذه الإجراءات. فمثلاً سيحالف النجاح هذا المنهج في حالة وضع الفرد في بيئة مغلقة، أما في بيئة مفتوحة زاخرة بالأمواج المتلاطمة ـ كما هي اليوم ـ فإن هكذا منهح سوف يخفق تماماً، يعني لا يمكن صنع منطقة معزولة في هكذا ظروف، خاصّة إذا ما نظرنا في أفق يمتد إلى خمسة أعوام أو عشرة أو عشرين قادمة، حيث ستصبح شبكات الانترنت والمعلوماتية في انتشارها كأجهزة الراديو والتلفزيون في متناول الجميع.</w:t>
      </w:r>
    </w:p>
    <w:p w:rsidR="00853A10" w:rsidRPr="00E14ED6" w:rsidRDefault="00853A10" w:rsidP="00B96741">
      <w:pPr>
        <w:pStyle w:val="ac"/>
        <w:spacing w:line="206" w:lineRule="auto"/>
        <w:rPr>
          <w:rtl/>
        </w:rPr>
      </w:pPr>
      <w:r w:rsidRPr="00E14ED6">
        <w:rPr>
          <w:rFonts w:hint="cs"/>
          <w:rtl/>
        </w:rPr>
        <w:t>من هنا، يبدو أنّ منهج العزل فاشلاً غير محظوظ بفرص النجاح في المستقبل على الإطلاق، ومن ثمّ يتعيّن علينا التفكير في منهج آخر،  ألا وهو تعزيز القدرات الذاتية في الفرد، أي أن تتم برامج التربية في بيئة مفتوحة ودون جدران، ولذا يتوجّب التعامل بشكل عقلاني ومنصف وبعيداً عن مختلف أشكال التعصّب مع التيارات العالمية الثقافية.</w:t>
      </w:r>
    </w:p>
    <w:p w:rsidR="00853A10" w:rsidRPr="00E14ED6" w:rsidRDefault="00853A10" w:rsidP="00617008">
      <w:pPr>
        <w:pStyle w:val="ac"/>
        <w:rPr>
          <w:rtl/>
        </w:rPr>
      </w:pPr>
      <w:r w:rsidRPr="00E14ED6">
        <w:rPr>
          <w:rFonts w:hint="cs"/>
          <w:rtl/>
        </w:rPr>
        <w:t>من المفترض علينا تحديد نقاط القوة فيها ونقاط الضعف، وتمييز ما هو مدمّر وما هو بنّاء؛ لإعداد ذهنية منفتحة مؤهّلة للتعامل مع هذه المسارات الدولية، وبالتالي تمكين الفرد من تقويمها عبر أدواته الذاتية المعقولة، للإفادة ممّا هو مفيد، واجتناب ما هو ضار، وبهذا نكون قد خطونا إلى الأمام خطوةً كبيرة.</w:t>
      </w:r>
    </w:p>
    <w:p w:rsidR="00853A10" w:rsidRPr="00E14ED6" w:rsidRDefault="00853A10" w:rsidP="00B96741">
      <w:pPr>
        <w:pStyle w:val="ac"/>
        <w:spacing w:line="199" w:lineRule="auto"/>
        <w:rPr>
          <w:rtl/>
        </w:rPr>
      </w:pPr>
      <w:r w:rsidRPr="00E14ED6">
        <w:rPr>
          <w:rFonts w:hint="cs"/>
          <w:rtl/>
        </w:rPr>
        <w:lastRenderedPageBreak/>
        <w:t>أمّا الخطوة الأخرى، فتتكفّل بالتفكيك بين الجانب العاطفي من جهة والجانب المعرفي والفكري من جهة أخرى، فالجانب العاطفي يعني إيجاد شخصية ثابتة قوية في ذات الفرد، بتعبير آخر إيجاد حالة من التوازن في الأحاسيس تحمي الفرد من التأثر لدى مواجهته الأشياء الجديدة، وهذا إنجاز تربوي.</w:t>
      </w:r>
    </w:p>
    <w:p w:rsidR="00853A10" w:rsidRPr="00E14ED6" w:rsidRDefault="00853A10" w:rsidP="00B96741">
      <w:pPr>
        <w:pStyle w:val="ac"/>
        <w:spacing w:line="199" w:lineRule="auto"/>
        <w:rPr>
          <w:rtl/>
        </w:rPr>
      </w:pPr>
      <w:r w:rsidRPr="00E14ED6">
        <w:rPr>
          <w:rFonts w:hint="cs"/>
          <w:rtl/>
        </w:rPr>
        <w:t>إنّ الأفراد بحاجة إلى توازن عاطفي في تعاملهم مع القضايا التي تواجههم، لكي يكون تقويمهم في مأمنٍ عن المؤثّرات اللاموضوعية، وهذه النقطة ـ خاصّة في تربية الفتيات ـ مهمة جداً، عنيت إحلال حالة من التوازن العاطفي في نفسية الفتاة بدل منع العلاقة وتحريمها.</w:t>
      </w:r>
    </w:p>
    <w:p w:rsidR="00853A10" w:rsidRPr="00E14ED6" w:rsidRDefault="00853A10" w:rsidP="00B96741">
      <w:pPr>
        <w:pStyle w:val="ac"/>
        <w:spacing w:line="199" w:lineRule="auto"/>
        <w:rPr>
          <w:rtl/>
        </w:rPr>
      </w:pPr>
      <w:r w:rsidRPr="00E14ED6">
        <w:rPr>
          <w:rFonts w:hint="cs"/>
          <w:rtl/>
        </w:rPr>
        <w:t xml:space="preserve">وعلى هذا الأساس، يمكن التخلّي عن استراتيجية العزل وإبعاد الفرد وإقصائه عن الظروف البيئية المؤثرة؛ يقول سبحانه وتعالى في القرآن الكريم: </w:t>
      </w:r>
      <w:r w:rsidRPr="00853A10">
        <w:rPr>
          <w:rFonts w:hint="cs"/>
        </w:rPr>
        <w:sym w:font="Islamic Units 1" w:char="F03E"/>
      </w:r>
      <w:r w:rsidRPr="00853A10">
        <w:rPr>
          <w:rFonts w:hint="eastAsia"/>
          <w:b/>
          <w:bCs/>
          <w:rtl/>
        </w:rPr>
        <w:t>يا</w:t>
      </w:r>
      <w:r w:rsidRPr="00853A10">
        <w:rPr>
          <w:b/>
          <w:bCs/>
          <w:rtl/>
        </w:rPr>
        <w:t xml:space="preserve"> أَيُّهَا الَّذِينَ آمَنُوا عَلَيْكُمْ أَنْفُسَكُمْ لا يَضُرُّكُمْ مَنْ ضَلَّ إِذَا اهْتَدَيْتُمْ</w:t>
      </w:r>
      <w:r w:rsidRPr="00853A10">
        <w:sym w:font="Islamic Units 1" w:char="F03C"/>
      </w:r>
      <w:r w:rsidRPr="00815C4C">
        <w:rPr>
          <w:rFonts w:cs="Taher"/>
          <w:vertAlign w:val="superscript"/>
          <w:rtl/>
        </w:rPr>
        <w:t>(</w:t>
      </w:r>
      <w:r w:rsidRPr="00815C4C">
        <w:rPr>
          <w:rFonts w:cs="Taher"/>
          <w:vertAlign w:val="superscript"/>
          <w:rtl/>
        </w:rPr>
        <w:footnoteReference w:id="1041"/>
      </w:r>
      <w:r w:rsidRPr="00815C4C">
        <w:rPr>
          <w:rFonts w:cs="Taher"/>
          <w:vertAlign w:val="superscript"/>
          <w:rtl/>
        </w:rPr>
        <w:t>)</w:t>
      </w:r>
      <w:r w:rsidRPr="00E14ED6">
        <w:rPr>
          <w:rFonts w:hint="cs"/>
          <w:rtl/>
        </w:rPr>
        <w:t xml:space="preserve"> يعني أنّ تعزيز القدرات الذاتية تجعل الفرد في مأمن من المؤثرات الخارجية السلبية.</w:t>
      </w:r>
    </w:p>
    <w:p w:rsidR="00853A10" w:rsidRPr="00E14ED6" w:rsidRDefault="00853A10" w:rsidP="00B96741">
      <w:pPr>
        <w:pStyle w:val="ac"/>
        <w:spacing w:line="199" w:lineRule="auto"/>
        <w:rPr>
          <w:rtl/>
        </w:rPr>
      </w:pPr>
      <w:r w:rsidRPr="00E14ED6">
        <w:rPr>
          <w:rFonts w:hint="cs"/>
          <w:rtl/>
        </w:rPr>
        <w:t>ومن الطرق المناسبة ضخّ هذا المنهج في الكتب المدرسية وبخاصّة في كتب التعاليم الدينية، ومن المؤسف أن هذه الكتب حالياً تعاني أولاً من الانفصال إزاء قضايا العصر، إضافة إلى افتقارها إلى الخطاب المناسب، في الوقت الذي يجب أن يكون التفكير الديني تفكيراً حيّاً يرشدنا في كل الظروف نحو الهداية، فالهداية التي لا تعبأ بالزمن ولا تهتم لمتطلّباته ليست بهداية، إضافة إلى أن هذه الكتب لا تتناسب وسعة هذه الشريحة من المخاطبين وخصائصها، حيث لا تأخذ بنظر الاعتبار مرحلة العمر التي ينبغي فيها تعليم التوحيد أو المعاد أو النبوّة، وكيفية طرح هذه المفاهيم.</w:t>
      </w:r>
    </w:p>
    <w:p w:rsidR="00853A10" w:rsidRPr="00E14ED6" w:rsidRDefault="00853A10" w:rsidP="00B96741">
      <w:pPr>
        <w:pStyle w:val="ac"/>
        <w:spacing w:line="199" w:lineRule="auto"/>
        <w:rPr>
          <w:rtl/>
        </w:rPr>
      </w:pPr>
      <w:r w:rsidRPr="00E14ED6">
        <w:rPr>
          <w:rFonts w:hint="cs"/>
          <w:rtl/>
        </w:rPr>
        <w:t>ولا يعني ذلك أبداً الحطّ من جهود مؤلّفي هذه المناهج المدرسية، بل إنّ المسألة معقّدة للغاية، وتستلزم مضاعفة الجهد في هذا الأمر.</w:t>
      </w:r>
    </w:p>
    <w:p w:rsidR="00853A10" w:rsidRPr="00E14ED6" w:rsidRDefault="00853A10" w:rsidP="00B96741">
      <w:pPr>
        <w:pStyle w:val="ac"/>
        <w:spacing w:line="199" w:lineRule="auto"/>
        <w:rPr>
          <w:rtl/>
        </w:rPr>
      </w:pPr>
      <w:r w:rsidRPr="00E14ED6">
        <w:rPr>
          <w:rFonts w:hint="cs"/>
          <w:rtl/>
        </w:rPr>
        <w:t xml:space="preserve">ولذا إذا ما أخذت هذه الخصائص الثلاثة، وهي: الانسجام ومتطلّبات العصر، انتخاب خطاب مناسب، تدوين الكتب الدينية في المناهج المدرسية انطلاقاً من وعي </w:t>
      </w:r>
      <w:r w:rsidRPr="00E14ED6">
        <w:rPr>
          <w:rFonts w:hint="cs"/>
          <w:rtl/>
        </w:rPr>
        <w:lastRenderedPageBreak/>
        <w:t>ذهنية المخاطب في ضوء علم النفس، فسنصل إلى نتيجة تكشف عن تفهّم المخاطب، وتأثره بالعملية التربوية، وبالتالي الإحساس بحيوية الدين في حياته.</w:t>
      </w:r>
    </w:p>
    <w:p w:rsidR="00B96741" w:rsidRDefault="00853A10" w:rsidP="00853A10">
      <w:pPr>
        <w:pStyle w:val="ac"/>
      </w:pPr>
      <w:r w:rsidRPr="00E14ED6">
        <w:rPr>
          <w:rFonts w:hint="cs"/>
          <w:rtl/>
        </w:rPr>
        <w:t>إن الكتب الدينية يجب أن تكون مثيرة، وتتمتع بالقدرة على الإقناع، وأن تكون متناسبةً وسنّ المراهقين؛ لكي ينظر إليها بوصفها كتب مطالعة، لا كتباً مدرسيةً فقط.</w:t>
      </w:r>
    </w:p>
    <w:p w:rsidR="00B96741" w:rsidRDefault="00B96741" w:rsidP="00853A10">
      <w:pPr>
        <w:pStyle w:val="ac"/>
        <w:rPr>
          <w:rtl/>
        </w:rPr>
        <w:sectPr w:rsidR="00B96741" w:rsidSect="006628C6">
          <w:headerReference w:type="even" r:id="rId118"/>
          <w:headerReference w:type="default" r:id="rId119"/>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853A10" w:rsidRDefault="00853A10" w:rsidP="00853A10">
      <w:pPr>
        <w:pStyle w:val="ac"/>
        <w:rPr>
          <w:rtl/>
        </w:rPr>
      </w:pPr>
    </w:p>
    <w:p w:rsidR="00853A10" w:rsidRDefault="00853A10">
      <w:pPr>
        <w:widowControl/>
        <w:bidi w:val="0"/>
        <w:spacing w:line="240" w:lineRule="auto"/>
        <w:ind w:firstLine="0"/>
        <w:jc w:val="left"/>
        <w:outlineLvl w:val="9"/>
        <w:rPr>
          <w:rFonts w:ascii="Arno Pro Display" w:hAnsi="Arno Pro Display"/>
          <w:sz w:val="28"/>
          <w:szCs w:val="30"/>
          <w:rtl/>
        </w:rPr>
      </w:pPr>
      <w:r>
        <w:rPr>
          <w:rtl/>
        </w:rPr>
        <w:br w:type="page"/>
      </w:r>
    </w:p>
    <w:p w:rsidR="00853A10" w:rsidRPr="00B96741" w:rsidRDefault="00853A10" w:rsidP="00853A10">
      <w:pPr>
        <w:pStyle w:val="ac"/>
        <w:rPr>
          <w:rFonts w:ascii="Mosawi" w:hAnsi="Mosawi"/>
        </w:rPr>
      </w:pPr>
    </w:p>
    <w:p w:rsidR="00F52EBA" w:rsidRPr="00B96741" w:rsidRDefault="00F52EBA" w:rsidP="00853A10">
      <w:pPr>
        <w:pStyle w:val="ac"/>
        <w:rPr>
          <w:rFonts w:ascii="Mosawi" w:hAnsi="Mosawi"/>
        </w:rPr>
      </w:pPr>
    </w:p>
    <w:p w:rsidR="00F52EBA" w:rsidRPr="00B96741" w:rsidRDefault="00F52EBA" w:rsidP="00853A10">
      <w:pPr>
        <w:pStyle w:val="ac"/>
        <w:rPr>
          <w:rFonts w:ascii="Mosawi" w:hAnsi="Mosawi"/>
        </w:rPr>
      </w:pPr>
    </w:p>
    <w:p w:rsidR="00F52EBA" w:rsidRPr="00B96741" w:rsidRDefault="00F52EBA" w:rsidP="00853A10">
      <w:pPr>
        <w:pStyle w:val="ac"/>
        <w:rPr>
          <w:rFonts w:ascii="Mosawi" w:hAnsi="Mosawi"/>
        </w:rPr>
      </w:pPr>
    </w:p>
    <w:p w:rsidR="00F52EBA" w:rsidRPr="00B96741" w:rsidRDefault="00F52EBA" w:rsidP="00F52EBA">
      <w:pPr>
        <w:bidi w:val="0"/>
        <w:spacing w:line="480" w:lineRule="exact"/>
        <w:ind w:right="284"/>
        <w:jc w:val="center"/>
        <w:rPr>
          <w:rFonts w:ascii="Mosawi" w:hAnsi="Mosawi"/>
          <w:rtl/>
        </w:rPr>
      </w:pPr>
    </w:p>
    <w:p w:rsidR="00B96741" w:rsidRDefault="00B96741" w:rsidP="00617008">
      <w:pPr>
        <w:pStyle w:val="aff2"/>
        <w:rPr>
          <w:rtl/>
        </w:rPr>
        <w:sectPr w:rsidR="00B96741" w:rsidSect="006628C6">
          <w:headerReference w:type="default" r:id="rId12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bookmarkStart w:id="668" w:name="_Toc169521520"/>
    </w:p>
    <w:p w:rsidR="00617008" w:rsidRDefault="00617008" w:rsidP="0008530B">
      <w:pPr>
        <w:pStyle w:val="aff2"/>
        <w:rPr>
          <w:rtl/>
        </w:rPr>
      </w:pPr>
      <w:bookmarkStart w:id="669" w:name="_Toc275128300"/>
      <w:r>
        <w:rPr>
          <w:rFonts w:hint="cs"/>
          <w:rtl/>
        </w:rPr>
        <w:lastRenderedPageBreak/>
        <w:t>الاحتجاب أ</w:t>
      </w:r>
      <w:r w:rsidR="0008530B">
        <w:rPr>
          <w:rFonts w:hint="cs"/>
          <w:rtl/>
        </w:rPr>
        <w:t>م</w:t>
      </w:r>
      <w:r>
        <w:rPr>
          <w:rFonts w:hint="cs"/>
          <w:rtl/>
        </w:rPr>
        <w:t xml:space="preserve"> العفاف</w:t>
      </w:r>
      <w:bookmarkEnd w:id="669"/>
    </w:p>
    <w:p w:rsidR="00F52EBA" w:rsidRPr="00B96741" w:rsidRDefault="00F52EBA" w:rsidP="00F52EBA">
      <w:pPr>
        <w:pStyle w:val="aff2"/>
        <w:rPr>
          <w:sz w:val="40"/>
          <w:szCs w:val="40"/>
          <w:rtl/>
        </w:rPr>
      </w:pPr>
      <w:bookmarkStart w:id="670" w:name="_Toc275128301"/>
      <w:r w:rsidRPr="00B96741">
        <w:rPr>
          <w:rFonts w:hint="cs"/>
          <w:sz w:val="40"/>
          <w:szCs w:val="40"/>
          <w:rtl/>
        </w:rPr>
        <w:t>قراءة في التصور الإسلامي</w:t>
      </w:r>
      <w:bookmarkEnd w:id="668"/>
      <w:bookmarkEnd w:id="670"/>
    </w:p>
    <w:p w:rsidR="00F52EBA" w:rsidRPr="009A1719" w:rsidRDefault="00F52EBA" w:rsidP="00F52EBA">
      <w:pPr>
        <w:pStyle w:val="af7"/>
        <w:rPr>
          <w:rtl/>
        </w:rPr>
      </w:pPr>
      <w:bookmarkStart w:id="671" w:name="_Toc275128302"/>
      <w:r>
        <w:rPr>
          <w:rFonts w:hint="cs"/>
          <w:rtl/>
        </w:rPr>
        <w:t xml:space="preserve">أ. </w:t>
      </w:r>
      <w:r w:rsidRPr="009A1719">
        <w:rPr>
          <w:rFonts w:hint="cs"/>
          <w:rtl/>
        </w:rPr>
        <w:t>حميدة عامري</w:t>
      </w:r>
      <w:r w:rsidRPr="00B96741">
        <w:rPr>
          <w:rFonts w:cs="Taher"/>
          <w:position w:val="4"/>
          <w:sz w:val="30"/>
          <w:szCs w:val="30"/>
          <w:vertAlign w:val="superscript"/>
          <w:rtl/>
        </w:rPr>
        <w:footnoteReference w:customMarkFollows="1" w:id="1042"/>
        <w:t>(</w:t>
      </w:r>
      <w:r w:rsidRPr="00B96741">
        <w:rPr>
          <w:rFonts w:cs="Taher"/>
          <w:position w:val="8"/>
          <w:sz w:val="30"/>
          <w:szCs w:val="30"/>
          <w:vertAlign w:val="superscript"/>
          <w:rtl/>
        </w:rPr>
        <w:t>*</w:t>
      </w:r>
      <w:r w:rsidRPr="00B96741">
        <w:rPr>
          <w:rFonts w:cs="Taher"/>
          <w:position w:val="4"/>
          <w:sz w:val="30"/>
          <w:szCs w:val="30"/>
          <w:vertAlign w:val="superscript"/>
          <w:rtl/>
        </w:rPr>
        <w:t>)</w:t>
      </w:r>
      <w:bookmarkEnd w:id="671"/>
    </w:p>
    <w:p w:rsidR="00F52EBA" w:rsidRPr="0017088F" w:rsidRDefault="00F52EBA" w:rsidP="00F52EBA">
      <w:pPr>
        <w:pStyle w:val="af7"/>
        <w:spacing w:before="0"/>
        <w:rPr>
          <w:lang w:eastAsia="en-US"/>
        </w:rPr>
      </w:pPr>
      <w:bookmarkStart w:id="672" w:name="_Toc275128303"/>
      <w:r w:rsidRPr="009A1719">
        <w:rPr>
          <w:rFonts w:hint="cs"/>
          <w:rtl/>
        </w:rPr>
        <w:t>ترجمة: محمّد تقي معدّل وآلاء معدّل</w:t>
      </w:r>
      <w:bookmarkEnd w:id="672"/>
    </w:p>
    <w:p w:rsidR="00F52EBA" w:rsidRPr="0017088F" w:rsidRDefault="00F52EBA" w:rsidP="00B96741">
      <w:pPr>
        <w:pStyle w:val="afffffc"/>
        <w:rPr>
          <w:rtl/>
        </w:rPr>
      </w:pPr>
    </w:p>
    <w:p w:rsidR="00F52EBA" w:rsidRPr="00E14ED6" w:rsidRDefault="00F52EBA" w:rsidP="00F52EBA">
      <w:pPr>
        <w:pStyle w:val="ac"/>
        <w:rPr>
          <w:rFonts w:cs="AL-Mohanad"/>
          <w:sz w:val="26"/>
          <w:rtl/>
        </w:rPr>
      </w:pPr>
      <w:r w:rsidRPr="00617008">
        <w:rPr>
          <w:rFonts w:hint="cs"/>
          <w:rtl/>
        </w:rPr>
        <w:t>«</w:t>
      </w:r>
      <w:r w:rsidRPr="00F52EBA">
        <w:rPr>
          <w:rFonts w:hint="cs"/>
          <w:b/>
          <w:bCs/>
          <w:rtl/>
        </w:rPr>
        <w:t>اللهم إني أَسأَلك الهدى والتقى والعفاف والغنى والعمل بما تحب وترضى</w:t>
      </w:r>
      <w:r w:rsidRPr="00617008">
        <w:rPr>
          <w:rFonts w:hint="cs"/>
          <w:rtl/>
        </w:rPr>
        <w:t>»</w:t>
      </w:r>
      <w:r w:rsidRPr="00815C4C">
        <w:rPr>
          <w:rFonts w:cs="Taher"/>
          <w:vertAlign w:val="superscript"/>
          <w:rtl/>
        </w:rPr>
        <w:t>(</w:t>
      </w:r>
      <w:r w:rsidRPr="00815C4C">
        <w:rPr>
          <w:rFonts w:cs="Taher"/>
          <w:vertAlign w:val="superscript"/>
          <w:rtl/>
        </w:rPr>
        <w:footnoteReference w:id="1043"/>
      </w:r>
      <w:r w:rsidRPr="00815C4C">
        <w:rPr>
          <w:rFonts w:cs="Taher"/>
          <w:vertAlign w:val="superscript"/>
          <w:rtl/>
        </w:rPr>
        <w:t>)</w:t>
      </w:r>
    </w:p>
    <w:p w:rsidR="00F52EBA" w:rsidRPr="00E14ED6" w:rsidRDefault="00F52EBA" w:rsidP="00F52EBA">
      <w:pPr>
        <w:pStyle w:val="ac"/>
        <w:rPr>
          <w:rtl/>
        </w:rPr>
      </w:pPr>
      <w:r w:rsidRPr="00E14ED6">
        <w:rPr>
          <w:rFonts w:hint="cs"/>
          <w:rtl/>
        </w:rPr>
        <w:t>أرسل الله تعالى الرسل والأنبياء والقادة المصلحين إلى الاُمم المختلفة، وبيّن لهم سبل هداية وسعادة البشرية، فكان الإسلام أكملها وأتمّها، فأحكامه القائمة على أساس المعرفة الدقيقة بأبعاد حياة الإنسان المختلفة، تضمن له الفوز بالحياة الكريمة وبلوغ الكمال الحقيقي، وسلامة الروح والبدن.</w:t>
      </w:r>
    </w:p>
    <w:p w:rsidR="00F52EBA" w:rsidRPr="00E14ED6" w:rsidRDefault="00F52EBA" w:rsidP="00F52EBA">
      <w:pPr>
        <w:pStyle w:val="ac"/>
        <w:rPr>
          <w:rtl/>
        </w:rPr>
      </w:pPr>
      <w:r w:rsidRPr="00E14ED6">
        <w:rPr>
          <w:rFonts w:hint="cs"/>
          <w:rtl/>
        </w:rPr>
        <w:t>وقد بُنيت برامج التربية ـ طبق تعاليم الإسلام المقدسة ـ على أساس إحياء جميع النـزعات الفطرية وتوجيه الميول الطبيعية، وأهم أسس تربية الإنسان معرفة نزعاته الفطرية وإشباعها بصورة صحيحة متوازنة.</w:t>
      </w:r>
    </w:p>
    <w:p w:rsidR="00F52EBA" w:rsidRPr="005179D5" w:rsidRDefault="00F52EBA" w:rsidP="00F52EBA">
      <w:pPr>
        <w:pStyle w:val="ac"/>
        <w:rPr>
          <w:spacing w:val="-6"/>
          <w:rtl/>
        </w:rPr>
      </w:pPr>
      <w:r w:rsidRPr="005179D5">
        <w:rPr>
          <w:rFonts w:hint="cs"/>
          <w:spacing w:val="-6"/>
          <w:rtl/>
        </w:rPr>
        <w:t>وهذه التربية المتناسقة مع النظام الحكيم والدقيق لخلقة الإنسان، والمطابقة لقانون الوجود، تجعل منه إنساناً قويماً وراعياً قيّماً، وتهيئ له مُستلزمات سعادته الأبدية.</w:t>
      </w:r>
    </w:p>
    <w:p w:rsidR="00F52EBA" w:rsidRPr="00E14ED6" w:rsidRDefault="00F52EBA" w:rsidP="00D537F7">
      <w:pPr>
        <w:pStyle w:val="ac"/>
        <w:rPr>
          <w:rFonts w:cs="AL-Mohanad"/>
          <w:bCs/>
          <w:sz w:val="26"/>
          <w:rtl/>
        </w:rPr>
      </w:pPr>
      <w:r w:rsidRPr="00B96741">
        <w:rPr>
          <w:rFonts w:hint="cs"/>
          <w:rtl/>
        </w:rPr>
        <w:lastRenderedPageBreak/>
        <w:t>قال تعالى:</w:t>
      </w:r>
      <w:r w:rsidRPr="00E14ED6">
        <w:rPr>
          <w:rFonts w:cs="AL-Mohanad" w:hint="cs"/>
          <w:bCs/>
          <w:sz w:val="26"/>
          <w:rtl/>
        </w:rPr>
        <w:t xml:space="preserve"> </w:t>
      </w:r>
      <w:r>
        <w:rPr>
          <w:rtl/>
        </w:rPr>
        <w:t>﴿</w:t>
      </w:r>
      <w:r w:rsidRPr="00F52EBA">
        <w:rPr>
          <w:b/>
          <w:bCs/>
          <w:rtl/>
        </w:rPr>
        <w:t>فَأَقِمْ وَجْهَكَ لِلدِّينِ حَنِيفاً فِطْرَتَ اللَّهِ الَّتِي فَطَرَ النَّاسَ عَلَيْها</w:t>
      </w:r>
      <w:r w:rsidRPr="00F52EBA">
        <w:rPr>
          <w:rtl/>
        </w:rPr>
        <w:t>﴾</w:t>
      </w:r>
      <w:r w:rsidRPr="00815C4C">
        <w:rPr>
          <w:rFonts w:cs="Taher"/>
          <w:vertAlign w:val="superscript"/>
          <w:rtl/>
        </w:rPr>
        <w:t>(</w:t>
      </w:r>
      <w:r w:rsidRPr="00815C4C">
        <w:rPr>
          <w:rFonts w:cs="Taher"/>
          <w:vertAlign w:val="superscript"/>
          <w:rtl/>
        </w:rPr>
        <w:footnoteReference w:id="1044"/>
      </w:r>
      <w:r w:rsidRPr="00815C4C">
        <w:rPr>
          <w:rFonts w:cs="Taher"/>
          <w:vertAlign w:val="superscript"/>
          <w:rtl/>
        </w:rPr>
        <w:t>)</w:t>
      </w:r>
      <w:r w:rsidRPr="00E14ED6">
        <w:rPr>
          <w:rFonts w:cs="AL-Mohanad" w:hint="cs"/>
          <w:bCs/>
          <w:sz w:val="26"/>
          <w:rtl/>
        </w:rPr>
        <w:t>.</w:t>
      </w:r>
    </w:p>
    <w:p w:rsidR="00F52EBA" w:rsidRPr="00E14ED6" w:rsidRDefault="00F52EBA" w:rsidP="00F52EBA">
      <w:pPr>
        <w:pStyle w:val="ac"/>
        <w:rPr>
          <w:rtl/>
        </w:rPr>
      </w:pPr>
      <w:r w:rsidRPr="00E14ED6">
        <w:rPr>
          <w:rFonts w:hint="cs"/>
          <w:rtl/>
        </w:rPr>
        <w:t>إنّ منشأ الميل إلى الجمال كحبّ الأناقة، واللباس الجميل، والكلام الحسن، والزينة واستعمال العطور، والنـزعات الجنسية، منشأها جميعاً الفطرة الإنسانية.</w:t>
      </w:r>
    </w:p>
    <w:p w:rsidR="00F52EBA" w:rsidRPr="00E14ED6" w:rsidRDefault="00F52EBA" w:rsidP="00B96741">
      <w:pPr>
        <w:pStyle w:val="ac"/>
        <w:spacing w:line="199" w:lineRule="auto"/>
        <w:rPr>
          <w:rtl/>
        </w:rPr>
      </w:pPr>
      <w:r w:rsidRPr="00E14ED6">
        <w:rPr>
          <w:rFonts w:hint="cs"/>
          <w:rtl/>
        </w:rPr>
        <w:t>والمهم هو حفظ الحرمات وعدم الخروج عن حدّ الاعتدال فيها، دون التفريط بالميول والنـزعات الفطرية والروحية ووأدها وإماتتها، ولا الإفراط فيها وتجاوز حد الاعتدال في إشباعها، وهذا هو معنى العفاف، أي إنّ العفيف الطاهر هو ذلك الشخص الذي يستطيع السيطرة على شهواته وغرائزه، ويحفظها من الزيغ عن حدود التوازن والاستقامة.</w:t>
      </w:r>
    </w:p>
    <w:p w:rsidR="00F52EBA" w:rsidRPr="00E14ED6" w:rsidRDefault="00F52EBA" w:rsidP="00B96741">
      <w:pPr>
        <w:pStyle w:val="ac"/>
        <w:spacing w:line="199" w:lineRule="auto"/>
        <w:rPr>
          <w:rtl/>
        </w:rPr>
      </w:pPr>
      <w:r w:rsidRPr="00E14ED6">
        <w:rPr>
          <w:rFonts w:hint="cs"/>
          <w:rtl/>
        </w:rPr>
        <w:t>وقد أكّد الدين الإسلامي على العفاف ومنـزلته، حتى قرن إمام المتقين وأمير المؤمنين علي بن أبي طالب</w:t>
      </w:r>
      <w:r w:rsidR="00350F90">
        <w:rPr>
          <w:rFonts w:hint="cs"/>
          <w:rtl/>
        </w:rPr>
        <w:t>×</w:t>
      </w:r>
      <w:r w:rsidRPr="00E14ED6">
        <w:rPr>
          <w:rFonts w:hint="cs"/>
          <w:rtl/>
        </w:rPr>
        <w:t xml:space="preserve"> وساوى بين منـزلتي العفيف والشهيد في سبيل الله ومقاميهما، قال قال</w:t>
      </w:r>
      <w:r w:rsidR="00350F90">
        <w:rPr>
          <w:rFonts w:hint="cs"/>
          <w:rtl/>
        </w:rPr>
        <w:t>×</w:t>
      </w:r>
      <w:r w:rsidRPr="00E14ED6">
        <w:rPr>
          <w:rFonts w:hint="cs"/>
          <w:rtl/>
        </w:rPr>
        <w:t xml:space="preserve">: </w:t>
      </w:r>
      <w:r w:rsidRPr="00617008">
        <w:rPr>
          <w:rFonts w:hint="cs"/>
          <w:rtl/>
        </w:rPr>
        <w:t>«</w:t>
      </w:r>
      <w:r w:rsidRPr="00E14ED6">
        <w:rPr>
          <w:rFonts w:hint="cs"/>
          <w:rtl/>
        </w:rPr>
        <w:t>ما المجاهد الشهيد في سبيل الله بأعظم أجراً ممن قدر فعفّ، لكاد العفيف أن يكون ملكاً من الملائكة</w:t>
      </w:r>
      <w:r w:rsidRPr="00617008">
        <w:rPr>
          <w:rFonts w:hint="cs"/>
          <w:rtl/>
        </w:rPr>
        <w:t>»</w:t>
      </w:r>
      <w:r w:rsidRPr="00815C4C">
        <w:rPr>
          <w:rFonts w:cs="Taher"/>
          <w:vertAlign w:val="superscript"/>
          <w:rtl/>
        </w:rPr>
        <w:t>(</w:t>
      </w:r>
      <w:r w:rsidRPr="00815C4C">
        <w:rPr>
          <w:rFonts w:cs="Taher"/>
          <w:vertAlign w:val="superscript"/>
          <w:rtl/>
        </w:rPr>
        <w:footnoteReference w:id="1045"/>
      </w:r>
      <w:r w:rsidRPr="00815C4C">
        <w:rPr>
          <w:rFonts w:cs="Taher"/>
          <w:vertAlign w:val="superscript"/>
          <w:rtl/>
        </w:rPr>
        <w:t>)</w:t>
      </w:r>
      <w:r w:rsidRPr="00E14ED6">
        <w:rPr>
          <w:rFonts w:hint="cs"/>
          <w:rtl/>
        </w:rPr>
        <w:t>.</w:t>
      </w:r>
    </w:p>
    <w:p w:rsidR="00F52EBA" w:rsidRPr="00E14ED6" w:rsidRDefault="00F52EBA" w:rsidP="00B96741">
      <w:pPr>
        <w:pStyle w:val="ac"/>
        <w:spacing w:line="199" w:lineRule="auto"/>
        <w:rPr>
          <w:rtl/>
        </w:rPr>
      </w:pPr>
      <w:r w:rsidRPr="00E14ED6">
        <w:rPr>
          <w:rFonts w:hint="cs"/>
          <w:rtl/>
        </w:rPr>
        <w:t>ولكن، وللأسف الشديد، نرى ـ في حين تعرج البشرية إلى آفاق السماء وتتجلى التقنية العلمية والفنية من عقول وتصميم البشر ـ في مثل هذا الحال أنّ ملائكة العفّة والأخلاق قد رحلت وتلاشت في كثير من المجتمعات، إذ أصبحت المرأة التي هي مظهر العفاف والحياء، ومثال الطهارة والنقاء وأمّاً للبشرية، وتجسيداً لصفات الملائكة على وجه الأرض، وحفظ العلائق الأسرية، أصبحت وسيلةً رخيصة في الشوارع، وسلعة بأيدي الطامعين، يتداولها أصحاب أسواق الأهواء والنـزوات النفسية، تتعرض لمخاطر التيارات المنحرفة السياسية والإعلامية الخبيثة، من جميع الجهات، فسقطت في هاوية الانحطاط، ودفنت كرامتها الإنسانية تحت غبار الغفلة والنسيان.</w:t>
      </w:r>
    </w:p>
    <w:p w:rsidR="00F52EBA" w:rsidRPr="00E14ED6" w:rsidRDefault="00F52EBA" w:rsidP="00B96741">
      <w:pPr>
        <w:pStyle w:val="ac"/>
        <w:spacing w:line="199" w:lineRule="auto"/>
        <w:rPr>
          <w:rtl/>
        </w:rPr>
      </w:pPr>
      <w:r w:rsidRPr="00E14ED6">
        <w:rPr>
          <w:rFonts w:hint="cs"/>
          <w:rtl/>
        </w:rPr>
        <w:t xml:space="preserve">منذ ذلك الحين، انقلبت معايير الزواج، واستبدلت بالالتفاف والحوْم حول لهيب الشهوة ونيرانها، وتفكّكت النظم الدقيقة التي وضعت خلال القرون المنصرمة من </w:t>
      </w:r>
      <w:r w:rsidRPr="00E14ED6">
        <w:rPr>
          <w:rFonts w:hint="cs"/>
          <w:rtl/>
        </w:rPr>
        <w:lastRenderedPageBreak/>
        <w:t>حياة البشرية لإدارة الأسرة وبقائها، وكذلك تقطّعت أعظم الروابط الروحية الإنسانية بين المرأة والرجل، وقلّ اعتبار قيمة المرأة لدى الرجال الذين كانوا قد شيدوا سوراً ملكوتياً للوصول إلى كعبة وجود المرأة، حتى أُبيح كل ما ينطوي تحت عنوان: الإساءة والإثم والمعصية والخيانة وضعف الإرادة والاعتداء على المرأة ومقامها الشامخ.</w:t>
      </w:r>
    </w:p>
    <w:p w:rsidR="00F52EBA" w:rsidRPr="00E14ED6" w:rsidRDefault="00F52EBA" w:rsidP="00F52EBA">
      <w:pPr>
        <w:pStyle w:val="ac"/>
        <w:rPr>
          <w:rtl/>
        </w:rPr>
      </w:pPr>
      <w:r w:rsidRPr="00E14ED6">
        <w:rPr>
          <w:rFonts w:hint="cs"/>
          <w:rtl/>
        </w:rPr>
        <w:t>لا شك أنّ احتفاظ الدول الرأسمالية والاستعمارية بالهيمنة الاقتصادية والسياسية والعسكرية على سائر الدول والمناطق المتخلفة لا تستمر ولن تدوم بدون الهيمنة الثقافية والسيطرة على ثقافة شعوب هذه البلاد وأفكارها وعقائدها، لذا استغل الاستعمار مختلف الوسائل والسبل من كتب دراسية، ومقالات علمية، وأفلام سينمائية، وبرامج إذاعية وتلفزيونية، وأقمار صناعية، وأشرطة فيديوية وغيرها، وبمختلف الصور من أجل الوصول إلى أهدافه الخبيثة متوخياً فصل الناس عامة والأمة الإسلامية خاصة ـ سيما المفكرين الشباب منهم ـ وعزلهم عن تاريخ حضارتهم وإشاعة الفكر الاستعماري فيهم بدلاً من فكرهم الأصيل، والأكثر خطراً من ذلك التركيز على انحطاطهم الذاتي وغرس حب التبعية للأجانب فيهم.</w:t>
      </w:r>
    </w:p>
    <w:p w:rsidR="00F52EBA" w:rsidRDefault="00F52EBA" w:rsidP="00F52EBA">
      <w:pPr>
        <w:pStyle w:val="ac"/>
        <w:rPr>
          <w:rtl/>
        </w:rPr>
      </w:pPr>
      <w:r w:rsidRPr="00E14ED6">
        <w:rPr>
          <w:rFonts w:hint="cs"/>
          <w:rtl/>
        </w:rPr>
        <w:t>إنّ الحل الوحيد الذي يصون المجتمعات من هذه الأفكار الخبيثة ومن الاضمحلال والسقوط في هاوية الفناء إنّما هو إشاعة ثقافة العفاف الدقيقة وتبيين أبعاده المختلفة في المجتمع، وقد اختير هذا المقال لأداء هذا الغرض.</w:t>
      </w:r>
    </w:p>
    <w:p w:rsidR="00F52EBA" w:rsidRPr="00B96741" w:rsidRDefault="00F52EBA" w:rsidP="00B96741">
      <w:pPr>
        <w:pStyle w:val="afffffc"/>
        <w:rPr>
          <w:sz w:val="18"/>
          <w:szCs w:val="16"/>
          <w:rtl/>
        </w:rPr>
      </w:pPr>
    </w:p>
    <w:p w:rsidR="00F52EBA" w:rsidRPr="0017088F" w:rsidRDefault="00F52EBA" w:rsidP="00F52EBA">
      <w:pPr>
        <w:pStyle w:val="1"/>
        <w:rPr>
          <w:rtl/>
        </w:rPr>
      </w:pPr>
      <w:bookmarkStart w:id="673" w:name="_Toc169521521"/>
      <w:bookmarkStart w:id="674" w:name="_Toc275128304"/>
      <w:r w:rsidRPr="0017088F">
        <w:rPr>
          <w:rFonts w:hint="cs"/>
          <w:rtl/>
        </w:rPr>
        <w:t>مفهوم العفاف وتعريفه</w:t>
      </w:r>
      <w:bookmarkEnd w:id="673"/>
      <w:bookmarkEnd w:id="674"/>
    </w:p>
    <w:p w:rsidR="00F52EBA" w:rsidRPr="00E14ED6" w:rsidRDefault="00F52EBA" w:rsidP="00F52EBA">
      <w:pPr>
        <w:pStyle w:val="ac"/>
        <w:rPr>
          <w:rtl/>
        </w:rPr>
      </w:pPr>
      <w:r w:rsidRPr="00E14ED6">
        <w:rPr>
          <w:rFonts w:hint="cs"/>
          <w:rtl/>
        </w:rPr>
        <w:t>العفّة في التعاليم الإسلامية تعني السيطرة على الشهوات ومنعها من تجاوز حدّ الاعتدال.</w:t>
      </w:r>
    </w:p>
    <w:p w:rsidR="00F52EBA" w:rsidRPr="00E14ED6" w:rsidRDefault="00F52EBA" w:rsidP="00F52EBA">
      <w:pPr>
        <w:pStyle w:val="ac"/>
        <w:rPr>
          <w:rtl/>
        </w:rPr>
      </w:pPr>
      <w:r w:rsidRPr="00E14ED6">
        <w:rPr>
          <w:rFonts w:hint="cs"/>
          <w:rtl/>
        </w:rPr>
        <w:t>هذه الكلمة مأخوذة من جذر عففَ بمعنى احترزَ من المحرّمات، وامتنع من القول أو الفعل المذموم</w:t>
      </w:r>
      <w:r w:rsidRPr="00815C4C">
        <w:rPr>
          <w:rFonts w:cs="Taher"/>
          <w:vertAlign w:val="superscript"/>
          <w:rtl/>
        </w:rPr>
        <w:t>(</w:t>
      </w:r>
      <w:r w:rsidRPr="00815C4C">
        <w:rPr>
          <w:rFonts w:cs="Taher"/>
          <w:vertAlign w:val="superscript"/>
          <w:rtl/>
        </w:rPr>
        <w:footnoteReference w:id="1046"/>
      </w:r>
      <w:r w:rsidRPr="00815C4C">
        <w:rPr>
          <w:rFonts w:cs="Taher"/>
          <w:vertAlign w:val="superscript"/>
          <w:rtl/>
        </w:rPr>
        <w:t>)</w:t>
      </w:r>
      <w:r w:rsidRPr="00E14ED6">
        <w:rPr>
          <w:rFonts w:hint="cs"/>
          <w:rtl/>
        </w:rPr>
        <w:t>، وجميع المشتقات المأخوذة منه تدلّ على هذا المعنى.</w:t>
      </w:r>
    </w:p>
    <w:p w:rsidR="00F52EBA" w:rsidRPr="00E14ED6" w:rsidRDefault="00F52EBA" w:rsidP="00B96741">
      <w:pPr>
        <w:pStyle w:val="ac"/>
        <w:spacing w:line="199" w:lineRule="auto"/>
        <w:rPr>
          <w:rtl/>
        </w:rPr>
      </w:pPr>
      <w:r w:rsidRPr="00E14ED6">
        <w:rPr>
          <w:rFonts w:hint="cs"/>
          <w:rtl/>
        </w:rPr>
        <w:lastRenderedPageBreak/>
        <w:t xml:space="preserve">فمعنى التعفّف هو: </w:t>
      </w:r>
      <w:r w:rsidRPr="00617008">
        <w:rPr>
          <w:rFonts w:hint="cs"/>
          <w:rtl/>
        </w:rPr>
        <w:t>«</w:t>
      </w:r>
      <w:r w:rsidRPr="00E14ED6">
        <w:rPr>
          <w:rFonts w:hint="cs"/>
          <w:rtl/>
        </w:rPr>
        <w:t>كفّ النفس عن المحرمات، وعدم الطلب من الناس</w:t>
      </w:r>
      <w:r w:rsidRPr="00617008">
        <w:rPr>
          <w:rFonts w:hint="cs"/>
          <w:rtl/>
        </w:rPr>
        <w:t>»</w:t>
      </w:r>
      <w:r w:rsidRPr="00815C4C">
        <w:rPr>
          <w:rFonts w:cs="Taher"/>
          <w:vertAlign w:val="superscript"/>
          <w:rtl/>
        </w:rPr>
        <w:t>(</w:t>
      </w:r>
      <w:r w:rsidRPr="00815C4C">
        <w:rPr>
          <w:rFonts w:cs="Taher"/>
          <w:vertAlign w:val="superscript"/>
          <w:rtl/>
        </w:rPr>
        <w:footnoteReference w:id="1047"/>
      </w:r>
      <w:r w:rsidRPr="00815C4C">
        <w:rPr>
          <w:rFonts w:cs="Taher"/>
          <w:vertAlign w:val="superscript"/>
          <w:rtl/>
        </w:rPr>
        <w:t>)</w:t>
      </w:r>
      <w:r w:rsidRPr="00E14ED6">
        <w:rPr>
          <w:rFonts w:hint="cs"/>
          <w:rtl/>
        </w:rPr>
        <w:t>.</w:t>
      </w:r>
    </w:p>
    <w:p w:rsidR="00F52EBA" w:rsidRPr="00E14ED6" w:rsidRDefault="00F52EBA" w:rsidP="00B96741">
      <w:pPr>
        <w:pStyle w:val="ac"/>
        <w:spacing w:line="199" w:lineRule="auto"/>
        <w:rPr>
          <w:rtl/>
        </w:rPr>
      </w:pPr>
      <w:r w:rsidRPr="00E14ED6">
        <w:rPr>
          <w:rFonts w:hint="cs"/>
          <w:rtl/>
        </w:rPr>
        <w:t xml:space="preserve">يقول الراغب الإصفهاني: </w:t>
      </w:r>
      <w:r w:rsidRPr="00885E99">
        <w:rPr>
          <w:rFonts w:hint="eastAsia"/>
          <w:rtl/>
        </w:rPr>
        <w:t>«</w:t>
      </w:r>
      <w:r w:rsidRPr="00E14ED6">
        <w:rPr>
          <w:rFonts w:hint="cs"/>
          <w:rtl/>
        </w:rPr>
        <w:t>العفّة: حصول حالةٍ للنفس تمتنع بها عن غلبة الشهوة</w:t>
      </w:r>
      <w:r w:rsidRPr="00F52EBA">
        <w:rPr>
          <w:rFonts w:hint="eastAsia"/>
          <w:rtl/>
        </w:rPr>
        <w:t>»</w:t>
      </w:r>
      <w:r w:rsidRPr="00815C4C">
        <w:rPr>
          <w:rFonts w:cs="Taher"/>
          <w:vertAlign w:val="superscript"/>
          <w:rtl/>
        </w:rPr>
        <w:t>(</w:t>
      </w:r>
      <w:r w:rsidRPr="00815C4C">
        <w:rPr>
          <w:rFonts w:cs="Taher"/>
          <w:vertAlign w:val="superscript"/>
          <w:rtl/>
        </w:rPr>
        <w:footnoteReference w:id="1048"/>
      </w:r>
      <w:r w:rsidRPr="00815C4C">
        <w:rPr>
          <w:rFonts w:cs="Taher"/>
          <w:vertAlign w:val="superscript"/>
          <w:rtl/>
        </w:rPr>
        <w:t>)</w:t>
      </w:r>
      <w:r w:rsidRPr="00E14ED6">
        <w:rPr>
          <w:rFonts w:hint="cs"/>
          <w:rtl/>
        </w:rPr>
        <w:t>.</w:t>
      </w:r>
    </w:p>
    <w:p w:rsidR="00F52EBA" w:rsidRPr="00E14ED6" w:rsidRDefault="00F52EBA" w:rsidP="00B96741">
      <w:pPr>
        <w:pStyle w:val="ac"/>
        <w:spacing w:line="199" w:lineRule="auto"/>
        <w:rPr>
          <w:rtl/>
        </w:rPr>
      </w:pPr>
      <w:r w:rsidRPr="00E14ED6">
        <w:rPr>
          <w:rFonts w:hint="cs"/>
          <w:rtl/>
        </w:rPr>
        <w:t>إذن، العفّة: ترك الشهوات من كل شيء، وغلب في حفظ الفرج مما لا يحلّ</w:t>
      </w:r>
      <w:r w:rsidRPr="00815C4C">
        <w:rPr>
          <w:rFonts w:cs="Taher"/>
          <w:vertAlign w:val="superscript"/>
          <w:rtl/>
        </w:rPr>
        <w:t>(</w:t>
      </w:r>
      <w:r w:rsidRPr="00815C4C">
        <w:rPr>
          <w:rFonts w:cs="Taher"/>
          <w:vertAlign w:val="superscript"/>
          <w:rtl/>
        </w:rPr>
        <w:footnoteReference w:id="1049"/>
      </w:r>
      <w:r w:rsidRPr="00815C4C">
        <w:rPr>
          <w:rFonts w:cs="Taher"/>
          <w:vertAlign w:val="superscript"/>
          <w:rtl/>
        </w:rPr>
        <w:t>)</w:t>
      </w:r>
      <w:r w:rsidRPr="00E14ED6">
        <w:rPr>
          <w:rFonts w:hint="cs"/>
          <w:rtl/>
        </w:rPr>
        <w:t>.</w:t>
      </w:r>
    </w:p>
    <w:p w:rsidR="00F52EBA" w:rsidRPr="00E14ED6" w:rsidRDefault="00F52EBA" w:rsidP="00B96741">
      <w:pPr>
        <w:pStyle w:val="ac"/>
        <w:spacing w:line="199" w:lineRule="auto"/>
        <w:rPr>
          <w:rtl/>
        </w:rPr>
      </w:pPr>
      <w:r w:rsidRPr="00E14ED6">
        <w:rPr>
          <w:rFonts w:hint="cs"/>
          <w:rtl/>
        </w:rPr>
        <w:t>وفي القرآن الكريم جاء كذلك بنفس المعنى؛ أي الحالة النفسية التي تردع الشهوة</w:t>
      </w:r>
      <w:r w:rsidRPr="00E14ED6">
        <w:rPr>
          <w:rFonts w:hint="cs"/>
          <w:position w:val="4"/>
          <w:rtl/>
        </w:rPr>
        <w:t>،</w:t>
      </w:r>
      <w:r w:rsidRPr="00E14ED6">
        <w:rPr>
          <w:rFonts w:hint="cs"/>
          <w:rtl/>
        </w:rPr>
        <w:t xml:space="preserve"> ويطلق لفظ العفيف في القرآن الكريم على الشخص الذي هو منيع الطبع رادع للنفس</w:t>
      </w:r>
      <w:r w:rsidRPr="00815C4C">
        <w:rPr>
          <w:rFonts w:cs="Taher"/>
          <w:vertAlign w:val="superscript"/>
          <w:rtl/>
        </w:rPr>
        <w:t>(</w:t>
      </w:r>
      <w:r w:rsidRPr="00815C4C">
        <w:rPr>
          <w:rFonts w:cs="Taher"/>
          <w:vertAlign w:val="superscript"/>
          <w:rtl/>
        </w:rPr>
        <w:footnoteReference w:id="1050"/>
      </w:r>
      <w:r w:rsidRPr="00815C4C">
        <w:rPr>
          <w:rFonts w:cs="Taher"/>
          <w:vertAlign w:val="superscript"/>
          <w:rtl/>
        </w:rPr>
        <w:t>)</w:t>
      </w:r>
      <w:r w:rsidRPr="00E14ED6">
        <w:rPr>
          <w:rFonts w:hint="cs"/>
          <w:rtl/>
        </w:rPr>
        <w:t>.</w:t>
      </w:r>
    </w:p>
    <w:p w:rsidR="00F52EBA" w:rsidRPr="00E14ED6" w:rsidRDefault="00F52EBA" w:rsidP="00B96741">
      <w:pPr>
        <w:pStyle w:val="ac"/>
        <w:spacing w:line="199" w:lineRule="auto"/>
        <w:rPr>
          <w:rtl/>
        </w:rPr>
      </w:pPr>
      <w:r w:rsidRPr="00E14ED6">
        <w:rPr>
          <w:rFonts w:hint="cs"/>
          <w:rtl/>
        </w:rPr>
        <w:t>ويختلف معنى هذا اللفظ باختلاف المصاديق والموارد المختلفة، فمثلاً:</w:t>
      </w:r>
    </w:p>
    <w:p w:rsidR="00F52EBA" w:rsidRPr="00E14ED6" w:rsidRDefault="00F52EBA" w:rsidP="00B96741">
      <w:pPr>
        <w:pStyle w:val="ac"/>
        <w:spacing w:line="199" w:lineRule="auto"/>
        <w:rPr>
          <w:rtl/>
        </w:rPr>
      </w:pPr>
      <w:r w:rsidRPr="00E14ED6">
        <w:rPr>
          <w:rFonts w:hint="cs"/>
          <w:rtl/>
        </w:rPr>
        <w:t>أ: العفّة ـ بالنسبة إلى الفقير ـ تعني القناعة وحفظ النفس وكبحها عن الميول الشهوانية، تحاشياً من الوقوع في المحرمات.</w:t>
      </w:r>
    </w:p>
    <w:p w:rsidR="00F52EBA" w:rsidRPr="00E14ED6" w:rsidRDefault="00F52EBA" w:rsidP="00B96741">
      <w:pPr>
        <w:pStyle w:val="ac"/>
        <w:spacing w:line="199" w:lineRule="auto"/>
        <w:rPr>
          <w:rFonts w:cs="AL-Mohanad"/>
          <w:bCs/>
          <w:sz w:val="26"/>
          <w:rtl/>
        </w:rPr>
      </w:pPr>
      <w:r w:rsidRPr="00B96741">
        <w:rPr>
          <w:rFonts w:hint="cs"/>
          <w:rtl/>
        </w:rPr>
        <w:t>قال تعالى:</w:t>
      </w:r>
      <w:r w:rsidRPr="00F52EBA">
        <w:rPr>
          <w:rFonts w:hint="cs"/>
          <w:rtl/>
        </w:rPr>
        <w:t xml:space="preserve"> </w:t>
      </w:r>
      <w:r>
        <w:rPr>
          <w:rtl/>
        </w:rPr>
        <w:t>﴿</w:t>
      </w:r>
      <w:r w:rsidRPr="00F52EBA">
        <w:rPr>
          <w:b/>
          <w:bCs/>
          <w:rtl/>
        </w:rPr>
        <w:t>لِلْفُقَراءِ الَّذِينَ أُحْصِرُوا فِي سَبِيلِ اللَّهِ لا يَسْتَطِيعُونَ ضَرْباً فِي الأَْرْضِ يَحْسَبُهُمُ الْجاهِلُ أَغْنِياءَ مِنَ التَّعَفُّفِ تَعْرِفُهُمْ بِسِيماهُمْ لا يَسْئَلُونَ النَّاسَ إِلْحافاً</w:t>
      </w:r>
      <w:r w:rsidRPr="00F52EBA">
        <w:rPr>
          <w:rFonts w:hint="cs"/>
        </w:rPr>
        <w:sym w:font="Islamic Units 1" w:char="F03C"/>
      </w:r>
      <w:r w:rsidRPr="00815C4C">
        <w:rPr>
          <w:rFonts w:cs="Taher"/>
          <w:vertAlign w:val="superscript"/>
          <w:rtl/>
        </w:rPr>
        <w:t>(</w:t>
      </w:r>
      <w:r w:rsidRPr="00815C4C">
        <w:rPr>
          <w:rFonts w:cs="Taher"/>
          <w:vertAlign w:val="superscript"/>
          <w:rtl/>
        </w:rPr>
        <w:footnoteReference w:id="1051"/>
      </w:r>
      <w:r w:rsidRPr="00815C4C">
        <w:rPr>
          <w:rFonts w:cs="Taher"/>
          <w:vertAlign w:val="superscript"/>
          <w:rtl/>
        </w:rPr>
        <w:t>)</w:t>
      </w:r>
      <w:r w:rsidRPr="00E14ED6">
        <w:rPr>
          <w:rFonts w:cs="AL-Mohanad" w:hint="cs"/>
          <w:bCs/>
          <w:sz w:val="26"/>
          <w:rtl/>
        </w:rPr>
        <w:t>.</w:t>
      </w:r>
    </w:p>
    <w:p w:rsidR="00F52EBA" w:rsidRPr="00B96741" w:rsidRDefault="00F52EBA" w:rsidP="00B96741">
      <w:pPr>
        <w:pStyle w:val="ac"/>
        <w:spacing w:line="199" w:lineRule="auto"/>
        <w:rPr>
          <w:sz w:val="29"/>
          <w:szCs w:val="29"/>
          <w:rtl/>
        </w:rPr>
      </w:pPr>
      <w:r w:rsidRPr="00B96741">
        <w:rPr>
          <w:rFonts w:hint="cs"/>
          <w:sz w:val="29"/>
          <w:szCs w:val="29"/>
          <w:rtl/>
        </w:rPr>
        <w:t xml:space="preserve">ب: العفّة ـ بالنسبة إلى الغني ـ تعني كف النفس وحفظها عن الشهوات التي تحصل للغني نتيجة سعة حاله ووفرة إمكاناته المالية، قال تعالى: </w:t>
      </w:r>
      <w:r w:rsidRPr="00B96741">
        <w:rPr>
          <w:rFonts w:hint="cs"/>
          <w:sz w:val="29"/>
          <w:szCs w:val="29"/>
        </w:rPr>
        <w:sym w:font="Islamic Units 1" w:char="F03E"/>
      </w:r>
      <w:r w:rsidRPr="00B96741">
        <w:rPr>
          <w:b/>
          <w:bCs/>
          <w:sz w:val="29"/>
          <w:szCs w:val="29"/>
          <w:rtl/>
        </w:rPr>
        <w:t>وَمَنْ كانَ غَنِيًّا فَلْيَسْتَعْفِفْ</w:t>
      </w:r>
      <w:r w:rsidRPr="00B96741">
        <w:rPr>
          <w:rFonts w:hint="cs"/>
          <w:sz w:val="29"/>
          <w:szCs w:val="29"/>
        </w:rPr>
        <w:sym w:font="Islamic Units 1" w:char="F03C"/>
      </w:r>
      <w:r w:rsidRPr="00B96741">
        <w:rPr>
          <w:rFonts w:cs="Taher"/>
          <w:sz w:val="29"/>
          <w:szCs w:val="29"/>
          <w:vertAlign w:val="superscript"/>
          <w:rtl/>
        </w:rPr>
        <w:t>(</w:t>
      </w:r>
      <w:r w:rsidRPr="00B96741">
        <w:rPr>
          <w:rFonts w:cs="Taher"/>
          <w:sz w:val="29"/>
          <w:szCs w:val="29"/>
          <w:vertAlign w:val="superscript"/>
          <w:rtl/>
        </w:rPr>
        <w:footnoteReference w:id="1052"/>
      </w:r>
      <w:r w:rsidRPr="00B96741">
        <w:rPr>
          <w:rFonts w:cs="Taher"/>
          <w:sz w:val="29"/>
          <w:szCs w:val="29"/>
          <w:vertAlign w:val="superscript"/>
          <w:rtl/>
        </w:rPr>
        <w:t>)</w:t>
      </w:r>
      <w:r w:rsidRPr="00B96741">
        <w:rPr>
          <w:rFonts w:hint="cs"/>
          <w:sz w:val="29"/>
          <w:szCs w:val="29"/>
          <w:rtl/>
        </w:rPr>
        <w:t>.</w:t>
      </w:r>
    </w:p>
    <w:p w:rsidR="00F52EBA" w:rsidRPr="00E14ED6" w:rsidRDefault="00F52EBA" w:rsidP="00B96741">
      <w:pPr>
        <w:pStyle w:val="ac"/>
        <w:spacing w:line="199" w:lineRule="auto"/>
        <w:rPr>
          <w:rtl/>
        </w:rPr>
      </w:pPr>
      <w:r w:rsidRPr="00E14ED6">
        <w:rPr>
          <w:rFonts w:hint="cs"/>
          <w:rtl/>
        </w:rPr>
        <w:t>ج: العفّة ـ بالنسبة إلى الأشخاص الذين لا يستطيعون النكاح ـ وهو: كفّ النفس عن الشهوات وحفظها عن التلوّث بالذنوب بالصوم والعبادة وذكر الله بلسانه وقلبه والتفكّر فيما يرضيه، قال تعالى:</w:t>
      </w:r>
      <w:r w:rsidRPr="00CB1851">
        <w:rPr>
          <w:rStyle w:val="Char3"/>
          <w:rFonts w:hint="cs"/>
          <w:rtl/>
        </w:rPr>
        <w:t xml:space="preserve"> </w:t>
      </w:r>
      <w:r>
        <w:rPr>
          <w:rtl/>
        </w:rPr>
        <w:t>﴿</w:t>
      </w:r>
      <w:r w:rsidRPr="00F52EBA">
        <w:rPr>
          <w:rFonts w:hint="eastAsia"/>
          <w:b/>
          <w:bCs/>
          <w:rtl/>
        </w:rPr>
        <w:t>وَ</w:t>
      </w:r>
      <w:r w:rsidRPr="00F52EBA">
        <w:rPr>
          <w:b/>
          <w:bCs/>
          <w:rtl/>
        </w:rPr>
        <w:t>لْيَسْتَعْفِفِ الَّذِينَ لا يَجِدُونَ نِكاحاً حَتَّى يُغْنِيَهُمُ اللَّهُ مِنْ فَضْلِهِ</w:t>
      </w:r>
      <w:r w:rsidRPr="0090748A">
        <w:rPr>
          <w:rFonts w:hint="cs"/>
        </w:rPr>
        <w:sym w:font="Islamic Units 1" w:char="F03C"/>
      </w:r>
      <w:r w:rsidRPr="00815C4C">
        <w:rPr>
          <w:rFonts w:cs="Taher"/>
          <w:vertAlign w:val="superscript"/>
          <w:rtl/>
        </w:rPr>
        <w:t>(</w:t>
      </w:r>
      <w:r w:rsidRPr="00815C4C">
        <w:rPr>
          <w:rFonts w:cs="Taher"/>
          <w:vertAlign w:val="superscript"/>
          <w:rtl/>
        </w:rPr>
        <w:footnoteReference w:id="1053"/>
      </w:r>
      <w:r w:rsidRPr="00815C4C">
        <w:rPr>
          <w:rFonts w:cs="Taher"/>
          <w:vertAlign w:val="superscript"/>
          <w:rtl/>
        </w:rPr>
        <w:t>)</w:t>
      </w:r>
      <w:r w:rsidRPr="00E14ED6">
        <w:rPr>
          <w:rFonts w:hint="cs"/>
          <w:rtl/>
        </w:rPr>
        <w:t>.</w:t>
      </w:r>
    </w:p>
    <w:p w:rsidR="00F52EBA" w:rsidRPr="00E14ED6" w:rsidRDefault="00F52EBA" w:rsidP="00F52EBA">
      <w:pPr>
        <w:pStyle w:val="ac"/>
        <w:rPr>
          <w:rFonts w:cs="AL-Mohanad"/>
          <w:sz w:val="26"/>
          <w:rtl/>
        </w:rPr>
      </w:pPr>
      <w:r w:rsidRPr="00F52EBA">
        <w:rPr>
          <w:rFonts w:hint="cs"/>
          <w:b/>
          <w:rtl/>
        </w:rPr>
        <w:lastRenderedPageBreak/>
        <w:t>د: العفّة ـ بالنسبة إلى القواعد من النساء ـ تعني حفظ النفس مما</w:t>
      </w:r>
      <w:r w:rsidRPr="00E14ED6">
        <w:rPr>
          <w:rFonts w:cs="AL-Mohanad" w:hint="cs"/>
          <w:sz w:val="26"/>
          <w:rtl/>
        </w:rPr>
        <w:t xml:space="preserve"> </w:t>
      </w:r>
      <w:r w:rsidRPr="00F52EBA">
        <w:rPr>
          <w:rFonts w:hint="cs"/>
          <w:b/>
          <w:rtl/>
        </w:rPr>
        <w:t>يستهويها</w:t>
      </w:r>
      <w:r w:rsidRPr="00E14ED6">
        <w:rPr>
          <w:rFonts w:cs="AL-Mohanad" w:hint="cs"/>
          <w:sz w:val="26"/>
          <w:rtl/>
        </w:rPr>
        <w:t xml:space="preserve">، </w:t>
      </w:r>
      <w:r w:rsidRPr="00F52EBA">
        <w:rPr>
          <w:rFonts w:hint="cs"/>
          <w:b/>
          <w:rtl/>
        </w:rPr>
        <w:t>كإظهار الزينة والتزين</w:t>
      </w:r>
      <w:r w:rsidRPr="00815C4C">
        <w:rPr>
          <w:rFonts w:cs="Taher"/>
          <w:vertAlign w:val="superscript"/>
          <w:rtl/>
        </w:rPr>
        <w:t>(</w:t>
      </w:r>
      <w:r w:rsidRPr="00815C4C">
        <w:rPr>
          <w:rFonts w:cs="Taher"/>
          <w:vertAlign w:val="superscript"/>
          <w:rtl/>
        </w:rPr>
        <w:footnoteReference w:id="1054"/>
      </w:r>
      <w:r w:rsidRPr="00815C4C">
        <w:rPr>
          <w:rFonts w:cs="Taher"/>
          <w:vertAlign w:val="superscript"/>
          <w:rtl/>
        </w:rPr>
        <w:t>)</w:t>
      </w:r>
      <w:r w:rsidRPr="00E14ED6">
        <w:rPr>
          <w:rFonts w:cs="AL-Mohanad" w:hint="cs"/>
          <w:sz w:val="26"/>
          <w:rtl/>
        </w:rPr>
        <w:t xml:space="preserve">، </w:t>
      </w:r>
      <w:r w:rsidRPr="00F52EBA">
        <w:rPr>
          <w:rFonts w:hint="cs"/>
          <w:b/>
          <w:rtl/>
        </w:rPr>
        <w:t>قال تعالى:</w:t>
      </w:r>
      <w:r w:rsidRPr="00CB1851">
        <w:rPr>
          <w:rStyle w:val="Char3"/>
          <w:rFonts w:hint="cs"/>
          <w:rtl/>
        </w:rPr>
        <w:t xml:space="preserve"> </w:t>
      </w:r>
      <w:r w:rsidRPr="00F52EBA">
        <w:rPr>
          <w:rFonts w:hint="cs"/>
        </w:rPr>
        <w:sym w:font="Islamic Units 1" w:char="F03E"/>
      </w:r>
      <w:r w:rsidRPr="00F52EBA">
        <w:rPr>
          <w:b/>
          <w:bCs/>
          <w:rtl/>
        </w:rPr>
        <w:t>وَالْقَواعِدُ مِنَ النِّساءِ اللاَّتِي لا يَرْجُونَ نِكاحاً فَلَيْسَ عَلَيْهِنَّ جُناحٌ أَنْ يَضَعْنَ ثِيابَهُنَّ غَيْرَ مُتَبَرِّجاتٍ بِزِينَةٍ وَأَنْ يَسْتَعْفِفْنَ خَيْرٌ لَهُنَّ</w:t>
      </w:r>
      <w:r w:rsidRPr="00F52EBA">
        <w:rPr>
          <w:rFonts w:hint="cs"/>
        </w:rPr>
        <w:sym w:font="Islamic Units 1" w:char="F03C"/>
      </w:r>
      <w:r w:rsidRPr="00815C4C">
        <w:rPr>
          <w:rFonts w:cs="Taher"/>
          <w:vertAlign w:val="superscript"/>
          <w:rtl/>
        </w:rPr>
        <w:t>(</w:t>
      </w:r>
      <w:r w:rsidRPr="00815C4C">
        <w:rPr>
          <w:rFonts w:cs="Taher"/>
          <w:vertAlign w:val="superscript"/>
          <w:rtl/>
        </w:rPr>
        <w:footnoteReference w:id="1055"/>
      </w:r>
      <w:r w:rsidRPr="00815C4C">
        <w:rPr>
          <w:rFonts w:cs="Taher"/>
          <w:vertAlign w:val="superscript"/>
          <w:rtl/>
        </w:rPr>
        <w:t>)</w:t>
      </w:r>
      <w:r w:rsidRPr="00E14ED6">
        <w:rPr>
          <w:rFonts w:cs="AL-Mohanad" w:hint="cs"/>
          <w:sz w:val="26"/>
          <w:rtl/>
        </w:rPr>
        <w:t>.</w:t>
      </w:r>
    </w:p>
    <w:p w:rsidR="00F52EBA" w:rsidRPr="00E14ED6" w:rsidRDefault="00F52EBA" w:rsidP="00F52EBA">
      <w:pPr>
        <w:pStyle w:val="ac"/>
        <w:rPr>
          <w:rtl/>
        </w:rPr>
      </w:pPr>
      <w:r w:rsidRPr="00E14ED6">
        <w:rPr>
          <w:rFonts w:hint="cs"/>
          <w:rtl/>
        </w:rPr>
        <w:t>وأمّا في علم الأخلاق: فالعفّة مقابل القوة الشهوانية والنفس البهيمية، أي أنّ القوى الشهوانية كلّما اعتدلت ولم تتجاوز عن حدّها وأطاعت العقل ولم تغرق في الشهوات ولم تخالف أوامر القوة العاقلة أو تخرج عن سلطانها ـ سيما في الموارد الشهوانية ـ يقال لصاحبها حينئذ: عفيف، ويتّصف بصفة العفّة الحميدة</w:t>
      </w:r>
      <w:r w:rsidRPr="00815C4C">
        <w:rPr>
          <w:rFonts w:cs="Taher"/>
          <w:vertAlign w:val="superscript"/>
          <w:rtl/>
        </w:rPr>
        <w:t>(</w:t>
      </w:r>
      <w:r w:rsidRPr="00815C4C">
        <w:rPr>
          <w:rFonts w:cs="Taher"/>
          <w:vertAlign w:val="superscript"/>
          <w:rtl/>
        </w:rPr>
        <w:footnoteReference w:id="1056"/>
      </w:r>
      <w:r w:rsidRPr="00815C4C">
        <w:rPr>
          <w:rFonts w:cs="Taher"/>
          <w:vertAlign w:val="superscript"/>
          <w:rtl/>
        </w:rPr>
        <w:t>)</w:t>
      </w:r>
      <w:r w:rsidRPr="00E14ED6">
        <w:rPr>
          <w:rFonts w:hint="cs"/>
          <w:rtl/>
        </w:rPr>
        <w:t>.</w:t>
      </w:r>
    </w:p>
    <w:p w:rsidR="00F52EBA" w:rsidRDefault="00F52EBA" w:rsidP="00F52EBA">
      <w:pPr>
        <w:pStyle w:val="ac"/>
        <w:rPr>
          <w:rtl/>
        </w:rPr>
      </w:pPr>
      <w:r w:rsidRPr="00E14ED6">
        <w:rPr>
          <w:rFonts w:hint="cs"/>
          <w:rtl/>
        </w:rPr>
        <w:t xml:space="preserve">يقول الملاّ أحمد النراقي صاحب كتاب معراج السعادة في تعريفه العفّة: </w:t>
      </w:r>
      <w:r w:rsidRPr="00617008">
        <w:rPr>
          <w:rFonts w:hint="cs"/>
          <w:rtl/>
        </w:rPr>
        <w:t>«</w:t>
      </w:r>
      <w:r w:rsidRPr="00E14ED6">
        <w:rPr>
          <w:rFonts w:hint="cs"/>
          <w:rtl/>
        </w:rPr>
        <w:t>العفّة عبارة عن طاعة القوة الشهوانية وانقيادها للقوة العاقلة فتَتّبع أوامر العقل في مجال الأكل والشرب والنكاح والجماع، وتجنب ما ينهى عنه</w:t>
      </w:r>
      <w:r w:rsidRPr="00617008">
        <w:rPr>
          <w:rFonts w:hint="cs"/>
          <w:rtl/>
        </w:rPr>
        <w:t>»</w:t>
      </w:r>
      <w:r w:rsidRPr="00815C4C">
        <w:rPr>
          <w:rFonts w:cs="Taher"/>
          <w:vertAlign w:val="superscript"/>
          <w:rtl/>
        </w:rPr>
        <w:t>(</w:t>
      </w:r>
      <w:r w:rsidRPr="00815C4C">
        <w:rPr>
          <w:rFonts w:cs="Taher"/>
          <w:vertAlign w:val="superscript"/>
          <w:rtl/>
        </w:rPr>
        <w:footnoteReference w:id="1057"/>
      </w:r>
      <w:r w:rsidRPr="00815C4C">
        <w:rPr>
          <w:rFonts w:cs="Taher"/>
          <w:vertAlign w:val="superscript"/>
          <w:rtl/>
        </w:rPr>
        <w:t>)</w:t>
      </w:r>
      <w:r w:rsidRPr="00E14ED6">
        <w:rPr>
          <w:rFonts w:hint="cs"/>
          <w:rtl/>
        </w:rPr>
        <w:t>.</w:t>
      </w:r>
    </w:p>
    <w:p w:rsidR="00F52EBA" w:rsidRPr="00B96741" w:rsidRDefault="00F52EBA" w:rsidP="00B96741">
      <w:pPr>
        <w:pStyle w:val="afffffc"/>
        <w:rPr>
          <w:sz w:val="24"/>
          <w:szCs w:val="22"/>
          <w:rtl/>
        </w:rPr>
      </w:pPr>
    </w:p>
    <w:p w:rsidR="00F52EBA" w:rsidRPr="0017088F" w:rsidRDefault="00F52EBA" w:rsidP="00F52EBA">
      <w:pPr>
        <w:pStyle w:val="1"/>
        <w:rPr>
          <w:rtl/>
        </w:rPr>
      </w:pPr>
      <w:bookmarkStart w:id="675" w:name="_Toc169521522"/>
      <w:bookmarkStart w:id="676" w:name="_Toc275128305"/>
      <w:r w:rsidRPr="0017088F">
        <w:rPr>
          <w:rFonts w:hint="cs"/>
          <w:rtl/>
        </w:rPr>
        <w:t>جذور العفاف في الفطرة</w:t>
      </w:r>
      <w:bookmarkEnd w:id="675"/>
      <w:bookmarkEnd w:id="676"/>
    </w:p>
    <w:p w:rsidR="00F52EBA" w:rsidRPr="00E14ED6" w:rsidRDefault="00F52EBA" w:rsidP="00F52EBA">
      <w:pPr>
        <w:pStyle w:val="ac"/>
        <w:rPr>
          <w:rtl/>
        </w:rPr>
      </w:pPr>
      <w:r w:rsidRPr="00E14ED6">
        <w:rPr>
          <w:rFonts w:hint="cs"/>
          <w:rtl/>
        </w:rPr>
        <w:t>حقيقة البشر واحدة ولكن الحياة ذات بعدين، مادي ومعنوي، ولكلّ من هذين البعدين القابلية على التكامل والنمو، ولتكامل أي منهما أو تناقصه تأثير مباشر على الآخر، ورغم انفصال كل من هذين البعدين عن الآخر، ولكن لا ينفك تأثير أحدهما عن صاحبه.</w:t>
      </w:r>
    </w:p>
    <w:p w:rsidR="00F52EBA" w:rsidRPr="00E14ED6" w:rsidRDefault="00F52EBA" w:rsidP="00F52EBA">
      <w:pPr>
        <w:pStyle w:val="ac"/>
        <w:rPr>
          <w:rtl/>
        </w:rPr>
      </w:pPr>
      <w:r w:rsidRPr="00E14ED6">
        <w:rPr>
          <w:rFonts w:hint="cs"/>
          <w:rtl/>
        </w:rPr>
        <w:t>ويؤثر على الحياة الإنسانية أكثر من هذين البعدين (المادي والمعنوي) نوع وكيفية رؤية كلّ فرد إلى نفسه، وإلى العالم الذي يحيط به، وهذه الرؤى والتغييرات لها أثر مباشر على قبض وبسط سعة الحياة المادية والمعنوية للإنسان، ولذا تختلف حياة الإنسان وأهدافه الحالية عن الماضي اختلافاً شاسعاً.</w:t>
      </w:r>
    </w:p>
    <w:p w:rsidR="00F52EBA" w:rsidRPr="00E14ED6" w:rsidRDefault="00F52EBA" w:rsidP="00B96741">
      <w:pPr>
        <w:pStyle w:val="ac"/>
        <w:spacing w:line="211" w:lineRule="auto"/>
        <w:rPr>
          <w:rtl/>
        </w:rPr>
      </w:pPr>
      <w:r w:rsidRPr="00E14ED6">
        <w:rPr>
          <w:rFonts w:hint="cs"/>
          <w:rtl/>
        </w:rPr>
        <w:lastRenderedPageBreak/>
        <w:t xml:space="preserve">مع ذلك، يجب ألاّ نتصور تغيرُّ كلّ شيء مع هذه التغيرات والتحولات بحيث لم تبق هناك نقطة اشتراك، بل هناك نقاط اشتراك عديدة بقيت ثابتة ومهمّة في جميع العصور، كحبّ العدالة، وحبّ النوع البشري، وحبّ الصدق، وتكريم المصلحين الاجتماعيين، ومقاومة الظلم، و... ذلك كلّه يدلّ على أنّ هناك اعتقادات ومفاهيم عامّة مشتركة لدى جميع أفراد البشر وفي جميع العصور؛ وإن تفاوتت المصاديق، وتتسمى هذه الاعتقادات في الأديان السماوية بـ </w:t>
      </w:r>
      <w:r w:rsidRPr="00617008">
        <w:rPr>
          <w:rFonts w:hint="cs"/>
          <w:rtl/>
        </w:rPr>
        <w:t>«</w:t>
      </w:r>
      <w:r w:rsidRPr="00E14ED6">
        <w:rPr>
          <w:rFonts w:hint="cs"/>
          <w:rtl/>
        </w:rPr>
        <w:t>الفطرة</w:t>
      </w:r>
      <w:r w:rsidRPr="00617008">
        <w:rPr>
          <w:rFonts w:hint="cs"/>
          <w:rtl/>
        </w:rPr>
        <w:t>»</w:t>
      </w:r>
      <w:r w:rsidRPr="00E14ED6">
        <w:rPr>
          <w:rFonts w:hint="cs"/>
          <w:rtl/>
        </w:rPr>
        <w:t>.</w:t>
      </w:r>
    </w:p>
    <w:p w:rsidR="00F52EBA" w:rsidRPr="00E14ED6" w:rsidRDefault="00F52EBA" w:rsidP="00B96741">
      <w:pPr>
        <w:pStyle w:val="ac"/>
        <w:spacing w:line="211" w:lineRule="auto"/>
        <w:rPr>
          <w:rtl/>
        </w:rPr>
      </w:pPr>
      <w:r w:rsidRPr="00E14ED6">
        <w:rPr>
          <w:rFonts w:hint="cs"/>
          <w:rtl/>
        </w:rPr>
        <w:t>الفطرة أمر جعله الله تعالى في ذات كلّ فرد، بحيث يميل ويرغب إليه كلّ شخص بدون أي اكتساب، والعفاف أحد هذه الاعتقادات التي قلنا: إنها فطرية، حيث تحكم العفّة والتعفّف روح الإنسان منذ بدء خلق البشر وحتى الآن.</w:t>
      </w:r>
    </w:p>
    <w:p w:rsidR="00F52EBA" w:rsidRPr="00E14ED6" w:rsidRDefault="00F52EBA" w:rsidP="00B96741">
      <w:pPr>
        <w:pStyle w:val="ac"/>
        <w:spacing w:line="211" w:lineRule="auto"/>
        <w:rPr>
          <w:rtl/>
        </w:rPr>
      </w:pPr>
      <w:r w:rsidRPr="00E14ED6">
        <w:rPr>
          <w:rFonts w:hint="cs"/>
          <w:rtl/>
        </w:rPr>
        <w:t>طبعاً، يمكن أن تتغير بعض أبعادها كالشكل والمقدار والكيفية في مختلف الأدوار، ولكنها تبدو ظاهرة دائماً.</w:t>
      </w:r>
    </w:p>
    <w:p w:rsidR="00F52EBA" w:rsidRPr="00E14ED6" w:rsidRDefault="00F52EBA" w:rsidP="00B96741">
      <w:pPr>
        <w:pStyle w:val="ac"/>
        <w:spacing w:line="211" w:lineRule="auto"/>
        <w:rPr>
          <w:rFonts w:cs="AL-Mohanad"/>
          <w:bCs/>
          <w:sz w:val="26"/>
          <w:rtl/>
        </w:rPr>
      </w:pPr>
      <w:r w:rsidRPr="00F52EBA">
        <w:rPr>
          <w:rFonts w:hint="cs"/>
          <w:b/>
          <w:rtl/>
        </w:rPr>
        <w:t>يذكر القرآن الكريم هذه الخصلة الفطرية في قصّة خلق آدم</w:t>
      </w:r>
      <w:r w:rsidRPr="00E14ED6">
        <w:rPr>
          <w:rFonts w:cs="AL-Mohanad" w:hint="cs"/>
          <w:bCs/>
          <w:sz w:val="26"/>
          <w:rtl/>
        </w:rPr>
        <w:t xml:space="preserve"> </w:t>
      </w:r>
      <w:r w:rsidRPr="00F52EBA">
        <w:rPr>
          <w:rFonts w:hint="cs"/>
          <w:b/>
          <w:rtl/>
        </w:rPr>
        <w:t>وحواء، فيقول:</w:t>
      </w:r>
      <w:r w:rsidRPr="00E14ED6">
        <w:rPr>
          <w:rFonts w:cs="AL-Mohanad" w:hint="cs"/>
          <w:bCs/>
          <w:sz w:val="26"/>
          <w:rtl/>
        </w:rPr>
        <w:t xml:space="preserve"> </w:t>
      </w:r>
      <w:r w:rsidR="00617008">
        <w:rPr>
          <w:rFonts w:ascii="Mosawi" w:hAnsi="Mosawi"/>
          <w:rtl/>
        </w:rPr>
        <w:t>﴿</w:t>
      </w:r>
      <w:r w:rsidR="00617008" w:rsidRPr="00617008">
        <w:rPr>
          <w:b/>
          <w:bCs/>
          <w:rtl/>
        </w:rPr>
        <w:t>فَدَلَّاهُمَا بِغُرُورٍ فَلَمَّا ذَاقَا الشَّجَرَةَ بَدَتْ لَهُمَا سَوْآتُهُمَا وَطَفِقَا يَخْصِفَانِ عَلَيْهِمَا مِن وَرَقِ الجَنَّةِ</w:t>
      </w:r>
      <w:r w:rsidR="00617008">
        <w:rPr>
          <w:rFonts w:ascii="Mosawi" w:hAnsi="Mosawi"/>
          <w:rtl/>
        </w:rPr>
        <w:t>﴾</w:t>
      </w:r>
      <w:r w:rsidRPr="00815C4C">
        <w:rPr>
          <w:rFonts w:cs="Taher"/>
          <w:vertAlign w:val="superscript"/>
          <w:rtl/>
        </w:rPr>
        <w:t>(</w:t>
      </w:r>
      <w:r w:rsidRPr="00815C4C">
        <w:rPr>
          <w:rFonts w:cs="Taher"/>
          <w:vertAlign w:val="superscript"/>
          <w:rtl/>
        </w:rPr>
        <w:footnoteReference w:id="1058"/>
      </w:r>
      <w:r w:rsidRPr="00815C4C">
        <w:rPr>
          <w:rFonts w:cs="Taher"/>
          <w:vertAlign w:val="superscript"/>
          <w:rtl/>
        </w:rPr>
        <w:t>)</w:t>
      </w:r>
      <w:r w:rsidRPr="00E14ED6">
        <w:rPr>
          <w:rFonts w:cs="AL-Mohanad" w:hint="cs"/>
          <w:bCs/>
          <w:sz w:val="26"/>
          <w:rtl/>
        </w:rPr>
        <w:t>.</w:t>
      </w:r>
    </w:p>
    <w:p w:rsidR="00F52EBA" w:rsidRPr="00E14ED6" w:rsidRDefault="00F52EBA" w:rsidP="00B96741">
      <w:pPr>
        <w:pStyle w:val="ac"/>
        <w:spacing w:line="211" w:lineRule="auto"/>
        <w:rPr>
          <w:rtl/>
        </w:rPr>
      </w:pPr>
      <w:r w:rsidRPr="00E14ED6">
        <w:rPr>
          <w:rFonts w:hint="cs"/>
          <w:rtl/>
        </w:rPr>
        <w:t>كما أُوصي بالعفاف والحياء في الأديان الإلهية الأُخرى كثيراً.</w:t>
      </w:r>
    </w:p>
    <w:p w:rsidR="00F52EBA" w:rsidRPr="00E14ED6" w:rsidRDefault="00F52EBA" w:rsidP="00B96741">
      <w:pPr>
        <w:pStyle w:val="ac"/>
        <w:spacing w:line="211" w:lineRule="auto"/>
        <w:rPr>
          <w:rtl/>
        </w:rPr>
      </w:pPr>
      <w:r w:rsidRPr="00E14ED6">
        <w:rPr>
          <w:rFonts w:hint="cs"/>
          <w:rtl/>
        </w:rPr>
        <w:t xml:space="preserve">وردَ في رسالة بولس في العهد الجديد ما يلي: </w:t>
      </w:r>
      <w:r w:rsidRPr="00617008">
        <w:rPr>
          <w:rFonts w:hint="cs"/>
          <w:rtl/>
        </w:rPr>
        <w:t>«</w:t>
      </w:r>
      <w:r w:rsidRPr="00E14ED6">
        <w:rPr>
          <w:rFonts w:hint="cs"/>
          <w:rtl/>
        </w:rPr>
        <w:t>فلتتزين النساء بلباس الحياء والتقوى لا بالشعر والذهب والدرّ والثياب الفاخرة</w:t>
      </w:r>
      <w:r w:rsidRPr="00617008">
        <w:rPr>
          <w:rFonts w:hint="cs"/>
          <w:rtl/>
        </w:rPr>
        <w:t>»</w:t>
      </w:r>
      <w:r w:rsidRPr="00815C4C">
        <w:rPr>
          <w:rFonts w:cs="Taher"/>
          <w:vertAlign w:val="superscript"/>
          <w:rtl/>
        </w:rPr>
        <w:t>(</w:t>
      </w:r>
      <w:r w:rsidRPr="00815C4C">
        <w:rPr>
          <w:rFonts w:cs="Taher"/>
          <w:vertAlign w:val="superscript"/>
          <w:rtl/>
        </w:rPr>
        <w:footnoteReference w:id="1059"/>
      </w:r>
      <w:r w:rsidRPr="00815C4C">
        <w:rPr>
          <w:rFonts w:cs="Taher"/>
          <w:vertAlign w:val="superscript"/>
          <w:rtl/>
        </w:rPr>
        <w:t>)</w:t>
      </w:r>
      <w:r w:rsidRPr="00E14ED6">
        <w:rPr>
          <w:rFonts w:hint="cs"/>
          <w:rtl/>
        </w:rPr>
        <w:t>.</w:t>
      </w:r>
    </w:p>
    <w:p w:rsidR="00F52EBA" w:rsidRPr="00E14ED6" w:rsidRDefault="00F52EBA" w:rsidP="00B96741">
      <w:pPr>
        <w:pStyle w:val="ac"/>
        <w:spacing w:line="211" w:lineRule="auto"/>
        <w:rPr>
          <w:rtl/>
        </w:rPr>
      </w:pPr>
      <w:r w:rsidRPr="00E14ED6">
        <w:rPr>
          <w:rFonts w:hint="cs"/>
          <w:rtl/>
        </w:rPr>
        <w:t>واستنتج البعض ـ استناداً إلى التماثيل والرسوم والخطوط التاريخية والآثار الباقية ـ أنّ العلة الأساسية لانتخاب الملابس الحياء وستر العورة، وليس الحرّ والبرد</w:t>
      </w:r>
      <w:r w:rsidRPr="00815C4C">
        <w:rPr>
          <w:rFonts w:cs="Taher"/>
          <w:vertAlign w:val="superscript"/>
          <w:rtl/>
        </w:rPr>
        <w:t>(</w:t>
      </w:r>
      <w:r w:rsidRPr="00815C4C">
        <w:rPr>
          <w:rFonts w:cs="Taher"/>
          <w:vertAlign w:val="superscript"/>
          <w:rtl/>
        </w:rPr>
        <w:footnoteReference w:id="1060"/>
      </w:r>
      <w:r w:rsidRPr="00815C4C">
        <w:rPr>
          <w:rFonts w:cs="Taher"/>
          <w:vertAlign w:val="superscript"/>
          <w:rtl/>
        </w:rPr>
        <w:t>)</w:t>
      </w:r>
      <w:r w:rsidRPr="00E14ED6">
        <w:rPr>
          <w:rFonts w:hint="cs"/>
          <w:rtl/>
        </w:rPr>
        <w:t>.</w:t>
      </w:r>
    </w:p>
    <w:p w:rsidR="00F52EBA" w:rsidRPr="00E14ED6" w:rsidRDefault="00F52EBA" w:rsidP="00B96741">
      <w:pPr>
        <w:pStyle w:val="ac"/>
        <w:spacing w:line="211" w:lineRule="auto"/>
        <w:rPr>
          <w:rtl/>
        </w:rPr>
      </w:pPr>
      <w:r w:rsidRPr="00E14ED6">
        <w:rPr>
          <w:rFonts w:hint="cs"/>
          <w:rtl/>
        </w:rPr>
        <w:t xml:space="preserve">وكانت النساء الإيرانيات في العصور المختلفة يرتدين الملابس للستر، في عهد </w:t>
      </w:r>
      <w:r w:rsidRPr="00E14ED6">
        <w:rPr>
          <w:rFonts w:hint="cs"/>
          <w:rtl/>
        </w:rPr>
        <w:lastRenderedPageBreak/>
        <w:t>الهخامنشيين والأشكانيين والساسانيين..</w:t>
      </w:r>
      <w:r w:rsidRPr="00815C4C">
        <w:rPr>
          <w:rFonts w:cs="Taher"/>
          <w:vertAlign w:val="superscript"/>
          <w:rtl/>
        </w:rPr>
        <w:t>(</w:t>
      </w:r>
      <w:r w:rsidRPr="00815C4C">
        <w:rPr>
          <w:rFonts w:cs="Taher"/>
          <w:vertAlign w:val="superscript"/>
          <w:rtl/>
        </w:rPr>
        <w:footnoteReference w:id="1061"/>
      </w:r>
      <w:r w:rsidRPr="00815C4C">
        <w:rPr>
          <w:rFonts w:cs="Taher"/>
          <w:vertAlign w:val="superscript"/>
          <w:rtl/>
        </w:rPr>
        <w:t>)</w:t>
      </w:r>
      <w:r w:rsidRPr="00E14ED6">
        <w:rPr>
          <w:rFonts w:hint="cs"/>
          <w:rtl/>
        </w:rPr>
        <w:t>.</w:t>
      </w:r>
    </w:p>
    <w:p w:rsidR="00F52EBA" w:rsidRPr="00E14ED6" w:rsidRDefault="00F52EBA" w:rsidP="00B96741">
      <w:pPr>
        <w:pStyle w:val="ac"/>
        <w:spacing w:line="202" w:lineRule="auto"/>
        <w:rPr>
          <w:rtl/>
        </w:rPr>
      </w:pPr>
      <w:r w:rsidRPr="00E14ED6">
        <w:rPr>
          <w:rFonts w:hint="cs"/>
          <w:rtl/>
        </w:rPr>
        <w:t xml:space="preserve">كتب فريد وجدي في هذا المجال: عادة احتجاب النساء قديمة جداً، فقد جاء في دائرة معارف </w:t>
      </w:r>
      <w:r w:rsidRPr="00617008">
        <w:rPr>
          <w:rFonts w:hint="cs"/>
          <w:rtl/>
        </w:rPr>
        <w:t>«</w:t>
      </w:r>
      <w:r w:rsidRPr="00E14ED6">
        <w:rPr>
          <w:rFonts w:hint="cs"/>
          <w:rtl/>
        </w:rPr>
        <w:t>لاروس</w:t>
      </w:r>
      <w:r w:rsidRPr="00617008">
        <w:rPr>
          <w:rFonts w:hint="cs"/>
          <w:rtl/>
        </w:rPr>
        <w:t>»</w:t>
      </w:r>
      <w:r w:rsidRPr="00E14ED6">
        <w:rPr>
          <w:rFonts w:hint="cs"/>
          <w:rtl/>
        </w:rPr>
        <w:t xml:space="preserve"> ما خلاصته: كان من عادة نساء اليونانيين القدماء أن يحجبن وجوههنّ وأجسامهنّ بطرف مآزرهن إلى الأقدام... وقد ذكر الحجاب بين كلمات قدماء المؤلّفين اليونان، حتى أنّ بنيلوب زوجة الملك عوليس كانت ترتدي الحجاب أيضاً وتظهر محتجبة، كما كان لنساء مدينة ثيب حجابٌ خاص بحيث كنّ يغطين وجوههن بقماش ترك فيه ثقبان أمام العينين كيما يرين بصورة واضحة، وفي إسبرطا كانت الفتيات ترتدي الحجاب بعد الزواج.</w:t>
      </w:r>
    </w:p>
    <w:p w:rsidR="00F52EBA" w:rsidRPr="00E14ED6" w:rsidRDefault="00F52EBA" w:rsidP="00B96741">
      <w:pPr>
        <w:pStyle w:val="ac"/>
        <w:spacing w:line="202" w:lineRule="auto"/>
        <w:rPr>
          <w:rtl/>
        </w:rPr>
      </w:pPr>
      <w:r w:rsidRPr="00E14ED6">
        <w:rPr>
          <w:rFonts w:hint="cs"/>
          <w:rtl/>
        </w:rPr>
        <w:t>وهناك نقوش وآثار باقية تدل على أن المرأة كانت ترتدي حجاباً يغطي رأسها عدا وجهها، ولكنها عندما تذهب إلى السوق تغطي حتى وجهها سواء كانت عذراء أم متزوجة.</w:t>
      </w:r>
    </w:p>
    <w:p w:rsidR="00F52EBA" w:rsidRPr="00E14ED6" w:rsidRDefault="00F52EBA" w:rsidP="00B96741">
      <w:pPr>
        <w:pStyle w:val="ac"/>
        <w:spacing w:line="202" w:lineRule="auto"/>
        <w:rPr>
          <w:rtl/>
        </w:rPr>
      </w:pPr>
      <w:r w:rsidRPr="00E14ED6">
        <w:rPr>
          <w:rFonts w:hint="cs"/>
          <w:rtl/>
        </w:rPr>
        <w:t>ونساء سيبريا وسكان آسيا الصغرى أيضاً، كان لهنّ حجاب، وأما حجاب نساء رومانيا فكان أشدّ التزاماً، لدرجة أن المرأة كانت لا تخرج من دارها إلاّ مخفورةً ملثمة باعتناء زائد، وعليها رداء طويل يلامس الكعبين، وفوق ذلك عباءة لا تسمح برؤية شكل قوامها</w:t>
      </w:r>
      <w:r w:rsidRPr="00815C4C">
        <w:rPr>
          <w:rFonts w:cs="Taher"/>
          <w:vertAlign w:val="superscript"/>
          <w:rtl/>
        </w:rPr>
        <w:t>(</w:t>
      </w:r>
      <w:r w:rsidRPr="00815C4C">
        <w:rPr>
          <w:rFonts w:cs="Taher"/>
          <w:vertAlign w:val="superscript"/>
          <w:rtl/>
        </w:rPr>
        <w:footnoteReference w:id="1062"/>
      </w:r>
      <w:r w:rsidRPr="00815C4C">
        <w:rPr>
          <w:rFonts w:cs="Taher"/>
          <w:vertAlign w:val="superscript"/>
          <w:rtl/>
        </w:rPr>
        <w:t>)</w:t>
      </w:r>
      <w:r w:rsidRPr="00E14ED6">
        <w:rPr>
          <w:rFonts w:hint="cs"/>
          <w:rtl/>
        </w:rPr>
        <w:t>.</w:t>
      </w:r>
    </w:p>
    <w:p w:rsidR="00F52EBA" w:rsidRDefault="00F52EBA" w:rsidP="00B96741">
      <w:pPr>
        <w:pStyle w:val="ac"/>
        <w:spacing w:line="202" w:lineRule="auto"/>
        <w:rPr>
          <w:rtl/>
        </w:rPr>
      </w:pPr>
      <w:r w:rsidRPr="00E14ED6">
        <w:rPr>
          <w:rFonts w:hint="cs"/>
          <w:rtl/>
        </w:rPr>
        <w:t>هذه الموارد جميعها تشير إلى أنّ الحياء والعفاف خصلة إنسانية يميل إليها البشر بأجمعهم ـ طبقاً للفطرة والخلقة ـ وما زالت القوانين العالمية تؤكد على منع الأعمال المنافية للعفة، وإن كان العمل بها وميزان تطبيقها لا يستوي في جميع المناطق.</w:t>
      </w:r>
    </w:p>
    <w:p w:rsidR="00F52EBA" w:rsidRPr="00B96741" w:rsidRDefault="00F52EBA" w:rsidP="00B96741">
      <w:pPr>
        <w:pStyle w:val="afffffc"/>
        <w:rPr>
          <w:sz w:val="18"/>
          <w:szCs w:val="16"/>
          <w:rtl/>
        </w:rPr>
      </w:pPr>
    </w:p>
    <w:p w:rsidR="00F52EBA" w:rsidRPr="0017088F" w:rsidRDefault="00F52EBA" w:rsidP="00F52EBA">
      <w:pPr>
        <w:pStyle w:val="1"/>
        <w:rPr>
          <w:rtl/>
        </w:rPr>
      </w:pPr>
      <w:bookmarkStart w:id="677" w:name="_Toc169521523"/>
      <w:bookmarkStart w:id="678" w:name="_Toc275128306"/>
      <w:r w:rsidRPr="0017088F">
        <w:rPr>
          <w:rFonts w:hint="cs"/>
          <w:rtl/>
        </w:rPr>
        <w:t>إنبات العفاف في ظل الوراثة والتربية</w:t>
      </w:r>
      <w:bookmarkEnd w:id="677"/>
      <w:bookmarkEnd w:id="678"/>
    </w:p>
    <w:p w:rsidR="00F52EBA" w:rsidRPr="00E14ED6" w:rsidRDefault="00F52EBA" w:rsidP="00F52EBA">
      <w:pPr>
        <w:pStyle w:val="ac"/>
        <w:rPr>
          <w:rtl/>
        </w:rPr>
      </w:pPr>
      <w:r w:rsidRPr="00E14ED6">
        <w:rPr>
          <w:rFonts w:hint="cs"/>
          <w:rtl/>
        </w:rPr>
        <w:t xml:space="preserve">لعاملي التربية والوراثة دور مهم ومؤثّر في تربية السجايا الأخلاقية كالعفّة والسعادة وتوفيق الإنسان، حيث يمكن تربية جيل طاهر وسليم وسعيد باتّباع الاُسس التربوية </w:t>
      </w:r>
      <w:r w:rsidRPr="00E14ED6">
        <w:rPr>
          <w:rFonts w:hint="cs"/>
          <w:rtl/>
        </w:rPr>
        <w:lastRenderedPageBreak/>
        <w:t>والتعليمية الصحيحة والمناسبة، لذا وجب على الإنسان أن يولي هذين الموضوعين معرفة واهتماماً كافيين.</w:t>
      </w:r>
    </w:p>
    <w:p w:rsidR="00F52EBA" w:rsidRPr="00E14ED6" w:rsidRDefault="00F52EBA" w:rsidP="00B96741">
      <w:pPr>
        <w:pStyle w:val="ac"/>
        <w:rPr>
          <w:rtl/>
        </w:rPr>
      </w:pPr>
      <w:r w:rsidRPr="00617008">
        <w:rPr>
          <w:rFonts w:hint="cs"/>
          <w:rtl/>
        </w:rPr>
        <w:t>«</w:t>
      </w:r>
      <w:r w:rsidRPr="00E75F8E">
        <w:rPr>
          <w:rFonts w:hint="cs"/>
          <w:rtl/>
        </w:rPr>
        <w:t>الوراثة هي: انتقال القوى الطبيعية من الموجود الحي إلى الجيل الذي يليه، سواء كانت خاصة بهذا الجيل أو مشتركة بين جميع أفراد هذا النوع أو ببعض أفراده</w:t>
      </w:r>
      <w:r w:rsidRPr="00617008">
        <w:rPr>
          <w:rFonts w:hint="cs"/>
          <w:rtl/>
        </w:rPr>
        <w:t>»</w:t>
      </w:r>
      <w:r w:rsidRPr="00815C4C">
        <w:rPr>
          <w:rFonts w:cs="Taher"/>
          <w:vertAlign w:val="superscript"/>
          <w:rtl/>
        </w:rPr>
        <w:t>(</w:t>
      </w:r>
      <w:r w:rsidRPr="00815C4C">
        <w:rPr>
          <w:rFonts w:cs="Taher"/>
          <w:vertAlign w:val="superscript"/>
          <w:rtl/>
        </w:rPr>
        <w:footnoteReference w:id="1063"/>
      </w:r>
      <w:r w:rsidRPr="00815C4C">
        <w:rPr>
          <w:rFonts w:cs="Taher"/>
          <w:vertAlign w:val="superscript"/>
          <w:rtl/>
        </w:rPr>
        <w:t>)</w:t>
      </w:r>
      <w:r w:rsidRPr="00E75F8E">
        <w:rPr>
          <w:rFonts w:hint="cs"/>
          <w:rtl/>
        </w:rPr>
        <w:t>.</w:t>
      </w:r>
    </w:p>
    <w:p w:rsidR="00F52EBA" w:rsidRPr="00E14ED6" w:rsidRDefault="00F52EBA" w:rsidP="00B96741">
      <w:pPr>
        <w:pStyle w:val="ac"/>
        <w:rPr>
          <w:rtl/>
        </w:rPr>
      </w:pPr>
      <w:r w:rsidRPr="00E14ED6">
        <w:rPr>
          <w:rFonts w:hint="cs"/>
          <w:rtl/>
        </w:rPr>
        <w:t xml:space="preserve">وبتعبير آخر: </w:t>
      </w:r>
      <w:r w:rsidRPr="00617008">
        <w:rPr>
          <w:rFonts w:hint="cs"/>
          <w:rtl/>
        </w:rPr>
        <w:t>«</w:t>
      </w:r>
      <w:r w:rsidRPr="00E14ED6">
        <w:rPr>
          <w:rFonts w:hint="cs"/>
          <w:rtl/>
        </w:rPr>
        <w:t>انتقال الصفات والخصوصيات الجسمية والروحية والحالات والخصوصيات الأخلاقية والعملية من الأب والاُم والأجداد إلى الأجيال التالية</w:t>
      </w:r>
      <w:r w:rsidRPr="00617008">
        <w:rPr>
          <w:rFonts w:hint="cs"/>
          <w:rtl/>
        </w:rPr>
        <w:t>»</w:t>
      </w:r>
      <w:r w:rsidRPr="00815C4C">
        <w:rPr>
          <w:rFonts w:cs="Taher"/>
          <w:vertAlign w:val="superscript"/>
          <w:rtl/>
        </w:rPr>
        <w:t>(</w:t>
      </w:r>
      <w:r w:rsidRPr="00815C4C">
        <w:rPr>
          <w:rFonts w:cs="Taher"/>
          <w:vertAlign w:val="superscript"/>
          <w:rtl/>
        </w:rPr>
        <w:footnoteReference w:id="1064"/>
      </w:r>
      <w:r w:rsidRPr="00815C4C">
        <w:rPr>
          <w:rFonts w:cs="Taher"/>
          <w:vertAlign w:val="superscript"/>
          <w:rtl/>
        </w:rPr>
        <w:t>)</w:t>
      </w:r>
      <w:r w:rsidRPr="00E14ED6">
        <w:rPr>
          <w:rFonts w:hint="cs"/>
          <w:rtl/>
        </w:rPr>
        <w:t>.</w:t>
      </w:r>
    </w:p>
    <w:p w:rsidR="00F52EBA" w:rsidRPr="00E14ED6" w:rsidRDefault="00F52EBA" w:rsidP="00B96741">
      <w:pPr>
        <w:pStyle w:val="ac"/>
        <w:rPr>
          <w:rtl/>
        </w:rPr>
      </w:pPr>
      <w:r w:rsidRPr="00E14ED6">
        <w:rPr>
          <w:rFonts w:hint="cs"/>
          <w:rtl/>
        </w:rPr>
        <w:t>هذه الصفات والخصوصيات تؤثر على الأفراد سلباً وإيجاباً، فصحّة الوالدين وسقمهما، والاختلالات الروحية والعاطفية، والعفّة والدعارة، ومستوى الإدراك والاستيعاب، والثقافة، والإيمان، والعقائد، والصفات، وأخلاق الوالدين تؤثر جميعها على حياة الإنسان.</w:t>
      </w:r>
    </w:p>
    <w:p w:rsidR="00F52EBA" w:rsidRPr="00E14ED6" w:rsidRDefault="00F52EBA" w:rsidP="00B96741">
      <w:pPr>
        <w:pStyle w:val="ac"/>
        <w:rPr>
          <w:rtl/>
        </w:rPr>
      </w:pPr>
      <w:r w:rsidRPr="00617008">
        <w:rPr>
          <w:rFonts w:hint="cs"/>
          <w:rtl/>
        </w:rPr>
        <w:t>«</w:t>
      </w:r>
      <w:r w:rsidRPr="00E75F8E">
        <w:rPr>
          <w:rFonts w:hint="cs"/>
          <w:rtl/>
        </w:rPr>
        <w:t>وقد أثبت علم نفس الأجنّة أنّ حالة الزوج والزوجة النفسية حين انعقاد النطفة تؤثر في الأولاد؛ فالاضطراب والتشويش والشعور بالاطمئنان والأمن وحتى الإحساس بالذنب والانخداع كلّها عناصر تؤثر في مصير الطفل</w:t>
      </w:r>
      <w:r w:rsidRPr="00617008">
        <w:rPr>
          <w:rFonts w:hint="cs"/>
          <w:rtl/>
        </w:rPr>
        <w:t>»</w:t>
      </w:r>
      <w:r w:rsidRPr="00815C4C">
        <w:rPr>
          <w:rFonts w:cs="Taher"/>
          <w:vertAlign w:val="superscript"/>
          <w:rtl/>
        </w:rPr>
        <w:t>(</w:t>
      </w:r>
      <w:r w:rsidRPr="00815C4C">
        <w:rPr>
          <w:rFonts w:cs="Taher"/>
          <w:vertAlign w:val="superscript"/>
          <w:rtl/>
        </w:rPr>
        <w:footnoteReference w:id="1065"/>
      </w:r>
      <w:r w:rsidRPr="00815C4C">
        <w:rPr>
          <w:rFonts w:cs="Taher"/>
          <w:vertAlign w:val="superscript"/>
          <w:rtl/>
        </w:rPr>
        <w:t>)</w:t>
      </w:r>
      <w:r w:rsidRPr="00E75F8E">
        <w:rPr>
          <w:rFonts w:hint="cs"/>
          <w:rtl/>
        </w:rPr>
        <w:t xml:space="preserve">. </w:t>
      </w:r>
    </w:p>
    <w:p w:rsidR="00F52EBA" w:rsidRPr="00E14ED6" w:rsidRDefault="00F52EBA" w:rsidP="00B96741">
      <w:pPr>
        <w:pStyle w:val="ac"/>
        <w:rPr>
          <w:rtl/>
        </w:rPr>
      </w:pPr>
      <w:r w:rsidRPr="00E14ED6">
        <w:rPr>
          <w:rFonts w:hint="cs"/>
          <w:rtl/>
        </w:rPr>
        <w:t>يقول أمير المؤمنين</w:t>
      </w:r>
      <w:r w:rsidR="00350F90">
        <w:rPr>
          <w:rFonts w:hint="cs"/>
          <w:rtl/>
        </w:rPr>
        <w:t>×</w:t>
      </w:r>
      <w:r w:rsidRPr="00E14ED6">
        <w:rPr>
          <w:rFonts w:hint="cs"/>
          <w:rtl/>
        </w:rPr>
        <w:t xml:space="preserve"> في بيان هذا الموضوع المهم: </w:t>
      </w:r>
      <w:r w:rsidRPr="00617008">
        <w:rPr>
          <w:rFonts w:hint="cs"/>
          <w:rtl/>
        </w:rPr>
        <w:t>«</w:t>
      </w:r>
      <w:r w:rsidRPr="00E14ED6">
        <w:rPr>
          <w:rFonts w:hint="cs"/>
          <w:rtl/>
        </w:rPr>
        <w:t>إذا كرم أصل الرجل كرم مغيبه ومحضره</w:t>
      </w:r>
      <w:r w:rsidRPr="00617008">
        <w:rPr>
          <w:rFonts w:hint="cs"/>
          <w:rtl/>
        </w:rPr>
        <w:t>»</w:t>
      </w:r>
      <w:r w:rsidRPr="00815C4C">
        <w:rPr>
          <w:rFonts w:cs="Taher"/>
          <w:vertAlign w:val="superscript"/>
          <w:rtl/>
        </w:rPr>
        <w:t>(</w:t>
      </w:r>
      <w:r w:rsidRPr="00815C4C">
        <w:rPr>
          <w:rFonts w:cs="Taher"/>
          <w:vertAlign w:val="superscript"/>
          <w:rtl/>
        </w:rPr>
        <w:footnoteReference w:id="1066"/>
      </w:r>
      <w:r w:rsidRPr="00815C4C">
        <w:rPr>
          <w:rFonts w:cs="Taher"/>
          <w:vertAlign w:val="superscript"/>
          <w:rtl/>
        </w:rPr>
        <w:t>)</w:t>
      </w:r>
      <w:r w:rsidRPr="00E14ED6">
        <w:rPr>
          <w:rFonts w:hint="cs"/>
          <w:rtl/>
        </w:rPr>
        <w:t>.</w:t>
      </w:r>
    </w:p>
    <w:p w:rsidR="00F52EBA" w:rsidRPr="00E14ED6" w:rsidRDefault="00F52EBA" w:rsidP="00B96741">
      <w:pPr>
        <w:pStyle w:val="ac"/>
        <w:rPr>
          <w:rtl/>
        </w:rPr>
      </w:pPr>
      <w:r w:rsidRPr="00E14ED6">
        <w:rPr>
          <w:rFonts w:hint="cs"/>
          <w:rtl/>
        </w:rPr>
        <w:t xml:space="preserve">ويقول في مكان آخر: </w:t>
      </w:r>
      <w:r w:rsidRPr="00617008">
        <w:rPr>
          <w:rFonts w:hint="cs"/>
          <w:rtl/>
        </w:rPr>
        <w:t>«</w:t>
      </w:r>
      <w:r w:rsidRPr="00E14ED6">
        <w:rPr>
          <w:rFonts w:hint="cs"/>
          <w:rtl/>
        </w:rPr>
        <w:t>حسن الأخلاق برهان كرم الأعراق</w:t>
      </w:r>
      <w:r w:rsidRPr="00617008">
        <w:rPr>
          <w:rFonts w:hint="cs"/>
          <w:rtl/>
        </w:rPr>
        <w:t>»</w:t>
      </w:r>
      <w:r w:rsidRPr="00815C4C">
        <w:rPr>
          <w:rFonts w:cs="Taher"/>
          <w:vertAlign w:val="superscript"/>
          <w:rtl/>
        </w:rPr>
        <w:t>(</w:t>
      </w:r>
      <w:r w:rsidRPr="00815C4C">
        <w:rPr>
          <w:rFonts w:cs="Taher"/>
          <w:vertAlign w:val="superscript"/>
          <w:rtl/>
        </w:rPr>
        <w:footnoteReference w:id="1067"/>
      </w:r>
      <w:r w:rsidRPr="00815C4C">
        <w:rPr>
          <w:rFonts w:cs="Taher"/>
          <w:vertAlign w:val="superscript"/>
          <w:rtl/>
        </w:rPr>
        <w:t>)</w:t>
      </w:r>
      <w:r w:rsidRPr="00E14ED6">
        <w:rPr>
          <w:rFonts w:hint="cs"/>
          <w:rtl/>
        </w:rPr>
        <w:t>.</w:t>
      </w:r>
    </w:p>
    <w:p w:rsidR="00F52EBA" w:rsidRPr="00E14ED6" w:rsidRDefault="00F52EBA" w:rsidP="00B96741">
      <w:pPr>
        <w:pStyle w:val="ac"/>
        <w:rPr>
          <w:rtl/>
        </w:rPr>
      </w:pPr>
      <w:r w:rsidRPr="00E14ED6">
        <w:rPr>
          <w:rFonts w:hint="cs"/>
          <w:rtl/>
        </w:rPr>
        <w:t>كما روي أيضاً عن النبي الأكرم</w:t>
      </w:r>
      <w:r w:rsidR="00350F90">
        <w:rPr>
          <w:rFonts w:hint="cs"/>
          <w:rtl/>
        </w:rPr>
        <w:t>’</w:t>
      </w:r>
      <w:r w:rsidRPr="00E14ED6">
        <w:rPr>
          <w:rFonts w:hint="cs"/>
          <w:rtl/>
        </w:rPr>
        <w:t xml:space="preserve"> أنه قال: </w:t>
      </w:r>
      <w:r w:rsidRPr="00617008">
        <w:rPr>
          <w:rFonts w:hint="cs"/>
          <w:rtl/>
        </w:rPr>
        <w:t>«</w:t>
      </w:r>
      <w:r w:rsidRPr="00E14ED6">
        <w:rPr>
          <w:rFonts w:hint="cs"/>
          <w:rtl/>
        </w:rPr>
        <w:t>الشقي شقي في بطن أمه، والسعيد سعيد في بطن أمه</w:t>
      </w:r>
      <w:r w:rsidRPr="00617008">
        <w:rPr>
          <w:rFonts w:hint="cs"/>
          <w:rtl/>
        </w:rPr>
        <w:t>»</w:t>
      </w:r>
      <w:r w:rsidRPr="00815C4C">
        <w:rPr>
          <w:rFonts w:cs="Taher"/>
          <w:vertAlign w:val="superscript"/>
          <w:rtl/>
        </w:rPr>
        <w:t>(</w:t>
      </w:r>
      <w:r w:rsidRPr="00815C4C">
        <w:rPr>
          <w:rFonts w:cs="Taher"/>
          <w:vertAlign w:val="superscript"/>
          <w:rtl/>
        </w:rPr>
        <w:footnoteReference w:id="1068"/>
      </w:r>
      <w:r w:rsidRPr="00815C4C">
        <w:rPr>
          <w:rFonts w:cs="Taher"/>
          <w:vertAlign w:val="superscript"/>
          <w:rtl/>
        </w:rPr>
        <w:t>)</w:t>
      </w:r>
      <w:r w:rsidRPr="00E14ED6">
        <w:rPr>
          <w:rFonts w:hint="cs"/>
          <w:rtl/>
        </w:rPr>
        <w:t xml:space="preserve">. وبناءً على هذا، فإنّ في الاهتمام ببناء وتقوية جسد وروح </w:t>
      </w:r>
      <w:r w:rsidRPr="00E14ED6">
        <w:rPr>
          <w:rFonts w:hint="cs"/>
          <w:rtl/>
        </w:rPr>
        <w:lastRenderedPageBreak/>
        <w:t>الوالدين بالتقوى والعفاف وتجنّب المحرمات والمعاصي تأثيراً عميقاً في سعادة الطفل.</w:t>
      </w:r>
    </w:p>
    <w:p w:rsidR="00F52EBA" w:rsidRPr="00E14ED6" w:rsidRDefault="00F52EBA" w:rsidP="00B96741">
      <w:pPr>
        <w:pStyle w:val="ac"/>
        <w:rPr>
          <w:rtl/>
        </w:rPr>
      </w:pPr>
      <w:r w:rsidRPr="00E14ED6">
        <w:rPr>
          <w:rFonts w:hint="cs"/>
          <w:rtl/>
        </w:rPr>
        <w:t>ويعتبر الشيخ المرحوم مرتضى الأنصاري</w:t>
      </w:r>
      <w:r w:rsidR="00B96741">
        <w:rPr>
          <w:rFonts w:hint="cs"/>
          <w:rtl/>
        </w:rPr>
        <w:t>&amp;</w:t>
      </w:r>
      <w:r w:rsidRPr="00E14ED6">
        <w:rPr>
          <w:rFonts w:hint="cs"/>
          <w:rtl/>
        </w:rPr>
        <w:t xml:space="preserve"> أنّ تقدّمه العلمي والمعنوي كان نتيجة جهود والدته واهتمامها، وهكذا يرى علماء وشخصيات آخرون كآية الله المطهري وآية الله البهشتي ـ ممن كان لهم دور مهم في نشر الثقافة والمعارف الإسلامية ـ أنّهم كانوا يحظوْن بأمهات عفيفات مؤمنات شجاعات طاهرات</w:t>
      </w:r>
      <w:r w:rsidRPr="00815C4C">
        <w:rPr>
          <w:rFonts w:cs="Taher"/>
          <w:vertAlign w:val="superscript"/>
          <w:rtl/>
        </w:rPr>
        <w:t>(</w:t>
      </w:r>
      <w:r w:rsidRPr="00815C4C">
        <w:rPr>
          <w:rFonts w:cs="Taher"/>
          <w:vertAlign w:val="superscript"/>
          <w:rtl/>
        </w:rPr>
        <w:footnoteReference w:id="1069"/>
      </w:r>
      <w:r w:rsidRPr="00815C4C">
        <w:rPr>
          <w:rFonts w:cs="Taher"/>
          <w:vertAlign w:val="superscript"/>
          <w:rtl/>
        </w:rPr>
        <w:t>)</w:t>
      </w:r>
      <w:r w:rsidRPr="00E14ED6">
        <w:rPr>
          <w:rFonts w:hint="cs"/>
          <w:rtl/>
        </w:rPr>
        <w:t xml:space="preserve">، وهذا ما دلّ عليه الحديث النبوي الشريف: </w:t>
      </w:r>
      <w:r w:rsidRPr="00617008">
        <w:rPr>
          <w:rFonts w:hint="cs"/>
          <w:rtl/>
        </w:rPr>
        <w:t>«</w:t>
      </w:r>
      <w:r w:rsidRPr="00E14ED6">
        <w:rPr>
          <w:rFonts w:hint="cs"/>
          <w:rtl/>
        </w:rPr>
        <w:t>طوبى لمن كانت اُمه عفيفة</w:t>
      </w:r>
      <w:r w:rsidRPr="00617008">
        <w:rPr>
          <w:rFonts w:hint="cs"/>
          <w:rtl/>
        </w:rPr>
        <w:t>»</w:t>
      </w:r>
      <w:r w:rsidRPr="00815C4C">
        <w:rPr>
          <w:rFonts w:cs="Taher"/>
          <w:vertAlign w:val="superscript"/>
          <w:rtl/>
        </w:rPr>
        <w:t>(</w:t>
      </w:r>
      <w:r w:rsidRPr="00815C4C">
        <w:rPr>
          <w:rFonts w:cs="Taher"/>
          <w:vertAlign w:val="superscript"/>
          <w:rtl/>
        </w:rPr>
        <w:footnoteReference w:id="1070"/>
      </w:r>
      <w:r w:rsidRPr="00815C4C">
        <w:rPr>
          <w:rFonts w:cs="Taher"/>
          <w:vertAlign w:val="superscript"/>
          <w:rtl/>
        </w:rPr>
        <w:t>)</w:t>
      </w:r>
      <w:r w:rsidRPr="00E14ED6">
        <w:rPr>
          <w:rFonts w:hint="cs"/>
          <w:rtl/>
        </w:rPr>
        <w:t>.</w:t>
      </w:r>
    </w:p>
    <w:p w:rsidR="00F52EBA" w:rsidRPr="00E14ED6" w:rsidRDefault="00F52EBA" w:rsidP="00B651E9">
      <w:pPr>
        <w:pStyle w:val="ac"/>
        <w:rPr>
          <w:rtl/>
        </w:rPr>
      </w:pPr>
      <w:r w:rsidRPr="00E14ED6">
        <w:rPr>
          <w:rFonts w:hint="cs"/>
          <w:rtl/>
        </w:rPr>
        <w:t>وأمّا المحيط الذي يلد ويتربى فيه الطفل وينمو في ظلّه فله تأثير كبير في سعادته أو شقاوته، فإنّ الآباء والاُمهات الذين يهيئون الأجواء المساعدة على تربية أولادهم تربيةً صحيحة، ويخاطبونهم بكلام طيّب ويتعاملون معهم بالحسنى، ويطبقون التعاليم التربوية الصالحة والفضائل الأخلاقية الحميدة في تربية أولادهم خطوةً خطوة، يمكنهم تربية أفراد صالحين من جميع الجهات؛ وهم ـ عبر ذلك ـ يؤدّون وظائفهم وواجباتهم تجاه أولادهم ومجتمعهم، ويطيعون الأوامر الإلهية فيهم.</w:t>
      </w:r>
    </w:p>
    <w:p w:rsidR="00F52EBA" w:rsidRPr="00E14ED6" w:rsidRDefault="00F52EBA" w:rsidP="00B651E9">
      <w:pPr>
        <w:pStyle w:val="ac"/>
        <w:rPr>
          <w:rtl/>
        </w:rPr>
      </w:pPr>
      <w:r w:rsidRPr="00E14ED6">
        <w:rPr>
          <w:rFonts w:hint="cs"/>
          <w:rtl/>
        </w:rPr>
        <w:t>إنّ معظم المشاكل الاجتماعية والانحطاطات الأخلاقية وفساد الشباب إنما يقع بسبب محيط الأسرة، ونتيجة التربية الخاطئة، أو نتيجة عدم مراقبة الآباء أولادهم.</w:t>
      </w:r>
    </w:p>
    <w:p w:rsidR="00F52EBA" w:rsidRPr="00E14ED6" w:rsidRDefault="00F52EBA" w:rsidP="00F52EBA">
      <w:pPr>
        <w:pStyle w:val="ac"/>
        <w:spacing w:line="440" w:lineRule="exact"/>
        <w:rPr>
          <w:rtl/>
        </w:rPr>
      </w:pPr>
      <w:r w:rsidRPr="00E14ED6">
        <w:rPr>
          <w:rFonts w:hint="cs"/>
          <w:rtl/>
        </w:rPr>
        <w:t xml:space="preserve">فقد جاء في الحديث المأثور: </w:t>
      </w:r>
      <w:r w:rsidRPr="00617008">
        <w:rPr>
          <w:rFonts w:hint="cs"/>
          <w:rtl/>
        </w:rPr>
        <w:t>«</w:t>
      </w:r>
      <w:r w:rsidRPr="00E14ED6">
        <w:rPr>
          <w:rFonts w:hint="cs"/>
          <w:rtl/>
        </w:rPr>
        <w:t>كل مولود يولد على الفطرة، فأبواه يهودانه وينصرانه ويمجسانه</w:t>
      </w:r>
      <w:r w:rsidRPr="00617008">
        <w:rPr>
          <w:rFonts w:hint="cs"/>
          <w:rtl/>
        </w:rPr>
        <w:t>»</w:t>
      </w:r>
      <w:r w:rsidRPr="00815C4C">
        <w:rPr>
          <w:rFonts w:cs="Taher"/>
          <w:vertAlign w:val="superscript"/>
          <w:rtl/>
        </w:rPr>
        <w:t>(</w:t>
      </w:r>
      <w:r w:rsidRPr="00815C4C">
        <w:rPr>
          <w:rFonts w:cs="Taher"/>
          <w:vertAlign w:val="superscript"/>
          <w:rtl/>
        </w:rPr>
        <w:footnoteReference w:id="1071"/>
      </w:r>
      <w:r w:rsidRPr="00815C4C">
        <w:rPr>
          <w:rFonts w:cs="Taher"/>
          <w:vertAlign w:val="superscript"/>
          <w:rtl/>
        </w:rPr>
        <w:t>)</w:t>
      </w:r>
      <w:r w:rsidRPr="00E14ED6">
        <w:rPr>
          <w:rFonts w:hint="cs"/>
          <w:rtl/>
        </w:rPr>
        <w:t>.</w:t>
      </w:r>
    </w:p>
    <w:p w:rsidR="00F52EBA" w:rsidRDefault="00F52EBA" w:rsidP="00B651E9">
      <w:pPr>
        <w:pStyle w:val="ac"/>
        <w:rPr>
          <w:rtl/>
        </w:rPr>
      </w:pPr>
      <w:r w:rsidRPr="00E14ED6">
        <w:rPr>
          <w:rFonts w:hint="cs"/>
          <w:rtl/>
        </w:rPr>
        <w:t>وبناءً على هذا، فإن الوراثة وتربية الأسرة، هما معاً أساس شخصية الفرد، فيمكنهما أن يجعلاه إنساناً عفيفاً خلوقاً وموفقاً، أو إنساناً فاسداً منحرفاً ومضراً.</w:t>
      </w:r>
    </w:p>
    <w:p w:rsidR="00B651E9" w:rsidRPr="00B96741" w:rsidRDefault="00B651E9" w:rsidP="00B96741">
      <w:pPr>
        <w:pStyle w:val="afffffc"/>
        <w:rPr>
          <w:sz w:val="24"/>
          <w:szCs w:val="22"/>
          <w:rtl/>
        </w:rPr>
      </w:pPr>
    </w:p>
    <w:p w:rsidR="00F52EBA" w:rsidRPr="0017088F" w:rsidRDefault="00F52EBA" w:rsidP="00B651E9">
      <w:pPr>
        <w:pStyle w:val="1"/>
        <w:rPr>
          <w:rtl/>
        </w:rPr>
      </w:pPr>
      <w:bookmarkStart w:id="679" w:name="_Toc169521524"/>
      <w:bookmarkStart w:id="680" w:name="_Toc275128307"/>
      <w:r w:rsidRPr="0017088F">
        <w:rPr>
          <w:rFonts w:hint="cs"/>
          <w:rtl/>
        </w:rPr>
        <w:t>سعة العفاف</w:t>
      </w:r>
      <w:bookmarkEnd w:id="679"/>
      <w:bookmarkEnd w:id="680"/>
    </w:p>
    <w:p w:rsidR="00F52EBA" w:rsidRDefault="00F52EBA" w:rsidP="00B651E9">
      <w:pPr>
        <w:pStyle w:val="ac"/>
        <w:rPr>
          <w:rtl/>
        </w:rPr>
      </w:pPr>
      <w:r w:rsidRPr="00E14ED6">
        <w:rPr>
          <w:rFonts w:hint="cs"/>
          <w:rtl/>
        </w:rPr>
        <w:t xml:space="preserve">إنّ دراسة أبعاد العفاف المختلفة ومدى سعته في الشؤون الفردية والاجتماعية تشمل </w:t>
      </w:r>
      <w:r w:rsidRPr="00E14ED6">
        <w:rPr>
          <w:rFonts w:hint="cs"/>
          <w:rtl/>
        </w:rPr>
        <w:lastRenderedPageBreak/>
        <w:t>آفاقاً واسعة نستطيع ـ بالاستفادة من القرآن الكريم والسنّة الشريفة ـ أن نشير إلى الموارد التالية منها:</w:t>
      </w:r>
    </w:p>
    <w:p w:rsidR="00B651E9" w:rsidRPr="006140E6" w:rsidRDefault="00B651E9" w:rsidP="00B96741">
      <w:pPr>
        <w:pStyle w:val="afffffc"/>
        <w:rPr>
          <w:sz w:val="22"/>
          <w:szCs w:val="20"/>
          <w:rtl/>
        </w:rPr>
      </w:pPr>
    </w:p>
    <w:p w:rsidR="00F52EBA" w:rsidRPr="00B102A4" w:rsidRDefault="00F52EBA" w:rsidP="006140E6">
      <w:pPr>
        <w:pStyle w:val="2"/>
        <w:rPr>
          <w:rtl/>
        </w:rPr>
      </w:pPr>
      <w:bookmarkStart w:id="681" w:name="_Toc275128308"/>
      <w:r w:rsidRPr="00B102A4">
        <w:rPr>
          <w:rFonts w:hint="cs"/>
          <w:rtl/>
        </w:rPr>
        <w:t>1 ـ عفّة الفكر</w:t>
      </w:r>
      <w:bookmarkEnd w:id="681"/>
    </w:p>
    <w:p w:rsidR="00F52EBA" w:rsidRPr="00E14ED6" w:rsidRDefault="00F52EBA" w:rsidP="00B651E9">
      <w:pPr>
        <w:pStyle w:val="ac"/>
        <w:rPr>
          <w:rtl/>
        </w:rPr>
      </w:pPr>
      <w:r w:rsidRPr="00CB1851">
        <w:rPr>
          <w:rFonts w:hint="cs"/>
          <w:spacing w:val="-6"/>
          <w:rtl/>
        </w:rPr>
        <w:t>نور العقل أعظم رأسمال وهبه الله للبشر، فجميع الأعمال والمشاعر</w:t>
      </w:r>
      <w:r>
        <w:rPr>
          <w:rFonts w:hint="cs"/>
          <w:rtl/>
        </w:rPr>
        <w:t xml:space="preserve"> </w:t>
      </w:r>
      <w:r w:rsidRPr="00E14ED6">
        <w:rPr>
          <w:rFonts w:hint="cs"/>
          <w:rtl/>
        </w:rPr>
        <w:t>والسلوكات وحتى القدرات والإمكانات الذاتية قائمة على أساس الفكر، وكلّ عمل وسلوك ـ سواءٌ كان حسناً أو سيئاً وكانت نتائجه خيراً أو شراً ـ منشؤه الفكر، بعبارة أخرى: إنّنا نعمل بما نفكّر.</w:t>
      </w:r>
    </w:p>
    <w:p w:rsidR="00F52EBA" w:rsidRPr="00E14ED6" w:rsidRDefault="00F52EBA" w:rsidP="00350F90">
      <w:pPr>
        <w:pStyle w:val="ac"/>
        <w:rPr>
          <w:rtl/>
        </w:rPr>
      </w:pPr>
      <w:r w:rsidRPr="00E14ED6">
        <w:rPr>
          <w:rFonts w:hint="cs"/>
          <w:rtl/>
        </w:rPr>
        <w:t>وكلّما ترقّى فكر الإنسان أكثر، ووافق فطرته التي تميل إلى الكمال أكثر وتنـزّه عن الدنس والخبث مضى في طريق الكمال أسرع فأسرع، وكما قال مولى المتقين علي</w:t>
      </w:r>
      <w:r w:rsidR="00350F90">
        <w:rPr>
          <w:rFonts w:hint="cs"/>
          <w:rtl/>
        </w:rPr>
        <w:t>×</w:t>
      </w:r>
      <w:r w:rsidRPr="00E14ED6">
        <w:rPr>
          <w:rFonts w:hint="cs"/>
          <w:rtl/>
        </w:rPr>
        <w:t xml:space="preserve">: </w:t>
      </w:r>
      <w:r w:rsidRPr="00617008">
        <w:rPr>
          <w:rFonts w:hint="cs"/>
          <w:rtl/>
        </w:rPr>
        <w:t>«</w:t>
      </w:r>
      <w:r w:rsidRPr="00E14ED6">
        <w:rPr>
          <w:rFonts w:hint="cs"/>
          <w:rtl/>
        </w:rPr>
        <w:t>من عَقِل عَفَّ</w:t>
      </w:r>
      <w:r w:rsidRPr="00617008">
        <w:rPr>
          <w:rFonts w:hint="cs"/>
          <w:rtl/>
        </w:rPr>
        <w:t>»</w:t>
      </w:r>
      <w:r w:rsidRPr="00815C4C">
        <w:rPr>
          <w:rFonts w:cs="Taher"/>
          <w:vertAlign w:val="superscript"/>
          <w:rtl/>
        </w:rPr>
        <w:t>(</w:t>
      </w:r>
      <w:r w:rsidRPr="00815C4C">
        <w:rPr>
          <w:rFonts w:cs="Taher"/>
          <w:vertAlign w:val="superscript"/>
          <w:rtl/>
        </w:rPr>
        <w:footnoteReference w:id="1072"/>
      </w:r>
      <w:r w:rsidRPr="00815C4C">
        <w:rPr>
          <w:rFonts w:cs="Taher"/>
          <w:vertAlign w:val="superscript"/>
          <w:rtl/>
        </w:rPr>
        <w:t>)</w:t>
      </w:r>
      <w:r w:rsidRPr="00E14ED6">
        <w:rPr>
          <w:rFonts w:hint="cs"/>
          <w:rtl/>
        </w:rPr>
        <w:t xml:space="preserve">، وقال أيضاً في موضع آخر: </w:t>
      </w:r>
      <w:r w:rsidRPr="00617008">
        <w:rPr>
          <w:rFonts w:hint="cs"/>
          <w:rtl/>
        </w:rPr>
        <w:t>«</w:t>
      </w:r>
      <w:r w:rsidRPr="00E14ED6">
        <w:rPr>
          <w:rFonts w:hint="cs"/>
          <w:rtl/>
        </w:rPr>
        <w:t>يستدلّ على عقل الرجل بالعفّة والقناعة</w:t>
      </w:r>
      <w:r w:rsidRPr="00617008">
        <w:rPr>
          <w:rFonts w:hint="cs"/>
          <w:rtl/>
        </w:rPr>
        <w:t>»</w:t>
      </w:r>
      <w:r w:rsidRPr="00815C4C">
        <w:rPr>
          <w:rFonts w:cs="Taher"/>
          <w:vertAlign w:val="superscript"/>
          <w:rtl/>
        </w:rPr>
        <w:t>(</w:t>
      </w:r>
      <w:r w:rsidRPr="00815C4C">
        <w:rPr>
          <w:rFonts w:cs="Taher"/>
          <w:vertAlign w:val="superscript"/>
          <w:rtl/>
        </w:rPr>
        <w:footnoteReference w:id="1073"/>
      </w:r>
      <w:r w:rsidRPr="00815C4C">
        <w:rPr>
          <w:rFonts w:cs="Taher"/>
          <w:vertAlign w:val="superscript"/>
          <w:rtl/>
        </w:rPr>
        <w:t>)</w:t>
      </w:r>
      <w:r w:rsidRPr="00E14ED6">
        <w:rPr>
          <w:rFonts w:hint="cs"/>
          <w:rtl/>
        </w:rPr>
        <w:t>.</w:t>
      </w:r>
    </w:p>
    <w:p w:rsidR="00F52EBA" w:rsidRPr="00E14ED6" w:rsidRDefault="00F52EBA" w:rsidP="00350F90">
      <w:pPr>
        <w:pStyle w:val="ac"/>
        <w:rPr>
          <w:rtl/>
        </w:rPr>
      </w:pPr>
      <w:r w:rsidRPr="00E14ED6">
        <w:rPr>
          <w:rFonts w:hint="cs"/>
          <w:rtl/>
        </w:rPr>
        <w:t>ولذا، كان العقل أحد العوامل المؤثرة في تقويم الأهواء النفسانية وانقياد الغرائز البشرية، إنّه يحدّد حرية الإنسان بموازين دقيقة ومقاييس صحيحة، ويبين له ـ في مسيرة حياته ـ الطريق السوي والسبيل المنحرف المضلّ، ويميز له الحق من الباطل، ويمكن أن يقيس العقل رغبات الإنسان وشهواته ويقوّم أهواءه ويصحّحها، كما يمكنه أن يقود الغرائز ويهديها نحو الخير والصلاح، ويمنعها من الطغيان والتعدّي، فالعقل ـ إذاً ـ هو الدليل الذي يؤدي باتّباعه إلى السعي والعمل على فوز البشرية وفلاحها، يقول الإمام</w:t>
      </w:r>
      <w:r>
        <w:rPr>
          <w:rFonts w:hint="cs"/>
          <w:rtl/>
        </w:rPr>
        <w:t xml:space="preserve"> </w:t>
      </w:r>
      <w:r w:rsidRPr="00E14ED6">
        <w:rPr>
          <w:rFonts w:hint="cs"/>
          <w:rtl/>
        </w:rPr>
        <w:t>علي</w:t>
      </w:r>
      <w:r w:rsidR="00350F90">
        <w:rPr>
          <w:rFonts w:hint="cs"/>
          <w:rtl/>
        </w:rPr>
        <w:t>×</w:t>
      </w:r>
      <w:r w:rsidRPr="00E14ED6">
        <w:rPr>
          <w:rFonts w:hint="cs"/>
          <w:rtl/>
        </w:rPr>
        <w:t xml:space="preserve"> في هذا المجال: </w:t>
      </w:r>
      <w:r w:rsidRPr="00617008">
        <w:rPr>
          <w:rFonts w:hint="cs"/>
          <w:rtl/>
        </w:rPr>
        <w:t>«</w:t>
      </w:r>
      <w:r w:rsidRPr="00E14ED6">
        <w:rPr>
          <w:rFonts w:hint="cs"/>
          <w:rtl/>
        </w:rPr>
        <w:t>فكرك يهديك إلى الرشاد</w:t>
      </w:r>
      <w:r w:rsidRPr="00617008">
        <w:rPr>
          <w:rFonts w:hint="cs"/>
          <w:rtl/>
        </w:rPr>
        <w:t>»</w:t>
      </w:r>
      <w:r w:rsidRPr="00815C4C">
        <w:rPr>
          <w:rFonts w:cs="Taher"/>
          <w:vertAlign w:val="superscript"/>
          <w:rtl/>
        </w:rPr>
        <w:t>(</w:t>
      </w:r>
      <w:r w:rsidRPr="00815C4C">
        <w:rPr>
          <w:rFonts w:cs="Taher"/>
          <w:vertAlign w:val="superscript"/>
          <w:rtl/>
        </w:rPr>
        <w:footnoteReference w:id="1074"/>
      </w:r>
      <w:r w:rsidRPr="00815C4C">
        <w:rPr>
          <w:rFonts w:cs="Taher"/>
          <w:vertAlign w:val="superscript"/>
          <w:rtl/>
        </w:rPr>
        <w:t>)</w:t>
      </w:r>
      <w:r w:rsidRPr="00E14ED6">
        <w:rPr>
          <w:rFonts w:hint="cs"/>
          <w:rtl/>
        </w:rPr>
        <w:t>.</w:t>
      </w:r>
    </w:p>
    <w:p w:rsidR="00F52EBA" w:rsidRPr="00E14ED6" w:rsidRDefault="00F52EBA" w:rsidP="00F52EBA">
      <w:pPr>
        <w:pStyle w:val="ac"/>
        <w:rPr>
          <w:rtl/>
        </w:rPr>
      </w:pPr>
      <w:r w:rsidRPr="00E14ED6">
        <w:rPr>
          <w:rFonts w:hint="cs"/>
          <w:rtl/>
        </w:rPr>
        <w:t>فالشريف من كانت أفكاره شريفة، والوضيع المذنب من كانت أفكاره خبيثة وملطّخة.</w:t>
      </w:r>
    </w:p>
    <w:p w:rsidR="00F52EBA" w:rsidRDefault="00F52EBA" w:rsidP="00F52EBA">
      <w:pPr>
        <w:pStyle w:val="ac"/>
        <w:rPr>
          <w:rtl/>
        </w:rPr>
      </w:pPr>
      <w:r w:rsidRPr="00E14ED6">
        <w:rPr>
          <w:rFonts w:hint="cs"/>
          <w:rtl/>
        </w:rPr>
        <w:lastRenderedPageBreak/>
        <w:t>والخلاصة: نحتاج من أجل بلوغ الحياة السعيدة الكاملة إلى فكر عفيف وعقل صادق وموثوق به.</w:t>
      </w:r>
    </w:p>
    <w:p w:rsidR="00B651E9" w:rsidRPr="006140E6" w:rsidRDefault="00B651E9" w:rsidP="006140E6">
      <w:pPr>
        <w:pStyle w:val="afffffc"/>
        <w:rPr>
          <w:sz w:val="20"/>
          <w:szCs w:val="18"/>
          <w:rtl/>
        </w:rPr>
      </w:pPr>
    </w:p>
    <w:p w:rsidR="00F52EBA" w:rsidRPr="00B102A4" w:rsidRDefault="00F52EBA" w:rsidP="006140E6">
      <w:pPr>
        <w:pStyle w:val="2"/>
        <w:rPr>
          <w:rtl/>
        </w:rPr>
      </w:pPr>
      <w:bookmarkStart w:id="682" w:name="_Toc275128309"/>
      <w:r w:rsidRPr="00B102A4">
        <w:rPr>
          <w:rFonts w:hint="cs"/>
          <w:rtl/>
        </w:rPr>
        <w:t>2 ـ عفة البصر</w:t>
      </w:r>
      <w:bookmarkEnd w:id="682"/>
    </w:p>
    <w:p w:rsidR="00F52EBA" w:rsidRPr="00E14ED6" w:rsidRDefault="00F52EBA" w:rsidP="00B651E9">
      <w:pPr>
        <w:pStyle w:val="ac"/>
        <w:rPr>
          <w:rtl/>
        </w:rPr>
      </w:pPr>
      <w:r w:rsidRPr="00E14ED6">
        <w:rPr>
          <w:rFonts w:hint="cs"/>
          <w:rtl/>
        </w:rPr>
        <w:t>ترجع أهمية هذا الموضوع إلى أنّ البصر بوابة القلب، فما يراه المرء من هذه النافذة قد يوصله إلى رياض السعادة ومواطنها، وقد يؤدّي به إلى هاوية السقوط وحضيضها. إنّ ما يراه البصر يحسّه القلب ويشعر به، فيحلّله ويهيئ الأرضية المناسبة للانفعال به طبقاً للظروف والشروط التي تحيط به، ثمّ يتحرك نحو كسب الحالات وتسخيرها، وهذا صحيح؛ إذ يقال: ما تراه العين يذكره القلب، ولا فرق بين كون هذه النظرة صواباً أو شططاً غير مسموح به.</w:t>
      </w:r>
    </w:p>
    <w:p w:rsidR="00F52EBA" w:rsidRPr="00E14ED6" w:rsidRDefault="00F52EBA" w:rsidP="00617008">
      <w:pPr>
        <w:pStyle w:val="ac"/>
        <w:rPr>
          <w:rtl/>
        </w:rPr>
      </w:pPr>
      <w:r w:rsidRPr="00E14ED6">
        <w:rPr>
          <w:rFonts w:hint="cs"/>
          <w:rtl/>
        </w:rPr>
        <w:t xml:space="preserve">وبما أنّ الله خالق الإنسان ويعلم جميع صفاته وحالاته وأخلاقياته، وبالتالي يعلم مصلحته وخيره وصلاحه في كل شيء، لذا أوصانا بعفّة النظر، وحذّر الإنسان من النظرة المريبة قائلاً عز من قائل: </w:t>
      </w:r>
      <w:r w:rsidR="00617008" w:rsidRPr="00CE32CB">
        <w:rPr>
          <w:rFonts w:ascii="Mosawi" w:hAnsi="Mosawi"/>
          <w:rtl/>
        </w:rPr>
        <w:t>﴿</w:t>
      </w:r>
      <w:r w:rsidR="00617008" w:rsidRPr="00617008">
        <w:rPr>
          <w:b/>
          <w:bCs/>
          <w:rtl/>
        </w:rPr>
        <w:t>قُل لِّلْمُؤْمِنِينَ يَغُضُّوا مِنْ أَبْصَارِهِمْ</w:t>
      </w:r>
      <w:r w:rsidRPr="00B651E9">
        <w:rPr>
          <w:rFonts w:hint="cs"/>
          <w:b/>
          <w:bCs/>
          <w:rtl/>
        </w:rPr>
        <w:t>...</w:t>
      </w:r>
      <w:r w:rsidRPr="00706F0F">
        <w:rPr>
          <w:rStyle w:val="Char3"/>
          <w:rFonts w:hint="cs"/>
          <w:rtl/>
        </w:rPr>
        <w:t xml:space="preserve"> </w:t>
      </w:r>
      <w:r w:rsidRPr="00B651E9">
        <w:rPr>
          <w:rFonts w:hint="cs"/>
          <w:rtl/>
        </w:rPr>
        <w:t>*</w:t>
      </w:r>
      <w:r w:rsidRPr="00706F0F">
        <w:rPr>
          <w:rStyle w:val="Char3"/>
          <w:rFonts w:hint="cs"/>
          <w:rtl/>
        </w:rPr>
        <w:t xml:space="preserve"> </w:t>
      </w:r>
      <w:r w:rsidR="00617008" w:rsidRPr="00617008">
        <w:rPr>
          <w:b/>
          <w:bCs/>
          <w:rtl/>
        </w:rPr>
        <w:t>وَقُل لِّلْمُؤْمِنَاتِ يَغْضُضْنَ مِنْ أَبْصَارِهِنَّ</w:t>
      </w:r>
      <w:r w:rsidR="00617008" w:rsidRPr="00CE32CB">
        <w:rPr>
          <w:rFonts w:ascii="Mosawi" w:hAnsi="Mosawi"/>
          <w:rtl/>
        </w:rPr>
        <w:t>﴾</w:t>
      </w:r>
      <w:r w:rsidRPr="00815C4C">
        <w:rPr>
          <w:rFonts w:cs="Taher"/>
          <w:vertAlign w:val="superscript"/>
          <w:rtl/>
        </w:rPr>
        <w:t>(</w:t>
      </w:r>
      <w:r w:rsidRPr="00815C4C">
        <w:rPr>
          <w:rFonts w:cs="Taher"/>
          <w:vertAlign w:val="superscript"/>
          <w:rtl/>
        </w:rPr>
        <w:footnoteReference w:id="1075"/>
      </w:r>
      <w:r w:rsidRPr="00815C4C">
        <w:rPr>
          <w:rFonts w:cs="Taher"/>
          <w:vertAlign w:val="superscript"/>
          <w:rtl/>
        </w:rPr>
        <w:t>)</w:t>
      </w:r>
      <w:r w:rsidRPr="00E14ED6">
        <w:rPr>
          <w:rFonts w:hint="cs"/>
          <w:rtl/>
        </w:rPr>
        <w:t>.</w:t>
      </w:r>
    </w:p>
    <w:p w:rsidR="00F52EBA" w:rsidRPr="00E14ED6" w:rsidRDefault="00F52EBA" w:rsidP="00F52EBA">
      <w:pPr>
        <w:pStyle w:val="ac"/>
        <w:rPr>
          <w:rtl/>
        </w:rPr>
      </w:pPr>
      <w:r w:rsidRPr="00E14ED6">
        <w:rPr>
          <w:rFonts w:hint="cs"/>
          <w:rtl/>
        </w:rPr>
        <w:t>تصرّح هذه الآيات بحرمة نظر الرجل الأجنبي للمرأة الأجنبية وبالعكس، فكلمة</w:t>
      </w:r>
      <w:r w:rsidRPr="00E14ED6">
        <w:rPr>
          <w:rFonts w:hint="cs"/>
          <w:position w:val="4"/>
          <w:rtl/>
        </w:rPr>
        <w:t xml:space="preserve"> </w:t>
      </w:r>
      <w:r w:rsidRPr="00617008">
        <w:rPr>
          <w:rFonts w:hint="cs"/>
          <w:rtl/>
        </w:rPr>
        <w:t>«</w:t>
      </w:r>
      <w:r w:rsidRPr="00E14ED6">
        <w:rPr>
          <w:rFonts w:hint="cs"/>
          <w:rtl/>
        </w:rPr>
        <w:t>يغضوا</w:t>
      </w:r>
      <w:r w:rsidRPr="00617008">
        <w:rPr>
          <w:rFonts w:hint="cs"/>
          <w:rtl/>
        </w:rPr>
        <w:t>»</w:t>
      </w:r>
      <w:r w:rsidRPr="00E14ED6">
        <w:rPr>
          <w:rFonts w:hint="cs"/>
          <w:rtl/>
        </w:rPr>
        <w:t xml:space="preserve"> مشتقّة من </w:t>
      </w:r>
      <w:r w:rsidRPr="00617008">
        <w:rPr>
          <w:rFonts w:hint="cs"/>
          <w:rtl/>
        </w:rPr>
        <w:t>«</w:t>
      </w:r>
      <w:r w:rsidRPr="00E14ED6">
        <w:rPr>
          <w:rFonts w:hint="cs"/>
          <w:rtl/>
        </w:rPr>
        <w:t>غَضَّ</w:t>
      </w:r>
      <w:r w:rsidRPr="00617008">
        <w:rPr>
          <w:rFonts w:hint="cs"/>
          <w:rtl/>
        </w:rPr>
        <w:t>»</w:t>
      </w:r>
      <w:r w:rsidRPr="00E14ED6">
        <w:rPr>
          <w:rFonts w:hint="cs"/>
          <w:position w:val="4"/>
          <w:rtl/>
        </w:rPr>
        <w:t>،</w:t>
      </w:r>
      <w:r w:rsidRPr="00E14ED6">
        <w:rPr>
          <w:rFonts w:hint="cs"/>
          <w:rtl/>
        </w:rPr>
        <w:t xml:space="preserve"> وقد ذكر المفسرون لها معانٍ متعددة منها:</w:t>
      </w:r>
    </w:p>
    <w:p w:rsidR="00F52EBA" w:rsidRPr="00E14ED6" w:rsidRDefault="00F52EBA" w:rsidP="006140E6">
      <w:pPr>
        <w:pStyle w:val="ac"/>
        <w:rPr>
          <w:rtl/>
        </w:rPr>
      </w:pPr>
      <w:r w:rsidRPr="00E14ED6">
        <w:rPr>
          <w:rFonts w:hint="cs"/>
          <w:rtl/>
        </w:rPr>
        <w:t>1ـ غضّ البصر: بمعنى غمْض العين، وعدم النظر، أي إطباق الجفن على الجفن</w:t>
      </w:r>
      <w:r w:rsidRPr="00815C4C">
        <w:rPr>
          <w:rFonts w:cs="Taher"/>
          <w:vertAlign w:val="superscript"/>
          <w:rtl/>
        </w:rPr>
        <w:t>(</w:t>
      </w:r>
      <w:r w:rsidRPr="00815C4C">
        <w:rPr>
          <w:rFonts w:cs="Taher"/>
          <w:vertAlign w:val="superscript"/>
          <w:rtl/>
        </w:rPr>
        <w:footnoteReference w:id="1076"/>
      </w:r>
      <w:r w:rsidRPr="00815C4C">
        <w:rPr>
          <w:rFonts w:cs="Taher"/>
          <w:vertAlign w:val="superscript"/>
          <w:rtl/>
        </w:rPr>
        <w:t>)</w:t>
      </w:r>
      <w:r w:rsidRPr="00E14ED6">
        <w:rPr>
          <w:rFonts w:hint="cs"/>
          <w:rtl/>
        </w:rPr>
        <w:t>.</w:t>
      </w:r>
    </w:p>
    <w:p w:rsidR="00F52EBA" w:rsidRPr="00E14ED6" w:rsidRDefault="00F52EBA" w:rsidP="006140E6">
      <w:pPr>
        <w:pStyle w:val="ac"/>
        <w:rPr>
          <w:rtl/>
        </w:rPr>
      </w:pPr>
      <w:r w:rsidRPr="00E14ED6">
        <w:rPr>
          <w:rFonts w:hint="cs"/>
          <w:rtl/>
        </w:rPr>
        <w:t>2ـ عبر عنه البعض بتقليل النظر، وعدم الإمعان في الشيء، أي ينقصوا نظرهم عمّا حرم الله</w:t>
      </w:r>
      <w:r w:rsidRPr="00815C4C">
        <w:rPr>
          <w:rFonts w:cs="Taher"/>
          <w:vertAlign w:val="superscript"/>
          <w:rtl/>
        </w:rPr>
        <w:t>(</w:t>
      </w:r>
      <w:r w:rsidRPr="00815C4C">
        <w:rPr>
          <w:rFonts w:cs="Taher"/>
          <w:vertAlign w:val="superscript"/>
          <w:rtl/>
        </w:rPr>
        <w:footnoteReference w:id="1077"/>
      </w:r>
      <w:r w:rsidRPr="00815C4C">
        <w:rPr>
          <w:rFonts w:cs="Taher"/>
          <w:vertAlign w:val="superscript"/>
          <w:rtl/>
        </w:rPr>
        <w:t>)</w:t>
      </w:r>
      <w:r w:rsidRPr="00E14ED6">
        <w:rPr>
          <w:rFonts w:hint="cs"/>
          <w:rtl/>
        </w:rPr>
        <w:t>.</w:t>
      </w:r>
    </w:p>
    <w:p w:rsidR="00F52EBA" w:rsidRPr="00E14ED6" w:rsidRDefault="00F52EBA" w:rsidP="00F52EBA">
      <w:pPr>
        <w:pStyle w:val="ac"/>
        <w:rPr>
          <w:rtl/>
        </w:rPr>
      </w:pPr>
      <w:r w:rsidRPr="00E14ED6">
        <w:rPr>
          <w:rFonts w:hint="cs"/>
          <w:rtl/>
        </w:rPr>
        <w:t xml:space="preserve">الجدير بالذكر أنّ متعلّق الفعل لم يُذكر في هذه الآية، أي لم يذكر الله تعالى ما يلزم غض النظر عنه، ولكن يتبيّن من سياق الآيات ـ خصوصاً الآية 31 من سورة النور </w:t>
      </w:r>
      <w:r w:rsidRPr="00E14ED6">
        <w:rPr>
          <w:rFonts w:hint="cs"/>
          <w:rtl/>
        </w:rPr>
        <w:lastRenderedPageBreak/>
        <w:t>التي ذكر فيها مسألة الحجاب ـ بوضوح أنّ معنى غض البصر، عدم النظر إلى النساء الأجنبيات.</w:t>
      </w:r>
    </w:p>
    <w:p w:rsidR="00F52EBA" w:rsidRPr="00E14ED6" w:rsidRDefault="00F52EBA" w:rsidP="00F52EBA">
      <w:pPr>
        <w:pStyle w:val="ac"/>
        <w:rPr>
          <w:rtl/>
        </w:rPr>
      </w:pPr>
      <w:r w:rsidRPr="00E14ED6">
        <w:rPr>
          <w:rFonts w:hint="cs"/>
          <w:rtl/>
        </w:rPr>
        <w:t>ولكن الآية لم تذكر بدقّة حدود ومشخّصات النظر، لذا يعتقد البعض حرمة مطلق النظر دون أيّ قيد أو شرط لمنع النظر عموماً، ولذا تشمل كلّ نظرة.</w:t>
      </w:r>
    </w:p>
    <w:p w:rsidR="00F52EBA" w:rsidRPr="00E14ED6" w:rsidRDefault="00F52EBA" w:rsidP="00885E99">
      <w:pPr>
        <w:pStyle w:val="ac"/>
        <w:rPr>
          <w:rtl/>
        </w:rPr>
      </w:pPr>
      <w:r w:rsidRPr="00E14ED6">
        <w:rPr>
          <w:rFonts w:hint="cs"/>
          <w:rtl/>
        </w:rPr>
        <w:t xml:space="preserve">ولكن البعض الآخر يرى عدم وجوب ستر الوجه والكفين؛ لقرينة وجود </w:t>
      </w:r>
      <w:r w:rsidR="00885E99" w:rsidRPr="00885E99">
        <w:rPr>
          <w:rFonts w:hint="eastAsia"/>
          <w:rtl/>
        </w:rPr>
        <w:t>«</w:t>
      </w:r>
      <w:r w:rsidRPr="00E14ED6">
        <w:rPr>
          <w:rFonts w:hint="cs"/>
          <w:rtl/>
        </w:rPr>
        <w:t>من</w:t>
      </w:r>
      <w:r w:rsidR="00885E99" w:rsidRPr="00885E99">
        <w:rPr>
          <w:rFonts w:hint="eastAsia"/>
          <w:rtl/>
        </w:rPr>
        <w:t>»</w:t>
      </w:r>
      <w:r w:rsidRPr="00E14ED6">
        <w:rPr>
          <w:rFonts w:hint="cs"/>
          <w:rtl/>
        </w:rPr>
        <w:t xml:space="preserve"> في الآية السالفة والتي تفيد التبعيض، ولقوله تعالى: </w:t>
      </w:r>
      <w:r w:rsidRPr="00CB1851">
        <w:rPr>
          <w:rStyle w:val="Char3"/>
          <w:rFonts w:hint="cs"/>
          <w:rtl/>
        </w:rPr>
        <w:sym w:font="Islamic Units 1" w:char="F03E"/>
      </w:r>
      <w:r w:rsidRPr="00B651E9">
        <w:rPr>
          <w:rFonts w:hint="cs"/>
          <w:b/>
          <w:bCs/>
          <w:rtl/>
        </w:rPr>
        <w:t>إلا ما ظهر منها</w:t>
      </w:r>
      <w:r w:rsidRPr="00CB1851">
        <w:rPr>
          <w:rStyle w:val="Char3"/>
          <w:rFonts w:hint="cs"/>
          <w:rtl/>
        </w:rPr>
        <w:sym w:font="Islamic Units 1" w:char="F03C"/>
      </w:r>
      <w:r w:rsidRPr="00E14ED6">
        <w:rPr>
          <w:rFonts w:hint="cs"/>
          <w:rtl/>
        </w:rPr>
        <w:t>، لذا لا منع للنظر مطلقاً، وإنما هناك استثناءات، وهي:</w:t>
      </w:r>
    </w:p>
    <w:p w:rsidR="00F52EBA" w:rsidRPr="00E14ED6" w:rsidRDefault="00F52EBA" w:rsidP="00F52EBA">
      <w:pPr>
        <w:pStyle w:val="ac"/>
        <w:rPr>
          <w:rtl/>
        </w:rPr>
      </w:pPr>
      <w:r w:rsidRPr="00E14ED6">
        <w:rPr>
          <w:rFonts w:hint="cs"/>
          <w:rtl/>
        </w:rPr>
        <w:t>1 ـ النظر إلى البنت أو المرأة التي يُقصد الزواج منها، بشرط أن يكون النظر:</w:t>
      </w:r>
    </w:p>
    <w:p w:rsidR="00F52EBA" w:rsidRPr="00E14ED6" w:rsidRDefault="00F52EBA" w:rsidP="006140E6">
      <w:pPr>
        <w:pStyle w:val="ac"/>
        <w:ind w:left="284"/>
        <w:rPr>
          <w:rtl/>
        </w:rPr>
      </w:pPr>
      <w:r w:rsidRPr="00E14ED6">
        <w:rPr>
          <w:rFonts w:hint="cs"/>
          <w:rtl/>
        </w:rPr>
        <w:t>أ ـ بدون تلذّذ وشهوة.</w:t>
      </w:r>
    </w:p>
    <w:p w:rsidR="00F52EBA" w:rsidRPr="00E14ED6" w:rsidRDefault="00F52EBA" w:rsidP="006140E6">
      <w:pPr>
        <w:pStyle w:val="ac"/>
        <w:ind w:left="284"/>
        <w:rPr>
          <w:rtl/>
        </w:rPr>
      </w:pPr>
      <w:r w:rsidRPr="00E14ED6">
        <w:rPr>
          <w:rFonts w:hint="cs"/>
          <w:rtl/>
        </w:rPr>
        <w:t>ب ـ احتمال الموافقة على الزواج منها.</w:t>
      </w:r>
    </w:p>
    <w:p w:rsidR="00F52EBA" w:rsidRPr="00E14ED6" w:rsidRDefault="00F52EBA" w:rsidP="006140E6">
      <w:pPr>
        <w:pStyle w:val="ac"/>
        <w:ind w:left="284"/>
        <w:rPr>
          <w:rtl/>
        </w:rPr>
      </w:pPr>
      <w:r w:rsidRPr="00E14ED6">
        <w:rPr>
          <w:rFonts w:hint="cs"/>
          <w:rtl/>
        </w:rPr>
        <w:t>ج ـ عدم وجود مانع من الزواج، كأن تكون المرأة في عدّة شخص آخر.</w:t>
      </w:r>
    </w:p>
    <w:p w:rsidR="00F52EBA" w:rsidRPr="00E14ED6" w:rsidRDefault="00F52EBA" w:rsidP="006140E6">
      <w:pPr>
        <w:pStyle w:val="ac"/>
        <w:ind w:left="284"/>
        <w:rPr>
          <w:rtl/>
        </w:rPr>
      </w:pPr>
      <w:r w:rsidRPr="00E14ED6">
        <w:rPr>
          <w:rFonts w:hint="cs"/>
          <w:rtl/>
        </w:rPr>
        <w:t>د ـ النظر لازدياد معرفته بها، وإلاّ فلا.</w:t>
      </w:r>
    </w:p>
    <w:p w:rsidR="00F52EBA" w:rsidRPr="00E14ED6" w:rsidRDefault="00F52EBA" w:rsidP="006140E6">
      <w:pPr>
        <w:pStyle w:val="ac"/>
        <w:ind w:left="284"/>
        <w:rPr>
          <w:rtl/>
        </w:rPr>
      </w:pPr>
      <w:r w:rsidRPr="00E14ED6">
        <w:rPr>
          <w:rFonts w:hint="cs"/>
          <w:rtl/>
        </w:rPr>
        <w:t>هـ ـ الاكتفاء بالنظر بمقدار يؤمّن قصده للتعرف عليها.</w:t>
      </w:r>
    </w:p>
    <w:p w:rsidR="00F52EBA" w:rsidRPr="00E14ED6" w:rsidRDefault="00F52EBA" w:rsidP="006140E6">
      <w:pPr>
        <w:pStyle w:val="ac"/>
        <w:ind w:left="284"/>
        <w:rPr>
          <w:rtl/>
        </w:rPr>
      </w:pPr>
      <w:r w:rsidRPr="00E14ED6">
        <w:rPr>
          <w:rFonts w:hint="cs"/>
          <w:rtl/>
        </w:rPr>
        <w:t>و ـ لا يحق للرجل النظر إلى النساء الأجنبيات ليجد من يتزوج منها.</w:t>
      </w:r>
    </w:p>
    <w:p w:rsidR="00F52EBA" w:rsidRPr="00E14ED6" w:rsidRDefault="00F52EBA" w:rsidP="00B651E9">
      <w:pPr>
        <w:pStyle w:val="ac"/>
        <w:rPr>
          <w:rtl/>
        </w:rPr>
      </w:pPr>
      <w:r w:rsidRPr="00E14ED6">
        <w:rPr>
          <w:rFonts w:hint="cs"/>
          <w:rtl/>
        </w:rPr>
        <w:t>2 ـ النظر إلى نساء أهل الكتاب وأهل الذمّة والكفار جائز، بشرط:</w:t>
      </w:r>
    </w:p>
    <w:p w:rsidR="00F52EBA" w:rsidRPr="00E14ED6" w:rsidRDefault="00F52EBA" w:rsidP="006140E6">
      <w:pPr>
        <w:pStyle w:val="ac"/>
        <w:ind w:left="284"/>
        <w:rPr>
          <w:rtl/>
        </w:rPr>
      </w:pPr>
      <w:r w:rsidRPr="00E14ED6">
        <w:rPr>
          <w:rFonts w:hint="cs"/>
          <w:rtl/>
        </w:rPr>
        <w:t>أ ـ ألاّ يكون بقصد التلذذ والشهوة.</w:t>
      </w:r>
    </w:p>
    <w:p w:rsidR="00F52EBA" w:rsidRPr="00E14ED6" w:rsidRDefault="00F52EBA" w:rsidP="006140E6">
      <w:pPr>
        <w:pStyle w:val="ac"/>
        <w:ind w:left="284"/>
        <w:rPr>
          <w:rtl/>
        </w:rPr>
      </w:pPr>
      <w:r w:rsidRPr="00E14ED6">
        <w:rPr>
          <w:rFonts w:hint="cs"/>
          <w:rtl/>
        </w:rPr>
        <w:t>ب ـ ألاّ يخشى منه خطر ارتكاب الذنب والحرام.</w:t>
      </w:r>
    </w:p>
    <w:p w:rsidR="00F52EBA" w:rsidRPr="00E14ED6" w:rsidRDefault="00F52EBA" w:rsidP="006140E6">
      <w:pPr>
        <w:pStyle w:val="ac"/>
        <w:ind w:left="284"/>
        <w:rPr>
          <w:rtl/>
        </w:rPr>
      </w:pPr>
      <w:r w:rsidRPr="00E14ED6">
        <w:rPr>
          <w:rFonts w:hint="cs"/>
          <w:rtl/>
        </w:rPr>
        <w:t>ج ـ اختصاص جواز النظر إلى ما يظهر عادةً للآخرين.</w:t>
      </w:r>
    </w:p>
    <w:p w:rsidR="00F52EBA" w:rsidRPr="00E14ED6" w:rsidRDefault="00F52EBA" w:rsidP="00B651E9">
      <w:pPr>
        <w:pStyle w:val="ac"/>
        <w:rPr>
          <w:rtl/>
        </w:rPr>
      </w:pPr>
      <w:r w:rsidRPr="00E14ED6">
        <w:rPr>
          <w:rFonts w:hint="cs"/>
          <w:rtl/>
        </w:rPr>
        <w:t>3 ـ يمكن للطبيب أو الممرّض النظر إلى المرأة الأجنبية أو لمس بدنها ـ بقدر الضرورة ـ بشرط:</w:t>
      </w:r>
    </w:p>
    <w:p w:rsidR="00F52EBA" w:rsidRPr="00E14ED6" w:rsidRDefault="00F52EBA" w:rsidP="006140E6">
      <w:pPr>
        <w:pStyle w:val="ac"/>
        <w:ind w:left="284"/>
        <w:rPr>
          <w:rtl/>
        </w:rPr>
      </w:pPr>
      <w:r w:rsidRPr="00E14ED6">
        <w:rPr>
          <w:rFonts w:hint="cs"/>
          <w:rtl/>
        </w:rPr>
        <w:t>أ ـ إذا انحصرت الطبابة بالرجل فقط.</w:t>
      </w:r>
    </w:p>
    <w:p w:rsidR="00F52EBA" w:rsidRPr="00E14ED6" w:rsidRDefault="00F52EBA" w:rsidP="006140E6">
      <w:pPr>
        <w:pStyle w:val="ac"/>
        <w:ind w:left="284"/>
        <w:rPr>
          <w:rtl/>
        </w:rPr>
      </w:pPr>
      <w:r w:rsidRPr="00E14ED6">
        <w:rPr>
          <w:rFonts w:hint="cs"/>
          <w:rtl/>
        </w:rPr>
        <w:t>ب ـ إذا كان النظر أو اللّمس ضرورياً لتشخيص المرض.</w:t>
      </w:r>
    </w:p>
    <w:p w:rsidR="00F52EBA" w:rsidRPr="00E14ED6" w:rsidRDefault="00F52EBA" w:rsidP="006140E6">
      <w:pPr>
        <w:pStyle w:val="ac"/>
        <w:ind w:left="284"/>
        <w:rPr>
          <w:rtl/>
        </w:rPr>
      </w:pPr>
      <w:r w:rsidRPr="00E14ED6">
        <w:rPr>
          <w:rFonts w:hint="cs"/>
          <w:rtl/>
        </w:rPr>
        <w:t>ج ـ يجب الاكتفاء بمقدار الضرورة إذا كان جائزاً.</w:t>
      </w:r>
    </w:p>
    <w:p w:rsidR="00F52EBA" w:rsidRPr="00E14ED6" w:rsidRDefault="00F52EBA" w:rsidP="00B651E9">
      <w:pPr>
        <w:pStyle w:val="ac"/>
        <w:rPr>
          <w:rtl/>
        </w:rPr>
      </w:pPr>
      <w:r w:rsidRPr="00E14ED6">
        <w:rPr>
          <w:rFonts w:hint="cs"/>
          <w:rtl/>
        </w:rPr>
        <w:t xml:space="preserve">4 ـ يشمل الحكم أعلاه ـ أي جواز النظر ـ نجاة الغريق وإطفاء الحريق والسوانح </w:t>
      </w:r>
      <w:r w:rsidRPr="00E14ED6">
        <w:rPr>
          <w:rFonts w:hint="cs"/>
          <w:rtl/>
        </w:rPr>
        <w:lastRenderedPageBreak/>
        <w:t>الاُخرى.</w:t>
      </w:r>
    </w:p>
    <w:p w:rsidR="00F52EBA" w:rsidRPr="00E14ED6" w:rsidRDefault="00F52EBA" w:rsidP="00B651E9">
      <w:pPr>
        <w:pStyle w:val="ac"/>
        <w:rPr>
          <w:rtl/>
        </w:rPr>
      </w:pPr>
      <w:r w:rsidRPr="00E14ED6">
        <w:rPr>
          <w:rFonts w:hint="cs"/>
          <w:rtl/>
        </w:rPr>
        <w:t>5 ـ يجوز النظر إلى الأطفال الذين لم يبلغوا بعدُ العمر المتعارف إذا لم يكن بريبة</w:t>
      </w:r>
      <w:r w:rsidRPr="00815C4C">
        <w:rPr>
          <w:rFonts w:cs="Taher"/>
          <w:vertAlign w:val="superscript"/>
          <w:rtl/>
        </w:rPr>
        <w:t>(</w:t>
      </w:r>
      <w:r w:rsidRPr="00815C4C">
        <w:rPr>
          <w:rFonts w:cs="Taher"/>
          <w:vertAlign w:val="superscript"/>
          <w:rtl/>
        </w:rPr>
        <w:footnoteReference w:id="1078"/>
      </w:r>
      <w:r w:rsidRPr="00815C4C">
        <w:rPr>
          <w:rFonts w:cs="Taher"/>
          <w:vertAlign w:val="superscript"/>
          <w:rtl/>
        </w:rPr>
        <w:t>)</w:t>
      </w:r>
      <w:r w:rsidRPr="00E14ED6">
        <w:rPr>
          <w:rFonts w:hint="cs"/>
          <w:rtl/>
        </w:rPr>
        <w:t>.</w:t>
      </w:r>
    </w:p>
    <w:p w:rsidR="00F52EBA" w:rsidRPr="00E14ED6" w:rsidRDefault="00F52EBA" w:rsidP="00617008">
      <w:pPr>
        <w:pStyle w:val="ac"/>
        <w:rPr>
          <w:rtl/>
        </w:rPr>
      </w:pPr>
      <w:r w:rsidRPr="00E14ED6">
        <w:rPr>
          <w:rFonts w:hint="cs"/>
          <w:rtl/>
        </w:rPr>
        <w:t xml:space="preserve">وأمّا ثاني التعاليم التي وردت في هذه الآيات فهو: حفظ الفروج </w:t>
      </w:r>
      <w:r w:rsidRPr="00B651E9">
        <w:rPr>
          <w:rFonts w:hint="cs"/>
          <w:b/>
          <w:bCs/>
        </w:rPr>
        <w:sym w:font="Islamic Units 1" w:char="F03E"/>
      </w:r>
      <w:r w:rsidRPr="00B651E9">
        <w:rPr>
          <w:rFonts w:hint="cs"/>
          <w:b/>
          <w:bCs/>
          <w:rtl/>
        </w:rPr>
        <w:t xml:space="preserve">... </w:t>
      </w:r>
      <w:r w:rsidR="00617008" w:rsidRPr="00617008">
        <w:rPr>
          <w:b/>
          <w:bCs/>
          <w:rtl/>
        </w:rPr>
        <w:t>وَيَحْفَظُوا فُرُوجَهُمْ</w:t>
      </w:r>
      <w:r w:rsidRPr="00B651E9">
        <w:rPr>
          <w:rFonts w:hint="cs"/>
          <w:b/>
          <w:bCs/>
          <w:rtl/>
        </w:rPr>
        <w:t xml:space="preserve"> ...</w:t>
      </w:r>
      <w:r w:rsidRPr="00B651E9">
        <w:rPr>
          <w:rFonts w:hint="cs"/>
          <w:b/>
          <w:bCs/>
        </w:rPr>
        <w:sym w:font="Islamic Units 1" w:char="F03C"/>
      </w:r>
      <w:r w:rsidRPr="00706F0F">
        <w:rPr>
          <w:rStyle w:val="Char3"/>
          <w:rFonts w:hint="cs"/>
          <w:sz w:val="24"/>
          <w:szCs w:val="24"/>
          <w:rtl/>
        </w:rPr>
        <w:t xml:space="preserve">، </w:t>
      </w:r>
      <w:r w:rsidRPr="00B651E9">
        <w:rPr>
          <w:rFonts w:hint="cs"/>
          <w:b/>
          <w:bCs/>
        </w:rPr>
        <w:sym w:font="Islamic Units 1" w:char="F03E"/>
      </w:r>
      <w:r w:rsidRPr="00B651E9">
        <w:rPr>
          <w:rFonts w:hint="cs"/>
          <w:b/>
          <w:bCs/>
          <w:rtl/>
        </w:rPr>
        <w:t xml:space="preserve">... </w:t>
      </w:r>
      <w:r w:rsidR="00617008" w:rsidRPr="00617008">
        <w:rPr>
          <w:b/>
          <w:bCs/>
          <w:rtl/>
        </w:rPr>
        <w:t>وَيَحْفَظْنَ فُرُوجَهُنَّ</w:t>
      </w:r>
      <w:r w:rsidR="00617008">
        <w:rPr>
          <w:rFonts w:hint="cs"/>
          <w:b/>
          <w:bCs/>
          <w:rtl/>
        </w:rPr>
        <w:t xml:space="preserve"> </w:t>
      </w:r>
      <w:r w:rsidRPr="00B651E9">
        <w:rPr>
          <w:rFonts w:hint="cs"/>
          <w:b/>
          <w:bCs/>
          <w:rtl/>
        </w:rPr>
        <w:t>...</w:t>
      </w:r>
      <w:r w:rsidRPr="00B651E9">
        <w:rPr>
          <w:rFonts w:hint="cs"/>
          <w:b/>
          <w:bCs/>
        </w:rPr>
        <w:sym w:font="Islamic Units 1" w:char="F03C"/>
      </w:r>
      <w:r w:rsidRPr="00CB1851">
        <w:rPr>
          <w:rStyle w:val="Char3"/>
          <w:rFonts w:hint="cs"/>
          <w:rtl/>
        </w:rPr>
        <w:t>،</w:t>
      </w:r>
      <w:r w:rsidRPr="00E14ED6">
        <w:rPr>
          <w:rFonts w:hint="cs"/>
          <w:rtl/>
        </w:rPr>
        <w:t xml:space="preserve"> ويراد منها سترها عن الأجانب، وليس بمعنى حفظها من الزنا واللواط؛ يقول الإمام الصادق</w:t>
      </w:r>
      <w:r w:rsidR="00350F90">
        <w:rPr>
          <w:rFonts w:hint="cs"/>
          <w:rtl/>
        </w:rPr>
        <w:t>×</w:t>
      </w:r>
      <w:r w:rsidRPr="00E14ED6">
        <w:rPr>
          <w:rFonts w:hint="cs"/>
          <w:rtl/>
        </w:rPr>
        <w:t xml:space="preserve"> في هذا المجال: </w:t>
      </w:r>
      <w:r w:rsidRPr="00617008">
        <w:rPr>
          <w:rFonts w:hint="cs"/>
          <w:rtl/>
        </w:rPr>
        <w:t>«</w:t>
      </w:r>
      <w:r w:rsidRPr="00E14ED6">
        <w:rPr>
          <w:rFonts w:hint="cs"/>
          <w:rtl/>
        </w:rPr>
        <w:t>كل آية في القرآن فيها ذكر الفروج نهي عن الزنا، إلاّ هذه الآية فإنها من النظر</w:t>
      </w:r>
      <w:r w:rsidRPr="00617008">
        <w:rPr>
          <w:rFonts w:hint="cs"/>
          <w:rtl/>
        </w:rPr>
        <w:t>»</w:t>
      </w:r>
      <w:r w:rsidRPr="00E14ED6">
        <w:rPr>
          <w:rFonts w:hint="cs"/>
          <w:rtl/>
        </w:rPr>
        <w:t>.</w:t>
      </w:r>
    </w:p>
    <w:p w:rsidR="00F52EBA" w:rsidRPr="00E14ED6" w:rsidRDefault="00F52EBA" w:rsidP="00617008">
      <w:pPr>
        <w:pStyle w:val="ac"/>
        <w:rPr>
          <w:rtl/>
        </w:rPr>
      </w:pPr>
      <w:r w:rsidRPr="00E14ED6">
        <w:rPr>
          <w:rFonts w:hint="cs"/>
          <w:rtl/>
        </w:rPr>
        <w:t xml:space="preserve">وعبارة: </w:t>
      </w:r>
      <w:r w:rsidRPr="00B651E9">
        <w:rPr>
          <w:rFonts w:hint="cs"/>
          <w:b/>
          <w:bCs/>
          <w:rtl/>
        </w:rPr>
        <w:sym w:font="Islamic Units 1" w:char="F03E"/>
      </w:r>
      <w:r w:rsidRPr="00B651E9">
        <w:rPr>
          <w:rFonts w:hint="cs"/>
          <w:b/>
          <w:bCs/>
          <w:rtl/>
        </w:rPr>
        <w:t xml:space="preserve">... </w:t>
      </w:r>
      <w:r w:rsidR="00617008" w:rsidRPr="00617008">
        <w:rPr>
          <w:b/>
          <w:bCs/>
          <w:rtl/>
        </w:rPr>
        <w:t>ذَلِكَ أَزْكَى لَهُمْ</w:t>
      </w:r>
      <w:r w:rsidR="00617008">
        <w:rPr>
          <w:rFonts w:hint="cs"/>
          <w:b/>
          <w:bCs/>
          <w:rtl/>
        </w:rPr>
        <w:t xml:space="preserve"> </w:t>
      </w:r>
      <w:r w:rsidRPr="00B651E9">
        <w:rPr>
          <w:rFonts w:hint="cs"/>
          <w:b/>
          <w:bCs/>
          <w:rtl/>
        </w:rPr>
        <w:t xml:space="preserve">... </w:t>
      </w:r>
      <w:r w:rsidRPr="00B651E9">
        <w:rPr>
          <w:rFonts w:hint="cs"/>
          <w:b/>
          <w:bCs/>
          <w:rtl/>
        </w:rPr>
        <w:sym w:font="Islamic Units 1" w:char="F03C"/>
      </w:r>
      <w:r w:rsidRPr="00CE32CB">
        <w:rPr>
          <w:rFonts w:ascii="Mosawi" w:hAnsi="Mosawi" w:hint="cs"/>
          <w:rtl/>
        </w:rPr>
        <w:t xml:space="preserve"> </w:t>
      </w:r>
      <w:r w:rsidRPr="00E14ED6">
        <w:rPr>
          <w:rFonts w:hint="cs"/>
          <w:rtl/>
        </w:rPr>
        <w:t>التي وردت في الآية السالفة، تشير إلى التوصية بالعفاف ولزوم غض النظر وامتناع المرأة من التبرّج، ذلك كلّه من أجل تطهير الروح والنفس من الذنب والدنس والانحطاط الأخلاقي في الاُسرة والمجتمع، وهذا يرتبط أيضاً بسعادة كلّ من الرجل والمرأة والأجيال الإنسانية جمعاء.</w:t>
      </w:r>
    </w:p>
    <w:p w:rsidR="00F52EBA" w:rsidRPr="00B102A4" w:rsidRDefault="00F52EBA" w:rsidP="00885E99">
      <w:pPr>
        <w:pStyle w:val="ac"/>
        <w:rPr>
          <w:rFonts w:cs="Traditional Arabic"/>
          <w:b/>
          <w:szCs w:val="32"/>
          <w:rtl/>
        </w:rPr>
      </w:pPr>
      <w:r w:rsidRPr="00E14ED6">
        <w:rPr>
          <w:rFonts w:hint="cs"/>
          <w:rtl/>
        </w:rPr>
        <w:t xml:space="preserve">إنّ النظر شرارة تشتعل منها نار الشهوة: </w:t>
      </w:r>
      <w:r w:rsidRPr="00617008">
        <w:rPr>
          <w:rFonts w:hint="cs"/>
          <w:rtl/>
        </w:rPr>
        <w:t>«</w:t>
      </w:r>
      <w:r w:rsidRPr="00E14ED6">
        <w:rPr>
          <w:rFonts w:hint="cs"/>
          <w:rtl/>
        </w:rPr>
        <w:t>النظرة بعد النظرة تزرع في القلب شهوة، وكفى بها لصاحبها فتنة</w:t>
      </w:r>
      <w:r w:rsidRPr="00617008">
        <w:rPr>
          <w:rFonts w:hint="cs"/>
          <w:rtl/>
        </w:rPr>
        <w:t>»</w:t>
      </w:r>
      <w:r w:rsidRPr="00815C4C">
        <w:rPr>
          <w:rFonts w:cs="Taher"/>
          <w:vertAlign w:val="superscript"/>
          <w:rtl/>
        </w:rPr>
        <w:t>(</w:t>
      </w:r>
      <w:r w:rsidRPr="00815C4C">
        <w:rPr>
          <w:rFonts w:cs="Taher"/>
          <w:vertAlign w:val="superscript"/>
          <w:rtl/>
        </w:rPr>
        <w:footnoteReference w:id="1079"/>
      </w:r>
      <w:r w:rsidRPr="00815C4C">
        <w:rPr>
          <w:rFonts w:cs="Taher"/>
          <w:vertAlign w:val="superscript"/>
          <w:rtl/>
        </w:rPr>
        <w:t>)</w:t>
      </w:r>
      <w:r w:rsidRPr="00E14ED6">
        <w:rPr>
          <w:rFonts w:hint="cs"/>
          <w:rtl/>
        </w:rPr>
        <w:t>،</w:t>
      </w:r>
      <w:r w:rsidRPr="00767F05">
        <w:rPr>
          <w:rFonts w:cs="Traditional Arabic" w:hint="cs"/>
          <w:b/>
          <w:szCs w:val="32"/>
          <w:rtl/>
        </w:rPr>
        <w:t xml:space="preserve"> </w:t>
      </w:r>
      <w:r w:rsidRPr="00E14ED6">
        <w:rPr>
          <w:rFonts w:hint="cs"/>
          <w:rtl/>
        </w:rPr>
        <w:t>و</w:t>
      </w:r>
      <w:r w:rsidRPr="00617008">
        <w:rPr>
          <w:rFonts w:hint="cs"/>
          <w:rtl/>
        </w:rPr>
        <w:t>«</w:t>
      </w:r>
      <w:r w:rsidRPr="00E14ED6">
        <w:rPr>
          <w:rFonts w:hint="cs"/>
          <w:rtl/>
        </w:rPr>
        <w:t>النظر سهم مسموم من سهام إبليس، وكم من نظرة أورثت حسرة طويلة</w:t>
      </w:r>
      <w:r w:rsidR="00885E99" w:rsidRPr="00885E99">
        <w:rPr>
          <w:rFonts w:hint="eastAsia"/>
          <w:rtl/>
        </w:rPr>
        <w:t>»</w:t>
      </w:r>
      <w:r w:rsidRPr="00815C4C">
        <w:rPr>
          <w:rFonts w:cs="Taher"/>
          <w:vertAlign w:val="superscript"/>
          <w:rtl/>
        </w:rPr>
        <w:t>(</w:t>
      </w:r>
      <w:r w:rsidRPr="00815C4C">
        <w:rPr>
          <w:rFonts w:cs="Taher"/>
          <w:vertAlign w:val="superscript"/>
          <w:rtl/>
        </w:rPr>
        <w:footnoteReference w:id="1080"/>
      </w:r>
      <w:r w:rsidRPr="00815C4C">
        <w:rPr>
          <w:rFonts w:cs="Taher"/>
          <w:vertAlign w:val="superscript"/>
          <w:rtl/>
        </w:rPr>
        <w:t>)</w:t>
      </w:r>
      <w:r w:rsidRPr="00E14ED6">
        <w:rPr>
          <w:rFonts w:hint="cs"/>
          <w:rtl/>
        </w:rPr>
        <w:t>.</w:t>
      </w:r>
      <w:r w:rsidRPr="00767F05">
        <w:rPr>
          <w:rFonts w:cs="Traditional Arabic" w:hint="cs"/>
          <w:b/>
          <w:szCs w:val="32"/>
          <w:rtl/>
        </w:rPr>
        <w:t xml:space="preserve"> </w:t>
      </w:r>
    </w:p>
    <w:p w:rsidR="00F52EBA" w:rsidRPr="00E14ED6" w:rsidRDefault="00F52EBA" w:rsidP="00C86626">
      <w:pPr>
        <w:pStyle w:val="ac"/>
        <w:rPr>
          <w:rtl/>
        </w:rPr>
      </w:pPr>
      <w:r w:rsidRPr="00E14ED6">
        <w:rPr>
          <w:rFonts w:hint="cs"/>
          <w:rtl/>
        </w:rPr>
        <w:t>إن الذين لا يغضّون أبصارهم يتعبون ويجهدون أرواحهم وأنفسهم أكثر من الآخرين، كما يعرّضون أنفسهم للإصابة بالقلق والاضطراب، وثورة الانفعالات وهيجانها، وهذه الطعمة الملوثة بالأهواء الشيطانية توقعهم وغيرهم في وحل الفضيحة، ولهذا كان الأئمة</w:t>
      </w:r>
      <w:r w:rsidR="00C86626">
        <w:rPr>
          <w:rFonts w:hint="cs"/>
          <w:sz w:val="26"/>
          <w:rtl/>
        </w:rPr>
        <w:t>^</w:t>
      </w:r>
      <w:r w:rsidRPr="00E14ED6">
        <w:rPr>
          <w:rFonts w:hint="cs"/>
          <w:rtl/>
        </w:rPr>
        <w:t xml:space="preserve"> يحدّثون أتباعهم في مدح من يغضّ بصره، ويحذرونهم من عاقبة الوقوع في دوامة النظر المريب بأنّ لهم عذاباً شديداً.</w:t>
      </w:r>
    </w:p>
    <w:p w:rsidR="00F52EBA" w:rsidRPr="00E14ED6" w:rsidRDefault="00F52EBA" w:rsidP="00350F90">
      <w:pPr>
        <w:pStyle w:val="ac"/>
        <w:rPr>
          <w:rtl/>
        </w:rPr>
      </w:pPr>
      <w:r w:rsidRPr="00E14ED6">
        <w:rPr>
          <w:rFonts w:hint="cs"/>
          <w:rtl/>
        </w:rPr>
        <w:t>يصرّح الإمام الصادق</w:t>
      </w:r>
      <w:r w:rsidR="00350F90">
        <w:rPr>
          <w:rFonts w:hint="cs"/>
          <w:rtl/>
        </w:rPr>
        <w:t>×</w:t>
      </w:r>
      <w:r w:rsidRPr="00E14ED6">
        <w:rPr>
          <w:rFonts w:hint="cs"/>
          <w:rtl/>
        </w:rPr>
        <w:t xml:space="preserve"> في هذا المجال قائلاً: </w:t>
      </w:r>
      <w:r w:rsidRPr="00617008">
        <w:rPr>
          <w:rFonts w:hint="cs"/>
          <w:rtl/>
        </w:rPr>
        <w:t>«</w:t>
      </w:r>
      <w:r w:rsidRPr="00E14ED6">
        <w:rPr>
          <w:rFonts w:hint="cs"/>
          <w:rtl/>
        </w:rPr>
        <w:t>من نظر إلى امرأة فرفع بصره إلى السماء أو غضّ بصره لم يرتد إليه بصره حتى يزوّجه الله من الحور العين</w:t>
      </w:r>
      <w:r w:rsidRPr="00617008">
        <w:rPr>
          <w:rFonts w:hint="cs"/>
          <w:rtl/>
        </w:rPr>
        <w:t>»</w:t>
      </w:r>
      <w:r w:rsidRPr="00815C4C">
        <w:rPr>
          <w:rFonts w:cs="Taher"/>
          <w:vertAlign w:val="superscript"/>
          <w:rtl/>
        </w:rPr>
        <w:t>(</w:t>
      </w:r>
      <w:r w:rsidRPr="00815C4C">
        <w:rPr>
          <w:rFonts w:cs="Taher"/>
          <w:vertAlign w:val="superscript"/>
          <w:rtl/>
        </w:rPr>
        <w:footnoteReference w:id="1081"/>
      </w:r>
      <w:r w:rsidRPr="00815C4C">
        <w:rPr>
          <w:rFonts w:cs="Taher"/>
          <w:vertAlign w:val="superscript"/>
          <w:rtl/>
        </w:rPr>
        <w:t>)</w:t>
      </w:r>
      <w:r w:rsidRPr="00E14ED6">
        <w:rPr>
          <w:rFonts w:hint="cs"/>
          <w:rtl/>
        </w:rPr>
        <w:t>.</w:t>
      </w:r>
    </w:p>
    <w:p w:rsidR="00F52EBA" w:rsidRPr="00E14ED6" w:rsidRDefault="00F52EBA" w:rsidP="00C86626">
      <w:pPr>
        <w:pStyle w:val="ac"/>
        <w:rPr>
          <w:rtl/>
        </w:rPr>
      </w:pPr>
      <w:r w:rsidRPr="00E14ED6">
        <w:rPr>
          <w:rFonts w:hint="cs"/>
          <w:rtl/>
        </w:rPr>
        <w:lastRenderedPageBreak/>
        <w:t>ويقول الرسول الأكرم</w:t>
      </w:r>
      <w:r w:rsidR="00C86626">
        <w:rPr>
          <w:rFonts w:hint="cs"/>
          <w:rtl/>
        </w:rPr>
        <w:t>’</w:t>
      </w:r>
      <w:r w:rsidRPr="00E14ED6">
        <w:rPr>
          <w:rFonts w:hint="cs"/>
          <w:rtl/>
        </w:rPr>
        <w:t xml:space="preserve">: </w:t>
      </w:r>
      <w:r w:rsidRPr="00617008">
        <w:rPr>
          <w:rFonts w:hint="cs"/>
          <w:rtl/>
        </w:rPr>
        <w:t>«</w:t>
      </w:r>
      <w:r w:rsidRPr="00E14ED6">
        <w:rPr>
          <w:rFonts w:hint="cs"/>
          <w:rtl/>
        </w:rPr>
        <w:t>ما من مسلم ينظر إلى المرأة أوّل رمقة ثم يغضّ بصره إلاّ أحدث الله له عبادة يجد حلاوتها في قلبه</w:t>
      </w:r>
      <w:r w:rsidRPr="00617008">
        <w:rPr>
          <w:rFonts w:hint="cs"/>
          <w:rtl/>
        </w:rPr>
        <w:t>»</w:t>
      </w:r>
      <w:r w:rsidRPr="00815C4C">
        <w:rPr>
          <w:rFonts w:cs="Taher"/>
          <w:vertAlign w:val="superscript"/>
          <w:rtl/>
        </w:rPr>
        <w:t>(</w:t>
      </w:r>
      <w:r w:rsidRPr="00815C4C">
        <w:rPr>
          <w:rFonts w:cs="Taher"/>
          <w:vertAlign w:val="superscript"/>
          <w:rtl/>
        </w:rPr>
        <w:footnoteReference w:id="1082"/>
      </w:r>
      <w:r w:rsidRPr="00815C4C">
        <w:rPr>
          <w:rFonts w:cs="Taher"/>
          <w:vertAlign w:val="superscript"/>
          <w:rtl/>
        </w:rPr>
        <w:t>)</w:t>
      </w:r>
      <w:r w:rsidRPr="00E14ED6">
        <w:rPr>
          <w:rFonts w:hint="cs"/>
          <w:rtl/>
        </w:rPr>
        <w:t>.</w:t>
      </w:r>
    </w:p>
    <w:p w:rsidR="00F52EBA" w:rsidRDefault="00F52EBA" w:rsidP="00350F90">
      <w:pPr>
        <w:pStyle w:val="ac"/>
        <w:rPr>
          <w:rtl/>
        </w:rPr>
      </w:pPr>
      <w:r w:rsidRPr="00E14ED6">
        <w:rPr>
          <w:rFonts w:hint="cs"/>
          <w:rtl/>
        </w:rPr>
        <w:t>ويقول الإمام الصادق</w:t>
      </w:r>
      <w:r w:rsidR="00350F90">
        <w:rPr>
          <w:rFonts w:hint="cs"/>
          <w:rtl/>
        </w:rPr>
        <w:t>×</w:t>
      </w:r>
      <w:r w:rsidRPr="00E14ED6">
        <w:rPr>
          <w:rFonts w:hint="cs"/>
          <w:rtl/>
        </w:rPr>
        <w:t xml:space="preserve"> أيضاً: </w:t>
      </w:r>
      <w:r w:rsidRPr="00617008">
        <w:rPr>
          <w:rFonts w:hint="cs"/>
          <w:rtl/>
        </w:rPr>
        <w:t>«</w:t>
      </w:r>
      <w:r w:rsidRPr="00E14ED6">
        <w:rPr>
          <w:rFonts w:hint="cs"/>
          <w:rtl/>
        </w:rPr>
        <w:t>من ملأ عينه حراماً ملأ الله عينه يوم القيامة من النار، إلاّ أن يتوب ويرجع</w:t>
      </w:r>
      <w:r w:rsidRPr="00617008">
        <w:rPr>
          <w:rFonts w:hint="cs"/>
          <w:rtl/>
        </w:rPr>
        <w:t>»</w:t>
      </w:r>
      <w:r w:rsidRPr="00815C4C">
        <w:rPr>
          <w:rFonts w:cs="Taher"/>
          <w:vertAlign w:val="superscript"/>
          <w:rtl/>
        </w:rPr>
        <w:t>(</w:t>
      </w:r>
      <w:r w:rsidRPr="00815C4C">
        <w:rPr>
          <w:rFonts w:cs="Taher"/>
          <w:vertAlign w:val="superscript"/>
          <w:rtl/>
        </w:rPr>
        <w:footnoteReference w:id="1083"/>
      </w:r>
      <w:r w:rsidRPr="00815C4C">
        <w:rPr>
          <w:rFonts w:cs="Taher"/>
          <w:vertAlign w:val="superscript"/>
          <w:rtl/>
        </w:rPr>
        <w:t>)</w:t>
      </w:r>
      <w:r w:rsidRPr="00E14ED6">
        <w:rPr>
          <w:rFonts w:hint="cs"/>
          <w:rtl/>
        </w:rPr>
        <w:t>.</w:t>
      </w:r>
    </w:p>
    <w:p w:rsidR="00B651E9" w:rsidRPr="006140E6" w:rsidRDefault="00B651E9" w:rsidP="006140E6">
      <w:pPr>
        <w:pStyle w:val="afffffc"/>
        <w:rPr>
          <w:sz w:val="20"/>
          <w:szCs w:val="18"/>
          <w:rtl/>
        </w:rPr>
      </w:pPr>
    </w:p>
    <w:p w:rsidR="00F52EBA" w:rsidRPr="00B102A4" w:rsidRDefault="00F52EBA" w:rsidP="006140E6">
      <w:pPr>
        <w:pStyle w:val="2"/>
        <w:rPr>
          <w:rtl/>
        </w:rPr>
      </w:pPr>
      <w:bookmarkStart w:id="683" w:name="_Toc275128310"/>
      <w:r w:rsidRPr="00B102A4">
        <w:rPr>
          <w:rFonts w:hint="cs"/>
          <w:rtl/>
        </w:rPr>
        <w:t>3 ـ عفّة المعاشرة</w:t>
      </w:r>
      <w:bookmarkEnd w:id="683"/>
    </w:p>
    <w:p w:rsidR="00F52EBA" w:rsidRPr="00E14ED6" w:rsidRDefault="00F52EBA" w:rsidP="00B651E9">
      <w:pPr>
        <w:pStyle w:val="ac"/>
        <w:rPr>
          <w:rtl/>
        </w:rPr>
      </w:pPr>
      <w:r w:rsidRPr="00E14ED6">
        <w:rPr>
          <w:rFonts w:hint="cs"/>
          <w:rtl/>
        </w:rPr>
        <w:t>من الواضح أنّ نشاطات النساء الاجتماعية وحضورهنّ في مختلف الميادين سيكون باعثاً على خلق أرضية تعامل وارتباط أكثر بين المرأة والرجل، وإثر الحضور الاجتماعي للمرأة تبرز كثير من الاستعدادات والقابليات، كما تتحقّق كثير من الأمور في مجالات كثيرة ومختلفة، كالتعلّم والتعليم، والتقدم والتنمية التكنولوجية، وارتفاع مستوى الفهم السياسي، ومعرفة التحولات الاجتماعية.</w:t>
      </w:r>
    </w:p>
    <w:p w:rsidR="00F52EBA" w:rsidRPr="00E14ED6" w:rsidRDefault="00F52EBA" w:rsidP="00B651E9">
      <w:pPr>
        <w:pStyle w:val="ac"/>
        <w:rPr>
          <w:rtl/>
        </w:rPr>
      </w:pPr>
      <w:r w:rsidRPr="00E14ED6">
        <w:rPr>
          <w:rFonts w:hint="cs"/>
          <w:rtl/>
        </w:rPr>
        <w:t>كما يتحقّق أداء الوظيفة الشرعية إثر النشاطات الاجتماعية، كالأمر بالمعروف والنهي عن المنكر، لذا فمن محفّزات الدعوة إلى مشاركتها الاجتماعية رفع مستواها العلمي والمعنوي والاجتماعي، ولا يمكن تحقيق هذا الدور المهم إلاّ بحضورهن الفعلي، وإلا سيكون عسير المنال.</w:t>
      </w:r>
    </w:p>
    <w:p w:rsidR="00F52EBA" w:rsidRPr="00E14ED6" w:rsidRDefault="00F52EBA" w:rsidP="002F7681">
      <w:pPr>
        <w:pStyle w:val="ac"/>
        <w:rPr>
          <w:rtl/>
        </w:rPr>
      </w:pPr>
      <w:r w:rsidRPr="00E14ED6">
        <w:rPr>
          <w:rFonts w:hint="cs"/>
          <w:rtl/>
        </w:rPr>
        <w:t>من جهة أخرى، تمتاز شريعة الإسلام والسنّة النبوية الشريفة بكونها سهلة يسيرة سمحة، يقول الله تعالى في القرآن الكريم:</w:t>
      </w:r>
      <w:r w:rsidRPr="009C60F7">
        <w:rPr>
          <w:rStyle w:val="Char3"/>
          <w:rFonts w:hint="cs"/>
          <w:rtl/>
        </w:rPr>
        <w:t xml:space="preserve"> </w:t>
      </w:r>
      <w:r w:rsidR="00B651E9" w:rsidRPr="00B651E9">
        <w:rPr>
          <w:b/>
          <w:bCs/>
          <w:rtl/>
        </w:rPr>
        <w:t>﴿</w:t>
      </w:r>
      <w:r w:rsidR="002F7681" w:rsidRPr="002F7681">
        <w:rPr>
          <w:b/>
          <w:bCs/>
          <w:rtl/>
        </w:rPr>
        <w:t>يُرِيدُ اللهُ بِكُمُ اليُسْرَ وَلَا يُرِيدُ بِكُمُ العُسْرَ</w:t>
      </w:r>
      <w:r w:rsidR="00B651E9" w:rsidRPr="00B651E9">
        <w:rPr>
          <w:b/>
          <w:bCs/>
          <w:rtl/>
        </w:rPr>
        <w:t>﴾</w:t>
      </w:r>
      <w:r w:rsidRPr="00815C4C">
        <w:rPr>
          <w:rFonts w:cs="Taher"/>
          <w:vertAlign w:val="superscript"/>
          <w:rtl/>
        </w:rPr>
        <w:t>(</w:t>
      </w:r>
      <w:r w:rsidRPr="00815C4C">
        <w:rPr>
          <w:rFonts w:cs="Taher"/>
          <w:vertAlign w:val="superscript"/>
          <w:rtl/>
        </w:rPr>
        <w:footnoteReference w:id="1084"/>
      </w:r>
      <w:r w:rsidRPr="00815C4C">
        <w:rPr>
          <w:rFonts w:cs="Taher"/>
          <w:vertAlign w:val="superscript"/>
          <w:rtl/>
        </w:rPr>
        <w:t>)</w:t>
      </w:r>
      <w:r w:rsidRPr="00E14ED6">
        <w:rPr>
          <w:rFonts w:hint="cs"/>
          <w:rtl/>
        </w:rPr>
        <w:t>، ولو فرضنا أن المرأة أدّت ما يلزمها من تكاليف وواجبات عن طريق محارمها وبقيت هي في البيت تؤدّي شؤون منـزلها، وتهتم بتربية الأطفال وإنجابهم وإرضاعهم، فسوف لا تخلو حياة الجميع من الحرج والصعوبة.</w:t>
      </w:r>
    </w:p>
    <w:p w:rsidR="00F52EBA" w:rsidRPr="00E14ED6" w:rsidRDefault="00F52EBA" w:rsidP="00C86626">
      <w:pPr>
        <w:pStyle w:val="ac"/>
        <w:rPr>
          <w:rtl/>
        </w:rPr>
      </w:pPr>
      <w:r w:rsidRPr="00E14ED6">
        <w:rPr>
          <w:rFonts w:hint="cs"/>
          <w:rtl/>
        </w:rPr>
        <w:t>لقد كانت النساء في عصر الرسالة الأول يسألنَ رسول الله</w:t>
      </w:r>
      <w:r w:rsidR="00C86626">
        <w:rPr>
          <w:rFonts w:hint="cs"/>
          <w:rtl/>
        </w:rPr>
        <w:t>’</w:t>
      </w:r>
      <w:r w:rsidRPr="00E14ED6">
        <w:rPr>
          <w:rFonts w:hint="cs"/>
          <w:rtl/>
        </w:rPr>
        <w:t xml:space="preserve"> ما لديهنّ من أسئلة، </w:t>
      </w:r>
      <w:r w:rsidRPr="00E14ED6">
        <w:rPr>
          <w:rFonts w:hint="cs"/>
          <w:rtl/>
        </w:rPr>
        <w:lastRenderedPageBreak/>
        <w:t>ولم يمنعهنّ رسول الله قط، ويبدو من آيات القرآن الكريم والسنّة النبوية الشريفة وسيرة الأئمة المعصومين</w:t>
      </w:r>
      <w:r w:rsidR="00C86626">
        <w:rPr>
          <w:rFonts w:hint="cs"/>
          <w:sz w:val="26"/>
          <w:rtl/>
        </w:rPr>
        <w:t>^</w:t>
      </w:r>
      <w:r w:rsidRPr="00E14ED6">
        <w:rPr>
          <w:rFonts w:hint="cs"/>
          <w:rtl/>
        </w:rPr>
        <w:t xml:space="preserve"> أنّ النساء كنَّ يعاشرن ويتحدثنَ مع رسول الله</w:t>
      </w:r>
      <w:r w:rsidR="00C86626">
        <w:rPr>
          <w:rFonts w:hint="cs"/>
          <w:rtl/>
        </w:rPr>
        <w:t>’</w:t>
      </w:r>
      <w:r w:rsidRPr="00E14ED6">
        <w:rPr>
          <w:rFonts w:hint="cs"/>
          <w:rtl/>
        </w:rPr>
        <w:t xml:space="preserve"> والأئمة المعصومين</w:t>
      </w:r>
      <w:r w:rsidR="00C86626">
        <w:rPr>
          <w:rFonts w:hint="cs"/>
          <w:sz w:val="26"/>
          <w:rtl/>
        </w:rPr>
        <w:t>^</w:t>
      </w:r>
      <w:r w:rsidRPr="00E14ED6">
        <w:rPr>
          <w:rFonts w:hint="cs"/>
          <w:rtl/>
        </w:rPr>
        <w:t xml:space="preserve">، وكان هذا أمراً عادياً وطبيعياً. </w:t>
      </w:r>
    </w:p>
    <w:p w:rsidR="00F52EBA" w:rsidRPr="009C60F7" w:rsidRDefault="00F52EBA" w:rsidP="006140E6">
      <w:pPr>
        <w:pStyle w:val="ac"/>
        <w:spacing w:line="202" w:lineRule="auto"/>
        <w:rPr>
          <w:rtl/>
        </w:rPr>
      </w:pPr>
      <w:r w:rsidRPr="00B651E9">
        <w:rPr>
          <w:rFonts w:hint="cs"/>
          <w:rtl/>
        </w:rPr>
        <w:t>وقد ذكر القرآن الكريم مسألة بيعة النساء، وهي إحدى أبرز نماذج مشاركة المرأة سياسياً واجتماعياً، قال تعالى:</w:t>
      </w:r>
      <w:r w:rsidRPr="00E14ED6">
        <w:rPr>
          <w:rFonts w:cs="AL-Mohanad" w:hint="cs"/>
          <w:rtl/>
        </w:rPr>
        <w:t xml:space="preserve"> </w:t>
      </w:r>
      <w:r>
        <w:rPr>
          <w:rFonts w:cs="AL-Mohanad" w:hint="cs"/>
          <w:sz w:val="30"/>
          <w:szCs w:val="26"/>
        </w:rPr>
        <w:sym w:font="Islamic Units 1" w:char="F03E"/>
      </w:r>
      <w:r w:rsidRPr="00B651E9">
        <w:rPr>
          <w:b/>
          <w:bCs/>
          <w:rtl/>
        </w:rPr>
        <w:t>يَا أَيُّهَا النَّبِيُّ إِذَا جَاءكَ الْمُؤْمِنَاتُ يُبَايِعْنَكَ عَلَى أَن لا يُشْرِكْنَ بِالله شَيْئًا وَلا يَسْرِقْنَ وَلا يَزْنِينَ وَلا يَقْتُلْنَ أَوْلادَهُنَّ وَلا يَأْتِينَ بِبُهْتَانٍ يَفْتَرِينَهُ بَيْنَ أَيْدِيهِنَّ وَأَرْجُلِهِنَّ وَلا يَعْصِينَكَ فِي مَعْرُوفٍ فَبَايِعْهُنَّ وَاسْتَغْفِرْ لَهُنَّ الله إِنَّ الله غَفُورٌ رَّحِيمٌ</w:t>
      </w:r>
      <w:r w:rsidRPr="009C60F7">
        <w:rPr>
          <w:rStyle w:val="Char3"/>
          <w:rFonts w:hint="cs"/>
          <w:sz w:val="24"/>
          <w:szCs w:val="24"/>
        </w:rPr>
        <w:sym w:font="Islamic Units 1" w:char="F03C"/>
      </w:r>
      <w:r w:rsidRPr="00815C4C">
        <w:rPr>
          <w:rFonts w:cs="Taher"/>
          <w:vertAlign w:val="superscript"/>
          <w:rtl/>
        </w:rPr>
        <w:t>(</w:t>
      </w:r>
      <w:r w:rsidRPr="00815C4C">
        <w:rPr>
          <w:rFonts w:cs="Taher"/>
          <w:vertAlign w:val="superscript"/>
          <w:rtl/>
        </w:rPr>
        <w:footnoteReference w:id="1085"/>
      </w:r>
      <w:r w:rsidRPr="00815C4C">
        <w:rPr>
          <w:rFonts w:cs="Taher"/>
          <w:vertAlign w:val="superscript"/>
          <w:rtl/>
        </w:rPr>
        <w:t>)</w:t>
      </w:r>
      <w:r w:rsidRPr="00767F05">
        <w:rPr>
          <w:rFonts w:hint="cs"/>
          <w:b/>
          <w:szCs w:val="32"/>
          <w:rtl/>
        </w:rPr>
        <w:t xml:space="preserve">. </w:t>
      </w:r>
      <w:r w:rsidRPr="009C60F7">
        <w:rPr>
          <w:rFonts w:hint="cs"/>
          <w:rtl/>
        </w:rPr>
        <w:t>وقد بايعت النساء النبي الأكرم</w:t>
      </w:r>
      <w:r w:rsidR="00C86626">
        <w:rPr>
          <w:rFonts w:hint="cs"/>
          <w:rtl/>
        </w:rPr>
        <w:t>’</w:t>
      </w:r>
      <w:r w:rsidRPr="009C60F7">
        <w:rPr>
          <w:rFonts w:hint="cs"/>
          <w:rtl/>
        </w:rPr>
        <w:t xml:space="preserve"> في أكثر من موضع، عند اعتناقهنّ الإسلام، وعند مبايعته</w:t>
      </w:r>
      <w:r w:rsidR="00C86626">
        <w:rPr>
          <w:rFonts w:hint="cs"/>
          <w:rtl/>
        </w:rPr>
        <w:t>’</w:t>
      </w:r>
      <w:r w:rsidRPr="009C60F7">
        <w:rPr>
          <w:rFonts w:hint="cs"/>
          <w:rtl/>
        </w:rPr>
        <w:t xml:space="preserve"> رئيساً للدولة الإسلامية.</w:t>
      </w:r>
    </w:p>
    <w:p w:rsidR="00F52EBA" w:rsidRPr="009C60F7" w:rsidRDefault="00F52EBA" w:rsidP="006140E6">
      <w:pPr>
        <w:pStyle w:val="ac"/>
        <w:spacing w:line="202" w:lineRule="auto"/>
        <w:rPr>
          <w:rtl/>
        </w:rPr>
      </w:pPr>
      <w:r w:rsidRPr="00E14ED6">
        <w:rPr>
          <w:rFonts w:hint="cs"/>
          <w:rtl/>
        </w:rPr>
        <w:t xml:space="preserve">وفي موقع آخر، </w:t>
      </w:r>
      <w:r w:rsidRPr="00706F0F">
        <w:rPr>
          <w:rFonts w:hint="cs"/>
          <w:rtl/>
        </w:rPr>
        <w:t>يؤكّد</w:t>
      </w:r>
      <w:r w:rsidRPr="00E14ED6">
        <w:rPr>
          <w:rFonts w:hint="cs"/>
          <w:rtl/>
        </w:rPr>
        <w:t xml:space="preserve"> القرآن ـ صراحةً ـ مالكية النساء والرجال، كل حسب كسبه، قال تعالى: </w:t>
      </w:r>
      <w:r w:rsidRPr="00CE32CB">
        <w:rPr>
          <w:rFonts w:ascii="Mosawi" w:hAnsi="Mosawi" w:hint="cs"/>
        </w:rPr>
        <w:sym w:font="Islamic Units 1" w:char="F03E"/>
      </w:r>
      <w:r w:rsidRPr="00B651E9">
        <w:rPr>
          <w:b/>
          <w:bCs/>
          <w:rtl/>
        </w:rPr>
        <w:t>وَلاَ تَتَمَنَّوْاْ مَا فَضَّلَ الله بِهِ بَعْضَكُمْ عَلَى بَعْضٍ لِّلرِّجَالِ نَصِيبٌ مِّمَّا اكْتَسَبُواْ وَلِلنِّسَاء نَصِيبٌ مِّمَّا اكْتَسَبْنَ وَاسْأَلُواْ الله مِن فَضْلِهِ إِنَّ الله كَانَ بِكُلِّ شَيْءٍ عَلِيمًا</w:t>
      </w:r>
      <w:r w:rsidRPr="00B651E9">
        <w:rPr>
          <w:rFonts w:hint="cs"/>
          <w:b/>
          <w:bCs/>
        </w:rPr>
        <w:sym w:font="Islamic Units 1" w:char="F03C"/>
      </w:r>
      <w:r w:rsidRPr="00815C4C">
        <w:rPr>
          <w:rFonts w:cs="Taher"/>
          <w:vertAlign w:val="superscript"/>
          <w:rtl/>
        </w:rPr>
        <w:t>(</w:t>
      </w:r>
      <w:r w:rsidRPr="00815C4C">
        <w:rPr>
          <w:rFonts w:cs="Taher"/>
          <w:vertAlign w:val="superscript"/>
          <w:rtl/>
        </w:rPr>
        <w:footnoteReference w:id="1086"/>
      </w:r>
      <w:r w:rsidRPr="00815C4C">
        <w:rPr>
          <w:rFonts w:cs="Taher"/>
          <w:vertAlign w:val="superscript"/>
          <w:rtl/>
        </w:rPr>
        <w:t>)</w:t>
      </w:r>
      <w:r w:rsidRPr="00E14ED6">
        <w:rPr>
          <w:rFonts w:hint="cs"/>
          <w:rtl/>
        </w:rPr>
        <w:t xml:space="preserve">، </w:t>
      </w:r>
      <w:r w:rsidRPr="009C60F7">
        <w:rPr>
          <w:rFonts w:hint="cs"/>
          <w:rtl/>
        </w:rPr>
        <w:t>وهذا يدلّ على أنّ الله لا يخصّ الرجال بالملكية والكسب والعمل الاقتصادي، وإنما يرى للنساء في ذلك نصيباً أيضاً.</w:t>
      </w:r>
    </w:p>
    <w:p w:rsidR="00F52EBA" w:rsidRPr="00E14ED6" w:rsidRDefault="00F52EBA" w:rsidP="006140E6">
      <w:pPr>
        <w:pStyle w:val="ac"/>
        <w:spacing w:line="199" w:lineRule="auto"/>
        <w:rPr>
          <w:rtl/>
        </w:rPr>
      </w:pPr>
      <w:r w:rsidRPr="00E14ED6">
        <w:rPr>
          <w:rFonts w:hint="cs"/>
          <w:rtl/>
        </w:rPr>
        <w:t xml:space="preserve">ونجد مثل هذا </w:t>
      </w:r>
      <w:r w:rsidRPr="00706F0F">
        <w:rPr>
          <w:rFonts w:hint="cs"/>
          <w:rtl/>
        </w:rPr>
        <w:t>التعامل</w:t>
      </w:r>
      <w:r w:rsidRPr="00E14ED6">
        <w:rPr>
          <w:rFonts w:hint="cs"/>
          <w:rtl/>
        </w:rPr>
        <w:t xml:space="preserve"> بوضوح في القرآن الكريم، ففي سورة القصص ـ مثلاً ـ يتحدث عن رعي بنات شعيب</w:t>
      </w:r>
      <w:r w:rsidR="00350F90">
        <w:rPr>
          <w:rFonts w:hint="cs"/>
          <w:rtl/>
        </w:rPr>
        <w:t>×</w:t>
      </w:r>
      <w:r w:rsidRPr="00E14ED6">
        <w:rPr>
          <w:rFonts w:hint="cs"/>
          <w:rtl/>
        </w:rPr>
        <w:t xml:space="preserve"> الأغنام: </w:t>
      </w:r>
      <w:r w:rsidR="002F7681" w:rsidRPr="002F7681">
        <w:rPr>
          <w:rtl/>
        </w:rPr>
        <w:t>﴿</w:t>
      </w:r>
      <w:r w:rsidR="002F7681" w:rsidRPr="002F7681">
        <w:rPr>
          <w:b/>
          <w:bCs/>
          <w:rtl/>
        </w:rPr>
        <w:t>وَلَمَّا وَرَدَ مَاء مَدْيَنَ وَجَدَ عَلَيْهِ أُمَّةً مِّنَ النَّاسِ يَسْقُونَ وَوَجَدَ مِن دُونِهِمُ امْرَأتَيْنِ تَذُودَانِ قَالَ مَا خَطْبُكُمَا قَالَتَا لَا نَسْقِي حَتَّى يُصْدِرَ الرِّعَاء وَأَبُونَا شَيْخٌ كَبِيرٌ</w:t>
      </w:r>
      <w:r w:rsidR="002F7681" w:rsidRPr="002F7681">
        <w:rPr>
          <w:rtl/>
        </w:rPr>
        <w:t>﴾</w:t>
      </w:r>
      <w:r w:rsidRPr="00815C4C">
        <w:rPr>
          <w:rFonts w:cs="Taher"/>
          <w:vertAlign w:val="superscript"/>
          <w:rtl/>
        </w:rPr>
        <w:t>(</w:t>
      </w:r>
      <w:r w:rsidRPr="00815C4C">
        <w:rPr>
          <w:rFonts w:cs="Taher"/>
          <w:vertAlign w:val="superscript"/>
          <w:rtl/>
        </w:rPr>
        <w:footnoteReference w:id="1087"/>
      </w:r>
      <w:r w:rsidRPr="00815C4C">
        <w:rPr>
          <w:rFonts w:cs="Taher"/>
          <w:vertAlign w:val="superscript"/>
          <w:rtl/>
        </w:rPr>
        <w:t>)</w:t>
      </w:r>
      <w:r w:rsidRPr="00E14ED6">
        <w:rPr>
          <w:rFonts w:hint="cs"/>
          <w:rtl/>
        </w:rPr>
        <w:t>.</w:t>
      </w:r>
    </w:p>
    <w:p w:rsidR="00F52EBA" w:rsidRPr="00E14ED6" w:rsidRDefault="00F52EBA" w:rsidP="006140E6">
      <w:pPr>
        <w:pStyle w:val="ac"/>
        <w:spacing w:line="202" w:lineRule="auto"/>
        <w:rPr>
          <w:rtl/>
        </w:rPr>
      </w:pPr>
      <w:r w:rsidRPr="00E14ED6">
        <w:rPr>
          <w:rFonts w:hint="cs"/>
          <w:rtl/>
        </w:rPr>
        <w:t xml:space="preserve">ولا يخفى على أحد دور النساء الهام في صدر الإسلام وما بعده، ومشاركتهنّ في ميادين الحروب، كتحضير الطعام، ومداواة المجروحين، بل وحمل السلاح، ومجابهة العدو أحياناً، وهذا كلّه يدلّ على حضور المرأة المؤثر، وهو أمر بمنتهى الوضوح، </w:t>
      </w:r>
      <w:r w:rsidRPr="00E14ED6">
        <w:rPr>
          <w:rFonts w:hint="cs"/>
          <w:rtl/>
        </w:rPr>
        <w:lastRenderedPageBreak/>
        <w:t>بحيث خصّصت له أبواب في كتب الحديث والسيرة، وهناك باب في صحيح البخاري وصحيح مسلم باسم: غزوة النساء مع الرجال.</w:t>
      </w:r>
    </w:p>
    <w:p w:rsidR="00F52EBA" w:rsidRPr="00E14ED6" w:rsidRDefault="00F52EBA" w:rsidP="006140E6">
      <w:pPr>
        <w:pStyle w:val="ac"/>
        <w:spacing w:line="209" w:lineRule="auto"/>
        <w:rPr>
          <w:rtl/>
        </w:rPr>
      </w:pPr>
      <w:r w:rsidRPr="00E14ED6">
        <w:rPr>
          <w:rFonts w:hint="cs"/>
          <w:rtl/>
        </w:rPr>
        <w:t>إذن، فمن وجهة نظر الإسلام يجوز للمرأة المشاركة الاجتماعية والتعامل مع الآخرين في المجالات السالفة، لكن لهذه الروابط والعلاقات آداب وضوابط، سميناها: عفّة الروابط الاجتماعية أو عفّة المعاشرة، ومن جملة هذه الآداب:</w:t>
      </w:r>
    </w:p>
    <w:p w:rsidR="00F52EBA" w:rsidRPr="00E14ED6" w:rsidRDefault="00F52EBA" w:rsidP="006140E6">
      <w:pPr>
        <w:pStyle w:val="ac"/>
        <w:spacing w:line="209" w:lineRule="auto"/>
        <w:rPr>
          <w:rtl/>
        </w:rPr>
      </w:pPr>
      <w:r w:rsidRPr="00E14ED6">
        <w:rPr>
          <w:rFonts w:hint="cs"/>
          <w:rtl/>
        </w:rPr>
        <w:t>أ ـ الاحتراز من مفاكهة المرأة: وهي عبارة عن التحدّث الذي يمتزجه اللهو والهزل والفتنة، يقول الرسول الأكرم</w:t>
      </w:r>
      <w:r w:rsidR="00C86626">
        <w:rPr>
          <w:rFonts w:hint="cs"/>
          <w:rtl/>
        </w:rPr>
        <w:t>’</w:t>
      </w:r>
      <w:r w:rsidRPr="00E14ED6">
        <w:rPr>
          <w:rFonts w:hint="cs"/>
          <w:rtl/>
        </w:rPr>
        <w:t xml:space="preserve">: </w:t>
      </w:r>
      <w:r w:rsidRPr="00617008">
        <w:rPr>
          <w:rFonts w:hint="cs"/>
          <w:rtl/>
        </w:rPr>
        <w:t>«</w:t>
      </w:r>
      <w:r w:rsidRPr="00E14ED6">
        <w:rPr>
          <w:rFonts w:hint="cs"/>
          <w:rtl/>
        </w:rPr>
        <w:t>من فاكه امرأةً لا يملكها حبسه الله بكل كلمة كلّمها في الدنيا ألف عام</w:t>
      </w:r>
      <w:r w:rsidRPr="00617008">
        <w:rPr>
          <w:rFonts w:hint="cs"/>
          <w:rtl/>
        </w:rPr>
        <w:t>»</w:t>
      </w:r>
      <w:r w:rsidRPr="00815C4C">
        <w:rPr>
          <w:rFonts w:cs="Taher"/>
          <w:vertAlign w:val="superscript"/>
          <w:rtl/>
        </w:rPr>
        <w:t>(</w:t>
      </w:r>
      <w:r w:rsidRPr="00815C4C">
        <w:rPr>
          <w:rFonts w:cs="Taher"/>
          <w:vertAlign w:val="superscript"/>
          <w:rtl/>
        </w:rPr>
        <w:footnoteReference w:id="1088"/>
      </w:r>
      <w:r w:rsidRPr="00815C4C">
        <w:rPr>
          <w:rFonts w:cs="Taher"/>
          <w:vertAlign w:val="superscript"/>
          <w:rtl/>
        </w:rPr>
        <w:t>)</w:t>
      </w:r>
      <w:r w:rsidRPr="00E14ED6">
        <w:rPr>
          <w:rFonts w:hint="cs"/>
          <w:rtl/>
        </w:rPr>
        <w:t xml:space="preserve">. </w:t>
      </w:r>
    </w:p>
    <w:p w:rsidR="00F52EBA" w:rsidRPr="00E14ED6" w:rsidRDefault="00F52EBA" w:rsidP="006140E6">
      <w:pPr>
        <w:pStyle w:val="ac"/>
        <w:spacing w:line="209" w:lineRule="auto"/>
        <w:rPr>
          <w:rtl/>
        </w:rPr>
      </w:pPr>
      <w:r w:rsidRPr="00E14ED6">
        <w:rPr>
          <w:rFonts w:hint="cs"/>
          <w:rtl/>
        </w:rPr>
        <w:t>ب ـ الاحتراز من الاختلاء: يقول الإمام موسى بن جعفر</w:t>
      </w:r>
      <w:r w:rsidR="00350F90">
        <w:rPr>
          <w:rFonts w:hint="cs"/>
          <w:rtl/>
        </w:rPr>
        <w:t>×</w:t>
      </w:r>
      <w:r w:rsidRPr="00E14ED6">
        <w:rPr>
          <w:rFonts w:hint="cs"/>
          <w:rtl/>
        </w:rPr>
        <w:t xml:space="preserve"> نقلاً عن الرسول</w:t>
      </w:r>
      <w:r w:rsidR="00C86626">
        <w:rPr>
          <w:rFonts w:hint="cs"/>
          <w:rtl/>
        </w:rPr>
        <w:t>’</w:t>
      </w:r>
      <w:r w:rsidRPr="00E14ED6">
        <w:rPr>
          <w:rFonts w:hint="cs"/>
          <w:rtl/>
        </w:rPr>
        <w:t xml:space="preserve">: </w:t>
      </w:r>
      <w:r w:rsidRPr="00C86626">
        <w:rPr>
          <w:rFonts w:hint="cs"/>
          <w:rtl/>
        </w:rPr>
        <w:t>«</w:t>
      </w:r>
      <w:r w:rsidRPr="00E14ED6">
        <w:rPr>
          <w:rFonts w:hint="cs"/>
          <w:rtl/>
        </w:rPr>
        <w:t>من كان يؤمن بالله واليوم الآخر فلا يبت في موضع يسمع نفس امرأة ليست له بمحرم</w:t>
      </w:r>
      <w:r w:rsidRPr="00617008">
        <w:rPr>
          <w:rFonts w:hint="cs"/>
          <w:rtl/>
        </w:rPr>
        <w:t>»</w:t>
      </w:r>
      <w:r w:rsidRPr="00815C4C">
        <w:rPr>
          <w:rFonts w:cs="Taher"/>
          <w:vertAlign w:val="superscript"/>
          <w:rtl/>
        </w:rPr>
        <w:t>(</w:t>
      </w:r>
      <w:r w:rsidRPr="00815C4C">
        <w:rPr>
          <w:rFonts w:cs="Taher"/>
          <w:vertAlign w:val="superscript"/>
          <w:rtl/>
        </w:rPr>
        <w:footnoteReference w:id="1089"/>
      </w:r>
      <w:r w:rsidRPr="00815C4C">
        <w:rPr>
          <w:rFonts w:cs="Taher"/>
          <w:vertAlign w:val="superscript"/>
          <w:rtl/>
        </w:rPr>
        <w:t>)</w:t>
      </w:r>
      <w:r w:rsidRPr="00E14ED6">
        <w:rPr>
          <w:rFonts w:hint="cs"/>
          <w:rtl/>
        </w:rPr>
        <w:t>، ويقول الرسول الأكرم</w:t>
      </w:r>
      <w:r w:rsidR="00C86626">
        <w:rPr>
          <w:rFonts w:hint="cs"/>
          <w:rtl/>
        </w:rPr>
        <w:t>’</w:t>
      </w:r>
      <w:r w:rsidRPr="00E14ED6">
        <w:rPr>
          <w:rFonts w:hint="cs"/>
          <w:rtl/>
        </w:rPr>
        <w:t xml:space="preserve"> أيضاً: </w:t>
      </w:r>
      <w:r w:rsidRPr="00617008">
        <w:rPr>
          <w:rFonts w:hint="cs"/>
          <w:rtl/>
        </w:rPr>
        <w:t>«</w:t>
      </w:r>
      <w:r w:rsidRPr="00E14ED6">
        <w:rPr>
          <w:rFonts w:hint="cs"/>
          <w:rtl/>
        </w:rPr>
        <w:t>ألا لا يخلونّ رجل بامرأة إلاّ كان ثالثهما الشيطان</w:t>
      </w:r>
      <w:r w:rsidRPr="00617008">
        <w:rPr>
          <w:rFonts w:hint="cs"/>
          <w:rtl/>
        </w:rPr>
        <w:t>»</w:t>
      </w:r>
      <w:r w:rsidRPr="00815C4C">
        <w:rPr>
          <w:rFonts w:cs="Taher"/>
          <w:vertAlign w:val="superscript"/>
          <w:rtl/>
        </w:rPr>
        <w:t>(</w:t>
      </w:r>
      <w:r w:rsidRPr="00815C4C">
        <w:rPr>
          <w:rFonts w:cs="Taher"/>
          <w:vertAlign w:val="superscript"/>
          <w:rtl/>
        </w:rPr>
        <w:footnoteReference w:id="1090"/>
      </w:r>
      <w:r w:rsidRPr="00815C4C">
        <w:rPr>
          <w:rFonts w:cs="Taher"/>
          <w:vertAlign w:val="superscript"/>
          <w:rtl/>
        </w:rPr>
        <w:t>)</w:t>
      </w:r>
      <w:r w:rsidRPr="00E14ED6">
        <w:rPr>
          <w:rFonts w:hint="cs"/>
          <w:rtl/>
        </w:rPr>
        <w:t>.</w:t>
      </w:r>
    </w:p>
    <w:p w:rsidR="00F52EBA" w:rsidRPr="00E14ED6" w:rsidRDefault="00F52EBA" w:rsidP="006140E6">
      <w:pPr>
        <w:pStyle w:val="ac"/>
        <w:spacing w:line="209" w:lineRule="auto"/>
        <w:rPr>
          <w:rtl/>
        </w:rPr>
      </w:pPr>
      <w:r w:rsidRPr="00E14ED6">
        <w:rPr>
          <w:rFonts w:hint="cs"/>
          <w:rtl/>
        </w:rPr>
        <w:t>ج ـ الاحتراز من المصافحة: يقول الرسول الأعظم</w:t>
      </w:r>
      <w:r w:rsidR="00C86626">
        <w:rPr>
          <w:rFonts w:hint="cs"/>
          <w:rtl/>
        </w:rPr>
        <w:t>’</w:t>
      </w:r>
      <w:r w:rsidRPr="00E14ED6">
        <w:rPr>
          <w:rFonts w:hint="cs"/>
          <w:rtl/>
        </w:rPr>
        <w:t xml:space="preserve">: </w:t>
      </w:r>
      <w:r w:rsidRPr="00617008">
        <w:rPr>
          <w:rFonts w:hint="cs"/>
          <w:rtl/>
        </w:rPr>
        <w:t>«</w:t>
      </w:r>
      <w:r w:rsidRPr="00E14ED6">
        <w:rPr>
          <w:rFonts w:hint="cs"/>
          <w:rtl/>
        </w:rPr>
        <w:t>من صافح امرأةً تحرم عليه فقد باء بسخطٍ من الله عزوجل</w:t>
      </w:r>
      <w:r w:rsidRPr="00617008">
        <w:rPr>
          <w:rFonts w:hint="cs"/>
          <w:rtl/>
        </w:rPr>
        <w:t>»</w:t>
      </w:r>
      <w:r w:rsidRPr="00815C4C">
        <w:rPr>
          <w:rFonts w:cs="Taher"/>
          <w:vertAlign w:val="superscript"/>
          <w:rtl/>
        </w:rPr>
        <w:t>(</w:t>
      </w:r>
      <w:r w:rsidRPr="00815C4C">
        <w:rPr>
          <w:rFonts w:cs="Taher"/>
          <w:vertAlign w:val="superscript"/>
          <w:rtl/>
        </w:rPr>
        <w:footnoteReference w:id="1091"/>
      </w:r>
      <w:r w:rsidRPr="00815C4C">
        <w:rPr>
          <w:rFonts w:cs="Taher"/>
          <w:vertAlign w:val="superscript"/>
          <w:rtl/>
        </w:rPr>
        <w:t>)</w:t>
      </w:r>
      <w:r w:rsidRPr="00E14ED6">
        <w:rPr>
          <w:rFonts w:hint="cs"/>
          <w:rtl/>
        </w:rPr>
        <w:t>، ويقول</w:t>
      </w:r>
      <w:r w:rsidR="00C86626">
        <w:rPr>
          <w:rFonts w:hint="cs"/>
          <w:rtl/>
        </w:rPr>
        <w:t>’</w:t>
      </w:r>
      <w:r w:rsidRPr="00E14ED6">
        <w:rPr>
          <w:rFonts w:hint="cs"/>
          <w:rtl/>
        </w:rPr>
        <w:t xml:space="preserve"> أيضاً في مكان آخر: </w:t>
      </w:r>
      <w:r w:rsidRPr="00617008">
        <w:rPr>
          <w:rFonts w:hint="cs"/>
          <w:rtl/>
        </w:rPr>
        <w:t>«</w:t>
      </w:r>
      <w:r w:rsidRPr="00E14ED6">
        <w:rPr>
          <w:rFonts w:hint="cs"/>
          <w:rtl/>
        </w:rPr>
        <w:t>من صافح امرأةً تحرم عليه يقاد يوم القيامة بالأغلال ويلقى في جهنم</w:t>
      </w:r>
      <w:r w:rsidRPr="00617008">
        <w:rPr>
          <w:rFonts w:hint="cs"/>
          <w:rtl/>
        </w:rPr>
        <w:t>»</w:t>
      </w:r>
      <w:r w:rsidRPr="00E14ED6">
        <w:rPr>
          <w:rFonts w:hint="cs"/>
          <w:rtl/>
        </w:rPr>
        <w:t>.</w:t>
      </w:r>
    </w:p>
    <w:p w:rsidR="00F52EBA" w:rsidRPr="00E14ED6" w:rsidRDefault="00F52EBA" w:rsidP="006140E6">
      <w:pPr>
        <w:pStyle w:val="ac"/>
        <w:spacing w:line="209" w:lineRule="auto"/>
        <w:rPr>
          <w:rtl/>
        </w:rPr>
      </w:pPr>
      <w:r w:rsidRPr="00E14ED6">
        <w:rPr>
          <w:rFonts w:hint="cs"/>
          <w:rtl/>
        </w:rPr>
        <w:t>د ـ عدم استعمال العطور: يقول رسول الله</w:t>
      </w:r>
      <w:r w:rsidR="00C86626">
        <w:rPr>
          <w:rFonts w:hint="cs"/>
          <w:rtl/>
        </w:rPr>
        <w:t>’</w:t>
      </w:r>
      <w:r w:rsidRPr="00E14ED6">
        <w:rPr>
          <w:rFonts w:hint="cs"/>
          <w:rtl/>
        </w:rPr>
        <w:t xml:space="preserve">: </w:t>
      </w:r>
      <w:r w:rsidRPr="00617008">
        <w:rPr>
          <w:rFonts w:hint="cs"/>
          <w:rtl/>
        </w:rPr>
        <w:t>«</w:t>
      </w:r>
      <w:r w:rsidRPr="00E14ED6">
        <w:rPr>
          <w:rFonts w:hint="cs"/>
          <w:rtl/>
        </w:rPr>
        <w:t>أيّ امرأة تطيّبت وخرجت من بيتها فهي تُلعن حتى ترجع إلى بيتها ما رجعت</w:t>
      </w:r>
      <w:r w:rsidRPr="00617008">
        <w:rPr>
          <w:rFonts w:hint="cs"/>
          <w:rtl/>
        </w:rPr>
        <w:t>»</w:t>
      </w:r>
      <w:r w:rsidRPr="00815C4C">
        <w:rPr>
          <w:rFonts w:cs="Taher"/>
          <w:vertAlign w:val="superscript"/>
          <w:rtl/>
        </w:rPr>
        <w:t>(</w:t>
      </w:r>
      <w:r w:rsidRPr="00815C4C">
        <w:rPr>
          <w:rFonts w:cs="Taher"/>
          <w:vertAlign w:val="superscript"/>
          <w:rtl/>
        </w:rPr>
        <w:footnoteReference w:id="1092"/>
      </w:r>
      <w:r w:rsidRPr="00815C4C">
        <w:rPr>
          <w:rFonts w:cs="Taher"/>
          <w:vertAlign w:val="superscript"/>
          <w:rtl/>
        </w:rPr>
        <w:t>)</w:t>
      </w:r>
      <w:r w:rsidRPr="00E14ED6">
        <w:rPr>
          <w:rFonts w:hint="cs"/>
          <w:rtl/>
        </w:rPr>
        <w:t>.</w:t>
      </w:r>
    </w:p>
    <w:p w:rsidR="00F52EBA" w:rsidRDefault="00F52EBA" w:rsidP="006140E6">
      <w:pPr>
        <w:pStyle w:val="ac"/>
        <w:spacing w:line="209" w:lineRule="auto"/>
        <w:rPr>
          <w:rtl/>
        </w:rPr>
      </w:pPr>
      <w:r w:rsidRPr="00E14ED6">
        <w:rPr>
          <w:rFonts w:hint="cs"/>
          <w:rtl/>
        </w:rPr>
        <w:t xml:space="preserve">ويقول في مكان آخر: </w:t>
      </w:r>
      <w:r w:rsidRPr="00617008">
        <w:rPr>
          <w:rFonts w:hint="cs"/>
          <w:rtl/>
        </w:rPr>
        <w:t>«</w:t>
      </w:r>
      <w:r w:rsidRPr="00E14ED6">
        <w:rPr>
          <w:rFonts w:hint="cs"/>
          <w:rtl/>
        </w:rPr>
        <w:t>إذا تطيّبت المرأة لغير زوجها فإنّما هو نار وشنار</w:t>
      </w:r>
      <w:r w:rsidRPr="00617008">
        <w:rPr>
          <w:rFonts w:hint="cs"/>
          <w:rtl/>
        </w:rPr>
        <w:t>»</w:t>
      </w:r>
      <w:r w:rsidRPr="00815C4C">
        <w:rPr>
          <w:rFonts w:cs="Taher"/>
          <w:vertAlign w:val="superscript"/>
          <w:rtl/>
        </w:rPr>
        <w:t>(</w:t>
      </w:r>
      <w:r w:rsidRPr="00815C4C">
        <w:rPr>
          <w:rFonts w:cs="Taher"/>
          <w:vertAlign w:val="superscript"/>
          <w:rtl/>
        </w:rPr>
        <w:footnoteReference w:id="1093"/>
      </w:r>
      <w:r w:rsidRPr="00815C4C">
        <w:rPr>
          <w:rFonts w:cs="Taher"/>
          <w:vertAlign w:val="superscript"/>
          <w:rtl/>
        </w:rPr>
        <w:t>)</w:t>
      </w:r>
      <w:r w:rsidRPr="00E14ED6">
        <w:rPr>
          <w:rFonts w:hint="cs"/>
          <w:rtl/>
        </w:rPr>
        <w:t>.</w:t>
      </w:r>
    </w:p>
    <w:p w:rsidR="00F52EBA" w:rsidRPr="00B102A4" w:rsidRDefault="00F52EBA" w:rsidP="006140E6">
      <w:pPr>
        <w:pStyle w:val="2"/>
        <w:spacing w:line="168" w:lineRule="auto"/>
        <w:rPr>
          <w:rtl/>
        </w:rPr>
      </w:pPr>
      <w:bookmarkStart w:id="684" w:name="_Toc275128311"/>
      <w:r w:rsidRPr="00B102A4">
        <w:rPr>
          <w:rFonts w:hint="cs"/>
          <w:rtl/>
        </w:rPr>
        <w:lastRenderedPageBreak/>
        <w:t>4 ـ العفّة في الزينة</w:t>
      </w:r>
      <w:bookmarkEnd w:id="684"/>
    </w:p>
    <w:p w:rsidR="00F52EBA" w:rsidRPr="00E14ED6" w:rsidRDefault="00F52EBA" w:rsidP="001D1319">
      <w:pPr>
        <w:pStyle w:val="ac"/>
        <w:spacing w:line="206" w:lineRule="auto"/>
        <w:rPr>
          <w:rtl/>
        </w:rPr>
      </w:pPr>
      <w:r w:rsidRPr="001D1319">
        <w:rPr>
          <w:rFonts w:hint="cs"/>
          <w:sz w:val="31"/>
          <w:szCs w:val="31"/>
          <w:rtl/>
        </w:rPr>
        <w:t>أحد ميول البشر الفطرية ميله إلى الجمال، وتلذّذه بالمناظر الجميلة</w:t>
      </w:r>
      <w:r w:rsidRPr="00E14ED6">
        <w:rPr>
          <w:rFonts w:hint="cs"/>
          <w:rtl/>
        </w:rPr>
        <w:t xml:space="preserve"> مخامرٌ لذاته ورشح من فطرته، قال تعالى:</w:t>
      </w:r>
      <w:r w:rsidRPr="009C60F7">
        <w:rPr>
          <w:rStyle w:val="Char3"/>
          <w:rFonts w:hint="cs"/>
          <w:rtl/>
        </w:rPr>
        <w:t xml:space="preserve"> </w:t>
      </w:r>
      <w:r w:rsidR="002F7681">
        <w:rPr>
          <w:rFonts w:ascii="Mosawi" w:hAnsi="Mosawi"/>
          <w:b/>
          <w:bCs/>
          <w:rtl/>
        </w:rPr>
        <w:t>﴿</w:t>
      </w:r>
      <w:r w:rsidR="002F7681" w:rsidRPr="002F7681">
        <w:rPr>
          <w:b/>
          <w:bCs/>
          <w:rtl/>
        </w:rPr>
        <w:t>قُلْ مَنْ حَرَّمَ زِينَةَ اللهِ الَّتِيَ أَخْرَجَ لِعِبَادِهِ</w:t>
      </w:r>
      <w:r w:rsidR="002F7681">
        <w:rPr>
          <w:rFonts w:ascii="Mosawi" w:hAnsi="Mosawi"/>
          <w:b/>
          <w:bCs/>
          <w:rtl/>
        </w:rPr>
        <w:t>﴾</w:t>
      </w:r>
      <w:r w:rsidRPr="00815C4C">
        <w:rPr>
          <w:rFonts w:cs="Taher"/>
          <w:vertAlign w:val="superscript"/>
          <w:rtl/>
        </w:rPr>
        <w:t>(</w:t>
      </w:r>
      <w:r w:rsidRPr="00815C4C">
        <w:rPr>
          <w:rFonts w:cs="Taher"/>
          <w:vertAlign w:val="superscript"/>
          <w:rtl/>
        </w:rPr>
        <w:footnoteReference w:id="1094"/>
      </w:r>
      <w:r w:rsidRPr="00815C4C">
        <w:rPr>
          <w:rFonts w:cs="Taher"/>
          <w:vertAlign w:val="superscript"/>
          <w:rtl/>
        </w:rPr>
        <w:t>)</w:t>
      </w:r>
      <w:r w:rsidRPr="00E14ED6">
        <w:rPr>
          <w:rFonts w:hint="cs"/>
          <w:rtl/>
        </w:rPr>
        <w:t>.</w:t>
      </w:r>
    </w:p>
    <w:p w:rsidR="00F52EBA" w:rsidRPr="00E14ED6" w:rsidRDefault="00F52EBA" w:rsidP="001D1319">
      <w:pPr>
        <w:pStyle w:val="ac"/>
        <w:spacing w:line="206" w:lineRule="auto"/>
        <w:rPr>
          <w:rtl/>
        </w:rPr>
      </w:pPr>
      <w:r w:rsidRPr="00E14ED6">
        <w:rPr>
          <w:rFonts w:hint="cs"/>
          <w:rtl/>
        </w:rPr>
        <w:t xml:space="preserve">يقول العلاّمة الطباطبائي في تفسير هذه الآية: </w:t>
      </w:r>
      <w:r w:rsidRPr="00617008">
        <w:rPr>
          <w:rFonts w:hint="cs"/>
          <w:rtl/>
        </w:rPr>
        <w:t>«</w:t>
      </w:r>
      <w:r w:rsidRPr="00E14ED6">
        <w:rPr>
          <w:rFonts w:hint="cs"/>
          <w:rtl/>
        </w:rPr>
        <w:t>يشير الله عزوجل في هذه الآية إلى الزينة التي خلقها لعباده، يبيّن الزينة التي أوجدها في فطرتهم وألهمهم استعمالها، ومن الواضح أنّ الفطرة لا تلهم شيئاً إلاّ وكان وجود وبقاء البشر منوطاً به ومحتاجاً إليه</w:t>
      </w:r>
      <w:r w:rsidRPr="00617008">
        <w:rPr>
          <w:rFonts w:hint="cs"/>
          <w:rtl/>
        </w:rPr>
        <w:t>»</w:t>
      </w:r>
      <w:r w:rsidRPr="00815C4C">
        <w:rPr>
          <w:rFonts w:cs="Taher"/>
          <w:vertAlign w:val="superscript"/>
          <w:rtl/>
        </w:rPr>
        <w:t>(</w:t>
      </w:r>
      <w:r w:rsidRPr="00815C4C">
        <w:rPr>
          <w:rFonts w:cs="Taher"/>
          <w:vertAlign w:val="superscript"/>
          <w:rtl/>
        </w:rPr>
        <w:footnoteReference w:id="1095"/>
      </w:r>
      <w:r w:rsidRPr="00815C4C">
        <w:rPr>
          <w:rFonts w:cs="Taher"/>
          <w:vertAlign w:val="superscript"/>
          <w:rtl/>
        </w:rPr>
        <w:t>)</w:t>
      </w:r>
      <w:r w:rsidRPr="00E14ED6">
        <w:rPr>
          <w:rFonts w:hint="cs"/>
          <w:rtl/>
        </w:rPr>
        <w:t>.</w:t>
      </w:r>
    </w:p>
    <w:p w:rsidR="00F52EBA" w:rsidRPr="00E14ED6" w:rsidRDefault="00F52EBA" w:rsidP="001D1319">
      <w:pPr>
        <w:pStyle w:val="ac"/>
        <w:spacing w:line="206" w:lineRule="auto"/>
        <w:rPr>
          <w:rtl/>
        </w:rPr>
      </w:pPr>
      <w:r w:rsidRPr="00E14ED6">
        <w:rPr>
          <w:rFonts w:hint="cs"/>
          <w:rtl/>
        </w:rPr>
        <w:t>ومن البيّن ـ أيضاً ـ أنّ معرفة الأشياء الجميلة ودَرك الجمال الطبيعي ليس فقط يحتاج إلى الحسّ الفطري وحب الجمال، وإنّما يجب صقل وتنمية هذه القدرة الطبيعية على ضوء خطّة تربوية صحيحة.</w:t>
      </w:r>
    </w:p>
    <w:p w:rsidR="00F52EBA" w:rsidRPr="00863200" w:rsidRDefault="00F52EBA" w:rsidP="001D1319">
      <w:pPr>
        <w:pStyle w:val="ac"/>
        <w:spacing w:line="206" w:lineRule="auto"/>
        <w:rPr>
          <w:rtl/>
        </w:rPr>
      </w:pPr>
      <w:r w:rsidRPr="00863200">
        <w:rPr>
          <w:rFonts w:hint="cs"/>
          <w:rtl/>
        </w:rPr>
        <w:t xml:space="preserve">ويمكن </w:t>
      </w:r>
      <w:r w:rsidRPr="006140E6">
        <w:rPr>
          <w:rFonts w:hint="cs"/>
          <w:rtl/>
        </w:rPr>
        <w:t xml:space="preserve">للتربية </w:t>
      </w:r>
      <w:r w:rsidRPr="006140E6">
        <w:rPr>
          <w:rFonts w:hint="cs"/>
          <w:sz w:val="31"/>
          <w:szCs w:val="31"/>
          <w:rtl/>
        </w:rPr>
        <w:t>الصحيحة أن تكشف القابليات وتُخرجها من القوّة إلى الفعل، وكلّما ارتفع مستوى العلم والثقافة في بلدٍ ما أكثر وبرزت عواطف الناس أكثر، عُرف الجمال أكثر؛ إذ قد اتجهت أنظار الشعوب والمجتمعات الراقية في العصر الحاضر وفي كل الطبقات الاجتماعية.. اتجهت نحو الجمال في شتى اتجاهاته ومجالاته، وأظهر الناس حبهم وتعلّقهم به، مما أدّى إلى تزايد هذا الشعور والإحساس يوماً بعد يوم.</w:t>
      </w:r>
    </w:p>
    <w:p w:rsidR="00F52EBA" w:rsidRPr="00E14ED6" w:rsidRDefault="00F52EBA" w:rsidP="001D1319">
      <w:pPr>
        <w:pStyle w:val="ac"/>
        <w:spacing w:line="206" w:lineRule="auto"/>
        <w:rPr>
          <w:rtl/>
        </w:rPr>
      </w:pPr>
      <w:r w:rsidRPr="001D1319">
        <w:rPr>
          <w:rFonts w:hint="cs"/>
          <w:sz w:val="31"/>
          <w:szCs w:val="31"/>
          <w:rtl/>
        </w:rPr>
        <w:t>إنّ الشريعة الإسلامية المقدّسة التي لها منهاج شامل لإسعاد البشر قد اهتمت بهذا الموضوع اهتماماً خاصاً، وإلى جانب اهتمامها بتربية حسّ الحب والجمال لدى الإنسان أوصت أتباعها بالاستفادة منه،</w:t>
      </w:r>
      <w:r w:rsidRPr="00E14ED6">
        <w:rPr>
          <w:rFonts w:hint="cs"/>
          <w:rtl/>
        </w:rPr>
        <w:t xml:space="preserve"> وبإسنادها لهذه القوة وهذا الحسّ تلبّي إحدى رغبات البشر الطبيعية واحتياجاتهم.</w:t>
      </w:r>
    </w:p>
    <w:p w:rsidR="00F52EBA" w:rsidRPr="00E14ED6" w:rsidRDefault="00F52EBA" w:rsidP="001D1319">
      <w:pPr>
        <w:pStyle w:val="ac"/>
        <w:spacing w:line="206" w:lineRule="auto"/>
        <w:rPr>
          <w:rtl/>
        </w:rPr>
      </w:pPr>
      <w:r w:rsidRPr="00E14ED6">
        <w:rPr>
          <w:rFonts w:hint="cs"/>
          <w:rtl/>
        </w:rPr>
        <w:t>وقد وردت أحاديث وروايات كثيرة في المصادر الإسلامية حول أهمية الجمال في الإنسان، فقد قال رسول الله</w:t>
      </w:r>
      <w:r w:rsidR="00C86626">
        <w:rPr>
          <w:rFonts w:hint="cs"/>
          <w:rtl/>
        </w:rPr>
        <w:t>’</w:t>
      </w:r>
      <w:r w:rsidRPr="00E14ED6">
        <w:rPr>
          <w:rFonts w:hint="cs"/>
          <w:rtl/>
        </w:rPr>
        <w:t xml:space="preserve"> في هذا المجال: </w:t>
      </w:r>
      <w:r w:rsidRPr="00617008">
        <w:rPr>
          <w:rFonts w:hint="cs"/>
          <w:rtl/>
        </w:rPr>
        <w:t>«</w:t>
      </w:r>
      <w:r w:rsidRPr="00E14ED6">
        <w:rPr>
          <w:rFonts w:hint="cs"/>
          <w:rtl/>
        </w:rPr>
        <w:t xml:space="preserve">عليكم بالوجوه الملاح والحدق </w:t>
      </w:r>
      <w:r w:rsidRPr="00E14ED6">
        <w:rPr>
          <w:rFonts w:hint="cs"/>
          <w:rtl/>
        </w:rPr>
        <w:lastRenderedPageBreak/>
        <w:t>السود</w:t>
      </w:r>
      <w:r w:rsidRPr="00617008">
        <w:rPr>
          <w:rFonts w:hint="cs"/>
          <w:rtl/>
        </w:rPr>
        <w:t>»</w:t>
      </w:r>
      <w:r w:rsidRPr="00815C4C">
        <w:rPr>
          <w:rFonts w:cs="Taher"/>
          <w:vertAlign w:val="superscript"/>
          <w:rtl/>
        </w:rPr>
        <w:t>(</w:t>
      </w:r>
      <w:r w:rsidRPr="00815C4C">
        <w:rPr>
          <w:rFonts w:cs="Taher"/>
          <w:vertAlign w:val="superscript"/>
          <w:rtl/>
        </w:rPr>
        <w:footnoteReference w:id="1096"/>
      </w:r>
      <w:r w:rsidRPr="00815C4C">
        <w:rPr>
          <w:rFonts w:cs="Taher"/>
          <w:vertAlign w:val="superscript"/>
          <w:rtl/>
        </w:rPr>
        <w:t>)</w:t>
      </w:r>
      <w:r w:rsidRPr="00E14ED6">
        <w:rPr>
          <w:rFonts w:hint="cs"/>
          <w:rtl/>
        </w:rPr>
        <w:t>، ويقول الإمام علي</w:t>
      </w:r>
      <w:r w:rsidR="00350F90">
        <w:rPr>
          <w:rFonts w:hint="cs"/>
          <w:rtl/>
        </w:rPr>
        <w:t>×</w:t>
      </w:r>
      <w:r w:rsidRPr="00E14ED6">
        <w:rPr>
          <w:rFonts w:hint="cs"/>
          <w:rtl/>
        </w:rPr>
        <w:t xml:space="preserve">: </w:t>
      </w:r>
      <w:r w:rsidRPr="00617008">
        <w:rPr>
          <w:rFonts w:hint="cs"/>
          <w:rtl/>
        </w:rPr>
        <w:t>«</w:t>
      </w:r>
      <w:r w:rsidRPr="00E14ED6">
        <w:rPr>
          <w:rFonts w:hint="cs"/>
          <w:rtl/>
        </w:rPr>
        <w:t>حسن وجه المؤمن حسن عناية الله به</w:t>
      </w:r>
      <w:r w:rsidRPr="00617008">
        <w:rPr>
          <w:rFonts w:hint="cs"/>
          <w:rtl/>
        </w:rPr>
        <w:t>»</w:t>
      </w:r>
      <w:r w:rsidRPr="00815C4C">
        <w:rPr>
          <w:rFonts w:cs="Taher"/>
          <w:vertAlign w:val="superscript"/>
          <w:rtl/>
        </w:rPr>
        <w:t>(</w:t>
      </w:r>
      <w:r w:rsidRPr="00815C4C">
        <w:rPr>
          <w:rFonts w:cs="Taher"/>
          <w:vertAlign w:val="superscript"/>
          <w:rtl/>
        </w:rPr>
        <w:footnoteReference w:id="1097"/>
      </w:r>
      <w:r w:rsidRPr="00815C4C">
        <w:rPr>
          <w:rFonts w:cs="Taher"/>
          <w:vertAlign w:val="superscript"/>
          <w:rtl/>
        </w:rPr>
        <w:t>)</w:t>
      </w:r>
      <w:r w:rsidRPr="00E14ED6">
        <w:rPr>
          <w:rFonts w:hint="cs"/>
          <w:rtl/>
        </w:rPr>
        <w:t>.</w:t>
      </w:r>
    </w:p>
    <w:p w:rsidR="00F52EBA" w:rsidRPr="00E14ED6" w:rsidRDefault="00F52EBA" w:rsidP="002F7681">
      <w:pPr>
        <w:pStyle w:val="ac"/>
        <w:rPr>
          <w:rtl/>
        </w:rPr>
      </w:pPr>
      <w:r w:rsidRPr="00E14ED6">
        <w:rPr>
          <w:rFonts w:hint="cs"/>
          <w:rtl/>
        </w:rPr>
        <w:t xml:space="preserve">إذن، فارتداء الثياب الجميلة، والسواك، وتمشيط الشعر وتدهينه بالزيت، والتطيب، ولبس الخاتم الثمين، وتزيين أنفسنا عند العبادة، ومعاشرة الناس في المسجد أو في محيط الاُسرة والمجتمع من المستحبات المؤكّدة، وجزء من برامج المسلمين اليومية، وقد ورد هذا في آيات القرآن الكريم: </w:t>
      </w:r>
      <w:r w:rsidR="002F7681">
        <w:rPr>
          <w:rFonts w:ascii="Mosawi" w:hAnsi="Mosawi"/>
          <w:b/>
          <w:bCs/>
          <w:rtl/>
        </w:rPr>
        <w:t>﴿</w:t>
      </w:r>
      <w:r w:rsidR="002F7681" w:rsidRPr="002F7681">
        <w:rPr>
          <w:b/>
          <w:bCs/>
          <w:rtl/>
        </w:rPr>
        <w:t>يَا بَنِي آدَمَ خُذُواْ زِينَتَكُمْ عِندَ كُلِّ مَسْجِدٍ﴾</w:t>
      </w:r>
      <w:r w:rsidRPr="00815C4C">
        <w:rPr>
          <w:rFonts w:cs="Taher"/>
          <w:vertAlign w:val="superscript"/>
          <w:rtl/>
        </w:rPr>
        <w:t>(</w:t>
      </w:r>
      <w:r w:rsidRPr="00815C4C">
        <w:rPr>
          <w:rFonts w:cs="Taher"/>
          <w:vertAlign w:val="superscript"/>
          <w:rtl/>
        </w:rPr>
        <w:footnoteReference w:id="1098"/>
      </w:r>
      <w:r w:rsidRPr="00815C4C">
        <w:rPr>
          <w:rFonts w:cs="Taher"/>
          <w:vertAlign w:val="superscript"/>
          <w:rtl/>
        </w:rPr>
        <w:t>)</w:t>
      </w:r>
      <w:r w:rsidRPr="00E14ED6">
        <w:rPr>
          <w:rFonts w:hint="cs"/>
          <w:rtl/>
        </w:rPr>
        <w:t xml:space="preserve">، وقال سبحانه: </w:t>
      </w:r>
      <w:r w:rsidR="002F7681" w:rsidRPr="00CE32CB">
        <w:rPr>
          <w:rFonts w:ascii="Mosawi" w:hAnsi="Mosawi"/>
          <w:rtl/>
        </w:rPr>
        <w:t>﴿</w:t>
      </w:r>
      <w:r w:rsidR="002F7681" w:rsidRPr="002F7681">
        <w:rPr>
          <w:b/>
          <w:bCs/>
          <w:rtl/>
        </w:rPr>
        <w:t>قُلْ مَنْ حَرَّمَ زِينَةَ اللهِ الَّتِيَ أَخْرَجَ لِعِبَادِهِ وَالطَّيِّبَاتِ مِنَ الرِّزْقِ﴾</w:t>
      </w:r>
      <w:r w:rsidRPr="00815C4C">
        <w:rPr>
          <w:rFonts w:cs="Taher"/>
          <w:vertAlign w:val="superscript"/>
          <w:rtl/>
        </w:rPr>
        <w:t>(</w:t>
      </w:r>
      <w:r w:rsidRPr="00815C4C">
        <w:rPr>
          <w:rFonts w:cs="Taher"/>
          <w:vertAlign w:val="superscript"/>
          <w:rtl/>
        </w:rPr>
        <w:footnoteReference w:id="1099"/>
      </w:r>
      <w:r w:rsidRPr="00815C4C">
        <w:rPr>
          <w:rFonts w:cs="Taher"/>
          <w:vertAlign w:val="superscript"/>
          <w:rtl/>
        </w:rPr>
        <w:t>)</w:t>
      </w:r>
      <w:r w:rsidRPr="00E14ED6">
        <w:rPr>
          <w:rFonts w:hint="cs"/>
          <w:rtl/>
        </w:rPr>
        <w:t xml:space="preserve">، وأمّا كلمة </w:t>
      </w:r>
      <w:r w:rsidRPr="00617008">
        <w:rPr>
          <w:rFonts w:hint="cs"/>
          <w:rtl/>
        </w:rPr>
        <w:t>«</w:t>
      </w:r>
      <w:r w:rsidRPr="00E14ED6">
        <w:rPr>
          <w:rFonts w:hint="cs"/>
          <w:rtl/>
        </w:rPr>
        <w:t>زينتكم</w:t>
      </w:r>
      <w:r w:rsidRPr="00617008">
        <w:rPr>
          <w:rFonts w:hint="cs"/>
          <w:rtl/>
        </w:rPr>
        <w:t>»</w:t>
      </w:r>
      <w:r w:rsidRPr="00E14ED6">
        <w:rPr>
          <w:rFonts w:hint="cs"/>
          <w:rtl/>
        </w:rPr>
        <w:t xml:space="preserve"> والموارد التي تشملها فقد جاءت بمعان متعدّدة في كتب التفاسير، ويعتقد البعض أنّها جاءت بشكل مطلق، لذا فهي تشمل الزينة الجسدية والمعنوية</w:t>
      </w:r>
      <w:r w:rsidRPr="00815C4C">
        <w:rPr>
          <w:rFonts w:cs="Taher"/>
          <w:vertAlign w:val="superscript"/>
          <w:rtl/>
        </w:rPr>
        <w:t>(</w:t>
      </w:r>
      <w:r w:rsidRPr="00815C4C">
        <w:rPr>
          <w:rFonts w:cs="Taher"/>
          <w:vertAlign w:val="superscript"/>
          <w:rtl/>
        </w:rPr>
        <w:footnoteReference w:id="1100"/>
      </w:r>
      <w:r w:rsidRPr="00815C4C">
        <w:rPr>
          <w:rFonts w:cs="Taher"/>
          <w:vertAlign w:val="superscript"/>
          <w:rtl/>
        </w:rPr>
        <w:t>)</w:t>
      </w:r>
      <w:r w:rsidRPr="00E14ED6">
        <w:rPr>
          <w:rFonts w:hint="cs"/>
          <w:rtl/>
        </w:rPr>
        <w:t>.</w:t>
      </w:r>
    </w:p>
    <w:p w:rsidR="00F52EBA" w:rsidRPr="00E14ED6" w:rsidRDefault="00F52EBA" w:rsidP="00B651E9">
      <w:pPr>
        <w:pStyle w:val="ac"/>
        <w:rPr>
          <w:rtl/>
        </w:rPr>
      </w:pPr>
      <w:r w:rsidRPr="00E14ED6">
        <w:rPr>
          <w:rFonts w:hint="cs"/>
          <w:rtl/>
        </w:rPr>
        <w:t xml:space="preserve">يقول العلامة الطباطبائي حول إباحة هذه الزينة: </w:t>
      </w:r>
      <w:r w:rsidRPr="00617008">
        <w:rPr>
          <w:rFonts w:hint="cs"/>
          <w:rtl/>
        </w:rPr>
        <w:t>«</w:t>
      </w:r>
      <w:r w:rsidRPr="00E14ED6">
        <w:rPr>
          <w:rFonts w:hint="cs"/>
          <w:rtl/>
        </w:rPr>
        <w:t>إنّ ذكر كلمة الطيّبات من الرزق وعطفها على الزينة، وجعل هذا العطف في سياق الاستفهام الإنكاري دليل على: أنّ الزينة والرزق الطيب مباحان من قبل الشرع والعقل والفطرة</w:t>
      </w:r>
      <w:r w:rsidRPr="00617008">
        <w:rPr>
          <w:rFonts w:hint="cs"/>
          <w:rtl/>
        </w:rPr>
        <w:t>»</w:t>
      </w:r>
      <w:r w:rsidRPr="00815C4C">
        <w:rPr>
          <w:rFonts w:cs="Taher"/>
          <w:vertAlign w:val="superscript"/>
          <w:rtl/>
        </w:rPr>
        <w:t>(</w:t>
      </w:r>
      <w:r w:rsidRPr="00815C4C">
        <w:rPr>
          <w:rFonts w:cs="Taher"/>
          <w:vertAlign w:val="superscript"/>
          <w:rtl/>
        </w:rPr>
        <w:footnoteReference w:id="1101"/>
      </w:r>
      <w:r w:rsidRPr="00815C4C">
        <w:rPr>
          <w:rFonts w:cs="Taher"/>
          <w:vertAlign w:val="superscript"/>
          <w:rtl/>
        </w:rPr>
        <w:t>)</w:t>
      </w:r>
      <w:r w:rsidRPr="00E14ED6">
        <w:rPr>
          <w:rFonts w:hint="cs"/>
          <w:rtl/>
        </w:rPr>
        <w:t>.</w:t>
      </w:r>
    </w:p>
    <w:p w:rsidR="00F52EBA" w:rsidRPr="00E14ED6" w:rsidRDefault="00F52EBA" w:rsidP="00350F90">
      <w:pPr>
        <w:pStyle w:val="ac"/>
        <w:rPr>
          <w:rtl/>
        </w:rPr>
      </w:pPr>
      <w:r w:rsidRPr="00E14ED6">
        <w:rPr>
          <w:rFonts w:hint="cs"/>
          <w:rtl/>
        </w:rPr>
        <w:t>وممّا يروى أنّ الإمام الحسن المجتبى</w:t>
      </w:r>
      <w:r w:rsidR="00350F90">
        <w:rPr>
          <w:rFonts w:hint="cs"/>
          <w:rtl/>
        </w:rPr>
        <w:t>×</w:t>
      </w:r>
      <w:r w:rsidRPr="00E14ED6">
        <w:rPr>
          <w:rFonts w:hint="cs"/>
          <w:rtl/>
        </w:rPr>
        <w:t xml:space="preserve"> كان يرتدي أفخر ثيابه للصلاة، ويقول في جواب سائليه: </w:t>
      </w:r>
      <w:r w:rsidRPr="00617008">
        <w:rPr>
          <w:rFonts w:hint="cs"/>
          <w:rtl/>
        </w:rPr>
        <w:t>«</w:t>
      </w:r>
      <w:r w:rsidRPr="00E14ED6">
        <w:rPr>
          <w:rFonts w:hint="cs"/>
          <w:rtl/>
        </w:rPr>
        <w:t>إنّ الله جميل ويحبّ الجمال فأتجمل لربي</w:t>
      </w:r>
      <w:r w:rsidRPr="00617008">
        <w:rPr>
          <w:rFonts w:hint="cs"/>
          <w:rtl/>
        </w:rPr>
        <w:t>»</w:t>
      </w:r>
      <w:r w:rsidRPr="00815C4C">
        <w:rPr>
          <w:rFonts w:cs="Taher"/>
          <w:vertAlign w:val="superscript"/>
          <w:rtl/>
        </w:rPr>
        <w:t>(</w:t>
      </w:r>
      <w:r w:rsidRPr="00815C4C">
        <w:rPr>
          <w:rFonts w:cs="Taher"/>
          <w:vertAlign w:val="superscript"/>
          <w:rtl/>
        </w:rPr>
        <w:footnoteReference w:id="1102"/>
      </w:r>
      <w:r w:rsidRPr="00815C4C">
        <w:rPr>
          <w:rFonts w:cs="Taher"/>
          <w:vertAlign w:val="superscript"/>
          <w:rtl/>
        </w:rPr>
        <w:t>)</w:t>
      </w:r>
      <w:r w:rsidRPr="00E14ED6">
        <w:rPr>
          <w:rFonts w:hint="cs"/>
          <w:rtl/>
        </w:rPr>
        <w:t>.</w:t>
      </w:r>
    </w:p>
    <w:p w:rsidR="00F52EBA" w:rsidRPr="00E14ED6" w:rsidRDefault="00F52EBA" w:rsidP="00350F90">
      <w:pPr>
        <w:pStyle w:val="ac"/>
        <w:rPr>
          <w:rtl/>
        </w:rPr>
      </w:pPr>
      <w:r w:rsidRPr="00E14ED6">
        <w:rPr>
          <w:rFonts w:hint="cs"/>
          <w:rtl/>
        </w:rPr>
        <w:t>قال عبّاد بن كثير ـ وكان يتظاهر بالزهد ـ معترضاً على الإمام الصادق لارتدائه ثياباً وملابس أنيقة: يا أبا عبدالله أنت من أهل بيت النبوة، وأب</w:t>
      </w:r>
      <w:r>
        <w:rPr>
          <w:rFonts w:hint="cs"/>
          <w:rtl/>
        </w:rPr>
        <w:t>ـ</w:t>
      </w:r>
      <w:r w:rsidRPr="00E14ED6">
        <w:rPr>
          <w:rFonts w:hint="cs"/>
          <w:rtl/>
        </w:rPr>
        <w:t>وك علي</w:t>
      </w:r>
      <w:r w:rsidR="00350F90">
        <w:rPr>
          <w:rFonts w:hint="cs"/>
          <w:rtl/>
        </w:rPr>
        <w:t>×</w:t>
      </w:r>
      <w:r>
        <w:rPr>
          <w:rFonts w:hint="cs"/>
          <w:rtl/>
        </w:rPr>
        <w:t xml:space="preserve"> </w:t>
      </w:r>
      <w:r w:rsidRPr="00E14ED6">
        <w:rPr>
          <w:rFonts w:hint="cs"/>
          <w:rtl/>
        </w:rPr>
        <w:t>كان يرتدي ثياباً خشنة زهيدة الثمن، فما هذه الملابس الفاخرة التي ترتديها؟ لماذا لم تكتف بالملابس العادية؟ فأجابه الإمام</w:t>
      </w:r>
      <w:r w:rsidR="00350F90">
        <w:rPr>
          <w:rFonts w:hint="cs"/>
          <w:rtl/>
        </w:rPr>
        <w:t>×</w:t>
      </w:r>
      <w:r w:rsidRPr="00E14ED6">
        <w:rPr>
          <w:rFonts w:hint="cs"/>
          <w:rtl/>
        </w:rPr>
        <w:t xml:space="preserve">: </w:t>
      </w:r>
      <w:r w:rsidRPr="00617008">
        <w:rPr>
          <w:rFonts w:hint="cs"/>
          <w:rtl/>
        </w:rPr>
        <w:t>«</w:t>
      </w:r>
      <w:r w:rsidRPr="00E14ED6">
        <w:rPr>
          <w:rFonts w:hint="cs"/>
          <w:rtl/>
        </w:rPr>
        <w:t xml:space="preserve">ويحك يا عَبّاد، ما هذا الاعتراض؟! إذا أنعم الله على </w:t>
      </w:r>
      <w:r w:rsidRPr="00E14ED6">
        <w:rPr>
          <w:rFonts w:hint="cs"/>
          <w:rtl/>
        </w:rPr>
        <w:lastRenderedPageBreak/>
        <w:t>عبده، يحبّ أن يرى نعمته باديةً عليه</w:t>
      </w:r>
      <w:r w:rsidRPr="00617008">
        <w:rPr>
          <w:rFonts w:hint="cs"/>
          <w:rtl/>
        </w:rPr>
        <w:t>»</w:t>
      </w:r>
      <w:r w:rsidRPr="00815C4C">
        <w:rPr>
          <w:rFonts w:cs="Taher"/>
          <w:vertAlign w:val="superscript"/>
          <w:rtl/>
        </w:rPr>
        <w:t>(</w:t>
      </w:r>
      <w:r w:rsidRPr="00815C4C">
        <w:rPr>
          <w:rFonts w:cs="Taher"/>
          <w:vertAlign w:val="superscript"/>
          <w:rtl/>
        </w:rPr>
        <w:footnoteReference w:id="1103"/>
      </w:r>
      <w:r w:rsidRPr="00815C4C">
        <w:rPr>
          <w:rFonts w:cs="Taher"/>
          <w:vertAlign w:val="superscript"/>
          <w:rtl/>
        </w:rPr>
        <w:t>)</w:t>
      </w:r>
      <w:r w:rsidRPr="00E14ED6">
        <w:rPr>
          <w:rFonts w:hint="cs"/>
          <w:rtl/>
        </w:rPr>
        <w:t>.</w:t>
      </w:r>
    </w:p>
    <w:p w:rsidR="00F52EBA" w:rsidRPr="00E14ED6" w:rsidRDefault="00F52EBA" w:rsidP="001D1319">
      <w:pPr>
        <w:pStyle w:val="ac"/>
        <w:spacing w:line="211" w:lineRule="auto"/>
        <w:rPr>
          <w:rtl/>
        </w:rPr>
      </w:pPr>
      <w:r w:rsidRPr="00E14ED6">
        <w:rPr>
          <w:rFonts w:hint="cs"/>
          <w:rtl/>
        </w:rPr>
        <w:t xml:space="preserve">إذن، فالله لا ينهى عن الزينة لذاتها، بل نهى عن التبرّج بقوله تعالى: </w:t>
      </w:r>
      <w:r w:rsidR="002F7681">
        <w:rPr>
          <w:rFonts w:ascii="Mosawi" w:hAnsi="Mosawi"/>
          <w:rtl/>
        </w:rPr>
        <w:t>﴿</w:t>
      </w:r>
      <w:r w:rsidR="002F7681" w:rsidRPr="002F7681">
        <w:rPr>
          <w:b/>
          <w:bCs/>
          <w:rtl/>
        </w:rPr>
        <w:t>وَلَا تَبَرَّجْنَ تَبَرُّجَ الجَاهِلِيَّةِ الأُولَى</w:t>
      </w:r>
      <w:r w:rsidR="002F7681">
        <w:rPr>
          <w:rFonts w:ascii="Mosawi" w:hAnsi="Mosawi"/>
          <w:rtl/>
        </w:rPr>
        <w:t>﴾</w:t>
      </w:r>
      <w:r w:rsidRPr="00815C4C">
        <w:rPr>
          <w:rFonts w:cs="Taher"/>
          <w:vertAlign w:val="superscript"/>
          <w:rtl/>
        </w:rPr>
        <w:t>(</w:t>
      </w:r>
      <w:r w:rsidRPr="00815C4C">
        <w:rPr>
          <w:rFonts w:cs="Taher"/>
          <w:vertAlign w:val="superscript"/>
          <w:rtl/>
        </w:rPr>
        <w:footnoteReference w:id="1104"/>
      </w:r>
      <w:r w:rsidRPr="00815C4C">
        <w:rPr>
          <w:rFonts w:cs="Taher"/>
          <w:vertAlign w:val="superscript"/>
          <w:rtl/>
        </w:rPr>
        <w:t>)</w:t>
      </w:r>
      <w:r w:rsidRPr="00E14ED6">
        <w:rPr>
          <w:rFonts w:hint="cs"/>
          <w:rtl/>
        </w:rPr>
        <w:t xml:space="preserve">، كما نهى عن إظهار الزينة في المحافل الاجتماعية والأماكن التي يتواجد فيها النساء والرجال معاً، </w:t>
      </w:r>
      <w:r w:rsidR="002F7681" w:rsidRPr="002F7681">
        <w:rPr>
          <w:rtl/>
        </w:rPr>
        <w:t>﴿</w:t>
      </w:r>
      <w:r w:rsidR="002F7681" w:rsidRPr="002F7681">
        <w:rPr>
          <w:b/>
          <w:bCs/>
          <w:rtl/>
        </w:rPr>
        <w:t>وَلَا يُبْدِينَ زِينَتَهُنَّ</w:t>
      </w:r>
      <w:r w:rsidR="002F7681" w:rsidRPr="002F7681">
        <w:rPr>
          <w:rtl/>
        </w:rPr>
        <w:t>﴾</w:t>
      </w:r>
      <w:r w:rsidRPr="00815C4C">
        <w:rPr>
          <w:rFonts w:cs="Taher"/>
          <w:vertAlign w:val="superscript"/>
          <w:rtl/>
        </w:rPr>
        <w:t>(</w:t>
      </w:r>
      <w:r w:rsidRPr="00815C4C">
        <w:rPr>
          <w:rFonts w:cs="Taher"/>
          <w:vertAlign w:val="superscript"/>
          <w:rtl/>
        </w:rPr>
        <w:footnoteReference w:id="1105"/>
      </w:r>
      <w:r w:rsidRPr="00815C4C">
        <w:rPr>
          <w:rFonts w:cs="Taher"/>
          <w:vertAlign w:val="superscript"/>
          <w:rtl/>
        </w:rPr>
        <w:t>)</w:t>
      </w:r>
      <w:r w:rsidRPr="00E14ED6">
        <w:rPr>
          <w:rFonts w:hint="cs"/>
          <w:rtl/>
        </w:rPr>
        <w:t>.</w:t>
      </w:r>
    </w:p>
    <w:p w:rsidR="00F52EBA" w:rsidRPr="00E14ED6" w:rsidRDefault="00F52EBA" w:rsidP="001D1319">
      <w:pPr>
        <w:pStyle w:val="ac"/>
        <w:spacing w:line="211" w:lineRule="auto"/>
        <w:rPr>
          <w:rtl/>
        </w:rPr>
      </w:pPr>
      <w:r w:rsidRPr="00E14ED6">
        <w:rPr>
          <w:rFonts w:hint="cs"/>
          <w:rtl/>
        </w:rPr>
        <w:t>وبناءً على هذا فإنّ الاستفادة من الزينة مباح من الناحية الشرعية، بل هي إرضاء للرغبة النفسية في التزيين، وهي إحدى الميول الفطرية التي تنمّي الذوق والفن، وتساعد على تنامي الأحاسيس وازدهارها، وتقود الإنسان إلى التسامي الروحي والتقدّم العاطفي.</w:t>
      </w:r>
    </w:p>
    <w:p w:rsidR="00F52EBA" w:rsidRPr="00E14ED6" w:rsidRDefault="00F52EBA" w:rsidP="001D1319">
      <w:pPr>
        <w:pStyle w:val="ac"/>
        <w:spacing w:line="211" w:lineRule="auto"/>
        <w:rPr>
          <w:rtl/>
        </w:rPr>
      </w:pPr>
      <w:r w:rsidRPr="00E14ED6">
        <w:rPr>
          <w:rFonts w:hint="cs"/>
          <w:rtl/>
        </w:rPr>
        <w:t>ولكن يجب الانتباه إلى عدم الإفراط وتجاوز حدّ الاعتدال في الزينة، فإنّ الإفراط فيها يؤدّي إلى نتائج محذورة، وإذا تجاوزت هذه الغريزة حدّها الشرعي فإنها تخدع الإنسان، وتضرّ به وتنكّد حياته، وتضيق عليه دنياه، وتجع</w:t>
      </w:r>
      <w:r>
        <w:rPr>
          <w:rFonts w:hint="cs"/>
          <w:rtl/>
        </w:rPr>
        <w:t>ل</w:t>
      </w:r>
      <w:r w:rsidRPr="00E14ED6">
        <w:rPr>
          <w:rFonts w:hint="cs"/>
          <w:rtl/>
        </w:rPr>
        <w:t>ه أسيراً بيد الشيطان.</w:t>
      </w:r>
    </w:p>
    <w:p w:rsidR="00F52EBA" w:rsidRPr="00E14ED6" w:rsidRDefault="00F52EBA" w:rsidP="001D1319">
      <w:pPr>
        <w:pStyle w:val="ac"/>
        <w:spacing w:line="211" w:lineRule="auto"/>
        <w:rPr>
          <w:rtl/>
        </w:rPr>
      </w:pPr>
      <w:r w:rsidRPr="00E14ED6">
        <w:rPr>
          <w:rFonts w:hint="cs"/>
          <w:rtl/>
        </w:rPr>
        <w:t xml:space="preserve">يقول العلاّمة الطباطبائي في هذا المجال: </w:t>
      </w:r>
      <w:r w:rsidRPr="00617008">
        <w:rPr>
          <w:rFonts w:hint="cs"/>
          <w:rtl/>
        </w:rPr>
        <w:t>«</w:t>
      </w:r>
      <w:r w:rsidRPr="00E14ED6">
        <w:rPr>
          <w:rFonts w:hint="cs"/>
          <w:rtl/>
        </w:rPr>
        <w:t>فقلّما ظهر فساد في البر والبحر وتنازع يفضي إلى الحروب المبيدة للنسل المخربة للمعمورة إلاّ عن إتراف الناس وإسرافهم في أمر الزينة أو الرزق، وهو الإنسان إذا جاوز حدّ الاعتدال، وتعدّى ما خطّ له من وسط الجادة، ذهب لوجهه لا يقف على حدّ ولا يلوي على شيء، فمن الحري ألاّ يرفع عنه سوط التربية ويذكر حتى بأوضح ما يقضي به عقله</w:t>
      </w:r>
      <w:r w:rsidRPr="00617008">
        <w:rPr>
          <w:rFonts w:hint="cs"/>
          <w:rtl/>
        </w:rPr>
        <w:t>»</w:t>
      </w:r>
      <w:r w:rsidRPr="00815C4C">
        <w:rPr>
          <w:rFonts w:cs="Taher"/>
          <w:vertAlign w:val="superscript"/>
          <w:rtl/>
        </w:rPr>
        <w:t>(</w:t>
      </w:r>
      <w:r w:rsidRPr="00815C4C">
        <w:rPr>
          <w:rFonts w:cs="Taher"/>
          <w:vertAlign w:val="superscript"/>
          <w:rtl/>
        </w:rPr>
        <w:footnoteReference w:id="1106"/>
      </w:r>
      <w:r w:rsidRPr="00815C4C">
        <w:rPr>
          <w:rFonts w:cs="Taher"/>
          <w:vertAlign w:val="superscript"/>
          <w:rtl/>
        </w:rPr>
        <w:t>)</w:t>
      </w:r>
      <w:r w:rsidRPr="00E14ED6">
        <w:rPr>
          <w:rFonts w:hint="cs"/>
          <w:rtl/>
        </w:rPr>
        <w:t>.</w:t>
      </w:r>
    </w:p>
    <w:p w:rsidR="00F52EBA" w:rsidRDefault="00F52EBA" w:rsidP="001D1319">
      <w:pPr>
        <w:pStyle w:val="ac"/>
        <w:spacing w:line="211" w:lineRule="auto"/>
        <w:rPr>
          <w:rtl/>
        </w:rPr>
      </w:pPr>
      <w:r w:rsidRPr="00E14ED6">
        <w:rPr>
          <w:rFonts w:hint="cs"/>
          <w:rtl/>
        </w:rPr>
        <w:t>يقول الإمام الصادق</w:t>
      </w:r>
      <w:r w:rsidR="00350F90">
        <w:rPr>
          <w:rFonts w:hint="cs"/>
          <w:rtl/>
        </w:rPr>
        <w:t>×</w:t>
      </w:r>
      <w:r w:rsidRPr="00E14ED6">
        <w:rPr>
          <w:rFonts w:hint="cs"/>
          <w:rtl/>
        </w:rPr>
        <w:t xml:space="preserve">: </w:t>
      </w:r>
      <w:r w:rsidRPr="00617008">
        <w:rPr>
          <w:rFonts w:hint="cs"/>
          <w:rtl/>
        </w:rPr>
        <w:t>«</w:t>
      </w:r>
      <w:r w:rsidRPr="00E14ED6">
        <w:rPr>
          <w:rFonts w:hint="cs"/>
          <w:rtl/>
        </w:rPr>
        <w:t>نهى النبي أن تتزين المرأة لغير زوجها، فإن فعلت كان حقاً على الله أن يحرقها بالنار</w:t>
      </w:r>
      <w:r w:rsidRPr="00617008">
        <w:rPr>
          <w:rFonts w:hint="cs"/>
          <w:rtl/>
        </w:rPr>
        <w:t>»</w:t>
      </w:r>
      <w:r w:rsidRPr="00815C4C">
        <w:rPr>
          <w:rFonts w:cs="Taher"/>
          <w:vertAlign w:val="superscript"/>
          <w:rtl/>
        </w:rPr>
        <w:t>(</w:t>
      </w:r>
      <w:r w:rsidRPr="00815C4C">
        <w:rPr>
          <w:rFonts w:cs="Taher"/>
          <w:vertAlign w:val="superscript"/>
          <w:rtl/>
        </w:rPr>
        <w:footnoteReference w:id="1107"/>
      </w:r>
      <w:r w:rsidRPr="00815C4C">
        <w:rPr>
          <w:rFonts w:cs="Taher"/>
          <w:vertAlign w:val="superscript"/>
          <w:rtl/>
        </w:rPr>
        <w:t>)</w:t>
      </w:r>
      <w:r w:rsidRPr="00E14ED6">
        <w:rPr>
          <w:rFonts w:hint="cs"/>
          <w:rtl/>
        </w:rPr>
        <w:t>.</w:t>
      </w:r>
    </w:p>
    <w:p w:rsidR="00F52EBA" w:rsidRPr="008F7E54" w:rsidRDefault="00F52EBA" w:rsidP="001D1319">
      <w:pPr>
        <w:pStyle w:val="2"/>
        <w:spacing w:line="168" w:lineRule="auto"/>
        <w:rPr>
          <w:rtl/>
        </w:rPr>
      </w:pPr>
      <w:bookmarkStart w:id="685" w:name="_Toc275128312"/>
      <w:r w:rsidRPr="008F7E54">
        <w:rPr>
          <w:rFonts w:hint="cs"/>
          <w:rtl/>
        </w:rPr>
        <w:lastRenderedPageBreak/>
        <w:t>5 ـ العفّة في الكلام</w:t>
      </w:r>
      <w:bookmarkEnd w:id="685"/>
    </w:p>
    <w:p w:rsidR="00F52EBA" w:rsidRPr="00E14ED6" w:rsidRDefault="00F52EBA" w:rsidP="002F7681">
      <w:pPr>
        <w:pStyle w:val="ac"/>
        <w:rPr>
          <w:rtl/>
        </w:rPr>
      </w:pPr>
      <w:r w:rsidRPr="00E14ED6">
        <w:rPr>
          <w:rFonts w:hint="cs"/>
          <w:rtl/>
        </w:rPr>
        <w:t xml:space="preserve">إنّ سعة نشاطات النساء اليوم تبيّن أهمية بحثنا في هذا الموضوع، فالأحكام التي استخرجناها من المصادر الإسلامية، كلّها تبين اهتمام الإسلام الدقيق بسلامة الفرد والمجتمع، فقد أمرنا القرآن الكريم ألاّ يكون كلامنا مع الأجنبي رقيقاً وجذاباً لئلا يطمع فينا الذين في قلوبهم مرض، يقول تعالى: </w:t>
      </w:r>
      <w:r w:rsidR="002F7681">
        <w:rPr>
          <w:rFonts w:ascii="Mosawi" w:hAnsi="Mosawi"/>
          <w:b/>
          <w:bCs/>
          <w:rtl/>
        </w:rPr>
        <w:t>﴿</w:t>
      </w:r>
      <w:r w:rsidR="002F7681" w:rsidRPr="002F7681">
        <w:rPr>
          <w:b/>
          <w:bCs/>
          <w:rtl/>
        </w:rPr>
        <w:t>فَلَا تَخْضَعْنَ بِالقَوْلِ فَيَطْمَعَ الَّذِي فِي قَلْبِهِ مَرَضٌ وَقُلْنَ قَوْلَاً مَّعْرُوفا</w:t>
      </w:r>
      <w:r w:rsidR="002F7681">
        <w:rPr>
          <w:rFonts w:hint="cs"/>
          <w:b/>
          <w:bCs/>
          <w:rtl/>
        </w:rPr>
        <w:t>ً</w:t>
      </w:r>
      <w:r w:rsidR="002F7681">
        <w:rPr>
          <w:rFonts w:ascii="Mosawi" w:hAnsi="Mosawi"/>
          <w:b/>
          <w:bCs/>
          <w:rtl/>
        </w:rPr>
        <w:t>﴾</w:t>
      </w:r>
      <w:r w:rsidRPr="00815C4C">
        <w:rPr>
          <w:rFonts w:cs="Taher"/>
          <w:vertAlign w:val="superscript"/>
          <w:rtl/>
        </w:rPr>
        <w:t>(</w:t>
      </w:r>
      <w:r w:rsidRPr="00815C4C">
        <w:rPr>
          <w:rFonts w:cs="Taher"/>
          <w:vertAlign w:val="superscript"/>
          <w:rtl/>
        </w:rPr>
        <w:footnoteReference w:id="1108"/>
      </w:r>
      <w:r w:rsidRPr="00815C4C">
        <w:rPr>
          <w:rFonts w:cs="Taher"/>
          <w:vertAlign w:val="superscript"/>
          <w:rtl/>
        </w:rPr>
        <w:t>)</w:t>
      </w:r>
      <w:r w:rsidRPr="00E14ED6">
        <w:rPr>
          <w:rFonts w:hint="cs"/>
          <w:rtl/>
        </w:rPr>
        <w:t>.</w:t>
      </w:r>
    </w:p>
    <w:p w:rsidR="00F52EBA" w:rsidRPr="00E14ED6" w:rsidRDefault="00F52EBA" w:rsidP="002F7681">
      <w:pPr>
        <w:pStyle w:val="ac"/>
        <w:rPr>
          <w:rtl/>
        </w:rPr>
      </w:pPr>
      <w:r w:rsidRPr="00E14ED6">
        <w:rPr>
          <w:rFonts w:hint="cs"/>
          <w:rtl/>
        </w:rPr>
        <w:t xml:space="preserve">وتشير جملة: </w:t>
      </w:r>
      <w:r w:rsidR="002F7681">
        <w:rPr>
          <w:rFonts w:ascii="Mosawi" w:hAnsi="Mosawi"/>
          <w:b/>
          <w:bCs/>
          <w:rtl/>
        </w:rPr>
        <w:t>﴿</w:t>
      </w:r>
      <w:r w:rsidR="002F7681" w:rsidRPr="002F7681">
        <w:rPr>
          <w:b/>
          <w:bCs/>
          <w:rtl/>
        </w:rPr>
        <w:t>فَلَا تَخْضَعْنَ بِالقَوْلِ</w:t>
      </w:r>
      <w:r w:rsidR="002F7681">
        <w:rPr>
          <w:rFonts w:ascii="Mosawi" w:hAnsi="Mosawi"/>
          <w:b/>
          <w:bCs/>
          <w:rtl/>
        </w:rPr>
        <w:t>﴾</w:t>
      </w:r>
      <w:r w:rsidRPr="00E14ED6">
        <w:rPr>
          <w:rFonts w:hint="cs"/>
          <w:rtl/>
        </w:rPr>
        <w:t xml:space="preserve"> إلى كيفية التكلّم مع الأجنبي، أي أن يكون الكلام جادّاً وعادياً.</w:t>
      </w:r>
    </w:p>
    <w:p w:rsidR="00F52EBA" w:rsidRPr="00E14ED6" w:rsidRDefault="00F52EBA" w:rsidP="002F7681">
      <w:pPr>
        <w:pStyle w:val="ac"/>
        <w:rPr>
          <w:rtl/>
        </w:rPr>
      </w:pPr>
      <w:r w:rsidRPr="00E14ED6">
        <w:rPr>
          <w:rFonts w:hint="cs"/>
          <w:rtl/>
        </w:rPr>
        <w:t xml:space="preserve">وأمّا جملة: </w:t>
      </w:r>
      <w:r w:rsidR="002F7681">
        <w:rPr>
          <w:rFonts w:ascii="Mosawi" w:hAnsi="Mosawi"/>
          <w:rtl/>
        </w:rPr>
        <w:t>﴿</w:t>
      </w:r>
      <w:r w:rsidR="002F7681" w:rsidRPr="002F7681">
        <w:rPr>
          <w:b/>
          <w:bCs/>
          <w:rtl/>
        </w:rPr>
        <w:t>وَقُلْنَ قَوْلَاً مَّعْرُوفا</w:t>
      </w:r>
      <w:r w:rsidR="002F7681">
        <w:rPr>
          <w:rFonts w:hint="cs"/>
          <w:b/>
          <w:bCs/>
          <w:rtl/>
        </w:rPr>
        <w:t>ً</w:t>
      </w:r>
      <w:r w:rsidR="002F7681">
        <w:rPr>
          <w:rFonts w:ascii="Mosawi" w:hAnsi="Mosawi"/>
          <w:b/>
          <w:bCs/>
          <w:rtl/>
        </w:rPr>
        <w:t>﴾</w:t>
      </w:r>
      <w:r w:rsidRPr="00E14ED6">
        <w:rPr>
          <w:rFonts w:hint="cs"/>
          <w:rtl/>
        </w:rPr>
        <w:t xml:space="preserve"> فإنّها تشير إلى محتوى الكلام، أي يجب أن يكون بشكل لائق يرضي الله ورسوله</w:t>
      </w:r>
      <w:r w:rsidR="00C86626">
        <w:rPr>
          <w:rFonts w:hint="cs"/>
          <w:rtl/>
        </w:rPr>
        <w:t>’</w:t>
      </w:r>
      <w:r w:rsidRPr="00E14ED6">
        <w:rPr>
          <w:rFonts w:hint="cs"/>
          <w:rtl/>
        </w:rPr>
        <w:t xml:space="preserve"> مقروناً بالحق والعدل، ولا شكّ أنّ لفظ: </w:t>
      </w:r>
      <w:r w:rsidRPr="00D83F98">
        <w:rPr>
          <w:rFonts w:hint="cs"/>
        </w:rPr>
        <w:sym w:font="Islamic Units 1" w:char="F03E"/>
      </w:r>
      <w:r w:rsidRPr="00B651E9">
        <w:rPr>
          <w:rFonts w:hint="cs"/>
          <w:b/>
          <w:bCs/>
          <w:rtl/>
        </w:rPr>
        <w:t>قولاً معروفاً</w:t>
      </w:r>
      <w:r w:rsidRPr="00D83F98">
        <w:rPr>
          <w:rFonts w:hint="cs"/>
        </w:rPr>
        <w:sym w:font="Islamic Units 1" w:char="F03C"/>
      </w:r>
      <w:r w:rsidRPr="00E14ED6">
        <w:rPr>
          <w:rFonts w:hint="cs"/>
          <w:rtl/>
        </w:rPr>
        <w:t xml:space="preserve"> ذو معنى واسع ينفي كلّ كلام باطل وعبث مأثوم عليه ومخالف للحق</w:t>
      </w:r>
      <w:r w:rsidRPr="00815C4C">
        <w:rPr>
          <w:rFonts w:cs="Taher"/>
          <w:vertAlign w:val="superscript"/>
          <w:rtl/>
        </w:rPr>
        <w:t>(</w:t>
      </w:r>
      <w:r w:rsidRPr="00815C4C">
        <w:rPr>
          <w:rFonts w:cs="Taher"/>
          <w:vertAlign w:val="superscript"/>
          <w:rtl/>
        </w:rPr>
        <w:footnoteReference w:id="1109"/>
      </w:r>
      <w:r w:rsidRPr="00815C4C">
        <w:rPr>
          <w:rFonts w:cs="Taher"/>
          <w:vertAlign w:val="superscript"/>
          <w:rtl/>
        </w:rPr>
        <w:t>)</w:t>
      </w:r>
      <w:r w:rsidRPr="00E14ED6">
        <w:rPr>
          <w:rFonts w:hint="cs"/>
          <w:rtl/>
        </w:rPr>
        <w:t>.</w:t>
      </w:r>
    </w:p>
    <w:p w:rsidR="00F52EBA" w:rsidRDefault="00F52EBA" w:rsidP="00B651E9">
      <w:pPr>
        <w:pStyle w:val="ac"/>
        <w:rPr>
          <w:rtl/>
        </w:rPr>
      </w:pPr>
      <w:r w:rsidRPr="00E14ED6">
        <w:rPr>
          <w:rFonts w:hint="cs"/>
          <w:rtl/>
        </w:rPr>
        <w:t>إذن، فكلّ كلام يقترن بخضوع ومَيَعان، وبحركات أو تغيير صوت ـ بحيث يطمع الذين في قلوبهم مرض ويستميلهم إلى اقتراف الإثم ـ باطل من وجهة نظر القرآن الكريم، ومردود قطعاً.</w:t>
      </w:r>
    </w:p>
    <w:p w:rsidR="00B651E9" w:rsidRPr="001D1319" w:rsidRDefault="00B651E9" w:rsidP="001D1319">
      <w:pPr>
        <w:pStyle w:val="afffffc"/>
        <w:rPr>
          <w:sz w:val="20"/>
          <w:szCs w:val="18"/>
          <w:rtl/>
        </w:rPr>
      </w:pPr>
    </w:p>
    <w:p w:rsidR="00F52EBA" w:rsidRPr="007C7413" w:rsidRDefault="00F52EBA" w:rsidP="001D1319">
      <w:pPr>
        <w:pStyle w:val="2"/>
        <w:rPr>
          <w:rtl/>
        </w:rPr>
      </w:pPr>
      <w:bookmarkStart w:id="686" w:name="_Toc275128313"/>
      <w:r w:rsidRPr="007C7413">
        <w:rPr>
          <w:rFonts w:hint="cs"/>
          <w:rtl/>
        </w:rPr>
        <w:t>6 ـ العفّة في الستر والحجاب</w:t>
      </w:r>
      <w:bookmarkEnd w:id="686"/>
    </w:p>
    <w:p w:rsidR="00F52EBA" w:rsidRPr="00E14ED6" w:rsidRDefault="00F52EBA" w:rsidP="00B651E9">
      <w:pPr>
        <w:pStyle w:val="ac"/>
        <w:rPr>
          <w:rtl/>
        </w:rPr>
      </w:pPr>
      <w:r w:rsidRPr="00E14ED6">
        <w:rPr>
          <w:rFonts w:hint="cs"/>
          <w:rtl/>
        </w:rPr>
        <w:t>الستر أحد أوسع الموضوعات المطروحة في العصر الحاضر حول المرأة والحياة الاجتماعية، فقد كتبت حوله بحوث كثيرة موافقة ومخالفة في الشرق والغرب، إذ طرح مخالفو الستر والحجاب شبهات كثيرة ليصدّوا بها تأثير مبلّغي أنصاره المتدينين، وبالتالي يتاح لهم الاعتداء على عفّة النساء.</w:t>
      </w:r>
    </w:p>
    <w:p w:rsidR="00F52EBA" w:rsidRPr="00E14ED6" w:rsidRDefault="00F52EBA" w:rsidP="00B651E9">
      <w:pPr>
        <w:pStyle w:val="ac"/>
        <w:rPr>
          <w:rtl/>
        </w:rPr>
      </w:pPr>
      <w:r w:rsidRPr="00E14ED6">
        <w:rPr>
          <w:rFonts w:hint="cs"/>
          <w:rtl/>
        </w:rPr>
        <w:t>ومن جملة هذه الشبهات: أنّ الحجاب مانع دون العمل، وهو قيد يحدّ من الحرية، وأنّه دليل على التخلف، و... و...</w:t>
      </w:r>
    </w:p>
    <w:p w:rsidR="00F52EBA" w:rsidRPr="00E14ED6" w:rsidRDefault="00F52EBA" w:rsidP="001D1319">
      <w:pPr>
        <w:pStyle w:val="ac"/>
        <w:spacing w:line="199" w:lineRule="auto"/>
        <w:rPr>
          <w:rtl/>
        </w:rPr>
      </w:pPr>
      <w:r w:rsidRPr="00E14ED6">
        <w:rPr>
          <w:rFonts w:hint="cs"/>
          <w:rtl/>
        </w:rPr>
        <w:lastRenderedPageBreak/>
        <w:t>وقد ألقوا هذه الشبهات في أذهان النساء، وطلبوا منهنّ مقاومة هذه الأعراف والأحكام الفقهية والفرائض والسنن الإلهية.</w:t>
      </w:r>
    </w:p>
    <w:p w:rsidR="00F52EBA" w:rsidRPr="00E14ED6" w:rsidRDefault="00F52EBA" w:rsidP="001D1319">
      <w:pPr>
        <w:pStyle w:val="ac"/>
        <w:spacing w:line="199" w:lineRule="auto"/>
        <w:rPr>
          <w:rtl/>
        </w:rPr>
      </w:pPr>
      <w:r w:rsidRPr="00E14ED6">
        <w:rPr>
          <w:rFonts w:hint="cs"/>
          <w:rtl/>
        </w:rPr>
        <w:t>إنّ مسألة الستر وحفظ العفّة من الدنس لا يختصّ بها الدين الإسلامي، كما لا تتعلّق بالأديان الأخرى فقط، بل اهتمت بها المجتمعات البدائية البعيدة عن التمدن والثقافة والدين بدافعٍ من الفطرة.</w:t>
      </w:r>
    </w:p>
    <w:p w:rsidR="00F52EBA" w:rsidRPr="00E14ED6" w:rsidRDefault="00F52EBA" w:rsidP="001D1319">
      <w:pPr>
        <w:pStyle w:val="ac"/>
        <w:spacing w:line="199" w:lineRule="auto"/>
        <w:rPr>
          <w:rtl/>
        </w:rPr>
      </w:pPr>
      <w:r w:rsidRPr="00E14ED6">
        <w:rPr>
          <w:rFonts w:hint="cs"/>
          <w:rtl/>
        </w:rPr>
        <w:t xml:space="preserve">فقد جاء: </w:t>
      </w:r>
      <w:r w:rsidRPr="00617008">
        <w:rPr>
          <w:rFonts w:hint="cs"/>
          <w:rtl/>
        </w:rPr>
        <w:t>«</w:t>
      </w:r>
      <w:r w:rsidRPr="00E14ED6">
        <w:rPr>
          <w:rFonts w:hint="cs"/>
          <w:rtl/>
        </w:rPr>
        <w:t xml:space="preserve">إنّ نساء التتر لا مثيل لهنّ في العفّة والوقار وأداء مسؤوليتهن تجاه أزواجهن، مما يستدعي الثناء عليهن، إن تدنيس العفّة الاجتماعية وهتك النواميس إثم عظيم. وقد جاء في قانون </w:t>
      </w:r>
      <w:r w:rsidRPr="00617008">
        <w:rPr>
          <w:rFonts w:hint="cs"/>
          <w:rtl/>
        </w:rPr>
        <w:t>«</w:t>
      </w:r>
      <w:r w:rsidRPr="00E14ED6">
        <w:rPr>
          <w:rFonts w:hint="cs"/>
          <w:rtl/>
        </w:rPr>
        <w:t>ياسا</w:t>
      </w:r>
      <w:r w:rsidRPr="00617008">
        <w:rPr>
          <w:rFonts w:hint="cs"/>
          <w:rtl/>
        </w:rPr>
        <w:t>»</w:t>
      </w:r>
      <w:r w:rsidRPr="00E14ED6">
        <w:rPr>
          <w:rFonts w:hint="cs"/>
          <w:rtl/>
        </w:rPr>
        <w:t xml:space="preserve"> المغولي: إنّ الإعدام جزاء هتك النواميس والزنا وإزالة البكارة</w:t>
      </w:r>
      <w:r w:rsidRPr="00617008">
        <w:rPr>
          <w:rFonts w:hint="cs"/>
          <w:rtl/>
        </w:rPr>
        <w:t>»</w:t>
      </w:r>
      <w:r w:rsidRPr="00815C4C">
        <w:rPr>
          <w:rFonts w:cs="Taher"/>
          <w:vertAlign w:val="superscript"/>
          <w:rtl/>
        </w:rPr>
        <w:t>(</w:t>
      </w:r>
      <w:r w:rsidRPr="00815C4C">
        <w:rPr>
          <w:rFonts w:cs="Taher"/>
          <w:vertAlign w:val="superscript"/>
          <w:rtl/>
        </w:rPr>
        <w:footnoteReference w:id="1110"/>
      </w:r>
      <w:r w:rsidRPr="00815C4C">
        <w:rPr>
          <w:rFonts w:cs="Taher"/>
          <w:vertAlign w:val="superscript"/>
          <w:rtl/>
        </w:rPr>
        <w:t>)</w:t>
      </w:r>
      <w:r w:rsidRPr="00E14ED6">
        <w:rPr>
          <w:rFonts w:hint="cs"/>
          <w:rtl/>
        </w:rPr>
        <w:t xml:space="preserve">. </w:t>
      </w:r>
    </w:p>
    <w:p w:rsidR="00F52EBA" w:rsidRPr="00E14ED6" w:rsidRDefault="00F52EBA" w:rsidP="001D1319">
      <w:pPr>
        <w:pStyle w:val="ac"/>
        <w:spacing w:line="199" w:lineRule="auto"/>
        <w:rPr>
          <w:rtl/>
        </w:rPr>
      </w:pPr>
      <w:r w:rsidRPr="00E14ED6">
        <w:rPr>
          <w:rFonts w:hint="cs"/>
          <w:rtl/>
        </w:rPr>
        <w:t xml:space="preserve">وكتب ويل ديورانت: </w:t>
      </w:r>
      <w:r w:rsidRPr="00617008">
        <w:rPr>
          <w:rFonts w:hint="cs"/>
          <w:rtl/>
        </w:rPr>
        <w:t>«</w:t>
      </w:r>
      <w:r w:rsidRPr="00E14ED6">
        <w:rPr>
          <w:rFonts w:hint="cs"/>
          <w:rtl/>
        </w:rPr>
        <w:t>في بريطانيا القديمة كان الآباء الأثرياء يحبسون بناتهم الشابات حوالي خمس سنوات (مدة فوران الشباب وهيجانات الجنس الخطيرة)، ويجعلون النساء المسنّات العفيفات حارسات عليهن، ولا يحق لهؤلاء الفتيات الخروج من مقصوراتهن ولا لأحد رؤيتهن إلاّ الأقارب والمعارف، وبعض قبائل جزيرة برونئو كانوا يعملون ما يشابه ذلك أيضاً</w:t>
      </w:r>
      <w:r w:rsidRPr="00617008">
        <w:rPr>
          <w:rFonts w:hint="cs"/>
          <w:rtl/>
        </w:rPr>
        <w:t>»</w:t>
      </w:r>
      <w:r w:rsidRPr="00815C4C">
        <w:rPr>
          <w:rFonts w:cs="Taher"/>
          <w:vertAlign w:val="superscript"/>
          <w:rtl/>
        </w:rPr>
        <w:t>(</w:t>
      </w:r>
      <w:r w:rsidRPr="00815C4C">
        <w:rPr>
          <w:rFonts w:cs="Taher"/>
          <w:vertAlign w:val="superscript"/>
          <w:rtl/>
        </w:rPr>
        <w:footnoteReference w:id="1111"/>
      </w:r>
      <w:r w:rsidRPr="00815C4C">
        <w:rPr>
          <w:rFonts w:cs="Taher"/>
          <w:vertAlign w:val="superscript"/>
          <w:rtl/>
        </w:rPr>
        <w:t>)</w:t>
      </w:r>
      <w:r w:rsidRPr="00E14ED6">
        <w:rPr>
          <w:rFonts w:hint="cs"/>
          <w:rtl/>
        </w:rPr>
        <w:t>.</w:t>
      </w:r>
    </w:p>
    <w:p w:rsidR="00F52EBA" w:rsidRPr="00E14ED6" w:rsidRDefault="00F52EBA" w:rsidP="001D1319">
      <w:pPr>
        <w:pStyle w:val="ac"/>
        <w:spacing w:line="199" w:lineRule="auto"/>
        <w:rPr>
          <w:rtl/>
        </w:rPr>
      </w:pPr>
      <w:r w:rsidRPr="00E14ED6">
        <w:rPr>
          <w:rFonts w:hint="cs"/>
          <w:rtl/>
        </w:rPr>
        <w:t>والدليل على فطرية العفّة قصّة آدم وحواء وأكلهما من الشجرة المنهي عن الأكل منها التي ذكرناها سالفاً.</w:t>
      </w:r>
    </w:p>
    <w:p w:rsidR="00F52EBA" w:rsidRPr="00E14ED6" w:rsidRDefault="00F52EBA" w:rsidP="001D1319">
      <w:pPr>
        <w:pStyle w:val="ac"/>
        <w:rPr>
          <w:rtl/>
        </w:rPr>
      </w:pPr>
      <w:r w:rsidRPr="00E14ED6">
        <w:rPr>
          <w:rFonts w:hint="cs"/>
          <w:rtl/>
        </w:rPr>
        <w:t>إذن، فمسألة الحجاب والعفاف كانت موجودةً منذ القدم في جميع المجتمعات والاُمم وبصور مختلفة، ولكن أصبحت هذه المسألة في الشريعة الإسلامية فريضة وحكماً شرعياً، وقد ذكره الله العزيز في عدة آيات من القرآن الكريم، وبيّن أهميته وقيمته وهدفه وفائدته.</w:t>
      </w:r>
    </w:p>
    <w:p w:rsidR="00F52EBA" w:rsidRPr="00E14ED6" w:rsidRDefault="00F52EBA" w:rsidP="00B651E9">
      <w:pPr>
        <w:pStyle w:val="ac"/>
        <w:rPr>
          <w:rtl/>
        </w:rPr>
      </w:pPr>
      <w:r w:rsidRPr="00E14ED6">
        <w:rPr>
          <w:rFonts w:hint="cs"/>
          <w:rtl/>
        </w:rPr>
        <w:t xml:space="preserve">ذكر الله الستر في القرآن، وبيّن أهدافه، فهو كساء يكسو الأعضاء، ويستر العورة، ويحفظ البدن، وزينة، ووسيلة تصون حرمة المرأة وشخصيتها، وتحول دون أذية </w:t>
      </w:r>
      <w:r w:rsidRPr="00E14ED6">
        <w:rPr>
          <w:rFonts w:hint="cs"/>
          <w:rtl/>
        </w:rPr>
        <w:lastRenderedPageBreak/>
        <w:t>الآخرين والفاسدين.</w:t>
      </w:r>
    </w:p>
    <w:p w:rsidR="00F52EBA" w:rsidRPr="00E14ED6" w:rsidRDefault="00F52EBA" w:rsidP="002F7681">
      <w:pPr>
        <w:pStyle w:val="ac"/>
        <w:rPr>
          <w:rFonts w:cs="AL-Mohanad"/>
          <w:rtl/>
        </w:rPr>
      </w:pPr>
      <w:r w:rsidRPr="00B651E9">
        <w:rPr>
          <w:rFonts w:hint="cs"/>
          <w:rtl/>
        </w:rPr>
        <w:t xml:space="preserve">قال تعالى: </w:t>
      </w:r>
      <w:r w:rsidR="002F7681">
        <w:rPr>
          <w:rFonts w:ascii="Mosawi" w:hAnsi="Mosawi"/>
          <w:rtl/>
        </w:rPr>
        <w:t>﴿</w:t>
      </w:r>
      <w:r w:rsidR="002F7681" w:rsidRPr="002F7681">
        <w:rPr>
          <w:b/>
          <w:bCs/>
          <w:rtl/>
        </w:rPr>
        <w:t>يَا بَنِي آدَمَ قَدْ أَنزَلْنَا عَلَيْكُمْ لِبَاسا</w:t>
      </w:r>
      <w:r w:rsidR="002F7681">
        <w:rPr>
          <w:rFonts w:hint="cs"/>
          <w:b/>
          <w:bCs/>
          <w:rtl/>
        </w:rPr>
        <w:t>ً</w:t>
      </w:r>
      <w:r w:rsidR="002F7681" w:rsidRPr="002F7681">
        <w:rPr>
          <w:b/>
          <w:bCs/>
          <w:rtl/>
        </w:rPr>
        <w:t xml:space="preserve"> يُوَارِي سَوْآتِكُمْ وَرِيشا</w:t>
      </w:r>
      <w:r w:rsidR="002F7681">
        <w:rPr>
          <w:rFonts w:hint="cs"/>
          <w:b/>
          <w:bCs/>
          <w:rtl/>
        </w:rPr>
        <w:t>ً</w:t>
      </w:r>
      <w:r w:rsidR="002F7681">
        <w:rPr>
          <w:rFonts w:ascii="Mosawi" w:hAnsi="Mosawi"/>
          <w:rtl/>
        </w:rPr>
        <w:t>﴾</w:t>
      </w:r>
      <w:r w:rsidRPr="00815C4C">
        <w:rPr>
          <w:rFonts w:cs="Taher"/>
          <w:vertAlign w:val="superscript"/>
          <w:rtl/>
        </w:rPr>
        <w:t>(</w:t>
      </w:r>
      <w:r w:rsidRPr="00815C4C">
        <w:rPr>
          <w:rFonts w:cs="Taher"/>
          <w:vertAlign w:val="superscript"/>
          <w:rtl/>
        </w:rPr>
        <w:footnoteReference w:id="1112"/>
      </w:r>
      <w:r w:rsidRPr="00815C4C">
        <w:rPr>
          <w:rFonts w:cs="Taher"/>
          <w:vertAlign w:val="superscript"/>
          <w:rtl/>
        </w:rPr>
        <w:t>)</w:t>
      </w:r>
      <w:r w:rsidRPr="00E14ED6">
        <w:rPr>
          <w:rFonts w:cs="AL-Mohanad" w:hint="cs"/>
          <w:rtl/>
        </w:rPr>
        <w:t>.</w:t>
      </w:r>
    </w:p>
    <w:p w:rsidR="00F52EBA" w:rsidRPr="00E14ED6" w:rsidRDefault="00F52EBA" w:rsidP="002F7681">
      <w:pPr>
        <w:pStyle w:val="ac"/>
        <w:rPr>
          <w:rtl/>
        </w:rPr>
      </w:pPr>
      <w:r w:rsidRPr="00E14ED6">
        <w:rPr>
          <w:rFonts w:hint="cs"/>
          <w:rtl/>
        </w:rPr>
        <w:t xml:space="preserve">وجملة: </w:t>
      </w:r>
      <w:r w:rsidR="002F7681">
        <w:rPr>
          <w:rFonts w:ascii="Mosawi" w:hAnsi="Mosawi"/>
          <w:b/>
          <w:bCs/>
          <w:rtl/>
        </w:rPr>
        <w:t>﴿</w:t>
      </w:r>
      <w:r w:rsidR="002F7681" w:rsidRPr="002F7681">
        <w:rPr>
          <w:b/>
          <w:bCs/>
          <w:rtl/>
        </w:rPr>
        <w:t>يُوَارِي سَوْآتِكُمْ</w:t>
      </w:r>
      <w:r w:rsidR="002F7681">
        <w:rPr>
          <w:rFonts w:ascii="Mosawi" w:hAnsi="Mosawi"/>
          <w:b/>
          <w:bCs/>
          <w:rtl/>
        </w:rPr>
        <w:t>﴾</w:t>
      </w:r>
      <w:r w:rsidR="002F7681" w:rsidRPr="002F7681">
        <w:rPr>
          <w:b/>
          <w:bCs/>
          <w:rtl/>
        </w:rPr>
        <w:t xml:space="preserve"> </w:t>
      </w:r>
      <w:r w:rsidRPr="00E14ED6">
        <w:rPr>
          <w:rFonts w:hint="cs"/>
          <w:rtl/>
        </w:rPr>
        <w:t>صفّة للباس، تدلّ على أنه ستر واجب لا يُستغنى عنه، وهو غطاء عضو خلْعه عنه عمل قبيح وفضيحة للإنسان</w:t>
      </w:r>
      <w:r w:rsidRPr="00815C4C">
        <w:rPr>
          <w:rFonts w:cs="Taher"/>
          <w:vertAlign w:val="superscript"/>
          <w:rtl/>
        </w:rPr>
        <w:t>(</w:t>
      </w:r>
      <w:r w:rsidRPr="00815C4C">
        <w:rPr>
          <w:rFonts w:cs="Taher"/>
          <w:vertAlign w:val="superscript"/>
          <w:rtl/>
        </w:rPr>
        <w:footnoteReference w:id="1113"/>
      </w:r>
      <w:r w:rsidRPr="00815C4C">
        <w:rPr>
          <w:rFonts w:cs="Taher"/>
          <w:vertAlign w:val="superscript"/>
          <w:rtl/>
        </w:rPr>
        <w:t>)</w:t>
      </w:r>
      <w:r w:rsidRPr="00E14ED6">
        <w:rPr>
          <w:rFonts w:hint="cs"/>
          <w:rtl/>
        </w:rPr>
        <w:t xml:space="preserve">. وكلمة ريش عربية تعني: </w:t>
      </w:r>
      <w:r w:rsidRPr="00617008">
        <w:rPr>
          <w:rFonts w:hint="cs"/>
          <w:rtl/>
        </w:rPr>
        <w:t>«</w:t>
      </w:r>
      <w:r w:rsidRPr="00E14ED6">
        <w:rPr>
          <w:rFonts w:hint="cs"/>
          <w:rtl/>
        </w:rPr>
        <w:t>ما يغطّي أبدان الطيور، ولأنّ ريش الطيور مختلف الألوان وجميل غالباً، فقد تضمّن فيه مفهوم الزينة</w:t>
      </w:r>
      <w:r w:rsidRPr="00617008">
        <w:rPr>
          <w:rFonts w:hint="cs"/>
          <w:rtl/>
        </w:rPr>
        <w:t>»</w:t>
      </w:r>
      <w:r w:rsidRPr="00815C4C">
        <w:rPr>
          <w:rFonts w:cs="Taher"/>
          <w:vertAlign w:val="superscript"/>
          <w:rtl/>
        </w:rPr>
        <w:t>(</w:t>
      </w:r>
      <w:r w:rsidRPr="00815C4C">
        <w:rPr>
          <w:rFonts w:cs="Taher"/>
          <w:vertAlign w:val="superscript"/>
          <w:rtl/>
        </w:rPr>
        <w:footnoteReference w:id="1114"/>
      </w:r>
      <w:r w:rsidRPr="00815C4C">
        <w:rPr>
          <w:rFonts w:cs="Taher"/>
          <w:vertAlign w:val="superscript"/>
          <w:rtl/>
        </w:rPr>
        <w:t>)</w:t>
      </w:r>
      <w:r w:rsidRPr="00E14ED6">
        <w:rPr>
          <w:rFonts w:hint="cs"/>
          <w:rtl/>
        </w:rPr>
        <w:t>.</w:t>
      </w:r>
    </w:p>
    <w:p w:rsidR="00F52EBA" w:rsidRPr="00E14ED6" w:rsidRDefault="00F52EBA" w:rsidP="002F7681">
      <w:pPr>
        <w:pStyle w:val="ac"/>
        <w:rPr>
          <w:rtl/>
        </w:rPr>
      </w:pPr>
      <w:r w:rsidRPr="00E14ED6">
        <w:rPr>
          <w:rFonts w:hint="cs"/>
          <w:rtl/>
        </w:rPr>
        <w:t xml:space="preserve">لذا فإنّ الهدف من اللباس ـ في هذه الآية الكريمة ـ لا يعني تغطية الجسد وستر قبائحه فحسب، بل اللباس زينة وجمال للبدن، قال تعالى: </w:t>
      </w:r>
      <w:r w:rsidR="002F7681">
        <w:rPr>
          <w:rFonts w:ascii="Mosawi" w:hAnsi="Mosawi"/>
          <w:rtl/>
        </w:rPr>
        <w:t>﴿</w:t>
      </w:r>
      <w:r w:rsidR="002F7681" w:rsidRPr="002F7681">
        <w:rPr>
          <w:b/>
          <w:bCs/>
          <w:rtl/>
        </w:rPr>
        <w:t>يَا أَيُّهَا النَّبِيُّ قُل لِّأَزْوَاجِكَ وَبَنَاتِكَ وَنِسَاء المُؤْمِنِينَ يُدْنِينَ عَلَيْهِنَّ مِن جَلَابِيبِهِنَّ ذَلِكَ أَدْنَى أَن يُعْرَفْنَ فَلَا يُؤْذَيْنَ</w:t>
      </w:r>
      <w:r w:rsidRPr="00B651E9">
        <w:rPr>
          <w:rFonts w:hint="cs"/>
          <w:b/>
          <w:bCs/>
          <w:rtl/>
        </w:rPr>
        <w:t>...</w:t>
      </w:r>
      <w:r w:rsidRPr="00B651E9">
        <w:rPr>
          <w:rFonts w:hint="cs"/>
          <w:b/>
          <w:bCs/>
        </w:rPr>
        <w:sym w:font="Islamic Units 1" w:char="F03C"/>
      </w:r>
      <w:r w:rsidRPr="00815C4C">
        <w:rPr>
          <w:rFonts w:cs="Taher"/>
          <w:vertAlign w:val="superscript"/>
          <w:rtl/>
        </w:rPr>
        <w:t>(</w:t>
      </w:r>
      <w:r w:rsidRPr="00815C4C">
        <w:rPr>
          <w:rFonts w:cs="Taher"/>
          <w:vertAlign w:val="superscript"/>
          <w:rtl/>
        </w:rPr>
        <w:footnoteReference w:id="1115"/>
      </w:r>
      <w:r w:rsidRPr="00815C4C">
        <w:rPr>
          <w:rFonts w:cs="Taher"/>
          <w:vertAlign w:val="superscript"/>
          <w:rtl/>
        </w:rPr>
        <w:t>)</w:t>
      </w:r>
      <w:r w:rsidRPr="00E14ED6">
        <w:rPr>
          <w:rFonts w:hint="cs"/>
          <w:rtl/>
        </w:rPr>
        <w:t>.</w:t>
      </w:r>
    </w:p>
    <w:p w:rsidR="00F52EBA" w:rsidRPr="00E14ED6" w:rsidRDefault="00F52EBA" w:rsidP="00B651E9">
      <w:pPr>
        <w:pStyle w:val="ac"/>
        <w:rPr>
          <w:rtl/>
        </w:rPr>
      </w:pPr>
      <w:r w:rsidRPr="00E14ED6">
        <w:rPr>
          <w:rFonts w:hint="cs"/>
          <w:rtl/>
        </w:rPr>
        <w:t>فعندما تخرج المرأة من بيتها وقورةً ترعى جانب العفّة والطهارة فلا يجرؤ الفاسدون والمتحرّشون على التعرض لها، وأما الذين في قلوبهم مرض، ويبحثون عن صيد يصطادونه، فلا حول ولا قوة لهم إلاّ أن يغضّوا النظر ويبعدوا فكرة استغلال النساء عن مخيلتهم.</w:t>
      </w:r>
    </w:p>
    <w:p w:rsidR="00F52EBA" w:rsidRPr="00E14ED6" w:rsidRDefault="00F52EBA" w:rsidP="00885E99">
      <w:pPr>
        <w:pStyle w:val="ac"/>
        <w:rPr>
          <w:rtl/>
        </w:rPr>
      </w:pPr>
      <w:r w:rsidRPr="00E14ED6">
        <w:rPr>
          <w:rFonts w:hint="cs"/>
          <w:rtl/>
        </w:rPr>
        <w:t xml:space="preserve">إن الرجل والمرأة متساويان من ناحية الأصول العامّة، أما من حيث الخصال الطبيعية الخاصة بالمرأة، كالرقة واللطافة والجذابية، فلا شكّ أن هناك اختلافاً شاسعاً بينها وبين الرجل، وقد وردت في هذا المجال روايات، منها: </w:t>
      </w:r>
      <w:r w:rsidR="00885E99" w:rsidRPr="00885E99">
        <w:rPr>
          <w:rFonts w:hint="eastAsia"/>
          <w:rtl/>
        </w:rPr>
        <w:t>«</w:t>
      </w:r>
      <w:r w:rsidRPr="00E14ED6">
        <w:rPr>
          <w:rFonts w:hint="cs"/>
          <w:rtl/>
        </w:rPr>
        <w:t>المرأة ريحانة</w:t>
      </w:r>
      <w:r w:rsidR="00885E99" w:rsidRPr="00885E99">
        <w:rPr>
          <w:rFonts w:hint="eastAsia"/>
          <w:rtl/>
        </w:rPr>
        <w:t>»</w:t>
      </w:r>
      <w:r w:rsidRPr="00815C4C">
        <w:rPr>
          <w:rFonts w:cs="Taher"/>
          <w:vertAlign w:val="superscript"/>
          <w:rtl/>
        </w:rPr>
        <w:t>(</w:t>
      </w:r>
      <w:r w:rsidRPr="00815C4C">
        <w:rPr>
          <w:rFonts w:cs="Taher"/>
          <w:vertAlign w:val="superscript"/>
          <w:rtl/>
        </w:rPr>
        <w:footnoteReference w:id="1116"/>
      </w:r>
      <w:r w:rsidRPr="00815C4C">
        <w:rPr>
          <w:rFonts w:cs="Taher"/>
          <w:vertAlign w:val="superscript"/>
          <w:rtl/>
        </w:rPr>
        <w:t>)</w:t>
      </w:r>
      <w:r w:rsidRPr="00E14ED6">
        <w:rPr>
          <w:rFonts w:hint="cs"/>
          <w:rtl/>
        </w:rPr>
        <w:t>، فالمرأة لطيفة كالزهرة أو الريحانة، إن أهملت من قبل زرّاعها فلا يؤمن عليها ـ من نظر أو أيدي العابثين ـ من أن تقطف.</w:t>
      </w:r>
    </w:p>
    <w:p w:rsidR="00F52EBA" w:rsidRPr="00E14ED6" w:rsidRDefault="00F52EBA" w:rsidP="001D1319">
      <w:pPr>
        <w:pStyle w:val="ac"/>
        <w:spacing w:line="211" w:lineRule="auto"/>
        <w:rPr>
          <w:rtl/>
        </w:rPr>
      </w:pPr>
      <w:r w:rsidRPr="00E14ED6">
        <w:rPr>
          <w:rFonts w:hint="cs"/>
          <w:rtl/>
        </w:rPr>
        <w:lastRenderedPageBreak/>
        <w:t>وقد شبّه القرآن الكريم</w:t>
      </w:r>
      <w:r>
        <w:rPr>
          <w:rFonts w:hint="cs"/>
          <w:rtl/>
        </w:rPr>
        <w:t xml:space="preserve"> </w:t>
      </w:r>
      <w:r w:rsidRPr="00E14ED6">
        <w:rPr>
          <w:rFonts w:hint="cs"/>
          <w:rtl/>
        </w:rPr>
        <w:t xml:space="preserve">النساء النموذجيات في الجنة باللؤلؤ المكنون، فقال عزّ من قائل: </w:t>
      </w:r>
      <w:r w:rsidR="002F7681" w:rsidRPr="002F7681">
        <w:rPr>
          <w:rtl/>
        </w:rPr>
        <w:t>﴿</w:t>
      </w:r>
      <w:r w:rsidR="002F7681" w:rsidRPr="002F7681">
        <w:rPr>
          <w:b/>
          <w:bCs/>
          <w:rtl/>
        </w:rPr>
        <w:t>كَأَمْثَالِ اللُّؤْلُؤِ المَكْنُونِ</w:t>
      </w:r>
      <w:r w:rsidR="002F7681" w:rsidRPr="002F7681">
        <w:rPr>
          <w:rtl/>
        </w:rPr>
        <w:t>﴾</w:t>
      </w:r>
      <w:r w:rsidRPr="00815C4C">
        <w:rPr>
          <w:rFonts w:cs="Taher"/>
          <w:vertAlign w:val="superscript"/>
          <w:rtl/>
        </w:rPr>
        <w:t>(</w:t>
      </w:r>
      <w:r w:rsidRPr="00815C4C">
        <w:rPr>
          <w:rFonts w:cs="Taher"/>
          <w:vertAlign w:val="superscript"/>
          <w:rtl/>
        </w:rPr>
        <w:footnoteReference w:id="1117"/>
      </w:r>
      <w:r w:rsidRPr="00815C4C">
        <w:rPr>
          <w:rFonts w:cs="Taher"/>
          <w:vertAlign w:val="superscript"/>
          <w:rtl/>
        </w:rPr>
        <w:t>)</w:t>
      </w:r>
      <w:r w:rsidRPr="00E14ED6">
        <w:rPr>
          <w:rFonts w:hint="cs"/>
          <w:rtl/>
        </w:rPr>
        <w:t>، أو بالمجوهرات الأصيلة كالياقوت والمرجان؛ إذ يحتفظ بها الصاغة وبائعو المجوهرات داخل قماش مخصوص ليبعدوها عن متناول الأيدي العابثة، ولكي تمتاز عن المجوهرات الصناعية فيزيدها قدراً وقيمة.</w:t>
      </w:r>
    </w:p>
    <w:p w:rsidR="00F52EBA" w:rsidRDefault="00F52EBA" w:rsidP="001D1319">
      <w:pPr>
        <w:pStyle w:val="ac"/>
        <w:spacing w:line="211" w:lineRule="auto"/>
        <w:rPr>
          <w:rtl/>
        </w:rPr>
      </w:pPr>
      <w:r w:rsidRPr="00E14ED6">
        <w:rPr>
          <w:rFonts w:hint="cs"/>
          <w:rtl/>
        </w:rPr>
        <w:t>وقد قرّر قانون الخلقة الإلهي وجوب الستر ليصون هذه الجوهرة اللطيفة من عبث أيدي العابثين وأحاطها بستر ليحفظها مطمئنة.</w:t>
      </w:r>
    </w:p>
    <w:p w:rsidR="00B651E9" w:rsidRPr="001D1319" w:rsidRDefault="00B651E9" w:rsidP="001D1319">
      <w:pPr>
        <w:pStyle w:val="afffffc"/>
        <w:rPr>
          <w:rtl/>
        </w:rPr>
      </w:pPr>
    </w:p>
    <w:p w:rsidR="00F52EBA" w:rsidRPr="0017088F" w:rsidRDefault="00F52EBA" w:rsidP="001D1319">
      <w:pPr>
        <w:pStyle w:val="1"/>
        <w:spacing w:line="204" w:lineRule="auto"/>
        <w:rPr>
          <w:rtl/>
        </w:rPr>
      </w:pPr>
      <w:bookmarkStart w:id="687" w:name="_Toc169521525"/>
      <w:bookmarkStart w:id="688" w:name="_Toc275128314"/>
      <w:r w:rsidRPr="0017088F">
        <w:rPr>
          <w:rFonts w:hint="cs"/>
          <w:rtl/>
        </w:rPr>
        <w:t>ثمرات العفاف ونتائجه</w:t>
      </w:r>
      <w:bookmarkEnd w:id="687"/>
      <w:bookmarkEnd w:id="688"/>
    </w:p>
    <w:p w:rsidR="00F52EBA" w:rsidRPr="00B102A4" w:rsidRDefault="00F52EBA" w:rsidP="001D1319">
      <w:pPr>
        <w:pStyle w:val="2"/>
        <w:spacing w:line="204" w:lineRule="auto"/>
        <w:rPr>
          <w:rtl/>
        </w:rPr>
      </w:pPr>
      <w:r w:rsidRPr="00B102A4">
        <w:rPr>
          <w:rFonts w:hint="cs"/>
          <w:rtl/>
        </w:rPr>
        <w:t xml:space="preserve"> </w:t>
      </w:r>
      <w:bookmarkStart w:id="689" w:name="_Toc275128315"/>
      <w:r w:rsidRPr="00B102A4">
        <w:rPr>
          <w:rFonts w:hint="cs"/>
          <w:rtl/>
        </w:rPr>
        <w:t>1 ـ تماسك الأسرة وتلاحمها</w:t>
      </w:r>
      <w:bookmarkEnd w:id="689"/>
    </w:p>
    <w:p w:rsidR="00F52EBA" w:rsidRPr="00E14ED6" w:rsidRDefault="00F52EBA" w:rsidP="001D1319">
      <w:pPr>
        <w:pStyle w:val="ac"/>
        <w:rPr>
          <w:rtl/>
        </w:rPr>
      </w:pPr>
      <w:r w:rsidRPr="00E14ED6">
        <w:rPr>
          <w:rFonts w:hint="cs"/>
          <w:rtl/>
        </w:rPr>
        <w:t>الأسرة أصغر بناء اجتماعي في المجتمع وأهمّه، وهي مركز ثقل المحبة والأمل وتحقيق الأماني والآمال الحلوة الجميلة للبنين والبنات، وكلما كان ارتباط الزوجين أقوى وأعمق كان انسجام الأسرة وتماسكها أقوى وأحكم.</w:t>
      </w:r>
    </w:p>
    <w:p w:rsidR="00F52EBA" w:rsidRPr="00E14ED6" w:rsidRDefault="00F52EBA" w:rsidP="001D1319">
      <w:pPr>
        <w:pStyle w:val="ac"/>
        <w:rPr>
          <w:rtl/>
        </w:rPr>
      </w:pPr>
      <w:r w:rsidRPr="00E14ED6">
        <w:rPr>
          <w:rFonts w:hint="cs"/>
          <w:rtl/>
        </w:rPr>
        <w:t>بإشاعة العّفة والحجاب في المجتمع تنحصر الروابط والعلاقات الجنسية في إطار الأسرة وحدودها، وعندها تراعى حرمة كلّ من المرأة والرجل، سيما خارج المنـزل، وبالتالي سيرغب الشباب في تشكيل الأسرة وبنائها، وستكون هذه الأسر أحكم بناء وأكثر ثباتاً.</w:t>
      </w:r>
    </w:p>
    <w:p w:rsidR="00F52EBA" w:rsidRPr="00E14ED6" w:rsidRDefault="00F52EBA" w:rsidP="001D1319">
      <w:pPr>
        <w:pStyle w:val="ac"/>
        <w:rPr>
          <w:rtl/>
        </w:rPr>
      </w:pPr>
      <w:r w:rsidRPr="00E14ED6">
        <w:rPr>
          <w:rFonts w:hint="cs"/>
          <w:rtl/>
        </w:rPr>
        <w:t>وأمّا إذا ساد التبرّج وكشف محاسن المرأة وزينتها في المجتمع، فسوف تضعف وتتفكّك العلاقات الزوجية بين المرأة والرجل، وتأخذ الحريات السلبية طريقها بازدياد، وتتزايد الأفكار المنحرفة شيوعاً وضراوة، وبالتالي ستؤول العلاقات الاُسرية الحميمة إلى البرود والجمود، وتحلّ النفرة والبغضاء مكان المحبّة والمودّة، وعندها يتهاوى ويتداعى أول وأهم مركز للتربية وغرس المحبة والعاطفة والاستقامة في الأطفال، وبالتالي ستزداد نسب الطلاق والفواحش.</w:t>
      </w:r>
    </w:p>
    <w:p w:rsidR="00F52EBA" w:rsidRPr="00E14ED6" w:rsidRDefault="00F52EBA" w:rsidP="00B651E9">
      <w:pPr>
        <w:pStyle w:val="ac"/>
        <w:rPr>
          <w:rtl/>
        </w:rPr>
      </w:pPr>
      <w:r w:rsidRPr="00E14ED6">
        <w:rPr>
          <w:rFonts w:hint="cs"/>
          <w:rtl/>
        </w:rPr>
        <w:lastRenderedPageBreak/>
        <w:t>لاشك أنّ بناء الأسرة سيزداد تماسكاً وازدهاراً وتسامياً نتيجة الدفاع عن حرمة الحجاب والعفاف، كالمصباح يضيء عندما تكون أجزاؤه سالمة، وبعكس ذلك سيؤول الوضع إلى الظلام وقد يتسبب من جرّاء ذلك الحريق أيضاً.</w:t>
      </w:r>
    </w:p>
    <w:p w:rsidR="00F52EBA" w:rsidRDefault="00F52EBA" w:rsidP="001D1319">
      <w:pPr>
        <w:pStyle w:val="ac"/>
        <w:rPr>
          <w:rtl/>
        </w:rPr>
      </w:pPr>
      <w:r w:rsidRPr="00E14ED6">
        <w:rPr>
          <w:rFonts w:hint="cs"/>
          <w:rtl/>
        </w:rPr>
        <w:t>ومثل المرأة والرجل في الأسرة كسلكي كهرباء، سالب وموجب. إن تعاونا فيما بينهما ونسقا أمرهما أضاءا مصباح الأسرة، فيجب أن يجعلا العفاف والثقة المتبادلة ركناً أساسياً في هذا الاقتران، وإلاّ فسيتضاءل نور هذا المصباح ويلتهب بنار الشهوة والأهواء، ويستحيل إلى دخان ورماد.</w:t>
      </w:r>
    </w:p>
    <w:p w:rsidR="00B651E9" w:rsidRPr="001D1319" w:rsidRDefault="00B651E9" w:rsidP="001D1319">
      <w:pPr>
        <w:pStyle w:val="afffffc"/>
        <w:rPr>
          <w:sz w:val="20"/>
          <w:szCs w:val="18"/>
          <w:rtl/>
        </w:rPr>
      </w:pPr>
    </w:p>
    <w:p w:rsidR="00F52EBA" w:rsidRPr="00B102A4" w:rsidRDefault="00F52EBA" w:rsidP="001D1319">
      <w:pPr>
        <w:pStyle w:val="2"/>
        <w:rPr>
          <w:rtl/>
        </w:rPr>
      </w:pPr>
      <w:bookmarkStart w:id="690" w:name="_Toc275128316"/>
      <w:r w:rsidRPr="00B102A4">
        <w:rPr>
          <w:rFonts w:hint="cs"/>
          <w:rtl/>
        </w:rPr>
        <w:t>2 ـ السكينة الروحية</w:t>
      </w:r>
      <w:bookmarkEnd w:id="690"/>
    </w:p>
    <w:p w:rsidR="00F52EBA" w:rsidRPr="00E14ED6" w:rsidRDefault="00F52EBA" w:rsidP="001D1319">
      <w:pPr>
        <w:pStyle w:val="ac"/>
        <w:rPr>
          <w:rtl/>
        </w:rPr>
      </w:pPr>
      <w:r w:rsidRPr="00E14ED6">
        <w:rPr>
          <w:rFonts w:hint="cs"/>
          <w:rtl/>
        </w:rPr>
        <w:t>إنّ الحجاب حصن يحول غالباً دون ثورة الجنس وهيجانه، وعدم استقرار الروح، وانعدام الحدود وذوبان الحرمات بين المرأة والرجل، وإشاعة العلاقات المنحرفة الخاوية وترويجها، وتزايد الميوعة والتحلّل الأخلاقي.</w:t>
      </w:r>
    </w:p>
    <w:p w:rsidR="00F52EBA" w:rsidRPr="000D7D74" w:rsidRDefault="00F52EBA" w:rsidP="001D1319">
      <w:pPr>
        <w:pStyle w:val="ac"/>
        <w:rPr>
          <w:spacing w:val="-4"/>
          <w:rtl/>
        </w:rPr>
      </w:pPr>
      <w:r w:rsidRPr="000D7D74">
        <w:rPr>
          <w:rFonts w:hint="cs"/>
          <w:spacing w:val="-4"/>
          <w:rtl/>
        </w:rPr>
        <w:t>وبدون الحجاب تتحوّل الجاذبة الجنسية وطلب الشهوة إلى عطش روحي لا يمكن إشباعه، وبما أنّ إشباع الغريزة في جميع الموارد غير ممكن، ويقترن دائماً بالشعور بنوع من الحرمان، لذا سيسبب اختلالات روحية وتزلزلاً عاطفياً في أعماق الفرد.</w:t>
      </w:r>
    </w:p>
    <w:p w:rsidR="00F52EBA" w:rsidRDefault="00F52EBA" w:rsidP="001D1319">
      <w:pPr>
        <w:pStyle w:val="ac"/>
        <w:rPr>
          <w:rtl/>
        </w:rPr>
      </w:pPr>
      <w:r w:rsidRPr="00E14ED6">
        <w:rPr>
          <w:rFonts w:hint="cs"/>
          <w:rtl/>
        </w:rPr>
        <w:t>وقد حرص الإسلام على توجيه هذه الثورات العاطفية والهيجانات الجنسية وتحديدها عن طريق غض البصر، وعدم الخضوع بالقول، وفرض الحجاب، ورعاية العفاف، وبهذا أهدى للفرد استقراره الروحي وهدوءه النفسي.</w:t>
      </w:r>
    </w:p>
    <w:p w:rsidR="00B651E9" w:rsidRPr="001D1319" w:rsidRDefault="00B651E9" w:rsidP="001D1319">
      <w:pPr>
        <w:pStyle w:val="afffffc"/>
        <w:rPr>
          <w:sz w:val="24"/>
          <w:szCs w:val="22"/>
          <w:rtl/>
        </w:rPr>
      </w:pPr>
    </w:p>
    <w:p w:rsidR="00F52EBA" w:rsidRPr="00B102A4" w:rsidRDefault="00F52EBA" w:rsidP="001D1319">
      <w:pPr>
        <w:pStyle w:val="2"/>
        <w:rPr>
          <w:rtl/>
        </w:rPr>
      </w:pPr>
      <w:bookmarkStart w:id="691" w:name="_Toc275128317"/>
      <w:r w:rsidRPr="00B102A4">
        <w:rPr>
          <w:rFonts w:hint="cs"/>
          <w:rtl/>
        </w:rPr>
        <w:t>3 ـ سلامة المجتمع</w:t>
      </w:r>
      <w:bookmarkEnd w:id="691"/>
    </w:p>
    <w:p w:rsidR="00F52EBA" w:rsidRPr="00E14ED6" w:rsidRDefault="00F52EBA" w:rsidP="001D1319">
      <w:pPr>
        <w:pStyle w:val="ac"/>
        <w:rPr>
          <w:rtl/>
        </w:rPr>
      </w:pPr>
      <w:r w:rsidRPr="00E14ED6">
        <w:rPr>
          <w:rFonts w:hint="cs"/>
          <w:rtl/>
        </w:rPr>
        <w:t>إنّ تواجد النساء والرجال النافع في المجتمع ـ دون إثارة جنسية ـ يجعله محكم البناء راسخ الأسس، وإنّ مراعاة العفّة في محيط الدراسة والعمل والإدارة والسوق و... يوفر الأرضية المناسبة لسلامة المجتمع وتقدّمه ورقيّه، أمّا إذا لم يرع العفاف ولم تحفظ الحرمات وشاع الفساد في المجتمع فقد توفرت دواعي سقوطه وفنائه.</w:t>
      </w:r>
    </w:p>
    <w:p w:rsidR="00F52EBA" w:rsidRPr="00E14ED6" w:rsidRDefault="00F52EBA" w:rsidP="00F52EBA">
      <w:pPr>
        <w:pStyle w:val="ac"/>
        <w:rPr>
          <w:rtl/>
        </w:rPr>
      </w:pPr>
      <w:r w:rsidRPr="00E14ED6">
        <w:rPr>
          <w:rFonts w:hint="cs"/>
          <w:rtl/>
        </w:rPr>
        <w:t xml:space="preserve">يقول منتسكيو في هذا المجال: </w:t>
      </w:r>
      <w:r w:rsidRPr="00617008">
        <w:rPr>
          <w:rFonts w:hint="cs"/>
          <w:rtl/>
        </w:rPr>
        <w:t>«</w:t>
      </w:r>
      <w:r w:rsidRPr="00E14ED6">
        <w:rPr>
          <w:rFonts w:hint="cs"/>
          <w:rtl/>
        </w:rPr>
        <w:t xml:space="preserve">انتفاء العّفة في الحركة الديمقراطية يسبب أعظم </w:t>
      </w:r>
      <w:r w:rsidRPr="00E14ED6">
        <w:rPr>
          <w:rFonts w:hint="cs"/>
          <w:rtl/>
        </w:rPr>
        <w:lastRenderedPageBreak/>
        <w:t>المصائب والمفاسد بحيث ينهدم أساس الحكومة</w:t>
      </w:r>
      <w:r w:rsidRPr="00617008">
        <w:rPr>
          <w:rFonts w:hint="cs"/>
          <w:rtl/>
        </w:rPr>
        <w:t>»</w:t>
      </w:r>
      <w:r w:rsidRPr="00815C4C">
        <w:rPr>
          <w:rFonts w:cs="Taher"/>
          <w:vertAlign w:val="superscript"/>
          <w:rtl/>
        </w:rPr>
        <w:t>(</w:t>
      </w:r>
      <w:r w:rsidRPr="00815C4C">
        <w:rPr>
          <w:rFonts w:cs="Taher"/>
          <w:vertAlign w:val="superscript"/>
          <w:rtl/>
        </w:rPr>
        <w:footnoteReference w:id="1118"/>
      </w:r>
      <w:r w:rsidRPr="00815C4C">
        <w:rPr>
          <w:rFonts w:cs="Taher"/>
          <w:vertAlign w:val="superscript"/>
          <w:rtl/>
        </w:rPr>
        <w:t>)</w:t>
      </w:r>
      <w:r w:rsidRPr="00E14ED6">
        <w:rPr>
          <w:rFonts w:hint="cs"/>
          <w:rtl/>
        </w:rPr>
        <w:t>.</w:t>
      </w:r>
    </w:p>
    <w:p w:rsidR="00F52EBA" w:rsidRPr="00E14ED6" w:rsidRDefault="00F52EBA" w:rsidP="001D1319">
      <w:pPr>
        <w:pStyle w:val="ac"/>
        <w:spacing w:line="199" w:lineRule="auto"/>
        <w:rPr>
          <w:rtl/>
        </w:rPr>
      </w:pPr>
      <w:r w:rsidRPr="00E14ED6">
        <w:rPr>
          <w:rFonts w:hint="cs"/>
          <w:rtl/>
        </w:rPr>
        <w:t xml:space="preserve">وقد أثبت التاريخ البشري سواء في المجتمع الإسلامي أو في المجتمعات اللاإسلامية هذا الأمر بوضوح، فقد اعترف المارشال </w:t>
      </w:r>
      <w:r>
        <w:rPr>
          <w:rFonts w:cs="DanaFajr" w:hint="cs"/>
          <w:rtl/>
        </w:rPr>
        <w:t>پ</w:t>
      </w:r>
      <w:r w:rsidRPr="00E14ED6">
        <w:rPr>
          <w:rFonts w:hint="cs"/>
          <w:rtl/>
        </w:rPr>
        <w:t xml:space="preserve">تن القائد العسكري الفرنسي في خطابه قائلاً: </w:t>
      </w:r>
      <w:r w:rsidRPr="00617008">
        <w:rPr>
          <w:rFonts w:hint="cs"/>
          <w:rtl/>
        </w:rPr>
        <w:t>«</w:t>
      </w:r>
      <w:r w:rsidRPr="00E14ED6">
        <w:rPr>
          <w:rFonts w:hint="cs"/>
          <w:rtl/>
        </w:rPr>
        <w:t>من أهم أسباب اندحار فرنسا في الحرب أمام ألمانيا الغرق في دوامة الشهوات والابتلاء بالكسل والإباحية</w:t>
      </w:r>
      <w:r w:rsidRPr="00617008">
        <w:rPr>
          <w:rFonts w:hint="cs"/>
          <w:rtl/>
        </w:rPr>
        <w:t>»</w:t>
      </w:r>
      <w:r w:rsidRPr="00815C4C">
        <w:rPr>
          <w:rFonts w:cs="Taher"/>
          <w:vertAlign w:val="superscript"/>
          <w:rtl/>
        </w:rPr>
        <w:t>(</w:t>
      </w:r>
      <w:r w:rsidRPr="00815C4C">
        <w:rPr>
          <w:rFonts w:cs="Taher"/>
          <w:vertAlign w:val="superscript"/>
          <w:rtl/>
        </w:rPr>
        <w:footnoteReference w:id="1119"/>
      </w:r>
      <w:r w:rsidRPr="00815C4C">
        <w:rPr>
          <w:rFonts w:cs="Taher"/>
          <w:vertAlign w:val="superscript"/>
          <w:rtl/>
        </w:rPr>
        <w:t>)</w:t>
      </w:r>
      <w:r w:rsidRPr="00E14ED6">
        <w:rPr>
          <w:rFonts w:hint="cs"/>
          <w:rtl/>
        </w:rPr>
        <w:t>.</w:t>
      </w:r>
    </w:p>
    <w:p w:rsidR="00F52EBA" w:rsidRPr="00E14ED6" w:rsidRDefault="00F52EBA" w:rsidP="001D1319">
      <w:pPr>
        <w:pStyle w:val="ac"/>
        <w:spacing w:line="199" w:lineRule="auto"/>
        <w:rPr>
          <w:rtl/>
        </w:rPr>
      </w:pPr>
      <w:r w:rsidRPr="00E14ED6">
        <w:rPr>
          <w:rFonts w:hint="cs"/>
          <w:rtl/>
        </w:rPr>
        <w:t xml:space="preserve">وأشار إلى ذلك الدكتور غوستاف لوبون العالم الفرنسي الشهير حول هزيمة المسلمين في الأندلس، قائلاً: </w:t>
      </w:r>
      <w:r w:rsidRPr="00617008">
        <w:rPr>
          <w:rFonts w:hint="cs"/>
          <w:rtl/>
        </w:rPr>
        <w:t>«</w:t>
      </w:r>
      <w:r w:rsidRPr="00E14ED6">
        <w:rPr>
          <w:rFonts w:hint="cs"/>
          <w:rtl/>
        </w:rPr>
        <w:t>حكم المسلمون في إسبانيا حوالي 800 عام، فكانت طوال هذه الفترة مهداً للعلم والمدنية، إلى أن قام الأعداء بنشر الفساد وترويج المشروبات الكحولية وإشاعة الإباحية، وعندها انتصروا على الدولة الإسلامية، وأجبروا المسلمين ـ بالقوة ـ على اعتناق الدين المسيحي، ثم أقاموا محاكم تفتيش العقائد، وأمروا بحرق معتنقي الدين المسيحي الجدد بحجّة أنهم لم يعتنقوا الدين المسيحي حقيقةً، وأجبروا الباقين على الهجرة من تلك البلاد</w:t>
      </w:r>
      <w:r w:rsidRPr="00617008">
        <w:rPr>
          <w:rFonts w:hint="cs"/>
          <w:rtl/>
        </w:rPr>
        <w:t>»</w:t>
      </w:r>
      <w:r w:rsidRPr="00815C4C">
        <w:rPr>
          <w:rFonts w:cs="Taher"/>
          <w:vertAlign w:val="superscript"/>
          <w:rtl/>
        </w:rPr>
        <w:t>(</w:t>
      </w:r>
      <w:r w:rsidRPr="00815C4C">
        <w:rPr>
          <w:rFonts w:cs="Taher"/>
          <w:vertAlign w:val="superscript"/>
          <w:rtl/>
        </w:rPr>
        <w:footnoteReference w:id="1120"/>
      </w:r>
      <w:r w:rsidRPr="00815C4C">
        <w:rPr>
          <w:rFonts w:cs="Taher"/>
          <w:vertAlign w:val="superscript"/>
          <w:rtl/>
        </w:rPr>
        <w:t>)</w:t>
      </w:r>
      <w:r w:rsidRPr="00E14ED6">
        <w:rPr>
          <w:rFonts w:hint="cs"/>
          <w:rtl/>
        </w:rPr>
        <w:t>.</w:t>
      </w:r>
    </w:p>
    <w:p w:rsidR="00F52EBA" w:rsidRDefault="00F52EBA" w:rsidP="001D1319">
      <w:pPr>
        <w:pStyle w:val="ac"/>
        <w:spacing w:line="199" w:lineRule="auto"/>
        <w:rPr>
          <w:rtl/>
        </w:rPr>
      </w:pPr>
      <w:r w:rsidRPr="00E14ED6">
        <w:rPr>
          <w:rFonts w:hint="cs"/>
          <w:rtl/>
        </w:rPr>
        <w:t xml:space="preserve">وينقل لنا القرآن الكريم ما جرى على كثير من الاُمم التي فسدت فهلكت، ففي سورة العنكبوت يذكر لنا هلاك قوم لوط وقوم عاد وقوم ثمود وفرعون وهامان وقارون، فقال عز من قائل: </w:t>
      </w:r>
      <w:r w:rsidR="002F7681">
        <w:rPr>
          <w:rFonts w:ascii="Mosawi" w:hAnsi="Mosawi"/>
          <w:rtl/>
        </w:rPr>
        <w:t>﴿</w:t>
      </w:r>
      <w:r w:rsidR="002F7681" w:rsidRPr="002F7681">
        <w:rPr>
          <w:b/>
          <w:bCs/>
          <w:rtl/>
        </w:rPr>
        <w:t>فَكُلَّاً أَخَذْنَا بِذَنبِهِ فَمِنْهُم مَّنْ أَرْسَلْنَا عَلَيْهِ حَاصِبًا وَمِنْهُم مَّنْ أَخَذَتْهُ الصَّيْحَةُ وَمِنْهُم مَّنْ خَسَفْنَا بِهِ الأَرْضَ وَمِنْهُم مَّنْ أَغْرَقْنَا وَمَا كَانَ اللهُ لِيَظْلِمَهُمْ وَلَكِن كَانُوا أَنفُسَهُمْ يَظْلِمُونَ</w:t>
      </w:r>
      <w:r w:rsidR="002F7681">
        <w:rPr>
          <w:rFonts w:ascii="Mosawi" w:hAnsi="Mosawi"/>
          <w:rtl/>
        </w:rPr>
        <w:t>﴾</w:t>
      </w:r>
      <w:r w:rsidRPr="00815C4C">
        <w:rPr>
          <w:rFonts w:cs="Taher"/>
          <w:vertAlign w:val="superscript"/>
          <w:rtl/>
        </w:rPr>
        <w:t>(</w:t>
      </w:r>
      <w:r w:rsidRPr="00815C4C">
        <w:rPr>
          <w:rFonts w:cs="Taher"/>
          <w:vertAlign w:val="superscript"/>
          <w:rtl/>
        </w:rPr>
        <w:footnoteReference w:id="1121"/>
      </w:r>
      <w:r w:rsidRPr="00815C4C">
        <w:rPr>
          <w:rFonts w:cs="Taher"/>
          <w:vertAlign w:val="superscript"/>
          <w:rtl/>
        </w:rPr>
        <w:t>)</w:t>
      </w:r>
      <w:r w:rsidRPr="00E14ED6">
        <w:rPr>
          <w:rFonts w:hint="cs"/>
          <w:rtl/>
        </w:rPr>
        <w:t>. هذه هي نتيجة المجتمعات المنحرفة الغارقة في دوّامة الفساد.</w:t>
      </w:r>
    </w:p>
    <w:p w:rsidR="00B651E9" w:rsidRPr="001D1319" w:rsidRDefault="00B651E9" w:rsidP="001D1319">
      <w:pPr>
        <w:pStyle w:val="afffffc"/>
        <w:rPr>
          <w:sz w:val="18"/>
          <w:szCs w:val="16"/>
          <w:rtl/>
        </w:rPr>
      </w:pPr>
    </w:p>
    <w:p w:rsidR="00F52EBA" w:rsidRPr="00B102A4" w:rsidRDefault="00F52EBA" w:rsidP="001D1319">
      <w:pPr>
        <w:pStyle w:val="2"/>
        <w:rPr>
          <w:rtl/>
        </w:rPr>
      </w:pPr>
      <w:bookmarkStart w:id="692" w:name="_Toc275128318"/>
      <w:r w:rsidRPr="00B102A4">
        <w:rPr>
          <w:rFonts w:hint="cs"/>
          <w:rtl/>
        </w:rPr>
        <w:t>4 ـ حفظ الجمال والنضارة</w:t>
      </w:r>
      <w:bookmarkEnd w:id="692"/>
    </w:p>
    <w:p w:rsidR="00F52EBA" w:rsidRPr="00E14ED6" w:rsidRDefault="00F52EBA" w:rsidP="00350F90">
      <w:pPr>
        <w:pStyle w:val="ac"/>
        <w:rPr>
          <w:rtl/>
        </w:rPr>
      </w:pPr>
      <w:r w:rsidRPr="00E14ED6">
        <w:rPr>
          <w:rFonts w:hint="cs"/>
          <w:rtl/>
        </w:rPr>
        <w:t xml:space="preserve">نظراً للهدوء الروحي الذي تحظى به المرأة عند مراعاتها العفّة والحجاب فسيكون </w:t>
      </w:r>
      <w:r w:rsidRPr="00E14ED6">
        <w:rPr>
          <w:rFonts w:hint="cs"/>
          <w:rtl/>
        </w:rPr>
        <w:lastRenderedPageBreak/>
        <w:t>جمالها أكثر بهاء وطراوتها أكثر بقاء، يقول الإمام</w:t>
      </w:r>
      <w:r>
        <w:rPr>
          <w:rFonts w:hint="cs"/>
          <w:rtl/>
        </w:rPr>
        <w:t xml:space="preserve"> </w:t>
      </w:r>
      <w:r w:rsidRPr="00E14ED6">
        <w:rPr>
          <w:rFonts w:hint="cs"/>
          <w:rtl/>
        </w:rPr>
        <w:t>الصادق</w:t>
      </w:r>
      <w:r w:rsidR="00350F90">
        <w:rPr>
          <w:rFonts w:hint="cs"/>
          <w:rtl/>
        </w:rPr>
        <w:t>×</w:t>
      </w:r>
      <w:r w:rsidRPr="00E14ED6">
        <w:rPr>
          <w:rFonts w:hint="cs"/>
          <w:rtl/>
        </w:rPr>
        <w:t xml:space="preserve">: </w:t>
      </w:r>
      <w:r w:rsidRPr="00617008">
        <w:rPr>
          <w:rFonts w:hint="cs"/>
          <w:rtl/>
        </w:rPr>
        <w:t>«</w:t>
      </w:r>
      <w:r w:rsidRPr="00E14ED6">
        <w:rPr>
          <w:rFonts w:hint="cs"/>
          <w:rtl/>
        </w:rPr>
        <w:t>حجاب المرأة أنعم لحالها وجمالها</w:t>
      </w:r>
      <w:r w:rsidRPr="00617008">
        <w:rPr>
          <w:rFonts w:hint="cs"/>
          <w:rtl/>
        </w:rPr>
        <w:t>»</w:t>
      </w:r>
      <w:r w:rsidRPr="00815C4C">
        <w:rPr>
          <w:rFonts w:cs="Taher"/>
          <w:vertAlign w:val="superscript"/>
          <w:rtl/>
        </w:rPr>
        <w:t>(</w:t>
      </w:r>
      <w:r w:rsidRPr="00815C4C">
        <w:rPr>
          <w:rFonts w:cs="Taher"/>
          <w:vertAlign w:val="superscript"/>
          <w:rtl/>
        </w:rPr>
        <w:footnoteReference w:id="1122"/>
      </w:r>
      <w:r w:rsidRPr="00815C4C">
        <w:rPr>
          <w:rFonts w:cs="Taher"/>
          <w:vertAlign w:val="superscript"/>
          <w:rtl/>
        </w:rPr>
        <w:t>)</w:t>
      </w:r>
      <w:r w:rsidRPr="00E14ED6">
        <w:rPr>
          <w:rFonts w:hint="cs"/>
          <w:rtl/>
        </w:rPr>
        <w:t>.</w:t>
      </w:r>
    </w:p>
    <w:p w:rsidR="00F52EBA" w:rsidRDefault="00F52EBA" w:rsidP="00F52EBA">
      <w:pPr>
        <w:pStyle w:val="ac"/>
        <w:rPr>
          <w:rtl/>
        </w:rPr>
      </w:pPr>
      <w:r w:rsidRPr="00E14ED6">
        <w:rPr>
          <w:rFonts w:hint="cs"/>
          <w:rtl/>
        </w:rPr>
        <w:t>أمّا استعمال مواد التجميل والماكياج الحديثة، فنظراً لعدم الاطلاع على نوع وكيفية ومواد صنعها، ففي كثير من الموارد تضرّ بصحة الجلد والشعر وسائر الأعضاء، وتسبب مشاكل عديدة للنساء.</w:t>
      </w:r>
    </w:p>
    <w:p w:rsidR="00B651E9" w:rsidRPr="001D1319" w:rsidRDefault="00B651E9" w:rsidP="001D1319">
      <w:pPr>
        <w:pStyle w:val="afffffc"/>
        <w:rPr>
          <w:sz w:val="20"/>
          <w:szCs w:val="18"/>
          <w:rtl/>
        </w:rPr>
      </w:pPr>
    </w:p>
    <w:p w:rsidR="00F52EBA" w:rsidRPr="00B102A4" w:rsidRDefault="00F52EBA" w:rsidP="001D1319">
      <w:pPr>
        <w:pStyle w:val="2"/>
        <w:rPr>
          <w:rtl/>
        </w:rPr>
      </w:pPr>
      <w:bookmarkStart w:id="693" w:name="_Toc275128319"/>
      <w:r w:rsidRPr="00B102A4">
        <w:rPr>
          <w:rFonts w:hint="cs"/>
          <w:rtl/>
        </w:rPr>
        <w:t>5 ـ تركيز الحواس</w:t>
      </w:r>
      <w:bookmarkEnd w:id="693"/>
    </w:p>
    <w:p w:rsidR="00F52EBA" w:rsidRDefault="00F52EBA" w:rsidP="00F52EBA">
      <w:pPr>
        <w:pStyle w:val="ac"/>
        <w:rPr>
          <w:rtl/>
        </w:rPr>
      </w:pPr>
      <w:r w:rsidRPr="00E14ED6">
        <w:rPr>
          <w:rFonts w:hint="cs"/>
          <w:rtl/>
        </w:rPr>
        <w:t>إنّ رعاية العّفة والحجاب يوجّه امتيازات المرأة من الزينة والجمال الظاهريين إلى وجهة صحيحة، ويقلّل من انحراف الفكر والذهن المتأثّر بوسوسة الشيطان، وبالتالي تتجه الحواس والفكر معاً إلى قيمها الحقيقة في طلب الكمال، ويتّخذ الفرد طريقه ـ بحرية ـ إلى نيل العلم والفنّ والأدب والأخلاق، فتزدهر الاستعدادات والإبداعات، ويتاح المجال له كي يفكّر بشكل صحيح ويخطّط لمصيره ومصير أسرته ومجتمعه، وبالتالي، فالمجتمع الذي يعيش أفراده بهذا النمط من الحياة سيتسلق سلم المدنية والرقي بسرعة.</w:t>
      </w:r>
    </w:p>
    <w:p w:rsidR="00B651E9" w:rsidRPr="001D1319" w:rsidRDefault="00B651E9" w:rsidP="001D1319">
      <w:pPr>
        <w:pStyle w:val="afffffc"/>
        <w:rPr>
          <w:sz w:val="20"/>
          <w:szCs w:val="18"/>
          <w:rtl/>
        </w:rPr>
      </w:pPr>
    </w:p>
    <w:p w:rsidR="00F52EBA" w:rsidRPr="00B102A4" w:rsidRDefault="00F52EBA" w:rsidP="001D1319">
      <w:pPr>
        <w:pStyle w:val="2"/>
        <w:rPr>
          <w:rtl/>
        </w:rPr>
      </w:pPr>
      <w:bookmarkStart w:id="694" w:name="_Toc275128320"/>
      <w:r w:rsidRPr="00B102A4">
        <w:rPr>
          <w:rFonts w:hint="cs"/>
          <w:rtl/>
        </w:rPr>
        <w:t>6 ـ الصحة والسلامة البدنية</w:t>
      </w:r>
      <w:bookmarkEnd w:id="694"/>
    </w:p>
    <w:p w:rsidR="00F52EBA" w:rsidRPr="00E14ED6" w:rsidRDefault="00F52EBA" w:rsidP="00F52EBA">
      <w:pPr>
        <w:pStyle w:val="ac"/>
        <w:rPr>
          <w:rtl/>
        </w:rPr>
      </w:pPr>
      <w:r w:rsidRPr="00E14ED6">
        <w:rPr>
          <w:rFonts w:hint="cs"/>
          <w:rtl/>
        </w:rPr>
        <w:t>إنّ العفاف لينفي أرضية الفساد والانحراف اللذين يوجدان ويسببان نمو وانتشار الكثير من الأمراض والأخطار الجسمية، وبالتالي يؤدّي ـ العفاف ـ دوره في سلامة أفراد المجتمع الجسمية.</w:t>
      </w:r>
    </w:p>
    <w:p w:rsidR="00F52EBA" w:rsidRPr="00E14ED6" w:rsidRDefault="00F52EBA" w:rsidP="00F52EBA">
      <w:pPr>
        <w:pStyle w:val="ac"/>
        <w:rPr>
          <w:rtl/>
        </w:rPr>
      </w:pPr>
      <w:r w:rsidRPr="00E14ED6">
        <w:rPr>
          <w:rFonts w:hint="cs"/>
          <w:rtl/>
        </w:rPr>
        <w:t>وبعكسه الانحرافات الجنسية، فهي تسبّب استفحال الكثير</w:t>
      </w:r>
      <w:r>
        <w:rPr>
          <w:rFonts w:hint="cs"/>
          <w:rtl/>
        </w:rPr>
        <w:t xml:space="preserve"> </w:t>
      </w:r>
      <w:r w:rsidRPr="00E14ED6">
        <w:rPr>
          <w:rFonts w:hint="cs"/>
          <w:rtl/>
        </w:rPr>
        <w:t>من الأمراض الجلدية والتناسلية كالسفلس والإيدز و... فقد اكتشف مرض الإيدز ـ لأول مرة ـ عام 1981م عند ممارسي اللواط، وأُعلن بعد 13 عاماً أنّه أصبح مرضاً شائعاً في جميع نقاط العالم، وفي تزايد وانتشار مستمرين لحظة بعد لحظة.</w:t>
      </w:r>
    </w:p>
    <w:p w:rsidR="00F52EBA" w:rsidRPr="00E14ED6" w:rsidRDefault="00F52EBA" w:rsidP="00F52EBA">
      <w:pPr>
        <w:pStyle w:val="ac"/>
        <w:rPr>
          <w:rtl/>
        </w:rPr>
      </w:pPr>
      <w:r w:rsidRPr="00E14ED6">
        <w:rPr>
          <w:rFonts w:hint="cs"/>
          <w:rtl/>
        </w:rPr>
        <w:lastRenderedPageBreak/>
        <w:t>وقد نشرت منظمة الصحّة العالمية في كانون الأول عام 2000م تقريراً، ذكرت فيه: أنّ هناك 36.1 مليون امرأة ورجل وطفل يحملون فيروس الإيدز، ومنذ نهاية عام 2000م ولحدّ الآن توفي حوالي 21.8 مليون شخص إثر إصابتهم بهذا المرض</w:t>
      </w:r>
      <w:r w:rsidRPr="00815C4C">
        <w:rPr>
          <w:rFonts w:cs="Taher"/>
          <w:vertAlign w:val="superscript"/>
          <w:rtl/>
        </w:rPr>
        <w:t>(</w:t>
      </w:r>
      <w:r w:rsidRPr="00815C4C">
        <w:rPr>
          <w:rFonts w:cs="Taher"/>
          <w:vertAlign w:val="superscript"/>
          <w:rtl/>
        </w:rPr>
        <w:footnoteReference w:id="1123"/>
      </w:r>
      <w:r w:rsidRPr="00815C4C">
        <w:rPr>
          <w:rFonts w:cs="Taher"/>
          <w:vertAlign w:val="superscript"/>
          <w:rtl/>
        </w:rPr>
        <w:t>)</w:t>
      </w:r>
      <w:r w:rsidRPr="00E14ED6">
        <w:rPr>
          <w:rFonts w:hint="cs"/>
          <w:rtl/>
        </w:rPr>
        <w:t>.</w:t>
      </w:r>
    </w:p>
    <w:p w:rsidR="00F52EBA" w:rsidRPr="00E14ED6" w:rsidRDefault="00F52EBA" w:rsidP="00F52EBA">
      <w:pPr>
        <w:pStyle w:val="ac"/>
        <w:rPr>
          <w:rtl/>
        </w:rPr>
      </w:pPr>
      <w:r w:rsidRPr="00E14ED6">
        <w:rPr>
          <w:rFonts w:hint="cs"/>
          <w:rtl/>
        </w:rPr>
        <w:t>ومن أهم طرق انتقال هذا المرض العلاقات الجنسية اللامشروعة، وأفضل طريق للحدّ من هذا المرض وتقليله والوقاية منه هو مراعاة العلاقات الجنسية ورعاية أحكام وتعاليم الإسلام.</w:t>
      </w:r>
    </w:p>
    <w:p w:rsidR="00B651E9" w:rsidRDefault="00F52EBA" w:rsidP="00885E99">
      <w:pPr>
        <w:pStyle w:val="ac"/>
        <w:rPr>
          <w:rFonts w:cs="Times New Roman"/>
          <w:rtl/>
        </w:rPr>
      </w:pPr>
      <w:r w:rsidRPr="00E14ED6">
        <w:rPr>
          <w:rFonts w:hint="cs"/>
          <w:rtl/>
        </w:rPr>
        <w:t xml:space="preserve">والملفت للنظر والباعث على التفاؤل ما حدث في المؤتمر الدولي للطب في طهران، وقد شارك فيه ما يقرب من 200 متخصّص من 60 دولة، إذ سأل أحد الحاضرين قائلاً: ماذا يجب علينا أن نفعل للوقاية من الأمراض التناسلية الجنسية؟ فأجابته الدكتورة </w:t>
      </w:r>
      <w:r w:rsidR="00885E99" w:rsidRPr="00885E99">
        <w:rPr>
          <w:rFonts w:hint="eastAsia"/>
          <w:rtl/>
        </w:rPr>
        <w:t>«</w:t>
      </w:r>
      <w:r w:rsidRPr="0017088F">
        <w:rPr>
          <w:rFonts w:cs="Traditional Arabic"/>
          <w:szCs w:val="24"/>
        </w:rPr>
        <w:t>M.O.D-UNCAN</w:t>
      </w:r>
      <w:r w:rsidR="00885E99" w:rsidRPr="00885E99">
        <w:rPr>
          <w:rFonts w:hint="eastAsia"/>
          <w:rtl/>
        </w:rPr>
        <w:t>»</w:t>
      </w:r>
      <w:r w:rsidRPr="00E14ED6">
        <w:rPr>
          <w:rFonts w:hint="cs"/>
          <w:rtl/>
        </w:rPr>
        <w:t xml:space="preserve"> ـ بعد أن بدا عليها التأثر والانفعال ـ صارخة: </w:t>
      </w:r>
      <w:r w:rsidR="00885E99" w:rsidRPr="00885E99">
        <w:rPr>
          <w:rFonts w:hint="eastAsia"/>
          <w:rtl/>
        </w:rPr>
        <w:t>«</w:t>
      </w:r>
      <w:r w:rsidRPr="00E14ED6">
        <w:rPr>
          <w:rFonts w:hint="cs"/>
          <w:rtl/>
        </w:rPr>
        <w:t>إطاعة وتطبيق قوانين الإسلام</w:t>
      </w:r>
      <w:r w:rsidR="00885E99" w:rsidRPr="00885E99">
        <w:rPr>
          <w:rFonts w:hint="eastAsia"/>
          <w:rtl/>
        </w:rPr>
        <w:t>»</w:t>
      </w:r>
      <w:r w:rsidRPr="00815C4C">
        <w:rPr>
          <w:rFonts w:cs="Taher"/>
          <w:vertAlign w:val="superscript"/>
          <w:rtl/>
        </w:rPr>
        <w:t>(</w:t>
      </w:r>
      <w:r w:rsidRPr="00815C4C">
        <w:rPr>
          <w:rFonts w:cs="Taher"/>
          <w:vertAlign w:val="superscript"/>
          <w:rtl/>
        </w:rPr>
        <w:footnoteReference w:id="1124"/>
      </w:r>
      <w:r w:rsidRPr="00815C4C">
        <w:rPr>
          <w:rFonts w:cs="Taher"/>
          <w:vertAlign w:val="superscript"/>
          <w:rtl/>
        </w:rPr>
        <w:t>)</w:t>
      </w:r>
      <w:r w:rsidRPr="00B651E9">
        <w:rPr>
          <w:rFonts w:hint="cs"/>
          <w:rtl/>
        </w:rPr>
        <w:t>.</w:t>
      </w:r>
    </w:p>
    <w:p w:rsidR="00B651E9" w:rsidRPr="001D1319" w:rsidRDefault="00B651E9" w:rsidP="001D1319">
      <w:pPr>
        <w:pStyle w:val="afffffc"/>
        <w:rPr>
          <w:sz w:val="18"/>
          <w:szCs w:val="16"/>
          <w:rtl/>
        </w:rPr>
      </w:pPr>
    </w:p>
    <w:p w:rsidR="00F52EBA" w:rsidRPr="00B102A4" w:rsidRDefault="00F52EBA" w:rsidP="001D1319">
      <w:pPr>
        <w:pStyle w:val="2"/>
        <w:rPr>
          <w:rtl/>
        </w:rPr>
      </w:pPr>
      <w:bookmarkStart w:id="695" w:name="_Toc275128321"/>
      <w:r w:rsidRPr="00B102A4">
        <w:rPr>
          <w:rFonts w:hint="cs"/>
          <w:rtl/>
        </w:rPr>
        <w:t>7 ـ طهارة الأرحام ونقاوة الجيل الإنساني</w:t>
      </w:r>
      <w:bookmarkEnd w:id="695"/>
    </w:p>
    <w:p w:rsidR="00F52EBA" w:rsidRPr="00E14ED6" w:rsidRDefault="00F52EBA" w:rsidP="00B651E9">
      <w:pPr>
        <w:pStyle w:val="ac"/>
        <w:rPr>
          <w:rtl/>
        </w:rPr>
      </w:pPr>
      <w:r w:rsidRPr="00E14ED6">
        <w:rPr>
          <w:rFonts w:hint="cs"/>
          <w:rtl/>
        </w:rPr>
        <w:t>إنّ الالتزام بالعفاف ورعايته يجعل الأرحام طاهرةً والأجيال معلومة الأصل.</w:t>
      </w:r>
    </w:p>
    <w:p w:rsidR="00F52EBA" w:rsidRPr="00E14ED6" w:rsidRDefault="00F52EBA" w:rsidP="00B651E9">
      <w:pPr>
        <w:pStyle w:val="ac"/>
        <w:rPr>
          <w:rtl/>
        </w:rPr>
      </w:pPr>
      <w:r w:rsidRPr="00E14ED6">
        <w:rPr>
          <w:rFonts w:hint="cs"/>
          <w:rtl/>
        </w:rPr>
        <w:t>يجب أن يحسّ الطفل بأنّ له قيّماً وحامياً، وأنّ له شخصية وعزّة وكرامة، وأنّه ليس موجوداً مهملاً لا قيّم له، أو أنّه جاء نتيجة حبّ آثم ولّذة دنسة آنيّة.</w:t>
      </w:r>
    </w:p>
    <w:p w:rsidR="00F52EBA" w:rsidRPr="00E14ED6" w:rsidRDefault="00F52EBA" w:rsidP="00B651E9">
      <w:pPr>
        <w:pStyle w:val="ac"/>
        <w:rPr>
          <w:rtl/>
        </w:rPr>
      </w:pPr>
      <w:r w:rsidRPr="00E14ED6">
        <w:rPr>
          <w:rFonts w:hint="cs"/>
          <w:rtl/>
        </w:rPr>
        <w:t>لقد أعارت تعاليم الإسلام السامية أهمية كبيرة للحفاظ على طهارة الرحم ودوره في سلامة الفرد والأسرة والمجتمع، حتى عدَّت الأصلاب الطاهرة والأرحام المطهرة مسألتين أساسيتين في التأثير على مسيرة الإنسان والمجتمع، وأعظم أفراد البشرية هم ممن ترعرع في أحضان عفيفة.</w:t>
      </w:r>
    </w:p>
    <w:p w:rsidR="002F7681" w:rsidRDefault="00F52EBA" w:rsidP="00B651E9">
      <w:pPr>
        <w:pStyle w:val="ac"/>
        <w:rPr>
          <w:rtl/>
        </w:rPr>
      </w:pPr>
      <w:r w:rsidRPr="00E14ED6">
        <w:rPr>
          <w:rFonts w:hint="cs"/>
          <w:rtl/>
        </w:rPr>
        <w:t xml:space="preserve">وهناك مفاسد كثيرة تحدث بسبب إيجاد طفل غير شرعي، من أهمّها عدم تقبّل مسؤولية تربيته، وإذا فرضنا أنّه تقبل قيمومته فإنّ </w:t>
      </w:r>
      <w:r w:rsidR="002F7681">
        <w:rPr>
          <w:rFonts w:hint="cs"/>
          <w:rtl/>
        </w:rPr>
        <w:t>القيّم لا يحسّ بتعلّق الطفل به.</w:t>
      </w:r>
    </w:p>
    <w:p w:rsidR="00F52EBA" w:rsidRDefault="00F52EBA" w:rsidP="00B651E9">
      <w:pPr>
        <w:pStyle w:val="ac"/>
        <w:rPr>
          <w:rtl/>
        </w:rPr>
      </w:pPr>
      <w:r w:rsidRPr="00E14ED6">
        <w:rPr>
          <w:rFonts w:hint="cs"/>
          <w:rtl/>
        </w:rPr>
        <w:lastRenderedPageBreak/>
        <w:t>وبعبارة أخرى: إنّ حب الذات يجعل الإنسان متعلّقاً بالمسائل التي تعنيه وكذلك بذويه أكثر، فعند علمه أن الطفل ولده تثار أحساسيسه وحبّه وعاطفته نحو ولده بشكل كامل وطبيعي، مما يدفعه للحرص ـ بعزم وتصميم راسخين ـ على حفظه والاهتمام به والسهر على تربيته، أمّا إذا كان الإنجاب عن طريقٍ غير مشروع فسيواجه بعدم قبول مسؤوليته، وخلوّ علاقته به من المحبة والعاطفة، وهذا ما ينتج عنه مفاسد وأضرار واختلالات اجتماعيةكثيرة.</w:t>
      </w:r>
    </w:p>
    <w:p w:rsidR="00B651E9" w:rsidRPr="00E14ED6" w:rsidRDefault="00B651E9" w:rsidP="001D1319">
      <w:pPr>
        <w:pStyle w:val="afffffc"/>
        <w:rPr>
          <w:rtl/>
        </w:rPr>
      </w:pPr>
    </w:p>
    <w:p w:rsidR="00F52EBA" w:rsidRPr="0017088F" w:rsidRDefault="00F52EBA" w:rsidP="00B651E9">
      <w:pPr>
        <w:pStyle w:val="1"/>
        <w:rPr>
          <w:rtl/>
        </w:rPr>
      </w:pPr>
      <w:bookmarkStart w:id="696" w:name="_Toc169521526"/>
      <w:bookmarkStart w:id="697" w:name="_Toc275128322"/>
      <w:r w:rsidRPr="0017088F">
        <w:rPr>
          <w:rFonts w:hint="cs"/>
          <w:rtl/>
        </w:rPr>
        <w:t>أسباب تضاؤل الاهتمام بالعفاف والحجاب في المجتمع الإسلامي</w:t>
      </w:r>
      <w:bookmarkEnd w:id="696"/>
      <w:bookmarkEnd w:id="697"/>
    </w:p>
    <w:p w:rsidR="00F52EBA" w:rsidRPr="00E14ED6" w:rsidRDefault="00F52EBA" w:rsidP="00B651E9">
      <w:pPr>
        <w:pStyle w:val="ac"/>
        <w:rPr>
          <w:rtl/>
        </w:rPr>
      </w:pPr>
      <w:r w:rsidRPr="00E14ED6">
        <w:rPr>
          <w:rFonts w:hint="cs"/>
          <w:rtl/>
        </w:rPr>
        <w:t>إنّ قدر العفاف والحجاب ونتائجهما لا تعرف إلاّ عندما نواجه فقدانهما في مجتمع ما، ولكي نعلم آثار فقدان الحجاب والعفاف في المجتمع علينا أن نراجع المجتمعات التي سبقتنا في هذا المجال، عندها سنعلم ما أصاب المجتمع من تبعات وصدمات ثقافية وصحّية وروحية وأخلاقيّة واقتصادية وسياسية كثيرة باسم التمدّن والحرية.</w:t>
      </w:r>
    </w:p>
    <w:p w:rsidR="00F52EBA" w:rsidRPr="00E14ED6" w:rsidRDefault="00F52EBA" w:rsidP="00B651E9">
      <w:pPr>
        <w:pStyle w:val="ac"/>
        <w:rPr>
          <w:rtl/>
        </w:rPr>
      </w:pPr>
      <w:r w:rsidRPr="00E14ED6">
        <w:rPr>
          <w:rFonts w:hint="cs"/>
          <w:rtl/>
        </w:rPr>
        <w:t>وإن عدم الاهتمام بالعفاف والحجاب وتطبيقه في المجتمع يهـيئ أرضية الانحطاط، وتتبعه آثار فردية واجتماعية مضرة، وبمعرفة العوامل المؤثرة في تضاؤل الاهتمام بالعفاف والحجاب، يمكننا معرفة السبل التنفيذية المساعدة عليهما، وأدناه بيان تلك العوامل:</w:t>
      </w:r>
    </w:p>
    <w:p w:rsidR="00F52EBA" w:rsidRPr="00E14ED6" w:rsidRDefault="00F52EBA" w:rsidP="001D1319">
      <w:pPr>
        <w:pStyle w:val="ac"/>
        <w:rPr>
          <w:rtl/>
        </w:rPr>
      </w:pPr>
      <w:r w:rsidRPr="00E14ED6">
        <w:rPr>
          <w:rFonts w:hint="cs"/>
          <w:rtl/>
        </w:rPr>
        <w:t>1ـ عدم تبيين الثقافة الإسلامية بالشكل المطلوب: تنامى الإقبال على الدين والتدين وتطبيق تعاليم الإسلام في المجتمع (الإيراني) بعد انتصار الثورة الإسلامية بشكل جيد، فلمّا رأى ساسة الدولة نقاء المجتمع وسلامته تصوروا أن هذه الحالة ستبقى وتستمر، لذا أغفلوا برمجة التثقيف الديني، ومن جملة ذلك الحجاب والعفاف، واهتموا بمسائل أخرى ظنوها أكثر أهمية مما سواها.</w:t>
      </w:r>
    </w:p>
    <w:p w:rsidR="00F52EBA" w:rsidRPr="00E14ED6" w:rsidRDefault="00F52EBA" w:rsidP="001D1319">
      <w:pPr>
        <w:pStyle w:val="ac"/>
        <w:rPr>
          <w:rtl/>
        </w:rPr>
      </w:pPr>
      <w:r w:rsidRPr="00E14ED6">
        <w:rPr>
          <w:rFonts w:hint="cs"/>
          <w:rtl/>
        </w:rPr>
        <w:t xml:space="preserve">2ـ إثارة الأعداء للعديد من الأزمات: لقد سببت هذه الأزمات انشغال رجالات الدولة الإسلامية بها، وصرفتهم عن البرمجة الصحيحة، بل وحالت دون إمكان تحقيقها، ومن جملة هذه الأزمات: الحرب (العراقية الإيرانية) العسكرية المفروضة، </w:t>
      </w:r>
      <w:r w:rsidRPr="00E14ED6">
        <w:rPr>
          <w:rFonts w:hint="cs"/>
          <w:rtl/>
        </w:rPr>
        <w:lastRenderedPageBreak/>
        <w:t>والأزمات الاقتصادية والسياسية والأمنية، والاضطرابات الاجتماعية، وقد شاهدنا الكثير من مصاديق هذه الأزمات منذ انتصار الثورة الإسلامية وإلى اليوم.</w:t>
      </w:r>
    </w:p>
    <w:p w:rsidR="00F52EBA" w:rsidRPr="00E14ED6" w:rsidRDefault="00F52EBA" w:rsidP="001D1319">
      <w:pPr>
        <w:pStyle w:val="ac"/>
        <w:rPr>
          <w:rtl/>
        </w:rPr>
      </w:pPr>
      <w:r w:rsidRPr="00E14ED6">
        <w:rPr>
          <w:rFonts w:hint="cs"/>
          <w:rtl/>
        </w:rPr>
        <w:t>3ـ من جملة الأسباب المؤثرة في تضاؤل الاهتمام بالعفاف والحجاب في المجتمع (الإيراني) السياسات الثقافية، فالساحات الثقافية تفتقر إلى أفراد ذوّاقين ومتدينين وملتزمين من ذوي الاختصاص، يستخرجون مسائل الأحكام المناسبة من المصادر الإسلامية الغنية بشكل دقيق وعميق، ويعرضونها بشكل صحيح أيضاً، فمثلاً ـ وللأسف الشديد ـ لم يتغير كتاب المعارف الإسلامية للثانويات والجامعات، منذ سنين عديدة، علماً بأنّ محتويات الكتاب لا تمتلك الذوق المناسب والجاذبية والقدرة على استقطاب اهتمام الشباب، ولا تتلاءم مع روحية شباب اليوم وأذواقهم.</w:t>
      </w:r>
    </w:p>
    <w:p w:rsidR="00F52EBA" w:rsidRPr="00E14ED6" w:rsidRDefault="00F52EBA" w:rsidP="001D1319">
      <w:pPr>
        <w:pStyle w:val="ac"/>
        <w:rPr>
          <w:rtl/>
        </w:rPr>
      </w:pPr>
      <w:r w:rsidRPr="00E14ED6">
        <w:rPr>
          <w:rFonts w:hint="cs"/>
          <w:rtl/>
        </w:rPr>
        <w:t>4ـ الإفراط في التساهل والتسامح: الأفراد الذين يرون الحجاب قيداً لهم، ومراعاته تحدّ من حرّيتهم المادية الجسدية، ويسعون وراء الراحة والترف، انساقوا ـ بسرعة ـ وراء أفكار وآراء العدو التي روّجها وأشاعها في هذا المجال.</w:t>
      </w:r>
    </w:p>
    <w:p w:rsidR="00F52EBA" w:rsidRPr="00E14ED6" w:rsidRDefault="00F52EBA" w:rsidP="001D1319">
      <w:pPr>
        <w:pStyle w:val="ac"/>
        <w:rPr>
          <w:rtl/>
        </w:rPr>
      </w:pPr>
      <w:r w:rsidRPr="00E14ED6">
        <w:rPr>
          <w:rFonts w:hint="cs"/>
          <w:rtl/>
        </w:rPr>
        <w:t>5ـ فقدان القدوة والأسوة الثقافية المناسبة: استفاد الأعداء من هذا الفراغ الثقافي، وحاولوا أن يشيعوا الانحطاط الأخلاقي بين الشباب والمراهقين عبر شاعة النماذج المنحطّة، لتغطية بشاعة الأعمال والقضايا غير الأخلاقية.</w:t>
      </w:r>
    </w:p>
    <w:p w:rsidR="00F52EBA" w:rsidRPr="00E14ED6" w:rsidRDefault="00F52EBA" w:rsidP="001D1319">
      <w:pPr>
        <w:pStyle w:val="ac"/>
        <w:rPr>
          <w:rtl/>
        </w:rPr>
      </w:pPr>
      <w:r w:rsidRPr="00E14ED6">
        <w:rPr>
          <w:rFonts w:hint="cs"/>
          <w:rtl/>
        </w:rPr>
        <w:t>6ـ ارتفاع متوسط أعمار الزواج: بارتفاع متوسّط أعمار الزواج تصعب رعاية الحجاب والعفاف والمحافظة عليهما، فقد سببت بعض المشاكل، كازدياد طلبات أسر البنات التي طلبت يدهن للزواج من الطرف الآخر، وكذلك فقدان أو نقصان الدخل المعيشي، وفقدان العمل، وعدم توفر المسكن المناسب، هذه الأمور كلّها سببت عدم إقبال الشباب على الزواج وتحفّظهم وتخوّفهم منه، وبالتالي الاكتفاء بإرضاء الغريزة بمبالغ يسيرة ـ بطرق غير مشروعة ـ بالقياس إلى تكاليف الزواج.</w:t>
      </w:r>
    </w:p>
    <w:p w:rsidR="00F52EBA" w:rsidRPr="00E14ED6" w:rsidRDefault="00F52EBA" w:rsidP="00F52EBA">
      <w:pPr>
        <w:pStyle w:val="ac"/>
        <w:rPr>
          <w:rtl/>
        </w:rPr>
      </w:pPr>
      <w:r w:rsidRPr="00E14ED6">
        <w:rPr>
          <w:rFonts w:hint="cs"/>
          <w:rtl/>
        </w:rPr>
        <w:t xml:space="preserve">من جهة أخرى، فإنّ سحر المرأة وجمالها وجذابيتها تغوي وتفتن الجنس الآخر، وإذا لم تُرض غريزتها بالطرق الإلهية المشروعة فسترضيها بالطرق اللامشروعة الأخرى، ولا شك أنّ ارتفاع مستوى سنّ الزواج يؤثر على هبوط مستوى الحجاب والعفاف، </w:t>
      </w:r>
      <w:r w:rsidRPr="00E14ED6">
        <w:rPr>
          <w:rFonts w:hint="cs"/>
          <w:rtl/>
        </w:rPr>
        <w:lastRenderedPageBreak/>
        <w:t>مسبّباً التحلّل والإباحية.</w:t>
      </w:r>
    </w:p>
    <w:p w:rsidR="00F52EBA" w:rsidRPr="00E14ED6" w:rsidRDefault="00F52EBA" w:rsidP="001D1319">
      <w:pPr>
        <w:pStyle w:val="ac"/>
        <w:spacing w:line="199" w:lineRule="auto"/>
        <w:rPr>
          <w:rtl/>
        </w:rPr>
      </w:pPr>
      <w:r w:rsidRPr="00E14ED6">
        <w:rPr>
          <w:rFonts w:hint="cs"/>
          <w:rtl/>
        </w:rPr>
        <w:t>7ـ تراجع التأثير الديني وانخفاضه، لعدم تطبيق أحكام الشريعة بأساليب صحيحة، فالإفراط والتفريط في تطبيق الأحكام وإجرائها، وفي الأمر بالمعروف والنهي عن المنكر، وعدم اتّباع الأساليب الصحيحة المنطقية، وضع بيد الأعداء مستمسكاً وسلاحاً إعلامياً ضد المتدينين، لأن يلقبوهم بالقوى المتشددة مما جعل المتدينين يتراجعون.</w:t>
      </w:r>
    </w:p>
    <w:p w:rsidR="00F52EBA" w:rsidRPr="00E14ED6" w:rsidRDefault="00F52EBA" w:rsidP="001D1319">
      <w:pPr>
        <w:pStyle w:val="ac"/>
        <w:spacing w:line="199" w:lineRule="auto"/>
        <w:rPr>
          <w:rtl/>
        </w:rPr>
      </w:pPr>
      <w:r w:rsidRPr="00E14ED6">
        <w:rPr>
          <w:rFonts w:hint="cs"/>
          <w:rtl/>
        </w:rPr>
        <w:t>8 ـ المشاكل الروحية الباطنية لدى المرأة وتصوّرات خاطئة لذاتها: إنّ النظرة التي يُنظر بها للمرأة في بعض المجتمعات الإسلامية نظرة غير صحيحة ولا ترضيها، فالمجتمع ـ وللأسف ـ يرى المرأة موجوداً ضعيفاً انفعالياً، ووسيلة لإرضاء الغريزة الجنسية، وغير منتجة اقتصادياً، وغير مفيدة بل وهامشية في الحياة، وهذا التصوّر ينافي ما بيّنه الإسلام عنها، فهي تصير في التاسعة من عمرها عضواً رسمياً في المجتمع، وفيها تبلغ سن التكليف من الناحية الشرعية والعقائدية، ولكن بما أن تربيتها بعيدة عن الأحكام الإلهية فإن ما نتصورهُ وننقله إلى أذهان بناتنا تصور خاطئ، بل نرى ـ أحياناً ـ بعض الشخصيات الثقافية تنظر مع كامل الأسف إلى المرأة نظرةً غير صحيحة.</w:t>
      </w:r>
    </w:p>
    <w:p w:rsidR="00F52EBA" w:rsidRPr="00E14ED6" w:rsidRDefault="00F52EBA" w:rsidP="001D1319">
      <w:pPr>
        <w:pStyle w:val="ac"/>
        <w:spacing w:line="199" w:lineRule="auto"/>
        <w:rPr>
          <w:rtl/>
        </w:rPr>
      </w:pPr>
      <w:r w:rsidRPr="00E14ED6">
        <w:rPr>
          <w:rFonts w:hint="cs"/>
          <w:rtl/>
        </w:rPr>
        <w:t>وهناك أيضاً من ينظر إليها بوصفها وسيلةً لا يمكن وضع برنامج لرقيها وتعاليها، ولذا ومن هذه الرؤية عاد عمل المرأة أصلاً وهدفاً أساسياً، وكأنّ جميع احتياجات المرأة باتت تنحصر في لوازمها المادية فقط</w:t>
      </w:r>
      <w:r w:rsidRPr="00815C4C">
        <w:rPr>
          <w:rFonts w:cs="Taher"/>
          <w:vertAlign w:val="superscript"/>
          <w:rtl/>
        </w:rPr>
        <w:t>(</w:t>
      </w:r>
      <w:r w:rsidRPr="00815C4C">
        <w:rPr>
          <w:rFonts w:cs="Taher"/>
          <w:vertAlign w:val="superscript"/>
          <w:rtl/>
        </w:rPr>
        <w:footnoteReference w:id="1125"/>
      </w:r>
      <w:r w:rsidRPr="00815C4C">
        <w:rPr>
          <w:rFonts w:cs="Taher"/>
          <w:vertAlign w:val="superscript"/>
          <w:rtl/>
        </w:rPr>
        <w:t>)</w:t>
      </w:r>
      <w:r w:rsidRPr="00E14ED6">
        <w:rPr>
          <w:rFonts w:hint="cs"/>
          <w:rtl/>
        </w:rPr>
        <w:t>.</w:t>
      </w:r>
    </w:p>
    <w:p w:rsidR="00F52EBA" w:rsidRPr="00E14ED6" w:rsidRDefault="00F52EBA" w:rsidP="001D1319">
      <w:pPr>
        <w:pStyle w:val="ac"/>
        <w:spacing w:line="199" w:lineRule="auto"/>
        <w:rPr>
          <w:rtl/>
        </w:rPr>
      </w:pPr>
      <w:r w:rsidRPr="00E14ED6">
        <w:rPr>
          <w:rFonts w:hint="cs"/>
          <w:rtl/>
        </w:rPr>
        <w:t>9ـ إحدى حراب الأعداء محاولة فصل الشباب عن محيط الأسرة ولا سيما البنات، لأنّ انفصالهن عن الأسرة سيسبّب لهنّ أزمة عاطفية من الصعب إشباعها، ويجعلهنّ معرضات لتلقّي أفكار العدو أكثر فأكثر.</w:t>
      </w:r>
    </w:p>
    <w:p w:rsidR="00F52EBA" w:rsidRPr="00E14ED6" w:rsidRDefault="00F52EBA" w:rsidP="001D1319">
      <w:pPr>
        <w:pStyle w:val="ac"/>
        <w:spacing w:line="199" w:lineRule="auto"/>
        <w:rPr>
          <w:rtl/>
        </w:rPr>
      </w:pPr>
      <w:r w:rsidRPr="00E14ED6">
        <w:rPr>
          <w:rFonts w:hint="cs"/>
          <w:rtl/>
        </w:rPr>
        <w:t xml:space="preserve">10ـ قام الأعداء باتّباع أساليب لإزالة تأثير الثقافة الدينية بشعارات براقة خادعة، وإضعاف الحسّ العقائدي في الناس، فعمدوا إلى محاولة حذف الدين ومحوه، فعبّروا عن الحجاب والعفاف بأنّه سدّ يحول دون حرية المرأة، ثم قالوا: إنّ الإسلام عائق </w:t>
      </w:r>
      <w:r w:rsidRPr="00E14ED6">
        <w:rPr>
          <w:rFonts w:hint="cs"/>
          <w:rtl/>
        </w:rPr>
        <w:lastRenderedPageBreak/>
        <w:t>أساس أمام حريات المرأة التي وهبها الله إياها، أو مانع يحول دون وصولها المراحل الدراسية العليا، أو ممارستها النشاطات الاجتماعية.</w:t>
      </w:r>
    </w:p>
    <w:p w:rsidR="00F52EBA" w:rsidRPr="00E14ED6" w:rsidRDefault="00F52EBA" w:rsidP="00F52EBA">
      <w:pPr>
        <w:pStyle w:val="ac"/>
        <w:rPr>
          <w:rtl/>
        </w:rPr>
      </w:pPr>
      <w:r w:rsidRPr="00E14ED6">
        <w:rPr>
          <w:rFonts w:hint="cs"/>
          <w:rtl/>
        </w:rPr>
        <w:t>ومن أهم ما استطاع العدو أن يشحذ سلاحه فيه نفوذه وتأثيره في تحاليل الشباب الفكرية وما يفكر فيه الآباء، فالكثير من التحاليل تتنافى مع القيم الدينية، وهذا يعني أن الكثير من الأحاسيس والمشاعر والقيم والعقائد الدينية ضعفت وانحلّت إثر دعايات العدو الواسعة، بل وتبدّلت القيم إلى ضدها أحياناً. أمّا الآباء فلم يعيروا ـ ومع الأسف ـ اهتماماً كافياً بتربية أولادهم تربيةً دينية سليمة.</w:t>
      </w:r>
    </w:p>
    <w:p w:rsidR="00F52EBA" w:rsidRDefault="00F52EBA" w:rsidP="00F52EBA">
      <w:pPr>
        <w:pStyle w:val="ac"/>
        <w:rPr>
          <w:rtl/>
        </w:rPr>
      </w:pPr>
      <w:r w:rsidRPr="00E14ED6">
        <w:rPr>
          <w:rFonts w:hint="cs"/>
          <w:rtl/>
        </w:rPr>
        <w:t xml:space="preserve">إنّ تأسيس أنواع الفرق والمجاميع المنافية للعفّة وللأخلاق، والتحاق الشباب بها، مثل: </w:t>
      </w:r>
      <w:r w:rsidRPr="00617008">
        <w:rPr>
          <w:rFonts w:hint="cs"/>
          <w:rtl/>
        </w:rPr>
        <w:t>«</w:t>
      </w:r>
      <w:r w:rsidRPr="00E14ED6">
        <w:rPr>
          <w:rFonts w:hint="cs"/>
          <w:rtl/>
        </w:rPr>
        <w:t>الرَّپ ـ هيفي متال</w:t>
      </w:r>
      <w:r w:rsidRPr="00617008">
        <w:rPr>
          <w:rFonts w:hint="cs"/>
          <w:rtl/>
        </w:rPr>
        <w:t>»</w:t>
      </w:r>
      <w:r w:rsidRPr="00E14ED6">
        <w:rPr>
          <w:rFonts w:hint="cs"/>
          <w:rtl/>
        </w:rPr>
        <w:t xml:space="preserve"> و.. وتبرج البنات بمختلف الموديلات المخزية شاهد على هذا المدّعى.</w:t>
      </w:r>
    </w:p>
    <w:p w:rsidR="00B651E9" w:rsidRPr="001D1319" w:rsidRDefault="00B651E9" w:rsidP="001D1319">
      <w:pPr>
        <w:pStyle w:val="afffffc"/>
        <w:rPr>
          <w:sz w:val="24"/>
          <w:szCs w:val="22"/>
        </w:rPr>
      </w:pPr>
    </w:p>
    <w:p w:rsidR="00F52EBA" w:rsidRPr="0017088F" w:rsidRDefault="00F52EBA" w:rsidP="00B651E9">
      <w:pPr>
        <w:pStyle w:val="1"/>
        <w:rPr>
          <w:rtl/>
        </w:rPr>
      </w:pPr>
      <w:bookmarkStart w:id="698" w:name="_Toc169521527"/>
      <w:bookmarkStart w:id="699" w:name="_Toc275128323"/>
      <w:r w:rsidRPr="0017088F">
        <w:rPr>
          <w:rFonts w:hint="cs"/>
          <w:rtl/>
        </w:rPr>
        <w:t>الأساليب العمليّة للعفاف</w:t>
      </w:r>
      <w:bookmarkEnd w:id="698"/>
      <w:bookmarkEnd w:id="699"/>
    </w:p>
    <w:p w:rsidR="00F52EBA" w:rsidRPr="00E14ED6" w:rsidRDefault="00F52EBA" w:rsidP="00F52EBA">
      <w:pPr>
        <w:pStyle w:val="ac"/>
        <w:rPr>
          <w:rtl/>
        </w:rPr>
      </w:pPr>
      <w:r w:rsidRPr="00E14ED6">
        <w:rPr>
          <w:rFonts w:hint="cs"/>
          <w:rtl/>
        </w:rPr>
        <w:t>لا شك أنّ الإنسان ـ اليوم ـ كلّما تقدّم وارتقى واتسعت دائرة علمه ازداد عطشه واحتياجه للأخلاق الروحية والقيم الإنسانية. ولنتساءل لماذا تظهر الاتجاهات الدينية في العالم وتتزايد يوماً بعد يوم؟ ألا يعني هذا أنّ التقدم والتوسع الفني والتكنولوجي دون ملاحظة احتياجات الإنسان الحقيقية لأمور أخرى لا يلبّي ميول الإنسان وحاجاته الذاتية؟</w:t>
      </w:r>
    </w:p>
    <w:p w:rsidR="00F52EBA" w:rsidRPr="00E14ED6" w:rsidRDefault="00F52EBA" w:rsidP="00F52EBA">
      <w:pPr>
        <w:pStyle w:val="ac"/>
        <w:rPr>
          <w:rtl/>
        </w:rPr>
      </w:pPr>
      <w:r w:rsidRPr="00E14ED6">
        <w:rPr>
          <w:rFonts w:hint="cs"/>
          <w:rtl/>
        </w:rPr>
        <w:t>فيا ترى ما العمل؟ وكيف يمكن وضع حلّ عملي لتحسين حالة البشر سيما الشباب الذين لهم الدور الأهم والأعظم في بناء مستقبل المجتمع؟</w:t>
      </w:r>
    </w:p>
    <w:p w:rsidR="00F52EBA" w:rsidRPr="00E14ED6" w:rsidRDefault="00F52EBA" w:rsidP="00F52EBA">
      <w:pPr>
        <w:pStyle w:val="ac"/>
        <w:rPr>
          <w:rtl/>
        </w:rPr>
      </w:pPr>
      <w:r w:rsidRPr="00E14ED6">
        <w:rPr>
          <w:rFonts w:hint="cs"/>
          <w:rtl/>
        </w:rPr>
        <w:t>وأدناه بعض الحلول التي بتطبيقها والاهتمام بها يمكن إيجاد مجتمع ذي هوية ومتنامٍ:</w:t>
      </w:r>
    </w:p>
    <w:p w:rsidR="00F52EBA" w:rsidRPr="00E14ED6" w:rsidRDefault="00F52EBA" w:rsidP="001D1319">
      <w:pPr>
        <w:pStyle w:val="ac"/>
        <w:rPr>
          <w:rtl/>
        </w:rPr>
      </w:pPr>
      <w:r w:rsidRPr="00E14ED6">
        <w:rPr>
          <w:rFonts w:hint="cs"/>
          <w:rtl/>
        </w:rPr>
        <w:t>1ـ تقوية الإيمان وترسيخه: إحدى بل أهم وسائل مكافحة الفساد والإثم تقوية الإيمان والعمل على إحياء الضمائر والتذكير بالله وبالحساب يوم الجزاء، فلكلّ فعل رد فعل في نظام الخلقة، وهذه ـ كلّها ـ تسبب تقوية إيمان الفرد وترسيخها، ذلك الإيمان الحاجز عن ارتكاب المعاصي والآثام، والعامل على زيادة حدّة البصر والبصيرة، ومعرفة الطريق الصحيح، وحفظ الوجود وحراسة أساس التقوى.</w:t>
      </w:r>
    </w:p>
    <w:p w:rsidR="00F52EBA" w:rsidRPr="00E14ED6" w:rsidRDefault="00F52EBA" w:rsidP="00F52EBA">
      <w:pPr>
        <w:pStyle w:val="ac"/>
        <w:rPr>
          <w:rtl/>
        </w:rPr>
      </w:pPr>
      <w:r w:rsidRPr="00E14ED6">
        <w:rPr>
          <w:rFonts w:hint="cs"/>
          <w:rtl/>
        </w:rPr>
        <w:lastRenderedPageBreak/>
        <w:t>يجب الاعتقاد بأن العالَم لم يُخلق لهواً وعبثاً، وأنّ كلّ إنسان سيلقى نتائج أعماله.</w:t>
      </w:r>
    </w:p>
    <w:p w:rsidR="00F52EBA" w:rsidRPr="00E14ED6" w:rsidRDefault="00F52EBA" w:rsidP="00F52EBA">
      <w:pPr>
        <w:pStyle w:val="ac"/>
        <w:rPr>
          <w:rtl/>
        </w:rPr>
      </w:pPr>
      <w:r w:rsidRPr="00E14ED6">
        <w:rPr>
          <w:rFonts w:hint="cs"/>
          <w:rtl/>
        </w:rPr>
        <w:t xml:space="preserve">ومن لم يعتقد بالله المتعال ولم تأخذ التقوى والإيمان مكانهما من قلبه فلا شك أنّه لن يرتدع عن القيام بأي عمل مناف للدين والأخلاق، وكما قال داستايفسكي: </w:t>
      </w:r>
      <w:r w:rsidRPr="00617008">
        <w:rPr>
          <w:rFonts w:hint="cs"/>
          <w:rtl/>
        </w:rPr>
        <w:t>«</w:t>
      </w:r>
      <w:r w:rsidRPr="00E14ED6">
        <w:rPr>
          <w:rFonts w:hint="cs"/>
          <w:rtl/>
        </w:rPr>
        <w:t>جميع الأعمال جائزة فيما لم يكن الله</w:t>
      </w:r>
      <w:r w:rsidRPr="00617008">
        <w:rPr>
          <w:rFonts w:hint="cs"/>
          <w:rtl/>
        </w:rPr>
        <w:t>»</w:t>
      </w:r>
      <w:r w:rsidRPr="00E14ED6">
        <w:rPr>
          <w:rFonts w:hint="cs"/>
          <w:rtl/>
        </w:rPr>
        <w:t>.</w:t>
      </w:r>
    </w:p>
    <w:p w:rsidR="00F52EBA" w:rsidRPr="00E14ED6" w:rsidRDefault="00F52EBA" w:rsidP="001D1319">
      <w:pPr>
        <w:pStyle w:val="ac"/>
        <w:spacing w:line="209" w:lineRule="auto"/>
        <w:rPr>
          <w:rtl/>
        </w:rPr>
      </w:pPr>
      <w:r w:rsidRPr="00E14ED6">
        <w:rPr>
          <w:rFonts w:hint="cs"/>
          <w:rtl/>
        </w:rPr>
        <w:t>2ـ الإرشادات والتعاليم الثقافية والاجتماعية: من أهم طرق إصلاح المجتمع السعي إلى تنبيه الغافلين عن الحياة وضروراتها، وبيان المفاسد ومساوئ الإباحية، وعواقب الأمور السلبية وتبعات الإنحلال الأخلاقي، وزوال الحجاب والعفاف من أفراد المجتمع.</w:t>
      </w:r>
    </w:p>
    <w:p w:rsidR="00F52EBA" w:rsidRPr="00E14ED6" w:rsidRDefault="00F52EBA" w:rsidP="001D1319">
      <w:pPr>
        <w:pStyle w:val="ac"/>
        <w:spacing w:line="209" w:lineRule="auto"/>
        <w:rPr>
          <w:rtl/>
        </w:rPr>
      </w:pPr>
      <w:r w:rsidRPr="00E14ED6">
        <w:rPr>
          <w:rFonts w:hint="cs"/>
          <w:rtl/>
        </w:rPr>
        <w:t>يجب تحذير الأفراد وإرشادهم إلى أن ترويج الإباحية وإشاعتها، وانعدام العفاف والحجاب في المجتمعات إنما هو نتيجة خطط ودسائس وحيل الأجانب والمستعمرين وأعداء الدين.</w:t>
      </w:r>
    </w:p>
    <w:p w:rsidR="00F52EBA" w:rsidRPr="00E14ED6" w:rsidRDefault="00F52EBA" w:rsidP="001D1319">
      <w:pPr>
        <w:pStyle w:val="ac"/>
        <w:spacing w:line="209" w:lineRule="auto"/>
        <w:rPr>
          <w:rtl/>
        </w:rPr>
      </w:pPr>
      <w:r w:rsidRPr="00E14ED6">
        <w:rPr>
          <w:rFonts w:hint="cs"/>
          <w:rtl/>
        </w:rPr>
        <w:t xml:space="preserve">فقد كتب مستر همفر الجاسوس البريطاني في البلدان الإسلامية في خاطراته: </w:t>
      </w:r>
      <w:r w:rsidRPr="00617008">
        <w:rPr>
          <w:rFonts w:hint="cs"/>
          <w:rtl/>
        </w:rPr>
        <w:t>«</w:t>
      </w:r>
      <w:r w:rsidRPr="00E14ED6">
        <w:rPr>
          <w:rFonts w:hint="cs"/>
          <w:rtl/>
        </w:rPr>
        <w:t>وأمّا عن مسألة خلع الحجاب عن النساء، فعلينا القيام بجهد عظيم لتشويق المسلمات إلى نزع حجابهن وترك جلابيبهن، وبعد خلع الحجاب ـ بالإعلام المكثّف الواسع المتواصل ـ على أنصارنا وأتباعنا أن يرغّبوا الشباب في ارتكاب الفحشاء، وتكوين علاقات غير مشروعة مع النساء، وبالتالي إشاعة الفساد في المجتمعات الإسلامية، وعلى النساء غير المسلمات أن لا يرتدين الحجاب لكي تقتدي بهنّ المسلمات</w:t>
      </w:r>
      <w:r w:rsidRPr="00617008">
        <w:rPr>
          <w:rFonts w:hint="cs"/>
          <w:rtl/>
        </w:rPr>
        <w:t>»</w:t>
      </w:r>
      <w:r w:rsidRPr="00815C4C">
        <w:rPr>
          <w:rFonts w:cs="Taher"/>
          <w:vertAlign w:val="superscript"/>
          <w:rtl/>
        </w:rPr>
        <w:t>(</w:t>
      </w:r>
      <w:r w:rsidRPr="00815C4C">
        <w:rPr>
          <w:rFonts w:cs="Taher"/>
          <w:vertAlign w:val="superscript"/>
          <w:rtl/>
        </w:rPr>
        <w:footnoteReference w:id="1126"/>
      </w:r>
      <w:r w:rsidRPr="00815C4C">
        <w:rPr>
          <w:rFonts w:cs="Taher"/>
          <w:vertAlign w:val="superscript"/>
          <w:rtl/>
        </w:rPr>
        <w:t>)</w:t>
      </w:r>
      <w:r w:rsidRPr="00E14ED6">
        <w:rPr>
          <w:rFonts w:hint="cs"/>
          <w:rtl/>
        </w:rPr>
        <w:t>.</w:t>
      </w:r>
    </w:p>
    <w:p w:rsidR="00F52EBA" w:rsidRPr="00E14ED6" w:rsidRDefault="00F52EBA" w:rsidP="001D1319">
      <w:pPr>
        <w:pStyle w:val="ac"/>
        <w:spacing w:line="209" w:lineRule="auto"/>
        <w:rPr>
          <w:rtl/>
        </w:rPr>
      </w:pPr>
      <w:r w:rsidRPr="00E14ED6">
        <w:rPr>
          <w:rFonts w:hint="cs"/>
          <w:rtl/>
        </w:rPr>
        <w:t xml:space="preserve">ويقول فرانتس فانون في كتابه ثورة الجزائر: </w:t>
      </w:r>
      <w:r w:rsidRPr="00617008">
        <w:rPr>
          <w:rFonts w:hint="cs"/>
          <w:rtl/>
        </w:rPr>
        <w:t>«</w:t>
      </w:r>
      <w:r w:rsidRPr="00E14ED6">
        <w:rPr>
          <w:rFonts w:hint="cs"/>
          <w:rtl/>
        </w:rPr>
        <w:t>إذا أردنا العزف على أوتار المجتمع الجزائري والسيطرة عليه وإحباط مقاومته فعلينا السيطرة على نسائه أوّلاً</w:t>
      </w:r>
      <w:r w:rsidRPr="00617008">
        <w:rPr>
          <w:rFonts w:hint="cs"/>
          <w:rtl/>
        </w:rPr>
        <w:t>»</w:t>
      </w:r>
      <w:r w:rsidRPr="00E14ED6">
        <w:rPr>
          <w:rFonts w:hint="cs"/>
          <w:rtl/>
        </w:rPr>
        <w:t xml:space="preserve">. وكانوا يقولون بصراحة: </w:t>
      </w:r>
      <w:r w:rsidRPr="00617008">
        <w:rPr>
          <w:rFonts w:hint="cs"/>
          <w:rtl/>
        </w:rPr>
        <w:t>«</w:t>
      </w:r>
      <w:r w:rsidRPr="00E14ED6">
        <w:rPr>
          <w:rFonts w:hint="cs"/>
          <w:rtl/>
        </w:rPr>
        <w:t>استمالة النساء والسيطرة عليهن سيجلب لنا كل شيء</w:t>
      </w:r>
      <w:r w:rsidRPr="00617008">
        <w:rPr>
          <w:rFonts w:hint="cs"/>
          <w:rtl/>
        </w:rPr>
        <w:t>»</w:t>
      </w:r>
      <w:r w:rsidRPr="00E14ED6">
        <w:rPr>
          <w:rFonts w:hint="cs"/>
          <w:rtl/>
        </w:rPr>
        <w:t>.</w:t>
      </w:r>
    </w:p>
    <w:p w:rsidR="00F52EBA" w:rsidRPr="00E14ED6" w:rsidRDefault="00F52EBA" w:rsidP="001D1319">
      <w:pPr>
        <w:pStyle w:val="ac"/>
        <w:spacing w:line="209" w:lineRule="auto"/>
        <w:rPr>
          <w:rtl/>
        </w:rPr>
      </w:pPr>
      <w:r w:rsidRPr="00E14ED6">
        <w:rPr>
          <w:rFonts w:hint="cs"/>
          <w:rtl/>
        </w:rPr>
        <w:t xml:space="preserve">يقول فرانتس فانون أيضاً: </w:t>
      </w:r>
      <w:r w:rsidRPr="00617008">
        <w:rPr>
          <w:rFonts w:hint="cs"/>
          <w:rtl/>
        </w:rPr>
        <w:t>«</w:t>
      </w:r>
      <w:r w:rsidRPr="00E14ED6">
        <w:rPr>
          <w:rFonts w:hint="cs"/>
          <w:rtl/>
        </w:rPr>
        <w:t xml:space="preserve">إن كلّ جلباب وحجاب يُخلع ويُلقى جانباً يفتح لنا أفقاً جديداً كان ممنوعاً علينا، ويرينا الجسد الجزائري الذي عاد عرياناً تماماً، وبعد رؤية كل </w:t>
      </w:r>
      <w:r w:rsidRPr="00E14ED6">
        <w:rPr>
          <w:rFonts w:hint="cs"/>
          <w:rtl/>
        </w:rPr>
        <w:lastRenderedPageBreak/>
        <w:t>الوجوه بلا حجاب، ستتضاعف آمال الهجمة الاستعمارية عشرة أضعاف، كلّ حجاب يلقى جانباً وكلّ وجه يكشف للناظرين العابثين الوقحين يعني أنّ الجزائر بدأت تتنكّر لوجودها، وأنها تنصّلت عن قيمها، وتقبّلت هتك الغاصبين لناموسها</w:t>
      </w:r>
      <w:r w:rsidRPr="00617008">
        <w:rPr>
          <w:rFonts w:hint="cs"/>
          <w:rtl/>
        </w:rPr>
        <w:t>»</w:t>
      </w:r>
      <w:r w:rsidRPr="00815C4C">
        <w:rPr>
          <w:rFonts w:cs="Taher"/>
          <w:vertAlign w:val="superscript"/>
          <w:rtl/>
        </w:rPr>
        <w:t>(</w:t>
      </w:r>
      <w:r w:rsidRPr="00815C4C">
        <w:rPr>
          <w:rFonts w:cs="Taher"/>
          <w:vertAlign w:val="superscript"/>
          <w:rtl/>
        </w:rPr>
        <w:footnoteReference w:id="1127"/>
      </w:r>
      <w:r w:rsidRPr="00815C4C">
        <w:rPr>
          <w:rFonts w:cs="Taher"/>
          <w:vertAlign w:val="superscript"/>
          <w:rtl/>
        </w:rPr>
        <w:t>)</w:t>
      </w:r>
      <w:r w:rsidRPr="00E14ED6">
        <w:rPr>
          <w:rFonts w:hint="cs"/>
          <w:rtl/>
        </w:rPr>
        <w:t>.</w:t>
      </w:r>
    </w:p>
    <w:p w:rsidR="00F52EBA" w:rsidRPr="00E14ED6" w:rsidRDefault="00F52EBA" w:rsidP="001D1319">
      <w:pPr>
        <w:pStyle w:val="ac"/>
        <w:spacing w:line="199" w:lineRule="auto"/>
        <w:rPr>
          <w:rtl/>
        </w:rPr>
      </w:pPr>
      <w:r w:rsidRPr="00E14ED6">
        <w:rPr>
          <w:rFonts w:hint="cs"/>
          <w:rtl/>
        </w:rPr>
        <w:t xml:space="preserve">وقد ذكر الله تعالى في القرآن الكريم مكر المنافقين وتخطيطهم لمتزيق العفاف الشامل العام فقال عز من قائل: </w:t>
      </w:r>
      <w:r w:rsidR="002F7681">
        <w:rPr>
          <w:rFonts w:ascii="Mosawi" w:hAnsi="Mosawi"/>
          <w:b/>
          <w:bCs/>
          <w:rtl/>
        </w:rPr>
        <w:t>﴿</w:t>
      </w:r>
      <w:r w:rsidR="002F7681" w:rsidRPr="002F7681">
        <w:rPr>
          <w:b/>
          <w:bCs/>
          <w:rtl/>
        </w:rPr>
        <w:t>إِنَّ الَّذِينَ يُحِبُّونَ أَن تَشِيعَ الفَاحِشَةُ فِي الَّذِينَ آمَنُوا لَهُمْ عَذَابٌ أَلِيمٌ فِي الدُّنْيَا وَالآخِرَةِ</w:t>
      </w:r>
      <w:r w:rsidRPr="00B651E9">
        <w:rPr>
          <w:rFonts w:hint="cs"/>
          <w:b/>
          <w:bCs/>
          <w:rtl/>
        </w:rPr>
        <w:t xml:space="preserve"> و</w:t>
      </w:r>
      <w:r w:rsidR="002F7681">
        <w:rPr>
          <w:rFonts w:hint="cs"/>
          <w:b/>
          <w:bCs/>
          <w:rtl/>
        </w:rPr>
        <w:t>َ</w:t>
      </w:r>
      <w:r w:rsidRPr="00B651E9">
        <w:rPr>
          <w:rFonts w:hint="cs"/>
          <w:b/>
          <w:bCs/>
          <w:rtl/>
        </w:rPr>
        <w:t>...</w:t>
      </w:r>
      <w:r w:rsidR="002F7681">
        <w:rPr>
          <w:rFonts w:ascii="Mosawi" w:hAnsi="Mosawi"/>
          <w:b/>
          <w:bCs/>
          <w:rtl/>
        </w:rPr>
        <w:t>﴾</w:t>
      </w:r>
      <w:r w:rsidRPr="00815C4C">
        <w:rPr>
          <w:rFonts w:cs="Taher"/>
          <w:vertAlign w:val="superscript"/>
          <w:rtl/>
        </w:rPr>
        <w:t>(</w:t>
      </w:r>
      <w:r w:rsidRPr="00815C4C">
        <w:rPr>
          <w:rFonts w:cs="Taher"/>
          <w:vertAlign w:val="superscript"/>
          <w:rtl/>
        </w:rPr>
        <w:footnoteReference w:id="1128"/>
      </w:r>
      <w:r w:rsidRPr="00815C4C">
        <w:rPr>
          <w:rFonts w:cs="Taher"/>
          <w:vertAlign w:val="superscript"/>
          <w:rtl/>
        </w:rPr>
        <w:t>)</w:t>
      </w:r>
      <w:r w:rsidRPr="00E14ED6">
        <w:rPr>
          <w:rFonts w:hint="cs"/>
          <w:rtl/>
        </w:rPr>
        <w:t>.</w:t>
      </w:r>
    </w:p>
    <w:p w:rsidR="00F52EBA" w:rsidRPr="00E14ED6" w:rsidRDefault="00F52EBA" w:rsidP="001D1319">
      <w:pPr>
        <w:pStyle w:val="ac"/>
        <w:rPr>
          <w:rtl/>
        </w:rPr>
      </w:pPr>
      <w:r w:rsidRPr="00E14ED6">
        <w:rPr>
          <w:rFonts w:hint="cs"/>
          <w:rtl/>
        </w:rPr>
        <w:t>أي أنّ المنافقين هم الذين يشيعون الفساد والفتنة، وأول مرحلة من تنفيذ خطتهم أن ينشروا الوسوسة والشهوة، ويحاولوا إثارة الأحاسيس العاطفية للشباب، ليشيع الفساد بين المؤمنين، وليصبح علنياً.</w:t>
      </w:r>
    </w:p>
    <w:p w:rsidR="00F52EBA" w:rsidRPr="00E14ED6" w:rsidRDefault="00F52EBA" w:rsidP="001D1319">
      <w:pPr>
        <w:pStyle w:val="ac"/>
        <w:spacing w:line="199" w:lineRule="auto"/>
        <w:rPr>
          <w:rtl/>
        </w:rPr>
      </w:pPr>
      <w:r w:rsidRPr="00E14ED6">
        <w:rPr>
          <w:rFonts w:hint="cs"/>
          <w:rtl/>
        </w:rPr>
        <w:t xml:space="preserve">3ـ تحسين وضع معيشة الناس ورفع المشكلات الاقتصادية: يقول العلاّمة الطباطبائي: </w:t>
      </w:r>
      <w:r w:rsidRPr="00617008">
        <w:rPr>
          <w:rFonts w:hint="cs"/>
          <w:rtl/>
        </w:rPr>
        <w:t>«</w:t>
      </w:r>
      <w:r w:rsidRPr="00E14ED6">
        <w:rPr>
          <w:rFonts w:hint="cs"/>
          <w:rtl/>
        </w:rPr>
        <w:t>لا شكّ أن أهم شيء يتقوّم به المجتمع الإنساني ويقوم على أساسه هو الاقتصاد والموارد الاقتصادية والجانب المالي، وقد جعله الله قياماً للناس وللمجتمع، ولو تابعنا وبحثنا ودرسنا علل الآثام والجرائم والجنايات والتجاوزات والمظالم لتوصلنا ـ في النتيجة ـ إلى ما يلي: أنّ سبب كل ذلك إما الفقر المفرط الذي يدعو ويجبر الإنسان لأن يتلافاه باختلاس أموال الناس بالسرقة أو قطع الطريق وقتل النفوس أو البيع بأسعار فاحشة أو التطفيف والبخس في الكيل والوزن أو الغصب وسائر التعدّيات المالية، وإما إلى غنى مفرط نتيجة الثروة الفاحشة العظيمة والترف والإسراف في المأكل والملبس والمنكح، ومراودة ومعاقرة أماكن إباحة الشهوات، وهتك الحرمات وإشاعة التجاوزات والتسلط على أموال ونواميس وأعراض وأعمار الناس</w:t>
      </w:r>
      <w:r w:rsidRPr="00617008">
        <w:rPr>
          <w:rFonts w:hint="cs"/>
          <w:rtl/>
        </w:rPr>
        <w:t>»</w:t>
      </w:r>
      <w:r w:rsidRPr="00815C4C">
        <w:rPr>
          <w:rFonts w:cs="Taher"/>
          <w:vertAlign w:val="superscript"/>
          <w:rtl/>
        </w:rPr>
        <w:t>(</w:t>
      </w:r>
      <w:r w:rsidRPr="00815C4C">
        <w:rPr>
          <w:rFonts w:cs="Taher"/>
          <w:vertAlign w:val="superscript"/>
          <w:rtl/>
        </w:rPr>
        <w:footnoteReference w:id="1129"/>
      </w:r>
      <w:r w:rsidRPr="00815C4C">
        <w:rPr>
          <w:rFonts w:cs="Taher"/>
          <w:vertAlign w:val="superscript"/>
          <w:rtl/>
        </w:rPr>
        <w:t>)</w:t>
      </w:r>
      <w:r w:rsidRPr="00E14ED6">
        <w:rPr>
          <w:rFonts w:hint="cs"/>
          <w:rtl/>
        </w:rPr>
        <w:t>.</w:t>
      </w:r>
    </w:p>
    <w:p w:rsidR="00F52EBA" w:rsidRPr="00E14ED6" w:rsidRDefault="00F52EBA" w:rsidP="001D1319">
      <w:pPr>
        <w:pStyle w:val="ac"/>
        <w:spacing w:line="199" w:lineRule="auto"/>
        <w:rPr>
          <w:rtl/>
        </w:rPr>
      </w:pPr>
      <w:r w:rsidRPr="00E14ED6">
        <w:rPr>
          <w:rFonts w:hint="cs"/>
          <w:rtl/>
        </w:rPr>
        <w:t xml:space="preserve">ولو سلكنا سبيل القناعة بدلاً من هذا الفقر المفرط والغنى الفاحش المذمومين لعشنا في طمأنينة واستقرار ودعة، وعندئذ يكون للعفاف معناه الحقيقي، وتنفتح أمامنا </w:t>
      </w:r>
      <w:r w:rsidRPr="00E14ED6">
        <w:rPr>
          <w:rFonts w:hint="cs"/>
          <w:rtl/>
        </w:rPr>
        <w:lastRenderedPageBreak/>
        <w:t xml:space="preserve">سبل الرقي والتسامي </w:t>
      </w:r>
      <w:r w:rsidRPr="00617008">
        <w:rPr>
          <w:rFonts w:hint="cs"/>
          <w:rtl/>
        </w:rPr>
        <w:t>«</w:t>
      </w:r>
      <w:r w:rsidRPr="00E14ED6">
        <w:rPr>
          <w:rFonts w:hint="cs"/>
          <w:rtl/>
        </w:rPr>
        <w:t>من اقتنع بالكفاف أدّاه إلى العفاف</w:t>
      </w:r>
      <w:r w:rsidRPr="00617008">
        <w:rPr>
          <w:rFonts w:hint="cs"/>
          <w:rtl/>
        </w:rPr>
        <w:t>»</w:t>
      </w:r>
      <w:r w:rsidRPr="00815C4C">
        <w:rPr>
          <w:rFonts w:cs="Taher"/>
          <w:vertAlign w:val="superscript"/>
          <w:rtl/>
        </w:rPr>
        <w:t>(</w:t>
      </w:r>
      <w:r w:rsidRPr="00815C4C">
        <w:rPr>
          <w:rFonts w:cs="Taher"/>
          <w:vertAlign w:val="superscript"/>
          <w:rtl/>
        </w:rPr>
        <w:footnoteReference w:id="1130"/>
      </w:r>
      <w:r w:rsidRPr="00815C4C">
        <w:rPr>
          <w:rFonts w:cs="Taher"/>
          <w:vertAlign w:val="superscript"/>
          <w:rtl/>
        </w:rPr>
        <w:t>)</w:t>
      </w:r>
      <w:r w:rsidRPr="00E14ED6">
        <w:rPr>
          <w:rFonts w:hint="cs"/>
          <w:rtl/>
        </w:rPr>
        <w:t>.</w:t>
      </w:r>
    </w:p>
    <w:p w:rsidR="00F52EBA" w:rsidRPr="00E14ED6" w:rsidRDefault="00F52EBA" w:rsidP="001D1319">
      <w:pPr>
        <w:pStyle w:val="ac"/>
        <w:spacing w:line="202" w:lineRule="auto"/>
        <w:rPr>
          <w:rtl/>
        </w:rPr>
      </w:pPr>
      <w:r w:rsidRPr="00E14ED6">
        <w:rPr>
          <w:rFonts w:hint="cs"/>
          <w:rtl/>
        </w:rPr>
        <w:t>وبناءً على هذا، فمحاولة تحسين أوضاع الناس الاقتصادية والمعيشية وتقسيم الثروة بالقسط والعدل في المجتمع أحد عوامل وصول المجتمع إلى السعادة والصلاح والحياة الطيبة.</w:t>
      </w:r>
    </w:p>
    <w:p w:rsidR="00F52EBA" w:rsidRPr="00E14ED6" w:rsidRDefault="00F52EBA" w:rsidP="001D1319">
      <w:pPr>
        <w:pStyle w:val="ac"/>
        <w:spacing w:line="199" w:lineRule="auto"/>
        <w:rPr>
          <w:rtl/>
        </w:rPr>
      </w:pPr>
      <w:r w:rsidRPr="00E14ED6">
        <w:rPr>
          <w:rFonts w:hint="cs"/>
          <w:rtl/>
        </w:rPr>
        <w:t>4ـ تقديم نماذج (القدوة) مناسبة للشباب: يحتاج الشباب الذين هم أمل المستقبل وبُناته إلى قدوات ليتخذوهم قادة لهم، إنّ أولادنا يكبرون خلال فترة قصيرة ثم يردون المجتمع فيتزوجون ويمارسون أدوارهم ووظائفهم كأمهات أو كآباء، ولا بد لهم من اتخاذ أسلوب واحتلال موقع يحددان لهم مسيرتهم في الحياة، وهذا مهم بالنسبة لهم، فلا بد من أسوة وأنموذج ومثال يقتدون به، ولا بد لهم معرفة من يمكنهم أن يكونوا أسوة لهم، فأحد أسس وأركان حياتهم أن يجدوا أسوةً وأنموذجاً يتأسون به، وبالطبع كلما كانت النماذج أكمل وأسلم وأسمى كان احتمال وإمكان رقيهم أكثر.</w:t>
      </w:r>
    </w:p>
    <w:p w:rsidR="00F52EBA" w:rsidRPr="00E14ED6" w:rsidRDefault="00F52EBA" w:rsidP="001D1319">
      <w:pPr>
        <w:pStyle w:val="ac"/>
        <w:spacing w:line="202" w:lineRule="auto"/>
        <w:rPr>
          <w:rtl/>
        </w:rPr>
      </w:pPr>
      <w:r w:rsidRPr="00E14ED6">
        <w:rPr>
          <w:rFonts w:hint="cs"/>
          <w:rtl/>
        </w:rPr>
        <w:t>إنّ أرضية التقليد في الإنسان وميله إلى البطولة تدفع الكثير من الأشخاص وبشكل غير إرادي إلى اتّباع نماذج معينة، فيقلدون جميع حركاتهم وسكناتهم، ويحاكونهم في ملبسهم وزينتهم. وقد اهتم النظام التربوي الإسلامي بمسألة تقديم نماذج وأمثلة وقدوات جيدة.</w:t>
      </w:r>
    </w:p>
    <w:p w:rsidR="00F52EBA" w:rsidRPr="00E14ED6" w:rsidRDefault="00F52EBA" w:rsidP="001D1319">
      <w:pPr>
        <w:pStyle w:val="ac"/>
        <w:spacing w:line="199" w:lineRule="auto"/>
        <w:rPr>
          <w:rtl/>
        </w:rPr>
      </w:pPr>
      <w:r w:rsidRPr="00E14ED6">
        <w:rPr>
          <w:rFonts w:hint="cs"/>
          <w:rtl/>
        </w:rPr>
        <w:t>فقد عرّف الله تعالى لنا في القرآن الكريم نماذج وقدوات أعمّ من كونها رجالاً أو نساءً، وأرشد المؤمنين إلى انتهاج سبيلهـم، فقـد وصف رسول اللـه</w:t>
      </w:r>
      <w:r w:rsidR="00C86626">
        <w:rPr>
          <w:rFonts w:hint="cs"/>
          <w:rtl/>
        </w:rPr>
        <w:t>’</w:t>
      </w:r>
      <w:r w:rsidRPr="00E14ED6">
        <w:rPr>
          <w:rFonts w:hint="cs"/>
          <w:rtl/>
        </w:rPr>
        <w:t xml:space="preserve"> بالأسوة الحسنة والقدوة العامّة في التربية، فقال عز من قائل: </w:t>
      </w:r>
      <w:r w:rsidR="002F7681" w:rsidRPr="002F7681">
        <w:rPr>
          <w:rtl/>
        </w:rPr>
        <w:t>﴿</w:t>
      </w:r>
      <w:r w:rsidR="002F7681" w:rsidRPr="002F7681">
        <w:rPr>
          <w:b/>
          <w:bCs/>
          <w:rtl/>
        </w:rPr>
        <w:t>لَقَدْ كَانَ لَكُمْ فِي رَسُولِ اللهِ أُسْوَةٌ حَسَنَةٌ</w:t>
      </w:r>
      <w:r w:rsidR="002F7681" w:rsidRPr="002F7681">
        <w:rPr>
          <w:rtl/>
        </w:rPr>
        <w:t>﴾</w:t>
      </w:r>
      <w:r w:rsidRPr="00815C4C">
        <w:rPr>
          <w:rFonts w:cs="Taher"/>
          <w:vertAlign w:val="superscript"/>
          <w:rtl/>
        </w:rPr>
        <w:t>(</w:t>
      </w:r>
      <w:r w:rsidRPr="00815C4C">
        <w:rPr>
          <w:rFonts w:cs="Taher"/>
          <w:vertAlign w:val="superscript"/>
          <w:rtl/>
        </w:rPr>
        <w:footnoteReference w:id="1131"/>
      </w:r>
      <w:r w:rsidRPr="00815C4C">
        <w:rPr>
          <w:rFonts w:cs="Taher"/>
          <w:vertAlign w:val="superscript"/>
          <w:rtl/>
        </w:rPr>
        <w:t>)</w:t>
      </w:r>
      <w:r w:rsidRPr="00E14ED6">
        <w:rPr>
          <w:rFonts w:hint="cs"/>
          <w:rtl/>
        </w:rPr>
        <w:t>، ثم تتبعه السيدة فاطمة الزهراء (سلام الله عليها) لتكون أسوة نساء العالمين وسيدتهم، ورئيستهم في المحافظة على حرمة العفاف.</w:t>
      </w:r>
    </w:p>
    <w:p w:rsidR="00F52EBA" w:rsidRPr="00E14ED6" w:rsidRDefault="00F52EBA" w:rsidP="001D1319">
      <w:pPr>
        <w:pStyle w:val="ac"/>
        <w:spacing w:line="202" w:lineRule="auto"/>
        <w:rPr>
          <w:rtl/>
        </w:rPr>
      </w:pPr>
      <w:r w:rsidRPr="00E14ED6">
        <w:rPr>
          <w:rFonts w:hint="cs"/>
          <w:rtl/>
        </w:rPr>
        <w:t>ويوسف</w:t>
      </w:r>
      <w:r w:rsidR="00350F90">
        <w:rPr>
          <w:rFonts w:hint="cs"/>
          <w:rtl/>
        </w:rPr>
        <w:t>×</w:t>
      </w:r>
      <w:r w:rsidRPr="00E14ED6">
        <w:rPr>
          <w:rFonts w:hint="cs"/>
          <w:rtl/>
        </w:rPr>
        <w:t xml:space="preserve"> ومريم</w:t>
      </w:r>
      <w:r>
        <w:rPr>
          <w:rFonts w:hint="cs"/>
          <w:rtl/>
        </w:rPr>
        <w:t>÷</w:t>
      </w:r>
      <w:r w:rsidRPr="00E14ED6">
        <w:rPr>
          <w:rFonts w:hint="cs"/>
          <w:rtl/>
        </w:rPr>
        <w:t xml:space="preserve"> كل منهما أسوة لنا ومظهر للعفة، </w:t>
      </w:r>
      <w:r w:rsidRPr="00617008">
        <w:rPr>
          <w:rFonts w:hint="cs"/>
          <w:rtl/>
        </w:rPr>
        <w:t>«</w:t>
      </w:r>
      <w:r w:rsidRPr="00E14ED6">
        <w:rPr>
          <w:rFonts w:hint="cs"/>
          <w:rtl/>
        </w:rPr>
        <w:t xml:space="preserve">إذا صلح إنسان صار أسوة لجميع الناس، سواء كان ذلك الإنسان الاُسوة رجلاً أو امرأة، كل منهما يصير </w:t>
      </w:r>
      <w:r w:rsidRPr="00E14ED6">
        <w:rPr>
          <w:rFonts w:hint="cs"/>
          <w:rtl/>
        </w:rPr>
        <w:lastRenderedPageBreak/>
        <w:t>أسوة لكل من النساء والرجال، وليس لجنس دون خات</w:t>
      </w:r>
      <w:r w:rsidRPr="00E14ED6">
        <w:rPr>
          <w:rFonts w:hint="eastAsia"/>
          <w:rtl/>
        </w:rPr>
        <w:t>م</w:t>
      </w:r>
      <w:r w:rsidRPr="00617008">
        <w:rPr>
          <w:rFonts w:hint="cs"/>
          <w:rtl/>
        </w:rPr>
        <w:t>»</w:t>
      </w:r>
      <w:r w:rsidRPr="00815C4C">
        <w:rPr>
          <w:rFonts w:cs="Taher"/>
          <w:vertAlign w:val="superscript"/>
          <w:rtl/>
        </w:rPr>
        <w:t>(</w:t>
      </w:r>
      <w:r w:rsidRPr="00815C4C">
        <w:rPr>
          <w:rFonts w:cs="Taher"/>
          <w:vertAlign w:val="superscript"/>
          <w:rtl/>
        </w:rPr>
        <w:footnoteReference w:id="1132"/>
      </w:r>
      <w:r w:rsidRPr="00815C4C">
        <w:rPr>
          <w:rFonts w:cs="Taher"/>
          <w:vertAlign w:val="superscript"/>
          <w:rtl/>
        </w:rPr>
        <w:t>)</w:t>
      </w:r>
      <w:r w:rsidRPr="00E14ED6">
        <w:rPr>
          <w:rFonts w:hint="cs"/>
          <w:rtl/>
        </w:rPr>
        <w:t>.</w:t>
      </w:r>
    </w:p>
    <w:p w:rsidR="00F52EBA" w:rsidRPr="00E14ED6" w:rsidRDefault="00F52EBA" w:rsidP="001D1319">
      <w:pPr>
        <w:pStyle w:val="ac"/>
        <w:spacing w:line="206" w:lineRule="auto"/>
        <w:rPr>
          <w:rtl/>
        </w:rPr>
      </w:pPr>
      <w:r w:rsidRPr="00E14ED6">
        <w:rPr>
          <w:rFonts w:hint="cs"/>
          <w:rtl/>
        </w:rPr>
        <w:t>وبناء على ما ذكرناه، على المتصدين للشؤون الثقافية في الدول الإسلامية أن يهتموا بهذا المبدأ والأساس، ويقدّموا للشباب نماذج وقدوات مناسبة وموفقة، ليملؤوا هذا الفراغ في المجتمع، حتى لا ينحرف الشباب ويتخذ أحد المطربين أو الممثلين المنحرفين أنموذجاً لهم.</w:t>
      </w:r>
    </w:p>
    <w:p w:rsidR="00F52EBA" w:rsidRPr="00E14ED6" w:rsidRDefault="00F52EBA" w:rsidP="001D1319">
      <w:pPr>
        <w:pStyle w:val="ac"/>
        <w:spacing w:line="206" w:lineRule="auto"/>
        <w:rPr>
          <w:rtl/>
        </w:rPr>
      </w:pPr>
      <w:r w:rsidRPr="00E14ED6">
        <w:rPr>
          <w:rFonts w:hint="cs"/>
          <w:rtl/>
        </w:rPr>
        <w:t>5ـ تسهيل أمر الزواج وتوفير مراكز إعلامية متخصّصة به: النكاح أحد المراحل المعقولة في حياة كل فرد، والابتعاد عنه والاحتراز منه يسبّب آثاراً وخسائر لا يمكن التعويض عنها في الحياة.</w:t>
      </w:r>
    </w:p>
    <w:p w:rsidR="00F52EBA" w:rsidRPr="00E14ED6" w:rsidRDefault="00F52EBA" w:rsidP="001D1319">
      <w:pPr>
        <w:pStyle w:val="ac"/>
        <w:spacing w:line="209" w:lineRule="auto"/>
        <w:rPr>
          <w:rtl/>
        </w:rPr>
      </w:pPr>
      <w:r w:rsidRPr="00E14ED6">
        <w:rPr>
          <w:rFonts w:hint="cs"/>
          <w:rtl/>
        </w:rPr>
        <w:t>ومن أهم وظائف المبرمجين والمسؤولين والعوائل و... أن يهيئوا الأرضية المناسبة ويمهدوا للزواج ويقلّلوا من الصعوبات والعراقيل التي تواجهه، ويحثّوا الشباب عليه ويرفعوا الموانع والمشاكل التي تعترضه، ومنها: العمل، والسكن، وعدم الاستقلال الاقتصادي الذي يراه الشباب سدّا يحول دون زواجهم، وتقريب المعايير والمقاييس ووجهات النظر المتعارضة بين الشباب وآبائهم، والذي يكمن في اختلاف نظرات جيلين للأمور المتفاوتة، ويتم هذا عن طريق الوسائل الإعلامية، ومحاولة إقناع الشباب باتّخاذ تجارب آبائهم دروساً، وإقناع الآباء بالاهتمام باختيارات الشباب واحترام آرائهم، وإيجاد مراكز تشاور لتعليم الشباب وإرشادهم في مجال الزواج.</w:t>
      </w:r>
    </w:p>
    <w:p w:rsidR="00F52EBA" w:rsidRPr="00E14ED6" w:rsidRDefault="00F52EBA" w:rsidP="001D1319">
      <w:pPr>
        <w:pStyle w:val="ac"/>
        <w:spacing w:line="209" w:lineRule="auto"/>
        <w:rPr>
          <w:rtl/>
        </w:rPr>
      </w:pPr>
      <w:r w:rsidRPr="00E14ED6">
        <w:rPr>
          <w:rFonts w:hint="cs"/>
          <w:rtl/>
        </w:rPr>
        <w:t>وكذلك تأسيس مراكز تعليم اختيار الزوج المناسب، وعقد مؤتمرات لبحث موضوع الزواج؛ لكي تتهيأ الأرضية المناسبة للزواج الموفق، ولمحو أرضية الانحراف شيئاً فشيئاً.</w:t>
      </w:r>
    </w:p>
    <w:p w:rsidR="00F52EBA" w:rsidRPr="00E14ED6" w:rsidRDefault="00F52EBA" w:rsidP="001D1319">
      <w:pPr>
        <w:pStyle w:val="ac"/>
        <w:spacing w:line="206" w:lineRule="auto"/>
        <w:rPr>
          <w:rtl/>
        </w:rPr>
      </w:pPr>
      <w:r w:rsidRPr="00B102A4">
        <w:rPr>
          <w:rFonts w:cs="Traditional Arabic" w:hint="cs"/>
          <w:b/>
          <w:szCs w:val="32"/>
          <w:rtl/>
        </w:rPr>
        <w:t>6</w:t>
      </w:r>
      <w:r w:rsidRPr="00E75F8E">
        <w:rPr>
          <w:rFonts w:hint="cs"/>
          <w:rtl/>
        </w:rPr>
        <w:t>ـ اتخاذ سياسات مناسبة لإيجاد جوّ آمن للنساء: إذا كان محيط عمل النساء مناسباً بحيث يكون اتصالها بالرجال الأجانب أقلّ ما يمكن، فسيقلّل من الضغط الذي يحدث للبعض نتيجة الالتزام بالحجاب والحفاظ عليه.</w:t>
      </w:r>
    </w:p>
    <w:p w:rsidR="00F52EBA" w:rsidRPr="00E14ED6" w:rsidRDefault="00F52EBA" w:rsidP="00B651E9">
      <w:pPr>
        <w:pStyle w:val="ac"/>
        <w:rPr>
          <w:rtl/>
        </w:rPr>
      </w:pPr>
      <w:r w:rsidRPr="00E14ED6">
        <w:rPr>
          <w:rFonts w:hint="cs"/>
          <w:rtl/>
        </w:rPr>
        <w:lastRenderedPageBreak/>
        <w:t>7 ـ إيجاد مراكز ترفيهية ورياضية وفنية ذات جاذبية كبيرة ومشوقة، تؤمّن محيطاً سالماً لملء أوقات فراغ الشباب.</w:t>
      </w:r>
    </w:p>
    <w:p w:rsidR="00F52EBA" w:rsidRPr="00E14ED6" w:rsidRDefault="00F52EBA" w:rsidP="00B651E9">
      <w:pPr>
        <w:pStyle w:val="ac"/>
        <w:rPr>
          <w:rtl/>
        </w:rPr>
      </w:pPr>
      <w:r w:rsidRPr="00E14ED6">
        <w:rPr>
          <w:rFonts w:hint="cs"/>
          <w:rtl/>
        </w:rPr>
        <w:t>8 ـ الإشراف على النتاجات الثقافية المستوردة.</w:t>
      </w:r>
    </w:p>
    <w:p w:rsidR="001D4CB9" w:rsidRDefault="00F52EBA" w:rsidP="00B651E9">
      <w:pPr>
        <w:pStyle w:val="ac"/>
        <w:rPr>
          <w:rtl/>
        </w:rPr>
      </w:pPr>
      <w:r w:rsidRPr="00E14ED6">
        <w:rPr>
          <w:rFonts w:hint="cs"/>
          <w:rtl/>
        </w:rPr>
        <w:t>9 ـ تعريف السلطة القضائية الناسَ بالأحكام والحدود الشرعية الرادعة، وكشف هوية المفسدين، وملاجقتهم، وتعزيرهم، وتهديدهم من قبل الأجهزة القضائية وقوى الأمن، لمواجهة المفاسد الاجتماعية والانحرافات الأخلاقية.</w:t>
      </w:r>
    </w:p>
    <w:p w:rsidR="001D4CB9" w:rsidRDefault="001D4CB9" w:rsidP="00B651E9">
      <w:pPr>
        <w:pStyle w:val="ac"/>
        <w:rPr>
          <w:rtl/>
        </w:rPr>
        <w:sectPr w:rsidR="001D4CB9" w:rsidSect="006628C6">
          <w:headerReference w:type="even" r:id="rId121"/>
          <w:headerReference w:type="default" r:id="rId122"/>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F52EBA" w:rsidRDefault="00F52EBA" w:rsidP="00B651E9">
      <w:pPr>
        <w:pStyle w:val="ac"/>
        <w:rPr>
          <w:rtl/>
        </w:rPr>
      </w:pPr>
    </w:p>
    <w:p w:rsidR="00F52EBA" w:rsidRDefault="00F52EBA">
      <w:pPr>
        <w:widowControl/>
        <w:bidi w:val="0"/>
        <w:spacing w:line="240" w:lineRule="auto"/>
        <w:ind w:firstLine="0"/>
        <w:jc w:val="left"/>
        <w:outlineLvl w:val="9"/>
        <w:rPr>
          <w:rFonts w:ascii="Arno Pro Display" w:hAnsi="Arno Pro Display"/>
          <w:sz w:val="28"/>
          <w:szCs w:val="30"/>
          <w:rtl/>
        </w:rPr>
      </w:pPr>
      <w:r>
        <w:rPr>
          <w:rtl/>
        </w:rPr>
        <w:br w:type="page"/>
      </w:r>
    </w:p>
    <w:p w:rsidR="00870581" w:rsidRPr="001D1319" w:rsidRDefault="00870581" w:rsidP="001D1319">
      <w:pPr>
        <w:pStyle w:val="ac"/>
        <w:rPr>
          <w:rFonts w:ascii="Mosawi" w:hAnsi="Mosawi"/>
          <w:rtl/>
        </w:rPr>
      </w:pPr>
    </w:p>
    <w:p w:rsidR="00870581" w:rsidRPr="001D1319" w:rsidRDefault="00870581" w:rsidP="001D1319">
      <w:pPr>
        <w:pStyle w:val="ac"/>
        <w:rPr>
          <w:rFonts w:ascii="Mosawi" w:hAnsi="Mosawi"/>
          <w:rtl/>
        </w:rPr>
      </w:pPr>
    </w:p>
    <w:p w:rsidR="00870581" w:rsidRPr="001D1319" w:rsidRDefault="00870581" w:rsidP="001D1319">
      <w:pPr>
        <w:pStyle w:val="ac"/>
        <w:rPr>
          <w:rFonts w:ascii="Mosawi" w:hAnsi="Mosawi"/>
        </w:rPr>
      </w:pPr>
    </w:p>
    <w:p w:rsidR="00870581" w:rsidRPr="001D1319" w:rsidRDefault="00870581" w:rsidP="001D1319">
      <w:pPr>
        <w:pStyle w:val="ac"/>
        <w:rPr>
          <w:rFonts w:ascii="Mosawi" w:hAnsi="Mosawi"/>
          <w:rtl/>
        </w:rPr>
      </w:pPr>
    </w:p>
    <w:p w:rsidR="00870581" w:rsidRPr="001D1319" w:rsidRDefault="00870581" w:rsidP="001D1319">
      <w:pPr>
        <w:pStyle w:val="ac"/>
        <w:rPr>
          <w:rFonts w:ascii="Mosawi" w:hAnsi="Mosawi"/>
          <w:rtl/>
        </w:rPr>
      </w:pPr>
    </w:p>
    <w:p w:rsidR="001D4CB9" w:rsidRDefault="001D4CB9" w:rsidP="00870581">
      <w:pPr>
        <w:pStyle w:val="aff2"/>
        <w:rPr>
          <w:rtl/>
        </w:rPr>
        <w:sectPr w:rsidR="001D4CB9" w:rsidSect="006628C6">
          <w:headerReference w:type="default" r:id="rId123"/>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870581" w:rsidRDefault="00870581" w:rsidP="00870581">
      <w:pPr>
        <w:pStyle w:val="aff2"/>
        <w:rPr>
          <w:rtl/>
        </w:rPr>
      </w:pPr>
      <w:bookmarkStart w:id="700" w:name="_Toc275128324"/>
      <w:r>
        <w:rPr>
          <w:rFonts w:hint="cs"/>
          <w:rtl/>
        </w:rPr>
        <w:lastRenderedPageBreak/>
        <w:t>أزمة الحبّ والإيمان</w:t>
      </w:r>
      <w:bookmarkEnd w:id="700"/>
    </w:p>
    <w:p w:rsidR="00870581" w:rsidRPr="00870581" w:rsidRDefault="00870581" w:rsidP="00870581">
      <w:pPr>
        <w:pStyle w:val="aff2"/>
        <w:rPr>
          <w:rFonts w:cs="ALAWI-3-8"/>
          <w:b/>
          <w:sz w:val="26"/>
          <w:szCs w:val="26"/>
          <w:rtl/>
        </w:rPr>
      </w:pPr>
      <w:bookmarkStart w:id="701" w:name="_Toc275128325"/>
      <w:r w:rsidRPr="00870581">
        <w:rPr>
          <w:rFonts w:hint="cs"/>
          <w:sz w:val="22"/>
          <w:szCs w:val="40"/>
          <w:rtl/>
        </w:rPr>
        <w:t>نظرة أوليّة في الموقف من العلاقات العاطفيّة</w:t>
      </w:r>
      <w:bookmarkEnd w:id="701"/>
    </w:p>
    <w:p w:rsidR="00870581" w:rsidRDefault="00870581" w:rsidP="00870581">
      <w:pPr>
        <w:pStyle w:val="af7"/>
        <w:rPr>
          <w:rtl/>
        </w:rPr>
      </w:pPr>
      <w:bookmarkStart w:id="702" w:name="_Toc275128326"/>
      <w:r>
        <w:rPr>
          <w:rFonts w:hint="cs"/>
          <w:rtl/>
        </w:rPr>
        <w:t>حيدر حب الله</w:t>
      </w:r>
      <w:bookmarkEnd w:id="702"/>
    </w:p>
    <w:p w:rsidR="00870581" w:rsidRPr="001D4CB9" w:rsidRDefault="00870581" w:rsidP="00870581">
      <w:pPr>
        <w:pStyle w:val="ac"/>
        <w:rPr>
          <w:sz w:val="18"/>
          <w:szCs w:val="20"/>
          <w:rtl/>
        </w:rPr>
      </w:pPr>
    </w:p>
    <w:p w:rsidR="00870581" w:rsidRPr="001817DE" w:rsidRDefault="00870581" w:rsidP="001D4CB9">
      <w:pPr>
        <w:pStyle w:val="1"/>
        <w:rPr>
          <w:rtl/>
        </w:rPr>
      </w:pPr>
      <w:bookmarkStart w:id="703" w:name="_Toc275128327"/>
      <w:r w:rsidRPr="001817DE">
        <w:rPr>
          <w:rFonts w:hint="cs"/>
          <w:rtl/>
        </w:rPr>
        <w:t>تمهيد</w:t>
      </w:r>
      <w:bookmarkEnd w:id="703"/>
    </w:p>
    <w:p w:rsidR="00870581" w:rsidRPr="001817DE" w:rsidRDefault="00870581" w:rsidP="001D1319">
      <w:pPr>
        <w:pStyle w:val="ac"/>
        <w:rPr>
          <w:rtl/>
        </w:rPr>
      </w:pPr>
      <w:r w:rsidRPr="001817DE">
        <w:rPr>
          <w:rFonts w:hint="cs"/>
          <w:rtl/>
        </w:rPr>
        <w:t>واحدة من المسائل المدروسة والجديرة بالدراسة أكثر هي نوع العلاقة بين الدين ومفاهيمه وقوانينه وأحكامه وأخلاقي</w:t>
      </w:r>
      <w:r>
        <w:rPr>
          <w:rFonts w:hint="cs"/>
          <w:rtl/>
        </w:rPr>
        <w:t>ّ</w:t>
      </w:r>
      <w:r w:rsidRPr="001817DE">
        <w:rPr>
          <w:rFonts w:hint="cs"/>
          <w:rtl/>
        </w:rPr>
        <w:t>اته و... من جهة وبين الواقع والطبيعة والتكوين والفطرة و... من جهةٍ أخرى، فقد قرأ بعض الباحثين الديني</w:t>
      </w:r>
      <w:r>
        <w:rPr>
          <w:rFonts w:hint="cs"/>
          <w:rtl/>
        </w:rPr>
        <w:t>ّ</w:t>
      </w:r>
      <w:r w:rsidRPr="001817DE">
        <w:rPr>
          <w:rFonts w:hint="cs"/>
          <w:rtl/>
        </w:rPr>
        <w:t>ين في القرن الأخير هذا الموضوع بصورةٍ يمكن التعبير عنها بأنها إثباتية؛ أي أنّهم عالجوا موضوع الرابطة بين الدين والعلم أو بين الفهم الديني والمعطيات العلمية، فمثلاً أخذوا يفك</w:t>
      </w:r>
      <w:r>
        <w:rPr>
          <w:rFonts w:hint="cs"/>
          <w:rtl/>
        </w:rPr>
        <w:t>ّ</w:t>
      </w:r>
      <w:r w:rsidRPr="001817DE">
        <w:rPr>
          <w:rFonts w:hint="cs"/>
          <w:rtl/>
        </w:rPr>
        <w:t xml:space="preserve">رون في إمكانية أن يقدّم العلم معطى معين فيما يرفض النص الديني هذا المعطى العلمي فهل هذا الأمر ممكن؟ وإذا ما واجهنا </w:t>
      </w:r>
      <w:r>
        <w:rPr>
          <w:rFonts w:hint="cs"/>
          <w:rtl/>
        </w:rPr>
        <w:t>أ</w:t>
      </w:r>
      <w:r w:rsidRPr="001817DE">
        <w:rPr>
          <w:rFonts w:hint="cs"/>
          <w:rtl/>
        </w:rPr>
        <w:t>نموذجاً من هذا القبيل فما هي الطريقة التي ينبغي علينا اتباعها حتى لا يبدو هذا التناقض أو هذا الاختلاف بين العلم والدين؟ هل نقوم بتأويل النص</w:t>
      </w:r>
      <w:r>
        <w:rPr>
          <w:rFonts w:hint="cs"/>
          <w:rtl/>
        </w:rPr>
        <w:t>ّ الديني وما معنى التأويل؟ أ</w:t>
      </w:r>
      <w:r w:rsidRPr="001817DE">
        <w:rPr>
          <w:rFonts w:hint="cs"/>
          <w:rtl/>
        </w:rPr>
        <w:t xml:space="preserve">م </w:t>
      </w:r>
      <w:r>
        <w:rPr>
          <w:rFonts w:hint="cs"/>
          <w:rtl/>
        </w:rPr>
        <w:t>أ</w:t>
      </w:r>
      <w:r w:rsidRPr="001817DE">
        <w:rPr>
          <w:rFonts w:hint="cs"/>
          <w:rtl/>
        </w:rPr>
        <w:t>ن</w:t>
      </w:r>
      <w:r>
        <w:rPr>
          <w:rFonts w:hint="cs"/>
          <w:rtl/>
        </w:rPr>
        <w:t>ّ</w:t>
      </w:r>
      <w:r w:rsidRPr="001817DE">
        <w:rPr>
          <w:rFonts w:hint="cs"/>
          <w:rtl/>
        </w:rPr>
        <w:t>نا نرفض المعطيات العلمي</w:t>
      </w:r>
      <w:r>
        <w:rPr>
          <w:rFonts w:hint="cs"/>
          <w:rtl/>
        </w:rPr>
        <w:t>ّة التي نجد أ</w:t>
      </w:r>
      <w:r w:rsidRPr="001817DE">
        <w:rPr>
          <w:rFonts w:hint="cs"/>
          <w:rtl/>
        </w:rPr>
        <w:t>ن</w:t>
      </w:r>
      <w:r>
        <w:rPr>
          <w:rFonts w:hint="cs"/>
          <w:rtl/>
        </w:rPr>
        <w:t>ّ</w:t>
      </w:r>
      <w:r w:rsidRPr="001817DE">
        <w:rPr>
          <w:rFonts w:hint="cs"/>
          <w:rtl/>
        </w:rPr>
        <w:t xml:space="preserve"> النصوص الدينية من الكتاب والسن</w:t>
      </w:r>
      <w:r>
        <w:rPr>
          <w:rFonts w:hint="cs"/>
          <w:rtl/>
        </w:rPr>
        <w:t>ّ</w:t>
      </w:r>
      <w:r w:rsidRPr="001817DE">
        <w:rPr>
          <w:rFonts w:hint="cs"/>
          <w:rtl/>
        </w:rPr>
        <w:t>ة تعارضها وتنافيها؟ لقد حاز هذا الموضوع على اهتمام العلماء منذ القرون الإسلامية الأولى ولو ضمن أشكال مختلفة، ففي البداية كان السؤال يطرح على أساس العلاقة بين العقل والنقل، وهو ما بلور فيما بعد قصةً طويلةً من الخلاف الذي أحاط موضوع علم الفلسفة</w:t>
      </w:r>
      <w:r>
        <w:rPr>
          <w:rFonts w:hint="cs"/>
          <w:rtl/>
        </w:rPr>
        <w:t>،</w:t>
      </w:r>
      <w:r w:rsidRPr="001817DE">
        <w:rPr>
          <w:rFonts w:hint="cs"/>
          <w:rtl/>
        </w:rPr>
        <w:t xml:space="preserve"> حيث اختلف العلماء في الموقف من هذا العلم</w:t>
      </w:r>
      <w:r>
        <w:rPr>
          <w:rFonts w:hint="cs"/>
          <w:rtl/>
        </w:rPr>
        <w:t xml:space="preserve">، سيما </w:t>
      </w:r>
      <w:r>
        <w:rPr>
          <w:rFonts w:hint="cs"/>
          <w:rtl/>
        </w:rPr>
        <w:lastRenderedPageBreak/>
        <w:t>وأ</w:t>
      </w:r>
      <w:r w:rsidRPr="001817DE">
        <w:rPr>
          <w:rFonts w:hint="cs"/>
          <w:rtl/>
        </w:rPr>
        <w:t>ن</w:t>
      </w:r>
      <w:r>
        <w:rPr>
          <w:rFonts w:hint="cs"/>
          <w:rtl/>
        </w:rPr>
        <w:t>ّ</w:t>
      </w:r>
      <w:r w:rsidRPr="001817DE">
        <w:rPr>
          <w:rFonts w:hint="cs"/>
          <w:rtl/>
        </w:rPr>
        <w:t xml:space="preserve"> بعض نتائجه كانوا يرونها معارضة</w:t>
      </w:r>
      <w:r>
        <w:rPr>
          <w:rFonts w:hint="cs"/>
          <w:rtl/>
        </w:rPr>
        <w:t>ً</w:t>
      </w:r>
      <w:r w:rsidRPr="001817DE">
        <w:rPr>
          <w:rFonts w:hint="cs"/>
          <w:rtl/>
        </w:rPr>
        <w:t xml:space="preserve"> لنصوص القرآن الكريم.</w:t>
      </w:r>
    </w:p>
    <w:p w:rsidR="00870581" w:rsidRPr="001817DE" w:rsidRDefault="00870581" w:rsidP="00870581">
      <w:pPr>
        <w:pStyle w:val="ac"/>
        <w:rPr>
          <w:rtl/>
        </w:rPr>
      </w:pPr>
      <w:r w:rsidRPr="001817DE">
        <w:rPr>
          <w:rFonts w:hint="cs"/>
          <w:rtl/>
        </w:rPr>
        <w:t>ولكن للموضوع بعدٌ آخر أعمق وأسبق مرحلةً من هذه المرحلة</w:t>
      </w:r>
      <w:r>
        <w:rPr>
          <w:rFonts w:hint="cs"/>
          <w:rtl/>
        </w:rPr>
        <w:t>،</w:t>
      </w:r>
      <w:r w:rsidRPr="001817DE">
        <w:rPr>
          <w:rFonts w:hint="cs"/>
          <w:rtl/>
        </w:rPr>
        <w:t xml:space="preserve"> ألا وهو البعد الثبوتي والواقعي، فنحن نسأل</w:t>
      </w:r>
      <w:r>
        <w:rPr>
          <w:rFonts w:hint="cs"/>
          <w:rtl/>
        </w:rPr>
        <w:t>:</w:t>
      </w:r>
      <w:r w:rsidRPr="001817DE">
        <w:rPr>
          <w:rFonts w:hint="cs"/>
          <w:rtl/>
        </w:rPr>
        <w:t xml:space="preserve"> هل أن</w:t>
      </w:r>
      <w:r>
        <w:rPr>
          <w:rFonts w:hint="cs"/>
          <w:rtl/>
        </w:rPr>
        <w:t>ّ</w:t>
      </w:r>
      <w:r w:rsidRPr="001817DE">
        <w:rPr>
          <w:rFonts w:hint="cs"/>
          <w:rtl/>
        </w:rPr>
        <w:t xml:space="preserve"> واقع الدين يعارض أو يعاكس واقع العالم والتكوين بما في ذلك التكوين البشري بقطع النظر عما استطاع العلم أو البحث الديني التوصّل إليه؟</w:t>
      </w:r>
    </w:p>
    <w:p w:rsidR="00870581" w:rsidRPr="001817DE" w:rsidRDefault="00870581" w:rsidP="00870581">
      <w:pPr>
        <w:pStyle w:val="ac"/>
        <w:rPr>
          <w:rtl/>
        </w:rPr>
      </w:pPr>
      <w:r w:rsidRPr="001817DE">
        <w:rPr>
          <w:rFonts w:hint="cs"/>
          <w:rtl/>
        </w:rPr>
        <w:t>لقد طرح العلامة السيد محمد حسين الطباطبائي فكرةً في غاية الأهمية في مواضع عديدة من كتاباته</w:t>
      </w:r>
      <w:r w:rsidRPr="00815C4C">
        <w:rPr>
          <w:rFonts w:cs="Taher" w:hint="cs"/>
          <w:vertAlign w:val="superscript"/>
          <w:rtl/>
        </w:rPr>
        <w:t>(</w:t>
      </w:r>
      <w:r w:rsidRPr="00815C4C">
        <w:rPr>
          <w:rFonts w:cs="Taher"/>
          <w:vertAlign w:val="superscript"/>
          <w:rtl/>
        </w:rPr>
        <w:footnoteReference w:id="1133"/>
      </w:r>
      <w:r w:rsidRPr="00815C4C">
        <w:rPr>
          <w:rFonts w:cs="Taher" w:hint="cs"/>
          <w:vertAlign w:val="superscript"/>
          <w:rtl/>
        </w:rPr>
        <w:t>)</w:t>
      </w:r>
      <w:r w:rsidRPr="001817DE">
        <w:rPr>
          <w:rFonts w:hint="cs"/>
          <w:rtl/>
        </w:rPr>
        <w:t>، وتتلخّص هذه الفكرة في أن الشريعة الإسلامية وكذلك الأخلاق وغيرها ليست سوى استجابة للتكوين الذي أودعه الله في الإنسان والطبيعة، فعندما نقول بأن على الإنسان أن يت</w:t>
      </w:r>
      <w:r>
        <w:rPr>
          <w:rFonts w:hint="cs"/>
          <w:rtl/>
        </w:rPr>
        <w:t>ّ</w:t>
      </w:r>
      <w:r w:rsidRPr="001817DE">
        <w:rPr>
          <w:rFonts w:hint="cs"/>
          <w:rtl/>
        </w:rPr>
        <w:t>سم بصفات معينة فإننا نعني بذلك أن الوضع الطبيعي الوجودي له يستدعي ذلك، تماماً كما نقول بأن على الإنسان أن يمارس الحركة في حياته اليومية</w:t>
      </w:r>
      <w:r>
        <w:rPr>
          <w:rFonts w:hint="cs"/>
          <w:rtl/>
        </w:rPr>
        <w:t>،</w:t>
      </w:r>
      <w:r w:rsidRPr="001817DE">
        <w:rPr>
          <w:rFonts w:hint="cs"/>
          <w:rtl/>
        </w:rPr>
        <w:t xml:space="preserve"> لأن ممارسة الحركة وعدم</w:t>
      </w:r>
      <w:r>
        <w:rPr>
          <w:rFonts w:hint="cs"/>
          <w:rtl/>
        </w:rPr>
        <w:t xml:space="preserve"> الخمول يعنيان ضرورةً واستدعاءً</w:t>
      </w:r>
      <w:r w:rsidRPr="001817DE">
        <w:rPr>
          <w:rFonts w:hint="cs"/>
          <w:rtl/>
        </w:rPr>
        <w:t xml:space="preserve"> تكويني</w:t>
      </w:r>
      <w:r>
        <w:rPr>
          <w:rFonts w:hint="cs"/>
          <w:rtl/>
        </w:rPr>
        <w:t>ّ</w:t>
      </w:r>
      <w:r w:rsidRPr="001817DE">
        <w:rPr>
          <w:rFonts w:hint="cs"/>
          <w:rtl/>
        </w:rPr>
        <w:t>اً</w:t>
      </w:r>
      <w:r>
        <w:rPr>
          <w:rFonts w:hint="cs"/>
          <w:rtl/>
        </w:rPr>
        <w:t>،</w:t>
      </w:r>
      <w:r w:rsidRPr="001817DE">
        <w:rPr>
          <w:rFonts w:hint="cs"/>
          <w:rtl/>
        </w:rPr>
        <w:t xml:space="preserve"> فلو لم يمارس الإنسان الحركة فهذا يعني أنه يخالف مقتضى الطبيعة التي خُلق جسده عليها، وهذا معناه </w:t>
      </w:r>
      <w:r>
        <w:rPr>
          <w:rFonts w:hint="cs"/>
          <w:rtl/>
        </w:rPr>
        <w:t xml:space="preserve">ـ </w:t>
      </w:r>
      <w:r w:rsidRPr="001817DE">
        <w:rPr>
          <w:rFonts w:hint="cs"/>
          <w:rtl/>
        </w:rPr>
        <w:t xml:space="preserve">بشكل أكثر دقةً </w:t>
      </w:r>
      <w:r>
        <w:rPr>
          <w:rFonts w:hint="cs"/>
          <w:rtl/>
        </w:rPr>
        <w:t>ـ أ</w:t>
      </w:r>
      <w:r w:rsidRPr="001817DE">
        <w:rPr>
          <w:rFonts w:hint="cs"/>
          <w:rtl/>
        </w:rPr>
        <w:t>ن</w:t>
      </w:r>
      <w:r>
        <w:rPr>
          <w:rFonts w:hint="cs"/>
          <w:rtl/>
        </w:rPr>
        <w:t>ّ</w:t>
      </w:r>
      <w:r w:rsidRPr="001817DE">
        <w:rPr>
          <w:rFonts w:hint="cs"/>
          <w:rtl/>
        </w:rPr>
        <w:t xml:space="preserve"> التعاليم الدينية ليست أمراً إضافي</w:t>
      </w:r>
      <w:r>
        <w:rPr>
          <w:rFonts w:hint="cs"/>
          <w:rtl/>
        </w:rPr>
        <w:t>ّ</w:t>
      </w:r>
      <w:r w:rsidRPr="001817DE">
        <w:rPr>
          <w:rFonts w:hint="cs"/>
          <w:rtl/>
        </w:rPr>
        <w:t>اً على المسار الوجودي والطبيعي للكون والعالم، بل هي كشف</w:t>
      </w:r>
      <w:r>
        <w:rPr>
          <w:rFonts w:hint="cs"/>
          <w:rtl/>
        </w:rPr>
        <w:t>ٌ</w:t>
      </w:r>
      <w:r w:rsidRPr="001817DE">
        <w:rPr>
          <w:rFonts w:hint="cs"/>
          <w:rtl/>
        </w:rPr>
        <w:t xml:space="preserve"> عن هذا المسار حتّى لا يتصر</w:t>
      </w:r>
      <w:r>
        <w:rPr>
          <w:rFonts w:hint="cs"/>
          <w:rtl/>
        </w:rPr>
        <w:t>ّ</w:t>
      </w:r>
      <w:r w:rsidRPr="001817DE">
        <w:rPr>
          <w:rFonts w:hint="cs"/>
          <w:rtl/>
        </w:rPr>
        <w:t>ف الإنسان تصرّفاً يعارض فيه مقتضى الطبيعة والخلقة، ونتيجة هذا الكلام أن</w:t>
      </w:r>
      <w:r>
        <w:rPr>
          <w:rFonts w:hint="cs"/>
          <w:rtl/>
        </w:rPr>
        <w:t>ّ</w:t>
      </w:r>
      <w:r w:rsidRPr="001817DE">
        <w:rPr>
          <w:rFonts w:hint="cs"/>
          <w:rtl/>
        </w:rPr>
        <w:t xml:space="preserve"> التشريعات الإسلامية لا تعارض التكوين البشري </w:t>
      </w:r>
      <w:r>
        <w:rPr>
          <w:rFonts w:hint="cs"/>
          <w:rtl/>
        </w:rPr>
        <w:t xml:space="preserve">ببعديه المادي والمعنوي، </w:t>
      </w:r>
      <w:r w:rsidRPr="001817DE">
        <w:rPr>
          <w:rFonts w:hint="cs"/>
          <w:rtl/>
        </w:rPr>
        <w:t>ولا تتناغم وتنسجم معه فحسب</w:t>
      </w:r>
      <w:r>
        <w:rPr>
          <w:rFonts w:hint="cs"/>
          <w:rtl/>
        </w:rPr>
        <w:t>،</w:t>
      </w:r>
      <w:r w:rsidRPr="001817DE">
        <w:rPr>
          <w:rFonts w:hint="cs"/>
          <w:rtl/>
        </w:rPr>
        <w:t xml:space="preserve"> بل إن</w:t>
      </w:r>
      <w:r>
        <w:rPr>
          <w:rFonts w:hint="cs"/>
          <w:rtl/>
        </w:rPr>
        <w:t>ّ</w:t>
      </w:r>
      <w:r w:rsidRPr="001817DE">
        <w:rPr>
          <w:rFonts w:hint="cs"/>
          <w:rtl/>
        </w:rPr>
        <w:t xml:space="preserve">ها تكمل </w:t>
      </w:r>
      <w:r>
        <w:rPr>
          <w:rFonts w:hint="cs"/>
          <w:rtl/>
        </w:rPr>
        <w:t xml:space="preserve">هذا التكوين </w:t>
      </w:r>
      <w:r w:rsidRPr="001817DE">
        <w:rPr>
          <w:rFonts w:hint="cs"/>
          <w:rtl/>
        </w:rPr>
        <w:t xml:space="preserve">وتتداخل </w:t>
      </w:r>
      <w:r>
        <w:rPr>
          <w:rFonts w:hint="cs"/>
          <w:rtl/>
        </w:rPr>
        <w:t>معه</w:t>
      </w:r>
      <w:r w:rsidRPr="001817DE">
        <w:rPr>
          <w:rFonts w:hint="cs"/>
          <w:rtl/>
        </w:rPr>
        <w:t>، فعندما نقول بأن</w:t>
      </w:r>
      <w:r>
        <w:rPr>
          <w:rFonts w:hint="cs"/>
          <w:rtl/>
        </w:rPr>
        <w:t>ّ</w:t>
      </w:r>
      <w:r w:rsidRPr="001817DE">
        <w:rPr>
          <w:rFonts w:hint="cs"/>
          <w:rtl/>
        </w:rPr>
        <w:t xml:space="preserve"> شرب الخمرة حرام</w:t>
      </w:r>
      <w:r>
        <w:rPr>
          <w:rFonts w:hint="cs"/>
          <w:rtl/>
        </w:rPr>
        <w:t>،</w:t>
      </w:r>
      <w:r w:rsidRPr="001817DE">
        <w:rPr>
          <w:rFonts w:hint="cs"/>
          <w:rtl/>
        </w:rPr>
        <w:t xml:space="preserve"> فهذا معناه </w:t>
      </w:r>
      <w:r>
        <w:rPr>
          <w:rFonts w:hint="cs"/>
          <w:rtl/>
        </w:rPr>
        <w:t>أ</w:t>
      </w:r>
      <w:r w:rsidRPr="001817DE">
        <w:rPr>
          <w:rFonts w:hint="cs"/>
          <w:rtl/>
        </w:rPr>
        <w:t>ن</w:t>
      </w:r>
      <w:r>
        <w:rPr>
          <w:rFonts w:hint="cs"/>
          <w:rtl/>
        </w:rPr>
        <w:t>ّ</w:t>
      </w:r>
      <w:r w:rsidRPr="001817DE">
        <w:rPr>
          <w:rFonts w:hint="cs"/>
          <w:rtl/>
        </w:rPr>
        <w:t xml:space="preserve"> الجسد والروح الإنساني</w:t>
      </w:r>
      <w:r>
        <w:rPr>
          <w:rFonts w:hint="cs"/>
          <w:rtl/>
        </w:rPr>
        <w:t>ّ</w:t>
      </w:r>
      <w:r w:rsidRPr="001817DE">
        <w:rPr>
          <w:rFonts w:hint="cs"/>
          <w:rtl/>
        </w:rPr>
        <w:t>ين يتطل</w:t>
      </w:r>
      <w:r>
        <w:rPr>
          <w:rFonts w:hint="cs"/>
          <w:rtl/>
        </w:rPr>
        <w:t>ّ</w:t>
      </w:r>
      <w:r w:rsidRPr="001817DE">
        <w:rPr>
          <w:rFonts w:hint="cs"/>
          <w:rtl/>
        </w:rPr>
        <w:t>بان في نمط وجودهما عدم تناول هذا النوع من المشروب، لا أن الطبيعة الإنسانية لا مانع لديها من هذا المشروب</w:t>
      </w:r>
      <w:r>
        <w:rPr>
          <w:rFonts w:hint="cs"/>
          <w:rtl/>
        </w:rPr>
        <w:t>،</w:t>
      </w:r>
      <w:r w:rsidRPr="001817DE">
        <w:rPr>
          <w:rFonts w:hint="cs"/>
          <w:rtl/>
        </w:rPr>
        <w:t xml:space="preserve"> فيما الإسلام ـ وزيادة</w:t>
      </w:r>
      <w:r>
        <w:rPr>
          <w:rFonts w:hint="cs"/>
          <w:rtl/>
        </w:rPr>
        <w:t>ً</w:t>
      </w:r>
      <w:r w:rsidRPr="001817DE">
        <w:rPr>
          <w:rFonts w:hint="cs"/>
          <w:rtl/>
        </w:rPr>
        <w:t xml:space="preserve"> على الحالة الطبيعي</w:t>
      </w:r>
      <w:r>
        <w:rPr>
          <w:rFonts w:hint="cs"/>
          <w:rtl/>
        </w:rPr>
        <w:t>ّة ـ أراد أ</w:t>
      </w:r>
      <w:r w:rsidRPr="001817DE">
        <w:rPr>
          <w:rFonts w:hint="cs"/>
          <w:rtl/>
        </w:rPr>
        <w:t>ن ينظّم حياة الإنسان، إن</w:t>
      </w:r>
      <w:r>
        <w:rPr>
          <w:rFonts w:hint="cs"/>
          <w:rtl/>
        </w:rPr>
        <w:t>ّ</w:t>
      </w:r>
      <w:r w:rsidRPr="001817DE">
        <w:rPr>
          <w:rFonts w:hint="cs"/>
          <w:rtl/>
        </w:rPr>
        <w:t xml:space="preserve"> الأمر ليس </w:t>
      </w:r>
      <w:r w:rsidRPr="001817DE">
        <w:rPr>
          <w:rFonts w:hint="cs"/>
          <w:rtl/>
        </w:rPr>
        <w:lastRenderedPageBreak/>
        <w:t>كذلك بنظر العلامة الطباطبائي، وهذا معناه ان الإسلام يتوافق والفطرة كما يت</w:t>
      </w:r>
      <w:r>
        <w:rPr>
          <w:rFonts w:hint="cs"/>
          <w:rtl/>
        </w:rPr>
        <w:t xml:space="preserve">وافق والطبيعة والخلقة ويحترم </w:t>
      </w:r>
      <w:r w:rsidRPr="001817DE">
        <w:rPr>
          <w:rFonts w:hint="cs"/>
          <w:rtl/>
        </w:rPr>
        <w:t>هذا الواقع</w:t>
      </w:r>
      <w:r>
        <w:rPr>
          <w:rFonts w:hint="cs"/>
          <w:rtl/>
        </w:rPr>
        <w:t xml:space="preserve"> كلّه</w:t>
      </w:r>
      <w:r w:rsidRPr="001817DE">
        <w:rPr>
          <w:rFonts w:hint="cs"/>
          <w:rtl/>
        </w:rPr>
        <w:t>، ومن هنا يمكن عدّ ما ذكره العلامة الطباطبائي بمثابة فلسفة لما يتعارف في الوسط الديني من فطري</w:t>
      </w:r>
      <w:r>
        <w:rPr>
          <w:rFonts w:hint="cs"/>
          <w:rtl/>
        </w:rPr>
        <w:t>ّ</w:t>
      </w:r>
      <w:r w:rsidRPr="001817DE">
        <w:rPr>
          <w:rFonts w:hint="cs"/>
          <w:rtl/>
        </w:rPr>
        <w:t>ة الدين والتديّن</w:t>
      </w:r>
      <w:r>
        <w:rPr>
          <w:rFonts w:hint="cs"/>
          <w:rtl/>
        </w:rPr>
        <w:t>،</w:t>
      </w:r>
      <w:r w:rsidRPr="001817DE">
        <w:rPr>
          <w:rFonts w:hint="cs"/>
          <w:rtl/>
        </w:rPr>
        <w:t xml:space="preserve"> وكذلك تعميقاً ل</w:t>
      </w:r>
      <w:r>
        <w:rPr>
          <w:rFonts w:hint="cs"/>
          <w:rtl/>
        </w:rPr>
        <w:t>ـ</w:t>
      </w:r>
      <w:r w:rsidRPr="001817DE">
        <w:rPr>
          <w:rFonts w:hint="cs"/>
          <w:rtl/>
        </w:rPr>
        <w:t>ه وتوسيعاً لدائرته.</w:t>
      </w:r>
    </w:p>
    <w:p w:rsidR="00870581" w:rsidRPr="001817DE" w:rsidRDefault="00870581" w:rsidP="00870581">
      <w:pPr>
        <w:pStyle w:val="ac"/>
        <w:rPr>
          <w:rtl/>
        </w:rPr>
      </w:pPr>
      <w:r w:rsidRPr="001817DE">
        <w:rPr>
          <w:rFonts w:hint="cs"/>
          <w:rtl/>
        </w:rPr>
        <w:t>ومن موقع تأثير العلامة الطباطبائي</w:t>
      </w:r>
      <w:r>
        <w:rPr>
          <w:rFonts w:hint="cs"/>
          <w:rtl/>
        </w:rPr>
        <w:t>،</w:t>
      </w:r>
      <w:r w:rsidRPr="001817DE">
        <w:rPr>
          <w:rFonts w:hint="cs"/>
          <w:rtl/>
        </w:rPr>
        <w:t xml:space="preserve"> جاءت الفكرة التي أثارها الشهيد مرتضى مطهّري </w:t>
      </w:r>
      <w:r>
        <w:rPr>
          <w:rFonts w:hint="cs"/>
          <w:rtl/>
        </w:rPr>
        <w:t xml:space="preserve">(1979م) </w:t>
      </w:r>
      <w:r w:rsidRPr="001817DE">
        <w:rPr>
          <w:rFonts w:hint="cs"/>
          <w:rtl/>
        </w:rPr>
        <w:t>في دراسته لموضوعة المرأة في الاسلام</w:t>
      </w:r>
      <w:r>
        <w:rPr>
          <w:rFonts w:hint="cs"/>
          <w:rtl/>
        </w:rPr>
        <w:t>،</w:t>
      </w:r>
      <w:r w:rsidRPr="001817DE">
        <w:rPr>
          <w:rFonts w:hint="cs"/>
          <w:rtl/>
        </w:rPr>
        <w:t xml:space="preserve"> و</w:t>
      </w:r>
      <w:r>
        <w:rPr>
          <w:rFonts w:hint="cs"/>
          <w:rtl/>
        </w:rPr>
        <w:t xml:space="preserve">التي </w:t>
      </w:r>
      <w:r w:rsidRPr="001817DE">
        <w:rPr>
          <w:rFonts w:hint="cs"/>
          <w:rtl/>
        </w:rPr>
        <w:t>أصّل على أساسها ـ كما وفسّر ـ العديد من المفاهيم الدينية المرتبطة بالمرأة</w:t>
      </w:r>
      <w:r>
        <w:rPr>
          <w:rFonts w:hint="cs"/>
          <w:rtl/>
        </w:rPr>
        <w:t>،</w:t>
      </w:r>
      <w:r w:rsidRPr="001817DE">
        <w:rPr>
          <w:rFonts w:hint="cs"/>
          <w:rtl/>
        </w:rPr>
        <w:t xml:space="preserve"> وهي فكرة التناسب بين القانون والقيمة من جهة والطبيعة والتكوين من جهةٍ أخرى، أي أن</w:t>
      </w:r>
      <w:r>
        <w:rPr>
          <w:rFonts w:hint="cs"/>
          <w:rtl/>
        </w:rPr>
        <w:t>ّ</w:t>
      </w:r>
      <w:r w:rsidRPr="001817DE">
        <w:rPr>
          <w:rFonts w:hint="cs"/>
          <w:rtl/>
        </w:rPr>
        <w:t xml:space="preserve"> القانون الناجح والقابل للإجراء </w:t>
      </w:r>
      <w:r>
        <w:rPr>
          <w:rFonts w:hint="cs"/>
          <w:rtl/>
        </w:rPr>
        <w:t xml:space="preserve">والتنفيذ </w:t>
      </w:r>
      <w:r w:rsidRPr="001817DE">
        <w:rPr>
          <w:rFonts w:hint="cs"/>
          <w:rtl/>
        </w:rPr>
        <w:t>هو ذاك القانون الذي يمكنه مماهاة الواقع التكويني وإقامة جسورٍ من التناغم والات</w:t>
      </w:r>
      <w:r>
        <w:rPr>
          <w:rFonts w:hint="cs"/>
          <w:rtl/>
        </w:rPr>
        <w:t>ّ</w:t>
      </w:r>
      <w:r w:rsidRPr="001817DE">
        <w:rPr>
          <w:rFonts w:hint="cs"/>
          <w:rtl/>
        </w:rPr>
        <w:t>ساق والانسجام والمحاكاة معه</w:t>
      </w:r>
      <w:r>
        <w:rPr>
          <w:rFonts w:hint="cs"/>
          <w:rtl/>
        </w:rPr>
        <w:t>،</w:t>
      </w:r>
      <w:r w:rsidRPr="001817DE">
        <w:rPr>
          <w:rFonts w:hint="cs"/>
          <w:rtl/>
        </w:rPr>
        <w:t xml:space="preserve"> والا فإن</w:t>
      </w:r>
      <w:r>
        <w:rPr>
          <w:rFonts w:hint="cs"/>
          <w:rtl/>
        </w:rPr>
        <w:t>ّ</w:t>
      </w:r>
      <w:r w:rsidRPr="001817DE">
        <w:rPr>
          <w:rFonts w:hint="cs"/>
          <w:rtl/>
        </w:rPr>
        <w:t xml:space="preserve"> ما سينجم عن هذا القانون ـ على أقلّ تقدير ـ هو فشله وإخفاقه في حركة الممارسة اليومي</w:t>
      </w:r>
      <w:r>
        <w:rPr>
          <w:rFonts w:hint="cs"/>
          <w:rtl/>
        </w:rPr>
        <w:t>ّ</w:t>
      </w:r>
      <w:r w:rsidRPr="001817DE">
        <w:rPr>
          <w:rFonts w:hint="cs"/>
          <w:rtl/>
        </w:rPr>
        <w:t>ة.</w:t>
      </w:r>
    </w:p>
    <w:p w:rsidR="00870581" w:rsidRPr="001817DE" w:rsidRDefault="00870581" w:rsidP="001D4CB9">
      <w:pPr>
        <w:pStyle w:val="afffffc"/>
        <w:rPr>
          <w:rtl/>
        </w:rPr>
      </w:pPr>
    </w:p>
    <w:p w:rsidR="00870581" w:rsidRPr="001817DE" w:rsidRDefault="00870581" w:rsidP="002F7681">
      <w:pPr>
        <w:pStyle w:val="1"/>
        <w:rPr>
          <w:rtl/>
        </w:rPr>
      </w:pPr>
      <w:bookmarkStart w:id="704" w:name="_Toc275128328"/>
      <w:r w:rsidRPr="001817DE">
        <w:rPr>
          <w:rFonts w:hint="cs"/>
          <w:rtl/>
        </w:rPr>
        <w:t>الحب</w:t>
      </w:r>
      <w:r>
        <w:rPr>
          <w:rFonts w:hint="cs"/>
          <w:rtl/>
        </w:rPr>
        <w:t>ّ</w:t>
      </w:r>
      <w:r w:rsidRPr="001817DE">
        <w:rPr>
          <w:rFonts w:hint="cs"/>
          <w:rtl/>
        </w:rPr>
        <w:t xml:space="preserve"> وسيكولوجيا المراهَقة</w:t>
      </w:r>
      <w:bookmarkEnd w:id="704"/>
    </w:p>
    <w:p w:rsidR="00870581" w:rsidRPr="001817DE" w:rsidRDefault="00870581" w:rsidP="00870581">
      <w:pPr>
        <w:pStyle w:val="ac"/>
        <w:rPr>
          <w:rtl/>
        </w:rPr>
      </w:pPr>
      <w:r w:rsidRPr="001817DE">
        <w:rPr>
          <w:rFonts w:hint="cs"/>
          <w:rtl/>
        </w:rPr>
        <w:t xml:space="preserve">ليس البحث السيكولوجي من </w:t>
      </w:r>
      <w:r>
        <w:rPr>
          <w:rFonts w:hint="cs"/>
          <w:rtl/>
        </w:rPr>
        <w:t>اختصاص الكاتب، لكن ـ ومن باب الإشارة إ</w:t>
      </w:r>
      <w:r w:rsidRPr="001817DE">
        <w:rPr>
          <w:rFonts w:hint="cs"/>
          <w:rtl/>
        </w:rPr>
        <w:t xml:space="preserve">لى كلام المختصّين في هذا المجال، كما والاشارة إلى واقعٍ يوميٍّ إنسانيٍّ ـ يمكننا القول بأن الفطرة الانسانية أو </w:t>
      </w:r>
      <w:r>
        <w:rPr>
          <w:rFonts w:hint="cs"/>
          <w:rtl/>
        </w:rPr>
        <w:t>دعونا نعبّر التركيبة النفسية الإ</w:t>
      </w:r>
      <w:r w:rsidRPr="001817DE">
        <w:rPr>
          <w:rFonts w:hint="cs"/>
          <w:rtl/>
        </w:rPr>
        <w:t>نسانية تن</w:t>
      </w:r>
      <w:r>
        <w:rPr>
          <w:rFonts w:hint="cs"/>
          <w:rtl/>
        </w:rPr>
        <w:t>ـ</w:t>
      </w:r>
      <w:r w:rsidRPr="001817DE">
        <w:rPr>
          <w:rFonts w:hint="cs"/>
          <w:rtl/>
        </w:rPr>
        <w:t>زع دائماً نحو الحبّ والعشق، أي أ</w:t>
      </w:r>
      <w:r>
        <w:rPr>
          <w:rFonts w:hint="cs"/>
          <w:rtl/>
        </w:rPr>
        <w:t>نّ الحب بالنسبة للذات الإ</w:t>
      </w:r>
      <w:r w:rsidRPr="001817DE">
        <w:rPr>
          <w:rFonts w:hint="cs"/>
          <w:rtl/>
        </w:rPr>
        <w:t>نسانية يعبّر عن ظاهرةٍ استدعائيّةٍ للنفس البشريّة، فعندما نقول</w:t>
      </w:r>
      <w:r>
        <w:rPr>
          <w:rFonts w:hint="cs"/>
          <w:rtl/>
        </w:rPr>
        <w:t>:</w:t>
      </w:r>
      <w:r w:rsidRPr="001817DE">
        <w:rPr>
          <w:rFonts w:hint="cs"/>
          <w:rtl/>
        </w:rPr>
        <w:t xml:space="preserve"> </w:t>
      </w:r>
      <w:r w:rsidRPr="00885E99">
        <w:rPr>
          <w:rFonts w:hint="eastAsia"/>
          <w:rtl/>
        </w:rPr>
        <w:t>«</w:t>
      </w:r>
      <w:r w:rsidRPr="001817DE">
        <w:rPr>
          <w:rFonts w:hint="cs"/>
          <w:rtl/>
        </w:rPr>
        <w:t>نفس بشرية</w:t>
      </w:r>
      <w:r>
        <w:rPr>
          <w:rFonts w:hint="eastAsia"/>
          <w:rtl/>
        </w:rPr>
        <w:t>»</w:t>
      </w:r>
      <w:r w:rsidRPr="001817DE">
        <w:rPr>
          <w:rFonts w:hint="cs"/>
          <w:rtl/>
        </w:rPr>
        <w:t xml:space="preserve"> فإنّ هذا المفهوم </w:t>
      </w:r>
      <w:r>
        <w:rPr>
          <w:rFonts w:hint="cs"/>
          <w:rtl/>
        </w:rPr>
        <w:t>يرشدنا ـ في وعينا وإ</w:t>
      </w:r>
      <w:r w:rsidRPr="001817DE">
        <w:rPr>
          <w:rFonts w:hint="cs"/>
          <w:rtl/>
        </w:rPr>
        <w:t xml:space="preserve">دراكنا له </w:t>
      </w:r>
      <w:r>
        <w:rPr>
          <w:rFonts w:hint="cs"/>
          <w:rtl/>
        </w:rPr>
        <w:t>ــ</w:t>
      </w:r>
      <w:r w:rsidRPr="001817DE">
        <w:rPr>
          <w:rFonts w:hint="cs"/>
          <w:rtl/>
        </w:rPr>
        <w:t xml:space="preserve"> إلى ظاهرةٍ نسمّيها نحن الحب، وليست هذه الظاهرة خصيصة إنسانيّة</w:t>
      </w:r>
      <w:r>
        <w:rPr>
          <w:rFonts w:hint="cs"/>
          <w:rtl/>
        </w:rPr>
        <w:t>،</w:t>
      </w:r>
      <w:r w:rsidRPr="001817DE">
        <w:rPr>
          <w:rFonts w:hint="cs"/>
          <w:rtl/>
        </w:rPr>
        <w:t xml:space="preserve"> بمعنى أنها لا تختصّ بالإنسان فقط</w:t>
      </w:r>
      <w:r>
        <w:rPr>
          <w:rFonts w:hint="cs"/>
          <w:rtl/>
        </w:rPr>
        <w:t>،</w:t>
      </w:r>
      <w:r w:rsidRPr="001817DE">
        <w:rPr>
          <w:rFonts w:hint="cs"/>
          <w:rtl/>
        </w:rPr>
        <w:t xml:space="preserve"> بل هي ضاربةٌ بجذورها في البعد الحيواني أيضاً، فهي تلاحظ في الحيوانات أيضاً في علاقة الأم بأطفالها وهكذا...</w:t>
      </w:r>
    </w:p>
    <w:p w:rsidR="00870581" w:rsidRPr="001817DE" w:rsidRDefault="00870581" w:rsidP="00870581">
      <w:pPr>
        <w:pStyle w:val="ac"/>
        <w:rPr>
          <w:rtl/>
        </w:rPr>
      </w:pPr>
      <w:r w:rsidRPr="001817DE">
        <w:rPr>
          <w:rFonts w:hint="cs"/>
          <w:rtl/>
        </w:rPr>
        <w:t>أي نحن فعلاً ـ وبلغةٍ مبسّطةٍ ـ نعترف بأن واقعي</w:t>
      </w:r>
      <w:r>
        <w:rPr>
          <w:rFonts w:hint="cs"/>
          <w:rtl/>
        </w:rPr>
        <w:t>ّة الحب بالنسبة للإ</w:t>
      </w:r>
      <w:r w:rsidRPr="001817DE">
        <w:rPr>
          <w:rFonts w:hint="cs"/>
          <w:rtl/>
        </w:rPr>
        <w:t xml:space="preserve">نسان </w:t>
      </w:r>
      <w:r>
        <w:rPr>
          <w:rFonts w:hint="cs"/>
          <w:rtl/>
        </w:rPr>
        <w:t xml:space="preserve">بوسفه </w:t>
      </w:r>
      <w:r w:rsidRPr="001817DE">
        <w:rPr>
          <w:rFonts w:hint="cs"/>
          <w:rtl/>
        </w:rPr>
        <w:t>كائن</w:t>
      </w:r>
      <w:r>
        <w:rPr>
          <w:rFonts w:hint="cs"/>
          <w:rtl/>
        </w:rPr>
        <w:t>اً</w:t>
      </w:r>
      <w:r w:rsidRPr="001817DE">
        <w:rPr>
          <w:rFonts w:hint="cs"/>
          <w:rtl/>
        </w:rPr>
        <w:t xml:space="preserve"> </w:t>
      </w:r>
      <w:r>
        <w:rPr>
          <w:rFonts w:hint="cs"/>
          <w:rtl/>
        </w:rPr>
        <w:t xml:space="preserve">حيّاً </w:t>
      </w:r>
      <w:r w:rsidRPr="001817DE">
        <w:rPr>
          <w:rFonts w:hint="cs"/>
          <w:rtl/>
        </w:rPr>
        <w:t>هي واقعيةٌ لصيقة، وبالتالي ـ</w:t>
      </w:r>
      <w:r>
        <w:rPr>
          <w:rFonts w:hint="cs"/>
          <w:rtl/>
        </w:rPr>
        <w:t xml:space="preserve"> وفق شهادات التجربة اليومية والإ</w:t>
      </w:r>
      <w:r w:rsidRPr="001817DE">
        <w:rPr>
          <w:rFonts w:hint="cs"/>
          <w:rtl/>
        </w:rPr>
        <w:t xml:space="preserve">حساسات الذاتية والدراسات النفسية والقراءات التاريخية ـ </w:t>
      </w:r>
      <w:r>
        <w:rPr>
          <w:rFonts w:hint="cs"/>
          <w:rtl/>
        </w:rPr>
        <w:t xml:space="preserve">لا يمكننا فصل هذه الظاهرة عن </w:t>
      </w:r>
      <w:r>
        <w:rPr>
          <w:rFonts w:hint="cs"/>
          <w:rtl/>
        </w:rPr>
        <w:lastRenderedPageBreak/>
        <w:t>الإ</w:t>
      </w:r>
      <w:r w:rsidRPr="001817DE">
        <w:rPr>
          <w:rFonts w:hint="cs"/>
          <w:rtl/>
        </w:rPr>
        <w:t>نسان نفسه.</w:t>
      </w:r>
    </w:p>
    <w:p w:rsidR="00870581" w:rsidRPr="001817DE" w:rsidRDefault="00870581" w:rsidP="00870581">
      <w:pPr>
        <w:pStyle w:val="ac"/>
        <w:rPr>
          <w:rtl/>
        </w:rPr>
      </w:pPr>
      <w:r w:rsidRPr="001817DE">
        <w:rPr>
          <w:rFonts w:hint="cs"/>
          <w:rtl/>
        </w:rPr>
        <w:t>هذا الكلام هو من الوضوح بمكانٍ فيما يُظن؛ فالتجربة الدينية نفسها في العلاقة مع الله وأئمة الدين، والن</w:t>
      </w:r>
      <w:r>
        <w:rPr>
          <w:rFonts w:hint="cs"/>
          <w:rtl/>
        </w:rPr>
        <w:t>ـ</w:t>
      </w:r>
      <w:r w:rsidRPr="001817DE">
        <w:rPr>
          <w:rFonts w:hint="cs"/>
          <w:rtl/>
        </w:rPr>
        <w:t>زعات العرفاني</w:t>
      </w:r>
      <w:r>
        <w:rPr>
          <w:rFonts w:hint="cs"/>
          <w:rtl/>
        </w:rPr>
        <w:t>ّ</w:t>
      </w:r>
      <w:r w:rsidRPr="001817DE">
        <w:rPr>
          <w:rFonts w:hint="cs"/>
          <w:rtl/>
        </w:rPr>
        <w:t>ة في شرق الأرض وغربها</w:t>
      </w:r>
      <w:r>
        <w:rPr>
          <w:rFonts w:hint="cs"/>
          <w:rtl/>
        </w:rPr>
        <w:t>،</w:t>
      </w:r>
      <w:r w:rsidRPr="001817DE">
        <w:rPr>
          <w:rFonts w:hint="cs"/>
          <w:rtl/>
        </w:rPr>
        <w:t xml:space="preserve"> وكذلك الثورات العاشقة للأوطان والقيم</w:t>
      </w:r>
      <w:r>
        <w:rPr>
          <w:rFonts w:hint="cs"/>
          <w:rtl/>
        </w:rPr>
        <w:t>..</w:t>
      </w:r>
      <w:r w:rsidRPr="001817DE">
        <w:rPr>
          <w:rFonts w:hint="cs"/>
          <w:rtl/>
        </w:rPr>
        <w:t xml:space="preserve"> كلّها تحكي عن ذلك وتؤيّده.</w:t>
      </w:r>
    </w:p>
    <w:p w:rsidR="00870581" w:rsidRPr="001817DE" w:rsidRDefault="00870581" w:rsidP="00870581">
      <w:pPr>
        <w:pStyle w:val="ac"/>
        <w:rPr>
          <w:rtl/>
        </w:rPr>
      </w:pPr>
      <w:r w:rsidRPr="001817DE">
        <w:rPr>
          <w:rFonts w:hint="cs"/>
          <w:rtl/>
        </w:rPr>
        <w:t>بيد أن المشكلة في عملية ترشيد الظ</w:t>
      </w:r>
      <w:r>
        <w:rPr>
          <w:rFonts w:hint="cs"/>
          <w:rtl/>
        </w:rPr>
        <w:t>اهرة، فالكثير من القيم غير مطلق، ولذا فهو</w:t>
      </w:r>
      <w:r w:rsidRPr="001817DE">
        <w:rPr>
          <w:rFonts w:hint="cs"/>
          <w:rtl/>
        </w:rPr>
        <w:t xml:space="preserve"> قابل</w:t>
      </w:r>
      <w:r>
        <w:rPr>
          <w:rFonts w:hint="cs"/>
          <w:rtl/>
        </w:rPr>
        <w:t>ٌ للترشيد والإ</w:t>
      </w:r>
      <w:r w:rsidRPr="001817DE">
        <w:rPr>
          <w:rFonts w:hint="cs"/>
          <w:rtl/>
        </w:rPr>
        <w:t>نضاج السليمين، ولعلّ النقطة التي تعني الدين بشكلٍ أساسي</w:t>
      </w:r>
      <w:r>
        <w:rPr>
          <w:rFonts w:hint="cs"/>
          <w:rtl/>
        </w:rPr>
        <w:t>ّ</w:t>
      </w:r>
      <w:r w:rsidRPr="001817DE">
        <w:rPr>
          <w:rFonts w:hint="cs"/>
          <w:rtl/>
        </w:rPr>
        <w:t xml:space="preserve"> في جدلي</w:t>
      </w:r>
      <w:r>
        <w:rPr>
          <w:rFonts w:hint="cs"/>
          <w:rtl/>
        </w:rPr>
        <w:t>ّ</w:t>
      </w:r>
      <w:r w:rsidRPr="001817DE">
        <w:rPr>
          <w:rFonts w:hint="cs"/>
          <w:rtl/>
        </w:rPr>
        <w:t>ة الحب</w:t>
      </w:r>
      <w:r>
        <w:rPr>
          <w:rFonts w:hint="cs"/>
          <w:rtl/>
        </w:rPr>
        <w:t>ّ والإ</w:t>
      </w:r>
      <w:r w:rsidRPr="001817DE">
        <w:rPr>
          <w:rFonts w:hint="cs"/>
          <w:rtl/>
        </w:rPr>
        <w:t>يمان في عصرنا الراهن تكمن في تثوير المراهَقة لهذه الظاهرة في أعماق النفس البشري</w:t>
      </w:r>
      <w:r>
        <w:rPr>
          <w:rFonts w:hint="cs"/>
          <w:rtl/>
        </w:rPr>
        <w:t>ّ</w:t>
      </w:r>
      <w:r w:rsidRPr="001817DE">
        <w:rPr>
          <w:rFonts w:hint="cs"/>
          <w:rtl/>
        </w:rPr>
        <w:t>ة، أي أن</w:t>
      </w:r>
      <w:r>
        <w:rPr>
          <w:rFonts w:hint="cs"/>
          <w:rtl/>
        </w:rPr>
        <w:t>ّ الإ</w:t>
      </w:r>
      <w:r w:rsidRPr="001817DE">
        <w:rPr>
          <w:rFonts w:hint="cs"/>
          <w:rtl/>
        </w:rPr>
        <w:t>نسان المراهق ـ شاب</w:t>
      </w:r>
      <w:r>
        <w:rPr>
          <w:rFonts w:hint="cs"/>
          <w:rtl/>
        </w:rPr>
        <w:t>ّ</w:t>
      </w:r>
      <w:r w:rsidRPr="001817DE">
        <w:rPr>
          <w:rFonts w:hint="cs"/>
          <w:rtl/>
        </w:rPr>
        <w:t>اً كان أو فتاةً ـ ين</w:t>
      </w:r>
      <w:r>
        <w:rPr>
          <w:rFonts w:hint="cs"/>
          <w:rtl/>
        </w:rPr>
        <w:t>ـ</w:t>
      </w:r>
      <w:r w:rsidRPr="001817DE">
        <w:rPr>
          <w:rFonts w:hint="cs"/>
          <w:rtl/>
        </w:rPr>
        <w:t>زع بفعل ثورة المراهقة للتعبير عن الحب</w:t>
      </w:r>
      <w:r>
        <w:rPr>
          <w:rFonts w:hint="cs"/>
          <w:rtl/>
        </w:rPr>
        <w:t>ّ</w:t>
      </w:r>
      <w:r w:rsidRPr="001817DE">
        <w:rPr>
          <w:rFonts w:hint="cs"/>
          <w:rtl/>
        </w:rPr>
        <w:t xml:space="preserve"> في إطارٍ ثنائيٍّ إنسانيٍّ؛ أي في إطار رابطةٍ بين شاب وفتاة عادةً، فهو ـ أي المراهق ـ يعيش باستمرارٍ حالةً من الحراك العاطفي الثائر، أم</w:t>
      </w:r>
      <w:r>
        <w:rPr>
          <w:rFonts w:hint="cs"/>
          <w:rtl/>
        </w:rPr>
        <w:t>ّ</w:t>
      </w:r>
      <w:r w:rsidRPr="001817DE">
        <w:rPr>
          <w:rFonts w:hint="cs"/>
          <w:rtl/>
        </w:rPr>
        <w:t>ا العشق الإلهي أو العشق المعرفي أو عشق القيم فهي أمورٌ قد تتأخ</w:t>
      </w:r>
      <w:r>
        <w:rPr>
          <w:rFonts w:hint="cs"/>
          <w:rtl/>
        </w:rPr>
        <w:t>ّ</w:t>
      </w:r>
      <w:r w:rsidRPr="001817DE">
        <w:rPr>
          <w:rFonts w:hint="cs"/>
          <w:rtl/>
        </w:rPr>
        <w:t>ر قليلاً</w:t>
      </w:r>
      <w:r>
        <w:rPr>
          <w:rFonts w:hint="cs"/>
          <w:rtl/>
        </w:rPr>
        <w:t>،</w:t>
      </w:r>
      <w:r w:rsidRPr="001817DE">
        <w:rPr>
          <w:rFonts w:hint="cs"/>
          <w:rtl/>
        </w:rPr>
        <w:t xml:space="preserve"> أو قد لا تكون بنفس العمق أو بنفس الحضور على السطح</w:t>
      </w:r>
      <w:r>
        <w:rPr>
          <w:rFonts w:hint="cs"/>
          <w:rtl/>
        </w:rPr>
        <w:t>،</w:t>
      </w:r>
      <w:r w:rsidRPr="001817DE">
        <w:rPr>
          <w:rFonts w:hint="cs"/>
          <w:rtl/>
        </w:rPr>
        <w:t xml:space="preserve"> دون أن نتجاهل الظروف البيئي</w:t>
      </w:r>
      <w:r>
        <w:rPr>
          <w:rFonts w:hint="cs"/>
          <w:rtl/>
        </w:rPr>
        <w:t>ّ</w:t>
      </w:r>
      <w:r w:rsidRPr="001817DE">
        <w:rPr>
          <w:rFonts w:hint="cs"/>
          <w:rtl/>
        </w:rPr>
        <w:t>ة المحيطة التي قد تضاعف أو تقلّص من هذا أو ذاك.</w:t>
      </w:r>
    </w:p>
    <w:p w:rsidR="00870581" w:rsidRPr="001817DE" w:rsidRDefault="00870581" w:rsidP="00870581">
      <w:pPr>
        <w:pStyle w:val="ac"/>
        <w:rPr>
          <w:rtl/>
        </w:rPr>
      </w:pPr>
      <w:r w:rsidRPr="001817DE">
        <w:rPr>
          <w:rFonts w:hint="cs"/>
          <w:rtl/>
        </w:rPr>
        <w:t>وليس هذا الحراك العاطفي بين الشاب والفتاة ظاهرةً اصطنعتها الحضارة الغربي</w:t>
      </w:r>
      <w:r>
        <w:rPr>
          <w:rFonts w:hint="cs"/>
          <w:rtl/>
        </w:rPr>
        <w:t>ّ</w:t>
      </w:r>
      <w:r w:rsidRPr="001817DE">
        <w:rPr>
          <w:rFonts w:hint="cs"/>
          <w:rtl/>
        </w:rPr>
        <w:t>ة الجديدة، فالنصوص الأدبية (وغير الأدبية) القديمة لمختلف الديانات والحضارات والثقافات كلّها تحكي عن نزوعٍ عميقٍ جدّاً لطرفي المكوّن البشري هذا، وبالتالي ليس من الصحيح ربط هذا النوع من العلاقات ـ وبصورةٍ متسرّعةٍ ـ بالظاهرة الغربية المحدثة، بل أساس هذه الروابط إنساني وبشري</w:t>
      </w:r>
      <w:r>
        <w:rPr>
          <w:rFonts w:hint="cs"/>
          <w:rtl/>
        </w:rPr>
        <w:t>،</w:t>
      </w:r>
      <w:r w:rsidRPr="001817DE">
        <w:rPr>
          <w:rFonts w:hint="cs"/>
          <w:rtl/>
        </w:rPr>
        <w:t xml:space="preserve"> بمعنى أنه ليس محصوراً بواقع</w:t>
      </w:r>
      <w:r>
        <w:rPr>
          <w:rFonts w:hint="cs"/>
          <w:rtl/>
        </w:rPr>
        <w:t>ٍ</w:t>
      </w:r>
      <w:r w:rsidRPr="001817DE">
        <w:rPr>
          <w:rFonts w:hint="cs"/>
          <w:rtl/>
        </w:rPr>
        <w:t xml:space="preserve"> معي</w:t>
      </w:r>
      <w:r>
        <w:rPr>
          <w:rFonts w:hint="cs"/>
          <w:rtl/>
        </w:rPr>
        <w:t>ّ</w:t>
      </w:r>
      <w:r w:rsidRPr="001817DE">
        <w:rPr>
          <w:rFonts w:hint="cs"/>
          <w:rtl/>
        </w:rPr>
        <w:t>ن أو في ظل</w:t>
      </w:r>
      <w:r>
        <w:rPr>
          <w:rFonts w:hint="cs"/>
          <w:rtl/>
        </w:rPr>
        <w:t>ّ</w:t>
      </w:r>
      <w:r w:rsidRPr="001817DE">
        <w:rPr>
          <w:rFonts w:hint="cs"/>
          <w:rtl/>
        </w:rPr>
        <w:t xml:space="preserve"> مؤثّرات خاص</w:t>
      </w:r>
      <w:r>
        <w:rPr>
          <w:rFonts w:hint="cs"/>
          <w:rtl/>
        </w:rPr>
        <w:t>ّ</w:t>
      </w:r>
      <w:r w:rsidRPr="001817DE">
        <w:rPr>
          <w:rFonts w:hint="cs"/>
          <w:rtl/>
        </w:rPr>
        <w:t>ة</w:t>
      </w:r>
      <w:r>
        <w:rPr>
          <w:rFonts w:hint="cs"/>
          <w:rtl/>
        </w:rPr>
        <w:t>،</w:t>
      </w:r>
      <w:r w:rsidRPr="001817DE">
        <w:rPr>
          <w:rFonts w:hint="cs"/>
          <w:rtl/>
        </w:rPr>
        <w:t xml:space="preserve"> حتى لو ابتعدنا به عن التفسير الفرويدي للأمور كما سنلاحظ.</w:t>
      </w:r>
    </w:p>
    <w:p w:rsidR="00870581" w:rsidRPr="001817DE" w:rsidRDefault="00870581" w:rsidP="001D4CB9">
      <w:pPr>
        <w:pStyle w:val="afffffc"/>
        <w:rPr>
          <w:rtl/>
        </w:rPr>
      </w:pPr>
    </w:p>
    <w:p w:rsidR="00870581" w:rsidRPr="001817DE" w:rsidRDefault="00870581" w:rsidP="00870581">
      <w:pPr>
        <w:pStyle w:val="1"/>
        <w:rPr>
          <w:rtl/>
        </w:rPr>
      </w:pPr>
      <w:bookmarkStart w:id="705" w:name="_Toc275128329"/>
      <w:r w:rsidRPr="001817DE">
        <w:rPr>
          <w:rFonts w:hint="cs"/>
          <w:rtl/>
        </w:rPr>
        <w:t>تساؤلاتٌ مشروعة</w:t>
      </w:r>
      <w:bookmarkEnd w:id="705"/>
    </w:p>
    <w:p w:rsidR="00870581" w:rsidRPr="001817DE" w:rsidRDefault="00870581" w:rsidP="00870581">
      <w:pPr>
        <w:pStyle w:val="ac"/>
        <w:rPr>
          <w:rtl/>
        </w:rPr>
      </w:pPr>
      <w:r w:rsidRPr="001817DE">
        <w:rPr>
          <w:rFonts w:hint="cs"/>
          <w:rtl/>
        </w:rPr>
        <w:t>في الحقيقة</w:t>
      </w:r>
      <w:r>
        <w:rPr>
          <w:rFonts w:hint="cs"/>
          <w:rtl/>
        </w:rPr>
        <w:t>،</w:t>
      </w:r>
      <w:r w:rsidRPr="001817DE">
        <w:rPr>
          <w:rFonts w:hint="cs"/>
          <w:rtl/>
        </w:rPr>
        <w:t xml:space="preserve"> نحن نواجه هنا مظاهر وتساؤلات على </w:t>
      </w:r>
      <w:r>
        <w:rPr>
          <w:rFonts w:hint="cs"/>
          <w:rtl/>
        </w:rPr>
        <w:t xml:space="preserve">صعيد موقف الدين من هذه الظاهرة، </w:t>
      </w:r>
      <w:r w:rsidRPr="001817DE">
        <w:rPr>
          <w:rFonts w:hint="cs"/>
          <w:rtl/>
        </w:rPr>
        <w:t>وسوف نحاول أن نمرّ عليها باختصار</w:t>
      </w:r>
      <w:r>
        <w:rPr>
          <w:rFonts w:hint="cs"/>
          <w:rtl/>
        </w:rPr>
        <w:t>ٍ</w:t>
      </w:r>
      <w:r w:rsidRPr="001817DE">
        <w:rPr>
          <w:rFonts w:hint="cs"/>
          <w:rtl/>
        </w:rPr>
        <w:t xml:space="preserve"> شديد</w:t>
      </w:r>
      <w:r>
        <w:rPr>
          <w:rFonts w:hint="cs"/>
          <w:rtl/>
        </w:rPr>
        <w:t>ٍ</w:t>
      </w:r>
      <w:r w:rsidRPr="001817DE">
        <w:rPr>
          <w:rFonts w:hint="cs"/>
          <w:rtl/>
        </w:rPr>
        <w:t xml:space="preserve"> يتناسب ومجال</w:t>
      </w:r>
      <w:r>
        <w:rPr>
          <w:rFonts w:hint="cs"/>
          <w:rtl/>
        </w:rPr>
        <w:t xml:space="preserve"> الكلام،</w:t>
      </w:r>
      <w:r w:rsidRPr="001817DE">
        <w:rPr>
          <w:rFonts w:hint="cs"/>
          <w:rtl/>
        </w:rPr>
        <w:t xml:space="preserve"> أهمّها:</w:t>
      </w:r>
    </w:p>
    <w:p w:rsidR="00870581" w:rsidRPr="001817DE" w:rsidRDefault="00870581" w:rsidP="003576EA">
      <w:pPr>
        <w:pStyle w:val="ac"/>
        <w:rPr>
          <w:rtl/>
        </w:rPr>
      </w:pPr>
      <w:r w:rsidRPr="001817DE">
        <w:rPr>
          <w:rFonts w:hint="cs"/>
          <w:rtl/>
        </w:rPr>
        <w:lastRenderedPageBreak/>
        <w:t>1</w:t>
      </w:r>
      <w:r>
        <w:rPr>
          <w:rFonts w:hint="cs"/>
          <w:rtl/>
        </w:rPr>
        <w:t>ـ</w:t>
      </w:r>
      <w:r w:rsidRPr="001817DE">
        <w:rPr>
          <w:rFonts w:hint="cs"/>
          <w:rtl/>
        </w:rPr>
        <w:t xml:space="preserve"> هل يعترف الدين من حيث المبدأ بهذا الحب </w:t>
      </w:r>
      <w:r w:rsidR="003576EA">
        <w:rPr>
          <w:rFonts w:hint="eastAsia"/>
          <w:rtl/>
        </w:rPr>
        <w:t>«</w:t>
      </w:r>
      <w:r w:rsidRPr="001817DE">
        <w:rPr>
          <w:rFonts w:hint="cs"/>
          <w:rtl/>
        </w:rPr>
        <w:t>المراهقي</w:t>
      </w:r>
      <w:r w:rsidR="003576EA">
        <w:rPr>
          <w:rFonts w:hint="eastAsia"/>
          <w:rtl/>
        </w:rPr>
        <w:t>»</w:t>
      </w:r>
      <w:r w:rsidRPr="001817DE">
        <w:rPr>
          <w:rFonts w:hint="cs"/>
          <w:rtl/>
        </w:rPr>
        <w:t xml:space="preserve"> إن صحّ التعبير؟ وهل يقدّم له تفسيراً معي</w:t>
      </w:r>
      <w:r>
        <w:rPr>
          <w:rFonts w:hint="cs"/>
          <w:rtl/>
        </w:rPr>
        <w:t>ّ</w:t>
      </w:r>
      <w:r w:rsidRPr="001817DE">
        <w:rPr>
          <w:rFonts w:hint="cs"/>
          <w:rtl/>
        </w:rPr>
        <w:t>ناً؟</w:t>
      </w:r>
    </w:p>
    <w:p w:rsidR="00870581" w:rsidRPr="001817DE" w:rsidRDefault="00870581" w:rsidP="00870581">
      <w:pPr>
        <w:pStyle w:val="ac"/>
        <w:rPr>
          <w:rtl/>
        </w:rPr>
      </w:pPr>
      <w:r w:rsidRPr="001817DE">
        <w:rPr>
          <w:rFonts w:hint="cs"/>
          <w:rtl/>
        </w:rPr>
        <w:t>2</w:t>
      </w:r>
      <w:r>
        <w:rPr>
          <w:rFonts w:hint="cs"/>
          <w:rtl/>
        </w:rPr>
        <w:t>ـ</w:t>
      </w:r>
      <w:r w:rsidRPr="001817DE">
        <w:rPr>
          <w:rFonts w:hint="cs"/>
          <w:rtl/>
        </w:rPr>
        <w:t xml:space="preserve"> كيف يمكن التوفيق بين اعتراف الدين بهذا الحب</w:t>
      </w:r>
      <w:r>
        <w:rPr>
          <w:rFonts w:hint="cs"/>
          <w:rtl/>
        </w:rPr>
        <w:t>ّ وبين سلسلة القوانين والأ</w:t>
      </w:r>
      <w:r w:rsidRPr="001817DE">
        <w:rPr>
          <w:rFonts w:hint="cs"/>
          <w:rtl/>
        </w:rPr>
        <w:t>حكام الصارمة التي يت</w:t>
      </w:r>
      <w:r>
        <w:rPr>
          <w:rFonts w:hint="cs"/>
          <w:rtl/>
        </w:rPr>
        <w:t>ّ</w:t>
      </w:r>
      <w:r w:rsidRPr="001817DE">
        <w:rPr>
          <w:rFonts w:hint="cs"/>
          <w:rtl/>
        </w:rPr>
        <w:t xml:space="preserve">خذها الدين من موضوعة العلاقة بين الرجل والمرأة كالاختلاط، </w:t>
      </w:r>
      <w:r>
        <w:rPr>
          <w:rFonts w:hint="cs"/>
          <w:rtl/>
        </w:rPr>
        <w:t>و</w:t>
      </w:r>
      <w:r w:rsidRPr="001817DE">
        <w:rPr>
          <w:rFonts w:hint="cs"/>
          <w:rtl/>
        </w:rPr>
        <w:t xml:space="preserve">الزنا، </w:t>
      </w:r>
      <w:r>
        <w:rPr>
          <w:rFonts w:hint="cs"/>
          <w:rtl/>
        </w:rPr>
        <w:t>و</w:t>
      </w:r>
      <w:r w:rsidRPr="001817DE">
        <w:rPr>
          <w:rFonts w:hint="cs"/>
          <w:rtl/>
        </w:rPr>
        <w:t xml:space="preserve">اللمس، </w:t>
      </w:r>
      <w:r>
        <w:rPr>
          <w:rFonts w:hint="cs"/>
          <w:rtl/>
        </w:rPr>
        <w:t>و</w:t>
      </w:r>
      <w:r w:rsidRPr="001817DE">
        <w:rPr>
          <w:rFonts w:hint="cs"/>
          <w:rtl/>
        </w:rPr>
        <w:t xml:space="preserve">القبلة، </w:t>
      </w:r>
      <w:r>
        <w:rPr>
          <w:rFonts w:hint="cs"/>
          <w:rtl/>
        </w:rPr>
        <w:t>و</w:t>
      </w:r>
      <w:r w:rsidRPr="001817DE">
        <w:rPr>
          <w:rFonts w:hint="cs"/>
          <w:rtl/>
        </w:rPr>
        <w:t xml:space="preserve">المصافحة، </w:t>
      </w:r>
      <w:r>
        <w:rPr>
          <w:rFonts w:hint="cs"/>
          <w:rtl/>
        </w:rPr>
        <w:t>و</w:t>
      </w:r>
      <w:r w:rsidRPr="001817DE">
        <w:rPr>
          <w:rFonts w:hint="cs"/>
          <w:rtl/>
        </w:rPr>
        <w:t xml:space="preserve">المزاح، </w:t>
      </w:r>
      <w:r>
        <w:rPr>
          <w:rFonts w:hint="cs"/>
          <w:rtl/>
        </w:rPr>
        <w:t>و</w:t>
      </w:r>
      <w:r w:rsidRPr="001817DE">
        <w:rPr>
          <w:rFonts w:hint="cs"/>
          <w:rtl/>
        </w:rPr>
        <w:t>الستر والنظر...؟</w:t>
      </w:r>
    </w:p>
    <w:p w:rsidR="00870581" w:rsidRPr="001817DE" w:rsidRDefault="00870581" w:rsidP="00870581">
      <w:pPr>
        <w:pStyle w:val="ac"/>
        <w:rPr>
          <w:rtl/>
        </w:rPr>
      </w:pPr>
      <w:r w:rsidRPr="001817DE">
        <w:rPr>
          <w:rFonts w:hint="cs"/>
          <w:rtl/>
        </w:rPr>
        <w:t>وبعبارةٍ أخرى هل نواجه عند اعتراف الدين بهذا الحب</w:t>
      </w:r>
      <w:r>
        <w:rPr>
          <w:rFonts w:hint="cs"/>
          <w:rtl/>
        </w:rPr>
        <w:t>ّ</w:t>
      </w:r>
      <w:r w:rsidRPr="001817DE">
        <w:rPr>
          <w:rFonts w:hint="cs"/>
          <w:rtl/>
        </w:rPr>
        <w:t xml:space="preserve"> نوعاً من الإفراغ له، أي أن</w:t>
      </w:r>
      <w:r>
        <w:rPr>
          <w:rFonts w:hint="cs"/>
          <w:rtl/>
        </w:rPr>
        <w:t>ّ</w:t>
      </w:r>
      <w:r w:rsidRPr="001817DE">
        <w:rPr>
          <w:rFonts w:hint="cs"/>
          <w:rtl/>
        </w:rPr>
        <w:t xml:space="preserve"> الدين يعترف بالحب</w:t>
      </w:r>
      <w:r>
        <w:rPr>
          <w:rFonts w:hint="cs"/>
          <w:rtl/>
        </w:rPr>
        <w:t>ّ</w:t>
      </w:r>
      <w:r w:rsidRPr="001817DE">
        <w:rPr>
          <w:rFonts w:hint="cs"/>
          <w:rtl/>
        </w:rPr>
        <w:t xml:space="preserve"> </w:t>
      </w:r>
      <w:r>
        <w:rPr>
          <w:rFonts w:hint="cs"/>
          <w:rtl/>
        </w:rPr>
        <w:t xml:space="preserve">هذا </w:t>
      </w:r>
      <w:r w:rsidRPr="001817DE">
        <w:rPr>
          <w:rFonts w:hint="cs"/>
          <w:rtl/>
        </w:rPr>
        <w:t>لكنه يصيغه بشكلٍ قد يسلخه عن طبيعته</w:t>
      </w:r>
      <w:r>
        <w:rPr>
          <w:rFonts w:hint="cs"/>
          <w:rtl/>
        </w:rPr>
        <w:t>،</w:t>
      </w:r>
      <w:r w:rsidRPr="001817DE">
        <w:rPr>
          <w:rFonts w:hint="cs"/>
          <w:rtl/>
        </w:rPr>
        <w:t xml:space="preserve"> قناعةً منه بأنه ـ بذلك ـ يربأ به عن الانحراف؟</w:t>
      </w:r>
    </w:p>
    <w:p w:rsidR="00870581" w:rsidRPr="001817DE" w:rsidRDefault="00870581" w:rsidP="00870581">
      <w:pPr>
        <w:pStyle w:val="ac"/>
        <w:rPr>
          <w:rtl/>
        </w:rPr>
      </w:pPr>
      <w:r w:rsidRPr="001817DE">
        <w:rPr>
          <w:rFonts w:hint="cs"/>
          <w:rtl/>
        </w:rPr>
        <w:t xml:space="preserve">أما فيما يخصّ التساؤل الأوّل فلا يوجد بأيدينا ما يمنحنا القناعة برفض الدين لهذه الظاهرة ـ بقطع النظر عن تصوّره المفهومي لها وتقنينه الأخلاقي ـ فليس ثمّة نصٌّ من كتابٍ أو سنّةٍ ينهى عن ذلك، ولا نهدف من ذلك الدخول في دراسةٍ فقهيةٍ قانونيةٍ تشريعيةٍ </w:t>
      </w:r>
      <w:r>
        <w:rPr>
          <w:rFonts w:hint="cs"/>
          <w:rtl/>
        </w:rPr>
        <w:t>مما لا مجال له فعلاً</w:t>
      </w:r>
      <w:r w:rsidRPr="001817DE">
        <w:rPr>
          <w:rFonts w:hint="cs"/>
          <w:rtl/>
        </w:rPr>
        <w:t>،</w:t>
      </w:r>
      <w:r>
        <w:rPr>
          <w:rFonts w:hint="cs"/>
          <w:rtl/>
        </w:rPr>
        <w:t xml:space="preserve"> لكنّنا نسعى إلى تلمّس الإ</w:t>
      </w:r>
      <w:r w:rsidRPr="001817DE">
        <w:rPr>
          <w:rFonts w:hint="cs"/>
          <w:rtl/>
        </w:rPr>
        <w:t xml:space="preserve">جابات من خلال المرور عليها انطلاقاً ـ على الأقل ـ من فتاوى الفقهاء </w:t>
      </w:r>
      <w:r>
        <w:rPr>
          <w:rFonts w:hint="cs"/>
          <w:rtl/>
        </w:rPr>
        <w:t xml:space="preserve">المسلمين </w:t>
      </w:r>
      <w:r w:rsidRPr="001817DE">
        <w:rPr>
          <w:rFonts w:hint="cs"/>
          <w:rtl/>
        </w:rPr>
        <w:t>أنفسهم.</w:t>
      </w:r>
    </w:p>
    <w:p w:rsidR="00870581" w:rsidRPr="001817DE" w:rsidRDefault="00870581" w:rsidP="00870581">
      <w:pPr>
        <w:pStyle w:val="ac"/>
        <w:rPr>
          <w:rFonts w:ascii="Times New Roman" w:hAnsi="Times New Roman"/>
          <w:rtl/>
        </w:rPr>
      </w:pPr>
      <w:r w:rsidRPr="001817DE">
        <w:rPr>
          <w:rFonts w:hint="cs"/>
          <w:rtl/>
        </w:rPr>
        <w:t>لكن القضي</w:t>
      </w:r>
      <w:r>
        <w:rPr>
          <w:rFonts w:hint="cs"/>
          <w:rtl/>
        </w:rPr>
        <w:t>ّ</w:t>
      </w:r>
      <w:r w:rsidRPr="001817DE">
        <w:rPr>
          <w:rFonts w:hint="cs"/>
          <w:rtl/>
        </w:rPr>
        <w:t>ة الأهم تكمن في التصوّر الديني للحب</w:t>
      </w:r>
      <w:r>
        <w:rPr>
          <w:rFonts w:hint="cs"/>
          <w:rtl/>
        </w:rPr>
        <w:t>ّ</w:t>
      </w:r>
      <w:r w:rsidRPr="001817DE">
        <w:rPr>
          <w:rFonts w:hint="cs"/>
          <w:rtl/>
        </w:rPr>
        <w:t xml:space="preserve"> ـ ما دمنا لا نحكي عن علاقةٍ زوجي</w:t>
      </w:r>
      <w:r>
        <w:rPr>
          <w:rFonts w:hint="cs"/>
          <w:rtl/>
        </w:rPr>
        <w:t>ّ</w:t>
      </w:r>
      <w:r w:rsidRPr="001817DE">
        <w:rPr>
          <w:rFonts w:hint="cs"/>
          <w:rtl/>
        </w:rPr>
        <w:t>ةٍ ـ فعلى سبيل المثال إذا قرأنا ـ بالتحليل اللغوي ـ التعبير الغربي لظاهرة الجنس</w:t>
      </w:r>
      <w:r>
        <w:rPr>
          <w:rFonts w:hint="cs"/>
          <w:rtl/>
        </w:rPr>
        <w:t>،</w:t>
      </w:r>
      <w:r w:rsidRPr="001817DE">
        <w:rPr>
          <w:rFonts w:hint="cs"/>
          <w:rtl/>
        </w:rPr>
        <w:t xml:space="preserve"> سنلاحظ أنّ واحداً من هذه التعابير هي كلمة </w:t>
      </w:r>
      <w:r w:rsidRPr="001817DE">
        <w:rPr>
          <w:rFonts w:ascii="Times New Roman" w:hAnsi="Times New Roman"/>
        </w:rPr>
        <w:t>Love</w:t>
      </w:r>
      <w:r>
        <w:rPr>
          <w:rFonts w:ascii="Times New Roman" w:hAnsi="Times New Roman" w:hint="cs"/>
          <w:rtl/>
        </w:rPr>
        <w:t xml:space="preserve"> </w:t>
      </w:r>
      <w:r w:rsidRPr="001817DE">
        <w:rPr>
          <w:rFonts w:ascii="Times New Roman" w:hAnsi="Times New Roman"/>
        </w:rPr>
        <w:t>making</w:t>
      </w:r>
      <w:r w:rsidRPr="001817DE">
        <w:rPr>
          <w:rFonts w:ascii="Times New Roman" w:hAnsi="Times New Roman" w:hint="cs"/>
          <w:rtl/>
        </w:rPr>
        <w:t xml:space="preserve"> وأمثالها؛ أي أن ممارسة الحب تعبيرٌ يراد به العملية الجنسية، وهذا معناه أنّ هناك نوعاً من الإسقاط للجنس على الحب</w:t>
      </w:r>
      <w:r>
        <w:rPr>
          <w:rFonts w:ascii="Times New Roman" w:hAnsi="Times New Roman" w:hint="cs"/>
          <w:rtl/>
        </w:rPr>
        <w:t>ّ</w:t>
      </w:r>
      <w:r w:rsidRPr="001817DE">
        <w:rPr>
          <w:rFonts w:ascii="Times New Roman" w:hAnsi="Times New Roman" w:hint="cs"/>
          <w:rtl/>
        </w:rPr>
        <w:t>، أي أنني أسقط مفهوم الجنس على مفهوم الحب</w:t>
      </w:r>
      <w:r>
        <w:rPr>
          <w:rFonts w:ascii="Times New Roman" w:hAnsi="Times New Roman" w:hint="cs"/>
          <w:rtl/>
        </w:rPr>
        <w:t>ّ</w:t>
      </w:r>
      <w:r w:rsidRPr="001817DE">
        <w:rPr>
          <w:rFonts w:ascii="Times New Roman" w:hAnsi="Times New Roman" w:hint="cs"/>
          <w:rtl/>
        </w:rPr>
        <w:t xml:space="preserve"> ف</w:t>
      </w:r>
      <w:r>
        <w:rPr>
          <w:rFonts w:ascii="Times New Roman" w:hAnsi="Times New Roman" w:hint="cs"/>
          <w:rtl/>
        </w:rPr>
        <w:t>يتمازج المفهومان، بيد أن هذا الأ</w:t>
      </w:r>
      <w:r w:rsidRPr="001817DE">
        <w:rPr>
          <w:rFonts w:ascii="Times New Roman" w:hAnsi="Times New Roman" w:hint="cs"/>
          <w:rtl/>
        </w:rPr>
        <w:t xml:space="preserve">مر غير موجودٍ في اللغة العربية؛ فكلمة حبّ </w:t>
      </w:r>
      <w:r>
        <w:rPr>
          <w:rFonts w:ascii="Times New Roman" w:hAnsi="Times New Roman" w:hint="cs"/>
          <w:rtl/>
        </w:rPr>
        <w:t>في هذه اللغة المنصهرة ــ لاحقاً ــ بالدين الإ</w:t>
      </w:r>
      <w:r w:rsidRPr="001817DE">
        <w:rPr>
          <w:rFonts w:ascii="Times New Roman" w:hAnsi="Times New Roman" w:hint="cs"/>
          <w:rtl/>
        </w:rPr>
        <w:t>سلامي لا تحكي عن أيّ مدلولٍ جنسيٍّ</w:t>
      </w:r>
      <w:r>
        <w:rPr>
          <w:rFonts w:ascii="Times New Roman" w:hAnsi="Times New Roman" w:hint="cs"/>
          <w:rtl/>
        </w:rPr>
        <w:t xml:space="preserve"> مشبع</w:t>
      </w:r>
      <w:r w:rsidRPr="001817DE">
        <w:rPr>
          <w:rFonts w:ascii="Times New Roman" w:hAnsi="Times New Roman" w:hint="cs"/>
          <w:rtl/>
        </w:rPr>
        <w:t>، وبال</w:t>
      </w:r>
      <w:r>
        <w:rPr>
          <w:rFonts w:ascii="Times New Roman" w:hAnsi="Times New Roman" w:hint="cs"/>
          <w:rtl/>
        </w:rPr>
        <w:t>تالي فهي خالية وعارية عن هذا الإ</w:t>
      </w:r>
      <w:r w:rsidRPr="001817DE">
        <w:rPr>
          <w:rFonts w:ascii="Times New Roman" w:hAnsi="Times New Roman" w:hint="cs"/>
          <w:rtl/>
        </w:rPr>
        <w:t>سقاط بحسب تراثها، وإن كان هذا التعبير قد بدأ بالرواج في اللغة العربية الحديثة ربما نتيجة تأث</w:t>
      </w:r>
      <w:r>
        <w:rPr>
          <w:rFonts w:ascii="Times New Roman" w:hAnsi="Times New Roman" w:hint="cs"/>
          <w:rtl/>
        </w:rPr>
        <w:t>ّ</w:t>
      </w:r>
      <w:r w:rsidRPr="001817DE">
        <w:rPr>
          <w:rFonts w:ascii="Times New Roman" w:hAnsi="Times New Roman" w:hint="cs"/>
          <w:rtl/>
        </w:rPr>
        <w:t>رٍ خاطئٍ بالغرب.</w:t>
      </w:r>
    </w:p>
    <w:p w:rsidR="00870581" w:rsidRPr="001817DE" w:rsidRDefault="00870581" w:rsidP="00870581">
      <w:pPr>
        <w:pStyle w:val="ac"/>
        <w:rPr>
          <w:rFonts w:ascii="Times New Roman" w:hAnsi="Times New Roman"/>
          <w:rtl/>
        </w:rPr>
      </w:pPr>
      <w:r w:rsidRPr="001817DE">
        <w:rPr>
          <w:rFonts w:ascii="Times New Roman" w:hAnsi="Times New Roman" w:hint="cs"/>
          <w:rtl/>
        </w:rPr>
        <w:t>إن</w:t>
      </w:r>
      <w:r>
        <w:rPr>
          <w:rFonts w:ascii="Times New Roman" w:hAnsi="Times New Roman" w:hint="cs"/>
          <w:rtl/>
        </w:rPr>
        <w:t>ّ</w:t>
      </w:r>
      <w:r w:rsidRPr="001817DE">
        <w:rPr>
          <w:rFonts w:ascii="Times New Roman" w:hAnsi="Times New Roman" w:hint="cs"/>
          <w:rtl/>
        </w:rPr>
        <w:t xml:space="preserve"> هذا الفصل الحاصل بين الجنس والحب</w:t>
      </w:r>
      <w:r>
        <w:rPr>
          <w:rFonts w:ascii="Times New Roman" w:hAnsi="Times New Roman" w:hint="cs"/>
          <w:rtl/>
        </w:rPr>
        <w:t>ّ</w:t>
      </w:r>
      <w:r w:rsidRPr="001817DE">
        <w:rPr>
          <w:rFonts w:ascii="Times New Roman" w:hAnsi="Times New Roman" w:hint="cs"/>
          <w:rtl/>
        </w:rPr>
        <w:t xml:space="preserve"> يرشدنا إ</w:t>
      </w:r>
      <w:r>
        <w:rPr>
          <w:rFonts w:ascii="Times New Roman" w:hAnsi="Times New Roman" w:hint="cs"/>
          <w:rtl/>
        </w:rPr>
        <w:t xml:space="preserve">لى نوعيّة ما يسمّى بالحب العذري، </w:t>
      </w:r>
      <w:r w:rsidRPr="001817DE">
        <w:rPr>
          <w:rFonts w:ascii="Times New Roman" w:hAnsi="Times New Roman" w:hint="cs"/>
          <w:rtl/>
        </w:rPr>
        <w:t>إن واف</w:t>
      </w:r>
      <w:r>
        <w:rPr>
          <w:rFonts w:ascii="Times New Roman" w:hAnsi="Times New Roman" w:hint="cs"/>
          <w:rtl/>
        </w:rPr>
        <w:t>قنا على هذا التعبير بلحاظ تقسيمه</w:t>
      </w:r>
      <w:r w:rsidRPr="001817DE">
        <w:rPr>
          <w:rFonts w:ascii="Times New Roman" w:hAnsi="Times New Roman" w:hint="cs"/>
          <w:rtl/>
        </w:rPr>
        <w:t xml:space="preserve"> الحب</w:t>
      </w:r>
      <w:r>
        <w:rPr>
          <w:rFonts w:ascii="Times New Roman" w:hAnsi="Times New Roman" w:hint="cs"/>
          <w:rtl/>
        </w:rPr>
        <w:t>ّ إلى عذري وغير عذري</w:t>
      </w:r>
      <w:r w:rsidRPr="001817DE">
        <w:rPr>
          <w:rFonts w:ascii="Times New Roman" w:hAnsi="Times New Roman" w:hint="cs"/>
          <w:rtl/>
        </w:rPr>
        <w:t xml:space="preserve">، </w:t>
      </w:r>
      <w:r w:rsidRPr="001817DE">
        <w:rPr>
          <w:rFonts w:ascii="Times New Roman" w:hAnsi="Times New Roman" w:hint="cs"/>
          <w:rtl/>
        </w:rPr>
        <w:lastRenderedPageBreak/>
        <w:t>فالحب</w:t>
      </w:r>
      <w:r>
        <w:rPr>
          <w:rFonts w:ascii="Times New Roman" w:hAnsi="Times New Roman" w:hint="cs"/>
          <w:rtl/>
        </w:rPr>
        <w:t>ّ</w:t>
      </w:r>
      <w:r w:rsidRPr="001817DE">
        <w:rPr>
          <w:rFonts w:ascii="Times New Roman" w:hAnsi="Times New Roman" w:hint="cs"/>
          <w:rtl/>
        </w:rPr>
        <w:t xml:space="preserve"> البعيد عن الجنس هو ذاك الحب الذي لا يختزن أي</w:t>
      </w:r>
      <w:r>
        <w:rPr>
          <w:rFonts w:ascii="Times New Roman" w:hAnsi="Times New Roman" w:hint="cs"/>
          <w:rtl/>
        </w:rPr>
        <w:t>ّ</w:t>
      </w:r>
      <w:r w:rsidRPr="001817DE">
        <w:rPr>
          <w:rFonts w:ascii="Times New Roman" w:hAnsi="Times New Roman" w:hint="cs"/>
          <w:rtl/>
        </w:rPr>
        <w:t xml:space="preserve"> ضغطٍ جنسيٍّ غرائزيٍّ بعيداً عن ادعاء بعض علماء النفس وعلى رأسهم سيغموند فرويد بأن</w:t>
      </w:r>
      <w:r>
        <w:rPr>
          <w:rFonts w:ascii="Times New Roman" w:hAnsi="Times New Roman" w:hint="cs"/>
          <w:rtl/>
        </w:rPr>
        <w:t>ّ</w:t>
      </w:r>
      <w:r w:rsidRPr="001817DE">
        <w:rPr>
          <w:rFonts w:ascii="Times New Roman" w:hAnsi="Times New Roman" w:hint="cs"/>
          <w:rtl/>
        </w:rPr>
        <w:t xml:space="preserve"> كل مظاهر الحب بكل أنواعه فضلاً عن مظاهر سلوكية أخرى إنما تحكي عن الغريزة الجنسية، كما وبعيداً عن التوجّس ـ المبرّر إلى حدٍّ بعيد ـ من تغطية الدافع الجنسي بعناوين بريئة لدى بعض الشباب المراهق.</w:t>
      </w:r>
    </w:p>
    <w:p w:rsidR="00870581" w:rsidRPr="001817DE" w:rsidRDefault="00870581" w:rsidP="001D4CB9">
      <w:pPr>
        <w:pStyle w:val="ac"/>
        <w:spacing w:line="209" w:lineRule="auto"/>
        <w:rPr>
          <w:rtl/>
        </w:rPr>
      </w:pPr>
      <w:r w:rsidRPr="001817DE">
        <w:rPr>
          <w:rFonts w:hint="cs"/>
          <w:rtl/>
        </w:rPr>
        <w:t>إن</w:t>
      </w:r>
      <w:r>
        <w:rPr>
          <w:rFonts w:hint="cs"/>
          <w:rtl/>
        </w:rPr>
        <w:t>ّ</w:t>
      </w:r>
      <w:r w:rsidRPr="001817DE">
        <w:rPr>
          <w:rFonts w:hint="cs"/>
          <w:rtl/>
        </w:rPr>
        <w:t xml:space="preserve"> </w:t>
      </w:r>
      <w:r>
        <w:rPr>
          <w:rFonts w:hint="cs"/>
          <w:rtl/>
        </w:rPr>
        <w:t xml:space="preserve">ـ </w:t>
      </w:r>
      <w:r w:rsidRPr="001817DE">
        <w:rPr>
          <w:rFonts w:hint="cs"/>
          <w:rtl/>
        </w:rPr>
        <w:t xml:space="preserve">الحب بمفهومه المشروع دينياً </w:t>
      </w:r>
      <w:r>
        <w:rPr>
          <w:rFonts w:hint="cs"/>
          <w:rtl/>
        </w:rPr>
        <w:t xml:space="preserve">ــ </w:t>
      </w:r>
      <w:r w:rsidRPr="001817DE">
        <w:rPr>
          <w:rFonts w:hint="cs"/>
          <w:rtl/>
        </w:rPr>
        <w:t>هو ذاك الحب الذي لا يستبطن نزعةً غرائزيةً، أو دعونا نقول ـ تسهيلاً للأمر ـ هو ذاك الحب الذي لا تبدو في الوعي علامات جنسي</w:t>
      </w:r>
      <w:r>
        <w:rPr>
          <w:rFonts w:hint="cs"/>
          <w:rtl/>
        </w:rPr>
        <w:t>ّ</w:t>
      </w:r>
      <w:r w:rsidRPr="001817DE">
        <w:rPr>
          <w:rFonts w:hint="cs"/>
          <w:rtl/>
        </w:rPr>
        <w:t>ة فيه</w:t>
      </w:r>
      <w:r>
        <w:rPr>
          <w:rFonts w:hint="cs"/>
          <w:rtl/>
        </w:rPr>
        <w:t>،</w:t>
      </w:r>
      <w:r w:rsidRPr="001817DE">
        <w:rPr>
          <w:rFonts w:hint="cs"/>
          <w:rtl/>
        </w:rPr>
        <w:t xml:space="preserve"> بعيداً عما يرسخ في أعماق اللاوعي البعيد.</w:t>
      </w:r>
    </w:p>
    <w:p w:rsidR="00870581" w:rsidRPr="001817DE" w:rsidRDefault="00870581" w:rsidP="001D4CB9">
      <w:pPr>
        <w:pStyle w:val="ac"/>
        <w:spacing w:line="209" w:lineRule="auto"/>
        <w:rPr>
          <w:rtl/>
        </w:rPr>
      </w:pPr>
      <w:r w:rsidRPr="001817DE">
        <w:rPr>
          <w:rFonts w:hint="cs"/>
          <w:rtl/>
        </w:rPr>
        <w:t>وأمّا بالنسبة للتساؤل الثاني ـ وهو التساؤل الأكثر جدّيةً ـ فيمكننا سريعاً إبراز تصورات عاجلة وأوّلية حوله أهمّها:</w:t>
      </w:r>
    </w:p>
    <w:p w:rsidR="00870581" w:rsidRPr="001817DE" w:rsidRDefault="00870581" w:rsidP="001D4CB9">
      <w:pPr>
        <w:pStyle w:val="ac"/>
        <w:spacing w:line="209" w:lineRule="auto"/>
        <w:rPr>
          <w:rtl/>
        </w:rPr>
      </w:pPr>
      <w:r w:rsidRPr="001817DE">
        <w:rPr>
          <w:rFonts w:hint="cs"/>
          <w:rtl/>
        </w:rPr>
        <w:t>1</w:t>
      </w:r>
      <w:r>
        <w:rPr>
          <w:rFonts w:hint="cs"/>
          <w:rtl/>
        </w:rPr>
        <w:t>ـ</w:t>
      </w:r>
      <w:r w:rsidRPr="001817DE">
        <w:rPr>
          <w:rFonts w:hint="cs"/>
          <w:rtl/>
        </w:rPr>
        <w:t xml:space="preserve"> من الضروري التفريق ما بين الموروث الاجتماعي والموروث الديني، فالموروثات الاجتماعية ـ سيما في الوسط العربي الحسّاس جداً إزاء المرأة ـ عادةً ما تكون أكثر تحديداً وتشدّداً من الدين والموروثات الدينية إلى درجة أن الاجتماع الاسلامي لم يتقبل حتّى اليوم ظواهر دينية واضحة الثبوت ومتأكّد منها جداً من قبيل الزواج المؤقت</w:t>
      </w:r>
      <w:r>
        <w:rPr>
          <w:rFonts w:hint="cs"/>
          <w:rtl/>
        </w:rPr>
        <w:t>،</w:t>
      </w:r>
      <w:r w:rsidRPr="001817DE">
        <w:rPr>
          <w:rFonts w:hint="cs"/>
          <w:rtl/>
        </w:rPr>
        <w:t xml:space="preserve"> وخروج الفتاة البالغة من بيت أهلها من غير إذن والدها حتى لو </w:t>
      </w:r>
      <w:r>
        <w:rPr>
          <w:rFonts w:hint="cs"/>
          <w:rtl/>
        </w:rPr>
        <w:t>كان ذهابها</w:t>
      </w:r>
      <w:r w:rsidRPr="001817DE">
        <w:rPr>
          <w:rFonts w:hint="cs"/>
          <w:rtl/>
        </w:rPr>
        <w:t xml:space="preserve"> إلى المسجد</w:t>
      </w:r>
      <w:r>
        <w:rPr>
          <w:rFonts w:hint="cs"/>
          <w:rtl/>
        </w:rPr>
        <w:t>،</w:t>
      </w:r>
      <w:r w:rsidRPr="001817DE">
        <w:rPr>
          <w:rFonts w:hint="cs"/>
          <w:rtl/>
        </w:rPr>
        <w:t xml:space="preserve"> أو حتى بعض أنواع الاختلاط الجائز شرعاً لكنه لدى بعض الشرائح منبوذٌ جداً و...</w:t>
      </w:r>
    </w:p>
    <w:p w:rsidR="00870581" w:rsidRPr="001817DE" w:rsidRDefault="00870581" w:rsidP="00870581">
      <w:pPr>
        <w:pStyle w:val="ac"/>
        <w:rPr>
          <w:rtl/>
        </w:rPr>
      </w:pPr>
      <w:r w:rsidRPr="001817DE">
        <w:rPr>
          <w:rFonts w:hint="cs"/>
          <w:rtl/>
        </w:rPr>
        <w:t>إن وظيفة الجيل المؤمن الصاعد هي إخضاع مظاهرنا الاجتماعية للدين دون العكس سواء كانت مظاهرنا الاجتماعية مغط</w:t>
      </w:r>
      <w:r>
        <w:rPr>
          <w:rFonts w:hint="cs"/>
          <w:rtl/>
        </w:rPr>
        <w:t>ّ</w:t>
      </w:r>
      <w:r w:rsidRPr="001817DE">
        <w:rPr>
          <w:rFonts w:hint="cs"/>
          <w:rtl/>
        </w:rPr>
        <w:t>اةً بستار الاحتياط أو مكشوفةً على التحليل والتفلّت لا فرق في هذا المستوى ومن هذا الجانب، بيد أن هذه الوظيفة ليست راديكاليةً ثورويةً تربك مسار التحوّل الطبيعي للأمور وتحرق المراحل بدافع العجلة والحماس كما يحصل كثيراً، بل هي ـ ويجب أن تكون ـ توفيقيّة تدرّجية مرحلية لا تعيق باهتزازاتها حركة النمو والتنمية الاجتماعية السليمين، كما ولا تفسح المجال لإفراطيات قاتلة...</w:t>
      </w:r>
    </w:p>
    <w:p w:rsidR="00870581" w:rsidRPr="001817DE" w:rsidRDefault="00870581" w:rsidP="001D4CB9">
      <w:pPr>
        <w:pStyle w:val="ac"/>
        <w:spacing w:line="199" w:lineRule="auto"/>
        <w:rPr>
          <w:rtl/>
        </w:rPr>
      </w:pPr>
      <w:r w:rsidRPr="001817DE">
        <w:rPr>
          <w:rFonts w:hint="cs"/>
          <w:rtl/>
        </w:rPr>
        <w:lastRenderedPageBreak/>
        <w:t>ومن هنا يلاحظ أن عوائق الموروث الاجتماعي على صعيد مسألة العلاقة العاطفي</w:t>
      </w:r>
      <w:r>
        <w:rPr>
          <w:rFonts w:hint="cs"/>
          <w:rtl/>
        </w:rPr>
        <w:t>ّ</w:t>
      </w:r>
      <w:r w:rsidRPr="001817DE">
        <w:rPr>
          <w:rFonts w:hint="cs"/>
          <w:rtl/>
        </w:rPr>
        <w:t>ة بين الشاب والفتاة، هي أكبر من العائق الديني، وإصلاح هذه التقاليد بطريقةٍ سليمةٍ تأخذ الدين وقيَمَه عنواناً لها يمكنه أنّ يُساهم في إصلاح حيّزٍ كبيرٍ من نشاطاتنا العاطفية، وهي نشاطاتٌ إذا ما صحّت تترك آثاراً كبيرةً على كافّة مرافق حياتنا وعلى مختلف نشاطاتنا وفعالياتنا وإنتاجياتنا.</w:t>
      </w:r>
    </w:p>
    <w:p w:rsidR="00870581" w:rsidRPr="001817DE" w:rsidRDefault="00870581" w:rsidP="001D4CB9">
      <w:pPr>
        <w:pStyle w:val="ac"/>
        <w:spacing w:line="199" w:lineRule="auto"/>
        <w:rPr>
          <w:rtl/>
        </w:rPr>
      </w:pPr>
      <w:r w:rsidRPr="001817DE">
        <w:rPr>
          <w:rFonts w:hint="cs"/>
          <w:rtl/>
        </w:rPr>
        <w:t>2</w:t>
      </w:r>
      <w:r>
        <w:rPr>
          <w:rFonts w:hint="cs"/>
          <w:rtl/>
        </w:rPr>
        <w:t>ـ</w:t>
      </w:r>
      <w:r w:rsidRPr="001817DE">
        <w:rPr>
          <w:rFonts w:hint="cs"/>
          <w:rtl/>
        </w:rPr>
        <w:t xml:space="preserve"> لكي ينسجم الدين وذاتَه في حذره من الانحراف الأخلاقي الجنسي الذي يتسبّب في مفاسد اجتماعية عديدة ليس مجال بحثها هنا، يُصبح مضطراً لقوننة العلاقات العاطفية للمراهقين </w:t>
      </w:r>
      <w:r>
        <w:rPr>
          <w:rFonts w:hint="cs"/>
          <w:rtl/>
        </w:rPr>
        <w:t>حتى لا تتحوّل الجوانب العاطفية إ</w:t>
      </w:r>
      <w:r w:rsidRPr="001817DE">
        <w:rPr>
          <w:rFonts w:hint="cs"/>
          <w:rtl/>
        </w:rPr>
        <w:t>لى جوانب جنسية كما حصل في الغرب، فبدلاً من تقزيم وتحج</w:t>
      </w:r>
      <w:r>
        <w:rPr>
          <w:rFonts w:hint="cs"/>
          <w:rtl/>
        </w:rPr>
        <w:t>يم العاطفة في الإ</w:t>
      </w:r>
      <w:r w:rsidRPr="001817DE">
        <w:rPr>
          <w:rFonts w:hint="cs"/>
          <w:rtl/>
        </w:rPr>
        <w:t>طار الغرائزي وسعياً لتهذيبها وتشذيبها من الانحرافات الأخلاقية يضع الدين مجموعة محدّداتٍ تربويةٍ وأخلاقيةٍ وعلاقاتيةٍ؛ فيحرّم الزنا وينهي عن تغليب الطابع الجنسي على ظاهرة الحب</w:t>
      </w:r>
      <w:r>
        <w:rPr>
          <w:rFonts w:hint="cs"/>
          <w:rtl/>
        </w:rPr>
        <w:t>ّ</w:t>
      </w:r>
      <w:r w:rsidRPr="001817DE">
        <w:rPr>
          <w:rFonts w:hint="cs"/>
          <w:rtl/>
        </w:rPr>
        <w:t xml:space="preserve"> من خلال فسح المجال لعناصر مثيرة تحرف العاطفة عن مسارها</w:t>
      </w:r>
      <w:r>
        <w:rPr>
          <w:rFonts w:hint="cs"/>
          <w:rtl/>
        </w:rPr>
        <w:t>،</w:t>
      </w:r>
      <w:r w:rsidRPr="001817DE">
        <w:rPr>
          <w:rFonts w:hint="cs"/>
          <w:rtl/>
        </w:rPr>
        <w:t xml:space="preserve"> من قبيل لحن المرأة بالكلام لإمالة قلب الرجل</w:t>
      </w:r>
      <w:r>
        <w:rPr>
          <w:rFonts w:hint="cs"/>
          <w:rtl/>
        </w:rPr>
        <w:t>،</w:t>
      </w:r>
      <w:r w:rsidRPr="001817DE">
        <w:rPr>
          <w:rFonts w:hint="cs"/>
          <w:rtl/>
        </w:rPr>
        <w:t xml:space="preserve"> أو التزيّن والسفور الموجبين لطفو الطابع الجنسي على الفتاة، أو طريقة الكلام والمزاح والتفاعل التي تجمّد من فعاليات الصدق العاطفي لتتجه بالطرفين إلى تفكيرٍ حيوانيٍّ غريزيٍّ لا نحتقره وإنما ننبذ فوضاه.</w:t>
      </w:r>
    </w:p>
    <w:p w:rsidR="00870581" w:rsidRPr="001817DE" w:rsidRDefault="00870581" w:rsidP="001D4CB9">
      <w:pPr>
        <w:pStyle w:val="ac"/>
        <w:spacing w:line="199" w:lineRule="auto"/>
        <w:rPr>
          <w:rtl/>
        </w:rPr>
      </w:pPr>
      <w:r w:rsidRPr="001817DE">
        <w:rPr>
          <w:rFonts w:hint="cs"/>
          <w:rtl/>
        </w:rPr>
        <w:t>إن</w:t>
      </w:r>
      <w:r>
        <w:rPr>
          <w:rFonts w:hint="cs"/>
          <w:rtl/>
        </w:rPr>
        <w:t>ّ</w:t>
      </w:r>
      <w:r w:rsidRPr="001817DE">
        <w:rPr>
          <w:rFonts w:hint="cs"/>
          <w:rtl/>
        </w:rPr>
        <w:t xml:space="preserve"> وضع هذه الحدود </w:t>
      </w:r>
      <w:r>
        <w:rPr>
          <w:rFonts w:hint="cs"/>
          <w:rtl/>
        </w:rPr>
        <w:t xml:space="preserve">ـ </w:t>
      </w:r>
      <w:r w:rsidRPr="001817DE">
        <w:rPr>
          <w:rFonts w:hint="cs"/>
          <w:rtl/>
        </w:rPr>
        <w:t>دون الدخول في تفاصيلها، ودون الدخول في الآليات الميد</w:t>
      </w:r>
      <w:r>
        <w:rPr>
          <w:rFonts w:hint="cs"/>
          <w:rtl/>
        </w:rPr>
        <w:t>انية لبناء هذا النوع من العاطفة</w:t>
      </w:r>
      <w:r w:rsidRPr="001817DE">
        <w:rPr>
          <w:rFonts w:hint="cs"/>
          <w:rtl/>
        </w:rPr>
        <w:t xml:space="preserve"> </w:t>
      </w:r>
      <w:r>
        <w:rPr>
          <w:rFonts w:hint="cs"/>
          <w:rtl/>
        </w:rPr>
        <w:t xml:space="preserve">ــ </w:t>
      </w:r>
      <w:r w:rsidRPr="001817DE">
        <w:rPr>
          <w:rFonts w:hint="cs"/>
          <w:rtl/>
        </w:rPr>
        <w:t>يمكنه أن يصنع في كياناتنا خلاّقيات عاطفية بعيدة نسبي</w:t>
      </w:r>
      <w:r>
        <w:rPr>
          <w:rFonts w:hint="cs"/>
          <w:rtl/>
        </w:rPr>
        <w:t>ّ</w:t>
      </w:r>
      <w:r w:rsidRPr="001817DE">
        <w:rPr>
          <w:rFonts w:hint="cs"/>
          <w:rtl/>
        </w:rPr>
        <w:t>اً عن حضور الجنس وممارساته</w:t>
      </w:r>
      <w:r>
        <w:rPr>
          <w:rFonts w:hint="cs"/>
          <w:rtl/>
        </w:rPr>
        <w:t>،</w:t>
      </w:r>
      <w:r w:rsidRPr="001817DE">
        <w:rPr>
          <w:rFonts w:hint="cs"/>
          <w:rtl/>
        </w:rPr>
        <w:t xml:space="preserve"> كما هو الحاصل غربياً، ويدفع نشاطاتنا الذوقية ورومان</w:t>
      </w:r>
      <w:r>
        <w:rPr>
          <w:rFonts w:hint="cs"/>
          <w:rtl/>
        </w:rPr>
        <w:t>سيّتنا</w:t>
      </w:r>
      <w:r w:rsidRPr="001817DE">
        <w:rPr>
          <w:rFonts w:hint="cs"/>
          <w:rtl/>
        </w:rPr>
        <w:t xml:space="preserve"> الدينية نحو أحاسيس سامية تنمو في ظلّها حركة الفن والأدب والشعر والرسم والصورة والقصّة والحكاية والرواية و... بعيداً عن تمث</w:t>
      </w:r>
      <w:r>
        <w:rPr>
          <w:rFonts w:hint="cs"/>
          <w:rtl/>
        </w:rPr>
        <w:t>ّ</w:t>
      </w:r>
      <w:r w:rsidRPr="001817DE">
        <w:rPr>
          <w:rFonts w:hint="cs"/>
          <w:rtl/>
        </w:rPr>
        <w:t>لات غرائزية، فالشرقي يملك في فنّه ورسمه صورةً مؤدّبةً للمرأة وهي تعمل في القرى والأرياف تختلف عن بعض الصور التي يُسقط عليها الغربي جنسي</w:t>
      </w:r>
      <w:r>
        <w:rPr>
          <w:rFonts w:hint="cs"/>
          <w:rtl/>
        </w:rPr>
        <w:t>ّ</w:t>
      </w:r>
      <w:r w:rsidRPr="001817DE">
        <w:rPr>
          <w:rFonts w:hint="cs"/>
          <w:rtl/>
        </w:rPr>
        <w:t>اته وغرائزي</w:t>
      </w:r>
      <w:r>
        <w:rPr>
          <w:rFonts w:hint="cs"/>
          <w:rtl/>
        </w:rPr>
        <w:t>ّ</w:t>
      </w:r>
      <w:r w:rsidRPr="001817DE">
        <w:rPr>
          <w:rFonts w:hint="cs"/>
          <w:rtl/>
        </w:rPr>
        <w:t>ته لتبدو على شكل المرأة العارية أو ما</w:t>
      </w:r>
      <w:r>
        <w:rPr>
          <w:rFonts w:hint="cs"/>
          <w:rtl/>
        </w:rPr>
        <w:t xml:space="preserve"> </w:t>
      </w:r>
      <w:r w:rsidRPr="001817DE">
        <w:rPr>
          <w:rFonts w:hint="cs"/>
          <w:rtl/>
        </w:rPr>
        <w:t>هو أفحش</w:t>
      </w:r>
      <w:r>
        <w:rPr>
          <w:rFonts w:hint="cs"/>
          <w:rtl/>
        </w:rPr>
        <w:t xml:space="preserve"> من ذلك</w:t>
      </w:r>
      <w:r w:rsidRPr="001817DE">
        <w:rPr>
          <w:rFonts w:hint="cs"/>
          <w:rtl/>
        </w:rPr>
        <w:t>.</w:t>
      </w:r>
    </w:p>
    <w:p w:rsidR="00870581" w:rsidRPr="001817DE" w:rsidRDefault="00870581" w:rsidP="001D4CB9">
      <w:pPr>
        <w:pStyle w:val="ac"/>
        <w:spacing w:line="199" w:lineRule="auto"/>
        <w:rPr>
          <w:rtl/>
        </w:rPr>
      </w:pPr>
      <w:r w:rsidRPr="001817DE">
        <w:rPr>
          <w:rFonts w:hint="cs"/>
          <w:rtl/>
        </w:rPr>
        <w:t>ويمكن القول</w:t>
      </w:r>
      <w:r>
        <w:rPr>
          <w:rFonts w:hint="cs"/>
          <w:rtl/>
        </w:rPr>
        <w:t>:</w:t>
      </w:r>
      <w:r w:rsidRPr="001817DE">
        <w:rPr>
          <w:rFonts w:hint="cs"/>
          <w:rtl/>
        </w:rPr>
        <w:t xml:space="preserve"> إنّ هذه هي الصورة التي تحقّق انسجام العاطفة ال</w:t>
      </w:r>
      <w:r>
        <w:rPr>
          <w:rFonts w:hint="cs"/>
          <w:rtl/>
        </w:rPr>
        <w:t>صادقة القابعة في أعماق النفس الإ</w:t>
      </w:r>
      <w:r w:rsidRPr="001817DE">
        <w:rPr>
          <w:rFonts w:hint="cs"/>
          <w:rtl/>
        </w:rPr>
        <w:t xml:space="preserve">نسانية ـ </w:t>
      </w:r>
      <w:r>
        <w:rPr>
          <w:rFonts w:hint="cs"/>
          <w:rtl/>
        </w:rPr>
        <w:t>بوصفها تكويناً في الطبيعة</w:t>
      </w:r>
      <w:r w:rsidRPr="001817DE">
        <w:rPr>
          <w:rFonts w:hint="cs"/>
          <w:rtl/>
        </w:rPr>
        <w:t xml:space="preserve"> ـ مع المصالح والمفاسد الاجتماعية </w:t>
      </w:r>
      <w:r w:rsidRPr="001817DE">
        <w:rPr>
          <w:rFonts w:hint="cs"/>
          <w:rtl/>
        </w:rPr>
        <w:lastRenderedPageBreak/>
        <w:t>والفـردية فيأتي الدين ليضع قوانينها متناغمةً مع فطريّتها وحذرةً من فوضوي</w:t>
      </w:r>
      <w:r>
        <w:rPr>
          <w:rFonts w:hint="cs"/>
          <w:rtl/>
        </w:rPr>
        <w:t>ّ</w:t>
      </w:r>
      <w:r w:rsidRPr="001817DE">
        <w:rPr>
          <w:rFonts w:hint="cs"/>
          <w:rtl/>
        </w:rPr>
        <w:t>تها وعدم هادفي</w:t>
      </w:r>
      <w:r>
        <w:rPr>
          <w:rFonts w:hint="cs"/>
          <w:rtl/>
        </w:rPr>
        <w:t>ّ</w:t>
      </w:r>
      <w:r w:rsidRPr="001817DE">
        <w:rPr>
          <w:rFonts w:hint="cs"/>
          <w:rtl/>
        </w:rPr>
        <w:t>تها.</w:t>
      </w:r>
    </w:p>
    <w:p w:rsidR="00870581" w:rsidRPr="001817DE" w:rsidRDefault="00870581" w:rsidP="001D4CB9">
      <w:pPr>
        <w:pStyle w:val="ac"/>
        <w:spacing w:line="199" w:lineRule="auto"/>
        <w:rPr>
          <w:rtl/>
        </w:rPr>
      </w:pPr>
      <w:r w:rsidRPr="001817DE">
        <w:rPr>
          <w:rFonts w:hint="cs"/>
          <w:rtl/>
        </w:rPr>
        <w:t>إن</w:t>
      </w:r>
      <w:r>
        <w:rPr>
          <w:rFonts w:hint="cs"/>
          <w:rtl/>
        </w:rPr>
        <w:t>ّ</w:t>
      </w:r>
      <w:r w:rsidRPr="001817DE">
        <w:rPr>
          <w:rFonts w:hint="cs"/>
          <w:rtl/>
        </w:rPr>
        <w:t xml:space="preserve"> مشكلة جيلنا المعاصر ـ ومنه جيلنا الشاب</w:t>
      </w:r>
      <w:r>
        <w:rPr>
          <w:rFonts w:hint="cs"/>
          <w:rtl/>
        </w:rPr>
        <w:t>ّ</w:t>
      </w:r>
      <w:r w:rsidRPr="001817DE">
        <w:rPr>
          <w:rFonts w:hint="cs"/>
          <w:rtl/>
        </w:rPr>
        <w:t xml:space="preserve"> المتديّن ـ هي مشكلة عدم الإفراغ السليم للطاقة العاطفية التكوينية، واذا لم نفكّر بجدٍّ ونشاطٍ في وضع صورةٍ متكاملةٍ لروابط عاطفية دينية يمكنها أن تحل وتنفّس ضغط النفس واحتقان الشعور فإننا سوف نواجه عما قريب انفجاراً قاتلاً تعزّزه عولمة الثقافة والعيش القادمة من غرب الأرض غير راحمةٍ أو مباليةٍ.</w:t>
      </w:r>
    </w:p>
    <w:p w:rsidR="00870581" w:rsidRDefault="00870581" w:rsidP="001D4CB9">
      <w:pPr>
        <w:pStyle w:val="ac"/>
        <w:spacing w:line="199" w:lineRule="auto"/>
        <w:rPr>
          <w:rtl/>
        </w:rPr>
      </w:pPr>
      <w:r w:rsidRPr="001817DE">
        <w:rPr>
          <w:rFonts w:hint="cs"/>
          <w:rtl/>
        </w:rPr>
        <w:t>ليس الحراك الشبابي العاطفي أمراً عابراً في مسيرة الشاب أو الفتاة حتى يمكن التغلّب عليه لا أقل من ناحية المراهنة على زواله يوماً ما، بل على العكس من ذلك تماماً هو مطلبٌ وضرورةٌ ينبغي التفتيش على ما يرش</w:t>
      </w:r>
      <w:r>
        <w:rPr>
          <w:rFonts w:hint="cs"/>
          <w:rtl/>
        </w:rPr>
        <w:t>ّ</w:t>
      </w:r>
      <w:r w:rsidRPr="001817DE">
        <w:rPr>
          <w:rFonts w:hint="cs"/>
          <w:rtl/>
        </w:rPr>
        <w:t>دها لتكون منطلقاً لفعاليات عاطفي</w:t>
      </w:r>
      <w:r>
        <w:rPr>
          <w:rFonts w:hint="cs"/>
          <w:rtl/>
        </w:rPr>
        <w:t>ّ</w:t>
      </w:r>
      <w:r w:rsidRPr="001817DE">
        <w:rPr>
          <w:rFonts w:hint="cs"/>
          <w:rtl/>
        </w:rPr>
        <w:t>ة في المجتمع على غرار الفعاليات العاطفية الأخرى، ولهذا من الخطأ التعاطي مع هذا الموضوع من منطلق الخيار أو من منطلق الرؤية التي يكو</w:t>
      </w:r>
      <w:r>
        <w:rPr>
          <w:rFonts w:hint="cs"/>
          <w:rtl/>
        </w:rPr>
        <w:t>ّ</w:t>
      </w:r>
      <w:r w:rsidRPr="001817DE">
        <w:rPr>
          <w:rFonts w:hint="cs"/>
          <w:rtl/>
        </w:rPr>
        <w:t>نها الأشخاص الذين نضجوا وعبروا مرحلة المراهقة، إن أنماط تفكير هذا الجيل ستجعل الوضع قاسياً جداً على الجيل الشاب نظراً للتباعد الأفقي الثقافي والاجتماعي، إن تحريكنا لهذه العواطف في إطارها السليم سوف يؤمّن لنا أشخاصاً أكثر توازناً في غالب الحالات دون ان ننعت ال</w:t>
      </w:r>
      <w:r>
        <w:rPr>
          <w:rFonts w:hint="cs"/>
          <w:rtl/>
        </w:rPr>
        <w:t>أ</w:t>
      </w:r>
      <w:r w:rsidRPr="001817DE">
        <w:rPr>
          <w:rFonts w:hint="cs"/>
          <w:rtl/>
        </w:rPr>
        <w:t>نموذج الآخر بعدم التوازن، تماماً كما هو الحال في الإنسان الذي لم يعش بشكلٍ جيدٍ مراحل الطفولة حيث تأخذ الطفولة حيزاً هاماً من تصر</w:t>
      </w:r>
      <w:r>
        <w:rPr>
          <w:rFonts w:hint="cs"/>
          <w:rtl/>
        </w:rPr>
        <w:t>ّ</w:t>
      </w:r>
      <w:r w:rsidRPr="001817DE">
        <w:rPr>
          <w:rFonts w:hint="cs"/>
          <w:rtl/>
        </w:rPr>
        <w:t>فاته حتى بعد مضي عشرات السنين كما هو المعروف، فإشباع الطفولة في مرحلتها الزمنية وهكذا إشباع العاطفة المراهقة في مرحلتها الزمنية هو أمرٌ يمكنه أن يسدّ فراغاً وثغرةً في النفس الإنسانية ما دام منسجماً مع السلوك الاجتماعي الحسن ومع القيم الديني</w:t>
      </w:r>
      <w:r>
        <w:rPr>
          <w:rFonts w:hint="cs"/>
          <w:rtl/>
        </w:rPr>
        <w:t>ّ</w:t>
      </w:r>
      <w:r w:rsidRPr="001817DE">
        <w:rPr>
          <w:rFonts w:hint="cs"/>
          <w:rtl/>
        </w:rPr>
        <w:t>ة</w:t>
      </w:r>
      <w:r>
        <w:rPr>
          <w:rFonts w:hint="cs"/>
          <w:rtl/>
        </w:rPr>
        <w:t xml:space="preserve"> السامية</w:t>
      </w:r>
      <w:r w:rsidRPr="001817DE">
        <w:rPr>
          <w:rFonts w:hint="cs"/>
          <w:rtl/>
        </w:rPr>
        <w:t>.</w:t>
      </w:r>
    </w:p>
    <w:p w:rsidR="00870581" w:rsidRPr="001817DE" w:rsidRDefault="00870581" w:rsidP="0008530B">
      <w:pPr>
        <w:pStyle w:val="ac"/>
        <w:spacing w:line="199" w:lineRule="auto"/>
        <w:rPr>
          <w:rtl/>
        </w:rPr>
      </w:pPr>
      <w:r>
        <w:rPr>
          <w:rFonts w:hint="cs"/>
          <w:rtl/>
        </w:rPr>
        <w:t xml:space="preserve">إنّ القلق من نتائج هذا الطرح، والخوف من تداعيات سلبيّة حادّة لــه، وغموض الآثار التي سوف تنجم عنه هو السبب الرئيس ـ من وجهة نظري ـ في التوجّس من أطروحات كهذه، إلى جانب أنّ الأجيال الناضجة من المجتمع الديني لا تملك ثقافة احترام مشاعر الشباب بل تتعاطى معها بسخريةٍ عاليةٍ، لكن هذا الخوف نابعٌ إلى حدّ بعيد من عدم التجربة، فإنّ الكثير من أمثال هذا الخوف قد تبدّد إزاء </w:t>
      </w:r>
      <w:r w:rsidR="0008530B">
        <w:rPr>
          <w:rFonts w:hint="cs"/>
          <w:rtl/>
        </w:rPr>
        <w:t>ظ</w:t>
      </w:r>
      <w:r>
        <w:rPr>
          <w:rFonts w:hint="cs"/>
          <w:rtl/>
        </w:rPr>
        <w:t xml:space="preserve">واهر أخر </w:t>
      </w:r>
      <w:r>
        <w:rPr>
          <w:rFonts w:hint="cs"/>
          <w:rtl/>
        </w:rPr>
        <w:lastRenderedPageBreak/>
        <w:t>سرعان ما وجدنا المجتمع الديني يتقبّلها رغم اشتمالها على سلبيات من زوايا أخلاقية، مثل ظاهرة عمل المرأة، أو الاختلاط العام، أو حتى خروج المرأة من بيتها، أو كشفها الوجه والكفّين، أو .. ولكي تتّضح صورة الأمر ما علينا سوى عرض هذه المفاهيم التي اعتادت عليها بعض مجتمعاتنا الدينية رغم الإقرار ببعض السلبيّات الناجمة عنها عرضها على بعض المجتمعات التي ما زالت جدّ محافظة إزاء هذه الظواهر الاجتماعية والسلوكية، إنّ الإحساس الخائف عند متشرّعة تلك المجتمعات المحافظة سرعان ما يرفضه أولئك الذين خاضوا التجربة فلمسوا سلبيات مكّنتهم من تكوين قناعة من جهة أخرى بأنّ الأمور يمكن ضبطها إلى حدّ كبير، ولو أننا فعّلنا تجربة هذا الطرح المثار في هذه الوريقات لربما نجم أمرٌ آخر أيضاً مهما بدا لنا هذا الطرح ليبراليّاً متفلّتاً، فقد وجّهت نفس هذه التهمة إلى الشهيد مطهري لمّا ذهب الأخذ ببعض الآراء الفقهيّة المعروفة.</w:t>
      </w:r>
    </w:p>
    <w:p w:rsidR="00870581" w:rsidRPr="001817DE" w:rsidRDefault="00870581" w:rsidP="001D4CB9">
      <w:pPr>
        <w:pStyle w:val="ac"/>
        <w:spacing w:line="199" w:lineRule="auto"/>
        <w:rPr>
          <w:rtl/>
        </w:rPr>
      </w:pPr>
      <w:r>
        <w:rPr>
          <w:rFonts w:hint="cs"/>
          <w:rtl/>
        </w:rPr>
        <w:t>و</w:t>
      </w:r>
      <w:r w:rsidRPr="001817DE">
        <w:rPr>
          <w:rFonts w:hint="cs"/>
          <w:rtl/>
        </w:rPr>
        <w:t xml:space="preserve">إذا كان الغرب يضفي على الجنس لباساً عاطفياً فيسمّيه حباً، فمن الضروري أن لا نقع نحن في نفس الاشتباه بشكلٍ عكسيٍّ عندما نضفي على الحب والعاطفة تسميةً جنسيةً فندّعي أنّ كل علاقةٍ عاطفيّةٍ غير صادقة ونعدم ثقتنا بكل هذه العواطف ونتّهمها بالغرائزية، فبدلاً من محاربة هذه الظاهرة الإنسانية يجب السعي لترشيدها؛ لأن محاربتها </w:t>
      </w:r>
      <w:r>
        <w:rPr>
          <w:rFonts w:hint="cs"/>
          <w:rtl/>
        </w:rPr>
        <w:t xml:space="preserve">ـ </w:t>
      </w:r>
      <w:r w:rsidRPr="001817DE">
        <w:rPr>
          <w:rFonts w:hint="cs"/>
          <w:rtl/>
        </w:rPr>
        <w:t>على ما</w:t>
      </w:r>
      <w:r>
        <w:rPr>
          <w:rFonts w:hint="cs"/>
          <w:rtl/>
        </w:rPr>
        <w:t xml:space="preserve"> </w:t>
      </w:r>
      <w:r w:rsidRPr="001817DE">
        <w:rPr>
          <w:rFonts w:hint="cs"/>
          <w:rtl/>
        </w:rPr>
        <w:t xml:space="preserve">يبدو </w:t>
      </w:r>
      <w:r>
        <w:rPr>
          <w:rFonts w:hint="cs"/>
          <w:rtl/>
        </w:rPr>
        <w:t xml:space="preserve">ـ </w:t>
      </w:r>
      <w:r w:rsidRPr="001817DE">
        <w:rPr>
          <w:rFonts w:hint="cs"/>
          <w:rtl/>
        </w:rPr>
        <w:t>لن تكلّل بالنجاح، وبدلاً من السقوط في أحابيل الشيطان فيما يسوّله للإنسان أحياناً ويزيّن له ما هو قبيح علينا الحذر من دخول عوامل أخرى على خطّ هذه العلاقة الصادقة وتجنيب النفس عواقب التورّط فيما يخالف رضا الباري عز وعلا، لأن</w:t>
      </w:r>
      <w:r>
        <w:rPr>
          <w:rFonts w:hint="cs"/>
          <w:rtl/>
        </w:rPr>
        <w:t>ّ</w:t>
      </w:r>
      <w:r w:rsidRPr="001817DE">
        <w:rPr>
          <w:rFonts w:hint="cs"/>
          <w:rtl/>
        </w:rPr>
        <w:t xml:space="preserve"> بعض شبابنا يحاول أن يضفي ـ من حيث يشعر أو لا يشعر ـ طابع البراءة على تصر</w:t>
      </w:r>
      <w:r>
        <w:rPr>
          <w:rFonts w:hint="cs"/>
          <w:rtl/>
        </w:rPr>
        <w:t>ّ</w:t>
      </w:r>
      <w:r w:rsidRPr="001817DE">
        <w:rPr>
          <w:rFonts w:hint="cs"/>
          <w:rtl/>
        </w:rPr>
        <w:t>فاته فيما تكون القضية سقوطاً في شراك الشيطان الذي يبدو أن مهم</w:t>
      </w:r>
      <w:r>
        <w:rPr>
          <w:rFonts w:hint="cs"/>
          <w:rtl/>
        </w:rPr>
        <w:t>ّ</w:t>
      </w:r>
      <w:r w:rsidRPr="001817DE">
        <w:rPr>
          <w:rFonts w:hint="cs"/>
          <w:rtl/>
        </w:rPr>
        <w:t xml:space="preserve">ته منحصرةٌ بحسب الشهادة القرآنية في عملية التزيين والتجميل </w:t>
      </w:r>
      <w:r w:rsidRPr="002F7681">
        <w:rPr>
          <w:rFonts w:hint="cs"/>
          <w:rtl/>
        </w:rPr>
        <w:t>لما هو قبيح</w:t>
      </w:r>
      <w:r w:rsidRPr="001817DE">
        <w:rPr>
          <w:rFonts w:hint="cs"/>
          <w:rtl/>
        </w:rPr>
        <w:t xml:space="preserve"> وقذر كما قال تعالى: </w:t>
      </w:r>
      <w:r>
        <w:rPr>
          <w:rtl/>
        </w:rPr>
        <w:t>﴿</w:t>
      </w:r>
      <w:r w:rsidR="002F7681" w:rsidRPr="002F7681">
        <w:rPr>
          <w:b/>
          <w:bCs/>
          <w:rtl/>
        </w:rPr>
        <w:t>وَمَا كَانَ لِيَ عَلَيْكُم مِّن سُلْطَانٍ إِلَّا أَن دَعَوْتُكُمْ فَاسْتَجَبْتُمْ لِي فَلَا تَلُومُونِي وَلُومُواْ أَنفُسَكُم</w:t>
      </w:r>
      <w:r>
        <w:rPr>
          <w:b/>
          <w:bCs/>
          <w:rtl/>
        </w:rPr>
        <w:t>﴾</w:t>
      </w:r>
      <w:r w:rsidRPr="001817DE">
        <w:rPr>
          <w:rFonts w:hint="cs"/>
          <w:rtl/>
        </w:rPr>
        <w:t xml:space="preserve"> (إبراهيم:22)، </w:t>
      </w:r>
      <w:r>
        <w:rPr>
          <w:b/>
          <w:bCs/>
          <w:rtl/>
        </w:rPr>
        <w:t>﴿</w:t>
      </w:r>
      <w:r w:rsidR="002F7681" w:rsidRPr="002F7681">
        <w:rPr>
          <w:b/>
          <w:bCs/>
          <w:rtl/>
        </w:rPr>
        <w:t>وَلَكِن قَسَتْ قُلُوبُهُمْ وَزَيَّنَ لَهُمُ الشَّيْطَانُ مَا كَانُواْ يَعْمَلُونَ</w:t>
      </w:r>
      <w:r>
        <w:rPr>
          <w:b/>
          <w:bCs/>
          <w:rtl/>
        </w:rPr>
        <w:t>﴾</w:t>
      </w:r>
      <w:r w:rsidRPr="001817DE">
        <w:rPr>
          <w:rFonts w:hint="cs"/>
          <w:rtl/>
        </w:rPr>
        <w:t xml:space="preserve"> (الأنعام:43)... ومن هنا من الضروري للشاب أو الفتاة توخّي أعلى درجات الحذر على هذا الصعيد حتى لا يكونا مصداقاً للحديث القائل</w:t>
      </w:r>
      <w:r>
        <w:rPr>
          <w:rFonts w:hint="cs"/>
          <w:rtl/>
        </w:rPr>
        <w:t>:</w:t>
      </w:r>
      <w:r w:rsidRPr="001817DE">
        <w:rPr>
          <w:rFonts w:hint="cs"/>
          <w:rtl/>
        </w:rPr>
        <w:t xml:space="preserve"> </w:t>
      </w:r>
      <w:r w:rsidRPr="00885E99">
        <w:rPr>
          <w:rFonts w:hint="eastAsia"/>
          <w:rtl/>
        </w:rPr>
        <w:t>«</w:t>
      </w:r>
      <w:r w:rsidRPr="001817DE">
        <w:rPr>
          <w:rFonts w:hint="cs"/>
          <w:rtl/>
        </w:rPr>
        <w:t xml:space="preserve">من حام حول الحمى أوشك </w:t>
      </w:r>
      <w:r w:rsidRPr="001817DE">
        <w:rPr>
          <w:rFonts w:hint="cs"/>
          <w:rtl/>
        </w:rPr>
        <w:lastRenderedPageBreak/>
        <w:t>أن يقع فيها</w:t>
      </w:r>
      <w:r>
        <w:rPr>
          <w:rFonts w:hint="eastAsia"/>
          <w:rtl/>
        </w:rPr>
        <w:t>»</w:t>
      </w:r>
      <w:r w:rsidRPr="001817DE">
        <w:rPr>
          <w:rFonts w:hint="cs"/>
          <w:rtl/>
        </w:rPr>
        <w:t>.</w:t>
      </w:r>
    </w:p>
    <w:p w:rsidR="00870581" w:rsidRPr="001817DE" w:rsidRDefault="00870581" w:rsidP="00870581">
      <w:pPr>
        <w:pStyle w:val="ac"/>
        <w:rPr>
          <w:rtl/>
        </w:rPr>
      </w:pPr>
      <w:r w:rsidRPr="001817DE">
        <w:rPr>
          <w:rFonts w:hint="cs"/>
          <w:rtl/>
        </w:rPr>
        <w:t>لكن</w:t>
      </w:r>
      <w:r>
        <w:rPr>
          <w:rFonts w:hint="cs"/>
          <w:rtl/>
        </w:rPr>
        <w:t>ّ</w:t>
      </w:r>
      <w:r w:rsidRPr="001817DE">
        <w:rPr>
          <w:rFonts w:hint="cs"/>
          <w:rtl/>
        </w:rPr>
        <w:t xml:space="preserve"> القضية في هذه المسؤولية تقع على عاتق الوالدين والعائلة التي يلزمها من جهةٍ احترام المشاعر العاطفية للمراهقين وترشيدهم وتجنيبهم السقوط في المخاطر المخالفة للإسلام والفطرة من جهةٍ أخرى، وهو ما تختلف طريقة التعاطي فيه بين مجتمعٍ وآخر ولا يمكن اعطاء قانون عام وشامل فيما يخصّ</w:t>
      </w:r>
      <w:r>
        <w:rPr>
          <w:rFonts w:hint="cs"/>
          <w:rtl/>
        </w:rPr>
        <w:t>ه</w:t>
      </w:r>
      <w:r w:rsidRPr="001817DE">
        <w:rPr>
          <w:rFonts w:hint="cs"/>
          <w:rtl/>
        </w:rPr>
        <w:t>.</w:t>
      </w:r>
    </w:p>
    <w:p w:rsidR="00870581" w:rsidRDefault="00870581" w:rsidP="00870581">
      <w:pPr>
        <w:pStyle w:val="ac"/>
        <w:rPr>
          <w:rtl/>
        </w:rPr>
      </w:pPr>
      <w:r w:rsidRPr="001817DE">
        <w:rPr>
          <w:rFonts w:hint="cs"/>
          <w:rtl/>
        </w:rPr>
        <w:t>إن واحدةً من مظالم مجتمعاتنا وعاداتنا هو الافراط في التعاطي السلبي مع ظاهرة الزواج المؤقّت التي يمكنها ان تحلّ ـ لو تمّ تنظيمها تنظيماً منطقياً عقلائياً ـ الكثير من مشكلات شبابنا العاطفية فضلاً عن غيرها، والحجر على مثل هذا الحكم الشرعي الإلهي والعمل على منعه والحيلولة دون تحقّقه سيما في هذه الفترة العصيبة يمكن أن</w:t>
      </w:r>
      <w:r>
        <w:rPr>
          <w:rFonts w:hint="cs"/>
          <w:rtl/>
        </w:rPr>
        <w:t xml:space="preserve"> يشكّل محذوراً شرعياً في بعض الأ</w:t>
      </w:r>
      <w:r w:rsidRPr="001817DE">
        <w:rPr>
          <w:rFonts w:hint="cs"/>
          <w:rtl/>
        </w:rPr>
        <w:t>حيان من حيث إفضائه إلى خلق اختناقات غير مقدور على تفادي تأثيراتها السلبية، ونحن وإن لم يكن مصبّ حديثنا هنا هو هذا الموضوع إلا أن الترويج لثقافة متوازنة لهذا النوع من الزواج يمكنه أن يقضي على الاضطرابات العاطفية التي يمرّ بها الشباب عادةً، ونشر ثقافةٍ متوازنةٍ لهذا الحكم الشرعي أمرٌ يبدو مقدوراً في المجتمعات الغربية بشكل</w:t>
      </w:r>
      <w:r>
        <w:rPr>
          <w:rFonts w:hint="cs"/>
          <w:rtl/>
        </w:rPr>
        <w:t>ٍ أكبر منه في داخل مجتمعاتنا الإ</w:t>
      </w:r>
      <w:r w:rsidRPr="001817DE">
        <w:rPr>
          <w:rFonts w:hint="cs"/>
          <w:rtl/>
        </w:rPr>
        <w:t>سلامية، خصوصاً وأن المرحلة السابقة لمجتمعاتنا الإسلامية لم تكن تشهد هذا الفارق الكبير ما بين سن</w:t>
      </w:r>
      <w:r>
        <w:rPr>
          <w:rFonts w:hint="cs"/>
          <w:rtl/>
        </w:rPr>
        <w:t>ّ</w:t>
      </w:r>
      <w:r w:rsidRPr="001817DE">
        <w:rPr>
          <w:rFonts w:hint="cs"/>
          <w:rtl/>
        </w:rPr>
        <w:t xml:space="preserve"> البلوغ والزواج، وهو فارقٌ تعمّق عقب أوضاع اقتصادية معيشية يعرفها الجميع، وهو ما يعني أن إعادة إنتاج متوازنة للزواج تأخذ بعين الاعتبار مشكلات الزواج المبكّر اليوم في بعض الحالات ولدى بعض الشرائح يمكنه أن يساعد على حلّ الكثير من المشكلات.</w:t>
      </w:r>
    </w:p>
    <w:p w:rsidR="00870581" w:rsidRDefault="00870581" w:rsidP="00870581">
      <w:pPr>
        <w:pStyle w:val="ac"/>
        <w:rPr>
          <w:rtl/>
        </w:rPr>
      </w:pPr>
      <w:r>
        <w:rPr>
          <w:rFonts w:hint="cs"/>
          <w:rtl/>
        </w:rPr>
        <w:t>هذه ورقة أوّليّة جدّاً أحببت طرحها علّها تأخذ مجال التفكير في مجتمعاتنا العلميّة الدينية، وربما فيها الكثير من النقص، إ لم تبنَ على الشمولية في المعالجة، لكنّه لا يتمّ إلا بتظافر الجهود وتحريك عجلات النقد البنّاء إن شاء الله تعالى.</w:t>
      </w:r>
    </w:p>
    <w:p w:rsidR="001D4CB9" w:rsidRDefault="00870581" w:rsidP="00870581">
      <w:pPr>
        <w:pStyle w:val="ac"/>
        <w:rPr>
          <w:rtl/>
        </w:rPr>
      </w:pPr>
      <w:r>
        <w:rPr>
          <w:rFonts w:hint="cs"/>
          <w:rtl/>
        </w:rPr>
        <w:t>وأتمنّى من القارئ الكريم أن يأخذ هذه الورقة مادّة للنقد، لأنّنا ما زلنا فقراء في معالجة هذه الموضوعات.</w:t>
      </w:r>
    </w:p>
    <w:p w:rsidR="001D4CB9" w:rsidRDefault="001D4CB9" w:rsidP="00870581">
      <w:pPr>
        <w:pStyle w:val="ac"/>
        <w:rPr>
          <w:rtl/>
        </w:rPr>
        <w:sectPr w:rsidR="001D4CB9" w:rsidSect="006628C6">
          <w:headerReference w:type="even" r:id="rId124"/>
          <w:headerReference w:type="default" r:id="rId125"/>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870581" w:rsidRDefault="00870581" w:rsidP="001D4CB9">
      <w:pPr>
        <w:pStyle w:val="ac"/>
        <w:rPr>
          <w:rtl/>
        </w:rPr>
      </w:pPr>
    </w:p>
    <w:p w:rsidR="00DD23C6" w:rsidRDefault="00DD23C6" w:rsidP="00870581">
      <w:pPr>
        <w:pStyle w:val="ac"/>
        <w:rPr>
          <w:rtl/>
        </w:rPr>
      </w:pPr>
    </w:p>
    <w:p w:rsidR="00DD23C6" w:rsidRDefault="00DD23C6" w:rsidP="00870581">
      <w:pPr>
        <w:pStyle w:val="ac"/>
        <w:rPr>
          <w:rtl/>
        </w:rPr>
      </w:pPr>
    </w:p>
    <w:p w:rsidR="00DD23C6" w:rsidRDefault="00DD23C6" w:rsidP="00870581">
      <w:pPr>
        <w:pStyle w:val="ac"/>
        <w:rPr>
          <w:rtl/>
        </w:rPr>
      </w:pPr>
    </w:p>
    <w:p w:rsidR="00DD23C6" w:rsidRDefault="00DD23C6" w:rsidP="00870581">
      <w:pPr>
        <w:pStyle w:val="ac"/>
        <w:rPr>
          <w:rtl/>
        </w:rPr>
      </w:pPr>
    </w:p>
    <w:p w:rsidR="001D4CB9" w:rsidRDefault="001D4CB9" w:rsidP="00DD23C6">
      <w:pPr>
        <w:pStyle w:val="aff2"/>
        <w:rPr>
          <w:rtl/>
          <w:lang w:bidi="fa-IR"/>
        </w:rPr>
        <w:sectPr w:rsidR="001D4CB9" w:rsidSect="006628C6">
          <w:headerReference w:type="default" r:id="rId126"/>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DD23C6" w:rsidRDefault="00DD23C6" w:rsidP="00DD23C6">
      <w:pPr>
        <w:pStyle w:val="aff2"/>
        <w:rPr>
          <w:rStyle w:val="Char0"/>
          <w:rtl/>
        </w:rPr>
      </w:pPr>
      <w:bookmarkStart w:id="706" w:name="_Toc275128330"/>
      <w:r>
        <w:rPr>
          <w:rtl/>
          <w:lang w:bidi="fa-IR"/>
        </w:rPr>
        <w:lastRenderedPageBreak/>
        <w:t xml:space="preserve">المرأة اللبنانية </w:t>
      </w:r>
      <w:r w:rsidRPr="00DD23C6">
        <w:rPr>
          <w:rtl/>
        </w:rPr>
        <w:t xml:space="preserve">في </w:t>
      </w:r>
      <w:r w:rsidRPr="00DD23C6">
        <w:rPr>
          <w:rFonts w:hint="cs"/>
          <w:rtl/>
        </w:rPr>
        <w:t>ميدان القصّة والأدب</w:t>
      </w:r>
      <w:bookmarkEnd w:id="706"/>
      <w:r>
        <w:rPr>
          <w:rStyle w:val="Char0"/>
          <w:rFonts w:hint="cs"/>
          <w:rtl/>
        </w:rPr>
        <w:t xml:space="preserve"> </w:t>
      </w:r>
    </w:p>
    <w:p w:rsidR="00DD23C6" w:rsidRPr="00DD23C6" w:rsidRDefault="00DD23C6" w:rsidP="00DD23C6">
      <w:pPr>
        <w:pStyle w:val="aff2"/>
        <w:rPr>
          <w:rStyle w:val="Char0"/>
          <w:b/>
          <w:bCs/>
          <w:sz w:val="4"/>
          <w:szCs w:val="20"/>
        </w:rPr>
      </w:pPr>
      <w:r w:rsidRPr="00DD23C6">
        <w:rPr>
          <w:rFonts w:hint="cs"/>
          <w:sz w:val="22"/>
          <w:szCs w:val="40"/>
          <w:rtl/>
        </w:rPr>
        <w:t xml:space="preserve"> </w:t>
      </w:r>
      <w:bookmarkStart w:id="707" w:name="_Toc275128331"/>
      <w:r w:rsidRPr="00DD23C6">
        <w:rPr>
          <w:rFonts w:hint="cs"/>
          <w:sz w:val="22"/>
          <w:szCs w:val="40"/>
          <w:rtl/>
        </w:rPr>
        <w:t>مطالعة تحليلية</w:t>
      </w:r>
      <w:bookmarkEnd w:id="707"/>
    </w:p>
    <w:p w:rsidR="00DD23C6" w:rsidRDefault="00DD23C6" w:rsidP="00DD23C6">
      <w:pPr>
        <w:pStyle w:val="af7"/>
        <w:rPr>
          <w:rtl/>
          <w:lang w:bidi="ar-IQ"/>
        </w:rPr>
      </w:pPr>
      <w:bookmarkStart w:id="708" w:name="_Toc275128332"/>
      <w:r>
        <w:rPr>
          <w:rFonts w:hint="cs"/>
          <w:rtl/>
        </w:rPr>
        <w:t>د. عزت ملا إبراهيمي</w:t>
      </w:r>
      <w:r>
        <w:rPr>
          <w:rFonts w:cs="md_ameli" w:hint="cs"/>
          <w:vertAlign w:val="superscript"/>
          <w:rtl/>
        </w:rPr>
        <w:t>(</w:t>
      </w:r>
      <w:r>
        <w:rPr>
          <w:rStyle w:val="FootnoteReference"/>
          <w:rFonts w:cs="md_ameli"/>
          <w:rtl/>
        </w:rPr>
        <w:footnoteReference w:customMarkFollows="1" w:id="1134"/>
        <w:t>*</w:t>
      </w:r>
      <w:r>
        <w:rPr>
          <w:rFonts w:cs="md_ameli" w:hint="cs"/>
          <w:vertAlign w:val="superscript"/>
          <w:rtl/>
        </w:rPr>
        <w:t>)</w:t>
      </w:r>
      <w:bookmarkEnd w:id="708"/>
      <w:r>
        <w:rPr>
          <w:rFonts w:cs="md_ameli" w:hint="cs"/>
          <w:vertAlign w:val="superscript"/>
          <w:rtl/>
        </w:rPr>
        <w:t xml:space="preserve"> </w:t>
      </w:r>
    </w:p>
    <w:p w:rsidR="00DD23C6" w:rsidRDefault="00DD23C6" w:rsidP="00DD23C6">
      <w:pPr>
        <w:pStyle w:val="af7"/>
        <w:spacing w:before="0"/>
      </w:pPr>
      <w:bookmarkStart w:id="709" w:name="_Toc275128333"/>
      <w:r>
        <w:rPr>
          <w:rFonts w:hint="cs"/>
          <w:rtl/>
        </w:rPr>
        <w:t>د. أكرم روشنفكر</w:t>
      </w:r>
      <w:r>
        <w:rPr>
          <w:rFonts w:cs="md_ameli" w:hint="cs"/>
          <w:vertAlign w:val="superscript"/>
          <w:rtl/>
        </w:rPr>
        <w:t>(</w:t>
      </w:r>
      <w:r>
        <w:rPr>
          <w:rStyle w:val="FootnoteReference"/>
          <w:rFonts w:cs="md_ameli"/>
          <w:rtl/>
        </w:rPr>
        <w:footnoteReference w:customMarkFollows="1" w:id="1135"/>
        <w:t>*</w:t>
      </w:r>
      <w:r>
        <w:rPr>
          <w:rFonts w:cs="md_ameli" w:hint="cs"/>
          <w:vertAlign w:val="superscript"/>
          <w:rtl/>
        </w:rPr>
        <w:t>*)</w:t>
      </w:r>
      <w:bookmarkEnd w:id="709"/>
    </w:p>
    <w:p w:rsidR="00DD23C6" w:rsidRDefault="00DD23C6" w:rsidP="00DD23C6">
      <w:pPr>
        <w:pStyle w:val="ac"/>
      </w:pPr>
    </w:p>
    <w:p w:rsidR="00DD23C6" w:rsidRDefault="00DD23C6" w:rsidP="00DD23C6">
      <w:pPr>
        <w:pStyle w:val="1"/>
        <w:rPr>
          <w:rtl/>
          <w:lang w:bidi="fa-IR"/>
        </w:rPr>
      </w:pPr>
      <w:bookmarkStart w:id="710" w:name="_Toc275128334"/>
      <w:r>
        <w:rPr>
          <w:rFonts w:hint="cs"/>
          <w:rtl/>
          <w:lang w:bidi="ar-IQ"/>
        </w:rPr>
        <w:t>سياق التحوّلات النسوية في لبنان</w:t>
      </w:r>
      <w:bookmarkEnd w:id="710"/>
    </w:p>
    <w:p w:rsidR="00DD23C6" w:rsidRDefault="00DD23C6" w:rsidP="00DD23C6">
      <w:pPr>
        <w:pStyle w:val="ac"/>
        <w:rPr>
          <w:rtl/>
        </w:rPr>
      </w:pPr>
      <w:r>
        <w:rPr>
          <w:rtl/>
          <w:lang w:bidi="fa-IR"/>
        </w:rPr>
        <w:t>المتأمّل في الخارطة السياسية للشرق الأوسط العربي وكيفية ظهور الحدود الجديدة المصطنعة في القرن الماضي، سيتراءى له أول ملامح المشروع الاستعماري الغربي في السيطرة على البلاد العربية</w:t>
      </w:r>
      <w:r>
        <w:rPr>
          <w:rFonts w:hint="cs"/>
          <w:rtl/>
          <w:lang w:bidi="fa-IR"/>
        </w:rPr>
        <w:t>،</w:t>
      </w:r>
      <w:r>
        <w:rPr>
          <w:rtl/>
          <w:lang w:bidi="fa-IR"/>
        </w:rPr>
        <w:t xml:space="preserve"> والذي مهّد ل</w:t>
      </w:r>
      <w:r>
        <w:rPr>
          <w:rFonts w:hint="cs"/>
          <w:rtl/>
        </w:rPr>
        <w:t>ـ</w:t>
      </w:r>
      <w:r>
        <w:rPr>
          <w:rtl/>
          <w:lang w:bidi="fa-IR"/>
        </w:rPr>
        <w:t xml:space="preserve">ه تقطّع أوصال إمبراطورية (الرجل المريض) </w:t>
      </w:r>
      <w:r>
        <w:rPr>
          <w:rFonts w:hint="cs"/>
          <w:rtl/>
          <w:lang w:bidi="fa-IR"/>
        </w:rPr>
        <w:t>الدول</w:t>
      </w:r>
      <w:r>
        <w:rPr>
          <w:rtl/>
          <w:lang w:bidi="fa-IR"/>
        </w:rPr>
        <w:t>ة</w:t>
      </w:r>
      <w:r>
        <w:rPr>
          <w:rFonts w:hint="cs"/>
          <w:rtl/>
          <w:lang w:bidi="fa-IR"/>
        </w:rPr>
        <w:t xml:space="preserve"> </w:t>
      </w:r>
      <w:r>
        <w:rPr>
          <w:rtl/>
          <w:lang w:bidi="fa-IR"/>
        </w:rPr>
        <w:t>العثمانية التي بسطت جناحيها على البلدان الإسلامية، وقد اتّضحت معالم هذا المشروع جلياً عبر إمساك المحور الاستعماري بمقدرات المنطقة وخيراتها</w:t>
      </w:r>
      <w:r>
        <w:rPr>
          <w:rFonts w:hint="cs"/>
          <w:rtl/>
          <w:lang w:bidi="fa-IR"/>
        </w:rPr>
        <w:t>،</w:t>
      </w:r>
      <w:r>
        <w:rPr>
          <w:rtl/>
          <w:lang w:bidi="fa-IR"/>
        </w:rPr>
        <w:t xml:space="preserve"> بل على المشرق الإسلامي برم</w:t>
      </w:r>
      <w:r>
        <w:rPr>
          <w:rFonts w:hint="cs"/>
          <w:rtl/>
          <w:lang w:bidi="fa-IR"/>
        </w:rPr>
        <w:t>ّ</w:t>
      </w:r>
      <w:r>
        <w:rPr>
          <w:rtl/>
          <w:lang w:bidi="fa-IR"/>
        </w:rPr>
        <w:t>ته عبر الزحف العسكري وإقامة حكومات الانتداب في السواحل الشرقية لحوض المتوسط. ولعلّ سواحل الشام كانت من أكثر مناطق الشرق العربي عرضة للتأثر بالظروف السياسية والاجتماعية التي سادت المجتمعات الأوربية في القرن التاسع عشر</w:t>
      </w:r>
      <w:r>
        <w:rPr>
          <w:rFonts w:hint="cs"/>
          <w:rtl/>
          <w:lang w:bidi="fa-IR"/>
        </w:rPr>
        <w:t>،</w:t>
      </w:r>
      <w:r>
        <w:rPr>
          <w:rtl/>
          <w:lang w:bidi="fa-IR"/>
        </w:rPr>
        <w:t xml:space="preserve"> وذلك  بسبب الحوض المائي المتوسطي الذي يصلها بأوروبا، </w:t>
      </w:r>
      <w:r>
        <w:rPr>
          <w:rtl/>
          <w:lang w:bidi="fa-IR"/>
        </w:rPr>
        <w:lastRenderedPageBreak/>
        <w:t xml:space="preserve">وبشكل أكثر تحديداً فإنّ منطقة جبل لبنان أو ما بات يعرف اليوم بالجمهورية اللبنانية نالت القسط الأكبر من هذا التأثّر. </w:t>
      </w:r>
    </w:p>
    <w:p w:rsidR="00DD23C6" w:rsidRDefault="00DD23C6" w:rsidP="001D4CB9">
      <w:pPr>
        <w:pStyle w:val="ac"/>
        <w:spacing w:line="199" w:lineRule="auto"/>
        <w:rPr>
          <w:rFonts w:cs="Times New Roman"/>
          <w:rtl/>
        </w:rPr>
      </w:pPr>
      <w:r>
        <w:rPr>
          <w:rtl/>
          <w:lang w:bidi="fa-IR"/>
        </w:rPr>
        <w:t>وعلى الرغم من الظروف المضطربة التي مرّ بها لبنان فقد سجّلت المرأة نجاحاً لافتاً تمثّل في حضور قوي على الساحة الثقافية</w:t>
      </w:r>
      <w:r>
        <w:rPr>
          <w:rFonts w:hint="cs"/>
          <w:rtl/>
          <w:lang w:bidi="fa-IR"/>
        </w:rPr>
        <w:t>،</w:t>
      </w:r>
      <w:r>
        <w:rPr>
          <w:rtl/>
          <w:lang w:bidi="fa-IR"/>
        </w:rPr>
        <w:t xml:space="preserve"> صاغته عوامل عدّة أبرزها تجربة حكومة الانتداب التي عاشها لبنان وتعرّفه على مظاهر الحضارة الغربية، من خلال تدريس العلوم والآداب باللغات الأجنبية</w:t>
      </w:r>
      <w:r>
        <w:rPr>
          <w:rFonts w:hint="cs"/>
          <w:rtl/>
          <w:lang w:bidi="fa-IR"/>
        </w:rPr>
        <w:t>،</w:t>
      </w:r>
      <w:r>
        <w:rPr>
          <w:rtl/>
          <w:lang w:bidi="fa-IR"/>
        </w:rPr>
        <w:t xml:space="preserve"> ولا سيّما اللغة الفرنسية، ففتح ذلك الباب على مصراعيه أمام المرأة اللبنانية للاحتكاك بالثقافة والأدب الفرنسي، فبدأت تنهل من معين الأفكار الحداثية الجديدة التي ألهمت المثقف اللبناني حالة من التحول السياسي والاجتماعي جعلت منه رائداً للأفكار الإصلاحية في المنطقة</w:t>
      </w:r>
      <w:r>
        <w:rPr>
          <w:rFonts w:hint="cs"/>
          <w:rtl/>
          <w:lang w:bidi="fa-IR"/>
        </w:rPr>
        <w:t>،</w:t>
      </w:r>
      <w:r>
        <w:rPr>
          <w:rtl/>
          <w:lang w:bidi="fa-IR"/>
        </w:rPr>
        <w:t xml:space="preserve"> وبطبيعة الحال كانت نافذة الدخول إلى تلك الإصلاحات المطالبة بحقوق المرأة في الحرية وحقّ الانتخاب الذي تجلّى في إطار المنتديات العلمية والأدبية والجمعيات الخيرية والمؤسسات التي ت</w:t>
      </w:r>
      <w:r>
        <w:rPr>
          <w:rFonts w:hint="cs"/>
          <w:rtl/>
        </w:rPr>
        <w:t>ُ</w:t>
      </w:r>
      <w:r>
        <w:rPr>
          <w:rtl/>
          <w:lang w:bidi="fa-IR"/>
        </w:rPr>
        <w:t>عن</w:t>
      </w:r>
      <w:r>
        <w:rPr>
          <w:rFonts w:hint="cs"/>
          <w:rtl/>
        </w:rPr>
        <w:t>ى</w:t>
      </w:r>
      <w:r>
        <w:rPr>
          <w:rtl/>
          <w:lang w:bidi="fa-IR"/>
        </w:rPr>
        <w:t xml:space="preserve"> بشؤون المرأة،</w:t>
      </w:r>
      <w:r w:rsidRPr="001D4CB9">
        <w:rPr>
          <w:sz w:val="29"/>
          <w:szCs w:val="29"/>
          <w:rtl/>
          <w:lang w:bidi="fa-IR"/>
        </w:rPr>
        <w:t xml:space="preserve"> وأثمرت هذه المسيرة الطويلة عن دخول المرأة عالم الصحافة والأدب والمجلات المتخصصة، وكان دافعاً لأن تأخذ اليقظة النسائية أبعاداً أوسع شملت فيما شملت المجال الأدبي، ليتمخّض عن ذلك ما أصبح يعرف لاحقاً بالأدب النسائي.</w:t>
      </w:r>
      <w:r>
        <w:rPr>
          <w:rFonts w:hint="cs"/>
          <w:rtl/>
          <w:lang w:bidi="fa-IR"/>
        </w:rPr>
        <w:t xml:space="preserve"> </w:t>
      </w:r>
    </w:p>
    <w:p w:rsidR="00DD23C6" w:rsidRDefault="00DD23C6" w:rsidP="001D4CB9">
      <w:pPr>
        <w:pStyle w:val="ac"/>
        <w:spacing w:line="199" w:lineRule="auto"/>
        <w:rPr>
          <w:rtl/>
        </w:rPr>
      </w:pPr>
      <w:r>
        <w:rPr>
          <w:rtl/>
          <w:lang w:bidi="fa-IR"/>
        </w:rPr>
        <w:t xml:space="preserve">لم تقتصر نشاطات المرأة اللبنانية على المجال الأدبي، بل اتّسعت دائرتها لتشمل حضور المؤتمرات الثقافية والسياسية التي تعقد في الداخل والخارج، ومع هذا يبقى الأدب النسائي هو الأوفر حظاً والأكثر حضوراً على الساحة، وهو أدب يستحقّ المطالعة والتأمّل، وربّما تكون الفترة الممتدة بين </w:t>
      </w:r>
      <w:r>
        <w:rPr>
          <w:rFonts w:hint="cs"/>
          <w:rtl/>
          <w:lang w:bidi="fa-IR"/>
        </w:rPr>
        <w:t>(</w:t>
      </w:r>
      <w:r>
        <w:rPr>
          <w:rFonts w:hint="cs"/>
          <w:rtl/>
        </w:rPr>
        <w:t>1975 ـ 2000</w:t>
      </w:r>
      <w:r>
        <w:rPr>
          <w:rFonts w:hint="cs"/>
          <w:rtl/>
          <w:lang w:bidi="fa-IR"/>
        </w:rPr>
        <w:t>)</w:t>
      </w:r>
      <w:r>
        <w:rPr>
          <w:rtl/>
          <w:lang w:bidi="fa-IR"/>
        </w:rPr>
        <w:t xml:space="preserve"> فترة مثالية لدراسة خصائص الأدب النسائي اللبناني واستكشاف خباياه المكنونة، ومردّ ذلك أنّ معظم الحوادث التي شهدها هذا البلد في القرنين الماضيين والتي توّجت بتبلور الأدب النسائي قد تلخّصت في الربع قرن المذكور، وأعاد هذا الأدب إنتاج الآمال والإخفاقات السابقة</w:t>
      </w:r>
      <w:r>
        <w:rPr>
          <w:rFonts w:hint="cs"/>
          <w:rtl/>
          <w:lang w:bidi="fa-IR"/>
        </w:rPr>
        <w:t>،</w:t>
      </w:r>
      <w:r>
        <w:rPr>
          <w:rtl/>
          <w:lang w:bidi="fa-IR"/>
        </w:rPr>
        <w:t xml:space="preserve"> ولكن في قالب جديد. </w:t>
      </w:r>
    </w:p>
    <w:p w:rsidR="00DD23C6" w:rsidRDefault="00DD23C6" w:rsidP="001D4CB9">
      <w:pPr>
        <w:pStyle w:val="afffffc"/>
        <w:rPr>
          <w:rtl/>
        </w:rPr>
      </w:pPr>
    </w:p>
    <w:p w:rsidR="00DD23C6" w:rsidRDefault="00DD23C6" w:rsidP="00DD23C6">
      <w:pPr>
        <w:pStyle w:val="1"/>
        <w:rPr>
          <w:rtl/>
        </w:rPr>
      </w:pPr>
      <w:bookmarkStart w:id="711" w:name="_Toc275128335"/>
      <w:r>
        <w:rPr>
          <w:rtl/>
          <w:lang w:bidi="fa-IR"/>
        </w:rPr>
        <w:t>حضور المرأة في ساحة الأدب</w:t>
      </w:r>
      <w:bookmarkEnd w:id="711"/>
    </w:p>
    <w:p w:rsidR="00DD23C6" w:rsidRDefault="00DD23C6" w:rsidP="001D4CB9">
      <w:pPr>
        <w:pStyle w:val="ac"/>
        <w:spacing w:line="202" w:lineRule="auto"/>
        <w:rPr>
          <w:rtl/>
          <w:lang w:bidi="fa-IR"/>
        </w:rPr>
      </w:pPr>
      <w:r>
        <w:rPr>
          <w:rtl/>
          <w:lang w:bidi="fa-IR"/>
        </w:rPr>
        <w:t xml:space="preserve">ولا ريب في أنّ تقييم مستوى نجاح الأديبة اللبنانية في إيصال المفاهيم التي تؤمن بها </w:t>
      </w:r>
      <w:r>
        <w:rPr>
          <w:rtl/>
          <w:lang w:bidi="fa-IR"/>
        </w:rPr>
        <w:lastRenderedPageBreak/>
        <w:t>إلى قلب الرأي العام، لا يقاس من منظار حجم إقبال الجمهور على قراءة الصحف والمجلات والكتب فحسب، بل عبر تقييم مستوى دقة الكاتبة في توظيف المفردات الغريبة والرمزية</w:t>
      </w:r>
      <w:r>
        <w:rPr>
          <w:rFonts w:hint="cs"/>
          <w:rtl/>
          <w:lang w:bidi="fa-IR"/>
        </w:rPr>
        <w:t>،</w:t>
      </w:r>
      <w:r>
        <w:rPr>
          <w:rtl/>
          <w:lang w:bidi="fa-IR"/>
        </w:rPr>
        <w:t xml:space="preserve"> وكذلك أسلوبها المميّز في تبيين الموضوعات، بهدف الخروج بفهم مشترك أكثر وضوحاً وانسجاماً</w:t>
      </w:r>
      <w:r w:rsidRPr="00815C4C">
        <w:rPr>
          <w:rFonts w:cs="Taher" w:hint="cs"/>
          <w:vertAlign w:val="superscript"/>
          <w:rtl/>
        </w:rPr>
        <w:t>(</w:t>
      </w:r>
      <w:r w:rsidRPr="00815C4C">
        <w:rPr>
          <w:rFonts w:cs="Taher"/>
          <w:vertAlign w:val="superscript"/>
          <w:rtl/>
        </w:rPr>
        <w:footnoteReference w:id="1136"/>
      </w:r>
      <w:r w:rsidRPr="00815C4C">
        <w:rPr>
          <w:rFonts w:cs="Taher" w:hint="cs"/>
          <w:vertAlign w:val="superscript"/>
          <w:rtl/>
        </w:rPr>
        <w:t>)</w:t>
      </w:r>
      <w:r>
        <w:rPr>
          <w:rtl/>
          <w:lang w:bidi="fa-IR"/>
        </w:rPr>
        <w:t xml:space="preserve">، وبديهي </w:t>
      </w:r>
      <w:r>
        <w:rPr>
          <w:rFonts w:hint="cs"/>
          <w:rtl/>
          <w:lang w:bidi="fa-IR"/>
        </w:rPr>
        <w:t>أ</w:t>
      </w:r>
      <w:r>
        <w:rPr>
          <w:rtl/>
          <w:lang w:bidi="fa-IR"/>
        </w:rPr>
        <w:t xml:space="preserve">نّ مثل هذا الفهم لا يتيسّر إلاّ من خلال تبيين معاني المصطلحات الخاصة بالموضوع، وضمن هذا السياق تدخل محاولات السيدة </w:t>
      </w:r>
      <w:r w:rsidRPr="00885E99">
        <w:rPr>
          <w:rtl/>
        </w:rPr>
        <w:t>«</w:t>
      </w:r>
      <w:r>
        <w:rPr>
          <w:rtl/>
          <w:lang w:bidi="fa-IR"/>
        </w:rPr>
        <w:t>يمنى العيد</w:t>
      </w:r>
      <w:r>
        <w:rPr>
          <w:rtl/>
        </w:rPr>
        <w:t>»</w:t>
      </w:r>
      <w:r>
        <w:rPr>
          <w:rtl/>
          <w:lang w:bidi="fa-IR"/>
        </w:rPr>
        <w:t xml:space="preserve"> للتعريف بأول مصطلح في قاموس النهضة النسائية</w:t>
      </w:r>
      <w:r>
        <w:rPr>
          <w:rFonts w:hint="cs"/>
          <w:rtl/>
          <w:lang w:bidi="fa-IR"/>
        </w:rPr>
        <w:t>،</w:t>
      </w:r>
      <w:r>
        <w:rPr>
          <w:rtl/>
          <w:lang w:bidi="fa-IR"/>
        </w:rPr>
        <w:t xml:space="preserve"> ألا وهو مصطلح الأدب النسائي المقتبس من الأدب الغربي</w:t>
      </w:r>
      <w:r w:rsidRPr="00815C4C">
        <w:rPr>
          <w:rFonts w:cs="Taher" w:hint="cs"/>
          <w:vertAlign w:val="superscript"/>
          <w:rtl/>
        </w:rPr>
        <w:t>(</w:t>
      </w:r>
      <w:r w:rsidRPr="00815C4C">
        <w:rPr>
          <w:rFonts w:cs="Taher"/>
          <w:vertAlign w:val="superscript"/>
          <w:rtl/>
        </w:rPr>
        <w:footnoteReference w:id="1137"/>
      </w:r>
      <w:r w:rsidRPr="00815C4C">
        <w:rPr>
          <w:rFonts w:cs="Taher" w:hint="cs"/>
          <w:vertAlign w:val="superscript"/>
          <w:rtl/>
        </w:rPr>
        <w:t>)</w:t>
      </w:r>
      <w:r>
        <w:rPr>
          <w:rtl/>
          <w:lang w:bidi="fa-IR"/>
        </w:rPr>
        <w:t>. وقد تمّ تداول هذا المصطلح مع بدايات عصر النهضة، للتعبير عن الأعمال الأدبية للمرأة العربية، والطابع العام لهذه الأعمال هو القدرة الفائقة للكاتبة على معالجة موضوعات المرأة وسبر أعماق عالم الأنوثة،</w:t>
      </w:r>
      <w:r>
        <w:rPr>
          <w:rFonts w:hint="cs"/>
          <w:rtl/>
        </w:rPr>
        <w:t xml:space="preserve"> وهي</w:t>
      </w:r>
      <w:r>
        <w:rPr>
          <w:rtl/>
          <w:lang w:bidi="fa-IR"/>
        </w:rPr>
        <w:t xml:space="preserve"> تفوق في أحيان كثيرة قدرة الرجل في دخول هذا المضمار، والجدير بالإشارة أنّه لم يكن وراء اختيار مصطلح الأدب النسائي، التمايز </w:t>
      </w:r>
      <w:r>
        <w:rPr>
          <w:rFonts w:hint="cs"/>
          <w:rtl/>
          <w:lang w:bidi="fa-IR"/>
        </w:rPr>
        <w:t>الجنسي</w:t>
      </w:r>
      <w:r>
        <w:rPr>
          <w:rtl/>
          <w:lang w:bidi="fa-IR"/>
        </w:rPr>
        <w:t xml:space="preserve"> الذي تنشده الحركة النسوية، كما قد تشير</w:t>
      </w:r>
      <w:r>
        <w:rPr>
          <w:rFonts w:hint="cs"/>
          <w:rtl/>
          <w:lang w:bidi="fa-IR"/>
        </w:rPr>
        <w:t xml:space="preserve"> يمنى العيد إلى ذلك جنسية المصطلح: </w:t>
      </w:r>
      <w:r w:rsidRPr="00885E99">
        <w:rPr>
          <w:rtl/>
        </w:rPr>
        <w:t>«</w:t>
      </w:r>
      <w:r>
        <w:rPr>
          <w:rFonts w:hint="cs"/>
          <w:rtl/>
        </w:rPr>
        <w:t>أميل إلى الاعتقاد بأن مصطلح الأدب النسائ</w:t>
      </w:r>
      <w:r>
        <w:rPr>
          <w:rtl/>
          <w:lang w:bidi="fa-IR"/>
        </w:rPr>
        <w:t>ي</w:t>
      </w:r>
      <w:r>
        <w:rPr>
          <w:rtl/>
        </w:rPr>
        <w:t xml:space="preserve"> </w:t>
      </w:r>
      <w:r>
        <w:rPr>
          <w:rFonts w:hint="cs"/>
          <w:rtl/>
        </w:rPr>
        <w:t>يفيد</w:t>
      </w:r>
      <w:r>
        <w:rPr>
          <w:rtl/>
        </w:rPr>
        <w:t xml:space="preserve"> عن مع</w:t>
      </w:r>
      <w:r>
        <w:rPr>
          <w:rFonts w:hint="cs"/>
          <w:rtl/>
        </w:rPr>
        <w:t>نى الاهتمام</w:t>
      </w:r>
      <w:r>
        <w:rPr>
          <w:rtl/>
        </w:rPr>
        <w:t xml:space="preserve"> و</w:t>
      </w:r>
      <w:r>
        <w:rPr>
          <w:rtl/>
          <w:lang w:bidi="fa-IR"/>
        </w:rPr>
        <w:t>إ</w:t>
      </w:r>
      <w:r>
        <w:rPr>
          <w:rtl/>
        </w:rPr>
        <w:t xml:space="preserve">عاده </w:t>
      </w:r>
      <w:r>
        <w:rPr>
          <w:rFonts w:hint="cs"/>
          <w:rtl/>
        </w:rPr>
        <w:t>الاعتبار</w:t>
      </w:r>
      <w:r>
        <w:rPr>
          <w:rtl/>
        </w:rPr>
        <w:t xml:space="preserve"> </w:t>
      </w:r>
      <w:r>
        <w:rPr>
          <w:rFonts w:hint="cs"/>
          <w:rtl/>
        </w:rPr>
        <w:t>إلى نتاج المرأ</w:t>
      </w:r>
      <w:r>
        <w:rPr>
          <w:rtl/>
          <w:lang w:bidi="fa-IR"/>
        </w:rPr>
        <w:t>ة</w:t>
      </w:r>
      <w:r>
        <w:rPr>
          <w:rtl/>
        </w:rPr>
        <w:t xml:space="preserve"> الع</w:t>
      </w:r>
      <w:r>
        <w:rPr>
          <w:rFonts w:hint="cs"/>
          <w:rtl/>
        </w:rPr>
        <w:t>ربية</w:t>
      </w:r>
      <w:r>
        <w:rPr>
          <w:rtl/>
        </w:rPr>
        <w:t xml:space="preserve"> الأدب</w:t>
      </w:r>
      <w:r>
        <w:rPr>
          <w:rtl/>
          <w:lang w:bidi="fa-IR"/>
        </w:rPr>
        <w:t>ي</w:t>
      </w:r>
      <w:r>
        <w:rPr>
          <w:rtl/>
        </w:rPr>
        <w:t xml:space="preserve"> و</w:t>
      </w:r>
      <w:r>
        <w:rPr>
          <w:rFonts w:hint="cs"/>
          <w:rtl/>
        </w:rPr>
        <w:t>ليس عن مفهوم ثنائ</w:t>
      </w:r>
      <w:r>
        <w:rPr>
          <w:rtl/>
          <w:lang w:bidi="fa-IR"/>
        </w:rPr>
        <w:t>ي</w:t>
      </w:r>
      <w:r>
        <w:rPr>
          <w:rtl/>
        </w:rPr>
        <w:t xml:space="preserve"> </w:t>
      </w:r>
      <w:r>
        <w:rPr>
          <w:rtl/>
          <w:lang w:bidi="fa-IR"/>
        </w:rPr>
        <w:t>أ</w:t>
      </w:r>
      <w:r>
        <w:rPr>
          <w:rFonts w:hint="cs"/>
          <w:rtl/>
        </w:rPr>
        <w:t>ُ</w:t>
      </w:r>
      <w:r>
        <w:rPr>
          <w:rtl/>
        </w:rPr>
        <w:t>نثو</w:t>
      </w:r>
      <w:r>
        <w:rPr>
          <w:rtl/>
          <w:lang w:bidi="fa-IR"/>
        </w:rPr>
        <w:t>ي</w:t>
      </w:r>
      <w:r>
        <w:rPr>
          <w:rtl/>
        </w:rPr>
        <w:t xml:space="preserve"> ـ ذ</w:t>
      </w:r>
      <w:r>
        <w:rPr>
          <w:rFonts w:hint="cs"/>
          <w:rtl/>
        </w:rPr>
        <w:t>ك</w:t>
      </w:r>
      <w:r>
        <w:rPr>
          <w:rtl/>
        </w:rPr>
        <w:t>ور</w:t>
      </w:r>
      <w:r>
        <w:rPr>
          <w:rtl/>
          <w:lang w:bidi="fa-IR"/>
        </w:rPr>
        <w:t>ي</w:t>
      </w:r>
      <w:r>
        <w:rPr>
          <w:rtl/>
        </w:rPr>
        <w:t xml:space="preserve">، </w:t>
      </w:r>
      <w:r>
        <w:rPr>
          <w:rFonts w:hint="cs"/>
          <w:rtl/>
        </w:rPr>
        <w:t>يصنع هذا النتاج ف</w:t>
      </w:r>
      <w:r>
        <w:rPr>
          <w:rtl/>
          <w:lang w:bidi="fa-IR"/>
        </w:rPr>
        <w:t>ي</w:t>
      </w:r>
      <w:r>
        <w:rPr>
          <w:rtl/>
        </w:rPr>
        <w:t xml:space="preserve"> علاق</w:t>
      </w:r>
      <w:r>
        <w:rPr>
          <w:rtl/>
          <w:lang w:bidi="fa-IR"/>
        </w:rPr>
        <w:t>ة</w:t>
      </w:r>
      <w:r>
        <w:rPr>
          <w:rtl/>
        </w:rPr>
        <w:t xml:space="preserve"> اختلاف ضدّ</w:t>
      </w:r>
      <w:r>
        <w:rPr>
          <w:rtl/>
          <w:lang w:bidi="fa-IR"/>
        </w:rPr>
        <w:t>ي</w:t>
      </w:r>
      <w:r>
        <w:rPr>
          <w:rtl/>
        </w:rPr>
        <w:t xml:space="preserve"> ـ تناقض</w:t>
      </w:r>
      <w:r>
        <w:rPr>
          <w:rtl/>
          <w:lang w:bidi="fa-IR"/>
        </w:rPr>
        <w:t>ي</w:t>
      </w:r>
      <w:r>
        <w:rPr>
          <w:rtl/>
        </w:rPr>
        <w:t xml:space="preserve"> مع نتاج الرجل الأدب</w:t>
      </w:r>
      <w:r>
        <w:rPr>
          <w:rtl/>
          <w:lang w:bidi="fa-IR"/>
        </w:rPr>
        <w:t>ي</w:t>
      </w:r>
      <w:r>
        <w:rPr>
          <w:rtl/>
        </w:rPr>
        <w:t>»</w:t>
      </w:r>
      <w:r w:rsidRPr="00815C4C">
        <w:rPr>
          <w:rFonts w:cs="Taher" w:hint="cs"/>
          <w:vertAlign w:val="superscript"/>
          <w:rtl/>
        </w:rPr>
        <w:t>(</w:t>
      </w:r>
      <w:r w:rsidRPr="00815C4C">
        <w:rPr>
          <w:rFonts w:cs="Taher"/>
          <w:vertAlign w:val="superscript"/>
          <w:rtl/>
        </w:rPr>
        <w:footnoteReference w:id="1138"/>
      </w:r>
      <w:r w:rsidRPr="00815C4C">
        <w:rPr>
          <w:rFonts w:cs="Taher" w:hint="cs"/>
          <w:vertAlign w:val="superscript"/>
          <w:rtl/>
        </w:rPr>
        <w:t>)</w:t>
      </w:r>
      <w:r>
        <w:rPr>
          <w:rtl/>
          <w:lang w:bidi="fa-IR"/>
        </w:rPr>
        <w:t>.</w:t>
      </w:r>
    </w:p>
    <w:p w:rsidR="00DD23C6" w:rsidRDefault="00DD23C6" w:rsidP="00DD23C6">
      <w:pPr>
        <w:pStyle w:val="ac"/>
        <w:rPr>
          <w:rtl/>
          <w:lang w:bidi="fa-IR"/>
        </w:rPr>
      </w:pPr>
      <w:r>
        <w:rPr>
          <w:rtl/>
          <w:lang w:bidi="fa-IR"/>
        </w:rPr>
        <w:t xml:space="preserve"> ولإضفاء طابع العزلة على هذا النمط من الأعمال الأدبية أو تقييده بقيد الجنس، كما لم يكن هدف الكاتبة العربية إثارة مواجهة مع الأعمال الأدبية الرجالية، بل هدفها كان إضفاء نوع من الاعتبار والاحترام على أعمالها، وهو احترام ل</w:t>
      </w:r>
      <w:r>
        <w:rPr>
          <w:rFonts w:hint="cs"/>
          <w:rtl/>
        </w:rPr>
        <w:t>ـ</w:t>
      </w:r>
      <w:r>
        <w:rPr>
          <w:rtl/>
          <w:lang w:bidi="fa-IR"/>
        </w:rPr>
        <w:t xml:space="preserve">ه جذور تاريخية ترقى إلى </w:t>
      </w:r>
      <w:r>
        <w:rPr>
          <w:rtl/>
          <w:lang w:bidi="fa-IR"/>
        </w:rPr>
        <w:lastRenderedPageBreak/>
        <w:t>عصر السيدة مي زيادة والمجالس الأدبية التي كانت تحرص على عقدها في القاهرة</w:t>
      </w:r>
      <w:r w:rsidRPr="00815C4C">
        <w:rPr>
          <w:rFonts w:cs="Taher" w:hint="cs"/>
          <w:vertAlign w:val="superscript"/>
          <w:rtl/>
        </w:rPr>
        <w:t>(</w:t>
      </w:r>
      <w:r w:rsidRPr="00815C4C">
        <w:rPr>
          <w:rFonts w:cs="Taher"/>
          <w:vertAlign w:val="superscript"/>
          <w:rtl/>
        </w:rPr>
        <w:footnoteReference w:id="1139"/>
      </w:r>
      <w:r w:rsidRPr="00815C4C">
        <w:rPr>
          <w:rFonts w:cs="Taher" w:hint="cs"/>
          <w:vertAlign w:val="superscript"/>
          <w:rtl/>
        </w:rPr>
        <w:t>)</w:t>
      </w:r>
      <w:r>
        <w:rPr>
          <w:rtl/>
          <w:lang w:bidi="fa-IR"/>
        </w:rPr>
        <w:t>، وهي المجالس التي كان</w:t>
      </w:r>
      <w:r>
        <w:rPr>
          <w:rFonts w:hint="cs"/>
          <w:rtl/>
          <w:lang w:bidi="fa-IR"/>
        </w:rPr>
        <w:t>ت</w:t>
      </w:r>
      <w:r>
        <w:rPr>
          <w:rtl/>
          <w:lang w:bidi="fa-IR"/>
        </w:rPr>
        <w:t xml:space="preserve"> تعجّ برواد الأدب والثقافة</w:t>
      </w:r>
      <w:r>
        <w:rPr>
          <w:rFonts w:hint="cs"/>
          <w:rtl/>
          <w:lang w:bidi="fa-IR"/>
        </w:rPr>
        <w:t>،</w:t>
      </w:r>
      <w:r>
        <w:rPr>
          <w:rtl/>
          <w:lang w:bidi="fa-IR"/>
        </w:rPr>
        <w:t xml:space="preserve"> من أمثال لطفي السيد</w:t>
      </w:r>
      <w:r>
        <w:rPr>
          <w:rFonts w:hint="cs"/>
          <w:rtl/>
          <w:lang w:bidi="fa-IR"/>
        </w:rPr>
        <w:t>،</w:t>
      </w:r>
      <w:r>
        <w:rPr>
          <w:rtl/>
          <w:lang w:bidi="fa-IR"/>
        </w:rPr>
        <w:t xml:space="preserve"> وإسماعيل صبري</w:t>
      </w:r>
      <w:r>
        <w:rPr>
          <w:rFonts w:hint="cs"/>
          <w:rtl/>
          <w:lang w:bidi="fa-IR"/>
        </w:rPr>
        <w:t>،</w:t>
      </w:r>
      <w:r>
        <w:rPr>
          <w:rtl/>
          <w:lang w:bidi="fa-IR"/>
        </w:rPr>
        <w:t xml:space="preserve"> وشبلي شميل</w:t>
      </w:r>
      <w:r>
        <w:rPr>
          <w:rFonts w:hint="cs"/>
          <w:rtl/>
          <w:lang w:bidi="fa-IR"/>
        </w:rPr>
        <w:t>،</w:t>
      </w:r>
      <w:r>
        <w:rPr>
          <w:rtl/>
          <w:lang w:bidi="fa-IR"/>
        </w:rPr>
        <w:t xml:space="preserve"> وطه حسين</w:t>
      </w:r>
      <w:r>
        <w:rPr>
          <w:rFonts w:hint="cs"/>
          <w:rtl/>
          <w:lang w:bidi="fa-IR"/>
        </w:rPr>
        <w:t>،</w:t>
      </w:r>
      <w:r>
        <w:rPr>
          <w:rtl/>
          <w:lang w:bidi="fa-IR"/>
        </w:rPr>
        <w:t xml:space="preserve"> وخليل مطران</w:t>
      </w:r>
      <w:r>
        <w:rPr>
          <w:rFonts w:hint="cs"/>
          <w:rtl/>
          <w:lang w:bidi="fa-IR"/>
        </w:rPr>
        <w:t>،</w:t>
      </w:r>
      <w:r>
        <w:rPr>
          <w:rtl/>
          <w:lang w:bidi="fa-IR"/>
        </w:rPr>
        <w:t xml:space="preserve"> وأنطوان جميل</w:t>
      </w:r>
      <w:r>
        <w:rPr>
          <w:rFonts w:hint="cs"/>
          <w:rtl/>
          <w:lang w:bidi="fa-IR"/>
        </w:rPr>
        <w:t>،</w:t>
      </w:r>
      <w:r>
        <w:rPr>
          <w:rtl/>
          <w:lang w:bidi="fa-IR"/>
        </w:rPr>
        <w:t xml:space="preserve"> ويعقوب صروف</w:t>
      </w:r>
      <w:r>
        <w:rPr>
          <w:rFonts w:hint="cs"/>
          <w:rtl/>
          <w:lang w:bidi="fa-IR"/>
        </w:rPr>
        <w:t>،</w:t>
      </w:r>
      <w:r>
        <w:rPr>
          <w:rtl/>
          <w:lang w:bidi="fa-IR"/>
        </w:rPr>
        <w:t xml:space="preserve"> وإيمه خير</w:t>
      </w:r>
      <w:r>
        <w:rPr>
          <w:rFonts w:hint="cs"/>
          <w:rtl/>
          <w:lang w:bidi="fa-IR"/>
        </w:rPr>
        <w:t>،</w:t>
      </w:r>
      <w:r>
        <w:rPr>
          <w:rtl/>
          <w:lang w:bidi="fa-IR"/>
        </w:rPr>
        <w:t xml:space="preserve"> وولي الدين يكن</w:t>
      </w:r>
      <w:r>
        <w:rPr>
          <w:rFonts w:hint="cs"/>
          <w:rtl/>
          <w:lang w:bidi="fa-IR"/>
        </w:rPr>
        <w:t>،</w:t>
      </w:r>
      <w:r>
        <w:rPr>
          <w:rtl/>
          <w:lang w:bidi="fa-IR"/>
        </w:rPr>
        <w:t xml:space="preserve"> وصادق الرافعي وآخرين غيرهم.</w:t>
      </w:r>
    </w:p>
    <w:p w:rsidR="00DD23C6" w:rsidRDefault="00DD23C6" w:rsidP="001D4CB9">
      <w:pPr>
        <w:pStyle w:val="ac"/>
        <w:spacing w:line="209" w:lineRule="auto"/>
        <w:rPr>
          <w:rtl/>
        </w:rPr>
      </w:pPr>
      <w:r>
        <w:rPr>
          <w:rtl/>
          <w:lang w:bidi="fa-IR"/>
        </w:rPr>
        <w:t>ولم تقتصر هذه المشاركة على الندوات الأدبية تلك، بل تجلّت أيضاً من خلال تحسين الظروف الاجتماعية والثقافية للمرأة نتيجة للأفكار التي طرحها المثقفون المنادون بتحرير المرأة</w:t>
      </w:r>
      <w:r>
        <w:rPr>
          <w:rFonts w:hint="cs"/>
          <w:rtl/>
          <w:lang w:bidi="fa-IR"/>
        </w:rPr>
        <w:t>،</w:t>
      </w:r>
      <w:r>
        <w:rPr>
          <w:rtl/>
          <w:lang w:bidi="fa-IR"/>
        </w:rPr>
        <w:t xml:space="preserve"> من أمثال قاسم أمين</w:t>
      </w:r>
      <w:r>
        <w:rPr>
          <w:rFonts w:hint="cs"/>
          <w:rtl/>
          <w:lang w:bidi="fa-IR"/>
        </w:rPr>
        <w:t>،</w:t>
      </w:r>
      <w:r>
        <w:rPr>
          <w:rtl/>
          <w:lang w:bidi="fa-IR"/>
        </w:rPr>
        <w:t xml:space="preserve"> وكذلك مدرسة البنات التي شيّدها رفاعة الطهطاوي، </w:t>
      </w:r>
      <w:r>
        <w:rPr>
          <w:rFonts w:hint="cs"/>
          <w:rtl/>
          <w:lang w:bidi="fa-IR"/>
        </w:rPr>
        <w:t>ك</w:t>
      </w:r>
      <w:r>
        <w:rPr>
          <w:rtl/>
          <w:lang w:bidi="fa-IR"/>
        </w:rPr>
        <w:t>ما تقول</w:t>
      </w:r>
      <w:r>
        <w:rPr>
          <w:rFonts w:hint="cs"/>
          <w:rtl/>
          <w:lang w:bidi="fa-IR"/>
        </w:rPr>
        <w:t xml:space="preserve"> يمنى العيد: </w:t>
      </w:r>
      <w:r w:rsidRPr="00885E99">
        <w:rPr>
          <w:rtl/>
        </w:rPr>
        <w:t>«</w:t>
      </w:r>
      <w:r>
        <w:rPr>
          <w:rtl/>
          <w:lang w:bidi="fa-IR"/>
        </w:rPr>
        <w:t xml:space="preserve">مثل هذه النشاطات وسمت </w:t>
      </w:r>
      <w:r>
        <w:rPr>
          <w:rFonts w:hint="cs"/>
          <w:rtl/>
          <w:lang w:bidi="fa-IR"/>
        </w:rPr>
        <w:t>بالنسائية، وإن شارك فيها الرجل،</w:t>
      </w:r>
      <w:r>
        <w:rPr>
          <w:rFonts w:hint="cs"/>
          <w:rtl/>
        </w:rPr>
        <w:t xml:space="preserve"> </w:t>
      </w:r>
      <w:r>
        <w:rPr>
          <w:rFonts w:hint="cs"/>
          <w:rtl/>
          <w:lang w:bidi="fa-IR"/>
        </w:rPr>
        <w:t>فقد عمل الطهطاو</w:t>
      </w:r>
      <w:r>
        <w:rPr>
          <w:rtl/>
          <w:lang w:bidi="fa-IR"/>
        </w:rPr>
        <w:t xml:space="preserve">ي </w:t>
      </w:r>
      <w:r>
        <w:rPr>
          <w:rFonts w:hint="cs"/>
          <w:rtl/>
          <w:lang w:bidi="fa-IR"/>
        </w:rPr>
        <w:t>(</w:t>
      </w:r>
      <w:r>
        <w:rPr>
          <w:rFonts w:hint="cs"/>
          <w:rtl/>
        </w:rPr>
        <w:t>1801 ـ 1873</w:t>
      </w:r>
      <w:r>
        <w:rPr>
          <w:rtl/>
          <w:lang w:bidi="fa-IR"/>
        </w:rPr>
        <w:t>م</w:t>
      </w:r>
      <w:r>
        <w:rPr>
          <w:rFonts w:hint="cs"/>
          <w:rtl/>
          <w:lang w:bidi="fa-IR"/>
        </w:rPr>
        <w:t>)</w:t>
      </w:r>
      <w:r>
        <w:rPr>
          <w:rtl/>
          <w:lang w:bidi="fa-IR"/>
        </w:rPr>
        <w:t xml:space="preserve"> </w:t>
      </w:r>
      <w:r>
        <w:rPr>
          <w:rFonts w:hint="cs"/>
          <w:rtl/>
          <w:lang w:bidi="fa-IR"/>
        </w:rPr>
        <w:t>على إقامة مدرسة لتعليم البنات، وخصص قاسم أمين كتابين، هما: تحرير المرأة، والمرأة الجديدة</w:t>
      </w:r>
      <w:r>
        <w:rPr>
          <w:rFonts w:hint="eastAsia"/>
          <w:rtl/>
        </w:rPr>
        <w:t>»</w:t>
      </w:r>
      <w:r w:rsidRPr="00815C4C">
        <w:rPr>
          <w:rFonts w:cs="Taher" w:hint="cs"/>
          <w:vertAlign w:val="superscript"/>
          <w:rtl/>
        </w:rPr>
        <w:t>(</w:t>
      </w:r>
      <w:r w:rsidRPr="00815C4C">
        <w:rPr>
          <w:rFonts w:cs="Taher"/>
          <w:vertAlign w:val="superscript"/>
          <w:rtl/>
        </w:rPr>
        <w:footnoteReference w:id="1140"/>
      </w:r>
      <w:r w:rsidRPr="00815C4C">
        <w:rPr>
          <w:rFonts w:cs="Taher" w:hint="cs"/>
          <w:vertAlign w:val="superscript"/>
          <w:rtl/>
        </w:rPr>
        <w:t>)</w:t>
      </w:r>
      <w:r>
        <w:rPr>
          <w:rtl/>
          <w:lang w:bidi="fa-IR"/>
        </w:rPr>
        <w:t>.</w:t>
      </w:r>
    </w:p>
    <w:p w:rsidR="00DD23C6" w:rsidRDefault="00DD23C6" w:rsidP="001D4CB9">
      <w:pPr>
        <w:pStyle w:val="ac"/>
        <w:rPr>
          <w:rtl/>
          <w:lang w:bidi="fa-IR"/>
        </w:rPr>
      </w:pPr>
      <w:r>
        <w:rPr>
          <w:rtl/>
          <w:lang w:bidi="fa-IR"/>
        </w:rPr>
        <w:t>وتوضّح هذه المسيرة الدور المشترك لكل من الرجل والمرأة في النشاطات الاجتماعية والأدبية</w:t>
      </w:r>
      <w:r>
        <w:rPr>
          <w:rFonts w:hint="cs"/>
          <w:rtl/>
          <w:lang w:bidi="fa-IR"/>
        </w:rPr>
        <w:t>،</w:t>
      </w:r>
      <w:r>
        <w:rPr>
          <w:rtl/>
          <w:lang w:bidi="fa-IR"/>
        </w:rPr>
        <w:t xml:space="preserve"> بل وحتى الإنسانية، على الرغم من إمكانية وجود نقاط خلافية عديدة، بيد أنّ هذا الخلاف غير ناجم بالضرورة عن التعارض والمواجهة، كما أنّ التعارض لا يرادف الخلاف على الدوام، بل ربّما كان إلى الشبه والتماثل أقرب</w:t>
      </w:r>
      <w:r w:rsidRPr="00815C4C">
        <w:rPr>
          <w:rFonts w:cs="Taher" w:hint="cs"/>
          <w:vertAlign w:val="superscript"/>
          <w:rtl/>
        </w:rPr>
        <w:t>(</w:t>
      </w:r>
      <w:r w:rsidRPr="00815C4C">
        <w:rPr>
          <w:rFonts w:cs="Taher"/>
          <w:vertAlign w:val="superscript"/>
          <w:rtl/>
        </w:rPr>
        <w:footnoteReference w:id="1141"/>
      </w:r>
      <w:r w:rsidRPr="00815C4C">
        <w:rPr>
          <w:rFonts w:cs="Taher" w:hint="cs"/>
          <w:vertAlign w:val="superscript"/>
          <w:rtl/>
        </w:rPr>
        <w:t>)</w:t>
      </w:r>
      <w:r>
        <w:rPr>
          <w:rtl/>
          <w:lang w:bidi="fa-IR"/>
        </w:rPr>
        <w:t xml:space="preserve">، </w:t>
      </w:r>
      <w:r>
        <w:rPr>
          <w:rFonts w:hint="cs"/>
          <w:rtl/>
          <w:lang w:bidi="fa-IR"/>
        </w:rPr>
        <w:t>كما</w:t>
      </w:r>
      <w:r>
        <w:rPr>
          <w:rtl/>
          <w:lang w:bidi="fa-IR"/>
        </w:rPr>
        <w:t xml:space="preserve"> تقول </w:t>
      </w:r>
      <w:r>
        <w:rPr>
          <w:rFonts w:hint="cs"/>
          <w:rtl/>
        </w:rPr>
        <w:t>يمنى</w:t>
      </w:r>
      <w:r>
        <w:rPr>
          <w:rFonts w:hint="cs"/>
          <w:rtl/>
          <w:lang w:bidi="fa-IR"/>
        </w:rPr>
        <w:t xml:space="preserve"> العيد:</w:t>
      </w:r>
      <w:r>
        <w:rPr>
          <w:rtl/>
        </w:rPr>
        <w:t xml:space="preserve"> </w:t>
      </w:r>
      <w:r w:rsidRPr="00885E99">
        <w:rPr>
          <w:rtl/>
        </w:rPr>
        <w:t>«</w:t>
      </w:r>
      <w:r>
        <w:rPr>
          <w:rtl/>
        </w:rPr>
        <w:t>و بالنظر ف</w:t>
      </w:r>
      <w:r>
        <w:rPr>
          <w:rtl/>
          <w:lang w:bidi="fa-IR"/>
        </w:rPr>
        <w:t>ي</w:t>
      </w:r>
      <w:r>
        <w:rPr>
          <w:rtl/>
        </w:rPr>
        <w:t xml:space="preserve"> خطاب المرأ</w:t>
      </w:r>
      <w:r>
        <w:rPr>
          <w:rtl/>
          <w:lang w:bidi="fa-IR"/>
        </w:rPr>
        <w:t>ة</w:t>
      </w:r>
      <w:r>
        <w:rPr>
          <w:rtl/>
        </w:rPr>
        <w:t xml:space="preserve"> الأدب</w:t>
      </w:r>
      <w:r>
        <w:rPr>
          <w:rtl/>
          <w:lang w:bidi="fa-IR"/>
        </w:rPr>
        <w:t>ي</w:t>
      </w:r>
      <w:r>
        <w:rPr>
          <w:rtl/>
        </w:rPr>
        <w:t xml:space="preserve"> فف</w:t>
      </w:r>
      <w:r>
        <w:rPr>
          <w:rtl/>
          <w:lang w:bidi="fa-IR"/>
        </w:rPr>
        <w:t>ي</w:t>
      </w:r>
      <w:r>
        <w:rPr>
          <w:rtl/>
        </w:rPr>
        <w:t xml:space="preserve"> </w:t>
      </w:r>
      <w:r>
        <w:rPr>
          <w:rFonts w:hint="cs"/>
          <w:rtl/>
          <w:lang w:bidi="fa-IR"/>
        </w:rPr>
        <w:t>إمكان</w:t>
      </w:r>
      <w:r>
        <w:rPr>
          <w:rtl/>
        </w:rPr>
        <w:t xml:space="preserve"> القار</w:t>
      </w:r>
      <w:r>
        <w:rPr>
          <w:rFonts w:hint="cs"/>
          <w:rtl/>
          <w:lang w:bidi="fa-IR"/>
        </w:rPr>
        <w:t xml:space="preserve">ئ </w:t>
      </w:r>
      <w:r>
        <w:rPr>
          <w:rtl/>
          <w:lang w:bidi="fa-IR"/>
        </w:rPr>
        <w:t>أ</w:t>
      </w:r>
      <w:r>
        <w:rPr>
          <w:rtl/>
        </w:rPr>
        <w:t>و</w:t>
      </w:r>
      <w:r>
        <w:rPr>
          <w:rtl/>
          <w:lang w:bidi="fa-IR"/>
        </w:rPr>
        <w:t xml:space="preserve"> </w:t>
      </w:r>
      <w:r>
        <w:rPr>
          <w:rtl/>
        </w:rPr>
        <w:t xml:space="preserve">الباحث </w:t>
      </w:r>
      <w:r>
        <w:rPr>
          <w:rtl/>
          <w:lang w:bidi="fa-IR"/>
        </w:rPr>
        <w:t>أ</w:t>
      </w:r>
      <w:r>
        <w:rPr>
          <w:rtl/>
        </w:rPr>
        <w:t xml:space="preserve">ن يلاحظ </w:t>
      </w:r>
      <w:r>
        <w:rPr>
          <w:rtl/>
          <w:lang w:bidi="fa-IR"/>
        </w:rPr>
        <w:t>أ</w:t>
      </w:r>
      <w:r>
        <w:rPr>
          <w:rtl/>
        </w:rPr>
        <w:t>نه ليس خطاباً نسوياً بمع</w:t>
      </w:r>
      <w:r>
        <w:rPr>
          <w:rFonts w:hint="cs"/>
          <w:rtl/>
        </w:rPr>
        <w:t>نى الثنائي</w:t>
      </w:r>
      <w:r>
        <w:rPr>
          <w:rtl/>
          <w:lang w:bidi="fa-IR"/>
        </w:rPr>
        <w:t>ة</w:t>
      </w:r>
      <w:r>
        <w:rPr>
          <w:rtl/>
        </w:rPr>
        <w:t xml:space="preserve"> الضدّي</w:t>
      </w:r>
      <w:r>
        <w:rPr>
          <w:rtl/>
          <w:lang w:bidi="fa-IR"/>
        </w:rPr>
        <w:t>ة</w:t>
      </w:r>
      <w:r>
        <w:rPr>
          <w:rtl/>
        </w:rPr>
        <w:t xml:space="preserve"> بين خطاب </w:t>
      </w:r>
      <w:r>
        <w:rPr>
          <w:rtl/>
          <w:lang w:bidi="fa-IR"/>
        </w:rPr>
        <w:t>أ</w:t>
      </w:r>
      <w:r>
        <w:rPr>
          <w:rFonts w:hint="cs"/>
          <w:rtl/>
          <w:lang w:bidi="fa-IR"/>
        </w:rPr>
        <w:t>ُ</w:t>
      </w:r>
      <w:r>
        <w:rPr>
          <w:rtl/>
        </w:rPr>
        <w:t>نثو</w:t>
      </w:r>
      <w:r>
        <w:rPr>
          <w:rtl/>
          <w:lang w:bidi="fa-IR"/>
        </w:rPr>
        <w:t>ي</w:t>
      </w:r>
      <w:r>
        <w:rPr>
          <w:rtl/>
        </w:rPr>
        <w:t xml:space="preserve"> وخطاب </w:t>
      </w:r>
      <w:r>
        <w:rPr>
          <w:rFonts w:hint="cs"/>
          <w:rtl/>
        </w:rPr>
        <w:t>ذكوري،</w:t>
      </w:r>
      <w:r>
        <w:rPr>
          <w:rtl/>
        </w:rPr>
        <w:t xml:space="preserve"> ولئن </w:t>
      </w:r>
      <w:r>
        <w:rPr>
          <w:rFonts w:hint="cs"/>
          <w:rtl/>
        </w:rPr>
        <w:t>كانت</w:t>
      </w:r>
      <w:r>
        <w:rPr>
          <w:rtl/>
        </w:rPr>
        <w:t xml:space="preserve"> ضدّي</w:t>
      </w:r>
      <w:r>
        <w:rPr>
          <w:rtl/>
          <w:lang w:bidi="fa-IR"/>
        </w:rPr>
        <w:t>ة</w:t>
      </w:r>
      <w:r>
        <w:rPr>
          <w:rtl/>
        </w:rPr>
        <w:t xml:space="preserve"> فإن لها وبحسب العرب مع</w:t>
      </w:r>
      <w:r>
        <w:rPr>
          <w:rFonts w:hint="cs"/>
          <w:rtl/>
        </w:rPr>
        <w:t>نى الخلافي</w:t>
      </w:r>
      <w:r>
        <w:rPr>
          <w:rtl/>
          <w:lang w:bidi="fa-IR"/>
        </w:rPr>
        <w:t>ة</w:t>
      </w:r>
      <w:r>
        <w:rPr>
          <w:rtl/>
        </w:rPr>
        <w:t xml:space="preserve"> الندّي</w:t>
      </w:r>
      <w:r>
        <w:rPr>
          <w:rtl/>
          <w:lang w:bidi="fa-IR"/>
        </w:rPr>
        <w:t>ة</w:t>
      </w:r>
      <w:r>
        <w:rPr>
          <w:rtl/>
        </w:rPr>
        <w:t>...</w:t>
      </w:r>
      <w:r>
        <w:rPr>
          <w:rtl/>
          <w:lang w:bidi="fa-IR"/>
        </w:rPr>
        <w:t xml:space="preserve"> </w:t>
      </w:r>
      <w:r>
        <w:rPr>
          <w:rtl/>
        </w:rPr>
        <w:t>»</w:t>
      </w:r>
      <w:r w:rsidRPr="00815C4C">
        <w:rPr>
          <w:rFonts w:cs="Taher" w:hint="cs"/>
          <w:vertAlign w:val="superscript"/>
          <w:rtl/>
        </w:rPr>
        <w:t>(</w:t>
      </w:r>
      <w:r w:rsidRPr="00815C4C">
        <w:rPr>
          <w:rFonts w:cs="Taher"/>
          <w:vertAlign w:val="superscript"/>
          <w:rtl/>
        </w:rPr>
        <w:footnoteReference w:id="1142"/>
      </w:r>
      <w:r w:rsidRPr="00815C4C">
        <w:rPr>
          <w:rFonts w:cs="Taher" w:hint="cs"/>
          <w:vertAlign w:val="superscript"/>
          <w:rtl/>
        </w:rPr>
        <w:t>)</w:t>
      </w:r>
      <w:r>
        <w:rPr>
          <w:rtl/>
          <w:lang w:bidi="fa-IR"/>
        </w:rPr>
        <w:t xml:space="preserve">. </w:t>
      </w:r>
    </w:p>
    <w:p w:rsidR="00DD23C6" w:rsidRDefault="00DD23C6" w:rsidP="001D4CB9">
      <w:pPr>
        <w:pStyle w:val="ac"/>
        <w:spacing w:line="209" w:lineRule="auto"/>
        <w:rPr>
          <w:rtl/>
        </w:rPr>
      </w:pPr>
      <w:r>
        <w:rPr>
          <w:rtl/>
          <w:lang w:bidi="fa-IR"/>
        </w:rPr>
        <w:t xml:space="preserve">وعليه، فإنّ مصطلح </w:t>
      </w:r>
      <w:r w:rsidRPr="00885E99">
        <w:rPr>
          <w:rtl/>
        </w:rPr>
        <w:t>«</w:t>
      </w:r>
      <w:r>
        <w:rPr>
          <w:rtl/>
          <w:lang w:bidi="fa-IR"/>
        </w:rPr>
        <w:t>النسائي</w:t>
      </w:r>
      <w:r>
        <w:rPr>
          <w:rtl/>
        </w:rPr>
        <w:t>»</w:t>
      </w:r>
      <w:r>
        <w:rPr>
          <w:rtl/>
          <w:lang w:bidi="fa-IR"/>
        </w:rPr>
        <w:t xml:space="preserve"> يشير إلى حضور المرأة ونشاطاتها الاجتماعية </w:t>
      </w:r>
      <w:r>
        <w:rPr>
          <w:rtl/>
          <w:lang w:bidi="fa-IR"/>
        </w:rPr>
        <w:lastRenderedPageBreak/>
        <w:t xml:space="preserve">والثقافية والأدبية، وبالتالي فإنّ المقصود بالأدب النسائي ليس موقعاً مقابلاً للأدب الذكوري، </w:t>
      </w:r>
      <w:r>
        <w:rPr>
          <w:rFonts w:hint="cs"/>
          <w:rtl/>
          <w:lang w:bidi="fa-IR"/>
        </w:rPr>
        <w:t>كما</w:t>
      </w:r>
      <w:r>
        <w:rPr>
          <w:rtl/>
          <w:lang w:bidi="fa-IR"/>
        </w:rPr>
        <w:t xml:space="preserve"> </w:t>
      </w:r>
      <w:r>
        <w:rPr>
          <w:rFonts w:hint="cs"/>
          <w:rtl/>
          <w:lang w:bidi="fa-IR"/>
        </w:rPr>
        <w:t xml:space="preserve">تشير </w:t>
      </w:r>
      <w:r>
        <w:rPr>
          <w:rFonts w:hint="cs"/>
          <w:rtl/>
        </w:rPr>
        <w:t>يمنى العيد</w:t>
      </w:r>
      <w:r>
        <w:rPr>
          <w:rFonts w:hint="cs"/>
          <w:rtl/>
          <w:lang w:bidi="fa-IR"/>
        </w:rPr>
        <w:t xml:space="preserve"> إلى ذلك: </w:t>
      </w:r>
      <w:r w:rsidRPr="00885E99">
        <w:rPr>
          <w:rtl/>
        </w:rPr>
        <w:t>«</w:t>
      </w:r>
      <w:r>
        <w:rPr>
          <w:rtl/>
        </w:rPr>
        <w:t>يضمر</w:t>
      </w:r>
      <w:r>
        <w:rPr>
          <w:rFonts w:hint="cs"/>
          <w:rtl/>
        </w:rPr>
        <w:t xml:space="preserve"> </w:t>
      </w:r>
      <w:r>
        <w:rPr>
          <w:rtl/>
        </w:rPr>
        <w:t>النسائ</w:t>
      </w:r>
      <w:r>
        <w:rPr>
          <w:rtl/>
          <w:lang w:bidi="fa-IR"/>
        </w:rPr>
        <w:t>ي</w:t>
      </w:r>
      <w:r>
        <w:rPr>
          <w:rtl/>
        </w:rPr>
        <w:t xml:space="preserve"> ف</w:t>
      </w:r>
      <w:r>
        <w:rPr>
          <w:rtl/>
          <w:lang w:bidi="fa-IR"/>
        </w:rPr>
        <w:t>ي</w:t>
      </w:r>
      <w:r>
        <w:rPr>
          <w:rtl/>
        </w:rPr>
        <w:t xml:space="preserve"> الخطاب ال</w:t>
      </w:r>
      <w:r>
        <w:rPr>
          <w:rtl/>
          <w:lang w:bidi="fa-IR"/>
        </w:rPr>
        <w:t>أ</w:t>
      </w:r>
      <w:r>
        <w:rPr>
          <w:rtl/>
        </w:rPr>
        <w:t>دب</w:t>
      </w:r>
      <w:r>
        <w:rPr>
          <w:rtl/>
          <w:lang w:bidi="fa-IR"/>
        </w:rPr>
        <w:t>ي</w:t>
      </w:r>
      <w:r>
        <w:rPr>
          <w:rtl/>
        </w:rPr>
        <w:t xml:space="preserve"> العرب</w:t>
      </w:r>
      <w:r>
        <w:rPr>
          <w:rtl/>
          <w:lang w:bidi="fa-IR"/>
        </w:rPr>
        <w:t>ي</w:t>
      </w:r>
      <w:r>
        <w:rPr>
          <w:rtl/>
        </w:rPr>
        <w:t xml:space="preserve"> مع</w:t>
      </w:r>
      <w:r>
        <w:rPr>
          <w:rFonts w:hint="cs"/>
          <w:rtl/>
        </w:rPr>
        <w:t>نى الدفاع عن ال</w:t>
      </w:r>
      <w:r>
        <w:rPr>
          <w:rtl/>
          <w:lang w:bidi="fa-IR"/>
        </w:rPr>
        <w:t>أ</w:t>
      </w:r>
      <w:r>
        <w:rPr>
          <w:rtl/>
        </w:rPr>
        <w:t>نثوي</w:t>
      </w:r>
      <w:r>
        <w:rPr>
          <w:rtl/>
          <w:lang w:bidi="fa-IR"/>
        </w:rPr>
        <w:t>ة</w:t>
      </w:r>
      <w:r>
        <w:rPr>
          <w:rFonts w:hint="cs"/>
          <w:rtl/>
        </w:rPr>
        <w:t>،</w:t>
      </w:r>
      <w:r>
        <w:rPr>
          <w:rtl/>
        </w:rPr>
        <w:t xml:space="preserve"> بما ه</w:t>
      </w:r>
      <w:r>
        <w:rPr>
          <w:rtl/>
          <w:lang w:bidi="fa-IR"/>
        </w:rPr>
        <w:t>ي</w:t>
      </w:r>
      <w:r>
        <w:rPr>
          <w:rtl/>
        </w:rPr>
        <w:t xml:space="preserve"> ذات لها هويتها المجتمعيّ</w:t>
      </w:r>
      <w:r>
        <w:rPr>
          <w:rtl/>
          <w:lang w:bidi="fa-IR"/>
        </w:rPr>
        <w:t>ة</w:t>
      </w:r>
      <w:r>
        <w:rPr>
          <w:rtl/>
        </w:rPr>
        <w:t xml:space="preserve"> </w:t>
      </w:r>
      <w:r>
        <w:rPr>
          <w:rFonts w:hint="cs"/>
          <w:rtl/>
        </w:rPr>
        <w:t>والإنسانية.</w:t>
      </w:r>
      <w:r>
        <w:rPr>
          <w:rtl/>
        </w:rPr>
        <w:t>..».</w:t>
      </w:r>
      <w:r>
        <w:rPr>
          <w:rtl/>
          <w:lang w:bidi="fa-IR"/>
        </w:rPr>
        <w:t xml:space="preserve"> إنّ إثبات الطبيعة الإنسانية والاجتماعية للمرأة التي تختبئ وراء مصطلح </w:t>
      </w:r>
      <w:r w:rsidRPr="00885E99">
        <w:rPr>
          <w:rtl/>
        </w:rPr>
        <w:t>«</w:t>
      </w:r>
      <w:r>
        <w:rPr>
          <w:rtl/>
          <w:lang w:bidi="fa-IR"/>
        </w:rPr>
        <w:t>النسائي</w:t>
      </w:r>
      <w:r>
        <w:rPr>
          <w:rtl/>
        </w:rPr>
        <w:t>»</w:t>
      </w:r>
      <w:r>
        <w:rPr>
          <w:rtl/>
          <w:lang w:bidi="fa-IR"/>
        </w:rPr>
        <w:t xml:space="preserve"> يظهر لنا أنّ المصطلح </w:t>
      </w:r>
      <w:r>
        <w:rPr>
          <w:rFonts w:hint="cs"/>
          <w:rtl/>
          <w:lang w:bidi="fa-IR"/>
        </w:rPr>
        <w:t>أ</w:t>
      </w:r>
      <w:r>
        <w:rPr>
          <w:rtl/>
          <w:lang w:bidi="fa-IR"/>
        </w:rPr>
        <w:t>نّما يعبّر عن هوية متجدّدة وخلا</w:t>
      </w:r>
      <w:r>
        <w:rPr>
          <w:rFonts w:hint="cs"/>
          <w:rtl/>
          <w:lang w:bidi="fa-IR"/>
        </w:rPr>
        <w:t>ّ</w:t>
      </w:r>
      <w:r>
        <w:rPr>
          <w:rtl/>
          <w:lang w:bidi="fa-IR"/>
        </w:rPr>
        <w:t>قة</w:t>
      </w:r>
      <w:r>
        <w:rPr>
          <w:rFonts w:hint="cs"/>
          <w:rtl/>
          <w:lang w:bidi="fa-IR"/>
        </w:rPr>
        <w:t>،</w:t>
      </w:r>
      <w:r>
        <w:rPr>
          <w:rtl/>
          <w:lang w:bidi="fa-IR"/>
        </w:rPr>
        <w:t xml:space="preserve"> مثله مثل مصطلح </w:t>
      </w:r>
      <w:r w:rsidRPr="00885E99">
        <w:rPr>
          <w:rtl/>
        </w:rPr>
        <w:t>«</w:t>
      </w:r>
      <w:r>
        <w:rPr>
          <w:rtl/>
          <w:lang w:bidi="fa-IR"/>
        </w:rPr>
        <w:t>الأدب الذكوري</w:t>
      </w:r>
      <w:r>
        <w:rPr>
          <w:rtl/>
        </w:rPr>
        <w:t>»</w:t>
      </w:r>
      <w:r>
        <w:rPr>
          <w:rtl/>
          <w:lang w:bidi="fa-IR"/>
        </w:rPr>
        <w:t>،</w:t>
      </w:r>
      <w:r>
        <w:rPr>
          <w:rFonts w:hint="cs"/>
          <w:rtl/>
          <w:lang w:bidi="fa-IR"/>
        </w:rPr>
        <w:t>كما</w:t>
      </w:r>
      <w:r>
        <w:rPr>
          <w:rtl/>
          <w:lang w:bidi="fa-IR"/>
        </w:rPr>
        <w:t xml:space="preserve"> تقول</w:t>
      </w:r>
      <w:r>
        <w:rPr>
          <w:rFonts w:hint="cs"/>
          <w:rtl/>
          <w:lang w:bidi="fa-IR"/>
        </w:rPr>
        <w:t xml:space="preserve"> يمنى العيد: </w:t>
      </w:r>
      <w:r w:rsidRPr="00885E99">
        <w:rPr>
          <w:rtl/>
        </w:rPr>
        <w:t>«</w:t>
      </w:r>
      <w:r>
        <w:rPr>
          <w:rtl/>
        </w:rPr>
        <w:t>ما</w:t>
      </w:r>
      <w:r>
        <w:rPr>
          <w:rtl/>
          <w:lang w:bidi="fa-IR"/>
        </w:rPr>
        <w:t xml:space="preserve"> </w:t>
      </w:r>
      <w:r>
        <w:rPr>
          <w:rtl/>
        </w:rPr>
        <w:t>يع</w:t>
      </w:r>
      <w:r>
        <w:rPr>
          <w:rFonts w:hint="cs"/>
          <w:rtl/>
        </w:rPr>
        <w:t xml:space="preserve">ني أنّ </w:t>
      </w:r>
      <w:r>
        <w:rPr>
          <w:rtl/>
        </w:rPr>
        <w:t>المرأ</w:t>
      </w:r>
      <w:r>
        <w:rPr>
          <w:rtl/>
          <w:lang w:bidi="fa-IR"/>
        </w:rPr>
        <w:t>ة</w:t>
      </w:r>
      <w:r>
        <w:rPr>
          <w:rtl/>
        </w:rPr>
        <w:t xml:space="preserve"> بهذا الخطاب الضدّ</w:t>
      </w:r>
      <w:r>
        <w:rPr>
          <w:rtl/>
          <w:lang w:bidi="fa-IR"/>
        </w:rPr>
        <w:t>ي</w:t>
      </w:r>
      <w:r>
        <w:rPr>
          <w:rtl/>
        </w:rPr>
        <w:t xml:space="preserve"> </w:t>
      </w:r>
      <w:r>
        <w:rPr>
          <w:rtl/>
          <w:lang w:bidi="fa-IR"/>
        </w:rPr>
        <w:t>أ</w:t>
      </w:r>
      <w:r>
        <w:rPr>
          <w:rtl/>
        </w:rPr>
        <w:t>و</w:t>
      </w:r>
      <w:r>
        <w:rPr>
          <w:rtl/>
          <w:lang w:bidi="fa-IR"/>
        </w:rPr>
        <w:t xml:space="preserve"> </w:t>
      </w:r>
      <w:r>
        <w:rPr>
          <w:rtl/>
        </w:rPr>
        <w:t>الخلاف</w:t>
      </w:r>
      <w:r>
        <w:rPr>
          <w:rtl/>
          <w:lang w:bidi="fa-IR"/>
        </w:rPr>
        <w:t>ي</w:t>
      </w:r>
      <w:r>
        <w:rPr>
          <w:rtl/>
        </w:rPr>
        <w:t xml:space="preserve"> تعلن وجودها </w:t>
      </w:r>
      <w:r>
        <w:rPr>
          <w:rFonts w:hint="cs"/>
          <w:rtl/>
        </w:rPr>
        <w:t>ككائن</w:t>
      </w:r>
      <w:r>
        <w:rPr>
          <w:rtl/>
        </w:rPr>
        <w:t xml:space="preserve"> مبدع، شأن الرجل</w:t>
      </w:r>
      <w:r>
        <w:rPr>
          <w:rFonts w:hint="cs"/>
          <w:rtl/>
        </w:rPr>
        <w:t>،</w:t>
      </w:r>
      <w:r>
        <w:rPr>
          <w:rtl/>
        </w:rPr>
        <w:t xml:space="preserve"> إذ يعلن ف</w:t>
      </w:r>
      <w:r>
        <w:rPr>
          <w:rtl/>
          <w:lang w:bidi="fa-IR"/>
        </w:rPr>
        <w:t>ي</w:t>
      </w:r>
      <w:r>
        <w:rPr>
          <w:rtl/>
        </w:rPr>
        <w:t xml:space="preserve"> خطابه</w:t>
      </w:r>
      <w:r>
        <w:rPr>
          <w:rFonts w:hint="cs"/>
          <w:rtl/>
        </w:rPr>
        <w:t xml:space="preserve"> عن</w:t>
      </w:r>
      <w:r>
        <w:rPr>
          <w:rtl/>
        </w:rPr>
        <w:t xml:space="preserve"> وجوده </w:t>
      </w:r>
      <w:r>
        <w:rPr>
          <w:rFonts w:hint="cs"/>
          <w:rtl/>
        </w:rPr>
        <w:t>ككائن</w:t>
      </w:r>
      <w:r>
        <w:rPr>
          <w:rtl/>
        </w:rPr>
        <w:t xml:space="preserve"> مبدع»</w:t>
      </w:r>
      <w:r w:rsidRPr="00815C4C">
        <w:rPr>
          <w:rFonts w:cs="Taher" w:hint="cs"/>
          <w:vertAlign w:val="superscript"/>
          <w:rtl/>
        </w:rPr>
        <w:t>(</w:t>
      </w:r>
      <w:r w:rsidRPr="00815C4C">
        <w:rPr>
          <w:rFonts w:cs="Taher"/>
          <w:vertAlign w:val="superscript"/>
          <w:rtl/>
        </w:rPr>
        <w:footnoteReference w:id="1143"/>
      </w:r>
      <w:r w:rsidRPr="00815C4C">
        <w:rPr>
          <w:rFonts w:cs="Taher" w:hint="cs"/>
          <w:vertAlign w:val="superscript"/>
          <w:rtl/>
        </w:rPr>
        <w:t>)</w:t>
      </w:r>
      <w:r>
        <w:rPr>
          <w:rtl/>
          <w:lang w:bidi="fa-IR"/>
        </w:rPr>
        <w:t xml:space="preserve">. </w:t>
      </w:r>
    </w:p>
    <w:p w:rsidR="00DD23C6" w:rsidRDefault="00DD23C6" w:rsidP="001D4CB9">
      <w:pPr>
        <w:pStyle w:val="ac"/>
        <w:spacing w:line="199" w:lineRule="auto"/>
        <w:rPr>
          <w:rtl/>
        </w:rPr>
      </w:pPr>
      <w:r>
        <w:rPr>
          <w:rtl/>
          <w:lang w:bidi="fa-IR"/>
        </w:rPr>
        <w:t xml:space="preserve">ومع هذا، فإنّ حمل مصطلح النسائي على مفهوم التضاد والندية للرجل، ليس من باب المواجهة مع الطبيعة الإنسانية للرجل، بل مواجهة الدور الذكوري المتسلّط الذي لعبه في المجتمع عبر التاريخ، وبالتالي رسمت الملامح العامة لشخصيته ضمن هذا المفهوم، </w:t>
      </w:r>
      <w:r>
        <w:rPr>
          <w:rFonts w:hint="cs"/>
          <w:rtl/>
          <w:lang w:bidi="fa-IR"/>
        </w:rPr>
        <w:t>كما</w:t>
      </w:r>
      <w:r>
        <w:rPr>
          <w:rtl/>
          <w:lang w:bidi="fa-IR"/>
        </w:rPr>
        <w:t xml:space="preserve"> </w:t>
      </w:r>
      <w:r>
        <w:rPr>
          <w:rFonts w:hint="cs"/>
          <w:rtl/>
          <w:lang w:bidi="fa-IR"/>
        </w:rPr>
        <w:t xml:space="preserve">تشير </w:t>
      </w:r>
      <w:r>
        <w:rPr>
          <w:rFonts w:hint="cs"/>
          <w:rtl/>
        </w:rPr>
        <w:t>يمنى العيد</w:t>
      </w:r>
      <w:r>
        <w:rPr>
          <w:rFonts w:hint="cs"/>
          <w:rtl/>
          <w:lang w:bidi="fa-IR"/>
        </w:rPr>
        <w:t xml:space="preserve"> إلى ذلك: </w:t>
      </w:r>
      <w:r w:rsidRPr="00885E99">
        <w:rPr>
          <w:rtl/>
        </w:rPr>
        <w:t>«</w:t>
      </w:r>
      <w:r>
        <w:rPr>
          <w:rtl/>
        </w:rPr>
        <w:t xml:space="preserve">... ومن موقع </w:t>
      </w:r>
      <w:r>
        <w:rPr>
          <w:rFonts w:hint="cs"/>
          <w:rtl/>
        </w:rPr>
        <w:t>الندية</w:t>
      </w:r>
      <w:r>
        <w:rPr>
          <w:rtl/>
        </w:rPr>
        <w:t xml:space="preserve"> </w:t>
      </w:r>
      <w:r>
        <w:rPr>
          <w:rFonts w:hint="cs"/>
          <w:rtl/>
        </w:rPr>
        <w:t>يواجه</w:t>
      </w:r>
      <w:r>
        <w:rPr>
          <w:rtl/>
        </w:rPr>
        <w:t xml:space="preserve"> </w:t>
      </w:r>
      <w:r w:rsidRPr="00885E99">
        <w:rPr>
          <w:rtl/>
        </w:rPr>
        <w:t>«</w:t>
      </w:r>
      <w:r>
        <w:rPr>
          <w:rFonts w:hint="cs"/>
          <w:rtl/>
        </w:rPr>
        <w:t>النسائي</w:t>
      </w:r>
      <w:r>
        <w:rPr>
          <w:rtl/>
        </w:rPr>
        <w:t>»</w:t>
      </w:r>
      <w:r>
        <w:rPr>
          <w:rFonts w:hint="cs"/>
          <w:rtl/>
        </w:rPr>
        <w:t xml:space="preserve"> لا الرجل بصفته ال</w:t>
      </w:r>
      <w:r>
        <w:rPr>
          <w:rtl/>
          <w:lang w:bidi="fa-IR"/>
        </w:rPr>
        <w:t>إ</w:t>
      </w:r>
      <w:r>
        <w:rPr>
          <w:rtl/>
        </w:rPr>
        <w:t>نسا</w:t>
      </w:r>
      <w:r>
        <w:rPr>
          <w:rFonts w:hint="cs"/>
          <w:rtl/>
        </w:rPr>
        <w:t>نية، بل آخر هو</w:t>
      </w:r>
      <w:r>
        <w:rPr>
          <w:rtl/>
          <w:lang w:bidi="fa-IR"/>
        </w:rPr>
        <w:t xml:space="preserve"> </w:t>
      </w:r>
      <w:r>
        <w:rPr>
          <w:rFonts w:hint="cs"/>
          <w:rtl/>
        </w:rPr>
        <w:t>تاريخياً قامع ومتسلّط</w:t>
      </w:r>
      <w:r>
        <w:rPr>
          <w:rFonts w:hint="eastAsia"/>
          <w:rtl/>
        </w:rPr>
        <w:t>»</w:t>
      </w:r>
      <w:r w:rsidRPr="00815C4C">
        <w:rPr>
          <w:rFonts w:cs="Taher" w:hint="cs"/>
          <w:vertAlign w:val="superscript"/>
          <w:rtl/>
        </w:rPr>
        <w:t>(</w:t>
      </w:r>
      <w:r w:rsidRPr="00815C4C">
        <w:rPr>
          <w:rFonts w:cs="Taher"/>
          <w:vertAlign w:val="superscript"/>
          <w:rtl/>
        </w:rPr>
        <w:footnoteReference w:id="1144"/>
      </w:r>
      <w:r w:rsidRPr="00815C4C">
        <w:rPr>
          <w:rFonts w:cs="Taher" w:hint="cs"/>
          <w:vertAlign w:val="superscript"/>
          <w:rtl/>
        </w:rPr>
        <w:t>)</w:t>
      </w:r>
      <w:r>
        <w:rPr>
          <w:rtl/>
        </w:rPr>
        <w:t>.</w:t>
      </w:r>
    </w:p>
    <w:p w:rsidR="00DD23C6" w:rsidRPr="001D4CB9" w:rsidRDefault="00DD23C6" w:rsidP="001D4CB9">
      <w:pPr>
        <w:pStyle w:val="afffffc"/>
        <w:rPr>
          <w:sz w:val="18"/>
          <w:szCs w:val="16"/>
          <w:rtl/>
          <w:lang w:bidi="fa-IR"/>
        </w:rPr>
      </w:pPr>
    </w:p>
    <w:p w:rsidR="00DD23C6" w:rsidRDefault="00DD23C6" w:rsidP="00DD23C6">
      <w:pPr>
        <w:pStyle w:val="1"/>
        <w:rPr>
          <w:rtl/>
        </w:rPr>
      </w:pPr>
      <w:bookmarkStart w:id="712" w:name="_Toc275128336"/>
      <w:r>
        <w:rPr>
          <w:rFonts w:hint="cs"/>
          <w:rtl/>
          <w:lang w:bidi="ar-IQ"/>
        </w:rPr>
        <w:t>نقد الذكورية المتسلّطة في أعمال الأدي</w:t>
      </w:r>
      <w:r>
        <w:rPr>
          <w:rFonts w:hint="cs"/>
          <w:rtl/>
        </w:rPr>
        <w:t>ب</w:t>
      </w:r>
      <w:r>
        <w:rPr>
          <w:rFonts w:hint="cs"/>
          <w:rtl/>
          <w:lang w:bidi="ar-IQ"/>
        </w:rPr>
        <w:t>ات اللبنانيات</w:t>
      </w:r>
      <w:bookmarkEnd w:id="712"/>
    </w:p>
    <w:p w:rsidR="00DD23C6" w:rsidRDefault="00DD23C6" w:rsidP="001D4CB9">
      <w:pPr>
        <w:pStyle w:val="ac"/>
        <w:spacing w:line="199" w:lineRule="auto"/>
        <w:rPr>
          <w:rtl/>
          <w:lang w:bidi="fa-IR"/>
        </w:rPr>
      </w:pPr>
      <w:r>
        <w:rPr>
          <w:rtl/>
          <w:lang w:bidi="fa-IR"/>
        </w:rPr>
        <w:t>وتزخر أعمال الأديبات العربيات بالهجوم على هذه الصورة التاريخية الذكورية المثيرة للحساسية الأنثوية وإدانتها، على سبيل المثال ما ورد في أعمال الروائية ليلى بعلبكي</w:t>
      </w:r>
      <w:r>
        <w:rPr>
          <w:rFonts w:hint="cs"/>
          <w:rtl/>
          <w:lang w:bidi="fa-IR"/>
        </w:rPr>
        <w:t>،</w:t>
      </w:r>
      <w:r>
        <w:rPr>
          <w:rtl/>
          <w:lang w:bidi="fa-IR"/>
        </w:rPr>
        <w:t xml:space="preserve"> مثل رواية </w:t>
      </w:r>
      <w:r w:rsidRPr="00885E99">
        <w:rPr>
          <w:rtl/>
        </w:rPr>
        <w:t>«</w:t>
      </w:r>
      <w:r>
        <w:rPr>
          <w:rtl/>
          <w:lang w:bidi="fa-IR"/>
        </w:rPr>
        <w:t>أنا أحيا</w:t>
      </w:r>
      <w:r>
        <w:rPr>
          <w:rtl/>
        </w:rPr>
        <w:t>»</w:t>
      </w:r>
      <w:r>
        <w:rPr>
          <w:rtl/>
          <w:lang w:bidi="fa-IR"/>
        </w:rPr>
        <w:t xml:space="preserve"> حيث تسلّط الضوء على السلوك الغاضب لشخصية </w:t>
      </w:r>
      <w:r w:rsidRPr="00885E99">
        <w:rPr>
          <w:rtl/>
        </w:rPr>
        <w:t>«</w:t>
      </w:r>
      <w:r>
        <w:rPr>
          <w:rtl/>
          <w:lang w:bidi="fa-IR"/>
        </w:rPr>
        <w:t>لينا</w:t>
      </w:r>
      <w:r>
        <w:rPr>
          <w:rtl/>
        </w:rPr>
        <w:t>»</w:t>
      </w:r>
      <w:r>
        <w:rPr>
          <w:rtl/>
          <w:lang w:bidi="fa-IR"/>
        </w:rPr>
        <w:t xml:space="preserve"> بطلة الرواية تجاه رجل يحظى بنفوذ وموقع اجتماعي متميّز، ويتّصف ببعض الخصائص الفريدة</w:t>
      </w:r>
      <w:r>
        <w:rPr>
          <w:rFonts w:hint="cs"/>
          <w:rtl/>
          <w:lang w:bidi="fa-IR"/>
        </w:rPr>
        <w:t>،</w:t>
      </w:r>
      <w:r>
        <w:rPr>
          <w:rtl/>
          <w:lang w:bidi="fa-IR"/>
        </w:rPr>
        <w:t xml:space="preserve"> حيث </w:t>
      </w:r>
      <w:r>
        <w:rPr>
          <w:rFonts w:hint="cs"/>
          <w:rtl/>
          <w:lang w:bidi="fa-IR"/>
        </w:rPr>
        <w:t>إ</w:t>
      </w:r>
      <w:r>
        <w:rPr>
          <w:rtl/>
          <w:lang w:bidi="fa-IR"/>
        </w:rPr>
        <w:t xml:space="preserve">نّه ربّ أسرة، ورئيس شركة وأستاذ جامعي، وأخيراً عضو في أحد الأحزاب السياسية، ويستغلّ هذا الرجل موقعه الاجتماعي المرموق فيبدي سلوكاً متسلطاً بغيضاً، وعبر سلسلة من الأحداث، يستثير مشاعر الغضب لدى لينا، </w:t>
      </w:r>
      <w:r>
        <w:rPr>
          <w:rtl/>
          <w:lang w:bidi="fa-IR"/>
        </w:rPr>
        <w:lastRenderedPageBreak/>
        <w:t>فتواجهه بكل ما تملك، لكنّ المواجهة تمثّل تعبيراً رمزياً عن الثورة على بعض المواصفات المقيتة التي يمثّلها ذلك الرجل</w:t>
      </w:r>
      <w:r>
        <w:rPr>
          <w:rFonts w:hint="cs"/>
          <w:rtl/>
          <w:lang w:bidi="fa-IR"/>
        </w:rPr>
        <w:t>،</w:t>
      </w:r>
      <w:r>
        <w:rPr>
          <w:rtl/>
          <w:lang w:bidi="fa-IR"/>
        </w:rPr>
        <w:t xml:space="preserve"> وليست ضدّ الرجل كجنس، </w:t>
      </w:r>
      <w:r>
        <w:rPr>
          <w:rFonts w:hint="cs"/>
          <w:rtl/>
          <w:lang w:bidi="fa-IR"/>
        </w:rPr>
        <w:t xml:space="preserve">كما تشير </w:t>
      </w:r>
      <w:r>
        <w:rPr>
          <w:rFonts w:hint="cs"/>
          <w:rtl/>
        </w:rPr>
        <w:t xml:space="preserve">يمنى العيد </w:t>
      </w:r>
      <w:r>
        <w:rPr>
          <w:rFonts w:hint="cs"/>
          <w:rtl/>
          <w:lang w:bidi="fa-IR"/>
        </w:rPr>
        <w:t>إلى</w:t>
      </w:r>
      <w:r>
        <w:rPr>
          <w:rFonts w:cs="Times New Roman" w:hint="cs"/>
          <w:rtl/>
          <w:lang w:bidi="fa-IR"/>
        </w:rPr>
        <w:t xml:space="preserve"> </w:t>
      </w:r>
      <w:r>
        <w:rPr>
          <w:rFonts w:hint="cs"/>
          <w:rtl/>
          <w:lang w:bidi="fa-IR"/>
        </w:rPr>
        <w:t xml:space="preserve"> ذلك: </w:t>
      </w:r>
      <w:r w:rsidRPr="00885E99">
        <w:rPr>
          <w:rtl/>
        </w:rPr>
        <w:t>«</w:t>
      </w:r>
      <w:r>
        <w:rPr>
          <w:rtl/>
        </w:rPr>
        <w:t>... لينا</w:t>
      </w:r>
      <w:r>
        <w:rPr>
          <w:rtl/>
          <w:lang w:bidi="fa-IR"/>
        </w:rPr>
        <w:t xml:space="preserve"> </w:t>
      </w:r>
      <w:r>
        <w:rPr>
          <w:rtl/>
        </w:rPr>
        <w:t>ومن خلفها الم</w:t>
      </w:r>
      <w:r>
        <w:rPr>
          <w:rFonts w:hint="cs"/>
          <w:rtl/>
        </w:rPr>
        <w:t>ؤ</w:t>
      </w:r>
      <w:r>
        <w:rPr>
          <w:rtl/>
        </w:rPr>
        <w:t>لف</w:t>
      </w:r>
      <w:r>
        <w:rPr>
          <w:rtl/>
          <w:lang w:bidi="fa-IR"/>
        </w:rPr>
        <w:t>ة</w:t>
      </w:r>
      <w:r>
        <w:rPr>
          <w:rtl/>
        </w:rPr>
        <w:t xml:space="preserve"> الضمني</w:t>
      </w:r>
      <w:r>
        <w:rPr>
          <w:rtl/>
          <w:lang w:bidi="fa-IR"/>
        </w:rPr>
        <w:t>ة</w:t>
      </w:r>
      <w:r>
        <w:rPr>
          <w:rFonts w:hint="cs"/>
          <w:rtl/>
          <w:lang w:bidi="fa-IR"/>
        </w:rPr>
        <w:t>،</w:t>
      </w:r>
      <w:r>
        <w:rPr>
          <w:rtl/>
        </w:rPr>
        <w:t xml:space="preserve"> ضد هذا القمع وليست ضد رجل تودّ</w:t>
      </w:r>
      <w:r>
        <w:rPr>
          <w:rFonts w:hint="cs"/>
          <w:rtl/>
        </w:rPr>
        <w:t>ه</w:t>
      </w:r>
      <w:r>
        <w:rPr>
          <w:rtl/>
        </w:rPr>
        <w:t xml:space="preserve">، </w:t>
      </w:r>
      <w:r>
        <w:rPr>
          <w:rFonts w:hint="cs"/>
          <w:rtl/>
        </w:rPr>
        <w:t>كما</w:t>
      </w:r>
      <w:r>
        <w:rPr>
          <w:rtl/>
        </w:rPr>
        <w:t xml:space="preserve"> تقول</w:t>
      </w:r>
      <w:r>
        <w:rPr>
          <w:rtl/>
          <w:lang w:bidi="fa-IR"/>
        </w:rPr>
        <w:t>،</w:t>
      </w:r>
      <w:r>
        <w:rPr>
          <w:rtl/>
        </w:rPr>
        <w:t xml:space="preserve"> أن </w:t>
      </w:r>
      <w:r>
        <w:rPr>
          <w:rFonts w:hint="cs"/>
          <w:rtl/>
        </w:rPr>
        <w:t>تشبك</w:t>
      </w:r>
      <w:r>
        <w:rPr>
          <w:rtl/>
        </w:rPr>
        <w:t xml:space="preserve"> بذراعه ذراعها»</w:t>
      </w:r>
      <w:r w:rsidRPr="00815C4C">
        <w:rPr>
          <w:rFonts w:cs="Taher" w:hint="cs"/>
          <w:vertAlign w:val="superscript"/>
          <w:rtl/>
        </w:rPr>
        <w:t>(</w:t>
      </w:r>
      <w:r w:rsidRPr="00815C4C">
        <w:rPr>
          <w:rFonts w:cs="Taher"/>
          <w:vertAlign w:val="superscript"/>
          <w:rtl/>
        </w:rPr>
        <w:footnoteReference w:id="1145"/>
      </w:r>
      <w:r w:rsidRPr="00815C4C">
        <w:rPr>
          <w:rFonts w:cs="Taher" w:hint="cs"/>
          <w:vertAlign w:val="superscript"/>
          <w:rtl/>
        </w:rPr>
        <w:t>)</w:t>
      </w:r>
      <w:r>
        <w:rPr>
          <w:rtl/>
        </w:rPr>
        <w:t>.</w:t>
      </w:r>
    </w:p>
    <w:p w:rsidR="00DD23C6" w:rsidRDefault="00DD23C6" w:rsidP="001D4CB9">
      <w:pPr>
        <w:pStyle w:val="ac"/>
        <w:spacing w:line="199" w:lineRule="auto"/>
        <w:rPr>
          <w:rtl/>
        </w:rPr>
      </w:pPr>
      <w:r>
        <w:rPr>
          <w:rtl/>
          <w:lang w:bidi="fa-IR"/>
        </w:rPr>
        <w:t xml:space="preserve">وفي السياق نفسه، ترسم الروائية </w:t>
      </w:r>
      <w:r w:rsidRPr="00885E99">
        <w:rPr>
          <w:rtl/>
        </w:rPr>
        <w:t>«</w:t>
      </w:r>
      <w:r>
        <w:rPr>
          <w:rtl/>
          <w:lang w:bidi="fa-IR"/>
        </w:rPr>
        <w:t>هدى بركات</w:t>
      </w:r>
      <w:r>
        <w:rPr>
          <w:rtl/>
        </w:rPr>
        <w:t>»</w:t>
      </w:r>
      <w:r>
        <w:rPr>
          <w:rtl/>
          <w:lang w:bidi="fa-IR"/>
        </w:rPr>
        <w:t xml:space="preserve"> في روايتها </w:t>
      </w:r>
      <w:r w:rsidRPr="00885E99">
        <w:rPr>
          <w:rtl/>
        </w:rPr>
        <w:t>«</w:t>
      </w:r>
      <w:r>
        <w:rPr>
          <w:rtl/>
          <w:lang w:bidi="fa-IR"/>
        </w:rPr>
        <w:t>حجر الضحك</w:t>
      </w:r>
      <w:r>
        <w:rPr>
          <w:rtl/>
        </w:rPr>
        <w:t>»</w:t>
      </w:r>
      <w:r>
        <w:rPr>
          <w:rtl/>
          <w:lang w:bidi="fa-IR"/>
        </w:rPr>
        <w:t xml:space="preserve"> صورة مؤثرة عن قساوة الحرب الداخلية اللبنانية</w:t>
      </w:r>
      <w:r>
        <w:rPr>
          <w:rFonts w:hint="cs"/>
          <w:rtl/>
          <w:lang w:bidi="fa-IR"/>
        </w:rPr>
        <w:t>،</w:t>
      </w:r>
      <w:r>
        <w:rPr>
          <w:rtl/>
          <w:lang w:bidi="fa-IR"/>
        </w:rPr>
        <w:t xml:space="preserve"> تجلّت في بعض الملامح المتباينة التي تعطيها لبطل الرواية، وهجومها الشديد على خصيصة حبّ التسلّط الذكوري لديه دون المساس بصفاته الإنسانية، </w:t>
      </w:r>
      <w:r>
        <w:rPr>
          <w:rFonts w:hint="cs"/>
          <w:rtl/>
          <w:lang w:bidi="fa-IR"/>
        </w:rPr>
        <w:t>كما</w:t>
      </w:r>
      <w:r>
        <w:rPr>
          <w:rtl/>
          <w:lang w:bidi="fa-IR"/>
        </w:rPr>
        <w:t xml:space="preserve"> تقول </w:t>
      </w:r>
      <w:r>
        <w:rPr>
          <w:rFonts w:hint="cs"/>
          <w:rtl/>
        </w:rPr>
        <w:t>يمنى العيد</w:t>
      </w:r>
      <w:r>
        <w:rPr>
          <w:rFonts w:hint="cs"/>
          <w:rtl/>
          <w:lang w:bidi="fa-IR"/>
        </w:rPr>
        <w:t xml:space="preserve"> في هذه الرواية: </w:t>
      </w:r>
      <w:r w:rsidRPr="00885E99">
        <w:rPr>
          <w:rtl/>
        </w:rPr>
        <w:t>«</w:t>
      </w:r>
      <w:r>
        <w:rPr>
          <w:rtl/>
        </w:rPr>
        <w:t xml:space="preserve">لم </w:t>
      </w:r>
      <w:r>
        <w:rPr>
          <w:rFonts w:hint="cs"/>
          <w:rtl/>
        </w:rPr>
        <w:t>تكتب</w:t>
      </w:r>
      <w:r>
        <w:rPr>
          <w:rtl/>
        </w:rPr>
        <w:t xml:space="preserve"> </w:t>
      </w:r>
      <w:r>
        <w:rPr>
          <w:rFonts w:hint="cs"/>
          <w:rtl/>
        </w:rPr>
        <w:t>المرأ</w:t>
      </w:r>
      <w:r>
        <w:rPr>
          <w:rFonts w:hint="eastAsia"/>
          <w:rtl/>
        </w:rPr>
        <w:t>ة</w:t>
      </w:r>
      <w:r>
        <w:rPr>
          <w:rtl/>
        </w:rPr>
        <w:t xml:space="preserve"> ضد الرجل ال</w:t>
      </w:r>
      <w:r>
        <w:rPr>
          <w:rtl/>
          <w:lang w:bidi="fa-IR"/>
        </w:rPr>
        <w:t>إ</w:t>
      </w:r>
      <w:r>
        <w:rPr>
          <w:rtl/>
        </w:rPr>
        <w:t xml:space="preserve">نسان حين تناولت </w:t>
      </w:r>
      <w:r>
        <w:rPr>
          <w:rFonts w:hint="cs"/>
          <w:rtl/>
        </w:rPr>
        <w:t>كتاباتها</w:t>
      </w:r>
      <w:r>
        <w:rPr>
          <w:rtl/>
        </w:rPr>
        <w:t xml:space="preserve"> </w:t>
      </w:r>
      <w:r>
        <w:rPr>
          <w:rFonts w:hint="cs"/>
          <w:rtl/>
        </w:rPr>
        <w:t>الإبداعية</w:t>
      </w:r>
      <w:r>
        <w:rPr>
          <w:rtl/>
        </w:rPr>
        <w:t xml:space="preserve"> العلاق</w:t>
      </w:r>
      <w:r>
        <w:rPr>
          <w:rtl/>
          <w:lang w:bidi="fa-IR"/>
        </w:rPr>
        <w:t>ة</w:t>
      </w:r>
      <w:r>
        <w:rPr>
          <w:rtl/>
        </w:rPr>
        <w:t xml:space="preserve"> بين ال</w:t>
      </w:r>
      <w:r>
        <w:rPr>
          <w:rtl/>
          <w:lang w:bidi="fa-IR"/>
        </w:rPr>
        <w:t>أ</w:t>
      </w:r>
      <w:r>
        <w:rPr>
          <w:rtl/>
        </w:rPr>
        <w:t>نوث</w:t>
      </w:r>
      <w:r>
        <w:rPr>
          <w:rtl/>
          <w:lang w:bidi="fa-IR"/>
        </w:rPr>
        <w:t>ة</w:t>
      </w:r>
      <w:r>
        <w:rPr>
          <w:rtl/>
        </w:rPr>
        <w:t xml:space="preserve"> </w:t>
      </w:r>
      <w:r>
        <w:rPr>
          <w:rFonts w:hint="cs"/>
          <w:rtl/>
        </w:rPr>
        <w:t>والذكورة</w:t>
      </w:r>
      <w:r>
        <w:rPr>
          <w:rtl/>
        </w:rPr>
        <w:t xml:space="preserve">، بل </w:t>
      </w:r>
      <w:r>
        <w:rPr>
          <w:rFonts w:hint="cs"/>
          <w:rtl/>
        </w:rPr>
        <w:t>كتبت</w:t>
      </w:r>
      <w:r>
        <w:rPr>
          <w:rtl/>
        </w:rPr>
        <w:t xml:space="preserve"> ضد </w:t>
      </w:r>
      <w:r>
        <w:rPr>
          <w:rFonts w:hint="cs"/>
          <w:rtl/>
        </w:rPr>
        <w:t>إ</w:t>
      </w:r>
      <w:r>
        <w:rPr>
          <w:rtl/>
        </w:rPr>
        <w:t>يد</w:t>
      </w:r>
      <w:r>
        <w:rPr>
          <w:rFonts w:hint="cs"/>
          <w:rtl/>
        </w:rPr>
        <w:t>يو</w:t>
      </w:r>
      <w:r>
        <w:rPr>
          <w:rtl/>
        </w:rPr>
        <w:t>لوجيا السلط</w:t>
      </w:r>
      <w:r>
        <w:rPr>
          <w:rtl/>
          <w:lang w:bidi="fa-IR"/>
        </w:rPr>
        <w:t>ة</w:t>
      </w:r>
      <w:r>
        <w:rPr>
          <w:rtl/>
        </w:rPr>
        <w:t xml:space="preserve"> </w:t>
      </w:r>
      <w:r>
        <w:rPr>
          <w:rFonts w:hint="cs"/>
          <w:rtl/>
        </w:rPr>
        <w:t>الذكورية</w:t>
      </w:r>
      <w:r>
        <w:rPr>
          <w:rtl/>
        </w:rPr>
        <w:t>...»</w:t>
      </w:r>
      <w:r w:rsidRPr="00815C4C">
        <w:rPr>
          <w:rFonts w:cs="Taher" w:hint="cs"/>
          <w:vertAlign w:val="superscript"/>
          <w:rtl/>
        </w:rPr>
        <w:t>(</w:t>
      </w:r>
      <w:r w:rsidRPr="00815C4C">
        <w:rPr>
          <w:rFonts w:cs="Taher"/>
          <w:vertAlign w:val="superscript"/>
          <w:rtl/>
        </w:rPr>
        <w:footnoteReference w:id="1146"/>
      </w:r>
      <w:r w:rsidRPr="00815C4C">
        <w:rPr>
          <w:rFonts w:cs="Taher" w:hint="cs"/>
          <w:vertAlign w:val="superscript"/>
          <w:rtl/>
        </w:rPr>
        <w:t>)</w:t>
      </w:r>
      <w:r>
        <w:rPr>
          <w:rtl/>
        </w:rPr>
        <w:t>.</w:t>
      </w:r>
    </w:p>
    <w:p w:rsidR="00DD23C6" w:rsidRDefault="00DD23C6" w:rsidP="001D4CB9">
      <w:pPr>
        <w:pStyle w:val="ac"/>
        <w:rPr>
          <w:rtl/>
        </w:rPr>
      </w:pPr>
      <w:r>
        <w:rPr>
          <w:rtl/>
          <w:lang w:bidi="fa-IR"/>
        </w:rPr>
        <w:t xml:space="preserve">ونفس الهجمة تشنّها الروائية </w:t>
      </w:r>
      <w:r>
        <w:rPr>
          <w:rFonts w:hint="cs"/>
          <w:rtl/>
          <w:lang w:bidi="fa-IR"/>
        </w:rPr>
        <w:t>أميلي نصرالله في أعمالها، عبر استعراضها لبعض مظاهر هذا التسلّط الذي تفرضه بعض العادات والتقاليد الاجتماعية، وبأسلوب أدبي شيّق تستثير مشاعر الغضب المكنونة في أعماق القارئ ضدّ تلك التقاليد، كما تشير  يمنى العيد إلى ذلك:</w:t>
      </w:r>
      <w:r>
        <w:rPr>
          <w:rtl/>
        </w:rPr>
        <w:t xml:space="preserve"> </w:t>
      </w:r>
      <w:r w:rsidRPr="00885E99">
        <w:rPr>
          <w:rtl/>
        </w:rPr>
        <w:t>«</w:t>
      </w:r>
      <w:r>
        <w:rPr>
          <w:rtl/>
        </w:rPr>
        <w:t>ورواي</w:t>
      </w:r>
      <w:r>
        <w:rPr>
          <w:rtl/>
          <w:lang w:bidi="fa-IR"/>
        </w:rPr>
        <w:t>ة</w:t>
      </w:r>
      <w:r>
        <w:rPr>
          <w:rtl/>
        </w:rPr>
        <w:t xml:space="preserve"> الإقلاع </w:t>
      </w:r>
      <w:r>
        <w:rPr>
          <w:rFonts w:hint="cs"/>
          <w:rtl/>
        </w:rPr>
        <w:t>عكس</w:t>
      </w:r>
      <w:r>
        <w:rPr>
          <w:rtl/>
        </w:rPr>
        <w:t xml:space="preserve"> الزمن (</w:t>
      </w:r>
      <w:r>
        <w:rPr>
          <w:rFonts w:hint="cs"/>
          <w:rtl/>
        </w:rPr>
        <w:t>بيروت</w:t>
      </w:r>
      <w:r>
        <w:rPr>
          <w:rtl/>
        </w:rPr>
        <w:t>،1980) ل</w:t>
      </w:r>
      <w:r>
        <w:rPr>
          <w:rtl/>
          <w:lang w:bidi="fa-IR"/>
        </w:rPr>
        <w:t>إ</w:t>
      </w:r>
      <w:r>
        <w:rPr>
          <w:rtl/>
        </w:rPr>
        <w:t>ميل</w:t>
      </w:r>
      <w:r>
        <w:rPr>
          <w:rtl/>
          <w:lang w:bidi="fa-IR"/>
        </w:rPr>
        <w:t>ي</w:t>
      </w:r>
      <w:r>
        <w:rPr>
          <w:rtl/>
        </w:rPr>
        <w:t xml:space="preserve"> نصر</w:t>
      </w:r>
      <w:r>
        <w:rPr>
          <w:rFonts w:hint="cs"/>
          <w:rtl/>
        </w:rPr>
        <w:t xml:space="preserve"> </w:t>
      </w:r>
      <w:r>
        <w:rPr>
          <w:rtl/>
        </w:rPr>
        <w:t xml:space="preserve">الله </w:t>
      </w:r>
      <w:r>
        <w:rPr>
          <w:rFonts w:hint="cs"/>
          <w:rtl/>
        </w:rPr>
        <w:t>التي تحكي عن الحرب والغرب</w:t>
      </w:r>
      <w:r>
        <w:rPr>
          <w:rtl/>
          <w:lang w:bidi="fa-IR"/>
        </w:rPr>
        <w:t>ة</w:t>
      </w:r>
      <w:r>
        <w:rPr>
          <w:rtl/>
        </w:rPr>
        <w:t xml:space="preserve"> والتعلق بالجذور»</w:t>
      </w:r>
      <w:r w:rsidRPr="00815C4C">
        <w:rPr>
          <w:rFonts w:cs="Taher" w:hint="cs"/>
          <w:vertAlign w:val="superscript"/>
          <w:rtl/>
        </w:rPr>
        <w:t>(</w:t>
      </w:r>
      <w:r w:rsidRPr="00815C4C">
        <w:rPr>
          <w:rFonts w:cs="Taher"/>
          <w:vertAlign w:val="superscript"/>
          <w:rtl/>
        </w:rPr>
        <w:footnoteReference w:id="1147"/>
      </w:r>
      <w:r w:rsidRPr="00815C4C">
        <w:rPr>
          <w:rFonts w:cs="Taher" w:hint="cs"/>
          <w:vertAlign w:val="superscript"/>
          <w:rtl/>
        </w:rPr>
        <w:t>)</w:t>
      </w:r>
      <w:r>
        <w:rPr>
          <w:rtl/>
          <w:lang w:bidi="fa-IR"/>
        </w:rPr>
        <w:t>. كما تطرّقت في بعض أعمالها إلى موضوع الحرب الداخلية اللبنانية وما خلّفته من مآسٍ، إذ حاولت تصوير مشاهد الصراع والعنف التي انتهت إلى حالة النزاع الاجتماعي والاقتتال الداخلي، لتعبّر بذلك عن أجلى صورها المتمثّلة في رمزية التسلّط والقهر التي ميّزت الرجل في لبنان عبر التاريخ الطويل لهذا البلد.</w:t>
      </w:r>
      <w:r>
        <w:rPr>
          <w:rFonts w:hint="cs"/>
          <w:rtl/>
          <w:lang w:bidi="fa-IR"/>
        </w:rPr>
        <w:t xml:space="preserve">  </w:t>
      </w:r>
    </w:p>
    <w:p w:rsidR="00DD23C6" w:rsidRDefault="00DD23C6" w:rsidP="00DD23C6">
      <w:pPr>
        <w:pStyle w:val="ac"/>
        <w:adjustRightInd w:val="0"/>
        <w:rPr>
          <w:rtl/>
          <w:lang w:bidi="fa-IR"/>
        </w:rPr>
      </w:pPr>
      <w:r>
        <w:rPr>
          <w:rtl/>
          <w:lang w:bidi="fa-IR"/>
        </w:rPr>
        <w:t xml:space="preserve">وفي رواية </w:t>
      </w:r>
      <w:r w:rsidRPr="00885E99">
        <w:rPr>
          <w:rtl/>
        </w:rPr>
        <w:t>«</w:t>
      </w:r>
      <w:r>
        <w:rPr>
          <w:rtl/>
          <w:lang w:bidi="fa-IR"/>
        </w:rPr>
        <w:t>قلب الرجل</w:t>
      </w:r>
      <w:r>
        <w:rPr>
          <w:rtl/>
        </w:rPr>
        <w:t>»</w:t>
      </w:r>
      <w:r>
        <w:rPr>
          <w:rtl/>
          <w:lang w:bidi="fa-IR"/>
        </w:rPr>
        <w:t xml:space="preserve"> للسيدة لبيبة هاشم التي تسرد فيها الوقائع الأليمة التي جرت في عام </w:t>
      </w:r>
      <w:r>
        <w:rPr>
          <w:rFonts w:hint="cs"/>
          <w:rtl/>
        </w:rPr>
        <w:t>1860</w:t>
      </w:r>
      <w:r>
        <w:rPr>
          <w:rtl/>
          <w:lang w:bidi="fa-IR"/>
        </w:rPr>
        <w:t xml:space="preserve"> نتيجة للسياسات المتهورة للدولة العثمانية من جهة</w:t>
      </w:r>
      <w:r>
        <w:rPr>
          <w:rFonts w:hint="cs"/>
          <w:rtl/>
          <w:lang w:bidi="fa-IR"/>
        </w:rPr>
        <w:t>،</w:t>
      </w:r>
      <w:r>
        <w:rPr>
          <w:rtl/>
          <w:lang w:bidi="fa-IR"/>
        </w:rPr>
        <w:t xml:space="preserve"> وتدخلات </w:t>
      </w:r>
      <w:r>
        <w:rPr>
          <w:rtl/>
          <w:lang w:bidi="fa-IR"/>
        </w:rPr>
        <w:lastRenderedPageBreak/>
        <w:t>الدول الأجنبية من جهة أخرى، ما أدّى إلى اندلاع الحرب الداخلية في السنة المذكورة. في هذه الرواية تتحدّث السيدة هاشم عن الأزمات الاجتماعية وما أفرزته من معاناة وآلام للمواطنين اللبنانيين</w:t>
      </w:r>
      <w:r w:rsidRPr="00815C4C">
        <w:rPr>
          <w:rFonts w:cs="Taher" w:hint="cs"/>
          <w:vertAlign w:val="superscript"/>
          <w:rtl/>
        </w:rPr>
        <w:t>(</w:t>
      </w:r>
      <w:r w:rsidRPr="00815C4C">
        <w:rPr>
          <w:rFonts w:cs="Taher"/>
          <w:vertAlign w:val="superscript"/>
          <w:rtl/>
        </w:rPr>
        <w:footnoteReference w:id="1148"/>
      </w:r>
      <w:r w:rsidRPr="00815C4C">
        <w:rPr>
          <w:rFonts w:cs="Taher" w:hint="cs"/>
          <w:vertAlign w:val="superscript"/>
          <w:rtl/>
        </w:rPr>
        <w:t>)</w:t>
      </w:r>
      <w:r>
        <w:rPr>
          <w:rtl/>
          <w:lang w:bidi="fa-IR"/>
        </w:rPr>
        <w:t>.</w:t>
      </w:r>
    </w:p>
    <w:p w:rsidR="001D4CB9" w:rsidRPr="001D4CB9" w:rsidRDefault="001D4CB9" w:rsidP="001D4CB9">
      <w:pPr>
        <w:pStyle w:val="afffffc"/>
        <w:rPr>
          <w:sz w:val="14"/>
          <w:szCs w:val="12"/>
          <w:rtl/>
        </w:rPr>
      </w:pPr>
    </w:p>
    <w:p w:rsidR="00DD23C6" w:rsidRDefault="00DD23C6" w:rsidP="00DD23C6">
      <w:pPr>
        <w:pStyle w:val="1"/>
        <w:rPr>
          <w:rFonts w:cs="Times New Roman"/>
          <w:rtl/>
        </w:rPr>
      </w:pPr>
      <w:bookmarkStart w:id="713" w:name="_Toc275128337"/>
      <w:r>
        <w:rPr>
          <w:rFonts w:hint="cs"/>
          <w:rtl/>
          <w:lang w:bidi="ar-IQ"/>
        </w:rPr>
        <w:t>أعمال إميلي نصر الله</w:t>
      </w:r>
      <w:bookmarkEnd w:id="713"/>
      <w:r>
        <w:rPr>
          <w:rFonts w:hint="cs"/>
          <w:rtl/>
        </w:rPr>
        <w:t xml:space="preserve"> </w:t>
      </w:r>
    </w:p>
    <w:p w:rsidR="00DD23C6" w:rsidRDefault="00DD23C6" w:rsidP="00DD23C6">
      <w:pPr>
        <w:pStyle w:val="ac"/>
        <w:rPr>
          <w:rtl/>
          <w:lang w:bidi="fa-IR"/>
        </w:rPr>
      </w:pPr>
      <w:r>
        <w:rPr>
          <w:rFonts w:hint="cs"/>
          <w:rtl/>
          <w:lang w:bidi="fa-IR"/>
        </w:rPr>
        <w:t>ل</w:t>
      </w:r>
      <w:r>
        <w:rPr>
          <w:rFonts w:hint="cs"/>
          <w:rtl/>
        </w:rPr>
        <w:t>إ</w:t>
      </w:r>
      <w:r>
        <w:rPr>
          <w:rFonts w:hint="cs"/>
          <w:rtl/>
          <w:lang w:bidi="fa-IR"/>
        </w:rPr>
        <w:t>ميلي نصرالله مؤلفات متعددة قيّمة نذكر بعضها في هذا المقال، من أهمها:</w:t>
      </w:r>
    </w:p>
    <w:p w:rsidR="00DD23C6" w:rsidRDefault="00DD23C6" w:rsidP="001D4CB9">
      <w:pPr>
        <w:pStyle w:val="ac"/>
        <w:spacing w:line="202" w:lineRule="auto"/>
        <w:rPr>
          <w:rtl/>
        </w:rPr>
      </w:pPr>
      <w:r w:rsidRPr="001D4CB9">
        <w:rPr>
          <w:rFonts w:hint="cs"/>
          <w:rtl/>
        </w:rPr>
        <w:t>1</w:t>
      </w:r>
      <w:r w:rsidR="001D4CB9">
        <w:rPr>
          <w:rFonts w:hint="cs"/>
          <w:rtl/>
        </w:rPr>
        <w:t xml:space="preserve">ـ </w:t>
      </w:r>
      <w:r>
        <w:rPr>
          <w:rtl/>
          <w:lang w:bidi="fa-IR"/>
        </w:rPr>
        <w:t>أ</w:t>
      </w:r>
      <w:r>
        <w:rPr>
          <w:rtl/>
        </w:rPr>
        <w:t>سود و</w:t>
      </w:r>
      <w:r>
        <w:rPr>
          <w:rFonts w:hint="cs"/>
          <w:rtl/>
          <w:lang w:bidi="fa-IR"/>
        </w:rPr>
        <w:t>أبيض</w:t>
      </w:r>
      <w:r>
        <w:rPr>
          <w:rFonts w:hint="cs"/>
          <w:rtl/>
        </w:rPr>
        <w:t>،</w:t>
      </w:r>
      <w:r>
        <w:rPr>
          <w:rtl/>
          <w:lang w:bidi="fa-IR"/>
        </w:rPr>
        <w:t xml:space="preserve"> </w:t>
      </w:r>
      <w:r>
        <w:rPr>
          <w:rFonts w:hint="cs"/>
          <w:rtl/>
          <w:lang w:bidi="fa-IR"/>
        </w:rPr>
        <w:t>بيروت،</w:t>
      </w:r>
      <w:r>
        <w:rPr>
          <w:rtl/>
        </w:rPr>
        <w:t xml:space="preserve"> </w:t>
      </w:r>
      <w:r>
        <w:rPr>
          <w:rFonts w:hint="cs"/>
          <w:rtl/>
        </w:rPr>
        <w:t>مكتبة</w:t>
      </w:r>
      <w:r>
        <w:rPr>
          <w:rtl/>
        </w:rPr>
        <w:t xml:space="preserve"> الدار </w:t>
      </w:r>
      <w:r>
        <w:rPr>
          <w:rFonts w:hint="cs"/>
          <w:rtl/>
        </w:rPr>
        <w:t>العربية</w:t>
      </w:r>
      <w:r>
        <w:rPr>
          <w:rtl/>
        </w:rPr>
        <w:t xml:space="preserve"> </w:t>
      </w:r>
      <w:r>
        <w:rPr>
          <w:rFonts w:hint="cs"/>
          <w:rtl/>
        </w:rPr>
        <w:t>للكتاب</w:t>
      </w:r>
      <w:r>
        <w:rPr>
          <w:rtl/>
          <w:lang w:bidi="fa-IR"/>
        </w:rPr>
        <w:t xml:space="preserve">، </w:t>
      </w:r>
      <w:r>
        <w:rPr>
          <w:rtl/>
        </w:rPr>
        <w:t>2001</w:t>
      </w:r>
      <w:r>
        <w:rPr>
          <w:rtl/>
          <w:lang w:bidi="fa-IR"/>
        </w:rPr>
        <w:t>.</w:t>
      </w:r>
    </w:p>
    <w:p w:rsidR="00DD23C6" w:rsidRDefault="00DD23C6" w:rsidP="001D4CB9">
      <w:pPr>
        <w:pStyle w:val="ac"/>
        <w:spacing w:line="202" w:lineRule="auto"/>
        <w:rPr>
          <w:rtl/>
          <w:lang w:bidi="fa-IR"/>
        </w:rPr>
      </w:pPr>
      <w:r w:rsidRPr="001D4CB9">
        <w:rPr>
          <w:rtl/>
        </w:rPr>
        <w:t>2</w:t>
      </w:r>
      <w:r w:rsidR="001D4CB9">
        <w:rPr>
          <w:rFonts w:hint="cs"/>
          <w:rtl/>
        </w:rPr>
        <w:t>ـ</w:t>
      </w:r>
      <w:r>
        <w:rPr>
          <w:rtl/>
        </w:rPr>
        <w:t xml:space="preserve"> ال</w:t>
      </w:r>
      <w:r>
        <w:rPr>
          <w:rFonts w:hint="cs"/>
          <w:rtl/>
          <w:lang w:bidi="fa-IR"/>
        </w:rPr>
        <w:t>إ</w:t>
      </w:r>
      <w:r>
        <w:rPr>
          <w:rtl/>
        </w:rPr>
        <w:t xml:space="preserve">قلاع </w:t>
      </w:r>
      <w:r>
        <w:rPr>
          <w:rFonts w:hint="cs"/>
          <w:rtl/>
        </w:rPr>
        <w:t>عكس</w:t>
      </w:r>
      <w:r>
        <w:rPr>
          <w:rtl/>
        </w:rPr>
        <w:t xml:space="preserve"> الزمن</w:t>
      </w:r>
      <w:r>
        <w:rPr>
          <w:rtl/>
          <w:lang w:bidi="fa-IR"/>
        </w:rPr>
        <w:t xml:space="preserve">، </w:t>
      </w:r>
      <w:r>
        <w:rPr>
          <w:rFonts w:hint="cs"/>
          <w:rtl/>
          <w:lang w:bidi="fa-IR"/>
        </w:rPr>
        <w:t>بيروت،</w:t>
      </w:r>
      <w:r>
        <w:rPr>
          <w:rtl/>
        </w:rPr>
        <w:t xml:space="preserve"> نوفل، </w:t>
      </w:r>
      <w:r>
        <w:rPr>
          <w:rtl/>
          <w:lang w:bidi="fa-IR"/>
        </w:rPr>
        <w:t xml:space="preserve">الطبعة </w:t>
      </w:r>
      <w:r>
        <w:rPr>
          <w:rFonts w:hint="cs"/>
          <w:rtl/>
          <w:lang w:bidi="fa-IR"/>
        </w:rPr>
        <w:t>الثانية،</w:t>
      </w:r>
      <w:r>
        <w:rPr>
          <w:rtl/>
        </w:rPr>
        <w:t>1984</w:t>
      </w:r>
      <w:r>
        <w:rPr>
          <w:rtl/>
          <w:lang w:bidi="fa-IR"/>
        </w:rPr>
        <w:t>.</w:t>
      </w:r>
    </w:p>
    <w:p w:rsidR="00DD23C6" w:rsidRDefault="00DD23C6" w:rsidP="001D4CB9">
      <w:pPr>
        <w:pStyle w:val="ac"/>
        <w:spacing w:line="202" w:lineRule="auto"/>
        <w:rPr>
          <w:rtl/>
        </w:rPr>
      </w:pPr>
      <w:r>
        <w:rPr>
          <w:rtl/>
        </w:rPr>
        <w:t>3</w:t>
      </w:r>
      <w:r w:rsidR="001D4CB9">
        <w:rPr>
          <w:rFonts w:hint="cs"/>
          <w:rtl/>
        </w:rPr>
        <w:t>ـ</w:t>
      </w:r>
      <w:r>
        <w:rPr>
          <w:rtl/>
        </w:rPr>
        <w:t xml:space="preserve"> الباهر</w:t>
      </w:r>
      <w:r>
        <w:rPr>
          <w:rFonts w:hint="cs"/>
          <w:rtl/>
        </w:rPr>
        <w:t>ة</w:t>
      </w:r>
      <w:r>
        <w:rPr>
          <w:rtl/>
        </w:rPr>
        <w:t>،</w:t>
      </w:r>
      <w:r>
        <w:rPr>
          <w:rFonts w:ascii="Arial" w:hAnsi="Arial" w:cs="Arial" w:hint="cs"/>
          <w:rtl/>
          <w:lang w:bidi="fa-IR"/>
        </w:rPr>
        <w:t xml:space="preserve"> </w:t>
      </w:r>
      <w:r>
        <w:rPr>
          <w:rFonts w:hint="cs"/>
          <w:rtl/>
        </w:rPr>
        <w:t>بيروت،</w:t>
      </w:r>
      <w:r>
        <w:rPr>
          <w:rtl/>
        </w:rPr>
        <w:t xml:space="preserve"> نوفل، </w:t>
      </w:r>
      <w:r>
        <w:rPr>
          <w:rFonts w:hint="cs"/>
          <w:rtl/>
          <w:lang w:bidi="fa-IR"/>
        </w:rPr>
        <w:t>الطبعة الثالثة،</w:t>
      </w:r>
      <w:r>
        <w:rPr>
          <w:rtl/>
        </w:rPr>
        <w:t xml:space="preserve"> 1985</w:t>
      </w:r>
      <w:r>
        <w:rPr>
          <w:rtl/>
          <w:lang w:bidi="fa-IR"/>
        </w:rPr>
        <w:t>.</w:t>
      </w:r>
      <w:r>
        <w:rPr>
          <w:rtl/>
        </w:rPr>
        <w:t xml:space="preserve"> </w:t>
      </w:r>
    </w:p>
    <w:p w:rsidR="00DD23C6" w:rsidRDefault="00DD23C6" w:rsidP="001D4CB9">
      <w:pPr>
        <w:pStyle w:val="ac"/>
        <w:spacing w:line="202" w:lineRule="auto"/>
        <w:rPr>
          <w:rtl/>
          <w:lang w:bidi="fa-IR"/>
        </w:rPr>
      </w:pPr>
      <w:r>
        <w:rPr>
          <w:rtl/>
        </w:rPr>
        <w:t>4</w:t>
      </w:r>
      <w:r w:rsidR="001D4CB9">
        <w:rPr>
          <w:rFonts w:hint="cs"/>
          <w:rtl/>
        </w:rPr>
        <w:t>ـ</w:t>
      </w:r>
      <w:r>
        <w:rPr>
          <w:rtl/>
        </w:rPr>
        <w:t xml:space="preserve"> </w:t>
      </w:r>
      <w:r>
        <w:rPr>
          <w:rFonts w:hint="cs"/>
          <w:rtl/>
        </w:rPr>
        <w:t>تلك</w:t>
      </w:r>
      <w:r>
        <w:rPr>
          <w:rtl/>
        </w:rPr>
        <w:t xml:space="preserve"> </w:t>
      </w:r>
      <w:r>
        <w:rPr>
          <w:rFonts w:hint="cs"/>
          <w:rtl/>
        </w:rPr>
        <w:t>الذكريات،</w:t>
      </w:r>
      <w:r>
        <w:rPr>
          <w:rFonts w:ascii="Arial" w:hAnsi="Arial" w:cs="Arial" w:hint="cs"/>
          <w:rtl/>
          <w:lang w:bidi="fa-IR"/>
        </w:rPr>
        <w:t xml:space="preserve"> </w:t>
      </w:r>
      <w:r>
        <w:rPr>
          <w:rFonts w:hint="cs"/>
          <w:rtl/>
        </w:rPr>
        <w:t>بيروت،</w:t>
      </w:r>
      <w:r>
        <w:rPr>
          <w:rtl/>
        </w:rPr>
        <w:t xml:space="preserve"> نوفل، </w:t>
      </w:r>
      <w:r>
        <w:rPr>
          <w:rFonts w:hint="cs"/>
          <w:rtl/>
          <w:lang w:bidi="fa-IR"/>
        </w:rPr>
        <w:t>الطبعة الثانية،</w:t>
      </w:r>
      <w:r>
        <w:rPr>
          <w:rtl/>
        </w:rPr>
        <w:t xml:space="preserve"> 1983</w:t>
      </w:r>
      <w:r>
        <w:rPr>
          <w:rtl/>
          <w:lang w:bidi="fa-IR"/>
        </w:rPr>
        <w:t>.</w:t>
      </w:r>
    </w:p>
    <w:p w:rsidR="00DD23C6" w:rsidRDefault="00DD23C6" w:rsidP="001D4CB9">
      <w:pPr>
        <w:pStyle w:val="ac"/>
        <w:spacing w:line="202" w:lineRule="auto"/>
        <w:rPr>
          <w:rtl/>
          <w:lang w:bidi="fa-IR"/>
        </w:rPr>
      </w:pPr>
      <w:r>
        <w:rPr>
          <w:rtl/>
        </w:rPr>
        <w:t>5</w:t>
      </w:r>
      <w:r w:rsidR="001D4CB9">
        <w:rPr>
          <w:rFonts w:hint="cs"/>
          <w:rtl/>
        </w:rPr>
        <w:t>ـ</w:t>
      </w:r>
      <w:r>
        <w:rPr>
          <w:rtl/>
        </w:rPr>
        <w:t xml:space="preserve"> الجمر الغا</w:t>
      </w:r>
      <w:r>
        <w:rPr>
          <w:rFonts w:hint="cs"/>
          <w:rtl/>
          <w:lang w:bidi="fa-IR"/>
        </w:rPr>
        <w:t xml:space="preserve">في، </w:t>
      </w:r>
      <w:r>
        <w:rPr>
          <w:rFonts w:hint="cs"/>
          <w:rtl/>
        </w:rPr>
        <w:t>بيروت،</w:t>
      </w:r>
      <w:r>
        <w:rPr>
          <w:rFonts w:ascii="Arial" w:hAnsi="Arial" w:cs="Arial" w:hint="cs"/>
          <w:rtl/>
          <w:lang w:bidi="fa-IR"/>
        </w:rPr>
        <w:t xml:space="preserve"> </w:t>
      </w:r>
      <w:r>
        <w:rPr>
          <w:rtl/>
        </w:rPr>
        <w:t xml:space="preserve">نوفل، </w:t>
      </w:r>
      <w:r>
        <w:rPr>
          <w:rFonts w:hint="cs"/>
          <w:rtl/>
          <w:lang w:bidi="fa-IR"/>
        </w:rPr>
        <w:t>الطبعة الثالثة،</w:t>
      </w:r>
      <w:r>
        <w:rPr>
          <w:rtl/>
        </w:rPr>
        <w:t>2000</w:t>
      </w:r>
      <w:r>
        <w:rPr>
          <w:rtl/>
          <w:lang w:bidi="fa-IR"/>
        </w:rPr>
        <w:t>.</w:t>
      </w:r>
    </w:p>
    <w:p w:rsidR="00DD23C6" w:rsidRDefault="00DD23C6" w:rsidP="001D4CB9">
      <w:pPr>
        <w:pStyle w:val="ac"/>
        <w:spacing w:line="202" w:lineRule="auto"/>
        <w:rPr>
          <w:rtl/>
        </w:rPr>
      </w:pPr>
      <w:r>
        <w:rPr>
          <w:rtl/>
        </w:rPr>
        <w:t>6</w:t>
      </w:r>
      <w:r w:rsidR="001D4CB9">
        <w:rPr>
          <w:rFonts w:hint="cs"/>
          <w:rtl/>
        </w:rPr>
        <w:t>ـ</w:t>
      </w:r>
      <w:r>
        <w:rPr>
          <w:rtl/>
        </w:rPr>
        <w:t xml:space="preserve"> خبزنا </w:t>
      </w:r>
      <w:r>
        <w:rPr>
          <w:rFonts w:hint="cs"/>
          <w:rtl/>
        </w:rPr>
        <w:t>اليومي</w:t>
      </w:r>
      <w:r>
        <w:rPr>
          <w:rtl/>
        </w:rPr>
        <w:t xml:space="preserve">، </w:t>
      </w:r>
      <w:r>
        <w:rPr>
          <w:rFonts w:hint="cs"/>
          <w:rtl/>
        </w:rPr>
        <w:t>بيروت،</w:t>
      </w:r>
      <w:r>
        <w:rPr>
          <w:rFonts w:ascii="Arial" w:hAnsi="Arial" w:cs="Arial" w:hint="cs"/>
          <w:rtl/>
          <w:lang w:bidi="fa-IR"/>
        </w:rPr>
        <w:t xml:space="preserve"> </w:t>
      </w:r>
      <w:r>
        <w:rPr>
          <w:rtl/>
        </w:rPr>
        <w:t xml:space="preserve">نوفل، </w:t>
      </w:r>
      <w:r>
        <w:rPr>
          <w:rFonts w:hint="cs"/>
          <w:rtl/>
          <w:lang w:bidi="fa-IR"/>
        </w:rPr>
        <w:t>الطبعة الأولى،</w:t>
      </w:r>
      <w:r>
        <w:rPr>
          <w:rtl/>
        </w:rPr>
        <w:t>1990</w:t>
      </w:r>
      <w:r>
        <w:rPr>
          <w:rtl/>
          <w:lang w:bidi="fa-IR"/>
        </w:rPr>
        <w:t>.</w:t>
      </w:r>
    </w:p>
    <w:p w:rsidR="00DD23C6" w:rsidRDefault="00DD23C6" w:rsidP="001D4CB9">
      <w:pPr>
        <w:pStyle w:val="ac"/>
        <w:spacing w:line="202" w:lineRule="auto"/>
        <w:rPr>
          <w:rtl/>
        </w:rPr>
      </w:pPr>
      <w:r>
        <w:rPr>
          <w:rtl/>
        </w:rPr>
        <w:t>7</w:t>
      </w:r>
      <w:r w:rsidR="001D4CB9">
        <w:rPr>
          <w:rFonts w:hint="cs"/>
          <w:rtl/>
        </w:rPr>
        <w:t>ـ</w:t>
      </w:r>
      <w:r>
        <w:rPr>
          <w:rtl/>
        </w:rPr>
        <w:t xml:space="preserve"> </w:t>
      </w:r>
      <w:r>
        <w:rPr>
          <w:rFonts w:hint="cs"/>
          <w:rtl/>
        </w:rPr>
        <w:t>الرهينة</w:t>
      </w:r>
      <w:r>
        <w:rPr>
          <w:rtl/>
        </w:rPr>
        <w:t xml:space="preserve">، </w:t>
      </w:r>
      <w:r>
        <w:rPr>
          <w:rFonts w:hint="cs"/>
          <w:rtl/>
        </w:rPr>
        <w:t>بيروت،</w:t>
      </w:r>
      <w:r>
        <w:rPr>
          <w:rFonts w:hint="cs"/>
          <w:rtl/>
          <w:lang w:bidi="fa-IR"/>
        </w:rPr>
        <w:t xml:space="preserve"> </w:t>
      </w:r>
      <w:r>
        <w:rPr>
          <w:rtl/>
        </w:rPr>
        <w:t>نوفل،</w:t>
      </w:r>
      <w:r>
        <w:rPr>
          <w:rFonts w:hint="cs"/>
          <w:rtl/>
          <w:lang w:bidi="fa-IR"/>
        </w:rPr>
        <w:t xml:space="preserve"> الطبعة الثالثة،</w:t>
      </w:r>
      <w:r>
        <w:rPr>
          <w:rtl/>
        </w:rPr>
        <w:t>1986</w:t>
      </w:r>
      <w:r>
        <w:rPr>
          <w:rtl/>
          <w:lang w:bidi="fa-IR"/>
        </w:rPr>
        <w:t>.</w:t>
      </w:r>
    </w:p>
    <w:p w:rsidR="00DD23C6" w:rsidRDefault="00DD23C6" w:rsidP="001D4CB9">
      <w:pPr>
        <w:pStyle w:val="ac"/>
        <w:spacing w:line="202" w:lineRule="auto"/>
        <w:rPr>
          <w:rtl/>
          <w:lang w:bidi="fa-IR"/>
        </w:rPr>
      </w:pPr>
      <w:r>
        <w:rPr>
          <w:rtl/>
        </w:rPr>
        <w:t>8</w:t>
      </w:r>
      <w:r w:rsidR="001D4CB9">
        <w:rPr>
          <w:rFonts w:hint="cs"/>
          <w:rtl/>
        </w:rPr>
        <w:t xml:space="preserve"> ـ</w:t>
      </w:r>
      <w:r>
        <w:rPr>
          <w:rtl/>
        </w:rPr>
        <w:t xml:space="preserve"> شجر</w:t>
      </w:r>
      <w:r>
        <w:rPr>
          <w:rFonts w:hint="cs"/>
          <w:rtl/>
          <w:lang w:bidi="fa-IR"/>
        </w:rPr>
        <w:t>ة</w:t>
      </w:r>
      <w:r>
        <w:rPr>
          <w:rtl/>
        </w:rPr>
        <w:t xml:space="preserve"> </w:t>
      </w:r>
      <w:r>
        <w:rPr>
          <w:rFonts w:hint="cs"/>
          <w:rtl/>
        </w:rPr>
        <w:t>الدفلى، بيروت،</w:t>
      </w:r>
      <w:r>
        <w:rPr>
          <w:rFonts w:ascii="Arial" w:hAnsi="Arial" w:cs="Arial" w:hint="cs"/>
          <w:rtl/>
          <w:lang w:bidi="fa-IR"/>
        </w:rPr>
        <w:t xml:space="preserve"> </w:t>
      </w:r>
      <w:r>
        <w:rPr>
          <w:rtl/>
        </w:rPr>
        <w:t>نوفل،</w:t>
      </w:r>
      <w:r>
        <w:rPr>
          <w:rFonts w:hint="cs"/>
          <w:rtl/>
          <w:lang w:bidi="fa-IR"/>
        </w:rPr>
        <w:t xml:space="preserve"> الطبعة الرابعة،</w:t>
      </w:r>
      <w:r>
        <w:rPr>
          <w:rtl/>
        </w:rPr>
        <w:t>1981</w:t>
      </w:r>
      <w:r>
        <w:rPr>
          <w:rtl/>
          <w:lang w:bidi="fa-IR"/>
        </w:rPr>
        <w:t>.</w:t>
      </w:r>
      <w:r>
        <w:rPr>
          <w:rtl/>
        </w:rPr>
        <w:t xml:space="preserve"> </w:t>
      </w:r>
    </w:p>
    <w:p w:rsidR="00DD23C6" w:rsidRDefault="00DD23C6" w:rsidP="001D4CB9">
      <w:pPr>
        <w:pStyle w:val="ac"/>
        <w:spacing w:line="202" w:lineRule="auto"/>
        <w:rPr>
          <w:rtl/>
          <w:lang w:bidi="fa-IR"/>
        </w:rPr>
      </w:pPr>
      <w:r>
        <w:rPr>
          <w:rtl/>
        </w:rPr>
        <w:t>9</w:t>
      </w:r>
      <w:r w:rsidR="001D4CB9">
        <w:rPr>
          <w:rFonts w:hint="cs"/>
          <w:rtl/>
        </w:rPr>
        <w:t>ـ</w:t>
      </w:r>
      <w:r>
        <w:rPr>
          <w:rtl/>
        </w:rPr>
        <w:t xml:space="preserve"> الطاحون</w:t>
      </w:r>
      <w:r>
        <w:rPr>
          <w:rFonts w:hint="cs"/>
          <w:rtl/>
          <w:lang w:bidi="fa-IR"/>
        </w:rPr>
        <w:t>ة</w:t>
      </w:r>
      <w:r>
        <w:rPr>
          <w:rtl/>
        </w:rPr>
        <w:t xml:space="preserve"> الضائع</w:t>
      </w:r>
      <w:r>
        <w:rPr>
          <w:rFonts w:hint="cs"/>
          <w:rtl/>
          <w:lang w:bidi="fa-IR"/>
        </w:rPr>
        <w:t>ة</w:t>
      </w:r>
      <w:r>
        <w:rPr>
          <w:rtl/>
        </w:rPr>
        <w:t xml:space="preserve">، </w:t>
      </w:r>
      <w:r>
        <w:rPr>
          <w:rFonts w:hint="cs"/>
          <w:rtl/>
        </w:rPr>
        <w:t>بيروت،</w:t>
      </w:r>
      <w:r>
        <w:rPr>
          <w:rFonts w:ascii="Arial" w:hAnsi="Arial" w:cs="Arial" w:hint="cs"/>
          <w:rtl/>
          <w:lang w:bidi="fa-IR"/>
        </w:rPr>
        <w:t xml:space="preserve"> </w:t>
      </w:r>
      <w:r>
        <w:rPr>
          <w:rtl/>
        </w:rPr>
        <w:t xml:space="preserve">نوفل، </w:t>
      </w:r>
      <w:r>
        <w:rPr>
          <w:rFonts w:hint="cs"/>
          <w:rtl/>
          <w:lang w:bidi="fa-IR"/>
        </w:rPr>
        <w:t>الطبعة الأولى،</w:t>
      </w:r>
      <w:r>
        <w:rPr>
          <w:rtl/>
        </w:rPr>
        <w:t>1985</w:t>
      </w:r>
      <w:r>
        <w:rPr>
          <w:rtl/>
          <w:lang w:bidi="fa-IR"/>
        </w:rPr>
        <w:t>.</w:t>
      </w:r>
    </w:p>
    <w:p w:rsidR="00DD23C6" w:rsidRDefault="00DD23C6" w:rsidP="001D4CB9">
      <w:pPr>
        <w:pStyle w:val="ac"/>
        <w:spacing w:line="202" w:lineRule="auto"/>
        <w:rPr>
          <w:rtl/>
        </w:rPr>
      </w:pPr>
      <w:r>
        <w:rPr>
          <w:rtl/>
        </w:rPr>
        <w:t xml:space="preserve"> 10</w:t>
      </w:r>
      <w:r w:rsidR="001D4CB9">
        <w:rPr>
          <w:rFonts w:hint="cs"/>
          <w:rtl/>
        </w:rPr>
        <w:t>ـ</w:t>
      </w:r>
      <w:r>
        <w:rPr>
          <w:rtl/>
        </w:rPr>
        <w:t xml:space="preserve"> </w:t>
      </w:r>
      <w:r>
        <w:rPr>
          <w:rFonts w:hint="cs"/>
          <w:rtl/>
        </w:rPr>
        <w:t xml:space="preserve">طيور </w:t>
      </w:r>
      <w:r>
        <w:rPr>
          <w:rFonts w:hint="cs"/>
          <w:rtl/>
          <w:lang w:bidi="fa-IR"/>
        </w:rPr>
        <w:t>أيلول</w:t>
      </w:r>
      <w:r>
        <w:rPr>
          <w:rFonts w:hint="cs"/>
          <w:rtl/>
        </w:rPr>
        <w:t>، بيروت،</w:t>
      </w:r>
      <w:r>
        <w:rPr>
          <w:rFonts w:ascii="Arial" w:hAnsi="Arial" w:cs="Arial" w:hint="cs"/>
          <w:rtl/>
          <w:lang w:bidi="fa-IR"/>
        </w:rPr>
        <w:t xml:space="preserve"> </w:t>
      </w:r>
      <w:r>
        <w:rPr>
          <w:rtl/>
        </w:rPr>
        <w:t xml:space="preserve">نوفل، </w:t>
      </w:r>
      <w:r>
        <w:rPr>
          <w:rFonts w:hint="cs"/>
          <w:rtl/>
          <w:lang w:bidi="fa-IR"/>
        </w:rPr>
        <w:t>الطبعة السابعة،</w:t>
      </w:r>
      <w:r>
        <w:rPr>
          <w:rtl/>
        </w:rPr>
        <w:t>1991</w:t>
      </w:r>
      <w:r>
        <w:rPr>
          <w:rtl/>
          <w:lang w:bidi="fa-IR"/>
        </w:rPr>
        <w:t>.</w:t>
      </w:r>
    </w:p>
    <w:p w:rsidR="00DD23C6" w:rsidRDefault="00DD23C6" w:rsidP="001D4CB9">
      <w:pPr>
        <w:pStyle w:val="ac"/>
        <w:spacing w:line="202" w:lineRule="auto"/>
        <w:rPr>
          <w:rtl/>
          <w:lang w:bidi="fa-IR"/>
        </w:rPr>
      </w:pPr>
      <w:r>
        <w:rPr>
          <w:rtl/>
        </w:rPr>
        <w:t>11</w:t>
      </w:r>
      <w:r w:rsidR="001D4CB9">
        <w:rPr>
          <w:rFonts w:hint="cs"/>
          <w:rtl/>
        </w:rPr>
        <w:t>ـ</w:t>
      </w:r>
      <w:r>
        <w:rPr>
          <w:rtl/>
        </w:rPr>
        <w:t xml:space="preserve"> </w:t>
      </w:r>
      <w:r>
        <w:rPr>
          <w:rFonts w:hint="cs"/>
          <w:rtl/>
        </w:rPr>
        <w:t>الليالي</w:t>
      </w:r>
      <w:r>
        <w:rPr>
          <w:rtl/>
        </w:rPr>
        <w:t xml:space="preserve"> </w:t>
      </w:r>
      <w:r>
        <w:rPr>
          <w:rFonts w:hint="cs"/>
          <w:rtl/>
        </w:rPr>
        <w:t>الغجرية</w:t>
      </w:r>
      <w:r>
        <w:rPr>
          <w:rtl/>
        </w:rPr>
        <w:t xml:space="preserve">، </w:t>
      </w:r>
      <w:r>
        <w:rPr>
          <w:rFonts w:hint="cs"/>
          <w:rtl/>
        </w:rPr>
        <w:t>بيروت،</w:t>
      </w:r>
      <w:r>
        <w:rPr>
          <w:rFonts w:ascii="Arial" w:hAnsi="Arial" w:cs="Arial" w:hint="cs"/>
          <w:rtl/>
          <w:lang w:bidi="fa-IR"/>
        </w:rPr>
        <w:t xml:space="preserve"> </w:t>
      </w:r>
      <w:r>
        <w:rPr>
          <w:rtl/>
        </w:rPr>
        <w:t xml:space="preserve">نوفل، </w:t>
      </w:r>
      <w:r>
        <w:rPr>
          <w:rFonts w:hint="cs"/>
          <w:rtl/>
          <w:lang w:bidi="fa-IR"/>
        </w:rPr>
        <w:t>الطبعة الثانية،</w:t>
      </w:r>
      <w:r>
        <w:rPr>
          <w:rtl/>
        </w:rPr>
        <w:t>1998</w:t>
      </w:r>
      <w:r>
        <w:rPr>
          <w:rtl/>
          <w:lang w:bidi="fa-IR"/>
        </w:rPr>
        <w:t>.</w:t>
      </w:r>
    </w:p>
    <w:p w:rsidR="00DD23C6" w:rsidRDefault="00DD23C6" w:rsidP="001D4CB9">
      <w:pPr>
        <w:pStyle w:val="ac"/>
        <w:spacing w:line="202" w:lineRule="auto"/>
        <w:rPr>
          <w:rtl/>
          <w:lang w:bidi="fa-IR"/>
        </w:rPr>
      </w:pPr>
      <w:r>
        <w:rPr>
          <w:rtl/>
        </w:rPr>
        <w:t>12</w:t>
      </w:r>
      <w:r w:rsidR="001D4CB9">
        <w:rPr>
          <w:rFonts w:hint="cs"/>
          <w:rtl/>
        </w:rPr>
        <w:t>ـ</w:t>
      </w:r>
      <w:r>
        <w:rPr>
          <w:rtl/>
        </w:rPr>
        <w:t xml:space="preserve"> محطات </w:t>
      </w:r>
      <w:r>
        <w:rPr>
          <w:rFonts w:hint="cs"/>
          <w:rtl/>
        </w:rPr>
        <w:t>الرحيل، بيروت،</w:t>
      </w:r>
      <w:r>
        <w:rPr>
          <w:rFonts w:hint="cs"/>
          <w:rtl/>
          <w:lang w:bidi="fa-IR"/>
        </w:rPr>
        <w:t xml:space="preserve"> </w:t>
      </w:r>
      <w:r>
        <w:rPr>
          <w:rtl/>
        </w:rPr>
        <w:t xml:space="preserve">نوفل، </w:t>
      </w:r>
      <w:r>
        <w:rPr>
          <w:rFonts w:hint="cs"/>
          <w:rtl/>
          <w:lang w:bidi="fa-IR"/>
        </w:rPr>
        <w:t>الطبعة الثانية،</w:t>
      </w:r>
      <w:r>
        <w:rPr>
          <w:rtl/>
        </w:rPr>
        <w:t>1997</w:t>
      </w:r>
      <w:r>
        <w:rPr>
          <w:rtl/>
          <w:lang w:bidi="fa-IR"/>
        </w:rPr>
        <w:t>.</w:t>
      </w:r>
    </w:p>
    <w:p w:rsidR="00DD23C6" w:rsidRDefault="00DD23C6" w:rsidP="001D4CB9">
      <w:pPr>
        <w:pStyle w:val="ac"/>
        <w:spacing w:line="202" w:lineRule="auto"/>
        <w:rPr>
          <w:rtl/>
          <w:lang w:bidi="fa-IR"/>
        </w:rPr>
      </w:pPr>
      <w:r>
        <w:rPr>
          <w:rtl/>
        </w:rPr>
        <w:t>13</w:t>
      </w:r>
      <w:r w:rsidR="001D4CB9">
        <w:rPr>
          <w:rFonts w:hint="cs"/>
          <w:rtl/>
        </w:rPr>
        <w:t>ـ</w:t>
      </w:r>
      <w:r>
        <w:rPr>
          <w:rtl/>
        </w:rPr>
        <w:t xml:space="preserve"> </w:t>
      </w:r>
      <w:r>
        <w:rPr>
          <w:rFonts w:hint="cs"/>
          <w:rtl/>
        </w:rPr>
        <w:t>المرأ</w:t>
      </w:r>
      <w:r>
        <w:rPr>
          <w:rFonts w:hint="eastAsia"/>
          <w:rtl/>
        </w:rPr>
        <w:t>ة</w:t>
      </w:r>
      <w:r>
        <w:rPr>
          <w:rtl/>
        </w:rPr>
        <w:t xml:space="preserve"> ف</w:t>
      </w:r>
      <w:r>
        <w:rPr>
          <w:rFonts w:hint="cs"/>
          <w:rtl/>
          <w:lang w:bidi="fa-IR"/>
        </w:rPr>
        <w:t>ي</w:t>
      </w:r>
      <w:r>
        <w:rPr>
          <w:rtl/>
        </w:rPr>
        <w:t xml:space="preserve"> 17 قص</w:t>
      </w:r>
      <w:r>
        <w:rPr>
          <w:rFonts w:hint="cs"/>
          <w:rtl/>
          <w:lang w:bidi="fa-IR"/>
        </w:rPr>
        <w:t>ة</w:t>
      </w:r>
      <w:r>
        <w:rPr>
          <w:rtl/>
        </w:rPr>
        <w:t xml:space="preserve">، </w:t>
      </w:r>
      <w:r>
        <w:rPr>
          <w:rFonts w:hint="cs"/>
          <w:rtl/>
        </w:rPr>
        <w:t>بيروت،</w:t>
      </w:r>
      <w:r>
        <w:rPr>
          <w:rFonts w:ascii="Arial" w:hAnsi="Arial" w:cs="Arial" w:hint="cs"/>
          <w:rtl/>
          <w:lang w:bidi="fa-IR"/>
        </w:rPr>
        <w:t xml:space="preserve"> </w:t>
      </w:r>
      <w:r>
        <w:rPr>
          <w:rtl/>
        </w:rPr>
        <w:t>نوفل،</w:t>
      </w:r>
      <w:r>
        <w:rPr>
          <w:rFonts w:hint="cs"/>
          <w:rtl/>
          <w:lang w:bidi="fa-IR"/>
        </w:rPr>
        <w:t xml:space="preserve"> الطبعة الأولى،</w:t>
      </w:r>
      <w:r>
        <w:rPr>
          <w:rtl/>
        </w:rPr>
        <w:t>1984</w:t>
      </w:r>
      <w:r>
        <w:rPr>
          <w:rtl/>
          <w:lang w:bidi="fa-IR"/>
        </w:rPr>
        <w:t>.</w:t>
      </w:r>
    </w:p>
    <w:p w:rsidR="00DD23C6" w:rsidRDefault="00DD23C6" w:rsidP="001D4CB9">
      <w:pPr>
        <w:pStyle w:val="ac"/>
        <w:spacing w:line="202" w:lineRule="auto"/>
        <w:rPr>
          <w:rtl/>
          <w:lang w:bidi="fa-IR"/>
        </w:rPr>
      </w:pPr>
      <w:r>
        <w:rPr>
          <w:rtl/>
        </w:rPr>
        <w:t>14</w:t>
      </w:r>
      <w:r w:rsidR="001D4CB9">
        <w:rPr>
          <w:rFonts w:hint="cs"/>
          <w:rtl/>
        </w:rPr>
        <w:t>ـ</w:t>
      </w:r>
      <w:r>
        <w:rPr>
          <w:rtl/>
        </w:rPr>
        <w:t xml:space="preserve"> نساء رائدات من الشرق والغرب، </w:t>
      </w:r>
      <w:r>
        <w:rPr>
          <w:rFonts w:hint="cs"/>
          <w:rtl/>
        </w:rPr>
        <w:t>بيروت،</w:t>
      </w:r>
      <w:r>
        <w:rPr>
          <w:rFonts w:ascii="Arial" w:hAnsi="Arial" w:cs="Arial" w:hint="cs"/>
          <w:rtl/>
          <w:lang w:bidi="fa-IR"/>
        </w:rPr>
        <w:t xml:space="preserve"> </w:t>
      </w:r>
      <w:r>
        <w:rPr>
          <w:rtl/>
        </w:rPr>
        <w:t xml:space="preserve">نوفل، </w:t>
      </w:r>
      <w:r>
        <w:rPr>
          <w:rFonts w:hint="cs"/>
          <w:rtl/>
          <w:lang w:bidi="fa-IR"/>
        </w:rPr>
        <w:t>الطبعة الأولى،</w:t>
      </w:r>
      <w:r>
        <w:rPr>
          <w:rtl/>
        </w:rPr>
        <w:t>1986</w:t>
      </w:r>
      <w:r>
        <w:rPr>
          <w:rtl/>
          <w:lang w:bidi="fa-IR"/>
        </w:rPr>
        <w:t>.</w:t>
      </w:r>
    </w:p>
    <w:p w:rsidR="00DD23C6" w:rsidRDefault="00DD23C6" w:rsidP="001D4CB9">
      <w:pPr>
        <w:pStyle w:val="ac"/>
        <w:spacing w:line="202" w:lineRule="auto"/>
        <w:rPr>
          <w:rtl/>
        </w:rPr>
      </w:pPr>
      <w:r>
        <w:rPr>
          <w:rtl/>
        </w:rPr>
        <w:t>15</w:t>
      </w:r>
      <w:r w:rsidR="001D4CB9">
        <w:rPr>
          <w:rFonts w:hint="cs"/>
          <w:rtl/>
        </w:rPr>
        <w:t>ـ</w:t>
      </w:r>
      <w:r>
        <w:rPr>
          <w:rtl/>
        </w:rPr>
        <w:t xml:space="preserve"> </w:t>
      </w:r>
      <w:r>
        <w:rPr>
          <w:rFonts w:hint="cs"/>
          <w:rtl/>
        </w:rPr>
        <w:t>الينبوع،</w:t>
      </w:r>
      <w:r>
        <w:rPr>
          <w:rtl/>
        </w:rPr>
        <w:t xml:space="preserve"> </w:t>
      </w:r>
      <w:r>
        <w:rPr>
          <w:rFonts w:hint="cs"/>
          <w:rtl/>
        </w:rPr>
        <w:t>بيروت،</w:t>
      </w:r>
      <w:r>
        <w:rPr>
          <w:rFonts w:hint="cs"/>
          <w:rtl/>
          <w:lang w:bidi="fa-IR"/>
        </w:rPr>
        <w:t xml:space="preserve"> </w:t>
      </w:r>
      <w:r>
        <w:rPr>
          <w:rtl/>
        </w:rPr>
        <w:t xml:space="preserve">نوفل، </w:t>
      </w:r>
      <w:r>
        <w:rPr>
          <w:rFonts w:hint="cs"/>
          <w:rtl/>
          <w:lang w:bidi="fa-IR"/>
        </w:rPr>
        <w:t>الطبعة الثانية،</w:t>
      </w:r>
      <w:r>
        <w:rPr>
          <w:rtl/>
        </w:rPr>
        <w:t>1983</w:t>
      </w:r>
      <w:r>
        <w:rPr>
          <w:rtl/>
          <w:lang w:bidi="fa-IR"/>
        </w:rPr>
        <w:t>.</w:t>
      </w:r>
    </w:p>
    <w:p w:rsidR="00DD23C6" w:rsidRDefault="00DD23C6" w:rsidP="001D4CB9">
      <w:pPr>
        <w:pStyle w:val="ac"/>
        <w:spacing w:line="202" w:lineRule="auto"/>
        <w:rPr>
          <w:rtl/>
          <w:lang w:bidi="fa-IR"/>
        </w:rPr>
      </w:pPr>
      <w:r>
        <w:rPr>
          <w:rtl/>
        </w:rPr>
        <w:t xml:space="preserve"> 16</w:t>
      </w:r>
      <w:r w:rsidR="001D4CB9">
        <w:rPr>
          <w:rFonts w:hint="cs"/>
          <w:rtl/>
        </w:rPr>
        <w:t>ـ</w:t>
      </w:r>
      <w:r>
        <w:rPr>
          <w:rtl/>
        </w:rPr>
        <w:t xml:space="preserve"> </w:t>
      </w:r>
      <w:r>
        <w:rPr>
          <w:rFonts w:hint="cs"/>
          <w:rtl/>
        </w:rPr>
        <w:t>يوميات هرّ، بيروت،</w:t>
      </w:r>
      <w:r>
        <w:rPr>
          <w:rFonts w:hint="cs"/>
          <w:rtl/>
          <w:lang w:bidi="fa-IR"/>
        </w:rPr>
        <w:t xml:space="preserve"> دار الكتاب </w:t>
      </w:r>
      <w:r>
        <w:rPr>
          <w:rtl/>
        </w:rPr>
        <w:t>العالم</w:t>
      </w:r>
      <w:r>
        <w:rPr>
          <w:rFonts w:hint="cs"/>
          <w:rtl/>
          <w:lang w:bidi="fa-IR"/>
        </w:rPr>
        <w:t>ي</w:t>
      </w:r>
      <w:r>
        <w:rPr>
          <w:rtl/>
        </w:rPr>
        <w:t xml:space="preserve">، </w:t>
      </w:r>
      <w:r>
        <w:rPr>
          <w:rFonts w:hint="cs"/>
          <w:rtl/>
          <w:lang w:bidi="fa-IR"/>
        </w:rPr>
        <w:t>الطبعة الثانية،</w:t>
      </w:r>
      <w:r>
        <w:rPr>
          <w:rtl/>
        </w:rPr>
        <w:t>1999</w:t>
      </w:r>
      <w:r>
        <w:rPr>
          <w:rtl/>
          <w:lang w:bidi="fa-IR"/>
        </w:rPr>
        <w:t>.</w:t>
      </w:r>
    </w:p>
    <w:p w:rsidR="00DD23C6" w:rsidRDefault="00DD23C6" w:rsidP="00DD23C6">
      <w:pPr>
        <w:pStyle w:val="ac"/>
        <w:rPr>
          <w:rtl/>
        </w:rPr>
      </w:pPr>
      <w:r>
        <w:rPr>
          <w:rtl/>
          <w:lang w:bidi="fa-IR"/>
        </w:rPr>
        <w:t xml:space="preserve">ولا بأس </w:t>
      </w:r>
      <w:r>
        <w:rPr>
          <w:rFonts w:hint="cs"/>
          <w:rtl/>
          <w:lang w:bidi="fa-IR"/>
        </w:rPr>
        <w:t>ب</w:t>
      </w:r>
      <w:r>
        <w:rPr>
          <w:rtl/>
          <w:lang w:bidi="fa-IR"/>
        </w:rPr>
        <w:t xml:space="preserve">الإشارة هنا إلى أنّ القراءة التي طرحتها السيدة يمنى عن الأدب النسائي </w:t>
      </w:r>
      <w:r>
        <w:rPr>
          <w:rtl/>
          <w:lang w:bidi="fa-IR"/>
        </w:rPr>
        <w:lastRenderedPageBreak/>
        <w:t>والتعاريف الجوهرية التي قدّمتها والخاصة بتحديد الإطار العام لهذا الأدب متأثّرة برؤيتها الأكاديمية كباحثة.</w:t>
      </w:r>
    </w:p>
    <w:p w:rsidR="00DD23C6" w:rsidRDefault="00DD23C6" w:rsidP="001D4CB9">
      <w:pPr>
        <w:pStyle w:val="afffffc"/>
        <w:rPr>
          <w:rtl/>
        </w:rPr>
      </w:pPr>
    </w:p>
    <w:p w:rsidR="00DD23C6" w:rsidRDefault="00DD23C6" w:rsidP="00DD23C6">
      <w:pPr>
        <w:pStyle w:val="1"/>
        <w:rPr>
          <w:rtl/>
        </w:rPr>
      </w:pPr>
      <w:bookmarkStart w:id="714" w:name="_Toc275128338"/>
      <w:r>
        <w:rPr>
          <w:rFonts w:hint="cs"/>
          <w:rtl/>
          <w:lang w:bidi="ar-IQ"/>
        </w:rPr>
        <w:t>يمنى العيد بين القلم الأدبي والنقد الموضوعي</w:t>
      </w:r>
      <w:bookmarkEnd w:id="714"/>
      <w:r>
        <w:rPr>
          <w:rFonts w:hint="cs"/>
          <w:rtl/>
        </w:rPr>
        <w:t xml:space="preserve"> </w:t>
      </w:r>
    </w:p>
    <w:p w:rsidR="00DD23C6" w:rsidRDefault="00DD23C6" w:rsidP="00DD23C6">
      <w:pPr>
        <w:pStyle w:val="ac"/>
        <w:rPr>
          <w:rtl/>
        </w:rPr>
      </w:pPr>
      <w:r>
        <w:rPr>
          <w:rtl/>
          <w:lang w:bidi="fa-IR"/>
        </w:rPr>
        <w:t xml:space="preserve">ولدت السيدة </w:t>
      </w:r>
      <w:r>
        <w:rPr>
          <w:rFonts w:hint="cs"/>
          <w:rtl/>
          <w:lang w:bidi="fa-IR"/>
        </w:rPr>
        <w:t>(</w:t>
      </w:r>
      <w:r>
        <w:rPr>
          <w:rtl/>
          <w:lang w:bidi="fa-IR"/>
        </w:rPr>
        <w:t>حكمت</w:t>
      </w:r>
      <w:r>
        <w:rPr>
          <w:rFonts w:hint="cs"/>
          <w:rtl/>
          <w:lang w:bidi="fa-IR"/>
        </w:rPr>
        <w:t>)</w:t>
      </w:r>
      <w:r>
        <w:rPr>
          <w:rtl/>
          <w:lang w:bidi="fa-IR"/>
        </w:rPr>
        <w:t xml:space="preserve"> ابنة علي مجذوب صباغ أو </w:t>
      </w:r>
      <w:r>
        <w:rPr>
          <w:rFonts w:hint="cs"/>
          <w:rtl/>
          <w:lang w:bidi="fa-IR"/>
        </w:rPr>
        <w:t>(</w:t>
      </w:r>
      <w:r>
        <w:rPr>
          <w:rtl/>
          <w:lang w:bidi="fa-IR"/>
        </w:rPr>
        <w:t>حكمت صباغ الخطيب</w:t>
      </w:r>
      <w:r>
        <w:rPr>
          <w:rFonts w:hint="cs"/>
          <w:rtl/>
          <w:lang w:bidi="fa-IR"/>
        </w:rPr>
        <w:t>)</w:t>
      </w:r>
      <w:r>
        <w:rPr>
          <w:rtl/>
          <w:lang w:bidi="fa-IR"/>
        </w:rPr>
        <w:t xml:space="preserve"> الشهيرة بـ</w:t>
      </w:r>
      <w:r>
        <w:rPr>
          <w:rFonts w:hint="cs"/>
          <w:rtl/>
          <w:lang w:bidi="fa-IR"/>
        </w:rPr>
        <w:t>(</w:t>
      </w:r>
      <w:r>
        <w:rPr>
          <w:rtl/>
          <w:lang w:bidi="fa-IR"/>
        </w:rPr>
        <w:t>يمنى العيد</w:t>
      </w:r>
      <w:r>
        <w:rPr>
          <w:rFonts w:hint="cs"/>
          <w:rtl/>
          <w:lang w:bidi="fa-IR"/>
        </w:rPr>
        <w:t>)</w:t>
      </w:r>
      <w:r>
        <w:rPr>
          <w:rtl/>
          <w:lang w:bidi="fa-IR"/>
        </w:rPr>
        <w:t xml:space="preserve"> في عام</w:t>
      </w:r>
      <w:r>
        <w:rPr>
          <w:rFonts w:hint="cs"/>
          <w:rtl/>
        </w:rPr>
        <w:t xml:space="preserve">1935 </w:t>
      </w:r>
      <w:r>
        <w:rPr>
          <w:rtl/>
          <w:lang w:bidi="fa-IR"/>
        </w:rPr>
        <w:t>في مدينة صيدا المطلة على سواحل البحر الأبيض المتوسط</w:t>
      </w:r>
      <w:r>
        <w:rPr>
          <w:rFonts w:hint="cs"/>
          <w:rtl/>
          <w:lang w:bidi="fa-IR"/>
        </w:rPr>
        <w:t>،</w:t>
      </w:r>
      <w:r>
        <w:rPr>
          <w:rtl/>
          <w:lang w:bidi="fa-IR"/>
        </w:rPr>
        <w:t xml:space="preserve">  وتخرجت </w:t>
      </w:r>
      <w:r>
        <w:rPr>
          <w:rFonts w:hint="cs"/>
          <w:rtl/>
          <w:lang w:bidi="ar-IQ"/>
        </w:rPr>
        <w:t>في</w:t>
      </w:r>
      <w:r>
        <w:rPr>
          <w:rtl/>
          <w:lang w:bidi="fa-IR"/>
        </w:rPr>
        <w:t xml:space="preserve"> الجامعة اللبنانية عام </w:t>
      </w:r>
      <w:r>
        <w:rPr>
          <w:rFonts w:hint="cs"/>
          <w:rtl/>
        </w:rPr>
        <w:t>1958</w:t>
      </w:r>
      <w:r>
        <w:rPr>
          <w:rtl/>
          <w:lang w:bidi="fa-IR"/>
        </w:rPr>
        <w:t xml:space="preserve">، نالت درجة الدكتوراه في الأدب العربي من جامعة السوربون الفرنسية. في عام </w:t>
      </w:r>
      <w:r>
        <w:rPr>
          <w:rFonts w:hint="cs"/>
          <w:rtl/>
        </w:rPr>
        <w:t>1993</w:t>
      </w:r>
      <w:r>
        <w:rPr>
          <w:rtl/>
          <w:lang w:bidi="fa-IR"/>
        </w:rPr>
        <w:t>منحت جائزة البحوث الأدبية والنقدية من مؤسسة سلطان عويس، قامت بالتدريس في جامعة صنعاء باليمن والجامعة اللبنانية. صدر لها العديد من الأعمال الأدبية التي أثرت المكتبة العربية طيلة فترة نشاطها</w:t>
      </w:r>
      <w:r>
        <w:rPr>
          <w:rFonts w:hint="cs"/>
          <w:rtl/>
          <w:lang w:bidi="fa-IR"/>
        </w:rPr>
        <w:t>،</w:t>
      </w:r>
      <w:r>
        <w:rPr>
          <w:rtl/>
          <w:lang w:bidi="fa-IR"/>
        </w:rPr>
        <w:t xml:space="preserve"> ومنها:</w:t>
      </w:r>
      <w:r>
        <w:rPr>
          <w:rtl/>
        </w:rPr>
        <w:t xml:space="preserve"> </w:t>
      </w:r>
    </w:p>
    <w:p w:rsidR="00DD23C6" w:rsidRDefault="00DD23C6" w:rsidP="001D4CB9">
      <w:pPr>
        <w:pStyle w:val="ac"/>
        <w:spacing w:line="209" w:lineRule="auto"/>
        <w:rPr>
          <w:rtl/>
          <w:lang w:bidi="fa-IR"/>
        </w:rPr>
      </w:pPr>
      <w:r>
        <w:rPr>
          <w:rtl/>
        </w:rPr>
        <w:t xml:space="preserve">1ـ </w:t>
      </w:r>
      <w:r>
        <w:rPr>
          <w:rtl/>
          <w:lang w:bidi="fa-IR"/>
        </w:rPr>
        <w:t>أ</w:t>
      </w:r>
      <w:r>
        <w:rPr>
          <w:rtl/>
        </w:rPr>
        <w:t>مين الريحان</w:t>
      </w:r>
      <w:r>
        <w:rPr>
          <w:rtl/>
          <w:lang w:bidi="fa-IR"/>
        </w:rPr>
        <w:t>ي</w:t>
      </w:r>
      <w:r>
        <w:rPr>
          <w:rtl/>
        </w:rPr>
        <w:t>، رحال</w:t>
      </w:r>
      <w:r>
        <w:rPr>
          <w:rtl/>
          <w:lang w:bidi="fa-IR"/>
        </w:rPr>
        <w:t>ة</w:t>
      </w:r>
      <w:r>
        <w:rPr>
          <w:rtl/>
        </w:rPr>
        <w:t xml:space="preserve"> العرب</w:t>
      </w:r>
      <w:r>
        <w:rPr>
          <w:rtl/>
          <w:lang w:bidi="fa-IR"/>
        </w:rPr>
        <w:t>،</w:t>
      </w:r>
      <w:r>
        <w:rPr>
          <w:rtl/>
        </w:rPr>
        <w:t xml:space="preserve"> بيروت</w:t>
      </w:r>
      <w:r>
        <w:rPr>
          <w:rtl/>
          <w:lang w:bidi="fa-IR"/>
        </w:rPr>
        <w:t xml:space="preserve">، </w:t>
      </w:r>
      <w:r>
        <w:rPr>
          <w:rtl/>
        </w:rPr>
        <w:t xml:space="preserve">بيت </w:t>
      </w:r>
      <w:r>
        <w:rPr>
          <w:rFonts w:hint="cs"/>
          <w:rtl/>
        </w:rPr>
        <w:t>الحكمة</w:t>
      </w:r>
      <w:r>
        <w:rPr>
          <w:rtl/>
        </w:rPr>
        <w:t>،1970</w:t>
      </w:r>
      <w:r>
        <w:rPr>
          <w:rtl/>
          <w:lang w:bidi="fa-IR"/>
        </w:rPr>
        <w:t>.</w:t>
      </w:r>
    </w:p>
    <w:p w:rsidR="00DD23C6" w:rsidRDefault="00DD23C6" w:rsidP="001D4CB9">
      <w:pPr>
        <w:pStyle w:val="ac"/>
        <w:spacing w:line="209" w:lineRule="auto"/>
        <w:rPr>
          <w:rtl/>
        </w:rPr>
      </w:pPr>
      <w:r>
        <w:rPr>
          <w:rtl/>
        </w:rPr>
        <w:t>2ـ تقنيات السرد الروائ</w:t>
      </w:r>
      <w:r>
        <w:rPr>
          <w:rtl/>
          <w:lang w:bidi="fa-IR"/>
        </w:rPr>
        <w:t>ي</w:t>
      </w:r>
      <w:r>
        <w:rPr>
          <w:rtl/>
        </w:rPr>
        <w:t xml:space="preserve"> ف</w:t>
      </w:r>
      <w:r>
        <w:rPr>
          <w:rtl/>
          <w:lang w:bidi="fa-IR"/>
        </w:rPr>
        <w:t>ي</w:t>
      </w:r>
      <w:r>
        <w:rPr>
          <w:rtl/>
        </w:rPr>
        <w:t xml:space="preserve"> ضوء المنهج البنيو</w:t>
      </w:r>
      <w:r>
        <w:rPr>
          <w:rtl/>
          <w:lang w:bidi="fa-IR"/>
        </w:rPr>
        <w:t>ي،</w:t>
      </w:r>
      <w:r>
        <w:rPr>
          <w:rtl/>
        </w:rPr>
        <w:t xml:space="preserve"> بيروت</w:t>
      </w:r>
      <w:r>
        <w:rPr>
          <w:rtl/>
          <w:lang w:bidi="fa-IR"/>
        </w:rPr>
        <w:t>،</w:t>
      </w:r>
      <w:r>
        <w:rPr>
          <w:rtl/>
        </w:rPr>
        <w:t xml:space="preserve"> دار</w:t>
      </w:r>
      <w:r>
        <w:rPr>
          <w:rFonts w:hint="cs"/>
          <w:rtl/>
        </w:rPr>
        <w:t xml:space="preserve"> </w:t>
      </w:r>
      <w:r>
        <w:rPr>
          <w:rtl/>
        </w:rPr>
        <w:t>الفاراب</w:t>
      </w:r>
      <w:r>
        <w:rPr>
          <w:rtl/>
          <w:lang w:bidi="fa-IR"/>
        </w:rPr>
        <w:t>ي،</w:t>
      </w:r>
      <w:r>
        <w:rPr>
          <w:rtl/>
        </w:rPr>
        <w:t xml:space="preserve"> 1990</w:t>
      </w:r>
      <w:r>
        <w:rPr>
          <w:rtl/>
          <w:lang w:bidi="fa-IR"/>
        </w:rPr>
        <w:t>.</w:t>
      </w:r>
    </w:p>
    <w:p w:rsidR="00DD23C6" w:rsidRDefault="00DD23C6" w:rsidP="001D4CB9">
      <w:pPr>
        <w:pStyle w:val="ac"/>
        <w:spacing w:line="209" w:lineRule="auto"/>
        <w:rPr>
          <w:rtl/>
          <w:lang w:bidi="fa-IR"/>
        </w:rPr>
      </w:pPr>
      <w:r>
        <w:rPr>
          <w:rtl/>
        </w:rPr>
        <w:t>3ـ الدلال</w:t>
      </w:r>
      <w:r>
        <w:rPr>
          <w:rtl/>
          <w:lang w:bidi="fa-IR"/>
        </w:rPr>
        <w:t>ة</w:t>
      </w:r>
      <w:r>
        <w:rPr>
          <w:rtl/>
        </w:rPr>
        <w:t xml:space="preserve"> </w:t>
      </w:r>
      <w:r>
        <w:rPr>
          <w:rFonts w:hint="cs"/>
          <w:rtl/>
        </w:rPr>
        <w:t>الاجتماعية</w:t>
      </w:r>
      <w:r>
        <w:rPr>
          <w:rtl/>
        </w:rPr>
        <w:t xml:space="preserve"> </w:t>
      </w:r>
      <w:r>
        <w:rPr>
          <w:rFonts w:hint="cs"/>
          <w:rtl/>
        </w:rPr>
        <w:t>لحركة</w:t>
      </w:r>
      <w:r>
        <w:rPr>
          <w:rtl/>
        </w:rPr>
        <w:t xml:space="preserve"> ال</w:t>
      </w:r>
      <w:r>
        <w:rPr>
          <w:rtl/>
          <w:lang w:bidi="fa-IR"/>
        </w:rPr>
        <w:t>أ</w:t>
      </w:r>
      <w:r>
        <w:rPr>
          <w:rtl/>
        </w:rPr>
        <w:t>دب الرومنطيق</w:t>
      </w:r>
      <w:r>
        <w:rPr>
          <w:rtl/>
          <w:lang w:bidi="fa-IR"/>
        </w:rPr>
        <w:t>ي</w:t>
      </w:r>
      <w:r>
        <w:rPr>
          <w:rtl/>
        </w:rPr>
        <w:t xml:space="preserve"> ف</w:t>
      </w:r>
      <w:r>
        <w:rPr>
          <w:rtl/>
          <w:lang w:bidi="fa-IR"/>
        </w:rPr>
        <w:t>ي</w:t>
      </w:r>
      <w:r>
        <w:rPr>
          <w:rtl/>
        </w:rPr>
        <w:t xml:space="preserve"> لبنان، بيروت</w:t>
      </w:r>
      <w:r>
        <w:rPr>
          <w:rtl/>
          <w:lang w:bidi="fa-IR"/>
        </w:rPr>
        <w:t>،</w:t>
      </w:r>
      <w:r>
        <w:rPr>
          <w:rtl/>
        </w:rPr>
        <w:t xml:space="preserve"> دار</w:t>
      </w:r>
      <w:r>
        <w:rPr>
          <w:rFonts w:hint="cs"/>
          <w:rtl/>
        </w:rPr>
        <w:t xml:space="preserve"> </w:t>
      </w:r>
      <w:r>
        <w:rPr>
          <w:rtl/>
        </w:rPr>
        <w:t>الفاراب</w:t>
      </w:r>
      <w:r>
        <w:rPr>
          <w:rtl/>
          <w:lang w:bidi="fa-IR"/>
        </w:rPr>
        <w:t>ي،</w:t>
      </w:r>
      <w:r>
        <w:rPr>
          <w:rtl/>
        </w:rPr>
        <w:t xml:space="preserve"> 1979</w:t>
      </w:r>
      <w:r w:rsidR="001D4CB9">
        <w:rPr>
          <w:rFonts w:hint="cs"/>
          <w:rtl/>
        </w:rPr>
        <w:t>.</w:t>
      </w:r>
    </w:p>
    <w:p w:rsidR="00DD23C6" w:rsidRDefault="00DD23C6" w:rsidP="001D4CB9">
      <w:pPr>
        <w:pStyle w:val="ac"/>
        <w:spacing w:line="209" w:lineRule="auto"/>
        <w:rPr>
          <w:rtl/>
        </w:rPr>
      </w:pPr>
      <w:r>
        <w:rPr>
          <w:rtl/>
        </w:rPr>
        <w:t>4ـ الراو</w:t>
      </w:r>
      <w:r>
        <w:rPr>
          <w:rtl/>
          <w:lang w:bidi="fa-IR"/>
        </w:rPr>
        <w:t>ي</w:t>
      </w:r>
      <w:r>
        <w:rPr>
          <w:rtl/>
        </w:rPr>
        <w:t xml:space="preserve"> الموقع </w:t>
      </w:r>
      <w:r>
        <w:rPr>
          <w:rFonts w:hint="cs"/>
          <w:rtl/>
        </w:rPr>
        <w:t>والشكل</w:t>
      </w:r>
      <w:r>
        <w:rPr>
          <w:rtl/>
          <w:lang w:bidi="fa-IR"/>
        </w:rPr>
        <w:t xml:space="preserve">، </w:t>
      </w:r>
      <w:r>
        <w:rPr>
          <w:rtl/>
        </w:rPr>
        <w:t>بيروت</w:t>
      </w:r>
      <w:r>
        <w:rPr>
          <w:rtl/>
          <w:lang w:bidi="fa-IR"/>
        </w:rPr>
        <w:t>،</w:t>
      </w:r>
      <w:r>
        <w:rPr>
          <w:rtl/>
        </w:rPr>
        <w:t xml:space="preserve"> مؤسس</w:t>
      </w:r>
      <w:r>
        <w:rPr>
          <w:rtl/>
          <w:lang w:bidi="fa-IR"/>
        </w:rPr>
        <w:t>ة</w:t>
      </w:r>
      <w:r>
        <w:rPr>
          <w:rtl/>
        </w:rPr>
        <w:t xml:space="preserve"> ال</w:t>
      </w:r>
      <w:r>
        <w:rPr>
          <w:rtl/>
          <w:lang w:bidi="fa-IR"/>
        </w:rPr>
        <w:t>أ</w:t>
      </w:r>
      <w:r>
        <w:rPr>
          <w:rtl/>
        </w:rPr>
        <w:t>بحاث العربي</w:t>
      </w:r>
      <w:r>
        <w:rPr>
          <w:rtl/>
          <w:lang w:bidi="fa-IR"/>
        </w:rPr>
        <w:t>ة</w:t>
      </w:r>
      <w:r>
        <w:rPr>
          <w:rtl/>
        </w:rPr>
        <w:t>،1986</w:t>
      </w:r>
      <w:r>
        <w:rPr>
          <w:rtl/>
          <w:lang w:bidi="fa-IR"/>
        </w:rPr>
        <w:t>.</w:t>
      </w:r>
      <w:r>
        <w:rPr>
          <w:rtl/>
        </w:rPr>
        <w:t xml:space="preserve"> </w:t>
      </w:r>
    </w:p>
    <w:p w:rsidR="00DD23C6" w:rsidRDefault="00DD23C6" w:rsidP="001D4CB9">
      <w:pPr>
        <w:pStyle w:val="ac"/>
        <w:spacing w:line="209" w:lineRule="auto"/>
        <w:rPr>
          <w:rtl/>
          <w:lang w:bidi="fa-IR"/>
        </w:rPr>
      </w:pPr>
      <w:r>
        <w:rPr>
          <w:rtl/>
        </w:rPr>
        <w:t>5ـ ف</w:t>
      </w:r>
      <w:r>
        <w:rPr>
          <w:rtl/>
          <w:lang w:bidi="fa-IR"/>
        </w:rPr>
        <w:t xml:space="preserve">ي </w:t>
      </w:r>
      <w:r>
        <w:rPr>
          <w:rtl/>
        </w:rPr>
        <w:t xml:space="preserve"> معرف</w:t>
      </w:r>
      <w:r>
        <w:rPr>
          <w:rtl/>
          <w:lang w:bidi="fa-IR"/>
        </w:rPr>
        <w:t>ة</w:t>
      </w:r>
      <w:r>
        <w:rPr>
          <w:rtl/>
        </w:rPr>
        <w:t xml:space="preserve"> النص</w:t>
      </w:r>
      <w:r>
        <w:rPr>
          <w:rtl/>
          <w:lang w:bidi="fa-IR"/>
        </w:rPr>
        <w:t>،</w:t>
      </w:r>
      <w:r>
        <w:rPr>
          <w:rtl/>
        </w:rPr>
        <w:t xml:space="preserve"> بيروت</w:t>
      </w:r>
      <w:r>
        <w:rPr>
          <w:rtl/>
          <w:lang w:bidi="fa-IR"/>
        </w:rPr>
        <w:t>،</w:t>
      </w:r>
      <w:r>
        <w:rPr>
          <w:rtl/>
        </w:rPr>
        <w:t xml:space="preserve"> دار</w:t>
      </w:r>
      <w:r>
        <w:rPr>
          <w:rFonts w:hint="cs"/>
          <w:rtl/>
        </w:rPr>
        <w:t xml:space="preserve"> </w:t>
      </w:r>
      <w:r>
        <w:rPr>
          <w:rtl/>
        </w:rPr>
        <w:t>االثقاف</w:t>
      </w:r>
      <w:r>
        <w:rPr>
          <w:rtl/>
          <w:lang w:bidi="fa-IR"/>
        </w:rPr>
        <w:t>ة</w:t>
      </w:r>
      <w:r>
        <w:rPr>
          <w:rtl/>
        </w:rPr>
        <w:t>، 1984</w:t>
      </w:r>
      <w:r w:rsidR="001D4CB9">
        <w:rPr>
          <w:rFonts w:hint="cs"/>
          <w:rtl/>
        </w:rPr>
        <w:t>.</w:t>
      </w:r>
    </w:p>
    <w:p w:rsidR="00DD23C6" w:rsidRDefault="00DD23C6" w:rsidP="001D4CB9">
      <w:pPr>
        <w:pStyle w:val="ac"/>
        <w:spacing w:line="209" w:lineRule="auto"/>
        <w:rPr>
          <w:rtl/>
        </w:rPr>
      </w:pPr>
      <w:r>
        <w:rPr>
          <w:rtl/>
        </w:rPr>
        <w:t>6ـ ف</w:t>
      </w:r>
      <w:r>
        <w:rPr>
          <w:rtl/>
          <w:lang w:bidi="fa-IR"/>
        </w:rPr>
        <w:t>ي</w:t>
      </w:r>
      <w:r>
        <w:rPr>
          <w:rtl/>
        </w:rPr>
        <w:t xml:space="preserve"> القول الشعر</w:t>
      </w:r>
      <w:r>
        <w:rPr>
          <w:rtl/>
          <w:lang w:bidi="fa-IR"/>
        </w:rPr>
        <w:t>ي،</w:t>
      </w:r>
      <w:r>
        <w:rPr>
          <w:rtl/>
        </w:rPr>
        <w:t xml:space="preserve"> الدار</w:t>
      </w:r>
      <w:r>
        <w:rPr>
          <w:rFonts w:hint="cs"/>
          <w:rtl/>
          <w:lang w:bidi="ar-IQ"/>
        </w:rPr>
        <w:t xml:space="preserve"> </w:t>
      </w:r>
      <w:r>
        <w:rPr>
          <w:rtl/>
        </w:rPr>
        <w:t>البيضاء</w:t>
      </w:r>
      <w:r>
        <w:rPr>
          <w:rtl/>
          <w:lang w:bidi="fa-IR"/>
        </w:rPr>
        <w:t>،</w:t>
      </w:r>
      <w:r>
        <w:rPr>
          <w:rtl/>
        </w:rPr>
        <w:t xml:space="preserve"> دار</w:t>
      </w:r>
      <w:r>
        <w:rPr>
          <w:rFonts w:hint="cs"/>
          <w:rtl/>
        </w:rPr>
        <w:t xml:space="preserve"> </w:t>
      </w:r>
      <w:r>
        <w:rPr>
          <w:rtl/>
        </w:rPr>
        <w:t>توبقال</w:t>
      </w:r>
      <w:r>
        <w:rPr>
          <w:rtl/>
          <w:lang w:bidi="fa-IR"/>
        </w:rPr>
        <w:t>،</w:t>
      </w:r>
      <w:r>
        <w:rPr>
          <w:rtl/>
        </w:rPr>
        <w:t>1987</w:t>
      </w:r>
      <w:r>
        <w:rPr>
          <w:rtl/>
          <w:lang w:bidi="fa-IR"/>
        </w:rPr>
        <w:t>.</w:t>
      </w:r>
    </w:p>
    <w:p w:rsidR="00DD23C6" w:rsidRDefault="00DD23C6" w:rsidP="001D4CB9">
      <w:pPr>
        <w:pStyle w:val="ac"/>
        <w:spacing w:line="209" w:lineRule="auto"/>
        <w:rPr>
          <w:rtl/>
          <w:lang w:bidi="fa-IR"/>
        </w:rPr>
      </w:pPr>
      <w:r>
        <w:rPr>
          <w:rtl/>
        </w:rPr>
        <w:t xml:space="preserve">7ـ قاسم </w:t>
      </w:r>
      <w:r>
        <w:rPr>
          <w:rtl/>
          <w:lang w:bidi="fa-IR"/>
        </w:rPr>
        <w:t>أ</w:t>
      </w:r>
      <w:r>
        <w:rPr>
          <w:rtl/>
        </w:rPr>
        <w:t xml:space="preserve">مين إصلاح </w:t>
      </w:r>
      <w:r>
        <w:rPr>
          <w:rFonts w:hint="cs"/>
          <w:rtl/>
        </w:rPr>
        <w:t>قوامة</w:t>
      </w:r>
      <w:r>
        <w:rPr>
          <w:rtl/>
        </w:rPr>
        <w:t xml:space="preserve"> المرأ</w:t>
      </w:r>
      <w:r>
        <w:rPr>
          <w:rtl/>
          <w:lang w:bidi="fa-IR"/>
        </w:rPr>
        <w:t>ة،</w:t>
      </w:r>
      <w:r>
        <w:rPr>
          <w:rtl/>
        </w:rPr>
        <w:t xml:space="preserve"> بيروت</w:t>
      </w:r>
      <w:r>
        <w:rPr>
          <w:rtl/>
          <w:lang w:bidi="fa-IR"/>
        </w:rPr>
        <w:t>،</w:t>
      </w:r>
      <w:r>
        <w:rPr>
          <w:rtl/>
        </w:rPr>
        <w:t xml:space="preserve"> بيت </w:t>
      </w:r>
      <w:r>
        <w:rPr>
          <w:rFonts w:hint="cs"/>
          <w:rtl/>
        </w:rPr>
        <w:t>الحكمة</w:t>
      </w:r>
      <w:r>
        <w:rPr>
          <w:rtl/>
          <w:lang w:bidi="fa-IR"/>
        </w:rPr>
        <w:t>،</w:t>
      </w:r>
      <w:r>
        <w:rPr>
          <w:rtl/>
        </w:rPr>
        <w:t>1970</w:t>
      </w:r>
      <w:r>
        <w:rPr>
          <w:rtl/>
          <w:lang w:bidi="fa-IR"/>
        </w:rPr>
        <w:t>.</w:t>
      </w:r>
    </w:p>
    <w:p w:rsidR="00DD23C6" w:rsidRDefault="00DD23C6" w:rsidP="001D4CB9">
      <w:pPr>
        <w:pStyle w:val="ac"/>
        <w:spacing w:line="209" w:lineRule="auto"/>
        <w:rPr>
          <w:rtl/>
          <w:lang w:bidi="fa-IR"/>
        </w:rPr>
      </w:pPr>
      <w:r>
        <w:rPr>
          <w:rtl/>
        </w:rPr>
        <w:t xml:space="preserve"> 8 ـ </w:t>
      </w:r>
      <w:r>
        <w:rPr>
          <w:rFonts w:hint="cs"/>
          <w:rtl/>
        </w:rPr>
        <w:t>الكتابة</w:t>
      </w:r>
      <w:r>
        <w:rPr>
          <w:rtl/>
        </w:rPr>
        <w:t xml:space="preserve"> تحول ف</w:t>
      </w:r>
      <w:r>
        <w:rPr>
          <w:rtl/>
          <w:lang w:bidi="fa-IR"/>
        </w:rPr>
        <w:t>ي</w:t>
      </w:r>
      <w:r>
        <w:rPr>
          <w:rtl/>
        </w:rPr>
        <w:t xml:space="preserve"> التحول</w:t>
      </w:r>
      <w:r>
        <w:rPr>
          <w:rtl/>
          <w:lang w:bidi="fa-IR"/>
        </w:rPr>
        <w:t>،</w:t>
      </w:r>
      <w:r>
        <w:rPr>
          <w:rtl/>
        </w:rPr>
        <w:t xml:space="preserve"> بيروت</w:t>
      </w:r>
      <w:r>
        <w:rPr>
          <w:rtl/>
          <w:lang w:bidi="fa-IR"/>
        </w:rPr>
        <w:t>،</w:t>
      </w:r>
      <w:r>
        <w:rPr>
          <w:rtl/>
        </w:rPr>
        <w:t xml:space="preserve"> دار</w:t>
      </w:r>
      <w:r>
        <w:rPr>
          <w:rFonts w:hint="cs"/>
          <w:rtl/>
        </w:rPr>
        <w:t xml:space="preserve"> </w:t>
      </w:r>
      <w:r>
        <w:rPr>
          <w:rtl/>
        </w:rPr>
        <w:t>الآداب،1993</w:t>
      </w:r>
      <w:r w:rsidR="001D4CB9">
        <w:rPr>
          <w:rFonts w:hint="cs"/>
          <w:rtl/>
        </w:rPr>
        <w:t>.</w:t>
      </w:r>
    </w:p>
    <w:p w:rsidR="00DD23C6" w:rsidRDefault="00DD23C6" w:rsidP="001D4CB9">
      <w:pPr>
        <w:pStyle w:val="ac"/>
        <w:spacing w:line="209" w:lineRule="auto"/>
        <w:rPr>
          <w:rtl/>
          <w:lang w:bidi="ar-IQ"/>
        </w:rPr>
      </w:pPr>
      <w:r>
        <w:rPr>
          <w:rtl/>
        </w:rPr>
        <w:t>9ـ ممارسات ف</w:t>
      </w:r>
      <w:r>
        <w:rPr>
          <w:rtl/>
          <w:lang w:bidi="fa-IR"/>
        </w:rPr>
        <w:t>ي</w:t>
      </w:r>
      <w:r>
        <w:rPr>
          <w:rtl/>
        </w:rPr>
        <w:t xml:space="preserve"> النقد ال</w:t>
      </w:r>
      <w:r>
        <w:rPr>
          <w:rtl/>
          <w:lang w:bidi="fa-IR"/>
        </w:rPr>
        <w:t>أ</w:t>
      </w:r>
      <w:r>
        <w:rPr>
          <w:rtl/>
        </w:rPr>
        <w:t>دب</w:t>
      </w:r>
      <w:r>
        <w:rPr>
          <w:rtl/>
          <w:lang w:bidi="fa-IR"/>
        </w:rPr>
        <w:t>ي،</w:t>
      </w:r>
      <w:r>
        <w:rPr>
          <w:rtl/>
        </w:rPr>
        <w:t xml:space="preserve"> بيروت</w:t>
      </w:r>
      <w:r>
        <w:rPr>
          <w:rtl/>
          <w:lang w:bidi="fa-IR"/>
        </w:rPr>
        <w:t>،</w:t>
      </w:r>
      <w:r>
        <w:rPr>
          <w:rtl/>
        </w:rPr>
        <w:t xml:space="preserve"> دار</w:t>
      </w:r>
      <w:r>
        <w:rPr>
          <w:rFonts w:hint="cs"/>
          <w:rtl/>
        </w:rPr>
        <w:t xml:space="preserve"> </w:t>
      </w:r>
      <w:r>
        <w:rPr>
          <w:rtl/>
        </w:rPr>
        <w:t>الفاراب</w:t>
      </w:r>
      <w:r>
        <w:rPr>
          <w:rtl/>
          <w:lang w:bidi="fa-IR"/>
        </w:rPr>
        <w:t>ي</w:t>
      </w:r>
      <w:r>
        <w:rPr>
          <w:rtl/>
        </w:rPr>
        <w:t>، 1974</w:t>
      </w:r>
      <w:r>
        <w:rPr>
          <w:rtl/>
          <w:lang w:bidi="fa-IR"/>
        </w:rPr>
        <w:t>.</w:t>
      </w:r>
      <w:r>
        <w:rPr>
          <w:rtl/>
        </w:rPr>
        <w:t xml:space="preserve"> </w:t>
      </w:r>
    </w:p>
    <w:p w:rsidR="00DD23C6" w:rsidRDefault="00DD23C6" w:rsidP="001D4CB9">
      <w:pPr>
        <w:pStyle w:val="ac"/>
        <w:spacing w:line="209" w:lineRule="auto"/>
        <w:rPr>
          <w:rtl/>
          <w:lang w:bidi="fa-IR"/>
        </w:rPr>
      </w:pPr>
      <w:r>
        <w:rPr>
          <w:rtl/>
        </w:rPr>
        <w:t>10ـ مقارب</w:t>
      </w:r>
      <w:r>
        <w:rPr>
          <w:rtl/>
          <w:lang w:bidi="fa-IR"/>
        </w:rPr>
        <w:t>ة</w:t>
      </w:r>
      <w:r>
        <w:rPr>
          <w:rtl/>
        </w:rPr>
        <w:t xml:space="preserve"> </w:t>
      </w:r>
      <w:r>
        <w:rPr>
          <w:rFonts w:hint="cs"/>
          <w:rtl/>
        </w:rPr>
        <w:t>للكتابة</w:t>
      </w:r>
      <w:r>
        <w:rPr>
          <w:rtl/>
        </w:rPr>
        <w:t xml:space="preserve"> ال</w:t>
      </w:r>
      <w:r>
        <w:rPr>
          <w:rtl/>
          <w:lang w:bidi="fa-IR"/>
        </w:rPr>
        <w:t>أ</w:t>
      </w:r>
      <w:r>
        <w:rPr>
          <w:rtl/>
        </w:rPr>
        <w:t>دبي</w:t>
      </w:r>
      <w:r>
        <w:rPr>
          <w:rtl/>
          <w:lang w:bidi="fa-IR"/>
        </w:rPr>
        <w:t>ة</w:t>
      </w:r>
      <w:r>
        <w:rPr>
          <w:rtl/>
        </w:rPr>
        <w:t xml:space="preserve"> ف</w:t>
      </w:r>
      <w:r>
        <w:rPr>
          <w:rtl/>
          <w:lang w:bidi="fa-IR"/>
        </w:rPr>
        <w:t>ي</w:t>
      </w:r>
      <w:r>
        <w:rPr>
          <w:rtl/>
        </w:rPr>
        <w:t xml:space="preserve"> زمن الحرب اللبناني</w:t>
      </w:r>
      <w:r>
        <w:rPr>
          <w:rtl/>
          <w:lang w:bidi="fa-IR"/>
        </w:rPr>
        <w:t>ة،</w:t>
      </w:r>
      <w:r>
        <w:rPr>
          <w:rtl/>
        </w:rPr>
        <w:t xml:space="preserve"> بيروت</w:t>
      </w:r>
      <w:r>
        <w:rPr>
          <w:rtl/>
          <w:lang w:bidi="fa-IR"/>
        </w:rPr>
        <w:t>،</w:t>
      </w:r>
      <w:r>
        <w:rPr>
          <w:rtl/>
        </w:rPr>
        <w:t xml:space="preserve"> دار</w:t>
      </w:r>
      <w:r>
        <w:rPr>
          <w:rFonts w:hint="cs"/>
          <w:rtl/>
        </w:rPr>
        <w:t xml:space="preserve"> </w:t>
      </w:r>
      <w:r>
        <w:rPr>
          <w:rtl/>
        </w:rPr>
        <w:t>الآداب، 1993</w:t>
      </w:r>
      <w:r w:rsidR="001D4CB9">
        <w:rPr>
          <w:rFonts w:hint="cs"/>
          <w:rtl/>
        </w:rPr>
        <w:t>.</w:t>
      </w:r>
    </w:p>
    <w:p w:rsidR="00DD23C6" w:rsidRDefault="00DD23C6" w:rsidP="001D4CB9">
      <w:pPr>
        <w:pStyle w:val="ac"/>
        <w:spacing w:line="209" w:lineRule="auto"/>
        <w:rPr>
          <w:rtl/>
          <w:lang w:bidi="fa-IR"/>
        </w:rPr>
      </w:pPr>
      <w:r>
        <w:rPr>
          <w:rtl/>
        </w:rPr>
        <w:t>11ـ النص المفتوح قراء</w:t>
      </w:r>
      <w:r>
        <w:rPr>
          <w:rtl/>
          <w:lang w:bidi="fa-IR"/>
        </w:rPr>
        <w:t>ة</w:t>
      </w:r>
      <w:r>
        <w:rPr>
          <w:rtl/>
        </w:rPr>
        <w:t xml:space="preserve"> ف</w:t>
      </w:r>
      <w:r>
        <w:rPr>
          <w:rtl/>
          <w:lang w:bidi="fa-IR"/>
        </w:rPr>
        <w:t>ي</w:t>
      </w:r>
      <w:r>
        <w:rPr>
          <w:rtl/>
        </w:rPr>
        <w:t xml:space="preserve"> شعر عبدالله العزيز المقالح</w:t>
      </w:r>
      <w:r>
        <w:rPr>
          <w:rtl/>
          <w:lang w:bidi="fa-IR"/>
        </w:rPr>
        <w:t>،</w:t>
      </w:r>
      <w:r>
        <w:rPr>
          <w:rtl/>
        </w:rPr>
        <w:t xml:space="preserve"> بيروت</w:t>
      </w:r>
      <w:r>
        <w:rPr>
          <w:rtl/>
          <w:lang w:bidi="fa-IR"/>
        </w:rPr>
        <w:t>،</w:t>
      </w:r>
      <w:r>
        <w:rPr>
          <w:rtl/>
        </w:rPr>
        <w:t xml:space="preserve"> دار</w:t>
      </w:r>
      <w:r>
        <w:rPr>
          <w:rFonts w:hint="cs"/>
          <w:rtl/>
        </w:rPr>
        <w:t xml:space="preserve"> </w:t>
      </w:r>
      <w:r>
        <w:rPr>
          <w:rtl/>
        </w:rPr>
        <w:t>الآداب، 1991</w:t>
      </w:r>
      <w:r>
        <w:rPr>
          <w:rFonts w:hint="cs"/>
          <w:rtl/>
        </w:rPr>
        <w:t>.</w:t>
      </w:r>
    </w:p>
    <w:p w:rsidR="00DD23C6" w:rsidRDefault="00DD23C6" w:rsidP="00DD23C6">
      <w:pPr>
        <w:pStyle w:val="ac"/>
        <w:rPr>
          <w:rtl/>
          <w:lang w:bidi="fa-IR"/>
        </w:rPr>
      </w:pPr>
      <w:r>
        <w:rPr>
          <w:rtl/>
        </w:rPr>
        <w:lastRenderedPageBreak/>
        <w:t>12ـ الرواي</w:t>
      </w:r>
      <w:r>
        <w:rPr>
          <w:rtl/>
          <w:lang w:bidi="fa-IR"/>
        </w:rPr>
        <w:t>ة</w:t>
      </w:r>
      <w:r>
        <w:rPr>
          <w:rtl/>
        </w:rPr>
        <w:t xml:space="preserve"> العربي</w:t>
      </w:r>
      <w:r>
        <w:rPr>
          <w:rtl/>
          <w:lang w:bidi="fa-IR"/>
        </w:rPr>
        <w:t>ة</w:t>
      </w:r>
      <w:r>
        <w:rPr>
          <w:rtl/>
        </w:rPr>
        <w:t xml:space="preserve"> بين الواقع و</w:t>
      </w:r>
      <w:r>
        <w:rPr>
          <w:rFonts w:hint="cs"/>
          <w:rtl/>
        </w:rPr>
        <w:t>الإيديولوجية</w:t>
      </w:r>
      <w:r>
        <w:rPr>
          <w:rtl/>
          <w:lang w:bidi="fa-IR"/>
        </w:rPr>
        <w:t>،</w:t>
      </w:r>
      <w:r>
        <w:rPr>
          <w:rtl/>
        </w:rPr>
        <w:t xml:space="preserve"> اللاذقيّ</w:t>
      </w:r>
      <w:r>
        <w:rPr>
          <w:rtl/>
          <w:lang w:bidi="fa-IR"/>
        </w:rPr>
        <w:t>ة</w:t>
      </w:r>
      <w:r>
        <w:rPr>
          <w:rtl/>
        </w:rPr>
        <w:t>، دار</w:t>
      </w:r>
      <w:r>
        <w:rPr>
          <w:rFonts w:hint="cs"/>
          <w:rtl/>
        </w:rPr>
        <w:t xml:space="preserve"> </w:t>
      </w:r>
      <w:r>
        <w:rPr>
          <w:rtl/>
        </w:rPr>
        <w:t>الحوار، 1986</w:t>
      </w:r>
      <w:r>
        <w:rPr>
          <w:rtl/>
          <w:lang w:bidi="fa-IR"/>
        </w:rPr>
        <w:t>.</w:t>
      </w:r>
    </w:p>
    <w:p w:rsidR="00DD23C6" w:rsidRDefault="00DD23C6" w:rsidP="00DD23C6">
      <w:pPr>
        <w:pStyle w:val="ac"/>
        <w:rPr>
          <w:rtl/>
          <w:lang w:bidi="fa-IR"/>
        </w:rPr>
      </w:pPr>
      <w:r>
        <w:rPr>
          <w:rtl/>
        </w:rPr>
        <w:t>13ـ حسين مروّ</w:t>
      </w:r>
      <w:r>
        <w:rPr>
          <w:rtl/>
          <w:lang w:bidi="fa-IR"/>
        </w:rPr>
        <w:t>ة</w:t>
      </w:r>
      <w:r>
        <w:rPr>
          <w:rtl/>
        </w:rPr>
        <w:t xml:space="preserve"> شهادات ف</w:t>
      </w:r>
      <w:r>
        <w:rPr>
          <w:rtl/>
          <w:lang w:bidi="fa-IR"/>
        </w:rPr>
        <w:t>ي</w:t>
      </w:r>
      <w:r>
        <w:rPr>
          <w:rtl/>
        </w:rPr>
        <w:t xml:space="preserve"> </w:t>
      </w:r>
      <w:r>
        <w:rPr>
          <w:rFonts w:hint="cs"/>
          <w:rtl/>
        </w:rPr>
        <w:t>فكره</w:t>
      </w:r>
      <w:r>
        <w:rPr>
          <w:rtl/>
        </w:rPr>
        <w:t xml:space="preserve"> ونضاله</w:t>
      </w:r>
      <w:r>
        <w:rPr>
          <w:rtl/>
          <w:lang w:bidi="fa-IR"/>
        </w:rPr>
        <w:t>،</w:t>
      </w:r>
      <w:r>
        <w:rPr>
          <w:rtl/>
        </w:rPr>
        <w:t xml:space="preserve"> بيروت</w:t>
      </w:r>
      <w:r>
        <w:rPr>
          <w:rtl/>
          <w:lang w:bidi="fa-IR"/>
        </w:rPr>
        <w:t>،</w:t>
      </w:r>
      <w:r>
        <w:rPr>
          <w:rtl/>
        </w:rPr>
        <w:t xml:space="preserve"> دار</w:t>
      </w:r>
      <w:r>
        <w:rPr>
          <w:rFonts w:hint="cs"/>
          <w:rtl/>
        </w:rPr>
        <w:t xml:space="preserve"> </w:t>
      </w:r>
      <w:r>
        <w:rPr>
          <w:rtl/>
        </w:rPr>
        <w:t>الفاراب</w:t>
      </w:r>
      <w:r>
        <w:rPr>
          <w:rtl/>
          <w:lang w:bidi="fa-IR"/>
        </w:rPr>
        <w:t>ي،</w:t>
      </w:r>
      <w:r>
        <w:rPr>
          <w:rtl/>
        </w:rPr>
        <w:t xml:space="preserve"> 1981</w:t>
      </w:r>
      <w:r>
        <w:rPr>
          <w:rtl/>
          <w:lang w:bidi="fa-IR"/>
        </w:rPr>
        <w:t>.</w:t>
      </w:r>
    </w:p>
    <w:p w:rsidR="00DD23C6" w:rsidRDefault="00DD23C6" w:rsidP="00DD23C6">
      <w:pPr>
        <w:pStyle w:val="ac"/>
        <w:rPr>
          <w:rtl/>
          <w:lang w:bidi="fa-IR"/>
        </w:rPr>
      </w:pPr>
      <w:r>
        <w:rPr>
          <w:rtl/>
        </w:rPr>
        <w:t>14ـ النظري</w:t>
      </w:r>
      <w:r>
        <w:rPr>
          <w:rtl/>
          <w:lang w:bidi="fa-IR"/>
        </w:rPr>
        <w:t>ة</w:t>
      </w:r>
      <w:r>
        <w:rPr>
          <w:rtl/>
        </w:rPr>
        <w:t xml:space="preserve"> والممارسات ف</w:t>
      </w:r>
      <w:r>
        <w:rPr>
          <w:rtl/>
          <w:lang w:bidi="fa-IR"/>
        </w:rPr>
        <w:t>ي</w:t>
      </w:r>
      <w:r>
        <w:rPr>
          <w:rtl/>
        </w:rPr>
        <w:t xml:space="preserve"> </w:t>
      </w:r>
      <w:r>
        <w:rPr>
          <w:rFonts w:hint="cs"/>
          <w:rtl/>
        </w:rPr>
        <w:t>فكر</w:t>
      </w:r>
      <w:r>
        <w:rPr>
          <w:rtl/>
        </w:rPr>
        <w:t xml:space="preserve"> مهد</w:t>
      </w:r>
      <w:r>
        <w:rPr>
          <w:rtl/>
          <w:lang w:bidi="fa-IR"/>
        </w:rPr>
        <w:t>ي</w:t>
      </w:r>
      <w:r>
        <w:rPr>
          <w:rtl/>
        </w:rPr>
        <w:t xml:space="preserve"> عامل</w:t>
      </w:r>
      <w:r>
        <w:rPr>
          <w:rtl/>
          <w:lang w:bidi="fa-IR"/>
        </w:rPr>
        <w:t>،</w:t>
      </w:r>
      <w:r>
        <w:rPr>
          <w:rtl/>
        </w:rPr>
        <w:t xml:space="preserve"> بيروت</w:t>
      </w:r>
      <w:r>
        <w:rPr>
          <w:rtl/>
          <w:lang w:bidi="fa-IR"/>
        </w:rPr>
        <w:t>،</w:t>
      </w:r>
      <w:r>
        <w:rPr>
          <w:rtl/>
        </w:rPr>
        <w:t xml:space="preserve"> دار</w:t>
      </w:r>
      <w:r>
        <w:rPr>
          <w:rFonts w:hint="cs"/>
          <w:rtl/>
        </w:rPr>
        <w:t xml:space="preserve"> </w:t>
      </w:r>
      <w:r>
        <w:rPr>
          <w:rtl/>
        </w:rPr>
        <w:t>الفاراب</w:t>
      </w:r>
      <w:r>
        <w:rPr>
          <w:rtl/>
          <w:lang w:bidi="fa-IR"/>
        </w:rPr>
        <w:t>ي،</w:t>
      </w:r>
      <w:r>
        <w:rPr>
          <w:rtl/>
        </w:rPr>
        <w:t xml:space="preserve"> 1989</w:t>
      </w:r>
      <w:r>
        <w:rPr>
          <w:rtl/>
          <w:lang w:bidi="fa-IR"/>
        </w:rPr>
        <w:t>.</w:t>
      </w:r>
    </w:p>
    <w:p w:rsidR="00DD23C6" w:rsidRDefault="00DD23C6" w:rsidP="00DD23C6">
      <w:pPr>
        <w:pStyle w:val="ac"/>
        <w:rPr>
          <w:rtl/>
        </w:rPr>
      </w:pPr>
      <w:r>
        <w:rPr>
          <w:rtl/>
          <w:lang w:bidi="fa-IR"/>
        </w:rPr>
        <w:t xml:space="preserve"> وإذا ما تأمّلنا في أعمالها سنجد أنّ السيدة يمنى العيد </w:t>
      </w:r>
      <w:r>
        <w:rPr>
          <w:rFonts w:hint="cs"/>
          <w:rtl/>
          <w:lang w:bidi="fa-IR"/>
        </w:rPr>
        <w:t>تمتلك قلماً أدبياً ساحراً</w:t>
      </w:r>
      <w:r>
        <w:rPr>
          <w:rtl/>
          <w:lang w:bidi="fa-IR"/>
        </w:rPr>
        <w:t xml:space="preserve"> بين المثقفات اللبنانيات تميّز بالنقد الموضوعي الدقيق للآثار والآراء الأدبية، هذا في الوقت الذي تلعب فيه الأنماط الأدبية الأخرى </w:t>
      </w:r>
      <w:r>
        <w:rPr>
          <w:rFonts w:hint="cs"/>
          <w:rtl/>
          <w:lang w:bidi="fa-IR"/>
        </w:rPr>
        <w:t>ـ</w:t>
      </w:r>
      <w:r>
        <w:rPr>
          <w:rtl/>
          <w:lang w:bidi="fa-IR"/>
        </w:rPr>
        <w:t xml:space="preserve"> عدا النقد والتحليل </w:t>
      </w:r>
      <w:r>
        <w:rPr>
          <w:rFonts w:hint="cs"/>
          <w:rtl/>
          <w:lang w:bidi="fa-IR"/>
        </w:rPr>
        <w:t>ـ</w:t>
      </w:r>
      <w:r>
        <w:rPr>
          <w:rtl/>
          <w:lang w:bidi="fa-IR"/>
        </w:rPr>
        <w:t xml:space="preserve"> دوراً مهماً في التأثير على ذهن القارئ ومشاعره</w:t>
      </w:r>
      <w:r w:rsidRPr="00815C4C">
        <w:rPr>
          <w:rFonts w:cs="Taher" w:hint="cs"/>
          <w:vertAlign w:val="superscript"/>
          <w:rtl/>
        </w:rPr>
        <w:t>(</w:t>
      </w:r>
      <w:r w:rsidRPr="00815C4C">
        <w:rPr>
          <w:rFonts w:cs="Taher"/>
          <w:vertAlign w:val="superscript"/>
          <w:rtl/>
        </w:rPr>
        <w:footnoteReference w:id="1149"/>
      </w:r>
      <w:r w:rsidRPr="00815C4C">
        <w:rPr>
          <w:rFonts w:cs="Taher" w:hint="cs"/>
          <w:vertAlign w:val="superscript"/>
          <w:rtl/>
        </w:rPr>
        <w:t>)</w:t>
      </w:r>
      <w:r>
        <w:rPr>
          <w:rtl/>
          <w:lang w:bidi="fa-IR"/>
        </w:rPr>
        <w:t xml:space="preserve">. </w:t>
      </w:r>
    </w:p>
    <w:p w:rsidR="00DD23C6" w:rsidRPr="001D4CB9" w:rsidRDefault="00DD23C6" w:rsidP="001D4CB9">
      <w:pPr>
        <w:pStyle w:val="afffffc"/>
        <w:rPr>
          <w:sz w:val="18"/>
          <w:szCs w:val="16"/>
          <w:rtl/>
          <w:lang w:bidi="fa-IR"/>
        </w:rPr>
      </w:pPr>
    </w:p>
    <w:p w:rsidR="00DD23C6" w:rsidRDefault="00DD23C6" w:rsidP="00DD23C6">
      <w:pPr>
        <w:pStyle w:val="1"/>
        <w:rPr>
          <w:rtl/>
        </w:rPr>
      </w:pPr>
      <w:bookmarkStart w:id="715" w:name="_Toc275128339"/>
      <w:r>
        <w:rPr>
          <w:rFonts w:hint="cs"/>
          <w:rtl/>
          <w:lang w:bidi="ar-IQ"/>
        </w:rPr>
        <w:t>هدى بركات والعمل الأدبي القصصي</w:t>
      </w:r>
      <w:bookmarkEnd w:id="715"/>
      <w:r>
        <w:rPr>
          <w:rFonts w:hint="cs"/>
          <w:rtl/>
        </w:rPr>
        <w:t xml:space="preserve"> </w:t>
      </w:r>
    </w:p>
    <w:p w:rsidR="00DD23C6" w:rsidRDefault="00DD23C6" w:rsidP="00DD23C6">
      <w:pPr>
        <w:pStyle w:val="ac"/>
        <w:rPr>
          <w:rtl/>
          <w:lang w:bidi="fa-IR"/>
        </w:rPr>
      </w:pPr>
      <w:r>
        <w:rPr>
          <w:rtl/>
          <w:lang w:bidi="fa-IR"/>
        </w:rPr>
        <w:t xml:space="preserve">ولكن ما من شك في أنّ السيدة هدى بركات استطاعت من خلال فن كتابة القصة، التأثير على القارئ وأن تدوّن أعمالاً أدبية تمثّلت في </w:t>
      </w:r>
      <w:r>
        <w:rPr>
          <w:rFonts w:hint="cs"/>
          <w:rtl/>
          <w:lang w:bidi="fa-IR"/>
        </w:rPr>
        <w:t>ثلاث</w:t>
      </w:r>
      <w:r>
        <w:rPr>
          <w:rtl/>
          <w:lang w:bidi="fa-IR"/>
        </w:rPr>
        <w:t xml:space="preserve"> مقالات باللغة الإنجليزية، </w:t>
      </w:r>
      <w:r>
        <w:rPr>
          <w:rFonts w:hint="cs"/>
          <w:rtl/>
          <w:lang w:bidi="fa-IR"/>
        </w:rPr>
        <w:t>وأربع عشر</w:t>
      </w:r>
      <w:r>
        <w:rPr>
          <w:rtl/>
          <w:lang w:bidi="fa-IR"/>
        </w:rPr>
        <w:t>ة</w:t>
      </w:r>
      <w:r>
        <w:rPr>
          <w:rFonts w:hint="cs"/>
          <w:rtl/>
          <w:lang w:bidi="fa-IR"/>
        </w:rPr>
        <w:t xml:space="preserve"> </w:t>
      </w:r>
      <w:r>
        <w:rPr>
          <w:rtl/>
          <w:lang w:bidi="fa-IR"/>
        </w:rPr>
        <w:t>مقالة باللغة العربية في النقد والتحليل لتنال بذلك موقعاً متقدماً في الأدب النسائي اللبناني</w:t>
      </w:r>
      <w:r w:rsidRPr="00815C4C">
        <w:rPr>
          <w:rFonts w:cs="Taher" w:hint="cs"/>
          <w:vertAlign w:val="superscript"/>
          <w:rtl/>
        </w:rPr>
        <w:t>(</w:t>
      </w:r>
      <w:r w:rsidRPr="00815C4C">
        <w:rPr>
          <w:rFonts w:cs="Taher"/>
          <w:vertAlign w:val="superscript"/>
          <w:rtl/>
        </w:rPr>
        <w:footnoteReference w:id="1150"/>
      </w:r>
      <w:r w:rsidRPr="00815C4C">
        <w:rPr>
          <w:rFonts w:cs="Taher" w:hint="cs"/>
          <w:vertAlign w:val="superscript"/>
          <w:rtl/>
        </w:rPr>
        <w:t>)</w:t>
      </w:r>
      <w:r>
        <w:rPr>
          <w:rtl/>
          <w:lang w:bidi="fa-IR"/>
        </w:rPr>
        <w:t xml:space="preserve">. </w:t>
      </w:r>
    </w:p>
    <w:p w:rsidR="00DD23C6" w:rsidRDefault="00DD23C6" w:rsidP="00DD23C6">
      <w:pPr>
        <w:pStyle w:val="ac"/>
        <w:rPr>
          <w:rtl/>
        </w:rPr>
      </w:pPr>
      <w:r>
        <w:rPr>
          <w:rtl/>
          <w:lang w:bidi="fa-IR"/>
        </w:rPr>
        <w:t xml:space="preserve">والسيدة بركات من مواليد </w:t>
      </w:r>
      <w:r>
        <w:rPr>
          <w:rFonts w:hint="cs"/>
          <w:rtl/>
        </w:rPr>
        <w:t>1952</w:t>
      </w:r>
      <w:r>
        <w:rPr>
          <w:rtl/>
          <w:lang w:bidi="fa-IR"/>
        </w:rPr>
        <w:t xml:space="preserve">في مرفأ بيروت الجميل، تخرّجت </w:t>
      </w:r>
      <w:r>
        <w:rPr>
          <w:rFonts w:hint="cs"/>
          <w:rtl/>
          <w:lang w:bidi="ar-IQ"/>
        </w:rPr>
        <w:t>في</w:t>
      </w:r>
      <w:r>
        <w:rPr>
          <w:rtl/>
          <w:lang w:bidi="fa-IR"/>
        </w:rPr>
        <w:t xml:space="preserve"> الجامعة اللبنانية في عام </w:t>
      </w:r>
      <w:r>
        <w:rPr>
          <w:rFonts w:hint="cs"/>
          <w:rtl/>
        </w:rPr>
        <w:t>1974</w:t>
      </w:r>
      <w:r>
        <w:rPr>
          <w:rtl/>
          <w:lang w:bidi="fa-IR"/>
        </w:rPr>
        <w:t xml:space="preserve">فرع الأدب الفرنسي. لم يمض على تخرجها سنة واحدة، حتى شدّت الرحال إلى فرنسا لإكمال دراستها العليا هناك، لكنّها عادت إلى الوطن بعد أن اشتعل فتيل الحرب فيه. شاركت السيدة هدى في تأسيس الجمعية النسائية </w:t>
      </w:r>
      <w:r>
        <w:rPr>
          <w:rFonts w:hint="cs"/>
          <w:rtl/>
          <w:lang w:bidi="fa-IR"/>
        </w:rPr>
        <w:t>(</w:t>
      </w:r>
      <w:r>
        <w:rPr>
          <w:rtl/>
          <w:lang w:bidi="fa-IR"/>
        </w:rPr>
        <w:t>شهرزاد</w:t>
      </w:r>
      <w:r>
        <w:rPr>
          <w:rFonts w:hint="cs"/>
          <w:rtl/>
          <w:lang w:bidi="fa-IR"/>
        </w:rPr>
        <w:t>)</w:t>
      </w:r>
      <w:r>
        <w:rPr>
          <w:rtl/>
          <w:lang w:bidi="fa-IR"/>
        </w:rPr>
        <w:t xml:space="preserve"> وصدرت لها أول رواية طويلة فازت بجائزة فن كتابة القصة لمجلة الناقد. كما فازت روايتها الثالثة بجائزة نجيب محفوظ للأدب القصصي من الجامعة الأمريكية في القاهرة وذلك في </w:t>
      </w:r>
      <w:r>
        <w:rPr>
          <w:rFonts w:hint="cs"/>
          <w:rtl/>
          <w:lang w:bidi="fa-IR"/>
        </w:rPr>
        <w:t>(</w:t>
      </w:r>
      <w:r>
        <w:rPr>
          <w:rtl/>
          <w:lang w:bidi="fa-IR"/>
        </w:rPr>
        <w:t xml:space="preserve">عام </w:t>
      </w:r>
      <w:r>
        <w:rPr>
          <w:rFonts w:hint="cs"/>
          <w:rtl/>
        </w:rPr>
        <w:t>2000</w:t>
      </w:r>
      <w:r>
        <w:rPr>
          <w:rFonts w:hint="cs"/>
          <w:rtl/>
          <w:lang w:bidi="fa-IR"/>
        </w:rPr>
        <w:t>)</w:t>
      </w:r>
      <w:r>
        <w:rPr>
          <w:rtl/>
          <w:lang w:bidi="fa-IR"/>
        </w:rPr>
        <w:t>، ترجمت أعمالها الروائية إلى اللغات الفرنسية والإنجليزية والهولندية والعبرية والأسبانية والإيطالية، ومنها:</w:t>
      </w:r>
    </w:p>
    <w:p w:rsidR="00DD23C6" w:rsidRDefault="00DD23C6" w:rsidP="00DD23C6">
      <w:pPr>
        <w:pStyle w:val="ac"/>
        <w:rPr>
          <w:rtl/>
        </w:rPr>
      </w:pPr>
      <w:r>
        <w:rPr>
          <w:rtl/>
        </w:rPr>
        <w:lastRenderedPageBreak/>
        <w:t xml:space="preserve">1ـ </w:t>
      </w:r>
      <w:r>
        <w:rPr>
          <w:rtl/>
          <w:lang w:bidi="fa-IR"/>
        </w:rPr>
        <w:t>أ</w:t>
      </w:r>
      <w:r>
        <w:rPr>
          <w:rtl/>
        </w:rPr>
        <w:t>هل الهو</w:t>
      </w:r>
      <w:r>
        <w:rPr>
          <w:rtl/>
          <w:lang w:bidi="fa-IR"/>
        </w:rPr>
        <w:t>ى،</w:t>
      </w:r>
      <w:r>
        <w:rPr>
          <w:rtl/>
        </w:rPr>
        <w:t xml:space="preserve"> بيروت</w:t>
      </w:r>
      <w:r>
        <w:rPr>
          <w:rtl/>
          <w:lang w:bidi="fa-IR"/>
        </w:rPr>
        <w:t>،</w:t>
      </w:r>
      <w:r>
        <w:rPr>
          <w:rtl/>
        </w:rPr>
        <w:t xml:space="preserve"> دار</w:t>
      </w:r>
      <w:r>
        <w:rPr>
          <w:rFonts w:hint="cs"/>
          <w:rtl/>
        </w:rPr>
        <w:t xml:space="preserve"> </w:t>
      </w:r>
      <w:r>
        <w:rPr>
          <w:rtl/>
        </w:rPr>
        <w:t>النهار، 1993</w:t>
      </w:r>
      <w:r>
        <w:rPr>
          <w:rFonts w:hint="cs"/>
          <w:rtl/>
        </w:rPr>
        <w:t>.</w:t>
      </w:r>
      <w:r>
        <w:rPr>
          <w:rtl/>
        </w:rPr>
        <w:t xml:space="preserve"> </w:t>
      </w:r>
    </w:p>
    <w:p w:rsidR="00DD23C6" w:rsidRDefault="00DD23C6" w:rsidP="00DD23C6">
      <w:pPr>
        <w:pStyle w:val="ac"/>
        <w:rPr>
          <w:rtl/>
        </w:rPr>
      </w:pPr>
      <w:r>
        <w:rPr>
          <w:rtl/>
        </w:rPr>
        <w:t>2ـ حارث المياه</w:t>
      </w:r>
      <w:r>
        <w:rPr>
          <w:rtl/>
          <w:lang w:bidi="fa-IR"/>
        </w:rPr>
        <w:t>،</w:t>
      </w:r>
      <w:r>
        <w:rPr>
          <w:rtl/>
        </w:rPr>
        <w:t xml:space="preserve"> بيروت</w:t>
      </w:r>
      <w:r>
        <w:rPr>
          <w:rtl/>
          <w:lang w:bidi="fa-IR"/>
        </w:rPr>
        <w:t>،</w:t>
      </w:r>
      <w:r>
        <w:rPr>
          <w:rtl/>
        </w:rPr>
        <w:t xml:space="preserve"> دار</w:t>
      </w:r>
      <w:r>
        <w:rPr>
          <w:rFonts w:hint="cs"/>
          <w:rtl/>
        </w:rPr>
        <w:t xml:space="preserve"> </w:t>
      </w:r>
      <w:r>
        <w:rPr>
          <w:rtl/>
        </w:rPr>
        <w:t>النهار، 1998</w:t>
      </w:r>
      <w:r>
        <w:rPr>
          <w:rFonts w:hint="cs"/>
          <w:rtl/>
        </w:rPr>
        <w:t>.</w:t>
      </w:r>
      <w:r>
        <w:rPr>
          <w:rtl/>
        </w:rPr>
        <w:t xml:space="preserve"> </w:t>
      </w:r>
    </w:p>
    <w:p w:rsidR="00DD23C6" w:rsidRDefault="00DD23C6" w:rsidP="00DD23C6">
      <w:pPr>
        <w:pStyle w:val="ac"/>
        <w:rPr>
          <w:rtl/>
          <w:lang w:bidi="fa-IR"/>
        </w:rPr>
      </w:pPr>
      <w:r>
        <w:rPr>
          <w:rtl/>
        </w:rPr>
        <w:t xml:space="preserve">3 ـ </w:t>
      </w:r>
      <w:r>
        <w:rPr>
          <w:rFonts w:hint="cs"/>
          <w:rtl/>
        </w:rPr>
        <w:t>حجر الضحك</w:t>
      </w:r>
      <w:r>
        <w:rPr>
          <w:rtl/>
          <w:lang w:bidi="fa-IR"/>
        </w:rPr>
        <w:t>،</w:t>
      </w:r>
      <w:r>
        <w:rPr>
          <w:rtl/>
        </w:rPr>
        <w:t xml:space="preserve"> لندن</w:t>
      </w:r>
      <w:r>
        <w:rPr>
          <w:rtl/>
          <w:lang w:bidi="fa-IR"/>
        </w:rPr>
        <w:t>،</w:t>
      </w:r>
      <w:r>
        <w:rPr>
          <w:rtl/>
        </w:rPr>
        <w:t xml:space="preserve"> رياض الريس </w:t>
      </w:r>
      <w:r>
        <w:rPr>
          <w:rFonts w:hint="cs"/>
          <w:rtl/>
        </w:rPr>
        <w:t>للكتب</w:t>
      </w:r>
      <w:r>
        <w:rPr>
          <w:rtl/>
        </w:rPr>
        <w:t xml:space="preserve"> والنشر،1990</w:t>
      </w:r>
      <w:r>
        <w:rPr>
          <w:rtl/>
          <w:lang w:bidi="fa-IR"/>
        </w:rPr>
        <w:t>؛</w:t>
      </w:r>
      <w:r>
        <w:rPr>
          <w:rtl/>
        </w:rPr>
        <w:t xml:space="preserve"> بيروت</w:t>
      </w:r>
      <w:r>
        <w:rPr>
          <w:rtl/>
          <w:lang w:bidi="fa-IR"/>
        </w:rPr>
        <w:t>،</w:t>
      </w:r>
      <w:r>
        <w:rPr>
          <w:rtl/>
        </w:rPr>
        <w:t xml:space="preserve"> دار</w:t>
      </w:r>
      <w:r>
        <w:rPr>
          <w:rFonts w:hint="cs"/>
          <w:rtl/>
        </w:rPr>
        <w:t xml:space="preserve"> </w:t>
      </w:r>
      <w:r>
        <w:rPr>
          <w:rtl/>
        </w:rPr>
        <w:t>النهار</w:t>
      </w:r>
      <w:r>
        <w:rPr>
          <w:rtl/>
          <w:lang w:bidi="fa-IR"/>
        </w:rPr>
        <w:t>،</w:t>
      </w:r>
      <w:r w:rsidR="001D4CB9">
        <w:rPr>
          <w:rFonts w:hint="cs"/>
          <w:rtl/>
          <w:lang w:bidi="fa-IR"/>
        </w:rPr>
        <w:t xml:space="preserve"> </w:t>
      </w:r>
      <w:r>
        <w:rPr>
          <w:rtl/>
        </w:rPr>
        <w:t>2005</w:t>
      </w:r>
      <w:r>
        <w:rPr>
          <w:rFonts w:hint="cs"/>
          <w:rtl/>
          <w:lang w:bidi="fa-IR"/>
        </w:rPr>
        <w:t>.</w:t>
      </w:r>
    </w:p>
    <w:p w:rsidR="00DD23C6" w:rsidRDefault="00DD23C6" w:rsidP="00DD23C6">
      <w:pPr>
        <w:pStyle w:val="ac"/>
        <w:rPr>
          <w:rtl/>
        </w:rPr>
      </w:pPr>
      <w:r>
        <w:rPr>
          <w:rtl/>
        </w:rPr>
        <w:t>4ـ رسائل الغريب</w:t>
      </w:r>
      <w:r>
        <w:rPr>
          <w:rtl/>
          <w:lang w:bidi="fa-IR"/>
        </w:rPr>
        <w:t>ة،</w:t>
      </w:r>
      <w:r>
        <w:rPr>
          <w:rtl/>
        </w:rPr>
        <w:t xml:space="preserve"> بيروت</w:t>
      </w:r>
      <w:r>
        <w:rPr>
          <w:rtl/>
          <w:lang w:bidi="fa-IR"/>
        </w:rPr>
        <w:t>،</w:t>
      </w:r>
      <w:r>
        <w:rPr>
          <w:rtl/>
        </w:rPr>
        <w:t xml:space="preserve"> دار</w:t>
      </w:r>
      <w:r>
        <w:rPr>
          <w:rFonts w:hint="cs"/>
          <w:rtl/>
        </w:rPr>
        <w:t xml:space="preserve"> </w:t>
      </w:r>
      <w:r>
        <w:rPr>
          <w:rtl/>
        </w:rPr>
        <w:t>النهار،</w:t>
      </w:r>
      <w:r>
        <w:rPr>
          <w:rtl/>
          <w:lang w:bidi="fa-IR"/>
        </w:rPr>
        <w:t xml:space="preserve"> </w:t>
      </w:r>
      <w:r>
        <w:rPr>
          <w:rtl/>
        </w:rPr>
        <w:t>2004</w:t>
      </w:r>
      <w:r>
        <w:rPr>
          <w:rFonts w:hint="cs"/>
          <w:rtl/>
        </w:rPr>
        <w:t>.</w:t>
      </w:r>
      <w:r>
        <w:rPr>
          <w:rtl/>
        </w:rPr>
        <w:t xml:space="preserve"> </w:t>
      </w:r>
    </w:p>
    <w:p w:rsidR="00DD23C6" w:rsidRDefault="00DD23C6" w:rsidP="00DD23C6">
      <w:pPr>
        <w:pStyle w:val="ac"/>
        <w:rPr>
          <w:rtl/>
          <w:lang w:bidi="fa-IR"/>
        </w:rPr>
      </w:pPr>
      <w:r>
        <w:rPr>
          <w:rtl/>
        </w:rPr>
        <w:t>5ـ زائرات</w:t>
      </w:r>
      <w:r>
        <w:rPr>
          <w:rtl/>
          <w:lang w:bidi="fa-IR"/>
        </w:rPr>
        <w:t>،</w:t>
      </w:r>
      <w:r>
        <w:rPr>
          <w:rtl/>
        </w:rPr>
        <w:t xml:space="preserve"> بيروت</w:t>
      </w:r>
      <w:r>
        <w:rPr>
          <w:rtl/>
          <w:lang w:bidi="fa-IR"/>
        </w:rPr>
        <w:t>،</w:t>
      </w:r>
      <w:r>
        <w:rPr>
          <w:rtl/>
        </w:rPr>
        <w:t xml:space="preserve"> دار</w:t>
      </w:r>
      <w:r>
        <w:rPr>
          <w:rFonts w:hint="cs"/>
          <w:rtl/>
        </w:rPr>
        <w:t xml:space="preserve"> </w:t>
      </w:r>
      <w:r>
        <w:rPr>
          <w:rtl/>
        </w:rPr>
        <w:t>المطبوعات الشرقي</w:t>
      </w:r>
      <w:r>
        <w:rPr>
          <w:rtl/>
          <w:lang w:bidi="fa-IR"/>
        </w:rPr>
        <w:t>ة</w:t>
      </w:r>
      <w:r>
        <w:rPr>
          <w:rtl/>
        </w:rPr>
        <w:t>، 1985</w:t>
      </w:r>
      <w:r>
        <w:rPr>
          <w:rFonts w:hint="cs"/>
          <w:rtl/>
          <w:lang w:bidi="fa-IR"/>
        </w:rPr>
        <w:t>.</w:t>
      </w:r>
    </w:p>
    <w:p w:rsidR="00DD23C6" w:rsidRDefault="00DD23C6" w:rsidP="00DD23C6">
      <w:pPr>
        <w:pStyle w:val="ac"/>
        <w:rPr>
          <w:rtl/>
        </w:rPr>
      </w:pPr>
      <w:r>
        <w:rPr>
          <w:rtl/>
        </w:rPr>
        <w:t xml:space="preserve">6ـ </w:t>
      </w:r>
      <w:r>
        <w:rPr>
          <w:rFonts w:hint="cs"/>
          <w:rtl/>
        </w:rPr>
        <w:t xml:space="preserve">سيّدي </w:t>
      </w:r>
      <w:r>
        <w:rPr>
          <w:rtl/>
        </w:rPr>
        <w:t>وحبيب</w:t>
      </w:r>
      <w:r>
        <w:rPr>
          <w:rtl/>
          <w:lang w:bidi="fa-IR"/>
        </w:rPr>
        <w:t>ي،</w:t>
      </w:r>
      <w:r>
        <w:rPr>
          <w:rtl/>
        </w:rPr>
        <w:t xml:space="preserve"> بيروت، دار</w:t>
      </w:r>
      <w:r>
        <w:rPr>
          <w:rFonts w:hint="cs"/>
          <w:rtl/>
        </w:rPr>
        <w:t xml:space="preserve"> </w:t>
      </w:r>
      <w:r>
        <w:rPr>
          <w:rtl/>
        </w:rPr>
        <w:t>النهار، 2004</w:t>
      </w:r>
      <w:r>
        <w:rPr>
          <w:rFonts w:hint="cs"/>
          <w:rtl/>
        </w:rPr>
        <w:t>.</w:t>
      </w:r>
      <w:r>
        <w:rPr>
          <w:rtl/>
        </w:rPr>
        <w:t xml:space="preserve"> </w:t>
      </w:r>
    </w:p>
    <w:p w:rsidR="001D4CB9" w:rsidRDefault="001D4CB9" w:rsidP="001D4CB9">
      <w:pPr>
        <w:pStyle w:val="afffffc"/>
        <w:rPr>
          <w:rtl/>
        </w:rPr>
      </w:pPr>
    </w:p>
    <w:p w:rsidR="00DD23C6" w:rsidRDefault="00DD23C6" w:rsidP="00DD23C6">
      <w:pPr>
        <w:pStyle w:val="1"/>
      </w:pPr>
      <w:bookmarkStart w:id="716" w:name="_Toc275128340"/>
      <w:r>
        <w:rPr>
          <w:rFonts w:hint="cs"/>
          <w:rtl/>
        </w:rPr>
        <w:t>وداد السكاكيني وغزارة الإنتاج الأدبي</w:t>
      </w:r>
      <w:bookmarkEnd w:id="716"/>
      <w:r>
        <w:rPr>
          <w:rFonts w:hint="cs"/>
          <w:rtl/>
        </w:rPr>
        <w:t xml:space="preserve"> </w:t>
      </w:r>
    </w:p>
    <w:p w:rsidR="00DD23C6" w:rsidRDefault="00DD23C6" w:rsidP="00DD23C6">
      <w:pPr>
        <w:pStyle w:val="ac"/>
        <w:rPr>
          <w:rtl/>
        </w:rPr>
      </w:pPr>
      <w:r>
        <w:rPr>
          <w:rtl/>
          <w:lang w:bidi="fa-IR"/>
        </w:rPr>
        <w:t xml:space="preserve">ولعلّ السيدة وداد السكاكيني هي الأوفر حظّاً في إبداع الأعمال الأدبية ضمن سلسلة الأدب النسائي، وذلك لتأليفها ما يربو على </w:t>
      </w:r>
      <w:r>
        <w:rPr>
          <w:rFonts w:hint="cs"/>
          <w:rtl/>
          <w:lang w:bidi="fa-IR"/>
        </w:rPr>
        <w:t>عشرين</w:t>
      </w:r>
      <w:r>
        <w:rPr>
          <w:rtl/>
          <w:lang w:bidi="fa-IR"/>
        </w:rPr>
        <w:t xml:space="preserve"> عملاً أدبياً متميزاً، أفردت </w:t>
      </w:r>
      <w:r>
        <w:rPr>
          <w:rFonts w:hint="cs"/>
          <w:rtl/>
          <w:lang w:bidi="fa-IR"/>
        </w:rPr>
        <w:t>سبعة</w:t>
      </w:r>
      <w:r>
        <w:rPr>
          <w:rtl/>
          <w:lang w:bidi="fa-IR"/>
        </w:rPr>
        <w:t xml:space="preserve"> مجلدات منها لقضايا المرأة:</w:t>
      </w:r>
    </w:p>
    <w:p w:rsidR="00DD23C6" w:rsidRDefault="00DD23C6" w:rsidP="00DD23C6">
      <w:pPr>
        <w:pStyle w:val="ac"/>
      </w:pPr>
      <w:r>
        <w:rPr>
          <w:rFonts w:hint="cs"/>
          <w:rtl/>
        </w:rPr>
        <w:t>1</w:t>
      </w:r>
      <w:r>
        <w:rPr>
          <w:rtl/>
        </w:rPr>
        <w:t xml:space="preserve">ـ </w:t>
      </w:r>
      <w:r>
        <w:rPr>
          <w:rtl/>
          <w:lang w:bidi="fa-IR"/>
        </w:rPr>
        <w:t>أ</w:t>
      </w:r>
      <w:r>
        <w:rPr>
          <w:rFonts w:hint="cs"/>
          <w:rtl/>
          <w:lang w:bidi="fa-IR"/>
        </w:rPr>
        <w:t>ُ</w:t>
      </w:r>
      <w:r>
        <w:rPr>
          <w:rtl/>
        </w:rPr>
        <w:t>مهات المؤمنين و</w:t>
      </w:r>
      <w:r>
        <w:rPr>
          <w:rtl/>
          <w:lang w:bidi="fa-IR"/>
        </w:rPr>
        <w:t>أ</w:t>
      </w:r>
      <w:r>
        <w:rPr>
          <w:rtl/>
        </w:rPr>
        <w:t>خوات الشهداء</w:t>
      </w:r>
      <w:r>
        <w:rPr>
          <w:rtl/>
          <w:lang w:bidi="fa-IR"/>
        </w:rPr>
        <w:t>،</w:t>
      </w:r>
      <w:r>
        <w:rPr>
          <w:rtl/>
        </w:rPr>
        <w:t xml:space="preserve"> القاهر</w:t>
      </w:r>
      <w:r>
        <w:rPr>
          <w:rtl/>
          <w:lang w:bidi="fa-IR"/>
        </w:rPr>
        <w:t>ة،</w:t>
      </w:r>
      <w:r>
        <w:rPr>
          <w:rtl/>
        </w:rPr>
        <w:t xml:space="preserve"> 1947</w:t>
      </w:r>
      <w:r>
        <w:rPr>
          <w:rFonts w:hint="cs"/>
          <w:rtl/>
        </w:rPr>
        <w:t>.</w:t>
      </w:r>
      <w:r>
        <w:rPr>
          <w:rtl/>
        </w:rPr>
        <w:t xml:space="preserve"> </w:t>
      </w:r>
    </w:p>
    <w:p w:rsidR="00DD23C6" w:rsidRDefault="00DD23C6" w:rsidP="00DD23C6">
      <w:pPr>
        <w:pStyle w:val="ac"/>
        <w:rPr>
          <w:rtl/>
        </w:rPr>
      </w:pPr>
      <w:r>
        <w:rPr>
          <w:rtl/>
        </w:rPr>
        <w:t xml:space="preserve">2ـ </w:t>
      </w:r>
      <w:r>
        <w:rPr>
          <w:rtl/>
          <w:lang w:bidi="fa-IR"/>
        </w:rPr>
        <w:t>إ</w:t>
      </w:r>
      <w:r>
        <w:rPr>
          <w:rtl/>
        </w:rPr>
        <w:t>نصاف المرأ</w:t>
      </w:r>
      <w:r>
        <w:rPr>
          <w:rtl/>
          <w:lang w:bidi="fa-IR"/>
        </w:rPr>
        <w:t>ة،</w:t>
      </w:r>
      <w:r>
        <w:rPr>
          <w:rtl/>
        </w:rPr>
        <w:t xml:space="preserve"> دمشق</w:t>
      </w:r>
      <w:r>
        <w:rPr>
          <w:rtl/>
          <w:lang w:bidi="fa-IR"/>
        </w:rPr>
        <w:t>،</w:t>
      </w:r>
      <w:r>
        <w:rPr>
          <w:rtl/>
        </w:rPr>
        <w:t xml:space="preserve"> 1950</w:t>
      </w:r>
      <w:r>
        <w:rPr>
          <w:rFonts w:hint="cs"/>
          <w:rtl/>
        </w:rPr>
        <w:t>.</w:t>
      </w:r>
      <w:r>
        <w:rPr>
          <w:rtl/>
        </w:rPr>
        <w:t xml:space="preserve"> </w:t>
      </w:r>
    </w:p>
    <w:p w:rsidR="00DD23C6" w:rsidRDefault="00DD23C6" w:rsidP="00DD23C6">
      <w:pPr>
        <w:pStyle w:val="ac"/>
        <w:rPr>
          <w:rtl/>
        </w:rPr>
      </w:pPr>
      <w:r>
        <w:rPr>
          <w:rtl/>
        </w:rPr>
        <w:t>3ـ نساء شهيرات ف</w:t>
      </w:r>
      <w:r>
        <w:rPr>
          <w:rtl/>
          <w:lang w:bidi="fa-IR"/>
        </w:rPr>
        <w:t>ي</w:t>
      </w:r>
      <w:r>
        <w:rPr>
          <w:rtl/>
        </w:rPr>
        <w:t xml:space="preserve"> الشرق والغرب</w:t>
      </w:r>
      <w:r>
        <w:rPr>
          <w:rtl/>
          <w:lang w:bidi="fa-IR"/>
        </w:rPr>
        <w:t>،</w:t>
      </w:r>
      <w:r>
        <w:rPr>
          <w:rtl/>
        </w:rPr>
        <w:t xml:space="preserve"> القاهر</w:t>
      </w:r>
      <w:r>
        <w:rPr>
          <w:rtl/>
          <w:lang w:bidi="fa-IR"/>
        </w:rPr>
        <w:t>ة،</w:t>
      </w:r>
      <w:r>
        <w:rPr>
          <w:rtl/>
        </w:rPr>
        <w:t xml:space="preserve"> 1960</w:t>
      </w:r>
      <w:r>
        <w:rPr>
          <w:rFonts w:hint="cs"/>
          <w:rtl/>
        </w:rPr>
        <w:t>.</w:t>
      </w:r>
      <w:r>
        <w:rPr>
          <w:rtl/>
        </w:rPr>
        <w:t xml:space="preserve"> </w:t>
      </w:r>
    </w:p>
    <w:p w:rsidR="00DD23C6" w:rsidRDefault="00DD23C6" w:rsidP="00DD23C6">
      <w:pPr>
        <w:pStyle w:val="ac"/>
        <w:rPr>
          <w:rtl/>
        </w:rPr>
      </w:pPr>
      <w:r>
        <w:rPr>
          <w:rtl/>
        </w:rPr>
        <w:t>4ـ م</w:t>
      </w:r>
      <w:r>
        <w:rPr>
          <w:rtl/>
          <w:lang w:bidi="fa-IR"/>
        </w:rPr>
        <w:t>ي</w:t>
      </w:r>
      <w:r>
        <w:rPr>
          <w:rtl/>
        </w:rPr>
        <w:t xml:space="preserve"> زيا</w:t>
      </w:r>
      <w:r>
        <w:rPr>
          <w:rtl/>
          <w:lang w:bidi="fa-IR"/>
        </w:rPr>
        <w:t>دة</w:t>
      </w:r>
      <w:r>
        <w:rPr>
          <w:rtl/>
        </w:rPr>
        <w:t xml:space="preserve"> ف</w:t>
      </w:r>
      <w:r>
        <w:rPr>
          <w:rtl/>
          <w:lang w:bidi="fa-IR"/>
        </w:rPr>
        <w:t>ي</w:t>
      </w:r>
      <w:r>
        <w:rPr>
          <w:rtl/>
        </w:rPr>
        <w:t xml:space="preserve"> حياتها وآثارها</w:t>
      </w:r>
      <w:r>
        <w:rPr>
          <w:rtl/>
          <w:lang w:bidi="fa-IR"/>
        </w:rPr>
        <w:t>، دمشق،</w:t>
      </w:r>
      <w:r>
        <w:rPr>
          <w:rtl/>
        </w:rPr>
        <w:t>1970</w:t>
      </w:r>
      <w:r>
        <w:rPr>
          <w:rFonts w:hint="cs"/>
          <w:rtl/>
        </w:rPr>
        <w:t>.</w:t>
      </w:r>
      <w:r>
        <w:rPr>
          <w:rtl/>
        </w:rPr>
        <w:t xml:space="preserve"> </w:t>
      </w:r>
    </w:p>
    <w:p w:rsidR="00DD23C6" w:rsidRDefault="00DD23C6" w:rsidP="00C86626">
      <w:pPr>
        <w:pStyle w:val="ac"/>
        <w:rPr>
          <w:rtl/>
        </w:rPr>
      </w:pPr>
      <w:r>
        <w:rPr>
          <w:rtl/>
        </w:rPr>
        <w:t>5ـ بنات الرسول</w:t>
      </w:r>
      <w:r w:rsidR="00C86626">
        <w:rPr>
          <w:rFonts w:hint="cs"/>
          <w:rtl/>
        </w:rPr>
        <w:t>’</w:t>
      </w:r>
      <w:r>
        <w:rPr>
          <w:rtl/>
          <w:lang w:bidi="fa-IR"/>
        </w:rPr>
        <w:t>،</w:t>
      </w:r>
      <w:r>
        <w:rPr>
          <w:rtl/>
        </w:rPr>
        <w:t xml:space="preserve"> القاهر</w:t>
      </w:r>
      <w:r>
        <w:rPr>
          <w:rtl/>
          <w:lang w:bidi="fa-IR"/>
        </w:rPr>
        <w:t xml:space="preserve">ة، </w:t>
      </w:r>
      <w:r>
        <w:rPr>
          <w:rtl/>
        </w:rPr>
        <w:t>1969</w:t>
      </w:r>
      <w:r>
        <w:rPr>
          <w:rFonts w:hint="cs"/>
          <w:rtl/>
        </w:rPr>
        <w:t>.</w:t>
      </w:r>
      <w:r>
        <w:rPr>
          <w:rtl/>
        </w:rPr>
        <w:t xml:space="preserve"> </w:t>
      </w:r>
    </w:p>
    <w:p w:rsidR="00DD23C6" w:rsidRDefault="00DD23C6" w:rsidP="00DD23C6">
      <w:pPr>
        <w:pStyle w:val="ac"/>
        <w:rPr>
          <w:rtl/>
        </w:rPr>
      </w:pPr>
      <w:r>
        <w:rPr>
          <w:rtl/>
        </w:rPr>
        <w:t xml:space="preserve">6ـ سابقات العصر </w:t>
      </w:r>
      <w:r>
        <w:rPr>
          <w:rFonts w:hint="cs"/>
          <w:rtl/>
        </w:rPr>
        <w:t>و</w:t>
      </w:r>
      <w:r>
        <w:rPr>
          <w:rtl/>
        </w:rPr>
        <w:t>عياً وسعياً وفناً</w:t>
      </w:r>
      <w:r>
        <w:rPr>
          <w:rtl/>
          <w:lang w:bidi="fa-IR"/>
        </w:rPr>
        <w:t>،</w:t>
      </w:r>
      <w:r>
        <w:rPr>
          <w:rtl/>
        </w:rPr>
        <w:t xml:space="preserve"> دمشق</w:t>
      </w:r>
      <w:r>
        <w:rPr>
          <w:rtl/>
          <w:lang w:bidi="fa-IR"/>
        </w:rPr>
        <w:t>،</w:t>
      </w:r>
      <w:r>
        <w:rPr>
          <w:rtl/>
        </w:rPr>
        <w:t xml:space="preserve"> 1989</w:t>
      </w:r>
      <w:r>
        <w:rPr>
          <w:rFonts w:hint="cs"/>
          <w:rtl/>
        </w:rPr>
        <w:t>.</w:t>
      </w:r>
    </w:p>
    <w:p w:rsidR="00DD23C6" w:rsidRDefault="00DD23C6" w:rsidP="00DD23C6">
      <w:pPr>
        <w:pStyle w:val="ac"/>
        <w:rPr>
          <w:rtl/>
          <w:lang w:bidi="fa-IR"/>
        </w:rPr>
      </w:pPr>
      <w:r>
        <w:rPr>
          <w:rtl/>
        </w:rPr>
        <w:t>7ـ العاشق</w:t>
      </w:r>
      <w:r>
        <w:rPr>
          <w:rtl/>
          <w:lang w:bidi="fa-IR"/>
        </w:rPr>
        <w:t>ة</w:t>
      </w:r>
      <w:r>
        <w:rPr>
          <w:rtl/>
        </w:rPr>
        <w:t xml:space="preserve"> المتصوف</w:t>
      </w:r>
      <w:r>
        <w:rPr>
          <w:rtl/>
          <w:lang w:bidi="fa-IR"/>
        </w:rPr>
        <w:t>ة</w:t>
      </w:r>
      <w:r>
        <w:rPr>
          <w:rtl/>
        </w:rPr>
        <w:t xml:space="preserve"> رابع</w:t>
      </w:r>
      <w:r>
        <w:rPr>
          <w:rtl/>
          <w:lang w:bidi="fa-IR"/>
        </w:rPr>
        <w:t>ة</w:t>
      </w:r>
      <w:r>
        <w:rPr>
          <w:rtl/>
        </w:rPr>
        <w:t xml:space="preserve"> العدوي</w:t>
      </w:r>
      <w:r>
        <w:rPr>
          <w:rtl/>
          <w:lang w:bidi="fa-IR"/>
        </w:rPr>
        <w:t>ة،</w:t>
      </w:r>
      <w:r>
        <w:rPr>
          <w:rtl/>
        </w:rPr>
        <w:t xml:space="preserve"> دمشق</w:t>
      </w:r>
      <w:r>
        <w:rPr>
          <w:rtl/>
          <w:lang w:bidi="fa-IR"/>
        </w:rPr>
        <w:t>،</w:t>
      </w:r>
      <w:r>
        <w:rPr>
          <w:rtl/>
        </w:rPr>
        <w:t xml:space="preserve"> 1989</w:t>
      </w:r>
      <w:r>
        <w:rPr>
          <w:rFonts w:hint="cs"/>
          <w:rtl/>
        </w:rPr>
        <w:t>.</w:t>
      </w:r>
      <w:r>
        <w:rPr>
          <w:rtl/>
        </w:rPr>
        <w:t xml:space="preserve"> </w:t>
      </w:r>
    </w:p>
    <w:p w:rsidR="00DD23C6" w:rsidRDefault="00DD23C6" w:rsidP="00DD23C6">
      <w:pPr>
        <w:pStyle w:val="ac"/>
        <w:rPr>
          <w:rtl/>
        </w:rPr>
      </w:pPr>
      <w:r>
        <w:rPr>
          <w:rtl/>
          <w:lang w:bidi="fa-IR"/>
        </w:rPr>
        <w:t>والحقيقة أنّ أعمالها لم تكن حكراً على المرأة واهتماماتها، بل وجد الرجل حيّزاً لا بأس به في أعمالها، من ذلك دراسة حياة وأعمال الكاتب قاسم أمين</w:t>
      </w:r>
      <w:r>
        <w:rPr>
          <w:rFonts w:hint="cs"/>
          <w:rtl/>
          <w:lang w:bidi="fa-IR"/>
        </w:rPr>
        <w:t>،</w:t>
      </w:r>
      <w:r>
        <w:rPr>
          <w:rtl/>
          <w:lang w:bidi="fa-IR"/>
        </w:rPr>
        <w:t xml:space="preserve"> منظّر حركة الحقوق النسائية المعاصرة، والتي تأثّرت بكتاباته وأفكاره وتقول:</w:t>
      </w:r>
      <w:r>
        <w:rPr>
          <w:rFonts w:hint="cs"/>
          <w:rtl/>
          <w:lang w:bidi="fa-IR"/>
        </w:rPr>
        <w:t xml:space="preserve"> </w:t>
      </w:r>
      <w:r w:rsidRPr="00885E99">
        <w:rPr>
          <w:rtl/>
        </w:rPr>
        <w:t>«</w:t>
      </w:r>
      <w:r>
        <w:rPr>
          <w:rtl/>
        </w:rPr>
        <w:t xml:space="preserve">طريقنا </w:t>
      </w:r>
      <w:r>
        <w:rPr>
          <w:rFonts w:hint="cs"/>
          <w:rtl/>
        </w:rPr>
        <w:t>إلى المجد النسوي</w:t>
      </w:r>
      <w:r>
        <w:rPr>
          <w:rtl/>
        </w:rPr>
        <w:t xml:space="preserve"> المنشود أن </w:t>
      </w:r>
      <w:r>
        <w:rPr>
          <w:rFonts w:hint="cs"/>
          <w:rtl/>
        </w:rPr>
        <w:t>نكون</w:t>
      </w:r>
      <w:r>
        <w:rPr>
          <w:rtl/>
        </w:rPr>
        <w:t xml:space="preserve"> خير</w:t>
      </w:r>
      <w:r>
        <w:rPr>
          <w:rtl/>
          <w:lang w:bidi="fa-IR"/>
        </w:rPr>
        <w:t xml:space="preserve"> </w:t>
      </w:r>
      <w:r>
        <w:rPr>
          <w:rtl/>
        </w:rPr>
        <w:t>ال</w:t>
      </w:r>
      <w:r>
        <w:rPr>
          <w:rtl/>
          <w:lang w:bidi="fa-IR"/>
        </w:rPr>
        <w:t>أ</w:t>
      </w:r>
      <w:r>
        <w:rPr>
          <w:rtl/>
        </w:rPr>
        <w:t>مهات والزوجات</w:t>
      </w:r>
      <w:r>
        <w:rPr>
          <w:rFonts w:hint="cs"/>
          <w:rtl/>
        </w:rPr>
        <w:t>،</w:t>
      </w:r>
      <w:r>
        <w:rPr>
          <w:rtl/>
        </w:rPr>
        <w:t xml:space="preserve"> و</w:t>
      </w:r>
      <w:r>
        <w:rPr>
          <w:rtl/>
          <w:lang w:bidi="fa-IR"/>
        </w:rPr>
        <w:t>أ</w:t>
      </w:r>
      <w:r>
        <w:rPr>
          <w:rtl/>
        </w:rPr>
        <w:t xml:space="preserve">خلص المديرات </w:t>
      </w:r>
      <w:r>
        <w:rPr>
          <w:rFonts w:hint="cs"/>
          <w:rtl/>
        </w:rPr>
        <w:t>والمربيات للبيوت وال</w:t>
      </w:r>
      <w:r>
        <w:rPr>
          <w:rtl/>
          <w:lang w:bidi="fa-IR"/>
        </w:rPr>
        <w:t>أ</w:t>
      </w:r>
      <w:r>
        <w:rPr>
          <w:rtl/>
        </w:rPr>
        <w:t>بناء</w:t>
      </w:r>
      <w:r>
        <w:rPr>
          <w:rFonts w:hint="cs"/>
          <w:rtl/>
        </w:rPr>
        <w:t>،وأوفى المجاهد</w:t>
      </w:r>
      <w:r>
        <w:rPr>
          <w:rtl/>
        </w:rPr>
        <w:t>ات للعروب</w:t>
      </w:r>
      <w:r>
        <w:rPr>
          <w:rtl/>
          <w:lang w:bidi="fa-IR"/>
        </w:rPr>
        <w:t>ة</w:t>
      </w:r>
      <w:r>
        <w:rPr>
          <w:rtl/>
        </w:rPr>
        <w:t xml:space="preserve"> والوطن</w:t>
      </w:r>
      <w:r>
        <w:rPr>
          <w:rFonts w:hint="cs"/>
          <w:rtl/>
        </w:rPr>
        <w:t>،</w:t>
      </w:r>
      <w:r>
        <w:rPr>
          <w:rtl/>
        </w:rPr>
        <w:t xml:space="preserve"> </w:t>
      </w:r>
      <w:r>
        <w:rPr>
          <w:rFonts w:hint="cs"/>
          <w:rtl/>
        </w:rPr>
        <w:t>وعلى أن لا نهجم على زهد النهض</w:t>
      </w:r>
      <w:r>
        <w:rPr>
          <w:rtl/>
          <w:lang w:bidi="fa-IR"/>
        </w:rPr>
        <w:t>ة</w:t>
      </w:r>
      <w:r>
        <w:rPr>
          <w:rtl/>
        </w:rPr>
        <w:t xml:space="preserve"> هجوم </w:t>
      </w:r>
      <w:r>
        <w:rPr>
          <w:rtl/>
        </w:rPr>
        <w:lastRenderedPageBreak/>
        <w:t xml:space="preserve">الجياع </w:t>
      </w:r>
      <w:r>
        <w:rPr>
          <w:rFonts w:hint="cs"/>
          <w:rtl/>
        </w:rPr>
        <w:t xml:space="preserve">على القصاع، فما كل </w:t>
      </w:r>
      <w:r>
        <w:rPr>
          <w:rFonts w:hint="cs"/>
          <w:rtl/>
          <w:lang w:bidi="fa-IR"/>
        </w:rPr>
        <w:t>ا</w:t>
      </w:r>
      <w:r>
        <w:rPr>
          <w:rtl/>
        </w:rPr>
        <w:t>مرأ</w:t>
      </w:r>
      <w:r>
        <w:rPr>
          <w:rtl/>
          <w:lang w:bidi="fa-IR"/>
        </w:rPr>
        <w:t>ة</w:t>
      </w:r>
      <w:r>
        <w:rPr>
          <w:rtl/>
        </w:rPr>
        <w:t xml:space="preserve"> </w:t>
      </w:r>
      <w:r>
        <w:rPr>
          <w:rFonts w:hint="cs"/>
          <w:rtl/>
        </w:rPr>
        <w:t>ينبغي أن تكون زعيم</w:t>
      </w:r>
      <w:r>
        <w:rPr>
          <w:rtl/>
          <w:lang w:bidi="fa-IR"/>
        </w:rPr>
        <w:t>ة</w:t>
      </w:r>
      <w:r>
        <w:rPr>
          <w:rtl/>
        </w:rPr>
        <w:t xml:space="preserve"> </w:t>
      </w:r>
      <w:r>
        <w:rPr>
          <w:rtl/>
          <w:lang w:bidi="fa-IR"/>
        </w:rPr>
        <w:t>أ</w:t>
      </w:r>
      <w:r>
        <w:rPr>
          <w:rtl/>
        </w:rPr>
        <w:t>و</w:t>
      </w:r>
      <w:r>
        <w:rPr>
          <w:rtl/>
          <w:lang w:bidi="fa-IR"/>
        </w:rPr>
        <w:t xml:space="preserve"> </w:t>
      </w:r>
      <w:r>
        <w:rPr>
          <w:rFonts w:hint="cs"/>
          <w:rtl/>
        </w:rPr>
        <w:t>معلمة،</w:t>
      </w:r>
      <w:r>
        <w:rPr>
          <w:rtl/>
        </w:rPr>
        <w:t xml:space="preserve"> ولا</w:t>
      </w:r>
      <w:r>
        <w:rPr>
          <w:rtl/>
          <w:lang w:bidi="fa-IR"/>
        </w:rPr>
        <w:t xml:space="preserve"> </w:t>
      </w:r>
      <w:r>
        <w:rPr>
          <w:rFonts w:hint="cs"/>
          <w:rtl/>
        </w:rPr>
        <w:t>كل</w:t>
      </w:r>
      <w:r>
        <w:rPr>
          <w:rtl/>
        </w:rPr>
        <w:t xml:space="preserve"> سيد</w:t>
      </w:r>
      <w:r>
        <w:rPr>
          <w:rtl/>
          <w:lang w:bidi="fa-IR"/>
        </w:rPr>
        <w:t>ة</w:t>
      </w:r>
      <w:r>
        <w:rPr>
          <w:rtl/>
        </w:rPr>
        <w:t xml:space="preserve"> </w:t>
      </w:r>
      <w:r>
        <w:rPr>
          <w:rFonts w:hint="cs"/>
          <w:rtl/>
        </w:rPr>
        <w:t>يجب أن تصير طبيب</w:t>
      </w:r>
      <w:r>
        <w:rPr>
          <w:rtl/>
          <w:lang w:bidi="fa-IR"/>
        </w:rPr>
        <w:t>ة</w:t>
      </w:r>
      <w:r>
        <w:rPr>
          <w:rtl/>
        </w:rPr>
        <w:t xml:space="preserve"> أو موظف</w:t>
      </w:r>
      <w:r>
        <w:rPr>
          <w:rtl/>
          <w:lang w:bidi="fa-IR"/>
        </w:rPr>
        <w:t>ة</w:t>
      </w:r>
      <w:r>
        <w:rPr>
          <w:rFonts w:hint="cs"/>
          <w:rtl/>
          <w:lang w:bidi="fa-IR"/>
        </w:rPr>
        <w:t>،</w:t>
      </w:r>
      <w:r>
        <w:rPr>
          <w:rtl/>
        </w:rPr>
        <w:t xml:space="preserve"> </w:t>
      </w:r>
      <w:r>
        <w:rPr>
          <w:rFonts w:hint="cs"/>
          <w:rtl/>
        </w:rPr>
        <w:t>فكل</w:t>
      </w:r>
      <w:r>
        <w:rPr>
          <w:rtl/>
        </w:rPr>
        <w:t xml:space="preserve"> من النساء لما خلقت له من </w:t>
      </w:r>
      <w:r>
        <w:rPr>
          <w:rtl/>
          <w:lang w:bidi="fa-IR"/>
        </w:rPr>
        <w:t>أ</w:t>
      </w:r>
      <w:r>
        <w:rPr>
          <w:rtl/>
        </w:rPr>
        <w:t>موم</w:t>
      </w:r>
      <w:r>
        <w:rPr>
          <w:rtl/>
          <w:lang w:bidi="fa-IR"/>
        </w:rPr>
        <w:t>ة</w:t>
      </w:r>
      <w:r>
        <w:rPr>
          <w:rtl/>
        </w:rPr>
        <w:t xml:space="preserve"> </w:t>
      </w:r>
      <w:r>
        <w:rPr>
          <w:rtl/>
          <w:lang w:bidi="fa-IR"/>
        </w:rPr>
        <w:t>أ</w:t>
      </w:r>
      <w:r>
        <w:rPr>
          <w:rtl/>
        </w:rPr>
        <w:t>و</w:t>
      </w:r>
      <w:r>
        <w:rPr>
          <w:rtl/>
          <w:lang w:bidi="fa-IR"/>
        </w:rPr>
        <w:t xml:space="preserve"> </w:t>
      </w:r>
      <w:r>
        <w:rPr>
          <w:rtl/>
        </w:rPr>
        <w:t>زعام</w:t>
      </w:r>
      <w:r>
        <w:rPr>
          <w:rtl/>
          <w:lang w:bidi="fa-IR"/>
        </w:rPr>
        <w:t>ة</w:t>
      </w:r>
      <w:r>
        <w:rPr>
          <w:rtl/>
        </w:rPr>
        <w:t xml:space="preserve"> من تدبير للمنزل </w:t>
      </w:r>
      <w:r>
        <w:rPr>
          <w:rtl/>
          <w:lang w:bidi="fa-IR"/>
        </w:rPr>
        <w:t>أ</w:t>
      </w:r>
      <w:r>
        <w:rPr>
          <w:rtl/>
        </w:rPr>
        <w:t>و تمر</w:t>
      </w:r>
      <w:r>
        <w:rPr>
          <w:rFonts w:hint="cs"/>
          <w:rtl/>
          <w:lang w:bidi="fa-IR"/>
        </w:rPr>
        <w:t>ّ</w:t>
      </w:r>
      <w:r>
        <w:rPr>
          <w:rtl/>
        </w:rPr>
        <w:t xml:space="preserve">س بالفنون </w:t>
      </w:r>
      <w:r>
        <w:rPr>
          <w:rtl/>
          <w:lang w:bidi="fa-IR"/>
        </w:rPr>
        <w:t>أ</w:t>
      </w:r>
      <w:r>
        <w:rPr>
          <w:rtl/>
        </w:rPr>
        <w:t>و</w:t>
      </w:r>
      <w:r>
        <w:rPr>
          <w:rtl/>
          <w:lang w:bidi="fa-IR"/>
        </w:rPr>
        <w:t xml:space="preserve"> </w:t>
      </w:r>
      <w:r>
        <w:rPr>
          <w:rtl/>
        </w:rPr>
        <w:t>القضايا ال</w:t>
      </w:r>
      <w:r>
        <w:rPr>
          <w:rFonts w:hint="cs"/>
          <w:rtl/>
          <w:lang w:bidi="fa-IR"/>
        </w:rPr>
        <w:t>ا</w:t>
      </w:r>
      <w:r>
        <w:rPr>
          <w:rtl/>
        </w:rPr>
        <w:t>جتماعي</w:t>
      </w:r>
      <w:r>
        <w:rPr>
          <w:rtl/>
          <w:lang w:bidi="fa-IR"/>
        </w:rPr>
        <w:t>ة</w:t>
      </w:r>
      <w:r>
        <w:rPr>
          <w:rtl/>
        </w:rPr>
        <w:t xml:space="preserve"> وال</w:t>
      </w:r>
      <w:r>
        <w:rPr>
          <w:rtl/>
          <w:lang w:bidi="fa-IR"/>
        </w:rPr>
        <w:t>إ</w:t>
      </w:r>
      <w:r>
        <w:rPr>
          <w:rtl/>
        </w:rPr>
        <w:t>نساني</w:t>
      </w:r>
      <w:r>
        <w:rPr>
          <w:rtl/>
          <w:lang w:bidi="fa-IR"/>
        </w:rPr>
        <w:t>ة</w:t>
      </w:r>
      <w:r>
        <w:rPr>
          <w:rtl/>
        </w:rPr>
        <w:t>».</w:t>
      </w:r>
    </w:p>
    <w:p w:rsidR="00DD23C6" w:rsidRDefault="00DD23C6" w:rsidP="00DD23C6">
      <w:pPr>
        <w:pStyle w:val="ac"/>
        <w:rPr>
          <w:rtl/>
          <w:lang w:bidi="fa-IR"/>
        </w:rPr>
      </w:pPr>
      <w:r>
        <w:rPr>
          <w:rtl/>
          <w:lang w:bidi="fa-IR"/>
        </w:rPr>
        <w:t xml:space="preserve"> علاوة على ذلك، للسيدة وداد السكاكيني </w:t>
      </w:r>
      <w:r>
        <w:rPr>
          <w:rFonts w:hint="cs"/>
          <w:rtl/>
          <w:lang w:bidi="fa-IR"/>
        </w:rPr>
        <w:t>سبعة</w:t>
      </w:r>
      <w:r>
        <w:rPr>
          <w:rtl/>
          <w:lang w:bidi="fa-IR"/>
        </w:rPr>
        <w:t xml:space="preserve"> أعمال قصصية</w:t>
      </w:r>
      <w:r>
        <w:rPr>
          <w:rFonts w:hint="cs"/>
          <w:rtl/>
          <w:lang w:bidi="fa-IR"/>
        </w:rPr>
        <w:t>،</w:t>
      </w:r>
      <w:r>
        <w:rPr>
          <w:rtl/>
          <w:lang w:bidi="fa-IR"/>
        </w:rPr>
        <w:t xml:space="preserve"> طبعت جميعها و</w:t>
      </w:r>
      <w:r>
        <w:rPr>
          <w:rFonts w:hint="cs"/>
          <w:rtl/>
          <w:lang w:bidi="ar-IQ"/>
        </w:rPr>
        <w:t>هي</w:t>
      </w:r>
      <w:r>
        <w:rPr>
          <w:rtl/>
          <w:lang w:bidi="fa-IR"/>
        </w:rPr>
        <w:t>:</w:t>
      </w:r>
    </w:p>
    <w:p w:rsidR="00DD23C6" w:rsidRDefault="00DD23C6" w:rsidP="00DD23C6">
      <w:pPr>
        <w:pStyle w:val="ac"/>
        <w:rPr>
          <w:rtl/>
        </w:rPr>
      </w:pPr>
      <w:r>
        <w:rPr>
          <w:rtl/>
        </w:rPr>
        <w:t>1ـ أرو</w:t>
      </w:r>
      <w:r>
        <w:rPr>
          <w:rFonts w:cs="Times New Roman" w:hint="cs"/>
          <w:rtl/>
        </w:rPr>
        <w:t>ی</w:t>
      </w:r>
      <w:r>
        <w:rPr>
          <w:rFonts w:hint="cs"/>
          <w:rtl/>
        </w:rPr>
        <w:t xml:space="preserve"> بنت الخطوب</w:t>
      </w:r>
      <w:r>
        <w:rPr>
          <w:rtl/>
          <w:lang w:bidi="fa-IR"/>
        </w:rPr>
        <w:t>،</w:t>
      </w:r>
      <w:r>
        <w:rPr>
          <w:rtl/>
        </w:rPr>
        <w:t xml:space="preserve"> القاهر</w:t>
      </w:r>
      <w:r>
        <w:rPr>
          <w:rtl/>
          <w:lang w:bidi="fa-IR"/>
        </w:rPr>
        <w:t>ة،</w:t>
      </w:r>
      <w:r>
        <w:rPr>
          <w:rtl/>
        </w:rPr>
        <w:t xml:space="preserve"> 1946</w:t>
      </w:r>
      <w:r>
        <w:rPr>
          <w:rFonts w:hint="cs"/>
          <w:rtl/>
        </w:rPr>
        <w:t>.</w:t>
      </w:r>
    </w:p>
    <w:p w:rsidR="00DD23C6" w:rsidRDefault="00DD23C6" w:rsidP="00DD23C6">
      <w:pPr>
        <w:pStyle w:val="ac"/>
        <w:rPr>
          <w:rtl/>
        </w:rPr>
      </w:pPr>
      <w:r>
        <w:rPr>
          <w:rtl/>
        </w:rPr>
        <w:t>2ـ بين النيل والنخيل</w:t>
      </w:r>
      <w:r>
        <w:rPr>
          <w:rtl/>
          <w:lang w:bidi="fa-IR"/>
        </w:rPr>
        <w:t>،</w:t>
      </w:r>
      <w:r>
        <w:rPr>
          <w:rtl/>
        </w:rPr>
        <w:t xml:space="preserve"> القاهر</w:t>
      </w:r>
      <w:r>
        <w:rPr>
          <w:rtl/>
          <w:lang w:bidi="fa-IR"/>
        </w:rPr>
        <w:t>ة،</w:t>
      </w:r>
      <w:r>
        <w:rPr>
          <w:rtl/>
        </w:rPr>
        <w:t xml:space="preserve"> 1947</w:t>
      </w:r>
      <w:r>
        <w:rPr>
          <w:rFonts w:hint="cs"/>
          <w:rtl/>
        </w:rPr>
        <w:t>.</w:t>
      </w:r>
    </w:p>
    <w:p w:rsidR="00DD23C6" w:rsidRDefault="00DD23C6" w:rsidP="00DD23C6">
      <w:pPr>
        <w:pStyle w:val="ac"/>
        <w:rPr>
          <w:rtl/>
          <w:lang w:bidi="fa-IR"/>
        </w:rPr>
      </w:pPr>
      <w:r>
        <w:rPr>
          <w:rtl/>
        </w:rPr>
        <w:t>3ـ الحبّ المحر</w:t>
      </w:r>
      <w:r>
        <w:rPr>
          <w:rFonts w:hint="cs"/>
          <w:rtl/>
        </w:rPr>
        <w:t>ّ</w:t>
      </w:r>
      <w:r>
        <w:rPr>
          <w:rtl/>
        </w:rPr>
        <w:t>م</w:t>
      </w:r>
      <w:r>
        <w:rPr>
          <w:rtl/>
          <w:lang w:bidi="fa-IR"/>
        </w:rPr>
        <w:t>،</w:t>
      </w:r>
      <w:r>
        <w:rPr>
          <w:rtl/>
        </w:rPr>
        <w:t xml:space="preserve"> القاهر</w:t>
      </w:r>
      <w:r>
        <w:rPr>
          <w:rtl/>
          <w:lang w:bidi="fa-IR"/>
        </w:rPr>
        <w:t>ة،</w:t>
      </w:r>
      <w:r>
        <w:rPr>
          <w:rtl/>
        </w:rPr>
        <w:t xml:space="preserve"> 1947</w:t>
      </w:r>
      <w:r>
        <w:rPr>
          <w:rFonts w:hint="cs"/>
          <w:rtl/>
        </w:rPr>
        <w:t>.</w:t>
      </w:r>
    </w:p>
    <w:p w:rsidR="00DD23C6" w:rsidRDefault="00DD23C6" w:rsidP="00DD23C6">
      <w:pPr>
        <w:pStyle w:val="ac"/>
        <w:rPr>
          <w:rtl/>
        </w:rPr>
      </w:pPr>
      <w:r>
        <w:rPr>
          <w:rtl/>
        </w:rPr>
        <w:t>4ـ الستار</w:t>
      </w:r>
      <w:r>
        <w:rPr>
          <w:rFonts w:hint="cs"/>
          <w:rtl/>
        </w:rPr>
        <w:t xml:space="preserve"> </w:t>
      </w:r>
      <w:r>
        <w:rPr>
          <w:rtl/>
        </w:rPr>
        <w:t>المرفوع</w:t>
      </w:r>
      <w:r>
        <w:rPr>
          <w:rtl/>
          <w:lang w:bidi="fa-IR"/>
        </w:rPr>
        <w:t>،</w:t>
      </w:r>
      <w:r>
        <w:rPr>
          <w:rtl/>
        </w:rPr>
        <w:t xml:space="preserve"> القاهر</w:t>
      </w:r>
      <w:r>
        <w:rPr>
          <w:rtl/>
          <w:lang w:bidi="fa-IR"/>
        </w:rPr>
        <w:t>ة،</w:t>
      </w:r>
      <w:r>
        <w:rPr>
          <w:rtl/>
        </w:rPr>
        <w:t xml:space="preserve"> 1955</w:t>
      </w:r>
      <w:r>
        <w:rPr>
          <w:rFonts w:hint="cs"/>
          <w:rtl/>
        </w:rPr>
        <w:t>.</w:t>
      </w:r>
    </w:p>
    <w:p w:rsidR="00DD23C6" w:rsidRDefault="00DD23C6" w:rsidP="00DD23C6">
      <w:pPr>
        <w:pStyle w:val="ac"/>
        <w:rPr>
          <w:rtl/>
        </w:rPr>
      </w:pPr>
      <w:r>
        <w:rPr>
          <w:rtl/>
        </w:rPr>
        <w:t>5ـ نفوس تت</w:t>
      </w:r>
      <w:r>
        <w:rPr>
          <w:rFonts w:hint="cs"/>
          <w:rtl/>
        </w:rPr>
        <w:t>كّ</w:t>
      </w:r>
      <w:r>
        <w:rPr>
          <w:rtl/>
          <w:lang w:bidi="fa-IR"/>
        </w:rPr>
        <w:t>ل</w:t>
      </w:r>
      <w:r>
        <w:rPr>
          <w:rtl/>
        </w:rPr>
        <w:t>م</w:t>
      </w:r>
      <w:r>
        <w:rPr>
          <w:rtl/>
          <w:lang w:bidi="fa-IR"/>
        </w:rPr>
        <w:t>،</w:t>
      </w:r>
      <w:r>
        <w:rPr>
          <w:rtl/>
        </w:rPr>
        <w:t xml:space="preserve"> القاهر</w:t>
      </w:r>
      <w:r>
        <w:rPr>
          <w:rtl/>
          <w:lang w:bidi="fa-IR"/>
        </w:rPr>
        <w:t>ة،</w:t>
      </w:r>
      <w:r>
        <w:rPr>
          <w:rtl/>
        </w:rPr>
        <w:t xml:space="preserve"> 1962</w:t>
      </w:r>
      <w:r>
        <w:rPr>
          <w:rFonts w:hint="cs"/>
          <w:rtl/>
        </w:rPr>
        <w:t>.</w:t>
      </w:r>
    </w:p>
    <w:p w:rsidR="00DD23C6" w:rsidRDefault="00DD23C6" w:rsidP="00DD23C6">
      <w:pPr>
        <w:pStyle w:val="ac"/>
        <w:rPr>
          <w:rtl/>
        </w:rPr>
      </w:pPr>
      <w:r>
        <w:rPr>
          <w:rtl/>
        </w:rPr>
        <w:t>6ـ أقو</w:t>
      </w:r>
      <w:r>
        <w:rPr>
          <w:rFonts w:cs="Times New Roman" w:hint="cs"/>
          <w:rtl/>
        </w:rPr>
        <w:t>ی</w:t>
      </w:r>
      <w:r>
        <w:rPr>
          <w:rFonts w:hint="cs"/>
          <w:rtl/>
        </w:rPr>
        <w:t xml:space="preserve"> من السنين</w:t>
      </w:r>
      <w:r>
        <w:rPr>
          <w:rtl/>
          <w:lang w:bidi="fa-IR"/>
        </w:rPr>
        <w:t>،</w:t>
      </w:r>
      <w:r>
        <w:rPr>
          <w:rtl/>
        </w:rPr>
        <w:t xml:space="preserve"> دمشق</w:t>
      </w:r>
      <w:r>
        <w:rPr>
          <w:rtl/>
          <w:lang w:bidi="fa-IR"/>
        </w:rPr>
        <w:t>،</w:t>
      </w:r>
      <w:r>
        <w:rPr>
          <w:rtl/>
        </w:rPr>
        <w:t xml:space="preserve"> 1978</w:t>
      </w:r>
      <w:r>
        <w:rPr>
          <w:rFonts w:hint="cs"/>
          <w:rtl/>
        </w:rPr>
        <w:t>.</w:t>
      </w:r>
    </w:p>
    <w:p w:rsidR="00DD23C6" w:rsidRDefault="00DD23C6" w:rsidP="00DD23C6">
      <w:pPr>
        <w:pStyle w:val="ac"/>
        <w:rPr>
          <w:rtl/>
          <w:lang w:bidi="fa-IR"/>
        </w:rPr>
      </w:pPr>
      <w:r>
        <w:rPr>
          <w:rtl/>
        </w:rPr>
        <w:t>7ـ مرايا الناس</w:t>
      </w:r>
      <w:r>
        <w:rPr>
          <w:rtl/>
          <w:lang w:bidi="fa-IR"/>
        </w:rPr>
        <w:t>،</w:t>
      </w:r>
      <w:r>
        <w:rPr>
          <w:rtl/>
        </w:rPr>
        <w:t xml:space="preserve"> القاهر</w:t>
      </w:r>
      <w:r>
        <w:rPr>
          <w:rtl/>
          <w:lang w:bidi="fa-IR"/>
        </w:rPr>
        <w:t>ة،</w:t>
      </w:r>
      <w:r>
        <w:rPr>
          <w:rtl/>
        </w:rPr>
        <w:t xml:space="preserve"> 1965</w:t>
      </w:r>
      <w:r>
        <w:rPr>
          <w:rFonts w:hint="cs"/>
          <w:rtl/>
        </w:rPr>
        <w:t>.</w:t>
      </w:r>
    </w:p>
    <w:p w:rsidR="00DD23C6" w:rsidRDefault="00DD23C6" w:rsidP="001D4CB9">
      <w:pPr>
        <w:pStyle w:val="ac"/>
        <w:spacing w:line="206" w:lineRule="auto"/>
        <w:rPr>
          <w:rtl/>
          <w:lang w:bidi="fa-IR"/>
        </w:rPr>
      </w:pPr>
      <w:r>
        <w:rPr>
          <w:rtl/>
          <w:lang w:bidi="fa-IR"/>
        </w:rPr>
        <w:t xml:space="preserve">وممّا لا شكّ فيه أنّ نجاح السكاكيني في مجال كتابة القصة لا يقلّ أهمية عن حضورها في الميادين الاجتماعية والعلمية، والدليل على ذلك فوزها بالمسابقة الفنية التي أقامتها مجلة المكشوف بحضور </w:t>
      </w:r>
      <w:r>
        <w:rPr>
          <w:rFonts w:hint="cs"/>
          <w:rtl/>
          <w:lang w:bidi="fa-IR"/>
        </w:rPr>
        <w:t>تسعة وخمسين</w:t>
      </w:r>
      <w:r>
        <w:rPr>
          <w:rtl/>
          <w:lang w:bidi="fa-IR"/>
        </w:rPr>
        <w:t xml:space="preserve"> من مشاهير الأدب القصصي المعاصرين</w:t>
      </w:r>
      <w:r>
        <w:rPr>
          <w:rFonts w:hint="cs"/>
          <w:rtl/>
          <w:lang w:bidi="fa-IR"/>
        </w:rPr>
        <w:t>،</w:t>
      </w:r>
      <w:r>
        <w:rPr>
          <w:rtl/>
          <w:lang w:bidi="fa-IR"/>
        </w:rPr>
        <w:t xml:space="preserve"> من أمثال خليل تقي الدين، </w:t>
      </w:r>
      <w:r>
        <w:rPr>
          <w:rFonts w:hint="cs"/>
          <w:rtl/>
          <w:lang w:bidi="fa-IR"/>
        </w:rPr>
        <w:t>و</w:t>
      </w:r>
      <w:r>
        <w:rPr>
          <w:rtl/>
          <w:lang w:bidi="fa-IR"/>
        </w:rPr>
        <w:t xml:space="preserve">عمر </w:t>
      </w:r>
      <w:r>
        <w:rPr>
          <w:rFonts w:hint="cs"/>
          <w:rtl/>
          <w:lang w:bidi="fa-IR"/>
        </w:rPr>
        <w:t>ال</w:t>
      </w:r>
      <w:r>
        <w:rPr>
          <w:rtl/>
          <w:lang w:bidi="fa-IR"/>
        </w:rPr>
        <w:t xml:space="preserve">فاخوري، </w:t>
      </w:r>
      <w:r>
        <w:rPr>
          <w:rFonts w:hint="cs"/>
          <w:rtl/>
          <w:lang w:bidi="fa-IR"/>
        </w:rPr>
        <w:t>و</w:t>
      </w:r>
      <w:r>
        <w:rPr>
          <w:rtl/>
          <w:lang w:bidi="fa-IR"/>
        </w:rPr>
        <w:t xml:space="preserve">يوسف غصوب، </w:t>
      </w:r>
      <w:r>
        <w:rPr>
          <w:rFonts w:hint="cs"/>
          <w:rtl/>
          <w:lang w:bidi="fa-IR"/>
        </w:rPr>
        <w:t>و</w:t>
      </w:r>
      <w:r>
        <w:rPr>
          <w:rtl/>
          <w:lang w:bidi="fa-IR"/>
        </w:rPr>
        <w:t xml:space="preserve">بطرس البستاني، </w:t>
      </w:r>
      <w:r>
        <w:rPr>
          <w:rFonts w:hint="cs"/>
          <w:rtl/>
          <w:lang w:bidi="fa-IR"/>
        </w:rPr>
        <w:t>و</w:t>
      </w:r>
      <w:r>
        <w:rPr>
          <w:rtl/>
          <w:lang w:bidi="fa-IR"/>
        </w:rPr>
        <w:t xml:space="preserve">توفيق يوسف عواد، </w:t>
      </w:r>
      <w:r>
        <w:rPr>
          <w:rFonts w:hint="cs"/>
          <w:rtl/>
          <w:lang w:bidi="fa-IR"/>
        </w:rPr>
        <w:t>و</w:t>
      </w:r>
      <w:r>
        <w:rPr>
          <w:rtl/>
          <w:lang w:bidi="fa-IR"/>
        </w:rPr>
        <w:t>فؤاد حبي</w:t>
      </w:r>
      <w:r>
        <w:rPr>
          <w:rFonts w:hint="cs"/>
          <w:rtl/>
          <w:lang w:bidi="fa-IR"/>
        </w:rPr>
        <w:t>ش،</w:t>
      </w:r>
      <w:r>
        <w:rPr>
          <w:rtl/>
          <w:lang w:bidi="fa-IR"/>
        </w:rPr>
        <w:t xml:space="preserve"> وفؤاد إفرام البستاني، ومن خلال هذا الفن الأدبي دخلت وداد السكاكيني في قلب القضايا الاجتماعية، وكما وصفها الناقد المعاصر محمد مندور، بأنّها جعلت من مشاعرها الداخلية الصادقة ووجدانها المرهف حيال هموم المجتمع العربي مركباً لولوج الأدب القصصي.</w:t>
      </w:r>
    </w:p>
    <w:p w:rsidR="00DD23C6" w:rsidRDefault="00DD23C6" w:rsidP="00DD23C6">
      <w:pPr>
        <w:pStyle w:val="ac"/>
        <w:rPr>
          <w:rtl/>
          <w:lang w:bidi="fa-IR"/>
        </w:rPr>
      </w:pPr>
      <w:r>
        <w:rPr>
          <w:rtl/>
          <w:lang w:bidi="fa-IR"/>
        </w:rPr>
        <w:t xml:space="preserve">كانت السيدة وداد </w:t>
      </w:r>
      <w:r>
        <w:rPr>
          <w:rFonts w:hint="cs"/>
          <w:rtl/>
          <w:lang w:bidi="fa-IR"/>
        </w:rPr>
        <w:t>عضوة</w:t>
      </w:r>
      <w:r>
        <w:rPr>
          <w:rtl/>
          <w:lang w:bidi="fa-IR"/>
        </w:rPr>
        <w:t xml:space="preserve"> في جمعية القصة والرواية، ودأبت على نشر أعمالها الأدبية في مجلة المكشوف في بيروت. </w:t>
      </w:r>
    </w:p>
    <w:p w:rsidR="00DD23C6" w:rsidRDefault="00DD23C6" w:rsidP="00DD23C6">
      <w:pPr>
        <w:pStyle w:val="ac"/>
        <w:rPr>
          <w:rtl/>
          <w:lang w:bidi="fa-IR"/>
        </w:rPr>
      </w:pPr>
      <w:r>
        <w:rPr>
          <w:rtl/>
          <w:lang w:bidi="fa-IR"/>
        </w:rPr>
        <w:t>وفي الحقيقة كان وراء انخراط الأديبات اللبنانيات في الفن القصصي عوامل عدّة</w:t>
      </w:r>
      <w:r>
        <w:rPr>
          <w:rFonts w:hint="cs"/>
          <w:rtl/>
          <w:lang w:bidi="fa-IR"/>
        </w:rPr>
        <w:t>،</w:t>
      </w:r>
      <w:r>
        <w:rPr>
          <w:rtl/>
          <w:lang w:bidi="fa-IR"/>
        </w:rPr>
        <w:t xml:space="preserve"> منها القدرة الواسعة لهذا النمط على تحقيق أهداف الحركة الإصلاحية، علاوة على </w:t>
      </w:r>
      <w:r>
        <w:rPr>
          <w:rtl/>
          <w:lang w:bidi="fa-IR"/>
        </w:rPr>
        <w:lastRenderedPageBreak/>
        <w:t xml:space="preserve">عنصر التعددية </w:t>
      </w:r>
      <w:r>
        <w:rPr>
          <w:rFonts w:hint="cs"/>
          <w:rtl/>
          <w:lang w:bidi="fa-IR"/>
        </w:rPr>
        <w:t>الذي</w:t>
      </w:r>
      <w:r>
        <w:rPr>
          <w:rtl/>
          <w:lang w:bidi="fa-IR"/>
        </w:rPr>
        <w:t xml:space="preserve"> تشتمل عليه الرؤية النسوية، </w:t>
      </w:r>
      <w:r>
        <w:rPr>
          <w:rFonts w:hint="cs"/>
          <w:rtl/>
          <w:lang w:bidi="fa-IR"/>
        </w:rPr>
        <w:t>والذي</w:t>
      </w:r>
      <w:r>
        <w:rPr>
          <w:rtl/>
          <w:lang w:bidi="fa-IR"/>
        </w:rPr>
        <w:t xml:space="preserve"> </w:t>
      </w:r>
      <w:r>
        <w:rPr>
          <w:rFonts w:hint="cs"/>
          <w:rtl/>
          <w:lang w:bidi="fa-IR"/>
        </w:rPr>
        <w:t>يبعث</w:t>
      </w:r>
      <w:r>
        <w:rPr>
          <w:rtl/>
          <w:lang w:bidi="fa-IR"/>
        </w:rPr>
        <w:t xml:space="preserve"> على تنوع المضامين وتعدّدها، الأمر الذي يمنح القصة جاذبية وسحراً في عيون القارئ المعاصر، وبالتالي إعادة طبع العديد من الأعمال</w:t>
      </w:r>
      <w:r w:rsidRPr="00815C4C">
        <w:rPr>
          <w:rFonts w:cs="Taher" w:hint="cs"/>
          <w:vertAlign w:val="superscript"/>
          <w:rtl/>
        </w:rPr>
        <w:t>(</w:t>
      </w:r>
      <w:r w:rsidRPr="00815C4C">
        <w:rPr>
          <w:rFonts w:cs="Taher"/>
          <w:vertAlign w:val="superscript"/>
          <w:rtl/>
        </w:rPr>
        <w:footnoteReference w:id="1151"/>
      </w:r>
      <w:r w:rsidRPr="00815C4C">
        <w:rPr>
          <w:rFonts w:cs="Taher" w:hint="cs"/>
          <w:vertAlign w:val="superscript"/>
          <w:rtl/>
        </w:rPr>
        <w:t>)</w:t>
      </w:r>
      <w:r>
        <w:rPr>
          <w:rFonts w:hint="cs"/>
          <w:rtl/>
          <w:lang w:bidi="fa-IR"/>
        </w:rPr>
        <w:t>،</w:t>
      </w:r>
      <w:r>
        <w:rPr>
          <w:rtl/>
          <w:lang w:bidi="fa-IR"/>
        </w:rPr>
        <w:t xml:space="preserve"> وهو ما دفع الناقد شاكر لعيبي إلى الاعتقاد</w:t>
      </w:r>
      <w:r>
        <w:rPr>
          <w:rFonts w:hint="cs"/>
          <w:rtl/>
          <w:lang w:bidi="fa-IR"/>
        </w:rPr>
        <w:t xml:space="preserve"> ـ</w:t>
      </w:r>
      <w:r>
        <w:rPr>
          <w:rtl/>
          <w:lang w:bidi="fa-IR"/>
        </w:rPr>
        <w:t xml:space="preserve"> في مقالة ل</w:t>
      </w:r>
      <w:r>
        <w:rPr>
          <w:rFonts w:hint="cs"/>
          <w:rtl/>
        </w:rPr>
        <w:t>ـ</w:t>
      </w:r>
      <w:r>
        <w:rPr>
          <w:rtl/>
          <w:lang w:bidi="fa-IR"/>
        </w:rPr>
        <w:t>ه</w:t>
      </w:r>
      <w:r>
        <w:rPr>
          <w:rFonts w:hint="cs"/>
          <w:rtl/>
          <w:lang w:bidi="fa-IR"/>
        </w:rPr>
        <w:t xml:space="preserve"> ـ</w:t>
      </w:r>
      <w:r>
        <w:rPr>
          <w:rtl/>
          <w:lang w:bidi="fa-IR"/>
        </w:rPr>
        <w:t xml:space="preserve"> بتفوق النساء على الرجال في مجال الإنتاج القصصي المعاصر</w:t>
      </w:r>
      <w:r w:rsidRPr="00815C4C">
        <w:rPr>
          <w:rFonts w:cs="Taher" w:hint="cs"/>
          <w:vertAlign w:val="superscript"/>
          <w:rtl/>
        </w:rPr>
        <w:t>(</w:t>
      </w:r>
      <w:r w:rsidRPr="00815C4C">
        <w:rPr>
          <w:rFonts w:cs="Taher"/>
          <w:vertAlign w:val="superscript"/>
          <w:rtl/>
        </w:rPr>
        <w:footnoteReference w:id="1152"/>
      </w:r>
      <w:r w:rsidRPr="00815C4C">
        <w:rPr>
          <w:rFonts w:cs="Taher" w:hint="cs"/>
          <w:vertAlign w:val="superscript"/>
          <w:rtl/>
        </w:rPr>
        <w:t>)</w:t>
      </w:r>
      <w:r>
        <w:rPr>
          <w:rtl/>
          <w:lang w:bidi="fa-IR"/>
        </w:rPr>
        <w:t>، هذا على الرغم من أنّ جميع كتّاب القصة قد استفادوا الأساليب ذاتها والتي دخلت على الأدب العربي عبر ترجمة القصص الرومانسية المقتبسة عن الأدب الأوروبي في النصف الثاني من القرن التاسع عشر ونشرها في صحف ومجلات أقطار بلاد الشام</w:t>
      </w:r>
      <w:r>
        <w:rPr>
          <w:rFonts w:hint="cs"/>
          <w:rtl/>
          <w:lang w:bidi="fa-IR"/>
        </w:rPr>
        <w:t>،</w:t>
      </w:r>
      <w:r>
        <w:rPr>
          <w:rtl/>
          <w:lang w:bidi="fa-IR"/>
        </w:rPr>
        <w:t xml:space="preserve"> وبخاصة تلك المطلة على حوض البحر المتوسط</w:t>
      </w:r>
      <w:r w:rsidRPr="00815C4C">
        <w:rPr>
          <w:rFonts w:cs="Taher" w:hint="cs"/>
          <w:vertAlign w:val="superscript"/>
          <w:rtl/>
        </w:rPr>
        <w:t>(</w:t>
      </w:r>
      <w:r w:rsidRPr="00815C4C">
        <w:rPr>
          <w:rFonts w:cs="Taher"/>
          <w:vertAlign w:val="superscript"/>
          <w:rtl/>
        </w:rPr>
        <w:footnoteReference w:id="1153"/>
      </w:r>
      <w:r w:rsidRPr="00815C4C">
        <w:rPr>
          <w:rFonts w:cs="Taher" w:hint="cs"/>
          <w:vertAlign w:val="superscript"/>
          <w:rtl/>
        </w:rPr>
        <w:t>)</w:t>
      </w:r>
      <w:r>
        <w:rPr>
          <w:rtl/>
          <w:lang w:bidi="fa-IR"/>
        </w:rPr>
        <w:t>.</w:t>
      </w:r>
    </w:p>
    <w:p w:rsidR="00DD23C6" w:rsidRDefault="00DD23C6" w:rsidP="001D4CB9">
      <w:pPr>
        <w:pStyle w:val="afffffc"/>
        <w:rPr>
          <w:rtl/>
        </w:rPr>
      </w:pPr>
    </w:p>
    <w:p w:rsidR="00DD23C6" w:rsidRDefault="00DD23C6" w:rsidP="003909EC">
      <w:pPr>
        <w:pStyle w:val="1"/>
        <w:rPr>
          <w:rtl/>
        </w:rPr>
      </w:pPr>
      <w:bookmarkStart w:id="717" w:name="_Toc275128341"/>
      <w:r>
        <w:rPr>
          <w:rFonts w:hint="cs"/>
          <w:rtl/>
          <w:lang w:bidi="ar-IQ"/>
        </w:rPr>
        <w:t>فنّ السرد القصصي العربي</w:t>
      </w:r>
      <w:r w:rsidRPr="003909EC">
        <w:rPr>
          <w:rFonts w:hint="cs"/>
          <w:rtl/>
        </w:rPr>
        <w:t>،</w:t>
      </w:r>
      <w:r>
        <w:rPr>
          <w:rFonts w:hint="cs"/>
          <w:rtl/>
          <w:lang w:bidi="ar-IQ"/>
        </w:rPr>
        <w:t xml:space="preserve"> التاريخ والتطوّر</w:t>
      </w:r>
      <w:bookmarkEnd w:id="717"/>
      <w:r>
        <w:rPr>
          <w:rtl/>
          <w:lang w:bidi="fa-IR"/>
        </w:rPr>
        <w:t xml:space="preserve"> </w:t>
      </w:r>
    </w:p>
    <w:p w:rsidR="00DD23C6" w:rsidRDefault="00DD23C6" w:rsidP="00DD23C6">
      <w:pPr>
        <w:pStyle w:val="ac"/>
        <w:rPr>
          <w:rtl/>
        </w:rPr>
      </w:pPr>
      <w:r>
        <w:rPr>
          <w:rtl/>
          <w:lang w:bidi="fa-IR"/>
        </w:rPr>
        <w:t>ومعلوم أنّ فن السرد القصصي العربي عرف تاريخاً مشرقاً اصطلح عليه ب</w:t>
      </w:r>
      <w:r>
        <w:rPr>
          <w:rFonts w:hint="cs"/>
          <w:rtl/>
          <w:lang w:bidi="fa-IR"/>
        </w:rPr>
        <w:t>ـ</w:t>
      </w:r>
      <w:r w:rsidRPr="00885E99">
        <w:rPr>
          <w:rFonts w:hint="cs"/>
          <w:rtl/>
        </w:rPr>
        <w:t>«</w:t>
      </w:r>
      <w:r>
        <w:rPr>
          <w:rtl/>
          <w:lang w:bidi="fa-IR"/>
        </w:rPr>
        <w:t>أحسن القصص</w:t>
      </w:r>
      <w:r>
        <w:rPr>
          <w:rFonts w:hint="eastAsia"/>
          <w:rtl/>
        </w:rPr>
        <w:t>»</w:t>
      </w:r>
      <w:r w:rsidRPr="00815C4C">
        <w:rPr>
          <w:rFonts w:cs="Taher" w:hint="cs"/>
          <w:vertAlign w:val="superscript"/>
          <w:rtl/>
        </w:rPr>
        <w:t>(</w:t>
      </w:r>
      <w:r w:rsidRPr="00815C4C">
        <w:rPr>
          <w:rFonts w:cs="Taher"/>
          <w:vertAlign w:val="superscript"/>
          <w:rtl/>
        </w:rPr>
        <w:footnoteReference w:id="1154"/>
      </w:r>
      <w:r w:rsidRPr="00815C4C">
        <w:rPr>
          <w:rFonts w:cs="Taher" w:hint="cs"/>
          <w:vertAlign w:val="superscript"/>
          <w:rtl/>
        </w:rPr>
        <w:t>)</w:t>
      </w:r>
      <w:r>
        <w:rPr>
          <w:rtl/>
          <w:lang w:bidi="fa-IR"/>
        </w:rPr>
        <w:t>، إلاّ أنّ أ</w:t>
      </w:r>
      <w:r>
        <w:rPr>
          <w:rFonts w:hint="cs"/>
          <w:rtl/>
          <w:lang w:bidi="ar-IQ"/>
        </w:rPr>
        <w:t>ُ</w:t>
      </w:r>
      <w:r>
        <w:rPr>
          <w:rtl/>
          <w:lang w:bidi="fa-IR"/>
        </w:rPr>
        <w:t xml:space="preserve">سلوب كتابة القصة دخل على الأدب العربي عن طريق ترجمة الأعمال الروائية الغربية، فأصبح النثر العربي مقلداً لتلك الأساليب، ثم دخل التطوّر على قوالبه ومناهجه لاحقاً. </w:t>
      </w:r>
    </w:p>
    <w:p w:rsidR="00DD23C6" w:rsidRDefault="00DD23C6" w:rsidP="00EF7221">
      <w:pPr>
        <w:pStyle w:val="ac"/>
        <w:spacing w:line="199" w:lineRule="auto"/>
        <w:rPr>
          <w:rtl/>
          <w:lang w:bidi="fa-IR"/>
        </w:rPr>
      </w:pPr>
      <w:r>
        <w:rPr>
          <w:rtl/>
          <w:lang w:bidi="fa-IR"/>
        </w:rPr>
        <w:t>من هذا المنطلق</w:t>
      </w:r>
      <w:r>
        <w:rPr>
          <w:rFonts w:hint="cs"/>
          <w:rtl/>
          <w:lang w:bidi="fa-IR"/>
        </w:rPr>
        <w:t>،</w:t>
      </w:r>
      <w:r>
        <w:rPr>
          <w:rtl/>
          <w:lang w:bidi="fa-IR"/>
        </w:rPr>
        <w:t xml:space="preserve"> </w:t>
      </w:r>
      <w:r>
        <w:rPr>
          <w:rFonts w:hint="cs"/>
          <w:rtl/>
          <w:lang w:bidi="fa-IR"/>
        </w:rPr>
        <w:t>و</w:t>
      </w:r>
      <w:r>
        <w:rPr>
          <w:rtl/>
          <w:lang w:bidi="fa-IR"/>
        </w:rPr>
        <w:t xml:space="preserve">في الوقت الذي أخذ الكتّاب العرب يتقمّصون الأسلوب الغربي في الأدب القصصي شرعوا كذلك بتمثّل مضامينه، حتى أخذت القصة العربية تطرح </w:t>
      </w:r>
      <w:r>
        <w:rPr>
          <w:rtl/>
          <w:lang w:bidi="fa-IR"/>
        </w:rPr>
        <w:lastRenderedPageBreak/>
        <w:t>عنها قيود التقليد رويداً رويداً</w:t>
      </w:r>
      <w:r>
        <w:rPr>
          <w:rFonts w:hint="cs"/>
          <w:rtl/>
          <w:lang w:bidi="fa-IR"/>
        </w:rPr>
        <w:t>،</w:t>
      </w:r>
      <w:r>
        <w:rPr>
          <w:rtl/>
          <w:lang w:bidi="fa-IR"/>
        </w:rPr>
        <w:t xml:space="preserve"> </w:t>
      </w:r>
      <w:r>
        <w:rPr>
          <w:rFonts w:hint="cs"/>
          <w:rtl/>
          <w:lang w:bidi="fa-IR"/>
        </w:rPr>
        <w:t>وتسير</w:t>
      </w:r>
      <w:r>
        <w:rPr>
          <w:rtl/>
          <w:lang w:bidi="fa-IR"/>
        </w:rPr>
        <w:t xml:space="preserve"> نحو الإبداع، لتلبس روحاً شرقية خالصة</w:t>
      </w:r>
      <w:r w:rsidRPr="00815C4C">
        <w:rPr>
          <w:rFonts w:cs="Taher" w:hint="cs"/>
          <w:vertAlign w:val="superscript"/>
          <w:rtl/>
        </w:rPr>
        <w:t>(</w:t>
      </w:r>
      <w:r w:rsidRPr="00815C4C">
        <w:rPr>
          <w:rFonts w:cs="Taher"/>
          <w:vertAlign w:val="superscript"/>
          <w:rtl/>
        </w:rPr>
        <w:footnoteReference w:id="1155"/>
      </w:r>
      <w:r w:rsidRPr="00815C4C">
        <w:rPr>
          <w:rFonts w:cs="Taher" w:hint="cs"/>
          <w:vertAlign w:val="superscript"/>
          <w:rtl/>
        </w:rPr>
        <w:t>)</w:t>
      </w:r>
      <w:r>
        <w:rPr>
          <w:rtl/>
          <w:lang w:bidi="fa-IR"/>
        </w:rPr>
        <w:t>، والمقصود بالروح الشرقية الفكرة الرئيسة التي تتكرر في القصة</w:t>
      </w:r>
      <w:r>
        <w:rPr>
          <w:rFonts w:hint="cs"/>
          <w:rtl/>
          <w:lang w:bidi="fa-IR"/>
        </w:rPr>
        <w:t>،</w:t>
      </w:r>
      <w:r>
        <w:rPr>
          <w:rtl/>
          <w:lang w:bidi="fa-IR"/>
        </w:rPr>
        <w:t xml:space="preserve"> وتقوم بانتقاء عناصرها بحبكة، حيث يرمز كل عنصر ضمنياً إلى سائر العناصر، وتكون مجموع العناصر متوالفة مع موضوع القصة، وهذا التوالف هو الذي يعبّر عن عصارة القصة وخلاصتها، حيث يتشكّل بمعيّة الفكرة الرئيسة، وبدونها تكون القصة أقرب إلى السرد التاريخي منها إلى العمل الأدبي</w:t>
      </w:r>
      <w:r>
        <w:rPr>
          <w:rFonts w:hint="cs"/>
          <w:rtl/>
          <w:lang w:bidi="fa-IR"/>
        </w:rPr>
        <w:t>؛</w:t>
      </w:r>
      <w:r>
        <w:rPr>
          <w:rtl/>
          <w:lang w:bidi="fa-IR"/>
        </w:rPr>
        <w:t xml:space="preserve"> لأنّ الكاتب حينذاك يقوم بتسجيل الأحداث ضمن مقطع ممرحل</w:t>
      </w:r>
      <w:r w:rsidRPr="00815C4C">
        <w:rPr>
          <w:rFonts w:cs="Taher" w:hint="cs"/>
          <w:vertAlign w:val="superscript"/>
          <w:rtl/>
        </w:rPr>
        <w:t>(</w:t>
      </w:r>
      <w:r w:rsidRPr="00815C4C">
        <w:rPr>
          <w:rFonts w:cs="Taher"/>
          <w:vertAlign w:val="superscript"/>
          <w:rtl/>
        </w:rPr>
        <w:footnoteReference w:id="1156"/>
      </w:r>
      <w:r w:rsidRPr="00815C4C">
        <w:rPr>
          <w:rFonts w:cs="Taher" w:hint="cs"/>
          <w:vertAlign w:val="superscript"/>
          <w:rtl/>
        </w:rPr>
        <w:t>)</w:t>
      </w:r>
      <w:r>
        <w:rPr>
          <w:rtl/>
          <w:lang w:bidi="fa-IR"/>
        </w:rPr>
        <w:t>، وعلى الرغم من أنّ العنصر الزمني يشكّل القاسم المشترك الذي يجمع العمل الأدبي بالسرد التاريخي، إلاّ أنّه بإمكان القاص أنَ يتحكّم بعقارب الزمن تقدّماً وتأخراً، كما يمكنه توسيع الإطار العام للقصة عبر ضخّ كمّ كبير من الأحداث الجانبية، ليضع في متناول القارئ معطيات متكاملة وعلى قدر عال</w:t>
      </w:r>
      <w:r>
        <w:rPr>
          <w:rFonts w:hint="cs"/>
          <w:rtl/>
          <w:lang w:bidi="fa-IR"/>
        </w:rPr>
        <w:t>ٍ</w:t>
      </w:r>
      <w:r>
        <w:rPr>
          <w:rtl/>
          <w:lang w:bidi="fa-IR"/>
        </w:rPr>
        <w:t xml:space="preserve"> من الحبكة. كما يستطيع عبر إضافة شخصيات بعيدة أو قريبة زمنياً من بطل القصة، زيادة مساحة الاحتكاك بين أحداث القصة وتشابك عناصرها.</w:t>
      </w:r>
    </w:p>
    <w:p w:rsidR="00DD23C6" w:rsidRPr="00EF7221" w:rsidRDefault="00DD23C6" w:rsidP="00EF7221">
      <w:pPr>
        <w:pStyle w:val="afffffc"/>
        <w:rPr>
          <w:sz w:val="18"/>
          <w:szCs w:val="16"/>
          <w:rtl/>
        </w:rPr>
      </w:pPr>
    </w:p>
    <w:p w:rsidR="00DD23C6" w:rsidRDefault="00DD23C6" w:rsidP="00DD23C6">
      <w:pPr>
        <w:pStyle w:val="1"/>
        <w:rPr>
          <w:rtl/>
        </w:rPr>
      </w:pPr>
      <w:bookmarkStart w:id="718" w:name="_Toc275128342"/>
      <w:r>
        <w:rPr>
          <w:rFonts w:hint="cs"/>
          <w:rtl/>
          <w:lang w:bidi="ar-IQ"/>
        </w:rPr>
        <w:t>عناصر القصّة وضروراتها</w:t>
      </w:r>
      <w:bookmarkEnd w:id="718"/>
      <w:r>
        <w:rPr>
          <w:rtl/>
          <w:lang w:bidi="fa-IR"/>
        </w:rPr>
        <w:t xml:space="preserve"> </w:t>
      </w:r>
    </w:p>
    <w:p w:rsidR="00DD23C6" w:rsidRDefault="00DD23C6" w:rsidP="00EF7221">
      <w:pPr>
        <w:pStyle w:val="ac"/>
        <w:spacing w:line="202" w:lineRule="auto"/>
        <w:rPr>
          <w:rtl/>
        </w:rPr>
      </w:pPr>
      <w:r>
        <w:rPr>
          <w:rtl/>
          <w:lang w:bidi="fa-IR"/>
        </w:rPr>
        <w:t>وفي الحقيقة</w:t>
      </w:r>
      <w:r>
        <w:rPr>
          <w:rFonts w:hint="cs"/>
          <w:rtl/>
          <w:lang w:bidi="fa-IR"/>
        </w:rPr>
        <w:t>،</w:t>
      </w:r>
      <w:r>
        <w:rPr>
          <w:rtl/>
          <w:lang w:bidi="fa-IR"/>
        </w:rPr>
        <w:t xml:space="preserve"> إنّ الكاتب بتوزيعه لأدوار القصة يقوم بخلق شخوصها، ومن خلال التعريف الصريح بهم أو تقديمهم عبر أدوارهم وسلوكهم ضمن القصة، يبدع عناصر خلاقة لها القدرة على تغيير مسار القصة وإحداث تحولات في مجرياتها، أو هي نفسها تتعرّض لتحوّلات</w:t>
      </w:r>
      <w:r>
        <w:rPr>
          <w:rFonts w:hint="cs"/>
          <w:rtl/>
          <w:lang w:bidi="fa-IR"/>
        </w:rPr>
        <w:t>،</w:t>
      </w:r>
      <w:r>
        <w:rPr>
          <w:rtl/>
          <w:lang w:bidi="fa-IR"/>
        </w:rPr>
        <w:t xml:space="preserve"> وتعرف هذه بـ(الشخصية الحية)</w:t>
      </w:r>
      <w:r>
        <w:rPr>
          <w:rFonts w:hint="cs"/>
          <w:rtl/>
          <w:lang w:bidi="fa-IR"/>
        </w:rPr>
        <w:t>،</w:t>
      </w:r>
      <w:r>
        <w:rPr>
          <w:rtl/>
          <w:lang w:bidi="fa-IR"/>
        </w:rPr>
        <w:t xml:space="preserve"> هذا في حين نجد بعض شخصيات القصة لا تتأثّر إلا</w:t>
      </w:r>
      <w:r>
        <w:rPr>
          <w:rFonts w:hint="cs"/>
          <w:rtl/>
          <w:lang w:bidi="fa-IR"/>
        </w:rPr>
        <w:t>ّ</w:t>
      </w:r>
      <w:r>
        <w:rPr>
          <w:rtl/>
          <w:lang w:bidi="fa-IR"/>
        </w:rPr>
        <w:t xml:space="preserve"> قليلاً على الرغم من إتاحة وقت كافٍ لذلك منذ بداية القصة وحتى النهاية</w:t>
      </w:r>
      <w:r>
        <w:rPr>
          <w:rFonts w:hint="cs"/>
          <w:rtl/>
          <w:lang w:bidi="fa-IR"/>
        </w:rPr>
        <w:t>،</w:t>
      </w:r>
      <w:r>
        <w:rPr>
          <w:rtl/>
          <w:lang w:bidi="fa-IR"/>
        </w:rPr>
        <w:t xml:space="preserve"> ويطلق على هذا النوع تسمية (الشخصية الراكدة أو السطحية). </w:t>
      </w:r>
      <w:r>
        <w:rPr>
          <w:rtl/>
          <w:lang w:bidi="fa-IR"/>
        </w:rPr>
        <w:lastRenderedPageBreak/>
        <w:t>ومع هذا فإنّ القاسم المشترك لهاتين الشخصيتين هو الدافع المعقول والدليل السلوكي الذي يصدر عنهما، فيبعث على التعايش معهما وأن تقترب هاتان الشخصيتان أكثر فأكثر من الأشخاص الواقعيين، وبعد ترميم الحقائق وإصلاحها يمكن القيام بتحليلها، وبذلك نتعرّف على زوايا نظر الكاتب</w:t>
      </w:r>
      <w:r w:rsidRPr="00815C4C">
        <w:rPr>
          <w:rFonts w:cs="Taher" w:hint="cs"/>
          <w:vertAlign w:val="superscript"/>
          <w:rtl/>
        </w:rPr>
        <w:t>(</w:t>
      </w:r>
      <w:r w:rsidRPr="00815C4C">
        <w:rPr>
          <w:rFonts w:cs="Taher"/>
          <w:vertAlign w:val="superscript"/>
          <w:rtl/>
        </w:rPr>
        <w:footnoteReference w:id="1157"/>
      </w:r>
      <w:r w:rsidRPr="00815C4C">
        <w:rPr>
          <w:rFonts w:cs="Taher" w:hint="cs"/>
          <w:vertAlign w:val="superscript"/>
          <w:rtl/>
        </w:rPr>
        <w:t>)</w:t>
      </w:r>
      <w:r>
        <w:rPr>
          <w:rtl/>
          <w:lang w:bidi="fa-IR"/>
        </w:rPr>
        <w:t xml:space="preserve">، وإن كانت تراكيب عبارات النص </w:t>
      </w:r>
      <w:r>
        <w:rPr>
          <w:rFonts w:hint="cs"/>
          <w:rtl/>
          <w:lang w:bidi="fa-IR"/>
        </w:rPr>
        <w:t>تكشف</w:t>
      </w:r>
      <w:r>
        <w:rPr>
          <w:rtl/>
          <w:lang w:bidi="fa-IR"/>
        </w:rPr>
        <w:t xml:space="preserve"> أحياناً عن جانب من هذه الزوايا، وفي ضوء ذلك فإنّ زاوية النظر الداخلية ترتسم بحضور الكاتب في ثنايا عبارات القصة وسرده لها على لسان الشخص الأول، أو </w:t>
      </w:r>
      <w:r>
        <w:rPr>
          <w:rFonts w:hint="cs"/>
          <w:rtl/>
          <w:lang w:bidi="fa-IR"/>
        </w:rPr>
        <w:t>بقائه</w:t>
      </w:r>
      <w:r>
        <w:rPr>
          <w:rtl/>
          <w:lang w:bidi="fa-IR"/>
        </w:rPr>
        <w:t xml:space="preserve"> خارج النص</w:t>
      </w:r>
      <w:r>
        <w:rPr>
          <w:rFonts w:hint="cs"/>
          <w:rtl/>
          <w:lang w:bidi="fa-IR"/>
        </w:rPr>
        <w:t>،</w:t>
      </w:r>
      <w:r>
        <w:rPr>
          <w:rtl/>
          <w:lang w:bidi="fa-IR"/>
        </w:rPr>
        <w:t xml:space="preserve"> فينقل القصة عن طريق حوار الشخص الثالث ليقوم بمهمة تصوير زاوية النظر الخارجية.</w:t>
      </w:r>
    </w:p>
    <w:p w:rsidR="00DD23C6" w:rsidRDefault="00DD23C6" w:rsidP="00EF7221">
      <w:pPr>
        <w:pStyle w:val="ac"/>
        <w:spacing w:line="199" w:lineRule="auto"/>
        <w:rPr>
          <w:rtl/>
          <w:lang w:bidi="fa-IR"/>
        </w:rPr>
      </w:pPr>
      <w:r>
        <w:rPr>
          <w:rtl/>
          <w:lang w:bidi="fa-IR"/>
        </w:rPr>
        <w:t xml:space="preserve"> وإذا ما تأمّلنا في مفهوم العبارة </w:t>
      </w:r>
      <w:r>
        <w:t>mental point of view</w:t>
      </w:r>
      <w:r>
        <w:rPr>
          <w:rtl/>
          <w:lang w:bidi="fa-IR"/>
        </w:rPr>
        <w:t xml:space="preserve"> سنرى أنّ زاوية النظر هي المسار الذي يحدّده الكاتب للقارئ للدخول في أجواء القصة، من هنا فإنّ هذه الزاوية تجسّد طبيعة المشاعر والأحاسيس التي يبديها الكاتب تجاه موضوع القصة، والتي يرغب في نقلها إلى القارئ.</w:t>
      </w:r>
    </w:p>
    <w:p w:rsidR="00DD23C6" w:rsidRDefault="00DD23C6" w:rsidP="00EF7221">
      <w:pPr>
        <w:pStyle w:val="ac"/>
        <w:spacing w:line="199" w:lineRule="auto"/>
        <w:rPr>
          <w:rtl/>
          <w:lang w:bidi="fa-IR"/>
        </w:rPr>
      </w:pPr>
      <w:r>
        <w:rPr>
          <w:rtl/>
          <w:lang w:bidi="fa-IR"/>
        </w:rPr>
        <w:t xml:space="preserve">ولا شكّ أنّ أصالة هذا العنصر في القصة نابعة من أنّها تتيح للكاتب الاختلاء بنفسه في زاوية معينة ليتفرّج على المشهد الذي صنعه، ومن ثمّ ينقل مشاهداته إلى قارئه، حيث يأخذ بيده إلى أماكن الأحداث وتفاصيلها. والواقع </w:t>
      </w:r>
      <w:r>
        <w:rPr>
          <w:rFonts w:hint="cs"/>
          <w:rtl/>
          <w:lang w:bidi="fa-IR"/>
        </w:rPr>
        <w:t>أ</w:t>
      </w:r>
      <w:r>
        <w:rPr>
          <w:rtl/>
          <w:lang w:bidi="fa-IR"/>
        </w:rPr>
        <w:t>نّ الكاتب في عملية توزيع الأدوار يقوم بمهمة توظيف العناصر المذكورة، ليتمكّن من تهيئة الأجواء لانفعالات القارئ وتأثّره بمشاهد الأحداث حزناً أو مسرّة، ويرتبط مستوى هذا التأثير وشدّته بمدى دقّة الكاتب في وصف دقائق الأحداث وإدارة تفاصيلها عن بعد بأ</w:t>
      </w:r>
      <w:r>
        <w:rPr>
          <w:rFonts w:hint="cs"/>
          <w:rtl/>
          <w:lang w:bidi="ar-IQ"/>
        </w:rPr>
        <w:t>ُ</w:t>
      </w:r>
      <w:r>
        <w:rPr>
          <w:rtl/>
          <w:lang w:bidi="fa-IR"/>
        </w:rPr>
        <w:t>سلوب فنّي ينمّ عن حرفية وإتقان. والمراد بـ</w:t>
      </w:r>
      <w:r w:rsidRPr="00885E99">
        <w:rPr>
          <w:rFonts w:hint="cs"/>
          <w:rtl/>
        </w:rPr>
        <w:t>«</w:t>
      </w:r>
      <w:r>
        <w:rPr>
          <w:rtl/>
          <w:lang w:bidi="fa-IR"/>
        </w:rPr>
        <w:t>عن ب</w:t>
      </w:r>
      <w:r>
        <w:rPr>
          <w:rFonts w:hint="cs"/>
          <w:rtl/>
        </w:rPr>
        <w:t>ُ</w:t>
      </w:r>
      <w:r>
        <w:rPr>
          <w:rtl/>
          <w:lang w:bidi="fa-IR"/>
        </w:rPr>
        <w:t>عد</w:t>
      </w:r>
      <w:r>
        <w:rPr>
          <w:rFonts w:hint="cs"/>
          <w:rtl/>
        </w:rPr>
        <w:t>»</w:t>
      </w:r>
      <w:r>
        <w:rPr>
          <w:rtl/>
          <w:lang w:bidi="fa-IR"/>
        </w:rPr>
        <w:t xml:space="preserve"> نجاح الكاتب في إقامة تفاعل قوي بين القارئ وموضوع القصة، وبتوظيفه لمجمل العناصر آنفة الذكر،</w:t>
      </w:r>
      <w:r>
        <w:rPr>
          <w:rFonts w:hint="cs"/>
          <w:rtl/>
          <w:lang w:bidi="fa-IR"/>
        </w:rPr>
        <w:t xml:space="preserve"> ثم</w:t>
      </w:r>
      <w:r>
        <w:rPr>
          <w:rtl/>
          <w:lang w:bidi="fa-IR"/>
        </w:rPr>
        <w:t xml:space="preserve"> يقوم بالتحكم بدقة في مقدار المسافة التي تفصل القارئ عن الموضوع قرباً وبعداً، ولا يخفى أنّ هذا التحكّم لا يعتمد على الخلفية الثقافية للكاتب فحسب، وإنّما يعتمد بشكل كبير على مهارته وحذاقته ليصبح في النهاية أ</w:t>
      </w:r>
      <w:r>
        <w:rPr>
          <w:rFonts w:hint="cs"/>
          <w:rtl/>
          <w:lang w:bidi="fa-IR"/>
        </w:rPr>
        <w:t>ُ</w:t>
      </w:r>
      <w:r>
        <w:rPr>
          <w:rtl/>
          <w:lang w:bidi="fa-IR"/>
        </w:rPr>
        <w:t>سلوباً أدبياً خاصاً به. والأ</w:t>
      </w:r>
      <w:r>
        <w:rPr>
          <w:rFonts w:hint="cs"/>
          <w:rtl/>
          <w:lang w:bidi="fa-IR"/>
        </w:rPr>
        <w:t>ُ</w:t>
      </w:r>
      <w:r>
        <w:rPr>
          <w:rtl/>
          <w:lang w:bidi="fa-IR"/>
        </w:rPr>
        <w:t xml:space="preserve">سلوب الأدبي هو النهج الخاص </w:t>
      </w:r>
      <w:r>
        <w:rPr>
          <w:rtl/>
          <w:lang w:bidi="fa-IR"/>
        </w:rPr>
        <w:lastRenderedPageBreak/>
        <w:t>الذي يتّبعه الكاتب في كتابة القصة، وهو يتطلّب منه ثروة من المفردات والمصطلحات التي يعتني كثيراً في اقتنائها واستعمالها، أضف إلى ذلك القالب الذي يصوغ فيه عباراته</w:t>
      </w:r>
      <w:r>
        <w:rPr>
          <w:rFonts w:hint="cs"/>
          <w:rtl/>
          <w:lang w:bidi="fa-IR"/>
        </w:rPr>
        <w:t>،</w:t>
      </w:r>
      <w:r>
        <w:rPr>
          <w:rtl/>
          <w:lang w:bidi="fa-IR"/>
        </w:rPr>
        <w:t xml:space="preserve"> ونعني به البناء اللغوي، وكذلك دلالات النص (</w:t>
      </w:r>
      <w:r>
        <w:t>semantic</w:t>
      </w:r>
      <w:r>
        <w:rPr>
          <w:rtl/>
          <w:lang w:bidi="fa-IR"/>
        </w:rPr>
        <w:t>) وإيقاعاته، حتى تنصاع الكلمات لبنا</w:t>
      </w:r>
      <w:r>
        <w:rPr>
          <w:rFonts w:hint="cs"/>
          <w:rtl/>
          <w:lang w:bidi="fa-IR"/>
        </w:rPr>
        <w:t>ئ</w:t>
      </w:r>
      <w:r>
        <w:rPr>
          <w:rtl/>
          <w:lang w:bidi="fa-IR"/>
        </w:rPr>
        <w:t>ه</w:t>
      </w:r>
      <w:r>
        <w:rPr>
          <w:rFonts w:hint="cs"/>
          <w:rtl/>
          <w:lang w:bidi="fa-IR"/>
        </w:rPr>
        <w:t>،</w:t>
      </w:r>
      <w:r>
        <w:rPr>
          <w:rtl/>
          <w:lang w:bidi="fa-IR"/>
        </w:rPr>
        <w:t xml:space="preserve"> ويتبيّن فنون الكتابة وقواعدها. ثم بعد ذلك يزجّ قلمه في خضمّ الفن القصصي، ليطبع أ</w:t>
      </w:r>
      <w:r>
        <w:rPr>
          <w:rFonts w:hint="cs"/>
          <w:rtl/>
          <w:lang w:bidi="fa-IR"/>
        </w:rPr>
        <w:t>ُ</w:t>
      </w:r>
      <w:r>
        <w:rPr>
          <w:rtl/>
          <w:lang w:bidi="fa-IR"/>
        </w:rPr>
        <w:t>سلوبه بطابعه الخاص، دون أن يجد حرجاً في الاستعانة بالأساليب الأ</w:t>
      </w:r>
      <w:r>
        <w:rPr>
          <w:rFonts w:hint="cs"/>
          <w:rtl/>
          <w:lang w:bidi="fa-IR"/>
        </w:rPr>
        <w:t>ُ</w:t>
      </w:r>
      <w:r>
        <w:rPr>
          <w:rtl/>
          <w:lang w:bidi="fa-IR"/>
        </w:rPr>
        <w:t>خر في تصوير المشاهد والأحداث، بما في ذلك أ</w:t>
      </w:r>
      <w:r>
        <w:rPr>
          <w:rFonts w:hint="cs"/>
          <w:rtl/>
          <w:lang w:bidi="fa-IR"/>
        </w:rPr>
        <w:t>ُ</w:t>
      </w:r>
      <w:r>
        <w:rPr>
          <w:rtl/>
          <w:lang w:bidi="fa-IR"/>
        </w:rPr>
        <w:t xml:space="preserve">سلوب </w:t>
      </w:r>
      <w:r w:rsidRPr="00885E99">
        <w:rPr>
          <w:rtl/>
        </w:rPr>
        <w:t>«</w:t>
      </w:r>
      <w:r>
        <w:rPr>
          <w:rtl/>
          <w:lang w:bidi="fa-IR"/>
        </w:rPr>
        <w:t>الحوار</w:t>
      </w:r>
      <w:r>
        <w:rPr>
          <w:rtl/>
        </w:rPr>
        <w:t>»</w:t>
      </w:r>
      <w:r>
        <w:rPr>
          <w:rtl/>
          <w:lang w:bidi="fa-IR"/>
        </w:rPr>
        <w:t xml:space="preserve"> الذي هو عبارة عن جهد ثنائي يقع بين طرفين</w:t>
      </w:r>
      <w:r>
        <w:rPr>
          <w:rFonts w:hint="cs"/>
          <w:rtl/>
          <w:lang w:bidi="fa-IR"/>
        </w:rPr>
        <w:t>،</w:t>
      </w:r>
      <w:r>
        <w:rPr>
          <w:rtl/>
          <w:lang w:bidi="fa-IR"/>
        </w:rPr>
        <w:t xml:space="preserve"> يستعين به الكاتب من أجل الدخول في عمق الحدث وتصويره من الداخل من جميع الزوايا والأبعاد، فيوسّع من دائرة الكلام</w:t>
      </w:r>
      <w:r>
        <w:rPr>
          <w:rFonts w:hint="cs"/>
          <w:rtl/>
          <w:lang w:bidi="fa-IR"/>
        </w:rPr>
        <w:t>،</w:t>
      </w:r>
      <w:r>
        <w:rPr>
          <w:rtl/>
          <w:lang w:bidi="fa-IR"/>
        </w:rPr>
        <w:t xml:space="preserve"> واضعاً المتكلم والمستمع في علاقة حوارية متبادلة تتطلّب بطبيعة الحال التأمّل في الطرف الآخر والردّ عليه. ويسمح هذا الأ</w:t>
      </w:r>
      <w:r>
        <w:rPr>
          <w:rFonts w:hint="cs"/>
          <w:rtl/>
          <w:lang w:bidi="ar-IQ"/>
        </w:rPr>
        <w:t>ُ</w:t>
      </w:r>
      <w:r>
        <w:rPr>
          <w:rtl/>
          <w:lang w:bidi="fa-IR"/>
        </w:rPr>
        <w:t xml:space="preserve">سلوب للكاتب </w:t>
      </w:r>
      <w:r>
        <w:rPr>
          <w:rFonts w:hint="cs"/>
          <w:rtl/>
          <w:lang w:bidi="fa-IR"/>
        </w:rPr>
        <w:t>ب</w:t>
      </w:r>
      <w:r>
        <w:rPr>
          <w:rtl/>
          <w:lang w:bidi="fa-IR"/>
        </w:rPr>
        <w:t>تسليط الضوء على طبيعة شخصيات القصة وأفكارهم ومواصفاتهم الأخلاقية</w:t>
      </w:r>
      <w:r>
        <w:rPr>
          <w:rFonts w:hint="cs"/>
          <w:rtl/>
          <w:lang w:bidi="fa-IR"/>
        </w:rPr>
        <w:t>،</w:t>
      </w:r>
      <w:r>
        <w:rPr>
          <w:rtl/>
          <w:lang w:bidi="fa-IR"/>
        </w:rPr>
        <w:t xml:space="preserve"> بل وحتى مواصفاتهم البدنية الظاهرية، أو يقوم بتغيير مكان الحدث مصطحباً القارئ معه، ليكسبه مرونة في الحركة والتنقّل، الأمر الذي يضفي على القصة قدرة أكبر في وصف عناصرها أو تحليل التداخل بين أحداثها ومشاهدها</w:t>
      </w:r>
      <w:r w:rsidRPr="00815C4C">
        <w:rPr>
          <w:rFonts w:cs="Taher" w:hint="cs"/>
          <w:vertAlign w:val="superscript"/>
          <w:rtl/>
        </w:rPr>
        <w:t>(</w:t>
      </w:r>
      <w:r w:rsidRPr="00815C4C">
        <w:rPr>
          <w:rFonts w:cs="Taher"/>
          <w:vertAlign w:val="superscript"/>
          <w:rtl/>
        </w:rPr>
        <w:footnoteReference w:id="1158"/>
      </w:r>
      <w:r w:rsidRPr="00815C4C">
        <w:rPr>
          <w:rFonts w:cs="Taher" w:hint="cs"/>
          <w:vertAlign w:val="superscript"/>
          <w:rtl/>
        </w:rPr>
        <w:t>)</w:t>
      </w:r>
      <w:r>
        <w:rPr>
          <w:rtl/>
          <w:lang w:bidi="fa-IR"/>
        </w:rPr>
        <w:t>.</w:t>
      </w:r>
    </w:p>
    <w:p w:rsidR="00DD23C6" w:rsidRDefault="00DD23C6" w:rsidP="00EF7221">
      <w:pPr>
        <w:pStyle w:val="ac"/>
        <w:spacing w:line="209" w:lineRule="auto"/>
        <w:rPr>
          <w:rtl/>
          <w:lang w:bidi="fa-IR"/>
        </w:rPr>
      </w:pPr>
      <w:r>
        <w:rPr>
          <w:rtl/>
          <w:lang w:bidi="fa-IR"/>
        </w:rPr>
        <w:t xml:space="preserve"> ولكن يبقى أن نقول</w:t>
      </w:r>
      <w:r>
        <w:rPr>
          <w:rFonts w:hint="cs"/>
          <w:rtl/>
          <w:lang w:bidi="fa-IR"/>
        </w:rPr>
        <w:t>:</w:t>
      </w:r>
      <w:r>
        <w:rPr>
          <w:rtl/>
          <w:lang w:bidi="fa-IR"/>
        </w:rPr>
        <w:t xml:space="preserve"> </w:t>
      </w:r>
      <w:r>
        <w:rPr>
          <w:rFonts w:hint="cs"/>
          <w:rtl/>
          <w:lang w:bidi="fa-IR"/>
        </w:rPr>
        <w:t>إ</w:t>
      </w:r>
      <w:r>
        <w:rPr>
          <w:rtl/>
          <w:lang w:bidi="fa-IR"/>
        </w:rPr>
        <w:t xml:space="preserve">نّ الكلام ليس هو العنصر الوحيد في الحوار، بل أحياناً يشكّل الصمت ضرورة لازمة في العمل القصصي، ليس من أجل أن يأخذ الكاتب قسطاً من الراحة، بل هي وقفة يعيد فيها ترتيب أجزاء الحوار، كما يحدث ذلك في الحياة الواقعية أيضاً. إذن فصمت المؤلف عن الكتابة هو بمثابة قطع سلسلة أفكار القارئ، ليحيل انتباهه نحو علاقة حية، حتى وإن أدّى ذلك إلى انقطاعه عن اللهجة الفصحى واستخدام بعض العبارات المحلية، ليواصل حواره القصصي هذه المرة مع فقرة حية مقتطعة من صلب الحياة اليومية للمجتمع، فيعطي بذلك شحنة واقعية للحوار ودفقاً </w:t>
      </w:r>
      <w:r>
        <w:rPr>
          <w:rtl/>
          <w:lang w:bidi="fa-IR"/>
        </w:rPr>
        <w:lastRenderedPageBreak/>
        <w:t xml:space="preserve">سيّالاً من الخصوصية المحلية، ولكن كما هو معلوم فإنّ الحوار الكتابي يكون خالياً من أي إيقاع لحني، لذلك يلجأ الكاتب إلى استنطاق عبارات صامتة، عبر استخدام حوار زاخر بأفعال وكلمات ذات مفاهيم </w:t>
      </w:r>
      <w:r>
        <w:rPr>
          <w:rFonts w:hint="cs"/>
          <w:rtl/>
          <w:lang w:bidi="fa-IR"/>
        </w:rPr>
        <w:t>صوتية</w:t>
      </w:r>
      <w:r>
        <w:rPr>
          <w:rtl/>
          <w:lang w:bidi="fa-IR"/>
        </w:rPr>
        <w:t xml:space="preserve"> من قبيل</w:t>
      </w:r>
      <w:r>
        <w:rPr>
          <w:rFonts w:hint="cs"/>
          <w:rtl/>
          <w:lang w:bidi="fa-IR"/>
        </w:rPr>
        <w:t>:</w:t>
      </w:r>
      <w:r>
        <w:rPr>
          <w:rtl/>
          <w:lang w:bidi="fa-IR"/>
        </w:rPr>
        <w:t xml:space="preserve"> </w:t>
      </w:r>
      <w:r w:rsidRPr="00885E99">
        <w:rPr>
          <w:rFonts w:hint="cs"/>
          <w:rtl/>
        </w:rPr>
        <w:t>«</w:t>
      </w:r>
      <w:r>
        <w:rPr>
          <w:rtl/>
          <w:lang w:bidi="fa-IR"/>
        </w:rPr>
        <w:t>قال، صاح، همس، صرخ ....</w:t>
      </w:r>
      <w:r>
        <w:rPr>
          <w:rFonts w:hint="cs"/>
          <w:rtl/>
        </w:rPr>
        <w:t>»</w:t>
      </w:r>
      <w:r>
        <w:rPr>
          <w:rtl/>
          <w:lang w:bidi="fa-IR"/>
        </w:rPr>
        <w:t xml:space="preserve">. </w:t>
      </w:r>
    </w:p>
    <w:p w:rsidR="00DD23C6" w:rsidRDefault="00DD23C6" w:rsidP="00EF7221">
      <w:pPr>
        <w:pStyle w:val="ac"/>
        <w:spacing w:line="199" w:lineRule="auto"/>
        <w:rPr>
          <w:rtl/>
          <w:lang w:bidi="fa-IR"/>
        </w:rPr>
      </w:pPr>
      <w:r>
        <w:rPr>
          <w:rtl/>
          <w:lang w:bidi="fa-IR"/>
        </w:rPr>
        <w:t>وعلى أيّ حال، فإنّ الحوار سواء كان في الواقع اليومي الاجتماعي أ</w:t>
      </w:r>
      <w:r>
        <w:rPr>
          <w:rFonts w:hint="cs"/>
          <w:rtl/>
          <w:lang w:bidi="fa-IR"/>
        </w:rPr>
        <w:t>م</w:t>
      </w:r>
      <w:r>
        <w:rPr>
          <w:rtl/>
          <w:lang w:bidi="fa-IR"/>
        </w:rPr>
        <w:t xml:space="preserve"> في بطن القصة لا يقع وفقاً لترتيب الأشخاص وبشكل متسلسل، بل يكون بحسب سعة الكلام وبصورة متفرقة ومشتتة، وهو ما يحمل الكاتب على التنويه بهوية الشخصية عندما تتحدّث، بينما يستعين بأساليب أ</w:t>
      </w:r>
      <w:r>
        <w:rPr>
          <w:rFonts w:hint="cs"/>
          <w:rtl/>
          <w:lang w:bidi="fa-IR"/>
        </w:rPr>
        <w:t>ُ</w:t>
      </w:r>
      <w:r>
        <w:rPr>
          <w:rtl/>
          <w:lang w:bidi="fa-IR"/>
        </w:rPr>
        <w:t xml:space="preserve">خرى متنوعة للتعبير عن صمت تلك الشخصية، على سبيل المثال، رسم عدّة نقاط كعلامة على الجواب، أو الإشارة إلى صمت طويل، أو ذكر كلمات </w:t>
      </w:r>
      <w:r>
        <w:rPr>
          <w:rFonts w:hint="cs"/>
          <w:rtl/>
          <w:lang w:bidi="fa-IR"/>
        </w:rPr>
        <w:t>صوتية</w:t>
      </w:r>
      <w:r>
        <w:rPr>
          <w:rtl/>
          <w:lang w:bidi="fa-IR"/>
        </w:rPr>
        <w:t xml:space="preserve"> تعبيراً عن الصمت</w:t>
      </w:r>
      <w:r w:rsidRPr="00815C4C">
        <w:rPr>
          <w:rFonts w:cs="Taher" w:hint="cs"/>
          <w:vertAlign w:val="superscript"/>
          <w:rtl/>
        </w:rPr>
        <w:t>(</w:t>
      </w:r>
      <w:r w:rsidRPr="00815C4C">
        <w:rPr>
          <w:rFonts w:cs="Taher"/>
          <w:vertAlign w:val="superscript"/>
          <w:rtl/>
        </w:rPr>
        <w:footnoteReference w:id="1159"/>
      </w:r>
      <w:r w:rsidRPr="00815C4C">
        <w:rPr>
          <w:rFonts w:cs="Taher" w:hint="cs"/>
          <w:vertAlign w:val="superscript"/>
          <w:rtl/>
        </w:rPr>
        <w:t>)</w:t>
      </w:r>
      <w:r>
        <w:rPr>
          <w:rtl/>
          <w:lang w:bidi="fa-IR"/>
        </w:rPr>
        <w:t xml:space="preserve">. </w:t>
      </w:r>
    </w:p>
    <w:p w:rsidR="00DD23C6" w:rsidRDefault="00DD23C6" w:rsidP="00EF7221">
      <w:pPr>
        <w:pStyle w:val="ac"/>
        <w:spacing w:line="199" w:lineRule="auto"/>
        <w:rPr>
          <w:rtl/>
          <w:lang w:bidi="fa-IR"/>
        </w:rPr>
      </w:pPr>
      <w:r>
        <w:rPr>
          <w:rtl/>
          <w:lang w:bidi="fa-IR"/>
        </w:rPr>
        <w:t>وأخيراً، فإنّ تسجيل صمت الطرف الآخر في مكالمة تلفونية والذي يمثّل استنطاقاً للصمت، يتمّ بواسطة جواب البديل الذي يحاول الكاتب لفت انتباه القارئ صوب الطرف الآخر، لينشئ بذلك حواراً ثنائياً، وبهذه الطريقة الذكية والبارعة يحاول استخراج أجوبة خيالية من المتحدّث تكون بعيدة عن الواقع، محلّقاً مع القارئ في أعماق الخيال الواعي الذكي، وهذا يتطلّب توافره على موهبة تمكّنه من رسم صورة خيالية للشخصية القصصية</w:t>
      </w:r>
      <w:r>
        <w:rPr>
          <w:rFonts w:hint="cs"/>
          <w:rtl/>
          <w:lang w:bidi="fa-IR"/>
        </w:rPr>
        <w:t>،</w:t>
      </w:r>
      <w:r>
        <w:rPr>
          <w:rtl/>
          <w:lang w:bidi="fa-IR"/>
        </w:rPr>
        <w:t xml:space="preserve"> تتيح لبطل القصة أن يقيم علاقة حوارية معها، وعن هذا الطريق ينبثق نوع من الحوار يطلق عليه </w:t>
      </w:r>
      <w:r w:rsidRPr="00885E99">
        <w:rPr>
          <w:rtl/>
        </w:rPr>
        <w:t>«</w:t>
      </w:r>
      <w:r>
        <w:rPr>
          <w:rtl/>
          <w:lang w:bidi="fa-IR"/>
        </w:rPr>
        <w:t>الحديث الأحادي</w:t>
      </w:r>
      <w:r>
        <w:rPr>
          <w:rtl/>
        </w:rPr>
        <w:t>»</w:t>
      </w:r>
      <w:r>
        <w:rPr>
          <w:rFonts w:hint="cs"/>
          <w:rtl/>
          <w:lang w:bidi="fa-IR"/>
        </w:rPr>
        <w:t>،</w:t>
      </w:r>
      <w:r>
        <w:rPr>
          <w:rtl/>
          <w:lang w:bidi="fa-IR"/>
        </w:rPr>
        <w:t xml:space="preserve"> </w:t>
      </w:r>
      <w:r>
        <w:t>(Monologue)</w:t>
      </w:r>
      <w:r>
        <w:rPr>
          <w:rtl/>
          <w:lang w:bidi="fa-IR"/>
        </w:rPr>
        <w:t xml:space="preserve"> الذي يتباين في طبيعته مع </w:t>
      </w:r>
      <w:r w:rsidRPr="00885E99">
        <w:rPr>
          <w:rtl/>
        </w:rPr>
        <w:t>«</w:t>
      </w:r>
      <w:r>
        <w:rPr>
          <w:rtl/>
          <w:lang w:bidi="fa-IR"/>
        </w:rPr>
        <w:t>الحوار الثنائي</w:t>
      </w:r>
      <w:r>
        <w:rPr>
          <w:rtl/>
        </w:rPr>
        <w:t>»</w:t>
      </w:r>
      <w:r>
        <w:rPr>
          <w:rFonts w:hint="cs"/>
          <w:rtl/>
          <w:lang w:bidi="fa-IR"/>
        </w:rPr>
        <w:t>،</w:t>
      </w:r>
      <w:r>
        <w:rPr>
          <w:rtl/>
          <w:lang w:bidi="fa-IR"/>
        </w:rPr>
        <w:t xml:space="preserve"> </w:t>
      </w:r>
      <w:r>
        <w:t>(Dialogue)</w:t>
      </w:r>
      <w:r>
        <w:rPr>
          <w:rtl/>
          <w:lang w:bidi="fa-IR"/>
        </w:rPr>
        <w:t xml:space="preserve"> ويتمّ هذا الحديث عبر طرق عدّة، أحدها الحديث الأحادي الداخلي</w:t>
      </w:r>
      <w:r>
        <w:rPr>
          <w:rFonts w:hint="cs"/>
          <w:rtl/>
          <w:lang w:bidi="fa-IR"/>
        </w:rPr>
        <w:t>(</w:t>
      </w:r>
      <w:r>
        <w:t>Interior Monologue</w:t>
      </w:r>
      <w:r>
        <w:rPr>
          <w:rFonts w:hint="cs"/>
          <w:rtl/>
          <w:lang w:bidi="fa-IR"/>
        </w:rPr>
        <w:t>)</w:t>
      </w:r>
      <w:r>
        <w:rPr>
          <w:rtl/>
          <w:lang w:bidi="fa-IR"/>
        </w:rPr>
        <w:t xml:space="preserve">، حيث يستخدم هذا النوع حينما تخيّم أجواء ثقيلة على بطل القصة تدفع به إلى حالة نفسية سيكولوجية تلقائية تتمثّل في مناجاة بطل القصة نفسه واستعراض تجاربه حلوها ومرّها، ليصل في نهاية المطاف إلى نتيجة محدّدة. </w:t>
      </w:r>
    </w:p>
    <w:p w:rsidR="00DD23C6" w:rsidRDefault="00DD23C6" w:rsidP="00EF7221">
      <w:pPr>
        <w:pStyle w:val="ac"/>
        <w:spacing w:line="199" w:lineRule="auto"/>
        <w:rPr>
          <w:rtl/>
          <w:lang w:bidi="fa-IR"/>
        </w:rPr>
      </w:pPr>
      <w:r>
        <w:rPr>
          <w:rtl/>
          <w:lang w:bidi="fa-IR"/>
        </w:rPr>
        <w:t xml:space="preserve">وفي الحقيقة، يحاول الكاتب بهذه الوسيلة مساعدة بطل القصة على استعادة تركيزه </w:t>
      </w:r>
      <w:r>
        <w:rPr>
          <w:rtl/>
          <w:lang w:bidi="fa-IR"/>
        </w:rPr>
        <w:lastRenderedPageBreak/>
        <w:t>الذهني. ووجه التباين بين هذا النمط الذي يطلق عليه</w:t>
      </w:r>
      <w:r>
        <w:rPr>
          <w:rFonts w:hint="cs"/>
          <w:rtl/>
          <w:lang w:bidi="fa-IR"/>
        </w:rPr>
        <w:t xml:space="preserve"> ـ</w:t>
      </w:r>
      <w:r>
        <w:rPr>
          <w:rtl/>
          <w:lang w:bidi="fa-IR"/>
        </w:rPr>
        <w:t xml:space="preserve"> كما نوّهنا</w:t>
      </w:r>
      <w:r>
        <w:rPr>
          <w:rFonts w:hint="cs"/>
          <w:rtl/>
          <w:lang w:bidi="fa-IR"/>
        </w:rPr>
        <w:t xml:space="preserve"> ـ</w:t>
      </w:r>
      <w:r>
        <w:rPr>
          <w:rtl/>
          <w:lang w:bidi="fa-IR"/>
        </w:rPr>
        <w:t xml:space="preserve"> بالحديث الداخلي عن النمط الآخر</w:t>
      </w:r>
      <w:r>
        <w:rPr>
          <w:rFonts w:hint="cs"/>
          <w:rtl/>
          <w:lang w:bidi="fa-IR"/>
        </w:rPr>
        <w:t xml:space="preserve"> الذي </w:t>
      </w:r>
      <w:r>
        <w:rPr>
          <w:rFonts w:hint="cs"/>
          <w:rtl/>
        </w:rPr>
        <w:t>يطلق</w:t>
      </w:r>
      <w:r>
        <w:rPr>
          <w:rFonts w:hint="cs"/>
          <w:rtl/>
          <w:lang w:bidi="fa-IR"/>
        </w:rPr>
        <w:t xml:space="preserve"> عليه ب</w:t>
      </w:r>
      <w:r>
        <w:rPr>
          <w:rtl/>
          <w:lang w:bidi="fa-IR"/>
        </w:rPr>
        <w:t>حديث النفس</w:t>
      </w:r>
      <w:r>
        <w:rPr>
          <w:rFonts w:hint="cs"/>
          <w:rtl/>
          <w:lang w:bidi="fa-IR"/>
        </w:rPr>
        <w:t>(</w:t>
      </w:r>
      <w:r>
        <w:t>Soliloquy</w:t>
      </w:r>
      <w:r>
        <w:rPr>
          <w:rFonts w:hint="cs"/>
          <w:rtl/>
          <w:lang w:bidi="fa-IR"/>
        </w:rPr>
        <w:t>)،</w:t>
      </w:r>
      <w:r>
        <w:rPr>
          <w:rtl/>
          <w:lang w:bidi="fa-IR"/>
        </w:rPr>
        <w:t>هو أنّ النمط الحواري الأول يمثّل مراجعة ذهنية للتجارب والخبرات الماضية، بينما النمط الثاني هو سرد لما تسرّه شخصية القصة من خفايا النفس، ويكون مفرغاً من أي إشارات اهتمام بالمستمع، ولكن مع ذلك فهو يحتوي على عرض لتصورات البطل حيال موضوع القصة. ويبدو أنّ المؤلف في حديث النفس يحاول تجاهل الترتيب المنطقي المتسلسل لموضوع الحوار، ليركّز الاهتمام على تصوراته وآرائه.</w:t>
      </w:r>
    </w:p>
    <w:p w:rsidR="00DD23C6" w:rsidRDefault="00DD23C6" w:rsidP="00EF7221">
      <w:pPr>
        <w:pStyle w:val="ac"/>
        <w:spacing w:line="199" w:lineRule="auto"/>
        <w:rPr>
          <w:rtl/>
          <w:lang w:bidi="fa-IR"/>
        </w:rPr>
      </w:pPr>
      <w:r>
        <w:rPr>
          <w:rtl/>
          <w:lang w:bidi="fa-IR"/>
        </w:rPr>
        <w:t>النمط الثالث في الحديث الأحادي</w:t>
      </w:r>
      <w:r>
        <w:rPr>
          <w:rFonts w:hint="cs"/>
          <w:rtl/>
          <w:lang w:bidi="fa-IR"/>
        </w:rPr>
        <w:t>،</w:t>
      </w:r>
      <w:r>
        <w:rPr>
          <w:rtl/>
          <w:lang w:bidi="fa-IR"/>
        </w:rPr>
        <w:t xml:space="preserve"> أي ما يصطلح عليه بالعودة الفنية</w:t>
      </w:r>
      <w:r>
        <w:rPr>
          <w:rFonts w:hint="cs"/>
          <w:rtl/>
          <w:lang w:bidi="fa-IR"/>
        </w:rPr>
        <w:t xml:space="preserve"> </w:t>
      </w:r>
      <w:r>
        <w:rPr>
          <w:rFonts w:hint="cs"/>
          <w:rtl/>
        </w:rPr>
        <w:br/>
      </w:r>
      <w:r>
        <w:rPr>
          <w:rFonts w:hint="cs"/>
          <w:rtl/>
          <w:lang w:bidi="fa-IR"/>
        </w:rPr>
        <w:t>(</w:t>
      </w:r>
      <w:r>
        <w:t>Flash Back</w:t>
      </w:r>
      <w:r>
        <w:rPr>
          <w:rFonts w:hint="cs"/>
          <w:rtl/>
          <w:lang w:bidi="fa-IR"/>
        </w:rPr>
        <w:t>)</w:t>
      </w:r>
      <w:r>
        <w:rPr>
          <w:rtl/>
          <w:lang w:bidi="fa-IR"/>
        </w:rPr>
        <w:t>، وفيها يقوم بطل القصة باستذكار شريط الأحداث</w:t>
      </w:r>
      <w:r>
        <w:rPr>
          <w:rFonts w:hint="cs"/>
          <w:rtl/>
          <w:lang w:bidi="fa-IR"/>
        </w:rPr>
        <w:t>،</w:t>
      </w:r>
      <w:r>
        <w:rPr>
          <w:rtl/>
          <w:lang w:bidi="fa-IR"/>
        </w:rPr>
        <w:t xml:space="preserve"> وتتداعى في ذهنه آراء الآخرين. نمط آخر للحديث الأ</w:t>
      </w:r>
      <w:r>
        <w:rPr>
          <w:rFonts w:hint="cs"/>
          <w:rtl/>
          <w:lang w:bidi="fa-IR"/>
        </w:rPr>
        <w:t>ُ</w:t>
      </w:r>
      <w:r>
        <w:rPr>
          <w:rtl/>
          <w:lang w:bidi="fa-IR"/>
        </w:rPr>
        <w:t>حادي وهو الحديث الأ</w:t>
      </w:r>
      <w:r>
        <w:rPr>
          <w:rFonts w:hint="cs"/>
          <w:rtl/>
          <w:lang w:bidi="fa-IR"/>
        </w:rPr>
        <w:t>ُ</w:t>
      </w:r>
      <w:r>
        <w:rPr>
          <w:rtl/>
          <w:lang w:bidi="fa-IR"/>
        </w:rPr>
        <w:t>حادي الاستعراضي</w:t>
      </w:r>
      <w:r>
        <w:rPr>
          <w:rFonts w:hint="cs"/>
          <w:rtl/>
          <w:lang w:bidi="fa-IR"/>
        </w:rPr>
        <w:t xml:space="preserve"> </w:t>
      </w:r>
      <w:r>
        <w:rPr>
          <w:rFonts w:hint="cs"/>
          <w:rtl/>
        </w:rPr>
        <w:br/>
      </w:r>
      <w:r>
        <w:rPr>
          <w:rFonts w:hint="cs"/>
          <w:spacing w:val="-8"/>
          <w:rtl/>
          <w:lang w:bidi="fa-IR"/>
        </w:rPr>
        <w:t>(</w:t>
      </w:r>
      <w:r>
        <w:rPr>
          <w:spacing w:val="-8"/>
        </w:rPr>
        <w:t>Dramatic monologue</w:t>
      </w:r>
      <w:r>
        <w:rPr>
          <w:rFonts w:hint="cs"/>
          <w:spacing w:val="-8"/>
          <w:rtl/>
          <w:lang w:bidi="fa-IR"/>
        </w:rPr>
        <w:t>)</w:t>
      </w:r>
      <w:r>
        <w:rPr>
          <w:spacing w:val="-8"/>
          <w:rtl/>
          <w:lang w:bidi="fa-IR"/>
        </w:rPr>
        <w:t xml:space="preserve"> ويقصد به إعادة خلق لمشهد يحضره المشاهد، لكن لا تستطيع </w:t>
      </w:r>
      <w:r>
        <w:rPr>
          <w:rtl/>
          <w:lang w:bidi="fa-IR"/>
        </w:rPr>
        <w:t>شخصية القصة إقامة حوار معه لأي سبب كان، وفي إطار ذلك يلجأ إلى الحوار عن طريق حديث النفس، ليعوّض عن الإحساس بتجاهله، والكشف عن أفكار المشاهد وما يجول في خاطره من خلال التنبؤ بالأجوبة</w:t>
      </w:r>
      <w:r w:rsidRPr="00815C4C">
        <w:rPr>
          <w:rFonts w:cs="Taher" w:hint="cs"/>
          <w:vertAlign w:val="superscript"/>
          <w:rtl/>
        </w:rPr>
        <w:t>(</w:t>
      </w:r>
      <w:r w:rsidRPr="00815C4C">
        <w:rPr>
          <w:rFonts w:cs="Taher"/>
          <w:vertAlign w:val="superscript"/>
          <w:rtl/>
        </w:rPr>
        <w:footnoteReference w:id="1160"/>
      </w:r>
      <w:r w:rsidRPr="00815C4C">
        <w:rPr>
          <w:rFonts w:cs="Taher" w:hint="cs"/>
          <w:vertAlign w:val="superscript"/>
          <w:rtl/>
        </w:rPr>
        <w:t>)</w:t>
      </w:r>
      <w:r>
        <w:rPr>
          <w:rtl/>
          <w:lang w:bidi="fa-IR"/>
        </w:rPr>
        <w:t>. ويمكن القول</w:t>
      </w:r>
      <w:r>
        <w:rPr>
          <w:rFonts w:hint="cs"/>
          <w:rtl/>
          <w:lang w:bidi="fa-IR"/>
        </w:rPr>
        <w:t>:</w:t>
      </w:r>
      <w:r>
        <w:rPr>
          <w:rtl/>
          <w:lang w:bidi="fa-IR"/>
        </w:rPr>
        <w:t xml:space="preserve"> </w:t>
      </w:r>
      <w:r>
        <w:rPr>
          <w:rFonts w:hint="cs"/>
          <w:rtl/>
          <w:lang w:bidi="fa-IR"/>
        </w:rPr>
        <w:t>إ</w:t>
      </w:r>
      <w:r>
        <w:rPr>
          <w:rtl/>
          <w:lang w:bidi="fa-IR"/>
        </w:rPr>
        <w:t>نّ الحديث الأ</w:t>
      </w:r>
      <w:r>
        <w:rPr>
          <w:rFonts w:hint="cs"/>
          <w:rtl/>
          <w:lang w:bidi="fa-IR"/>
        </w:rPr>
        <w:t>ُ</w:t>
      </w:r>
      <w:r>
        <w:rPr>
          <w:rtl/>
          <w:lang w:bidi="fa-IR"/>
        </w:rPr>
        <w:t>حادي الاستعراضي فرصة يعيد الكاتب فيها خلق شخصية القصة، وبهذه الطريقة الحوارية، يبحث عن موقع له في خضم الأحداث. وبالطبع فإنّ الكاتب أثناء تسجيله لأنواع الحوارات، يستعين بمهاراته في إقامة قنوات الاتصال مع مختلف شرائح المجتمع، ويقوم بمحاولة إسقاط خصائصهم الشخصية والاجتماعية على شخصيات قصته، ليمنحها ثوباً من الواقع عبر الوصول إلى إحساس مشترك واستيعاب كامل لسلوكهم.</w:t>
      </w:r>
    </w:p>
    <w:p w:rsidR="00DD23C6" w:rsidRDefault="00DD23C6" w:rsidP="00EF7221">
      <w:pPr>
        <w:pStyle w:val="ac"/>
        <w:spacing w:line="199" w:lineRule="auto"/>
        <w:rPr>
          <w:rtl/>
          <w:lang w:bidi="fa-IR"/>
        </w:rPr>
      </w:pPr>
      <w:r>
        <w:rPr>
          <w:rtl/>
          <w:lang w:bidi="fa-IR"/>
        </w:rPr>
        <w:t xml:space="preserve">ولا ريب </w:t>
      </w:r>
      <w:r>
        <w:rPr>
          <w:rFonts w:hint="cs"/>
          <w:rtl/>
          <w:lang w:bidi="fa-IR"/>
        </w:rPr>
        <w:t>أ</w:t>
      </w:r>
      <w:r>
        <w:rPr>
          <w:rtl/>
          <w:lang w:bidi="fa-IR"/>
        </w:rPr>
        <w:t xml:space="preserve">نّ كتّاب القصص الواقعية المعاصرين أصبحوا يولون الدراسات والبحوث في حقل العلوم النفسية أهمية كبيرة، ومن خلال </w:t>
      </w:r>
      <w:r>
        <w:rPr>
          <w:rFonts w:hint="cs"/>
          <w:rtl/>
          <w:lang w:bidi="fa-IR"/>
        </w:rPr>
        <w:t>إطلاعهم</w:t>
      </w:r>
      <w:r>
        <w:rPr>
          <w:rtl/>
          <w:lang w:bidi="fa-IR"/>
        </w:rPr>
        <w:t xml:space="preserve"> على نظريات فرويد ويونغ</w:t>
      </w:r>
      <w:r>
        <w:rPr>
          <w:rFonts w:hint="cs"/>
          <w:rtl/>
          <w:lang w:bidi="fa-IR"/>
        </w:rPr>
        <w:t>،</w:t>
      </w:r>
      <w:r>
        <w:rPr>
          <w:rtl/>
          <w:lang w:bidi="fa-IR"/>
        </w:rPr>
        <w:t xml:space="preserve"> والتعرّف على حالات الوعي</w:t>
      </w:r>
      <w:r>
        <w:rPr>
          <w:rFonts w:hint="cs"/>
          <w:rtl/>
          <w:lang w:bidi="fa-IR"/>
        </w:rPr>
        <w:t xml:space="preserve"> </w:t>
      </w:r>
      <w:r>
        <w:rPr>
          <w:rtl/>
          <w:lang w:bidi="fa-IR"/>
        </w:rPr>
        <w:t>وتوظيفها في الحوارات الأ</w:t>
      </w:r>
      <w:r>
        <w:rPr>
          <w:rFonts w:hint="cs"/>
          <w:rtl/>
          <w:lang w:bidi="fa-IR"/>
        </w:rPr>
        <w:t>ُ</w:t>
      </w:r>
      <w:r>
        <w:rPr>
          <w:rtl/>
          <w:lang w:bidi="fa-IR"/>
        </w:rPr>
        <w:t xml:space="preserve">حادية في الأدب القصصي، تهيّأت الأسباب لولوجهم أعماق النفس الإنسانية، والتعرّف على أسرار </w:t>
      </w:r>
      <w:r>
        <w:rPr>
          <w:rtl/>
          <w:lang w:bidi="fa-IR"/>
        </w:rPr>
        <w:lastRenderedPageBreak/>
        <w:t>الوعي ومكنوناته،</w:t>
      </w:r>
      <w:r w:rsidRPr="00815C4C">
        <w:rPr>
          <w:rFonts w:cs="Taher" w:hint="cs"/>
          <w:vertAlign w:val="superscript"/>
          <w:rtl/>
        </w:rPr>
        <w:t>(</w:t>
      </w:r>
      <w:r w:rsidRPr="00815C4C">
        <w:rPr>
          <w:rFonts w:cs="Taher"/>
          <w:vertAlign w:val="superscript"/>
          <w:rtl/>
        </w:rPr>
        <w:footnoteReference w:id="1161"/>
      </w:r>
      <w:r w:rsidRPr="00815C4C">
        <w:rPr>
          <w:rFonts w:cs="Taher" w:hint="cs"/>
          <w:vertAlign w:val="superscript"/>
          <w:rtl/>
        </w:rPr>
        <w:t>)</w:t>
      </w:r>
      <w:r>
        <w:rPr>
          <w:rtl/>
          <w:lang w:bidi="fa-IR"/>
        </w:rPr>
        <w:t xml:space="preserve"> فضلاً عن حضور واضح للرؤية السوسيولوجية الاجتماعية في أعمالهم، وهو ما يتجلّى في الإشارة إلى المذاهب والأفكار الاجتماعية عند معالجة الشخصيات وبحسب ما يقتضيه موضوع القصة. </w:t>
      </w:r>
    </w:p>
    <w:p w:rsidR="00DD23C6" w:rsidRDefault="00DD23C6" w:rsidP="00EF7221">
      <w:pPr>
        <w:pStyle w:val="ac"/>
        <w:spacing w:line="199" w:lineRule="auto"/>
        <w:rPr>
          <w:rtl/>
          <w:lang w:bidi="fa-IR"/>
        </w:rPr>
      </w:pPr>
      <w:r>
        <w:rPr>
          <w:rtl/>
          <w:lang w:bidi="fa-IR"/>
        </w:rPr>
        <w:t>ولعلّ أكثر الأفكار الواقعية التي تركت ظلالها الكثيفة على الفن القصصي في القرن العشرين هي الواقعية الاشتراكية</w:t>
      </w:r>
      <w:r>
        <w:rPr>
          <w:rFonts w:hint="cs"/>
          <w:rtl/>
          <w:lang w:bidi="fa-IR"/>
        </w:rPr>
        <w:t>؛</w:t>
      </w:r>
      <w:r>
        <w:rPr>
          <w:rtl/>
          <w:lang w:bidi="fa-IR"/>
        </w:rPr>
        <w:t xml:space="preserve"> لأنّ الكاتب في هذا النوع من الواقعية يتعاطى مع شخصيات القصة من وحي خبرته بأبعاد النظام الاجتماعي وعلاقات الأفراد وطريقة التعامل معهم، والصراعات الطبقية وتضارب المصالح، فينعكس ذلك على الأجواء العامة في قصته وتجسيده للهموم الاجتماعية التي تظهر في تعبيرات الاضطراب والتمرّد التي تصدر عن شخصيات القصة وفي سلوكهم وأقوالهم، ومن المؤكّد </w:t>
      </w:r>
      <w:r>
        <w:rPr>
          <w:rFonts w:hint="cs"/>
          <w:rtl/>
          <w:lang w:bidi="fa-IR"/>
        </w:rPr>
        <w:t>أ</w:t>
      </w:r>
      <w:r>
        <w:rPr>
          <w:rtl/>
          <w:lang w:bidi="fa-IR"/>
        </w:rPr>
        <w:t xml:space="preserve">نّ الالتزام بهذه </w:t>
      </w:r>
      <w:r>
        <w:rPr>
          <w:rFonts w:hint="cs"/>
          <w:rtl/>
          <w:lang w:bidi="fa-IR"/>
        </w:rPr>
        <w:t>الأُمور</w:t>
      </w:r>
      <w:r>
        <w:rPr>
          <w:rtl/>
          <w:lang w:bidi="fa-IR"/>
        </w:rPr>
        <w:t xml:space="preserve"> </w:t>
      </w:r>
      <w:r>
        <w:rPr>
          <w:rFonts w:hint="cs"/>
          <w:rtl/>
          <w:lang w:bidi="fa-IR"/>
        </w:rPr>
        <w:t>أضحى سمة</w:t>
      </w:r>
      <w:r>
        <w:rPr>
          <w:rtl/>
          <w:lang w:bidi="fa-IR"/>
        </w:rPr>
        <w:t xml:space="preserve"> بارزة للفن القصصي في لبنان، ولعلّ أعمال مشاهير الكتّاب في هذا البلد</w:t>
      </w:r>
      <w:r>
        <w:rPr>
          <w:rFonts w:hint="cs"/>
          <w:rtl/>
          <w:lang w:bidi="fa-IR"/>
        </w:rPr>
        <w:t>،</w:t>
      </w:r>
      <w:r>
        <w:rPr>
          <w:rtl/>
          <w:lang w:bidi="fa-IR"/>
        </w:rPr>
        <w:t xml:space="preserve"> مثل توفيق يوسف عوّاد</w:t>
      </w:r>
      <w:r w:rsidRPr="00815C4C">
        <w:rPr>
          <w:rFonts w:cs="Taher" w:hint="cs"/>
          <w:vertAlign w:val="superscript"/>
          <w:rtl/>
        </w:rPr>
        <w:t>(</w:t>
      </w:r>
      <w:r w:rsidRPr="00815C4C">
        <w:rPr>
          <w:rFonts w:cs="Taher"/>
          <w:vertAlign w:val="superscript"/>
          <w:rtl/>
        </w:rPr>
        <w:footnoteReference w:id="1162"/>
      </w:r>
      <w:r w:rsidRPr="00815C4C">
        <w:rPr>
          <w:rFonts w:cs="Taher" w:hint="cs"/>
          <w:vertAlign w:val="superscript"/>
          <w:rtl/>
        </w:rPr>
        <w:t>)</w:t>
      </w:r>
      <w:r>
        <w:rPr>
          <w:rtl/>
          <w:lang w:bidi="fa-IR"/>
        </w:rPr>
        <w:t xml:space="preserve"> وفؤاد كنعان والسيدة </w:t>
      </w:r>
      <w:r>
        <w:rPr>
          <w:rFonts w:hint="cs"/>
          <w:rtl/>
          <w:lang w:bidi="fa-IR"/>
        </w:rPr>
        <w:t>أميلي</w:t>
      </w:r>
      <w:r>
        <w:rPr>
          <w:rtl/>
          <w:lang w:bidi="fa-IR"/>
        </w:rPr>
        <w:t xml:space="preserve"> نصر الله تدخل في هذا السياق</w:t>
      </w:r>
      <w:r>
        <w:rPr>
          <w:rFonts w:hint="cs"/>
          <w:rtl/>
          <w:lang w:bidi="fa-IR"/>
        </w:rPr>
        <w:t>،</w:t>
      </w:r>
      <w:r>
        <w:rPr>
          <w:rtl/>
          <w:lang w:bidi="fa-IR"/>
        </w:rPr>
        <w:t xml:space="preserve"> ولهذا فهي بحاجة إلى دراسة وتحليل</w:t>
      </w:r>
      <w:r w:rsidRPr="00815C4C">
        <w:rPr>
          <w:rFonts w:cs="Taher" w:hint="cs"/>
          <w:vertAlign w:val="superscript"/>
          <w:rtl/>
        </w:rPr>
        <w:t>(</w:t>
      </w:r>
      <w:r w:rsidRPr="00815C4C">
        <w:rPr>
          <w:rFonts w:cs="Taher"/>
          <w:vertAlign w:val="superscript"/>
          <w:rtl/>
        </w:rPr>
        <w:footnoteReference w:id="1163"/>
      </w:r>
      <w:r w:rsidRPr="00815C4C">
        <w:rPr>
          <w:rFonts w:cs="Taher" w:hint="cs"/>
          <w:vertAlign w:val="superscript"/>
          <w:rtl/>
        </w:rPr>
        <w:t>)</w:t>
      </w:r>
      <w:r>
        <w:rPr>
          <w:rtl/>
          <w:lang w:bidi="fa-IR"/>
        </w:rPr>
        <w:t>.</w:t>
      </w:r>
    </w:p>
    <w:p w:rsidR="00DD23C6" w:rsidRPr="00EF7221" w:rsidRDefault="00DD23C6" w:rsidP="00EF7221">
      <w:pPr>
        <w:pStyle w:val="afffffc"/>
        <w:rPr>
          <w:sz w:val="16"/>
          <w:szCs w:val="14"/>
          <w:rtl/>
          <w:lang w:bidi="fa-IR"/>
        </w:rPr>
      </w:pPr>
    </w:p>
    <w:p w:rsidR="00DD23C6" w:rsidRDefault="00DD23C6" w:rsidP="00DD23C6">
      <w:pPr>
        <w:pStyle w:val="1"/>
        <w:rPr>
          <w:rtl/>
        </w:rPr>
      </w:pPr>
      <w:bookmarkStart w:id="719" w:name="_Toc275128343"/>
      <w:r>
        <w:rPr>
          <w:rtl/>
          <w:lang w:bidi="fa-IR"/>
        </w:rPr>
        <w:t>استنتاج</w:t>
      </w:r>
      <w:bookmarkEnd w:id="719"/>
      <w:r>
        <w:rPr>
          <w:rFonts w:hint="cs"/>
          <w:rtl/>
          <w:lang w:bidi="fa-IR"/>
        </w:rPr>
        <w:t xml:space="preserve"> </w:t>
      </w:r>
    </w:p>
    <w:p w:rsidR="00DD23C6" w:rsidRDefault="00DD23C6" w:rsidP="00DD23C6">
      <w:pPr>
        <w:pStyle w:val="ac"/>
        <w:rPr>
          <w:rtl/>
        </w:rPr>
      </w:pPr>
      <w:r>
        <w:rPr>
          <w:rtl/>
          <w:lang w:bidi="fa-IR"/>
        </w:rPr>
        <w:t>تعتبر الحركة النسائية المعاصرة نتيجة طبيعية لأ</w:t>
      </w:r>
      <w:r>
        <w:rPr>
          <w:rFonts w:hint="cs"/>
          <w:rtl/>
          <w:lang w:bidi="fa-IR"/>
        </w:rPr>
        <w:t>ُ</w:t>
      </w:r>
      <w:r>
        <w:rPr>
          <w:rtl/>
          <w:lang w:bidi="fa-IR"/>
        </w:rPr>
        <w:t xml:space="preserve">سلوب تعاطي المجتمع مع المرأة في الحقب الماضية، ومن البديهي أن تختلف التجربة الثقافية في المشرق العربي عنها في العالم الغربي، وبالتالي </w:t>
      </w:r>
      <w:r>
        <w:rPr>
          <w:rFonts w:hint="cs"/>
          <w:rtl/>
          <w:lang w:bidi="fa-IR"/>
        </w:rPr>
        <w:t>تختلف</w:t>
      </w:r>
      <w:r>
        <w:rPr>
          <w:rtl/>
          <w:lang w:bidi="fa-IR"/>
        </w:rPr>
        <w:t xml:space="preserve"> النتائج المتمخضة عن كلتا التجربتين. من هذا المنطلق، فإنّه عند معالجة القضايا الشرقية لم تؤخذ هواجس المرأة الغربية وهمومها بعين الاعتبار، وذلك لاختلاف ذهنية المرأة الشرقية وقضاياها المستوحاة من أعماق الثقافة المشرقية. ولا شكّ </w:t>
      </w:r>
      <w:r>
        <w:rPr>
          <w:rFonts w:hint="cs"/>
          <w:rtl/>
          <w:lang w:bidi="fa-IR"/>
        </w:rPr>
        <w:lastRenderedPageBreak/>
        <w:t>أ</w:t>
      </w:r>
      <w:r>
        <w:rPr>
          <w:rtl/>
          <w:lang w:bidi="fa-IR"/>
        </w:rPr>
        <w:t>نّ الأديبة اللبنانية استطاعت بقلمها البارع أن ترسم ملامح هذه الذهنية إيجازاً وتفصيلاً عبر الرواية والقصة القصيرة، مستلهمة خصوصياتها من المدرستين الرومانسية والواقعية، وكذلك المدرسة الرمزية، لهذا السبب نرى الأدب النسائي يزخر بمفاهيم الغرور والغيرة والاستئثار ومشاعر التحدّي، والنزعة التشريفاتية، والعزوبية، ومكر النساء، والعلاقات الزوجية، ومسؤوليات الأ</w:t>
      </w:r>
      <w:r>
        <w:rPr>
          <w:rFonts w:hint="cs"/>
          <w:rtl/>
          <w:lang w:bidi="fa-IR"/>
        </w:rPr>
        <w:t>ُ</w:t>
      </w:r>
      <w:r>
        <w:rPr>
          <w:rtl/>
          <w:lang w:bidi="fa-IR"/>
        </w:rPr>
        <w:t>م</w:t>
      </w:r>
      <w:r>
        <w:rPr>
          <w:rFonts w:hint="cs"/>
          <w:rtl/>
          <w:lang w:bidi="fa-IR"/>
        </w:rPr>
        <w:t>ّ</w:t>
      </w:r>
      <w:r>
        <w:rPr>
          <w:rtl/>
          <w:lang w:bidi="fa-IR"/>
        </w:rPr>
        <w:t>، والإيمان بالله، والنجاحات العلمية وفكرة التفوق للتخلص من نير التبعية المطلقة. وفي هذا الإطار تتبلور قضايا جديرة بالتأمّل</w:t>
      </w:r>
      <w:r>
        <w:rPr>
          <w:rFonts w:hint="cs"/>
          <w:rtl/>
          <w:lang w:bidi="fa-IR"/>
        </w:rPr>
        <w:t>،</w:t>
      </w:r>
      <w:r>
        <w:rPr>
          <w:rtl/>
          <w:lang w:bidi="fa-IR"/>
        </w:rPr>
        <w:t xml:space="preserve"> نذكر منها:</w:t>
      </w:r>
    </w:p>
    <w:p w:rsidR="00DD23C6" w:rsidRDefault="00DD23C6" w:rsidP="00DD23C6">
      <w:pPr>
        <w:pStyle w:val="ac"/>
        <w:rPr>
          <w:rtl/>
          <w:lang w:bidi="fa-IR"/>
        </w:rPr>
      </w:pPr>
      <w:r>
        <w:rPr>
          <w:rFonts w:hint="cs"/>
          <w:rtl/>
          <w:lang w:bidi="fa-IR"/>
        </w:rPr>
        <w:t xml:space="preserve">ـ </w:t>
      </w:r>
      <w:r>
        <w:rPr>
          <w:rtl/>
          <w:lang w:bidi="fa-IR"/>
        </w:rPr>
        <w:t>اتّساع نطاق قانون (صراع البقاء) ليشمل المحيط الأ</w:t>
      </w:r>
      <w:r>
        <w:rPr>
          <w:rFonts w:hint="cs"/>
          <w:rtl/>
          <w:lang w:bidi="fa-IR"/>
        </w:rPr>
        <w:t>ُ</w:t>
      </w:r>
      <w:r>
        <w:rPr>
          <w:rtl/>
          <w:lang w:bidi="fa-IR"/>
        </w:rPr>
        <w:t>سري.</w:t>
      </w:r>
    </w:p>
    <w:p w:rsidR="00DD23C6" w:rsidRDefault="00DD23C6" w:rsidP="00DD23C6">
      <w:pPr>
        <w:pStyle w:val="ac"/>
      </w:pPr>
      <w:r>
        <w:rPr>
          <w:rFonts w:hint="cs"/>
          <w:rtl/>
          <w:lang w:bidi="fa-IR"/>
        </w:rPr>
        <w:t xml:space="preserve">ـ </w:t>
      </w:r>
      <w:r>
        <w:rPr>
          <w:rtl/>
          <w:lang w:bidi="fa-IR"/>
        </w:rPr>
        <w:t>طرح مقولة تفوّق الذكر على الأنثى التي تفضي إلى إمساك الزوج بمفاتيح القرار في المنزل (في حالة السلطة البطريركية المتعقلة)، وإلى فرض السيطرة والتسلّط (إذا ما تخلّى الرجل عن العقلانية) وأحياناً تؤدّي إلى التشدّد والعنف الذكوري، أو إلى الأخطار الجنسية.</w:t>
      </w:r>
    </w:p>
    <w:p w:rsidR="00DD23C6" w:rsidRDefault="00DD23C6" w:rsidP="00DD23C6">
      <w:pPr>
        <w:pStyle w:val="ac"/>
        <w:rPr>
          <w:rtl/>
          <w:lang w:bidi="fa-IR"/>
        </w:rPr>
      </w:pPr>
      <w:r>
        <w:rPr>
          <w:rtl/>
          <w:lang w:bidi="fa-IR"/>
        </w:rPr>
        <w:t>ويتجلّى نمط أ</w:t>
      </w:r>
      <w:r>
        <w:rPr>
          <w:rFonts w:hint="cs"/>
          <w:rtl/>
          <w:lang w:bidi="fa-IR"/>
        </w:rPr>
        <w:t>ُ</w:t>
      </w:r>
      <w:r>
        <w:rPr>
          <w:rtl/>
          <w:lang w:bidi="fa-IR"/>
        </w:rPr>
        <w:t>ثير من جراء ذلك التسلّط والسيطرة غير المباركة بانتظار ظهور مراحل نسائية، بيد أنّ الحقيقة القاتمة هي في الصعوبات غير المألوفة للمهنة، وهي صعوبات لا تفرزها طبيعة المهنة نفسها، بل تعود إلى العادات والتقاليد التي تحكم المجتمع فتنشأ تبعاً لذلك مسألة تحديد الأدوار على أساس الجنس، وقد تتفاقم لتشمل التحديد الجنسي في اكتساب العلوم أيضاً، فيتسبّب ذلك في بروز أهم</w:t>
      </w:r>
      <w:r>
        <w:rPr>
          <w:rFonts w:hint="cs"/>
          <w:rtl/>
          <w:lang w:bidi="fa-IR"/>
        </w:rPr>
        <w:t>ّ</w:t>
      </w:r>
      <w:r>
        <w:rPr>
          <w:rtl/>
          <w:lang w:bidi="fa-IR"/>
        </w:rPr>
        <w:t xml:space="preserve"> الآثار السلبية</w:t>
      </w:r>
      <w:r>
        <w:rPr>
          <w:rFonts w:hint="cs"/>
          <w:rtl/>
          <w:lang w:bidi="fa-IR"/>
        </w:rPr>
        <w:t>،</w:t>
      </w:r>
      <w:r>
        <w:rPr>
          <w:rtl/>
          <w:lang w:bidi="fa-IR"/>
        </w:rPr>
        <w:t xml:space="preserve"> ألا وهي المشاكل النفسية</w:t>
      </w:r>
      <w:r>
        <w:rPr>
          <w:rFonts w:hint="cs"/>
          <w:rtl/>
          <w:lang w:bidi="fa-IR"/>
        </w:rPr>
        <w:t xml:space="preserve"> ـ</w:t>
      </w:r>
      <w:r>
        <w:rPr>
          <w:rtl/>
          <w:lang w:bidi="fa-IR"/>
        </w:rPr>
        <w:t xml:space="preserve"> الجسمية متجسّدة في حالة الذهان، ذلك أنّ المطلوب من المرأة هو البقاء في دائرة الوظائف المنزلية الأمر الذي يؤدّى إلى استثارتها وإرغامها على إبداء ردود فعل متعددة ليس آخرها النسوية المَرَضية.</w:t>
      </w:r>
    </w:p>
    <w:p w:rsidR="00DD23C6" w:rsidRDefault="00DD23C6" w:rsidP="00DD23C6">
      <w:pPr>
        <w:pStyle w:val="ac"/>
        <w:rPr>
          <w:rtl/>
          <w:lang w:bidi="fa-IR"/>
        </w:rPr>
        <w:sectPr w:rsidR="00DD23C6" w:rsidSect="006628C6">
          <w:headerReference w:type="even" r:id="rId127"/>
          <w:headerReference w:type="default" r:id="rId128"/>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DD23C6" w:rsidRDefault="00DD23C6" w:rsidP="00DD23C6">
      <w:pPr>
        <w:pStyle w:val="ac"/>
        <w:rPr>
          <w:rtl/>
          <w:lang w:bidi="fa-IR"/>
        </w:rPr>
      </w:pPr>
    </w:p>
    <w:p w:rsidR="00DD23C6" w:rsidRDefault="00DD23C6">
      <w:pPr>
        <w:widowControl/>
        <w:bidi w:val="0"/>
        <w:spacing w:line="240" w:lineRule="auto"/>
        <w:ind w:firstLine="0"/>
        <w:jc w:val="left"/>
        <w:outlineLvl w:val="9"/>
        <w:rPr>
          <w:rFonts w:ascii="Arno Pro Display" w:hAnsi="Arno Pro Display"/>
          <w:sz w:val="28"/>
          <w:szCs w:val="30"/>
          <w:rtl/>
          <w:lang w:bidi="fa-IR"/>
        </w:rPr>
      </w:pPr>
      <w:r>
        <w:rPr>
          <w:rtl/>
          <w:lang w:bidi="fa-IR"/>
        </w:rPr>
        <w:br w:type="page"/>
      </w:r>
    </w:p>
    <w:bookmarkEnd w:id="511"/>
    <w:bookmarkEnd w:id="512"/>
    <w:p w:rsidR="00C72BD0" w:rsidRDefault="00C72BD0" w:rsidP="009C37D3">
      <w:pPr>
        <w:pStyle w:val="ac"/>
        <w:rPr>
          <w:rtl/>
        </w:rPr>
        <w:sectPr w:rsidR="00C72BD0" w:rsidSect="00AB2B14">
          <w:headerReference w:type="even" r:id="rId129"/>
          <w:headerReference w:type="default" r:id="rId130"/>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A56F32" w:rsidRDefault="00A56F32" w:rsidP="00027BD1">
      <w:pPr>
        <w:pStyle w:val="ac"/>
        <w:rPr>
          <w:rtl/>
        </w:rPr>
      </w:pPr>
    </w:p>
    <w:p w:rsidR="00EF7221" w:rsidRDefault="00EF7221">
      <w:pPr>
        <w:widowControl/>
        <w:bidi w:val="0"/>
        <w:spacing w:line="240" w:lineRule="auto"/>
        <w:ind w:firstLine="0"/>
        <w:jc w:val="left"/>
        <w:outlineLvl w:val="9"/>
        <w:rPr>
          <w:rFonts w:ascii="Arno Pro Display" w:hAnsi="Arno Pro Display"/>
          <w:sz w:val="28"/>
          <w:szCs w:val="30"/>
          <w:rtl/>
        </w:rPr>
      </w:pPr>
      <w:r>
        <w:rPr>
          <w:rtl/>
        </w:rPr>
        <w:br w:type="page"/>
      </w:r>
    </w:p>
    <w:p w:rsidR="00AB55A8" w:rsidRDefault="00AB55A8" w:rsidP="009D7308">
      <w:pPr>
        <w:pStyle w:val="ac"/>
        <w:rPr>
          <w:rtl/>
        </w:rPr>
        <w:sectPr w:rsidR="00AB55A8" w:rsidSect="004652AB">
          <w:headerReference w:type="even" r:id="rId131"/>
          <w:headerReference w:type="default" r:id="rId132"/>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9D7308" w:rsidRDefault="009D7308" w:rsidP="009D7308">
      <w:pPr>
        <w:pStyle w:val="ac"/>
        <w:bidi w:val="0"/>
      </w:pPr>
    </w:p>
    <w:p w:rsidR="009D7308" w:rsidRDefault="009D7308" w:rsidP="00C72BD0">
      <w:pPr>
        <w:pStyle w:val="ac"/>
        <w:bidi w:val="0"/>
        <w:sectPr w:rsidR="009D7308" w:rsidSect="004652AB">
          <w:headerReference w:type="default" r:id="rId133"/>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674812" w:rsidRPr="00A87975" w:rsidRDefault="00674812" w:rsidP="005E5135">
      <w:pPr>
        <w:pStyle w:val="aff2"/>
        <w:rPr>
          <w:color w:val="000000" w:themeColor="text1"/>
          <w:rtl/>
        </w:rPr>
      </w:pPr>
      <w:bookmarkStart w:id="720" w:name="_Toc255949939"/>
      <w:bookmarkStart w:id="721" w:name="_Toc275128344"/>
      <w:r w:rsidRPr="00A87975">
        <w:rPr>
          <w:rFonts w:hint="cs"/>
          <w:color w:val="000000" w:themeColor="text1"/>
          <w:rtl/>
        </w:rPr>
        <w:lastRenderedPageBreak/>
        <w:t>ا</w:t>
      </w:r>
      <w:bookmarkEnd w:id="720"/>
      <w:r w:rsidR="005E5135" w:rsidRPr="00A87975">
        <w:rPr>
          <w:rFonts w:hint="cs"/>
          <w:color w:val="000000" w:themeColor="text1"/>
          <w:rtl/>
        </w:rPr>
        <w:t>لفهرس</w:t>
      </w:r>
      <w:bookmarkEnd w:id="721"/>
    </w:p>
    <w:p w:rsidR="00674812" w:rsidRPr="00A87975" w:rsidRDefault="00674812" w:rsidP="00674812">
      <w:pPr>
        <w:widowControl/>
        <w:spacing w:before="240"/>
        <w:ind w:firstLine="0"/>
        <w:jc w:val="left"/>
        <w:outlineLvl w:val="9"/>
        <w:rPr>
          <w:rFonts w:ascii="Calibri" w:hAnsi="Calibri"/>
          <w:color w:val="000000" w:themeColor="text1"/>
        </w:rPr>
        <w:sectPr w:rsidR="00674812" w:rsidRPr="00A87975" w:rsidSect="004652AB">
          <w:headerReference w:type="even" r:id="rId134"/>
          <w:headerReference w:type="default" r:id="rId135"/>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p>
    <w:p w:rsidR="00EF7221" w:rsidRPr="001F3648" w:rsidRDefault="00A6422F" w:rsidP="0008530B">
      <w:pPr>
        <w:pStyle w:val="TOC2"/>
        <w:rPr>
          <w:rFonts w:asciiTheme="minorHAnsi" w:eastAsiaTheme="minorEastAsia" w:hAnsiTheme="minorHAnsi" w:cstheme="minorBidi"/>
          <w:szCs w:val="22"/>
          <w:rtl/>
          <w:lang w:eastAsia="en-US"/>
        </w:rPr>
      </w:pPr>
      <w:r w:rsidRPr="00A6422F">
        <w:rPr>
          <w:rtl/>
        </w:rPr>
        <w:lastRenderedPageBreak/>
        <w:fldChar w:fldCharType="begin"/>
      </w:r>
      <w:r w:rsidR="00C512F9" w:rsidRPr="001F3648">
        <w:rPr>
          <w:rtl/>
        </w:rPr>
        <w:instrText xml:space="preserve"> </w:instrText>
      </w:r>
      <w:r w:rsidR="00C512F9" w:rsidRPr="001F3648">
        <w:instrText>TOC</w:instrText>
      </w:r>
      <w:r w:rsidR="00C512F9" w:rsidRPr="001F3648">
        <w:rPr>
          <w:rtl/>
        </w:rPr>
        <w:instrText xml:space="preserve"> \</w:instrText>
      </w:r>
      <w:r w:rsidR="00C512F9" w:rsidRPr="001F3648">
        <w:instrText>h \z \t</w:instrText>
      </w:r>
      <w:r w:rsidR="00C512F9" w:rsidRPr="001F3648">
        <w:rPr>
          <w:rtl/>
        </w:rPr>
        <w:instrText xml:space="preserve"> "عنوان(1) ـ المتن,2,عنوان(2) ـ المتن,3,عنوان(3) ـ المتن,4,عنوان(4) ـ المتن,5,اسم الكاتب,6,العنوان الأساسي,1" </w:instrText>
      </w:r>
      <w:r w:rsidRPr="00A6422F">
        <w:rPr>
          <w:rtl/>
        </w:rPr>
        <w:fldChar w:fldCharType="separate"/>
      </w:r>
      <w:hyperlink w:anchor="_Toc275127854" w:history="1">
        <w:r w:rsidR="00EF7221" w:rsidRPr="001F3648">
          <w:rPr>
            <w:rStyle w:val="Hyperlink"/>
            <w:rFonts w:hint="eastAsia"/>
            <w:color w:val="000000" w:themeColor="text1"/>
            <w:sz w:val="24"/>
            <w:szCs w:val="28"/>
            <w:u w:val="none"/>
            <w:rtl/>
          </w:rPr>
          <w:t>كلمة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المجلّة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Toc275127854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7</w:t>
        </w:r>
        <w:r w:rsidRPr="001F3648">
          <w:rPr>
            <w:webHidden/>
            <w:rtl/>
          </w:rPr>
          <w:fldChar w:fldCharType="end"/>
        </w:r>
      </w:hyperlink>
    </w:p>
    <w:p w:rsidR="00EF7221" w:rsidRPr="00575C73" w:rsidRDefault="00EF7221" w:rsidP="0008530B">
      <w:pPr>
        <w:pStyle w:val="TOC1"/>
        <w:spacing w:line="204" w:lineRule="auto"/>
        <w:jc w:val="center"/>
        <w:rPr>
          <w:rStyle w:val="Hyperlink"/>
          <w:color w:val="000000" w:themeColor="text1"/>
          <w:sz w:val="2"/>
          <w:szCs w:val="6"/>
          <w:u w:val="none"/>
          <w:rtl/>
        </w:rPr>
      </w:pPr>
    </w:p>
    <w:p w:rsidR="00EF7221" w:rsidRPr="001F3648" w:rsidRDefault="00A6422F" w:rsidP="0008530B">
      <w:pPr>
        <w:pStyle w:val="TOC1"/>
        <w:spacing w:line="204" w:lineRule="auto"/>
        <w:jc w:val="center"/>
        <w:rPr>
          <w:rFonts w:asciiTheme="minorHAnsi" w:eastAsiaTheme="minorEastAsia" w:hAnsiTheme="minorHAnsi" w:cstheme="minorBidi"/>
          <w:color w:val="000000" w:themeColor="text1"/>
          <w:sz w:val="22"/>
          <w:szCs w:val="22"/>
          <w:rtl/>
          <w:lang w:eastAsia="en-US"/>
        </w:rPr>
      </w:pPr>
      <w:hyperlink w:anchor="_Toc275127856" w:history="1">
        <w:r w:rsidR="00EF7221" w:rsidRPr="001F3648">
          <w:rPr>
            <w:rStyle w:val="Hyperlink"/>
            <w:rFonts w:hint="cs"/>
            <w:color w:val="000000" w:themeColor="text1"/>
            <w:u w:val="none"/>
            <w:rtl/>
          </w:rPr>
          <w:t>المدخل:</w:t>
        </w:r>
      </w:hyperlink>
      <w:r w:rsidR="00EF7221" w:rsidRPr="001F3648">
        <w:rPr>
          <w:rStyle w:val="Hyperlink"/>
          <w:rFonts w:hint="cs"/>
          <w:color w:val="000000" w:themeColor="text1"/>
          <w:u w:val="none"/>
          <w:rtl/>
        </w:rPr>
        <w:t xml:space="preserve"> </w:t>
      </w:r>
      <w:hyperlink w:anchor="_Toc275127857" w:history="1">
        <w:r w:rsidR="00EF7221" w:rsidRPr="001F3648">
          <w:rPr>
            <w:rStyle w:val="Hyperlink"/>
            <w:rFonts w:hint="cs"/>
            <w:color w:val="000000" w:themeColor="text1"/>
            <w:u w:val="none"/>
            <w:rtl/>
          </w:rPr>
          <w:t>قضايا</w:t>
        </w:r>
      </w:hyperlink>
      <w:r w:rsidR="00EF7221" w:rsidRPr="001F3648">
        <w:rPr>
          <w:rStyle w:val="Hyperlink"/>
          <w:rFonts w:hint="cs"/>
          <w:color w:val="000000" w:themeColor="text1"/>
          <w:u w:val="none"/>
          <w:rtl/>
        </w:rPr>
        <w:t xml:space="preserve"> المرأة </w:t>
      </w:r>
      <w:hyperlink w:anchor="_Toc275127858" w:history="1">
        <w:r w:rsidR="00EF7221" w:rsidRPr="001F3648">
          <w:rPr>
            <w:rStyle w:val="Hyperlink"/>
            <w:rFonts w:hint="eastAsia"/>
            <w:color w:val="000000" w:themeColor="text1"/>
            <w:u w:val="none"/>
            <w:rtl/>
          </w:rPr>
          <w:t>وأشكال</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المساهمات</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المعرفية</w:t>
        </w:r>
      </w:hyperlink>
    </w:p>
    <w:p w:rsidR="00EF7221" w:rsidRPr="001F3648" w:rsidRDefault="0008530B" w:rsidP="0008530B">
      <w:pPr>
        <w:pStyle w:val="TOC6"/>
        <w:spacing w:line="204" w:lineRule="auto"/>
        <w:rPr>
          <w:rStyle w:val="Hyperlink"/>
          <w:color w:val="000000" w:themeColor="text1"/>
          <w:u w:val="none"/>
          <w:rtl/>
        </w:rPr>
      </w:pPr>
      <w:r>
        <w:rPr>
          <w:rFonts w:hint="cs"/>
          <w:rtl/>
        </w:rPr>
        <w:t xml:space="preserve">                       </w:t>
      </w:r>
      <w:hyperlink w:anchor="_Toc275127860" w:history="1">
        <w:r w:rsidR="00EF7221" w:rsidRPr="001F3648">
          <w:rPr>
            <w:rStyle w:val="Hyperlink"/>
            <w:rFonts w:hint="eastAsia"/>
            <w:color w:val="000000" w:themeColor="text1"/>
            <w:u w:val="none"/>
            <w:rtl/>
          </w:rPr>
          <w:t>حيدر</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حبّ</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الله</w:t>
        </w:r>
        <w:r w:rsidR="00EF7221" w:rsidRPr="001F3648">
          <w:rPr>
            <w:webHidden/>
            <w:color w:val="000000" w:themeColor="text1"/>
            <w:rtl/>
          </w:rPr>
          <w:tab/>
        </w:r>
        <w:r w:rsidR="00A6422F"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Toc275127860 \h</w:instrText>
        </w:r>
        <w:r w:rsidR="00EF7221" w:rsidRPr="001F3648">
          <w:rPr>
            <w:webHidden/>
            <w:color w:val="000000" w:themeColor="text1"/>
            <w:rtl/>
          </w:rPr>
          <w:instrText xml:space="preserve"> </w:instrText>
        </w:r>
        <w:r w:rsidR="00A6422F" w:rsidRPr="001F3648">
          <w:rPr>
            <w:webHidden/>
            <w:color w:val="000000" w:themeColor="text1"/>
            <w:rtl/>
          </w:rPr>
        </w:r>
        <w:r w:rsidR="00A6422F" w:rsidRPr="001F3648">
          <w:rPr>
            <w:webHidden/>
            <w:color w:val="000000" w:themeColor="text1"/>
            <w:rtl/>
          </w:rPr>
          <w:fldChar w:fldCharType="separate"/>
        </w:r>
        <w:r w:rsidR="0071680A">
          <w:rPr>
            <w:webHidden/>
            <w:color w:val="000000" w:themeColor="text1"/>
            <w:rtl/>
          </w:rPr>
          <w:t>11</w:t>
        </w:r>
        <w:r w:rsidR="00A6422F" w:rsidRPr="001F3648">
          <w:rPr>
            <w:webHidden/>
            <w:color w:val="000000" w:themeColor="text1"/>
            <w:rtl/>
          </w:rPr>
          <w:fldChar w:fldCharType="end"/>
        </w:r>
      </w:hyperlink>
    </w:p>
    <w:p w:rsidR="00EF7221" w:rsidRPr="00575C73" w:rsidRDefault="00EF7221" w:rsidP="0008530B">
      <w:pPr>
        <w:spacing w:line="204" w:lineRule="auto"/>
        <w:rPr>
          <w:noProof/>
          <w:color w:val="000000" w:themeColor="text1"/>
          <w:sz w:val="8"/>
          <w:szCs w:val="12"/>
          <w:rtl/>
        </w:rPr>
      </w:pPr>
    </w:p>
    <w:p w:rsidR="00EF7221" w:rsidRPr="001F3648" w:rsidRDefault="00A6422F" w:rsidP="0008530B">
      <w:pPr>
        <w:pStyle w:val="TOC1"/>
        <w:spacing w:after="120" w:line="204" w:lineRule="auto"/>
        <w:jc w:val="center"/>
        <w:rPr>
          <w:rFonts w:asciiTheme="minorHAnsi" w:eastAsiaTheme="minorEastAsia" w:hAnsiTheme="minorHAnsi" w:cstheme="minorBidi"/>
          <w:color w:val="000000" w:themeColor="text1"/>
          <w:sz w:val="22"/>
          <w:szCs w:val="22"/>
          <w:rtl/>
          <w:lang w:eastAsia="en-US"/>
        </w:rPr>
      </w:pPr>
      <w:hyperlink w:anchor="_Toc275127861" w:history="1">
        <w:r w:rsidR="00EF7221" w:rsidRPr="001F3648">
          <w:rPr>
            <w:rStyle w:val="Hyperlink"/>
            <w:rFonts w:hint="eastAsia"/>
            <w:color w:val="000000" w:themeColor="text1"/>
            <w:u w:val="none"/>
            <w:rtl/>
          </w:rPr>
          <w:t>الفصل</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الأوّل</w:t>
        </w:r>
      </w:hyperlink>
      <w:r w:rsidR="00EF7221" w:rsidRPr="001F3648">
        <w:rPr>
          <w:rStyle w:val="Hyperlink"/>
          <w:rFonts w:hint="cs"/>
          <w:color w:val="000000" w:themeColor="text1"/>
          <w:u w:val="none"/>
          <w:rtl/>
        </w:rPr>
        <w:t xml:space="preserve">: </w:t>
      </w:r>
      <w:hyperlink w:anchor="_Toc275127862" w:history="1">
        <w:r w:rsidR="00EF7221" w:rsidRPr="001F3648">
          <w:rPr>
            <w:rStyle w:val="Hyperlink"/>
            <w:rFonts w:hint="eastAsia"/>
            <w:color w:val="000000" w:themeColor="text1"/>
            <w:u w:val="none"/>
            <w:rtl/>
          </w:rPr>
          <w:t>مقاربات</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فلسفية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وعرفانية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لقضايا</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المرأة</w:t>
        </w:r>
      </w:hyperlink>
    </w:p>
    <w:p w:rsidR="00EF7221" w:rsidRPr="001F3648" w:rsidRDefault="00A6422F" w:rsidP="0008530B">
      <w:pPr>
        <w:pStyle w:val="TOC1"/>
        <w:spacing w:line="204" w:lineRule="auto"/>
        <w:rPr>
          <w:rFonts w:asciiTheme="minorHAnsi" w:eastAsiaTheme="minorEastAsia" w:hAnsiTheme="minorHAnsi" w:cstheme="minorBidi"/>
          <w:color w:val="000000" w:themeColor="text1"/>
          <w:sz w:val="22"/>
          <w:szCs w:val="22"/>
          <w:rtl/>
          <w:lang w:eastAsia="en-US"/>
        </w:rPr>
      </w:pPr>
      <w:hyperlink w:anchor="_Toc275127863" w:history="1">
        <w:r w:rsidR="00EF7221" w:rsidRPr="001F3648">
          <w:rPr>
            <w:rStyle w:val="Hyperlink"/>
            <w:rFonts w:hint="eastAsia"/>
            <w:color w:val="000000" w:themeColor="text1"/>
            <w:u w:val="none"/>
            <w:rtl/>
          </w:rPr>
          <w:t>مسألة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المرأة</w:t>
        </w:r>
      </w:hyperlink>
      <w:r w:rsidR="00EF7221" w:rsidRPr="001F3648">
        <w:rPr>
          <w:rStyle w:val="Hyperlink"/>
          <w:rFonts w:hint="cs"/>
          <w:color w:val="000000" w:themeColor="text1"/>
          <w:u w:val="none"/>
          <w:rtl/>
        </w:rPr>
        <w:t xml:space="preserve">، </w:t>
      </w:r>
      <w:hyperlink w:anchor="_Toc275127864" w:history="1">
        <w:r w:rsidR="00EF7221" w:rsidRPr="001F3648">
          <w:rPr>
            <w:rStyle w:val="Hyperlink"/>
            <w:rFonts w:hint="eastAsia"/>
            <w:color w:val="000000" w:themeColor="text1"/>
            <w:u w:val="none"/>
            <w:rtl/>
          </w:rPr>
          <w:t>بين</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القوانين</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الفقهية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ونظام</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القيم</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الأخلاقية</w:t>
        </w:r>
        <w:r w:rsidR="00EF7221" w:rsidRPr="001F3648">
          <w:rPr>
            <w:rFonts w:ascii="Calibri" w:eastAsia="Times New Roman" w:hAnsi="Calibri" w:cs="Mosawi"/>
            <w:webHidden/>
            <w:color w:val="000000" w:themeColor="text1"/>
            <w:sz w:val="22"/>
            <w:szCs w:val="26"/>
            <w:rtl/>
            <w:lang w:eastAsia="en-US"/>
          </w:rPr>
          <w:tab/>
        </w:r>
        <w:r w:rsidRPr="001F3648">
          <w:rPr>
            <w:rFonts w:ascii="Calibri" w:eastAsia="Times New Roman" w:hAnsi="Calibri" w:cs="Mosawi"/>
            <w:webHidden/>
            <w:color w:val="000000" w:themeColor="text1"/>
            <w:sz w:val="22"/>
            <w:szCs w:val="26"/>
            <w:rtl/>
            <w:lang w:eastAsia="en-US"/>
          </w:rPr>
          <w:fldChar w:fldCharType="begin"/>
        </w:r>
        <w:r w:rsidR="00EF7221" w:rsidRPr="001F3648">
          <w:rPr>
            <w:rFonts w:ascii="Calibri" w:eastAsia="Times New Roman" w:hAnsi="Calibri" w:cs="Mosawi"/>
            <w:webHidden/>
            <w:color w:val="000000" w:themeColor="text1"/>
            <w:sz w:val="22"/>
            <w:szCs w:val="26"/>
            <w:rtl/>
            <w:lang w:eastAsia="en-US"/>
          </w:rPr>
          <w:instrText xml:space="preserve"> </w:instrText>
        </w:r>
        <w:r w:rsidR="00EF7221" w:rsidRPr="001F3648">
          <w:rPr>
            <w:rFonts w:ascii="Calibri" w:eastAsia="Times New Roman" w:hAnsi="Calibri" w:cs="Mosawi"/>
            <w:webHidden/>
            <w:color w:val="000000" w:themeColor="text1"/>
            <w:sz w:val="22"/>
            <w:szCs w:val="26"/>
            <w:lang w:eastAsia="en-US"/>
          </w:rPr>
          <w:instrText>PAGEREF</w:instrText>
        </w:r>
        <w:r w:rsidR="00EF7221" w:rsidRPr="001F3648">
          <w:rPr>
            <w:rFonts w:ascii="Calibri" w:eastAsia="Times New Roman" w:hAnsi="Calibri" w:cs="Mosawi"/>
            <w:webHidden/>
            <w:color w:val="000000" w:themeColor="text1"/>
            <w:sz w:val="22"/>
            <w:szCs w:val="26"/>
            <w:rtl/>
            <w:lang w:eastAsia="en-US"/>
          </w:rPr>
          <w:instrText xml:space="preserve"> _</w:instrText>
        </w:r>
        <w:r w:rsidR="00EF7221" w:rsidRPr="001F3648">
          <w:rPr>
            <w:rFonts w:ascii="Calibri" w:eastAsia="Times New Roman" w:hAnsi="Calibri" w:cs="Mosawi"/>
            <w:webHidden/>
            <w:color w:val="000000" w:themeColor="text1"/>
            <w:sz w:val="22"/>
            <w:szCs w:val="26"/>
            <w:lang w:eastAsia="en-US"/>
          </w:rPr>
          <w:instrText>Toc275127864 \h</w:instrText>
        </w:r>
        <w:r w:rsidR="00EF7221" w:rsidRPr="001F3648">
          <w:rPr>
            <w:rFonts w:ascii="Calibri" w:eastAsia="Times New Roman" w:hAnsi="Calibri" w:cs="Mosawi"/>
            <w:webHidden/>
            <w:color w:val="000000" w:themeColor="text1"/>
            <w:sz w:val="22"/>
            <w:szCs w:val="26"/>
            <w:rtl/>
            <w:lang w:eastAsia="en-US"/>
          </w:rPr>
          <w:instrText xml:space="preserve"> </w:instrText>
        </w:r>
        <w:r w:rsidRPr="001F3648">
          <w:rPr>
            <w:rFonts w:ascii="Calibri" w:eastAsia="Times New Roman" w:hAnsi="Calibri" w:cs="Mosawi"/>
            <w:webHidden/>
            <w:color w:val="000000" w:themeColor="text1"/>
            <w:sz w:val="22"/>
            <w:szCs w:val="26"/>
            <w:rtl/>
            <w:lang w:eastAsia="en-US"/>
          </w:rPr>
        </w:r>
        <w:r w:rsidRPr="001F3648">
          <w:rPr>
            <w:rFonts w:ascii="Calibri" w:eastAsia="Times New Roman" w:hAnsi="Calibri" w:cs="Mosawi"/>
            <w:webHidden/>
            <w:color w:val="000000" w:themeColor="text1"/>
            <w:sz w:val="22"/>
            <w:szCs w:val="26"/>
            <w:rtl/>
            <w:lang w:eastAsia="en-US"/>
          </w:rPr>
          <w:fldChar w:fldCharType="separate"/>
        </w:r>
        <w:r w:rsidR="0071680A">
          <w:rPr>
            <w:rFonts w:ascii="Calibri" w:eastAsia="Times New Roman" w:hAnsi="Calibri" w:cs="Mosawi"/>
            <w:webHidden/>
            <w:color w:val="000000" w:themeColor="text1"/>
            <w:sz w:val="22"/>
            <w:szCs w:val="26"/>
            <w:rtl/>
            <w:lang w:eastAsia="en-US"/>
          </w:rPr>
          <w:t>19</w:t>
        </w:r>
        <w:r w:rsidRPr="001F3648">
          <w:rPr>
            <w:rFonts w:ascii="Calibri" w:eastAsia="Times New Roman" w:hAnsi="Calibri" w:cs="Mosawi"/>
            <w:webHidden/>
            <w:color w:val="000000" w:themeColor="text1"/>
            <w:sz w:val="22"/>
            <w:szCs w:val="26"/>
            <w:rtl/>
            <w:lang w:eastAsia="en-US"/>
          </w:rPr>
          <w:fldChar w:fldCharType="end"/>
        </w:r>
      </w:hyperlink>
    </w:p>
    <w:p w:rsidR="00EF7221" w:rsidRPr="001F3648" w:rsidRDefault="00A6422F" w:rsidP="0008530B">
      <w:pPr>
        <w:pStyle w:val="TOC6"/>
        <w:spacing w:line="204" w:lineRule="auto"/>
        <w:rPr>
          <w:rFonts w:asciiTheme="minorHAnsi" w:eastAsiaTheme="minorEastAsia" w:hAnsiTheme="minorHAnsi" w:cstheme="minorBidi"/>
          <w:color w:val="000000" w:themeColor="text1"/>
          <w:szCs w:val="22"/>
          <w:rtl/>
        </w:rPr>
      </w:pPr>
      <w:hyperlink w:anchor="_Toc275127865" w:history="1">
        <w:r w:rsidR="00EF7221" w:rsidRPr="001F3648">
          <w:rPr>
            <w:rStyle w:val="Hyperlink"/>
            <w:rFonts w:hint="eastAsia"/>
            <w:color w:val="000000" w:themeColor="text1"/>
            <w:u w:val="none"/>
            <w:rtl/>
          </w:rPr>
          <w:t>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عبد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الكريم</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سروش</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Toc275127865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19</w:t>
        </w:r>
        <w:r w:rsidRPr="001F3648">
          <w:rPr>
            <w:webHidden/>
            <w:color w:val="000000" w:themeColor="text1"/>
            <w:rtl/>
          </w:rPr>
          <w:fldChar w:fldCharType="end"/>
        </w:r>
      </w:hyperlink>
    </w:p>
    <w:p w:rsidR="00EF7221" w:rsidRPr="001F3648" w:rsidRDefault="00A6422F" w:rsidP="0008530B">
      <w:pPr>
        <w:pStyle w:val="TOC6"/>
        <w:spacing w:line="204" w:lineRule="auto"/>
        <w:rPr>
          <w:rFonts w:asciiTheme="minorHAnsi" w:eastAsiaTheme="minorEastAsia" w:hAnsiTheme="minorHAnsi" w:cstheme="minorBidi"/>
          <w:color w:val="000000" w:themeColor="text1"/>
          <w:szCs w:val="22"/>
          <w:rtl/>
        </w:rPr>
      </w:pPr>
      <w:hyperlink w:anchor="_Toc275127866" w:history="1">
        <w:r w:rsidR="00EF7221" w:rsidRPr="001F3648">
          <w:rPr>
            <w:rStyle w:val="Hyperlink"/>
            <w:rFonts w:hint="eastAsia"/>
            <w:color w:val="000000" w:themeColor="text1"/>
            <w:u w:val="none"/>
            <w:rtl/>
          </w:rPr>
          <w:t>ترجمة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السيد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علي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عبّاس</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الموسوي</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Toc275127866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19</w:t>
        </w:r>
        <w:r w:rsidRPr="001F3648">
          <w:rPr>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867" w:history="1">
        <w:r w:rsidR="00EF7221" w:rsidRPr="001F3648">
          <w:rPr>
            <w:rStyle w:val="Hyperlink"/>
            <w:rFonts w:hint="eastAsia"/>
            <w:color w:val="000000" w:themeColor="text1"/>
            <w:sz w:val="24"/>
            <w:szCs w:val="28"/>
            <w:u w:val="none"/>
            <w:rtl/>
          </w:rPr>
          <w:t>المجتمع</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الديني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بين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الفقه</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والأخلاق</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Toc275127867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20</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868" w:history="1">
        <w:r w:rsidR="00EF7221" w:rsidRPr="001F3648">
          <w:rPr>
            <w:rStyle w:val="Hyperlink"/>
            <w:rFonts w:hint="eastAsia"/>
            <w:color w:val="000000" w:themeColor="text1"/>
            <w:sz w:val="24"/>
            <w:szCs w:val="28"/>
            <w:u w:val="none"/>
            <w:rtl/>
          </w:rPr>
          <w:t>نظام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القيم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علاقات</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الجنسين</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Toc275127868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21</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869" w:history="1">
        <w:r w:rsidR="00EF7221" w:rsidRPr="001F3648">
          <w:rPr>
            <w:rStyle w:val="Hyperlink"/>
            <w:rFonts w:hint="eastAsia"/>
            <w:color w:val="000000" w:themeColor="text1"/>
            <w:sz w:val="24"/>
            <w:szCs w:val="28"/>
            <w:u w:val="none"/>
            <w:rtl/>
          </w:rPr>
          <w:t>أصالة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التاريخية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الأحكام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التشريعية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الدينية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Toc275127869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22</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870" w:history="1">
        <w:r w:rsidR="00EF7221" w:rsidRPr="001F3648">
          <w:rPr>
            <w:rStyle w:val="Hyperlink"/>
            <w:rFonts w:hint="eastAsia"/>
            <w:color w:val="000000" w:themeColor="text1"/>
            <w:sz w:val="24"/>
            <w:szCs w:val="28"/>
            <w:u w:val="none"/>
            <w:rtl/>
          </w:rPr>
          <w:t>قضايا</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المرأة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وأسطرة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المقولات</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الدينية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Toc275127870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23</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871" w:history="1">
        <w:r w:rsidR="00EF7221" w:rsidRPr="001F3648">
          <w:rPr>
            <w:rStyle w:val="Hyperlink"/>
            <w:rFonts w:hint="eastAsia"/>
            <w:color w:val="000000" w:themeColor="text1"/>
            <w:sz w:val="24"/>
            <w:szCs w:val="28"/>
            <w:u w:val="none"/>
            <w:rtl/>
          </w:rPr>
          <w:t>مفهوم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المرأة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ودوره</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بلورة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قوانينها</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Toc275127871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25</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872" w:history="1">
        <w:r w:rsidR="00EF7221" w:rsidRPr="001F3648">
          <w:rPr>
            <w:rStyle w:val="Hyperlink"/>
            <w:rFonts w:hint="eastAsia"/>
            <w:color w:val="000000" w:themeColor="text1"/>
            <w:sz w:val="24"/>
            <w:szCs w:val="28"/>
            <w:u w:val="none"/>
            <w:rtl/>
          </w:rPr>
          <w:t>التاريخ</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النسوي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والإسهام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تكوين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صورة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عن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المرأة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Toc275127872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29</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873" w:history="1">
        <w:r w:rsidR="00EF7221" w:rsidRPr="001F3648">
          <w:rPr>
            <w:rStyle w:val="Hyperlink"/>
            <w:rFonts w:hint="eastAsia"/>
            <w:color w:val="000000" w:themeColor="text1"/>
            <w:sz w:val="24"/>
            <w:szCs w:val="28"/>
            <w:u w:val="none"/>
            <w:rtl/>
          </w:rPr>
          <w:t>مسألة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المرأة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والاختلافات</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النفسية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والبيولوجية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Toc275127873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32</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874" w:history="1">
        <w:r w:rsidR="00EF7221" w:rsidRPr="001F3648">
          <w:rPr>
            <w:rStyle w:val="Hyperlink"/>
            <w:rFonts w:hint="eastAsia"/>
            <w:color w:val="000000" w:themeColor="text1"/>
            <w:sz w:val="24"/>
            <w:szCs w:val="28"/>
            <w:u w:val="none"/>
            <w:rtl/>
          </w:rPr>
          <w:t>هل</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هناك</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قراءة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نسوية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للعالم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وقراءة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ذكورية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للوجود؟</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Toc275127874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33</w:t>
        </w:r>
        <w:r w:rsidRPr="001F3648">
          <w:rPr>
            <w:webHidden/>
            <w:rtl/>
          </w:rPr>
          <w:fldChar w:fldCharType="end"/>
        </w:r>
      </w:hyperlink>
    </w:p>
    <w:p w:rsidR="00EF7221" w:rsidRPr="001F3648" w:rsidRDefault="00A6422F" w:rsidP="0008530B">
      <w:pPr>
        <w:pStyle w:val="TOC1"/>
        <w:spacing w:line="204" w:lineRule="auto"/>
        <w:rPr>
          <w:rFonts w:asciiTheme="minorHAnsi" w:eastAsiaTheme="minorEastAsia" w:hAnsiTheme="minorHAnsi" w:cstheme="minorBidi"/>
          <w:color w:val="000000" w:themeColor="text1"/>
          <w:sz w:val="22"/>
          <w:szCs w:val="22"/>
          <w:rtl/>
          <w:lang w:eastAsia="en-US"/>
        </w:rPr>
      </w:pPr>
      <w:hyperlink w:anchor="_Toc275127875" w:history="1">
        <w:r w:rsidR="00EF7221" w:rsidRPr="001F3648">
          <w:rPr>
            <w:rStyle w:val="Hyperlink"/>
            <w:rFonts w:hint="eastAsia"/>
            <w:color w:val="000000" w:themeColor="text1"/>
            <w:u w:val="none"/>
            <w:rtl/>
          </w:rPr>
          <w:t>الإسلام،</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النسوية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وسيادة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الرجل</w:t>
        </w:r>
        <w:r w:rsidR="00EF7221" w:rsidRPr="001F3648">
          <w:rPr>
            <w:rFonts w:ascii="Calibri" w:eastAsia="Times New Roman" w:hAnsi="Calibri" w:cs="Mosawi"/>
            <w:webHidden/>
            <w:color w:val="000000" w:themeColor="text1"/>
            <w:sz w:val="22"/>
            <w:szCs w:val="26"/>
            <w:rtl/>
            <w:lang w:eastAsia="en-US"/>
          </w:rPr>
          <w:tab/>
        </w:r>
        <w:r w:rsidRPr="001F3648">
          <w:rPr>
            <w:rFonts w:ascii="Calibri" w:eastAsia="Times New Roman" w:hAnsi="Calibri" w:cs="Mosawi"/>
            <w:webHidden/>
            <w:color w:val="000000" w:themeColor="text1"/>
            <w:sz w:val="22"/>
            <w:szCs w:val="26"/>
            <w:rtl/>
            <w:lang w:eastAsia="en-US"/>
          </w:rPr>
          <w:fldChar w:fldCharType="begin"/>
        </w:r>
        <w:r w:rsidR="00EF7221" w:rsidRPr="001F3648">
          <w:rPr>
            <w:rFonts w:ascii="Calibri" w:eastAsia="Times New Roman" w:hAnsi="Calibri" w:cs="Mosawi"/>
            <w:webHidden/>
            <w:color w:val="000000" w:themeColor="text1"/>
            <w:sz w:val="22"/>
            <w:szCs w:val="26"/>
            <w:rtl/>
            <w:lang w:eastAsia="en-US"/>
          </w:rPr>
          <w:instrText xml:space="preserve"> </w:instrText>
        </w:r>
        <w:r w:rsidR="00EF7221" w:rsidRPr="001F3648">
          <w:rPr>
            <w:rFonts w:ascii="Calibri" w:eastAsia="Times New Roman" w:hAnsi="Calibri" w:cs="Mosawi"/>
            <w:webHidden/>
            <w:color w:val="000000" w:themeColor="text1"/>
            <w:sz w:val="22"/>
            <w:szCs w:val="26"/>
            <w:lang w:eastAsia="en-US"/>
          </w:rPr>
          <w:instrText>PAGEREF</w:instrText>
        </w:r>
        <w:r w:rsidR="00EF7221" w:rsidRPr="001F3648">
          <w:rPr>
            <w:rFonts w:ascii="Calibri" w:eastAsia="Times New Roman" w:hAnsi="Calibri" w:cs="Mosawi"/>
            <w:webHidden/>
            <w:color w:val="000000" w:themeColor="text1"/>
            <w:sz w:val="22"/>
            <w:szCs w:val="26"/>
            <w:rtl/>
            <w:lang w:eastAsia="en-US"/>
          </w:rPr>
          <w:instrText xml:space="preserve"> _</w:instrText>
        </w:r>
        <w:r w:rsidR="00EF7221" w:rsidRPr="001F3648">
          <w:rPr>
            <w:rFonts w:ascii="Calibri" w:eastAsia="Times New Roman" w:hAnsi="Calibri" w:cs="Mosawi"/>
            <w:webHidden/>
            <w:color w:val="000000" w:themeColor="text1"/>
            <w:sz w:val="22"/>
            <w:szCs w:val="26"/>
            <w:lang w:eastAsia="en-US"/>
          </w:rPr>
          <w:instrText>Toc275127875 \h</w:instrText>
        </w:r>
        <w:r w:rsidR="00EF7221" w:rsidRPr="001F3648">
          <w:rPr>
            <w:rFonts w:ascii="Calibri" w:eastAsia="Times New Roman" w:hAnsi="Calibri" w:cs="Mosawi"/>
            <w:webHidden/>
            <w:color w:val="000000" w:themeColor="text1"/>
            <w:sz w:val="22"/>
            <w:szCs w:val="26"/>
            <w:rtl/>
            <w:lang w:eastAsia="en-US"/>
          </w:rPr>
          <w:instrText xml:space="preserve"> </w:instrText>
        </w:r>
        <w:r w:rsidRPr="001F3648">
          <w:rPr>
            <w:rFonts w:ascii="Calibri" w:eastAsia="Times New Roman" w:hAnsi="Calibri" w:cs="Mosawi"/>
            <w:webHidden/>
            <w:color w:val="000000" w:themeColor="text1"/>
            <w:sz w:val="22"/>
            <w:szCs w:val="26"/>
            <w:rtl/>
            <w:lang w:eastAsia="en-US"/>
          </w:rPr>
        </w:r>
        <w:r w:rsidRPr="001F3648">
          <w:rPr>
            <w:rFonts w:ascii="Calibri" w:eastAsia="Times New Roman" w:hAnsi="Calibri" w:cs="Mosawi"/>
            <w:webHidden/>
            <w:color w:val="000000" w:themeColor="text1"/>
            <w:sz w:val="22"/>
            <w:szCs w:val="26"/>
            <w:rtl/>
            <w:lang w:eastAsia="en-US"/>
          </w:rPr>
          <w:fldChar w:fldCharType="separate"/>
        </w:r>
        <w:r w:rsidR="0071680A">
          <w:rPr>
            <w:rFonts w:ascii="Calibri" w:eastAsia="Times New Roman" w:hAnsi="Calibri" w:cs="Mosawi"/>
            <w:webHidden/>
            <w:color w:val="000000" w:themeColor="text1"/>
            <w:sz w:val="22"/>
            <w:szCs w:val="26"/>
            <w:rtl/>
            <w:lang w:eastAsia="en-US"/>
          </w:rPr>
          <w:t>35</w:t>
        </w:r>
        <w:r w:rsidRPr="001F3648">
          <w:rPr>
            <w:rFonts w:ascii="Calibri" w:eastAsia="Times New Roman" w:hAnsi="Calibri" w:cs="Mosawi"/>
            <w:webHidden/>
            <w:color w:val="000000" w:themeColor="text1"/>
            <w:sz w:val="22"/>
            <w:szCs w:val="26"/>
            <w:rtl/>
            <w:lang w:eastAsia="en-US"/>
          </w:rPr>
          <w:fldChar w:fldCharType="end"/>
        </w:r>
      </w:hyperlink>
    </w:p>
    <w:p w:rsidR="0008530B" w:rsidRDefault="00A6422F" w:rsidP="0008530B">
      <w:pPr>
        <w:pStyle w:val="TOC6"/>
        <w:spacing w:line="204" w:lineRule="auto"/>
        <w:rPr>
          <w:rStyle w:val="Hyperlink"/>
          <w:color w:val="000000" w:themeColor="text1"/>
          <w:u w:val="none"/>
          <w:rtl/>
        </w:rPr>
      </w:pPr>
      <w:hyperlink w:anchor="_Toc275127876" w:history="1">
        <w:r w:rsidR="00EF7221" w:rsidRPr="001F3648">
          <w:rPr>
            <w:rStyle w:val="Hyperlink"/>
            <w:rFonts w:hint="eastAsia"/>
            <w:color w:val="000000" w:themeColor="text1"/>
            <w:u w:val="none"/>
            <w:rtl/>
          </w:rPr>
          <w:t>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مصطفى</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ملكيان</w:t>
        </w:r>
      </w:hyperlink>
      <w:r w:rsidR="0008530B" w:rsidRPr="0008530B">
        <w:rPr>
          <w:webHidden/>
          <w:rtl/>
        </w:rPr>
        <w:tab/>
      </w:r>
      <w:r w:rsidRPr="0008530B">
        <w:rPr>
          <w:webHidden/>
          <w:rtl/>
        </w:rPr>
        <w:fldChar w:fldCharType="begin"/>
      </w:r>
      <w:r w:rsidR="0008530B" w:rsidRPr="0008530B">
        <w:rPr>
          <w:webHidden/>
          <w:rtl/>
        </w:rPr>
        <w:instrText xml:space="preserve"> </w:instrText>
      </w:r>
      <w:r w:rsidR="0008530B" w:rsidRPr="0008530B">
        <w:rPr>
          <w:webHidden/>
        </w:rPr>
        <w:instrText xml:space="preserve">PAGEREF _Toc275127877 \h </w:instrText>
      </w:r>
      <w:r w:rsidRPr="0008530B">
        <w:rPr>
          <w:webHidden/>
          <w:rtl/>
        </w:rPr>
      </w:r>
      <w:r w:rsidRPr="0008530B">
        <w:rPr>
          <w:webHidden/>
          <w:rtl/>
        </w:rPr>
        <w:fldChar w:fldCharType="separate"/>
      </w:r>
      <w:r w:rsidR="0071680A">
        <w:rPr>
          <w:webHidden/>
          <w:rtl/>
        </w:rPr>
        <w:t>35</w:t>
      </w:r>
      <w:r w:rsidRPr="0008530B">
        <w:rPr>
          <w:webHidden/>
          <w:rtl/>
        </w:rPr>
        <w:fldChar w:fldCharType="end"/>
      </w:r>
    </w:p>
    <w:p w:rsidR="00EF7221" w:rsidRPr="001F3648" w:rsidRDefault="00A6422F" w:rsidP="0008530B">
      <w:pPr>
        <w:pStyle w:val="TOC6"/>
        <w:spacing w:line="204" w:lineRule="auto"/>
        <w:rPr>
          <w:rFonts w:asciiTheme="minorHAnsi" w:eastAsiaTheme="minorEastAsia" w:hAnsiTheme="minorHAnsi" w:cstheme="minorBidi"/>
          <w:color w:val="000000" w:themeColor="text1"/>
          <w:szCs w:val="22"/>
          <w:rtl/>
        </w:rPr>
      </w:pPr>
      <w:hyperlink w:anchor="_Toc275127877" w:history="1">
        <w:r w:rsidR="00EF7221" w:rsidRPr="001F3648">
          <w:rPr>
            <w:rStyle w:val="Hyperlink"/>
            <w:rFonts w:hint="eastAsia"/>
            <w:color w:val="000000" w:themeColor="text1"/>
            <w:u w:val="none"/>
            <w:rtl/>
          </w:rPr>
          <w:t>ترجمة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السيد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علي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عباس</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الموسوي</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Toc275127877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35</w:t>
        </w:r>
        <w:r w:rsidRPr="001F3648">
          <w:rPr>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878" w:history="1">
        <w:r w:rsidR="00EF7221" w:rsidRPr="001F3648">
          <w:rPr>
            <w:rStyle w:val="Hyperlink"/>
            <w:rFonts w:hint="eastAsia"/>
            <w:color w:val="000000" w:themeColor="text1"/>
            <w:sz w:val="24"/>
            <w:szCs w:val="28"/>
            <w:u w:val="none"/>
            <w:rtl/>
          </w:rPr>
          <w:t>موضوعة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المرأة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والقراءات</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الثلاث</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للإسلام</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Toc275127878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35</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879" w:history="1">
        <w:r w:rsidR="00EF7221" w:rsidRPr="001F3648">
          <w:rPr>
            <w:rStyle w:val="Hyperlink"/>
            <w:rFonts w:hint="eastAsia"/>
            <w:color w:val="000000" w:themeColor="text1"/>
            <w:sz w:val="24"/>
            <w:szCs w:val="28"/>
            <w:u w:val="none"/>
            <w:rtl/>
          </w:rPr>
          <w:t>اتجاهات</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النزعة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الذكورية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Toc275127879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36</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880" w:history="1">
        <w:r w:rsidR="00EF7221" w:rsidRPr="001F3648">
          <w:rPr>
            <w:rStyle w:val="Hyperlink"/>
            <w:rFonts w:hint="eastAsia"/>
            <w:color w:val="000000" w:themeColor="text1"/>
            <w:sz w:val="24"/>
            <w:szCs w:val="28"/>
            <w:u w:val="none"/>
            <w:rtl/>
          </w:rPr>
          <w:t>الاختلاف</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الطبيعي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بين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الجنسين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ومديات</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التأثير</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Toc275127880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39</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881" w:history="1">
        <w:r w:rsidR="00EF7221" w:rsidRPr="001F3648">
          <w:rPr>
            <w:rStyle w:val="Hyperlink"/>
            <w:rFonts w:hint="eastAsia"/>
            <w:color w:val="000000" w:themeColor="text1"/>
            <w:sz w:val="24"/>
            <w:szCs w:val="28"/>
            <w:u w:val="none"/>
            <w:rtl/>
          </w:rPr>
          <w:t>مسألة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اختصاص</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الخطاب</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القرآني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بالرجال</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Toc275127881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43</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882" w:history="1">
        <w:r w:rsidR="00EF7221" w:rsidRPr="001F3648">
          <w:rPr>
            <w:rStyle w:val="Hyperlink"/>
            <w:rFonts w:hint="eastAsia"/>
            <w:color w:val="000000" w:themeColor="text1"/>
            <w:sz w:val="24"/>
            <w:szCs w:val="28"/>
            <w:u w:val="none"/>
            <w:rtl/>
          </w:rPr>
          <w:t>ما</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هي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الفوارق</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الموجودة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بين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الإسلامات</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الثلاثة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حول</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المرأة؟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Toc275127882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44</w:t>
        </w:r>
        <w:r w:rsidRPr="001F3648">
          <w:rPr>
            <w:webHidden/>
            <w:rtl/>
          </w:rPr>
          <w:fldChar w:fldCharType="end"/>
        </w:r>
      </w:hyperlink>
    </w:p>
    <w:p w:rsidR="00EF7221" w:rsidRPr="001F3648" w:rsidRDefault="00A6422F" w:rsidP="0008530B">
      <w:pPr>
        <w:pStyle w:val="TOC1"/>
        <w:spacing w:line="204" w:lineRule="auto"/>
        <w:rPr>
          <w:rFonts w:asciiTheme="minorHAnsi" w:eastAsiaTheme="minorEastAsia" w:hAnsiTheme="minorHAnsi" w:cstheme="minorBidi"/>
          <w:color w:val="000000" w:themeColor="text1"/>
          <w:sz w:val="22"/>
          <w:szCs w:val="22"/>
          <w:rtl/>
          <w:lang w:eastAsia="en-US"/>
        </w:rPr>
      </w:pPr>
      <w:hyperlink w:anchor="_Toc275127883" w:history="1">
        <w:r w:rsidR="00EF7221" w:rsidRPr="001F3648">
          <w:rPr>
            <w:rStyle w:val="Hyperlink"/>
            <w:rFonts w:hint="eastAsia"/>
            <w:color w:val="000000" w:themeColor="text1"/>
            <w:u w:val="none"/>
            <w:rtl/>
          </w:rPr>
          <w:t>المرأة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في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التراث</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العرفاني</w:t>
        </w:r>
      </w:hyperlink>
      <w:r w:rsidR="00EF7221" w:rsidRPr="001F3648">
        <w:rPr>
          <w:rStyle w:val="Hyperlink"/>
          <w:rFonts w:hint="cs"/>
          <w:color w:val="000000" w:themeColor="text1"/>
          <w:u w:val="none"/>
          <w:rtl/>
        </w:rPr>
        <w:t xml:space="preserve">، </w:t>
      </w:r>
      <w:hyperlink w:anchor="_Toc275127884" w:history="1">
        <w:r w:rsidR="00EF7221" w:rsidRPr="001F3648">
          <w:rPr>
            <w:rStyle w:val="Hyperlink"/>
            <w:rFonts w:hint="eastAsia"/>
            <w:color w:val="000000" w:themeColor="text1"/>
            <w:u w:val="none"/>
            <w:rtl/>
          </w:rPr>
          <w:t>رابعة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العدوية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وسبيل</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العشق</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الإلهي</w:t>
        </w:r>
        <w:r w:rsidR="00EF7221" w:rsidRPr="001F3648">
          <w:rPr>
            <w:rFonts w:ascii="Calibri" w:eastAsia="Times New Roman" w:hAnsi="Calibri" w:cs="Mosawi"/>
            <w:webHidden/>
            <w:color w:val="000000" w:themeColor="text1"/>
            <w:sz w:val="22"/>
            <w:szCs w:val="26"/>
            <w:rtl/>
            <w:lang w:eastAsia="en-US"/>
          </w:rPr>
          <w:tab/>
        </w:r>
        <w:r w:rsidRPr="001F3648">
          <w:rPr>
            <w:rFonts w:ascii="Calibri" w:eastAsia="Times New Roman" w:hAnsi="Calibri" w:cs="Mosawi"/>
            <w:webHidden/>
            <w:color w:val="000000" w:themeColor="text1"/>
            <w:sz w:val="22"/>
            <w:szCs w:val="26"/>
            <w:rtl/>
            <w:lang w:eastAsia="en-US"/>
          </w:rPr>
          <w:fldChar w:fldCharType="begin"/>
        </w:r>
        <w:r w:rsidR="00EF7221" w:rsidRPr="001F3648">
          <w:rPr>
            <w:rFonts w:ascii="Calibri" w:eastAsia="Times New Roman" w:hAnsi="Calibri" w:cs="Mosawi"/>
            <w:webHidden/>
            <w:color w:val="000000" w:themeColor="text1"/>
            <w:sz w:val="22"/>
            <w:szCs w:val="26"/>
            <w:rtl/>
            <w:lang w:eastAsia="en-US"/>
          </w:rPr>
          <w:instrText xml:space="preserve"> </w:instrText>
        </w:r>
        <w:r w:rsidR="00EF7221" w:rsidRPr="001F3648">
          <w:rPr>
            <w:rFonts w:ascii="Calibri" w:eastAsia="Times New Roman" w:hAnsi="Calibri" w:cs="Mosawi"/>
            <w:webHidden/>
            <w:color w:val="000000" w:themeColor="text1"/>
            <w:sz w:val="22"/>
            <w:szCs w:val="26"/>
            <w:lang w:eastAsia="en-US"/>
          </w:rPr>
          <w:instrText>PAGEREF</w:instrText>
        </w:r>
        <w:r w:rsidR="00EF7221" w:rsidRPr="001F3648">
          <w:rPr>
            <w:rFonts w:ascii="Calibri" w:eastAsia="Times New Roman" w:hAnsi="Calibri" w:cs="Mosawi"/>
            <w:webHidden/>
            <w:color w:val="000000" w:themeColor="text1"/>
            <w:sz w:val="22"/>
            <w:szCs w:val="26"/>
            <w:rtl/>
            <w:lang w:eastAsia="en-US"/>
          </w:rPr>
          <w:instrText xml:space="preserve"> _</w:instrText>
        </w:r>
        <w:r w:rsidR="00EF7221" w:rsidRPr="001F3648">
          <w:rPr>
            <w:rFonts w:ascii="Calibri" w:eastAsia="Times New Roman" w:hAnsi="Calibri" w:cs="Mosawi"/>
            <w:webHidden/>
            <w:color w:val="000000" w:themeColor="text1"/>
            <w:sz w:val="22"/>
            <w:szCs w:val="26"/>
            <w:lang w:eastAsia="en-US"/>
          </w:rPr>
          <w:instrText>Toc275127884 \h</w:instrText>
        </w:r>
        <w:r w:rsidR="00EF7221" w:rsidRPr="001F3648">
          <w:rPr>
            <w:rFonts w:ascii="Calibri" w:eastAsia="Times New Roman" w:hAnsi="Calibri" w:cs="Mosawi"/>
            <w:webHidden/>
            <w:color w:val="000000" w:themeColor="text1"/>
            <w:sz w:val="22"/>
            <w:szCs w:val="26"/>
            <w:rtl/>
            <w:lang w:eastAsia="en-US"/>
          </w:rPr>
          <w:instrText xml:space="preserve"> </w:instrText>
        </w:r>
        <w:r w:rsidRPr="001F3648">
          <w:rPr>
            <w:rFonts w:ascii="Calibri" w:eastAsia="Times New Roman" w:hAnsi="Calibri" w:cs="Mosawi"/>
            <w:webHidden/>
            <w:color w:val="000000" w:themeColor="text1"/>
            <w:sz w:val="22"/>
            <w:szCs w:val="26"/>
            <w:rtl/>
            <w:lang w:eastAsia="en-US"/>
          </w:rPr>
        </w:r>
        <w:r w:rsidRPr="001F3648">
          <w:rPr>
            <w:rFonts w:ascii="Calibri" w:eastAsia="Times New Roman" w:hAnsi="Calibri" w:cs="Mosawi"/>
            <w:webHidden/>
            <w:color w:val="000000" w:themeColor="text1"/>
            <w:sz w:val="22"/>
            <w:szCs w:val="26"/>
            <w:rtl/>
            <w:lang w:eastAsia="en-US"/>
          </w:rPr>
          <w:fldChar w:fldCharType="separate"/>
        </w:r>
        <w:r w:rsidR="0071680A">
          <w:rPr>
            <w:rFonts w:ascii="Calibri" w:eastAsia="Times New Roman" w:hAnsi="Calibri" w:cs="Mosawi"/>
            <w:webHidden/>
            <w:color w:val="000000" w:themeColor="text1"/>
            <w:sz w:val="22"/>
            <w:szCs w:val="26"/>
            <w:rtl/>
            <w:lang w:eastAsia="en-US"/>
          </w:rPr>
          <w:t>51</w:t>
        </w:r>
        <w:r w:rsidRPr="001F3648">
          <w:rPr>
            <w:rFonts w:ascii="Calibri" w:eastAsia="Times New Roman" w:hAnsi="Calibri" w:cs="Mosawi"/>
            <w:webHidden/>
            <w:color w:val="000000" w:themeColor="text1"/>
            <w:sz w:val="22"/>
            <w:szCs w:val="26"/>
            <w:rtl/>
            <w:lang w:eastAsia="en-US"/>
          </w:rPr>
          <w:fldChar w:fldCharType="end"/>
        </w:r>
      </w:hyperlink>
    </w:p>
    <w:p w:rsidR="00575C73" w:rsidRDefault="00A6422F" w:rsidP="00575C73">
      <w:pPr>
        <w:pStyle w:val="TOC6"/>
        <w:spacing w:line="204" w:lineRule="auto"/>
        <w:rPr>
          <w:rtl/>
        </w:rPr>
      </w:pPr>
      <w:hyperlink w:anchor="_Toc275127885" w:history="1">
        <w:r w:rsidR="00EF7221" w:rsidRPr="001F3648">
          <w:rPr>
            <w:rStyle w:val="Hyperlink"/>
            <w:rFonts w:hint="eastAsia"/>
            <w:color w:val="000000" w:themeColor="text1"/>
            <w:u w:val="none"/>
            <w:rtl/>
          </w:rPr>
          <w:t>أ</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بخـش</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علي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قـنبري</w:t>
        </w:r>
      </w:hyperlink>
      <w:r w:rsidR="00575C73" w:rsidRPr="00575C73">
        <w:rPr>
          <w:webHidden/>
          <w:rtl/>
        </w:rPr>
        <w:tab/>
      </w:r>
      <w:r w:rsidRPr="00575C73">
        <w:rPr>
          <w:webHidden/>
          <w:rtl/>
        </w:rPr>
        <w:fldChar w:fldCharType="begin"/>
      </w:r>
      <w:r w:rsidR="00575C73" w:rsidRPr="00575C73">
        <w:rPr>
          <w:webHidden/>
          <w:rtl/>
        </w:rPr>
        <w:instrText xml:space="preserve"> </w:instrText>
      </w:r>
      <w:r w:rsidR="00575C73" w:rsidRPr="00575C73">
        <w:rPr>
          <w:webHidden/>
        </w:rPr>
        <w:instrText xml:space="preserve">PAGEREF _Toc275127886 \h </w:instrText>
      </w:r>
      <w:r w:rsidRPr="00575C73">
        <w:rPr>
          <w:webHidden/>
          <w:rtl/>
        </w:rPr>
      </w:r>
      <w:r w:rsidRPr="00575C73">
        <w:rPr>
          <w:webHidden/>
          <w:rtl/>
        </w:rPr>
        <w:fldChar w:fldCharType="separate"/>
      </w:r>
      <w:r w:rsidR="0071680A">
        <w:rPr>
          <w:webHidden/>
          <w:rtl/>
        </w:rPr>
        <w:t>51</w:t>
      </w:r>
      <w:r w:rsidRPr="00575C73">
        <w:rPr>
          <w:webHidden/>
          <w:rtl/>
        </w:rPr>
        <w:fldChar w:fldCharType="end"/>
      </w:r>
    </w:p>
    <w:p w:rsidR="00EF7221" w:rsidRPr="001F3648" w:rsidRDefault="00A6422F" w:rsidP="00575C73">
      <w:pPr>
        <w:pStyle w:val="TOC6"/>
        <w:spacing w:line="204" w:lineRule="auto"/>
        <w:rPr>
          <w:rFonts w:asciiTheme="minorHAnsi" w:eastAsiaTheme="minorEastAsia" w:hAnsiTheme="minorHAnsi" w:cstheme="minorBidi"/>
          <w:color w:val="000000" w:themeColor="text1"/>
          <w:szCs w:val="22"/>
          <w:rtl/>
        </w:rPr>
      </w:pPr>
      <w:hyperlink w:anchor="_Toc275127886" w:history="1">
        <w:r w:rsidR="00EF7221" w:rsidRPr="001F3648">
          <w:rPr>
            <w:rStyle w:val="Hyperlink"/>
            <w:rFonts w:hint="eastAsia"/>
            <w:color w:val="000000" w:themeColor="text1"/>
            <w:u w:val="none"/>
            <w:rtl/>
          </w:rPr>
          <w:t>ترجمة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كمال</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السيد</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Toc275127886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51</w:t>
        </w:r>
        <w:r w:rsidRPr="001F3648">
          <w:rPr>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887" w:history="1">
        <w:r w:rsidR="00EF7221" w:rsidRPr="001F3648">
          <w:rPr>
            <w:rStyle w:val="Hyperlink"/>
            <w:rFonts w:hint="eastAsia"/>
            <w:color w:val="000000" w:themeColor="text1"/>
            <w:sz w:val="24"/>
            <w:szCs w:val="28"/>
            <w:u w:val="none"/>
            <w:rtl/>
          </w:rPr>
          <w:t>العرفان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الدائرة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الفكرية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والثقافية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للإسلام</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Toc275127887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51</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888" w:history="1">
        <w:r w:rsidR="00EF7221" w:rsidRPr="001F3648">
          <w:rPr>
            <w:rStyle w:val="Hyperlink"/>
            <w:rFonts w:hint="eastAsia"/>
            <w:color w:val="000000" w:themeColor="text1"/>
            <w:sz w:val="24"/>
            <w:szCs w:val="28"/>
            <w:u w:val="none"/>
            <w:rtl/>
          </w:rPr>
          <w:t>مرتكزات</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المرأة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العرفان</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Toc275127888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55</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889" w:history="1">
        <w:r w:rsidR="00EF7221" w:rsidRPr="001F3648">
          <w:rPr>
            <w:rStyle w:val="Hyperlink"/>
            <w:rFonts w:hint="eastAsia"/>
            <w:color w:val="000000" w:themeColor="text1"/>
            <w:sz w:val="24"/>
            <w:szCs w:val="28"/>
            <w:u w:val="none"/>
            <w:rtl/>
          </w:rPr>
          <w:t>المعصية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الأولى</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Toc275127889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56</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890" w:history="1">
        <w:r w:rsidR="00EF7221" w:rsidRPr="001F3648">
          <w:rPr>
            <w:rStyle w:val="Hyperlink"/>
            <w:rFonts w:hint="eastAsia"/>
            <w:color w:val="000000" w:themeColor="text1"/>
            <w:sz w:val="24"/>
            <w:szCs w:val="28"/>
            <w:u w:val="none"/>
            <w:rtl/>
          </w:rPr>
          <w:t>الجوهر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الوجودي</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Toc275127890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57</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891" w:history="1">
        <w:r w:rsidR="00EF7221" w:rsidRPr="001F3648">
          <w:rPr>
            <w:rStyle w:val="Hyperlink"/>
            <w:rFonts w:hint="eastAsia"/>
            <w:color w:val="000000" w:themeColor="text1"/>
            <w:sz w:val="24"/>
            <w:szCs w:val="28"/>
            <w:u w:val="none"/>
            <w:rtl/>
          </w:rPr>
          <w:t>التكامل</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المعنوي</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Toc275127891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58</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892" w:history="1">
        <w:r w:rsidR="00EF7221" w:rsidRPr="001F3648">
          <w:rPr>
            <w:rStyle w:val="Hyperlink"/>
            <w:rFonts w:hint="eastAsia"/>
            <w:color w:val="000000" w:themeColor="text1"/>
            <w:sz w:val="24"/>
            <w:szCs w:val="28"/>
            <w:u w:val="none"/>
            <w:rtl/>
          </w:rPr>
          <w:t>مظهر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الجذب</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Toc275127892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59</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893" w:history="1">
        <w:r w:rsidR="00EF7221" w:rsidRPr="001F3648">
          <w:rPr>
            <w:rStyle w:val="Hyperlink"/>
            <w:rFonts w:hint="eastAsia"/>
            <w:color w:val="000000" w:themeColor="text1"/>
            <w:sz w:val="24"/>
            <w:szCs w:val="28"/>
            <w:u w:val="none"/>
            <w:rtl/>
          </w:rPr>
          <w:t>رابعة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العدوية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رائدة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الحب</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العرفان</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Toc275127893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62</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894" w:history="1">
        <w:r w:rsidR="00EF7221" w:rsidRPr="001F3648">
          <w:rPr>
            <w:rStyle w:val="Hyperlink"/>
            <w:rFonts w:hint="eastAsia"/>
            <w:color w:val="000000" w:themeColor="text1"/>
            <w:sz w:val="24"/>
            <w:szCs w:val="28"/>
            <w:u w:val="none"/>
            <w:rtl/>
          </w:rPr>
          <w:t>موقع</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وأثر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رابعة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العرفان</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Toc275127894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64</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895" w:history="1">
        <w:r w:rsidR="00EF7221" w:rsidRPr="001F3648">
          <w:rPr>
            <w:rStyle w:val="Hyperlink"/>
            <w:rFonts w:hint="eastAsia"/>
            <w:color w:val="000000" w:themeColor="text1"/>
            <w:sz w:val="24"/>
            <w:szCs w:val="28"/>
            <w:u w:val="none"/>
            <w:rtl/>
          </w:rPr>
          <w:t>الطريقة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الإلهية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Toc275127895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65</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896" w:history="1">
        <w:r w:rsidR="00EF7221" w:rsidRPr="001F3648">
          <w:rPr>
            <w:rStyle w:val="Hyperlink"/>
            <w:rFonts w:hint="eastAsia"/>
            <w:color w:val="000000" w:themeColor="text1"/>
            <w:sz w:val="24"/>
            <w:szCs w:val="28"/>
            <w:u w:val="none"/>
            <w:rtl/>
          </w:rPr>
          <w:t>أساتذتها</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Toc275127896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66</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897" w:history="1">
        <w:r w:rsidR="00EF7221" w:rsidRPr="001F3648">
          <w:rPr>
            <w:rStyle w:val="Hyperlink"/>
            <w:rFonts w:hint="eastAsia"/>
            <w:color w:val="000000" w:themeColor="text1"/>
            <w:sz w:val="24"/>
            <w:szCs w:val="28"/>
            <w:u w:val="none"/>
            <w:rtl/>
          </w:rPr>
          <w:t>أدوات</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العرفان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لدى</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رابعة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Toc275127897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67</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898" w:history="1">
        <w:r w:rsidR="00EF7221" w:rsidRPr="001F3648">
          <w:rPr>
            <w:rStyle w:val="Hyperlink"/>
            <w:rFonts w:hint="eastAsia"/>
            <w:color w:val="000000" w:themeColor="text1"/>
            <w:sz w:val="24"/>
            <w:szCs w:val="28"/>
            <w:u w:val="none"/>
            <w:rtl/>
          </w:rPr>
          <w:t>الحب</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والخوف</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عند</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رابعة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العدوية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Toc275127898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68</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899" w:history="1">
        <w:r w:rsidR="00EF7221" w:rsidRPr="001F3648">
          <w:rPr>
            <w:rStyle w:val="Hyperlink"/>
            <w:rFonts w:hint="eastAsia"/>
            <w:color w:val="000000" w:themeColor="text1"/>
            <w:sz w:val="24"/>
            <w:szCs w:val="28"/>
            <w:u w:val="none"/>
            <w:rtl/>
          </w:rPr>
          <w:t>مناجاة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رابعة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Toc275127899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73</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900" w:history="1">
        <w:r w:rsidR="00EF7221" w:rsidRPr="001F3648">
          <w:rPr>
            <w:rStyle w:val="Hyperlink"/>
            <w:rFonts w:hint="eastAsia"/>
            <w:color w:val="000000" w:themeColor="text1"/>
            <w:sz w:val="24"/>
            <w:szCs w:val="28"/>
            <w:u w:val="none"/>
            <w:rtl/>
          </w:rPr>
          <w:t>أقوال</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كبار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العلماء</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والعرفاء</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رابعة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العدوية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Toc275127900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75</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901" w:history="1">
        <w:r w:rsidR="00EF7221" w:rsidRPr="001F3648">
          <w:rPr>
            <w:rStyle w:val="Hyperlink"/>
            <w:rFonts w:hint="eastAsia"/>
            <w:color w:val="000000" w:themeColor="text1"/>
            <w:sz w:val="24"/>
            <w:szCs w:val="28"/>
            <w:u w:val="none"/>
            <w:rtl/>
          </w:rPr>
          <w:t>رحيل</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رابعة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Toc275127901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76</w:t>
        </w:r>
        <w:r w:rsidRPr="001F3648">
          <w:rPr>
            <w:webHidden/>
            <w:rtl/>
          </w:rPr>
          <w:fldChar w:fldCharType="end"/>
        </w:r>
      </w:hyperlink>
    </w:p>
    <w:p w:rsidR="00090BFD" w:rsidRPr="00575C73" w:rsidRDefault="00090BFD" w:rsidP="0008530B">
      <w:pPr>
        <w:pStyle w:val="TOC1"/>
        <w:spacing w:line="204" w:lineRule="auto"/>
        <w:jc w:val="center"/>
        <w:rPr>
          <w:rStyle w:val="Hyperlink"/>
          <w:color w:val="000000" w:themeColor="text1"/>
          <w:sz w:val="6"/>
          <w:szCs w:val="10"/>
          <w:u w:val="none"/>
          <w:rtl/>
        </w:rPr>
      </w:pPr>
    </w:p>
    <w:p w:rsidR="00EF7221" w:rsidRPr="001F3648" w:rsidRDefault="00A6422F" w:rsidP="0008530B">
      <w:pPr>
        <w:pStyle w:val="TOC1"/>
        <w:spacing w:line="204" w:lineRule="auto"/>
        <w:jc w:val="center"/>
        <w:rPr>
          <w:rFonts w:asciiTheme="minorHAnsi" w:eastAsiaTheme="minorEastAsia" w:hAnsiTheme="minorHAnsi" w:cstheme="minorBidi"/>
          <w:color w:val="000000" w:themeColor="text1"/>
          <w:sz w:val="22"/>
          <w:szCs w:val="22"/>
          <w:rtl/>
          <w:lang w:eastAsia="en-US"/>
        </w:rPr>
      </w:pPr>
      <w:hyperlink w:anchor="_Toc275127902" w:history="1">
        <w:r w:rsidR="00EF7221" w:rsidRPr="001F3648">
          <w:rPr>
            <w:rStyle w:val="Hyperlink"/>
            <w:rFonts w:hint="eastAsia"/>
            <w:color w:val="000000" w:themeColor="text1"/>
            <w:u w:val="none"/>
            <w:rtl/>
          </w:rPr>
          <w:t>الفصل</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الثاني</w:t>
        </w:r>
      </w:hyperlink>
      <w:r w:rsidR="00EF7221" w:rsidRPr="001F3648">
        <w:rPr>
          <w:rStyle w:val="Hyperlink"/>
          <w:rFonts w:hint="cs"/>
          <w:color w:val="000000" w:themeColor="text1"/>
          <w:u w:val="none"/>
          <w:rtl/>
        </w:rPr>
        <w:t xml:space="preserve">: </w:t>
      </w:r>
      <w:hyperlink w:anchor="_Toc275127903" w:history="1">
        <w:r w:rsidR="00EF7221" w:rsidRPr="001F3648">
          <w:rPr>
            <w:rStyle w:val="Hyperlink"/>
            <w:rFonts w:hint="eastAsia"/>
            <w:color w:val="000000" w:themeColor="text1"/>
            <w:u w:val="none"/>
            <w:rtl/>
          </w:rPr>
          <w:t>الفقه</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الإسلامي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وقضايا</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المرأة</w:t>
        </w:r>
      </w:hyperlink>
      <w:r w:rsidR="00090BFD" w:rsidRPr="001F3648">
        <w:rPr>
          <w:rStyle w:val="Hyperlink"/>
          <w:rFonts w:hint="cs"/>
          <w:color w:val="000000" w:themeColor="text1"/>
          <w:u w:val="none"/>
          <w:rtl/>
        </w:rPr>
        <w:t xml:space="preserve">، </w:t>
      </w:r>
      <w:hyperlink w:anchor="_Toc275127904" w:history="1">
        <w:r w:rsidR="00EF7221" w:rsidRPr="001F3648">
          <w:rPr>
            <w:rStyle w:val="Hyperlink"/>
            <w:rFonts w:hint="eastAsia"/>
            <w:color w:val="000000" w:themeColor="text1"/>
            <w:u w:val="none"/>
            <w:rtl/>
          </w:rPr>
          <w:t>محاولات</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في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النقد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والتجديد</w:t>
        </w:r>
      </w:hyperlink>
    </w:p>
    <w:p w:rsidR="00EF7221" w:rsidRPr="001F3648" w:rsidRDefault="00A6422F" w:rsidP="0008530B">
      <w:pPr>
        <w:pStyle w:val="TOC1"/>
        <w:spacing w:line="204" w:lineRule="auto"/>
        <w:rPr>
          <w:rFonts w:asciiTheme="minorHAnsi" w:eastAsiaTheme="minorEastAsia" w:hAnsiTheme="minorHAnsi" w:cstheme="minorBidi"/>
          <w:color w:val="000000" w:themeColor="text1"/>
          <w:sz w:val="22"/>
          <w:szCs w:val="22"/>
          <w:rtl/>
          <w:lang w:eastAsia="en-US"/>
        </w:rPr>
      </w:pPr>
      <w:hyperlink w:anchor="_Toc275127905" w:history="1">
        <w:r w:rsidR="00EF7221" w:rsidRPr="001F3648">
          <w:rPr>
            <w:rStyle w:val="Hyperlink"/>
            <w:rFonts w:hint="eastAsia"/>
            <w:color w:val="000000" w:themeColor="text1"/>
            <w:u w:val="none"/>
            <w:rtl/>
          </w:rPr>
          <w:t>الفقه</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الإسلامي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وحقوق</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المرأة</w:t>
        </w:r>
      </w:hyperlink>
      <w:r w:rsidR="00090BFD" w:rsidRPr="001F3648">
        <w:rPr>
          <w:rStyle w:val="Hyperlink"/>
          <w:rFonts w:hint="cs"/>
          <w:color w:val="000000" w:themeColor="text1"/>
          <w:u w:val="none"/>
          <w:rtl/>
        </w:rPr>
        <w:t xml:space="preserve">، </w:t>
      </w:r>
      <w:hyperlink w:anchor="_Toc275127906" w:history="1">
        <w:r w:rsidR="00EF7221" w:rsidRPr="001F3648">
          <w:rPr>
            <w:rStyle w:val="Hyperlink"/>
            <w:rFonts w:hint="eastAsia"/>
            <w:color w:val="000000" w:themeColor="text1"/>
            <w:u w:val="none"/>
            <w:rtl/>
          </w:rPr>
          <w:t>رصد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الدوافع</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والمنطلقات</w:t>
        </w:r>
        <w:r w:rsidR="00EF7221" w:rsidRPr="001F3648">
          <w:rPr>
            <w:rFonts w:ascii="Calibri" w:eastAsia="Times New Roman" w:hAnsi="Calibri" w:cs="Mosawi"/>
            <w:webHidden/>
            <w:color w:val="000000" w:themeColor="text1"/>
            <w:sz w:val="22"/>
            <w:szCs w:val="26"/>
            <w:rtl/>
            <w:lang w:eastAsia="en-US"/>
          </w:rPr>
          <w:tab/>
        </w:r>
        <w:r w:rsidRPr="001F3648">
          <w:rPr>
            <w:rFonts w:ascii="Calibri" w:eastAsia="Times New Roman" w:hAnsi="Calibri" w:cs="Mosawi"/>
            <w:webHidden/>
            <w:color w:val="000000" w:themeColor="text1"/>
            <w:sz w:val="22"/>
            <w:szCs w:val="26"/>
            <w:rtl/>
            <w:lang w:eastAsia="en-US"/>
          </w:rPr>
          <w:fldChar w:fldCharType="begin"/>
        </w:r>
        <w:r w:rsidR="00EF7221" w:rsidRPr="001F3648">
          <w:rPr>
            <w:rFonts w:ascii="Calibri" w:eastAsia="Times New Roman" w:hAnsi="Calibri" w:cs="Mosawi"/>
            <w:webHidden/>
            <w:color w:val="000000" w:themeColor="text1"/>
            <w:sz w:val="22"/>
            <w:szCs w:val="26"/>
            <w:rtl/>
            <w:lang w:eastAsia="en-US"/>
          </w:rPr>
          <w:instrText xml:space="preserve"> </w:instrText>
        </w:r>
        <w:r w:rsidR="00EF7221" w:rsidRPr="001F3648">
          <w:rPr>
            <w:rFonts w:ascii="Calibri" w:eastAsia="Times New Roman" w:hAnsi="Calibri" w:cs="Mosawi"/>
            <w:webHidden/>
            <w:color w:val="000000" w:themeColor="text1"/>
            <w:sz w:val="22"/>
            <w:szCs w:val="26"/>
            <w:lang w:eastAsia="en-US"/>
          </w:rPr>
          <w:instrText>PAGEREF</w:instrText>
        </w:r>
        <w:r w:rsidR="00EF7221" w:rsidRPr="001F3648">
          <w:rPr>
            <w:rFonts w:ascii="Calibri" w:eastAsia="Times New Roman" w:hAnsi="Calibri" w:cs="Mosawi"/>
            <w:webHidden/>
            <w:color w:val="000000" w:themeColor="text1"/>
            <w:sz w:val="22"/>
            <w:szCs w:val="26"/>
            <w:rtl/>
            <w:lang w:eastAsia="en-US"/>
          </w:rPr>
          <w:instrText xml:space="preserve"> _</w:instrText>
        </w:r>
        <w:r w:rsidR="00EF7221" w:rsidRPr="001F3648">
          <w:rPr>
            <w:rFonts w:ascii="Calibri" w:eastAsia="Times New Roman" w:hAnsi="Calibri" w:cs="Mosawi"/>
            <w:webHidden/>
            <w:color w:val="000000" w:themeColor="text1"/>
            <w:sz w:val="22"/>
            <w:szCs w:val="26"/>
            <w:lang w:eastAsia="en-US"/>
          </w:rPr>
          <w:instrText>Toc275127906 \h</w:instrText>
        </w:r>
        <w:r w:rsidR="00EF7221" w:rsidRPr="001F3648">
          <w:rPr>
            <w:rFonts w:ascii="Calibri" w:eastAsia="Times New Roman" w:hAnsi="Calibri" w:cs="Mosawi"/>
            <w:webHidden/>
            <w:color w:val="000000" w:themeColor="text1"/>
            <w:sz w:val="22"/>
            <w:szCs w:val="26"/>
            <w:rtl/>
            <w:lang w:eastAsia="en-US"/>
          </w:rPr>
          <w:instrText xml:space="preserve"> </w:instrText>
        </w:r>
        <w:r w:rsidRPr="001F3648">
          <w:rPr>
            <w:rFonts w:ascii="Calibri" w:eastAsia="Times New Roman" w:hAnsi="Calibri" w:cs="Mosawi"/>
            <w:webHidden/>
            <w:color w:val="000000" w:themeColor="text1"/>
            <w:sz w:val="22"/>
            <w:szCs w:val="26"/>
            <w:rtl/>
            <w:lang w:eastAsia="en-US"/>
          </w:rPr>
        </w:r>
        <w:r w:rsidRPr="001F3648">
          <w:rPr>
            <w:rFonts w:ascii="Calibri" w:eastAsia="Times New Roman" w:hAnsi="Calibri" w:cs="Mosawi"/>
            <w:webHidden/>
            <w:color w:val="000000" w:themeColor="text1"/>
            <w:sz w:val="22"/>
            <w:szCs w:val="26"/>
            <w:rtl/>
            <w:lang w:eastAsia="en-US"/>
          </w:rPr>
          <w:fldChar w:fldCharType="separate"/>
        </w:r>
        <w:r w:rsidR="0071680A">
          <w:rPr>
            <w:rFonts w:ascii="Calibri" w:eastAsia="Times New Roman" w:hAnsi="Calibri" w:cs="Mosawi"/>
            <w:webHidden/>
            <w:color w:val="000000" w:themeColor="text1"/>
            <w:sz w:val="22"/>
            <w:szCs w:val="26"/>
            <w:rtl/>
            <w:lang w:eastAsia="en-US"/>
          </w:rPr>
          <w:t>79</w:t>
        </w:r>
        <w:r w:rsidRPr="001F3648">
          <w:rPr>
            <w:rFonts w:ascii="Calibri" w:eastAsia="Times New Roman" w:hAnsi="Calibri" w:cs="Mosawi"/>
            <w:webHidden/>
            <w:color w:val="000000" w:themeColor="text1"/>
            <w:sz w:val="22"/>
            <w:szCs w:val="26"/>
            <w:rtl/>
            <w:lang w:eastAsia="en-US"/>
          </w:rPr>
          <w:fldChar w:fldCharType="end"/>
        </w:r>
      </w:hyperlink>
    </w:p>
    <w:p w:rsidR="00575C73" w:rsidRDefault="00A6422F" w:rsidP="00575C73">
      <w:pPr>
        <w:pStyle w:val="TOC6"/>
        <w:spacing w:line="204" w:lineRule="auto"/>
        <w:rPr>
          <w:rStyle w:val="Hyperlink"/>
          <w:color w:val="000000" w:themeColor="text1"/>
          <w:u w:val="none"/>
          <w:rtl/>
        </w:rPr>
      </w:pPr>
      <w:hyperlink w:anchor="_Toc275127907" w:history="1">
        <w:r w:rsidR="00EF7221" w:rsidRPr="001F3648">
          <w:rPr>
            <w:rStyle w:val="Hyperlink"/>
            <w:rFonts w:hint="eastAsia"/>
            <w:color w:val="000000" w:themeColor="text1"/>
            <w:u w:val="none"/>
            <w:rtl/>
          </w:rPr>
          <w:t>الشيخ</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محمد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مجتهد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شبستري</w:t>
        </w:r>
      </w:hyperlink>
      <w:r w:rsidR="00D90AFE" w:rsidRPr="001F3648">
        <w:rPr>
          <w:rStyle w:val="Hyperlink"/>
          <w:rFonts w:hint="cs"/>
          <w:color w:val="000000" w:themeColor="text1"/>
          <w:u w:val="none"/>
          <w:rtl/>
        </w:rPr>
        <w:t xml:space="preserve"> </w:t>
      </w:r>
      <w:r w:rsidR="00575C73" w:rsidRPr="00575C73">
        <w:rPr>
          <w:rStyle w:val="Hyperlink"/>
          <w:webHidden/>
          <w:color w:val="000000" w:themeColor="text1"/>
          <w:u w:val="none"/>
          <w:rtl/>
        </w:rPr>
        <w:tab/>
      </w:r>
      <w:r w:rsidRPr="00575C73">
        <w:rPr>
          <w:rStyle w:val="Hyperlink"/>
          <w:webHidden/>
          <w:color w:val="000000" w:themeColor="text1"/>
          <w:u w:val="none"/>
          <w:rtl/>
        </w:rPr>
        <w:fldChar w:fldCharType="begin"/>
      </w:r>
      <w:r w:rsidR="00575C73" w:rsidRPr="00575C73">
        <w:rPr>
          <w:rStyle w:val="Hyperlink"/>
          <w:webHidden/>
          <w:color w:val="000000" w:themeColor="text1"/>
          <w:u w:val="none"/>
          <w:rtl/>
        </w:rPr>
        <w:instrText xml:space="preserve"> </w:instrText>
      </w:r>
      <w:r w:rsidR="00575C73" w:rsidRPr="00575C73">
        <w:rPr>
          <w:rStyle w:val="Hyperlink"/>
          <w:webHidden/>
          <w:color w:val="000000" w:themeColor="text1"/>
          <w:u w:val="none"/>
        </w:rPr>
        <w:instrText xml:space="preserve">PAGEREF _Toc275127908 \h </w:instrText>
      </w:r>
      <w:r w:rsidRPr="00575C73">
        <w:rPr>
          <w:rStyle w:val="Hyperlink"/>
          <w:webHidden/>
          <w:color w:val="000000" w:themeColor="text1"/>
          <w:u w:val="none"/>
          <w:rtl/>
        </w:rPr>
      </w:r>
      <w:r w:rsidRPr="00575C73">
        <w:rPr>
          <w:rStyle w:val="Hyperlink"/>
          <w:webHidden/>
          <w:color w:val="000000" w:themeColor="text1"/>
          <w:u w:val="none"/>
          <w:rtl/>
        </w:rPr>
        <w:fldChar w:fldCharType="separate"/>
      </w:r>
      <w:r w:rsidR="0071680A">
        <w:rPr>
          <w:rStyle w:val="Hyperlink"/>
          <w:webHidden/>
          <w:color w:val="000000" w:themeColor="text1"/>
          <w:u w:val="none"/>
          <w:rtl/>
        </w:rPr>
        <w:t>79</w:t>
      </w:r>
      <w:r w:rsidRPr="00575C73">
        <w:rPr>
          <w:rStyle w:val="Hyperlink"/>
          <w:webHidden/>
          <w:color w:val="000000" w:themeColor="text1"/>
          <w:u w:val="none"/>
          <w:rtl/>
        </w:rPr>
        <w:fldChar w:fldCharType="end"/>
      </w:r>
    </w:p>
    <w:p w:rsidR="00EF7221" w:rsidRPr="001F3648" w:rsidRDefault="00A6422F" w:rsidP="00575C73">
      <w:pPr>
        <w:pStyle w:val="TOC6"/>
        <w:spacing w:line="204" w:lineRule="auto"/>
        <w:rPr>
          <w:rFonts w:asciiTheme="minorHAnsi" w:eastAsiaTheme="minorEastAsia" w:hAnsiTheme="minorHAnsi" w:cstheme="minorBidi"/>
          <w:color w:val="000000" w:themeColor="text1"/>
          <w:szCs w:val="22"/>
          <w:rtl/>
        </w:rPr>
      </w:pPr>
      <w:hyperlink w:anchor="_Toc275127908" w:history="1">
        <w:r w:rsidR="00EF7221" w:rsidRPr="001F3648">
          <w:rPr>
            <w:rStyle w:val="Hyperlink"/>
            <w:rFonts w:hint="eastAsia"/>
            <w:color w:val="000000" w:themeColor="text1"/>
            <w:u w:val="none"/>
            <w:rtl/>
          </w:rPr>
          <w:t>ترجمة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السيد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علي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عباس</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الموسوي</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Toc275127908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79</w:t>
        </w:r>
        <w:r w:rsidRPr="001F3648">
          <w:rPr>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909" w:history="1">
        <w:r w:rsidR="00EF7221" w:rsidRPr="001F3648">
          <w:rPr>
            <w:rStyle w:val="Hyperlink"/>
            <w:rFonts w:hint="eastAsia"/>
            <w:color w:val="000000" w:themeColor="text1"/>
            <w:sz w:val="24"/>
            <w:szCs w:val="28"/>
            <w:u w:val="none"/>
            <w:rtl/>
          </w:rPr>
          <w:t>الحقوق</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الطبيعية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والحقوق</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التاريخية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Toc275127909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79</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910" w:history="1">
        <w:r w:rsidR="00EF7221" w:rsidRPr="001F3648">
          <w:rPr>
            <w:rStyle w:val="Hyperlink"/>
            <w:rFonts w:hint="eastAsia"/>
            <w:color w:val="000000" w:themeColor="text1"/>
            <w:sz w:val="24"/>
            <w:szCs w:val="28"/>
            <w:u w:val="none"/>
            <w:rtl/>
          </w:rPr>
          <w:t>القراءة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التاريخية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للدين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وتأثيرات</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منظومة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الحقوق</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النسوية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Toc275127910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84</w:t>
        </w:r>
        <w:r w:rsidRPr="001F3648">
          <w:rPr>
            <w:webHidden/>
            <w:rtl/>
          </w:rPr>
          <w:fldChar w:fldCharType="end"/>
        </w:r>
      </w:hyperlink>
    </w:p>
    <w:p w:rsidR="00EF7221" w:rsidRPr="001F3648" w:rsidRDefault="00A6422F" w:rsidP="0008530B">
      <w:pPr>
        <w:pStyle w:val="TOC1"/>
        <w:spacing w:line="204" w:lineRule="auto"/>
        <w:rPr>
          <w:rFonts w:asciiTheme="minorHAnsi" w:eastAsiaTheme="minorEastAsia" w:hAnsiTheme="minorHAnsi" w:cstheme="minorBidi"/>
          <w:color w:val="000000" w:themeColor="text1"/>
          <w:sz w:val="22"/>
          <w:szCs w:val="22"/>
          <w:rtl/>
          <w:lang w:eastAsia="en-US"/>
        </w:rPr>
      </w:pPr>
      <w:hyperlink w:anchor="_Toc275127911" w:history="1">
        <w:r w:rsidR="00EF7221" w:rsidRPr="001F3648">
          <w:rPr>
            <w:rStyle w:val="Hyperlink"/>
            <w:rFonts w:hint="eastAsia"/>
            <w:color w:val="000000" w:themeColor="text1"/>
            <w:u w:val="none"/>
            <w:rtl/>
          </w:rPr>
          <w:t>الاتجاهات</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الدينية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في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تاريخ</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إيران</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المعاصر</w:t>
        </w:r>
      </w:hyperlink>
      <w:r w:rsidR="00090BFD" w:rsidRPr="001F3648">
        <w:rPr>
          <w:rStyle w:val="Hyperlink"/>
          <w:rFonts w:hint="cs"/>
          <w:color w:val="000000" w:themeColor="text1"/>
          <w:u w:val="none"/>
          <w:rtl/>
        </w:rPr>
        <w:t xml:space="preserve">، </w:t>
      </w:r>
      <w:hyperlink w:anchor="_Toc275127912" w:history="1">
        <w:r w:rsidR="00EF7221" w:rsidRPr="001F3648">
          <w:rPr>
            <w:rStyle w:val="Hyperlink"/>
            <w:rFonts w:hint="eastAsia"/>
            <w:color w:val="000000" w:themeColor="text1"/>
            <w:u w:val="none"/>
            <w:rtl/>
          </w:rPr>
          <w:t>المواقف</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من</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مسألة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المرأة</w:t>
        </w:r>
        <w:r w:rsidR="00EF7221" w:rsidRPr="001F3648">
          <w:rPr>
            <w:rFonts w:ascii="Calibri" w:eastAsia="Times New Roman" w:hAnsi="Calibri" w:cs="Mosawi"/>
            <w:webHidden/>
            <w:color w:val="000000" w:themeColor="text1"/>
            <w:sz w:val="22"/>
            <w:szCs w:val="26"/>
            <w:rtl/>
            <w:lang w:eastAsia="en-US"/>
          </w:rPr>
          <w:tab/>
        </w:r>
        <w:r w:rsidRPr="001F3648">
          <w:rPr>
            <w:rFonts w:ascii="Calibri" w:eastAsia="Times New Roman" w:hAnsi="Calibri" w:cs="Mosawi"/>
            <w:webHidden/>
            <w:color w:val="000000" w:themeColor="text1"/>
            <w:sz w:val="22"/>
            <w:szCs w:val="26"/>
            <w:rtl/>
            <w:lang w:eastAsia="en-US"/>
          </w:rPr>
          <w:fldChar w:fldCharType="begin"/>
        </w:r>
        <w:r w:rsidR="00EF7221" w:rsidRPr="001F3648">
          <w:rPr>
            <w:rFonts w:ascii="Calibri" w:eastAsia="Times New Roman" w:hAnsi="Calibri" w:cs="Mosawi"/>
            <w:webHidden/>
            <w:color w:val="000000" w:themeColor="text1"/>
            <w:sz w:val="22"/>
            <w:szCs w:val="26"/>
            <w:rtl/>
            <w:lang w:eastAsia="en-US"/>
          </w:rPr>
          <w:instrText xml:space="preserve"> </w:instrText>
        </w:r>
        <w:r w:rsidR="00EF7221" w:rsidRPr="001F3648">
          <w:rPr>
            <w:rFonts w:ascii="Calibri" w:eastAsia="Times New Roman" w:hAnsi="Calibri" w:cs="Mosawi"/>
            <w:webHidden/>
            <w:color w:val="000000" w:themeColor="text1"/>
            <w:sz w:val="22"/>
            <w:szCs w:val="26"/>
            <w:lang w:eastAsia="en-US"/>
          </w:rPr>
          <w:instrText>PAGEREF</w:instrText>
        </w:r>
        <w:r w:rsidR="00EF7221" w:rsidRPr="001F3648">
          <w:rPr>
            <w:rFonts w:ascii="Calibri" w:eastAsia="Times New Roman" w:hAnsi="Calibri" w:cs="Mosawi"/>
            <w:webHidden/>
            <w:color w:val="000000" w:themeColor="text1"/>
            <w:sz w:val="22"/>
            <w:szCs w:val="26"/>
            <w:rtl/>
            <w:lang w:eastAsia="en-US"/>
          </w:rPr>
          <w:instrText xml:space="preserve"> _</w:instrText>
        </w:r>
        <w:r w:rsidR="00EF7221" w:rsidRPr="001F3648">
          <w:rPr>
            <w:rFonts w:ascii="Calibri" w:eastAsia="Times New Roman" w:hAnsi="Calibri" w:cs="Mosawi"/>
            <w:webHidden/>
            <w:color w:val="000000" w:themeColor="text1"/>
            <w:sz w:val="22"/>
            <w:szCs w:val="26"/>
            <w:lang w:eastAsia="en-US"/>
          </w:rPr>
          <w:instrText>Toc275127912 \h</w:instrText>
        </w:r>
        <w:r w:rsidR="00EF7221" w:rsidRPr="001F3648">
          <w:rPr>
            <w:rFonts w:ascii="Calibri" w:eastAsia="Times New Roman" w:hAnsi="Calibri" w:cs="Mosawi"/>
            <w:webHidden/>
            <w:color w:val="000000" w:themeColor="text1"/>
            <w:sz w:val="22"/>
            <w:szCs w:val="26"/>
            <w:rtl/>
            <w:lang w:eastAsia="en-US"/>
          </w:rPr>
          <w:instrText xml:space="preserve"> </w:instrText>
        </w:r>
        <w:r w:rsidRPr="001F3648">
          <w:rPr>
            <w:rFonts w:ascii="Calibri" w:eastAsia="Times New Roman" w:hAnsi="Calibri" w:cs="Mosawi"/>
            <w:webHidden/>
            <w:color w:val="000000" w:themeColor="text1"/>
            <w:sz w:val="22"/>
            <w:szCs w:val="26"/>
            <w:rtl/>
            <w:lang w:eastAsia="en-US"/>
          </w:rPr>
        </w:r>
        <w:r w:rsidRPr="001F3648">
          <w:rPr>
            <w:rFonts w:ascii="Calibri" w:eastAsia="Times New Roman" w:hAnsi="Calibri" w:cs="Mosawi"/>
            <w:webHidden/>
            <w:color w:val="000000" w:themeColor="text1"/>
            <w:sz w:val="22"/>
            <w:szCs w:val="26"/>
            <w:rtl/>
            <w:lang w:eastAsia="en-US"/>
          </w:rPr>
          <w:fldChar w:fldCharType="separate"/>
        </w:r>
        <w:r w:rsidR="0071680A">
          <w:rPr>
            <w:rFonts w:ascii="Calibri" w:eastAsia="Times New Roman" w:hAnsi="Calibri" w:cs="Mosawi"/>
            <w:webHidden/>
            <w:color w:val="000000" w:themeColor="text1"/>
            <w:sz w:val="22"/>
            <w:szCs w:val="26"/>
            <w:rtl/>
            <w:lang w:eastAsia="en-US"/>
          </w:rPr>
          <w:t>89</w:t>
        </w:r>
        <w:r w:rsidRPr="001F3648">
          <w:rPr>
            <w:rFonts w:ascii="Calibri" w:eastAsia="Times New Roman" w:hAnsi="Calibri" w:cs="Mosawi"/>
            <w:webHidden/>
            <w:color w:val="000000" w:themeColor="text1"/>
            <w:sz w:val="22"/>
            <w:szCs w:val="26"/>
            <w:rtl/>
            <w:lang w:eastAsia="en-US"/>
          </w:rPr>
          <w:fldChar w:fldCharType="end"/>
        </w:r>
      </w:hyperlink>
    </w:p>
    <w:p w:rsidR="00575C73" w:rsidRDefault="00A6422F" w:rsidP="00575C73">
      <w:pPr>
        <w:pStyle w:val="TOC6"/>
        <w:spacing w:line="204" w:lineRule="auto"/>
        <w:rPr>
          <w:rStyle w:val="Hyperlink"/>
          <w:color w:val="000000" w:themeColor="text1"/>
          <w:u w:val="none"/>
          <w:rtl/>
        </w:rPr>
      </w:pPr>
      <w:hyperlink w:anchor="_Toc275127913" w:history="1">
        <w:r w:rsidR="00EF7221" w:rsidRPr="001F3648">
          <w:rPr>
            <w:rStyle w:val="Hyperlink"/>
            <w:rFonts w:hint="eastAsia"/>
            <w:color w:val="000000" w:themeColor="text1"/>
            <w:u w:val="none"/>
            <w:rtl/>
          </w:rPr>
          <w:t>الشيخ</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مهدي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مهريزي</w:t>
        </w:r>
      </w:hyperlink>
      <w:r w:rsidR="00575C73" w:rsidRPr="00575C73">
        <w:rPr>
          <w:webHidden/>
          <w:rtl/>
        </w:rPr>
        <w:tab/>
      </w:r>
      <w:r w:rsidRPr="00575C73">
        <w:rPr>
          <w:webHidden/>
          <w:rtl/>
        </w:rPr>
        <w:fldChar w:fldCharType="begin"/>
      </w:r>
      <w:r w:rsidR="00575C73" w:rsidRPr="00575C73">
        <w:rPr>
          <w:webHidden/>
          <w:rtl/>
        </w:rPr>
        <w:instrText xml:space="preserve"> </w:instrText>
      </w:r>
      <w:r w:rsidR="00575C73" w:rsidRPr="00575C73">
        <w:rPr>
          <w:webHidden/>
        </w:rPr>
        <w:instrText xml:space="preserve">PAGEREF _Toc275127914 \h </w:instrText>
      </w:r>
      <w:r w:rsidRPr="00575C73">
        <w:rPr>
          <w:webHidden/>
          <w:rtl/>
        </w:rPr>
      </w:r>
      <w:r w:rsidRPr="00575C73">
        <w:rPr>
          <w:webHidden/>
          <w:rtl/>
        </w:rPr>
        <w:fldChar w:fldCharType="separate"/>
      </w:r>
      <w:r w:rsidR="0071680A">
        <w:rPr>
          <w:webHidden/>
          <w:rtl/>
        </w:rPr>
        <w:t>89</w:t>
      </w:r>
      <w:r w:rsidRPr="00575C73">
        <w:rPr>
          <w:webHidden/>
          <w:rtl/>
        </w:rPr>
        <w:fldChar w:fldCharType="end"/>
      </w:r>
    </w:p>
    <w:p w:rsidR="00EF7221" w:rsidRPr="001F3648" w:rsidRDefault="00A6422F" w:rsidP="00575C73">
      <w:pPr>
        <w:pStyle w:val="TOC6"/>
        <w:spacing w:line="204" w:lineRule="auto"/>
        <w:rPr>
          <w:rFonts w:asciiTheme="minorHAnsi" w:eastAsiaTheme="minorEastAsia" w:hAnsiTheme="minorHAnsi" w:cstheme="minorBidi"/>
          <w:color w:val="000000" w:themeColor="text1"/>
          <w:szCs w:val="22"/>
          <w:rtl/>
        </w:rPr>
      </w:pPr>
      <w:hyperlink w:anchor="_Toc275127914" w:history="1">
        <w:r w:rsidR="00EF7221" w:rsidRPr="001F3648">
          <w:rPr>
            <w:rStyle w:val="Hyperlink"/>
            <w:rFonts w:hint="eastAsia"/>
            <w:color w:val="000000" w:themeColor="text1"/>
            <w:u w:val="none"/>
            <w:rtl/>
          </w:rPr>
          <w:t>ترجمة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حيدر</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حب</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الله</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Toc275127914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89</w:t>
        </w:r>
        <w:r w:rsidRPr="001F3648">
          <w:rPr>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915" w:history="1">
        <w:r w:rsidR="00EF7221" w:rsidRPr="001F3648">
          <w:rPr>
            <w:rStyle w:val="Hyperlink"/>
            <w:rFonts w:hint="eastAsia"/>
            <w:color w:val="000000" w:themeColor="text1"/>
            <w:sz w:val="24"/>
            <w:szCs w:val="28"/>
            <w:u w:val="none"/>
            <w:rtl/>
          </w:rPr>
          <w:t>مسألة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المرأة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إبّان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الحركة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الدستورية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وقبلها</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Toc275127915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89</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916" w:history="1">
        <w:r w:rsidR="00EF7221" w:rsidRPr="001F3648">
          <w:rPr>
            <w:rStyle w:val="Hyperlink"/>
            <w:rFonts w:hint="eastAsia"/>
            <w:color w:val="000000" w:themeColor="text1"/>
            <w:sz w:val="24"/>
            <w:szCs w:val="28"/>
            <w:u w:val="none"/>
            <w:rtl/>
          </w:rPr>
          <w:t>نطاق</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هذه</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الدراسة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Toc275127916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94</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917" w:history="1">
        <w:r w:rsidR="00EF7221" w:rsidRPr="001F3648">
          <w:rPr>
            <w:rStyle w:val="Hyperlink"/>
            <w:rFonts w:hint="eastAsia"/>
            <w:color w:val="000000" w:themeColor="text1"/>
            <w:sz w:val="24"/>
            <w:szCs w:val="28"/>
            <w:u w:val="none"/>
            <w:rtl/>
          </w:rPr>
          <w:t>دراسة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تطوّر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مسألة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المرأة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القرن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العشرين</w:t>
        </w:r>
        <w:r w:rsidR="00EF7221" w:rsidRPr="001F3648">
          <w:rPr>
            <w:rStyle w:val="Hyperlink"/>
            <w:rFonts w:cs="Simplified Arabic" w:hint="eastAsia"/>
            <w:color w:val="000000" w:themeColor="text1"/>
            <w:sz w:val="24"/>
            <w:szCs w:val="28"/>
            <w:u w:val="none"/>
            <w:rtl/>
          </w:rPr>
          <w:t>،</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مساهمات</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ومنجزات</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Toc275127917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94</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918" w:history="1">
        <w:r w:rsidR="00EF7221" w:rsidRPr="001F3648">
          <w:rPr>
            <w:rStyle w:val="Hyperlink"/>
            <w:rFonts w:hint="eastAsia"/>
            <w:color w:val="000000" w:themeColor="text1"/>
            <w:sz w:val="24"/>
            <w:szCs w:val="28"/>
            <w:u w:val="none"/>
            <w:rtl/>
          </w:rPr>
          <w:t>منهج</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هذه</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الدراسة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Toc275127918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97</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919" w:history="1">
        <w:r w:rsidR="00EF7221" w:rsidRPr="001F3648">
          <w:rPr>
            <w:rStyle w:val="Hyperlink"/>
            <w:rFonts w:hint="eastAsia"/>
            <w:color w:val="000000" w:themeColor="text1"/>
            <w:sz w:val="24"/>
            <w:szCs w:val="28"/>
            <w:u w:val="none"/>
            <w:rtl/>
          </w:rPr>
          <w:t>الاتجاهات</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مسألة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المرأة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Toc275127919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98</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920" w:history="1">
        <w:r w:rsidR="00EF7221" w:rsidRPr="001F3648">
          <w:rPr>
            <w:rStyle w:val="Hyperlink"/>
            <w:rFonts w:hint="eastAsia"/>
            <w:color w:val="000000" w:themeColor="text1"/>
            <w:sz w:val="24"/>
            <w:szCs w:val="28"/>
            <w:u w:val="none"/>
            <w:rtl/>
          </w:rPr>
          <w:t>الاتجاه</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الأوّل</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الاتجاه</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التراثي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التقليدي</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Toc275127920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98</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921" w:history="1">
        <w:r w:rsidR="00EF7221" w:rsidRPr="001F3648">
          <w:rPr>
            <w:rStyle w:val="Hyperlink"/>
            <w:color w:val="000000" w:themeColor="text1"/>
            <w:sz w:val="24"/>
            <w:szCs w:val="28"/>
            <w:u w:val="none"/>
            <w:rtl/>
          </w:rPr>
          <w:t>1</w:t>
        </w:r>
        <w:r w:rsidR="00EF7221" w:rsidRPr="001F3648">
          <w:rPr>
            <w:rStyle w:val="Hyperlink"/>
            <w:rFonts w:hint="eastAsia"/>
            <w:color w:val="000000" w:themeColor="text1"/>
            <w:sz w:val="24"/>
            <w:szCs w:val="28"/>
            <w:u w:val="none"/>
            <w:rtl/>
          </w:rPr>
          <w:t>ـ</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الاتجاه</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التراثي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أهمّ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المصادر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وأبرز</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المساهمات</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Toc275127921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99</w:t>
        </w:r>
        <w:r w:rsidRPr="001F3648">
          <w:rPr>
            <w:webHidden/>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7922" w:history="1">
        <w:r w:rsidR="00EF7221" w:rsidRPr="001F3648">
          <w:rPr>
            <w:rStyle w:val="Hyperlink"/>
            <w:rFonts w:hint="eastAsia"/>
            <w:noProof/>
            <w:color w:val="000000" w:themeColor="text1"/>
            <w:u w:val="none"/>
            <w:rtl/>
          </w:rPr>
          <w:t>أ</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كتب</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التفسير</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والعلوم</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القرآنية</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Toc275127922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99</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7923" w:history="1">
        <w:r w:rsidR="00EF7221" w:rsidRPr="001F3648">
          <w:rPr>
            <w:rStyle w:val="Hyperlink"/>
            <w:rFonts w:hint="eastAsia"/>
            <w:noProof/>
            <w:color w:val="000000" w:themeColor="text1"/>
            <w:u w:val="none"/>
            <w:rtl/>
          </w:rPr>
          <w:t>ب</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كتب</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الحديث</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والمحدّثين</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Toc275127923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100</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7924" w:history="1">
        <w:r w:rsidR="00EF7221" w:rsidRPr="001F3648">
          <w:rPr>
            <w:rStyle w:val="Hyperlink"/>
            <w:rFonts w:hint="eastAsia"/>
            <w:noProof/>
            <w:color w:val="000000" w:themeColor="text1"/>
            <w:u w:val="none"/>
            <w:rtl/>
          </w:rPr>
          <w:t>ج</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كتب</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الكلام</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والفلسفة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والعرفان</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Toc275127924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100</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7925" w:history="1">
        <w:r w:rsidR="00EF7221" w:rsidRPr="001F3648">
          <w:rPr>
            <w:rStyle w:val="Hyperlink"/>
            <w:rFonts w:hint="eastAsia"/>
            <w:noProof/>
            <w:color w:val="000000" w:themeColor="text1"/>
            <w:u w:val="none"/>
            <w:rtl/>
          </w:rPr>
          <w:t>د</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كتب</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الفقه</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Toc275127925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101</w:t>
        </w:r>
        <w:r w:rsidRPr="001F3648">
          <w:rPr>
            <w:noProof/>
            <w:webHidden/>
            <w:color w:val="000000" w:themeColor="text1"/>
            <w:rtl/>
          </w:rPr>
          <w:fldChar w:fldCharType="end"/>
        </w:r>
      </w:hyperlink>
    </w:p>
    <w:p w:rsidR="00EF7221" w:rsidRPr="001F3648" w:rsidRDefault="00A6422F" w:rsidP="0008530B">
      <w:pPr>
        <w:pStyle w:val="TOC4"/>
        <w:spacing w:line="204" w:lineRule="auto"/>
        <w:rPr>
          <w:rFonts w:asciiTheme="minorHAnsi" w:eastAsiaTheme="minorEastAsia" w:hAnsiTheme="minorHAnsi" w:cstheme="minorBidi"/>
          <w:noProof/>
          <w:color w:val="000000" w:themeColor="text1"/>
          <w:sz w:val="22"/>
          <w:szCs w:val="22"/>
          <w:rtl/>
        </w:rPr>
      </w:pPr>
      <w:hyperlink w:anchor="_Toc275127926" w:history="1">
        <w:r w:rsidR="00EF7221" w:rsidRPr="001F3648">
          <w:rPr>
            <w:rStyle w:val="Hyperlink"/>
            <w:noProof/>
            <w:color w:val="000000" w:themeColor="text1"/>
            <w:u w:val="none"/>
            <w:rtl/>
          </w:rPr>
          <w:t>1</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رسالة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وجوب</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الحجاب،</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لمحمد</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صادق</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الأورومي،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فخر</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الإسلام</w:t>
        </w:r>
        <w:r w:rsidR="00EF7221" w:rsidRPr="001F3648">
          <w:rPr>
            <w:rStyle w:val="Hyperlink"/>
            <w:noProof/>
            <w:color w:val="000000" w:themeColor="text1"/>
            <w:u w:val="none"/>
            <w:rtl/>
          </w:rPr>
          <w:t xml:space="preserve"> (1330</w:t>
        </w:r>
        <w:r w:rsidR="00EF7221" w:rsidRPr="001F3648">
          <w:rPr>
            <w:rStyle w:val="Hyperlink"/>
            <w:rFonts w:hint="eastAsia"/>
            <w:noProof/>
            <w:color w:val="000000" w:themeColor="text1"/>
            <w:u w:val="none"/>
            <w:rtl/>
          </w:rPr>
          <w:t>هـ</w:t>
        </w:r>
        <w:r w:rsidR="00EF7221" w:rsidRPr="001F3648">
          <w:rPr>
            <w:rStyle w:val="Hyperlink"/>
            <w:noProof/>
            <w:color w:val="000000" w:themeColor="text1"/>
            <w:u w:val="none"/>
            <w:rtl/>
          </w:rPr>
          <w:t>)</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Toc275127926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101</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7927" w:history="1">
        <w:r w:rsidR="00EF7221" w:rsidRPr="001F3648">
          <w:rPr>
            <w:rStyle w:val="Hyperlink"/>
            <w:noProof/>
            <w:color w:val="000000" w:themeColor="text1"/>
            <w:u w:val="none"/>
            <w:rtl/>
          </w:rPr>
          <w:t xml:space="preserve">2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طومار</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عفت،</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ليوسف</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النجفي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الجيلاني</w:t>
        </w:r>
        <w:r w:rsidR="00EF7221" w:rsidRPr="001F3648">
          <w:rPr>
            <w:rStyle w:val="Hyperlink"/>
            <w:noProof/>
            <w:color w:val="000000" w:themeColor="text1"/>
            <w:u w:val="none"/>
            <w:rtl/>
          </w:rPr>
          <w:t xml:space="preserve"> (1948</w:t>
        </w:r>
        <w:r w:rsidR="00EF7221" w:rsidRPr="001F3648">
          <w:rPr>
            <w:rStyle w:val="Hyperlink"/>
            <w:rFonts w:hint="eastAsia"/>
            <w:noProof/>
            <w:color w:val="000000" w:themeColor="text1"/>
            <w:u w:val="none"/>
            <w:rtl/>
          </w:rPr>
          <w:t>م</w:t>
        </w:r>
        <w:r w:rsidR="00EF7221" w:rsidRPr="001F3648">
          <w:rPr>
            <w:rStyle w:val="Hyperlink"/>
            <w:noProof/>
            <w:color w:val="000000" w:themeColor="text1"/>
            <w:u w:val="none"/>
            <w:rtl/>
          </w:rPr>
          <w:t>)</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Toc275127927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102</w:t>
        </w:r>
        <w:r w:rsidRPr="001F3648">
          <w:rPr>
            <w:noProof/>
            <w:webHidden/>
            <w:color w:val="000000" w:themeColor="text1"/>
            <w:rtl/>
          </w:rPr>
          <w:fldChar w:fldCharType="end"/>
        </w:r>
      </w:hyperlink>
    </w:p>
    <w:p w:rsidR="00EF7221" w:rsidRPr="001F3648" w:rsidRDefault="00A6422F" w:rsidP="0008530B">
      <w:pPr>
        <w:pStyle w:val="TOC4"/>
        <w:spacing w:line="204" w:lineRule="auto"/>
        <w:rPr>
          <w:rFonts w:asciiTheme="minorHAnsi" w:eastAsiaTheme="minorEastAsia" w:hAnsiTheme="minorHAnsi" w:cstheme="minorBidi"/>
          <w:noProof/>
          <w:color w:val="000000" w:themeColor="text1"/>
          <w:sz w:val="22"/>
          <w:szCs w:val="22"/>
          <w:rtl/>
        </w:rPr>
      </w:pPr>
      <w:hyperlink w:anchor="_Toc275127928" w:history="1">
        <w:r w:rsidR="00EF7221" w:rsidRPr="001F3648">
          <w:rPr>
            <w:rStyle w:val="Hyperlink"/>
            <w:noProof/>
            <w:color w:val="000000" w:themeColor="text1"/>
            <w:u w:val="none"/>
            <w:rtl/>
          </w:rPr>
          <w:t xml:space="preserve">3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مدنيّة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الإسلام</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روح</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التمدّن،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للشيخ</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أحد</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الشاهرودي</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Toc275127928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103</w:t>
        </w:r>
        <w:r w:rsidRPr="001F3648">
          <w:rPr>
            <w:noProof/>
            <w:webHidden/>
            <w:color w:val="000000" w:themeColor="text1"/>
            <w:rtl/>
          </w:rPr>
          <w:fldChar w:fldCharType="end"/>
        </w:r>
      </w:hyperlink>
    </w:p>
    <w:p w:rsidR="00EF7221" w:rsidRPr="001F3648" w:rsidRDefault="00A6422F" w:rsidP="0008530B">
      <w:pPr>
        <w:pStyle w:val="TOC4"/>
        <w:spacing w:line="204" w:lineRule="auto"/>
        <w:rPr>
          <w:rFonts w:asciiTheme="minorHAnsi" w:eastAsiaTheme="minorEastAsia" w:hAnsiTheme="minorHAnsi" w:cstheme="minorBidi"/>
          <w:noProof/>
          <w:color w:val="000000" w:themeColor="text1"/>
          <w:sz w:val="22"/>
          <w:szCs w:val="22"/>
          <w:rtl/>
        </w:rPr>
      </w:pPr>
      <w:hyperlink w:anchor="_Toc275127929" w:history="1">
        <w:r w:rsidR="00EF7221" w:rsidRPr="001F3648">
          <w:rPr>
            <w:rStyle w:val="Hyperlink"/>
            <w:noProof/>
            <w:color w:val="000000" w:themeColor="text1"/>
            <w:u w:val="none"/>
            <w:rtl/>
          </w:rPr>
          <w:t xml:space="preserve">4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المرأة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المسلمة</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Toc275127929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103</w:t>
        </w:r>
        <w:r w:rsidRPr="001F3648">
          <w:rPr>
            <w:noProof/>
            <w:webHidden/>
            <w:color w:val="000000" w:themeColor="text1"/>
            <w:rtl/>
          </w:rPr>
          <w:fldChar w:fldCharType="end"/>
        </w:r>
      </w:hyperlink>
    </w:p>
    <w:p w:rsidR="00EF7221" w:rsidRPr="001F3648" w:rsidRDefault="00A6422F" w:rsidP="0008530B">
      <w:pPr>
        <w:pStyle w:val="TOC4"/>
        <w:spacing w:line="204" w:lineRule="auto"/>
        <w:rPr>
          <w:rFonts w:asciiTheme="minorHAnsi" w:eastAsiaTheme="minorEastAsia" w:hAnsiTheme="minorHAnsi" w:cstheme="minorBidi"/>
          <w:noProof/>
          <w:color w:val="000000" w:themeColor="text1"/>
          <w:sz w:val="22"/>
          <w:szCs w:val="22"/>
          <w:rtl/>
        </w:rPr>
      </w:pPr>
      <w:hyperlink w:anchor="_Toc275127930" w:history="1">
        <w:r w:rsidR="00EF7221" w:rsidRPr="001F3648">
          <w:rPr>
            <w:rStyle w:val="Hyperlink"/>
            <w:noProof/>
            <w:color w:val="000000" w:themeColor="text1"/>
            <w:u w:val="none"/>
            <w:rtl/>
          </w:rPr>
          <w:t xml:space="preserve">5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الحجاب</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في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الإسلام،</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لقوام</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الدين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الوشنوي</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Toc275127930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104</w:t>
        </w:r>
        <w:r w:rsidRPr="001F3648">
          <w:rPr>
            <w:noProof/>
            <w:webHidden/>
            <w:color w:val="000000" w:themeColor="text1"/>
            <w:rtl/>
          </w:rPr>
          <w:fldChar w:fldCharType="end"/>
        </w:r>
      </w:hyperlink>
    </w:p>
    <w:p w:rsidR="00EF7221" w:rsidRPr="001F3648" w:rsidRDefault="00A6422F" w:rsidP="0008530B">
      <w:pPr>
        <w:pStyle w:val="TOC4"/>
        <w:spacing w:line="204" w:lineRule="auto"/>
        <w:rPr>
          <w:rFonts w:asciiTheme="minorHAnsi" w:eastAsiaTheme="minorEastAsia" w:hAnsiTheme="minorHAnsi" w:cstheme="minorBidi"/>
          <w:noProof/>
          <w:color w:val="000000" w:themeColor="text1"/>
          <w:sz w:val="22"/>
          <w:szCs w:val="22"/>
          <w:rtl/>
        </w:rPr>
      </w:pPr>
      <w:hyperlink w:anchor="_Toc275127931" w:history="1">
        <w:r w:rsidR="00EF7221" w:rsidRPr="001F3648">
          <w:rPr>
            <w:rStyle w:val="Hyperlink"/>
            <w:noProof/>
            <w:color w:val="000000" w:themeColor="text1"/>
            <w:u w:val="none"/>
            <w:rtl/>
          </w:rPr>
          <w:t xml:space="preserve">6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الفروق</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بين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المرء</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والمرأة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في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نظر</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الشرع،</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للحاج</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السيد</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علي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مولانا</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التبريزي</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Toc275127931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104</w:t>
        </w:r>
        <w:r w:rsidRPr="001F3648">
          <w:rPr>
            <w:noProof/>
            <w:webHidden/>
            <w:color w:val="000000" w:themeColor="text1"/>
            <w:rtl/>
          </w:rPr>
          <w:fldChar w:fldCharType="end"/>
        </w:r>
      </w:hyperlink>
    </w:p>
    <w:p w:rsidR="00EF7221" w:rsidRPr="001F3648" w:rsidRDefault="00A6422F" w:rsidP="0008530B">
      <w:pPr>
        <w:pStyle w:val="TOC4"/>
        <w:spacing w:line="204" w:lineRule="auto"/>
        <w:rPr>
          <w:rFonts w:asciiTheme="minorHAnsi" w:eastAsiaTheme="minorEastAsia" w:hAnsiTheme="minorHAnsi" w:cstheme="minorBidi"/>
          <w:noProof/>
          <w:color w:val="000000" w:themeColor="text1"/>
          <w:sz w:val="22"/>
          <w:szCs w:val="22"/>
          <w:rtl/>
        </w:rPr>
      </w:pPr>
      <w:hyperlink w:anchor="_Toc275127932" w:history="1">
        <w:r w:rsidR="00EF7221" w:rsidRPr="001F3648">
          <w:rPr>
            <w:rStyle w:val="Hyperlink"/>
            <w:noProof/>
            <w:color w:val="000000" w:themeColor="text1"/>
            <w:u w:val="none"/>
            <w:rtl/>
          </w:rPr>
          <w:t xml:space="preserve">7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المرأة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والانتخابات</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Toc275127932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105</w:t>
        </w:r>
        <w:r w:rsidRPr="001F3648">
          <w:rPr>
            <w:noProof/>
            <w:webHidden/>
            <w:color w:val="000000" w:themeColor="text1"/>
            <w:rtl/>
          </w:rPr>
          <w:fldChar w:fldCharType="end"/>
        </w:r>
      </w:hyperlink>
    </w:p>
    <w:p w:rsidR="00EF7221" w:rsidRPr="001F3648" w:rsidRDefault="00A6422F" w:rsidP="0008530B">
      <w:pPr>
        <w:pStyle w:val="TOC4"/>
        <w:spacing w:line="204" w:lineRule="auto"/>
        <w:rPr>
          <w:rFonts w:asciiTheme="minorHAnsi" w:eastAsiaTheme="minorEastAsia" w:hAnsiTheme="minorHAnsi" w:cstheme="minorBidi"/>
          <w:noProof/>
          <w:color w:val="000000" w:themeColor="text1"/>
          <w:sz w:val="22"/>
          <w:szCs w:val="22"/>
          <w:rtl/>
        </w:rPr>
      </w:pPr>
      <w:hyperlink w:anchor="_Toc275127933" w:history="1">
        <w:r w:rsidR="00EF7221" w:rsidRPr="001F3648">
          <w:rPr>
            <w:rStyle w:val="Hyperlink"/>
            <w:noProof/>
            <w:color w:val="000000" w:themeColor="text1"/>
            <w:u w:val="none"/>
            <w:rtl/>
          </w:rPr>
          <w:t xml:space="preserve">8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أجوبة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الأستاذ</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على</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نقد</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كتاب</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مسألة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الحجاب،</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للأستاذ</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مرتضى</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مطهري</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Toc275127933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105</w:t>
        </w:r>
        <w:r w:rsidRPr="001F3648">
          <w:rPr>
            <w:noProof/>
            <w:webHidden/>
            <w:color w:val="000000" w:themeColor="text1"/>
            <w:rtl/>
          </w:rPr>
          <w:fldChar w:fldCharType="end"/>
        </w:r>
      </w:hyperlink>
    </w:p>
    <w:p w:rsidR="00EF7221" w:rsidRPr="001F3648" w:rsidRDefault="00A6422F" w:rsidP="0008530B">
      <w:pPr>
        <w:pStyle w:val="TOC4"/>
        <w:spacing w:line="204" w:lineRule="auto"/>
        <w:rPr>
          <w:rFonts w:asciiTheme="minorHAnsi" w:eastAsiaTheme="minorEastAsia" w:hAnsiTheme="minorHAnsi" w:cstheme="minorBidi"/>
          <w:noProof/>
          <w:color w:val="000000" w:themeColor="text1"/>
          <w:sz w:val="22"/>
          <w:szCs w:val="22"/>
          <w:rtl/>
        </w:rPr>
      </w:pPr>
      <w:hyperlink w:anchor="_Toc275127934" w:history="1">
        <w:r w:rsidR="00EF7221" w:rsidRPr="001F3648">
          <w:rPr>
            <w:rStyle w:val="Hyperlink"/>
            <w:noProof/>
            <w:color w:val="000000" w:themeColor="text1"/>
            <w:u w:val="none"/>
            <w:rtl/>
          </w:rPr>
          <w:t xml:space="preserve">9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مزايا</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الرجل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والمرأة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في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الإسلام،</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للسيد</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أبي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الفضل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النبوي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القمّي</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Toc275127934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106</w:t>
        </w:r>
        <w:r w:rsidRPr="001F3648">
          <w:rPr>
            <w:noProof/>
            <w:webHidden/>
            <w:color w:val="000000" w:themeColor="text1"/>
            <w:rtl/>
          </w:rPr>
          <w:fldChar w:fldCharType="end"/>
        </w:r>
      </w:hyperlink>
    </w:p>
    <w:p w:rsidR="00EF7221" w:rsidRPr="001F3648" w:rsidRDefault="00A6422F" w:rsidP="0008530B">
      <w:pPr>
        <w:pStyle w:val="TOC4"/>
        <w:spacing w:line="204" w:lineRule="auto"/>
        <w:rPr>
          <w:rFonts w:asciiTheme="minorHAnsi" w:eastAsiaTheme="minorEastAsia" w:hAnsiTheme="minorHAnsi" w:cstheme="minorBidi"/>
          <w:noProof/>
          <w:color w:val="000000" w:themeColor="text1"/>
          <w:sz w:val="22"/>
          <w:szCs w:val="22"/>
          <w:rtl/>
        </w:rPr>
      </w:pPr>
      <w:hyperlink w:anchor="_Toc275127935" w:history="1">
        <w:r w:rsidR="00EF7221" w:rsidRPr="001F3648">
          <w:rPr>
            <w:rStyle w:val="Hyperlink"/>
            <w:noProof/>
            <w:color w:val="000000" w:themeColor="text1"/>
            <w:u w:val="none"/>
            <w:rtl/>
          </w:rPr>
          <w:t xml:space="preserve">10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رسالة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بديعة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في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تفسير</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آية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الرجال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قوّامون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على</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النساء،</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للسيد</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محمد</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حسين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الحسيني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الطهراني</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Toc275127935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107</w:t>
        </w:r>
        <w:r w:rsidRPr="001F3648">
          <w:rPr>
            <w:noProof/>
            <w:webHidden/>
            <w:color w:val="000000" w:themeColor="text1"/>
            <w:rtl/>
          </w:rPr>
          <w:fldChar w:fldCharType="end"/>
        </w:r>
      </w:hyperlink>
    </w:p>
    <w:p w:rsidR="00EF7221" w:rsidRPr="001F3648" w:rsidRDefault="00A6422F" w:rsidP="0008530B">
      <w:pPr>
        <w:pStyle w:val="TOC4"/>
        <w:spacing w:line="204" w:lineRule="auto"/>
        <w:rPr>
          <w:rFonts w:asciiTheme="minorHAnsi" w:eastAsiaTheme="minorEastAsia" w:hAnsiTheme="minorHAnsi" w:cstheme="minorBidi"/>
          <w:noProof/>
          <w:color w:val="000000" w:themeColor="text1"/>
          <w:sz w:val="22"/>
          <w:szCs w:val="22"/>
          <w:rtl/>
        </w:rPr>
      </w:pPr>
      <w:hyperlink w:anchor="_Toc275127936" w:history="1">
        <w:r w:rsidR="00EF7221" w:rsidRPr="001F3648">
          <w:rPr>
            <w:rStyle w:val="Hyperlink"/>
            <w:noProof/>
            <w:color w:val="000000" w:themeColor="text1"/>
            <w:u w:val="none"/>
            <w:rtl/>
          </w:rPr>
          <w:t xml:space="preserve">11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النساء</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في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أخبار</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الفريقين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أو</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النساء</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في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أخبار</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الشيعة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والسنّة،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للسيد</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محمود</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بن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السيد</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lastRenderedPageBreak/>
          <w:t>مهدي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الدهسرخي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الإصفهاني</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Toc275127936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108</w:t>
        </w:r>
        <w:r w:rsidRPr="001F3648">
          <w:rPr>
            <w:noProof/>
            <w:webHidden/>
            <w:color w:val="000000" w:themeColor="text1"/>
            <w:rtl/>
          </w:rPr>
          <w:fldChar w:fldCharType="end"/>
        </w:r>
      </w:hyperlink>
    </w:p>
    <w:p w:rsidR="00EF7221" w:rsidRPr="001F3648" w:rsidRDefault="00A6422F" w:rsidP="0008530B">
      <w:pPr>
        <w:pStyle w:val="TOC4"/>
        <w:spacing w:line="204" w:lineRule="auto"/>
        <w:rPr>
          <w:rFonts w:asciiTheme="minorHAnsi" w:eastAsiaTheme="minorEastAsia" w:hAnsiTheme="minorHAnsi" w:cstheme="minorBidi"/>
          <w:noProof/>
          <w:color w:val="000000" w:themeColor="text1"/>
          <w:sz w:val="22"/>
          <w:szCs w:val="22"/>
          <w:rtl/>
        </w:rPr>
      </w:pPr>
      <w:hyperlink w:anchor="_Toc275127937" w:history="1">
        <w:r w:rsidR="00EF7221" w:rsidRPr="001F3648">
          <w:rPr>
            <w:rStyle w:val="Hyperlink"/>
            <w:noProof/>
            <w:color w:val="000000" w:themeColor="text1"/>
            <w:u w:val="none"/>
            <w:rtl/>
          </w:rPr>
          <w:t xml:space="preserve">12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الدين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والمرأة،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لمحمد</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تقي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صديقين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الإصفهاني</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Toc275127937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108</w:t>
        </w:r>
        <w:r w:rsidRPr="001F3648">
          <w:rPr>
            <w:noProof/>
            <w:webHidden/>
            <w:color w:val="000000" w:themeColor="text1"/>
            <w:rtl/>
          </w:rPr>
          <w:fldChar w:fldCharType="end"/>
        </w:r>
      </w:hyperlink>
    </w:p>
    <w:p w:rsidR="00EF7221" w:rsidRPr="001F3648" w:rsidRDefault="00A6422F" w:rsidP="00575C73">
      <w:pPr>
        <w:pStyle w:val="TOC2"/>
        <w:rPr>
          <w:rFonts w:asciiTheme="minorHAnsi" w:eastAsiaTheme="minorEastAsia" w:hAnsiTheme="minorHAnsi" w:cstheme="minorBidi"/>
          <w:szCs w:val="22"/>
          <w:rtl/>
          <w:lang w:eastAsia="en-US"/>
        </w:rPr>
      </w:pPr>
      <w:hyperlink w:anchor="_Toc275127938" w:history="1">
        <w:r w:rsidR="00EF7221" w:rsidRPr="001F3648">
          <w:rPr>
            <w:rStyle w:val="Hyperlink"/>
            <w:color w:val="000000" w:themeColor="text1"/>
            <w:sz w:val="24"/>
            <w:szCs w:val="28"/>
            <w:u w:val="none"/>
            <w:rtl/>
          </w:rPr>
          <w:t xml:space="preserve">2 </w:t>
        </w:r>
        <w:r w:rsidR="00EF7221" w:rsidRPr="001F3648">
          <w:rPr>
            <w:rStyle w:val="Hyperlink"/>
            <w:rFonts w:hint="eastAsia"/>
            <w:color w:val="000000" w:themeColor="text1"/>
            <w:sz w:val="24"/>
            <w:szCs w:val="28"/>
            <w:u w:val="none"/>
            <w:rtl/>
          </w:rPr>
          <w:t>ـ</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الاتجاه</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التراثي</w:t>
        </w:r>
        <w:r w:rsidR="00EF7221" w:rsidRPr="001F3648">
          <w:rPr>
            <w:rStyle w:val="Hyperlink"/>
            <w:rFonts w:cs="Simplified Arabic"/>
            <w:color w:val="000000" w:themeColor="text1"/>
            <w:sz w:val="24"/>
            <w:szCs w:val="28"/>
            <w:u w:val="none"/>
            <w:rtl/>
          </w:rPr>
          <w:t>:</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النظريّات</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والمواقف</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Toc275127938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109</w:t>
        </w:r>
        <w:r w:rsidRPr="001F3648">
          <w:rPr>
            <w:webHidden/>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7939" w:history="1">
        <w:r w:rsidR="00EF7221" w:rsidRPr="001F3648">
          <w:rPr>
            <w:rStyle w:val="Hyperlink"/>
            <w:noProof/>
            <w:color w:val="000000" w:themeColor="text1"/>
            <w:u w:val="none"/>
            <w:rtl/>
          </w:rPr>
          <w:t xml:space="preserve">1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2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شخصية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المرأة،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الطاقات</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والكمالات</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Toc275127939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109</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7940" w:history="1">
        <w:r w:rsidR="00EF7221" w:rsidRPr="001F3648">
          <w:rPr>
            <w:rStyle w:val="Hyperlink"/>
            <w:noProof/>
            <w:color w:val="000000" w:themeColor="text1"/>
            <w:u w:val="none"/>
            <w:rtl/>
          </w:rPr>
          <w:t xml:space="preserve">2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2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المرأة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والرجل،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الحقوق</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والتكاليف</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Toc275127940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113</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7941" w:history="1">
        <w:r w:rsidR="00EF7221" w:rsidRPr="001F3648">
          <w:rPr>
            <w:rStyle w:val="Hyperlink"/>
            <w:noProof/>
            <w:color w:val="000000" w:themeColor="text1"/>
            <w:u w:val="none"/>
            <w:rtl/>
          </w:rPr>
          <w:t xml:space="preserve">3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2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المرأة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في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الميدان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الاجتماعي</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Toc275127941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114</w:t>
        </w:r>
        <w:r w:rsidRPr="001F3648">
          <w:rPr>
            <w:noProof/>
            <w:webHidden/>
            <w:color w:val="000000" w:themeColor="text1"/>
            <w:rtl/>
          </w:rPr>
          <w:fldChar w:fldCharType="end"/>
        </w:r>
      </w:hyperlink>
    </w:p>
    <w:p w:rsidR="00EF7221" w:rsidRPr="001F3648" w:rsidRDefault="00A6422F" w:rsidP="00575C73">
      <w:pPr>
        <w:pStyle w:val="TOC2"/>
        <w:rPr>
          <w:rFonts w:asciiTheme="minorHAnsi" w:eastAsiaTheme="minorEastAsia" w:hAnsiTheme="minorHAnsi" w:cstheme="minorBidi"/>
          <w:szCs w:val="22"/>
          <w:rtl/>
          <w:lang w:eastAsia="en-US"/>
        </w:rPr>
      </w:pPr>
      <w:hyperlink w:anchor="_Toc275127942" w:history="1">
        <w:r w:rsidR="00EF7221" w:rsidRPr="001F3648">
          <w:rPr>
            <w:rStyle w:val="Hyperlink"/>
            <w:color w:val="000000" w:themeColor="text1"/>
            <w:u w:val="none"/>
            <w:rtl/>
          </w:rPr>
          <w:t xml:space="preserve">3 </w:t>
        </w:r>
        <w:r w:rsidR="00EF7221" w:rsidRPr="001F3648">
          <w:rPr>
            <w:rStyle w:val="Hyperlink"/>
            <w:rFonts w:hint="eastAsia"/>
            <w:color w:val="000000" w:themeColor="text1"/>
            <w:u w:val="none"/>
            <w:rtl/>
          </w:rPr>
          <w:t>ـ</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الاتجاه</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التراثي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المنهج</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والأسلوب</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Toc275127942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117</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943" w:history="1">
        <w:r w:rsidR="00EF7221" w:rsidRPr="001F3648">
          <w:rPr>
            <w:rStyle w:val="Hyperlink"/>
            <w:rFonts w:hint="eastAsia"/>
            <w:color w:val="000000" w:themeColor="text1"/>
            <w:sz w:val="24"/>
            <w:szCs w:val="28"/>
            <w:u w:val="none"/>
            <w:rtl/>
          </w:rPr>
          <w:t>الاتجاه</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الثاني</w:t>
        </w:r>
        <w:r w:rsidR="00EF7221" w:rsidRPr="001F3648">
          <w:rPr>
            <w:rStyle w:val="Hyperlink"/>
            <w:rFonts w:cs="Simplified Arabic"/>
            <w:color w:val="000000" w:themeColor="text1"/>
            <w:sz w:val="24"/>
            <w:szCs w:val="28"/>
            <w:u w:val="none"/>
            <w:rtl/>
          </w:rPr>
          <w:t>:</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الاتجاه</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الكلامي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ـ</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الاجتماعي</w:t>
        </w:r>
        <w:r w:rsidR="00EF7221" w:rsidRPr="001F3648">
          <w:rPr>
            <w:rFonts w:ascii="Calibri" w:eastAsia="Times New Roman" w:hAnsi="Calibri"/>
            <w:b/>
            <w:rtl/>
            <w:lang w:eastAsia="en-US"/>
          </w:rPr>
          <w:t xml:space="preserve"> (1960</w:t>
        </w:r>
        <w:r w:rsidR="00EF7221" w:rsidRPr="001F3648">
          <w:rPr>
            <w:rFonts w:ascii="Calibri" w:eastAsia="Times New Roman" w:hAnsi="Calibri" w:hint="eastAsia"/>
            <w:b/>
            <w:rtl/>
            <w:lang w:eastAsia="en-US"/>
          </w:rPr>
          <w:t>م</w:t>
        </w:r>
        <w:r w:rsidR="00EF7221" w:rsidRPr="001F3648">
          <w:rPr>
            <w:rFonts w:ascii="Calibri" w:eastAsia="Times New Roman" w:hAnsi="Calibri"/>
            <w:b/>
            <w:rtl/>
            <w:lang w:eastAsia="en-US"/>
          </w:rPr>
          <w:t>...)</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Toc275127943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117</w:t>
        </w:r>
        <w:r w:rsidRPr="001F3648">
          <w:rPr>
            <w:webHidden/>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7944" w:history="1">
        <w:r w:rsidR="00EF7221" w:rsidRPr="001F3648">
          <w:rPr>
            <w:rStyle w:val="Hyperlink"/>
            <w:noProof/>
            <w:color w:val="000000" w:themeColor="text1"/>
            <w:u w:val="none"/>
            <w:rtl/>
          </w:rPr>
          <w:t xml:space="preserve">1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أعمال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العلامة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الطباطبائي</w:t>
        </w:r>
        <w:r w:rsidR="00EF7221" w:rsidRPr="001F3648">
          <w:rPr>
            <w:rStyle w:val="Hyperlink"/>
            <w:noProof/>
            <w:color w:val="000000" w:themeColor="text1"/>
            <w:u w:val="none"/>
            <w:rtl/>
          </w:rPr>
          <w:t xml:space="preserve"> (1983</w:t>
        </w:r>
        <w:r w:rsidR="00EF7221" w:rsidRPr="001F3648">
          <w:rPr>
            <w:rStyle w:val="Hyperlink"/>
            <w:rFonts w:hint="eastAsia"/>
            <w:noProof/>
            <w:color w:val="000000" w:themeColor="text1"/>
            <w:u w:val="none"/>
            <w:rtl/>
          </w:rPr>
          <w:t>م</w:t>
        </w:r>
        <w:r w:rsidR="00EF7221" w:rsidRPr="001F3648">
          <w:rPr>
            <w:rStyle w:val="Hyperlink"/>
            <w:noProof/>
            <w:color w:val="000000" w:themeColor="text1"/>
            <w:u w:val="none"/>
            <w:rtl/>
          </w:rPr>
          <w:t>)</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Toc275127944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118</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7945" w:history="1">
        <w:r w:rsidR="00EF7221" w:rsidRPr="001F3648">
          <w:rPr>
            <w:rStyle w:val="Hyperlink"/>
            <w:noProof/>
            <w:color w:val="000000" w:themeColor="text1"/>
            <w:u w:val="none"/>
            <w:rtl/>
          </w:rPr>
          <w:t xml:space="preserve">2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حقوق</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المرأة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في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الإسلام،</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ليحيى</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النوري</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Toc275127945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119</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7946" w:history="1">
        <w:r w:rsidR="00EF7221" w:rsidRPr="001F3648">
          <w:rPr>
            <w:rStyle w:val="Hyperlink"/>
            <w:noProof/>
            <w:color w:val="000000" w:themeColor="text1"/>
            <w:u w:val="none"/>
            <w:rtl/>
          </w:rPr>
          <w:t xml:space="preserve">3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أعمال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الأستاذ</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الشهيد</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مرتضى</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مطهري</w:t>
        </w:r>
        <w:r w:rsidR="00EF7221" w:rsidRPr="001F3648">
          <w:rPr>
            <w:rStyle w:val="Hyperlink"/>
            <w:noProof/>
            <w:color w:val="000000" w:themeColor="text1"/>
            <w:u w:val="none"/>
            <w:rtl/>
          </w:rPr>
          <w:t xml:space="preserve"> (1979</w:t>
        </w:r>
        <w:r w:rsidR="00EF7221" w:rsidRPr="001F3648">
          <w:rPr>
            <w:rStyle w:val="Hyperlink"/>
            <w:rFonts w:hint="eastAsia"/>
            <w:noProof/>
            <w:color w:val="000000" w:themeColor="text1"/>
            <w:u w:val="none"/>
            <w:rtl/>
          </w:rPr>
          <w:t>م</w:t>
        </w:r>
        <w:r w:rsidR="00EF7221" w:rsidRPr="001F3648">
          <w:rPr>
            <w:rStyle w:val="Hyperlink"/>
            <w:noProof/>
            <w:color w:val="000000" w:themeColor="text1"/>
            <w:u w:val="none"/>
            <w:rtl/>
          </w:rPr>
          <w:t>)</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Toc275127946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120</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7947" w:history="1">
        <w:r w:rsidR="00EF7221" w:rsidRPr="001F3648">
          <w:rPr>
            <w:rStyle w:val="Hyperlink"/>
            <w:noProof/>
            <w:color w:val="000000" w:themeColor="text1"/>
            <w:u w:val="none"/>
            <w:rtl/>
          </w:rPr>
          <w:t xml:space="preserve">4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أعمال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الدكتور</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علي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شريعتي</w:t>
        </w:r>
        <w:r w:rsidR="00EF7221" w:rsidRPr="001F3648">
          <w:rPr>
            <w:rStyle w:val="Hyperlink"/>
            <w:noProof/>
            <w:color w:val="000000" w:themeColor="text1"/>
            <w:u w:val="none"/>
            <w:rtl/>
          </w:rPr>
          <w:t xml:space="preserve"> (1979</w:t>
        </w:r>
        <w:r w:rsidR="00EF7221" w:rsidRPr="001F3648">
          <w:rPr>
            <w:rStyle w:val="Hyperlink"/>
            <w:rFonts w:hint="eastAsia"/>
            <w:noProof/>
            <w:color w:val="000000" w:themeColor="text1"/>
            <w:u w:val="none"/>
            <w:rtl/>
          </w:rPr>
          <w:t>م</w:t>
        </w:r>
        <w:r w:rsidR="00EF7221" w:rsidRPr="001F3648">
          <w:rPr>
            <w:rStyle w:val="Hyperlink"/>
            <w:noProof/>
            <w:color w:val="000000" w:themeColor="text1"/>
            <w:u w:val="none"/>
            <w:rtl/>
          </w:rPr>
          <w:t>)</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Toc275127947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121</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7948" w:history="1">
        <w:r w:rsidR="00EF7221" w:rsidRPr="001F3648">
          <w:rPr>
            <w:rStyle w:val="Hyperlink"/>
            <w:noProof/>
            <w:color w:val="000000" w:themeColor="text1"/>
            <w:u w:val="none"/>
            <w:rtl/>
          </w:rPr>
          <w:t xml:space="preserve">5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نتاجات</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الإمام</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روح</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الله</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الخميني</w:t>
        </w:r>
        <w:r w:rsidR="00EF7221" w:rsidRPr="001F3648">
          <w:rPr>
            <w:rStyle w:val="Hyperlink"/>
            <w:noProof/>
            <w:color w:val="000000" w:themeColor="text1"/>
            <w:u w:val="none"/>
            <w:rtl/>
          </w:rPr>
          <w:t xml:space="preserve"> (1989</w:t>
        </w:r>
        <w:r w:rsidR="00EF7221" w:rsidRPr="001F3648">
          <w:rPr>
            <w:rStyle w:val="Hyperlink"/>
            <w:rFonts w:hint="eastAsia"/>
            <w:noProof/>
            <w:color w:val="000000" w:themeColor="text1"/>
            <w:u w:val="none"/>
            <w:rtl/>
          </w:rPr>
          <w:t>م</w:t>
        </w:r>
        <w:r w:rsidR="00EF7221" w:rsidRPr="001F3648">
          <w:rPr>
            <w:rStyle w:val="Hyperlink"/>
            <w:noProof/>
            <w:color w:val="000000" w:themeColor="text1"/>
            <w:u w:val="none"/>
            <w:rtl/>
          </w:rPr>
          <w:t>)</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Toc275127948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122</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7949" w:history="1">
        <w:r w:rsidR="00EF7221" w:rsidRPr="001F3648">
          <w:rPr>
            <w:rStyle w:val="Hyperlink"/>
            <w:noProof/>
            <w:color w:val="000000" w:themeColor="text1"/>
            <w:u w:val="none"/>
            <w:rtl/>
          </w:rPr>
          <w:t xml:space="preserve">6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نتاجات</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آية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الله</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جوادي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آملي</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Toc275127949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123</w:t>
        </w:r>
        <w:r w:rsidRPr="001F3648">
          <w:rPr>
            <w:noProof/>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950" w:history="1">
        <w:r w:rsidR="00EF7221" w:rsidRPr="001F3648">
          <w:rPr>
            <w:rStyle w:val="Hyperlink"/>
            <w:rFonts w:hint="eastAsia"/>
            <w:color w:val="000000" w:themeColor="text1"/>
            <w:sz w:val="24"/>
            <w:szCs w:val="28"/>
            <w:u w:val="none"/>
            <w:rtl/>
          </w:rPr>
          <w:t>الاتجاه</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الكلامي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ـ</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الاجتماعي</w:t>
        </w:r>
        <w:r w:rsidR="00EF7221" w:rsidRPr="001F3648">
          <w:rPr>
            <w:rStyle w:val="Hyperlink"/>
            <w:rFonts w:cs="Simplified Arabic"/>
            <w:color w:val="000000" w:themeColor="text1"/>
            <w:sz w:val="24"/>
            <w:szCs w:val="28"/>
            <w:u w:val="none"/>
            <w:rtl/>
          </w:rPr>
          <w:t>:</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المنهج</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والخطاب</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Toc275127950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125</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951" w:history="1">
        <w:r w:rsidR="00EF7221" w:rsidRPr="001F3648">
          <w:rPr>
            <w:rStyle w:val="Hyperlink"/>
            <w:rFonts w:hint="eastAsia"/>
            <w:color w:val="000000" w:themeColor="text1"/>
            <w:sz w:val="24"/>
            <w:szCs w:val="28"/>
            <w:u w:val="none"/>
            <w:rtl/>
          </w:rPr>
          <w:t>الاتجاه</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الثالث</w:t>
        </w:r>
        <w:r w:rsidR="00EF7221" w:rsidRPr="001F3648">
          <w:rPr>
            <w:rStyle w:val="Hyperlink"/>
            <w:rFonts w:cs="Simplified Arabic"/>
            <w:color w:val="000000" w:themeColor="text1"/>
            <w:sz w:val="24"/>
            <w:szCs w:val="28"/>
            <w:u w:val="none"/>
            <w:rtl/>
          </w:rPr>
          <w:t>:</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الاتجاه</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الفقهي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ـ</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الحقوقي</w:t>
        </w:r>
        <w:r w:rsidR="00EF7221" w:rsidRPr="001F3648">
          <w:rPr>
            <w:rFonts w:ascii="Calibri" w:eastAsia="Times New Roman" w:hAnsi="Calibri"/>
            <w:b/>
            <w:rtl/>
            <w:lang w:eastAsia="en-US"/>
          </w:rPr>
          <w:t xml:space="preserve"> (2000</w:t>
        </w:r>
        <w:r w:rsidR="00EF7221" w:rsidRPr="001F3648">
          <w:rPr>
            <w:rFonts w:ascii="Calibri" w:eastAsia="Times New Roman" w:hAnsi="Calibri" w:hint="eastAsia"/>
            <w:b/>
            <w:rtl/>
            <w:lang w:eastAsia="en-US"/>
          </w:rPr>
          <w:t>م</w:t>
        </w:r>
        <w:r w:rsidR="00EF7221" w:rsidRPr="001F3648">
          <w:rPr>
            <w:rFonts w:ascii="Calibri" w:eastAsia="Times New Roman" w:hAnsi="Calibri"/>
            <w:b/>
            <w:rtl/>
            <w:lang w:eastAsia="en-US"/>
          </w:rPr>
          <w:t xml:space="preserve"> </w:t>
        </w:r>
        <w:r w:rsidR="00EF7221" w:rsidRPr="001F3648">
          <w:rPr>
            <w:rFonts w:ascii="Calibri" w:eastAsia="Times New Roman" w:hAnsi="Calibri" w:hint="eastAsia"/>
            <w:b/>
            <w:rtl/>
            <w:lang w:eastAsia="en-US"/>
          </w:rPr>
          <w:t>ـ</w:t>
        </w:r>
        <w:r w:rsidR="00EF7221" w:rsidRPr="001F3648">
          <w:rPr>
            <w:rFonts w:ascii="Calibri" w:eastAsia="Times New Roman" w:hAnsi="Calibri"/>
            <w:b/>
            <w:rtl/>
            <w:lang w:eastAsia="en-US"/>
          </w:rPr>
          <w:t xml:space="preserve"> ....)</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Toc275127951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126</w:t>
        </w:r>
        <w:r w:rsidRPr="001F3648">
          <w:rPr>
            <w:webHidden/>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7952" w:history="1">
        <w:r w:rsidR="00EF7221" w:rsidRPr="001F3648">
          <w:rPr>
            <w:rStyle w:val="Hyperlink"/>
            <w:noProof/>
            <w:color w:val="000000" w:themeColor="text1"/>
            <w:u w:val="none"/>
            <w:rtl/>
          </w:rPr>
          <w:t xml:space="preserve">1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نتاجات</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آية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الله</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الشيخ</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يوسف</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الصانعي</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Toc275127952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127</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7953" w:history="1">
        <w:r w:rsidR="00EF7221" w:rsidRPr="001F3648">
          <w:rPr>
            <w:rStyle w:val="Hyperlink"/>
            <w:noProof/>
            <w:color w:val="000000" w:themeColor="text1"/>
            <w:u w:val="none"/>
            <w:rtl/>
          </w:rPr>
          <w:t xml:space="preserve">2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أعمال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الدكتور</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حسين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مهربور</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المولود</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عام</w:t>
        </w:r>
        <w:r w:rsidR="00EF7221" w:rsidRPr="001F3648">
          <w:rPr>
            <w:rStyle w:val="Hyperlink"/>
            <w:noProof/>
            <w:color w:val="000000" w:themeColor="text1"/>
            <w:u w:val="none"/>
            <w:rtl/>
          </w:rPr>
          <w:t xml:space="preserve"> 1943</w:t>
        </w:r>
        <w:r w:rsidR="00EF7221" w:rsidRPr="001F3648">
          <w:rPr>
            <w:rStyle w:val="Hyperlink"/>
            <w:rFonts w:hint="eastAsia"/>
            <w:noProof/>
            <w:color w:val="000000" w:themeColor="text1"/>
            <w:u w:val="none"/>
            <w:rtl/>
          </w:rPr>
          <w:t>م</w:t>
        </w:r>
        <w:r w:rsidR="00EF7221" w:rsidRPr="001F3648">
          <w:rPr>
            <w:rStyle w:val="Hyperlink"/>
            <w:noProof/>
            <w:color w:val="000000" w:themeColor="text1"/>
            <w:u w:val="none"/>
            <w:rtl/>
          </w:rPr>
          <w:t>)</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Toc275127953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128</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7954" w:history="1">
        <w:r w:rsidR="00EF7221" w:rsidRPr="001F3648">
          <w:rPr>
            <w:rStyle w:val="Hyperlink"/>
            <w:noProof/>
            <w:color w:val="000000" w:themeColor="text1"/>
            <w:u w:val="none"/>
            <w:rtl/>
          </w:rPr>
          <w:t xml:space="preserve">3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نتاج</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آية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الله</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الشيخ</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إبراهيم</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الجنّاتي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المولود</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عام</w:t>
        </w:r>
        <w:r w:rsidR="00EF7221" w:rsidRPr="001F3648">
          <w:rPr>
            <w:rStyle w:val="Hyperlink"/>
            <w:noProof/>
            <w:color w:val="000000" w:themeColor="text1"/>
            <w:u w:val="none"/>
            <w:rtl/>
          </w:rPr>
          <w:t xml:space="preserve"> 1933</w:t>
        </w:r>
        <w:r w:rsidR="00EF7221" w:rsidRPr="001F3648">
          <w:rPr>
            <w:rStyle w:val="Hyperlink"/>
            <w:rFonts w:hint="eastAsia"/>
            <w:noProof/>
            <w:color w:val="000000" w:themeColor="text1"/>
            <w:u w:val="none"/>
            <w:rtl/>
          </w:rPr>
          <w:t>م</w:t>
        </w:r>
        <w:r w:rsidR="00EF7221" w:rsidRPr="001F3648">
          <w:rPr>
            <w:rStyle w:val="Hyperlink"/>
            <w:noProof/>
            <w:color w:val="000000" w:themeColor="text1"/>
            <w:u w:val="none"/>
            <w:rtl/>
          </w:rPr>
          <w:t>)</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Toc275127954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129</w:t>
        </w:r>
        <w:r w:rsidRPr="001F3648">
          <w:rPr>
            <w:noProof/>
            <w:webHidden/>
            <w:color w:val="000000" w:themeColor="text1"/>
            <w:rtl/>
          </w:rPr>
          <w:fldChar w:fldCharType="end"/>
        </w:r>
      </w:hyperlink>
    </w:p>
    <w:p w:rsidR="00EF7221" w:rsidRPr="001F3648" w:rsidRDefault="00A6422F" w:rsidP="0008530B">
      <w:pPr>
        <w:pStyle w:val="TOC4"/>
        <w:spacing w:line="204" w:lineRule="auto"/>
        <w:rPr>
          <w:rFonts w:asciiTheme="minorHAnsi" w:eastAsiaTheme="minorEastAsia" w:hAnsiTheme="minorHAnsi" w:cstheme="minorBidi"/>
          <w:noProof/>
          <w:color w:val="000000" w:themeColor="text1"/>
          <w:sz w:val="22"/>
          <w:szCs w:val="22"/>
          <w:rtl/>
        </w:rPr>
      </w:pPr>
      <w:hyperlink w:anchor="_Toc275127955" w:history="1">
        <w:r w:rsidR="00EF7221" w:rsidRPr="001F3648">
          <w:rPr>
            <w:rStyle w:val="Hyperlink"/>
            <w:rFonts w:hint="eastAsia"/>
            <w:noProof/>
            <w:color w:val="000000" w:themeColor="text1"/>
            <w:u w:val="none"/>
            <w:rtl/>
          </w:rPr>
          <w:t>ميزات</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المنهج</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الاجتهادي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الجديد</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عند</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جنّاتي</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Toc275127955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130</w:t>
        </w:r>
        <w:r w:rsidRPr="001F3648">
          <w:rPr>
            <w:noProof/>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956" w:history="1">
        <w:r w:rsidR="00EF7221" w:rsidRPr="001F3648">
          <w:rPr>
            <w:rStyle w:val="Hyperlink"/>
            <w:rFonts w:hint="eastAsia"/>
            <w:color w:val="000000" w:themeColor="text1"/>
            <w:sz w:val="24"/>
            <w:szCs w:val="28"/>
            <w:u w:val="none"/>
            <w:rtl/>
          </w:rPr>
          <w:t>الاتجاه</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الفقهي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ـ</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الحقوقي</w:t>
        </w:r>
        <w:r w:rsidR="00EF7221" w:rsidRPr="001F3648">
          <w:rPr>
            <w:rStyle w:val="Hyperlink"/>
            <w:rFonts w:cs="Simplified Arabic"/>
            <w:color w:val="000000" w:themeColor="text1"/>
            <w:sz w:val="24"/>
            <w:szCs w:val="28"/>
            <w:u w:val="none"/>
            <w:rtl/>
          </w:rPr>
          <w:t>:</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المنهج</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والأسلوب</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Toc275127956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134</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957" w:history="1">
        <w:r w:rsidR="00EF7221" w:rsidRPr="001F3648">
          <w:rPr>
            <w:rStyle w:val="Hyperlink"/>
            <w:rFonts w:hint="eastAsia"/>
            <w:color w:val="000000" w:themeColor="text1"/>
            <w:sz w:val="24"/>
            <w:szCs w:val="28"/>
            <w:u w:val="none"/>
            <w:rtl/>
          </w:rPr>
          <w:t>مساهمات</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معاصرة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قضايا</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المرأة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Toc275127957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135</w:t>
        </w:r>
        <w:r w:rsidRPr="001F3648">
          <w:rPr>
            <w:webHidden/>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7958" w:history="1">
        <w:r w:rsidR="00EF7221" w:rsidRPr="001F3648">
          <w:rPr>
            <w:rStyle w:val="Hyperlink"/>
            <w:noProof/>
            <w:color w:val="000000" w:themeColor="text1"/>
            <w:u w:val="none"/>
            <w:rtl/>
          </w:rPr>
          <w:t xml:space="preserve">1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آراء</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آية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الله</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الشيخ</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محمد</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هادي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معرفت</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Toc275127958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135</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7959" w:history="1">
        <w:r w:rsidR="00EF7221" w:rsidRPr="001F3648">
          <w:rPr>
            <w:rStyle w:val="Hyperlink"/>
            <w:noProof/>
            <w:color w:val="000000" w:themeColor="text1"/>
            <w:u w:val="none"/>
            <w:rtl/>
          </w:rPr>
          <w:t xml:space="preserve">2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نظريات</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السيّد</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محمد</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الموسوي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البجنوردي</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Toc275127959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136</w:t>
        </w:r>
        <w:r w:rsidRPr="001F3648">
          <w:rPr>
            <w:noProof/>
            <w:webHidden/>
            <w:color w:val="000000" w:themeColor="text1"/>
            <w:rtl/>
          </w:rPr>
          <w:fldChar w:fldCharType="end"/>
        </w:r>
      </w:hyperlink>
    </w:p>
    <w:p w:rsidR="00EF7221" w:rsidRPr="001F3648" w:rsidRDefault="00A6422F" w:rsidP="0008530B">
      <w:pPr>
        <w:pStyle w:val="TOC4"/>
        <w:spacing w:line="204" w:lineRule="auto"/>
        <w:rPr>
          <w:rFonts w:asciiTheme="minorHAnsi" w:eastAsiaTheme="minorEastAsia" w:hAnsiTheme="minorHAnsi" w:cstheme="minorBidi"/>
          <w:noProof/>
          <w:color w:val="000000" w:themeColor="text1"/>
          <w:sz w:val="22"/>
          <w:szCs w:val="22"/>
          <w:rtl/>
        </w:rPr>
      </w:pPr>
      <w:hyperlink w:anchor="_Toc275127960" w:history="1">
        <w:r w:rsidR="00EF7221" w:rsidRPr="001F3648">
          <w:rPr>
            <w:rStyle w:val="Hyperlink"/>
            <w:rFonts w:hint="eastAsia"/>
            <w:noProof/>
            <w:color w:val="000000" w:themeColor="text1"/>
            <w:u w:val="none"/>
            <w:rtl/>
          </w:rPr>
          <w:t>مواقف</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للبجنوردي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توحي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بآراء</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مختلفة</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Toc275127960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140</w:t>
        </w:r>
        <w:r w:rsidRPr="001F3648">
          <w:rPr>
            <w:noProof/>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961" w:history="1">
        <w:r w:rsidR="00EF7221" w:rsidRPr="001F3648">
          <w:rPr>
            <w:rStyle w:val="Hyperlink"/>
            <w:rFonts w:hint="eastAsia"/>
            <w:color w:val="000000" w:themeColor="text1"/>
            <w:sz w:val="24"/>
            <w:szCs w:val="28"/>
            <w:u w:val="none"/>
            <w:rtl/>
          </w:rPr>
          <w:t>خاتمة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مساهمات</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عربية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جادّة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قضايا</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المرأة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Toc275127961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143</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962" w:history="1">
        <w:r w:rsidR="00EF7221" w:rsidRPr="001F3648">
          <w:rPr>
            <w:rStyle w:val="Hyperlink"/>
            <w:color w:val="000000" w:themeColor="text1"/>
            <w:sz w:val="24"/>
            <w:szCs w:val="28"/>
            <w:u w:val="none"/>
            <w:rtl/>
          </w:rPr>
          <w:t xml:space="preserve">1 </w:t>
        </w:r>
        <w:r w:rsidR="00EF7221" w:rsidRPr="001F3648">
          <w:rPr>
            <w:rStyle w:val="Hyperlink"/>
            <w:rFonts w:hint="eastAsia"/>
            <w:color w:val="000000" w:themeColor="text1"/>
            <w:sz w:val="24"/>
            <w:szCs w:val="28"/>
            <w:u w:val="none"/>
            <w:rtl/>
          </w:rPr>
          <w:t>ـ</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أعمال</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آية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الله</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الشيخ</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محمد</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مهدي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شمس</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الدين</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Toc275127962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143</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963" w:history="1">
        <w:r w:rsidR="00EF7221" w:rsidRPr="001F3648">
          <w:rPr>
            <w:rStyle w:val="Hyperlink"/>
            <w:color w:val="000000" w:themeColor="text1"/>
            <w:sz w:val="24"/>
            <w:szCs w:val="28"/>
            <w:u w:val="none"/>
            <w:rtl/>
          </w:rPr>
          <w:t xml:space="preserve">2 </w:t>
        </w:r>
        <w:r w:rsidR="00EF7221" w:rsidRPr="001F3648">
          <w:rPr>
            <w:rStyle w:val="Hyperlink"/>
            <w:rFonts w:hint="eastAsia"/>
            <w:color w:val="000000" w:themeColor="text1"/>
            <w:sz w:val="24"/>
            <w:szCs w:val="28"/>
            <w:u w:val="none"/>
            <w:rtl/>
          </w:rPr>
          <w:t>ـ</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العلامة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السيد</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محمد</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حسين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فضل</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الله</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Toc275127963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143</w:t>
        </w:r>
        <w:r w:rsidRPr="001F3648">
          <w:rPr>
            <w:webHidden/>
            <w:rtl/>
          </w:rPr>
          <w:fldChar w:fldCharType="end"/>
        </w:r>
      </w:hyperlink>
    </w:p>
    <w:p w:rsidR="00EF7221" w:rsidRPr="001F3648" w:rsidRDefault="00A6422F" w:rsidP="0008530B">
      <w:pPr>
        <w:pStyle w:val="TOC1"/>
        <w:spacing w:line="204" w:lineRule="auto"/>
        <w:rPr>
          <w:rFonts w:asciiTheme="minorHAnsi" w:eastAsiaTheme="minorEastAsia" w:hAnsiTheme="minorHAnsi" w:cstheme="minorBidi"/>
          <w:color w:val="000000" w:themeColor="text1"/>
          <w:sz w:val="22"/>
          <w:szCs w:val="22"/>
          <w:rtl/>
          <w:lang w:eastAsia="en-US"/>
        </w:rPr>
      </w:pPr>
      <w:hyperlink w:anchor="_Toc275127964" w:history="1">
        <w:r w:rsidR="00EF7221" w:rsidRPr="001F3648">
          <w:rPr>
            <w:rStyle w:val="Hyperlink"/>
            <w:rFonts w:hint="eastAsia"/>
            <w:color w:val="000000" w:themeColor="text1"/>
            <w:u w:val="none"/>
            <w:rtl/>
          </w:rPr>
          <w:t>القصاص</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في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الفقه</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الإسلامي</w:t>
        </w:r>
      </w:hyperlink>
      <w:r w:rsidR="00090BFD" w:rsidRPr="001F3648">
        <w:rPr>
          <w:rStyle w:val="Hyperlink"/>
          <w:rFonts w:hint="cs"/>
          <w:color w:val="000000" w:themeColor="text1"/>
          <w:u w:val="none"/>
          <w:rtl/>
        </w:rPr>
        <w:t xml:space="preserve">، </w:t>
      </w:r>
      <w:hyperlink w:anchor="_Toc275127965" w:history="1">
        <w:r w:rsidR="00EF7221" w:rsidRPr="001F3648">
          <w:rPr>
            <w:rStyle w:val="Hyperlink"/>
            <w:rFonts w:hint="eastAsia"/>
            <w:color w:val="000000" w:themeColor="text1"/>
            <w:u w:val="none"/>
            <w:rtl/>
          </w:rPr>
          <w:t>إبطال</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نظرية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الفارق</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الجنسي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والديني</w:t>
        </w:r>
        <w:r w:rsidR="00EF7221" w:rsidRPr="001F3648">
          <w:rPr>
            <w:rFonts w:ascii="Calibri" w:eastAsia="Times New Roman" w:hAnsi="Calibri" w:cs="Mosawi"/>
            <w:webHidden/>
            <w:color w:val="000000" w:themeColor="text1"/>
            <w:sz w:val="22"/>
            <w:szCs w:val="26"/>
            <w:rtl/>
            <w:lang w:eastAsia="en-US"/>
          </w:rPr>
          <w:tab/>
        </w:r>
        <w:r w:rsidRPr="001F3648">
          <w:rPr>
            <w:rFonts w:ascii="Calibri" w:eastAsia="Times New Roman" w:hAnsi="Calibri" w:cs="Mosawi"/>
            <w:webHidden/>
            <w:color w:val="000000" w:themeColor="text1"/>
            <w:sz w:val="22"/>
            <w:szCs w:val="26"/>
            <w:rtl/>
            <w:lang w:eastAsia="en-US"/>
          </w:rPr>
          <w:fldChar w:fldCharType="begin"/>
        </w:r>
        <w:r w:rsidR="00EF7221" w:rsidRPr="001F3648">
          <w:rPr>
            <w:rFonts w:ascii="Calibri" w:eastAsia="Times New Roman" w:hAnsi="Calibri" w:cs="Mosawi"/>
            <w:webHidden/>
            <w:color w:val="000000" w:themeColor="text1"/>
            <w:sz w:val="22"/>
            <w:szCs w:val="26"/>
            <w:rtl/>
            <w:lang w:eastAsia="en-US"/>
          </w:rPr>
          <w:instrText xml:space="preserve"> </w:instrText>
        </w:r>
        <w:r w:rsidR="00EF7221" w:rsidRPr="001F3648">
          <w:rPr>
            <w:rFonts w:ascii="Calibri" w:eastAsia="Times New Roman" w:hAnsi="Calibri" w:cs="Mosawi"/>
            <w:webHidden/>
            <w:color w:val="000000" w:themeColor="text1"/>
            <w:sz w:val="22"/>
            <w:szCs w:val="26"/>
            <w:lang w:eastAsia="en-US"/>
          </w:rPr>
          <w:instrText>PAGEREF</w:instrText>
        </w:r>
        <w:r w:rsidR="00EF7221" w:rsidRPr="001F3648">
          <w:rPr>
            <w:rFonts w:ascii="Calibri" w:eastAsia="Times New Roman" w:hAnsi="Calibri" w:cs="Mosawi"/>
            <w:webHidden/>
            <w:color w:val="000000" w:themeColor="text1"/>
            <w:sz w:val="22"/>
            <w:szCs w:val="26"/>
            <w:rtl/>
            <w:lang w:eastAsia="en-US"/>
          </w:rPr>
          <w:instrText xml:space="preserve"> _</w:instrText>
        </w:r>
        <w:r w:rsidR="00EF7221" w:rsidRPr="001F3648">
          <w:rPr>
            <w:rFonts w:ascii="Calibri" w:eastAsia="Times New Roman" w:hAnsi="Calibri" w:cs="Mosawi"/>
            <w:webHidden/>
            <w:color w:val="000000" w:themeColor="text1"/>
            <w:sz w:val="22"/>
            <w:szCs w:val="26"/>
            <w:lang w:eastAsia="en-US"/>
          </w:rPr>
          <w:instrText>Toc275127965 \h</w:instrText>
        </w:r>
        <w:r w:rsidR="00EF7221" w:rsidRPr="001F3648">
          <w:rPr>
            <w:rFonts w:ascii="Calibri" w:eastAsia="Times New Roman" w:hAnsi="Calibri" w:cs="Mosawi"/>
            <w:webHidden/>
            <w:color w:val="000000" w:themeColor="text1"/>
            <w:sz w:val="22"/>
            <w:szCs w:val="26"/>
            <w:rtl/>
            <w:lang w:eastAsia="en-US"/>
          </w:rPr>
          <w:instrText xml:space="preserve"> </w:instrText>
        </w:r>
        <w:r w:rsidRPr="001F3648">
          <w:rPr>
            <w:rFonts w:ascii="Calibri" w:eastAsia="Times New Roman" w:hAnsi="Calibri" w:cs="Mosawi"/>
            <w:webHidden/>
            <w:color w:val="000000" w:themeColor="text1"/>
            <w:sz w:val="22"/>
            <w:szCs w:val="26"/>
            <w:rtl/>
            <w:lang w:eastAsia="en-US"/>
          </w:rPr>
        </w:r>
        <w:r w:rsidRPr="001F3648">
          <w:rPr>
            <w:rFonts w:ascii="Calibri" w:eastAsia="Times New Roman" w:hAnsi="Calibri" w:cs="Mosawi"/>
            <w:webHidden/>
            <w:color w:val="000000" w:themeColor="text1"/>
            <w:sz w:val="22"/>
            <w:szCs w:val="26"/>
            <w:rtl/>
            <w:lang w:eastAsia="en-US"/>
          </w:rPr>
          <w:fldChar w:fldCharType="separate"/>
        </w:r>
        <w:r w:rsidR="0071680A">
          <w:rPr>
            <w:rFonts w:ascii="Calibri" w:eastAsia="Times New Roman" w:hAnsi="Calibri" w:cs="Mosawi"/>
            <w:webHidden/>
            <w:color w:val="000000" w:themeColor="text1"/>
            <w:sz w:val="22"/>
            <w:szCs w:val="26"/>
            <w:rtl/>
            <w:lang w:eastAsia="en-US"/>
          </w:rPr>
          <w:t>147</w:t>
        </w:r>
        <w:r w:rsidRPr="001F3648">
          <w:rPr>
            <w:rFonts w:ascii="Calibri" w:eastAsia="Times New Roman" w:hAnsi="Calibri" w:cs="Mosawi"/>
            <w:webHidden/>
            <w:color w:val="000000" w:themeColor="text1"/>
            <w:sz w:val="22"/>
            <w:szCs w:val="26"/>
            <w:rtl/>
            <w:lang w:eastAsia="en-US"/>
          </w:rPr>
          <w:fldChar w:fldCharType="end"/>
        </w:r>
      </w:hyperlink>
    </w:p>
    <w:p w:rsidR="00575C73" w:rsidRDefault="00A6422F" w:rsidP="00575C73">
      <w:pPr>
        <w:pStyle w:val="TOC6"/>
        <w:spacing w:line="204" w:lineRule="auto"/>
        <w:rPr>
          <w:rtl/>
        </w:rPr>
      </w:pPr>
      <w:hyperlink w:anchor="_Toc275127966" w:history="1">
        <w:r w:rsidR="00EF7221" w:rsidRPr="001F3648">
          <w:rPr>
            <w:rStyle w:val="Hyperlink"/>
            <w:rFonts w:hint="eastAsia"/>
            <w:color w:val="000000" w:themeColor="text1"/>
            <w:u w:val="none"/>
            <w:rtl/>
          </w:rPr>
          <w:t>الشيخ</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يوسف</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الصانعي</w:t>
        </w:r>
      </w:hyperlink>
      <w:r w:rsidR="00575C73" w:rsidRPr="00575C73">
        <w:rPr>
          <w:webHidden/>
          <w:rtl/>
        </w:rPr>
        <w:tab/>
      </w:r>
      <w:r w:rsidRPr="00575C73">
        <w:rPr>
          <w:webHidden/>
          <w:rtl/>
        </w:rPr>
        <w:fldChar w:fldCharType="begin"/>
      </w:r>
      <w:r w:rsidR="00575C73" w:rsidRPr="00575C73">
        <w:rPr>
          <w:webHidden/>
          <w:rtl/>
        </w:rPr>
        <w:instrText xml:space="preserve"> </w:instrText>
      </w:r>
      <w:r w:rsidR="00575C73" w:rsidRPr="00575C73">
        <w:rPr>
          <w:webHidden/>
        </w:rPr>
        <w:instrText xml:space="preserve">PAGEREF _Toc275127967 \h </w:instrText>
      </w:r>
      <w:r w:rsidRPr="00575C73">
        <w:rPr>
          <w:webHidden/>
          <w:rtl/>
        </w:rPr>
      </w:r>
      <w:r w:rsidRPr="00575C73">
        <w:rPr>
          <w:webHidden/>
          <w:rtl/>
        </w:rPr>
        <w:fldChar w:fldCharType="separate"/>
      </w:r>
      <w:r w:rsidR="0071680A">
        <w:rPr>
          <w:webHidden/>
          <w:rtl/>
        </w:rPr>
        <w:t>147</w:t>
      </w:r>
      <w:r w:rsidRPr="00575C73">
        <w:rPr>
          <w:webHidden/>
          <w:rtl/>
        </w:rPr>
        <w:fldChar w:fldCharType="end"/>
      </w:r>
    </w:p>
    <w:p w:rsidR="00EF7221" w:rsidRPr="001F3648" w:rsidRDefault="00A6422F" w:rsidP="00575C73">
      <w:pPr>
        <w:pStyle w:val="TOC6"/>
        <w:spacing w:line="204" w:lineRule="auto"/>
        <w:rPr>
          <w:rFonts w:asciiTheme="minorHAnsi" w:eastAsiaTheme="minorEastAsia" w:hAnsiTheme="minorHAnsi" w:cstheme="minorBidi"/>
          <w:color w:val="000000" w:themeColor="text1"/>
          <w:szCs w:val="22"/>
          <w:rtl/>
        </w:rPr>
      </w:pPr>
      <w:hyperlink w:anchor="_Toc275127967" w:history="1">
        <w:r w:rsidR="00EF7221" w:rsidRPr="001F3648">
          <w:rPr>
            <w:rStyle w:val="Hyperlink"/>
            <w:rFonts w:hint="eastAsia"/>
            <w:color w:val="000000" w:themeColor="text1"/>
            <w:u w:val="none"/>
            <w:rtl/>
          </w:rPr>
          <w:t>ترجمة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حيدر</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حب</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الله</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Toc275127967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147</w:t>
        </w:r>
        <w:r w:rsidRPr="001F3648">
          <w:rPr>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968" w:history="1">
        <w:r w:rsidR="00EF7221" w:rsidRPr="001F3648">
          <w:rPr>
            <w:rStyle w:val="Hyperlink"/>
            <w:rFonts w:hint="eastAsia"/>
            <w:color w:val="000000" w:themeColor="text1"/>
            <w:sz w:val="24"/>
            <w:szCs w:val="28"/>
            <w:u w:val="none"/>
            <w:rtl/>
          </w:rPr>
          <w:t>مدخل</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Toc275127968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147</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969" w:history="1">
        <w:r w:rsidR="00EF7221" w:rsidRPr="001F3648">
          <w:rPr>
            <w:rStyle w:val="Hyperlink"/>
            <w:rFonts w:hint="eastAsia"/>
            <w:color w:val="000000" w:themeColor="text1"/>
            <w:sz w:val="24"/>
            <w:szCs w:val="28"/>
            <w:u w:val="none"/>
            <w:rtl/>
          </w:rPr>
          <w:t>المحور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الأوّل</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مبدأ</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المساواة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القصاص</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ضوء</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القرآن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الكريم</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Toc275127969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149</w:t>
        </w:r>
        <w:r w:rsidRPr="001F3648">
          <w:rPr>
            <w:webHidden/>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7970" w:history="1">
        <w:r w:rsidR="00EF7221" w:rsidRPr="001F3648">
          <w:rPr>
            <w:rStyle w:val="Hyperlink"/>
            <w:rFonts w:hint="eastAsia"/>
            <w:noProof/>
            <w:color w:val="000000" w:themeColor="text1"/>
            <w:u w:val="none"/>
            <w:rtl/>
          </w:rPr>
          <w:t>أ</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الآيات</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الخاصّة</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Toc275127970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150</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7971" w:history="1">
        <w:r w:rsidR="00EF7221" w:rsidRPr="001F3648">
          <w:rPr>
            <w:rStyle w:val="Hyperlink"/>
            <w:rFonts w:hint="eastAsia"/>
            <w:noProof/>
            <w:color w:val="000000" w:themeColor="text1"/>
            <w:u w:val="none"/>
            <w:rtl/>
          </w:rPr>
          <w:t>ب</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الآيات</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العامّة</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Toc275127971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150</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7972" w:history="1">
        <w:r w:rsidR="00EF7221" w:rsidRPr="001F3648">
          <w:rPr>
            <w:rStyle w:val="Hyperlink"/>
            <w:rFonts w:hint="eastAsia"/>
            <w:noProof/>
            <w:color w:val="000000" w:themeColor="text1"/>
            <w:u w:val="none"/>
            <w:rtl/>
          </w:rPr>
          <w:t>شبهتان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ناقدتان</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Toc275127972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152</w:t>
        </w:r>
        <w:r w:rsidRPr="001F3648">
          <w:rPr>
            <w:noProof/>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973" w:history="1">
        <w:r w:rsidR="00EF7221" w:rsidRPr="001F3648">
          <w:rPr>
            <w:rStyle w:val="Hyperlink"/>
            <w:rFonts w:hint="eastAsia"/>
            <w:color w:val="000000" w:themeColor="text1"/>
            <w:sz w:val="24"/>
            <w:szCs w:val="28"/>
            <w:u w:val="none"/>
            <w:rtl/>
          </w:rPr>
          <w:t>المحور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الثاني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نظرية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عدم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التكافؤ</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القصاص</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بين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الرجل</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والمرأة</w:t>
        </w:r>
        <w:r w:rsidR="00EF7221" w:rsidRPr="001F3648">
          <w:rPr>
            <w:rStyle w:val="Hyperlink"/>
            <w:rFonts w:cs="Simplified Arabic" w:hint="eastAsia"/>
            <w:color w:val="000000" w:themeColor="text1"/>
            <w:sz w:val="24"/>
            <w:szCs w:val="28"/>
            <w:u w:val="none"/>
            <w:rtl/>
          </w:rPr>
          <w:t>،</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دراسة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ونقد</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Toc275127973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154</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974" w:history="1">
        <w:r w:rsidR="00EF7221" w:rsidRPr="001F3648">
          <w:rPr>
            <w:rStyle w:val="Hyperlink"/>
            <w:rFonts w:hint="eastAsia"/>
            <w:color w:val="000000" w:themeColor="text1"/>
            <w:sz w:val="24"/>
            <w:szCs w:val="28"/>
            <w:u w:val="none"/>
            <w:rtl/>
          </w:rPr>
          <w:t>أدلّة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النظرية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المشهورة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عدم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التكافؤ</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القصاص</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بين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الجنسين</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Toc275127974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156</w:t>
        </w:r>
        <w:r w:rsidRPr="001F3648">
          <w:rPr>
            <w:webHidden/>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7975" w:history="1">
        <w:r w:rsidR="00EF7221" w:rsidRPr="001F3648">
          <w:rPr>
            <w:rStyle w:val="Hyperlink"/>
            <w:rFonts w:hint="eastAsia"/>
            <w:noProof/>
            <w:color w:val="000000" w:themeColor="text1"/>
            <w:u w:val="none"/>
            <w:rtl/>
          </w:rPr>
          <w:t>الدليل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الأوّل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القرآن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الكريم</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Toc275127975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156</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7976" w:history="1">
        <w:r w:rsidR="00EF7221" w:rsidRPr="001F3648">
          <w:rPr>
            <w:rStyle w:val="Hyperlink"/>
            <w:rFonts w:hint="eastAsia"/>
            <w:noProof/>
            <w:color w:val="000000" w:themeColor="text1"/>
            <w:u w:val="none"/>
            <w:rtl/>
          </w:rPr>
          <w:t>الدليل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الثاني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الروايات</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Toc275127976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156</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7977" w:history="1">
        <w:r w:rsidR="00EF7221" w:rsidRPr="001F3648">
          <w:rPr>
            <w:rStyle w:val="Hyperlink"/>
            <w:rFonts w:hint="eastAsia"/>
            <w:noProof/>
            <w:color w:val="000000" w:themeColor="text1"/>
            <w:u w:val="none"/>
            <w:rtl/>
          </w:rPr>
          <w:t>قراءة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نقدية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في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الروايات</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Toc275127977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157</w:t>
        </w:r>
        <w:r w:rsidRPr="001F3648">
          <w:rPr>
            <w:noProof/>
            <w:webHidden/>
            <w:color w:val="000000" w:themeColor="text1"/>
            <w:rtl/>
          </w:rPr>
          <w:fldChar w:fldCharType="end"/>
        </w:r>
      </w:hyperlink>
    </w:p>
    <w:p w:rsidR="00EF7221" w:rsidRPr="001F3648" w:rsidRDefault="00A6422F" w:rsidP="0008530B">
      <w:pPr>
        <w:pStyle w:val="TOC4"/>
        <w:spacing w:line="204" w:lineRule="auto"/>
        <w:rPr>
          <w:rFonts w:asciiTheme="minorHAnsi" w:eastAsiaTheme="minorEastAsia" w:hAnsiTheme="minorHAnsi" w:cstheme="minorBidi"/>
          <w:noProof/>
          <w:color w:val="000000" w:themeColor="text1"/>
          <w:sz w:val="22"/>
          <w:szCs w:val="22"/>
          <w:rtl/>
        </w:rPr>
      </w:pPr>
      <w:hyperlink w:anchor="_Toc275127978" w:history="1">
        <w:r w:rsidR="00EF7221" w:rsidRPr="001F3648">
          <w:rPr>
            <w:rStyle w:val="Hyperlink"/>
            <w:noProof/>
            <w:color w:val="000000" w:themeColor="text1"/>
            <w:u w:val="none"/>
            <w:rtl/>
          </w:rPr>
          <w:t xml:space="preserve">1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مخالفة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الكتاب</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والسنّة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والعقل</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Toc275127978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157</w:t>
        </w:r>
        <w:r w:rsidRPr="001F3648">
          <w:rPr>
            <w:noProof/>
            <w:webHidden/>
            <w:color w:val="000000" w:themeColor="text1"/>
            <w:rtl/>
          </w:rPr>
          <w:fldChar w:fldCharType="end"/>
        </w:r>
      </w:hyperlink>
    </w:p>
    <w:p w:rsidR="00EF7221" w:rsidRPr="001F3648" w:rsidRDefault="00A6422F" w:rsidP="0008530B">
      <w:pPr>
        <w:pStyle w:val="TOC5"/>
        <w:spacing w:line="204" w:lineRule="auto"/>
        <w:rPr>
          <w:rFonts w:asciiTheme="minorHAnsi" w:eastAsiaTheme="minorEastAsia" w:hAnsiTheme="minorHAnsi" w:cstheme="minorBidi"/>
          <w:b w:val="0"/>
          <w:bCs w:val="0"/>
          <w:color w:val="000000" w:themeColor="text1"/>
          <w:sz w:val="22"/>
          <w:szCs w:val="22"/>
          <w:rtl/>
        </w:rPr>
      </w:pPr>
      <w:hyperlink w:anchor="_Toc275127979" w:history="1">
        <w:r w:rsidR="00EF7221" w:rsidRPr="001F3648">
          <w:rPr>
            <w:rStyle w:val="Hyperlink"/>
            <w:rFonts w:hint="eastAsia"/>
            <w:color w:val="000000" w:themeColor="text1"/>
            <w:u w:val="none"/>
            <w:rtl/>
          </w:rPr>
          <w:t>أ</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ـ</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مخالفة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القرآن</w:t>
        </w:r>
        <w:r w:rsidR="00EF7221" w:rsidRPr="001F3648">
          <w:rPr>
            <w:rStyle w:val="Hyperlink"/>
            <w:color w:val="000000" w:themeColor="text1"/>
            <w:u w:val="none"/>
            <w:rtl/>
          </w:rPr>
          <w:t>:</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Toc275127979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158</w:t>
        </w:r>
        <w:r w:rsidRPr="001F3648">
          <w:rPr>
            <w:webHidden/>
            <w:color w:val="000000" w:themeColor="text1"/>
            <w:rtl/>
          </w:rPr>
          <w:fldChar w:fldCharType="end"/>
        </w:r>
      </w:hyperlink>
    </w:p>
    <w:p w:rsidR="00EF7221" w:rsidRPr="001F3648" w:rsidRDefault="00A6422F" w:rsidP="0008530B">
      <w:pPr>
        <w:pStyle w:val="TOC5"/>
        <w:spacing w:line="204" w:lineRule="auto"/>
        <w:rPr>
          <w:rFonts w:asciiTheme="minorHAnsi" w:eastAsiaTheme="minorEastAsia" w:hAnsiTheme="minorHAnsi" w:cstheme="minorBidi"/>
          <w:b w:val="0"/>
          <w:bCs w:val="0"/>
          <w:color w:val="000000" w:themeColor="text1"/>
          <w:sz w:val="22"/>
          <w:szCs w:val="22"/>
          <w:rtl/>
        </w:rPr>
      </w:pPr>
      <w:hyperlink w:anchor="_Toc275127980" w:history="1">
        <w:r w:rsidR="00EF7221" w:rsidRPr="001F3648">
          <w:rPr>
            <w:rStyle w:val="Hyperlink"/>
            <w:rFonts w:hint="eastAsia"/>
            <w:color w:val="000000" w:themeColor="text1"/>
            <w:u w:val="none"/>
            <w:rtl/>
          </w:rPr>
          <w:t>ب</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ـ</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مخالفة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الروايات</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والأخبار</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Toc275127980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169</w:t>
        </w:r>
        <w:r w:rsidRPr="001F3648">
          <w:rPr>
            <w:webHidden/>
            <w:color w:val="000000" w:themeColor="text1"/>
            <w:rtl/>
          </w:rPr>
          <w:fldChar w:fldCharType="end"/>
        </w:r>
      </w:hyperlink>
    </w:p>
    <w:p w:rsidR="00EF7221" w:rsidRPr="001F3648" w:rsidRDefault="00A6422F" w:rsidP="0008530B">
      <w:pPr>
        <w:pStyle w:val="TOC5"/>
        <w:spacing w:line="204" w:lineRule="auto"/>
        <w:rPr>
          <w:rFonts w:asciiTheme="minorHAnsi" w:eastAsiaTheme="minorEastAsia" w:hAnsiTheme="minorHAnsi" w:cstheme="minorBidi"/>
          <w:b w:val="0"/>
          <w:bCs w:val="0"/>
          <w:color w:val="000000" w:themeColor="text1"/>
          <w:sz w:val="22"/>
          <w:szCs w:val="22"/>
          <w:rtl/>
        </w:rPr>
      </w:pPr>
      <w:hyperlink w:anchor="_Toc275127981" w:history="1">
        <w:r w:rsidR="00EF7221" w:rsidRPr="001F3648">
          <w:rPr>
            <w:rStyle w:val="Hyperlink"/>
            <w:rFonts w:hint="eastAsia"/>
            <w:color w:val="000000" w:themeColor="text1"/>
            <w:u w:val="none"/>
            <w:rtl/>
          </w:rPr>
          <w:t>ج</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ـ</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مخالفة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العقل</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Toc275127981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169</w:t>
        </w:r>
        <w:r w:rsidRPr="001F3648">
          <w:rPr>
            <w:webHidden/>
            <w:color w:val="000000" w:themeColor="text1"/>
            <w:rtl/>
          </w:rPr>
          <w:fldChar w:fldCharType="end"/>
        </w:r>
      </w:hyperlink>
    </w:p>
    <w:p w:rsidR="00EF7221" w:rsidRPr="001F3648" w:rsidRDefault="00A6422F" w:rsidP="0008530B">
      <w:pPr>
        <w:pStyle w:val="TOC4"/>
        <w:spacing w:line="204" w:lineRule="auto"/>
        <w:rPr>
          <w:rFonts w:asciiTheme="minorHAnsi" w:eastAsiaTheme="minorEastAsia" w:hAnsiTheme="minorHAnsi" w:cstheme="minorBidi"/>
          <w:noProof/>
          <w:color w:val="000000" w:themeColor="text1"/>
          <w:sz w:val="22"/>
          <w:szCs w:val="22"/>
          <w:rtl/>
        </w:rPr>
      </w:pPr>
      <w:hyperlink w:anchor="_Toc275127982" w:history="1">
        <w:r w:rsidR="00EF7221" w:rsidRPr="001F3648">
          <w:rPr>
            <w:rStyle w:val="Hyperlink"/>
            <w:noProof/>
            <w:color w:val="000000" w:themeColor="text1"/>
            <w:u w:val="none"/>
            <w:rtl/>
          </w:rPr>
          <w:t xml:space="preserve">2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معارضة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الروايات</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الأخرى</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Toc275127982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169</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7983" w:history="1">
        <w:r w:rsidR="00EF7221" w:rsidRPr="001F3648">
          <w:rPr>
            <w:rStyle w:val="Hyperlink"/>
            <w:rFonts w:hint="eastAsia"/>
            <w:noProof/>
            <w:color w:val="000000" w:themeColor="text1"/>
            <w:u w:val="none"/>
            <w:rtl/>
          </w:rPr>
          <w:t>الدليل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الثالث</w:t>
        </w:r>
        <w:r w:rsidR="00EF7221" w:rsidRPr="001F3648">
          <w:rPr>
            <w:rStyle w:val="Hyperlink"/>
            <w:rFonts w:cs="Simplified Arabic"/>
            <w:noProof/>
            <w:color w:val="000000" w:themeColor="text1"/>
            <w:u w:val="none"/>
            <w:rtl/>
          </w:rPr>
          <w:t>:</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الإجماع</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Toc275127983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170</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7984" w:history="1">
        <w:r w:rsidR="00EF7221" w:rsidRPr="001F3648">
          <w:rPr>
            <w:rStyle w:val="Hyperlink"/>
            <w:rFonts w:hint="eastAsia"/>
            <w:noProof/>
            <w:color w:val="000000" w:themeColor="text1"/>
            <w:u w:val="none"/>
            <w:rtl/>
          </w:rPr>
          <w:t>الدليل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الرابع</w:t>
        </w:r>
        <w:r w:rsidR="00EF7221" w:rsidRPr="001F3648">
          <w:rPr>
            <w:rStyle w:val="Hyperlink"/>
            <w:rFonts w:cs="Simplified Arabic"/>
            <w:noProof/>
            <w:color w:val="000000" w:themeColor="text1"/>
            <w:u w:val="none"/>
            <w:rtl/>
          </w:rPr>
          <w:t>:</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التمييز</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في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الدية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بين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الرجل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والمرأة</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Toc275127984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171</w:t>
        </w:r>
        <w:r w:rsidRPr="001F3648">
          <w:rPr>
            <w:noProof/>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985" w:history="1">
        <w:r w:rsidR="00EF7221" w:rsidRPr="001F3648">
          <w:rPr>
            <w:rStyle w:val="Hyperlink"/>
            <w:rFonts w:hint="eastAsia"/>
            <w:color w:val="000000" w:themeColor="text1"/>
            <w:sz w:val="24"/>
            <w:szCs w:val="28"/>
            <w:u w:val="none"/>
            <w:rtl/>
          </w:rPr>
          <w:t>تكملة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قصاص</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الأعضاء</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Toc275127985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172</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986" w:history="1">
        <w:r w:rsidR="00EF7221" w:rsidRPr="001F3648">
          <w:rPr>
            <w:rStyle w:val="Hyperlink"/>
            <w:rFonts w:hint="eastAsia"/>
            <w:color w:val="000000" w:themeColor="text1"/>
            <w:sz w:val="24"/>
            <w:szCs w:val="28"/>
            <w:u w:val="none"/>
            <w:rtl/>
          </w:rPr>
          <w:t>المحور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الثالث</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نظرية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عدم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التساوي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القصاص</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بين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المسلم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وغيره</w:t>
        </w:r>
        <w:r w:rsidR="00EF7221" w:rsidRPr="001F3648">
          <w:rPr>
            <w:rStyle w:val="Hyperlink"/>
            <w:rFonts w:cs="Simplified Arabic" w:hint="eastAsia"/>
            <w:color w:val="000000" w:themeColor="text1"/>
            <w:sz w:val="24"/>
            <w:szCs w:val="28"/>
            <w:u w:val="none"/>
            <w:rtl/>
          </w:rPr>
          <w:t>،</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دراسة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ونقد</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Toc275127986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176</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987" w:history="1">
        <w:r w:rsidR="00EF7221" w:rsidRPr="001F3648">
          <w:rPr>
            <w:rStyle w:val="Hyperlink"/>
            <w:rFonts w:hint="eastAsia"/>
            <w:color w:val="000000" w:themeColor="text1"/>
            <w:sz w:val="24"/>
            <w:szCs w:val="28"/>
            <w:u w:val="none"/>
            <w:rtl/>
          </w:rPr>
          <w:t>الصورة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الأولى</w:t>
        </w:r>
        <w:r w:rsidR="00EF7221" w:rsidRPr="001F3648">
          <w:rPr>
            <w:rStyle w:val="Hyperlink"/>
            <w:rFonts w:cs="Simplified Arabic"/>
            <w:color w:val="000000" w:themeColor="text1"/>
            <w:sz w:val="24"/>
            <w:szCs w:val="28"/>
            <w:u w:val="none"/>
            <w:rtl/>
          </w:rPr>
          <w:t>:</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قتل</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المسلم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لغير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المسلم</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Toc275127987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176</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988" w:history="1">
        <w:r w:rsidR="00EF7221" w:rsidRPr="001F3648">
          <w:rPr>
            <w:rStyle w:val="Hyperlink"/>
            <w:rFonts w:hint="eastAsia"/>
            <w:color w:val="000000" w:themeColor="text1"/>
            <w:sz w:val="24"/>
            <w:szCs w:val="28"/>
            <w:u w:val="none"/>
            <w:rtl/>
          </w:rPr>
          <w:t>أدلّة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النظرية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المشهورة</w:t>
        </w:r>
        <w:r w:rsidR="00EF7221" w:rsidRPr="001F3648">
          <w:rPr>
            <w:rStyle w:val="Hyperlink"/>
            <w:rFonts w:cs="Simplified Arabic" w:hint="eastAsia"/>
            <w:color w:val="000000" w:themeColor="text1"/>
            <w:sz w:val="24"/>
            <w:szCs w:val="28"/>
            <w:u w:val="none"/>
            <w:rtl/>
          </w:rPr>
          <w:t>،</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وقفات</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نقدية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Toc275127988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177</w:t>
        </w:r>
        <w:r w:rsidRPr="001F3648">
          <w:rPr>
            <w:webHidden/>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7989" w:history="1">
        <w:r w:rsidR="00EF7221" w:rsidRPr="001F3648">
          <w:rPr>
            <w:rStyle w:val="Hyperlink"/>
            <w:rFonts w:hint="eastAsia"/>
            <w:noProof/>
            <w:color w:val="000000" w:themeColor="text1"/>
            <w:u w:val="none"/>
            <w:rtl/>
          </w:rPr>
          <w:t>الدليل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الأول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النصّ</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القرآني</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Toc275127989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177</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7990" w:history="1">
        <w:r w:rsidR="00EF7221" w:rsidRPr="001F3648">
          <w:rPr>
            <w:rStyle w:val="Hyperlink"/>
            <w:rFonts w:hint="eastAsia"/>
            <w:noProof/>
            <w:color w:val="000000" w:themeColor="text1"/>
            <w:u w:val="none"/>
            <w:rtl/>
          </w:rPr>
          <w:t>الدليل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الثاني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السنّة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الشريفة</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Toc275127990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179</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7991" w:history="1">
        <w:r w:rsidR="00EF7221" w:rsidRPr="001F3648">
          <w:rPr>
            <w:rStyle w:val="Hyperlink"/>
            <w:rFonts w:hint="eastAsia"/>
            <w:noProof/>
            <w:color w:val="000000" w:themeColor="text1"/>
            <w:u w:val="none"/>
            <w:rtl/>
          </w:rPr>
          <w:t>الدليل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الثالث</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الإجماع</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Toc275127991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182</w:t>
        </w:r>
        <w:r w:rsidRPr="001F3648">
          <w:rPr>
            <w:noProof/>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992" w:history="1">
        <w:r w:rsidR="00EF7221" w:rsidRPr="001F3648">
          <w:rPr>
            <w:rStyle w:val="Hyperlink"/>
            <w:rFonts w:hint="eastAsia"/>
            <w:color w:val="000000" w:themeColor="text1"/>
            <w:sz w:val="24"/>
            <w:szCs w:val="28"/>
            <w:u w:val="none"/>
            <w:rtl/>
          </w:rPr>
          <w:t>الصورة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الثانية</w:t>
        </w:r>
        <w:r w:rsidR="00EF7221" w:rsidRPr="001F3648">
          <w:rPr>
            <w:rStyle w:val="Hyperlink"/>
            <w:rFonts w:cs="Simplified Arabic"/>
            <w:color w:val="000000" w:themeColor="text1"/>
            <w:sz w:val="24"/>
            <w:szCs w:val="28"/>
            <w:u w:val="none"/>
            <w:rtl/>
          </w:rPr>
          <w:t>:</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قتل</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غير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المسلم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للمسلم</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Toc275127992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183</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993" w:history="1">
        <w:r w:rsidR="00EF7221" w:rsidRPr="001F3648">
          <w:rPr>
            <w:rStyle w:val="Hyperlink"/>
            <w:rFonts w:hint="eastAsia"/>
            <w:color w:val="000000" w:themeColor="text1"/>
            <w:sz w:val="24"/>
            <w:szCs w:val="28"/>
            <w:u w:val="none"/>
            <w:rtl/>
          </w:rPr>
          <w:t>أدلّة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النظرية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المشهورة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ومناقشتها</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Toc275127993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183</w:t>
        </w:r>
        <w:r w:rsidRPr="001F3648">
          <w:rPr>
            <w:webHidden/>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7994" w:history="1">
        <w:r w:rsidR="00EF7221" w:rsidRPr="001F3648">
          <w:rPr>
            <w:rStyle w:val="Hyperlink"/>
            <w:rFonts w:hint="eastAsia"/>
            <w:noProof/>
            <w:color w:val="000000" w:themeColor="text1"/>
            <w:u w:val="none"/>
            <w:rtl/>
          </w:rPr>
          <w:t>الدليل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الأول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السنّة</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Toc275127994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183</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7995" w:history="1">
        <w:r w:rsidR="00EF7221" w:rsidRPr="001F3648">
          <w:rPr>
            <w:rStyle w:val="Hyperlink"/>
            <w:rFonts w:hint="eastAsia"/>
            <w:noProof/>
            <w:color w:val="000000" w:themeColor="text1"/>
            <w:u w:val="none"/>
            <w:rtl/>
          </w:rPr>
          <w:t>الدليل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الثاني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الإجماع</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Toc275127995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184</w:t>
        </w:r>
        <w:r w:rsidRPr="001F3648">
          <w:rPr>
            <w:noProof/>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7996" w:history="1">
        <w:r w:rsidR="00EF7221" w:rsidRPr="001F3648">
          <w:rPr>
            <w:rStyle w:val="Hyperlink"/>
            <w:rFonts w:hint="eastAsia"/>
            <w:color w:val="000000" w:themeColor="text1"/>
            <w:sz w:val="24"/>
            <w:szCs w:val="28"/>
            <w:u w:val="none"/>
            <w:rtl/>
          </w:rPr>
          <w:t>خلاصة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واستنتاج</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Toc275127996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184</w:t>
        </w:r>
        <w:r w:rsidRPr="001F3648">
          <w:rPr>
            <w:webHidden/>
            <w:rtl/>
          </w:rPr>
          <w:fldChar w:fldCharType="end"/>
        </w:r>
      </w:hyperlink>
    </w:p>
    <w:p w:rsidR="00EF7221" w:rsidRPr="001F3648" w:rsidRDefault="00A6422F" w:rsidP="0008530B">
      <w:pPr>
        <w:pStyle w:val="TOC1"/>
        <w:spacing w:line="204" w:lineRule="auto"/>
        <w:rPr>
          <w:rFonts w:asciiTheme="minorHAnsi" w:eastAsiaTheme="minorEastAsia" w:hAnsiTheme="minorHAnsi" w:cstheme="minorBidi"/>
          <w:color w:val="000000" w:themeColor="text1"/>
          <w:sz w:val="22"/>
          <w:szCs w:val="22"/>
          <w:rtl/>
          <w:lang w:eastAsia="en-US"/>
        </w:rPr>
      </w:pPr>
      <w:hyperlink w:anchor="_Toc275127997" w:history="1">
        <w:r w:rsidR="00EF7221" w:rsidRPr="001F3648">
          <w:rPr>
            <w:rStyle w:val="Hyperlink"/>
            <w:rFonts w:hint="eastAsia"/>
            <w:color w:val="000000" w:themeColor="text1"/>
            <w:u w:val="none"/>
            <w:rtl/>
          </w:rPr>
          <w:t>المرأة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ومرجعية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الإفتاء</w:t>
        </w:r>
      </w:hyperlink>
      <w:r w:rsidR="00090BFD" w:rsidRPr="001F3648">
        <w:rPr>
          <w:rStyle w:val="Hyperlink"/>
          <w:rFonts w:hint="cs"/>
          <w:color w:val="000000" w:themeColor="text1"/>
          <w:u w:val="none"/>
          <w:rtl/>
        </w:rPr>
        <w:t xml:space="preserve">، </w:t>
      </w:r>
      <w:hyperlink w:anchor="_Toc275127998" w:history="1">
        <w:r w:rsidR="00EF7221" w:rsidRPr="001F3648">
          <w:rPr>
            <w:rStyle w:val="Hyperlink"/>
            <w:rFonts w:hint="eastAsia"/>
            <w:color w:val="000000" w:themeColor="text1"/>
            <w:u w:val="none"/>
            <w:rtl/>
          </w:rPr>
          <w:t>دراسة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فقهية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استدلالية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حول</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شرعية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تقليد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المرأة</w:t>
        </w:r>
        <w:r w:rsidR="00EF7221" w:rsidRPr="001F3648">
          <w:rPr>
            <w:rFonts w:ascii="Calibri" w:eastAsia="Times New Roman" w:hAnsi="Calibri" w:cs="Mosawi"/>
            <w:webHidden/>
            <w:color w:val="000000" w:themeColor="text1"/>
            <w:sz w:val="22"/>
            <w:szCs w:val="26"/>
            <w:rtl/>
            <w:lang w:eastAsia="en-US"/>
          </w:rPr>
          <w:tab/>
        </w:r>
        <w:r w:rsidRPr="001F3648">
          <w:rPr>
            <w:rFonts w:ascii="Calibri" w:eastAsia="Times New Roman" w:hAnsi="Calibri" w:cs="Mosawi"/>
            <w:webHidden/>
            <w:color w:val="000000" w:themeColor="text1"/>
            <w:sz w:val="22"/>
            <w:szCs w:val="26"/>
            <w:rtl/>
            <w:lang w:eastAsia="en-US"/>
          </w:rPr>
          <w:fldChar w:fldCharType="begin"/>
        </w:r>
        <w:r w:rsidR="00EF7221" w:rsidRPr="001F3648">
          <w:rPr>
            <w:rFonts w:ascii="Calibri" w:eastAsia="Times New Roman" w:hAnsi="Calibri" w:cs="Mosawi"/>
            <w:webHidden/>
            <w:color w:val="000000" w:themeColor="text1"/>
            <w:sz w:val="22"/>
            <w:szCs w:val="26"/>
            <w:rtl/>
            <w:lang w:eastAsia="en-US"/>
          </w:rPr>
          <w:instrText xml:space="preserve"> </w:instrText>
        </w:r>
        <w:r w:rsidR="00EF7221" w:rsidRPr="001F3648">
          <w:rPr>
            <w:rFonts w:ascii="Calibri" w:eastAsia="Times New Roman" w:hAnsi="Calibri" w:cs="Mosawi"/>
            <w:webHidden/>
            <w:color w:val="000000" w:themeColor="text1"/>
            <w:sz w:val="22"/>
            <w:szCs w:val="26"/>
            <w:lang w:eastAsia="en-US"/>
          </w:rPr>
          <w:instrText>PAGEREF</w:instrText>
        </w:r>
        <w:r w:rsidR="00EF7221" w:rsidRPr="001F3648">
          <w:rPr>
            <w:rFonts w:ascii="Calibri" w:eastAsia="Times New Roman" w:hAnsi="Calibri" w:cs="Mosawi"/>
            <w:webHidden/>
            <w:color w:val="000000" w:themeColor="text1"/>
            <w:sz w:val="22"/>
            <w:szCs w:val="26"/>
            <w:rtl/>
            <w:lang w:eastAsia="en-US"/>
          </w:rPr>
          <w:instrText xml:space="preserve"> _</w:instrText>
        </w:r>
        <w:r w:rsidR="00EF7221" w:rsidRPr="001F3648">
          <w:rPr>
            <w:rFonts w:ascii="Calibri" w:eastAsia="Times New Roman" w:hAnsi="Calibri" w:cs="Mosawi"/>
            <w:webHidden/>
            <w:color w:val="000000" w:themeColor="text1"/>
            <w:sz w:val="22"/>
            <w:szCs w:val="26"/>
            <w:lang w:eastAsia="en-US"/>
          </w:rPr>
          <w:instrText>Toc275127998 \h</w:instrText>
        </w:r>
        <w:r w:rsidR="00EF7221" w:rsidRPr="001F3648">
          <w:rPr>
            <w:rFonts w:ascii="Calibri" w:eastAsia="Times New Roman" w:hAnsi="Calibri" w:cs="Mosawi"/>
            <w:webHidden/>
            <w:color w:val="000000" w:themeColor="text1"/>
            <w:sz w:val="22"/>
            <w:szCs w:val="26"/>
            <w:rtl/>
            <w:lang w:eastAsia="en-US"/>
          </w:rPr>
          <w:instrText xml:space="preserve"> </w:instrText>
        </w:r>
        <w:r w:rsidRPr="001F3648">
          <w:rPr>
            <w:rFonts w:ascii="Calibri" w:eastAsia="Times New Roman" w:hAnsi="Calibri" w:cs="Mosawi"/>
            <w:webHidden/>
            <w:color w:val="000000" w:themeColor="text1"/>
            <w:sz w:val="22"/>
            <w:szCs w:val="26"/>
            <w:rtl/>
            <w:lang w:eastAsia="en-US"/>
          </w:rPr>
        </w:r>
        <w:r w:rsidRPr="001F3648">
          <w:rPr>
            <w:rFonts w:ascii="Calibri" w:eastAsia="Times New Roman" w:hAnsi="Calibri" w:cs="Mosawi"/>
            <w:webHidden/>
            <w:color w:val="000000" w:themeColor="text1"/>
            <w:sz w:val="22"/>
            <w:szCs w:val="26"/>
            <w:rtl/>
            <w:lang w:eastAsia="en-US"/>
          </w:rPr>
          <w:fldChar w:fldCharType="separate"/>
        </w:r>
        <w:r w:rsidR="0071680A">
          <w:rPr>
            <w:rFonts w:ascii="Calibri" w:eastAsia="Times New Roman" w:hAnsi="Calibri" w:cs="Mosawi"/>
            <w:webHidden/>
            <w:color w:val="000000" w:themeColor="text1"/>
            <w:sz w:val="22"/>
            <w:szCs w:val="26"/>
            <w:rtl/>
            <w:lang w:eastAsia="en-US"/>
          </w:rPr>
          <w:t>187</w:t>
        </w:r>
        <w:r w:rsidRPr="001F3648">
          <w:rPr>
            <w:rFonts w:ascii="Calibri" w:eastAsia="Times New Roman" w:hAnsi="Calibri" w:cs="Mosawi"/>
            <w:webHidden/>
            <w:color w:val="000000" w:themeColor="text1"/>
            <w:sz w:val="22"/>
            <w:szCs w:val="26"/>
            <w:rtl/>
            <w:lang w:eastAsia="en-US"/>
          </w:rPr>
          <w:fldChar w:fldCharType="end"/>
        </w:r>
      </w:hyperlink>
    </w:p>
    <w:p w:rsidR="00EF7221" w:rsidRPr="001F3648" w:rsidRDefault="00A6422F" w:rsidP="0008530B">
      <w:pPr>
        <w:pStyle w:val="TOC6"/>
        <w:spacing w:line="204" w:lineRule="auto"/>
        <w:rPr>
          <w:rFonts w:asciiTheme="minorHAnsi" w:eastAsiaTheme="minorEastAsia" w:hAnsiTheme="minorHAnsi" w:cstheme="minorBidi"/>
          <w:color w:val="000000" w:themeColor="text1"/>
          <w:szCs w:val="22"/>
          <w:rtl/>
        </w:rPr>
      </w:pPr>
      <w:hyperlink w:anchor="_Toc275127999" w:history="1">
        <w:r w:rsidR="00EF7221" w:rsidRPr="001F3648">
          <w:rPr>
            <w:rStyle w:val="Hyperlink"/>
            <w:rFonts w:hint="eastAsia"/>
            <w:color w:val="000000" w:themeColor="text1"/>
            <w:u w:val="none"/>
            <w:rtl/>
          </w:rPr>
          <w:t>حيدر</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حب</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الله</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Toc275127999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187</w:t>
        </w:r>
        <w:r w:rsidRPr="001F3648">
          <w:rPr>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00" w:history="1">
        <w:r w:rsidR="00EF7221" w:rsidRPr="001F3648">
          <w:rPr>
            <w:rStyle w:val="Hyperlink"/>
            <w:rFonts w:hint="eastAsia"/>
            <w:color w:val="000000" w:themeColor="text1"/>
            <w:sz w:val="24"/>
            <w:szCs w:val="28"/>
            <w:u w:val="none"/>
            <w:rtl/>
          </w:rPr>
          <w:t>تمهيد</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Toc275128000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187</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01" w:history="1">
        <w:r w:rsidR="00EF7221" w:rsidRPr="001F3648">
          <w:rPr>
            <w:rStyle w:val="Hyperlink"/>
            <w:rFonts w:hint="eastAsia"/>
            <w:color w:val="000000" w:themeColor="text1"/>
            <w:sz w:val="24"/>
            <w:szCs w:val="28"/>
            <w:u w:val="none"/>
            <w:rtl/>
          </w:rPr>
          <w:t>نقطة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البحث</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ومادة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الموضوع،</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تشريح</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المكوّنات</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Toc275128001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187</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02" w:history="1">
        <w:r w:rsidR="00EF7221" w:rsidRPr="001F3648">
          <w:rPr>
            <w:rStyle w:val="Hyperlink"/>
            <w:rFonts w:hint="eastAsia"/>
            <w:color w:val="000000" w:themeColor="text1"/>
            <w:sz w:val="24"/>
            <w:szCs w:val="28"/>
            <w:u w:val="none"/>
            <w:rtl/>
          </w:rPr>
          <w:t>الرصد</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التاريخي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للفقه</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الإسلامي</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Toc275128002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189</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03" w:history="1">
        <w:r w:rsidR="00EF7221" w:rsidRPr="001F3648">
          <w:rPr>
            <w:rStyle w:val="Hyperlink"/>
            <w:rFonts w:hint="eastAsia"/>
            <w:color w:val="000000" w:themeColor="text1"/>
            <w:sz w:val="24"/>
            <w:szCs w:val="28"/>
            <w:u w:val="none"/>
            <w:rtl/>
          </w:rPr>
          <w:t>نظرية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شرعيّة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تقليد</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المرأة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أو</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عدم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اشتراط</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الذكورة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مرجع</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التقليد</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Toc275128003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196</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04" w:history="1">
        <w:r w:rsidR="00EF7221" w:rsidRPr="001F3648">
          <w:rPr>
            <w:rStyle w:val="Hyperlink"/>
            <w:rFonts w:hint="eastAsia"/>
            <w:color w:val="000000" w:themeColor="text1"/>
            <w:sz w:val="24"/>
            <w:szCs w:val="28"/>
            <w:u w:val="none"/>
            <w:rtl/>
          </w:rPr>
          <w:t>نظرية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بطلان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تقليد</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المرأة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أو</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شرطية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الرجوليّة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المرجعيّة،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قراءة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نقدية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Toc275128004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204</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05" w:history="1">
        <w:r w:rsidR="00EF7221" w:rsidRPr="001F3648">
          <w:rPr>
            <w:rStyle w:val="Hyperlink"/>
            <w:rFonts w:hint="eastAsia"/>
            <w:color w:val="000000" w:themeColor="text1"/>
            <w:sz w:val="24"/>
            <w:szCs w:val="28"/>
            <w:u w:val="none"/>
            <w:rtl/>
          </w:rPr>
          <w:t>تلخيص</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واستنتاج</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Toc275128005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231</w:t>
        </w:r>
        <w:r w:rsidRPr="001F3648">
          <w:rPr>
            <w:webHidden/>
            <w:rtl/>
          </w:rPr>
          <w:fldChar w:fldCharType="end"/>
        </w:r>
      </w:hyperlink>
    </w:p>
    <w:p w:rsidR="00EF7221" w:rsidRPr="001F3648" w:rsidRDefault="00A6422F" w:rsidP="0008530B">
      <w:pPr>
        <w:pStyle w:val="TOC1"/>
        <w:spacing w:line="204" w:lineRule="auto"/>
        <w:rPr>
          <w:rFonts w:asciiTheme="minorHAnsi" w:eastAsiaTheme="minorEastAsia" w:hAnsiTheme="minorHAnsi" w:cstheme="minorBidi"/>
          <w:color w:val="000000" w:themeColor="text1"/>
          <w:sz w:val="22"/>
          <w:szCs w:val="22"/>
          <w:rtl/>
          <w:lang w:eastAsia="en-US"/>
        </w:rPr>
      </w:pPr>
      <w:hyperlink w:anchor="_Toc275128006" w:history="1">
        <w:r w:rsidR="00EF7221" w:rsidRPr="001F3648">
          <w:rPr>
            <w:rStyle w:val="Hyperlink"/>
            <w:rFonts w:hint="eastAsia"/>
            <w:color w:val="000000" w:themeColor="text1"/>
            <w:u w:val="none"/>
            <w:rtl/>
          </w:rPr>
          <w:t>زواج</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الكتابيّة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في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الفقه</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الإسلامي</w:t>
        </w:r>
      </w:hyperlink>
      <w:r w:rsidR="00090BFD" w:rsidRPr="001F3648">
        <w:rPr>
          <w:rStyle w:val="Hyperlink"/>
          <w:rFonts w:hint="cs"/>
          <w:color w:val="000000" w:themeColor="text1"/>
          <w:u w:val="none"/>
          <w:rtl/>
        </w:rPr>
        <w:t xml:space="preserve">، </w:t>
      </w:r>
      <w:hyperlink w:anchor="_Toc275128007" w:history="1">
        <w:r w:rsidR="00EF7221" w:rsidRPr="001F3648">
          <w:rPr>
            <w:rStyle w:val="Hyperlink"/>
            <w:rFonts w:hint="eastAsia"/>
            <w:color w:val="000000" w:themeColor="text1"/>
            <w:u w:val="none"/>
            <w:rtl/>
          </w:rPr>
          <w:t>دراسة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استدلاليّة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مقارنة</w:t>
        </w:r>
        <w:r w:rsidR="00EF7221" w:rsidRPr="001F3648">
          <w:rPr>
            <w:rFonts w:ascii="Calibri" w:eastAsia="Times New Roman" w:hAnsi="Calibri" w:cs="Mosawi"/>
            <w:webHidden/>
            <w:color w:val="000000" w:themeColor="text1"/>
            <w:sz w:val="22"/>
            <w:szCs w:val="26"/>
            <w:rtl/>
            <w:lang w:eastAsia="en-US"/>
          </w:rPr>
          <w:tab/>
        </w:r>
        <w:r w:rsidRPr="001F3648">
          <w:rPr>
            <w:rFonts w:ascii="Calibri" w:eastAsia="Times New Roman" w:hAnsi="Calibri" w:cs="Mosawi"/>
            <w:webHidden/>
            <w:color w:val="000000" w:themeColor="text1"/>
            <w:sz w:val="22"/>
            <w:szCs w:val="26"/>
            <w:rtl/>
            <w:lang w:eastAsia="en-US"/>
          </w:rPr>
          <w:fldChar w:fldCharType="begin"/>
        </w:r>
        <w:r w:rsidR="00EF7221" w:rsidRPr="001F3648">
          <w:rPr>
            <w:rFonts w:ascii="Calibri" w:eastAsia="Times New Roman" w:hAnsi="Calibri" w:cs="Mosawi"/>
            <w:webHidden/>
            <w:color w:val="000000" w:themeColor="text1"/>
            <w:sz w:val="22"/>
            <w:szCs w:val="26"/>
            <w:rtl/>
            <w:lang w:eastAsia="en-US"/>
          </w:rPr>
          <w:instrText xml:space="preserve"> </w:instrText>
        </w:r>
        <w:r w:rsidR="00EF7221" w:rsidRPr="001F3648">
          <w:rPr>
            <w:rFonts w:ascii="Calibri" w:eastAsia="Times New Roman" w:hAnsi="Calibri" w:cs="Mosawi"/>
            <w:webHidden/>
            <w:color w:val="000000" w:themeColor="text1"/>
            <w:sz w:val="22"/>
            <w:szCs w:val="26"/>
            <w:lang w:eastAsia="en-US"/>
          </w:rPr>
          <w:instrText>PAGEREF</w:instrText>
        </w:r>
        <w:r w:rsidR="00EF7221" w:rsidRPr="001F3648">
          <w:rPr>
            <w:rFonts w:ascii="Calibri" w:eastAsia="Times New Roman" w:hAnsi="Calibri" w:cs="Mosawi"/>
            <w:webHidden/>
            <w:color w:val="000000" w:themeColor="text1"/>
            <w:sz w:val="22"/>
            <w:szCs w:val="26"/>
            <w:rtl/>
            <w:lang w:eastAsia="en-US"/>
          </w:rPr>
          <w:instrText xml:space="preserve"> _</w:instrText>
        </w:r>
        <w:r w:rsidR="00EF7221" w:rsidRPr="001F3648">
          <w:rPr>
            <w:rFonts w:ascii="Calibri" w:eastAsia="Times New Roman" w:hAnsi="Calibri" w:cs="Mosawi"/>
            <w:webHidden/>
            <w:color w:val="000000" w:themeColor="text1"/>
            <w:sz w:val="22"/>
            <w:szCs w:val="26"/>
            <w:lang w:eastAsia="en-US"/>
          </w:rPr>
          <w:instrText>Toc275128007 \h</w:instrText>
        </w:r>
        <w:r w:rsidR="00EF7221" w:rsidRPr="001F3648">
          <w:rPr>
            <w:rFonts w:ascii="Calibri" w:eastAsia="Times New Roman" w:hAnsi="Calibri" w:cs="Mosawi"/>
            <w:webHidden/>
            <w:color w:val="000000" w:themeColor="text1"/>
            <w:sz w:val="22"/>
            <w:szCs w:val="26"/>
            <w:rtl/>
            <w:lang w:eastAsia="en-US"/>
          </w:rPr>
          <w:instrText xml:space="preserve"> </w:instrText>
        </w:r>
        <w:r w:rsidRPr="001F3648">
          <w:rPr>
            <w:rFonts w:ascii="Calibri" w:eastAsia="Times New Roman" w:hAnsi="Calibri" w:cs="Mosawi"/>
            <w:webHidden/>
            <w:color w:val="000000" w:themeColor="text1"/>
            <w:sz w:val="22"/>
            <w:szCs w:val="26"/>
            <w:rtl/>
            <w:lang w:eastAsia="en-US"/>
          </w:rPr>
        </w:r>
        <w:r w:rsidRPr="001F3648">
          <w:rPr>
            <w:rFonts w:ascii="Calibri" w:eastAsia="Times New Roman" w:hAnsi="Calibri" w:cs="Mosawi"/>
            <w:webHidden/>
            <w:color w:val="000000" w:themeColor="text1"/>
            <w:sz w:val="22"/>
            <w:szCs w:val="26"/>
            <w:rtl/>
            <w:lang w:eastAsia="en-US"/>
          </w:rPr>
          <w:fldChar w:fldCharType="separate"/>
        </w:r>
        <w:r w:rsidR="0071680A">
          <w:rPr>
            <w:rFonts w:ascii="Calibri" w:eastAsia="Times New Roman" w:hAnsi="Calibri" w:cs="Mosawi"/>
            <w:webHidden/>
            <w:color w:val="000000" w:themeColor="text1"/>
            <w:sz w:val="22"/>
            <w:szCs w:val="26"/>
            <w:rtl/>
            <w:lang w:eastAsia="en-US"/>
          </w:rPr>
          <w:t>233</w:t>
        </w:r>
        <w:r w:rsidRPr="001F3648">
          <w:rPr>
            <w:rFonts w:ascii="Calibri" w:eastAsia="Times New Roman" w:hAnsi="Calibri" w:cs="Mosawi"/>
            <w:webHidden/>
            <w:color w:val="000000" w:themeColor="text1"/>
            <w:sz w:val="22"/>
            <w:szCs w:val="26"/>
            <w:rtl/>
            <w:lang w:eastAsia="en-US"/>
          </w:rPr>
          <w:fldChar w:fldCharType="end"/>
        </w:r>
      </w:hyperlink>
    </w:p>
    <w:p w:rsidR="00EF7221" w:rsidRPr="001F3648" w:rsidRDefault="00A6422F" w:rsidP="0008530B">
      <w:pPr>
        <w:pStyle w:val="TOC6"/>
        <w:spacing w:line="204" w:lineRule="auto"/>
        <w:rPr>
          <w:rFonts w:asciiTheme="minorHAnsi" w:eastAsiaTheme="minorEastAsia" w:hAnsiTheme="minorHAnsi" w:cstheme="minorBidi"/>
          <w:color w:val="000000" w:themeColor="text1"/>
          <w:szCs w:val="22"/>
          <w:rtl/>
        </w:rPr>
      </w:pPr>
      <w:hyperlink w:anchor="_Toc275128008" w:history="1">
        <w:r w:rsidR="00EF7221" w:rsidRPr="001F3648">
          <w:rPr>
            <w:rStyle w:val="Hyperlink"/>
            <w:rFonts w:hint="eastAsia"/>
            <w:color w:val="000000" w:themeColor="text1"/>
            <w:u w:val="none"/>
            <w:rtl/>
          </w:rPr>
          <w:t>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علي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بابائي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آريا</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Toc275128008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233</w:t>
        </w:r>
        <w:r w:rsidRPr="001F3648">
          <w:rPr>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09" w:history="1">
        <w:r w:rsidR="00EF7221" w:rsidRPr="001F3648">
          <w:rPr>
            <w:rStyle w:val="Hyperlink"/>
            <w:rFonts w:hint="eastAsia"/>
            <w:color w:val="000000" w:themeColor="text1"/>
            <w:sz w:val="24"/>
            <w:szCs w:val="28"/>
            <w:u w:val="none"/>
            <w:rtl/>
          </w:rPr>
          <w:t>المقدّمة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Toc275128009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233</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10" w:history="1">
        <w:r w:rsidR="00EF7221" w:rsidRPr="001F3648">
          <w:rPr>
            <w:rStyle w:val="Hyperlink"/>
            <w:rFonts w:hint="eastAsia"/>
            <w:color w:val="000000" w:themeColor="text1"/>
            <w:sz w:val="24"/>
            <w:szCs w:val="28"/>
            <w:u w:val="none"/>
            <w:rtl/>
          </w:rPr>
          <w:t>النظريات</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الفقهية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الزواج</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من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الكتابية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Toc275128010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233</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11" w:history="1">
        <w:r w:rsidR="00EF7221" w:rsidRPr="001F3648">
          <w:rPr>
            <w:rStyle w:val="Hyperlink"/>
            <w:rFonts w:hint="eastAsia"/>
            <w:color w:val="000000" w:themeColor="text1"/>
            <w:sz w:val="24"/>
            <w:szCs w:val="28"/>
            <w:u w:val="none"/>
            <w:rtl/>
          </w:rPr>
          <w:t>موقف</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القانون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المدنيّ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البلاد</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الإسلاميّة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Toc275128011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235</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12" w:history="1">
        <w:r w:rsidR="00EF7221" w:rsidRPr="001F3648">
          <w:rPr>
            <w:rStyle w:val="Hyperlink"/>
            <w:rFonts w:hint="eastAsia"/>
            <w:color w:val="000000" w:themeColor="text1"/>
            <w:sz w:val="24"/>
            <w:szCs w:val="28"/>
            <w:u w:val="none"/>
            <w:rtl/>
          </w:rPr>
          <w:t>مسألة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التزويج</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مع</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اختلاف</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الدِّين،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دراسة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ونقد</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Toc275128012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237</w:t>
        </w:r>
        <w:r w:rsidRPr="001F3648">
          <w:rPr>
            <w:webHidden/>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13" w:history="1">
        <w:r w:rsidR="00EF7221" w:rsidRPr="001F3648">
          <w:rPr>
            <w:rStyle w:val="Hyperlink"/>
            <w:noProof/>
            <w:color w:val="000000" w:themeColor="text1"/>
            <w:u w:val="none"/>
            <w:rtl/>
          </w:rPr>
          <w:t xml:space="preserve">1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أدلّة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نظرية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الحظر</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المطلق</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للزواج</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من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أهل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الكتاب</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Toc275128013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237</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14" w:history="1">
        <w:r w:rsidR="00EF7221" w:rsidRPr="001F3648">
          <w:rPr>
            <w:rStyle w:val="Hyperlink"/>
            <w:rFonts w:hint="eastAsia"/>
            <w:noProof/>
            <w:color w:val="000000" w:themeColor="text1"/>
            <w:u w:val="none"/>
            <w:rtl/>
          </w:rPr>
          <w:t>وقفات</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نقدية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مع</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مستندات</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نظرية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الحظر</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المطلق</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لزواج</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مختلفي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الدِّين</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Toc275128014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240</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15" w:history="1">
        <w:r w:rsidR="00EF7221" w:rsidRPr="001F3648">
          <w:rPr>
            <w:rStyle w:val="Hyperlink"/>
            <w:noProof/>
            <w:color w:val="000000" w:themeColor="text1"/>
            <w:u w:val="none"/>
            <w:rtl/>
          </w:rPr>
          <w:t xml:space="preserve">2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أدلّة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نظرية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التفصيل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بين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زواجي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المتعة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والدائم</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Toc275128015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246</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16" w:history="1">
        <w:r w:rsidR="00EF7221" w:rsidRPr="001F3648">
          <w:rPr>
            <w:rStyle w:val="Hyperlink"/>
            <w:rFonts w:hint="eastAsia"/>
            <w:noProof/>
            <w:color w:val="000000" w:themeColor="text1"/>
            <w:u w:val="none"/>
            <w:rtl/>
          </w:rPr>
          <w:t>مناقشة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لأدلّة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نظرية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التفصيل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بين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الدائم</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والمؤقّت</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Toc275128016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248</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17" w:history="1">
        <w:r w:rsidR="00EF7221" w:rsidRPr="001F3648">
          <w:rPr>
            <w:rStyle w:val="Hyperlink"/>
            <w:noProof/>
            <w:color w:val="000000" w:themeColor="text1"/>
            <w:u w:val="none"/>
            <w:rtl/>
          </w:rPr>
          <w:t>3</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أدلّة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نظرية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الترخيص</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المطلق</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في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الزواج</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من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الكتابيّات</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Toc275128017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249</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18" w:history="1">
        <w:r w:rsidR="00EF7221" w:rsidRPr="001F3648">
          <w:rPr>
            <w:rStyle w:val="Hyperlink"/>
            <w:rFonts w:hint="eastAsia"/>
            <w:noProof/>
            <w:color w:val="000000" w:themeColor="text1"/>
            <w:u w:val="none"/>
            <w:rtl/>
          </w:rPr>
          <w:t>أدلة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الترخيص</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المطلق،</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تطوير</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ومنافحة</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Toc275128018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250</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19" w:history="1">
        <w:r w:rsidR="00EF7221" w:rsidRPr="001F3648">
          <w:rPr>
            <w:rStyle w:val="Hyperlink"/>
            <w:rFonts w:hint="eastAsia"/>
            <w:noProof/>
            <w:color w:val="000000" w:themeColor="text1"/>
            <w:u w:val="none"/>
            <w:rtl/>
          </w:rPr>
          <w:t>مقولة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الترابط</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بين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الزواجين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الدائم</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والمنقطع</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في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نكاح</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الكتابية</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Toc275128019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253</w:t>
        </w:r>
        <w:r w:rsidRPr="001F3648">
          <w:rPr>
            <w:noProof/>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20" w:history="1">
        <w:r w:rsidR="00EF7221" w:rsidRPr="001F3648">
          <w:rPr>
            <w:rStyle w:val="Hyperlink"/>
            <w:rFonts w:hint="eastAsia"/>
            <w:color w:val="000000" w:themeColor="text1"/>
            <w:sz w:val="24"/>
            <w:szCs w:val="28"/>
            <w:u w:val="none"/>
            <w:rtl/>
          </w:rPr>
          <w:t>مسألة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التأثير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الديني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على</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الأسرة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الزواج</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من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الكتابيات</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Toc275128020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254</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21" w:history="1">
        <w:r w:rsidR="00EF7221" w:rsidRPr="001F3648">
          <w:rPr>
            <w:rStyle w:val="Hyperlink"/>
            <w:rFonts w:hint="eastAsia"/>
            <w:color w:val="000000" w:themeColor="text1"/>
            <w:sz w:val="24"/>
            <w:szCs w:val="28"/>
            <w:u w:val="none"/>
            <w:rtl/>
          </w:rPr>
          <w:t>حكمة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الترخيص</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نكاح</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الكتابيّة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Toc275128021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254</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22" w:history="1">
        <w:r w:rsidR="00EF7221" w:rsidRPr="001F3648">
          <w:rPr>
            <w:rStyle w:val="Hyperlink"/>
            <w:rFonts w:hint="eastAsia"/>
            <w:color w:val="000000" w:themeColor="text1"/>
            <w:sz w:val="24"/>
            <w:szCs w:val="28"/>
            <w:u w:val="none"/>
            <w:rtl/>
          </w:rPr>
          <w:t>حقوق</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الزّوجة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الكتابيّة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Toc275128022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256</w:t>
        </w:r>
        <w:r w:rsidRPr="001F3648">
          <w:rPr>
            <w:webHidden/>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23" w:history="1">
        <w:r w:rsidR="00EF7221" w:rsidRPr="001F3648">
          <w:rPr>
            <w:rStyle w:val="Hyperlink"/>
            <w:noProof/>
            <w:color w:val="000000" w:themeColor="text1"/>
            <w:u w:val="none"/>
            <w:rtl/>
          </w:rPr>
          <w:t xml:space="preserve">1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الحقوق</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المشتركة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بين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الزوجة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الكتابيّة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والزوجة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المسلمة</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Toc275128023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256</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24" w:history="1">
        <w:r w:rsidR="00EF7221" w:rsidRPr="001F3648">
          <w:rPr>
            <w:rStyle w:val="Hyperlink"/>
            <w:noProof/>
            <w:color w:val="000000" w:themeColor="text1"/>
            <w:u w:val="none"/>
            <w:rtl/>
          </w:rPr>
          <w:t xml:space="preserve">2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الحقوق</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المتمايزة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بين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الزوجة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الكتابيّة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والزوجة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المسلمة</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Toc275128024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256</w:t>
        </w:r>
        <w:r w:rsidRPr="001F3648">
          <w:rPr>
            <w:noProof/>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25" w:history="1">
        <w:r w:rsidR="00EF7221" w:rsidRPr="001F3648">
          <w:rPr>
            <w:rStyle w:val="Hyperlink"/>
            <w:rFonts w:hint="eastAsia"/>
            <w:color w:val="000000" w:themeColor="text1"/>
            <w:sz w:val="24"/>
            <w:szCs w:val="28"/>
            <w:u w:val="none"/>
            <w:rtl/>
          </w:rPr>
          <w:t>نتائج</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البحث</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Toc275128025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260</w:t>
        </w:r>
        <w:r w:rsidRPr="001F3648">
          <w:rPr>
            <w:webHidden/>
            <w:rtl/>
          </w:rPr>
          <w:fldChar w:fldCharType="end"/>
        </w:r>
      </w:hyperlink>
    </w:p>
    <w:p w:rsidR="00EF7221" w:rsidRPr="001F3648" w:rsidRDefault="00A6422F" w:rsidP="0008530B">
      <w:pPr>
        <w:pStyle w:val="TOC1"/>
        <w:spacing w:line="204" w:lineRule="auto"/>
        <w:rPr>
          <w:rFonts w:asciiTheme="minorHAnsi" w:eastAsiaTheme="minorEastAsia" w:hAnsiTheme="minorHAnsi" w:cstheme="minorBidi"/>
          <w:color w:val="000000" w:themeColor="text1"/>
          <w:sz w:val="22"/>
          <w:szCs w:val="22"/>
          <w:rtl/>
          <w:lang w:eastAsia="en-US"/>
        </w:rPr>
      </w:pPr>
      <w:hyperlink w:anchor="_Toc275128026" w:history="1">
        <w:r w:rsidR="00EF7221" w:rsidRPr="001F3648">
          <w:rPr>
            <w:rStyle w:val="Hyperlink"/>
            <w:rFonts w:hint="eastAsia"/>
            <w:color w:val="000000" w:themeColor="text1"/>
            <w:u w:val="none"/>
            <w:rtl/>
          </w:rPr>
          <w:t>نظرية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تعويض</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المطلقة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تعسّفاً</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في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الشريعة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والقانون</w:t>
        </w:r>
      </w:hyperlink>
      <w:r w:rsidR="00090BFD" w:rsidRPr="001F3648">
        <w:rPr>
          <w:rStyle w:val="Hyperlink"/>
          <w:rFonts w:hint="cs"/>
          <w:color w:val="000000" w:themeColor="text1"/>
          <w:u w:val="none"/>
          <w:rtl/>
        </w:rPr>
        <w:t xml:space="preserve">، </w:t>
      </w:r>
      <w:hyperlink w:anchor="_Toc275128027" w:history="1">
        <w:r w:rsidR="00EF7221" w:rsidRPr="001F3648">
          <w:rPr>
            <w:rStyle w:val="Hyperlink"/>
            <w:rFonts w:hint="eastAsia"/>
            <w:color w:val="000000" w:themeColor="text1"/>
            <w:u w:val="none"/>
            <w:rtl/>
          </w:rPr>
          <w:t>قراءة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نقدية</w:t>
        </w:r>
        <w:r w:rsidR="00EF7221" w:rsidRPr="001F3648">
          <w:rPr>
            <w:rFonts w:ascii="Calibri" w:eastAsia="Times New Roman" w:hAnsi="Calibri" w:cs="Mosawi"/>
            <w:webHidden/>
            <w:color w:val="000000" w:themeColor="text1"/>
            <w:sz w:val="22"/>
            <w:szCs w:val="26"/>
            <w:rtl/>
            <w:lang w:eastAsia="en-US"/>
          </w:rPr>
          <w:tab/>
        </w:r>
        <w:r w:rsidRPr="001F3648">
          <w:rPr>
            <w:rFonts w:ascii="Calibri" w:eastAsia="Times New Roman" w:hAnsi="Calibri" w:cs="Mosawi"/>
            <w:webHidden/>
            <w:color w:val="000000" w:themeColor="text1"/>
            <w:sz w:val="22"/>
            <w:szCs w:val="26"/>
            <w:rtl/>
            <w:lang w:eastAsia="en-US"/>
          </w:rPr>
          <w:fldChar w:fldCharType="begin"/>
        </w:r>
        <w:r w:rsidR="00EF7221" w:rsidRPr="001F3648">
          <w:rPr>
            <w:rFonts w:ascii="Calibri" w:eastAsia="Times New Roman" w:hAnsi="Calibri" w:cs="Mosawi"/>
            <w:webHidden/>
            <w:color w:val="000000" w:themeColor="text1"/>
            <w:sz w:val="22"/>
            <w:szCs w:val="26"/>
            <w:rtl/>
            <w:lang w:eastAsia="en-US"/>
          </w:rPr>
          <w:instrText xml:space="preserve"> </w:instrText>
        </w:r>
        <w:r w:rsidR="00EF7221" w:rsidRPr="001F3648">
          <w:rPr>
            <w:rFonts w:ascii="Calibri" w:eastAsia="Times New Roman" w:hAnsi="Calibri" w:cs="Mosawi"/>
            <w:webHidden/>
            <w:color w:val="000000" w:themeColor="text1"/>
            <w:sz w:val="22"/>
            <w:szCs w:val="26"/>
            <w:lang w:eastAsia="en-US"/>
          </w:rPr>
          <w:instrText>PAGEREF</w:instrText>
        </w:r>
        <w:r w:rsidR="00EF7221" w:rsidRPr="001F3648">
          <w:rPr>
            <w:rFonts w:ascii="Calibri" w:eastAsia="Times New Roman" w:hAnsi="Calibri" w:cs="Mosawi"/>
            <w:webHidden/>
            <w:color w:val="000000" w:themeColor="text1"/>
            <w:sz w:val="22"/>
            <w:szCs w:val="26"/>
            <w:rtl/>
            <w:lang w:eastAsia="en-US"/>
          </w:rPr>
          <w:instrText xml:space="preserve"> _</w:instrText>
        </w:r>
        <w:r w:rsidR="00EF7221" w:rsidRPr="001F3648">
          <w:rPr>
            <w:rFonts w:ascii="Calibri" w:eastAsia="Times New Roman" w:hAnsi="Calibri" w:cs="Mosawi"/>
            <w:webHidden/>
            <w:color w:val="000000" w:themeColor="text1"/>
            <w:sz w:val="22"/>
            <w:szCs w:val="26"/>
            <w:lang w:eastAsia="en-US"/>
          </w:rPr>
          <w:instrText>Toc275128027 \h</w:instrText>
        </w:r>
        <w:r w:rsidR="00EF7221" w:rsidRPr="001F3648">
          <w:rPr>
            <w:rFonts w:ascii="Calibri" w:eastAsia="Times New Roman" w:hAnsi="Calibri" w:cs="Mosawi"/>
            <w:webHidden/>
            <w:color w:val="000000" w:themeColor="text1"/>
            <w:sz w:val="22"/>
            <w:szCs w:val="26"/>
            <w:rtl/>
            <w:lang w:eastAsia="en-US"/>
          </w:rPr>
          <w:instrText xml:space="preserve"> </w:instrText>
        </w:r>
        <w:r w:rsidRPr="001F3648">
          <w:rPr>
            <w:rFonts w:ascii="Calibri" w:eastAsia="Times New Roman" w:hAnsi="Calibri" w:cs="Mosawi"/>
            <w:webHidden/>
            <w:color w:val="000000" w:themeColor="text1"/>
            <w:sz w:val="22"/>
            <w:szCs w:val="26"/>
            <w:rtl/>
            <w:lang w:eastAsia="en-US"/>
          </w:rPr>
        </w:r>
        <w:r w:rsidRPr="001F3648">
          <w:rPr>
            <w:rFonts w:ascii="Calibri" w:eastAsia="Times New Roman" w:hAnsi="Calibri" w:cs="Mosawi"/>
            <w:webHidden/>
            <w:color w:val="000000" w:themeColor="text1"/>
            <w:sz w:val="22"/>
            <w:szCs w:val="26"/>
            <w:rtl/>
            <w:lang w:eastAsia="en-US"/>
          </w:rPr>
          <w:fldChar w:fldCharType="separate"/>
        </w:r>
        <w:r w:rsidR="0071680A">
          <w:rPr>
            <w:rFonts w:ascii="Calibri" w:eastAsia="Times New Roman" w:hAnsi="Calibri" w:cs="Mosawi"/>
            <w:webHidden/>
            <w:color w:val="000000" w:themeColor="text1"/>
            <w:sz w:val="22"/>
            <w:szCs w:val="26"/>
            <w:rtl/>
            <w:lang w:eastAsia="en-US"/>
          </w:rPr>
          <w:t>263</w:t>
        </w:r>
        <w:r w:rsidRPr="001F3648">
          <w:rPr>
            <w:rFonts w:ascii="Calibri" w:eastAsia="Times New Roman" w:hAnsi="Calibri" w:cs="Mosawi"/>
            <w:webHidden/>
            <w:color w:val="000000" w:themeColor="text1"/>
            <w:sz w:val="22"/>
            <w:szCs w:val="26"/>
            <w:rtl/>
            <w:lang w:eastAsia="en-US"/>
          </w:rPr>
          <w:fldChar w:fldCharType="end"/>
        </w:r>
      </w:hyperlink>
    </w:p>
    <w:p w:rsidR="00EF7221" w:rsidRPr="001F3648" w:rsidRDefault="00A6422F" w:rsidP="0008530B">
      <w:pPr>
        <w:pStyle w:val="TOC6"/>
        <w:spacing w:line="204" w:lineRule="auto"/>
        <w:rPr>
          <w:rFonts w:asciiTheme="minorHAnsi" w:eastAsiaTheme="minorEastAsia" w:hAnsiTheme="minorHAnsi" w:cstheme="minorBidi"/>
          <w:color w:val="000000" w:themeColor="text1"/>
          <w:szCs w:val="22"/>
          <w:rtl/>
        </w:rPr>
      </w:pPr>
      <w:hyperlink w:anchor="_Toc275128028" w:history="1">
        <w:r w:rsidR="00EF7221" w:rsidRPr="001F3648">
          <w:rPr>
            <w:rStyle w:val="Hyperlink"/>
            <w:rFonts w:hint="eastAsia"/>
            <w:color w:val="000000" w:themeColor="text1"/>
            <w:u w:val="none"/>
            <w:rtl/>
          </w:rPr>
          <w:t>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عبدالأمير</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كاظم</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زاهد</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Toc275128028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263</w:t>
        </w:r>
        <w:r w:rsidRPr="001F3648">
          <w:rPr>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29" w:history="1">
        <w:r w:rsidR="00EF7221" w:rsidRPr="001F3648">
          <w:rPr>
            <w:rStyle w:val="Hyperlink"/>
            <w:rFonts w:hint="eastAsia"/>
            <w:color w:val="000000" w:themeColor="text1"/>
            <w:sz w:val="24"/>
            <w:szCs w:val="28"/>
            <w:u w:val="none"/>
            <w:rtl/>
          </w:rPr>
          <w:t>مفهوم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التعسّف</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والطلاق</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التعسّفي</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Toc275128029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263</w:t>
        </w:r>
        <w:r w:rsidRPr="001F3648">
          <w:rPr>
            <w:webHidden/>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30" w:history="1">
        <w:r w:rsidR="00EF7221" w:rsidRPr="001F3648">
          <w:rPr>
            <w:rStyle w:val="Hyperlink"/>
            <w:noProof/>
            <w:color w:val="000000" w:themeColor="text1"/>
            <w:u w:val="none"/>
            <w:rtl/>
          </w:rPr>
          <w:t xml:space="preserve">1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مفهوم</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التعسّف</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Toc275128030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263</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31" w:history="1">
        <w:r w:rsidR="00EF7221" w:rsidRPr="001F3648">
          <w:rPr>
            <w:rStyle w:val="Hyperlink"/>
            <w:noProof/>
            <w:color w:val="000000" w:themeColor="text1"/>
            <w:u w:val="none"/>
            <w:rtl/>
          </w:rPr>
          <w:t xml:space="preserve">2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الطلاق</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التعسّفي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والقانون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العراقي</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Toc275128031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265</w:t>
        </w:r>
        <w:r w:rsidRPr="001F3648">
          <w:rPr>
            <w:noProof/>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32" w:history="1">
        <w:r w:rsidR="00EF7221" w:rsidRPr="001F3648">
          <w:rPr>
            <w:rStyle w:val="Hyperlink"/>
            <w:rFonts w:hint="eastAsia"/>
            <w:color w:val="000000" w:themeColor="text1"/>
            <w:sz w:val="24"/>
            <w:szCs w:val="28"/>
            <w:u w:val="none"/>
            <w:rtl/>
          </w:rPr>
          <w:t>صور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التعسّف</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الطلاق</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وقيوده</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Toc275128032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267</w:t>
        </w:r>
        <w:r w:rsidRPr="001F3648">
          <w:rPr>
            <w:webHidden/>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33" w:history="1">
        <w:r w:rsidR="00EF7221" w:rsidRPr="001F3648">
          <w:rPr>
            <w:rStyle w:val="Hyperlink"/>
            <w:noProof/>
            <w:color w:val="000000" w:themeColor="text1"/>
            <w:u w:val="none"/>
            <w:rtl/>
          </w:rPr>
          <w:t xml:space="preserve">1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صورة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التعسّف</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في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الطلاق</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Toc275128033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267</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34" w:history="1">
        <w:r w:rsidR="00EF7221" w:rsidRPr="001F3648">
          <w:rPr>
            <w:rStyle w:val="Hyperlink"/>
            <w:noProof/>
            <w:color w:val="000000" w:themeColor="text1"/>
            <w:u w:val="none"/>
            <w:rtl/>
          </w:rPr>
          <w:t xml:space="preserve">2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أدلّة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تحريم</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التعسف</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Toc275128034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269</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35" w:history="1">
        <w:r w:rsidR="00EF7221" w:rsidRPr="001F3648">
          <w:rPr>
            <w:rStyle w:val="Hyperlink"/>
            <w:noProof/>
            <w:color w:val="000000" w:themeColor="text1"/>
            <w:u w:val="none"/>
            <w:rtl/>
          </w:rPr>
          <w:t xml:space="preserve">3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جزاء</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التعسّف</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Toc275128035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270</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36" w:history="1">
        <w:r w:rsidR="00EF7221" w:rsidRPr="001F3648">
          <w:rPr>
            <w:rStyle w:val="Hyperlink"/>
            <w:noProof/>
            <w:color w:val="000000" w:themeColor="text1"/>
            <w:u w:val="none"/>
            <w:rtl/>
          </w:rPr>
          <w:t xml:space="preserve">4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معايير</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التعسّف</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Toc275128036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270</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37" w:history="1">
        <w:r w:rsidR="00EF7221" w:rsidRPr="001F3648">
          <w:rPr>
            <w:rStyle w:val="Hyperlink"/>
            <w:noProof/>
            <w:color w:val="000000" w:themeColor="text1"/>
            <w:u w:val="none"/>
            <w:rtl/>
          </w:rPr>
          <w:t xml:space="preserve">5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الآثار</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المترتبة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على</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التعسف</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Toc275128037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273</w:t>
        </w:r>
        <w:r w:rsidRPr="001F3648">
          <w:rPr>
            <w:noProof/>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38" w:history="1">
        <w:r w:rsidR="00EF7221" w:rsidRPr="001F3648">
          <w:rPr>
            <w:rStyle w:val="Hyperlink"/>
            <w:rFonts w:hint="eastAsia"/>
            <w:color w:val="000000" w:themeColor="text1"/>
            <w:sz w:val="24"/>
            <w:szCs w:val="28"/>
            <w:u w:val="none"/>
            <w:rtl/>
          </w:rPr>
          <w:t>ثبوت</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التعويض</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المالي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على</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الزوج</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المطلّق</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تعسّفاً</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Toc275128038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274</w:t>
        </w:r>
        <w:r w:rsidRPr="001F3648">
          <w:rPr>
            <w:webHidden/>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39" w:history="1">
        <w:r w:rsidR="00EF7221" w:rsidRPr="001F3648">
          <w:rPr>
            <w:rStyle w:val="Hyperlink"/>
            <w:noProof/>
            <w:color w:val="000000" w:themeColor="text1"/>
            <w:u w:val="none"/>
            <w:rtl/>
          </w:rPr>
          <w:t xml:space="preserve">1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نظرية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تجويز</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التعويض</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المالي،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الأدلّة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والبراهين</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Toc275128039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274</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40" w:history="1">
        <w:r w:rsidR="00EF7221" w:rsidRPr="001F3648">
          <w:rPr>
            <w:rStyle w:val="Hyperlink"/>
            <w:noProof/>
            <w:color w:val="000000" w:themeColor="text1"/>
            <w:u w:val="none"/>
            <w:rtl/>
          </w:rPr>
          <w:t xml:space="preserve">2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نظرية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رفض</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التعويض</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المالي،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كشف</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المستندات</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Toc275128040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275</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41" w:history="1">
        <w:r w:rsidR="00EF7221" w:rsidRPr="001F3648">
          <w:rPr>
            <w:rStyle w:val="Hyperlink"/>
            <w:noProof/>
            <w:color w:val="000000" w:themeColor="text1"/>
            <w:u w:val="none"/>
            <w:rtl/>
          </w:rPr>
          <w:t xml:space="preserve">3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ردود</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المجيزين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لنفقة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التعسّف</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Toc275128041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278</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42" w:history="1">
        <w:r w:rsidR="00EF7221" w:rsidRPr="001F3648">
          <w:rPr>
            <w:rStyle w:val="Hyperlink"/>
            <w:noProof/>
            <w:color w:val="000000" w:themeColor="text1"/>
            <w:u w:val="none"/>
            <w:rtl/>
          </w:rPr>
          <w:t xml:space="preserve">4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مناقشة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الردود</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Toc275128042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280</w:t>
        </w:r>
        <w:r w:rsidRPr="001F3648">
          <w:rPr>
            <w:noProof/>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43" w:history="1">
        <w:r w:rsidR="00EF7221" w:rsidRPr="001F3648">
          <w:rPr>
            <w:rStyle w:val="Hyperlink"/>
            <w:rFonts w:hint="eastAsia"/>
            <w:color w:val="000000" w:themeColor="text1"/>
            <w:sz w:val="24"/>
            <w:szCs w:val="28"/>
            <w:u w:val="none"/>
            <w:rtl/>
          </w:rPr>
          <w:t>الخاتمة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ونتيجة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البحث</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Toc275128043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281</w:t>
        </w:r>
        <w:r w:rsidRPr="001F3648">
          <w:rPr>
            <w:webHidden/>
            <w:rtl/>
          </w:rPr>
          <w:fldChar w:fldCharType="end"/>
        </w:r>
      </w:hyperlink>
    </w:p>
    <w:p w:rsidR="00EF7221" w:rsidRPr="001F3648" w:rsidRDefault="00A6422F" w:rsidP="0008530B">
      <w:pPr>
        <w:pStyle w:val="TOC1"/>
        <w:spacing w:line="204" w:lineRule="auto"/>
        <w:rPr>
          <w:rFonts w:asciiTheme="minorHAnsi" w:eastAsiaTheme="minorEastAsia" w:hAnsiTheme="minorHAnsi" w:cstheme="minorBidi"/>
          <w:color w:val="000000" w:themeColor="text1"/>
          <w:sz w:val="22"/>
          <w:szCs w:val="22"/>
          <w:rtl/>
          <w:lang w:eastAsia="en-US"/>
        </w:rPr>
      </w:pPr>
      <w:hyperlink w:anchor="_Toc275128044" w:history="1">
        <w:r w:rsidR="00EF7221" w:rsidRPr="001F3648">
          <w:rPr>
            <w:rStyle w:val="Hyperlink"/>
            <w:rFonts w:hint="eastAsia"/>
            <w:color w:val="000000" w:themeColor="text1"/>
            <w:u w:val="none"/>
            <w:rtl/>
          </w:rPr>
          <w:t>بلوغ</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الأنثى</w:t>
        </w:r>
      </w:hyperlink>
      <w:r w:rsidR="00090BFD" w:rsidRPr="001F3648">
        <w:rPr>
          <w:rStyle w:val="Hyperlink"/>
          <w:rFonts w:hint="cs"/>
          <w:color w:val="000000" w:themeColor="text1"/>
          <w:u w:val="none"/>
          <w:rtl/>
        </w:rPr>
        <w:t xml:space="preserve">، </w:t>
      </w:r>
      <w:hyperlink w:anchor="_Toc275128045" w:history="1">
        <w:r w:rsidR="00EF7221" w:rsidRPr="001F3648">
          <w:rPr>
            <w:rStyle w:val="Hyperlink"/>
            <w:rFonts w:hint="eastAsia"/>
            <w:color w:val="000000" w:themeColor="text1"/>
            <w:u w:val="none"/>
            <w:rtl/>
          </w:rPr>
          <w:t>دراسة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استدلالية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جديدة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في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علامات</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البلوغ</w:t>
        </w:r>
        <w:r w:rsidR="00EF7221" w:rsidRPr="001F3648">
          <w:rPr>
            <w:rFonts w:ascii="Calibri" w:eastAsia="Times New Roman" w:hAnsi="Calibri" w:cs="Mosawi"/>
            <w:webHidden/>
            <w:color w:val="000000" w:themeColor="text1"/>
            <w:sz w:val="22"/>
            <w:szCs w:val="26"/>
            <w:rtl/>
            <w:lang w:eastAsia="en-US"/>
          </w:rPr>
          <w:tab/>
        </w:r>
        <w:r w:rsidRPr="001F3648">
          <w:rPr>
            <w:rFonts w:ascii="Calibri" w:eastAsia="Times New Roman" w:hAnsi="Calibri" w:cs="Mosawi"/>
            <w:webHidden/>
            <w:color w:val="000000" w:themeColor="text1"/>
            <w:sz w:val="22"/>
            <w:szCs w:val="26"/>
            <w:rtl/>
            <w:lang w:eastAsia="en-US"/>
          </w:rPr>
          <w:fldChar w:fldCharType="begin"/>
        </w:r>
        <w:r w:rsidR="00EF7221" w:rsidRPr="001F3648">
          <w:rPr>
            <w:rFonts w:ascii="Calibri" w:eastAsia="Times New Roman" w:hAnsi="Calibri" w:cs="Mosawi"/>
            <w:webHidden/>
            <w:color w:val="000000" w:themeColor="text1"/>
            <w:sz w:val="22"/>
            <w:szCs w:val="26"/>
            <w:rtl/>
            <w:lang w:eastAsia="en-US"/>
          </w:rPr>
          <w:instrText xml:space="preserve"> </w:instrText>
        </w:r>
        <w:r w:rsidR="00EF7221" w:rsidRPr="001F3648">
          <w:rPr>
            <w:rFonts w:ascii="Calibri" w:eastAsia="Times New Roman" w:hAnsi="Calibri" w:cs="Mosawi"/>
            <w:webHidden/>
            <w:color w:val="000000" w:themeColor="text1"/>
            <w:sz w:val="22"/>
            <w:szCs w:val="26"/>
            <w:lang w:eastAsia="en-US"/>
          </w:rPr>
          <w:instrText>PAGEREF</w:instrText>
        </w:r>
        <w:r w:rsidR="00EF7221" w:rsidRPr="001F3648">
          <w:rPr>
            <w:rFonts w:ascii="Calibri" w:eastAsia="Times New Roman" w:hAnsi="Calibri" w:cs="Mosawi"/>
            <w:webHidden/>
            <w:color w:val="000000" w:themeColor="text1"/>
            <w:sz w:val="22"/>
            <w:szCs w:val="26"/>
            <w:rtl/>
            <w:lang w:eastAsia="en-US"/>
          </w:rPr>
          <w:instrText xml:space="preserve"> _</w:instrText>
        </w:r>
        <w:r w:rsidR="00EF7221" w:rsidRPr="001F3648">
          <w:rPr>
            <w:rFonts w:ascii="Calibri" w:eastAsia="Times New Roman" w:hAnsi="Calibri" w:cs="Mosawi"/>
            <w:webHidden/>
            <w:color w:val="000000" w:themeColor="text1"/>
            <w:sz w:val="22"/>
            <w:szCs w:val="26"/>
            <w:lang w:eastAsia="en-US"/>
          </w:rPr>
          <w:instrText>Toc275128045 \h</w:instrText>
        </w:r>
        <w:r w:rsidR="00EF7221" w:rsidRPr="001F3648">
          <w:rPr>
            <w:rFonts w:ascii="Calibri" w:eastAsia="Times New Roman" w:hAnsi="Calibri" w:cs="Mosawi"/>
            <w:webHidden/>
            <w:color w:val="000000" w:themeColor="text1"/>
            <w:sz w:val="22"/>
            <w:szCs w:val="26"/>
            <w:rtl/>
            <w:lang w:eastAsia="en-US"/>
          </w:rPr>
          <w:instrText xml:space="preserve"> </w:instrText>
        </w:r>
        <w:r w:rsidRPr="001F3648">
          <w:rPr>
            <w:rFonts w:ascii="Calibri" w:eastAsia="Times New Roman" w:hAnsi="Calibri" w:cs="Mosawi"/>
            <w:webHidden/>
            <w:color w:val="000000" w:themeColor="text1"/>
            <w:sz w:val="22"/>
            <w:szCs w:val="26"/>
            <w:rtl/>
            <w:lang w:eastAsia="en-US"/>
          </w:rPr>
        </w:r>
        <w:r w:rsidRPr="001F3648">
          <w:rPr>
            <w:rFonts w:ascii="Calibri" w:eastAsia="Times New Roman" w:hAnsi="Calibri" w:cs="Mosawi"/>
            <w:webHidden/>
            <w:color w:val="000000" w:themeColor="text1"/>
            <w:sz w:val="22"/>
            <w:szCs w:val="26"/>
            <w:rtl/>
            <w:lang w:eastAsia="en-US"/>
          </w:rPr>
          <w:fldChar w:fldCharType="separate"/>
        </w:r>
        <w:r w:rsidR="0071680A">
          <w:rPr>
            <w:rFonts w:ascii="Calibri" w:eastAsia="Times New Roman" w:hAnsi="Calibri" w:cs="Mosawi"/>
            <w:webHidden/>
            <w:color w:val="000000" w:themeColor="text1"/>
            <w:sz w:val="22"/>
            <w:szCs w:val="26"/>
            <w:rtl/>
            <w:lang w:eastAsia="en-US"/>
          </w:rPr>
          <w:t>283</w:t>
        </w:r>
        <w:r w:rsidRPr="001F3648">
          <w:rPr>
            <w:rFonts w:ascii="Calibri" w:eastAsia="Times New Roman" w:hAnsi="Calibri" w:cs="Mosawi"/>
            <w:webHidden/>
            <w:color w:val="000000" w:themeColor="text1"/>
            <w:sz w:val="22"/>
            <w:szCs w:val="26"/>
            <w:rtl/>
            <w:lang w:eastAsia="en-US"/>
          </w:rPr>
          <w:fldChar w:fldCharType="end"/>
        </w:r>
      </w:hyperlink>
    </w:p>
    <w:p w:rsidR="00EF7221" w:rsidRPr="001F3648" w:rsidRDefault="00A6422F" w:rsidP="0008530B">
      <w:pPr>
        <w:pStyle w:val="TOC6"/>
        <w:spacing w:line="204" w:lineRule="auto"/>
        <w:rPr>
          <w:rFonts w:asciiTheme="minorHAnsi" w:eastAsiaTheme="minorEastAsia" w:hAnsiTheme="minorHAnsi" w:cstheme="minorBidi"/>
          <w:color w:val="000000" w:themeColor="text1"/>
          <w:szCs w:val="22"/>
          <w:rtl/>
        </w:rPr>
      </w:pPr>
      <w:hyperlink w:anchor="_Toc275128046" w:history="1">
        <w:r w:rsidR="00EF7221" w:rsidRPr="001F3648">
          <w:rPr>
            <w:rStyle w:val="Hyperlink"/>
            <w:rFonts w:hint="eastAsia"/>
            <w:color w:val="000000" w:themeColor="text1"/>
            <w:u w:val="none"/>
            <w:rtl/>
          </w:rPr>
          <w:t>الشيخ</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حسن</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حسين</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البشيري</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Toc275128046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283</w:t>
        </w:r>
        <w:r w:rsidRPr="001F3648">
          <w:rPr>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47" w:history="1">
        <w:r w:rsidR="00EF7221" w:rsidRPr="001F3648">
          <w:rPr>
            <w:rStyle w:val="Hyperlink"/>
            <w:rFonts w:hint="eastAsia"/>
            <w:color w:val="000000" w:themeColor="text1"/>
            <w:sz w:val="24"/>
            <w:szCs w:val="28"/>
            <w:u w:val="none"/>
            <w:rtl/>
          </w:rPr>
          <w:t>مدخل</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Toc275128047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283</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48" w:history="1">
        <w:r w:rsidR="00EF7221" w:rsidRPr="001F3648">
          <w:rPr>
            <w:rStyle w:val="Hyperlink"/>
            <w:rFonts w:hint="eastAsia"/>
            <w:color w:val="000000" w:themeColor="text1"/>
            <w:sz w:val="24"/>
            <w:szCs w:val="28"/>
            <w:u w:val="none"/>
            <w:rtl/>
          </w:rPr>
          <w:t>علامات</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البلوغ</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عند</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أهل</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السنّة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Toc275128048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283</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49" w:history="1">
        <w:r w:rsidR="00EF7221" w:rsidRPr="001F3648">
          <w:rPr>
            <w:rStyle w:val="Hyperlink"/>
            <w:rFonts w:hint="eastAsia"/>
            <w:color w:val="000000" w:themeColor="text1"/>
            <w:sz w:val="24"/>
            <w:szCs w:val="28"/>
            <w:u w:val="none"/>
            <w:rtl/>
          </w:rPr>
          <w:t>علامات</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البلوغ</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المذهب</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الإمامي</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Toc275128049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284</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50" w:history="1">
        <w:r w:rsidR="00EF7221" w:rsidRPr="001F3648">
          <w:rPr>
            <w:rStyle w:val="Hyperlink"/>
            <w:rFonts w:hint="eastAsia"/>
            <w:color w:val="000000" w:themeColor="text1"/>
            <w:sz w:val="24"/>
            <w:szCs w:val="28"/>
            <w:u w:val="none"/>
            <w:rtl/>
          </w:rPr>
          <w:t>أقوال</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العلماء</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Toc275128050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284</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51" w:history="1">
        <w:r w:rsidR="00EF7221" w:rsidRPr="001F3648">
          <w:rPr>
            <w:rStyle w:val="Hyperlink"/>
            <w:rFonts w:hint="eastAsia"/>
            <w:color w:val="000000" w:themeColor="text1"/>
            <w:sz w:val="24"/>
            <w:szCs w:val="28"/>
            <w:u w:val="none"/>
            <w:rtl/>
          </w:rPr>
          <w:t>علامات</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البلوغ</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الأنثى</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Toc275128051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288</w:t>
        </w:r>
        <w:r w:rsidRPr="001F3648">
          <w:rPr>
            <w:webHidden/>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52" w:history="1">
        <w:r w:rsidR="00EF7221" w:rsidRPr="001F3648">
          <w:rPr>
            <w:rStyle w:val="Hyperlink"/>
            <w:rFonts w:hint="eastAsia"/>
            <w:noProof/>
            <w:color w:val="000000" w:themeColor="text1"/>
            <w:u w:val="none"/>
            <w:rtl/>
          </w:rPr>
          <w:t>العلامة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الأولى</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الإنزال</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Toc275128052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288</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53" w:history="1">
        <w:r w:rsidR="00EF7221" w:rsidRPr="001F3648">
          <w:rPr>
            <w:rStyle w:val="Hyperlink"/>
            <w:rFonts w:hint="eastAsia"/>
            <w:noProof/>
            <w:color w:val="000000" w:themeColor="text1"/>
            <w:u w:val="none"/>
            <w:rtl/>
          </w:rPr>
          <w:t>العلامة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الثانية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الحيض</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Toc275128053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288</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54" w:history="1">
        <w:r w:rsidR="00EF7221" w:rsidRPr="001F3648">
          <w:rPr>
            <w:rStyle w:val="Hyperlink"/>
            <w:rFonts w:hint="eastAsia"/>
            <w:noProof/>
            <w:color w:val="000000" w:themeColor="text1"/>
            <w:u w:val="none"/>
            <w:rtl/>
          </w:rPr>
          <w:t>العلامة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الثالثة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الحمل</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Toc275128054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293</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55" w:history="1">
        <w:r w:rsidR="00EF7221" w:rsidRPr="001F3648">
          <w:rPr>
            <w:rStyle w:val="Hyperlink"/>
            <w:rFonts w:hint="eastAsia"/>
            <w:noProof/>
            <w:color w:val="000000" w:themeColor="text1"/>
            <w:u w:val="none"/>
            <w:rtl/>
          </w:rPr>
          <w:t>العلامة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الرابعة</w:t>
        </w:r>
        <w:r w:rsidR="00EF7221" w:rsidRPr="001F3648">
          <w:rPr>
            <w:rStyle w:val="Hyperlink"/>
            <w:noProof/>
            <w:color w:val="000000" w:themeColor="text1"/>
            <w:u w:val="none"/>
            <w:rtl/>
          </w:rPr>
          <w:t xml:space="preserve"> : </w:t>
        </w:r>
        <w:r w:rsidR="00EF7221" w:rsidRPr="001F3648">
          <w:rPr>
            <w:rStyle w:val="Hyperlink"/>
            <w:rFonts w:hint="eastAsia"/>
            <w:noProof/>
            <w:color w:val="000000" w:themeColor="text1"/>
            <w:u w:val="none"/>
            <w:rtl/>
          </w:rPr>
          <w:t>الإنبات</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Toc275128055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294</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56" w:history="1">
        <w:r w:rsidR="00EF7221" w:rsidRPr="001F3648">
          <w:rPr>
            <w:rStyle w:val="Hyperlink"/>
            <w:rFonts w:hint="eastAsia"/>
            <w:noProof/>
            <w:color w:val="000000" w:themeColor="text1"/>
            <w:u w:val="none"/>
            <w:rtl/>
          </w:rPr>
          <w:t>العلامة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الخامسة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إكمال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تسع</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سنين</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Toc275128056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295</w:t>
        </w:r>
        <w:r w:rsidRPr="001F3648">
          <w:rPr>
            <w:noProof/>
            <w:webHidden/>
            <w:color w:val="000000" w:themeColor="text1"/>
            <w:rtl/>
          </w:rPr>
          <w:fldChar w:fldCharType="end"/>
        </w:r>
      </w:hyperlink>
    </w:p>
    <w:p w:rsidR="00EF7221" w:rsidRPr="001F3648" w:rsidRDefault="00A6422F" w:rsidP="0008530B">
      <w:pPr>
        <w:pStyle w:val="TOC4"/>
        <w:spacing w:line="204" w:lineRule="auto"/>
        <w:rPr>
          <w:rFonts w:asciiTheme="minorHAnsi" w:eastAsiaTheme="minorEastAsia" w:hAnsiTheme="minorHAnsi" w:cstheme="minorBidi"/>
          <w:noProof/>
          <w:color w:val="000000" w:themeColor="text1"/>
          <w:sz w:val="22"/>
          <w:szCs w:val="22"/>
          <w:rtl/>
        </w:rPr>
      </w:pPr>
      <w:hyperlink w:anchor="_Toc275128057" w:history="1">
        <w:r w:rsidR="00EF7221" w:rsidRPr="001F3648">
          <w:rPr>
            <w:rStyle w:val="Hyperlink"/>
            <w:rFonts w:hint="eastAsia"/>
            <w:noProof/>
            <w:color w:val="000000" w:themeColor="text1"/>
            <w:u w:val="none"/>
            <w:rtl/>
          </w:rPr>
          <w:t>الدليل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الأول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الإجماع</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Toc275128057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295</w:t>
        </w:r>
        <w:r w:rsidRPr="001F3648">
          <w:rPr>
            <w:noProof/>
            <w:webHidden/>
            <w:color w:val="000000" w:themeColor="text1"/>
            <w:rtl/>
          </w:rPr>
          <w:fldChar w:fldCharType="end"/>
        </w:r>
      </w:hyperlink>
    </w:p>
    <w:p w:rsidR="00EF7221" w:rsidRPr="001F3648" w:rsidRDefault="00A6422F" w:rsidP="0008530B">
      <w:pPr>
        <w:pStyle w:val="TOC4"/>
        <w:spacing w:line="204" w:lineRule="auto"/>
        <w:rPr>
          <w:rFonts w:asciiTheme="minorHAnsi" w:eastAsiaTheme="minorEastAsia" w:hAnsiTheme="minorHAnsi" w:cstheme="minorBidi"/>
          <w:noProof/>
          <w:color w:val="000000" w:themeColor="text1"/>
          <w:sz w:val="22"/>
          <w:szCs w:val="22"/>
          <w:rtl/>
        </w:rPr>
      </w:pPr>
      <w:hyperlink w:anchor="_Toc275128058" w:history="1">
        <w:r w:rsidR="00EF7221" w:rsidRPr="001F3648">
          <w:rPr>
            <w:rStyle w:val="Hyperlink"/>
            <w:rFonts w:hint="eastAsia"/>
            <w:noProof/>
            <w:color w:val="000000" w:themeColor="text1"/>
            <w:u w:val="none"/>
            <w:rtl/>
          </w:rPr>
          <w:t>الدليل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الثاني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الروايات</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Toc275128058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296</w:t>
        </w:r>
        <w:r w:rsidRPr="001F3648">
          <w:rPr>
            <w:noProof/>
            <w:webHidden/>
            <w:color w:val="000000" w:themeColor="text1"/>
            <w:rtl/>
          </w:rPr>
          <w:fldChar w:fldCharType="end"/>
        </w:r>
      </w:hyperlink>
    </w:p>
    <w:p w:rsidR="00EF7221" w:rsidRPr="001F3648" w:rsidRDefault="00A6422F" w:rsidP="0008530B">
      <w:pPr>
        <w:pStyle w:val="TOC5"/>
        <w:spacing w:line="204" w:lineRule="auto"/>
        <w:rPr>
          <w:rFonts w:asciiTheme="minorHAnsi" w:eastAsiaTheme="minorEastAsia" w:hAnsiTheme="minorHAnsi" w:cstheme="minorBidi"/>
          <w:b w:val="0"/>
          <w:bCs w:val="0"/>
          <w:color w:val="000000" w:themeColor="text1"/>
          <w:sz w:val="22"/>
          <w:szCs w:val="22"/>
          <w:rtl/>
        </w:rPr>
      </w:pPr>
      <w:hyperlink w:anchor="_Toc275128059" w:history="1">
        <w:r w:rsidR="00EF7221" w:rsidRPr="001F3648">
          <w:rPr>
            <w:rStyle w:val="Hyperlink"/>
            <w:rFonts w:hint="eastAsia"/>
            <w:color w:val="000000" w:themeColor="text1"/>
            <w:u w:val="none"/>
            <w:rtl/>
          </w:rPr>
          <w:t>المجموعة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الأولى</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روايات</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البلوغ</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والمؤاخذة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في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تسع</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سنين</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Toc275128059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296</w:t>
        </w:r>
        <w:r w:rsidRPr="001F3648">
          <w:rPr>
            <w:webHidden/>
            <w:color w:val="000000" w:themeColor="text1"/>
            <w:rtl/>
          </w:rPr>
          <w:fldChar w:fldCharType="end"/>
        </w:r>
      </w:hyperlink>
    </w:p>
    <w:p w:rsidR="00EF7221" w:rsidRPr="001F3648" w:rsidRDefault="00A6422F" w:rsidP="0008530B">
      <w:pPr>
        <w:pStyle w:val="TOC5"/>
        <w:spacing w:line="204" w:lineRule="auto"/>
        <w:rPr>
          <w:rFonts w:asciiTheme="minorHAnsi" w:eastAsiaTheme="minorEastAsia" w:hAnsiTheme="minorHAnsi" w:cstheme="minorBidi"/>
          <w:b w:val="0"/>
          <w:bCs w:val="0"/>
          <w:color w:val="000000" w:themeColor="text1"/>
          <w:sz w:val="22"/>
          <w:szCs w:val="22"/>
          <w:rtl/>
        </w:rPr>
      </w:pPr>
      <w:hyperlink w:anchor="_Toc275128060" w:history="1">
        <w:r w:rsidR="00EF7221" w:rsidRPr="001F3648">
          <w:rPr>
            <w:rStyle w:val="Hyperlink"/>
            <w:rFonts w:hint="eastAsia"/>
            <w:color w:val="000000" w:themeColor="text1"/>
            <w:u w:val="none"/>
            <w:rtl/>
          </w:rPr>
          <w:t>محاولة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للدفاع</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عن</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ضعف</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سند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المجموعة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الأولى</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Toc275128060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303</w:t>
        </w:r>
        <w:r w:rsidRPr="001F3648">
          <w:rPr>
            <w:webHidden/>
            <w:color w:val="000000" w:themeColor="text1"/>
            <w:rtl/>
          </w:rPr>
          <w:fldChar w:fldCharType="end"/>
        </w:r>
      </w:hyperlink>
    </w:p>
    <w:p w:rsidR="00EF7221" w:rsidRPr="001F3648" w:rsidRDefault="00A6422F" w:rsidP="0008530B">
      <w:pPr>
        <w:pStyle w:val="TOC5"/>
        <w:spacing w:line="204" w:lineRule="auto"/>
        <w:rPr>
          <w:rFonts w:asciiTheme="minorHAnsi" w:eastAsiaTheme="minorEastAsia" w:hAnsiTheme="minorHAnsi" w:cstheme="minorBidi"/>
          <w:b w:val="0"/>
          <w:bCs w:val="0"/>
          <w:color w:val="000000" w:themeColor="text1"/>
          <w:sz w:val="22"/>
          <w:szCs w:val="22"/>
          <w:rtl/>
        </w:rPr>
      </w:pPr>
      <w:hyperlink w:anchor="_Toc275128061" w:history="1">
        <w:r w:rsidR="00EF7221" w:rsidRPr="001F3648">
          <w:rPr>
            <w:rStyle w:val="Hyperlink"/>
            <w:rFonts w:hint="eastAsia"/>
            <w:color w:val="000000" w:themeColor="text1"/>
            <w:u w:val="none"/>
            <w:rtl/>
          </w:rPr>
          <w:t>الجواب</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العام</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على</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روايات</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البلوغ</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بالتسع</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Toc275128061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303</w:t>
        </w:r>
        <w:r w:rsidRPr="001F3648">
          <w:rPr>
            <w:webHidden/>
            <w:color w:val="000000" w:themeColor="text1"/>
            <w:rtl/>
          </w:rPr>
          <w:fldChar w:fldCharType="end"/>
        </w:r>
      </w:hyperlink>
    </w:p>
    <w:p w:rsidR="00EF7221" w:rsidRPr="001F3648" w:rsidRDefault="00A6422F" w:rsidP="0008530B">
      <w:pPr>
        <w:pStyle w:val="TOC5"/>
        <w:spacing w:line="204" w:lineRule="auto"/>
        <w:rPr>
          <w:rFonts w:asciiTheme="minorHAnsi" w:eastAsiaTheme="minorEastAsia" w:hAnsiTheme="minorHAnsi" w:cstheme="minorBidi"/>
          <w:b w:val="0"/>
          <w:bCs w:val="0"/>
          <w:color w:val="000000" w:themeColor="text1"/>
          <w:sz w:val="22"/>
          <w:szCs w:val="22"/>
          <w:rtl/>
        </w:rPr>
      </w:pPr>
      <w:hyperlink w:anchor="_Toc275128062" w:history="1">
        <w:r w:rsidR="00EF7221" w:rsidRPr="001F3648">
          <w:rPr>
            <w:rStyle w:val="Hyperlink"/>
            <w:rFonts w:hint="eastAsia"/>
            <w:color w:val="000000" w:themeColor="text1"/>
            <w:u w:val="none"/>
            <w:rtl/>
          </w:rPr>
          <w:t>المجموعة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الثانية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روايات</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عدم</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جواز</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الدخول</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قبل</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سنّ</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التسع</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Toc275128062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307</w:t>
        </w:r>
        <w:r w:rsidRPr="001F3648">
          <w:rPr>
            <w:webHidden/>
            <w:color w:val="000000" w:themeColor="text1"/>
            <w:rtl/>
          </w:rPr>
          <w:fldChar w:fldCharType="end"/>
        </w:r>
      </w:hyperlink>
    </w:p>
    <w:p w:rsidR="00EF7221" w:rsidRPr="001F3648" w:rsidRDefault="00A6422F" w:rsidP="0008530B">
      <w:pPr>
        <w:pStyle w:val="TOC5"/>
        <w:spacing w:line="204" w:lineRule="auto"/>
        <w:rPr>
          <w:rFonts w:asciiTheme="minorHAnsi" w:eastAsiaTheme="minorEastAsia" w:hAnsiTheme="minorHAnsi" w:cstheme="minorBidi"/>
          <w:b w:val="0"/>
          <w:bCs w:val="0"/>
          <w:color w:val="000000" w:themeColor="text1"/>
          <w:sz w:val="22"/>
          <w:szCs w:val="22"/>
          <w:rtl/>
        </w:rPr>
      </w:pPr>
      <w:hyperlink w:anchor="_Toc275128063" w:history="1">
        <w:r w:rsidR="00EF7221" w:rsidRPr="001F3648">
          <w:rPr>
            <w:rStyle w:val="Hyperlink"/>
            <w:rFonts w:hint="eastAsia"/>
            <w:color w:val="000000" w:themeColor="text1"/>
            <w:u w:val="none"/>
            <w:rtl/>
          </w:rPr>
          <w:t>المجموعة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الثالثة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أخبار</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العِدّة</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Toc275128063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310</w:t>
        </w:r>
        <w:r w:rsidRPr="001F3648">
          <w:rPr>
            <w:webHidden/>
            <w:color w:val="000000" w:themeColor="text1"/>
            <w:rtl/>
          </w:rPr>
          <w:fldChar w:fldCharType="end"/>
        </w:r>
      </w:hyperlink>
    </w:p>
    <w:p w:rsidR="00EF7221" w:rsidRPr="001F3648" w:rsidRDefault="00A6422F" w:rsidP="0008530B">
      <w:pPr>
        <w:pStyle w:val="TOC4"/>
        <w:spacing w:line="204" w:lineRule="auto"/>
        <w:rPr>
          <w:rFonts w:asciiTheme="minorHAnsi" w:eastAsiaTheme="minorEastAsia" w:hAnsiTheme="minorHAnsi" w:cstheme="minorBidi"/>
          <w:noProof/>
          <w:color w:val="000000" w:themeColor="text1"/>
          <w:sz w:val="22"/>
          <w:szCs w:val="22"/>
          <w:rtl/>
        </w:rPr>
      </w:pPr>
      <w:hyperlink w:anchor="_Toc275128064" w:history="1">
        <w:r w:rsidR="00EF7221" w:rsidRPr="001F3648">
          <w:rPr>
            <w:rStyle w:val="Hyperlink"/>
            <w:rFonts w:hint="eastAsia"/>
            <w:noProof/>
            <w:color w:val="000000" w:themeColor="text1"/>
            <w:u w:val="none"/>
            <w:rtl/>
          </w:rPr>
          <w:t>نتيجة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البحث</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في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روايات</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البلوغ</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بالتسع</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سنين</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Toc275128064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312</w:t>
        </w:r>
        <w:r w:rsidRPr="001F3648">
          <w:rPr>
            <w:noProof/>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65" w:history="1">
        <w:r w:rsidR="00EF7221" w:rsidRPr="001F3648">
          <w:rPr>
            <w:rStyle w:val="Hyperlink"/>
            <w:rFonts w:hint="eastAsia"/>
            <w:color w:val="000000" w:themeColor="text1"/>
            <w:sz w:val="24"/>
            <w:szCs w:val="28"/>
            <w:u w:val="none"/>
            <w:rtl/>
          </w:rPr>
          <w:t>نظرية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بلوغ</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الأنثى</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بعشر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سنين،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وقفة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نقديّة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Toc275128065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312</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66" w:history="1">
        <w:r w:rsidR="00EF7221" w:rsidRPr="001F3648">
          <w:rPr>
            <w:rStyle w:val="Hyperlink"/>
            <w:rFonts w:hint="eastAsia"/>
            <w:color w:val="000000" w:themeColor="text1"/>
            <w:sz w:val="24"/>
            <w:szCs w:val="28"/>
            <w:u w:val="none"/>
            <w:rtl/>
          </w:rPr>
          <w:t>النظرية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المختارة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سنّ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بلوغ</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المرأة،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إتمام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ثلاث</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عشرة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سنة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Toc275128066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313</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67" w:history="1">
        <w:r w:rsidR="00EF7221" w:rsidRPr="001F3648">
          <w:rPr>
            <w:rStyle w:val="Hyperlink"/>
            <w:rFonts w:hint="eastAsia"/>
            <w:color w:val="000000" w:themeColor="text1"/>
            <w:sz w:val="24"/>
            <w:szCs w:val="28"/>
            <w:u w:val="none"/>
            <w:rtl/>
          </w:rPr>
          <w:t>نتيجة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البحث</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بلوغ</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الأنثى</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Toc275128067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315</w:t>
        </w:r>
        <w:r w:rsidRPr="001F3648">
          <w:rPr>
            <w:webHidden/>
            <w:rtl/>
          </w:rPr>
          <w:fldChar w:fldCharType="end"/>
        </w:r>
      </w:hyperlink>
    </w:p>
    <w:p w:rsidR="00EF7221" w:rsidRPr="001F3648" w:rsidRDefault="00A6422F" w:rsidP="00B956C2">
      <w:pPr>
        <w:pStyle w:val="TOC1"/>
        <w:spacing w:line="204" w:lineRule="auto"/>
        <w:rPr>
          <w:rFonts w:asciiTheme="minorHAnsi" w:eastAsiaTheme="minorEastAsia" w:hAnsiTheme="minorHAnsi" w:cstheme="minorBidi"/>
          <w:color w:val="000000" w:themeColor="text1"/>
          <w:sz w:val="22"/>
          <w:szCs w:val="22"/>
          <w:rtl/>
          <w:lang w:eastAsia="en-US"/>
        </w:rPr>
      </w:pPr>
      <w:hyperlink w:anchor="_Toc275128068" w:history="1">
        <w:r w:rsidR="00EF7221" w:rsidRPr="001F3648">
          <w:rPr>
            <w:rStyle w:val="Hyperlink"/>
            <w:rFonts w:hint="eastAsia"/>
            <w:color w:val="000000" w:themeColor="text1"/>
            <w:u w:val="none"/>
            <w:rtl/>
          </w:rPr>
          <w:t>الزواج</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العرفي</w:t>
        </w:r>
      </w:hyperlink>
      <w:r w:rsidR="00090BFD" w:rsidRPr="001F3648">
        <w:rPr>
          <w:rStyle w:val="Hyperlink"/>
          <w:rFonts w:hint="cs"/>
          <w:color w:val="000000" w:themeColor="text1"/>
          <w:u w:val="none"/>
          <w:rtl/>
        </w:rPr>
        <w:t xml:space="preserve"> </w:t>
      </w:r>
      <w:hyperlink w:anchor="_Toc275128069" w:history="1">
        <w:r w:rsidR="00EF7221" w:rsidRPr="001F3648">
          <w:rPr>
            <w:rStyle w:val="Hyperlink"/>
            <w:rFonts w:hint="eastAsia"/>
            <w:color w:val="000000" w:themeColor="text1"/>
            <w:u w:val="none"/>
            <w:rtl/>
          </w:rPr>
          <w:t>في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الشريعة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والقانون</w:t>
        </w:r>
        <w:r w:rsidR="00EF7221" w:rsidRPr="001F3648">
          <w:rPr>
            <w:rFonts w:ascii="Calibri" w:eastAsia="Times New Roman" w:hAnsi="Calibri" w:cs="Mosawi"/>
            <w:webHidden/>
            <w:color w:val="000000" w:themeColor="text1"/>
            <w:sz w:val="22"/>
            <w:szCs w:val="26"/>
            <w:rtl/>
            <w:lang w:eastAsia="en-US"/>
          </w:rPr>
          <w:tab/>
        </w:r>
        <w:r w:rsidRPr="001F3648">
          <w:rPr>
            <w:rFonts w:ascii="Calibri" w:eastAsia="Times New Roman" w:hAnsi="Calibri" w:cs="Mosawi"/>
            <w:webHidden/>
            <w:color w:val="000000" w:themeColor="text1"/>
            <w:sz w:val="22"/>
            <w:szCs w:val="26"/>
            <w:rtl/>
            <w:lang w:eastAsia="en-US"/>
          </w:rPr>
          <w:fldChar w:fldCharType="begin"/>
        </w:r>
        <w:r w:rsidR="00EF7221" w:rsidRPr="001F3648">
          <w:rPr>
            <w:rFonts w:ascii="Calibri" w:eastAsia="Times New Roman" w:hAnsi="Calibri" w:cs="Mosawi"/>
            <w:webHidden/>
            <w:color w:val="000000" w:themeColor="text1"/>
            <w:sz w:val="22"/>
            <w:szCs w:val="26"/>
            <w:rtl/>
            <w:lang w:eastAsia="en-US"/>
          </w:rPr>
          <w:instrText xml:space="preserve"> </w:instrText>
        </w:r>
        <w:r w:rsidR="00EF7221" w:rsidRPr="001F3648">
          <w:rPr>
            <w:rFonts w:ascii="Calibri" w:eastAsia="Times New Roman" w:hAnsi="Calibri" w:cs="Mosawi"/>
            <w:webHidden/>
            <w:color w:val="000000" w:themeColor="text1"/>
            <w:sz w:val="22"/>
            <w:szCs w:val="26"/>
            <w:lang w:eastAsia="en-US"/>
          </w:rPr>
          <w:instrText>PAGEREF</w:instrText>
        </w:r>
        <w:r w:rsidR="00EF7221" w:rsidRPr="001F3648">
          <w:rPr>
            <w:rFonts w:ascii="Calibri" w:eastAsia="Times New Roman" w:hAnsi="Calibri" w:cs="Mosawi"/>
            <w:webHidden/>
            <w:color w:val="000000" w:themeColor="text1"/>
            <w:sz w:val="22"/>
            <w:szCs w:val="26"/>
            <w:rtl/>
            <w:lang w:eastAsia="en-US"/>
          </w:rPr>
          <w:instrText xml:space="preserve"> _</w:instrText>
        </w:r>
        <w:r w:rsidR="00EF7221" w:rsidRPr="001F3648">
          <w:rPr>
            <w:rFonts w:ascii="Calibri" w:eastAsia="Times New Roman" w:hAnsi="Calibri" w:cs="Mosawi"/>
            <w:webHidden/>
            <w:color w:val="000000" w:themeColor="text1"/>
            <w:sz w:val="22"/>
            <w:szCs w:val="26"/>
            <w:lang w:eastAsia="en-US"/>
          </w:rPr>
          <w:instrText>Toc275128069 \h</w:instrText>
        </w:r>
        <w:r w:rsidR="00EF7221" w:rsidRPr="001F3648">
          <w:rPr>
            <w:rFonts w:ascii="Calibri" w:eastAsia="Times New Roman" w:hAnsi="Calibri" w:cs="Mosawi"/>
            <w:webHidden/>
            <w:color w:val="000000" w:themeColor="text1"/>
            <w:sz w:val="22"/>
            <w:szCs w:val="26"/>
            <w:rtl/>
            <w:lang w:eastAsia="en-US"/>
          </w:rPr>
          <w:instrText xml:space="preserve"> </w:instrText>
        </w:r>
        <w:r w:rsidRPr="001F3648">
          <w:rPr>
            <w:rFonts w:ascii="Calibri" w:eastAsia="Times New Roman" w:hAnsi="Calibri" w:cs="Mosawi"/>
            <w:webHidden/>
            <w:color w:val="000000" w:themeColor="text1"/>
            <w:sz w:val="22"/>
            <w:szCs w:val="26"/>
            <w:rtl/>
            <w:lang w:eastAsia="en-US"/>
          </w:rPr>
        </w:r>
        <w:r w:rsidRPr="001F3648">
          <w:rPr>
            <w:rFonts w:ascii="Calibri" w:eastAsia="Times New Roman" w:hAnsi="Calibri" w:cs="Mosawi"/>
            <w:webHidden/>
            <w:color w:val="000000" w:themeColor="text1"/>
            <w:sz w:val="22"/>
            <w:szCs w:val="26"/>
            <w:rtl/>
            <w:lang w:eastAsia="en-US"/>
          </w:rPr>
          <w:fldChar w:fldCharType="separate"/>
        </w:r>
        <w:r w:rsidR="0071680A">
          <w:rPr>
            <w:rFonts w:ascii="Calibri" w:eastAsia="Times New Roman" w:hAnsi="Calibri" w:cs="Mosawi"/>
            <w:webHidden/>
            <w:color w:val="000000" w:themeColor="text1"/>
            <w:sz w:val="22"/>
            <w:szCs w:val="26"/>
            <w:rtl/>
            <w:lang w:eastAsia="en-US"/>
          </w:rPr>
          <w:t>317</w:t>
        </w:r>
        <w:r w:rsidRPr="001F3648">
          <w:rPr>
            <w:rFonts w:ascii="Calibri" w:eastAsia="Times New Roman" w:hAnsi="Calibri" w:cs="Mosawi"/>
            <w:webHidden/>
            <w:color w:val="000000" w:themeColor="text1"/>
            <w:sz w:val="22"/>
            <w:szCs w:val="26"/>
            <w:rtl/>
            <w:lang w:eastAsia="en-US"/>
          </w:rPr>
          <w:fldChar w:fldCharType="end"/>
        </w:r>
      </w:hyperlink>
    </w:p>
    <w:p w:rsidR="00EF7221" w:rsidRPr="001F3648" w:rsidRDefault="00A6422F" w:rsidP="0008530B">
      <w:pPr>
        <w:pStyle w:val="TOC6"/>
        <w:spacing w:line="204" w:lineRule="auto"/>
        <w:rPr>
          <w:rFonts w:asciiTheme="minorHAnsi" w:eastAsiaTheme="minorEastAsia" w:hAnsiTheme="minorHAnsi" w:cstheme="minorBidi"/>
          <w:color w:val="000000" w:themeColor="text1"/>
          <w:szCs w:val="22"/>
          <w:rtl/>
        </w:rPr>
      </w:pPr>
      <w:hyperlink w:anchor="_Toc275128070" w:history="1">
        <w:r w:rsidR="00EF7221" w:rsidRPr="001F3648">
          <w:rPr>
            <w:rStyle w:val="Hyperlink"/>
            <w:rFonts w:hint="eastAsia"/>
            <w:color w:val="000000" w:themeColor="text1"/>
            <w:u w:val="none"/>
            <w:rtl/>
          </w:rPr>
          <w:t>السيد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مصطفى</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أحمد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أبو</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الخير</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Toc275128070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317</w:t>
        </w:r>
        <w:r w:rsidRPr="001F3648">
          <w:rPr>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71" w:history="1">
        <w:r w:rsidR="00EF7221" w:rsidRPr="001F3648">
          <w:rPr>
            <w:rStyle w:val="Hyperlink"/>
            <w:rFonts w:hint="eastAsia"/>
            <w:color w:val="000000" w:themeColor="text1"/>
            <w:sz w:val="24"/>
            <w:szCs w:val="28"/>
            <w:u w:val="none"/>
            <w:rtl/>
          </w:rPr>
          <w:t>مقدمة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Toc275128071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317</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72" w:history="1">
        <w:r w:rsidR="00EF7221" w:rsidRPr="001F3648">
          <w:rPr>
            <w:rStyle w:val="Hyperlink"/>
            <w:rFonts w:hint="eastAsia"/>
            <w:color w:val="000000" w:themeColor="text1"/>
            <w:sz w:val="24"/>
            <w:szCs w:val="28"/>
            <w:u w:val="none"/>
            <w:rtl/>
          </w:rPr>
          <w:t>المبحث</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الأول</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الزواج</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الشريعة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الإسلامية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Toc275128072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320</w:t>
        </w:r>
        <w:r w:rsidRPr="001F3648">
          <w:rPr>
            <w:webHidden/>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73" w:history="1">
        <w:r w:rsidR="00EF7221" w:rsidRPr="001F3648">
          <w:rPr>
            <w:rStyle w:val="Hyperlink"/>
            <w:rFonts w:hint="eastAsia"/>
            <w:noProof/>
            <w:color w:val="000000" w:themeColor="text1"/>
            <w:u w:val="none"/>
            <w:rtl/>
          </w:rPr>
          <w:t>أولاً</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تعريف</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الزواج</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Toc275128073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320</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74" w:history="1">
        <w:r w:rsidR="00EF7221" w:rsidRPr="001F3648">
          <w:rPr>
            <w:rStyle w:val="Hyperlink"/>
            <w:rFonts w:hint="eastAsia"/>
            <w:noProof/>
            <w:color w:val="000000" w:themeColor="text1"/>
            <w:u w:val="none"/>
            <w:rtl/>
          </w:rPr>
          <w:t>تعريف</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عقد</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الزواج</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عند</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الفقهاء</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Toc275128074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320</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75" w:history="1">
        <w:r w:rsidR="00EF7221" w:rsidRPr="001F3648">
          <w:rPr>
            <w:rStyle w:val="Hyperlink"/>
            <w:rFonts w:hint="eastAsia"/>
            <w:noProof/>
            <w:color w:val="000000" w:themeColor="text1"/>
            <w:u w:val="none"/>
            <w:rtl/>
          </w:rPr>
          <w:t>ثانياً</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حكمة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الزواج</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Toc275128075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321</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76" w:history="1">
        <w:r w:rsidR="00EF7221" w:rsidRPr="001F3648">
          <w:rPr>
            <w:rStyle w:val="Hyperlink"/>
            <w:rFonts w:hint="eastAsia"/>
            <w:noProof/>
            <w:color w:val="000000" w:themeColor="text1"/>
            <w:u w:val="none"/>
            <w:rtl/>
          </w:rPr>
          <w:t>ثالثاً</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الترغيب</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في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الزواج</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Toc275128076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321</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77" w:history="1">
        <w:r w:rsidR="00EF7221" w:rsidRPr="001F3648">
          <w:rPr>
            <w:rStyle w:val="Hyperlink"/>
            <w:rFonts w:hint="eastAsia"/>
            <w:noProof/>
            <w:color w:val="000000" w:themeColor="text1"/>
            <w:u w:val="none"/>
            <w:rtl/>
          </w:rPr>
          <w:t>رابعاً</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فوائد</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الزواج</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Toc275128077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322</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78" w:history="1">
        <w:r w:rsidR="00EF7221" w:rsidRPr="001F3648">
          <w:rPr>
            <w:rStyle w:val="Hyperlink"/>
            <w:rFonts w:hint="eastAsia"/>
            <w:noProof/>
            <w:color w:val="000000" w:themeColor="text1"/>
            <w:u w:val="none"/>
            <w:rtl/>
          </w:rPr>
          <w:t>خامساً</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أركان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عقد</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الزواج</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Toc275128078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323</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79" w:history="1">
        <w:r w:rsidR="00EF7221" w:rsidRPr="001F3648">
          <w:rPr>
            <w:rStyle w:val="Hyperlink"/>
            <w:rFonts w:hint="eastAsia"/>
            <w:noProof/>
            <w:color w:val="000000" w:themeColor="text1"/>
            <w:u w:val="none"/>
            <w:rtl/>
          </w:rPr>
          <w:t>أدلّة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عدم</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شرعية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تزويج</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المرأة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نفسها</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Toc275128079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327</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80" w:history="1">
        <w:r w:rsidR="00EF7221" w:rsidRPr="001F3648">
          <w:rPr>
            <w:rStyle w:val="Hyperlink"/>
            <w:rFonts w:hint="eastAsia"/>
            <w:noProof/>
            <w:color w:val="000000" w:themeColor="text1"/>
            <w:u w:val="none"/>
            <w:rtl/>
          </w:rPr>
          <w:t>من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تجوز</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ولايته</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Toc275128080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329</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81" w:history="1">
        <w:r w:rsidR="00EF7221" w:rsidRPr="001F3648">
          <w:rPr>
            <w:rStyle w:val="Hyperlink"/>
            <w:rFonts w:hint="eastAsia"/>
            <w:noProof/>
            <w:color w:val="000000" w:themeColor="text1"/>
            <w:u w:val="none"/>
            <w:rtl/>
          </w:rPr>
          <w:t>الكفاءة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في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الزواج</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Toc275128081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331</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82" w:history="1">
        <w:r w:rsidR="00EF7221" w:rsidRPr="001F3648">
          <w:rPr>
            <w:rStyle w:val="Hyperlink"/>
            <w:rFonts w:hint="eastAsia"/>
            <w:noProof/>
            <w:color w:val="000000" w:themeColor="text1"/>
            <w:u w:val="none"/>
            <w:rtl/>
          </w:rPr>
          <w:t>شرط</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مستحدث</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للزواج</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في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القانون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الوضعي،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شرط</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التوثيق</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Toc275128082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331</w:t>
        </w:r>
        <w:r w:rsidRPr="001F3648">
          <w:rPr>
            <w:noProof/>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83" w:history="1">
        <w:r w:rsidR="00EF7221" w:rsidRPr="001F3648">
          <w:rPr>
            <w:rStyle w:val="Hyperlink"/>
            <w:rFonts w:hint="eastAsia"/>
            <w:color w:val="000000" w:themeColor="text1"/>
            <w:sz w:val="24"/>
            <w:szCs w:val="28"/>
            <w:u w:val="none"/>
            <w:rtl/>
          </w:rPr>
          <w:t>المبحث</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الثاني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أنكحة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مختلف</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عليها</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Toc275128083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332</w:t>
        </w:r>
        <w:r w:rsidRPr="001F3648">
          <w:rPr>
            <w:webHidden/>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84" w:history="1">
        <w:r w:rsidR="00EF7221" w:rsidRPr="001F3648">
          <w:rPr>
            <w:rStyle w:val="Hyperlink"/>
            <w:rFonts w:hint="eastAsia"/>
            <w:noProof/>
            <w:color w:val="000000" w:themeColor="text1"/>
            <w:u w:val="none"/>
            <w:rtl/>
          </w:rPr>
          <w:t>أولاًً</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زواج</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المسيار</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Toc275128084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332</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85" w:history="1">
        <w:r w:rsidR="00EF7221" w:rsidRPr="001F3648">
          <w:rPr>
            <w:rStyle w:val="Hyperlink"/>
            <w:rFonts w:hint="eastAsia"/>
            <w:noProof/>
            <w:color w:val="000000" w:themeColor="text1"/>
            <w:u w:val="none"/>
            <w:rtl/>
          </w:rPr>
          <w:t>ثانياً</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نكاح</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الشغار</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Toc275128085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335</w:t>
        </w:r>
        <w:r w:rsidRPr="001F3648">
          <w:rPr>
            <w:noProof/>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86" w:history="1">
        <w:r w:rsidR="00EF7221" w:rsidRPr="001F3648">
          <w:rPr>
            <w:rStyle w:val="Hyperlink"/>
            <w:rFonts w:hint="eastAsia"/>
            <w:color w:val="000000" w:themeColor="text1"/>
            <w:sz w:val="24"/>
            <w:szCs w:val="28"/>
            <w:u w:val="none"/>
            <w:rtl/>
          </w:rPr>
          <w:t>المبحث</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الثالث</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حكم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الزواج</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العرفي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الشريعة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الإسلامية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Toc275128086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335</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87" w:history="1">
        <w:r w:rsidR="00EF7221" w:rsidRPr="001F3648">
          <w:rPr>
            <w:rStyle w:val="Hyperlink"/>
            <w:rFonts w:hint="eastAsia"/>
            <w:color w:val="000000" w:themeColor="text1"/>
            <w:sz w:val="24"/>
            <w:szCs w:val="28"/>
            <w:u w:val="none"/>
            <w:rtl/>
          </w:rPr>
          <w:t>حقيقة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الزواج</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العرفي</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Toc275128087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335</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88" w:history="1">
        <w:r w:rsidR="00EF7221" w:rsidRPr="001F3648">
          <w:rPr>
            <w:rStyle w:val="Hyperlink"/>
            <w:rFonts w:hint="eastAsia"/>
            <w:color w:val="000000" w:themeColor="text1"/>
            <w:sz w:val="24"/>
            <w:szCs w:val="28"/>
            <w:u w:val="none"/>
            <w:rtl/>
          </w:rPr>
          <w:t>الزواج</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العرفي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القانون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المصري</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Toc275128088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338</w:t>
        </w:r>
        <w:r w:rsidRPr="001F3648">
          <w:rPr>
            <w:webHidden/>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89" w:history="1">
        <w:r w:rsidR="00EF7221" w:rsidRPr="001F3648">
          <w:rPr>
            <w:rStyle w:val="Hyperlink"/>
            <w:rFonts w:hint="eastAsia"/>
            <w:noProof/>
            <w:color w:val="000000" w:themeColor="text1"/>
            <w:u w:val="none"/>
            <w:rtl/>
          </w:rPr>
          <w:t>المبحث</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الأول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الزواج</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العرفي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في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قوانين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الأحوال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الشخصية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حتى</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عام</w:t>
        </w:r>
        <w:r w:rsidR="00EF7221" w:rsidRPr="001F3648">
          <w:rPr>
            <w:rStyle w:val="Hyperlink"/>
            <w:noProof/>
            <w:color w:val="000000" w:themeColor="text1"/>
            <w:u w:val="none"/>
            <w:rtl/>
          </w:rPr>
          <w:t xml:space="preserve"> 1999</w:t>
        </w:r>
        <w:r w:rsidR="00EF7221" w:rsidRPr="001F3648">
          <w:rPr>
            <w:rStyle w:val="Hyperlink"/>
            <w:rFonts w:hint="eastAsia"/>
            <w:noProof/>
            <w:color w:val="000000" w:themeColor="text1"/>
            <w:u w:val="none"/>
            <w:rtl/>
          </w:rPr>
          <w:t>م</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Toc275128089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338</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90" w:history="1">
        <w:r w:rsidR="00EF7221" w:rsidRPr="001F3648">
          <w:rPr>
            <w:rStyle w:val="Hyperlink"/>
            <w:rFonts w:hint="eastAsia"/>
            <w:noProof/>
            <w:color w:val="000000" w:themeColor="text1"/>
            <w:u w:val="none"/>
            <w:rtl/>
          </w:rPr>
          <w:t>المبحث</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الثاني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الزواج</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العرفي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في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القانون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رقم</w:t>
        </w:r>
        <w:r w:rsidR="00EF7221" w:rsidRPr="001F3648">
          <w:rPr>
            <w:rStyle w:val="Hyperlink"/>
            <w:noProof/>
            <w:color w:val="000000" w:themeColor="text1"/>
            <w:u w:val="none"/>
            <w:rtl/>
          </w:rPr>
          <w:t xml:space="preserve"> (1) </w:t>
        </w:r>
        <w:r w:rsidR="00EF7221" w:rsidRPr="001F3648">
          <w:rPr>
            <w:rStyle w:val="Hyperlink"/>
            <w:rFonts w:hint="eastAsia"/>
            <w:noProof/>
            <w:color w:val="000000" w:themeColor="text1"/>
            <w:u w:val="none"/>
            <w:rtl/>
          </w:rPr>
          <w:t>لسنة</w:t>
        </w:r>
        <w:r w:rsidR="00EF7221" w:rsidRPr="001F3648">
          <w:rPr>
            <w:rStyle w:val="Hyperlink"/>
            <w:noProof/>
            <w:color w:val="000000" w:themeColor="text1"/>
            <w:u w:val="none"/>
            <w:rtl/>
          </w:rPr>
          <w:t xml:space="preserve"> 2000</w:t>
        </w:r>
        <w:r w:rsidR="00EF7221" w:rsidRPr="001F3648">
          <w:rPr>
            <w:rStyle w:val="Hyperlink"/>
            <w:rFonts w:hint="eastAsia"/>
            <w:noProof/>
            <w:color w:val="000000" w:themeColor="text1"/>
            <w:u w:val="none"/>
            <w:rtl/>
          </w:rPr>
          <w:t>م</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Toc275128090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342</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091" w:history="1">
        <w:r w:rsidR="00EF7221" w:rsidRPr="001F3648">
          <w:rPr>
            <w:rStyle w:val="Hyperlink"/>
            <w:rFonts w:hint="eastAsia"/>
            <w:noProof/>
            <w:color w:val="000000" w:themeColor="text1"/>
            <w:u w:val="none"/>
            <w:rtl/>
          </w:rPr>
          <w:t>الاتجاهات</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والمواقف</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من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المادة</w:t>
        </w:r>
        <w:r w:rsidR="00EF7221" w:rsidRPr="001F3648">
          <w:rPr>
            <w:rStyle w:val="Hyperlink"/>
            <w:noProof/>
            <w:color w:val="000000" w:themeColor="text1"/>
            <w:u w:val="none"/>
            <w:rtl/>
          </w:rPr>
          <w:t xml:space="preserve"> (17/2)</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Toc275128091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344</w:t>
        </w:r>
        <w:r w:rsidRPr="001F3648">
          <w:rPr>
            <w:noProof/>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92" w:history="1">
        <w:r w:rsidR="00EF7221" w:rsidRPr="001F3648">
          <w:rPr>
            <w:rStyle w:val="Hyperlink"/>
            <w:rFonts w:hint="eastAsia"/>
            <w:color w:val="000000" w:themeColor="text1"/>
            <w:sz w:val="24"/>
            <w:szCs w:val="28"/>
            <w:u w:val="none"/>
            <w:rtl/>
          </w:rPr>
          <w:t>خاتمة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البحث</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Toc275128092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350</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93" w:history="1">
        <w:r w:rsidR="00EF7221" w:rsidRPr="001F3648">
          <w:rPr>
            <w:rStyle w:val="Hyperlink"/>
            <w:rFonts w:hint="eastAsia"/>
            <w:color w:val="000000" w:themeColor="text1"/>
            <w:sz w:val="24"/>
            <w:szCs w:val="28"/>
            <w:u w:val="none"/>
            <w:rtl/>
          </w:rPr>
          <w:t>أولاً</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الشريعة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الإسلامية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Toc275128093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350</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94" w:history="1">
        <w:r w:rsidR="00EF7221" w:rsidRPr="001F3648">
          <w:rPr>
            <w:rStyle w:val="Hyperlink"/>
            <w:rFonts w:hint="eastAsia"/>
            <w:color w:val="000000" w:themeColor="text1"/>
            <w:sz w:val="24"/>
            <w:szCs w:val="28"/>
            <w:u w:val="none"/>
            <w:rtl/>
          </w:rPr>
          <w:t>ثانياً</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القانون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المصري</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Toc275128094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350</w:t>
        </w:r>
        <w:r w:rsidRPr="001F3648">
          <w:rPr>
            <w:webHidden/>
            <w:rtl/>
          </w:rPr>
          <w:fldChar w:fldCharType="end"/>
        </w:r>
      </w:hyperlink>
    </w:p>
    <w:p w:rsidR="00EF7221" w:rsidRPr="001F3648" w:rsidRDefault="00A6422F" w:rsidP="0008530B">
      <w:pPr>
        <w:pStyle w:val="TOC1"/>
        <w:spacing w:line="204" w:lineRule="auto"/>
        <w:rPr>
          <w:rFonts w:asciiTheme="minorHAnsi" w:eastAsiaTheme="minorEastAsia" w:hAnsiTheme="minorHAnsi" w:cstheme="minorBidi"/>
          <w:color w:val="000000" w:themeColor="text1"/>
          <w:sz w:val="22"/>
          <w:szCs w:val="22"/>
          <w:rtl/>
          <w:lang w:eastAsia="en-US"/>
        </w:rPr>
      </w:pPr>
      <w:hyperlink w:anchor="_Toc275128095" w:history="1">
        <w:r w:rsidR="00EF7221" w:rsidRPr="001F3648">
          <w:rPr>
            <w:rStyle w:val="Hyperlink"/>
            <w:rFonts w:hint="eastAsia"/>
            <w:color w:val="000000" w:themeColor="text1"/>
            <w:u w:val="none"/>
            <w:rtl/>
          </w:rPr>
          <w:t>حقوق</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الزّوجة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الجنسيّة</w:t>
        </w:r>
      </w:hyperlink>
      <w:r w:rsidR="00090BFD" w:rsidRPr="001F3648">
        <w:rPr>
          <w:rStyle w:val="Hyperlink"/>
          <w:rFonts w:hint="cs"/>
          <w:color w:val="000000" w:themeColor="text1"/>
          <w:u w:val="none"/>
          <w:rtl/>
        </w:rPr>
        <w:t xml:space="preserve">، </w:t>
      </w:r>
      <w:hyperlink w:anchor="_Toc275128096" w:history="1">
        <w:r w:rsidR="00EF7221" w:rsidRPr="001F3648">
          <w:rPr>
            <w:rStyle w:val="Hyperlink"/>
            <w:rFonts w:hint="eastAsia"/>
            <w:color w:val="000000" w:themeColor="text1"/>
            <w:u w:val="none"/>
            <w:rtl/>
          </w:rPr>
          <w:t>دراسة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فقهية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استدلالية</w:t>
        </w:r>
        <w:r w:rsidR="00EF7221" w:rsidRPr="001F3648">
          <w:rPr>
            <w:rFonts w:ascii="Calibri" w:eastAsia="Times New Roman" w:hAnsi="Calibri" w:cs="Mosawi"/>
            <w:webHidden/>
            <w:color w:val="000000" w:themeColor="text1"/>
            <w:sz w:val="22"/>
            <w:szCs w:val="26"/>
            <w:rtl/>
            <w:lang w:eastAsia="en-US"/>
          </w:rPr>
          <w:tab/>
        </w:r>
        <w:r w:rsidRPr="001F3648">
          <w:rPr>
            <w:rFonts w:ascii="Calibri" w:eastAsia="Times New Roman" w:hAnsi="Calibri" w:cs="Mosawi"/>
            <w:webHidden/>
            <w:color w:val="000000" w:themeColor="text1"/>
            <w:sz w:val="22"/>
            <w:szCs w:val="26"/>
            <w:rtl/>
            <w:lang w:eastAsia="en-US"/>
          </w:rPr>
          <w:fldChar w:fldCharType="begin"/>
        </w:r>
        <w:r w:rsidR="00EF7221" w:rsidRPr="001F3648">
          <w:rPr>
            <w:rFonts w:ascii="Calibri" w:eastAsia="Times New Roman" w:hAnsi="Calibri" w:cs="Mosawi"/>
            <w:webHidden/>
            <w:color w:val="000000" w:themeColor="text1"/>
            <w:sz w:val="22"/>
            <w:szCs w:val="26"/>
            <w:rtl/>
            <w:lang w:eastAsia="en-US"/>
          </w:rPr>
          <w:instrText xml:space="preserve"> </w:instrText>
        </w:r>
        <w:r w:rsidR="00EF7221" w:rsidRPr="001F3648">
          <w:rPr>
            <w:rFonts w:ascii="Calibri" w:eastAsia="Times New Roman" w:hAnsi="Calibri" w:cs="Mosawi"/>
            <w:webHidden/>
            <w:color w:val="000000" w:themeColor="text1"/>
            <w:sz w:val="22"/>
            <w:szCs w:val="26"/>
            <w:lang w:eastAsia="en-US"/>
          </w:rPr>
          <w:instrText>PAGEREF</w:instrText>
        </w:r>
        <w:r w:rsidR="00EF7221" w:rsidRPr="001F3648">
          <w:rPr>
            <w:rFonts w:ascii="Calibri" w:eastAsia="Times New Roman" w:hAnsi="Calibri" w:cs="Mosawi"/>
            <w:webHidden/>
            <w:color w:val="000000" w:themeColor="text1"/>
            <w:sz w:val="22"/>
            <w:szCs w:val="26"/>
            <w:rtl/>
            <w:lang w:eastAsia="en-US"/>
          </w:rPr>
          <w:instrText xml:space="preserve"> _</w:instrText>
        </w:r>
        <w:r w:rsidR="00EF7221" w:rsidRPr="001F3648">
          <w:rPr>
            <w:rFonts w:ascii="Calibri" w:eastAsia="Times New Roman" w:hAnsi="Calibri" w:cs="Mosawi"/>
            <w:webHidden/>
            <w:color w:val="000000" w:themeColor="text1"/>
            <w:sz w:val="22"/>
            <w:szCs w:val="26"/>
            <w:lang w:eastAsia="en-US"/>
          </w:rPr>
          <w:instrText>Toc275128096 \h</w:instrText>
        </w:r>
        <w:r w:rsidR="00EF7221" w:rsidRPr="001F3648">
          <w:rPr>
            <w:rFonts w:ascii="Calibri" w:eastAsia="Times New Roman" w:hAnsi="Calibri" w:cs="Mosawi"/>
            <w:webHidden/>
            <w:color w:val="000000" w:themeColor="text1"/>
            <w:sz w:val="22"/>
            <w:szCs w:val="26"/>
            <w:rtl/>
            <w:lang w:eastAsia="en-US"/>
          </w:rPr>
          <w:instrText xml:space="preserve"> </w:instrText>
        </w:r>
        <w:r w:rsidRPr="001F3648">
          <w:rPr>
            <w:rFonts w:ascii="Calibri" w:eastAsia="Times New Roman" w:hAnsi="Calibri" w:cs="Mosawi"/>
            <w:webHidden/>
            <w:color w:val="000000" w:themeColor="text1"/>
            <w:sz w:val="22"/>
            <w:szCs w:val="26"/>
            <w:rtl/>
            <w:lang w:eastAsia="en-US"/>
          </w:rPr>
        </w:r>
        <w:r w:rsidRPr="001F3648">
          <w:rPr>
            <w:rFonts w:ascii="Calibri" w:eastAsia="Times New Roman" w:hAnsi="Calibri" w:cs="Mosawi"/>
            <w:webHidden/>
            <w:color w:val="000000" w:themeColor="text1"/>
            <w:sz w:val="22"/>
            <w:szCs w:val="26"/>
            <w:rtl/>
            <w:lang w:eastAsia="en-US"/>
          </w:rPr>
          <w:fldChar w:fldCharType="separate"/>
        </w:r>
        <w:r w:rsidR="0071680A">
          <w:rPr>
            <w:rFonts w:ascii="Calibri" w:eastAsia="Times New Roman" w:hAnsi="Calibri" w:cs="Mosawi"/>
            <w:webHidden/>
            <w:color w:val="000000" w:themeColor="text1"/>
            <w:sz w:val="22"/>
            <w:szCs w:val="26"/>
            <w:rtl/>
            <w:lang w:eastAsia="en-US"/>
          </w:rPr>
          <w:t>353</w:t>
        </w:r>
        <w:r w:rsidRPr="001F3648">
          <w:rPr>
            <w:rFonts w:ascii="Calibri" w:eastAsia="Times New Roman" w:hAnsi="Calibri" w:cs="Mosawi"/>
            <w:webHidden/>
            <w:color w:val="000000" w:themeColor="text1"/>
            <w:sz w:val="22"/>
            <w:szCs w:val="26"/>
            <w:rtl/>
            <w:lang w:eastAsia="en-US"/>
          </w:rPr>
          <w:fldChar w:fldCharType="end"/>
        </w:r>
      </w:hyperlink>
    </w:p>
    <w:p w:rsidR="00EF7221" w:rsidRPr="001F3648" w:rsidRDefault="00A6422F" w:rsidP="0008530B">
      <w:pPr>
        <w:pStyle w:val="TOC6"/>
        <w:spacing w:line="204" w:lineRule="auto"/>
        <w:rPr>
          <w:rFonts w:asciiTheme="minorHAnsi" w:eastAsiaTheme="minorEastAsia" w:hAnsiTheme="minorHAnsi" w:cstheme="minorBidi"/>
          <w:color w:val="000000" w:themeColor="text1"/>
          <w:szCs w:val="22"/>
          <w:rtl/>
        </w:rPr>
      </w:pPr>
      <w:hyperlink w:anchor="_Toc275128097" w:history="1">
        <w:r w:rsidR="00EF7221" w:rsidRPr="001F3648">
          <w:rPr>
            <w:rStyle w:val="Hyperlink"/>
            <w:rFonts w:hint="eastAsia"/>
            <w:color w:val="000000" w:themeColor="text1"/>
            <w:u w:val="none"/>
            <w:rtl/>
          </w:rPr>
          <w:t>حيدر</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حب</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الله</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Toc275128097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353</w:t>
        </w:r>
        <w:r w:rsidRPr="001F3648">
          <w:rPr>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98" w:history="1">
        <w:r w:rsidR="00EF7221" w:rsidRPr="001F3648">
          <w:rPr>
            <w:rStyle w:val="Hyperlink"/>
            <w:rFonts w:hint="eastAsia"/>
            <w:color w:val="000000" w:themeColor="text1"/>
            <w:sz w:val="24"/>
            <w:szCs w:val="28"/>
            <w:u w:val="none"/>
            <w:rtl/>
          </w:rPr>
          <w:t>تمهيد</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Toc275128098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353</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099" w:history="1">
        <w:r w:rsidR="00EF7221" w:rsidRPr="001F3648">
          <w:rPr>
            <w:rStyle w:val="Hyperlink"/>
            <w:rFonts w:hint="eastAsia"/>
            <w:color w:val="000000" w:themeColor="text1"/>
            <w:sz w:val="24"/>
            <w:szCs w:val="28"/>
            <w:u w:val="none"/>
            <w:rtl/>
          </w:rPr>
          <w:t>التاريخ</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الفقهي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للمسألة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Toc275128099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354</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00" w:history="1">
        <w:r w:rsidR="00EF7221" w:rsidRPr="001F3648">
          <w:rPr>
            <w:rStyle w:val="Hyperlink"/>
            <w:rFonts w:hint="eastAsia"/>
            <w:color w:val="000000" w:themeColor="text1"/>
            <w:sz w:val="24"/>
            <w:szCs w:val="28"/>
            <w:u w:val="none"/>
            <w:rtl/>
          </w:rPr>
          <w:t>نظريّة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التحديد</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الزماني</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Toc275128100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356</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01" w:history="1">
        <w:r w:rsidR="00EF7221" w:rsidRPr="001F3648">
          <w:rPr>
            <w:rStyle w:val="Hyperlink"/>
            <w:rFonts w:hint="eastAsia"/>
            <w:color w:val="000000" w:themeColor="text1"/>
            <w:sz w:val="24"/>
            <w:szCs w:val="28"/>
            <w:u w:val="none"/>
            <w:rtl/>
          </w:rPr>
          <w:t>أدلّة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نظرية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التجديد</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الزماني</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Toc275128101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357</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02" w:history="1">
        <w:r w:rsidR="00EF7221" w:rsidRPr="001F3648">
          <w:rPr>
            <w:rStyle w:val="Hyperlink"/>
            <w:rFonts w:hint="eastAsia"/>
            <w:color w:val="000000" w:themeColor="text1"/>
            <w:sz w:val="24"/>
            <w:szCs w:val="28"/>
            <w:u w:val="none"/>
            <w:rtl/>
          </w:rPr>
          <w:t>نظرية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المماثلة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والمشابهة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الحق</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Toc275128102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368</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03" w:history="1">
        <w:r w:rsidR="00EF7221" w:rsidRPr="001F3648">
          <w:rPr>
            <w:rStyle w:val="Hyperlink"/>
            <w:rFonts w:hint="eastAsia"/>
            <w:color w:val="000000" w:themeColor="text1"/>
            <w:sz w:val="24"/>
            <w:szCs w:val="28"/>
            <w:u w:val="none"/>
            <w:rtl/>
          </w:rPr>
          <w:t>نتيجة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البحث</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Toc275128103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378</w:t>
        </w:r>
        <w:r w:rsidRPr="001F3648">
          <w:rPr>
            <w:webHidden/>
            <w:rtl/>
          </w:rPr>
          <w:fldChar w:fldCharType="end"/>
        </w:r>
      </w:hyperlink>
    </w:p>
    <w:p w:rsidR="00EF7221" w:rsidRPr="001F3648" w:rsidRDefault="00A6422F" w:rsidP="0008530B">
      <w:pPr>
        <w:pStyle w:val="TOC1"/>
        <w:spacing w:line="204" w:lineRule="auto"/>
        <w:rPr>
          <w:rFonts w:asciiTheme="minorHAnsi" w:eastAsiaTheme="minorEastAsia" w:hAnsiTheme="minorHAnsi" w:cstheme="minorBidi"/>
          <w:color w:val="000000" w:themeColor="text1"/>
          <w:sz w:val="22"/>
          <w:szCs w:val="22"/>
          <w:rtl/>
          <w:lang w:eastAsia="en-US"/>
        </w:rPr>
      </w:pPr>
      <w:hyperlink w:anchor="_Toc275128104" w:history="1">
        <w:r w:rsidR="00EF7221" w:rsidRPr="001F3648">
          <w:rPr>
            <w:rStyle w:val="Hyperlink"/>
            <w:rFonts w:hint="eastAsia"/>
            <w:color w:val="000000" w:themeColor="text1"/>
            <w:u w:val="none"/>
            <w:rtl/>
          </w:rPr>
          <w:t>المهر،</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حدّه</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ومقداره</w:t>
        </w:r>
      </w:hyperlink>
      <w:r w:rsidR="00090BFD" w:rsidRPr="001F3648">
        <w:rPr>
          <w:rStyle w:val="Hyperlink"/>
          <w:rFonts w:hint="cs"/>
          <w:color w:val="000000" w:themeColor="text1"/>
          <w:u w:val="none"/>
          <w:rtl/>
        </w:rPr>
        <w:t xml:space="preserve">، </w:t>
      </w:r>
      <w:hyperlink w:anchor="_Toc275128105" w:history="1">
        <w:r w:rsidR="00EF7221" w:rsidRPr="001F3648">
          <w:rPr>
            <w:rStyle w:val="Hyperlink"/>
            <w:rFonts w:hint="eastAsia"/>
            <w:color w:val="000000" w:themeColor="text1"/>
            <w:u w:val="none"/>
            <w:rtl/>
          </w:rPr>
          <w:t>دراسة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فقهيّة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في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ظاهرة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ارتفاع</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المهور</w:t>
        </w:r>
        <w:r w:rsidR="00EF7221" w:rsidRPr="001F3648">
          <w:rPr>
            <w:rFonts w:ascii="Calibri" w:eastAsia="Times New Roman" w:hAnsi="Calibri" w:cs="Mosawi"/>
            <w:webHidden/>
            <w:color w:val="000000" w:themeColor="text1"/>
            <w:sz w:val="22"/>
            <w:szCs w:val="26"/>
            <w:rtl/>
            <w:lang w:eastAsia="en-US"/>
          </w:rPr>
          <w:tab/>
        </w:r>
        <w:r w:rsidRPr="001F3648">
          <w:rPr>
            <w:rFonts w:ascii="Calibri" w:eastAsia="Times New Roman" w:hAnsi="Calibri" w:cs="Mosawi"/>
            <w:webHidden/>
            <w:color w:val="000000" w:themeColor="text1"/>
            <w:sz w:val="22"/>
            <w:szCs w:val="26"/>
            <w:rtl/>
            <w:lang w:eastAsia="en-US"/>
          </w:rPr>
          <w:fldChar w:fldCharType="begin"/>
        </w:r>
        <w:r w:rsidR="00EF7221" w:rsidRPr="001F3648">
          <w:rPr>
            <w:rFonts w:ascii="Calibri" w:eastAsia="Times New Roman" w:hAnsi="Calibri" w:cs="Mosawi"/>
            <w:webHidden/>
            <w:color w:val="000000" w:themeColor="text1"/>
            <w:sz w:val="22"/>
            <w:szCs w:val="26"/>
            <w:rtl/>
            <w:lang w:eastAsia="en-US"/>
          </w:rPr>
          <w:instrText xml:space="preserve"> </w:instrText>
        </w:r>
        <w:r w:rsidR="00EF7221" w:rsidRPr="001F3648">
          <w:rPr>
            <w:rFonts w:ascii="Calibri" w:eastAsia="Times New Roman" w:hAnsi="Calibri" w:cs="Mosawi"/>
            <w:webHidden/>
            <w:color w:val="000000" w:themeColor="text1"/>
            <w:sz w:val="22"/>
            <w:szCs w:val="26"/>
            <w:lang w:eastAsia="en-US"/>
          </w:rPr>
          <w:instrText>PAGEREF</w:instrText>
        </w:r>
        <w:r w:rsidR="00EF7221" w:rsidRPr="001F3648">
          <w:rPr>
            <w:rFonts w:ascii="Calibri" w:eastAsia="Times New Roman" w:hAnsi="Calibri" w:cs="Mosawi"/>
            <w:webHidden/>
            <w:color w:val="000000" w:themeColor="text1"/>
            <w:sz w:val="22"/>
            <w:szCs w:val="26"/>
            <w:rtl/>
            <w:lang w:eastAsia="en-US"/>
          </w:rPr>
          <w:instrText xml:space="preserve"> _</w:instrText>
        </w:r>
        <w:r w:rsidR="00EF7221" w:rsidRPr="001F3648">
          <w:rPr>
            <w:rFonts w:ascii="Calibri" w:eastAsia="Times New Roman" w:hAnsi="Calibri" w:cs="Mosawi"/>
            <w:webHidden/>
            <w:color w:val="000000" w:themeColor="text1"/>
            <w:sz w:val="22"/>
            <w:szCs w:val="26"/>
            <w:lang w:eastAsia="en-US"/>
          </w:rPr>
          <w:instrText>Toc275128105 \h</w:instrText>
        </w:r>
        <w:r w:rsidR="00EF7221" w:rsidRPr="001F3648">
          <w:rPr>
            <w:rFonts w:ascii="Calibri" w:eastAsia="Times New Roman" w:hAnsi="Calibri" w:cs="Mosawi"/>
            <w:webHidden/>
            <w:color w:val="000000" w:themeColor="text1"/>
            <w:sz w:val="22"/>
            <w:szCs w:val="26"/>
            <w:rtl/>
            <w:lang w:eastAsia="en-US"/>
          </w:rPr>
          <w:instrText xml:space="preserve"> </w:instrText>
        </w:r>
        <w:r w:rsidRPr="001F3648">
          <w:rPr>
            <w:rFonts w:ascii="Calibri" w:eastAsia="Times New Roman" w:hAnsi="Calibri" w:cs="Mosawi"/>
            <w:webHidden/>
            <w:color w:val="000000" w:themeColor="text1"/>
            <w:sz w:val="22"/>
            <w:szCs w:val="26"/>
            <w:rtl/>
            <w:lang w:eastAsia="en-US"/>
          </w:rPr>
        </w:r>
        <w:r w:rsidRPr="001F3648">
          <w:rPr>
            <w:rFonts w:ascii="Calibri" w:eastAsia="Times New Roman" w:hAnsi="Calibri" w:cs="Mosawi"/>
            <w:webHidden/>
            <w:color w:val="000000" w:themeColor="text1"/>
            <w:sz w:val="22"/>
            <w:szCs w:val="26"/>
            <w:rtl/>
            <w:lang w:eastAsia="en-US"/>
          </w:rPr>
          <w:fldChar w:fldCharType="separate"/>
        </w:r>
        <w:r w:rsidR="0071680A">
          <w:rPr>
            <w:rFonts w:ascii="Calibri" w:eastAsia="Times New Roman" w:hAnsi="Calibri" w:cs="Mosawi"/>
            <w:webHidden/>
            <w:color w:val="000000" w:themeColor="text1"/>
            <w:sz w:val="22"/>
            <w:szCs w:val="26"/>
            <w:rtl/>
            <w:lang w:eastAsia="en-US"/>
          </w:rPr>
          <w:t>381</w:t>
        </w:r>
        <w:r w:rsidRPr="001F3648">
          <w:rPr>
            <w:rFonts w:ascii="Calibri" w:eastAsia="Times New Roman" w:hAnsi="Calibri" w:cs="Mosawi"/>
            <w:webHidden/>
            <w:color w:val="000000" w:themeColor="text1"/>
            <w:sz w:val="22"/>
            <w:szCs w:val="26"/>
            <w:rtl/>
            <w:lang w:eastAsia="en-US"/>
          </w:rPr>
          <w:fldChar w:fldCharType="end"/>
        </w:r>
      </w:hyperlink>
    </w:p>
    <w:p w:rsidR="00B956C2" w:rsidRDefault="00A6422F" w:rsidP="00B956C2">
      <w:pPr>
        <w:pStyle w:val="TOC6"/>
        <w:spacing w:line="204" w:lineRule="auto"/>
        <w:rPr>
          <w:rStyle w:val="Hyperlink"/>
          <w:color w:val="000000" w:themeColor="text1"/>
          <w:u w:val="none"/>
          <w:rtl/>
        </w:rPr>
      </w:pPr>
      <w:hyperlink w:anchor="_Toc275128106" w:history="1">
        <w:r w:rsidR="00EF7221" w:rsidRPr="001F3648">
          <w:rPr>
            <w:rStyle w:val="Hyperlink"/>
            <w:rFonts w:hint="eastAsia"/>
            <w:color w:val="000000" w:themeColor="text1"/>
            <w:u w:val="none"/>
            <w:rtl/>
          </w:rPr>
          <w:t>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علي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رضا</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باريكلو</w:t>
        </w:r>
      </w:hyperlink>
      <w:r w:rsidR="00B956C2" w:rsidRPr="00B956C2">
        <w:rPr>
          <w:webHidden/>
          <w:rtl/>
        </w:rPr>
        <w:tab/>
      </w:r>
      <w:r w:rsidRPr="00B956C2">
        <w:rPr>
          <w:webHidden/>
          <w:rtl/>
        </w:rPr>
        <w:fldChar w:fldCharType="begin"/>
      </w:r>
      <w:r w:rsidR="00B956C2" w:rsidRPr="00B956C2">
        <w:rPr>
          <w:webHidden/>
          <w:rtl/>
        </w:rPr>
        <w:instrText xml:space="preserve"> </w:instrText>
      </w:r>
      <w:r w:rsidR="00B956C2" w:rsidRPr="00B956C2">
        <w:rPr>
          <w:webHidden/>
        </w:rPr>
        <w:instrText xml:space="preserve">PAGEREF _Toc275128107 \h </w:instrText>
      </w:r>
      <w:r w:rsidRPr="00B956C2">
        <w:rPr>
          <w:webHidden/>
          <w:rtl/>
        </w:rPr>
      </w:r>
      <w:r w:rsidRPr="00B956C2">
        <w:rPr>
          <w:webHidden/>
          <w:rtl/>
        </w:rPr>
        <w:fldChar w:fldCharType="separate"/>
      </w:r>
      <w:r w:rsidR="0071680A">
        <w:rPr>
          <w:webHidden/>
          <w:rtl/>
        </w:rPr>
        <w:t>381</w:t>
      </w:r>
      <w:r w:rsidRPr="00B956C2">
        <w:rPr>
          <w:webHidden/>
          <w:rtl/>
        </w:rPr>
        <w:fldChar w:fldCharType="end"/>
      </w:r>
    </w:p>
    <w:p w:rsidR="00EF7221" w:rsidRPr="001F3648" w:rsidRDefault="00A6422F" w:rsidP="00B956C2">
      <w:pPr>
        <w:pStyle w:val="TOC6"/>
        <w:spacing w:line="204" w:lineRule="auto"/>
        <w:rPr>
          <w:rFonts w:asciiTheme="minorHAnsi" w:eastAsiaTheme="minorEastAsia" w:hAnsiTheme="minorHAnsi" w:cstheme="minorBidi"/>
          <w:color w:val="000000" w:themeColor="text1"/>
          <w:szCs w:val="22"/>
          <w:rtl/>
        </w:rPr>
      </w:pPr>
      <w:hyperlink w:anchor="_Toc275128107" w:history="1">
        <w:r w:rsidR="00EF7221" w:rsidRPr="001F3648">
          <w:rPr>
            <w:rStyle w:val="Hyperlink"/>
            <w:rFonts w:hint="eastAsia"/>
            <w:color w:val="000000" w:themeColor="text1"/>
            <w:u w:val="none"/>
            <w:rtl/>
          </w:rPr>
          <w:t>ترجمة</w:t>
        </w:r>
        <w:r w:rsidR="00EF7221" w:rsidRPr="001F3648">
          <w:rPr>
            <w:rStyle w:val="Hyperlink"/>
            <w:rFonts w:cs="AL-Mohanad"/>
            <w:color w:val="000000" w:themeColor="text1"/>
            <w:u w:val="none"/>
            <w:rtl/>
          </w:rPr>
          <w:t>:</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الشيخ</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علي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محسن</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Toc275128107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381</w:t>
        </w:r>
        <w:r w:rsidRPr="001F3648">
          <w:rPr>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08" w:history="1">
        <w:r w:rsidR="00EF7221" w:rsidRPr="001F3648">
          <w:rPr>
            <w:rStyle w:val="Hyperlink"/>
            <w:rFonts w:hint="eastAsia"/>
            <w:color w:val="000000" w:themeColor="text1"/>
            <w:sz w:val="24"/>
            <w:szCs w:val="28"/>
            <w:u w:val="none"/>
            <w:rtl/>
          </w:rPr>
          <w:t>مقدمة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Toc275128108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381</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09" w:history="1">
        <w:r w:rsidR="00EF7221" w:rsidRPr="001F3648">
          <w:rPr>
            <w:rStyle w:val="Hyperlink"/>
            <w:color w:val="000000" w:themeColor="text1"/>
            <w:sz w:val="24"/>
            <w:szCs w:val="28"/>
            <w:u w:val="none"/>
            <w:rtl/>
          </w:rPr>
          <w:t>1</w:t>
        </w:r>
        <w:r w:rsidR="00EF7221" w:rsidRPr="001F3648">
          <w:rPr>
            <w:rStyle w:val="Hyperlink"/>
            <w:rFonts w:hint="eastAsia"/>
            <w:color w:val="000000" w:themeColor="text1"/>
            <w:sz w:val="24"/>
            <w:szCs w:val="28"/>
            <w:u w:val="none"/>
            <w:rtl/>
          </w:rPr>
          <w:t>ـ</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مكانة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المهر</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Toc275128109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382</w:t>
        </w:r>
        <w:r w:rsidRPr="001F3648">
          <w:rPr>
            <w:webHidden/>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110" w:history="1">
        <w:r w:rsidR="00EF7221" w:rsidRPr="001F3648">
          <w:rPr>
            <w:rStyle w:val="Hyperlink"/>
            <w:rFonts w:hint="eastAsia"/>
            <w:noProof/>
            <w:color w:val="000000" w:themeColor="text1"/>
            <w:u w:val="none"/>
            <w:rtl/>
          </w:rPr>
          <w:t>أـ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المهر</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عوض</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Toc275128110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383</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111" w:history="1">
        <w:r w:rsidR="00EF7221" w:rsidRPr="001F3648">
          <w:rPr>
            <w:rStyle w:val="Hyperlink"/>
            <w:rFonts w:hint="eastAsia"/>
            <w:noProof/>
            <w:color w:val="000000" w:themeColor="text1"/>
            <w:u w:val="none"/>
            <w:rtl/>
          </w:rPr>
          <w:t>ب</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المهر</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وثيقة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للنكاح</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Toc275128111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386</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112" w:history="1">
        <w:r w:rsidR="00EF7221" w:rsidRPr="001F3648">
          <w:rPr>
            <w:rStyle w:val="Hyperlink"/>
            <w:rFonts w:hint="eastAsia"/>
            <w:noProof/>
            <w:color w:val="000000" w:themeColor="text1"/>
            <w:u w:val="none"/>
            <w:rtl/>
          </w:rPr>
          <w:t>ج</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المهر</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هديّة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شرعيّة</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Toc275128112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390</w:t>
        </w:r>
        <w:r w:rsidRPr="001F3648">
          <w:rPr>
            <w:noProof/>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13" w:history="1">
        <w:r w:rsidR="00EF7221" w:rsidRPr="001F3648">
          <w:rPr>
            <w:rStyle w:val="Hyperlink"/>
            <w:color w:val="000000" w:themeColor="text1"/>
            <w:sz w:val="24"/>
            <w:szCs w:val="28"/>
            <w:u w:val="none"/>
            <w:rtl/>
          </w:rPr>
          <w:t>2</w:t>
        </w:r>
        <w:r w:rsidR="00EF7221" w:rsidRPr="001F3648">
          <w:rPr>
            <w:rStyle w:val="Hyperlink"/>
            <w:rFonts w:hint="eastAsia"/>
            <w:color w:val="000000" w:themeColor="text1"/>
            <w:sz w:val="24"/>
            <w:szCs w:val="28"/>
            <w:u w:val="none"/>
            <w:rtl/>
          </w:rPr>
          <w:t>ـ</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حكم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المهر</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Toc275128113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392</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14" w:history="1">
        <w:r w:rsidR="00EF7221" w:rsidRPr="001F3648">
          <w:rPr>
            <w:rStyle w:val="Hyperlink"/>
            <w:color w:val="000000" w:themeColor="text1"/>
            <w:sz w:val="24"/>
            <w:szCs w:val="28"/>
            <w:u w:val="none"/>
            <w:rtl/>
          </w:rPr>
          <w:t>3</w:t>
        </w:r>
        <w:r w:rsidR="00EF7221" w:rsidRPr="001F3648">
          <w:rPr>
            <w:rStyle w:val="Hyperlink"/>
            <w:rFonts w:hint="eastAsia"/>
            <w:color w:val="000000" w:themeColor="text1"/>
            <w:sz w:val="24"/>
            <w:szCs w:val="28"/>
            <w:u w:val="none"/>
            <w:rtl/>
          </w:rPr>
          <w:t>ـ</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مقدار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المهر</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Toc275128114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394</w:t>
        </w:r>
        <w:r w:rsidRPr="001F3648">
          <w:rPr>
            <w:webHidden/>
            <w:rtl/>
          </w:rPr>
          <w:fldChar w:fldCharType="end"/>
        </w:r>
      </w:hyperlink>
    </w:p>
    <w:p w:rsidR="00EF7221" w:rsidRPr="001F3648" w:rsidRDefault="00A6422F" w:rsidP="0008530B">
      <w:pPr>
        <w:pStyle w:val="TOC4"/>
        <w:spacing w:line="204" w:lineRule="auto"/>
        <w:rPr>
          <w:rFonts w:asciiTheme="minorHAnsi" w:eastAsiaTheme="minorEastAsia" w:hAnsiTheme="minorHAnsi" w:cstheme="minorBidi"/>
          <w:noProof/>
          <w:color w:val="000000" w:themeColor="text1"/>
          <w:sz w:val="22"/>
          <w:szCs w:val="22"/>
          <w:rtl/>
        </w:rPr>
      </w:pPr>
      <w:hyperlink w:anchor="_Toc275128115" w:history="1">
        <w:r w:rsidR="00EF7221" w:rsidRPr="001F3648">
          <w:rPr>
            <w:rStyle w:val="Hyperlink"/>
            <w:rFonts w:hint="eastAsia"/>
            <w:noProof/>
            <w:color w:val="000000" w:themeColor="text1"/>
            <w:u w:val="none"/>
            <w:rtl/>
          </w:rPr>
          <w:t>أـ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تعيين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مقدار</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المهر</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من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قبل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الزوجة</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Toc275128115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395</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116" w:history="1">
        <w:r w:rsidR="00EF7221" w:rsidRPr="001F3648">
          <w:rPr>
            <w:rStyle w:val="Hyperlink"/>
            <w:rFonts w:hint="eastAsia"/>
            <w:noProof/>
            <w:color w:val="000000" w:themeColor="text1"/>
            <w:u w:val="none"/>
            <w:rtl/>
          </w:rPr>
          <w:t>ب</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تعيين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المهر</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بالتراضي</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Toc275128116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397</w:t>
        </w:r>
        <w:r w:rsidRPr="001F3648">
          <w:rPr>
            <w:noProof/>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17" w:history="1">
        <w:r w:rsidR="00EF7221" w:rsidRPr="001F3648">
          <w:rPr>
            <w:rStyle w:val="Hyperlink"/>
            <w:color w:val="000000" w:themeColor="text1"/>
            <w:sz w:val="24"/>
            <w:szCs w:val="28"/>
            <w:u w:val="none"/>
            <w:rtl/>
          </w:rPr>
          <w:t>4</w:t>
        </w:r>
        <w:r w:rsidR="00EF7221" w:rsidRPr="001F3648">
          <w:rPr>
            <w:rStyle w:val="Hyperlink"/>
            <w:rFonts w:hint="eastAsia"/>
            <w:color w:val="000000" w:themeColor="text1"/>
            <w:sz w:val="24"/>
            <w:szCs w:val="28"/>
            <w:u w:val="none"/>
            <w:rtl/>
          </w:rPr>
          <w:t>ـ</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الآليّات</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القانونيّة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لضبط</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مقدار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المهر</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Toc275128117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404</w:t>
        </w:r>
        <w:r w:rsidRPr="001F3648">
          <w:rPr>
            <w:webHidden/>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118" w:history="1">
        <w:r w:rsidR="00EF7221" w:rsidRPr="001F3648">
          <w:rPr>
            <w:rStyle w:val="Hyperlink"/>
            <w:rFonts w:hint="eastAsia"/>
            <w:noProof/>
            <w:color w:val="000000" w:themeColor="text1"/>
            <w:u w:val="none"/>
            <w:rtl/>
          </w:rPr>
          <w:t>أـ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التحديد</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القانونيّ</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Toc275128118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405</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119" w:history="1">
        <w:r w:rsidR="00EF7221" w:rsidRPr="001F3648">
          <w:rPr>
            <w:rStyle w:val="Hyperlink"/>
            <w:rFonts w:hint="eastAsia"/>
            <w:noProof/>
            <w:color w:val="000000" w:themeColor="text1"/>
            <w:u w:val="none"/>
            <w:rtl/>
          </w:rPr>
          <w:t>ب</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الضغط</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الماليّ</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Toc275128119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408</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120" w:history="1">
        <w:r w:rsidR="00EF7221" w:rsidRPr="001F3648">
          <w:rPr>
            <w:rStyle w:val="Hyperlink"/>
            <w:rFonts w:hint="eastAsia"/>
            <w:noProof/>
            <w:color w:val="000000" w:themeColor="text1"/>
            <w:u w:val="none"/>
            <w:rtl/>
          </w:rPr>
          <w:t>ج</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اشتراط</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شروطٍ</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نموذجيّة</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Toc275128120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410</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121" w:history="1">
        <w:r w:rsidR="00EF7221" w:rsidRPr="001F3648">
          <w:rPr>
            <w:rStyle w:val="Hyperlink"/>
            <w:rFonts w:hint="eastAsia"/>
            <w:noProof/>
            <w:color w:val="000000" w:themeColor="text1"/>
            <w:u w:val="none"/>
            <w:rtl/>
          </w:rPr>
          <w:t>دـ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الحلول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الأساسيّة</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Toc275128121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412</w:t>
        </w:r>
        <w:r w:rsidRPr="001F3648">
          <w:rPr>
            <w:noProof/>
            <w:webHidden/>
            <w:color w:val="000000" w:themeColor="text1"/>
            <w:rtl/>
          </w:rPr>
          <w:fldChar w:fldCharType="end"/>
        </w:r>
      </w:hyperlink>
    </w:p>
    <w:p w:rsidR="00EF7221" w:rsidRPr="001F3648" w:rsidRDefault="00A6422F" w:rsidP="0008530B">
      <w:pPr>
        <w:pStyle w:val="TOC4"/>
        <w:spacing w:line="204" w:lineRule="auto"/>
        <w:rPr>
          <w:rFonts w:asciiTheme="minorHAnsi" w:eastAsiaTheme="minorEastAsia" w:hAnsiTheme="minorHAnsi" w:cstheme="minorBidi"/>
          <w:noProof/>
          <w:color w:val="000000" w:themeColor="text1"/>
          <w:sz w:val="22"/>
          <w:szCs w:val="22"/>
          <w:rtl/>
        </w:rPr>
      </w:pPr>
      <w:hyperlink w:anchor="_Toc275128122" w:history="1">
        <w:r w:rsidR="00EF7221" w:rsidRPr="001F3648">
          <w:rPr>
            <w:rStyle w:val="Hyperlink"/>
            <w:noProof/>
            <w:color w:val="000000" w:themeColor="text1"/>
            <w:u w:val="none"/>
            <w:rtl/>
          </w:rPr>
          <w:t>1</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د</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إصلاح</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نظرة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الزوجين</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Toc275128122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413</w:t>
        </w:r>
        <w:r w:rsidRPr="001F3648">
          <w:rPr>
            <w:noProof/>
            <w:webHidden/>
            <w:color w:val="000000" w:themeColor="text1"/>
            <w:rtl/>
          </w:rPr>
          <w:fldChar w:fldCharType="end"/>
        </w:r>
      </w:hyperlink>
    </w:p>
    <w:p w:rsidR="00EF7221" w:rsidRPr="001F3648" w:rsidRDefault="00A6422F" w:rsidP="0008530B">
      <w:pPr>
        <w:pStyle w:val="TOC4"/>
        <w:spacing w:line="204" w:lineRule="auto"/>
        <w:rPr>
          <w:rFonts w:asciiTheme="minorHAnsi" w:eastAsiaTheme="minorEastAsia" w:hAnsiTheme="minorHAnsi" w:cstheme="minorBidi"/>
          <w:noProof/>
          <w:color w:val="000000" w:themeColor="text1"/>
          <w:sz w:val="22"/>
          <w:szCs w:val="22"/>
          <w:rtl/>
        </w:rPr>
      </w:pPr>
      <w:hyperlink w:anchor="_Toc275128123" w:history="1">
        <w:r w:rsidR="00EF7221" w:rsidRPr="001F3648">
          <w:rPr>
            <w:rStyle w:val="Hyperlink"/>
            <w:noProof/>
            <w:color w:val="000000" w:themeColor="text1"/>
            <w:u w:val="none"/>
            <w:rtl/>
          </w:rPr>
          <w:t>2</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د</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تأمين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وحماية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مستقبل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الزوجة</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Toc275128123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414</w:t>
        </w:r>
        <w:r w:rsidRPr="001F3648">
          <w:rPr>
            <w:noProof/>
            <w:webHidden/>
            <w:color w:val="000000" w:themeColor="text1"/>
            <w:rtl/>
          </w:rPr>
          <w:fldChar w:fldCharType="end"/>
        </w:r>
      </w:hyperlink>
    </w:p>
    <w:p w:rsidR="00EF7221" w:rsidRPr="001F3648" w:rsidRDefault="00A6422F" w:rsidP="0008530B">
      <w:pPr>
        <w:pStyle w:val="TOC4"/>
        <w:spacing w:line="204" w:lineRule="auto"/>
        <w:rPr>
          <w:rFonts w:asciiTheme="minorHAnsi" w:eastAsiaTheme="minorEastAsia" w:hAnsiTheme="minorHAnsi" w:cstheme="minorBidi"/>
          <w:noProof/>
          <w:color w:val="000000" w:themeColor="text1"/>
          <w:sz w:val="22"/>
          <w:szCs w:val="22"/>
          <w:rtl/>
        </w:rPr>
      </w:pPr>
      <w:hyperlink w:anchor="_Toc275128124" w:history="1">
        <w:r w:rsidR="00EF7221" w:rsidRPr="001F3648">
          <w:rPr>
            <w:rStyle w:val="Hyperlink"/>
            <w:noProof/>
            <w:color w:val="000000" w:themeColor="text1"/>
            <w:u w:val="none"/>
            <w:rtl/>
          </w:rPr>
          <w:t>3</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د</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إصلاح</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الأحكام</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القضائية</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Toc275128124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416</w:t>
        </w:r>
        <w:r w:rsidRPr="001F3648">
          <w:rPr>
            <w:noProof/>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25" w:history="1">
        <w:r w:rsidR="00EF7221" w:rsidRPr="001F3648">
          <w:rPr>
            <w:rStyle w:val="Hyperlink"/>
            <w:rFonts w:hint="eastAsia"/>
            <w:color w:val="000000" w:themeColor="text1"/>
            <w:sz w:val="24"/>
            <w:szCs w:val="28"/>
            <w:u w:val="none"/>
            <w:rtl/>
          </w:rPr>
          <w:t>خلاصة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واستنتاج</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Toc275128125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420</w:t>
        </w:r>
        <w:r w:rsidRPr="001F3648">
          <w:rPr>
            <w:webHidden/>
            <w:rtl/>
          </w:rPr>
          <w:fldChar w:fldCharType="end"/>
        </w:r>
      </w:hyperlink>
    </w:p>
    <w:p w:rsidR="00EF7221" w:rsidRPr="001F3648" w:rsidRDefault="00A6422F" w:rsidP="0008530B">
      <w:pPr>
        <w:pStyle w:val="TOC1"/>
        <w:spacing w:line="204" w:lineRule="auto"/>
        <w:rPr>
          <w:rFonts w:asciiTheme="minorHAnsi" w:eastAsiaTheme="minorEastAsia" w:hAnsiTheme="minorHAnsi" w:cstheme="minorBidi"/>
          <w:color w:val="000000" w:themeColor="text1"/>
          <w:sz w:val="22"/>
          <w:szCs w:val="22"/>
          <w:rtl/>
          <w:lang w:eastAsia="en-US"/>
        </w:rPr>
      </w:pPr>
      <w:hyperlink w:anchor="_Toc275128126" w:history="1">
        <w:r w:rsidR="00EF7221" w:rsidRPr="001F3648">
          <w:rPr>
            <w:rStyle w:val="Hyperlink"/>
            <w:rFonts w:hint="eastAsia"/>
            <w:color w:val="000000" w:themeColor="text1"/>
            <w:u w:val="none"/>
            <w:rtl/>
            <w:lang w:bidi="fa-IR"/>
          </w:rPr>
          <w:t>إمامة</w:t>
        </w:r>
        <w:r w:rsidR="00EF7221" w:rsidRPr="001F3648">
          <w:rPr>
            <w:rStyle w:val="Hyperlink"/>
            <w:color w:val="000000" w:themeColor="text1"/>
            <w:u w:val="none"/>
            <w:rtl/>
            <w:lang w:bidi="fa-IR"/>
          </w:rPr>
          <w:t xml:space="preserve"> </w:t>
        </w:r>
        <w:r w:rsidR="00EF7221" w:rsidRPr="001F3648">
          <w:rPr>
            <w:rStyle w:val="Hyperlink"/>
            <w:rFonts w:hint="eastAsia"/>
            <w:color w:val="000000" w:themeColor="text1"/>
            <w:u w:val="none"/>
            <w:rtl/>
            <w:lang w:bidi="fa-IR"/>
          </w:rPr>
          <w:t>المرأة</w:t>
        </w:r>
        <w:r w:rsidR="00EF7221" w:rsidRPr="001F3648">
          <w:rPr>
            <w:rStyle w:val="Hyperlink"/>
            <w:color w:val="000000" w:themeColor="text1"/>
            <w:u w:val="none"/>
            <w:rtl/>
            <w:lang w:bidi="fa-IR"/>
          </w:rPr>
          <w:t xml:space="preserve"> </w:t>
        </w:r>
        <w:r w:rsidR="00EF7221" w:rsidRPr="001F3648">
          <w:rPr>
            <w:rStyle w:val="Hyperlink"/>
            <w:rFonts w:hint="eastAsia"/>
            <w:color w:val="000000" w:themeColor="text1"/>
            <w:u w:val="none"/>
            <w:rtl/>
          </w:rPr>
          <w:t>في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صلاتي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الجمعة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والجماعة</w:t>
        </w:r>
      </w:hyperlink>
      <w:r w:rsidR="00090BFD" w:rsidRPr="001F3648">
        <w:rPr>
          <w:rStyle w:val="Hyperlink"/>
          <w:rFonts w:hint="cs"/>
          <w:color w:val="000000" w:themeColor="text1"/>
          <w:u w:val="none"/>
          <w:rtl/>
        </w:rPr>
        <w:t xml:space="preserve">، </w:t>
      </w:r>
      <w:hyperlink w:anchor="_Toc275128127" w:history="1">
        <w:r w:rsidR="00EF7221" w:rsidRPr="001F3648">
          <w:rPr>
            <w:rStyle w:val="Hyperlink"/>
            <w:rFonts w:hint="eastAsia"/>
            <w:color w:val="000000" w:themeColor="text1"/>
            <w:u w:val="none"/>
            <w:rtl/>
          </w:rPr>
          <w:t>نظرية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فقهية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جديدة</w:t>
        </w:r>
        <w:r w:rsidR="00EF7221" w:rsidRPr="001F3648">
          <w:rPr>
            <w:rFonts w:ascii="Calibri" w:eastAsia="Times New Roman" w:hAnsi="Calibri" w:cs="Mosawi"/>
            <w:webHidden/>
            <w:color w:val="000000" w:themeColor="text1"/>
            <w:sz w:val="22"/>
            <w:szCs w:val="26"/>
            <w:rtl/>
            <w:lang w:eastAsia="en-US"/>
          </w:rPr>
          <w:tab/>
        </w:r>
        <w:r w:rsidRPr="001F3648">
          <w:rPr>
            <w:rFonts w:ascii="Calibri" w:eastAsia="Times New Roman" w:hAnsi="Calibri" w:cs="Mosawi"/>
            <w:webHidden/>
            <w:color w:val="000000" w:themeColor="text1"/>
            <w:sz w:val="22"/>
            <w:szCs w:val="26"/>
            <w:rtl/>
            <w:lang w:eastAsia="en-US"/>
          </w:rPr>
          <w:fldChar w:fldCharType="begin"/>
        </w:r>
        <w:r w:rsidR="00EF7221" w:rsidRPr="001F3648">
          <w:rPr>
            <w:rFonts w:ascii="Calibri" w:eastAsia="Times New Roman" w:hAnsi="Calibri" w:cs="Mosawi"/>
            <w:webHidden/>
            <w:color w:val="000000" w:themeColor="text1"/>
            <w:sz w:val="22"/>
            <w:szCs w:val="26"/>
            <w:rtl/>
            <w:lang w:eastAsia="en-US"/>
          </w:rPr>
          <w:instrText xml:space="preserve"> </w:instrText>
        </w:r>
        <w:r w:rsidR="00EF7221" w:rsidRPr="001F3648">
          <w:rPr>
            <w:rFonts w:ascii="Calibri" w:eastAsia="Times New Roman" w:hAnsi="Calibri" w:cs="Mosawi"/>
            <w:webHidden/>
            <w:color w:val="000000" w:themeColor="text1"/>
            <w:sz w:val="22"/>
            <w:szCs w:val="26"/>
            <w:lang w:eastAsia="en-US"/>
          </w:rPr>
          <w:instrText>PAGEREF</w:instrText>
        </w:r>
        <w:r w:rsidR="00EF7221" w:rsidRPr="001F3648">
          <w:rPr>
            <w:rFonts w:ascii="Calibri" w:eastAsia="Times New Roman" w:hAnsi="Calibri" w:cs="Mosawi"/>
            <w:webHidden/>
            <w:color w:val="000000" w:themeColor="text1"/>
            <w:sz w:val="22"/>
            <w:szCs w:val="26"/>
            <w:rtl/>
            <w:lang w:eastAsia="en-US"/>
          </w:rPr>
          <w:instrText xml:space="preserve"> _</w:instrText>
        </w:r>
        <w:r w:rsidR="00EF7221" w:rsidRPr="001F3648">
          <w:rPr>
            <w:rFonts w:ascii="Calibri" w:eastAsia="Times New Roman" w:hAnsi="Calibri" w:cs="Mosawi"/>
            <w:webHidden/>
            <w:color w:val="000000" w:themeColor="text1"/>
            <w:sz w:val="22"/>
            <w:szCs w:val="26"/>
            <w:lang w:eastAsia="en-US"/>
          </w:rPr>
          <w:instrText>Toc275128127 \h</w:instrText>
        </w:r>
        <w:r w:rsidR="00EF7221" w:rsidRPr="001F3648">
          <w:rPr>
            <w:rFonts w:ascii="Calibri" w:eastAsia="Times New Roman" w:hAnsi="Calibri" w:cs="Mosawi"/>
            <w:webHidden/>
            <w:color w:val="000000" w:themeColor="text1"/>
            <w:sz w:val="22"/>
            <w:szCs w:val="26"/>
            <w:rtl/>
            <w:lang w:eastAsia="en-US"/>
          </w:rPr>
          <w:instrText xml:space="preserve"> </w:instrText>
        </w:r>
        <w:r w:rsidRPr="001F3648">
          <w:rPr>
            <w:rFonts w:ascii="Calibri" w:eastAsia="Times New Roman" w:hAnsi="Calibri" w:cs="Mosawi"/>
            <w:webHidden/>
            <w:color w:val="000000" w:themeColor="text1"/>
            <w:sz w:val="22"/>
            <w:szCs w:val="26"/>
            <w:rtl/>
            <w:lang w:eastAsia="en-US"/>
          </w:rPr>
        </w:r>
        <w:r w:rsidRPr="001F3648">
          <w:rPr>
            <w:rFonts w:ascii="Calibri" w:eastAsia="Times New Roman" w:hAnsi="Calibri" w:cs="Mosawi"/>
            <w:webHidden/>
            <w:color w:val="000000" w:themeColor="text1"/>
            <w:sz w:val="22"/>
            <w:szCs w:val="26"/>
            <w:rtl/>
            <w:lang w:eastAsia="en-US"/>
          </w:rPr>
          <w:fldChar w:fldCharType="separate"/>
        </w:r>
        <w:r w:rsidR="0071680A">
          <w:rPr>
            <w:rFonts w:ascii="Calibri" w:eastAsia="Times New Roman" w:hAnsi="Calibri" w:cs="Mosawi"/>
            <w:webHidden/>
            <w:color w:val="000000" w:themeColor="text1"/>
            <w:sz w:val="22"/>
            <w:szCs w:val="26"/>
            <w:rtl/>
            <w:lang w:eastAsia="en-US"/>
          </w:rPr>
          <w:t>423</w:t>
        </w:r>
        <w:r w:rsidRPr="001F3648">
          <w:rPr>
            <w:rFonts w:ascii="Calibri" w:eastAsia="Times New Roman" w:hAnsi="Calibri" w:cs="Mosawi"/>
            <w:webHidden/>
            <w:color w:val="000000" w:themeColor="text1"/>
            <w:sz w:val="22"/>
            <w:szCs w:val="26"/>
            <w:rtl/>
            <w:lang w:eastAsia="en-US"/>
          </w:rPr>
          <w:fldChar w:fldCharType="end"/>
        </w:r>
      </w:hyperlink>
    </w:p>
    <w:p w:rsidR="00EF7221" w:rsidRPr="001F3648" w:rsidRDefault="00A6422F" w:rsidP="0008530B">
      <w:pPr>
        <w:pStyle w:val="TOC6"/>
        <w:spacing w:line="204" w:lineRule="auto"/>
        <w:rPr>
          <w:rFonts w:asciiTheme="minorHAnsi" w:eastAsiaTheme="minorEastAsia" w:hAnsiTheme="minorHAnsi" w:cstheme="minorBidi"/>
          <w:color w:val="000000" w:themeColor="text1"/>
          <w:szCs w:val="22"/>
          <w:rtl/>
        </w:rPr>
      </w:pPr>
      <w:hyperlink w:anchor="_Toc275128128" w:history="1">
        <w:r w:rsidR="00EF7221" w:rsidRPr="001F3648">
          <w:rPr>
            <w:rStyle w:val="Hyperlink"/>
            <w:rFonts w:hint="eastAsia"/>
            <w:color w:val="000000" w:themeColor="text1"/>
            <w:u w:val="none"/>
            <w:rtl/>
            <w:lang w:bidi="fa-IR"/>
          </w:rPr>
          <w:t>الشيخ</w:t>
        </w:r>
        <w:r w:rsidR="00EF7221" w:rsidRPr="001F3648">
          <w:rPr>
            <w:rStyle w:val="Hyperlink"/>
            <w:color w:val="000000" w:themeColor="text1"/>
            <w:u w:val="none"/>
            <w:rtl/>
            <w:lang w:bidi="fa-IR"/>
          </w:rPr>
          <w:t xml:space="preserve"> </w:t>
        </w:r>
        <w:r w:rsidR="00EF7221" w:rsidRPr="001F3648">
          <w:rPr>
            <w:rStyle w:val="Hyperlink"/>
            <w:rFonts w:hint="eastAsia"/>
            <w:color w:val="000000" w:themeColor="text1"/>
            <w:u w:val="none"/>
            <w:rtl/>
            <w:lang w:bidi="fa-IR"/>
          </w:rPr>
          <w:t>د</w:t>
        </w:r>
        <w:r w:rsidR="00EF7221" w:rsidRPr="001F3648">
          <w:rPr>
            <w:rStyle w:val="Hyperlink"/>
            <w:color w:val="000000" w:themeColor="text1"/>
            <w:u w:val="none"/>
            <w:rtl/>
            <w:lang w:bidi="fa-IR"/>
          </w:rPr>
          <w:t xml:space="preserve">. </w:t>
        </w:r>
        <w:r w:rsidR="00EF7221" w:rsidRPr="001F3648">
          <w:rPr>
            <w:rStyle w:val="Hyperlink"/>
            <w:rFonts w:hint="eastAsia"/>
            <w:color w:val="000000" w:themeColor="text1"/>
            <w:u w:val="none"/>
            <w:rtl/>
            <w:lang w:bidi="fa-IR"/>
          </w:rPr>
          <w:t>عبد</w:t>
        </w:r>
        <w:r w:rsidR="00EF7221" w:rsidRPr="001F3648">
          <w:rPr>
            <w:rStyle w:val="Hyperlink"/>
            <w:color w:val="000000" w:themeColor="text1"/>
            <w:u w:val="none"/>
            <w:rtl/>
            <w:lang w:bidi="fa-IR"/>
          </w:rPr>
          <w:t xml:space="preserve"> </w:t>
        </w:r>
        <w:r w:rsidR="00EF7221" w:rsidRPr="001F3648">
          <w:rPr>
            <w:rStyle w:val="Hyperlink"/>
            <w:rFonts w:hint="eastAsia"/>
            <w:color w:val="000000" w:themeColor="text1"/>
            <w:u w:val="none"/>
            <w:rtl/>
            <w:lang w:bidi="fa-IR"/>
          </w:rPr>
          <w:t>الله</w:t>
        </w:r>
        <w:r w:rsidR="00EF7221" w:rsidRPr="001F3648">
          <w:rPr>
            <w:rStyle w:val="Hyperlink"/>
            <w:color w:val="000000" w:themeColor="text1"/>
            <w:u w:val="none"/>
            <w:rtl/>
            <w:lang w:bidi="fa-IR"/>
          </w:rPr>
          <w:t xml:space="preserve"> </w:t>
        </w:r>
        <w:r w:rsidR="00EF7221" w:rsidRPr="001F3648">
          <w:rPr>
            <w:rStyle w:val="Hyperlink"/>
            <w:rFonts w:hint="eastAsia"/>
            <w:color w:val="000000" w:themeColor="text1"/>
            <w:u w:val="none"/>
            <w:rtl/>
            <w:lang w:bidi="fa-IR"/>
          </w:rPr>
          <w:t>أميدي</w:t>
        </w:r>
        <w:r w:rsidR="00EF7221" w:rsidRPr="001F3648">
          <w:rPr>
            <w:rStyle w:val="Hyperlink"/>
            <w:color w:val="000000" w:themeColor="text1"/>
            <w:u w:val="none"/>
            <w:rtl/>
            <w:lang w:bidi="fa-IR"/>
          </w:rPr>
          <w:t xml:space="preserve"> </w:t>
        </w:r>
        <w:r w:rsidR="00EF7221" w:rsidRPr="001F3648">
          <w:rPr>
            <w:rStyle w:val="Hyperlink"/>
            <w:rFonts w:hint="eastAsia"/>
            <w:color w:val="000000" w:themeColor="text1"/>
            <w:u w:val="none"/>
            <w:rtl/>
            <w:lang w:bidi="fa-IR"/>
          </w:rPr>
          <w:t>فرد</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Toc275128128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423</w:t>
        </w:r>
        <w:r w:rsidRPr="001F3648">
          <w:rPr>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29" w:history="1">
        <w:r w:rsidR="00EF7221" w:rsidRPr="001F3648">
          <w:rPr>
            <w:rStyle w:val="Hyperlink"/>
            <w:rFonts w:hint="eastAsia"/>
            <w:color w:val="000000" w:themeColor="text1"/>
            <w:sz w:val="24"/>
            <w:szCs w:val="28"/>
            <w:u w:val="none"/>
            <w:rtl/>
            <w:lang w:bidi="fa-IR"/>
          </w:rPr>
          <w:t>مقدمة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Toc275128129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423</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30" w:history="1">
        <w:r w:rsidR="00EF7221" w:rsidRPr="001F3648">
          <w:rPr>
            <w:rStyle w:val="Hyperlink"/>
            <w:color w:val="000000" w:themeColor="text1"/>
            <w:sz w:val="24"/>
            <w:szCs w:val="28"/>
            <w:u w:val="none"/>
            <w:rtl/>
          </w:rPr>
          <w:t>1</w:t>
        </w:r>
        <w:r w:rsidR="00EF7221" w:rsidRPr="001F3648">
          <w:rPr>
            <w:rStyle w:val="Hyperlink"/>
            <w:rFonts w:hint="eastAsia"/>
            <w:color w:val="000000" w:themeColor="text1"/>
            <w:sz w:val="24"/>
            <w:szCs w:val="28"/>
            <w:u w:val="none"/>
            <w:rtl/>
          </w:rPr>
          <w:t>ـ</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lang w:bidi="fa-IR"/>
          </w:rPr>
          <w:t>إمامة</w:t>
        </w:r>
        <w:r w:rsidR="00EF7221" w:rsidRPr="001F3648">
          <w:rPr>
            <w:rStyle w:val="Hyperlink"/>
            <w:color w:val="000000" w:themeColor="text1"/>
            <w:sz w:val="24"/>
            <w:szCs w:val="28"/>
            <w:u w:val="none"/>
            <w:rtl/>
            <w:lang w:bidi="fa-IR"/>
          </w:rPr>
          <w:t xml:space="preserve"> </w:t>
        </w:r>
        <w:r w:rsidR="00EF7221" w:rsidRPr="001F3648">
          <w:rPr>
            <w:rStyle w:val="Hyperlink"/>
            <w:rFonts w:hint="eastAsia"/>
            <w:color w:val="000000" w:themeColor="text1"/>
            <w:sz w:val="24"/>
            <w:szCs w:val="28"/>
            <w:u w:val="none"/>
            <w:rtl/>
            <w:lang w:bidi="fa-IR"/>
          </w:rPr>
          <w:t>المرأة</w:t>
        </w:r>
        <w:r w:rsidR="00EF7221" w:rsidRPr="001F3648">
          <w:rPr>
            <w:rStyle w:val="Hyperlink"/>
            <w:color w:val="000000" w:themeColor="text1"/>
            <w:sz w:val="24"/>
            <w:szCs w:val="28"/>
            <w:u w:val="none"/>
            <w:rtl/>
            <w:lang w:bidi="fa-IR"/>
          </w:rPr>
          <w:t xml:space="preserve"> </w:t>
        </w:r>
        <w:r w:rsidR="00EF7221" w:rsidRPr="001F3648">
          <w:rPr>
            <w:rStyle w:val="Hyperlink"/>
            <w:rFonts w:hint="eastAsia"/>
            <w:color w:val="000000" w:themeColor="text1"/>
            <w:sz w:val="24"/>
            <w:szCs w:val="28"/>
            <w:u w:val="none"/>
            <w:rtl/>
            <w:lang w:bidi="fa-IR"/>
          </w:rPr>
          <w:t>في</w:t>
        </w:r>
        <w:r w:rsidR="00EF7221" w:rsidRPr="001F3648">
          <w:rPr>
            <w:rStyle w:val="Hyperlink"/>
            <w:color w:val="000000" w:themeColor="text1"/>
            <w:sz w:val="24"/>
            <w:szCs w:val="28"/>
            <w:u w:val="none"/>
            <w:rtl/>
            <w:lang w:bidi="fa-IR"/>
          </w:rPr>
          <w:t xml:space="preserve"> </w:t>
        </w:r>
        <w:r w:rsidR="00EF7221" w:rsidRPr="001F3648">
          <w:rPr>
            <w:rStyle w:val="Hyperlink"/>
            <w:rFonts w:hint="eastAsia"/>
            <w:color w:val="000000" w:themeColor="text1"/>
            <w:sz w:val="24"/>
            <w:szCs w:val="28"/>
            <w:u w:val="none"/>
            <w:rtl/>
            <w:lang w:bidi="fa-IR"/>
          </w:rPr>
          <w:t>صلاة</w:t>
        </w:r>
        <w:r w:rsidR="00EF7221" w:rsidRPr="001F3648">
          <w:rPr>
            <w:rStyle w:val="Hyperlink"/>
            <w:color w:val="000000" w:themeColor="text1"/>
            <w:sz w:val="24"/>
            <w:szCs w:val="28"/>
            <w:u w:val="none"/>
            <w:rtl/>
            <w:lang w:bidi="fa-IR"/>
          </w:rPr>
          <w:t xml:space="preserve"> </w:t>
        </w:r>
        <w:r w:rsidR="00EF7221" w:rsidRPr="001F3648">
          <w:rPr>
            <w:rStyle w:val="Hyperlink"/>
            <w:rFonts w:hint="eastAsia"/>
            <w:color w:val="000000" w:themeColor="text1"/>
            <w:sz w:val="24"/>
            <w:szCs w:val="28"/>
            <w:u w:val="none"/>
            <w:rtl/>
            <w:lang w:bidi="fa-IR"/>
          </w:rPr>
          <w:t>الجماعة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Toc275128130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423</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31" w:history="1">
        <w:r w:rsidR="00EF7221" w:rsidRPr="001F3648">
          <w:rPr>
            <w:rStyle w:val="Hyperlink"/>
            <w:rFonts w:hint="eastAsia"/>
            <w:color w:val="000000" w:themeColor="text1"/>
            <w:sz w:val="24"/>
            <w:szCs w:val="28"/>
            <w:u w:val="none"/>
            <w:rtl/>
            <w:lang w:bidi="fa-IR"/>
          </w:rPr>
          <w:t>أدلة</w:t>
        </w:r>
        <w:r w:rsidR="00EF7221" w:rsidRPr="001F3648">
          <w:rPr>
            <w:rStyle w:val="Hyperlink"/>
            <w:color w:val="000000" w:themeColor="text1"/>
            <w:sz w:val="24"/>
            <w:szCs w:val="28"/>
            <w:u w:val="none"/>
            <w:rtl/>
            <w:lang w:bidi="fa-IR"/>
          </w:rPr>
          <w:t xml:space="preserve"> </w:t>
        </w:r>
        <w:r w:rsidR="00EF7221" w:rsidRPr="001F3648">
          <w:rPr>
            <w:rStyle w:val="Hyperlink"/>
            <w:rFonts w:hint="eastAsia"/>
            <w:color w:val="000000" w:themeColor="text1"/>
            <w:sz w:val="24"/>
            <w:szCs w:val="28"/>
            <w:u w:val="none"/>
            <w:rtl/>
            <w:lang w:bidi="fa-IR"/>
          </w:rPr>
          <w:t>اشتراط</w:t>
        </w:r>
        <w:r w:rsidR="00EF7221" w:rsidRPr="001F3648">
          <w:rPr>
            <w:rStyle w:val="Hyperlink"/>
            <w:color w:val="000000" w:themeColor="text1"/>
            <w:sz w:val="24"/>
            <w:szCs w:val="28"/>
            <w:u w:val="none"/>
            <w:rtl/>
            <w:lang w:bidi="fa-IR"/>
          </w:rPr>
          <w:t xml:space="preserve"> </w:t>
        </w:r>
        <w:r w:rsidR="00EF7221" w:rsidRPr="001F3648">
          <w:rPr>
            <w:rStyle w:val="Hyperlink"/>
            <w:rFonts w:hint="eastAsia"/>
            <w:color w:val="000000" w:themeColor="text1"/>
            <w:sz w:val="24"/>
            <w:szCs w:val="28"/>
            <w:u w:val="none"/>
            <w:rtl/>
            <w:lang w:bidi="fa-IR"/>
          </w:rPr>
          <w:t>الذكورة</w:t>
        </w:r>
        <w:r w:rsidR="00EF7221" w:rsidRPr="001F3648">
          <w:rPr>
            <w:rStyle w:val="Hyperlink"/>
            <w:color w:val="000000" w:themeColor="text1"/>
            <w:sz w:val="24"/>
            <w:szCs w:val="28"/>
            <w:u w:val="none"/>
            <w:rtl/>
            <w:lang w:bidi="fa-IR"/>
          </w:rPr>
          <w:t xml:space="preserve"> </w:t>
        </w:r>
        <w:r w:rsidR="00EF7221" w:rsidRPr="001F3648">
          <w:rPr>
            <w:rStyle w:val="Hyperlink"/>
            <w:rFonts w:hint="eastAsia"/>
            <w:color w:val="000000" w:themeColor="text1"/>
            <w:sz w:val="24"/>
            <w:szCs w:val="28"/>
            <w:u w:val="none"/>
            <w:rtl/>
            <w:lang w:bidi="fa-IR"/>
          </w:rPr>
          <w:t>في</w:t>
        </w:r>
        <w:r w:rsidR="00EF7221" w:rsidRPr="001F3648">
          <w:rPr>
            <w:rStyle w:val="Hyperlink"/>
            <w:color w:val="000000" w:themeColor="text1"/>
            <w:sz w:val="24"/>
            <w:szCs w:val="28"/>
            <w:u w:val="none"/>
            <w:rtl/>
            <w:lang w:bidi="fa-IR"/>
          </w:rPr>
          <w:t xml:space="preserve"> </w:t>
        </w:r>
        <w:r w:rsidR="00EF7221" w:rsidRPr="001F3648">
          <w:rPr>
            <w:rStyle w:val="Hyperlink"/>
            <w:rFonts w:hint="eastAsia"/>
            <w:color w:val="000000" w:themeColor="text1"/>
            <w:sz w:val="24"/>
            <w:szCs w:val="28"/>
            <w:u w:val="none"/>
            <w:rtl/>
            <w:lang w:bidi="fa-IR"/>
          </w:rPr>
          <w:t>إمام</w:t>
        </w:r>
        <w:r w:rsidR="00EF7221" w:rsidRPr="001F3648">
          <w:rPr>
            <w:rStyle w:val="Hyperlink"/>
            <w:color w:val="000000" w:themeColor="text1"/>
            <w:sz w:val="24"/>
            <w:szCs w:val="28"/>
            <w:u w:val="none"/>
            <w:rtl/>
            <w:lang w:bidi="fa-IR"/>
          </w:rPr>
          <w:t xml:space="preserve"> </w:t>
        </w:r>
        <w:r w:rsidR="00EF7221" w:rsidRPr="001F3648">
          <w:rPr>
            <w:rStyle w:val="Hyperlink"/>
            <w:rFonts w:hint="eastAsia"/>
            <w:color w:val="000000" w:themeColor="text1"/>
            <w:sz w:val="24"/>
            <w:szCs w:val="28"/>
            <w:u w:val="none"/>
            <w:rtl/>
            <w:lang w:bidi="fa-IR"/>
          </w:rPr>
          <w:t>الجماعة،</w:t>
        </w:r>
        <w:r w:rsidR="00EF7221" w:rsidRPr="001F3648">
          <w:rPr>
            <w:rStyle w:val="Hyperlink"/>
            <w:color w:val="000000" w:themeColor="text1"/>
            <w:sz w:val="24"/>
            <w:szCs w:val="28"/>
            <w:u w:val="none"/>
            <w:rtl/>
            <w:lang w:bidi="fa-IR"/>
          </w:rPr>
          <w:t xml:space="preserve"> </w:t>
        </w:r>
        <w:r w:rsidR="00EF7221" w:rsidRPr="001F3648">
          <w:rPr>
            <w:rStyle w:val="Hyperlink"/>
            <w:rFonts w:hint="eastAsia"/>
            <w:color w:val="000000" w:themeColor="text1"/>
            <w:sz w:val="24"/>
            <w:szCs w:val="28"/>
            <w:u w:val="none"/>
            <w:rtl/>
            <w:lang w:bidi="fa-IR"/>
          </w:rPr>
          <w:t>نقد</w:t>
        </w:r>
        <w:r w:rsidR="00EF7221" w:rsidRPr="001F3648">
          <w:rPr>
            <w:rStyle w:val="Hyperlink"/>
            <w:color w:val="000000" w:themeColor="text1"/>
            <w:sz w:val="24"/>
            <w:szCs w:val="28"/>
            <w:u w:val="none"/>
            <w:rtl/>
            <w:lang w:bidi="fa-IR"/>
          </w:rPr>
          <w:t xml:space="preserve"> </w:t>
        </w:r>
        <w:r w:rsidR="00EF7221" w:rsidRPr="001F3648">
          <w:rPr>
            <w:rStyle w:val="Hyperlink"/>
            <w:rFonts w:hint="eastAsia"/>
            <w:color w:val="000000" w:themeColor="text1"/>
            <w:sz w:val="24"/>
            <w:szCs w:val="28"/>
            <w:u w:val="none"/>
            <w:rtl/>
            <w:lang w:bidi="fa-IR"/>
          </w:rPr>
          <w:t>وتعليق</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Toc275128131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425</w:t>
        </w:r>
        <w:r w:rsidRPr="001F3648">
          <w:rPr>
            <w:webHidden/>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132" w:history="1">
        <w:r w:rsidR="00EF7221" w:rsidRPr="001F3648">
          <w:rPr>
            <w:rStyle w:val="Hyperlink"/>
            <w:rFonts w:hint="eastAsia"/>
            <w:noProof/>
            <w:color w:val="000000" w:themeColor="text1"/>
            <w:u w:val="none"/>
            <w:rtl/>
            <w:lang w:bidi="fa-IR"/>
          </w:rPr>
          <w:t>أـ</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أصالة</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الاشتغال</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وقاعدة</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الاحتياط</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Toc275128132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425</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133" w:history="1">
        <w:r w:rsidR="00EF7221" w:rsidRPr="001F3648">
          <w:rPr>
            <w:rStyle w:val="Hyperlink"/>
            <w:rFonts w:hint="eastAsia"/>
            <w:noProof/>
            <w:color w:val="000000" w:themeColor="text1"/>
            <w:u w:val="none"/>
            <w:rtl/>
            <w:lang w:bidi="fa-IR"/>
          </w:rPr>
          <w:t>تحليل</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ونقد</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Toc275128133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425</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134" w:history="1">
        <w:r w:rsidR="00EF7221" w:rsidRPr="001F3648">
          <w:rPr>
            <w:rStyle w:val="Hyperlink"/>
            <w:rFonts w:hint="eastAsia"/>
            <w:noProof/>
            <w:color w:val="000000" w:themeColor="text1"/>
            <w:u w:val="none"/>
            <w:rtl/>
            <w:lang w:bidi="fa-IR"/>
          </w:rPr>
          <w:t>ب</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ـ</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الحديث</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النبوي</w:t>
        </w:r>
        <w:r w:rsidR="00EF7221" w:rsidRPr="001F3648">
          <w:rPr>
            <w:rStyle w:val="Hyperlink"/>
            <w:noProof/>
            <w:color w:val="000000" w:themeColor="text1"/>
            <w:u w:val="none"/>
            <w:rtl/>
            <w:lang w:bidi="fa-IR"/>
          </w:rPr>
          <w:t xml:space="preserve">: </w:t>
        </w:r>
        <w:r w:rsidR="00EF7221" w:rsidRPr="001F3648">
          <w:rPr>
            <w:rStyle w:val="Hyperlink"/>
            <w:rFonts w:ascii="Arno Pro Display" w:hAnsi="Arno Pro Display"/>
            <w:noProof/>
            <w:color w:val="000000" w:themeColor="text1"/>
            <w:u w:val="none"/>
            <w:rtl/>
          </w:rPr>
          <w:t>«</w:t>
        </w:r>
        <w:r w:rsidR="00EF7221" w:rsidRPr="001F3648">
          <w:rPr>
            <w:rStyle w:val="Hyperlink"/>
            <w:rFonts w:hint="eastAsia"/>
            <w:noProof/>
            <w:color w:val="000000" w:themeColor="text1"/>
            <w:u w:val="none"/>
            <w:rtl/>
            <w:lang w:bidi="fa-IR"/>
          </w:rPr>
          <w:t>أخّروهنّ</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من</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حيثُ</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أخّرهنّ</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الله</w:t>
        </w:r>
        <w:r w:rsidR="00EF7221" w:rsidRPr="001F3648">
          <w:rPr>
            <w:rStyle w:val="Hyperlink"/>
            <w:rFonts w:ascii="Arno Pro Display" w:hAnsi="Arno Pro Display"/>
            <w:noProof/>
            <w:color w:val="000000" w:themeColor="text1"/>
            <w:u w:val="none"/>
            <w:rtl/>
          </w:rPr>
          <w:t>»</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Toc275128134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427</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135" w:history="1">
        <w:r w:rsidR="00EF7221" w:rsidRPr="001F3648">
          <w:rPr>
            <w:rStyle w:val="Hyperlink"/>
            <w:rFonts w:hint="eastAsia"/>
            <w:noProof/>
            <w:color w:val="000000" w:themeColor="text1"/>
            <w:u w:val="none"/>
            <w:rtl/>
            <w:lang w:bidi="fa-IR"/>
          </w:rPr>
          <w:t>تحليل</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ونقد</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Toc275128135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427</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136" w:history="1">
        <w:r w:rsidR="00EF7221" w:rsidRPr="001F3648">
          <w:rPr>
            <w:rStyle w:val="Hyperlink"/>
            <w:rFonts w:hint="eastAsia"/>
            <w:noProof/>
            <w:color w:val="000000" w:themeColor="text1"/>
            <w:u w:val="none"/>
            <w:rtl/>
            <w:lang w:bidi="fa-IR"/>
          </w:rPr>
          <w:t>ج</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ـ</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حديث</w:t>
        </w:r>
        <w:r w:rsidR="00EF7221" w:rsidRPr="001F3648">
          <w:rPr>
            <w:rStyle w:val="Hyperlink"/>
            <w:noProof/>
            <w:color w:val="000000" w:themeColor="text1"/>
            <w:u w:val="none"/>
            <w:rtl/>
            <w:lang w:bidi="fa-IR"/>
          </w:rPr>
          <w:t xml:space="preserve"> </w:t>
        </w:r>
        <w:r w:rsidR="00EF7221" w:rsidRPr="001F3648">
          <w:rPr>
            <w:rStyle w:val="Hyperlink"/>
            <w:rFonts w:ascii="Arno Pro Display" w:hAnsi="Arno Pro Display"/>
            <w:noProof/>
            <w:color w:val="000000" w:themeColor="text1"/>
            <w:u w:val="none"/>
            <w:rtl/>
          </w:rPr>
          <w:t>«</w:t>
        </w:r>
        <w:r w:rsidR="00EF7221" w:rsidRPr="001F3648">
          <w:rPr>
            <w:rStyle w:val="Hyperlink"/>
            <w:rFonts w:hint="eastAsia"/>
            <w:noProof/>
            <w:color w:val="000000" w:themeColor="text1"/>
            <w:u w:val="none"/>
            <w:rtl/>
            <w:lang w:bidi="fa-IR"/>
          </w:rPr>
          <w:t>لا</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تؤمّ</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المرأةُ</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الرجالَ،</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وتصلّي</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بالنساء</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وتتقدّم</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وسطهنّ</w:t>
        </w:r>
        <w:r w:rsidR="00EF7221" w:rsidRPr="001F3648">
          <w:rPr>
            <w:rStyle w:val="Hyperlink"/>
            <w:rFonts w:ascii="Arno Pro Display" w:hAnsi="Arno Pro Display"/>
            <w:noProof/>
            <w:color w:val="000000" w:themeColor="text1"/>
            <w:u w:val="none"/>
            <w:rtl/>
          </w:rPr>
          <w:t>»</w:t>
        </w:r>
        <w:r w:rsidR="00EF7221" w:rsidRPr="001F3648">
          <w:rPr>
            <w:rStyle w:val="Hyperlink"/>
            <w:rFonts w:ascii="Arno Pro Display" w:hAnsi="Arno Pro Display" w:cs="Taher"/>
            <w:noProof/>
            <w:color w:val="000000" w:themeColor="text1"/>
            <w:u w:val="none"/>
            <w:vertAlign w:val="superscript"/>
            <w:rtl/>
          </w:rPr>
          <w:t>()</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Toc275128136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428</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137" w:history="1">
        <w:r w:rsidR="00EF7221" w:rsidRPr="001F3648">
          <w:rPr>
            <w:rStyle w:val="Hyperlink"/>
            <w:rFonts w:hint="eastAsia"/>
            <w:noProof/>
            <w:color w:val="000000" w:themeColor="text1"/>
            <w:u w:val="none"/>
            <w:rtl/>
            <w:lang w:bidi="fa-IR"/>
          </w:rPr>
          <w:t>تحليل</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ونقد</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Toc275128137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428</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138" w:history="1">
        <w:r w:rsidR="00EF7221" w:rsidRPr="001F3648">
          <w:rPr>
            <w:rStyle w:val="Hyperlink"/>
            <w:rFonts w:hint="eastAsia"/>
            <w:noProof/>
            <w:color w:val="000000" w:themeColor="text1"/>
            <w:u w:val="none"/>
            <w:rtl/>
            <w:lang w:bidi="fa-IR"/>
          </w:rPr>
          <w:t>د</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ـ</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رجحان</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الاستتار</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للمرأة</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والاحتجاب</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Toc275128138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429</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139" w:history="1">
        <w:r w:rsidR="00EF7221" w:rsidRPr="001F3648">
          <w:rPr>
            <w:rStyle w:val="Hyperlink"/>
            <w:rFonts w:hint="eastAsia"/>
            <w:noProof/>
            <w:color w:val="000000" w:themeColor="text1"/>
            <w:u w:val="none"/>
            <w:rtl/>
            <w:lang w:bidi="fa-IR"/>
          </w:rPr>
          <w:t>تحليل</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ونقد</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Toc275128139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429</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140" w:history="1">
        <w:r w:rsidR="00EF7221" w:rsidRPr="001F3648">
          <w:rPr>
            <w:rStyle w:val="Hyperlink"/>
            <w:rFonts w:hint="eastAsia"/>
            <w:noProof/>
            <w:color w:val="000000" w:themeColor="text1"/>
            <w:u w:val="none"/>
            <w:rtl/>
            <w:lang w:bidi="fa-IR"/>
          </w:rPr>
          <w:t>هـ</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ـ</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نصوص</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ناهية</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عن</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تقدّم</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المرأة</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في</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الصلاة</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Toc275128140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431</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141" w:history="1">
        <w:r w:rsidR="00EF7221" w:rsidRPr="001F3648">
          <w:rPr>
            <w:rStyle w:val="Hyperlink"/>
            <w:rFonts w:hint="eastAsia"/>
            <w:noProof/>
            <w:color w:val="000000" w:themeColor="text1"/>
            <w:u w:val="none"/>
            <w:rtl/>
            <w:lang w:bidi="fa-IR"/>
          </w:rPr>
          <w:t>تحليل</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ونقد</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Toc275128141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431</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142" w:history="1">
        <w:r w:rsidR="00EF7221" w:rsidRPr="001F3648">
          <w:rPr>
            <w:rStyle w:val="Hyperlink"/>
            <w:rFonts w:hint="eastAsia"/>
            <w:noProof/>
            <w:color w:val="000000" w:themeColor="text1"/>
            <w:u w:val="none"/>
            <w:rtl/>
            <w:lang w:bidi="fa-IR"/>
          </w:rPr>
          <w:t>و</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ـ</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عدم</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كون</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الأذان</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مجزياً</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إذا</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ما</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أدّته</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إمرأة</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Toc275128142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432</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143" w:history="1">
        <w:r w:rsidR="00EF7221" w:rsidRPr="001F3648">
          <w:rPr>
            <w:rStyle w:val="Hyperlink"/>
            <w:rFonts w:hint="eastAsia"/>
            <w:noProof/>
            <w:color w:val="000000" w:themeColor="text1"/>
            <w:u w:val="none"/>
            <w:rtl/>
            <w:lang w:bidi="fa-IR"/>
          </w:rPr>
          <w:t>تحليل</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ونقد</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Toc275128143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432</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144" w:history="1">
        <w:r w:rsidR="00EF7221" w:rsidRPr="001F3648">
          <w:rPr>
            <w:rStyle w:val="Hyperlink"/>
            <w:rFonts w:hint="eastAsia"/>
            <w:noProof/>
            <w:color w:val="000000" w:themeColor="text1"/>
            <w:u w:val="none"/>
            <w:rtl/>
            <w:lang w:bidi="fa-IR"/>
          </w:rPr>
          <w:t>ز</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ـ</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عدم</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اشتهار</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إمامة</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النساء</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في</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صلاة</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الجماعة</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في</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عهد</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الرسول</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Toc275128144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433</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145" w:history="1">
        <w:r w:rsidR="00EF7221" w:rsidRPr="001F3648">
          <w:rPr>
            <w:rStyle w:val="Hyperlink"/>
            <w:rFonts w:hint="eastAsia"/>
            <w:noProof/>
            <w:color w:val="000000" w:themeColor="text1"/>
            <w:u w:val="none"/>
            <w:rtl/>
            <w:lang w:bidi="fa-IR"/>
          </w:rPr>
          <w:t>تحليل</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ونقد</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Toc275128145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433</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146" w:history="1">
        <w:r w:rsidR="00EF7221" w:rsidRPr="001F3648">
          <w:rPr>
            <w:rStyle w:val="Hyperlink"/>
            <w:rFonts w:hint="eastAsia"/>
            <w:noProof/>
            <w:color w:val="000000" w:themeColor="text1"/>
            <w:u w:val="none"/>
            <w:rtl/>
            <w:lang w:bidi="fa-IR"/>
          </w:rPr>
          <w:t>ح</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ـ</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انحصار</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التساؤلات</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المتشرعية</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في</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إمامة</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المرأة</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لمثلها</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Toc275128146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433</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147" w:history="1">
        <w:r w:rsidR="00EF7221" w:rsidRPr="001F3648">
          <w:rPr>
            <w:rStyle w:val="Hyperlink"/>
            <w:rFonts w:hint="eastAsia"/>
            <w:noProof/>
            <w:color w:val="000000" w:themeColor="text1"/>
            <w:u w:val="none"/>
            <w:rtl/>
            <w:lang w:bidi="fa-IR"/>
          </w:rPr>
          <w:t>تحليل</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ونقد</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Toc275128147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434</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148" w:history="1">
        <w:r w:rsidR="00EF7221" w:rsidRPr="001F3648">
          <w:rPr>
            <w:rStyle w:val="Hyperlink"/>
            <w:rFonts w:hint="eastAsia"/>
            <w:noProof/>
            <w:color w:val="000000" w:themeColor="text1"/>
            <w:u w:val="none"/>
            <w:rtl/>
            <w:lang w:bidi="fa-IR"/>
          </w:rPr>
          <w:t>طـ</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ـ</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دليل</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الإجماع</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Toc275128148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435</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149" w:history="1">
        <w:r w:rsidR="00EF7221" w:rsidRPr="001F3648">
          <w:rPr>
            <w:rStyle w:val="Hyperlink"/>
            <w:rFonts w:hint="eastAsia"/>
            <w:noProof/>
            <w:color w:val="000000" w:themeColor="text1"/>
            <w:u w:val="none"/>
            <w:rtl/>
            <w:lang w:bidi="fa-IR"/>
          </w:rPr>
          <w:t>تحليل</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ونقد</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Toc275128149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435</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150" w:history="1">
        <w:r w:rsidR="00EF7221" w:rsidRPr="001F3648">
          <w:rPr>
            <w:rStyle w:val="Hyperlink"/>
            <w:noProof/>
            <w:color w:val="000000" w:themeColor="text1"/>
            <w:u w:val="none"/>
            <w:rtl/>
          </w:rPr>
          <w:t>2</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lang w:bidi="fa-IR"/>
          </w:rPr>
          <w:t>إمامة</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المرأ</w:t>
        </w:r>
        <w:r w:rsidR="00EF7221" w:rsidRPr="001F3648">
          <w:rPr>
            <w:rStyle w:val="Hyperlink"/>
            <w:rFonts w:hint="eastAsia"/>
            <w:noProof/>
            <w:color w:val="000000" w:themeColor="text1"/>
            <w:u w:val="none"/>
            <w:rtl/>
          </w:rPr>
          <w:t>ة</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في</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صلاة</w:t>
        </w:r>
        <w:r w:rsidR="00EF7221" w:rsidRPr="001F3648">
          <w:rPr>
            <w:rStyle w:val="Hyperlink"/>
            <w:noProof/>
            <w:color w:val="000000" w:themeColor="text1"/>
            <w:u w:val="none"/>
            <w:rtl/>
            <w:lang w:bidi="fa-IR"/>
          </w:rPr>
          <w:t xml:space="preserve"> </w:t>
        </w:r>
        <w:r w:rsidR="00EF7221" w:rsidRPr="001F3648">
          <w:rPr>
            <w:rStyle w:val="Hyperlink"/>
            <w:rFonts w:hint="eastAsia"/>
            <w:noProof/>
            <w:color w:val="000000" w:themeColor="text1"/>
            <w:u w:val="none"/>
            <w:rtl/>
            <w:lang w:bidi="fa-IR"/>
          </w:rPr>
          <w:t>الجمعة</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Toc275128150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436</w:t>
        </w:r>
        <w:r w:rsidRPr="001F3648">
          <w:rPr>
            <w:noProof/>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51" w:history="1">
        <w:r w:rsidR="00EF7221" w:rsidRPr="001F3648">
          <w:rPr>
            <w:rStyle w:val="Hyperlink"/>
            <w:rFonts w:hint="eastAsia"/>
            <w:color w:val="000000" w:themeColor="text1"/>
            <w:sz w:val="24"/>
            <w:szCs w:val="28"/>
            <w:u w:val="none"/>
            <w:rtl/>
            <w:lang w:bidi="fa-IR"/>
          </w:rPr>
          <w:t>نتيجة</w:t>
        </w:r>
        <w:r w:rsidR="00EF7221" w:rsidRPr="001F3648">
          <w:rPr>
            <w:rStyle w:val="Hyperlink"/>
            <w:color w:val="000000" w:themeColor="text1"/>
            <w:sz w:val="24"/>
            <w:szCs w:val="28"/>
            <w:u w:val="none"/>
            <w:rtl/>
            <w:lang w:bidi="fa-IR"/>
          </w:rPr>
          <w:t xml:space="preserve"> </w:t>
        </w:r>
        <w:r w:rsidR="00EF7221" w:rsidRPr="001F3648">
          <w:rPr>
            <w:rStyle w:val="Hyperlink"/>
            <w:rFonts w:hint="eastAsia"/>
            <w:color w:val="000000" w:themeColor="text1"/>
            <w:sz w:val="24"/>
            <w:szCs w:val="28"/>
            <w:u w:val="none"/>
            <w:rtl/>
            <w:lang w:bidi="fa-IR"/>
          </w:rPr>
          <w:t>البحث</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Toc275128151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437</w:t>
        </w:r>
        <w:r w:rsidRPr="001F3648">
          <w:rPr>
            <w:webHidden/>
            <w:rtl/>
          </w:rPr>
          <w:fldChar w:fldCharType="end"/>
        </w:r>
      </w:hyperlink>
    </w:p>
    <w:p w:rsidR="00EF7221" w:rsidRPr="001F3648" w:rsidRDefault="00A6422F" w:rsidP="0008530B">
      <w:pPr>
        <w:pStyle w:val="TOC1"/>
        <w:spacing w:line="204" w:lineRule="auto"/>
        <w:rPr>
          <w:rFonts w:asciiTheme="minorHAnsi" w:eastAsiaTheme="minorEastAsia" w:hAnsiTheme="minorHAnsi" w:cstheme="minorBidi"/>
          <w:color w:val="000000" w:themeColor="text1"/>
          <w:sz w:val="22"/>
          <w:szCs w:val="22"/>
          <w:rtl/>
          <w:lang w:eastAsia="en-US"/>
        </w:rPr>
      </w:pPr>
      <w:hyperlink w:anchor="_Toc275128152" w:history="1">
        <w:r w:rsidR="00EF7221" w:rsidRPr="001F3648">
          <w:rPr>
            <w:rStyle w:val="Hyperlink"/>
            <w:rFonts w:hint="eastAsia"/>
            <w:color w:val="000000" w:themeColor="text1"/>
            <w:u w:val="none"/>
            <w:rtl/>
          </w:rPr>
          <w:t>تحديد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نصاب</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المهر</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في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الإسلام</w:t>
        </w:r>
      </w:hyperlink>
      <w:r w:rsidR="00090BFD" w:rsidRPr="001F3648">
        <w:rPr>
          <w:rStyle w:val="Hyperlink"/>
          <w:rFonts w:hint="cs"/>
          <w:color w:val="000000" w:themeColor="text1"/>
          <w:u w:val="none"/>
          <w:rtl/>
        </w:rPr>
        <w:t xml:space="preserve">، </w:t>
      </w:r>
      <w:hyperlink w:anchor="_Toc275128153" w:history="1">
        <w:r w:rsidR="00EF7221" w:rsidRPr="001F3648">
          <w:rPr>
            <w:rStyle w:val="Hyperlink"/>
            <w:rFonts w:hint="eastAsia"/>
            <w:color w:val="000000" w:themeColor="text1"/>
            <w:u w:val="none"/>
            <w:rtl/>
          </w:rPr>
          <w:t>دراسة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في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الإمكان</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والمشروعية</w:t>
        </w:r>
        <w:r w:rsidR="00EF7221" w:rsidRPr="001F3648">
          <w:rPr>
            <w:rFonts w:ascii="Calibri" w:eastAsia="Times New Roman" w:hAnsi="Calibri" w:cs="Mosawi"/>
            <w:webHidden/>
            <w:color w:val="000000" w:themeColor="text1"/>
            <w:sz w:val="22"/>
            <w:szCs w:val="26"/>
            <w:rtl/>
            <w:lang w:eastAsia="en-US"/>
          </w:rPr>
          <w:tab/>
        </w:r>
        <w:r w:rsidRPr="001F3648">
          <w:rPr>
            <w:rFonts w:ascii="Calibri" w:eastAsia="Times New Roman" w:hAnsi="Calibri" w:cs="Mosawi"/>
            <w:webHidden/>
            <w:color w:val="000000" w:themeColor="text1"/>
            <w:sz w:val="22"/>
            <w:szCs w:val="26"/>
            <w:rtl/>
            <w:lang w:eastAsia="en-US"/>
          </w:rPr>
          <w:fldChar w:fldCharType="begin"/>
        </w:r>
        <w:r w:rsidR="00EF7221" w:rsidRPr="001F3648">
          <w:rPr>
            <w:rFonts w:ascii="Calibri" w:eastAsia="Times New Roman" w:hAnsi="Calibri" w:cs="Mosawi"/>
            <w:webHidden/>
            <w:color w:val="000000" w:themeColor="text1"/>
            <w:sz w:val="22"/>
            <w:szCs w:val="26"/>
            <w:rtl/>
            <w:lang w:eastAsia="en-US"/>
          </w:rPr>
          <w:instrText xml:space="preserve"> </w:instrText>
        </w:r>
        <w:r w:rsidR="00EF7221" w:rsidRPr="001F3648">
          <w:rPr>
            <w:rFonts w:ascii="Calibri" w:eastAsia="Times New Roman" w:hAnsi="Calibri" w:cs="Mosawi"/>
            <w:webHidden/>
            <w:color w:val="000000" w:themeColor="text1"/>
            <w:sz w:val="22"/>
            <w:szCs w:val="26"/>
            <w:lang w:eastAsia="en-US"/>
          </w:rPr>
          <w:instrText>PAGEREF</w:instrText>
        </w:r>
        <w:r w:rsidR="00EF7221" w:rsidRPr="001F3648">
          <w:rPr>
            <w:rFonts w:ascii="Calibri" w:eastAsia="Times New Roman" w:hAnsi="Calibri" w:cs="Mosawi"/>
            <w:webHidden/>
            <w:color w:val="000000" w:themeColor="text1"/>
            <w:sz w:val="22"/>
            <w:szCs w:val="26"/>
            <w:rtl/>
            <w:lang w:eastAsia="en-US"/>
          </w:rPr>
          <w:instrText xml:space="preserve"> _</w:instrText>
        </w:r>
        <w:r w:rsidR="00EF7221" w:rsidRPr="001F3648">
          <w:rPr>
            <w:rFonts w:ascii="Calibri" w:eastAsia="Times New Roman" w:hAnsi="Calibri" w:cs="Mosawi"/>
            <w:webHidden/>
            <w:color w:val="000000" w:themeColor="text1"/>
            <w:sz w:val="22"/>
            <w:szCs w:val="26"/>
            <w:lang w:eastAsia="en-US"/>
          </w:rPr>
          <w:instrText>Toc275128153 \h</w:instrText>
        </w:r>
        <w:r w:rsidR="00EF7221" w:rsidRPr="001F3648">
          <w:rPr>
            <w:rFonts w:ascii="Calibri" w:eastAsia="Times New Roman" w:hAnsi="Calibri" w:cs="Mosawi"/>
            <w:webHidden/>
            <w:color w:val="000000" w:themeColor="text1"/>
            <w:sz w:val="22"/>
            <w:szCs w:val="26"/>
            <w:rtl/>
            <w:lang w:eastAsia="en-US"/>
          </w:rPr>
          <w:instrText xml:space="preserve"> </w:instrText>
        </w:r>
        <w:r w:rsidRPr="001F3648">
          <w:rPr>
            <w:rFonts w:ascii="Calibri" w:eastAsia="Times New Roman" w:hAnsi="Calibri" w:cs="Mosawi"/>
            <w:webHidden/>
            <w:color w:val="000000" w:themeColor="text1"/>
            <w:sz w:val="22"/>
            <w:szCs w:val="26"/>
            <w:rtl/>
            <w:lang w:eastAsia="en-US"/>
          </w:rPr>
        </w:r>
        <w:r w:rsidRPr="001F3648">
          <w:rPr>
            <w:rFonts w:ascii="Calibri" w:eastAsia="Times New Roman" w:hAnsi="Calibri" w:cs="Mosawi"/>
            <w:webHidden/>
            <w:color w:val="000000" w:themeColor="text1"/>
            <w:sz w:val="22"/>
            <w:szCs w:val="26"/>
            <w:rtl/>
            <w:lang w:eastAsia="en-US"/>
          </w:rPr>
          <w:fldChar w:fldCharType="separate"/>
        </w:r>
        <w:r w:rsidR="0071680A">
          <w:rPr>
            <w:rFonts w:ascii="Calibri" w:eastAsia="Times New Roman" w:hAnsi="Calibri" w:cs="Mosawi"/>
            <w:webHidden/>
            <w:color w:val="000000" w:themeColor="text1"/>
            <w:sz w:val="22"/>
            <w:szCs w:val="26"/>
            <w:rtl/>
            <w:lang w:eastAsia="en-US"/>
          </w:rPr>
          <w:t>439</w:t>
        </w:r>
        <w:r w:rsidRPr="001F3648">
          <w:rPr>
            <w:rFonts w:ascii="Calibri" w:eastAsia="Times New Roman" w:hAnsi="Calibri" w:cs="Mosawi"/>
            <w:webHidden/>
            <w:color w:val="000000" w:themeColor="text1"/>
            <w:sz w:val="22"/>
            <w:szCs w:val="26"/>
            <w:rtl/>
            <w:lang w:eastAsia="en-US"/>
          </w:rPr>
          <w:fldChar w:fldCharType="end"/>
        </w:r>
      </w:hyperlink>
    </w:p>
    <w:p w:rsidR="00EF7221" w:rsidRPr="001F3648" w:rsidRDefault="00A6422F" w:rsidP="0008530B">
      <w:pPr>
        <w:pStyle w:val="TOC6"/>
        <w:spacing w:line="204" w:lineRule="auto"/>
        <w:rPr>
          <w:rFonts w:asciiTheme="minorHAnsi" w:eastAsiaTheme="minorEastAsia" w:hAnsiTheme="minorHAnsi" w:cstheme="minorBidi"/>
          <w:color w:val="000000" w:themeColor="text1"/>
          <w:szCs w:val="22"/>
          <w:rtl/>
        </w:rPr>
      </w:pPr>
      <w:hyperlink w:anchor="_Toc275128154" w:history="1">
        <w:r w:rsidR="00EF7221" w:rsidRPr="001F3648">
          <w:rPr>
            <w:rStyle w:val="Hyperlink"/>
            <w:rFonts w:hint="eastAsia"/>
            <w:color w:val="000000" w:themeColor="text1"/>
            <w:u w:val="none"/>
            <w:rtl/>
          </w:rPr>
          <w:t>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علي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علي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آبادي</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Toc275128154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439</w:t>
        </w:r>
        <w:r w:rsidRPr="001F3648">
          <w:rPr>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55" w:history="1">
        <w:r w:rsidR="00EF7221" w:rsidRPr="001F3648">
          <w:rPr>
            <w:rStyle w:val="Hyperlink"/>
            <w:rFonts w:hint="eastAsia"/>
            <w:color w:val="000000" w:themeColor="text1"/>
            <w:sz w:val="24"/>
            <w:szCs w:val="28"/>
            <w:u w:val="none"/>
            <w:rtl/>
          </w:rPr>
          <w:t>مقدمة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Toc275128155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439</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56" w:history="1">
        <w:r w:rsidR="00EF7221" w:rsidRPr="001F3648">
          <w:rPr>
            <w:rStyle w:val="Hyperlink"/>
            <w:rFonts w:hint="eastAsia"/>
            <w:color w:val="000000" w:themeColor="text1"/>
            <w:sz w:val="24"/>
            <w:szCs w:val="28"/>
            <w:u w:val="none"/>
            <w:rtl/>
          </w:rPr>
          <w:t>هدف</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هذه</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الدراسة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Toc275128156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441</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57" w:history="1">
        <w:r w:rsidR="00EF7221" w:rsidRPr="001F3648">
          <w:rPr>
            <w:rStyle w:val="Hyperlink"/>
            <w:rFonts w:hint="eastAsia"/>
            <w:color w:val="000000" w:themeColor="text1"/>
            <w:sz w:val="24"/>
            <w:szCs w:val="28"/>
            <w:u w:val="none"/>
            <w:rtl/>
          </w:rPr>
          <w:t>ماهيّة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المهر</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Toc275128157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442</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58" w:history="1">
        <w:r w:rsidR="00EF7221" w:rsidRPr="001F3648">
          <w:rPr>
            <w:rStyle w:val="Hyperlink"/>
            <w:rFonts w:hint="eastAsia"/>
            <w:color w:val="000000" w:themeColor="text1"/>
            <w:sz w:val="24"/>
            <w:szCs w:val="28"/>
            <w:u w:val="none"/>
            <w:rtl/>
          </w:rPr>
          <w:t>الهدف</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من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تشريع</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المهر</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Toc275128158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443</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59" w:history="1">
        <w:r w:rsidR="00EF7221" w:rsidRPr="001F3648">
          <w:rPr>
            <w:rStyle w:val="Hyperlink"/>
            <w:rFonts w:hint="eastAsia"/>
            <w:color w:val="000000" w:themeColor="text1"/>
            <w:sz w:val="24"/>
            <w:szCs w:val="28"/>
            <w:u w:val="none"/>
            <w:rtl/>
          </w:rPr>
          <w:t>الآثار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السلبية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للمهور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المرتفعة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Toc275128159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446</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60" w:history="1">
        <w:r w:rsidR="00EF7221" w:rsidRPr="001F3648">
          <w:rPr>
            <w:rStyle w:val="Hyperlink"/>
            <w:rFonts w:hint="eastAsia"/>
            <w:color w:val="000000" w:themeColor="text1"/>
            <w:sz w:val="24"/>
            <w:szCs w:val="28"/>
            <w:u w:val="none"/>
            <w:rtl/>
          </w:rPr>
          <w:t>الحكم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التكليفي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للمهور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المرتفعة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Toc275128160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451</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61" w:history="1">
        <w:r w:rsidR="00EF7221" w:rsidRPr="001F3648">
          <w:rPr>
            <w:rStyle w:val="Hyperlink"/>
            <w:rFonts w:hint="eastAsia"/>
            <w:color w:val="000000" w:themeColor="text1"/>
            <w:sz w:val="24"/>
            <w:szCs w:val="28"/>
            <w:u w:val="none"/>
            <w:rtl/>
          </w:rPr>
          <w:t>الحكم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الوضعي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للمهور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المرتفعة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Toc275128161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453</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62" w:history="1">
        <w:r w:rsidR="00EF7221" w:rsidRPr="001F3648">
          <w:rPr>
            <w:rStyle w:val="Hyperlink"/>
            <w:rFonts w:hint="eastAsia"/>
            <w:color w:val="000000" w:themeColor="text1"/>
            <w:sz w:val="24"/>
            <w:szCs w:val="28"/>
            <w:u w:val="none"/>
            <w:rtl/>
          </w:rPr>
          <w:t>الهدف</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المرجوّ</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Toc275128162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455</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63" w:history="1">
        <w:r w:rsidR="00EF7221" w:rsidRPr="001F3648">
          <w:rPr>
            <w:rStyle w:val="Hyperlink"/>
            <w:rFonts w:hint="eastAsia"/>
            <w:color w:val="000000" w:themeColor="text1"/>
            <w:sz w:val="24"/>
            <w:szCs w:val="28"/>
            <w:u w:val="none"/>
            <w:rtl/>
          </w:rPr>
          <w:t>سابقة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تعديل</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المهر،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تجارب</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تاريخية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Toc275128163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456</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64" w:history="1">
        <w:r w:rsidR="00EF7221" w:rsidRPr="001F3648">
          <w:rPr>
            <w:rStyle w:val="Hyperlink"/>
            <w:rFonts w:hint="eastAsia"/>
            <w:color w:val="000000" w:themeColor="text1"/>
            <w:sz w:val="24"/>
            <w:szCs w:val="28"/>
            <w:u w:val="none"/>
            <w:rtl/>
          </w:rPr>
          <w:t>استنتاج</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Toc275128164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458</w:t>
        </w:r>
        <w:r w:rsidRPr="001F3648">
          <w:rPr>
            <w:webHidden/>
            <w:rtl/>
          </w:rPr>
          <w:fldChar w:fldCharType="end"/>
        </w:r>
      </w:hyperlink>
    </w:p>
    <w:p w:rsidR="00EF7221" w:rsidRPr="001F3648" w:rsidRDefault="00A6422F" w:rsidP="0008530B">
      <w:pPr>
        <w:pStyle w:val="TOC1"/>
        <w:spacing w:line="204" w:lineRule="auto"/>
        <w:rPr>
          <w:rFonts w:asciiTheme="minorHAnsi" w:eastAsiaTheme="minorEastAsia" w:hAnsiTheme="minorHAnsi" w:cstheme="minorBidi"/>
          <w:color w:val="000000" w:themeColor="text1"/>
          <w:sz w:val="31"/>
          <w:szCs w:val="31"/>
          <w:rtl/>
          <w:lang w:eastAsia="en-US"/>
        </w:rPr>
      </w:pPr>
      <w:hyperlink w:anchor="_Toc275128165" w:history="1">
        <w:r w:rsidR="00EF7221" w:rsidRPr="001F3648">
          <w:rPr>
            <w:rStyle w:val="Hyperlink"/>
            <w:rFonts w:hint="eastAsia"/>
            <w:color w:val="000000" w:themeColor="text1"/>
            <w:sz w:val="31"/>
            <w:szCs w:val="31"/>
            <w:u w:val="none"/>
            <w:rtl/>
          </w:rPr>
          <w:t>الرحم</w:t>
        </w:r>
        <w:r w:rsidR="00EF7221" w:rsidRPr="001F3648">
          <w:rPr>
            <w:rStyle w:val="Hyperlink"/>
            <w:color w:val="000000" w:themeColor="text1"/>
            <w:sz w:val="31"/>
            <w:szCs w:val="31"/>
            <w:u w:val="none"/>
            <w:rtl/>
          </w:rPr>
          <w:t xml:space="preserve"> </w:t>
        </w:r>
        <w:r w:rsidR="00EF7221" w:rsidRPr="001F3648">
          <w:rPr>
            <w:rStyle w:val="Hyperlink"/>
            <w:rFonts w:hint="eastAsia"/>
            <w:color w:val="000000" w:themeColor="text1"/>
            <w:sz w:val="31"/>
            <w:szCs w:val="31"/>
            <w:u w:val="none"/>
            <w:rtl/>
          </w:rPr>
          <w:t>الإيجاري</w:t>
        </w:r>
      </w:hyperlink>
      <w:r w:rsidR="00090BFD" w:rsidRPr="001F3648">
        <w:rPr>
          <w:rStyle w:val="Hyperlink"/>
          <w:rFonts w:hint="cs"/>
          <w:color w:val="000000" w:themeColor="text1"/>
          <w:sz w:val="31"/>
          <w:szCs w:val="31"/>
          <w:u w:val="none"/>
          <w:rtl/>
        </w:rPr>
        <w:t xml:space="preserve">، </w:t>
      </w:r>
      <w:hyperlink w:anchor="_Toc275128166" w:history="1">
        <w:r w:rsidR="00EF7221" w:rsidRPr="001F3648">
          <w:rPr>
            <w:rStyle w:val="Hyperlink"/>
            <w:rFonts w:hint="eastAsia"/>
            <w:color w:val="000000" w:themeColor="text1"/>
            <w:sz w:val="31"/>
            <w:szCs w:val="31"/>
            <w:u w:val="none"/>
            <w:rtl/>
          </w:rPr>
          <w:t>دراسة</w:t>
        </w:r>
        <w:r w:rsidR="00EF7221" w:rsidRPr="001F3648">
          <w:rPr>
            <w:rStyle w:val="Hyperlink"/>
            <w:color w:val="000000" w:themeColor="text1"/>
            <w:sz w:val="31"/>
            <w:szCs w:val="31"/>
            <w:u w:val="none"/>
            <w:rtl/>
          </w:rPr>
          <w:t xml:space="preserve"> </w:t>
        </w:r>
        <w:r w:rsidR="00EF7221" w:rsidRPr="001F3648">
          <w:rPr>
            <w:rStyle w:val="Hyperlink"/>
            <w:rFonts w:hint="eastAsia"/>
            <w:color w:val="000000" w:themeColor="text1"/>
            <w:sz w:val="31"/>
            <w:szCs w:val="31"/>
            <w:u w:val="none"/>
            <w:rtl/>
          </w:rPr>
          <w:t>الحالة</w:t>
        </w:r>
        <w:r w:rsidR="00EF7221" w:rsidRPr="001F3648">
          <w:rPr>
            <w:rStyle w:val="Hyperlink"/>
            <w:color w:val="000000" w:themeColor="text1"/>
            <w:sz w:val="31"/>
            <w:szCs w:val="31"/>
            <w:u w:val="none"/>
            <w:rtl/>
          </w:rPr>
          <w:t xml:space="preserve"> </w:t>
        </w:r>
        <w:r w:rsidR="00EF7221" w:rsidRPr="001F3648">
          <w:rPr>
            <w:rStyle w:val="Hyperlink"/>
            <w:rFonts w:hint="eastAsia"/>
            <w:color w:val="000000" w:themeColor="text1"/>
            <w:sz w:val="31"/>
            <w:szCs w:val="31"/>
            <w:u w:val="none"/>
            <w:rtl/>
          </w:rPr>
          <w:t>الحقوقيّة</w:t>
        </w:r>
        <w:r w:rsidR="00EF7221" w:rsidRPr="001F3648">
          <w:rPr>
            <w:rStyle w:val="Hyperlink"/>
            <w:color w:val="000000" w:themeColor="text1"/>
            <w:sz w:val="31"/>
            <w:szCs w:val="31"/>
            <w:u w:val="none"/>
            <w:rtl/>
          </w:rPr>
          <w:t xml:space="preserve"> </w:t>
        </w:r>
        <w:r w:rsidR="00EF7221" w:rsidRPr="001F3648">
          <w:rPr>
            <w:rStyle w:val="Hyperlink"/>
            <w:rFonts w:hint="eastAsia"/>
            <w:color w:val="000000" w:themeColor="text1"/>
            <w:sz w:val="31"/>
            <w:szCs w:val="31"/>
            <w:u w:val="none"/>
            <w:rtl/>
          </w:rPr>
          <w:t>والفقهيّة</w:t>
        </w:r>
        <w:r w:rsidR="00EF7221" w:rsidRPr="001F3648">
          <w:rPr>
            <w:rStyle w:val="Hyperlink"/>
            <w:color w:val="000000" w:themeColor="text1"/>
            <w:sz w:val="31"/>
            <w:szCs w:val="31"/>
            <w:u w:val="none"/>
            <w:rtl/>
          </w:rPr>
          <w:t xml:space="preserve"> </w:t>
        </w:r>
        <w:r w:rsidR="00EF7221" w:rsidRPr="001F3648">
          <w:rPr>
            <w:rStyle w:val="Hyperlink"/>
            <w:rFonts w:hint="eastAsia"/>
            <w:color w:val="000000" w:themeColor="text1"/>
            <w:sz w:val="31"/>
            <w:szCs w:val="31"/>
            <w:u w:val="none"/>
            <w:rtl/>
          </w:rPr>
          <w:t>لاتّفاقية</w:t>
        </w:r>
        <w:r w:rsidR="00EF7221" w:rsidRPr="001F3648">
          <w:rPr>
            <w:rStyle w:val="Hyperlink"/>
            <w:color w:val="000000" w:themeColor="text1"/>
            <w:sz w:val="31"/>
            <w:szCs w:val="31"/>
            <w:u w:val="none"/>
            <w:rtl/>
          </w:rPr>
          <w:t xml:space="preserve"> </w:t>
        </w:r>
        <w:r w:rsidR="00EF7221" w:rsidRPr="001F3648">
          <w:rPr>
            <w:rStyle w:val="Hyperlink"/>
            <w:rFonts w:hint="eastAsia"/>
            <w:color w:val="000000" w:themeColor="text1"/>
            <w:sz w:val="31"/>
            <w:szCs w:val="31"/>
            <w:u w:val="none"/>
            <w:rtl/>
          </w:rPr>
          <w:t>استخدام</w:t>
        </w:r>
        <w:r w:rsidR="00EF7221" w:rsidRPr="001F3648">
          <w:rPr>
            <w:rStyle w:val="Hyperlink"/>
            <w:color w:val="000000" w:themeColor="text1"/>
            <w:sz w:val="31"/>
            <w:szCs w:val="31"/>
            <w:u w:val="none"/>
            <w:rtl/>
          </w:rPr>
          <w:t xml:space="preserve"> </w:t>
        </w:r>
        <w:r w:rsidR="00EF7221" w:rsidRPr="001F3648">
          <w:rPr>
            <w:rStyle w:val="Hyperlink"/>
            <w:rFonts w:hint="eastAsia"/>
            <w:color w:val="000000" w:themeColor="text1"/>
            <w:sz w:val="31"/>
            <w:szCs w:val="31"/>
            <w:u w:val="none"/>
            <w:rtl/>
          </w:rPr>
          <w:t>رحم</w:t>
        </w:r>
        <w:r w:rsidR="00EF7221" w:rsidRPr="001F3648">
          <w:rPr>
            <w:rStyle w:val="Hyperlink"/>
            <w:color w:val="000000" w:themeColor="text1"/>
            <w:sz w:val="31"/>
            <w:szCs w:val="31"/>
            <w:u w:val="none"/>
            <w:rtl/>
          </w:rPr>
          <w:t xml:space="preserve"> </w:t>
        </w:r>
        <w:r w:rsidR="00EF7221" w:rsidRPr="001F3648">
          <w:rPr>
            <w:rStyle w:val="Hyperlink"/>
            <w:rFonts w:hint="eastAsia"/>
            <w:color w:val="000000" w:themeColor="text1"/>
            <w:sz w:val="31"/>
            <w:szCs w:val="31"/>
            <w:u w:val="none"/>
            <w:rtl/>
          </w:rPr>
          <w:t>المرأة</w:t>
        </w:r>
        <w:r w:rsidR="00EF7221" w:rsidRPr="001F3648">
          <w:rPr>
            <w:rFonts w:ascii="Calibri" w:eastAsia="Times New Roman" w:hAnsi="Calibri" w:cs="Mosawi"/>
            <w:webHidden/>
            <w:color w:val="000000" w:themeColor="text1"/>
            <w:sz w:val="22"/>
            <w:szCs w:val="26"/>
            <w:rtl/>
            <w:lang w:eastAsia="en-US"/>
          </w:rPr>
          <w:tab/>
        </w:r>
        <w:r w:rsidRPr="001F3648">
          <w:rPr>
            <w:rFonts w:ascii="Calibri" w:eastAsia="Times New Roman" w:hAnsi="Calibri" w:cs="Mosawi"/>
            <w:webHidden/>
            <w:color w:val="000000" w:themeColor="text1"/>
            <w:sz w:val="22"/>
            <w:szCs w:val="26"/>
            <w:rtl/>
            <w:lang w:eastAsia="en-US"/>
          </w:rPr>
          <w:fldChar w:fldCharType="begin"/>
        </w:r>
        <w:r w:rsidR="00EF7221" w:rsidRPr="001F3648">
          <w:rPr>
            <w:rFonts w:ascii="Calibri" w:eastAsia="Times New Roman" w:hAnsi="Calibri" w:cs="Mosawi"/>
            <w:webHidden/>
            <w:color w:val="000000" w:themeColor="text1"/>
            <w:sz w:val="22"/>
            <w:szCs w:val="26"/>
            <w:rtl/>
            <w:lang w:eastAsia="en-US"/>
          </w:rPr>
          <w:instrText xml:space="preserve"> </w:instrText>
        </w:r>
        <w:r w:rsidR="00EF7221" w:rsidRPr="001F3648">
          <w:rPr>
            <w:rFonts w:ascii="Calibri" w:eastAsia="Times New Roman" w:hAnsi="Calibri" w:cs="Mosawi"/>
            <w:webHidden/>
            <w:color w:val="000000" w:themeColor="text1"/>
            <w:sz w:val="22"/>
            <w:szCs w:val="26"/>
            <w:lang w:eastAsia="en-US"/>
          </w:rPr>
          <w:instrText>PAGEREF</w:instrText>
        </w:r>
        <w:r w:rsidR="00EF7221" w:rsidRPr="001F3648">
          <w:rPr>
            <w:rFonts w:ascii="Calibri" w:eastAsia="Times New Roman" w:hAnsi="Calibri" w:cs="Mosawi"/>
            <w:webHidden/>
            <w:color w:val="000000" w:themeColor="text1"/>
            <w:sz w:val="22"/>
            <w:szCs w:val="26"/>
            <w:rtl/>
            <w:lang w:eastAsia="en-US"/>
          </w:rPr>
          <w:instrText xml:space="preserve"> _</w:instrText>
        </w:r>
        <w:r w:rsidR="00EF7221" w:rsidRPr="001F3648">
          <w:rPr>
            <w:rFonts w:ascii="Calibri" w:eastAsia="Times New Roman" w:hAnsi="Calibri" w:cs="Mosawi"/>
            <w:webHidden/>
            <w:color w:val="000000" w:themeColor="text1"/>
            <w:sz w:val="22"/>
            <w:szCs w:val="26"/>
            <w:lang w:eastAsia="en-US"/>
          </w:rPr>
          <w:instrText>Toc275128166 \h</w:instrText>
        </w:r>
        <w:r w:rsidR="00EF7221" w:rsidRPr="001F3648">
          <w:rPr>
            <w:rFonts w:ascii="Calibri" w:eastAsia="Times New Roman" w:hAnsi="Calibri" w:cs="Mosawi"/>
            <w:webHidden/>
            <w:color w:val="000000" w:themeColor="text1"/>
            <w:sz w:val="22"/>
            <w:szCs w:val="26"/>
            <w:rtl/>
            <w:lang w:eastAsia="en-US"/>
          </w:rPr>
          <w:instrText xml:space="preserve"> </w:instrText>
        </w:r>
        <w:r w:rsidRPr="001F3648">
          <w:rPr>
            <w:rFonts w:ascii="Calibri" w:eastAsia="Times New Roman" w:hAnsi="Calibri" w:cs="Mosawi"/>
            <w:webHidden/>
            <w:color w:val="000000" w:themeColor="text1"/>
            <w:sz w:val="22"/>
            <w:szCs w:val="26"/>
            <w:rtl/>
            <w:lang w:eastAsia="en-US"/>
          </w:rPr>
        </w:r>
        <w:r w:rsidRPr="001F3648">
          <w:rPr>
            <w:rFonts w:ascii="Calibri" w:eastAsia="Times New Roman" w:hAnsi="Calibri" w:cs="Mosawi"/>
            <w:webHidden/>
            <w:color w:val="000000" w:themeColor="text1"/>
            <w:sz w:val="22"/>
            <w:szCs w:val="26"/>
            <w:rtl/>
            <w:lang w:eastAsia="en-US"/>
          </w:rPr>
          <w:fldChar w:fldCharType="separate"/>
        </w:r>
        <w:r w:rsidR="0071680A">
          <w:rPr>
            <w:rFonts w:ascii="Calibri" w:eastAsia="Times New Roman" w:hAnsi="Calibri" w:cs="Mosawi"/>
            <w:webHidden/>
            <w:color w:val="000000" w:themeColor="text1"/>
            <w:sz w:val="22"/>
            <w:szCs w:val="26"/>
            <w:rtl/>
            <w:lang w:eastAsia="en-US"/>
          </w:rPr>
          <w:t>463</w:t>
        </w:r>
        <w:r w:rsidRPr="001F3648">
          <w:rPr>
            <w:rFonts w:ascii="Calibri" w:eastAsia="Times New Roman" w:hAnsi="Calibri" w:cs="Mosawi"/>
            <w:webHidden/>
            <w:color w:val="000000" w:themeColor="text1"/>
            <w:sz w:val="22"/>
            <w:szCs w:val="26"/>
            <w:rtl/>
            <w:lang w:eastAsia="en-US"/>
          </w:rPr>
          <w:fldChar w:fldCharType="end"/>
        </w:r>
      </w:hyperlink>
    </w:p>
    <w:p w:rsidR="00EF7221" w:rsidRPr="001F3648" w:rsidRDefault="00A6422F" w:rsidP="0008530B">
      <w:pPr>
        <w:pStyle w:val="TOC6"/>
        <w:spacing w:line="204" w:lineRule="auto"/>
        <w:rPr>
          <w:rFonts w:asciiTheme="minorHAnsi" w:eastAsiaTheme="minorEastAsia" w:hAnsiTheme="minorHAnsi" w:cstheme="minorBidi"/>
          <w:color w:val="000000" w:themeColor="text1"/>
          <w:szCs w:val="22"/>
          <w:rtl/>
        </w:rPr>
      </w:pPr>
      <w:hyperlink w:anchor="_Toc275128167" w:history="1">
        <w:r w:rsidR="00EF7221" w:rsidRPr="001F3648">
          <w:rPr>
            <w:rStyle w:val="Hyperlink"/>
            <w:rFonts w:hint="eastAsia"/>
            <w:color w:val="000000" w:themeColor="text1"/>
            <w:u w:val="none"/>
            <w:rtl/>
          </w:rPr>
          <w:t>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فريبا</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حاجي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علي</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Toc275128167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463</w:t>
        </w:r>
        <w:r w:rsidRPr="001F3648">
          <w:rPr>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68" w:history="1">
        <w:r w:rsidR="00EF7221" w:rsidRPr="001F3648">
          <w:rPr>
            <w:rStyle w:val="Hyperlink"/>
            <w:rFonts w:hint="eastAsia"/>
            <w:color w:val="000000" w:themeColor="text1"/>
            <w:sz w:val="24"/>
            <w:szCs w:val="28"/>
            <w:u w:val="none"/>
            <w:rtl/>
          </w:rPr>
          <w:t>مقدّمة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Toc275128168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463</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69" w:history="1">
        <w:r w:rsidR="00EF7221" w:rsidRPr="001F3648">
          <w:rPr>
            <w:rStyle w:val="Hyperlink"/>
            <w:rFonts w:hint="eastAsia"/>
            <w:color w:val="000000" w:themeColor="text1"/>
            <w:sz w:val="24"/>
            <w:szCs w:val="28"/>
            <w:u w:val="none"/>
            <w:rtl/>
          </w:rPr>
          <w:t>أـ</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ضرورة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استخدام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رحم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امرأة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أخرى</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Toc275128169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464</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70" w:history="1">
        <w:r w:rsidR="00EF7221" w:rsidRPr="001F3648">
          <w:rPr>
            <w:rStyle w:val="Hyperlink"/>
            <w:rFonts w:hint="eastAsia"/>
            <w:color w:val="000000" w:themeColor="text1"/>
            <w:sz w:val="24"/>
            <w:szCs w:val="28"/>
            <w:u w:val="none"/>
            <w:rtl/>
          </w:rPr>
          <w:t>ب</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ـ</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موارد</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استخدام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رحم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امرأة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أخرى</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Toc275128170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464</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71" w:history="1">
        <w:r w:rsidR="00EF7221" w:rsidRPr="001F3648">
          <w:rPr>
            <w:rStyle w:val="Hyperlink"/>
            <w:color w:val="000000" w:themeColor="text1"/>
            <w:sz w:val="24"/>
            <w:szCs w:val="28"/>
            <w:u w:val="none"/>
            <w:rtl/>
          </w:rPr>
          <w:t>1</w:t>
        </w:r>
        <w:r w:rsidR="00EF7221" w:rsidRPr="001F3648">
          <w:rPr>
            <w:rStyle w:val="Hyperlink"/>
            <w:rFonts w:hint="eastAsia"/>
            <w:color w:val="000000" w:themeColor="text1"/>
            <w:sz w:val="24"/>
            <w:szCs w:val="28"/>
            <w:u w:val="none"/>
            <w:rtl/>
          </w:rPr>
          <w:t>ـ</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الاستفادة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من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رحم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امرأة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أخرى</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لامرأة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غير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قادرة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على</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إنتاج</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البويضة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استخدام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رحم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ومبيض</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امرأة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أخرى</w:t>
        </w:r>
        <w:r w:rsidR="00EF7221" w:rsidRPr="001F3648">
          <w:rPr>
            <w:rStyle w:val="Hyperlink"/>
            <w:color w:val="000000" w:themeColor="text1"/>
            <w:sz w:val="24"/>
            <w:szCs w:val="28"/>
            <w:u w:val="none"/>
            <w:rtl/>
          </w:rPr>
          <w:t>)</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Toc275128171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465</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72" w:history="1">
        <w:r w:rsidR="00EF7221" w:rsidRPr="001F3648">
          <w:rPr>
            <w:rStyle w:val="Hyperlink"/>
            <w:color w:val="000000" w:themeColor="text1"/>
            <w:sz w:val="24"/>
            <w:szCs w:val="28"/>
            <w:u w:val="none"/>
            <w:rtl/>
          </w:rPr>
          <w:t>2</w:t>
        </w:r>
        <w:r w:rsidR="00EF7221" w:rsidRPr="001F3648">
          <w:rPr>
            <w:rStyle w:val="Hyperlink"/>
            <w:rFonts w:hint="eastAsia"/>
            <w:color w:val="000000" w:themeColor="text1"/>
            <w:sz w:val="24"/>
            <w:szCs w:val="28"/>
            <w:u w:val="none"/>
            <w:rtl/>
          </w:rPr>
          <w:t>ـ</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استخدام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رحم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امرأة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أخرى</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باستخدام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جنين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الزوجين</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Toc275128172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466</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73" w:history="1">
        <w:r w:rsidR="00EF7221" w:rsidRPr="001F3648">
          <w:rPr>
            <w:rStyle w:val="Hyperlink"/>
            <w:color w:val="000000" w:themeColor="text1"/>
            <w:sz w:val="24"/>
            <w:szCs w:val="28"/>
            <w:u w:val="none"/>
            <w:rtl/>
          </w:rPr>
          <w:t>3</w:t>
        </w:r>
        <w:r w:rsidR="00EF7221" w:rsidRPr="001F3648">
          <w:rPr>
            <w:rStyle w:val="Hyperlink"/>
            <w:rFonts w:hint="eastAsia"/>
            <w:color w:val="000000" w:themeColor="text1"/>
            <w:sz w:val="24"/>
            <w:szCs w:val="28"/>
            <w:u w:val="none"/>
            <w:rtl/>
          </w:rPr>
          <w:t>ـ</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استخدام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رحم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امرأة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أخرى</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باستخدام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الجنين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الذي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أهدي</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Toc275128173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466</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74" w:history="1">
        <w:r w:rsidR="00EF7221" w:rsidRPr="001F3648">
          <w:rPr>
            <w:rStyle w:val="Hyperlink"/>
            <w:color w:val="000000" w:themeColor="text1"/>
            <w:sz w:val="24"/>
            <w:szCs w:val="28"/>
            <w:u w:val="none"/>
            <w:rtl/>
          </w:rPr>
          <w:t>4</w:t>
        </w:r>
        <w:r w:rsidR="00EF7221" w:rsidRPr="001F3648">
          <w:rPr>
            <w:rStyle w:val="Hyperlink"/>
            <w:rFonts w:hint="eastAsia"/>
            <w:color w:val="000000" w:themeColor="text1"/>
            <w:sz w:val="24"/>
            <w:szCs w:val="28"/>
            <w:u w:val="none"/>
            <w:rtl/>
          </w:rPr>
          <w:t>ـ</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أدلّة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استخدام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رحم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امرأة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أخرى</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Toc275128174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466</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75" w:history="1">
        <w:r w:rsidR="00EF7221" w:rsidRPr="001F3648">
          <w:rPr>
            <w:rStyle w:val="Hyperlink"/>
            <w:rFonts w:hint="eastAsia"/>
            <w:color w:val="000000" w:themeColor="text1"/>
            <w:sz w:val="24"/>
            <w:szCs w:val="28"/>
            <w:u w:val="none"/>
            <w:rtl/>
          </w:rPr>
          <w:t>سبب</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العقم</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Toc275128175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467</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76" w:history="1">
        <w:r w:rsidR="00EF7221" w:rsidRPr="001F3648">
          <w:rPr>
            <w:rStyle w:val="Hyperlink"/>
            <w:rFonts w:hint="eastAsia"/>
            <w:color w:val="000000" w:themeColor="text1"/>
            <w:sz w:val="24"/>
            <w:szCs w:val="28"/>
            <w:u w:val="none"/>
            <w:rtl/>
          </w:rPr>
          <w:t>حالة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المرأة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الصحيحة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عدم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الانطباق</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الجنيني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ـ</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الأمي</w:t>
        </w:r>
        <w:r w:rsidR="00EF7221" w:rsidRPr="001F3648">
          <w:rPr>
            <w:rStyle w:val="Hyperlink"/>
            <w:color w:val="000000" w:themeColor="text1"/>
            <w:sz w:val="24"/>
            <w:szCs w:val="28"/>
            <w:u w:val="none"/>
            <w:rtl/>
          </w:rPr>
          <w:t>)</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Toc275128176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467</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77" w:history="1">
        <w:r w:rsidR="00EF7221" w:rsidRPr="001F3648">
          <w:rPr>
            <w:rStyle w:val="Hyperlink"/>
            <w:rFonts w:hint="eastAsia"/>
            <w:color w:val="000000" w:themeColor="text1"/>
            <w:sz w:val="24"/>
            <w:szCs w:val="28"/>
            <w:u w:val="none"/>
            <w:rtl/>
          </w:rPr>
          <w:t>المنع</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من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انتقال</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النقائص</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الوراثية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Toc275128177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467</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78" w:history="1">
        <w:r w:rsidR="00EF7221" w:rsidRPr="001F3648">
          <w:rPr>
            <w:rStyle w:val="Hyperlink"/>
            <w:rFonts w:hint="eastAsia"/>
            <w:color w:val="000000" w:themeColor="text1"/>
            <w:sz w:val="24"/>
            <w:szCs w:val="28"/>
            <w:u w:val="none"/>
            <w:rtl/>
          </w:rPr>
          <w:t>الدلائل</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الاجتماعيّة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Toc275128178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467</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79" w:history="1">
        <w:r w:rsidR="00EF7221" w:rsidRPr="001F3648">
          <w:rPr>
            <w:rStyle w:val="Hyperlink"/>
            <w:color w:val="000000" w:themeColor="text1"/>
            <w:sz w:val="24"/>
            <w:szCs w:val="28"/>
            <w:u w:val="none"/>
            <w:rtl/>
          </w:rPr>
          <w:t>5</w:t>
        </w:r>
        <w:r w:rsidR="00EF7221" w:rsidRPr="001F3648">
          <w:rPr>
            <w:rStyle w:val="Hyperlink"/>
            <w:rFonts w:hint="eastAsia"/>
            <w:color w:val="000000" w:themeColor="text1"/>
            <w:sz w:val="24"/>
            <w:szCs w:val="28"/>
            <w:u w:val="none"/>
            <w:rtl/>
          </w:rPr>
          <w:t>ـ</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مسألة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البحث</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Toc275128179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468</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80" w:history="1">
        <w:r w:rsidR="00EF7221" w:rsidRPr="001F3648">
          <w:rPr>
            <w:rStyle w:val="Hyperlink"/>
            <w:color w:val="000000" w:themeColor="text1"/>
            <w:sz w:val="24"/>
            <w:szCs w:val="28"/>
            <w:u w:val="none"/>
            <w:rtl/>
          </w:rPr>
          <w:t>6</w:t>
        </w:r>
        <w:r w:rsidR="00EF7221" w:rsidRPr="001F3648">
          <w:rPr>
            <w:rStyle w:val="Hyperlink"/>
            <w:rFonts w:hint="eastAsia"/>
            <w:color w:val="000000" w:themeColor="text1"/>
            <w:sz w:val="24"/>
            <w:szCs w:val="28"/>
            <w:u w:val="none"/>
            <w:rtl/>
          </w:rPr>
          <w:t>ـ</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أسلوب</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البحث</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Toc275128180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468</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81" w:history="1">
        <w:r w:rsidR="00EF7221" w:rsidRPr="001F3648">
          <w:rPr>
            <w:rStyle w:val="Hyperlink"/>
            <w:color w:val="000000" w:themeColor="text1"/>
            <w:sz w:val="24"/>
            <w:szCs w:val="28"/>
            <w:u w:val="none"/>
            <w:rtl/>
          </w:rPr>
          <w:t>7</w:t>
        </w:r>
        <w:r w:rsidR="00EF7221" w:rsidRPr="001F3648">
          <w:rPr>
            <w:rStyle w:val="Hyperlink"/>
            <w:rFonts w:hint="eastAsia"/>
            <w:color w:val="000000" w:themeColor="text1"/>
            <w:sz w:val="24"/>
            <w:szCs w:val="28"/>
            <w:u w:val="none"/>
            <w:rtl/>
          </w:rPr>
          <w:t>ـ</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أسلوب</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جمع</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المعلومات</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Toc275128181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468</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82" w:history="1">
        <w:r w:rsidR="00EF7221" w:rsidRPr="001F3648">
          <w:rPr>
            <w:rStyle w:val="Hyperlink"/>
            <w:rFonts w:hint="eastAsia"/>
            <w:color w:val="000000" w:themeColor="text1"/>
            <w:sz w:val="24"/>
            <w:szCs w:val="28"/>
            <w:u w:val="none"/>
            <w:rtl/>
          </w:rPr>
          <w:t>المفاهيم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والمصطلحات</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Toc275128182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469</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83" w:history="1">
        <w:r w:rsidR="00EF7221" w:rsidRPr="001F3648">
          <w:rPr>
            <w:rStyle w:val="Hyperlink"/>
            <w:rFonts w:hint="eastAsia"/>
            <w:color w:val="000000" w:themeColor="text1"/>
            <w:sz w:val="24"/>
            <w:szCs w:val="28"/>
            <w:u w:val="none"/>
            <w:rtl/>
          </w:rPr>
          <w:t>تعريف</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اتفاقية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استخدام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رحم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المرأة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Toc275128183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469</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84" w:history="1">
        <w:r w:rsidR="00EF7221" w:rsidRPr="001F3648">
          <w:rPr>
            <w:rStyle w:val="Hyperlink"/>
            <w:rFonts w:hint="eastAsia"/>
            <w:color w:val="000000" w:themeColor="text1"/>
            <w:sz w:val="24"/>
            <w:szCs w:val="28"/>
            <w:u w:val="none"/>
            <w:rtl/>
          </w:rPr>
          <w:t>ضرورة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وجود</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عقد</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اتفاقية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Toc275128184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470</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85" w:history="1">
        <w:r w:rsidR="00EF7221" w:rsidRPr="001F3648">
          <w:rPr>
            <w:rStyle w:val="Hyperlink"/>
            <w:rFonts w:hint="eastAsia"/>
            <w:color w:val="000000" w:themeColor="text1"/>
            <w:sz w:val="24"/>
            <w:szCs w:val="28"/>
            <w:u w:val="none"/>
            <w:rtl/>
          </w:rPr>
          <w:t>أنواع</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اتفاقية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استخدام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رحم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المرأة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Toc275128185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470</w:t>
        </w:r>
        <w:r w:rsidRPr="001F3648">
          <w:rPr>
            <w:webHidden/>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186" w:history="1">
        <w:r w:rsidR="00EF7221" w:rsidRPr="001F3648">
          <w:rPr>
            <w:rStyle w:val="Hyperlink"/>
            <w:noProof/>
            <w:color w:val="000000" w:themeColor="text1"/>
            <w:u w:val="none"/>
            <w:rtl/>
          </w:rPr>
          <w:t>1</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الاتفاقية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التجارية</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Toc275128186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470</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187" w:history="1">
        <w:r w:rsidR="00EF7221" w:rsidRPr="001F3648">
          <w:rPr>
            <w:rStyle w:val="Hyperlink"/>
            <w:noProof/>
            <w:color w:val="000000" w:themeColor="text1"/>
            <w:u w:val="none"/>
            <w:rtl/>
          </w:rPr>
          <w:t>2</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الاتفاقية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غير</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التجاريّة</w:t>
        </w:r>
        <w:r w:rsidR="00EF7221" w:rsidRPr="001F3648">
          <w:rPr>
            <w:rStyle w:val="Hyperlink"/>
            <w:rFonts w:cs="Times New Roman" w:hint="cs"/>
            <w:noProof/>
            <w:color w:val="000000" w:themeColor="text1"/>
            <w:u w:val="none"/>
            <w:rtl/>
          </w:rPr>
          <w:t>‌</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بلا</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عوض</w:t>
        </w:r>
        <w:r w:rsidR="00EF7221" w:rsidRPr="001F3648">
          <w:rPr>
            <w:rStyle w:val="Hyperlink"/>
            <w:noProof/>
            <w:color w:val="000000" w:themeColor="text1"/>
            <w:u w:val="none"/>
            <w:rtl/>
          </w:rPr>
          <w:t>)</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Toc275128187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471</w:t>
        </w:r>
        <w:r w:rsidRPr="001F3648">
          <w:rPr>
            <w:noProof/>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88" w:history="1">
        <w:r w:rsidR="00EF7221" w:rsidRPr="001F3648">
          <w:rPr>
            <w:rStyle w:val="Hyperlink"/>
            <w:rFonts w:hint="eastAsia"/>
            <w:color w:val="000000" w:themeColor="text1"/>
            <w:sz w:val="24"/>
            <w:szCs w:val="28"/>
            <w:u w:val="none"/>
            <w:rtl/>
          </w:rPr>
          <w:t>كيفيّة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تعيين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وتبويب</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مراحل</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الالتزامات</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Toc275128188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471</w:t>
        </w:r>
        <w:r w:rsidRPr="001F3648">
          <w:rPr>
            <w:webHidden/>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189" w:history="1">
        <w:r w:rsidR="00EF7221" w:rsidRPr="001F3648">
          <w:rPr>
            <w:rStyle w:val="Hyperlink"/>
            <w:noProof/>
            <w:color w:val="000000" w:themeColor="text1"/>
            <w:u w:val="none"/>
            <w:rtl/>
          </w:rPr>
          <w:t>3</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الحالة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الحقوقيّة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لاتفاقية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استخدام</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رحم</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المرأة</w:t>
        </w:r>
        <w:r w:rsidR="00EF7221" w:rsidRPr="001F3648">
          <w:rPr>
            <w:rStyle w:val="Hyperlink"/>
            <w:rFonts w:cs="Times New Roman" w:hint="cs"/>
            <w:noProof/>
            <w:color w:val="000000" w:themeColor="text1"/>
            <w:u w:val="none"/>
            <w:rtl/>
          </w:rPr>
          <w:t>‌</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Toc275128189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472</w:t>
        </w:r>
        <w:r w:rsidRPr="001F3648">
          <w:rPr>
            <w:noProof/>
            <w:webHidden/>
            <w:color w:val="000000" w:themeColor="text1"/>
            <w:rtl/>
          </w:rPr>
          <w:fldChar w:fldCharType="end"/>
        </w:r>
      </w:hyperlink>
    </w:p>
    <w:p w:rsidR="00EF7221" w:rsidRPr="001F3648" w:rsidRDefault="00A6422F" w:rsidP="0008530B">
      <w:pPr>
        <w:pStyle w:val="TOC4"/>
        <w:spacing w:line="204" w:lineRule="auto"/>
        <w:rPr>
          <w:rFonts w:asciiTheme="minorHAnsi" w:eastAsiaTheme="minorEastAsia" w:hAnsiTheme="minorHAnsi" w:cstheme="minorBidi"/>
          <w:noProof/>
          <w:color w:val="000000" w:themeColor="text1"/>
          <w:sz w:val="22"/>
          <w:szCs w:val="22"/>
          <w:rtl/>
        </w:rPr>
      </w:pPr>
      <w:hyperlink w:anchor="_Toc275128190" w:history="1">
        <w:r w:rsidR="00EF7221" w:rsidRPr="001F3648">
          <w:rPr>
            <w:rStyle w:val="Hyperlink"/>
            <w:noProof/>
            <w:color w:val="000000" w:themeColor="text1"/>
            <w:u w:val="none"/>
            <w:rtl/>
          </w:rPr>
          <w:t>3</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1</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نيّة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ورضا</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الطرفين</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Toc275128190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472</w:t>
        </w:r>
        <w:r w:rsidRPr="001F3648">
          <w:rPr>
            <w:noProof/>
            <w:webHidden/>
            <w:color w:val="000000" w:themeColor="text1"/>
            <w:rtl/>
          </w:rPr>
          <w:fldChar w:fldCharType="end"/>
        </w:r>
      </w:hyperlink>
    </w:p>
    <w:p w:rsidR="00EF7221" w:rsidRPr="001F3648" w:rsidRDefault="00A6422F" w:rsidP="0008530B">
      <w:pPr>
        <w:pStyle w:val="TOC4"/>
        <w:spacing w:line="204" w:lineRule="auto"/>
        <w:rPr>
          <w:rFonts w:asciiTheme="minorHAnsi" w:eastAsiaTheme="minorEastAsia" w:hAnsiTheme="minorHAnsi" w:cstheme="minorBidi"/>
          <w:noProof/>
          <w:color w:val="000000" w:themeColor="text1"/>
          <w:sz w:val="22"/>
          <w:szCs w:val="22"/>
          <w:rtl/>
        </w:rPr>
      </w:pPr>
      <w:hyperlink w:anchor="_Toc275128191" w:history="1">
        <w:r w:rsidR="00EF7221" w:rsidRPr="001F3648">
          <w:rPr>
            <w:rStyle w:val="Hyperlink"/>
            <w:noProof/>
            <w:color w:val="000000" w:themeColor="text1"/>
            <w:u w:val="none"/>
            <w:rtl/>
          </w:rPr>
          <w:t>3</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2</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أهليّة</w:t>
        </w:r>
        <w:r w:rsidR="00EF7221" w:rsidRPr="001F3648">
          <w:rPr>
            <w:rStyle w:val="Hyperlink"/>
            <w:noProof/>
            <w:color w:val="000000" w:themeColor="text1"/>
            <w:u w:val="none"/>
            <w:rtl/>
          </w:rPr>
          <w:t xml:space="preserve"> </w:t>
        </w:r>
        <w:r w:rsidR="00EF7221" w:rsidRPr="001F3648">
          <w:rPr>
            <w:rStyle w:val="Hyperlink"/>
            <w:rFonts w:ascii="MS Mincho" w:eastAsia="MS Mincho" w:hAnsi="MS Mincho" w:cs="MS Mincho" w:hint="eastAsia"/>
            <w:noProof/>
            <w:color w:val="000000" w:themeColor="text1"/>
            <w:u w:val="none"/>
          </w:rPr>
          <w:t>‌</w:t>
        </w:r>
        <w:r w:rsidR="00EF7221" w:rsidRPr="001F3648">
          <w:rPr>
            <w:rStyle w:val="Hyperlink"/>
            <w:rFonts w:hint="eastAsia"/>
            <w:noProof/>
            <w:color w:val="000000" w:themeColor="text1"/>
            <w:u w:val="none"/>
            <w:rtl/>
          </w:rPr>
          <w:t>الطرفين</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Toc275128191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473</w:t>
        </w:r>
        <w:r w:rsidRPr="001F3648">
          <w:rPr>
            <w:noProof/>
            <w:webHidden/>
            <w:color w:val="000000" w:themeColor="text1"/>
            <w:rtl/>
          </w:rPr>
          <w:fldChar w:fldCharType="end"/>
        </w:r>
      </w:hyperlink>
    </w:p>
    <w:p w:rsidR="00EF7221" w:rsidRPr="001F3648" w:rsidRDefault="00A6422F" w:rsidP="0008530B">
      <w:pPr>
        <w:pStyle w:val="TOC4"/>
        <w:spacing w:line="204" w:lineRule="auto"/>
        <w:rPr>
          <w:rFonts w:asciiTheme="minorHAnsi" w:eastAsiaTheme="minorEastAsia" w:hAnsiTheme="minorHAnsi" w:cstheme="minorBidi"/>
          <w:noProof/>
          <w:color w:val="000000" w:themeColor="text1"/>
          <w:sz w:val="22"/>
          <w:szCs w:val="22"/>
          <w:rtl/>
        </w:rPr>
      </w:pPr>
      <w:hyperlink w:anchor="_Toc275128192" w:history="1">
        <w:r w:rsidR="00EF7221" w:rsidRPr="001F3648">
          <w:rPr>
            <w:rStyle w:val="Hyperlink"/>
            <w:noProof/>
            <w:color w:val="000000" w:themeColor="text1"/>
            <w:u w:val="none"/>
            <w:rtl/>
          </w:rPr>
          <w:t>3</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3</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موضوع</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المعاملة</w:t>
        </w:r>
        <w:r w:rsidR="00EF7221" w:rsidRPr="001F3648">
          <w:rPr>
            <w:rStyle w:val="Hyperlink"/>
            <w:noProof/>
            <w:color w:val="000000" w:themeColor="text1"/>
            <w:u w:val="none"/>
            <w:rtl/>
          </w:rPr>
          <w:t xml:space="preserve"> </w:t>
        </w:r>
        <w:r w:rsidR="00EF7221" w:rsidRPr="001F3648">
          <w:rPr>
            <w:rStyle w:val="Hyperlink"/>
            <w:rFonts w:ascii="MS Mincho" w:eastAsia="MS Mincho" w:hAnsi="MS Mincho" w:cs="MS Mincho" w:hint="eastAsia"/>
            <w:noProof/>
            <w:color w:val="000000" w:themeColor="text1"/>
            <w:u w:val="none"/>
          </w:rPr>
          <w:t>‌</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Toc275128192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474</w:t>
        </w:r>
        <w:r w:rsidRPr="001F3648">
          <w:rPr>
            <w:noProof/>
            <w:webHidden/>
            <w:color w:val="000000" w:themeColor="text1"/>
            <w:rtl/>
          </w:rPr>
          <w:fldChar w:fldCharType="end"/>
        </w:r>
      </w:hyperlink>
    </w:p>
    <w:p w:rsidR="00EF7221" w:rsidRPr="001F3648" w:rsidRDefault="00A6422F" w:rsidP="0008530B">
      <w:pPr>
        <w:pStyle w:val="TOC4"/>
        <w:spacing w:line="204" w:lineRule="auto"/>
        <w:rPr>
          <w:rFonts w:asciiTheme="minorHAnsi" w:eastAsiaTheme="minorEastAsia" w:hAnsiTheme="minorHAnsi" w:cstheme="minorBidi"/>
          <w:noProof/>
          <w:color w:val="000000" w:themeColor="text1"/>
          <w:sz w:val="22"/>
          <w:szCs w:val="22"/>
          <w:rtl/>
        </w:rPr>
      </w:pPr>
      <w:hyperlink w:anchor="_Toc275128193" w:history="1">
        <w:r w:rsidR="00EF7221" w:rsidRPr="001F3648">
          <w:rPr>
            <w:rStyle w:val="Hyperlink"/>
            <w:rFonts w:hint="eastAsia"/>
            <w:noProof/>
            <w:color w:val="000000" w:themeColor="text1"/>
            <w:u w:val="none"/>
            <w:rtl/>
          </w:rPr>
          <w:t>الشروط</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العامة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للمعاملة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الاتفاقية</w:t>
        </w:r>
        <w:r w:rsidR="00EF7221" w:rsidRPr="001F3648">
          <w:rPr>
            <w:rStyle w:val="Hyperlink"/>
            <w:noProof/>
            <w:color w:val="000000" w:themeColor="text1"/>
            <w:u w:val="none"/>
            <w:rtl/>
          </w:rPr>
          <w:t>)</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Toc275128193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474</w:t>
        </w:r>
        <w:r w:rsidRPr="001F3648">
          <w:rPr>
            <w:noProof/>
            <w:webHidden/>
            <w:color w:val="000000" w:themeColor="text1"/>
            <w:rtl/>
          </w:rPr>
          <w:fldChar w:fldCharType="end"/>
        </w:r>
      </w:hyperlink>
    </w:p>
    <w:p w:rsidR="00EF7221" w:rsidRPr="001F3648" w:rsidRDefault="00A6422F" w:rsidP="0008530B">
      <w:pPr>
        <w:pStyle w:val="TOC5"/>
        <w:spacing w:line="204" w:lineRule="auto"/>
        <w:rPr>
          <w:rFonts w:asciiTheme="minorHAnsi" w:eastAsiaTheme="minorEastAsia" w:hAnsiTheme="minorHAnsi" w:cstheme="minorBidi"/>
          <w:b w:val="0"/>
          <w:bCs w:val="0"/>
          <w:color w:val="000000" w:themeColor="text1"/>
          <w:sz w:val="22"/>
          <w:szCs w:val="22"/>
          <w:rtl/>
        </w:rPr>
      </w:pPr>
      <w:hyperlink w:anchor="_Toc275128194" w:history="1">
        <w:r w:rsidR="00EF7221" w:rsidRPr="001F3648">
          <w:rPr>
            <w:rStyle w:val="Hyperlink"/>
            <w:color w:val="000000" w:themeColor="text1"/>
            <w:u w:val="none"/>
            <w:rtl/>
          </w:rPr>
          <w:t>3</w:t>
        </w:r>
        <w:r w:rsidR="00EF7221" w:rsidRPr="001F3648">
          <w:rPr>
            <w:rStyle w:val="Hyperlink"/>
            <w:rFonts w:hint="eastAsia"/>
            <w:color w:val="000000" w:themeColor="text1"/>
            <w:u w:val="none"/>
            <w:rtl/>
          </w:rPr>
          <w:t>ـ</w:t>
        </w:r>
        <w:r w:rsidR="00EF7221" w:rsidRPr="001F3648">
          <w:rPr>
            <w:rStyle w:val="Hyperlink"/>
            <w:color w:val="000000" w:themeColor="text1"/>
            <w:u w:val="none"/>
            <w:rtl/>
          </w:rPr>
          <w:t xml:space="preserve"> 3</w:t>
        </w:r>
        <w:r w:rsidR="00EF7221" w:rsidRPr="001F3648">
          <w:rPr>
            <w:rStyle w:val="Hyperlink"/>
            <w:rFonts w:hint="eastAsia"/>
            <w:color w:val="000000" w:themeColor="text1"/>
            <w:u w:val="none"/>
            <w:rtl/>
          </w:rPr>
          <w:t>ـ</w:t>
        </w:r>
        <w:r w:rsidR="00EF7221" w:rsidRPr="001F3648">
          <w:rPr>
            <w:rStyle w:val="Hyperlink"/>
            <w:color w:val="000000" w:themeColor="text1"/>
            <w:u w:val="none"/>
            <w:rtl/>
          </w:rPr>
          <w:t xml:space="preserve"> 1</w:t>
        </w:r>
        <w:r w:rsidR="00EF7221" w:rsidRPr="001F3648">
          <w:rPr>
            <w:rStyle w:val="Hyperlink"/>
            <w:rFonts w:hint="eastAsia"/>
            <w:color w:val="000000" w:themeColor="text1"/>
            <w:u w:val="none"/>
            <w:rtl/>
          </w:rPr>
          <w:t>ـ</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الوضوح</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والتعيين</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Toc275128194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475</w:t>
        </w:r>
        <w:r w:rsidRPr="001F3648">
          <w:rPr>
            <w:webHidden/>
            <w:color w:val="000000" w:themeColor="text1"/>
            <w:rtl/>
          </w:rPr>
          <w:fldChar w:fldCharType="end"/>
        </w:r>
      </w:hyperlink>
    </w:p>
    <w:p w:rsidR="00EF7221" w:rsidRPr="001F3648" w:rsidRDefault="00A6422F" w:rsidP="0008530B">
      <w:pPr>
        <w:pStyle w:val="TOC5"/>
        <w:spacing w:line="204" w:lineRule="auto"/>
        <w:rPr>
          <w:rFonts w:asciiTheme="minorHAnsi" w:eastAsiaTheme="minorEastAsia" w:hAnsiTheme="minorHAnsi" w:cstheme="minorBidi"/>
          <w:b w:val="0"/>
          <w:bCs w:val="0"/>
          <w:color w:val="000000" w:themeColor="text1"/>
          <w:sz w:val="22"/>
          <w:szCs w:val="22"/>
          <w:rtl/>
        </w:rPr>
      </w:pPr>
      <w:hyperlink w:anchor="_Toc275128195" w:history="1">
        <w:r w:rsidR="00EF7221" w:rsidRPr="001F3648">
          <w:rPr>
            <w:rStyle w:val="Hyperlink"/>
            <w:color w:val="000000" w:themeColor="text1"/>
            <w:u w:val="none"/>
            <w:rtl/>
          </w:rPr>
          <w:t>3</w:t>
        </w:r>
        <w:r w:rsidR="00EF7221" w:rsidRPr="001F3648">
          <w:rPr>
            <w:rStyle w:val="Hyperlink"/>
            <w:rFonts w:hint="eastAsia"/>
            <w:color w:val="000000" w:themeColor="text1"/>
            <w:u w:val="none"/>
            <w:rtl/>
          </w:rPr>
          <w:t>ـ</w:t>
        </w:r>
        <w:r w:rsidR="00EF7221" w:rsidRPr="001F3648">
          <w:rPr>
            <w:rStyle w:val="Hyperlink"/>
            <w:color w:val="000000" w:themeColor="text1"/>
            <w:u w:val="none"/>
            <w:rtl/>
          </w:rPr>
          <w:t xml:space="preserve"> 3</w:t>
        </w:r>
        <w:r w:rsidR="00EF7221" w:rsidRPr="001F3648">
          <w:rPr>
            <w:rStyle w:val="Hyperlink"/>
            <w:rFonts w:hint="eastAsia"/>
            <w:color w:val="000000" w:themeColor="text1"/>
            <w:u w:val="none"/>
            <w:rtl/>
          </w:rPr>
          <w:t>ـ</w:t>
        </w:r>
        <w:r w:rsidR="00EF7221" w:rsidRPr="001F3648">
          <w:rPr>
            <w:rStyle w:val="Hyperlink"/>
            <w:color w:val="000000" w:themeColor="text1"/>
            <w:u w:val="none"/>
            <w:rtl/>
          </w:rPr>
          <w:t xml:space="preserve"> 2</w:t>
        </w:r>
        <w:r w:rsidR="00EF7221" w:rsidRPr="001F3648">
          <w:rPr>
            <w:rStyle w:val="Hyperlink"/>
            <w:rFonts w:hint="eastAsia"/>
            <w:color w:val="000000" w:themeColor="text1"/>
            <w:u w:val="none"/>
            <w:rtl/>
          </w:rPr>
          <w:t>ـ</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القدرة</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Toc275128195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477</w:t>
        </w:r>
        <w:r w:rsidRPr="001F3648">
          <w:rPr>
            <w:webHidden/>
            <w:color w:val="000000" w:themeColor="text1"/>
            <w:rtl/>
          </w:rPr>
          <w:fldChar w:fldCharType="end"/>
        </w:r>
      </w:hyperlink>
    </w:p>
    <w:p w:rsidR="00EF7221" w:rsidRPr="001F3648" w:rsidRDefault="00A6422F" w:rsidP="0008530B">
      <w:pPr>
        <w:pStyle w:val="TOC5"/>
        <w:spacing w:line="204" w:lineRule="auto"/>
        <w:rPr>
          <w:rFonts w:asciiTheme="minorHAnsi" w:eastAsiaTheme="minorEastAsia" w:hAnsiTheme="minorHAnsi" w:cstheme="minorBidi"/>
          <w:b w:val="0"/>
          <w:bCs w:val="0"/>
          <w:color w:val="000000" w:themeColor="text1"/>
          <w:sz w:val="22"/>
          <w:szCs w:val="22"/>
          <w:rtl/>
        </w:rPr>
      </w:pPr>
      <w:hyperlink w:anchor="_Toc275128196" w:history="1">
        <w:r w:rsidR="00EF7221" w:rsidRPr="001F3648">
          <w:rPr>
            <w:rStyle w:val="Hyperlink"/>
            <w:color w:val="000000" w:themeColor="text1"/>
            <w:u w:val="none"/>
            <w:rtl/>
          </w:rPr>
          <w:t>3</w:t>
        </w:r>
        <w:r w:rsidR="00EF7221" w:rsidRPr="001F3648">
          <w:rPr>
            <w:rStyle w:val="Hyperlink"/>
            <w:rFonts w:hint="eastAsia"/>
            <w:color w:val="000000" w:themeColor="text1"/>
            <w:u w:val="none"/>
            <w:rtl/>
          </w:rPr>
          <w:t>ـ</w:t>
        </w:r>
        <w:r w:rsidR="00EF7221" w:rsidRPr="001F3648">
          <w:rPr>
            <w:rStyle w:val="Hyperlink"/>
            <w:color w:val="000000" w:themeColor="text1"/>
            <w:u w:val="none"/>
            <w:rtl/>
          </w:rPr>
          <w:t xml:space="preserve"> 3</w:t>
        </w:r>
        <w:r w:rsidR="00EF7221" w:rsidRPr="001F3648">
          <w:rPr>
            <w:rStyle w:val="Hyperlink"/>
            <w:rFonts w:hint="eastAsia"/>
            <w:color w:val="000000" w:themeColor="text1"/>
            <w:u w:val="none"/>
            <w:rtl/>
          </w:rPr>
          <w:t>ـ</w:t>
        </w:r>
        <w:r w:rsidR="00EF7221" w:rsidRPr="001F3648">
          <w:rPr>
            <w:rStyle w:val="Hyperlink"/>
            <w:color w:val="000000" w:themeColor="text1"/>
            <w:u w:val="none"/>
            <w:rtl/>
          </w:rPr>
          <w:t xml:space="preserve"> 3</w:t>
        </w:r>
        <w:r w:rsidR="00EF7221" w:rsidRPr="001F3648">
          <w:rPr>
            <w:rStyle w:val="Hyperlink"/>
            <w:rFonts w:hint="eastAsia"/>
            <w:color w:val="000000" w:themeColor="text1"/>
            <w:u w:val="none"/>
            <w:rtl/>
          </w:rPr>
          <w:t>ـ</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الشرعيّة</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Toc275128196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478</w:t>
        </w:r>
        <w:r w:rsidRPr="001F3648">
          <w:rPr>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97" w:history="1">
        <w:r w:rsidR="00EF7221" w:rsidRPr="001F3648">
          <w:rPr>
            <w:rStyle w:val="Hyperlink"/>
            <w:rFonts w:hint="eastAsia"/>
            <w:color w:val="000000" w:themeColor="text1"/>
            <w:sz w:val="24"/>
            <w:szCs w:val="28"/>
            <w:u w:val="none"/>
            <w:rtl/>
          </w:rPr>
          <w:t>حالة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الاتفاقية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المصادر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الإسلاميّة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وفتاوى</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الفقهاء</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Toc275128197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479</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198" w:history="1">
        <w:r w:rsidR="00EF7221" w:rsidRPr="001F3648">
          <w:rPr>
            <w:rStyle w:val="Hyperlink"/>
            <w:rFonts w:hint="eastAsia"/>
            <w:color w:val="000000" w:themeColor="text1"/>
            <w:sz w:val="24"/>
            <w:szCs w:val="28"/>
            <w:u w:val="none"/>
            <w:rtl/>
          </w:rPr>
          <w:t>مخالفة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الاتفاقية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للنظام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العام</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Toc275128198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482</w:t>
        </w:r>
        <w:r w:rsidRPr="001F3648">
          <w:rPr>
            <w:webHidden/>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199" w:history="1">
        <w:r w:rsidR="00EF7221" w:rsidRPr="001F3648">
          <w:rPr>
            <w:rStyle w:val="Hyperlink"/>
            <w:noProof/>
            <w:color w:val="000000" w:themeColor="text1"/>
            <w:u w:val="none"/>
            <w:rtl/>
          </w:rPr>
          <w:t>4</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تبعات</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الاتفاقية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على</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فرض</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صحتها</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Toc275128199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482</w:t>
        </w:r>
        <w:r w:rsidRPr="001F3648">
          <w:rPr>
            <w:noProof/>
            <w:webHidden/>
            <w:color w:val="000000" w:themeColor="text1"/>
            <w:rtl/>
          </w:rPr>
          <w:fldChar w:fldCharType="end"/>
        </w:r>
      </w:hyperlink>
    </w:p>
    <w:p w:rsidR="00EF7221" w:rsidRPr="001F3648" w:rsidRDefault="00A6422F" w:rsidP="0008530B">
      <w:pPr>
        <w:pStyle w:val="TOC4"/>
        <w:spacing w:line="204" w:lineRule="auto"/>
        <w:rPr>
          <w:rFonts w:asciiTheme="minorHAnsi" w:eastAsiaTheme="minorEastAsia" w:hAnsiTheme="minorHAnsi" w:cstheme="minorBidi"/>
          <w:noProof/>
          <w:color w:val="000000" w:themeColor="text1"/>
          <w:sz w:val="22"/>
          <w:szCs w:val="22"/>
          <w:rtl/>
        </w:rPr>
      </w:pPr>
      <w:hyperlink w:anchor="_Toc275128200" w:history="1">
        <w:r w:rsidR="00EF7221" w:rsidRPr="001F3648">
          <w:rPr>
            <w:rStyle w:val="Hyperlink"/>
            <w:noProof/>
            <w:color w:val="000000" w:themeColor="text1"/>
            <w:u w:val="none"/>
            <w:rtl/>
          </w:rPr>
          <w:t>4</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1</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بالنسبة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للمتعاملين</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Toc275128200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483</w:t>
        </w:r>
        <w:r w:rsidRPr="001F3648">
          <w:rPr>
            <w:noProof/>
            <w:webHidden/>
            <w:color w:val="000000" w:themeColor="text1"/>
            <w:rtl/>
          </w:rPr>
          <w:fldChar w:fldCharType="end"/>
        </w:r>
      </w:hyperlink>
    </w:p>
    <w:p w:rsidR="00EF7221" w:rsidRPr="001F3648" w:rsidRDefault="00A6422F" w:rsidP="0008530B">
      <w:pPr>
        <w:pStyle w:val="TOC5"/>
        <w:spacing w:line="204" w:lineRule="auto"/>
        <w:rPr>
          <w:rFonts w:asciiTheme="minorHAnsi" w:eastAsiaTheme="minorEastAsia" w:hAnsiTheme="minorHAnsi" w:cstheme="minorBidi"/>
          <w:b w:val="0"/>
          <w:bCs w:val="0"/>
          <w:color w:val="000000" w:themeColor="text1"/>
          <w:sz w:val="22"/>
          <w:szCs w:val="22"/>
          <w:rtl/>
        </w:rPr>
      </w:pPr>
      <w:hyperlink w:anchor="_Toc275128201" w:history="1">
        <w:r w:rsidR="00EF7221" w:rsidRPr="001F3648">
          <w:rPr>
            <w:rStyle w:val="Hyperlink"/>
            <w:color w:val="000000" w:themeColor="text1"/>
            <w:u w:val="none"/>
            <w:rtl/>
          </w:rPr>
          <w:t>4</w:t>
        </w:r>
        <w:r w:rsidR="00EF7221" w:rsidRPr="001F3648">
          <w:rPr>
            <w:rStyle w:val="Hyperlink"/>
            <w:rFonts w:hint="eastAsia"/>
            <w:color w:val="000000" w:themeColor="text1"/>
            <w:u w:val="none"/>
            <w:rtl/>
          </w:rPr>
          <w:t>ـ</w:t>
        </w:r>
        <w:r w:rsidR="00EF7221" w:rsidRPr="001F3648">
          <w:rPr>
            <w:rStyle w:val="Hyperlink"/>
            <w:color w:val="000000" w:themeColor="text1"/>
            <w:u w:val="none"/>
            <w:rtl/>
          </w:rPr>
          <w:t>1</w:t>
        </w:r>
        <w:r w:rsidR="00EF7221" w:rsidRPr="001F3648">
          <w:rPr>
            <w:rStyle w:val="Hyperlink"/>
            <w:rFonts w:hint="eastAsia"/>
            <w:color w:val="000000" w:themeColor="text1"/>
            <w:u w:val="none"/>
            <w:rtl/>
          </w:rPr>
          <w:t>ـ</w:t>
        </w:r>
        <w:r w:rsidR="00EF7221" w:rsidRPr="001F3648">
          <w:rPr>
            <w:rStyle w:val="Hyperlink"/>
            <w:color w:val="000000" w:themeColor="text1"/>
            <w:u w:val="none"/>
            <w:rtl/>
          </w:rPr>
          <w:t xml:space="preserve"> 1</w:t>
        </w:r>
        <w:r w:rsidR="00EF7221" w:rsidRPr="001F3648">
          <w:rPr>
            <w:rStyle w:val="Hyperlink"/>
            <w:rFonts w:hint="eastAsia"/>
            <w:color w:val="000000" w:themeColor="text1"/>
            <w:u w:val="none"/>
            <w:rtl/>
          </w:rPr>
          <w:t>ـ</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التزامات</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الزوجين</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في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مقابل</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صاحبة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الرحم</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Toc275128201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483</w:t>
        </w:r>
        <w:r w:rsidRPr="001F3648">
          <w:rPr>
            <w:webHidden/>
            <w:color w:val="000000" w:themeColor="text1"/>
            <w:rtl/>
          </w:rPr>
          <w:fldChar w:fldCharType="end"/>
        </w:r>
      </w:hyperlink>
    </w:p>
    <w:p w:rsidR="00EF7221" w:rsidRPr="001F3648" w:rsidRDefault="00A6422F" w:rsidP="0008530B">
      <w:pPr>
        <w:pStyle w:val="TOC5"/>
        <w:spacing w:line="204" w:lineRule="auto"/>
        <w:rPr>
          <w:rFonts w:asciiTheme="minorHAnsi" w:eastAsiaTheme="minorEastAsia" w:hAnsiTheme="minorHAnsi" w:cstheme="minorBidi"/>
          <w:b w:val="0"/>
          <w:bCs w:val="0"/>
          <w:color w:val="000000" w:themeColor="text1"/>
          <w:sz w:val="22"/>
          <w:szCs w:val="22"/>
          <w:rtl/>
        </w:rPr>
      </w:pPr>
      <w:hyperlink w:anchor="_Toc275128202" w:history="1">
        <w:r w:rsidR="00EF7221" w:rsidRPr="001F3648">
          <w:rPr>
            <w:rStyle w:val="Hyperlink"/>
            <w:color w:val="000000" w:themeColor="text1"/>
            <w:u w:val="none"/>
            <w:rtl/>
          </w:rPr>
          <w:t>4</w:t>
        </w:r>
        <w:r w:rsidR="00EF7221" w:rsidRPr="001F3648">
          <w:rPr>
            <w:rStyle w:val="Hyperlink"/>
            <w:rFonts w:hint="eastAsia"/>
            <w:color w:val="000000" w:themeColor="text1"/>
            <w:u w:val="none"/>
            <w:rtl/>
          </w:rPr>
          <w:t>ـ</w:t>
        </w:r>
        <w:r w:rsidR="00EF7221" w:rsidRPr="001F3648">
          <w:rPr>
            <w:rStyle w:val="Hyperlink"/>
            <w:color w:val="000000" w:themeColor="text1"/>
            <w:u w:val="none"/>
            <w:rtl/>
          </w:rPr>
          <w:t>1</w:t>
        </w:r>
        <w:r w:rsidR="00EF7221" w:rsidRPr="001F3648">
          <w:rPr>
            <w:rStyle w:val="Hyperlink"/>
            <w:rFonts w:hint="eastAsia"/>
            <w:color w:val="000000" w:themeColor="text1"/>
            <w:u w:val="none"/>
            <w:rtl/>
          </w:rPr>
          <w:t>ـ</w:t>
        </w:r>
        <w:r w:rsidR="00EF7221" w:rsidRPr="001F3648">
          <w:rPr>
            <w:rStyle w:val="Hyperlink"/>
            <w:color w:val="000000" w:themeColor="text1"/>
            <w:u w:val="none"/>
            <w:rtl/>
          </w:rPr>
          <w:t xml:space="preserve"> 2</w:t>
        </w:r>
        <w:r w:rsidR="00EF7221" w:rsidRPr="001F3648">
          <w:rPr>
            <w:rStyle w:val="Hyperlink"/>
            <w:rFonts w:hint="eastAsia"/>
            <w:color w:val="000000" w:themeColor="text1"/>
            <w:u w:val="none"/>
            <w:rtl/>
          </w:rPr>
          <w:t>ـ</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حقوق</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الزوجين</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عند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صاحبة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الرحم</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Toc275128202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483</w:t>
        </w:r>
        <w:r w:rsidRPr="001F3648">
          <w:rPr>
            <w:webHidden/>
            <w:color w:val="000000" w:themeColor="text1"/>
            <w:rtl/>
          </w:rPr>
          <w:fldChar w:fldCharType="end"/>
        </w:r>
      </w:hyperlink>
    </w:p>
    <w:p w:rsidR="00EF7221" w:rsidRPr="001F3648" w:rsidRDefault="00A6422F" w:rsidP="0008530B">
      <w:pPr>
        <w:pStyle w:val="TOC5"/>
        <w:spacing w:line="204" w:lineRule="auto"/>
        <w:rPr>
          <w:rFonts w:asciiTheme="minorHAnsi" w:eastAsiaTheme="minorEastAsia" w:hAnsiTheme="minorHAnsi" w:cstheme="minorBidi"/>
          <w:b w:val="0"/>
          <w:bCs w:val="0"/>
          <w:color w:val="000000" w:themeColor="text1"/>
          <w:sz w:val="22"/>
          <w:szCs w:val="22"/>
          <w:rtl/>
        </w:rPr>
      </w:pPr>
      <w:hyperlink w:anchor="_Toc275128203" w:history="1">
        <w:r w:rsidR="00EF7221" w:rsidRPr="001F3648">
          <w:rPr>
            <w:rStyle w:val="Hyperlink"/>
            <w:color w:val="000000" w:themeColor="text1"/>
            <w:u w:val="none"/>
            <w:rtl/>
          </w:rPr>
          <w:t>4</w:t>
        </w:r>
        <w:r w:rsidR="00EF7221" w:rsidRPr="001F3648">
          <w:rPr>
            <w:rStyle w:val="Hyperlink"/>
            <w:rFonts w:hint="eastAsia"/>
            <w:color w:val="000000" w:themeColor="text1"/>
            <w:u w:val="none"/>
            <w:rtl/>
          </w:rPr>
          <w:t>ـ</w:t>
        </w:r>
        <w:r w:rsidR="00EF7221" w:rsidRPr="001F3648">
          <w:rPr>
            <w:rStyle w:val="Hyperlink"/>
            <w:color w:val="000000" w:themeColor="text1"/>
            <w:u w:val="none"/>
            <w:rtl/>
          </w:rPr>
          <w:t>1</w:t>
        </w:r>
        <w:r w:rsidR="00EF7221" w:rsidRPr="001F3648">
          <w:rPr>
            <w:rStyle w:val="Hyperlink"/>
            <w:rFonts w:hint="eastAsia"/>
            <w:color w:val="000000" w:themeColor="text1"/>
            <w:u w:val="none"/>
            <w:rtl/>
          </w:rPr>
          <w:t>ـ</w:t>
        </w:r>
        <w:r w:rsidR="00EF7221" w:rsidRPr="001F3648">
          <w:rPr>
            <w:rStyle w:val="Hyperlink"/>
            <w:color w:val="000000" w:themeColor="text1"/>
            <w:u w:val="none"/>
            <w:rtl/>
          </w:rPr>
          <w:t xml:space="preserve"> 3</w:t>
        </w:r>
        <w:r w:rsidR="00EF7221" w:rsidRPr="001F3648">
          <w:rPr>
            <w:rStyle w:val="Hyperlink"/>
            <w:rFonts w:hint="eastAsia"/>
            <w:color w:val="000000" w:themeColor="text1"/>
            <w:u w:val="none"/>
            <w:rtl/>
          </w:rPr>
          <w:t>ـ</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التزامات</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صاحبة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الرحم</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تجاه</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الزوجين</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Toc275128203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484</w:t>
        </w:r>
        <w:r w:rsidRPr="001F3648">
          <w:rPr>
            <w:webHidden/>
            <w:color w:val="000000" w:themeColor="text1"/>
            <w:rtl/>
          </w:rPr>
          <w:fldChar w:fldCharType="end"/>
        </w:r>
      </w:hyperlink>
    </w:p>
    <w:p w:rsidR="00EF7221" w:rsidRPr="001F3648" w:rsidRDefault="00A6422F" w:rsidP="0008530B">
      <w:pPr>
        <w:pStyle w:val="TOC5"/>
        <w:spacing w:line="204" w:lineRule="auto"/>
        <w:rPr>
          <w:rFonts w:asciiTheme="minorHAnsi" w:eastAsiaTheme="minorEastAsia" w:hAnsiTheme="minorHAnsi" w:cstheme="minorBidi"/>
          <w:b w:val="0"/>
          <w:bCs w:val="0"/>
          <w:color w:val="000000" w:themeColor="text1"/>
          <w:sz w:val="22"/>
          <w:szCs w:val="22"/>
          <w:rtl/>
        </w:rPr>
      </w:pPr>
      <w:hyperlink w:anchor="_Toc275128204" w:history="1">
        <w:r w:rsidR="00EF7221" w:rsidRPr="001F3648">
          <w:rPr>
            <w:rStyle w:val="Hyperlink"/>
            <w:color w:val="000000" w:themeColor="text1"/>
            <w:u w:val="none"/>
            <w:rtl/>
          </w:rPr>
          <w:t>4</w:t>
        </w:r>
        <w:r w:rsidR="00EF7221" w:rsidRPr="001F3648">
          <w:rPr>
            <w:rStyle w:val="Hyperlink"/>
            <w:rFonts w:hint="eastAsia"/>
            <w:color w:val="000000" w:themeColor="text1"/>
            <w:u w:val="none"/>
            <w:rtl/>
          </w:rPr>
          <w:t>ـ</w:t>
        </w:r>
        <w:r w:rsidR="00EF7221" w:rsidRPr="001F3648">
          <w:rPr>
            <w:rStyle w:val="Hyperlink"/>
            <w:color w:val="000000" w:themeColor="text1"/>
            <w:u w:val="none"/>
            <w:rtl/>
          </w:rPr>
          <w:t xml:space="preserve"> 1</w:t>
        </w:r>
        <w:r w:rsidR="00EF7221" w:rsidRPr="001F3648">
          <w:rPr>
            <w:rStyle w:val="Hyperlink"/>
            <w:rFonts w:hint="eastAsia"/>
            <w:color w:val="000000" w:themeColor="text1"/>
            <w:u w:val="none"/>
            <w:rtl/>
          </w:rPr>
          <w:t>ـ</w:t>
        </w:r>
        <w:r w:rsidR="00EF7221" w:rsidRPr="001F3648">
          <w:rPr>
            <w:rStyle w:val="Hyperlink"/>
            <w:color w:val="000000" w:themeColor="text1"/>
            <w:u w:val="none"/>
            <w:rtl/>
          </w:rPr>
          <w:t xml:space="preserve"> 4</w:t>
        </w:r>
        <w:r w:rsidR="00EF7221" w:rsidRPr="001F3648">
          <w:rPr>
            <w:rStyle w:val="Hyperlink"/>
            <w:rFonts w:hint="eastAsia"/>
            <w:color w:val="000000" w:themeColor="text1"/>
            <w:u w:val="none"/>
            <w:rtl/>
          </w:rPr>
          <w:t>ـ</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حقوق</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صاحبة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الرحم</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عند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الزوجين</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Toc275128204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485</w:t>
        </w:r>
        <w:r w:rsidRPr="001F3648">
          <w:rPr>
            <w:webHidden/>
            <w:color w:val="000000" w:themeColor="text1"/>
            <w:rtl/>
          </w:rPr>
          <w:fldChar w:fldCharType="end"/>
        </w:r>
      </w:hyperlink>
    </w:p>
    <w:p w:rsidR="00EF7221" w:rsidRPr="001F3648" w:rsidRDefault="00A6422F" w:rsidP="0008530B">
      <w:pPr>
        <w:pStyle w:val="TOC4"/>
        <w:spacing w:line="204" w:lineRule="auto"/>
        <w:rPr>
          <w:rFonts w:asciiTheme="minorHAnsi" w:eastAsiaTheme="minorEastAsia" w:hAnsiTheme="minorHAnsi" w:cstheme="minorBidi"/>
          <w:noProof/>
          <w:color w:val="000000" w:themeColor="text1"/>
          <w:sz w:val="22"/>
          <w:szCs w:val="22"/>
          <w:rtl/>
        </w:rPr>
      </w:pPr>
      <w:hyperlink w:anchor="_Toc275128205" w:history="1">
        <w:r w:rsidR="00EF7221" w:rsidRPr="001F3648">
          <w:rPr>
            <w:rStyle w:val="Hyperlink"/>
            <w:noProof/>
            <w:color w:val="000000" w:themeColor="text1"/>
            <w:u w:val="none"/>
            <w:rtl/>
          </w:rPr>
          <w:t>4</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2</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حقوق</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الجنين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والتزامات</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طرفي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الاتفاقية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تجاهه</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Toc275128205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485</w:t>
        </w:r>
        <w:r w:rsidRPr="001F3648">
          <w:rPr>
            <w:noProof/>
            <w:webHidden/>
            <w:color w:val="000000" w:themeColor="text1"/>
            <w:rtl/>
          </w:rPr>
          <w:fldChar w:fldCharType="end"/>
        </w:r>
      </w:hyperlink>
    </w:p>
    <w:p w:rsidR="00EF7221" w:rsidRPr="001F3648" w:rsidRDefault="00A6422F" w:rsidP="0008530B">
      <w:pPr>
        <w:pStyle w:val="TOC4"/>
        <w:spacing w:line="204" w:lineRule="auto"/>
        <w:rPr>
          <w:rFonts w:asciiTheme="minorHAnsi" w:eastAsiaTheme="minorEastAsia" w:hAnsiTheme="minorHAnsi" w:cstheme="minorBidi"/>
          <w:noProof/>
          <w:color w:val="000000" w:themeColor="text1"/>
          <w:sz w:val="22"/>
          <w:szCs w:val="22"/>
          <w:rtl/>
        </w:rPr>
      </w:pPr>
      <w:hyperlink w:anchor="_Toc275128206" w:history="1">
        <w:r w:rsidR="00EF7221" w:rsidRPr="001F3648">
          <w:rPr>
            <w:rStyle w:val="Hyperlink"/>
            <w:noProof/>
            <w:color w:val="000000" w:themeColor="text1"/>
            <w:u w:val="none"/>
            <w:rtl/>
          </w:rPr>
          <w:t>4</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3</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بالنسبة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لغير</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المتعاقدين</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Toc275128206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486</w:t>
        </w:r>
        <w:r w:rsidRPr="001F3648">
          <w:rPr>
            <w:noProof/>
            <w:webHidden/>
            <w:color w:val="000000" w:themeColor="text1"/>
            <w:rtl/>
          </w:rPr>
          <w:fldChar w:fldCharType="end"/>
        </w:r>
      </w:hyperlink>
    </w:p>
    <w:p w:rsidR="00EF7221" w:rsidRPr="001F3648" w:rsidRDefault="00A6422F" w:rsidP="0008530B">
      <w:pPr>
        <w:pStyle w:val="TOC4"/>
        <w:spacing w:line="204" w:lineRule="auto"/>
        <w:rPr>
          <w:rFonts w:asciiTheme="minorHAnsi" w:eastAsiaTheme="minorEastAsia" w:hAnsiTheme="minorHAnsi" w:cstheme="minorBidi"/>
          <w:noProof/>
          <w:color w:val="000000" w:themeColor="text1"/>
          <w:sz w:val="22"/>
          <w:szCs w:val="22"/>
          <w:rtl/>
        </w:rPr>
      </w:pPr>
      <w:hyperlink w:anchor="_Toc275128207" w:history="1">
        <w:r w:rsidR="00EF7221" w:rsidRPr="001F3648">
          <w:rPr>
            <w:rStyle w:val="Hyperlink"/>
            <w:noProof/>
            <w:color w:val="000000" w:themeColor="text1"/>
            <w:u w:val="none"/>
            <w:rtl/>
          </w:rPr>
          <w:t>4</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4</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استناد</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اتفاقية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استخدام</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رحم</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المرأة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لغير</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المتعاقدين</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Toc275128207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486</w:t>
        </w:r>
        <w:r w:rsidRPr="001F3648">
          <w:rPr>
            <w:noProof/>
            <w:webHidden/>
            <w:color w:val="000000" w:themeColor="text1"/>
            <w:rtl/>
          </w:rPr>
          <w:fldChar w:fldCharType="end"/>
        </w:r>
      </w:hyperlink>
    </w:p>
    <w:p w:rsidR="00EF7221" w:rsidRPr="001F3648" w:rsidRDefault="00A6422F" w:rsidP="0008530B">
      <w:pPr>
        <w:pStyle w:val="TOC5"/>
        <w:spacing w:line="204" w:lineRule="auto"/>
        <w:rPr>
          <w:rFonts w:asciiTheme="minorHAnsi" w:eastAsiaTheme="minorEastAsia" w:hAnsiTheme="minorHAnsi" w:cstheme="minorBidi"/>
          <w:b w:val="0"/>
          <w:bCs w:val="0"/>
          <w:color w:val="000000" w:themeColor="text1"/>
          <w:sz w:val="22"/>
          <w:szCs w:val="22"/>
          <w:rtl/>
        </w:rPr>
      </w:pPr>
      <w:hyperlink w:anchor="_Toc275128208" w:history="1">
        <w:r w:rsidR="00EF7221" w:rsidRPr="001F3648">
          <w:rPr>
            <w:rStyle w:val="Hyperlink"/>
            <w:rFonts w:hint="eastAsia"/>
            <w:color w:val="000000" w:themeColor="text1"/>
            <w:u w:val="none"/>
            <w:rtl/>
          </w:rPr>
          <w:t>أ</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استناد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الاتفاقية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لزوج</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صاحبة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الرحم</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Toc275128208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486</w:t>
        </w:r>
        <w:r w:rsidRPr="001F3648">
          <w:rPr>
            <w:webHidden/>
            <w:color w:val="000000" w:themeColor="text1"/>
            <w:rtl/>
          </w:rPr>
          <w:fldChar w:fldCharType="end"/>
        </w:r>
      </w:hyperlink>
    </w:p>
    <w:p w:rsidR="00EF7221" w:rsidRPr="001F3648" w:rsidRDefault="00A6422F" w:rsidP="0008530B">
      <w:pPr>
        <w:pStyle w:val="TOC5"/>
        <w:spacing w:line="204" w:lineRule="auto"/>
        <w:rPr>
          <w:rFonts w:asciiTheme="minorHAnsi" w:eastAsiaTheme="minorEastAsia" w:hAnsiTheme="minorHAnsi" w:cstheme="minorBidi"/>
          <w:b w:val="0"/>
          <w:bCs w:val="0"/>
          <w:color w:val="000000" w:themeColor="text1"/>
          <w:sz w:val="22"/>
          <w:szCs w:val="22"/>
          <w:rtl/>
        </w:rPr>
      </w:pPr>
      <w:hyperlink w:anchor="_Toc275128209" w:history="1">
        <w:r w:rsidR="00EF7221" w:rsidRPr="001F3648">
          <w:rPr>
            <w:rStyle w:val="Hyperlink"/>
            <w:rFonts w:hint="eastAsia"/>
            <w:color w:val="000000" w:themeColor="text1"/>
            <w:u w:val="none"/>
            <w:rtl/>
          </w:rPr>
          <w:t>ب</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محارم</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الطفل</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المولود</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Toc275128209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487</w:t>
        </w:r>
        <w:r w:rsidRPr="001F3648">
          <w:rPr>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210" w:history="1">
        <w:r w:rsidR="00EF7221" w:rsidRPr="001F3648">
          <w:rPr>
            <w:rStyle w:val="Hyperlink"/>
            <w:noProof/>
            <w:color w:val="000000" w:themeColor="text1"/>
            <w:u w:val="none"/>
            <w:rtl/>
          </w:rPr>
          <w:t>5</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أثر</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نقل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الجنين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في</w:t>
        </w:r>
        <w:r w:rsidR="00EF7221" w:rsidRPr="001F3648">
          <w:rPr>
            <w:rStyle w:val="Hyperlink"/>
            <w:noProof/>
            <w:color w:val="000000" w:themeColor="text1"/>
            <w:u w:val="none"/>
            <w:rtl/>
          </w:rPr>
          <w:t xml:space="preserve"> </w:t>
        </w:r>
        <w:r w:rsidR="00EF7221" w:rsidRPr="001F3648">
          <w:rPr>
            <w:rStyle w:val="Hyperlink"/>
            <w:rFonts w:ascii="MS Mincho" w:eastAsia="MS Mincho" w:hAnsi="MS Mincho" w:cs="MS Mincho" w:hint="eastAsia"/>
            <w:noProof/>
            <w:color w:val="000000" w:themeColor="text1"/>
            <w:szCs w:val="24"/>
            <w:u w:val="none"/>
            <w:rtl/>
          </w:rPr>
          <w:t>‌</w:t>
        </w:r>
        <w:r w:rsidR="00EF7221" w:rsidRPr="001F3648">
          <w:rPr>
            <w:rStyle w:val="Hyperlink"/>
            <w:rFonts w:hint="eastAsia"/>
            <w:noProof/>
            <w:color w:val="000000" w:themeColor="text1"/>
            <w:u w:val="none"/>
            <w:rtl/>
          </w:rPr>
          <w:t>النسب</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Toc275128210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487</w:t>
        </w:r>
        <w:r w:rsidRPr="001F3648">
          <w:rPr>
            <w:noProof/>
            <w:webHidden/>
            <w:color w:val="000000" w:themeColor="text1"/>
            <w:rtl/>
          </w:rPr>
          <w:fldChar w:fldCharType="end"/>
        </w:r>
      </w:hyperlink>
    </w:p>
    <w:p w:rsidR="00EF7221" w:rsidRPr="001F3648" w:rsidRDefault="00A6422F" w:rsidP="0008530B">
      <w:pPr>
        <w:pStyle w:val="TOC4"/>
        <w:spacing w:line="204" w:lineRule="auto"/>
        <w:rPr>
          <w:rFonts w:asciiTheme="minorHAnsi" w:eastAsiaTheme="minorEastAsia" w:hAnsiTheme="minorHAnsi" w:cstheme="minorBidi"/>
          <w:noProof/>
          <w:color w:val="000000" w:themeColor="text1"/>
          <w:sz w:val="22"/>
          <w:szCs w:val="22"/>
          <w:rtl/>
        </w:rPr>
      </w:pPr>
      <w:hyperlink w:anchor="_Toc275128211" w:history="1">
        <w:r w:rsidR="00EF7221" w:rsidRPr="001F3648">
          <w:rPr>
            <w:rStyle w:val="Hyperlink"/>
            <w:noProof/>
            <w:color w:val="000000" w:themeColor="text1"/>
            <w:u w:val="none"/>
            <w:rtl/>
          </w:rPr>
          <w:t>5</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1</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مفهوم</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النسب</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Toc275128211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488</w:t>
        </w:r>
        <w:r w:rsidRPr="001F3648">
          <w:rPr>
            <w:noProof/>
            <w:webHidden/>
            <w:color w:val="000000" w:themeColor="text1"/>
            <w:rtl/>
          </w:rPr>
          <w:fldChar w:fldCharType="end"/>
        </w:r>
      </w:hyperlink>
    </w:p>
    <w:p w:rsidR="00EF7221" w:rsidRPr="001F3648" w:rsidRDefault="00A6422F" w:rsidP="0008530B">
      <w:pPr>
        <w:pStyle w:val="TOC4"/>
        <w:spacing w:line="204" w:lineRule="auto"/>
        <w:rPr>
          <w:rFonts w:asciiTheme="minorHAnsi" w:eastAsiaTheme="minorEastAsia" w:hAnsiTheme="minorHAnsi" w:cstheme="minorBidi"/>
          <w:noProof/>
          <w:color w:val="000000" w:themeColor="text1"/>
          <w:sz w:val="22"/>
          <w:szCs w:val="22"/>
          <w:rtl/>
        </w:rPr>
      </w:pPr>
      <w:hyperlink w:anchor="_Toc275128212" w:history="1">
        <w:r w:rsidR="00EF7221" w:rsidRPr="001F3648">
          <w:rPr>
            <w:rStyle w:val="Hyperlink"/>
            <w:noProof/>
            <w:color w:val="000000" w:themeColor="text1"/>
            <w:u w:val="none"/>
            <w:rtl/>
          </w:rPr>
          <w:t>5</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2</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تعيين</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النسب</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الأمومي</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Toc275128212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488</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213" w:history="1">
        <w:r w:rsidR="00EF7221" w:rsidRPr="001F3648">
          <w:rPr>
            <w:rStyle w:val="Hyperlink"/>
            <w:noProof/>
            <w:color w:val="000000" w:themeColor="text1"/>
            <w:u w:val="none"/>
            <w:rtl/>
          </w:rPr>
          <w:t>5</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3</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إثبات</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النسب</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الأمومي</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Toc275128213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489</w:t>
        </w:r>
        <w:r w:rsidRPr="001F3648">
          <w:rPr>
            <w:noProof/>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14" w:history="1">
        <w:r w:rsidR="00EF7221" w:rsidRPr="001F3648">
          <w:rPr>
            <w:rStyle w:val="Hyperlink"/>
            <w:rFonts w:hint="eastAsia"/>
            <w:color w:val="000000" w:themeColor="text1"/>
            <w:sz w:val="24"/>
            <w:szCs w:val="28"/>
            <w:u w:val="none"/>
            <w:rtl/>
          </w:rPr>
          <w:t>النتيجة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Toc275128214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490</w:t>
        </w:r>
        <w:r w:rsidRPr="001F3648">
          <w:rPr>
            <w:webHidden/>
            <w:rtl/>
          </w:rPr>
          <w:fldChar w:fldCharType="end"/>
        </w:r>
      </w:hyperlink>
    </w:p>
    <w:p w:rsidR="00D90AFE" w:rsidRPr="001F3648" w:rsidRDefault="00D90AFE" w:rsidP="0008530B">
      <w:pPr>
        <w:pStyle w:val="TOC1"/>
        <w:spacing w:line="204" w:lineRule="auto"/>
        <w:jc w:val="center"/>
        <w:rPr>
          <w:rStyle w:val="Hyperlink"/>
          <w:color w:val="000000" w:themeColor="text1"/>
          <w:u w:val="none"/>
          <w:rtl/>
        </w:rPr>
      </w:pPr>
    </w:p>
    <w:p w:rsidR="00EF7221" w:rsidRPr="001F3648" w:rsidRDefault="00A6422F" w:rsidP="0008530B">
      <w:pPr>
        <w:pStyle w:val="TOC1"/>
        <w:spacing w:line="204" w:lineRule="auto"/>
        <w:jc w:val="center"/>
        <w:rPr>
          <w:rFonts w:asciiTheme="minorHAnsi" w:eastAsiaTheme="minorEastAsia" w:hAnsiTheme="minorHAnsi" w:cstheme="minorBidi"/>
          <w:color w:val="000000" w:themeColor="text1"/>
          <w:sz w:val="22"/>
          <w:szCs w:val="22"/>
          <w:rtl/>
          <w:lang w:eastAsia="en-US"/>
        </w:rPr>
      </w:pPr>
      <w:hyperlink w:anchor="_Toc275128215" w:history="1">
        <w:r w:rsidR="00EF7221" w:rsidRPr="001F3648">
          <w:rPr>
            <w:rStyle w:val="Hyperlink"/>
            <w:rFonts w:hint="eastAsia"/>
            <w:color w:val="000000" w:themeColor="text1"/>
            <w:u w:val="none"/>
            <w:rtl/>
          </w:rPr>
          <w:t>الفصل</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الثالث</w:t>
        </w:r>
      </w:hyperlink>
      <w:r w:rsidR="00090BFD" w:rsidRPr="001F3648">
        <w:rPr>
          <w:rStyle w:val="Hyperlink"/>
          <w:rFonts w:hint="cs"/>
          <w:color w:val="000000" w:themeColor="text1"/>
          <w:u w:val="none"/>
          <w:rtl/>
        </w:rPr>
        <w:t xml:space="preserve">: </w:t>
      </w:r>
      <w:hyperlink w:anchor="_Toc275128216" w:history="1">
        <w:r w:rsidR="00EF7221" w:rsidRPr="001F3648">
          <w:rPr>
            <w:rStyle w:val="Hyperlink"/>
            <w:rFonts w:hint="eastAsia"/>
            <w:color w:val="000000" w:themeColor="text1"/>
            <w:u w:val="none"/>
            <w:rtl/>
          </w:rPr>
          <w:t>المرأة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والقضايا</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الاجتماعية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والتربوية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و</w:t>
        </w:r>
        <w:r w:rsidR="00EF7221" w:rsidRPr="001F3648">
          <w:rPr>
            <w:rStyle w:val="Hyperlink"/>
            <w:color w:val="000000" w:themeColor="text1"/>
            <w:u w:val="none"/>
            <w:rtl/>
          </w:rPr>
          <w:t>..</w:t>
        </w:r>
      </w:hyperlink>
    </w:p>
    <w:p w:rsidR="00EF7221" w:rsidRPr="001F3648" w:rsidRDefault="00A6422F" w:rsidP="0008530B">
      <w:pPr>
        <w:pStyle w:val="TOC1"/>
        <w:spacing w:line="204" w:lineRule="auto"/>
        <w:rPr>
          <w:rFonts w:asciiTheme="minorHAnsi" w:eastAsiaTheme="minorEastAsia" w:hAnsiTheme="minorHAnsi" w:cstheme="minorBidi"/>
          <w:color w:val="000000" w:themeColor="text1"/>
          <w:sz w:val="22"/>
          <w:szCs w:val="22"/>
          <w:rtl/>
          <w:lang w:eastAsia="en-US"/>
        </w:rPr>
      </w:pPr>
      <w:hyperlink w:anchor="_Toc275128217" w:history="1">
        <w:r w:rsidR="00EF7221" w:rsidRPr="001F3648">
          <w:rPr>
            <w:rStyle w:val="Hyperlink"/>
            <w:rFonts w:hint="eastAsia"/>
            <w:color w:val="000000" w:themeColor="text1"/>
            <w:u w:val="none"/>
            <w:rtl/>
          </w:rPr>
          <w:t>النسويّة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في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إيران</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والبحث</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عن</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موطن</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جديد</w:t>
        </w:r>
        <w:r w:rsidR="00EF7221" w:rsidRPr="001F3648">
          <w:rPr>
            <w:rFonts w:ascii="Calibri" w:eastAsia="Times New Roman" w:hAnsi="Calibri" w:cs="Mosawi"/>
            <w:webHidden/>
            <w:color w:val="000000" w:themeColor="text1"/>
            <w:sz w:val="22"/>
            <w:szCs w:val="26"/>
            <w:rtl/>
            <w:lang w:eastAsia="en-US"/>
          </w:rPr>
          <w:tab/>
        </w:r>
        <w:r w:rsidRPr="001F3648">
          <w:rPr>
            <w:rFonts w:ascii="Calibri" w:eastAsia="Times New Roman" w:hAnsi="Calibri" w:cs="Mosawi"/>
            <w:webHidden/>
            <w:color w:val="000000" w:themeColor="text1"/>
            <w:sz w:val="22"/>
            <w:szCs w:val="26"/>
            <w:rtl/>
            <w:lang w:eastAsia="en-US"/>
          </w:rPr>
          <w:fldChar w:fldCharType="begin"/>
        </w:r>
        <w:r w:rsidR="00EF7221" w:rsidRPr="001F3648">
          <w:rPr>
            <w:rFonts w:ascii="Calibri" w:eastAsia="Times New Roman" w:hAnsi="Calibri" w:cs="Mosawi"/>
            <w:webHidden/>
            <w:color w:val="000000" w:themeColor="text1"/>
            <w:sz w:val="22"/>
            <w:szCs w:val="26"/>
            <w:rtl/>
            <w:lang w:eastAsia="en-US"/>
          </w:rPr>
          <w:instrText xml:space="preserve"> </w:instrText>
        </w:r>
        <w:r w:rsidR="00EF7221" w:rsidRPr="001F3648">
          <w:rPr>
            <w:rFonts w:ascii="Calibri" w:eastAsia="Times New Roman" w:hAnsi="Calibri" w:cs="Mosawi"/>
            <w:webHidden/>
            <w:color w:val="000000" w:themeColor="text1"/>
            <w:sz w:val="22"/>
            <w:szCs w:val="26"/>
            <w:lang w:eastAsia="en-US"/>
          </w:rPr>
          <w:instrText>PAGEREF</w:instrText>
        </w:r>
        <w:r w:rsidR="00EF7221" w:rsidRPr="001F3648">
          <w:rPr>
            <w:rFonts w:ascii="Calibri" w:eastAsia="Times New Roman" w:hAnsi="Calibri" w:cs="Mosawi"/>
            <w:webHidden/>
            <w:color w:val="000000" w:themeColor="text1"/>
            <w:sz w:val="22"/>
            <w:szCs w:val="26"/>
            <w:rtl/>
            <w:lang w:eastAsia="en-US"/>
          </w:rPr>
          <w:instrText xml:space="preserve"> _</w:instrText>
        </w:r>
        <w:r w:rsidR="00EF7221" w:rsidRPr="001F3648">
          <w:rPr>
            <w:rFonts w:ascii="Calibri" w:eastAsia="Times New Roman" w:hAnsi="Calibri" w:cs="Mosawi"/>
            <w:webHidden/>
            <w:color w:val="000000" w:themeColor="text1"/>
            <w:sz w:val="22"/>
            <w:szCs w:val="26"/>
            <w:lang w:eastAsia="en-US"/>
          </w:rPr>
          <w:instrText>Toc275128217 \h</w:instrText>
        </w:r>
        <w:r w:rsidR="00EF7221" w:rsidRPr="001F3648">
          <w:rPr>
            <w:rFonts w:ascii="Calibri" w:eastAsia="Times New Roman" w:hAnsi="Calibri" w:cs="Mosawi"/>
            <w:webHidden/>
            <w:color w:val="000000" w:themeColor="text1"/>
            <w:sz w:val="22"/>
            <w:szCs w:val="26"/>
            <w:rtl/>
            <w:lang w:eastAsia="en-US"/>
          </w:rPr>
          <w:instrText xml:space="preserve"> </w:instrText>
        </w:r>
        <w:r w:rsidRPr="001F3648">
          <w:rPr>
            <w:rFonts w:ascii="Calibri" w:eastAsia="Times New Roman" w:hAnsi="Calibri" w:cs="Mosawi"/>
            <w:webHidden/>
            <w:color w:val="000000" w:themeColor="text1"/>
            <w:sz w:val="22"/>
            <w:szCs w:val="26"/>
            <w:rtl/>
            <w:lang w:eastAsia="en-US"/>
          </w:rPr>
        </w:r>
        <w:r w:rsidRPr="001F3648">
          <w:rPr>
            <w:rFonts w:ascii="Calibri" w:eastAsia="Times New Roman" w:hAnsi="Calibri" w:cs="Mosawi"/>
            <w:webHidden/>
            <w:color w:val="000000" w:themeColor="text1"/>
            <w:sz w:val="22"/>
            <w:szCs w:val="26"/>
            <w:rtl/>
            <w:lang w:eastAsia="en-US"/>
          </w:rPr>
          <w:fldChar w:fldCharType="separate"/>
        </w:r>
        <w:r w:rsidR="0071680A">
          <w:rPr>
            <w:rFonts w:ascii="Calibri" w:eastAsia="Times New Roman" w:hAnsi="Calibri" w:cs="Mosawi"/>
            <w:webHidden/>
            <w:color w:val="000000" w:themeColor="text1"/>
            <w:sz w:val="22"/>
            <w:szCs w:val="26"/>
            <w:rtl/>
            <w:lang w:eastAsia="en-US"/>
          </w:rPr>
          <w:t>495</w:t>
        </w:r>
        <w:r w:rsidRPr="001F3648">
          <w:rPr>
            <w:rFonts w:ascii="Calibri" w:eastAsia="Times New Roman" w:hAnsi="Calibri" w:cs="Mosawi"/>
            <w:webHidden/>
            <w:color w:val="000000" w:themeColor="text1"/>
            <w:sz w:val="22"/>
            <w:szCs w:val="26"/>
            <w:rtl/>
            <w:lang w:eastAsia="en-US"/>
          </w:rPr>
          <w:fldChar w:fldCharType="end"/>
        </w:r>
      </w:hyperlink>
    </w:p>
    <w:p w:rsidR="00EB41C4" w:rsidRDefault="00A6422F" w:rsidP="00EB41C4">
      <w:pPr>
        <w:pStyle w:val="TOC6"/>
        <w:spacing w:line="204" w:lineRule="auto"/>
        <w:rPr>
          <w:rStyle w:val="Hyperlink"/>
          <w:color w:val="000000" w:themeColor="text1"/>
          <w:u w:val="none"/>
          <w:rtl/>
        </w:rPr>
      </w:pPr>
      <w:hyperlink w:anchor="_Toc275128218" w:history="1">
        <w:r w:rsidR="00EF7221" w:rsidRPr="001F3648">
          <w:rPr>
            <w:rStyle w:val="Hyperlink"/>
            <w:rFonts w:hint="eastAsia"/>
            <w:color w:val="000000" w:themeColor="text1"/>
            <w:u w:val="none"/>
            <w:rtl/>
          </w:rPr>
          <w:t>د</w:t>
        </w:r>
        <w:r w:rsidR="00090BFD" w:rsidRPr="001F3648">
          <w:rPr>
            <w:rStyle w:val="Hyperlink"/>
            <w:rFonts w:hint="cs"/>
            <w:color w:val="000000" w:themeColor="text1"/>
            <w:u w:val="none"/>
            <w:rtl/>
          </w:rPr>
          <w:t>.</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ناهيد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مطيع</w:t>
        </w:r>
      </w:hyperlink>
      <w:r w:rsidR="00A87975" w:rsidRPr="001F3648">
        <w:rPr>
          <w:rStyle w:val="Hyperlink"/>
          <w:rFonts w:hint="cs"/>
          <w:color w:val="000000" w:themeColor="text1"/>
          <w:u w:val="none"/>
          <w:rtl/>
        </w:rPr>
        <w:t xml:space="preserve"> </w:t>
      </w:r>
      <w:r w:rsidR="00EB41C4" w:rsidRPr="00EB41C4">
        <w:rPr>
          <w:rStyle w:val="Hyperlink"/>
          <w:webHidden/>
          <w:color w:val="000000" w:themeColor="text1"/>
          <w:u w:val="none"/>
          <w:rtl/>
        </w:rPr>
        <w:tab/>
      </w:r>
      <w:r w:rsidRPr="00EB41C4">
        <w:rPr>
          <w:rStyle w:val="Hyperlink"/>
          <w:webHidden/>
          <w:color w:val="000000" w:themeColor="text1"/>
          <w:u w:val="none"/>
          <w:rtl/>
        </w:rPr>
        <w:fldChar w:fldCharType="begin"/>
      </w:r>
      <w:r w:rsidR="00EB41C4" w:rsidRPr="00EB41C4">
        <w:rPr>
          <w:rStyle w:val="Hyperlink"/>
          <w:webHidden/>
          <w:color w:val="000000" w:themeColor="text1"/>
          <w:u w:val="none"/>
          <w:rtl/>
        </w:rPr>
        <w:instrText xml:space="preserve"> </w:instrText>
      </w:r>
      <w:r w:rsidR="00EB41C4" w:rsidRPr="00EB41C4">
        <w:rPr>
          <w:rStyle w:val="Hyperlink"/>
          <w:webHidden/>
          <w:color w:val="000000" w:themeColor="text1"/>
          <w:u w:val="none"/>
        </w:rPr>
        <w:instrText xml:space="preserve">PAGEREF _Toc275128219 \h </w:instrText>
      </w:r>
      <w:r w:rsidRPr="00EB41C4">
        <w:rPr>
          <w:rStyle w:val="Hyperlink"/>
          <w:webHidden/>
          <w:color w:val="000000" w:themeColor="text1"/>
          <w:u w:val="none"/>
          <w:rtl/>
        </w:rPr>
      </w:r>
      <w:r w:rsidRPr="00EB41C4">
        <w:rPr>
          <w:rStyle w:val="Hyperlink"/>
          <w:webHidden/>
          <w:color w:val="000000" w:themeColor="text1"/>
          <w:u w:val="none"/>
          <w:rtl/>
        </w:rPr>
        <w:fldChar w:fldCharType="separate"/>
      </w:r>
      <w:r w:rsidR="0071680A">
        <w:rPr>
          <w:rStyle w:val="Hyperlink"/>
          <w:webHidden/>
          <w:color w:val="000000" w:themeColor="text1"/>
          <w:u w:val="none"/>
          <w:rtl/>
        </w:rPr>
        <w:t>495</w:t>
      </w:r>
      <w:r w:rsidRPr="00EB41C4">
        <w:rPr>
          <w:rStyle w:val="Hyperlink"/>
          <w:webHidden/>
          <w:color w:val="000000" w:themeColor="text1"/>
          <w:u w:val="none"/>
          <w:rtl/>
        </w:rPr>
        <w:fldChar w:fldCharType="end"/>
      </w:r>
    </w:p>
    <w:p w:rsidR="00EF7221" w:rsidRPr="001F3648" w:rsidRDefault="00A6422F" w:rsidP="00EB41C4">
      <w:pPr>
        <w:pStyle w:val="TOC6"/>
        <w:spacing w:line="204" w:lineRule="auto"/>
        <w:rPr>
          <w:rFonts w:asciiTheme="minorHAnsi" w:eastAsiaTheme="minorEastAsia" w:hAnsiTheme="minorHAnsi" w:cstheme="minorBidi"/>
          <w:color w:val="000000" w:themeColor="text1"/>
          <w:szCs w:val="22"/>
          <w:rtl/>
        </w:rPr>
      </w:pPr>
      <w:hyperlink w:anchor="_Toc275128219" w:history="1">
        <w:r w:rsidR="00EF7221" w:rsidRPr="001F3648">
          <w:rPr>
            <w:rStyle w:val="Hyperlink"/>
            <w:rFonts w:hint="eastAsia"/>
            <w:color w:val="000000" w:themeColor="text1"/>
            <w:u w:val="none"/>
            <w:rtl/>
          </w:rPr>
          <w:t>ترجمة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السيد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علي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عباس</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الموسوي</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Toc275128219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495</w:t>
        </w:r>
        <w:r w:rsidRPr="001F3648">
          <w:rPr>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20" w:history="1">
        <w:r w:rsidR="00EF7221" w:rsidRPr="001F3648">
          <w:rPr>
            <w:rStyle w:val="Hyperlink"/>
            <w:rFonts w:hint="eastAsia"/>
            <w:color w:val="000000" w:themeColor="text1"/>
            <w:sz w:val="24"/>
            <w:szCs w:val="28"/>
            <w:u w:val="none"/>
            <w:rtl/>
          </w:rPr>
          <w:t>النسوية</w:t>
        </w:r>
        <w:r w:rsidR="00EF7221" w:rsidRPr="001F3648">
          <w:rPr>
            <w:rStyle w:val="Hyperlink"/>
            <w:rFonts w:cs="Simplified Arabic"/>
            <w:color w:val="000000" w:themeColor="text1"/>
            <w:sz w:val="24"/>
            <w:szCs w:val="28"/>
            <w:u w:val="none"/>
            <w:rtl/>
          </w:rPr>
          <w:t>:</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المصطلح</w:t>
        </w:r>
        <w:r w:rsidR="00EF7221" w:rsidRPr="001F3648">
          <w:rPr>
            <w:rStyle w:val="Hyperlink"/>
            <w:rFonts w:cs="Simplified Arabic" w:hint="eastAsia"/>
            <w:color w:val="000000" w:themeColor="text1"/>
            <w:sz w:val="24"/>
            <w:szCs w:val="28"/>
            <w:u w:val="none"/>
            <w:rtl/>
          </w:rPr>
          <w:t>،</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والمدلولات</w:t>
        </w:r>
        <w:r w:rsidR="00EF7221" w:rsidRPr="001F3648">
          <w:rPr>
            <w:rStyle w:val="Hyperlink"/>
            <w:rFonts w:cs="Simplified Arabic" w:hint="eastAsia"/>
            <w:color w:val="000000" w:themeColor="text1"/>
            <w:sz w:val="24"/>
            <w:szCs w:val="28"/>
            <w:u w:val="none"/>
            <w:rtl/>
          </w:rPr>
          <w:t>،</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والاتجاهات</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Toc275128220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495</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21" w:history="1">
        <w:r w:rsidR="00EF7221" w:rsidRPr="001F3648">
          <w:rPr>
            <w:rStyle w:val="Hyperlink"/>
            <w:rFonts w:hint="eastAsia"/>
            <w:color w:val="000000" w:themeColor="text1"/>
            <w:sz w:val="24"/>
            <w:szCs w:val="28"/>
            <w:u w:val="none"/>
            <w:rtl/>
          </w:rPr>
          <w:t>الخصوصيات</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العامّة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للنسوية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إيران</w:t>
        </w:r>
        <w:r w:rsidR="00EF7221" w:rsidRPr="001F3648">
          <w:rPr>
            <w:rStyle w:val="Hyperlink"/>
            <w:rFonts w:cs="Simplified Arabic" w:hint="eastAsia"/>
            <w:color w:val="000000" w:themeColor="text1"/>
            <w:sz w:val="24"/>
            <w:szCs w:val="28"/>
            <w:u w:val="none"/>
            <w:rtl/>
          </w:rPr>
          <w:t>،</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أزمة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مشروع</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Toc275128221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497</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22" w:history="1">
        <w:r w:rsidR="00EF7221" w:rsidRPr="001F3648">
          <w:rPr>
            <w:rStyle w:val="Hyperlink"/>
            <w:rFonts w:hint="eastAsia"/>
            <w:color w:val="000000" w:themeColor="text1"/>
            <w:sz w:val="24"/>
            <w:szCs w:val="28"/>
            <w:u w:val="none"/>
            <w:rtl/>
          </w:rPr>
          <w:t>نظرية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التوظيف</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الرسمي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للمرأة</w:t>
        </w:r>
        <w:r w:rsidR="00EF7221" w:rsidRPr="001F3648">
          <w:rPr>
            <w:rStyle w:val="Hyperlink"/>
            <w:rFonts w:cs="Simplified Arabic" w:hint="eastAsia"/>
            <w:color w:val="000000" w:themeColor="text1"/>
            <w:sz w:val="24"/>
            <w:szCs w:val="28"/>
            <w:u w:val="none"/>
            <w:rtl/>
          </w:rPr>
          <w:t>،</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قراءة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نقدية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Toc275128222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497</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23" w:history="1">
        <w:r w:rsidR="00EF7221" w:rsidRPr="001F3648">
          <w:rPr>
            <w:rStyle w:val="Hyperlink"/>
            <w:rFonts w:hint="eastAsia"/>
            <w:color w:val="000000" w:themeColor="text1"/>
            <w:sz w:val="24"/>
            <w:szCs w:val="28"/>
            <w:u w:val="none"/>
            <w:rtl/>
          </w:rPr>
          <w:t>بين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عمل</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المرأة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واستقلالها</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المادي</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Toc275128223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500</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24" w:history="1">
        <w:r w:rsidR="00EF7221" w:rsidRPr="001F3648">
          <w:rPr>
            <w:rStyle w:val="Hyperlink"/>
            <w:rFonts w:hint="eastAsia"/>
            <w:color w:val="000000" w:themeColor="text1"/>
            <w:sz w:val="24"/>
            <w:szCs w:val="28"/>
            <w:u w:val="none"/>
            <w:rtl/>
          </w:rPr>
          <w:t>نظرية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العداوة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بين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الجنسين</w:t>
        </w:r>
        <w:r w:rsidR="00EF7221" w:rsidRPr="001F3648">
          <w:rPr>
            <w:rStyle w:val="Hyperlink"/>
            <w:rFonts w:cs="Simplified Arabic" w:hint="eastAsia"/>
            <w:color w:val="000000" w:themeColor="text1"/>
            <w:sz w:val="24"/>
            <w:szCs w:val="28"/>
            <w:u w:val="none"/>
            <w:rtl/>
          </w:rPr>
          <w:t>،</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وقفة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ناقدةً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Toc275128224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501</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25" w:history="1">
        <w:r w:rsidR="00EF7221" w:rsidRPr="001F3648">
          <w:rPr>
            <w:rStyle w:val="Hyperlink"/>
            <w:rFonts w:hint="eastAsia"/>
            <w:color w:val="000000" w:themeColor="text1"/>
            <w:sz w:val="24"/>
            <w:szCs w:val="28"/>
            <w:u w:val="none"/>
            <w:rtl/>
          </w:rPr>
          <w:t>نظرية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المرأة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العالمية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الواحدة</w:t>
        </w:r>
        <w:r w:rsidR="00EF7221" w:rsidRPr="001F3648">
          <w:rPr>
            <w:rStyle w:val="Hyperlink"/>
            <w:rFonts w:cs="Simplified Arabic" w:hint="eastAsia"/>
            <w:color w:val="000000" w:themeColor="text1"/>
            <w:sz w:val="24"/>
            <w:szCs w:val="28"/>
            <w:u w:val="none"/>
            <w:rtl/>
          </w:rPr>
          <w:t>،</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تعليق</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نقدي</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Toc275128225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502</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26" w:history="1">
        <w:r w:rsidR="00EF7221" w:rsidRPr="001F3648">
          <w:rPr>
            <w:rStyle w:val="Hyperlink"/>
            <w:rFonts w:hint="eastAsia"/>
            <w:color w:val="000000" w:themeColor="text1"/>
            <w:sz w:val="24"/>
            <w:szCs w:val="28"/>
            <w:u w:val="none"/>
            <w:rtl/>
          </w:rPr>
          <w:t>نظرية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التشابه</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التام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بين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الجنسين</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Toc275128226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503</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27" w:history="1">
        <w:r w:rsidR="00EF7221" w:rsidRPr="001F3648">
          <w:rPr>
            <w:rStyle w:val="Hyperlink"/>
            <w:rFonts w:hint="eastAsia"/>
            <w:color w:val="000000" w:themeColor="text1"/>
            <w:sz w:val="24"/>
            <w:szCs w:val="28"/>
            <w:u w:val="none"/>
            <w:rtl/>
          </w:rPr>
          <w:t>الحركة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النسوية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إيران</w:t>
        </w:r>
        <w:r w:rsidR="00EF7221" w:rsidRPr="001F3648">
          <w:rPr>
            <w:rStyle w:val="Hyperlink"/>
            <w:rFonts w:cs="Simplified Arabic"/>
            <w:color w:val="000000" w:themeColor="text1"/>
            <w:sz w:val="24"/>
            <w:szCs w:val="28"/>
            <w:u w:val="none"/>
            <w:rtl/>
          </w:rPr>
          <w:t>:</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الاستراتيجيات</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وبرامج</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العمل</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Toc275128227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506</w:t>
        </w:r>
        <w:r w:rsidRPr="001F3648">
          <w:rPr>
            <w:webHidden/>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228" w:history="1">
        <w:r w:rsidR="00EF7221" w:rsidRPr="001F3648">
          <w:rPr>
            <w:rStyle w:val="Hyperlink"/>
            <w:noProof/>
            <w:color w:val="000000" w:themeColor="text1"/>
            <w:u w:val="none"/>
            <w:rtl/>
          </w:rPr>
          <w:t xml:space="preserve">1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رصد</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الدور</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التقليدي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للمرأة</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Toc275128228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506</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229" w:history="1">
        <w:r w:rsidR="00EF7221" w:rsidRPr="001F3648">
          <w:rPr>
            <w:rStyle w:val="Hyperlink"/>
            <w:noProof/>
            <w:color w:val="000000" w:themeColor="text1"/>
            <w:u w:val="none"/>
            <w:rtl/>
          </w:rPr>
          <w:t xml:space="preserve">2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مسؤولية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نظام</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القيم</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Toc275128229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507</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230" w:history="1">
        <w:r w:rsidR="00EF7221" w:rsidRPr="001F3648">
          <w:rPr>
            <w:rStyle w:val="Hyperlink"/>
            <w:noProof/>
            <w:color w:val="000000" w:themeColor="text1"/>
            <w:u w:val="none"/>
            <w:rtl/>
          </w:rPr>
          <w:t xml:space="preserve">3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دعم</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الرجل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وتعاونه</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مع</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الحركة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النسوية</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Toc275128230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507</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231" w:history="1">
        <w:r w:rsidR="00EF7221" w:rsidRPr="001F3648">
          <w:rPr>
            <w:rStyle w:val="Hyperlink"/>
            <w:noProof/>
            <w:color w:val="000000" w:themeColor="text1"/>
            <w:u w:val="none"/>
            <w:rtl/>
          </w:rPr>
          <w:t xml:space="preserve">4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المرأة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والرجل</w:t>
        </w:r>
        <w:r w:rsidR="00EF7221" w:rsidRPr="001F3648">
          <w:rPr>
            <w:rStyle w:val="Hyperlink"/>
            <w:rFonts w:cs="Simplified Arabic" w:hint="eastAsia"/>
            <w:noProof/>
            <w:color w:val="000000" w:themeColor="text1"/>
            <w:u w:val="none"/>
            <w:rtl/>
          </w:rPr>
          <w:t>،</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التساوي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والتماثل</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Toc275128231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508</w:t>
        </w:r>
        <w:r w:rsidRPr="001F3648">
          <w:rPr>
            <w:noProof/>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32" w:history="1">
        <w:r w:rsidR="00EF7221" w:rsidRPr="001F3648">
          <w:rPr>
            <w:rStyle w:val="Hyperlink"/>
            <w:rFonts w:hint="eastAsia"/>
            <w:color w:val="000000" w:themeColor="text1"/>
            <w:sz w:val="24"/>
            <w:szCs w:val="28"/>
            <w:u w:val="none"/>
            <w:rtl/>
          </w:rPr>
          <w:t>النتيجة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Toc275128232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508</w:t>
        </w:r>
        <w:r w:rsidRPr="001F3648">
          <w:rPr>
            <w:webHidden/>
            <w:rtl/>
          </w:rPr>
          <w:fldChar w:fldCharType="end"/>
        </w:r>
      </w:hyperlink>
    </w:p>
    <w:p w:rsidR="00EF7221" w:rsidRPr="001F3648" w:rsidRDefault="00A6422F" w:rsidP="0008530B">
      <w:pPr>
        <w:pStyle w:val="TOC1"/>
        <w:spacing w:line="204" w:lineRule="auto"/>
        <w:rPr>
          <w:rFonts w:asciiTheme="minorHAnsi" w:eastAsiaTheme="minorEastAsia" w:hAnsiTheme="minorHAnsi" w:cstheme="minorBidi"/>
          <w:color w:val="000000" w:themeColor="text1"/>
          <w:sz w:val="22"/>
          <w:szCs w:val="22"/>
          <w:rtl/>
          <w:lang w:eastAsia="en-US"/>
        </w:rPr>
      </w:pPr>
      <w:hyperlink w:anchor="_Toc275128233" w:history="1">
        <w:r w:rsidR="00EF7221" w:rsidRPr="001F3648">
          <w:rPr>
            <w:rStyle w:val="Hyperlink"/>
            <w:rFonts w:hint="eastAsia"/>
            <w:color w:val="000000" w:themeColor="text1"/>
            <w:u w:val="none"/>
            <w:rtl/>
          </w:rPr>
          <w:t>مشروع</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الحركة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النسوية</w:t>
        </w:r>
      </w:hyperlink>
      <w:r w:rsidR="00090BFD" w:rsidRPr="001F3648">
        <w:rPr>
          <w:rStyle w:val="Hyperlink"/>
          <w:rFonts w:hint="cs"/>
          <w:color w:val="000000" w:themeColor="text1"/>
          <w:u w:val="none"/>
          <w:rtl/>
        </w:rPr>
        <w:t xml:space="preserve">، </w:t>
      </w:r>
      <w:hyperlink w:anchor="_Toc275128234" w:history="1">
        <w:r w:rsidR="00EF7221" w:rsidRPr="001F3648">
          <w:rPr>
            <w:rStyle w:val="Hyperlink"/>
            <w:rFonts w:hint="eastAsia"/>
            <w:color w:val="000000" w:themeColor="text1"/>
            <w:u w:val="none"/>
            <w:rtl/>
          </w:rPr>
          <w:t>ما</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الذي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تبحث</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عنه</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النسويّة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في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إيران؟</w:t>
        </w:r>
        <w:r w:rsidR="00EF7221" w:rsidRPr="001F3648">
          <w:rPr>
            <w:rFonts w:ascii="Calibri" w:eastAsia="Times New Roman" w:hAnsi="Calibri" w:cs="Mosawi"/>
            <w:webHidden/>
            <w:color w:val="000000" w:themeColor="text1"/>
            <w:sz w:val="22"/>
            <w:szCs w:val="26"/>
            <w:rtl/>
            <w:lang w:eastAsia="en-US"/>
          </w:rPr>
          <w:tab/>
        </w:r>
        <w:r w:rsidRPr="001F3648">
          <w:rPr>
            <w:rFonts w:ascii="Calibri" w:eastAsia="Times New Roman" w:hAnsi="Calibri" w:cs="Mosawi"/>
            <w:webHidden/>
            <w:color w:val="000000" w:themeColor="text1"/>
            <w:sz w:val="22"/>
            <w:szCs w:val="26"/>
            <w:rtl/>
            <w:lang w:eastAsia="en-US"/>
          </w:rPr>
          <w:fldChar w:fldCharType="begin"/>
        </w:r>
        <w:r w:rsidR="00EF7221" w:rsidRPr="001F3648">
          <w:rPr>
            <w:rFonts w:ascii="Calibri" w:eastAsia="Times New Roman" w:hAnsi="Calibri" w:cs="Mosawi"/>
            <w:webHidden/>
            <w:color w:val="000000" w:themeColor="text1"/>
            <w:sz w:val="22"/>
            <w:szCs w:val="26"/>
            <w:rtl/>
            <w:lang w:eastAsia="en-US"/>
          </w:rPr>
          <w:instrText xml:space="preserve"> </w:instrText>
        </w:r>
        <w:r w:rsidR="00EF7221" w:rsidRPr="001F3648">
          <w:rPr>
            <w:rFonts w:ascii="Calibri" w:eastAsia="Times New Roman" w:hAnsi="Calibri" w:cs="Mosawi"/>
            <w:webHidden/>
            <w:color w:val="000000" w:themeColor="text1"/>
            <w:sz w:val="22"/>
            <w:szCs w:val="26"/>
            <w:lang w:eastAsia="en-US"/>
          </w:rPr>
          <w:instrText>PAGEREF</w:instrText>
        </w:r>
        <w:r w:rsidR="00EF7221" w:rsidRPr="001F3648">
          <w:rPr>
            <w:rFonts w:ascii="Calibri" w:eastAsia="Times New Roman" w:hAnsi="Calibri" w:cs="Mosawi"/>
            <w:webHidden/>
            <w:color w:val="000000" w:themeColor="text1"/>
            <w:sz w:val="22"/>
            <w:szCs w:val="26"/>
            <w:rtl/>
            <w:lang w:eastAsia="en-US"/>
          </w:rPr>
          <w:instrText xml:space="preserve"> _</w:instrText>
        </w:r>
        <w:r w:rsidR="00EF7221" w:rsidRPr="001F3648">
          <w:rPr>
            <w:rFonts w:ascii="Calibri" w:eastAsia="Times New Roman" w:hAnsi="Calibri" w:cs="Mosawi"/>
            <w:webHidden/>
            <w:color w:val="000000" w:themeColor="text1"/>
            <w:sz w:val="22"/>
            <w:szCs w:val="26"/>
            <w:lang w:eastAsia="en-US"/>
          </w:rPr>
          <w:instrText>Toc275128234 \h</w:instrText>
        </w:r>
        <w:r w:rsidR="00EF7221" w:rsidRPr="001F3648">
          <w:rPr>
            <w:rFonts w:ascii="Calibri" w:eastAsia="Times New Roman" w:hAnsi="Calibri" w:cs="Mosawi"/>
            <w:webHidden/>
            <w:color w:val="000000" w:themeColor="text1"/>
            <w:sz w:val="22"/>
            <w:szCs w:val="26"/>
            <w:rtl/>
            <w:lang w:eastAsia="en-US"/>
          </w:rPr>
          <w:instrText xml:space="preserve"> </w:instrText>
        </w:r>
        <w:r w:rsidRPr="001F3648">
          <w:rPr>
            <w:rFonts w:ascii="Calibri" w:eastAsia="Times New Roman" w:hAnsi="Calibri" w:cs="Mosawi"/>
            <w:webHidden/>
            <w:color w:val="000000" w:themeColor="text1"/>
            <w:sz w:val="22"/>
            <w:szCs w:val="26"/>
            <w:rtl/>
            <w:lang w:eastAsia="en-US"/>
          </w:rPr>
        </w:r>
        <w:r w:rsidRPr="001F3648">
          <w:rPr>
            <w:rFonts w:ascii="Calibri" w:eastAsia="Times New Roman" w:hAnsi="Calibri" w:cs="Mosawi"/>
            <w:webHidden/>
            <w:color w:val="000000" w:themeColor="text1"/>
            <w:sz w:val="22"/>
            <w:szCs w:val="26"/>
            <w:rtl/>
            <w:lang w:eastAsia="en-US"/>
          </w:rPr>
          <w:fldChar w:fldCharType="separate"/>
        </w:r>
        <w:r w:rsidR="0071680A">
          <w:rPr>
            <w:rFonts w:ascii="Calibri" w:eastAsia="Times New Roman" w:hAnsi="Calibri" w:cs="Mosawi"/>
            <w:webHidden/>
            <w:color w:val="000000" w:themeColor="text1"/>
            <w:sz w:val="22"/>
            <w:szCs w:val="26"/>
            <w:rtl/>
            <w:lang w:eastAsia="en-US"/>
          </w:rPr>
          <w:t>511</w:t>
        </w:r>
        <w:r w:rsidRPr="001F3648">
          <w:rPr>
            <w:rFonts w:ascii="Calibri" w:eastAsia="Times New Roman" w:hAnsi="Calibri" w:cs="Mosawi"/>
            <w:webHidden/>
            <w:color w:val="000000" w:themeColor="text1"/>
            <w:sz w:val="22"/>
            <w:szCs w:val="26"/>
            <w:rtl/>
            <w:lang w:eastAsia="en-US"/>
          </w:rPr>
          <w:fldChar w:fldCharType="end"/>
        </w:r>
      </w:hyperlink>
    </w:p>
    <w:p w:rsidR="0071680A" w:rsidRDefault="00A6422F" w:rsidP="0071680A">
      <w:pPr>
        <w:pStyle w:val="TOC6"/>
        <w:spacing w:line="204" w:lineRule="auto"/>
        <w:rPr>
          <w:rStyle w:val="Hyperlink"/>
          <w:color w:val="000000" w:themeColor="text1"/>
          <w:u w:val="none"/>
        </w:rPr>
      </w:pPr>
      <w:hyperlink w:anchor="_Toc275128235" w:history="1">
        <w:r w:rsidR="00EF7221" w:rsidRPr="001F3648">
          <w:rPr>
            <w:rStyle w:val="Hyperlink"/>
            <w:rFonts w:hint="eastAsia"/>
            <w:color w:val="000000" w:themeColor="text1"/>
            <w:u w:val="none"/>
            <w:rtl/>
          </w:rPr>
          <w:t>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حامد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شهيديان</w:t>
        </w:r>
      </w:hyperlink>
      <w:r w:rsidR="0071680A" w:rsidRPr="0071680A">
        <w:rPr>
          <w:webHidden/>
          <w:rtl/>
        </w:rPr>
        <w:tab/>
      </w:r>
      <w:r w:rsidR="0071680A" w:rsidRPr="0071680A">
        <w:rPr>
          <w:webHidden/>
          <w:rtl/>
        </w:rPr>
        <w:fldChar w:fldCharType="begin"/>
      </w:r>
      <w:r w:rsidR="0071680A" w:rsidRPr="0071680A">
        <w:rPr>
          <w:webHidden/>
          <w:rtl/>
        </w:rPr>
        <w:instrText xml:space="preserve"> </w:instrText>
      </w:r>
      <w:r w:rsidR="0071680A" w:rsidRPr="0071680A">
        <w:rPr>
          <w:webHidden/>
        </w:rPr>
        <w:instrText xml:space="preserve">PAGEREF _Toc275128236 \h </w:instrText>
      </w:r>
      <w:r w:rsidR="0071680A" w:rsidRPr="0071680A">
        <w:rPr>
          <w:webHidden/>
        </w:rPr>
      </w:r>
      <w:r w:rsidR="0071680A" w:rsidRPr="0071680A">
        <w:rPr>
          <w:webHidden/>
        </w:rPr>
        <w:fldChar w:fldCharType="separate"/>
      </w:r>
      <w:r w:rsidR="0071680A">
        <w:rPr>
          <w:webHidden/>
          <w:rtl/>
        </w:rPr>
        <w:t>511</w:t>
      </w:r>
      <w:r w:rsidR="0071680A" w:rsidRPr="0071680A">
        <w:rPr>
          <w:webHidden/>
          <w:rtl/>
        </w:rPr>
        <w:fldChar w:fldCharType="end"/>
      </w:r>
    </w:p>
    <w:p w:rsidR="00EF7221" w:rsidRPr="001F3648" w:rsidRDefault="00A87975" w:rsidP="0071680A">
      <w:pPr>
        <w:pStyle w:val="TOC6"/>
        <w:spacing w:line="204" w:lineRule="auto"/>
        <w:rPr>
          <w:rFonts w:asciiTheme="minorHAnsi" w:eastAsiaTheme="minorEastAsia" w:hAnsiTheme="minorHAnsi" w:cstheme="minorBidi"/>
          <w:color w:val="000000" w:themeColor="text1"/>
          <w:szCs w:val="22"/>
          <w:rtl/>
        </w:rPr>
      </w:pPr>
      <w:r w:rsidRPr="001F3648">
        <w:rPr>
          <w:rStyle w:val="Hyperlink"/>
          <w:rFonts w:hint="cs"/>
          <w:color w:val="000000" w:themeColor="text1"/>
          <w:u w:val="none"/>
          <w:rtl/>
        </w:rPr>
        <w:t xml:space="preserve"> </w:t>
      </w:r>
      <w:hyperlink w:anchor="_Toc275128236" w:history="1">
        <w:r w:rsidR="00EF7221" w:rsidRPr="001F3648">
          <w:rPr>
            <w:rStyle w:val="Hyperlink"/>
            <w:rFonts w:hint="eastAsia"/>
            <w:color w:val="000000" w:themeColor="text1"/>
            <w:u w:val="none"/>
            <w:rtl/>
          </w:rPr>
          <w:t>ترجمة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السيد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علي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عباس</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الموسوي</w:t>
        </w:r>
        <w:r w:rsidR="00EF7221" w:rsidRPr="001F3648">
          <w:rPr>
            <w:webHidden/>
            <w:color w:val="000000" w:themeColor="text1"/>
            <w:rtl/>
          </w:rPr>
          <w:tab/>
        </w:r>
        <w:r w:rsidR="00A6422F"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Toc275128236 \h</w:instrText>
        </w:r>
        <w:r w:rsidR="00EF7221" w:rsidRPr="001F3648">
          <w:rPr>
            <w:webHidden/>
            <w:color w:val="000000" w:themeColor="text1"/>
            <w:rtl/>
          </w:rPr>
          <w:instrText xml:space="preserve"> </w:instrText>
        </w:r>
        <w:r w:rsidR="00A6422F" w:rsidRPr="001F3648">
          <w:rPr>
            <w:webHidden/>
            <w:color w:val="000000" w:themeColor="text1"/>
            <w:rtl/>
          </w:rPr>
        </w:r>
        <w:r w:rsidR="00A6422F" w:rsidRPr="001F3648">
          <w:rPr>
            <w:webHidden/>
            <w:color w:val="000000" w:themeColor="text1"/>
            <w:rtl/>
          </w:rPr>
          <w:fldChar w:fldCharType="separate"/>
        </w:r>
        <w:r w:rsidR="0071680A">
          <w:rPr>
            <w:webHidden/>
            <w:color w:val="000000" w:themeColor="text1"/>
            <w:rtl/>
          </w:rPr>
          <w:t>511</w:t>
        </w:r>
        <w:r w:rsidR="00A6422F" w:rsidRPr="001F3648">
          <w:rPr>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37" w:history="1">
        <w:r w:rsidR="00EF7221" w:rsidRPr="001F3648">
          <w:rPr>
            <w:rStyle w:val="Hyperlink"/>
            <w:rFonts w:hint="eastAsia"/>
            <w:color w:val="000000" w:themeColor="text1"/>
            <w:sz w:val="24"/>
            <w:szCs w:val="28"/>
            <w:u w:val="none"/>
            <w:rtl/>
          </w:rPr>
          <w:t>مدخل</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Toc275128237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511</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38" w:history="1">
        <w:r w:rsidR="00EF7221" w:rsidRPr="001F3648">
          <w:rPr>
            <w:rStyle w:val="Hyperlink"/>
            <w:rFonts w:hint="eastAsia"/>
            <w:color w:val="000000" w:themeColor="text1"/>
            <w:sz w:val="24"/>
            <w:szCs w:val="28"/>
            <w:u w:val="none"/>
            <w:rtl/>
          </w:rPr>
          <w:t>الغرب</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والنسوية</w:t>
        </w:r>
        <w:r w:rsidR="00EF7221" w:rsidRPr="001F3648">
          <w:rPr>
            <w:rStyle w:val="Hyperlink"/>
            <w:rFonts w:cs="Simplified Arabic" w:hint="eastAsia"/>
            <w:color w:val="000000" w:themeColor="text1"/>
            <w:sz w:val="24"/>
            <w:szCs w:val="28"/>
            <w:u w:val="none"/>
            <w:rtl/>
          </w:rPr>
          <w:t>،</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أين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وصلت</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الحركة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النسوية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الغرب؟</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Toc275128238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513</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39" w:history="1">
        <w:r w:rsidR="00EF7221" w:rsidRPr="001F3648">
          <w:rPr>
            <w:rStyle w:val="Hyperlink"/>
            <w:rFonts w:hint="eastAsia"/>
            <w:color w:val="000000" w:themeColor="text1"/>
            <w:sz w:val="24"/>
            <w:szCs w:val="28"/>
            <w:u w:val="none"/>
            <w:rtl/>
          </w:rPr>
          <w:t>النسوية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والجنس</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المتنوّع</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Toc275128239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514</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40" w:history="1">
        <w:r w:rsidR="00EF7221" w:rsidRPr="001F3648">
          <w:rPr>
            <w:rStyle w:val="Hyperlink"/>
            <w:rFonts w:hint="eastAsia"/>
            <w:color w:val="000000" w:themeColor="text1"/>
            <w:sz w:val="24"/>
            <w:szCs w:val="28"/>
            <w:u w:val="none"/>
            <w:rtl/>
          </w:rPr>
          <w:t>النسوية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والأشكال</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الجديدة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للأسرة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Toc275128240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521</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41" w:history="1">
        <w:r w:rsidR="00EF7221" w:rsidRPr="001F3648">
          <w:rPr>
            <w:rStyle w:val="Hyperlink"/>
            <w:rFonts w:hint="eastAsia"/>
            <w:color w:val="000000" w:themeColor="text1"/>
            <w:sz w:val="24"/>
            <w:szCs w:val="28"/>
            <w:u w:val="none"/>
            <w:rtl/>
          </w:rPr>
          <w:t>المرأة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والعمل</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المنزلي</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Toc275128241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524</w:t>
        </w:r>
        <w:r w:rsidRPr="001F3648">
          <w:rPr>
            <w:webHidden/>
            <w:rtl/>
          </w:rPr>
          <w:fldChar w:fldCharType="end"/>
        </w:r>
      </w:hyperlink>
    </w:p>
    <w:p w:rsidR="00EF7221" w:rsidRPr="001F3648" w:rsidRDefault="00A6422F" w:rsidP="00EB41C4">
      <w:pPr>
        <w:pStyle w:val="TOC2"/>
        <w:rPr>
          <w:rFonts w:asciiTheme="minorHAnsi" w:eastAsiaTheme="minorEastAsia" w:hAnsiTheme="minorHAnsi" w:cstheme="minorBidi"/>
          <w:szCs w:val="22"/>
          <w:rtl/>
          <w:lang w:eastAsia="en-US"/>
        </w:rPr>
      </w:pPr>
      <w:hyperlink w:anchor="_Toc275128242" w:history="1">
        <w:r w:rsidR="00EF7221" w:rsidRPr="001F3648">
          <w:rPr>
            <w:rStyle w:val="Hyperlink"/>
            <w:rFonts w:hint="eastAsia"/>
            <w:color w:val="000000" w:themeColor="text1"/>
            <w:sz w:val="24"/>
            <w:szCs w:val="28"/>
            <w:u w:val="none"/>
            <w:rtl/>
          </w:rPr>
          <w:t>هل</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عصور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ما</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قبل</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التاريخ</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تمثل</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مرجعاً</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يُ</w:t>
        </w:r>
        <w:r w:rsidR="00EB41C4" w:rsidRPr="00EB41C4">
          <w:rPr>
            <w:rStyle w:val="Hyperlink"/>
            <w:rFonts w:hint="eastAsia"/>
            <w:color w:val="000000" w:themeColor="text1"/>
            <w:sz w:val="24"/>
            <w:szCs w:val="28"/>
            <w:u w:val="none"/>
            <w:rtl/>
          </w:rPr>
          <w:t>ح</w:t>
        </w:r>
        <w:r w:rsidR="00EF7221" w:rsidRPr="001F3648">
          <w:rPr>
            <w:rStyle w:val="Hyperlink"/>
            <w:rFonts w:hint="eastAsia"/>
            <w:color w:val="000000" w:themeColor="text1"/>
            <w:sz w:val="24"/>
            <w:szCs w:val="28"/>
            <w:u w:val="none"/>
            <w:rtl/>
          </w:rPr>
          <w:t>تكم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إليه؟</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Toc275128242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528</w:t>
        </w:r>
        <w:r w:rsidRPr="001F3648">
          <w:rPr>
            <w:webHidden/>
            <w:rtl/>
          </w:rPr>
          <w:fldChar w:fldCharType="end"/>
        </w:r>
      </w:hyperlink>
    </w:p>
    <w:p w:rsidR="00EF7221" w:rsidRPr="001F3648" w:rsidRDefault="00A6422F" w:rsidP="0008530B">
      <w:pPr>
        <w:pStyle w:val="TOC1"/>
        <w:spacing w:line="204" w:lineRule="auto"/>
        <w:rPr>
          <w:rFonts w:asciiTheme="minorHAnsi" w:eastAsiaTheme="minorEastAsia" w:hAnsiTheme="minorHAnsi" w:cstheme="minorBidi"/>
          <w:color w:val="000000" w:themeColor="text1"/>
          <w:sz w:val="22"/>
          <w:szCs w:val="22"/>
          <w:rtl/>
          <w:lang w:eastAsia="en-US"/>
        </w:rPr>
      </w:pPr>
      <w:hyperlink w:anchor="_Toc275128243" w:history="1">
        <w:r w:rsidR="00EF7221" w:rsidRPr="001F3648">
          <w:rPr>
            <w:rStyle w:val="Hyperlink"/>
            <w:rFonts w:hint="eastAsia"/>
            <w:color w:val="000000" w:themeColor="text1"/>
            <w:u w:val="none"/>
            <w:rtl/>
          </w:rPr>
          <w:t>الحركة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النسوية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ومنزلة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المرأة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في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الإسلام</w:t>
        </w:r>
      </w:hyperlink>
      <w:r w:rsidR="00090BFD" w:rsidRPr="001F3648">
        <w:rPr>
          <w:rStyle w:val="Hyperlink"/>
          <w:rFonts w:hint="cs"/>
          <w:color w:val="000000" w:themeColor="text1"/>
          <w:u w:val="none"/>
          <w:rtl/>
        </w:rPr>
        <w:t xml:space="preserve">، </w:t>
      </w:r>
      <w:hyperlink w:anchor="_Toc275128244" w:history="1">
        <w:r w:rsidR="00EF7221" w:rsidRPr="001F3648">
          <w:rPr>
            <w:rStyle w:val="Hyperlink"/>
            <w:rFonts w:hint="eastAsia"/>
            <w:color w:val="000000" w:themeColor="text1"/>
            <w:u w:val="none"/>
            <w:rtl/>
          </w:rPr>
          <w:t>قراءة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مقارنة</w:t>
        </w:r>
        <w:r w:rsidR="00EF7221" w:rsidRPr="001F3648">
          <w:rPr>
            <w:rFonts w:ascii="Calibri" w:eastAsia="Times New Roman" w:hAnsi="Calibri" w:cs="Mosawi"/>
            <w:webHidden/>
            <w:color w:val="000000" w:themeColor="text1"/>
            <w:sz w:val="22"/>
            <w:szCs w:val="26"/>
            <w:rtl/>
            <w:lang w:eastAsia="en-US"/>
          </w:rPr>
          <w:tab/>
        </w:r>
        <w:r w:rsidRPr="001F3648">
          <w:rPr>
            <w:rFonts w:ascii="Calibri" w:eastAsia="Times New Roman" w:hAnsi="Calibri" w:cs="Mosawi"/>
            <w:webHidden/>
            <w:color w:val="000000" w:themeColor="text1"/>
            <w:sz w:val="22"/>
            <w:szCs w:val="26"/>
            <w:rtl/>
            <w:lang w:eastAsia="en-US"/>
          </w:rPr>
          <w:fldChar w:fldCharType="begin"/>
        </w:r>
        <w:r w:rsidR="00EF7221" w:rsidRPr="001F3648">
          <w:rPr>
            <w:rFonts w:ascii="Calibri" w:eastAsia="Times New Roman" w:hAnsi="Calibri" w:cs="Mosawi"/>
            <w:webHidden/>
            <w:color w:val="000000" w:themeColor="text1"/>
            <w:sz w:val="22"/>
            <w:szCs w:val="26"/>
            <w:rtl/>
            <w:lang w:eastAsia="en-US"/>
          </w:rPr>
          <w:instrText xml:space="preserve"> </w:instrText>
        </w:r>
        <w:r w:rsidR="00EF7221" w:rsidRPr="001F3648">
          <w:rPr>
            <w:rFonts w:ascii="Calibri" w:eastAsia="Times New Roman" w:hAnsi="Calibri" w:cs="Mosawi"/>
            <w:webHidden/>
            <w:color w:val="000000" w:themeColor="text1"/>
            <w:sz w:val="22"/>
            <w:szCs w:val="26"/>
            <w:lang w:eastAsia="en-US"/>
          </w:rPr>
          <w:instrText>PAGEREF</w:instrText>
        </w:r>
        <w:r w:rsidR="00EF7221" w:rsidRPr="001F3648">
          <w:rPr>
            <w:rFonts w:ascii="Calibri" w:eastAsia="Times New Roman" w:hAnsi="Calibri" w:cs="Mosawi"/>
            <w:webHidden/>
            <w:color w:val="000000" w:themeColor="text1"/>
            <w:sz w:val="22"/>
            <w:szCs w:val="26"/>
            <w:rtl/>
            <w:lang w:eastAsia="en-US"/>
          </w:rPr>
          <w:instrText xml:space="preserve"> _</w:instrText>
        </w:r>
        <w:r w:rsidR="00EF7221" w:rsidRPr="001F3648">
          <w:rPr>
            <w:rFonts w:ascii="Calibri" w:eastAsia="Times New Roman" w:hAnsi="Calibri" w:cs="Mosawi"/>
            <w:webHidden/>
            <w:color w:val="000000" w:themeColor="text1"/>
            <w:sz w:val="22"/>
            <w:szCs w:val="26"/>
            <w:lang w:eastAsia="en-US"/>
          </w:rPr>
          <w:instrText>Toc275128244 \h</w:instrText>
        </w:r>
        <w:r w:rsidR="00EF7221" w:rsidRPr="001F3648">
          <w:rPr>
            <w:rFonts w:ascii="Calibri" w:eastAsia="Times New Roman" w:hAnsi="Calibri" w:cs="Mosawi"/>
            <w:webHidden/>
            <w:color w:val="000000" w:themeColor="text1"/>
            <w:sz w:val="22"/>
            <w:szCs w:val="26"/>
            <w:rtl/>
            <w:lang w:eastAsia="en-US"/>
          </w:rPr>
          <w:instrText xml:space="preserve"> </w:instrText>
        </w:r>
        <w:r w:rsidRPr="001F3648">
          <w:rPr>
            <w:rFonts w:ascii="Calibri" w:eastAsia="Times New Roman" w:hAnsi="Calibri" w:cs="Mosawi"/>
            <w:webHidden/>
            <w:color w:val="000000" w:themeColor="text1"/>
            <w:sz w:val="22"/>
            <w:szCs w:val="26"/>
            <w:rtl/>
            <w:lang w:eastAsia="en-US"/>
          </w:rPr>
        </w:r>
        <w:r w:rsidRPr="001F3648">
          <w:rPr>
            <w:rFonts w:ascii="Calibri" w:eastAsia="Times New Roman" w:hAnsi="Calibri" w:cs="Mosawi"/>
            <w:webHidden/>
            <w:color w:val="000000" w:themeColor="text1"/>
            <w:sz w:val="22"/>
            <w:szCs w:val="26"/>
            <w:rtl/>
            <w:lang w:eastAsia="en-US"/>
          </w:rPr>
          <w:fldChar w:fldCharType="separate"/>
        </w:r>
        <w:r w:rsidR="0071680A">
          <w:rPr>
            <w:rFonts w:ascii="Calibri" w:eastAsia="Times New Roman" w:hAnsi="Calibri" w:cs="Mosawi"/>
            <w:webHidden/>
            <w:color w:val="000000" w:themeColor="text1"/>
            <w:sz w:val="22"/>
            <w:szCs w:val="26"/>
            <w:rtl/>
            <w:lang w:eastAsia="en-US"/>
          </w:rPr>
          <w:t>533</w:t>
        </w:r>
        <w:r w:rsidRPr="001F3648">
          <w:rPr>
            <w:rFonts w:ascii="Calibri" w:eastAsia="Times New Roman" w:hAnsi="Calibri" w:cs="Mosawi"/>
            <w:webHidden/>
            <w:color w:val="000000" w:themeColor="text1"/>
            <w:sz w:val="22"/>
            <w:szCs w:val="26"/>
            <w:rtl/>
            <w:lang w:eastAsia="en-US"/>
          </w:rPr>
          <w:fldChar w:fldCharType="end"/>
        </w:r>
      </w:hyperlink>
    </w:p>
    <w:p w:rsidR="00EB41C4" w:rsidRDefault="00A6422F" w:rsidP="00EB41C4">
      <w:pPr>
        <w:pStyle w:val="TOC6"/>
        <w:spacing w:line="204" w:lineRule="auto"/>
        <w:rPr>
          <w:rStyle w:val="Hyperlink"/>
          <w:color w:val="000000" w:themeColor="text1"/>
          <w:u w:val="none"/>
          <w:rtl/>
        </w:rPr>
      </w:pPr>
      <w:hyperlink w:anchor="_Toc275128245" w:history="1">
        <w:r w:rsidR="00EF7221" w:rsidRPr="001F3648">
          <w:rPr>
            <w:rStyle w:val="Hyperlink"/>
            <w:rFonts w:hint="eastAsia"/>
            <w:color w:val="000000" w:themeColor="text1"/>
            <w:u w:val="none"/>
            <w:rtl/>
          </w:rPr>
          <w:t>السيد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محمد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شفيعي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المازندراني</w:t>
        </w:r>
      </w:hyperlink>
      <w:r w:rsidR="00EB41C4" w:rsidRPr="00EB41C4">
        <w:rPr>
          <w:webHidden/>
          <w:rtl/>
        </w:rPr>
        <w:tab/>
      </w:r>
      <w:r w:rsidRPr="00EB41C4">
        <w:rPr>
          <w:webHidden/>
          <w:rtl/>
        </w:rPr>
        <w:fldChar w:fldCharType="begin"/>
      </w:r>
      <w:r w:rsidR="00EB41C4" w:rsidRPr="00EB41C4">
        <w:rPr>
          <w:webHidden/>
          <w:rtl/>
        </w:rPr>
        <w:instrText xml:space="preserve"> </w:instrText>
      </w:r>
      <w:r w:rsidR="00EB41C4" w:rsidRPr="00EB41C4">
        <w:rPr>
          <w:webHidden/>
        </w:rPr>
        <w:instrText xml:space="preserve">PAGEREF _Toc275128246 \h </w:instrText>
      </w:r>
      <w:r w:rsidRPr="00EB41C4">
        <w:rPr>
          <w:webHidden/>
          <w:rtl/>
        </w:rPr>
      </w:r>
      <w:r w:rsidRPr="00EB41C4">
        <w:rPr>
          <w:webHidden/>
          <w:rtl/>
        </w:rPr>
        <w:fldChar w:fldCharType="separate"/>
      </w:r>
      <w:r w:rsidR="0071680A">
        <w:rPr>
          <w:webHidden/>
          <w:rtl/>
        </w:rPr>
        <w:t>533</w:t>
      </w:r>
      <w:r w:rsidRPr="00EB41C4">
        <w:rPr>
          <w:webHidden/>
          <w:rtl/>
        </w:rPr>
        <w:fldChar w:fldCharType="end"/>
      </w:r>
    </w:p>
    <w:p w:rsidR="00EF7221" w:rsidRPr="001F3648" w:rsidRDefault="00A6422F" w:rsidP="00EB41C4">
      <w:pPr>
        <w:pStyle w:val="TOC6"/>
        <w:spacing w:line="204" w:lineRule="auto"/>
        <w:rPr>
          <w:rFonts w:asciiTheme="minorHAnsi" w:eastAsiaTheme="minorEastAsia" w:hAnsiTheme="minorHAnsi" w:cstheme="minorBidi"/>
          <w:color w:val="000000" w:themeColor="text1"/>
          <w:szCs w:val="22"/>
          <w:rtl/>
        </w:rPr>
      </w:pPr>
      <w:hyperlink w:anchor="_Toc275128246" w:history="1">
        <w:r w:rsidR="00EF7221" w:rsidRPr="001F3648">
          <w:rPr>
            <w:rStyle w:val="Hyperlink"/>
            <w:rFonts w:hint="eastAsia"/>
            <w:color w:val="000000" w:themeColor="text1"/>
            <w:u w:val="none"/>
            <w:rtl/>
          </w:rPr>
          <w:t>ترجمة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الشيخ</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علي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ظاهر</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Toc275128246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533</w:t>
        </w:r>
        <w:r w:rsidRPr="001F3648">
          <w:rPr>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47" w:history="1">
        <w:r w:rsidR="00EF7221" w:rsidRPr="001F3648">
          <w:rPr>
            <w:rStyle w:val="Hyperlink"/>
            <w:rFonts w:hint="eastAsia"/>
            <w:color w:val="000000" w:themeColor="text1"/>
            <w:sz w:val="24"/>
            <w:szCs w:val="28"/>
            <w:u w:val="none"/>
            <w:rtl/>
          </w:rPr>
          <w:t>المقدمة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Toc275128247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533</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48" w:history="1">
        <w:r w:rsidR="00EF7221" w:rsidRPr="001F3648">
          <w:rPr>
            <w:rStyle w:val="Hyperlink"/>
            <w:rFonts w:hint="eastAsia"/>
            <w:color w:val="000000" w:themeColor="text1"/>
            <w:sz w:val="24"/>
            <w:szCs w:val="28"/>
            <w:u w:val="none"/>
            <w:rtl/>
          </w:rPr>
          <w:t>حضور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المرأة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المجتمع</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ومنع</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دوافع</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الفساد</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Toc275128248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534</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49" w:history="1">
        <w:r w:rsidR="00EF7221" w:rsidRPr="001F3648">
          <w:rPr>
            <w:rStyle w:val="Hyperlink"/>
            <w:rFonts w:hint="eastAsia"/>
            <w:color w:val="000000" w:themeColor="text1"/>
            <w:sz w:val="24"/>
            <w:szCs w:val="28"/>
            <w:u w:val="none"/>
            <w:rtl/>
          </w:rPr>
          <w:t>دعاة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تحرير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المرأة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أو</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الحركة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النسوية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Toc275128249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536</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50" w:history="1">
        <w:r w:rsidR="00EF7221" w:rsidRPr="001F3648">
          <w:rPr>
            <w:rStyle w:val="Hyperlink"/>
            <w:rFonts w:hint="eastAsia"/>
            <w:color w:val="000000" w:themeColor="text1"/>
            <w:sz w:val="24"/>
            <w:szCs w:val="28"/>
            <w:u w:val="none"/>
            <w:rtl/>
          </w:rPr>
          <w:t>منطق</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الحركة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النسوية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Toc275128250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536</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51" w:history="1">
        <w:r w:rsidR="00EF7221" w:rsidRPr="001F3648">
          <w:rPr>
            <w:rStyle w:val="Hyperlink"/>
            <w:rFonts w:hint="eastAsia"/>
            <w:color w:val="000000" w:themeColor="text1"/>
            <w:sz w:val="24"/>
            <w:szCs w:val="28"/>
            <w:u w:val="none"/>
            <w:rtl/>
          </w:rPr>
          <w:t>أفول</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الحركة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النسوية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Toc275128251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538</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52" w:history="1">
        <w:r w:rsidR="00EF7221" w:rsidRPr="001F3648">
          <w:rPr>
            <w:rStyle w:val="Hyperlink"/>
            <w:rFonts w:hint="eastAsia"/>
            <w:color w:val="000000" w:themeColor="text1"/>
            <w:sz w:val="24"/>
            <w:szCs w:val="28"/>
            <w:u w:val="none"/>
            <w:rtl/>
          </w:rPr>
          <w:t>الإفراط</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الدعوة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إلى</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حرية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المرأة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Toc275128252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539</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53" w:history="1">
        <w:r w:rsidR="00EF7221" w:rsidRPr="001F3648">
          <w:rPr>
            <w:rStyle w:val="Hyperlink"/>
            <w:rFonts w:hint="eastAsia"/>
            <w:color w:val="000000" w:themeColor="text1"/>
            <w:sz w:val="24"/>
            <w:szCs w:val="28"/>
            <w:u w:val="none"/>
            <w:rtl/>
          </w:rPr>
          <w:t>الحركة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النسوية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الماركسية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Toc275128253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540</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54" w:history="1">
        <w:r w:rsidR="00EF7221" w:rsidRPr="001F3648">
          <w:rPr>
            <w:rStyle w:val="Hyperlink"/>
            <w:rFonts w:hint="eastAsia"/>
            <w:color w:val="000000" w:themeColor="text1"/>
            <w:sz w:val="24"/>
            <w:szCs w:val="28"/>
            <w:u w:val="none"/>
            <w:rtl/>
          </w:rPr>
          <w:t>أنصار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الحركة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النسوية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اليوم</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Toc275128254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541</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55" w:history="1">
        <w:r w:rsidR="00EF7221" w:rsidRPr="001F3648">
          <w:rPr>
            <w:rStyle w:val="Hyperlink"/>
            <w:rFonts w:hint="eastAsia"/>
            <w:color w:val="000000" w:themeColor="text1"/>
            <w:sz w:val="24"/>
            <w:szCs w:val="28"/>
            <w:u w:val="none"/>
            <w:rtl/>
          </w:rPr>
          <w:t>الحركة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النسوية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إيران</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Toc275128255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542</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56" w:history="1">
        <w:r w:rsidR="00EF7221" w:rsidRPr="001F3648">
          <w:rPr>
            <w:rStyle w:val="Hyperlink"/>
            <w:rFonts w:hint="eastAsia"/>
            <w:color w:val="000000" w:themeColor="text1"/>
            <w:sz w:val="24"/>
            <w:szCs w:val="28"/>
            <w:u w:val="none"/>
            <w:rtl/>
          </w:rPr>
          <w:t>مبادئ</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الحركة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النسوية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Toc275128256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543</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57" w:history="1">
        <w:r w:rsidR="00EF7221" w:rsidRPr="001F3648">
          <w:rPr>
            <w:rStyle w:val="Hyperlink"/>
            <w:rFonts w:hint="eastAsia"/>
            <w:color w:val="000000" w:themeColor="text1"/>
            <w:sz w:val="24"/>
            <w:szCs w:val="28"/>
            <w:u w:val="none"/>
            <w:rtl/>
          </w:rPr>
          <w:t>حقوق</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المرأة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من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وجهة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نظر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الإمام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الخميني</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Toc275128257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544</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58" w:history="1">
        <w:r w:rsidR="00EF7221" w:rsidRPr="001F3648">
          <w:rPr>
            <w:rStyle w:val="Hyperlink"/>
            <w:rFonts w:hint="eastAsia"/>
            <w:color w:val="000000" w:themeColor="text1"/>
            <w:sz w:val="24"/>
            <w:szCs w:val="28"/>
            <w:u w:val="none"/>
            <w:rtl/>
          </w:rPr>
          <w:t>تكريم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وجود</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المرأة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Toc275128258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545</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59" w:history="1">
        <w:r w:rsidR="00EF7221" w:rsidRPr="001F3648">
          <w:rPr>
            <w:rStyle w:val="Hyperlink"/>
            <w:rFonts w:hint="eastAsia"/>
            <w:color w:val="000000" w:themeColor="text1"/>
            <w:sz w:val="24"/>
            <w:szCs w:val="28"/>
            <w:u w:val="none"/>
            <w:rtl/>
          </w:rPr>
          <w:t>المرأة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منبع</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السعادة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Toc275128259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545</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60" w:history="1">
        <w:r w:rsidR="00EF7221" w:rsidRPr="001F3648">
          <w:rPr>
            <w:rStyle w:val="Hyperlink"/>
            <w:rFonts w:hint="eastAsia"/>
            <w:color w:val="000000" w:themeColor="text1"/>
            <w:sz w:val="24"/>
            <w:szCs w:val="28"/>
            <w:u w:val="none"/>
            <w:rtl/>
          </w:rPr>
          <w:t>الحرية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والمساواة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بين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الجنسين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نظر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الإمام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الخميني</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Toc275128260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546</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61" w:history="1">
        <w:r w:rsidR="00EF7221" w:rsidRPr="001F3648">
          <w:rPr>
            <w:rStyle w:val="Hyperlink"/>
            <w:rFonts w:hint="eastAsia"/>
            <w:color w:val="000000" w:themeColor="text1"/>
            <w:sz w:val="24"/>
            <w:szCs w:val="28"/>
            <w:u w:val="none"/>
            <w:rtl/>
          </w:rPr>
          <w:t>حقوق</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المرأة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Toc275128261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547</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62" w:history="1">
        <w:r w:rsidR="00EF7221" w:rsidRPr="001F3648">
          <w:rPr>
            <w:rStyle w:val="Hyperlink"/>
            <w:rFonts w:hint="eastAsia"/>
            <w:color w:val="000000" w:themeColor="text1"/>
            <w:sz w:val="24"/>
            <w:szCs w:val="28"/>
            <w:u w:val="none"/>
            <w:rtl/>
          </w:rPr>
          <w:t>رعاية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المرأة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للحجاب</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Toc275128262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551</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63" w:history="1">
        <w:r w:rsidR="00EF7221" w:rsidRPr="001F3648">
          <w:rPr>
            <w:rStyle w:val="Hyperlink"/>
            <w:rFonts w:hint="eastAsia"/>
            <w:color w:val="000000" w:themeColor="text1"/>
            <w:sz w:val="24"/>
            <w:szCs w:val="28"/>
            <w:u w:val="none"/>
            <w:rtl/>
          </w:rPr>
          <w:t>ردّ</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الإمام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الخميني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على</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نظرات</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البعض</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Toc275128263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551</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64" w:history="1">
        <w:r w:rsidR="00EF7221" w:rsidRPr="001F3648">
          <w:rPr>
            <w:rStyle w:val="Hyperlink"/>
            <w:rFonts w:hint="eastAsia"/>
            <w:color w:val="000000" w:themeColor="text1"/>
            <w:sz w:val="24"/>
            <w:szCs w:val="28"/>
            <w:u w:val="none"/>
            <w:rtl/>
          </w:rPr>
          <w:t>رؤية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الإمام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الخميني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لحرية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المرأة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Toc275128264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552</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65" w:history="1">
        <w:r w:rsidR="00EF7221" w:rsidRPr="001F3648">
          <w:rPr>
            <w:rStyle w:val="Hyperlink"/>
            <w:rFonts w:hint="eastAsia"/>
            <w:color w:val="000000" w:themeColor="text1"/>
            <w:sz w:val="24"/>
            <w:szCs w:val="28"/>
            <w:u w:val="none"/>
            <w:rtl/>
          </w:rPr>
          <w:t>خاتمة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Toc275128265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554</w:t>
        </w:r>
        <w:r w:rsidRPr="001F3648">
          <w:rPr>
            <w:webHidden/>
            <w:rtl/>
          </w:rPr>
          <w:fldChar w:fldCharType="end"/>
        </w:r>
      </w:hyperlink>
    </w:p>
    <w:p w:rsidR="00EF7221" w:rsidRPr="001F3648" w:rsidRDefault="00A6422F" w:rsidP="0008530B">
      <w:pPr>
        <w:pStyle w:val="TOC1"/>
        <w:spacing w:line="204" w:lineRule="auto"/>
        <w:rPr>
          <w:rFonts w:asciiTheme="minorHAnsi" w:eastAsiaTheme="minorEastAsia" w:hAnsiTheme="minorHAnsi" w:cstheme="minorBidi"/>
          <w:color w:val="000000" w:themeColor="text1"/>
          <w:sz w:val="22"/>
          <w:szCs w:val="22"/>
          <w:rtl/>
          <w:lang w:eastAsia="en-US"/>
        </w:rPr>
      </w:pPr>
      <w:hyperlink w:anchor="_Toc275128266" w:history="1">
        <w:r w:rsidR="00EF7221" w:rsidRPr="001F3648">
          <w:rPr>
            <w:rStyle w:val="Hyperlink"/>
            <w:rFonts w:hint="eastAsia"/>
            <w:color w:val="000000" w:themeColor="text1"/>
            <w:u w:val="none"/>
            <w:rtl/>
          </w:rPr>
          <w:t>التنمية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الاجتماعية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بين</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الإسلام</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والمنظمات</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الدولية</w:t>
        </w:r>
      </w:hyperlink>
      <w:r w:rsidR="00090BFD" w:rsidRPr="001F3648">
        <w:rPr>
          <w:rStyle w:val="Hyperlink"/>
          <w:rFonts w:hint="cs"/>
          <w:color w:val="000000" w:themeColor="text1"/>
          <w:u w:val="none"/>
          <w:rtl/>
        </w:rPr>
        <w:t xml:space="preserve">، </w:t>
      </w:r>
      <w:hyperlink w:anchor="_Toc275128267" w:history="1">
        <w:r w:rsidR="00EF7221" w:rsidRPr="001F3648">
          <w:rPr>
            <w:rStyle w:val="Hyperlink"/>
            <w:rFonts w:hint="eastAsia"/>
            <w:color w:val="000000" w:themeColor="text1"/>
            <w:u w:val="none"/>
            <w:rtl/>
          </w:rPr>
          <w:t>المرأة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أنموذجاً</w:t>
        </w:r>
        <w:r w:rsidR="00EF7221" w:rsidRPr="001F3648">
          <w:rPr>
            <w:rFonts w:ascii="Calibri" w:eastAsia="Times New Roman" w:hAnsi="Calibri" w:cs="Mosawi"/>
            <w:webHidden/>
            <w:color w:val="000000" w:themeColor="text1"/>
            <w:sz w:val="22"/>
            <w:szCs w:val="26"/>
            <w:rtl/>
            <w:lang w:eastAsia="en-US"/>
          </w:rPr>
          <w:tab/>
        </w:r>
        <w:r w:rsidRPr="001F3648">
          <w:rPr>
            <w:rFonts w:ascii="Calibri" w:eastAsia="Times New Roman" w:hAnsi="Calibri" w:cs="Mosawi"/>
            <w:webHidden/>
            <w:color w:val="000000" w:themeColor="text1"/>
            <w:sz w:val="22"/>
            <w:szCs w:val="26"/>
            <w:rtl/>
            <w:lang w:eastAsia="en-US"/>
          </w:rPr>
          <w:fldChar w:fldCharType="begin"/>
        </w:r>
        <w:r w:rsidR="00EF7221" w:rsidRPr="001F3648">
          <w:rPr>
            <w:rFonts w:ascii="Calibri" w:eastAsia="Times New Roman" w:hAnsi="Calibri" w:cs="Mosawi"/>
            <w:webHidden/>
            <w:color w:val="000000" w:themeColor="text1"/>
            <w:sz w:val="22"/>
            <w:szCs w:val="26"/>
            <w:rtl/>
            <w:lang w:eastAsia="en-US"/>
          </w:rPr>
          <w:instrText xml:space="preserve"> </w:instrText>
        </w:r>
        <w:r w:rsidR="00EF7221" w:rsidRPr="001F3648">
          <w:rPr>
            <w:rFonts w:ascii="Calibri" w:eastAsia="Times New Roman" w:hAnsi="Calibri" w:cs="Mosawi"/>
            <w:webHidden/>
            <w:color w:val="000000" w:themeColor="text1"/>
            <w:sz w:val="22"/>
            <w:szCs w:val="26"/>
            <w:lang w:eastAsia="en-US"/>
          </w:rPr>
          <w:instrText>PAGEREF</w:instrText>
        </w:r>
        <w:r w:rsidR="00EF7221" w:rsidRPr="001F3648">
          <w:rPr>
            <w:rFonts w:ascii="Calibri" w:eastAsia="Times New Roman" w:hAnsi="Calibri" w:cs="Mosawi"/>
            <w:webHidden/>
            <w:color w:val="000000" w:themeColor="text1"/>
            <w:sz w:val="22"/>
            <w:szCs w:val="26"/>
            <w:rtl/>
            <w:lang w:eastAsia="en-US"/>
          </w:rPr>
          <w:instrText xml:space="preserve"> _</w:instrText>
        </w:r>
        <w:r w:rsidR="00EF7221" w:rsidRPr="001F3648">
          <w:rPr>
            <w:rFonts w:ascii="Calibri" w:eastAsia="Times New Roman" w:hAnsi="Calibri" w:cs="Mosawi"/>
            <w:webHidden/>
            <w:color w:val="000000" w:themeColor="text1"/>
            <w:sz w:val="22"/>
            <w:szCs w:val="26"/>
            <w:lang w:eastAsia="en-US"/>
          </w:rPr>
          <w:instrText>Toc275128267 \h</w:instrText>
        </w:r>
        <w:r w:rsidR="00EF7221" w:rsidRPr="001F3648">
          <w:rPr>
            <w:rFonts w:ascii="Calibri" w:eastAsia="Times New Roman" w:hAnsi="Calibri" w:cs="Mosawi"/>
            <w:webHidden/>
            <w:color w:val="000000" w:themeColor="text1"/>
            <w:sz w:val="22"/>
            <w:szCs w:val="26"/>
            <w:rtl/>
            <w:lang w:eastAsia="en-US"/>
          </w:rPr>
          <w:instrText xml:space="preserve"> </w:instrText>
        </w:r>
        <w:r w:rsidRPr="001F3648">
          <w:rPr>
            <w:rFonts w:ascii="Calibri" w:eastAsia="Times New Roman" w:hAnsi="Calibri" w:cs="Mosawi"/>
            <w:webHidden/>
            <w:color w:val="000000" w:themeColor="text1"/>
            <w:sz w:val="22"/>
            <w:szCs w:val="26"/>
            <w:rtl/>
            <w:lang w:eastAsia="en-US"/>
          </w:rPr>
        </w:r>
        <w:r w:rsidRPr="001F3648">
          <w:rPr>
            <w:rFonts w:ascii="Calibri" w:eastAsia="Times New Roman" w:hAnsi="Calibri" w:cs="Mosawi"/>
            <w:webHidden/>
            <w:color w:val="000000" w:themeColor="text1"/>
            <w:sz w:val="22"/>
            <w:szCs w:val="26"/>
            <w:rtl/>
            <w:lang w:eastAsia="en-US"/>
          </w:rPr>
          <w:fldChar w:fldCharType="separate"/>
        </w:r>
        <w:r w:rsidR="0071680A">
          <w:rPr>
            <w:rFonts w:ascii="Calibri" w:eastAsia="Times New Roman" w:hAnsi="Calibri" w:cs="Mosawi"/>
            <w:webHidden/>
            <w:color w:val="000000" w:themeColor="text1"/>
            <w:sz w:val="22"/>
            <w:szCs w:val="26"/>
            <w:rtl/>
            <w:lang w:eastAsia="en-US"/>
          </w:rPr>
          <w:t>555</w:t>
        </w:r>
        <w:r w:rsidRPr="001F3648">
          <w:rPr>
            <w:rFonts w:ascii="Calibri" w:eastAsia="Times New Roman" w:hAnsi="Calibri" w:cs="Mosawi"/>
            <w:webHidden/>
            <w:color w:val="000000" w:themeColor="text1"/>
            <w:sz w:val="22"/>
            <w:szCs w:val="26"/>
            <w:rtl/>
            <w:lang w:eastAsia="en-US"/>
          </w:rPr>
          <w:fldChar w:fldCharType="end"/>
        </w:r>
      </w:hyperlink>
    </w:p>
    <w:p w:rsidR="00EF7221" w:rsidRPr="001F3648" w:rsidRDefault="00A6422F" w:rsidP="0008530B">
      <w:pPr>
        <w:pStyle w:val="TOC6"/>
        <w:spacing w:line="204" w:lineRule="auto"/>
        <w:rPr>
          <w:rFonts w:asciiTheme="minorHAnsi" w:eastAsiaTheme="minorEastAsia" w:hAnsiTheme="minorHAnsi" w:cstheme="minorBidi"/>
          <w:color w:val="000000" w:themeColor="text1"/>
          <w:szCs w:val="22"/>
          <w:rtl/>
        </w:rPr>
      </w:pPr>
      <w:hyperlink w:anchor="_Toc275128268" w:history="1">
        <w:r w:rsidR="00EF7221" w:rsidRPr="001F3648">
          <w:rPr>
            <w:rStyle w:val="Hyperlink"/>
            <w:rFonts w:hint="eastAsia"/>
            <w:color w:val="000000" w:themeColor="text1"/>
            <w:u w:val="none"/>
            <w:rtl/>
          </w:rPr>
          <w:t>الشيخ</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محمد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علي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التسخيري</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Toc275128268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555</w:t>
        </w:r>
        <w:r w:rsidRPr="001F3648">
          <w:rPr>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69" w:history="1">
        <w:r w:rsidR="00EF7221" w:rsidRPr="001F3648">
          <w:rPr>
            <w:rStyle w:val="Hyperlink"/>
            <w:rFonts w:hint="eastAsia"/>
            <w:color w:val="000000" w:themeColor="text1"/>
            <w:sz w:val="24"/>
            <w:szCs w:val="28"/>
            <w:u w:val="none"/>
            <w:rtl/>
          </w:rPr>
          <w:t>مدخل</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إلى</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تعريف</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التنمية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الاجتماعية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Toc275128269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555</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70" w:history="1">
        <w:r w:rsidR="00EF7221" w:rsidRPr="001F3648">
          <w:rPr>
            <w:rStyle w:val="Hyperlink"/>
            <w:rFonts w:hint="eastAsia"/>
            <w:color w:val="000000" w:themeColor="text1"/>
            <w:sz w:val="24"/>
            <w:szCs w:val="28"/>
            <w:u w:val="none"/>
            <w:rtl/>
          </w:rPr>
          <w:t>دور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المرأة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عملية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التنمية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الاجتماعية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Toc275128270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556</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71" w:history="1">
        <w:r w:rsidR="00EF7221" w:rsidRPr="001F3648">
          <w:rPr>
            <w:rStyle w:val="Hyperlink"/>
            <w:rFonts w:hint="eastAsia"/>
            <w:color w:val="000000" w:themeColor="text1"/>
            <w:sz w:val="24"/>
            <w:szCs w:val="28"/>
            <w:u w:val="none"/>
            <w:rtl/>
          </w:rPr>
          <w:t>الأدوار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الخاصّة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بالمرأة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Toc275128271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557</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72" w:history="1">
        <w:r w:rsidR="00EF7221" w:rsidRPr="001F3648">
          <w:rPr>
            <w:rStyle w:val="Hyperlink"/>
            <w:rFonts w:hint="eastAsia"/>
            <w:color w:val="000000" w:themeColor="text1"/>
            <w:sz w:val="24"/>
            <w:szCs w:val="28"/>
            <w:u w:val="none"/>
            <w:rtl/>
          </w:rPr>
          <w:t>الجهود</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الدولية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مجال</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التنمية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الاجتماعية،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وقفات</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نقد</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وتأمل</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Toc275128272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559</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73" w:history="1">
        <w:r w:rsidR="00EF7221" w:rsidRPr="001F3648">
          <w:rPr>
            <w:rStyle w:val="Hyperlink"/>
            <w:rFonts w:hint="eastAsia"/>
            <w:color w:val="000000" w:themeColor="text1"/>
            <w:sz w:val="24"/>
            <w:szCs w:val="28"/>
            <w:u w:val="none"/>
            <w:rtl/>
          </w:rPr>
          <w:t>دور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المنظمات</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الشعبية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تحقيق</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الأهداف</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الدولية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للتنمية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Toc275128273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561</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74" w:history="1">
        <w:r w:rsidR="00EF7221" w:rsidRPr="001F3648">
          <w:rPr>
            <w:rStyle w:val="Hyperlink"/>
            <w:rFonts w:hint="eastAsia"/>
            <w:color w:val="000000" w:themeColor="text1"/>
            <w:sz w:val="24"/>
            <w:szCs w:val="28"/>
            <w:u w:val="none"/>
            <w:rtl/>
          </w:rPr>
          <w:t>نتائج</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وتوصيات</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Toc275128274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563</w:t>
        </w:r>
        <w:r w:rsidRPr="001F3648">
          <w:rPr>
            <w:webHidden/>
            <w:rtl/>
          </w:rPr>
          <w:fldChar w:fldCharType="end"/>
        </w:r>
      </w:hyperlink>
    </w:p>
    <w:p w:rsidR="00EF7221" w:rsidRPr="001F3648" w:rsidRDefault="00A6422F" w:rsidP="0008530B">
      <w:pPr>
        <w:pStyle w:val="TOC1"/>
        <w:spacing w:line="204" w:lineRule="auto"/>
        <w:rPr>
          <w:rFonts w:asciiTheme="minorHAnsi" w:eastAsiaTheme="minorEastAsia" w:hAnsiTheme="minorHAnsi" w:cstheme="minorBidi"/>
          <w:color w:val="000000" w:themeColor="text1"/>
          <w:sz w:val="22"/>
          <w:szCs w:val="22"/>
          <w:rtl/>
          <w:lang w:eastAsia="en-US"/>
        </w:rPr>
      </w:pPr>
      <w:hyperlink w:anchor="_Toc275128275" w:history="1">
        <w:r w:rsidR="00EF7221" w:rsidRPr="001F3648">
          <w:rPr>
            <w:rStyle w:val="Hyperlink"/>
            <w:rFonts w:hint="eastAsia"/>
            <w:color w:val="000000" w:themeColor="text1"/>
            <w:u w:val="none"/>
            <w:rtl/>
          </w:rPr>
          <w:t>القضايا</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الاجتماعية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للمرأة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في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ضوء</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المدرسة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الإسلامية</w:t>
        </w:r>
      </w:hyperlink>
      <w:r w:rsidR="00090BFD" w:rsidRPr="001F3648">
        <w:rPr>
          <w:rStyle w:val="Hyperlink"/>
          <w:rFonts w:hint="cs"/>
          <w:color w:val="000000" w:themeColor="text1"/>
          <w:u w:val="none"/>
          <w:rtl/>
        </w:rPr>
        <w:t xml:space="preserve">، </w:t>
      </w:r>
      <w:hyperlink w:anchor="_Toc275128276" w:history="1">
        <w:r w:rsidR="00EF7221" w:rsidRPr="001F3648">
          <w:rPr>
            <w:rStyle w:val="Hyperlink"/>
            <w:rFonts w:hint="eastAsia"/>
            <w:color w:val="000000" w:themeColor="text1"/>
            <w:u w:val="none"/>
            <w:rtl/>
          </w:rPr>
          <w:t>والمدارس</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النسوية</w:t>
        </w:r>
        <w:r w:rsidR="00EF7221" w:rsidRPr="001F3648">
          <w:rPr>
            <w:rFonts w:ascii="Calibri" w:eastAsia="Times New Roman" w:hAnsi="Calibri" w:cs="Mosawi"/>
            <w:webHidden/>
            <w:color w:val="000000" w:themeColor="text1"/>
            <w:sz w:val="22"/>
            <w:szCs w:val="26"/>
            <w:rtl/>
            <w:lang w:eastAsia="en-US"/>
          </w:rPr>
          <w:tab/>
        </w:r>
        <w:r w:rsidRPr="001F3648">
          <w:rPr>
            <w:rFonts w:ascii="Calibri" w:eastAsia="Times New Roman" w:hAnsi="Calibri" w:cs="Mosawi"/>
            <w:webHidden/>
            <w:color w:val="000000" w:themeColor="text1"/>
            <w:sz w:val="22"/>
            <w:szCs w:val="26"/>
            <w:rtl/>
            <w:lang w:eastAsia="en-US"/>
          </w:rPr>
          <w:fldChar w:fldCharType="begin"/>
        </w:r>
        <w:r w:rsidR="00EF7221" w:rsidRPr="001F3648">
          <w:rPr>
            <w:rFonts w:ascii="Calibri" w:eastAsia="Times New Roman" w:hAnsi="Calibri" w:cs="Mosawi"/>
            <w:webHidden/>
            <w:color w:val="000000" w:themeColor="text1"/>
            <w:sz w:val="22"/>
            <w:szCs w:val="26"/>
            <w:rtl/>
            <w:lang w:eastAsia="en-US"/>
          </w:rPr>
          <w:instrText xml:space="preserve"> </w:instrText>
        </w:r>
        <w:r w:rsidR="00EF7221" w:rsidRPr="001F3648">
          <w:rPr>
            <w:rFonts w:ascii="Calibri" w:eastAsia="Times New Roman" w:hAnsi="Calibri" w:cs="Mosawi"/>
            <w:webHidden/>
            <w:color w:val="000000" w:themeColor="text1"/>
            <w:sz w:val="22"/>
            <w:szCs w:val="26"/>
            <w:lang w:eastAsia="en-US"/>
          </w:rPr>
          <w:instrText>PAGEREF</w:instrText>
        </w:r>
        <w:r w:rsidR="00EF7221" w:rsidRPr="001F3648">
          <w:rPr>
            <w:rFonts w:ascii="Calibri" w:eastAsia="Times New Roman" w:hAnsi="Calibri" w:cs="Mosawi"/>
            <w:webHidden/>
            <w:color w:val="000000" w:themeColor="text1"/>
            <w:sz w:val="22"/>
            <w:szCs w:val="26"/>
            <w:rtl/>
            <w:lang w:eastAsia="en-US"/>
          </w:rPr>
          <w:instrText xml:space="preserve"> _</w:instrText>
        </w:r>
        <w:r w:rsidR="00EF7221" w:rsidRPr="001F3648">
          <w:rPr>
            <w:rFonts w:ascii="Calibri" w:eastAsia="Times New Roman" w:hAnsi="Calibri" w:cs="Mosawi"/>
            <w:webHidden/>
            <w:color w:val="000000" w:themeColor="text1"/>
            <w:sz w:val="22"/>
            <w:szCs w:val="26"/>
            <w:lang w:eastAsia="en-US"/>
          </w:rPr>
          <w:instrText>Toc275128276 \h</w:instrText>
        </w:r>
        <w:r w:rsidR="00EF7221" w:rsidRPr="001F3648">
          <w:rPr>
            <w:rFonts w:ascii="Calibri" w:eastAsia="Times New Roman" w:hAnsi="Calibri" w:cs="Mosawi"/>
            <w:webHidden/>
            <w:color w:val="000000" w:themeColor="text1"/>
            <w:sz w:val="22"/>
            <w:szCs w:val="26"/>
            <w:rtl/>
            <w:lang w:eastAsia="en-US"/>
          </w:rPr>
          <w:instrText xml:space="preserve"> </w:instrText>
        </w:r>
        <w:r w:rsidRPr="001F3648">
          <w:rPr>
            <w:rFonts w:ascii="Calibri" w:eastAsia="Times New Roman" w:hAnsi="Calibri" w:cs="Mosawi"/>
            <w:webHidden/>
            <w:color w:val="000000" w:themeColor="text1"/>
            <w:sz w:val="22"/>
            <w:szCs w:val="26"/>
            <w:rtl/>
            <w:lang w:eastAsia="en-US"/>
          </w:rPr>
        </w:r>
        <w:r w:rsidRPr="001F3648">
          <w:rPr>
            <w:rFonts w:ascii="Calibri" w:eastAsia="Times New Roman" w:hAnsi="Calibri" w:cs="Mosawi"/>
            <w:webHidden/>
            <w:color w:val="000000" w:themeColor="text1"/>
            <w:sz w:val="22"/>
            <w:szCs w:val="26"/>
            <w:rtl/>
            <w:lang w:eastAsia="en-US"/>
          </w:rPr>
          <w:fldChar w:fldCharType="separate"/>
        </w:r>
        <w:r w:rsidR="0071680A">
          <w:rPr>
            <w:rFonts w:ascii="Calibri" w:eastAsia="Times New Roman" w:hAnsi="Calibri" w:cs="Mosawi"/>
            <w:webHidden/>
            <w:color w:val="000000" w:themeColor="text1"/>
            <w:sz w:val="22"/>
            <w:szCs w:val="26"/>
            <w:rtl/>
            <w:lang w:eastAsia="en-US"/>
          </w:rPr>
          <w:t>567</w:t>
        </w:r>
        <w:r w:rsidRPr="001F3648">
          <w:rPr>
            <w:rFonts w:ascii="Calibri" w:eastAsia="Times New Roman" w:hAnsi="Calibri" w:cs="Mosawi"/>
            <w:webHidden/>
            <w:color w:val="000000" w:themeColor="text1"/>
            <w:sz w:val="22"/>
            <w:szCs w:val="26"/>
            <w:rtl/>
            <w:lang w:eastAsia="en-US"/>
          </w:rPr>
          <w:fldChar w:fldCharType="end"/>
        </w:r>
      </w:hyperlink>
    </w:p>
    <w:p w:rsidR="00EB41C4" w:rsidRDefault="00A6422F" w:rsidP="00EB41C4">
      <w:pPr>
        <w:pStyle w:val="TOC6"/>
        <w:spacing w:line="204" w:lineRule="auto"/>
        <w:rPr>
          <w:rStyle w:val="Hyperlink"/>
          <w:color w:val="000000" w:themeColor="text1"/>
          <w:u w:val="none"/>
          <w:rtl/>
        </w:rPr>
      </w:pPr>
      <w:hyperlink w:anchor="_Toc275128277" w:history="1">
        <w:r w:rsidR="00EF7221" w:rsidRPr="001F3648">
          <w:rPr>
            <w:rStyle w:val="Hyperlink"/>
            <w:rFonts w:hint="eastAsia"/>
            <w:color w:val="000000" w:themeColor="text1"/>
            <w:u w:val="none"/>
            <w:rtl/>
          </w:rPr>
          <w:t>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مهدية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السادات</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مستقيمي</w:t>
        </w:r>
      </w:hyperlink>
      <w:r w:rsidR="00EB41C4" w:rsidRPr="00EB41C4">
        <w:rPr>
          <w:webHidden/>
          <w:rtl/>
        </w:rPr>
        <w:tab/>
      </w:r>
      <w:r w:rsidRPr="00EB41C4">
        <w:rPr>
          <w:webHidden/>
          <w:rtl/>
        </w:rPr>
        <w:fldChar w:fldCharType="begin"/>
      </w:r>
      <w:r w:rsidR="00EB41C4" w:rsidRPr="00EB41C4">
        <w:rPr>
          <w:webHidden/>
          <w:rtl/>
        </w:rPr>
        <w:instrText xml:space="preserve"> </w:instrText>
      </w:r>
      <w:r w:rsidR="00EB41C4" w:rsidRPr="00EB41C4">
        <w:rPr>
          <w:webHidden/>
        </w:rPr>
        <w:instrText xml:space="preserve">PAGEREF _Toc275128278 \h </w:instrText>
      </w:r>
      <w:r w:rsidRPr="00EB41C4">
        <w:rPr>
          <w:webHidden/>
          <w:rtl/>
        </w:rPr>
      </w:r>
      <w:r w:rsidRPr="00EB41C4">
        <w:rPr>
          <w:webHidden/>
          <w:rtl/>
        </w:rPr>
        <w:fldChar w:fldCharType="separate"/>
      </w:r>
      <w:r w:rsidR="0071680A">
        <w:rPr>
          <w:webHidden/>
          <w:rtl/>
        </w:rPr>
        <w:t>567</w:t>
      </w:r>
      <w:r w:rsidRPr="00EB41C4">
        <w:rPr>
          <w:webHidden/>
          <w:rtl/>
        </w:rPr>
        <w:fldChar w:fldCharType="end"/>
      </w:r>
    </w:p>
    <w:p w:rsidR="00EF7221" w:rsidRPr="001F3648" w:rsidRDefault="00A6422F" w:rsidP="00EB41C4">
      <w:pPr>
        <w:pStyle w:val="TOC6"/>
        <w:spacing w:line="204" w:lineRule="auto"/>
        <w:rPr>
          <w:rFonts w:asciiTheme="minorHAnsi" w:eastAsiaTheme="minorEastAsia" w:hAnsiTheme="minorHAnsi" w:cstheme="minorBidi"/>
          <w:color w:val="000000" w:themeColor="text1"/>
          <w:szCs w:val="22"/>
          <w:rtl/>
        </w:rPr>
      </w:pPr>
      <w:hyperlink w:anchor="_Toc275128278" w:history="1">
        <w:r w:rsidR="00EF7221" w:rsidRPr="001F3648">
          <w:rPr>
            <w:rStyle w:val="Hyperlink"/>
            <w:rFonts w:hint="eastAsia"/>
            <w:color w:val="000000" w:themeColor="text1"/>
            <w:u w:val="none"/>
            <w:rtl/>
          </w:rPr>
          <w:t>ترجمة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فاطمة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الموسـوي</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Toc275128278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567</w:t>
        </w:r>
        <w:r w:rsidRPr="001F3648">
          <w:rPr>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79" w:history="1">
        <w:r w:rsidR="00EF7221" w:rsidRPr="001F3648">
          <w:rPr>
            <w:rStyle w:val="Hyperlink"/>
            <w:rFonts w:hint="eastAsia"/>
            <w:color w:val="000000" w:themeColor="text1"/>
            <w:sz w:val="24"/>
            <w:szCs w:val="28"/>
            <w:u w:val="none"/>
            <w:rtl/>
          </w:rPr>
          <w:t>تمهيد</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Toc275128279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567</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80" w:history="1">
        <w:r w:rsidR="00EF7221" w:rsidRPr="001F3648">
          <w:rPr>
            <w:rStyle w:val="Hyperlink"/>
            <w:rFonts w:hint="eastAsia"/>
            <w:color w:val="000000" w:themeColor="text1"/>
            <w:sz w:val="24"/>
            <w:szCs w:val="28"/>
            <w:u w:val="none"/>
            <w:rtl/>
          </w:rPr>
          <w:t>دائرة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تأثّر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القضـايا</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الاجتماعيـة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للمـرأة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بالمذاهب</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الفلسفية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Toc275128280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568</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81" w:history="1">
        <w:r w:rsidR="00EF7221" w:rsidRPr="001F3648">
          <w:rPr>
            <w:rStyle w:val="Hyperlink"/>
            <w:rFonts w:hint="eastAsia"/>
            <w:color w:val="000000" w:themeColor="text1"/>
            <w:sz w:val="24"/>
            <w:szCs w:val="28"/>
            <w:u w:val="none"/>
            <w:rtl/>
          </w:rPr>
          <w:t>دائرة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تأثير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الإدراك</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والفلسفة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على</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القضايا</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الاجتماعية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للمرأة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Toc275128281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571</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82" w:history="1">
        <w:r w:rsidR="00EF7221" w:rsidRPr="001F3648">
          <w:rPr>
            <w:rStyle w:val="Hyperlink"/>
            <w:rFonts w:hint="eastAsia"/>
            <w:color w:val="000000" w:themeColor="text1"/>
            <w:sz w:val="24"/>
            <w:szCs w:val="28"/>
            <w:u w:val="none"/>
            <w:rtl/>
          </w:rPr>
          <w:t>المكانة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الاجتماعية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للمرأة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بين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الإسلام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والنسوية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Toc275128282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572</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83" w:history="1">
        <w:r w:rsidR="00EF7221" w:rsidRPr="001F3648">
          <w:rPr>
            <w:rStyle w:val="Hyperlink"/>
            <w:rFonts w:hint="eastAsia"/>
            <w:color w:val="000000" w:themeColor="text1"/>
            <w:sz w:val="24"/>
            <w:szCs w:val="28"/>
            <w:u w:val="none"/>
            <w:rtl/>
          </w:rPr>
          <w:t>الاختلاط</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بين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الجنسين</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Toc275128283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576</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84" w:history="1">
        <w:r w:rsidR="00EF7221" w:rsidRPr="001F3648">
          <w:rPr>
            <w:rStyle w:val="Hyperlink"/>
            <w:rFonts w:hint="eastAsia"/>
            <w:color w:val="000000" w:themeColor="text1"/>
            <w:sz w:val="24"/>
            <w:szCs w:val="28"/>
            <w:u w:val="none"/>
            <w:rtl/>
          </w:rPr>
          <w:t>وقفة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مع</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الأسس</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الفلسـفية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للنزعات</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النسـوية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بشـأن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المـرأة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وقضـاياها</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الاجتماعية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Toc275128284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582</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85" w:history="1">
        <w:r w:rsidR="00EF7221" w:rsidRPr="001F3648">
          <w:rPr>
            <w:rStyle w:val="Hyperlink"/>
            <w:rFonts w:hint="eastAsia"/>
            <w:color w:val="000000" w:themeColor="text1"/>
            <w:sz w:val="24"/>
            <w:szCs w:val="28"/>
            <w:u w:val="none"/>
            <w:rtl/>
          </w:rPr>
          <w:t>النظرة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الفلسفية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والاجتماعية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للمدرسة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الإسلامية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Toc275128285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588</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86" w:history="1">
        <w:r w:rsidR="00EF7221" w:rsidRPr="001F3648">
          <w:rPr>
            <w:rStyle w:val="Hyperlink"/>
            <w:rFonts w:hint="eastAsia"/>
            <w:color w:val="000000" w:themeColor="text1"/>
            <w:sz w:val="24"/>
            <w:szCs w:val="28"/>
            <w:u w:val="none"/>
            <w:rtl/>
          </w:rPr>
          <w:t>تمايز</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القوانين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الاجتماعية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للرجل</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والمرأة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خـارج</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حدود</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الهوية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Toc275128286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591</w:t>
        </w:r>
        <w:r w:rsidRPr="001F3648">
          <w:rPr>
            <w:webHidden/>
            <w:rtl/>
          </w:rPr>
          <w:fldChar w:fldCharType="end"/>
        </w:r>
      </w:hyperlink>
    </w:p>
    <w:p w:rsidR="00EF7221" w:rsidRPr="001F3648" w:rsidRDefault="00A6422F" w:rsidP="0008530B">
      <w:pPr>
        <w:pStyle w:val="TOC1"/>
        <w:spacing w:line="204" w:lineRule="auto"/>
        <w:rPr>
          <w:rFonts w:asciiTheme="minorHAnsi" w:eastAsiaTheme="minorEastAsia" w:hAnsiTheme="minorHAnsi" w:cstheme="minorBidi"/>
          <w:color w:val="000000" w:themeColor="text1"/>
          <w:sz w:val="22"/>
          <w:szCs w:val="22"/>
          <w:rtl/>
          <w:lang w:eastAsia="en-US"/>
        </w:rPr>
      </w:pPr>
      <w:hyperlink w:anchor="_Toc275128287" w:history="1">
        <w:r w:rsidR="00EF7221" w:rsidRPr="001F3648">
          <w:rPr>
            <w:rStyle w:val="Hyperlink"/>
            <w:rFonts w:hint="eastAsia"/>
            <w:color w:val="000000" w:themeColor="text1"/>
            <w:u w:val="none"/>
            <w:rtl/>
          </w:rPr>
          <w:t>الفتيات</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وأزمة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التربية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الدينية</w:t>
        </w:r>
      </w:hyperlink>
      <w:r w:rsidR="00090BFD" w:rsidRPr="001F3648">
        <w:rPr>
          <w:rStyle w:val="Hyperlink"/>
          <w:rFonts w:hint="cs"/>
          <w:color w:val="000000" w:themeColor="text1"/>
          <w:u w:val="none"/>
          <w:rtl/>
        </w:rPr>
        <w:t xml:space="preserve">، </w:t>
      </w:r>
      <w:hyperlink w:anchor="_Toc275128288" w:history="1">
        <w:r w:rsidR="00EF7221" w:rsidRPr="001F3648">
          <w:rPr>
            <w:rStyle w:val="Hyperlink"/>
            <w:rFonts w:hint="eastAsia"/>
            <w:color w:val="000000" w:themeColor="text1"/>
            <w:u w:val="none"/>
            <w:rtl/>
          </w:rPr>
          <w:t>قراءة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في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إشكاليات</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الموروث</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التربوي</w:t>
        </w:r>
        <w:r w:rsidR="00EF7221" w:rsidRPr="001F3648">
          <w:rPr>
            <w:rFonts w:ascii="Calibri" w:eastAsia="Times New Roman" w:hAnsi="Calibri" w:cs="Mosawi"/>
            <w:webHidden/>
            <w:color w:val="000000" w:themeColor="text1"/>
            <w:sz w:val="22"/>
            <w:szCs w:val="26"/>
            <w:rtl/>
            <w:lang w:eastAsia="en-US"/>
          </w:rPr>
          <w:tab/>
        </w:r>
        <w:r w:rsidRPr="001F3648">
          <w:rPr>
            <w:rFonts w:ascii="Calibri" w:eastAsia="Times New Roman" w:hAnsi="Calibri" w:cs="Mosawi"/>
            <w:webHidden/>
            <w:color w:val="000000" w:themeColor="text1"/>
            <w:sz w:val="22"/>
            <w:szCs w:val="26"/>
            <w:rtl/>
            <w:lang w:eastAsia="en-US"/>
          </w:rPr>
          <w:fldChar w:fldCharType="begin"/>
        </w:r>
        <w:r w:rsidR="00EF7221" w:rsidRPr="001F3648">
          <w:rPr>
            <w:rFonts w:ascii="Calibri" w:eastAsia="Times New Roman" w:hAnsi="Calibri" w:cs="Mosawi"/>
            <w:webHidden/>
            <w:color w:val="000000" w:themeColor="text1"/>
            <w:sz w:val="22"/>
            <w:szCs w:val="26"/>
            <w:rtl/>
            <w:lang w:eastAsia="en-US"/>
          </w:rPr>
          <w:instrText xml:space="preserve"> </w:instrText>
        </w:r>
        <w:r w:rsidR="00EF7221" w:rsidRPr="001F3648">
          <w:rPr>
            <w:rFonts w:ascii="Calibri" w:eastAsia="Times New Roman" w:hAnsi="Calibri" w:cs="Mosawi"/>
            <w:webHidden/>
            <w:color w:val="000000" w:themeColor="text1"/>
            <w:sz w:val="22"/>
            <w:szCs w:val="26"/>
            <w:lang w:eastAsia="en-US"/>
          </w:rPr>
          <w:instrText>PAGEREF</w:instrText>
        </w:r>
        <w:r w:rsidR="00EF7221" w:rsidRPr="001F3648">
          <w:rPr>
            <w:rFonts w:ascii="Calibri" w:eastAsia="Times New Roman" w:hAnsi="Calibri" w:cs="Mosawi"/>
            <w:webHidden/>
            <w:color w:val="000000" w:themeColor="text1"/>
            <w:sz w:val="22"/>
            <w:szCs w:val="26"/>
            <w:rtl/>
            <w:lang w:eastAsia="en-US"/>
          </w:rPr>
          <w:instrText xml:space="preserve"> _</w:instrText>
        </w:r>
        <w:r w:rsidR="00EF7221" w:rsidRPr="001F3648">
          <w:rPr>
            <w:rFonts w:ascii="Calibri" w:eastAsia="Times New Roman" w:hAnsi="Calibri" w:cs="Mosawi"/>
            <w:webHidden/>
            <w:color w:val="000000" w:themeColor="text1"/>
            <w:sz w:val="22"/>
            <w:szCs w:val="26"/>
            <w:lang w:eastAsia="en-US"/>
          </w:rPr>
          <w:instrText>Toc275128288 \h</w:instrText>
        </w:r>
        <w:r w:rsidR="00EF7221" w:rsidRPr="001F3648">
          <w:rPr>
            <w:rFonts w:ascii="Calibri" w:eastAsia="Times New Roman" w:hAnsi="Calibri" w:cs="Mosawi"/>
            <w:webHidden/>
            <w:color w:val="000000" w:themeColor="text1"/>
            <w:sz w:val="22"/>
            <w:szCs w:val="26"/>
            <w:rtl/>
            <w:lang w:eastAsia="en-US"/>
          </w:rPr>
          <w:instrText xml:space="preserve"> </w:instrText>
        </w:r>
        <w:r w:rsidRPr="001F3648">
          <w:rPr>
            <w:rFonts w:ascii="Calibri" w:eastAsia="Times New Roman" w:hAnsi="Calibri" w:cs="Mosawi"/>
            <w:webHidden/>
            <w:color w:val="000000" w:themeColor="text1"/>
            <w:sz w:val="22"/>
            <w:szCs w:val="26"/>
            <w:rtl/>
            <w:lang w:eastAsia="en-US"/>
          </w:rPr>
        </w:r>
        <w:r w:rsidRPr="001F3648">
          <w:rPr>
            <w:rFonts w:ascii="Calibri" w:eastAsia="Times New Roman" w:hAnsi="Calibri" w:cs="Mosawi"/>
            <w:webHidden/>
            <w:color w:val="000000" w:themeColor="text1"/>
            <w:sz w:val="22"/>
            <w:szCs w:val="26"/>
            <w:rtl/>
            <w:lang w:eastAsia="en-US"/>
          </w:rPr>
          <w:fldChar w:fldCharType="separate"/>
        </w:r>
        <w:r w:rsidR="0071680A">
          <w:rPr>
            <w:rFonts w:ascii="Calibri" w:eastAsia="Times New Roman" w:hAnsi="Calibri" w:cs="Mosawi"/>
            <w:webHidden/>
            <w:color w:val="000000" w:themeColor="text1"/>
            <w:sz w:val="22"/>
            <w:szCs w:val="26"/>
            <w:rtl/>
            <w:lang w:eastAsia="en-US"/>
          </w:rPr>
          <w:t>601</w:t>
        </w:r>
        <w:r w:rsidRPr="001F3648">
          <w:rPr>
            <w:rFonts w:ascii="Calibri" w:eastAsia="Times New Roman" w:hAnsi="Calibri" w:cs="Mosawi"/>
            <w:webHidden/>
            <w:color w:val="000000" w:themeColor="text1"/>
            <w:sz w:val="22"/>
            <w:szCs w:val="26"/>
            <w:rtl/>
            <w:lang w:eastAsia="en-US"/>
          </w:rPr>
          <w:fldChar w:fldCharType="end"/>
        </w:r>
      </w:hyperlink>
    </w:p>
    <w:p w:rsidR="00EB41C4" w:rsidRDefault="00A6422F" w:rsidP="00EB41C4">
      <w:pPr>
        <w:pStyle w:val="TOC6"/>
        <w:spacing w:line="204" w:lineRule="auto"/>
        <w:rPr>
          <w:rtl/>
        </w:rPr>
      </w:pPr>
      <w:hyperlink w:anchor="_Toc275128289" w:history="1">
        <w:r w:rsidR="00EF7221" w:rsidRPr="001F3648">
          <w:rPr>
            <w:rStyle w:val="Hyperlink"/>
            <w:rFonts w:hint="eastAsia"/>
            <w:color w:val="000000" w:themeColor="text1"/>
            <w:u w:val="none"/>
            <w:rtl/>
          </w:rPr>
          <w:t>حوار</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مع</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خسـرو</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بـاقري</w:t>
        </w:r>
      </w:hyperlink>
      <w:r w:rsidR="00EB41C4" w:rsidRPr="00EB41C4">
        <w:rPr>
          <w:webHidden/>
          <w:rtl/>
        </w:rPr>
        <w:tab/>
      </w:r>
      <w:r w:rsidRPr="00EB41C4">
        <w:rPr>
          <w:webHidden/>
          <w:rtl/>
        </w:rPr>
        <w:fldChar w:fldCharType="begin"/>
      </w:r>
      <w:r w:rsidR="00EB41C4" w:rsidRPr="00EB41C4">
        <w:rPr>
          <w:webHidden/>
          <w:rtl/>
        </w:rPr>
        <w:instrText xml:space="preserve"> </w:instrText>
      </w:r>
      <w:r w:rsidR="00EB41C4" w:rsidRPr="00EB41C4">
        <w:rPr>
          <w:webHidden/>
        </w:rPr>
        <w:instrText xml:space="preserve">PAGEREF _Toc275128290 \h </w:instrText>
      </w:r>
      <w:r w:rsidRPr="00EB41C4">
        <w:rPr>
          <w:webHidden/>
          <w:rtl/>
        </w:rPr>
      </w:r>
      <w:r w:rsidRPr="00EB41C4">
        <w:rPr>
          <w:webHidden/>
          <w:rtl/>
        </w:rPr>
        <w:fldChar w:fldCharType="separate"/>
      </w:r>
      <w:r w:rsidR="0071680A">
        <w:rPr>
          <w:webHidden/>
          <w:rtl/>
        </w:rPr>
        <w:t>601</w:t>
      </w:r>
      <w:r w:rsidRPr="00EB41C4">
        <w:rPr>
          <w:webHidden/>
          <w:rtl/>
        </w:rPr>
        <w:fldChar w:fldCharType="end"/>
      </w:r>
    </w:p>
    <w:p w:rsidR="00EF7221" w:rsidRPr="001F3648" w:rsidRDefault="00A6422F" w:rsidP="00EB41C4">
      <w:pPr>
        <w:pStyle w:val="TOC6"/>
        <w:spacing w:line="204" w:lineRule="auto"/>
        <w:rPr>
          <w:rFonts w:asciiTheme="minorHAnsi" w:eastAsiaTheme="minorEastAsia" w:hAnsiTheme="minorHAnsi" w:cstheme="minorBidi"/>
          <w:color w:val="000000" w:themeColor="text1"/>
          <w:szCs w:val="22"/>
          <w:rtl/>
        </w:rPr>
      </w:pPr>
      <w:hyperlink w:anchor="_Toc275128290" w:history="1">
        <w:r w:rsidR="00EF7221" w:rsidRPr="001F3648">
          <w:rPr>
            <w:rStyle w:val="Hyperlink"/>
            <w:rFonts w:hint="eastAsia"/>
            <w:color w:val="000000" w:themeColor="text1"/>
            <w:u w:val="none"/>
            <w:rtl/>
          </w:rPr>
          <w:t>ترجمة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كمال</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السيد</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Toc275128290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601</w:t>
        </w:r>
        <w:r w:rsidRPr="001F3648">
          <w:rPr>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91" w:history="1">
        <w:r w:rsidR="00EF7221" w:rsidRPr="001F3648">
          <w:rPr>
            <w:rStyle w:val="Hyperlink"/>
            <w:rFonts w:hint="eastAsia"/>
            <w:color w:val="000000" w:themeColor="text1"/>
            <w:sz w:val="24"/>
            <w:szCs w:val="28"/>
            <w:u w:val="none"/>
            <w:rtl/>
          </w:rPr>
          <w:t>مدخل</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Toc275128291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601</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92" w:history="1">
        <w:r w:rsidR="00EF7221" w:rsidRPr="001F3648">
          <w:rPr>
            <w:rStyle w:val="Hyperlink"/>
            <w:rFonts w:hint="eastAsia"/>
            <w:color w:val="000000" w:themeColor="text1"/>
            <w:sz w:val="24"/>
            <w:szCs w:val="28"/>
            <w:u w:val="none"/>
            <w:rtl/>
          </w:rPr>
          <w:t>تعريف</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التربية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الدينية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Toc275128292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602</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93" w:history="1">
        <w:r w:rsidR="00EF7221" w:rsidRPr="001F3648">
          <w:rPr>
            <w:rStyle w:val="Hyperlink"/>
            <w:rFonts w:hint="eastAsia"/>
            <w:color w:val="000000" w:themeColor="text1"/>
            <w:sz w:val="24"/>
            <w:szCs w:val="28"/>
            <w:u w:val="none"/>
            <w:rtl/>
          </w:rPr>
          <w:t>بين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البلوغ</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الجنسي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والميول</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الدينية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Toc275128293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604</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94" w:history="1">
        <w:r w:rsidR="00EF7221" w:rsidRPr="001F3648">
          <w:rPr>
            <w:rStyle w:val="Hyperlink"/>
            <w:rFonts w:hint="eastAsia"/>
            <w:color w:val="000000" w:themeColor="text1"/>
            <w:sz w:val="24"/>
            <w:szCs w:val="28"/>
            <w:u w:val="none"/>
            <w:rtl/>
          </w:rPr>
          <w:t>بين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الطفولة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والمراهقة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Toc275128294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605</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95" w:history="1">
        <w:r w:rsidR="00EF7221" w:rsidRPr="001F3648">
          <w:rPr>
            <w:rStyle w:val="Hyperlink"/>
            <w:rFonts w:hint="eastAsia"/>
            <w:color w:val="000000" w:themeColor="text1"/>
            <w:sz w:val="24"/>
            <w:szCs w:val="28"/>
            <w:u w:val="none"/>
            <w:rtl/>
          </w:rPr>
          <w:t>المنهج</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التربوي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للفتيات</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Toc275128295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607</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96" w:history="1">
        <w:r w:rsidR="00EF7221" w:rsidRPr="001F3648">
          <w:rPr>
            <w:rStyle w:val="Hyperlink"/>
            <w:rFonts w:hint="eastAsia"/>
            <w:color w:val="000000" w:themeColor="text1"/>
            <w:sz w:val="24"/>
            <w:szCs w:val="28"/>
            <w:u w:val="none"/>
            <w:rtl/>
          </w:rPr>
          <w:t>دور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الدين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حياة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الفتاة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Toc275128296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608</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97" w:history="1">
        <w:r w:rsidR="00EF7221" w:rsidRPr="001F3648">
          <w:rPr>
            <w:rStyle w:val="Hyperlink"/>
            <w:rFonts w:hint="eastAsia"/>
            <w:color w:val="000000" w:themeColor="text1"/>
            <w:sz w:val="24"/>
            <w:szCs w:val="28"/>
            <w:u w:val="none"/>
            <w:rtl/>
          </w:rPr>
          <w:t>الفتاة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والتديّن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الخرافي</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Toc275128297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611</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98" w:history="1">
        <w:r w:rsidR="00EF7221" w:rsidRPr="001F3648">
          <w:rPr>
            <w:rStyle w:val="Hyperlink"/>
            <w:rFonts w:hint="eastAsia"/>
            <w:color w:val="000000" w:themeColor="text1"/>
            <w:sz w:val="24"/>
            <w:szCs w:val="28"/>
            <w:u w:val="none"/>
            <w:rtl/>
          </w:rPr>
          <w:t>دور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الوالدين</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التربية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الدينية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Toc275128298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614</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299" w:history="1">
        <w:r w:rsidR="00EF7221" w:rsidRPr="001F3648">
          <w:rPr>
            <w:rStyle w:val="Hyperlink"/>
            <w:rFonts w:hint="eastAsia"/>
            <w:color w:val="000000" w:themeColor="text1"/>
            <w:sz w:val="24"/>
            <w:szCs w:val="28"/>
            <w:u w:val="none"/>
            <w:rtl/>
          </w:rPr>
          <w:t>مشاكل</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الفتيات</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Toc275128299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617</w:t>
        </w:r>
        <w:r w:rsidRPr="001F3648">
          <w:rPr>
            <w:webHidden/>
            <w:rtl/>
          </w:rPr>
          <w:fldChar w:fldCharType="end"/>
        </w:r>
      </w:hyperlink>
    </w:p>
    <w:p w:rsidR="00EF7221" w:rsidRPr="001F3648" w:rsidRDefault="00A6422F" w:rsidP="00EB41C4">
      <w:pPr>
        <w:pStyle w:val="TOC1"/>
        <w:spacing w:line="204" w:lineRule="auto"/>
        <w:rPr>
          <w:rFonts w:asciiTheme="minorHAnsi" w:eastAsiaTheme="minorEastAsia" w:hAnsiTheme="minorHAnsi" w:cstheme="minorBidi"/>
          <w:color w:val="000000" w:themeColor="text1"/>
          <w:sz w:val="22"/>
          <w:szCs w:val="22"/>
          <w:rtl/>
          <w:lang w:eastAsia="en-US"/>
        </w:rPr>
      </w:pPr>
      <w:hyperlink w:anchor="_Toc275128300" w:history="1">
        <w:r w:rsidR="00EF7221" w:rsidRPr="001F3648">
          <w:rPr>
            <w:rStyle w:val="Hyperlink"/>
            <w:rFonts w:hint="eastAsia"/>
            <w:color w:val="000000" w:themeColor="text1"/>
            <w:u w:val="none"/>
            <w:rtl/>
          </w:rPr>
          <w:t>الاحتجاب</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أ</w:t>
        </w:r>
        <w:r w:rsidR="00EB41C4">
          <w:rPr>
            <w:rStyle w:val="Hyperlink"/>
            <w:rFonts w:hint="cs"/>
            <w:color w:val="000000" w:themeColor="text1"/>
            <w:u w:val="none"/>
            <w:rtl/>
          </w:rPr>
          <w:t>م</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العفاف</w:t>
        </w:r>
      </w:hyperlink>
      <w:r w:rsidR="00090BFD" w:rsidRPr="001F3648">
        <w:rPr>
          <w:rStyle w:val="Hyperlink"/>
          <w:rFonts w:hint="cs"/>
          <w:color w:val="000000" w:themeColor="text1"/>
          <w:u w:val="none"/>
          <w:rtl/>
        </w:rPr>
        <w:t xml:space="preserve">، </w:t>
      </w:r>
      <w:hyperlink w:anchor="_Toc275128301" w:history="1">
        <w:r w:rsidR="00EF7221" w:rsidRPr="001F3648">
          <w:rPr>
            <w:rStyle w:val="Hyperlink"/>
            <w:rFonts w:hint="eastAsia"/>
            <w:color w:val="000000" w:themeColor="text1"/>
            <w:u w:val="none"/>
            <w:rtl/>
          </w:rPr>
          <w:t>قراءة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في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التصور</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الإسلامي</w:t>
        </w:r>
        <w:r w:rsidR="00EF7221" w:rsidRPr="001F3648">
          <w:rPr>
            <w:rFonts w:ascii="Calibri" w:eastAsia="Times New Roman" w:hAnsi="Calibri" w:cs="Mosawi"/>
            <w:webHidden/>
            <w:color w:val="000000" w:themeColor="text1"/>
            <w:sz w:val="22"/>
            <w:szCs w:val="26"/>
            <w:rtl/>
            <w:lang w:eastAsia="en-US"/>
          </w:rPr>
          <w:tab/>
        </w:r>
        <w:r w:rsidRPr="001F3648">
          <w:rPr>
            <w:rFonts w:ascii="Calibri" w:eastAsia="Times New Roman" w:hAnsi="Calibri" w:cs="Mosawi"/>
            <w:webHidden/>
            <w:color w:val="000000" w:themeColor="text1"/>
            <w:sz w:val="22"/>
            <w:szCs w:val="26"/>
            <w:rtl/>
            <w:lang w:eastAsia="en-US"/>
          </w:rPr>
          <w:fldChar w:fldCharType="begin"/>
        </w:r>
        <w:r w:rsidR="00EF7221" w:rsidRPr="001F3648">
          <w:rPr>
            <w:rFonts w:ascii="Calibri" w:eastAsia="Times New Roman" w:hAnsi="Calibri" w:cs="Mosawi"/>
            <w:webHidden/>
            <w:color w:val="000000" w:themeColor="text1"/>
            <w:sz w:val="22"/>
            <w:szCs w:val="26"/>
            <w:rtl/>
            <w:lang w:eastAsia="en-US"/>
          </w:rPr>
          <w:instrText xml:space="preserve"> </w:instrText>
        </w:r>
        <w:r w:rsidR="00EF7221" w:rsidRPr="001F3648">
          <w:rPr>
            <w:rFonts w:ascii="Calibri" w:eastAsia="Times New Roman" w:hAnsi="Calibri" w:cs="Mosawi"/>
            <w:webHidden/>
            <w:color w:val="000000" w:themeColor="text1"/>
            <w:sz w:val="22"/>
            <w:szCs w:val="26"/>
            <w:lang w:eastAsia="en-US"/>
          </w:rPr>
          <w:instrText>PAGEREF</w:instrText>
        </w:r>
        <w:r w:rsidR="00EF7221" w:rsidRPr="001F3648">
          <w:rPr>
            <w:rFonts w:ascii="Calibri" w:eastAsia="Times New Roman" w:hAnsi="Calibri" w:cs="Mosawi"/>
            <w:webHidden/>
            <w:color w:val="000000" w:themeColor="text1"/>
            <w:sz w:val="22"/>
            <w:szCs w:val="26"/>
            <w:rtl/>
            <w:lang w:eastAsia="en-US"/>
          </w:rPr>
          <w:instrText xml:space="preserve"> _</w:instrText>
        </w:r>
        <w:r w:rsidR="00EF7221" w:rsidRPr="001F3648">
          <w:rPr>
            <w:rFonts w:ascii="Calibri" w:eastAsia="Times New Roman" w:hAnsi="Calibri" w:cs="Mosawi"/>
            <w:webHidden/>
            <w:color w:val="000000" w:themeColor="text1"/>
            <w:sz w:val="22"/>
            <w:szCs w:val="26"/>
            <w:lang w:eastAsia="en-US"/>
          </w:rPr>
          <w:instrText>Toc275128301 \h</w:instrText>
        </w:r>
        <w:r w:rsidR="00EF7221" w:rsidRPr="001F3648">
          <w:rPr>
            <w:rFonts w:ascii="Calibri" w:eastAsia="Times New Roman" w:hAnsi="Calibri" w:cs="Mosawi"/>
            <w:webHidden/>
            <w:color w:val="000000" w:themeColor="text1"/>
            <w:sz w:val="22"/>
            <w:szCs w:val="26"/>
            <w:rtl/>
            <w:lang w:eastAsia="en-US"/>
          </w:rPr>
          <w:instrText xml:space="preserve"> </w:instrText>
        </w:r>
        <w:r w:rsidRPr="001F3648">
          <w:rPr>
            <w:rFonts w:ascii="Calibri" w:eastAsia="Times New Roman" w:hAnsi="Calibri" w:cs="Mosawi"/>
            <w:webHidden/>
            <w:color w:val="000000" w:themeColor="text1"/>
            <w:sz w:val="22"/>
            <w:szCs w:val="26"/>
            <w:rtl/>
            <w:lang w:eastAsia="en-US"/>
          </w:rPr>
        </w:r>
        <w:r w:rsidRPr="001F3648">
          <w:rPr>
            <w:rFonts w:ascii="Calibri" w:eastAsia="Times New Roman" w:hAnsi="Calibri" w:cs="Mosawi"/>
            <w:webHidden/>
            <w:color w:val="000000" w:themeColor="text1"/>
            <w:sz w:val="22"/>
            <w:szCs w:val="26"/>
            <w:rtl/>
            <w:lang w:eastAsia="en-US"/>
          </w:rPr>
          <w:fldChar w:fldCharType="separate"/>
        </w:r>
        <w:r w:rsidR="0071680A">
          <w:rPr>
            <w:rFonts w:ascii="Calibri" w:eastAsia="Times New Roman" w:hAnsi="Calibri" w:cs="Mosawi"/>
            <w:webHidden/>
            <w:color w:val="000000" w:themeColor="text1"/>
            <w:sz w:val="22"/>
            <w:szCs w:val="26"/>
            <w:rtl/>
            <w:lang w:eastAsia="en-US"/>
          </w:rPr>
          <w:t>621</w:t>
        </w:r>
        <w:r w:rsidRPr="001F3648">
          <w:rPr>
            <w:rFonts w:ascii="Calibri" w:eastAsia="Times New Roman" w:hAnsi="Calibri" w:cs="Mosawi"/>
            <w:webHidden/>
            <w:color w:val="000000" w:themeColor="text1"/>
            <w:sz w:val="22"/>
            <w:szCs w:val="26"/>
            <w:rtl/>
            <w:lang w:eastAsia="en-US"/>
          </w:rPr>
          <w:fldChar w:fldCharType="end"/>
        </w:r>
      </w:hyperlink>
    </w:p>
    <w:p w:rsidR="00EB41C4" w:rsidRDefault="00A6422F" w:rsidP="00EB41C4">
      <w:pPr>
        <w:pStyle w:val="TOC6"/>
        <w:spacing w:line="204" w:lineRule="auto"/>
        <w:rPr>
          <w:rStyle w:val="Hyperlink"/>
          <w:color w:val="000000" w:themeColor="text1"/>
          <w:u w:val="none"/>
          <w:rtl/>
        </w:rPr>
      </w:pPr>
      <w:hyperlink w:anchor="_Toc275128302" w:history="1">
        <w:r w:rsidR="00EF7221" w:rsidRPr="001F3648">
          <w:rPr>
            <w:rStyle w:val="Hyperlink"/>
            <w:rFonts w:hint="eastAsia"/>
            <w:color w:val="000000" w:themeColor="text1"/>
            <w:u w:val="none"/>
            <w:rtl/>
          </w:rPr>
          <w:t>أ</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حميدة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عامري</w:t>
        </w:r>
      </w:hyperlink>
      <w:r w:rsidR="00EB41C4" w:rsidRPr="00EB41C4">
        <w:rPr>
          <w:webHidden/>
          <w:rtl/>
        </w:rPr>
        <w:tab/>
      </w:r>
      <w:r w:rsidRPr="00EB41C4">
        <w:rPr>
          <w:webHidden/>
          <w:rtl/>
        </w:rPr>
        <w:fldChar w:fldCharType="begin"/>
      </w:r>
      <w:r w:rsidR="00EB41C4" w:rsidRPr="00EB41C4">
        <w:rPr>
          <w:webHidden/>
          <w:rtl/>
        </w:rPr>
        <w:instrText xml:space="preserve"> </w:instrText>
      </w:r>
      <w:r w:rsidR="00EB41C4" w:rsidRPr="00EB41C4">
        <w:rPr>
          <w:webHidden/>
        </w:rPr>
        <w:instrText xml:space="preserve">PAGEREF _Toc275128303 \h </w:instrText>
      </w:r>
      <w:r w:rsidRPr="00EB41C4">
        <w:rPr>
          <w:webHidden/>
          <w:rtl/>
        </w:rPr>
      </w:r>
      <w:r w:rsidRPr="00EB41C4">
        <w:rPr>
          <w:webHidden/>
          <w:rtl/>
        </w:rPr>
        <w:fldChar w:fldCharType="separate"/>
      </w:r>
      <w:r w:rsidR="0071680A">
        <w:rPr>
          <w:webHidden/>
          <w:rtl/>
        </w:rPr>
        <w:t>621</w:t>
      </w:r>
      <w:r w:rsidRPr="00EB41C4">
        <w:rPr>
          <w:webHidden/>
          <w:rtl/>
        </w:rPr>
        <w:fldChar w:fldCharType="end"/>
      </w:r>
    </w:p>
    <w:p w:rsidR="00EF7221" w:rsidRPr="001F3648" w:rsidRDefault="00A6422F" w:rsidP="00EB41C4">
      <w:pPr>
        <w:pStyle w:val="TOC6"/>
        <w:spacing w:line="204" w:lineRule="auto"/>
        <w:rPr>
          <w:rFonts w:asciiTheme="minorHAnsi" w:eastAsiaTheme="minorEastAsia" w:hAnsiTheme="minorHAnsi" w:cstheme="minorBidi"/>
          <w:color w:val="000000" w:themeColor="text1"/>
          <w:szCs w:val="22"/>
          <w:rtl/>
        </w:rPr>
      </w:pPr>
      <w:hyperlink w:anchor="_Toc275128303" w:history="1">
        <w:r w:rsidR="00EF7221" w:rsidRPr="001F3648">
          <w:rPr>
            <w:rStyle w:val="Hyperlink"/>
            <w:rFonts w:hint="eastAsia"/>
            <w:color w:val="000000" w:themeColor="text1"/>
            <w:u w:val="none"/>
            <w:rtl/>
          </w:rPr>
          <w:t>ترجمة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محمّد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تقي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معدّل</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وآلاء</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معدّل</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Toc275128303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621</w:t>
        </w:r>
        <w:r w:rsidRPr="001F3648">
          <w:rPr>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304" w:history="1">
        <w:r w:rsidR="00EF7221" w:rsidRPr="001F3648">
          <w:rPr>
            <w:rStyle w:val="Hyperlink"/>
            <w:rFonts w:hint="eastAsia"/>
            <w:color w:val="000000" w:themeColor="text1"/>
            <w:sz w:val="24"/>
            <w:szCs w:val="28"/>
            <w:u w:val="none"/>
            <w:rtl/>
          </w:rPr>
          <w:t>مفهوم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العفاف</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وتعريفه</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Toc275128304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623</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305" w:history="1">
        <w:r w:rsidR="00EF7221" w:rsidRPr="001F3648">
          <w:rPr>
            <w:rStyle w:val="Hyperlink"/>
            <w:rFonts w:hint="eastAsia"/>
            <w:color w:val="000000" w:themeColor="text1"/>
            <w:sz w:val="24"/>
            <w:szCs w:val="28"/>
            <w:u w:val="none"/>
            <w:rtl/>
          </w:rPr>
          <w:t>جذور</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العفاف</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الفطرة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Toc275128305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625</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306" w:history="1">
        <w:r w:rsidR="00EF7221" w:rsidRPr="001F3648">
          <w:rPr>
            <w:rStyle w:val="Hyperlink"/>
            <w:rFonts w:hint="eastAsia"/>
            <w:color w:val="000000" w:themeColor="text1"/>
            <w:sz w:val="24"/>
            <w:szCs w:val="28"/>
            <w:u w:val="none"/>
            <w:rtl/>
          </w:rPr>
          <w:t>إنبات</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العفاف</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ظل</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الوراثة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والتربية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Toc275128306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627</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307" w:history="1">
        <w:r w:rsidR="00EF7221" w:rsidRPr="001F3648">
          <w:rPr>
            <w:rStyle w:val="Hyperlink"/>
            <w:rFonts w:hint="eastAsia"/>
            <w:color w:val="000000" w:themeColor="text1"/>
            <w:sz w:val="24"/>
            <w:szCs w:val="28"/>
            <w:u w:val="none"/>
            <w:rtl/>
          </w:rPr>
          <w:t>سعة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العفاف</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Toc275128307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629</w:t>
        </w:r>
        <w:r w:rsidRPr="001F3648">
          <w:rPr>
            <w:webHidden/>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308" w:history="1">
        <w:r w:rsidR="00EF7221" w:rsidRPr="001F3648">
          <w:rPr>
            <w:rStyle w:val="Hyperlink"/>
            <w:noProof/>
            <w:color w:val="000000" w:themeColor="text1"/>
            <w:u w:val="none"/>
            <w:rtl/>
          </w:rPr>
          <w:t xml:space="preserve">1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عفّة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الفكر</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Toc275128308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630</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309" w:history="1">
        <w:r w:rsidR="00EF7221" w:rsidRPr="001F3648">
          <w:rPr>
            <w:rStyle w:val="Hyperlink"/>
            <w:noProof/>
            <w:color w:val="000000" w:themeColor="text1"/>
            <w:u w:val="none"/>
            <w:rtl/>
          </w:rPr>
          <w:t xml:space="preserve">2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عفة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البصر</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Toc275128309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631</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310" w:history="1">
        <w:r w:rsidR="00EF7221" w:rsidRPr="001F3648">
          <w:rPr>
            <w:rStyle w:val="Hyperlink"/>
            <w:noProof/>
            <w:color w:val="000000" w:themeColor="text1"/>
            <w:u w:val="none"/>
            <w:rtl/>
          </w:rPr>
          <w:t xml:space="preserve">3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عفّة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المعاشرة</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Toc275128310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634</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311" w:history="1">
        <w:r w:rsidR="00EF7221" w:rsidRPr="001F3648">
          <w:rPr>
            <w:rStyle w:val="Hyperlink"/>
            <w:noProof/>
            <w:color w:val="000000" w:themeColor="text1"/>
            <w:u w:val="none"/>
            <w:rtl/>
          </w:rPr>
          <w:t xml:space="preserve">4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العفّة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في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الزينة</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Toc275128311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637</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312" w:history="1">
        <w:r w:rsidR="00EF7221" w:rsidRPr="001F3648">
          <w:rPr>
            <w:rStyle w:val="Hyperlink"/>
            <w:noProof/>
            <w:color w:val="000000" w:themeColor="text1"/>
            <w:u w:val="none"/>
            <w:rtl/>
          </w:rPr>
          <w:t xml:space="preserve">5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العفّة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في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الكلام</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Toc275128312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640</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313" w:history="1">
        <w:r w:rsidR="00EF7221" w:rsidRPr="001F3648">
          <w:rPr>
            <w:rStyle w:val="Hyperlink"/>
            <w:noProof/>
            <w:color w:val="000000" w:themeColor="text1"/>
            <w:u w:val="none"/>
            <w:rtl/>
          </w:rPr>
          <w:t xml:space="preserve">6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العفّة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في</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الستر</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والحجاب</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Toc275128313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640</w:t>
        </w:r>
        <w:r w:rsidRPr="001F3648">
          <w:rPr>
            <w:noProof/>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314" w:history="1">
        <w:r w:rsidR="00EF7221" w:rsidRPr="001F3648">
          <w:rPr>
            <w:rStyle w:val="Hyperlink"/>
            <w:rFonts w:hint="eastAsia"/>
            <w:color w:val="000000" w:themeColor="text1"/>
            <w:sz w:val="24"/>
            <w:szCs w:val="28"/>
            <w:u w:val="none"/>
            <w:rtl/>
          </w:rPr>
          <w:t>ثمرات</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العفاف</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ونتائجه</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Toc275128314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643</w:t>
        </w:r>
        <w:r w:rsidRPr="001F3648">
          <w:rPr>
            <w:webHidden/>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315" w:history="1">
        <w:r w:rsidR="00EF7221" w:rsidRPr="001F3648">
          <w:rPr>
            <w:rStyle w:val="Hyperlink"/>
            <w:noProof/>
            <w:color w:val="000000" w:themeColor="text1"/>
            <w:u w:val="none"/>
            <w:rtl/>
          </w:rPr>
          <w:t xml:space="preserve">1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تماسك</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الأسرة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وتلاحمها</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Toc275128315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643</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316" w:history="1">
        <w:r w:rsidR="00EF7221" w:rsidRPr="001F3648">
          <w:rPr>
            <w:rStyle w:val="Hyperlink"/>
            <w:noProof/>
            <w:color w:val="000000" w:themeColor="text1"/>
            <w:u w:val="none"/>
            <w:rtl/>
          </w:rPr>
          <w:t xml:space="preserve">2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السكينة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الروحية</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Toc275128316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644</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317" w:history="1">
        <w:r w:rsidR="00EF7221" w:rsidRPr="001F3648">
          <w:rPr>
            <w:rStyle w:val="Hyperlink"/>
            <w:noProof/>
            <w:color w:val="000000" w:themeColor="text1"/>
            <w:u w:val="none"/>
            <w:rtl/>
          </w:rPr>
          <w:t xml:space="preserve">3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سلامة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المجتمع</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Toc275128317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644</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318" w:history="1">
        <w:r w:rsidR="00EF7221" w:rsidRPr="001F3648">
          <w:rPr>
            <w:rStyle w:val="Hyperlink"/>
            <w:noProof/>
            <w:color w:val="000000" w:themeColor="text1"/>
            <w:u w:val="none"/>
            <w:rtl/>
          </w:rPr>
          <w:t xml:space="preserve">4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حفظ</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الجمال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والنضارة</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Toc275128318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645</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319" w:history="1">
        <w:r w:rsidR="00EF7221" w:rsidRPr="001F3648">
          <w:rPr>
            <w:rStyle w:val="Hyperlink"/>
            <w:noProof/>
            <w:color w:val="000000" w:themeColor="text1"/>
            <w:u w:val="none"/>
            <w:rtl/>
          </w:rPr>
          <w:t xml:space="preserve">5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تركيز</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الحواس</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Toc275128319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646</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320" w:history="1">
        <w:r w:rsidR="00EF7221" w:rsidRPr="001F3648">
          <w:rPr>
            <w:rStyle w:val="Hyperlink"/>
            <w:noProof/>
            <w:color w:val="000000" w:themeColor="text1"/>
            <w:u w:val="none"/>
            <w:rtl/>
          </w:rPr>
          <w:t xml:space="preserve">6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الصحة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والسلامة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البدنية</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Toc275128320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646</w:t>
        </w:r>
        <w:r w:rsidRPr="001F3648">
          <w:rPr>
            <w:noProof/>
            <w:webHidden/>
            <w:color w:val="000000" w:themeColor="text1"/>
            <w:rtl/>
          </w:rPr>
          <w:fldChar w:fldCharType="end"/>
        </w:r>
      </w:hyperlink>
    </w:p>
    <w:p w:rsidR="00EF7221" w:rsidRPr="001F3648" w:rsidRDefault="00A6422F" w:rsidP="0008530B">
      <w:pPr>
        <w:pStyle w:val="TOC3"/>
        <w:spacing w:line="204" w:lineRule="auto"/>
        <w:rPr>
          <w:rFonts w:asciiTheme="minorHAnsi" w:eastAsiaTheme="minorEastAsia" w:hAnsiTheme="minorHAnsi" w:cstheme="minorBidi"/>
          <w:noProof/>
          <w:color w:val="000000" w:themeColor="text1"/>
          <w:sz w:val="22"/>
          <w:szCs w:val="22"/>
          <w:rtl/>
          <w:lang w:eastAsia="en-US"/>
        </w:rPr>
      </w:pPr>
      <w:hyperlink w:anchor="_Toc275128321" w:history="1">
        <w:r w:rsidR="00EF7221" w:rsidRPr="001F3648">
          <w:rPr>
            <w:rStyle w:val="Hyperlink"/>
            <w:noProof/>
            <w:color w:val="000000" w:themeColor="text1"/>
            <w:u w:val="none"/>
            <w:rtl/>
          </w:rPr>
          <w:t xml:space="preserve">7 </w:t>
        </w:r>
        <w:r w:rsidR="00EF7221" w:rsidRPr="001F3648">
          <w:rPr>
            <w:rStyle w:val="Hyperlink"/>
            <w:rFonts w:hint="eastAsia"/>
            <w:noProof/>
            <w:color w:val="000000" w:themeColor="text1"/>
            <w:u w:val="none"/>
            <w:rtl/>
          </w:rPr>
          <w:t>ـ</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طهارة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الأرحام</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ونقاوة</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الجيل</w:t>
        </w:r>
        <w:r w:rsidR="00EF7221" w:rsidRPr="001F3648">
          <w:rPr>
            <w:rStyle w:val="Hyperlink"/>
            <w:noProof/>
            <w:color w:val="000000" w:themeColor="text1"/>
            <w:u w:val="none"/>
            <w:rtl/>
          </w:rPr>
          <w:t xml:space="preserve"> </w:t>
        </w:r>
        <w:r w:rsidR="00EF7221" w:rsidRPr="001F3648">
          <w:rPr>
            <w:rStyle w:val="Hyperlink"/>
            <w:rFonts w:hint="eastAsia"/>
            <w:noProof/>
            <w:color w:val="000000" w:themeColor="text1"/>
            <w:u w:val="none"/>
            <w:rtl/>
          </w:rPr>
          <w:t>الإنساني</w:t>
        </w:r>
        <w:r w:rsidR="00EF7221" w:rsidRPr="001F3648">
          <w:rPr>
            <w:noProof/>
            <w:webHidden/>
            <w:color w:val="000000" w:themeColor="text1"/>
            <w:rtl/>
          </w:rPr>
          <w:tab/>
        </w:r>
        <w:r w:rsidRPr="001F3648">
          <w:rPr>
            <w:noProof/>
            <w:webHidden/>
            <w:color w:val="000000" w:themeColor="text1"/>
            <w:rtl/>
          </w:rPr>
          <w:fldChar w:fldCharType="begin"/>
        </w:r>
        <w:r w:rsidR="00EF7221" w:rsidRPr="001F3648">
          <w:rPr>
            <w:noProof/>
            <w:webHidden/>
            <w:color w:val="000000" w:themeColor="text1"/>
            <w:rtl/>
          </w:rPr>
          <w:instrText xml:space="preserve"> </w:instrText>
        </w:r>
        <w:r w:rsidR="00EF7221" w:rsidRPr="001F3648">
          <w:rPr>
            <w:noProof/>
            <w:webHidden/>
            <w:color w:val="000000" w:themeColor="text1"/>
          </w:rPr>
          <w:instrText>PAGEREF</w:instrText>
        </w:r>
        <w:r w:rsidR="00EF7221" w:rsidRPr="001F3648">
          <w:rPr>
            <w:noProof/>
            <w:webHidden/>
            <w:color w:val="000000" w:themeColor="text1"/>
            <w:rtl/>
          </w:rPr>
          <w:instrText xml:space="preserve"> _</w:instrText>
        </w:r>
        <w:r w:rsidR="00EF7221" w:rsidRPr="001F3648">
          <w:rPr>
            <w:noProof/>
            <w:webHidden/>
            <w:color w:val="000000" w:themeColor="text1"/>
          </w:rPr>
          <w:instrText>Toc275128321 \h</w:instrText>
        </w:r>
        <w:r w:rsidR="00EF7221" w:rsidRPr="001F3648">
          <w:rPr>
            <w:noProof/>
            <w:webHidden/>
            <w:color w:val="000000" w:themeColor="text1"/>
            <w:rtl/>
          </w:rPr>
          <w:instrText xml:space="preserve"> </w:instrText>
        </w:r>
        <w:r w:rsidRPr="001F3648">
          <w:rPr>
            <w:noProof/>
            <w:webHidden/>
            <w:color w:val="000000" w:themeColor="text1"/>
            <w:rtl/>
          </w:rPr>
        </w:r>
        <w:r w:rsidRPr="001F3648">
          <w:rPr>
            <w:noProof/>
            <w:webHidden/>
            <w:color w:val="000000" w:themeColor="text1"/>
            <w:rtl/>
          </w:rPr>
          <w:fldChar w:fldCharType="separate"/>
        </w:r>
        <w:r w:rsidR="0071680A">
          <w:rPr>
            <w:noProof/>
            <w:webHidden/>
            <w:color w:val="000000" w:themeColor="text1"/>
            <w:rtl/>
          </w:rPr>
          <w:t>647</w:t>
        </w:r>
        <w:r w:rsidRPr="001F3648">
          <w:rPr>
            <w:noProof/>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322" w:history="1">
        <w:r w:rsidR="00EF7221" w:rsidRPr="001F3648">
          <w:rPr>
            <w:rStyle w:val="Hyperlink"/>
            <w:rFonts w:hint="eastAsia"/>
            <w:color w:val="000000" w:themeColor="text1"/>
            <w:sz w:val="24"/>
            <w:szCs w:val="28"/>
            <w:u w:val="none"/>
            <w:rtl/>
          </w:rPr>
          <w:t>أسباب</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تضاؤل</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الاهتمام</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بالعفاف</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والحجاب</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في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المجتمع</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الإسلامي</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Toc275128322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648</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323" w:history="1">
        <w:r w:rsidR="00EF7221" w:rsidRPr="001F3648">
          <w:rPr>
            <w:rStyle w:val="Hyperlink"/>
            <w:rFonts w:hint="eastAsia"/>
            <w:color w:val="000000" w:themeColor="text1"/>
            <w:sz w:val="24"/>
            <w:szCs w:val="28"/>
            <w:u w:val="none"/>
            <w:rtl/>
          </w:rPr>
          <w:t>الأساليب</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العمليّة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للعفاف</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Toc275128323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651</w:t>
        </w:r>
        <w:r w:rsidRPr="001F3648">
          <w:rPr>
            <w:webHidden/>
            <w:rtl/>
          </w:rPr>
          <w:fldChar w:fldCharType="end"/>
        </w:r>
      </w:hyperlink>
    </w:p>
    <w:p w:rsidR="00EF7221" w:rsidRPr="001F3648" w:rsidRDefault="00A6422F" w:rsidP="0008530B">
      <w:pPr>
        <w:pStyle w:val="TOC1"/>
        <w:spacing w:line="204" w:lineRule="auto"/>
        <w:rPr>
          <w:rFonts w:asciiTheme="minorHAnsi" w:eastAsiaTheme="minorEastAsia" w:hAnsiTheme="minorHAnsi" w:cstheme="minorBidi"/>
          <w:color w:val="000000" w:themeColor="text1"/>
          <w:sz w:val="22"/>
          <w:szCs w:val="22"/>
          <w:rtl/>
          <w:lang w:eastAsia="en-US"/>
        </w:rPr>
      </w:pPr>
      <w:hyperlink w:anchor="_Toc275128324" w:history="1">
        <w:r w:rsidR="00EF7221" w:rsidRPr="001F3648">
          <w:rPr>
            <w:rStyle w:val="Hyperlink"/>
            <w:rFonts w:hint="eastAsia"/>
            <w:color w:val="000000" w:themeColor="text1"/>
            <w:u w:val="none"/>
            <w:rtl/>
          </w:rPr>
          <w:t>أزمة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الحبّ</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والإيمان</w:t>
        </w:r>
      </w:hyperlink>
      <w:r w:rsidR="00D90AFE" w:rsidRPr="001F3648">
        <w:rPr>
          <w:rStyle w:val="Hyperlink"/>
          <w:rFonts w:hint="cs"/>
          <w:color w:val="000000" w:themeColor="text1"/>
          <w:u w:val="none"/>
          <w:rtl/>
        </w:rPr>
        <w:t xml:space="preserve">، </w:t>
      </w:r>
      <w:hyperlink w:anchor="_Toc275128325" w:history="1">
        <w:r w:rsidR="00EF7221" w:rsidRPr="001F3648">
          <w:rPr>
            <w:rStyle w:val="Hyperlink"/>
            <w:rFonts w:hint="eastAsia"/>
            <w:color w:val="000000" w:themeColor="text1"/>
            <w:u w:val="none"/>
            <w:rtl/>
          </w:rPr>
          <w:t>نظرة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أوليّة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في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الموقف</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من</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العلاقات</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العاطفيّة</w:t>
        </w:r>
        <w:r w:rsidR="00EF7221" w:rsidRPr="001F3648">
          <w:rPr>
            <w:rFonts w:ascii="Calibri" w:eastAsia="Times New Roman" w:hAnsi="Calibri" w:cs="Mosawi"/>
            <w:webHidden/>
            <w:color w:val="000000" w:themeColor="text1"/>
            <w:sz w:val="22"/>
            <w:szCs w:val="26"/>
            <w:rtl/>
            <w:lang w:eastAsia="en-US"/>
          </w:rPr>
          <w:tab/>
        </w:r>
        <w:r w:rsidRPr="001F3648">
          <w:rPr>
            <w:rFonts w:ascii="Calibri" w:eastAsia="Times New Roman" w:hAnsi="Calibri" w:cs="Mosawi"/>
            <w:webHidden/>
            <w:color w:val="000000" w:themeColor="text1"/>
            <w:sz w:val="22"/>
            <w:szCs w:val="26"/>
            <w:rtl/>
            <w:lang w:eastAsia="en-US"/>
          </w:rPr>
          <w:fldChar w:fldCharType="begin"/>
        </w:r>
        <w:r w:rsidR="00EF7221" w:rsidRPr="001F3648">
          <w:rPr>
            <w:rFonts w:ascii="Calibri" w:eastAsia="Times New Roman" w:hAnsi="Calibri" w:cs="Mosawi"/>
            <w:webHidden/>
            <w:color w:val="000000" w:themeColor="text1"/>
            <w:sz w:val="22"/>
            <w:szCs w:val="26"/>
            <w:rtl/>
            <w:lang w:eastAsia="en-US"/>
          </w:rPr>
          <w:instrText xml:space="preserve"> </w:instrText>
        </w:r>
        <w:r w:rsidR="00EF7221" w:rsidRPr="001F3648">
          <w:rPr>
            <w:rFonts w:ascii="Calibri" w:eastAsia="Times New Roman" w:hAnsi="Calibri" w:cs="Mosawi"/>
            <w:webHidden/>
            <w:color w:val="000000" w:themeColor="text1"/>
            <w:sz w:val="22"/>
            <w:szCs w:val="26"/>
            <w:lang w:eastAsia="en-US"/>
          </w:rPr>
          <w:instrText>PAGEREF</w:instrText>
        </w:r>
        <w:r w:rsidR="00EF7221" w:rsidRPr="001F3648">
          <w:rPr>
            <w:rFonts w:ascii="Calibri" w:eastAsia="Times New Roman" w:hAnsi="Calibri" w:cs="Mosawi"/>
            <w:webHidden/>
            <w:color w:val="000000" w:themeColor="text1"/>
            <w:sz w:val="22"/>
            <w:szCs w:val="26"/>
            <w:rtl/>
            <w:lang w:eastAsia="en-US"/>
          </w:rPr>
          <w:instrText xml:space="preserve"> _</w:instrText>
        </w:r>
        <w:r w:rsidR="00EF7221" w:rsidRPr="001F3648">
          <w:rPr>
            <w:rFonts w:ascii="Calibri" w:eastAsia="Times New Roman" w:hAnsi="Calibri" w:cs="Mosawi"/>
            <w:webHidden/>
            <w:color w:val="000000" w:themeColor="text1"/>
            <w:sz w:val="22"/>
            <w:szCs w:val="26"/>
            <w:lang w:eastAsia="en-US"/>
          </w:rPr>
          <w:instrText>Toc275128325 \h</w:instrText>
        </w:r>
        <w:r w:rsidR="00EF7221" w:rsidRPr="001F3648">
          <w:rPr>
            <w:rFonts w:ascii="Calibri" w:eastAsia="Times New Roman" w:hAnsi="Calibri" w:cs="Mosawi"/>
            <w:webHidden/>
            <w:color w:val="000000" w:themeColor="text1"/>
            <w:sz w:val="22"/>
            <w:szCs w:val="26"/>
            <w:rtl/>
            <w:lang w:eastAsia="en-US"/>
          </w:rPr>
          <w:instrText xml:space="preserve"> </w:instrText>
        </w:r>
        <w:r w:rsidRPr="001F3648">
          <w:rPr>
            <w:rFonts w:ascii="Calibri" w:eastAsia="Times New Roman" w:hAnsi="Calibri" w:cs="Mosawi"/>
            <w:webHidden/>
            <w:color w:val="000000" w:themeColor="text1"/>
            <w:sz w:val="22"/>
            <w:szCs w:val="26"/>
            <w:rtl/>
            <w:lang w:eastAsia="en-US"/>
          </w:rPr>
        </w:r>
        <w:r w:rsidRPr="001F3648">
          <w:rPr>
            <w:rFonts w:ascii="Calibri" w:eastAsia="Times New Roman" w:hAnsi="Calibri" w:cs="Mosawi"/>
            <w:webHidden/>
            <w:color w:val="000000" w:themeColor="text1"/>
            <w:sz w:val="22"/>
            <w:szCs w:val="26"/>
            <w:rtl/>
            <w:lang w:eastAsia="en-US"/>
          </w:rPr>
          <w:fldChar w:fldCharType="separate"/>
        </w:r>
        <w:r w:rsidR="0071680A">
          <w:rPr>
            <w:rFonts w:ascii="Calibri" w:eastAsia="Times New Roman" w:hAnsi="Calibri" w:cs="Mosawi"/>
            <w:webHidden/>
            <w:color w:val="000000" w:themeColor="text1"/>
            <w:sz w:val="22"/>
            <w:szCs w:val="26"/>
            <w:rtl/>
            <w:lang w:eastAsia="en-US"/>
          </w:rPr>
          <w:t>657</w:t>
        </w:r>
        <w:r w:rsidRPr="001F3648">
          <w:rPr>
            <w:rFonts w:ascii="Calibri" w:eastAsia="Times New Roman" w:hAnsi="Calibri" w:cs="Mosawi"/>
            <w:webHidden/>
            <w:color w:val="000000" w:themeColor="text1"/>
            <w:sz w:val="22"/>
            <w:szCs w:val="26"/>
            <w:rtl/>
            <w:lang w:eastAsia="en-US"/>
          </w:rPr>
          <w:fldChar w:fldCharType="end"/>
        </w:r>
      </w:hyperlink>
    </w:p>
    <w:p w:rsidR="00EF7221" w:rsidRPr="001F3648" w:rsidRDefault="00A6422F" w:rsidP="0008530B">
      <w:pPr>
        <w:pStyle w:val="TOC6"/>
        <w:spacing w:line="204" w:lineRule="auto"/>
        <w:rPr>
          <w:rFonts w:asciiTheme="minorHAnsi" w:eastAsiaTheme="minorEastAsia" w:hAnsiTheme="minorHAnsi" w:cstheme="minorBidi"/>
          <w:color w:val="000000" w:themeColor="text1"/>
          <w:szCs w:val="22"/>
          <w:rtl/>
        </w:rPr>
      </w:pPr>
      <w:hyperlink w:anchor="_Toc275128326" w:history="1">
        <w:r w:rsidR="00EF7221" w:rsidRPr="001F3648">
          <w:rPr>
            <w:rStyle w:val="Hyperlink"/>
            <w:rFonts w:hint="eastAsia"/>
            <w:color w:val="000000" w:themeColor="text1"/>
            <w:u w:val="none"/>
            <w:rtl/>
          </w:rPr>
          <w:t>حيدر</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حب</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الله</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Toc275128326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657</w:t>
        </w:r>
        <w:r w:rsidRPr="001F3648">
          <w:rPr>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327" w:history="1">
        <w:r w:rsidR="00EF7221" w:rsidRPr="001F3648">
          <w:rPr>
            <w:rStyle w:val="Hyperlink"/>
            <w:rFonts w:hint="eastAsia"/>
            <w:color w:val="000000" w:themeColor="text1"/>
            <w:sz w:val="24"/>
            <w:szCs w:val="28"/>
            <w:u w:val="none"/>
            <w:rtl/>
          </w:rPr>
          <w:t>تمهيد</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Toc275128327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657</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328" w:history="1">
        <w:r w:rsidR="00EF7221" w:rsidRPr="001F3648">
          <w:rPr>
            <w:rStyle w:val="Hyperlink"/>
            <w:rFonts w:hint="eastAsia"/>
            <w:color w:val="000000" w:themeColor="text1"/>
            <w:sz w:val="24"/>
            <w:szCs w:val="28"/>
            <w:u w:val="none"/>
            <w:rtl/>
          </w:rPr>
          <w:t>الحبّ</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وسيكولوجيا</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المراهَقة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Toc275128328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659</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329" w:history="1">
        <w:r w:rsidR="00EF7221" w:rsidRPr="001F3648">
          <w:rPr>
            <w:rStyle w:val="Hyperlink"/>
            <w:rFonts w:hint="eastAsia"/>
            <w:color w:val="000000" w:themeColor="text1"/>
            <w:sz w:val="24"/>
            <w:szCs w:val="28"/>
            <w:u w:val="none"/>
            <w:rtl/>
          </w:rPr>
          <w:t>تساؤلاتٌ</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مشروعة</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Toc275128329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660</w:t>
        </w:r>
        <w:r w:rsidRPr="001F3648">
          <w:rPr>
            <w:webHidden/>
            <w:rtl/>
          </w:rPr>
          <w:fldChar w:fldCharType="end"/>
        </w:r>
      </w:hyperlink>
    </w:p>
    <w:p w:rsidR="00EF7221" w:rsidRPr="001F3648" w:rsidRDefault="00A6422F" w:rsidP="0008530B">
      <w:pPr>
        <w:pStyle w:val="TOC1"/>
        <w:spacing w:line="204" w:lineRule="auto"/>
        <w:rPr>
          <w:rFonts w:asciiTheme="minorHAnsi" w:eastAsiaTheme="minorEastAsia" w:hAnsiTheme="minorHAnsi" w:cstheme="minorBidi"/>
          <w:color w:val="000000" w:themeColor="text1"/>
          <w:sz w:val="22"/>
          <w:szCs w:val="22"/>
          <w:rtl/>
          <w:lang w:eastAsia="en-US"/>
        </w:rPr>
      </w:pPr>
      <w:hyperlink w:anchor="_Toc275128330" w:history="1">
        <w:r w:rsidR="00EF7221" w:rsidRPr="001F3648">
          <w:rPr>
            <w:rStyle w:val="Hyperlink"/>
            <w:rFonts w:hint="eastAsia"/>
            <w:color w:val="000000" w:themeColor="text1"/>
            <w:u w:val="none"/>
            <w:rtl/>
            <w:lang w:bidi="fa-IR"/>
          </w:rPr>
          <w:t>المرأة</w:t>
        </w:r>
        <w:r w:rsidR="00EF7221" w:rsidRPr="001F3648">
          <w:rPr>
            <w:rStyle w:val="Hyperlink"/>
            <w:color w:val="000000" w:themeColor="text1"/>
            <w:u w:val="none"/>
            <w:rtl/>
            <w:lang w:bidi="fa-IR"/>
          </w:rPr>
          <w:t xml:space="preserve"> </w:t>
        </w:r>
        <w:r w:rsidR="00EF7221" w:rsidRPr="001F3648">
          <w:rPr>
            <w:rStyle w:val="Hyperlink"/>
            <w:rFonts w:hint="eastAsia"/>
            <w:color w:val="000000" w:themeColor="text1"/>
            <w:u w:val="none"/>
            <w:rtl/>
            <w:lang w:bidi="fa-IR"/>
          </w:rPr>
          <w:t>اللبنانية</w:t>
        </w:r>
        <w:r w:rsidR="00EF7221" w:rsidRPr="001F3648">
          <w:rPr>
            <w:rStyle w:val="Hyperlink"/>
            <w:color w:val="000000" w:themeColor="text1"/>
            <w:u w:val="none"/>
            <w:rtl/>
            <w:lang w:bidi="fa-IR"/>
          </w:rPr>
          <w:t xml:space="preserve"> </w:t>
        </w:r>
        <w:r w:rsidR="00EF7221" w:rsidRPr="001F3648">
          <w:rPr>
            <w:rStyle w:val="Hyperlink"/>
            <w:rFonts w:hint="eastAsia"/>
            <w:color w:val="000000" w:themeColor="text1"/>
            <w:u w:val="none"/>
            <w:rtl/>
          </w:rPr>
          <w:t>في</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ميدان</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القصّة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والأدب</w:t>
        </w:r>
      </w:hyperlink>
      <w:r w:rsidR="00D90AFE" w:rsidRPr="001F3648">
        <w:rPr>
          <w:rStyle w:val="Hyperlink"/>
          <w:rFonts w:hint="cs"/>
          <w:color w:val="000000" w:themeColor="text1"/>
          <w:u w:val="none"/>
          <w:rtl/>
        </w:rPr>
        <w:t xml:space="preserve">، </w:t>
      </w:r>
      <w:hyperlink w:anchor="_Toc275128331" w:history="1">
        <w:r w:rsidR="00EF7221" w:rsidRPr="001F3648">
          <w:rPr>
            <w:rStyle w:val="Hyperlink"/>
            <w:rFonts w:hint="eastAsia"/>
            <w:color w:val="000000" w:themeColor="text1"/>
            <w:u w:val="none"/>
            <w:rtl/>
          </w:rPr>
          <w:t>مطالعة</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تحليلية</w:t>
        </w:r>
        <w:r w:rsidR="00EF7221" w:rsidRPr="001F3648">
          <w:rPr>
            <w:rFonts w:ascii="Calibri" w:eastAsia="Times New Roman" w:hAnsi="Calibri" w:cs="Mosawi"/>
            <w:webHidden/>
            <w:color w:val="000000" w:themeColor="text1"/>
            <w:sz w:val="22"/>
            <w:szCs w:val="26"/>
            <w:rtl/>
            <w:lang w:eastAsia="en-US"/>
          </w:rPr>
          <w:tab/>
        </w:r>
        <w:r w:rsidRPr="001F3648">
          <w:rPr>
            <w:rFonts w:ascii="Calibri" w:eastAsia="Times New Roman" w:hAnsi="Calibri" w:cs="Mosawi"/>
            <w:webHidden/>
            <w:color w:val="000000" w:themeColor="text1"/>
            <w:sz w:val="22"/>
            <w:szCs w:val="26"/>
            <w:rtl/>
            <w:lang w:eastAsia="en-US"/>
          </w:rPr>
          <w:fldChar w:fldCharType="begin"/>
        </w:r>
        <w:r w:rsidR="00EF7221" w:rsidRPr="001F3648">
          <w:rPr>
            <w:rFonts w:ascii="Calibri" w:eastAsia="Times New Roman" w:hAnsi="Calibri" w:cs="Mosawi"/>
            <w:webHidden/>
            <w:color w:val="000000" w:themeColor="text1"/>
            <w:sz w:val="22"/>
            <w:szCs w:val="26"/>
            <w:rtl/>
            <w:lang w:eastAsia="en-US"/>
          </w:rPr>
          <w:instrText xml:space="preserve"> </w:instrText>
        </w:r>
        <w:r w:rsidR="00EF7221" w:rsidRPr="001F3648">
          <w:rPr>
            <w:rFonts w:ascii="Calibri" w:eastAsia="Times New Roman" w:hAnsi="Calibri" w:cs="Mosawi"/>
            <w:webHidden/>
            <w:color w:val="000000" w:themeColor="text1"/>
            <w:sz w:val="22"/>
            <w:szCs w:val="26"/>
            <w:lang w:eastAsia="en-US"/>
          </w:rPr>
          <w:instrText>PAGEREF</w:instrText>
        </w:r>
        <w:r w:rsidR="00EF7221" w:rsidRPr="001F3648">
          <w:rPr>
            <w:rFonts w:ascii="Calibri" w:eastAsia="Times New Roman" w:hAnsi="Calibri" w:cs="Mosawi"/>
            <w:webHidden/>
            <w:color w:val="000000" w:themeColor="text1"/>
            <w:sz w:val="22"/>
            <w:szCs w:val="26"/>
            <w:rtl/>
            <w:lang w:eastAsia="en-US"/>
          </w:rPr>
          <w:instrText xml:space="preserve"> _</w:instrText>
        </w:r>
        <w:r w:rsidR="00EF7221" w:rsidRPr="001F3648">
          <w:rPr>
            <w:rFonts w:ascii="Calibri" w:eastAsia="Times New Roman" w:hAnsi="Calibri" w:cs="Mosawi"/>
            <w:webHidden/>
            <w:color w:val="000000" w:themeColor="text1"/>
            <w:sz w:val="22"/>
            <w:szCs w:val="26"/>
            <w:lang w:eastAsia="en-US"/>
          </w:rPr>
          <w:instrText>Toc275128331 \h</w:instrText>
        </w:r>
        <w:r w:rsidR="00EF7221" w:rsidRPr="001F3648">
          <w:rPr>
            <w:rFonts w:ascii="Calibri" w:eastAsia="Times New Roman" w:hAnsi="Calibri" w:cs="Mosawi"/>
            <w:webHidden/>
            <w:color w:val="000000" w:themeColor="text1"/>
            <w:sz w:val="22"/>
            <w:szCs w:val="26"/>
            <w:rtl/>
            <w:lang w:eastAsia="en-US"/>
          </w:rPr>
          <w:instrText xml:space="preserve"> </w:instrText>
        </w:r>
        <w:r w:rsidRPr="001F3648">
          <w:rPr>
            <w:rFonts w:ascii="Calibri" w:eastAsia="Times New Roman" w:hAnsi="Calibri" w:cs="Mosawi"/>
            <w:webHidden/>
            <w:color w:val="000000" w:themeColor="text1"/>
            <w:sz w:val="22"/>
            <w:szCs w:val="26"/>
            <w:rtl/>
            <w:lang w:eastAsia="en-US"/>
          </w:rPr>
        </w:r>
        <w:r w:rsidRPr="001F3648">
          <w:rPr>
            <w:rFonts w:ascii="Calibri" w:eastAsia="Times New Roman" w:hAnsi="Calibri" w:cs="Mosawi"/>
            <w:webHidden/>
            <w:color w:val="000000" w:themeColor="text1"/>
            <w:sz w:val="22"/>
            <w:szCs w:val="26"/>
            <w:rtl/>
            <w:lang w:eastAsia="en-US"/>
          </w:rPr>
          <w:fldChar w:fldCharType="separate"/>
        </w:r>
        <w:r w:rsidR="0071680A">
          <w:rPr>
            <w:rFonts w:ascii="Calibri" w:eastAsia="Times New Roman" w:hAnsi="Calibri" w:cs="Mosawi"/>
            <w:webHidden/>
            <w:color w:val="000000" w:themeColor="text1"/>
            <w:sz w:val="22"/>
            <w:szCs w:val="26"/>
            <w:rtl/>
            <w:lang w:eastAsia="en-US"/>
          </w:rPr>
          <w:t>667</w:t>
        </w:r>
        <w:r w:rsidRPr="001F3648">
          <w:rPr>
            <w:rFonts w:ascii="Calibri" w:eastAsia="Times New Roman" w:hAnsi="Calibri" w:cs="Mosawi"/>
            <w:webHidden/>
            <w:color w:val="000000" w:themeColor="text1"/>
            <w:sz w:val="22"/>
            <w:szCs w:val="26"/>
            <w:rtl/>
            <w:lang w:eastAsia="en-US"/>
          </w:rPr>
          <w:fldChar w:fldCharType="end"/>
        </w:r>
      </w:hyperlink>
    </w:p>
    <w:p w:rsidR="0071680A" w:rsidRDefault="00A6422F" w:rsidP="0071680A">
      <w:pPr>
        <w:pStyle w:val="TOC6"/>
        <w:spacing w:line="204" w:lineRule="auto"/>
        <w:rPr>
          <w:rStyle w:val="Hyperlink"/>
          <w:color w:val="000000" w:themeColor="text1"/>
          <w:u w:val="none"/>
        </w:rPr>
      </w:pPr>
      <w:hyperlink w:anchor="_Toc275128332" w:history="1">
        <w:r w:rsidR="00EF7221" w:rsidRPr="001F3648">
          <w:rPr>
            <w:rStyle w:val="Hyperlink"/>
            <w:rFonts w:hint="eastAsia"/>
            <w:color w:val="000000" w:themeColor="text1"/>
            <w:u w:val="none"/>
            <w:rtl/>
          </w:rPr>
          <w:t>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عزت</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ملا</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إبراهيمي</w:t>
        </w:r>
      </w:hyperlink>
      <w:r w:rsidR="0071680A" w:rsidRPr="0071680A">
        <w:rPr>
          <w:webHidden/>
          <w:rtl/>
        </w:rPr>
        <w:tab/>
      </w:r>
      <w:r w:rsidR="0071680A" w:rsidRPr="0071680A">
        <w:rPr>
          <w:webHidden/>
          <w:rtl/>
        </w:rPr>
        <w:fldChar w:fldCharType="begin"/>
      </w:r>
      <w:r w:rsidR="0071680A" w:rsidRPr="0071680A">
        <w:rPr>
          <w:webHidden/>
          <w:rtl/>
        </w:rPr>
        <w:instrText xml:space="preserve"> </w:instrText>
      </w:r>
      <w:r w:rsidR="0071680A" w:rsidRPr="0071680A">
        <w:rPr>
          <w:webHidden/>
        </w:rPr>
        <w:instrText xml:space="preserve">PAGEREF _Toc275128333 \h </w:instrText>
      </w:r>
      <w:r w:rsidR="0071680A" w:rsidRPr="0071680A">
        <w:rPr>
          <w:webHidden/>
        </w:rPr>
      </w:r>
      <w:r w:rsidR="0071680A" w:rsidRPr="0071680A">
        <w:rPr>
          <w:webHidden/>
        </w:rPr>
        <w:fldChar w:fldCharType="separate"/>
      </w:r>
      <w:r w:rsidR="0071680A">
        <w:rPr>
          <w:webHidden/>
          <w:rtl/>
        </w:rPr>
        <w:t>667</w:t>
      </w:r>
      <w:r w:rsidR="0071680A" w:rsidRPr="0071680A">
        <w:rPr>
          <w:webHidden/>
          <w:rtl/>
        </w:rPr>
        <w:fldChar w:fldCharType="end"/>
      </w:r>
    </w:p>
    <w:p w:rsidR="00EF7221" w:rsidRPr="001F3648" w:rsidRDefault="00A6422F" w:rsidP="0071680A">
      <w:pPr>
        <w:pStyle w:val="TOC6"/>
        <w:spacing w:line="204" w:lineRule="auto"/>
        <w:rPr>
          <w:rFonts w:asciiTheme="minorHAnsi" w:eastAsiaTheme="minorEastAsia" w:hAnsiTheme="minorHAnsi" w:cstheme="minorBidi"/>
          <w:color w:val="000000" w:themeColor="text1"/>
          <w:szCs w:val="22"/>
          <w:rtl/>
        </w:rPr>
      </w:pPr>
      <w:hyperlink w:anchor="_Toc275128333" w:history="1">
        <w:r w:rsidR="00EF7221" w:rsidRPr="001F3648">
          <w:rPr>
            <w:rStyle w:val="Hyperlink"/>
            <w:rFonts w:hint="eastAsia"/>
            <w:color w:val="000000" w:themeColor="text1"/>
            <w:u w:val="none"/>
            <w:rtl/>
          </w:rPr>
          <w:t>د</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أكرم</w:t>
        </w:r>
        <w:r w:rsidR="00EF7221" w:rsidRPr="001F3648">
          <w:rPr>
            <w:rStyle w:val="Hyperlink"/>
            <w:color w:val="000000" w:themeColor="text1"/>
            <w:u w:val="none"/>
            <w:rtl/>
          </w:rPr>
          <w:t xml:space="preserve"> </w:t>
        </w:r>
        <w:r w:rsidR="00EF7221" w:rsidRPr="001F3648">
          <w:rPr>
            <w:rStyle w:val="Hyperlink"/>
            <w:rFonts w:hint="eastAsia"/>
            <w:color w:val="000000" w:themeColor="text1"/>
            <w:u w:val="none"/>
            <w:rtl/>
          </w:rPr>
          <w:t>روشنفكر</w:t>
        </w:r>
        <w:r w:rsidR="00EF7221" w:rsidRPr="001F3648">
          <w:rPr>
            <w:webHidden/>
            <w:color w:val="000000" w:themeColor="text1"/>
            <w:rtl/>
          </w:rPr>
          <w:tab/>
        </w:r>
        <w:r w:rsidRPr="001F3648">
          <w:rPr>
            <w:webHidden/>
            <w:color w:val="000000" w:themeColor="text1"/>
            <w:rtl/>
          </w:rPr>
          <w:fldChar w:fldCharType="begin"/>
        </w:r>
        <w:r w:rsidR="00EF7221" w:rsidRPr="001F3648">
          <w:rPr>
            <w:webHidden/>
            <w:color w:val="000000" w:themeColor="text1"/>
            <w:rtl/>
          </w:rPr>
          <w:instrText xml:space="preserve"> </w:instrText>
        </w:r>
        <w:r w:rsidR="00EF7221" w:rsidRPr="001F3648">
          <w:rPr>
            <w:webHidden/>
            <w:color w:val="000000" w:themeColor="text1"/>
          </w:rPr>
          <w:instrText>PAGEREF</w:instrText>
        </w:r>
        <w:r w:rsidR="00EF7221" w:rsidRPr="001F3648">
          <w:rPr>
            <w:webHidden/>
            <w:color w:val="000000" w:themeColor="text1"/>
            <w:rtl/>
          </w:rPr>
          <w:instrText xml:space="preserve"> _</w:instrText>
        </w:r>
        <w:r w:rsidR="00EF7221" w:rsidRPr="001F3648">
          <w:rPr>
            <w:webHidden/>
            <w:color w:val="000000" w:themeColor="text1"/>
          </w:rPr>
          <w:instrText>Toc275128333 \h</w:instrText>
        </w:r>
        <w:r w:rsidR="00EF7221" w:rsidRPr="001F3648">
          <w:rPr>
            <w:webHidden/>
            <w:color w:val="000000" w:themeColor="text1"/>
            <w:rtl/>
          </w:rPr>
          <w:instrText xml:space="preserve"> </w:instrText>
        </w:r>
        <w:r w:rsidRPr="001F3648">
          <w:rPr>
            <w:webHidden/>
            <w:color w:val="000000" w:themeColor="text1"/>
            <w:rtl/>
          </w:rPr>
        </w:r>
        <w:r w:rsidRPr="001F3648">
          <w:rPr>
            <w:webHidden/>
            <w:color w:val="000000" w:themeColor="text1"/>
            <w:rtl/>
          </w:rPr>
          <w:fldChar w:fldCharType="separate"/>
        </w:r>
        <w:r w:rsidR="0071680A">
          <w:rPr>
            <w:webHidden/>
            <w:color w:val="000000" w:themeColor="text1"/>
            <w:rtl/>
          </w:rPr>
          <w:t>667</w:t>
        </w:r>
        <w:r w:rsidRPr="001F3648">
          <w:rPr>
            <w:webHidden/>
            <w:color w:val="000000" w:themeColor="text1"/>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334" w:history="1">
        <w:r w:rsidR="00EF7221" w:rsidRPr="001F3648">
          <w:rPr>
            <w:rStyle w:val="Hyperlink"/>
            <w:rFonts w:hint="eastAsia"/>
            <w:color w:val="000000" w:themeColor="text1"/>
            <w:sz w:val="24"/>
            <w:szCs w:val="28"/>
            <w:u w:val="none"/>
            <w:rtl/>
            <w:lang w:bidi="ar-IQ"/>
          </w:rPr>
          <w:t>سياق</w:t>
        </w:r>
        <w:r w:rsidR="00EF7221" w:rsidRPr="001F3648">
          <w:rPr>
            <w:rStyle w:val="Hyperlink"/>
            <w:color w:val="000000" w:themeColor="text1"/>
            <w:sz w:val="24"/>
            <w:szCs w:val="28"/>
            <w:u w:val="none"/>
            <w:rtl/>
            <w:lang w:bidi="ar-IQ"/>
          </w:rPr>
          <w:t xml:space="preserve"> </w:t>
        </w:r>
        <w:r w:rsidR="00EF7221" w:rsidRPr="001F3648">
          <w:rPr>
            <w:rStyle w:val="Hyperlink"/>
            <w:rFonts w:hint="eastAsia"/>
            <w:color w:val="000000" w:themeColor="text1"/>
            <w:sz w:val="24"/>
            <w:szCs w:val="28"/>
            <w:u w:val="none"/>
            <w:rtl/>
            <w:lang w:bidi="ar-IQ"/>
          </w:rPr>
          <w:t>التحوّلات</w:t>
        </w:r>
        <w:r w:rsidR="00EF7221" w:rsidRPr="001F3648">
          <w:rPr>
            <w:rStyle w:val="Hyperlink"/>
            <w:color w:val="000000" w:themeColor="text1"/>
            <w:sz w:val="24"/>
            <w:szCs w:val="28"/>
            <w:u w:val="none"/>
            <w:rtl/>
            <w:lang w:bidi="ar-IQ"/>
          </w:rPr>
          <w:t xml:space="preserve"> </w:t>
        </w:r>
        <w:r w:rsidR="00EF7221" w:rsidRPr="001F3648">
          <w:rPr>
            <w:rStyle w:val="Hyperlink"/>
            <w:rFonts w:hint="eastAsia"/>
            <w:color w:val="000000" w:themeColor="text1"/>
            <w:sz w:val="24"/>
            <w:szCs w:val="28"/>
            <w:u w:val="none"/>
            <w:rtl/>
            <w:lang w:bidi="ar-IQ"/>
          </w:rPr>
          <w:t>النسوية</w:t>
        </w:r>
        <w:r w:rsidR="00EF7221" w:rsidRPr="001F3648">
          <w:rPr>
            <w:rStyle w:val="Hyperlink"/>
            <w:color w:val="000000" w:themeColor="text1"/>
            <w:sz w:val="24"/>
            <w:szCs w:val="28"/>
            <w:u w:val="none"/>
            <w:rtl/>
            <w:lang w:bidi="ar-IQ"/>
          </w:rPr>
          <w:t xml:space="preserve"> </w:t>
        </w:r>
        <w:r w:rsidR="00EF7221" w:rsidRPr="001F3648">
          <w:rPr>
            <w:rStyle w:val="Hyperlink"/>
            <w:rFonts w:hint="eastAsia"/>
            <w:color w:val="000000" w:themeColor="text1"/>
            <w:sz w:val="24"/>
            <w:szCs w:val="28"/>
            <w:u w:val="none"/>
            <w:rtl/>
            <w:lang w:bidi="ar-IQ"/>
          </w:rPr>
          <w:t>في</w:t>
        </w:r>
        <w:r w:rsidR="00EF7221" w:rsidRPr="001F3648">
          <w:rPr>
            <w:rStyle w:val="Hyperlink"/>
            <w:color w:val="000000" w:themeColor="text1"/>
            <w:sz w:val="24"/>
            <w:szCs w:val="28"/>
            <w:u w:val="none"/>
            <w:rtl/>
            <w:lang w:bidi="ar-IQ"/>
          </w:rPr>
          <w:t xml:space="preserve"> </w:t>
        </w:r>
        <w:r w:rsidR="00EF7221" w:rsidRPr="001F3648">
          <w:rPr>
            <w:rStyle w:val="Hyperlink"/>
            <w:rFonts w:hint="eastAsia"/>
            <w:color w:val="000000" w:themeColor="text1"/>
            <w:sz w:val="24"/>
            <w:szCs w:val="28"/>
            <w:u w:val="none"/>
            <w:rtl/>
            <w:lang w:bidi="ar-IQ"/>
          </w:rPr>
          <w:t>لبنان</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Toc275128334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667</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335" w:history="1">
        <w:r w:rsidR="00EF7221" w:rsidRPr="001F3648">
          <w:rPr>
            <w:rStyle w:val="Hyperlink"/>
            <w:rFonts w:hint="eastAsia"/>
            <w:color w:val="000000" w:themeColor="text1"/>
            <w:sz w:val="24"/>
            <w:szCs w:val="28"/>
            <w:u w:val="none"/>
            <w:rtl/>
            <w:lang w:bidi="fa-IR"/>
          </w:rPr>
          <w:t>حضور</w:t>
        </w:r>
        <w:r w:rsidR="00EF7221" w:rsidRPr="001F3648">
          <w:rPr>
            <w:rStyle w:val="Hyperlink"/>
            <w:color w:val="000000" w:themeColor="text1"/>
            <w:sz w:val="24"/>
            <w:szCs w:val="28"/>
            <w:u w:val="none"/>
            <w:rtl/>
            <w:lang w:bidi="fa-IR"/>
          </w:rPr>
          <w:t xml:space="preserve"> </w:t>
        </w:r>
        <w:r w:rsidR="00EF7221" w:rsidRPr="001F3648">
          <w:rPr>
            <w:rStyle w:val="Hyperlink"/>
            <w:rFonts w:hint="eastAsia"/>
            <w:color w:val="000000" w:themeColor="text1"/>
            <w:sz w:val="24"/>
            <w:szCs w:val="28"/>
            <w:u w:val="none"/>
            <w:rtl/>
            <w:lang w:bidi="fa-IR"/>
          </w:rPr>
          <w:t>المرأة</w:t>
        </w:r>
        <w:r w:rsidR="00EF7221" w:rsidRPr="001F3648">
          <w:rPr>
            <w:rStyle w:val="Hyperlink"/>
            <w:color w:val="000000" w:themeColor="text1"/>
            <w:sz w:val="24"/>
            <w:szCs w:val="28"/>
            <w:u w:val="none"/>
            <w:rtl/>
            <w:lang w:bidi="fa-IR"/>
          </w:rPr>
          <w:t xml:space="preserve"> </w:t>
        </w:r>
        <w:r w:rsidR="00EF7221" w:rsidRPr="001F3648">
          <w:rPr>
            <w:rStyle w:val="Hyperlink"/>
            <w:rFonts w:hint="eastAsia"/>
            <w:color w:val="000000" w:themeColor="text1"/>
            <w:sz w:val="24"/>
            <w:szCs w:val="28"/>
            <w:u w:val="none"/>
            <w:rtl/>
            <w:lang w:bidi="fa-IR"/>
          </w:rPr>
          <w:t>في</w:t>
        </w:r>
        <w:r w:rsidR="00EF7221" w:rsidRPr="001F3648">
          <w:rPr>
            <w:rStyle w:val="Hyperlink"/>
            <w:color w:val="000000" w:themeColor="text1"/>
            <w:sz w:val="24"/>
            <w:szCs w:val="28"/>
            <w:u w:val="none"/>
            <w:rtl/>
            <w:lang w:bidi="fa-IR"/>
          </w:rPr>
          <w:t xml:space="preserve"> </w:t>
        </w:r>
        <w:r w:rsidR="00EF7221" w:rsidRPr="001F3648">
          <w:rPr>
            <w:rStyle w:val="Hyperlink"/>
            <w:rFonts w:hint="eastAsia"/>
            <w:color w:val="000000" w:themeColor="text1"/>
            <w:sz w:val="24"/>
            <w:szCs w:val="28"/>
            <w:u w:val="none"/>
            <w:rtl/>
            <w:lang w:bidi="fa-IR"/>
          </w:rPr>
          <w:t>ساحة</w:t>
        </w:r>
        <w:r w:rsidR="00EF7221" w:rsidRPr="001F3648">
          <w:rPr>
            <w:rStyle w:val="Hyperlink"/>
            <w:color w:val="000000" w:themeColor="text1"/>
            <w:sz w:val="24"/>
            <w:szCs w:val="28"/>
            <w:u w:val="none"/>
            <w:rtl/>
            <w:lang w:bidi="fa-IR"/>
          </w:rPr>
          <w:t xml:space="preserve"> </w:t>
        </w:r>
        <w:r w:rsidR="00EF7221" w:rsidRPr="001F3648">
          <w:rPr>
            <w:rStyle w:val="Hyperlink"/>
            <w:rFonts w:hint="eastAsia"/>
            <w:color w:val="000000" w:themeColor="text1"/>
            <w:sz w:val="24"/>
            <w:szCs w:val="28"/>
            <w:u w:val="none"/>
            <w:rtl/>
            <w:lang w:bidi="fa-IR"/>
          </w:rPr>
          <w:t>الأدب</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Toc275128335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668</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336" w:history="1">
        <w:r w:rsidR="00EF7221" w:rsidRPr="001F3648">
          <w:rPr>
            <w:rStyle w:val="Hyperlink"/>
            <w:rFonts w:hint="eastAsia"/>
            <w:color w:val="000000" w:themeColor="text1"/>
            <w:sz w:val="24"/>
            <w:szCs w:val="28"/>
            <w:u w:val="none"/>
            <w:rtl/>
            <w:lang w:bidi="ar-IQ"/>
          </w:rPr>
          <w:t>نقد</w:t>
        </w:r>
        <w:r w:rsidR="00EF7221" w:rsidRPr="001F3648">
          <w:rPr>
            <w:rStyle w:val="Hyperlink"/>
            <w:color w:val="000000" w:themeColor="text1"/>
            <w:sz w:val="24"/>
            <w:szCs w:val="28"/>
            <w:u w:val="none"/>
            <w:rtl/>
            <w:lang w:bidi="ar-IQ"/>
          </w:rPr>
          <w:t xml:space="preserve"> </w:t>
        </w:r>
        <w:r w:rsidR="00EF7221" w:rsidRPr="001F3648">
          <w:rPr>
            <w:rStyle w:val="Hyperlink"/>
            <w:rFonts w:hint="eastAsia"/>
            <w:color w:val="000000" w:themeColor="text1"/>
            <w:sz w:val="24"/>
            <w:szCs w:val="28"/>
            <w:u w:val="none"/>
            <w:rtl/>
            <w:lang w:bidi="ar-IQ"/>
          </w:rPr>
          <w:t>الذكورية</w:t>
        </w:r>
        <w:r w:rsidR="00EF7221" w:rsidRPr="001F3648">
          <w:rPr>
            <w:rStyle w:val="Hyperlink"/>
            <w:color w:val="000000" w:themeColor="text1"/>
            <w:sz w:val="24"/>
            <w:szCs w:val="28"/>
            <w:u w:val="none"/>
            <w:rtl/>
            <w:lang w:bidi="ar-IQ"/>
          </w:rPr>
          <w:t xml:space="preserve"> </w:t>
        </w:r>
        <w:r w:rsidR="00EF7221" w:rsidRPr="001F3648">
          <w:rPr>
            <w:rStyle w:val="Hyperlink"/>
            <w:rFonts w:hint="eastAsia"/>
            <w:color w:val="000000" w:themeColor="text1"/>
            <w:sz w:val="24"/>
            <w:szCs w:val="28"/>
            <w:u w:val="none"/>
            <w:rtl/>
            <w:lang w:bidi="ar-IQ"/>
          </w:rPr>
          <w:t>المتسلّطة</w:t>
        </w:r>
        <w:r w:rsidR="00EF7221" w:rsidRPr="001F3648">
          <w:rPr>
            <w:rStyle w:val="Hyperlink"/>
            <w:color w:val="000000" w:themeColor="text1"/>
            <w:sz w:val="24"/>
            <w:szCs w:val="28"/>
            <w:u w:val="none"/>
            <w:rtl/>
            <w:lang w:bidi="ar-IQ"/>
          </w:rPr>
          <w:t xml:space="preserve"> </w:t>
        </w:r>
        <w:r w:rsidR="00EF7221" w:rsidRPr="001F3648">
          <w:rPr>
            <w:rStyle w:val="Hyperlink"/>
            <w:rFonts w:hint="eastAsia"/>
            <w:color w:val="000000" w:themeColor="text1"/>
            <w:sz w:val="24"/>
            <w:szCs w:val="28"/>
            <w:u w:val="none"/>
            <w:rtl/>
            <w:lang w:bidi="ar-IQ"/>
          </w:rPr>
          <w:t>في</w:t>
        </w:r>
        <w:r w:rsidR="00EF7221" w:rsidRPr="001F3648">
          <w:rPr>
            <w:rStyle w:val="Hyperlink"/>
            <w:color w:val="000000" w:themeColor="text1"/>
            <w:sz w:val="24"/>
            <w:szCs w:val="28"/>
            <w:u w:val="none"/>
            <w:rtl/>
            <w:lang w:bidi="ar-IQ"/>
          </w:rPr>
          <w:t xml:space="preserve"> </w:t>
        </w:r>
        <w:r w:rsidR="00EF7221" w:rsidRPr="001F3648">
          <w:rPr>
            <w:rStyle w:val="Hyperlink"/>
            <w:rFonts w:hint="eastAsia"/>
            <w:color w:val="000000" w:themeColor="text1"/>
            <w:sz w:val="24"/>
            <w:szCs w:val="28"/>
            <w:u w:val="none"/>
            <w:rtl/>
            <w:lang w:bidi="ar-IQ"/>
          </w:rPr>
          <w:t>أعمال</w:t>
        </w:r>
        <w:r w:rsidR="00EF7221" w:rsidRPr="001F3648">
          <w:rPr>
            <w:rStyle w:val="Hyperlink"/>
            <w:color w:val="000000" w:themeColor="text1"/>
            <w:sz w:val="24"/>
            <w:szCs w:val="28"/>
            <w:u w:val="none"/>
            <w:rtl/>
            <w:lang w:bidi="ar-IQ"/>
          </w:rPr>
          <w:t xml:space="preserve"> </w:t>
        </w:r>
        <w:r w:rsidR="00EF7221" w:rsidRPr="001F3648">
          <w:rPr>
            <w:rStyle w:val="Hyperlink"/>
            <w:rFonts w:hint="eastAsia"/>
            <w:color w:val="000000" w:themeColor="text1"/>
            <w:sz w:val="24"/>
            <w:szCs w:val="28"/>
            <w:u w:val="none"/>
            <w:rtl/>
            <w:lang w:bidi="ar-IQ"/>
          </w:rPr>
          <w:t>الأدي</w:t>
        </w:r>
        <w:r w:rsidR="00EF7221" w:rsidRPr="001F3648">
          <w:rPr>
            <w:rStyle w:val="Hyperlink"/>
            <w:rFonts w:hint="eastAsia"/>
            <w:color w:val="000000" w:themeColor="text1"/>
            <w:sz w:val="24"/>
            <w:szCs w:val="28"/>
            <w:u w:val="none"/>
            <w:rtl/>
          </w:rPr>
          <w:t>ب</w:t>
        </w:r>
        <w:r w:rsidR="00EF7221" w:rsidRPr="001F3648">
          <w:rPr>
            <w:rStyle w:val="Hyperlink"/>
            <w:rFonts w:hint="eastAsia"/>
            <w:color w:val="000000" w:themeColor="text1"/>
            <w:sz w:val="24"/>
            <w:szCs w:val="28"/>
            <w:u w:val="none"/>
            <w:rtl/>
            <w:lang w:bidi="ar-IQ"/>
          </w:rPr>
          <w:t>ات</w:t>
        </w:r>
        <w:r w:rsidR="00EF7221" w:rsidRPr="001F3648">
          <w:rPr>
            <w:rStyle w:val="Hyperlink"/>
            <w:color w:val="000000" w:themeColor="text1"/>
            <w:sz w:val="24"/>
            <w:szCs w:val="28"/>
            <w:u w:val="none"/>
            <w:rtl/>
            <w:lang w:bidi="ar-IQ"/>
          </w:rPr>
          <w:t xml:space="preserve"> </w:t>
        </w:r>
        <w:r w:rsidR="00EF7221" w:rsidRPr="001F3648">
          <w:rPr>
            <w:rStyle w:val="Hyperlink"/>
            <w:rFonts w:hint="eastAsia"/>
            <w:color w:val="000000" w:themeColor="text1"/>
            <w:sz w:val="24"/>
            <w:szCs w:val="28"/>
            <w:u w:val="none"/>
            <w:rtl/>
            <w:lang w:bidi="ar-IQ"/>
          </w:rPr>
          <w:t>اللبنانيات</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Toc275128336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671</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337" w:history="1">
        <w:r w:rsidR="00EF7221" w:rsidRPr="001F3648">
          <w:rPr>
            <w:rStyle w:val="Hyperlink"/>
            <w:rFonts w:hint="eastAsia"/>
            <w:color w:val="000000" w:themeColor="text1"/>
            <w:sz w:val="24"/>
            <w:szCs w:val="28"/>
            <w:u w:val="none"/>
            <w:rtl/>
            <w:lang w:bidi="ar-IQ"/>
          </w:rPr>
          <w:t>أعمال</w:t>
        </w:r>
        <w:r w:rsidR="00EF7221" w:rsidRPr="001F3648">
          <w:rPr>
            <w:rStyle w:val="Hyperlink"/>
            <w:color w:val="000000" w:themeColor="text1"/>
            <w:sz w:val="24"/>
            <w:szCs w:val="28"/>
            <w:u w:val="none"/>
            <w:rtl/>
            <w:lang w:bidi="ar-IQ"/>
          </w:rPr>
          <w:t xml:space="preserve"> </w:t>
        </w:r>
        <w:r w:rsidR="00EF7221" w:rsidRPr="001F3648">
          <w:rPr>
            <w:rStyle w:val="Hyperlink"/>
            <w:rFonts w:hint="eastAsia"/>
            <w:color w:val="000000" w:themeColor="text1"/>
            <w:sz w:val="24"/>
            <w:szCs w:val="28"/>
            <w:u w:val="none"/>
            <w:rtl/>
            <w:lang w:bidi="ar-IQ"/>
          </w:rPr>
          <w:t>إميلي</w:t>
        </w:r>
        <w:r w:rsidR="00EF7221" w:rsidRPr="001F3648">
          <w:rPr>
            <w:rStyle w:val="Hyperlink"/>
            <w:color w:val="000000" w:themeColor="text1"/>
            <w:sz w:val="24"/>
            <w:szCs w:val="28"/>
            <w:u w:val="none"/>
            <w:rtl/>
            <w:lang w:bidi="ar-IQ"/>
          </w:rPr>
          <w:t xml:space="preserve"> </w:t>
        </w:r>
        <w:r w:rsidR="00EF7221" w:rsidRPr="001F3648">
          <w:rPr>
            <w:rStyle w:val="Hyperlink"/>
            <w:rFonts w:hint="eastAsia"/>
            <w:color w:val="000000" w:themeColor="text1"/>
            <w:sz w:val="24"/>
            <w:szCs w:val="28"/>
            <w:u w:val="none"/>
            <w:rtl/>
            <w:lang w:bidi="ar-IQ"/>
          </w:rPr>
          <w:t>نصر</w:t>
        </w:r>
        <w:r w:rsidR="00EF7221" w:rsidRPr="001F3648">
          <w:rPr>
            <w:rStyle w:val="Hyperlink"/>
            <w:color w:val="000000" w:themeColor="text1"/>
            <w:sz w:val="24"/>
            <w:szCs w:val="28"/>
            <w:u w:val="none"/>
            <w:rtl/>
            <w:lang w:bidi="ar-IQ"/>
          </w:rPr>
          <w:t xml:space="preserve"> </w:t>
        </w:r>
        <w:r w:rsidR="00EF7221" w:rsidRPr="001F3648">
          <w:rPr>
            <w:rStyle w:val="Hyperlink"/>
            <w:rFonts w:hint="eastAsia"/>
            <w:color w:val="000000" w:themeColor="text1"/>
            <w:sz w:val="24"/>
            <w:szCs w:val="28"/>
            <w:u w:val="none"/>
            <w:rtl/>
            <w:lang w:bidi="ar-IQ"/>
          </w:rPr>
          <w:t>الله</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Toc275128337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673</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338" w:history="1">
        <w:r w:rsidR="00EF7221" w:rsidRPr="001F3648">
          <w:rPr>
            <w:rStyle w:val="Hyperlink"/>
            <w:rFonts w:hint="eastAsia"/>
            <w:color w:val="000000" w:themeColor="text1"/>
            <w:sz w:val="24"/>
            <w:szCs w:val="28"/>
            <w:u w:val="none"/>
            <w:rtl/>
            <w:lang w:bidi="ar-IQ"/>
          </w:rPr>
          <w:t>يمنى</w:t>
        </w:r>
        <w:r w:rsidR="00EF7221" w:rsidRPr="001F3648">
          <w:rPr>
            <w:rStyle w:val="Hyperlink"/>
            <w:color w:val="000000" w:themeColor="text1"/>
            <w:sz w:val="24"/>
            <w:szCs w:val="28"/>
            <w:u w:val="none"/>
            <w:rtl/>
            <w:lang w:bidi="ar-IQ"/>
          </w:rPr>
          <w:t xml:space="preserve"> </w:t>
        </w:r>
        <w:r w:rsidR="00EF7221" w:rsidRPr="001F3648">
          <w:rPr>
            <w:rStyle w:val="Hyperlink"/>
            <w:rFonts w:hint="eastAsia"/>
            <w:color w:val="000000" w:themeColor="text1"/>
            <w:sz w:val="24"/>
            <w:szCs w:val="28"/>
            <w:u w:val="none"/>
            <w:rtl/>
            <w:lang w:bidi="ar-IQ"/>
          </w:rPr>
          <w:t>العيد</w:t>
        </w:r>
        <w:r w:rsidR="00EF7221" w:rsidRPr="001F3648">
          <w:rPr>
            <w:rStyle w:val="Hyperlink"/>
            <w:color w:val="000000" w:themeColor="text1"/>
            <w:sz w:val="24"/>
            <w:szCs w:val="28"/>
            <w:u w:val="none"/>
            <w:rtl/>
            <w:lang w:bidi="ar-IQ"/>
          </w:rPr>
          <w:t xml:space="preserve"> </w:t>
        </w:r>
        <w:r w:rsidR="00EF7221" w:rsidRPr="001F3648">
          <w:rPr>
            <w:rStyle w:val="Hyperlink"/>
            <w:rFonts w:hint="eastAsia"/>
            <w:color w:val="000000" w:themeColor="text1"/>
            <w:sz w:val="24"/>
            <w:szCs w:val="28"/>
            <w:u w:val="none"/>
            <w:rtl/>
            <w:lang w:bidi="ar-IQ"/>
          </w:rPr>
          <w:t>بين</w:t>
        </w:r>
        <w:r w:rsidR="00EF7221" w:rsidRPr="001F3648">
          <w:rPr>
            <w:rStyle w:val="Hyperlink"/>
            <w:color w:val="000000" w:themeColor="text1"/>
            <w:sz w:val="24"/>
            <w:szCs w:val="28"/>
            <w:u w:val="none"/>
            <w:rtl/>
            <w:lang w:bidi="ar-IQ"/>
          </w:rPr>
          <w:t xml:space="preserve"> </w:t>
        </w:r>
        <w:r w:rsidR="00EF7221" w:rsidRPr="001F3648">
          <w:rPr>
            <w:rStyle w:val="Hyperlink"/>
            <w:rFonts w:hint="eastAsia"/>
            <w:color w:val="000000" w:themeColor="text1"/>
            <w:sz w:val="24"/>
            <w:szCs w:val="28"/>
            <w:u w:val="none"/>
            <w:rtl/>
            <w:lang w:bidi="ar-IQ"/>
          </w:rPr>
          <w:t>القلم</w:t>
        </w:r>
        <w:r w:rsidR="00EF7221" w:rsidRPr="001F3648">
          <w:rPr>
            <w:rStyle w:val="Hyperlink"/>
            <w:color w:val="000000" w:themeColor="text1"/>
            <w:sz w:val="24"/>
            <w:szCs w:val="28"/>
            <w:u w:val="none"/>
            <w:rtl/>
            <w:lang w:bidi="ar-IQ"/>
          </w:rPr>
          <w:t xml:space="preserve"> </w:t>
        </w:r>
        <w:r w:rsidR="00EF7221" w:rsidRPr="001F3648">
          <w:rPr>
            <w:rStyle w:val="Hyperlink"/>
            <w:rFonts w:hint="eastAsia"/>
            <w:color w:val="000000" w:themeColor="text1"/>
            <w:sz w:val="24"/>
            <w:szCs w:val="28"/>
            <w:u w:val="none"/>
            <w:rtl/>
            <w:lang w:bidi="ar-IQ"/>
          </w:rPr>
          <w:t>الأدبي</w:t>
        </w:r>
        <w:r w:rsidR="00EF7221" w:rsidRPr="001F3648">
          <w:rPr>
            <w:rStyle w:val="Hyperlink"/>
            <w:color w:val="000000" w:themeColor="text1"/>
            <w:sz w:val="24"/>
            <w:szCs w:val="28"/>
            <w:u w:val="none"/>
            <w:rtl/>
            <w:lang w:bidi="ar-IQ"/>
          </w:rPr>
          <w:t xml:space="preserve"> </w:t>
        </w:r>
        <w:r w:rsidR="00EF7221" w:rsidRPr="001F3648">
          <w:rPr>
            <w:rStyle w:val="Hyperlink"/>
            <w:rFonts w:hint="eastAsia"/>
            <w:color w:val="000000" w:themeColor="text1"/>
            <w:sz w:val="24"/>
            <w:szCs w:val="28"/>
            <w:u w:val="none"/>
            <w:rtl/>
            <w:lang w:bidi="ar-IQ"/>
          </w:rPr>
          <w:t>والنقد</w:t>
        </w:r>
        <w:r w:rsidR="00EF7221" w:rsidRPr="001F3648">
          <w:rPr>
            <w:rStyle w:val="Hyperlink"/>
            <w:color w:val="000000" w:themeColor="text1"/>
            <w:sz w:val="24"/>
            <w:szCs w:val="28"/>
            <w:u w:val="none"/>
            <w:rtl/>
            <w:lang w:bidi="ar-IQ"/>
          </w:rPr>
          <w:t xml:space="preserve"> </w:t>
        </w:r>
        <w:r w:rsidR="00EF7221" w:rsidRPr="001F3648">
          <w:rPr>
            <w:rStyle w:val="Hyperlink"/>
            <w:rFonts w:hint="eastAsia"/>
            <w:color w:val="000000" w:themeColor="text1"/>
            <w:sz w:val="24"/>
            <w:szCs w:val="28"/>
            <w:u w:val="none"/>
            <w:rtl/>
            <w:lang w:bidi="ar-IQ"/>
          </w:rPr>
          <w:t>الموضوعي</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Toc275128338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674</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339" w:history="1">
        <w:r w:rsidR="00EF7221" w:rsidRPr="001F3648">
          <w:rPr>
            <w:rStyle w:val="Hyperlink"/>
            <w:rFonts w:hint="eastAsia"/>
            <w:color w:val="000000" w:themeColor="text1"/>
            <w:sz w:val="24"/>
            <w:szCs w:val="28"/>
            <w:u w:val="none"/>
            <w:rtl/>
            <w:lang w:bidi="ar-IQ"/>
          </w:rPr>
          <w:t>هدى</w:t>
        </w:r>
        <w:r w:rsidR="00EF7221" w:rsidRPr="001F3648">
          <w:rPr>
            <w:rStyle w:val="Hyperlink"/>
            <w:color w:val="000000" w:themeColor="text1"/>
            <w:sz w:val="24"/>
            <w:szCs w:val="28"/>
            <w:u w:val="none"/>
            <w:rtl/>
            <w:lang w:bidi="ar-IQ"/>
          </w:rPr>
          <w:t xml:space="preserve"> </w:t>
        </w:r>
        <w:r w:rsidR="00EF7221" w:rsidRPr="001F3648">
          <w:rPr>
            <w:rStyle w:val="Hyperlink"/>
            <w:rFonts w:hint="eastAsia"/>
            <w:color w:val="000000" w:themeColor="text1"/>
            <w:sz w:val="24"/>
            <w:szCs w:val="28"/>
            <w:u w:val="none"/>
            <w:rtl/>
            <w:lang w:bidi="ar-IQ"/>
          </w:rPr>
          <w:t>بركات</w:t>
        </w:r>
        <w:r w:rsidR="00EF7221" w:rsidRPr="001F3648">
          <w:rPr>
            <w:rStyle w:val="Hyperlink"/>
            <w:color w:val="000000" w:themeColor="text1"/>
            <w:sz w:val="24"/>
            <w:szCs w:val="28"/>
            <w:u w:val="none"/>
            <w:rtl/>
            <w:lang w:bidi="ar-IQ"/>
          </w:rPr>
          <w:t xml:space="preserve"> </w:t>
        </w:r>
        <w:r w:rsidR="00EF7221" w:rsidRPr="001F3648">
          <w:rPr>
            <w:rStyle w:val="Hyperlink"/>
            <w:rFonts w:hint="eastAsia"/>
            <w:color w:val="000000" w:themeColor="text1"/>
            <w:sz w:val="24"/>
            <w:szCs w:val="28"/>
            <w:u w:val="none"/>
            <w:rtl/>
            <w:lang w:bidi="ar-IQ"/>
          </w:rPr>
          <w:t>والعمل</w:t>
        </w:r>
        <w:r w:rsidR="00EF7221" w:rsidRPr="001F3648">
          <w:rPr>
            <w:rStyle w:val="Hyperlink"/>
            <w:color w:val="000000" w:themeColor="text1"/>
            <w:sz w:val="24"/>
            <w:szCs w:val="28"/>
            <w:u w:val="none"/>
            <w:rtl/>
            <w:lang w:bidi="ar-IQ"/>
          </w:rPr>
          <w:t xml:space="preserve"> </w:t>
        </w:r>
        <w:r w:rsidR="00EF7221" w:rsidRPr="001F3648">
          <w:rPr>
            <w:rStyle w:val="Hyperlink"/>
            <w:rFonts w:hint="eastAsia"/>
            <w:color w:val="000000" w:themeColor="text1"/>
            <w:sz w:val="24"/>
            <w:szCs w:val="28"/>
            <w:u w:val="none"/>
            <w:rtl/>
            <w:lang w:bidi="ar-IQ"/>
          </w:rPr>
          <w:t>الأدبي</w:t>
        </w:r>
        <w:r w:rsidR="00EF7221" w:rsidRPr="001F3648">
          <w:rPr>
            <w:rStyle w:val="Hyperlink"/>
            <w:color w:val="000000" w:themeColor="text1"/>
            <w:sz w:val="24"/>
            <w:szCs w:val="28"/>
            <w:u w:val="none"/>
            <w:rtl/>
            <w:lang w:bidi="ar-IQ"/>
          </w:rPr>
          <w:t xml:space="preserve"> </w:t>
        </w:r>
        <w:r w:rsidR="00EF7221" w:rsidRPr="001F3648">
          <w:rPr>
            <w:rStyle w:val="Hyperlink"/>
            <w:rFonts w:hint="eastAsia"/>
            <w:color w:val="000000" w:themeColor="text1"/>
            <w:sz w:val="24"/>
            <w:szCs w:val="28"/>
            <w:u w:val="none"/>
            <w:rtl/>
            <w:lang w:bidi="ar-IQ"/>
          </w:rPr>
          <w:t>القصصي</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Toc275128339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675</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340" w:history="1">
        <w:r w:rsidR="00EF7221" w:rsidRPr="001F3648">
          <w:rPr>
            <w:rStyle w:val="Hyperlink"/>
            <w:rFonts w:hint="eastAsia"/>
            <w:color w:val="000000" w:themeColor="text1"/>
            <w:sz w:val="24"/>
            <w:szCs w:val="28"/>
            <w:u w:val="none"/>
            <w:rtl/>
          </w:rPr>
          <w:t>وداد</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السكاكيني</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وغزارة</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الإنتاج</w:t>
        </w:r>
        <w:r w:rsidR="00EF7221" w:rsidRPr="001F3648">
          <w:rPr>
            <w:rStyle w:val="Hyperlink"/>
            <w:color w:val="000000" w:themeColor="text1"/>
            <w:sz w:val="24"/>
            <w:szCs w:val="28"/>
            <w:u w:val="none"/>
            <w:rtl/>
          </w:rPr>
          <w:t xml:space="preserve"> </w:t>
        </w:r>
        <w:r w:rsidR="00EF7221" w:rsidRPr="001F3648">
          <w:rPr>
            <w:rStyle w:val="Hyperlink"/>
            <w:rFonts w:hint="eastAsia"/>
            <w:color w:val="000000" w:themeColor="text1"/>
            <w:sz w:val="24"/>
            <w:szCs w:val="28"/>
            <w:u w:val="none"/>
            <w:rtl/>
          </w:rPr>
          <w:t>الأدبي</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Toc275128340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676</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341" w:history="1">
        <w:r w:rsidR="00EF7221" w:rsidRPr="001F3648">
          <w:rPr>
            <w:rStyle w:val="Hyperlink"/>
            <w:rFonts w:hint="eastAsia"/>
            <w:color w:val="000000" w:themeColor="text1"/>
            <w:sz w:val="24"/>
            <w:szCs w:val="28"/>
            <w:u w:val="none"/>
            <w:rtl/>
            <w:lang w:bidi="ar-IQ"/>
          </w:rPr>
          <w:t>فنّ</w:t>
        </w:r>
        <w:r w:rsidR="00EF7221" w:rsidRPr="001F3648">
          <w:rPr>
            <w:rStyle w:val="Hyperlink"/>
            <w:color w:val="000000" w:themeColor="text1"/>
            <w:sz w:val="24"/>
            <w:szCs w:val="28"/>
            <w:u w:val="none"/>
            <w:rtl/>
            <w:lang w:bidi="ar-IQ"/>
          </w:rPr>
          <w:t xml:space="preserve"> </w:t>
        </w:r>
        <w:r w:rsidR="00EF7221" w:rsidRPr="001F3648">
          <w:rPr>
            <w:rStyle w:val="Hyperlink"/>
            <w:rFonts w:hint="eastAsia"/>
            <w:color w:val="000000" w:themeColor="text1"/>
            <w:sz w:val="24"/>
            <w:szCs w:val="28"/>
            <w:u w:val="none"/>
            <w:rtl/>
            <w:lang w:bidi="ar-IQ"/>
          </w:rPr>
          <w:t>السرد</w:t>
        </w:r>
        <w:r w:rsidR="00EF7221" w:rsidRPr="001F3648">
          <w:rPr>
            <w:rStyle w:val="Hyperlink"/>
            <w:color w:val="000000" w:themeColor="text1"/>
            <w:sz w:val="24"/>
            <w:szCs w:val="28"/>
            <w:u w:val="none"/>
            <w:rtl/>
            <w:lang w:bidi="ar-IQ"/>
          </w:rPr>
          <w:t xml:space="preserve"> </w:t>
        </w:r>
        <w:r w:rsidR="00EF7221" w:rsidRPr="001F3648">
          <w:rPr>
            <w:rStyle w:val="Hyperlink"/>
            <w:rFonts w:hint="eastAsia"/>
            <w:color w:val="000000" w:themeColor="text1"/>
            <w:sz w:val="24"/>
            <w:szCs w:val="28"/>
            <w:u w:val="none"/>
            <w:rtl/>
            <w:lang w:bidi="ar-IQ"/>
          </w:rPr>
          <w:t>القصصي</w:t>
        </w:r>
        <w:r w:rsidR="00EF7221" w:rsidRPr="001F3648">
          <w:rPr>
            <w:rStyle w:val="Hyperlink"/>
            <w:color w:val="000000" w:themeColor="text1"/>
            <w:sz w:val="24"/>
            <w:szCs w:val="28"/>
            <w:u w:val="none"/>
            <w:rtl/>
            <w:lang w:bidi="ar-IQ"/>
          </w:rPr>
          <w:t xml:space="preserve"> </w:t>
        </w:r>
        <w:r w:rsidR="00EF7221" w:rsidRPr="001F3648">
          <w:rPr>
            <w:rStyle w:val="Hyperlink"/>
            <w:rFonts w:hint="eastAsia"/>
            <w:color w:val="000000" w:themeColor="text1"/>
            <w:sz w:val="24"/>
            <w:szCs w:val="28"/>
            <w:u w:val="none"/>
            <w:rtl/>
            <w:lang w:bidi="ar-IQ"/>
          </w:rPr>
          <w:t>العربي</w:t>
        </w:r>
        <w:r w:rsidR="00EF7221" w:rsidRPr="001F3648">
          <w:rPr>
            <w:rStyle w:val="Hyperlink"/>
            <w:rFonts w:hint="eastAsia"/>
            <w:color w:val="000000" w:themeColor="text1"/>
            <w:sz w:val="24"/>
            <w:szCs w:val="28"/>
            <w:u w:val="none"/>
            <w:rtl/>
          </w:rPr>
          <w:t>،</w:t>
        </w:r>
        <w:r w:rsidR="00EF7221" w:rsidRPr="001F3648">
          <w:rPr>
            <w:rStyle w:val="Hyperlink"/>
            <w:color w:val="000000" w:themeColor="text1"/>
            <w:sz w:val="24"/>
            <w:szCs w:val="28"/>
            <w:u w:val="none"/>
            <w:rtl/>
            <w:lang w:bidi="ar-IQ"/>
          </w:rPr>
          <w:t xml:space="preserve"> </w:t>
        </w:r>
        <w:r w:rsidR="00EF7221" w:rsidRPr="001F3648">
          <w:rPr>
            <w:rStyle w:val="Hyperlink"/>
            <w:rFonts w:hint="eastAsia"/>
            <w:color w:val="000000" w:themeColor="text1"/>
            <w:sz w:val="24"/>
            <w:szCs w:val="28"/>
            <w:u w:val="none"/>
            <w:rtl/>
            <w:lang w:bidi="ar-IQ"/>
          </w:rPr>
          <w:t>التاريخ</w:t>
        </w:r>
        <w:r w:rsidR="00EF7221" w:rsidRPr="001F3648">
          <w:rPr>
            <w:rStyle w:val="Hyperlink"/>
            <w:color w:val="000000" w:themeColor="text1"/>
            <w:sz w:val="24"/>
            <w:szCs w:val="28"/>
            <w:u w:val="none"/>
            <w:rtl/>
            <w:lang w:bidi="ar-IQ"/>
          </w:rPr>
          <w:t xml:space="preserve"> </w:t>
        </w:r>
        <w:r w:rsidR="00EF7221" w:rsidRPr="001F3648">
          <w:rPr>
            <w:rStyle w:val="Hyperlink"/>
            <w:rFonts w:hint="eastAsia"/>
            <w:color w:val="000000" w:themeColor="text1"/>
            <w:sz w:val="24"/>
            <w:szCs w:val="28"/>
            <w:u w:val="none"/>
            <w:rtl/>
            <w:lang w:bidi="ar-IQ"/>
          </w:rPr>
          <w:t>والتطوّر</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Toc275128341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678</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342" w:history="1">
        <w:r w:rsidR="00EF7221" w:rsidRPr="001F3648">
          <w:rPr>
            <w:rStyle w:val="Hyperlink"/>
            <w:rFonts w:hint="eastAsia"/>
            <w:color w:val="000000" w:themeColor="text1"/>
            <w:sz w:val="24"/>
            <w:szCs w:val="28"/>
            <w:u w:val="none"/>
            <w:rtl/>
            <w:lang w:bidi="ar-IQ"/>
          </w:rPr>
          <w:t>عناصر</w:t>
        </w:r>
        <w:r w:rsidR="00EF7221" w:rsidRPr="001F3648">
          <w:rPr>
            <w:rStyle w:val="Hyperlink"/>
            <w:color w:val="000000" w:themeColor="text1"/>
            <w:sz w:val="24"/>
            <w:szCs w:val="28"/>
            <w:u w:val="none"/>
            <w:rtl/>
            <w:lang w:bidi="ar-IQ"/>
          </w:rPr>
          <w:t xml:space="preserve"> </w:t>
        </w:r>
        <w:r w:rsidR="00EF7221" w:rsidRPr="001F3648">
          <w:rPr>
            <w:rStyle w:val="Hyperlink"/>
            <w:rFonts w:hint="eastAsia"/>
            <w:color w:val="000000" w:themeColor="text1"/>
            <w:sz w:val="24"/>
            <w:szCs w:val="28"/>
            <w:u w:val="none"/>
            <w:rtl/>
            <w:lang w:bidi="ar-IQ"/>
          </w:rPr>
          <w:t>القصّة</w:t>
        </w:r>
        <w:r w:rsidR="00EF7221" w:rsidRPr="001F3648">
          <w:rPr>
            <w:rStyle w:val="Hyperlink"/>
            <w:color w:val="000000" w:themeColor="text1"/>
            <w:sz w:val="24"/>
            <w:szCs w:val="28"/>
            <w:u w:val="none"/>
            <w:rtl/>
            <w:lang w:bidi="ar-IQ"/>
          </w:rPr>
          <w:t xml:space="preserve"> </w:t>
        </w:r>
        <w:r w:rsidR="00EF7221" w:rsidRPr="001F3648">
          <w:rPr>
            <w:rStyle w:val="Hyperlink"/>
            <w:rFonts w:hint="eastAsia"/>
            <w:color w:val="000000" w:themeColor="text1"/>
            <w:sz w:val="24"/>
            <w:szCs w:val="28"/>
            <w:u w:val="none"/>
            <w:rtl/>
            <w:lang w:bidi="ar-IQ"/>
          </w:rPr>
          <w:t>وضروراتها</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Toc275128342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679</w:t>
        </w:r>
        <w:r w:rsidRPr="001F3648">
          <w:rPr>
            <w:webHidden/>
            <w:rtl/>
          </w:rPr>
          <w:fldChar w:fldCharType="end"/>
        </w:r>
      </w:hyperlink>
    </w:p>
    <w:p w:rsidR="00EF7221" w:rsidRPr="001F3648" w:rsidRDefault="00A6422F" w:rsidP="0008530B">
      <w:pPr>
        <w:pStyle w:val="TOC2"/>
        <w:rPr>
          <w:rFonts w:asciiTheme="minorHAnsi" w:eastAsiaTheme="minorEastAsia" w:hAnsiTheme="minorHAnsi" w:cstheme="minorBidi"/>
          <w:szCs w:val="22"/>
          <w:rtl/>
          <w:lang w:eastAsia="en-US"/>
        </w:rPr>
      </w:pPr>
      <w:hyperlink w:anchor="_Toc275128343" w:history="1">
        <w:r w:rsidR="00EF7221" w:rsidRPr="001F3648">
          <w:rPr>
            <w:rStyle w:val="Hyperlink"/>
            <w:rFonts w:hint="eastAsia"/>
            <w:color w:val="000000" w:themeColor="text1"/>
            <w:sz w:val="24"/>
            <w:szCs w:val="28"/>
            <w:u w:val="none"/>
            <w:rtl/>
            <w:lang w:bidi="fa-IR"/>
          </w:rPr>
          <w:t>استنتاج</w:t>
        </w:r>
        <w:r w:rsidR="00EF7221" w:rsidRPr="001F3648">
          <w:rPr>
            <w:webHidden/>
            <w:rtl/>
          </w:rPr>
          <w:tab/>
        </w:r>
        <w:r w:rsidRPr="001F3648">
          <w:rPr>
            <w:webHidden/>
            <w:rtl/>
          </w:rPr>
          <w:fldChar w:fldCharType="begin"/>
        </w:r>
        <w:r w:rsidR="00EF7221" w:rsidRPr="001F3648">
          <w:rPr>
            <w:webHidden/>
            <w:rtl/>
          </w:rPr>
          <w:instrText xml:space="preserve"> </w:instrText>
        </w:r>
        <w:r w:rsidR="00EF7221" w:rsidRPr="001F3648">
          <w:rPr>
            <w:webHidden/>
          </w:rPr>
          <w:instrText>PAGEREF</w:instrText>
        </w:r>
        <w:r w:rsidR="00EF7221" w:rsidRPr="001F3648">
          <w:rPr>
            <w:webHidden/>
            <w:rtl/>
          </w:rPr>
          <w:instrText xml:space="preserve"> _</w:instrText>
        </w:r>
        <w:r w:rsidR="00EF7221" w:rsidRPr="001F3648">
          <w:rPr>
            <w:webHidden/>
          </w:rPr>
          <w:instrText>Toc275128343 \h</w:instrText>
        </w:r>
        <w:r w:rsidR="00EF7221" w:rsidRPr="001F3648">
          <w:rPr>
            <w:webHidden/>
            <w:rtl/>
          </w:rPr>
          <w:instrText xml:space="preserve"> </w:instrText>
        </w:r>
        <w:r w:rsidRPr="001F3648">
          <w:rPr>
            <w:webHidden/>
            <w:rtl/>
          </w:rPr>
        </w:r>
        <w:r w:rsidRPr="001F3648">
          <w:rPr>
            <w:webHidden/>
            <w:rtl/>
          </w:rPr>
          <w:fldChar w:fldCharType="separate"/>
        </w:r>
        <w:r w:rsidR="0071680A">
          <w:rPr>
            <w:webHidden/>
            <w:rtl/>
          </w:rPr>
          <w:t>684</w:t>
        </w:r>
        <w:r w:rsidRPr="001F3648">
          <w:rPr>
            <w:webHidden/>
            <w:rtl/>
          </w:rPr>
          <w:fldChar w:fldCharType="end"/>
        </w:r>
      </w:hyperlink>
    </w:p>
    <w:p w:rsidR="00A87975" w:rsidRPr="001F3648" w:rsidRDefault="00A6422F" w:rsidP="00301CDD">
      <w:pPr>
        <w:pStyle w:val="TOC1"/>
        <w:spacing w:line="204" w:lineRule="auto"/>
        <w:rPr>
          <w:rStyle w:val="Hyperlink"/>
          <w:color w:val="000000" w:themeColor="text1"/>
          <w:u w:val="none"/>
        </w:rPr>
        <w:sectPr w:rsidR="00A87975" w:rsidRPr="001F3648" w:rsidSect="004652AB">
          <w:headerReference w:type="even" r:id="rId136"/>
          <w:headerReference w:type="default" r:id="rId137"/>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pPr>
      <w:hyperlink w:anchor="_Toc275128344" w:history="1">
        <w:r w:rsidR="00EF7221" w:rsidRPr="001F3648">
          <w:rPr>
            <w:rStyle w:val="Hyperlink"/>
            <w:rFonts w:hint="eastAsia"/>
            <w:color w:val="000000" w:themeColor="text1"/>
            <w:u w:val="none"/>
            <w:rtl/>
          </w:rPr>
          <w:t>الفهرس</w:t>
        </w:r>
        <w:r w:rsidR="00EF7221" w:rsidRPr="001F3648">
          <w:rPr>
            <w:rFonts w:ascii="Calibri" w:eastAsia="Times New Roman" w:hAnsi="Calibri" w:cs="Mosawi"/>
            <w:webHidden/>
            <w:color w:val="000000" w:themeColor="text1"/>
            <w:sz w:val="22"/>
            <w:szCs w:val="26"/>
            <w:rtl/>
            <w:lang w:eastAsia="en-US"/>
          </w:rPr>
          <w:tab/>
        </w:r>
        <w:r w:rsidR="00301CDD">
          <w:rPr>
            <w:rFonts w:ascii="Calibri" w:eastAsia="Times New Roman" w:hAnsi="Calibri" w:cs="Mosawi" w:hint="cs"/>
            <w:webHidden/>
            <w:color w:val="000000" w:themeColor="text1"/>
            <w:sz w:val="22"/>
            <w:szCs w:val="26"/>
            <w:rtl/>
            <w:lang w:eastAsia="en-US"/>
          </w:rPr>
          <w:t>687</w:t>
        </w:r>
      </w:hyperlink>
    </w:p>
    <w:p w:rsidR="00EF7221" w:rsidRPr="001F3648" w:rsidRDefault="00EF7221" w:rsidP="001F3648">
      <w:pPr>
        <w:pStyle w:val="TOC1"/>
        <w:rPr>
          <w:rFonts w:asciiTheme="minorHAnsi" w:eastAsiaTheme="minorEastAsia" w:hAnsiTheme="minorHAnsi" w:cstheme="minorBidi"/>
          <w:color w:val="000000" w:themeColor="text1"/>
          <w:sz w:val="22"/>
          <w:szCs w:val="22"/>
          <w:rtl/>
          <w:lang w:eastAsia="en-US"/>
        </w:rPr>
      </w:pPr>
    </w:p>
    <w:p w:rsidR="00CA7E99" w:rsidRPr="00A87975" w:rsidRDefault="00A6422F" w:rsidP="001F3648">
      <w:pPr>
        <w:pStyle w:val="ac"/>
        <w:spacing w:line="192" w:lineRule="auto"/>
        <w:ind w:firstLine="0"/>
        <w:rPr>
          <w:rFonts w:cs="AF_Najed"/>
          <w:noProof/>
          <w:color w:val="000000" w:themeColor="text1"/>
          <w:sz w:val="26"/>
          <w:szCs w:val="32"/>
          <w:lang w:eastAsia="ar-SA"/>
        </w:rPr>
      </w:pPr>
      <w:r w:rsidRPr="001F3648">
        <w:rPr>
          <w:rFonts w:cs="AF_Najed"/>
          <w:noProof/>
          <w:color w:val="000000" w:themeColor="text1"/>
          <w:szCs w:val="34"/>
          <w:rtl/>
        </w:rPr>
        <w:fldChar w:fldCharType="end"/>
      </w:r>
    </w:p>
    <w:p w:rsidR="003E2338" w:rsidRPr="00A87975" w:rsidRDefault="003E2338" w:rsidP="003E2338">
      <w:pPr>
        <w:widowControl/>
        <w:ind w:firstLine="0"/>
        <w:outlineLvl w:val="9"/>
        <w:rPr>
          <w:rFonts w:ascii="Calibri" w:hAnsi="Calibri" w:cs="AF_Najed"/>
          <w:noProof/>
          <w:color w:val="000000" w:themeColor="text1"/>
          <w:szCs w:val="34"/>
          <w:rtl/>
          <w:lang w:eastAsia="ar-SA"/>
        </w:rPr>
      </w:pPr>
      <w:r w:rsidRPr="00A87975">
        <w:rPr>
          <w:rFonts w:ascii="Calibri" w:hAnsi="Calibri" w:cs="AF_Najed"/>
          <w:noProof/>
          <w:color w:val="000000" w:themeColor="text1"/>
          <w:szCs w:val="34"/>
          <w:lang w:eastAsia="ar-SA"/>
        </w:rPr>
        <w:br w:type="page"/>
      </w:r>
    </w:p>
    <w:p w:rsidR="003E2338" w:rsidRPr="00A87975" w:rsidRDefault="003E2338" w:rsidP="003E2338">
      <w:pPr>
        <w:widowControl/>
        <w:ind w:firstLine="0"/>
        <w:outlineLvl w:val="9"/>
        <w:rPr>
          <w:rFonts w:ascii="Calibri" w:hAnsi="Calibri" w:cs="AF_Najed"/>
          <w:noProof/>
          <w:color w:val="000000" w:themeColor="text1"/>
          <w:szCs w:val="34"/>
          <w:rtl/>
          <w:lang w:eastAsia="ar-SA"/>
        </w:rPr>
      </w:pPr>
    </w:p>
    <w:p w:rsidR="003E2338" w:rsidRPr="00A87975" w:rsidRDefault="003E2338" w:rsidP="003E2338">
      <w:pPr>
        <w:widowControl/>
        <w:ind w:firstLine="0"/>
        <w:outlineLvl w:val="9"/>
        <w:rPr>
          <w:rFonts w:ascii="Calibri" w:hAnsi="Calibri" w:cs="AF_Najed"/>
          <w:noProof/>
          <w:color w:val="000000" w:themeColor="text1"/>
          <w:szCs w:val="34"/>
          <w:rtl/>
          <w:lang w:eastAsia="ar-SA"/>
        </w:rPr>
      </w:pPr>
    </w:p>
    <w:p w:rsidR="003E2338" w:rsidRPr="00A87975" w:rsidRDefault="003E2338" w:rsidP="003E2338">
      <w:pPr>
        <w:widowControl/>
        <w:ind w:firstLine="0"/>
        <w:outlineLvl w:val="9"/>
        <w:rPr>
          <w:rFonts w:ascii="Calibri" w:hAnsi="Calibri" w:cs="AF_Najed"/>
          <w:noProof/>
          <w:color w:val="000000" w:themeColor="text1"/>
          <w:szCs w:val="34"/>
          <w:rtl/>
          <w:lang w:eastAsia="ar-SA"/>
        </w:rPr>
      </w:pPr>
    </w:p>
    <w:p w:rsidR="003E2338" w:rsidRPr="00A87975" w:rsidRDefault="003E2338" w:rsidP="003E2338">
      <w:pPr>
        <w:widowControl/>
        <w:ind w:firstLine="0"/>
        <w:outlineLvl w:val="9"/>
        <w:rPr>
          <w:rFonts w:ascii="Calibri" w:hAnsi="Calibri" w:cs="AF_Najed"/>
          <w:noProof/>
          <w:color w:val="000000" w:themeColor="text1"/>
          <w:szCs w:val="34"/>
          <w:rtl/>
          <w:lang w:eastAsia="ar-SA"/>
        </w:rPr>
      </w:pPr>
    </w:p>
    <w:p w:rsidR="003E2338" w:rsidRPr="00A87975" w:rsidRDefault="003E2338" w:rsidP="003E2338">
      <w:pPr>
        <w:widowControl/>
        <w:ind w:firstLine="0"/>
        <w:outlineLvl w:val="9"/>
        <w:rPr>
          <w:rFonts w:ascii="Calibri" w:hAnsi="Calibri" w:cs="AF_Najed"/>
          <w:noProof/>
          <w:color w:val="000000" w:themeColor="text1"/>
          <w:szCs w:val="34"/>
          <w:rtl/>
          <w:lang w:eastAsia="ar-SA"/>
        </w:rPr>
      </w:pPr>
    </w:p>
    <w:p w:rsidR="003E2338" w:rsidRPr="00A87975" w:rsidRDefault="003E2338" w:rsidP="003E2338">
      <w:pPr>
        <w:widowControl/>
        <w:ind w:firstLine="0"/>
        <w:outlineLvl w:val="9"/>
        <w:rPr>
          <w:rFonts w:ascii="Calibri" w:hAnsi="Calibri" w:cs="AF_Najed"/>
          <w:noProof/>
          <w:color w:val="000000" w:themeColor="text1"/>
          <w:szCs w:val="34"/>
          <w:rtl/>
          <w:lang w:eastAsia="ar-SA"/>
        </w:rPr>
      </w:pPr>
    </w:p>
    <w:p w:rsidR="003E2338" w:rsidRPr="00A87975" w:rsidRDefault="003E2338" w:rsidP="003E2338">
      <w:pPr>
        <w:widowControl/>
        <w:ind w:firstLine="0"/>
        <w:outlineLvl w:val="9"/>
        <w:rPr>
          <w:rFonts w:ascii="Calibri" w:hAnsi="Calibri" w:cs="AF_Najed"/>
          <w:noProof/>
          <w:color w:val="000000" w:themeColor="text1"/>
          <w:szCs w:val="34"/>
          <w:rtl/>
          <w:lang w:eastAsia="ar-SA"/>
        </w:rPr>
      </w:pPr>
    </w:p>
    <w:p w:rsidR="00CA7E99" w:rsidRPr="00A87975" w:rsidRDefault="003E2338" w:rsidP="003E2338">
      <w:pPr>
        <w:pStyle w:val="aff2"/>
        <w:rPr>
          <w:noProof/>
          <w:color w:val="000000" w:themeColor="text1"/>
          <w:sz w:val="36"/>
          <w:szCs w:val="54"/>
          <w:rtl/>
          <w:lang w:eastAsia="ar-SA"/>
        </w:rPr>
      </w:pPr>
      <w:bookmarkStart w:id="722" w:name="_Toc275128345"/>
      <w:r w:rsidRPr="00A87975">
        <w:rPr>
          <w:rFonts w:hint="cs"/>
          <w:noProof/>
          <w:color w:val="000000" w:themeColor="text1"/>
          <w:sz w:val="36"/>
          <w:szCs w:val="54"/>
          <w:rtl/>
          <w:lang w:eastAsia="ar-SA"/>
        </w:rPr>
        <w:t xml:space="preserve">صدر من سلسلة </w:t>
      </w:r>
      <w:r w:rsidR="00D90AFE" w:rsidRPr="00A87975">
        <w:rPr>
          <w:rFonts w:hint="cs"/>
          <w:noProof/>
          <w:color w:val="000000" w:themeColor="text1"/>
          <w:sz w:val="36"/>
          <w:szCs w:val="54"/>
          <w:rtl/>
          <w:lang w:eastAsia="ar-SA"/>
        </w:rPr>
        <w:t xml:space="preserve">كتاب </w:t>
      </w:r>
      <w:r w:rsidRPr="00A87975">
        <w:rPr>
          <w:rFonts w:hint="cs"/>
          <w:noProof/>
          <w:color w:val="000000" w:themeColor="text1"/>
          <w:sz w:val="36"/>
          <w:szCs w:val="54"/>
          <w:rtl/>
          <w:lang w:eastAsia="ar-SA"/>
        </w:rPr>
        <w:t>نصوص معاصرة</w:t>
      </w:r>
      <w:bookmarkEnd w:id="722"/>
    </w:p>
    <w:p w:rsidR="003E2338" w:rsidRPr="00A87975" w:rsidRDefault="003E2338" w:rsidP="003E2338">
      <w:pPr>
        <w:pStyle w:val="aff2"/>
        <w:rPr>
          <w:noProof/>
          <w:color w:val="000000" w:themeColor="text1"/>
          <w:sz w:val="10"/>
          <w:szCs w:val="28"/>
          <w:rtl/>
          <w:lang w:eastAsia="ar-SA"/>
        </w:rPr>
      </w:pPr>
    </w:p>
    <w:p w:rsidR="003E2338" w:rsidRPr="00A87975" w:rsidRDefault="003E2338" w:rsidP="003E2338">
      <w:pPr>
        <w:widowControl/>
        <w:ind w:firstLine="0"/>
        <w:jc w:val="center"/>
        <w:outlineLvl w:val="9"/>
        <w:rPr>
          <w:rFonts w:ascii="Calibri" w:hAnsi="Calibri" w:cs="AF_Najed"/>
          <w:noProof/>
          <w:color w:val="000000" w:themeColor="text1"/>
          <w:szCs w:val="34"/>
          <w:rtl/>
          <w:lang w:eastAsia="ar-SA"/>
        </w:rPr>
      </w:pPr>
    </w:p>
    <w:p w:rsidR="003E2338" w:rsidRPr="00A87975" w:rsidRDefault="003E2338" w:rsidP="003E2338">
      <w:pPr>
        <w:widowControl/>
        <w:ind w:firstLine="0"/>
        <w:jc w:val="center"/>
        <w:outlineLvl w:val="9"/>
        <w:rPr>
          <w:rFonts w:ascii="Calibri" w:hAnsi="Calibri" w:cs="AF_Najed"/>
          <w:noProof/>
          <w:color w:val="000000" w:themeColor="text1"/>
          <w:szCs w:val="34"/>
          <w:rtl/>
          <w:lang w:eastAsia="ar-SA"/>
        </w:rPr>
      </w:pPr>
    </w:p>
    <w:p w:rsidR="003E2338" w:rsidRPr="00A87975" w:rsidRDefault="003E2338" w:rsidP="009B3A7D">
      <w:pPr>
        <w:widowControl/>
        <w:spacing w:line="384" w:lineRule="auto"/>
        <w:ind w:firstLine="567"/>
        <w:outlineLvl w:val="9"/>
        <w:rPr>
          <w:rFonts w:ascii="Calibri" w:hAnsi="Calibri" w:cs="AF_Najed"/>
          <w:noProof/>
          <w:color w:val="000000" w:themeColor="text1"/>
          <w:sz w:val="30"/>
          <w:szCs w:val="40"/>
          <w:rtl/>
          <w:lang w:eastAsia="ar-SA"/>
        </w:rPr>
      </w:pPr>
      <w:r w:rsidRPr="00A87975">
        <w:rPr>
          <w:rFonts w:ascii="Calibri" w:hAnsi="Calibri" w:cs="AF_Najed" w:hint="cs"/>
          <w:noProof/>
          <w:color w:val="000000" w:themeColor="text1"/>
          <w:sz w:val="30"/>
          <w:szCs w:val="40"/>
          <w:rtl/>
          <w:lang w:eastAsia="ar-SA"/>
        </w:rPr>
        <w:t>1ـ المدرسة التفكيكية وجدل المعرفة الدينية.</w:t>
      </w:r>
    </w:p>
    <w:p w:rsidR="003E2338" w:rsidRPr="00A87975" w:rsidRDefault="003E2338" w:rsidP="009B3A7D">
      <w:pPr>
        <w:widowControl/>
        <w:spacing w:line="384" w:lineRule="auto"/>
        <w:ind w:firstLine="567"/>
        <w:outlineLvl w:val="9"/>
        <w:rPr>
          <w:rFonts w:ascii="Calibri" w:hAnsi="Calibri" w:cs="AF_Najed"/>
          <w:noProof/>
          <w:color w:val="000000" w:themeColor="text1"/>
          <w:sz w:val="30"/>
          <w:szCs w:val="40"/>
          <w:rtl/>
          <w:lang w:eastAsia="ar-SA"/>
        </w:rPr>
      </w:pPr>
      <w:r w:rsidRPr="00A87975">
        <w:rPr>
          <w:rFonts w:ascii="Calibri" w:hAnsi="Calibri" w:cs="AF_Najed" w:hint="cs"/>
          <w:noProof/>
          <w:color w:val="000000" w:themeColor="text1"/>
          <w:sz w:val="30"/>
          <w:szCs w:val="40"/>
          <w:rtl/>
          <w:lang w:eastAsia="ar-SA"/>
        </w:rPr>
        <w:t>2ـ اتجاهات العقلانية في الكلام الإسلامي.</w:t>
      </w:r>
    </w:p>
    <w:p w:rsidR="003E2338" w:rsidRPr="00A87975" w:rsidRDefault="003E2338" w:rsidP="009B3A7D">
      <w:pPr>
        <w:widowControl/>
        <w:spacing w:line="384" w:lineRule="auto"/>
        <w:ind w:firstLine="567"/>
        <w:outlineLvl w:val="9"/>
        <w:rPr>
          <w:rFonts w:ascii="Calibri" w:hAnsi="Calibri" w:cs="AF_Najed"/>
          <w:noProof/>
          <w:color w:val="000000" w:themeColor="text1"/>
          <w:sz w:val="30"/>
          <w:szCs w:val="40"/>
          <w:rtl/>
          <w:lang w:eastAsia="ar-SA"/>
        </w:rPr>
      </w:pPr>
      <w:r w:rsidRPr="00A87975">
        <w:rPr>
          <w:rFonts w:ascii="Calibri" w:hAnsi="Calibri" w:cs="AF_Najed" w:hint="cs"/>
          <w:noProof/>
          <w:color w:val="000000" w:themeColor="text1"/>
          <w:sz w:val="30"/>
          <w:szCs w:val="40"/>
          <w:rtl/>
          <w:lang w:eastAsia="ar-SA"/>
        </w:rPr>
        <w:t>3ـ المرأة في الفكر الإسلامي المعاصر، قضايا وإشكاليات.</w:t>
      </w:r>
    </w:p>
    <w:p w:rsidR="003E2338" w:rsidRPr="00A87975" w:rsidRDefault="003E2338" w:rsidP="00D90AFE">
      <w:pPr>
        <w:widowControl/>
        <w:spacing w:line="384" w:lineRule="auto"/>
        <w:ind w:firstLine="567"/>
        <w:outlineLvl w:val="9"/>
        <w:rPr>
          <w:rFonts w:ascii="Calibri" w:hAnsi="Calibri" w:cs="AF_Najed"/>
          <w:noProof/>
          <w:color w:val="000000" w:themeColor="text1"/>
          <w:sz w:val="30"/>
          <w:szCs w:val="40"/>
          <w:rtl/>
          <w:lang w:eastAsia="ar-SA"/>
        </w:rPr>
      </w:pPr>
      <w:r w:rsidRPr="00A87975">
        <w:rPr>
          <w:rFonts w:ascii="Calibri" w:hAnsi="Calibri" w:cs="AF_Najed" w:hint="cs"/>
          <w:noProof/>
          <w:color w:val="000000" w:themeColor="text1"/>
          <w:sz w:val="30"/>
          <w:szCs w:val="40"/>
          <w:rtl/>
          <w:lang w:eastAsia="ar-SA"/>
        </w:rPr>
        <w:t>4ـ الشعا</w:t>
      </w:r>
      <w:r w:rsidR="00D90AFE" w:rsidRPr="00A87975">
        <w:rPr>
          <w:rFonts w:ascii="Calibri" w:hAnsi="Calibri" w:cs="AF_Najed" w:hint="cs"/>
          <w:noProof/>
          <w:color w:val="000000" w:themeColor="text1"/>
          <w:sz w:val="30"/>
          <w:szCs w:val="40"/>
          <w:rtl/>
          <w:lang w:eastAsia="ar-SA"/>
        </w:rPr>
        <w:t>ئر الحسينية، التاريخ الجدل والمواقف.</w:t>
      </w:r>
    </w:p>
    <w:p w:rsidR="003E2338" w:rsidRPr="00A87975" w:rsidRDefault="003E2338" w:rsidP="009B3A7D">
      <w:pPr>
        <w:widowControl/>
        <w:spacing w:line="384" w:lineRule="auto"/>
        <w:ind w:firstLine="567"/>
        <w:outlineLvl w:val="9"/>
        <w:rPr>
          <w:rFonts w:ascii="Calibri" w:hAnsi="Calibri" w:cs="AF_Najed"/>
          <w:noProof/>
          <w:color w:val="000000" w:themeColor="text1"/>
          <w:sz w:val="30"/>
          <w:szCs w:val="40"/>
          <w:rtl/>
          <w:lang w:eastAsia="ar-SA"/>
        </w:rPr>
      </w:pPr>
      <w:r w:rsidRPr="00A87975">
        <w:rPr>
          <w:rFonts w:ascii="Calibri" w:hAnsi="Calibri" w:cs="AF_Najed" w:hint="cs"/>
          <w:noProof/>
          <w:color w:val="000000" w:themeColor="text1"/>
          <w:sz w:val="30"/>
          <w:szCs w:val="40"/>
          <w:rtl/>
          <w:lang w:eastAsia="ar-SA"/>
        </w:rPr>
        <w:t>5ـ م</w:t>
      </w:r>
      <w:r w:rsidR="00913005" w:rsidRPr="00A87975">
        <w:rPr>
          <w:rFonts w:ascii="Calibri" w:hAnsi="Calibri" w:cs="AF_Najed" w:hint="cs"/>
          <w:noProof/>
          <w:color w:val="000000" w:themeColor="text1"/>
          <w:sz w:val="30"/>
          <w:szCs w:val="40"/>
          <w:rtl/>
          <w:lang w:eastAsia="ar-SA"/>
        </w:rPr>
        <w:t>ط</w:t>
      </w:r>
      <w:r w:rsidRPr="00A87975">
        <w:rPr>
          <w:rFonts w:ascii="Calibri" w:hAnsi="Calibri" w:cs="AF_Najed" w:hint="cs"/>
          <w:noProof/>
          <w:color w:val="000000" w:themeColor="text1"/>
          <w:sz w:val="30"/>
          <w:szCs w:val="40"/>
          <w:rtl/>
          <w:lang w:eastAsia="ar-SA"/>
        </w:rPr>
        <w:t>ارحات في الفكر السياسي الإسلامي.</w:t>
      </w:r>
    </w:p>
    <w:p w:rsidR="003E2338" w:rsidRPr="00A87975" w:rsidRDefault="003E2338" w:rsidP="009B3A7D">
      <w:pPr>
        <w:widowControl/>
        <w:spacing w:line="384" w:lineRule="auto"/>
        <w:ind w:firstLine="567"/>
        <w:outlineLvl w:val="9"/>
        <w:rPr>
          <w:rFonts w:ascii="Calibri" w:hAnsi="Calibri" w:cs="AF_Najed"/>
          <w:noProof/>
          <w:color w:val="000000" w:themeColor="text1"/>
          <w:sz w:val="30"/>
          <w:szCs w:val="40"/>
          <w:rtl/>
          <w:lang w:eastAsia="ar-SA"/>
        </w:rPr>
      </w:pPr>
      <w:r w:rsidRPr="00A87975">
        <w:rPr>
          <w:rFonts w:ascii="Calibri" w:hAnsi="Calibri" w:cs="AF_Najed" w:hint="cs"/>
          <w:noProof/>
          <w:color w:val="000000" w:themeColor="text1"/>
          <w:sz w:val="30"/>
          <w:szCs w:val="40"/>
          <w:rtl/>
          <w:lang w:eastAsia="ar-SA"/>
        </w:rPr>
        <w:t>6ـ سؤال التقريب بين المذاهب، أوراق جادّة</w:t>
      </w:r>
      <w:r w:rsidR="00D90AFE" w:rsidRPr="00A87975">
        <w:rPr>
          <w:rFonts w:ascii="Calibri" w:hAnsi="Calibri" w:cs="AF_Najed" w:hint="cs"/>
          <w:noProof/>
          <w:color w:val="000000" w:themeColor="text1"/>
          <w:sz w:val="30"/>
          <w:szCs w:val="40"/>
          <w:rtl/>
          <w:lang w:eastAsia="ar-SA"/>
        </w:rPr>
        <w:t>.</w:t>
      </w:r>
    </w:p>
    <w:p w:rsidR="00D90AFE" w:rsidRPr="00A87975" w:rsidRDefault="00D90AFE" w:rsidP="009B3A7D">
      <w:pPr>
        <w:widowControl/>
        <w:spacing w:line="384" w:lineRule="auto"/>
        <w:ind w:firstLine="567"/>
        <w:outlineLvl w:val="9"/>
        <w:rPr>
          <w:rFonts w:ascii="Calibri" w:hAnsi="Calibri" w:cs="AF_Najed"/>
          <w:noProof/>
          <w:color w:val="000000" w:themeColor="text1"/>
          <w:sz w:val="30"/>
          <w:szCs w:val="40"/>
          <w:rtl/>
          <w:lang w:eastAsia="ar-SA"/>
        </w:rPr>
      </w:pPr>
      <w:r w:rsidRPr="00A87975">
        <w:rPr>
          <w:rFonts w:ascii="Calibri" w:hAnsi="Calibri" w:cs="AF_Najed" w:hint="cs"/>
          <w:noProof/>
          <w:color w:val="000000" w:themeColor="text1"/>
          <w:sz w:val="30"/>
          <w:szCs w:val="40"/>
          <w:rtl/>
          <w:lang w:eastAsia="ar-SA"/>
        </w:rPr>
        <w:t>7ـ أسلمة العلوم وقضايا العلاقة بين الحوزة والجامعة.</w:t>
      </w:r>
    </w:p>
    <w:sectPr w:rsidR="00D90AFE" w:rsidRPr="00A87975" w:rsidSect="004652AB">
      <w:headerReference w:type="even" r:id="rId138"/>
      <w:footnotePr>
        <w:numRestart w:val="eachPage"/>
      </w:footnotePr>
      <w:endnotePr>
        <w:numFmt w:val="decimal"/>
        <w:numRestart w:val="eachSect"/>
      </w:endnotePr>
      <w:type w:val="continuous"/>
      <w:pgSz w:w="11906" w:h="16838" w:code="9"/>
      <w:pgMar w:top="2268" w:right="2268" w:bottom="2693" w:left="2268" w:header="1701" w:footer="0"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3353" w:rsidRDefault="00F73353" w:rsidP="000A1C19">
      <w:pPr>
        <w:spacing w:line="240" w:lineRule="auto"/>
      </w:pPr>
      <w:r>
        <w:separator/>
      </w:r>
    </w:p>
  </w:endnote>
  <w:endnote w:type="continuationSeparator" w:id="0">
    <w:p w:rsidR="00F73353" w:rsidRDefault="00F73353" w:rsidP="000A1C1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osawi">
    <w:panose1 w:val="02000000000000000000"/>
    <w:charset w:val="00"/>
    <w:family w:val="auto"/>
    <w:pitch w:val="variable"/>
    <w:sig w:usb0="00002007" w:usb1="80000000" w:usb2="00000008" w:usb3="00000000" w:csb0="00000043"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no Pro Display">
    <w:panose1 w:val="00000000000000000000"/>
    <w:charset w:val="00"/>
    <w:family w:val="roman"/>
    <w:notTrueType/>
    <w:pitch w:val="variable"/>
    <w:sig w:usb0="60000287" w:usb1="00000001" w:usb2="00000000" w:usb3="00000000" w:csb0="0000019F" w:csb1="00000000"/>
  </w:font>
  <w:font w:name="AL-Mateen">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HeshamNormal">
    <w:panose1 w:val="00000000000000000000"/>
    <w:charset w:val="B2"/>
    <w:family w:val="auto"/>
    <w:pitch w:val="variable"/>
    <w:sig w:usb0="00002001" w:usb1="00000000" w:usb2="00000000" w:usb3="00000000" w:csb0="00000040" w:csb1="00000000"/>
  </w:font>
  <w:font w:name="DanaFajr">
    <w:panose1 w:val="00000000000000000000"/>
    <w:charset w:val="B2"/>
    <w:family w:val="auto"/>
    <w:pitch w:val="variable"/>
    <w:sig w:usb0="00002001"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Malik Lt BT">
    <w:panose1 w:val="0000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Taher">
    <w:panose1 w:val="00000400000000000000"/>
    <w:charset w:val="B2"/>
    <w:family w:val="auto"/>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Abz-3 (Yagut)">
    <w:panose1 w:val="000004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080E0000" w:usb2="00000010" w:usb3="00000000" w:csb0="00040001" w:csb1="00000000"/>
  </w:font>
  <w:font w:name="Wasit5 Normal">
    <w:charset w:val="B2"/>
    <w:family w:val="auto"/>
    <w:pitch w:val="variable"/>
    <w:sig w:usb0="00002001" w:usb1="00000000" w:usb2="00000000" w:usb3="00000000" w:csb0="00000040" w:csb1="00000000"/>
  </w:font>
  <w:font w:name="OthmaniNorm">
    <w:charset w:val="B2"/>
    <w:family w:val="auto"/>
    <w:pitch w:val="variable"/>
    <w:sig w:usb0="00002001" w:usb1="00000000" w:usb2="00000000" w:usb3="00000000" w:csb0="00000040" w:csb1="00000000"/>
  </w:font>
  <w:font w:name="Arabic Transparent">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PT Bold Heading">
    <w:panose1 w:val="00000000000000000000"/>
    <w:charset w:val="B2"/>
    <w:family w:val="auto"/>
    <w:pitch w:val="variable"/>
    <w:sig w:usb0="00002001" w:usb1="00000000" w:usb2="00000000" w:usb3="00000000" w:csb0="00000040" w:csb1="00000000"/>
  </w:font>
  <w:font w:name="Al-Ghadeer Bold">
    <w:panose1 w:val="00000000000000000000"/>
    <w:charset w:val="B2"/>
    <w:family w:val="auto"/>
    <w:pitch w:val="variable"/>
    <w:sig w:usb0="00002001" w:usb1="00000000" w:usb2="00000000" w:usb3="00000000" w:csb0="00000040" w:csb1="00000000"/>
  </w:font>
  <w:font w:name="ALAWI-3-62">
    <w:altName w:val="Times New Roman"/>
    <w:charset w:val="B2"/>
    <w:family w:val="auto"/>
    <w:pitch w:val="variable"/>
    <w:sig w:usb0="00002000"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بدر">
    <w:altName w:val="Courier New"/>
    <w:charset w:val="B2"/>
    <w:family w:val="auto"/>
    <w:pitch w:val="variable"/>
    <w:sig w:usb0="00002000" w:usb1="00000000" w:usb2="00000000" w:usb3="00000000" w:csb0="00000040" w:csb1="00000000"/>
  </w:font>
  <w:font w:name="AA  Safwa">
    <w:charset w:val="B2"/>
    <w:family w:val="auto"/>
    <w:pitch w:val="variable"/>
    <w:sig w:usb0="00002001" w:usb1="00000000" w:usb2="00000000" w:usb3="00000000" w:csb0="00000040" w:csb1="00000000"/>
  </w:font>
  <w:font w:name="Lotus Linotype">
    <w:altName w:val="Times New Roman"/>
    <w:charset w:val="00"/>
    <w:family w:val="auto"/>
    <w:pitch w:val="variable"/>
    <w:sig w:usb0="00006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charset w:val="B2"/>
    <w:family w:val="auto"/>
    <w:pitch w:val="variable"/>
    <w:sig w:usb0="00002000"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Ya-Ali">
    <w:panose1 w:val="00000000000000000000"/>
    <w:charset w:val="B2"/>
    <w:family w:val="auto"/>
    <w:pitch w:val="variable"/>
    <w:sig w:usb0="00002001" w:usb1="00000000" w:usb2="00000000" w:usb3="00000000" w:csb0="00000040" w:csb1="00000000"/>
  </w:font>
  <w:font w:name="Al-Hussain">
    <w:panose1 w:val="00000000000000000000"/>
    <w:charset w:val="B2"/>
    <w:family w:val="auto"/>
    <w:pitch w:val="variable"/>
    <w:sig w:usb0="00002001" w:usb1="00000000" w:usb2="00000000" w:usb3="00000000" w:csb0="00000040" w:csb1="00000000"/>
  </w:font>
  <w:font w:name="AGA Juhyna Regular">
    <w:panose1 w:val="00000000000000000000"/>
    <w:charset w:val="B2"/>
    <w:family w:val="auto"/>
    <w:pitch w:val="variable"/>
    <w:sig w:usb0="00002001" w:usb1="00000000" w:usb2="00000000" w:usb3="00000000" w:csb0="00000040" w:csb1="00000000"/>
  </w:font>
  <w:font w:name="Bader">
    <w:panose1 w:val="00000000000000000000"/>
    <w:charset w:val="B2"/>
    <w:family w:val="auto"/>
    <w:pitch w:val="variable"/>
    <w:sig w:usb0="00002001" w:usb1="00000000" w:usb2="00000000" w:usb3="00000000" w:csb0="00000040" w:csb1="00000000"/>
  </w:font>
  <w:font w:name="K Farnaz">
    <w:panose1 w:val="00000500000000000000"/>
    <w:charset w:val="B2"/>
    <w:family w:val="auto"/>
    <w:pitch w:val="variable"/>
    <w:sig w:usb0="00002001" w:usb1="00000000" w:usb2="00000000" w:usb3="00000000" w:csb0="00000040" w:csb1="00000000"/>
  </w:font>
  <w:font w:name="Roumouz">
    <w:panose1 w:val="05000000000000000000"/>
    <w:charset w:val="02"/>
    <w:family w:val="auto"/>
    <w:pitch w:val="variable"/>
    <w:sig w:usb0="00000000" w:usb1="10000000" w:usb2="00000000" w:usb3="00000000" w:csb0="80000000" w:csb1="00000000"/>
  </w:font>
  <w:font w:name="Abz-1 (Lotus)">
    <w:panose1 w:val="00000400000000000000"/>
    <w:charset w:val="B2"/>
    <w:family w:val="auto"/>
    <w:pitch w:val="variable"/>
    <w:sig w:usb0="00002001" w:usb1="00000000" w:usb2="00000000" w:usb3="00000000" w:csb0="00000040" w:csb1="00000000"/>
  </w:font>
  <w:font w:name="AF_Najed">
    <w:panose1 w:val="00000000000000000000"/>
    <w:charset w:val="B2"/>
    <w:family w:val="auto"/>
    <w:pitch w:val="variable"/>
    <w:sig w:usb0="00002001" w:usb1="00000000" w:usb2="00000000" w:usb3="00000000" w:csb0="00000040" w:csb1="00000000"/>
  </w:font>
  <w:font w:name="Islamic Units 1">
    <w:panose1 w:val="05000000000000000000"/>
    <w:charset w:val="02"/>
    <w:family w:val="auto"/>
    <w:pitch w:val="variable"/>
    <w:sig w:usb0="00000000" w:usb1="10000000" w:usb2="00000000" w:usb3="00000000" w:csb0="80000000" w:csb1="00000000"/>
  </w:font>
  <w:font w:name="AGA Arabesque">
    <w:panose1 w:val="05000000000000000000"/>
    <w:charset w:val="02"/>
    <w:family w:val="auto"/>
    <w:pitch w:val="variable"/>
    <w:sig w:usb0="00000000" w:usb1="10000000" w:usb2="00000000" w:usb3="00000000" w:csb0="80000000" w:csb1="00000000"/>
  </w:font>
  <w:font w:name="Badr">
    <w:panose1 w:val="00000400000000000000"/>
    <w:charset w:val="B2"/>
    <w:family w:val="auto"/>
    <w:pitch w:val="variable"/>
    <w:sig w:usb0="00002001" w:usb1="00000000" w:usb2="00000000" w:usb3="00000000" w:csb0="00000040" w:csb1="00000000"/>
  </w:font>
  <w:font w:name="Roumouz0">
    <w:altName w:val="Symbol"/>
    <w:charset w:val="02"/>
    <w:family w:val="auto"/>
    <w:pitch w:val="variable"/>
    <w:sig w:usb0="00000000" w:usb1="10000000" w:usb2="00000000" w:usb3="00000000" w:csb0="80000000" w:csb1="00000000"/>
  </w:font>
  <w:font w:name="Islamic Units 2">
    <w:panose1 w:val="05000000000000000000"/>
    <w:charset w:val="02"/>
    <w:family w:val="auto"/>
    <w:pitch w:val="variable"/>
    <w:sig w:usb0="00000000" w:usb1="10000000" w:usb2="00000000" w:usb3="00000000" w:csb0="80000000" w:csb1="00000000"/>
  </w:font>
  <w:font w:name="Abz-2 (Badr)">
    <w:panose1 w:val="00000400000000000000"/>
    <w:charset w:val="B2"/>
    <w:family w:val="auto"/>
    <w:pitch w:val="variable"/>
    <w:sig w:usb0="00002001" w:usb1="00000000" w:usb2="00000000" w:usb3="00000000" w:csb0="00000040" w:csb1="00000000"/>
  </w:font>
  <w:font w:name="Mitra">
    <w:panose1 w:val="00000400000000000000"/>
    <w:charset w:val="B2"/>
    <w:family w:val="auto"/>
    <w:pitch w:val="variable"/>
    <w:sig w:usb0="00002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ALAWI-3-8">
    <w:altName w:val="Times New Roman"/>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Default="0071680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Default="0071680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Default="007168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3353" w:rsidRDefault="00F73353" w:rsidP="003D5D4C">
      <w:pPr>
        <w:spacing w:line="240" w:lineRule="auto"/>
        <w:ind w:firstLine="0"/>
      </w:pPr>
      <w:r>
        <w:separator/>
      </w:r>
    </w:p>
  </w:footnote>
  <w:footnote w:type="continuationSeparator" w:id="0">
    <w:p w:rsidR="00F73353" w:rsidRDefault="00F73353" w:rsidP="00E01529">
      <w:pPr>
        <w:spacing w:line="240" w:lineRule="auto"/>
        <w:ind w:firstLine="0"/>
      </w:pPr>
      <w:r>
        <w:continuationSeparator/>
      </w:r>
    </w:p>
  </w:footnote>
  <w:footnote w:type="continuationNotice" w:id="1">
    <w:p w:rsidR="00F73353" w:rsidRDefault="00F73353">
      <w:pPr>
        <w:spacing w:line="240" w:lineRule="auto"/>
      </w:pPr>
    </w:p>
  </w:footnote>
  <w:footnote w:id="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 xml:space="preserve">(*) مفكر إيراني معروف، وأشهر منظري الإصلاح الديني في إيران، طرح أواخر ثمانينات القرن الماضي نظرية </w:t>
      </w:r>
      <w:r w:rsidRPr="003E5026">
        <w:rPr>
          <w:rStyle w:val="FootnoteReference"/>
          <w:rFonts w:ascii="Mosawi" w:hAnsi="Mosawi" w:cs="Mosawi" w:hint="cs"/>
          <w:sz w:val="26"/>
          <w:szCs w:val="26"/>
          <w:vertAlign w:val="baseline"/>
          <w:rtl/>
        </w:rPr>
        <w:sym w:font="Islamic Units 1" w:char="F06D"/>
      </w:r>
      <w:r w:rsidRPr="003E5026">
        <w:rPr>
          <w:rStyle w:val="FootnoteReference"/>
          <w:rFonts w:ascii="Mosawi" w:hAnsi="Mosawi" w:cs="Mosawi" w:hint="cs"/>
          <w:sz w:val="26"/>
          <w:szCs w:val="26"/>
          <w:vertAlign w:val="baseline"/>
          <w:rtl/>
        </w:rPr>
        <w:t>القبض والبسط</w:t>
      </w:r>
      <w:r w:rsidRPr="003E5026">
        <w:rPr>
          <w:rStyle w:val="FootnoteReference"/>
          <w:rFonts w:ascii="Mosawi" w:hAnsi="Mosawi" w:cs="Mosawi" w:hint="cs"/>
          <w:sz w:val="26"/>
          <w:szCs w:val="26"/>
          <w:vertAlign w:val="baseline"/>
          <w:rtl/>
        </w:rPr>
        <w:sym w:font="Islamic Units 1" w:char="F06E"/>
      </w:r>
      <w:r w:rsidRPr="003E5026">
        <w:rPr>
          <w:rStyle w:val="FootnoteReference"/>
          <w:rFonts w:ascii="Mosawi" w:hAnsi="Mosawi" w:cs="Mosawi" w:hint="cs"/>
          <w:sz w:val="26"/>
          <w:szCs w:val="26"/>
          <w:vertAlign w:val="baseline"/>
          <w:rtl/>
        </w:rPr>
        <w:t>، ليعقبها بسلسلة نظريات معرفية أخرى، أثارت نظرياته جدلاً واسعاً، استمرّ أكثر من عقد من الزمن.</w:t>
      </w:r>
    </w:p>
  </w:footnote>
  <w:footnote w:id="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 أستاذ جامعي بارز، أحد أكبر منظري الإصلاح الديني في إيران اليوم، يحمل نزعةً إيمانية لا تركّز على مفردات العقيدة بقدر مبدأ العلاقة الروحية، له نقد على نظرية القبض والبسط، مترجم عن اللغات الأجنبية.</w:t>
      </w:r>
    </w:p>
  </w:footnote>
  <w:footnote w:id="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ما يمكن أن يكون مراداً من الإسلام ثلاثة أمور: الإسلام الأول، وهو عبارة عن مجموعة النصوص المقدّسة لدى المسلمين، أي الكتاب والسنّة، ممّا يحكي أقوال من هو فوق أن يُسأل عنها وأفعاله، أمّا الإسلام الثاني، فيعني مجموعة الكتب والرسائل والمقالات التي بقيت من المسلمين السابقين ووصلت إلينا، فيما يعني الإسلام الثالث الإسلامَ في مقام العمل، أي مجموع الأعمال التي قام بها المسلمون منذ البداية وإلى الآن، مضافاً إلى كافّة الظروف والأوضاع المترتّبة على ذلك.</w:t>
      </w:r>
    </w:p>
  </w:footnote>
  <w:footnote w:id="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 باحث في العرفان الإسلامي.</w:t>
      </w:r>
    </w:p>
  </w:footnote>
  <w:footnote w:id="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ديوان حافظ، غزل 186.</w:t>
      </w:r>
    </w:p>
  </w:footnote>
  <w:footnote w:id="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السابق، غزل 426.</w:t>
      </w:r>
    </w:p>
  </w:footnote>
  <w:footnote w:id="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Pr>
        <w:sym w:font="Islamic Units 1" w:char="F03E"/>
      </w:r>
      <w:r w:rsidRPr="003E5026">
        <w:rPr>
          <w:rStyle w:val="FootnoteReference"/>
          <w:rFonts w:ascii="Mosawi" w:hAnsi="Mosawi" w:cs="Mosawi" w:hint="eastAsia"/>
          <w:b/>
          <w:bCs/>
          <w:sz w:val="26"/>
          <w:szCs w:val="26"/>
          <w:vertAlign w:val="baseline"/>
          <w:rtl/>
        </w:rPr>
        <w:t>فَغَفَرْنا</w:t>
      </w:r>
      <w:r w:rsidRPr="003E5026">
        <w:rPr>
          <w:rStyle w:val="FootnoteReference"/>
          <w:rFonts w:ascii="Mosawi" w:hAnsi="Mosawi" w:cs="Mosawi"/>
          <w:b/>
          <w:bCs/>
          <w:sz w:val="26"/>
          <w:szCs w:val="26"/>
          <w:vertAlign w:val="baseline"/>
          <w:rtl/>
        </w:rPr>
        <w:t xml:space="preserve"> لَهُ ذلِكَ وَإِنَّ لَهُ عِنْدَنا لَزُلْفى وَحُسْنَ مَآبٍ</w:t>
      </w:r>
      <w:r w:rsidRPr="003E5026">
        <w:rPr>
          <w:rStyle w:val="FootnoteReference"/>
          <w:rFonts w:ascii="Mosawi" w:hAnsi="Mosawi" w:cs="Mosawi"/>
          <w:sz w:val="26"/>
          <w:szCs w:val="26"/>
          <w:vertAlign w:val="baseline"/>
        </w:rPr>
        <w:sym w:font="Islamic Units 1" w:char="F03C"/>
      </w:r>
      <w:r w:rsidRPr="003E5026">
        <w:rPr>
          <w:rStyle w:val="FootnoteReference"/>
          <w:rFonts w:ascii="Mosawi" w:hAnsi="Mosawi" w:cs="Mosawi" w:hint="cs"/>
          <w:sz w:val="26"/>
          <w:szCs w:val="26"/>
          <w:vertAlign w:val="baseline"/>
          <w:rtl/>
        </w:rPr>
        <w:t xml:space="preserve"> </w:t>
      </w:r>
      <w:r>
        <w:rPr>
          <w:rFonts w:ascii="Mosawi" w:hAnsi="Mosawi" w:cs="Mosawi" w:hint="cs"/>
          <w:sz w:val="26"/>
          <w:szCs w:val="26"/>
          <w:rtl/>
        </w:rPr>
        <w:t>(</w:t>
      </w:r>
      <w:r w:rsidRPr="003E5026">
        <w:rPr>
          <w:rStyle w:val="FootnoteReference"/>
          <w:rFonts w:ascii="Mosawi" w:hAnsi="Mosawi" w:cs="Mosawi" w:hint="cs"/>
          <w:sz w:val="26"/>
          <w:szCs w:val="26"/>
          <w:vertAlign w:val="baseline"/>
          <w:rtl/>
        </w:rPr>
        <w:t>ص: 25</w:t>
      </w:r>
      <w:r>
        <w:rPr>
          <w:rStyle w:val="FootnoteReference"/>
          <w:rFonts w:ascii="Mosawi" w:hAnsi="Mosawi" w:cs="Mosawi" w:hint="cs"/>
          <w:sz w:val="26"/>
          <w:szCs w:val="26"/>
          <w:vertAlign w:val="baseline"/>
          <w:rtl/>
        </w:rPr>
        <w:t>)</w:t>
      </w:r>
      <w:r w:rsidRPr="003E5026">
        <w:rPr>
          <w:rStyle w:val="FootnoteReference"/>
          <w:rFonts w:ascii="Mosawi" w:hAnsi="Mosawi" w:cs="Mosawi" w:hint="cs"/>
          <w:sz w:val="26"/>
          <w:szCs w:val="26"/>
          <w:vertAlign w:val="baseline"/>
          <w:rtl/>
        </w:rPr>
        <w:t>.</w:t>
      </w:r>
    </w:p>
  </w:footnote>
  <w:footnote w:id="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 وصحبوا الدنيا بأبدانٍ أرواحها معلّقة بالمحل الأعلى، أولئك خلفاء الله في أرضه والدعاة إلى دينه». نهج البلاغة، الحكمة 137.</w:t>
      </w:r>
    </w:p>
  </w:footnote>
  <w:footnote w:id="1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كياني حسن، تاريخ الخانقاه في إيران: 251، مكتبة طهوري، طهران، 1990م.</w:t>
      </w:r>
    </w:p>
  </w:footnote>
  <w:footnote w:id="1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الأبعاد العرفانية في الإسلام: 260، نقلاً عن نفحات الاُنس .</w:t>
      </w:r>
    </w:p>
  </w:footnote>
  <w:footnote w:id="1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cstheme="majorBidi"/>
          <w:sz w:val="26"/>
          <w:szCs w:val="26"/>
          <w:vertAlign w:val="baseline"/>
          <w:rtl/>
        </w:rPr>
        <w:t xml:space="preserve"> </w:t>
      </w:r>
      <w:r w:rsidRPr="003E5026">
        <w:rPr>
          <w:rStyle w:val="FootnoteReference"/>
          <w:rFonts w:cstheme="majorBidi"/>
          <w:sz w:val="26"/>
          <w:szCs w:val="26"/>
          <w:vertAlign w:val="baseline"/>
        </w:rPr>
        <w:t>Orignal Sin</w:t>
      </w:r>
    </w:p>
  </w:footnote>
  <w:footnote w:id="1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المثنوي، الكتاب السادس، البيت: 2799.</w:t>
      </w:r>
    </w:p>
  </w:footnote>
  <w:footnote w:id="1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السابق، البيت: 4320.</w:t>
      </w:r>
    </w:p>
  </w:footnote>
  <w:footnote w:id="1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السابق، الكتاب الخامس، البيت: 2466.</w:t>
      </w:r>
    </w:p>
  </w:footnote>
  <w:footnote w:id="1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السابق، الكتاب الثالث، الأبيات: 3700 ـ 3702.</w:t>
      </w:r>
    </w:p>
  </w:footnote>
  <w:footnote w:id="1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السابق، الأبيات: 3707 ـ 3710.</w:t>
      </w:r>
    </w:p>
  </w:footnote>
  <w:footnote w:id="1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شرح القيصري على فصوص الحكم: 473، 478.</w:t>
      </w:r>
    </w:p>
  </w:footnote>
  <w:footnote w:id="1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شهيدة العشق الإلهي، عبدالرحمن بدوي.</w:t>
      </w:r>
    </w:p>
  </w:footnote>
  <w:footnote w:id="2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الأبعاد العرفانية في الإسلام: 657، نقلاً عن حديقة الحقيقة: 271.</w:t>
      </w:r>
    </w:p>
  </w:footnote>
  <w:footnote w:id="2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تذكرة الأولياء 1: 59.</w:t>
      </w:r>
    </w:p>
  </w:footnote>
  <w:footnote w:id="2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الأبعاد العرفانية في الإسلام: 665.</w:t>
      </w:r>
    </w:p>
  </w:footnote>
  <w:footnote w:id="2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السابق، نقلاً عن بحر الروح، هلموت ريتر: 480.</w:t>
      </w:r>
    </w:p>
  </w:footnote>
  <w:footnote w:id="2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النور: 37.</w:t>
      </w:r>
    </w:p>
  </w:footnote>
  <w:footnote w:id="2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ابن عربي، محيي الدين، الفتوحات المكية 8: 151.</w:t>
      </w:r>
    </w:p>
  </w:footnote>
  <w:footnote w:id="2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إبن عربي، محيي الدين، فصوص الحكم، الفص الموسوي: 453.</w:t>
      </w:r>
    </w:p>
  </w:footnote>
  <w:footnote w:id="2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عطار النيسابوري، فريد الدين، تذكرة الأولياء: 72، طهران، 1991م. </w:t>
      </w:r>
    </w:p>
  </w:footnote>
  <w:footnote w:id="2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عطية الله، أحمد، القاموس الإسلامي، المجلد الثاني: 458، مكتبة النهضة المصرية،  1966 م.</w:t>
      </w:r>
    </w:p>
  </w:footnote>
  <w:footnote w:id="2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فراز، يوسف، الدر المنثور: 351، دار المعرفة، بيروت، بدون تاريخ.</w:t>
      </w:r>
    </w:p>
  </w:footnote>
  <w:footnote w:id="3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زرين كوب: عبدالحسين، تراث الصوفية: 5، نشر أمير كبير، طهران.</w:t>
      </w:r>
    </w:p>
  </w:footnote>
  <w:footnote w:id="3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فراز يوسف، رياحين الشريعة 4: 252، دار المعرفة، بيروت، بدون تاريخ.</w:t>
      </w:r>
    </w:p>
  </w:footnote>
  <w:footnote w:id="3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السابق: 245.</w:t>
      </w:r>
    </w:p>
  </w:footnote>
  <w:footnote w:id="3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السابق.</w:t>
      </w:r>
    </w:p>
  </w:footnote>
  <w:footnote w:id="3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السابق.</w:t>
      </w:r>
    </w:p>
  </w:footnote>
  <w:footnote w:id="3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السابق: 251.</w:t>
      </w:r>
    </w:p>
  </w:footnote>
  <w:footnote w:id="3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السابق: 203.</w:t>
      </w:r>
    </w:p>
  </w:footnote>
  <w:footnote w:id="3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تذكرة الأولياء: 73 ـ 74.</w:t>
      </w:r>
    </w:p>
  </w:footnote>
  <w:footnote w:id="3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السابق: 84.</w:t>
      </w:r>
    </w:p>
  </w:footnote>
  <w:footnote w:id="3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السابق.</w:t>
      </w:r>
    </w:p>
  </w:footnote>
  <w:footnote w:id="4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ريحانة الأدب: 1 ـ 2: 28.</w:t>
      </w:r>
    </w:p>
  </w:footnote>
  <w:footnote w:id="4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تذكرة الأولياء: 60.</w:t>
      </w:r>
    </w:p>
  </w:footnote>
  <w:footnote w:id="4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السابق: 60 ـ 61.</w:t>
      </w:r>
    </w:p>
  </w:footnote>
  <w:footnote w:id="4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شهيدة العشق الإلهي.. رابعة العدوية: 130 ـ 131.</w:t>
      </w:r>
    </w:p>
  </w:footnote>
  <w:footnote w:id="4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السابق: 22.</w:t>
      </w:r>
    </w:p>
  </w:footnote>
  <w:footnote w:id="4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المصدر السابق. </w:t>
      </w:r>
    </w:p>
  </w:footnote>
  <w:footnote w:id="4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صفة الصوفي 4: 58، نقلاً عن شهيدة العشق الإلهي.</w:t>
      </w:r>
    </w:p>
  </w:footnote>
  <w:footnote w:id="4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السجدة: 16.</w:t>
      </w:r>
    </w:p>
  </w:footnote>
  <w:footnote w:id="4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الفرقان: 65.</w:t>
      </w:r>
    </w:p>
  </w:footnote>
  <w:footnote w:id="4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شهيدة العشق الإلهي.. رابعة العدوية: 41.</w:t>
      </w:r>
    </w:p>
  </w:footnote>
  <w:footnote w:id="5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السابق.</w:t>
      </w:r>
    </w:p>
  </w:footnote>
  <w:footnote w:id="5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طبقات الصوفية، عبدالرؤوف المناوي 14: 432، بيروت دار صادر.</w:t>
      </w:r>
    </w:p>
  </w:footnote>
  <w:footnote w:id="5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السابق: 28.</w:t>
      </w:r>
    </w:p>
  </w:footnote>
  <w:footnote w:id="5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أعلام النساء 1: 370.</w:t>
      </w:r>
    </w:p>
  </w:footnote>
  <w:footnote w:id="54">
    <w:p w:rsidR="0071680A" w:rsidRPr="003E5026" w:rsidRDefault="0071680A" w:rsidP="009156DD">
      <w:pPr>
        <w:pStyle w:val="11"/>
        <w:widowControl w:val="0"/>
        <w:spacing w:line="211"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السابق.</w:t>
      </w:r>
    </w:p>
  </w:footnote>
  <w:footnote w:id="55">
    <w:p w:rsidR="0071680A" w:rsidRPr="003E5026" w:rsidRDefault="0071680A" w:rsidP="009156DD">
      <w:pPr>
        <w:pStyle w:val="11"/>
        <w:widowControl w:val="0"/>
        <w:spacing w:line="211"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السابق.</w:t>
      </w:r>
    </w:p>
  </w:footnote>
  <w:footnote w:id="56">
    <w:p w:rsidR="0071680A" w:rsidRPr="003E5026" w:rsidRDefault="0071680A" w:rsidP="009156DD">
      <w:pPr>
        <w:pStyle w:val="11"/>
        <w:widowControl w:val="0"/>
        <w:spacing w:line="211"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تراث الصوفية: 52.</w:t>
      </w:r>
    </w:p>
  </w:footnote>
  <w:footnote w:id="5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الحلبي، علي أصغر، معرفة العرفان وعرفاء إيران: 100.</w:t>
      </w:r>
    </w:p>
  </w:footnote>
  <w:footnote w:id="5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عوارف المعارف: 107.</w:t>
      </w:r>
    </w:p>
  </w:footnote>
  <w:footnote w:id="5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السابق.</w:t>
      </w:r>
    </w:p>
  </w:footnote>
  <w:footnote w:id="6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المرأة في مرآة الجلال والجمال: 239.</w:t>
      </w:r>
    </w:p>
  </w:footnote>
  <w:footnote w:id="6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السابق: 239 ـ 242.</w:t>
      </w:r>
    </w:p>
  </w:footnote>
  <w:footnote w:id="6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السابق: 613 ـ 614.</w:t>
      </w:r>
    </w:p>
  </w:footnote>
  <w:footnote w:id="6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تذكرة الأولياء: 80.</w:t>
      </w:r>
    </w:p>
  </w:footnote>
  <w:footnote w:id="6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cstheme="majorBidi"/>
          <w:sz w:val="26"/>
          <w:szCs w:val="26"/>
          <w:vertAlign w:val="baseline"/>
        </w:rPr>
        <w:t xml:space="preserve"> Encydopaedia of the modren Islamic world VOL 4.P.328 </w:t>
      </w:r>
    </w:p>
  </w:footnote>
  <w:footnote w:id="6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شهيدة العشق الإلهي.. رابعة العدوية. </w:t>
      </w:r>
    </w:p>
  </w:footnote>
  <w:footnote w:id="6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غني قاسم، تاريخ التصوف 2: 32.</w:t>
      </w:r>
    </w:p>
  </w:footnote>
  <w:footnote w:id="6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السابق: 33 ـ 34.</w:t>
      </w:r>
    </w:p>
  </w:footnote>
  <w:footnote w:id="6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السابق.</w:t>
      </w:r>
    </w:p>
  </w:footnote>
  <w:footnote w:id="6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انظر الرسالة القشيرية.</w:t>
      </w:r>
    </w:p>
  </w:footnote>
  <w:footnote w:id="7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تذكرة الأولياء: 74.</w:t>
      </w:r>
    </w:p>
  </w:footnote>
  <w:footnote w:id="7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السابق: 75.</w:t>
      </w:r>
    </w:p>
  </w:footnote>
  <w:footnote w:id="7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أعلام النساء 1: 368، دمشق الطبعة الهاشمية.</w:t>
      </w:r>
    </w:p>
  </w:footnote>
  <w:footnote w:id="7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السابق 369.</w:t>
      </w:r>
    </w:p>
  </w:footnote>
  <w:footnote w:id="7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السابق.</w:t>
      </w:r>
    </w:p>
  </w:footnote>
  <w:footnote w:id="7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مولوي، جلال الدين، المثنوي المعنوي، الكتاب الثالث، البيت: 3839.</w:t>
      </w:r>
    </w:p>
  </w:footnote>
  <w:footnote w:id="7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السابق.</w:t>
      </w:r>
    </w:p>
  </w:footnote>
  <w:footnote w:id="7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لا تؤذني: أي لا تعلمي أحداً بوفاتي.</w:t>
      </w:r>
    </w:p>
  </w:footnote>
  <w:footnote w:id="7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تراث الصوفية: 52.</w:t>
      </w:r>
    </w:p>
  </w:footnote>
  <w:footnote w:id="7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أعلام النساء 1: 370.</w:t>
      </w:r>
    </w:p>
  </w:footnote>
  <w:footnote w:id="8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رياحين الشريعة 4: 253.</w:t>
      </w:r>
    </w:p>
  </w:footnote>
  <w:footnote w:id="8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 من أبرز رموز الحركة الفكرية الإصلاحية في إيران، اشتهر بنظرية تعدّد القراءات الدينية، وبنقده على نظريات حقوق الإنسان في الإسلام.</w:t>
      </w:r>
    </w:p>
  </w:footnote>
  <w:footnote w:id="8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 أستاذ جامعي، ورئيس تحرير مجلّة علوم الحديث الفارسية، من أبرز المساهمين في دراسة قضايا المرأة وفي مشروع فلسفة الفقه مع الدكتور ملكيان، له مؤلفات عدّة في الحديث والفقه و.. .</w:t>
      </w:r>
    </w:p>
  </w:footnote>
  <w:footnote w:id="8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خاطرات تاج السلطنة: 98.</w:t>
      </w:r>
    </w:p>
  </w:footnote>
  <w:footnote w:id="8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99.</w:t>
      </w:r>
    </w:p>
  </w:footnote>
  <w:footnote w:id="8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100.</w:t>
      </w:r>
    </w:p>
  </w:footnote>
  <w:footnote w:id="8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101.</w:t>
      </w:r>
    </w:p>
  </w:footnote>
  <w:footnote w:id="8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مجلّة: نيمه ديكَر، العدد 17، شتاء 1371هـ . ش / 1992م، ص14 ـ 15.</w:t>
      </w:r>
    </w:p>
  </w:footnote>
  <w:footnote w:id="8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راجع: مجلّة كلك، العدد: 55 ـ 56: 45 ـ 46، زن در جامعه قاجار (المرأة في المجتمع القاجاري).</w:t>
      </w:r>
    </w:p>
  </w:footnote>
  <w:footnote w:id="8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راجع: مجلّة نيمه ديكَر، العدد 17، شتاء 1371هـ . ش / 1992م، مقالة: تأملي در تفكر اجتماعي وسياسي زنان در انقلاب مشروطه: 7 ـ 28، وانجمن سراى زنان در عصر مشروطه: 17، 53.</w:t>
      </w:r>
    </w:p>
  </w:footnote>
  <w:footnote w:id="9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رويا روي زن ومرد در عصر قاجار: 16.</w:t>
      </w:r>
    </w:p>
  </w:footnote>
  <w:footnote w:id="9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w:t>
      </w:r>
    </w:p>
  </w:footnote>
  <w:footnote w:id="9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8؛ ومعايب الرجال في الردّ على تأديب النسوان: 3.</w:t>
      </w:r>
    </w:p>
  </w:footnote>
  <w:footnote w:id="9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معايب الرجال: 54.</w:t>
      </w:r>
    </w:p>
  </w:footnote>
  <w:footnote w:id="9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84 ـ 85.</w:t>
      </w:r>
    </w:p>
  </w:footnote>
  <w:footnote w:id="9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مجلة نيمه ديكَر، العددد 17، شتاء 1371هـ . ش / 1992م، مقالة: ميرزا فتح علي آخوند زاده ومسألة زنان: 29 ـ 34.</w:t>
      </w:r>
    </w:p>
  </w:footnote>
  <w:footnote w:id="9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هفت بهشت: 121 ـ 122؛ ونيمه ديكر، العدد 14، ربيع 1370هـ . ش / 1991م، ص79.</w:t>
      </w:r>
    </w:p>
  </w:footnote>
  <w:footnote w:id="9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بروين اعتصامي من أشهر شعراء إيران في القرن العشرين (المترجم).</w:t>
      </w:r>
    </w:p>
  </w:footnote>
  <w:footnote w:id="9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فهرست كتاب هاي </w:t>
      </w:r>
      <w:r w:rsidRPr="003E5026">
        <w:rPr>
          <w:rStyle w:val="FootnoteReference"/>
          <w:rFonts w:ascii="Mosawi" w:hAnsi="Mosawi" w:cs="Mosawi" w:hint="eastAsia"/>
          <w:sz w:val="26"/>
          <w:szCs w:val="26"/>
          <w:vertAlign w:val="baseline"/>
          <w:rtl/>
        </w:rPr>
        <w:t xml:space="preserve">چابي فارسي 1: 1271، حجري، </w:t>
      </w:r>
      <w:r w:rsidRPr="003E5026">
        <w:rPr>
          <w:rStyle w:val="FootnoteReference"/>
          <w:rFonts w:ascii="Mosawi" w:hAnsi="Mosawi" w:cs="Mosawi" w:hint="cs"/>
          <w:sz w:val="26"/>
          <w:szCs w:val="26"/>
          <w:vertAlign w:val="baseline"/>
          <w:rtl/>
        </w:rPr>
        <w:t>ج</w:t>
      </w:r>
      <w:r w:rsidRPr="003E5026">
        <w:rPr>
          <w:rStyle w:val="FootnoteReference"/>
          <w:rFonts w:ascii="Mosawi" w:hAnsi="Mosawi" w:cs="Mosawi" w:hint="eastAsia"/>
          <w:sz w:val="26"/>
          <w:szCs w:val="26"/>
          <w:vertAlign w:val="baseline"/>
          <w:rtl/>
        </w:rPr>
        <w:t>يبي: 82؛ روياروي زن ومرد در عصر قاجار: 16، نقلاً عن: از تا نيما 2: 113، ويجدر الت</w:t>
      </w:r>
      <w:r w:rsidRPr="003E5026">
        <w:rPr>
          <w:rStyle w:val="FootnoteReference"/>
          <w:rFonts w:ascii="Mosawi" w:hAnsi="Mosawi" w:cs="Mosawi" w:hint="cs"/>
          <w:sz w:val="26"/>
          <w:szCs w:val="26"/>
          <w:vertAlign w:val="baseline"/>
          <w:rtl/>
        </w:rPr>
        <w:t>ذ</w:t>
      </w:r>
      <w:r w:rsidRPr="003E5026">
        <w:rPr>
          <w:rStyle w:val="FootnoteReference"/>
          <w:rFonts w:ascii="Mosawi" w:hAnsi="Mosawi" w:cs="Mosawi" w:hint="eastAsia"/>
          <w:sz w:val="26"/>
          <w:szCs w:val="26"/>
          <w:vertAlign w:val="baseline"/>
          <w:rtl/>
        </w:rPr>
        <w:t>كير بأن</w:t>
      </w:r>
      <w:r w:rsidRPr="003E5026">
        <w:rPr>
          <w:rStyle w:val="FootnoteReference"/>
          <w:rFonts w:ascii="Mosawi" w:hAnsi="Mosawi" w:cs="Mosawi" w:hint="cs"/>
          <w:sz w:val="26"/>
          <w:szCs w:val="26"/>
          <w:vertAlign w:val="baseline"/>
          <w:rtl/>
        </w:rPr>
        <w:t>ّ</w:t>
      </w:r>
      <w:r w:rsidRPr="003E5026">
        <w:rPr>
          <w:rStyle w:val="FootnoteReference"/>
          <w:rFonts w:ascii="Mosawi" w:hAnsi="Mosawi" w:cs="Mosawi" w:hint="eastAsia"/>
          <w:sz w:val="26"/>
          <w:szCs w:val="26"/>
          <w:vertAlign w:val="baseline"/>
          <w:rtl/>
        </w:rPr>
        <w:t xml:space="preserve"> كتب قاسم أمين قد ترجم</w:t>
      </w:r>
      <w:r w:rsidRPr="003E5026">
        <w:rPr>
          <w:rStyle w:val="FootnoteReference"/>
          <w:rFonts w:ascii="Mosawi" w:hAnsi="Mosawi" w:cs="Mosawi" w:hint="cs"/>
          <w:sz w:val="26"/>
          <w:szCs w:val="26"/>
          <w:vertAlign w:val="baseline"/>
          <w:rtl/>
        </w:rPr>
        <w:t>ت</w:t>
      </w:r>
      <w:r w:rsidRPr="003E5026">
        <w:rPr>
          <w:rStyle w:val="FootnoteReference"/>
          <w:rFonts w:ascii="Mosawi" w:hAnsi="Mosawi" w:cs="Mosawi" w:hint="eastAsia"/>
          <w:sz w:val="26"/>
          <w:szCs w:val="26"/>
          <w:vertAlign w:val="baseline"/>
          <w:rtl/>
        </w:rPr>
        <w:t xml:space="preserve"> مرة ثانيةً لاحقاً على يد السيد أح</w:t>
      </w:r>
      <w:r w:rsidRPr="003E5026">
        <w:rPr>
          <w:rStyle w:val="FootnoteReference"/>
          <w:rFonts w:ascii="Mosawi" w:hAnsi="Mosawi" w:cs="Mosawi" w:hint="cs"/>
          <w:sz w:val="26"/>
          <w:szCs w:val="26"/>
          <w:vertAlign w:val="baseline"/>
          <w:rtl/>
        </w:rPr>
        <w:t>م</w:t>
      </w:r>
      <w:r w:rsidRPr="003E5026">
        <w:rPr>
          <w:rStyle w:val="FootnoteReference"/>
          <w:rFonts w:ascii="Mosawi" w:hAnsi="Mosawi" w:cs="Mosawi" w:hint="eastAsia"/>
          <w:sz w:val="26"/>
          <w:szCs w:val="26"/>
          <w:vertAlign w:val="baseline"/>
          <w:rtl/>
        </w:rPr>
        <w:t xml:space="preserve">د المهذب (1336هـ . </w:t>
      </w:r>
      <w:r w:rsidRPr="003E5026">
        <w:rPr>
          <w:rStyle w:val="FootnoteReference"/>
          <w:rFonts w:ascii="Mosawi" w:hAnsi="Mosawi" w:cs="Mosawi" w:hint="cs"/>
          <w:sz w:val="26"/>
          <w:szCs w:val="26"/>
          <w:vertAlign w:val="baseline"/>
          <w:rtl/>
        </w:rPr>
        <w:t>ش/ 1957م)، وذلك بطلب من وزارة الثقافة في حكومة الشاه رضا خان البهلوي، وقد نشرت تحت عنوان: در زن وآزادي وزن امروز، وقد حصل النشر في 19 صفحة، وفي عام 1316هـ . ش / 1337م في 189 صفحة، انظر: فهرست كتاب هاي جابي فارسي 6: 2782؛ والرسائل الحجابية 1: 43 ـ 44.</w:t>
      </w:r>
    </w:p>
  </w:footnote>
  <w:footnote w:id="9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وقد طبع هذا الكتاب بهذه المواصفات: جريان شناسي دفاع از حقوق زنان، إبراهيم شفيعي سروستاني، مؤسسة فرهنكي طه، قم، 1379هـ . ش / 2000م.</w:t>
      </w:r>
    </w:p>
  </w:footnote>
  <w:footnote w:id="10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جريان شناسي دفاع از حقوق زنان: 59 ـ 143.</w:t>
      </w:r>
    </w:p>
  </w:footnote>
  <w:footnote w:id="10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الكوى جامع شخصيت زن مسلمان، محمد تقي سبحاني، مركز مديريت حوزهاي علميه خواهران، قم، 1382هـ . ش / 2003م.</w:t>
      </w:r>
    </w:p>
  </w:footnote>
  <w:footnote w:id="10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13 ـ 44.</w:t>
      </w:r>
    </w:p>
  </w:footnote>
  <w:footnote w:id="10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البقرة: 282.</w:t>
      </w:r>
    </w:p>
  </w:footnote>
  <w:footnote w:id="10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الزركشي، البرهان في علوم القرآن 2: 88.</w:t>
      </w:r>
    </w:p>
  </w:footnote>
  <w:footnote w:id="10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سوف نتعرّض لهذا الكتاب لاحقاً.</w:t>
      </w:r>
    </w:p>
  </w:footnote>
  <w:footnote w:id="10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شخصيت وحقوق زن در إسلام، انتشارات علمي فرهنكَي: 43 ـ 48، 52 ـ 53، 61 ـ 62، 81، 193.</w:t>
      </w:r>
    </w:p>
  </w:footnote>
  <w:footnote w:id="10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زن در سخن وسيره إمام علي، دانشكَاه علامه طباطبائي: 15 وما بعد.</w:t>
      </w:r>
    </w:p>
  </w:footnote>
  <w:footnote w:id="10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الملا أمين الاسترآبادي، الفوائد المدنية.</w:t>
      </w:r>
    </w:p>
  </w:footnote>
  <w:footnote w:id="10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رسائل الجرجاني: 60.</w:t>
      </w:r>
    </w:p>
  </w:footnote>
  <w:footnote w:id="11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الأسفار الأربعة 7: 136.</w:t>
      </w:r>
    </w:p>
  </w:footnote>
  <w:footnote w:id="11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هذه الإحصاءات مبنية على كتابين نُشرا حول موضوع الفوارق بين الرجل والمرأة، وسوف نتعرّض لهما قريباً.</w:t>
      </w:r>
    </w:p>
  </w:footnote>
  <w:footnote w:id="11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الطوسي، المبسوط 1: 184.</w:t>
      </w:r>
    </w:p>
  </w:footnote>
  <w:footnote w:id="11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النجفي، جواهر الكلام 31: 289.</w:t>
      </w:r>
    </w:p>
  </w:footnote>
  <w:footnote w:id="11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المبسوط 6: 8.</w:t>
      </w:r>
    </w:p>
  </w:footnote>
  <w:footnote w:id="11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الخميني، تحرير الوسيلة 2: 380.</w:t>
      </w:r>
    </w:p>
  </w:footnote>
  <w:footnote w:id="11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العلامة الحلي، تذكرة الفقهاء 2: 223.</w:t>
      </w:r>
    </w:p>
  </w:footnote>
  <w:footnote w:id="11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الرسائل الحجابية 1: 69.</w:t>
      </w:r>
    </w:p>
  </w:footnote>
  <w:footnote w:id="11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راجع: الرسائل الحجابية: 81 ـ 344.</w:t>
      </w:r>
    </w:p>
  </w:footnote>
  <w:footnote w:id="11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طومار عفت: 8.</w:t>
      </w:r>
    </w:p>
  </w:footnote>
  <w:footnote w:id="12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الرسائل الحجابية 1: 347.</w:t>
      </w:r>
    </w:p>
  </w:footnote>
  <w:footnote w:id="12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537.</w:t>
      </w:r>
    </w:p>
  </w:footnote>
  <w:footnote w:id="12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المرأة المسلمة: 190 ـ 191.</w:t>
      </w:r>
    </w:p>
  </w:footnote>
  <w:footnote w:id="12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191.</w:t>
      </w:r>
    </w:p>
  </w:footnote>
  <w:footnote w:id="12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191 ـ 192.</w:t>
      </w:r>
    </w:p>
  </w:footnote>
  <w:footnote w:id="12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الحجاب في الإسلام: 101.</w:t>
      </w:r>
    </w:p>
  </w:footnote>
  <w:footnote w:id="12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فهرست كتاب هاي جابي فارسي 2: 2781.</w:t>
      </w:r>
    </w:p>
  </w:footnote>
  <w:footnote w:id="12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أجوبة الأستاذ: 7.</w:t>
      </w:r>
    </w:p>
  </w:footnote>
  <w:footnote w:id="12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22.</w:t>
      </w:r>
    </w:p>
  </w:footnote>
  <w:footnote w:id="12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مزاياى زن ومرد در إسلام: 2.</w:t>
      </w:r>
    </w:p>
  </w:footnote>
  <w:footnote w:id="13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3.</w:t>
      </w:r>
    </w:p>
  </w:footnote>
  <w:footnote w:id="13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15.</w:t>
      </w:r>
    </w:p>
  </w:footnote>
  <w:footnote w:id="13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رسالة بديعة: 140.</w:t>
      </w:r>
    </w:p>
  </w:footnote>
  <w:footnote w:id="13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كاهش جمعيت ضربه أي سهمكين: 174.</w:t>
      </w:r>
    </w:p>
  </w:footnote>
  <w:footnote w:id="13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النساء في أخبار الفريقين: 3.</w:t>
      </w:r>
    </w:p>
  </w:footnote>
  <w:footnote w:id="135">
    <w:p w:rsidR="0071680A" w:rsidRPr="003E5026" w:rsidRDefault="0071680A" w:rsidP="004950D9">
      <w:pPr>
        <w:pStyle w:val="11"/>
        <w:widowControl w:val="0"/>
        <w:spacing w:line="168"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طومار عفت: 33.</w:t>
      </w:r>
    </w:p>
  </w:footnote>
  <w:footnote w:id="13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64 ـ 65.</w:t>
      </w:r>
    </w:p>
  </w:footnote>
  <w:footnote w:id="13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الرسائل الحجابية: 362 ـ 363.</w:t>
      </w:r>
    </w:p>
  </w:footnote>
  <w:footnote w:id="13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زن وانتخابات: 87.</w:t>
      </w:r>
    </w:p>
  </w:footnote>
  <w:footnote w:id="13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22 ـ 32، 85، 89 ـ 90.</w:t>
      </w:r>
    </w:p>
  </w:footnote>
  <w:footnote w:id="14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الطهراني، رسالة بديعة: 14 ـ 15.</w:t>
      </w:r>
    </w:p>
  </w:footnote>
  <w:footnote w:id="14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11.</w:t>
      </w:r>
    </w:p>
  </w:footnote>
  <w:footnote w:id="14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الرسائل الحجابية 1: 556 ـ 561.</w:t>
      </w:r>
    </w:p>
  </w:footnote>
  <w:footnote w:id="14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مزاياي زن ومرد در إسلام: 1.</w:t>
      </w:r>
    </w:p>
  </w:footnote>
  <w:footnote w:id="14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الحجاب في الإسلام: 41.</w:t>
      </w:r>
    </w:p>
  </w:footnote>
  <w:footnote w:id="14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41 ـ 44.</w:t>
      </w:r>
    </w:p>
  </w:footnote>
  <w:footnote w:id="14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محمد باقر المجلسي، بيست وپنج رساله فارسي: 289 ـ 292.</w:t>
      </w:r>
    </w:p>
  </w:footnote>
  <w:footnote w:id="14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باسخ هاي استاد: 7.</w:t>
      </w:r>
    </w:p>
  </w:footnote>
  <w:footnote w:id="14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هما رمضاني، لوايح آقا شيخ فضل الله نوري: 28.</w:t>
      </w:r>
    </w:p>
  </w:footnote>
  <w:footnote w:id="149">
    <w:p w:rsidR="0071680A" w:rsidRPr="003E5026" w:rsidRDefault="0071680A" w:rsidP="004950D9">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مجلّة كلك، العدد: 55 ـ 56، مقالة: </w:t>
      </w:r>
      <w:r>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زن در جامعه قاجار</w:t>
      </w:r>
      <w:r>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45.</w:t>
      </w:r>
    </w:p>
  </w:footnote>
  <w:footnote w:id="15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تبيان، دفتر هشتم: 242 ـ 247.</w:t>
      </w:r>
    </w:p>
  </w:footnote>
  <w:footnote w:id="15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241.</w:t>
      </w:r>
    </w:p>
  </w:footnote>
  <w:footnote w:id="15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راجع حول بعض المواقف المختلفة والمتعارضة للإمام الخميني: حسين سيمائي، ثابت ومتغير در انديشه سياسي إمام خميني، فصلية </w:t>
      </w:r>
      <w:r w:rsidRPr="003E5026">
        <w:rPr>
          <w:rStyle w:val="FootnoteReference"/>
          <w:rFonts w:ascii="Mosawi" w:hAnsi="Mosawi" w:cs="Mosawi" w:hint="cs"/>
          <w:sz w:val="26"/>
          <w:szCs w:val="26"/>
          <w:vertAlign w:val="baseline"/>
          <w:rtl/>
        </w:rPr>
        <w:sym w:font="Islamic Units 1" w:char="F06D"/>
      </w:r>
      <w:r w:rsidRPr="003E5026">
        <w:rPr>
          <w:rStyle w:val="FootnoteReference"/>
          <w:rFonts w:ascii="Mosawi" w:hAnsi="Mosawi" w:cs="Mosawi" w:hint="cs"/>
          <w:sz w:val="26"/>
          <w:szCs w:val="26"/>
          <w:vertAlign w:val="baseline"/>
          <w:rtl/>
        </w:rPr>
        <w:t>حكومت إسلامي</w:t>
      </w:r>
      <w:r w:rsidRPr="003E5026">
        <w:rPr>
          <w:rStyle w:val="FootnoteReference"/>
          <w:rFonts w:ascii="Mosawi" w:hAnsi="Mosawi" w:cs="Mosawi" w:hint="cs"/>
          <w:sz w:val="26"/>
          <w:szCs w:val="26"/>
          <w:vertAlign w:val="baseline"/>
          <w:rtl/>
        </w:rPr>
        <w:sym w:font="Islamic Units 1" w:char="F06E"/>
      </w:r>
      <w:r w:rsidRPr="003E5026">
        <w:rPr>
          <w:rStyle w:val="FootnoteReference"/>
          <w:rFonts w:ascii="Mosawi" w:hAnsi="Mosawi" w:cs="Mosawi" w:hint="cs"/>
          <w:sz w:val="26"/>
          <w:szCs w:val="26"/>
          <w:vertAlign w:val="baseline"/>
          <w:rtl/>
        </w:rPr>
        <w:t>، العدد 12: 480.</w:t>
      </w:r>
    </w:p>
  </w:footnote>
  <w:footnote w:id="15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272.</w:t>
      </w:r>
    </w:p>
  </w:footnote>
  <w:footnote w:id="15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دائرة المعارف تشيع 4: 576.</w:t>
      </w:r>
    </w:p>
  </w:footnote>
  <w:footnote w:id="15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فهرست كتاب هاي چابي عربي: 94.</w:t>
      </w:r>
    </w:p>
  </w:footnote>
  <w:footnote w:id="15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الميزان 2: 260 ـ 278.</w:t>
      </w:r>
    </w:p>
  </w:footnote>
  <w:footnote w:id="15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269.</w:t>
      </w:r>
    </w:p>
  </w:footnote>
  <w:footnote w:id="15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275.</w:t>
      </w:r>
    </w:p>
  </w:footnote>
  <w:footnote w:id="15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271.</w:t>
      </w:r>
    </w:p>
  </w:footnote>
  <w:footnote w:id="16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273.</w:t>
      </w:r>
    </w:p>
  </w:footnote>
  <w:footnote w:id="16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4: 178 ـ 198.</w:t>
      </w:r>
    </w:p>
  </w:footnote>
  <w:footnote w:id="16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212 ـ 233.</w:t>
      </w:r>
    </w:p>
  </w:footnote>
  <w:footnote w:id="16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346 ـ 347.</w:t>
      </w:r>
    </w:p>
  </w:footnote>
  <w:footnote w:id="16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راجع: نظام حقوق زن در إسلام: 26 ـ 29، مجموعة آثار 19: 37 ـ 40.</w:t>
      </w:r>
    </w:p>
  </w:footnote>
  <w:footnote w:id="16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فهرست كتاب هاي چابي فارسي 4: 4728.</w:t>
      </w:r>
    </w:p>
  </w:footnote>
  <w:footnote w:id="16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لمزيد من الاطلاع على نظريات الأستاذ مطهري حول المرأة راجع: زن وفرهنك ديني، مهدي مهريزي، زن در آثار شهيد مطهري: 149 ـ 157.</w:t>
      </w:r>
    </w:p>
  </w:footnote>
  <w:footnote w:id="16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زن، مجموعه آثار 21: 4.</w:t>
      </w:r>
    </w:p>
  </w:footnote>
  <w:footnote w:id="16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راجع: مجموعة مقالات كنكره بين المللي جايكاه ونقش زن از ديدكاه إمام خميني، مجلدين، مهر ماه 1378هـ . ش / 1999م؛ وإمام خميني والكوهاي دين شناخت در مسائل زنان، سيد ضياء مرتضوي، دفتر تبليغات إسلامي، قم، 1382 / 2003م؛ ومدل اجتماعي جايكاه ونقش زن مسلمان در جامعه إسلامي بر أساس ديدكاه إمام خميني، فاطمة صفوي، رسالة ماجستير، كلية العلوم الاجتماعية، جامعة طهران</w:t>
      </w:r>
      <w:r w:rsidRPr="003E5026">
        <w:rPr>
          <w:rStyle w:val="FootnoteReference"/>
          <w:rFonts w:ascii="Mosawi" w:hAnsi="Mosawi" w:cs="Mosawi" w:hint="eastAsia"/>
          <w:sz w:val="26"/>
          <w:szCs w:val="26"/>
          <w:vertAlign w:val="baseline"/>
          <w:rtl/>
        </w:rPr>
        <w:t xml:space="preserve">، 1369 ـ 1370هـ . </w:t>
      </w:r>
      <w:r w:rsidRPr="003E5026">
        <w:rPr>
          <w:rStyle w:val="FootnoteReference"/>
          <w:rFonts w:ascii="Mosawi" w:hAnsi="Mosawi" w:cs="Mosawi" w:hint="cs"/>
          <w:sz w:val="26"/>
          <w:szCs w:val="26"/>
          <w:vertAlign w:val="baseline"/>
          <w:rtl/>
        </w:rPr>
        <w:t>ش / 1990 ـ 1991م.</w:t>
      </w:r>
    </w:p>
  </w:footnote>
  <w:footnote w:id="169">
    <w:p w:rsidR="0071680A" w:rsidRPr="003E5026" w:rsidRDefault="0071680A" w:rsidP="008349EA">
      <w:pPr>
        <w:pStyle w:val="11"/>
        <w:widowControl w:val="0"/>
        <w:spacing w:line="214"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الرسالة العملية: 6، مسألة: 2؛ وفصلية </w:t>
      </w:r>
      <w:r w:rsidRPr="003E5026">
        <w:rPr>
          <w:rStyle w:val="FootnoteReference"/>
          <w:rFonts w:ascii="Mosawi" w:hAnsi="Mosawi" w:cs="Mosawi" w:hint="cs"/>
          <w:sz w:val="26"/>
          <w:szCs w:val="26"/>
          <w:vertAlign w:val="baseline"/>
          <w:rtl/>
        </w:rPr>
        <w:sym w:font="Islamic Units 1" w:char="F06D"/>
      </w:r>
      <w:r w:rsidRPr="003E5026">
        <w:rPr>
          <w:rStyle w:val="FootnoteReference"/>
          <w:rFonts w:ascii="Mosawi" w:hAnsi="Mosawi" w:cs="Mosawi" w:hint="cs"/>
          <w:sz w:val="26"/>
          <w:szCs w:val="26"/>
          <w:vertAlign w:val="baseline"/>
          <w:rtl/>
        </w:rPr>
        <w:t>متين</w:t>
      </w:r>
      <w:r w:rsidRPr="003E5026">
        <w:rPr>
          <w:rStyle w:val="FootnoteReference"/>
          <w:rFonts w:ascii="Mosawi" w:hAnsi="Mosawi" w:cs="Mosawi" w:hint="cs"/>
          <w:sz w:val="26"/>
          <w:szCs w:val="26"/>
          <w:vertAlign w:val="baseline"/>
          <w:rtl/>
        </w:rPr>
        <w:sym w:font="Islamic Units 1" w:char="F06E"/>
      </w:r>
      <w:r w:rsidRPr="003E5026">
        <w:rPr>
          <w:rStyle w:val="FootnoteReference"/>
          <w:rFonts w:ascii="Mosawi" w:hAnsi="Mosawi" w:cs="Mosawi" w:hint="cs"/>
          <w:sz w:val="26"/>
          <w:szCs w:val="26"/>
          <w:vertAlign w:val="baseline"/>
          <w:rtl/>
        </w:rPr>
        <w:t>، العدد 2: 20.</w:t>
      </w:r>
    </w:p>
  </w:footnote>
  <w:footnote w:id="170">
    <w:p w:rsidR="0071680A" w:rsidRPr="003E5026" w:rsidRDefault="0071680A" w:rsidP="008349EA">
      <w:pPr>
        <w:pStyle w:val="11"/>
        <w:widowControl w:val="0"/>
        <w:spacing w:line="214"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فصلية </w:t>
      </w:r>
      <w:r w:rsidRPr="003E5026">
        <w:rPr>
          <w:rStyle w:val="FootnoteReference"/>
          <w:rFonts w:ascii="Mosawi" w:hAnsi="Mosawi" w:cs="Mosawi" w:hint="cs"/>
          <w:sz w:val="26"/>
          <w:szCs w:val="26"/>
          <w:vertAlign w:val="baseline"/>
          <w:rtl/>
        </w:rPr>
        <w:sym w:font="Islamic Units 1" w:char="F06D"/>
      </w:r>
      <w:r w:rsidRPr="003E5026">
        <w:rPr>
          <w:rStyle w:val="FootnoteReference"/>
          <w:rFonts w:ascii="Mosawi" w:hAnsi="Mosawi" w:cs="Mosawi" w:hint="cs"/>
          <w:sz w:val="26"/>
          <w:szCs w:val="26"/>
          <w:vertAlign w:val="baseline"/>
          <w:rtl/>
        </w:rPr>
        <w:t>متين</w:t>
      </w:r>
      <w:r w:rsidRPr="003E5026">
        <w:rPr>
          <w:rStyle w:val="FootnoteReference"/>
          <w:rFonts w:ascii="Mosawi" w:hAnsi="Mosawi" w:cs="Mosawi" w:hint="cs"/>
          <w:sz w:val="26"/>
          <w:szCs w:val="26"/>
          <w:vertAlign w:val="baseline"/>
          <w:rtl/>
        </w:rPr>
        <w:sym w:font="Islamic Units 1" w:char="F06E"/>
      </w:r>
      <w:r w:rsidRPr="003E5026">
        <w:rPr>
          <w:rStyle w:val="FootnoteReference"/>
          <w:rFonts w:ascii="Mosawi" w:hAnsi="Mosawi" w:cs="Mosawi" w:hint="cs"/>
          <w:sz w:val="26"/>
          <w:szCs w:val="26"/>
          <w:vertAlign w:val="baseline"/>
          <w:rtl/>
        </w:rPr>
        <w:t xml:space="preserve"> العدد 2: 20 ـ 21.</w:t>
      </w:r>
    </w:p>
  </w:footnote>
  <w:footnote w:id="171">
    <w:p w:rsidR="0071680A" w:rsidRPr="003E5026" w:rsidRDefault="0071680A" w:rsidP="008349EA">
      <w:pPr>
        <w:pStyle w:val="11"/>
        <w:widowControl w:val="0"/>
        <w:spacing w:line="214"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21.</w:t>
      </w:r>
    </w:p>
  </w:footnote>
  <w:footnote w:id="172">
    <w:p w:rsidR="0071680A" w:rsidRPr="003E5026" w:rsidRDefault="0071680A" w:rsidP="008349EA">
      <w:pPr>
        <w:pStyle w:val="11"/>
        <w:widowControl w:val="0"/>
        <w:spacing w:line="214"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الرسالة العملية: 514؛ مسألة: 92؛ وفصلية </w:t>
      </w:r>
      <w:r w:rsidRPr="003E5026">
        <w:rPr>
          <w:rStyle w:val="FootnoteReference"/>
          <w:rFonts w:ascii="Mosawi" w:hAnsi="Mosawi" w:cs="Mosawi" w:hint="cs"/>
          <w:sz w:val="26"/>
          <w:szCs w:val="26"/>
          <w:vertAlign w:val="baseline"/>
          <w:rtl/>
        </w:rPr>
        <w:sym w:font="Islamic Units 1" w:char="F06D"/>
      </w:r>
      <w:r w:rsidRPr="003E5026">
        <w:rPr>
          <w:rStyle w:val="FootnoteReference"/>
          <w:rFonts w:ascii="Mosawi" w:hAnsi="Mosawi" w:cs="Mosawi" w:hint="cs"/>
          <w:sz w:val="26"/>
          <w:szCs w:val="26"/>
          <w:vertAlign w:val="baseline"/>
          <w:rtl/>
        </w:rPr>
        <w:t>متين</w:t>
      </w:r>
      <w:r w:rsidRPr="003E5026">
        <w:rPr>
          <w:rStyle w:val="FootnoteReference"/>
          <w:rFonts w:ascii="Mosawi" w:hAnsi="Mosawi" w:cs="Mosawi" w:hint="cs"/>
          <w:sz w:val="26"/>
          <w:szCs w:val="26"/>
          <w:vertAlign w:val="baseline"/>
          <w:rtl/>
        </w:rPr>
        <w:sym w:font="Islamic Units 1" w:char="F06E"/>
      </w:r>
      <w:r w:rsidRPr="003E5026">
        <w:rPr>
          <w:rStyle w:val="FootnoteReference"/>
          <w:rFonts w:ascii="Mosawi" w:hAnsi="Mosawi" w:cs="Mosawi" w:hint="cs"/>
          <w:sz w:val="26"/>
          <w:szCs w:val="26"/>
          <w:vertAlign w:val="baseline"/>
          <w:rtl/>
        </w:rPr>
        <w:t>، العدد 2: 11.</w:t>
      </w:r>
    </w:p>
  </w:footnote>
  <w:footnote w:id="17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الرسالة العملية: 515، المسألة: 101؛ وفصلية </w:t>
      </w:r>
      <w:r w:rsidRPr="003E5026">
        <w:rPr>
          <w:rStyle w:val="FootnoteReference"/>
          <w:rFonts w:ascii="Mosawi" w:hAnsi="Mosawi" w:cs="Mosawi" w:hint="cs"/>
          <w:sz w:val="26"/>
          <w:szCs w:val="26"/>
          <w:vertAlign w:val="baseline"/>
          <w:rtl/>
        </w:rPr>
        <w:sym w:font="Islamic Units 1" w:char="F06D"/>
      </w:r>
      <w:r w:rsidRPr="003E5026">
        <w:rPr>
          <w:rStyle w:val="FootnoteReference"/>
          <w:rFonts w:ascii="Mosawi" w:hAnsi="Mosawi" w:cs="Mosawi" w:hint="cs"/>
          <w:sz w:val="26"/>
          <w:szCs w:val="26"/>
          <w:vertAlign w:val="baseline"/>
          <w:rtl/>
        </w:rPr>
        <w:t>متين</w:t>
      </w:r>
      <w:r w:rsidRPr="003E5026">
        <w:rPr>
          <w:rStyle w:val="FootnoteReference"/>
          <w:rFonts w:ascii="Mosawi" w:hAnsi="Mosawi" w:cs="Mosawi" w:hint="cs"/>
          <w:sz w:val="26"/>
          <w:szCs w:val="26"/>
          <w:vertAlign w:val="baseline"/>
          <w:rtl/>
        </w:rPr>
        <w:sym w:font="Islamic Units 1" w:char="F06E"/>
      </w:r>
      <w:r w:rsidRPr="003E5026">
        <w:rPr>
          <w:rStyle w:val="FootnoteReference"/>
          <w:rFonts w:ascii="Mosawi" w:hAnsi="Mosawi" w:cs="Mosawi" w:hint="cs"/>
          <w:sz w:val="26"/>
          <w:szCs w:val="26"/>
          <w:vertAlign w:val="baseline"/>
          <w:rtl/>
        </w:rPr>
        <w:t>، العدد 2: 26؛ وفقه الثقلين، كتاب القصاص: 162 ـ 204، 208 ـ 230.</w:t>
      </w:r>
    </w:p>
  </w:footnote>
  <w:footnote w:id="17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الرسالة العملية: 233؛ مسألة: 1443.</w:t>
      </w:r>
    </w:p>
  </w:footnote>
  <w:footnote w:id="17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فصلية </w:t>
      </w:r>
      <w:r w:rsidRPr="003E5026">
        <w:rPr>
          <w:rStyle w:val="FootnoteReference"/>
          <w:rFonts w:ascii="Mosawi" w:hAnsi="Mosawi" w:cs="Mosawi" w:hint="cs"/>
          <w:sz w:val="26"/>
          <w:szCs w:val="26"/>
          <w:vertAlign w:val="baseline"/>
          <w:rtl/>
        </w:rPr>
        <w:sym w:font="Islamic Units 1" w:char="F06D"/>
      </w:r>
      <w:r w:rsidRPr="003E5026">
        <w:rPr>
          <w:rStyle w:val="FootnoteReference"/>
          <w:rFonts w:ascii="Mosawi" w:hAnsi="Mosawi" w:cs="Mosawi" w:hint="cs"/>
          <w:sz w:val="26"/>
          <w:szCs w:val="26"/>
          <w:vertAlign w:val="baseline"/>
          <w:rtl/>
        </w:rPr>
        <w:t>متين</w:t>
      </w:r>
      <w:r w:rsidRPr="003E5026">
        <w:rPr>
          <w:rStyle w:val="FootnoteReference"/>
          <w:rFonts w:ascii="Mosawi" w:hAnsi="Mosawi" w:cs="Mosawi" w:hint="cs"/>
          <w:sz w:val="26"/>
          <w:szCs w:val="26"/>
          <w:vertAlign w:val="baseline"/>
          <w:rtl/>
        </w:rPr>
        <w:sym w:font="Islamic Units 1" w:char="F06E"/>
      </w:r>
      <w:r w:rsidRPr="003E5026">
        <w:rPr>
          <w:rStyle w:val="FootnoteReference"/>
          <w:rFonts w:ascii="Mosawi" w:hAnsi="Mosawi" w:cs="Mosawi" w:hint="cs"/>
          <w:sz w:val="26"/>
          <w:szCs w:val="26"/>
          <w:vertAlign w:val="baseline"/>
          <w:rtl/>
        </w:rPr>
        <w:t>، العدد 2: 21.</w:t>
      </w:r>
    </w:p>
  </w:footnote>
  <w:footnote w:id="17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شهرية </w:t>
      </w:r>
      <w:r w:rsidRPr="003E5026">
        <w:rPr>
          <w:rStyle w:val="FootnoteReference"/>
          <w:rFonts w:ascii="Mosawi" w:hAnsi="Mosawi" w:cs="Mosawi" w:hint="cs"/>
          <w:sz w:val="26"/>
          <w:szCs w:val="26"/>
          <w:vertAlign w:val="baseline"/>
          <w:rtl/>
        </w:rPr>
        <w:sym w:font="Islamic Units 1" w:char="F06D"/>
      </w:r>
      <w:r w:rsidRPr="003E5026">
        <w:rPr>
          <w:rStyle w:val="FootnoteReference"/>
          <w:rFonts w:ascii="Mosawi" w:hAnsi="Mosawi" w:cs="Mosawi" w:hint="eastAsia"/>
          <w:sz w:val="26"/>
          <w:szCs w:val="26"/>
          <w:vertAlign w:val="baseline"/>
          <w:rtl/>
        </w:rPr>
        <w:t>پيام زن</w:t>
      </w:r>
      <w:r w:rsidRPr="003E5026">
        <w:rPr>
          <w:rStyle w:val="FootnoteReference"/>
          <w:rFonts w:ascii="Mosawi" w:hAnsi="Mosawi" w:cs="Mosawi" w:hint="cs"/>
          <w:sz w:val="26"/>
          <w:szCs w:val="26"/>
          <w:vertAlign w:val="baseline"/>
          <w:rtl/>
        </w:rPr>
        <w:sym w:font="Islamic Units 1" w:char="F06E"/>
      </w:r>
      <w:r w:rsidRPr="003E5026">
        <w:rPr>
          <w:rStyle w:val="FootnoteReference"/>
          <w:rFonts w:ascii="Mosawi" w:hAnsi="Mosawi" w:cs="Mosawi" w:hint="eastAsia"/>
          <w:sz w:val="26"/>
          <w:szCs w:val="26"/>
          <w:vertAlign w:val="baseline"/>
          <w:rtl/>
        </w:rPr>
        <w:t>، العدد 64: 7 ـ 8</w:t>
      </w:r>
      <w:r w:rsidRPr="003E5026">
        <w:rPr>
          <w:rStyle w:val="FootnoteReference"/>
          <w:rFonts w:ascii="Mosawi" w:hAnsi="Mosawi" w:cs="Mosawi" w:hint="cs"/>
          <w:sz w:val="26"/>
          <w:szCs w:val="26"/>
          <w:vertAlign w:val="baseline"/>
          <w:rtl/>
        </w:rPr>
        <w:t>.</w:t>
      </w:r>
    </w:p>
  </w:footnote>
  <w:footnote w:id="17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9؛ ورسالة توضيح المسائل: 383.</w:t>
      </w:r>
    </w:p>
  </w:footnote>
  <w:footnote w:id="17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ورسالة توضيح المسائل: 397.</w:t>
      </w:r>
    </w:p>
  </w:footnote>
  <w:footnote w:id="17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10؛ ورسالة توضيح المسائل: 392.</w:t>
      </w:r>
    </w:p>
  </w:footnote>
  <w:footnote w:id="18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w:t>
      </w:r>
    </w:p>
  </w:footnote>
  <w:footnote w:id="18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11 ـ 12، والرسالة العملية: 462.</w:t>
      </w:r>
    </w:p>
  </w:footnote>
  <w:footnote w:id="18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12.</w:t>
      </w:r>
    </w:p>
  </w:footnote>
  <w:footnote w:id="18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الرسالة العملية 2: 25 ـ 26.</w:t>
      </w:r>
    </w:p>
  </w:footnote>
  <w:footnote w:id="18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مهر</w:t>
      </w:r>
      <w:r w:rsidRPr="003E5026">
        <w:rPr>
          <w:rStyle w:val="FootnoteReference"/>
          <w:rFonts w:ascii="Mosawi" w:hAnsi="Mosawi" w:cs="Mosawi" w:hint="eastAsia"/>
          <w:sz w:val="26"/>
          <w:szCs w:val="26"/>
          <w:vertAlign w:val="baseline"/>
          <w:rtl/>
        </w:rPr>
        <w:t>پور، حقوق زن: 25 ـ 26</w:t>
      </w:r>
      <w:r w:rsidRPr="003E5026">
        <w:rPr>
          <w:rStyle w:val="FootnoteReference"/>
          <w:rFonts w:ascii="Mosawi" w:hAnsi="Mosawi" w:cs="Mosawi" w:hint="cs"/>
          <w:sz w:val="26"/>
          <w:szCs w:val="26"/>
          <w:vertAlign w:val="baseline"/>
          <w:rtl/>
        </w:rPr>
        <w:t>.</w:t>
      </w:r>
    </w:p>
  </w:footnote>
  <w:footnote w:id="18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شبهات وردود حول القرآن الكريم: 157 ـ 158؛ وفصلية: </w:t>
      </w:r>
      <w:r w:rsidRPr="003E5026">
        <w:rPr>
          <w:rStyle w:val="FootnoteReference"/>
          <w:rFonts w:ascii="Mosawi" w:hAnsi="Mosawi" w:cs="Mosawi" w:hint="eastAsia"/>
          <w:sz w:val="26"/>
          <w:szCs w:val="26"/>
          <w:vertAlign w:val="baseline"/>
          <w:rtl/>
        </w:rPr>
        <w:t>پ</w:t>
      </w:r>
      <w:r w:rsidRPr="003E5026">
        <w:rPr>
          <w:rStyle w:val="FootnoteReference"/>
          <w:rFonts w:ascii="Mosawi" w:hAnsi="Mosawi" w:cs="Mosawi" w:hint="cs"/>
          <w:sz w:val="26"/>
          <w:szCs w:val="26"/>
          <w:vertAlign w:val="baseline"/>
          <w:rtl/>
        </w:rPr>
        <w:t>ژوهشهاي قرآني، العدد 25 ـ 26: 46.</w:t>
      </w:r>
    </w:p>
  </w:footnote>
  <w:footnote w:id="18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مجلة دادرسي، العدد 3: 5 ـ 8، عام 1997م.</w:t>
      </w:r>
    </w:p>
  </w:footnote>
  <w:footnote w:id="18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بلوغ دختران: 137 ـ 138؛ ومجلّة الفكر الإسلامي، العدد 3 ـ 4: 58 ـ 59.</w:t>
      </w:r>
    </w:p>
  </w:footnote>
  <w:footnote w:id="18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54.</w:t>
      </w:r>
    </w:p>
  </w:footnote>
  <w:footnote w:id="18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شبهات وردود حول القرآن الكريم: 139.</w:t>
      </w:r>
    </w:p>
  </w:footnote>
  <w:footnote w:id="19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121.</w:t>
      </w:r>
    </w:p>
  </w:footnote>
  <w:footnote w:id="19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فصلية فرزانه العدد 8: 21 ـ 24.</w:t>
      </w:r>
    </w:p>
  </w:footnote>
  <w:footnote w:id="19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مجلّة زنان، العدد 2: 28.</w:t>
      </w:r>
    </w:p>
  </w:footnote>
  <w:footnote w:id="19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فصلية </w:t>
      </w:r>
      <w:r w:rsidRPr="003E5026">
        <w:rPr>
          <w:rStyle w:val="FootnoteReference"/>
          <w:rFonts w:ascii="Mosawi" w:hAnsi="Mosawi" w:cs="Mosawi" w:hint="cs"/>
          <w:sz w:val="26"/>
          <w:szCs w:val="26"/>
          <w:vertAlign w:val="baseline"/>
          <w:rtl/>
        </w:rPr>
        <w:sym w:font="Islamic Units 1" w:char="F06D"/>
      </w:r>
      <w:r w:rsidRPr="003E5026">
        <w:rPr>
          <w:rStyle w:val="FootnoteReference"/>
          <w:rFonts w:ascii="Mosawi" w:hAnsi="Mosawi" w:cs="Mosawi" w:hint="cs"/>
          <w:sz w:val="26"/>
          <w:szCs w:val="26"/>
          <w:vertAlign w:val="baseline"/>
          <w:rtl/>
        </w:rPr>
        <w:t>ياس نو</w:t>
      </w:r>
      <w:r w:rsidRPr="003E5026">
        <w:rPr>
          <w:rStyle w:val="FootnoteReference"/>
          <w:rFonts w:ascii="Mosawi" w:hAnsi="Mosawi" w:cs="Mosawi" w:hint="cs"/>
          <w:sz w:val="26"/>
          <w:szCs w:val="26"/>
          <w:vertAlign w:val="baseline"/>
          <w:rtl/>
        </w:rPr>
        <w:sym w:font="Islamic Units 1" w:char="F06E"/>
      </w:r>
      <w:r w:rsidRPr="003E5026">
        <w:rPr>
          <w:rStyle w:val="FootnoteReference"/>
          <w:rFonts w:ascii="Mosawi" w:hAnsi="Mosawi" w:cs="Mosawi" w:hint="cs"/>
          <w:sz w:val="26"/>
          <w:szCs w:val="26"/>
          <w:vertAlign w:val="baseline"/>
          <w:rtl/>
        </w:rPr>
        <w:t>، العدد: 137: 15، 2003م.</w:t>
      </w:r>
    </w:p>
  </w:footnote>
  <w:footnote w:id="19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مجلّة فرزانه، العدد 8: 10.</w:t>
      </w:r>
    </w:p>
  </w:footnote>
  <w:footnote w:id="19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11.</w:t>
      </w:r>
    </w:p>
  </w:footnote>
  <w:footnote w:id="19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11 ـ 12.</w:t>
      </w:r>
    </w:p>
  </w:footnote>
  <w:footnote w:id="19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12.</w:t>
      </w:r>
    </w:p>
  </w:footnote>
  <w:footnote w:id="19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14.</w:t>
      </w:r>
    </w:p>
  </w:footnote>
  <w:footnote w:id="19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w:t>
      </w:r>
    </w:p>
  </w:footnote>
  <w:footnote w:id="200">
    <w:p w:rsidR="0071680A" w:rsidRPr="003E5026" w:rsidRDefault="0071680A" w:rsidP="00707350">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مجلة كتاب نقد، العدد 17: 17 ـ 18، شتاء 2000م.</w:t>
      </w:r>
    </w:p>
  </w:footnote>
  <w:footnote w:id="201">
    <w:p w:rsidR="0071680A" w:rsidRPr="003E5026" w:rsidRDefault="0071680A" w:rsidP="00707350">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حيث كان موضوع هذه المقالة هو النظريات السائدة في إيران اليوم، لهذا ذكرنا الفقيه شمس الدين والعلامة فضل الله ملحقات فيها.</w:t>
      </w:r>
    </w:p>
  </w:footnote>
  <w:footnote w:id="202">
    <w:p w:rsidR="0071680A" w:rsidRPr="003E5026" w:rsidRDefault="0071680A" w:rsidP="00707350">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زن در انديشه إسلامي: 22.</w:t>
      </w:r>
    </w:p>
  </w:footnote>
  <w:footnote w:id="203">
    <w:p w:rsidR="0071680A" w:rsidRPr="003E5026" w:rsidRDefault="0071680A" w:rsidP="00707350">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صدر عن دار الثقلين، بيروت، الطبعة الثانية 1418هـ / 1997م.</w:t>
      </w:r>
    </w:p>
  </w:footnote>
  <w:footnote w:id="20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زن وفرهنك ديني: 137 ـ 141.</w:t>
      </w:r>
    </w:p>
  </w:footnote>
  <w:footnote w:id="20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صدر عن دار الملاك، بيروت، الطبعة الخامسة، 1418هـ / 1997م.</w:t>
      </w:r>
    </w:p>
  </w:footnote>
  <w:footnote w:id="20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دنياي زن، طهران، دفتر </w:t>
      </w:r>
      <w:r w:rsidRPr="003E5026">
        <w:rPr>
          <w:rStyle w:val="FootnoteReference"/>
          <w:rFonts w:ascii="Mosawi" w:hAnsi="Mosawi" w:cs="Mosawi" w:hint="eastAsia"/>
          <w:sz w:val="26"/>
          <w:szCs w:val="26"/>
          <w:vertAlign w:val="baseline"/>
          <w:rtl/>
        </w:rPr>
        <w:t>پ</w:t>
      </w:r>
      <w:r w:rsidRPr="003E5026">
        <w:rPr>
          <w:rStyle w:val="FootnoteReference"/>
          <w:rFonts w:ascii="Mosawi" w:hAnsi="Mosawi" w:cs="Mosawi" w:hint="cs"/>
          <w:sz w:val="26"/>
          <w:szCs w:val="26"/>
          <w:vertAlign w:val="baseline"/>
          <w:rtl/>
        </w:rPr>
        <w:t>ژوهش ونشر سهروردي، 2004م.</w:t>
      </w:r>
    </w:p>
  </w:footnote>
  <w:footnote w:id="20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صدر عن دار الملاك، بيروت، 1418هـ / 1997م.</w:t>
      </w:r>
    </w:p>
  </w:footnote>
  <w:footnote w:id="20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صدر عن دار الثقلين، بيروت، 1418هـ / 1997م.</w:t>
      </w:r>
    </w:p>
  </w:footnote>
  <w:footnote w:id="20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 xml:space="preserve">(*) أحد مراجع التقليد الشيعة في مدينة قم الإيرانية، له آراء فقهية عديدة مخالفة للمشهور، </w:t>
      </w:r>
      <w:r w:rsidRPr="003E5026">
        <w:rPr>
          <w:rFonts w:ascii="Mosawi" w:hAnsi="Mosawi" w:cs="Mosawi" w:hint="cs"/>
          <w:sz w:val="26"/>
          <w:szCs w:val="26"/>
          <w:rtl/>
        </w:rPr>
        <w:t xml:space="preserve">لا </w:t>
      </w:r>
      <w:r w:rsidRPr="003E5026">
        <w:rPr>
          <w:rStyle w:val="FootnoteReference"/>
          <w:rFonts w:ascii="Mosawi" w:hAnsi="Mosawi" w:cs="Mosawi" w:hint="cs"/>
          <w:sz w:val="26"/>
          <w:szCs w:val="26"/>
          <w:vertAlign w:val="baseline"/>
          <w:rtl/>
        </w:rPr>
        <w:t>سيما في فقه المرأة.</w:t>
      </w:r>
    </w:p>
  </w:footnote>
  <w:footnote w:id="21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النوري، مستدرك الوسائل 18: 211، أبواب القصاص في النفس، باب 2، ح5.</w:t>
      </w:r>
    </w:p>
  </w:footnote>
  <w:footnote w:id="21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الحر</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العاملي، وسائل الشيعة 29: 13، أبواب القصاص في النفس، باب 1، ح9.</w:t>
      </w:r>
    </w:p>
  </w:footnote>
  <w:footnote w:id="21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المرتضى، الانتصار: 539.</w:t>
      </w:r>
    </w:p>
  </w:footnote>
  <w:footnote w:id="21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الفاضل الهندي، كشف اللثام 2: 446 (الطبعة الرحلية الحجرية).</w:t>
      </w:r>
    </w:p>
  </w:footnote>
  <w:footnote w:id="21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النجفي، جواهر الكلام 42: 150.</w:t>
      </w:r>
    </w:p>
  </w:footnote>
  <w:footnote w:id="21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الحر</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اني، تحف العقول: 34</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و</w:t>
      </w:r>
      <w:r w:rsidRPr="003E5026">
        <w:rPr>
          <w:rStyle w:val="FootnoteReference"/>
          <w:rFonts w:ascii="Mosawi" w:hAnsi="Mosawi" w:cs="Mosawi" w:hint="cs"/>
          <w:sz w:val="26"/>
          <w:szCs w:val="26"/>
          <w:vertAlign w:val="baseline"/>
          <w:rtl/>
        </w:rPr>
        <w:t xml:space="preserve">المجلسي، </w:t>
      </w:r>
      <w:r w:rsidRPr="003E5026">
        <w:rPr>
          <w:rStyle w:val="FootnoteReference"/>
          <w:rFonts w:ascii="Mosawi" w:hAnsi="Mosawi" w:cs="Mosawi"/>
          <w:sz w:val="26"/>
          <w:szCs w:val="26"/>
          <w:vertAlign w:val="baseline"/>
          <w:rtl/>
        </w:rPr>
        <w:t>بحار الأنوار 76: 350، ح13.</w:t>
      </w:r>
    </w:p>
  </w:footnote>
  <w:footnote w:id="21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الهندي، </w:t>
      </w:r>
      <w:r w:rsidRPr="003E5026">
        <w:rPr>
          <w:rStyle w:val="FootnoteReference"/>
          <w:rFonts w:ascii="Mosawi" w:hAnsi="Mosawi" w:cs="Mosawi"/>
          <w:sz w:val="26"/>
          <w:szCs w:val="26"/>
          <w:vertAlign w:val="baseline"/>
          <w:rtl/>
        </w:rPr>
        <w:t>كنـز العمال 9: 38، ح24882</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وبحار الأنوار 78: 215، ح108.</w:t>
      </w:r>
    </w:p>
  </w:footnote>
  <w:footnote w:id="21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بحار الأنوار 22: 118، ح89.</w:t>
      </w:r>
    </w:p>
  </w:footnote>
  <w:footnote w:id="21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المصدر نفسه: 348، ح64.</w:t>
      </w:r>
    </w:p>
  </w:footnote>
  <w:footnote w:id="21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المصدر نفسه 78: 57، ح119.</w:t>
      </w:r>
    </w:p>
  </w:footnote>
  <w:footnote w:id="22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الطبرسي، مجمع البيان 1: 264.</w:t>
      </w:r>
    </w:p>
  </w:footnote>
  <w:footnote w:id="22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راجع: الزمخشري، الكشاف 1: 221</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والأردبيلي، زبدة البيان: 671.</w:t>
      </w:r>
    </w:p>
  </w:footnote>
  <w:footnote w:id="22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النجفي، جواهر الكلام 42: 82.</w:t>
      </w:r>
    </w:p>
  </w:footnote>
  <w:footnote w:id="22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الفاضل الهندي، كشف اللثام 2: 446، سطر 7 (رحلي).</w:t>
      </w:r>
    </w:p>
  </w:footnote>
  <w:footnote w:id="22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الطوسي، </w:t>
      </w:r>
      <w:r w:rsidRPr="003E5026">
        <w:rPr>
          <w:rStyle w:val="FootnoteReference"/>
          <w:rFonts w:ascii="Mosawi" w:hAnsi="Mosawi" w:cs="Mosawi"/>
          <w:sz w:val="26"/>
          <w:szCs w:val="26"/>
          <w:vertAlign w:val="baseline"/>
          <w:rtl/>
        </w:rPr>
        <w:t>الخلاف 5: 145، مسألة 1.</w:t>
      </w:r>
    </w:p>
  </w:footnote>
  <w:footnote w:id="22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المرتضى، </w:t>
      </w:r>
      <w:r w:rsidRPr="003E5026">
        <w:rPr>
          <w:rStyle w:val="FootnoteReference"/>
          <w:rFonts w:ascii="Mosawi" w:hAnsi="Mosawi" w:cs="Mosawi"/>
          <w:sz w:val="26"/>
          <w:szCs w:val="26"/>
          <w:vertAlign w:val="baseline"/>
          <w:rtl/>
        </w:rPr>
        <w:t>الانتصار: 539.</w:t>
      </w:r>
    </w:p>
  </w:footnote>
  <w:footnote w:id="22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وسائل الشيعة 29: 80، باب 33، ح1.</w:t>
      </w:r>
    </w:p>
  </w:footnote>
  <w:footnote w:id="22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المصدر نفسه: 81، ح3.</w:t>
      </w:r>
    </w:p>
  </w:footnote>
  <w:footnote w:id="22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المصدر نفسه، ح3.</w:t>
      </w:r>
    </w:p>
  </w:footnote>
  <w:footnote w:id="22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فرائد الأصول، مجموعة آثار الشيخ الأنصاري 24: 245.</w:t>
      </w:r>
    </w:p>
  </w:footnote>
  <w:footnote w:id="23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وسائل الشيعة 27: 111، ح15.</w:t>
      </w:r>
    </w:p>
  </w:footnote>
  <w:footnote w:id="23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بحار الأنوار 2: 225.</w:t>
      </w:r>
    </w:p>
  </w:footnote>
  <w:footnote w:id="23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البرقي، المحاسن: 221، ح130.</w:t>
      </w:r>
    </w:p>
  </w:footnote>
  <w:footnote w:id="23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بحار الأنوار 2: 229.</w:t>
      </w:r>
    </w:p>
  </w:footnote>
  <w:footnote w:id="23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المصدر نفسه، ح2، ص165، 227، 24.</w:t>
      </w:r>
    </w:p>
  </w:footnote>
  <w:footnote w:id="23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وسائل الشيعة 27: 110، ح10.</w:t>
      </w:r>
    </w:p>
  </w:footnote>
  <w:footnote w:id="23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الطوسي، تهذيب الأحكام 10: 183، ح717.</w:t>
      </w:r>
    </w:p>
  </w:footnote>
  <w:footnote w:id="23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المصدر نفسه.</w:t>
      </w:r>
    </w:p>
  </w:footnote>
  <w:footnote w:id="23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تفسير القمي 1: 169</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و</w:t>
      </w:r>
      <w:r w:rsidRPr="003E5026">
        <w:rPr>
          <w:rStyle w:val="FootnoteReference"/>
          <w:rFonts w:ascii="Mosawi" w:hAnsi="Mosawi" w:cs="Mosawi" w:hint="cs"/>
          <w:sz w:val="26"/>
          <w:szCs w:val="26"/>
          <w:vertAlign w:val="baseline"/>
          <w:rtl/>
        </w:rPr>
        <w:t xml:space="preserve">البروجردي، </w:t>
      </w:r>
      <w:r w:rsidRPr="003E5026">
        <w:rPr>
          <w:rStyle w:val="FootnoteReference"/>
          <w:rFonts w:ascii="Mosawi" w:hAnsi="Mosawi" w:cs="Mosawi"/>
          <w:sz w:val="26"/>
          <w:szCs w:val="26"/>
          <w:vertAlign w:val="baseline"/>
          <w:rtl/>
        </w:rPr>
        <w:t>جامع أحاديث الشيعة 31: 187، ب17، ح20.</w:t>
      </w:r>
    </w:p>
  </w:footnote>
  <w:footnote w:id="23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تهذيب الأحكام 10: 183، ح718.</w:t>
      </w:r>
    </w:p>
  </w:footnote>
  <w:footnote w:id="24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المصدر نفسه، ح717.</w:t>
      </w:r>
    </w:p>
  </w:footnote>
  <w:footnote w:id="24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كنـز العمال 2: 355.</w:t>
      </w:r>
    </w:p>
  </w:footnote>
  <w:footnote w:id="24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الطباطبائي، الميزان في تفسير القرآن 1: 441.</w:t>
      </w:r>
    </w:p>
  </w:footnote>
  <w:footnote w:id="24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المواسعة والمضايقة اصطلاحان فقهي</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ان يستعملان في المورد الذي يقع على عهدة المكلّف فيه مسؤولية قضاء الصلوات، فهل يمكنه إقامة الصلاة اليومية في أي</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فترة من وقتها ولو في أول الوقت (المواسعة) أم أن</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عليه تأخيرها إلى آخر وقتها الممك</w:t>
      </w:r>
      <w:r w:rsidRPr="003E5026">
        <w:rPr>
          <w:rStyle w:val="FootnoteReference"/>
          <w:rFonts w:ascii="Mosawi" w:hAnsi="Mosawi" w:cs="Mosawi" w:hint="cs"/>
          <w:sz w:val="26"/>
          <w:szCs w:val="26"/>
          <w:vertAlign w:val="baseline"/>
          <w:rtl/>
        </w:rPr>
        <w:t>ن؛</w:t>
      </w:r>
      <w:r w:rsidRPr="003E5026">
        <w:rPr>
          <w:rStyle w:val="FootnoteReference"/>
          <w:rFonts w:ascii="Mosawi" w:hAnsi="Mosawi" w:cs="Mosawi"/>
          <w:sz w:val="26"/>
          <w:szCs w:val="26"/>
          <w:vertAlign w:val="baseline"/>
          <w:rtl/>
        </w:rPr>
        <w:t xml:space="preserve"> نظراً لوجود صلوات قضائية عليه تعدّ مقدَّمةً على اليومية (المضايقة)؟</w:t>
      </w:r>
    </w:p>
  </w:footnote>
  <w:footnote w:id="24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جواهر الكلام 13: 98 ـ 99.</w:t>
      </w:r>
    </w:p>
  </w:footnote>
  <w:footnote w:id="24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مرتضى مطهري، مباني اقتصاد إسلامي: 14 ـ 15.</w:t>
      </w:r>
    </w:p>
  </w:footnote>
  <w:footnote w:id="24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المجلسي، مرآة العقول 12: 525.</w:t>
      </w:r>
    </w:p>
  </w:footnote>
  <w:footnote w:id="24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الكليني، </w:t>
      </w:r>
      <w:r w:rsidRPr="003E5026">
        <w:rPr>
          <w:rStyle w:val="FootnoteReference"/>
          <w:rFonts w:ascii="Mosawi" w:hAnsi="Mosawi" w:cs="Mosawi"/>
          <w:sz w:val="26"/>
          <w:szCs w:val="26"/>
          <w:vertAlign w:val="baseline"/>
          <w:rtl/>
        </w:rPr>
        <w:t>الكافي 7: 177، ح3.</w:t>
      </w:r>
    </w:p>
  </w:footnote>
  <w:footnote w:id="24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الصدوق، </w:t>
      </w:r>
      <w:r w:rsidRPr="003E5026">
        <w:rPr>
          <w:rStyle w:val="FootnoteReference"/>
          <w:rFonts w:ascii="Mosawi" w:hAnsi="Mosawi" w:cs="Mosawi"/>
          <w:sz w:val="26"/>
          <w:szCs w:val="26"/>
          <w:vertAlign w:val="baseline"/>
          <w:rtl/>
        </w:rPr>
        <w:t>من لا يحضره الفقيه 4: 17، ح32.</w:t>
      </w:r>
    </w:p>
  </w:footnote>
  <w:footnote w:id="24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الطوسي، </w:t>
      </w:r>
      <w:r w:rsidRPr="003E5026">
        <w:rPr>
          <w:rStyle w:val="FootnoteReference"/>
          <w:rFonts w:ascii="Mosawi" w:hAnsi="Mosawi" w:cs="Mosawi"/>
          <w:sz w:val="26"/>
          <w:szCs w:val="26"/>
          <w:vertAlign w:val="baseline"/>
          <w:rtl/>
        </w:rPr>
        <w:t>تهذيب الأحكام 10: 23، ح7.</w:t>
      </w:r>
    </w:p>
  </w:footnote>
  <w:footnote w:id="25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الطوسي، </w:t>
      </w:r>
      <w:r w:rsidRPr="003E5026">
        <w:rPr>
          <w:rStyle w:val="FootnoteReference"/>
          <w:rFonts w:ascii="Mosawi" w:hAnsi="Mosawi" w:cs="Mosawi"/>
          <w:sz w:val="26"/>
          <w:szCs w:val="26"/>
          <w:vertAlign w:val="baseline"/>
          <w:rtl/>
        </w:rPr>
        <w:t>اختيار معرفة الرجال: 489</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وجامع أحاديث الشيعة 1: 317، ح469.</w:t>
      </w:r>
    </w:p>
  </w:footnote>
  <w:footnote w:id="25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الراغب الإصفهاني، </w:t>
      </w:r>
      <w:r w:rsidRPr="003E5026">
        <w:rPr>
          <w:rStyle w:val="FootnoteReference"/>
          <w:rFonts w:ascii="Mosawi" w:hAnsi="Mosawi" w:cs="Mosawi"/>
          <w:sz w:val="26"/>
          <w:szCs w:val="26"/>
          <w:vertAlign w:val="baseline"/>
          <w:rtl/>
        </w:rPr>
        <w:t>المفردات في غريب القرآن: 518.</w:t>
      </w:r>
    </w:p>
  </w:footnote>
  <w:footnote w:id="25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وسائل الشيعة 21: 85، ب 33، ح17.</w:t>
      </w:r>
    </w:p>
  </w:footnote>
  <w:footnote w:id="25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تهذيب الأحكام 10: 183، ح717.</w:t>
      </w:r>
    </w:p>
  </w:footnote>
  <w:footnote w:id="25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وسائل الشيعة 21: 84، ب33، ح14.</w:t>
      </w:r>
    </w:p>
  </w:footnote>
  <w:footnote w:id="25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المصدر نفسه، ب33، ح16.</w:t>
      </w:r>
    </w:p>
  </w:footnote>
  <w:footnote w:id="25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البحراني، </w:t>
      </w:r>
      <w:r w:rsidRPr="003E5026">
        <w:rPr>
          <w:rStyle w:val="FootnoteReference"/>
          <w:rFonts w:ascii="Mosawi" w:hAnsi="Mosawi" w:cs="Mosawi"/>
          <w:sz w:val="26"/>
          <w:szCs w:val="26"/>
          <w:vertAlign w:val="baseline"/>
          <w:rtl/>
        </w:rPr>
        <w:t>الحدائق الناضرة 9: 368.</w:t>
      </w:r>
    </w:p>
  </w:footnote>
  <w:footnote w:id="25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وسائل الشيعة 29: 83، ب33، ح10.</w:t>
      </w:r>
    </w:p>
  </w:footnote>
  <w:footnote w:id="25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 xml:space="preserve">راجع: </w:t>
      </w:r>
      <w:r w:rsidRPr="003E5026">
        <w:rPr>
          <w:rStyle w:val="FootnoteReference"/>
          <w:rFonts w:ascii="Mosawi" w:hAnsi="Mosawi" w:cs="Mosawi" w:hint="cs"/>
          <w:sz w:val="26"/>
          <w:szCs w:val="26"/>
          <w:vertAlign w:val="baseline"/>
          <w:rtl/>
        </w:rPr>
        <w:t>مجلّة الاجتهاد والتجديد، العدد الأوّل، شتاء 2006م.</w:t>
      </w:r>
    </w:p>
  </w:footnote>
  <w:footnote w:id="25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وسائل الشيعة 29: 164، ح3.</w:t>
      </w:r>
    </w:p>
  </w:footnote>
  <w:footnote w:id="26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المصدر نفسه: 163، ح1.</w:t>
      </w:r>
    </w:p>
  </w:footnote>
  <w:footnote w:id="26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المصدر نفسه، ح2.</w:t>
      </w:r>
    </w:p>
  </w:footnote>
  <w:footnote w:id="26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الحكومة: اصطلاح في علم أصول الفقه، يستعمل عندما يوسّع دليلٌ ما أو يضي</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ق موضوع</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دليل آخر على نحو التعب</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د.</w:t>
      </w:r>
    </w:p>
  </w:footnote>
  <w:footnote w:id="26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وسائل الشيعة 29: 165، ح6.</w:t>
      </w:r>
    </w:p>
  </w:footnote>
  <w:footnote w:id="26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المصدر نفسه: 384، ح2.</w:t>
      </w:r>
    </w:p>
  </w:footnote>
  <w:footnote w:id="26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المصدر نفسه: 164، ح4.</w:t>
      </w:r>
    </w:p>
  </w:footnote>
  <w:footnote w:id="26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لمزيد من الاطلاع، راجع: صانعي، فقه الثقلين (كتاب القصاص): 205 ـ 208، 583 ـ 588.</w:t>
      </w:r>
    </w:p>
  </w:footnote>
  <w:footnote w:id="26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النجفي، جواهر الكلام 42: 150.</w:t>
      </w:r>
    </w:p>
  </w:footnote>
  <w:footnote w:id="26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الصدوق، </w:t>
      </w:r>
      <w:r w:rsidRPr="003E5026">
        <w:rPr>
          <w:rStyle w:val="FootnoteReference"/>
          <w:rFonts w:ascii="Mosawi" w:hAnsi="Mosawi" w:cs="Mosawi"/>
          <w:sz w:val="26"/>
          <w:szCs w:val="26"/>
          <w:vertAlign w:val="baseline"/>
          <w:rtl/>
        </w:rPr>
        <w:t>المقنع: 534.</w:t>
      </w:r>
    </w:p>
  </w:footnote>
  <w:footnote w:id="26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من لا يحضره الفقيه 4: 92، ذيل الحديث: 299.</w:t>
      </w:r>
    </w:p>
  </w:footnote>
  <w:footnote w:id="27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الطوسي، </w:t>
      </w:r>
      <w:r w:rsidRPr="003E5026">
        <w:rPr>
          <w:rStyle w:val="FootnoteReference"/>
          <w:rFonts w:ascii="Mosawi" w:hAnsi="Mosawi" w:cs="Mosawi"/>
          <w:sz w:val="26"/>
          <w:szCs w:val="26"/>
          <w:vertAlign w:val="baseline"/>
          <w:rtl/>
        </w:rPr>
        <w:t>الخلاف 5: 145، المسألة: 2.</w:t>
      </w:r>
    </w:p>
  </w:footnote>
  <w:footnote w:id="27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من لا يحضره الفقيه 4: 234.</w:t>
      </w:r>
    </w:p>
  </w:footnote>
  <w:footnote w:id="27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الشهيد الثاني، </w:t>
      </w:r>
      <w:r w:rsidRPr="003E5026">
        <w:rPr>
          <w:rStyle w:val="FootnoteReference"/>
          <w:rFonts w:ascii="Mosawi" w:hAnsi="Mosawi" w:cs="Mosawi"/>
          <w:sz w:val="26"/>
          <w:szCs w:val="26"/>
          <w:vertAlign w:val="baseline"/>
          <w:rtl/>
        </w:rPr>
        <w:t>مسالك الأفهام 15: 142.</w:t>
      </w:r>
    </w:p>
  </w:footnote>
  <w:footnote w:id="27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جواهر الكلام 42: 150.</w:t>
      </w:r>
    </w:p>
  </w:footnote>
  <w:footnote w:id="27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وسائل الشيعة 29: 107، ب47، ح1.</w:t>
      </w:r>
    </w:p>
  </w:footnote>
  <w:footnote w:id="27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المصدر نفسه: 109، ب47، ح6.</w:t>
      </w:r>
    </w:p>
  </w:footnote>
  <w:footnote w:id="27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المصدر نفسه، ح7.</w:t>
      </w:r>
    </w:p>
  </w:footnote>
  <w:footnote w:id="27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المصدر نفسه: 107، ب47، ح1.</w:t>
      </w:r>
    </w:p>
  </w:footnote>
  <w:footnote w:id="27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المصدر نفسه: 108، ب47، ح5.</w:t>
      </w:r>
    </w:p>
  </w:footnote>
  <w:footnote w:id="27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المصدر نفسه: 107، ب47، ح2.</w:t>
      </w:r>
    </w:p>
  </w:footnote>
  <w:footnote w:id="28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المصدر نفسه: 108، ب47، ح4.</w:t>
      </w:r>
    </w:p>
  </w:footnote>
  <w:footnote w:id="28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المصدر نفسه، ح3.</w:t>
      </w:r>
    </w:p>
  </w:footnote>
  <w:footnote w:id="28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جواهر الكلام 42: 150.</w:t>
      </w:r>
    </w:p>
  </w:footnote>
  <w:footnote w:id="28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لمزيد من الاطلاع يراجع: صانعي، فقه الثقلين (كتاب القصاص): 230 ـ 247.</w:t>
      </w:r>
    </w:p>
  </w:footnote>
  <w:footnote w:id="28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جواهر الكلام 42: 156.</w:t>
      </w:r>
    </w:p>
  </w:footnote>
  <w:footnote w:id="28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وسائل الشيعة 21: 110، ب49، ح1.</w:t>
      </w:r>
    </w:p>
  </w:footnote>
  <w:footnote w:id="28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الطوسي، تهذيب الأحكام 10: 190، ح750.</w:t>
      </w:r>
    </w:p>
  </w:footnote>
  <w:footnote w:id="28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الأردبيلي، </w:t>
      </w:r>
      <w:r w:rsidRPr="003E5026">
        <w:rPr>
          <w:rStyle w:val="FootnoteReference"/>
          <w:rFonts w:ascii="Mosawi" w:hAnsi="Mosawi" w:cs="Mosawi"/>
          <w:sz w:val="26"/>
          <w:szCs w:val="26"/>
          <w:vertAlign w:val="baseline"/>
          <w:rtl/>
        </w:rPr>
        <w:t>مجمع الفائدة والبرهان 14: 30.</w:t>
      </w:r>
    </w:p>
  </w:footnote>
  <w:footnote w:id="28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لمزيد من الاطلاع يراجع: صانعي، فقه الثقلين (كتاب القصاص): 250 ـ 256.</w:t>
      </w:r>
    </w:p>
  </w:footnote>
  <w:footnote w:id="28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مرتضى الأنصاري، القضاء والشهادات، ج 22 من سلسلة المصنفات: 229.</w:t>
      </w:r>
    </w:p>
  </w:footnote>
  <w:footnote w:id="29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ابن حزم الأندلسي، الإحكام في أصول الأحكام: 5: 113ـ130.</w:t>
      </w:r>
    </w:p>
  </w:footnote>
  <w:footnote w:id="29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أبو إسحاق الشيرازي، اللمع في أصول الفقه: 254 ـ 257.</w:t>
      </w:r>
    </w:p>
  </w:footnote>
  <w:footnote w:id="29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الغزالي، المستصفى 2: 509 ـ 631.</w:t>
      </w:r>
    </w:p>
  </w:footnote>
  <w:footnote w:id="29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الأنصاري، فواتح الرحموت 2: 598 ـ 659.</w:t>
      </w:r>
    </w:p>
  </w:footnote>
  <w:footnote w:id="29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حسن العطار، حاشية العطار على جمع الجوامع للسبكي 2: 424 ـ 425.</w:t>
      </w:r>
    </w:p>
  </w:footnote>
  <w:footnote w:id="29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ابن قدامة المقدسي، المغني 11: 381، دار الفكر.</w:t>
      </w:r>
    </w:p>
  </w:footnote>
  <w:footnote w:id="29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ابن الصلاح الشهرزوري، أدب المفتي والمستفتي: 106، مكتبة العلوم والحكم، الطبعة الأولى، 1986م.</w:t>
      </w:r>
    </w:p>
  </w:footnote>
  <w:footnote w:id="29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النووي، المجموع شرح المهذب 1: 41، دار الفكر؛ وله أيضاً: آداب الفتوى والمفتي والمستفتي: 19، دار الفكر، دمشق، والجفّان والجابي، الطبعة الأولى، 1988م، وقد جمع النووي في هذا الكتاب آراء ثلاثة من أعلام السنّة: الصيمري، والخطيب البغدادي، والشهرزوري.</w:t>
      </w:r>
    </w:p>
  </w:footnote>
  <w:footnote w:id="29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النووي، روضة الطالبين 8: 87، دار الكتب العلمية، بيروت.</w:t>
      </w:r>
    </w:p>
  </w:footnote>
  <w:footnote w:id="29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ابن قيم الجوزية، أعلام الموقعين عن رب العالمين 1: 11 ـ 14.</w:t>
      </w:r>
    </w:p>
  </w:footnote>
  <w:footnote w:id="30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موسوعة الفقه الإسلامي 32: 26.</w:t>
      </w:r>
    </w:p>
  </w:footnote>
  <w:footnote w:id="30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الفتاوى الهندية 3: 309، طبعة دار إحياء التراث العربي.</w:t>
      </w:r>
    </w:p>
  </w:footnote>
  <w:footnote w:id="30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منصور بن يونس البهوتي، كشاف القناع 6: 380، دار الكتب العلمية، 1418هـ.</w:t>
      </w:r>
    </w:p>
  </w:footnote>
  <w:footnote w:id="30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علاء الدين الحصفكي، الدر المختار 5: 498، طبعة دار الفكر، 1415هـ.</w:t>
      </w:r>
    </w:p>
  </w:footnote>
  <w:footnote w:id="30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الشهيد الثاني، الروضة البهية في شرح اللمعة الدمشقية 3: 62.</w:t>
      </w:r>
    </w:p>
  </w:footnote>
  <w:footnote w:id="30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الشريف المرتضى، الذريعة إلى أصول الشريعة 2: 792 ـ 804؛ والطوسي، العدّة 2: 723 ـ 735؛ والمحقق الحلي، معارج الأصول: 275 ـ 281؛ والعلامة الحلي، تهذيب الوصول إلى علم الأصول: 277 ـ 299؛ ومبادئ الوصول إلى علم الأصول: 240ـ250.</w:t>
      </w:r>
    </w:p>
  </w:footnote>
  <w:footnote w:id="30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الوحيد البهبهاني، الفوائد الحائرية:131 ـ 133؛ والرسائل الأصولية، رسالة الاجتهاد والأخبار:15 ـ 229؛ وانظر في هذا السياق أبو القاسم بن زين العابدين كريم، كتاب اجتهاد وتقليد (فارسي)، وهو كتاب سطر في القرن الرابع عشر الهجري، كما وانظر كتاب الوافية للفاضل التوني حيث ذكر فيه مباحث الاجتهاد والتقليد، وذكر شروط المقلَّد والمفتي دون أدنى إشارة لشرطية الذكورة، راجع: الوافية: 243ـ317. </w:t>
      </w:r>
    </w:p>
  </w:footnote>
  <w:footnote w:id="30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الشيخ حسن، معالم الدين: 238 ـ 248؛ والبهائي، زبدة الأصول: 159ـ 168؛ والخراساني، كفاية الأصول: 528 ـ 548؛ والمشكيني، حواشي الكفاية 5: 271ـ 358؛ والعراقي، مقالات الأصول 2: 491 ـ 512؛ ونهاية الأفكار 4، ق2: 215ـ 269؛ والإصفهاني، نهاية الدراية 3: 425 ـ 487؛ والبروجردي، حاشية الكفاية 2: 495 ـ 509؛ والخوئي، مصباح الأصول 3: </w:t>
      </w:r>
      <w:r w:rsidRPr="000218F4">
        <w:rPr>
          <w:rStyle w:val="FootnoteReference"/>
          <w:rFonts w:ascii="Mosawi" w:hAnsi="Mosawi" w:cs="Mosawi" w:hint="cs"/>
          <w:sz w:val="25"/>
          <w:szCs w:val="25"/>
          <w:vertAlign w:val="baseline"/>
          <w:rtl/>
        </w:rPr>
        <w:t>434 ـ 466؛ وله أيضاً: دراسات في علم الأصول4: 421ـ444، بقلم السيد علي الشاهرودي و..</w:t>
      </w:r>
    </w:p>
  </w:footnote>
  <w:footnote w:id="30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الأنصاري، رسالة في الاجتهاد والتقليد (ضمن كتاب مجموعة رسائل فقهية وأصولية صادرة عن مكتبة المفيد في قم، إيران): 45ـ96، سيما ما بعد صفحة 57.</w:t>
      </w:r>
    </w:p>
  </w:footnote>
  <w:footnote w:id="30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محمد كاظم اليزدي، العروة الوثقى 1: 24، طبعة جامعة المدرسين.</w:t>
      </w:r>
    </w:p>
  </w:footnote>
  <w:footnote w:id="31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المصدر نفسه، حيث لم يسجّلوا تعليقاً على متن العروة؛ ومنهم أيضاً: السيد محمد الشيرازي، الفقه 1: 219؛ والملاحظ أنّ السيد أبا الحسن الإصفهاني ومعه الإمام الخميني لم يذكرا في رسالتهما العملية العربية المعروفة </w:t>
      </w:r>
      <w:r w:rsidRPr="000218F4">
        <w:rPr>
          <w:rStyle w:val="FootnoteReference"/>
          <w:rFonts w:ascii="Mosawi" w:hAnsi="Mosawi" w:cs="Mosawi" w:hint="cs"/>
          <w:sz w:val="25"/>
          <w:szCs w:val="25"/>
          <w:vertAlign w:val="baseline"/>
          <w:rtl/>
        </w:rPr>
        <w:t>شرط الذكورة فراجع: وسيلة النجاة1: 11، م3؛ وتحرير الوسيلة1: 3، م3.</w:t>
      </w:r>
    </w:p>
  </w:footnote>
  <w:footnote w:id="31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راجع: موسى الشبيري الزنجاني، رسالة توضيح المسائل 1: 4؛ ومحمد إسحاق الفياض، منهاج الصالحين 1: 8؛ ومحمد سعيد الحكيم، منهاج الصالحين 1: 6؛ وعلي الحسيني السيستاني، منهاج الصالحين 1: 10؛ وهو رأي جواد التبريزي والفاضل اللنكراني كما في رسالة توضيح المسائل (شش مرجع): 20ـ 21؛ وتنقيح مباني العروة 1: 58ـ 59؛ ولطف الله الصافي الكلبيكاني، توضيح المسائل: 4؛ وناصر مكارم الشيرازي، رسالة توضيح المسائل: 8؛ وهو ظاهر محمد تقي البهجة في رسالة توضيح المسائل: 7؛ وحسين وحيد الخراساني، توضيح المسائل: 173؛ وحسين النوري الهمداني، رسالة توضيح المسائل: 12؛ ومحمد علي كرامي، رسالة توضيح المسائل: 6؛ وحسين علي منتظري، رسالة توضيح المسائل: 4؛ نعم، احتاط وجوباً في هذا الشرط عبد الكريم الموسوي الأردبيلي في رسالة توضيح المسائل: 2؛ وتبنّى الاحتياط أيضاً الفيروزآبادي في عناية الأصول6: 293ـ294.</w:t>
      </w:r>
    </w:p>
  </w:footnote>
  <w:footnote w:id="312">
    <w:p w:rsidR="0071680A" w:rsidRPr="003E5026" w:rsidRDefault="0071680A" w:rsidP="000218F4">
      <w:pPr>
        <w:pStyle w:val="11"/>
        <w:widowControl w:val="0"/>
        <w:spacing w:line="209"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السيد محمد الطباطبائي، مفاتيح الأصول (حجري): 613.</w:t>
      </w:r>
    </w:p>
  </w:footnote>
  <w:footnote w:id="313">
    <w:p w:rsidR="0071680A" w:rsidRPr="003E5026" w:rsidRDefault="0071680A" w:rsidP="000218F4">
      <w:pPr>
        <w:pStyle w:val="11"/>
        <w:widowControl w:val="0"/>
        <w:spacing w:line="209"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محمد حسين الإصفهاني، الاجتهاد والتقليد، ضمن كتاب بحوث في الأصول: 68.</w:t>
      </w:r>
    </w:p>
  </w:footnote>
  <w:footnote w:id="314">
    <w:p w:rsidR="0071680A" w:rsidRPr="003E5026" w:rsidRDefault="0071680A" w:rsidP="000218F4">
      <w:pPr>
        <w:pStyle w:val="11"/>
        <w:widowControl w:val="0"/>
        <w:spacing w:line="209"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محسن الحكيم، مستمسك العروة الوثقى 1: 43.</w:t>
      </w:r>
    </w:p>
  </w:footnote>
  <w:footnote w:id="315">
    <w:p w:rsidR="0071680A" w:rsidRPr="003E5026" w:rsidRDefault="0071680A" w:rsidP="000218F4">
      <w:pPr>
        <w:pStyle w:val="11"/>
        <w:widowControl w:val="0"/>
        <w:spacing w:line="209"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نصّ على الشرطية محسن الحكيم في منهاج الصالحين 1: 6.</w:t>
      </w:r>
    </w:p>
  </w:footnote>
  <w:footnote w:id="316">
    <w:p w:rsidR="0071680A" w:rsidRPr="003E5026" w:rsidRDefault="0071680A" w:rsidP="000218F4">
      <w:pPr>
        <w:pStyle w:val="11"/>
        <w:widowControl w:val="0"/>
        <w:spacing w:line="209"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رضا الصدر، الاجتهاد والتقليد: 106 ـ 107.</w:t>
      </w:r>
    </w:p>
  </w:footnote>
  <w:footnote w:id="317">
    <w:p w:rsidR="0071680A" w:rsidRPr="003E5026" w:rsidRDefault="0071680A" w:rsidP="000218F4">
      <w:pPr>
        <w:pStyle w:val="11"/>
        <w:widowControl w:val="0"/>
        <w:spacing w:line="209"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محمد مهدي شمس الدين، الاجتهاد والتقليد: 281 ـ 283.</w:t>
      </w:r>
    </w:p>
  </w:footnote>
  <w:footnote w:id="318">
    <w:p w:rsidR="0071680A" w:rsidRPr="003E5026" w:rsidRDefault="0071680A" w:rsidP="000218F4">
      <w:pPr>
        <w:pStyle w:val="11"/>
        <w:widowControl w:val="0"/>
        <w:spacing w:line="209"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محمد حسين فضل الله، دنيا المرأة: 124ـ126، لكنه نصّ على الشرطيّة في رسالته العملية: فقه الشريعة 1: 15.</w:t>
      </w:r>
    </w:p>
  </w:footnote>
  <w:footnote w:id="319">
    <w:p w:rsidR="0071680A" w:rsidRPr="003E5026" w:rsidRDefault="0071680A" w:rsidP="000218F4">
      <w:pPr>
        <w:pStyle w:val="11"/>
        <w:widowControl w:val="0"/>
        <w:spacing w:line="209"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محمد الجيلاني، شرطية الذكورة في المُفتي، مجلة فقه أهل البيت، العدد 5 ـ 6: 151 ـ 167.</w:t>
      </w:r>
    </w:p>
  </w:footnote>
  <w:footnote w:id="320">
    <w:p w:rsidR="0071680A" w:rsidRPr="003E5026" w:rsidRDefault="0071680A" w:rsidP="000218F4">
      <w:pPr>
        <w:pStyle w:val="11"/>
        <w:widowControl w:val="0"/>
        <w:spacing w:line="209"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يوسف الصانعي، رسالة توضيح المسائل: 6.</w:t>
      </w:r>
    </w:p>
  </w:footnote>
  <w:footnote w:id="321">
    <w:p w:rsidR="0071680A" w:rsidRPr="003E5026" w:rsidRDefault="0071680A" w:rsidP="000218F4">
      <w:pPr>
        <w:pStyle w:val="11"/>
        <w:widowControl w:val="0"/>
        <w:spacing w:line="209"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تقي القمي، مباني منهاج الصالحين 1: 30.</w:t>
      </w:r>
    </w:p>
  </w:footnote>
  <w:footnote w:id="32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شريعتمدار الجزائري، النور المبين: 122.</w:t>
      </w:r>
    </w:p>
  </w:footnote>
  <w:footnote w:id="32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أصل عمومية الارتكاز العقلائي مما لا يكاد يختلف فيه أحد من الفقهاء.</w:t>
      </w:r>
    </w:p>
  </w:footnote>
  <w:footnote w:id="32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السبزواري، مهذب الأحكام 1: 39؛ ومحمد حسن المرتضوي اللنكرودي، الدر النضيد في الاجتهاد والاحتياط والتقليد 1: 432؛ وعلي پناه الاشتهاردي، مدارك العروة 1: 147، 148؛ والمرعشي النجفي، القول الرشيد في الاجتهاد والتقليد 1: 423؛ ومحمد الشيرازي، الفقه 1: 219.</w:t>
      </w:r>
    </w:p>
  </w:footnote>
  <w:footnote w:id="325">
    <w:p w:rsidR="0071680A" w:rsidRPr="003E5026" w:rsidRDefault="0071680A" w:rsidP="000218F4">
      <w:pPr>
        <w:pStyle w:val="11"/>
        <w:widowControl w:val="0"/>
        <w:spacing w:line="209"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محمد المجاهد، مفاتيح الأصول: 612.</w:t>
      </w:r>
    </w:p>
  </w:footnote>
  <w:footnote w:id="326">
    <w:p w:rsidR="0071680A" w:rsidRPr="003E5026" w:rsidRDefault="0071680A" w:rsidP="000218F4">
      <w:pPr>
        <w:pStyle w:val="11"/>
        <w:widowControl w:val="0"/>
        <w:spacing w:line="209"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هاشم الآملي، مجمع الأفكار ومطرح الأنظار5: 68.</w:t>
      </w:r>
    </w:p>
  </w:footnote>
  <w:footnote w:id="32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وسائل الشيعة 11: 286 ـ 287، كتاب الحج، باب كيفية حجّ الصبيان، ح1.</w:t>
      </w:r>
    </w:p>
  </w:footnote>
  <w:footnote w:id="32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رضا الصدر، الاجتهاد والتقليد: 106.</w:t>
      </w:r>
    </w:p>
  </w:footnote>
  <w:footnote w:id="32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محمد مهدي شمس الدين، الاجتهاد والتقليد: 284.</w:t>
      </w:r>
    </w:p>
  </w:footnote>
  <w:footnote w:id="33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رضا الصدر، الاجتهاد والتقليد: 107.</w:t>
      </w:r>
    </w:p>
  </w:footnote>
  <w:footnote w:id="33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انظر على سبيل المثال: المامقاني، مقباس الهداية في علم الدراية 2: 50؛ ومحمد المجاهد، مفاتيح الأصول (حجري):369 و..</w:t>
      </w:r>
    </w:p>
  </w:footnote>
  <w:footnote w:id="33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محمد حسين الإصفهاني، الاجتهاد والتقليد: 68؛ ومحمد مهدي شمس الدين، الاجتهاد والتقليد: 284.</w:t>
      </w:r>
    </w:p>
  </w:footnote>
  <w:footnote w:id="33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الشيخ راضي النجفي التبريزي، تحليل العروة، بحث الاجتهاد والتقليد: 396؛ والطباطبائي، مفاتيح الأصول: 612؛ والمرتضوي اللنكرودي، الدر النضيد 1: 430؛ وعلي پناه الاشتهاردي، مدارك العروة 1: 144.</w:t>
      </w:r>
    </w:p>
  </w:footnote>
  <w:footnote w:id="33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شمس الدين، الاجتهاد والتقليد: 281؛ وذكر اللنكرودي في كتاب الرسائل الثلاث: تسالم الكلّ على هذه الشرطية: 114؛ وانظر محمد الشيرازي، الفقه 1: 217.</w:t>
      </w:r>
    </w:p>
  </w:footnote>
  <w:footnote w:id="33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الإصفهاني، الاجتهاد والتقليد: 68، وانظر الشيخ محمد واصف، از چه شخصى بايد تقليد كنيم؟: 85، طبعة عام 1963م؛ وقد تمسّك بالإجماع كل من: السيد السبزواري، تهذيب الأصول2: 126؛ والميرزا هاشم الآملي على ما جاء في تقرير بحثه الذي كتبة محمد علي إسماعيل بور القمّي، مجمع الأفكار ومطرح الأنظار5: 67.</w:t>
      </w:r>
    </w:p>
  </w:footnote>
  <w:footnote w:id="33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العلامة الحلي، قواعد الأحكام1: 526.</w:t>
      </w:r>
    </w:p>
  </w:footnote>
  <w:footnote w:id="33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الشهيد الأول، ذكرى الشيعة1: 42ـ43.</w:t>
      </w:r>
    </w:p>
  </w:footnote>
  <w:footnote w:id="33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المحقق الكركي، رسائل الكركي1: 167ـ170.</w:t>
      </w:r>
    </w:p>
  </w:footnote>
  <w:footnote w:id="339">
    <w:p w:rsidR="0071680A" w:rsidRPr="003E5026" w:rsidRDefault="0071680A" w:rsidP="000218F4">
      <w:pPr>
        <w:pStyle w:val="11"/>
        <w:widowControl w:val="0"/>
        <w:spacing w:line="206"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محمد الطباطبائي، مفاتيح الأصول: 612.</w:t>
      </w:r>
    </w:p>
  </w:footnote>
  <w:footnote w:id="340">
    <w:p w:rsidR="0071680A" w:rsidRPr="003E5026" w:rsidRDefault="0071680A" w:rsidP="000218F4">
      <w:pPr>
        <w:pStyle w:val="11"/>
        <w:widowControl w:val="0"/>
        <w:spacing w:line="206"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الشهيد الثاني، الروضة البهية 3: 68.</w:t>
      </w:r>
    </w:p>
  </w:footnote>
  <w:footnote w:id="34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الإصفهاني، الفصول الغروية، حجري: 424.</w:t>
      </w:r>
    </w:p>
  </w:footnote>
  <w:footnote w:id="34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الشهيد الثاني، منية المريد في آداب المفيد والمستفيد: 141، 150ـ151، دار المرتضى، 1997م. </w:t>
      </w:r>
    </w:p>
  </w:footnote>
  <w:footnote w:id="34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الخواجوئي، الرسائل الفقهية، رسالة في شرائط المفتي 2: 474، دار الكتاب الإسلامي، إيران، الطبعة الثانية، 1411هـ.</w:t>
      </w:r>
    </w:p>
  </w:footnote>
  <w:footnote w:id="34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محمد الطباطبائي، مفاتيح الأصول: 612.</w:t>
      </w:r>
    </w:p>
  </w:footnote>
  <w:footnote w:id="345">
    <w:p w:rsidR="0071680A" w:rsidRPr="003E5026" w:rsidRDefault="0071680A" w:rsidP="000218F4">
      <w:pPr>
        <w:pStyle w:val="11"/>
        <w:widowControl w:val="0"/>
        <w:spacing w:line="209"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راجع: الإصفهاني، الفصول الغروية، حجري: 424.</w:t>
      </w:r>
    </w:p>
  </w:footnote>
  <w:footnote w:id="346">
    <w:p w:rsidR="0071680A" w:rsidRPr="003E5026" w:rsidRDefault="0071680A" w:rsidP="000218F4">
      <w:pPr>
        <w:pStyle w:val="11"/>
        <w:widowControl w:val="0"/>
        <w:spacing w:line="209"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الشهيد الثاني، الروضة البهية2: 418.</w:t>
      </w:r>
    </w:p>
  </w:footnote>
  <w:footnote w:id="347">
    <w:p w:rsidR="0071680A" w:rsidRPr="003E5026" w:rsidRDefault="0071680A" w:rsidP="000218F4">
      <w:pPr>
        <w:pStyle w:val="11"/>
        <w:widowControl w:val="0"/>
        <w:spacing w:line="209"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محمد حسن نجفي، زن ومرجعيّت، (بالفارسية) مجلة كاوشي نو در فقه، العدد1: 53، عام 1993م.</w:t>
      </w:r>
    </w:p>
  </w:footnote>
  <w:footnote w:id="348">
    <w:p w:rsidR="0071680A" w:rsidRPr="003E5026" w:rsidRDefault="0071680A" w:rsidP="000218F4">
      <w:pPr>
        <w:pStyle w:val="11"/>
        <w:widowControl w:val="0"/>
        <w:spacing w:line="209"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وسائل الشيعة 27: 13ـ 14، كتاب القضاء، أبواب صفات القاضي، باب 1، ح5.</w:t>
      </w:r>
    </w:p>
  </w:footnote>
  <w:footnote w:id="34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راجع: عرفانيان، الرأي السديد في الاجتهاد والتقليد والاحتياط والقضاء، تقرير درس السيد الخوئي: 85؛ والراضي النجفي، تحليل العروة: 395؛ والتنقيح، الاجتهاد والتقليد: 224 ـ 225؛ ورضا الصدر، الاجتهاد والتقليد: 103؛ وشمس الدين، الاجتهاد والتقليد: 281؛ واللنكرودي، الدر النضيد: 430 و..</w:t>
      </w:r>
    </w:p>
  </w:footnote>
  <w:footnote w:id="35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الخوئي، التنقيح: 225، وفقه الشيعة (الاجتهاد والتقليد): 153، والرأي السديد: 85؛ والصدر، الاجتهاد والتقليد: 103، 106؛ وشمس الدين، الاجتهاد والتقليد: 281 ـ 282، ومحمد سعيد الطباطبائي الحكيم، مصباح المنهاج، الاجتهاد والتقليد: 34؛ والفاضل اللنكراني، تفصيل الشريعة (الاجتهاد والتقليد): 80؛ والآذري القمي، التحقيق في الاجتهاد والتقليد 2: 36؛ والمرعشي النجفي، القول الرشيد في الاجتهاد والتقليد، بقلم عادل العلوي 1: 422؛ والشيخ محمد المظفري، إيضاح الحجة 1: 68؛ والسيد تقي الطباطبائي القمي، مباني منهاج الصالحين 1: 30؛ وانظر: محمد حسين فضل الله، الندوة 12: 547.</w:t>
      </w:r>
    </w:p>
  </w:footnote>
  <w:footnote w:id="35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راجع: راضي النجفي التبريزي، تحليل العروة: 396؛ واللنكرودي، الدر النضيد 1: 431؛ والميرزا جواد التبريزي، تنقيح مباني العروة، الاجتهاد والتقليد والطهارة 1: 59، الطبعة الأولى، 1426هـ.</w:t>
      </w:r>
    </w:p>
  </w:footnote>
  <w:footnote w:id="35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0218F4">
        <w:rPr>
          <w:rStyle w:val="FootnoteReference"/>
          <w:rFonts w:ascii="Mosawi" w:hAnsi="Mosawi" w:cs="Mosawi" w:hint="cs"/>
          <w:sz w:val="25"/>
          <w:szCs w:val="25"/>
          <w:vertAlign w:val="baseline"/>
          <w:rtl/>
        </w:rPr>
        <w:t>ذكر الاستدلال بمطلق نصوص الذكورة في القضاء السيد المجاهد في مفاتيح الأصول: 612؛ وكذلك الاشتهاردي في مدارك العروة 1: 144، 148؛ ومحمد الشيرازي في الفقه 1: 217ـ 218.</w:t>
      </w:r>
    </w:p>
  </w:footnote>
  <w:footnote w:id="35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رضا الصدر، الاجتهاد والتقليد: 103، 106.</w:t>
      </w:r>
    </w:p>
  </w:footnote>
  <w:footnote w:id="35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الخوئي، الرأي السديد في الاجتهاد والتقليد: 85؛ والتنقيح (الاجتهاد والتقليد): 225؛ وفقه الشيعة: 153؛ ورضا الصدر، الاجتهاد والتقليد: 103؛ وشمس الدين، الاجتهاد والتقليد: 281؛ والمظفري، إيضاح الحجة 1: 68؛ ومحمد الجيلاني، شرطية الذكورة في المفتي، مجلة فقه أهل البيت </w:t>
      </w:r>
      <w:r w:rsidRPr="003E5026">
        <w:rPr>
          <w:rStyle w:val="FootnoteReference"/>
          <w:rFonts w:ascii="Mosawi" w:hAnsi="Mosawi" w:cs="Mosawi"/>
          <w:sz w:val="26"/>
          <w:szCs w:val="26"/>
          <w:vertAlign w:val="baseline"/>
        </w:rPr>
        <w:sym w:font="Islamic Units 1" w:char="0045"/>
      </w:r>
      <w:r w:rsidRPr="003E5026">
        <w:rPr>
          <w:rStyle w:val="FootnoteReference"/>
          <w:rFonts w:ascii="Mosawi" w:hAnsi="Mosawi" w:cs="Mosawi" w:hint="cs"/>
          <w:sz w:val="26"/>
          <w:szCs w:val="26"/>
          <w:vertAlign w:val="baseline"/>
          <w:rtl/>
        </w:rPr>
        <w:t>، العدد 5ـ6: 159.</w:t>
      </w:r>
    </w:p>
  </w:footnote>
  <w:footnote w:id="35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رضا الصدر، الاجتهاد والتقليد: 103، 106؛ والمظفري، إيضاح الحجة 1: 68.</w:t>
      </w:r>
    </w:p>
  </w:footnote>
  <w:footnote w:id="35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محمد مهدي شمس الدين، الاجتهاد والتقليد: 281.</w:t>
      </w:r>
    </w:p>
  </w:footnote>
  <w:footnote w:id="35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أقيمت على قاعدة الاشتراك أدلّةٌ عديدة، لفظية وغيرها، لكن قد يكون خلف تمام الأدلّة دليل الإجماع والارتكاز، ذلك أن الروايات التي ذكرت دليلاً هناك مجال للنقاش فيها، أو في بعضها على الأقل، أو النقاش في شمولها للتعميم بلحاظ الذكر والأنثى، إذ ظاهرها التعميم بلحاظ الحضور عصر النبي وبعده، فإنّ هذا هو مهمّ البحث فيها، وكذا التعميم بلحاظ السائل وغيره، فلتراجع المصادر الواردة في القواعد الفقهية مثل: البجنوردي، القواعد الفقهية2: 53ـ 76، نشر الهادي، قم، والمصطفوي، مائة قاعدة فقهية: 43ـ45.</w:t>
      </w:r>
    </w:p>
  </w:footnote>
  <w:footnote w:id="35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راجع مثلاً: السيد نور الدين شريعتمدار الجزائري، النور المبين في شرح التحرير ومنهاج الصالحين، الاجتهاد والتقليد: 118ـ119.</w:t>
      </w:r>
    </w:p>
  </w:footnote>
  <w:footnote w:id="35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جواد التبريزي، تنقيح مباني العروة 1: 58.</w:t>
      </w:r>
    </w:p>
  </w:footnote>
  <w:footnote w:id="36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راجع له: محاضرات في أصول الفقه، بقلم محمد إسحاق الفياض 5: 130ـ132.</w:t>
      </w:r>
    </w:p>
  </w:footnote>
  <w:footnote w:id="361">
    <w:p w:rsidR="0071680A" w:rsidRPr="003E5026" w:rsidRDefault="0071680A" w:rsidP="000218F4">
      <w:pPr>
        <w:pStyle w:val="11"/>
        <w:widowControl w:val="0"/>
        <w:spacing w:line="197"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الحر العاملي، وسائل الشيعة 27: 137، كتاب القضاء، باب وجوب الرجوع في القضاء والفتوى: ح1.</w:t>
      </w:r>
    </w:p>
  </w:footnote>
  <w:footnote w:id="362">
    <w:p w:rsidR="0071680A" w:rsidRPr="003E5026" w:rsidRDefault="0071680A" w:rsidP="000218F4">
      <w:pPr>
        <w:pStyle w:val="11"/>
        <w:widowControl w:val="0"/>
        <w:spacing w:line="197"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تمسّك به الفاضل اللنكراني، تفصيل الشريعة: 81.</w:t>
      </w:r>
    </w:p>
  </w:footnote>
  <w:footnote w:id="363">
    <w:p w:rsidR="0071680A" w:rsidRPr="003E5026" w:rsidRDefault="0071680A" w:rsidP="000218F4">
      <w:pPr>
        <w:pStyle w:val="11"/>
        <w:widowControl w:val="0"/>
        <w:spacing w:line="197"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راجع المصادر السابقة حول الحديث عن خبر أبي خديجة.</w:t>
      </w:r>
    </w:p>
  </w:footnote>
  <w:footnote w:id="364">
    <w:p w:rsidR="0071680A" w:rsidRPr="003E5026" w:rsidRDefault="0071680A" w:rsidP="000218F4">
      <w:pPr>
        <w:pStyle w:val="11"/>
        <w:widowControl w:val="0"/>
        <w:spacing w:line="197"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الخوئي، التنقيح، الاجتهاد والتقليد: 226؛ والفاضل اللنكراني، تفصيل الشريعة: 80؛ والجزائري، النور المبين: 119.</w:t>
      </w:r>
    </w:p>
  </w:footnote>
  <w:footnote w:id="36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المرعشي النجفي، القول الرشيد 1: 423.</w:t>
      </w:r>
    </w:p>
  </w:footnote>
  <w:footnote w:id="36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الخوئي، التنقيح: 226؛ وانظر: المظفري، إيضاح الحجة 1: 68، وحول ابن حنظلة في المصادر الرجالية والدرائية راجع: الشيخ حسن ، منتقى الجمان1: 19؛ والتفرشي، نقد الرجال3: 353؛ والبروجردي، طرائف المقال1: 544؛ والخوئي، معجم رجال الحديث14: 31 ـ 34 و..</w:t>
      </w:r>
    </w:p>
  </w:footnote>
  <w:footnote w:id="36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الخوئي، مصباح الأصول 3: 409ـ410، حيث ذهب هناك إلى الأخذ بها لتلقي الأصحاب لها، فيما رفض سندها وكذلك عَمَل الأصحاب بها في التنقيح، مباحث الاجتهاد والتقليد: 143ـ144.</w:t>
      </w:r>
    </w:p>
  </w:footnote>
  <w:footnote w:id="36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محمد مهدي شمس الدين، الاجتهاد والتقليد: 281.</w:t>
      </w:r>
    </w:p>
  </w:footnote>
  <w:footnote w:id="36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أفردنا هذه الرواية بالذكر، نظر لأخذها ـ منفردةً ـ دليلاً مستقلاً لدى بعض الفقهاء.</w:t>
      </w:r>
    </w:p>
  </w:footnote>
  <w:footnote w:id="37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الطوسي، اختيار معرفة الرجال للكشي 1: 393، طبع مؤسسة آل البيت^.</w:t>
      </w:r>
    </w:p>
  </w:footnote>
  <w:footnote w:id="37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محمد مهدي شمس الدين، الاجتهاد والتقليد: 282؛ واللنكرودي، الدر النضيد 1: 434؛ والمرعشي النجفي، القول الرشيد 1: 425.</w:t>
      </w:r>
    </w:p>
  </w:footnote>
  <w:footnote w:id="37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شمس الدين، الاجتهاد والتقليد: 282.</w:t>
      </w:r>
    </w:p>
  </w:footnote>
  <w:footnote w:id="37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الخوئي، معجم رجال الحديث 10: 212 ـ 213.</w:t>
      </w:r>
    </w:p>
  </w:footnote>
  <w:footnote w:id="37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تقي القمي، مباني منهاج الصالحين 1: 30.</w:t>
      </w:r>
    </w:p>
  </w:footnote>
  <w:footnote w:id="37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شمس الدين، الاجتهاد والتقليد: 282.</w:t>
      </w:r>
    </w:p>
  </w:footnote>
  <w:footnote w:id="37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ذكر الاشتهاردي المعاصر لتأييد قوله: أنه لم ترد أي رواية في كون الزهراء </w:t>
      </w:r>
      <w:r w:rsidRPr="003E5026">
        <w:rPr>
          <w:rStyle w:val="FootnoteReference"/>
          <w:rFonts w:ascii="Mosawi" w:hAnsi="Mosawi" w:cs="Mosawi"/>
          <w:sz w:val="26"/>
          <w:szCs w:val="26"/>
          <w:vertAlign w:val="baseline"/>
        </w:rPr>
        <w:sym w:font="Islamic Units 1" w:char="0049"/>
      </w:r>
      <w:r w:rsidRPr="003E5026">
        <w:rPr>
          <w:rStyle w:val="FootnoteReference"/>
          <w:rFonts w:ascii="Mosawi" w:hAnsi="Mosawi" w:cs="Mosawi" w:hint="cs"/>
          <w:sz w:val="26"/>
          <w:szCs w:val="26"/>
          <w:vertAlign w:val="baseline"/>
          <w:rtl/>
        </w:rPr>
        <w:t xml:space="preserve"> حجّة على الخلق، مع علوّ مقامها، فراجع له: مدارك العروة 1: 146.</w:t>
      </w:r>
    </w:p>
  </w:footnote>
  <w:footnote w:id="37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السيد المجاهد الطباطبائي، مفاتيح الأصول: 613؛ والسبزواري، مهذب الأحكام 1: 40؛ والراضي النجفي تحليل العروة: 396؛ ومحمد سعيد الطباطبائي الحكيم، مصباح المنهاج (الاجتهاد والتقليد): 35؛ والمرتضوي اللنكرودي، الدر النضيد 1: 432، 434، 435؛ وعلي پناه الاشتهاردي، مدارك العروة 1: 145؛ والمرعشي النجفي، القول الرشيد 1: 425ـ426؛ ومحمد الشيرازي، الفقه 1: 217 ، 218.</w:t>
      </w:r>
    </w:p>
  </w:footnote>
  <w:footnote w:id="37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وسائل الشيعة 20: 167، مقدمات النكاح، باب 86، ح2.</w:t>
      </w:r>
    </w:p>
  </w:footnote>
  <w:footnote w:id="37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212، باب 117، ح6.</w:t>
      </w:r>
    </w:p>
  </w:footnote>
  <w:footnote w:id="38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نهج البلاغة 4: 23، تحقيق محمد عبده.</w:t>
      </w:r>
    </w:p>
  </w:footnote>
  <w:footnote w:id="381">
    <w:p w:rsidR="0071680A" w:rsidRPr="003E5026" w:rsidRDefault="0071680A" w:rsidP="000218F4">
      <w:pPr>
        <w:pStyle w:val="11"/>
        <w:widowControl w:val="0"/>
        <w:spacing w:line="187"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الكليني، الكافي 5: 338 و517؛ ونهج البلاغة 3:56؛ والحرّاني، تحف العقول: 86؛ والشريف الرضي، خصائص الأئمة: 117؛ ووسائل الشيعة 20: 65، 182؛ والنوري، مستدرك الوسائل 8: 348، و 14: 183؛ والكراجكي، كنـز الفوائد: 177 و..</w:t>
      </w:r>
    </w:p>
  </w:footnote>
  <w:footnote w:id="382">
    <w:p w:rsidR="0071680A" w:rsidRPr="003E5026" w:rsidRDefault="0071680A" w:rsidP="000218F4">
      <w:pPr>
        <w:pStyle w:val="11"/>
        <w:widowControl w:val="0"/>
        <w:spacing w:line="187"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الكليني، الكافي 5: 39.</w:t>
      </w:r>
    </w:p>
  </w:footnote>
  <w:footnote w:id="383">
    <w:p w:rsidR="0071680A" w:rsidRPr="003E5026" w:rsidRDefault="0071680A" w:rsidP="000218F4">
      <w:pPr>
        <w:pStyle w:val="11"/>
        <w:widowControl w:val="0"/>
        <w:spacing w:line="187"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وسائل الشيعة 2: 344، وانظر المسترشد، ابن جرير الطبري: 418 و..</w:t>
      </w:r>
    </w:p>
  </w:footnote>
  <w:footnote w:id="384">
    <w:p w:rsidR="0071680A" w:rsidRPr="003E5026" w:rsidRDefault="0071680A" w:rsidP="000218F4">
      <w:pPr>
        <w:pStyle w:val="11"/>
        <w:widowControl w:val="0"/>
        <w:spacing w:line="187"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وسائل الشيعة 20: 66، النكاح ومقدماته، باب 24، ح 4 و6.</w:t>
      </w:r>
    </w:p>
  </w:footnote>
  <w:footnote w:id="385">
    <w:p w:rsidR="0071680A" w:rsidRPr="003E5026" w:rsidRDefault="0071680A" w:rsidP="000218F4">
      <w:pPr>
        <w:pStyle w:val="11"/>
        <w:widowControl w:val="0"/>
        <w:spacing w:line="187"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محمد سعيد الطباطبائي الحكيم، مصباح المنهاج، مصدر سابق: 35.</w:t>
      </w:r>
    </w:p>
  </w:footnote>
  <w:footnote w:id="38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راجع: الخوئي، معجم رجال الحديث 4: 151، و7: 235.</w:t>
      </w:r>
    </w:p>
  </w:footnote>
  <w:footnote w:id="38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13: 82.</w:t>
      </w:r>
    </w:p>
  </w:footnote>
  <w:footnote w:id="38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انظر: رجال النجاشي: 128، 287؛ والعلامة الحلي، خلاصة الأقوال: 94؛ 378؛ والخوئي، معجم رجال الحديث 14: 116 ـ 117 و..</w:t>
      </w:r>
    </w:p>
  </w:footnote>
  <w:footnote w:id="38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انظر أكثر هذه الروايات في وسائل الشيعة 20: 167-183؛ وانظر ما جاء بمضمون بعضها في فيض القدير للمناوي 4: 347، وإن ذكر أنّ خبر شاوروهن وخالفوهنّ مشهور لا أصل له، وكشف الخفاء للعجلوني 2: 3، 37؛ وتهذيب الكمال للمزي 6: 45؛ ومسند أحمد بن حنبل 2: 66؛ وصحيح مسلم 1: 61؛ وسنن ابن ماجة 2: 1327؛ وسنن أبي داوود 2: 408؛ والسنن الكبرى للبيهقي 10: 148، 151؛ وكنـز العمّال للهندي 16: 386؛ وتفسير ابن كثير 1: 343؛ والروايات في المصادر السنية حالها سنداً ودلالةً حال الروايات الشيعية، بل في كثير منها حصر نقص العقل بمسألة الشهادة في القضاء، وهو ما يفتح المجال أكثر للجدل بما لا نطيل فيه فعلاً، والملحوظ أن كثرة المصادر السنية لا تدل على كثرة الأسانيد، بل أكثرها ينقل عن بعضه.</w:t>
      </w:r>
    </w:p>
  </w:footnote>
  <w:footnote w:id="390">
    <w:p w:rsidR="0071680A" w:rsidRPr="003E5026" w:rsidRDefault="0071680A" w:rsidP="000218F4">
      <w:pPr>
        <w:pStyle w:val="11"/>
        <w:widowControl w:val="0"/>
        <w:spacing w:line="185"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0218F4">
        <w:rPr>
          <w:rStyle w:val="FootnoteReference"/>
          <w:rFonts w:ascii="Mosawi" w:hAnsi="Mosawi" w:cs="Mosawi" w:hint="cs"/>
          <w:sz w:val="25"/>
          <w:szCs w:val="25"/>
          <w:vertAlign w:val="baseline"/>
          <w:rtl/>
        </w:rPr>
        <w:t>أمّا الخراساني فراجع: الخوئي، معجم رجال الحديث 23: 64، وأمّا الشيباني، فراجع: رجال النجاشي: 396؛ والعلامة الحلي، خلاصة الأقوال: 403؛ والبروجردي، طرائف المقال 1: 140 و..</w:t>
      </w:r>
    </w:p>
  </w:footnote>
  <w:footnote w:id="391">
    <w:p w:rsidR="0071680A" w:rsidRPr="003E5026" w:rsidRDefault="0071680A" w:rsidP="000218F4">
      <w:pPr>
        <w:pStyle w:val="11"/>
        <w:widowControl w:val="0"/>
        <w:spacing w:line="185"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وسائل الشيعة 20: 179، مقدمات النكاح، باب 94، ح1، وهناك روايات أخرى بمضمونها بعضها ضعيف السند بالإرسال كخبر الحسين بن المختار، وكذا خبر المطلب بن زياد، وخبر عمرو بن عثمان.</w:t>
      </w:r>
    </w:p>
  </w:footnote>
  <w:footnote w:id="39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الحرّ العاملي، وسائل الشيعة 20: 167.</w:t>
      </w:r>
    </w:p>
  </w:footnote>
  <w:footnote w:id="39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الخوئي، الرأي السديد: 85؛ التنقيح: 226؛ وفقه الشيعة: 153ـ 154؛ وانظر: محمد الطباطبائي، مفاتيح الأصول: 612ـ613؛ وهاشم الآملي، مجمع الأفكار ومطرح الأنظار5: 68؛ واللنكرودي، الدر النضيد 1: 432 ـ433؛ والاشتهاردي، مدارك العروة 1: 144؛ واللنكراني، تفصيل الشريعة: 81؛ والمرعشي النجفي، القول الرشيد 1: 423ـ424، 426ـ427؛ والمظفري، إيضاح الحجة 1: 68ـ69؛ والميرزا جواد التبريزي، تنقيح مباني العروة 1: 59.</w:t>
      </w:r>
    </w:p>
  </w:footnote>
  <w:footnote w:id="39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محمد مهدي شمس الدين، الاجتهاد والتقليد: 283.</w:t>
      </w:r>
    </w:p>
  </w:footnote>
  <w:footnote w:id="39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الخوئي، صراط النجاة1: 320ـ321، س870؛ وله أيضاً: منهاج الصالحين2: 260، م1234.</w:t>
      </w:r>
    </w:p>
  </w:footnote>
  <w:footnote w:id="39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محمد الجيلاني، شرطية الذكورة في المُفتي، مجلة فقه أهل البيت </w:t>
      </w:r>
      <w:r w:rsidRPr="003E5026">
        <w:rPr>
          <w:rStyle w:val="FootnoteReference"/>
          <w:rFonts w:ascii="Mosawi" w:hAnsi="Mosawi" w:cs="Mosawi"/>
          <w:sz w:val="26"/>
          <w:szCs w:val="26"/>
          <w:vertAlign w:val="baseline"/>
        </w:rPr>
        <w:sym w:font="Islamic Units 2" w:char="0046"/>
      </w:r>
      <w:r w:rsidRPr="003E5026">
        <w:rPr>
          <w:rStyle w:val="FootnoteReference"/>
          <w:rFonts w:ascii="Mosawi" w:hAnsi="Mosawi" w:cs="Mosawi" w:hint="cs"/>
          <w:sz w:val="26"/>
          <w:szCs w:val="26"/>
          <w:vertAlign w:val="baseline"/>
          <w:rtl/>
        </w:rPr>
        <w:t>، عدد 5 ـ 6: 166؛ ومحمد مهدي شمس الدين، الاجتهاد والتقليد: 283؛ وتقي القمي، مباني منهاج الصالحين 1: 30؛ ومحمد حسين فضل الله، دنيا المرأة: 125؛ والجزائري، النور المبين: 119ـ120.</w:t>
      </w:r>
    </w:p>
  </w:footnote>
  <w:footnote w:id="39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محمد الجيلاني، شرطية الذكورة في المُفتي، مجلة فقه أهل البيت </w:t>
      </w:r>
      <w:r w:rsidRPr="003E5026">
        <w:rPr>
          <w:rStyle w:val="FootnoteReference"/>
          <w:rFonts w:ascii="Mosawi" w:hAnsi="Mosawi" w:cs="Mosawi"/>
          <w:sz w:val="26"/>
          <w:szCs w:val="26"/>
          <w:vertAlign w:val="baseline"/>
        </w:rPr>
        <w:sym w:font="Islamic Units 2" w:char="0046"/>
      </w:r>
      <w:r w:rsidRPr="003E5026">
        <w:rPr>
          <w:rStyle w:val="FootnoteReference"/>
          <w:rFonts w:ascii="Mosawi" w:hAnsi="Mosawi" w:cs="Mosawi" w:hint="cs"/>
          <w:sz w:val="26"/>
          <w:szCs w:val="26"/>
          <w:vertAlign w:val="baseline"/>
          <w:rtl/>
        </w:rPr>
        <w:t>، عدد 5 ــ 6: 166؛ وراجع: محمد حسين فضل الله، دنيا المرأة: 126؛ وقد اعتبر الجزائري في النور المبين: 120، أن الخصوصية تكمن في رؤية الرجل المأموم المرأة حال ركوعها وسجودها من خلفها، وفيه محذور، وهو جيد لولا أنه يمكن رفعه بالساتر الذي حكموا بجوازه في الجماعة بين الرجال والنساء، ولعلّه يمكن الدفاع عنه.</w:t>
      </w:r>
    </w:p>
  </w:footnote>
  <w:footnote w:id="39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الفاضل اللنكراني، تفصيل الشريعة: 81؛ وقد ذكر الجزائري في النور المبين: 120 </w:t>
      </w:r>
      <w:r w:rsidRPr="003E5026">
        <w:rPr>
          <w:rStyle w:val="FootnoteReference"/>
          <w:rFonts w:ascii="Mosawi" w:hAnsi="Mosawi" w:cs="Mosawi"/>
          <w:sz w:val="26"/>
          <w:szCs w:val="26"/>
          <w:vertAlign w:val="baseline"/>
          <w:rtl/>
        </w:rPr>
        <w:t>الإشكال</w:t>
      </w:r>
      <w:r w:rsidRPr="003E5026">
        <w:rPr>
          <w:rStyle w:val="FootnoteReference"/>
          <w:rFonts w:ascii="Mosawi" w:hAnsi="Mosawi" w:cs="Mosawi" w:hint="cs"/>
          <w:sz w:val="26"/>
          <w:szCs w:val="26"/>
          <w:vertAlign w:val="baseline"/>
          <w:rtl/>
        </w:rPr>
        <w:t xml:space="preserve"> دون ذكر ردّه، الظاهر في تبنّيه له.</w:t>
      </w:r>
    </w:p>
  </w:footnote>
  <w:footnote w:id="39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0218F4">
        <w:rPr>
          <w:rStyle w:val="FootnoteReference"/>
          <w:rFonts w:ascii="Mosawi" w:hAnsi="Mosawi" w:cs="Mosawi" w:hint="cs"/>
          <w:sz w:val="25"/>
          <w:szCs w:val="25"/>
          <w:vertAlign w:val="baseline"/>
          <w:rtl/>
        </w:rPr>
        <w:t xml:space="preserve"> الميرزا هاشم الآملي، مجمع الأفكار ومطرح الأنظار5: 67، 69؛ ومحمد الشيرازي، الفقه 1: 218.</w:t>
      </w:r>
    </w:p>
  </w:footnote>
  <w:footnote w:id="40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أشار إلى دليل السيرة إشارة إجمالية موجزة السيد محمد الشيرازي في كتاب الفقه 1: 218؛ والسيد عبد الأعلى السبزواري، مهذب الأحكام 1: 39.</w:t>
      </w:r>
    </w:p>
  </w:footnote>
  <w:footnote w:id="40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الإصفهاني، الاجتهاد والتقليد: 68؛ وتجد تصوّرا معاكساً تماماً لتصوّر الإصفهاني يرى الإفتاء ولاية عامة وتصرّفاً في الأمّة عند هاشم الآملي في كتابه: مجمع الأفكار ومطرح الأنظار5: 69.</w:t>
      </w:r>
    </w:p>
  </w:footnote>
  <w:footnote w:id="40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 أستاذ في كلية الإلهيات بجامعة فردوسي، من إيران.</w:t>
      </w:r>
    </w:p>
  </w:footnote>
  <w:footnote w:id="40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وهذا بعد إجماعهم على حرمة نكاح المسلمة من غير المسلم. فعسى أن يدلّ عليها قاعدة نفي السبيل مضافاً إلى النصّ والإجماع، راجع: الزحيلي، الفقه الإسلامي وأدلّته: 6651 ـ 6653؛ وكذلك أجمعوا على تحريم من لا تدين بدين سماوي، فانظر: الشلبي: 220.</w:t>
      </w:r>
    </w:p>
  </w:footnote>
  <w:footnote w:id="404">
    <w:p w:rsidR="0071680A" w:rsidRPr="003E5026" w:rsidRDefault="0071680A" w:rsidP="00E24C1D">
      <w:pPr>
        <w:pStyle w:val="11"/>
        <w:widowControl w:val="0"/>
        <w:spacing w:line="194"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المقنعة: 500.</w:t>
      </w:r>
    </w:p>
  </w:footnote>
  <w:footnote w:id="405">
    <w:p w:rsidR="0071680A" w:rsidRPr="003E5026" w:rsidRDefault="0071680A" w:rsidP="00E24C1D">
      <w:pPr>
        <w:pStyle w:val="11"/>
        <w:widowControl w:val="0"/>
        <w:spacing w:line="194"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الناصريات: 117.</w:t>
      </w:r>
    </w:p>
  </w:footnote>
  <w:footnote w:id="406">
    <w:p w:rsidR="0071680A" w:rsidRPr="003E5026" w:rsidRDefault="0071680A" w:rsidP="00E24C1D">
      <w:pPr>
        <w:pStyle w:val="11"/>
        <w:widowControl w:val="0"/>
        <w:spacing w:line="194"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السرائر 2: 542.</w:t>
      </w:r>
    </w:p>
  </w:footnote>
  <w:footnote w:id="407">
    <w:p w:rsidR="0071680A" w:rsidRPr="003E5026" w:rsidRDefault="0071680A" w:rsidP="00E24C1D">
      <w:pPr>
        <w:pStyle w:val="11"/>
        <w:widowControl w:val="0"/>
        <w:spacing w:line="194"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مجمع البيان 2: 144.</w:t>
      </w:r>
    </w:p>
  </w:footnote>
  <w:footnote w:id="408">
    <w:p w:rsidR="0071680A" w:rsidRPr="003E5026" w:rsidRDefault="0071680A" w:rsidP="00E24C1D">
      <w:pPr>
        <w:pStyle w:val="11"/>
        <w:widowControl w:val="0"/>
        <w:spacing w:line="194"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التنقيح الرائع 3: 97.</w:t>
      </w:r>
    </w:p>
  </w:footnote>
  <w:footnote w:id="409">
    <w:p w:rsidR="0071680A" w:rsidRPr="003E5026" w:rsidRDefault="0071680A" w:rsidP="00E24C1D">
      <w:pPr>
        <w:pStyle w:val="11"/>
        <w:widowControl w:val="0"/>
        <w:spacing w:line="194"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وسائل الشيعة: 125.</w:t>
      </w:r>
    </w:p>
  </w:footnote>
  <w:footnote w:id="410">
    <w:p w:rsidR="0071680A" w:rsidRPr="003E5026" w:rsidRDefault="0071680A" w:rsidP="00E24C1D">
      <w:pPr>
        <w:pStyle w:val="11"/>
        <w:widowControl w:val="0"/>
        <w:spacing w:line="194"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المقتصر: 239؛ المهذب البارع 3: 97.</w:t>
      </w:r>
    </w:p>
  </w:footnote>
  <w:footnote w:id="411">
    <w:p w:rsidR="0071680A" w:rsidRPr="003E5026" w:rsidRDefault="0071680A" w:rsidP="00E24C1D">
      <w:pPr>
        <w:pStyle w:val="11"/>
        <w:widowControl w:val="0"/>
        <w:spacing w:line="194"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إيضاح الفوائد 2: 22.</w:t>
      </w:r>
    </w:p>
  </w:footnote>
  <w:footnote w:id="412">
    <w:p w:rsidR="0071680A" w:rsidRPr="003E5026" w:rsidRDefault="0071680A" w:rsidP="00E24C1D">
      <w:pPr>
        <w:pStyle w:val="11"/>
        <w:widowControl w:val="0"/>
        <w:spacing w:line="194"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المرتضى، أحمد 2: 208.</w:t>
      </w:r>
    </w:p>
  </w:footnote>
  <w:footnote w:id="413">
    <w:p w:rsidR="0071680A" w:rsidRPr="003E5026" w:rsidRDefault="0071680A" w:rsidP="00E24C1D">
      <w:pPr>
        <w:pStyle w:val="11"/>
        <w:widowControl w:val="0"/>
        <w:spacing w:line="194"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النهاية: 490؛ والمبسوط 4: 209.</w:t>
      </w:r>
    </w:p>
  </w:footnote>
  <w:footnote w:id="414">
    <w:p w:rsidR="0071680A" w:rsidRPr="003E5026" w:rsidRDefault="0071680A" w:rsidP="00E24C1D">
      <w:pPr>
        <w:pStyle w:val="11"/>
        <w:widowControl w:val="0"/>
        <w:spacing w:line="194"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الكافي في الفقه: 299.</w:t>
      </w:r>
    </w:p>
  </w:footnote>
  <w:footnote w:id="415">
    <w:p w:rsidR="0071680A" w:rsidRPr="003E5026" w:rsidRDefault="0071680A" w:rsidP="00E24C1D">
      <w:pPr>
        <w:pStyle w:val="11"/>
        <w:widowControl w:val="0"/>
        <w:spacing w:line="194"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المهذب 2: 250.</w:t>
      </w:r>
    </w:p>
  </w:footnote>
  <w:footnote w:id="416">
    <w:p w:rsidR="0071680A" w:rsidRPr="003E5026" w:rsidRDefault="0071680A" w:rsidP="00E24C1D">
      <w:pPr>
        <w:pStyle w:val="11"/>
        <w:widowControl w:val="0"/>
        <w:spacing w:line="194"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المراسم العلوية: 150.</w:t>
      </w:r>
    </w:p>
  </w:footnote>
  <w:footnote w:id="417">
    <w:p w:rsidR="0071680A" w:rsidRPr="003E5026" w:rsidRDefault="0071680A" w:rsidP="00E24C1D">
      <w:pPr>
        <w:pStyle w:val="11"/>
        <w:widowControl w:val="0"/>
        <w:spacing w:line="194"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التبصرة: 126؛ وإرشاد الأذهان 2: 22.</w:t>
      </w:r>
    </w:p>
  </w:footnote>
  <w:footnote w:id="418">
    <w:p w:rsidR="0071680A" w:rsidRPr="003E5026" w:rsidRDefault="0071680A" w:rsidP="00E24C1D">
      <w:pPr>
        <w:pStyle w:val="11"/>
        <w:widowControl w:val="0"/>
        <w:spacing w:line="194"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المختصر: 179؛ وشرائع الإسلام 2: 343.</w:t>
      </w:r>
    </w:p>
  </w:footnote>
  <w:footnote w:id="419">
    <w:p w:rsidR="0071680A" w:rsidRPr="003E5026" w:rsidRDefault="0071680A" w:rsidP="00E24C1D">
      <w:pPr>
        <w:pStyle w:val="11"/>
        <w:widowControl w:val="0"/>
        <w:spacing w:line="194"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اللمعة: 166.</w:t>
      </w:r>
    </w:p>
  </w:footnote>
  <w:footnote w:id="420">
    <w:p w:rsidR="0071680A" w:rsidRPr="003E5026" w:rsidRDefault="0071680A" w:rsidP="00E24C1D">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تحرير الوسيلة 2: 285.</w:t>
      </w:r>
    </w:p>
  </w:footnote>
  <w:footnote w:id="42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الشلبي: 224.</w:t>
      </w:r>
    </w:p>
  </w:footnote>
  <w:footnote w:id="42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المغني 6: 414.</w:t>
      </w:r>
    </w:p>
  </w:footnote>
  <w:footnote w:id="42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الانتصار: 117.</w:t>
      </w:r>
    </w:p>
  </w:footnote>
  <w:footnote w:id="42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حكي عنه في: التنقيح الرائع 3: 96.</w:t>
      </w:r>
    </w:p>
  </w:footnote>
  <w:footnote w:id="42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المقنع: 308.</w:t>
      </w:r>
    </w:p>
  </w:footnote>
  <w:footnote w:id="42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مسالك الأفهام 7: 3609.</w:t>
      </w:r>
    </w:p>
  </w:footnote>
  <w:footnote w:id="42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مفاتيح الشرائع 2: 277.</w:t>
      </w:r>
    </w:p>
  </w:footnote>
  <w:footnote w:id="42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جواهر الكلام 30: 31.</w:t>
      </w:r>
    </w:p>
  </w:footnote>
  <w:footnote w:id="42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منهاج الصالحين 2: 277.</w:t>
      </w:r>
    </w:p>
  </w:footnote>
  <w:footnote w:id="43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3: 91.</w:t>
      </w:r>
    </w:p>
  </w:footnote>
  <w:footnote w:id="43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كاتوزيان: 126.</w:t>
      </w:r>
    </w:p>
  </w:footnote>
  <w:footnote w:id="43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السباعي: 179.</w:t>
      </w:r>
    </w:p>
  </w:footnote>
  <w:footnote w:id="43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زيدان: 354.</w:t>
      </w:r>
    </w:p>
  </w:footnote>
  <w:footnote w:id="43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الدجويّ 1: 159.</w:t>
      </w:r>
    </w:p>
  </w:footnote>
  <w:footnote w:id="43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الخطيب: 41 و 42.</w:t>
      </w:r>
    </w:p>
  </w:footnote>
  <w:footnote w:id="43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مغنية، الزواج: 33.</w:t>
      </w:r>
    </w:p>
  </w:footnote>
  <w:footnote w:id="43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النجفيّ، جواهر الكلام 30: 28.</w:t>
      </w:r>
    </w:p>
  </w:footnote>
  <w:footnote w:id="43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29.</w:t>
      </w:r>
    </w:p>
  </w:footnote>
  <w:footnote w:id="43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المرتضى، الانتصار: 117.</w:t>
      </w:r>
    </w:p>
  </w:footnote>
  <w:footnote w:id="44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الكليني، الكافي 5: 360.</w:t>
      </w:r>
    </w:p>
  </w:footnote>
  <w:footnote w:id="44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الحرّ العامليّ، وسائل الشيعة 14: 410.</w:t>
      </w:r>
    </w:p>
  </w:footnote>
  <w:footnote w:id="44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راجع للإطلاع على الأخبار: الحرّ العاملي، وسائل الشيعة 14: 410؛ والنوري، مستدرك الوسائل 14: 433.</w:t>
      </w:r>
    </w:p>
  </w:footnote>
  <w:footnote w:id="44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الانتصار: 117.</w:t>
      </w:r>
    </w:p>
  </w:footnote>
  <w:footnote w:id="44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منهاج الصالحين 2: 277.</w:t>
      </w:r>
    </w:p>
  </w:footnote>
  <w:footnote w:id="44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3: 191.</w:t>
      </w:r>
    </w:p>
  </w:footnote>
  <w:footnote w:id="44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المقداد، التنقيح الرائع 3: 9.</w:t>
      </w:r>
    </w:p>
  </w:footnote>
  <w:footnote w:id="44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الطباطبائي، الميزان في تفسير القرآن 2: 203.</w:t>
      </w:r>
    </w:p>
  </w:footnote>
  <w:footnote w:id="44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تفسير القرطبي 2: 64.</w:t>
      </w:r>
    </w:p>
  </w:footnote>
  <w:footnote w:id="44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الطباطبائي، تفسير الميزان 2: 203.</w:t>
      </w:r>
    </w:p>
  </w:footnote>
  <w:footnote w:id="45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المقداد، التنقيح الرائع 3: 98.</w:t>
      </w:r>
    </w:p>
  </w:footnote>
  <w:footnote w:id="45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تفسير القرطبي 18: 59.</w:t>
      </w:r>
    </w:p>
  </w:footnote>
  <w:footnote w:id="45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تفسير الميزان 2: 204.</w:t>
      </w:r>
    </w:p>
  </w:footnote>
  <w:footnote w:id="45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الشهيد الثاني، مسالك الأفهام 7: 360.</w:t>
      </w:r>
    </w:p>
  </w:footnote>
  <w:footnote w:id="45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المقداد، التنقيح الرائع 3: 98.</w:t>
      </w:r>
    </w:p>
  </w:footnote>
  <w:footnote w:id="45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النجفي، جواهر الكلام 30: 41.</w:t>
      </w:r>
    </w:p>
  </w:footnote>
  <w:footnote w:id="45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المرتضى، الانتصار: 117.</w:t>
      </w:r>
    </w:p>
  </w:footnote>
  <w:footnote w:id="457">
    <w:p w:rsidR="0071680A" w:rsidRPr="003E5026" w:rsidRDefault="0071680A" w:rsidP="00E24C1D">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أي طابق النعل بالنعل، وهو في الطبراني، المعجم الكبير 10: 39 عن عبدالله بن مسعود قال: قال رسول الله</w:t>
      </w:r>
      <w:r>
        <w:rPr>
          <w:rStyle w:val="FootnoteReference"/>
          <w:rFonts w:ascii="Mosawi" w:hAnsi="Mosawi" w:cs="Mosawi" w:hint="cs"/>
          <w:sz w:val="26"/>
          <w:szCs w:val="26"/>
          <w:vertAlign w:val="baseline"/>
          <w:rtl/>
        </w:rPr>
        <w:t>’</w:t>
      </w:r>
      <w:r w:rsidRPr="003E5026">
        <w:rPr>
          <w:rStyle w:val="FootnoteReference"/>
          <w:rFonts w:ascii="Mosawi" w:hAnsi="Mosawi" w:cs="Mosawi" w:hint="cs"/>
          <w:sz w:val="26"/>
          <w:szCs w:val="26"/>
          <w:vertAlign w:val="baseline"/>
          <w:rtl/>
        </w:rPr>
        <w:t>:</w:t>
      </w:r>
      <w:r w:rsidRPr="003E5026">
        <w:rPr>
          <w:rStyle w:val="FootnoteReference"/>
          <w:rFonts w:ascii="Mosawi" w:hAnsi="Mosawi" w:cs="Mosawi" w:hint="eastAsia"/>
          <w:sz w:val="26"/>
          <w:szCs w:val="26"/>
          <w:vertAlign w:val="baseline"/>
          <w:rtl/>
        </w:rPr>
        <w:t>«</w:t>
      </w:r>
      <w:r w:rsidRPr="003E5026">
        <w:rPr>
          <w:rStyle w:val="FootnoteReference"/>
          <w:rFonts w:ascii="Mosawi" w:hAnsi="Mosawi" w:cs="Mosawi" w:hint="cs"/>
          <w:sz w:val="26"/>
          <w:szCs w:val="26"/>
          <w:vertAlign w:val="baseline"/>
          <w:rtl/>
        </w:rPr>
        <w:t>أنتم أشبه الأمم ببني إسرائيل، لتركبنّ طريقتهم حذو القذة بالقذة، حتى لا يكون فيهم شيء إلاّ كان فيكم مثله..</w:t>
      </w:r>
      <w:r w:rsidRPr="003E5026">
        <w:rPr>
          <w:rStyle w:val="FootnoteReference"/>
          <w:rFonts w:ascii="Mosawi" w:hAnsi="Mosawi" w:cs="Mosawi" w:hint="eastAsia"/>
          <w:sz w:val="26"/>
          <w:szCs w:val="26"/>
          <w:vertAlign w:val="baseline"/>
          <w:rtl/>
        </w:rPr>
        <w:t>»</w:t>
      </w:r>
      <w:r w:rsidRPr="003E5026">
        <w:rPr>
          <w:rStyle w:val="FootnoteReference"/>
          <w:rFonts w:ascii="Mosawi" w:hAnsi="Mosawi" w:cs="Mosawi" w:hint="cs"/>
          <w:sz w:val="26"/>
          <w:szCs w:val="26"/>
          <w:vertAlign w:val="baseline"/>
          <w:rtl/>
        </w:rPr>
        <w:t>.</w:t>
      </w:r>
    </w:p>
  </w:footnote>
  <w:footnote w:id="45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النّووي، المجموع 7: 83.</w:t>
      </w:r>
    </w:p>
  </w:footnote>
  <w:footnote w:id="45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الطوسي، تهذيب الأحكام: 2259.</w:t>
      </w:r>
    </w:p>
  </w:footnote>
  <w:footnote w:id="46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النجفي، جواهر الكلام 30: 35.</w:t>
      </w:r>
    </w:p>
  </w:footnote>
  <w:footnote w:id="46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42.</w:t>
      </w:r>
    </w:p>
  </w:footnote>
  <w:footnote w:id="46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39.</w:t>
      </w:r>
    </w:p>
  </w:footnote>
  <w:footnote w:id="46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الطوسي، التبيان 3: 165، 166.</w:t>
      </w:r>
    </w:p>
  </w:footnote>
  <w:footnote w:id="46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الحر العاملي، وسائل الشيعة 14: 436، 438.</w:t>
      </w:r>
    </w:p>
  </w:footnote>
  <w:footnote w:id="46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ابن بابويه، من لا يحضره الفقيه 3: 430.</w:t>
      </w:r>
    </w:p>
  </w:footnote>
  <w:footnote w:id="46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وسائل الشيعة 14: 415.</w:t>
      </w:r>
    </w:p>
  </w:footnote>
  <w:footnote w:id="467">
    <w:p w:rsidR="0071680A" w:rsidRPr="003E5026" w:rsidRDefault="0071680A" w:rsidP="00E24C1D">
      <w:pPr>
        <w:pStyle w:val="11"/>
        <w:widowControl w:val="0"/>
        <w:spacing w:line="211"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الطوسي، المبسوط في فقه الإمامية 4: 210.</w:t>
      </w:r>
    </w:p>
  </w:footnote>
  <w:footnote w:id="468">
    <w:p w:rsidR="0071680A" w:rsidRPr="003E5026" w:rsidRDefault="0071680A" w:rsidP="00E24C1D">
      <w:pPr>
        <w:pStyle w:val="11"/>
        <w:widowControl w:val="0"/>
        <w:spacing w:line="211"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الفيض الكاشاني، مفاتيح الشرائع 2: 249.</w:t>
      </w:r>
    </w:p>
  </w:footnote>
  <w:footnote w:id="469">
    <w:p w:rsidR="0071680A" w:rsidRPr="003E5026" w:rsidRDefault="0071680A" w:rsidP="00E24C1D">
      <w:pPr>
        <w:pStyle w:val="11"/>
        <w:widowControl w:val="0"/>
        <w:spacing w:line="211"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النجفي، جواهر الكلام 30: 39.</w:t>
      </w:r>
    </w:p>
  </w:footnote>
  <w:footnote w:id="47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أصول الفقه 2: 186.</w:t>
      </w:r>
    </w:p>
  </w:footnote>
  <w:footnote w:id="47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مغنية، فقه الإمام جعفر الصادق 5: 209 ـ 221.</w:t>
      </w:r>
    </w:p>
  </w:footnote>
  <w:footnote w:id="47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الكليني، الكافي 5: 360.</w:t>
      </w:r>
    </w:p>
  </w:footnote>
  <w:footnote w:id="47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الحر العاملي، وسائل الشيعة 14: 410.</w:t>
      </w:r>
    </w:p>
  </w:footnote>
  <w:footnote w:id="47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الطباطبائي، الميزان في تفسير القرآن 2: 204.</w:t>
      </w:r>
    </w:p>
  </w:footnote>
  <w:footnote w:id="47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السيوطي، الدر المنثور 2: 252.</w:t>
      </w:r>
    </w:p>
  </w:footnote>
  <w:footnote w:id="47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النجفي، جواهر الكلام 30: 33.</w:t>
      </w:r>
    </w:p>
  </w:footnote>
  <w:footnote w:id="47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المرتضى، الانتصار: 117.</w:t>
      </w:r>
    </w:p>
  </w:footnote>
  <w:footnote w:id="47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الحرّ العاملي، وسائل الشيعة 14: 417، 420.</w:t>
      </w:r>
    </w:p>
  </w:footnote>
  <w:footnote w:id="479">
    <w:p w:rsidR="0071680A" w:rsidRPr="003E5026" w:rsidRDefault="0071680A" w:rsidP="00E24C1D">
      <w:pPr>
        <w:pStyle w:val="11"/>
        <w:widowControl w:val="0"/>
        <w:spacing w:line="180"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ابن بابويه، من لا يحضره الفقيه 4: 336.</w:t>
      </w:r>
    </w:p>
  </w:footnote>
  <w:footnote w:id="480">
    <w:p w:rsidR="0071680A" w:rsidRPr="003E5026" w:rsidRDefault="0071680A" w:rsidP="00E24C1D">
      <w:pPr>
        <w:pStyle w:val="11"/>
        <w:widowControl w:val="0"/>
        <w:spacing w:line="180"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الحرّ العاملي، وسائل الشيعة 17: 378.</w:t>
      </w:r>
    </w:p>
  </w:footnote>
  <w:footnote w:id="481">
    <w:p w:rsidR="0071680A" w:rsidRPr="003E5026" w:rsidRDefault="0071680A" w:rsidP="00E24C1D">
      <w:pPr>
        <w:pStyle w:val="11"/>
        <w:widowControl w:val="0"/>
        <w:spacing w:line="180"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النجفي، جواهر الكلام 30: 39.</w:t>
      </w:r>
    </w:p>
  </w:footnote>
  <w:footnote w:id="482">
    <w:p w:rsidR="0071680A" w:rsidRPr="003E5026" w:rsidRDefault="0071680A" w:rsidP="00E24C1D">
      <w:pPr>
        <w:pStyle w:val="11"/>
        <w:widowControl w:val="0"/>
        <w:spacing w:line="180"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البقرة: 221.</w:t>
      </w:r>
    </w:p>
  </w:footnote>
  <w:footnote w:id="48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الحرّ العاملي، وسائل الشيعة 14: 410.</w:t>
      </w:r>
    </w:p>
  </w:footnote>
  <w:footnote w:id="48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السّباعي: 175.</w:t>
      </w:r>
    </w:p>
  </w:footnote>
  <w:footnote w:id="48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المجلسي، بحار الأنوار 79: 221.</w:t>
      </w:r>
    </w:p>
  </w:footnote>
  <w:footnote w:id="48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عبدالحميد: 65.</w:t>
      </w:r>
    </w:p>
  </w:footnote>
  <w:footnote w:id="48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شلبي: 228.</w:t>
      </w:r>
    </w:p>
  </w:footnote>
  <w:footnote w:id="48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المبسوط 4: 210.</w:t>
      </w:r>
    </w:p>
  </w:footnote>
  <w:footnote w:id="48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المجموع 7: 136.</w:t>
      </w:r>
    </w:p>
  </w:footnote>
  <w:footnote w:id="490">
    <w:p w:rsidR="0071680A" w:rsidRPr="003E5026" w:rsidRDefault="0071680A" w:rsidP="00925049">
      <w:pPr>
        <w:pStyle w:val="11"/>
        <w:widowControl w:val="0"/>
        <w:spacing w:line="209"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الطوسي، المبسوط 4: 211.</w:t>
      </w:r>
    </w:p>
  </w:footnote>
  <w:footnote w:id="491">
    <w:p w:rsidR="0071680A" w:rsidRPr="003E5026" w:rsidRDefault="0071680A" w:rsidP="00925049">
      <w:pPr>
        <w:pStyle w:val="11"/>
        <w:widowControl w:val="0"/>
        <w:spacing w:line="209"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w:t>
      </w:r>
    </w:p>
  </w:footnote>
  <w:footnote w:id="492">
    <w:p w:rsidR="0071680A" w:rsidRPr="003E5026" w:rsidRDefault="0071680A" w:rsidP="00925049">
      <w:pPr>
        <w:pStyle w:val="11"/>
        <w:widowControl w:val="0"/>
        <w:spacing w:line="209"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الحرّ العاملي، وسائل الشيعة 4: 214.</w:t>
      </w:r>
    </w:p>
  </w:footnote>
  <w:footnote w:id="493">
    <w:p w:rsidR="0071680A" w:rsidRPr="003E5026" w:rsidRDefault="0071680A" w:rsidP="00925049">
      <w:pPr>
        <w:pStyle w:val="11"/>
        <w:widowControl w:val="0"/>
        <w:spacing w:line="209"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الطوسي، المبسوط 4: 211.</w:t>
      </w:r>
    </w:p>
  </w:footnote>
  <w:footnote w:id="494">
    <w:p w:rsidR="0071680A" w:rsidRPr="003E5026" w:rsidRDefault="0071680A" w:rsidP="00925049">
      <w:pPr>
        <w:pStyle w:val="11"/>
        <w:widowControl w:val="0"/>
        <w:spacing w:line="197"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212.</w:t>
      </w:r>
    </w:p>
  </w:footnote>
  <w:footnote w:id="495">
    <w:p w:rsidR="0071680A" w:rsidRPr="003E5026" w:rsidRDefault="0071680A" w:rsidP="00925049">
      <w:pPr>
        <w:pStyle w:val="11"/>
        <w:widowControl w:val="0"/>
        <w:spacing w:line="197"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النووي، المجموع 7: 137.</w:t>
      </w:r>
    </w:p>
  </w:footnote>
  <w:footnote w:id="496">
    <w:p w:rsidR="0071680A" w:rsidRPr="003E5026" w:rsidRDefault="0071680A" w:rsidP="00925049">
      <w:pPr>
        <w:pStyle w:val="11"/>
        <w:widowControl w:val="0"/>
        <w:spacing w:line="197"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رسالة بولس إلى كوليسان 3: 18.</w:t>
      </w:r>
    </w:p>
  </w:footnote>
  <w:footnote w:id="497">
    <w:p w:rsidR="0071680A" w:rsidRPr="003E5026" w:rsidRDefault="0071680A" w:rsidP="00925049">
      <w:pPr>
        <w:pStyle w:val="11"/>
        <w:widowControl w:val="0"/>
        <w:spacing w:line="197"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رسالة بولس إلى تيوطوس 2: 5.</w:t>
      </w:r>
    </w:p>
  </w:footnote>
  <w:footnote w:id="498">
    <w:p w:rsidR="0071680A" w:rsidRPr="003E5026" w:rsidRDefault="0071680A" w:rsidP="00925049">
      <w:pPr>
        <w:pStyle w:val="11"/>
        <w:widowControl w:val="0"/>
        <w:spacing w:line="197"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ابن رشد، بداية المجتهد: 2075.</w:t>
      </w:r>
    </w:p>
  </w:footnote>
  <w:footnote w:id="499">
    <w:p w:rsidR="0071680A" w:rsidRPr="003E5026" w:rsidRDefault="0071680A" w:rsidP="00925049">
      <w:pPr>
        <w:pStyle w:val="11"/>
        <w:widowControl w:val="0"/>
        <w:spacing w:line="197"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ابن قدامة، المغني 6: 203.</w:t>
      </w:r>
    </w:p>
  </w:footnote>
  <w:footnote w:id="500">
    <w:p w:rsidR="0071680A" w:rsidRPr="003E5026" w:rsidRDefault="0071680A" w:rsidP="00925049">
      <w:pPr>
        <w:pStyle w:val="11"/>
        <w:widowControl w:val="0"/>
        <w:spacing w:line="197"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الطوسي، المبسوط 4: 211.</w:t>
      </w:r>
    </w:p>
  </w:footnote>
  <w:footnote w:id="501">
    <w:p w:rsidR="0071680A" w:rsidRPr="003E5026" w:rsidRDefault="0071680A" w:rsidP="00925049">
      <w:pPr>
        <w:pStyle w:val="11"/>
        <w:widowControl w:val="0"/>
        <w:spacing w:line="197"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ابن بابويه، من لا يحضره الفقيه 4: 336.</w:t>
      </w:r>
    </w:p>
  </w:footnote>
  <w:footnote w:id="502">
    <w:p w:rsidR="0071680A" w:rsidRPr="003E5026" w:rsidRDefault="0071680A" w:rsidP="00925049">
      <w:pPr>
        <w:pStyle w:val="11"/>
        <w:widowControl w:val="0"/>
        <w:spacing w:line="185"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ابن رشد، بداية المجتهد: 2251.</w:t>
      </w:r>
    </w:p>
  </w:footnote>
  <w:footnote w:id="503">
    <w:p w:rsidR="0071680A" w:rsidRPr="003E5026" w:rsidRDefault="0071680A" w:rsidP="00925049">
      <w:pPr>
        <w:pStyle w:val="11"/>
        <w:widowControl w:val="0"/>
        <w:spacing w:line="185"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الطوسي، المبسوط 4: 210.</w:t>
      </w:r>
    </w:p>
  </w:footnote>
  <w:footnote w:id="504">
    <w:p w:rsidR="0071680A" w:rsidRPr="003E5026" w:rsidRDefault="0071680A" w:rsidP="00925049">
      <w:pPr>
        <w:pStyle w:val="11"/>
        <w:widowControl w:val="0"/>
        <w:spacing w:line="185"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ابن حزم، المحلّى 14: 126.</w:t>
      </w:r>
    </w:p>
  </w:footnote>
  <w:footnote w:id="505">
    <w:p w:rsidR="0071680A" w:rsidRPr="003E5026" w:rsidRDefault="0071680A" w:rsidP="00925049">
      <w:pPr>
        <w:pStyle w:val="11"/>
        <w:widowControl w:val="0"/>
        <w:spacing w:line="185"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ابن قدامة، المغني 8: 149.</w:t>
      </w:r>
    </w:p>
  </w:footnote>
  <w:footnote w:id="506">
    <w:p w:rsidR="0071680A" w:rsidRPr="003E5026" w:rsidRDefault="0071680A" w:rsidP="00925049">
      <w:pPr>
        <w:pStyle w:val="11"/>
        <w:widowControl w:val="0"/>
        <w:spacing w:line="185"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النّوري، مستدرك الوسائل 18: 101.</w:t>
      </w:r>
    </w:p>
  </w:footnote>
  <w:footnote w:id="507">
    <w:p w:rsidR="0071680A" w:rsidRPr="003E5026" w:rsidRDefault="0071680A" w:rsidP="00925049">
      <w:pPr>
        <w:pStyle w:val="11"/>
        <w:widowControl w:val="0"/>
        <w:spacing w:line="185"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الشهيد الأوّل، اللمعة: 174.</w:t>
      </w:r>
    </w:p>
  </w:footnote>
  <w:footnote w:id="50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مسالك الأفهام 8: 323.</w:t>
      </w:r>
    </w:p>
  </w:footnote>
  <w:footnote w:id="50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الحر العاملي، وسائل الشيعة 14: 419.</w:t>
      </w:r>
    </w:p>
  </w:footnote>
  <w:footnote w:id="51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التفرشي، نقد الرجال 1: 303.</w:t>
      </w:r>
    </w:p>
  </w:footnote>
  <w:footnote w:id="51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الأردبيلي، جامع الرواة 1: 12.</w:t>
      </w:r>
    </w:p>
  </w:footnote>
  <w:footnote w:id="51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  أُستاذ الدراسات الإسلامية العليا، كلية الآداب، من العراق.</w:t>
      </w:r>
    </w:p>
  </w:footnote>
  <w:footnote w:id="51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حديث مشهور رواه الخليفة عمر بن الخطاب، قال العلماء: متفق على صحته. وقال الشافعي وأحمد: إلى هذا الحديث يرجع ثلث العلم، في تخريجه وقوته، ابن حجر: فتح الباري 1: 6؛ وعمدة القارئ 1: 16؛ وشرح عمدة الأحكام 1: 7؛ والسيوطي: الأشباه والنظائر: 7.</w:t>
      </w:r>
    </w:p>
  </w:footnote>
  <w:footnote w:id="51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رواه أبو سعيد الخدري، وأخرجه الدارقطني والبيهقي والحاكم وقال: صحيح الإسناد على شرط مسلم؛ ورواه الكليني في الكافي، والصدوق في الفقيه، والطوسي في التهذيب 1: 413.</w:t>
      </w:r>
    </w:p>
  </w:footnote>
  <w:footnote w:id="51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أحمد فهمي أبو سنه، النظرية العامة للمعاملات، محاضرة في مجموعة المحال، أسبوع الفقه الإسلامي: 100، 110.</w:t>
      </w:r>
    </w:p>
  </w:footnote>
  <w:footnote w:id="51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w:t>
      </w:r>
    </w:p>
  </w:footnote>
  <w:footnote w:id="51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د. فتحي الدريني، الحق ومدى سلطان الدولة في تقييده: 311.</w:t>
      </w:r>
    </w:p>
  </w:footnote>
  <w:footnote w:id="51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الشيخ محمد أبو زهرة، نظرية التعسف، اعمال الفقه الإسلامي: 29.</w:t>
      </w:r>
    </w:p>
  </w:footnote>
  <w:footnote w:id="51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النجفي، جواهر الكلام 32: 2.</w:t>
      </w:r>
    </w:p>
  </w:footnote>
  <w:footnote w:id="52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قانون الأحوال الشخصية العراقي المادة (34).</w:t>
      </w:r>
    </w:p>
  </w:footnote>
  <w:footnote w:id="52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رواه أبو داود، وابن ماجة، وصحّحه الحاكم، والمشهور إرساله، انظر: سنن ابن ماجه 1: 650؛ والسيوطي، الجامع الصغير 1: 5.</w:t>
      </w:r>
    </w:p>
  </w:footnote>
  <w:footnote w:id="52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قانون الأحوال الشخصية، وهامشه: 42.</w:t>
      </w:r>
    </w:p>
  </w:footnote>
  <w:footnote w:id="52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قرار محكمة التمييز الصادر في 3/3/1996 المنشور في مجلة القضاء: 185، ع2، س1986.</w:t>
      </w:r>
    </w:p>
  </w:footnote>
  <w:footnote w:id="524">
    <w:p w:rsidR="0071680A" w:rsidRPr="003E5026" w:rsidRDefault="0071680A" w:rsidP="00925049">
      <w:pPr>
        <w:pStyle w:val="11"/>
        <w:widowControl w:val="0"/>
        <w:spacing w:line="211"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شرح النووي لصحيح مسلم 10: 61؛ وسبل السلام 3: 168؛ ونيل الأوطار 6: 187؛ والبهوتي، منتهى الإرادات 3: 119.</w:t>
      </w:r>
    </w:p>
  </w:footnote>
  <w:footnote w:id="525">
    <w:p w:rsidR="0071680A" w:rsidRPr="003E5026" w:rsidRDefault="0071680A" w:rsidP="00925049">
      <w:pPr>
        <w:pStyle w:val="11"/>
        <w:widowControl w:val="0"/>
        <w:spacing w:line="211"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الدمشقي، رحمة الأمة: 228.</w:t>
      </w:r>
    </w:p>
  </w:footnote>
  <w:footnote w:id="52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الذهبي، الأحوال الشخصية: 220 ـ 222، الطبعة الأولى، 1985م.</w:t>
      </w:r>
    </w:p>
  </w:footnote>
  <w:footnote w:id="52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الطوسي، التبيان 2: 251؛ والطبرسي، مجمع البيان 1: 332؛ والطباطبائي، الميزان 2: 236؛ والجصاص، أحكام القرآن 1: 399.</w:t>
      </w:r>
    </w:p>
  </w:footnote>
  <w:footnote w:id="52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ابن فرحون، تبصرة الحاكم 2: 131؛ ومعين الأحكام: 213.</w:t>
      </w:r>
    </w:p>
  </w:footnote>
  <w:footnote w:id="52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أحمد فهمي أبو سنه، النظريات العامة للمعاملات ـ نظرية الحق: 107.</w:t>
      </w:r>
    </w:p>
  </w:footnote>
  <w:footnote w:id="53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العز بن عبد السلام، قواعد الأحكام 3: 148، ضمان الشرط الضمني.</w:t>
      </w:r>
    </w:p>
  </w:footnote>
  <w:footnote w:id="53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أبو سنه، النظريات العامة للمعاملات: 226.</w:t>
      </w:r>
    </w:p>
  </w:footnote>
  <w:footnote w:id="53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الشعراني، الميزان الكبرى 2: 120.</w:t>
      </w:r>
    </w:p>
  </w:footnote>
  <w:footnote w:id="53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السيوطي، الجامع الصغير 2: 201؛ ورواه الطبراني في الكبير عن أبي موسى الأشعري وضعّفه.</w:t>
      </w:r>
    </w:p>
  </w:footnote>
  <w:footnote w:id="53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انظر تفسيرها في: السيوري، كنـز العرفان 3: 100؛ والرازي، مفاتيح الغيب 6: 148؛ والطبرسي، مجمع البيان 1: 234؛ والقرطبي، الجامع لأحكام القرآن 3: 196؛ وابن كثير، التفسير 1: 269؛ والطوسي، التبيان 2: 269؛ والطباطبائي، الميزان 2: 245؛ والجزائري، قلائد الدرر 3: 250.</w:t>
      </w:r>
    </w:p>
  </w:footnote>
  <w:footnote w:id="53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د. عبد الأمير زاهد، دلالة لا جناح: 24.</w:t>
      </w:r>
    </w:p>
  </w:footnote>
  <w:footnote w:id="53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الذهبي، الأحوال الشخصية: 221.</w:t>
      </w:r>
    </w:p>
  </w:footnote>
  <w:footnote w:id="53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انظر: الطباطبائي، الميزان 2: 245؛ والطبرسي، مجمع البيان 1: 340.</w:t>
      </w:r>
    </w:p>
  </w:footnote>
  <w:footnote w:id="53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الطوسي، التبيان 2: 269.</w:t>
      </w:r>
    </w:p>
  </w:footnote>
  <w:footnote w:id="53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أحمد الكبيسي، نظام الأسرة: 214.</w:t>
      </w:r>
    </w:p>
  </w:footnote>
  <w:footnote w:id="54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أبو زهرة، الأحوال الشخصية: 285.</w:t>
      </w:r>
    </w:p>
  </w:footnote>
  <w:footnote w:id="54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285.</w:t>
      </w:r>
    </w:p>
  </w:footnote>
  <w:footnote w:id="54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الحكم التمييزي، محكمة تمييز العراق 5342/ش/95 في 9/6/1996 المنشور في الموسوعة العدلية، العدد 39، سنة 1997.</w:t>
      </w:r>
    </w:p>
  </w:footnote>
  <w:footnote w:id="54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 باحث في الفقه الإسلامي، من العراق.</w:t>
      </w:r>
    </w:p>
  </w:footnote>
  <w:footnote w:id="54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راجع: مجلة الاجتهاد والتجديد، العدد 5: 204.</w:t>
      </w:r>
    </w:p>
  </w:footnote>
  <w:footnote w:id="54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راجع: أبو البركات، الشرح الكبير 3: 293.</w:t>
      </w:r>
    </w:p>
  </w:footnote>
  <w:footnote w:id="54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الجزيري، الفقه على المذاهب الأربعة 2: 352.</w:t>
      </w:r>
    </w:p>
  </w:footnote>
  <w:footnote w:id="54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مجلة الاجتهاد والتجديد، العدد 5: 204.</w:t>
      </w:r>
    </w:p>
  </w:footnote>
  <w:footnote w:id="54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الصدوق، المقنع: 196؛ ومن لا يحضره الفقيه 2: 122.</w:t>
      </w:r>
    </w:p>
  </w:footnote>
  <w:footnote w:id="549">
    <w:p w:rsidR="0071680A" w:rsidRPr="003E5026" w:rsidRDefault="0071680A" w:rsidP="00925049">
      <w:pPr>
        <w:pStyle w:val="11"/>
        <w:widowControl w:val="0"/>
        <w:spacing w:line="185"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من لا يحضر الفقيه 2: 122.</w:t>
      </w:r>
    </w:p>
  </w:footnote>
  <w:footnote w:id="550">
    <w:p w:rsidR="0071680A" w:rsidRPr="003E5026" w:rsidRDefault="0071680A" w:rsidP="00925049">
      <w:pPr>
        <w:pStyle w:val="11"/>
        <w:widowControl w:val="0"/>
        <w:spacing w:line="185"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4: 221.</w:t>
      </w:r>
    </w:p>
  </w:footnote>
  <w:footnote w:id="551">
    <w:p w:rsidR="0071680A" w:rsidRPr="003E5026" w:rsidRDefault="0071680A" w:rsidP="00925049">
      <w:pPr>
        <w:pStyle w:val="11"/>
        <w:widowControl w:val="0"/>
        <w:spacing w:line="185"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2: 435.</w:t>
      </w:r>
    </w:p>
  </w:footnote>
  <w:footnote w:id="552">
    <w:p w:rsidR="0071680A" w:rsidRPr="003E5026" w:rsidRDefault="0071680A" w:rsidP="00925049">
      <w:pPr>
        <w:pStyle w:val="11"/>
        <w:widowControl w:val="0"/>
        <w:spacing w:line="185"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 372.</w:t>
      </w:r>
    </w:p>
  </w:footnote>
  <w:footnote w:id="553">
    <w:p w:rsidR="0071680A" w:rsidRPr="003E5026" w:rsidRDefault="0071680A" w:rsidP="00925049">
      <w:pPr>
        <w:pStyle w:val="11"/>
        <w:widowControl w:val="0"/>
        <w:spacing w:line="185"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المفيد، المقنعة: 353.</w:t>
      </w:r>
    </w:p>
  </w:footnote>
  <w:footnote w:id="554">
    <w:p w:rsidR="0071680A" w:rsidRPr="003E5026" w:rsidRDefault="0071680A" w:rsidP="00925049">
      <w:pPr>
        <w:pStyle w:val="11"/>
        <w:widowControl w:val="0"/>
        <w:spacing w:line="185"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533.</w:t>
      </w:r>
    </w:p>
  </w:footnote>
  <w:footnote w:id="55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747.</w:t>
      </w:r>
    </w:p>
  </w:footnote>
  <w:footnote w:id="55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رسائل المرتضى 3: 57.</w:t>
      </w:r>
    </w:p>
  </w:footnote>
  <w:footnote w:id="55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الطوسي، الخلاف 3: 283.</w:t>
      </w:r>
    </w:p>
  </w:footnote>
  <w:footnote w:id="55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الطوسي، المبسوط 2: 282 ــ 284.</w:t>
      </w:r>
    </w:p>
  </w:footnote>
  <w:footnote w:id="55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 266.</w:t>
      </w:r>
    </w:p>
  </w:footnote>
  <w:footnote w:id="56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8: 21.</w:t>
      </w:r>
    </w:p>
  </w:footnote>
  <w:footnote w:id="56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الطوسي، النهاية: 212.</w:t>
      </w:r>
    </w:p>
  </w:footnote>
  <w:footnote w:id="56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ابن حمزة، الوسيلة: 137.</w:t>
      </w:r>
    </w:p>
  </w:footnote>
  <w:footnote w:id="56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ابن البراج، المهذب 2: 119.</w:t>
      </w:r>
    </w:p>
  </w:footnote>
  <w:footnote w:id="56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ابن زهرة، غنية النـزوع: 251.</w:t>
      </w:r>
    </w:p>
  </w:footnote>
  <w:footnote w:id="56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الحلي، السرائر 1: 367.</w:t>
      </w:r>
    </w:p>
  </w:footnote>
  <w:footnote w:id="56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الحلي، شرائع الإسلام 1: 174.</w:t>
      </w:r>
    </w:p>
  </w:footnote>
  <w:footnote w:id="56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153.</w:t>
      </w:r>
    </w:p>
  </w:footnote>
  <w:footnote w:id="56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العلامة الحلي، قواعد الأحكام 1: 383.</w:t>
      </w:r>
    </w:p>
  </w:footnote>
  <w:footnote w:id="56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سنن البيهقي 6: 57.</w:t>
      </w:r>
    </w:p>
  </w:footnote>
  <w:footnote w:id="57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شرائع الإسلام 2: 352.</w:t>
      </w:r>
    </w:p>
  </w:footnote>
  <w:footnote w:id="571">
    <w:p w:rsidR="0071680A" w:rsidRPr="003E5026" w:rsidRDefault="0071680A" w:rsidP="00E52F7A">
      <w:pPr>
        <w:pStyle w:val="11"/>
        <w:widowControl w:val="0"/>
        <w:spacing w:line="180"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جواهر الكلام 26: 42.</w:t>
      </w:r>
    </w:p>
  </w:footnote>
  <w:footnote w:id="572">
    <w:p w:rsidR="0071680A" w:rsidRPr="003E5026" w:rsidRDefault="0071680A" w:rsidP="00E52F7A">
      <w:pPr>
        <w:pStyle w:val="11"/>
        <w:widowControl w:val="0"/>
        <w:spacing w:line="180"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مسالك الأفهام 4: 145.</w:t>
      </w:r>
    </w:p>
  </w:footnote>
  <w:footnote w:id="573">
    <w:p w:rsidR="0071680A" w:rsidRPr="003E5026" w:rsidRDefault="0071680A" w:rsidP="00E52F7A">
      <w:pPr>
        <w:pStyle w:val="11"/>
        <w:widowControl w:val="0"/>
        <w:spacing w:line="180"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مسند أحمد 6: 259.</w:t>
      </w:r>
    </w:p>
  </w:footnote>
  <w:footnote w:id="574">
    <w:p w:rsidR="0071680A" w:rsidRPr="003E5026" w:rsidRDefault="0071680A" w:rsidP="00E52F7A">
      <w:pPr>
        <w:pStyle w:val="11"/>
        <w:widowControl w:val="0"/>
        <w:spacing w:line="180"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سنن أبي داود 2: 27، 4104.</w:t>
      </w:r>
    </w:p>
  </w:footnote>
  <w:footnote w:id="575">
    <w:p w:rsidR="0071680A" w:rsidRPr="003E5026" w:rsidRDefault="0071680A" w:rsidP="00E52F7A">
      <w:pPr>
        <w:pStyle w:val="11"/>
        <w:widowControl w:val="0"/>
        <w:spacing w:line="180"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الحر العاملي، وسائل الشيعة 20: 228.</w:t>
      </w:r>
    </w:p>
  </w:footnote>
  <w:footnote w:id="576">
    <w:p w:rsidR="0071680A" w:rsidRPr="003E5026" w:rsidRDefault="0071680A" w:rsidP="00E52F7A">
      <w:pPr>
        <w:pStyle w:val="11"/>
        <w:widowControl w:val="0"/>
        <w:spacing w:line="180"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20: 228.</w:t>
      </w:r>
    </w:p>
  </w:footnote>
  <w:footnote w:id="57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الصدوق، علل الشرائع 2: 287.</w:t>
      </w:r>
    </w:p>
  </w:footnote>
  <w:footnote w:id="57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وسائل الشيعة 4: 405؛ ومن لا يحضره الفقيه 1: 373.</w:t>
      </w:r>
    </w:p>
  </w:footnote>
  <w:footnote w:id="57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وسائل الشيعة 4: 408.</w:t>
      </w:r>
    </w:p>
  </w:footnote>
  <w:footnote w:id="58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410؛ والتهذيب 4: 281؛ ورواه في المقنع مرسلاً: 169.</w:t>
      </w:r>
    </w:p>
  </w:footnote>
  <w:footnote w:id="58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من لا يحضره الفقيه 2: 122.</w:t>
      </w:r>
    </w:p>
  </w:footnote>
  <w:footnote w:id="58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وسائل الشيعة 11: 44.</w:t>
      </w:r>
    </w:p>
  </w:footnote>
  <w:footnote w:id="58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11: 45.</w:t>
      </w:r>
    </w:p>
  </w:footnote>
  <w:footnote w:id="58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28: 82.</w:t>
      </w:r>
    </w:p>
  </w:footnote>
  <w:footnote w:id="585">
    <w:p w:rsidR="0071680A" w:rsidRPr="003E5026" w:rsidRDefault="0071680A" w:rsidP="00E52F7A">
      <w:pPr>
        <w:pStyle w:val="11"/>
        <w:widowControl w:val="0"/>
        <w:spacing w:line="187"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185.</w:t>
      </w:r>
    </w:p>
  </w:footnote>
  <w:footnote w:id="586">
    <w:p w:rsidR="0071680A" w:rsidRPr="003E5026" w:rsidRDefault="0071680A" w:rsidP="00E52F7A">
      <w:pPr>
        <w:pStyle w:val="11"/>
        <w:widowControl w:val="0"/>
        <w:spacing w:line="187"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الكافي 7: 205 ـ 209.</w:t>
      </w:r>
    </w:p>
  </w:footnote>
  <w:footnote w:id="587">
    <w:p w:rsidR="0071680A" w:rsidRPr="003E5026" w:rsidRDefault="0071680A" w:rsidP="00E52F7A">
      <w:pPr>
        <w:pStyle w:val="11"/>
        <w:widowControl w:val="0"/>
        <w:spacing w:line="187"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تهذيب الأحكام 10: 65.</w:t>
      </w:r>
    </w:p>
  </w:footnote>
  <w:footnote w:id="588">
    <w:p w:rsidR="0071680A" w:rsidRPr="003E5026" w:rsidRDefault="0071680A" w:rsidP="00E52F7A">
      <w:pPr>
        <w:pStyle w:val="11"/>
        <w:widowControl w:val="0"/>
        <w:spacing w:line="187"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علل الشرائع 2: 253.</w:t>
      </w:r>
    </w:p>
  </w:footnote>
  <w:footnote w:id="589">
    <w:p w:rsidR="0071680A" w:rsidRPr="003E5026" w:rsidRDefault="0071680A" w:rsidP="00E52F7A">
      <w:pPr>
        <w:pStyle w:val="11"/>
        <w:widowControl w:val="0"/>
        <w:spacing w:line="187"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وسائل الشيعة 28: 186.</w:t>
      </w:r>
    </w:p>
  </w:footnote>
  <w:footnote w:id="590">
    <w:p w:rsidR="0071680A" w:rsidRPr="003E5026" w:rsidRDefault="0071680A" w:rsidP="00E52F7A">
      <w:pPr>
        <w:pStyle w:val="11"/>
        <w:widowControl w:val="0"/>
        <w:spacing w:line="187"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295.</w:t>
      </w:r>
    </w:p>
  </w:footnote>
  <w:footnote w:id="591">
    <w:p w:rsidR="0071680A" w:rsidRPr="003E5026" w:rsidRDefault="0071680A" w:rsidP="00E52F7A">
      <w:pPr>
        <w:pStyle w:val="11"/>
        <w:widowControl w:val="0"/>
        <w:spacing w:line="187"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تهذيب الأحكام 10: 121.</w:t>
      </w:r>
    </w:p>
  </w:footnote>
  <w:footnote w:id="59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وسائل الشيعة 1: 45.</w:t>
      </w:r>
    </w:p>
  </w:footnote>
  <w:footnote w:id="59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راجع: جواهر الكلام 26: 45.</w:t>
      </w:r>
    </w:p>
  </w:footnote>
  <w:footnote w:id="59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7.</w:t>
      </w:r>
    </w:p>
  </w:footnote>
  <w:footnote w:id="59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وسائل الشيعة 1: 44.</w:t>
      </w:r>
    </w:p>
  </w:footnote>
  <w:footnote w:id="59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43.</w:t>
      </w:r>
    </w:p>
  </w:footnote>
  <w:footnote w:id="59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تهذيب الأحكام 7: 383.</w:t>
      </w:r>
    </w:p>
  </w:footnote>
  <w:footnote w:id="59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وسائل الشيعة 1: 43.</w:t>
      </w:r>
    </w:p>
  </w:footnote>
  <w:footnote w:id="59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رجال النجاشي: 244.</w:t>
      </w:r>
    </w:p>
  </w:footnote>
  <w:footnote w:id="60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وسائل الشيعة 1: 43، و28: 20.</w:t>
      </w:r>
    </w:p>
  </w:footnote>
  <w:footnote w:id="60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الكافي 7: 198.</w:t>
      </w:r>
    </w:p>
  </w:footnote>
  <w:footnote w:id="60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تهذيب الأحكام 10: 38.</w:t>
      </w:r>
    </w:p>
  </w:footnote>
  <w:footnote w:id="60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في معجم رجال الخوئي أن الحسن بن محبوب روى عن الكناسي أيضاً، لكنه غير صحيح، فإن الحسن بن محبوب روى 15 رواية عن الكناسي بواسطة هؤلاء الرواة، ففي السند سقط لا محالة.</w:t>
      </w:r>
    </w:p>
  </w:footnote>
  <w:footnote w:id="60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تهذيب الأحكام 7: 382.</w:t>
      </w:r>
    </w:p>
  </w:footnote>
  <w:footnote w:id="60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وسائل الشيعة 19: 367.</w:t>
      </w:r>
    </w:p>
  </w:footnote>
  <w:footnote w:id="60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28: 279؛ وتهذيب الأحكام 10: 120.</w:t>
      </w:r>
    </w:p>
  </w:footnote>
  <w:footnote w:id="60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وسائل الشيعة 21: 36.</w:t>
      </w:r>
    </w:p>
  </w:footnote>
  <w:footnote w:id="60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الكافي 5: 463.</w:t>
      </w:r>
    </w:p>
  </w:footnote>
  <w:footnote w:id="60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وسائل الشيعة 21: 36.</w:t>
      </w:r>
    </w:p>
  </w:footnote>
  <w:footnote w:id="61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w:t>
      </w:r>
    </w:p>
  </w:footnote>
  <w:footnote w:id="61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20: 104؛ والصدوق، الخصال: 421.</w:t>
      </w:r>
    </w:p>
  </w:footnote>
  <w:footnote w:id="61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الكافي 5: 115 ــ 116.</w:t>
      </w:r>
    </w:p>
  </w:footnote>
  <w:footnote w:id="61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وسائل الشيعة 22: 183.</w:t>
      </w:r>
    </w:p>
  </w:footnote>
  <w:footnote w:id="61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19: 365.</w:t>
      </w:r>
    </w:p>
  </w:footnote>
  <w:footnote w:id="61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راجع: التستري، قاموس الرجال 1: 89 ــ 90.</w:t>
      </w:r>
    </w:p>
  </w:footnote>
  <w:footnote w:id="61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الشافعي، كتاب الأم 5: 229.</w:t>
      </w:r>
    </w:p>
  </w:footnote>
  <w:footnote w:id="61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السيستاني، منهاج الصالحين 2: 297.</w:t>
      </w:r>
    </w:p>
  </w:footnote>
  <w:footnote w:id="61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وسائل الشيعة 20: 228.</w:t>
      </w:r>
    </w:p>
  </w:footnote>
  <w:footnote w:id="61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19: 356.</w:t>
      </w:r>
    </w:p>
  </w:footnote>
  <w:footnote w:id="620">
    <w:p w:rsidR="0071680A" w:rsidRPr="003E5026" w:rsidRDefault="0071680A" w:rsidP="00E52F7A">
      <w:pPr>
        <w:pStyle w:val="11"/>
        <w:widowControl w:val="0"/>
        <w:spacing w:line="199"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جواهر الكلام 34: 39.</w:t>
      </w:r>
    </w:p>
  </w:footnote>
  <w:footnote w:id="621">
    <w:p w:rsidR="0071680A" w:rsidRPr="003E5026" w:rsidRDefault="0071680A" w:rsidP="00E52F7A">
      <w:pPr>
        <w:pStyle w:val="11"/>
        <w:widowControl w:val="0"/>
        <w:spacing w:line="199"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وسائل الشيعة 20: 101.</w:t>
      </w:r>
    </w:p>
  </w:footnote>
  <w:footnote w:id="622">
    <w:p w:rsidR="0071680A" w:rsidRPr="003E5026" w:rsidRDefault="0071680A" w:rsidP="00E52F7A">
      <w:pPr>
        <w:pStyle w:val="11"/>
        <w:widowControl w:val="0"/>
        <w:spacing w:line="199"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103.</w:t>
      </w:r>
    </w:p>
  </w:footnote>
  <w:footnote w:id="623">
    <w:p w:rsidR="0071680A" w:rsidRPr="003E5026" w:rsidRDefault="0071680A" w:rsidP="00E52F7A">
      <w:pPr>
        <w:pStyle w:val="11"/>
        <w:widowControl w:val="0"/>
        <w:spacing w:line="199"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101 ـ 102.</w:t>
      </w:r>
    </w:p>
  </w:footnote>
  <w:footnote w:id="624">
    <w:p w:rsidR="0071680A" w:rsidRPr="003E5026" w:rsidRDefault="0071680A" w:rsidP="00E52F7A">
      <w:pPr>
        <w:pStyle w:val="11"/>
        <w:widowControl w:val="0"/>
        <w:spacing w:line="199"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w:t>
      </w:r>
    </w:p>
  </w:footnote>
  <w:footnote w:id="625">
    <w:p w:rsidR="0071680A" w:rsidRPr="003E5026" w:rsidRDefault="0071680A" w:rsidP="00E52F7A">
      <w:pPr>
        <w:pStyle w:val="11"/>
        <w:widowControl w:val="0"/>
        <w:spacing w:line="199"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103.</w:t>
      </w:r>
    </w:p>
  </w:footnote>
  <w:footnote w:id="62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103.</w:t>
      </w:r>
    </w:p>
  </w:footnote>
  <w:footnote w:id="62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البهوتي، كشاف القناع 5: 210.</w:t>
      </w:r>
    </w:p>
  </w:footnote>
  <w:footnote w:id="62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وسائل الشيعة 22: 187.</w:t>
      </w:r>
    </w:p>
  </w:footnote>
  <w:footnote w:id="62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w:t>
      </w:r>
    </w:p>
  </w:footnote>
  <w:footnote w:id="63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179.</w:t>
      </w:r>
    </w:p>
  </w:footnote>
  <w:footnote w:id="63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نعم، أورد الطوسي في التهذيب 7: 496، والحر العاملي في وسائل الشيعة 22: 183، الرواية بطريق آخر، وهو بإسناده عن علي بن الحسن بن فضال (ظاهراً) عن محمد بن الحسين بن أبي الخطاب، عن صفوان، عن عبد الرحمن بن الحجاج، وهذا السند لا شائبة فيه، سوى الإشكال على إسناد الشيخ إلى علي بن الحسن، فإن فيه علي بن محمد القرشي، ولم يوثق، نعم هناك بعض الطرق والمحاولات لتصحيح هذا السند؛ فإن تمّت فالرواية موثقة، وإلا فلا، هذا بناء على عدم وقوع التصحيف في علي بن فضال، وإلا ـ كما يحتمل كونه محمد بن الحسن الصفار ـ فلا إشكال في الرواية، كما أن بين طريقي الرواية اختلافاً فلا تغفل.</w:t>
      </w:r>
    </w:p>
  </w:footnote>
  <w:footnote w:id="63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المبسوط 2: 282 ـ 284.</w:t>
      </w:r>
    </w:p>
  </w:footnote>
  <w:footnote w:id="63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وسائل الشيعة 20: 103.</w:t>
      </w:r>
    </w:p>
  </w:footnote>
  <w:footnote w:id="63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تهذيب الأحكام 2: 380.</w:t>
      </w:r>
    </w:p>
  </w:footnote>
  <w:footnote w:id="63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الطوسي، الاستبصار 1: 408.</w:t>
      </w:r>
    </w:p>
  </w:footnote>
  <w:footnote w:id="63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راجع معجم رجال الحديث.</w:t>
      </w:r>
    </w:p>
  </w:footnote>
  <w:footnote w:id="63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راجع: قاموس الرجال 8: 16، فقد أورد رواياته التي ادّعى أنها غريبة غير صحيحة، لكن ذلك لا يجدي في قدح المترجم له، وتفصيل الكلام موكول إلى محلّه.</w:t>
      </w:r>
    </w:p>
  </w:footnote>
  <w:footnote w:id="63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 المحامي بالاستئناف العالي ومجلس الدولة، ماجستير في القانون العام، من مصر.</w:t>
      </w:r>
    </w:p>
  </w:footnote>
  <w:footnote w:id="639">
    <w:p w:rsidR="0071680A" w:rsidRPr="003E5026" w:rsidRDefault="0071680A" w:rsidP="00E52F7A">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Pr>
          <w:rFonts w:ascii="Mosawi" w:hAnsi="Mosawi" w:cs="Mosawi" w:hint="cs"/>
          <w:sz w:val="26"/>
          <w:szCs w:val="26"/>
          <w:rtl/>
        </w:rPr>
        <w:t xml:space="preserve"> </w:t>
      </w:r>
      <w:r w:rsidRPr="003E5026">
        <w:rPr>
          <w:rStyle w:val="FootnoteReference"/>
          <w:rFonts w:ascii="Mosawi" w:hAnsi="Mosawi" w:cs="Mosawi" w:hint="cs"/>
          <w:sz w:val="26"/>
          <w:szCs w:val="26"/>
          <w:vertAlign w:val="baseline"/>
          <w:rtl/>
        </w:rPr>
        <w:t>إبراهيم محمد الجمل، فقه المرأة المسلمة، عبادات ـ معاملات، الطبعة الأولى، عام 1981م، مكتبة القرآن.</w:t>
      </w:r>
    </w:p>
  </w:footnote>
  <w:footnote w:id="64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المذكرة الإيضاحية، للاقتراح بمشروع قانون بتعديل بعض أحكام قوانين الأحوال الشخصية، ملحق تشريعات عقد المحاماة، العددين السابع والثامن: 59 ـ 60، سبتمبر ـ اكتوبر 1988م.</w:t>
      </w:r>
    </w:p>
  </w:footnote>
  <w:footnote w:id="64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فضيلة المفتي الدكتور نصر فريد واصل، زواج المسيار حلال؛ لأنه يمنع الزنا، مجلة نصف الدنيا، العدد 562: 49، الصادرة في 26 نوفمبر 2000م.</w:t>
      </w:r>
    </w:p>
  </w:footnote>
  <w:footnote w:id="64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الأستاذ الدكتور محمد محمد فرحان، مجلّة صوت الأزهر، الشروق، العدد 13: 8، الصادرة في 16 رمضان / 1420هـ، 24 / 12 / 1999.</w:t>
      </w:r>
    </w:p>
  </w:footnote>
  <w:footnote w:id="643">
    <w:p w:rsidR="0071680A" w:rsidRPr="00E52F7A" w:rsidRDefault="0071680A" w:rsidP="00E52F7A">
      <w:pPr>
        <w:pStyle w:val="11"/>
        <w:widowControl w:val="0"/>
        <w:spacing w:line="192" w:lineRule="auto"/>
        <w:ind w:left="170" w:right="0" w:hanging="170"/>
        <w:rPr>
          <w:rStyle w:val="FootnoteReference"/>
          <w:rFonts w:ascii="Mosawi" w:hAnsi="Mosawi" w:cs="Mosawi"/>
          <w:szCs w:val="24"/>
          <w:vertAlign w:val="baseline"/>
          <w:rtl/>
        </w:rPr>
      </w:pPr>
      <w:r w:rsidRPr="00E52F7A">
        <w:rPr>
          <w:rStyle w:val="FootnoteReference"/>
          <w:rFonts w:ascii="Mosawi" w:hAnsi="Mosawi" w:cs="Mosawi" w:hint="cs"/>
          <w:szCs w:val="24"/>
          <w:vertAlign w:val="baseline"/>
          <w:rtl/>
        </w:rPr>
        <w:t>(</w:t>
      </w:r>
      <w:r w:rsidRPr="00E52F7A">
        <w:rPr>
          <w:rStyle w:val="FootnoteReference"/>
          <w:rFonts w:ascii="Mosawi" w:hAnsi="Mosawi" w:cs="Mosawi"/>
          <w:szCs w:val="24"/>
          <w:vertAlign w:val="baseline"/>
        </w:rPr>
        <w:footnoteRef/>
      </w:r>
      <w:r w:rsidRPr="00E52F7A">
        <w:rPr>
          <w:rStyle w:val="FootnoteReference"/>
          <w:rFonts w:ascii="Mosawi" w:hAnsi="Mosawi" w:cs="Mosawi" w:hint="cs"/>
          <w:szCs w:val="24"/>
          <w:vertAlign w:val="baseline"/>
          <w:rtl/>
        </w:rPr>
        <w:t xml:space="preserve">)  </w:t>
      </w:r>
      <w:r w:rsidRPr="00E52F7A">
        <w:rPr>
          <w:rStyle w:val="FootnoteReference"/>
          <w:rFonts w:ascii="Mosawi" w:hAnsi="Mosawi" w:cs="Mosawi" w:hint="cs"/>
          <w:sz w:val="25"/>
          <w:szCs w:val="25"/>
          <w:vertAlign w:val="baseline"/>
          <w:rtl/>
        </w:rPr>
        <w:t xml:space="preserve">المستشار عبدالمنعم إسحاق، نائب رئيس هيئة قضايا الدولة، الزواج العرفي من القانون الجديد، جريدة </w:t>
      </w:r>
      <w:r w:rsidRPr="00FC2087">
        <w:rPr>
          <w:rStyle w:val="FootnoteReference"/>
          <w:rFonts w:ascii="Mosawi" w:hAnsi="Mosawi" w:cs="Mosawi" w:hint="cs"/>
          <w:szCs w:val="24"/>
          <w:vertAlign w:val="baseline"/>
          <w:rtl/>
        </w:rPr>
        <w:t>الأهرام الصادرة في يوم</w:t>
      </w:r>
      <w:r w:rsidRPr="00E52F7A">
        <w:rPr>
          <w:rStyle w:val="FootnoteReference"/>
          <w:rFonts w:ascii="Mosawi" w:hAnsi="Mosawi" w:cs="Mosawi" w:hint="cs"/>
          <w:sz w:val="25"/>
          <w:szCs w:val="25"/>
          <w:vertAlign w:val="baseline"/>
          <w:rtl/>
        </w:rPr>
        <w:t xml:space="preserve"> الجمعة </w:t>
      </w:r>
      <w:r w:rsidRPr="00FC2087">
        <w:rPr>
          <w:rStyle w:val="FootnoteReference"/>
          <w:rFonts w:ascii="Mosawi" w:hAnsi="Mosawi" w:cs="Mosawi" w:hint="cs"/>
          <w:szCs w:val="24"/>
          <w:vertAlign w:val="baseline"/>
          <w:rtl/>
        </w:rPr>
        <w:t>24/12/2000م</w:t>
      </w:r>
      <w:r w:rsidRPr="00E52F7A">
        <w:rPr>
          <w:rStyle w:val="FootnoteReference"/>
          <w:rFonts w:ascii="Mosawi" w:hAnsi="Mosawi" w:cs="Mosawi" w:hint="cs"/>
          <w:sz w:val="25"/>
          <w:szCs w:val="25"/>
          <w:vertAlign w:val="baseline"/>
          <w:rtl/>
        </w:rPr>
        <w:t xml:space="preserve"> باب مع</w:t>
      </w:r>
      <w:r w:rsidRPr="00E52F7A">
        <w:rPr>
          <w:rStyle w:val="FootnoteReference"/>
          <w:rFonts w:ascii="Mosawi" w:hAnsi="Mosawi" w:cs="Mosawi" w:hint="cs"/>
          <w:szCs w:val="24"/>
          <w:vertAlign w:val="baseline"/>
          <w:rtl/>
        </w:rPr>
        <w:t xml:space="preserve"> القانون، إعداد عبدالمعطي أحمد: 59.</w:t>
      </w:r>
    </w:p>
  </w:footnote>
  <w:footnote w:id="64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الوجيز في نظام الأسرة في الإسلام: 41، إعداد نخبة متخصّصة من أساتذة جامعة الأزهر، كتاب صادر عن جامعة الأزهر لطلاب الكليات المستحدثة.</w:t>
      </w:r>
    </w:p>
  </w:footnote>
  <w:footnote w:id="64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الإمام الحافظ أحمد بن علي بن حجر العسقلاني، فتح الباري في شرح صحيح البخاري 9: 123 ـ 408، الطبعة الأولى، دار المفار، 1419، 1999م، باب النكاح (76).</w:t>
      </w:r>
    </w:p>
  </w:footnote>
  <w:footnote w:id="64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الدكتور محمد رأفت عثمان، فقه النساء في الخطبة والزواج: 10 ـ 14، دار الاعتصام، الطبعة الأولى، 1984م.</w:t>
      </w:r>
    </w:p>
  </w:footnote>
  <w:footnote w:id="64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الإمام الغزالي، إحياء علوم الدين 2: 24، الطبعة الأولى، 1407، 1987م، كتاب آداب النكاح؛ ومحمد رأفت عثمان، فقه النساء: 13 ـ 18.</w:t>
      </w:r>
    </w:p>
  </w:footnote>
  <w:footnote w:id="64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الإمام الغزالي، إحياء علوم الدين 2: 25.</w:t>
      </w:r>
    </w:p>
  </w:footnote>
  <w:footnote w:id="649">
    <w:p w:rsidR="0071680A" w:rsidRPr="003E5026" w:rsidRDefault="0071680A" w:rsidP="00FC2087">
      <w:pPr>
        <w:pStyle w:val="11"/>
        <w:widowControl w:val="0"/>
        <w:spacing w:line="180"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24 ـ 37.</w:t>
      </w:r>
    </w:p>
  </w:footnote>
  <w:footnote w:id="650">
    <w:p w:rsidR="0071680A" w:rsidRPr="003E5026" w:rsidRDefault="0071680A" w:rsidP="00FC2087">
      <w:pPr>
        <w:pStyle w:val="11"/>
        <w:widowControl w:val="0"/>
        <w:spacing w:line="180"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الدكتور محمد رأفت عثمان، فقه النساء: 14.</w:t>
      </w:r>
    </w:p>
  </w:footnote>
  <w:footnote w:id="65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إحياء علوم الدين: 27.</w:t>
      </w:r>
    </w:p>
  </w:footnote>
  <w:footnote w:id="65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الدكتور محمد رأفت عثمان، فقه النساء: 59 ـ 61؛ وكتاب جامعة الأزهر: 40 ـ 83؛ 88 ـ 107، 108 ـ 127.</w:t>
      </w:r>
    </w:p>
  </w:footnote>
  <w:footnote w:id="65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كتاب جامعة الأزهر: 40 ـ 83؛ ومحمد رأفت عثمان، فقه النساء: 63.</w:t>
      </w:r>
    </w:p>
  </w:footnote>
  <w:footnote w:id="65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محمد رأفت عثمان، فقه النساء: 67 ـ 82.</w:t>
      </w:r>
    </w:p>
  </w:footnote>
  <w:footnote w:id="65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84 ـ 85.</w:t>
      </w:r>
    </w:p>
  </w:footnote>
  <w:footnote w:id="65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87 ـ 89؛ وفتح الباري 9: 147؛ وإبراهيم الجمل، فقه المرأة المسلمة: 273.</w:t>
      </w:r>
    </w:p>
  </w:footnote>
  <w:footnote w:id="65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تفسير القرطبي 3: 72، 158.</w:t>
      </w:r>
    </w:p>
  </w:footnote>
  <w:footnote w:id="658">
    <w:p w:rsidR="0071680A" w:rsidRPr="003E5026" w:rsidRDefault="0071680A" w:rsidP="00FC2087">
      <w:pPr>
        <w:pStyle w:val="11"/>
        <w:widowControl w:val="0"/>
        <w:spacing w:line="180"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محمد رأفت عثمان، فقه النساء: 90 ـ 112؛ وفتح الباري 9: 194.</w:t>
      </w:r>
    </w:p>
  </w:footnote>
  <w:footnote w:id="659">
    <w:p w:rsidR="0071680A" w:rsidRPr="003E5026" w:rsidRDefault="0071680A" w:rsidP="00FC2087">
      <w:pPr>
        <w:pStyle w:val="11"/>
        <w:widowControl w:val="0"/>
        <w:spacing w:line="180"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محمد رأفت عثمان، فقه النساء: 100؛ وفتح الباري 9: 200.</w:t>
      </w:r>
    </w:p>
  </w:footnote>
  <w:footnote w:id="660">
    <w:p w:rsidR="0071680A" w:rsidRPr="003E5026" w:rsidRDefault="0071680A" w:rsidP="00FC2087">
      <w:pPr>
        <w:pStyle w:val="11"/>
        <w:widowControl w:val="0"/>
        <w:spacing w:line="180"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محمد رأفت عثمان، فقه النساء: 112 ـ 118؛ وكتاب جامعة الأزهر: 88 ـ 107.</w:t>
      </w:r>
    </w:p>
  </w:footnote>
  <w:footnote w:id="661">
    <w:p w:rsidR="0071680A" w:rsidRPr="003E5026" w:rsidRDefault="0071680A" w:rsidP="00FC2087">
      <w:pPr>
        <w:pStyle w:val="11"/>
        <w:widowControl w:val="0"/>
        <w:spacing w:line="180"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محمد رأفت عثمان، فقه النساء: 61 ـ 62، 115؛ وكتاب جامعة الأزهر: 193؛ وإبراهيم الجمل، فقه المرأة المسلمة: 277 ـ 280.</w:t>
      </w:r>
    </w:p>
  </w:footnote>
  <w:footnote w:id="66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انظر: مجلة نصف الدنيا، العدد 562: 38 ـ 40، الصادر في 26 / 11 / 2000م، تحقيق بعنوان مفتي الجمهورية يقول: زواج المسيار حلال؛ لأنه يمنع الزنا.</w:t>
      </w:r>
    </w:p>
  </w:footnote>
  <w:footnote w:id="66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ابن حجر العسقلاني، فتح الباري 9: 192 ـ 194، ح 5112، باب رقم: 29، باب الشغار.</w:t>
      </w:r>
    </w:p>
  </w:footnote>
  <w:footnote w:id="66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إبراهيم محمد الجمل، فقه المرأة المسلمة: 284.</w:t>
      </w:r>
    </w:p>
  </w:footnote>
  <w:footnote w:id="66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مجدي أحمد حسين، جريدة الشعب، العدد 1329: 10.</w:t>
      </w:r>
    </w:p>
  </w:footnote>
  <w:footnote w:id="66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سعيد أبو الفتوح، جريدة الأهرام، الجمعة 28 / 10 / 2001: 2.</w:t>
      </w:r>
    </w:p>
  </w:footnote>
  <w:footnote w:id="66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فضيلة المفتي، جريدة صوت الأزهر الشريف، (الشروق)، السنة الأولى العدد 20، الصفحة الأولى؛ والدكتورة سعاد صالح، جريدة الشعب، العدد 1433: 2؛ والدكتور يحيى هاشم، جريدة الشعب، العدد رقم 1429: 1022؛ وإبراهيم محمد الجمل، فقه المرأة المسلمة: 267 ـ 280.</w:t>
      </w:r>
    </w:p>
  </w:footnote>
  <w:footnote w:id="66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محمد رأفت عثمان، فقه النساء: 118 ـ 120.</w:t>
      </w:r>
    </w:p>
  </w:footnote>
  <w:footnote w:id="66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إبراهيم محمد الجمل، فقه المرأة المسلمة: 269 ـ 286.</w:t>
      </w:r>
    </w:p>
  </w:footnote>
  <w:footnote w:id="67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الدكتور البيومي محمد البيومي، أنواع الزواج وحكمها بين الشريعة والقانون، جريدة الأهرام، الجمعة 24 / 12 / 1999م، ص29.</w:t>
      </w:r>
    </w:p>
  </w:footnote>
  <w:footnote w:id="67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الدكتور عبدالمعطي بيومي، جريدة الأهرام، الجمعة 24 / 12 / 1999م، ص24.</w:t>
      </w:r>
    </w:p>
  </w:footnote>
  <w:footnote w:id="67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المستشار علي صحابة، رئيس محكمة استئناف القاهرة للأحوال الشخصية، جريدة الإهرام، 12 / 2 / 2000، ص16.</w:t>
      </w:r>
    </w:p>
  </w:footnote>
  <w:footnote w:id="67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ملحق تشريعات المحاماة، تشريعات الأحوال الشخصية للمسلمين وغير المسلمين، العددان السادس والسابع، شهري 9، 10/ 1988م.</w:t>
      </w:r>
    </w:p>
  </w:footnote>
  <w:footnote w:id="67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مجدي أحمد حسين، جريدة الشعب، الأعداد: (1329) (1427): 60، (1434).</w:t>
      </w:r>
    </w:p>
  </w:footnote>
  <w:footnote w:id="67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الأستاذ الدكتور محمد بلقاجي حسن، عميد كلية دار العلوم السابق، أستاذ الشريعة الإسلامية بها، جريدة الوفد، 23 / 12 / 1999م.</w:t>
      </w:r>
    </w:p>
  </w:footnote>
  <w:footnote w:id="676">
    <w:p w:rsidR="0071680A" w:rsidRPr="003E5026" w:rsidRDefault="0071680A" w:rsidP="00FC2087">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Pr>
          <w:rFonts w:ascii="Mosawi" w:hAnsi="Mosawi" w:cs="Mosawi" w:hint="cs"/>
          <w:sz w:val="26"/>
          <w:szCs w:val="26"/>
          <w:rtl/>
        </w:rPr>
        <w:t xml:space="preserve"> </w:t>
      </w:r>
      <w:r w:rsidRPr="003E5026">
        <w:rPr>
          <w:rStyle w:val="FootnoteReference"/>
          <w:rFonts w:ascii="Mosawi" w:hAnsi="Mosawi" w:cs="Mosawi" w:hint="cs"/>
          <w:sz w:val="26"/>
          <w:szCs w:val="26"/>
          <w:vertAlign w:val="baseline"/>
          <w:rtl/>
        </w:rPr>
        <w:t>المستشار زكريا شلس، نائب رئيس محكمة استئناف القاهرة، جريدة الأهرام، 24/1/2000م.</w:t>
      </w:r>
    </w:p>
  </w:footnote>
  <w:footnote w:id="677">
    <w:p w:rsidR="0071680A" w:rsidRPr="003E5026" w:rsidRDefault="0071680A" w:rsidP="00FC2087">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المستشار الدكتور وحيد محمود، رئيس محكمة استئناف القاهرة، جريدة الشعب، العدد: 1429.</w:t>
      </w:r>
    </w:p>
  </w:footnote>
  <w:footnote w:id="67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الدكتور عل جمعة، أستاذ الفقه بكلية الدراسات الإسلامية، جريدة الشعب، العدد: 1429.</w:t>
      </w:r>
    </w:p>
  </w:footnote>
  <w:footnote w:id="67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المستشار حسين حمادة، رئيس محكمة الإستئناف للأصول الشخصية، جريدة الشعب، العدد: 1942.</w:t>
      </w:r>
    </w:p>
  </w:footnote>
  <w:footnote w:id="680">
    <w:p w:rsidR="0071680A" w:rsidRPr="00601A99" w:rsidRDefault="0071680A" w:rsidP="00FC2087">
      <w:pPr>
        <w:pStyle w:val="11"/>
        <w:widowControl w:val="0"/>
        <w:spacing w:line="192" w:lineRule="auto"/>
        <w:ind w:left="170" w:right="0" w:hanging="170"/>
        <w:rPr>
          <w:rStyle w:val="FootnoteReference"/>
          <w:rFonts w:ascii="Mosawi" w:hAnsi="Mosawi" w:cs="Mosawi"/>
          <w:sz w:val="25"/>
          <w:szCs w:val="25"/>
          <w:vertAlign w:val="baseline"/>
          <w:rtl/>
        </w:rPr>
      </w:pPr>
      <w:r w:rsidRPr="00601A99">
        <w:rPr>
          <w:rStyle w:val="FootnoteReference"/>
          <w:rFonts w:ascii="Mosawi" w:hAnsi="Mosawi" w:cs="Mosawi" w:hint="cs"/>
          <w:szCs w:val="24"/>
          <w:vertAlign w:val="baseline"/>
          <w:rtl/>
        </w:rPr>
        <w:t>(</w:t>
      </w:r>
      <w:r w:rsidRPr="00601A99">
        <w:rPr>
          <w:rStyle w:val="FootnoteReference"/>
          <w:rFonts w:ascii="Mosawi" w:hAnsi="Mosawi" w:cs="Mosawi"/>
          <w:szCs w:val="24"/>
          <w:vertAlign w:val="baseline"/>
        </w:rPr>
        <w:footnoteRef/>
      </w:r>
      <w:r w:rsidRPr="00601A99">
        <w:rPr>
          <w:rStyle w:val="FootnoteReference"/>
          <w:rFonts w:ascii="Mosawi" w:hAnsi="Mosawi" w:cs="Mosawi" w:hint="cs"/>
          <w:szCs w:val="24"/>
          <w:vertAlign w:val="baseline"/>
          <w:rtl/>
        </w:rPr>
        <w:t>)</w:t>
      </w:r>
      <w:r w:rsidRPr="00601A99">
        <w:rPr>
          <w:rFonts w:ascii="Mosawi" w:hAnsi="Mosawi" w:cs="Mosawi" w:hint="cs"/>
          <w:szCs w:val="24"/>
          <w:rtl/>
        </w:rPr>
        <w:t xml:space="preserve"> </w:t>
      </w:r>
      <w:r w:rsidRPr="00601A99">
        <w:rPr>
          <w:rStyle w:val="FootnoteReference"/>
          <w:rFonts w:ascii="Mosawi" w:hAnsi="Mosawi" w:cs="Mosawi" w:hint="cs"/>
          <w:sz w:val="25"/>
          <w:szCs w:val="25"/>
          <w:vertAlign w:val="baseline"/>
          <w:rtl/>
        </w:rPr>
        <w:t>الأستاذ كمال متولّى الأصول الشخصية.. استقرار الأسرة، جريدة الأهرام يوم 16/1/2000م: 10.</w:t>
      </w:r>
    </w:p>
  </w:footnote>
  <w:footnote w:id="68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محمد محمد فرحان، مجلة صوت الأزهر، الشروق، العدد 13: 8، 16 / رمضان / 1420ه.</w:t>
      </w:r>
    </w:p>
  </w:footnote>
  <w:footnote w:id="68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فضيلة المفتي، مجلة صوت الأزهر، الشروق، السنة الأولى، العدد 20، الصفحة الأولى.</w:t>
      </w:r>
    </w:p>
  </w:footnote>
  <w:footnote w:id="68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المستشار الدكتور فتحي نجيب، جريدة الأهرام، 2/2/2000م: 3.</w:t>
      </w:r>
    </w:p>
  </w:footnote>
  <w:footnote w:id="68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المستشار علي صحابة، الأهرام: 16، يوم 12 / 12 / 2001م.</w:t>
      </w:r>
    </w:p>
  </w:footnote>
  <w:footnote w:id="685">
    <w:p w:rsidR="0071680A" w:rsidRPr="003E5026" w:rsidRDefault="0071680A" w:rsidP="00601A99">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المستشار حسن مهران حسن، ملاحظات حول شرح قانون الأحوال الشخصية، جريدة الأهرام، 16 / 1 / 2000م: 10.</w:t>
      </w:r>
    </w:p>
  </w:footnote>
  <w:footnote w:id="68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عبد المنعم إسحاق، الزواج العرفي في القانون الجديد، الأهرام: 29، الجمعة 24 / 12/ 99م.</w:t>
      </w:r>
    </w:p>
  </w:footnote>
  <w:footnote w:id="68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الدكتور يحيى هاشم حسن خزغل، جريدة الشعب، العدد 1429: 2، 10.</w:t>
      </w:r>
    </w:p>
  </w:footnote>
  <w:footnote w:id="688">
    <w:p w:rsidR="0071680A" w:rsidRPr="003E5026" w:rsidRDefault="0071680A" w:rsidP="00F32FBA">
      <w:pPr>
        <w:pStyle w:val="11"/>
        <w:widowControl w:val="0"/>
        <w:spacing w:line="180"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 xml:space="preserve">يراجع </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الفقه على المذاهب الأربعة</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ومذهب أهل البيت عبد الرحمن الجزيري 4: </w:t>
      </w:r>
      <w:r w:rsidRPr="003E5026">
        <w:rPr>
          <w:rFonts w:ascii="Mosawi" w:hAnsi="Mosawi" w:cs="Mosawi" w:hint="cs"/>
          <w:sz w:val="26"/>
          <w:szCs w:val="26"/>
          <w:rtl/>
        </w:rPr>
        <w:t>9،</w:t>
      </w:r>
      <w:r>
        <w:rPr>
          <w:rFonts w:ascii="Mosawi" w:hAnsi="Mosawi" w:cs="Mosawi" w:hint="cs"/>
          <w:sz w:val="26"/>
          <w:szCs w:val="26"/>
          <w:rtl/>
        </w:rPr>
        <w:t xml:space="preserve"> 311ـ 313؛ </w:t>
      </w:r>
      <w:r w:rsidRPr="003E5026">
        <w:rPr>
          <w:rStyle w:val="FootnoteReference"/>
          <w:rFonts w:ascii="Mosawi" w:hAnsi="Mosawi" w:cs="Mosawi"/>
          <w:sz w:val="26"/>
          <w:szCs w:val="26"/>
          <w:vertAlign w:val="baseline"/>
          <w:rtl/>
        </w:rPr>
        <w:t xml:space="preserve">وكذلك </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الأحكام الشّرعية للأحوال الشخصيّة</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زكي الدين شعبان 356ـ357</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و</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المفصّل في أحكام المرأة والبيت المسلم في الشّريعة</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الدكتور عبد الكريم زيدان 7: 241</w:t>
      </w:r>
      <w:r w:rsidRPr="003E5026">
        <w:rPr>
          <w:rStyle w:val="FootnoteReference"/>
          <w:rFonts w:ascii="Mosawi" w:hAnsi="Mosawi" w:cs="Mosawi" w:hint="cs"/>
          <w:sz w:val="26"/>
          <w:szCs w:val="26"/>
          <w:vertAlign w:val="baseline"/>
          <w:rtl/>
        </w:rPr>
        <w:t>.</w:t>
      </w:r>
    </w:p>
  </w:footnote>
  <w:footnote w:id="689">
    <w:p w:rsidR="0071680A" w:rsidRPr="003E5026" w:rsidRDefault="0071680A" w:rsidP="002649A0">
      <w:pPr>
        <w:pStyle w:val="11"/>
        <w:widowControl w:val="0"/>
        <w:spacing w:line="197"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ذكره السيد اليزدي في العروة الوثقى 2: 81</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مخيراً بينه وبين الطّلاق </w:t>
      </w:r>
      <w:r w:rsidRPr="003E5026">
        <w:rPr>
          <w:rStyle w:val="FootnoteReference"/>
          <w:rFonts w:ascii="Mosawi" w:hAnsi="Mosawi" w:cs="Mosawi" w:hint="cs"/>
          <w:sz w:val="26"/>
          <w:szCs w:val="26"/>
          <w:vertAlign w:val="baseline"/>
          <w:rtl/>
        </w:rPr>
        <w:t>ا</w:t>
      </w:r>
      <w:r w:rsidRPr="003E5026">
        <w:rPr>
          <w:rStyle w:val="FootnoteReference"/>
          <w:rFonts w:ascii="Mosawi" w:hAnsi="Mosawi" w:cs="Mosawi"/>
          <w:sz w:val="26"/>
          <w:szCs w:val="26"/>
          <w:vertAlign w:val="baseline"/>
          <w:rtl/>
        </w:rPr>
        <w:t>حتياطاً وجوبياً ولم يعلّق عليه ال</w:t>
      </w:r>
      <w:r w:rsidRPr="003E5026">
        <w:rPr>
          <w:rFonts w:ascii="Mosawi" w:hAnsi="Mosawi" w:cs="Mosawi" w:hint="cs"/>
          <w:sz w:val="26"/>
          <w:szCs w:val="26"/>
          <w:rtl/>
        </w:rPr>
        <w:t>سادة:</w:t>
      </w:r>
      <w:r w:rsidRPr="003E5026">
        <w:rPr>
          <w:rStyle w:val="FootnoteReference"/>
          <w:rFonts w:ascii="Mosawi" w:hAnsi="Mosawi" w:cs="Mosawi"/>
          <w:sz w:val="26"/>
          <w:szCs w:val="26"/>
          <w:vertAlign w:val="baseline"/>
          <w:rtl/>
        </w:rPr>
        <w:t xml:space="preserve"> الخميني </w:t>
      </w:r>
      <w:r w:rsidRPr="003E5026">
        <w:rPr>
          <w:rFonts w:ascii="Mosawi" w:hAnsi="Mosawi" w:cs="Mosawi" w:hint="cs"/>
          <w:sz w:val="26"/>
          <w:szCs w:val="26"/>
          <w:rtl/>
        </w:rPr>
        <w:t>و</w:t>
      </w:r>
      <w:r w:rsidRPr="003E5026">
        <w:rPr>
          <w:rStyle w:val="FootnoteReference"/>
          <w:rFonts w:ascii="Mosawi" w:hAnsi="Mosawi" w:cs="Mosawi"/>
          <w:sz w:val="26"/>
          <w:szCs w:val="26"/>
          <w:vertAlign w:val="baseline"/>
          <w:rtl/>
        </w:rPr>
        <w:t>الخوئي والكلبيكاني والشريعتمداري والقمي.</w:t>
      </w:r>
    </w:p>
  </w:footnote>
  <w:footnote w:id="690">
    <w:p w:rsidR="0071680A" w:rsidRPr="003E5026" w:rsidRDefault="0071680A" w:rsidP="002649A0">
      <w:pPr>
        <w:pStyle w:val="11"/>
        <w:widowControl w:val="0"/>
        <w:spacing w:line="197"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مباني العروة الوثقى</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كتاب النّكاح 1: 149 محمد تقي الخوئي</w:t>
      </w:r>
      <w:r w:rsidRPr="003E5026">
        <w:rPr>
          <w:rFonts w:ascii="Mosawi" w:hAnsi="Mosawi" w:cs="Mosawi" w:hint="cs"/>
          <w:sz w:val="26"/>
          <w:szCs w:val="26"/>
          <w:rtl/>
        </w:rPr>
        <w:t>،</w:t>
      </w:r>
      <w:r w:rsidRPr="003E5026">
        <w:rPr>
          <w:rStyle w:val="FootnoteReference"/>
          <w:rFonts w:ascii="Mosawi" w:hAnsi="Mosawi" w:cs="Mosawi"/>
          <w:sz w:val="26"/>
          <w:szCs w:val="26"/>
          <w:vertAlign w:val="baseline"/>
          <w:rtl/>
        </w:rPr>
        <w:t xml:space="preserve"> تقريرات السيد أبو القاسم الخوئي.</w:t>
      </w:r>
    </w:p>
  </w:footnote>
  <w:footnote w:id="691">
    <w:p w:rsidR="0071680A" w:rsidRPr="003E5026" w:rsidRDefault="0071680A" w:rsidP="002649A0">
      <w:pPr>
        <w:pStyle w:val="11"/>
        <w:widowControl w:val="0"/>
        <w:spacing w:line="197"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السيد محمد حسين فضل الله، </w:t>
      </w:r>
      <w:r w:rsidRPr="003E5026">
        <w:rPr>
          <w:rStyle w:val="FootnoteReference"/>
          <w:rFonts w:ascii="Mosawi" w:hAnsi="Mosawi" w:cs="Mosawi"/>
          <w:sz w:val="26"/>
          <w:szCs w:val="26"/>
          <w:vertAlign w:val="baseline"/>
          <w:rtl/>
        </w:rPr>
        <w:t xml:space="preserve">كتاب النّكاح 1: </w:t>
      </w:r>
      <w:r w:rsidRPr="003E5026">
        <w:rPr>
          <w:rStyle w:val="FootnoteReference"/>
          <w:rFonts w:ascii="Mosawi" w:hAnsi="Mosawi" w:cs="Mosawi" w:hint="cs"/>
          <w:sz w:val="26"/>
          <w:szCs w:val="26"/>
          <w:vertAlign w:val="baseline"/>
          <w:rtl/>
        </w:rPr>
        <w:t>3</w:t>
      </w:r>
      <w:r w:rsidRPr="003E5026">
        <w:rPr>
          <w:rFonts w:ascii="Mosawi" w:hAnsi="Mosawi" w:cs="Mosawi" w:hint="cs"/>
          <w:sz w:val="26"/>
          <w:szCs w:val="26"/>
          <w:rtl/>
        </w:rPr>
        <w:t>3 ـ 38</w:t>
      </w:r>
      <w:r w:rsidRPr="003E5026">
        <w:rPr>
          <w:rStyle w:val="FootnoteReference"/>
          <w:rFonts w:ascii="Mosawi" w:hAnsi="Mosawi" w:cs="Mosawi" w:hint="cs"/>
          <w:sz w:val="26"/>
          <w:szCs w:val="26"/>
          <w:vertAlign w:val="baseline"/>
          <w:rtl/>
        </w:rPr>
        <w:t>،</w:t>
      </w:r>
      <w:r w:rsidRPr="003E5026">
        <w:rPr>
          <w:rFonts w:ascii="Mosawi" w:hAnsi="Mosawi" w:cs="Mosawi" w:hint="cs"/>
          <w:sz w:val="26"/>
          <w:szCs w:val="26"/>
          <w:rtl/>
        </w:rPr>
        <w:t xml:space="preserve"> </w:t>
      </w:r>
      <w:r w:rsidRPr="003E5026">
        <w:rPr>
          <w:rStyle w:val="FootnoteReference"/>
          <w:rFonts w:ascii="Mosawi" w:hAnsi="Mosawi" w:cs="Mosawi"/>
          <w:sz w:val="26"/>
          <w:szCs w:val="26"/>
          <w:vertAlign w:val="baseline"/>
          <w:rtl/>
        </w:rPr>
        <w:t>164</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ـ</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174</w:t>
      </w:r>
      <w:r w:rsidRPr="003E5026">
        <w:rPr>
          <w:rStyle w:val="FootnoteReference"/>
          <w:rFonts w:ascii="Mosawi" w:hAnsi="Mosawi" w:cs="Mosawi" w:hint="cs"/>
          <w:sz w:val="26"/>
          <w:szCs w:val="26"/>
          <w:vertAlign w:val="baseline"/>
          <w:rtl/>
        </w:rPr>
        <w:t>، بقلم:</w:t>
      </w:r>
      <w:r w:rsidRPr="003E5026">
        <w:rPr>
          <w:rStyle w:val="FootnoteReference"/>
          <w:rFonts w:ascii="Mosawi" w:hAnsi="Mosawi" w:cs="Mosawi"/>
          <w:sz w:val="26"/>
          <w:szCs w:val="26"/>
          <w:vertAlign w:val="baseline"/>
          <w:rtl/>
        </w:rPr>
        <w:t xml:space="preserve"> جعفر الشّاخوري</w:t>
      </w:r>
      <w:r w:rsidRPr="003E5026">
        <w:rPr>
          <w:rFonts w:ascii="Mosawi" w:hAnsi="Mosawi" w:cs="Mosawi" w:hint="cs"/>
          <w:sz w:val="26"/>
          <w:szCs w:val="26"/>
          <w:rtl/>
        </w:rPr>
        <w:t>؛</w:t>
      </w:r>
      <w:r w:rsidRPr="003E5026">
        <w:rPr>
          <w:rStyle w:val="FootnoteReference"/>
          <w:rFonts w:ascii="Mosawi" w:hAnsi="Mosawi" w:cs="Mosawi"/>
          <w:sz w:val="26"/>
          <w:szCs w:val="26"/>
          <w:vertAlign w:val="baseline"/>
          <w:rtl/>
        </w:rPr>
        <w:t xml:space="preserve"> ويراجع له أيضاً دنيا المرأة: 93ـ94</w:t>
      </w:r>
      <w:r w:rsidRPr="003E5026">
        <w:rPr>
          <w:rStyle w:val="FootnoteReference"/>
          <w:rFonts w:ascii="Mosawi" w:hAnsi="Mosawi" w:cs="Mosawi" w:hint="cs"/>
          <w:sz w:val="26"/>
          <w:szCs w:val="26"/>
          <w:vertAlign w:val="baseline"/>
          <w:rtl/>
        </w:rPr>
        <w:t>.</w:t>
      </w:r>
    </w:p>
  </w:footnote>
  <w:footnote w:id="692">
    <w:p w:rsidR="0071680A" w:rsidRPr="003E5026" w:rsidRDefault="0071680A" w:rsidP="002649A0">
      <w:pPr>
        <w:pStyle w:val="11"/>
        <w:widowControl w:val="0"/>
        <w:spacing w:line="180"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والسّبب في كونها هجريةً قمريةً هو أن النصوص حينما تستخدم كلمة الشّهر والسّنة فلا بد من تفسيرها على أساس إرادتها التحديد الهجري القمري</w:t>
      </w:r>
      <w:r w:rsidRPr="003E5026">
        <w:rPr>
          <w:rFonts w:ascii="Mosawi" w:hAnsi="Mosawi" w:cs="Mosawi" w:hint="cs"/>
          <w:sz w:val="26"/>
          <w:szCs w:val="26"/>
          <w:rtl/>
        </w:rPr>
        <w:t>؛</w:t>
      </w:r>
      <w:r w:rsidRPr="003E5026">
        <w:rPr>
          <w:rStyle w:val="FootnoteReference"/>
          <w:rFonts w:ascii="Mosawi" w:hAnsi="Mosawi" w:cs="Mosawi"/>
          <w:sz w:val="26"/>
          <w:szCs w:val="26"/>
          <w:vertAlign w:val="baseline"/>
          <w:rtl/>
        </w:rPr>
        <w:t xml:space="preserve"> لأنه هو المعروف آنذاك</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إذ لم يكن التأريخ الشمسي متداولاً </w:t>
      </w:r>
      <w:r w:rsidRPr="003E5026">
        <w:rPr>
          <w:rStyle w:val="FootnoteReference"/>
          <w:rFonts w:ascii="Mosawi" w:hAnsi="Mosawi" w:cs="Mosawi" w:hint="cs"/>
          <w:sz w:val="26"/>
          <w:szCs w:val="26"/>
          <w:vertAlign w:val="baseline"/>
          <w:rtl/>
        </w:rPr>
        <w:t xml:space="preserve">بين العرب </w:t>
      </w:r>
      <w:r>
        <w:rPr>
          <w:rFonts w:ascii="Mosawi" w:hAnsi="Mosawi" w:cs="Mosawi" w:hint="cs"/>
          <w:sz w:val="26"/>
          <w:szCs w:val="26"/>
          <w:rtl/>
        </w:rPr>
        <w:t>ل</w:t>
      </w:r>
      <w:r w:rsidRPr="003E5026">
        <w:rPr>
          <w:rStyle w:val="FootnoteReference"/>
          <w:rFonts w:ascii="Mosawi" w:hAnsi="Mosawi" w:cs="Mosawi" w:hint="cs"/>
          <w:sz w:val="26"/>
          <w:szCs w:val="26"/>
          <w:vertAlign w:val="baseline"/>
          <w:rtl/>
        </w:rPr>
        <w:t xml:space="preserve">سيرهم في الصحراء وعدم معرفتهم بالحساب، </w:t>
      </w:r>
      <w:r w:rsidRPr="003E5026">
        <w:rPr>
          <w:rStyle w:val="FootnoteReference"/>
          <w:rFonts w:ascii="Mosawi" w:hAnsi="Mosawi" w:cs="Mosawi"/>
          <w:sz w:val="26"/>
          <w:szCs w:val="26"/>
          <w:vertAlign w:val="baseline"/>
          <w:rtl/>
        </w:rPr>
        <w:t>فكانت هذه التعابير تدل على المعنى المتقدّم.</w:t>
      </w:r>
    </w:p>
  </w:footnote>
  <w:footnote w:id="693">
    <w:p w:rsidR="0071680A" w:rsidRPr="003E5026" w:rsidRDefault="0071680A" w:rsidP="002649A0">
      <w:pPr>
        <w:pStyle w:val="11"/>
        <w:widowControl w:val="0"/>
        <w:spacing w:line="180"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النّهاية في مجرد الفقه والفتاوى: 482</w:t>
      </w:r>
      <w:r w:rsidRPr="003E5026">
        <w:rPr>
          <w:rStyle w:val="FootnoteReference"/>
          <w:rFonts w:ascii="Mosawi" w:hAnsi="Mosawi" w:cs="Mosawi" w:hint="cs"/>
          <w:sz w:val="26"/>
          <w:szCs w:val="26"/>
          <w:vertAlign w:val="baseline"/>
          <w:rtl/>
        </w:rPr>
        <w:t>.</w:t>
      </w:r>
    </w:p>
  </w:footnote>
  <w:footnote w:id="694">
    <w:p w:rsidR="0071680A" w:rsidRPr="003E5026" w:rsidRDefault="0071680A" w:rsidP="002649A0">
      <w:pPr>
        <w:pStyle w:val="11"/>
        <w:widowControl w:val="0"/>
        <w:spacing w:line="180"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المهذّب 2: 223</w:t>
      </w:r>
      <w:r w:rsidRPr="003E5026">
        <w:rPr>
          <w:rStyle w:val="FootnoteReference"/>
          <w:rFonts w:ascii="Mosawi" w:hAnsi="Mosawi" w:cs="Mosawi" w:hint="cs"/>
          <w:sz w:val="26"/>
          <w:szCs w:val="26"/>
          <w:vertAlign w:val="baseline"/>
          <w:rtl/>
        </w:rPr>
        <w:t>.</w:t>
      </w:r>
    </w:p>
  </w:footnote>
  <w:footnote w:id="695">
    <w:p w:rsidR="0071680A" w:rsidRPr="003E5026" w:rsidRDefault="0071680A" w:rsidP="002649A0">
      <w:pPr>
        <w:pStyle w:val="11"/>
        <w:widowControl w:val="0"/>
        <w:spacing w:line="180"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 xml:space="preserve">السّرائر الحاوي لتحرير الفتاوي 2: </w:t>
      </w:r>
      <w:r w:rsidRPr="003E5026">
        <w:rPr>
          <w:rStyle w:val="FootnoteReference"/>
          <w:rFonts w:ascii="Mosawi" w:hAnsi="Mosawi" w:cs="Mosawi" w:hint="cs"/>
          <w:sz w:val="26"/>
          <w:szCs w:val="26"/>
          <w:vertAlign w:val="baseline"/>
          <w:rtl/>
        </w:rPr>
        <w:t>6</w:t>
      </w:r>
      <w:r w:rsidRPr="003E5026">
        <w:rPr>
          <w:rFonts w:ascii="Mosawi" w:hAnsi="Mosawi" w:cs="Mosawi" w:hint="cs"/>
          <w:sz w:val="26"/>
          <w:szCs w:val="26"/>
          <w:rtl/>
        </w:rPr>
        <w:t>06.</w:t>
      </w:r>
    </w:p>
  </w:footnote>
  <w:footnote w:id="696">
    <w:p w:rsidR="0071680A" w:rsidRPr="003E5026" w:rsidRDefault="0071680A" w:rsidP="002649A0">
      <w:pPr>
        <w:pStyle w:val="11"/>
        <w:widowControl w:val="0"/>
        <w:spacing w:line="180"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شرائع الإسلام في مسائل الحلال والحرام 2: 496</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والمختصر النافع: 172</w:t>
      </w:r>
      <w:r w:rsidRPr="003E5026">
        <w:rPr>
          <w:rStyle w:val="FootnoteReference"/>
          <w:rFonts w:ascii="Mosawi" w:hAnsi="Mosawi" w:cs="Mosawi" w:hint="cs"/>
          <w:sz w:val="26"/>
          <w:szCs w:val="26"/>
          <w:vertAlign w:val="baseline"/>
          <w:rtl/>
        </w:rPr>
        <w:t>.</w:t>
      </w:r>
    </w:p>
  </w:footnote>
  <w:footnote w:id="697">
    <w:p w:rsidR="0071680A" w:rsidRPr="003E5026" w:rsidRDefault="0071680A" w:rsidP="002649A0">
      <w:pPr>
        <w:pStyle w:val="11"/>
        <w:widowControl w:val="0"/>
        <w:spacing w:line="180"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قواعد الأحكام 3: 5.</w:t>
      </w:r>
    </w:p>
  </w:footnote>
  <w:footnote w:id="698">
    <w:p w:rsidR="0071680A" w:rsidRPr="003E5026" w:rsidRDefault="0071680A" w:rsidP="002649A0">
      <w:pPr>
        <w:pStyle w:val="11"/>
        <w:widowControl w:val="0"/>
        <w:spacing w:line="180"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إصباح الشّيعة: 431</w:t>
      </w:r>
      <w:r w:rsidRPr="003E5026">
        <w:rPr>
          <w:rStyle w:val="FootnoteReference"/>
          <w:rFonts w:ascii="Mosawi" w:hAnsi="Mosawi" w:cs="Mosawi" w:hint="cs"/>
          <w:sz w:val="26"/>
          <w:szCs w:val="26"/>
          <w:vertAlign w:val="baseline"/>
          <w:rtl/>
        </w:rPr>
        <w:t>.</w:t>
      </w:r>
    </w:p>
  </w:footnote>
  <w:footnote w:id="69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الّلمعة الدّمشقية: 16.</w:t>
      </w:r>
    </w:p>
  </w:footnote>
  <w:footnote w:id="70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الرّوضة البهيّة 5: 14</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ومسالك الأفهام 7: </w:t>
      </w:r>
      <w:r w:rsidRPr="003E5026">
        <w:rPr>
          <w:rStyle w:val="FootnoteReference"/>
          <w:rFonts w:ascii="Mosawi" w:hAnsi="Mosawi" w:cs="Mosawi" w:hint="cs"/>
          <w:sz w:val="26"/>
          <w:szCs w:val="26"/>
          <w:vertAlign w:val="baseline"/>
          <w:rtl/>
        </w:rPr>
        <w:t>6</w:t>
      </w:r>
      <w:r w:rsidRPr="003E5026">
        <w:rPr>
          <w:rFonts w:ascii="Mosawi" w:hAnsi="Mosawi" w:cs="Mosawi" w:hint="cs"/>
          <w:sz w:val="26"/>
          <w:szCs w:val="26"/>
          <w:rtl/>
        </w:rPr>
        <w:t>6 ـ 67</w:t>
      </w:r>
      <w:r w:rsidRPr="003E5026">
        <w:rPr>
          <w:rStyle w:val="FootnoteReference"/>
          <w:rFonts w:ascii="Mosawi" w:hAnsi="Mosawi" w:cs="Mosawi" w:hint="cs"/>
          <w:sz w:val="26"/>
          <w:szCs w:val="26"/>
          <w:vertAlign w:val="baseline"/>
          <w:rtl/>
        </w:rPr>
        <w:t>.</w:t>
      </w:r>
    </w:p>
  </w:footnote>
  <w:footnote w:id="70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نهاية المرام 1: 61</w:t>
      </w:r>
      <w:r w:rsidRPr="003E5026">
        <w:rPr>
          <w:rStyle w:val="FootnoteReference"/>
          <w:rFonts w:ascii="Mosawi" w:hAnsi="Mosawi" w:cs="Mosawi" w:hint="cs"/>
          <w:sz w:val="26"/>
          <w:szCs w:val="26"/>
          <w:vertAlign w:val="baseline"/>
          <w:rtl/>
        </w:rPr>
        <w:t>.</w:t>
      </w:r>
    </w:p>
  </w:footnote>
  <w:footnote w:id="70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مفاتيح الشّرائع 2: 29.</w:t>
      </w:r>
    </w:p>
  </w:footnote>
  <w:footnote w:id="70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مستند الشّيعة 16: 77</w:t>
      </w:r>
      <w:r w:rsidRPr="003E5026">
        <w:rPr>
          <w:rStyle w:val="FootnoteReference"/>
          <w:rFonts w:ascii="Mosawi" w:hAnsi="Mosawi" w:cs="Mosawi" w:hint="cs"/>
          <w:sz w:val="26"/>
          <w:szCs w:val="26"/>
          <w:vertAlign w:val="baseline"/>
          <w:rtl/>
        </w:rPr>
        <w:t>.</w:t>
      </w:r>
    </w:p>
  </w:footnote>
  <w:footnote w:id="70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xml:space="preserve">) ظاهر عنوان </w:t>
      </w:r>
      <w:r w:rsidRPr="003E5026">
        <w:rPr>
          <w:rStyle w:val="FootnoteReference"/>
          <w:rFonts w:ascii="Mosawi" w:hAnsi="Mosawi" w:cs="Mosawi" w:hint="cs"/>
          <w:sz w:val="26"/>
          <w:szCs w:val="26"/>
          <w:vertAlign w:val="baseline"/>
          <w:rtl/>
        </w:rPr>
        <w:t xml:space="preserve">تفصيل </w:t>
      </w:r>
      <w:r w:rsidRPr="003E5026">
        <w:rPr>
          <w:rStyle w:val="FootnoteReference"/>
          <w:rFonts w:ascii="Mosawi" w:hAnsi="Mosawi" w:cs="Mosawi"/>
          <w:sz w:val="26"/>
          <w:szCs w:val="26"/>
          <w:vertAlign w:val="baseline"/>
          <w:rtl/>
        </w:rPr>
        <w:t xml:space="preserve">وسائل الشّيعة إلى تحصيل مسائل الشريعة </w:t>
      </w:r>
      <w:r w:rsidRPr="003E5026">
        <w:rPr>
          <w:rStyle w:val="FootnoteReference"/>
          <w:rFonts w:ascii="Mosawi" w:hAnsi="Mosawi" w:cs="Mosawi" w:hint="cs"/>
          <w:sz w:val="26"/>
          <w:szCs w:val="26"/>
          <w:vertAlign w:val="baseline"/>
          <w:rtl/>
        </w:rPr>
        <w:t>2</w:t>
      </w:r>
      <w:r w:rsidRPr="003E5026">
        <w:rPr>
          <w:rFonts w:ascii="Mosawi" w:hAnsi="Mosawi" w:cs="Mosawi" w:hint="cs"/>
          <w:sz w:val="26"/>
          <w:szCs w:val="26"/>
          <w:rtl/>
        </w:rPr>
        <w:t>0</w:t>
      </w:r>
      <w:r w:rsidRPr="003E5026">
        <w:rPr>
          <w:rStyle w:val="FootnoteReference"/>
          <w:rFonts w:ascii="Mosawi" w:hAnsi="Mosawi" w:cs="Mosawi"/>
          <w:sz w:val="26"/>
          <w:szCs w:val="26"/>
          <w:vertAlign w:val="baseline"/>
          <w:rtl/>
        </w:rPr>
        <w:t>: 14.</w:t>
      </w:r>
    </w:p>
  </w:footnote>
  <w:footnote w:id="70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Fonts w:ascii="Mosawi" w:hAnsi="Mosawi" w:cs="Mosawi" w:hint="cs"/>
          <w:sz w:val="26"/>
          <w:szCs w:val="26"/>
          <w:rtl/>
        </w:rPr>
        <w:t xml:space="preserve"> </w:t>
      </w:r>
      <w:r w:rsidRPr="003E5026">
        <w:rPr>
          <w:rStyle w:val="FootnoteReference"/>
          <w:rFonts w:ascii="Mosawi" w:hAnsi="Mosawi" w:cs="Mosawi"/>
          <w:sz w:val="26"/>
          <w:szCs w:val="26"/>
          <w:vertAlign w:val="baseline"/>
          <w:rtl/>
        </w:rPr>
        <w:t>العروة الوثقى 2:</w:t>
      </w:r>
      <w:r w:rsidRPr="003E5026">
        <w:rPr>
          <w:rFonts w:ascii="Mosawi" w:hAnsi="Mosawi" w:cs="Mosawi" w:hint="cs"/>
          <w:sz w:val="26"/>
          <w:szCs w:val="26"/>
          <w:rtl/>
        </w:rPr>
        <w:t xml:space="preserve"> </w:t>
      </w:r>
      <w:r w:rsidRPr="003E5026">
        <w:rPr>
          <w:rStyle w:val="FootnoteReference"/>
          <w:rFonts w:ascii="Mosawi" w:hAnsi="Mosawi" w:cs="Mosawi" w:hint="cs"/>
          <w:sz w:val="26"/>
          <w:szCs w:val="26"/>
          <w:vertAlign w:val="baseline"/>
          <w:rtl/>
        </w:rPr>
        <w:t>8</w:t>
      </w:r>
      <w:r w:rsidRPr="003E5026">
        <w:rPr>
          <w:rFonts w:ascii="Mosawi" w:hAnsi="Mosawi" w:cs="Mosawi" w:hint="cs"/>
          <w:sz w:val="26"/>
          <w:szCs w:val="26"/>
          <w:rtl/>
        </w:rPr>
        <w:t>10</w:t>
      </w:r>
      <w:r w:rsidRPr="003E5026">
        <w:rPr>
          <w:rStyle w:val="FootnoteReference"/>
          <w:rFonts w:ascii="Mosawi" w:hAnsi="Mosawi" w:cs="Mosawi"/>
          <w:sz w:val="26"/>
          <w:szCs w:val="26"/>
          <w:vertAlign w:val="baseline"/>
          <w:rtl/>
        </w:rPr>
        <w:t>. ولم يعلق السّادة</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الخوئي والخميني والكلبيكاني والقمي والشريعتمداري.</w:t>
      </w:r>
    </w:p>
  </w:footnote>
  <w:footnote w:id="70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 xml:space="preserve">يظهر من المحقق العراقي في تعليقته على العروة: </w:t>
      </w:r>
      <w:r w:rsidRPr="003E5026">
        <w:rPr>
          <w:rStyle w:val="FootnoteReference"/>
          <w:rFonts w:ascii="Mosawi" w:hAnsi="Mosawi" w:cs="Mosawi" w:hint="cs"/>
          <w:sz w:val="26"/>
          <w:szCs w:val="26"/>
          <w:vertAlign w:val="baseline"/>
          <w:rtl/>
        </w:rPr>
        <w:t>3</w:t>
      </w:r>
      <w:r w:rsidRPr="003E5026">
        <w:rPr>
          <w:rFonts w:ascii="Mosawi" w:hAnsi="Mosawi" w:cs="Mosawi" w:hint="cs"/>
          <w:sz w:val="26"/>
          <w:szCs w:val="26"/>
          <w:rtl/>
        </w:rPr>
        <w:t>02</w:t>
      </w:r>
      <w:r w:rsidRPr="003E5026">
        <w:rPr>
          <w:rStyle w:val="FootnoteReference"/>
          <w:rFonts w:ascii="Mosawi" w:hAnsi="Mosawi" w:cs="Mosawi" w:hint="cs"/>
          <w:sz w:val="26"/>
          <w:szCs w:val="26"/>
          <w:vertAlign w:val="baseline"/>
          <w:rtl/>
        </w:rPr>
        <w:t>.</w:t>
      </w:r>
    </w:p>
  </w:footnote>
  <w:footnote w:id="70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مستمسك العروة الوثقى 14: 73.</w:t>
      </w:r>
    </w:p>
  </w:footnote>
  <w:footnote w:id="70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xml:space="preserve">) منهاج الصّالحين 2: </w:t>
      </w:r>
      <w:r w:rsidRPr="003E5026">
        <w:rPr>
          <w:rStyle w:val="FootnoteReference"/>
          <w:rFonts w:ascii="Mosawi" w:hAnsi="Mosawi" w:cs="Mosawi" w:hint="cs"/>
          <w:sz w:val="26"/>
          <w:szCs w:val="26"/>
          <w:vertAlign w:val="baseline"/>
          <w:rtl/>
        </w:rPr>
        <w:t>2</w:t>
      </w:r>
      <w:r w:rsidRPr="003E5026">
        <w:rPr>
          <w:rFonts w:ascii="Mosawi" w:hAnsi="Mosawi" w:cs="Mosawi" w:hint="cs"/>
          <w:sz w:val="26"/>
          <w:szCs w:val="26"/>
          <w:rtl/>
        </w:rPr>
        <w:t>60؛</w:t>
      </w:r>
      <w:r w:rsidRPr="003E5026">
        <w:rPr>
          <w:rStyle w:val="FootnoteReference"/>
          <w:rFonts w:ascii="Mosawi" w:hAnsi="Mosawi" w:cs="Mosawi"/>
          <w:sz w:val="26"/>
          <w:szCs w:val="26"/>
          <w:vertAlign w:val="baseline"/>
          <w:rtl/>
        </w:rPr>
        <w:t xml:space="preserve"> ومباني العروة الوثقى</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ـ</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كتاب النّكاح 1: 142ـ</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149</w:t>
      </w:r>
      <w:r w:rsidRPr="003E5026">
        <w:rPr>
          <w:rStyle w:val="FootnoteReference"/>
          <w:rFonts w:ascii="Mosawi" w:hAnsi="Mosawi" w:cs="Mosawi" w:hint="cs"/>
          <w:sz w:val="26"/>
          <w:szCs w:val="26"/>
          <w:vertAlign w:val="baseline"/>
          <w:rtl/>
        </w:rPr>
        <w:t>.</w:t>
      </w:r>
    </w:p>
  </w:footnote>
  <w:footnote w:id="70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تحرير الوسيلة 2: 216</w:t>
      </w:r>
      <w:r w:rsidRPr="003E5026">
        <w:rPr>
          <w:rStyle w:val="FootnoteReference"/>
          <w:rFonts w:ascii="Mosawi" w:hAnsi="Mosawi" w:cs="Mosawi" w:hint="cs"/>
          <w:sz w:val="26"/>
          <w:szCs w:val="26"/>
          <w:vertAlign w:val="baseline"/>
          <w:rtl/>
        </w:rPr>
        <w:t>.</w:t>
      </w:r>
    </w:p>
  </w:footnote>
  <w:footnote w:id="71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مستند الشّيعة 16: 77</w:t>
      </w:r>
      <w:r w:rsidRPr="003E5026">
        <w:rPr>
          <w:rStyle w:val="FootnoteReference"/>
          <w:rFonts w:ascii="Mosawi" w:hAnsi="Mosawi" w:cs="Mosawi" w:hint="cs"/>
          <w:sz w:val="26"/>
          <w:szCs w:val="26"/>
          <w:vertAlign w:val="baseline"/>
          <w:rtl/>
        </w:rPr>
        <w:t>.</w:t>
      </w:r>
    </w:p>
  </w:footnote>
  <w:footnote w:id="71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ال</w:t>
      </w:r>
      <w:r w:rsidRPr="003E5026">
        <w:rPr>
          <w:rFonts w:ascii="Mosawi" w:hAnsi="Mosawi" w:cs="Mosawi" w:hint="cs"/>
          <w:sz w:val="26"/>
          <w:szCs w:val="26"/>
          <w:rtl/>
        </w:rPr>
        <w:t>مصدر نفسه؛ و</w:t>
      </w:r>
      <w:r w:rsidRPr="003E5026">
        <w:rPr>
          <w:rStyle w:val="FootnoteReference"/>
          <w:rFonts w:ascii="Mosawi" w:hAnsi="Mosawi" w:cs="Mosawi"/>
          <w:sz w:val="26"/>
          <w:szCs w:val="26"/>
          <w:vertAlign w:val="baseline"/>
          <w:rtl/>
        </w:rPr>
        <w:t xml:space="preserve"> نهاية المرام 1: 61</w:t>
      </w:r>
      <w:r w:rsidRPr="003E5026">
        <w:rPr>
          <w:rStyle w:val="FootnoteReference"/>
          <w:rFonts w:ascii="Mosawi" w:hAnsi="Mosawi" w:cs="Mosawi" w:hint="cs"/>
          <w:sz w:val="26"/>
          <w:szCs w:val="26"/>
          <w:vertAlign w:val="baseline"/>
          <w:rtl/>
        </w:rPr>
        <w:t>.</w:t>
      </w:r>
    </w:p>
  </w:footnote>
  <w:footnote w:id="71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مستند الشّيعة 16: 77</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ومسالك الأفهام 7: 66</w:t>
      </w:r>
      <w:r w:rsidRPr="003E5026">
        <w:rPr>
          <w:rStyle w:val="FootnoteReference"/>
          <w:rFonts w:ascii="Mosawi" w:hAnsi="Mosawi" w:cs="Mosawi" w:hint="cs"/>
          <w:sz w:val="26"/>
          <w:szCs w:val="26"/>
          <w:vertAlign w:val="baseline"/>
          <w:rtl/>
        </w:rPr>
        <w:t>.</w:t>
      </w:r>
    </w:p>
  </w:footnote>
  <w:footnote w:id="71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 xml:space="preserve">مفاتيح الشّرائع 2: </w:t>
      </w:r>
      <w:r w:rsidRPr="003E5026">
        <w:rPr>
          <w:rStyle w:val="FootnoteReference"/>
          <w:rFonts w:ascii="Mosawi" w:hAnsi="Mosawi" w:cs="Mosawi" w:hint="cs"/>
          <w:sz w:val="26"/>
          <w:szCs w:val="26"/>
          <w:vertAlign w:val="baseline"/>
          <w:rtl/>
        </w:rPr>
        <w:t>2</w:t>
      </w:r>
      <w:r w:rsidRPr="003E5026">
        <w:rPr>
          <w:rFonts w:ascii="Mosawi" w:hAnsi="Mosawi" w:cs="Mosawi" w:hint="cs"/>
          <w:sz w:val="26"/>
          <w:szCs w:val="26"/>
          <w:rtl/>
        </w:rPr>
        <w:t>90؛</w:t>
      </w:r>
      <w:r w:rsidRPr="003E5026">
        <w:rPr>
          <w:rStyle w:val="FootnoteReference"/>
          <w:rFonts w:ascii="Mosawi" w:hAnsi="Mosawi" w:cs="Mosawi"/>
          <w:sz w:val="26"/>
          <w:szCs w:val="26"/>
          <w:vertAlign w:val="baseline"/>
          <w:rtl/>
        </w:rPr>
        <w:t xml:space="preserve"> ومستند الشّيعة 16: 78</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والجواهر 29: 115</w:t>
      </w:r>
      <w:r w:rsidRPr="003E5026">
        <w:rPr>
          <w:rStyle w:val="FootnoteReference"/>
          <w:rFonts w:ascii="Mosawi" w:hAnsi="Mosawi" w:cs="Mosawi" w:hint="cs"/>
          <w:sz w:val="26"/>
          <w:szCs w:val="26"/>
          <w:vertAlign w:val="baseline"/>
          <w:rtl/>
        </w:rPr>
        <w:t>.</w:t>
      </w:r>
    </w:p>
  </w:footnote>
  <w:footnote w:id="71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 xml:space="preserve">صرّح به في مفاتيح الشرائع 2: </w:t>
      </w:r>
      <w:r w:rsidRPr="003E5026">
        <w:rPr>
          <w:rStyle w:val="FootnoteReference"/>
          <w:rFonts w:ascii="Mosawi" w:hAnsi="Mosawi" w:cs="Mosawi" w:hint="cs"/>
          <w:sz w:val="26"/>
          <w:szCs w:val="26"/>
          <w:vertAlign w:val="baseline"/>
          <w:rtl/>
        </w:rPr>
        <w:t>2</w:t>
      </w:r>
      <w:r w:rsidRPr="003E5026">
        <w:rPr>
          <w:rFonts w:ascii="Mosawi" w:hAnsi="Mosawi" w:cs="Mosawi" w:hint="cs"/>
          <w:sz w:val="26"/>
          <w:szCs w:val="26"/>
          <w:rtl/>
        </w:rPr>
        <w:t>90</w:t>
      </w:r>
      <w:r w:rsidRPr="003E5026">
        <w:rPr>
          <w:rStyle w:val="FootnoteReference"/>
          <w:rFonts w:ascii="Mosawi" w:hAnsi="Mosawi" w:cs="Mosawi"/>
          <w:sz w:val="26"/>
          <w:szCs w:val="26"/>
          <w:vertAlign w:val="baseline"/>
          <w:rtl/>
        </w:rPr>
        <w:t>.</w:t>
      </w:r>
    </w:p>
  </w:footnote>
  <w:footnote w:id="71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ونقصد بها المقنع والهداية.</w:t>
      </w:r>
    </w:p>
  </w:footnote>
  <w:footnote w:id="71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جاء في كتابه النّهاية: 482</w:t>
      </w:r>
      <w:r w:rsidRPr="003E5026">
        <w:rPr>
          <w:rFonts w:ascii="Mosawi" w:hAnsi="Mosawi" w:cs="Mosawi" w:hint="cs"/>
          <w:sz w:val="26"/>
          <w:szCs w:val="26"/>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ولا يجوز للرجل أن يترك المرأة ولا يقربها أكثر من أربعة أشهر، فإن تركها أكثر من ذلك كان مأثوماً</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w:t>
      </w:r>
    </w:p>
  </w:footnote>
  <w:footnote w:id="71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وستأتي الرواية وهي صحيحة صفوان بن يحي</w:t>
      </w:r>
      <w:r w:rsidRPr="003E5026">
        <w:rPr>
          <w:rStyle w:val="FootnoteReference"/>
          <w:rFonts w:ascii="Mosawi" w:hAnsi="Mosawi" w:cs="Mosawi" w:hint="cs"/>
          <w:sz w:val="26"/>
          <w:szCs w:val="26"/>
          <w:vertAlign w:val="baseline"/>
          <w:rtl/>
        </w:rPr>
        <w:t>ى</w:t>
      </w:r>
      <w:r w:rsidRPr="003E5026">
        <w:rPr>
          <w:rStyle w:val="FootnoteReference"/>
          <w:rFonts w:ascii="Mosawi" w:hAnsi="Mosawi" w:cs="Mosawi"/>
          <w:sz w:val="26"/>
          <w:szCs w:val="26"/>
          <w:vertAlign w:val="baseline"/>
          <w:rtl/>
        </w:rPr>
        <w:t>.</w:t>
      </w:r>
    </w:p>
  </w:footnote>
  <w:footnote w:id="71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لا نريد هنا نفي هذه النظرية في تلك الحقبة الزمنيّة وإنما نريد القول بأنه لا يوجد بأيدينا ما يؤكّدها.</w:t>
      </w:r>
    </w:p>
  </w:footnote>
  <w:footnote w:id="71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قد يناقش في أصل جريان قاعدة الضّرر هنا باعتبار عدم تحقّق موضوعها</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إذ الضرر هو النقص في النفس والمال والأطراف ونحوها، والفقهاء كثيراً ما يتحفّظون عن التوسعة أكثر.</w:t>
      </w:r>
    </w:p>
  </w:footnote>
  <w:footnote w:id="72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مباني العروة الوثقى</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مصدر سابق: 143</w:t>
      </w:r>
      <w:r w:rsidRPr="003E5026">
        <w:rPr>
          <w:rStyle w:val="FootnoteReference"/>
          <w:rFonts w:ascii="Mosawi" w:hAnsi="Mosawi" w:cs="Mosawi" w:hint="cs"/>
          <w:sz w:val="26"/>
          <w:szCs w:val="26"/>
          <w:vertAlign w:val="baseline"/>
          <w:rtl/>
        </w:rPr>
        <w:t>.</w:t>
      </w:r>
    </w:p>
  </w:footnote>
  <w:footnote w:id="72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جواهر الكلام في شرح شرائع الإسلام 29: 115 الشيخ محمد حسن النّجفي.</w:t>
      </w:r>
    </w:p>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 xml:space="preserve">وقد نقلها صاحب الجواهر في المجلّد 29: </w:t>
      </w:r>
      <w:r w:rsidRPr="003E5026">
        <w:rPr>
          <w:rStyle w:val="FootnoteReference"/>
          <w:rFonts w:ascii="Mosawi" w:hAnsi="Mosawi" w:cs="Mosawi" w:hint="cs"/>
          <w:sz w:val="26"/>
          <w:szCs w:val="26"/>
          <w:vertAlign w:val="baseline"/>
          <w:rtl/>
        </w:rPr>
        <w:t xml:space="preserve">115 ـ </w:t>
      </w:r>
      <w:r w:rsidRPr="003E5026">
        <w:rPr>
          <w:rStyle w:val="FootnoteReference"/>
          <w:rFonts w:ascii="Mosawi" w:hAnsi="Mosawi" w:cs="Mosawi"/>
          <w:sz w:val="26"/>
          <w:szCs w:val="26"/>
          <w:vertAlign w:val="baseline"/>
          <w:rtl/>
        </w:rPr>
        <w:t xml:space="preserve">116، كما نقل مثلها في </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تفسير من وحي القرآن</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نقلاً عن موطّأ مالك بن أنس 4: 275</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ط: دار الملاك</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وحاصلها أنّه خرج عمر بن الخطاب في الليل فسمع امرأة تقول:</w:t>
      </w:r>
    </w:p>
    <w:tbl>
      <w:tblPr>
        <w:bidiVisual/>
        <w:tblW w:w="0" w:type="auto"/>
        <w:tblInd w:w="532" w:type="dxa"/>
        <w:tblLayout w:type="fixed"/>
        <w:tblLook w:val="0000"/>
      </w:tblPr>
      <w:tblGrid>
        <w:gridCol w:w="2835"/>
        <w:gridCol w:w="425"/>
        <w:gridCol w:w="3119"/>
      </w:tblGrid>
      <w:tr w:rsidR="0071680A" w:rsidRPr="003E5026" w:rsidTr="002649A0">
        <w:trPr>
          <w:trHeight w:val="454"/>
        </w:trPr>
        <w:tc>
          <w:tcPr>
            <w:tcW w:w="2835" w:type="dxa"/>
          </w:tcPr>
          <w:p w:rsidR="0071680A" w:rsidRPr="00F32B8E" w:rsidRDefault="0071680A" w:rsidP="00F32B8E">
            <w:pPr>
              <w:pStyle w:val="11"/>
              <w:widowControl w:val="0"/>
              <w:spacing w:line="192" w:lineRule="auto"/>
              <w:ind w:left="-170" w:right="0" w:firstLine="227"/>
              <w:jc w:val="lowKashida"/>
              <w:rPr>
                <w:rStyle w:val="FootnoteReference"/>
                <w:rFonts w:ascii="Mosawi" w:hAnsi="Mosawi" w:cs="Mosawi"/>
                <w:sz w:val="2"/>
                <w:szCs w:val="2"/>
                <w:vertAlign w:val="baseline"/>
                <w:rtl/>
              </w:rPr>
            </w:pPr>
            <w:r>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تطاول هذا الليل واسودّ جانبه</w:t>
            </w:r>
            <w:r>
              <w:rPr>
                <w:rFonts w:ascii="Mosawi" w:hAnsi="Mosawi" w:cs="Mosawi" w:hint="cs"/>
                <w:sz w:val="26"/>
                <w:szCs w:val="26"/>
                <w:rtl/>
              </w:rPr>
              <w:br/>
            </w:r>
            <w:r>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فوالله لولا الله أنّي أراقبه</w:t>
            </w:r>
            <w:r w:rsidRPr="003E5026">
              <w:rPr>
                <w:rStyle w:val="FootnoteReference"/>
                <w:rFonts w:ascii="Mosawi" w:hAnsi="Mosawi" w:cs="Mosawi"/>
                <w:sz w:val="26"/>
                <w:szCs w:val="26"/>
                <w:vertAlign w:val="baseline"/>
                <w:rtl/>
              </w:rPr>
              <w:br/>
            </w:r>
          </w:p>
        </w:tc>
        <w:tc>
          <w:tcPr>
            <w:tcW w:w="425" w:type="dxa"/>
          </w:tcPr>
          <w:p w:rsidR="0071680A" w:rsidRPr="003E5026" w:rsidRDefault="0071680A" w:rsidP="00F32B8E">
            <w:pPr>
              <w:pStyle w:val="11"/>
              <w:widowControl w:val="0"/>
              <w:spacing w:line="192" w:lineRule="auto"/>
              <w:ind w:left="170" w:right="0" w:firstLine="227"/>
              <w:jc w:val="lowKashida"/>
              <w:rPr>
                <w:rStyle w:val="FootnoteReference"/>
                <w:rFonts w:ascii="Mosawi" w:hAnsi="Mosawi" w:cs="Mosawi"/>
                <w:sz w:val="26"/>
                <w:szCs w:val="26"/>
                <w:vertAlign w:val="baseline"/>
                <w:rtl/>
              </w:rPr>
            </w:pPr>
          </w:p>
        </w:tc>
        <w:tc>
          <w:tcPr>
            <w:tcW w:w="3119" w:type="dxa"/>
          </w:tcPr>
          <w:p w:rsidR="0071680A" w:rsidRPr="00F32B8E" w:rsidRDefault="0071680A" w:rsidP="00F32B8E">
            <w:pPr>
              <w:pStyle w:val="11"/>
              <w:widowControl w:val="0"/>
              <w:spacing w:line="192" w:lineRule="auto"/>
              <w:ind w:left="-170" w:right="0" w:firstLine="227"/>
              <w:jc w:val="lowKashida"/>
              <w:rPr>
                <w:rStyle w:val="FootnoteReference"/>
                <w:rFonts w:ascii="Mosawi" w:hAnsi="Mosawi" w:cs="Mosawi"/>
                <w:sz w:val="2"/>
                <w:szCs w:val="2"/>
                <w:vertAlign w:val="baseline"/>
                <w:rtl/>
              </w:rPr>
            </w:pPr>
            <w:r w:rsidRPr="003E5026">
              <w:rPr>
                <w:rStyle w:val="FootnoteReference"/>
                <w:rFonts w:ascii="Mosawi" w:hAnsi="Mosawi" w:cs="Mosawi"/>
                <w:sz w:val="26"/>
                <w:szCs w:val="26"/>
                <w:vertAlign w:val="baseline"/>
                <w:rtl/>
              </w:rPr>
              <w:t>وأرّقني أن لا خليل ألاعبه</w:t>
            </w:r>
            <w:r w:rsidRPr="003E5026">
              <w:rPr>
                <w:rStyle w:val="FootnoteReference"/>
                <w:rFonts w:ascii="Mosawi" w:hAnsi="Mosawi" w:cs="Mosawi"/>
                <w:sz w:val="26"/>
                <w:szCs w:val="26"/>
                <w:vertAlign w:val="baseline"/>
                <w:rtl/>
              </w:rPr>
              <w:br/>
            </w:r>
            <w:r>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يحرّك من هذا الس</w:t>
            </w:r>
            <w:r w:rsidRPr="003E5026">
              <w:rPr>
                <w:rFonts w:ascii="Mosawi" w:hAnsi="Mosawi" w:cs="Mosawi" w:hint="cs"/>
                <w:sz w:val="26"/>
                <w:szCs w:val="26"/>
                <w:rtl/>
              </w:rPr>
              <w:t>ـ</w:t>
            </w:r>
            <w:r w:rsidRPr="003E5026">
              <w:rPr>
                <w:rStyle w:val="FootnoteReference"/>
                <w:rFonts w:ascii="Mosawi" w:hAnsi="Mosawi" w:cs="Mosawi"/>
                <w:sz w:val="26"/>
                <w:szCs w:val="26"/>
                <w:vertAlign w:val="baseline"/>
                <w:rtl/>
              </w:rPr>
              <w:t>ّرير جوانبه</w:t>
            </w:r>
            <w:r w:rsidRPr="003E5026">
              <w:rPr>
                <w:rStyle w:val="FootnoteReference"/>
                <w:rFonts w:ascii="Mosawi" w:hAnsi="Mosawi" w:cs="Mosawi"/>
                <w:sz w:val="26"/>
                <w:szCs w:val="26"/>
                <w:vertAlign w:val="baseline"/>
                <w:rtl/>
              </w:rPr>
              <w:br/>
            </w:r>
          </w:p>
        </w:tc>
      </w:tr>
    </w:tbl>
    <w:p w:rsidR="0071680A" w:rsidRPr="003E5026" w:rsidRDefault="0071680A" w:rsidP="007F75C5">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 xml:space="preserve">فسأل عمر </w:t>
      </w:r>
      <w:r>
        <w:rPr>
          <w:rStyle w:val="FootnoteReference"/>
          <w:rFonts w:ascii="Mosawi" w:hAnsi="Mosawi" w:cs="Mosawi" w:hint="cs"/>
          <w:sz w:val="26"/>
          <w:szCs w:val="26"/>
          <w:vertAlign w:val="baseline"/>
          <w:rtl/>
        </w:rPr>
        <w:t>ا</w:t>
      </w:r>
      <w:r w:rsidRPr="003E5026">
        <w:rPr>
          <w:rStyle w:val="FootnoteReference"/>
          <w:rFonts w:ascii="Mosawi" w:hAnsi="Mosawi" w:cs="Mosawi"/>
          <w:sz w:val="26"/>
          <w:szCs w:val="26"/>
          <w:vertAlign w:val="baseline"/>
          <w:rtl/>
        </w:rPr>
        <w:t>بنته حفصة كم أكثر ما تصبر المرأة عن زوجها؟ فقالت: ستة أشهر أو أربعة أشهر، فقال عمر: لا أحبّ أحداً من الجيوش أكثر من ذلك.</w:t>
      </w:r>
    </w:p>
  </w:footnote>
  <w:footnote w:id="722">
    <w:p w:rsidR="0071680A" w:rsidRPr="003E5026" w:rsidRDefault="0071680A" w:rsidP="00DA0C68">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Pr>
          <w:rFonts w:ascii="Mosawi" w:hAnsi="Mosawi" w:cs="Mosawi" w:hint="cs"/>
          <w:sz w:val="26"/>
          <w:szCs w:val="26"/>
          <w:rtl/>
        </w:rPr>
        <w:t xml:space="preserve"> </w:t>
      </w:r>
      <w:r w:rsidRPr="003E5026">
        <w:rPr>
          <w:rStyle w:val="FootnoteReference"/>
          <w:rFonts w:ascii="Mosawi" w:hAnsi="Mosawi" w:cs="Mosawi"/>
          <w:sz w:val="26"/>
          <w:szCs w:val="26"/>
          <w:vertAlign w:val="baseline"/>
          <w:rtl/>
        </w:rPr>
        <w:t>مباني العروة الوثقى</w:t>
      </w:r>
      <w:r>
        <w:rPr>
          <w:rFonts w:ascii="Mosawi" w:hAnsi="Mosawi" w:cs="Mosawi" w:hint="cs"/>
          <w:sz w:val="26"/>
          <w:szCs w:val="26"/>
          <w:rtl/>
        </w:rPr>
        <w:t xml:space="preserve">، </w:t>
      </w:r>
      <w:r w:rsidRPr="003E5026">
        <w:rPr>
          <w:rStyle w:val="FootnoteReference"/>
          <w:rFonts w:ascii="Mosawi" w:hAnsi="Mosawi" w:cs="Mosawi"/>
          <w:sz w:val="26"/>
          <w:szCs w:val="26"/>
          <w:vertAlign w:val="baseline"/>
          <w:rtl/>
        </w:rPr>
        <w:t>مصدر سابق: 143</w:t>
      </w:r>
      <w:r w:rsidRPr="003E5026">
        <w:rPr>
          <w:rStyle w:val="FootnoteReference"/>
          <w:rFonts w:ascii="Mosawi" w:hAnsi="Mosawi" w:cs="Mosawi" w:hint="cs"/>
          <w:sz w:val="26"/>
          <w:szCs w:val="26"/>
          <w:vertAlign w:val="baseline"/>
          <w:rtl/>
        </w:rPr>
        <w:t>.</w:t>
      </w:r>
    </w:p>
  </w:footnote>
  <w:footnote w:id="723">
    <w:p w:rsidR="0071680A" w:rsidRPr="003E5026" w:rsidRDefault="0071680A" w:rsidP="00B83D95">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Pr>
          <w:rStyle w:val="FootnoteReference"/>
          <w:rFonts w:ascii="Mosawi" w:hAnsi="Mosawi" w:cs="Mosawi" w:hint="cs"/>
          <w:sz w:val="26"/>
          <w:szCs w:val="26"/>
          <w:vertAlign w:val="baseline"/>
          <w:rtl/>
        </w:rPr>
        <w:t xml:space="preserve"> ال</w:t>
      </w:r>
      <w:r>
        <w:rPr>
          <w:rFonts w:ascii="Mosawi" w:hAnsi="Mosawi" w:cs="Mosawi" w:hint="cs"/>
          <w:sz w:val="26"/>
          <w:szCs w:val="26"/>
          <w:rtl/>
        </w:rPr>
        <w:t>مصدر نفسه.</w:t>
      </w:r>
    </w:p>
  </w:footnote>
  <w:footnote w:id="724">
    <w:p w:rsidR="0071680A" w:rsidRPr="003E5026" w:rsidRDefault="0071680A" w:rsidP="00DA0C68">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Pr>
          <w:rFonts w:ascii="Mosawi" w:hAnsi="Mosawi" w:cs="Mosawi" w:hint="cs"/>
          <w:sz w:val="26"/>
          <w:szCs w:val="26"/>
          <w:rtl/>
        </w:rPr>
        <w:t xml:space="preserve"> </w:t>
      </w:r>
      <w:r w:rsidRPr="003E5026">
        <w:rPr>
          <w:rStyle w:val="FootnoteReference"/>
          <w:rFonts w:ascii="Mosawi" w:hAnsi="Mosawi" w:cs="Mosawi"/>
          <w:sz w:val="26"/>
          <w:szCs w:val="26"/>
          <w:vertAlign w:val="baseline"/>
          <w:rtl/>
        </w:rPr>
        <w:t>وسائل الشّيعة 22: 342 كتاب الإيلاء والكفّارات</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ـ أبواب الإيلاء</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ـ</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باب 2</w:t>
      </w:r>
      <w:r w:rsidRPr="003E5026">
        <w:rPr>
          <w:rStyle w:val="FootnoteReference"/>
          <w:rFonts w:ascii="Mosawi" w:hAnsi="Mosawi" w:cs="Mosawi" w:hint="cs"/>
          <w:sz w:val="26"/>
          <w:szCs w:val="26"/>
          <w:vertAlign w:val="baseline"/>
          <w:rtl/>
        </w:rPr>
        <w:t xml:space="preserve"> </w:t>
      </w:r>
      <w:r>
        <w:rPr>
          <w:rFonts w:ascii="Mosawi" w:hAnsi="Mosawi" w:cs="Mosawi" w:hint="cs"/>
          <w:sz w:val="26"/>
          <w:szCs w:val="26"/>
          <w:rtl/>
        </w:rPr>
        <w:t xml:space="preserve">ـ </w:t>
      </w:r>
      <w:r w:rsidRPr="003E5026">
        <w:rPr>
          <w:rStyle w:val="FootnoteReference"/>
          <w:rFonts w:ascii="Mosawi" w:hAnsi="Mosawi" w:cs="Mosawi"/>
          <w:sz w:val="26"/>
          <w:szCs w:val="26"/>
          <w:vertAlign w:val="baseline"/>
          <w:rtl/>
        </w:rPr>
        <w:t>ح1</w:t>
      </w:r>
      <w:r w:rsidRPr="003E5026">
        <w:rPr>
          <w:rStyle w:val="FootnoteReference"/>
          <w:rFonts w:ascii="Mosawi" w:hAnsi="Mosawi" w:cs="Mosawi" w:hint="cs"/>
          <w:sz w:val="26"/>
          <w:szCs w:val="26"/>
          <w:vertAlign w:val="baseline"/>
          <w:rtl/>
        </w:rPr>
        <w:t>.</w:t>
      </w:r>
    </w:p>
  </w:footnote>
  <w:footnote w:id="725">
    <w:p w:rsidR="0071680A" w:rsidRPr="003E5026" w:rsidRDefault="0071680A" w:rsidP="007F75C5">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مباني العروة ـ مصدر سابق: 142</w:t>
      </w:r>
      <w:r w:rsidRPr="003E5026">
        <w:rPr>
          <w:rStyle w:val="FootnoteReference"/>
          <w:rFonts w:ascii="Mosawi" w:hAnsi="Mosawi" w:cs="Mosawi" w:hint="cs"/>
          <w:sz w:val="26"/>
          <w:szCs w:val="26"/>
          <w:vertAlign w:val="baseline"/>
          <w:rtl/>
        </w:rPr>
        <w:t>.</w:t>
      </w:r>
    </w:p>
  </w:footnote>
  <w:footnote w:id="726">
    <w:p w:rsidR="0071680A" w:rsidRPr="003E5026" w:rsidRDefault="0071680A" w:rsidP="00DA0C68">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w:t>
      </w:r>
      <w:r>
        <w:rPr>
          <w:rFonts w:ascii="Mosawi" w:hAnsi="Mosawi" w:cs="Mosawi" w:hint="cs"/>
          <w:sz w:val="26"/>
          <w:szCs w:val="26"/>
          <w:rtl/>
        </w:rPr>
        <w:t>فضل الله، كتاب النكاح 1: 166؛ وصرّح بكون الإيلاء طلاقاً في الجاهلية بعض الفقهاء مثل النجفي، جواهر الكلام 33: 297؛ والروحاني، فقه الصادق 23 : 179.</w:t>
      </w:r>
    </w:p>
  </w:footnote>
  <w:footnote w:id="727">
    <w:p w:rsidR="0071680A" w:rsidRPr="003E5026" w:rsidRDefault="0071680A" w:rsidP="007F75C5">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Pr>
          <w:rFonts w:ascii="Mosawi" w:hAnsi="Mosawi" w:cs="Mosawi" w:hint="cs"/>
          <w:sz w:val="26"/>
          <w:szCs w:val="26"/>
          <w:rtl/>
        </w:rPr>
        <w:t xml:space="preserve"> تفصيل </w:t>
      </w:r>
      <w:r w:rsidRPr="003E5026">
        <w:rPr>
          <w:rStyle w:val="FootnoteReference"/>
          <w:rFonts w:ascii="Mosawi" w:hAnsi="Mosawi" w:cs="Mosawi"/>
          <w:sz w:val="26"/>
          <w:szCs w:val="26"/>
          <w:vertAlign w:val="baseline"/>
          <w:rtl/>
        </w:rPr>
        <w:t xml:space="preserve">وسائل الشيعة </w:t>
      </w:r>
      <w:r>
        <w:rPr>
          <w:rStyle w:val="FootnoteReference"/>
          <w:rFonts w:ascii="Mosawi" w:hAnsi="Mosawi" w:cs="Mosawi" w:hint="cs"/>
          <w:sz w:val="26"/>
          <w:szCs w:val="26"/>
          <w:vertAlign w:val="baseline"/>
          <w:rtl/>
        </w:rPr>
        <w:t>2</w:t>
      </w:r>
      <w:r>
        <w:rPr>
          <w:rFonts w:ascii="Mosawi" w:hAnsi="Mosawi" w:cs="Mosawi" w:hint="cs"/>
          <w:sz w:val="26"/>
          <w:szCs w:val="26"/>
          <w:rtl/>
        </w:rPr>
        <w:t xml:space="preserve">0: </w:t>
      </w:r>
      <w:r w:rsidRPr="003E5026">
        <w:rPr>
          <w:rStyle w:val="FootnoteReference"/>
          <w:rFonts w:ascii="Mosawi" w:hAnsi="Mosawi" w:cs="Mosawi"/>
          <w:sz w:val="26"/>
          <w:szCs w:val="26"/>
          <w:vertAlign w:val="baseline"/>
          <w:rtl/>
        </w:rPr>
        <w:t xml:space="preserve">141 </w:t>
      </w:r>
      <w:r w:rsidRPr="007F75C5">
        <w:rPr>
          <w:rStyle w:val="FootnoteReference"/>
          <w:rFonts w:ascii="Mosawi" w:hAnsi="Mosawi" w:cs="Mosawi"/>
          <w:sz w:val="25"/>
          <w:szCs w:val="25"/>
          <w:vertAlign w:val="baseline"/>
          <w:rtl/>
        </w:rPr>
        <w:t>كتاب النكاح</w:t>
      </w:r>
      <w:r w:rsidRPr="007F75C5">
        <w:rPr>
          <w:rStyle w:val="FootnoteReference"/>
          <w:rFonts w:ascii="Mosawi" w:hAnsi="Mosawi" w:cs="Mosawi" w:hint="cs"/>
          <w:sz w:val="25"/>
          <w:szCs w:val="25"/>
          <w:vertAlign w:val="baseline"/>
          <w:rtl/>
        </w:rPr>
        <w:t xml:space="preserve"> </w:t>
      </w:r>
      <w:r w:rsidRPr="007F75C5">
        <w:rPr>
          <w:rStyle w:val="FootnoteReference"/>
          <w:rFonts w:ascii="Mosawi" w:hAnsi="Mosawi" w:cs="Mosawi"/>
          <w:sz w:val="25"/>
          <w:szCs w:val="25"/>
          <w:vertAlign w:val="baseline"/>
          <w:rtl/>
        </w:rPr>
        <w:t>ـ</w:t>
      </w:r>
      <w:r w:rsidRPr="007F75C5">
        <w:rPr>
          <w:rStyle w:val="FootnoteReference"/>
          <w:rFonts w:ascii="Mosawi" w:hAnsi="Mosawi" w:cs="Mosawi" w:hint="cs"/>
          <w:sz w:val="25"/>
          <w:szCs w:val="25"/>
          <w:vertAlign w:val="baseline"/>
          <w:rtl/>
        </w:rPr>
        <w:t xml:space="preserve"> </w:t>
      </w:r>
      <w:r w:rsidRPr="007F75C5">
        <w:rPr>
          <w:rStyle w:val="FootnoteReference"/>
          <w:rFonts w:ascii="Mosawi" w:hAnsi="Mosawi" w:cs="Mosawi"/>
          <w:sz w:val="25"/>
          <w:szCs w:val="25"/>
          <w:vertAlign w:val="baseline"/>
          <w:rtl/>
        </w:rPr>
        <w:t>أبواب مقدّمات</w:t>
      </w:r>
      <w:r w:rsidRPr="003E5026">
        <w:rPr>
          <w:rStyle w:val="FootnoteReference"/>
          <w:rFonts w:ascii="Mosawi" w:hAnsi="Mosawi" w:cs="Mosawi"/>
          <w:sz w:val="26"/>
          <w:szCs w:val="26"/>
          <w:vertAlign w:val="baseline"/>
          <w:rtl/>
        </w:rPr>
        <w:t xml:space="preserve"> النكاح وآدابه</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ـ</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باب 71</w:t>
      </w:r>
      <w:r>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ح2</w:t>
      </w:r>
      <w:r w:rsidRPr="003E5026">
        <w:rPr>
          <w:rStyle w:val="FootnoteReference"/>
          <w:rFonts w:ascii="Mosawi" w:hAnsi="Mosawi" w:cs="Mosawi" w:hint="cs"/>
          <w:sz w:val="26"/>
          <w:szCs w:val="26"/>
          <w:vertAlign w:val="baseline"/>
          <w:rtl/>
        </w:rPr>
        <w:t>.</w:t>
      </w:r>
    </w:p>
  </w:footnote>
  <w:footnote w:id="72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مباني العروة ـ مصدر سابق: 143</w:t>
      </w:r>
      <w:r w:rsidRPr="003E5026">
        <w:rPr>
          <w:rStyle w:val="FootnoteReference"/>
          <w:rFonts w:ascii="Mosawi" w:hAnsi="Mosawi" w:cs="Mosawi" w:hint="cs"/>
          <w:sz w:val="26"/>
          <w:szCs w:val="26"/>
          <w:vertAlign w:val="baseline"/>
          <w:rtl/>
        </w:rPr>
        <w:t>.</w:t>
      </w:r>
    </w:p>
  </w:footnote>
  <w:footnote w:id="729">
    <w:p w:rsidR="0071680A" w:rsidRPr="003E5026" w:rsidRDefault="0071680A" w:rsidP="0041608B">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w:t>
      </w:r>
      <w:r>
        <w:rPr>
          <w:rFonts w:ascii="Mosawi" w:hAnsi="Mosawi" w:cs="Mosawi" w:hint="cs"/>
          <w:sz w:val="26"/>
          <w:szCs w:val="26"/>
          <w:rtl/>
        </w:rPr>
        <w:t>تفصيل وسائل الشيعة 22: 341، ب 1، كتاب الإيلاء، ح2.</w:t>
      </w:r>
    </w:p>
  </w:footnote>
  <w:footnote w:id="730">
    <w:p w:rsidR="0071680A" w:rsidRPr="003E5026" w:rsidRDefault="0071680A" w:rsidP="0041608B">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w:t>
      </w:r>
      <w:r>
        <w:rPr>
          <w:rStyle w:val="FootnoteReference"/>
          <w:rFonts w:ascii="Mosawi" w:hAnsi="Mosawi" w:cs="Mosawi" w:hint="cs"/>
          <w:sz w:val="26"/>
          <w:szCs w:val="26"/>
          <w:vertAlign w:val="baseline"/>
          <w:rtl/>
        </w:rPr>
        <w:t>تف</w:t>
      </w:r>
      <w:r>
        <w:rPr>
          <w:rFonts w:ascii="Mosawi" w:hAnsi="Mosawi" w:cs="Mosawi" w:hint="cs"/>
          <w:sz w:val="26"/>
          <w:szCs w:val="26"/>
          <w:rtl/>
        </w:rPr>
        <w:t>صيل وسائل الشيعة 22: 341، ب1، كتاب الإيلاء، ح1. وقد اعتمده في المفاتيح والمستند والمستمسك ونهاية المرام فراجع المصادر السابقة.</w:t>
      </w:r>
    </w:p>
  </w:footnote>
  <w:footnote w:id="731">
    <w:p w:rsidR="0071680A" w:rsidRPr="003E5026" w:rsidRDefault="0071680A" w:rsidP="007F75C5">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Pr>
          <w:rFonts w:ascii="Mosawi" w:hAnsi="Mosawi" w:cs="Mosawi" w:hint="cs"/>
          <w:sz w:val="26"/>
          <w:szCs w:val="26"/>
          <w:rtl/>
        </w:rPr>
        <w:t xml:space="preserve"> </w:t>
      </w:r>
      <w:r w:rsidRPr="003E5026">
        <w:rPr>
          <w:rStyle w:val="FootnoteReference"/>
          <w:rFonts w:ascii="Mosawi" w:hAnsi="Mosawi" w:cs="Mosawi"/>
          <w:sz w:val="26"/>
          <w:szCs w:val="26"/>
          <w:vertAlign w:val="baseline"/>
          <w:rtl/>
        </w:rPr>
        <w:t>مسالك ال</w:t>
      </w:r>
      <w:r>
        <w:rPr>
          <w:rStyle w:val="FootnoteReference"/>
          <w:rFonts w:ascii="Mosawi" w:hAnsi="Mosawi" w:cs="Mosawi" w:hint="cs"/>
          <w:sz w:val="26"/>
          <w:szCs w:val="26"/>
          <w:vertAlign w:val="baseline"/>
          <w:rtl/>
        </w:rPr>
        <w:t>أ</w:t>
      </w:r>
      <w:r w:rsidRPr="003E5026">
        <w:rPr>
          <w:rStyle w:val="FootnoteReference"/>
          <w:rFonts w:ascii="Mosawi" w:hAnsi="Mosawi" w:cs="Mosawi"/>
          <w:sz w:val="26"/>
          <w:szCs w:val="26"/>
          <w:vertAlign w:val="baseline"/>
          <w:rtl/>
        </w:rPr>
        <w:t>فهام 7: 66</w:t>
      </w:r>
      <w:r w:rsidRPr="003E5026">
        <w:rPr>
          <w:rStyle w:val="FootnoteReference"/>
          <w:rFonts w:ascii="Mosawi" w:hAnsi="Mosawi" w:cs="Mosawi" w:hint="cs"/>
          <w:sz w:val="26"/>
          <w:szCs w:val="26"/>
          <w:vertAlign w:val="baseline"/>
          <w:rtl/>
        </w:rPr>
        <w:t>.</w:t>
      </w:r>
    </w:p>
  </w:footnote>
  <w:footnote w:id="732">
    <w:p w:rsidR="0071680A" w:rsidRPr="003E5026" w:rsidRDefault="0071680A" w:rsidP="007F75C5">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Pr>
          <w:rFonts w:ascii="Mosawi" w:hAnsi="Mosawi" w:cs="Mosawi" w:hint="cs"/>
          <w:sz w:val="26"/>
          <w:szCs w:val="26"/>
          <w:rtl/>
        </w:rPr>
        <w:t xml:space="preserve"> </w:t>
      </w:r>
      <w:r w:rsidRPr="003E5026">
        <w:rPr>
          <w:rStyle w:val="FootnoteReference"/>
          <w:rFonts w:ascii="Mosawi" w:hAnsi="Mosawi" w:cs="Mosawi"/>
          <w:sz w:val="26"/>
          <w:szCs w:val="26"/>
          <w:vertAlign w:val="baseline"/>
          <w:rtl/>
        </w:rPr>
        <w:t xml:space="preserve">راجع المشيخة في الوسائل </w:t>
      </w:r>
      <w:r>
        <w:rPr>
          <w:rStyle w:val="FootnoteReference"/>
          <w:rFonts w:ascii="Mosawi" w:hAnsi="Mosawi" w:cs="Mosawi" w:hint="cs"/>
          <w:sz w:val="26"/>
          <w:szCs w:val="26"/>
          <w:vertAlign w:val="baseline"/>
          <w:rtl/>
        </w:rPr>
        <w:t>3</w:t>
      </w:r>
      <w:r>
        <w:rPr>
          <w:rFonts w:ascii="Mosawi" w:hAnsi="Mosawi" w:cs="Mosawi" w:hint="cs"/>
          <w:sz w:val="26"/>
          <w:szCs w:val="26"/>
          <w:rtl/>
        </w:rPr>
        <w:t>0</w:t>
      </w:r>
      <w:r w:rsidRPr="003E5026">
        <w:rPr>
          <w:rStyle w:val="FootnoteReference"/>
          <w:rFonts w:ascii="Mosawi" w:hAnsi="Mosawi" w:cs="Mosawi"/>
          <w:sz w:val="26"/>
          <w:szCs w:val="26"/>
          <w:vertAlign w:val="baseline"/>
          <w:rtl/>
        </w:rPr>
        <w:t>: 129ـ144 وأيضاً معجم رجال الحديث للسيد الخوئي 9: 125</w:t>
      </w:r>
      <w:r>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رقم: 5922</w:t>
      </w:r>
      <w:r w:rsidRPr="003E5026">
        <w:rPr>
          <w:rStyle w:val="FootnoteReference"/>
          <w:rFonts w:ascii="Mosawi" w:hAnsi="Mosawi" w:cs="Mosawi" w:hint="cs"/>
          <w:sz w:val="26"/>
          <w:szCs w:val="26"/>
          <w:vertAlign w:val="baseline"/>
          <w:rtl/>
        </w:rPr>
        <w:t>.</w:t>
      </w:r>
    </w:p>
  </w:footnote>
  <w:footnote w:id="733">
    <w:p w:rsidR="0071680A" w:rsidRPr="003E5026" w:rsidRDefault="0071680A" w:rsidP="007F75C5">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Pr>
          <w:rFonts w:ascii="Mosawi" w:hAnsi="Mosawi" w:cs="Mosawi" w:hint="cs"/>
          <w:sz w:val="26"/>
          <w:szCs w:val="26"/>
          <w:rtl/>
        </w:rPr>
        <w:t xml:space="preserve"> </w:t>
      </w:r>
      <w:r w:rsidRPr="003E5026">
        <w:rPr>
          <w:rStyle w:val="FootnoteReference"/>
          <w:rFonts w:ascii="Mosawi" w:hAnsi="Mosawi" w:cs="Mosawi"/>
          <w:sz w:val="26"/>
          <w:szCs w:val="26"/>
          <w:vertAlign w:val="baseline"/>
          <w:rtl/>
        </w:rPr>
        <w:t>والأسانيد الثلاثة مذكورة في الوسائل ـ مصدر سابق.</w:t>
      </w:r>
    </w:p>
  </w:footnote>
  <w:footnote w:id="734">
    <w:p w:rsidR="0071680A" w:rsidRPr="003E5026" w:rsidRDefault="0071680A" w:rsidP="007F75C5">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Pr>
          <w:rFonts w:ascii="Mosawi" w:hAnsi="Mosawi" w:cs="Mosawi" w:hint="cs"/>
          <w:sz w:val="26"/>
          <w:szCs w:val="26"/>
          <w:rtl/>
        </w:rPr>
        <w:t xml:space="preserve"> </w:t>
      </w:r>
      <w:r w:rsidRPr="003E5026">
        <w:rPr>
          <w:rStyle w:val="FootnoteReference"/>
          <w:rFonts w:ascii="Mosawi" w:hAnsi="Mosawi" w:cs="Mosawi"/>
          <w:sz w:val="26"/>
          <w:szCs w:val="26"/>
          <w:vertAlign w:val="baseline"/>
          <w:rtl/>
        </w:rPr>
        <w:t>والسند هو عن أبيه عن عليّ بن إبراهيم بن هاشم عن أبيه عن صفوان كما ورد في الوسائل ـ</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 xml:space="preserve">الخاتمة  </w:t>
      </w:r>
      <w:r w:rsidRPr="003E5026">
        <w:rPr>
          <w:rStyle w:val="FootnoteReference"/>
          <w:rFonts w:ascii="Mosawi" w:hAnsi="Mosawi" w:cs="Mosawi" w:hint="cs"/>
          <w:sz w:val="26"/>
          <w:szCs w:val="26"/>
          <w:vertAlign w:val="baseline"/>
          <w:rtl/>
        </w:rPr>
        <w:t>30</w:t>
      </w:r>
      <w:r w:rsidRPr="003E5026">
        <w:rPr>
          <w:rStyle w:val="FootnoteReference"/>
          <w:rFonts w:ascii="Mosawi" w:hAnsi="Mosawi" w:cs="Mosawi"/>
          <w:sz w:val="26"/>
          <w:szCs w:val="26"/>
          <w:vertAlign w:val="baseline"/>
          <w:rtl/>
        </w:rPr>
        <w:t>: 61 رقم 156 مشيخة الصدوق.</w:t>
      </w:r>
    </w:p>
  </w:footnote>
  <w:footnote w:id="735">
    <w:p w:rsidR="0071680A" w:rsidRPr="003E5026" w:rsidRDefault="0071680A" w:rsidP="00D81C84">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Pr>
          <w:rFonts w:ascii="Mosawi" w:hAnsi="Mosawi" w:cs="Mosawi" w:hint="cs"/>
          <w:sz w:val="26"/>
          <w:szCs w:val="26"/>
          <w:rtl/>
        </w:rPr>
        <w:t xml:space="preserve"> </w:t>
      </w:r>
      <w:r w:rsidRPr="003E5026">
        <w:rPr>
          <w:rStyle w:val="FootnoteReference"/>
          <w:rFonts w:ascii="Mosawi" w:hAnsi="Mosawi" w:cs="Mosawi"/>
          <w:sz w:val="26"/>
          <w:szCs w:val="26"/>
          <w:vertAlign w:val="baseline"/>
          <w:rtl/>
        </w:rPr>
        <w:t>معجم رجال الحديث 11: 248 رقم 788.</w:t>
      </w:r>
    </w:p>
  </w:footnote>
  <w:footnote w:id="736">
    <w:p w:rsidR="0071680A" w:rsidRPr="003E5026" w:rsidRDefault="0071680A" w:rsidP="00D81C84">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Pr>
          <w:rFonts w:ascii="Mosawi" w:hAnsi="Mosawi" w:cs="Mosawi" w:hint="cs"/>
          <w:sz w:val="26"/>
          <w:szCs w:val="26"/>
          <w:rtl/>
        </w:rPr>
        <w:t xml:space="preserve"> </w:t>
      </w:r>
      <w:r w:rsidRPr="003E5026">
        <w:rPr>
          <w:rStyle w:val="FootnoteReference"/>
          <w:rFonts w:ascii="Mosawi" w:hAnsi="Mosawi" w:cs="Mosawi"/>
          <w:sz w:val="26"/>
          <w:szCs w:val="26"/>
          <w:vertAlign w:val="baseline"/>
          <w:rtl/>
        </w:rPr>
        <w:t>كتاب النّكاح للشّاخوري</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ـ مصدر سابق.</w:t>
      </w:r>
    </w:p>
  </w:footnote>
  <w:footnote w:id="737">
    <w:p w:rsidR="0071680A" w:rsidRPr="003E5026" w:rsidRDefault="0071680A" w:rsidP="00793715">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Pr>
          <w:rFonts w:ascii="Mosawi" w:hAnsi="Mosawi" w:cs="Mosawi" w:hint="cs"/>
          <w:sz w:val="26"/>
          <w:szCs w:val="26"/>
          <w:rtl/>
        </w:rPr>
        <w:t xml:space="preserve"> </w:t>
      </w:r>
      <w:r w:rsidRPr="003E5026">
        <w:rPr>
          <w:rStyle w:val="FootnoteReference"/>
          <w:rFonts w:ascii="Mosawi" w:hAnsi="Mosawi" w:cs="Mosawi"/>
          <w:sz w:val="26"/>
          <w:szCs w:val="26"/>
          <w:vertAlign w:val="baseline"/>
          <w:rtl/>
        </w:rPr>
        <w:t xml:space="preserve">الوسائل </w:t>
      </w:r>
      <w:r>
        <w:rPr>
          <w:rStyle w:val="FootnoteReference"/>
          <w:rFonts w:ascii="Mosawi" w:hAnsi="Mosawi" w:cs="Mosawi" w:hint="cs"/>
          <w:sz w:val="26"/>
          <w:szCs w:val="26"/>
          <w:vertAlign w:val="baseline"/>
          <w:rtl/>
        </w:rPr>
        <w:t>2</w:t>
      </w:r>
      <w:r>
        <w:rPr>
          <w:rFonts w:ascii="Mosawi" w:hAnsi="Mosawi" w:cs="Mosawi" w:hint="cs"/>
          <w:sz w:val="26"/>
          <w:szCs w:val="26"/>
          <w:rtl/>
        </w:rPr>
        <w:t>0</w:t>
      </w:r>
      <w:r w:rsidRPr="003E5026">
        <w:rPr>
          <w:rStyle w:val="FootnoteReference"/>
          <w:rFonts w:ascii="Mosawi" w:hAnsi="Mosawi" w:cs="Mosawi"/>
          <w:sz w:val="26"/>
          <w:szCs w:val="26"/>
          <w:vertAlign w:val="baseline"/>
          <w:rtl/>
        </w:rPr>
        <w:t>: 61</w:t>
      </w:r>
      <w:r>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كتاب النكاح ـ أبواب مقدّمات النكاح وآدابه ـ</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باب 23 ح2</w:t>
      </w:r>
      <w:r w:rsidRPr="003E5026">
        <w:rPr>
          <w:rStyle w:val="FootnoteReference"/>
          <w:rFonts w:ascii="Mosawi" w:hAnsi="Mosawi" w:cs="Mosawi" w:hint="cs"/>
          <w:sz w:val="26"/>
          <w:szCs w:val="26"/>
          <w:vertAlign w:val="baseline"/>
          <w:rtl/>
        </w:rPr>
        <w:t>.</w:t>
      </w:r>
    </w:p>
  </w:footnote>
  <w:footnote w:id="738">
    <w:p w:rsidR="0071680A" w:rsidRPr="003E5026" w:rsidRDefault="0071680A" w:rsidP="00BB6F3C">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Pr>
          <w:rFonts w:ascii="Mosawi" w:hAnsi="Mosawi" w:cs="Mosawi" w:hint="cs"/>
          <w:sz w:val="26"/>
          <w:szCs w:val="26"/>
          <w:rtl/>
        </w:rPr>
        <w:t xml:space="preserve"> </w:t>
      </w:r>
      <w:r w:rsidRPr="003E5026">
        <w:rPr>
          <w:rStyle w:val="FootnoteReference"/>
          <w:rFonts w:ascii="Mosawi" w:hAnsi="Mosawi" w:cs="Mosawi"/>
          <w:sz w:val="26"/>
          <w:szCs w:val="26"/>
          <w:vertAlign w:val="baseline"/>
          <w:rtl/>
        </w:rPr>
        <w:t>الوسائل</w:t>
      </w:r>
      <w:r>
        <w:rPr>
          <w:rFonts w:ascii="Mosawi" w:hAnsi="Mosawi" w:cs="Mosawi" w:hint="cs"/>
          <w:sz w:val="26"/>
          <w:szCs w:val="26"/>
          <w:rtl/>
        </w:rPr>
        <w:t>،</w:t>
      </w:r>
      <w:r w:rsidRPr="003E5026">
        <w:rPr>
          <w:rStyle w:val="FootnoteReference"/>
          <w:rFonts w:ascii="Mosawi" w:hAnsi="Mosawi" w:cs="Mosawi"/>
          <w:sz w:val="26"/>
          <w:szCs w:val="26"/>
          <w:vertAlign w:val="baseline"/>
          <w:rtl/>
        </w:rPr>
        <w:t xml:space="preserve"> مصدر سابق</w:t>
      </w:r>
      <w:r>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ح4</w:t>
      </w:r>
      <w:r w:rsidRPr="003E5026">
        <w:rPr>
          <w:rStyle w:val="FootnoteReference"/>
          <w:rFonts w:ascii="Mosawi" w:hAnsi="Mosawi" w:cs="Mosawi" w:hint="cs"/>
          <w:sz w:val="26"/>
          <w:szCs w:val="26"/>
          <w:vertAlign w:val="baseline"/>
          <w:rtl/>
        </w:rPr>
        <w:t>.</w:t>
      </w:r>
    </w:p>
  </w:footnote>
  <w:footnote w:id="739">
    <w:p w:rsidR="0071680A" w:rsidRPr="007B0783" w:rsidRDefault="0071680A" w:rsidP="00BE5CF5">
      <w:pPr>
        <w:pStyle w:val="FootnoteText"/>
        <w:rPr>
          <w:rFonts w:ascii="Mosawi" w:hAnsi="Mosawi"/>
          <w:sz w:val="26"/>
          <w:szCs w:val="26"/>
        </w:rPr>
      </w:pPr>
      <w:r w:rsidRPr="00793715">
        <w:rPr>
          <w:rStyle w:val="FootnoteReference"/>
          <w:rFonts w:ascii="Mosawi" w:hAnsi="Mosawi" w:cs="Mosawi"/>
          <w:sz w:val="26"/>
          <w:szCs w:val="26"/>
          <w:vertAlign w:val="baseline"/>
          <w:rtl/>
          <w:lang w:eastAsia="ar-SA"/>
        </w:rPr>
        <w:t>(</w:t>
      </w:r>
      <w:r w:rsidRPr="00793715">
        <w:rPr>
          <w:rStyle w:val="FootnoteReference"/>
          <w:rFonts w:ascii="Mosawi" w:hAnsi="Mosawi" w:cs="Mosawi"/>
          <w:sz w:val="26"/>
          <w:szCs w:val="26"/>
          <w:vertAlign w:val="baseline"/>
          <w:lang w:eastAsia="ar-SA"/>
        </w:rPr>
        <w:footnoteRef/>
      </w:r>
      <w:r w:rsidRPr="00793715">
        <w:rPr>
          <w:rStyle w:val="FootnoteReference"/>
          <w:rFonts w:ascii="Mosawi" w:hAnsi="Mosawi" w:cs="Mosawi"/>
          <w:sz w:val="26"/>
          <w:szCs w:val="26"/>
          <w:vertAlign w:val="baseline"/>
          <w:rtl/>
          <w:lang w:eastAsia="ar-SA"/>
        </w:rPr>
        <w:t xml:space="preserve">) </w:t>
      </w:r>
      <w:r>
        <w:rPr>
          <w:rStyle w:val="FootnoteReference"/>
          <w:rFonts w:ascii="Mosawi" w:hAnsi="Mosawi" w:cs="Mosawi" w:hint="cs"/>
          <w:sz w:val="26"/>
          <w:szCs w:val="26"/>
          <w:vertAlign w:val="baseline"/>
          <w:rtl/>
          <w:lang w:eastAsia="ar-SA"/>
        </w:rPr>
        <w:t>الوسائل، مصدر سابق، ح5.</w:t>
      </w:r>
    </w:p>
  </w:footnote>
  <w:footnote w:id="740">
    <w:p w:rsidR="0071680A" w:rsidRPr="003E5026" w:rsidRDefault="0071680A" w:rsidP="007F75C5">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Pr>
          <w:rFonts w:ascii="Mosawi" w:hAnsi="Mosawi" w:cs="Mosawi" w:hint="cs"/>
          <w:sz w:val="26"/>
          <w:szCs w:val="26"/>
          <w:rtl/>
        </w:rPr>
        <w:t xml:space="preserve"> </w:t>
      </w:r>
      <w:r w:rsidRPr="003E5026">
        <w:rPr>
          <w:rStyle w:val="FootnoteReference"/>
          <w:rFonts w:ascii="Mosawi" w:hAnsi="Mosawi" w:cs="Mosawi"/>
          <w:sz w:val="26"/>
          <w:szCs w:val="26"/>
          <w:vertAlign w:val="baseline"/>
          <w:rtl/>
        </w:rPr>
        <w:t>الوسائل</w:t>
      </w:r>
      <w:r>
        <w:rPr>
          <w:rFonts w:ascii="Mosawi" w:hAnsi="Mosawi" w:cs="Mosawi" w:hint="cs"/>
          <w:sz w:val="26"/>
          <w:szCs w:val="26"/>
          <w:rtl/>
        </w:rPr>
        <w:t>،</w:t>
      </w:r>
      <w:r w:rsidRPr="003E5026">
        <w:rPr>
          <w:rStyle w:val="FootnoteReference"/>
          <w:rFonts w:ascii="Mosawi" w:hAnsi="Mosawi" w:cs="Mosawi"/>
          <w:sz w:val="26"/>
          <w:szCs w:val="26"/>
          <w:vertAlign w:val="baseline"/>
          <w:rtl/>
        </w:rPr>
        <w:t xml:space="preserve"> مصدر سابق</w:t>
      </w:r>
      <w:r>
        <w:rPr>
          <w:rFonts w:ascii="Mosawi" w:hAnsi="Mosawi" w:cs="Mosawi" w:hint="cs"/>
          <w:sz w:val="26"/>
          <w:szCs w:val="26"/>
          <w:rtl/>
        </w:rPr>
        <w:t>،</w:t>
      </w:r>
      <w:r w:rsidRPr="003E5026">
        <w:rPr>
          <w:rStyle w:val="FootnoteReference"/>
          <w:rFonts w:ascii="Mosawi" w:hAnsi="Mosawi" w:cs="Mosawi"/>
          <w:sz w:val="26"/>
          <w:szCs w:val="26"/>
          <w:vertAlign w:val="baseline"/>
          <w:rtl/>
        </w:rPr>
        <w:t xml:space="preserve"> ح6</w:t>
      </w:r>
      <w:r w:rsidRPr="003E5026">
        <w:rPr>
          <w:rStyle w:val="FootnoteReference"/>
          <w:rFonts w:ascii="Mosawi" w:hAnsi="Mosawi" w:cs="Mosawi" w:hint="cs"/>
          <w:sz w:val="26"/>
          <w:szCs w:val="26"/>
          <w:vertAlign w:val="baseline"/>
          <w:rtl/>
        </w:rPr>
        <w:t>.</w:t>
      </w:r>
    </w:p>
  </w:footnote>
  <w:footnote w:id="741">
    <w:p w:rsidR="0071680A" w:rsidRPr="007B0783" w:rsidRDefault="0071680A" w:rsidP="00BB6F3C">
      <w:pPr>
        <w:pStyle w:val="FootnoteText"/>
        <w:rPr>
          <w:rFonts w:ascii="Mosawi" w:hAnsi="Mosawi"/>
          <w:sz w:val="26"/>
          <w:szCs w:val="26"/>
        </w:rPr>
      </w:pPr>
      <w:r w:rsidRPr="00793715">
        <w:rPr>
          <w:rStyle w:val="FootnoteReference"/>
          <w:rFonts w:ascii="Mosawi" w:hAnsi="Mosawi" w:cs="Mosawi"/>
          <w:sz w:val="26"/>
          <w:szCs w:val="26"/>
          <w:vertAlign w:val="baseline"/>
          <w:rtl/>
          <w:lang w:eastAsia="ar-SA"/>
        </w:rPr>
        <w:t>(</w:t>
      </w:r>
      <w:r w:rsidRPr="00793715">
        <w:rPr>
          <w:rStyle w:val="FootnoteReference"/>
          <w:rFonts w:ascii="Mosawi" w:hAnsi="Mosawi" w:cs="Mosawi"/>
          <w:sz w:val="26"/>
          <w:szCs w:val="26"/>
          <w:vertAlign w:val="baseline"/>
          <w:lang w:eastAsia="ar-SA"/>
        </w:rPr>
        <w:footnoteRef/>
      </w:r>
      <w:r w:rsidRPr="00793715">
        <w:rPr>
          <w:rStyle w:val="FootnoteReference"/>
          <w:rFonts w:ascii="Mosawi" w:hAnsi="Mosawi" w:cs="Mosawi"/>
          <w:sz w:val="26"/>
          <w:szCs w:val="26"/>
          <w:vertAlign w:val="baseline"/>
          <w:rtl/>
          <w:lang w:eastAsia="ar-SA"/>
        </w:rPr>
        <w:t xml:space="preserve">) </w:t>
      </w:r>
      <w:r>
        <w:rPr>
          <w:rFonts w:ascii="Mosawi" w:hAnsi="Mosawi" w:cs="Mosawi" w:hint="cs"/>
          <w:sz w:val="26"/>
          <w:szCs w:val="26"/>
          <w:rtl/>
          <w:lang w:eastAsia="ar-SA"/>
        </w:rPr>
        <w:t>الوسائل، مصدر سابق، باب 24، ح1.</w:t>
      </w:r>
    </w:p>
  </w:footnote>
  <w:footnote w:id="742">
    <w:p w:rsidR="0071680A" w:rsidRPr="003E5026" w:rsidRDefault="0071680A" w:rsidP="007F75C5">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Pr>
          <w:rFonts w:ascii="Mosawi" w:hAnsi="Mosawi" w:cs="Mosawi" w:hint="cs"/>
          <w:sz w:val="26"/>
          <w:szCs w:val="26"/>
          <w:rtl/>
        </w:rPr>
        <w:t xml:space="preserve"> </w:t>
      </w:r>
      <w:r w:rsidRPr="003E5026">
        <w:rPr>
          <w:rStyle w:val="FootnoteReference"/>
          <w:rFonts w:ascii="Mosawi" w:hAnsi="Mosawi" w:cs="Mosawi"/>
          <w:sz w:val="26"/>
          <w:szCs w:val="26"/>
          <w:vertAlign w:val="baseline"/>
          <w:rtl/>
        </w:rPr>
        <w:t>الوسائل</w:t>
      </w:r>
      <w:r>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مصدر سابق</w:t>
      </w:r>
      <w:r>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باب 24</w:t>
      </w:r>
      <w:r>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ح5</w:t>
      </w:r>
      <w:r w:rsidRPr="003E5026">
        <w:rPr>
          <w:rStyle w:val="FootnoteReference"/>
          <w:rFonts w:ascii="Mosawi" w:hAnsi="Mosawi" w:cs="Mosawi" w:hint="cs"/>
          <w:sz w:val="26"/>
          <w:szCs w:val="26"/>
          <w:vertAlign w:val="baseline"/>
          <w:rtl/>
        </w:rPr>
        <w:t>.</w:t>
      </w:r>
    </w:p>
  </w:footnote>
  <w:footnote w:id="743">
    <w:p w:rsidR="0071680A" w:rsidRPr="007B0783" w:rsidRDefault="0071680A" w:rsidP="00BB6F3C">
      <w:pPr>
        <w:pStyle w:val="FootnoteText"/>
        <w:rPr>
          <w:rFonts w:ascii="Mosawi" w:hAnsi="Mosawi"/>
          <w:sz w:val="26"/>
          <w:szCs w:val="26"/>
        </w:rPr>
      </w:pPr>
      <w:r w:rsidRPr="00793715">
        <w:rPr>
          <w:rStyle w:val="FootnoteReference"/>
          <w:rFonts w:ascii="Mosawi" w:hAnsi="Mosawi" w:cs="Mosawi"/>
          <w:sz w:val="26"/>
          <w:szCs w:val="26"/>
          <w:vertAlign w:val="baseline"/>
          <w:rtl/>
          <w:lang w:eastAsia="ar-SA"/>
        </w:rPr>
        <w:t>(</w:t>
      </w:r>
      <w:r w:rsidRPr="00793715">
        <w:rPr>
          <w:rStyle w:val="FootnoteReference"/>
          <w:rFonts w:ascii="Mosawi" w:hAnsi="Mosawi" w:cs="Mosawi"/>
          <w:sz w:val="26"/>
          <w:szCs w:val="26"/>
          <w:vertAlign w:val="baseline"/>
          <w:lang w:eastAsia="ar-SA"/>
        </w:rPr>
        <w:footnoteRef/>
      </w:r>
      <w:r w:rsidRPr="00793715">
        <w:rPr>
          <w:rStyle w:val="FootnoteReference"/>
          <w:rFonts w:ascii="Mosawi" w:hAnsi="Mosawi" w:cs="Mosawi"/>
          <w:sz w:val="26"/>
          <w:szCs w:val="26"/>
          <w:vertAlign w:val="baseline"/>
          <w:rtl/>
          <w:lang w:eastAsia="ar-SA"/>
        </w:rPr>
        <w:t xml:space="preserve">) </w:t>
      </w:r>
      <w:r>
        <w:rPr>
          <w:rFonts w:ascii="Mosawi" w:hAnsi="Mosawi" w:cs="Mosawi" w:hint="cs"/>
          <w:sz w:val="26"/>
          <w:szCs w:val="26"/>
          <w:rtl/>
          <w:lang w:eastAsia="ar-SA"/>
        </w:rPr>
        <w:t>الوسائل، مصدر سابق، ب23، ح7.</w:t>
      </w:r>
    </w:p>
  </w:footnote>
  <w:footnote w:id="744">
    <w:p w:rsidR="0071680A" w:rsidRPr="003E5026" w:rsidRDefault="0071680A" w:rsidP="007F75C5">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Pr>
          <w:rFonts w:ascii="Mosawi" w:hAnsi="Mosawi" w:cs="Mosawi" w:hint="cs"/>
          <w:sz w:val="26"/>
          <w:szCs w:val="26"/>
          <w:rtl/>
        </w:rPr>
        <w:t xml:space="preserve"> </w:t>
      </w:r>
      <w:r w:rsidRPr="003E5026">
        <w:rPr>
          <w:rStyle w:val="FootnoteReference"/>
          <w:rFonts w:ascii="Mosawi" w:hAnsi="Mosawi" w:cs="Mosawi"/>
          <w:sz w:val="26"/>
          <w:szCs w:val="26"/>
          <w:vertAlign w:val="baseline"/>
          <w:rtl/>
        </w:rPr>
        <w:t>الوسائل</w:t>
      </w:r>
      <w:r>
        <w:rPr>
          <w:rFonts w:ascii="Mosawi" w:hAnsi="Mosawi" w:cs="Mosawi" w:hint="cs"/>
          <w:sz w:val="26"/>
          <w:szCs w:val="26"/>
          <w:rtl/>
        </w:rPr>
        <w:t>،</w:t>
      </w:r>
      <w:r w:rsidRPr="003E5026">
        <w:rPr>
          <w:rStyle w:val="FootnoteReference"/>
          <w:rFonts w:ascii="Mosawi" w:hAnsi="Mosawi" w:cs="Mosawi"/>
          <w:sz w:val="26"/>
          <w:szCs w:val="26"/>
          <w:vertAlign w:val="baseline"/>
          <w:rtl/>
        </w:rPr>
        <w:t xml:space="preserve"> مصدر سابق</w:t>
      </w:r>
      <w:r>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باب 23</w:t>
      </w:r>
      <w:r>
        <w:rPr>
          <w:rFonts w:ascii="Mosawi" w:hAnsi="Mosawi" w:cs="Mosawi" w:hint="cs"/>
          <w:sz w:val="26"/>
          <w:szCs w:val="26"/>
          <w:rtl/>
        </w:rPr>
        <w:t>، ح11</w:t>
      </w:r>
      <w:r>
        <w:rPr>
          <w:rStyle w:val="FootnoteReference"/>
          <w:rFonts w:ascii="Mosawi" w:hAnsi="Mosawi" w:cs="Mosawi" w:hint="cs"/>
          <w:sz w:val="26"/>
          <w:szCs w:val="26"/>
          <w:vertAlign w:val="baseline"/>
          <w:rtl/>
        </w:rPr>
        <w:t>.</w:t>
      </w:r>
    </w:p>
  </w:footnote>
  <w:footnote w:id="745">
    <w:p w:rsidR="0071680A" w:rsidRPr="003E5026" w:rsidRDefault="0071680A" w:rsidP="00BB6F3C">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w:t>
      </w:r>
      <w:r>
        <w:rPr>
          <w:rFonts w:ascii="Mosawi" w:hAnsi="Mosawi" w:cs="Mosawi" w:hint="cs"/>
          <w:sz w:val="26"/>
          <w:szCs w:val="26"/>
          <w:rtl/>
        </w:rPr>
        <w:t>فضل الله، كتاب النكاح: 34.</w:t>
      </w:r>
    </w:p>
  </w:footnote>
  <w:footnote w:id="746">
    <w:p w:rsidR="0071680A" w:rsidRPr="003E5026" w:rsidRDefault="0071680A" w:rsidP="00BB6F3C">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w:t>
      </w:r>
      <w:r>
        <w:rPr>
          <w:rStyle w:val="FootnoteReference"/>
          <w:rFonts w:ascii="Mosawi" w:hAnsi="Mosawi" w:cs="Mosawi" w:hint="cs"/>
          <w:sz w:val="26"/>
          <w:szCs w:val="26"/>
          <w:vertAlign w:val="baseline"/>
          <w:rtl/>
        </w:rPr>
        <w:t>ا</w:t>
      </w:r>
      <w:r>
        <w:rPr>
          <w:rFonts w:ascii="Mosawi" w:hAnsi="Mosawi" w:cs="Mosawi" w:hint="cs"/>
          <w:sz w:val="26"/>
          <w:szCs w:val="26"/>
          <w:rtl/>
        </w:rPr>
        <w:t>لمصدر نفسه.</w:t>
      </w:r>
    </w:p>
  </w:footnote>
  <w:footnote w:id="747">
    <w:p w:rsidR="0071680A" w:rsidRPr="003E5026" w:rsidRDefault="0071680A" w:rsidP="00A8482F">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Pr>
          <w:rFonts w:ascii="Mosawi" w:hAnsi="Mosawi" w:cs="Mosawi" w:hint="cs"/>
          <w:sz w:val="26"/>
          <w:szCs w:val="26"/>
          <w:rtl/>
        </w:rPr>
        <w:t xml:space="preserve"> </w:t>
      </w:r>
      <w:r w:rsidRPr="003E5026">
        <w:rPr>
          <w:rStyle w:val="FootnoteReference"/>
          <w:rFonts w:ascii="Mosawi" w:hAnsi="Mosawi" w:cs="Mosawi"/>
          <w:sz w:val="26"/>
          <w:szCs w:val="26"/>
          <w:vertAlign w:val="baseline"/>
          <w:rtl/>
        </w:rPr>
        <w:t>النّساء: 129</w:t>
      </w:r>
      <w:r w:rsidRPr="003E5026">
        <w:rPr>
          <w:rStyle w:val="FootnoteReference"/>
          <w:rFonts w:ascii="Mosawi" w:hAnsi="Mosawi" w:cs="Mosawi" w:hint="cs"/>
          <w:sz w:val="26"/>
          <w:szCs w:val="26"/>
          <w:vertAlign w:val="baseline"/>
          <w:rtl/>
        </w:rPr>
        <w:t>.</w:t>
      </w:r>
    </w:p>
  </w:footnote>
  <w:footnote w:id="748">
    <w:p w:rsidR="0071680A" w:rsidRPr="003E5026" w:rsidRDefault="0071680A" w:rsidP="007F75C5">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Pr>
          <w:rFonts w:ascii="Mosawi" w:hAnsi="Mosawi" w:cs="Mosawi" w:hint="cs"/>
          <w:sz w:val="26"/>
          <w:szCs w:val="26"/>
          <w:rtl/>
        </w:rPr>
        <w:t xml:space="preserve"> فضل الله، </w:t>
      </w:r>
      <w:r w:rsidRPr="003E5026">
        <w:rPr>
          <w:rStyle w:val="FootnoteReference"/>
          <w:rFonts w:ascii="Mosawi" w:hAnsi="Mosawi" w:cs="Mosawi"/>
          <w:sz w:val="26"/>
          <w:szCs w:val="26"/>
          <w:vertAlign w:val="baseline"/>
          <w:rtl/>
        </w:rPr>
        <w:t>كتاب النّكاح: 168 هذا وذكر في بعض التفاسير أن المراد بالميل كلّ الميل هو إظهار تفاوت الميل القلبي في الفعل والقول كما ذكره الرّازي في تفسيره 11: 68</w:t>
      </w:r>
      <w:r>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والنووي في تفسيره أيضاً 1: 177</w:t>
      </w:r>
      <w:r w:rsidRPr="003E5026">
        <w:rPr>
          <w:rStyle w:val="FootnoteReference"/>
          <w:rFonts w:ascii="Mosawi" w:hAnsi="Mosawi" w:cs="Mosawi" w:hint="cs"/>
          <w:sz w:val="26"/>
          <w:szCs w:val="26"/>
          <w:vertAlign w:val="baseline"/>
          <w:rtl/>
        </w:rPr>
        <w:t>.</w:t>
      </w:r>
    </w:p>
  </w:footnote>
  <w:footnote w:id="749">
    <w:p w:rsidR="0071680A" w:rsidRPr="003E5026" w:rsidRDefault="0071680A" w:rsidP="00A8482F">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Pr>
          <w:rFonts w:ascii="Mosawi" w:hAnsi="Mosawi" w:cs="Mosawi" w:hint="cs"/>
          <w:sz w:val="26"/>
          <w:szCs w:val="26"/>
          <w:rtl/>
        </w:rPr>
        <w:t xml:space="preserve"> </w:t>
      </w:r>
      <w:r w:rsidRPr="003E5026">
        <w:rPr>
          <w:rStyle w:val="FootnoteReference"/>
          <w:rFonts w:ascii="Mosawi" w:hAnsi="Mosawi" w:cs="Mosawi"/>
          <w:sz w:val="26"/>
          <w:szCs w:val="26"/>
          <w:vertAlign w:val="baseline"/>
          <w:rtl/>
        </w:rPr>
        <w:t>النّساء: 19</w:t>
      </w:r>
      <w:r>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واستدل بها </w:t>
      </w:r>
      <w:r>
        <w:rPr>
          <w:rStyle w:val="FootnoteReference"/>
          <w:rFonts w:ascii="Mosawi" w:hAnsi="Mosawi" w:cs="Mosawi" w:hint="cs"/>
          <w:sz w:val="26"/>
          <w:szCs w:val="26"/>
          <w:vertAlign w:val="baseline"/>
          <w:rtl/>
        </w:rPr>
        <w:t xml:space="preserve">السيد فضل الله </w:t>
      </w:r>
      <w:r w:rsidRPr="003E5026">
        <w:rPr>
          <w:rStyle w:val="FootnoteReference"/>
          <w:rFonts w:ascii="Mosawi" w:hAnsi="Mosawi" w:cs="Mosawi"/>
          <w:sz w:val="26"/>
          <w:szCs w:val="26"/>
          <w:vertAlign w:val="baseline"/>
          <w:rtl/>
        </w:rPr>
        <w:t>في كتاب النكاح</w:t>
      </w:r>
      <w:r>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مصدر سابق</w:t>
      </w:r>
      <w:r>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هذا وفي تفسير  الكشّاف 2: 45</w:t>
      </w:r>
      <w:r>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والنووي 1: 144 أن معنى الآية الشّريفة هو النّصفة في المبيت والنفقة والإجمال في القول، وفي تفسير البغوي 1: 49 أنّه </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الإجمال في القول والمبيت والنّفقة، وقيل: أن يصنع لها ما تصنع له</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p>
  </w:footnote>
  <w:footnote w:id="750">
    <w:p w:rsidR="0071680A" w:rsidRPr="003E5026" w:rsidRDefault="0071680A" w:rsidP="007475B3">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Pr>
          <w:rFonts w:ascii="Mosawi" w:hAnsi="Mosawi" w:cs="Mosawi" w:hint="cs"/>
          <w:sz w:val="26"/>
          <w:szCs w:val="26"/>
          <w:rtl/>
        </w:rPr>
        <w:t xml:space="preserve"> </w:t>
      </w:r>
      <w:r w:rsidRPr="003E5026">
        <w:rPr>
          <w:rStyle w:val="FootnoteReference"/>
          <w:rFonts w:ascii="Mosawi" w:hAnsi="Mosawi" w:cs="Mosawi"/>
          <w:sz w:val="26"/>
          <w:szCs w:val="26"/>
          <w:vertAlign w:val="baseline"/>
          <w:rtl/>
        </w:rPr>
        <w:t>البقرة: 228</w:t>
      </w:r>
      <w:r>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واستدل بها </w:t>
      </w:r>
      <w:r>
        <w:rPr>
          <w:rStyle w:val="FootnoteReference"/>
          <w:rFonts w:ascii="Mosawi" w:hAnsi="Mosawi" w:cs="Mosawi" w:hint="cs"/>
          <w:sz w:val="26"/>
          <w:szCs w:val="26"/>
          <w:vertAlign w:val="baseline"/>
          <w:rtl/>
        </w:rPr>
        <w:t xml:space="preserve">السيد فضل الله </w:t>
      </w:r>
      <w:r w:rsidRPr="003E5026">
        <w:rPr>
          <w:rStyle w:val="FootnoteReference"/>
          <w:rFonts w:ascii="Mosawi" w:hAnsi="Mosawi" w:cs="Mosawi"/>
          <w:sz w:val="26"/>
          <w:szCs w:val="26"/>
          <w:vertAlign w:val="baseline"/>
          <w:rtl/>
        </w:rPr>
        <w:t>في كتاب النكاح، مصدر سابق.</w:t>
      </w:r>
    </w:p>
  </w:footnote>
  <w:footnote w:id="751">
    <w:p w:rsidR="0071680A" w:rsidRPr="003E5026" w:rsidRDefault="0071680A" w:rsidP="007475B3">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Pr>
          <w:rFonts w:ascii="Mosawi" w:hAnsi="Mosawi" w:cs="Mosawi" w:hint="cs"/>
          <w:sz w:val="26"/>
          <w:szCs w:val="26"/>
          <w:rtl/>
        </w:rPr>
        <w:t xml:space="preserve"> </w:t>
      </w:r>
      <w:r w:rsidRPr="003E5026">
        <w:rPr>
          <w:rStyle w:val="FootnoteReference"/>
          <w:rFonts w:ascii="Mosawi" w:hAnsi="Mosawi" w:cs="Mosawi"/>
          <w:sz w:val="26"/>
          <w:szCs w:val="26"/>
          <w:vertAlign w:val="baseline"/>
          <w:rtl/>
        </w:rPr>
        <w:t>النّساء:</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34</w:t>
      </w:r>
      <w:r w:rsidRPr="003E5026">
        <w:rPr>
          <w:rStyle w:val="FootnoteReference"/>
          <w:rFonts w:ascii="Mosawi" w:hAnsi="Mosawi" w:cs="Mosawi" w:hint="cs"/>
          <w:sz w:val="26"/>
          <w:szCs w:val="26"/>
          <w:vertAlign w:val="baseline"/>
          <w:rtl/>
        </w:rPr>
        <w:t>.</w:t>
      </w:r>
    </w:p>
  </w:footnote>
  <w:footnote w:id="752">
    <w:p w:rsidR="0071680A" w:rsidRPr="003E5026" w:rsidRDefault="0071680A" w:rsidP="00E32EF1">
      <w:pPr>
        <w:pStyle w:val="11"/>
        <w:widowControl w:val="0"/>
        <w:spacing w:line="206"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w:t>
      </w:r>
      <w:r>
        <w:rPr>
          <w:rFonts w:ascii="Mosawi" w:hAnsi="Mosawi" w:cs="Mosawi" w:hint="cs"/>
          <w:sz w:val="26"/>
          <w:szCs w:val="26"/>
          <w:rtl/>
        </w:rPr>
        <w:t>الطلاق: 1.</w:t>
      </w:r>
    </w:p>
  </w:footnote>
  <w:footnote w:id="753">
    <w:p w:rsidR="0071680A" w:rsidRPr="003E5026" w:rsidRDefault="0071680A" w:rsidP="007F75C5">
      <w:pPr>
        <w:pStyle w:val="11"/>
        <w:widowControl w:val="0"/>
        <w:spacing w:line="206"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Pr>
          <w:rFonts w:ascii="Mosawi" w:hAnsi="Mosawi" w:cs="Mosawi" w:hint="cs"/>
          <w:sz w:val="26"/>
          <w:szCs w:val="26"/>
          <w:rtl/>
        </w:rPr>
        <w:t xml:space="preserve"> </w:t>
      </w:r>
      <w:r w:rsidRPr="003E5026">
        <w:rPr>
          <w:rStyle w:val="FootnoteReference"/>
          <w:rFonts w:ascii="Mosawi" w:hAnsi="Mosawi" w:cs="Mosawi"/>
          <w:sz w:val="26"/>
          <w:szCs w:val="26"/>
          <w:vertAlign w:val="baseline"/>
          <w:rtl/>
        </w:rPr>
        <w:t xml:space="preserve">يراجع </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زبدة البيان في براهين أحكام القرآن</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للأردبيلي: 747</w:t>
      </w:r>
      <w:r>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ومجمع البيان للطّبرسي 1: 575</w:t>
      </w:r>
      <w:r>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وكنز العرفان للمقداد السيوري 2: 258</w:t>
      </w:r>
      <w:r>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والتفسير الكبير للفخر الرازي 6: 94</w:t>
      </w:r>
      <w:r>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وتفسير القرطبي 3: 82</w:t>
      </w:r>
      <w:r>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وتفسير البغوي 1: 25</w:t>
      </w:r>
      <w:r>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وتفسير الماوردي </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النكت والعيون</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1: 292</w:t>
      </w:r>
      <w:r>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ط دار الكتب العلميّة</w:t>
      </w:r>
      <w:r>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وتفسير إبن الجوزي 1: 261</w:t>
      </w:r>
      <w:r>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والتفسير المنير للدكتور وهبة الزّحيلي 2: 321</w:t>
      </w:r>
      <w:r>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وتفسير </w:t>
      </w:r>
      <w:r>
        <w:rPr>
          <w:rStyle w:val="FootnoteReference"/>
          <w:rFonts w:ascii="Mosawi" w:hAnsi="Mosawi" w:cs="Mosawi" w:hint="cs"/>
          <w:sz w:val="26"/>
          <w:szCs w:val="26"/>
          <w:vertAlign w:val="baseline"/>
          <w:rtl/>
        </w:rPr>
        <w:t>ا</w:t>
      </w:r>
      <w:r w:rsidRPr="003E5026">
        <w:rPr>
          <w:rStyle w:val="FootnoteReference"/>
          <w:rFonts w:ascii="Mosawi" w:hAnsi="Mosawi" w:cs="Mosawi"/>
          <w:sz w:val="26"/>
          <w:szCs w:val="26"/>
          <w:vertAlign w:val="baseline"/>
          <w:rtl/>
        </w:rPr>
        <w:t>بن كثير 1: 271</w:t>
      </w:r>
      <w:r>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والدر المنثور للسيوطي 1: 661</w:t>
      </w:r>
      <w:r>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وتفسير النّسفي 1: 114ـ115</w:t>
      </w:r>
      <w:r>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والكشّاف للزّمخشري 1: 442</w:t>
      </w:r>
      <w:r>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ط العبيكان، الرّياض 1998م</w:t>
      </w:r>
      <w:r>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والتبيان للطّوسي 2: 241</w:t>
      </w:r>
      <w:r>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ومواهب الرحمان للسّبزواري 4: 18ـ</w:t>
      </w:r>
      <w:r>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19</w:t>
      </w:r>
      <w:r>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والكاشف للشيخ محمد جواد مغنيّة 1: 343</w:t>
      </w:r>
      <w:r>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والوجيز ل</w:t>
      </w:r>
      <w:r>
        <w:rPr>
          <w:rStyle w:val="FootnoteReference"/>
          <w:rFonts w:ascii="Mosawi" w:hAnsi="Mosawi" w:cs="Mosawi" w:hint="cs"/>
          <w:sz w:val="26"/>
          <w:szCs w:val="26"/>
          <w:vertAlign w:val="baseline"/>
          <w:rtl/>
        </w:rPr>
        <w:t>ا</w:t>
      </w:r>
      <w:r w:rsidRPr="003E5026">
        <w:rPr>
          <w:rStyle w:val="FootnoteReference"/>
          <w:rFonts w:ascii="Mosawi" w:hAnsi="Mosawi" w:cs="Mosawi"/>
          <w:sz w:val="26"/>
          <w:szCs w:val="26"/>
          <w:vertAlign w:val="baseline"/>
          <w:rtl/>
        </w:rPr>
        <w:t>بن أبي جامع العاملي 1: 187</w:t>
      </w:r>
      <w:r>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والأمثل 2: 98</w:t>
      </w:r>
      <w:r>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وتفسير المنار 2: 375</w:t>
      </w:r>
      <w:r>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وكنز الدقائق للمشهدي 2: 344.</w:t>
      </w:r>
    </w:p>
  </w:footnote>
  <w:footnote w:id="754">
    <w:p w:rsidR="0071680A" w:rsidRPr="003E5026" w:rsidRDefault="0071680A" w:rsidP="007475B3">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w:t>
      </w:r>
      <w:r>
        <w:rPr>
          <w:rFonts w:ascii="Mosawi" w:hAnsi="Mosawi" w:cs="Mosawi" w:hint="cs"/>
          <w:sz w:val="26"/>
          <w:szCs w:val="26"/>
          <w:rtl/>
        </w:rPr>
        <w:t>الطباطبائي، الميزان في تفسير القرآن 2: 232.</w:t>
      </w:r>
    </w:p>
  </w:footnote>
  <w:footnote w:id="75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الأستاذ المساعد في لجنة الحقوق التخصّصية في كلية الحقوق التابعة لجامعة طهران في مدينة قم.</w:t>
      </w:r>
    </w:p>
  </w:footnote>
  <w:footnote w:id="75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t xml:space="preserve"> </w:t>
      </w:r>
      <w:r w:rsidRPr="003E5026">
        <w:rPr>
          <w:rStyle w:val="FootnoteReference"/>
          <w:rFonts w:ascii="Mosawi" w:hAnsi="Mosawi" w:cs="Mosawi" w:hint="cs"/>
          <w:sz w:val="26"/>
          <w:szCs w:val="26"/>
          <w:vertAlign w:val="baseline"/>
          <w:rtl/>
        </w:rPr>
        <w:t>الشيخ مرتضى الأنصاريّ، كتاب النكاح: 265؛ والميرزا القمّيّ، جامع الشتات 3: 327.</w:t>
      </w:r>
    </w:p>
  </w:footnote>
  <w:footnote w:id="75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السيّد علي الطباطبائي، رياض المسائل 10:  431؛ الشهيد الثاني، شرح اللمعة 2: 122.</w:t>
      </w:r>
    </w:p>
  </w:footnote>
  <w:footnote w:id="75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المصدر نفسه؛ السيد علي الطباطبائي، المصدر السابق 10: 460.</w:t>
      </w:r>
    </w:p>
  </w:footnote>
  <w:footnote w:id="75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ابن قدامة، المغني 10: 107.</w:t>
      </w:r>
    </w:p>
  </w:footnote>
  <w:footnote w:id="76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العلاّمة الحلّيّ، قواعد الأحكام 3: 73.</w:t>
      </w:r>
    </w:p>
  </w:footnote>
  <w:footnote w:id="761">
    <w:p w:rsidR="0071680A" w:rsidRPr="003E5026" w:rsidRDefault="0071680A" w:rsidP="00E32EF1">
      <w:pPr>
        <w:pStyle w:val="11"/>
        <w:widowControl w:val="0"/>
        <w:spacing w:line="20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الشيخ مرتضى الأنصاريّ، كتاب النكاح: 265؛ السيّد علي الطباطبائي، رياض المسائل10: 418؛ الشهيد الثاني، شرح اللمعة 2: 116؛ الشيخ يوسف الفقيه، الأحوال الشخصية في فقه أهل البيت: 284؛ بدران أبو العينين، الفقه المقارن للأحوال الشخصية: 183؛ محمّد محيي الدين عبد الحميد، الأحوال الشخصية في الشريعة الإسلامية: 128.</w:t>
      </w:r>
    </w:p>
  </w:footnote>
  <w:footnote w:id="762">
    <w:p w:rsidR="0071680A" w:rsidRPr="003E5026" w:rsidRDefault="0071680A" w:rsidP="00E32EF1">
      <w:pPr>
        <w:pStyle w:val="11"/>
        <w:widowControl w:val="0"/>
        <w:spacing w:line="20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الشيخ مرتضى الأنصاريّ، المكاسب 2: 144؛ الإمام الخمينيّ، كتاب البيع 3: 243؛ الميرزا محمّد حسين النائيني، منية الطالب 2: 359.</w:t>
      </w:r>
    </w:p>
  </w:footnote>
  <w:footnote w:id="76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الشيخ مرتضى الأنصاريّ، كتاب النكاح: 262 ـ 263.</w:t>
      </w:r>
    </w:p>
  </w:footnote>
  <w:footnote w:id="76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الدكتور سيد حسن إمامي، حقوق مدني 4: 359 و451.</w:t>
      </w:r>
    </w:p>
  </w:footnote>
  <w:footnote w:id="76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محمود إمامي نميني، ماهيت مهر ونقد مهريه هاى سنگين: 22.</w:t>
      </w:r>
    </w:p>
  </w:footnote>
  <w:footnote w:id="76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السيّد محمّد كاظم اليزديّ، سؤال وجواب: 320؛ المولى أحمد الأردبيلي، مجمع الفائدة والبرهان 10: 47.</w:t>
      </w:r>
    </w:p>
  </w:footnote>
  <w:footnote w:id="76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محمود إمامي نميني، المصدر السابق: 37.</w:t>
      </w:r>
    </w:p>
  </w:footnote>
  <w:footnote w:id="76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الدكتور حسين صفائي، وأسد الله إمامي، مختصر حقوق خانواده: 166.</w:t>
      </w:r>
    </w:p>
  </w:footnote>
  <w:footnote w:id="76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راجع: الشيخ الحرّ العامليّ، وسائل الشيعة 7: 266 ـ 267.</w:t>
      </w:r>
    </w:p>
  </w:footnote>
  <w:footnote w:id="77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العلاّمة الطباطبائي، الميزان في تفسير القرآن 4: 269؛ الشيخ الطوسي، البيان في تفسير القرآن 4: 109.</w:t>
      </w:r>
    </w:p>
  </w:footnote>
  <w:footnote w:id="77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السيّد مصطفى محقّق داماد، حقوق خانواده: 227 ـ 229؛ بدران أبو العينين، الفقه المقارن للأحوال الشخصية: 182.</w:t>
      </w:r>
    </w:p>
  </w:footnote>
  <w:footnote w:id="77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محم</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د حسين آل كاشف</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 xml:space="preserve">‌‌الغطاء، </w:t>
      </w:r>
      <w:r w:rsidRPr="003E5026">
        <w:rPr>
          <w:rStyle w:val="FootnoteReference"/>
          <w:rFonts w:ascii="Mosawi" w:hAnsi="Mosawi" w:cs="Mosawi" w:hint="cs"/>
          <w:sz w:val="26"/>
          <w:szCs w:val="26"/>
          <w:vertAlign w:val="baseline"/>
          <w:rtl/>
        </w:rPr>
        <w:t xml:space="preserve">تحرير المجلة </w:t>
      </w:r>
      <w:r w:rsidRPr="003E5026">
        <w:rPr>
          <w:rStyle w:val="FootnoteReference"/>
          <w:rFonts w:ascii="Mosawi" w:hAnsi="Mosawi" w:cs="Mosawi"/>
          <w:sz w:val="26"/>
          <w:szCs w:val="26"/>
          <w:vertAlign w:val="baseline"/>
          <w:rtl/>
        </w:rPr>
        <w:t>5</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56</w:t>
      </w:r>
      <w:r w:rsidRPr="003E5026">
        <w:rPr>
          <w:rStyle w:val="FootnoteReference"/>
          <w:rFonts w:ascii="Mosawi" w:hAnsi="Mosawi" w:cs="Mosawi" w:hint="cs"/>
          <w:sz w:val="26"/>
          <w:szCs w:val="26"/>
          <w:vertAlign w:val="baseline"/>
          <w:rtl/>
        </w:rPr>
        <w:t>.</w:t>
      </w:r>
    </w:p>
  </w:footnote>
  <w:footnote w:id="77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w:t>
      </w:r>
      <w:r w:rsidRPr="003E5026">
        <w:rPr>
          <w:rStyle w:val="FootnoteReference"/>
          <w:rFonts w:ascii="Mosawi" w:hAnsi="Mosawi" w:cs="Mosawi"/>
          <w:sz w:val="26"/>
          <w:szCs w:val="26"/>
          <w:vertAlign w:val="baseline"/>
          <w:rtl/>
        </w:rPr>
        <w:t>علا</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مه </w:t>
      </w:r>
      <w:r w:rsidRPr="003E5026">
        <w:rPr>
          <w:rStyle w:val="FootnoteReference"/>
          <w:rFonts w:ascii="Mosawi" w:hAnsi="Mosawi" w:cs="Mosawi" w:hint="cs"/>
          <w:sz w:val="26"/>
          <w:szCs w:val="26"/>
          <w:vertAlign w:val="baseline"/>
          <w:rtl/>
        </w:rPr>
        <w:t>ال</w:t>
      </w:r>
      <w:r w:rsidRPr="003E5026">
        <w:rPr>
          <w:rStyle w:val="FootnoteReference"/>
          <w:rFonts w:ascii="Mosawi" w:hAnsi="Mosawi" w:cs="Mosawi"/>
          <w:sz w:val="26"/>
          <w:szCs w:val="26"/>
          <w:vertAlign w:val="baseline"/>
          <w:rtl/>
        </w:rPr>
        <w:t>حل</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ي</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 xml:space="preserve">قواعد الأحكام </w:t>
      </w:r>
      <w:r w:rsidRPr="003E5026">
        <w:rPr>
          <w:rStyle w:val="FootnoteReference"/>
          <w:rFonts w:ascii="Mosawi" w:hAnsi="Mosawi" w:cs="Mosawi"/>
          <w:sz w:val="26"/>
          <w:szCs w:val="26"/>
          <w:vertAlign w:val="baseline"/>
          <w:rtl/>
        </w:rPr>
        <w:t>3:</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75</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w:t>
      </w:r>
      <w:r w:rsidRPr="003E5026">
        <w:rPr>
          <w:rStyle w:val="FootnoteReference"/>
          <w:rFonts w:ascii="Mosawi" w:hAnsi="Mosawi" w:cs="Mosawi"/>
          <w:sz w:val="26"/>
          <w:szCs w:val="26"/>
          <w:vertAlign w:val="baseline"/>
          <w:rtl/>
        </w:rPr>
        <w:t>شيخ محم</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د حسن </w:t>
      </w:r>
      <w:r w:rsidRPr="003E5026">
        <w:rPr>
          <w:rStyle w:val="FootnoteReference"/>
          <w:rFonts w:ascii="Mosawi" w:hAnsi="Mosawi" w:cs="Mosawi" w:hint="cs"/>
          <w:sz w:val="26"/>
          <w:szCs w:val="26"/>
          <w:vertAlign w:val="baseline"/>
          <w:rtl/>
        </w:rPr>
        <w:t>ال</w:t>
      </w:r>
      <w:r w:rsidRPr="003E5026">
        <w:rPr>
          <w:rStyle w:val="FootnoteReference"/>
          <w:rFonts w:ascii="Mosawi" w:hAnsi="Mosawi" w:cs="Mosawi"/>
          <w:sz w:val="26"/>
          <w:szCs w:val="26"/>
          <w:vertAlign w:val="baseline"/>
          <w:rtl/>
        </w:rPr>
        <w:t>نجفي</w:t>
      </w:r>
      <w:r w:rsidRPr="003E5026">
        <w:rPr>
          <w:rStyle w:val="FootnoteReference"/>
          <w:rFonts w:ascii="Mosawi" w:hAnsi="Mosawi" w:cs="Mosawi" w:hint="cs"/>
          <w:sz w:val="26"/>
          <w:szCs w:val="26"/>
          <w:vertAlign w:val="baseline"/>
          <w:rtl/>
        </w:rPr>
        <w:t xml:space="preserve">، جواهر الكلام </w:t>
      </w:r>
      <w:r w:rsidRPr="003E5026">
        <w:rPr>
          <w:rStyle w:val="FootnoteReference"/>
          <w:rFonts w:ascii="Mosawi" w:hAnsi="Mosawi" w:cs="Mosawi"/>
          <w:sz w:val="26"/>
          <w:szCs w:val="26"/>
          <w:vertAlign w:val="baseline"/>
          <w:rtl/>
        </w:rPr>
        <w:t>31</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 xml:space="preserve">17 و47؛ </w:t>
      </w:r>
      <w:r w:rsidRPr="003E5026">
        <w:rPr>
          <w:rStyle w:val="FootnoteReference"/>
          <w:rFonts w:ascii="Mosawi" w:hAnsi="Mosawi" w:cs="Mosawi"/>
          <w:sz w:val="26"/>
          <w:szCs w:val="26"/>
          <w:vertAlign w:val="baseline"/>
          <w:rtl/>
        </w:rPr>
        <w:t>محم</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د حسين آل كاشف‌‌</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 xml:space="preserve">الغطاء، </w:t>
      </w:r>
      <w:r w:rsidRPr="003E5026">
        <w:rPr>
          <w:rStyle w:val="FootnoteReference"/>
          <w:rFonts w:ascii="Mosawi" w:hAnsi="Mosawi" w:cs="Mosawi" w:hint="cs"/>
          <w:sz w:val="26"/>
          <w:szCs w:val="26"/>
          <w:vertAlign w:val="baseline"/>
          <w:rtl/>
        </w:rPr>
        <w:t xml:space="preserve">تحرير المجلة </w:t>
      </w:r>
      <w:r w:rsidRPr="003E5026">
        <w:rPr>
          <w:rStyle w:val="FootnoteReference"/>
          <w:rFonts w:ascii="Mosawi" w:hAnsi="Mosawi" w:cs="Mosawi"/>
          <w:sz w:val="26"/>
          <w:szCs w:val="26"/>
          <w:vertAlign w:val="baseline"/>
          <w:rtl/>
        </w:rPr>
        <w:t>5</w:t>
      </w:r>
      <w:r w:rsidRPr="003E5026">
        <w:rPr>
          <w:rStyle w:val="FootnoteReference"/>
          <w:rFonts w:ascii="Mosawi" w:hAnsi="Mosawi" w:cs="Mosawi" w:hint="cs"/>
          <w:sz w:val="26"/>
          <w:szCs w:val="26"/>
          <w:vertAlign w:val="baseline"/>
          <w:rtl/>
        </w:rPr>
        <w:t>: 56.</w:t>
      </w:r>
    </w:p>
  </w:footnote>
  <w:footnote w:id="77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ابن شعبة الحرّاني، تحف العقول 436.</w:t>
      </w:r>
    </w:p>
  </w:footnote>
  <w:footnote w:id="77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الحرّ العامليّ،  وسائل الشيعة 7: 22.</w:t>
      </w:r>
    </w:p>
  </w:footnote>
  <w:footnote w:id="77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العلا</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مه </w:t>
      </w:r>
      <w:r w:rsidRPr="003E5026">
        <w:rPr>
          <w:rStyle w:val="FootnoteReference"/>
          <w:rFonts w:ascii="Mosawi" w:hAnsi="Mosawi" w:cs="Mosawi" w:hint="cs"/>
          <w:sz w:val="26"/>
          <w:szCs w:val="26"/>
          <w:vertAlign w:val="baseline"/>
          <w:rtl/>
        </w:rPr>
        <w:t>ال</w:t>
      </w:r>
      <w:r w:rsidRPr="003E5026">
        <w:rPr>
          <w:rStyle w:val="FootnoteReference"/>
          <w:rFonts w:ascii="Mosawi" w:hAnsi="Mosawi" w:cs="Mosawi"/>
          <w:sz w:val="26"/>
          <w:szCs w:val="26"/>
          <w:vertAlign w:val="baseline"/>
          <w:rtl/>
        </w:rPr>
        <w:t>حل</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ي</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 xml:space="preserve">قواعد الأحكام </w:t>
      </w:r>
      <w:r w:rsidRPr="003E5026">
        <w:rPr>
          <w:rStyle w:val="FootnoteReference"/>
          <w:rFonts w:ascii="Mosawi" w:hAnsi="Mosawi" w:cs="Mosawi"/>
          <w:sz w:val="26"/>
          <w:szCs w:val="26"/>
          <w:vertAlign w:val="baseline"/>
          <w:rtl/>
        </w:rPr>
        <w:t>3</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82</w:t>
      </w:r>
      <w:r w:rsidRPr="003E5026">
        <w:rPr>
          <w:rStyle w:val="FootnoteReference"/>
          <w:rFonts w:ascii="Mosawi" w:hAnsi="Mosawi" w:cs="Mosawi" w:hint="cs"/>
          <w:sz w:val="26"/>
          <w:szCs w:val="26"/>
          <w:vertAlign w:val="baseline"/>
          <w:rtl/>
        </w:rPr>
        <w:t>؛ ال</w:t>
      </w:r>
      <w:r w:rsidRPr="003E5026">
        <w:rPr>
          <w:rStyle w:val="FootnoteReference"/>
          <w:rFonts w:ascii="Mosawi" w:hAnsi="Mosawi" w:cs="Mosawi"/>
          <w:sz w:val="26"/>
          <w:szCs w:val="26"/>
          <w:vertAlign w:val="baseline"/>
          <w:rtl/>
        </w:rPr>
        <w:t>سي</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د علي </w:t>
      </w:r>
      <w:r w:rsidRPr="003E5026">
        <w:rPr>
          <w:rStyle w:val="FootnoteReference"/>
          <w:rFonts w:ascii="Mosawi" w:hAnsi="Mosawi" w:cs="Mosawi" w:hint="cs"/>
          <w:sz w:val="26"/>
          <w:szCs w:val="26"/>
          <w:vertAlign w:val="baseline"/>
          <w:rtl/>
        </w:rPr>
        <w:t>ال</w:t>
      </w:r>
      <w:r w:rsidRPr="003E5026">
        <w:rPr>
          <w:rStyle w:val="FootnoteReference"/>
          <w:rFonts w:ascii="Mosawi" w:hAnsi="Mosawi" w:cs="Mosawi"/>
          <w:sz w:val="26"/>
          <w:szCs w:val="26"/>
          <w:vertAlign w:val="baseline"/>
          <w:rtl/>
        </w:rPr>
        <w:t>طباطبا</w:t>
      </w:r>
      <w:r w:rsidRPr="003E5026">
        <w:rPr>
          <w:rStyle w:val="FootnoteReference"/>
          <w:rFonts w:ascii="Mosawi" w:hAnsi="Mosawi" w:cs="Mosawi" w:hint="cs"/>
          <w:sz w:val="26"/>
          <w:szCs w:val="26"/>
          <w:vertAlign w:val="baseline"/>
          <w:rtl/>
        </w:rPr>
        <w:t>ئ</w:t>
      </w:r>
      <w:r w:rsidRPr="003E5026">
        <w:rPr>
          <w:rStyle w:val="FootnoteReference"/>
          <w:rFonts w:ascii="Mosawi" w:hAnsi="Mosawi" w:cs="Mosawi"/>
          <w:sz w:val="26"/>
          <w:szCs w:val="26"/>
          <w:vertAlign w:val="baseline"/>
          <w:rtl/>
        </w:rPr>
        <w:t>ي،</w:t>
      </w:r>
      <w:r w:rsidRPr="003E5026">
        <w:rPr>
          <w:rStyle w:val="FootnoteReference"/>
          <w:rFonts w:ascii="Mosawi" w:hAnsi="Mosawi" w:cs="Mosawi" w:hint="cs"/>
          <w:sz w:val="26"/>
          <w:szCs w:val="26"/>
          <w:vertAlign w:val="baseline"/>
          <w:rtl/>
        </w:rPr>
        <w:t xml:space="preserve"> رياض المسائل</w:t>
      </w:r>
      <w:r w:rsidRPr="003E5026">
        <w:rPr>
          <w:rStyle w:val="FootnoteReference"/>
          <w:rFonts w:ascii="Mosawi" w:hAnsi="Mosawi" w:cs="Mosawi"/>
          <w:sz w:val="26"/>
          <w:szCs w:val="26"/>
          <w:vertAlign w:val="baseline"/>
          <w:rtl/>
        </w:rPr>
        <w:t>10</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427</w:t>
      </w:r>
      <w:r w:rsidRPr="003E5026">
        <w:rPr>
          <w:rStyle w:val="FootnoteReference"/>
          <w:rFonts w:ascii="Mosawi" w:hAnsi="Mosawi" w:cs="Mosawi" w:hint="cs"/>
          <w:sz w:val="26"/>
          <w:szCs w:val="26"/>
          <w:vertAlign w:val="baseline"/>
          <w:rtl/>
        </w:rPr>
        <w:t>؛ ال</w:t>
      </w:r>
      <w:r w:rsidRPr="003E5026">
        <w:rPr>
          <w:rStyle w:val="FootnoteReference"/>
          <w:rFonts w:ascii="Mosawi" w:hAnsi="Mosawi" w:cs="Mosawi"/>
          <w:sz w:val="26"/>
          <w:szCs w:val="26"/>
          <w:vertAlign w:val="baseline"/>
          <w:rtl/>
        </w:rPr>
        <w:t>شهيد</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الثاني،</w:t>
      </w:r>
      <w:r w:rsidRPr="003E5026">
        <w:rPr>
          <w:rStyle w:val="FootnoteReference"/>
          <w:rFonts w:ascii="Mosawi" w:hAnsi="Mosawi" w:cs="Mosawi" w:hint="cs"/>
          <w:sz w:val="26"/>
          <w:szCs w:val="26"/>
          <w:vertAlign w:val="baseline"/>
          <w:rtl/>
        </w:rPr>
        <w:t xml:space="preserve"> شرح اللمعة </w:t>
      </w:r>
      <w:r w:rsidRPr="003E5026">
        <w:rPr>
          <w:rStyle w:val="FootnoteReference"/>
          <w:rFonts w:ascii="Mosawi" w:hAnsi="Mosawi" w:cs="Mosawi"/>
          <w:sz w:val="26"/>
          <w:szCs w:val="26"/>
          <w:vertAlign w:val="baseline"/>
          <w:rtl/>
        </w:rPr>
        <w:t>2</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117</w:t>
      </w:r>
      <w:r w:rsidRPr="003E5026">
        <w:rPr>
          <w:rStyle w:val="FootnoteReference"/>
          <w:rFonts w:ascii="Mosawi" w:hAnsi="Mosawi" w:cs="Mosawi" w:hint="cs"/>
          <w:sz w:val="26"/>
          <w:szCs w:val="26"/>
          <w:vertAlign w:val="baseline"/>
          <w:rtl/>
        </w:rPr>
        <w:t>.</w:t>
      </w:r>
    </w:p>
  </w:footnote>
  <w:footnote w:id="77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المحقّق الداماد، حقوق خانواده: 253.</w:t>
      </w:r>
    </w:p>
  </w:footnote>
  <w:footnote w:id="77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الدكتور علي رضا باريكلو، أشخاص وحمايت حقوقي آنان: 29؛ الدكتور سيّد حسين صفايي والدكتور سيد مرتضى قاسم زاده، حقوق مدني أشخاص ومحجورين: 11.</w:t>
      </w:r>
    </w:p>
  </w:footnote>
  <w:footnote w:id="77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السيّد المرتضى، الانتصار: 292.</w:t>
      </w:r>
    </w:p>
  </w:footnote>
  <w:footnote w:id="78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راجع: محمّد حسن النجفيّ، جواهر الكلام 31: 15.</w:t>
      </w:r>
    </w:p>
  </w:footnote>
  <w:footnote w:id="78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الشهيد الثاني، مسالك الأفهام 8: 168.</w:t>
      </w:r>
    </w:p>
  </w:footnote>
  <w:footnote w:id="78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الشيخ يوسف الصانعي، استفتاءات قضائي: 473.</w:t>
      </w:r>
    </w:p>
  </w:footnote>
  <w:footnote w:id="78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العل</w:t>
      </w:r>
      <w:r w:rsidRPr="003E5026">
        <w:rPr>
          <w:rStyle w:val="FootnoteReference"/>
          <w:rFonts w:ascii="Mosawi" w:hAnsi="Mosawi" w:cs="Mosawi" w:hint="cs"/>
          <w:sz w:val="26"/>
          <w:szCs w:val="26"/>
          <w:vertAlign w:val="baseline"/>
          <w:rtl/>
        </w:rPr>
        <w:t>اّ</w:t>
      </w:r>
      <w:r w:rsidRPr="003E5026">
        <w:rPr>
          <w:rStyle w:val="FootnoteReference"/>
          <w:rFonts w:ascii="Mosawi" w:hAnsi="Mosawi" w:cs="Mosawi"/>
          <w:sz w:val="26"/>
          <w:szCs w:val="26"/>
          <w:vertAlign w:val="baseline"/>
          <w:rtl/>
        </w:rPr>
        <w:t>م</w:t>
      </w:r>
      <w:r w:rsidRPr="003E5026">
        <w:rPr>
          <w:rStyle w:val="FootnoteReference"/>
          <w:rFonts w:ascii="Mosawi" w:hAnsi="Mosawi" w:cs="Mosawi" w:hint="cs"/>
          <w:sz w:val="26"/>
          <w:szCs w:val="26"/>
          <w:vertAlign w:val="baseline"/>
          <w:rtl/>
        </w:rPr>
        <w:t>ة</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w:t>
      </w:r>
      <w:r w:rsidRPr="003E5026">
        <w:rPr>
          <w:rStyle w:val="FootnoteReference"/>
          <w:rFonts w:ascii="Mosawi" w:hAnsi="Mosawi" w:cs="Mosawi"/>
          <w:sz w:val="26"/>
          <w:szCs w:val="26"/>
          <w:vertAlign w:val="baseline"/>
          <w:rtl/>
        </w:rPr>
        <w:t>حل</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ي</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 xml:space="preserve">قواعد الأحكام </w:t>
      </w:r>
      <w:r w:rsidRPr="003E5026">
        <w:rPr>
          <w:rStyle w:val="FootnoteReference"/>
          <w:rFonts w:ascii="Mosawi" w:hAnsi="Mosawi" w:cs="Mosawi"/>
          <w:sz w:val="26"/>
          <w:szCs w:val="26"/>
          <w:vertAlign w:val="baseline"/>
          <w:rtl/>
        </w:rPr>
        <w:t>3</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75</w:t>
      </w:r>
      <w:r w:rsidRPr="003E5026">
        <w:rPr>
          <w:rStyle w:val="FootnoteReference"/>
          <w:rFonts w:ascii="Mosawi" w:hAnsi="Mosawi" w:cs="Mosawi" w:hint="cs"/>
          <w:sz w:val="26"/>
          <w:szCs w:val="26"/>
          <w:vertAlign w:val="baseline"/>
          <w:rtl/>
        </w:rPr>
        <w:t>؛ ال</w:t>
      </w:r>
      <w:r w:rsidRPr="003E5026">
        <w:rPr>
          <w:rStyle w:val="FootnoteReference"/>
          <w:rFonts w:ascii="Mosawi" w:hAnsi="Mosawi" w:cs="Mosawi"/>
          <w:sz w:val="26"/>
          <w:szCs w:val="26"/>
          <w:vertAlign w:val="baseline"/>
          <w:rtl/>
        </w:rPr>
        <w:t>شيخ محم</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د حسن </w:t>
      </w:r>
      <w:r w:rsidRPr="003E5026">
        <w:rPr>
          <w:rStyle w:val="FootnoteReference"/>
          <w:rFonts w:ascii="Mosawi" w:hAnsi="Mosawi" w:cs="Mosawi" w:hint="cs"/>
          <w:sz w:val="26"/>
          <w:szCs w:val="26"/>
          <w:vertAlign w:val="baseline"/>
          <w:rtl/>
        </w:rPr>
        <w:t>ال</w:t>
      </w:r>
      <w:r w:rsidRPr="003E5026">
        <w:rPr>
          <w:rStyle w:val="FootnoteReference"/>
          <w:rFonts w:ascii="Mosawi" w:hAnsi="Mosawi" w:cs="Mosawi"/>
          <w:sz w:val="26"/>
          <w:szCs w:val="26"/>
          <w:vertAlign w:val="baseline"/>
          <w:rtl/>
        </w:rPr>
        <w:t>نجفي</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ج</w:t>
      </w:r>
      <w:r w:rsidRPr="003E5026">
        <w:rPr>
          <w:rStyle w:val="FootnoteReference"/>
          <w:rFonts w:ascii="Mosawi" w:hAnsi="Mosawi" w:cs="Mosawi" w:hint="cs"/>
          <w:sz w:val="26"/>
          <w:szCs w:val="26"/>
          <w:vertAlign w:val="baseline"/>
          <w:rtl/>
        </w:rPr>
        <w:t xml:space="preserve">واهر الكلام </w:t>
      </w:r>
      <w:r w:rsidRPr="003E5026">
        <w:rPr>
          <w:rStyle w:val="FootnoteReference"/>
          <w:rFonts w:ascii="Mosawi" w:hAnsi="Mosawi" w:cs="Mosawi"/>
          <w:sz w:val="26"/>
          <w:szCs w:val="26"/>
          <w:vertAlign w:val="baseline"/>
          <w:rtl/>
        </w:rPr>
        <w:t>31</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17</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محم</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د حسين آل كاشف‌‌</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 xml:space="preserve">الغطاء، </w:t>
      </w:r>
      <w:r w:rsidRPr="003E5026">
        <w:rPr>
          <w:rStyle w:val="FootnoteReference"/>
          <w:rFonts w:ascii="Mosawi" w:hAnsi="Mosawi" w:cs="Mosawi" w:hint="cs"/>
          <w:sz w:val="26"/>
          <w:szCs w:val="26"/>
          <w:vertAlign w:val="baseline"/>
          <w:rtl/>
        </w:rPr>
        <w:t xml:space="preserve">تحرير المجلة </w:t>
      </w:r>
      <w:r w:rsidRPr="003E5026">
        <w:rPr>
          <w:rStyle w:val="FootnoteReference"/>
          <w:rFonts w:ascii="Mosawi" w:hAnsi="Mosawi" w:cs="Mosawi"/>
          <w:sz w:val="26"/>
          <w:szCs w:val="26"/>
          <w:vertAlign w:val="baseline"/>
          <w:rtl/>
        </w:rPr>
        <w:t>5</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65</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ابن قدامه،</w:t>
      </w:r>
      <w:r w:rsidRPr="003E5026">
        <w:rPr>
          <w:rStyle w:val="FootnoteReference"/>
          <w:rFonts w:ascii="Mosawi" w:hAnsi="Mosawi" w:cs="Mosawi" w:hint="cs"/>
          <w:sz w:val="26"/>
          <w:szCs w:val="26"/>
          <w:vertAlign w:val="baseline"/>
          <w:rtl/>
        </w:rPr>
        <w:t xml:space="preserve"> المغني</w:t>
      </w:r>
      <w:r w:rsidRPr="003E5026">
        <w:rPr>
          <w:rStyle w:val="FootnoteReference"/>
          <w:rFonts w:ascii="Mosawi" w:hAnsi="Mosawi" w:cs="Mosawi"/>
          <w:sz w:val="26"/>
          <w:szCs w:val="26"/>
          <w:vertAlign w:val="baseline"/>
          <w:rtl/>
        </w:rPr>
        <w:t>10</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101</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ابن جزي،</w:t>
      </w:r>
      <w:r w:rsidRPr="003E5026">
        <w:rPr>
          <w:rStyle w:val="FootnoteReference"/>
          <w:rFonts w:ascii="Mosawi" w:hAnsi="Mosawi" w:cs="Mosawi" w:hint="cs"/>
          <w:sz w:val="26"/>
          <w:szCs w:val="26"/>
          <w:vertAlign w:val="baseline"/>
          <w:rtl/>
        </w:rPr>
        <w:t xml:space="preserve"> القوانين الفقهية: </w:t>
      </w:r>
      <w:r w:rsidRPr="003E5026">
        <w:rPr>
          <w:rStyle w:val="FootnoteReference"/>
          <w:rFonts w:ascii="Mosawi" w:hAnsi="Mosawi" w:cs="Mosawi"/>
          <w:sz w:val="26"/>
          <w:szCs w:val="26"/>
          <w:vertAlign w:val="baseline"/>
          <w:rtl/>
        </w:rPr>
        <w:t>165</w:t>
      </w:r>
      <w:r w:rsidRPr="003E5026">
        <w:rPr>
          <w:rStyle w:val="FootnoteReference"/>
          <w:rFonts w:ascii="Mosawi" w:hAnsi="Mosawi" w:cs="Mosawi" w:hint="cs"/>
          <w:sz w:val="26"/>
          <w:szCs w:val="26"/>
          <w:vertAlign w:val="baseline"/>
          <w:rtl/>
        </w:rPr>
        <w:t>.</w:t>
      </w:r>
    </w:p>
  </w:footnote>
  <w:footnote w:id="78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راجع: الحرّ العامليّ، وسائل الشيعة 7: 9 فما بعد.</w:t>
      </w:r>
    </w:p>
  </w:footnote>
  <w:footnote w:id="78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الدكتور مهدي شهيدي، سقوط تعهدات: 51.</w:t>
      </w:r>
    </w:p>
  </w:footnote>
  <w:footnote w:id="78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الميرزا جواد التبريزيّ، الاستفتاءات الجديدة: 366.</w:t>
      </w:r>
    </w:p>
  </w:footnote>
  <w:footnote w:id="78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الشيخ محمّد تقي بهجت، گنجينه آراي فقهي ـ قضائي، رقم 6049.</w:t>
      </w:r>
    </w:p>
  </w:footnote>
  <w:footnote w:id="78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المولى أحمد النراقي، 1417، ص511.</w:t>
      </w:r>
    </w:p>
  </w:footnote>
  <w:footnote w:id="78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الشيخ ناصر مكارم الشيرازي، تفسير نمونه، الملحق.</w:t>
      </w:r>
    </w:p>
  </w:footnote>
  <w:footnote w:id="79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الشيخ يوسف الصانعي، استفتاءات قضائي 473؛ الشيخ حسن الجواهري، بحوث في الفقه المعاصر: 161.</w:t>
      </w:r>
    </w:p>
  </w:footnote>
  <w:footnote w:id="79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المولى أحمد النراقي، 1417، ص 511.</w:t>
      </w:r>
    </w:p>
  </w:footnote>
  <w:footnote w:id="79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الشيخ ناصر مكارم الشيرازيّ، تفسير نمونه، الملحق.</w:t>
      </w:r>
    </w:p>
  </w:footnote>
  <w:footnote w:id="79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السيّد أبو القاسم الخوئي، المباني في شرح العروة الوثقى: 3.</w:t>
      </w:r>
    </w:p>
  </w:footnote>
  <w:footnote w:id="79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الدكتور أبو القاسم گرجي وجمع من المؤلّفين، بررسى تطبيقى حقوق خانواده: 254.</w:t>
      </w:r>
    </w:p>
  </w:footnote>
  <w:footnote w:id="79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الزمخشري، الكشّاف 1: 514؛ بدران، المصدر السابق: 80.</w:t>
      </w:r>
    </w:p>
  </w:footnote>
  <w:footnote w:id="79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الدكتور أبو القاسم گرجي وجمع من المؤلّفين، المصدر السابق: 250.</w:t>
      </w:r>
    </w:p>
  </w:footnote>
  <w:footnote w:id="79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الدكتور مهدي شهيدي، المصدر السابق: 15.</w:t>
      </w:r>
    </w:p>
  </w:footnote>
  <w:footnote w:id="79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العلاّمة السيّد محمّد حسين الطباطبائيّ، الميزان في تفسير القرآن 5: 166؛ الشيخ ناصر مكارم الشيرازيّ، تفسير نمونه 4: 154.</w:t>
      </w:r>
    </w:p>
  </w:footnote>
  <w:footnote w:id="79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الإمام الخمينيّ، كتاب البيع 2: 17.</w:t>
      </w:r>
    </w:p>
  </w:footnote>
  <w:footnote w:id="80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الإمام الخمينيّ، كتاب البيع 5: 335.</w:t>
      </w:r>
    </w:p>
  </w:footnote>
  <w:footnote w:id="801">
    <w:p w:rsidR="0071680A" w:rsidRPr="003E5026" w:rsidRDefault="0071680A" w:rsidP="007F7201">
      <w:pPr>
        <w:pStyle w:val="11"/>
        <w:widowControl w:val="0"/>
        <w:spacing w:line="180"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السيّد محمّد حسين الطباطبائيّ، الميزان في تفسير القرآن 2: 281؛ الشيخ ناصر مكارم الشيرازيّ، تفسير نمونه 3: 649.</w:t>
      </w:r>
    </w:p>
  </w:footnote>
  <w:footnote w:id="802">
    <w:p w:rsidR="0071680A" w:rsidRPr="003E5026" w:rsidRDefault="0071680A" w:rsidP="007F7201">
      <w:pPr>
        <w:pStyle w:val="11"/>
        <w:widowControl w:val="0"/>
        <w:spacing w:line="180"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السيّد محمّد جواد الحسينيّ العامليّ، مفتاح الكرامة 15: 58.</w:t>
      </w:r>
    </w:p>
  </w:footnote>
  <w:footnote w:id="80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أستاذ مساعد في الفقه والحقوق في جامعة قم، من إيران.</w:t>
      </w:r>
    </w:p>
  </w:footnote>
  <w:footnote w:id="80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ابن إدريس الحلي، السرائر 1: 281.</w:t>
      </w:r>
    </w:p>
  </w:footnote>
  <w:footnote w:id="80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العلامة الحلي، تذكرة الفقهاء 4: 285، قال: يشترط في إمام الرجال والخناثي الذكورة...</w:t>
      </w:r>
    </w:p>
  </w:footnote>
  <w:footnote w:id="80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الشهيد الأول، ذكرى الشيعة في أحكام الشريعة 4: 393، قال: الذكورة شرط في إمام الرجال والخناثي، فلو أمّ الرجالَ امرأة بطل الاقتداء إجماعاً منا...</w:t>
      </w:r>
    </w:p>
  </w:footnote>
  <w:footnote w:id="80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المحقّق الأردبيلي، مجمع الفائدة 3: 250، قال: ولا يجوز إمامة اللاحن والمبدل بالمتيقّن، ولا المرأة برجلٍ...، ويرى المحقّق أنّ دليل عدم إمامة المرأة للرجال هو الإجماع المنقول والأخبار.</w:t>
      </w:r>
    </w:p>
  </w:footnote>
  <w:footnote w:id="808">
    <w:p w:rsidR="0071680A" w:rsidRPr="003E5026" w:rsidRDefault="0071680A" w:rsidP="007F7201">
      <w:pPr>
        <w:pStyle w:val="11"/>
        <w:widowControl w:val="0"/>
        <w:spacing w:line="206"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المحقّق الحلّي، المعتبر 2: 438، مطبعة سيد الشهداء، قم.</w:t>
      </w:r>
    </w:p>
  </w:footnote>
  <w:footnote w:id="809">
    <w:p w:rsidR="0071680A" w:rsidRPr="003E5026" w:rsidRDefault="0071680A" w:rsidP="007F7201">
      <w:pPr>
        <w:pStyle w:val="11"/>
        <w:widowControl w:val="0"/>
        <w:spacing w:line="206"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المحقّق النراقي، مستند الشيعة، 8: 34، مؤسّسة آل البيت لإحياء التراث، الطبعة الأولى، 1416.</w:t>
      </w:r>
    </w:p>
  </w:footnote>
  <w:footnote w:id="810">
    <w:p w:rsidR="0071680A" w:rsidRPr="003E5026" w:rsidRDefault="0071680A" w:rsidP="007F7201">
      <w:pPr>
        <w:pStyle w:val="11"/>
        <w:widowControl w:val="0"/>
        <w:spacing w:line="206"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جواهر الكلام 13: 336.</w:t>
      </w:r>
    </w:p>
  </w:footnote>
  <w:footnote w:id="811">
    <w:p w:rsidR="0071680A" w:rsidRPr="003E5026" w:rsidRDefault="0071680A" w:rsidP="007F7201">
      <w:pPr>
        <w:pStyle w:val="11"/>
        <w:widowControl w:val="0"/>
        <w:spacing w:line="206"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العلامة الحلي، نهاية الأحكام 2: 15؛ الشهيد الثاني، المسالك 1: 313؛ السيد محمد العاملي، مدارك الأحكام 4: 351؛ المحقّق السبزواري، ذخيرة المعاد 2: 307؛ الفاضل الهندي، كشف اللثام 1: 254؛ ومصادر أخرى.</w:t>
      </w:r>
    </w:p>
  </w:footnote>
  <w:footnote w:id="81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البحراني، الحدائق 1: 169.</w:t>
      </w:r>
    </w:p>
  </w:footnote>
  <w:footnote w:id="81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الأصفهاني، صلاة الجماعة: 208، مؤسسة النشر الاسلامي، الطبعة الثانية، 1409.</w:t>
      </w:r>
    </w:p>
  </w:footnote>
  <w:footnote w:id="81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الميرزا النوري، مستدرك الوسائل، باب 18، صلاة الجماعة.</w:t>
      </w:r>
    </w:p>
  </w:footnote>
  <w:footnote w:id="81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التنقيح في شرح العروة الوثقى 1: 224.</w:t>
      </w:r>
    </w:p>
  </w:footnote>
  <w:footnote w:id="81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البروجردي، جامع أحاديث الشيعة 1: 285، المطبعة العلمية، حديث 874.</w:t>
      </w:r>
    </w:p>
  </w:footnote>
  <w:footnote w:id="81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مدارك الأحكام 4: 339.</w:t>
      </w:r>
    </w:p>
  </w:footnote>
  <w:footnote w:id="81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المصدر السابق.</w:t>
      </w:r>
    </w:p>
  </w:footnote>
  <w:footnote w:id="819">
    <w:p w:rsidR="0071680A" w:rsidRPr="003E5026" w:rsidRDefault="0071680A" w:rsidP="007F7201">
      <w:pPr>
        <w:pStyle w:val="11"/>
        <w:widowControl w:val="0"/>
        <w:spacing w:line="180"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العلامة الحلي، منتهى المطلب 1: 7، قال: عدم جواز تقدّم المرأة على الرجل في الصلاة؛ الشهيد الثاني، شرح اللمعة 1: 554، قال: ويكره تقدّم المرأه على الرجل أو محاذاتها في حالة صلاتهما من دون حائل أربعة عشر ذراعاً على القول الأصح؛ السيد محمد صادق الروحاني، المسائل المنتخبة، المسألة رقم 220، ذكر الكراهة أيضاً.</w:t>
      </w:r>
    </w:p>
  </w:footnote>
  <w:footnote w:id="820">
    <w:p w:rsidR="0071680A" w:rsidRPr="003E5026" w:rsidRDefault="0071680A" w:rsidP="007F7201">
      <w:pPr>
        <w:pStyle w:val="11"/>
        <w:widowControl w:val="0"/>
        <w:spacing w:line="180"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الشيخ الطوسي، المبسوط 1: 96ـ97، قال: وليس على النساء أذان ولا إقامة، فإن فعلنَ كان لهنّ فيه الثواب غير أنّهنّ لا يرفعن أصواتهنّ بحيث يُسمعنَ الرجال، وإن أذنت المرأة للرجال جاز لهم أن يعتدّوا به ويقيموا؛ لأنه لا مانع منه؛ وقال السيد محمد العاملي في مدارك الأحكام 3: 269: جعْلُ الذكورةِ من جملة الشرائط غيرُ مستقيمٍ على إطلاقه؛ لأنّ أذان المرأة صحيح اتّفاقاً، ويعتدّ به النساء والمحارم، بل والأجانب أيضاً على ما قطع به في المبسوط.</w:t>
      </w:r>
    </w:p>
  </w:footnote>
  <w:footnote w:id="821">
    <w:p w:rsidR="0071680A" w:rsidRPr="003E5026" w:rsidRDefault="0071680A" w:rsidP="007F7201">
      <w:pPr>
        <w:pStyle w:val="11"/>
        <w:widowControl w:val="0"/>
        <w:spacing w:line="180"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النجفي، جواهر الكلام 9: 53ـ54.</w:t>
      </w:r>
    </w:p>
  </w:footnote>
  <w:footnote w:id="82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مفتاح الكرامة 10: 7.</w:t>
      </w:r>
    </w:p>
  </w:footnote>
  <w:footnote w:id="82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العلامة الحلي، منتهى المطلب 1: 368.</w:t>
      </w:r>
    </w:p>
  </w:footnote>
  <w:footnote w:id="82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العلامة الحلي، تذكرة الفقهاء، (طبعة قديمة) 1: 145.</w:t>
      </w:r>
    </w:p>
  </w:footnote>
  <w:footnote w:id="82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الخوانساري، جامع المدارك، مكتبة الصدوق، مؤسّسة اسماعيليان، الطبعة الثانية 1364، قال: أمّا لو افتقر إلى الجرح أو القتل لم يجز إلا بإذن الإمام، وكذا الحدود لا ينفّذها إلاّ الإمام أو من نصّبه.</w:t>
      </w:r>
    </w:p>
  </w:footnote>
  <w:footnote w:id="82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الشهيد الثاني، الرسائل: 50، من منشورات مكتبة بصيرتي، قم، وفيه: فأقول: اتّفق علماء الإسلام في جميع الأعصار وسائر الأمصار والأقطار على وجوب صلاة الجمعة على الأعيان في الجملة.</w:t>
      </w:r>
    </w:p>
  </w:footnote>
  <w:footnote w:id="82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تحرير الوسيلة</w:t>
      </w:r>
      <w:r>
        <w:rPr>
          <w:rFonts w:ascii="Mosawi" w:hAnsi="Mosawi" w:cs="Mosawi" w:hint="cs"/>
          <w:sz w:val="26"/>
          <w:szCs w:val="26"/>
          <w:rtl/>
        </w:rPr>
        <w:t xml:space="preserve"> </w:t>
      </w:r>
      <w:r w:rsidRPr="003E5026">
        <w:rPr>
          <w:rStyle w:val="FootnoteReference"/>
          <w:rFonts w:ascii="Mosawi" w:hAnsi="Mosawi" w:cs="Mosawi" w:hint="cs"/>
          <w:sz w:val="26"/>
          <w:szCs w:val="26"/>
          <w:vertAlign w:val="baseline"/>
          <w:rtl/>
        </w:rPr>
        <w:t>(مع تعليقة الشيخ صانعي) 1: 332.</w:t>
      </w:r>
    </w:p>
  </w:footnote>
  <w:footnote w:id="82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الحرّ العاملي، وسائل الشيعة 8: 309، كتاب الصلاة، أبواب صلاة الجماعة، الباب10، الحديث2.</w:t>
      </w:r>
    </w:p>
  </w:footnote>
  <w:footnote w:id="82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المتقي الهندي، كنز العمّال 4: 257.</w:t>
      </w:r>
    </w:p>
  </w:footnote>
  <w:footnote w:id="83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جواهر الكلام 13: 337.</w:t>
      </w:r>
    </w:p>
  </w:footnote>
  <w:footnote w:id="83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صانعي، التعليقة على تحرير الوسيلة 1: 333.</w:t>
      </w:r>
    </w:p>
  </w:footnote>
  <w:footnote w:id="83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t xml:space="preserve"> </w:t>
      </w:r>
      <w:r w:rsidRPr="003E5026">
        <w:rPr>
          <w:rStyle w:val="FootnoteReference"/>
          <w:rFonts w:ascii="Mosawi" w:hAnsi="Mosawi" w:cs="Mosawi" w:hint="cs"/>
          <w:sz w:val="26"/>
          <w:szCs w:val="26"/>
          <w:vertAlign w:val="baseline"/>
          <w:rtl/>
        </w:rPr>
        <w:t>أستاذ مساعد في جامعة طهران والجامعة الإسلامية الحرّة، من إيران.</w:t>
      </w:r>
    </w:p>
  </w:footnote>
  <w:footnote w:id="83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xml:space="preserve">) انظر: الشيخ الطوسي، </w:t>
      </w:r>
      <w:r w:rsidRPr="003E5026">
        <w:rPr>
          <w:rStyle w:val="FootnoteReference"/>
          <w:rFonts w:ascii="Mosawi" w:hAnsi="Mosawi" w:cs="Mosawi" w:hint="cs"/>
          <w:sz w:val="26"/>
          <w:szCs w:val="26"/>
          <w:vertAlign w:val="baseline"/>
          <w:rtl/>
        </w:rPr>
        <w:t xml:space="preserve">التبيان </w:t>
      </w:r>
      <w:r w:rsidRPr="003E5026">
        <w:rPr>
          <w:rStyle w:val="FootnoteReference"/>
          <w:rFonts w:ascii="Mosawi" w:hAnsi="Mosawi" w:cs="Mosawi"/>
          <w:sz w:val="26"/>
          <w:szCs w:val="26"/>
          <w:vertAlign w:val="baseline"/>
          <w:rtl/>
        </w:rPr>
        <w:t xml:space="preserve">في تفسير القرآن </w:t>
      </w:r>
      <w:r w:rsidRPr="003E5026">
        <w:rPr>
          <w:rStyle w:val="FootnoteReference"/>
          <w:rFonts w:ascii="Mosawi" w:hAnsi="Mosawi" w:cs="Mosawi" w:hint="cs"/>
          <w:sz w:val="26"/>
          <w:szCs w:val="26"/>
          <w:vertAlign w:val="baseline"/>
          <w:rtl/>
        </w:rPr>
        <w:t>13: 109</w:t>
      </w:r>
      <w:r w:rsidRPr="003E5026">
        <w:rPr>
          <w:rStyle w:val="FootnoteReference"/>
          <w:rFonts w:ascii="Mosawi" w:hAnsi="Mosawi" w:cs="Mosawi"/>
          <w:sz w:val="26"/>
          <w:szCs w:val="26"/>
          <w:vertAlign w:val="baseline"/>
          <w:rtl/>
        </w:rPr>
        <w:t>؛ الطبرسي، تفسير جوامع الجامع 1: 236؛ مير شمسي، مباني حقوق وتكاليف زن در ازدواج از ديدگاه فقه إماميه: 26.</w:t>
      </w:r>
    </w:p>
  </w:footnote>
  <w:footnote w:id="83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انظر: مير شمسي، المصدر السابق: 25.</w:t>
      </w:r>
    </w:p>
  </w:footnote>
  <w:footnote w:id="83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الشهيد الثاني، مسالك الأفهام في شرح شرائع الإسلام 1: 533.</w:t>
      </w:r>
    </w:p>
  </w:footnote>
  <w:footnote w:id="83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انظر: شيخ الإسلامي، الأحوال الشخصية: 127 ـ 137.</w:t>
      </w:r>
    </w:p>
  </w:footnote>
  <w:footnote w:id="83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xml:space="preserve">) انظر: الزحيلي، الفقه الإسلامي وأدلته </w:t>
      </w:r>
      <w:r w:rsidRPr="003E5026">
        <w:rPr>
          <w:rStyle w:val="FootnoteReference"/>
          <w:rFonts w:ascii="Mosawi" w:hAnsi="Mosawi" w:cs="Mosawi" w:hint="cs"/>
          <w:sz w:val="26"/>
          <w:szCs w:val="26"/>
          <w:vertAlign w:val="baseline"/>
          <w:rtl/>
        </w:rPr>
        <w:t xml:space="preserve">9: </w:t>
      </w:r>
      <w:r w:rsidRPr="003E5026">
        <w:rPr>
          <w:rStyle w:val="FootnoteReference"/>
          <w:rFonts w:ascii="Mosawi" w:hAnsi="Mosawi" w:cs="Mosawi"/>
          <w:sz w:val="26"/>
          <w:szCs w:val="26"/>
          <w:vertAlign w:val="baseline"/>
          <w:rtl/>
        </w:rPr>
        <w:t>6795 ـ 6806؛ النجفي، جواهر الكلام في شرح شرائع الإسلام 13: 80 ـ 90.</w:t>
      </w:r>
    </w:p>
  </w:footnote>
  <w:footnote w:id="83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انظر: الفيض الكاشاني، مفاتيح الشرائع 2: 312، مفتاح 777.</w:t>
      </w:r>
    </w:p>
  </w:footnote>
  <w:footnote w:id="83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انظر: النجفي، بلا تاريخ</w:t>
      </w:r>
      <w:r w:rsidRPr="003E5026">
        <w:rPr>
          <w:rStyle w:val="FootnoteReference"/>
          <w:rFonts w:ascii="Mosawi" w:hAnsi="Mosawi" w:cs="Mosawi" w:hint="cs"/>
          <w:sz w:val="26"/>
          <w:szCs w:val="26"/>
          <w:vertAlign w:val="baseline"/>
          <w:rtl/>
        </w:rPr>
        <w:t xml:space="preserve">، 31: 47 </w:t>
      </w:r>
      <w:r w:rsidRPr="003E5026">
        <w:rPr>
          <w:rStyle w:val="FootnoteReference"/>
          <w:rFonts w:ascii="Mosawi" w:hAnsi="Mosawi" w:cs="Mosawi"/>
          <w:sz w:val="26"/>
          <w:szCs w:val="26"/>
          <w:vertAlign w:val="baseline"/>
          <w:rtl/>
        </w:rPr>
        <w:t>ـ 48؛ الزحيلي 8</w:t>
      </w:r>
      <w:r w:rsidRPr="003E5026">
        <w:rPr>
          <w:rStyle w:val="FootnoteReference"/>
          <w:rFonts w:ascii="Mosawi" w:hAnsi="Mosawi" w:cs="Mosawi" w:hint="cs"/>
          <w:sz w:val="26"/>
          <w:szCs w:val="26"/>
          <w:vertAlign w:val="baseline"/>
          <w:rtl/>
        </w:rPr>
        <w:t>: 14</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 xml:space="preserve">19، 6762 ـ </w:t>
      </w:r>
      <w:r w:rsidRPr="003E5026">
        <w:rPr>
          <w:rStyle w:val="FootnoteReference"/>
          <w:rFonts w:ascii="Mosawi" w:hAnsi="Mosawi" w:cs="Mosawi"/>
          <w:sz w:val="26"/>
          <w:szCs w:val="26"/>
          <w:vertAlign w:val="baseline"/>
          <w:rtl/>
        </w:rPr>
        <w:t>6766.</w:t>
      </w:r>
    </w:p>
  </w:footnote>
  <w:footnote w:id="84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xml:space="preserve">) انظر: </w:t>
      </w:r>
      <w:r w:rsidRPr="003E5026">
        <w:rPr>
          <w:rStyle w:val="FootnoteReference"/>
          <w:rFonts w:ascii="Mosawi" w:hAnsi="Mosawi" w:cs="Mosawi" w:hint="cs"/>
          <w:sz w:val="26"/>
          <w:szCs w:val="26"/>
          <w:vertAlign w:val="baseline"/>
          <w:rtl/>
        </w:rPr>
        <w:t xml:space="preserve">علي رضا </w:t>
      </w:r>
      <w:r w:rsidRPr="003E5026">
        <w:rPr>
          <w:rStyle w:val="FootnoteReference"/>
          <w:rFonts w:ascii="Mosawi" w:hAnsi="Mosawi" w:cs="Mosawi"/>
          <w:sz w:val="26"/>
          <w:szCs w:val="26"/>
          <w:vertAlign w:val="baseline"/>
          <w:rtl/>
        </w:rPr>
        <w:t xml:space="preserve">فيض، </w:t>
      </w:r>
      <w:r w:rsidRPr="003E5026">
        <w:rPr>
          <w:rStyle w:val="FootnoteReference"/>
          <w:rFonts w:ascii="Mosawi" w:hAnsi="Mosawi" w:cs="Mosawi" w:hint="cs"/>
          <w:sz w:val="26"/>
          <w:szCs w:val="26"/>
          <w:vertAlign w:val="baseline"/>
          <w:rtl/>
        </w:rPr>
        <w:t>مبادئ الفقه والأصول:</w:t>
      </w:r>
      <w:r w:rsidRPr="003E5026">
        <w:rPr>
          <w:rStyle w:val="FootnoteReference"/>
          <w:rFonts w:ascii="Mosawi" w:hAnsi="Mosawi" w:cs="Mosawi"/>
          <w:sz w:val="26"/>
          <w:szCs w:val="26"/>
          <w:vertAlign w:val="baseline"/>
          <w:rtl/>
        </w:rPr>
        <w:t xml:space="preserve"> 41.</w:t>
      </w:r>
    </w:p>
  </w:footnote>
  <w:footnote w:id="841">
    <w:p w:rsidR="0071680A" w:rsidRPr="00F834C2" w:rsidRDefault="0071680A" w:rsidP="00617008">
      <w:pPr>
        <w:pStyle w:val="FootnoteText"/>
        <w:rPr>
          <w:rFonts w:ascii="Mosawi" w:hAnsi="Mosawi"/>
          <w:sz w:val="26"/>
          <w:szCs w:val="26"/>
        </w:rPr>
      </w:pPr>
      <w:r w:rsidRPr="00F834C2">
        <w:rPr>
          <w:rFonts w:ascii="Arno Pro Display" w:hAnsi="Arno Pro Display" w:cs="Taher"/>
          <w:sz w:val="26"/>
          <w:szCs w:val="26"/>
          <w:rtl/>
        </w:rPr>
        <w:t>(</w:t>
      </w:r>
      <w:r w:rsidRPr="00F834C2">
        <w:rPr>
          <w:rFonts w:ascii="Arno Pro Display" w:hAnsi="Arno Pro Display" w:cs="Taher"/>
          <w:sz w:val="26"/>
          <w:szCs w:val="26"/>
        </w:rPr>
        <w:footnoteRef/>
      </w:r>
      <w:r w:rsidRPr="00F834C2">
        <w:rPr>
          <w:rFonts w:ascii="Arno Pro Display" w:hAnsi="Arno Pro Display" w:cs="Taher"/>
          <w:sz w:val="26"/>
          <w:szCs w:val="26"/>
          <w:rtl/>
        </w:rPr>
        <w:t xml:space="preserve">) </w:t>
      </w:r>
      <w:r w:rsidRPr="00F834C2">
        <w:rPr>
          <w:rFonts w:ascii="Arno Pro Display" w:hAnsi="Arno Pro Display" w:cs="Taher" w:hint="cs"/>
          <w:sz w:val="26"/>
          <w:szCs w:val="26"/>
          <w:rtl/>
        </w:rPr>
        <w:t>الدولار الأمريكي الواحد يساوي ألف تومان.</w:t>
      </w:r>
    </w:p>
  </w:footnote>
  <w:footnote w:id="84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انظر: صفائي وقاسم زاده، حقوق مدنى أشخاص ومحجورين: 13.</w:t>
      </w:r>
    </w:p>
  </w:footnote>
  <w:footnote w:id="843">
    <w:p w:rsidR="0071680A" w:rsidRPr="003E5026" w:rsidRDefault="0071680A" w:rsidP="00D063EC">
      <w:pPr>
        <w:pStyle w:val="11"/>
        <w:widowControl w:val="0"/>
        <w:spacing w:line="204"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انظر: الإمام الخوئي، مصباح الفقاهة 1: 192.</w:t>
      </w:r>
    </w:p>
  </w:footnote>
  <w:footnote w:id="844">
    <w:p w:rsidR="0071680A" w:rsidRPr="003E5026" w:rsidRDefault="0071680A" w:rsidP="00D063EC">
      <w:pPr>
        <w:pStyle w:val="11"/>
        <w:widowControl w:val="0"/>
        <w:spacing w:line="204"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موسو ي بجنوردي، القواعد الفقهية 1: 227.</w:t>
      </w:r>
    </w:p>
  </w:footnote>
  <w:footnote w:id="845">
    <w:p w:rsidR="0071680A" w:rsidRPr="003E5026" w:rsidRDefault="0071680A" w:rsidP="00D063EC">
      <w:pPr>
        <w:pStyle w:val="11"/>
        <w:widowControl w:val="0"/>
        <w:spacing w:line="204"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انظر: الكاظمي الخراساني</w:t>
      </w:r>
      <w:r w:rsidRPr="003E5026">
        <w:rPr>
          <w:rStyle w:val="FootnoteReference"/>
          <w:rFonts w:ascii="Mosawi" w:hAnsi="Mosawi" w:cs="Mosawi" w:hint="cs"/>
          <w:sz w:val="26"/>
          <w:szCs w:val="26"/>
          <w:vertAlign w:val="baseline"/>
          <w:rtl/>
        </w:rPr>
        <w:t xml:space="preserve"> 2: 261.</w:t>
      </w:r>
    </w:p>
  </w:footnote>
  <w:footnote w:id="846">
    <w:p w:rsidR="0071680A" w:rsidRPr="003E5026" w:rsidRDefault="0071680A" w:rsidP="00D063EC">
      <w:pPr>
        <w:pStyle w:val="11"/>
        <w:widowControl w:val="0"/>
        <w:spacing w:line="204"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انظر: جعفري لنگرودي، مبسوط در ترمينولوژى حقوق 3: 1214؛ محمدي، مباني استـنباط</w:t>
      </w:r>
      <w:r>
        <w:rPr>
          <w:rFonts w:ascii="Mosawi" w:hAnsi="Mosawi" w:cs="Mosawi"/>
          <w:sz w:val="26"/>
          <w:szCs w:val="26"/>
        </w:rPr>
        <w:t xml:space="preserve"> </w:t>
      </w:r>
      <w:r w:rsidRPr="003E5026">
        <w:rPr>
          <w:rStyle w:val="FootnoteReference"/>
          <w:rFonts w:ascii="Mosawi" w:hAnsi="Mosawi" w:cs="Mosawi"/>
          <w:sz w:val="26"/>
          <w:szCs w:val="26"/>
          <w:vertAlign w:val="baseline"/>
          <w:rtl/>
        </w:rPr>
        <w:t>حقوق إسلامي</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225 ـ 226.</w:t>
      </w:r>
    </w:p>
  </w:footnote>
  <w:footnote w:id="847">
    <w:p w:rsidR="0071680A" w:rsidRPr="003E5026" w:rsidRDefault="0071680A" w:rsidP="00D063EC">
      <w:pPr>
        <w:pStyle w:val="11"/>
        <w:widowControl w:val="0"/>
        <w:spacing w:line="180"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t xml:space="preserve"> </w:t>
      </w:r>
      <w:r w:rsidRPr="003E5026">
        <w:rPr>
          <w:rStyle w:val="FootnoteReference"/>
          <w:rFonts w:ascii="Mosawi" w:hAnsi="Mosawi" w:cs="Mosawi"/>
          <w:sz w:val="26"/>
          <w:szCs w:val="26"/>
          <w:vertAlign w:val="baseline"/>
          <w:rtl/>
        </w:rPr>
        <w:t>انظر: جعفري لنگرودي، مبسوط در ترمينولوژى حقوق: 678 ـ 679.</w:t>
      </w:r>
    </w:p>
  </w:footnote>
  <w:footnote w:id="848">
    <w:p w:rsidR="0071680A" w:rsidRPr="003E5026" w:rsidRDefault="0071680A" w:rsidP="00D063EC">
      <w:pPr>
        <w:pStyle w:val="11"/>
        <w:widowControl w:val="0"/>
        <w:spacing w:line="180"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انظر: اللمعة الدمشقية: 159.</w:t>
      </w:r>
    </w:p>
  </w:footnote>
  <w:footnote w:id="849">
    <w:p w:rsidR="0071680A" w:rsidRPr="003E5026" w:rsidRDefault="0071680A" w:rsidP="00D063EC">
      <w:pPr>
        <w:pStyle w:val="11"/>
        <w:widowControl w:val="0"/>
        <w:spacing w:line="180"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انظر: الروضة البهية 5: 85 ـ 86.</w:t>
      </w:r>
    </w:p>
  </w:footnote>
  <w:footnote w:id="85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انظر: ابن قدامة، المغن</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xml:space="preserve"> 7: 333 ـ 337؛ الطوسي، النهاية في مجرد الفقه والفتاوى 2: 314.</w:t>
      </w:r>
    </w:p>
  </w:footnote>
  <w:footnote w:id="85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xml:space="preserve">) انظر: ابن قدامة، المغني </w:t>
      </w:r>
      <w:r w:rsidRPr="003E5026">
        <w:rPr>
          <w:rStyle w:val="FootnoteReference"/>
          <w:rFonts w:ascii="Mosawi" w:hAnsi="Mosawi" w:cs="Mosawi" w:hint="cs"/>
          <w:sz w:val="26"/>
          <w:szCs w:val="26"/>
          <w:vertAlign w:val="baseline"/>
          <w:rtl/>
        </w:rPr>
        <w:t>8: 6</w:t>
      </w:r>
      <w:r w:rsidRPr="003E5026">
        <w:rPr>
          <w:rStyle w:val="FootnoteReference"/>
          <w:rFonts w:ascii="Mosawi" w:hAnsi="Mosawi" w:cs="Mosawi"/>
          <w:sz w:val="26"/>
          <w:szCs w:val="26"/>
          <w:vertAlign w:val="baseline"/>
          <w:rtl/>
        </w:rPr>
        <w:t xml:space="preserve">؛ الزحيلي، الفقه الإسلامي وأدلته </w:t>
      </w:r>
      <w:r w:rsidRPr="003E5026">
        <w:rPr>
          <w:rStyle w:val="FootnoteReference"/>
          <w:rFonts w:ascii="Mosawi" w:hAnsi="Mosawi" w:cs="Mosawi" w:hint="cs"/>
          <w:sz w:val="26"/>
          <w:szCs w:val="26"/>
          <w:vertAlign w:val="baseline"/>
          <w:rtl/>
        </w:rPr>
        <w:t>9</w:t>
      </w:r>
      <w:r w:rsidRPr="003E5026">
        <w:rPr>
          <w:rStyle w:val="FootnoteReference"/>
          <w:rFonts w:ascii="Mosawi" w:hAnsi="Mosawi" w:cs="Mosawi"/>
          <w:sz w:val="26"/>
          <w:szCs w:val="26"/>
          <w:vertAlign w:val="baseline"/>
          <w:rtl/>
        </w:rPr>
        <w:t>: 6763؛ الشيخ الطوسي، النهاية في مجرد الفقه والفتاوى 2: 319 ـ 323؛ الفيض الكاشاني، مفاتيح الشرائع 2: 273؛ النجفي، جواهر الكلام 31: 47 ـ 48.</w:t>
      </w:r>
    </w:p>
  </w:footnote>
  <w:footnote w:id="85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xml:space="preserve">) انظر: الشيخ الصدوق، المقنع في الفقه (ضمن سلسلة الينابيع الفقهية): </w:t>
      </w:r>
      <w:r w:rsidRPr="003E5026">
        <w:rPr>
          <w:rStyle w:val="FootnoteReference"/>
          <w:rFonts w:ascii="Mosawi" w:hAnsi="Mosawi" w:cs="Mosawi" w:hint="cs"/>
          <w:sz w:val="26"/>
          <w:szCs w:val="26"/>
          <w:vertAlign w:val="baseline"/>
          <w:rtl/>
        </w:rPr>
        <w:t>8: 12</w:t>
      </w:r>
      <w:r w:rsidRPr="003E5026">
        <w:rPr>
          <w:rStyle w:val="FootnoteReference"/>
          <w:rFonts w:ascii="Mosawi" w:hAnsi="Mosawi" w:cs="Mosawi"/>
          <w:sz w:val="26"/>
          <w:szCs w:val="26"/>
          <w:vertAlign w:val="baseline"/>
          <w:rtl/>
        </w:rPr>
        <w:t>؛ علم الهدى، الانتصار (ضمن سلسلة الينابيع الفقهية) 18: 65.</w:t>
      </w:r>
    </w:p>
  </w:footnote>
  <w:footnote w:id="853">
    <w:p w:rsidR="0071680A" w:rsidRPr="003E5026" w:rsidRDefault="0071680A" w:rsidP="00D063EC">
      <w:pPr>
        <w:pStyle w:val="11"/>
        <w:widowControl w:val="0"/>
        <w:spacing w:line="199"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انظر: الإمام الخميني، البيع 3: 21 ـ 227؛ الإمام الخميني، تحرير الوسيل</w:t>
      </w:r>
      <w:r w:rsidRPr="003E5026">
        <w:rPr>
          <w:rStyle w:val="FootnoteReference"/>
          <w:rFonts w:ascii="Mosawi" w:hAnsi="Mosawi" w:cs="Mosawi" w:hint="cs"/>
          <w:sz w:val="26"/>
          <w:szCs w:val="26"/>
          <w:vertAlign w:val="baseline"/>
          <w:rtl/>
        </w:rPr>
        <w:t>ة</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2: 27</w:t>
      </w:r>
      <w:r w:rsidRPr="003E5026">
        <w:rPr>
          <w:rStyle w:val="FootnoteReference"/>
          <w:rFonts w:ascii="Mosawi" w:hAnsi="Mosawi" w:cs="Mosawi"/>
          <w:sz w:val="26"/>
          <w:szCs w:val="26"/>
          <w:vertAlign w:val="baseline"/>
          <w:rtl/>
        </w:rPr>
        <w:t>؛ إمامي</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حقوق مدني 1: 211؛ شهيدي، تشكيل قراردادها وتعهدات: 307 ـ 314؛ علي آبادي، إيجاد وسقوط تعهدات ناشي از عقد در حقوق إسلامي</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كليات حقوق اسلامي: 79؛ عدل، حقوق مدني: 130؛ كاتوزيان، حقوق مدني ـ قواعد عمومي قراردادها 2: 187 ـ 201؛ الامام الخوئي، مصباح الفقاهة 5: 236 ـ 263.</w:t>
      </w:r>
    </w:p>
  </w:footnote>
  <w:footnote w:id="85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انظر: وسائل الشيعة 15: 5 ـ 11.</w:t>
      </w:r>
    </w:p>
  </w:footnote>
  <w:footnote w:id="85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انظر: الزحيلي، الفقه الإسلامي وأدلته 9: 6765 ـ 6766؛ شاهباغ، شرح قانون مدني 7: 134 ـ 135؛ صفائي وإمامي، حقوق خانواده 1: 170؛ النجفي، جواهر الكلام 31: 15 ـ 21.</w:t>
      </w:r>
    </w:p>
  </w:footnote>
  <w:footnote w:id="85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انظر: إمامي، حقوق مدني 1: 237.</w:t>
      </w:r>
    </w:p>
  </w:footnote>
  <w:footnote w:id="85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انظر: الزحيلي، الفقه الإسلامي وأدلته 9: 6763؛ النجفي، جواهر الكلام 31: 14؛ الراوندي، فقه القرآن (ضمن سلسلة الينابيع الفقهية) 18: 237، ابن قدام</w:t>
      </w:r>
      <w:r w:rsidRPr="003E5026">
        <w:rPr>
          <w:rStyle w:val="FootnoteReference"/>
          <w:rFonts w:ascii="Mosawi" w:hAnsi="Mosawi" w:cs="Mosawi" w:hint="cs"/>
          <w:sz w:val="26"/>
          <w:szCs w:val="26"/>
          <w:vertAlign w:val="baseline"/>
          <w:rtl/>
        </w:rPr>
        <w:t>ة</w:t>
      </w:r>
      <w:r w:rsidRPr="003E5026">
        <w:rPr>
          <w:rStyle w:val="FootnoteReference"/>
          <w:rFonts w:ascii="Mosawi" w:hAnsi="Mosawi" w:cs="Mosawi"/>
          <w:sz w:val="26"/>
          <w:szCs w:val="26"/>
          <w:vertAlign w:val="baseline"/>
          <w:rtl/>
        </w:rPr>
        <w:t>، المغني: 618.</w:t>
      </w:r>
    </w:p>
  </w:footnote>
  <w:footnote w:id="85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انظر: المواد (1103) و(1104) من القانون المدني.</w:t>
      </w:r>
    </w:p>
  </w:footnote>
  <w:footnote w:id="85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انظر: المقنع في الفقه 18: 12.</w:t>
      </w:r>
    </w:p>
  </w:footnote>
  <w:footnote w:id="86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انظر: علم الهدى، الانتصار 18: 651.</w:t>
      </w:r>
    </w:p>
  </w:footnote>
  <w:footnote w:id="86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xml:space="preserve">) انظر: الزحيلي، الفقه الإسلامي وأدلته 9: </w:t>
      </w:r>
      <w:r w:rsidRPr="003E5026">
        <w:rPr>
          <w:rStyle w:val="FootnoteReference"/>
          <w:rFonts w:ascii="Mosawi" w:hAnsi="Mosawi" w:cs="Mosawi" w:hint="cs"/>
          <w:sz w:val="26"/>
          <w:szCs w:val="26"/>
          <w:vertAlign w:val="baseline"/>
          <w:rtl/>
        </w:rPr>
        <w:t>6763</w:t>
      </w:r>
      <w:r w:rsidRPr="003E5026">
        <w:rPr>
          <w:rStyle w:val="FootnoteReference"/>
          <w:rFonts w:ascii="Mosawi" w:hAnsi="Mosawi" w:cs="Mosawi"/>
          <w:sz w:val="26"/>
          <w:szCs w:val="26"/>
          <w:vertAlign w:val="baseline"/>
          <w:rtl/>
        </w:rPr>
        <w:t>؛ النجفي، جواهر الكلام 31: 47.</w:t>
      </w:r>
    </w:p>
  </w:footnote>
  <w:footnote w:id="86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انظر: دهخدا، 1341، ذيل المادة: مهر؛ ابن منظور، لسان العرب 9: 8 ـ 9؛ الراغب ال</w:t>
      </w:r>
      <w:r w:rsidRPr="003E5026">
        <w:rPr>
          <w:rStyle w:val="FootnoteReference"/>
          <w:rFonts w:ascii="Mosawi" w:hAnsi="Mosawi" w:cs="Mosawi" w:hint="cs"/>
          <w:sz w:val="26"/>
          <w:szCs w:val="26"/>
          <w:vertAlign w:val="baseline"/>
          <w:rtl/>
        </w:rPr>
        <w:t>إ</w:t>
      </w:r>
      <w:r w:rsidRPr="003E5026">
        <w:rPr>
          <w:rStyle w:val="FootnoteReference"/>
          <w:rFonts w:ascii="Mosawi" w:hAnsi="Mosawi" w:cs="Mosawi"/>
          <w:sz w:val="26"/>
          <w:szCs w:val="26"/>
          <w:vertAlign w:val="baseline"/>
          <w:rtl/>
        </w:rPr>
        <w:t>صفهاني، مفردات ألفاظ القرآن: 330.</w:t>
      </w:r>
    </w:p>
  </w:footnote>
  <w:footnote w:id="86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انظر: صفائي وإمامي، مختصر حقوق خانواده: 165.</w:t>
      </w:r>
    </w:p>
  </w:footnote>
  <w:footnote w:id="86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انظر: جعفري لنگرودي، مبسوط در ترمينولوژي حقوق: 147.</w:t>
      </w:r>
    </w:p>
  </w:footnote>
  <w:footnote w:id="86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sz w:val="26"/>
          <w:szCs w:val="26"/>
          <w:vertAlign w:val="baseline"/>
          <w:rtl/>
        </w:rPr>
        <w:t>) انظر: ابن حمزة، الوسيلة إلى نيل الفضيلة (ضمن سلسلة الينابيع الفقهية) 18: 296؛ الحلبي، الكافي في الفقه (ضمن سلسلة الينابيع الفقهية) 18: 86؛ الراوندي، فقه القرآن 18: 235 ـ 236؛ الطرابلسي، المهذَّب 18: 168 ـ 169؛ النجفي، جواهر الكلام 31: 52 ـ 54.</w:t>
      </w:r>
    </w:p>
  </w:footnote>
  <w:footnote w:id="86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أستاذة مساعدة في قسم الفقه ومبادئ القانون الإسلامي، في جامعة الزهراء÷.</w:t>
      </w:r>
    </w:p>
  </w:footnote>
  <w:footnote w:id="86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ديجرني وبرنول، كارنت زنان (بيماريهاي زنان).</w:t>
      </w:r>
    </w:p>
  </w:footnote>
  <w:footnote w:id="86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مجوزي، </w:t>
      </w:r>
      <w:r w:rsidRPr="003E5026">
        <w:rPr>
          <w:rStyle w:val="FootnoteReference"/>
          <w:rFonts w:ascii="Mosawi" w:hAnsi="Mosawi" w:cs="Mosawi" w:hint="eastAsia"/>
          <w:sz w:val="26"/>
          <w:szCs w:val="26"/>
          <w:vertAlign w:val="baseline"/>
          <w:rtl/>
        </w:rPr>
        <w:t>«</w:t>
      </w:r>
      <w:r w:rsidRPr="003E5026">
        <w:rPr>
          <w:rStyle w:val="FootnoteReference"/>
          <w:rFonts w:ascii="Mosawi" w:hAnsi="Mosawi" w:cs="Mosawi" w:hint="cs"/>
          <w:sz w:val="26"/>
          <w:szCs w:val="26"/>
          <w:vertAlign w:val="baseline"/>
          <w:rtl/>
        </w:rPr>
        <w:t>حاملان أميد</w:t>
      </w:r>
      <w:r w:rsidRPr="003E5026">
        <w:rPr>
          <w:rStyle w:val="FootnoteReference"/>
          <w:rFonts w:ascii="Mosawi" w:hAnsi="Mosawi" w:cs="Mosawi" w:hint="eastAsia"/>
          <w:sz w:val="26"/>
          <w:szCs w:val="26"/>
          <w:vertAlign w:val="baseline"/>
          <w:rtl/>
        </w:rPr>
        <w:t>»</w:t>
      </w:r>
      <w:r w:rsidRPr="003E5026">
        <w:rPr>
          <w:rStyle w:val="FootnoteReference"/>
          <w:rFonts w:ascii="Mosawi" w:hAnsi="Mosawi" w:cs="Mosawi" w:hint="cs"/>
          <w:sz w:val="26"/>
          <w:szCs w:val="26"/>
          <w:vertAlign w:val="baseline"/>
          <w:rtl/>
        </w:rPr>
        <w:t>، جريدة شرق، رقم 129.</w:t>
      </w:r>
    </w:p>
  </w:footnote>
  <w:footnote w:id="86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إجاره رحم، نشريه زنان، رقم 87، السنة 11.</w:t>
      </w:r>
    </w:p>
  </w:footnote>
  <w:footnote w:id="87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هاربر ودلهانتي وهندي سايد، تشخيص ژنتيكي، رويان بيش از لانه كزيني.</w:t>
      </w:r>
    </w:p>
  </w:footnote>
  <w:footnote w:id="87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صادق آخوندي، 1382 هـ ش.</w:t>
      </w:r>
    </w:p>
  </w:footnote>
  <w:footnote w:id="872">
    <w:p w:rsidR="0071680A" w:rsidRPr="003E5026" w:rsidRDefault="0071680A" w:rsidP="00D063EC">
      <w:pPr>
        <w:pStyle w:val="11"/>
        <w:widowControl w:val="0"/>
        <w:spacing w:line="211"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مجوزي، المصدر السابق.</w:t>
      </w:r>
    </w:p>
  </w:footnote>
  <w:footnote w:id="873">
    <w:p w:rsidR="0071680A" w:rsidRPr="003E5026" w:rsidRDefault="0071680A" w:rsidP="00D063EC">
      <w:pPr>
        <w:pStyle w:val="11"/>
        <w:widowControl w:val="0"/>
        <w:spacing w:line="211"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صادق مجلس الشورى الإسلامي على هذا القانون بتاريخ 29/4/1382هـ ش، وأقرّ عليه مجلس صيانة الدستور بتاريخ 8/5/1382هـ ش.</w:t>
      </w:r>
    </w:p>
  </w:footnote>
  <w:footnote w:id="87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نايب زاده، بررسى تكنيك هاى بارورى مصنوعى از ديدگاه فقهى وحقوقى.</w:t>
      </w:r>
    </w:p>
  </w:footnote>
  <w:footnote w:id="87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cstheme="majorBidi"/>
          <w:sz w:val="26"/>
          <w:szCs w:val="26"/>
          <w:vertAlign w:val="baseline"/>
          <w:rtl/>
        </w:rPr>
        <w:t>(</w:t>
      </w:r>
      <w:r w:rsidRPr="003E5026">
        <w:rPr>
          <w:rStyle w:val="FootnoteReference"/>
          <w:rFonts w:cstheme="majorBidi"/>
          <w:sz w:val="26"/>
          <w:szCs w:val="26"/>
          <w:vertAlign w:val="baseline"/>
        </w:rPr>
        <w:t>ART</w:t>
      </w:r>
      <w:r w:rsidRPr="003E5026">
        <w:rPr>
          <w:rStyle w:val="FootnoteReference"/>
          <w:rFonts w:cstheme="majorBidi"/>
          <w:sz w:val="26"/>
          <w:szCs w:val="26"/>
          <w:vertAlign w:val="baseline"/>
          <w:rtl/>
        </w:rPr>
        <w:t xml:space="preserve">) </w:t>
      </w:r>
      <w:r w:rsidRPr="003E5026">
        <w:rPr>
          <w:rStyle w:val="FootnoteReference"/>
          <w:rFonts w:ascii="Mosawi" w:hAnsi="Mosawi" w:cs="Mosawi" w:hint="cs"/>
          <w:sz w:val="26"/>
          <w:szCs w:val="26"/>
          <w:vertAlign w:val="baseline"/>
          <w:rtl/>
        </w:rPr>
        <w:t>فن آورى بارورى ياد شده.</w:t>
      </w:r>
    </w:p>
  </w:footnote>
  <w:footnote w:id="876">
    <w:p w:rsidR="0071680A" w:rsidRPr="003E5026" w:rsidRDefault="0071680A" w:rsidP="0067362A">
      <w:pPr>
        <w:pStyle w:val="11"/>
        <w:widowControl w:val="0"/>
        <w:spacing w:line="168"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نايب زاده، المصدر السابق.</w:t>
      </w:r>
    </w:p>
  </w:footnote>
  <w:footnote w:id="87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cstheme="majorBidi"/>
          <w:sz w:val="26"/>
          <w:szCs w:val="26"/>
          <w:vertAlign w:val="baseline"/>
          <w:rtl/>
        </w:rPr>
        <w:t>.</w:t>
      </w:r>
      <w:r w:rsidRPr="003E5026">
        <w:rPr>
          <w:rStyle w:val="FootnoteReference"/>
          <w:rFonts w:cstheme="majorBidi"/>
          <w:sz w:val="26"/>
          <w:szCs w:val="26"/>
          <w:vertAlign w:val="baseline"/>
        </w:rPr>
        <w:t xml:space="preserve"> Surrogate mother</w:t>
      </w:r>
    </w:p>
  </w:footnote>
  <w:footnote w:id="87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cstheme="majorBidi"/>
          <w:sz w:val="26"/>
          <w:szCs w:val="26"/>
          <w:vertAlign w:val="baseline"/>
          <w:rtl/>
        </w:rPr>
        <w:t>.</w:t>
      </w:r>
      <w:r w:rsidRPr="003E5026">
        <w:rPr>
          <w:rStyle w:val="FootnoteReference"/>
          <w:rFonts w:cstheme="majorBidi"/>
          <w:sz w:val="26"/>
          <w:szCs w:val="26"/>
          <w:vertAlign w:val="baseline"/>
        </w:rPr>
        <w:t xml:space="preserve"> Surrogate mother contract</w:t>
      </w:r>
    </w:p>
  </w:footnote>
  <w:footnote w:id="87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cstheme="majorBidi"/>
          <w:sz w:val="26"/>
          <w:szCs w:val="26"/>
          <w:vertAlign w:val="baseline"/>
          <w:rtl/>
        </w:rPr>
        <w:t>.</w:t>
      </w:r>
      <w:r w:rsidRPr="003E5026">
        <w:rPr>
          <w:rStyle w:val="FootnoteReference"/>
          <w:rFonts w:cstheme="majorBidi"/>
          <w:sz w:val="26"/>
          <w:szCs w:val="26"/>
          <w:vertAlign w:val="baseline"/>
        </w:rPr>
        <w:t xml:space="preserve"> Womb rent contract</w:t>
      </w:r>
    </w:p>
  </w:footnote>
  <w:footnote w:id="88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cstheme="majorBidi"/>
          <w:sz w:val="26"/>
          <w:szCs w:val="26"/>
          <w:vertAlign w:val="baseline"/>
          <w:rtl/>
        </w:rPr>
        <w:t>.</w:t>
      </w:r>
      <w:r w:rsidRPr="003E5026">
        <w:rPr>
          <w:rStyle w:val="FootnoteReference"/>
          <w:rFonts w:cstheme="majorBidi"/>
          <w:sz w:val="26"/>
          <w:szCs w:val="26"/>
          <w:vertAlign w:val="baseline"/>
        </w:rPr>
        <w:t xml:space="preserve"> Physiology</w:t>
      </w:r>
    </w:p>
  </w:footnote>
  <w:footnote w:id="88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cstheme="majorBidi"/>
          <w:sz w:val="26"/>
          <w:szCs w:val="26"/>
          <w:vertAlign w:val="baseline"/>
          <w:rtl/>
        </w:rPr>
        <w:t>.</w:t>
      </w:r>
      <w:r w:rsidRPr="003E5026">
        <w:rPr>
          <w:rStyle w:val="FootnoteReference"/>
          <w:rFonts w:cstheme="majorBidi"/>
          <w:sz w:val="26"/>
          <w:szCs w:val="26"/>
          <w:vertAlign w:val="baseline"/>
        </w:rPr>
        <w:t xml:space="preserve"> Commercial surrogacy</w:t>
      </w:r>
    </w:p>
  </w:footnote>
  <w:footnote w:id="88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cstheme="majorBidi"/>
          <w:sz w:val="26"/>
          <w:szCs w:val="26"/>
          <w:vertAlign w:val="baseline"/>
          <w:rtl/>
        </w:rPr>
        <w:t>.</w:t>
      </w:r>
      <w:r w:rsidRPr="003E5026">
        <w:rPr>
          <w:rStyle w:val="FootnoteReference"/>
          <w:rFonts w:cstheme="majorBidi"/>
          <w:sz w:val="26"/>
          <w:szCs w:val="26"/>
          <w:vertAlign w:val="baseline"/>
        </w:rPr>
        <w:t xml:space="preserve"> Altruisic surrogacy</w:t>
      </w:r>
    </w:p>
  </w:footnote>
  <w:footnote w:id="88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cstheme="majorBidi"/>
          <w:sz w:val="26"/>
          <w:szCs w:val="26"/>
          <w:vertAlign w:val="baseline"/>
        </w:rPr>
        <w:t xml:space="preserve"> The Legalregation of surrogate motherhood.</w:t>
      </w:r>
    </w:p>
  </w:footnote>
  <w:footnote w:id="884">
    <w:p w:rsidR="0071680A" w:rsidRPr="003E5026" w:rsidRDefault="0071680A" w:rsidP="0067362A">
      <w:pPr>
        <w:pStyle w:val="11"/>
        <w:widowControl w:val="0"/>
        <w:spacing w:line="180"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نظراً</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إلى</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أنَّه</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تصدر</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شهادة‌ الولادة</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في</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المستشفي</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باسم</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المرأة</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التي</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ولدت</w:t>
      </w:r>
      <w:r w:rsidRPr="003E5026">
        <w:rPr>
          <w:rStyle w:val="FootnoteReference"/>
          <w:rFonts w:ascii="Mosawi" w:hAnsi="Mosawi" w:cs="Mosawi"/>
          <w:sz w:val="26"/>
          <w:szCs w:val="26"/>
          <w:vertAlign w:val="baseline"/>
          <w:rtl/>
        </w:rPr>
        <w:t>، و</w:t>
      </w:r>
      <w:r w:rsidRPr="003E5026">
        <w:rPr>
          <w:rStyle w:val="FootnoteReference"/>
          <w:rFonts w:ascii="Mosawi" w:hAnsi="Mosawi" w:cs="Mosawi" w:hint="cs"/>
          <w:sz w:val="26"/>
          <w:szCs w:val="26"/>
          <w:vertAlign w:val="baseline"/>
          <w:rtl/>
        </w:rPr>
        <w:t xml:space="preserve">تعتبر هذه الشهادة أساس إصدار الجنسية، فإن إصدار شهادة الولادة باسم صاحبة الرحم يوجد مشكلة، ولمنعها ينسق الأطبّاء‌ المسؤولون في مؤسسة العقر مع المستشفى التي تقع فيها الولادة حتى تصدر شهادة الولادة  باسم الزوجين العاقرين. </w:t>
      </w:r>
    </w:p>
  </w:footnote>
  <w:footnote w:id="885">
    <w:p w:rsidR="0071680A" w:rsidRPr="003E5026" w:rsidRDefault="0071680A" w:rsidP="00F834C2">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ك</w:t>
      </w:r>
      <w:r>
        <w:rPr>
          <w:rFonts w:ascii="Mosawi" w:hAnsi="Mosawi" w:cs="Mosawi" w:hint="cs"/>
          <w:sz w:val="26"/>
          <w:szCs w:val="26"/>
          <w:rtl/>
        </w:rPr>
        <w:t>ا</w:t>
      </w:r>
      <w:r w:rsidRPr="003E5026">
        <w:rPr>
          <w:rStyle w:val="FootnoteReference"/>
          <w:rFonts w:ascii="Mosawi" w:hAnsi="Mosawi" w:cs="Mosawi" w:hint="cs"/>
          <w:sz w:val="26"/>
          <w:szCs w:val="26"/>
          <w:vertAlign w:val="baseline"/>
          <w:rtl/>
        </w:rPr>
        <w:t>توزيان، قواعد عموم</w:t>
      </w:r>
      <w:r>
        <w:rPr>
          <w:rFonts w:ascii="Mosawi" w:hAnsi="Mosawi" w:cs="Mosawi" w:hint="cs"/>
          <w:sz w:val="26"/>
          <w:szCs w:val="26"/>
          <w:rtl/>
        </w:rPr>
        <w:t>ي</w:t>
      </w:r>
      <w:r w:rsidRPr="003E5026">
        <w:rPr>
          <w:rStyle w:val="FootnoteReference"/>
          <w:rFonts w:ascii="Mosawi" w:hAnsi="Mosawi" w:cs="Mosawi" w:hint="cs"/>
          <w:sz w:val="26"/>
          <w:szCs w:val="26"/>
          <w:vertAlign w:val="baseline"/>
          <w:rtl/>
        </w:rPr>
        <w:t xml:space="preserve"> قراردادها. </w:t>
      </w:r>
    </w:p>
  </w:footnote>
  <w:footnote w:id="88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موضوع الصفقة يجب أن يكون واضحاً إلا في الموارد الخاصّة التي تكفي لتعيينها المعرفة الإجماليّة. </w:t>
      </w:r>
    </w:p>
  </w:footnote>
  <w:footnote w:id="88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كاتوزيان، المصدر السابق. </w:t>
      </w:r>
    </w:p>
  </w:footnote>
  <w:footnote w:id="88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كاتوزيان، المصدر السابق.</w:t>
      </w:r>
    </w:p>
  </w:footnote>
  <w:footnote w:id="889">
    <w:p w:rsidR="0071680A" w:rsidRPr="003E5026" w:rsidRDefault="0071680A" w:rsidP="0067362A">
      <w:pPr>
        <w:pStyle w:val="11"/>
        <w:widowControl w:val="0"/>
        <w:spacing w:line="185"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كاتوزيان، المصدر السابق. </w:t>
      </w:r>
    </w:p>
  </w:footnote>
  <w:footnote w:id="890">
    <w:p w:rsidR="0071680A" w:rsidRPr="003E5026" w:rsidRDefault="0071680A" w:rsidP="0067362A">
      <w:pPr>
        <w:pStyle w:val="11"/>
        <w:widowControl w:val="0"/>
        <w:spacing w:line="185"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مادة 507، 518، 543، 546، 561، 648 و734 من القانون المدني.</w:t>
      </w:r>
    </w:p>
  </w:footnote>
  <w:footnote w:id="891">
    <w:p w:rsidR="0071680A" w:rsidRPr="003E5026" w:rsidRDefault="0071680A" w:rsidP="0067362A">
      <w:pPr>
        <w:pStyle w:val="11"/>
        <w:widowControl w:val="0"/>
        <w:spacing w:line="185"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قاسم زاده، نظرية جواز تعيين ضابطه مورد تعهد وتمليك شيوه هاى تعيين مورد تعهد وتمليك، مجلة مدرس، العدد 37.</w:t>
      </w:r>
    </w:p>
  </w:footnote>
  <w:footnote w:id="892">
    <w:p w:rsidR="0071680A" w:rsidRPr="003E5026" w:rsidRDefault="0071680A" w:rsidP="0067362A">
      <w:pPr>
        <w:pStyle w:val="11"/>
        <w:widowControl w:val="0"/>
        <w:spacing w:line="185"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ديجرني وبرنول، المصدر السابق، شوهم وجاكوبر، درمان ناباروري.</w:t>
      </w:r>
    </w:p>
  </w:footnote>
  <w:footnote w:id="893">
    <w:p w:rsidR="0071680A" w:rsidRPr="003E5026" w:rsidRDefault="0071680A" w:rsidP="0067362A">
      <w:pPr>
        <w:pStyle w:val="11"/>
        <w:widowControl w:val="0"/>
        <w:spacing w:line="185"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هاربر ودلهانتي وهندي سايد، المصدر السابق.</w:t>
      </w:r>
    </w:p>
  </w:footnote>
  <w:footnote w:id="894">
    <w:p w:rsidR="0071680A" w:rsidRPr="003E5026" w:rsidRDefault="0071680A" w:rsidP="0067362A">
      <w:pPr>
        <w:pStyle w:val="11"/>
        <w:widowControl w:val="0"/>
        <w:spacing w:line="185"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شوهم وجاكوبر، المصدر السابق.</w:t>
      </w:r>
    </w:p>
  </w:footnote>
  <w:footnote w:id="89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شهيدي، تشكيل قراردادها وتعهدات.</w:t>
      </w:r>
    </w:p>
  </w:footnote>
  <w:footnote w:id="89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صفايي، قواعد عمومي قراردادها.</w:t>
      </w:r>
    </w:p>
  </w:footnote>
  <w:footnote w:id="897">
    <w:p w:rsidR="0071680A" w:rsidRPr="003E5026" w:rsidRDefault="0071680A" w:rsidP="0067362A">
      <w:pPr>
        <w:pStyle w:val="11"/>
        <w:widowControl w:val="0"/>
        <w:spacing w:line="214"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 xml:space="preserve"> شوهم وجاكوبر، المصدر السابق.</w:t>
      </w:r>
    </w:p>
  </w:footnote>
  <w:footnote w:id="898">
    <w:p w:rsidR="0071680A" w:rsidRPr="003E5026" w:rsidRDefault="0071680A" w:rsidP="0067362A">
      <w:pPr>
        <w:pStyle w:val="11"/>
        <w:widowControl w:val="0"/>
        <w:spacing w:line="214"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 xml:space="preserve"> الشهيدي، المصدر السابق.</w:t>
      </w:r>
    </w:p>
  </w:footnote>
  <w:footnote w:id="89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صفايي، المصدر السابق.</w:t>
      </w:r>
    </w:p>
  </w:footnote>
  <w:footnote w:id="90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 xml:space="preserve"> كاتوزيان، حقوق مدنى خانواده.</w:t>
      </w:r>
    </w:p>
  </w:footnote>
  <w:footnote w:id="901">
    <w:p w:rsidR="0071680A" w:rsidRPr="003E5026" w:rsidRDefault="0071680A" w:rsidP="0067362A">
      <w:pPr>
        <w:pStyle w:val="11"/>
        <w:widowControl w:val="0"/>
        <w:spacing w:line="180"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 xml:space="preserve">الشيخ تبريزي: «لا يجوز» (استفتاء رقم 453 بتاريخ 9/1/1384)؛ الشيخ بهجت (الاستفتاء بتاريخ أرديبهشت سنة 1384)؛ الشيخ فاضل اللنكراني (استفتاء رقم 52500 بتاريخ 7/ 2/ 1384). </w:t>
      </w:r>
    </w:p>
  </w:footnote>
  <w:footnote w:id="902">
    <w:p w:rsidR="0071680A" w:rsidRPr="003E5026" w:rsidRDefault="0071680A" w:rsidP="0067362A">
      <w:pPr>
        <w:pStyle w:val="11"/>
        <w:widowControl w:val="0"/>
        <w:spacing w:line="180"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 xml:space="preserve">الشيخ مؤمن (استفتاء بتاريخ 9/2/1384)؛ الشيخ صانعي (استفتاء رقم 12019 بتاريخ 30 /1/1384)؛ السيد الخامئني (استفتاء رقم 6476)؛ الشيخ جناتي؛ الشيخ الأردبيلي (استفتاء رقم 21512 بتاريخ 25/1/1384)، الشيخ أحمدي فقيه اليزدي؛ السيد الروحاني (الاستفتاء بتاريخ 18 صفر 1424 القمرية)؛ الشيخ مكارم شيرازي (استفتاء رقم 9643 بتاريخ 14/1/1384)؛ الشيخ قبله إي؛ السيد موسوي بجنوردي (الاستفتاء بتاريخ 29/8/ 1384). </w:t>
      </w:r>
    </w:p>
  </w:footnote>
  <w:footnote w:id="90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رضا نيا معلم، باروري هاى پزشكي از ديدگاه فقه وحقوق.</w:t>
      </w:r>
    </w:p>
  </w:footnote>
  <w:footnote w:id="90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صادقي مقدم، باروردي مضاعي از ديدگاه حقوق إسلام، مجلة مورس.</w:t>
      </w:r>
    </w:p>
  </w:footnote>
  <w:footnote w:id="905">
    <w:p w:rsidR="0071680A" w:rsidRPr="003E5026" w:rsidRDefault="0071680A" w:rsidP="0067362A">
      <w:pPr>
        <w:pStyle w:val="11"/>
        <w:widowControl w:val="0"/>
        <w:spacing w:line="211"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الشيخ منتظري (استف</w:t>
      </w:r>
      <w:r>
        <w:rPr>
          <w:rStyle w:val="FootnoteReference"/>
          <w:rFonts w:ascii="Mosawi" w:hAnsi="Mosawi" w:cs="Mosawi" w:hint="cs"/>
          <w:sz w:val="26"/>
          <w:szCs w:val="26"/>
          <w:vertAlign w:val="baseline"/>
          <w:rtl/>
        </w:rPr>
        <w:t xml:space="preserve">تاء رقم 4630 بتاريخ 15/1/1384). وانظر: </w:t>
      </w:r>
      <w:r w:rsidRPr="003E5026">
        <w:rPr>
          <w:rStyle w:val="FootnoteReference"/>
          <w:rFonts w:ascii="Mosawi" w:hAnsi="Mosawi" w:cs="Mosawi" w:hint="cs"/>
          <w:sz w:val="26"/>
          <w:szCs w:val="26"/>
          <w:vertAlign w:val="baseline"/>
          <w:rtl/>
        </w:rPr>
        <w:t>رضا نيا معلم، المصدر السابق.</w:t>
      </w:r>
    </w:p>
  </w:footnote>
  <w:footnote w:id="906">
    <w:p w:rsidR="0071680A" w:rsidRPr="003E5026" w:rsidRDefault="0071680A" w:rsidP="0067362A">
      <w:pPr>
        <w:pStyle w:val="11"/>
        <w:widowControl w:val="0"/>
        <w:spacing w:line="211"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صفايي، المصدر السابق.</w:t>
      </w:r>
    </w:p>
  </w:footnote>
  <w:footnote w:id="907">
    <w:p w:rsidR="0071680A" w:rsidRPr="003E5026" w:rsidRDefault="0071680A" w:rsidP="0067362A">
      <w:pPr>
        <w:pStyle w:val="11"/>
        <w:widowControl w:val="0"/>
        <w:spacing w:line="211"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كاتوزيان، 1384، المصدر السابق.</w:t>
      </w:r>
    </w:p>
  </w:footnote>
  <w:footnote w:id="908">
    <w:p w:rsidR="0071680A" w:rsidRPr="003E5026" w:rsidRDefault="0071680A" w:rsidP="0067362A">
      <w:pPr>
        <w:pStyle w:val="11"/>
        <w:widowControl w:val="0"/>
        <w:spacing w:line="211"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صفايي، المصدر السابق.</w:t>
      </w:r>
    </w:p>
  </w:footnote>
  <w:footnote w:id="909">
    <w:p w:rsidR="0071680A" w:rsidRPr="003E5026" w:rsidRDefault="0071680A" w:rsidP="0067362A">
      <w:pPr>
        <w:pStyle w:val="11"/>
        <w:widowControl w:val="0"/>
        <w:spacing w:line="211"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كاتوزيان، قواعد عمومى قراردادها.</w:t>
      </w:r>
    </w:p>
  </w:footnote>
  <w:footnote w:id="91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هاربر ودلهانتي وهندي سايد، المصدر السابق.</w:t>
      </w:r>
    </w:p>
  </w:footnote>
  <w:footnote w:id="91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سماك، بررسى سيتوژنتيكي جنينهاى چند سلولي در</w:t>
      </w:r>
      <w:r w:rsidRPr="003E5026">
        <w:rPr>
          <w:rStyle w:val="FootnoteReference"/>
          <w:rFonts w:cstheme="majorBidi"/>
          <w:sz w:val="26"/>
          <w:szCs w:val="26"/>
          <w:vertAlign w:val="baseline"/>
          <w:rtl/>
        </w:rPr>
        <w:t xml:space="preserve"> </w:t>
      </w:r>
      <w:r w:rsidRPr="003E5026">
        <w:rPr>
          <w:rStyle w:val="FootnoteReference"/>
          <w:rFonts w:cstheme="majorBidi"/>
          <w:sz w:val="26"/>
          <w:szCs w:val="26"/>
          <w:vertAlign w:val="baseline"/>
        </w:rPr>
        <w:t>IVF</w:t>
      </w:r>
      <w:r w:rsidRPr="003E5026">
        <w:rPr>
          <w:rStyle w:val="FootnoteReference"/>
          <w:rFonts w:cstheme="majorBidi"/>
          <w:sz w:val="26"/>
          <w:szCs w:val="26"/>
          <w:vertAlign w:val="baseline"/>
          <w:rtl/>
        </w:rPr>
        <w:t>.</w:t>
      </w:r>
    </w:p>
  </w:footnote>
  <w:footnote w:id="91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كاتوزيان، المصدر السابق.</w:t>
      </w:r>
    </w:p>
  </w:footnote>
  <w:footnote w:id="91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يزدانيان، قرارداد پيوند اعضاء از اخلاق تا حقوق.</w:t>
      </w:r>
    </w:p>
  </w:footnote>
  <w:footnote w:id="91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كرجي، 1384.</w:t>
      </w:r>
    </w:p>
  </w:footnote>
  <w:footnote w:id="91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 xml:space="preserve">في المادة 196 من القانون المدني تصرح: كلّ شخص يقوم بصفقة تعتبر تلك الصفقة لذاته، إلاّ أن يصرح في زمن العقد بخلاف ذلك أو ثبت خلافه في ما بعد، ومع ذلك يمكن عند الصفقة التي يقوم بها الإنسان أن يذكر التزاماً لمنفعة شخص ثالث. </w:t>
      </w:r>
    </w:p>
  </w:footnote>
  <w:footnote w:id="91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صفايي، المصدر السابق.</w:t>
      </w:r>
    </w:p>
  </w:footnote>
  <w:footnote w:id="917">
    <w:p w:rsidR="0071680A" w:rsidRPr="003E5026" w:rsidRDefault="0071680A" w:rsidP="009368DE">
      <w:pPr>
        <w:pStyle w:val="11"/>
        <w:widowControl w:val="0"/>
        <w:spacing w:line="199"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السيد روحاني (الاستفتاء بتاريخ 18 صفر 1424)؛ الشيخ التبريزي (استفتاء رقم 453 بتاريخ 30/1/1384)؛ السيد موسوي الأردبيلي (استفتاء رقم 21512 بتاريخ 25/1/1384)</w:t>
      </w:r>
    </w:p>
  </w:footnote>
  <w:footnote w:id="918">
    <w:p w:rsidR="0071680A" w:rsidRPr="003E5026" w:rsidRDefault="0071680A" w:rsidP="009368DE">
      <w:pPr>
        <w:pStyle w:val="11"/>
        <w:widowControl w:val="0"/>
        <w:spacing w:line="199"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 xml:space="preserve">الشيخ صافي الگلپايكاني (استفتاء رقم 83/2991)؛ الشيخ منتظري (استفتاء رقم 9643 بتاريخ 14/1/1384)؛ الشيخ صانعي (استفتاء رقم 12109 بتاريخ 30/1/1384) الشيخ جناتي، الشيخ قبله اي. </w:t>
      </w:r>
    </w:p>
  </w:footnote>
  <w:footnote w:id="919">
    <w:p w:rsidR="0071680A" w:rsidRPr="003E5026" w:rsidRDefault="0071680A" w:rsidP="009368DE">
      <w:pPr>
        <w:pStyle w:val="11"/>
        <w:widowControl w:val="0"/>
        <w:spacing w:line="199"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 xml:space="preserve">السيد موسوي أردبيلي (استفتاء رقم 21512 بتاريخ 25/1/1384) </w:t>
      </w:r>
    </w:p>
  </w:footnote>
  <w:footnote w:id="920">
    <w:p w:rsidR="0071680A" w:rsidRPr="003E5026" w:rsidRDefault="0071680A" w:rsidP="009368DE">
      <w:pPr>
        <w:pStyle w:val="11"/>
        <w:widowControl w:val="0"/>
        <w:spacing w:line="199"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الشيخ جناتي؛ الشيخ أحمدي فقيه اليزدي (رسالة بتاريخ 14/4/1384)؛ الشيخ صانعي (استفتاء رقم 12109 بتاريخ 30/1/1384 بالرضاعة تظهر ظروف الرضاع.</w:t>
      </w:r>
    </w:p>
  </w:footnote>
  <w:footnote w:id="921">
    <w:p w:rsidR="0071680A" w:rsidRPr="003E5026" w:rsidRDefault="0071680A" w:rsidP="009368DE">
      <w:pPr>
        <w:pStyle w:val="11"/>
        <w:widowControl w:val="0"/>
        <w:spacing w:line="199"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كاتوزيان، المصدر السابق.</w:t>
      </w:r>
    </w:p>
  </w:footnote>
  <w:footnote w:id="922">
    <w:p w:rsidR="0071680A" w:rsidRPr="003E5026" w:rsidRDefault="0071680A" w:rsidP="009368DE">
      <w:pPr>
        <w:pStyle w:val="11"/>
        <w:widowControl w:val="0"/>
        <w:spacing w:line="20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لمزيد</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من المعلومات</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تراجع:</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رسالة</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الدكتوراه</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للسيد</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طه</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مرقاتي</w:t>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جامعة فردوسي مشهد؛ وأطروحة الماجستير لهاميرا رخشنده رو، جامعة الزهراء، قسم النسب. </w:t>
      </w:r>
    </w:p>
  </w:footnote>
  <w:footnote w:id="923">
    <w:p w:rsidR="0071680A" w:rsidRPr="003E5026" w:rsidRDefault="0071680A" w:rsidP="009368DE">
      <w:pPr>
        <w:pStyle w:val="11"/>
        <w:widowControl w:val="0"/>
        <w:spacing w:line="20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صفايي، مختصر حقوق خانواده.</w:t>
      </w:r>
    </w:p>
  </w:footnote>
  <w:footnote w:id="924">
    <w:p w:rsidR="0071680A" w:rsidRPr="003E5026" w:rsidRDefault="0071680A" w:rsidP="009368DE">
      <w:pPr>
        <w:pStyle w:val="11"/>
        <w:widowControl w:val="0"/>
        <w:spacing w:line="20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مرقاتي، بررسي تكنيك هاى بلرورى مصنوعى از ديدگاه فقهي وحقوقي.</w:t>
      </w:r>
    </w:p>
  </w:footnote>
  <w:footnote w:id="925">
    <w:p w:rsidR="0071680A" w:rsidRPr="003E5026" w:rsidRDefault="0071680A" w:rsidP="009368DE">
      <w:pPr>
        <w:pStyle w:val="11"/>
        <w:widowControl w:val="0"/>
        <w:spacing w:line="20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كاتوزيان، حقوق مدنى خانواده.</w:t>
      </w:r>
    </w:p>
  </w:footnote>
  <w:footnote w:id="926">
    <w:p w:rsidR="0071680A" w:rsidRPr="003E5026" w:rsidRDefault="0071680A" w:rsidP="009368DE">
      <w:pPr>
        <w:pStyle w:val="11"/>
        <w:widowControl w:val="0"/>
        <w:spacing w:line="185"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السيد روحاني، الشيخ التبريزي، الشيخ الأراكي.</w:t>
      </w:r>
    </w:p>
  </w:footnote>
  <w:footnote w:id="927">
    <w:p w:rsidR="0071680A" w:rsidRPr="003E5026" w:rsidRDefault="0071680A" w:rsidP="009368DE">
      <w:pPr>
        <w:pStyle w:val="11"/>
        <w:widowControl w:val="0"/>
        <w:spacing w:line="185"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الشيخ  مؤمن (استفتاء تاريخ 9/3/1384)؛ الشيخ قبله اي.</w:t>
      </w:r>
    </w:p>
  </w:footnote>
  <w:footnote w:id="928">
    <w:p w:rsidR="0071680A" w:rsidRPr="003E5026" w:rsidRDefault="0071680A" w:rsidP="009368DE">
      <w:pPr>
        <w:pStyle w:val="11"/>
        <w:widowControl w:val="0"/>
        <w:spacing w:line="185"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السيد الموسوي الأردبيلي (استفتاء رقم 512 بتاريخ 25/1/1384).</w:t>
      </w:r>
    </w:p>
  </w:footnote>
  <w:footnote w:id="929">
    <w:p w:rsidR="0071680A" w:rsidRPr="003E5026" w:rsidRDefault="0071680A" w:rsidP="009368DE">
      <w:pPr>
        <w:pStyle w:val="11"/>
        <w:widowControl w:val="0"/>
        <w:spacing w:line="185"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الدكتور محقق داماد، رسالة رقم 1750 بتاريخ 25/2/1384.</w:t>
      </w:r>
    </w:p>
  </w:footnote>
  <w:footnote w:id="930">
    <w:p w:rsidR="0071680A" w:rsidRPr="003E5026" w:rsidRDefault="0071680A" w:rsidP="009368DE">
      <w:pPr>
        <w:pStyle w:val="11"/>
        <w:widowControl w:val="0"/>
        <w:spacing w:line="185"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كاتوزيان، حقوق مدني خانواده.</w:t>
      </w:r>
    </w:p>
  </w:footnote>
  <w:footnote w:id="931">
    <w:p w:rsidR="0071680A" w:rsidRPr="003E5026" w:rsidRDefault="0071680A" w:rsidP="009368DE">
      <w:pPr>
        <w:pStyle w:val="11"/>
        <w:widowControl w:val="0"/>
        <w:spacing w:line="185"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مرقاتي، المصدر السابق.</w:t>
      </w:r>
    </w:p>
  </w:footnote>
  <w:footnote w:id="932">
    <w:p w:rsidR="0071680A" w:rsidRPr="003E5026" w:rsidRDefault="0071680A" w:rsidP="009368DE">
      <w:pPr>
        <w:pStyle w:val="11"/>
        <w:widowControl w:val="0"/>
        <w:spacing w:line="185"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قربان نيا، حكم تكويني ووضعي انتقال جنين تكون يافته از إسپرم وتخمك زن وشوهر، روش نوين توليد مثل انساني از ديدگاه فقه وحقوق.</w:t>
      </w:r>
    </w:p>
  </w:footnote>
  <w:footnote w:id="93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 باحثة مختصّة بالعلوم الاجتماعية وقضايا المرأة.</w:t>
      </w:r>
    </w:p>
  </w:footnote>
  <w:footnote w:id="93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لابد من إضافة مجموعة أخرى، نطلق عليها اسم: النسوية الإسلامية، وترى اختلافاً في الخلقة والطبيعة بين الرجل والمرأة، لكنّه لا يعني ـ إطلاقاً ـ أفضليّة أحد الجنسين على الآخر، بل هذه الاختلافات هي العامل في كونهما مكمّلين لبعضهما.</w:t>
      </w:r>
    </w:p>
  </w:footnote>
  <w:footnote w:id="93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لا أقصد من هذا الكلام تخطئة هذا الاتجاه، ولا أدّعي أنّني أملك معرفةً تامّة من الجهتين المذكورتين، بل ما أريده هو لفت النظر نحو بعض النقاط الجديدة القابلة للبحث.</w:t>
      </w:r>
    </w:p>
  </w:footnote>
  <w:footnote w:id="936">
    <w:p w:rsidR="0071680A" w:rsidRPr="003E5026" w:rsidRDefault="0071680A" w:rsidP="009368DE">
      <w:pPr>
        <w:pStyle w:val="11"/>
        <w:widowControl w:val="0"/>
        <w:spacing w:line="180"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المراد من هذا المصطلح أن تعيش المرأة في ظلّ نظام اقتصادي في المدن الصناعية، وتقتصر وظيفتها على كونها ربّة منـزل دون أن يكون لها أيّ دور في النشاط الإنتاجي.</w:t>
      </w:r>
    </w:p>
  </w:footnote>
  <w:footnote w:id="93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 باحث مختصّ بالعلوم الاجتماعية وقضايا المرأة.</w:t>
      </w:r>
    </w:p>
  </w:footnote>
  <w:footnote w:id="93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المراد من هذه الكلمة: الجنس من حيث الذكورة والأنوثة، أي الجامع لهما؛ لذا وجدنا أنّ كلمة الجنس المتنوّع هي أفضل ما يمكن أن يؤدّي هذا المعنى.</w:t>
      </w:r>
    </w:p>
  </w:footnote>
  <w:footnote w:id="93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النظر في هذا إلى المقالة السابقة للدكتورة مطيع حول النسوية في إيران، ومقالات أخرى للكاتبة.</w:t>
      </w:r>
    </w:p>
  </w:footnote>
  <w:footnote w:id="94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من بين هذين الفريقين، تزيد النسوية الاشتراكية تأكيدها على الرأسمالية من النسوية الراديكالية.</w:t>
      </w:r>
    </w:p>
  </w:footnote>
  <w:footnote w:id="94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لا ينبغي تجاوز القول بأنّ هذا الإشكال يرد على النسوية الوجودية أيضاً، ويقدّم سيمون دوبوار في كتابه (الجنس الثاني) وسائر كتاباته رؤيتَه التي تعتمد على كون المرأة عنصراً منافساً أو مساوياً للرجل في الدائرة التي تقع تحت تصرّف الرجل، لذا انتقده الآخرون بأنّ لازم هذا أنّ على المرأة أن تصبح كالرجل لكي تتساوى معه، وبعبارة ثانية: إنّ التحوّل هو الذي يضمن المساواة.</w:t>
      </w:r>
    </w:p>
  </w:footnote>
  <w:footnote w:id="94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لكي يكون المضمون أشدّ وضوحاً أورد هنا النصّ الإنجليزي:</w:t>
      </w:r>
    </w:p>
    <w:p w:rsidR="0071680A" w:rsidRPr="003E5026" w:rsidRDefault="0071680A" w:rsidP="009368DE">
      <w:pPr>
        <w:pStyle w:val="11"/>
        <w:widowControl w:val="0"/>
        <w:bidi w:val="0"/>
        <w:spacing w:line="211" w:lineRule="auto"/>
        <w:ind w:right="0" w:hanging="170"/>
        <w:rPr>
          <w:rStyle w:val="FootnoteReference"/>
          <w:rFonts w:cstheme="majorBidi"/>
          <w:sz w:val="26"/>
          <w:szCs w:val="26"/>
          <w:vertAlign w:val="baseline"/>
          <w:rtl/>
        </w:rPr>
      </w:pPr>
      <w:r w:rsidRPr="003E5026">
        <w:rPr>
          <w:rStyle w:val="FootnoteReference"/>
          <w:rFonts w:cstheme="majorBidi"/>
          <w:sz w:val="26"/>
          <w:szCs w:val="26"/>
          <w:vertAlign w:val="baseline"/>
        </w:rPr>
        <w:t>Women seem to have interioritized male otherness without therby abandoning</w:t>
      </w:r>
      <w:r w:rsidRPr="009368DE">
        <w:rPr>
          <w:rStyle w:val="FootnoteReference"/>
          <w:rFonts w:cstheme="majorBidi"/>
          <w:sz w:val="14"/>
          <w:szCs w:val="14"/>
          <w:vertAlign w:val="baseline"/>
        </w:rPr>
        <w:t xml:space="preserve"> </w:t>
      </w:r>
      <w:r w:rsidRPr="003E5026">
        <w:rPr>
          <w:rStyle w:val="FootnoteReference"/>
          <w:rFonts w:cstheme="majorBidi"/>
          <w:sz w:val="26"/>
          <w:szCs w:val="26"/>
          <w:vertAlign w:val="baseline"/>
        </w:rPr>
        <w:t>their traditional female identity. Twentiethcentery Western women is</w:t>
      </w:r>
      <w:r w:rsidRPr="009368DE">
        <w:rPr>
          <w:rStyle w:val="FootnoteReference"/>
          <w:rFonts w:cstheme="majorBidi"/>
          <w:sz w:val="16"/>
          <w:szCs w:val="16"/>
          <w:vertAlign w:val="baseline"/>
        </w:rPr>
        <w:t xml:space="preserve"> </w:t>
      </w:r>
      <w:r w:rsidRPr="003E5026">
        <w:rPr>
          <w:rStyle w:val="FootnoteReference"/>
          <w:rFonts w:cstheme="majorBidi"/>
          <w:sz w:val="26"/>
          <w:szCs w:val="26"/>
          <w:vertAlign w:val="baseline"/>
        </w:rPr>
        <w:t>truly an</w:t>
      </w:r>
      <w:r w:rsidRPr="009368DE">
        <w:rPr>
          <w:rStyle w:val="FootnoteReference"/>
          <w:rFonts w:cstheme="majorBidi"/>
          <w:sz w:val="16"/>
          <w:szCs w:val="16"/>
          <w:vertAlign w:val="baseline"/>
        </w:rPr>
        <w:t xml:space="preserve"> </w:t>
      </w:r>
      <w:r w:rsidRPr="003E5026">
        <w:rPr>
          <w:rStyle w:val="FootnoteReference"/>
          <w:rFonts w:cstheme="majorBidi"/>
          <w:sz w:val="26"/>
          <w:szCs w:val="26"/>
          <w:vertAlign w:val="baseline"/>
        </w:rPr>
        <w:t>anderogynous creature. She</w:t>
      </w:r>
      <w:r w:rsidRPr="009368DE">
        <w:rPr>
          <w:rStyle w:val="FootnoteReference"/>
          <w:rFonts w:cstheme="majorBidi"/>
          <w:sz w:val="8"/>
          <w:szCs w:val="8"/>
          <w:vertAlign w:val="baseline"/>
        </w:rPr>
        <w:t xml:space="preserve"> </w:t>
      </w:r>
      <w:r w:rsidRPr="003E5026">
        <w:rPr>
          <w:rStyle w:val="FootnoteReference"/>
          <w:rFonts w:cstheme="majorBidi"/>
          <w:sz w:val="26"/>
          <w:szCs w:val="26"/>
          <w:vertAlign w:val="baseline"/>
        </w:rPr>
        <w:t xml:space="preserve">is both virile and feminine </w:t>
      </w:r>
      <w:r w:rsidRPr="003E5026">
        <w:rPr>
          <w:rStyle w:val="FootnoteReference"/>
          <w:rFonts w:cstheme="majorBidi"/>
          <w:sz w:val="26"/>
          <w:szCs w:val="26"/>
          <w:vertAlign w:val="baseline"/>
          <w:rtl/>
        </w:rPr>
        <w:t>،</w:t>
      </w:r>
      <w:r w:rsidRPr="003E5026">
        <w:rPr>
          <w:rStyle w:val="FootnoteReference"/>
          <w:rFonts w:cstheme="majorBidi"/>
          <w:sz w:val="26"/>
          <w:szCs w:val="26"/>
          <w:vertAlign w:val="baseline"/>
        </w:rPr>
        <w:t xml:space="preserve"> and she slips out of one role and into another according to the time of day or at different times in her life. She is unwilling to forgo anything </w:t>
      </w:r>
      <w:r w:rsidRPr="003E5026">
        <w:rPr>
          <w:rStyle w:val="FootnoteReference"/>
          <w:rFonts w:cstheme="majorBidi"/>
          <w:sz w:val="26"/>
          <w:szCs w:val="26"/>
          <w:vertAlign w:val="baseline"/>
          <w:rtl/>
        </w:rPr>
        <w:t>،</w:t>
      </w:r>
      <w:r w:rsidRPr="003E5026">
        <w:rPr>
          <w:rStyle w:val="FootnoteReference"/>
          <w:rFonts w:cstheme="majorBidi"/>
          <w:sz w:val="26"/>
          <w:szCs w:val="26"/>
          <w:vertAlign w:val="baseline"/>
        </w:rPr>
        <w:t xml:space="preserve"> and walks a tightrope</w:t>
      </w:r>
      <w:r>
        <w:rPr>
          <w:rStyle w:val="FootnoteReference"/>
          <w:rFonts w:cstheme="majorBidi" w:hint="cs"/>
          <w:sz w:val="26"/>
          <w:szCs w:val="26"/>
          <w:vertAlign w:val="baseline"/>
          <w:rtl/>
        </w:rPr>
        <w:t>-</w:t>
      </w:r>
      <w:r>
        <w:rPr>
          <w:rFonts w:cstheme="majorBidi" w:hint="cs"/>
          <w:sz w:val="26"/>
          <w:szCs w:val="26"/>
          <w:rtl/>
        </w:rPr>
        <w:t xml:space="preserve"> </w:t>
      </w:r>
      <w:r w:rsidRPr="003E5026">
        <w:rPr>
          <w:rStyle w:val="FootnoteReference"/>
          <w:rFonts w:cstheme="majorBidi"/>
          <w:sz w:val="26"/>
          <w:szCs w:val="26"/>
          <w:vertAlign w:val="baseline"/>
        </w:rPr>
        <w:t xml:space="preserve"> by no means always easy to do between her female and male desire. By turns passive and active</w:t>
      </w:r>
      <w:r w:rsidRPr="003E5026">
        <w:rPr>
          <w:rStyle w:val="FootnoteReference"/>
          <w:rFonts w:cstheme="majorBidi"/>
          <w:sz w:val="26"/>
          <w:szCs w:val="26"/>
          <w:vertAlign w:val="baseline"/>
          <w:rtl/>
        </w:rPr>
        <w:t>،</w:t>
      </w:r>
      <w:r w:rsidRPr="003E5026">
        <w:rPr>
          <w:rStyle w:val="FootnoteReference"/>
          <w:rFonts w:cstheme="majorBidi"/>
          <w:sz w:val="26"/>
          <w:szCs w:val="26"/>
          <w:vertAlign w:val="baseline"/>
        </w:rPr>
        <w:t>devoted mothers and ambitious egoists</w:t>
      </w:r>
      <w:r w:rsidRPr="003E5026">
        <w:rPr>
          <w:rStyle w:val="FootnoteReference"/>
          <w:rFonts w:cstheme="majorBidi"/>
          <w:sz w:val="26"/>
          <w:szCs w:val="26"/>
          <w:vertAlign w:val="baseline"/>
          <w:rtl/>
        </w:rPr>
        <w:t>،</w:t>
      </w:r>
      <w:r w:rsidRPr="003E5026">
        <w:rPr>
          <w:rStyle w:val="FootnoteReference"/>
          <w:rFonts w:cstheme="majorBidi"/>
          <w:sz w:val="26"/>
          <w:szCs w:val="26"/>
          <w:vertAlign w:val="baseline"/>
        </w:rPr>
        <w:t xml:space="preserve"> gentle and aggressive </w:t>
      </w:r>
      <w:r w:rsidRPr="003E5026">
        <w:rPr>
          <w:rStyle w:val="FootnoteReference"/>
          <w:rFonts w:cstheme="majorBidi"/>
          <w:sz w:val="26"/>
          <w:szCs w:val="26"/>
          <w:vertAlign w:val="baseline"/>
          <w:rtl/>
        </w:rPr>
        <w:t>،</w:t>
      </w:r>
      <w:r w:rsidRPr="003E5026">
        <w:rPr>
          <w:rStyle w:val="FootnoteReference"/>
          <w:rFonts w:cstheme="majorBidi"/>
          <w:sz w:val="26"/>
          <w:szCs w:val="26"/>
          <w:vertAlign w:val="baseline"/>
        </w:rPr>
        <w:t xml:space="preserve"> patient and commanding</w:t>
      </w:r>
      <w:r w:rsidRPr="003E5026">
        <w:rPr>
          <w:rStyle w:val="FootnoteReference"/>
          <w:rFonts w:cstheme="majorBidi"/>
          <w:sz w:val="26"/>
          <w:szCs w:val="26"/>
          <w:vertAlign w:val="baseline"/>
          <w:rtl/>
        </w:rPr>
        <w:t>،</w:t>
      </w:r>
      <w:r w:rsidRPr="003E5026">
        <w:rPr>
          <w:rStyle w:val="FootnoteReference"/>
          <w:rFonts w:cstheme="majorBidi"/>
          <w:sz w:val="26"/>
          <w:szCs w:val="26"/>
          <w:vertAlign w:val="baseline"/>
        </w:rPr>
        <w:t xml:space="preserve"> modern women have shuffled the identity cards that they were dealt (badinter 1986b)</w:t>
      </w:r>
    </w:p>
  </w:footnote>
  <w:footnote w:id="94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هذا التمايز الذي تمّ طرحه من قبل عالم الاجتماع الأمريكي تالكوت بارسونس كان محلاً للنقد الشديد من قبل النسويات.</w:t>
      </w:r>
    </w:p>
  </w:footnote>
  <w:footnote w:id="94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 باحث في الفكر الإسلامي وقضايا المرأة.</w:t>
      </w:r>
    </w:p>
  </w:footnote>
  <w:footnote w:id="94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الفخر الرازي، التفسير الكبير.</w:t>
      </w:r>
    </w:p>
  </w:footnote>
  <w:footnote w:id="94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الزمخشري، ربيع الأنوار1: 869، منشورات الشريف الرضي. </w:t>
      </w:r>
    </w:p>
  </w:footnote>
  <w:footnote w:id="94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ابن الأثير، النهاية في غريب الحديث والأثر4: 373.</w:t>
      </w:r>
    </w:p>
  </w:footnote>
  <w:footnote w:id="94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الحاكم، المستدرك2: 237 ـ 431، بيروت، دار الكتب العلمية.</w:t>
      </w:r>
    </w:p>
  </w:footnote>
  <w:footnote w:id="94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w:t>
      </w:r>
    </w:p>
  </w:footnote>
  <w:footnote w:id="95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w:t>
      </w:r>
    </w:p>
  </w:footnote>
  <w:footnote w:id="95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الصدوق، ثواب الأعمال: 448، والطبرسي، مكارم الأخلاق: 251.</w:t>
      </w:r>
    </w:p>
  </w:footnote>
  <w:footnote w:id="95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الحاكم، المستدرك2: 175،</w:t>
      </w:r>
    </w:p>
  </w:footnote>
  <w:footnote w:id="95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راجع كتاب المغازي1 :269.</w:t>
      </w:r>
    </w:p>
  </w:footnote>
  <w:footnote w:id="95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راجع كتاب: جان ستيورات ميل، استعباد النساء.</w:t>
      </w:r>
    </w:p>
  </w:footnote>
  <w:footnote w:id="95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توضيح من المترجم.</w:t>
      </w:r>
    </w:p>
  </w:footnote>
  <w:footnote w:id="95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مارتن سكالن ـ علم اجتماع تاريخ العائلة: 335.</w:t>
      </w:r>
    </w:p>
  </w:footnote>
  <w:footnote w:id="95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الحركة النسوية، من منشورات مكتب ممثل الولي الفقيه في الجامعة.</w:t>
      </w:r>
    </w:p>
  </w:footnote>
  <w:footnote w:id="95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المرأة في الحقبة القاجارية: 111.</w:t>
      </w:r>
    </w:p>
  </w:footnote>
  <w:footnote w:id="95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من بيان بمناسبة يوم المرأة في 16 / 5 / 1989م، صحيفة النور12: 148، وهو كناية عن وقوف السيدة زينب عليها السلام ابنة السيدة الزهراء عليها السلام في وجه حكومة يزيد إثر واقعة كربلاء.</w:t>
      </w:r>
    </w:p>
  </w:footnote>
  <w:footnote w:id="96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من بيان يوم المرأة العالمي في 14 / 4 / 1982م ـ 20 جمادى الثانية ، ذكرى ولادة السيدة فاطمة الزهراء سلام الله عليها.</w:t>
      </w:r>
    </w:p>
  </w:footnote>
  <w:footnote w:id="96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خلال لقاء جمع من الأخوات بمناسبة يوم المرأة، في 2 / 3 / 1986م.</w:t>
      </w:r>
    </w:p>
  </w:footnote>
  <w:footnote w:id="96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كلمة للإمام الخميني بشأن خدعة الشاه الجديدة 9 / 11 / 1978م، صحيفة النور11: 143.</w:t>
      </w:r>
    </w:p>
  </w:footnote>
  <w:footnote w:id="963">
    <w:p w:rsidR="0071680A" w:rsidRPr="003E5026" w:rsidRDefault="0071680A" w:rsidP="00A731E2">
      <w:pPr>
        <w:pStyle w:val="11"/>
        <w:widowControl w:val="0"/>
        <w:spacing w:line="211"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من حديث مع جمع نسائي، في 6 / 3 / 1979م، صحيفة النور، ج15، ص199.</w:t>
      </w:r>
    </w:p>
  </w:footnote>
  <w:footnote w:id="964">
    <w:p w:rsidR="0071680A" w:rsidRPr="003E5026" w:rsidRDefault="0071680A" w:rsidP="00A731E2">
      <w:pPr>
        <w:pStyle w:val="11"/>
        <w:widowControl w:val="0"/>
        <w:spacing w:line="211"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من بيان بمناسبة يوم المرأة في 6 / 5 / 1989م، صحيفة النور، ج16، ص246.</w:t>
      </w:r>
    </w:p>
  </w:footnote>
  <w:footnote w:id="965">
    <w:p w:rsidR="0071680A" w:rsidRPr="003E5026" w:rsidRDefault="0071680A" w:rsidP="00A731E2">
      <w:pPr>
        <w:pStyle w:val="11"/>
        <w:widowControl w:val="0"/>
        <w:spacing w:line="211"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صحيفة النور13: 219.</w:t>
      </w:r>
    </w:p>
  </w:footnote>
  <w:footnote w:id="966">
    <w:p w:rsidR="0071680A" w:rsidRPr="003E5026" w:rsidRDefault="0071680A" w:rsidP="00A731E2">
      <w:pPr>
        <w:pStyle w:val="11"/>
        <w:widowControl w:val="0"/>
        <w:spacing w:line="211"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من حديث في جمع من النساء بمدينة قم في 1 / 2 / 1980م. صحيفة النور15: 257.</w:t>
      </w:r>
    </w:p>
  </w:footnote>
  <w:footnote w:id="96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صحيفة النور 15: 237، 238.</w:t>
      </w:r>
    </w:p>
  </w:footnote>
  <w:footnote w:id="96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صحيفة النور 9: 137.</w:t>
      </w:r>
    </w:p>
  </w:footnote>
  <w:footnote w:id="96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15: 232.</w:t>
      </w:r>
    </w:p>
  </w:footnote>
  <w:footnote w:id="97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حديث في جمع من النساء في 1 / 2 / 1980م، صحيفة النور 13: 221.</w:t>
      </w:r>
    </w:p>
  </w:footnote>
  <w:footnote w:id="97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حديث في جمع من عوائل الشهداء، صحيفة النور 16: 5.</w:t>
      </w:r>
    </w:p>
  </w:footnote>
  <w:footnote w:id="97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من كلمة موجهة إلى الشعب الإيراني، صحيفة النور 14: 129.</w:t>
      </w:r>
    </w:p>
  </w:footnote>
  <w:footnote w:id="97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من لقاء مع وفد حركة أمل، صحيفة النور 18: 52.</w:t>
      </w:r>
    </w:p>
  </w:footnote>
  <w:footnote w:id="97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من حديث مع جمع من مختلف طبقات الشعب في 29 / 3 / 1979م، صحيفة النور 16: 122.</w:t>
      </w:r>
    </w:p>
  </w:footnote>
  <w:footnote w:id="97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185.</w:t>
      </w:r>
    </w:p>
  </w:footnote>
  <w:footnote w:id="976">
    <w:p w:rsidR="0071680A" w:rsidRPr="003E5026" w:rsidRDefault="0071680A" w:rsidP="00A731E2">
      <w:pPr>
        <w:pStyle w:val="11"/>
        <w:widowControl w:val="0"/>
        <w:spacing w:line="211"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من حديث مع جمع من النساء في 1 / 2 / 1980م، صحيفة النور 16: 15.</w:t>
      </w:r>
    </w:p>
  </w:footnote>
  <w:footnote w:id="977">
    <w:p w:rsidR="0071680A" w:rsidRPr="003E5026" w:rsidRDefault="0071680A" w:rsidP="00A731E2">
      <w:pPr>
        <w:pStyle w:val="11"/>
        <w:widowControl w:val="0"/>
        <w:spacing w:line="211"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صحيفة النور 14: 142.</w:t>
      </w:r>
    </w:p>
  </w:footnote>
  <w:footnote w:id="978">
    <w:p w:rsidR="0071680A" w:rsidRPr="003E5026" w:rsidRDefault="0071680A" w:rsidP="00A731E2">
      <w:pPr>
        <w:pStyle w:val="11"/>
        <w:widowControl w:val="0"/>
        <w:spacing w:line="211"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صحيفة النور 8: 179.</w:t>
      </w:r>
    </w:p>
  </w:footnote>
  <w:footnote w:id="979">
    <w:p w:rsidR="0071680A" w:rsidRPr="003E5026" w:rsidRDefault="0071680A" w:rsidP="00A731E2">
      <w:pPr>
        <w:pStyle w:val="11"/>
        <w:widowControl w:val="0"/>
        <w:spacing w:line="211"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صحيفة النور 8: 205.</w:t>
      </w:r>
    </w:p>
  </w:footnote>
  <w:footnote w:id="98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من لقاء مع مراسلي إذاعة مونتي كارلو في 28 / 12 / 1978م.</w:t>
      </w:r>
    </w:p>
  </w:footnote>
  <w:footnote w:id="98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الشادور: لباس خاص شبيه بالعباءة تتحجب به المرأة المسلمة في إيران يغطي جميع الجسم من الرأس وحتى القدمين ما عداء قرص الوجه.</w:t>
      </w:r>
    </w:p>
  </w:footnote>
  <w:footnote w:id="98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من لقاء مع الدكتور كوكلورفت في 28 / 12 / 1988م.</w:t>
      </w:r>
    </w:p>
  </w:footnote>
  <w:footnote w:id="98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من حديث مع جمع من علماء الدين والطلبة في مدينة قم في 6 / 3 / 1979م.</w:t>
      </w:r>
    </w:p>
  </w:footnote>
  <w:footnote w:id="98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صحفية إيطالية كبيرة في السنّ، قابلت الإمام الخميني واسمها اُوريانا فالاجي.</w:t>
      </w:r>
    </w:p>
  </w:footnote>
  <w:footnote w:id="98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جواب الإمام على الصحفية المذكورة، في 12 / 9 / 1979م.</w:t>
      </w:r>
    </w:p>
  </w:footnote>
  <w:footnote w:id="98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من حديث مع النساء بمناسبة يوم المرأة في 12 / 3 / 1985م.</w:t>
      </w:r>
    </w:p>
  </w:footnote>
  <w:footnote w:id="98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الظاهر أن مراد الإمام هو الشاه رضا خان البهلوي وابنه محمد.</w:t>
      </w:r>
    </w:p>
  </w:footnote>
  <w:footnote w:id="98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من حديث في جمع من المعلّمات في 30 / 9 / 1979م.</w:t>
      </w:r>
    </w:p>
  </w:footnote>
  <w:footnote w:id="98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من حديث في جمع من المدرّسين في 26 / 10 / 1979م.</w:t>
      </w:r>
    </w:p>
  </w:footnote>
  <w:footnote w:id="99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من حديث في مجمع من عناصر الحرس الثوري في 16 / 12 / 1979م.</w:t>
      </w:r>
    </w:p>
  </w:footnote>
  <w:footnote w:id="99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 فقيه معروف، ورئيس رابطة الثقافة والعلاقات الإسلامية، من أبرز وجوه التقريب بين المذاهب في العالم الإسلامي.</w:t>
      </w:r>
    </w:p>
  </w:footnote>
  <w:footnote w:id="99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 باحثة في الفكر الاجتماعي.</w:t>
      </w:r>
    </w:p>
  </w:footnote>
  <w:footnote w:id="99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پاملا ابوت وكلروالاس، مدخل إلى علم إجتماع مذاهب المساواة: 15.</w:t>
      </w:r>
    </w:p>
  </w:footnote>
  <w:footnote w:id="99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42.</w:t>
      </w:r>
    </w:p>
  </w:footnote>
  <w:footnote w:id="99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43.</w:t>
      </w:r>
    </w:p>
  </w:footnote>
  <w:footnote w:id="99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246.</w:t>
      </w:r>
    </w:p>
  </w:footnote>
  <w:footnote w:id="99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المجلة الفصلية للجميعة الثقافية الاجتماعية النسوية 4: 139.</w:t>
      </w:r>
    </w:p>
  </w:footnote>
  <w:footnote w:id="99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آندريه ميشل، الحركة الاجتماعية النسوية: 123، ترجمة عمر هما زنجاني زاده.</w:t>
      </w:r>
    </w:p>
  </w:footnote>
  <w:footnote w:id="99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پاملا ابوت وكلروالاس، مدخل إلى علم اجتماع مذاهب المساواة.</w:t>
      </w:r>
    </w:p>
  </w:footnote>
  <w:footnote w:id="1000">
    <w:p w:rsidR="0071680A" w:rsidRPr="003E5026" w:rsidRDefault="0071680A" w:rsidP="006630AC">
      <w:pPr>
        <w:pStyle w:val="11"/>
        <w:widowControl w:val="0"/>
        <w:spacing w:line="168"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صحيفة المرأة، الجيل النسوي الحديث في إيران، السنة الأولى: 173.</w:t>
      </w:r>
    </w:p>
  </w:footnote>
  <w:footnote w:id="100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الأحزاب: 59.</w:t>
      </w:r>
    </w:p>
  </w:footnote>
  <w:footnote w:id="100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الأحزاب: 53.</w:t>
      </w:r>
    </w:p>
  </w:footnote>
  <w:footnote w:id="100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النور: 61.</w:t>
      </w:r>
    </w:p>
  </w:footnote>
  <w:footnote w:id="100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الكليني، فروع الكافي 5: 528.</w:t>
      </w:r>
    </w:p>
  </w:footnote>
  <w:footnote w:id="100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مسالك الأفهام، فاضل ميبدي.</w:t>
      </w:r>
    </w:p>
  </w:footnote>
  <w:footnote w:id="100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وسائل الشيعة 11: 86.</w:t>
      </w:r>
    </w:p>
  </w:footnote>
  <w:footnote w:id="100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7: 674.</w:t>
      </w:r>
    </w:p>
  </w:footnote>
  <w:footnote w:id="100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13: 143.</w:t>
      </w:r>
    </w:p>
  </w:footnote>
  <w:footnote w:id="100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الجديد في الأفكار، نظرة إلى مدرسة المساواة بين الجنسين: 2.</w:t>
      </w:r>
    </w:p>
  </w:footnote>
  <w:footnote w:id="101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مجلة كيهان انديشه (فارسية)، محمد صادق رحمتي، مقالة علم النفس الاجتماعي المعاصر : 73.</w:t>
      </w:r>
    </w:p>
  </w:footnote>
  <w:footnote w:id="101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ذبيح الله جوادي، ألف باء الفلسفة الحديثة: 26.</w:t>
      </w:r>
    </w:p>
  </w:footnote>
  <w:footnote w:id="101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256.</w:t>
      </w:r>
    </w:p>
  </w:footnote>
  <w:footnote w:id="101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علي أكبر سباسي، نظريات الشيخية: 26.</w:t>
      </w:r>
    </w:p>
  </w:footnote>
  <w:footnote w:id="101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247.</w:t>
      </w:r>
    </w:p>
  </w:footnote>
  <w:footnote w:id="101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تأريخ فلسفة الغرب.</w:t>
      </w:r>
    </w:p>
  </w:footnote>
  <w:footnote w:id="101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جورج ريجرز، نظريات علم الاجتماع في العصر الراهن، ترجمة: محسن شلاش.</w:t>
      </w:r>
    </w:p>
  </w:footnote>
  <w:footnote w:id="101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آية الله جوادي آملي، الشريعة في مرآة المعرفة: 272.</w:t>
      </w:r>
    </w:p>
  </w:footnote>
  <w:footnote w:id="101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پاملا ابوت وكلروالاس، مدخل إلى علم اجتماع مذاهب المساواة: 260 ـ 261.</w:t>
      </w:r>
    </w:p>
  </w:footnote>
  <w:footnote w:id="101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فصلية كتاب نقد، الإسلام والنظام في الليبرالية الرأسمالية: 11.</w:t>
      </w:r>
    </w:p>
  </w:footnote>
  <w:footnote w:id="102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پاملا ابوت وكلرو الاس، مدخل إلى علم اجتماع مذاهب المساواة: 246.</w:t>
      </w:r>
    </w:p>
  </w:footnote>
  <w:footnote w:id="102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آية الله جوادي آملي، المرأة في مرآة الجلال والجمال: 76.</w:t>
      </w:r>
    </w:p>
  </w:footnote>
  <w:footnote w:id="102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77.</w:t>
      </w:r>
    </w:p>
  </w:footnote>
  <w:footnote w:id="102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79.</w:t>
      </w:r>
    </w:p>
  </w:footnote>
  <w:footnote w:id="102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النور: 31.</w:t>
      </w:r>
    </w:p>
  </w:footnote>
  <w:footnote w:id="102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پاملا ابوت وكلرو الاس، مدخل إلى علم إجتماع مذاهب المساواة.</w:t>
      </w:r>
    </w:p>
  </w:footnote>
  <w:footnote w:id="102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أسس الحياة في الفوارق بين الرجل والمرأة ـ فصلية فرزانه: 2 و3.</w:t>
      </w:r>
    </w:p>
  </w:footnote>
  <w:footnote w:id="102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الحجر: 21.</w:t>
      </w:r>
    </w:p>
  </w:footnote>
  <w:footnote w:id="102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أثين جيلون، نقد الفكر الفلسفي الغربي منذ القرون الوسطى حتى مطلع القرن الحاضر، ترجمة أحمد أحمدي: 270.</w:t>
      </w:r>
    </w:p>
  </w:footnote>
  <w:footnote w:id="102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آية الله جوادي آملي، الشريعة في مرآة المعرفة: 215.</w:t>
      </w:r>
    </w:p>
  </w:footnote>
  <w:footnote w:id="103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تقي زاده أرمكي، الفكر الاجتماعي لمفكري الإسلام من الفارابي إلى إبن خلدون: 105.</w:t>
      </w:r>
    </w:p>
  </w:footnote>
  <w:footnote w:id="103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103.</w:t>
      </w:r>
    </w:p>
  </w:footnote>
  <w:footnote w:id="103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المؤمنون: 14.</w:t>
      </w:r>
    </w:p>
  </w:footnote>
  <w:footnote w:id="103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المرأة في مرآة الجلال والجمال، مصدر سابق.</w:t>
      </w:r>
    </w:p>
  </w:footnote>
  <w:footnote w:id="103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 أستاذ جامعي وباحث مختص بشؤون التربية.</w:t>
      </w:r>
    </w:p>
  </w:footnote>
  <w:footnote w:id="103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نهج البلاغة، الرسالة 53: 426 ـ تحقيق الدكتور صبحي الصالح.</w:t>
      </w:r>
    </w:p>
  </w:footnote>
  <w:footnote w:id="103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اُصول الكافي، الكليني 2: 164، باب الاهتمام بأمور المسلمين والنصيحة لهم ونفعهم.</w:t>
      </w:r>
    </w:p>
  </w:footnote>
  <w:footnote w:id="103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نهج البلاغة، الرسالة 31: 405 ـ تحقيق الدكتور صبحي الصالح.</w:t>
      </w:r>
    </w:p>
  </w:footnote>
  <w:footnote w:id="103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سورة القلم: الآية 4.</w:t>
      </w:r>
    </w:p>
  </w:footnote>
  <w:footnote w:id="103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سورة محمد: الآية 9، سورة غافر: 55.</w:t>
      </w:r>
    </w:p>
  </w:footnote>
  <w:footnote w:id="104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أصول الكافي، الكليني 2: 86، باب الاقتصاد في العبادة.</w:t>
      </w:r>
    </w:p>
  </w:footnote>
  <w:footnote w:id="104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المائدة: 105</w:t>
      </w:r>
    </w:p>
  </w:footnote>
  <w:footnote w:id="104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 باحثة في قضايا المرأة.</w:t>
      </w:r>
    </w:p>
  </w:footnote>
  <w:footnote w:id="104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الصحيفة الفاطمية، ص96 دعاؤها عليها السلام في يوم الخميس.</w:t>
      </w:r>
    </w:p>
  </w:footnote>
  <w:footnote w:id="104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الروم: 30.</w:t>
      </w:r>
    </w:p>
  </w:footnote>
  <w:footnote w:id="104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نهج البلاغة: الحكمة 474.</w:t>
      </w:r>
    </w:p>
  </w:footnote>
  <w:footnote w:id="1046">
    <w:p w:rsidR="0071680A" w:rsidRPr="003E5026" w:rsidRDefault="0071680A" w:rsidP="00B96741">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لسان العرب9: 290، أقرب الموارد3: 803، المعجم الوسيط:611، </w:t>
      </w:r>
      <w:r>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كف عما لا يحل ولا تجمل من قول أو فعل</w:t>
      </w:r>
      <w:r>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w:t>
      </w:r>
    </w:p>
  </w:footnote>
  <w:footnote w:id="104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مجمع البحرين، فخر الدين بن محمد الطريحي2: 208.</w:t>
      </w:r>
    </w:p>
  </w:footnote>
  <w:footnote w:id="104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معجم مفردات ألفاظ القرآن.</w:t>
      </w:r>
    </w:p>
  </w:footnote>
  <w:footnote w:id="104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المعجم الوسيط: 611.</w:t>
      </w:r>
    </w:p>
  </w:footnote>
  <w:footnote w:id="105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قاموس القرآن5:  18 ـ 19.</w:t>
      </w:r>
    </w:p>
  </w:footnote>
  <w:footnote w:id="105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البقرة: 273.</w:t>
      </w:r>
    </w:p>
  </w:footnote>
  <w:footnote w:id="105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النساء: 6.</w:t>
      </w:r>
    </w:p>
  </w:footnote>
  <w:footnote w:id="105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النور: 33.</w:t>
      </w:r>
    </w:p>
  </w:footnote>
  <w:footnote w:id="105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مصطفوي، حسن، التحقيق في كلمات القرآن الكريم: 180 ـ 181.</w:t>
      </w:r>
    </w:p>
  </w:footnote>
  <w:footnote w:id="105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النور: 60.</w:t>
      </w:r>
    </w:p>
  </w:footnote>
  <w:footnote w:id="105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طهارة الأعراق، ابن مسكويه، ترجمة السيدة مجتهدة أمين: 33.</w:t>
      </w:r>
    </w:p>
  </w:footnote>
  <w:footnote w:id="105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معراج السعادة، ملا أحمد النراقي: 190.</w:t>
      </w:r>
    </w:p>
  </w:footnote>
  <w:footnote w:id="1058">
    <w:p w:rsidR="0071680A" w:rsidRPr="003E5026" w:rsidRDefault="0071680A" w:rsidP="00B96741">
      <w:pPr>
        <w:pStyle w:val="11"/>
        <w:widowControl w:val="0"/>
        <w:spacing w:line="199"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الأعراف: 22.</w:t>
      </w:r>
    </w:p>
  </w:footnote>
  <w:footnote w:id="1059">
    <w:p w:rsidR="0071680A" w:rsidRPr="003E5026" w:rsidRDefault="0071680A" w:rsidP="00B96741">
      <w:pPr>
        <w:pStyle w:val="11"/>
        <w:widowControl w:val="0"/>
        <w:spacing w:line="199"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العهد الجديد:  336.</w:t>
      </w:r>
    </w:p>
  </w:footnote>
  <w:footnote w:id="1060">
    <w:p w:rsidR="0071680A" w:rsidRPr="003E5026" w:rsidRDefault="0071680A" w:rsidP="00B96741">
      <w:pPr>
        <w:pStyle w:val="11"/>
        <w:widowControl w:val="0"/>
        <w:spacing w:line="199"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مجلة </w:t>
      </w:r>
      <w:r w:rsidRPr="003E5026">
        <w:rPr>
          <w:rStyle w:val="FootnoteReference"/>
          <w:rFonts w:ascii="Mosawi" w:hAnsi="Mosawi" w:cs="Mosawi" w:hint="eastAsia"/>
          <w:sz w:val="26"/>
          <w:szCs w:val="26"/>
          <w:vertAlign w:val="baseline"/>
          <w:rtl/>
        </w:rPr>
        <w:t>«</w:t>
      </w:r>
      <w:r w:rsidRPr="003E5026">
        <w:rPr>
          <w:rStyle w:val="FootnoteReference"/>
          <w:rFonts w:ascii="Mosawi" w:hAnsi="Mosawi" w:cs="Mosawi" w:hint="cs"/>
          <w:sz w:val="26"/>
          <w:szCs w:val="26"/>
          <w:vertAlign w:val="baseline"/>
          <w:rtl/>
        </w:rPr>
        <w:t>بيام زن</w:t>
      </w:r>
      <w:r w:rsidRPr="003E5026">
        <w:rPr>
          <w:rStyle w:val="FootnoteReference"/>
          <w:rFonts w:ascii="Mosawi" w:hAnsi="Mosawi" w:cs="Mosawi" w:hint="eastAsia"/>
          <w:sz w:val="26"/>
          <w:szCs w:val="26"/>
          <w:vertAlign w:val="baseline"/>
          <w:rtl/>
        </w:rPr>
        <w:t>»</w:t>
      </w:r>
      <w:r w:rsidRPr="003E5026">
        <w:rPr>
          <w:rStyle w:val="FootnoteReference"/>
          <w:rFonts w:ascii="Mosawi" w:hAnsi="Mosawi" w:cs="Mosawi" w:hint="cs"/>
          <w:sz w:val="26"/>
          <w:szCs w:val="26"/>
          <w:vertAlign w:val="baseline"/>
          <w:rtl/>
        </w:rPr>
        <w:t>، مقالة: «الإنسان، الستر وجذوره التاريخية</w:t>
      </w:r>
      <w:r w:rsidRPr="003E5026">
        <w:rPr>
          <w:rStyle w:val="FootnoteReference"/>
          <w:rFonts w:ascii="Mosawi" w:hAnsi="Mosawi" w:cs="Mosawi" w:hint="eastAsia"/>
          <w:sz w:val="26"/>
          <w:szCs w:val="26"/>
          <w:vertAlign w:val="baseline"/>
          <w:rtl/>
        </w:rPr>
        <w:t>»</w:t>
      </w:r>
      <w:r w:rsidRPr="003E5026">
        <w:rPr>
          <w:rStyle w:val="FootnoteReference"/>
          <w:rFonts w:ascii="Mosawi" w:hAnsi="Mosawi" w:cs="Mosawi" w:hint="cs"/>
          <w:sz w:val="26"/>
          <w:szCs w:val="26"/>
          <w:vertAlign w:val="baseline"/>
          <w:rtl/>
        </w:rPr>
        <w:t>، ج19: 69.</w:t>
      </w:r>
    </w:p>
  </w:footnote>
  <w:footnote w:id="106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hint="eastAsia"/>
          <w:sz w:val="26"/>
          <w:szCs w:val="26"/>
          <w:vertAlign w:val="baseline"/>
          <w:rtl/>
        </w:rPr>
        <w:t>«</w:t>
      </w:r>
      <w:r w:rsidRPr="003E5026">
        <w:rPr>
          <w:rStyle w:val="FootnoteReference"/>
          <w:rFonts w:ascii="Mosawi" w:hAnsi="Mosawi" w:cs="Mosawi" w:hint="cs"/>
          <w:sz w:val="26"/>
          <w:szCs w:val="26"/>
          <w:vertAlign w:val="baseline"/>
          <w:rtl/>
        </w:rPr>
        <w:t>زن به ظن تاريخ</w:t>
      </w:r>
      <w:r w:rsidRPr="003E5026">
        <w:rPr>
          <w:rStyle w:val="FootnoteReference"/>
          <w:rFonts w:ascii="Mosawi" w:hAnsi="Mosawi" w:cs="Mosawi" w:hint="eastAsia"/>
          <w:sz w:val="26"/>
          <w:szCs w:val="26"/>
          <w:vertAlign w:val="baseline"/>
          <w:rtl/>
        </w:rPr>
        <w:t>»</w:t>
      </w:r>
      <w:r w:rsidRPr="003E5026">
        <w:rPr>
          <w:rStyle w:val="FootnoteReference"/>
          <w:rFonts w:ascii="Mosawi" w:hAnsi="Mosawi" w:cs="Mosawi" w:hint="cs"/>
          <w:sz w:val="26"/>
          <w:szCs w:val="26"/>
          <w:vertAlign w:val="baseline"/>
          <w:rtl/>
        </w:rPr>
        <w:t>: 71، 141، 115.</w:t>
      </w:r>
    </w:p>
  </w:footnote>
  <w:footnote w:id="106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دائرة المعارف، فريد وجدي، ج3:  336.</w:t>
      </w:r>
    </w:p>
  </w:footnote>
  <w:footnote w:id="1063">
    <w:p w:rsidR="0071680A" w:rsidRPr="003E5026" w:rsidRDefault="0071680A" w:rsidP="00B96741">
      <w:pPr>
        <w:pStyle w:val="11"/>
        <w:widowControl w:val="0"/>
        <w:spacing w:line="204"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التربية وطرق التدريس، صالح عبدالعزيز 1:  124.</w:t>
      </w:r>
    </w:p>
  </w:footnote>
  <w:footnote w:id="1064">
    <w:p w:rsidR="0071680A" w:rsidRPr="003E5026" w:rsidRDefault="0071680A" w:rsidP="00B96741">
      <w:pPr>
        <w:pStyle w:val="11"/>
        <w:widowControl w:val="0"/>
        <w:spacing w:line="204"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إسلام وتعليم وتربيت، حجتي، سيد محمد باقر ، ج1: 79.</w:t>
      </w:r>
    </w:p>
  </w:footnote>
  <w:footnote w:id="1065">
    <w:p w:rsidR="0071680A" w:rsidRPr="003E5026" w:rsidRDefault="0071680A" w:rsidP="00B96741">
      <w:pPr>
        <w:pStyle w:val="11"/>
        <w:widowControl w:val="0"/>
        <w:spacing w:line="204"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خانواده وكودكان گرفتار، علي قائمي: 10 ـ 12.</w:t>
      </w:r>
    </w:p>
  </w:footnote>
  <w:footnote w:id="1066">
    <w:p w:rsidR="0071680A" w:rsidRPr="003E5026" w:rsidRDefault="0071680A" w:rsidP="00B96741">
      <w:pPr>
        <w:pStyle w:val="11"/>
        <w:widowControl w:val="0"/>
        <w:spacing w:line="204"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غرر الحكم</w:t>
      </w:r>
      <w:r>
        <w:rPr>
          <w:rFonts w:ascii="Mosawi" w:hAnsi="Mosawi" w:cs="Mosawi"/>
          <w:sz w:val="26"/>
          <w:szCs w:val="26"/>
        </w:rPr>
        <w:t xml:space="preserve"> </w:t>
      </w:r>
      <w:r w:rsidRPr="003E5026">
        <w:rPr>
          <w:rStyle w:val="FootnoteReference"/>
          <w:rFonts w:ascii="Mosawi" w:hAnsi="Mosawi" w:cs="Mosawi" w:hint="cs"/>
          <w:sz w:val="26"/>
          <w:szCs w:val="26"/>
          <w:vertAlign w:val="baseline"/>
          <w:rtl/>
        </w:rPr>
        <w:t>1:  327.</w:t>
      </w:r>
    </w:p>
  </w:footnote>
  <w:footnote w:id="1067">
    <w:p w:rsidR="0071680A" w:rsidRPr="003E5026" w:rsidRDefault="0071680A" w:rsidP="00B96741">
      <w:pPr>
        <w:pStyle w:val="11"/>
        <w:widowControl w:val="0"/>
        <w:spacing w:line="204"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379.</w:t>
      </w:r>
    </w:p>
  </w:footnote>
  <w:footnote w:id="1068">
    <w:p w:rsidR="0071680A" w:rsidRPr="003E5026" w:rsidRDefault="0071680A" w:rsidP="00B96741">
      <w:pPr>
        <w:pStyle w:val="11"/>
        <w:widowControl w:val="0"/>
        <w:spacing w:line="204"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السيوطي، الجامع الصغير 2:  36.</w:t>
      </w:r>
    </w:p>
  </w:footnote>
  <w:footnote w:id="1069">
    <w:p w:rsidR="0071680A" w:rsidRPr="003E5026" w:rsidRDefault="0071680A" w:rsidP="00B96741">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المجلة الفصلية </w:t>
      </w:r>
      <w:r>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شوراى فرهنگى اجتماعي زنان</w:t>
      </w:r>
      <w:r>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العدد العاشر: 46.</w:t>
      </w:r>
    </w:p>
  </w:footnote>
  <w:footnote w:id="107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المستدرك14:  159.</w:t>
      </w:r>
    </w:p>
  </w:footnote>
  <w:footnote w:id="107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مسند أحمد بن حنبل2:  275.</w:t>
      </w:r>
    </w:p>
  </w:footnote>
  <w:footnote w:id="107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غرر الحكم2: 611.</w:t>
      </w:r>
    </w:p>
  </w:footnote>
  <w:footnote w:id="1073">
    <w:p w:rsidR="0071680A" w:rsidRPr="003E5026" w:rsidRDefault="0071680A" w:rsidP="006140E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المصدر نفسه: 863 </w:t>
      </w:r>
      <w:r>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يستدلّ على عقل الرجل بالعفّة والقناعة</w:t>
      </w:r>
      <w:r>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w:t>
      </w:r>
    </w:p>
  </w:footnote>
  <w:footnote w:id="107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محمد تقي فلسفي، جوان: 365.</w:t>
      </w:r>
    </w:p>
  </w:footnote>
  <w:footnote w:id="107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النور: 30 و31.</w:t>
      </w:r>
    </w:p>
  </w:footnote>
  <w:footnote w:id="107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تفسير الميزان15:  10، روض الجنان 14:  122.</w:t>
      </w:r>
    </w:p>
  </w:footnote>
  <w:footnote w:id="107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مجمع البحرين 4:  218، تفسير نمونة، بالفارسية 14:  436.</w:t>
      </w:r>
    </w:p>
  </w:footnote>
  <w:footnote w:id="107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تحرير الوسيلة2:  243 ـ 245.</w:t>
      </w:r>
    </w:p>
  </w:footnote>
  <w:footnote w:id="107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وسائل الشيعة7:  139.</w:t>
      </w:r>
    </w:p>
  </w:footnote>
  <w:footnote w:id="108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138.</w:t>
      </w:r>
    </w:p>
  </w:footnote>
  <w:footnote w:id="108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139.</w:t>
      </w:r>
    </w:p>
  </w:footnote>
  <w:footnote w:id="108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نهج الفصاحة: 551.</w:t>
      </w:r>
    </w:p>
  </w:footnote>
  <w:footnote w:id="108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وسائل الشيعة7: 142.</w:t>
      </w:r>
    </w:p>
  </w:footnote>
  <w:footnote w:id="108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البقرة: 185.</w:t>
      </w:r>
    </w:p>
  </w:footnote>
  <w:footnote w:id="108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الممتحنة: 12.</w:t>
      </w:r>
    </w:p>
  </w:footnote>
  <w:footnote w:id="108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النساء: 32.</w:t>
      </w:r>
    </w:p>
  </w:footnote>
  <w:footnote w:id="108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القصص: 23.</w:t>
      </w:r>
    </w:p>
  </w:footnote>
  <w:footnote w:id="108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وسائل اشيعة14: 133.</w:t>
      </w:r>
    </w:p>
  </w:footnote>
  <w:footnote w:id="108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المصدر نفسه: 134.</w:t>
      </w:r>
    </w:p>
  </w:footnote>
  <w:footnote w:id="109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كلمة الرسول: 413.</w:t>
      </w:r>
    </w:p>
  </w:footnote>
  <w:footnote w:id="109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وسائل الشيعة14: 142.</w:t>
      </w:r>
    </w:p>
  </w:footnote>
  <w:footnote w:id="109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بحار الأنوار103: 247.</w:t>
      </w:r>
    </w:p>
  </w:footnote>
  <w:footnote w:id="109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نهج الفصاحة: 36.</w:t>
      </w:r>
    </w:p>
  </w:footnote>
  <w:footnote w:id="1094">
    <w:p w:rsidR="0071680A" w:rsidRPr="003E5026" w:rsidRDefault="0071680A" w:rsidP="001D1319">
      <w:pPr>
        <w:pStyle w:val="11"/>
        <w:widowControl w:val="0"/>
        <w:spacing w:line="211"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الأعراف: 32.</w:t>
      </w:r>
    </w:p>
  </w:footnote>
  <w:footnote w:id="1095">
    <w:p w:rsidR="0071680A" w:rsidRPr="003E5026" w:rsidRDefault="0071680A" w:rsidP="001D1319">
      <w:pPr>
        <w:pStyle w:val="11"/>
        <w:widowControl w:val="0"/>
        <w:spacing w:line="211"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تفسير الميزان</w:t>
      </w:r>
      <w:r>
        <w:rPr>
          <w:rFonts w:ascii="Mosawi" w:hAnsi="Mosawi" w:cs="Mosawi" w:hint="cs"/>
          <w:sz w:val="26"/>
          <w:szCs w:val="26"/>
          <w:rtl/>
        </w:rPr>
        <w:t xml:space="preserve"> </w:t>
      </w:r>
      <w:r w:rsidRPr="003E5026">
        <w:rPr>
          <w:rStyle w:val="FootnoteReference"/>
          <w:rFonts w:ascii="Mosawi" w:hAnsi="Mosawi" w:cs="Mosawi" w:hint="cs"/>
          <w:sz w:val="26"/>
          <w:szCs w:val="26"/>
          <w:vertAlign w:val="baseline"/>
          <w:rtl/>
        </w:rPr>
        <w:t>8: 81.</w:t>
      </w:r>
    </w:p>
  </w:footnote>
  <w:footnote w:id="1096">
    <w:p w:rsidR="0071680A" w:rsidRPr="003E5026" w:rsidRDefault="0071680A" w:rsidP="001D1319">
      <w:pPr>
        <w:pStyle w:val="11"/>
        <w:widowControl w:val="0"/>
        <w:spacing w:line="209"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سفينة البحار: 546.</w:t>
      </w:r>
    </w:p>
  </w:footnote>
  <w:footnote w:id="1097">
    <w:p w:rsidR="0071680A" w:rsidRPr="003E5026" w:rsidRDefault="0071680A" w:rsidP="001D1319">
      <w:pPr>
        <w:pStyle w:val="11"/>
        <w:widowControl w:val="0"/>
        <w:spacing w:line="209"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غرر الحكم: 379.</w:t>
      </w:r>
    </w:p>
  </w:footnote>
  <w:footnote w:id="1098">
    <w:p w:rsidR="0071680A" w:rsidRPr="003E5026" w:rsidRDefault="0071680A" w:rsidP="001D1319">
      <w:pPr>
        <w:pStyle w:val="11"/>
        <w:widowControl w:val="0"/>
        <w:spacing w:line="209"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الأعراف: 31.</w:t>
      </w:r>
    </w:p>
  </w:footnote>
  <w:footnote w:id="1099">
    <w:p w:rsidR="0071680A" w:rsidRPr="003E5026" w:rsidRDefault="0071680A" w:rsidP="001D1319">
      <w:pPr>
        <w:pStyle w:val="11"/>
        <w:widowControl w:val="0"/>
        <w:spacing w:line="209"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الأعراف: 32.</w:t>
      </w:r>
    </w:p>
  </w:footnote>
  <w:footnote w:id="1100">
    <w:p w:rsidR="0071680A" w:rsidRPr="003E5026" w:rsidRDefault="0071680A" w:rsidP="001D1319">
      <w:pPr>
        <w:pStyle w:val="11"/>
        <w:widowControl w:val="0"/>
        <w:spacing w:line="209"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تفسير نمونه6: 148.</w:t>
      </w:r>
    </w:p>
  </w:footnote>
  <w:footnote w:id="1101">
    <w:p w:rsidR="0071680A" w:rsidRPr="003E5026" w:rsidRDefault="0071680A" w:rsidP="001D1319">
      <w:pPr>
        <w:pStyle w:val="11"/>
        <w:widowControl w:val="0"/>
        <w:spacing w:line="209"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تفسير الميزان 8: 82.</w:t>
      </w:r>
    </w:p>
  </w:footnote>
  <w:footnote w:id="1102">
    <w:p w:rsidR="0071680A" w:rsidRPr="003E5026" w:rsidRDefault="0071680A" w:rsidP="001D1319">
      <w:pPr>
        <w:pStyle w:val="11"/>
        <w:widowControl w:val="0"/>
        <w:spacing w:line="209"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تفسير مجمع البيان 2: 12.</w:t>
      </w:r>
    </w:p>
  </w:footnote>
  <w:footnote w:id="1103">
    <w:p w:rsidR="0071680A" w:rsidRPr="003E5026" w:rsidRDefault="0071680A" w:rsidP="001D1319">
      <w:pPr>
        <w:pStyle w:val="11"/>
        <w:widowControl w:val="0"/>
        <w:spacing w:line="211"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وسائل الشيعة 3، أبواب اللبس، باب 7.</w:t>
      </w:r>
    </w:p>
  </w:footnote>
  <w:footnote w:id="1104">
    <w:p w:rsidR="0071680A" w:rsidRPr="003E5026" w:rsidRDefault="0071680A" w:rsidP="001D1319">
      <w:pPr>
        <w:pStyle w:val="11"/>
        <w:widowControl w:val="0"/>
        <w:spacing w:line="211"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الأحزاب: 34.</w:t>
      </w:r>
    </w:p>
  </w:footnote>
  <w:footnote w:id="1105">
    <w:p w:rsidR="0071680A" w:rsidRPr="003E5026" w:rsidRDefault="0071680A" w:rsidP="001D1319">
      <w:pPr>
        <w:pStyle w:val="11"/>
        <w:widowControl w:val="0"/>
        <w:spacing w:line="211"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النور: 32.</w:t>
      </w:r>
    </w:p>
  </w:footnote>
  <w:footnote w:id="1106">
    <w:p w:rsidR="0071680A" w:rsidRPr="003E5026" w:rsidRDefault="0071680A" w:rsidP="001D1319">
      <w:pPr>
        <w:pStyle w:val="11"/>
        <w:widowControl w:val="0"/>
        <w:spacing w:line="211"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تفسير الميزان 8: 82.</w:t>
      </w:r>
    </w:p>
  </w:footnote>
  <w:footnote w:id="1107">
    <w:p w:rsidR="0071680A" w:rsidRPr="003E5026" w:rsidRDefault="0071680A" w:rsidP="001D1319">
      <w:pPr>
        <w:pStyle w:val="11"/>
        <w:widowControl w:val="0"/>
        <w:spacing w:line="211"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وسائل الشيعة 7: 154، وبحار الأنوار103: 243.</w:t>
      </w:r>
    </w:p>
  </w:footnote>
  <w:footnote w:id="110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الأحزاب: 33.</w:t>
      </w:r>
    </w:p>
  </w:footnote>
  <w:footnote w:id="110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تفسير نمونه17: 289.</w:t>
      </w:r>
    </w:p>
  </w:footnote>
  <w:footnote w:id="111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زن در عصر مغول (بالفارسية).</w:t>
      </w:r>
    </w:p>
  </w:footnote>
  <w:footnote w:id="111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تاريخ تمدن (بالفارسية)1: 72.</w:t>
      </w:r>
    </w:p>
  </w:footnote>
  <w:footnote w:id="111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الأعراف: 26.</w:t>
      </w:r>
    </w:p>
  </w:footnote>
  <w:footnote w:id="111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تفسير الميزان8: 69.</w:t>
      </w:r>
    </w:p>
  </w:footnote>
  <w:footnote w:id="111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تفسير نمونة6: 131.</w:t>
      </w:r>
    </w:p>
  </w:footnote>
  <w:footnote w:id="111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الأحزاب: 59.</w:t>
      </w:r>
    </w:p>
  </w:footnote>
  <w:footnote w:id="111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وسائل الشيعة20:  168.</w:t>
      </w:r>
    </w:p>
  </w:footnote>
  <w:footnote w:id="111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الواقعة: 23.</w:t>
      </w:r>
    </w:p>
  </w:footnote>
  <w:footnote w:id="1118">
    <w:p w:rsidR="0071680A" w:rsidRPr="003E5026" w:rsidRDefault="0071680A" w:rsidP="001D1319">
      <w:pPr>
        <w:pStyle w:val="11"/>
        <w:widowControl w:val="0"/>
        <w:spacing w:line="180"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منتسكيو، روح القوانين: 107.</w:t>
      </w:r>
    </w:p>
  </w:footnote>
  <w:footnote w:id="1119">
    <w:p w:rsidR="0071680A" w:rsidRPr="003E5026" w:rsidRDefault="0071680A" w:rsidP="001D1319">
      <w:pPr>
        <w:pStyle w:val="11"/>
        <w:widowControl w:val="0"/>
        <w:spacing w:line="180"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راجع: لماذا انهزمت فرنسا ـ اندريه موروا.</w:t>
      </w:r>
    </w:p>
  </w:footnote>
  <w:footnote w:id="1120">
    <w:p w:rsidR="0071680A" w:rsidRPr="003E5026" w:rsidRDefault="0071680A" w:rsidP="001D1319">
      <w:pPr>
        <w:pStyle w:val="11"/>
        <w:widowControl w:val="0"/>
        <w:spacing w:line="180"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مدنية الإسلام والعرب: 333 ـ 335.</w:t>
      </w:r>
    </w:p>
  </w:footnote>
  <w:footnote w:id="1121">
    <w:p w:rsidR="0071680A" w:rsidRPr="003E5026" w:rsidRDefault="0071680A" w:rsidP="001D1319">
      <w:pPr>
        <w:pStyle w:val="11"/>
        <w:widowControl w:val="0"/>
        <w:spacing w:line="180"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العنكبوت: 40.</w:t>
      </w:r>
    </w:p>
  </w:footnote>
  <w:footnote w:id="112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المستدرك، باب النكاح، ج5: 69.</w:t>
      </w:r>
    </w:p>
  </w:footnote>
  <w:footnote w:id="112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صحيفة آفتاب الإيرانية، العدد: 404.</w:t>
      </w:r>
    </w:p>
  </w:footnote>
  <w:footnote w:id="112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صحيفة جمهوري اسلامي الإيرانية، العدد: 2063، بتاريخ 21/4/1380هـ.ش.</w:t>
      </w:r>
    </w:p>
  </w:footnote>
  <w:footnote w:id="112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مقتبس من كتاب فرهنك حجاب (بالفارسية)، بيم ها واميدها:  46 ـ 49.</w:t>
      </w:r>
    </w:p>
  </w:footnote>
  <w:footnote w:id="112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خاطرات همفر، ترجمة الدكتور محسن مؤيدي، ص4.</w:t>
      </w:r>
    </w:p>
  </w:footnote>
  <w:footnote w:id="1127">
    <w:p w:rsidR="0071680A" w:rsidRPr="003E5026" w:rsidRDefault="0071680A" w:rsidP="0008530B">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فرانتس فانون، ثورة الجزائر: 14.</w:t>
      </w:r>
    </w:p>
  </w:footnote>
  <w:footnote w:id="112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النور: 19.</w:t>
      </w:r>
    </w:p>
  </w:footnote>
  <w:footnote w:id="112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تفسير الميزان</w:t>
      </w:r>
      <w:r>
        <w:rPr>
          <w:rStyle w:val="FootnoteReference"/>
          <w:rFonts w:ascii="Mosawi" w:hAnsi="Mosawi" w:cs="Mosawi" w:hint="cs"/>
          <w:sz w:val="26"/>
          <w:szCs w:val="26"/>
          <w:vertAlign w:val="baseline"/>
          <w:rtl/>
        </w:rPr>
        <w:t xml:space="preserve"> </w:t>
      </w:r>
      <w:r w:rsidRPr="003E5026">
        <w:rPr>
          <w:rStyle w:val="FootnoteReference"/>
          <w:rFonts w:ascii="Mosawi" w:hAnsi="Mosawi" w:cs="Mosawi" w:hint="cs"/>
          <w:sz w:val="26"/>
          <w:szCs w:val="26"/>
          <w:vertAlign w:val="baseline"/>
          <w:rtl/>
        </w:rPr>
        <w:t>9:  248.</w:t>
      </w:r>
    </w:p>
  </w:footnote>
  <w:footnote w:id="113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شرح غرر الحكم5: 357.</w:t>
      </w:r>
    </w:p>
  </w:footnote>
  <w:footnote w:id="113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سورة الأحزاب: الآية 21.</w:t>
      </w:r>
    </w:p>
  </w:footnote>
  <w:footnote w:id="113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آية الله جوادي آملي، زن در آيينه جلال وجمال: 153.</w:t>
      </w:r>
    </w:p>
  </w:footnote>
  <w:footnote w:id="1133">
    <w:p w:rsidR="0071680A" w:rsidRPr="003E5026" w:rsidRDefault="0071680A" w:rsidP="001D4CB9">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Pr>
        <w:footnoteRef/>
      </w:r>
      <w:r w:rsidRPr="003E5026">
        <w:rPr>
          <w:rStyle w:val="FootnoteReference"/>
          <w:rFonts w:ascii="Mosawi" w:hAnsi="Mosawi" w:cs="Mosawi" w:hint="cs"/>
          <w:sz w:val="26"/>
          <w:szCs w:val="26"/>
          <w:vertAlign w:val="baseline"/>
          <w:rtl/>
        </w:rPr>
        <w:t xml:space="preserve">) راجع ـ كأنموذج ـ العلامة السيد محمّد حسين الطباطبائي في كتاب </w:t>
      </w:r>
      <w:r>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مقالات تأسيسية في الفكر الإسلامي</w:t>
      </w:r>
      <w:r>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ترجمة جواد علي كسّار، نشر مؤسسة أم القرى، إيران، الطبعة الثانية، 1418هـ ق، مقال: </w:t>
      </w:r>
      <w:r>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الإسلام واحتياجات الإنسان المعاصر، طريق الفطرة</w:t>
      </w:r>
      <w:r>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ص 80 ـ 86، كما يلاحظ تأثر الشهيد مرتضى مطهري بفكرة التطابق في دراسته حول المرأة في كتابه حقوق المرأة في الإسلام.</w:t>
      </w:r>
    </w:p>
  </w:footnote>
  <w:footnote w:id="113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 أستاذة في القسم العربي بكلية الآداب، جامعة طهران.</w:t>
      </w:r>
    </w:p>
  </w:footnote>
  <w:footnote w:id="113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 أستاذة مساعدة بجامعة جيلان.</w:t>
      </w:r>
    </w:p>
  </w:footnote>
  <w:footnote w:id="1136">
    <w:p w:rsidR="0071680A" w:rsidRPr="003E5026" w:rsidRDefault="0071680A" w:rsidP="001D4CB9">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hint="cs"/>
          <w:sz w:val="26"/>
          <w:szCs w:val="26"/>
          <w:vertAlign w:val="baseline"/>
          <w:rtl/>
        </w:rPr>
        <w:t>) ال</w:t>
      </w:r>
      <w:r w:rsidRPr="003E5026">
        <w:rPr>
          <w:rStyle w:val="FootnoteReference"/>
          <w:rFonts w:ascii="Mosawi" w:hAnsi="Mosawi" w:cs="Mosawi"/>
          <w:sz w:val="26"/>
          <w:szCs w:val="26"/>
          <w:vertAlign w:val="baseline"/>
          <w:rtl/>
        </w:rPr>
        <w:t>بستان</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صبح</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ال</w:t>
      </w:r>
      <w:r w:rsidRPr="003E5026">
        <w:rPr>
          <w:rStyle w:val="FootnoteReference"/>
          <w:rFonts w:ascii="Mosawi" w:hAnsi="Mosawi" w:cs="Mosawi" w:hint="cs"/>
          <w:sz w:val="26"/>
          <w:szCs w:val="26"/>
          <w:vertAlign w:val="baseline"/>
          <w:rtl/>
        </w:rPr>
        <w:t>أ</w:t>
      </w:r>
      <w:r w:rsidRPr="003E5026">
        <w:rPr>
          <w:rStyle w:val="FootnoteReference"/>
          <w:rFonts w:ascii="Mosawi" w:hAnsi="Mosawi" w:cs="Mosawi"/>
          <w:sz w:val="26"/>
          <w:szCs w:val="26"/>
          <w:vertAlign w:val="baseline"/>
          <w:rtl/>
        </w:rPr>
        <w:t>دب اللبنان</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xml:space="preserve"> الح</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بيروت،</w:t>
      </w:r>
      <w:r w:rsidRPr="003E5026">
        <w:rPr>
          <w:rStyle w:val="FootnoteReference"/>
          <w:rFonts w:ascii="Mosawi" w:hAnsi="Mosawi" w:cs="Mosawi"/>
          <w:sz w:val="26"/>
          <w:szCs w:val="26"/>
          <w:vertAlign w:val="baseline"/>
          <w:rtl/>
        </w:rPr>
        <w:t xml:space="preserve"> دارالنهار للنشر</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1988</w:t>
      </w:r>
      <w:r w:rsidRPr="003E5026">
        <w:rPr>
          <w:rStyle w:val="FootnoteReference"/>
          <w:rFonts w:ascii="Mosawi" w:hAnsi="Mosawi" w:cs="Mosawi" w:hint="cs"/>
          <w:sz w:val="26"/>
          <w:szCs w:val="26"/>
          <w:vertAlign w:val="baseline"/>
          <w:rtl/>
        </w:rPr>
        <w:t>:</w:t>
      </w:r>
      <w:r>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28؛ مندور، محمد، ف</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xml:space="preserve"> ال</w:t>
      </w:r>
      <w:r w:rsidRPr="003E5026">
        <w:rPr>
          <w:rStyle w:val="FootnoteReference"/>
          <w:rFonts w:ascii="Mosawi" w:hAnsi="Mosawi" w:cs="Mosawi" w:hint="cs"/>
          <w:sz w:val="26"/>
          <w:szCs w:val="26"/>
          <w:vertAlign w:val="baseline"/>
          <w:rtl/>
        </w:rPr>
        <w:t>أ</w:t>
      </w:r>
      <w:r w:rsidRPr="003E5026">
        <w:rPr>
          <w:rStyle w:val="FootnoteReference"/>
          <w:rFonts w:ascii="Mosawi" w:hAnsi="Mosawi" w:cs="Mosawi"/>
          <w:sz w:val="26"/>
          <w:szCs w:val="26"/>
          <w:vertAlign w:val="baseline"/>
          <w:rtl/>
        </w:rPr>
        <w:t xml:space="preserve">دب والنقد، </w:t>
      </w:r>
      <w:r w:rsidRPr="003E5026">
        <w:rPr>
          <w:rStyle w:val="FootnoteReference"/>
          <w:rFonts w:ascii="Mosawi" w:hAnsi="Mosawi" w:cs="Mosawi" w:hint="cs"/>
          <w:sz w:val="26"/>
          <w:szCs w:val="26"/>
          <w:vertAlign w:val="baseline"/>
          <w:rtl/>
        </w:rPr>
        <w:t>ا</w:t>
      </w:r>
      <w:r w:rsidRPr="003E5026">
        <w:rPr>
          <w:rStyle w:val="FootnoteReference"/>
          <w:rFonts w:ascii="Mosawi" w:hAnsi="Mosawi" w:cs="Mosawi"/>
          <w:sz w:val="26"/>
          <w:szCs w:val="26"/>
          <w:vertAlign w:val="baseline"/>
          <w:rtl/>
        </w:rPr>
        <w:t>لقاهر</w:t>
      </w:r>
      <w:r w:rsidRPr="003E5026">
        <w:rPr>
          <w:rStyle w:val="FootnoteReference"/>
          <w:rFonts w:ascii="Mosawi" w:hAnsi="Mosawi" w:cs="Mosawi" w:hint="cs"/>
          <w:sz w:val="26"/>
          <w:szCs w:val="26"/>
          <w:vertAlign w:val="baseline"/>
          <w:rtl/>
        </w:rPr>
        <w:t>ة،</w:t>
      </w:r>
      <w:r w:rsidRPr="003E5026">
        <w:rPr>
          <w:rStyle w:val="FootnoteReference"/>
          <w:rFonts w:ascii="Mosawi" w:hAnsi="Mosawi" w:cs="Mosawi"/>
          <w:sz w:val="26"/>
          <w:szCs w:val="26"/>
          <w:vertAlign w:val="baseline"/>
          <w:rtl/>
        </w:rPr>
        <w:t xml:space="preserve"> نهض</w:t>
      </w:r>
      <w:r w:rsidRPr="003E5026">
        <w:rPr>
          <w:rStyle w:val="FootnoteReference"/>
          <w:rFonts w:ascii="Mosawi" w:hAnsi="Mosawi" w:cs="Mosawi" w:hint="cs"/>
          <w:sz w:val="26"/>
          <w:szCs w:val="26"/>
          <w:vertAlign w:val="baseline"/>
          <w:rtl/>
        </w:rPr>
        <w:t>ة</w:t>
      </w:r>
      <w:r w:rsidRPr="003E5026">
        <w:rPr>
          <w:rStyle w:val="FootnoteReference"/>
          <w:rFonts w:ascii="Mosawi" w:hAnsi="Mosawi" w:cs="Mosawi"/>
          <w:sz w:val="26"/>
          <w:szCs w:val="26"/>
          <w:vertAlign w:val="baseline"/>
          <w:rtl/>
        </w:rPr>
        <w:t xml:space="preserve"> مصر للطباع</w:t>
      </w:r>
      <w:r w:rsidRPr="003E5026">
        <w:rPr>
          <w:rStyle w:val="FootnoteReference"/>
          <w:rFonts w:ascii="Mosawi" w:hAnsi="Mosawi" w:cs="Mosawi" w:hint="cs"/>
          <w:sz w:val="26"/>
          <w:szCs w:val="26"/>
          <w:vertAlign w:val="baseline"/>
          <w:rtl/>
        </w:rPr>
        <w:t>ة</w:t>
      </w:r>
      <w:r w:rsidRPr="003E5026">
        <w:rPr>
          <w:rStyle w:val="FootnoteReference"/>
          <w:rFonts w:ascii="Mosawi" w:hAnsi="Mosawi" w:cs="Mosawi"/>
          <w:sz w:val="26"/>
          <w:szCs w:val="26"/>
          <w:vertAlign w:val="baseline"/>
          <w:rtl/>
        </w:rPr>
        <w:t xml:space="preserve"> والنشر </w:t>
      </w:r>
      <w:r w:rsidRPr="003E5026">
        <w:rPr>
          <w:rStyle w:val="FootnoteReference"/>
          <w:rFonts w:ascii="Mosawi" w:hAnsi="Mosawi" w:cs="Mosawi" w:hint="cs"/>
          <w:sz w:val="26"/>
          <w:szCs w:val="26"/>
          <w:vertAlign w:val="baseline"/>
          <w:rtl/>
        </w:rPr>
        <w:t>والتوزيع، بلا</w:t>
      </w:r>
      <w:r w:rsidRPr="003E5026">
        <w:rPr>
          <w:rStyle w:val="FootnoteReference"/>
          <w:rFonts w:ascii="Mosawi" w:hAnsi="Mosawi" w:cs="Mosawi"/>
          <w:sz w:val="26"/>
          <w:szCs w:val="26"/>
          <w:vertAlign w:val="baseline"/>
          <w:rtl/>
        </w:rPr>
        <w:t xml:space="preserve"> تا</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22.</w:t>
      </w:r>
    </w:p>
  </w:footnote>
  <w:footnote w:id="113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hint="cs"/>
          <w:sz w:val="26"/>
          <w:szCs w:val="26"/>
          <w:vertAlign w:val="baseline"/>
          <w:rtl/>
        </w:rPr>
        <w:t>) الأ</w:t>
      </w:r>
      <w:r w:rsidRPr="003E5026">
        <w:rPr>
          <w:rStyle w:val="FootnoteReference"/>
          <w:rFonts w:ascii="Mosawi" w:hAnsi="Mosawi" w:cs="Mosawi"/>
          <w:sz w:val="26"/>
          <w:szCs w:val="26"/>
          <w:vertAlign w:val="baseline"/>
          <w:rtl/>
        </w:rPr>
        <w:t>عرج</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نازك</w:t>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 xml:space="preserve">صوت </w:t>
      </w:r>
      <w:r w:rsidRPr="003E5026">
        <w:rPr>
          <w:rStyle w:val="FootnoteReference"/>
          <w:rFonts w:ascii="Mosawi" w:hAnsi="Mosawi" w:cs="Mosawi" w:hint="cs"/>
          <w:sz w:val="26"/>
          <w:szCs w:val="26"/>
          <w:vertAlign w:val="baseline"/>
          <w:rtl/>
        </w:rPr>
        <w:t xml:space="preserve">الأنثى، دمشق، </w:t>
      </w:r>
      <w:r w:rsidRPr="003E5026">
        <w:rPr>
          <w:rStyle w:val="FootnoteReference"/>
          <w:rFonts w:ascii="Mosawi" w:hAnsi="Mosawi" w:cs="Mosawi"/>
          <w:sz w:val="26"/>
          <w:szCs w:val="26"/>
          <w:vertAlign w:val="baseline"/>
          <w:rtl/>
        </w:rPr>
        <w:t>ال</w:t>
      </w:r>
      <w:r w:rsidRPr="003E5026">
        <w:rPr>
          <w:rStyle w:val="FootnoteReference"/>
          <w:rFonts w:ascii="Mosawi" w:hAnsi="Mosawi" w:cs="Mosawi" w:hint="cs"/>
          <w:sz w:val="26"/>
          <w:szCs w:val="26"/>
          <w:vertAlign w:val="baseline"/>
          <w:rtl/>
        </w:rPr>
        <w:t>أ</w:t>
      </w:r>
      <w:r w:rsidRPr="003E5026">
        <w:rPr>
          <w:rStyle w:val="FootnoteReference"/>
          <w:rFonts w:ascii="Mosawi" w:hAnsi="Mosawi" w:cs="Mosawi"/>
          <w:sz w:val="26"/>
          <w:szCs w:val="26"/>
          <w:vertAlign w:val="baseline"/>
          <w:rtl/>
        </w:rPr>
        <w:t>هال</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xml:space="preserve"> للطباع</w:t>
      </w:r>
      <w:r w:rsidRPr="003E5026">
        <w:rPr>
          <w:rStyle w:val="FootnoteReference"/>
          <w:rFonts w:ascii="Mosawi" w:hAnsi="Mosawi" w:cs="Mosawi" w:hint="cs"/>
          <w:sz w:val="26"/>
          <w:szCs w:val="26"/>
          <w:vertAlign w:val="baseline"/>
          <w:rtl/>
        </w:rPr>
        <w:t>ة</w:t>
      </w:r>
      <w:r w:rsidRPr="003E5026">
        <w:rPr>
          <w:rStyle w:val="FootnoteReference"/>
          <w:rFonts w:ascii="Mosawi" w:hAnsi="Mosawi" w:cs="Mosawi"/>
          <w:sz w:val="26"/>
          <w:szCs w:val="26"/>
          <w:vertAlign w:val="baseline"/>
          <w:rtl/>
        </w:rPr>
        <w:t xml:space="preserve"> والنشر </w:t>
      </w:r>
      <w:r w:rsidRPr="003E5026">
        <w:rPr>
          <w:rStyle w:val="FootnoteReference"/>
          <w:rFonts w:ascii="Mosawi" w:hAnsi="Mosawi" w:cs="Mosawi" w:hint="cs"/>
          <w:sz w:val="26"/>
          <w:szCs w:val="26"/>
          <w:vertAlign w:val="baseline"/>
          <w:rtl/>
        </w:rPr>
        <w:t xml:space="preserve">والتوزيع، الطبعة الأولى، </w:t>
      </w:r>
      <w:r w:rsidRPr="003E5026">
        <w:rPr>
          <w:rStyle w:val="FootnoteReference"/>
          <w:rFonts w:ascii="Mosawi" w:hAnsi="Mosawi" w:cs="Mosawi"/>
          <w:sz w:val="26"/>
          <w:szCs w:val="26"/>
          <w:vertAlign w:val="baseline"/>
          <w:rtl/>
        </w:rPr>
        <w:t>1997</w:t>
      </w:r>
      <w:r w:rsidRPr="003E5026">
        <w:rPr>
          <w:rStyle w:val="FootnoteReference"/>
          <w:rFonts w:ascii="Mosawi" w:hAnsi="Mosawi" w:cs="Mosawi" w:hint="cs"/>
          <w:sz w:val="26"/>
          <w:szCs w:val="26"/>
          <w:vertAlign w:val="baseline"/>
          <w:rtl/>
        </w:rPr>
        <w:t xml:space="preserve">م: 25؛ انظر أيضاً مقال </w:t>
      </w:r>
      <w:r w:rsidRPr="003E5026">
        <w:rPr>
          <w:rStyle w:val="FootnoteReference"/>
          <w:rFonts w:ascii="Mosawi" w:hAnsi="Mosawi" w:cs="Mosawi" w:hint="eastAsia"/>
          <w:sz w:val="26"/>
          <w:szCs w:val="26"/>
          <w:vertAlign w:val="baseline"/>
          <w:rtl/>
        </w:rPr>
        <w:t>«</w:t>
      </w:r>
      <w:r w:rsidRPr="003E5026">
        <w:rPr>
          <w:rStyle w:val="FootnoteReference"/>
          <w:rFonts w:ascii="Mosawi" w:hAnsi="Mosawi" w:cs="Mosawi" w:hint="cs"/>
          <w:sz w:val="26"/>
          <w:szCs w:val="26"/>
          <w:vertAlign w:val="baseline"/>
          <w:rtl/>
        </w:rPr>
        <w:t>أدب نسائي في عالم عربي</w:t>
      </w:r>
      <w:r w:rsidRPr="003E5026">
        <w:rPr>
          <w:rStyle w:val="FootnoteReference"/>
          <w:rFonts w:ascii="Mosawi" w:hAnsi="Mosawi" w:cs="Mosawi" w:hint="eastAsia"/>
          <w:sz w:val="26"/>
          <w:szCs w:val="26"/>
          <w:vertAlign w:val="baseline"/>
          <w:rtl/>
        </w:rPr>
        <w:t>»</w:t>
      </w:r>
      <w:r w:rsidRPr="003E5026">
        <w:rPr>
          <w:rStyle w:val="FootnoteReference"/>
          <w:rFonts w:ascii="Mosawi" w:hAnsi="Mosawi" w:cs="Mosawi" w:hint="cs"/>
          <w:sz w:val="26"/>
          <w:szCs w:val="26"/>
          <w:vertAlign w:val="baseline"/>
          <w:rtl/>
        </w:rPr>
        <w:t xml:space="preserve"> في:  </w:t>
      </w:r>
    </w:p>
    <w:p w:rsidR="0071680A" w:rsidRPr="003E5026" w:rsidRDefault="0071680A" w:rsidP="001D4CB9">
      <w:pPr>
        <w:pStyle w:val="11"/>
        <w:widowControl w:val="0"/>
        <w:bidi w:val="0"/>
        <w:spacing w:line="192" w:lineRule="auto"/>
        <w:ind w:left="170" w:right="0" w:hanging="170"/>
        <w:rPr>
          <w:rStyle w:val="FootnoteReference"/>
          <w:rFonts w:cstheme="majorBidi"/>
          <w:sz w:val="26"/>
          <w:szCs w:val="26"/>
          <w:vertAlign w:val="baseline"/>
        </w:rPr>
      </w:pPr>
      <w:r w:rsidRPr="003E5026">
        <w:rPr>
          <w:rStyle w:val="FootnoteReference"/>
          <w:rFonts w:cstheme="majorBidi"/>
          <w:sz w:val="26"/>
          <w:szCs w:val="26"/>
          <w:vertAlign w:val="baseline"/>
        </w:rPr>
        <w:t>http://www.Syranstory.com/ciment14.htm</w:t>
      </w:r>
      <w:r w:rsidRPr="003E5026">
        <w:rPr>
          <w:rStyle w:val="FootnoteReference"/>
          <w:rFonts w:cstheme="majorBidi"/>
          <w:sz w:val="26"/>
          <w:szCs w:val="26"/>
          <w:vertAlign w:val="baseline"/>
          <w:rtl/>
        </w:rPr>
        <w:t xml:space="preserve"> </w:t>
      </w:r>
    </w:p>
  </w:footnote>
  <w:footnote w:id="113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hint="cs"/>
          <w:sz w:val="26"/>
          <w:szCs w:val="26"/>
          <w:vertAlign w:val="baseline"/>
          <w:rtl/>
        </w:rPr>
        <w:t>) العيد، يُمنی، الدلالة الاجتماعية لحركة الأدب الرومنطقي في لبنان، بيروت، دار الفارابي، الطبعة الثانية، 1988م: 28.</w:t>
      </w:r>
    </w:p>
  </w:footnote>
  <w:footnote w:id="1139">
    <w:p w:rsidR="0071680A" w:rsidRPr="003E5026" w:rsidRDefault="0071680A" w:rsidP="001D4CB9">
      <w:pPr>
        <w:pStyle w:val="11"/>
        <w:widowControl w:val="0"/>
        <w:spacing w:line="199"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الفاخ</w:t>
      </w:r>
      <w:r w:rsidRPr="003E5026">
        <w:rPr>
          <w:rStyle w:val="FootnoteReference"/>
          <w:rFonts w:ascii="Mosawi" w:hAnsi="Mosawi" w:cs="Mosawi" w:hint="cs"/>
          <w:sz w:val="26"/>
          <w:szCs w:val="26"/>
          <w:vertAlign w:val="baseline"/>
          <w:rtl/>
        </w:rPr>
        <w:t>وري، حنا، الجام</w:t>
      </w:r>
      <w:r w:rsidRPr="003E5026">
        <w:rPr>
          <w:rStyle w:val="FootnoteReference"/>
          <w:rFonts w:ascii="Mosawi" w:hAnsi="Mosawi" w:cs="Mosawi"/>
          <w:sz w:val="26"/>
          <w:szCs w:val="26"/>
          <w:vertAlign w:val="baseline"/>
          <w:rtl/>
        </w:rPr>
        <w:t>ع ف</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تاريخ الأ</w:t>
      </w:r>
      <w:r w:rsidRPr="003E5026">
        <w:rPr>
          <w:rStyle w:val="FootnoteReference"/>
          <w:rFonts w:ascii="Mosawi" w:hAnsi="Mosawi" w:cs="Mosawi"/>
          <w:sz w:val="26"/>
          <w:szCs w:val="26"/>
          <w:vertAlign w:val="baseline"/>
          <w:rtl/>
        </w:rPr>
        <w:t>دب العرب</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ال</w:t>
      </w:r>
      <w:r w:rsidRPr="003E5026">
        <w:rPr>
          <w:rStyle w:val="FootnoteReference"/>
          <w:rFonts w:ascii="Mosawi" w:hAnsi="Mosawi" w:cs="Mosawi" w:hint="cs"/>
          <w:sz w:val="26"/>
          <w:szCs w:val="26"/>
          <w:vertAlign w:val="baseline"/>
          <w:rtl/>
        </w:rPr>
        <w:t>أ</w:t>
      </w:r>
      <w:r w:rsidRPr="003E5026">
        <w:rPr>
          <w:rStyle w:val="FootnoteReference"/>
          <w:rFonts w:ascii="Mosawi" w:hAnsi="Mosawi" w:cs="Mosawi"/>
          <w:sz w:val="26"/>
          <w:szCs w:val="26"/>
          <w:vertAlign w:val="baseline"/>
          <w:rtl/>
        </w:rPr>
        <w:t xml:space="preserve">دب </w:t>
      </w:r>
      <w:r w:rsidRPr="003E5026">
        <w:rPr>
          <w:rStyle w:val="FootnoteReference"/>
          <w:rFonts w:ascii="Mosawi" w:hAnsi="Mosawi" w:cs="Mosawi" w:hint="cs"/>
          <w:sz w:val="26"/>
          <w:szCs w:val="26"/>
          <w:vertAlign w:val="baseline"/>
          <w:rtl/>
        </w:rPr>
        <w:t>الحديث)</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بيروت،</w:t>
      </w:r>
      <w:r w:rsidRPr="003E5026">
        <w:rPr>
          <w:rStyle w:val="FootnoteReference"/>
          <w:rFonts w:ascii="Mosawi" w:hAnsi="Mosawi" w:cs="Mosawi"/>
          <w:sz w:val="26"/>
          <w:szCs w:val="26"/>
          <w:vertAlign w:val="baseline"/>
          <w:rtl/>
        </w:rPr>
        <w:t xml:space="preserve"> دار</w:t>
      </w:r>
      <w:r w:rsidRPr="003E5026">
        <w:rPr>
          <w:rStyle w:val="FootnoteReference"/>
          <w:rFonts w:ascii="Mosawi" w:hAnsi="Mosawi" w:cs="Mosawi" w:hint="cs"/>
          <w:sz w:val="26"/>
          <w:szCs w:val="26"/>
          <w:vertAlign w:val="baseline"/>
          <w:rtl/>
        </w:rPr>
        <w:t xml:space="preserve"> الجيل، بلا</w:t>
      </w:r>
      <w:r w:rsidRPr="003E5026">
        <w:rPr>
          <w:rStyle w:val="FootnoteReference"/>
          <w:rFonts w:ascii="Mosawi" w:hAnsi="Mosawi" w:cs="Mosawi"/>
          <w:sz w:val="26"/>
          <w:szCs w:val="26"/>
          <w:vertAlign w:val="baseline"/>
          <w:rtl/>
        </w:rPr>
        <w:t xml:space="preserve"> تا</w:t>
      </w:r>
      <w:r w:rsidRPr="003E5026">
        <w:rPr>
          <w:rStyle w:val="FootnoteReference"/>
          <w:rFonts w:ascii="Mosawi" w:hAnsi="Mosawi" w:cs="Mosawi" w:hint="cs"/>
          <w:sz w:val="26"/>
          <w:szCs w:val="26"/>
          <w:vertAlign w:val="baseline"/>
          <w:rtl/>
        </w:rPr>
        <w:t>:250-251.</w:t>
      </w:r>
    </w:p>
  </w:footnote>
  <w:footnote w:id="1140">
    <w:p w:rsidR="0071680A" w:rsidRPr="003E5026" w:rsidRDefault="0071680A" w:rsidP="001D4CB9">
      <w:pPr>
        <w:pStyle w:val="11"/>
        <w:widowControl w:val="0"/>
        <w:spacing w:line="199"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hint="cs"/>
          <w:sz w:val="26"/>
          <w:szCs w:val="26"/>
          <w:vertAlign w:val="baseline"/>
          <w:rtl/>
        </w:rPr>
        <w:t>) العيد، الدلالة الاجتماعية لحركة الأدب الرومنطقي في لبنان: 14.</w:t>
      </w:r>
    </w:p>
  </w:footnote>
  <w:footnote w:id="1141">
    <w:p w:rsidR="0071680A" w:rsidRPr="003E5026" w:rsidRDefault="0071680A" w:rsidP="001D4CB9">
      <w:pPr>
        <w:pStyle w:val="11"/>
        <w:widowControl w:val="0"/>
        <w:spacing w:line="199"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ابن منظور، لسان العرب،</w:t>
      </w:r>
      <w:r w:rsidRPr="003E5026">
        <w:rPr>
          <w:rStyle w:val="FootnoteReference"/>
          <w:rFonts w:ascii="Mosawi" w:hAnsi="Mosawi" w:cs="Mosawi" w:hint="cs"/>
          <w:sz w:val="26"/>
          <w:szCs w:val="26"/>
          <w:vertAlign w:val="baseline"/>
          <w:rtl/>
        </w:rPr>
        <w:t xml:space="preserve"> بإشراف </w:t>
      </w:r>
      <w:r w:rsidRPr="003E5026">
        <w:rPr>
          <w:rStyle w:val="FootnoteReference"/>
          <w:rFonts w:ascii="Mosawi" w:hAnsi="Mosawi" w:cs="Mosawi"/>
          <w:sz w:val="26"/>
          <w:szCs w:val="26"/>
          <w:vertAlign w:val="baseline"/>
          <w:rtl/>
        </w:rPr>
        <w:t>عبدالله عل</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xml:space="preserve"> مهنا،</w:t>
      </w:r>
      <w:r w:rsidRPr="003E5026">
        <w:rPr>
          <w:rStyle w:val="FootnoteReference"/>
          <w:rFonts w:ascii="Mosawi" w:hAnsi="Mosawi" w:cs="Mosawi" w:hint="cs"/>
          <w:sz w:val="26"/>
          <w:szCs w:val="26"/>
          <w:vertAlign w:val="baseline"/>
          <w:rtl/>
        </w:rPr>
        <w:t xml:space="preserve"> بيروت،</w:t>
      </w:r>
      <w:r w:rsidRPr="003E5026">
        <w:rPr>
          <w:rStyle w:val="FootnoteReference"/>
          <w:rFonts w:ascii="Mosawi" w:hAnsi="Mosawi" w:cs="Mosawi"/>
          <w:sz w:val="26"/>
          <w:szCs w:val="26"/>
          <w:vertAlign w:val="baseline"/>
          <w:rtl/>
        </w:rPr>
        <w:t xml:space="preserve"> دار</w:t>
      </w:r>
      <w:r w:rsidRPr="003E5026">
        <w:rPr>
          <w:rStyle w:val="FootnoteReference"/>
          <w:rFonts w:ascii="Mosawi" w:hAnsi="Mosawi" w:cs="Mosawi" w:hint="cs"/>
          <w:sz w:val="26"/>
          <w:szCs w:val="26"/>
          <w:vertAlign w:val="baseline"/>
          <w:rtl/>
        </w:rPr>
        <w:t xml:space="preserve"> الكتب</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العلمية، الطبعة الأولى،</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 xml:space="preserve">1993م 2: 58، ذيل كلمة </w:t>
      </w:r>
      <w:r w:rsidRPr="003E5026">
        <w:rPr>
          <w:rStyle w:val="FootnoteReference"/>
          <w:rFonts w:ascii="Mosawi" w:hAnsi="Mosawi" w:cs="Mosawi" w:hint="eastAsia"/>
          <w:sz w:val="26"/>
          <w:szCs w:val="26"/>
          <w:vertAlign w:val="baseline"/>
          <w:rtl/>
        </w:rPr>
        <w:t>«</w:t>
      </w:r>
      <w:r w:rsidRPr="003E5026">
        <w:rPr>
          <w:rStyle w:val="FootnoteReference"/>
          <w:rFonts w:ascii="Mosawi" w:hAnsi="Mosawi" w:cs="Mosawi" w:hint="cs"/>
          <w:sz w:val="26"/>
          <w:szCs w:val="26"/>
          <w:vertAlign w:val="baseline"/>
          <w:rtl/>
        </w:rPr>
        <w:t>ضدد</w:t>
      </w:r>
      <w:r w:rsidRPr="003E5026">
        <w:rPr>
          <w:rStyle w:val="FootnoteReference"/>
          <w:rFonts w:ascii="Mosawi" w:hAnsi="Mosawi" w:cs="Mosawi" w:hint="eastAsia"/>
          <w:sz w:val="26"/>
          <w:szCs w:val="26"/>
          <w:vertAlign w:val="baseline"/>
          <w:rtl/>
        </w:rPr>
        <w:t>»</w:t>
      </w:r>
      <w:r w:rsidRPr="003E5026">
        <w:rPr>
          <w:rStyle w:val="FootnoteReference"/>
          <w:rFonts w:ascii="Mosawi" w:hAnsi="Mosawi" w:cs="Mosawi" w:hint="cs"/>
          <w:sz w:val="26"/>
          <w:szCs w:val="26"/>
          <w:vertAlign w:val="baseline"/>
          <w:rtl/>
        </w:rPr>
        <w:t>.</w:t>
      </w:r>
    </w:p>
  </w:footnote>
  <w:footnote w:id="114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hint="cs"/>
          <w:sz w:val="26"/>
          <w:szCs w:val="26"/>
          <w:vertAlign w:val="baseline"/>
          <w:rtl/>
        </w:rPr>
        <w:t>) العيد، الدلالة الاجتماعية لحركة الأدب الرومنطقي في لبنان: 29.</w:t>
      </w:r>
    </w:p>
  </w:footnote>
  <w:footnote w:id="114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hint="cs"/>
          <w:sz w:val="26"/>
          <w:szCs w:val="26"/>
          <w:vertAlign w:val="baseline"/>
          <w:rtl/>
        </w:rPr>
        <w:t>) المصدر السابق: 35.</w:t>
      </w:r>
    </w:p>
  </w:footnote>
  <w:footnote w:id="1144">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hint="cs"/>
          <w:sz w:val="26"/>
          <w:szCs w:val="26"/>
          <w:vertAlign w:val="baseline"/>
          <w:rtl/>
        </w:rPr>
        <w:t>) المصدر السابق: 47.</w:t>
      </w:r>
    </w:p>
  </w:footnote>
  <w:footnote w:id="1145">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hint="cs"/>
          <w:sz w:val="26"/>
          <w:szCs w:val="26"/>
          <w:vertAlign w:val="baseline"/>
          <w:rtl/>
        </w:rPr>
        <w:t>) المصدر السابق: 49.</w:t>
      </w:r>
    </w:p>
  </w:footnote>
  <w:footnote w:id="1146">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hint="cs"/>
          <w:sz w:val="26"/>
          <w:szCs w:val="26"/>
          <w:vertAlign w:val="baseline"/>
          <w:rtl/>
        </w:rPr>
        <w:t>) المصدر السابق: 52.</w:t>
      </w:r>
    </w:p>
  </w:footnote>
  <w:footnote w:id="1147">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hint="cs"/>
          <w:sz w:val="26"/>
          <w:szCs w:val="26"/>
          <w:vertAlign w:val="baseline"/>
          <w:rtl/>
        </w:rPr>
        <w:t>) المصدر السابق: 61.</w:t>
      </w:r>
    </w:p>
  </w:footnote>
  <w:footnote w:id="114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hint="cs"/>
          <w:sz w:val="26"/>
          <w:szCs w:val="26"/>
          <w:vertAlign w:val="baseline"/>
          <w:rtl/>
        </w:rPr>
        <w:t>) الأ</w:t>
      </w:r>
      <w:r w:rsidRPr="003E5026">
        <w:rPr>
          <w:rStyle w:val="FootnoteReference"/>
          <w:rFonts w:ascii="Mosawi" w:hAnsi="Mosawi" w:cs="Mosawi"/>
          <w:sz w:val="26"/>
          <w:szCs w:val="26"/>
          <w:vertAlign w:val="baseline"/>
          <w:rtl/>
        </w:rPr>
        <w:t xml:space="preserve">شتر، </w:t>
      </w:r>
      <w:r w:rsidRPr="003E5026">
        <w:rPr>
          <w:rStyle w:val="FootnoteReference"/>
          <w:rFonts w:ascii="Mosawi" w:hAnsi="Mosawi" w:cs="Mosawi" w:hint="cs"/>
          <w:sz w:val="26"/>
          <w:szCs w:val="26"/>
          <w:vertAlign w:val="baseline"/>
          <w:rtl/>
        </w:rPr>
        <w:t>عبدالكريم</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تعريف بالنثر العربي</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الحديث، دمشق، مطبعة</w:t>
      </w:r>
      <w:r w:rsidRPr="003E5026">
        <w:rPr>
          <w:rStyle w:val="FootnoteReference"/>
          <w:rFonts w:ascii="Mosawi" w:hAnsi="Mosawi" w:cs="Mosawi"/>
          <w:sz w:val="26"/>
          <w:szCs w:val="26"/>
          <w:vertAlign w:val="baseline"/>
          <w:rtl/>
        </w:rPr>
        <w:t xml:space="preserve"> ابن </w:t>
      </w:r>
      <w:r w:rsidRPr="003E5026">
        <w:rPr>
          <w:rStyle w:val="FootnoteReference"/>
          <w:rFonts w:ascii="Mosawi" w:hAnsi="Mosawi" w:cs="Mosawi" w:hint="cs"/>
          <w:sz w:val="26"/>
          <w:szCs w:val="26"/>
          <w:vertAlign w:val="baseline"/>
          <w:rtl/>
        </w:rPr>
        <w:t>حيان</w:t>
      </w:r>
      <w:r w:rsidRPr="003E5026">
        <w:rPr>
          <w:rStyle w:val="FootnoteReference"/>
          <w:rFonts w:ascii="Mosawi" w:hAnsi="Mosawi" w:cs="Mosawi"/>
          <w:sz w:val="26"/>
          <w:szCs w:val="26"/>
          <w:vertAlign w:val="baseline"/>
          <w:rtl/>
        </w:rPr>
        <w:t>، 1982</w:t>
      </w:r>
      <w:r w:rsidRPr="003E5026">
        <w:rPr>
          <w:rStyle w:val="FootnoteReference"/>
          <w:rFonts w:ascii="Mosawi" w:hAnsi="Mosawi" w:cs="Mosawi" w:hint="cs"/>
          <w:sz w:val="26"/>
          <w:szCs w:val="26"/>
          <w:vertAlign w:val="baseline"/>
          <w:rtl/>
        </w:rPr>
        <w:t>م: 181.</w:t>
      </w:r>
    </w:p>
  </w:footnote>
  <w:footnote w:id="1149">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hint="cs"/>
          <w:sz w:val="26"/>
          <w:szCs w:val="26"/>
          <w:vertAlign w:val="baseline"/>
          <w:rtl/>
        </w:rPr>
        <w:t>) ضيف، ش</w:t>
      </w:r>
      <w:r w:rsidRPr="003E5026">
        <w:rPr>
          <w:rStyle w:val="FootnoteReference"/>
          <w:rFonts w:ascii="Mosawi" w:hAnsi="Mosawi" w:cs="Mosawi"/>
          <w:sz w:val="26"/>
          <w:szCs w:val="26"/>
          <w:vertAlign w:val="baseline"/>
          <w:rtl/>
        </w:rPr>
        <w:t>وق</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العصر الجاهل</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القاهر</w:t>
      </w:r>
      <w:r w:rsidRPr="003E5026">
        <w:rPr>
          <w:rStyle w:val="FootnoteReference"/>
          <w:rFonts w:ascii="Mosawi" w:hAnsi="Mosawi" w:cs="Mosawi" w:hint="cs"/>
          <w:sz w:val="26"/>
          <w:szCs w:val="26"/>
          <w:vertAlign w:val="baseline"/>
          <w:rtl/>
        </w:rPr>
        <w:t>ة،</w:t>
      </w:r>
      <w:r w:rsidRPr="003E5026">
        <w:rPr>
          <w:rStyle w:val="FootnoteReference"/>
          <w:rFonts w:ascii="Mosawi" w:hAnsi="Mosawi" w:cs="Mosawi"/>
          <w:sz w:val="26"/>
          <w:szCs w:val="26"/>
          <w:vertAlign w:val="baseline"/>
          <w:rtl/>
        </w:rPr>
        <w:t xml:space="preserve"> دارالمعارف</w:t>
      </w: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الطبعة الرابعة</w:t>
      </w:r>
      <w:r w:rsidRPr="003E5026">
        <w:rPr>
          <w:rStyle w:val="FootnoteReference"/>
          <w:rFonts w:ascii="Mosawi" w:hAnsi="Mosawi" w:cs="Mosawi"/>
          <w:sz w:val="26"/>
          <w:szCs w:val="26"/>
          <w:vertAlign w:val="baseline"/>
          <w:rtl/>
        </w:rPr>
        <w:t>، ب</w:t>
      </w:r>
      <w:r w:rsidRPr="003E5026">
        <w:rPr>
          <w:rStyle w:val="FootnoteReference"/>
          <w:rFonts w:ascii="Mosawi" w:hAnsi="Mosawi" w:cs="Mosawi" w:hint="cs"/>
          <w:sz w:val="26"/>
          <w:szCs w:val="26"/>
          <w:vertAlign w:val="baseline"/>
          <w:rtl/>
        </w:rPr>
        <w:t>لا</w:t>
      </w:r>
      <w:r w:rsidRPr="003E5026">
        <w:rPr>
          <w:rStyle w:val="FootnoteReference"/>
          <w:rFonts w:ascii="Mosawi" w:hAnsi="Mosawi" w:cs="Mosawi"/>
          <w:sz w:val="26"/>
          <w:szCs w:val="26"/>
          <w:vertAlign w:val="baseline"/>
          <w:rtl/>
        </w:rPr>
        <w:t xml:space="preserve"> تا</w:t>
      </w:r>
      <w:r w:rsidRPr="003E5026">
        <w:rPr>
          <w:rStyle w:val="FootnoteReference"/>
          <w:rFonts w:ascii="Mosawi" w:hAnsi="Mosawi" w:cs="Mosawi" w:hint="cs"/>
          <w:sz w:val="26"/>
          <w:szCs w:val="26"/>
          <w:vertAlign w:val="baseline"/>
          <w:rtl/>
        </w:rPr>
        <w:t>: 10.</w:t>
      </w:r>
    </w:p>
  </w:footnote>
  <w:footnote w:id="115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hint="cs"/>
          <w:sz w:val="26"/>
          <w:szCs w:val="26"/>
          <w:vertAlign w:val="baseline"/>
          <w:rtl/>
        </w:rPr>
        <w:t>) زيدان، جوزيف، مصادر الأدب ا</w:t>
      </w:r>
      <w:r w:rsidRPr="003E5026">
        <w:rPr>
          <w:rStyle w:val="FootnoteReference"/>
          <w:rFonts w:ascii="Mosawi" w:hAnsi="Mosawi" w:cs="Mosawi"/>
          <w:sz w:val="26"/>
          <w:szCs w:val="26"/>
          <w:vertAlign w:val="baseline"/>
          <w:rtl/>
        </w:rPr>
        <w:t>لنسائ</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xml:space="preserve"> ف</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xml:space="preserve"> العالم العرب</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الحديث، بيروت،</w:t>
      </w:r>
      <w:r w:rsidRPr="003E5026">
        <w:rPr>
          <w:rStyle w:val="FootnoteReference"/>
          <w:rFonts w:ascii="Mosawi" w:hAnsi="Mosawi" w:cs="Mosawi"/>
          <w:sz w:val="26"/>
          <w:szCs w:val="26"/>
          <w:vertAlign w:val="baseline"/>
          <w:rtl/>
        </w:rPr>
        <w:t xml:space="preserve"> المؤسس</w:t>
      </w:r>
      <w:r w:rsidRPr="003E5026">
        <w:rPr>
          <w:rStyle w:val="FootnoteReference"/>
          <w:rFonts w:ascii="Mosawi" w:hAnsi="Mosawi" w:cs="Mosawi" w:hint="cs"/>
          <w:sz w:val="26"/>
          <w:szCs w:val="26"/>
          <w:vertAlign w:val="baseline"/>
          <w:rtl/>
        </w:rPr>
        <w:t>ة</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العربية</w:t>
      </w:r>
      <w:r w:rsidRPr="003E5026">
        <w:rPr>
          <w:rStyle w:val="FootnoteReference"/>
          <w:rFonts w:ascii="Mosawi" w:hAnsi="Mosawi" w:cs="Mosawi"/>
          <w:sz w:val="26"/>
          <w:szCs w:val="26"/>
          <w:vertAlign w:val="baseline"/>
          <w:rtl/>
        </w:rPr>
        <w:t xml:space="preserve"> للدراسات والنشر،</w:t>
      </w:r>
      <w:r w:rsidRPr="003E5026">
        <w:rPr>
          <w:rStyle w:val="FootnoteReference"/>
          <w:rFonts w:ascii="Mosawi" w:hAnsi="Mosawi" w:cs="Mosawi" w:hint="cs"/>
          <w:sz w:val="26"/>
          <w:szCs w:val="26"/>
          <w:vertAlign w:val="baseline"/>
          <w:rtl/>
        </w:rPr>
        <w:t xml:space="preserve">الطبعة الأولى، </w:t>
      </w:r>
      <w:r w:rsidRPr="003E5026">
        <w:rPr>
          <w:rStyle w:val="FootnoteReference"/>
          <w:rFonts w:ascii="Mosawi" w:hAnsi="Mosawi" w:cs="Mosawi"/>
          <w:sz w:val="26"/>
          <w:szCs w:val="26"/>
          <w:vertAlign w:val="baseline"/>
          <w:rtl/>
        </w:rPr>
        <w:t>1999</w:t>
      </w:r>
      <w:r w:rsidRPr="003E5026">
        <w:rPr>
          <w:rStyle w:val="FootnoteReference"/>
          <w:rFonts w:ascii="Mosawi" w:hAnsi="Mosawi" w:cs="Mosawi" w:hint="cs"/>
          <w:sz w:val="26"/>
          <w:szCs w:val="26"/>
          <w:vertAlign w:val="baseline"/>
          <w:rtl/>
        </w:rPr>
        <w:t>م: 121 - 123.</w:t>
      </w:r>
    </w:p>
  </w:footnote>
  <w:footnote w:id="1151">
    <w:p w:rsidR="0071680A" w:rsidRPr="003E5026" w:rsidRDefault="0071680A" w:rsidP="001D4CB9">
      <w:pPr>
        <w:pStyle w:val="11"/>
        <w:widowControl w:val="0"/>
        <w:spacing w:line="197"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hint="cs"/>
          <w:sz w:val="26"/>
          <w:szCs w:val="26"/>
          <w:vertAlign w:val="baseline"/>
          <w:rtl/>
        </w:rPr>
        <w:t>) ال</w:t>
      </w:r>
      <w:r w:rsidRPr="003E5026">
        <w:rPr>
          <w:rStyle w:val="FootnoteReference"/>
          <w:rFonts w:ascii="Mosawi" w:hAnsi="Mosawi" w:cs="Mosawi"/>
          <w:sz w:val="26"/>
          <w:szCs w:val="26"/>
          <w:vertAlign w:val="baseline"/>
          <w:rtl/>
        </w:rPr>
        <w:t>ورق</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سعد، في</w:t>
      </w:r>
      <w:r w:rsidRPr="003E5026">
        <w:rPr>
          <w:rStyle w:val="FootnoteReference"/>
          <w:rFonts w:ascii="Mosawi" w:hAnsi="Mosawi" w:cs="Mosawi"/>
          <w:sz w:val="26"/>
          <w:szCs w:val="26"/>
          <w:vertAlign w:val="baseline"/>
          <w:rtl/>
        </w:rPr>
        <w:t xml:space="preserve"> ال</w:t>
      </w:r>
      <w:r w:rsidRPr="003E5026">
        <w:rPr>
          <w:rStyle w:val="FootnoteReference"/>
          <w:rFonts w:ascii="Mosawi" w:hAnsi="Mosawi" w:cs="Mosawi" w:hint="cs"/>
          <w:sz w:val="26"/>
          <w:szCs w:val="26"/>
          <w:vertAlign w:val="baseline"/>
          <w:rtl/>
        </w:rPr>
        <w:t>أ</w:t>
      </w:r>
      <w:r w:rsidRPr="003E5026">
        <w:rPr>
          <w:rStyle w:val="FootnoteReference"/>
          <w:rFonts w:ascii="Mosawi" w:hAnsi="Mosawi" w:cs="Mosawi"/>
          <w:sz w:val="26"/>
          <w:szCs w:val="26"/>
          <w:vertAlign w:val="baseline"/>
          <w:rtl/>
        </w:rPr>
        <w:t>دب العرب</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xml:space="preserve"> المعاصر، </w:t>
      </w:r>
      <w:r w:rsidRPr="003E5026">
        <w:rPr>
          <w:rStyle w:val="FootnoteReference"/>
          <w:rFonts w:ascii="Mosawi" w:hAnsi="Mosawi" w:cs="Mosawi" w:hint="cs"/>
          <w:sz w:val="26"/>
          <w:szCs w:val="26"/>
          <w:vertAlign w:val="baseline"/>
          <w:rtl/>
        </w:rPr>
        <w:t>بيروت،</w:t>
      </w:r>
      <w:r w:rsidRPr="003E5026">
        <w:rPr>
          <w:rStyle w:val="FootnoteReference"/>
          <w:rFonts w:ascii="Mosawi" w:hAnsi="Mosawi" w:cs="Mosawi"/>
          <w:sz w:val="26"/>
          <w:szCs w:val="26"/>
          <w:vertAlign w:val="baseline"/>
          <w:rtl/>
        </w:rPr>
        <w:t xml:space="preserve"> دار</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النهض</w:t>
      </w:r>
      <w:r w:rsidRPr="003E5026">
        <w:rPr>
          <w:rStyle w:val="FootnoteReference"/>
          <w:rFonts w:ascii="Mosawi" w:hAnsi="Mosawi" w:cs="Mosawi" w:hint="cs"/>
          <w:sz w:val="26"/>
          <w:szCs w:val="26"/>
          <w:vertAlign w:val="baseline"/>
          <w:rtl/>
        </w:rPr>
        <w:t>ة</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العربية</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 xml:space="preserve">الطبعة الأولى،1984م: 12؛ </w:t>
      </w:r>
      <w:r w:rsidRPr="003E5026">
        <w:rPr>
          <w:rStyle w:val="FootnoteReference"/>
          <w:rFonts w:ascii="Mosawi" w:hAnsi="Mosawi" w:cs="Mosawi"/>
          <w:sz w:val="26"/>
          <w:szCs w:val="26"/>
          <w:vertAlign w:val="baseline"/>
          <w:rtl/>
        </w:rPr>
        <w:t>البقاع</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شفيق</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أ</w:t>
      </w:r>
      <w:r w:rsidRPr="003E5026">
        <w:rPr>
          <w:rStyle w:val="FootnoteReference"/>
          <w:rFonts w:ascii="Mosawi" w:hAnsi="Mosawi" w:cs="Mosawi"/>
          <w:sz w:val="26"/>
          <w:szCs w:val="26"/>
          <w:vertAlign w:val="baseline"/>
          <w:rtl/>
        </w:rPr>
        <w:t>دب عصر النهض</w:t>
      </w:r>
      <w:r w:rsidRPr="003E5026">
        <w:rPr>
          <w:rStyle w:val="FootnoteReference"/>
          <w:rFonts w:ascii="Mosawi" w:hAnsi="Mosawi" w:cs="Mosawi" w:hint="cs"/>
          <w:sz w:val="26"/>
          <w:szCs w:val="26"/>
          <w:vertAlign w:val="baseline"/>
          <w:rtl/>
        </w:rPr>
        <w:t>ة</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بيروت،</w:t>
      </w:r>
      <w:r w:rsidRPr="003E5026">
        <w:rPr>
          <w:rStyle w:val="FootnoteReference"/>
          <w:rFonts w:ascii="Mosawi" w:hAnsi="Mosawi" w:cs="Mosawi"/>
          <w:sz w:val="26"/>
          <w:szCs w:val="26"/>
          <w:vertAlign w:val="baseline"/>
          <w:rtl/>
        </w:rPr>
        <w:t xml:space="preserve"> دار</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 xml:space="preserve">العلم </w:t>
      </w:r>
      <w:r w:rsidRPr="003E5026">
        <w:rPr>
          <w:rStyle w:val="FootnoteReference"/>
          <w:rFonts w:ascii="Mosawi" w:hAnsi="Mosawi" w:cs="Mosawi" w:hint="cs"/>
          <w:sz w:val="26"/>
          <w:szCs w:val="26"/>
          <w:vertAlign w:val="baseline"/>
          <w:rtl/>
        </w:rPr>
        <w:t>للملايين، الطبعة الأولى،</w:t>
      </w:r>
      <w:r w:rsidRPr="003E5026">
        <w:rPr>
          <w:rStyle w:val="FootnoteReference"/>
          <w:rFonts w:ascii="Mosawi" w:hAnsi="Mosawi" w:cs="Mosawi"/>
          <w:sz w:val="26"/>
          <w:szCs w:val="26"/>
          <w:vertAlign w:val="baseline"/>
          <w:rtl/>
        </w:rPr>
        <w:t>1990</w:t>
      </w:r>
      <w:r w:rsidRPr="003E5026">
        <w:rPr>
          <w:rStyle w:val="FootnoteReference"/>
          <w:rFonts w:ascii="Mosawi" w:hAnsi="Mosawi" w:cs="Mosawi" w:hint="cs"/>
          <w:sz w:val="26"/>
          <w:szCs w:val="26"/>
          <w:vertAlign w:val="baseline"/>
          <w:rtl/>
        </w:rPr>
        <w:t>م: 250.</w:t>
      </w:r>
    </w:p>
  </w:footnote>
  <w:footnote w:id="1152">
    <w:p w:rsidR="0071680A" w:rsidRPr="003E5026" w:rsidRDefault="0071680A" w:rsidP="001D4CB9">
      <w:pPr>
        <w:pStyle w:val="11"/>
        <w:widowControl w:val="0"/>
        <w:spacing w:line="197" w:lineRule="auto"/>
        <w:ind w:left="170" w:right="0" w:hanging="170"/>
        <w:rPr>
          <w:rStyle w:val="FootnoteReference"/>
          <w:rFonts w:ascii="Mosawi" w:hAnsi="Mosawi" w:cs="Mosawi"/>
          <w:sz w:val="26"/>
          <w:szCs w:val="26"/>
          <w:vertAlign w:val="baseline"/>
          <w:rtl/>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hint="cs"/>
          <w:sz w:val="26"/>
          <w:szCs w:val="26"/>
          <w:vertAlign w:val="baseline"/>
          <w:rtl/>
        </w:rPr>
        <w:t xml:space="preserve">) انظر مقال الفن القصصي العربي تحت عنوان </w:t>
      </w:r>
      <w:r w:rsidRPr="003E5026">
        <w:rPr>
          <w:rStyle w:val="FootnoteReference"/>
          <w:rFonts w:ascii="Mosawi" w:hAnsi="Mosawi" w:cs="Mosawi" w:hint="eastAsia"/>
          <w:sz w:val="26"/>
          <w:szCs w:val="26"/>
          <w:vertAlign w:val="baseline"/>
          <w:rtl/>
        </w:rPr>
        <w:t>«</w:t>
      </w:r>
      <w:r w:rsidRPr="003E5026">
        <w:rPr>
          <w:rStyle w:val="FootnoteReference"/>
          <w:rFonts w:ascii="Mosawi" w:hAnsi="Mosawi" w:cs="Mosawi" w:hint="cs"/>
          <w:sz w:val="26"/>
          <w:szCs w:val="26"/>
          <w:vertAlign w:val="baseline"/>
          <w:rtl/>
        </w:rPr>
        <w:t>هل هو فن النساء اليوم</w:t>
      </w:r>
      <w:r w:rsidRPr="003E5026">
        <w:rPr>
          <w:rStyle w:val="FootnoteReference"/>
          <w:rFonts w:ascii="Mosawi" w:hAnsi="Mosawi" w:cs="Mosawi" w:hint="eastAsia"/>
          <w:sz w:val="26"/>
          <w:szCs w:val="26"/>
          <w:vertAlign w:val="baseline"/>
          <w:rtl/>
        </w:rPr>
        <w:t>»</w:t>
      </w:r>
      <w:r w:rsidRPr="003E5026">
        <w:rPr>
          <w:rStyle w:val="FootnoteReference"/>
          <w:rFonts w:ascii="Mosawi" w:hAnsi="Mosawi" w:cs="Mosawi" w:hint="cs"/>
          <w:sz w:val="26"/>
          <w:szCs w:val="26"/>
          <w:vertAlign w:val="baseline"/>
          <w:rtl/>
        </w:rPr>
        <w:t xml:space="preserve"> في: </w:t>
      </w:r>
    </w:p>
    <w:p w:rsidR="0071680A" w:rsidRPr="003E5026" w:rsidRDefault="0071680A" w:rsidP="001D4CB9">
      <w:pPr>
        <w:pStyle w:val="11"/>
        <w:widowControl w:val="0"/>
        <w:bidi w:val="0"/>
        <w:spacing w:line="197" w:lineRule="auto"/>
        <w:ind w:left="170" w:right="0" w:hanging="170"/>
        <w:rPr>
          <w:rStyle w:val="FootnoteReference"/>
          <w:rFonts w:cstheme="majorBidi"/>
          <w:sz w:val="26"/>
          <w:szCs w:val="26"/>
          <w:vertAlign w:val="baseline"/>
        </w:rPr>
      </w:pPr>
      <w:r w:rsidRPr="003E5026">
        <w:rPr>
          <w:rStyle w:val="FootnoteReference"/>
          <w:rFonts w:cstheme="majorBidi"/>
          <w:sz w:val="26"/>
          <w:szCs w:val="26"/>
          <w:vertAlign w:val="baseline"/>
          <w:rtl/>
        </w:rPr>
        <w:t xml:space="preserve"> </w:t>
      </w:r>
      <w:r w:rsidRPr="003E5026">
        <w:rPr>
          <w:rStyle w:val="FootnoteReference"/>
          <w:rFonts w:cstheme="majorBidi"/>
          <w:sz w:val="26"/>
          <w:szCs w:val="26"/>
          <w:vertAlign w:val="baseline"/>
        </w:rPr>
        <w:t xml:space="preserve"> %20et % 20 mans.htm </w:t>
      </w:r>
      <w:hyperlink r:id="rId1" w:history="1">
        <w:r w:rsidRPr="003E5026">
          <w:rPr>
            <w:rStyle w:val="FootnoteReference"/>
            <w:rFonts w:cstheme="majorBidi"/>
            <w:sz w:val="26"/>
            <w:szCs w:val="26"/>
            <w:vertAlign w:val="baseline"/>
          </w:rPr>
          <w:t>www.perso.ch/slaibi/femme</w:t>
        </w:r>
      </w:hyperlink>
    </w:p>
  </w:footnote>
  <w:footnote w:id="1153">
    <w:p w:rsidR="0071680A" w:rsidRPr="003E5026" w:rsidRDefault="0071680A" w:rsidP="001D4CB9">
      <w:pPr>
        <w:pStyle w:val="11"/>
        <w:widowControl w:val="0"/>
        <w:spacing w:line="197"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hint="cs"/>
          <w:sz w:val="26"/>
          <w:szCs w:val="26"/>
          <w:vertAlign w:val="baseline"/>
          <w:rtl/>
        </w:rPr>
        <w:t>) إدريس، سهيل</w:t>
      </w:r>
      <w:r w:rsidRPr="003E5026">
        <w:rPr>
          <w:rStyle w:val="FootnoteReference"/>
          <w:rFonts w:ascii="Mosawi" w:hAnsi="Mosawi" w:cs="Mosawi"/>
          <w:sz w:val="26"/>
          <w:szCs w:val="26"/>
          <w:vertAlign w:val="baseline"/>
          <w:rtl/>
        </w:rPr>
        <w:t>، محاضرات عن القص</w:t>
      </w:r>
      <w:r w:rsidRPr="003E5026">
        <w:rPr>
          <w:rStyle w:val="FootnoteReference"/>
          <w:rFonts w:ascii="Mosawi" w:hAnsi="Mosawi" w:cs="Mosawi" w:hint="cs"/>
          <w:sz w:val="26"/>
          <w:szCs w:val="26"/>
          <w:vertAlign w:val="baseline"/>
          <w:rtl/>
        </w:rPr>
        <w:t>ة</w:t>
      </w:r>
      <w:r w:rsidRPr="003E5026">
        <w:rPr>
          <w:rStyle w:val="FootnoteReference"/>
          <w:rFonts w:ascii="Mosawi" w:hAnsi="Mosawi" w:cs="Mosawi"/>
          <w:sz w:val="26"/>
          <w:szCs w:val="26"/>
          <w:vertAlign w:val="baseline"/>
          <w:rtl/>
        </w:rPr>
        <w:t xml:space="preserve"> ف</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xml:space="preserve"> لبنان، </w:t>
      </w:r>
      <w:r w:rsidRPr="003E5026">
        <w:rPr>
          <w:rStyle w:val="FootnoteReference"/>
          <w:rFonts w:ascii="Mosawi" w:hAnsi="Mosawi" w:cs="Mosawi" w:hint="cs"/>
          <w:sz w:val="26"/>
          <w:szCs w:val="26"/>
          <w:vertAlign w:val="baseline"/>
          <w:rtl/>
        </w:rPr>
        <w:t>بيروت،</w:t>
      </w:r>
      <w:r w:rsidRPr="003E5026">
        <w:rPr>
          <w:rStyle w:val="FootnoteReference"/>
          <w:rFonts w:ascii="Mosawi" w:hAnsi="Mosawi" w:cs="Mosawi"/>
          <w:sz w:val="26"/>
          <w:szCs w:val="26"/>
          <w:vertAlign w:val="baseline"/>
          <w:rtl/>
        </w:rPr>
        <w:t xml:space="preserve"> معهد الدراسات </w:t>
      </w:r>
      <w:r w:rsidRPr="003E5026">
        <w:rPr>
          <w:rStyle w:val="FootnoteReference"/>
          <w:rFonts w:ascii="Mosawi" w:hAnsi="Mosawi" w:cs="Mosawi" w:hint="cs"/>
          <w:sz w:val="26"/>
          <w:szCs w:val="26"/>
          <w:vertAlign w:val="baseline"/>
          <w:rtl/>
        </w:rPr>
        <w:t>العربية العالمية،</w:t>
      </w:r>
      <w:r w:rsidRPr="003E5026">
        <w:rPr>
          <w:rStyle w:val="FootnoteReference"/>
          <w:rFonts w:ascii="Mosawi" w:hAnsi="Mosawi" w:cs="Mosawi"/>
          <w:sz w:val="26"/>
          <w:szCs w:val="26"/>
          <w:vertAlign w:val="baseline"/>
          <w:rtl/>
        </w:rPr>
        <w:t xml:space="preserve"> 1975</w:t>
      </w:r>
      <w:r w:rsidRPr="003E5026">
        <w:rPr>
          <w:rStyle w:val="FootnoteReference"/>
          <w:rFonts w:ascii="Mosawi" w:hAnsi="Mosawi" w:cs="Mosawi" w:hint="cs"/>
          <w:sz w:val="26"/>
          <w:szCs w:val="26"/>
          <w:vertAlign w:val="baseline"/>
          <w:rtl/>
        </w:rPr>
        <w:t>م: 3</w:t>
      </w:r>
      <w:r>
        <w:rPr>
          <w:rStyle w:val="FootnoteReference"/>
          <w:rFonts w:ascii="Mosawi" w:hAnsi="Mosawi" w:cs="Mosawi" w:hint="cs"/>
          <w:sz w:val="26"/>
          <w:szCs w:val="26"/>
          <w:vertAlign w:val="baseline"/>
          <w:rtl/>
        </w:rPr>
        <w:t xml:space="preserve"> ـ </w:t>
      </w:r>
      <w:r w:rsidRPr="003E5026">
        <w:rPr>
          <w:rStyle w:val="FootnoteReference"/>
          <w:rFonts w:ascii="Mosawi" w:hAnsi="Mosawi" w:cs="Mosawi" w:hint="cs"/>
          <w:sz w:val="26"/>
          <w:szCs w:val="26"/>
          <w:vertAlign w:val="baseline"/>
          <w:rtl/>
        </w:rPr>
        <w:t>6؛</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الأ</w:t>
      </w:r>
      <w:r w:rsidRPr="003E5026">
        <w:rPr>
          <w:rStyle w:val="FootnoteReference"/>
          <w:rFonts w:ascii="Mosawi" w:hAnsi="Mosawi" w:cs="Mosawi"/>
          <w:sz w:val="26"/>
          <w:szCs w:val="26"/>
          <w:vertAlign w:val="baseline"/>
          <w:rtl/>
        </w:rPr>
        <w:t>شتر،</w:t>
      </w:r>
      <w:r w:rsidRPr="003E5026">
        <w:rPr>
          <w:rStyle w:val="FootnoteReference"/>
          <w:rFonts w:ascii="Mosawi" w:hAnsi="Mosawi" w:cs="Mosawi" w:hint="cs"/>
          <w:sz w:val="26"/>
          <w:szCs w:val="26"/>
          <w:vertAlign w:val="baseline"/>
          <w:rtl/>
        </w:rPr>
        <w:t xml:space="preserve"> تعريف بالنثر العربي</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الحديث: 180؛ ال</w:t>
      </w:r>
      <w:r w:rsidRPr="003E5026">
        <w:rPr>
          <w:rStyle w:val="FootnoteReference"/>
          <w:rFonts w:ascii="Mosawi" w:hAnsi="Mosawi" w:cs="Mosawi"/>
          <w:sz w:val="26"/>
          <w:szCs w:val="26"/>
          <w:vertAlign w:val="baseline"/>
          <w:rtl/>
        </w:rPr>
        <w:t>ورق</w:t>
      </w:r>
      <w:r w:rsidRPr="003E5026">
        <w:rPr>
          <w:rStyle w:val="FootnoteReference"/>
          <w:rFonts w:ascii="Mosawi" w:hAnsi="Mosawi" w:cs="Mosawi" w:hint="cs"/>
          <w:sz w:val="26"/>
          <w:szCs w:val="26"/>
          <w:vertAlign w:val="baseline"/>
          <w:rtl/>
        </w:rPr>
        <w:t xml:space="preserve">ي، </w:t>
      </w:r>
      <w:r w:rsidRPr="003E5026">
        <w:rPr>
          <w:rStyle w:val="FootnoteReference"/>
          <w:rFonts w:ascii="Mosawi" w:hAnsi="Mosawi" w:cs="Mosawi"/>
          <w:sz w:val="26"/>
          <w:szCs w:val="26"/>
          <w:vertAlign w:val="baseline"/>
          <w:rtl/>
        </w:rPr>
        <w:t>ف</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xml:space="preserve"> ال</w:t>
      </w:r>
      <w:r w:rsidRPr="003E5026">
        <w:rPr>
          <w:rStyle w:val="FootnoteReference"/>
          <w:rFonts w:ascii="Mosawi" w:hAnsi="Mosawi" w:cs="Mosawi" w:hint="cs"/>
          <w:sz w:val="26"/>
          <w:szCs w:val="26"/>
          <w:vertAlign w:val="baseline"/>
          <w:rtl/>
        </w:rPr>
        <w:t>أ</w:t>
      </w:r>
      <w:r w:rsidRPr="003E5026">
        <w:rPr>
          <w:rStyle w:val="FootnoteReference"/>
          <w:rFonts w:ascii="Mosawi" w:hAnsi="Mosawi" w:cs="Mosawi"/>
          <w:sz w:val="26"/>
          <w:szCs w:val="26"/>
          <w:vertAlign w:val="baseline"/>
          <w:rtl/>
        </w:rPr>
        <w:t>دب العرب</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xml:space="preserve"> المعاصر</w:t>
      </w:r>
      <w:r w:rsidRPr="003E5026">
        <w:rPr>
          <w:rStyle w:val="FootnoteReference"/>
          <w:rFonts w:ascii="Mosawi" w:hAnsi="Mosawi" w:cs="Mosawi" w:hint="cs"/>
          <w:sz w:val="26"/>
          <w:szCs w:val="26"/>
          <w:vertAlign w:val="baseline"/>
          <w:rtl/>
        </w:rPr>
        <w:t>:12</w:t>
      </w:r>
      <w:r>
        <w:rPr>
          <w:rStyle w:val="FootnoteReference"/>
          <w:rFonts w:ascii="Mosawi" w:hAnsi="Mosawi" w:cs="Mosawi" w:hint="cs"/>
          <w:sz w:val="26"/>
          <w:szCs w:val="26"/>
          <w:vertAlign w:val="baseline"/>
          <w:rtl/>
        </w:rPr>
        <w:t xml:space="preserve"> </w:t>
      </w:r>
      <w:r>
        <w:rPr>
          <w:rFonts w:ascii="Mosawi" w:hAnsi="Mosawi" w:cs="Mosawi" w:hint="cs"/>
          <w:sz w:val="26"/>
          <w:szCs w:val="26"/>
          <w:rtl/>
        </w:rPr>
        <w:t xml:space="preserve">ـ </w:t>
      </w:r>
      <w:r w:rsidRPr="003E5026">
        <w:rPr>
          <w:rStyle w:val="FootnoteReference"/>
          <w:rFonts w:ascii="Mosawi" w:hAnsi="Mosawi" w:cs="Mosawi" w:hint="cs"/>
          <w:sz w:val="26"/>
          <w:szCs w:val="26"/>
          <w:vertAlign w:val="baseline"/>
          <w:rtl/>
        </w:rPr>
        <w:t>13.</w:t>
      </w:r>
    </w:p>
  </w:footnote>
  <w:footnote w:id="1154">
    <w:p w:rsidR="0071680A" w:rsidRPr="003E5026" w:rsidRDefault="0071680A" w:rsidP="001D4CB9">
      <w:pPr>
        <w:pStyle w:val="11"/>
        <w:widowControl w:val="0"/>
        <w:spacing w:line="197"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hint="cs"/>
          <w:sz w:val="26"/>
          <w:szCs w:val="26"/>
          <w:vertAlign w:val="baseline"/>
          <w:rtl/>
        </w:rPr>
        <w:t>) سورة يوسف:3.</w:t>
      </w:r>
    </w:p>
  </w:footnote>
  <w:footnote w:id="1155">
    <w:p w:rsidR="0071680A" w:rsidRPr="003E5026" w:rsidRDefault="0071680A" w:rsidP="00EF7221">
      <w:pPr>
        <w:pStyle w:val="11"/>
        <w:widowControl w:val="0"/>
        <w:spacing w:line="185"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hint="cs"/>
          <w:sz w:val="26"/>
          <w:szCs w:val="26"/>
          <w:vertAlign w:val="baseline"/>
          <w:rtl/>
        </w:rPr>
        <w:t>) كيب، هاميلتون،أدبيات نوين عرب، ترجمة</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 xml:space="preserve">يعقوب آژند، طهران، مطبعة </w:t>
      </w:r>
      <w:r w:rsidRPr="003E5026">
        <w:rPr>
          <w:rStyle w:val="FootnoteReference"/>
          <w:rFonts w:ascii="Mosawi" w:hAnsi="Mosawi" w:cs="Mosawi"/>
          <w:sz w:val="26"/>
          <w:szCs w:val="26"/>
          <w:vertAlign w:val="baseline"/>
          <w:rtl/>
        </w:rPr>
        <w:t xml:space="preserve">اطلاعات، </w:t>
      </w:r>
      <w:r w:rsidRPr="003E5026">
        <w:rPr>
          <w:rStyle w:val="FootnoteReference"/>
          <w:rFonts w:ascii="Mosawi" w:hAnsi="Mosawi" w:cs="Mosawi" w:hint="cs"/>
          <w:sz w:val="26"/>
          <w:szCs w:val="26"/>
          <w:vertAlign w:val="baseline"/>
          <w:rtl/>
        </w:rPr>
        <w:t>1366</w:t>
      </w:r>
      <w:r w:rsidRPr="003E5026">
        <w:rPr>
          <w:rStyle w:val="FootnoteReference"/>
          <w:rFonts w:ascii="Mosawi" w:hAnsi="Mosawi" w:cs="Mosawi"/>
          <w:sz w:val="26"/>
          <w:szCs w:val="26"/>
          <w:vertAlign w:val="baseline"/>
          <w:rtl/>
        </w:rPr>
        <w:t>هـ</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ش: 5؛</w:t>
      </w:r>
      <w:r w:rsidRPr="003E5026">
        <w:rPr>
          <w:rStyle w:val="FootnoteReference"/>
          <w:rFonts w:ascii="Mosawi" w:hAnsi="Mosawi" w:cs="Mosawi"/>
          <w:sz w:val="26"/>
          <w:szCs w:val="26"/>
          <w:vertAlign w:val="baseline"/>
          <w:rtl/>
        </w:rPr>
        <w:t xml:space="preserve"> المقد</w:t>
      </w:r>
      <w:r w:rsidRPr="003E5026">
        <w:rPr>
          <w:rStyle w:val="FootnoteReference"/>
          <w:rFonts w:ascii="Mosawi" w:hAnsi="Mosawi" w:cs="Mosawi" w:hint="cs"/>
          <w:sz w:val="26"/>
          <w:szCs w:val="26"/>
          <w:vertAlign w:val="baseline"/>
          <w:rtl/>
        </w:rPr>
        <w:t>سي، أنيس، الا</w:t>
      </w:r>
      <w:r w:rsidRPr="003E5026">
        <w:rPr>
          <w:rStyle w:val="FootnoteReference"/>
          <w:rFonts w:ascii="Mosawi" w:hAnsi="Mosawi" w:cs="Mosawi"/>
          <w:sz w:val="26"/>
          <w:szCs w:val="26"/>
          <w:vertAlign w:val="baseline"/>
          <w:rtl/>
        </w:rPr>
        <w:t xml:space="preserve">تجاهات </w:t>
      </w:r>
      <w:r w:rsidRPr="003E5026">
        <w:rPr>
          <w:rStyle w:val="FootnoteReference"/>
          <w:rFonts w:ascii="Mosawi" w:hAnsi="Mosawi" w:cs="Mosawi" w:hint="cs"/>
          <w:sz w:val="26"/>
          <w:szCs w:val="26"/>
          <w:vertAlign w:val="baseline"/>
          <w:rtl/>
        </w:rPr>
        <w:t>الأدبية</w:t>
      </w:r>
      <w:r w:rsidRPr="003E5026">
        <w:rPr>
          <w:rStyle w:val="FootnoteReference"/>
          <w:rFonts w:ascii="Mosawi" w:hAnsi="Mosawi" w:cs="Mosawi"/>
          <w:sz w:val="26"/>
          <w:szCs w:val="26"/>
          <w:vertAlign w:val="baseline"/>
          <w:rtl/>
        </w:rPr>
        <w:t xml:space="preserve"> ف</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xml:space="preserve"> العالم العرب</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 xml:space="preserve">الحديث، بيروت، </w:t>
      </w:r>
      <w:r w:rsidRPr="003E5026">
        <w:rPr>
          <w:rStyle w:val="FootnoteReference"/>
          <w:rFonts w:ascii="Mosawi" w:hAnsi="Mosawi" w:cs="Mosawi"/>
          <w:sz w:val="26"/>
          <w:szCs w:val="26"/>
          <w:vertAlign w:val="baseline"/>
          <w:rtl/>
        </w:rPr>
        <w:t>دار</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 xml:space="preserve">العلم </w:t>
      </w:r>
      <w:r w:rsidRPr="003E5026">
        <w:rPr>
          <w:rStyle w:val="FootnoteReference"/>
          <w:rFonts w:ascii="Mosawi" w:hAnsi="Mosawi" w:cs="Mosawi" w:hint="cs"/>
          <w:sz w:val="26"/>
          <w:szCs w:val="26"/>
          <w:vertAlign w:val="baseline"/>
          <w:rtl/>
        </w:rPr>
        <w:t>للملايين، للطبعة الثامنة، 1988: 455.</w:t>
      </w:r>
    </w:p>
  </w:footnote>
  <w:footnote w:id="1156">
    <w:p w:rsidR="0071680A" w:rsidRPr="003E5026" w:rsidRDefault="0071680A" w:rsidP="00EF7221">
      <w:pPr>
        <w:pStyle w:val="11"/>
        <w:widowControl w:val="0"/>
        <w:spacing w:line="185"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hint="cs"/>
          <w:sz w:val="26"/>
          <w:szCs w:val="26"/>
          <w:vertAlign w:val="baseline"/>
          <w:rtl/>
        </w:rPr>
        <w:t xml:space="preserve">) </w:t>
      </w:r>
      <w:r w:rsidRPr="00EF7221">
        <w:rPr>
          <w:rStyle w:val="FootnoteReference"/>
          <w:rFonts w:ascii="Mosawi" w:hAnsi="Mosawi" w:cs="Mosawi" w:hint="cs"/>
          <w:sz w:val="25"/>
          <w:szCs w:val="25"/>
          <w:vertAlign w:val="baseline"/>
          <w:rtl/>
        </w:rPr>
        <w:t xml:space="preserve">مير صادقي، جمال، عناصر داستان، طهران، مطبعة </w:t>
      </w:r>
      <w:r w:rsidRPr="00EF7221">
        <w:rPr>
          <w:rStyle w:val="FootnoteReference"/>
          <w:rFonts w:ascii="Mosawi" w:hAnsi="Mosawi" w:cs="Mosawi"/>
          <w:sz w:val="25"/>
          <w:szCs w:val="25"/>
          <w:vertAlign w:val="baseline"/>
          <w:rtl/>
        </w:rPr>
        <w:t>سخن،</w:t>
      </w:r>
      <w:r w:rsidRPr="00EF7221">
        <w:rPr>
          <w:rStyle w:val="FootnoteReference"/>
          <w:rFonts w:ascii="Mosawi" w:hAnsi="Mosawi" w:cs="Mosawi" w:hint="cs"/>
          <w:sz w:val="25"/>
          <w:szCs w:val="25"/>
          <w:vertAlign w:val="baseline"/>
          <w:rtl/>
        </w:rPr>
        <w:t>الطبعة الثالثة،</w:t>
      </w:r>
      <w:r w:rsidRPr="00EF7221">
        <w:rPr>
          <w:rStyle w:val="FootnoteReference"/>
          <w:rFonts w:ascii="Mosawi" w:hAnsi="Mosawi" w:cs="Mosawi"/>
          <w:sz w:val="25"/>
          <w:szCs w:val="25"/>
          <w:vertAlign w:val="baseline"/>
          <w:rtl/>
        </w:rPr>
        <w:t xml:space="preserve"> </w:t>
      </w:r>
      <w:r w:rsidRPr="00EF7221">
        <w:rPr>
          <w:rStyle w:val="FootnoteReference"/>
          <w:rFonts w:ascii="Mosawi" w:hAnsi="Mosawi" w:cs="Mosawi" w:hint="cs"/>
          <w:sz w:val="25"/>
          <w:szCs w:val="25"/>
          <w:vertAlign w:val="baseline"/>
          <w:rtl/>
        </w:rPr>
        <w:t>1376</w:t>
      </w:r>
      <w:r w:rsidRPr="00EF7221">
        <w:rPr>
          <w:rStyle w:val="FootnoteReference"/>
          <w:rFonts w:ascii="Mosawi" w:hAnsi="Mosawi" w:cs="Mosawi"/>
          <w:sz w:val="25"/>
          <w:szCs w:val="25"/>
          <w:vertAlign w:val="baseline"/>
          <w:rtl/>
        </w:rPr>
        <w:t>هـ</w:t>
      </w:r>
      <w:r w:rsidRPr="00EF7221">
        <w:rPr>
          <w:rStyle w:val="FootnoteReference"/>
          <w:rFonts w:ascii="Mosawi" w:hAnsi="Mosawi" w:cs="Mosawi" w:hint="cs"/>
          <w:sz w:val="25"/>
          <w:szCs w:val="25"/>
          <w:vertAlign w:val="baseline"/>
          <w:rtl/>
        </w:rPr>
        <w:t xml:space="preserve"> ش: 34 </w:t>
      </w:r>
      <w:r w:rsidRPr="00EF7221">
        <w:rPr>
          <w:rFonts w:ascii="Mosawi" w:hAnsi="Mosawi" w:cs="Mosawi" w:hint="cs"/>
          <w:sz w:val="25"/>
          <w:szCs w:val="25"/>
          <w:rtl/>
        </w:rPr>
        <w:t xml:space="preserve">ـ </w:t>
      </w:r>
      <w:r w:rsidRPr="00EF7221">
        <w:rPr>
          <w:rStyle w:val="FootnoteReference"/>
          <w:rFonts w:ascii="Mosawi" w:hAnsi="Mosawi" w:cs="Mosawi" w:hint="cs"/>
          <w:sz w:val="25"/>
          <w:szCs w:val="25"/>
          <w:vertAlign w:val="baseline"/>
          <w:rtl/>
        </w:rPr>
        <w:t>35، 173؛</w:t>
      </w:r>
      <w:r w:rsidRPr="00EF7221">
        <w:rPr>
          <w:rStyle w:val="FootnoteReference"/>
          <w:rFonts w:ascii="Mosawi" w:hAnsi="Mosawi" w:cs="Mosawi"/>
          <w:sz w:val="25"/>
          <w:szCs w:val="25"/>
          <w:vertAlign w:val="baseline"/>
          <w:rtl/>
        </w:rPr>
        <w:t xml:space="preserve"> </w:t>
      </w:r>
      <w:r w:rsidRPr="00EF7221">
        <w:rPr>
          <w:rStyle w:val="FootnoteReference"/>
          <w:rFonts w:ascii="Mosawi" w:hAnsi="Mosawi" w:cs="Mosawi" w:hint="cs"/>
          <w:sz w:val="25"/>
          <w:szCs w:val="25"/>
          <w:vertAlign w:val="baseline"/>
          <w:rtl/>
        </w:rPr>
        <w:t>ال</w:t>
      </w:r>
      <w:r w:rsidRPr="00EF7221">
        <w:rPr>
          <w:rStyle w:val="FootnoteReference"/>
          <w:rFonts w:ascii="Mosawi" w:hAnsi="Mosawi" w:cs="Mosawi"/>
          <w:sz w:val="25"/>
          <w:szCs w:val="25"/>
          <w:vertAlign w:val="baseline"/>
          <w:rtl/>
        </w:rPr>
        <w:t>رشد</w:t>
      </w:r>
      <w:r w:rsidRPr="00EF7221">
        <w:rPr>
          <w:rStyle w:val="FootnoteReference"/>
          <w:rFonts w:ascii="Mosawi" w:hAnsi="Mosawi" w:cs="Mosawi" w:hint="cs"/>
          <w:sz w:val="25"/>
          <w:szCs w:val="25"/>
          <w:vertAlign w:val="baseline"/>
          <w:rtl/>
        </w:rPr>
        <w:t>ي</w:t>
      </w:r>
      <w:r w:rsidRPr="00EF7221">
        <w:rPr>
          <w:rStyle w:val="FootnoteReference"/>
          <w:rFonts w:ascii="Mosawi" w:hAnsi="Mosawi" w:cs="Mosawi"/>
          <w:sz w:val="25"/>
          <w:szCs w:val="25"/>
          <w:vertAlign w:val="baseline"/>
          <w:rtl/>
        </w:rPr>
        <w:t>، رشاد، فن القص</w:t>
      </w:r>
      <w:r w:rsidRPr="00EF7221">
        <w:rPr>
          <w:rStyle w:val="FootnoteReference"/>
          <w:rFonts w:ascii="Mosawi" w:hAnsi="Mosawi" w:cs="Mosawi" w:hint="cs"/>
          <w:sz w:val="25"/>
          <w:szCs w:val="25"/>
          <w:vertAlign w:val="baseline"/>
          <w:rtl/>
        </w:rPr>
        <w:t>ة</w:t>
      </w:r>
      <w:r w:rsidRPr="00EF7221">
        <w:rPr>
          <w:rStyle w:val="FootnoteReference"/>
          <w:rFonts w:ascii="Mosawi" w:hAnsi="Mosawi" w:cs="Mosawi"/>
          <w:sz w:val="25"/>
          <w:szCs w:val="25"/>
          <w:vertAlign w:val="baseline"/>
          <w:rtl/>
        </w:rPr>
        <w:t xml:space="preserve"> </w:t>
      </w:r>
      <w:r w:rsidRPr="00EF7221">
        <w:rPr>
          <w:rStyle w:val="FootnoteReference"/>
          <w:rFonts w:ascii="Mosawi" w:hAnsi="Mosawi" w:cs="Mosawi" w:hint="cs"/>
          <w:sz w:val="25"/>
          <w:szCs w:val="25"/>
          <w:vertAlign w:val="baseline"/>
          <w:rtl/>
        </w:rPr>
        <w:t>القصيرة</w:t>
      </w:r>
      <w:r w:rsidRPr="00EF7221">
        <w:rPr>
          <w:rStyle w:val="FootnoteReference"/>
          <w:rFonts w:ascii="Mosawi" w:hAnsi="Mosawi" w:cs="Mosawi"/>
          <w:sz w:val="25"/>
          <w:szCs w:val="25"/>
          <w:vertAlign w:val="baseline"/>
          <w:rtl/>
        </w:rPr>
        <w:t xml:space="preserve">، </w:t>
      </w:r>
      <w:r w:rsidRPr="00EF7221">
        <w:rPr>
          <w:rStyle w:val="FootnoteReference"/>
          <w:rFonts w:ascii="Mosawi" w:hAnsi="Mosawi" w:cs="Mosawi" w:hint="cs"/>
          <w:sz w:val="25"/>
          <w:szCs w:val="25"/>
          <w:vertAlign w:val="baseline"/>
          <w:rtl/>
        </w:rPr>
        <w:t>بيروت،</w:t>
      </w:r>
      <w:r w:rsidRPr="00EF7221">
        <w:rPr>
          <w:rStyle w:val="FootnoteReference"/>
          <w:rFonts w:ascii="Mosawi" w:hAnsi="Mosawi" w:cs="Mosawi"/>
          <w:sz w:val="25"/>
          <w:szCs w:val="25"/>
          <w:vertAlign w:val="baseline"/>
          <w:rtl/>
        </w:rPr>
        <w:t xml:space="preserve"> دار</w:t>
      </w:r>
      <w:r w:rsidRPr="00EF7221">
        <w:rPr>
          <w:rStyle w:val="FootnoteReference"/>
          <w:rFonts w:ascii="Mosawi" w:hAnsi="Mosawi" w:cs="Mosawi" w:hint="cs"/>
          <w:sz w:val="25"/>
          <w:szCs w:val="25"/>
          <w:vertAlign w:val="baseline"/>
          <w:rtl/>
        </w:rPr>
        <w:t xml:space="preserve"> </w:t>
      </w:r>
      <w:r w:rsidRPr="00EF7221">
        <w:rPr>
          <w:rStyle w:val="FootnoteReference"/>
          <w:rFonts w:ascii="Mosawi" w:hAnsi="Mosawi" w:cs="Mosawi"/>
          <w:sz w:val="25"/>
          <w:szCs w:val="25"/>
          <w:vertAlign w:val="baseline"/>
          <w:rtl/>
        </w:rPr>
        <w:t>العود</w:t>
      </w:r>
      <w:r w:rsidRPr="00EF7221">
        <w:rPr>
          <w:rStyle w:val="FootnoteReference"/>
          <w:rFonts w:ascii="Mosawi" w:hAnsi="Mosawi" w:cs="Mosawi" w:hint="cs"/>
          <w:sz w:val="25"/>
          <w:szCs w:val="25"/>
          <w:vertAlign w:val="baseline"/>
          <w:rtl/>
        </w:rPr>
        <w:t>ة</w:t>
      </w:r>
      <w:r w:rsidRPr="00EF7221">
        <w:rPr>
          <w:rStyle w:val="FootnoteReference"/>
          <w:rFonts w:ascii="Mosawi" w:hAnsi="Mosawi" w:cs="Mosawi"/>
          <w:sz w:val="25"/>
          <w:szCs w:val="25"/>
          <w:vertAlign w:val="baseline"/>
          <w:rtl/>
        </w:rPr>
        <w:t xml:space="preserve">، </w:t>
      </w:r>
      <w:r w:rsidRPr="00EF7221">
        <w:rPr>
          <w:rStyle w:val="FootnoteReference"/>
          <w:rFonts w:ascii="Mosawi" w:hAnsi="Mosawi" w:cs="Mosawi" w:hint="cs"/>
          <w:sz w:val="25"/>
          <w:szCs w:val="25"/>
          <w:vertAlign w:val="baseline"/>
          <w:rtl/>
        </w:rPr>
        <w:t>الطبعة الثالثة،</w:t>
      </w:r>
      <w:r w:rsidRPr="00EF7221">
        <w:rPr>
          <w:rStyle w:val="FootnoteReference"/>
          <w:rFonts w:ascii="Mosawi" w:hAnsi="Mosawi" w:cs="Mosawi"/>
          <w:sz w:val="25"/>
          <w:szCs w:val="25"/>
          <w:vertAlign w:val="baseline"/>
          <w:rtl/>
        </w:rPr>
        <w:t xml:space="preserve"> 1984</w:t>
      </w:r>
      <w:r w:rsidRPr="00EF7221">
        <w:rPr>
          <w:rStyle w:val="FootnoteReference"/>
          <w:rFonts w:ascii="Mosawi" w:hAnsi="Mosawi" w:cs="Mosawi" w:hint="cs"/>
          <w:sz w:val="25"/>
          <w:szCs w:val="25"/>
          <w:vertAlign w:val="baseline"/>
          <w:rtl/>
        </w:rPr>
        <w:t>م: 51.</w:t>
      </w:r>
    </w:p>
  </w:footnote>
  <w:footnote w:id="1157">
    <w:p w:rsidR="0071680A" w:rsidRPr="003E5026" w:rsidRDefault="0071680A" w:rsidP="00EF7221">
      <w:pPr>
        <w:pStyle w:val="11"/>
        <w:widowControl w:val="0"/>
        <w:spacing w:line="168"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hint="cs"/>
          <w:sz w:val="26"/>
          <w:szCs w:val="26"/>
          <w:vertAlign w:val="baseline"/>
          <w:rtl/>
        </w:rPr>
        <w:t>) ال</w:t>
      </w:r>
      <w:r w:rsidRPr="003E5026">
        <w:rPr>
          <w:rStyle w:val="FootnoteReference"/>
          <w:rFonts w:ascii="Mosawi" w:hAnsi="Mosawi" w:cs="Mosawi"/>
          <w:sz w:val="26"/>
          <w:szCs w:val="26"/>
          <w:vertAlign w:val="baseline"/>
          <w:rtl/>
        </w:rPr>
        <w:t>بستان</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ال</w:t>
      </w:r>
      <w:r w:rsidRPr="003E5026">
        <w:rPr>
          <w:rStyle w:val="FootnoteReference"/>
          <w:rFonts w:ascii="Mosawi" w:hAnsi="Mosawi" w:cs="Mosawi" w:hint="cs"/>
          <w:sz w:val="26"/>
          <w:szCs w:val="26"/>
          <w:vertAlign w:val="baseline"/>
          <w:rtl/>
        </w:rPr>
        <w:t>أ</w:t>
      </w:r>
      <w:r w:rsidRPr="003E5026">
        <w:rPr>
          <w:rStyle w:val="FootnoteReference"/>
          <w:rFonts w:ascii="Mosawi" w:hAnsi="Mosawi" w:cs="Mosawi"/>
          <w:sz w:val="26"/>
          <w:szCs w:val="26"/>
          <w:vertAlign w:val="baseline"/>
          <w:rtl/>
        </w:rPr>
        <w:t>دب اللبنان</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xml:space="preserve"> الح</w:t>
      </w:r>
      <w:r w:rsidRPr="003E5026">
        <w:rPr>
          <w:rStyle w:val="FootnoteReference"/>
          <w:rFonts w:ascii="Mosawi" w:hAnsi="Mosawi" w:cs="Mosawi" w:hint="cs"/>
          <w:sz w:val="26"/>
          <w:szCs w:val="26"/>
          <w:vertAlign w:val="baseline"/>
          <w:rtl/>
        </w:rPr>
        <w:t>ي:86</w:t>
      </w:r>
      <w:r>
        <w:rPr>
          <w:rStyle w:val="FootnoteReference"/>
          <w:rFonts w:ascii="Mosawi" w:hAnsi="Mosawi" w:cs="Mosawi" w:hint="cs"/>
          <w:sz w:val="26"/>
          <w:szCs w:val="26"/>
          <w:vertAlign w:val="baseline"/>
          <w:rtl/>
        </w:rPr>
        <w:t xml:space="preserve"> </w:t>
      </w:r>
      <w:r>
        <w:rPr>
          <w:rFonts w:ascii="Mosawi" w:hAnsi="Mosawi" w:cs="Mosawi" w:hint="cs"/>
          <w:sz w:val="26"/>
          <w:szCs w:val="26"/>
          <w:rtl/>
        </w:rPr>
        <w:t xml:space="preserve">ـ </w:t>
      </w:r>
      <w:r w:rsidRPr="003E5026">
        <w:rPr>
          <w:rStyle w:val="FootnoteReference"/>
          <w:rFonts w:ascii="Mosawi" w:hAnsi="Mosawi" w:cs="Mosawi" w:hint="cs"/>
          <w:sz w:val="26"/>
          <w:szCs w:val="26"/>
          <w:vertAlign w:val="baseline"/>
          <w:rtl/>
        </w:rPr>
        <w:t>87.</w:t>
      </w:r>
    </w:p>
  </w:footnote>
  <w:footnote w:id="1158">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hint="cs"/>
          <w:sz w:val="26"/>
          <w:szCs w:val="26"/>
          <w:vertAlign w:val="baseline"/>
          <w:rtl/>
        </w:rPr>
        <w:t xml:space="preserve">) </w:t>
      </w:r>
      <w:r w:rsidRPr="00EF7221">
        <w:rPr>
          <w:rStyle w:val="FootnoteReference"/>
          <w:rFonts w:ascii="Mosawi" w:hAnsi="Mosawi" w:cs="Mosawi" w:hint="cs"/>
          <w:sz w:val="25"/>
          <w:szCs w:val="25"/>
          <w:vertAlign w:val="baseline"/>
          <w:rtl/>
        </w:rPr>
        <w:t>ال</w:t>
      </w:r>
      <w:r w:rsidRPr="00EF7221">
        <w:rPr>
          <w:rStyle w:val="FootnoteReference"/>
          <w:rFonts w:ascii="Mosawi" w:hAnsi="Mosawi" w:cs="Mosawi"/>
          <w:sz w:val="25"/>
          <w:szCs w:val="25"/>
          <w:vertAlign w:val="baseline"/>
          <w:rtl/>
        </w:rPr>
        <w:t>رشد</w:t>
      </w:r>
      <w:r w:rsidRPr="00EF7221">
        <w:rPr>
          <w:rStyle w:val="FootnoteReference"/>
          <w:rFonts w:ascii="Mosawi" w:hAnsi="Mosawi" w:cs="Mosawi" w:hint="cs"/>
          <w:sz w:val="25"/>
          <w:szCs w:val="25"/>
          <w:vertAlign w:val="baseline"/>
          <w:rtl/>
        </w:rPr>
        <w:t>ي</w:t>
      </w:r>
      <w:r w:rsidRPr="00EF7221">
        <w:rPr>
          <w:rStyle w:val="FootnoteReference"/>
          <w:rFonts w:ascii="Mosawi" w:hAnsi="Mosawi" w:cs="Mosawi"/>
          <w:sz w:val="25"/>
          <w:szCs w:val="25"/>
          <w:vertAlign w:val="baseline"/>
          <w:rtl/>
        </w:rPr>
        <w:t>، فن القص</w:t>
      </w:r>
      <w:r w:rsidRPr="00EF7221">
        <w:rPr>
          <w:rStyle w:val="FootnoteReference"/>
          <w:rFonts w:ascii="Mosawi" w:hAnsi="Mosawi" w:cs="Mosawi" w:hint="cs"/>
          <w:sz w:val="25"/>
          <w:szCs w:val="25"/>
          <w:vertAlign w:val="baseline"/>
          <w:rtl/>
        </w:rPr>
        <w:t>ة</w:t>
      </w:r>
      <w:r w:rsidRPr="00EF7221">
        <w:rPr>
          <w:rStyle w:val="FootnoteReference"/>
          <w:rFonts w:ascii="Mosawi" w:hAnsi="Mosawi" w:cs="Mosawi"/>
          <w:sz w:val="25"/>
          <w:szCs w:val="25"/>
          <w:vertAlign w:val="baseline"/>
          <w:rtl/>
        </w:rPr>
        <w:t xml:space="preserve"> </w:t>
      </w:r>
      <w:r w:rsidRPr="00EF7221">
        <w:rPr>
          <w:rStyle w:val="FootnoteReference"/>
          <w:rFonts w:ascii="Mosawi" w:hAnsi="Mosawi" w:cs="Mosawi" w:hint="cs"/>
          <w:sz w:val="25"/>
          <w:szCs w:val="25"/>
          <w:vertAlign w:val="baseline"/>
          <w:rtl/>
        </w:rPr>
        <w:t xml:space="preserve">القصيرة: 97؛ </w:t>
      </w:r>
      <w:r w:rsidRPr="00EF7221">
        <w:rPr>
          <w:rStyle w:val="FootnoteReference"/>
          <w:rFonts w:ascii="Mosawi" w:hAnsi="Mosawi" w:cs="Mosawi"/>
          <w:sz w:val="25"/>
          <w:szCs w:val="25"/>
          <w:vertAlign w:val="baseline"/>
          <w:rtl/>
        </w:rPr>
        <w:t>عبدالسلام ، فاتح، الحوارالقصص</w:t>
      </w:r>
      <w:r w:rsidRPr="00EF7221">
        <w:rPr>
          <w:rStyle w:val="FootnoteReference"/>
          <w:rFonts w:ascii="Mosawi" w:hAnsi="Mosawi" w:cs="Mosawi" w:hint="cs"/>
          <w:sz w:val="25"/>
          <w:szCs w:val="25"/>
          <w:vertAlign w:val="baseline"/>
          <w:rtl/>
        </w:rPr>
        <w:t>ي</w:t>
      </w:r>
      <w:r w:rsidRPr="00EF7221">
        <w:rPr>
          <w:rStyle w:val="FootnoteReference"/>
          <w:rFonts w:ascii="Mosawi" w:hAnsi="Mosawi" w:cs="Mosawi"/>
          <w:sz w:val="25"/>
          <w:szCs w:val="25"/>
          <w:vertAlign w:val="baseline"/>
          <w:rtl/>
        </w:rPr>
        <w:t xml:space="preserve"> </w:t>
      </w:r>
      <w:r w:rsidRPr="00EF7221">
        <w:rPr>
          <w:rStyle w:val="FootnoteReference"/>
          <w:rFonts w:ascii="Mosawi" w:hAnsi="Mosawi" w:cs="Mosawi" w:hint="cs"/>
          <w:sz w:val="25"/>
          <w:szCs w:val="25"/>
          <w:vertAlign w:val="baseline"/>
          <w:rtl/>
        </w:rPr>
        <w:t>تقنياته</w:t>
      </w:r>
      <w:r w:rsidRPr="00EF7221">
        <w:rPr>
          <w:rStyle w:val="FootnoteReference"/>
          <w:rFonts w:ascii="Mosawi" w:hAnsi="Mosawi" w:cs="Mosawi"/>
          <w:sz w:val="25"/>
          <w:szCs w:val="25"/>
          <w:vertAlign w:val="baseline"/>
          <w:rtl/>
        </w:rPr>
        <w:t xml:space="preserve"> وعلاقاته </w:t>
      </w:r>
      <w:r w:rsidRPr="00EF7221">
        <w:rPr>
          <w:rStyle w:val="FootnoteReference"/>
          <w:rFonts w:ascii="Mosawi" w:hAnsi="Mosawi" w:cs="Mosawi" w:hint="cs"/>
          <w:sz w:val="25"/>
          <w:szCs w:val="25"/>
          <w:vertAlign w:val="baseline"/>
          <w:rtl/>
        </w:rPr>
        <w:t>السردية</w:t>
      </w:r>
      <w:r w:rsidRPr="00EF7221">
        <w:rPr>
          <w:rStyle w:val="FootnoteReference"/>
          <w:rFonts w:ascii="Mosawi" w:hAnsi="Mosawi" w:cs="Mosawi"/>
          <w:sz w:val="25"/>
          <w:szCs w:val="25"/>
          <w:vertAlign w:val="baseline"/>
          <w:rtl/>
        </w:rPr>
        <w:t>،</w:t>
      </w:r>
      <w:r w:rsidRPr="00EF7221">
        <w:rPr>
          <w:rStyle w:val="FootnoteReference"/>
          <w:rFonts w:ascii="Mosawi" w:hAnsi="Mosawi" w:cs="Mosawi" w:hint="cs"/>
          <w:sz w:val="25"/>
          <w:szCs w:val="25"/>
          <w:vertAlign w:val="baseline"/>
          <w:rtl/>
        </w:rPr>
        <w:t xml:space="preserve"> بيروت،</w:t>
      </w:r>
      <w:r w:rsidRPr="00EF7221">
        <w:rPr>
          <w:rStyle w:val="FootnoteReference"/>
          <w:rFonts w:ascii="Mosawi" w:hAnsi="Mosawi" w:cs="Mosawi"/>
          <w:sz w:val="25"/>
          <w:szCs w:val="25"/>
          <w:vertAlign w:val="baseline"/>
          <w:rtl/>
        </w:rPr>
        <w:t xml:space="preserve"> الم</w:t>
      </w:r>
      <w:r w:rsidRPr="00EF7221">
        <w:rPr>
          <w:rStyle w:val="FootnoteReference"/>
          <w:rFonts w:ascii="Mosawi" w:hAnsi="Mosawi" w:cs="Mosawi" w:hint="cs"/>
          <w:sz w:val="25"/>
          <w:szCs w:val="25"/>
          <w:vertAlign w:val="baseline"/>
          <w:rtl/>
        </w:rPr>
        <w:t>ؤ</w:t>
      </w:r>
      <w:r w:rsidRPr="00EF7221">
        <w:rPr>
          <w:rStyle w:val="FootnoteReference"/>
          <w:rFonts w:ascii="Mosawi" w:hAnsi="Mosawi" w:cs="Mosawi"/>
          <w:sz w:val="25"/>
          <w:szCs w:val="25"/>
          <w:vertAlign w:val="baseline"/>
          <w:rtl/>
        </w:rPr>
        <w:t>سس</w:t>
      </w:r>
      <w:r w:rsidRPr="00EF7221">
        <w:rPr>
          <w:rStyle w:val="FootnoteReference"/>
          <w:rFonts w:ascii="Mosawi" w:hAnsi="Mosawi" w:cs="Mosawi" w:hint="cs"/>
          <w:sz w:val="25"/>
          <w:szCs w:val="25"/>
          <w:vertAlign w:val="baseline"/>
          <w:rtl/>
        </w:rPr>
        <w:t>ة</w:t>
      </w:r>
      <w:r w:rsidRPr="00EF7221">
        <w:rPr>
          <w:rStyle w:val="FootnoteReference"/>
          <w:rFonts w:ascii="Mosawi" w:hAnsi="Mosawi" w:cs="Mosawi"/>
          <w:sz w:val="25"/>
          <w:szCs w:val="25"/>
          <w:vertAlign w:val="baseline"/>
          <w:rtl/>
        </w:rPr>
        <w:t xml:space="preserve"> </w:t>
      </w:r>
      <w:r w:rsidRPr="00EF7221">
        <w:rPr>
          <w:rStyle w:val="FootnoteReference"/>
          <w:rFonts w:ascii="Mosawi" w:hAnsi="Mosawi" w:cs="Mosawi" w:hint="cs"/>
          <w:sz w:val="25"/>
          <w:szCs w:val="25"/>
          <w:vertAlign w:val="baseline"/>
          <w:rtl/>
        </w:rPr>
        <w:t>العربية</w:t>
      </w:r>
      <w:r w:rsidRPr="00EF7221">
        <w:rPr>
          <w:rStyle w:val="FootnoteReference"/>
          <w:rFonts w:ascii="Mosawi" w:hAnsi="Mosawi" w:cs="Mosawi"/>
          <w:sz w:val="25"/>
          <w:szCs w:val="25"/>
          <w:vertAlign w:val="baseline"/>
          <w:rtl/>
        </w:rPr>
        <w:t xml:space="preserve"> للدراسات والنشر، </w:t>
      </w:r>
      <w:r w:rsidRPr="00EF7221">
        <w:rPr>
          <w:rStyle w:val="FootnoteReference"/>
          <w:rFonts w:ascii="Mosawi" w:hAnsi="Mosawi" w:cs="Mosawi" w:hint="cs"/>
          <w:sz w:val="25"/>
          <w:szCs w:val="25"/>
          <w:vertAlign w:val="baseline"/>
          <w:rtl/>
        </w:rPr>
        <w:t xml:space="preserve">الطبعة الأولى، </w:t>
      </w:r>
      <w:r w:rsidRPr="00EF7221">
        <w:rPr>
          <w:rStyle w:val="FootnoteReference"/>
          <w:rFonts w:ascii="Mosawi" w:hAnsi="Mosawi" w:cs="Mosawi"/>
          <w:sz w:val="25"/>
          <w:szCs w:val="25"/>
          <w:vertAlign w:val="baseline"/>
          <w:rtl/>
        </w:rPr>
        <w:t>1999</w:t>
      </w:r>
      <w:r w:rsidRPr="00EF7221">
        <w:rPr>
          <w:rStyle w:val="FootnoteReference"/>
          <w:rFonts w:ascii="Mosawi" w:hAnsi="Mosawi" w:cs="Mosawi" w:hint="cs"/>
          <w:sz w:val="25"/>
          <w:szCs w:val="25"/>
          <w:vertAlign w:val="baseline"/>
          <w:rtl/>
        </w:rPr>
        <w:t>م: 14،68-69؛</w:t>
      </w:r>
      <w:r w:rsidRPr="00EF7221">
        <w:rPr>
          <w:rStyle w:val="FootnoteReference"/>
          <w:rFonts w:ascii="Mosawi" w:hAnsi="Mosawi" w:cs="Mosawi"/>
          <w:sz w:val="25"/>
          <w:szCs w:val="25"/>
          <w:vertAlign w:val="baseline"/>
          <w:rtl/>
        </w:rPr>
        <w:t xml:space="preserve"> درّاج، </w:t>
      </w:r>
      <w:r w:rsidRPr="00EF7221">
        <w:rPr>
          <w:rStyle w:val="FootnoteReference"/>
          <w:rFonts w:ascii="Mosawi" w:hAnsi="Mosawi" w:cs="Mosawi" w:hint="cs"/>
          <w:sz w:val="25"/>
          <w:szCs w:val="25"/>
          <w:vertAlign w:val="baseline"/>
          <w:rtl/>
        </w:rPr>
        <w:t>فيصل</w:t>
      </w:r>
      <w:r w:rsidRPr="00EF7221">
        <w:rPr>
          <w:rStyle w:val="FootnoteReference"/>
          <w:rFonts w:ascii="Mosawi" w:hAnsi="Mosawi" w:cs="Mosawi"/>
          <w:sz w:val="25"/>
          <w:szCs w:val="25"/>
          <w:vertAlign w:val="baseline"/>
          <w:rtl/>
        </w:rPr>
        <w:t xml:space="preserve">، </w:t>
      </w:r>
      <w:r w:rsidRPr="00EF7221">
        <w:rPr>
          <w:rStyle w:val="FootnoteReference"/>
          <w:rFonts w:ascii="Mosawi" w:hAnsi="Mosawi" w:cs="Mosawi" w:hint="cs"/>
          <w:sz w:val="25"/>
          <w:szCs w:val="25"/>
          <w:vertAlign w:val="baseline"/>
          <w:rtl/>
        </w:rPr>
        <w:t>نظرية الرواية العربية، بيروت المركز</w:t>
      </w:r>
      <w:r w:rsidRPr="00EF7221">
        <w:rPr>
          <w:rStyle w:val="FootnoteReference"/>
          <w:rFonts w:ascii="Mosawi" w:hAnsi="Mosawi" w:cs="Mosawi"/>
          <w:sz w:val="25"/>
          <w:szCs w:val="25"/>
          <w:vertAlign w:val="baseline"/>
          <w:rtl/>
        </w:rPr>
        <w:t xml:space="preserve"> الثقاف</w:t>
      </w:r>
      <w:r w:rsidRPr="00EF7221">
        <w:rPr>
          <w:rStyle w:val="FootnoteReference"/>
          <w:rFonts w:ascii="Mosawi" w:hAnsi="Mosawi" w:cs="Mosawi" w:hint="cs"/>
          <w:sz w:val="25"/>
          <w:szCs w:val="25"/>
          <w:vertAlign w:val="baseline"/>
          <w:rtl/>
        </w:rPr>
        <w:t>ي</w:t>
      </w:r>
      <w:r w:rsidRPr="00EF7221">
        <w:rPr>
          <w:rStyle w:val="FootnoteReference"/>
          <w:rFonts w:ascii="Mosawi" w:hAnsi="Mosawi" w:cs="Mosawi"/>
          <w:sz w:val="25"/>
          <w:szCs w:val="25"/>
          <w:vertAlign w:val="baseline"/>
          <w:rtl/>
        </w:rPr>
        <w:t xml:space="preserve"> العرب</w:t>
      </w:r>
      <w:r w:rsidRPr="00EF7221">
        <w:rPr>
          <w:rStyle w:val="FootnoteReference"/>
          <w:rFonts w:ascii="Mosawi" w:hAnsi="Mosawi" w:cs="Mosawi" w:hint="cs"/>
          <w:sz w:val="25"/>
          <w:szCs w:val="25"/>
          <w:vertAlign w:val="baseline"/>
          <w:rtl/>
        </w:rPr>
        <w:t>ي</w:t>
      </w:r>
      <w:r w:rsidRPr="00EF7221">
        <w:rPr>
          <w:rStyle w:val="FootnoteReference"/>
          <w:rFonts w:ascii="Mosawi" w:hAnsi="Mosawi" w:cs="Mosawi"/>
          <w:sz w:val="25"/>
          <w:szCs w:val="25"/>
          <w:vertAlign w:val="baseline"/>
          <w:rtl/>
        </w:rPr>
        <w:t>،</w:t>
      </w:r>
      <w:r w:rsidRPr="00EF7221">
        <w:rPr>
          <w:rStyle w:val="FootnoteReference"/>
          <w:rFonts w:ascii="Mosawi" w:hAnsi="Mosawi" w:cs="Mosawi" w:hint="cs"/>
          <w:sz w:val="25"/>
          <w:szCs w:val="25"/>
          <w:vertAlign w:val="baseline"/>
          <w:rtl/>
        </w:rPr>
        <w:t>الطبعة الثانية،</w:t>
      </w:r>
      <w:r w:rsidRPr="00EF7221">
        <w:rPr>
          <w:rStyle w:val="FootnoteReference"/>
          <w:rFonts w:ascii="Mosawi" w:hAnsi="Mosawi" w:cs="Mosawi"/>
          <w:sz w:val="25"/>
          <w:szCs w:val="25"/>
          <w:vertAlign w:val="baseline"/>
          <w:rtl/>
        </w:rPr>
        <w:t>2002</w:t>
      </w:r>
      <w:r w:rsidRPr="00EF7221">
        <w:rPr>
          <w:rStyle w:val="FootnoteReference"/>
          <w:rFonts w:ascii="Mosawi" w:hAnsi="Mosawi" w:cs="Mosawi" w:hint="cs"/>
          <w:sz w:val="25"/>
          <w:szCs w:val="25"/>
          <w:vertAlign w:val="baseline"/>
          <w:rtl/>
        </w:rPr>
        <w:t>م: 68-72.</w:t>
      </w:r>
    </w:p>
  </w:footnote>
  <w:footnote w:id="1159">
    <w:p w:rsidR="0071680A" w:rsidRPr="003E5026" w:rsidRDefault="0071680A" w:rsidP="00EF7221">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hint="cs"/>
          <w:sz w:val="26"/>
          <w:szCs w:val="26"/>
          <w:vertAlign w:val="baseline"/>
          <w:rtl/>
        </w:rPr>
        <w:t>) ال</w:t>
      </w:r>
      <w:r w:rsidRPr="003E5026">
        <w:rPr>
          <w:rStyle w:val="FootnoteReference"/>
          <w:rFonts w:ascii="Mosawi" w:hAnsi="Mosawi" w:cs="Mosawi"/>
          <w:sz w:val="26"/>
          <w:szCs w:val="26"/>
          <w:vertAlign w:val="baseline"/>
          <w:rtl/>
        </w:rPr>
        <w:t>رشد</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فن القص</w:t>
      </w:r>
      <w:r w:rsidRPr="003E5026">
        <w:rPr>
          <w:rStyle w:val="FootnoteReference"/>
          <w:rFonts w:ascii="Mosawi" w:hAnsi="Mosawi" w:cs="Mosawi" w:hint="cs"/>
          <w:sz w:val="26"/>
          <w:szCs w:val="26"/>
          <w:vertAlign w:val="baseline"/>
          <w:rtl/>
        </w:rPr>
        <w:t>ة</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 xml:space="preserve">القصير: 100؛ </w:t>
      </w:r>
      <w:r w:rsidRPr="003E5026">
        <w:rPr>
          <w:rStyle w:val="FootnoteReference"/>
          <w:rFonts w:ascii="Mosawi" w:hAnsi="Mosawi" w:cs="Mosawi"/>
          <w:sz w:val="26"/>
          <w:szCs w:val="26"/>
          <w:vertAlign w:val="baseline"/>
          <w:rtl/>
        </w:rPr>
        <w:t>عبد</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السلام،</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الحوار</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القصص</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تقنياته وعلاقاته السردية: 18</w:t>
      </w:r>
      <w:r>
        <w:rPr>
          <w:rStyle w:val="FootnoteReference"/>
          <w:rFonts w:ascii="Mosawi" w:hAnsi="Mosawi" w:cs="Mosawi" w:hint="cs"/>
          <w:sz w:val="26"/>
          <w:szCs w:val="26"/>
          <w:vertAlign w:val="baseline"/>
          <w:rtl/>
        </w:rPr>
        <w:t xml:space="preserve"> </w:t>
      </w:r>
      <w:r>
        <w:rPr>
          <w:rFonts w:ascii="Mosawi" w:hAnsi="Mosawi" w:cs="Mosawi" w:hint="cs"/>
          <w:sz w:val="26"/>
          <w:szCs w:val="26"/>
          <w:rtl/>
        </w:rPr>
        <w:t xml:space="preserve">ـ </w:t>
      </w:r>
      <w:r w:rsidRPr="003E5026">
        <w:rPr>
          <w:rStyle w:val="FootnoteReference"/>
          <w:rFonts w:ascii="Mosawi" w:hAnsi="Mosawi" w:cs="Mosawi" w:hint="cs"/>
          <w:sz w:val="26"/>
          <w:szCs w:val="26"/>
          <w:vertAlign w:val="baseline"/>
          <w:rtl/>
        </w:rPr>
        <w:t>54.</w:t>
      </w:r>
    </w:p>
  </w:footnote>
  <w:footnote w:id="1160">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عبدالسلام،</w:t>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الحوارالقصص</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تقنياته وعلاقاته السردية: 113-126.</w:t>
      </w:r>
    </w:p>
  </w:footnote>
  <w:footnote w:id="1161">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hint="cs"/>
          <w:sz w:val="26"/>
          <w:szCs w:val="26"/>
          <w:vertAlign w:val="baseline"/>
          <w:rtl/>
        </w:rPr>
        <w:t>) ال</w:t>
      </w:r>
      <w:r w:rsidRPr="003E5026">
        <w:rPr>
          <w:rStyle w:val="FootnoteReference"/>
          <w:rFonts w:ascii="Mosawi" w:hAnsi="Mosawi" w:cs="Mosawi"/>
          <w:sz w:val="26"/>
          <w:szCs w:val="26"/>
          <w:vertAlign w:val="baseline"/>
          <w:rtl/>
        </w:rPr>
        <w:t>ورق</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ف</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xml:space="preserve"> ال</w:t>
      </w:r>
      <w:r w:rsidRPr="003E5026">
        <w:rPr>
          <w:rStyle w:val="FootnoteReference"/>
          <w:rFonts w:ascii="Mosawi" w:hAnsi="Mosawi" w:cs="Mosawi" w:hint="cs"/>
          <w:sz w:val="26"/>
          <w:szCs w:val="26"/>
          <w:vertAlign w:val="baseline"/>
          <w:rtl/>
        </w:rPr>
        <w:t>أ</w:t>
      </w:r>
      <w:r w:rsidRPr="003E5026">
        <w:rPr>
          <w:rStyle w:val="FootnoteReference"/>
          <w:rFonts w:ascii="Mosawi" w:hAnsi="Mosawi" w:cs="Mosawi"/>
          <w:sz w:val="26"/>
          <w:szCs w:val="26"/>
          <w:vertAlign w:val="baseline"/>
          <w:rtl/>
        </w:rPr>
        <w:t>دب العرب</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xml:space="preserve"> المعاصر</w:t>
      </w:r>
      <w:r w:rsidRPr="003E5026">
        <w:rPr>
          <w:rStyle w:val="FootnoteReference"/>
          <w:rFonts w:ascii="Mosawi" w:hAnsi="Mosawi" w:cs="Mosawi" w:hint="cs"/>
          <w:sz w:val="26"/>
          <w:szCs w:val="26"/>
          <w:vertAlign w:val="baseline"/>
          <w:rtl/>
        </w:rPr>
        <w:t>: 14.</w:t>
      </w:r>
    </w:p>
  </w:footnote>
  <w:footnote w:id="1162">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hint="cs"/>
          <w:sz w:val="26"/>
          <w:szCs w:val="26"/>
          <w:vertAlign w:val="baseline"/>
          <w:rtl/>
        </w:rPr>
        <w:t xml:space="preserve">) </w:t>
      </w:r>
      <w:r w:rsidRPr="003E5026">
        <w:rPr>
          <w:rStyle w:val="FootnoteReference"/>
          <w:rFonts w:ascii="Mosawi" w:hAnsi="Mosawi" w:cs="Mosawi"/>
          <w:sz w:val="26"/>
          <w:szCs w:val="26"/>
          <w:vertAlign w:val="baseline"/>
          <w:rtl/>
        </w:rPr>
        <w:t>عبدالغن</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مصط</w:t>
      </w:r>
      <w:r w:rsidRPr="003E5026">
        <w:rPr>
          <w:rStyle w:val="FootnoteReference"/>
          <w:rFonts w:ascii="Mosawi" w:hAnsi="Mosawi" w:cs="Mosawi" w:hint="cs"/>
          <w:sz w:val="26"/>
          <w:szCs w:val="26"/>
          <w:vertAlign w:val="baseline"/>
          <w:rtl/>
        </w:rPr>
        <w:t>فى</w:t>
      </w:r>
      <w:r w:rsidRPr="003E5026">
        <w:rPr>
          <w:rStyle w:val="FootnoteReference"/>
          <w:rFonts w:ascii="Mosawi" w:hAnsi="Mosawi" w:cs="Mosawi"/>
          <w:sz w:val="26"/>
          <w:szCs w:val="26"/>
          <w:vertAlign w:val="baseline"/>
          <w:rtl/>
        </w:rPr>
        <w:t>، ال</w:t>
      </w:r>
      <w:r w:rsidRPr="003E5026">
        <w:rPr>
          <w:rStyle w:val="FootnoteReference"/>
          <w:rFonts w:ascii="Mosawi" w:hAnsi="Mosawi" w:cs="Mosawi" w:hint="cs"/>
          <w:sz w:val="26"/>
          <w:szCs w:val="26"/>
          <w:vertAlign w:val="baseline"/>
          <w:rtl/>
        </w:rPr>
        <w:t>ا</w:t>
      </w:r>
      <w:r w:rsidRPr="003E5026">
        <w:rPr>
          <w:rStyle w:val="FootnoteReference"/>
          <w:rFonts w:ascii="Mosawi" w:hAnsi="Mosawi" w:cs="Mosawi"/>
          <w:sz w:val="26"/>
          <w:szCs w:val="26"/>
          <w:vertAlign w:val="baseline"/>
          <w:rtl/>
        </w:rPr>
        <w:t>تجاه القوم</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xml:space="preserve"> ف</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الرواية</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 xml:space="preserve">الكويت، </w:t>
      </w:r>
      <w:r w:rsidRPr="003E5026">
        <w:rPr>
          <w:rStyle w:val="FootnoteReference"/>
          <w:rFonts w:ascii="Mosawi" w:hAnsi="Mosawi" w:cs="Mosawi"/>
          <w:sz w:val="26"/>
          <w:szCs w:val="26"/>
          <w:vertAlign w:val="baseline"/>
          <w:rtl/>
        </w:rPr>
        <w:t>المج</w:t>
      </w:r>
      <w:r w:rsidRPr="003E5026">
        <w:rPr>
          <w:rStyle w:val="FootnoteReference"/>
          <w:rFonts w:ascii="Mosawi" w:hAnsi="Mosawi" w:cs="Mosawi" w:hint="cs"/>
          <w:sz w:val="26"/>
          <w:szCs w:val="26"/>
          <w:vertAlign w:val="baseline"/>
          <w:rtl/>
        </w:rPr>
        <w:t>ا</w:t>
      </w:r>
      <w:r w:rsidRPr="003E5026">
        <w:rPr>
          <w:rStyle w:val="FootnoteReference"/>
          <w:rFonts w:ascii="Mosawi" w:hAnsi="Mosawi" w:cs="Mosawi"/>
          <w:sz w:val="26"/>
          <w:szCs w:val="26"/>
          <w:vertAlign w:val="baseline"/>
          <w:rtl/>
        </w:rPr>
        <w:t xml:space="preserve">لس </w:t>
      </w:r>
      <w:r w:rsidRPr="003E5026">
        <w:rPr>
          <w:rStyle w:val="FootnoteReference"/>
          <w:rFonts w:ascii="Mosawi" w:hAnsi="Mosawi" w:cs="Mosawi" w:hint="cs"/>
          <w:sz w:val="26"/>
          <w:szCs w:val="26"/>
          <w:vertAlign w:val="baseline"/>
          <w:rtl/>
        </w:rPr>
        <w:t>الوطنية للثقافة</w:t>
      </w:r>
      <w:r w:rsidRPr="003E5026">
        <w:rPr>
          <w:rStyle w:val="FootnoteReference"/>
          <w:rFonts w:ascii="Mosawi" w:hAnsi="Mosawi" w:cs="Mosawi"/>
          <w:sz w:val="26"/>
          <w:szCs w:val="26"/>
          <w:vertAlign w:val="baseline"/>
          <w:rtl/>
        </w:rPr>
        <w:t xml:space="preserve"> والفنون والآداب، ب</w:t>
      </w:r>
      <w:r w:rsidRPr="003E5026">
        <w:rPr>
          <w:rStyle w:val="FootnoteReference"/>
          <w:rFonts w:ascii="Mosawi" w:hAnsi="Mosawi" w:cs="Mosawi" w:hint="cs"/>
          <w:sz w:val="26"/>
          <w:szCs w:val="26"/>
          <w:vertAlign w:val="baseline"/>
          <w:rtl/>
        </w:rPr>
        <w:t>لا</w:t>
      </w:r>
      <w:r w:rsidRPr="003E5026">
        <w:rPr>
          <w:rStyle w:val="FootnoteReference"/>
          <w:rFonts w:ascii="Mosawi" w:hAnsi="Mosawi" w:cs="Mosawi"/>
          <w:sz w:val="26"/>
          <w:szCs w:val="26"/>
          <w:vertAlign w:val="baseline"/>
          <w:rtl/>
        </w:rPr>
        <w:t>تا</w:t>
      </w:r>
      <w:r w:rsidRPr="003E5026">
        <w:rPr>
          <w:rStyle w:val="FootnoteReference"/>
          <w:rFonts w:ascii="Mosawi" w:hAnsi="Mosawi" w:cs="Mosawi" w:hint="cs"/>
          <w:sz w:val="26"/>
          <w:szCs w:val="26"/>
          <w:vertAlign w:val="baseline"/>
          <w:rtl/>
        </w:rPr>
        <w:t>: 262-266.</w:t>
      </w:r>
    </w:p>
  </w:footnote>
  <w:footnote w:id="1163">
    <w:p w:rsidR="0071680A" w:rsidRPr="003E5026" w:rsidRDefault="0071680A" w:rsidP="003E5026">
      <w:pPr>
        <w:pStyle w:val="11"/>
        <w:widowControl w:val="0"/>
        <w:spacing w:line="192" w:lineRule="auto"/>
        <w:ind w:left="170" w:right="0" w:hanging="170"/>
        <w:rPr>
          <w:rStyle w:val="FootnoteReference"/>
          <w:rFonts w:ascii="Mosawi" w:hAnsi="Mosawi" w:cs="Mosawi"/>
          <w:sz w:val="26"/>
          <w:szCs w:val="26"/>
          <w:vertAlign w:val="baseline"/>
        </w:rPr>
      </w:pPr>
      <w:r w:rsidRPr="003E5026">
        <w:rPr>
          <w:rStyle w:val="FootnoteReference"/>
          <w:rFonts w:ascii="Mosawi" w:hAnsi="Mosawi" w:cs="Mosawi" w:hint="cs"/>
          <w:sz w:val="26"/>
          <w:szCs w:val="26"/>
          <w:vertAlign w:val="baseline"/>
          <w:rtl/>
        </w:rPr>
        <w:t>(</w:t>
      </w:r>
      <w:r w:rsidRPr="003E5026">
        <w:rPr>
          <w:rStyle w:val="FootnoteReference"/>
          <w:rFonts w:ascii="Mosawi" w:hAnsi="Mosawi" w:cs="Mosawi"/>
          <w:sz w:val="26"/>
          <w:szCs w:val="26"/>
          <w:vertAlign w:val="baseline"/>
          <w:rtl/>
        </w:rPr>
        <w:footnoteRef/>
      </w:r>
      <w:r w:rsidRPr="003E5026">
        <w:rPr>
          <w:rStyle w:val="FootnoteReference"/>
          <w:rFonts w:ascii="Mosawi" w:hAnsi="Mosawi" w:cs="Mosawi" w:hint="cs"/>
          <w:sz w:val="26"/>
          <w:szCs w:val="26"/>
          <w:vertAlign w:val="baseline"/>
          <w:rtl/>
        </w:rPr>
        <w:t>) غنيمي ، محمد</w:t>
      </w:r>
      <w:r w:rsidRPr="003E5026">
        <w:rPr>
          <w:rStyle w:val="FootnoteReference"/>
          <w:rFonts w:ascii="Mosawi" w:hAnsi="Mosawi" w:cs="Mosawi"/>
          <w:sz w:val="26"/>
          <w:szCs w:val="26"/>
          <w:vertAlign w:val="baseline"/>
          <w:rtl/>
        </w:rPr>
        <w:t xml:space="preserve"> هلال، </w:t>
      </w:r>
      <w:r w:rsidRPr="003E5026">
        <w:rPr>
          <w:rStyle w:val="FootnoteReference"/>
          <w:rFonts w:ascii="Mosawi" w:hAnsi="Mosawi" w:cs="Mosawi" w:hint="cs"/>
          <w:sz w:val="26"/>
          <w:szCs w:val="26"/>
          <w:vertAlign w:val="baseline"/>
          <w:rtl/>
        </w:rPr>
        <w:t>الرومانتيكي</w:t>
      </w:r>
      <w:r w:rsidRPr="003E5026">
        <w:rPr>
          <w:rStyle w:val="FootnoteReference"/>
          <w:rFonts w:ascii="Mosawi" w:hAnsi="Mosawi" w:cs="Mosawi"/>
          <w:sz w:val="26"/>
          <w:szCs w:val="26"/>
          <w:vertAlign w:val="baseline"/>
          <w:rtl/>
        </w:rPr>
        <w:t>،</w:t>
      </w:r>
      <w:r w:rsidRPr="003E5026">
        <w:rPr>
          <w:rStyle w:val="FootnoteReference"/>
          <w:rFonts w:ascii="Mosawi" w:hAnsi="Mosawi" w:cs="Mosawi" w:hint="cs"/>
          <w:sz w:val="26"/>
          <w:szCs w:val="26"/>
          <w:vertAlign w:val="baseline"/>
          <w:rtl/>
        </w:rPr>
        <w:t xml:space="preserve"> القاهرة،</w:t>
      </w:r>
      <w:r w:rsidRPr="003E5026">
        <w:rPr>
          <w:rStyle w:val="FootnoteReference"/>
          <w:rFonts w:ascii="Mosawi" w:hAnsi="Mosawi" w:cs="Mosawi"/>
          <w:sz w:val="26"/>
          <w:szCs w:val="26"/>
          <w:vertAlign w:val="baseline"/>
          <w:rtl/>
        </w:rPr>
        <w:t xml:space="preserve"> نهض</w:t>
      </w:r>
      <w:r w:rsidRPr="003E5026">
        <w:rPr>
          <w:rStyle w:val="FootnoteReference"/>
          <w:rFonts w:ascii="Mosawi" w:hAnsi="Mosawi" w:cs="Mosawi" w:hint="cs"/>
          <w:sz w:val="26"/>
          <w:szCs w:val="26"/>
          <w:vertAlign w:val="baseline"/>
          <w:rtl/>
        </w:rPr>
        <w:t>ة</w:t>
      </w:r>
      <w:r w:rsidRPr="003E5026">
        <w:rPr>
          <w:rStyle w:val="FootnoteReference"/>
          <w:rFonts w:ascii="Mosawi" w:hAnsi="Mosawi" w:cs="Mosawi"/>
          <w:sz w:val="26"/>
          <w:szCs w:val="26"/>
          <w:vertAlign w:val="baseline"/>
          <w:rtl/>
        </w:rPr>
        <w:t xml:space="preserve"> مصر للطباع</w:t>
      </w:r>
      <w:r w:rsidRPr="003E5026">
        <w:rPr>
          <w:rStyle w:val="FootnoteReference"/>
          <w:rFonts w:ascii="Mosawi" w:hAnsi="Mosawi" w:cs="Mosawi" w:hint="cs"/>
          <w:sz w:val="26"/>
          <w:szCs w:val="26"/>
          <w:vertAlign w:val="baseline"/>
          <w:rtl/>
        </w:rPr>
        <w:t>ة</w:t>
      </w:r>
      <w:r w:rsidRPr="003E5026">
        <w:rPr>
          <w:rStyle w:val="FootnoteReference"/>
          <w:rFonts w:ascii="Mosawi" w:hAnsi="Mosawi" w:cs="Mosawi"/>
          <w:sz w:val="26"/>
          <w:szCs w:val="26"/>
          <w:vertAlign w:val="baseline"/>
          <w:rtl/>
        </w:rPr>
        <w:t xml:space="preserve"> والنشر </w:t>
      </w:r>
      <w:r w:rsidRPr="003E5026">
        <w:rPr>
          <w:rStyle w:val="FootnoteReference"/>
          <w:rFonts w:ascii="Mosawi" w:hAnsi="Mosawi" w:cs="Mosawi" w:hint="cs"/>
          <w:sz w:val="26"/>
          <w:szCs w:val="26"/>
          <w:vertAlign w:val="baseline"/>
          <w:rtl/>
        </w:rPr>
        <w:t>والتوزيع، بلا</w:t>
      </w:r>
      <w:r w:rsidRPr="003E5026">
        <w:rPr>
          <w:rStyle w:val="FootnoteReference"/>
          <w:rFonts w:ascii="Mosawi" w:hAnsi="Mosawi" w:cs="Mosawi"/>
          <w:sz w:val="26"/>
          <w:szCs w:val="26"/>
          <w:vertAlign w:val="baseline"/>
          <w:rtl/>
        </w:rPr>
        <w:t>تا</w:t>
      </w:r>
      <w:r w:rsidRPr="003E5026">
        <w:rPr>
          <w:rStyle w:val="FootnoteReference"/>
          <w:rFonts w:ascii="Mosawi" w:hAnsi="Mosawi" w:cs="Mosawi" w:hint="cs"/>
          <w:sz w:val="26"/>
          <w:szCs w:val="26"/>
          <w:vertAlign w:val="baseline"/>
          <w:rtl/>
        </w:rPr>
        <w:t xml:space="preserve">: 50؛ </w:t>
      </w:r>
      <w:r w:rsidRPr="003E5026">
        <w:rPr>
          <w:rStyle w:val="FootnoteReference"/>
          <w:rFonts w:ascii="Mosawi" w:hAnsi="Mosawi" w:cs="Mosawi"/>
          <w:sz w:val="26"/>
          <w:szCs w:val="26"/>
          <w:vertAlign w:val="baseline"/>
          <w:rtl/>
        </w:rPr>
        <w:t>مزروق، حلم</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الرومانتيكية</w:t>
      </w:r>
      <w:r w:rsidRPr="003E5026">
        <w:rPr>
          <w:rStyle w:val="FootnoteReference"/>
          <w:rFonts w:ascii="Mosawi" w:hAnsi="Mosawi" w:cs="Mosawi"/>
          <w:sz w:val="26"/>
          <w:szCs w:val="26"/>
          <w:vertAlign w:val="baseline"/>
          <w:rtl/>
        </w:rPr>
        <w:t xml:space="preserve"> </w:t>
      </w:r>
      <w:r w:rsidRPr="003E5026">
        <w:rPr>
          <w:rStyle w:val="FootnoteReference"/>
          <w:rFonts w:ascii="Mosawi" w:hAnsi="Mosawi" w:cs="Mosawi" w:hint="cs"/>
          <w:sz w:val="26"/>
          <w:szCs w:val="26"/>
          <w:vertAlign w:val="baseline"/>
          <w:rtl/>
        </w:rPr>
        <w:t>والواقعية</w:t>
      </w:r>
      <w:r w:rsidRPr="003E5026">
        <w:rPr>
          <w:rStyle w:val="FootnoteReference"/>
          <w:rFonts w:ascii="Mosawi" w:hAnsi="Mosawi" w:cs="Mosawi"/>
          <w:sz w:val="26"/>
          <w:szCs w:val="26"/>
          <w:vertAlign w:val="baseline"/>
          <w:rtl/>
        </w:rPr>
        <w:t xml:space="preserve"> ف</w:t>
      </w:r>
      <w:r w:rsidRPr="003E5026">
        <w:rPr>
          <w:rStyle w:val="FootnoteReference"/>
          <w:rFonts w:ascii="Mosawi" w:hAnsi="Mosawi" w:cs="Mosawi" w:hint="cs"/>
          <w:sz w:val="26"/>
          <w:szCs w:val="26"/>
          <w:vertAlign w:val="baseline"/>
          <w:rtl/>
        </w:rPr>
        <w:t>ي</w:t>
      </w:r>
      <w:r w:rsidRPr="003E5026">
        <w:rPr>
          <w:rStyle w:val="FootnoteReference"/>
          <w:rFonts w:ascii="Mosawi" w:hAnsi="Mosawi" w:cs="Mosawi"/>
          <w:sz w:val="26"/>
          <w:szCs w:val="26"/>
          <w:vertAlign w:val="baseline"/>
          <w:rtl/>
        </w:rPr>
        <w:t xml:space="preserve"> ال</w:t>
      </w:r>
      <w:r w:rsidRPr="003E5026">
        <w:rPr>
          <w:rStyle w:val="FootnoteReference"/>
          <w:rFonts w:ascii="Mosawi" w:hAnsi="Mosawi" w:cs="Mosawi" w:hint="cs"/>
          <w:sz w:val="26"/>
          <w:szCs w:val="26"/>
          <w:vertAlign w:val="baseline"/>
          <w:rtl/>
        </w:rPr>
        <w:t>أ</w:t>
      </w:r>
      <w:r w:rsidRPr="003E5026">
        <w:rPr>
          <w:rStyle w:val="FootnoteReference"/>
          <w:rFonts w:ascii="Mosawi" w:hAnsi="Mosawi" w:cs="Mosawi"/>
          <w:sz w:val="26"/>
          <w:szCs w:val="26"/>
          <w:vertAlign w:val="baseline"/>
          <w:rtl/>
        </w:rPr>
        <w:t>دب،</w:t>
      </w:r>
      <w:r w:rsidRPr="003E5026">
        <w:rPr>
          <w:rStyle w:val="FootnoteReference"/>
          <w:rFonts w:ascii="Mosawi" w:hAnsi="Mosawi" w:cs="Mosawi" w:hint="cs"/>
          <w:sz w:val="26"/>
          <w:szCs w:val="26"/>
          <w:vertAlign w:val="baseline"/>
          <w:rtl/>
        </w:rPr>
        <w:t xml:space="preserve"> بيروت،</w:t>
      </w:r>
      <w:r w:rsidRPr="003E5026">
        <w:rPr>
          <w:rStyle w:val="FootnoteReference"/>
          <w:rFonts w:ascii="Mosawi" w:hAnsi="Mosawi" w:cs="Mosawi"/>
          <w:sz w:val="26"/>
          <w:szCs w:val="26"/>
          <w:vertAlign w:val="baseline"/>
          <w:rtl/>
        </w:rPr>
        <w:t xml:space="preserve"> دارالنهض</w:t>
      </w:r>
      <w:r w:rsidRPr="003E5026">
        <w:rPr>
          <w:rStyle w:val="FootnoteReference"/>
          <w:rFonts w:ascii="Mosawi" w:hAnsi="Mosawi" w:cs="Mosawi" w:hint="cs"/>
          <w:sz w:val="26"/>
          <w:szCs w:val="26"/>
          <w:vertAlign w:val="baseline"/>
          <w:rtl/>
        </w:rPr>
        <w:t>ة</w:t>
      </w:r>
      <w:r w:rsidRPr="003E5026">
        <w:rPr>
          <w:rStyle w:val="FootnoteReference"/>
          <w:rFonts w:ascii="Mosawi" w:hAnsi="Mosawi" w:cs="Mosawi"/>
          <w:sz w:val="26"/>
          <w:szCs w:val="26"/>
          <w:vertAlign w:val="baseline"/>
          <w:rtl/>
        </w:rPr>
        <w:t xml:space="preserve"> للطباع</w:t>
      </w:r>
      <w:r w:rsidRPr="003E5026">
        <w:rPr>
          <w:rStyle w:val="FootnoteReference"/>
          <w:rFonts w:ascii="Mosawi" w:hAnsi="Mosawi" w:cs="Mosawi" w:hint="cs"/>
          <w:sz w:val="26"/>
          <w:szCs w:val="26"/>
          <w:vertAlign w:val="baseline"/>
          <w:rtl/>
        </w:rPr>
        <w:t>ة</w:t>
      </w:r>
      <w:r w:rsidRPr="003E5026">
        <w:rPr>
          <w:rStyle w:val="FootnoteReference"/>
          <w:rFonts w:ascii="Mosawi" w:hAnsi="Mosawi" w:cs="Mosawi"/>
          <w:sz w:val="26"/>
          <w:szCs w:val="26"/>
          <w:vertAlign w:val="baseline"/>
          <w:rtl/>
        </w:rPr>
        <w:t xml:space="preserve"> والنشر،</w:t>
      </w:r>
      <w:r w:rsidRPr="003E5026">
        <w:rPr>
          <w:rStyle w:val="FootnoteReference"/>
          <w:rFonts w:ascii="Mosawi" w:hAnsi="Mosawi" w:cs="Mosawi" w:hint="cs"/>
          <w:sz w:val="26"/>
          <w:szCs w:val="26"/>
          <w:vertAlign w:val="baseline"/>
          <w:rtl/>
        </w:rPr>
        <w:t xml:space="preserve">  1983م: 75.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5714A7" w:rsidRDefault="0071680A" w:rsidP="005714A7">
    <w:pPr>
      <w:pStyle w:val="Header"/>
      <w:rPr>
        <w:szCs w:val="24"/>
        <w:rtl/>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F64660" w:rsidRDefault="0071680A" w:rsidP="00F64660">
    <w:pPr>
      <w:pStyle w:val="Header"/>
      <w:rPr>
        <w:szCs w:val="24"/>
        <w:rtl/>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Default="0071680A" w:rsidP="00D87048">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82" type="#_x0000_t32" style="position:absolute;left:0;text-align:left;margin-left:.55pt;margin-top:20.65pt;width:368.5pt;height:0;z-index:251881984" o:connectortype="straight" strokeweight="1.2pt">
          <v:shadow color="#868686"/>
        </v:shape>
      </w:pict>
    </w:r>
    <w:r>
      <w:rPr>
        <w:rFonts w:cs="AF_Najed" w:hint="cs"/>
        <w:noProof/>
        <w:sz w:val="30"/>
        <w:szCs w:val="30"/>
        <w:rtl/>
      </w:rPr>
      <w:t>الفصل الثالث: المرأة والقضايا الاجتماعية والتربوية و...</w:t>
    </w:r>
    <w:r w:rsidRPr="005736A9">
      <w:rPr>
        <w:rFonts w:hint="cs"/>
        <w:sz w:val="20"/>
        <w:szCs w:val="20"/>
        <w:rtl/>
      </w:rPr>
      <w:tab/>
    </w:r>
    <w:fldSimple w:instr=" PAGE   \* MERGEFORMAT ">
      <w:r>
        <w:rPr>
          <w:noProof/>
          <w:rtl/>
        </w:rPr>
        <w:t>565</w:t>
      </w:r>
    </w:fldSimple>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6630AC" w:rsidRDefault="0071680A" w:rsidP="006630AC">
    <w:pPr>
      <w:pStyle w:val="Header"/>
      <w:rPr>
        <w:szCs w:val="24"/>
        <w:rtl/>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6630AC" w:rsidRDefault="0071680A" w:rsidP="006630AC">
    <w:pPr>
      <w:pStyle w:val="Header"/>
      <w:rPr>
        <w:szCs w:val="24"/>
        <w:rtl/>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D87048">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85" type="#_x0000_t32" style="position:absolute;left:0;text-align:left;margin-left:.55pt;margin-top:20.65pt;width:368.5pt;height:0;z-index:251888128" o:connectortype="straight" strokeweight="1.2pt">
          <v:shadow color="#868686"/>
        </v:shape>
      </w:pict>
    </w:r>
    <w:fldSimple w:instr=" PAGE   \* MERGEFORMAT ">
      <w:r>
        <w:rPr>
          <w:noProof/>
          <w:rtl/>
        </w:rPr>
        <w:t>600</w:t>
      </w:r>
    </w:fldSimple>
    <w:r>
      <w:rPr>
        <w:rFonts w:hint="cs"/>
        <w:rtl/>
      </w:rPr>
      <w:tab/>
    </w:r>
    <w:r>
      <w:rPr>
        <w:rFonts w:cs="AF_Najed" w:hint="cs"/>
        <w:noProof/>
        <w:sz w:val="30"/>
        <w:szCs w:val="30"/>
        <w:rtl/>
      </w:rPr>
      <w:t>المرأة في الفكر الإسلامي المعاصر، قضايا وإشكاليات</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Default="0071680A" w:rsidP="00D87048">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86" type="#_x0000_t32" style="position:absolute;left:0;text-align:left;margin-left:.55pt;margin-top:20.65pt;width:368.5pt;height:0;z-index:251890176" o:connectortype="straight" strokeweight="1.2pt">
          <v:shadow color="#868686"/>
        </v:shape>
      </w:pict>
    </w:r>
    <w:r>
      <w:rPr>
        <w:rFonts w:cs="AF_Najed" w:hint="cs"/>
        <w:noProof/>
        <w:sz w:val="30"/>
        <w:szCs w:val="30"/>
        <w:rtl/>
      </w:rPr>
      <w:t>الفصل الثالث: المرأة والقضايا الاجتماعية والتربوية و...</w:t>
    </w:r>
    <w:r w:rsidRPr="005736A9">
      <w:rPr>
        <w:rFonts w:hint="cs"/>
        <w:sz w:val="20"/>
        <w:szCs w:val="20"/>
        <w:rtl/>
      </w:rPr>
      <w:tab/>
    </w:r>
    <w:fldSimple w:instr=" PAGE   \* MERGEFORMAT ">
      <w:r>
        <w:rPr>
          <w:noProof/>
          <w:rtl/>
        </w:rPr>
        <w:t>599</w:t>
      </w:r>
    </w:fldSimple>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6630AC" w:rsidRDefault="0071680A" w:rsidP="006630AC">
    <w:pPr>
      <w:pStyle w:val="Header"/>
      <w:rPr>
        <w:szCs w:val="24"/>
        <w:rtl/>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D87048">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88" type="#_x0000_t32" style="position:absolute;left:0;text-align:left;margin-left:.55pt;margin-top:20.65pt;width:368.5pt;height:0;z-index:251894272" o:connectortype="straight" strokeweight="1.2pt">
          <v:shadow color="#868686"/>
        </v:shape>
      </w:pict>
    </w:r>
    <w:fldSimple w:instr=" PAGE   \* MERGEFORMAT ">
      <w:r>
        <w:rPr>
          <w:noProof/>
          <w:rtl/>
        </w:rPr>
        <w:t>620</w:t>
      </w:r>
    </w:fldSimple>
    <w:r>
      <w:rPr>
        <w:rFonts w:hint="cs"/>
        <w:rtl/>
      </w:rPr>
      <w:tab/>
    </w:r>
    <w:r>
      <w:rPr>
        <w:rFonts w:cs="AF_Najed" w:hint="cs"/>
        <w:noProof/>
        <w:sz w:val="30"/>
        <w:szCs w:val="30"/>
        <w:rtl/>
      </w:rPr>
      <w:t>المرأة في الفكر الإسلامي المعاصر، قضايا وإشكاليات</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Default="0071680A" w:rsidP="00D87048">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89" type="#_x0000_t32" style="position:absolute;left:0;text-align:left;margin-left:.55pt;margin-top:20.65pt;width:368.5pt;height:0;z-index:251896320" o:connectortype="straight" strokeweight="1.2pt">
          <v:shadow color="#868686"/>
        </v:shape>
      </w:pict>
    </w:r>
    <w:r>
      <w:rPr>
        <w:rFonts w:cs="AF_Najed" w:hint="cs"/>
        <w:noProof/>
        <w:sz w:val="30"/>
        <w:szCs w:val="30"/>
        <w:rtl/>
      </w:rPr>
      <w:t>الفصل الثالث: المرأة والقضايا الاجتماعية والتربوية و...</w:t>
    </w:r>
    <w:r w:rsidRPr="005736A9">
      <w:rPr>
        <w:rFonts w:hint="cs"/>
        <w:sz w:val="20"/>
        <w:szCs w:val="20"/>
        <w:rtl/>
      </w:rPr>
      <w:tab/>
    </w:r>
    <w:fldSimple w:instr=" PAGE   \* MERGEFORMAT ">
      <w:r>
        <w:rPr>
          <w:noProof/>
          <w:rtl/>
        </w:rPr>
        <w:t>619</w:t>
      </w:r>
    </w:fldSimple>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B96741" w:rsidRDefault="0071680A" w:rsidP="00B96741">
    <w:pPr>
      <w:pStyle w:val="Header"/>
      <w:rPr>
        <w:szCs w:val="24"/>
        <w:rtl/>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D87048">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91" type="#_x0000_t32" style="position:absolute;left:0;text-align:left;margin-left:.55pt;margin-top:20.65pt;width:368.5pt;height:0;z-index:251900416" o:connectortype="straight" strokeweight="1.2pt">
          <v:shadow color="#868686"/>
        </v:shape>
      </w:pict>
    </w:r>
    <w:fldSimple w:instr=" PAGE   \* MERGEFORMAT ">
      <w:r>
        <w:rPr>
          <w:noProof/>
          <w:rtl/>
        </w:rPr>
        <w:t>656</w:t>
      </w:r>
    </w:fldSimple>
    <w:r>
      <w:rPr>
        <w:rFonts w:hint="cs"/>
        <w:rtl/>
      </w:rPr>
      <w:tab/>
    </w:r>
    <w:r>
      <w:rPr>
        <w:rFonts w:cs="AF_Najed" w:hint="cs"/>
        <w:noProof/>
        <w:sz w:val="30"/>
        <w:szCs w:val="30"/>
        <w:rtl/>
      </w:rPr>
      <w:t>المرأة في الفكر الإسلامي المعاصر، قضايا وإشكاليات</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F64660" w:rsidRDefault="0071680A" w:rsidP="00F64660">
    <w:pPr>
      <w:pStyle w:val="Header"/>
      <w:rPr>
        <w:szCs w:val="24"/>
        <w:rtl/>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Default="0071680A" w:rsidP="00D87048">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92" type="#_x0000_t32" style="position:absolute;left:0;text-align:left;margin-left:.55pt;margin-top:20.65pt;width:368.5pt;height:0;z-index:251902464" o:connectortype="straight" strokeweight="1.2pt">
          <v:shadow color="#868686"/>
        </v:shape>
      </w:pict>
    </w:r>
    <w:r>
      <w:rPr>
        <w:rFonts w:cs="AF_Najed" w:hint="cs"/>
        <w:noProof/>
        <w:sz w:val="30"/>
        <w:szCs w:val="30"/>
        <w:rtl/>
      </w:rPr>
      <w:t>الفصل الثالث: المرأة والقضايا الاجتماعية والتربوية و...</w:t>
    </w:r>
    <w:r w:rsidRPr="005736A9">
      <w:rPr>
        <w:rFonts w:hint="cs"/>
        <w:sz w:val="20"/>
        <w:szCs w:val="20"/>
        <w:rtl/>
      </w:rPr>
      <w:tab/>
    </w:r>
    <w:fldSimple w:instr=" PAGE   \* MERGEFORMAT ">
      <w:r>
        <w:rPr>
          <w:noProof/>
          <w:rtl/>
        </w:rPr>
        <w:t>655</w:t>
      </w:r>
    </w:fldSimple>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1D4CB9" w:rsidRDefault="0071680A" w:rsidP="001D4CB9">
    <w:pPr>
      <w:pStyle w:val="Header"/>
      <w:rPr>
        <w:szCs w:val="24"/>
        <w:rtl/>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D87048">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94" type="#_x0000_t32" style="position:absolute;left:0;text-align:left;margin-left:.55pt;margin-top:20.65pt;width:368.5pt;height:0;z-index:251906560" o:connectortype="straight" strokeweight="1.2pt">
          <v:shadow color="#868686"/>
        </v:shape>
      </w:pict>
    </w:r>
    <w:fldSimple w:instr=" PAGE   \* MERGEFORMAT ">
      <w:r>
        <w:rPr>
          <w:noProof/>
          <w:rtl/>
        </w:rPr>
        <w:t>666</w:t>
      </w:r>
    </w:fldSimple>
    <w:r>
      <w:rPr>
        <w:rFonts w:hint="cs"/>
        <w:rtl/>
      </w:rPr>
      <w:tab/>
    </w:r>
    <w:r>
      <w:rPr>
        <w:rFonts w:cs="AF_Najed" w:hint="cs"/>
        <w:noProof/>
        <w:sz w:val="30"/>
        <w:szCs w:val="30"/>
        <w:rtl/>
      </w:rPr>
      <w:t>المرأة في الفكر الإسلامي المعاصر، قضايا وإشكاليات</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Default="0071680A" w:rsidP="00D87048">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95" type="#_x0000_t32" style="position:absolute;left:0;text-align:left;margin-left:.55pt;margin-top:20.65pt;width:368.5pt;height:0;z-index:251908608" o:connectortype="straight" strokeweight="1.2pt">
          <v:shadow color="#868686"/>
        </v:shape>
      </w:pict>
    </w:r>
    <w:r>
      <w:rPr>
        <w:rFonts w:cs="AF_Najed" w:hint="cs"/>
        <w:noProof/>
        <w:sz w:val="30"/>
        <w:szCs w:val="30"/>
        <w:rtl/>
      </w:rPr>
      <w:t>الفصل الثالث: المرأة والقضايا الاجتماعية والتربوية و...</w:t>
    </w:r>
    <w:r w:rsidRPr="005736A9">
      <w:rPr>
        <w:rFonts w:hint="cs"/>
        <w:sz w:val="20"/>
        <w:szCs w:val="20"/>
        <w:rtl/>
      </w:rPr>
      <w:tab/>
    </w:r>
    <w:fldSimple w:instr=" PAGE   \* MERGEFORMAT ">
      <w:r>
        <w:rPr>
          <w:noProof/>
          <w:rtl/>
        </w:rPr>
        <w:t>665</w:t>
      </w:r>
    </w:fldSimple>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1D4CB9" w:rsidRDefault="0071680A" w:rsidP="001D4CB9">
    <w:pPr>
      <w:pStyle w:val="Header"/>
      <w:rPr>
        <w:szCs w:val="24"/>
        <w:rtl/>
      </w:rPr>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D87048">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97" type="#_x0000_t32" style="position:absolute;left:0;text-align:left;margin-left:.55pt;margin-top:20.65pt;width:368.5pt;height:0;z-index:251912704" o:connectortype="straight" strokeweight="1.2pt">
          <v:shadow color="#868686"/>
        </v:shape>
      </w:pict>
    </w:r>
    <w:fldSimple w:instr=" PAGE   \* MERGEFORMAT ">
      <w:r>
        <w:rPr>
          <w:noProof/>
          <w:rtl/>
        </w:rPr>
        <w:t>684</w:t>
      </w:r>
    </w:fldSimple>
    <w:r>
      <w:rPr>
        <w:rFonts w:hint="cs"/>
        <w:rtl/>
      </w:rPr>
      <w:tab/>
    </w:r>
    <w:r>
      <w:rPr>
        <w:rFonts w:cs="AF_Najed" w:hint="cs"/>
        <w:noProof/>
        <w:sz w:val="30"/>
        <w:szCs w:val="30"/>
        <w:rtl/>
      </w:rPr>
      <w:t>المرأة في الفكر الإسلامي المعاصر، قضايا وإشكاليات</w: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Default="0071680A" w:rsidP="00D87048">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98" type="#_x0000_t32" style="position:absolute;left:0;text-align:left;margin-left:.55pt;margin-top:20.65pt;width:368.5pt;height:0;z-index:251914752" o:connectortype="straight" strokeweight="1.2pt">
          <v:shadow color="#868686"/>
        </v:shape>
      </w:pict>
    </w:r>
    <w:r>
      <w:rPr>
        <w:rFonts w:cs="AF_Najed" w:hint="cs"/>
        <w:noProof/>
        <w:sz w:val="30"/>
        <w:szCs w:val="30"/>
        <w:rtl/>
      </w:rPr>
      <w:t>الفصل الثالث: المرأة والقضايا الاجتماعية والتربوية و...</w:t>
    </w:r>
    <w:r w:rsidRPr="005736A9">
      <w:rPr>
        <w:rFonts w:hint="cs"/>
        <w:sz w:val="20"/>
        <w:szCs w:val="20"/>
        <w:rtl/>
      </w:rPr>
      <w:tab/>
    </w:r>
    <w:fldSimple w:instr=" PAGE   \* MERGEFORMAT ">
      <w:r>
        <w:rPr>
          <w:noProof/>
          <w:rtl/>
        </w:rPr>
        <w:t>685</w:t>
      </w:r>
    </w:fldSimple>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6A3014">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588" type="#_x0000_t32" style="position:absolute;left:0;text-align:left;margin-left:.55pt;margin-top:20.65pt;width:368.5pt;height:0;z-index:251672064" o:connectortype="straight" strokeweight="1.2pt">
          <v:shadow color="#868686"/>
        </v:shape>
      </w:pict>
    </w:r>
    <w:fldSimple w:instr=" PAGE   \* MERGEFORMAT ">
      <w:r>
        <w:rPr>
          <w:noProof/>
          <w:rtl/>
        </w:rPr>
        <w:t>686</w:t>
      </w:r>
    </w:fldSimple>
    <w:r>
      <w:rPr>
        <w:rFonts w:hint="cs"/>
        <w:rtl/>
      </w:rPr>
      <w:tab/>
    </w:r>
    <w:r>
      <w:rPr>
        <w:rFonts w:cs="AF_Najed" w:hint="cs"/>
        <w:noProof/>
        <w:sz w:val="30"/>
        <w:szCs w:val="30"/>
        <w:rtl/>
      </w:rPr>
      <w:t>المدرسة التفكيكية وجدل المعرفة الدينية</w: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F20AAB" w:rsidRDefault="0071680A" w:rsidP="006A3014">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587" type="#_x0000_t32" style="position:absolute;left:0;text-align:left;margin-left:.55pt;margin-top:20.65pt;width:368.5pt;height:0;z-index:251671040" o:connectortype="straight" strokeweight="1.2pt">
          <v:shadow color="#868686"/>
        </v:shape>
      </w:pict>
    </w:r>
    <w:r>
      <w:rPr>
        <w:rFonts w:cs="AF_Najed" w:hint="cs"/>
        <w:noProof/>
        <w:sz w:val="30"/>
        <w:szCs w:val="30"/>
        <w:rtl/>
      </w:rPr>
      <w:t>الفصل الرابع: رجال المدرسة التفكيكية</w:t>
    </w:r>
    <w:r w:rsidRPr="005736A9">
      <w:rPr>
        <w:rFonts w:hint="cs"/>
        <w:sz w:val="20"/>
        <w:szCs w:val="20"/>
        <w:rtl/>
      </w:rPr>
      <w:tab/>
    </w:r>
    <w:fldSimple w:instr=" PAGE   \* MERGEFORMAT ">
      <w:r>
        <w:rPr>
          <w:noProof/>
          <w:rtl/>
        </w:rPr>
        <w:t>691</w:t>
      </w:r>
    </w:fldSimple>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F7221" w:rsidRDefault="0071680A" w:rsidP="00EF7221">
    <w:pPr>
      <w:pStyle w:val="Header"/>
      <w:rPr>
        <w:szCs w:val="24"/>
        <w:rtl/>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F64660">
    <w:pPr>
      <w:tabs>
        <w:tab w:val="right" w:leader="dot" w:pos="7370"/>
      </w:tabs>
      <w:spacing w:line="264" w:lineRule="auto"/>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695" type="#_x0000_t32" style="position:absolute;left:0;text-align:left;margin-left:.55pt;margin-top:21.75pt;width:368.5pt;height:0;z-index:251732480" o:connectortype="straight" strokeweight="1.2pt">
          <v:shadow color="#868686"/>
        </v:shape>
      </w:pict>
    </w:r>
    <w:fldSimple w:instr=" PAGE   \* MERGEFORMAT ">
      <w:r>
        <w:rPr>
          <w:noProof/>
          <w:rtl/>
        </w:rPr>
        <w:t>46</w:t>
      </w:r>
    </w:fldSimple>
    <w:r>
      <w:rPr>
        <w:rFonts w:hint="cs"/>
        <w:rtl/>
      </w:rPr>
      <w:tab/>
    </w:r>
    <w:r>
      <w:rPr>
        <w:rFonts w:cs="AF_Najed" w:hint="cs"/>
        <w:noProof/>
        <w:sz w:val="30"/>
        <w:szCs w:val="30"/>
        <w:rtl/>
      </w:rPr>
      <w:t>المرأة في الفكر الإسلامي المعاصر، قضايا وإشكاليات</w: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903100" w:rsidRDefault="0071680A" w:rsidP="00903100">
    <w:pPr>
      <w:pStyle w:val="Header"/>
      <w:rPr>
        <w:szCs w:val="24"/>
        <w:rtl/>
      </w:rPr>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AB55A8" w:rsidRDefault="0071680A" w:rsidP="00AB55A8">
    <w:pPr>
      <w:pStyle w:val="Header"/>
      <w:rPr>
        <w:szCs w:val="24"/>
        <w:rtl/>
      </w:rPr>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F20AAB" w:rsidRDefault="0071680A" w:rsidP="00EC777C">
    <w:pPr>
      <w:tabs>
        <w:tab w:val="right" w:leader="dot" w:pos="7371"/>
      </w:tabs>
      <w:ind w:firstLine="0"/>
    </w:pPr>
    <w:r w:rsidRPr="00A6422F">
      <w:rPr>
        <w:rFonts w:cs="AF_Najed"/>
        <w:noProof/>
        <w:sz w:val="30"/>
        <w:szCs w:val="30"/>
      </w:rPr>
      <w:pict>
        <v:shapetype id="_x0000_t32" coordsize="21600,21600" o:spt="32" o:oned="t" path="m,l21600,21600e" filled="f">
          <v:path arrowok="t" fillok="f" o:connecttype="none"/>
          <o:lock v:ext="edit" shapetype="t"/>
        </v:shapetype>
        <v:shape id="_x0000_s2381" type="#_x0000_t32" style="position:absolute;left:0;text-align:left;margin-left:.55pt;margin-top:20.65pt;width:368.5pt;height:0;z-index:251645440" o:connectortype="straight" strokeweight="1.2pt">
          <v:shadow color="#868686"/>
        </v:shape>
      </w:pict>
    </w:r>
    <w:fldSimple w:instr=" PAGE   \* MERGEFORMAT ">
      <w:r>
        <w:rPr>
          <w:noProof/>
          <w:rtl/>
        </w:rPr>
        <w:t>594</w:t>
      </w:r>
    </w:fldSimple>
    <w:r>
      <w:rPr>
        <w:rFonts w:hint="cs"/>
        <w:rtl/>
      </w:rPr>
      <w:tab/>
    </w:r>
    <w:r>
      <w:rPr>
        <w:rFonts w:cs="AF_Najed" w:hint="cs"/>
        <w:noProof/>
        <w:sz w:val="30"/>
        <w:szCs w:val="30"/>
        <w:rtl/>
      </w:rPr>
      <w:t>الموضوعات في الآثار والأخبار، عرض ودراسة</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7D315F" w:rsidRDefault="0071680A" w:rsidP="007D315F">
    <w:pPr>
      <w:pStyle w:val="Header"/>
      <w:rPr>
        <w:szCs w:val="24"/>
        <w:rtl/>
      </w:rPr>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FC4A5D">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593" type="#_x0000_t32" style="position:absolute;left:0;text-align:left;margin-left:.55pt;margin-top:20.65pt;width:368.5pt;height:0;z-index:251674112" o:connectortype="straight" strokeweight="1.2pt">
          <v:shadow color="#868686"/>
        </v:shape>
      </w:pict>
    </w:r>
    <w:fldSimple w:instr=" PAGE   \* MERGEFORMAT ">
      <w:r>
        <w:rPr>
          <w:noProof/>
          <w:rtl/>
        </w:rPr>
        <w:t>704</w:t>
      </w:r>
    </w:fldSimple>
    <w:r>
      <w:rPr>
        <w:rFonts w:hint="cs"/>
        <w:rtl/>
      </w:rPr>
      <w:tab/>
    </w:r>
    <w:r>
      <w:rPr>
        <w:rFonts w:cs="AF_Najed" w:hint="cs"/>
        <w:noProof/>
        <w:sz w:val="30"/>
        <w:szCs w:val="30"/>
        <w:rtl/>
      </w:rPr>
      <w:t>المرأة في الفكر الإسلامي المعاصر، قضايا وإشكاليات</w: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F20AAB" w:rsidRDefault="0071680A" w:rsidP="006628C6">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594" type="#_x0000_t32" style="position:absolute;left:0;text-align:left;margin-left:.55pt;margin-top:20.65pt;width:368.5pt;height:0;z-index:251676160" o:connectortype="straight" strokeweight="1.2pt">
          <v:shadow color="#868686"/>
        </v:shape>
      </w:pict>
    </w:r>
    <w:r>
      <w:rPr>
        <w:rFonts w:cs="AF_Najed" w:hint="cs"/>
        <w:noProof/>
        <w:sz w:val="30"/>
        <w:szCs w:val="30"/>
        <w:rtl/>
      </w:rPr>
      <w:t>الفهرس</w:t>
    </w:r>
    <w:r w:rsidRPr="005736A9">
      <w:rPr>
        <w:rFonts w:hint="cs"/>
        <w:sz w:val="20"/>
        <w:szCs w:val="20"/>
        <w:rtl/>
      </w:rPr>
      <w:tab/>
    </w:r>
    <w:fldSimple w:instr=" PAGE   \* MERGEFORMAT ">
      <w:r>
        <w:rPr>
          <w:noProof/>
          <w:rtl/>
        </w:rPr>
        <w:t>705</w:t>
      </w:r>
    </w:fldSimple>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A87975" w:rsidRDefault="0071680A" w:rsidP="00A87975">
    <w:pPr>
      <w:pStyle w:val="Header"/>
      <w:rPr>
        <w:szCs w:val="24"/>
        <w:rtl/>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F64660">
    <w:pPr>
      <w:tabs>
        <w:tab w:val="right" w:leader="dot" w:pos="7370"/>
      </w:tabs>
      <w:spacing w:line="264" w:lineRule="auto"/>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694" type="#_x0000_t32" style="position:absolute;left:0;text-align:left;margin-left:.55pt;margin-top:21.75pt;width:368.5pt;height:0;z-index:251730432" o:connectortype="straight" strokeweight="1.2pt">
          <v:shadow color="#868686"/>
        </v:shape>
      </w:pict>
    </w:r>
    <w:r>
      <w:rPr>
        <w:rFonts w:cs="AF_Najed" w:hint="cs"/>
        <w:noProof/>
        <w:sz w:val="30"/>
        <w:szCs w:val="30"/>
        <w:rtl/>
      </w:rPr>
      <w:t>الفصل الأول: مقاربات فلسفية وعرفانية لقضايا المرأة</w:t>
    </w:r>
    <w:r>
      <w:rPr>
        <w:rFonts w:cs="AF_Najed" w:hint="cs"/>
        <w:noProof/>
        <w:sz w:val="30"/>
        <w:szCs w:val="30"/>
        <w:rtl/>
      </w:rPr>
      <w:tab/>
    </w:r>
    <w:fldSimple w:instr=" PAGE   \* MERGEFORMAT ">
      <w:r>
        <w:rPr>
          <w:noProof/>
          <w:rtl/>
        </w:rPr>
        <w:t>45</w:t>
      </w:r>
    </w:fldSimple>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3B5530">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567" type="#_x0000_t32" style="position:absolute;left:0;text-align:left;margin-left:.55pt;margin-top:20.65pt;width:368.5pt;height:0;z-index:251658752" o:connectortype="straight" strokeweight="1.2pt">
          <v:shadow color="#868686"/>
        </v:shape>
      </w:pict>
    </w:r>
    <w:fldSimple w:instr=" PAGE   \* MERGEFORMAT ">
      <w:r>
        <w:rPr>
          <w:noProof/>
          <w:rtl/>
        </w:rPr>
        <w:t>50</w:t>
      </w:r>
    </w:fldSimple>
    <w:r>
      <w:rPr>
        <w:rFonts w:hint="cs"/>
        <w:rtl/>
      </w:rPr>
      <w:tab/>
    </w:r>
    <w:r>
      <w:rPr>
        <w:rFonts w:cs="AF_Najed" w:hint="cs"/>
        <w:noProof/>
        <w:sz w:val="30"/>
        <w:szCs w:val="30"/>
        <w:rtl/>
      </w:rPr>
      <w:t>المرأة في الفكر الإسلامي المعاصر، قضايا وإشكاليات</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Default="0071680A" w:rsidP="003B5530">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568" type="#_x0000_t32" style="position:absolute;left:0;text-align:left;margin-left:.55pt;margin-top:20.65pt;width:368.5pt;height:0;z-index:251659776" o:connectortype="straight" strokeweight="1.2pt">
          <v:shadow color="#868686"/>
        </v:shape>
      </w:pict>
    </w:r>
    <w:r>
      <w:rPr>
        <w:rFonts w:cs="AF_Najed" w:hint="cs"/>
        <w:noProof/>
        <w:sz w:val="30"/>
        <w:szCs w:val="30"/>
        <w:rtl/>
      </w:rPr>
      <w:t>الفصل الأول: مقاربات فلسفية وعرفانية لقضايا المرأة</w:t>
    </w:r>
    <w:r w:rsidRPr="005736A9">
      <w:rPr>
        <w:rFonts w:hint="cs"/>
        <w:sz w:val="20"/>
        <w:szCs w:val="20"/>
        <w:rtl/>
      </w:rPr>
      <w:tab/>
    </w:r>
    <w:fldSimple w:instr=" PAGE   \* MERGEFORMAT ">
      <w:r>
        <w:rPr>
          <w:noProof/>
          <w:rtl/>
        </w:rPr>
        <w:t>49</w:t>
      </w:r>
    </w:fldSimple>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4119AE" w:rsidRDefault="0071680A" w:rsidP="004119AE">
    <w:pPr>
      <w:pStyle w:val="Header"/>
      <w:rPr>
        <w:szCs w:val="24"/>
        <w:rtl/>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4119AE" w:rsidRDefault="0071680A" w:rsidP="004119AE">
    <w:pPr>
      <w:pStyle w:val="Header"/>
      <w:rPr>
        <w:szCs w:val="24"/>
        <w:rtl/>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Default="0071680A" w:rsidP="00540F0B">
    <w:pPr>
      <w:tabs>
        <w:tab w:val="right" w:leader="dot" w:pos="6802"/>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673" type="#_x0000_t32" style="position:absolute;left:0;text-align:left;margin-left:.55pt;margin-top:20.65pt;width:339.3pt;height:0;z-index:251704832" o:connectortype="straight" strokeweight="1.2pt">
          <v:shadow color="#868686"/>
        </v:shape>
      </w:pict>
    </w:r>
    <w:r>
      <w:rPr>
        <w:rFonts w:cs="AF_Najed" w:hint="cs"/>
        <w:noProof/>
        <w:sz w:val="30"/>
        <w:szCs w:val="30"/>
        <w:rtl/>
      </w:rPr>
      <w:t>الفصل الأول: المدرسة التفكيكية والبناء الداخلي</w:t>
    </w:r>
    <w:r w:rsidRPr="005736A9">
      <w:rPr>
        <w:rFonts w:hint="cs"/>
        <w:sz w:val="20"/>
        <w:szCs w:val="20"/>
        <w:rtl/>
      </w:rPr>
      <w:tab/>
    </w:r>
    <w:fldSimple w:instr=" PAGE   \* MERGEFORMAT ">
      <w:r>
        <w:rPr>
          <w:noProof/>
          <w:rtl/>
        </w:rPr>
        <w:t>55</w:t>
      </w:r>
    </w:fldSimple>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C94BDF">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570" type="#_x0000_t32" style="position:absolute;left:0;text-align:left;margin-left:.55pt;margin-top:20.65pt;width:368.5pt;height:0;z-index:251660800" o:connectortype="straight" strokeweight="1.2pt">
          <v:shadow color="#868686"/>
        </v:shape>
      </w:pict>
    </w:r>
    <w:fldSimple w:instr=" PAGE   \* MERGEFORMAT ">
      <w:r>
        <w:rPr>
          <w:noProof/>
          <w:rtl/>
        </w:rPr>
        <w:t>76</w:t>
      </w:r>
    </w:fldSimple>
    <w:r>
      <w:rPr>
        <w:rFonts w:hint="cs"/>
        <w:rtl/>
      </w:rPr>
      <w:tab/>
    </w:r>
    <w:r>
      <w:rPr>
        <w:rFonts w:cs="AF_Najed" w:hint="cs"/>
        <w:noProof/>
        <w:sz w:val="30"/>
        <w:szCs w:val="30"/>
        <w:rtl/>
      </w:rPr>
      <w:t>المرأة في الفكر الإسلامي المعاصر، قضايا وإشكاليات</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1178D3" w:rsidRDefault="0071680A" w:rsidP="001178D3">
    <w:pPr>
      <w:pStyle w:val="Header"/>
      <w:rPr>
        <w:szCs w:val="24"/>
        <w:rtl/>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Default="0071680A" w:rsidP="00C94BDF">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571" type="#_x0000_t32" style="position:absolute;left:0;text-align:left;margin-left:.55pt;margin-top:20.65pt;width:368.5pt;height:0;z-index:251661824" o:connectortype="straight" strokeweight="1.2pt">
          <v:shadow color="#868686"/>
        </v:shape>
      </w:pict>
    </w:r>
    <w:r>
      <w:rPr>
        <w:rFonts w:cs="AF_Najed" w:hint="cs"/>
        <w:noProof/>
        <w:sz w:val="30"/>
        <w:szCs w:val="30"/>
        <w:rtl/>
      </w:rPr>
      <w:t>الفصل الأول: مقاربات فلسفية وعرفانية لقضايا المرأة</w:t>
    </w:r>
    <w:r w:rsidRPr="005736A9">
      <w:rPr>
        <w:rFonts w:hint="cs"/>
        <w:sz w:val="20"/>
        <w:szCs w:val="20"/>
        <w:rtl/>
      </w:rPr>
      <w:tab/>
    </w:r>
    <w:fldSimple w:instr=" PAGE   \* MERGEFORMAT ">
      <w:r>
        <w:rPr>
          <w:noProof/>
          <w:rtl/>
        </w:rPr>
        <w:t>75</w:t>
      </w:r>
    </w:fldSimple>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9A7F57" w:rsidRDefault="0071680A" w:rsidP="009A7F57">
    <w:pPr>
      <w:pStyle w:val="Header"/>
      <w:rPr>
        <w:szCs w:val="24"/>
        <w:rtl/>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9A7F57" w:rsidRDefault="0071680A" w:rsidP="009A7F57">
    <w:pPr>
      <w:pStyle w:val="Header"/>
      <w:rPr>
        <w:szCs w:val="24"/>
        <w:rtl/>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Default="0071680A">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C30888">
    <w:pPr>
      <w:tabs>
        <w:tab w:val="right" w:leader="dot" w:pos="6802"/>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357" type="#_x0000_t32" style="position:absolute;left:0;text-align:left;margin-left:.55pt;margin-top:20.65pt;width:340.95pt;height:0;z-index:251643392" o:connectortype="straight" strokeweight="1.2pt">
          <v:shadow color="#868686"/>
        </v:shape>
      </w:pict>
    </w:r>
    <w:fldSimple w:instr=" PAGE   \* MERGEFORMAT ">
      <w:r>
        <w:rPr>
          <w:noProof/>
          <w:rtl/>
        </w:rPr>
        <w:t>80</w:t>
      </w:r>
    </w:fldSimple>
    <w:r>
      <w:rPr>
        <w:rFonts w:hint="cs"/>
        <w:rtl/>
      </w:rPr>
      <w:tab/>
    </w:r>
    <w:r>
      <w:rPr>
        <w:rFonts w:cs="AF_Najed" w:hint="cs"/>
        <w:noProof/>
        <w:sz w:val="30"/>
        <w:szCs w:val="30"/>
        <w:rtl/>
      </w:rPr>
      <w:t>الموضوعات في الآثار والأخبار</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B83A2D" w:rsidRDefault="0071680A" w:rsidP="00B83A2D">
    <w:pPr>
      <w:pStyle w:val="Header"/>
      <w:rPr>
        <w:szCs w:val="24"/>
        <w:rtl/>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3E7C85">
    <w:pPr>
      <w:tabs>
        <w:tab w:val="right" w:leader="dot" w:pos="7370"/>
      </w:tabs>
      <w:spacing w:line="264" w:lineRule="auto"/>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698" type="#_x0000_t32" style="position:absolute;left:0;text-align:left;margin-left:.55pt;margin-top:20.65pt;width:368.5pt;height:0;z-index:251734528" o:connectortype="straight" strokeweight="1.2pt">
          <v:shadow color="#868686"/>
        </v:shape>
      </w:pict>
    </w:r>
    <w:fldSimple w:instr=" PAGE   \* MERGEFORMAT ">
      <w:r>
        <w:rPr>
          <w:noProof/>
          <w:rtl/>
        </w:rPr>
        <w:t>82</w:t>
      </w:r>
    </w:fldSimple>
    <w:r>
      <w:rPr>
        <w:rFonts w:hint="cs"/>
        <w:rtl/>
      </w:rPr>
      <w:tab/>
    </w:r>
    <w:r>
      <w:rPr>
        <w:rFonts w:cs="AF_Najed" w:hint="cs"/>
        <w:noProof/>
        <w:sz w:val="30"/>
        <w:szCs w:val="30"/>
        <w:rtl/>
      </w:rPr>
      <w:t>المرأة في الفكر الإسلامي المعاصر، قضايا وإشكاليات</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Default="0071680A" w:rsidP="00E350D8">
    <w:pPr>
      <w:tabs>
        <w:tab w:val="right" w:leader="dot" w:pos="7370"/>
      </w:tabs>
      <w:spacing w:line="264" w:lineRule="auto"/>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699" type="#_x0000_t32" style="position:absolute;left:0;text-align:left;margin-left:.55pt;margin-top:20.65pt;width:368.5pt;height:0;z-index:251736576" o:connectortype="straight" strokeweight="1.2pt">
          <v:shadow color="#868686"/>
        </v:shape>
      </w:pict>
    </w:r>
    <w:r>
      <w:rPr>
        <w:rFonts w:cs="AF_Najed" w:hint="cs"/>
        <w:noProof/>
        <w:sz w:val="30"/>
        <w:szCs w:val="30"/>
        <w:rtl/>
      </w:rPr>
      <w:t>الفصل الثاني: الفقه الإسلامي وقضايا المرأة، محاولات في النقد والتجديد</w:t>
    </w:r>
    <w:r w:rsidRPr="005736A9">
      <w:rPr>
        <w:rFonts w:hint="cs"/>
        <w:sz w:val="20"/>
        <w:szCs w:val="20"/>
        <w:rtl/>
      </w:rPr>
      <w:tab/>
    </w:r>
    <w:fldSimple w:instr=" PAGE   \* MERGEFORMAT ">
      <w:r>
        <w:rPr>
          <w:noProof/>
          <w:rtl/>
        </w:rPr>
        <w:t>81</w:t>
      </w:r>
    </w:fldSimple>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764436" w:rsidRDefault="0071680A" w:rsidP="00C30888">
    <w:pPr>
      <w:pStyle w:val="Header"/>
      <w:rPr>
        <w:szCs w:val="24"/>
        <w:rtl/>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3B5530">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573" type="#_x0000_t32" style="position:absolute;left:0;text-align:left;margin-left:.55pt;margin-top:20.65pt;width:368.5pt;height:0;z-index:251662848" o:connectortype="straight" strokeweight="1.2pt">
          <v:shadow color="#868686"/>
        </v:shape>
      </w:pict>
    </w:r>
    <w:fldSimple w:instr=" PAGE   \* MERGEFORMAT ">
      <w:r>
        <w:rPr>
          <w:noProof/>
          <w:rtl/>
        </w:rPr>
        <w:t>86</w:t>
      </w:r>
    </w:fldSimple>
    <w:r>
      <w:rPr>
        <w:rFonts w:hint="cs"/>
        <w:rtl/>
      </w:rPr>
      <w:tab/>
    </w:r>
    <w:r>
      <w:rPr>
        <w:rFonts w:cs="AF_Najed" w:hint="cs"/>
        <w:noProof/>
        <w:sz w:val="30"/>
        <w:szCs w:val="30"/>
        <w:rtl/>
      </w:rPr>
      <w:t>المرأة في الفكر الإسلامي المعاصر، قضايا وإشكاليات</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1178D3" w:rsidRDefault="0071680A" w:rsidP="001178D3">
    <w:pPr>
      <w:pStyle w:val="Header"/>
      <w:rPr>
        <w:szCs w:val="24"/>
        <w:rtl/>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Default="0071680A" w:rsidP="00E350D8">
    <w:pPr>
      <w:tabs>
        <w:tab w:val="right" w:leader="dot" w:pos="7370"/>
      </w:tabs>
      <w:spacing w:line="264" w:lineRule="auto"/>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42" type="#_x0000_t32" style="position:absolute;left:0;text-align:left;margin-left:.55pt;margin-top:20.65pt;width:368.5pt;height:0;z-index:251812352" o:connectortype="straight" strokeweight="1.2pt">
          <v:shadow color="#868686"/>
        </v:shape>
      </w:pict>
    </w:r>
    <w:r>
      <w:rPr>
        <w:rFonts w:cs="AF_Najed" w:hint="cs"/>
        <w:noProof/>
        <w:sz w:val="30"/>
        <w:szCs w:val="30"/>
        <w:rtl/>
      </w:rPr>
      <w:t>الفصل الثاني: الفقه الإسلامي وقضايا المرأة، محاولات في النقد والتجديد</w:t>
    </w:r>
    <w:r w:rsidRPr="005736A9">
      <w:rPr>
        <w:rFonts w:hint="cs"/>
        <w:sz w:val="20"/>
        <w:szCs w:val="20"/>
        <w:rtl/>
      </w:rPr>
      <w:tab/>
    </w:r>
    <w:fldSimple w:instr=" PAGE   \* MERGEFORMAT ">
      <w:r>
        <w:rPr>
          <w:noProof/>
          <w:rtl/>
        </w:rPr>
        <w:t>87</w:t>
      </w:r>
    </w:fldSimple>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8B618B" w:rsidRDefault="0071680A" w:rsidP="008B618B">
    <w:pPr>
      <w:pStyle w:val="Header"/>
      <w:rPr>
        <w:szCs w:val="24"/>
        <w:rtl/>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C38CE" w:rsidRDefault="0071680A" w:rsidP="00EC38CE">
    <w:pPr>
      <w:pStyle w:val="Header"/>
      <w:rPr>
        <w:szCs w:val="24"/>
        <w:rtl/>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C38CE" w:rsidRDefault="0071680A" w:rsidP="00EC38CE">
    <w:pPr>
      <w:pStyle w:val="Header"/>
      <w:rPr>
        <w:szCs w:val="24"/>
        <w:rtl/>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8B618B">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580" type="#_x0000_t32" style="position:absolute;left:0;text-align:left;margin-left:.55pt;margin-top:20.65pt;width:368.5pt;height:0;z-index:251666944" o:connectortype="straight" strokeweight="1.2pt">
          <v:shadow color="#868686"/>
        </v:shape>
      </w:pict>
    </w:r>
    <w:fldSimple w:instr=" PAGE   \* MERGEFORMAT ">
      <w:r>
        <w:rPr>
          <w:noProof/>
          <w:rtl/>
        </w:rPr>
        <w:t>144</w:t>
      </w:r>
    </w:fldSimple>
    <w:r>
      <w:rPr>
        <w:rFonts w:hint="cs"/>
        <w:rtl/>
      </w:rPr>
      <w:tab/>
    </w:r>
    <w:r>
      <w:rPr>
        <w:rFonts w:cs="AF_Najed" w:hint="cs"/>
        <w:noProof/>
        <w:sz w:val="30"/>
        <w:szCs w:val="30"/>
        <w:rtl/>
      </w:rPr>
      <w:t>المرأة في الفكر الإسلامي المعاصر، قضايا وإشكاليات</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Default="0071680A" w:rsidP="00E507AC">
    <w:pPr>
      <w:tabs>
        <w:tab w:val="right" w:leader="dot" w:pos="7370"/>
      </w:tabs>
      <w:spacing w:line="264" w:lineRule="auto"/>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43" type="#_x0000_t32" style="position:absolute;left:0;text-align:left;margin-left:.55pt;margin-top:20.65pt;width:368.5pt;height:0;z-index:251814400" o:connectortype="straight" strokeweight="1.2pt">
          <v:shadow color="#868686"/>
        </v:shape>
      </w:pict>
    </w:r>
    <w:r>
      <w:rPr>
        <w:rFonts w:cs="AF_Najed" w:hint="cs"/>
        <w:noProof/>
        <w:sz w:val="30"/>
        <w:szCs w:val="30"/>
        <w:rtl/>
      </w:rPr>
      <w:t>الفصل الثاني: الفقه الإسلامي وقضايا المرأة، محاولات في النقد والتجديد</w:t>
    </w:r>
    <w:r w:rsidRPr="005736A9">
      <w:rPr>
        <w:rFonts w:hint="cs"/>
        <w:sz w:val="20"/>
        <w:szCs w:val="20"/>
        <w:rtl/>
      </w:rPr>
      <w:tab/>
    </w:r>
    <w:fldSimple w:instr=" PAGE   \* MERGEFORMAT ">
      <w:r>
        <w:rPr>
          <w:noProof/>
          <w:rtl/>
        </w:rPr>
        <w:t>145</w:t>
      </w:r>
    </w:fldSimple>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707350" w:rsidRDefault="0071680A" w:rsidP="00707350">
    <w:pPr>
      <w:pStyle w:val="Header"/>
      <w:rPr>
        <w:szCs w:val="24"/>
        <w:rtl/>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8B618B">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06" type="#_x0000_t32" style="position:absolute;left:0;text-align:left;margin-left:.55pt;margin-top:20.65pt;width:368.5pt;height:0;z-index:251746816" o:connectortype="straight" strokeweight="1.2pt">
          <v:shadow color="#868686"/>
        </v:shape>
      </w:pict>
    </w:r>
    <w:fldSimple w:instr=" PAGE   \* MERGEFORMAT ">
      <w:r>
        <w:rPr>
          <w:noProof/>
          <w:rtl/>
        </w:rPr>
        <w:t>148</w:t>
      </w:r>
    </w:fldSimple>
    <w:r>
      <w:rPr>
        <w:rFonts w:hint="cs"/>
        <w:rtl/>
      </w:rPr>
      <w:tab/>
    </w:r>
    <w:r>
      <w:rPr>
        <w:rFonts w:cs="AF_Najed" w:hint="cs"/>
        <w:noProof/>
        <w:sz w:val="30"/>
        <w:szCs w:val="30"/>
        <w:rtl/>
      </w:rPr>
      <w:t>المرأة في الفكر الإسلامي المعاصر، قضايا وإشكاليات</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707350" w:rsidRDefault="0071680A" w:rsidP="00707350">
    <w:pPr>
      <w:pStyle w:val="Header"/>
      <w:rPr>
        <w:szCs w:val="24"/>
        <w:rtl/>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8B618B">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61" type="#_x0000_t32" style="position:absolute;left:0;text-align:left;margin-left:.55pt;margin-top:20.65pt;width:368.5pt;height:0;z-index:251849216" o:connectortype="straight" strokeweight="1.2pt">
          <v:shadow color="#868686"/>
        </v:shape>
      </w:pict>
    </w:r>
    <w:fldSimple w:instr=" PAGE   \* MERGEFORMAT ">
      <w:r>
        <w:rPr>
          <w:noProof/>
          <w:rtl/>
        </w:rPr>
        <w:t>184</w:t>
      </w:r>
    </w:fldSimple>
    <w:r>
      <w:rPr>
        <w:rFonts w:hint="cs"/>
        <w:rtl/>
      </w:rPr>
      <w:tab/>
    </w:r>
    <w:r>
      <w:rPr>
        <w:rFonts w:cs="AF_Najed" w:hint="cs"/>
        <w:noProof/>
        <w:sz w:val="30"/>
        <w:szCs w:val="30"/>
        <w:rtl/>
      </w:rPr>
      <w:t>المرأة في الفكر الإسلامي المعاصر، قضايا وإشكاليات</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F64660">
    <w:pPr>
      <w:tabs>
        <w:tab w:val="right" w:leader="dot" w:pos="7370"/>
      </w:tabs>
      <w:spacing w:line="264" w:lineRule="auto"/>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676" type="#_x0000_t32" style="position:absolute;left:0;text-align:left;margin-left:.55pt;margin-top:21.75pt;width:368.5pt;height:0;z-index:251710976" o:connectortype="straight" strokeweight="1.2pt">
          <v:shadow color="#868686"/>
        </v:shape>
      </w:pict>
    </w:r>
    <w:fldSimple w:instr=" PAGE   \* MERGEFORMAT ">
      <w:r>
        <w:rPr>
          <w:noProof/>
          <w:rtl/>
        </w:rPr>
        <w:t>14</w:t>
      </w:r>
    </w:fldSimple>
    <w:r>
      <w:rPr>
        <w:rFonts w:hint="cs"/>
        <w:rtl/>
      </w:rPr>
      <w:tab/>
    </w:r>
    <w:r>
      <w:rPr>
        <w:rFonts w:cs="AF_Najed" w:hint="cs"/>
        <w:noProof/>
        <w:sz w:val="30"/>
        <w:szCs w:val="30"/>
        <w:rtl/>
      </w:rPr>
      <w:t>المرأة في الفكر الإسلامي المعاصر، قضايا وإشكاليات</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Default="0071680A" w:rsidP="00E507AC">
    <w:pPr>
      <w:tabs>
        <w:tab w:val="right" w:leader="dot" w:pos="7370"/>
      </w:tabs>
      <w:spacing w:line="264" w:lineRule="auto"/>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62" type="#_x0000_t32" style="position:absolute;left:0;text-align:left;margin-left:.55pt;margin-top:20.65pt;width:368.5pt;height:0;z-index:251851264" o:connectortype="straight" strokeweight="1.2pt">
          <v:shadow color="#868686"/>
        </v:shape>
      </w:pict>
    </w:r>
    <w:r>
      <w:rPr>
        <w:rFonts w:cs="AF_Najed" w:hint="cs"/>
        <w:noProof/>
        <w:sz w:val="30"/>
        <w:szCs w:val="30"/>
        <w:rtl/>
      </w:rPr>
      <w:t>الفصل الثاني: الفقه الإسلامي وقضايا المرأة، محاولات في النقد والتجديد</w:t>
    </w:r>
    <w:r w:rsidRPr="005736A9">
      <w:rPr>
        <w:rFonts w:hint="cs"/>
        <w:sz w:val="20"/>
        <w:szCs w:val="20"/>
        <w:rtl/>
      </w:rPr>
      <w:tab/>
    </w:r>
    <w:fldSimple w:instr=" PAGE   \* MERGEFORMAT ">
      <w:r>
        <w:rPr>
          <w:noProof/>
          <w:rtl/>
        </w:rPr>
        <w:t>185</w:t>
      </w:r>
    </w:fldSimple>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0218F4" w:rsidRDefault="0071680A" w:rsidP="000218F4">
    <w:pPr>
      <w:pStyle w:val="Header"/>
      <w:rPr>
        <w:szCs w:val="24"/>
        <w:rtl/>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3246D4" w:rsidRDefault="0071680A" w:rsidP="003246D4">
    <w:pPr>
      <w:pStyle w:val="Header"/>
      <w:rPr>
        <w:szCs w:val="24"/>
        <w:rtl/>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8B618B">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09" type="#_x0000_t32" style="position:absolute;left:0;text-align:left;margin-left:.55pt;margin-top:20.65pt;width:368.5pt;height:0;z-index:251752960" o:connectortype="straight" strokeweight="1.2pt">
          <v:shadow color="#868686"/>
        </v:shape>
      </w:pict>
    </w:r>
    <w:fldSimple w:instr=" PAGE   \* MERGEFORMAT ">
      <w:r>
        <w:rPr>
          <w:noProof/>
          <w:rtl/>
        </w:rPr>
        <w:t>230</w:t>
      </w:r>
    </w:fldSimple>
    <w:r>
      <w:rPr>
        <w:rFonts w:hint="cs"/>
        <w:rtl/>
      </w:rPr>
      <w:tab/>
    </w:r>
    <w:r>
      <w:rPr>
        <w:rFonts w:cs="AF_Najed" w:hint="cs"/>
        <w:noProof/>
        <w:sz w:val="30"/>
        <w:szCs w:val="30"/>
        <w:rtl/>
      </w:rPr>
      <w:t>المرأة في الفكر الإسلامي المعاصر، قضايا وإشكاليات</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Default="0071680A" w:rsidP="00E507AC">
    <w:pPr>
      <w:tabs>
        <w:tab w:val="right" w:leader="dot" w:pos="7370"/>
      </w:tabs>
      <w:spacing w:line="264" w:lineRule="auto"/>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45" type="#_x0000_t32" style="position:absolute;left:0;text-align:left;margin-left:.55pt;margin-top:20.65pt;width:368.5pt;height:0;z-index:251818496" o:connectortype="straight" strokeweight="1.2pt">
          <v:shadow color="#868686"/>
        </v:shape>
      </w:pict>
    </w:r>
    <w:r>
      <w:rPr>
        <w:rFonts w:cs="AF_Najed" w:hint="cs"/>
        <w:noProof/>
        <w:sz w:val="30"/>
        <w:szCs w:val="30"/>
        <w:rtl/>
      </w:rPr>
      <w:t>الفصل الثاني: الفقه الإسلامي وقضايا المرأة، محاولات في النقد والتجديد</w:t>
    </w:r>
    <w:r w:rsidRPr="005736A9">
      <w:rPr>
        <w:rFonts w:hint="cs"/>
        <w:sz w:val="20"/>
        <w:szCs w:val="20"/>
        <w:rtl/>
      </w:rPr>
      <w:tab/>
    </w:r>
    <w:fldSimple w:instr=" PAGE   \* MERGEFORMAT ">
      <w:r>
        <w:rPr>
          <w:noProof/>
          <w:rtl/>
        </w:rPr>
        <w:t>231</w:t>
      </w:r>
    </w:fldSimple>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3246D4" w:rsidRDefault="0071680A" w:rsidP="003246D4">
    <w:pPr>
      <w:pStyle w:val="Header"/>
      <w:rPr>
        <w:szCs w:val="24"/>
        <w:rtl/>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24C1D" w:rsidRDefault="0071680A" w:rsidP="00E24C1D">
    <w:pPr>
      <w:pStyle w:val="Header"/>
      <w:rPr>
        <w:szCs w:val="24"/>
        <w:rtl/>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8B618B">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13" type="#_x0000_t32" style="position:absolute;left:0;text-align:left;margin-left:.55pt;margin-top:20.65pt;width:368.5pt;height:0;z-index:251761152" o:connectortype="straight" strokeweight="1.2pt">
          <v:shadow color="#868686"/>
        </v:shape>
      </w:pict>
    </w:r>
    <w:fldSimple w:instr=" PAGE   \* MERGEFORMAT ">
      <w:r>
        <w:rPr>
          <w:noProof/>
          <w:rtl/>
        </w:rPr>
        <w:t>260</w:t>
      </w:r>
    </w:fldSimple>
    <w:r>
      <w:rPr>
        <w:rFonts w:hint="cs"/>
        <w:rtl/>
      </w:rPr>
      <w:tab/>
    </w:r>
    <w:r>
      <w:rPr>
        <w:rFonts w:cs="AF_Najed" w:hint="cs"/>
        <w:noProof/>
        <w:sz w:val="30"/>
        <w:szCs w:val="30"/>
        <w:rtl/>
      </w:rPr>
      <w:t>المرأة في الفكر الإسلامي المعاصر، قضايا وإشكاليات</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Default="0071680A" w:rsidP="00E507AC">
    <w:pPr>
      <w:tabs>
        <w:tab w:val="right" w:leader="dot" w:pos="7370"/>
      </w:tabs>
      <w:spacing w:line="264" w:lineRule="auto"/>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46" type="#_x0000_t32" style="position:absolute;left:0;text-align:left;margin-left:.55pt;margin-top:20.65pt;width:368.5pt;height:0;z-index:251820544" o:connectortype="straight" strokeweight="1.2pt">
          <v:shadow color="#868686"/>
        </v:shape>
      </w:pict>
    </w:r>
    <w:r>
      <w:rPr>
        <w:rFonts w:cs="AF_Najed" w:hint="cs"/>
        <w:noProof/>
        <w:sz w:val="30"/>
        <w:szCs w:val="30"/>
        <w:rtl/>
      </w:rPr>
      <w:t>الفصل الثاني: الفقه الإسلامي وقضايا المرأة، محاولات في النقد والتجديد</w:t>
    </w:r>
    <w:r w:rsidRPr="005736A9">
      <w:rPr>
        <w:rFonts w:hint="cs"/>
        <w:sz w:val="20"/>
        <w:szCs w:val="20"/>
        <w:rtl/>
      </w:rPr>
      <w:tab/>
    </w:r>
    <w:fldSimple w:instr=" PAGE   \* MERGEFORMAT ">
      <w:r>
        <w:rPr>
          <w:noProof/>
          <w:rtl/>
        </w:rPr>
        <w:t>261</w:t>
      </w:r>
    </w:fldSimple>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925049" w:rsidRDefault="0071680A" w:rsidP="00925049">
    <w:pPr>
      <w:pStyle w:val="Header"/>
      <w:rPr>
        <w:szCs w:val="24"/>
        <w:rtl/>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F64660">
    <w:pPr>
      <w:tabs>
        <w:tab w:val="right" w:leader="dot" w:pos="7370"/>
      </w:tabs>
      <w:spacing w:line="264" w:lineRule="auto"/>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685" type="#_x0000_t32" style="position:absolute;left:0;text-align:left;margin-left:.55pt;margin-top:21.75pt;width:368.5pt;height:0;z-index:251720192" o:connectortype="straight" strokeweight="1.2pt">
          <v:shadow color="#868686"/>
        </v:shape>
      </w:pict>
    </w:r>
    <w:r>
      <w:rPr>
        <w:rFonts w:cs="AF_Najed" w:hint="cs"/>
        <w:noProof/>
        <w:sz w:val="30"/>
        <w:szCs w:val="30"/>
        <w:rtl/>
      </w:rPr>
      <w:t>المدخل: قضايا المرأة وأشكال المساهمات المعرفية</w:t>
    </w:r>
    <w:r>
      <w:rPr>
        <w:rFonts w:cs="AF_Najed" w:hint="cs"/>
        <w:noProof/>
        <w:sz w:val="30"/>
        <w:szCs w:val="30"/>
        <w:rtl/>
      </w:rPr>
      <w:tab/>
    </w:r>
    <w:fldSimple w:instr=" PAGE   \* MERGEFORMAT ">
      <w:r>
        <w:rPr>
          <w:noProof/>
          <w:rtl/>
        </w:rPr>
        <w:t>15</w:t>
      </w:r>
    </w:fldSimple>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3246D4" w:rsidRDefault="0071680A" w:rsidP="003246D4">
    <w:pPr>
      <w:pStyle w:val="Header"/>
      <w:rPr>
        <w:szCs w:val="24"/>
        <w:rtl/>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8B618B">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15" type="#_x0000_t32" style="position:absolute;left:0;text-align:left;margin-left:.55pt;margin-top:20.65pt;width:368.5pt;height:0;z-index:251765248" o:connectortype="straight" strokeweight="1.2pt">
          <v:shadow color="#868686"/>
        </v:shape>
      </w:pict>
    </w:r>
    <w:fldSimple w:instr=" PAGE   \* MERGEFORMAT ">
      <w:r>
        <w:rPr>
          <w:noProof/>
          <w:rtl/>
        </w:rPr>
        <w:t>280</w:t>
      </w:r>
    </w:fldSimple>
    <w:r>
      <w:rPr>
        <w:rFonts w:hint="cs"/>
        <w:rtl/>
      </w:rPr>
      <w:tab/>
    </w:r>
    <w:r>
      <w:rPr>
        <w:rFonts w:cs="AF_Najed" w:hint="cs"/>
        <w:noProof/>
        <w:sz w:val="30"/>
        <w:szCs w:val="30"/>
        <w:rtl/>
      </w:rPr>
      <w:t>المرأة في الفكر الإسلامي المعاصر، قضايا وإشكاليات</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Default="0071680A" w:rsidP="00E507AC">
    <w:pPr>
      <w:tabs>
        <w:tab w:val="right" w:leader="dot" w:pos="7370"/>
      </w:tabs>
      <w:spacing w:line="264" w:lineRule="auto"/>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47" type="#_x0000_t32" style="position:absolute;left:0;text-align:left;margin-left:.55pt;margin-top:20.65pt;width:368.5pt;height:0;z-index:251822592" o:connectortype="straight" strokeweight="1.2pt">
          <v:shadow color="#868686"/>
        </v:shape>
      </w:pict>
    </w:r>
    <w:r>
      <w:rPr>
        <w:rFonts w:cs="AF_Najed" w:hint="cs"/>
        <w:noProof/>
        <w:sz w:val="30"/>
        <w:szCs w:val="30"/>
        <w:rtl/>
      </w:rPr>
      <w:t>الفصل الثاني: الفقه الإسلامي وقضايا المرأة، محاولات في النقد والتجديد</w:t>
    </w:r>
    <w:r w:rsidRPr="005736A9">
      <w:rPr>
        <w:rFonts w:hint="cs"/>
        <w:sz w:val="20"/>
        <w:szCs w:val="20"/>
        <w:rtl/>
      </w:rPr>
      <w:tab/>
    </w:r>
    <w:fldSimple w:instr=" PAGE   \* MERGEFORMAT ">
      <w:r>
        <w:rPr>
          <w:noProof/>
          <w:rtl/>
        </w:rPr>
        <w:t>281</w:t>
      </w:r>
    </w:fldSimple>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3246D4" w:rsidRDefault="0071680A" w:rsidP="003246D4">
    <w:pPr>
      <w:pStyle w:val="Header"/>
      <w:rPr>
        <w:szCs w:val="24"/>
        <w:rtl/>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3246D4" w:rsidRDefault="0071680A" w:rsidP="003246D4">
    <w:pPr>
      <w:pStyle w:val="Header"/>
      <w:rPr>
        <w:szCs w:val="24"/>
        <w:rtl/>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8B618B">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17" type="#_x0000_t32" style="position:absolute;left:0;text-align:left;margin-left:.55pt;margin-top:20.65pt;width:368.5pt;height:0;z-index:251769344" o:connectortype="straight" strokeweight="1.2pt">
          <v:shadow color="#868686"/>
        </v:shape>
      </w:pict>
    </w:r>
    <w:fldSimple w:instr=" PAGE   \* MERGEFORMAT ">
      <w:r>
        <w:rPr>
          <w:noProof/>
          <w:rtl/>
        </w:rPr>
        <w:t>316</w:t>
      </w:r>
    </w:fldSimple>
    <w:r>
      <w:rPr>
        <w:rFonts w:hint="cs"/>
        <w:rtl/>
      </w:rPr>
      <w:tab/>
    </w:r>
    <w:r>
      <w:rPr>
        <w:rFonts w:cs="AF_Najed" w:hint="cs"/>
        <w:noProof/>
        <w:sz w:val="30"/>
        <w:szCs w:val="30"/>
        <w:rtl/>
      </w:rPr>
      <w:t>المرأة في الفكر الإسلامي المعاصر، قضايا وإشكاليات</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Default="0071680A" w:rsidP="00E507AC">
    <w:pPr>
      <w:tabs>
        <w:tab w:val="right" w:leader="dot" w:pos="7370"/>
      </w:tabs>
      <w:spacing w:line="264" w:lineRule="auto"/>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48" type="#_x0000_t32" style="position:absolute;left:0;text-align:left;margin-left:.55pt;margin-top:20.65pt;width:368.5pt;height:0;z-index:251824640" o:connectortype="straight" strokeweight="1.2pt">
          <v:shadow color="#868686"/>
        </v:shape>
      </w:pict>
    </w:r>
    <w:r>
      <w:rPr>
        <w:rFonts w:cs="AF_Najed" w:hint="cs"/>
        <w:noProof/>
        <w:sz w:val="30"/>
        <w:szCs w:val="30"/>
        <w:rtl/>
      </w:rPr>
      <w:t>الفصل الثاني: الفقه الإسلامي وقضايا المرأة، محاولات في النقد والتجديد</w:t>
    </w:r>
    <w:r w:rsidRPr="005736A9">
      <w:rPr>
        <w:rFonts w:hint="cs"/>
        <w:sz w:val="20"/>
        <w:szCs w:val="20"/>
        <w:rtl/>
      </w:rPr>
      <w:tab/>
    </w:r>
    <w:fldSimple w:instr=" PAGE   \* MERGEFORMAT ">
      <w:r>
        <w:rPr>
          <w:noProof/>
          <w:rtl/>
        </w:rPr>
        <w:t>315</w:t>
      </w:r>
    </w:fldSimple>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8B618B">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23" type="#_x0000_t32" style="position:absolute;left:0;text-align:left;margin-left:.55pt;margin-top:20.65pt;width:368.5pt;height:0;z-index:251777536" o:connectortype="straight" strokeweight="1.2pt">
          <v:shadow color="#868686"/>
        </v:shape>
      </w:pict>
    </w:r>
    <w:fldSimple w:instr=" PAGE   \* MERGEFORMAT ">
      <w:r>
        <w:rPr>
          <w:noProof/>
          <w:rtl/>
        </w:rPr>
        <w:t>320</w:t>
      </w:r>
    </w:fldSimple>
    <w:r>
      <w:rPr>
        <w:rFonts w:hint="cs"/>
        <w:rtl/>
      </w:rPr>
      <w:tab/>
    </w:r>
    <w:r>
      <w:rPr>
        <w:rFonts w:cs="AF_Najed" w:hint="cs"/>
        <w:noProof/>
        <w:sz w:val="30"/>
        <w:szCs w:val="30"/>
        <w:rtl/>
      </w:rPr>
      <w:t>المرأة في الفكر الإسلامي المعاصر، قضايا وإشكاليات</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52F7A" w:rsidRDefault="0071680A" w:rsidP="00E52F7A">
    <w:pPr>
      <w:pStyle w:val="Header"/>
      <w:rPr>
        <w:szCs w:val="24"/>
        <w:rtl/>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8B618B">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66" type="#_x0000_t32" style="position:absolute;left:0;text-align:left;margin-left:.55pt;margin-top:20.65pt;width:368.5pt;height:0;z-index:251853312" o:connectortype="straight" strokeweight="1.2pt">
          <v:shadow color="#868686"/>
        </v:shape>
      </w:pict>
    </w:r>
    <w:fldSimple w:instr=" PAGE   \* MERGEFORMAT ">
      <w:r>
        <w:rPr>
          <w:noProof/>
          <w:rtl/>
        </w:rPr>
        <w:t>350</w:t>
      </w:r>
    </w:fldSimple>
    <w:r>
      <w:rPr>
        <w:rFonts w:hint="cs"/>
        <w:rtl/>
      </w:rPr>
      <w:tab/>
    </w:r>
    <w:r>
      <w:rPr>
        <w:rFonts w:cs="AF_Najed" w:hint="cs"/>
        <w:noProof/>
        <w:sz w:val="30"/>
        <w:szCs w:val="30"/>
        <w:rtl/>
      </w:rPr>
      <w:t>المرأة في الفكر الإسلامي المعاصر، قضايا وإشكاليات</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F64660" w:rsidRDefault="0071680A" w:rsidP="00F64660">
    <w:pPr>
      <w:pStyle w:val="Header"/>
      <w:rPr>
        <w:szCs w:val="24"/>
        <w:rtl/>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Default="0071680A" w:rsidP="00E507AC">
    <w:pPr>
      <w:tabs>
        <w:tab w:val="right" w:leader="dot" w:pos="7370"/>
      </w:tabs>
      <w:spacing w:line="264" w:lineRule="auto"/>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67" type="#_x0000_t32" style="position:absolute;left:0;text-align:left;margin-left:.55pt;margin-top:20.65pt;width:368.5pt;height:0;z-index:251855360" o:connectortype="straight" strokeweight="1.2pt">
          <v:shadow color="#868686"/>
        </v:shape>
      </w:pict>
    </w:r>
    <w:r>
      <w:rPr>
        <w:rFonts w:cs="AF_Najed" w:hint="cs"/>
        <w:noProof/>
        <w:sz w:val="30"/>
        <w:szCs w:val="30"/>
        <w:rtl/>
      </w:rPr>
      <w:t>الفصل الثاني: الفقه الإسلامي وقضايا المرأة، محاولات في النقد والتجديد</w:t>
    </w:r>
    <w:r w:rsidRPr="005736A9">
      <w:rPr>
        <w:rFonts w:hint="cs"/>
        <w:sz w:val="20"/>
        <w:szCs w:val="20"/>
        <w:rtl/>
      </w:rPr>
      <w:tab/>
    </w:r>
    <w:fldSimple w:instr=" PAGE   \* MERGEFORMAT ">
      <w:r>
        <w:rPr>
          <w:noProof/>
          <w:rtl/>
        </w:rPr>
        <w:t>351</w:t>
      </w:r>
    </w:fldSimple>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601A99" w:rsidRDefault="0071680A" w:rsidP="00601A99">
    <w:pPr>
      <w:pStyle w:val="Header"/>
      <w:rPr>
        <w:szCs w:val="24"/>
        <w:rtl/>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E06ED" w:rsidRDefault="0071680A" w:rsidP="00EE06ED">
    <w:pPr>
      <w:pStyle w:val="Header"/>
      <w:rPr>
        <w:szCs w:val="24"/>
        <w:rtl/>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E32EF1">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69" type="#_x0000_t32" style="position:absolute;left:0;text-align:left;margin-left:.55pt;margin-top:20.65pt;width:368.5pt;height:0;z-index:251859456" o:connectortype="straight" strokeweight="1.2pt">
          <v:shadow color="#868686"/>
        </v:shape>
      </w:pict>
    </w:r>
    <w:fldSimple w:instr=" PAGE   \* MERGEFORMAT ">
      <w:r>
        <w:rPr>
          <w:noProof/>
          <w:rtl/>
        </w:rPr>
        <w:t>378</w:t>
      </w:r>
    </w:fldSimple>
    <w:r>
      <w:rPr>
        <w:rFonts w:hint="cs"/>
        <w:rtl/>
      </w:rPr>
      <w:tab/>
    </w:r>
    <w:r>
      <w:rPr>
        <w:rFonts w:cs="AF_Najed" w:hint="cs"/>
        <w:noProof/>
        <w:sz w:val="30"/>
        <w:szCs w:val="30"/>
        <w:rtl/>
      </w:rPr>
      <w:t>المرأة في الفكر الإسلامي المعاصر، قضايا وإشكاليات</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Default="0071680A" w:rsidP="00E32EF1">
    <w:pPr>
      <w:tabs>
        <w:tab w:val="right" w:leader="dot" w:pos="7370"/>
      </w:tabs>
      <w:spacing w:line="264" w:lineRule="auto"/>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68" type="#_x0000_t32" style="position:absolute;left:0;text-align:left;margin-left:.55pt;margin-top:20.65pt;width:368.5pt;height:0;z-index:251857408" o:connectortype="straight" strokeweight="1.2pt">
          <v:shadow color="#868686"/>
        </v:shape>
      </w:pict>
    </w:r>
    <w:r>
      <w:rPr>
        <w:rFonts w:cs="AF_Najed" w:hint="cs"/>
        <w:noProof/>
        <w:sz w:val="30"/>
        <w:szCs w:val="30"/>
        <w:rtl/>
      </w:rPr>
      <w:t>الفصل الثاني: الفقه الإسلامي وقضايا المرأة، محاولات في النقد والتجديد</w:t>
    </w:r>
    <w:r w:rsidRPr="005736A9">
      <w:rPr>
        <w:rFonts w:hint="cs"/>
        <w:sz w:val="20"/>
        <w:szCs w:val="20"/>
        <w:rtl/>
      </w:rPr>
      <w:tab/>
    </w:r>
    <w:fldSimple w:instr=" PAGE   \* MERGEFORMAT ">
      <w:r>
        <w:rPr>
          <w:noProof/>
          <w:rtl/>
        </w:rPr>
        <w:t>379</w:t>
      </w:r>
    </w:fldSimple>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32EF1" w:rsidRDefault="0071680A" w:rsidP="00E32EF1">
    <w:pPr>
      <w:pStyle w:val="Header"/>
      <w:rPr>
        <w:szCs w:val="24"/>
        <w:rtl/>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32EF1" w:rsidRDefault="0071680A" w:rsidP="00E32EF1">
    <w:pPr>
      <w:pStyle w:val="Header"/>
      <w:rPr>
        <w:szCs w:val="24"/>
        <w:rtl/>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8B618B">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29" type="#_x0000_t32" style="position:absolute;left:0;text-align:left;margin-left:.55pt;margin-top:20.65pt;width:368.5pt;height:0;z-index:251787776" o:connectortype="straight" strokeweight="1.2pt">
          <v:shadow color="#868686"/>
        </v:shape>
      </w:pict>
    </w:r>
    <w:fldSimple w:instr=" PAGE   \* MERGEFORMAT ">
      <w:r>
        <w:rPr>
          <w:noProof/>
          <w:rtl/>
        </w:rPr>
        <w:t>382</w:t>
      </w:r>
    </w:fldSimple>
    <w:r>
      <w:rPr>
        <w:rFonts w:hint="cs"/>
        <w:rtl/>
      </w:rPr>
      <w:tab/>
    </w:r>
    <w:r>
      <w:rPr>
        <w:rFonts w:cs="AF_Najed" w:hint="cs"/>
        <w:noProof/>
        <w:sz w:val="30"/>
        <w:szCs w:val="30"/>
        <w:rtl/>
      </w:rPr>
      <w:t>المرأة في الفكر الإسلامي المعاصر، قضايا وإشكاليات</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Default="0071680A" w:rsidP="00E507AC">
    <w:pPr>
      <w:tabs>
        <w:tab w:val="right" w:leader="dot" w:pos="7370"/>
      </w:tabs>
      <w:spacing w:line="264" w:lineRule="auto"/>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51" type="#_x0000_t32" style="position:absolute;left:0;text-align:left;margin-left:.55pt;margin-top:20.65pt;width:368.5pt;height:0;z-index:251830784" o:connectortype="straight" strokeweight="1.2pt">
          <v:shadow color="#868686"/>
        </v:shape>
      </w:pict>
    </w:r>
    <w:r>
      <w:rPr>
        <w:rFonts w:cs="AF_Najed" w:hint="cs"/>
        <w:noProof/>
        <w:sz w:val="30"/>
        <w:szCs w:val="30"/>
        <w:rtl/>
      </w:rPr>
      <w:t>الفصل الثاني: الفقه الإسلامي وقضايا المرأة، محاولات في النقد والتجديد</w:t>
    </w:r>
    <w:r w:rsidRPr="005736A9">
      <w:rPr>
        <w:rFonts w:hint="cs"/>
        <w:sz w:val="20"/>
        <w:szCs w:val="20"/>
        <w:rtl/>
      </w:rPr>
      <w:tab/>
    </w:r>
    <w:fldSimple w:instr=" PAGE   \* MERGEFORMAT ">
      <w:r>
        <w:rPr>
          <w:noProof/>
          <w:rtl/>
        </w:rPr>
        <w:t>383</w:t>
      </w:r>
    </w:fldSimple>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8B618B">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72" type="#_x0000_t32" style="position:absolute;left:0;text-align:left;margin-left:.55pt;margin-top:20.65pt;width:368.5pt;height:0;z-index:251865600" o:connectortype="straight" strokeweight="1.2pt">
          <v:shadow color="#868686"/>
        </v:shape>
      </w:pict>
    </w:r>
    <w:fldSimple w:instr=" PAGE   \* MERGEFORMAT ">
      <w:r>
        <w:rPr>
          <w:noProof/>
          <w:rtl/>
        </w:rPr>
        <w:t>422</w:t>
      </w:r>
    </w:fldSimple>
    <w:r>
      <w:rPr>
        <w:rFonts w:hint="cs"/>
        <w:rtl/>
      </w:rPr>
      <w:tab/>
    </w:r>
    <w:r>
      <w:rPr>
        <w:rFonts w:cs="AF_Najed" w:hint="cs"/>
        <w:noProof/>
        <w:sz w:val="30"/>
        <w:szCs w:val="30"/>
        <w:rtl/>
      </w:rPr>
      <w:t>المرأة في الفكر الإسلامي المعاصر، قضايا وإشكاليات</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F64660" w:rsidRDefault="0071680A" w:rsidP="00F64660">
    <w:pPr>
      <w:pStyle w:val="Header"/>
      <w:rPr>
        <w:szCs w:val="24"/>
        <w:rtl/>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Default="0071680A" w:rsidP="00E507AC">
    <w:pPr>
      <w:tabs>
        <w:tab w:val="right" w:leader="dot" w:pos="7370"/>
      </w:tabs>
      <w:spacing w:line="264" w:lineRule="auto"/>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73" type="#_x0000_t32" style="position:absolute;left:0;text-align:left;margin-left:.55pt;margin-top:20.65pt;width:368.5pt;height:0;z-index:251867648" o:connectortype="straight" strokeweight="1.2pt">
          <v:shadow color="#868686"/>
        </v:shape>
      </w:pict>
    </w:r>
    <w:r>
      <w:rPr>
        <w:rFonts w:cs="AF_Najed" w:hint="cs"/>
        <w:noProof/>
        <w:sz w:val="30"/>
        <w:szCs w:val="30"/>
        <w:rtl/>
      </w:rPr>
      <w:t>الفصل الثاني: الفقه الإسلامي وقضايا المرأة، محاولات في النقد والتجديد</w:t>
    </w:r>
    <w:r w:rsidRPr="005736A9">
      <w:rPr>
        <w:rFonts w:hint="cs"/>
        <w:sz w:val="20"/>
        <w:szCs w:val="20"/>
        <w:rtl/>
      </w:rPr>
      <w:tab/>
    </w:r>
    <w:fldSimple w:instr=" PAGE   \* MERGEFORMAT ">
      <w:r>
        <w:rPr>
          <w:noProof/>
          <w:rtl/>
        </w:rPr>
        <w:t>421</w:t>
      </w:r>
    </w:fldSimple>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E06ED" w:rsidRDefault="0071680A" w:rsidP="00EE06ED">
    <w:pPr>
      <w:pStyle w:val="Header"/>
      <w:rPr>
        <w:szCs w:val="24"/>
        <w:rtl/>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8B618B">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33" type="#_x0000_t32" style="position:absolute;left:0;text-align:left;margin-left:.55pt;margin-top:20.65pt;width:368.5pt;height:0;z-index:251793920" o:connectortype="straight" strokeweight="1.2pt">
          <v:shadow color="#868686"/>
        </v:shape>
      </w:pict>
    </w:r>
    <w:fldSimple w:instr=" PAGE   \* MERGEFORMAT ">
      <w:r>
        <w:rPr>
          <w:noProof/>
          <w:rtl/>
        </w:rPr>
        <w:t>438</w:t>
      </w:r>
    </w:fldSimple>
    <w:r>
      <w:rPr>
        <w:rFonts w:hint="cs"/>
        <w:rtl/>
      </w:rPr>
      <w:tab/>
    </w:r>
    <w:r>
      <w:rPr>
        <w:rFonts w:cs="AF_Najed" w:hint="cs"/>
        <w:noProof/>
        <w:sz w:val="30"/>
        <w:szCs w:val="30"/>
        <w:rtl/>
      </w:rPr>
      <w:t>المرأة في الفكر الإسلامي المعاصر، قضايا وإشكاليات</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Default="0071680A" w:rsidP="00E507AC">
    <w:pPr>
      <w:tabs>
        <w:tab w:val="right" w:leader="dot" w:pos="7370"/>
      </w:tabs>
      <w:spacing w:line="264" w:lineRule="auto"/>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52" type="#_x0000_t32" style="position:absolute;left:0;text-align:left;margin-left:.55pt;margin-top:20.65pt;width:368.5pt;height:0;z-index:251832832" o:connectortype="straight" strokeweight="1.2pt">
          <v:shadow color="#868686"/>
        </v:shape>
      </w:pict>
    </w:r>
    <w:r>
      <w:rPr>
        <w:rFonts w:cs="AF_Najed" w:hint="cs"/>
        <w:noProof/>
        <w:sz w:val="30"/>
        <w:szCs w:val="30"/>
        <w:rtl/>
      </w:rPr>
      <w:t>الفصل الثاني: الفقه الإسلامي وقضايا المرأة، محاولات في النقد والتجديد</w:t>
    </w:r>
    <w:r w:rsidRPr="005736A9">
      <w:rPr>
        <w:rFonts w:hint="cs"/>
        <w:sz w:val="20"/>
        <w:szCs w:val="20"/>
        <w:rtl/>
      </w:rPr>
      <w:tab/>
    </w:r>
    <w:fldSimple w:instr=" PAGE   \* MERGEFORMAT ">
      <w:r>
        <w:rPr>
          <w:noProof/>
          <w:rtl/>
        </w:rPr>
        <w:t>437</w:t>
      </w:r>
    </w:fldSimple>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E06ED" w:rsidRDefault="0071680A" w:rsidP="00EE06ED">
    <w:pPr>
      <w:pStyle w:val="Header"/>
      <w:rPr>
        <w:szCs w:val="24"/>
        <w:rtl/>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E06ED" w:rsidRDefault="0071680A" w:rsidP="00EE06ED">
    <w:pPr>
      <w:pStyle w:val="Header"/>
      <w:rPr>
        <w:szCs w:val="24"/>
        <w:rtl/>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8B618B">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37" type="#_x0000_t32" style="position:absolute;left:0;text-align:left;margin-left:.55pt;margin-top:20.65pt;width:368.5pt;height:0;z-index:251802112" o:connectortype="straight" strokeweight="1.2pt">
          <v:shadow color="#868686"/>
        </v:shape>
      </w:pict>
    </w:r>
    <w:fldSimple w:instr=" PAGE   \* MERGEFORMAT ">
      <w:r>
        <w:rPr>
          <w:noProof/>
          <w:rtl/>
        </w:rPr>
        <w:t>460</w:t>
      </w:r>
    </w:fldSimple>
    <w:r>
      <w:rPr>
        <w:rFonts w:hint="cs"/>
        <w:rtl/>
      </w:rPr>
      <w:tab/>
    </w:r>
    <w:r>
      <w:rPr>
        <w:rFonts w:cs="AF_Najed" w:hint="cs"/>
        <w:noProof/>
        <w:sz w:val="30"/>
        <w:szCs w:val="30"/>
        <w:rtl/>
      </w:rPr>
      <w:t>المرأة في الفكر الإسلامي المعاصر، قضايا وإشكاليات</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Default="0071680A" w:rsidP="00E507AC">
    <w:pPr>
      <w:tabs>
        <w:tab w:val="right" w:leader="dot" w:pos="7370"/>
      </w:tabs>
      <w:spacing w:line="264" w:lineRule="auto"/>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53" type="#_x0000_t32" style="position:absolute;left:0;text-align:left;margin-left:.55pt;margin-top:20.65pt;width:368.5pt;height:0;z-index:251834880" o:connectortype="straight" strokeweight="1.2pt">
          <v:shadow color="#868686"/>
        </v:shape>
      </w:pict>
    </w:r>
    <w:r>
      <w:rPr>
        <w:rFonts w:cs="AF_Najed" w:hint="cs"/>
        <w:noProof/>
        <w:sz w:val="30"/>
        <w:szCs w:val="30"/>
        <w:rtl/>
      </w:rPr>
      <w:t>الفصل الثاني: الفقه الإسلامي وقضايا المرأة، محاولات في النقد والتجديد</w:t>
    </w:r>
    <w:r w:rsidRPr="005736A9">
      <w:rPr>
        <w:rFonts w:hint="cs"/>
        <w:sz w:val="20"/>
        <w:szCs w:val="20"/>
        <w:rtl/>
      </w:rPr>
      <w:tab/>
    </w:r>
    <w:fldSimple w:instr=" PAGE   \* MERGEFORMAT ">
      <w:r>
        <w:rPr>
          <w:noProof/>
          <w:rtl/>
        </w:rPr>
        <w:t>461</w:t>
      </w:r>
    </w:fldSimple>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D063EC" w:rsidRDefault="0071680A" w:rsidP="00D063EC">
    <w:pPr>
      <w:pStyle w:val="Header"/>
      <w:rPr>
        <w:szCs w:val="24"/>
        <w:rtl/>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E06ED" w:rsidRDefault="0071680A" w:rsidP="00EE06ED">
    <w:pPr>
      <w:pStyle w:val="Header"/>
      <w:rPr>
        <w:szCs w:val="24"/>
        <w:rtl/>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F64660">
    <w:pPr>
      <w:tabs>
        <w:tab w:val="right" w:leader="dot" w:pos="7370"/>
      </w:tabs>
      <w:spacing w:line="264" w:lineRule="auto"/>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688" type="#_x0000_t32" style="position:absolute;left:0;text-align:left;margin-left:.55pt;margin-top:21.75pt;width:368.5pt;height:0;z-index:251726336" o:connectortype="straight" strokeweight="1.2pt">
          <v:shadow color="#868686"/>
        </v:shape>
      </w:pict>
    </w:r>
    <w:fldSimple w:instr=" PAGE   \* MERGEFORMAT ">
      <w:r>
        <w:rPr>
          <w:noProof/>
          <w:rtl/>
        </w:rPr>
        <w:t>34</w:t>
      </w:r>
    </w:fldSimple>
    <w:r>
      <w:rPr>
        <w:rFonts w:hint="cs"/>
        <w:rtl/>
      </w:rPr>
      <w:tab/>
    </w:r>
    <w:r>
      <w:rPr>
        <w:rFonts w:cs="AF_Najed" w:hint="cs"/>
        <w:noProof/>
        <w:sz w:val="30"/>
        <w:szCs w:val="30"/>
        <w:rtl/>
      </w:rPr>
      <w:t>المرأة في الفكر الإسلامي المعاصر، قضايا وإشكاليات</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8B618B">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40" type="#_x0000_t32" style="position:absolute;left:0;text-align:left;margin-left:.55pt;margin-top:20.65pt;width:368.5pt;height:0;z-index:251808256" o:connectortype="straight" strokeweight="1.2pt">
          <v:shadow color="#868686"/>
        </v:shape>
      </w:pict>
    </w:r>
    <w:fldSimple w:instr=" PAGE   \* MERGEFORMAT ">
      <w:r>
        <w:rPr>
          <w:noProof/>
          <w:rtl/>
        </w:rPr>
        <w:t>492</w:t>
      </w:r>
    </w:fldSimple>
    <w:r>
      <w:rPr>
        <w:rFonts w:hint="cs"/>
        <w:rtl/>
      </w:rPr>
      <w:tab/>
    </w:r>
    <w:r>
      <w:rPr>
        <w:rFonts w:cs="AF_Najed" w:hint="cs"/>
        <w:noProof/>
        <w:sz w:val="30"/>
        <w:szCs w:val="30"/>
        <w:rtl/>
      </w:rPr>
      <w:t>المرأة في الفكر الإسلامي المعاصر، قضايا وإشكاليات</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Default="0071680A" w:rsidP="00E507AC">
    <w:pPr>
      <w:tabs>
        <w:tab w:val="right" w:leader="dot" w:pos="7370"/>
      </w:tabs>
      <w:spacing w:line="264" w:lineRule="auto"/>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54" type="#_x0000_t32" style="position:absolute;left:0;text-align:left;margin-left:.55pt;margin-top:20.65pt;width:368.5pt;height:0;z-index:251836928" o:connectortype="straight" strokeweight="1.2pt">
          <v:shadow color="#868686"/>
        </v:shape>
      </w:pict>
    </w:r>
    <w:r>
      <w:rPr>
        <w:rFonts w:cs="AF_Najed" w:hint="cs"/>
        <w:noProof/>
        <w:sz w:val="30"/>
        <w:szCs w:val="30"/>
        <w:rtl/>
      </w:rPr>
      <w:t>الفصل الثاني: الفقه الإسلامي وقضايا المرأة، محاولات في النقد والتجديد</w:t>
    </w:r>
    <w:r w:rsidRPr="005736A9">
      <w:rPr>
        <w:rFonts w:hint="cs"/>
        <w:sz w:val="20"/>
        <w:szCs w:val="20"/>
        <w:rtl/>
      </w:rPr>
      <w:tab/>
    </w:r>
    <w:fldSimple w:instr=" PAGE   \* MERGEFORMAT ">
      <w:r>
        <w:rPr>
          <w:noProof/>
          <w:rtl/>
        </w:rPr>
        <w:t>491</w:t>
      </w:r>
    </w:fldSimple>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C2F04" w:rsidRDefault="0071680A" w:rsidP="00EC2F04">
    <w:pPr>
      <w:pStyle w:val="Header"/>
      <w:rPr>
        <w:szCs w:val="24"/>
        <w:rtl/>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C2F04" w:rsidRDefault="0071680A" w:rsidP="00EC2F04">
    <w:pPr>
      <w:pStyle w:val="Header"/>
      <w:rPr>
        <w:szCs w:val="24"/>
        <w:rtl/>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A96318" w:rsidRDefault="0071680A" w:rsidP="00A96318">
    <w:pPr>
      <w:pStyle w:val="Header"/>
      <w:rPr>
        <w:szCs w:val="24"/>
        <w:rtl/>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4E612C">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551" type="#_x0000_t32" style="position:absolute;left:0;text-align:left;margin-left:.55pt;margin-top:20.65pt;width:368.5pt;height:0;z-index:251652608" o:connectortype="straight" strokeweight="1.2pt">
          <v:shadow color="#868686"/>
        </v:shape>
      </w:pict>
    </w:r>
    <w:fldSimple w:instr=" PAGE   \* MERGEFORMAT ">
      <w:r>
        <w:rPr>
          <w:noProof/>
          <w:rtl/>
        </w:rPr>
        <w:t>244</w:t>
      </w:r>
    </w:fldSimple>
    <w:r>
      <w:rPr>
        <w:rFonts w:hint="cs"/>
        <w:rtl/>
      </w:rPr>
      <w:tab/>
    </w:r>
    <w:r>
      <w:rPr>
        <w:rFonts w:cs="AF_Najed" w:hint="cs"/>
        <w:noProof/>
        <w:sz w:val="30"/>
        <w:szCs w:val="30"/>
        <w:rtl/>
      </w:rPr>
      <w:t>أسلمة العلوم وقضايا العلاقة بين الحوزة والجامعة</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Default="0071680A" w:rsidP="005E1F10">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552" type="#_x0000_t32" style="position:absolute;left:0;text-align:left;margin-left:.55pt;margin-top:20.65pt;width:368.5pt;height:0;z-index:251653632" o:connectortype="straight" strokeweight="1.2pt">
          <v:shadow color="#868686"/>
        </v:shape>
      </w:pict>
    </w:r>
    <w:r>
      <w:rPr>
        <w:rFonts w:cs="AF_Najed" w:hint="cs"/>
        <w:noProof/>
        <w:sz w:val="30"/>
        <w:szCs w:val="30"/>
        <w:rtl/>
      </w:rPr>
      <w:t>الفصل الثالث: المؤسسة الدينية، تحديات التجديد ومعوقات التقدم</w:t>
    </w:r>
    <w:r w:rsidRPr="005736A9">
      <w:rPr>
        <w:rFonts w:hint="cs"/>
        <w:sz w:val="20"/>
        <w:szCs w:val="20"/>
        <w:rtl/>
      </w:rPr>
      <w:tab/>
    </w:r>
    <w:fldSimple w:instr=" PAGE   \* MERGEFORMAT ">
      <w:r>
        <w:rPr>
          <w:noProof/>
          <w:rtl/>
        </w:rPr>
        <w:t>245</w:t>
      </w:r>
    </w:fldSimple>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D87048">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585" type="#_x0000_t32" style="position:absolute;left:0;text-align:left;margin-left:.55pt;margin-top:20.65pt;width:368.5pt;height:0;z-index:251670016" o:connectortype="straight" strokeweight="1.2pt">
          <v:shadow color="#868686"/>
        </v:shape>
      </w:pict>
    </w:r>
    <w:fldSimple w:instr=" PAGE   \* MERGEFORMAT ">
      <w:r>
        <w:rPr>
          <w:noProof/>
          <w:rtl/>
        </w:rPr>
        <w:t>508</w:t>
      </w:r>
    </w:fldSimple>
    <w:r>
      <w:rPr>
        <w:rFonts w:hint="cs"/>
        <w:rtl/>
      </w:rPr>
      <w:tab/>
    </w:r>
    <w:r>
      <w:rPr>
        <w:rFonts w:cs="AF_Najed" w:hint="cs"/>
        <w:noProof/>
        <w:sz w:val="30"/>
        <w:szCs w:val="30"/>
        <w:rtl/>
      </w:rPr>
      <w:t>المرأة في الفكر الإسلامي المعاصر، قضايا وإشكاليات</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Default="0071680A" w:rsidP="00D87048">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584" type="#_x0000_t32" style="position:absolute;left:0;text-align:left;margin-left:.55pt;margin-top:20.65pt;width:368.5pt;height:0;z-index:251668992" o:connectortype="straight" strokeweight="1.2pt">
          <v:shadow color="#868686"/>
        </v:shape>
      </w:pict>
    </w:r>
    <w:r>
      <w:rPr>
        <w:rFonts w:cs="AF_Najed" w:hint="cs"/>
        <w:noProof/>
        <w:sz w:val="30"/>
        <w:szCs w:val="30"/>
        <w:rtl/>
      </w:rPr>
      <w:t>الفصل الثالث: المرأة والقضايا الاجتماعية والتربوية و...</w:t>
    </w:r>
    <w:r w:rsidRPr="005736A9">
      <w:rPr>
        <w:rFonts w:hint="cs"/>
        <w:sz w:val="20"/>
        <w:szCs w:val="20"/>
        <w:rtl/>
      </w:rPr>
      <w:tab/>
    </w:r>
    <w:fldSimple w:instr=" PAGE   \* MERGEFORMAT ">
      <w:r>
        <w:rPr>
          <w:noProof/>
          <w:rtl/>
        </w:rPr>
        <w:t>509</w:t>
      </w:r>
    </w:fldSimple>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9368DE" w:rsidRDefault="0071680A" w:rsidP="009368DE">
    <w:pPr>
      <w:pStyle w:val="Header"/>
      <w:rPr>
        <w:szCs w:val="24"/>
        <w:rtl/>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F64660">
    <w:pPr>
      <w:tabs>
        <w:tab w:val="right" w:leader="dot" w:pos="7370"/>
      </w:tabs>
      <w:spacing w:line="264" w:lineRule="auto"/>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689" type="#_x0000_t32" style="position:absolute;left:0;text-align:left;margin-left:.55pt;margin-top:21.75pt;width:368.5pt;height:0;z-index:251728384" o:connectortype="straight" strokeweight="1.2pt">
          <v:shadow color="#868686"/>
        </v:shape>
      </w:pict>
    </w:r>
    <w:r>
      <w:rPr>
        <w:rFonts w:cs="AF_Najed" w:hint="cs"/>
        <w:noProof/>
        <w:sz w:val="30"/>
        <w:szCs w:val="30"/>
        <w:rtl/>
      </w:rPr>
      <w:t>الفصل الأول: مقاربات فلسفية وعرفانية لقضايا المرأة</w:t>
    </w:r>
    <w:r>
      <w:rPr>
        <w:rFonts w:cs="AF_Najed" w:hint="cs"/>
        <w:noProof/>
        <w:sz w:val="30"/>
        <w:szCs w:val="30"/>
        <w:rtl/>
      </w:rPr>
      <w:tab/>
    </w:r>
    <w:fldSimple w:instr=" PAGE   \* MERGEFORMAT ">
      <w:r>
        <w:rPr>
          <w:noProof/>
          <w:rtl/>
        </w:rPr>
        <w:t>33</w:t>
      </w:r>
    </w:fldSimple>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9368DE" w:rsidRDefault="0071680A" w:rsidP="009368DE">
    <w:pPr>
      <w:pStyle w:val="Header"/>
      <w:rPr>
        <w:szCs w:val="24"/>
        <w:rtl/>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D87048">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76" type="#_x0000_t32" style="position:absolute;left:0;text-align:left;margin-left:.55pt;margin-top:20.65pt;width:368.5pt;height:0;z-index:251871744" o:connectortype="straight" strokeweight="1.2pt">
          <v:shadow color="#868686"/>
        </v:shape>
      </w:pict>
    </w:r>
    <w:fldSimple w:instr=" PAGE   \* MERGEFORMAT ">
      <w:r>
        <w:rPr>
          <w:noProof/>
          <w:rtl/>
        </w:rPr>
        <w:t>530</w:t>
      </w:r>
    </w:fldSimple>
    <w:r>
      <w:rPr>
        <w:rFonts w:hint="cs"/>
        <w:rtl/>
      </w:rPr>
      <w:tab/>
    </w:r>
    <w:r>
      <w:rPr>
        <w:rFonts w:cs="AF_Najed" w:hint="cs"/>
        <w:noProof/>
        <w:sz w:val="30"/>
        <w:szCs w:val="30"/>
        <w:rtl/>
      </w:rPr>
      <w:t>المرأة في الفكر الإسلامي المعاصر، قضايا وإشكاليات</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Default="0071680A" w:rsidP="00D87048">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77" type="#_x0000_t32" style="position:absolute;left:0;text-align:left;margin-left:.55pt;margin-top:20.65pt;width:368.5pt;height:0;z-index:251873792" o:connectortype="straight" strokeweight="1.2pt">
          <v:shadow color="#868686"/>
        </v:shape>
      </w:pict>
    </w:r>
    <w:r>
      <w:rPr>
        <w:rFonts w:cs="AF_Najed" w:hint="cs"/>
        <w:noProof/>
        <w:sz w:val="30"/>
        <w:szCs w:val="30"/>
        <w:rtl/>
      </w:rPr>
      <w:t>الفصل الثالث: المرأة والقضايا الاجتماعية والتربوية و...</w:t>
    </w:r>
    <w:r w:rsidRPr="005736A9">
      <w:rPr>
        <w:rFonts w:hint="cs"/>
        <w:sz w:val="20"/>
        <w:szCs w:val="20"/>
        <w:rtl/>
      </w:rPr>
      <w:tab/>
    </w:r>
    <w:fldSimple w:instr=" PAGE   \* MERGEFORMAT ">
      <w:r>
        <w:rPr>
          <w:noProof/>
          <w:rtl/>
        </w:rPr>
        <w:t>531</w:t>
      </w:r>
    </w:fldSimple>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9368DE" w:rsidRDefault="0071680A" w:rsidP="009368DE">
    <w:pPr>
      <w:pStyle w:val="Header"/>
      <w:rPr>
        <w:szCs w:val="24"/>
        <w:rtl/>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D87048" w:rsidRDefault="0071680A" w:rsidP="00D87048">
    <w:pPr>
      <w:pStyle w:val="Header"/>
      <w:rPr>
        <w:szCs w:val="24"/>
        <w:rtl/>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D87048">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58" type="#_x0000_t32" style="position:absolute;left:0;text-align:left;margin-left:.55pt;margin-top:20.65pt;width:368.5pt;height:0;z-index:251843072" o:connectortype="straight" strokeweight="1.2pt">
          <v:shadow color="#868686"/>
        </v:shape>
      </w:pict>
    </w:r>
    <w:fldSimple w:instr=" PAGE   \* MERGEFORMAT ">
      <w:r>
        <w:rPr>
          <w:noProof/>
          <w:rtl/>
        </w:rPr>
        <w:t>554</w:t>
      </w:r>
    </w:fldSimple>
    <w:r>
      <w:rPr>
        <w:rFonts w:hint="cs"/>
        <w:rtl/>
      </w:rPr>
      <w:tab/>
    </w:r>
    <w:r>
      <w:rPr>
        <w:rFonts w:cs="AF_Najed" w:hint="cs"/>
        <w:noProof/>
        <w:sz w:val="30"/>
        <w:szCs w:val="30"/>
        <w:rtl/>
      </w:rPr>
      <w:t>المرأة في الفكر الإسلامي المعاصر، قضايا وإشكاليات</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Default="0071680A" w:rsidP="00D87048">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59" type="#_x0000_t32" style="position:absolute;left:0;text-align:left;margin-left:.55pt;margin-top:20.65pt;width:368.5pt;height:0;z-index:251845120" o:connectortype="straight" strokeweight="1.2pt">
          <v:shadow color="#868686"/>
        </v:shape>
      </w:pict>
    </w:r>
    <w:r>
      <w:rPr>
        <w:rFonts w:cs="AF_Najed" w:hint="cs"/>
        <w:noProof/>
        <w:sz w:val="30"/>
        <w:szCs w:val="30"/>
        <w:rtl/>
      </w:rPr>
      <w:t>الفصل الثالث: المرأة والقضايا الاجتماعية والتربوية و...</w:t>
    </w:r>
    <w:r w:rsidRPr="005736A9">
      <w:rPr>
        <w:rFonts w:hint="cs"/>
        <w:sz w:val="20"/>
        <w:szCs w:val="20"/>
        <w:rtl/>
      </w:rPr>
      <w:tab/>
    </w:r>
    <w:fldSimple w:instr=" PAGE   \* MERGEFORMAT ">
      <w:r>
        <w:rPr>
          <w:noProof/>
          <w:rtl/>
        </w:rPr>
        <w:t>553</w:t>
      </w:r>
    </w:fldSimple>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D87048">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80" type="#_x0000_t32" style="position:absolute;left:0;text-align:left;margin-left:.55pt;margin-top:20.65pt;width:368.5pt;height:0;z-index:251877888" o:connectortype="straight" strokeweight="1.2pt">
          <v:shadow color="#868686"/>
        </v:shape>
      </w:pict>
    </w:r>
    <w:fldSimple w:instr=" PAGE   \* MERGEFORMAT ">
      <w:r>
        <w:rPr>
          <w:noProof/>
          <w:rtl/>
        </w:rPr>
        <w:t>556</w:t>
      </w:r>
    </w:fldSimple>
    <w:r>
      <w:rPr>
        <w:rFonts w:hint="cs"/>
        <w:rtl/>
      </w:rPr>
      <w:tab/>
    </w:r>
    <w:r>
      <w:rPr>
        <w:rFonts w:cs="AF_Najed" w:hint="cs"/>
        <w:noProof/>
        <w:sz w:val="30"/>
        <w:szCs w:val="30"/>
        <w:rtl/>
      </w:rPr>
      <w:t>المرأة في الفكر الإسلامي المعاصر، قضايا وإشكاليات</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A731E2" w:rsidRDefault="0071680A" w:rsidP="00A731E2">
    <w:pPr>
      <w:pStyle w:val="Header"/>
      <w:rPr>
        <w:szCs w:val="24"/>
        <w:rtl/>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80A" w:rsidRPr="00EA348C" w:rsidRDefault="0071680A" w:rsidP="00D87048">
    <w:pPr>
      <w:tabs>
        <w:tab w:val="right" w:leader="dot" w:pos="7371"/>
      </w:tabs>
      <w:ind w:firstLine="0"/>
      <w:rPr>
        <w:rtl/>
      </w:rPr>
    </w:pPr>
    <w:r w:rsidRPr="00A6422F">
      <w:rPr>
        <w:rFonts w:cs="AF_Najed"/>
        <w:noProof/>
        <w:sz w:val="30"/>
        <w:szCs w:val="30"/>
        <w:rtl/>
      </w:rPr>
      <w:pict>
        <v:shapetype id="_x0000_t32" coordsize="21600,21600" o:spt="32" o:oned="t" path="m,l21600,21600e" filled="f">
          <v:path arrowok="t" fillok="f" o:connecttype="none"/>
          <o:lock v:ext="edit" shapetype="t"/>
        </v:shapetype>
        <v:shape id="_x0000_s2781" type="#_x0000_t32" style="position:absolute;left:0;text-align:left;margin-left:.55pt;margin-top:20.65pt;width:368.5pt;height:0;z-index:251879936" o:connectortype="straight" strokeweight="1.2pt">
          <v:shadow color="#868686"/>
        </v:shape>
      </w:pict>
    </w:r>
    <w:fldSimple w:instr=" PAGE   \* MERGEFORMAT ">
      <w:r>
        <w:rPr>
          <w:noProof/>
          <w:rtl/>
        </w:rPr>
        <w:t>564</w:t>
      </w:r>
    </w:fldSimple>
    <w:r>
      <w:rPr>
        <w:rFonts w:hint="cs"/>
        <w:rtl/>
      </w:rPr>
      <w:tab/>
    </w:r>
    <w:r>
      <w:rPr>
        <w:rFonts w:cs="AF_Najed" w:hint="cs"/>
        <w:noProof/>
        <w:sz w:val="30"/>
        <w:szCs w:val="30"/>
        <w:rtl/>
      </w:rPr>
      <w:t>المرأة في الفكر الإسلامي المعاصر، قضايا وإشكاليات</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FBA54E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3BCF55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558625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F1A28D34"/>
    <w:lvl w:ilvl="0">
      <w:start w:val="1"/>
      <w:numFmt w:val="decimal"/>
      <w:pStyle w:val="ListNumber2"/>
      <w:lvlText w:val="%1."/>
      <w:lvlJc w:val="left"/>
      <w:pPr>
        <w:tabs>
          <w:tab w:val="num" w:pos="720"/>
        </w:tabs>
        <w:ind w:left="720" w:hanging="360"/>
      </w:pPr>
    </w:lvl>
  </w:abstractNum>
  <w:abstractNum w:abstractNumId="4">
    <w:nsid w:val="FFFFFF80"/>
    <w:multiLevelType w:val="singleLevel"/>
    <w:tmpl w:val="9924622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D3C4FE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CF82D0E"/>
    <w:lvl w:ilvl="0">
      <w:start w:val="1"/>
      <w:numFmt w:val="decimal"/>
      <w:pStyle w:val="ListNumber"/>
      <w:lvlText w:val="%1."/>
      <w:lvlJc w:val="left"/>
      <w:pPr>
        <w:tabs>
          <w:tab w:val="num" w:pos="360"/>
        </w:tabs>
        <w:ind w:left="360" w:hanging="360"/>
      </w:pPr>
    </w:lvl>
  </w:abstractNum>
  <w:abstractNum w:abstractNumId="9">
    <w:nsid w:val="FFFFFF89"/>
    <w:multiLevelType w:val="singleLevel"/>
    <w:tmpl w:val="2D9288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A3A654C"/>
    <w:multiLevelType w:val="multilevel"/>
    <w:tmpl w:val="9134E892"/>
    <w:styleLink w:val="fgdsgfdfd"/>
    <w:lvl w:ilvl="0">
      <w:start w:val="1"/>
      <w:numFmt w:val="bullet"/>
      <w:lvlText w:val=""/>
      <w:lvlJc w:val="left"/>
      <w:pPr>
        <w:ind w:left="851" w:hanging="369"/>
      </w:pPr>
      <w:rPr>
        <w:rFonts w:ascii="Wingdings" w:hAnsi="Wingdings" w:cs="Times New Roman" w:hint="default"/>
        <w:color w:val="auto"/>
        <w:szCs w:val="28"/>
      </w:rPr>
    </w:lvl>
    <w:lvl w:ilvl="1">
      <w:start w:val="1"/>
      <w:numFmt w:val="lowerLetter"/>
      <w:lvlText w:val="%2)"/>
      <w:lvlJc w:val="left"/>
      <w:pPr>
        <w:ind w:left="1702" w:hanging="369"/>
      </w:pPr>
      <w:rPr>
        <w:rFonts w:hint="default"/>
      </w:rPr>
    </w:lvl>
    <w:lvl w:ilvl="2">
      <w:start w:val="1"/>
      <w:numFmt w:val="lowerRoman"/>
      <w:lvlText w:val="%3)"/>
      <w:lvlJc w:val="left"/>
      <w:pPr>
        <w:ind w:left="2553" w:hanging="369"/>
      </w:pPr>
      <w:rPr>
        <w:rFonts w:hint="default"/>
      </w:rPr>
    </w:lvl>
    <w:lvl w:ilvl="3">
      <w:start w:val="1"/>
      <w:numFmt w:val="decimal"/>
      <w:lvlText w:val="(%4)"/>
      <w:lvlJc w:val="left"/>
      <w:pPr>
        <w:ind w:left="3404" w:hanging="369"/>
      </w:pPr>
      <w:rPr>
        <w:rFonts w:hint="default"/>
      </w:rPr>
    </w:lvl>
    <w:lvl w:ilvl="4">
      <w:start w:val="1"/>
      <w:numFmt w:val="lowerLetter"/>
      <w:lvlText w:val="(%5)"/>
      <w:lvlJc w:val="left"/>
      <w:pPr>
        <w:ind w:left="4255" w:hanging="369"/>
      </w:pPr>
      <w:rPr>
        <w:rFonts w:hint="default"/>
      </w:rPr>
    </w:lvl>
    <w:lvl w:ilvl="5">
      <w:start w:val="1"/>
      <w:numFmt w:val="lowerRoman"/>
      <w:lvlText w:val="(%6)"/>
      <w:lvlJc w:val="left"/>
      <w:pPr>
        <w:ind w:left="5106" w:hanging="369"/>
      </w:pPr>
      <w:rPr>
        <w:rFonts w:hint="default"/>
      </w:rPr>
    </w:lvl>
    <w:lvl w:ilvl="6">
      <w:start w:val="1"/>
      <w:numFmt w:val="decimal"/>
      <w:lvlText w:val="%7."/>
      <w:lvlJc w:val="left"/>
      <w:pPr>
        <w:ind w:left="5957" w:hanging="369"/>
      </w:pPr>
      <w:rPr>
        <w:rFonts w:hint="default"/>
      </w:rPr>
    </w:lvl>
    <w:lvl w:ilvl="7">
      <w:start w:val="1"/>
      <w:numFmt w:val="lowerLetter"/>
      <w:lvlText w:val="%8."/>
      <w:lvlJc w:val="left"/>
      <w:pPr>
        <w:ind w:left="6808" w:hanging="369"/>
      </w:pPr>
      <w:rPr>
        <w:rFonts w:hint="default"/>
      </w:rPr>
    </w:lvl>
    <w:lvl w:ilvl="8">
      <w:start w:val="1"/>
      <w:numFmt w:val="lowerRoman"/>
      <w:lvlText w:val="%9."/>
      <w:lvlJc w:val="left"/>
      <w:pPr>
        <w:ind w:left="7659" w:hanging="369"/>
      </w:pPr>
      <w:rPr>
        <w:rFonts w:hint="default"/>
      </w:rPr>
    </w:lvl>
  </w:abstractNum>
  <w:abstractNum w:abstractNumId="11">
    <w:nsid w:val="1AD51C58"/>
    <w:multiLevelType w:val="multilevel"/>
    <w:tmpl w:val="7E0ABC90"/>
    <w:styleLink w:val="Style2"/>
    <w:lvl w:ilvl="0">
      <w:start w:val="1"/>
      <w:numFmt w:val="decimal"/>
      <w:lvlText w:val="%1ـ"/>
      <w:lvlJc w:val="left"/>
      <w:pPr>
        <w:ind w:left="851" w:hanging="284"/>
      </w:pPr>
      <w:rPr>
        <w:rFonts w:hint="default"/>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12">
    <w:nsid w:val="20F04948"/>
    <w:multiLevelType w:val="multilevel"/>
    <w:tmpl w:val="5CF484C2"/>
    <w:styleLink w:val="a"/>
    <w:lvl w:ilvl="0">
      <w:start w:val="1"/>
      <w:numFmt w:val="arabicAbjad"/>
      <w:lvlText w:val="%1)"/>
      <w:lvlJc w:val="center"/>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13">
    <w:nsid w:val="25C81C86"/>
    <w:multiLevelType w:val="multilevel"/>
    <w:tmpl w:val="2F02BE40"/>
    <w:styleLink w:val="Style1"/>
    <w:lvl w:ilvl="0">
      <w:start w:val="1"/>
      <w:numFmt w:val="decimal"/>
      <w:lvlText w:val="%1ـ"/>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14">
    <w:nsid w:val="2BA524F2"/>
    <w:multiLevelType w:val="multilevel"/>
    <w:tmpl w:val="2CFC3300"/>
    <w:styleLink w:val="ggsdfkfgsdgg"/>
    <w:lvl w:ilvl="0">
      <w:start w:val="1"/>
      <w:numFmt w:val="bullet"/>
      <w:lvlText w:val=""/>
      <w:lvlJc w:val="left"/>
      <w:pPr>
        <w:ind w:left="851" w:hanging="369"/>
      </w:pPr>
      <w:rPr>
        <w:rFonts w:ascii="Symbol" w:hAnsi="Symbol" w:cs="Times New Roman" w:hint="default"/>
        <w:color w:val="auto"/>
        <w:szCs w:val="28"/>
      </w:rPr>
    </w:lvl>
    <w:lvl w:ilvl="1">
      <w:start w:val="1"/>
      <w:numFmt w:val="lowerLetter"/>
      <w:lvlText w:val="%2)"/>
      <w:lvlJc w:val="left"/>
      <w:pPr>
        <w:ind w:left="1702" w:hanging="369"/>
      </w:pPr>
      <w:rPr>
        <w:rFonts w:hint="default"/>
      </w:rPr>
    </w:lvl>
    <w:lvl w:ilvl="2">
      <w:start w:val="1"/>
      <w:numFmt w:val="lowerRoman"/>
      <w:lvlText w:val="%3)"/>
      <w:lvlJc w:val="left"/>
      <w:pPr>
        <w:ind w:left="2553" w:hanging="369"/>
      </w:pPr>
      <w:rPr>
        <w:rFonts w:hint="default"/>
      </w:rPr>
    </w:lvl>
    <w:lvl w:ilvl="3">
      <w:start w:val="1"/>
      <w:numFmt w:val="decimal"/>
      <w:lvlText w:val="(%4)"/>
      <w:lvlJc w:val="left"/>
      <w:pPr>
        <w:ind w:left="3404" w:hanging="369"/>
      </w:pPr>
      <w:rPr>
        <w:rFonts w:hint="default"/>
      </w:rPr>
    </w:lvl>
    <w:lvl w:ilvl="4">
      <w:start w:val="1"/>
      <w:numFmt w:val="lowerLetter"/>
      <w:lvlText w:val="(%5)"/>
      <w:lvlJc w:val="left"/>
      <w:pPr>
        <w:ind w:left="4255" w:hanging="369"/>
      </w:pPr>
      <w:rPr>
        <w:rFonts w:hint="default"/>
      </w:rPr>
    </w:lvl>
    <w:lvl w:ilvl="5">
      <w:start w:val="1"/>
      <w:numFmt w:val="lowerRoman"/>
      <w:lvlText w:val="(%6)"/>
      <w:lvlJc w:val="left"/>
      <w:pPr>
        <w:ind w:left="5106" w:hanging="369"/>
      </w:pPr>
      <w:rPr>
        <w:rFonts w:hint="default"/>
      </w:rPr>
    </w:lvl>
    <w:lvl w:ilvl="6">
      <w:start w:val="1"/>
      <w:numFmt w:val="decimal"/>
      <w:lvlText w:val="%7."/>
      <w:lvlJc w:val="left"/>
      <w:pPr>
        <w:ind w:left="5957" w:hanging="369"/>
      </w:pPr>
      <w:rPr>
        <w:rFonts w:hint="default"/>
      </w:rPr>
    </w:lvl>
    <w:lvl w:ilvl="7">
      <w:start w:val="1"/>
      <w:numFmt w:val="lowerLetter"/>
      <w:lvlText w:val="%8."/>
      <w:lvlJc w:val="left"/>
      <w:pPr>
        <w:ind w:left="6808" w:hanging="369"/>
      </w:pPr>
      <w:rPr>
        <w:rFonts w:hint="default"/>
      </w:rPr>
    </w:lvl>
    <w:lvl w:ilvl="8">
      <w:start w:val="1"/>
      <w:numFmt w:val="lowerRoman"/>
      <w:lvlText w:val="%9."/>
      <w:lvlJc w:val="left"/>
      <w:pPr>
        <w:ind w:left="7659" w:hanging="369"/>
      </w:pPr>
      <w:rPr>
        <w:rFonts w:hint="default"/>
      </w:rPr>
    </w:lvl>
  </w:abstractNum>
  <w:abstractNum w:abstractNumId="15">
    <w:nsid w:val="2CC944B4"/>
    <w:multiLevelType w:val="multilevel"/>
    <w:tmpl w:val="B1BAA678"/>
    <w:styleLink w:val="dgjhg"/>
    <w:lvl w:ilvl="0">
      <w:start w:val="1"/>
      <w:numFmt w:val="decimal"/>
      <w:lvlText w:val="%1ـ"/>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16">
    <w:nsid w:val="2D392F24"/>
    <w:multiLevelType w:val="multilevel"/>
    <w:tmpl w:val="2F9605D0"/>
    <w:styleLink w:val="a0"/>
    <w:lvl w:ilvl="0">
      <w:start w:val="1"/>
      <w:numFmt w:val="decimal"/>
      <w:lvlText w:val="%1ـ"/>
      <w:lvlJc w:val="center"/>
      <w:pPr>
        <w:ind w:left="624" w:hanging="336"/>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17">
    <w:nsid w:val="2EFE767B"/>
    <w:multiLevelType w:val="hybridMultilevel"/>
    <w:tmpl w:val="2D404414"/>
    <w:lvl w:ilvl="0" w:tplc="CE705A44">
      <w:start w:val="1"/>
      <w:numFmt w:val="decimal"/>
      <w:pStyle w:val="a1"/>
      <w:lvlText w:val="%1ـ"/>
      <w:lvlJc w:val="center"/>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34002E36"/>
    <w:multiLevelType w:val="multilevel"/>
    <w:tmpl w:val="04090023"/>
    <w:styleLink w:val="ArticleSection"/>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9">
    <w:nsid w:val="39A76D46"/>
    <w:multiLevelType w:val="multilevel"/>
    <w:tmpl w:val="BDE45AA2"/>
    <w:styleLink w:val="a2"/>
    <w:lvl w:ilvl="0">
      <w:start w:val="1"/>
      <w:numFmt w:val="bullet"/>
      <w:lvlText w:val=""/>
      <w:lvlJc w:val="left"/>
      <w:pPr>
        <w:ind w:left="851" w:hanging="284"/>
      </w:pPr>
      <w:rPr>
        <w:rFonts w:ascii="Wingdings" w:hAnsi="Wingdings" w:cs="Times New Roman" w:hint="default"/>
        <w:color w:val="auto"/>
        <w:szCs w:val="28"/>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20">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21">
    <w:nsid w:val="44AB0669"/>
    <w:multiLevelType w:val="multilevel"/>
    <w:tmpl w:val="8684D71E"/>
    <w:styleLink w:val="a3"/>
    <w:lvl w:ilvl="0">
      <w:start w:val="1"/>
      <w:numFmt w:val="bullet"/>
      <w:lvlText w:val=""/>
      <w:lvlJc w:val="left"/>
      <w:pPr>
        <w:ind w:left="624" w:hanging="454"/>
      </w:pPr>
      <w:rPr>
        <w:rFonts w:ascii="Symbol" w:hAnsi="Symbol" w:cs="Times New Roman" w:hint="default"/>
        <w:color w:val="auto"/>
        <w:szCs w:val="28"/>
      </w:rPr>
    </w:lvl>
    <w:lvl w:ilvl="1">
      <w:start w:val="1"/>
      <w:numFmt w:val="lowerLetter"/>
      <w:lvlText w:val="%2)"/>
      <w:lvlJc w:val="left"/>
      <w:pPr>
        <w:ind w:left="1248" w:hanging="454"/>
      </w:pPr>
      <w:rPr>
        <w:rFonts w:hint="default"/>
      </w:rPr>
    </w:lvl>
    <w:lvl w:ilvl="2">
      <w:start w:val="1"/>
      <w:numFmt w:val="lowerRoman"/>
      <w:lvlText w:val="%3)"/>
      <w:lvlJc w:val="left"/>
      <w:pPr>
        <w:ind w:left="1872" w:hanging="454"/>
      </w:pPr>
      <w:rPr>
        <w:rFonts w:hint="default"/>
      </w:rPr>
    </w:lvl>
    <w:lvl w:ilvl="3">
      <w:start w:val="1"/>
      <w:numFmt w:val="decimal"/>
      <w:lvlText w:val="(%4)"/>
      <w:lvlJc w:val="left"/>
      <w:pPr>
        <w:ind w:left="2496" w:hanging="454"/>
      </w:pPr>
      <w:rPr>
        <w:rFonts w:hint="default"/>
      </w:rPr>
    </w:lvl>
    <w:lvl w:ilvl="4">
      <w:start w:val="1"/>
      <w:numFmt w:val="lowerLetter"/>
      <w:lvlText w:val="(%5)"/>
      <w:lvlJc w:val="left"/>
      <w:pPr>
        <w:ind w:left="3120" w:hanging="454"/>
      </w:pPr>
      <w:rPr>
        <w:rFonts w:hint="default"/>
      </w:rPr>
    </w:lvl>
    <w:lvl w:ilvl="5">
      <w:start w:val="1"/>
      <w:numFmt w:val="lowerRoman"/>
      <w:lvlText w:val="(%6)"/>
      <w:lvlJc w:val="left"/>
      <w:pPr>
        <w:ind w:left="3744" w:hanging="454"/>
      </w:pPr>
      <w:rPr>
        <w:rFonts w:hint="default"/>
      </w:rPr>
    </w:lvl>
    <w:lvl w:ilvl="6">
      <w:start w:val="1"/>
      <w:numFmt w:val="decimal"/>
      <w:lvlText w:val="%7."/>
      <w:lvlJc w:val="left"/>
      <w:pPr>
        <w:ind w:left="4368" w:hanging="454"/>
      </w:pPr>
      <w:rPr>
        <w:rFonts w:hint="default"/>
      </w:rPr>
    </w:lvl>
    <w:lvl w:ilvl="7">
      <w:start w:val="1"/>
      <w:numFmt w:val="lowerLetter"/>
      <w:lvlText w:val="%8."/>
      <w:lvlJc w:val="left"/>
      <w:pPr>
        <w:ind w:left="4992" w:hanging="454"/>
      </w:pPr>
      <w:rPr>
        <w:rFonts w:hint="default"/>
      </w:rPr>
    </w:lvl>
    <w:lvl w:ilvl="8">
      <w:start w:val="1"/>
      <w:numFmt w:val="lowerRoman"/>
      <w:lvlText w:val="%9."/>
      <w:lvlJc w:val="left"/>
      <w:pPr>
        <w:ind w:left="5616" w:hanging="454"/>
      </w:pPr>
      <w:rPr>
        <w:rFonts w:hint="default"/>
      </w:rPr>
    </w:lvl>
  </w:abstractNum>
  <w:abstractNum w:abstractNumId="22">
    <w:nsid w:val="46CA653D"/>
    <w:multiLevelType w:val="multilevel"/>
    <w:tmpl w:val="C4244776"/>
    <w:styleLink w:val="a4"/>
    <w:lvl w:ilvl="0">
      <w:start w:val="1"/>
      <w:numFmt w:val="arabicAbjad"/>
      <w:lvlText w:val="%1)"/>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23">
    <w:nsid w:val="542C6D34"/>
    <w:multiLevelType w:val="multilevel"/>
    <w:tmpl w:val="659CAFB8"/>
    <w:styleLink w:val="a5"/>
    <w:lvl w:ilvl="0">
      <w:start w:val="1"/>
      <w:numFmt w:val="arabicAbjad"/>
      <w:lvlText w:val="%1)"/>
      <w:lvlJc w:val="center"/>
      <w:pPr>
        <w:ind w:left="851" w:hanging="284"/>
      </w:pPr>
      <w:rPr>
        <w:rFonts w:hint="default"/>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24">
    <w:nsid w:val="57EC43DC"/>
    <w:multiLevelType w:val="multilevel"/>
    <w:tmpl w:val="0420BC82"/>
    <w:styleLink w:val="a6"/>
    <w:lvl w:ilvl="0">
      <w:start w:val="1"/>
      <w:numFmt w:val="arabicAbjad"/>
      <w:lvlText w:val="%1)"/>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25">
    <w:nsid w:val="5A634BA6"/>
    <w:multiLevelType w:val="multilevel"/>
    <w:tmpl w:val="84484D08"/>
    <w:styleLink w:val="a7"/>
    <w:lvl w:ilvl="0">
      <w:start w:val="1"/>
      <w:numFmt w:val="bullet"/>
      <w:lvlText w:val=""/>
      <w:lvlJc w:val="left"/>
      <w:pPr>
        <w:ind w:left="624" w:hanging="340"/>
      </w:pPr>
      <w:rPr>
        <w:rFonts w:ascii="Symbol" w:hAnsi="Symbol" w:cs="Times New Roman" w:hint="default"/>
        <w:color w:val="auto"/>
        <w:szCs w:val="28"/>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26">
    <w:nsid w:val="5A6B7C94"/>
    <w:multiLevelType w:val="multilevel"/>
    <w:tmpl w:val="90209216"/>
    <w:styleLink w:val="a8"/>
    <w:lvl w:ilvl="0">
      <w:start w:val="1"/>
      <w:numFmt w:val="bullet"/>
      <w:lvlText w:val=""/>
      <w:lvlJc w:val="left"/>
      <w:pPr>
        <w:ind w:left="624" w:hanging="340"/>
      </w:pPr>
      <w:rPr>
        <w:rFonts w:ascii="Wingdings" w:hAnsi="Wingdings" w:cs="Times New Roman" w:hint="default"/>
        <w:color w:val="auto"/>
        <w:szCs w:val="28"/>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27">
    <w:nsid w:val="61B82427"/>
    <w:multiLevelType w:val="multilevel"/>
    <w:tmpl w:val="CD3CF1C8"/>
    <w:styleLink w:val="ghf"/>
    <w:lvl w:ilvl="0">
      <w:start w:val="1"/>
      <w:numFmt w:val="bullet"/>
      <w:lvlText w:val=""/>
      <w:lvlJc w:val="left"/>
      <w:pPr>
        <w:ind w:left="624" w:hanging="426"/>
      </w:pPr>
      <w:rPr>
        <w:rFonts w:ascii="Wingdings" w:hAnsi="Wingdings" w:cs="Times New Roman" w:hint="default"/>
        <w:color w:val="auto"/>
        <w:szCs w:val="28"/>
      </w:rPr>
    </w:lvl>
    <w:lvl w:ilvl="1">
      <w:start w:val="1"/>
      <w:numFmt w:val="lowerLetter"/>
      <w:lvlText w:val="%2)"/>
      <w:lvlJc w:val="left"/>
      <w:pPr>
        <w:ind w:left="1248" w:hanging="426"/>
      </w:pPr>
      <w:rPr>
        <w:rFonts w:hint="default"/>
      </w:rPr>
    </w:lvl>
    <w:lvl w:ilvl="2">
      <w:start w:val="1"/>
      <w:numFmt w:val="lowerRoman"/>
      <w:lvlText w:val="%3)"/>
      <w:lvlJc w:val="left"/>
      <w:pPr>
        <w:ind w:left="1872" w:hanging="426"/>
      </w:pPr>
      <w:rPr>
        <w:rFonts w:hint="default"/>
      </w:rPr>
    </w:lvl>
    <w:lvl w:ilvl="3">
      <w:start w:val="1"/>
      <w:numFmt w:val="decimal"/>
      <w:lvlText w:val="(%4)"/>
      <w:lvlJc w:val="left"/>
      <w:pPr>
        <w:ind w:left="2496" w:hanging="426"/>
      </w:pPr>
      <w:rPr>
        <w:rFonts w:hint="default"/>
      </w:rPr>
    </w:lvl>
    <w:lvl w:ilvl="4">
      <w:start w:val="1"/>
      <w:numFmt w:val="lowerLetter"/>
      <w:lvlText w:val="(%5)"/>
      <w:lvlJc w:val="left"/>
      <w:pPr>
        <w:ind w:left="3120" w:hanging="426"/>
      </w:pPr>
      <w:rPr>
        <w:rFonts w:hint="default"/>
      </w:rPr>
    </w:lvl>
    <w:lvl w:ilvl="5">
      <w:start w:val="1"/>
      <w:numFmt w:val="lowerRoman"/>
      <w:lvlText w:val="(%6)"/>
      <w:lvlJc w:val="left"/>
      <w:pPr>
        <w:ind w:left="3744" w:hanging="426"/>
      </w:pPr>
      <w:rPr>
        <w:rFonts w:hint="default"/>
      </w:rPr>
    </w:lvl>
    <w:lvl w:ilvl="6">
      <w:start w:val="1"/>
      <w:numFmt w:val="decimal"/>
      <w:lvlText w:val="%7."/>
      <w:lvlJc w:val="left"/>
      <w:pPr>
        <w:ind w:left="4368" w:hanging="426"/>
      </w:pPr>
      <w:rPr>
        <w:rFonts w:hint="default"/>
      </w:rPr>
    </w:lvl>
    <w:lvl w:ilvl="7">
      <w:start w:val="1"/>
      <w:numFmt w:val="lowerLetter"/>
      <w:lvlText w:val="%8."/>
      <w:lvlJc w:val="left"/>
      <w:pPr>
        <w:ind w:left="4992" w:hanging="426"/>
      </w:pPr>
      <w:rPr>
        <w:rFonts w:hint="default"/>
      </w:rPr>
    </w:lvl>
    <w:lvl w:ilvl="8">
      <w:start w:val="1"/>
      <w:numFmt w:val="lowerRoman"/>
      <w:lvlText w:val="%9."/>
      <w:lvlJc w:val="left"/>
      <w:pPr>
        <w:ind w:left="5616" w:hanging="426"/>
      </w:pPr>
      <w:rPr>
        <w:rFonts w:hint="default"/>
      </w:rPr>
    </w:lvl>
  </w:abstractNum>
  <w:abstractNum w:abstractNumId="28">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6D325DB1"/>
    <w:multiLevelType w:val="hybridMultilevel"/>
    <w:tmpl w:val="395E3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970683"/>
    <w:multiLevelType w:val="multilevel"/>
    <w:tmpl w:val="670213B2"/>
    <w:styleLink w:val="a9"/>
    <w:lvl w:ilvl="0">
      <w:start w:val="1"/>
      <w:numFmt w:val="arabicAbjad"/>
      <w:lvlText w:val="%1)"/>
      <w:lvlJc w:val="left"/>
      <w:pPr>
        <w:ind w:left="624" w:hanging="340"/>
      </w:pPr>
      <w:rPr>
        <w:rFonts w:hint="default"/>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31">
    <w:nsid w:val="73636E8E"/>
    <w:multiLevelType w:val="multilevel"/>
    <w:tmpl w:val="FD4E40EC"/>
    <w:styleLink w:val="aa"/>
    <w:lvl w:ilvl="0">
      <w:start w:val="1"/>
      <w:numFmt w:val="bullet"/>
      <w:lvlText w:val=""/>
      <w:lvlJc w:val="left"/>
      <w:pPr>
        <w:ind w:left="851" w:hanging="284"/>
      </w:pPr>
      <w:rPr>
        <w:rFonts w:ascii="Symbol" w:hAnsi="Symbol" w:cs="Times New Roman" w:hint="default"/>
        <w:color w:val="auto"/>
        <w:szCs w:val="28"/>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32">
    <w:nsid w:val="774868AF"/>
    <w:multiLevelType w:val="multilevel"/>
    <w:tmpl w:val="6804D838"/>
    <w:styleLink w:val="jdhgdfjkghkdll"/>
    <w:lvl w:ilvl="0">
      <w:start w:val="1"/>
      <w:numFmt w:val="decimal"/>
      <w:lvlText w:val="%1ـ"/>
      <w:lvlJc w:val="center"/>
      <w:pPr>
        <w:ind w:left="851" w:hanging="284"/>
      </w:pPr>
      <w:rPr>
        <w:rFonts w:hint="default"/>
      </w:rPr>
    </w:lvl>
    <w:lvl w:ilvl="1">
      <w:start w:val="1"/>
      <w:numFmt w:val="lowerLetter"/>
      <w:lvlText w:val="%2)"/>
      <w:lvlJc w:val="left"/>
      <w:pPr>
        <w:ind w:left="1702" w:hanging="284"/>
      </w:pPr>
      <w:rPr>
        <w:rFonts w:hint="default"/>
      </w:rPr>
    </w:lvl>
    <w:lvl w:ilvl="2">
      <w:start w:val="1"/>
      <w:numFmt w:val="lowerRoman"/>
      <w:lvlText w:val="%3)"/>
      <w:lvlJc w:val="left"/>
      <w:pPr>
        <w:ind w:left="2553" w:hanging="284"/>
      </w:pPr>
      <w:rPr>
        <w:rFonts w:hint="default"/>
      </w:rPr>
    </w:lvl>
    <w:lvl w:ilvl="3">
      <w:start w:val="1"/>
      <w:numFmt w:val="decimal"/>
      <w:lvlText w:val="(%4)"/>
      <w:lvlJc w:val="left"/>
      <w:pPr>
        <w:ind w:left="3404" w:hanging="284"/>
      </w:pPr>
      <w:rPr>
        <w:rFonts w:hint="default"/>
      </w:rPr>
    </w:lvl>
    <w:lvl w:ilvl="4">
      <w:start w:val="1"/>
      <w:numFmt w:val="lowerLetter"/>
      <w:lvlText w:val="(%5)"/>
      <w:lvlJc w:val="left"/>
      <w:pPr>
        <w:ind w:left="4255" w:hanging="284"/>
      </w:pPr>
      <w:rPr>
        <w:rFonts w:hint="default"/>
      </w:rPr>
    </w:lvl>
    <w:lvl w:ilvl="5">
      <w:start w:val="1"/>
      <w:numFmt w:val="lowerRoman"/>
      <w:lvlText w:val="(%6)"/>
      <w:lvlJc w:val="left"/>
      <w:pPr>
        <w:ind w:left="5106" w:hanging="284"/>
      </w:pPr>
      <w:rPr>
        <w:rFonts w:hint="default"/>
      </w:rPr>
    </w:lvl>
    <w:lvl w:ilvl="6">
      <w:start w:val="1"/>
      <w:numFmt w:val="decimal"/>
      <w:lvlText w:val="%7."/>
      <w:lvlJc w:val="left"/>
      <w:pPr>
        <w:ind w:left="5957" w:hanging="284"/>
      </w:pPr>
      <w:rPr>
        <w:rFonts w:hint="default"/>
      </w:rPr>
    </w:lvl>
    <w:lvl w:ilvl="7">
      <w:start w:val="1"/>
      <w:numFmt w:val="lowerLetter"/>
      <w:lvlText w:val="%8."/>
      <w:lvlJc w:val="left"/>
      <w:pPr>
        <w:ind w:left="6808" w:hanging="284"/>
      </w:pPr>
      <w:rPr>
        <w:rFonts w:hint="default"/>
      </w:rPr>
    </w:lvl>
    <w:lvl w:ilvl="8">
      <w:start w:val="1"/>
      <w:numFmt w:val="lowerRoman"/>
      <w:lvlText w:val="%9."/>
      <w:lvlJc w:val="left"/>
      <w:pPr>
        <w:ind w:left="7659" w:hanging="284"/>
      </w:pPr>
      <w:rPr>
        <w:rFonts w:hint="default"/>
      </w:rPr>
    </w:lvl>
  </w:abstractNum>
  <w:abstractNum w:abstractNumId="33">
    <w:nsid w:val="77D17205"/>
    <w:multiLevelType w:val="multilevel"/>
    <w:tmpl w:val="54DCF7B8"/>
    <w:styleLink w:val="gfdjkhjl"/>
    <w:lvl w:ilvl="0">
      <w:start w:val="1"/>
      <w:numFmt w:val="bullet"/>
      <w:lvlText w:val=""/>
      <w:lvlJc w:val="left"/>
      <w:pPr>
        <w:ind w:left="851" w:hanging="369"/>
      </w:pPr>
      <w:rPr>
        <w:rFonts w:ascii="Wingdings" w:hAnsi="Wingdings" w:cs="Times New Roman" w:hint="default"/>
        <w:color w:val="auto"/>
        <w:szCs w:val="28"/>
      </w:rPr>
    </w:lvl>
    <w:lvl w:ilvl="1">
      <w:start w:val="1"/>
      <w:numFmt w:val="lowerLetter"/>
      <w:lvlText w:val="%2)"/>
      <w:lvlJc w:val="left"/>
      <w:pPr>
        <w:ind w:left="1702" w:hanging="369"/>
      </w:pPr>
      <w:rPr>
        <w:rFonts w:hint="default"/>
      </w:rPr>
    </w:lvl>
    <w:lvl w:ilvl="2">
      <w:start w:val="1"/>
      <w:numFmt w:val="lowerRoman"/>
      <w:lvlText w:val="%3)"/>
      <w:lvlJc w:val="left"/>
      <w:pPr>
        <w:ind w:left="2553" w:hanging="369"/>
      </w:pPr>
      <w:rPr>
        <w:rFonts w:hint="default"/>
      </w:rPr>
    </w:lvl>
    <w:lvl w:ilvl="3">
      <w:start w:val="1"/>
      <w:numFmt w:val="decimal"/>
      <w:lvlText w:val="(%4)"/>
      <w:lvlJc w:val="left"/>
      <w:pPr>
        <w:ind w:left="3404" w:hanging="369"/>
      </w:pPr>
      <w:rPr>
        <w:rFonts w:hint="default"/>
      </w:rPr>
    </w:lvl>
    <w:lvl w:ilvl="4">
      <w:start w:val="1"/>
      <w:numFmt w:val="lowerLetter"/>
      <w:lvlText w:val="(%5)"/>
      <w:lvlJc w:val="left"/>
      <w:pPr>
        <w:ind w:left="4255" w:hanging="369"/>
      </w:pPr>
      <w:rPr>
        <w:rFonts w:hint="default"/>
      </w:rPr>
    </w:lvl>
    <w:lvl w:ilvl="5">
      <w:start w:val="1"/>
      <w:numFmt w:val="lowerRoman"/>
      <w:lvlText w:val="(%6)"/>
      <w:lvlJc w:val="left"/>
      <w:pPr>
        <w:ind w:left="5106" w:hanging="369"/>
      </w:pPr>
      <w:rPr>
        <w:rFonts w:hint="default"/>
      </w:rPr>
    </w:lvl>
    <w:lvl w:ilvl="6">
      <w:start w:val="1"/>
      <w:numFmt w:val="decimal"/>
      <w:lvlText w:val="%7."/>
      <w:lvlJc w:val="left"/>
      <w:pPr>
        <w:ind w:left="5957" w:hanging="369"/>
      </w:pPr>
      <w:rPr>
        <w:rFonts w:hint="default"/>
      </w:rPr>
    </w:lvl>
    <w:lvl w:ilvl="7">
      <w:start w:val="1"/>
      <w:numFmt w:val="lowerLetter"/>
      <w:lvlText w:val="%8."/>
      <w:lvlJc w:val="left"/>
      <w:pPr>
        <w:ind w:left="6808" w:hanging="369"/>
      </w:pPr>
      <w:rPr>
        <w:rFonts w:hint="default"/>
      </w:rPr>
    </w:lvl>
    <w:lvl w:ilvl="8">
      <w:start w:val="1"/>
      <w:numFmt w:val="lowerRoman"/>
      <w:lvlText w:val="%9."/>
      <w:lvlJc w:val="left"/>
      <w:pPr>
        <w:ind w:left="7659" w:hanging="369"/>
      </w:pPr>
      <w:rPr>
        <w:rFonts w:hint="default"/>
      </w:rPr>
    </w:lvl>
  </w:abstractNum>
  <w:abstractNum w:abstractNumId="34">
    <w:nsid w:val="79783D2A"/>
    <w:multiLevelType w:val="multilevel"/>
    <w:tmpl w:val="BA606B90"/>
    <w:styleLink w:val="hgfghfgkfj"/>
    <w:lvl w:ilvl="0">
      <w:start w:val="1"/>
      <w:numFmt w:val="bullet"/>
      <w:lvlText w:val=""/>
      <w:lvlJc w:val="left"/>
      <w:pPr>
        <w:ind w:left="624" w:hanging="340"/>
      </w:pPr>
      <w:rPr>
        <w:rFonts w:ascii="Symbol" w:hAnsi="Symbol" w:cs="Times New Roman" w:hint="default"/>
        <w:color w:val="auto"/>
        <w:szCs w:val="28"/>
      </w:rPr>
    </w:lvl>
    <w:lvl w:ilvl="1">
      <w:start w:val="1"/>
      <w:numFmt w:val="lowerLetter"/>
      <w:lvlText w:val="%2)"/>
      <w:lvlJc w:val="left"/>
      <w:pPr>
        <w:ind w:left="1248" w:hanging="340"/>
      </w:pPr>
      <w:rPr>
        <w:rFonts w:hint="default"/>
      </w:rPr>
    </w:lvl>
    <w:lvl w:ilvl="2">
      <w:start w:val="1"/>
      <w:numFmt w:val="lowerRoman"/>
      <w:lvlText w:val="%3)"/>
      <w:lvlJc w:val="left"/>
      <w:pPr>
        <w:ind w:left="1872" w:hanging="340"/>
      </w:pPr>
      <w:rPr>
        <w:rFonts w:hint="default"/>
      </w:rPr>
    </w:lvl>
    <w:lvl w:ilvl="3">
      <w:start w:val="1"/>
      <w:numFmt w:val="decimal"/>
      <w:lvlText w:val="(%4)"/>
      <w:lvlJc w:val="left"/>
      <w:pPr>
        <w:ind w:left="2496" w:hanging="340"/>
      </w:pPr>
      <w:rPr>
        <w:rFonts w:hint="default"/>
      </w:rPr>
    </w:lvl>
    <w:lvl w:ilvl="4">
      <w:start w:val="1"/>
      <w:numFmt w:val="lowerLetter"/>
      <w:lvlText w:val="(%5)"/>
      <w:lvlJc w:val="left"/>
      <w:pPr>
        <w:ind w:left="3120" w:hanging="340"/>
      </w:pPr>
      <w:rPr>
        <w:rFonts w:hint="default"/>
      </w:rPr>
    </w:lvl>
    <w:lvl w:ilvl="5">
      <w:start w:val="1"/>
      <w:numFmt w:val="lowerRoman"/>
      <w:lvlText w:val="(%6)"/>
      <w:lvlJc w:val="left"/>
      <w:pPr>
        <w:ind w:left="3744" w:hanging="340"/>
      </w:pPr>
      <w:rPr>
        <w:rFonts w:hint="default"/>
      </w:rPr>
    </w:lvl>
    <w:lvl w:ilvl="6">
      <w:start w:val="1"/>
      <w:numFmt w:val="decimal"/>
      <w:lvlText w:val="%7."/>
      <w:lvlJc w:val="left"/>
      <w:pPr>
        <w:ind w:left="4368" w:hanging="340"/>
      </w:pPr>
      <w:rPr>
        <w:rFonts w:hint="default"/>
      </w:rPr>
    </w:lvl>
    <w:lvl w:ilvl="7">
      <w:start w:val="1"/>
      <w:numFmt w:val="lowerLetter"/>
      <w:lvlText w:val="%8."/>
      <w:lvlJc w:val="left"/>
      <w:pPr>
        <w:ind w:left="4992" w:hanging="340"/>
      </w:pPr>
      <w:rPr>
        <w:rFonts w:hint="default"/>
      </w:rPr>
    </w:lvl>
    <w:lvl w:ilvl="8">
      <w:start w:val="1"/>
      <w:numFmt w:val="lowerRoman"/>
      <w:lvlText w:val="%9."/>
      <w:lvlJc w:val="left"/>
      <w:pPr>
        <w:ind w:left="5616" w:hanging="340"/>
      </w:pPr>
      <w:rPr>
        <w:rFonts w:hint="default"/>
      </w:rPr>
    </w:lvl>
  </w:abstractNum>
  <w:abstractNum w:abstractNumId="35">
    <w:nsid w:val="7F552A73"/>
    <w:multiLevelType w:val="multilevel"/>
    <w:tmpl w:val="0DE670A6"/>
    <w:styleLink w:val="ab"/>
    <w:lvl w:ilvl="0">
      <w:start w:val="1"/>
      <w:numFmt w:val="bullet"/>
      <w:lvlText w:val=""/>
      <w:lvlJc w:val="left"/>
      <w:pPr>
        <w:ind w:left="624" w:hanging="426"/>
      </w:pPr>
      <w:rPr>
        <w:rFonts w:ascii="Symbol" w:hAnsi="Symbol" w:cs="Times New Roman" w:hint="default"/>
        <w:color w:val="auto"/>
        <w:szCs w:val="28"/>
      </w:rPr>
    </w:lvl>
    <w:lvl w:ilvl="1">
      <w:start w:val="1"/>
      <w:numFmt w:val="lowerLetter"/>
      <w:lvlText w:val="%2)"/>
      <w:lvlJc w:val="left"/>
      <w:pPr>
        <w:ind w:left="1248" w:hanging="426"/>
      </w:pPr>
      <w:rPr>
        <w:rFonts w:hint="default"/>
      </w:rPr>
    </w:lvl>
    <w:lvl w:ilvl="2">
      <w:start w:val="1"/>
      <w:numFmt w:val="lowerRoman"/>
      <w:lvlText w:val="%3)"/>
      <w:lvlJc w:val="left"/>
      <w:pPr>
        <w:ind w:left="1872" w:hanging="426"/>
      </w:pPr>
      <w:rPr>
        <w:rFonts w:hint="default"/>
      </w:rPr>
    </w:lvl>
    <w:lvl w:ilvl="3">
      <w:start w:val="1"/>
      <w:numFmt w:val="decimal"/>
      <w:lvlText w:val="(%4)"/>
      <w:lvlJc w:val="left"/>
      <w:pPr>
        <w:ind w:left="2496" w:hanging="426"/>
      </w:pPr>
      <w:rPr>
        <w:rFonts w:hint="default"/>
      </w:rPr>
    </w:lvl>
    <w:lvl w:ilvl="4">
      <w:start w:val="1"/>
      <w:numFmt w:val="lowerLetter"/>
      <w:lvlText w:val="(%5)"/>
      <w:lvlJc w:val="left"/>
      <w:pPr>
        <w:ind w:left="3120" w:hanging="426"/>
      </w:pPr>
      <w:rPr>
        <w:rFonts w:hint="default"/>
      </w:rPr>
    </w:lvl>
    <w:lvl w:ilvl="5">
      <w:start w:val="1"/>
      <w:numFmt w:val="lowerRoman"/>
      <w:lvlText w:val="(%6)"/>
      <w:lvlJc w:val="left"/>
      <w:pPr>
        <w:ind w:left="3744" w:hanging="426"/>
      </w:pPr>
      <w:rPr>
        <w:rFonts w:hint="default"/>
      </w:rPr>
    </w:lvl>
    <w:lvl w:ilvl="6">
      <w:start w:val="1"/>
      <w:numFmt w:val="decimal"/>
      <w:lvlText w:val="%7."/>
      <w:lvlJc w:val="left"/>
      <w:pPr>
        <w:ind w:left="4368" w:hanging="426"/>
      </w:pPr>
      <w:rPr>
        <w:rFonts w:hint="default"/>
      </w:rPr>
    </w:lvl>
    <w:lvl w:ilvl="7">
      <w:start w:val="1"/>
      <w:numFmt w:val="lowerLetter"/>
      <w:lvlText w:val="%8."/>
      <w:lvlJc w:val="left"/>
      <w:pPr>
        <w:ind w:left="4992" w:hanging="426"/>
      </w:pPr>
      <w:rPr>
        <w:rFonts w:hint="default"/>
      </w:rPr>
    </w:lvl>
    <w:lvl w:ilvl="8">
      <w:start w:val="1"/>
      <w:numFmt w:val="lowerRoman"/>
      <w:lvlText w:val="%9."/>
      <w:lvlJc w:val="left"/>
      <w:pPr>
        <w:ind w:left="5616" w:hanging="426"/>
      </w:pPr>
      <w:rPr>
        <w:rFonts w:hint="default"/>
      </w:rPr>
    </w:lvl>
  </w:abstractNum>
  <w:num w:numId="1">
    <w:abstractNumId w:val="30"/>
  </w:num>
  <w:num w:numId="2">
    <w:abstractNumId w:val="23"/>
  </w:num>
  <w:num w:numId="3">
    <w:abstractNumId w:val="12"/>
  </w:num>
  <w:num w:numId="4">
    <w:abstractNumId w:val="16"/>
  </w:num>
  <w:num w:numId="5">
    <w:abstractNumId w:val="32"/>
  </w:num>
  <w:num w:numId="6">
    <w:abstractNumId w:val="34"/>
  </w:num>
  <w:num w:numId="7">
    <w:abstractNumId w:val="21"/>
  </w:num>
  <w:num w:numId="8">
    <w:abstractNumId w:val="35"/>
  </w:num>
  <w:num w:numId="9">
    <w:abstractNumId w:val="14"/>
  </w:num>
  <w:num w:numId="10">
    <w:abstractNumId w:val="27"/>
  </w:num>
  <w:num w:numId="11">
    <w:abstractNumId w:val="33"/>
  </w:num>
  <w:num w:numId="12">
    <w:abstractNumId w:val="10"/>
  </w:num>
  <w:num w:numId="13">
    <w:abstractNumId w:val="24"/>
  </w:num>
  <w:num w:numId="14">
    <w:abstractNumId w:val="13"/>
  </w:num>
  <w:num w:numId="15">
    <w:abstractNumId w:val="11"/>
  </w:num>
  <w:num w:numId="16">
    <w:abstractNumId w:val="22"/>
  </w:num>
  <w:num w:numId="17">
    <w:abstractNumId w:val="26"/>
  </w:num>
  <w:num w:numId="18">
    <w:abstractNumId w:val="19"/>
  </w:num>
  <w:num w:numId="19">
    <w:abstractNumId w:val="25"/>
  </w:num>
  <w:num w:numId="20">
    <w:abstractNumId w:val="31"/>
  </w:num>
  <w:num w:numId="21">
    <w:abstractNumId w:val="15"/>
  </w:num>
  <w:num w:numId="22">
    <w:abstractNumId w:val="17"/>
  </w:num>
  <w:num w:numId="23">
    <w:abstractNumId w:val="20"/>
  </w:num>
  <w:num w:numId="24">
    <w:abstractNumId w:val="28"/>
  </w:num>
  <w:num w:numId="25">
    <w:abstractNumId w:val="8"/>
  </w:num>
  <w:num w:numId="26">
    <w:abstractNumId w:val="3"/>
  </w:num>
  <w:num w:numId="27">
    <w:abstractNumId w:val="2"/>
  </w:num>
  <w:num w:numId="28">
    <w:abstractNumId w:val="1"/>
  </w:num>
  <w:num w:numId="29">
    <w:abstractNumId w:val="0"/>
  </w:num>
  <w:num w:numId="30">
    <w:abstractNumId w:val="9"/>
  </w:num>
  <w:num w:numId="31">
    <w:abstractNumId w:val="7"/>
  </w:num>
  <w:num w:numId="32">
    <w:abstractNumId w:val="6"/>
  </w:num>
  <w:num w:numId="33">
    <w:abstractNumId w:val="5"/>
  </w:num>
  <w:num w:numId="34">
    <w:abstractNumId w:val="4"/>
  </w:num>
  <w:num w:numId="35">
    <w:abstractNumId w:val="18"/>
  </w:num>
  <w:num w:numId="36">
    <w:abstractNumId w:val="29"/>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7"/>
  <w:embedSystemFonts/>
  <w:hideSpellingErrors/>
  <w:hideGrammaticalErrors/>
  <w:stylePaneFormatFilter w:val="3F01"/>
  <w:defaultTabStop w:val="720"/>
  <w:clickAndTypeStyle w:val="ac"/>
  <w:evenAndOddHeaders/>
  <w:characterSpacingControl w:val="doNotCompress"/>
  <w:hdrShapeDefaults>
    <o:shapedefaults v:ext="edit" spidmax="26626" strokecolor="none [3200]">
      <v:stroke color="none [3200]" weight="1pt"/>
      <v:shadow color="#868686"/>
    </o:shapedefaults>
    <o:shapelayout v:ext="edit">
      <o:idmap v:ext="edit" data="2"/>
      <o:rules v:ext="edit">
        <o:r id="V:Rule71" type="connector" idref="#_x0000_s2742"/>
        <o:r id="V:Rule72" type="connector" idref="#_x0000_s2551"/>
        <o:r id="V:Rule73" type="connector" idref="#_x0000_s2357"/>
        <o:r id="V:Rule74" type="connector" idref="#_x0000_s2761"/>
        <o:r id="V:Rule75" type="connector" idref="#_x0000_s2751"/>
        <o:r id="V:Rule76" type="connector" idref="#_x0000_s2573"/>
        <o:r id="V:Rule77" type="connector" idref="#_x0000_s2746"/>
        <o:r id="V:Rule78" type="connector" idref="#_x0000_s2754"/>
        <o:r id="V:Rule79" type="connector" idref="#_x0000_s2733"/>
        <o:r id="V:Rule80" type="connector" idref="#_x0000_s2792"/>
        <o:r id="V:Rule81" type="connector" idref="#_x0000_s2715"/>
        <o:r id="V:Rule82" type="connector" idref="#_x0000_s2580"/>
        <o:r id="V:Rule83" type="connector" idref="#_x0000_s2567"/>
        <o:r id="V:Rule84" type="connector" idref="#_x0000_s2769"/>
        <o:r id="V:Rule85" type="connector" idref="#_x0000_s2740"/>
        <o:r id="V:Rule86" type="connector" idref="#_x0000_s2781"/>
        <o:r id="V:Rule87" type="connector" idref="#_x0000_s2776"/>
        <o:r id="V:Rule88" type="connector" idref="#_x0000_s2767"/>
        <o:r id="V:Rule89" type="connector" idref="#_x0000_s2729"/>
        <o:r id="V:Rule90" type="connector" idref="#_x0000_s2713"/>
        <o:r id="V:Rule91" type="connector" idref="#_x0000_s2782"/>
        <o:r id="V:Rule92" type="connector" idref="#_x0000_s2743"/>
        <o:r id="V:Rule93" type="connector" idref="#_x0000_s2737"/>
        <o:r id="V:Rule94" type="connector" idref="#_x0000_s2673"/>
        <o:r id="V:Rule95" type="connector" idref="#_x0000_s2594"/>
        <o:r id="V:Rule96" type="connector" idref="#_x0000_s2795"/>
        <o:r id="V:Rule97" type="connector" idref="#_x0000_s2748"/>
        <o:r id="V:Rule98" type="connector" idref="#_x0000_s2747"/>
        <o:r id="V:Rule99" type="connector" idref="#_x0000_s2587"/>
        <o:r id="V:Rule100" type="connector" idref="#_x0000_s2773"/>
        <o:r id="V:Rule101" type="connector" idref="#_x0000_s2723"/>
        <o:r id="V:Rule102" type="connector" idref="#_x0000_s2798"/>
        <o:r id="V:Rule103" type="connector" idref="#_x0000_s2688"/>
        <o:r id="V:Rule104" type="connector" idref="#_x0000_s2381"/>
        <o:r id="V:Rule105" type="connector" idref="#_x0000_s2759"/>
        <o:r id="V:Rule106" type="connector" idref="#_x0000_s2717"/>
        <o:r id="V:Rule107" type="connector" idref="#_x0000_s2709"/>
        <o:r id="V:Rule108" type="connector" idref="#_x0000_s2570"/>
        <o:r id="V:Rule109" type="connector" idref="#_x0000_s2588"/>
        <o:r id="V:Rule110" type="connector" idref="#_x0000_s2762"/>
        <o:r id="V:Rule111" type="connector" idref="#_x0000_s2758"/>
        <o:r id="V:Rule112" type="connector" idref="#_x0000_s2689"/>
        <o:r id="V:Rule113" type="connector" idref="#_x0000_s2752"/>
        <o:r id="V:Rule114" type="connector" idref="#_x0000_s2768"/>
        <o:r id="V:Rule115" type="connector" idref="#_x0000_s2676"/>
        <o:r id="V:Rule116" type="connector" idref="#_x0000_s2777"/>
        <o:r id="V:Rule117" type="connector" idref="#_x0000_s2772"/>
        <o:r id="V:Rule118" type="connector" idref="#_x0000_s2780"/>
        <o:r id="V:Rule119" type="connector" idref="#_x0000_s2794"/>
        <o:r id="V:Rule120" type="connector" idref="#_x0000_s2785"/>
        <o:r id="V:Rule121" type="connector" idref="#_x0000_s2797"/>
        <o:r id="V:Rule122" type="connector" idref="#_x0000_s2568"/>
        <o:r id="V:Rule123" type="connector" idref="#_x0000_s2786"/>
        <o:r id="V:Rule124" type="connector" idref="#_x0000_s2791"/>
        <o:r id="V:Rule125" type="connector" idref="#_x0000_s2593"/>
        <o:r id="V:Rule126" type="connector" idref="#_x0000_s2699"/>
        <o:r id="V:Rule127" type="connector" idref="#_x0000_s2571"/>
        <o:r id="V:Rule128" type="connector" idref="#_x0000_s2552"/>
        <o:r id="V:Rule129" type="connector" idref="#_x0000_s2585"/>
        <o:r id="V:Rule130" type="connector" idref="#_x0000_s2789"/>
        <o:r id="V:Rule131" type="connector" idref="#_x0000_s2685"/>
        <o:r id="V:Rule132" type="connector" idref="#_x0000_s2698"/>
        <o:r id="V:Rule133" type="connector" idref="#_x0000_s2706"/>
        <o:r id="V:Rule134" type="connector" idref="#_x0000_s2745"/>
        <o:r id="V:Rule135" type="connector" idref="#_x0000_s2788"/>
        <o:r id="V:Rule136" type="connector" idref="#_x0000_s2766"/>
        <o:r id="V:Rule137" type="connector" idref="#_x0000_s2694"/>
        <o:r id="V:Rule138" type="connector" idref="#_x0000_s2695"/>
        <o:r id="V:Rule139" type="connector" idref="#_x0000_s2584"/>
        <o:r id="V:Rule140" type="connector" idref="#_x0000_s2753"/>
      </o:rules>
    </o:shapelayout>
  </w:hdrShapeDefaults>
  <w:footnotePr>
    <w:numRestart w:val="eachPage"/>
    <w:footnote w:id="-1"/>
    <w:footnote w:id="0"/>
    <w:footnote w:id="1"/>
  </w:footnotePr>
  <w:endnotePr>
    <w:numFmt w:val="decimal"/>
    <w:numRestart w:val="eachSect"/>
    <w:endnote w:id="-1"/>
    <w:endnote w:id="0"/>
  </w:endnotePr>
  <w:compat>
    <w:useFELayout/>
  </w:compat>
  <w:rsids>
    <w:rsidRoot w:val="0077430E"/>
    <w:rsid w:val="00001382"/>
    <w:rsid w:val="000015E6"/>
    <w:rsid w:val="0000246C"/>
    <w:rsid w:val="00002547"/>
    <w:rsid w:val="000029CF"/>
    <w:rsid w:val="00002A79"/>
    <w:rsid w:val="00002BE1"/>
    <w:rsid w:val="00002FE0"/>
    <w:rsid w:val="00003354"/>
    <w:rsid w:val="00003E20"/>
    <w:rsid w:val="00004A01"/>
    <w:rsid w:val="00005220"/>
    <w:rsid w:val="0000636F"/>
    <w:rsid w:val="000068FE"/>
    <w:rsid w:val="00006BE5"/>
    <w:rsid w:val="000071D2"/>
    <w:rsid w:val="0000721C"/>
    <w:rsid w:val="0001010E"/>
    <w:rsid w:val="0001061F"/>
    <w:rsid w:val="0001197C"/>
    <w:rsid w:val="00011B7F"/>
    <w:rsid w:val="000120FC"/>
    <w:rsid w:val="0001236B"/>
    <w:rsid w:val="00012D06"/>
    <w:rsid w:val="00012EE0"/>
    <w:rsid w:val="00012F50"/>
    <w:rsid w:val="00013661"/>
    <w:rsid w:val="0001389F"/>
    <w:rsid w:val="000139F9"/>
    <w:rsid w:val="00014A82"/>
    <w:rsid w:val="00014B54"/>
    <w:rsid w:val="00014C5C"/>
    <w:rsid w:val="0001518F"/>
    <w:rsid w:val="00016971"/>
    <w:rsid w:val="00016D53"/>
    <w:rsid w:val="00017589"/>
    <w:rsid w:val="00017920"/>
    <w:rsid w:val="00020647"/>
    <w:rsid w:val="00020AC2"/>
    <w:rsid w:val="00020EAC"/>
    <w:rsid w:val="00021092"/>
    <w:rsid w:val="000213F9"/>
    <w:rsid w:val="000218F4"/>
    <w:rsid w:val="00021E9E"/>
    <w:rsid w:val="000225BA"/>
    <w:rsid w:val="0002561F"/>
    <w:rsid w:val="000256A5"/>
    <w:rsid w:val="00025805"/>
    <w:rsid w:val="00025AD9"/>
    <w:rsid w:val="00026A8B"/>
    <w:rsid w:val="00026CAF"/>
    <w:rsid w:val="00026F75"/>
    <w:rsid w:val="00027BD1"/>
    <w:rsid w:val="00027F0F"/>
    <w:rsid w:val="0003066B"/>
    <w:rsid w:val="00030A81"/>
    <w:rsid w:val="000313AF"/>
    <w:rsid w:val="000320DA"/>
    <w:rsid w:val="00032260"/>
    <w:rsid w:val="000331D1"/>
    <w:rsid w:val="000338BB"/>
    <w:rsid w:val="00033EEE"/>
    <w:rsid w:val="00033FAE"/>
    <w:rsid w:val="00034CBF"/>
    <w:rsid w:val="00034CF1"/>
    <w:rsid w:val="000355C4"/>
    <w:rsid w:val="00035C47"/>
    <w:rsid w:val="000367D1"/>
    <w:rsid w:val="00036840"/>
    <w:rsid w:val="00037582"/>
    <w:rsid w:val="00040303"/>
    <w:rsid w:val="000403C3"/>
    <w:rsid w:val="000411F8"/>
    <w:rsid w:val="00041200"/>
    <w:rsid w:val="00042399"/>
    <w:rsid w:val="00042C12"/>
    <w:rsid w:val="00044729"/>
    <w:rsid w:val="00044958"/>
    <w:rsid w:val="00047036"/>
    <w:rsid w:val="0004755E"/>
    <w:rsid w:val="0005032A"/>
    <w:rsid w:val="0005052A"/>
    <w:rsid w:val="00050631"/>
    <w:rsid w:val="00050837"/>
    <w:rsid w:val="00050C45"/>
    <w:rsid w:val="00050CD1"/>
    <w:rsid w:val="00050E75"/>
    <w:rsid w:val="00050F58"/>
    <w:rsid w:val="000524E6"/>
    <w:rsid w:val="000527B1"/>
    <w:rsid w:val="0005281E"/>
    <w:rsid w:val="0005386F"/>
    <w:rsid w:val="000539BC"/>
    <w:rsid w:val="00053E86"/>
    <w:rsid w:val="000546B5"/>
    <w:rsid w:val="000555A0"/>
    <w:rsid w:val="000559C5"/>
    <w:rsid w:val="00055AF4"/>
    <w:rsid w:val="00055FAB"/>
    <w:rsid w:val="000566FE"/>
    <w:rsid w:val="0005685B"/>
    <w:rsid w:val="00056FD6"/>
    <w:rsid w:val="00057029"/>
    <w:rsid w:val="000570CC"/>
    <w:rsid w:val="00057447"/>
    <w:rsid w:val="00060217"/>
    <w:rsid w:val="0006053F"/>
    <w:rsid w:val="000606E6"/>
    <w:rsid w:val="0006094C"/>
    <w:rsid w:val="00060CBC"/>
    <w:rsid w:val="00060FC8"/>
    <w:rsid w:val="00061803"/>
    <w:rsid w:val="00061DFA"/>
    <w:rsid w:val="0006231A"/>
    <w:rsid w:val="000623F0"/>
    <w:rsid w:val="00062787"/>
    <w:rsid w:val="0006384F"/>
    <w:rsid w:val="00063EC6"/>
    <w:rsid w:val="00063F9B"/>
    <w:rsid w:val="0006466F"/>
    <w:rsid w:val="0006733D"/>
    <w:rsid w:val="0006753E"/>
    <w:rsid w:val="00067B2B"/>
    <w:rsid w:val="00067EF4"/>
    <w:rsid w:val="000700AC"/>
    <w:rsid w:val="00070396"/>
    <w:rsid w:val="000718F2"/>
    <w:rsid w:val="00072036"/>
    <w:rsid w:val="00072B12"/>
    <w:rsid w:val="00072FF9"/>
    <w:rsid w:val="00073157"/>
    <w:rsid w:val="000732A8"/>
    <w:rsid w:val="000733D4"/>
    <w:rsid w:val="00073835"/>
    <w:rsid w:val="00073B18"/>
    <w:rsid w:val="00073B9B"/>
    <w:rsid w:val="00075517"/>
    <w:rsid w:val="000757C4"/>
    <w:rsid w:val="000763EF"/>
    <w:rsid w:val="000776AE"/>
    <w:rsid w:val="00077B8F"/>
    <w:rsid w:val="00080071"/>
    <w:rsid w:val="0008052F"/>
    <w:rsid w:val="000810E6"/>
    <w:rsid w:val="0008122B"/>
    <w:rsid w:val="000815DA"/>
    <w:rsid w:val="00081B51"/>
    <w:rsid w:val="00081F35"/>
    <w:rsid w:val="00082249"/>
    <w:rsid w:val="000830EC"/>
    <w:rsid w:val="0008326E"/>
    <w:rsid w:val="000832E7"/>
    <w:rsid w:val="000836F2"/>
    <w:rsid w:val="00083DDA"/>
    <w:rsid w:val="000840B4"/>
    <w:rsid w:val="00084E8F"/>
    <w:rsid w:val="0008530B"/>
    <w:rsid w:val="00085387"/>
    <w:rsid w:val="0008579B"/>
    <w:rsid w:val="00085D65"/>
    <w:rsid w:val="00085E81"/>
    <w:rsid w:val="00085F3F"/>
    <w:rsid w:val="000860EF"/>
    <w:rsid w:val="00086809"/>
    <w:rsid w:val="00086B4C"/>
    <w:rsid w:val="00086FEC"/>
    <w:rsid w:val="00087117"/>
    <w:rsid w:val="000879B3"/>
    <w:rsid w:val="0009035D"/>
    <w:rsid w:val="00090804"/>
    <w:rsid w:val="00090BFD"/>
    <w:rsid w:val="000910BA"/>
    <w:rsid w:val="0009191A"/>
    <w:rsid w:val="00091989"/>
    <w:rsid w:val="00091C69"/>
    <w:rsid w:val="00091ED9"/>
    <w:rsid w:val="00091EE9"/>
    <w:rsid w:val="000922CB"/>
    <w:rsid w:val="00092560"/>
    <w:rsid w:val="00092B7F"/>
    <w:rsid w:val="00093418"/>
    <w:rsid w:val="000936B0"/>
    <w:rsid w:val="000937E8"/>
    <w:rsid w:val="00093FA3"/>
    <w:rsid w:val="00094310"/>
    <w:rsid w:val="0009590F"/>
    <w:rsid w:val="00095A7F"/>
    <w:rsid w:val="00096081"/>
    <w:rsid w:val="00096433"/>
    <w:rsid w:val="00096712"/>
    <w:rsid w:val="00096F5D"/>
    <w:rsid w:val="000975C8"/>
    <w:rsid w:val="00097788"/>
    <w:rsid w:val="00097D05"/>
    <w:rsid w:val="000A035A"/>
    <w:rsid w:val="000A03E2"/>
    <w:rsid w:val="000A0E1B"/>
    <w:rsid w:val="000A13D3"/>
    <w:rsid w:val="000A16D4"/>
    <w:rsid w:val="000A1C19"/>
    <w:rsid w:val="000A1F69"/>
    <w:rsid w:val="000A2ADF"/>
    <w:rsid w:val="000A2B2B"/>
    <w:rsid w:val="000A2C8C"/>
    <w:rsid w:val="000A392F"/>
    <w:rsid w:val="000A4444"/>
    <w:rsid w:val="000A4ED5"/>
    <w:rsid w:val="000A5B03"/>
    <w:rsid w:val="000A5C53"/>
    <w:rsid w:val="000A655D"/>
    <w:rsid w:val="000A6740"/>
    <w:rsid w:val="000A6BAC"/>
    <w:rsid w:val="000A7559"/>
    <w:rsid w:val="000A7A99"/>
    <w:rsid w:val="000B04A1"/>
    <w:rsid w:val="000B056E"/>
    <w:rsid w:val="000B0799"/>
    <w:rsid w:val="000B189A"/>
    <w:rsid w:val="000B230F"/>
    <w:rsid w:val="000B2663"/>
    <w:rsid w:val="000B3700"/>
    <w:rsid w:val="000B3A85"/>
    <w:rsid w:val="000B45E7"/>
    <w:rsid w:val="000B463E"/>
    <w:rsid w:val="000B4902"/>
    <w:rsid w:val="000B5069"/>
    <w:rsid w:val="000B544C"/>
    <w:rsid w:val="000B6373"/>
    <w:rsid w:val="000B7195"/>
    <w:rsid w:val="000B7204"/>
    <w:rsid w:val="000C04FA"/>
    <w:rsid w:val="000C0838"/>
    <w:rsid w:val="000C120B"/>
    <w:rsid w:val="000C1C27"/>
    <w:rsid w:val="000C3664"/>
    <w:rsid w:val="000C38F7"/>
    <w:rsid w:val="000C39BB"/>
    <w:rsid w:val="000C4051"/>
    <w:rsid w:val="000C454B"/>
    <w:rsid w:val="000C4AED"/>
    <w:rsid w:val="000C5031"/>
    <w:rsid w:val="000C517B"/>
    <w:rsid w:val="000C5240"/>
    <w:rsid w:val="000C5EDD"/>
    <w:rsid w:val="000C662F"/>
    <w:rsid w:val="000C6D61"/>
    <w:rsid w:val="000C71F0"/>
    <w:rsid w:val="000C7898"/>
    <w:rsid w:val="000C7918"/>
    <w:rsid w:val="000D0117"/>
    <w:rsid w:val="000D078D"/>
    <w:rsid w:val="000D0A03"/>
    <w:rsid w:val="000D1090"/>
    <w:rsid w:val="000D13FE"/>
    <w:rsid w:val="000D1543"/>
    <w:rsid w:val="000D163D"/>
    <w:rsid w:val="000D1E42"/>
    <w:rsid w:val="000D1E70"/>
    <w:rsid w:val="000D2469"/>
    <w:rsid w:val="000D2C19"/>
    <w:rsid w:val="000D2E19"/>
    <w:rsid w:val="000D2FC5"/>
    <w:rsid w:val="000D3146"/>
    <w:rsid w:val="000D366C"/>
    <w:rsid w:val="000D3677"/>
    <w:rsid w:val="000D36A1"/>
    <w:rsid w:val="000D455F"/>
    <w:rsid w:val="000D50DC"/>
    <w:rsid w:val="000D5679"/>
    <w:rsid w:val="000D5EDB"/>
    <w:rsid w:val="000D638B"/>
    <w:rsid w:val="000D6775"/>
    <w:rsid w:val="000D68AB"/>
    <w:rsid w:val="000D6FD6"/>
    <w:rsid w:val="000D772B"/>
    <w:rsid w:val="000D7E16"/>
    <w:rsid w:val="000E04D0"/>
    <w:rsid w:val="000E165B"/>
    <w:rsid w:val="000E175F"/>
    <w:rsid w:val="000E181E"/>
    <w:rsid w:val="000E30F3"/>
    <w:rsid w:val="000E399C"/>
    <w:rsid w:val="000E3E09"/>
    <w:rsid w:val="000E41A8"/>
    <w:rsid w:val="000E41CC"/>
    <w:rsid w:val="000E426D"/>
    <w:rsid w:val="000E475E"/>
    <w:rsid w:val="000E5540"/>
    <w:rsid w:val="000E56EB"/>
    <w:rsid w:val="000E5E2F"/>
    <w:rsid w:val="000E5EA7"/>
    <w:rsid w:val="000E5FDA"/>
    <w:rsid w:val="000E661A"/>
    <w:rsid w:val="000E7D92"/>
    <w:rsid w:val="000F009E"/>
    <w:rsid w:val="000F0A60"/>
    <w:rsid w:val="000F0C54"/>
    <w:rsid w:val="000F0D5D"/>
    <w:rsid w:val="000F1270"/>
    <w:rsid w:val="000F1506"/>
    <w:rsid w:val="000F19E5"/>
    <w:rsid w:val="000F1C53"/>
    <w:rsid w:val="000F21DB"/>
    <w:rsid w:val="000F244E"/>
    <w:rsid w:val="000F2494"/>
    <w:rsid w:val="000F25FB"/>
    <w:rsid w:val="000F35A5"/>
    <w:rsid w:val="000F39FE"/>
    <w:rsid w:val="000F3C6A"/>
    <w:rsid w:val="000F48B0"/>
    <w:rsid w:val="000F48DB"/>
    <w:rsid w:val="000F6236"/>
    <w:rsid w:val="000F7C81"/>
    <w:rsid w:val="000F7EA4"/>
    <w:rsid w:val="0010041B"/>
    <w:rsid w:val="00101572"/>
    <w:rsid w:val="001016A1"/>
    <w:rsid w:val="00101809"/>
    <w:rsid w:val="001020BE"/>
    <w:rsid w:val="001020C5"/>
    <w:rsid w:val="00102A0A"/>
    <w:rsid w:val="00102EC9"/>
    <w:rsid w:val="001041B6"/>
    <w:rsid w:val="001043FD"/>
    <w:rsid w:val="0010452F"/>
    <w:rsid w:val="00104D87"/>
    <w:rsid w:val="00104ECB"/>
    <w:rsid w:val="00105002"/>
    <w:rsid w:val="00105442"/>
    <w:rsid w:val="00105759"/>
    <w:rsid w:val="001057B0"/>
    <w:rsid w:val="00106251"/>
    <w:rsid w:val="00106487"/>
    <w:rsid w:val="00106505"/>
    <w:rsid w:val="00106507"/>
    <w:rsid w:val="00106FAB"/>
    <w:rsid w:val="0010716A"/>
    <w:rsid w:val="00107F43"/>
    <w:rsid w:val="00110213"/>
    <w:rsid w:val="00110924"/>
    <w:rsid w:val="00110F8E"/>
    <w:rsid w:val="00111025"/>
    <w:rsid w:val="00111191"/>
    <w:rsid w:val="0011131B"/>
    <w:rsid w:val="00111B11"/>
    <w:rsid w:val="00112ED4"/>
    <w:rsid w:val="0011311D"/>
    <w:rsid w:val="001136EA"/>
    <w:rsid w:val="001141B1"/>
    <w:rsid w:val="001152B5"/>
    <w:rsid w:val="00115A8C"/>
    <w:rsid w:val="001164E1"/>
    <w:rsid w:val="001178D3"/>
    <w:rsid w:val="00117A06"/>
    <w:rsid w:val="00120CEE"/>
    <w:rsid w:val="0012150E"/>
    <w:rsid w:val="001219E1"/>
    <w:rsid w:val="00123798"/>
    <w:rsid w:val="00123BD0"/>
    <w:rsid w:val="00123C57"/>
    <w:rsid w:val="0012445F"/>
    <w:rsid w:val="001257D9"/>
    <w:rsid w:val="00125A7F"/>
    <w:rsid w:val="00125F67"/>
    <w:rsid w:val="001260EC"/>
    <w:rsid w:val="001278F1"/>
    <w:rsid w:val="001308CD"/>
    <w:rsid w:val="001311FC"/>
    <w:rsid w:val="00132865"/>
    <w:rsid w:val="0013357E"/>
    <w:rsid w:val="001338CB"/>
    <w:rsid w:val="0013402B"/>
    <w:rsid w:val="00134260"/>
    <w:rsid w:val="00134DC6"/>
    <w:rsid w:val="00135CD1"/>
    <w:rsid w:val="00135DDC"/>
    <w:rsid w:val="00136E69"/>
    <w:rsid w:val="001371BF"/>
    <w:rsid w:val="00137A53"/>
    <w:rsid w:val="00137E50"/>
    <w:rsid w:val="00140D02"/>
    <w:rsid w:val="00141A04"/>
    <w:rsid w:val="00141C4F"/>
    <w:rsid w:val="00141D3C"/>
    <w:rsid w:val="00143132"/>
    <w:rsid w:val="0014350B"/>
    <w:rsid w:val="00143869"/>
    <w:rsid w:val="001448F6"/>
    <w:rsid w:val="00144C26"/>
    <w:rsid w:val="00144D82"/>
    <w:rsid w:val="00144F22"/>
    <w:rsid w:val="001464D2"/>
    <w:rsid w:val="00146C7F"/>
    <w:rsid w:val="00146EF6"/>
    <w:rsid w:val="001472BD"/>
    <w:rsid w:val="00147591"/>
    <w:rsid w:val="00147C5E"/>
    <w:rsid w:val="00150403"/>
    <w:rsid w:val="0015146C"/>
    <w:rsid w:val="00151B5C"/>
    <w:rsid w:val="00151E84"/>
    <w:rsid w:val="0015259F"/>
    <w:rsid w:val="001533CF"/>
    <w:rsid w:val="0015345A"/>
    <w:rsid w:val="00153942"/>
    <w:rsid w:val="00153A46"/>
    <w:rsid w:val="00153BDD"/>
    <w:rsid w:val="00154982"/>
    <w:rsid w:val="00154D90"/>
    <w:rsid w:val="00154DE5"/>
    <w:rsid w:val="001551EB"/>
    <w:rsid w:val="00155728"/>
    <w:rsid w:val="00155896"/>
    <w:rsid w:val="00156297"/>
    <w:rsid w:val="0015663E"/>
    <w:rsid w:val="00156DEC"/>
    <w:rsid w:val="00156E5D"/>
    <w:rsid w:val="00156E8F"/>
    <w:rsid w:val="00157907"/>
    <w:rsid w:val="00157B4A"/>
    <w:rsid w:val="00157E82"/>
    <w:rsid w:val="001606B0"/>
    <w:rsid w:val="0016083C"/>
    <w:rsid w:val="00160943"/>
    <w:rsid w:val="00161682"/>
    <w:rsid w:val="001618F0"/>
    <w:rsid w:val="00161B3B"/>
    <w:rsid w:val="0016233A"/>
    <w:rsid w:val="001628A3"/>
    <w:rsid w:val="00162C62"/>
    <w:rsid w:val="0016374F"/>
    <w:rsid w:val="001638E2"/>
    <w:rsid w:val="001638EA"/>
    <w:rsid w:val="00163A0B"/>
    <w:rsid w:val="00165A87"/>
    <w:rsid w:val="001669D0"/>
    <w:rsid w:val="00166CEF"/>
    <w:rsid w:val="00167747"/>
    <w:rsid w:val="001700A5"/>
    <w:rsid w:val="001703F3"/>
    <w:rsid w:val="00170FDC"/>
    <w:rsid w:val="001715F7"/>
    <w:rsid w:val="00172031"/>
    <w:rsid w:val="00172266"/>
    <w:rsid w:val="001727F9"/>
    <w:rsid w:val="00173560"/>
    <w:rsid w:val="001735F2"/>
    <w:rsid w:val="00174512"/>
    <w:rsid w:val="0017501A"/>
    <w:rsid w:val="001753EA"/>
    <w:rsid w:val="0017577C"/>
    <w:rsid w:val="001759E0"/>
    <w:rsid w:val="00175D0A"/>
    <w:rsid w:val="0017618F"/>
    <w:rsid w:val="001771AE"/>
    <w:rsid w:val="00177432"/>
    <w:rsid w:val="00177443"/>
    <w:rsid w:val="00177ABD"/>
    <w:rsid w:val="00180400"/>
    <w:rsid w:val="00180491"/>
    <w:rsid w:val="00181CE9"/>
    <w:rsid w:val="001820E6"/>
    <w:rsid w:val="00182312"/>
    <w:rsid w:val="001825A8"/>
    <w:rsid w:val="00183208"/>
    <w:rsid w:val="0018350C"/>
    <w:rsid w:val="00183D0A"/>
    <w:rsid w:val="001840B2"/>
    <w:rsid w:val="001844F7"/>
    <w:rsid w:val="001852CA"/>
    <w:rsid w:val="00185CBF"/>
    <w:rsid w:val="00185DEB"/>
    <w:rsid w:val="00185F7B"/>
    <w:rsid w:val="0018680B"/>
    <w:rsid w:val="0018690E"/>
    <w:rsid w:val="00187931"/>
    <w:rsid w:val="00187E96"/>
    <w:rsid w:val="0019004C"/>
    <w:rsid w:val="001919C2"/>
    <w:rsid w:val="00191ABB"/>
    <w:rsid w:val="0019246B"/>
    <w:rsid w:val="00192A4E"/>
    <w:rsid w:val="00193117"/>
    <w:rsid w:val="0019353C"/>
    <w:rsid w:val="0019531F"/>
    <w:rsid w:val="00195AA0"/>
    <w:rsid w:val="00196713"/>
    <w:rsid w:val="0019685C"/>
    <w:rsid w:val="00196BBB"/>
    <w:rsid w:val="00197251"/>
    <w:rsid w:val="001974C3"/>
    <w:rsid w:val="001976F1"/>
    <w:rsid w:val="001A01F0"/>
    <w:rsid w:val="001A076A"/>
    <w:rsid w:val="001A0A0F"/>
    <w:rsid w:val="001A15A2"/>
    <w:rsid w:val="001A17A0"/>
    <w:rsid w:val="001A1CB7"/>
    <w:rsid w:val="001A1F7C"/>
    <w:rsid w:val="001A246A"/>
    <w:rsid w:val="001A2574"/>
    <w:rsid w:val="001A25BC"/>
    <w:rsid w:val="001A26CD"/>
    <w:rsid w:val="001A2C82"/>
    <w:rsid w:val="001A35FA"/>
    <w:rsid w:val="001A41A8"/>
    <w:rsid w:val="001A41B6"/>
    <w:rsid w:val="001A489B"/>
    <w:rsid w:val="001A59FF"/>
    <w:rsid w:val="001A5BDE"/>
    <w:rsid w:val="001A5F56"/>
    <w:rsid w:val="001A62D5"/>
    <w:rsid w:val="001A6751"/>
    <w:rsid w:val="001A69AA"/>
    <w:rsid w:val="001A6B86"/>
    <w:rsid w:val="001A73E7"/>
    <w:rsid w:val="001B1729"/>
    <w:rsid w:val="001B1C90"/>
    <w:rsid w:val="001B22F4"/>
    <w:rsid w:val="001B2411"/>
    <w:rsid w:val="001B241A"/>
    <w:rsid w:val="001B27E8"/>
    <w:rsid w:val="001B36CE"/>
    <w:rsid w:val="001B3AED"/>
    <w:rsid w:val="001B439D"/>
    <w:rsid w:val="001B44BA"/>
    <w:rsid w:val="001B4548"/>
    <w:rsid w:val="001B4B76"/>
    <w:rsid w:val="001B4C3E"/>
    <w:rsid w:val="001B4ED3"/>
    <w:rsid w:val="001B4FAA"/>
    <w:rsid w:val="001B6530"/>
    <w:rsid w:val="001B66C0"/>
    <w:rsid w:val="001B6CE0"/>
    <w:rsid w:val="001B7AB1"/>
    <w:rsid w:val="001C02A4"/>
    <w:rsid w:val="001C0473"/>
    <w:rsid w:val="001C09E1"/>
    <w:rsid w:val="001C0A7D"/>
    <w:rsid w:val="001C0D66"/>
    <w:rsid w:val="001C1921"/>
    <w:rsid w:val="001C32F3"/>
    <w:rsid w:val="001C347E"/>
    <w:rsid w:val="001C398F"/>
    <w:rsid w:val="001C39EF"/>
    <w:rsid w:val="001C3C01"/>
    <w:rsid w:val="001C3F2E"/>
    <w:rsid w:val="001C413E"/>
    <w:rsid w:val="001C4906"/>
    <w:rsid w:val="001C51A4"/>
    <w:rsid w:val="001C5FA0"/>
    <w:rsid w:val="001C6CFD"/>
    <w:rsid w:val="001C73EC"/>
    <w:rsid w:val="001C7676"/>
    <w:rsid w:val="001D032F"/>
    <w:rsid w:val="001D0890"/>
    <w:rsid w:val="001D0B50"/>
    <w:rsid w:val="001D1319"/>
    <w:rsid w:val="001D2086"/>
    <w:rsid w:val="001D2B97"/>
    <w:rsid w:val="001D31FD"/>
    <w:rsid w:val="001D32D9"/>
    <w:rsid w:val="001D4885"/>
    <w:rsid w:val="001D4C9B"/>
    <w:rsid w:val="001D4CB9"/>
    <w:rsid w:val="001D565B"/>
    <w:rsid w:val="001D6588"/>
    <w:rsid w:val="001D70A1"/>
    <w:rsid w:val="001D7C49"/>
    <w:rsid w:val="001D7E06"/>
    <w:rsid w:val="001D7FC8"/>
    <w:rsid w:val="001E03BD"/>
    <w:rsid w:val="001E04DF"/>
    <w:rsid w:val="001E0BC4"/>
    <w:rsid w:val="001E1ADD"/>
    <w:rsid w:val="001E1B67"/>
    <w:rsid w:val="001E1C0A"/>
    <w:rsid w:val="001E2630"/>
    <w:rsid w:val="001E3BA1"/>
    <w:rsid w:val="001E3D59"/>
    <w:rsid w:val="001E41E7"/>
    <w:rsid w:val="001E4B41"/>
    <w:rsid w:val="001E4F0C"/>
    <w:rsid w:val="001E4F41"/>
    <w:rsid w:val="001E57FC"/>
    <w:rsid w:val="001E5F11"/>
    <w:rsid w:val="001E60EE"/>
    <w:rsid w:val="001E627F"/>
    <w:rsid w:val="001E653B"/>
    <w:rsid w:val="001E68D4"/>
    <w:rsid w:val="001E6BEE"/>
    <w:rsid w:val="001E7294"/>
    <w:rsid w:val="001E78FE"/>
    <w:rsid w:val="001E7C83"/>
    <w:rsid w:val="001F01C3"/>
    <w:rsid w:val="001F03A9"/>
    <w:rsid w:val="001F0D60"/>
    <w:rsid w:val="001F1A71"/>
    <w:rsid w:val="001F1E3E"/>
    <w:rsid w:val="001F1FFD"/>
    <w:rsid w:val="001F2055"/>
    <w:rsid w:val="001F26A9"/>
    <w:rsid w:val="001F2A8E"/>
    <w:rsid w:val="001F2C6B"/>
    <w:rsid w:val="001F3648"/>
    <w:rsid w:val="001F4136"/>
    <w:rsid w:val="001F4B21"/>
    <w:rsid w:val="001F504E"/>
    <w:rsid w:val="001F50E0"/>
    <w:rsid w:val="001F57EA"/>
    <w:rsid w:val="001F5831"/>
    <w:rsid w:val="001F6BF5"/>
    <w:rsid w:val="001F7659"/>
    <w:rsid w:val="001F779D"/>
    <w:rsid w:val="001F779F"/>
    <w:rsid w:val="001F7820"/>
    <w:rsid w:val="001F7DC3"/>
    <w:rsid w:val="001F7EC1"/>
    <w:rsid w:val="00200143"/>
    <w:rsid w:val="00200C1F"/>
    <w:rsid w:val="00201098"/>
    <w:rsid w:val="002010E4"/>
    <w:rsid w:val="00201724"/>
    <w:rsid w:val="00201BD4"/>
    <w:rsid w:val="00201D04"/>
    <w:rsid w:val="002038E0"/>
    <w:rsid w:val="00204358"/>
    <w:rsid w:val="00204B2C"/>
    <w:rsid w:val="00205113"/>
    <w:rsid w:val="00205BCE"/>
    <w:rsid w:val="00205F7F"/>
    <w:rsid w:val="00206099"/>
    <w:rsid w:val="0020685E"/>
    <w:rsid w:val="0020787A"/>
    <w:rsid w:val="00207CB6"/>
    <w:rsid w:val="00207E1B"/>
    <w:rsid w:val="00210256"/>
    <w:rsid w:val="00210336"/>
    <w:rsid w:val="0021095E"/>
    <w:rsid w:val="00210DCF"/>
    <w:rsid w:val="00211060"/>
    <w:rsid w:val="002115B8"/>
    <w:rsid w:val="00211720"/>
    <w:rsid w:val="0021194A"/>
    <w:rsid w:val="002119EE"/>
    <w:rsid w:val="00212162"/>
    <w:rsid w:val="002123CD"/>
    <w:rsid w:val="00212DC3"/>
    <w:rsid w:val="00212F15"/>
    <w:rsid w:val="0021307F"/>
    <w:rsid w:val="002136AF"/>
    <w:rsid w:val="00213BE3"/>
    <w:rsid w:val="00213EAF"/>
    <w:rsid w:val="002149CF"/>
    <w:rsid w:val="00214C45"/>
    <w:rsid w:val="00214D8A"/>
    <w:rsid w:val="00215034"/>
    <w:rsid w:val="002154E5"/>
    <w:rsid w:val="0021567E"/>
    <w:rsid w:val="00216F74"/>
    <w:rsid w:val="00216FC7"/>
    <w:rsid w:val="00217146"/>
    <w:rsid w:val="00217CF5"/>
    <w:rsid w:val="002201E8"/>
    <w:rsid w:val="0022071C"/>
    <w:rsid w:val="0022079A"/>
    <w:rsid w:val="002210EA"/>
    <w:rsid w:val="0022117C"/>
    <w:rsid w:val="00221201"/>
    <w:rsid w:val="0022142A"/>
    <w:rsid w:val="0022144A"/>
    <w:rsid w:val="00222047"/>
    <w:rsid w:val="00222510"/>
    <w:rsid w:val="00222987"/>
    <w:rsid w:val="00223A3F"/>
    <w:rsid w:val="002247DF"/>
    <w:rsid w:val="00225123"/>
    <w:rsid w:val="00225792"/>
    <w:rsid w:val="00225DBB"/>
    <w:rsid w:val="00226905"/>
    <w:rsid w:val="00226A0E"/>
    <w:rsid w:val="002271F2"/>
    <w:rsid w:val="00227559"/>
    <w:rsid w:val="002276CB"/>
    <w:rsid w:val="002303E3"/>
    <w:rsid w:val="00230458"/>
    <w:rsid w:val="0023075C"/>
    <w:rsid w:val="002315EC"/>
    <w:rsid w:val="002316CD"/>
    <w:rsid w:val="002318AC"/>
    <w:rsid w:val="00231FC6"/>
    <w:rsid w:val="0023438F"/>
    <w:rsid w:val="00234E20"/>
    <w:rsid w:val="00235C47"/>
    <w:rsid w:val="002367C6"/>
    <w:rsid w:val="00236DB3"/>
    <w:rsid w:val="002374D4"/>
    <w:rsid w:val="00237F11"/>
    <w:rsid w:val="00240003"/>
    <w:rsid w:val="00240281"/>
    <w:rsid w:val="00240520"/>
    <w:rsid w:val="00240748"/>
    <w:rsid w:val="002407CE"/>
    <w:rsid w:val="00240C2A"/>
    <w:rsid w:val="002417E1"/>
    <w:rsid w:val="00242014"/>
    <w:rsid w:val="00242275"/>
    <w:rsid w:val="00243170"/>
    <w:rsid w:val="0024392F"/>
    <w:rsid w:val="00243FCB"/>
    <w:rsid w:val="002443B1"/>
    <w:rsid w:val="002451E7"/>
    <w:rsid w:val="00247246"/>
    <w:rsid w:val="00250883"/>
    <w:rsid w:val="00250E9D"/>
    <w:rsid w:val="00251242"/>
    <w:rsid w:val="00251AE9"/>
    <w:rsid w:val="00251B4E"/>
    <w:rsid w:val="00252009"/>
    <w:rsid w:val="0025203E"/>
    <w:rsid w:val="0025228E"/>
    <w:rsid w:val="0025244F"/>
    <w:rsid w:val="00252B24"/>
    <w:rsid w:val="0025339E"/>
    <w:rsid w:val="00253745"/>
    <w:rsid w:val="0025374C"/>
    <w:rsid w:val="00253DB0"/>
    <w:rsid w:val="00254099"/>
    <w:rsid w:val="0025410F"/>
    <w:rsid w:val="00254848"/>
    <w:rsid w:val="002567CE"/>
    <w:rsid w:val="00257401"/>
    <w:rsid w:val="0025747E"/>
    <w:rsid w:val="002603B8"/>
    <w:rsid w:val="002608EA"/>
    <w:rsid w:val="00261255"/>
    <w:rsid w:val="0026185A"/>
    <w:rsid w:val="00262253"/>
    <w:rsid w:val="002634C0"/>
    <w:rsid w:val="00263A13"/>
    <w:rsid w:val="00263F17"/>
    <w:rsid w:val="002649A0"/>
    <w:rsid w:val="00265153"/>
    <w:rsid w:val="00265540"/>
    <w:rsid w:val="002659F3"/>
    <w:rsid w:val="00265B4A"/>
    <w:rsid w:val="00265E89"/>
    <w:rsid w:val="00267115"/>
    <w:rsid w:val="00267355"/>
    <w:rsid w:val="00267425"/>
    <w:rsid w:val="002674F3"/>
    <w:rsid w:val="0027076B"/>
    <w:rsid w:val="0027076E"/>
    <w:rsid w:val="00270B4B"/>
    <w:rsid w:val="002716F3"/>
    <w:rsid w:val="002719B9"/>
    <w:rsid w:val="0027225F"/>
    <w:rsid w:val="002739AF"/>
    <w:rsid w:val="00273C8A"/>
    <w:rsid w:val="00274171"/>
    <w:rsid w:val="002755BD"/>
    <w:rsid w:val="00276A7D"/>
    <w:rsid w:val="00277526"/>
    <w:rsid w:val="00277580"/>
    <w:rsid w:val="00277BA3"/>
    <w:rsid w:val="00280DEE"/>
    <w:rsid w:val="0028100B"/>
    <w:rsid w:val="002810E1"/>
    <w:rsid w:val="0028137A"/>
    <w:rsid w:val="0028156F"/>
    <w:rsid w:val="0028172B"/>
    <w:rsid w:val="002820CC"/>
    <w:rsid w:val="002823D5"/>
    <w:rsid w:val="002837D5"/>
    <w:rsid w:val="00283EE2"/>
    <w:rsid w:val="00284430"/>
    <w:rsid w:val="00285280"/>
    <w:rsid w:val="002852DA"/>
    <w:rsid w:val="0028556D"/>
    <w:rsid w:val="00285ADB"/>
    <w:rsid w:val="002861FF"/>
    <w:rsid w:val="00286308"/>
    <w:rsid w:val="00286555"/>
    <w:rsid w:val="00286842"/>
    <w:rsid w:val="002872A9"/>
    <w:rsid w:val="00287657"/>
    <w:rsid w:val="00287BC0"/>
    <w:rsid w:val="00290084"/>
    <w:rsid w:val="002901AC"/>
    <w:rsid w:val="0029055C"/>
    <w:rsid w:val="00290A89"/>
    <w:rsid w:val="00291113"/>
    <w:rsid w:val="002916C8"/>
    <w:rsid w:val="00292036"/>
    <w:rsid w:val="00292083"/>
    <w:rsid w:val="00293C1D"/>
    <w:rsid w:val="0029411A"/>
    <w:rsid w:val="002953EF"/>
    <w:rsid w:val="00295640"/>
    <w:rsid w:val="0029596F"/>
    <w:rsid w:val="002959FA"/>
    <w:rsid w:val="00295CF8"/>
    <w:rsid w:val="00296B5A"/>
    <w:rsid w:val="00296BA8"/>
    <w:rsid w:val="00296E78"/>
    <w:rsid w:val="0029726C"/>
    <w:rsid w:val="002972BD"/>
    <w:rsid w:val="002976D3"/>
    <w:rsid w:val="00297764"/>
    <w:rsid w:val="00297776"/>
    <w:rsid w:val="002A007F"/>
    <w:rsid w:val="002A02D8"/>
    <w:rsid w:val="002A2880"/>
    <w:rsid w:val="002A40C4"/>
    <w:rsid w:val="002A44DB"/>
    <w:rsid w:val="002A4761"/>
    <w:rsid w:val="002A48F9"/>
    <w:rsid w:val="002A50A5"/>
    <w:rsid w:val="002A5998"/>
    <w:rsid w:val="002A5AEA"/>
    <w:rsid w:val="002A5BE8"/>
    <w:rsid w:val="002A5F4C"/>
    <w:rsid w:val="002A5FCD"/>
    <w:rsid w:val="002A61F1"/>
    <w:rsid w:val="002A7412"/>
    <w:rsid w:val="002B010D"/>
    <w:rsid w:val="002B06CE"/>
    <w:rsid w:val="002B224E"/>
    <w:rsid w:val="002B2780"/>
    <w:rsid w:val="002B2810"/>
    <w:rsid w:val="002B3CCE"/>
    <w:rsid w:val="002B4BA3"/>
    <w:rsid w:val="002B51FF"/>
    <w:rsid w:val="002B5488"/>
    <w:rsid w:val="002B58D5"/>
    <w:rsid w:val="002B6275"/>
    <w:rsid w:val="002B6521"/>
    <w:rsid w:val="002B6824"/>
    <w:rsid w:val="002B6A39"/>
    <w:rsid w:val="002B6C3C"/>
    <w:rsid w:val="002B7010"/>
    <w:rsid w:val="002B72E4"/>
    <w:rsid w:val="002B7CB8"/>
    <w:rsid w:val="002B7F18"/>
    <w:rsid w:val="002C082D"/>
    <w:rsid w:val="002C0C48"/>
    <w:rsid w:val="002C0DA7"/>
    <w:rsid w:val="002C2334"/>
    <w:rsid w:val="002C2BCB"/>
    <w:rsid w:val="002C3877"/>
    <w:rsid w:val="002C4A11"/>
    <w:rsid w:val="002C53BE"/>
    <w:rsid w:val="002C56E0"/>
    <w:rsid w:val="002C6818"/>
    <w:rsid w:val="002C6B0C"/>
    <w:rsid w:val="002C7285"/>
    <w:rsid w:val="002C7472"/>
    <w:rsid w:val="002C7C33"/>
    <w:rsid w:val="002C7E42"/>
    <w:rsid w:val="002D03D5"/>
    <w:rsid w:val="002D065D"/>
    <w:rsid w:val="002D0F2D"/>
    <w:rsid w:val="002D16C9"/>
    <w:rsid w:val="002D1D86"/>
    <w:rsid w:val="002D2463"/>
    <w:rsid w:val="002D3095"/>
    <w:rsid w:val="002D31A2"/>
    <w:rsid w:val="002D3416"/>
    <w:rsid w:val="002D442A"/>
    <w:rsid w:val="002D4CE4"/>
    <w:rsid w:val="002D516B"/>
    <w:rsid w:val="002D5318"/>
    <w:rsid w:val="002D563C"/>
    <w:rsid w:val="002D5B0D"/>
    <w:rsid w:val="002D6036"/>
    <w:rsid w:val="002D6755"/>
    <w:rsid w:val="002D7644"/>
    <w:rsid w:val="002D7DE0"/>
    <w:rsid w:val="002E03CA"/>
    <w:rsid w:val="002E0984"/>
    <w:rsid w:val="002E0EA6"/>
    <w:rsid w:val="002E1B23"/>
    <w:rsid w:val="002E1ED8"/>
    <w:rsid w:val="002E21C7"/>
    <w:rsid w:val="002E2F6D"/>
    <w:rsid w:val="002E337E"/>
    <w:rsid w:val="002E37F1"/>
    <w:rsid w:val="002E42AE"/>
    <w:rsid w:val="002E477D"/>
    <w:rsid w:val="002E51BD"/>
    <w:rsid w:val="002E5450"/>
    <w:rsid w:val="002E5548"/>
    <w:rsid w:val="002E6038"/>
    <w:rsid w:val="002E66A2"/>
    <w:rsid w:val="002E71F9"/>
    <w:rsid w:val="002E7F82"/>
    <w:rsid w:val="002F026C"/>
    <w:rsid w:val="002F02B6"/>
    <w:rsid w:val="002F0438"/>
    <w:rsid w:val="002F1B7E"/>
    <w:rsid w:val="002F2AE0"/>
    <w:rsid w:val="002F2BEC"/>
    <w:rsid w:val="002F38F9"/>
    <w:rsid w:val="002F39B1"/>
    <w:rsid w:val="002F4D85"/>
    <w:rsid w:val="002F57B6"/>
    <w:rsid w:val="002F5E37"/>
    <w:rsid w:val="002F6F48"/>
    <w:rsid w:val="002F7681"/>
    <w:rsid w:val="002F77AF"/>
    <w:rsid w:val="003010A9"/>
    <w:rsid w:val="003011EB"/>
    <w:rsid w:val="00301396"/>
    <w:rsid w:val="00301CDD"/>
    <w:rsid w:val="00301D72"/>
    <w:rsid w:val="00301E87"/>
    <w:rsid w:val="00302310"/>
    <w:rsid w:val="00302945"/>
    <w:rsid w:val="00302DCF"/>
    <w:rsid w:val="0030380E"/>
    <w:rsid w:val="00303BF9"/>
    <w:rsid w:val="00303F4D"/>
    <w:rsid w:val="003043E5"/>
    <w:rsid w:val="003044A5"/>
    <w:rsid w:val="0030456E"/>
    <w:rsid w:val="00304E70"/>
    <w:rsid w:val="00305178"/>
    <w:rsid w:val="00305184"/>
    <w:rsid w:val="00305B47"/>
    <w:rsid w:val="00305B9B"/>
    <w:rsid w:val="00305BFF"/>
    <w:rsid w:val="003064DD"/>
    <w:rsid w:val="00307387"/>
    <w:rsid w:val="00307A28"/>
    <w:rsid w:val="00307F0B"/>
    <w:rsid w:val="00310A4A"/>
    <w:rsid w:val="00311760"/>
    <w:rsid w:val="00311825"/>
    <w:rsid w:val="00311ADC"/>
    <w:rsid w:val="00311F6E"/>
    <w:rsid w:val="00313840"/>
    <w:rsid w:val="00313D04"/>
    <w:rsid w:val="003146A9"/>
    <w:rsid w:val="00314970"/>
    <w:rsid w:val="00314D9E"/>
    <w:rsid w:val="003151A9"/>
    <w:rsid w:val="00315F07"/>
    <w:rsid w:val="00316002"/>
    <w:rsid w:val="003160E6"/>
    <w:rsid w:val="0031618B"/>
    <w:rsid w:val="00316463"/>
    <w:rsid w:val="00316713"/>
    <w:rsid w:val="00316983"/>
    <w:rsid w:val="00316ABD"/>
    <w:rsid w:val="00317B66"/>
    <w:rsid w:val="003200D9"/>
    <w:rsid w:val="00320921"/>
    <w:rsid w:val="00320A94"/>
    <w:rsid w:val="00321647"/>
    <w:rsid w:val="00321BCA"/>
    <w:rsid w:val="00322F9F"/>
    <w:rsid w:val="003234DD"/>
    <w:rsid w:val="00323982"/>
    <w:rsid w:val="00323B93"/>
    <w:rsid w:val="003246D4"/>
    <w:rsid w:val="0032486D"/>
    <w:rsid w:val="00325160"/>
    <w:rsid w:val="00325B29"/>
    <w:rsid w:val="0032633F"/>
    <w:rsid w:val="00326E62"/>
    <w:rsid w:val="003270F0"/>
    <w:rsid w:val="00327154"/>
    <w:rsid w:val="0032747E"/>
    <w:rsid w:val="00327762"/>
    <w:rsid w:val="003277F5"/>
    <w:rsid w:val="00327CCF"/>
    <w:rsid w:val="00327F34"/>
    <w:rsid w:val="00330716"/>
    <w:rsid w:val="003313EE"/>
    <w:rsid w:val="003316FB"/>
    <w:rsid w:val="00331B9C"/>
    <w:rsid w:val="00331D58"/>
    <w:rsid w:val="0033281E"/>
    <w:rsid w:val="00332BE1"/>
    <w:rsid w:val="003332BD"/>
    <w:rsid w:val="003339A4"/>
    <w:rsid w:val="00333B05"/>
    <w:rsid w:val="00333DCD"/>
    <w:rsid w:val="00333DED"/>
    <w:rsid w:val="003349EB"/>
    <w:rsid w:val="003356CD"/>
    <w:rsid w:val="00335740"/>
    <w:rsid w:val="00336CA4"/>
    <w:rsid w:val="00337386"/>
    <w:rsid w:val="003376DF"/>
    <w:rsid w:val="003378CD"/>
    <w:rsid w:val="0034008A"/>
    <w:rsid w:val="00340A7C"/>
    <w:rsid w:val="00341497"/>
    <w:rsid w:val="003439D1"/>
    <w:rsid w:val="00343D5C"/>
    <w:rsid w:val="00343FB8"/>
    <w:rsid w:val="003443EB"/>
    <w:rsid w:val="003471FA"/>
    <w:rsid w:val="0034788B"/>
    <w:rsid w:val="003502CB"/>
    <w:rsid w:val="00350A65"/>
    <w:rsid w:val="00350DD0"/>
    <w:rsid w:val="00350F90"/>
    <w:rsid w:val="0035134F"/>
    <w:rsid w:val="003513F6"/>
    <w:rsid w:val="00351EBA"/>
    <w:rsid w:val="00352711"/>
    <w:rsid w:val="0035287D"/>
    <w:rsid w:val="0035293A"/>
    <w:rsid w:val="003536D0"/>
    <w:rsid w:val="00354B2F"/>
    <w:rsid w:val="00355502"/>
    <w:rsid w:val="00355775"/>
    <w:rsid w:val="00355996"/>
    <w:rsid w:val="00356A32"/>
    <w:rsid w:val="00356E32"/>
    <w:rsid w:val="003576EA"/>
    <w:rsid w:val="0036003D"/>
    <w:rsid w:val="003605A4"/>
    <w:rsid w:val="00360D88"/>
    <w:rsid w:val="00361473"/>
    <w:rsid w:val="00361E8D"/>
    <w:rsid w:val="0036289A"/>
    <w:rsid w:val="0036295E"/>
    <w:rsid w:val="0036484B"/>
    <w:rsid w:val="00364A34"/>
    <w:rsid w:val="00364AEA"/>
    <w:rsid w:val="00364D3B"/>
    <w:rsid w:val="0036671D"/>
    <w:rsid w:val="003669E3"/>
    <w:rsid w:val="003670DE"/>
    <w:rsid w:val="00373680"/>
    <w:rsid w:val="0037432E"/>
    <w:rsid w:val="00374557"/>
    <w:rsid w:val="00374F90"/>
    <w:rsid w:val="003750DB"/>
    <w:rsid w:val="003762F0"/>
    <w:rsid w:val="00376965"/>
    <w:rsid w:val="003770C0"/>
    <w:rsid w:val="00377206"/>
    <w:rsid w:val="00377A0C"/>
    <w:rsid w:val="00377C53"/>
    <w:rsid w:val="0038005F"/>
    <w:rsid w:val="0038109A"/>
    <w:rsid w:val="00381485"/>
    <w:rsid w:val="00381FE4"/>
    <w:rsid w:val="0038247A"/>
    <w:rsid w:val="00383339"/>
    <w:rsid w:val="003840E8"/>
    <w:rsid w:val="003844BE"/>
    <w:rsid w:val="00384895"/>
    <w:rsid w:val="00384B30"/>
    <w:rsid w:val="00385078"/>
    <w:rsid w:val="00385DBE"/>
    <w:rsid w:val="003869F9"/>
    <w:rsid w:val="00387144"/>
    <w:rsid w:val="00387454"/>
    <w:rsid w:val="00387D42"/>
    <w:rsid w:val="0039022E"/>
    <w:rsid w:val="003909EC"/>
    <w:rsid w:val="00391191"/>
    <w:rsid w:val="00391A35"/>
    <w:rsid w:val="00391C1E"/>
    <w:rsid w:val="00392140"/>
    <w:rsid w:val="0039292E"/>
    <w:rsid w:val="00392B04"/>
    <w:rsid w:val="00393376"/>
    <w:rsid w:val="0039381C"/>
    <w:rsid w:val="00393BA1"/>
    <w:rsid w:val="00394209"/>
    <w:rsid w:val="00394621"/>
    <w:rsid w:val="00395170"/>
    <w:rsid w:val="00396197"/>
    <w:rsid w:val="00396CB9"/>
    <w:rsid w:val="003A0B70"/>
    <w:rsid w:val="003A2398"/>
    <w:rsid w:val="003A24B4"/>
    <w:rsid w:val="003A2673"/>
    <w:rsid w:val="003A3D1B"/>
    <w:rsid w:val="003A4061"/>
    <w:rsid w:val="003A50AB"/>
    <w:rsid w:val="003A50CC"/>
    <w:rsid w:val="003A5913"/>
    <w:rsid w:val="003A5CA9"/>
    <w:rsid w:val="003A70DC"/>
    <w:rsid w:val="003A7396"/>
    <w:rsid w:val="003A7F6E"/>
    <w:rsid w:val="003B07EA"/>
    <w:rsid w:val="003B1109"/>
    <w:rsid w:val="003B1173"/>
    <w:rsid w:val="003B218F"/>
    <w:rsid w:val="003B264C"/>
    <w:rsid w:val="003B2AB3"/>
    <w:rsid w:val="003B2CC8"/>
    <w:rsid w:val="003B3A9F"/>
    <w:rsid w:val="003B44ED"/>
    <w:rsid w:val="003B5217"/>
    <w:rsid w:val="003B5530"/>
    <w:rsid w:val="003B5A6C"/>
    <w:rsid w:val="003B61E1"/>
    <w:rsid w:val="003B7078"/>
    <w:rsid w:val="003B73AF"/>
    <w:rsid w:val="003B74EC"/>
    <w:rsid w:val="003B7F38"/>
    <w:rsid w:val="003C018C"/>
    <w:rsid w:val="003C034F"/>
    <w:rsid w:val="003C0BAC"/>
    <w:rsid w:val="003C0EF9"/>
    <w:rsid w:val="003C1300"/>
    <w:rsid w:val="003C1F88"/>
    <w:rsid w:val="003C2262"/>
    <w:rsid w:val="003C29F5"/>
    <w:rsid w:val="003C29FA"/>
    <w:rsid w:val="003C2B96"/>
    <w:rsid w:val="003C2D59"/>
    <w:rsid w:val="003C3B4B"/>
    <w:rsid w:val="003C3BF5"/>
    <w:rsid w:val="003C43E3"/>
    <w:rsid w:val="003C5456"/>
    <w:rsid w:val="003C5952"/>
    <w:rsid w:val="003C5CFA"/>
    <w:rsid w:val="003C6578"/>
    <w:rsid w:val="003C6814"/>
    <w:rsid w:val="003C6B81"/>
    <w:rsid w:val="003C7092"/>
    <w:rsid w:val="003C7940"/>
    <w:rsid w:val="003D012F"/>
    <w:rsid w:val="003D1C88"/>
    <w:rsid w:val="003D1E07"/>
    <w:rsid w:val="003D25E3"/>
    <w:rsid w:val="003D262C"/>
    <w:rsid w:val="003D3637"/>
    <w:rsid w:val="003D3B62"/>
    <w:rsid w:val="003D592E"/>
    <w:rsid w:val="003D5C45"/>
    <w:rsid w:val="003D5D4C"/>
    <w:rsid w:val="003D5FFC"/>
    <w:rsid w:val="003E082B"/>
    <w:rsid w:val="003E0AEE"/>
    <w:rsid w:val="003E1459"/>
    <w:rsid w:val="003E2338"/>
    <w:rsid w:val="003E26D0"/>
    <w:rsid w:val="003E3D27"/>
    <w:rsid w:val="003E3EE0"/>
    <w:rsid w:val="003E456D"/>
    <w:rsid w:val="003E5026"/>
    <w:rsid w:val="003E58F8"/>
    <w:rsid w:val="003E6001"/>
    <w:rsid w:val="003E60CA"/>
    <w:rsid w:val="003E60D1"/>
    <w:rsid w:val="003E6275"/>
    <w:rsid w:val="003E68ED"/>
    <w:rsid w:val="003E6961"/>
    <w:rsid w:val="003E7C85"/>
    <w:rsid w:val="003F08F0"/>
    <w:rsid w:val="003F090B"/>
    <w:rsid w:val="003F0E8D"/>
    <w:rsid w:val="003F124C"/>
    <w:rsid w:val="003F17A2"/>
    <w:rsid w:val="003F1C06"/>
    <w:rsid w:val="003F1EE3"/>
    <w:rsid w:val="003F1F4B"/>
    <w:rsid w:val="003F24E9"/>
    <w:rsid w:val="003F26F8"/>
    <w:rsid w:val="003F27C5"/>
    <w:rsid w:val="003F28B2"/>
    <w:rsid w:val="003F2DF5"/>
    <w:rsid w:val="003F2EC3"/>
    <w:rsid w:val="003F4150"/>
    <w:rsid w:val="003F4321"/>
    <w:rsid w:val="003F5C02"/>
    <w:rsid w:val="003F6DFD"/>
    <w:rsid w:val="003F7E06"/>
    <w:rsid w:val="003F7F8B"/>
    <w:rsid w:val="00400A8F"/>
    <w:rsid w:val="004015D5"/>
    <w:rsid w:val="0040162B"/>
    <w:rsid w:val="004016F2"/>
    <w:rsid w:val="0040282F"/>
    <w:rsid w:val="00402A39"/>
    <w:rsid w:val="00402B0A"/>
    <w:rsid w:val="004034FC"/>
    <w:rsid w:val="00404F1F"/>
    <w:rsid w:val="00405ACB"/>
    <w:rsid w:val="004062F3"/>
    <w:rsid w:val="00406F1C"/>
    <w:rsid w:val="00407739"/>
    <w:rsid w:val="00407A44"/>
    <w:rsid w:val="0041069F"/>
    <w:rsid w:val="00410CDF"/>
    <w:rsid w:val="004112AF"/>
    <w:rsid w:val="004116E8"/>
    <w:rsid w:val="004119AE"/>
    <w:rsid w:val="0041217E"/>
    <w:rsid w:val="00412ED4"/>
    <w:rsid w:val="004130E4"/>
    <w:rsid w:val="00414922"/>
    <w:rsid w:val="00414E65"/>
    <w:rsid w:val="00415060"/>
    <w:rsid w:val="004156E9"/>
    <w:rsid w:val="0041608B"/>
    <w:rsid w:val="00416455"/>
    <w:rsid w:val="0041658D"/>
    <w:rsid w:val="00416D5B"/>
    <w:rsid w:val="0041730E"/>
    <w:rsid w:val="0042020C"/>
    <w:rsid w:val="004217FE"/>
    <w:rsid w:val="004218AD"/>
    <w:rsid w:val="00421FCE"/>
    <w:rsid w:val="00421FD1"/>
    <w:rsid w:val="0042232E"/>
    <w:rsid w:val="00422461"/>
    <w:rsid w:val="00422A19"/>
    <w:rsid w:val="00422A46"/>
    <w:rsid w:val="004230C4"/>
    <w:rsid w:val="0042388A"/>
    <w:rsid w:val="00424017"/>
    <w:rsid w:val="00424394"/>
    <w:rsid w:val="0042468F"/>
    <w:rsid w:val="00424830"/>
    <w:rsid w:val="00424E10"/>
    <w:rsid w:val="00424F71"/>
    <w:rsid w:val="00425A5B"/>
    <w:rsid w:val="004262AB"/>
    <w:rsid w:val="0043037A"/>
    <w:rsid w:val="0043037D"/>
    <w:rsid w:val="004308AB"/>
    <w:rsid w:val="00430AF6"/>
    <w:rsid w:val="00430FA9"/>
    <w:rsid w:val="004310F7"/>
    <w:rsid w:val="00431876"/>
    <w:rsid w:val="00431C76"/>
    <w:rsid w:val="00431E8D"/>
    <w:rsid w:val="00432010"/>
    <w:rsid w:val="0043229F"/>
    <w:rsid w:val="00432660"/>
    <w:rsid w:val="00433047"/>
    <w:rsid w:val="004333E3"/>
    <w:rsid w:val="004336D8"/>
    <w:rsid w:val="00433743"/>
    <w:rsid w:val="00434195"/>
    <w:rsid w:val="00434C93"/>
    <w:rsid w:val="00435982"/>
    <w:rsid w:val="00435D9B"/>
    <w:rsid w:val="00435F07"/>
    <w:rsid w:val="0043653B"/>
    <w:rsid w:val="00440326"/>
    <w:rsid w:val="004416E2"/>
    <w:rsid w:val="00442DB8"/>
    <w:rsid w:val="0044434F"/>
    <w:rsid w:val="00444431"/>
    <w:rsid w:val="00444632"/>
    <w:rsid w:val="00444A43"/>
    <w:rsid w:val="0044519C"/>
    <w:rsid w:val="00445CE2"/>
    <w:rsid w:val="00447026"/>
    <w:rsid w:val="0044750E"/>
    <w:rsid w:val="00447612"/>
    <w:rsid w:val="00447B87"/>
    <w:rsid w:val="00447EB2"/>
    <w:rsid w:val="00447F8E"/>
    <w:rsid w:val="004505A5"/>
    <w:rsid w:val="0045095F"/>
    <w:rsid w:val="00450DE3"/>
    <w:rsid w:val="00450EAD"/>
    <w:rsid w:val="004527D8"/>
    <w:rsid w:val="00452808"/>
    <w:rsid w:val="004534C6"/>
    <w:rsid w:val="00453875"/>
    <w:rsid w:val="004545FE"/>
    <w:rsid w:val="00454CA4"/>
    <w:rsid w:val="00454CBD"/>
    <w:rsid w:val="00454E52"/>
    <w:rsid w:val="004551EE"/>
    <w:rsid w:val="0045536B"/>
    <w:rsid w:val="0045567A"/>
    <w:rsid w:val="0045598B"/>
    <w:rsid w:val="00455EBB"/>
    <w:rsid w:val="004564E0"/>
    <w:rsid w:val="00456E25"/>
    <w:rsid w:val="00457054"/>
    <w:rsid w:val="0045744F"/>
    <w:rsid w:val="00457A7E"/>
    <w:rsid w:val="00457DFF"/>
    <w:rsid w:val="0046045C"/>
    <w:rsid w:val="00461183"/>
    <w:rsid w:val="0046122F"/>
    <w:rsid w:val="00461609"/>
    <w:rsid w:val="004625A9"/>
    <w:rsid w:val="00462A1F"/>
    <w:rsid w:val="00463387"/>
    <w:rsid w:val="00463C7B"/>
    <w:rsid w:val="00464009"/>
    <w:rsid w:val="0046419F"/>
    <w:rsid w:val="00464C69"/>
    <w:rsid w:val="004652AB"/>
    <w:rsid w:val="00465394"/>
    <w:rsid w:val="00465B32"/>
    <w:rsid w:val="00465E52"/>
    <w:rsid w:val="004662B6"/>
    <w:rsid w:val="00466473"/>
    <w:rsid w:val="00466815"/>
    <w:rsid w:val="00466FCD"/>
    <w:rsid w:val="004672EC"/>
    <w:rsid w:val="00470674"/>
    <w:rsid w:val="004708A0"/>
    <w:rsid w:val="004710FC"/>
    <w:rsid w:val="004712AE"/>
    <w:rsid w:val="00471FA2"/>
    <w:rsid w:val="0047294F"/>
    <w:rsid w:val="00472EE4"/>
    <w:rsid w:val="004730BA"/>
    <w:rsid w:val="0047389B"/>
    <w:rsid w:val="004739F9"/>
    <w:rsid w:val="00474CFE"/>
    <w:rsid w:val="00475046"/>
    <w:rsid w:val="00475A05"/>
    <w:rsid w:val="00475AE5"/>
    <w:rsid w:val="00476217"/>
    <w:rsid w:val="004764C3"/>
    <w:rsid w:val="0047796C"/>
    <w:rsid w:val="00480241"/>
    <w:rsid w:val="00480703"/>
    <w:rsid w:val="0048149E"/>
    <w:rsid w:val="004817CE"/>
    <w:rsid w:val="00481AA2"/>
    <w:rsid w:val="00481B21"/>
    <w:rsid w:val="0048235A"/>
    <w:rsid w:val="004826A4"/>
    <w:rsid w:val="00482938"/>
    <w:rsid w:val="00482EAB"/>
    <w:rsid w:val="0048358A"/>
    <w:rsid w:val="00483A73"/>
    <w:rsid w:val="00483FCA"/>
    <w:rsid w:val="00485438"/>
    <w:rsid w:val="00485975"/>
    <w:rsid w:val="00486609"/>
    <w:rsid w:val="0048766C"/>
    <w:rsid w:val="00487A3A"/>
    <w:rsid w:val="00487E02"/>
    <w:rsid w:val="00490182"/>
    <w:rsid w:val="00490EBB"/>
    <w:rsid w:val="00491F86"/>
    <w:rsid w:val="004927A9"/>
    <w:rsid w:val="004936FF"/>
    <w:rsid w:val="00493BBE"/>
    <w:rsid w:val="00493FF0"/>
    <w:rsid w:val="00494237"/>
    <w:rsid w:val="00494AFB"/>
    <w:rsid w:val="004950D9"/>
    <w:rsid w:val="004955F8"/>
    <w:rsid w:val="004959CD"/>
    <w:rsid w:val="00496385"/>
    <w:rsid w:val="00496F62"/>
    <w:rsid w:val="00497E21"/>
    <w:rsid w:val="004A005D"/>
    <w:rsid w:val="004A026B"/>
    <w:rsid w:val="004A0405"/>
    <w:rsid w:val="004A059B"/>
    <w:rsid w:val="004A0E6F"/>
    <w:rsid w:val="004A1536"/>
    <w:rsid w:val="004A1687"/>
    <w:rsid w:val="004A17CF"/>
    <w:rsid w:val="004A191A"/>
    <w:rsid w:val="004A1C6D"/>
    <w:rsid w:val="004A2C65"/>
    <w:rsid w:val="004A374D"/>
    <w:rsid w:val="004A38B3"/>
    <w:rsid w:val="004A4612"/>
    <w:rsid w:val="004A4C96"/>
    <w:rsid w:val="004A5461"/>
    <w:rsid w:val="004A57F2"/>
    <w:rsid w:val="004A5B79"/>
    <w:rsid w:val="004A608C"/>
    <w:rsid w:val="004A65D1"/>
    <w:rsid w:val="004A7340"/>
    <w:rsid w:val="004A74A5"/>
    <w:rsid w:val="004A7628"/>
    <w:rsid w:val="004A7AE8"/>
    <w:rsid w:val="004B10BB"/>
    <w:rsid w:val="004B15F5"/>
    <w:rsid w:val="004B183A"/>
    <w:rsid w:val="004B1D23"/>
    <w:rsid w:val="004B27DB"/>
    <w:rsid w:val="004B2DA8"/>
    <w:rsid w:val="004B3C39"/>
    <w:rsid w:val="004B3D4D"/>
    <w:rsid w:val="004B3DAB"/>
    <w:rsid w:val="004B51A1"/>
    <w:rsid w:val="004B571D"/>
    <w:rsid w:val="004B57A1"/>
    <w:rsid w:val="004B57B9"/>
    <w:rsid w:val="004B59C3"/>
    <w:rsid w:val="004B6CAB"/>
    <w:rsid w:val="004C0D48"/>
    <w:rsid w:val="004C1813"/>
    <w:rsid w:val="004C19BB"/>
    <w:rsid w:val="004C3322"/>
    <w:rsid w:val="004C4135"/>
    <w:rsid w:val="004C4A96"/>
    <w:rsid w:val="004C564E"/>
    <w:rsid w:val="004C5D4F"/>
    <w:rsid w:val="004C6BC3"/>
    <w:rsid w:val="004C73C7"/>
    <w:rsid w:val="004C77BC"/>
    <w:rsid w:val="004C7B98"/>
    <w:rsid w:val="004D034C"/>
    <w:rsid w:val="004D0E02"/>
    <w:rsid w:val="004D121F"/>
    <w:rsid w:val="004D124C"/>
    <w:rsid w:val="004D13A8"/>
    <w:rsid w:val="004D2C31"/>
    <w:rsid w:val="004D35F2"/>
    <w:rsid w:val="004D3812"/>
    <w:rsid w:val="004D3855"/>
    <w:rsid w:val="004D3CC3"/>
    <w:rsid w:val="004D3FDF"/>
    <w:rsid w:val="004D415B"/>
    <w:rsid w:val="004D4365"/>
    <w:rsid w:val="004D4FEB"/>
    <w:rsid w:val="004D5DC6"/>
    <w:rsid w:val="004D6116"/>
    <w:rsid w:val="004D6887"/>
    <w:rsid w:val="004D732D"/>
    <w:rsid w:val="004D768B"/>
    <w:rsid w:val="004D7AEA"/>
    <w:rsid w:val="004D7DB0"/>
    <w:rsid w:val="004E0EA6"/>
    <w:rsid w:val="004E127B"/>
    <w:rsid w:val="004E1996"/>
    <w:rsid w:val="004E23BC"/>
    <w:rsid w:val="004E3E08"/>
    <w:rsid w:val="004E4595"/>
    <w:rsid w:val="004E4892"/>
    <w:rsid w:val="004E53CA"/>
    <w:rsid w:val="004E5E1D"/>
    <w:rsid w:val="004E612C"/>
    <w:rsid w:val="004E66C4"/>
    <w:rsid w:val="004E71B9"/>
    <w:rsid w:val="004E779B"/>
    <w:rsid w:val="004E796C"/>
    <w:rsid w:val="004E7AE3"/>
    <w:rsid w:val="004E7F34"/>
    <w:rsid w:val="004E7FEF"/>
    <w:rsid w:val="004F14FE"/>
    <w:rsid w:val="004F182B"/>
    <w:rsid w:val="004F2182"/>
    <w:rsid w:val="004F2229"/>
    <w:rsid w:val="004F237C"/>
    <w:rsid w:val="004F3445"/>
    <w:rsid w:val="004F3456"/>
    <w:rsid w:val="004F355F"/>
    <w:rsid w:val="004F3CAF"/>
    <w:rsid w:val="004F408E"/>
    <w:rsid w:val="004F4A95"/>
    <w:rsid w:val="004F4CE8"/>
    <w:rsid w:val="004F4FFF"/>
    <w:rsid w:val="004F571E"/>
    <w:rsid w:val="004F576E"/>
    <w:rsid w:val="004F5786"/>
    <w:rsid w:val="0050030E"/>
    <w:rsid w:val="00500892"/>
    <w:rsid w:val="005012E5"/>
    <w:rsid w:val="00501467"/>
    <w:rsid w:val="00501993"/>
    <w:rsid w:val="00502380"/>
    <w:rsid w:val="00502567"/>
    <w:rsid w:val="00502B25"/>
    <w:rsid w:val="00502FB6"/>
    <w:rsid w:val="0050452A"/>
    <w:rsid w:val="0050474D"/>
    <w:rsid w:val="0050480E"/>
    <w:rsid w:val="005048C2"/>
    <w:rsid w:val="00505218"/>
    <w:rsid w:val="005067D6"/>
    <w:rsid w:val="00506C88"/>
    <w:rsid w:val="00507811"/>
    <w:rsid w:val="00511312"/>
    <w:rsid w:val="00512A56"/>
    <w:rsid w:val="00512DAA"/>
    <w:rsid w:val="00513FFE"/>
    <w:rsid w:val="00515A3D"/>
    <w:rsid w:val="00515F07"/>
    <w:rsid w:val="00516CE3"/>
    <w:rsid w:val="0051769C"/>
    <w:rsid w:val="005177D5"/>
    <w:rsid w:val="00517C08"/>
    <w:rsid w:val="00520F01"/>
    <w:rsid w:val="00521FF5"/>
    <w:rsid w:val="00522F09"/>
    <w:rsid w:val="00523273"/>
    <w:rsid w:val="005234CB"/>
    <w:rsid w:val="00524525"/>
    <w:rsid w:val="00524555"/>
    <w:rsid w:val="00524CAA"/>
    <w:rsid w:val="00525068"/>
    <w:rsid w:val="0052542B"/>
    <w:rsid w:val="00525769"/>
    <w:rsid w:val="00525C94"/>
    <w:rsid w:val="005260FF"/>
    <w:rsid w:val="005269D7"/>
    <w:rsid w:val="00526AB7"/>
    <w:rsid w:val="005277F0"/>
    <w:rsid w:val="00527ABF"/>
    <w:rsid w:val="00527EC2"/>
    <w:rsid w:val="005304CB"/>
    <w:rsid w:val="0053057B"/>
    <w:rsid w:val="00531AB0"/>
    <w:rsid w:val="0053222E"/>
    <w:rsid w:val="00532A56"/>
    <w:rsid w:val="005331C1"/>
    <w:rsid w:val="00534D91"/>
    <w:rsid w:val="0053545B"/>
    <w:rsid w:val="005364A0"/>
    <w:rsid w:val="00537281"/>
    <w:rsid w:val="0053798D"/>
    <w:rsid w:val="00537CF2"/>
    <w:rsid w:val="00540AA5"/>
    <w:rsid w:val="00540F0B"/>
    <w:rsid w:val="005419E5"/>
    <w:rsid w:val="005422B4"/>
    <w:rsid w:val="00542325"/>
    <w:rsid w:val="00542F1D"/>
    <w:rsid w:val="00543E55"/>
    <w:rsid w:val="00543EDD"/>
    <w:rsid w:val="00544121"/>
    <w:rsid w:val="00544392"/>
    <w:rsid w:val="00544510"/>
    <w:rsid w:val="00544831"/>
    <w:rsid w:val="00545436"/>
    <w:rsid w:val="005467D7"/>
    <w:rsid w:val="00546986"/>
    <w:rsid w:val="00546A6F"/>
    <w:rsid w:val="00547DF4"/>
    <w:rsid w:val="005505D9"/>
    <w:rsid w:val="0055173E"/>
    <w:rsid w:val="00552365"/>
    <w:rsid w:val="005529CC"/>
    <w:rsid w:val="00552FDC"/>
    <w:rsid w:val="00553158"/>
    <w:rsid w:val="00553294"/>
    <w:rsid w:val="00554270"/>
    <w:rsid w:val="0055588B"/>
    <w:rsid w:val="00555C81"/>
    <w:rsid w:val="005601FE"/>
    <w:rsid w:val="00561049"/>
    <w:rsid w:val="005622F9"/>
    <w:rsid w:val="00563426"/>
    <w:rsid w:val="00563D50"/>
    <w:rsid w:val="00563E55"/>
    <w:rsid w:val="005643F7"/>
    <w:rsid w:val="00565818"/>
    <w:rsid w:val="00565FDC"/>
    <w:rsid w:val="00570231"/>
    <w:rsid w:val="00571384"/>
    <w:rsid w:val="005714A7"/>
    <w:rsid w:val="00571A12"/>
    <w:rsid w:val="00572084"/>
    <w:rsid w:val="00572364"/>
    <w:rsid w:val="00572925"/>
    <w:rsid w:val="00572EBF"/>
    <w:rsid w:val="005733C9"/>
    <w:rsid w:val="00573490"/>
    <w:rsid w:val="005736A9"/>
    <w:rsid w:val="00573E9C"/>
    <w:rsid w:val="00574954"/>
    <w:rsid w:val="00575C73"/>
    <w:rsid w:val="00575D72"/>
    <w:rsid w:val="00575E1D"/>
    <w:rsid w:val="00575E8A"/>
    <w:rsid w:val="00576B07"/>
    <w:rsid w:val="00576EEF"/>
    <w:rsid w:val="005804C1"/>
    <w:rsid w:val="00580812"/>
    <w:rsid w:val="00580A3A"/>
    <w:rsid w:val="00580B7D"/>
    <w:rsid w:val="00580D05"/>
    <w:rsid w:val="005810F4"/>
    <w:rsid w:val="0058136A"/>
    <w:rsid w:val="00581639"/>
    <w:rsid w:val="0058180E"/>
    <w:rsid w:val="00581B70"/>
    <w:rsid w:val="0058228B"/>
    <w:rsid w:val="005830DF"/>
    <w:rsid w:val="00583285"/>
    <w:rsid w:val="00583387"/>
    <w:rsid w:val="005833B3"/>
    <w:rsid w:val="005834E7"/>
    <w:rsid w:val="0058354C"/>
    <w:rsid w:val="00583A49"/>
    <w:rsid w:val="00583EB1"/>
    <w:rsid w:val="00584045"/>
    <w:rsid w:val="00584112"/>
    <w:rsid w:val="005843C5"/>
    <w:rsid w:val="00584663"/>
    <w:rsid w:val="00584E73"/>
    <w:rsid w:val="00585188"/>
    <w:rsid w:val="00585392"/>
    <w:rsid w:val="0058560E"/>
    <w:rsid w:val="005861B8"/>
    <w:rsid w:val="00586F4F"/>
    <w:rsid w:val="00587149"/>
    <w:rsid w:val="005874FB"/>
    <w:rsid w:val="00590473"/>
    <w:rsid w:val="00590796"/>
    <w:rsid w:val="005909B5"/>
    <w:rsid w:val="00590F76"/>
    <w:rsid w:val="00591028"/>
    <w:rsid w:val="00591B70"/>
    <w:rsid w:val="00592460"/>
    <w:rsid w:val="00592638"/>
    <w:rsid w:val="00592DB2"/>
    <w:rsid w:val="005931B9"/>
    <w:rsid w:val="00593A4E"/>
    <w:rsid w:val="00593CB9"/>
    <w:rsid w:val="00594F52"/>
    <w:rsid w:val="00595155"/>
    <w:rsid w:val="0059524C"/>
    <w:rsid w:val="00595C44"/>
    <w:rsid w:val="0059617E"/>
    <w:rsid w:val="0059682B"/>
    <w:rsid w:val="005969B8"/>
    <w:rsid w:val="00596FEC"/>
    <w:rsid w:val="005A061F"/>
    <w:rsid w:val="005A08A9"/>
    <w:rsid w:val="005A13C8"/>
    <w:rsid w:val="005A1B99"/>
    <w:rsid w:val="005A2049"/>
    <w:rsid w:val="005A2355"/>
    <w:rsid w:val="005A2CF5"/>
    <w:rsid w:val="005A340E"/>
    <w:rsid w:val="005A36D5"/>
    <w:rsid w:val="005A3866"/>
    <w:rsid w:val="005A3C83"/>
    <w:rsid w:val="005A3D00"/>
    <w:rsid w:val="005A43E4"/>
    <w:rsid w:val="005A4BCB"/>
    <w:rsid w:val="005A4D52"/>
    <w:rsid w:val="005A521D"/>
    <w:rsid w:val="005A5F56"/>
    <w:rsid w:val="005A6016"/>
    <w:rsid w:val="005A6B33"/>
    <w:rsid w:val="005A6D4D"/>
    <w:rsid w:val="005A70D4"/>
    <w:rsid w:val="005A71CF"/>
    <w:rsid w:val="005A7792"/>
    <w:rsid w:val="005B014B"/>
    <w:rsid w:val="005B037A"/>
    <w:rsid w:val="005B0A9E"/>
    <w:rsid w:val="005B1438"/>
    <w:rsid w:val="005B15F2"/>
    <w:rsid w:val="005B1A08"/>
    <w:rsid w:val="005B1C5A"/>
    <w:rsid w:val="005B1DC0"/>
    <w:rsid w:val="005B36F8"/>
    <w:rsid w:val="005B37A9"/>
    <w:rsid w:val="005B4E3A"/>
    <w:rsid w:val="005B5245"/>
    <w:rsid w:val="005B5EC4"/>
    <w:rsid w:val="005B6DCB"/>
    <w:rsid w:val="005B6E61"/>
    <w:rsid w:val="005B701C"/>
    <w:rsid w:val="005B7BA8"/>
    <w:rsid w:val="005B7C91"/>
    <w:rsid w:val="005C01E4"/>
    <w:rsid w:val="005C0691"/>
    <w:rsid w:val="005C0732"/>
    <w:rsid w:val="005C0841"/>
    <w:rsid w:val="005C0EB0"/>
    <w:rsid w:val="005C1141"/>
    <w:rsid w:val="005C12DD"/>
    <w:rsid w:val="005C13E1"/>
    <w:rsid w:val="005C1CAE"/>
    <w:rsid w:val="005C2239"/>
    <w:rsid w:val="005C23D5"/>
    <w:rsid w:val="005C25D1"/>
    <w:rsid w:val="005C2B13"/>
    <w:rsid w:val="005C2B93"/>
    <w:rsid w:val="005C3662"/>
    <w:rsid w:val="005C3B23"/>
    <w:rsid w:val="005C5BA5"/>
    <w:rsid w:val="005C6160"/>
    <w:rsid w:val="005C65C9"/>
    <w:rsid w:val="005C6A6D"/>
    <w:rsid w:val="005C72B0"/>
    <w:rsid w:val="005C7776"/>
    <w:rsid w:val="005C7864"/>
    <w:rsid w:val="005D02F9"/>
    <w:rsid w:val="005D04E2"/>
    <w:rsid w:val="005D0B74"/>
    <w:rsid w:val="005D12D6"/>
    <w:rsid w:val="005D1457"/>
    <w:rsid w:val="005D2243"/>
    <w:rsid w:val="005D2450"/>
    <w:rsid w:val="005D28B0"/>
    <w:rsid w:val="005D2BCE"/>
    <w:rsid w:val="005D5BE3"/>
    <w:rsid w:val="005D6890"/>
    <w:rsid w:val="005D6D0C"/>
    <w:rsid w:val="005E0953"/>
    <w:rsid w:val="005E09F2"/>
    <w:rsid w:val="005E1149"/>
    <w:rsid w:val="005E17B1"/>
    <w:rsid w:val="005E1F10"/>
    <w:rsid w:val="005E376C"/>
    <w:rsid w:val="005E3BFF"/>
    <w:rsid w:val="005E3F9F"/>
    <w:rsid w:val="005E3FE4"/>
    <w:rsid w:val="005E418E"/>
    <w:rsid w:val="005E45B3"/>
    <w:rsid w:val="005E4857"/>
    <w:rsid w:val="005E4C5E"/>
    <w:rsid w:val="005E5135"/>
    <w:rsid w:val="005E5278"/>
    <w:rsid w:val="005E6C3F"/>
    <w:rsid w:val="005E6E67"/>
    <w:rsid w:val="005E7337"/>
    <w:rsid w:val="005E74FD"/>
    <w:rsid w:val="005E77B9"/>
    <w:rsid w:val="005E78C4"/>
    <w:rsid w:val="005F15CD"/>
    <w:rsid w:val="005F18B4"/>
    <w:rsid w:val="005F1EB0"/>
    <w:rsid w:val="005F21F6"/>
    <w:rsid w:val="005F2710"/>
    <w:rsid w:val="005F2AD3"/>
    <w:rsid w:val="005F30C1"/>
    <w:rsid w:val="005F4C01"/>
    <w:rsid w:val="005F5246"/>
    <w:rsid w:val="005F5342"/>
    <w:rsid w:val="005F5B8D"/>
    <w:rsid w:val="005F5D17"/>
    <w:rsid w:val="005F5FFD"/>
    <w:rsid w:val="005F5FFE"/>
    <w:rsid w:val="005F6F0F"/>
    <w:rsid w:val="005F715C"/>
    <w:rsid w:val="005F7406"/>
    <w:rsid w:val="00600C89"/>
    <w:rsid w:val="00600F2A"/>
    <w:rsid w:val="006014E4"/>
    <w:rsid w:val="00601822"/>
    <w:rsid w:val="00601935"/>
    <w:rsid w:val="00601A99"/>
    <w:rsid w:val="00601F43"/>
    <w:rsid w:val="00602158"/>
    <w:rsid w:val="00602ADA"/>
    <w:rsid w:val="00604449"/>
    <w:rsid w:val="0060472C"/>
    <w:rsid w:val="00606E6D"/>
    <w:rsid w:val="00607A64"/>
    <w:rsid w:val="00607BA8"/>
    <w:rsid w:val="00607ED7"/>
    <w:rsid w:val="00610072"/>
    <w:rsid w:val="006100B6"/>
    <w:rsid w:val="00610150"/>
    <w:rsid w:val="00610702"/>
    <w:rsid w:val="00611444"/>
    <w:rsid w:val="0061184B"/>
    <w:rsid w:val="0061233C"/>
    <w:rsid w:val="006129C4"/>
    <w:rsid w:val="00613B06"/>
    <w:rsid w:val="006140E6"/>
    <w:rsid w:val="0061416B"/>
    <w:rsid w:val="00614851"/>
    <w:rsid w:val="0061585D"/>
    <w:rsid w:val="00615D5E"/>
    <w:rsid w:val="00616678"/>
    <w:rsid w:val="006166A5"/>
    <w:rsid w:val="00616A33"/>
    <w:rsid w:val="00616E57"/>
    <w:rsid w:val="00617008"/>
    <w:rsid w:val="00617044"/>
    <w:rsid w:val="006203E1"/>
    <w:rsid w:val="00620EDF"/>
    <w:rsid w:val="0062185F"/>
    <w:rsid w:val="00622326"/>
    <w:rsid w:val="0062295C"/>
    <w:rsid w:val="00623239"/>
    <w:rsid w:val="00623484"/>
    <w:rsid w:val="0062379E"/>
    <w:rsid w:val="006244C7"/>
    <w:rsid w:val="006246C8"/>
    <w:rsid w:val="00625380"/>
    <w:rsid w:val="0062540C"/>
    <w:rsid w:val="00626145"/>
    <w:rsid w:val="00626259"/>
    <w:rsid w:val="00627DE0"/>
    <w:rsid w:val="0063059F"/>
    <w:rsid w:val="00631211"/>
    <w:rsid w:val="006326B8"/>
    <w:rsid w:val="006329E7"/>
    <w:rsid w:val="00633132"/>
    <w:rsid w:val="00633550"/>
    <w:rsid w:val="006340C1"/>
    <w:rsid w:val="006342CC"/>
    <w:rsid w:val="006343B7"/>
    <w:rsid w:val="0063490F"/>
    <w:rsid w:val="00635181"/>
    <w:rsid w:val="006355C7"/>
    <w:rsid w:val="00635D4F"/>
    <w:rsid w:val="00635F72"/>
    <w:rsid w:val="0063692A"/>
    <w:rsid w:val="006376D4"/>
    <w:rsid w:val="00637955"/>
    <w:rsid w:val="00640376"/>
    <w:rsid w:val="00640726"/>
    <w:rsid w:val="00641031"/>
    <w:rsid w:val="00641080"/>
    <w:rsid w:val="0064196B"/>
    <w:rsid w:val="00641E40"/>
    <w:rsid w:val="00641ECB"/>
    <w:rsid w:val="00642211"/>
    <w:rsid w:val="00642388"/>
    <w:rsid w:val="0064241D"/>
    <w:rsid w:val="00642BB4"/>
    <w:rsid w:val="00642DE9"/>
    <w:rsid w:val="006430AE"/>
    <w:rsid w:val="006435FA"/>
    <w:rsid w:val="00643963"/>
    <w:rsid w:val="0064440B"/>
    <w:rsid w:val="00644BB7"/>
    <w:rsid w:val="006460F0"/>
    <w:rsid w:val="00646F1B"/>
    <w:rsid w:val="00646F97"/>
    <w:rsid w:val="0064723A"/>
    <w:rsid w:val="006474B7"/>
    <w:rsid w:val="0064769F"/>
    <w:rsid w:val="0064779A"/>
    <w:rsid w:val="00650754"/>
    <w:rsid w:val="006508FD"/>
    <w:rsid w:val="00650A23"/>
    <w:rsid w:val="00650C3D"/>
    <w:rsid w:val="006511D9"/>
    <w:rsid w:val="0065152F"/>
    <w:rsid w:val="00651EB1"/>
    <w:rsid w:val="00652CAC"/>
    <w:rsid w:val="00653243"/>
    <w:rsid w:val="0065352D"/>
    <w:rsid w:val="006546D9"/>
    <w:rsid w:val="00654BDA"/>
    <w:rsid w:val="00654C0B"/>
    <w:rsid w:val="00654E93"/>
    <w:rsid w:val="00655002"/>
    <w:rsid w:val="00655639"/>
    <w:rsid w:val="00655898"/>
    <w:rsid w:val="00655C24"/>
    <w:rsid w:val="00655E5C"/>
    <w:rsid w:val="006569FF"/>
    <w:rsid w:val="00657A37"/>
    <w:rsid w:val="00660822"/>
    <w:rsid w:val="006611CE"/>
    <w:rsid w:val="00661D37"/>
    <w:rsid w:val="006625EB"/>
    <w:rsid w:val="006628C6"/>
    <w:rsid w:val="0066294D"/>
    <w:rsid w:val="006630AC"/>
    <w:rsid w:val="00663E35"/>
    <w:rsid w:val="006642AB"/>
    <w:rsid w:val="00664E2B"/>
    <w:rsid w:val="006651D9"/>
    <w:rsid w:val="00665236"/>
    <w:rsid w:val="00666015"/>
    <w:rsid w:val="00666280"/>
    <w:rsid w:val="00666889"/>
    <w:rsid w:val="00666C6C"/>
    <w:rsid w:val="00667010"/>
    <w:rsid w:val="0066768F"/>
    <w:rsid w:val="006678D3"/>
    <w:rsid w:val="00670671"/>
    <w:rsid w:val="00670CBC"/>
    <w:rsid w:val="0067214D"/>
    <w:rsid w:val="0067247E"/>
    <w:rsid w:val="00672820"/>
    <w:rsid w:val="006729C1"/>
    <w:rsid w:val="00672DCF"/>
    <w:rsid w:val="006730AF"/>
    <w:rsid w:val="0067362A"/>
    <w:rsid w:val="00673C2A"/>
    <w:rsid w:val="00673D6A"/>
    <w:rsid w:val="00674446"/>
    <w:rsid w:val="00674812"/>
    <w:rsid w:val="00674943"/>
    <w:rsid w:val="00674E8B"/>
    <w:rsid w:val="006752D8"/>
    <w:rsid w:val="00675354"/>
    <w:rsid w:val="0067566D"/>
    <w:rsid w:val="00675786"/>
    <w:rsid w:val="00675969"/>
    <w:rsid w:val="006759CB"/>
    <w:rsid w:val="0067692C"/>
    <w:rsid w:val="00676C09"/>
    <w:rsid w:val="006774A4"/>
    <w:rsid w:val="006778E3"/>
    <w:rsid w:val="00677AEF"/>
    <w:rsid w:val="006802AF"/>
    <w:rsid w:val="006805C7"/>
    <w:rsid w:val="006812D4"/>
    <w:rsid w:val="00681628"/>
    <w:rsid w:val="006822EB"/>
    <w:rsid w:val="00682B53"/>
    <w:rsid w:val="00682BC9"/>
    <w:rsid w:val="00683109"/>
    <w:rsid w:val="006833F7"/>
    <w:rsid w:val="00683A1A"/>
    <w:rsid w:val="00683B3B"/>
    <w:rsid w:val="00684F52"/>
    <w:rsid w:val="006854F2"/>
    <w:rsid w:val="006866EE"/>
    <w:rsid w:val="00686AE2"/>
    <w:rsid w:val="00686AE3"/>
    <w:rsid w:val="00687003"/>
    <w:rsid w:val="0068736C"/>
    <w:rsid w:val="006900DB"/>
    <w:rsid w:val="0069022D"/>
    <w:rsid w:val="0069071C"/>
    <w:rsid w:val="00690804"/>
    <w:rsid w:val="00690A3B"/>
    <w:rsid w:val="00690D0A"/>
    <w:rsid w:val="00691167"/>
    <w:rsid w:val="006914BB"/>
    <w:rsid w:val="00691551"/>
    <w:rsid w:val="00691BDC"/>
    <w:rsid w:val="00691C7C"/>
    <w:rsid w:val="00692586"/>
    <w:rsid w:val="006927E9"/>
    <w:rsid w:val="0069280A"/>
    <w:rsid w:val="0069387F"/>
    <w:rsid w:val="00694FC2"/>
    <w:rsid w:val="00695A83"/>
    <w:rsid w:val="0069604F"/>
    <w:rsid w:val="00696336"/>
    <w:rsid w:val="0069649F"/>
    <w:rsid w:val="00696CA5"/>
    <w:rsid w:val="00697527"/>
    <w:rsid w:val="0069763E"/>
    <w:rsid w:val="00697671"/>
    <w:rsid w:val="006978AA"/>
    <w:rsid w:val="00697A9D"/>
    <w:rsid w:val="006A0BBF"/>
    <w:rsid w:val="006A0E63"/>
    <w:rsid w:val="006A0F31"/>
    <w:rsid w:val="006A11AF"/>
    <w:rsid w:val="006A1875"/>
    <w:rsid w:val="006A3014"/>
    <w:rsid w:val="006A4979"/>
    <w:rsid w:val="006A4B20"/>
    <w:rsid w:val="006A61F9"/>
    <w:rsid w:val="006A7CB2"/>
    <w:rsid w:val="006B0850"/>
    <w:rsid w:val="006B0D99"/>
    <w:rsid w:val="006B0E80"/>
    <w:rsid w:val="006B1D3C"/>
    <w:rsid w:val="006B1E97"/>
    <w:rsid w:val="006B2709"/>
    <w:rsid w:val="006B2FE3"/>
    <w:rsid w:val="006B324A"/>
    <w:rsid w:val="006B4394"/>
    <w:rsid w:val="006B470E"/>
    <w:rsid w:val="006B4A9D"/>
    <w:rsid w:val="006B5F31"/>
    <w:rsid w:val="006B634E"/>
    <w:rsid w:val="006B680E"/>
    <w:rsid w:val="006B7650"/>
    <w:rsid w:val="006B7B2A"/>
    <w:rsid w:val="006C011F"/>
    <w:rsid w:val="006C03EB"/>
    <w:rsid w:val="006C0DB5"/>
    <w:rsid w:val="006C0E29"/>
    <w:rsid w:val="006C23D2"/>
    <w:rsid w:val="006C259E"/>
    <w:rsid w:val="006C2C09"/>
    <w:rsid w:val="006C2DA3"/>
    <w:rsid w:val="006C2EB6"/>
    <w:rsid w:val="006C2F81"/>
    <w:rsid w:val="006C31E7"/>
    <w:rsid w:val="006C3643"/>
    <w:rsid w:val="006C37A8"/>
    <w:rsid w:val="006C3DB4"/>
    <w:rsid w:val="006C3FD7"/>
    <w:rsid w:val="006C436A"/>
    <w:rsid w:val="006C442F"/>
    <w:rsid w:val="006C56F2"/>
    <w:rsid w:val="006C59A5"/>
    <w:rsid w:val="006C6708"/>
    <w:rsid w:val="006C6DAF"/>
    <w:rsid w:val="006C6E39"/>
    <w:rsid w:val="006D02D1"/>
    <w:rsid w:val="006D0922"/>
    <w:rsid w:val="006D09BB"/>
    <w:rsid w:val="006D0ADD"/>
    <w:rsid w:val="006D0E66"/>
    <w:rsid w:val="006D1F16"/>
    <w:rsid w:val="006D2217"/>
    <w:rsid w:val="006D2319"/>
    <w:rsid w:val="006D245A"/>
    <w:rsid w:val="006D2E14"/>
    <w:rsid w:val="006D366F"/>
    <w:rsid w:val="006D3D7D"/>
    <w:rsid w:val="006D3E5E"/>
    <w:rsid w:val="006D444E"/>
    <w:rsid w:val="006D469F"/>
    <w:rsid w:val="006D4DF7"/>
    <w:rsid w:val="006D587D"/>
    <w:rsid w:val="006D7212"/>
    <w:rsid w:val="006D7292"/>
    <w:rsid w:val="006E009B"/>
    <w:rsid w:val="006E0402"/>
    <w:rsid w:val="006E0441"/>
    <w:rsid w:val="006E0C24"/>
    <w:rsid w:val="006E0FDB"/>
    <w:rsid w:val="006E1B8A"/>
    <w:rsid w:val="006E2238"/>
    <w:rsid w:val="006E2AF1"/>
    <w:rsid w:val="006E2EF9"/>
    <w:rsid w:val="006E3E1E"/>
    <w:rsid w:val="006E45C6"/>
    <w:rsid w:val="006E464F"/>
    <w:rsid w:val="006E4917"/>
    <w:rsid w:val="006E56EC"/>
    <w:rsid w:val="006E5BC9"/>
    <w:rsid w:val="006E6BAB"/>
    <w:rsid w:val="006E7C3B"/>
    <w:rsid w:val="006F0C27"/>
    <w:rsid w:val="006F0C5D"/>
    <w:rsid w:val="006F0D12"/>
    <w:rsid w:val="006F1F2B"/>
    <w:rsid w:val="006F34FB"/>
    <w:rsid w:val="006F3ECF"/>
    <w:rsid w:val="006F4A3E"/>
    <w:rsid w:val="006F51EB"/>
    <w:rsid w:val="006F5354"/>
    <w:rsid w:val="006F5789"/>
    <w:rsid w:val="006F58AF"/>
    <w:rsid w:val="006F58BB"/>
    <w:rsid w:val="006F5A14"/>
    <w:rsid w:val="006F5D1B"/>
    <w:rsid w:val="006F5E2E"/>
    <w:rsid w:val="006F61D4"/>
    <w:rsid w:val="006F624B"/>
    <w:rsid w:val="006F670C"/>
    <w:rsid w:val="006F6CBE"/>
    <w:rsid w:val="006F7FA4"/>
    <w:rsid w:val="0070043E"/>
    <w:rsid w:val="007008ED"/>
    <w:rsid w:val="00700FFC"/>
    <w:rsid w:val="00701885"/>
    <w:rsid w:val="00701CC5"/>
    <w:rsid w:val="00702241"/>
    <w:rsid w:val="00702712"/>
    <w:rsid w:val="007030DF"/>
    <w:rsid w:val="00703D09"/>
    <w:rsid w:val="007054D1"/>
    <w:rsid w:val="00705583"/>
    <w:rsid w:val="00707120"/>
    <w:rsid w:val="00707350"/>
    <w:rsid w:val="0070737B"/>
    <w:rsid w:val="00707DEE"/>
    <w:rsid w:val="00707E17"/>
    <w:rsid w:val="00707ECE"/>
    <w:rsid w:val="00710137"/>
    <w:rsid w:val="007103AF"/>
    <w:rsid w:val="00710A63"/>
    <w:rsid w:val="0071142F"/>
    <w:rsid w:val="007118F5"/>
    <w:rsid w:val="00711DC6"/>
    <w:rsid w:val="00712A4C"/>
    <w:rsid w:val="00713014"/>
    <w:rsid w:val="0071357A"/>
    <w:rsid w:val="0071460F"/>
    <w:rsid w:val="007157E9"/>
    <w:rsid w:val="007159AF"/>
    <w:rsid w:val="007167AA"/>
    <w:rsid w:val="0071680A"/>
    <w:rsid w:val="00720939"/>
    <w:rsid w:val="00721905"/>
    <w:rsid w:val="00721AAD"/>
    <w:rsid w:val="00722637"/>
    <w:rsid w:val="00722CB7"/>
    <w:rsid w:val="007238A3"/>
    <w:rsid w:val="00723A12"/>
    <w:rsid w:val="00723F53"/>
    <w:rsid w:val="0072552A"/>
    <w:rsid w:val="00726DD1"/>
    <w:rsid w:val="00726E17"/>
    <w:rsid w:val="0072749D"/>
    <w:rsid w:val="007274D9"/>
    <w:rsid w:val="00727858"/>
    <w:rsid w:val="00727C67"/>
    <w:rsid w:val="00731E40"/>
    <w:rsid w:val="007328AB"/>
    <w:rsid w:val="007333E2"/>
    <w:rsid w:val="00734A00"/>
    <w:rsid w:val="00735C98"/>
    <w:rsid w:val="0073632C"/>
    <w:rsid w:val="007368B4"/>
    <w:rsid w:val="0073724C"/>
    <w:rsid w:val="007374E6"/>
    <w:rsid w:val="00737CAC"/>
    <w:rsid w:val="00740E97"/>
    <w:rsid w:val="00741175"/>
    <w:rsid w:val="007416A5"/>
    <w:rsid w:val="00742B3F"/>
    <w:rsid w:val="00742C37"/>
    <w:rsid w:val="00743075"/>
    <w:rsid w:val="007435DE"/>
    <w:rsid w:val="00743942"/>
    <w:rsid w:val="00743BE1"/>
    <w:rsid w:val="00744056"/>
    <w:rsid w:val="007447CE"/>
    <w:rsid w:val="00745781"/>
    <w:rsid w:val="00746466"/>
    <w:rsid w:val="00746E58"/>
    <w:rsid w:val="00747453"/>
    <w:rsid w:val="007475B3"/>
    <w:rsid w:val="00747A55"/>
    <w:rsid w:val="007501B1"/>
    <w:rsid w:val="007502A0"/>
    <w:rsid w:val="00750942"/>
    <w:rsid w:val="00750D45"/>
    <w:rsid w:val="007519BE"/>
    <w:rsid w:val="00751D23"/>
    <w:rsid w:val="00751E5D"/>
    <w:rsid w:val="00752401"/>
    <w:rsid w:val="00752BB5"/>
    <w:rsid w:val="0075365B"/>
    <w:rsid w:val="0075397C"/>
    <w:rsid w:val="0075407C"/>
    <w:rsid w:val="007544D9"/>
    <w:rsid w:val="0075504E"/>
    <w:rsid w:val="00755335"/>
    <w:rsid w:val="007557F9"/>
    <w:rsid w:val="00755982"/>
    <w:rsid w:val="00755D90"/>
    <w:rsid w:val="00755F77"/>
    <w:rsid w:val="00755FAB"/>
    <w:rsid w:val="00755FEC"/>
    <w:rsid w:val="00756833"/>
    <w:rsid w:val="007571EC"/>
    <w:rsid w:val="007578FC"/>
    <w:rsid w:val="00757F7E"/>
    <w:rsid w:val="00760518"/>
    <w:rsid w:val="00760C49"/>
    <w:rsid w:val="00760D9F"/>
    <w:rsid w:val="00761173"/>
    <w:rsid w:val="00761B6E"/>
    <w:rsid w:val="007625AE"/>
    <w:rsid w:val="007626BE"/>
    <w:rsid w:val="0076271A"/>
    <w:rsid w:val="0076278C"/>
    <w:rsid w:val="007629FA"/>
    <w:rsid w:val="00762A9C"/>
    <w:rsid w:val="0076337C"/>
    <w:rsid w:val="0076339B"/>
    <w:rsid w:val="00763502"/>
    <w:rsid w:val="00763E7F"/>
    <w:rsid w:val="007643F1"/>
    <w:rsid w:val="0076535A"/>
    <w:rsid w:val="007653F3"/>
    <w:rsid w:val="00765618"/>
    <w:rsid w:val="00765784"/>
    <w:rsid w:val="00765800"/>
    <w:rsid w:val="00765DA5"/>
    <w:rsid w:val="0076701E"/>
    <w:rsid w:val="00767095"/>
    <w:rsid w:val="007675B0"/>
    <w:rsid w:val="007679DB"/>
    <w:rsid w:val="00767AE3"/>
    <w:rsid w:val="00767C93"/>
    <w:rsid w:val="00767CC7"/>
    <w:rsid w:val="00767DD7"/>
    <w:rsid w:val="00767F05"/>
    <w:rsid w:val="00770DF8"/>
    <w:rsid w:val="007716F4"/>
    <w:rsid w:val="00771B22"/>
    <w:rsid w:val="00771D8B"/>
    <w:rsid w:val="007722A6"/>
    <w:rsid w:val="007724CB"/>
    <w:rsid w:val="00773F56"/>
    <w:rsid w:val="00773FD9"/>
    <w:rsid w:val="00774048"/>
    <w:rsid w:val="00774204"/>
    <w:rsid w:val="0077430E"/>
    <w:rsid w:val="00774430"/>
    <w:rsid w:val="00774780"/>
    <w:rsid w:val="007751F7"/>
    <w:rsid w:val="007762C4"/>
    <w:rsid w:val="007762DA"/>
    <w:rsid w:val="0077639E"/>
    <w:rsid w:val="00776987"/>
    <w:rsid w:val="00776E97"/>
    <w:rsid w:val="00777BD2"/>
    <w:rsid w:val="00780BA5"/>
    <w:rsid w:val="00780EE2"/>
    <w:rsid w:val="007812B7"/>
    <w:rsid w:val="0078140D"/>
    <w:rsid w:val="0078267C"/>
    <w:rsid w:val="00782F43"/>
    <w:rsid w:val="0078315B"/>
    <w:rsid w:val="00783CE7"/>
    <w:rsid w:val="00783FAE"/>
    <w:rsid w:val="0078422E"/>
    <w:rsid w:val="0078622C"/>
    <w:rsid w:val="00786609"/>
    <w:rsid w:val="0078664C"/>
    <w:rsid w:val="0078670D"/>
    <w:rsid w:val="00787350"/>
    <w:rsid w:val="00787F1A"/>
    <w:rsid w:val="00790C2C"/>
    <w:rsid w:val="00790FDE"/>
    <w:rsid w:val="00791002"/>
    <w:rsid w:val="00791E01"/>
    <w:rsid w:val="00792561"/>
    <w:rsid w:val="007935A9"/>
    <w:rsid w:val="00793715"/>
    <w:rsid w:val="007937B8"/>
    <w:rsid w:val="007939D5"/>
    <w:rsid w:val="00793EEA"/>
    <w:rsid w:val="00794D6A"/>
    <w:rsid w:val="007957A9"/>
    <w:rsid w:val="00795E04"/>
    <w:rsid w:val="00796101"/>
    <w:rsid w:val="00796215"/>
    <w:rsid w:val="00796219"/>
    <w:rsid w:val="007967A7"/>
    <w:rsid w:val="0079683F"/>
    <w:rsid w:val="00796CBB"/>
    <w:rsid w:val="007A023F"/>
    <w:rsid w:val="007A0547"/>
    <w:rsid w:val="007A1516"/>
    <w:rsid w:val="007A1990"/>
    <w:rsid w:val="007A24CD"/>
    <w:rsid w:val="007A3010"/>
    <w:rsid w:val="007A3CBE"/>
    <w:rsid w:val="007A4673"/>
    <w:rsid w:val="007A4876"/>
    <w:rsid w:val="007A4DB1"/>
    <w:rsid w:val="007A5F67"/>
    <w:rsid w:val="007A6128"/>
    <w:rsid w:val="007A640C"/>
    <w:rsid w:val="007A69F8"/>
    <w:rsid w:val="007A6CF3"/>
    <w:rsid w:val="007B0386"/>
    <w:rsid w:val="007B0865"/>
    <w:rsid w:val="007B142F"/>
    <w:rsid w:val="007B169E"/>
    <w:rsid w:val="007B17AF"/>
    <w:rsid w:val="007B1A66"/>
    <w:rsid w:val="007B347C"/>
    <w:rsid w:val="007B37EB"/>
    <w:rsid w:val="007B45F8"/>
    <w:rsid w:val="007B4C31"/>
    <w:rsid w:val="007B4CA4"/>
    <w:rsid w:val="007B4EF2"/>
    <w:rsid w:val="007B5E09"/>
    <w:rsid w:val="007B634E"/>
    <w:rsid w:val="007B653E"/>
    <w:rsid w:val="007B67CB"/>
    <w:rsid w:val="007B6F92"/>
    <w:rsid w:val="007B72D2"/>
    <w:rsid w:val="007B78D6"/>
    <w:rsid w:val="007B7D8C"/>
    <w:rsid w:val="007C0050"/>
    <w:rsid w:val="007C07BD"/>
    <w:rsid w:val="007C1166"/>
    <w:rsid w:val="007C11A6"/>
    <w:rsid w:val="007C11D8"/>
    <w:rsid w:val="007C1C90"/>
    <w:rsid w:val="007C2592"/>
    <w:rsid w:val="007C36C7"/>
    <w:rsid w:val="007C3B4C"/>
    <w:rsid w:val="007C4546"/>
    <w:rsid w:val="007C4986"/>
    <w:rsid w:val="007C4DF0"/>
    <w:rsid w:val="007C5A3A"/>
    <w:rsid w:val="007C65C8"/>
    <w:rsid w:val="007C6EC9"/>
    <w:rsid w:val="007C7BB7"/>
    <w:rsid w:val="007C7C06"/>
    <w:rsid w:val="007D04D0"/>
    <w:rsid w:val="007D0724"/>
    <w:rsid w:val="007D17C4"/>
    <w:rsid w:val="007D257D"/>
    <w:rsid w:val="007D2EEA"/>
    <w:rsid w:val="007D315F"/>
    <w:rsid w:val="007D3712"/>
    <w:rsid w:val="007D3B00"/>
    <w:rsid w:val="007D3B73"/>
    <w:rsid w:val="007D45C3"/>
    <w:rsid w:val="007D4679"/>
    <w:rsid w:val="007D4E04"/>
    <w:rsid w:val="007D5019"/>
    <w:rsid w:val="007D50D7"/>
    <w:rsid w:val="007D5FE6"/>
    <w:rsid w:val="007D7AF5"/>
    <w:rsid w:val="007E051A"/>
    <w:rsid w:val="007E05DB"/>
    <w:rsid w:val="007E08D7"/>
    <w:rsid w:val="007E0DFA"/>
    <w:rsid w:val="007E14D9"/>
    <w:rsid w:val="007E1630"/>
    <w:rsid w:val="007E292F"/>
    <w:rsid w:val="007E494A"/>
    <w:rsid w:val="007E4B49"/>
    <w:rsid w:val="007E4B7B"/>
    <w:rsid w:val="007E6B73"/>
    <w:rsid w:val="007E75DD"/>
    <w:rsid w:val="007E7749"/>
    <w:rsid w:val="007F00BB"/>
    <w:rsid w:val="007F01EF"/>
    <w:rsid w:val="007F01F8"/>
    <w:rsid w:val="007F098C"/>
    <w:rsid w:val="007F1830"/>
    <w:rsid w:val="007F1846"/>
    <w:rsid w:val="007F1E8F"/>
    <w:rsid w:val="007F2714"/>
    <w:rsid w:val="007F34D7"/>
    <w:rsid w:val="007F3A6A"/>
    <w:rsid w:val="007F4405"/>
    <w:rsid w:val="007F4D76"/>
    <w:rsid w:val="007F5188"/>
    <w:rsid w:val="007F6192"/>
    <w:rsid w:val="007F6DFF"/>
    <w:rsid w:val="007F7098"/>
    <w:rsid w:val="007F7201"/>
    <w:rsid w:val="007F75C5"/>
    <w:rsid w:val="007F7727"/>
    <w:rsid w:val="008000D2"/>
    <w:rsid w:val="00800248"/>
    <w:rsid w:val="0080094C"/>
    <w:rsid w:val="00800A2E"/>
    <w:rsid w:val="00801508"/>
    <w:rsid w:val="008023D4"/>
    <w:rsid w:val="00802435"/>
    <w:rsid w:val="00803E8E"/>
    <w:rsid w:val="00804BBD"/>
    <w:rsid w:val="008059DB"/>
    <w:rsid w:val="00805A8B"/>
    <w:rsid w:val="008060FF"/>
    <w:rsid w:val="00806613"/>
    <w:rsid w:val="00806C90"/>
    <w:rsid w:val="00807144"/>
    <w:rsid w:val="008078E8"/>
    <w:rsid w:val="00810006"/>
    <w:rsid w:val="0081029F"/>
    <w:rsid w:val="00810EBB"/>
    <w:rsid w:val="008116F3"/>
    <w:rsid w:val="008117D0"/>
    <w:rsid w:val="00812345"/>
    <w:rsid w:val="00812640"/>
    <w:rsid w:val="008126E1"/>
    <w:rsid w:val="008127CD"/>
    <w:rsid w:val="0081477E"/>
    <w:rsid w:val="008159BF"/>
    <w:rsid w:val="00815C4C"/>
    <w:rsid w:val="00816103"/>
    <w:rsid w:val="00816AAB"/>
    <w:rsid w:val="00816ACC"/>
    <w:rsid w:val="00816BF4"/>
    <w:rsid w:val="00816F2C"/>
    <w:rsid w:val="00817368"/>
    <w:rsid w:val="00817B03"/>
    <w:rsid w:val="00817E08"/>
    <w:rsid w:val="008205ED"/>
    <w:rsid w:val="008205F9"/>
    <w:rsid w:val="00820E45"/>
    <w:rsid w:val="00821103"/>
    <w:rsid w:val="008218DB"/>
    <w:rsid w:val="0082268C"/>
    <w:rsid w:val="0082281D"/>
    <w:rsid w:val="00822A51"/>
    <w:rsid w:val="00822D4A"/>
    <w:rsid w:val="008231B1"/>
    <w:rsid w:val="0082542B"/>
    <w:rsid w:val="00825594"/>
    <w:rsid w:val="00825A0F"/>
    <w:rsid w:val="008268E8"/>
    <w:rsid w:val="00826EB9"/>
    <w:rsid w:val="008279E1"/>
    <w:rsid w:val="00827A77"/>
    <w:rsid w:val="00827F5F"/>
    <w:rsid w:val="008300B1"/>
    <w:rsid w:val="0083035D"/>
    <w:rsid w:val="0083134B"/>
    <w:rsid w:val="008329B5"/>
    <w:rsid w:val="00833BAD"/>
    <w:rsid w:val="008345AF"/>
    <w:rsid w:val="008349EA"/>
    <w:rsid w:val="008354C2"/>
    <w:rsid w:val="00835578"/>
    <w:rsid w:val="008355AC"/>
    <w:rsid w:val="008356EF"/>
    <w:rsid w:val="00835815"/>
    <w:rsid w:val="00835C2F"/>
    <w:rsid w:val="0083638D"/>
    <w:rsid w:val="00836761"/>
    <w:rsid w:val="00837248"/>
    <w:rsid w:val="008405E0"/>
    <w:rsid w:val="00841751"/>
    <w:rsid w:val="00841A31"/>
    <w:rsid w:val="00841BC6"/>
    <w:rsid w:val="00842156"/>
    <w:rsid w:val="00844113"/>
    <w:rsid w:val="008443FF"/>
    <w:rsid w:val="0084447C"/>
    <w:rsid w:val="00845198"/>
    <w:rsid w:val="008458DC"/>
    <w:rsid w:val="0084680F"/>
    <w:rsid w:val="00846A83"/>
    <w:rsid w:val="0084734B"/>
    <w:rsid w:val="008502B6"/>
    <w:rsid w:val="00850725"/>
    <w:rsid w:val="00850E23"/>
    <w:rsid w:val="00852169"/>
    <w:rsid w:val="008521CD"/>
    <w:rsid w:val="008523F6"/>
    <w:rsid w:val="00852669"/>
    <w:rsid w:val="008526CA"/>
    <w:rsid w:val="00852BEF"/>
    <w:rsid w:val="00852EFC"/>
    <w:rsid w:val="00852F00"/>
    <w:rsid w:val="0085325E"/>
    <w:rsid w:val="008534FC"/>
    <w:rsid w:val="00853A10"/>
    <w:rsid w:val="0085431A"/>
    <w:rsid w:val="008547ED"/>
    <w:rsid w:val="0085498D"/>
    <w:rsid w:val="00854DD0"/>
    <w:rsid w:val="00854DF9"/>
    <w:rsid w:val="008550AB"/>
    <w:rsid w:val="008551B0"/>
    <w:rsid w:val="00855915"/>
    <w:rsid w:val="00855A79"/>
    <w:rsid w:val="00855F41"/>
    <w:rsid w:val="00856535"/>
    <w:rsid w:val="008566C7"/>
    <w:rsid w:val="00856B93"/>
    <w:rsid w:val="00856C65"/>
    <w:rsid w:val="0085753A"/>
    <w:rsid w:val="00857647"/>
    <w:rsid w:val="008607D4"/>
    <w:rsid w:val="00862577"/>
    <w:rsid w:val="008627A7"/>
    <w:rsid w:val="00862807"/>
    <w:rsid w:val="00862A1A"/>
    <w:rsid w:val="008637E7"/>
    <w:rsid w:val="00863F24"/>
    <w:rsid w:val="008648AE"/>
    <w:rsid w:val="00864BE2"/>
    <w:rsid w:val="00865479"/>
    <w:rsid w:val="008656DD"/>
    <w:rsid w:val="008661BB"/>
    <w:rsid w:val="00866D16"/>
    <w:rsid w:val="00866E3C"/>
    <w:rsid w:val="00866EA7"/>
    <w:rsid w:val="00866F90"/>
    <w:rsid w:val="00867184"/>
    <w:rsid w:val="0086782C"/>
    <w:rsid w:val="00867C5E"/>
    <w:rsid w:val="00867D80"/>
    <w:rsid w:val="00867E97"/>
    <w:rsid w:val="008703A1"/>
    <w:rsid w:val="00870581"/>
    <w:rsid w:val="008705E2"/>
    <w:rsid w:val="00870A84"/>
    <w:rsid w:val="00870D51"/>
    <w:rsid w:val="00872625"/>
    <w:rsid w:val="00872921"/>
    <w:rsid w:val="00872ACB"/>
    <w:rsid w:val="00872B62"/>
    <w:rsid w:val="008739A1"/>
    <w:rsid w:val="00873F6E"/>
    <w:rsid w:val="00874465"/>
    <w:rsid w:val="00875AC0"/>
    <w:rsid w:val="008767A2"/>
    <w:rsid w:val="008774E7"/>
    <w:rsid w:val="00877C2D"/>
    <w:rsid w:val="00877EB4"/>
    <w:rsid w:val="008826FB"/>
    <w:rsid w:val="00883143"/>
    <w:rsid w:val="00883860"/>
    <w:rsid w:val="00884D74"/>
    <w:rsid w:val="0088518C"/>
    <w:rsid w:val="00885E5B"/>
    <w:rsid w:val="00885E99"/>
    <w:rsid w:val="008861A9"/>
    <w:rsid w:val="008865EF"/>
    <w:rsid w:val="00886D56"/>
    <w:rsid w:val="00887892"/>
    <w:rsid w:val="00890113"/>
    <w:rsid w:val="00890B6A"/>
    <w:rsid w:val="008912B9"/>
    <w:rsid w:val="00891332"/>
    <w:rsid w:val="00891630"/>
    <w:rsid w:val="008918CE"/>
    <w:rsid w:val="00891BD5"/>
    <w:rsid w:val="0089245A"/>
    <w:rsid w:val="008932A4"/>
    <w:rsid w:val="00893C6B"/>
    <w:rsid w:val="00894141"/>
    <w:rsid w:val="0089445E"/>
    <w:rsid w:val="00894C61"/>
    <w:rsid w:val="00894CA6"/>
    <w:rsid w:val="00895D97"/>
    <w:rsid w:val="00895E8A"/>
    <w:rsid w:val="008960A3"/>
    <w:rsid w:val="008976E6"/>
    <w:rsid w:val="00897CD5"/>
    <w:rsid w:val="00897E7F"/>
    <w:rsid w:val="008A0176"/>
    <w:rsid w:val="008A0AE4"/>
    <w:rsid w:val="008A162B"/>
    <w:rsid w:val="008A1F3B"/>
    <w:rsid w:val="008A2C70"/>
    <w:rsid w:val="008A4178"/>
    <w:rsid w:val="008A4F14"/>
    <w:rsid w:val="008A56C9"/>
    <w:rsid w:val="008A5BF9"/>
    <w:rsid w:val="008A5C11"/>
    <w:rsid w:val="008A749E"/>
    <w:rsid w:val="008A75A8"/>
    <w:rsid w:val="008A770F"/>
    <w:rsid w:val="008B0187"/>
    <w:rsid w:val="008B1112"/>
    <w:rsid w:val="008B142D"/>
    <w:rsid w:val="008B16E3"/>
    <w:rsid w:val="008B1BDD"/>
    <w:rsid w:val="008B23E2"/>
    <w:rsid w:val="008B26A0"/>
    <w:rsid w:val="008B2B19"/>
    <w:rsid w:val="008B36E1"/>
    <w:rsid w:val="008B3F4D"/>
    <w:rsid w:val="008B467E"/>
    <w:rsid w:val="008B618B"/>
    <w:rsid w:val="008B758F"/>
    <w:rsid w:val="008B7925"/>
    <w:rsid w:val="008B7D34"/>
    <w:rsid w:val="008C2662"/>
    <w:rsid w:val="008C297A"/>
    <w:rsid w:val="008C409D"/>
    <w:rsid w:val="008C4112"/>
    <w:rsid w:val="008C4162"/>
    <w:rsid w:val="008C5299"/>
    <w:rsid w:val="008C550C"/>
    <w:rsid w:val="008C552F"/>
    <w:rsid w:val="008C5656"/>
    <w:rsid w:val="008C740D"/>
    <w:rsid w:val="008C7D84"/>
    <w:rsid w:val="008C7E60"/>
    <w:rsid w:val="008D02EE"/>
    <w:rsid w:val="008D0758"/>
    <w:rsid w:val="008D07FB"/>
    <w:rsid w:val="008D0917"/>
    <w:rsid w:val="008D0F1C"/>
    <w:rsid w:val="008D2C99"/>
    <w:rsid w:val="008D2CD3"/>
    <w:rsid w:val="008D37C2"/>
    <w:rsid w:val="008D4B82"/>
    <w:rsid w:val="008D4EFF"/>
    <w:rsid w:val="008D54CB"/>
    <w:rsid w:val="008D5934"/>
    <w:rsid w:val="008D6F77"/>
    <w:rsid w:val="008D7A24"/>
    <w:rsid w:val="008D7E34"/>
    <w:rsid w:val="008D7E70"/>
    <w:rsid w:val="008E0046"/>
    <w:rsid w:val="008E0765"/>
    <w:rsid w:val="008E1211"/>
    <w:rsid w:val="008E14D4"/>
    <w:rsid w:val="008E1511"/>
    <w:rsid w:val="008E1699"/>
    <w:rsid w:val="008E1F80"/>
    <w:rsid w:val="008E36CC"/>
    <w:rsid w:val="008E3F29"/>
    <w:rsid w:val="008E52B8"/>
    <w:rsid w:val="008E5D50"/>
    <w:rsid w:val="008E5D76"/>
    <w:rsid w:val="008E5EB9"/>
    <w:rsid w:val="008E6C59"/>
    <w:rsid w:val="008F0162"/>
    <w:rsid w:val="008F0213"/>
    <w:rsid w:val="008F03A7"/>
    <w:rsid w:val="008F0797"/>
    <w:rsid w:val="008F0BAF"/>
    <w:rsid w:val="008F1880"/>
    <w:rsid w:val="008F1EDD"/>
    <w:rsid w:val="008F20A2"/>
    <w:rsid w:val="008F21C8"/>
    <w:rsid w:val="008F2B5B"/>
    <w:rsid w:val="008F341B"/>
    <w:rsid w:val="008F39A9"/>
    <w:rsid w:val="008F3E3B"/>
    <w:rsid w:val="008F3E9A"/>
    <w:rsid w:val="008F40A7"/>
    <w:rsid w:val="008F425B"/>
    <w:rsid w:val="008F4A1B"/>
    <w:rsid w:val="008F505E"/>
    <w:rsid w:val="008F51D9"/>
    <w:rsid w:val="008F5A2C"/>
    <w:rsid w:val="008F606F"/>
    <w:rsid w:val="008F636B"/>
    <w:rsid w:val="008F6A6F"/>
    <w:rsid w:val="008F6C52"/>
    <w:rsid w:val="008F6CFF"/>
    <w:rsid w:val="008F6E18"/>
    <w:rsid w:val="008F6F55"/>
    <w:rsid w:val="00901B9B"/>
    <w:rsid w:val="00901CA3"/>
    <w:rsid w:val="0090210F"/>
    <w:rsid w:val="00902B2C"/>
    <w:rsid w:val="00903100"/>
    <w:rsid w:val="0090332A"/>
    <w:rsid w:val="00903990"/>
    <w:rsid w:val="00903E11"/>
    <w:rsid w:val="0090459B"/>
    <w:rsid w:val="00904787"/>
    <w:rsid w:val="00904923"/>
    <w:rsid w:val="00905652"/>
    <w:rsid w:val="009060B7"/>
    <w:rsid w:val="00906530"/>
    <w:rsid w:val="00906F47"/>
    <w:rsid w:val="009111BE"/>
    <w:rsid w:val="00911FCE"/>
    <w:rsid w:val="009120D4"/>
    <w:rsid w:val="00912F1E"/>
    <w:rsid w:val="00912F34"/>
    <w:rsid w:val="00913005"/>
    <w:rsid w:val="00914079"/>
    <w:rsid w:val="00914A41"/>
    <w:rsid w:val="00915568"/>
    <w:rsid w:val="009156DD"/>
    <w:rsid w:val="009157A7"/>
    <w:rsid w:val="00915D35"/>
    <w:rsid w:val="00915E0A"/>
    <w:rsid w:val="009164D4"/>
    <w:rsid w:val="00916500"/>
    <w:rsid w:val="00916DD9"/>
    <w:rsid w:val="00917F8F"/>
    <w:rsid w:val="0092005F"/>
    <w:rsid w:val="0092008E"/>
    <w:rsid w:val="00920742"/>
    <w:rsid w:val="00921359"/>
    <w:rsid w:val="00921F0C"/>
    <w:rsid w:val="00922072"/>
    <w:rsid w:val="00923066"/>
    <w:rsid w:val="009231C3"/>
    <w:rsid w:val="00923489"/>
    <w:rsid w:val="009235EA"/>
    <w:rsid w:val="009240BA"/>
    <w:rsid w:val="00924AB0"/>
    <w:rsid w:val="00925049"/>
    <w:rsid w:val="00925178"/>
    <w:rsid w:val="00925A70"/>
    <w:rsid w:val="00925BA9"/>
    <w:rsid w:val="00925E0F"/>
    <w:rsid w:val="009262B1"/>
    <w:rsid w:val="00926AE3"/>
    <w:rsid w:val="00926EF4"/>
    <w:rsid w:val="009270E6"/>
    <w:rsid w:val="009274E5"/>
    <w:rsid w:val="0092792A"/>
    <w:rsid w:val="009279F7"/>
    <w:rsid w:val="00927F66"/>
    <w:rsid w:val="009321BB"/>
    <w:rsid w:val="009322C4"/>
    <w:rsid w:val="00932634"/>
    <w:rsid w:val="0093331F"/>
    <w:rsid w:val="00933951"/>
    <w:rsid w:val="00933B73"/>
    <w:rsid w:val="00934274"/>
    <w:rsid w:val="00934F95"/>
    <w:rsid w:val="009351E4"/>
    <w:rsid w:val="00935C6A"/>
    <w:rsid w:val="00935CC0"/>
    <w:rsid w:val="00935CEB"/>
    <w:rsid w:val="0093604E"/>
    <w:rsid w:val="00936517"/>
    <w:rsid w:val="009368DE"/>
    <w:rsid w:val="00937171"/>
    <w:rsid w:val="009400CF"/>
    <w:rsid w:val="00940796"/>
    <w:rsid w:val="0094112F"/>
    <w:rsid w:val="009418B7"/>
    <w:rsid w:val="009419F4"/>
    <w:rsid w:val="0094201F"/>
    <w:rsid w:val="00942468"/>
    <w:rsid w:val="0094332F"/>
    <w:rsid w:val="0094360A"/>
    <w:rsid w:val="0094459B"/>
    <w:rsid w:val="00944E20"/>
    <w:rsid w:val="009459B0"/>
    <w:rsid w:val="009459CA"/>
    <w:rsid w:val="009460A4"/>
    <w:rsid w:val="0094696A"/>
    <w:rsid w:val="009476AD"/>
    <w:rsid w:val="00947867"/>
    <w:rsid w:val="00947A3F"/>
    <w:rsid w:val="00950008"/>
    <w:rsid w:val="0095191F"/>
    <w:rsid w:val="00951DD7"/>
    <w:rsid w:val="009527C9"/>
    <w:rsid w:val="009543B0"/>
    <w:rsid w:val="009547ED"/>
    <w:rsid w:val="009548FA"/>
    <w:rsid w:val="00954FA1"/>
    <w:rsid w:val="0095504A"/>
    <w:rsid w:val="00955C1D"/>
    <w:rsid w:val="00956FFA"/>
    <w:rsid w:val="0095718A"/>
    <w:rsid w:val="0095759F"/>
    <w:rsid w:val="00957A2E"/>
    <w:rsid w:val="00957AB9"/>
    <w:rsid w:val="00960143"/>
    <w:rsid w:val="00960380"/>
    <w:rsid w:val="00961A13"/>
    <w:rsid w:val="00961A46"/>
    <w:rsid w:val="00962928"/>
    <w:rsid w:val="00962F17"/>
    <w:rsid w:val="00963316"/>
    <w:rsid w:val="0096436F"/>
    <w:rsid w:val="0096443D"/>
    <w:rsid w:val="00964E40"/>
    <w:rsid w:val="00965757"/>
    <w:rsid w:val="00965E76"/>
    <w:rsid w:val="009664BF"/>
    <w:rsid w:val="0096669D"/>
    <w:rsid w:val="0096675E"/>
    <w:rsid w:val="00966A1B"/>
    <w:rsid w:val="00966D5D"/>
    <w:rsid w:val="00966F37"/>
    <w:rsid w:val="00967CAA"/>
    <w:rsid w:val="0097071C"/>
    <w:rsid w:val="00970D7F"/>
    <w:rsid w:val="0097101B"/>
    <w:rsid w:val="00971F44"/>
    <w:rsid w:val="0097270B"/>
    <w:rsid w:val="009727AC"/>
    <w:rsid w:val="00973736"/>
    <w:rsid w:val="00973D62"/>
    <w:rsid w:val="00973E09"/>
    <w:rsid w:val="00974983"/>
    <w:rsid w:val="009751B9"/>
    <w:rsid w:val="0097529B"/>
    <w:rsid w:val="00975ACD"/>
    <w:rsid w:val="00976E1D"/>
    <w:rsid w:val="00977344"/>
    <w:rsid w:val="009774BF"/>
    <w:rsid w:val="009778BB"/>
    <w:rsid w:val="009779A5"/>
    <w:rsid w:val="00980084"/>
    <w:rsid w:val="0098011D"/>
    <w:rsid w:val="0098168E"/>
    <w:rsid w:val="009822FB"/>
    <w:rsid w:val="00982E29"/>
    <w:rsid w:val="00983262"/>
    <w:rsid w:val="009833B6"/>
    <w:rsid w:val="0098342A"/>
    <w:rsid w:val="00983BB1"/>
    <w:rsid w:val="0098400E"/>
    <w:rsid w:val="0098420B"/>
    <w:rsid w:val="00985398"/>
    <w:rsid w:val="00986179"/>
    <w:rsid w:val="00986F98"/>
    <w:rsid w:val="00987541"/>
    <w:rsid w:val="00987C26"/>
    <w:rsid w:val="00987E52"/>
    <w:rsid w:val="00990313"/>
    <w:rsid w:val="0099051C"/>
    <w:rsid w:val="00990FB6"/>
    <w:rsid w:val="0099128D"/>
    <w:rsid w:val="00991316"/>
    <w:rsid w:val="0099175D"/>
    <w:rsid w:val="00991A88"/>
    <w:rsid w:val="00992145"/>
    <w:rsid w:val="0099236C"/>
    <w:rsid w:val="0099244D"/>
    <w:rsid w:val="00992965"/>
    <w:rsid w:val="00992A9F"/>
    <w:rsid w:val="009934F7"/>
    <w:rsid w:val="00993B51"/>
    <w:rsid w:val="00994660"/>
    <w:rsid w:val="00994697"/>
    <w:rsid w:val="009951C7"/>
    <w:rsid w:val="009970E6"/>
    <w:rsid w:val="0099736F"/>
    <w:rsid w:val="00997875"/>
    <w:rsid w:val="00997EC0"/>
    <w:rsid w:val="009A01F3"/>
    <w:rsid w:val="009A112C"/>
    <w:rsid w:val="009A126D"/>
    <w:rsid w:val="009A1B1E"/>
    <w:rsid w:val="009A1BE1"/>
    <w:rsid w:val="009A2087"/>
    <w:rsid w:val="009A252D"/>
    <w:rsid w:val="009A2754"/>
    <w:rsid w:val="009A31B0"/>
    <w:rsid w:val="009A37E1"/>
    <w:rsid w:val="009A454C"/>
    <w:rsid w:val="009A46C2"/>
    <w:rsid w:val="009A4EE8"/>
    <w:rsid w:val="009A5487"/>
    <w:rsid w:val="009A6A46"/>
    <w:rsid w:val="009A6B1C"/>
    <w:rsid w:val="009A6D53"/>
    <w:rsid w:val="009A789C"/>
    <w:rsid w:val="009A7F26"/>
    <w:rsid w:val="009A7F57"/>
    <w:rsid w:val="009B0136"/>
    <w:rsid w:val="009B1E03"/>
    <w:rsid w:val="009B2165"/>
    <w:rsid w:val="009B2C41"/>
    <w:rsid w:val="009B3A7D"/>
    <w:rsid w:val="009B3EA3"/>
    <w:rsid w:val="009B42DD"/>
    <w:rsid w:val="009B4B5C"/>
    <w:rsid w:val="009B559E"/>
    <w:rsid w:val="009B6798"/>
    <w:rsid w:val="009B6882"/>
    <w:rsid w:val="009B7519"/>
    <w:rsid w:val="009B7EF2"/>
    <w:rsid w:val="009B7F27"/>
    <w:rsid w:val="009C049B"/>
    <w:rsid w:val="009C08BC"/>
    <w:rsid w:val="009C1F7A"/>
    <w:rsid w:val="009C1F94"/>
    <w:rsid w:val="009C2A5B"/>
    <w:rsid w:val="009C3539"/>
    <w:rsid w:val="009C37D3"/>
    <w:rsid w:val="009C3E1A"/>
    <w:rsid w:val="009C4425"/>
    <w:rsid w:val="009C4F5B"/>
    <w:rsid w:val="009C5373"/>
    <w:rsid w:val="009C559A"/>
    <w:rsid w:val="009C584D"/>
    <w:rsid w:val="009C598E"/>
    <w:rsid w:val="009C5CBE"/>
    <w:rsid w:val="009C60EA"/>
    <w:rsid w:val="009C6B29"/>
    <w:rsid w:val="009C6C1A"/>
    <w:rsid w:val="009C6E7A"/>
    <w:rsid w:val="009C7671"/>
    <w:rsid w:val="009C7B7C"/>
    <w:rsid w:val="009C7ED8"/>
    <w:rsid w:val="009D05ED"/>
    <w:rsid w:val="009D063D"/>
    <w:rsid w:val="009D0D7D"/>
    <w:rsid w:val="009D1215"/>
    <w:rsid w:val="009D1675"/>
    <w:rsid w:val="009D2B66"/>
    <w:rsid w:val="009D37B6"/>
    <w:rsid w:val="009D4A83"/>
    <w:rsid w:val="009D58AC"/>
    <w:rsid w:val="009D5957"/>
    <w:rsid w:val="009D5984"/>
    <w:rsid w:val="009D61C3"/>
    <w:rsid w:val="009D696C"/>
    <w:rsid w:val="009D6C5A"/>
    <w:rsid w:val="009D7308"/>
    <w:rsid w:val="009D7D46"/>
    <w:rsid w:val="009E0FEA"/>
    <w:rsid w:val="009E1D79"/>
    <w:rsid w:val="009E2560"/>
    <w:rsid w:val="009E2999"/>
    <w:rsid w:val="009E30C0"/>
    <w:rsid w:val="009E3436"/>
    <w:rsid w:val="009E3818"/>
    <w:rsid w:val="009E3925"/>
    <w:rsid w:val="009E39D6"/>
    <w:rsid w:val="009E49A3"/>
    <w:rsid w:val="009E5E6B"/>
    <w:rsid w:val="009E5F86"/>
    <w:rsid w:val="009E6128"/>
    <w:rsid w:val="009E6722"/>
    <w:rsid w:val="009E6A35"/>
    <w:rsid w:val="009E7920"/>
    <w:rsid w:val="009F00F2"/>
    <w:rsid w:val="009F031F"/>
    <w:rsid w:val="009F0752"/>
    <w:rsid w:val="009F12CF"/>
    <w:rsid w:val="009F2724"/>
    <w:rsid w:val="009F29C2"/>
    <w:rsid w:val="009F3962"/>
    <w:rsid w:val="009F3BC5"/>
    <w:rsid w:val="009F3DF4"/>
    <w:rsid w:val="009F3FB7"/>
    <w:rsid w:val="009F44BC"/>
    <w:rsid w:val="009F4AA1"/>
    <w:rsid w:val="009F4C67"/>
    <w:rsid w:val="009F4ED9"/>
    <w:rsid w:val="009F5412"/>
    <w:rsid w:val="009F60C0"/>
    <w:rsid w:val="009F7535"/>
    <w:rsid w:val="009F7B5B"/>
    <w:rsid w:val="009F7C0F"/>
    <w:rsid w:val="00A00135"/>
    <w:rsid w:val="00A001B2"/>
    <w:rsid w:val="00A00652"/>
    <w:rsid w:val="00A00CC1"/>
    <w:rsid w:val="00A01405"/>
    <w:rsid w:val="00A014C2"/>
    <w:rsid w:val="00A01538"/>
    <w:rsid w:val="00A01FA1"/>
    <w:rsid w:val="00A027EF"/>
    <w:rsid w:val="00A02A19"/>
    <w:rsid w:val="00A033D0"/>
    <w:rsid w:val="00A035BD"/>
    <w:rsid w:val="00A0458C"/>
    <w:rsid w:val="00A04A56"/>
    <w:rsid w:val="00A05EDB"/>
    <w:rsid w:val="00A061F3"/>
    <w:rsid w:val="00A06562"/>
    <w:rsid w:val="00A065C1"/>
    <w:rsid w:val="00A06970"/>
    <w:rsid w:val="00A06BA2"/>
    <w:rsid w:val="00A07247"/>
    <w:rsid w:val="00A07D98"/>
    <w:rsid w:val="00A11377"/>
    <w:rsid w:val="00A11671"/>
    <w:rsid w:val="00A121F7"/>
    <w:rsid w:val="00A12701"/>
    <w:rsid w:val="00A12D0F"/>
    <w:rsid w:val="00A13776"/>
    <w:rsid w:val="00A139CF"/>
    <w:rsid w:val="00A13BEA"/>
    <w:rsid w:val="00A1414D"/>
    <w:rsid w:val="00A14B8A"/>
    <w:rsid w:val="00A1565D"/>
    <w:rsid w:val="00A15831"/>
    <w:rsid w:val="00A1657E"/>
    <w:rsid w:val="00A17615"/>
    <w:rsid w:val="00A17867"/>
    <w:rsid w:val="00A2054A"/>
    <w:rsid w:val="00A20684"/>
    <w:rsid w:val="00A20CA1"/>
    <w:rsid w:val="00A215D9"/>
    <w:rsid w:val="00A21C13"/>
    <w:rsid w:val="00A21CEE"/>
    <w:rsid w:val="00A225F5"/>
    <w:rsid w:val="00A22798"/>
    <w:rsid w:val="00A22F96"/>
    <w:rsid w:val="00A23090"/>
    <w:rsid w:val="00A23534"/>
    <w:rsid w:val="00A23815"/>
    <w:rsid w:val="00A23EDA"/>
    <w:rsid w:val="00A244A5"/>
    <w:rsid w:val="00A263B9"/>
    <w:rsid w:val="00A26410"/>
    <w:rsid w:val="00A268ED"/>
    <w:rsid w:val="00A27413"/>
    <w:rsid w:val="00A27DAC"/>
    <w:rsid w:val="00A30DA9"/>
    <w:rsid w:val="00A313D4"/>
    <w:rsid w:val="00A31A4A"/>
    <w:rsid w:val="00A325B5"/>
    <w:rsid w:val="00A33757"/>
    <w:rsid w:val="00A339A7"/>
    <w:rsid w:val="00A3401B"/>
    <w:rsid w:val="00A34483"/>
    <w:rsid w:val="00A34D95"/>
    <w:rsid w:val="00A353C4"/>
    <w:rsid w:val="00A35466"/>
    <w:rsid w:val="00A3563C"/>
    <w:rsid w:val="00A35651"/>
    <w:rsid w:val="00A356D0"/>
    <w:rsid w:val="00A35820"/>
    <w:rsid w:val="00A359DF"/>
    <w:rsid w:val="00A35CA8"/>
    <w:rsid w:val="00A35CF6"/>
    <w:rsid w:val="00A35D33"/>
    <w:rsid w:val="00A3607B"/>
    <w:rsid w:val="00A36386"/>
    <w:rsid w:val="00A40A4C"/>
    <w:rsid w:val="00A40A59"/>
    <w:rsid w:val="00A41532"/>
    <w:rsid w:val="00A41A67"/>
    <w:rsid w:val="00A420F7"/>
    <w:rsid w:val="00A4286B"/>
    <w:rsid w:val="00A4287C"/>
    <w:rsid w:val="00A428EB"/>
    <w:rsid w:val="00A42D1B"/>
    <w:rsid w:val="00A42DEC"/>
    <w:rsid w:val="00A4368B"/>
    <w:rsid w:val="00A4446C"/>
    <w:rsid w:val="00A4506D"/>
    <w:rsid w:val="00A46CF9"/>
    <w:rsid w:val="00A476DC"/>
    <w:rsid w:val="00A47AC3"/>
    <w:rsid w:val="00A47D57"/>
    <w:rsid w:val="00A50AE9"/>
    <w:rsid w:val="00A5126B"/>
    <w:rsid w:val="00A5374A"/>
    <w:rsid w:val="00A538A7"/>
    <w:rsid w:val="00A538FA"/>
    <w:rsid w:val="00A54135"/>
    <w:rsid w:val="00A54C3D"/>
    <w:rsid w:val="00A54DFF"/>
    <w:rsid w:val="00A54EC2"/>
    <w:rsid w:val="00A55869"/>
    <w:rsid w:val="00A55937"/>
    <w:rsid w:val="00A56563"/>
    <w:rsid w:val="00A5689B"/>
    <w:rsid w:val="00A56F32"/>
    <w:rsid w:val="00A5756B"/>
    <w:rsid w:val="00A57D8D"/>
    <w:rsid w:val="00A57F3D"/>
    <w:rsid w:val="00A6037B"/>
    <w:rsid w:val="00A6195E"/>
    <w:rsid w:val="00A62FEE"/>
    <w:rsid w:val="00A63732"/>
    <w:rsid w:val="00A63CC2"/>
    <w:rsid w:val="00A6422F"/>
    <w:rsid w:val="00A649DB"/>
    <w:rsid w:val="00A64ADD"/>
    <w:rsid w:val="00A64FF9"/>
    <w:rsid w:val="00A6519D"/>
    <w:rsid w:val="00A65A32"/>
    <w:rsid w:val="00A65F77"/>
    <w:rsid w:val="00A66383"/>
    <w:rsid w:val="00A6638E"/>
    <w:rsid w:val="00A66403"/>
    <w:rsid w:val="00A667F6"/>
    <w:rsid w:val="00A66BED"/>
    <w:rsid w:val="00A67C4E"/>
    <w:rsid w:val="00A67CCA"/>
    <w:rsid w:val="00A67F0F"/>
    <w:rsid w:val="00A712BF"/>
    <w:rsid w:val="00A72083"/>
    <w:rsid w:val="00A7271F"/>
    <w:rsid w:val="00A72D5F"/>
    <w:rsid w:val="00A72D64"/>
    <w:rsid w:val="00A731E2"/>
    <w:rsid w:val="00A73D25"/>
    <w:rsid w:val="00A74E91"/>
    <w:rsid w:val="00A752FB"/>
    <w:rsid w:val="00A755BC"/>
    <w:rsid w:val="00A75F98"/>
    <w:rsid w:val="00A76622"/>
    <w:rsid w:val="00A7729F"/>
    <w:rsid w:val="00A77A6F"/>
    <w:rsid w:val="00A806E3"/>
    <w:rsid w:val="00A80C1C"/>
    <w:rsid w:val="00A80E60"/>
    <w:rsid w:val="00A819E4"/>
    <w:rsid w:val="00A82294"/>
    <w:rsid w:val="00A82E0E"/>
    <w:rsid w:val="00A83DF9"/>
    <w:rsid w:val="00A83E41"/>
    <w:rsid w:val="00A846EA"/>
    <w:rsid w:val="00A8482F"/>
    <w:rsid w:val="00A84C1F"/>
    <w:rsid w:val="00A85BBD"/>
    <w:rsid w:val="00A861BA"/>
    <w:rsid w:val="00A871D9"/>
    <w:rsid w:val="00A87975"/>
    <w:rsid w:val="00A87BEE"/>
    <w:rsid w:val="00A907FD"/>
    <w:rsid w:val="00A90E63"/>
    <w:rsid w:val="00A9207D"/>
    <w:rsid w:val="00A921AB"/>
    <w:rsid w:val="00A9265C"/>
    <w:rsid w:val="00A931F0"/>
    <w:rsid w:val="00A934E3"/>
    <w:rsid w:val="00A937AF"/>
    <w:rsid w:val="00A94208"/>
    <w:rsid w:val="00A951DB"/>
    <w:rsid w:val="00A959C0"/>
    <w:rsid w:val="00A95EDF"/>
    <w:rsid w:val="00A95FFD"/>
    <w:rsid w:val="00A9602D"/>
    <w:rsid w:val="00A96318"/>
    <w:rsid w:val="00A969C7"/>
    <w:rsid w:val="00A96F5A"/>
    <w:rsid w:val="00A9726F"/>
    <w:rsid w:val="00A97684"/>
    <w:rsid w:val="00A97A3F"/>
    <w:rsid w:val="00A97F71"/>
    <w:rsid w:val="00AA00FD"/>
    <w:rsid w:val="00AA0432"/>
    <w:rsid w:val="00AA0681"/>
    <w:rsid w:val="00AA12A3"/>
    <w:rsid w:val="00AA18ED"/>
    <w:rsid w:val="00AA1FD2"/>
    <w:rsid w:val="00AA21A2"/>
    <w:rsid w:val="00AA25CF"/>
    <w:rsid w:val="00AA3667"/>
    <w:rsid w:val="00AA3A11"/>
    <w:rsid w:val="00AA5335"/>
    <w:rsid w:val="00AA5731"/>
    <w:rsid w:val="00AA6413"/>
    <w:rsid w:val="00AA6C54"/>
    <w:rsid w:val="00AA7107"/>
    <w:rsid w:val="00AA71EE"/>
    <w:rsid w:val="00AA7CC1"/>
    <w:rsid w:val="00AB019C"/>
    <w:rsid w:val="00AB04A3"/>
    <w:rsid w:val="00AB266D"/>
    <w:rsid w:val="00AB28DD"/>
    <w:rsid w:val="00AB2B14"/>
    <w:rsid w:val="00AB2C22"/>
    <w:rsid w:val="00AB2F31"/>
    <w:rsid w:val="00AB361B"/>
    <w:rsid w:val="00AB3AAA"/>
    <w:rsid w:val="00AB3EC3"/>
    <w:rsid w:val="00AB41AD"/>
    <w:rsid w:val="00AB451F"/>
    <w:rsid w:val="00AB4929"/>
    <w:rsid w:val="00AB4E56"/>
    <w:rsid w:val="00AB5169"/>
    <w:rsid w:val="00AB521D"/>
    <w:rsid w:val="00AB5228"/>
    <w:rsid w:val="00AB525C"/>
    <w:rsid w:val="00AB55A8"/>
    <w:rsid w:val="00AB5D9B"/>
    <w:rsid w:val="00AB5DF6"/>
    <w:rsid w:val="00AB5EFB"/>
    <w:rsid w:val="00AB611F"/>
    <w:rsid w:val="00AB63C9"/>
    <w:rsid w:val="00AB6958"/>
    <w:rsid w:val="00AB72B9"/>
    <w:rsid w:val="00AB7FF6"/>
    <w:rsid w:val="00AC0045"/>
    <w:rsid w:val="00AC09CA"/>
    <w:rsid w:val="00AC1294"/>
    <w:rsid w:val="00AC12F7"/>
    <w:rsid w:val="00AC16C1"/>
    <w:rsid w:val="00AC1843"/>
    <w:rsid w:val="00AC18A8"/>
    <w:rsid w:val="00AC1C47"/>
    <w:rsid w:val="00AC202B"/>
    <w:rsid w:val="00AC24FA"/>
    <w:rsid w:val="00AC2830"/>
    <w:rsid w:val="00AC2A4D"/>
    <w:rsid w:val="00AC36CB"/>
    <w:rsid w:val="00AC5191"/>
    <w:rsid w:val="00AC5750"/>
    <w:rsid w:val="00AC576B"/>
    <w:rsid w:val="00AC5E0E"/>
    <w:rsid w:val="00AC628B"/>
    <w:rsid w:val="00AC684B"/>
    <w:rsid w:val="00AC6A85"/>
    <w:rsid w:val="00AC6BE0"/>
    <w:rsid w:val="00AC7700"/>
    <w:rsid w:val="00AC7D4F"/>
    <w:rsid w:val="00AD0587"/>
    <w:rsid w:val="00AD0616"/>
    <w:rsid w:val="00AD15C6"/>
    <w:rsid w:val="00AD1B67"/>
    <w:rsid w:val="00AD1D76"/>
    <w:rsid w:val="00AD1F83"/>
    <w:rsid w:val="00AD210D"/>
    <w:rsid w:val="00AD2304"/>
    <w:rsid w:val="00AD2B78"/>
    <w:rsid w:val="00AD2F17"/>
    <w:rsid w:val="00AD2FDD"/>
    <w:rsid w:val="00AD325F"/>
    <w:rsid w:val="00AD3860"/>
    <w:rsid w:val="00AD3EB4"/>
    <w:rsid w:val="00AD42BF"/>
    <w:rsid w:val="00AD48E4"/>
    <w:rsid w:val="00AD4A88"/>
    <w:rsid w:val="00AD4CC7"/>
    <w:rsid w:val="00AD5790"/>
    <w:rsid w:val="00AD5E60"/>
    <w:rsid w:val="00AD6070"/>
    <w:rsid w:val="00AD6752"/>
    <w:rsid w:val="00AD6B89"/>
    <w:rsid w:val="00AD74E9"/>
    <w:rsid w:val="00AD7B58"/>
    <w:rsid w:val="00AE024F"/>
    <w:rsid w:val="00AE04AD"/>
    <w:rsid w:val="00AE0584"/>
    <w:rsid w:val="00AE0AB9"/>
    <w:rsid w:val="00AE146C"/>
    <w:rsid w:val="00AE1C79"/>
    <w:rsid w:val="00AE1DD8"/>
    <w:rsid w:val="00AE3398"/>
    <w:rsid w:val="00AE367C"/>
    <w:rsid w:val="00AE3946"/>
    <w:rsid w:val="00AE3AC7"/>
    <w:rsid w:val="00AE3E9B"/>
    <w:rsid w:val="00AE48A9"/>
    <w:rsid w:val="00AE56D3"/>
    <w:rsid w:val="00AE594E"/>
    <w:rsid w:val="00AE5C88"/>
    <w:rsid w:val="00AE5D2F"/>
    <w:rsid w:val="00AE6145"/>
    <w:rsid w:val="00AE65F6"/>
    <w:rsid w:val="00AE67B5"/>
    <w:rsid w:val="00AE6BAF"/>
    <w:rsid w:val="00AE6CAA"/>
    <w:rsid w:val="00AE7241"/>
    <w:rsid w:val="00AE744D"/>
    <w:rsid w:val="00AE7B68"/>
    <w:rsid w:val="00AE7DFE"/>
    <w:rsid w:val="00AF1C02"/>
    <w:rsid w:val="00AF1F0B"/>
    <w:rsid w:val="00AF27E8"/>
    <w:rsid w:val="00AF3217"/>
    <w:rsid w:val="00AF3EE0"/>
    <w:rsid w:val="00AF4A20"/>
    <w:rsid w:val="00AF5789"/>
    <w:rsid w:val="00AF601A"/>
    <w:rsid w:val="00AF6A6E"/>
    <w:rsid w:val="00AF6BB5"/>
    <w:rsid w:val="00AF6E44"/>
    <w:rsid w:val="00B008C6"/>
    <w:rsid w:val="00B02129"/>
    <w:rsid w:val="00B026FE"/>
    <w:rsid w:val="00B0284C"/>
    <w:rsid w:val="00B02A72"/>
    <w:rsid w:val="00B031FA"/>
    <w:rsid w:val="00B03B02"/>
    <w:rsid w:val="00B03E70"/>
    <w:rsid w:val="00B04C5F"/>
    <w:rsid w:val="00B04CE5"/>
    <w:rsid w:val="00B04E2E"/>
    <w:rsid w:val="00B05760"/>
    <w:rsid w:val="00B06114"/>
    <w:rsid w:val="00B072DB"/>
    <w:rsid w:val="00B07C79"/>
    <w:rsid w:val="00B07CBE"/>
    <w:rsid w:val="00B07DFE"/>
    <w:rsid w:val="00B10555"/>
    <w:rsid w:val="00B109FE"/>
    <w:rsid w:val="00B10C00"/>
    <w:rsid w:val="00B10F47"/>
    <w:rsid w:val="00B11F25"/>
    <w:rsid w:val="00B1201B"/>
    <w:rsid w:val="00B12E05"/>
    <w:rsid w:val="00B13A9B"/>
    <w:rsid w:val="00B1467E"/>
    <w:rsid w:val="00B14808"/>
    <w:rsid w:val="00B14F19"/>
    <w:rsid w:val="00B14FED"/>
    <w:rsid w:val="00B1570D"/>
    <w:rsid w:val="00B15D70"/>
    <w:rsid w:val="00B1600E"/>
    <w:rsid w:val="00B16ED7"/>
    <w:rsid w:val="00B173A4"/>
    <w:rsid w:val="00B17F7F"/>
    <w:rsid w:val="00B20724"/>
    <w:rsid w:val="00B21374"/>
    <w:rsid w:val="00B213E1"/>
    <w:rsid w:val="00B2162C"/>
    <w:rsid w:val="00B2178F"/>
    <w:rsid w:val="00B21D61"/>
    <w:rsid w:val="00B22091"/>
    <w:rsid w:val="00B225FB"/>
    <w:rsid w:val="00B22752"/>
    <w:rsid w:val="00B22DA2"/>
    <w:rsid w:val="00B230EF"/>
    <w:rsid w:val="00B2338C"/>
    <w:rsid w:val="00B2377F"/>
    <w:rsid w:val="00B23A41"/>
    <w:rsid w:val="00B23C44"/>
    <w:rsid w:val="00B24111"/>
    <w:rsid w:val="00B24BA3"/>
    <w:rsid w:val="00B26042"/>
    <w:rsid w:val="00B26845"/>
    <w:rsid w:val="00B26A78"/>
    <w:rsid w:val="00B27D79"/>
    <w:rsid w:val="00B30E51"/>
    <w:rsid w:val="00B30ED3"/>
    <w:rsid w:val="00B3150C"/>
    <w:rsid w:val="00B31733"/>
    <w:rsid w:val="00B31822"/>
    <w:rsid w:val="00B3270C"/>
    <w:rsid w:val="00B32B02"/>
    <w:rsid w:val="00B32F14"/>
    <w:rsid w:val="00B32FE8"/>
    <w:rsid w:val="00B33717"/>
    <w:rsid w:val="00B33B51"/>
    <w:rsid w:val="00B34033"/>
    <w:rsid w:val="00B35BD8"/>
    <w:rsid w:val="00B35E5B"/>
    <w:rsid w:val="00B361DB"/>
    <w:rsid w:val="00B36D7A"/>
    <w:rsid w:val="00B37877"/>
    <w:rsid w:val="00B37E99"/>
    <w:rsid w:val="00B4015A"/>
    <w:rsid w:val="00B40161"/>
    <w:rsid w:val="00B401E5"/>
    <w:rsid w:val="00B40603"/>
    <w:rsid w:val="00B41503"/>
    <w:rsid w:val="00B4193D"/>
    <w:rsid w:val="00B41CA8"/>
    <w:rsid w:val="00B41DCD"/>
    <w:rsid w:val="00B43084"/>
    <w:rsid w:val="00B431C0"/>
    <w:rsid w:val="00B438D4"/>
    <w:rsid w:val="00B44161"/>
    <w:rsid w:val="00B44B05"/>
    <w:rsid w:val="00B44E4D"/>
    <w:rsid w:val="00B45D17"/>
    <w:rsid w:val="00B461D3"/>
    <w:rsid w:val="00B46370"/>
    <w:rsid w:val="00B46452"/>
    <w:rsid w:val="00B46BF4"/>
    <w:rsid w:val="00B46CF5"/>
    <w:rsid w:val="00B47153"/>
    <w:rsid w:val="00B47643"/>
    <w:rsid w:val="00B47C8B"/>
    <w:rsid w:val="00B50296"/>
    <w:rsid w:val="00B51A0A"/>
    <w:rsid w:val="00B51ECB"/>
    <w:rsid w:val="00B523BF"/>
    <w:rsid w:val="00B529C0"/>
    <w:rsid w:val="00B539CF"/>
    <w:rsid w:val="00B539ED"/>
    <w:rsid w:val="00B547D0"/>
    <w:rsid w:val="00B55E8D"/>
    <w:rsid w:val="00B564BC"/>
    <w:rsid w:val="00B57589"/>
    <w:rsid w:val="00B57686"/>
    <w:rsid w:val="00B60D3A"/>
    <w:rsid w:val="00B61993"/>
    <w:rsid w:val="00B62D0A"/>
    <w:rsid w:val="00B62F74"/>
    <w:rsid w:val="00B6315F"/>
    <w:rsid w:val="00B632FA"/>
    <w:rsid w:val="00B635D1"/>
    <w:rsid w:val="00B63B7A"/>
    <w:rsid w:val="00B63CF2"/>
    <w:rsid w:val="00B641EA"/>
    <w:rsid w:val="00B64218"/>
    <w:rsid w:val="00B64B7C"/>
    <w:rsid w:val="00B64C3E"/>
    <w:rsid w:val="00B64D19"/>
    <w:rsid w:val="00B650F9"/>
    <w:rsid w:val="00B651E9"/>
    <w:rsid w:val="00B65521"/>
    <w:rsid w:val="00B6578F"/>
    <w:rsid w:val="00B65EDD"/>
    <w:rsid w:val="00B71786"/>
    <w:rsid w:val="00B71FEA"/>
    <w:rsid w:val="00B72602"/>
    <w:rsid w:val="00B72F37"/>
    <w:rsid w:val="00B7366A"/>
    <w:rsid w:val="00B73A38"/>
    <w:rsid w:val="00B73D8B"/>
    <w:rsid w:val="00B74246"/>
    <w:rsid w:val="00B74F25"/>
    <w:rsid w:val="00B75324"/>
    <w:rsid w:val="00B75AE0"/>
    <w:rsid w:val="00B75B7D"/>
    <w:rsid w:val="00B76406"/>
    <w:rsid w:val="00B7730A"/>
    <w:rsid w:val="00B8018F"/>
    <w:rsid w:val="00B804AB"/>
    <w:rsid w:val="00B81648"/>
    <w:rsid w:val="00B817C9"/>
    <w:rsid w:val="00B81A9A"/>
    <w:rsid w:val="00B82233"/>
    <w:rsid w:val="00B823BB"/>
    <w:rsid w:val="00B82FB3"/>
    <w:rsid w:val="00B83A2D"/>
    <w:rsid w:val="00B83D95"/>
    <w:rsid w:val="00B84A15"/>
    <w:rsid w:val="00B85F4E"/>
    <w:rsid w:val="00B86441"/>
    <w:rsid w:val="00B86786"/>
    <w:rsid w:val="00B86835"/>
    <w:rsid w:val="00B8699D"/>
    <w:rsid w:val="00B87C9F"/>
    <w:rsid w:val="00B90491"/>
    <w:rsid w:val="00B90659"/>
    <w:rsid w:val="00B90B3F"/>
    <w:rsid w:val="00B91646"/>
    <w:rsid w:val="00B92475"/>
    <w:rsid w:val="00B92961"/>
    <w:rsid w:val="00B92D24"/>
    <w:rsid w:val="00B92FF4"/>
    <w:rsid w:val="00B931C1"/>
    <w:rsid w:val="00B933D7"/>
    <w:rsid w:val="00B9349D"/>
    <w:rsid w:val="00B9384C"/>
    <w:rsid w:val="00B93F4A"/>
    <w:rsid w:val="00B93F54"/>
    <w:rsid w:val="00B9430B"/>
    <w:rsid w:val="00B9446D"/>
    <w:rsid w:val="00B9458B"/>
    <w:rsid w:val="00B94FDA"/>
    <w:rsid w:val="00B952BE"/>
    <w:rsid w:val="00B956C2"/>
    <w:rsid w:val="00B95709"/>
    <w:rsid w:val="00B95B77"/>
    <w:rsid w:val="00B96741"/>
    <w:rsid w:val="00B96DF2"/>
    <w:rsid w:val="00B9742F"/>
    <w:rsid w:val="00B978A5"/>
    <w:rsid w:val="00B97996"/>
    <w:rsid w:val="00B97DA2"/>
    <w:rsid w:val="00BA0398"/>
    <w:rsid w:val="00BA03B4"/>
    <w:rsid w:val="00BA03D7"/>
    <w:rsid w:val="00BA1BA8"/>
    <w:rsid w:val="00BA2191"/>
    <w:rsid w:val="00BA277A"/>
    <w:rsid w:val="00BA281B"/>
    <w:rsid w:val="00BA28D9"/>
    <w:rsid w:val="00BA3489"/>
    <w:rsid w:val="00BA377C"/>
    <w:rsid w:val="00BA3972"/>
    <w:rsid w:val="00BA4D0F"/>
    <w:rsid w:val="00BA4D3C"/>
    <w:rsid w:val="00BA5646"/>
    <w:rsid w:val="00BA63AC"/>
    <w:rsid w:val="00BA63E1"/>
    <w:rsid w:val="00BA6A44"/>
    <w:rsid w:val="00BA6E85"/>
    <w:rsid w:val="00BA7510"/>
    <w:rsid w:val="00BA7528"/>
    <w:rsid w:val="00BB0AE3"/>
    <w:rsid w:val="00BB0B0A"/>
    <w:rsid w:val="00BB0F47"/>
    <w:rsid w:val="00BB12CA"/>
    <w:rsid w:val="00BB25B7"/>
    <w:rsid w:val="00BB2AE2"/>
    <w:rsid w:val="00BB31B2"/>
    <w:rsid w:val="00BB3AE5"/>
    <w:rsid w:val="00BB3C2E"/>
    <w:rsid w:val="00BB4E44"/>
    <w:rsid w:val="00BB52BE"/>
    <w:rsid w:val="00BB5579"/>
    <w:rsid w:val="00BB55C5"/>
    <w:rsid w:val="00BB55CB"/>
    <w:rsid w:val="00BB62C2"/>
    <w:rsid w:val="00BB67AB"/>
    <w:rsid w:val="00BB6F3C"/>
    <w:rsid w:val="00BB7F8E"/>
    <w:rsid w:val="00BC023D"/>
    <w:rsid w:val="00BC041A"/>
    <w:rsid w:val="00BC0694"/>
    <w:rsid w:val="00BC0A10"/>
    <w:rsid w:val="00BC0F11"/>
    <w:rsid w:val="00BC1057"/>
    <w:rsid w:val="00BC119D"/>
    <w:rsid w:val="00BC1DC2"/>
    <w:rsid w:val="00BC1FC8"/>
    <w:rsid w:val="00BC1FEF"/>
    <w:rsid w:val="00BC2714"/>
    <w:rsid w:val="00BC2A18"/>
    <w:rsid w:val="00BC2CEF"/>
    <w:rsid w:val="00BC2DA5"/>
    <w:rsid w:val="00BC2E70"/>
    <w:rsid w:val="00BC36EF"/>
    <w:rsid w:val="00BC37D3"/>
    <w:rsid w:val="00BC3B55"/>
    <w:rsid w:val="00BC47BE"/>
    <w:rsid w:val="00BC5ADF"/>
    <w:rsid w:val="00BC615B"/>
    <w:rsid w:val="00BC67B3"/>
    <w:rsid w:val="00BC794F"/>
    <w:rsid w:val="00BD213D"/>
    <w:rsid w:val="00BD2DB3"/>
    <w:rsid w:val="00BD3176"/>
    <w:rsid w:val="00BD3B33"/>
    <w:rsid w:val="00BD3CBC"/>
    <w:rsid w:val="00BD47D2"/>
    <w:rsid w:val="00BD49B5"/>
    <w:rsid w:val="00BD51E0"/>
    <w:rsid w:val="00BD546F"/>
    <w:rsid w:val="00BD5588"/>
    <w:rsid w:val="00BD57CA"/>
    <w:rsid w:val="00BD5B5A"/>
    <w:rsid w:val="00BD5D22"/>
    <w:rsid w:val="00BD620D"/>
    <w:rsid w:val="00BD65B9"/>
    <w:rsid w:val="00BE0882"/>
    <w:rsid w:val="00BE119C"/>
    <w:rsid w:val="00BE1623"/>
    <w:rsid w:val="00BE22AA"/>
    <w:rsid w:val="00BE272B"/>
    <w:rsid w:val="00BE2E22"/>
    <w:rsid w:val="00BE2F7D"/>
    <w:rsid w:val="00BE33C6"/>
    <w:rsid w:val="00BE33DC"/>
    <w:rsid w:val="00BE3CAE"/>
    <w:rsid w:val="00BE4CE3"/>
    <w:rsid w:val="00BE4D0D"/>
    <w:rsid w:val="00BE50CB"/>
    <w:rsid w:val="00BE5CF5"/>
    <w:rsid w:val="00BE6578"/>
    <w:rsid w:val="00BE6AEE"/>
    <w:rsid w:val="00BE7D0D"/>
    <w:rsid w:val="00BF0777"/>
    <w:rsid w:val="00BF0E4A"/>
    <w:rsid w:val="00BF1A31"/>
    <w:rsid w:val="00BF2105"/>
    <w:rsid w:val="00BF274C"/>
    <w:rsid w:val="00BF2EE7"/>
    <w:rsid w:val="00BF35AD"/>
    <w:rsid w:val="00BF37B5"/>
    <w:rsid w:val="00BF3967"/>
    <w:rsid w:val="00BF3D20"/>
    <w:rsid w:val="00BF3F60"/>
    <w:rsid w:val="00BF44DD"/>
    <w:rsid w:val="00BF49B2"/>
    <w:rsid w:val="00BF57BD"/>
    <w:rsid w:val="00BF5A0F"/>
    <w:rsid w:val="00BF644E"/>
    <w:rsid w:val="00BF64AC"/>
    <w:rsid w:val="00BF6A22"/>
    <w:rsid w:val="00BF6F04"/>
    <w:rsid w:val="00BF6F6B"/>
    <w:rsid w:val="00BF73FB"/>
    <w:rsid w:val="00BF7B48"/>
    <w:rsid w:val="00BF7E7E"/>
    <w:rsid w:val="00C00328"/>
    <w:rsid w:val="00C003BE"/>
    <w:rsid w:val="00C00413"/>
    <w:rsid w:val="00C00428"/>
    <w:rsid w:val="00C00D8E"/>
    <w:rsid w:val="00C00E60"/>
    <w:rsid w:val="00C015A0"/>
    <w:rsid w:val="00C0169A"/>
    <w:rsid w:val="00C01B28"/>
    <w:rsid w:val="00C0230B"/>
    <w:rsid w:val="00C02A9F"/>
    <w:rsid w:val="00C03FE7"/>
    <w:rsid w:val="00C04AFE"/>
    <w:rsid w:val="00C055C8"/>
    <w:rsid w:val="00C055DC"/>
    <w:rsid w:val="00C05C83"/>
    <w:rsid w:val="00C062BC"/>
    <w:rsid w:val="00C06463"/>
    <w:rsid w:val="00C06A46"/>
    <w:rsid w:val="00C07113"/>
    <w:rsid w:val="00C07895"/>
    <w:rsid w:val="00C07961"/>
    <w:rsid w:val="00C07CB6"/>
    <w:rsid w:val="00C10A07"/>
    <w:rsid w:val="00C117C0"/>
    <w:rsid w:val="00C12281"/>
    <w:rsid w:val="00C1254D"/>
    <w:rsid w:val="00C12E83"/>
    <w:rsid w:val="00C13603"/>
    <w:rsid w:val="00C14508"/>
    <w:rsid w:val="00C14532"/>
    <w:rsid w:val="00C14A2B"/>
    <w:rsid w:val="00C14AA8"/>
    <w:rsid w:val="00C15067"/>
    <w:rsid w:val="00C15510"/>
    <w:rsid w:val="00C16B7C"/>
    <w:rsid w:val="00C176DD"/>
    <w:rsid w:val="00C17B54"/>
    <w:rsid w:val="00C2001A"/>
    <w:rsid w:val="00C20079"/>
    <w:rsid w:val="00C2069A"/>
    <w:rsid w:val="00C206E8"/>
    <w:rsid w:val="00C213B0"/>
    <w:rsid w:val="00C213ED"/>
    <w:rsid w:val="00C21C1E"/>
    <w:rsid w:val="00C22223"/>
    <w:rsid w:val="00C22C2E"/>
    <w:rsid w:val="00C2367B"/>
    <w:rsid w:val="00C23B0C"/>
    <w:rsid w:val="00C23C48"/>
    <w:rsid w:val="00C24BE3"/>
    <w:rsid w:val="00C24FB8"/>
    <w:rsid w:val="00C254F2"/>
    <w:rsid w:val="00C26B3A"/>
    <w:rsid w:val="00C27958"/>
    <w:rsid w:val="00C27FB4"/>
    <w:rsid w:val="00C30097"/>
    <w:rsid w:val="00C30888"/>
    <w:rsid w:val="00C3172C"/>
    <w:rsid w:val="00C31738"/>
    <w:rsid w:val="00C318F1"/>
    <w:rsid w:val="00C31E95"/>
    <w:rsid w:val="00C31FB2"/>
    <w:rsid w:val="00C32AC4"/>
    <w:rsid w:val="00C32C36"/>
    <w:rsid w:val="00C32EA3"/>
    <w:rsid w:val="00C330ED"/>
    <w:rsid w:val="00C33167"/>
    <w:rsid w:val="00C335CF"/>
    <w:rsid w:val="00C33F9F"/>
    <w:rsid w:val="00C35071"/>
    <w:rsid w:val="00C3514D"/>
    <w:rsid w:val="00C360D0"/>
    <w:rsid w:val="00C3622A"/>
    <w:rsid w:val="00C3641C"/>
    <w:rsid w:val="00C3716C"/>
    <w:rsid w:val="00C373A4"/>
    <w:rsid w:val="00C37A20"/>
    <w:rsid w:val="00C37C3B"/>
    <w:rsid w:val="00C37D3E"/>
    <w:rsid w:val="00C37F70"/>
    <w:rsid w:val="00C4063E"/>
    <w:rsid w:val="00C40D10"/>
    <w:rsid w:val="00C41620"/>
    <w:rsid w:val="00C41B22"/>
    <w:rsid w:val="00C41F1B"/>
    <w:rsid w:val="00C42487"/>
    <w:rsid w:val="00C437E1"/>
    <w:rsid w:val="00C43BFB"/>
    <w:rsid w:val="00C43E1F"/>
    <w:rsid w:val="00C4422D"/>
    <w:rsid w:val="00C44548"/>
    <w:rsid w:val="00C4489B"/>
    <w:rsid w:val="00C45621"/>
    <w:rsid w:val="00C45626"/>
    <w:rsid w:val="00C46F2F"/>
    <w:rsid w:val="00C47266"/>
    <w:rsid w:val="00C4762A"/>
    <w:rsid w:val="00C50192"/>
    <w:rsid w:val="00C501F2"/>
    <w:rsid w:val="00C509F0"/>
    <w:rsid w:val="00C512F9"/>
    <w:rsid w:val="00C513B1"/>
    <w:rsid w:val="00C52655"/>
    <w:rsid w:val="00C52D70"/>
    <w:rsid w:val="00C52E77"/>
    <w:rsid w:val="00C53005"/>
    <w:rsid w:val="00C537FC"/>
    <w:rsid w:val="00C53963"/>
    <w:rsid w:val="00C54FDF"/>
    <w:rsid w:val="00C55625"/>
    <w:rsid w:val="00C55845"/>
    <w:rsid w:val="00C55A9C"/>
    <w:rsid w:val="00C55ABB"/>
    <w:rsid w:val="00C55BB0"/>
    <w:rsid w:val="00C55F19"/>
    <w:rsid w:val="00C56836"/>
    <w:rsid w:val="00C56BD2"/>
    <w:rsid w:val="00C574BA"/>
    <w:rsid w:val="00C575D4"/>
    <w:rsid w:val="00C57CD5"/>
    <w:rsid w:val="00C57D1E"/>
    <w:rsid w:val="00C60D4F"/>
    <w:rsid w:val="00C610A0"/>
    <w:rsid w:val="00C61472"/>
    <w:rsid w:val="00C629CD"/>
    <w:rsid w:val="00C62C90"/>
    <w:rsid w:val="00C632D4"/>
    <w:rsid w:val="00C63E3D"/>
    <w:rsid w:val="00C64120"/>
    <w:rsid w:val="00C64A5C"/>
    <w:rsid w:val="00C6588F"/>
    <w:rsid w:val="00C658C9"/>
    <w:rsid w:val="00C667A1"/>
    <w:rsid w:val="00C66A2A"/>
    <w:rsid w:val="00C66E22"/>
    <w:rsid w:val="00C66FD0"/>
    <w:rsid w:val="00C670BC"/>
    <w:rsid w:val="00C67165"/>
    <w:rsid w:val="00C67ACF"/>
    <w:rsid w:val="00C70A1E"/>
    <w:rsid w:val="00C70BB9"/>
    <w:rsid w:val="00C71AE2"/>
    <w:rsid w:val="00C72079"/>
    <w:rsid w:val="00C723BD"/>
    <w:rsid w:val="00C72955"/>
    <w:rsid w:val="00C72BD0"/>
    <w:rsid w:val="00C7391C"/>
    <w:rsid w:val="00C73F3F"/>
    <w:rsid w:val="00C74040"/>
    <w:rsid w:val="00C74C41"/>
    <w:rsid w:val="00C74EE6"/>
    <w:rsid w:val="00C75189"/>
    <w:rsid w:val="00C7521A"/>
    <w:rsid w:val="00C759CD"/>
    <w:rsid w:val="00C75F54"/>
    <w:rsid w:val="00C7646D"/>
    <w:rsid w:val="00C768AF"/>
    <w:rsid w:val="00C76A21"/>
    <w:rsid w:val="00C773A0"/>
    <w:rsid w:val="00C77ED3"/>
    <w:rsid w:val="00C80586"/>
    <w:rsid w:val="00C80593"/>
    <w:rsid w:val="00C81532"/>
    <w:rsid w:val="00C8199F"/>
    <w:rsid w:val="00C82841"/>
    <w:rsid w:val="00C8294E"/>
    <w:rsid w:val="00C82B0B"/>
    <w:rsid w:val="00C831D9"/>
    <w:rsid w:val="00C831EB"/>
    <w:rsid w:val="00C832C0"/>
    <w:rsid w:val="00C8385B"/>
    <w:rsid w:val="00C83CDF"/>
    <w:rsid w:val="00C8508F"/>
    <w:rsid w:val="00C8529F"/>
    <w:rsid w:val="00C86238"/>
    <w:rsid w:val="00C865B0"/>
    <w:rsid w:val="00C86626"/>
    <w:rsid w:val="00C86869"/>
    <w:rsid w:val="00C8698D"/>
    <w:rsid w:val="00C86D3B"/>
    <w:rsid w:val="00C8752B"/>
    <w:rsid w:val="00C87E55"/>
    <w:rsid w:val="00C90154"/>
    <w:rsid w:val="00C916BC"/>
    <w:rsid w:val="00C9228F"/>
    <w:rsid w:val="00C939D9"/>
    <w:rsid w:val="00C941C8"/>
    <w:rsid w:val="00C94696"/>
    <w:rsid w:val="00C94A42"/>
    <w:rsid w:val="00C94BDF"/>
    <w:rsid w:val="00C94C35"/>
    <w:rsid w:val="00C94CCC"/>
    <w:rsid w:val="00C9507A"/>
    <w:rsid w:val="00C95226"/>
    <w:rsid w:val="00C961E8"/>
    <w:rsid w:val="00C9668E"/>
    <w:rsid w:val="00C96BFF"/>
    <w:rsid w:val="00C96CE2"/>
    <w:rsid w:val="00C96E28"/>
    <w:rsid w:val="00C96E9F"/>
    <w:rsid w:val="00C974F1"/>
    <w:rsid w:val="00CA0438"/>
    <w:rsid w:val="00CA046C"/>
    <w:rsid w:val="00CA0C42"/>
    <w:rsid w:val="00CA0FE6"/>
    <w:rsid w:val="00CA0FED"/>
    <w:rsid w:val="00CA1755"/>
    <w:rsid w:val="00CA19AB"/>
    <w:rsid w:val="00CA19E0"/>
    <w:rsid w:val="00CA2A95"/>
    <w:rsid w:val="00CA37F3"/>
    <w:rsid w:val="00CA5425"/>
    <w:rsid w:val="00CA5642"/>
    <w:rsid w:val="00CA5761"/>
    <w:rsid w:val="00CA597F"/>
    <w:rsid w:val="00CA5A96"/>
    <w:rsid w:val="00CA5CD3"/>
    <w:rsid w:val="00CA6092"/>
    <w:rsid w:val="00CA6C24"/>
    <w:rsid w:val="00CA7110"/>
    <w:rsid w:val="00CA7133"/>
    <w:rsid w:val="00CA7E99"/>
    <w:rsid w:val="00CA7F07"/>
    <w:rsid w:val="00CB0C50"/>
    <w:rsid w:val="00CB1180"/>
    <w:rsid w:val="00CB1BF4"/>
    <w:rsid w:val="00CB24AF"/>
    <w:rsid w:val="00CB252C"/>
    <w:rsid w:val="00CB29FA"/>
    <w:rsid w:val="00CB31C6"/>
    <w:rsid w:val="00CB3A26"/>
    <w:rsid w:val="00CB4B0F"/>
    <w:rsid w:val="00CB4EE9"/>
    <w:rsid w:val="00CB611D"/>
    <w:rsid w:val="00CB63A3"/>
    <w:rsid w:val="00CB670E"/>
    <w:rsid w:val="00CB69F3"/>
    <w:rsid w:val="00CB7466"/>
    <w:rsid w:val="00CC021F"/>
    <w:rsid w:val="00CC0804"/>
    <w:rsid w:val="00CC176A"/>
    <w:rsid w:val="00CC181B"/>
    <w:rsid w:val="00CC1F77"/>
    <w:rsid w:val="00CC25A1"/>
    <w:rsid w:val="00CC25D4"/>
    <w:rsid w:val="00CC26D7"/>
    <w:rsid w:val="00CC2D51"/>
    <w:rsid w:val="00CC303E"/>
    <w:rsid w:val="00CC4006"/>
    <w:rsid w:val="00CC41C1"/>
    <w:rsid w:val="00CC44A8"/>
    <w:rsid w:val="00CC451D"/>
    <w:rsid w:val="00CC4C19"/>
    <w:rsid w:val="00CC51F0"/>
    <w:rsid w:val="00CC585E"/>
    <w:rsid w:val="00CC5D66"/>
    <w:rsid w:val="00CC6D1C"/>
    <w:rsid w:val="00CC7B0F"/>
    <w:rsid w:val="00CD03BC"/>
    <w:rsid w:val="00CD044B"/>
    <w:rsid w:val="00CD048D"/>
    <w:rsid w:val="00CD0CEE"/>
    <w:rsid w:val="00CD0F19"/>
    <w:rsid w:val="00CD10D1"/>
    <w:rsid w:val="00CD1609"/>
    <w:rsid w:val="00CD1B79"/>
    <w:rsid w:val="00CD1F53"/>
    <w:rsid w:val="00CD2447"/>
    <w:rsid w:val="00CD25B3"/>
    <w:rsid w:val="00CD28BE"/>
    <w:rsid w:val="00CD294B"/>
    <w:rsid w:val="00CD2DB1"/>
    <w:rsid w:val="00CD3720"/>
    <w:rsid w:val="00CD4D39"/>
    <w:rsid w:val="00CD50E5"/>
    <w:rsid w:val="00CD641E"/>
    <w:rsid w:val="00CD6CAA"/>
    <w:rsid w:val="00CD71F0"/>
    <w:rsid w:val="00CD782E"/>
    <w:rsid w:val="00CD799A"/>
    <w:rsid w:val="00CD7B20"/>
    <w:rsid w:val="00CE07CD"/>
    <w:rsid w:val="00CE2CDC"/>
    <w:rsid w:val="00CE32CB"/>
    <w:rsid w:val="00CE339D"/>
    <w:rsid w:val="00CE40D4"/>
    <w:rsid w:val="00CE4254"/>
    <w:rsid w:val="00CE464A"/>
    <w:rsid w:val="00CE54B8"/>
    <w:rsid w:val="00CE57DC"/>
    <w:rsid w:val="00CE64C2"/>
    <w:rsid w:val="00CE67A5"/>
    <w:rsid w:val="00CE6860"/>
    <w:rsid w:val="00CE6AC2"/>
    <w:rsid w:val="00CE6BD9"/>
    <w:rsid w:val="00CE6EEC"/>
    <w:rsid w:val="00CE7B1C"/>
    <w:rsid w:val="00CE7D2F"/>
    <w:rsid w:val="00CE7FA1"/>
    <w:rsid w:val="00CF0765"/>
    <w:rsid w:val="00CF090C"/>
    <w:rsid w:val="00CF11F5"/>
    <w:rsid w:val="00CF123C"/>
    <w:rsid w:val="00CF216E"/>
    <w:rsid w:val="00CF2487"/>
    <w:rsid w:val="00CF272D"/>
    <w:rsid w:val="00CF2F63"/>
    <w:rsid w:val="00CF31D3"/>
    <w:rsid w:val="00CF3C32"/>
    <w:rsid w:val="00CF526F"/>
    <w:rsid w:val="00CF5A62"/>
    <w:rsid w:val="00CF5EE8"/>
    <w:rsid w:val="00CF677D"/>
    <w:rsid w:val="00CF715B"/>
    <w:rsid w:val="00CF740F"/>
    <w:rsid w:val="00CF7707"/>
    <w:rsid w:val="00CF7985"/>
    <w:rsid w:val="00CF79A8"/>
    <w:rsid w:val="00CF7C6F"/>
    <w:rsid w:val="00D0033F"/>
    <w:rsid w:val="00D00C53"/>
    <w:rsid w:val="00D010CA"/>
    <w:rsid w:val="00D0210D"/>
    <w:rsid w:val="00D02143"/>
    <w:rsid w:val="00D0307D"/>
    <w:rsid w:val="00D0385E"/>
    <w:rsid w:val="00D03FDB"/>
    <w:rsid w:val="00D04292"/>
    <w:rsid w:val="00D04B35"/>
    <w:rsid w:val="00D05E76"/>
    <w:rsid w:val="00D063EC"/>
    <w:rsid w:val="00D068F3"/>
    <w:rsid w:val="00D06C11"/>
    <w:rsid w:val="00D06DD0"/>
    <w:rsid w:val="00D0726A"/>
    <w:rsid w:val="00D07635"/>
    <w:rsid w:val="00D1147C"/>
    <w:rsid w:val="00D121AA"/>
    <w:rsid w:val="00D12B7D"/>
    <w:rsid w:val="00D12F6E"/>
    <w:rsid w:val="00D12F71"/>
    <w:rsid w:val="00D12F72"/>
    <w:rsid w:val="00D13A97"/>
    <w:rsid w:val="00D13C75"/>
    <w:rsid w:val="00D14985"/>
    <w:rsid w:val="00D1503E"/>
    <w:rsid w:val="00D15257"/>
    <w:rsid w:val="00D152C4"/>
    <w:rsid w:val="00D15D7C"/>
    <w:rsid w:val="00D15DFE"/>
    <w:rsid w:val="00D16BBB"/>
    <w:rsid w:val="00D16C28"/>
    <w:rsid w:val="00D2045B"/>
    <w:rsid w:val="00D20D4D"/>
    <w:rsid w:val="00D21A2A"/>
    <w:rsid w:val="00D21AA2"/>
    <w:rsid w:val="00D21F02"/>
    <w:rsid w:val="00D229E4"/>
    <w:rsid w:val="00D23869"/>
    <w:rsid w:val="00D23EE9"/>
    <w:rsid w:val="00D244B5"/>
    <w:rsid w:val="00D2477A"/>
    <w:rsid w:val="00D2477B"/>
    <w:rsid w:val="00D2479F"/>
    <w:rsid w:val="00D248D6"/>
    <w:rsid w:val="00D2499C"/>
    <w:rsid w:val="00D24CE3"/>
    <w:rsid w:val="00D25865"/>
    <w:rsid w:val="00D259CA"/>
    <w:rsid w:val="00D25D44"/>
    <w:rsid w:val="00D26B87"/>
    <w:rsid w:val="00D26F00"/>
    <w:rsid w:val="00D27129"/>
    <w:rsid w:val="00D30163"/>
    <w:rsid w:val="00D307B2"/>
    <w:rsid w:val="00D30D73"/>
    <w:rsid w:val="00D31AFC"/>
    <w:rsid w:val="00D31DA5"/>
    <w:rsid w:val="00D325D7"/>
    <w:rsid w:val="00D32C49"/>
    <w:rsid w:val="00D33AA2"/>
    <w:rsid w:val="00D33C2C"/>
    <w:rsid w:val="00D34116"/>
    <w:rsid w:val="00D343FD"/>
    <w:rsid w:val="00D3512B"/>
    <w:rsid w:val="00D353C1"/>
    <w:rsid w:val="00D3542E"/>
    <w:rsid w:val="00D35DCA"/>
    <w:rsid w:val="00D3675D"/>
    <w:rsid w:val="00D36C8B"/>
    <w:rsid w:val="00D37BDD"/>
    <w:rsid w:val="00D37D50"/>
    <w:rsid w:val="00D400A9"/>
    <w:rsid w:val="00D4016E"/>
    <w:rsid w:val="00D4040A"/>
    <w:rsid w:val="00D40FA0"/>
    <w:rsid w:val="00D41196"/>
    <w:rsid w:val="00D4182C"/>
    <w:rsid w:val="00D41C21"/>
    <w:rsid w:val="00D421D9"/>
    <w:rsid w:val="00D426EF"/>
    <w:rsid w:val="00D427B4"/>
    <w:rsid w:val="00D4328E"/>
    <w:rsid w:val="00D43CAE"/>
    <w:rsid w:val="00D43F30"/>
    <w:rsid w:val="00D4437B"/>
    <w:rsid w:val="00D44608"/>
    <w:rsid w:val="00D44E8C"/>
    <w:rsid w:val="00D45763"/>
    <w:rsid w:val="00D45901"/>
    <w:rsid w:val="00D45987"/>
    <w:rsid w:val="00D45A72"/>
    <w:rsid w:val="00D45C22"/>
    <w:rsid w:val="00D462A1"/>
    <w:rsid w:val="00D46A84"/>
    <w:rsid w:val="00D46C75"/>
    <w:rsid w:val="00D46F85"/>
    <w:rsid w:val="00D5094B"/>
    <w:rsid w:val="00D509D8"/>
    <w:rsid w:val="00D52AFA"/>
    <w:rsid w:val="00D5308B"/>
    <w:rsid w:val="00D53674"/>
    <w:rsid w:val="00D537F7"/>
    <w:rsid w:val="00D53AC4"/>
    <w:rsid w:val="00D541B3"/>
    <w:rsid w:val="00D542EA"/>
    <w:rsid w:val="00D54673"/>
    <w:rsid w:val="00D54974"/>
    <w:rsid w:val="00D54A7D"/>
    <w:rsid w:val="00D54F59"/>
    <w:rsid w:val="00D55056"/>
    <w:rsid w:val="00D55490"/>
    <w:rsid w:val="00D56094"/>
    <w:rsid w:val="00D572D4"/>
    <w:rsid w:val="00D575D9"/>
    <w:rsid w:val="00D5773B"/>
    <w:rsid w:val="00D57876"/>
    <w:rsid w:val="00D601B7"/>
    <w:rsid w:val="00D60A38"/>
    <w:rsid w:val="00D61089"/>
    <w:rsid w:val="00D62091"/>
    <w:rsid w:val="00D6234C"/>
    <w:rsid w:val="00D632D7"/>
    <w:rsid w:val="00D63A4F"/>
    <w:rsid w:val="00D64837"/>
    <w:rsid w:val="00D650BC"/>
    <w:rsid w:val="00D65851"/>
    <w:rsid w:val="00D6692A"/>
    <w:rsid w:val="00D67A51"/>
    <w:rsid w:val="00D70188"/>
    <w:rsid w:val="00D70ECE"/>
    <w:rsid w:val="00D70FAC"/>
    <w:rsid w:val="00D7103E"/>
    <w:rsid w:val="00D717A1"/>
    <w:rsid w:val="00D71B97"/>
    <w:rsid w:val="00D71F8A"/>
    <w:rsid w:val="00D72291"/>
    <w:rsid w:val="00D72ADE"/>
    <w:rsid w:val="00D72BEA"/>
    <w:rsid w:val="00D73B50"/>
    <w:rsid w:val="00D74E33"/>
    <w:rsid w:val="00D75644"/>
    <w:rsid w:val="00D767FE"/>
    <w:rsid w:val="00D77D06"/>
    <w:rsid w:val="00D8066D"/>
    <w:rsid w:val="00D80B37"/>
    <w:rsid w:val="00D80F9A"/>
    <w:rsid w:val="00D8152F"/>
    <w:rsid w:val="00D819E7"/>
    <w:rsid w:val="00D81C84"/>
    <w:rsid w:val="00D81EDB"/>
    <w:rsid w:val="00D81F79"/>
    <w:rsid w:val="00D8263B"/>
    <w:rsid w:val="00D82B7C"/>
    <w:rsid w:val="00D82FB2"/>
    <w:rsid w:val="00D84286"/>
    <w:rsid w:val="00D843D3"/>
    <w:rsid w:val="00D85BB9"/>
    <w:rsid w:val="00D85BC6"/>
    <w:rsid w:val="00D86866"/>
    <w:rsid w:val="00D86B05"/>
    <w:rsid w:val="00D87048"/>
    <w:rsid w:val="00D871B0"/>
    <w:rsid w:val="00D87394"/>
    <w:rsid w:val="00D874B1"/>
    <w:rsid w:val="00D8791E"/>
    <w:rsid w:val="00D87BF0"/>
    <w:rsid w:val="00D87F52"/>
    <w:rsid w:val="00D87F7B"/>
    <w:rsid w:val="00D90254"/>
    <w:rsid w:val="00D90454"/>
    <w:rsid w:val="00D90AFE"/>
    <w:rsid w:val="00D9128F"/>
    <w:rsid w:val="00D91AC7"/>
    <w:rsid w:val="00D92271"/>
    <w:rsid w:val="00D922E6"/>
    <w:rsid w:val="00D925B3"/>
    <w:rsid w:val="00D928AE"/>
    <w:rsid w:val="00D934E3"/>
    <w:rsid w:val="00D937F1"/>
    <w:rsid w:val="00D939BA"/>
    <w:rsid w:val="00D93E9A"/>
    <w:rsid w:val="00D9430A"/>
    <w:rsid w:val="00D949AB"/>
    <w:rsid w:val="00D94DF8"/>
    <w:rsid w:val="00D9522F"/>
    <w:rsid w:val="00D954FB"/>
    <w:rsid w:val="00D95E11"/>
    <w:rsid w:val="00D96252"/>
    <w:rsid w:val="00D964C4"/>
    <w:rsid w:val="00D96FB1"/>
    <w:rsid w:val="00D97700"/>
    <w:rsid w:val="00D9786E"/>
    <w:rsid w:val="00D97C28"/>
    <w:rsid w:val="00D97C35"/>
    <w:rsid w:val="00D97D80"/>
    <w:rsid w:val="00D97EBE"/>
    <w:rsid w:val="00DA092E"/>
    <w:rsid w:val="00DA0C68"/>
    <w:rsid w:val="00DA10CB"/>
    <w:rsid w:val="00DA1327"/>
    <w:rsid w:val="00DA1A6C"/>
    <w:rsid w:val="00DA207A"/>
    <w:rsid w:val="00DA2378"/>
    <w:rsid w:val="00DA32AD"/>
    <w:rsid w:val="00DA3740"/>
    <w:rsid w:val="00DA39A8"/>
    <w:rsid w:val="00DA3B25"/>
    <w:rsid w:val="00DA43A7"/>
    <w:rsid w:val="00DA44EE"/>
    <w:rsid w:val="00DA4656"/>
    <w:rsid w:val="00DA4888"/>
    <w:rsid w:val="00DA5534"/>
    <w:rsid w:val="00DA5C68"/>
    <w:rsid w:val="00DA74CE"/>
    <w:rsid w:val="00DA77E5"/>
    <w:rsid w:val="00DB17A4"/>
    <w:rsid w:val="00DB2260"/>
    <w:rsid w:val="00DB2D6F"/>
    <w:rsid w:val="00DB3A20"/>
    <w:rsid w:val="00DB3C8F"/>
    <w:rsid w:val="00DB3E0F"/>
    <w:rsid w:val="00DB44F0"/>
    <w:rsid w:val="00DB5045"/>
    <w:rsid w:val="00DB5464"/>
    <w:rsid w:val="00DB589C"/>
    <w:rsid w:val="00DB5A19"/>
    <w:rsid w:val="00DB5F95"/>
    <w:rsid w:val="00DB5FFB"/>
    <w:rsid w:val="00DB6145"/>
    <w:rsid w:val="00DB62E2"/>
    <w:rsid w:val="00DB635F"/>
    <w:rsid w:val="00DB6DE4"/>
    <w:rsid w:val="00DB74C9"/>
    <w:rsid w:val="00DB78A9"/>
    <w:rsid w:val="00DC03A5"/>
    <w:rsid w:val="00DC070D"/>
    <w:rsid w:val="00DC0A33"/>
    <w:rsid w:val="00DC1523"/>
    <w:rsid w:val="00DC15BD"/>
    <w:rsid w:val="00DC169C"/>
    <w:rsid w:val="00DC1726"/>
    <w:rsid w:val="00DC208B"/>
    <w:rsid w:val="00DC28B4"/>
    <w:rsid w:val="00DC2A69"/>
    <w:rsid w:val="00DC308F"/>
    <w:rsid w:val="00DC3386"/>
    <w:rsid w:val="00DC3756"/>
    <w:rsid w:val="00DC3D7F"/>
    <w:rsid w:val="00DC424D"/>
    <w:rsid w:val="00DC5D06"/>
    <w:rsid w:val="00DC6498"/>
    <w:rsid w:val="00DC6B13"/>
    <w:rsid w:val="00DC6FA5"/>
    <w:rsid w:val="00DC7398"/>
    <w:rsid w:val="00DC74FF"/>
    <w:rsid w:val="00DC7AF7"/>
    <w:rsid w:val="00DC7C98"/>
    <w:rsid w:val="00DD01B2"/>
    <w:rsid w:val="00DD073A"/>
    <w:rsid w:val="00DD0A40"/>
    <w:rsid w:val="00DD0CDB"/>
    <w:rsid w:val="00DD1014"/>
    <w:rsid w:val="00DD1351"/>
    <w:rsid w:val="00DD149B"/>
    <w:rsid w:val="00DD19CA"/>
    <w:rsid w:val="00DD1A0D"/>
    <w:rsid w:val="00DD1AC7"/>
    <w:rsid w:val="00DD1FCF"/>
    <w:rsid w:val="00DD212F"/>
    <w:rsid w:val="00DD217B"/>
    <w:rsid w:val="00DD231B"/>
    <w:rsid w:val="00DD23C6"/>
    <w:rsid w:val="00DD2D6A"/>
    <w:rsid w:val="00DD2F31"/>
    <w:rsid w:val="00DD3174"/>
    <w:rsid w:val="00DD373B"/>
    <w:rsid w:val="00DD3914"/>
    <w:rsid w:val="00DD4D41"/>
    <w:rsid w:val="00DD52C6"/>
    <w:rsid w:val="00DD59A4"/>
    <w:rsid w:val="00DD5E36"/>
    <w:rsid w:val="00DD76D3"/>
    <w:rsid w:val="00DE0185"/>
    <w:rsid w:val="00DE09AA"/>
    <w:rsid w:val="00DE0DAF"/>
    <w:rsid w:val="00DE0F1C"/>
    <w:rsid w:val="00DE1B44"/>
    <w:rsid w:val="00DE2065"/>
    <w:rsid w:val="00DE228D"/>
    <w:rsid w:val="00DE2A2A"/>
    <w:rsid w:val="00DE3ACB"/>
    <w:rsid w:val="00DE4467"/>
    <w:rsid w:val="00DE4EDE"/>
    <w:rsid w:val="00DE4F15"/>
    <w:rsid w:val="00DE580F"/>
    <w:rsid w:val="00DE5FAE"/>
    <w:rsid w:val="00DE5FCF"/>
    <w:rsid w:val="00DE65D8"/>
    <w:rsid w:val="00DE69A6"/>
    <w:rsid w:val="00DE6A1D"/>
    <w:rsid w:val="00DE6A33"/>
    <w:rsid w:val="00DE6EF2"/>
    <w:rsid w:val="00DE7497"/>
    <w:rsid w:val="00DE75F4"/>
    <w:rsid w:val="00DF0407"/>
    <w:rsid w:val="00DF07EE"/>
    <w:rsid w:val="00DF11C3"/>
    <w:rsid w:val="00DF1A20"/>
    <w:rsid w:val="00DF2D8A"/>
    <w:rsid w:val="00DF2DEA"/>
    <w:rsid w:val="00DF3371"/>
    <w:rsid w:val="00DF3DA8"/>
    <w:rsid w:val="00DF4255"/>
    <w:rsid w:val="00DF456F"/>
    <w:rsid w:val="00DF4DA1"/>
    <w:rsid w:val="00DF4E14"/>
    <w:rsid w:val="00DF5888"/>
    <w:rsid w:val="00DF5926"/>
    <w:rsid w:val="00DF597A"/>
    <w:rsid w:val="00DF5A49"/>
    <w:rsid w:val="00DF5B4B"/>
    <w:rsid w:val="00DF5EBC"/>
    <w:rsid w:val="00DF63A9"/>
    <w:rsid w:val="00DF6FDB"/>
    <w:rsid w:val="00DF76D5"/>
    <w:rsid w:val="00DF76E4"/>
    <w:rsid w:val="00DF7E90"/>
    <w:rsid w:val="00E0018C"/>
    <w:rsid w:val="00E0057C"/>
    <w:rsid w:val="00E008E6"/>
    <w:rsid w:val="00E01529"/>
    <w:rsid w:val="00E03317"/>
    <w:rsid w:val="00E04858"/>
    <w:rsid w:val="00E04D02"/>
    <w:rsid w:val="00E06333"/>
    <w:rsid w:val="00E0775C"/>
    <w:rsid w:val="00E07773"/>
    <w:rsid w:val="00E10F22"/>
    <w:rsid w:val="00E1188D"/>
    <w:rsid w:val="00E11E77"/>
    <w:rsid w:val="00E12255"/>
    <w:rsid w:val="00E12540"/>
    <w:rsid w:val="00E12D7F"/>
    <w:rsid w:val="00E13045"/>
    <w:rsid w:val="00E14947"/>
    <w:rsid w:val="00E14C4F"/>
    <w:rsid w:val="00E1542A"/>
    <w:rsid w:val="00E16541"/>
    <w:rsid w:val="00E1666D"/>
    <w:rsid w:val="00E16D41"/>
    <w:rsid w:val="00E17296"/>
    <w:rsid w:val="00E17CC3"/>
    <w:rsid w:val="00E203A5"/>
    <w:rsid w:val="00E20557"/>
    <w:rsid w:val="00E20D2C"/>
    <w:rsid w:val="00E218F1"/>
    <w:rsid w:val="00E21913"/>
    <w:rsid w:val="00E21AB9"/>
    <w:rsid w:val="00E222EE"/>
    <w:rsid w:val="00E2302D"/>
    <w:rsid w:val="00E232C3"/>
    <w:rsid w:val="00E23A4B"/>
    <w:rsid w:val="00E23DF8"/>
    <w:rsid w:val="00E24096"/>
    <w:rsid w:val="00E2435B"/>
    <w:rsid w:val="00E24818"/>
    <w:rsid w:val="00E24C1D"/>
    <w:rsid w:val="00E24D5B"/>
    <w:rsid w:val="00E252A7"/>
    <w:rsid w:val="00E25D5A"/>
    <w:rsid w:val="00E26057"/>
    <w:rsid w:val="00E26D90"/>
    <w:rsid w:val="00E2730E"/>
    <w:rsid w:val="00E30BAE"/>
    <w:rsid w:val="00E30FFE"/>
    <w:rsid w:val="00E3222B"/>
    <w:rsid w:val="00E32EF1"/>
    <w:rsid w:val="00E33000"/>
    <w:rsid w:val="00E3350D"/>
    <w:rsid w:val="00E33B8B"/>
    <w:rsid w:val="00E33C4C"/>
    <w:rsid w:val="00E34125"/>
    <w:rsid w:val="00E3480E"/>
    <w:rsid w:val="00E348C0"/>
    <w:rsid w:val="00E34F20"/>
    <w:rsid w:val="00E350D8"/>
    <w:rsid w:val="00E354AE"/>
    <w:rsid w:val="00E36311"/>
    <w:rsid w:val="00E36AFA"/>
    <w:rsid w:val="00E36C79"/>
    <w:rsid w:val="00E3738D"/>
    <w:rsid w:val="00E3748A"/>
    <w:rsid w:val="00E37502"/>
    <w:rsid w:val="00E37892"/>
    <w:rsid w:val="00E37FBB"/>
    <w:rsid w:val="00E4000F"/>
    <w:rsid w:val="00E40C74"/>
    <w:rsid w:val="00E41546"/>
    <w:rsid w:val="00E4170D"/>
    <w:rsid w:val="00E417C3"/>
    <w:rsid w:val="00E422B4"/>
    <w:rsid w:val="00E42312"/>
    <w:rsid w:val="00E428BE"/>
    <w:rsid w:val="00E43079"/>
    <w:rsid w:val="00E430A0"/>
    <w:rsid w:val="00E434FE"/>
    <w:rsid w:val="00E43607"/>
    <w:rsid w:val="00E457B8"/>
    <w:rsid w:val="00E470F2"/>
    <w:rsid w:val="00E50001"/>
    <w:rsid w:val="00E50476"/>
    <w:rsid w:val="00E5077D"/>
    <w:rsid w:val="00E507AC"/>
    <w:rsid w:val="00E50D1E"/>
    <w:rsid w:val="00E513CE"/>
    <w:rsid w:val="00E52437"/>
    <w:rsid w:val="00E527D0"/>
    <w:rsid w:val="00E528FF"/>
    <w:rsid w:val="00E52990"/>
    <w:rsid w:val="00E52F10"/>
    <w:rsid w:val="00E52F7A"/>
    <w:rsid w:val="00E5315D"/>
    <w:rsid w:val="00E531D9"/>
    <w:rsid w:val="00E5327B"/>
    <w:rsid w:val="00E535A4"/>
    <w:rsid w:val="00E538A7"/>
    <w:rsid w:val="00E54787"/>
    <w:rsid w:val="00E548BD"/>
    <w:rsid w:val="00E55B69"/>
    <w:rsid w:val="00E614AA"/>
    <w:rsid w:val="00E61B44"/>
    <w:rsid w:val="00E61DBC"/>
    <w:rsid w:val="00E625E9"/>
    <w:rsid w:val="00E62D9C"/>
    <w:rsid w:val="00E63145"/>
    <w:rsid w:val="00E638A5"/>
    <w:rsid w:val="00E6488D"/>
    <w:rsid w:val="00E64A63"/>
    <w:rsid w:val="00E65362"/>
    <w:rsid w:val="00E65708"/>
    <w:rsid w:val="00E661DA"/>
    <w:rsid w:val="00E6643A"/>
    <w:rsid w:val="00E664EB"/>
    <w:rsid w:val="00E66F11"/>
    <w:rsid w:val="00E672C1"/>
    <w:rsid w:val="00E70202"/>
    <w:rsid w:val="00E7063D"/>
    <w:rsid w:val="00E70E11"/>
    <w:rsid w:val="00E72219"/>
    <w:rsid w:val="00E7224E"/>
    <w:rsid w:val="00E72D6A"/>
    <w:rsid w:val="00E72D7D"/>
    <w:rsid w:val="00E7381D"/>
    <w:rsid w:val="00E73F54"/>
    <w:rsid w:val="00E74D34"/>
    <w:rsid w:val="00E75C5F"/>
    <w:rsid w:val="00E7603A"/>
    <w:rsid w:val="00E76120"/>
    <w:rsid w:val="00E768C3"/>
    <w:rsid w:val="00E76CB0"/>
    <w:rsid w:val="00E76E7D"/>
    <w:rsid w:val="00E76EC8"/>
    <w:rsid w:val="00E773EB"/>
    <w:rsid w:val="00E777D3"/>
    <w:rsid w:val="00E77D6B"/>
    <w:rsid w:val="00E81216"/>
    <w:rsid w:val="00E813AB"/>
    <w:rsid w:val="00E814DC"/>
    <w:rsid w:val="00E81E66"/>
    <w:rsid w:val="00E82B1A"/>
    <w:rsid w:val="00E82FD0"/>
    <w:rsid w:val="00E8366F"/>
    <w:rsid w:val="00E83F5C"/>
    <w:rsid w:val="00E845C6"/>
    <w:rsid w:val="00E84FF9"/>
    <w:rsid w:val="00E85B8D"/>
    <w:rsid w:val="00E86522"/>
    <w:rsid w:val="00E86566"/>
    <w:rsid w:val="00E8658C"/>
    <w:rsid w:val="00E86824"/>
    <w:rsid w:val="00E86ED2"/>
    <w:rsid w:val="00E873A1"/>
    <w:rsid w:val="00E87536"/>
    <w:rsid w:val="00E87DF5"/>
    <w:rsid w:val="00E9029A"/>
    <w:rsid w:val="00E90975"/>
    <w:rsid w:val="00E915BA"/>
    <w:rsid w:val="00E922E4"/>
    <w:rsid w:val="00E93BC0"/>
    <w:rsid w:val="00E942AF"/>
    <w:rsid w:val="00E94C22"/>
    <w:rsid w:val="00E9517E"/>
    <w:rsid w:val="00E95637"/>
    <w:rsid w:val="00E960A5"/>
    <w:rsid w:val="00E9617A"/>
    <w:rsid w:val="00E9633F"/>
    <w:rsid w:val="00E9662C"/>
    <w:rsid w:val="00E96659"/>
    <w:rsid w:val="00E96A19"/>
    <w:rsid w:val="00E96ABE"/>
    <w:rsid w:val="00E974AF"/>
    <w:rsid w:val="00EA09E4"/>
    <w:rsid w:val="00EA1598"/>
    <w:rsid w:val="00EA15C2"/>
    <w:rsid w:val="00EA20DC"/>
    <w:rsid w:val="00EA2984"/>
    <w:rsid w:val="00EA2D9E"/>
    <w:rsid w:val="00EA305A"/>
    <w:rsid w:val="00EA32E6"/>
    <w:rsid w:val="00EA348C"/>
    <w:rsid w:val="00EA3C03"/>
    <w:rsid w:val="00EA3CA7"/>
    <w:rsid w:val="00EA3D31"/>
    <w:rsid w:val="00EA42FF"/>
    <w:rsid w:val="00EA441B"/>
    <w:rsid w:val="00EA4E6B"/>
    <w:rsid w:val="00EA515F"/>
    <w:rsid w:val="00EA5242"/>
    <w:rsid w:val="00EA645C"/>
    <w:rsid w:val="00EA704C"/>
    <w:rsid w:val="00EB04B1"/>
    <w:rsid w:val="00EB0536"/>
    <w:rsid w:val="00EB0750"/>
    <w:rsid w:val="00EB0B43"/>
    <w:rsid w:val="00EB0D93"/>
    <w:rsid w:val="00EB1A0F"/>
    <w:rsid w:val="00EB1C26"/>
    <w:rsid w:val="00EB27A7"/>
    <w:rsid w:val="00EB3568"/>
    <w:rsid w:val="00EB387E"/>
    <w:rsid w:val="00EB3C62"/>
    <w:rsid w:val="00EB41C4"/>
    <w:rsid w:val="00EB4E2C"/>
    <w:rsid w:val="00EB5233"/>
    <w:rsid w:val="00EB52D9"/>
    <w:rsid w:val="00EB63AF"/>
    <w:rsid w:val="00EB683F"/>
    <w:rsid w:val="00EB68EC"/>
    <w:rsid w:val="00EB7635"/>
    <w:rsid w:val="00EC025F"/>
    <w:rsid w:val="00EC0361"/>
    <w:rsid w:val="00EC0E07"/>
    <w:rsid w:val="00EC2F04"/>
    <w:rsid w:val="00EC3015"/>
    <w:rsid w:val="00EC3215"/>
    <w:rsid w:val="00EC325C"/>
    <w:rsid w:val="00EC38CE"/>
    <w:rsid w:val="00EC3B40"/>
    <w:rsid w:val="00EC4877"/>
    <w:rsid w:val="00EC4D30"/>
    <w:rsid w:val="00EC5072"/>
    <w:rsid w:val="00EC5C25"/>
    <w:rsid w:val="00EC5C6C"/>
    <w:rsid w:val="00EC64B7"/>
    <w:rsid w:val="00EC677A"/>
    <w:rsid w:val="00EC777C"/>
    <w:rsid w:val="00EC7BAD"/>
    <w:rsid w:val="00ED04D3"/>
    <w:rsid w:val="00ED11FA"/>
    <w:rsid w:val="00ED1283"/>
    <w:rsid w:val="00ED15B5"/>
    <w:rsid w:val="00ED1B58"/>
    <w:rsid w:val="00ED1B88"/>
    <w:rsid w:val="00ED1DDC"/>
    <w:rsid w:val="00ED1EF9"/>
    <w:rsid w:val="00ED44E1"/>
    <w:rsid w:val="00ED5862"/>
    <w:rsid w:val="00ED5958"/>
    <w:rsid w:val="00ED5E76"/>
    <w:rsid w:val="00ED6368"/>
    <w:rsid w:val="00ED6535"/>
    <w:rsid w:val="00ED6F17"/>
    <w:rsid w:val="00ED79FB"/>
    <w:rsid w:val="00EE0586"/>
    <w:rsid w:val="00EE06E7"/>
    <w:rsid w:val="00EE06ED"/>
    <w:rsid w:val="00EE0803"/>
    <w:rsid w:val="00EE1226"/>
    <w:rsid w:val="00EE1688"/>
    <w:rsid w:val="00EE2294"/>
    <w:rsid w:val="00EE2C2C"/>
    <w:rsid w:val="00EE2D23"/>
    <w:rsid w:val="00EE42CF"/>
    <w:rsid w:val="00EE4D53"/>
    <w:rsid w:val="00EE502C"/>
    <w:rsid w:val="00EE6A42"/>
    <w:rsid w:val="00EE7456"/>
    <w:rsid w:val="00EE7FC8"/>
    <w:rsid w:val="00EF0100"/>
    <w:rsid w:val="00EF0265"/>
    <w:rsid w:val="00EF038E"/>
    <w:rsid w:val="00EF0C13"/>
    <w:rsid w:val="00EF1878"/>
    <w:rsid w:val="00EF1CCF"/>
    <w:rsid w:val="00EF1D46"/>
    <w:rsid w:val="00EF2124"/>
    <w:rsid w:val="00EF2E78"/>
    <w:rsid w:val="00EF31F4"/>
    <w:rsid w:val="00EF35AE"/>
    <w:rsid w:val="00EF4505"/>
    <w:rsid w:val="00EF4623"/>
    <w:rsid w:val="00EF489E"/>
    <w:rsid w:val="00EF48B6"/>
    <w:rsid w:val="00EF4C39"/>
    <w:rsid w:val="00EF6779"/>
    <w:rsid w:val="00EF7221"/>
    <w:rsid w:val="00EF7321"/>
    <w:rsid w:val="00EF7DD7"/>
    <w:rsid w:val="00EF7E38"/>
    <w:rsid w:val="00F0060C"/>
    <w:rsid w:val="00F00905"/>
    <w:rsid w:val="00F00A65"/>
    <w:rsid w:val="00F011F0"/>
    <w:rsid w:val="00F0168F"/>
    <w:rsid w:val="00F01FBC"/>
    <w:rsid w:val="00F02470"/>
    <w:rsid w:val="00F02D34"/>
    <w:rsid w:val="00F02E03"/>
    <w:rsid w:val="00F032DB"/>
    <w:rsid w:val="00F035DB"/>
    <w:rsid w:val="00F0400E"/>
    <w:rsid w:val="00F042B2"/>
    <w:rsid w:val="00F04413"/>
    <w:rsid w:val="00F04A58"/>
    <w:rsid w:val="00F05189"/>
    <w:rsid w:val="00F059A6"/>
    <w:rsid w:val="00F068A7"/>
    <w:rsid w:val="00F07593"/>
    <w:rsid w:val="00F108B5"/>
    <w:rsid w:val="00F109BF"/>
    <w:rsid w:val="00F11756"/>
    <w:rsid w:val="00F119B4"/>
    <w:rsid w:val="00F11C6E"/>
    <w:rsid w:val="00F1282C"/>
    <w:rsid w:val="00F132C7"/>
    <w:rsid w:val="00F13486"/>
    <w:rsid w:val="00F13FA3"/>
    <w:rsid w:val="00F14368"/>
    <w:rsid w:val="00F14A42"/>
    <w:rsid w:val="00F14A7B"/>
    <w:rsid w:val="00F14CA1"/>
    <w:rsid w:val="00F14F09"/>
    <w:rsid w:val="00F15223"/>
    <w:rsid w:val="00F1535B"/>
    <w:rsid w:val="00F15437"/>
    <w:rsid w:val="00F15AD1"/>
    <w:rsid w:val="00F15CA5"/>
    <w:rsid w:val="00F15D3A"/>
    <w:rsid w:val="00F16461"/>
    <w:rsid w:val="00F16659"/>
    <w:rsid w:val="00F169DE"/>
    <w:rsid w:val="00F1710C"/>
    <w:rsid w:val="00F1740C"/>
    <w:rsid w:val="00F176C0"/>
    <w:rsid w:val="00F17C67"/>
    <w:rsid w:val="00F17C6A"/>
    <w:rsid w:val="00F17DE3"/>
    <w:rsid w:val="00F17E16"/>
    <w:rsid w:val="00F20AAB"/>
    <w:rsid w:val="00F20E1B"/>
    <w:rsid w:val="00F21818"/>
    <w:rsid w:val="00F2223E"/>
    <w:rsid w:val="00F22A2D"/>
    <w:rsid w:val="00F22FAE"/>
    <w:rsid w:val="00F23559"/>
    <w:rsid w:val="00F238D6"/>
    <w:rsid w:val="00F24834"/>
    <w:rsid w:val="00F2556B"/>
    <w:rsid w:val="00F25681"/>
    <w:rsid w:val="00F25895"/>
    <w:rsid w:val="00F25A28"/>
    <w:rsid w:val="00F268DB"/>
    <w:rsid w:val="00F2704A"/>
    <w:rsid w:val="00F31CE6"/>
    <w:rsid w:val="00F32225"/>
    <w:rsid w:val="00F323D9"/>
    <w:rsid w:val="00F32B8E"/>
    <w:rsid w:val="00F32FBA"/>
    <w:rsid w:val="00F33716"/>
    <w:rsid w:val="00F338D6"/>
    <w:rsid w:val="00F33E2F"/>
    <w:rsid w:val="00F34968"/>
    <w:rsid w:val="00F35266"/>
    <w:rsid w:val="00F355BC"/>
    <w:rsid w:val="00F35DFD"/>
    <w:rsid w:val="00F35F8C"/>
    <w:rsid w:val="00F362C5"/>
    <w:rsid w:val="00F36ACB"/>
    <w:rsid w:val="00F36C7A"/>
    <w:rsid w:val="00F36EB5"/>
    <w:rsid w:val="00F372F5"/>
    <w:rsid w:val="00F3751E"/>
    <w:rsid w:val="00F37DF4"/>
    <w:rsid w:val="00F37ED5"/>
    <w:rsid w:val="00F40260"/>
    <w:rsid w:val="00F40282"/>
    <w:rsid w:val="00F402D0"/>
    <w:rsid w:val="00F403D0"/>
    <w:rsid w:val="00F4068D"/>
    <w:rsid w:val="00F41717"/>
    <w:rsid w:val="00F419CF"/>
    <w:rsid w:val="00F41E86"/>
    <w:rsid w:val="00F42238"/>
    <w:rsid w:val="00F433CD"/>
    <w:rsid w:val="00F43559"/>
    <w:rsid w:val="00F436DE"/>
    <w:rsid w:val="00F43C7A"/>
    <w:rsid w:val="00F447A0"/>
    <w:rsid w:val="00F44931"/>
    <w:rsid w:val="00F45A83"/>
    <w:rsid w:val="00F460BC"/>
    <w:rsid w:val="00F46289"/>
    <w:rsid w:val="00F46586"/>
    <w:rsid w:val="00F47B9B"/>
    <w:rsid w:val="00F47C32"/>
    <w:rsid w:val="00F47DAC"/>
    <w:rsid w:val="00F50001"/>
    <w:rsid w:val="00F500DD"/>
    <w:rsid w:val="00F50D8F"/>
    <w:rsid w:val="00F528DF"/>
    <w:rsid w:val="00F52D2D"/>
    <w:rsid w:val="00F52EBA"/>
    <w:rsid w:val="00F53698"/>
    <w:rsid w:val="00F54513"/>
    <w:rsid w:val="00F5558D"/>
    <w:rsid w:val="00F55D11"/>
    <w:rsid w:val="00F56506"/>
    <w:rsid w:val="00F56925"/>
    <w:rsid w:val="00F569CA"/>
    <w:rsid w:val="00F571BA"/>
    <w:rsid w:val="00F60055"/>
    <w:rsid w:val="00F60176"/>
    <w:rsid w:val="00F60B7B"/>
    <w:rsid w:val="00F6215C"/>
    <w:rsid w:val="00F622FB"/>
    <w:rsid w:val="00F63218"/>
    <w:rsid w:val="00F642B4"/>
    <w:rsid w:val="00F643DD"/>
    <w:rsid w:val="00F644BB"/>
    <w:rsid w:val="00F64660"/>
    <w:rsid w:val="00F647AA"/>
    <w:rsid w:val="00F64BA0"/>
    <w:rsid w:val="00F65099"/>
    <w:rsid w:val="00F65A5C"/>
    <w:rsid w:val="00F65C62"/>
    <w:rsid w:val="00F66185"/>
    <w:rsid w:val="00F66415"/>
    <w:rsid w:val="00F666A0"/>
    <w:rsid w:val="00F666FA"/>
    <w:rsid w:val="00F668D5"/>
    <w:rsid w:val="00F66C0A"/>
    <w:rsid w:val="00F66DC3"/>
    <w:rsid w:val="00F6715C"/>
    <w:rsid w:val="00F67CA5"/>
    <w:rsid w:val="00F7003B"/>
    <w:rsid w:val="00F70179"/>
    <w:rsid w:val="00F711A2"/>
    <w:rsid w:val="00F71643"/>
    <w:rsid w:val="00F71F1F"/>
    <w:rsid w:val="00F732B9"/>
    <w:rsid w:val="00F73325"/>
    <w:rsid w:val="00F73353"/>
    <w:rsid w:val="00F733AE"/>
    <w:rsid w:val="00F73849"/>
    <w:rsid w:val="00F7399D"/>
    <w:rsid w:val="00F742B7"/>
    <w:rsid w:val="00F74831"/>
    <w:rsid w:val="00F7498A"/>
    <w:rsid w:val="00F7530F"/>
    <w:rsid w:val="00F757C6"/>
    <w:rsid w:val="00F75F14"/>
    <w:rsid w:val="00F76AEA"/>
    <w:rsid w:val="00F76D8F"/>
    <w:rsid w:val="00F7727E"/>
    <w:rsid w:val="00F77455"/>
    <w:rsid w:val="00F77D4B"/>
    <w:rsid w:val="00F77EDF"/>
    <w:rsid w:val="00F807EA"/>
    <w:rsid w:val="00F80AE5"/>
    <w:rsid w:val="00F80BFA"/>
    <w:rsid w:val="00F811E6"/>
    <w:rsid w:val="00F817BD"/>
    <w:rsid w:val="00F818E0"/>
    <w:rsid w:val="00F81D7F"/>
    <w:rsid w:val="00F824B4"/>
    <w:rsid w:val="00F82BBB"/>
    <w:rsid w:val="00F82E73"/>
    <w:rsid w:val="00F834C2"/>
    <w:rsid w:val="00F83581"/>
    <w:rsid w:val="00F83C36"/>
    <w:rsid w:val="00F848D3"/>
    <w:rsid w:val="00F862AF"/>
    <w:rsid w:val="00F8685C"/>
    <w:rsid w:val="00F869B5"/>
    <w:rsid w:val="00F900BF"/>
    <w:rsid w:val="00F916A4"/>
    <w:rsid w:val="00F91F13"/>
    <w:rsid w:val="00F9290C"/>
    <w:rsid w:val="00F9337E"/>
    <w:rsid w:val="00F9379A"/>
    <w:rsid w:val="00F93D22"/>
    <w:rsid w:val="00F93F3B"/>
    <w:rsid w:val="00F942C2"/>
    <w:rsid w:val="00F94830"/>
    <w:rsid w:val="00F94E5C"/>
    <w:rsid w:val="00F950E3"/>
    <w:rsid w:val="00F9528C"/>
    <w:rsid w:val="00F95F55"/>
    <w:rsid w:val="00F96475"/>
    <w:rsid w:val="00F9751E"/>
    <w:rsid w:val="00F979F9"/>
    <w:rsid w:val="00FA13EB"/>
    <w:rsid w:val="00FA181A"/>
    <w:rsid w:val="00FA18A1"/>
    <w:rsid w:val="00FA2258"/>
    <w:rsid w:val="00FA232A"/>
    <w:rsid w:val="00FA3219"/>
    <w:rsid w:val="00FA539B"/>
    <w:rsid w:val="00FA5608"/>
    <w:rsid w:val="00FA6260"/>
    <w:rsid w:val="00FA644E"/>
    <w:rsid w:val="00FA69F0"/>
    <w:rsid w:val="00FA6ADD"/>
    <w:rsid w:val="00FA6C31"/>
    <w:rsid w:val="00FA6C5B"/>
    <w:rsid w:val="00FA7524"/>
    <w:rsid w:val="00FA7B23"/>
    <w:rsid w:val="00FB036A"/>
    <w:rsid w:val="00FB054E"/>
    <w:rsid w:val="00FB0A22"/>
    <w:rsid w:val="00FB0EDC"/>
    <w:rsid w:val="00FB14E3"/>
    <w:rsid w:val="00FB1946"/>
    <w:rsid w:val="00FB19C8"/>
    <w:rsid w:val="00FB1BA5"/>
    <w:rsid w:val="00FB2B90"/>
    <w:rsid w:val="00FB35F6"/>
    <w:rsid w:val="00FB4443"/>
    <w:rsid w:val="00FB4FB1"/>
    <w:rsid w:val="00FB51D0"/>
    <w:rsid w:val="00FB5D66"/>
    <w:rsid w:val="00FB68FB"/>
    <w:rsid w:val="00FB6A2A"/>
    <w:rsid w:val="00FB6F9A"/>
    <w:rsid w:val="00FB7345"/>
    <w:rsid w:val="00FB7CFA"/>
    <w:rsid w:val="00FB7E53"/>
    <w:rsid w:val="00FC0065"/>
    <w:rsid w:val="00FC03CB"/>
    <w:rsid w:val="00FC054C"/>
    <w:rsid w:val="00FC074B"/>
    <w:rsid w:val="00FC2087"/>
    <w:rsid w:val="00FC20FD"/>
    <w:rsid w:val="00FC29F5"/>
    <w:rsid w:val="00FC3316"/>
    <w:rsid w:val="00FC41B5"/>
    <w:rsid w:val="00FC4A5D"/>
    <w:rsid w:val="00FC4FC2"/>
    <w:rsid w:val="00FC62B9"/>
    <w:rsid w:val="00FC6404"/>
    <w:rsid w:val="00FC69B2"/>
    <w:rsid w:val="00FC6C91"/>
    <w:rsid w:val="00FC7913"/>
    <w:rsid w:val="00FC7E5F"/>
    <w:rsid w:val="00FD003A"/>
    <w:rsid w:val="00FD0174"/>
    <w:rsid w:val="00FD0EC1"/>
    <w:rsid w:val="00FD13CC"/>
    <w:rsid w:val="00FD1550"/>
    <w:rsid w:val="00FD1878"/>
    <w:rsid w:val="00FD2236"/>
    <w:rsid w:val="00FD27D3"/>
    <w:rsid w:val="00FD4698"/>
    <w:rsid w:val="00FD62E7"/>
    <w:rsid w:val="00FD7E92"/>
    <w:rsid w:val="00FD7EE9"/>
    <w:rsid w:val="00FD7FFA"/>
    <w:rsid w:val="00FE05D9"/>
    <w:rsid w:val="00FE09BC"/>
    <w:rsid w:val="00FE0A94"/>
    <w:rsid w:val="00FE0B26"/>
    <w:rsid w:val="00FE215C"/>
    <w:rsid w:val="00FE2777"/>
    <w:rsid w:val="00FE283F"/>
    <w:rsid w:val="00FE35B7"/>
    <w:rsid w:val="00FE3BCF"/>
    <w:rsid w:val="00FE6EF5"/>
    <w:rsid w:val="00FF0259"/>
    <w:rsid w:val="00FF0295"/>
    <w:rsid w:val="00FF091E"/>
    <w:rsid w:val="00FF1F58"/>
    <w:rsid w:val="00FF1FC2"/>
    <w:rsid w:val="00FF28AB"/>
    <w:rsid w:val="00FF3814"/>
    <w:rsid w:val="00FF43CA"/>
    <w:rsid w:val="00FF513A"/>
    <w:rsid w:val="00FF588B"/>
    <w:rsid w:val="00FF5EA5"/>
    <w:rsid w:val="00FF6340"/>
    <w:rsid w:val="00FF6388"/>
    <w:rsid w:val="00FF6932"/>
    <w:rsid w:val="00FF714A"/>
    <w:rsid w:val="00FF7327"/>
    <w:rsid w:val="00FF73F9"/>
    <w:rsid w:val="00FF748F"/>
    <w:rsid w:val="00FF7837"/>
    <w:rsid w:val="00FF7B08"/>
    <w:rsid w:val="00FF7B52"/>
    <w:rsid w:val="00FF7F4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6626" strokecolor="none [3200]">
      <v:stroke color="none [3200]" weight="1pt"/>
      <v:shadow color="#86868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Mosaw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0921"/>
    <w:pPr>
      <w:widowControl w:val="0"/>
      <w:bidi/>
      <w:spacing w:line="216" w:lineRule="auto"/>
      <w:ind w:firstLine="284"/>
      <w:jc w:val="both"/>
      <w:outlineLvl w:val="0"/>
    </w:pPr>
    <w:rPr>
      <w:sz w:val="24"/>
      <w:szCs w:val="28"/>
    </w:rPr>
  </w:style>
  <w:style w:type="paragraph" w:styleId="Heading1">
    <w:name w:val="heading 1"/>
    <w:basedOn w:val="Normal"/>
    <w:link w:val="Heading1Char"/>
    <w:qFormat/>
    <w:rsid w:val="00F00A65"/>
    <w:pPr>
      <w:keepNext/>
      <w:spacing w:line="240" w:lineRule="auto"/>
      <w:ind w:firstLine="0"/>
      <w:jc w:val="center"/>
    </w:pPr>
    <w:rPr>
      <w:rFonts w:cs="Times New Roman"/>
      <w:b/>
      <w:bCs/>
      <w:kern w:val="32"/>
      <w:sz w:val="28"/>
      <w:szCs w:val="36"/>
    </w:rPr>
  </w:style>
  <w:style w:type="paragraph" w:styleId="Heading2">
    <w:name w:val="heading 2"/>
    <w:basedOn w:val="Normal"/>
    <w:next w:val="Normal"/>
    <w:link w:val="Heading2Char"/>
    <w:unhideWhenUsed/>
    <w:qFormat/>
    <w:rsid w:val="008116F3"/>
    <w:pPr>
      <w:keepNext/>
      <w:spacing w:before="240" w:after="60"/>
      <w:outlineLvl w:val="1"/>
    </w:pPr>
    <w:rPr>
      <w:rFonts w:ascii="Cambria" w:eastAsia="Times New Roman" w:hAnsi="Cambria" w:cs="Times New Roman"/>
      <w:b/>
      <w:bCs/>
      <w:i/>
      <w:iCs/>
      <w:sz w:val="28"/>
    </w:rPr>
  </w:style>
  <w:style w:type="paragraph" w:styleId="Heading3">
    <w:name w:val="heading 3"/>
    <w:basedOn w:val="Normal"/>
    <w:next w:val="Normal"/>
    <w:link w:val="Heading3Char"/>
    <w:unhideWhenUsed/>
    <w:qFormat/>
    <w:rsid w:val="00414922"/>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14922"/>
    <w:pPr>
      <w:keepNext/>
      <w:spacing w:before="240" w:after="60"/>
      <w:outlineLvl w:val="3"/>
    </w:pPr>
    <w:rPr>
      <w:rFonts w:ascii="Calibri" w:eastAsia="Times New Roman" w:hAnsi="Calibri" w:cs="Times New Roman"/>
      <w:b/>
      <w:bCs/>
      <w:sz w:val="28"/>
    </w:rPr>
  </w:style>
  <w:style w:type="paragraph" w:styleId="Heading5">
    <w:name w:val="heading 5"/>
    <w:basedOn w:val="Normal"/>
    <w:next w:val="Normal"/>
    <w:link w:val="Heading5Char"/>
    <w:qFormat/>
    <w:rsid w:val="0010041B"/>
    <w:pPr>
      <w:keepNext/>
      <w:spacing w:line="460" w:lineRule="exact"/>
      <w:jc w:val="lowKashida"/>
      <w:outlineLvl w:val="4"/>
    </w:pPr>
    <w:rPr>
      <w:rFonts w:cs="Times New Roman"/>
      <w:color w:val="800000"/>
      <w:sz w:val="28"/>
      <w:szCs w:val="20"/>
    </w:rPr>
  </w:style>
  <w:style w:type="paragraph" w:styleId="Heading6">
    <w:name w:val="heading 6"/>
    <w:basedOn w:val="Normal"/>
    <w:next w:val="Normal"/>
    <w:link w:val="Heading6Char"/>
    <w:qFormat/>
    <w:rsid w:val="004527D8"/>
    <w:pPr>
      <w:keepNext/>
      <w:spacing w:line="240" w:lineRule="auto"/>
      <w:ind w:firstLine="0"/>
      <w:jc w:val="center"/>
      <w:outlineLvl w:val="5"/>
    </w:pPr>
    <w:rPr>
      <w:rFonts w:cs="Times New Roman"/>
      <w:b/>
      <w:bCs/>
      <w:color w:val="000000"/>
      <w:sz w:val="28"/>
      <w:szCs w:val="40"/>
    </w:rPr>
  </w:style>
  <w:style w:type="paragraph" w:styleId="Heading7">
    <w:name w:val="heading 7"/>
    <w:basedOn w:val="Normal"/>
    <w:next w:val="Normal"/>
    <w:link w:val="Heading7Char"/>
    <w:unhideWhenUsed/>
    <w:qFormat/>
    <w:rsid w:val="004C1813"/>
    <w:pPr>
      <w:keepNext/>
      <w:keepLines/>
      <w:spacing w:before="200"/>
      <w:outlineLvl w:val="6"/>
    </w:pPr>
    <w:rPr>
      <w:rFonts w:ascii="Cambria" w:eastAsia="Times New Roman" w:hAnsi="Cambria" w:cs="Times New Roman"/>
      <w:i/>
      <w:iCs/>
      <w:color w:val="404040"/>
      <w:sz w:val="20"/>
      <w:szCs w:val="20"/>
    </w:rPr>
  </w:style>
  <w:style w:type="paragraph" w:styleId="Heading8">
    <w:name w:val="heading 8"/>
    <w:basedOn w:val="Normal"/>
    <w:next w:val="Normal"/>
    <w:link w:val="Heading8Char"/>
    <w:qFormat/>
    <w:rsid w:val="0010041B"/>
    <w:pPr>
      <w:keepNext/>
      <w:spacing w:line="240" w:lineRule="auto"/>
      <w:ind w:firstLine="0"/>
      <w:jc w:val="lowKashida"/>
      <w:outlineLvl w:val="7"/>
    </w:pPr>
    <w:rPr>
      <w:rFonts w:cs="Times New Roman"/>
      <w:b/>
      <w:bCs/>
      <w:sz w:val="28"/>
      <w:szCs w:val="20"/>
    </w:rPr>
  </w:style>
  <w:style w:type="paragraph" w:styleId="Heading9">
    <w:name w:val="heading 9"/>
    <w:basedOn w:val="Normal"/>
    <w:next w:val="Normal"/>
    <w:link w:val="Heading9Char"/>
    <w:qFormat/>
    <w:rsid w:val="0010041B"/>
    <w:pPr>
      <w:keepNext/>
      <w:spacing w:line="240" w:lineRule="auto"/>
      <w:jc w:val="lowKashida"/>
      <w:outlineLvl w:val="8"/>
    </w:pPr>
    <w:rPr>
      <w:rFonts w:cs="Times New Roman"/>
      <w:b/>
      <w:bCs/>
      <w:sz w:val="2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
    <w:name w:val="المتن (كتب)"/>
    <w:basedOn w:val="Normal"/>
    <w:link w:val="Char"/>
    <w:qFormat/>
    <w:rsid w:val="00A72D5F"/>
    <w:pPr>
      <w:spacing w:line="204" w:lineRule="auto"/>
      <w:outlineLvl w:val="9"/>
    </w:pPr>
    <w:rPr>
      <w:rFonts w:ascii="Arno Pro Display" w:hAnsi="Arno Pro Display"/>
      <w:sz w:val="28"/>
      <w:szCs w:val="30"/>
    </w:rPr>
  </w:style>
  <w:style w:type="character" w:styleId="FootnoteReference">
    <w:name w:val="footnote reference"/>
    <w:aliases w:val="حاشية سفلية"/>
    <w:uiPriority w:val="99"/>
    <w:rsid w:val="00540F0B"/>
    <w:rPr>
      <w:rFonts w:asciiTheme="majorBidi" w:hAnsiTheme="majorBidi"/>
      <w:vertAlign w:val="superscript"/>
    </w:rPr>
  </w:style>
  <w:style w:type="character" w:styleId="EndnoteReference">
    <w:name w:val="endnote reference"/>
    <w:rsid w:val="00C961E8"/>
    <w:rPr>
      <w:vertAlign w:val="superscript"/>
    </w:rPr>
  </w:style>
  <w:style w:type="paragraph" w:customStyle="1" w:styleId="ad">
    <w:name w:val="تكملة لعنوان البحث"/>
    <w:basedOn w:val="Normal"/>
    <w:link w:val="Char0"/>
    <w:rsid w:val="00575E8A"/>
    <w:pPr>
      <w:spacing w:line="418" w:lineRule="exact"/>
      <w:ind w:firstLine="0"/>
      <w:jc w:val="left"/>
      <w:outlineLvl w:val="9"/>
    </w:pPr>
    <w:rPr>
      <w:rFonts w:cs="Times New Roman"/>
      <w:sz w:val="6"/>
      <w:szCs w:val="30"/>
      <w:lang w:eastAsia="ar-SA"/>
    </w:rPr>
  </w:style>
  <w:style w:type="paragraph" w:customStyle="1" w:styleId="ae">
    <w:name w:val="خط الفهرس"/>
    <w:basedOn w:val="Normal"/>
    <w:qFormat/>
    <w:rsid w:val="008116F3"/>
    <w:pPr>
      <w:pBdr>
        <w:bottom w:val="double" w:sz="6" w:space="1" w:color="auto"/>
      </w:pBdr>
      <w:ind w:firstLine="0"/>
      <w:outlineLvl w:val="9"/>
    </w:pPr>
  </w:style>
  <w:style w:type="paragraph" w:customStyle="1" w:styleId="1">
    <w:name w:val="عنوان(1) ـ المتن"/>
    <w:basedOn w:val="Heading1"/>
    <w:qFormat/>
    <w:rsid w:val="00A72D5F"/>
    <w:pPr>
      <w:keepNext w:val="0"/>
      <w:spacing w:line="192" w:lineRule="auto"/>
      <w:jc w:val="both"/>
    </w:pPr>
    <w:rPr>
      <w:rFonts w:cs="AL-Mateen"/>
      <w:bCs w:val="0"/>
      <w:szCs w:val="40"/>
    </w:rPr>
  </w:style>
  <w:style w:type="paragraph" w:customStyle="1" w:styleId="2">
    <w:name w:val="عنوان(2) ـ المتن"/>
    <w:basedOn w:val="Heading2"/>
    <w:qFormat/>
    <w:rsid w:val="00A72D5F"/>
    <w:pPr>
      <w:keepNext w:val="0"/>
      <w:spacing w:before="0" w:after="0" w:line="192" w:lineRule="auto"/>
      <w:ind w:firstLine="0"/>
    </w:pPr>
    <w:rPr>
      <w:rFonts w:ascii="Times New Roman" w:hAnsi="Times New Roman" w:cs="AL-Mateen"/>
      <w:bCs w:val="0"/>
      <w:i w:val="0"/>
      <w:iCs w:val="0"/>
      <w:sz w:val="24"/>
      <w:szCs w:val="36"/>
    </w:rPr>
  </w:style>
  <w:style w:type="paragraph" w:customStyle="1" w:styleId="3">
    <w:name w:val="عنوان(3) ـ المتن"/>
    <w:basedOn w:val="Heading3"/>
    <w:qFormat/>
    <w:rsid w:val="00A72D5F"/>
    <w:pPr>
      <w:spacing w:before="0" w:after="0" w:line="192" w:lineRule="auto"/>
    </w:pPr>
    <w:rPr>
      <w:rFonts w:ascii="Times New Roman" w:hAnsi="Times New Roman" w:cs="AL-Mateen"/>
      <w:bCs w:val="0"/>
      <w:sz w:val="24"/>
      <w:szCs w:val="32"/>
    </w:rPr>
  </w:style>
  <w:style w:type="character" w:customStyle="1" w:styleId="Heading2Char">
    <w:name w:val="Heading 2 Char"/>
    <w:link w:val="Heading2"/>
    <w:rsid w:val="008116F3"/>
    <w:rPr>
      <w:rFonts w:ascii="Cambria" w:eastAsia="Times New Roman" w:hAnsi="Cambria" w:cs="Times New Roman"/>
      <w:b/>
      <w:bCs/>
      <w:i/>
      <w:iCs/>
      <w:sz w:val="28"/>
      <w:szCs w:val="28"/>
    </w:rPr>
  </w:style>
  <w:style w:type="paragraph" w:customStyle="1" w:styleId="4">
    <w:name w:val="عنوان(4) ـ المتن"/>
    <w:basedOn w:val="Heading4"/>
    <w:qFormat/>
    <w:rsid w:val="00E52F7A"/>
    <w:pPr>
      <w:spacing w:before="0" w:after="0" w:line="192" w:lineRule="auto"/>
    </w:pPr>
    <w:rPr>
      <w:rFonts w:ascii="Times New Roman" w:hAnsi="Times New Roman" w:cs="Mosawi"/>
      <w:sz w:val="24"/>
      <w:szCs w:val="30"/>
    </w:rPr>
  </w:style>
  <w:style w:type="character" w:customStyle="1" w:styleId="Heading3Char">
    <w:name w:val="Heading 3 Char"/>
    <w:link w:val="Heading3"/>
    <w:rsid w:val="00414922"/>
    <w:rPr>
      <w:rFonts w:ascii="Cambria" w:eastAsia="Times New Roman" w:hAnsi="Cambria" w:cs="Times New Roman"/>
      <w:b/>
      <w:bCs/>
      <w:sz w:val="26"/>
      <w:szCs w:val="26"/>
    </w:rPr>
  </w:style>
  <w:style w:type="character" w:customStyle="1" w:styleId="5">
    <w:name w:val="عنوان(5) ـ المتن"/>
    <w:qFormat/>
    <w:rsid w:val="00394209"/>
    <w:rPr>
      <w:rFonts w:ascii="Times New Roman" w:hAnsi="Times New Roman" w:cs="Mosawi"/>
      <w:b/>
      <w:bCs/>
      <w:sz w:val="24"/>
      <w:szCs w:val="28"/>
    </w:rPr>
  </w:style>
  <w:style w:type="character" w:customStyle="1" w:styleId="Heading4Char">
    <w:name w:val="Heading 4 Char"/>
    <w:link w:val="Heading4"/>
    <w:rsid w:val="00414922"/>
    <w:rPr>
      <w:rFonts w:ascii="Calibri" w:eastAsia="Times New Roman" w:hAnsi="Calibri" w:cs="Arial"/>
      <w:b/>
      <w:bCs/>
      <w:sz w:val="28"/>
      <w:szCs w:val="28"/>
    </w:rPr>
  </w:style>
  <w:style w:type="character" w:customStyle="1" w:styleId="Char0">
    <w:name w:val="تكملة لعنوان البحث Char"/>
    <w:link w:val="ad"/>
    <w:rsid w:val="00575E8A"/>
    <w:rPr>
      <w:rFonts w:cs="HeshamNormal"/>
      <w:sz w:val="6"/>
      <w:szCs w:val="30"/>
      <w:lang w:eastAsia="ar-SA"/>
    </w:rPr>
  </w:style>
  <w:style w:type="paragraph" w:customStyle="1" w:styleId="af">
    <w:name w:val="متن"/>
    <w:basedOn w:val="Normal"/>
    <w:link w:val="Char1"/>
    <w:rsid w:val="00C961E8"/>
    <w:pPr>
      <w:autoSpaceDE w:val="0"/>
      <w:autoSpaceDN w:val="0"/>
      <w:adjustRightInd w:val="0"/>
      <w:spacing w:line="390" w:lineRule="exact"/>
      <w:ind w:firstLine="567"/>
      <w:outlineLvl w:val="9"/>
    </w:pPr>
    <w:rPr>
      <w:rFonts w:cs="Times New Roman"/>
      <w:sz w:val="26"/>
      <w:szCs w:val="27"/>
      <w:lang w:eastAsia="ar-SA"/>
    </w:rPr>
  </w:style>
  <w:style w:type="paragraph" w:customStyle="1" w:styleId="af0">
    <w:name w:val="حاشية ختامية"/>
    <w:basedOn w:val="EndnoteText"/>
    <w:link w:val="Char2"/>
    <w:rsid w:val="00575E8A"/>
    <w:pPr>
      <w:spacing w:line="300" w:lineRule="exact"/>
      <w:ind w:left="284" w:hanging="284"/>
      <w:jc w:val="lowKashida"/>
      <w:outlineLvl w:val="9"/>
    </w:pPr>
    <w:rPr>
      <w:position w:val="4"/>
      <w:lang w:eastAsia="ar-SA"/>
    </w:rPr>
  </w:style>
  <w:style w:type="character" w:customStyle="1" w:styleId="Char2">
    <w:name w:val="حاشية ختامية Char"/>
    <w:link w:val="af0"/>
    <w:rsid w:val="00575E8A"/>
    <w:rPr>
      <w:rFonts w:cs="DanaFajr"/>
      <w:position w:val="4"/>
      <w:lang w:eastAsia="ar-SA"/>
    </w:rPr>
  </w:style>
  <w:style w:type="paragraph" w:styleId="EndnoteText">
    <w:name w:val="endnote text"/>
    <w:basedOn w:val="Normal"/>
    <w:link w:val="EndnoteTextChar"/>
    <w:rsid w:val="00575E8A"/>
    <w:pPr>
      <w:spacing w:line="240" w:lineRule="auto"/>
    </w:pPr>
    <w:rPr>
      <w:rFonts w:cs="Times New Roman"/>
      <w:sz w:val="20"/>
      <w:szCs w:val="20"/>
    </w:rPr>
  </w:style>
  <w:style w:type="character" w:customStyle="1" w:styleId="EndnoteTextChar">
    <w:name w:val="Endnote Text Char"/>
    <w:link w:val="EndnoteText"/>
    <w:rsid w:val="00575E8A"/>
    <w:rPr>
      <w:sz w:val="20"/>
      <w:szCs w:val="20"/>
    </w:rPr>
  </w:style>
  <w:style w:type="paragraph" w:customStyle="1" w:styleId="af1">
    <w:name w:val="الآية"/>
    <w:basedOn w:val="Normal"/>
    <w:link w:val="Char3"/>
    <w:rsid w:val="00C961E8"/>
    <w:pPr>
      <w:autoSpaceDE w:val="0"/>
      <w:autoSpaceDN w:val="0"/>
      <w:adjustRightInd w:val="0"/>
      <w:spacing w:line="418" w:lineRule="exact"/>
      <w:ind w:firstLine="0"/>
      <w:jc w:val="lowKashida"/>
      <w:outlineLvl w:val="9"/>
    </w:pPr>
    <w:rPr>
      <w:rFonts w:cs="Times New Roman"/>
      <w:bCs/>
      <w:color w:val="000000"/>
      <w:sz w:val="36"/>
      <w:szCs w:val="20"/>
      <w:lang w:eastAsia="ar-SA"/>
    </w:rPr>
  </w:style>
  <w:style w:type="paragraph" w:customStyle="1" w:styleId="af2">
    <w:name w:val="عنوان داخل المتن"/>
    <w:basedOn w:val="Normal"/>
    <w:link w:val="Char4"/>
    <w:rsid w:val="00C961E8"/>
    <w:pPr>
      <w:widowControl/>
      <w:autoSpaceDE w:val="0"/>
      <w:autoSpaceDN w:val="0"/>
      <w:spacing w:line="418" w:lineRule="exact"/>
      <w:ind w:firstLine="0"/>
      <w:jc w:val="right"/>
      <w:outlineLvl w:val="9"/>
    </w:pPr>
    <w:rPr>
      <w:rFonts w:cs="Times New Roman"/>
      <w:sz w:val="20"/>
      <w:szCs w:val="20"/>
      <w:lang w:eastAsia="ar-SA"/>
    </w:rPr>
  </w:style>
  <w:style w:type="paragraph" w:customStyle="1" w:styleId="af3">
    <w:name w:val="متن الهامش"/>
    <w:basedOn w:val="Normal"/>
    <w:link w:val="Char5"/>
    <w:qFormat/>
    <w:rsid w:val="00F7003B"/>
    <w:pPr>
      <w:spacing w:line="180" w:lineRule="auto"/>
      <w:ind w:left="170" w:hanging="170"/>
      <w:outlineLvl w:val="9"/>
    </w:pPr>
    <w:rPr>
      <w:rFonts w:cs="Times New Roman"/>
      <w:sz w:val="20"/>
      <w:szCs w:val="26"/>
    </w:rPr>
  </w:style>
  <w:style w:type="paragraph" w:customStyle="1" w:styleId="af4">
    <w:name w:val="متن أسود"/>
    <w:basedOn w:val="Normal"/>
    <w:link w:val="Char6"/>
    <w:rsid w:val="00C961E8"/>
    <w:pPr>
      <w:autoSpaceDE w:val="0"/>
      <w:autoSpaceDN w:val="0"/>
      <w:adjustRightInd w:val="0"/>
      <w:spacing w:line="400" w:lineRule="exact"/>
      <w:ind w:firstLine="567"/>
      <w:outlineLvl w:val="9"/>
    </w:pPr>
    <w:rPr>
      <w:rFonts w:cs="Times New Roman"/>
      <w:bCs/>
      <w:sz w:val="26"/>
      <w:szCs w:val="27"/>
      <w:lang w:eastAsia="ar-SA"/>
    </w:rPr>
  </w:style>
  <w:style w:type="numbering" w:customStyle="1" w:styleId="a9">
    <w:name w:val="الترقيم الحرفـي"/>
    <w:basedOn w:val="NoList"/>
    <w:rsid w:val="0099244D"/>
    <w:pPr>
      <w:numPr>
        <w:numId w:val="1"/>
      </w:numPr>
    </w:pPr>
  </w:style>
  <w:style w:type="character" w:customStyle="1" w:styleId="Char1">
    <w:name w:val="متن Char"/>
    <w:link w:val="af"/>
    <w:rsid w:val="00C961E8"/>
    <w:rPr>
      <w:rFonts w:cs="AL-Mohanad"/>
      <w:sz w:val="26"/>
      <w:szCs w:val="27"/>
      <w:lang w:eastAsia="ar-SA"/>
    </w:rPr>
  </w:style>
  <w:style w:type="numbering" w:customStyle="1" w:styleId="a5">
    <w:name w:val="الترقيم الحرفي الضـمني"/>
    <w:basedOn w:val="NoList"/>
    <w:rsid w:val="003471FA"/>
    <w:pPr>
      <w:numPr>
        <w:numId w:val="2"/>
      </w:numPr>
    </w:pPr>
  </w:style>
  <w:style w:type="numbering" w:customStyle="1" w:styleId="a">
    <w:name w:val="الترقيم الحـــرفي"/>
    <w:basedOn w:val="a9"/>
    <w:rsid w:val="003471FA"/>
    <w:pPr>
      <w:numPr>
        <w:numId w:val="3"/>
      </w:numPr>
    </w:pPr>
  </w:style>
  <w:style w:type="character" w:customStyle="1" w:styleId="Char3">
    <w:name w:val="الآية Char"/>
    <w:link w:val="af1"/>
    <w:rsid w:val="00C961E8"/>
    <w:rPr>
      <w:rFonts w:cs="Traditional Arabic"/>
      <w:bCs/>
      <w:color w:val="000000"/>
      <w:sz w:val="36"/>
      <w:lang w:eastAsia="ar-SA"/>
    </w:rPr>
  </w:style>
  <w:style w:type="numbering" w:customStyle="1" w:styleId="a0">
    <w:name w:val="التررررقيم العددي"/>
    <w:basedOn w:val="NoList"/>
    <w:rsid w:val="003471FA"/>
    <w:pPr>
      <w:numPr>
        <w:numId w:val="4"/>
      </w:numPr>
    </w:pPr>
  </w:style>
  <w:style w:type="character" w:customStyle="1" w:styleId="Char6">
    <w:name w:val="متن أسود Char"/>
    <w:link w:val="af4"/>
    <w:rsid w:val="00C961E8"/>
    <w:rPr>
      <w:rFonts w:cs="AL-Mohanad"/>
      <w:bCs/>
      <w:sz w:val="26"/>
      <w:szCs w:val="27"/>
      <w:lang w:eastAsia="ar-SA"/>
    </w:rPr>
  </w:style>
  <w:style w:type="numbering" w:customStyle="1" w:styleId="jdhgdfjkghkdll">
    <w:name w:val="jdhgdfjkghkdll"/>
    <w:basedOn w:val="NoList"/>
    <w:rsid w:val="003471FA"/>
    <w:pPr>
      <w:numPr>
        <w:numId w:val="5"/>
      </w:numPr>
    </w:pPr>
  </w:style>
  <w:style w:type="paragraph" w:customStyle="1" w:styleId="af5">
    <w:name w:val="الهوامش"/>
    <w:basedOn w:val="af"/>
    <w:rsid w:val="00C961E8"/>
    <w:pPr>
      <w:spacing w:line="418" w:lineRule="exact"/>
      <w:ind w:firstLine="0"/>
    </w:pPr>
    <w:rPr>
      <w:rFonts w:cs="K Sina"/>
    </w:rPr>
  </w:style>
  <w:style w:type="numbering" w:customStyle="1" w:styleId="hgfghfgkfj">
    <w:name w:val="hgfghfgkfj"/>
    <w:basedOn w:val="NoList"/>
    <w:rsid w:val="003471FA"/>
    <w:pPr>
      <w:numPr>
        <w:numId w:val="6"/>
      </w:numPr>
    </w:pPr>
  </w:style>
  <w:style w:type="numbering" w:customStyle="1" w:styleId="a3">
    <w:name w:val="ليباتليبت"/>
    <w:basedOn w:val="hgfghfgkfj"/>
    <w:rsid w:val="003471FA"/>
    <w:pPr>
      <w:numPr>
        <w:numId w:val="7"/>
      </w:numPr>
    </w:pPr>
  </w:style>
  <w:style w:type="numbering" w:customStyle="1" w:styleId="ab">
    <w:name w:val="التلعتالتنم"/>
    <w:basedOn w:val="a3"/>
    <w:rsid w:val="003471FA"/>
    <w:pPr>
      <w:numPr>
        <w:numId w:val="8"/>
      </w:numPr>
    </w:pPr>
  </w:style>
  <w:style w:type="character" w:customStyle="1" w:styleId="Char4">
    <w:name w:val="عنوان داخل المتن Char"/>
    <w:link w:val="af2"/>
    <w:rsid w:val="00C961E8"/>
    <w:rPr>
      <w:rFonts w:cs="HeshamNormal"/>
      <w:lang w:eastAsia="ar-SA"/>
    </w:rPr>
  </w:style>
  <w:style w:type="numbering" w:customStyle="1" w:styleId="ggsdfkfgsdgg">
    <w:name w:val="ggsdfkfgsdgg"/>
    <w:basedOn w:val="NoList"/>
    <w:rsid w:val="007C1166"/>
    <w:pPr>
      <w:numPr>
        <w:numId w:val="9"/>
      </w:numPr>
    </w:pPr>
  </w:style>
  <w:style w:type="numbering" w:customStyle="1" w:styleId="ghf">
    <w:name w:val="ghf"/>
    <w:basedOn w:val="NoList"/>
    <w:rsid w:val="007C1166"/>
    <w:pPr>
      <w:numPr>
        <w:numId w:val="10"/>
      </w:numPr>
    </w:pPr>
  </w:style>
  <w:style w:type="numbering" w:customStyle="1" w:styleId="gfdjkhjl">
    <w:name w:val="gfdjkhjl"/>
    <w:basedOn w:val="NoList"/>
    <w:rsid w:val="007C1166"/>
    <w:pPr>
      <w:numPr>
        <w:numId w:val="11"/>
      </w:numPr>
    </w:pPr>
  </w:style>
  <w:style w:type="paragraph" w:customStyle="1" w:styleId="af6">
    <w:name w:val="رأس الصفحة"/>
    <w:basedOn w:val="Normal"/>
    <w:qFormat/>
    <w:rsid w:val="000A1C19"/>
    <w:pPr>
      <w:tabs>
        <w:tab w:val="right" w:leader="dot" w:pos="8313"/>
      </w:tabs>
      <w:ind w:firstLine="0"/>
      <w:outlineLvl w:val="9"/>
    </w:pPr>
  </w:style>
  <w:style w:type="paragraph" w:styleId="Header">
    <w:name w:val="header"/>
    <w:basedOn w:val="Normal"/>
    <w:link w:val="HeaderChar"/>
    <w:rsid w:val="000A1C19"/>
    <w:pPr>
      <w:tabs>
        <w:tab w:val="center" w:pos="4680"/>
        <w:tab w:val="right" w:pos="9360"/>
      </w:tabs>
    </w:pPr>
    <w:rPr>
      <w:rFonts w:cs="Times New Roman"/>
    </w:rPr>
  </w:style>
  <w:style w:type="character" w:customStyle="1" w:styleId="HeaderChar">
    <w:name w:val="Header Char"/>
    <w:link w:val="Header"/>
    <w:rsid w:val="000A1C19"/>
    <w:rPr>
      <w:rFonts w:cs="Mosawi"/>
      <w:sz w:val="24"/>
      <w:szCs w:val="28"/>
    </w:rPr>
  </w:style>
  <w:style w:type="numbering" w:customStyle="1" w:styleId="fgdsgfdfd">
    <w:name w:val="fgdsgfdfd"/>
    <w:basedOn w:val="NoList"/>
    <w:uiPriority w:val="99"/>
    <w:rsid w:val="00BB62C2"/>
    <w:pPr>
      <w:numPr>
        <w:numId w:val="12"/>
      </w:numPr>
    </w:pPr>
  </w:style>
  <w:style w:type="numbering" w:customStyle="1" w:styleId="a6">
    <w:name w:val="لاالبتنمبلتن"/>
    <w:basedOn w:val="NoList"/>
    <w:uiPriority w:val="99"/>
    <w:rsid w:val="00424E10"/>
    <w:pPr>
      <w:numPr>
        <w:numId w:val="13"/>
      </w:numPr>
    </w:pPr>
  </w:style>
  <w:style w:type="numbering" w:customStyle="1" w:styleId="Style1">
    <w:name w:val="Style1"/>
    <w:basedOn w:val="a6"/>
    <w:uiPriority w:val="99"/>
    <w:rsid w:val="00424E10"/>
    <w:pPr>
      <w:numPr>
        <w:numId w:val="14"/>
      </w:numPr>
    </w:pPr>
  </w:style>
  <w:style w:type="numbering" w:customStyle="1" w:styleId="Style2">
    <w:name w:val="Style2"/>
    <w:basedOn w:val="NoList"/>
    <w:uiPriority w:val="99"/>
    <w:rsid w:val="00424E10"/>
    <w:pPr>
      <w:numPr>
        <w:numId w:val="15"/>
      </w:numPr>
    </w:pPr>
  </w:style>
  <w:style w:type="numbering" w:customStyle="1" w:styleId="a4">
    <w:name w:val="بسيب"/>
    <w:basedOn w:val="NoList"/>
    <w:uiPriority w:val="99"/>
    <w:rsid w:val="00424E10"/>
    <w:pPr>
      <w:numPr>
        <w:numId w:val="16"/>
      </w:numPr>
    </w:pPr>
  </w:style>
  <w:style w:type="numbering" w:customStyle="1" w:styleId="a8">
    <w:name w:val="ب"/>
    <w:basedOn w:val="Style1"/>
    <w:uiPriority w:val="99"/>
    <w:rsid w:val="00424E10"/>
    <w:pPr>
      <w:numPr>
        <w:numId w:val="17"/>
      </w:numPr>
    </w:pPr>
  </w:style>
  <w:style w:type="numbering" w:customStyle="1" w:styleId="a2">
    <w:name w:val="بسي"/>
    <w:basedOn w:val="NoList"/>
    <w:uiPriority w:val="99"/>
    <w:rsid w:val="00424E10"/>
    <w:pPr>
      <w:numPr>
        <w:numId w:val="18"/>
      </w:numPr>
    </w:pPr>
  </w:style>
  <w:style w:type="numbering" w:customStyle="1" w:styleId="a7">
    <w:name w:val="بيسي"/>
    <w:basedOn w:val="NoList"/>
    <w:uiPriority w:val="99"/>
    <w:rsid w:val="00424E10"/>
    <w:pPr>
      <w:numPr>
        <w:numId w:val="19"/>
      </w:numPr>
    </w:pPr>
  </w:style>
  <w:style w:type="numbering" w:customStyle="1" w:styleId="aa">
    <w:name w:val="بيشسيب"/>
    <w:basedOn w:val="NoList"/>
    <w:uiPriority w:val="99"/>
    <w:rsid w:val="00424E10"/>
    <w:pPr>
      <w:numPr>
        <w:numId w:val="20"/>
      </w:numPr>
    </w:pPr>
  </w:style>
  <w:style w:type="numbering" w:customStyle="1" w:styleId="dgjhg">
    <w:name w:val="dgjhg"/>
    <w:basedOn w:val="NoList"/>
    <w:uiPriority w:val="99"/>
    <w:rsid w:val="0032486D"/>
    <w:pPr>
      <w:numPr>
        <w:numId w:val="21"/>
      </w:numPr>
    </w:pPr>
  </w:style>
  <w:style w:type="paragraph" w:styleId="FootnoteText">
    <w:name w:val="footnote text"/>
    <w:aliases w:val="پا ورقي,هامش,نص حاشية سفلية Char Char Char,نص حاشية سفلية1 Char,نص حاشية سفلية1 Char Char,نص حاشية سفلية1 Char Char Char,هامش سفلي,Char, Char Char Char"/>
    <w:basedOn w:val="Normal"/>
    <w:link w:val="FootnoteTextChar"/>
    <w:uiPriority w:val="99"/>
    <w:rsid w:val="003B73AF"/>
    <w:pPr>
      <w:widowControl/>
      <w:spacing w:line="240" w:lineRule="auto"/>
      <w:ind w:firstLine="0"/>
      <w:jc w:val="left"/>
      <w:outlineLvl w:val="9"/>
    </w:pPr>
    <w:rPr>
      <w:rFonts w:cs="Times New Roman"/>
      <w:sz w:val="20"/>
      <w:szCs w:val="20"/>
    </w:rPr>
  </w:style>
  <w:style w:type="character" w:customStyle="1" w:styleId="FootnoteTextChar">
    <w:name w:val="Footnote Text Char"/>
    <w:aliases w:val="پا ورقي Char,هامش Char,نص حاشية سفلية Char Char Char Char,نص حاشية سفلية1 Char Char1,نص حاشية سفلية1 Char Char Char1,نص حاشية سفلية1 Char Char Char Char,هامش سفلي Char,Char Char13, Char Char Char Char"/>
    <w:link w:val="FootnoteText"/>
    <w:uiPriority w:val="99"/>
    <w:rsid w:val="003B73AF"/>
    <w:rPr>
      <w:rFonts w:cs="Times New Roman"/>
      <w:sz w:val="20"/>
      <w:szCs w:val="20"/>
    </w:rPr>
  </w:style>
  <w:style w:type="paragraph" w:styleId="Footer">
    <w:name w:val="footer"/>
    <w:basedOn w:val="Normal"/>
    <w:link w:val="FooterChar"/>
    <w:rsid w:val="00E76120"/>
    <w:pPr>
      <w:tabs>
        <w:tab w:val="center" w:pos="4680"/>
        <w:tab w:val="right" w:pos="9360"/>
      </w:tabs>
      <w:spacing w:line="240" w:lineRule="auto"/>
    </w:pPr>
  </w:style>
  <w:style w:type="character" w:customStyle="1" w:styleId="FooterChar">
    <w:name w:val="Footer Char"/>
    <w:basedOn w:val="DefaultParagraphFont"/>
    <w:link w:val="Footer"/>
    <w:rsid w:val="00E76120"/>
  </w:style>
  <w:style w:type="paragraph" w:customStyle="1" w:styleId="KSina13">
    <w:name w:val="نمط بقلم وترجمة + (العربية وغيرها) K Sina (لاتيني) ‏13 نقطة دون..."/>
    <w:basedOn w:val="Normal"/>
    <w:link w:val="KSina13Char"/>
    <w:rsid w:val="00C7391C"/>
    <w:pPr>
      <w:widowControl/>
      <w:spacing w:line="450" w:lineRule="exact"/>
      <w:ind w:left="4870" w:firstLine="0"/>
      <w:jc w:val="center"/>
      <w:outlineLvl w:val="9"/>
    </w:pPr>
    <w:rPr>
      <w:rFonts w:cs="Times New Roman"/>
      <w:sz w:val="26"/>
      <w:szCs w:val="20"/>
      <w:lang w:eastAsia="ar-SA"/>
    </w:rPr>
  </w:style>
  <w:style w:type="character" w:customStyle="1" w:styleId="KSina13Char">
    <w:name w:val="نمط بقلم وترجمة + (العربية وغيرها) K Sina (لاتيني) ‏13 نقطة دون... Char"/>
    <w:link w:val="KSina13"/>
    <w:rsid w:val="00C7391C"/>
    <w:rPr>
      <w:rFonts w:cs="K Sina"/>
      <w:sz w:val="26"/>
      <w:szCs w:val="20"/>
      <w:lang w:eastAsia="ar-SA"/>
    </w:rPr>
  </w:style>
  <w:style w:type="paragraph" w:customStyle="1" w:styleId="123">
    <w:name w:val="نمط عنوان 1 + تباعد الأسطر:  تام 23 نقطة"/>
    <w:basedOn w:val="Heading1"/>
    <w:rsid w:val="00C7391C"/>
    <w:pPr>
      <w:keepNext w:val="0"/>
      <w:spacing w:line="460" w:lineRule="exact"/>
    </w:pPr>
    <w:rPr>
      <w:b w:val="0"/>
      <w:kern w:val="0"/>
      <w:lang w:eastAsia="ar-SA"/>
    </w:rPr>
  </w:style>
  <w:style w:type="character" w:customStyle="1" w:styleId="254225CharCharChar">
    <w:name w:val="نمط عنوان المقال + بعد:  2.54 سم تباعد الأسطر:  تام 22.5 نقطة Char Char Char"/>
    <w:rsid w:val="00320A94"/>
    <w:rPr>
      <w:rFonts w:cs="HeshamNormal"/>
      <w:sz w:val="26"/>
      <w:szCs w:val="50"/>
      <w:lang w:val="en-US" w:eastAsia="ar-SA" w:bidi="ar-SA"/>
    </w:rPr>
  </w:style>
  <w:style w:type="paragraph" w:customStyle="1" w:styleId="af7">
    <w:name w:val="اسم الكاتب"/>
    <w:basedOn w:val="Normal"/>
    <w:link w:val="Char7"/>
    <w:rsid w:val="00A72D5F"/>
    <w:pPr>
      <w:spacing w:before="360" w:line="204" w:lineRule="auto"/>
      <w:ind w:firstLine="0"/>
      <w:jc w:val="right"/>
      <w:outlineLvl w:val="9"/>
    </w:pPr>
    <w:rPr>
      <w:rFonts w:cs="DanaFajr"/>
      <w:bCs/>
      <w:sz w:val="26"/>
      <w:szCs w:val="34"/>
      <w:lang w:eastAsia="ar-SA"/>
    </w:rPr>
  </w:style>
  <w:style w:type="character" w:customStyle="1" w:styleId="Char">
    <w:name w:val="المتن (كتب) Char"/>
    <w:link w:val="ac"/>
    <w:rsid w:val="00A72D5F"/>
    <w:rPr>
      <w:rFonts w:ascii="Arno Pro Display" w:hAnsi="Arno Pro Display"/>
      <w:sz w:val="28"/>
      <w:szCs w:val="30"/>
    </w:rPr>
  </w:style>
  <w:style w:type="paragraph" w:customStyle="1" w:styleId="af8">
    <w:name w:val="عنوان البحث"/>
    <w:basedOn w:val="Normal"/>
    <w:link w:val="Char8"/>
    <w:rsid w:val="00D5308B"/>
    <w:pPr>
      <w:spacing w:line="418" w:lineRule="exact"/>
      <w:ind w:right="539" w:firstLine="0"/>
      <w:jc w:val="left"/>
      <w:outlineLvl w:val="9"/>
    </w:pPr>
    <w:rPr>
      <w:rFonts w:cs="Times New Roman"/>
      <w:sz w:val="26"/>
      <w:szCs w:val="50"/>
      <w:lang w:eastAsia="ar-SA"/>
    </w:rPr>
  </w:style>
  <w:style w:type="character" w:customStyle="1" w:styleId="Char8">
    <w:name w:val="عنوان البحث Char"/>
    <w:link w:val="af8"/>
    <w:rsid w:val="00D5308B"/>
    <w:rPr>
      <w:rFonts w:cs="HeshamNormal"/>
      <w:sz w:val="26"/>
      <w:szCs w:val="50"/>
      <w:lang w:eastAsia="ar-SA"/>
    </w:rPr>
  </w:style>
  <w:style w:type="character" w:customStyle="1" w:styleId="Heading6Char">
    <w:name w:val="Heading 6 Char"/>
    <w:link w:val="Heading6"/>
    <w:rsid w:val="004527D8"/>
    <w:rPr>
      <w:rFonts w:cs="AL-Mohanad"/>
      <w:b/>
      <w:bCs/>
      <w:color w:val="000000"/>
      <w:sz w:val="28"/>
      <w:szCs w:val="40"/>
    </w:rPr>
  </w:style>
  <w:style w:type="paragraph" w:styleId="Title">
    <w:name w:val="Title"/>
    <w:basedOn w:val="Normal"/>
    <w:link w:val="TitleChar"/>
    <w:qFormat/>
    <w:rsid w:val="004527D8"/>
    <w:pPr>
      <w:widowControl/>
      <w:spacing w:line="240" w:lineRule="auto"/>
      <w:ind w:firstLine="0"/>
      <w:jc w:val="center"/>
      <w:outlineLvl w:val="9"/>
    </w:pPr>
    <w:rPr>
      <w:rFonts w:cs="Times New Roman"/>
      <w:b/>
      <w:bCs/>
      <w:sz w:val="40"/>
      <w:szCs w:val="40"/>
      <w:lang w:eastAsia="ar-SA"/>
    </w:rPr>
  </w:style>
  <w:style w:type="character" w:customStyle="1" w:styleId="TitleChar">
    <w:name w:val="Title Char"/>
    <w:link w:val="Title"/>
    <w:rsid w:val="004527D8"/>
    <w:rPr>
      <w:rFonts w:cs="PT Bold Broken"/>
      <w:b/>
      <w:bCs/>
      <w:sz w:val="40"/>
      <w:szCs w:val="40"/>
      <w:lang w:eastAsia="ar-SA"/>
    </w:rPr>
  </w:style>
  <w:style w:type="paragraph" w:customStyle="1" w:styleId="af9">
    <w:name w:val="اصلى"/>
    <w:link w:val="Char9"/>
    <w:rsid w:val="004527D8"/>
    <w:pPr>
      <w:autoSpaceDE w:val="0"/>
      <w:autoSpaceDN w:val="0"/>
      <w:bidi/>
      <w:spacing w:line="399" w:lineRule="atLeast"/>
      <w:jc w:val="both"/>
    </w:pPr>
    <w:rPr>
      <w:rFonts w:cs="Times New Roman"/>
      <w:bCs/>
      <w:sz w:val="24"/>
      <w:szCs w:val="28"/>
      <w:lang w:eastAsia="ar-SA"/>
    </w:rPr>
  </w:style>
  <w:style w:type="character" w:customStyle="1" w:styleId="Char9">
    <w:name w:val="اصلى Char"/>
    <w:link w:val="af9"/>
    <w:rsid w:val="004527D8"/>
    <w:rPr>
      <w:rFonts w:cs="Times New Roman"/>
      <w:bCs/>
      <w:sz w:val="24"/>
      <w:szCs w:val="28"/>
      <w:lang w:val="en-US" w:eastAsia="ar-SA" w:bidi="ar-SA"/>
    </w:rPr>
  </w:style>
  <w:style w:type="table" w:styleId="TableGrid">
    <w:name w:val="Table Grid"/>
    <w:basedOn w:val="TableNormal"/>
    <w:rsid w:val="004527D8"/>
    <w:rPr>
      <w:rFonts w:ascii="MS Sans Serif" w:hAnsi="MS Sans Serif"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العنوان الجانبي1"/>
    <w:basedOn w:val="Normal"/>
    <w:link w:val="1Char"/>
    <w:rsid w:val="004527D8"/>
    <w:pPr>
      <w:widowControl/>
      <w:spacing w:line="240" w:lineRule="auto"/>
      <w:ind w:firstLine="0"/>
      <w:jc w:val="right"/>
      <w:outlineLvl w:val="9"/>
    </w:pPr>
    <w:rPr>
      <w:rFonts w:cs="Times New Roman"/>
      <w:color w:val="808080"/>
      <w:sz w:val="30"/>
      <w:szCs w:val="30"/>
      <w:lang w:eastAsia="ar-SA"/>
    </w:rPr>
  </w:style>
  <w:style w:type="character" w:customStyle="1" w:styleId="1Char">
    <w:name w:val="العنوان الجانبي1 Char"/>
    <w:link w:val="10"/>
    <w:rsid w:val="004527D8"/>
    <w:rPr>
      <w:rFonts w:cs="HeshamNormal"/>
      <w:color w:val="808080"/>
      <w:sz w:val="30"/>
      <w:szCs w:val="30"/>
      <w:lang w:eastAsia="ar-SA"/>
    </w:rPr>
  </w:style>
  <w:style w:type="paragraph" w:customStyle="1" w:styleId="afa">
    <w:name w:val="العنوان الجانبي اساس"/>
    <w:basedOn w:val="10"/>
    <w:link w:val="Chara"/>
    <w:rsid w:val="004527D8"/>
    <w:pPr>
      <w:spacing w:before="60"/>
    </w:pPr>
  </w:style>
  <w:style w:type="character" w:customStyle="1" w:styleId="Chara">
    <w:name w:val="العنوان الجانبي اساس Char"/>
    <w:basedOn w:val="1Char"/>
    <w:link w:val="afa"/>
    <w:rsid w:val="004527D8"/>
    <w:rPr>
      <w:rFonts w:cs="HeshamNormal"/>
      <w:color w:val="808080"/>
      <w:sz w:val="30"/>
      <w:szCs w:val="30"/>
      <w:lang w:eastAsia="ar-SA"/>
    </w:rPr>
  </w:style>
  <w:style w:type="paragraph" w:customStyle="1" w:styleId="CharChar">
    <w:name w:val="العنوان المتواصل Char Char"/>
    <w:basedOn w:val="Title"/>
    <w:link w:val="CharCharChar"/>
    <w:rsid w:val="004527D8"/>
    <w:pPr>
      <w:spacing w:before="60" w:after="120" w:line="460" w:lineRule="exact"/>
      <w:ind w:firstLine="476"/>
      <w:jc w:val="left"/>
    </w:pPr>
    <w:rPr>
      <w:sz w:val="30"/>
      <w:szCs w:val="30"/>
    </w:rPr>
  </w:style>
  <w:style w:type="character" w:customStyle="1" w:styleId="CharCharChar">
    <w:name w:val="العنوان المتواصل Char Char Char"/>
    <w:link w:val="CharChar"/>
    <w:rsid w:val="004527D8"/>
    <w:rPr>
      <w:rFonts w:cs="HeshamNormal"/>
      <w:b/>
      <w:bCs/>
      <w:sz w:val="30"/>
      <w:szCs w:val="30"/>
      <w:lang w:eastAsia="ar-SA"/>
    </w:rPr>
  </w:style>
  <w:style w:type="paragraph" w:customStyle="1" w:styleId="afb">
    <w:name w:val="بقلم وترجمة"/>
    <w:basedOn w:val="Normal"/>
    <w:link w:val="Charb"/>
    <w:rsid w:val="004527D8"/>
    <w:pPr>
      <w:widowControl/>
      <w:spacing w:line="420" w:lineRule="exact"/>
      <w:ind w:firstLine="476"/>
      <w:jc w:val="center"/>
      <w:outlineLvl w:val="9"/>
    </w:pPr>
    <w:rPr>
      <w:rFonts w:cs="Times New Roman"/>
      <w:b/>
      <w:bCs/>
      <w:sz w:val="20"/>
      <w:szCs w:val="20"/>
      <w:lang w:eastAsia="ar-SA"/>
    </w:rPr>
  </w:style>
  <w:style w:type="character" w:customStyle="1" w:styleId="Charb">
    <w:name w:val="بقلم وترجمة Char"/>
    <w:link w:val="afb"/>
    <w:rsid w:val="004527D8"/>
    <w:rPr>
      <w:rFonts w:cs="Malik Lt BT"/>
      <w:b/>
      <w:bCs/>
      <w:sz w:val="20"/>
      <w:szCs w:val="20"/>
      <w:lang w:eastAsia="ar-SA"/>
    </w:rPr>
  </w:style>
  <w:style w:type="paragraph" w:customStyle="1" w:styleId="afc">
    <w:name w:val="العنوان الجانبي الأساس"/>
    <w:basedOn w:val="afa"/>
    <w:link w:val="Charc"/>
    <w:rsid w:val="004527D8"/>
    <w:pPr>
      <w:spacing w:before="120"/>
    </w:pPr>
    <w:rPr>
      <w:lang w:eastAsia="en-US"/>
    </w:rPr>
  </w:style>
  <w:style w:type="character" w:customStyle="1" w:styleId="Charc">
    <w:name w:val="العنوان الجانبي الأساس Char"/>
    <w:basedOn w:val="Chara"/>
    <w:link w:val="afc"/>
    <w:rsid w:val="004527D8"/>
    <w:rPr>
      <w:rFonts w:cs="HeshamNormal"/>
      <w:color w:val="808080"/>
      <w:sz w:val="30"/>
      <w:szCs w:val="30"/>
      <w:lang w:eastAsia="ar-SA"/>
    </w:rPr>
  </w:style>
  <w:style w:type="paragraph" w:customStyle="1" w:styleId="Chard">
    <w:name w:val="عنوان المقال Char"/>
    <w:basedOn w:val="Title"/>
    <w:link w:val="CharChar0"/>
    <w:rsid w:val="004527D8"/>
    <w:pPr>
      <w:widowControl w:val="0"/>
      <w:spacing w:line="480" w:lineRule="exact"/>
      <w:jc w:val="left"/>
    </w:pPr>
    <w:rPr>
      <w:sz w:val="26"/>
      <w:szCs w:val="50"/>
    </w:rPr>
  </w:style>
  <w:style w:type="character" w:customStyle="1" w:styleId="CharChar0">
    <w:name w:val="عنوان المقال Char Char"/>
    <w:link w:val="Chard"/>
    <w:rsid w:val="004527D8"/>
    <w:rPr>
      <w:rFonts w:cs="HeshamNormal"/>
      <w:b/>
      <w:bCs/>
      <w:sz w:val="26"/>
      <w:szCs w:val="50"/>
      <w:lang w:eastAsia="ar-SA"/>
    </w:rPr>
  </w:style>
  <w:style w:type="paragraph" w:customStyle="1" w:styleId="HEADING1Char0">
    <w:name w:val="HEADING 1 Char"/>
    <w:basedOn w:val="Normal"/>
    <w:link w:val="HEADING1CharChar"/>
    <w:rsid w:val="004527D8"/>
    <w:pPr>
      <w:widowControl/>
      <w:spacing w:before="120" w:line="460" w:lineRule="exact"/>
      <w:ind w:firstLine="0"/>
      <w:outlineLvl w:val="9"/>
    </w:pPr>
    <w:rPr>
      <w:rFonts w:cs="Times New Roman"/>
      <w:bCs/>
      <w:color w:val="FFFFFF"/>
      <w:sz w:val="20"/>
      <w:szCs w:val="24"/>
      <w:lang w:eastAsia="ar-SA"/>
    </w:rPr>
  </w:style>
  <w:style w:type="character" w:customStyle="1" w:styleId="HEADING1CharChar">
    <w:name w:val="HEADING 1 Char Char"/>
    <w:link w:val="HEADING1Char0"/>
    <w:rsid w:val="004527D8"/>
    <w:rPr>
      <w:rFonts w:cs="Simplified Arabic"/>
      <w:bCs/>
      <w:color w:val="FFFFFF"/>
      <w:szCs w:val="24"/>
      <w:lang w:eastAsia="ar-SA"/>
    </w:rPr>
  </w:style>
  <w:style w:type="paragraph" w:customStyle="1" w:styleId="13">
    <w:name w:val="نمط العنوان الجانبي الأساس + (لاتيني) ‏13 نقطة مضبوطة"/>
    <w:basedOn w:val="afc"/>
    <w:link w:val="13Char"/>
    <w:rsid w:val="004527D8"/>
    <w:rPr>
      <w:sz w:val="26"/>
      <w:lang w:eastAsia="ar-SA"/>
    </w:rPr>
  </w:style>
  <w:style w:type="character" w:customStyle="1" w:styleId="13Char">
    <w:name w:val="نمط العنوان الجانبي الأساس + (لاتيني) ‏13 نقطة مضبوطة Char"/>
    <w:link w:val="13"/>
    <w:rsid w:val="004527D8"/>
    <w:rPr>
      <w:rFonts w:cs="HeshamNormal"/>
      <w:color w:val="808080"/>
      <w:sz w:val="26"/>
      <w:szCs w:val="30"/>
      <w:lang w:eastAsia="ar-SA"/>
    </w:rPr>
  </w:style>
  <w:style w:type="paragraph" w:customStyle="1" w:styleId="130">
    <w:name w:val="نمط العنوان الجانبي اساس + ‏13 نقطة"/>
    <w:basedOn w:val="afa"/>
    <w:link w:val="13Char0"/>
    <w:autoRedefine/>
    <w:rsid w:val="004527D8"/>
    <w:rPr>
      <w:sz w:val="26"/>
      <w:szCs w:val="26"/>
    </w:rPr>
  </w:style>
  <w:style w:type="character" w:customStyle="1" w:styleId="13Char0">
    <w:name w:val="نمط العنوان الجانبي اساس + ‏13 نقطة Char"/>
    <w:link w:val="130"/>
    <w:rsid w:val="004527D8"/>
    <w:rPr>
      <w:rFonts w:cs="HeshamNormal"/>
      <w:color w:val="808080"/>
      <w:sz w:val="26"/>
      <w:szCs w:val="26"/>
      <w:lang w:eastAsia="ar-SA"/>
    </w:rPr>
  </w:style>
  <w:style w:type="paragraph" w:customStyle="1" w:styleId="131">
    <w:name w:val="نمط نمط العنوان الجانبي الأساس + (لاتيني) ‏13 نقطة مضبوطة + (العر..."/>
    <w:basedOn w:val="13"/>
    <w:link w:val="13Char1"/>
    <w:autoRedefine/>
    <w:rsid w:val="004527D8"/>
    <w:rPr>
      <w:szCs w:val="24"/>
    </w:rPr>
  </w:style>
  <w:style w:type="character" w:customStyle="1" w:styleId="13Char1">
    <w:name w:val="نمط نمط العنوان الجانبي الأساس + (لاتيني) ‏13 نقطة مضبوطة + (العر... Char"/>
    <w:link w:val="131"/>
    <w:rsid w:val="004527D8"/>
    <w:rPr>
      <w:rFonts w:cs="HeshamNormal"/>
      <w:color w:val="808080"/>
      <w:sz w:val="26"/>
      <w:szCs w:val="24"/>
      <w:lang w:eastAsia="ar-SA"/>
    </w:rPr>
  </w:style>
  <w:style w:type="paragraph" w:customStyle="1" w:styleId="132">
    <w:name w:val="نمط بقلم وترجمة + (لاتيني) ‏13 نقطة أسود"/>
    <w:basedOn w:val="afb"/>
    <w:link w:val="13Char2"/>
    <w:autoRedefine/>
    <w:rsid w:val="004527D8"/>
    <w:pPr>
      <w:jc w:val="right"/>
    </w:pPr>
    <w:rPr>
      <w:color w:val="000000"/>
      <w:sz w:val="26"/>
    </w:rPr>
  </w:style>
  <w:style w:type="character" w:customStyle="1" w:styleId="13Char2">
    <w:name w:val="نمط بقلم وترجمة + (لاتيني) ‏13 نقطة أسود Char"/>
    <w:link w:val="132"/>
    <w:rsid w:val="004527D8"/>
    <w:rPr>
      <w:rFonts w:cs="Malik Lt BT"/>
      <w:b/>
      <w:bCs/>
      <w:color w:val="000000"/>
      <w:sz w:val="26"/>
      <w:szCs w:val="20"/>
      <w:lang w:eastAsia="ar-SA"/>
    </w:rPr>
  </w:style>
  <w:style w:type="paragraph" w:customStyle="1" w:styleId="1300">
    <w:name w:val="نمط العنوان الجانبي اساس + (لاتيني) ‏13 نقطة قبل:  0 نقطة تباعد..."/>
    <w:basedOn w:val="afa"/>
    <w:link w:val="130Char"/>
    <w:rsid w:val="004527D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rsid w:val="004527D8"/>
    <w:rPr>
      <w:rFonts w:cs="HeshamNormal"/>
      <w:color w:val="000000"/>
      <w:sz w:val="26"/>
      <w:szCs w:val="30"/>
      <w:lang w:eastAsia="ar-SA"/>
    </w:rPr>
  </w:style>
  <w:style w:type="paragraph" w:customStyle="1" w:styleId="254225CharCharCharCharChar">
    <w:name w:val="نمط عنوان المقال + بعد:  2.54 سم تباعد الأسطر:  تام 22.5 نقطة Char Char Char Char Char"/>
    <w:basedOn w:val="Chard"/>
    <w:link w:val="254225CharCharCharCharCharChar"/>
    <w:rsid w:val="004527D8"/>
    <w:pPr>
      <w:spacing w:line="450" w:lineRule="exact"/>
      <w:ind w:right="1440"/>
    </w:pPr>
    <w:rPr>
      <w:b w:val="0"/>
      <w:bCs w:val="0"/>
    </w:rPr>
  </w:style>
  <w:style w:type="character" w:customStyle="1" w:styleId="254225CharCharCharCharCharChar">
    <w:name w:val="نمط عنوان المقال + بعد:  2.54 سم تباعد الأسطر:  تام 22.5 نقطة Char Char Char Char Char Char"/>
    <w:link w:val="254225CharCharCharCharChar"/>
    <w:rsid w:val="004527D8"/>
    <w:rPr>
      <w:rFonts w:cs="HeshamNormal"/>
      <w:sz w:val="26"/>
      <w:szCs w:val="50"/>
      <w:lang w:eastAsia="ar-SA"/>
    </w:rPr>
  </w:style>
  <w:style w:type="paragraph" w:styleId="BodyText2">
    <w:name w:val="Body Text 2"/>
    <w:basedOn w:val="Normal"/>
    <w:link w:val="BodyText2Char"/>
    <w:rsid w:val="004527D8"/>
    <w:pPr>
      <w:spacing w:line="240" w:lineRule="auto"/>
      <w:ind w:firstLine="0"/>
      <w:jc w:val="lowKashida"/>
      <w:outlineLvl w:val="9"/>
    </w:pPr>
    <w:rPr>
      <w:rFonts w:cs="Times New Roman"/>
      <w:color w:val="800000"/>
      <w:sz w:val="28"/>
      <w:szCs w:val="20"/>
    </w:rPr>
  </w:style>
  <w:style w:type="character" w:customStyle="1" w:styleId="BodyText2Char">
    <w:name w:val="Body Text 2 Char"/>
    <w:link w:val="BodyText2"/>
    <w:rsid w:val="004527D8"/>
    <w:rPr>
      <w:rFonts w:cs="Simplified Arabic"/>
      <w:color w:val="800000"/>
      <w:sz w:val="28"/>
    </w:rPr>
  </w:style>
  <w:style w:type="paragraph" w:customStyle="1" w:styleId="Heading11">
    <w:name w:val="Heading 11"/>
    <w:basedOn w:val="Normal"/>
    <w:link w:val="HEADING1Char1"/>
    <w:rsid w:val="004527D8"/>
    <w:pPr>
      <w:widowControl/>
      <w:spacing w:before="120" w:line="460" w:lineRule="exact"/>
      <w:ind w:firstLine="0"/>
      <w:outlineLvl w:val="9"/>
    </w:pPr>
    <w:rPr>
      <w:rFonts w:cs="Times New Roman"/>
      <w:bCs/>
      <w:color w:val="FFFFFF"/>
      <w:sz w:val="20"/>
      <w:szCs w:val="24"/>
      <w:lang w:eastAsia="ar-SA"/>
    </w:rPr>
  </w:style>
  <w:style w:type="character" w:customStyle="1" w:styleId="HEADING1Char1">
    <w:name w:val="HEADING 1 Char1"/>
    <w:link w:val="Heading11"/>
    <w:rsid w:val="004527D8"/>
    <w:rPr>
      <w:rFonts w:cs="Simplified Arabic"/>
      <w:bCs/>
      <w:color w:val="FFFFFF"/>
      <w:szCs w:val="24"/>
      <w:lang w:eastAsia="ar-SA"/>
    </w:rPr>
  </w:style>
  <w:style w:type="paragraph" w:customStyle="1" w:styleId="HEADING1TraditionalArabic13">
    <w:name w:val="نمط HEADING 1 + (العربية وغيرها) Traditional Arabic (لاتيني) ‏13..."/>
    <w:basedOn w:val="Heading11"/>
    <w:link w:val="HEADING1TraditionalArabic13Char"/>
    <w:rsid w:val="004527D8"/>
    <w:rPr>
      <w:sz w:val="26"/>
    </w:rPr>
  </w:style>
  <w:style w:type="character" w:customStyle="1" w:styleId="HEADING1TraditionalArabic13Char">
    <w:name w:val="نمط HEADING 1 + (العربية وغيرها) Traditional Arabic (لاتيني) ‏13... Char"/>
    <w:link w:val="HEADING1TraditionalArabic13"/>
    <w:rsid w:val="004527D8"/>
    <w:rPr>
      <w:rFonts w:cs="Traditional Arabic"/>
      <w:bCs/>
      <w:color w:val="FFFFFF"/>
      <w:sz w:val="26"/>
      <w:szCs w:val="24"/>
      <w:lang w:eastAsia="ar-SA"/>
    </w:rPr>
  </w:style>
  <w:style w:type="paragraph" w:customStyle="1" w:styleId="KSina130">
    <w:name w:val="نمط نمط بقلم وترجمة + (العربية وغيرها) K Sina (لاتيني) ‏13 نقطة د..."/>
    <w:basedOn w:val="KSina13"/>
    <w:rsid w:val="004527D8"/>
    <w:pPr>
      <w:ind w:left="4510"/>
    </w:pPr>
  </w:style>
  <w:style w:type="paragraph" w:customStyle="1" w:styleId="KSina131">
    <w:name w:val="نمط نمط بقلم وترجمة + (العربية وغيرها) K Sina (لاتيني) ‏13 نقطة د...1"/>
    <w:basedOn w:val="KSina13"/>
    <w:link w:val="KSina131Char"/>
    <w:rsid w:val="004527D8"/>
    <w:pPr>
      <w:ind w:left="4150"/>
    </w:pPr>
  </w:style>
  <w:style w:type="character" w:customStyle="1" w:styleId="KSina131Char">
    <w:name w:val="نمط نمط بقلم وترجمة + (العربية وغيرها) K Sina (لاتيني) ‏13 نقطة د...1 Char"/>
    <w:basedOn w:val="KSina13Char"/>
    <w:link w:val="KSina131"/>
    <w:rsid w:val="004527D8"/>
    <w:rPr>
      <w:rFonts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d"/>
    <w:link w:val="254225CharCharCharCharCharCharCharCharCharChar"/>
    <w:rsid w:val="004527D8"/>
    <w:pPr>
      <w:spacing w:line="450" w:lineRule="exact"/>
      <w:ind w:right="1440"/>
    </w:pPr>
    <w:rPr>
      <w:b w:val="0"/>
      <w:bCs w:val="0"/>
    </w:r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rsid w:val="004527D8"/>
    <w:rPr>
      <w:rFonts w:cs="HeshamNormal"/>
      <w:sz w:val="26"/>
      <w:szCs w:val="50"/>
      <w:lang w:eastAsia="ar-SA"/>
    </w:rPr>
  </w:style>
  <w:style w:type="paragraph" w:customStyle="1" w:styleId="HeshamNormal13">
    <w:name w:val="نمط اصلى + (العربية وغيرها) HeshamNormal (لاتيني) ‏13 نقطة (الع..."/>
    <w:basedOn w:val="af9"/>
    <w:link w:val="HeshamNormal13Char"/>
    <w:rsid w:val="004527D8"/>
    <w:rPr>
      <w:rFonts w:cs="HeshamNormal"/>
      <w:sz w:val="26"/>
      <w:szCs w:val="30"/>
    </w:rPr>
  </w:style>
  <w:style w:type="paragraph" w:customStyle="1" w:styleId="HeshamNormal130">
    <w:name w:val="نمط نمط اصلى + (العربية وغيرها) HeshamNormal (لاتيني) ‏13 نقطة (ا..."/>
    <w:basedOn w:val="HeshamNormal13"/>
    <w:link w:val="HeshamNormal13Char0"/>
    <w:rsid w:val="004527D8"/>
    <w:pPr>
      <w:spacing w:line="418" w:lineRule="exact"/>
      <w:jc w:val="right"/>
    </w:pPr>
  </w:style>
  <w:style w:type="paragraph" w:customStyle="1" w:styleId="afd">
    <w:name w:val="تعداد فرعي"/>
    <w:basedOn w:val="af9"/>
    <w:rsid w:val="004527D8"/>
    <w:pPr>
      <w:widowControl w:val="0"/>
      <w:adjustRightInd w:val="0"/>
      <w:spacing w:line="418" w:lineRule="exact"/>
    </w:pPr>
    <w:rPr>
      <w:rFonts w:cs="AL-Mohanad"/>
      <w:sz w:val="26"/>
      <w:szCs w:val="27"/>
    </w:rPr>
  </w:style>
  <w:style w:type="paragraph" w:customStyle="1" w:styleId="afe">
    <w:name w:val="هوامش"/>
    <w:basedOn w:val="Normal"/>
    <w:rsid w:val="004527D8"/>
    <w:pPr>
      <w:spacing w:line="418" w:lineRule="exact"/>
      <w:ind w:firstLine="0"/>
      <w:jc w:val="left"/>
      <w:outlineLvl w:val="9"/>
    </w:pPr>
    <w:rPr>
      <w:rFonts w:cs="K Sina"/>
      <w:spacing w:val="-4"/>
      <w:szCs w:val="24"/>
      <w:lang w:eastAsia="ar-SA"/>
    </w:rPr>
  </w:style>
  <w:style w:type="paragraph" w:customStyle="1" w:styleId="61195">
    <w:name w:val="نمط عنوان 6 + السطر الأول:  1 سم تباعد الأسطر:  تام 19.5 نقطة"/>
    <w:basedOn w:val="Heading6"/>
    <w:link w:val="61195Char"/>
    <w:rsid w:val="004527D8"/>
    <w:pPr>
      <w:spacing w:line="390" w:lineRule="exact"/>
      <w:jc w:val="lowKashida"/>
    </w:pPr>
    <w:rPr>
      <w:bCs w:val="0"/>
      <w:color w:val="FFFFFF"/>
      <w:szCs w:val="20"/>
    </w:rPr>
  </w:style>
  <w:style w:type="character" w:customStyle="1" w:styleId="61195Char">
    <w:name w:val="نمط عنوان 6 + السطر الأول:  1 سم تباعد الأسطر:  تام 19.5 نقطة Char"/>
    <w:link w:val="61195"/>
    <w:rsid w:val="004527D8"/>
    <w:rPr>
      <w:rFonts w:cs="Simplified Arabic"/>
      <w:b/>
      <w:color w:val="FFFFFF"/>
      <w:sz w:val="28"/>
    </w:rPr>
  </w:style>
  <w:style w:type="paragraph" w:customStyle="1" w:styleId="20">
    <w:name w:val="نمط2"/>
    <w:basedOn w:val="Normal"/>
    <w:link w:val="2Char"/>
    <w:rsid w:val="004527D8"/>
    <w:pPr>
      <w:spacing w:line="240" w:lineRule="auto"/>
      <w:ind w:firstLine="0"/>
      <w:jc w:val="right"/>
      <w:outlineLvl w:val="9"/>
    </w:pPr>
    <w:rPr>
      <w:rFonts w:ascii="DanaFajr" w:hAnsi="DanaFajr" w:cs="Times New Roman"/>
      <w:b/>
      <w:sz w:val="28"/>
      <w:szCs w:val="16"/>
      <w:lang w:eastAsia="ar-SA"/>
    </w:rPr>
  </w:style>
  <w:style w:type="character" w:customStyle="1" w:styleId="2Char">
    <w:name w:val="نمط2 Char"/>
    <w:link w:val="20"/>
    <w:rsid w:val="004527D8"/>
    <w:rPr>
      <w:rFonts w:ascii="DanaFajr" w:hAnsi="DanaFajr" w:cs="Simplified Arabic"/>
      <w:b/>
      <w:sz w:val="28"/>
      <w:szCs w:val="16"/>
      <w:lang w:eastAsia="ar-SA"/>
    </w:rPr>
  </w:style>
  <w:style w:type="paragraph" w:customStyle="1" w:styleId="Arial180">
    <w:name w:val="عادي + (لاتيني) Arial، (لاتيني) ‏18 نقطة، (لاتيني) غامق، أسود، قبل:  0 نقطة، ..."/>
    <w:basedOn w:val="Normal"/>
    <w:link w:val="Arial180Char"/>
    <w:semiHidden/>
    <w:rsid w:val="004527D8"/>
    <w:pPr>
      <w:widowControl/>
      <w:spacing w:line="405" w:lineRule="exact"/>
      <w:ind w:firstLine="0"/>
      <w:jc w:val="left"/>
      <w:outlineLvl w:val="9"/>
    </w:pPr>
    <w:rPr>
      <w:rFonts w:ascii="Arial" w:hAnsi="Arial" w:cs="Times New Roman"/>
      <w:b/>
      <w:color w:val="000000"/>
      <w:sz w:val="28"/>
      <w:szCs w:val="20"/>
      <w:lang w:eastAsia="ar-SA"/>
    </w:rPr>
  </w:style>
  <w:style w:type="character" w:customStyle="1" w:styleId="Arial180Char">
    <w:name w:val="عادي + (لاتيني) Arial، (لاتيني) ‏18 نقطة، (لاتيني) غامق، أسود، قبل:  0 نقطة، ... Char"/>
    <w:link w:val="Arial180"/>
    <w:rsid w:val="004527D8"/>
    <w:rPr>
      <w:rFonts w:ascii="Arial" w:hAnsi="Arial" w:cs="md_ameli"/>
      <w:b/>
      <w:color w:val="000000"/>
      <w:sz w:val="28"/>
      <w:lang w:eastAsia="ar-SA"/>
    </w:rPr>
  </w:style>
  <w:style w:type="paragraph" w:customStyle="1" w:styleId="151202">
    <w:name w:val="اصلى + ‏15 نقطة، السطر الأول:  1 سم، تباعد الأسطر:  تام 20.2 نقطة"/>
    <w:basedOn w:val="af9"/>
    <w:link w:val="151202Char"/>
    <w:semiHidden/>
    <w:rsid w:val="004527D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rsid w:val="004527D8"/>
    <w:rPr>
      <w:rFonts w:cs="Times New Roman"/>
      <w:bCs/>
      <w:sz w:val="30"/>
      <w:szCs w:val="30"/>
      <w:lang w:val="en-US" w:eastAsia="ar-SA" w:bidi="ar-SA"/>
    </w:rPr>
  </w:style>
  <w:style w:type="paragraph" w:customStyle="1" w:styleId="aff">
    <w:name w:val="حاشية"/>
    <w:basedOn w:val="Normal"/>
    <w:link w:val="Chare"/>
    <w:rsid w:val="004527D8"/>
    <w:pPr>
      <w:widowControl/>
      <w:spacing w:after="200" w:line="340" w:lineRule="exact"/>
      <w:ind w:firstLine="0"/>
      <w:jc w:val="left"/>
      <w:outlineLvl w:val="9"/>
    </w:pPr>
    <w:rPr>
      <w:rFonts w:ascii="Calibri" w:eastAsia="Calibri" w:hAnsi="Calibri" w:cs="Times New Roman"/>
      <w:sz w:val="20"/>
      <w:szCs w:val="22"/>
    </w:rPr>
  </w:style>
  <w:style w:type="character" w:customStyle="1" w:styleId="Chare">
    <w:name w:val="حاشية Char"/>
    <w:link w:val="aff"/>
    <w:rsid w:val="004527D8"/>
    <w:rPr>
      <w:rFonts w:ascii="Calibri" w:eastAsia="Calibri" w:hAnsi="Calibri" w:cs="md_ameli"/>
      <w:szCs w:val="22"/>
    </w:rPr>
  </w:style>
  <w:style w:type="paragraph" w:customStyle="1" w:styleId="aff0">
    <w:name w:val="خط الحاشية"/>
    <w:basedOn w:val="FootnoteText"/>
    <w:link w:val="Charf"/>
    <w:semiHidden/>
    <w:rsid w:val="004527D8"/>
    <w:pPr>
      <w:widowControl w:val="0"/>
      <w:ind w:left="284" w:hanging="284"/>
      <w:jc w:val="lowKashida"/>
    </w:pPr>
    <w:rPr>
      <w:szCs w:val="24"/>
    </w:rPr>
  </w:style>
  <w:style w:type="character" w:customStyle="1" w:styleId="Charf">
    <w:name w:val="خط الحاشية Char"/>
    <w:link w:val="aff0"/>
    <w:rsid w:val="004527D8"/>
    <w:rPr>
      <w:rFonts w:cs="Taher"/>
      <w:szCs w:val="24"/>
    </w:rPr>
  </w:style>
  <w:style w:type="paragraph" w:customStyle="1" w:styleId="11">
    <w:name w:val="پاورقى1"/>
    <w:link w:val="1Char0"/>
    <w:rsid w:val="00050CD1"/>
    <w:pPr>
      <w:autoSpaceDE w:val="0"/>
      <w:autoSpaceDN w:val="0"/>
      <w:bidi/>
      <w:spacing w:line="342" w:lineRule="atLeast"/>
      <w:ind w:right="284" w:hanging="284"/>
      <w:jc w:val="both"/>
    </w:pPr>
    <w:rPr>
      <w:rFonts w:cs="Times New Roman"/>
      <w:sz w:val="24"/>
      <w:szCs w:val="28"/>
      <w:lang w:eastAsia="ar-SA"/>
    </w:rPr>
  </w:style>
  <w:style w:type="character" w:customStyle="1" w:styleId="1Char0">
    <w:name w:val="پاورقى1 Char"/>
    <w:link w:val="11"/>
    <w:rsid w:val="00050CD1"/>
    <w:rPr>
      <w:rFonts w:cs="Times New Roman"/>
      <w:sz w:val="24"/>
      <w:szCs w:val="28"/>
      <w:lang w:val="en-US" w:eastAsia="ar-SA" w:bidi="ar-SA"/>
    </w:rPr>
  </w:style>
  <w:style w:type="character" w:styleId="PageNumber">
    <w:name w:val="page number"/>
    <w:basedOn w:val="DefaultParagraphFont"/>
    <w:rsid w:val="00B10C00"/>
  </w:style>
  <w:style w:type="paragraph" w:customStyle="1" w:styleId="aff1">
    <w:name w:val="تحت العنوان"/>
    <w:basedOn w:val="Normal"/>
    <w:link w:val="Charf0"/>
    <w:rsid w:val="004C564E"/>
    <w:pPr>
      <w:spacing w:line="600" w:lineRule="exact"/>
      <w:ind w:firstLine="0"/>
      <w:jc w:val="center"/>
      <w:outlineLvl w:val="3"/>
    </w:pPr>
    <w:rPr>
      <w:rFonts w:cs="Times New Roman"/>
      <w:color w:val="000000"/>
      <w:sz w:val="36"/>
      <w:szCs w:val="36"/>
    </w:rPr>
  </w:style>
  <w:style w:type="character" w:customStyle="1" w:styleId="Charf0">
    <w:name w:val="تحت العنوان Char"/>
    <w:link w:val="aff1"/>
    <w:rsid w:val="004C564E"/>
    <w:rPr>
      <w:rFonts w:cs="SKR HEAD1"/>
      <w:color w:val="000000"/>
      <w:sz w:val="36"/>
      <w:szCs w:val="36"/>
    </w:rPr>
  </w:style>
  <w:style w:type="paragraph" w:customStyle="1" w:styleId="aff2">
    <w:name w:val="العنوان الأساسي"/>
    <w:basedOn w:val="Normal"/>
    <w:rsid w:val="00F00A65"/>
    <w:pPr>
      <w:spacing w:line="240" w:lineRule="auto"/>
      <w:ind w:firstLine="0"/>
      <w:jc w:val="center"/>
      <w:outlineLvl w:val="9"/>
    </w:pPr>
    <w:rPr>
      <w:rFonts w:ascii="SKR HEAD1" w:hAnsi="SKR HEAD1" w:cs="SKR HEAD1"/>
      <w:sz w:val="32"/>
      <w:szCs w:val="50"/>
    </w:rPr>
  </w:style>
  <w:style w:type="paragraph" w:styleId="PlainText">
    <w:name w:val="Plain Text"/>
    <w:basedOn w:val="Normal"/>
    <w:link w:val="PlainTextChar"/>
    <w:rsid w:val="00CE57DC"/>
    <w:pPr>
      <w:widowControl/>
      <w:spacing w:line="240" w:lineRule="auto"/>
      <w:ind w:firstLine="0"/>
      <w:jc w:val="left"/>
      <w:outlineLvl w:val="9"/>
    </w:pPr>
    <w:rPr>
      <w:rFonts w:ascii="Courier New" w:hAnsi="Courier New" w:cs="Times New Roman"/>
      <w:sz w:val="20"/>
      <w:szCs w:val="20"/>
    </w:rPr>
  </w:style>
  <w:style w:type="character" w:customStyle="1" w:styleId="PlainTextChar">
    <w:name w:val="Plain Text Char"/>
    <w:link w:val="PlainText"/>
    <w:rsid w:val="00CE57DC"/>
    <w:rPr>
      <w:rFonts w:ascii="Courier New" w:hAnsi="Courier New" w:cs="Courier New"/>
      <w:sz w:val="20"/>
      <w:szCs w:val="20"/>
    </w:rPr>
  </w:style>
  <w:style w:type="character" w:customStyle="1" w:styleId="Heading1Char">
    <w:name w:val="Heading 1 Char"/>
    <w:link w:val="Heading1"/>
    <w:rsid w:val="00F00A65"/>
    <w:rPr>
      <w:rFonts w:cs="Abz-3 (Yagut)"/>
      <w:b/>
      <w:bCs/>
      <w:kern w:val="32"/>
      <w:sz w:val="28"/>
      <w:szCs w:val="36"/>
    </w:rPr>
  </w:style>
  <w:style w:type="character" w:customStyle="1" w:styleId="HeshamNormal13Char">
    <w:name w:val="نمط اصلى + (العربية وغيرها) HeshamNormal (لاتيني) ‏13 نقطة (الع... Char"/>
    <w:link w:val="HeshamNormal13"/>
    <w:rsid w:val="00D121AA"/>
    <w:rPr>
      <w:rFonts w:cs="HeshamNormal"/>
      <w:bCs/>
      <w:sz w:val="26"/>
      <w:szCs w:val="30"/>
      <w:lang w:val="en-US" w:eastAsia="ar-SA" w:bidi="ar-SA"/>
    </w:rPr>
  </w:style>
  <w:style w:type="character" w:customStyle="1" w:styleId="HeshamNormal13Char0">
    <w:name w:val="نمط نمط اصلى + (العربية وغيرها) HeshamNormal (لاتيني) ‏13 نقطة (ا... Char"/>
    <w:basedOn w:val="HeshamNormal13Char"/>
    <w:link w:val="HeshamNormal130"/>
    <w:rsid w:val="00D121AA"/>
    <w:rPr>
      <w:rFonts w:cs="HeshamNormal"/>
      <w:bCs/>
      <w:sz w:val="26"/>
      <w:szCs w:val="30"/>
      <w:lang w:val="en-US" w:eastAsia="ar-SA" w:bidi="ar-SA"/>
    </w:rPr>
  </w:style>
  <w:style w:type="paragraph" w:customStyle="1" w:styleId="400">
    <w:name w:val="نمط عنوان 4 + السطر الأول:  0 سم قبل:  0 نقطة تباعد الأسطر:  تا..."/>
    <w:basedOn w:val="Heading4"/>
    <w:link w:val="400Char"/>
    <w:rsid w:val="00D121AA"/>
    <w:pPr>
      <w:keepNext w:val="0"/>
      <w:spacing w:before="0" w:after="0" w:line="240" w:lineRule="auto"/>
      <w:ind w:firstLine="0"/>
      <w:jc w:val="center"/>
    </w:pPr>
    <w:rPr>
      <w:color w:val="000000"/>
      <w:spacing w:val="-4"/>
      <w:szCs w:val="32"/>
    </w:rPr>
  </w:style>
  <w:style w:type="character" w:customStyle="1" w:styleId="400Char">
    <w:name w:val="نمط عنوان 4 + السطر الأول:  0 سم قبل:  0 نقطة تباعد الأسطر:  تا... Char"/>
    <w:link w:val="400"/>
    <w:rsid w:val="00D121AA"/>
    <w:rPr>
      <w:rFonts w:ascii="Calibri" w:eastAsia="Times New Roman" w:hAnsi="Calibri" w:cs="SKR HEAD1"/>
      <w:b/>
      <w:bCs/>
      <w:color w:val="000000"/>
      <w:spacing w:val="-4"/>
      <w:sz w:val="28"/>
      <w:szCs w:val="32"/>
    </w:rPr>
  </w:style>
  <w:style w:type="paragraph" w:customStyle="1" w:styleId="1020">
    <w:name w:val="نمط نمط نمط نمط نمط عنوان 1 + قبل:  0 نقطة تباعد الأسطر:  تام 20 ..."/>
    <w:basedOn w:val="Normal"/>
    <w:link w:val="1020Char"/>
    <w:rsid w:val="00D121AA"/>
    <w:pPr>
      <w:spacing w:line="418" w:lineRule="exact"/>
      <w:ind w:firstLine="0"/>
      <w:jc w:val="left"/>
    </w:pPr>
    <w:rPr>
      <w:rFonts w:cs="Abz-3 (Yagut)"/>
      <w:bCs/>
      <w:color w:val="000000"/>
      <w:sz w:val="26"/>
      <w:szCs w:val="26"/>
    </w:rPr>
  </w:style>
  <w:style w:type="character" w:customStyle="1" w:styleId="1020Char">
    <w:name w:val="نمط نمط نمط نمط نمط عنوان 1 + قبل:  0 نقطة تباعد الأسطر:  تام 20 ... Char"/>
    <w:basedOn w:val="1020Char0"/>
    <w:link w:val="1020"/>
    <w:rsid w:val="00D121AA"/>
    <w:rPr>
      <w:rFonts w:cs="Abz-3 (Yagut)"/>
      <w:b w:val="0"/>
      <w:bCs w:val="0"/>
      <w:color w:val="000000"/>
      <w:kern w:val="32"/>
      <w:sz w:val="26"/>
      <w:szCs w:val="26"/>
    </w:rPr>
  </w:style>
  <w:style w:type="character" w:customStyle="1" w:styleId="1020Char0">
    <w:name w:val="نمط نمط نمط نمط عنوان 1 + قبل:  0 نقطة تباعد الأسطر:  تام 20 نقطة... Char"/>
    <w:link w:val="10200"/>
    <w:rsid w:val="00D121AA"/>
    <w:rPr>
      <w:rFonts w:cs="Abz-3 (Yagut)"/>
      <w:b w:val="0"/>
      <w:bCs w:val="0"/>
      <w:color w:val="000000"/>
      <w:kern w:val="32"/>
      <w:sz w:val="26"/>
      <w:szCs w:val="26"/>
    </w:rPr>
  </w:style>
  <w:style w:type="character" w:customStyle="1" w:styleId="10201Char">
    <w:name w:val="نمط نمط نمط عنوان 1 + قبل:  0 نقطة تباعد الأسطر:  تام 20 نقطة + ت...1 Char"/>
    <w:link w:val="10201"/>
    <w:rsid w:val="00D121AA"/>
    <w:rPr>
      <w:rFonts w:cs="Arial"/>
      <w:b w:val="0"/>
      <w:bCs w:val="0"/>
      <w:color w:val="000000"/>
      <w:kern w:val="32"/>
      <w:sz w:val="26"/>
      <w:szCs w:val="36"/>
    </w:rPr>
  </w:style>
  <w:style w:type="character" w:customStyle="1" w:styleId="1020Char1">
    <w:name w:val="نمط نمط عنوان 1 + قبل:  0 نقطة تباعد الأسطر:  تام 20 نقطة + تباعد... Char"/>
    <w:link w:val="10202"/>
    <w:rsid w:val="00D121AA"/>
    <w:rPr>
      <w:rFonts w:cs="Arial"/>
      <w:b/>
      <w:bCs w:val="0"/>
      <w:color w:val="000000"/>
      <w:kern w:val="32"/>
      <w:sz w:val="22"/>
      <w:szCs w:val="36"/>
    </w:rPr>
  </w:style>
  <w:style w:type="character" w:customStyle="1" w:styleId="1020Char2">
    <w:name w:val="نمط عنوان 1 + قبل:  0 نقطة تباعد الأسطر:  تام 20 نقطة Char"/>
    <w:link w:val="10203"/>
    <w:rsid w:val="00D121AA"/>
    <w:rPr>
      <w:rFonts w:cs="Arial"/>
      <w:b/>
      <w:bCs/>
      <w:color w:val="000000"/>
      <w:kern w:val="32"/>
      <w:sz w:val="22"/>
      <w:szCs w:val="36"/>
    </w:rPr>
  </w:style>
  <w:style w:type="paragraph" w:customStyle="1" w:styleId="10203">
    <w:name w:val="نمط عنوان 1 + قبل:  0 نقطة تباعد الأسطر:  تام 20 نقطة"/>
    <w:basedOn w:val="Heading1"/>
    <w:link w:val="1020Char2"/>
    <w:rsid w:val="00D121AA"/>
    <w:pPr>
      <w:keepNext w:val="0"/>
      <w:widowControl/>
      <w:bidi w:val="0"/>
      <w:spacing w:line="400" w:lineRule="exact"/>
    </w:pPr>
    <w:rPr>
      <w:color w:val="000000"/>
      <w:sz w:val="22"/>
    </w:rPr>
  </w:style>
  <w:style w:type="paragraph" w:customStyle="1" w:styleId="10202">
    <w:name w:val="نمط نمط عنوان 1 + قبل:  0 نقطة تباعد الأسطر:  تام 20 نقطة + تباعد..."/>
    <w:basedOn w:val="10203"/>
    <w:next w:val="Normal"/>
    <w:link w:val="1020Char1"/>
    <w:rsid w:val="00D121AA"/>
    <w:pPr>
      <w:bidi/>
      <w:spacing w:line="390" w:lineRule="exact"/>
      <w:jc w:val="left"/>
    </w:pPr>
    <w:rPr>
      <w:bCs w:val="0"/>
    </w:rPr>
  </w:style>
  <w:style w:type="paragraph" w:customStyle="1" w:styleId="10201">
    <w:name w:val="نمط نمط نمط عنوان 1 + قبل:  0 نقطة تباعد الأسطر:  تام 20 نقطة + ت...1"/>
    <w:basedOn w:val="10202"/>
    <w:link w:val="10201Char"/>
    <w:rsid w:val="00D121AA"/>
    <w:pPr>
      <w:spacing w:line="377" w:lineRule="exact"/>
    </w:pPr>
    <w:rPr>
      <w:b w:val="0"/>
      <w:sz w:val="26"/>
    </w:rPr>
  </w:style>
  <w:style w:type="paragraph" w:customStyle="1" w:styleId="10200">
    <w:name w:val="نمط نمط نمط نمط عنوان 1 + قبل:  0 نقطة تباعد الأسطر:  تام 20 نقطة..."/>
    <w:basedOn w:val="10201"/>
    <w:link w:val="1020Char0"/>
    <w:rsid w:val="00D121AA"/>
    <w:rPr>
      <w:szCs w:val="26"/>
    </w:rPr>
  </w:style>
  <w:style w:type="paragraph" w:customStyle="1" w:styleId="HeshamNormal131">
    <w:name w:val="نمط (العربية وغيرها) HeshamNormal (لاتيني) ‏13 نقطة (العربية وغ...1"/>
    <w:basedOn w:val="Normal"/>
    <w:semiHidden/>
    <w:rsid w:val="00D121AA"/>
    <w:pPr>
      <w:widowControl/>
      <w:spacing w:line="418" w:lineRule="exact"/>
      <w:ind w:firstLine="720"/>
      <w:jc w:val="right"/>
      <w:outlineLvl w:val="9"/>
    </w:pPr>
    <w:rPr>
      <w:rFonts w:cs="HeshamNormal"/>
      <w:sz w:val="26"/>
      <w:szCs w:val="30"/>
      <w:lang w:eastAsia="ar-SA"/>
    </w:rPr>
  </w:style>
  <w:style w:type="character" w:customStyle="1" w:styleId="CharChar4">
    <w:name w:val="Char Char4"/>
    <w:rsid w:val="00D121AA"/>
    <w:rPr>
      <w:rFonts w:cs="Simplified Arabic"/>
      <w:color w:val="000000"/>
      <w:sz w:val="28"/>
      <w:szCs w:val="28"/>
      <w:lang w:val="en-US" w:eastAsia="en-US" w:bidi="ar-SA"/>
    </w:rPr>
  </w:style>
  <w:style w:type="paragraph" w:customStyle="1" w:styleId="StyleComplexSimplifiedArabic14ptFirstline05cm">
    <w:name w:val="Style (Complex) Simplified Arabic 14 pt First line:  0.5 cm"/>
    <w:basedOn w:val="Normal"/>
    <w:link w:val="StyleComplexSimplifiedArabic14ptFirstline05cmChar"/>
    <w:rsid w:val="00D121AA"/>
    <w:pPr>
      <w:widowControl/>
      <w:spacing w:line="240" w:lineRule="auto"/>
      <w:jc w:val="lowKashida"/>
      <w:outlineLvl w:val="9"/>
    </w:pPr>
    <w:rPr>
      <w:rFonts w:cs="Times New Roman"/>
      <w:sz w:val="20"/>
      <w:szCs w:val="20"/>
    </w:rPr>
  </w:style>
  <w:style w:type="character" w:customStyle="1" w:styleId="StyleComplexSimplifiedArabic14ptFirstline05cmChar">
    <w:name w:val="Style (Complex) Simplified Arabic 14 pt First line:  0.5 cm Char"/>
    <w:link w:val="StyleComplexSimplifiedArabic14ptFirstline05cm"/>
    <w:rsid w:val="00D121AA"/>
    <w:rPr>
      <w:rFonts w:cs="Akhbar MT"/>
    </w:rPr>
  </w:style>
  <w:style w:type="paragraph" w:customStyle="1" w:styleId="StyleComplexSimplifiedArabic14ptJustifiedFirstl">
    <w:name w:val="Style اصلى + (Complex) Simplified Arabic 14 pt Justified First l..."/>
    <w:basedOn w:val="af9"/>
    <w:link w:val="StyleComplexSimplifiedArabic14ptJustifiedFirstlChar"/>
    <w:rsid w:val="00D121AA"/>
    <w:pPr>
      <w:widowControl w:val="0"/>
      <w:spacing w:before="100" w:line="400" w:lineRule="exact"/>
      <w:ind w:firstLine="510"/>
      <w:jc w:val="lowKashida"/>
    </w:pPr>
    <w:rPr>
      <w:rFonts w:cs="md_ameli"/>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D121AA"/>
    <w:rPr>
      <w:rFonts w:cs="md_ameli"/>
      <w:bCs/>
      <w:spacing w:val="-4"/>
      <w:sz w:val="22"/>
      <w:szCs w:val="28"/>
      <w:lang w:val="en-US" w:eastAsia="ar-SA" w:bidi="ar-SA"/>
    </w:rPr>
  </w:style>
  <w:style w:type="paragraph" w:customStyle="1" w:styleId="StyleComplexSimplifiedArabic14ptCharChar">
    <w:name w:val="Style (Complex) Simplified Arabic 14 pt Char Char"/>
    <w:basedOn w:val="Normal"/>
    <w:link w:val="StyleComplexSimplifiedArabic14ptCharCharChar"/>
    <w:rsid w:val="00D121AA"/>
    <w:pPr>
      <w:widowControl/>
      <w:spacing w:line="240" w:lineRule="auto"/>
      <w:ind w:firstLine="510"/>
      <w:jc w:val="lowKashida"/>
      <w:outlineLvl w:val="9"/>
    </w:pPr>
    <w:rPr>
      <w:rFonts w:cs="Times New Roman"/>
      <w:sz w:val="22"/>
      <w:szCs w:val="36"/>
    </w:rPr>
  </w:style>
  <w:style w:type="character" w:customStyle="1" w:styleId="StyleComplexSimplifiedArabic14ptCharCharChar">
    <w:name w:val="Style (Complex) Simplified Arabic 14 pt Char Char Char"/>
    <w:link w:val="StyleComplexSimplifiedArabic14ptCharChar"/>
    <w:rsid w:val="00D121AA"/>
    <w:rPr>
      <w:rFonts w:cs="Akhbar MT"/>
      <w:sz w:val="22"/>
      <w:szCs w:val="36"/>
    </w:rPr>
  </w:style>
  <w:style w:type="paragraph" w:customStyle="1" w:styleId="NormalText">
    <w:name w:val="Normal Text"/>
    <w:basedOn w:val="Normal"/>
    <w:link w:val="NormalTextChar"/>
    <w:rsid w:val="00D121AA"/>
    <w:pPr>
      <w:widowControl/>
      <w:spacing w:line="440" w:lineRule="exact"/>
      <w:outlineLvl w:val="9"/>
    </w:pPr>
    <w:rPr>
      <w:rFonts w:eastAsia="SimSun" w:cs="Times New Roman"/>
      <w:sz w:val="20"/>
      <w:szCs w:val="36"/>
      <w:lang w:eastAsia="zh-CN"/>
    </w:rPr>
  </w:style>
  <w:style w:type="character" w:customStyle="1" w:styleId="NormalTextChar">
    <w:name w:val="Normal Text Char"/>
    <w:link w:val="NormalText"/>
    <w:rsid w:val="00D121AA"/>
    <w:rPr>
      <w:rFonts w:eastAsia="SimSun" w:cs="Wasit5 Normal"/>
      <w:szCs w:val="36"/>
      <w:lang w:eastAsia="zh-CN"/>
    </w:rPr>
  </w:style>
  <w:style w:type="paragraph" w:customStyle="1" w:styleId="Heading3DanaFajr165">
    <w:name w:val="نمط Heading 3 + (العربية وغيرها) DanaFajr (العربية وغيرها) ‏16.5..."/>
    <w:basedOn w:val="Heading3"/>
    <w:link w:val="Heading3DanaFajr165Char"/>
    <w:rsid w:val="00D121AA"/>
    <w:pPr>
      <w:keepNext w:val="0"/>
      <w:widowControl/>
      <w:spacing w:before="0" w:after="0" w:line="420" w:lineRule="exact"/>
      <w:ind w:firstLine="0"/>
      <w:jc w:val="left"/>
    </w:pPr>
    <w:rPr>
      <w:rFonts w:ascii="Times New Roman" w:eastAsia="Batang" w:hAnsi="Times New Roman"/>
      <w:sz w:val="28"/>
      <w:szCs w:val="33"/>
      <w:lang w:eastAsia="ar-SA"/>
    </w:rPr>
  </w:style>
  <w:style w:type="character" w:customStyle="1" w:styleId="Heading3DanaFajr165Char">
    <w:name w:val="نمط Heading 3 + (العربية وغيرها) DanaFajr (العربية وغيرها) ‏16.5... Char"/>
    <w:link w:val="Heading3DanaFajr165"/>
    <w:rsid w:val="00D121AA"/>
    <w:rPr>
      <w:rFonts w:cs="DanaFajr"/>
      <w:b/>
      <w:bCs/>
      <w:sz w:val="28"/>
      <w:szCs w:val="33"/>
      <w:lang w:eastAsia="ar-SA"/>
    </w:rPr>
  </w:style>
  <w:style w:type="paragraph" w:customStyle="1" w:styleId="aff3">
    <w:name w:val="آية"/>
    <w:basedOn w:val="Normal"/>
    <w:link w:val="Charf1"/>
    <w:rsid w:val="00D121AA"/>
    <w:pPr>
      <w:widowControl/>
      <w:suppressLineNumbers/>
      <w:spacing w:line="240" w:lineRule="auto"/>
      <w:ind w:firstLine="397"/>
      <w:jc w:val="lowKashida"/>
      <w:outlineLvl w:val="9"/>
    </w:pPr>
    <w:rPr>
      <w:rFonts w:cs="Times New Roman"/>
      <w:color w:val="000000"/>
      <w:sz w:val="32"/>
      <w:szCs w:val="30"/>
    </w:rPr>
  </w:style>
  <w:style w:type="character" w:customStyle="1" w:styleId="Charf1">
    <w:name w:val="آية Char"/>
    <w:link w:val="aff3"/>
    <w:rsid w:val="00D121AA"/>
    <w:rPr>
      <w:rFonts w:cs="OthmaniNorm"/>
      <w:color w:val="000000"/>
      <w:sz w:val="32"/>
      <w:szCs w:val="30"/>
    </w:rPr>
  </w:style>
  <w:style w:type="paragraph" w:customStyle="1" w:styleId="213">
    <w:name w:val="نمط عنوان 2 + (لاتيني) ‏13 نقطة"/>
    <w:basedOn w:val="Heading2"/>
    <w:link w:val="213Char"/>
    <w:rsid w:val="00D121AA"/>
    <w:pPr>
      <w:keepNext w:val="0"/>
      <w:widowControl/>
      <w:spacing w:before="0" w:beforeAutospacing="1" w:after="0" w:line="377" w:lineRule="exact"/>
      <w:ind w:firstLine="0"/>
      <w:jc w:val="right"/>
    </w:pPr>
    <w:rPr>
      <w:rFonts w:ascii="Times New Roman" w:eastAsia="Batang" w:hAnsi="Times New Roman" w:cs="Simplified Arabic"/>
      <w:b w:val="0"/>
      <w:bCs w:val="0"/>
      <w:i w:val="0"/>
      <w:iCs w:val="0"/>
      <w:color w:val="000000"/>
      <w:sz w:val="26"/>
      <w:szCs w:val="36"/>
    </w:rPr>
  </w:style>
  <w:style w:type="character" w:customStyle="1" w:styleId="213Char">
    <w:name w:val="نمط عنوان 2 + (لاتيني) ‏13 نقطة Char"/>
    <w:link w:val="213"/>
    <w:rsid w:val="00D121AA"/>
    <w:rPr>
      <w:rFonts w:cs="Simplified Arabic"/>
      <w:color w:val="000000"/>
      <w:sz w:val="26"/>
      <w:szCs w:val="36"/>
      <w:lang w:val="en-US" w:eastAsia="en-US" w:bidi="ar-SA"/>
    </w:rPr>
  </w:style>
  <w:style w:type="paragraph" w:customStyle="1" w:styleId="3Abz-3Yagut145">
    <w:name w:val="نمط عنوان 3 + (العربية وغيرها) Abz-3 (Yagut) (لاتيني) ‏14.5 نقطة..."/>
    <w:basedOn w:val="Heading3"/>
    <w:link w:val="3Abz-3Yagut145Char"/>
    <w:rsid w:val="00D121AA"/>
    <w:pPr>
      <w:widowControl/>
      <w:spacing w:before="0" w:after="0" w:line="390" w:lineRule="exact"/>
      <w:ind w:firstLine="0"/>
      <w:jc w:val="left"/>
    </w:pPr>
    <w:rPr>
      <w:bCs w:val="0"/>
      <w:sz w:val="29"/>
    </w:rPr>
  </w:style>
  <w:style w:type="character" w:customStyle="1" w:styleId="3Abz-3Yagut145Char">
    <w:name w:val="نمط عنوان 3 + (العربية وغيرها) Abz-3 (Yagut) (لاتيني) ‏14.5 نقطة... Char"/>
    <w:link w:val="3Abz-3Yagut145"/>
    <w:rsid w:val="00D121AA"/>
    <w:rPr>
      <w:rFonts w:ascii="Cambria" w:eastAsia="Times New Roman" w:hAnsi="Cambria" w:cs="Abz-3 (Yagut)"/>
      <w:b/>
      <w:bCs w:val="0"/>
      <w:sz w:val="29"/>
      <w:szCs w:val="26"/>
    </w:rPr>
  </w:style>
  <w:style w:type="paragraph" w:customStyle="1" w:styleId="aff4">
    <w:name w:val="اسم الآية"/>
    <w:basedOn w:val="ac"/>
    <w:link w:val="Charf2"/>
    <w:semiHidden/>
    <w:rsid w:val="00D121AA"/>
    <w:pPr>
      <w:autoSpaceDE w:val="0"/>
      <w:autoSpaceDN w:val="0"/>
      <w:spacing w:line="400" w:lineRule="exact"/>
      <w:ind w:firstLine="567"/>
      <w:jc w:val="right"/>
    </w:pPr>
    <w:rPr>
      <w:rFonts w:cs="Times New Roman"/>
      <w:spacing w:val="-4"/>
      <w:sz w:val="26"/>
      <w:szCs w:val="27"/>
      <w:lang w:eastAsia="ar-SA"/>
    </w:rPr>
  </w:style>
  <w:style w:type="character" w:customStyle="1" w:styleId="Charf2">
    <w:name w:val="اسم الآية Char"/>
    <w:link w:val="aff4"/>
    <w:rsid w:val="00D121AA"/>
    <w:rPr>
      <w:rFonts w:ascii="Arno Pro Display" w:hAnsi="Arno Pro Display" w:cs="AL-Mohanad"/>
      <w:spacing w:val="-4"/>
      <w:sz w:val="26"/>
      <w:szCs w:val="27"/>
      <w:lang w:eastAsia="ar-SA"/>
    </w:rPr>
  </w:style>
  <w:style w:type="paragraph" w:customStyle="1" w:styleId="aff5">
    <w:name w:val="متن اسود مائل"/>
    <w:basedOn w:val="Heading3"/>
    <w:rsid w:val="00D121AA"/>
    <w:pPr>
      <w:keepNext w:val="0"/>
      <w:widowControl/>
      <w:spacing w:before="0" w:after="0" w:line="380" w:lineRule="exact"/>
      <w:ind w:left="567" w:right="567" w:firstLine="0"/>
      <w:jc w:val="lowKashida"/>
    </w:pPr>
    <w:rPr>
      <w:rFonts w:ascii="Times New Roman" w:hAnsi="Times New Roman" w:cs="Abz-3 (Yagut)"/>
      <w:b w:val="0"/>
      <w:i/>
      <w:iCs/>
      <w:sz w:val="20"/>
      <w:szCs w:val="20"/>
    </w:rPr>
  </w:style>
  <w:style w:type="paragraph" w:customStyle="1" w:styleId="aff6">
    <w:name w:val="متن خاص"/>
    <w:basedOn w:val="ac"/>
    <w:rsid w:val="00D121AA"/>
    <w:pPr>
      <w:autoSpaceDE w:val="0"/>
      <w:autoSpaceDN w:val="0"/>
      <w:spacing w:line="418" w:lineRule="exact"/>
      <w:ind w:firstLine="567"/>
      <w:jc w:val="lowKashida"/>
    </w:pPr>
    <w:rPr>
      <w:rFonts w:cs="AL-Mohanad"/>
      <w:spacing w:val="-4"/>
      <w:sz w:val="26"/>
      <w:szCs w:val="27"/>
      <w:lang w:eastAsia="ar-SA"/>
    </w:rPr>
  </w:style>
  <w:style w:type="character" w:customStyle="1" w:styleId="aff7">
    <w:name w:val="أرقام الهامش ـ المتن"/>
    <w:qFormat/>
    <w:rsid w:val="00A001B2"/>
    <w:rPr>
      <w:rFonts w:ascii="Times New Roman" w:hAnsi="Times New Roman" w:cs="Taher"/>
      <w:dstrike w:val="0"/>
      <w:sz w:val="24"/>
      <w:szCs w:val="32"/>
      <w:vertAlign w:val="superscript"/>
    </w:rPr>
  </w:style>
  <w:style w:type="character" w:customStyle="1" w:styleId="Heading7Char">
    <w:name w:val="Heading 7 Char"/>
    <w:link w:val="Heading7"/>
    <w:rsid w:val="004C1813"/>
    <w:rPr>
      <w:rFonts w:ascii="Cambria" w:eastAsia="Times New Roman" w:hAnsi="Cambria" w:cs="Times New Roman"/>
      <w:i/>
      <w:iCs/>
      <w:color w:val="404040"/>
    </w:rPr>
  </w:style>
  <w:style w:type="paragraph" w:customStyle="1" w:styleId="HeshamNormal1310">
    <w:name w:val="نمط اصلى + (العربية وغيرها) HeshamNormal (لاتيني) ‏13 نقطة (الع...1"/>
    <w:basedOn w:val="af9"/>
    <w:semiHidden/>
    <w:rsid w:val="004C1813"/>
    <w:pPr>
      <w:spacing w:line="418" w:lineRule="exact"/>
      <w:ind w:firstLine="567"/>
      <w:jc w:val="right"/>
    </w:pPr>
    <w:rPr>
      <w:rFonts w:cs="HeshamNormal"/>
      <w:bCs w:val="0"/>
      <w:sz w:val="26"/>
      <w:szCs w:val="30"/>
    </w:rPr>
  </w:style>
  <w:style w:type="character" w:customStyle="1" w:styleId="Heading5Char">
    <w:name w:val="Heading 5 Char"/>
    <w:link w:val="Heading5"/>
    <w:rsid w:val="0010041B"/>
    <w:rPr>
      <w:rFonts w:cs="Simplified Arabic"/>
      <w:color w:val="800000"/>
      <w:sz w:val="28"/>
    </w:rPr>
  </w:style>
  <w:style w:type="character" w:customStyle="1" w:styleId="Heading8Char">
    <w:name w:val="Heading 8 Char"/>
    <w:link w:val="Heading8"/>
    <w:rsid w:val="0010041B"/>
    <w:rPr>
      <w:rFonts w:cs="Simplified Arabic"/>
      <w:b/>
      <w:bCs/>
      <w:sz w:val="28"/>
    </w:rPr>
  </w:style>
  <w:style w:type="character" w:customStyle="1" w:styleId="Heading9Char">
    <w:name w:val="Heading 9 Char"/>
    <w:link w:val="Heading9"/>
    <w:rsid w:val="0010041B"/>
    <w:rPr>
      <w:rFonts w:cs="Simplified Arabic"/>
      <w:b/>
      <w:bCs/>
      <w:sz w:val="28"/>
    </w:rPr>
  </w:style>
  <w:style w:type="paragraph" w:styleId="BodyText">
    <w:name w:val="Body Text"/>
    <w:basedOn w:val="Normal"/>
    <w:link w:val="BodyTextChar"/>
    <w:rsid w:val="0010041B"/>
    <w:pPr>
      <w:widowControl/>
      <w:spacing w:line="240" w:lineRule="auto"/>
      <w:ind w:firstLine="0"/>
      <w:jc w:val="lowKashida"/>
      <w:outlineLvl w:val="9"/>
    </w:pPr>
    <w:rPr>
      <w:rFonts w:cs="Times New Roman"/>
      <w:sz w:val="28"/>
      <w:szCs w:val="20"/>
      <w:lang w:eastAsia="ar-SA"/>
    </w:rPr>
  </w:style>
  <w:style w:type="character" w:customStyle="1" w:styleId="BodyTextChar">
    <w:name w:val="Body Text Char"/>
    <w:link w:val="BodyText"/>
    <w:rsid w:val="0010041B"/>
    <w:rPr>
      <w:rFonts w:cs="Arabic Transparent"/>
      <w:sz w:val="28"/>
      <w:lang w:eastAsia="ar-SA"/>
    </w:rPr>
  </w:style>
  <w:style w:type="paragraph" w:styleId="NormalWeb">
    <w:name w:val="Normal (Web)"/>
    <w:basedOn w:val="Normal"/>
    <w:rsid w:val="0010041B"/>
    <w:pPr>
      <w:widowControl/>
      <w:bidi w:val="0"/>
      <w:spacing w:before="100" w:beforeAutospacing="1" w:after="100" w:afterAutospacing="1" w:line="240" w:lineRule="auto"/>
      <w:ind w:firstLine="0"/>
      <w:jc w:val="left"/>
      <w:outlineLvl w:val="9"/>
    </w:pPr>
    <w:rPr>
      <w:rFonts w:cs="Times New Roman"/>
      <w:szCs w:val="24"/>
      <w:lang w:eastAsia="ar-SA"/>
    </w:rPr>
  </w:style>
  <w:style w:type="paragraph" w:styleId="Subtitle">
    <w:name w:val="Subtitle"/>
    <w:basedOn w:val="Normal"/>
    <w:link w:val="SubtitleChar"/>
    <w:qFormat/>
    <w:rsid w:val="0010041B"/>
    <w:pPr>
      <w:widowControl/>
      <w:spacing w:line="380" w:lineRule="exact"/>
      <w:ind w:firstLine="0"/>
      <w:jc w:val="center"/>
      <w:outlineLvl w:val="9"/>
    </w:pPr>
    <w:rPr>
      <w:rFonts w:cs="Times New Roman"/>
      <w:sz w:val="44"/>
      <w:szCs w:val="44"/>
      <w:lang w:eastAsia="ar-SA"/>
    </w:rPr>
  </w:style>
  <w:style w:type="character" w:customStyle="1" w:styleId="SubtitleChar">
    <w:name w:val="Subtitle Char"/>
    <w:link w:val="Subtitle"/>
    <w:rsid w:val="0010041B"/>
    <w:rPr>
      <w:rFonts w:cs="Traditional Arabic"/>
      <w:sz w:val="44"/>
      <w:szCs w:val="44"/>
      <w:lang w:eastAsia="ar-SA"/>
    </w:rPr>
  </w:style>
  <w:style w:type="paragraph" w:styleId="BalloonText">
    <w:name w:val="Balloon Text"/>
    <w:basedOn w:val="Normal"/>
    <w:link w:val="BalloonTextChar"/>
    <w:rsid w:val="0010041B"/>
    <w:pPr>
      <w:widowControl/>
      <w:spacing w:line="240" w:lineRule="auto"/>
      <w:ind w:firstLine="0"/>
      <w:jc w:val="left"/>
      <w:outlineLvl w:val="9"/>
    </w:pPr>
    <w:rPr>
      <w:rFonts w:ascii="Tahoma" w:hAnsi="Tahoma" w:cs="Times New Roman"/>
      <w:sz w:val="16"/>
      <w:szCs w:val="16"/>
      <w:lang w:eastAsia="ar-SA"/>
    </w:rPr>
  </w:style>
  <w:style w:type="character" w:customStyle="1" w:styleId="BalloonTextChar">
    <w:name w:val="Balloon Text Char"/>
    <w:link w:val="BalloonText"/>
    <w:rsid w:val="0010041B"/>
    <w:rPr>
      <w:rFonts w:ascii="Tahoma" w:hAnsi="Tahoma" w:cs="Tahoma"/>
      <w:sz w:val="16"/>
      <w:szCs w:val="16"/>
      <w:lang w:eastAsia="ar-SA"/>
    </w:rPr>
  </w:style>
  <w:style w:type="character" w:styleId="CommentReference">
    <w:name w:val="annotation reference"/>
    <w:rsid w:val="0010041B"/>
    <w:rPr>
      <w:sz w:val="16"/>
      <w:szCs w:val="16"/>
    </w:rPr>
  </w:style>
  <w:style w:type="paragraph" w:styleId="CommentText">
    <w:name w:val="annotation text"/>
    <w:basedOn w:val="Normal"/>
    <w:link w:val="CommentTextChar"/>
    <w:rsid w:val="0010041B"/>
    <w:pPr>
      <w:widowControl/>
      <w:spacing w:line="240" w:lineRule="auto"/>
      <w:ind w:firstLine="0"/>
      <w:jc w:val="left"/>
      <w:outlineLvl w:val="9"/>
    </w:pPr>
    <w:rPr>
      <w:rFonts w:cs="Times New Roman"/>
      <w:sz w:val="20"/>
      <w:szCs w:val="20"/>
      <w:lang w:eastAsia="ar-SA"/>
    </w:rPr>
  </w:style>
  <w:style w:type="character" w:customStyle="1" w:styleId="CommentTextChar">
    <w:name w:val="Comment Text Char"/>
    <w:link w:val="CommentText"/>
    <w:uiPriority w:val="99"/>
    <w:rsid w:val="0010041B"/>
    <w:rPr>
      <w:rFonts w:cs="Times New Roman"/>
      <w:sz w:val="20"/>
      <w:szCs w:val="20"/>
      <w:lang w:eastAsia="ar-SA"/>
    </w:rPr>
  </w:style>
  <w:style w:type="paragraph" w:styleId="CommentSubject">
    <w:name w:val="annotation subject"/>
    <w:basedOn w:val="CommentText"/>
    <w:next w:val="CommentText"/>
    <w:link w:val="CommentSubjectChar"/>
    <w:rsid w:val="0010041B"/>
    <w:rPr>
      <w:b/>
      <w:bCs/>
    </w:rPr>
  </w:style>
  <w:style w:type="character" w:customStyle="1" w:styleId="CommentSubjectChar">
    <w:name w:val="Comment Subject Char"/>
    <w:link w:val="CommentSubject"/>
    <w:rsid w:val="0010041B"/>
    <w:rPr>
      <w:rFonts w:cs="Times New Roman"/>
      <w:b/>
      <w:bCs/>
      <w:sz w:val="20"/>
      <w:szCs w:val="20"/>
      <w:lang w:eastAsia="ar-SA"/>
    </w:rPr>
  </w:style>
  <w:style w:type="paragraph" w:customStyle="1" w:styleId="aff8">
    <w:name w:val="عنوان"/>
    <w:next w:val="Normal"/>
    <w:autoRedefine/>
    <w:rsid w:val="0010041B"/>
    <w:pPr>
      <w:widowControl w:val="0"/>
      <w:bidi/>
      <w:spacing w:before="60" w:line="460" w:lineRule="exact"/>
      <w:jc w:val="center"/>
    </w:pPr>
    <w:rPr>
      <w:rFonts w:cs="HeshamNormal"/>
      <w:b/>
      <w:sz w:val="38"/>
      <w:szCs w:val="38"/>
      <w:lang w:eastAsia="ar-SA"/>
    </w:rPr>
  </w:style>
  <w:style w:type="paragraph" w:customStyle="1" w:styleId="21">
    <w:name w:val="عنوان2"/>
    <w:basedOn w:val="aff8"/>
    <w:autoRedefine/>
    <w:rsid w:val="0010041B"/>
    <w:pPr>
      <w:jc w:val="left"/>
    </w:pPr>
    <w:rPr>
      <w:sz w:val="32"/>
      <w:szCs w:val="24"/>
    </w:rPr>
  </w:style>
  <w:style w:type="paragraph" w:customStyle="1" w:styleId="aff9">
    <w:name w:val="نص"/>
    <w:basedOn w:val="21"/>
    <w:autoRedefine/>
    <w:rsid w:val="0010041B"/>
    <w:pPr>
      <w:ind w:firstLine="567"/>
      <w:jc w:val="lowKashida"/>
    </w:pPr>
    <w:rPr>
      <w:bCs/>
      <w:szCs w:val="32"/>
    </w:rPr>
  </w:style>
  <w:style w:type="paragraph" w:customStyle="1" w:styleId="affa">
    <w:name w:val="العنوان الجانبي"/>
    <w:basedOn w:val="Heading2"/>
    <w:rsid w:val="00081F35"/>
    <w:pPr>
      <w:widowControl/>
      <w:spacing w:before="0" w:after="240" w:line="400" w:lineRule="exact"/>
      <w:ind w:firstLine="0"/>
      <w:jc w:val="center"/>
    </w:pPr>
    <w:rPr>
      <w:rFonts w:ascii="Times New Roman" w:hAnsi="Times New Roman" w:cs="SKR HEAD1"/>
      <w:b w:val="0"/>
      <w:bCs w:val="0"/>
      <w:i w:val="0"/>
      <w:iCs w:val="0"/>
      <w:color w:val="0D0D0D"/>
      <w:sz w:val="34"/>
      <w:szCs w:val="50"/>
      <w:lang w:eastAsia="ar-SA"/>
    </w:rPr>
  </w:style>
  <w:style w:type="paragraph" w:customStyle="1" w:styleId="affb">
    <w:name w:val="العنوان الكبير"/>
    <w:basedOn w:val="Title"/>
    <w:rsid w:val="0010041B"/>
    <w:pPr>
      <w:spacing w:before="60" w:after="120" w:line="460" w:lineRule="exact"/>
      <w:ind w:firstLine="476"/>
      <w:jc w:val="left"/>
    </w:pPr>
    <w:rPr>
      <w:rFonts w:cs="HeshamNormal"/>
      <w:b w:val="0"/>
      <w:bCs w:val="0"/>
      <w:sz w:val="60"/>
      <w:szCs w:val="60"/>
    </w:rPr>
  </w:style>
  <w:style w:type="paragraph" w:customStyle="1" w:styleId="affc">
    <w:name w:val="تتمة العنوان السفلي"/>
    <w:basedOn w:val="Title"/>
    <w:rsid w:val="0010041B"/>
    <w:pPr>
      <w:spacing w:before="60" w:line="460" w:lineRule="exact"/>
      <w:ind w:firstLine="476"/>
      <w:jc w:val="left"/>
    </w:pPr>
    <w:rPr>
      <w:rFonts w:cs="HeshamNormal"/>
      <w:b w:val="0"/>
      <w:bCs w:val="0"/>
      <w:color w:val="808080"/>
      <w:sz w:val="28"/>
      <w:szCs w:val="28"/>
    </w:rPr>
  </w:style>
  <w:style w:type="paragraph" w:styleId="TOC3">
    <w:name w:val="toc 3"/>
    <w:basedOn w:val="Normal"/>
    <w:next w:val="Normal"/>
    <w:autoRedefine/>
    <w:uiPriority w:val="39"/>
    <w:qFormat/>
    <w:rsid w:val="00A87975"/>
    <w:pPr>
      <w:widowControl/>
      <w:tabs>
        <w:tab w:val="right" w:leader="dot" w:pos="7370"/>
      </w:tabs>
      <w:spacing w:line="180" w:lineRule="auto"/>
      <w:ind w:left="284" w:firstLine="0"/>
      <w:outlineLvl w:val="9"/>
    </w:pPr>
    <w:rPr>
      <w:lang w:eastAsia="ar-SA"/>
    </w:rPr>
  </w:style>
  <w:style w:type="paragraph" w:styleId="TOC1">
    <w:name w:val="toc 1"/>
    <w:basedOn w:val="Normal"/>
    <w:next w:val="Normal"/>
    <w:uiPriority w:val="39"/>
    <w:qFormat/>
    <w:rsid w:val="0008530B"/>
    <w:pPr>
      <w:widowControl/>
      <w:tabs>
        <w:tab w:val="right" w:leader="dot" w:pos="7360"/>
      </w:tabs>
      <w:spacing w:before="120" w:line="192" w:lineRule="auto"/>
      <w:ind w:firstLine="0"/>
      <w:outlineLvl w:val="9"/>
    </w:pPr>
    <w:rPr>
      <w:rFonts w:cs="AL-Mateen"/>
      <w:noProof/>
      <w:szCs w:val="32"/>
      <w:lang w:eastAsia="ar-SA"/>
    </w:rPr>
  </w:style>
  <w:style w:type="character" w:styleId="Hyperlink">
    <w:name w:val="Hyperlink"/>
    <w:uiPriority w:val="99"/>
    <w:rsid w:val="0010041B"/>
    <w:rPr>
      <w:color w:val="0000FF"/>
      <w:u w:val="single"/>
    </w:rPr>
  </w:style>
  <w:style w:type="paragraph" w:customStyle="1" w:styleId="133">
    <w:name w:val="نمط بقلم وترجمة + (لاتيني) ‏13 نقطة مضبوطة"/>
    <w:basedOn w:val="afb"/>
    <w:autoRedefine/>
    <w:rsid w:val="0010041B"/>
    <w:pPr>
      <w:jc w:val="right"/>
    </w:pPr>
    <w:rPr>
      <w:sz w:val="26"/>
    </w:rPr>
  </w:style>
  <w:style w:type="paragraph" w:customStyle="1" w:styleId="SimplifiedArabic13">
    <w:name w:val="نمط بقلم وترجمة + (لاتيني) Simplified Arabic (لاتيني) ‏13 نقطة ..."/>
    <w:basedOn w:val="afb"/>
    <w:autoRedefine/>
    <w:rsid w:val="0010041B"/>
    <w:pPr>
      <w:jc w:val="right"/>
    </w:pPr>
    <w:rPr>
      <w:rFonts w:ascii="Simplified Arabic" w:hAnsi="Simplified Arabic"/>
      <w:sz w:val="26"/>
    </w:rPr>
  </w:style>
  <w:style w:type="paragraph" w:customStyle="1" w:styleId="HEADING1130">
    <w:name w:val="نمط HEADING 1 + (لاتيني) ‏13 نقطة قبل:  0 نقطة تباعد الأسطر:  ت..."/>
    <w:basedOn w:val="HEADING1Char0"/>
    <w:rsid w:val="0010041B"/>
    <w:pPr>
      <w:spacing w:before="0" w:line="450" w:lineRule="exact"/>
    </w:pPr>
    <w:rPr>
      <w:sz w:val="26"/>
    </w:rPr>
  </w:style>
  <w:style w:type="character" w:customStyle="1" w:styleId="HeshamNormal132">
    <w:name w:val="نمط (العربية وغيرها) HeshamNormal (لاتيني) ‏13 نقطة (العربية وغ..."/>
    <w:rsid w:val="0010041B"/>
    <w:rPr>
      <w:rFonts w:cs="HeshamNormal"/>
      <w:color w:val="808080"/>
      <w:sz w:val="26"/>
      <w:szCs w:val="28"/>
    </w:rPr>
  </w:style>
  <w:style w:type="paragraph" w:styleId="BodyTextIndent">
    <w:name w:val="Body Text Indent"/>
    <w:basedOn w:val="Normal"/>
    <w:link w:val="BodyTextIndentChar"/>
    <w:rsid w:val="0010041B"/>
    <w:pPr>
      <w:spacing w:line="240" w:lineRule="auto"/>
      <w:jc w:val="lowKashida"/>
      <w:outlineLvl w:val="9"/>
    </w:pPr>
    <w:rPr>
      <w:rFonts w:cs="Times New Roman"/>
      <w:color w:val="800000"/>
      <w:sz w:val="28"/>
      <w:szCs w:val="20"/>
    </w:rPr>
  </w:style>
  <w:style w:type="character" w:customStyle="1" w:styleId="BodyTextIndentChar">
    <w:name w:val="Body Text Indent Char"/>
    <w:link w:val="BodyTextIndent"/>
    <w:rsid w:val="0010041B"/>
    <w:rPr>
      <w:rFonts w:cs="Times New Roman"/>
      <w:color w:val="800000"/>
      <w:sz w:val="28"/>
    </w:rPr>
  </w:style>
  <w:style w:type="paragraph" w:styleId="BodyTextIndent2">
    <w:name w:val="Body Text Indent 2"/>
    <w:basedOn w:val="Normal"/>
    <w:link w:val="BodyTextIndent2Char"/>
    <w:rsid w:val="0010041B"/>
    <w:pPr>
      <w:spacing w:line="240" w:lineRule="auto"/>
      <w:jc w:val="lowKashida"/>
      <w:outlineLvl w:val="9"/>
    </w:pPr>
    <w:rPr>
      <w:rFonts w:cs="Times New Roman"/>
      <w:b/>
      <w:bCs/>
      <w:color w:val="800000"/>
      <w:sz w:val="20"/>
      <w:szCs w:val="20"/>
    </w:rPr>
  </w:style>
  <w:style w:type="character" w:customStyle="1" w:styleId="BodyTextIndent2Char">
    <w:name w:val="Body Text Indent 2 Char"/>
    <w:link w:val="BodyTextIndent2"/>
    <w:rsid w:val="0010041B"/>
    <w:rPr>
      <w:rFonts w:cs="Simplified Arabic"/>
      <w:b/>
      <w:bCs/>
      <w:color w:val="800000"/>
      <w:sz w:val="20"/>
    </w:rPr>
  </w:style>
  <w:style w:type="paragraph" w:styleId="BodyText3">
    <w:name w:val="Body Text 3"/>
    <w:basedOn w:val="Normal"/>
    <w:link w:val="BodyText3Char"/>
    <w:rsid w:val="0010041B"/>
    <w:pPr>
      <w:spacing w:line="240" w:lineRule="auto"/>
      <w:ind w:firstLine="0"/>
      <w:jc w:val="lowKashida"/>
      <w:outlineLvl w:val="9"/>
    </w:pPr>
    <w:rPr>
      <w:rFonts w:ascii="MS Sans Serif" w:hAnsi="MS Sans Serif" w:cs="Times New Roman"/>
      <w:sz w:val="20"/>
      <w:szCs w:val="27"/>
    </w:rPr>
  </w:style>
  <w:style w:type="character" w:customStyle="1" w:styleId="BodyText3Char">
    <w:name w:val="Body Text 3 Char"/>
    <w:link w:val="BodyText3"/>
    <w:rsid w:val="0010041B"/>
    <w:rPr>
      <w:rFonts w:ascii="MS Sans Serif" w:hAnsi="MS Sans Serif" w:cs="Simplified Arabic"/>
      <w:szCs w:val="27"/>
    </w:rPr>
  </w:style>
  <w:style w:type="paragraph" w:styleId="BodyTextIndent3">
    <w:name w:val="Body Text Indent 3"/>
    <w:basedOn w:val="Normal"/>
    <w:link w:val="BodyTextIndent3Char"/>
    <w:rsid w:val="0010041B"/>
    <w:pPr>
      <w:spacing w:line="240" w:lineRule="auto"/>
      <w:jc w:val="lowKashida"/>
      <w:outlineLvl w:val="9"/>
    </w:pPr>
    <w:rPr>
      <w:rFonts w:cs="Times New Roman"/>
      <w:sz w:val="28"/>
      <w:szCs w:val="20"/>
    </w:rPr>
  </w:style>
  <w:style w:type="character" w:customStyle="1" w:styleId="BodyTextIndent3Char">
    <w:name w:val="Body Text Indent 3 Char"/>
    <w:link w:val="BodyTextIndent3"/>
    <w:rsid w:val="0010041B"/>
    <w:rPr>
      <w:rFonts w:cs="Simplified Arabic"/>
      <w:sz w:val="28"/>
    </w:rPr>
  </w:style>
  <w:style w:type="paragraph" w:styleId="BlockText">
    <w:name w:val="Block Text"/>
    <w:basedOn w:val="Normal"/>
    <w:rsid w:val="0010041B"/>
    <w:pPr>
      <w:widowControl/>
      <w:spacing w:line="240" w:lineRule="auto"/>
      <w:ind w:left="560" w:right="1843" w:firstLine="0"/>
      <w:jc w:val="lowKashida"/>
      <w:outlineLvl w:val="9"/>
    </w:pPr>
    <w:rPr>
      <w:rFonts w:ascii="Simplified Arabic" w:hAnsi="Simplified Arabic" w:cs="Simplified Arabic"/>
      <w:sz w:val="28"/>
    </w:rPr>
  </w:style>
  <w:style w:type="character" w:customStyle="1" w:styleId="usertext1">
    <w:name w:val="usertext1"/>
    <w:rsid w:val="0010041B"/>
    <w:rPr>
      <w:rFonts w:ascii="Arial" w:hAnsi="Arial" w:cs="Arial" w:hint="default"/>
      <w:sz w:val="20"/>
      <w:szCs w:val="20"/>
    </w:rPr>
  </w:style>
  <w:style w:type="character" w:styleId="FollowedHyperlink">
    <w:name w:val="FollowedHyperlink"/>
    <w:rsid w:val="0010041B"/>
    <w:rPr>
      <w:color w:val="800080"/>
      <w:u w:val="single"/>
    </w:rPr>
  </w:style>
  <w:style w:type="paragraph" w:customStyle="1" w:styleId="12">
    <w:name w:val="تيتر1"/>
    <w:rsid w:val="0010041B"/>
    <w:pPr>
      <w:autoSpaceDE w:val="0"/>
      <w:autoSpaceDN w:val="0"/>
      <w:bidi/>
      <w:spacing w:line="399" w:lineRule="atLeast"/>
      <w:jc w:val="both"/>
    </w:pPr>
    <w:rPr>
      <w:rFonts w:cs="Times New Roman"/>
      <w:bCs/>
      <w:sz w:val="18"/>
      <w:szCs w:val="32"/>
      <w:lang w:eastAsia="ar-SA"/>
    </w:rPr>
  </w:style>
  <w:style w:type="paragraph" w:customStyle="1" w:styleId="1301">
    <w:name w:val="نمط نمط العنوان الجانبي اساس + (لاتيني) ‏13 نقطة قبل:  0 نقطة تبا..."/>
    <w:basedOn w:val="1300"/>
    <w:link w:val="130Char0"/>
    <w:rsid w:val="0010041B"/>
    <w:pPr>
      <w:spacing w:line="460" w:lineRule="exact"/>
    </w:pPr>
  </w:style>
  <w:style w:type="paragraph" w:customStyle="1" w:styleId="22">
    <w:name w:val="2"/>
    <w:basedOn w:val="Normal"/>
    <w:next w:val="Subtitle"/>
    <w:rsid w:val="0010041B"/>
    <w:pPr>
      <w:spacing w:line="240" w:lineRule="auto"/>
      <w:ind w:firstLine="0"/>
      <w:jc w:val="center"/>
      <w:outlineLvl w:val="9"/>
    </w:pPr>
    <w:rPr>
      <w:rFonts w:cs="PT Bold Heading"/>
      <w:bCs/>
      <w:noProof/>
      <w:sz w:val="34"/>
      <w:szCs w:val="36"/>
      <w:lang w:eastAsia="ar-SA"/>
    </w:rPr>
  </w:style>
  <w:style w:type="paragraph" w:customStyle="1" w:styleId="122">
    <w:name w:val="نمط مضبوطة السطر الأول:  1 سم تباعد الأسطر:  تام 22 نقطة"/>
    <w:basedOn w:val="Normal"/>
    <w:rsid w:val="0010041B"/>
    <w:pPr>
      <w:bidi w:val="0"/>
      <w:spacing w:line="440" w:lineRule="exact"/>
      <w:ind w:firstLine="567"/>
      <w:outlineLvl w:val="9"/>
    </w:pPr>
    <w:rPr>
      <w:rFonts w:ascii="MS Sans Serif" w:hAnsi="MS Sans Serif" w:cs="AL-Mohanad"/>
      <w:bCs/>
      <w:noProof/>
      <w:sz w:val="20"/>
      <w:szCs w:val="30"/>
      <w:lang w:eastAsia="ar-SA"/>
    </w:rPr>
  </w:style>
  <w:style w:type="paragraph" w:customStyle="1" w:styleId="Normal0">
    <w:name w:val="نمط Normal +"/>
    <w:basedOn w:val="Normal"/>
    <w:rsid w:val="0010041B"/>
    <w:pPr>
      <w:widowControl/>
      <w:bidi w:val="0"/>
      <w:spacing w:line="240" w:lineRule="auto"/>
      <w:ind w:firstLine="567"/>
      <w:outlineLvl w:val="9"/>
    </w:pPr>
    <w:rPr>
      <w:rFonts w:ascii="MS Sans Serif" w:hAnsi="MS Sans Serif" w:cs="AL-Mohanad"/>
      <w:bCs/>
      <w:noProof/>
      <w:sz w:val="20"/>
      <w:szCs w:val="30"/>
      <w:lang w:eastAsia="ar-SA"/>
    </w:rPr>
  </w:style>
  <w:style w:type="paragraph" w:customStyle="1" w:styleId="1230">
    <w:name w:val="نمط مضبوطة السطر الأول:  1 سم تباعد الأسطر:  تام 23 نقطة"/>
    <w:basedOn w:val="Normal"/>
    <w:rsid w:val="0010041B"/>
    <w:pPr>
      <w:widowControl/>
      <w:bidi w:val="0"/>
      <w:spacing w:line="460" w:lineRule="exact"/>
      <w:ind w:firstLine="567"/>
      <w:outlineLvl w:val="9"/>
    </w:pPr>
    <w:rPr>
      <w:rFonts w:ascii="MS Sans Serif" w:hAnsi="MS Sans Serif" w:cs="AL-Mohanad"/>
      <w:noProof/>
      <w:sz w:val="20"/>
      <w:szCs w:val="30"/>
      <w:lang w:eastAsia="ar-SA"/>
    </w:rPr>
  </w:style>
  <w:style w:type="paragraph" w:styleId="DocumentMap">
    <w:name w:val="Document Map"/>
    <w:basedOn w:val="Normal"/>
    <w:link w:val="DocumentMapChar"/>
    <w:rsid w:val="0010041B"/>
    <w:pPr>
      <w:widowControl/>
      <w:shd w:val="clear" w:color="auto" w:fill="000080"/>
      <w:spacing w:line="240" w:lineRule="auto"/>
      <w:ind w:firstLine="0"/>
      <w:jc w:val="left"/>
      <w:outlineLvl w:val="9"/>
    </w:pPr>
    <w:rPr>
      <w:rFonts w:ascii="Tahoma" w:hAnsi="Tahoma" w:cs="Times New Roman"/>
      <w:sz w:val="20"/>
      <w:szCs w:val="24"/>
      <w:lang w:eastAsia="ar-SA"/>
    </w:rPr>
  </w:style>
  <w:style w:type="character" w:customStyle="1" w:styleId="DocumentMapChar">
    <w:name w:val="Document Map Char"/>
    <w:link w:val="DocumentMap"/>
    <w:rsid w:val="0010041B"/>
    <w:rPr>
      <w:rFonts w:ascii="Tahoma" w:hAnsi="Tahoma" w:cs="Tahoma"/>
      <w:szCs w:val="24"/>
      <w:shd w:val="clear" w:color="auto" w:fill="000080"/>
      <w:lang w:eastAsia="ar-SA"/>
    </w:rPr>
  </w:style>
  <w:style w:type="paragraph" w:customStyle="1" w:styleId="14">
    <w:name w:val="1"/>
    <w:basedOn w:val="Normal"/>
    <w:next w:val="Subtitle"/>
    <w:rsid w:val="0010041B"/>
    <w:pPr>
      <w:spacing w:line="240" w:lineRule="auto"/>
      <w:ind w:firstLine="0"/>
      <w:jc w:val="center"/>
      <w:outlineLvl w:val="9"/>
    </w:pPr>
    <w:rPr>
      <w:rFonts w:cs="PT Bold Heading"/>
      <w:bCs/>
      <w:noProof/>
      <w:sz w:val="34"/>
      <w:szCs w:val="36"/>
      <w:lang w:eastAsia="ar-SA"/>
    </w:rPr>
  </w:style>
  <w:style w:type="paragraph" w:customStyle="1" w:styleId="HEADING10225">
    <w:name w:val="نمط HEADING 1 + قبل:  0 نقطة تباعد الأسطر:  تام 22.5 نقطة"/>
    <w:basedOn w:val="Heading11"/>
    <w:rsid w:val="0010041B"/>
    <w:pPr>
      <w:spacing w:before="0" w:line="450" w:lineRule="exact"/>
    </w:pPr>
  </w:style>
  <w:style w:type="paragraph" w:customStyle="1" w:styleId="13010">
    <w:name w:val="نمط نمط العنوان الجانبي اساس + (لاتيني) ‏13 نقطة قبل:  0 نقطة تبا...1"/>
    <w:basedOn w:val="1300"/>
    <w:rsid w:val="0010041B"/>
    <w:pPr>
      <w:spacing w:line="418" w:lineRule="exact"/>
    </w:pPr>
    <w:rPr>
      <w:color w:val="auto"/>
    </w:rPr>
  </w:style>
  <w:style w:type="paragraph" w:customStyle="1" w:styleId="HEADING102250">
    <w:name w:val="نمط نمط HEADING 1 + قبل:  0 نقطة تباعد الأسطر:  تام 22.5 نقطة + ت..."/>
    <w:basedOn w:val="HEADING10225"/>
    <w:rsid w:val="0010041B"/>
    <w:pPr>
      <w:spacing w:line="418" w:lineRule="exact"/>
    </w:pPr>
  </w:style>
  <w:style w:type="paragraph" w:customStyle="1" w:styleId="7">
    <w:name w:val="نمط عنوان 7 + (مركب) غامق"/>
    <w:basedOn w:val="Heading7"/>
    <w:link w:val="7Char"/>
    <w:rsid w:val="0010041B"/>
    <w:pPr>
      <w:keepLines w:val="0"/>
      <w:spacing w:before="0" w:line="240" w:lineRule="auto"/>
      <w:ind w:firstLine="0"/>
      <w:jc w:val="right"/>
    </w:pPr>
    <w:rPr>
      <w:bCs/>
      <w:color w:val="000000"/>
      <w:sz w:val="30"/>
    </w:rPr>
  </w:style>
  <w:style w:type="character" w:customStyle="1" w:styleId="7Char">
    <w:name w:val="نمط عنوان 7 + (مركب) غامق Char"/>
    <w:link w:val="7"/>
    <w:rsid w:val="0010041B"/>
    <w:rPr>
      <w:rFonts w:ascii="Cambria" w:eastAsia="Times New Roman" w:hAnsi="Cambria" w:cs="Traditional Arabic"/>
      <w:bCs/>
      <w:i/>
      <w:iCs/>
      <w:color w:val="000000"/>
      <w:sz w:val="30"/>
      <w:szCs w:val="20"/>
    </w:rPr>
  </w:style>
  <w:style w:type="paragraph" w:customStyle="1" w:styleId="710">
    <w:name w:val="نمط عنوان 7 + (العربية وغيرها) ‏10 نقطة (مركب) غامق أسود"/>
    <w:basedOn w:val="Heading7"/>
    <w:rsid w:val="0010041B"/>
    <w:pPr>
      <w:keepLines w:val="0"/>
      <w:spacing w:before="0" w:line="240" w:lineRule="auto"/>
      <w:ind w:firstLine="0"/>
      <w:jc w:val="right"/>
    </w:pPr>
    <w:rPr>
      <w:rFonts w:ascii="Times New Roman" w:hAnsi="Times New Roman" w:cs="Traditional Arabic"/>
      <w:bCs/>
      <w:i w:val="0"/>
      <w:iCs w:val="0"/>
      <w:color w:val="FFFFFF"/>
      <w:sz w:val="30"/>
    </w:rPr>
  </w:style>
  <w:style w:type="paragraph" w:styleId="TOC2">
    <w:name w:val="toc 2"/>
    <w:basedOn w:val="Normal"/>
    <w:next w:val="Normal"/>
    <w:autoRedefine/>
    <w:uiPriority w:val="39"/>
    <w:qFormat/>
    <w:rsid w:val="0008530B"/>
    <w:pPr>
      <w:widowControl/>
      <w:tabs>
        <w:tab w:val="right" w:leader="dot" w:pos="7360"/>
      </w:tabs>
      <w:spacing w:line="204" w:lineRule="auto"/>
      <w:ind w:firstLine="0"/>
      <w:outlineLvl w:val="9"/>
    </w:pPr>
    <w:rPr>
      <w:bCs/>
      <w:noProof/>
      <w:sz w:val="22"/>
      <w:szCs w:val="26"/>
      <w:lang w:eastAsia="ar-SA"/>
    </w:rPr>
  </w:style>
  <w:style w:type="paragraph" w:customStyle="1" w:styleId="15">
    <w:name w:val="نمط نمط نمط نمط نمط عنوان 1 + + + + مضبوطة + + اليمين لليسار"/>
    <w:basedOn w:val="Normal"/>
    <w:semiHidden/>
    <w:rsid w:val="00385DBE"/>
    <w:pPr>
      <w:spacing w:line="460" w:lineRule="exact"/>
      <w:ind w:right="1077" w:firstLine="0"/>
      <w:jc w:val="center"/>
      <w:outlineLvl w:val="9"/>
    </w:pPr>
    <w:rPr>
      <w:rFonts w:cs="HeshamNormal"/>
      <w:sz w:val="26"/>
      <w:szCs w:val="50"/>
      <w:lang w:eastAsia="ar-SA"/>
    </w:rPr>
  </w:style>
  <w:style w:type="character" w:customStyle="1" w:styleId="affd">
    <w:name w:val="آيات القرآن الكريم"/>
    <w:uiPriority w:val="1"/>
    <w:qFormat/>
    <w:rsid w:val="00713014"/>
    <w:rPr>
      <w:rFonts w:cs="md_ameli"/>
      <w:bCs/>
    </w:rPr>
  </w:style>
  <w:style w:type="paragraph" w:styleId="TOC4">
    <w:name w:val="toc 4"/>
    <w:basedOn w:val="Normal"/>
    <w:next w:val="Normal"/>
    <w:autoRedefine/>
    <w:uiPriority w:val="39"/>
    <w:rsid w:val="004F4FFF"/>
    <w:pPr>
      <w:tabs>
        <w:tab w:val="right" w:leader="dot" w:pos="7370"/>
      </w:tabs>
      <w:spacing w:line="192" w:lineRule="auto"/>
      <w:ind w:left="284" w:firstLine="0"/>
    </w:pPr>
  </w:style>
  <w:style w:type="paragraph" w:styleId="TOC5">
    <w:name w:val="toc 5"/>
    <w:basedOn w:val="Normal"/>
    <w:next w:val="Normal"/>
    <w:autoRedefine/>
    <w:uiPriority w:val="39"/>
    <w:rsid w:val="00600C89"/>
    <w:pPr>
      <w:tabs>
        <w:tab w:val="right" w:leader="dot" w:pos="7360"/>
      </w:tabs>
      <w:spacing w:line="192" w:lineRule="auto"/>
      <w:ind w:left="851" w:firstLine="0"/>
    </w:pPr>
    <w:rPr>
      <w:b/>
      <w:bCs/>
      <w:noProof/>
    </w:rPr>
  </w:style>
  <w:style w:type="paragraph" w:styleId="TOC6">
    <w:name w:val="toc 6"/>
    <w:basedOn w:val="Normal"/>
    <w:next w:val="Normal"/>
    <w:autoRedefine/>
    <w:uiPriority w:val="39"/>
    <w:unhideWhenUsed/>
    <w:rsid w:val="00D90AFE"/>
    <w:pPr>
      <w:widowControl/>
      <w:tabs>
        <w:tab w:val="right" w:leader="dot" w:pos="7360"/>
      </w:tabs>
      <w:spacing w:line="192" w:lineRule="auto"/>
      <w:ind w:left="1100" w:firstLine="0"/>
      <w:jc w:val="left"/>
      <w:outlineLvl w:val="9"/>
    </w:pPr>
    <w:rPr>
      <w:rFonts w:ascii="Calibri" w:eastAsia="Times New Roman" w:hAnsi="Calibri"/>
      <w:noProof/>
      <w:sz w:val="22"/>
      <w:szCs w:val="26"/>
    </w:rPr>
  </w:style>
  <w:style w:type="paragraph" w:styleId="TOC7">
    <w:name w:val="toc 7"/>
    <w:basedOn w:val="Normal"/>
    <w:next w:val="Normal"/>
    <w:autoRedefine/>
    <w:uiPriority w:val="39"/>
    <w:unhideWhenUsed/>
    <w:rsid w:val="00212F15"/>
    <w:pPr>
      <w:widowControl/>
      <w:bidi w:val="0"/>
      <w:spacing w:after="100" w:line="276" w:lineRule="auto"/>
      <w:ind w:left="1320" w:firstLine="0"/>
      <w:jc w:val="left"/>
      <w:outlineLvl w:val="9"/>
    </w:pPr>
    <w:rPr>
      <w:rFonts w:ascii="Calibri" w:eastAsia="Times New Roman" w:hAnsi="Calibri" w:cs="Arial"/>
      <w:sz w:val="22"/>
      <w:szCs w:val="22"/>
    </w:rPr>
  </w:style>
  <w:style w:type="paragraph" w:styleId="TOC8">
    <w:name w:val="toc 8"/>
    <w:basedOn w:val="Normal"/>
    <w:next w:val="Normal"/>
    <w:autoRedefine/>
    <w:uiPriority w:val="39"/>
    <w:unhideWhenUsed/>
    <w:rsid w:val="00212F15"/>
    <w:pPr>
      <w:widowControl/>
      <w:bidi w:val="0"/>
      <w:spacing w:after="100" w:line="276" w:lineRule="auto"/>
      <w:ind w:left="1540" w:firstLine="0"/>
      <w:jc w:val="left"/>
      <w:outlineLvl w:val="9"/>
    </w:pPr>
    <w:rPr>
      <w:rFonts w:ascii="Calibri" w:eastAsia="Times New Roman" w:hAnsi="Calibri" w:cs="Arial"/>
      <w:sz w:val="22"/>
      <w:szCs w:val="22"/>
    </w:rPr>
  </w:style>
  <w:style w:type="paragraph" w:styleId="TOC9">
    <w:name w:val="toc 9"/>
    <w:basedOn w:val="Normal"/>
    <w:next w:val="Normal"/>
    <w:autoRedefine/>
    <w:uiPriority w:val="39"/>
    <w:unhideWhenUsed/>
    <w:rsid w:val="00212F15"/>
    <w:pPr>
      <w:widowControl/>
      <w:bidi w:val="0"/>
      <w:spacing w:after="100" w:line="276" w:lineRule="auto"/>
      <w:ind w:left="1760" w:firstLine="0"/>
      <w:jc w:val="left"/>
      <w:outlineLvl w:val="9"/>
    </w:pPr>
    <w:rPr>
      <w:rFonts w:ascii="Calibri" w:eastAsia="Times New Roman" w:hAnsi="Calibri" w:cs="Arial"/>
      <w:sz w:val="22"/>
      <w:szCs w:val="22"/>
    </w:rPr>
  </w:style>
  <w:style w:type="character" w:customStyle="1" w:styleId="affe">
    <w:name w:val="الآيات القرآنية"/>
    <w:uiPriority w:val="1"/>
    <w:qFormat/>
    <w:rsid w:val="007103AF"/>
    <w:rPr>
      <w:rFonts w:cs="md_ameli"/>
      <w:bCs/>
      <w:szCs w:val="28"/>
    </w:rPr>
  </w:style>
  <w:style w:type="character" w:customStyle="1" w:styleId="Char5">
    <w:name w:val="متن الهامش Char"/>
    <w:link w:val="af3"/>
    <w:rsid w:val="00DC6B13"/>
    <w:rPr>
      <w:sz w:val="20"/>
      <w:szCs w:val="26"/>
    </w:rPr>
  </w:style>
  <w:style w:type="paragraph" w:customStyle="1" w:styleId="afff">
    <w:name w:val="اسم الدرس ـ فوق الفهرس"/>
    <w:basedOn w:val="Normal"/>
    <w:qFormat/>
    <w:rsid w:val="00DC6B13"/>
    <w:pPr>
      <w:spacing w:line="240" w:lineRule="auto"/>
      <w:ind w:firstLine="0"/>
      <w:jc w:val="center"/>
      <w:outlineLvl w:val="9"/>
    </w:pPr>
    <w:rPr>
      <w:rFonts w:cs="Al-Ghadeer Bold"/>
      <w:b/>
      <w:szCs w:val="56"/>
    </w:rPr>
  </w:style>
  <w:style w:type="paragraph" w:customStyle="1" w:styleId="afff0">
    <w:name w:val="رقم الدرس ـ فوق الفهرس"/>
    <w:basedOn w:val="Normal"/>
    <w:qFormat/>
    <w:rsid w:val="00E50001"/>
    <w:pPr>
      <w:ind w:firstLine="0"/>
      <w:jc w:val="center"/>
      <w:outlineLvl w:val="9"/>
    </w:pPr>
    <w:rPr>
      <w:b/>
      <w:bCs/>
      <w:sz w:val="28"/>
      <w:szCs w:val="32"/>
    </w:rPr>
  </w:style>
  <w:style w:type="paragraph" w:customStyle="1" w:styleId="afff1">
    <w:name w:val="موضوع الدرس ـ فوق الفهرس"/>
    <w:basedOn w:val="Normal"/>
    <w:qFormat/>
    <w:rsid w:val="00E50001"/>
    <w:pPr>
      <w:ind w:firstLine="0"/>
      <w:jc w:val="center"/>
      <w:outlineLvl w:val="9"/>
    </w:pPr>
    <w:rPr>
      <w:b/>
      <w:bCs/>
      <w:sz w:val="32"/>
      <w:szCs w:val="36"/>
    </w:rPr>
  </w:style>
  <w:style w:type="paragraph" w:customStyle="1" w:styleId="afff2">
    <w:name w:val="الملاحق ـ المتن"/>
    <w:basedOn w:val="Heading1"/>
    <w:qFormat/>
    <w:rsid w:val="00E50001"/>
    <w:pPr>
      <w:spacing w:line="216" w:lineRule="auto"/>
      <w:jc w:val="both"/>
    </w:pPr>
    <w:rPr>
      <w:rFonts w:cs="Mosawi"/>
      <w:sz w:val="24"/>
      <w:szCs w:val="28"/>
    </w:rPr>
  </w:style>
  <w:style w:type="character" w:customStyle="1" w:styleId="afff3">
    <w:name w:val="الجواب"/>
    <w:qFormat/>
    <w:rsid w:val="00E50001"/>
    <w:rPr>
      <w:rFonts w:ascii="Times New Roman" w:hAnsi="Times New Roman" w:cs="Mosawi"/>
      <w:dstrike w:val="0"/>
      <w:color w:val="FF0000"/>
      <w:sz w:val="24"/>
      <w:szCs w:val="28"/>
      <w:vertAlign w:val="baseline"/>
    </w:rPr>
  </w:style>
  <w:style w:type="paragraph" w:customStyle="1" w:styleId="afff4">
    <w:name w:val="أجوبة الأسئلة النهائية"/>
    <w:basedOn w:val="Normal"/>
    <w:qFormat/>
    <w:rsid w:val="00E50001"/>
    <w:pPr>
      <w:ind w:left="567" w:firstLine="0"/>
      <w:outlineLvl w:val="9"/>
    </w:pPr>
    <w:rPr>
      <w:color w:val="FF0000"/>
    </w:rPr>
  </w:style>
  <w:style w:type="paragraph" w:customStyle="1" w:styleId="16">
    <w:name w:val="المتن مع فاصلة 1 سم"/>
    <w:basedOn w:val="Normal"/>
    <w:qFormat/>
    <w:rsid w:val="00E50001"/>
    <w:pPr>
      <w:ind w:left="624" w:firstLine="0"/>
      <w:outlineLvl w:val="9"/>
    </w:pPr>
  </w:style>
  <w:style w:type="character" w:customStyle="1" w:styleId="afff5">
    <w:name w:val="اسم الكتاب ـ المتن"/>
    <w:qFormat/>
    <w:rsid w:val="00E50001"/>
    <w:rPr>
      <w:rFonts w:ascii="Times New Roman" w:hAnsi="Times New Roman" w:cs="Mosawi"/>
      <w:i/>
      <w:iCs/>
      <w:sz w:val="24"/>
      <w:szCs w:val="28"/>
    </w:rPr>
  </w:style>
  <w:style w:type="character" w:customStyle="1" w:styleId="afff6">
    <w:name w:val="اسم الكتاب ـ الهامش"/>
    <w:qFormat/>
    <w:rsid w:val="00E50001"/>
    <w:rPr>
      <w:rFonts w:ascii="Times New Roman" w:hAnsi="Times New Roman" w:cs="Mosawi"/>
      <w:i/>
      <w:iCs/>
      <w:sz w:val="20"/>
      <w:szCs w:val="24"/>
    </w:rPr>
  </w:style>
  <w:style w:type="character" w:customStyle="1" w:styleId="afff7">
    <w:name w:val="أقوال المعصومين"/>
    <w:qFormat/>
    <w:rsid w:val="00E50001"/>
    <w:rPr>
      <w:rFonts w:ascii="Times New Roman" w:hAnsi="Times New Roman" w:cs="Mosawi"/>
      <w:b/>
      <w:bCs/>
      <w:sz w:val="24"/>
      <w:szCs w:val="28"/>
    </w:rPr>
  </w:style>
  <w:style w:type="paragraph" w:customStyle="1" w:styleId="afff8">
    <w:name w:val="الترقيم الحرفي"/>
    <w:basedOn w:val="Normal"/>
    <w:qFormat/>
    <w:rsid w:val="00E50001"/>
    <w:pPr>
      <w:ind w:left="624" w:hanging="340"/>
      <w:outlineLvl w:val="9"/>
    </w:pPr>
  </w:style>
  <w:style w:type="paragraph" w:customStyle="1" w:styleId="afff9">
    <w:name w:val="الترقيم الحرفي الضمني"/>
    <w:basedOn w:val="Normal"/>
    <w:qFormat/>
    <w:rsid w:val="00E50001"/>
    <w:pPr>
      <w:ind w:left="851" w:hanging="284"/>
      <w:outlineLvl w:val="9"/>
    </w:pPr>
  </w:style>
  <w:style w:type="paragraph" w:customStyle="1" w:styleId="a1">
    <w:name w:val="الترقيم العددي"/>
    <w:basedOn w:val="Normal"/>
    <w:qFormat/>
    <w:rsid w:val="00852F00"/>
    <w:pPr>
      <w:numPr>
        <w:numId w:val="22"/>
      </w:numPr>
      <w:ind w:left="681" w:hanging="397"/>
      <w:outlineLvl w:val="9"/>
    </w:pPr>
  </w:style>
  <w:style w:type="paragraph" w:customStyle="1" w:styleId="afffa">
    <w:name w:val="الترقيم العددي الضمني"/>
    <w:basedOn w:val="Normal"/>
    <w:qFormat/>
    <w:rsid w:val="00E50001"/>
    <w:pPr>
      <w:ind w:left="851" w:hanging="284"/>
      <w:outlineLvl w:val="9"/>
    </w:pPr>
  </w:style>
  <w:style w:type="paragraph" w:customStyle="1" w:styleId="afffb">
    <w:name w:val="الترقيم (علامة دائرة)"/>
    <w:basedOn w:val="Normal"/>
    <w:qFormat/>
    <w:rsid w:val="00E50001"/>
    <w:pPr>
      <w:ind w:left="624" w:hanging="340"/>
      <w:outlineLvl w:val="9"/>
    </w:pPr>
  </w:style>
  <w:style w:type="paragraph" w:customStyle="1" w:styleId="afffc">
    <w:name w:val="الترقيم (علامة دائرة) الضمني"/>
    <w:basedOn w:val="Normal"/>
    <w:qFormat/>
    <w:rsid w:val="00E50001"/>
    <w:pPr>
      <w:ind w:left="851" w:hanging="284"/>
      <w:outlineLvl w:val="9"/>
    </w:pPr>
  </w:style>
  <w:style w:type="paragraph" w:customStyle="1" w:styleId="afffd">
    <w:name w:val="الترقيم (علامة صح)"/>
    <w:basedOn w:val="Normal"/>
    <w:qFormat/>
    <w:rsid w:val="00E50001"/>
    <w:pPr>
      <w:ind w:left="624" w:hanging="340"/>
      <w:outlineLvl w:val="9"/>
    </w:pPr>
  </w:style>
  <w:style w:type="paragraph" w:customStyle="1" w:styleId="afffe">
    <w:name w:val="الترقيم (علامة صح) الضمني"/>
    <w:basedOn w:val="Normal"/>
    <w:qFormat/>
    <w:rsid w:val="00E50001"/>
    <w:pPr>
      <w:ind w:left="851" w:hanging="284"/>
      <w:outlineLvl w:val="9"/>
    </w:pPr>
  </w:style>
  <w:style w:type="paragraph" w:customStyle="1" w:styleId="affff">
    <w:name w:val="بسم الله"/>
    <w:basedOn w:val="Normal"/>
    <w:qFormat/>
    <w:rsid w:val="00E50001"/>
    <w:pPr>
      <w:ind w:firstLine="0"/>
      <w:jc w:val="center"/>
      <w:outlineLvl w:val="9"/>
    </w:pPr>
  </w:style>
  <w:style w:type="paragraph" w:customStyle="1" w:styleId="affff0">
    <w:name w:val="شعر"/>
    <w:basedOn w:val="Normal"/>
    <w:qFormat/>
    <w:rsid w:val="00E50001"/>
    <w:pPr>
      <w:ind w:firstLine="0"/>
      <w:jc w:val="center"/>
      <w:outlineLvl w:val="9"/>
    </w:pPr>
  </w:style>
  <w:style w:type="paragraph" w:customStyle="1" w:styleId="30">
    <w:name w:val="العنوان (3) ـ المطالعة"/>
    <w:basedOn w:val="ac"/>
    <w:qFormat/>
    <w:rsid w:val="00E50001"/>
    <w:pPr>
      <w:spacing w:line="240" w:lineRule="auto"/>
    </w:pPr>
    <w:rPr>
      <w:b/>
      <w:bCs/>
      <w:szCs w:val="28"/>
    </w:rPr>
  </w:style>
  <w:style w:type="paragraph" w:customStyle="1" w:styleId="40">
    <w:name w:val="العنوان (4) ـ المطالعة"/>
    <w:basedOn w:val="ac"/>
    <w:qFormat/>
    <w:rsid w:val="00E50001"/>
    <w:pPr>
      <w:spacing w:line="240" w:lineRule="auto"/>
    </w:pPr>
    <w:rPr>
      <w:b/>
      <w:bCs/>
      <w:szCs w:val="28"/>
    </w:rPr>
  </w:style>
  <w:style w:type="character" w:customStyle="1" w:styleId="50">
    <w:name w:val="العنوان (5) ـ المطالعة"/>
    <w:uiPriority w:val="1"/>
    <w:qFormat/>
    <w:rsid w:val="00E50001"/>
    <w:rPr>
      <w:rFonts w:ascii="Times New Roman" w:hAnsi="Times New Roman" w:cs="Mosawi"/>
      <w:b/>
      <w:bCs/>
      <w:sz w:val="24"/>
      <w:szCs w:val="28"/>
    </w:rPr>
  </w:style>
  <w:style w:type="paragraph" w:customStyle="1" w:styleId="31">
    <w:name w:val="عنوان3"/>
    <w:basedOn w:val="Heading3"/>
    <w:rsid w:val="00097788"/>
    <w:pPr>
      <w:bidi w:val="0"/>
      <w:spacing w:before="0" w:after="0" w:line="370" w:lineRule="exact"/>
      <w:ind w:firstLine="0"/>
      <w:jc w:val="right"/>
    </w:pPr>
    <w:rPr>
      <w:rFonts w:ascii="Times New Roman" w:hAnsi="Times New Roman" w:cs="Simplified Arabic"/>
      <w:b w:val="0"/>
      <w:szCs w:val="28"/>
    </w:rPr>
  </w:style>
  <w:style w:type="character" w:styleId="Emphasis">
    <w:name w:val="Emphasis"/>
    <w:qFormat/>
    <w:rsid w:val="00F93F3B"/>
    <w:rPr>
      <w:b/>
      <w:bCs/>
      <w:i w:val="0"/>
      <w:iCs w:val="0"/>
    </w:rPr>
  </w:style>
  <w:style w:type="paragraph" w:styleId="Revision">
    <w:name w:val="Revision"/>
    <w:hidden/>
    <w:uiPriority w:val="99"/>
    <w:semiHidden/>
    <w:rsid w:val="00F93F3B"/>
    <w:rPr>
      <w:sz w:val="24"/>
      <w:szCs w:val="28"/>
    </w:rPr>
  </w:style>
  <w:style w:type="paragraph" w:customStyle="1" w:styleId="affff1">
    <w:name w:val="متن الهاش"/>
    <w:basedOn w:val="af0"/>
    <w:qFormat/>
    <w:rsid w:val="003750DB"/>
    <w:pPr>
      <w:spacing w:line="192" w:lineRule="auto"/>
      <w:ind w:left="170" w:hanging="170"/>
      <w:jc w:val="both"/>
    </w:pPr>
    <w:rPr>
      <w:rFonts w:ascii="Arial" w:hAnsi="Arial" w:cs="Mosawi"/>
      <w:szCs w:val="26"/>
    </w:rPr>
  </w:style>
  <w:style w:type="paragraph" w:customStyle="1" w:styleId="affff2">
    <w:name w:val="بسم الله الرحمن الرحيم"/>
    <w:basedOn w:val="Normal"/>
    <w:rsid w:val="00197251"/>
    <w:pPr>
      <w:widowControl/>
      <w:spacing w:line="240" w:lineRule="auto"/>
      <w:ind w:firstLine="0"/>
      <w:jc w:val="center"/>
      <w:outlineLvl w:val="9"/>
    </w:pPr>
    <w:rPr>
      <w:rFonts w:ascii="Traditional Arabic" w:hAnsi="Traditional Arabic" w:cs="Traditional Arabic"/>
      <w:bCs/>
      <w:sz w:val="20"/>
      <w:szCs w:val="30"/>
    </w:rPr>
  </w:style>
  <w:style w:type="paragraph" w:customStyle="1" w:styleId="affff3">
    <w:name w:val="كلمة المجلة"/>
    <w:basedOn w:val="Normal"/>
    <w:rsid w:val="00D4182C"/>
    <w:pPr>
      <w:spacing w:line="460" w:lineRule="exact"/>
      <w:ind w:firstLine="0"/>
      <w:jc w:val="center"/>
    </w:pPr>
    <w:rPr>
      <w:rFonts w:cs="Abz-3 (Yagut)"/>
      <w:bCs/>
      <w:sz w:val="28"/>
      <w:szCs w:val="36"/>
      <w:lang w:eastAsia="ar-SA"/>
    </w:rPr>
  </w:style>
  <w:style w:type="paragraph" w:customStyle="1" w:styleId="102010">
    <w:name w:val="نمط نمط نمط نمط نمط عنوان 1 + قبل:  0 نقطة تباعد الأسطر:  تام 20 ...1"/>
    <w:basedOn w:val="Normal"/>
    <w:link w:val="10201Char0"/>
    <w:rsid w:val="00F34968"/>
    <w:pPr>
      <w:spacing w:line="418" w:lineRule="exact"/>
      <w:ind w:firstLine="0"/>
      <w:jc w:val="left"/>
    </w:pPr>
    <w:rPr>
      <w:rFonts w:cs="Times New Roman"/>
      <w:bCs/>
      <w:color w:val="000000"/>
      <w:sz w:val="26"/>
      <w:szCs w:val="26"/>
    </w:rPr>
  </w:style>
  <w:style w:type="character" w:customStyle="1" w:styleId="10201Char0">
    <w:name w:val="نمط نمط نمط نمط نمط عنوان 1 + قبل:  0 نقطة تباعد الأسطر:  تام 20 ...1 Char"/>
    <w:link w:val="102010"/>
    <w:rsid w:val="00F34968"/>
    <w:rPr>
      <w:rFonts w:cs="Abz-3 (Yagut)"/>
      <w:bCs/>
      <w:color w:val="000000"/>
      <w:sz w:val="26"/>
      <w:szCs w:val="26"/>
    </w:rPr>
  </w:style>
  <w:style w:type="paragraph" w:customStyle="1" w:styleId="StyleStyleComplexSimplifiedArabic14ptFirstline05cm">
    <w:name w:val="Style Style (Complex) Simplified Arabic 14 pt First line:  0.5 cm +"/>
    <w:basedOn w:val="StyleComplexSimplifiedArabic14ptFirstline05cm"/>
    <w:rsid w:val="000E3E09"/>
    <w:pPr>
      <w:widowControl w:val="0"/>
      <w:spacing w:line="400" w:lineRule="exact"/>
      <w:ind w:firstLine="510"/>
    </w:pPr>
    <w:rPr>
      <w:rFonts w:cs="AL-Mohanad"/>
      <w:noProof/>
      <w:spacing w:val="-4"/>
      <w:lang w:eastAsia="ar-SA"/>
    </w:rPr>
  </w:style>
  <w:style w:type="paragraph" w:customStyle="1" w:styleId="StyleHeading1Before5pt">
    <w:name w:val="Style Heading 1 + Before:  5 pt"/>
    <w:basedOn w:val="Heading1"/>
    <w:rsid w:val="000E3E09"/>
    <w:pPr>
      <w:keepNext w:val="0"/>
      <w:jc w:val="lowKashida"/>
    </w:pPr>
    <w:rPr>
      <w:b w:val="0"/>
      <w:spacing w:val="-4"/>
      <w:kern w:val="0"/>
      <w:sz w:val="20"/>
      <w:szCs w:val="26"/>
    </w:rPr>
  </w:style>
  <w:style w:type="paragraph" w:customStyle="1" w:styleId="StyleStyleStyleComplexSimplifiedArabic14ptFirstline0">
    <w:name w:val="Style Style Style (Complex) Simplified Arabic 14 pt First line:  0...."/>
    <w:basedOn w:val="StyleStyleComplexSimplifiedArabic14ptFirstline05cm"/>
    <w:rsid w:val="000E3E09"/>
    <w:pPr>
      <w:ind w:firstLine="0"/>
    </w:pPr>
  </w:style>
  <w:style w:type="paragraph" w:customStyle="1" w:styleId="Heading30">
    <w:name w:val="نمط Heading 3 + إلى اليسار"/>
    <w:basedOn w:val="Heading3"/>
    <w:rsid w:val="000E3E09"/>
    <w:pPr>
      <w:bidi w:val="0"/>
      <w:spacing w:before="0" w:after="0" w:line="240" w:lineRule="auto"/>
      <w:ind w:firstLine="567"/>
      <w:jc w:val="right"/>
    </w:pPr>
    <w:rPr>
      <w:rFonts w:ascii="Times New Roman" w:hAnsi="Times New Roman" w:cs="Arial"/>
      <w:b w:val="0"/>
      <w:sz w:val="28"/>
      <w:szCs w:val="27"/>
    </w:rPr>
  </w:style>
  <w:style w:type="paragraph" w:customStyle="1" w:styleId="Heading31">
    <w:name w:val="نمط نمط Heading 3 + إلى اليسار + إلى اليسار"/>
    <w:basedOn w:val="Heading30"/>
    <w:rsid w:val="000E3E09"/>
  </w:style>
  <w:style w:type="paragraph" w:customStyle="1" w:styleId="Heading32">
    <w:name w:val="نمط نمط نمط Heading 3 + إلى اليسار + إلى اليسار +"/>
    <w:basedOn w:val="Heading31"/>
    <w:rsid w:val="000E3E09"/>
  </w:style>
  <w:style w:type="paragraph" w:customStyle="1" w:styleId="Heading11314">
    <w:name w:val="نمط Heading 1 + (لاتيني) ‏13 نقطة (العربية وغيرها) ‏14 نقطة متو..."/>
    <w:basedOn w:val="Heading1"/>
    <w:rsid w:val="000E3E09"/>
    <w:pPr>
      <w:keepNext w:val="0"/>
      <w:bidi w:val="0"/>
      <w:jc w:val="lowKashida"/>
    </w:pPr>
    <w:rPr>
      <w:rFonts w:cs="Simplified Arabic"/>
      <w:b w:val="0"/>
      <w:bCs w:val="0"/>
      <w:kern w:val="0"/>
      <w:sz w:val="26"/>
      <w:szCs w:val="28"/>
    </w:rPr>
  </w:style>
  <w:style w:type="paragraph" w:customStyle="1" w:styleId="StyleComplexSimplifiedArabic14ptJustifyLowFirstline">
    <w:name w:val="Style (Complex) Simplified Arabic 14 pt Justify Low First line: ..."/>
    <w:basedOn w:val="Normal"/>
    <w:rsid w:val="000E3E09"/>
    <w:pPr>
      <w:spacing w:line="400" w:lineRule="exact"/>
      <w:ind w:firstLine="510"/>
      <w:jc w:val="lowKashida"/>
      <w:outlineLvl w:val="9"/>
    </w:pPr>
    <w:rPr>
      <w:rFonts w:cs="AL-Mohanad"/>
      <w:spacing w:val="-4"/>
      <w:sz w:val="20"/>
      <w:szCs w:val="27"/>
    </w:rPr>
  </w:style>
  <w:style w:type="paragraph" w:customStyle="1" w:styleId="17">
    <w:name w:val="نمط1"/>
    <w:basedOn w:val="10202"/>
    <w:link w:val="1Char1"/>
    <w:rsid w:val="000E3E09"/>
    <w:pPr>
      <w:widowControl w:val="0"/>
    </w:pPr>
    <w:rPr>
      <w:rFonts w:ascii="DanaFajr" w:hAnsi="DanaFajr"/>
      <w:color w:val="auto"/>
      <w:kern w:val="0"/>
      <w:szCs w:val="16"/>
      <w:lang w:eastAsia="ar-SA"/>
    </w:rPr>
  </w:style>
  <w:style w:type="character" w:customStyle="1" w:styleId="1Char1">
    <w:name w:val="نمط1 Char"/>
    <w:link w:val="17"/>
    <w:semiHidden/>
    <w:rsid w:val="000E3E09"/>
    <w:rPr>
      <w:rFonts w:ascii="DanaFajr" w:hAnsi="DanaFajr" w:cs="Arial"/>
      <w:b/>
      <w:sz w:val="22"/>
      <w:szCs w:val="16"/>
      <w:lang w:eastAsia="ar-SA"/>
    </w:rPr>
  </w:style>
  <w:style w:type="paragraph" w:customStyle="1" w:styleId="StyleComplexSimplifiedArabic14ptJustifiedFirstline0">
    <w:name w:val="Style (Complex) Simplified Arabic 14 pt Justified First line:  0..."/>
    <w:basedOn w:val="Normal"/>
    <w:rsid w:val="000E3E09"/>
    <w:pPr>
      <w:spacing w:line="400" w:lineRule="exact"/>
      <w:ind w:firstLine="510"/>
      <w:jc w:val="lowKashida"/>
      <w:outlineLvl w:val="9"/>
    </w:pPr>
    <w:rPr>
      <w:rFonts w:cs="AL-Mohanad"/>
      <w:noProof/>
      <w:spacing w:val="-4"/>
      <w:sz w:val="20"/>
      <w:szCs w:val="27"/>
      <w:lang w:eastAsia="ar-SA"/>
    </w:rPr>
  </w:style>
  <w:style w:type="character" w:styleId="LineNumber">
    <w:name w:val="line number"/>
    <w:basedOn w:val="DefaultParagraphFont"/>
    <w:rsid w:val="000E3E09"/>
  </w:style>
  <w:style w:type="paragraph" w:styleId="Index1">
    <w:name w:val="index 1"/>
    <w:basedOn w:val="Normal"/>
    <w:next w:val="Normal"/>
    <w:autoRedefine/>
    <w:rsid w:val="000E3E09"/>
    <w:pPr>
      <w:spacing w:line="400" w:lineRule="exact"/>
      <w:ind w:left="200" w:hanging="200"/>
      <w:jc w:val="lowKashida"/>
      <w:outlineLvl w:val="9"/>
    </w:pPr>
    <w:rPr>
      <w:rFonts w:cs="AL-Mohanad"/>
      <w:noProof/>
      <w:spacing w:val="-4"/>
      <w:sz w:val="20"/>
      <w:szCs w:val="27"/>
      <w:lang w:eastAsia="ar-SA"/>
    </w:rPr>
  </w:style>
  <w:style w:type="paragraph" w:customStyle="1" w:styleId="611950">
    <w:name w:val="نمط نمط عنوان 6 + السطر الأول:  1 سم تباعد الأسطر:  تام 19.5 نقطة..."/>
    <w:basedOn w:val="61195"/>
    <w:rsid w:val="000E3E09"/>
  </w:style>
  <w:style w:type="paragraph" w:customStyle="1" w:styleId="StyleComplexSimplifiedArabic14ptJustifiedFirs">
    <w:name w:val="نمط Style اصلى + (Complex) Simplified Arabic 14 pt Justified Firs..."/>
    <w:basedOn w:val="StyleComplexSimplifiedArabic14ptJustifiedFirstl"/>
    <w:rsid w:val="000E3E09"/>
    <w:pPr>
      <w:spacing w:before="0" w:line="390" w:lineRule="exact"/>
      <w:ind w:firstLine="567"/>
    </w:pPr>
    <w:rPr>
      <w:szCs w:val="20"/>
    </w:rPr>
  </w:style>
  <w:style w:type="paragraph" w:customStyle="1" w:styleId="H2">
    <w:name w:val="H2"/>
    <w:rsid w:val="000E3E09"/>
    <w:pPr>
      <w:bidi/>
    </w:pPr>
    <w:rPr>
      <w:rFonts w:cs="Wasit5 Normal"/>
      <w:sz w:val="36"/>
      <w:szCs w:val="56"/>
    </w:rPr>
  </w:style>
  <w:style w:type="paragraph" w:customStyle="1" w:styleId="H2DanaFajr1">
    <w:name w:val="نمط نمط نمط نمط H2 + (العربية وغيرها) DanaFajr + السطر الأول:  1 ..."/>
    <w:basedOn w:val="Normal"/>
    <w:rsid w:val="000E3E09"/>
    <w:pPr>
      <w:widowControl/>
      <w:bidi w:val="0"/>
      <w:spacing w:line="420" w:lineRule="exact"/>
      <w:ind w:firstLine="567"/>
      <w:jc w:val="left"/>
      <w:outlineLvl w:val="9"/>
    </w:pPr>
    <w:rPr>
      <w:rFonts w:cs="Simplified Arabic"/>
      <w:bCs/>
      <w:sz w:val="36"/>
      <w:szCs w:val="27"/>
    </w:rPr>
  </w:style>
  <w:style w:type="paragraph" w:customStyle="1" w:styleId="Heading3121">
    <w:name w:val="نمط نمط Heading 3 + السطر الأول:  1 سم تباعد الأسطر:  تام 21 نقطة +"/>
    <w:basedOn w:val="Normal"/>
    <w:rsid w:val="000E3E09"/>
    <w:pPr>
      <w:keepNext/>
      <w:bidi w:val="0"/>
      <w:spacing w:line="420" w:lineRule="exact"/>
      <w:ind w:firstLine="567"/>
      <w:jc w:val="left"/>
      <w:outlineLvl w:val="2"/>
    </w:pPr>
    <w:rPr>
      <w:rFonts w:cs="Simplified Arabic"/>
      <w:bCs/>
      <w:sz w:val="28"/>
      <w:szCs w:val="27"/>
    </w:rPr>
  </w:style>
  <w:style w:type="character" w:customStyle="1" w:styleId="CharChar1">
    <w:name w:val="Char Char"/>
    <w:rsid w:val="000E3E09"/>
    <w:rPr>
      <w:rFonts w:cs="Simplified Arabic"/>
      <w:bCs/>
      <w:sz w:val="28"/>
      <w:szCs w:val="28"/>
      <w:lang w:val="en-US" w:eastAsia="en-US" w:bidi="ar-SA"/>
    </w:rPr>
  </w:style>
  <w:style w:type="paragraph" w:customStyle="1" w:styleId="affff4">
    <w:name w:val="ÇÕáì"/>
    <w:rsid w:val="000E3E09"/>
    <w:pPr>
      <w:widowControl w:val="0"/>
      <w:bidi/>
      <w:spacing w:line="398" w:lineRule="auto"/>
      <w:jc w:val="lowKashida"/>
    </w:pPr>
    <w:rPr>
      <w:rFonts w:cs="Times New Roman"/>
      <w:bCs/>
      <w:snapToGrid w:val="0"/>
      <w:sz w:val="24"/>
      <w:szCs w:val="32"/>
      <w:lang w:eastAsia="ar-SA"/>
    </w:rPr>
  </w:style>
  <w:style w:type="paragraph" w:customStyle="1" w:styleId="affff5">
    <w:name w:val="فصل"/>
    <w:rsid w:val="000E3E09"/>
    <w:pPr>
      <w:autoSpaceDE w:val="0"/>
      <w:autoSpaceDN w:val="0"/>
      <w:bidi/>
      <w:spacing w:line="567" w:lineRule="atLeast"/>
      <w:jc w:val="both"/>
    </w:pPr>
    <w:rPr>
      <w:rFonts w:cs="Times New Roman"/>
      <w:bCs/>
      <w:sz w:val="24"/>
      <w:szCs w:val="28"/>
      <w:lang w:eastAsia="ar-SA"/>
    </w:rPr>
  </w:style>
  <w:style w:type="paragraph" w:customStyle="1" w:styleId="23">
    <w:name w:val="تيتر2"/>
    <w:rsid w:val="000E3E09"/>
    <w:pPr>
      <w:autoSpaceDE w:val="0"/>
      <w:autoSpaceDN w:val="0"/>
      <w:bidi/>
      <w:spacing w:line="567" w:lineRule="atLeast"/>
      <w:ind w:right="-284" w:firstLine="342"/>
      <w:jc w:val="both"/>
    </w:pPr>
    <w:rPr>
      <w:rFonts w:cs="Times New Roman"/>
      <w:b/>
      <w:bCs/>
      <w:sz w:val="24"/>
      <w:szCs w:val="28"/>
      <w:lang w:eastAsia="ar-SA"/>
    </w:rPr>
  </w:style>
  <w:style w:type="paragraph" w:customStyle="1" w:styleId="affff6">
    <w:name w:val="الأصـلـى"/>
    <w:rsid w:val="000E3E09"/>
    <w:pPr>
      <w:autoSpaceDE w:val="0"/>
      <w:autoSpaceDN w:val="0"/>
      <w:bidi/>
      <w:spacing w:line="467" w:lineRule="atLeast"/>
      <w:ind w:firstLine="481"/>
      <w:jc w:val="both"/>
    </w:pPr>
    <w:rPr>
      <w:rFonts w:cs="Times New Roman"/>
      <w:sz w:val="24"/>
      <w:szCs w:val="24"/>
      <w:lang w:eastAsia="ar-SA"/>
    </w:rPr>
  </w:style>
  <w:style w:type="paragraph" w:customStyle="1" w:styleId="4000">
    <w:name w:val="نمط نمط عنوان 4 + السطر الأول:  0 سم قبل:  0 نقطة تباعد الأسطر:  ..."/>
    <w:basedOn w:val="400"/>
    <w:rsid w:val="000E3E09"/>
    <w:pPr>
      <w:spacing w:line="600" w:lineRule="exact"/>
    </w:pPr>
    <w:rPr>
      <w:sz w:val="26"/>
      <w:szCs w:val="48"/>
    </w:rPr>
  </w:style>
  <w:style w:type="paragraph" w:customStyle="1" w:styleId="713">
    <w:name w:val="نمط عنوان 7 + (لاتيني) ‏13 نقطة أبيض"/>
    <w:basedOn w:val="Heading7"/>
    <w:rsid w:val="000E3E09"/>
    <w:pPr>
      <w:keepLines w:val="0"/>
      <w:spacing w:before="0" w:line="240" w:lineRule="auto"/>
      <w:ind w:firstLine="567"/>
      <w:jc w:val="right"/>
    </w:pPr>
    <w:rPr>
      <w:rFonts w:ascii="Times New Roman" w:hAnsi="Times New Roman" w:cs="Simplified Arabic"/>
      <w:i w:val="0"/>
      <w:iCs w:val="0"/>
      <w:color w:val="FFFFFF"/>
      <w:sz w:val="26"/>
      <w:szCs w:val="2"/>
    </w:rPr>
  </w:style>
  <w:style w:type="paragraph" w:customStyle="1" w:styleId="3Abz-3Yagut1">
    <w:name w:val="نمط عنوان 3 + (العربية وغيرها) Abz-3 (Yagut) (العربية وغيرها) ‏1..."/>
    <w:basedOn w:val="Heading3"/>
    <w:rsid w:val="000E3E09"/>
    <w:pPr>
      <w:spacing w:before="0" w:after="0" w:line="418" w:lineRule="exact"/>
      <w:ind w:firstLine="567"/>
      <w:jc w:val="left"/>
    </w:pPr>
    <w:rPr>
      <w:rFonts w:ascii="Times New Roman" w:hAnsi="Times New Roman" w:cs="Abz-3 (Yagut)"/>
      <w:sz w:val="24"/>
    </w:rPr>
  </w:style>
  <w:style w:type="paragraph" w:customStyle="1" w:styleId="7209">
    <w:name w:val="نمط عنوان 7 + تباعد الأسطر:  تام 20.9 نقطة"/>
    <w:basedOn w:val="Heading7"/>
    <w:rsid w:val="000E3E09"/>
    <w:pPr>
      <w:keepLines w:val="0"/>
      <w:spacing w:before="0" w:line="240" w:lineRule="auto"/>
      <w:ind w:firstLine="567"/>
      <w:jc w:val="right"/>
    </w:pPr>
    <w:rPr>
      <w:rFonts w:ascii="Times New Roman" w:hAnsi="Times New Roman" w:cs="Traditional Arabic"/>
      <w:i w:val="0"/>
      <w:iCs w:val="0"/>
      <w:color w:val="auto"/>
      <w:sz w:val="30"/>
      <w:szCs w:val="2"/>
    </w:rPr>
  </w:style>
  <w:style w:type="character" w:styleId="PlaceholderText">
    <w:name w:val="Placeholder Text"/>
    <w:semiHidden/>
    <w:rsid w:val="000E3E09"/>
    <w:rPr>
      <w:color w:val="808080"/>
    </w:rPr>
  </w:style>
  <w:style w:type="paragraph" w:customStyle="1" w:styleId="affff7">
    <w:name w:val="المتن"/>
    <w:basedOn w:val="StyleComplexSimplifiedArabic14ptJustifiedFirstl"/>
    <w:link w:val="Charf3"/>
    <w:rsid w:val="000E3E09"/>
    <w:pPr>
      <w:spacing w:before="0"/>
      <w:ind w:firstLine="567"/>
    </w:pPr>
    <w:rPr>
      <w:rFonts w:cs="AL-Mohanad"/>
      <w:sz w:val="26"/>
      <w:szCs w:val="27"/>
    </w:rPr>
  </w:style>
  <w:style w:type="character" w:customStyle="1" w:styleId="Charf3">
    <w:name w:val="المتن Char"/>
    <w:link w:val="affff7"/>
    <w:rsid w:val="000E3E09"/>
    <w:rPr>
      <w:rFonts w:cs="AL-Mohanad"/>
      <w:bCs/>
      <w:spacing w:val="-4"/>
      <w:sz w:val="26"/>
      <w:szCs w:val="27"/>
      <w:lang w:val="en-US" w:eastAsia="ar-SA" w:bidi="ar-SA"/>
    </w:rPr>
  </w:style>
  <w:style w:type="paragraph" w:styleId="ListParagraph">
    <w:name w:val="List Paragraph"/>
    <w:basedOn w:val="Normal"/>
    <w:qFormat/>
    <w:rsid w:val="000E3E09"/>
    <w:pPr>
      <w:spacing w:line="400" w:lineRule="exact"/>
      <w:ind w:left="720" w:firstLine="567"/>
      <w:contextualSpacing/>
      <w:jc w:val="lowKashida"/>
      <w:outlineLvl w:val="9"/>
    </w:pPr>
    <w:rPr>
      <w:rFonts w:ascii="Calibri" w:eastAsia="Calibri" w:hAnsi="Calibri" w:cs="AL-Mohanad"/>
      <w:sz w:val="22"/>
      <w:szCs w:val="27"/>
    </w:rPr>
  </w:style>
  <w:style w:type="paragraph" w:customStyle="1" w:styleId="32">
    <w:name w:val="جديد3"/>
    <w:semiHidden/>
    <w:rsid w:val="000E3E09"/>
    <w:pPr>
      <w:autoSpaceDE w:val="0"/>
      <w:autoSpaceDN w:val="0"/>
      <w:bidi/>
      <w:spacing w:line="399" w:lineRule="atLeast"/>
      <w:jc w:val="both"/>
    </w:pPr>
    <w:rPr>
      <w:rFonts w:cs="Times New Roman"/>
      <w:bCs/>
      <w:sz w:val="24"/>
      <w:szCs w:val="24"/>
    </w:rPr>
  </w:style>
  <w:style w:type="paragraph" w:customStyle="1" w:styleId="Arial13">
    <w:name w:val="نمط (العربية وغيرها) Arial (لاتيني) ‏13 نقطة (مركب) غامق مضبوط..."/>
    <w:basedOn w:val="Normal"/>
    <w:semiHidden/>
    <w:rsid w:val="000E3E09"/>
    <w:pPr>
      <w:spacing w:line="370" w:lineRule="exact"/>
      <w:ind w:firstLine="567"/>
      <w:outlineLvl w:val="9"/>
    </w:pPr>
    <w:rPr>
      <w:rFonts w:cs="Arial"/>
      <w:bCs/>
      <w:noProof/>
      <w:sz w:val="26"/>
      <w:szCs w:val="27"/>
      <w:lang w:eastAsia="ar-SA"/>
    </w:rPr>
  </w:style>
  <w:style w:type="paragraph" w:customStyle="1" w:styleId="affff8">
    <w:name w:val="م"/>
    <w:basedOn w:val="NormalIndent"/>
    <w:semiHidden/>
    <w:rsid w:val="000E3E09"/>
    <w:pPr>
      <w:bidi w:val="0"/>
    </w:pPr>
    <w:rPr>
      <w:rFonts w:cs="Arial"/>
      <w:szCs w:val="28"/>
      <w:lang w:eastAsia="en-US"/>
    </w:rPr>
  </w:style>
  <w:style w:type="paragraph" w:styleId="NormalIndent">
    <w:name w:val="Normal Indent"/>
    <w:basedOn w:val="Normal"/>
    <w:rsid w:val="000E3E09"/>
    <w:pPr>
      <w:widowControl/>
      <w:spacing w:line="240" w:lineRule="auto"/>
      <w:ind w:left="720" w:firstLine="567"/>
      <w:jc w:val="left"/>
      <w:outlineLvl w:val="9"/>
    </w:pPr>
    <w:rPr>
      <w:rFonts w:cs="Times New Roman"/>
      <w:szCs w:val="24"/>
      <w:lang w:eastAsia="ar-SA"/>
    </w:rPr>
  </w:style>
  <w:style w:type="paragraph" w:customStyle="1" w:styleId="affff9">
    <w:name w:val="مف"/>
    <w:basedOn w:val="FootnoteText"/>
    <w:semiHidden/>
    <w:rsid w:val="000E3E09"/>
    <w:pPr>
      <w:ind w:left="284" w:hanging="284"/>
      <w:jc w:val="both"/>
    </w:pPr>
    <w:rPr>
      <w:rFonts w:ascii="Arial" w:hAnsi="Arial" w:cs="Arial"/>
      <w:sz w:val="24"/>
      <w:szCs w:val="24"/>
    </w:rPr>
  </w:style>
  <w:style w:type="paragraph" w:customStyle="1" w:styleId="affffa">
    <w:name w:val="مم"/>
    <w:basedOn w:val="affff8"/>
    <w:semiHidden/>
    <w:rsid w:val="000E3E09"/>
    <w:pPr>
      <w:bidi/>
      <w:ind w:left="0"/>
      <w:jc w:val="both"/>
    </w:pPr>
    <w:rPr>
      <w:rFonts w:ascii="Arial" w:hAnsi="Arial"/>
      <w:szCs w:val="24"/>
    </w:rPr>
  </w:style>
  <w:style w:type="character" w:customStyle="1" w:styleId="4Char">
    <w:name w:val="عنوان 4 Char"/>
    <w:rsid w:val="000E3E09"/>
    <w:rPr>
      <w:rFonts w:cs="ALAWI-3-62"/>
      <w:color w:val="008000"/>
      <w:sz w:val="28"/>
      <w:szCs w:val="28"/>
      <w:lang w:val="en-US" w:eastAsia="en-US" w:bidi="ar-SA"/>
    </w:rPr>
  </w:style>
  <w:style w:type="paragraph" w:customStyle="1" w:styleId="affffb">
    <w:name w:val="حاشية في المتن"/>
    <w:basedOn w:val="Normal"/>
    <w:rsid w:val="000E3E09"/>
    <w:pPr>
      <w:widowControl/>
      <w:autoSpaceDE w:val="0"/>
      <w:autoSpaceDN w:val="0"/>
      <w:adjustRightInd w:val="0"/>
      <w:spacing w:line="418" w:lineRule="exact"/>
      <w:ind w:firstLine="567"/>
      <w:outlineLvl w:val="9"/>
    </w:pPr>
    <w:rPr>
      <w:rFonts w:cs="Simplified Arabic"/>
      <w:bCs/>
      <w:color w:val="000000"/>
      <w:position w:val="4"/>
      <w:sz w:val="26"/>
      <w:szCs w:val="26"/>
      <w:vertAlign w:val="superscript"/>
    </w:rPr>
  </w:style>
  <w:style w:type="paragraph" w:customStyle="1" w:styleId="sub-title">
    <w:name w:val="sub-title"/>
    <w:basedOn w:val="Normal"/>
    <w:semiHidden/>
    <w:rsid w:val="000E3E09"/>
    <w:pPr>
      <w:widowControl/>
      <w:bidi w:val="0"/>
      <w:spacing w:beforeAutospacing="1" w:after="100" w:afterAutospacing="1" w:line="240" w:lineRule="auto"/>
      <w:ind w:firstLine="567"/>
      <w:jc w:val="left"/>
      <w:outlineLvl w:val="9"/>
    </w:pPr>
    <w:rPr>
      <w:rFonts w:ascii="Arial Unicode MS" w:eastAsia="Arial Unicode MS" w:hAnsi="Arial Unicode MS" w:cs="Arial Unicode MS"/>
      <w:szCs w:val="24"/>
      <w:lang w:eastAsia="ar-SA"/>
    </w:rPr>
  </w:style>
  <w:style w:type="paragraph" w:customStyle="1" w:styleId="affffc">
    <w:name w:val="بلا لون"/>
    <w:basedOn w:val="17"/>
    <w:link w:val="CharChar2"/>
    <w:autoRedefine/>
    <w:semiHidden/>
    <w:rsid w:val="000E3E09"/>
    <w:pPr>
      <w:keepNext/>
      <w:spacing w:line="240" w:lineRule="auto"/>
      <w:jc w:val="lowKashida"/>
      <w:outlineLvl w:val="1"/>
    </w:pPr>
    <w:rPr>
      <w:bCs/>
      <w:color w:val="FFFFFF"/>
      <w:szCs w:val="4"/>
    </w:rPr>
  </w:style>
  <w:style w:type="character" w:customStyle="1" w:styleId="CharChar2">
    <w:name w:val="بلا لون Char Char"/>
    <w:link w:val="affffc"/>
    <w:semiHidden/>
    <w:rsid w:val="000E3E09"/>
    <w:rPr>
      <w:rFonts w:ascii="DanaFajr" w:eastAsia="Batang" w:hAnsi="DanaFajr" w:cs="بدر"/>
      <w:b w:val="0"/>
      <w:color w:val="FFFFFF"/>
      <w:sz w:val="22"/>
      <w:szCs w:val="4"/>
      <w:lang w:eastAsia="ar-SA"/>
    </w:rPr>
  </w:style>
  <w:style w:type="paragraph" w:customStyle="1" w:styleId="affffd">
    <w:name w:val="عنوان رئيسي"/>
    <w:basedOn w:val="400"/>
    <w:rsid w:val="000E3E09"/>
    <w:pPr>
      <w:spacing w:line="600" w:lineRule="exact"/>
    </w:pPr>
    <w:rPr>
      <w:sz w:val="48"/>
      <w:szCs w:val="48"/>
    </w:rPr>
  </w:style>
  <w:style w:type="character" w:customStyle="1" w:styleId="Charf4">
    <w:name w:val="نص حاشية سفلية Char"/>
    <w:rsid w:val="000E3E09"/>
    <w:rPr>
      <w:rFonts w:cs="md_ameli"/>
      <w:noProof/>
      <w:spacing w:val="-4"/>
      <w:szCs w:val="28"/>
      <w:lang w:val="en-US" w:eastAsia="ar-SA" w:bidi="ar-SA"/>
    </w:rPr>
  </w:style>
  <w:style w:type="paragraph" w:customStyle="1" w:styleId="24">
    <w:name w:val="پاورقى2"/>
    <w:rsid w:val="000E3E09"/>
    <w:pPr>
      <w:autoSpaceDE w:val="0"/>
      <w:autoSpaceDN w:val="0"/>
      <w:bidi/>
      <w:spacing w:line="284" w:lineRule="atLeast"/>
      <w:jc w:val="both"/>
    </w:pPr>
    <w:rPr>
      <w:rFonts w:cs="Times New Roman"/>
      <w:sz w:val="16"/>
      <w:szCs w:val="24"/>
    </w:rPr>
  </w:style>
  <w:style w:type="paragraph" w:customStyle="1" w:styleId="33">
    <w:name w:val="پاورقى3"/>
    <w:rsid w:val="000E3E09"/>
    <w:pPr>
      <w:autoSpaceDE w:val="0"/>
      <w:autoSpaceDN w:val="0"/>
      <w:spacing w:line="284" w:lineRule="atLeast"/>
      <w:ind w:hanging="284"/>
      <w:jc w:val="both"/>
    </w:pPr>
    <w:rPr>
      <w:rFonts w:cs="Times New Roman"/>
      <w:bCs/>
      <w:sz w:val="32"/>
      <w:szCs w:val="32"/>
    </w:rPr>
  </w:style>
  <w:style w:type="paragraph" w:customStyle="1" w:styleId="41">
    <w:name w:val="پاورقى4"/>
    <w:rsid w:val="000E3E09"/>
    <w:pPr>
      <w:autoSpaceDE w:val="0"/>
      <w:autoSpaceDN w:val="0"/>
      <w:spacing w:line="284" w:lineRule="atLeast"/>
      <w:jc w:val="both"/>
    </w:pPr>
    <w:rPr>
      <w:rFonts w:cs="Times New Roman"/>
      <w:bCs/>
      <w:sz w:val="32"/>
      <w:szCs w:val="32"/>
    </w:rPr>
  </w:style>
  <w:style w:type="paragraph" w:customStyle="1" w:styleId="affffe">
    <w:name w:val="پاصفحه"/>
    <w:rsid w:val="000E3E09"/>
    <w:pPr>
      <w:autoSpaceDE w:val="0"/>
      <w:autoSpaceDN w:val="0"/>
      <w:bidi/>
      <w:spacing w:line="399" w:lineRule="atLeast"/>
      <w:jc w:val="both"/>
    </w:pPr>
    <w:rPr>
      <w:rFonts w:cs="Times New Roman"/>
      <w:bCs/>
      <w:sz w:val="32"/>
      <w:szCs w:val="32"/>
    </w:rPr>
  </w:style>
  <w:style w:type="paragraph" w:customStyle="1" w:styleId="afffff">
    <w:name w:val="سرصفحه"/>
    <w:rsid w:val="000E3E09"/>
    <w:pPr>
      <w:autoSpaceDE w:val="0"/>
      <w:autoSpaceDN w:val="0"/>
      <w:bidi/>
      <w:spacing w:line="399" w:lineRule="atLeast"/>
      <w:jc w:val="both"/>
    </w:pPr>
    <w:rPr>
      <w:rFonts w:cs="Times New Roman"/>
      <w:bCs/>
      <w:sz w:val="32"/>
      <w:szCs w:val="32"/>
    </w:rPr>
  </w:style>
  <w:style w:type="numbering" w:styleId="111111">
    <w:name w:val="Outline List 2"/>
    <w:basedOn w:val="NoList"/>
    <w:rsid w:val="000E3E09"/>
    <w:pPr>
      <w:numPr>
        <w:numId w:val="23"/>
      </w:numPr>
    </w:pPr>
  </w:style>
  <w:style w:type="character" w:styleId="Strong">
    <w:name w:val="Strong"/>
    <w:qFormat/>
    <w:rsid w:val="000E3E09"/>
    <w:rPr>
      <w:b/>
      <w:bCs/>
    </w:rPr>
  </w:style>
  <w:style w:type="numbering" w:styleId="1ai">
    <w:name w:val="Outline List 1"/>
    <w:basedOn w:val="NoList"/>
    <w:rsid w:val="000E3E09"/>
    <w:pPr>
      <w:numPr>
        <w:numId w:val="24"/>
      </w:numPr>
    </w:pPr>
  </w:style>
  <w:style w:type="character" w:styleId="HTMLCode">
    <w:name w:val="HTML Code"/>
    <w:rsid w:val="000E3E09"/>
    <w:rPr>
      <w:rFonts w:ascii="Courier New" w:hAnsi="Courier New" w:cs="Courier New"/>
      <w:sz w:val="20"/>
      <w:szCs w:val="20"/>
    </w:rPr>
  </w:style>
  <w:style w:type="paragraph" w:styleId="TableofFigures">
    <w:name w:val="table of figures"/>
    <w:basedOn w:val="Normal"/>
    <w:next w:val="Normal"/>
    <w:rsid w:val="000E3E09"/>
    <w:pPr>
      <w:widowControl/>
      <w:bidi w:val="0"/>
      <w:spacing w:line="240" w:lineRule="auto"/>
      <w:ind w:left="480" w:hanging="480"/>
      <w:jc w:val="left"/>
      <w:outlineLvl w:val="9"/>
    </w:pPr>
    <w:rPr>
      <w:rFonts w:cs="Times New Roman"/>
      <w:smallCaps/>
      <w:sz w:val="20"/>
      <w:szCs w:val="24"/>
    </w:rPr>
  </w:style>
  <w:style w:type="paragraph" w:styleId="Index2">
    <w:name w:val="index 2"/>
    <w:basedOn w:val="Normal"/>
    <w:next w:val="Normal"/>
    <w:autoRedefine/>
    <w:rsid w:val="000E3E09"/>
    <w:pPr>
      <w:widowControl/>
      <w:bidi w:val="0"/>
      <w:spacing w:line="240" w:lineRule="auto"/>
      <w:ind w:left="480" w:hanging="240"/>
      <w:jc w:val="left"/>
      <w:outlineLvl w:val="9"/>
    </w:pPr>
    <w:rPr>
      <w:rFonts w:cs="Times New Roman"/>
      <w:sz w:val="18"/>
      <w:szCs w:val="21"/>
    </w:rPr>
  </w:style>
  <w:style w:type="paragraph" w:styleId="Index3">
    <w:name w:val="index 3"/>
    <w:basedOn w:val="Normal"/>
    <w:next w:val="Normal"/>
    <w:autoRedefine/>
    <w:rsid w:val="000E3E09"/>
    <w:pPr>
      <w:widowControl/>
      <w:bidi w:val="0"/>
      <w:spacing w:line="240" w:lineRule="auto"/>
      <w:ind w:left="720" w:hanging="240"/>
      <w:jc w:val="left"/>
      <w:outlineLvl w:val="9"/>
    </w:pPr>
    <w:rPr>
      <w:rFonts w:cs="Times New Roman"/>
      <w:sz w:val="18"/>
      <w:szCs w:val="21"/>
    </w:rPr>
  </w:style>
  <w:style w:type="paragraph" w:styleId="Index4">
    <w:name w:val="index 4"/>
    <w:basedOn w:val="Normal"/>
    <w:next w:val="Normal"/>
    <w:autoRedefine/>
    <w:rsid w:val="000E3E09"/>
    <w:pPr>
      <w:widowControl/>
      <w:bidi w:val="0"/>
      <w:spacing w:line="240" w:lineRule="auto"/>
      <w:ind w:left="960" w:hanging="240"/>
      <w:jc w:val="left"/>
      <w:outlineLvl w:val="9"/>
    </w:pPr>
    <w:rPr>
      <w:rFonts w:cs="Times New Roman"/>
      <w:sz w:val="18"/>
      <w:szCs w:val="21"/>
    </w:rPr>
  </w:style>
  <w:style w:type="paragraph" w:styleId="Index5">
    <w:name w:val="index 5"/>
    <w:basedOn w:val="Normal"/>
    <w:next w:val="Normal"/>
    <w:autoRedefine/>
    <w:rsid w:val="000E3E09"/>
    <w:pPr>
      <w:widowControl/>
      <w:bidi w:val="0"/>
      <w:spacing w:line="240" w:lineRule="auto"/>
      <w:ind w:left="1200" w:hanging="240"/>
      <w:jc w:val="left"/>
      <w:outlineLvl w:val="9"/>
    </w:pPr>
    <w:rPr>
      <w:rFonts w:cs="Times New Roman"/>
      <w:sz w:val="18"/>
      <w:szCs w:val="21"/>
    </w:rPr>
  </w:style>
  <w:style w:type="paragraph" w:styleId="Index6">
    <w:name w:val="index 6"/>
    <w:basedOn w:val="Normal"/>
    <w:next w:val="Normal"/>
    <w:autoRedefine/>
    <w:rsid w:val="000E3E09"/>
    <w:pPr>
      <w:widowControl/>
      <w:bidi w:val="0"/>
      <w:spacing w:line="240" w:lineRule="auto"/>
      <w:ind w:left="1440" w:hanging="240"/>
      <w:jc w:val="left"/>
      <w:outlineLvl w:val="9"/>
    </w:pPr>
    <w:rPr>
      <w:rFonts w:cs="Times New Roman"/>
      <w:sz w:val="18"/>
      <w:szCs w:val="21"/>
    </w:rPr>
  </w:style>
  <w:style w:type="paragraph" w:styleId="Index7">
    <w:name w:val="index 7"/>
    <w:basedOn w:val="Normal"/>
    <w:next w:val="Normal"/>
    <w:autoRedefine/>
    <w:rsid w:val="000E3E09"/>
    <w:pPr>
      <w:widowControl/>
      <w:bidi w:val="0"/>
      <w:spacing w:line="240" w:lineRule="auto"/>
      <w:ind w:left="1680" w:hanging="240"/>
      <w:jc w:val="left"/>
      <w:outlineLvl w:val="9"/>
    </w:pPr>
    <w:rPr>
      <w:rFonts w:cs="Times New Roman"/>
      <w:sz w:val="18"/>
      <w:szCs w:val="21"/>
    </w:rPr>
  </w:style>
  <w:style w:type="paragraph" w:styleId="Index8">
    <w:name w:val="index 8"/>
    <w:basedOn w:val="Normal"/>
    <w:next w:val="Normal"/>
    <w:autoRedefine/>
    <w:rsid w:val="000E3E09"/>
    <w:pPr>
      <w:widowControl/>
      <w:bidi w:val="0"/>
      <w:spacing w:line="240" w:lineRule="auto"/>
      <w:ind w:left="1920" w:hanging="240"/>
      <w:jc w:val="left"/>
      <w:outlineLvl w:val="9"/>
    </w:pPr>
    <w:rPr>
      <w:rFonts w:cs="Times New Roman"/>
      <w:sz w:val="18"/>
      <w:szCs w:val="21"/>
    </w:rPr>
  </w:style>
  <w:style w:type="paragraph" w:styleId="Index9">
    <w:name w:val="index 9"/>
    <w:basedOn w:val="Normal"/>
    <w:next w:val="Normal"/>
    <w:autoRedefine/>
    <w:rsid w:val="000E3E09"/>
    <w:pPr>
      <w:widowControl/>
      <w:bidi w:val="0"/>
      <w:spacing w:line="240" w:lineRule="auto"/>
      <w:ind w:left="2160" w:hanging="240"/>
      <w:jc w:val="left"/>
      <w:outlineLvl w:val="9"/>
    </w:pPr>
    <w:rPr>
      <w:rFonts w:cs="Times New Roman"/>
      <w:sz w:val="18"/>
      <w:szCs w:val="21"/>
    </w:rPr>
  </w:style>
  <w:style w:type="paragraph" w:styleId="IndexHeading">
    <w:name w:val="index heading"/>
    <w:basedOn w:val="Normal"/>
    <w:next w:val="Index1"/>
    <w:rsid w:val="000E3E09"/>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outlineLvl w:val="9"/>
    </w:pPr>
    <w:rPr>
      <w:rFonts w:ascii="Arial" w:hAnsi="Arial" w:cs="Arial"/>
      <w:b/>
      <w:bCs/>
      <w:sz w:val="22"/>
      <w:szCs w:val="26"/>
    </w:rPr>
  </w:style>
  <w:style w:type="character" w:styleId="HTMLDefinition">
    <w:name w:val="HTML Definition"/>
    <w:rsid w:val="000E3E09"/>
    <w:rPr>
      <w:i/>
      <w:iCs/>
    </w:rPr>
  </w:style>
  <w:style w:type="character" w:styleId="HTMLVariable">
    <w:name w:val="HTML Variable"/>
    <w:rsid w:val="000E3E09"/>
    <w:rPr>
      <w:i/>
      <w:iCs/>
    </w:rPr>
  </w:style>
  <w:style w:type="character" w:styleId="HTMLCite">
    <w:name w:val="HTML Cite"/>
    <w:rsid w:val="000E3E09"/>
    <w:rPr>
      <w:i/>
      <w:iCs/>
    </w:rPr>
  </w:style>
  <w:style w:type="table" w:styleId="TableColumns1">
    <w:name w:val="Table Columns 1"/>
    <w:basedOn w:val="TableNormal"/>
    <w:rsid w:val="000E3E09"/>
    <w:rPr>
      <w:rFonts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E3E09"/>
    <w:rPr>
      <w:rFonts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E3E09"/>
    <w:rPr>
      <w:rFonts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E3E09"/>
    <w:rPr>
      <w:rFonts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E3E09"/>
    <w:rPr>
      <w:rFonts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Typewriter">
    <w:name w:val="HTML Typewriter"/>
    <w:rsid w:val="000E3E09"/>
    <w:rPr>
      <w:rFonts w:ascii="Courier New" w:hAnsi="Courier New" w:cs="Courier New"/>
      <w:sz w:val="20"/>
      <w:szCs w:val="20"/>
    </w:rPr>
  </w:style>
  <w:style w:type="paragraph" w:styleId="HTMLPreformatted">
    <w:name w:val="HTML Preformatted"/>
    <w:basedOn w:val="Normal"/>
    <w:link w:val="HTMLPreformattedChar"/>
    <w:rsid w:val="000E3E09"/>
    <w:pPr>
      <w:widowControl/>
      <w:bidi w:val="0"/>
      <w:spacing w:line="240" w:lineRule="auto"/>
      <w:ind w:firstLine="0"/>
      <w:jc w:val="left"/>
      <w:outlineLvl w:val="9"/>
    </w:pPr>
    <w:rPr>
      <w:rFonts w:ascii="Courier New" w:hAnsi="Courier New" w:cs="Times New Roman"/>
      <w:sz w:val="20"/>
      <w:szCs w:val="20"/>
    </w:rPr>
  </w:style>
  <w:style w:type="character" w:customStyle="1" w:styleId="HTMLPreformattedChar">
    <w:name w:val="HTML Preformatted Char"/>
    <w:link w:val="HTMLPreformatted"/>
    <w:rsid w:val="000E3E09"/>
    <w:rPr>
      <w:rFonts w:ascii="Courier New" w:hAnsi="Courier New" w:cs="Courier New"/>
      <w:sz w:val="20"/>
      <w:szCs w:val="20"/>
    </w:rPr>
  </w:style>
  <w:style w:type="paragraph" w:styleId="Date">
    <w:name w:val="Date"/>
    <w:basedOn w:val="Normal"/>
    <w:next w:val="Normal"/>
    <w:link w:val="DateChar"/>
    <w:rsid w:val="000E3E09"/>
    <w:pPr>
      <w:widowControl/>
      <w:bidi w:val="0"/>
      <w:spacing w:line="240" w:lineRule="auto"/>
      <w:ind w:firstLine="0"/>
      <w:jc w:val="left"/>
      <w:outlineLvl w:val="9"/>
    </w:pPr>
    <w:rPr>
      <w:rFonts w:cs="Times New Roman"/>
      <w:sz w:val="20"/>
      <w:szCs w:val="24"/>
    </w:rPr>
  </w:style>
  <w:style w:type="character" w:customStyle="1" w:styleId="DateChar">
    <w:name w:val="Date Char"/>
    <w:link w:val="Date"/>
    <w:rsid w:val="000E3E09"/>
    <w:rPr>
      <w:rFonts w:cs="Times New Roman"/>
      <w:szCs w:val="24"/>
    </w:rPr>
  </w:style>
  <w:style w:type="paragraph" w:styleId="Salutation">
    <w:name w:val="Salutation"/>
    <w:basedOn w:val="Normal"/>
    <w:next w:val="Normal"/>
    <w:link w:val="SalutationChar"/>
    <w:rsid w:val="000E3E09"/>
    <w:pPr>
      <w:widowControl/>
      <w:bidi w:val="0"/>
      <w:spacing w:line="240" w:lineRule="auto"/>
      <w:ind w:firstLine="0"/>
      <w:jc w:val="left"/>
      <w:outlineLvl w:val="9"/>
    </w:pPr>
    <w:rPr>
      <w:rFonts w:cs="Times New Roman"/>
      <w:sz w:val="20"/>
      <w:szCs w:val="24"/>
    </w:rPr>
  </w:style>
  <w:style w:type="character" w:customStyle="1" w:styleId="SalutationChar">
    <w:name w:val="Salutation Char"/>
    <w:link w:val="Salutation"/>
    <w:rsid w:val="000E3E09"/>
    <w:rPr>
      <w:rFonts w:cs="Times New Roman"/>
      <w:szCs w:val="24"/>
    </w:rPr>
  </w:style>
  <w:style w:type="character" w:styleId="HTMLAcronym">
    <w:name w:val="HTML Acronym"/>
    <w:basedOn w:val="DefaultParagraphFont"/>
    <w:rsid w:val="000E3E09"/>
  </w:style>
  <w:style w:type="paragraph" w:styleId="Signature">
    <w:name w:val="Signature"/>
    <w:basedOn w:val="Normal"/>
    <w:link w:val="SignatureChar"/>
    <w:rsid w:val="000E3E09"/>
    <w:pPr>
      <w:widowControl/>
      <w:bidi w:val="0"/>
      <w:spacing w:line="240" w:lineRule="auto"/>
      <w:ind w:left="4320" w:firstLine="0"/>
      <w:jc w:val="left"/>
      <w:outlineLvl w:val="9"/>
    </w:pPr>
    <w:rPr>
      <w:rFonts w:cs="Times New Roman"/>
      <w:sz w:val="20"/>
      <w:szCs w:val="24"/>
    </w:rPr>
  </w:style>
  <w:style w:type="character" w:customStyle="1" w:styleId="SignatureChar">
    <w:name w:val="Signature Char"/>
    <w:link w:val="Signature"/>
    <w:rsid w:val="000E3E09"/>
    <w:rPr>
      <w:rFonts w:cs="Times New Roman"/>
      <w:szCs w:val="24"/>
    </w:rPr>
  </w:style>
  <w:style w:type="paragraph" w:styleId="E-mailSignature">
    <w:name w:val="E-mail Signature"/>
    <w:basedOn w:val="Normal"/>
    <w:link w:val="E-mailSignatureChar"/>
    <w:rsid w:val="000E3E09"/>
    <w:pPr>
      <w:widowControl/>
      <w:bidi w:val="0"/>
      <w:spacing w:line="240" w:lineRule="auto"/>
      <w:ind w:firstLine="0"/>
      <w:jc w:val="left"/>
      <w:outlineLvl w:val="9"/>
    </w:pPr>
    <w:rPr>
      <w:rFonts w:cs="Times New Roman"/>
      <w:sz w:val="20"/>
      <w:szCs w:val="24"/>
    </w:rPr>
  </w:style>
  <w:style w:type="character" w:customStyle="1" w:styleId="E-mailSignatureChar">
    <w:name w:val="E-mail Signature Char"/>
    <w:link w:val="E-mailSignature"/>
    <w:rsid w:val="000E3E09"/>
    <w:rPr>
      <w:rFonts w:cs="Times New Roman"/>
      <w:szCs w:val="24"/>
    </w:rPr>
  </w:style>
  <w:style w:type="table" w:styleId="TableElegant">
    <w:name w:val="Table Elegant"/>
    <w:basedOn w:val="TableNormal"/>
    <w:rsid w:val="000E3E09"/>
    <w:rPr>
      <w:rFonts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3Deffects1">
    <w:name w:val="Table 3D effects 1"/>
    <w:basedOn w:val="TableNormal"/>
    <w:rsid w:val="000E3E09"/>
    <w:rPr>
      <w:rFonts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E3E09"/>
    <w:rPr>
      <w:rFonts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E3E09"/>
    <w:rPr>
      <w:rFonts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0E3E09"/>
    <w:rPr>
      <w:rFonts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E3E09"/>
    <w:rPr>
      <w:rFonts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E3E09"/>
    <w:rPr>
      <w:rFonts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E3E09"/>
    <w:rPr>
      <w:rFonts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E3E09"/>
    <w:rPr>
      <w:rFonts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rsid w:val="000E3E09"/>
    <w:rPr>
      <w:rFonts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0E3E09"/>
    <w:rPr>
      <w:rFonts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E3E09"/>
    <w:rPr>
      <w:rFonts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E3E09"/>
    <w:rPr>
      <w:rFonts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E3E09"/>
    <w:rPr>
      <w:rFonts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0E3E09"/>
    <w:rPr>
      <w:rFonts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orful1">
    <w:name w:val="Table Colorful 1"/>
    <w:basedOn w:val="TableNormal"/>
    <w:rsid w:val="000E3E09"/>
    <w:rPr>
      <w:rFonts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E3E09"/>
    <w:rPr>
      <w:rFonts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E3E09"/>
    <w:rPr>
      <w:rFonts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Web1">
    <w:name w:val="Table Web 1"/>
    <w:basedOn w:val="TableNormal"/>
    <w:rsid w:val="000E3E09"/>
    <w:rPr>
      <w:rFonts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E3E09"/>
    <w:rPr>
      <w:rFonts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E3E09"/>
    <w:rPr>
      <w:rFonts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losing">
    <w:name w:val="Closing"/>
    <w:basedOn w:val="Normal"/>
    <w:link w:val="ClosingChar"/>
    <w:rsid w:val="000E3E09"/>
    <w:pPr>
      <w:widowControl/>
      <w:bidi w:val="0"/>
      <w:spacing w:line="240" w:lineRule="auto"/>
      <w:ind w:left="4320" w:firstLine="0"/>
      <w:jc w:val="left"/>
      <w:outlineLvl w:val="9"/>
    </w:pPr>
    <w:rPr>
      <w:rFonts w:cs="Times New Roman"/>
      <w:sz w:val="20"/>
      <w:szCs w:val="24"/>
    </w:rPr>
  </w:style>
  <w:style w:type="character" w:customStyle="1" w:styleId="ClosingChar">
    <w:name w:val="Closing Char"/>
    <w:link w:val="Closing"/>
    <w:rsid w:val="000E3E09"/>
    <w:rPr>
      <w:rFonts w:cs="Times New Roman"/>
      <w:szCs w:val="24"/>
    </w:rPr>
  </w:style>
  <w:style w:type="paragraph" w:styleId="MessageHeader">
    <w:name w:val="Message Header"/>
    <w:basedOn w:val="Normal"/>
    <w:link w:val="MessageHeaderChar"/>
    <w:rsid w:val="000E3E09"/>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outlineLvl w:val="9"/>
    </w:pPr>
    <w:rPr>
      <w:rFonts w:ascii="Arial" w:hAnsi="Arial" w:cs="Times New Roman"/>
      <w:sz w:val="20"/>
      <w:szCs w:val="24"/>
    </w:rPr>
  </w:style>
  <w:style w:type="character" w:customStyle="1" w:styleId="MessageHeaderChar">
    <w:name w:val="Message Header Char"/>
    <w:link w:val="MessageHeader"/>
    <w:rsid w:val="000E3E09"/>
    <w:rPr>
      <w:rFonts w:ascii="Arial" w:hAnsi="Arial" w:cs="Arial"/>
      <w:szCs w:val="24"/>
      <w:shd w:val="pct20" w:color="auto" w:fill="auto"/>
    </w:rPr>
  </w:style>
  <w:style w:type="table" w:styleId="TableTheme">
    <w:name w:val="Table Theme"/>
    <w:basedOn w:val="TableNormal"/>
    <w:rsid w:val="000E3E09"/>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0E3E09"/>
    <w:rPr>
      <w:rFonts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E3E09"/>
    <w:rPr>
      <w:rFonts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E3E09"/>
    <w:rPr>
      <w:rFonts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E3E09"/>
    <w:rPr>
      <w:rFonts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E3E09"/>
    <w:rPr>
      <w:rFonts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E3E09"/>
    <w:rPr>
      <w:rFonts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E3E09"/>
    <w:rPr>
      <w:rFonts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E3E09"/>
    <w:rPr>
      <w:rFonts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Address">
    <w:name w:val="HTML Address"/>
    <w:basedOn w:val="Normal"/>
    <w:link w:val="HTMLAddressChar"/>
    <w:rsid w:val="000E3E09"/>
    <w:pPr>
      <w:widowControl/>
      <w:bidi w:val="0"/>
      <w:spacing w:line="240" w:lineRule="auto"/>
      <w:ind w:firstLine="0"/>
      <w:jc w:val="left"/>
      <w:outlineLvl w:val="9"/>
    </w:pPr>
    <w:rPr>
      <w:rFonts w:cs="Times New Roman"/>
      <w:i/>
      <w:iCs/>
      <w:sz w:val="20"/>
      <w:szCs w:val="24"/>
    </w:rPr>
  </w:style>
  <w:style w:type="character" w:customStyle="1" w:styleId="HTMLAddressChar">
    <w:name w:val="HTML Address Char"/>
    <w:link w:val="HTMLAddress"/>
    <w:rsid w:val="000E3E09"/>
    <w:rPr>
      <w:rFonts w:cs="Times New Roman"/>
      <w:i/>
      <w:iCs/>
      <w:szCs w:val="24"/>
    </w:rPr>
  </w:style>
  <w:style w:type="paragraph" w:styleId="EnvelopeAddress">
    <w:name w:val="envelope address"/>
    <w:basedOn w:val="Normal"/>
    <w:rsid w:val="000E3E09"/>
    <w:pPr>
      <w:framePr w:w="7920" w:h="1980" w:hRule="exact" w:hSpace="180" w:wrap="auto" w:hAnchor="page" w:xAlign="center" w:yAlign="bottom"/>
      <w:widowControl/>
      <w:bidi w:val="0"/>
      <w:spacing w:line="240" w:lineRule="auto"/>
      <w:ind w:left="2880" w:firstLine="0"/>
      <w:jc w:val="left"/>
      <w:outlineLvl w:val="9"/>
    </w:pPr>
    <w:rPr>
      <w:rFonts w:ascii="Arial" w:hAnsi="Arial" w:cs="Arial"/>
      <w:szCs w:val="24"/>
    </w:rPr>
  </w:style>
  <w:style w:type="paragraph" w:styleId="NoteHeading">
    <w:name w:val="Note Heading"/>
    <w:basedOn w:val="Normal"/>
    <w:next w:val="Normal"/>
    <w:link w:val="NoteHeadingChar"/>
    <w:rsid w:val="000E3E09"/>
    <w:pPr>
      <w:widowControl/>
      <w:bidi w:val="0"/>
      <w:spacing w:line="240" w:lineRule="auto"/>
      <w:ind w:firstLine="0"/>
      <w:jc w:val="left"/>
      <w:outlineLvl w:val="9"/>
    </w:pPr>
    <w:rPr>
      <w:rFonts w:cs="Times New Roman"/>
      <w:sz w:val="20"/>
      <w:szCs w:val="24"/>
    </w:rPr>
  </w:style>
  <w:style w:type="character" w:customStyle="1" w:styleId="NoteHeadingChar">
    <w:name w:val="Note Heading Char"/>
    <w:link w:val="NoteHeading"/>
    <w:rsid w:val="000E3E09"/>
    <w:rPr>
      <w:rFonts w:cs="Times New Roman"/>
      <w:szCs w:val="24"/>
    </w:rPr>
  </w:style>
  <w:style w:type="paragraph" w:styleId="List">
    <w:name w:val="List"/>
    <w:basedOn w:val="Normal"/>
    <w:rsid w:val="000E3E09"/>
    <w:pPr>
      <w:widowControl/>
      <w:bidi w:val="0"/>
      <w:spacing w:line="240" w:lineRule="auto"/>
      <w:ind w:left="360" w:hanging="360"/>
      <w:jc w:val="left"/>
      <w:outlineLvl w:val="9"/>
    </w:pPr>
    <w:rPr>
      <w:rFonts w:cs="Times New Roman"/>
      <w:szCs w:val="24"/>
    </w:rPr>
  </w:style>
  <w:style w:type="paragraph" w:styleId="List2">
    <w:name w:val="List 2"/>
    <w:basedOn w:val="Normal"/>
    <w:rsid w:val="000E3E09"/>
    <w:pPr>
      <w:widowControl/>
      <w:bidi w:val="0"/>
      <w:spacing w:line="240" w:lineRule="auto"/>
      <w:ind w:left="720" w:hanging="360"/>
      <w:jc w:val="left"/>
      <w:outlineLvl w:val="9"/>
    </w:pPr>
    <w:rPr>
      <w:rFonts w:cs="Times New Roman"/>
      <w:szCs w:val="24"/>
    </w:rPr>
  </w:style>
  <w:style w:type="paragraph" w:styleId="List3">
    <w:name w:val="List 3"/>
    <w:basedOn w:val="Normal"/>
    <w:rsid w:val="000E3E09"/>
    <w:pPr>
      <w:widowControl/>
      <w:bidi w:val="0"/>
      <w:spacing w:line="240" w:lineRule="auto"/>
      <w:ind w:left="1080" w:hanging="360"/>
      <w:jc w:val="left"/>
      <w:outlineLvl w:val="9"/>
    </w:pPr>
    <w:rPr>
      <w:rFonts w:cs="Times New Roman"/>
      <w:szCs w:val="24"/>
    </w:rPr>
  </w:style>
  <w:style w:type="paragraph" w:styleId="List4">
    <w:name w:val="List 4"/>
    <w:basedOn w:val="Normal"/>
    <w:rsid w:val="000E3E09"/>
    <w:pPr>
      <w:widowControl/>
      <w:bidi w:val="0"/>
      <w:spacing w:line="240" w:lineRule="auto"/>
      <w:ind w:left="1440" w:hanging="360"/>
      <w:jc w:val="left"/>
      <w:outlineLvl w:val="9"/>
    </w:pPr>
    <w:rPr>
      <w:rFonts w:cs="Times New Roman"/>
      <w:szCs w:val="24"/>
    </w:rPr>
  </w:style>
  <w:style w:type="paragraph" w:styleId="List5">
    <w:name w:val="List 5"/>
    <w:basedOn w:val="Normal"/>
    <w:rsid w:val="000E3E09"/>
    <w:pPr>
      <w:widowControl/>
      <w:bidi w:val="0"/>
      <w:spacing w:line="240" w:lineRule="auto"/>
      <w:ind w:left="1800" w:hanging="360"/>
      <w:jc w:val="left"/>
      <w:outlineLvl w:val="9"/>
    </w:pPr>
    <w:rPr>
      <w:rFonts w:cs="Times New Roman"/>
      <w:szCs w:val="24"/>
    </w:rPr>
  </w:style>
  <w:style w:type="table" w:styleId="TableList1">
    <w:name w:val="Table List 1"/>
    <w:basedOn w:val="TableNormal"/>
    <w:rsid w:val="000E3E09"/>
    <w:rPr>
      <w:rFonts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E3E09"/>
    <w:rPr>
      <w:rFonts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E3E09"/>
    <w:rPr>
      <w:rFonts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E3E09"/>
    <w:rPr>
      <w:rFonts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E3E09"/>
    <w:rPr>
      <w:rFonts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E3E09"/>
    <w:rPr>
      <w:rFonts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E3E09"/>
    <w:rPr>
      <w:rFonts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E3E09"/>
    <w:rPr>
      <w:rFonts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Number">
    <w:name w:val="List Number"/>
    <w:basedOn w:val="Normal"/>
    <w:rsid w:val="000E3E09"/>
    <w:pPr>
      <w:widowControl/>
      <w:numPr>
        <w:numId w:val="25"/>
      </w:numPr>
      <w:bidi w:val="0"/>
      <w:spacing w:line="240" w:lineRule="auto"/>
      <w:jc w:val="left"/>
      <w:outlineLvl w:val="9"/>
    </w:pPr>
    <w:rPr>
      <w:rFonts w:cs="Times New Roman"/>
      <w:szCs w:val="24"/>
    </w:rPr>
  </w:style>
  <w:style w:type="paragraph" w:styleId="ListNumber2">
    <w:name w:val="List Number 2"/>
    <w:basedOn w:val="Normal"/>
    <w:rsid w:val="000E3E09"/>
    <w:pPr>
      <w:widowControl/>
      <w:numPr>
        <w:numId w:val="26"/>
      </w:numPr>
      <w:bidi w:val="0"/>
      <w:spacing w:line="240" w:lineRule="auto"/>
      <w:jc w:val="left"/>
      <w:outlineLvl w:val="9"/>
    </w:pPr>
    <w:rPr>
      <w:rFonts w:cs="Times New Roman"/>
      <w:szCs w:val="24"/>
    </w:rPr>
  </w:style>
  <w:style w:type="paragraph" w:styleId="ListNumber3">
    <w:name w:val="List Number 3"/>
    <w:basedOn w:val="Normal"/>
    <w:rsid w:val="000E3E09"/>
    <w:pPr>
      <w:widowControl/>
      <w:numPr>
        <w:numId w:val="27"/>
      </w:numPr>
      <w:bidi w:val="0"/>
      <w:spacing w:line="240" w:lineRule="auto"/>
      <w:jc w:val="left"/>
      <w:outlineLvl w:val="9"/>
    </w:pPr>
    <w:rPr>
      <w:rFonts w:cs="Times New Roman"/>
      <w:szCs w:val="24"/>
    </w:rPr>
  </w:style>
  <w:style w:type="paragraph" w:styleId="ListNumber4">
    <w:name w:val="List Number 4"/>
    <w:basedOn w:val="Normal"/>
    <w:rsid w:val="000E3E09"/>
    <w:pPr>
      <w:widowControl/>
      <w:numPr>
        <w:numId w:val="28"/>
      </w:numPr>
      <w:bidi w:val="0"/>
      <w:spacing w:line="240" w:lineRule="auto"/>
      <w:jc w:val="left"/>
      <w:outlineLvl w:val="9"/>
    </w:pPr>
    <w:rPr>
      <w:rFonts w:cs="Times New Roman"/>
      <w:szCs w:val="24"/>
    </w:rPr>
  </w:style>
  <w:style w:type="paragraph" w:styleId="ListNumber5">
    <w:name w:val="List Number 5"/>
    <w:basedOn w:val="Normal"/>
    <w:rsid w:val="000E3E09"/>
    <w:pPr>
      <w:widowControl/>
      <w:numPr>
        <w:numId w:val="29"/>
      </w:numPr>
      <w:bidi w:val="0"/>
      <w:spacing w:line="240" w:lineRule="auto"/>
      <w:jc w:val="left"/>
      <w:outlineLvl w:val="9"/>
    </w:pPr>
    <w:rPr>
      <w:rFonts w:cs="Times New Roman"/>
      <w:szCs w:val="24"/>
    </w:rPr>
  </w:style>
  <w:style w:type="paragraph" w:styleId="ListContinue">
    <w:name w:val="List Continue"/>
    <w:basedOn w:val="Normal"/>
    <w:rsid w:val="000E3E09"/>
    <w:pPr>
      <w:widowControl/>
      <w:bidi w:val="0"/>
      <w:spacing w:after="120" w:line="240" w:lineRule="auto"/>
      <w:ind w:left="360" w:firstLine="0"/>
      <w:jc w:val="left"/>
      <w:outlineLvl w:val="9"/>
    </w:pPr>
    <w:rPr>
      <w:rFonts w:cs="Times New Roman"/>
      <w:szCs w:val="24"/>
    </w:rPr>
  </w:style>
  <w:style w:type="paragraph" w:styleId="ListContinue2">
    <w:name w:val="List Continue 2"/>
    <w:basedOn w:val="Normal"/>
    <w:rsid w:val="000E3E09"/>
    <w:pPr>
      <w:widowControl/>
      <w:bidi w:val="0"/>
      <w:spacing w:after="120" w:line="240" w:lineRule="auto"/>
      <w:ind w:left="720" w:firstLine="0"/>
      <w:jc w:val="left"/>
      <w:outlineLvl w:val="9"/>
    </w:pPr>
    <w:rPr>
      <w:rFonts w:cs="Times New Roman"/>
      <w:szCs w:val="24"/>
    </w:rPr>
  </w:style>
  <w:style w:type="paragraph" w:styleId="ListContinue3">
    <w:name w:val="List Continue 3"/>
    <w:basedOn w:val="Normal"/>
    <w:rsid w:val="000E3E09"/>
    <w:pPr>
      <w:widowControl/>
      <w:bidi w:val="0"/>
      <w:spacing w:after="120" w:line="240" w:lineRule="auto"/>
      <w:ind w:left="1080" w:firstLine="0"/>
      <w:jc w:val="left"/>
      <w:outlineLvl w:val="9"/>
    </w:pPr>
    <w:rPr>
      <w:rFonts w:cs="Times New Roman"/>
      <w:szCs w:val="24"/>
    </w:rPr>
  </w:style>
  <w:style w:type="paragraph" w:styleId="ListContinue4">
    <w:name w:val="List Continue 4"/>
    <w:basedOn w:val="Normal"/>
    <w:rsid w:val="000E3E09"/>
    <w:pPr>
      <w:widowControl/>
      <w:bidi w:val="0"/>
      <w:spacing w:after="120" w:line="240" w:lineRule="auto"/>
      <w:ind w:left="1440" w:firstLine="0"/>
      <w:jc w:val="left"/>
      <w:outlineLvl w:val="9"/>
    </w:pPr>
    <w:rPr>
      <w:rFonts w:cs="Times New Roman"/>
      <w:szCs w:val="24"/>
    </w:rPr>
  </w:style>
  <w:style w:type="paragraph" w:styleId="ListContinue5">
    <w:name w:val="List Continue 5"/>
    <w:basedOn w:val="Normal"/>
    <w:rsid w:val="000E3E09"/>
    <w:pPr>
      <w:widowControl/>
      <w:bidi w:val="0"/>
      <w:spacing w:after="120" w:line="240" w:lineRule="auto"/>
      <w:ind w:left="1800" w:firstLine="0"/>
      <w:jc w:val="left"/>
      <w:outlineLvl w:val="9"/>
    </w:pPr>
    <w:rPr>
      <w:rFonts w:cs="Times New Roman"/>
      <w:szCs w:val="24"/>
    </w:rPr>
  </w:style>
  <w:style w:type="paragraph" w:styleId="ListBullet">
    <w:name w:val="List Bullet"/>
    <w:basedOn w:val="Normal"/>
    <w:rsid w:val="000E3E09"/>
    <w:pPr>
      <w:widowControl/>
      <w:numPr>
        <w:numId w:val="30"/>
      </w:numPr>
      <w:bidi w:val="0"/>
      <w:spacing w:line="240" w:lineRule="auto"/>
      <w:jc w:val="left"/>
      <w:outlineLvl w:val="9"/>
    </w:pPr>
    <w:rPr>
      <w:rFonts w:cs="Times New Roman"/>
      <w:szCs w:val="24"/>
    </w:rPr>
  </w:style>
  <w:style w:type="paragraph" w:styleId="ListBullet2">
    <w:name w:val="List Bullet 2"/>
    <w:basedOn w:val="Normal"/>
    <w:rsid w:val="000E3E09"/>
    <w:pPr>
      <w:widowControl/>
      <w:numPr>
        <w:numId w:val="31"/>
      </w:numPr>
      <w:bidi w:val="0"/>
      <w:spacing w:line="240" w:lineRule="auto"/>
      <w:jc w:val="left"/>
      <w:outlineLvl w:val="9"/>
    </w:pPr>
    <w:rPr>
      <w:rFonts w:cs="Times New Roman"/>
      <w:szCs w:val="24"/>
    </w:rPr>
  </w:style>
  <w:style w:type="paragraph" w:styleId="ListBullet3">
    <w:name w:val="List Bullet 3"/>
    <w:basedOn w:val="Normal"/>
    <w:rsid w:val="000E3E09"/>
    <w:pPr>
      <w:widowControl/>
      <w:numPr>
        <w:numId w:val="32"/>
      </w:numPr>
      <w:bidi w:val="0"/>
      <w:spacing w:line="240" w:lineRule="auto"/>
      <w:jc w:val="left"/>
      <w:outlineLvl w:val="9"/>
    </w:pPr>
    <w:rPr>
      <w:rFonts w:cs="Times New Roman"/>
      <w:szCs w:val="24"/>
    </w:rPr>
  </w:style>
  <w:style w:type="paragraph" w:styleId="ListBullet4">
    <w:name w:val="List Bullet 4"/>
    <w:basedOn w:val="Normal"/>
    <w:rsid w:val="000E3E09"/>
    <w:pPr>
      <w:widowControl/>
      <w:numPr>
        <w:numId w:val="33"/>
      </w:numPr>
      <w:bidi w:val="0"/>
      <w:spacing w:line="240" w:lineRule="auto"/>
      <w:jc w:val="left"/>
      <w:outlineLvl w:val="9"/>
    </w:pPr>
    <w:rPr>
      <w:rFonts w:cs="Times New Roman"/>
      <w:szCs w:val="24"/>
    </w:rPr>
  </w:style>
  <w:style w:type="paragraph" w:styleId="ListBullet5">
    <w:name w:val="List Bullet 5"/>
    <w:basedOn w:val="Normal"/>
    <w:rsid w:val="000E3E09"/>
    <w:pPr>
      <w:widowControl/>
      <w:numPr>
        <w:numId w:val="34"/>
      </w:numPr>
      <w:bidi w:val="0"/>
      <w:spacing w:line="240" w:lineRule="auto"/>
      <w:jc w:val="left"/>
      <w:outlineLvl w:val="9"/>
    </w:pPr>
    <w:rPr>
      <w:rFonts w:cs="Times New Roman"/>
      <w:szCs w:val="24"/>
    </w:rPr>
  </w:style>
  <w:style w:type="character" w:styleId="HTMLKeyboard">
    <w:name w:val="HTML Keyboard"/>
    <w:rsid w:val="000E3E09"/>
    <w:rPr>
      <w:rFonts w:ascii="Courier New" w:hAnsi="Courier New" w:cs="Courier New"/>
      <w:sz w:val="20"/>
      <w:szCs w:val="20"/>
    </w:rPr>
  </w:style>
  <w:style w:type="paragraph" w:styleId="EnvelopeReturn">
    <w:name w:val="envelope return"/>
    <w:basedOn w:val="Normal"/>
    <w:rsid w:val="000E3E09"/>
    <w:pPr>
      <w:widowControl/>
      <w:bidi w:val="0"/>
      <w:spacing w:line="240" w:lineRule="auto"/>
      <w:ind w:firstLine="0"/>
      <w:jc w:val="left"/>
      <w:outlineLvl w:val="9"/>
    </w:pPr>
    <w:rPr>
      <w:rFonts w:ascii="Arial" w:hAnsi="Arial" w:cs="Arial"/>
      <w:sz w:val="20"/>
      <w:szCs w:val="20"/>
    </w:rPr>
  </w:style>
  <w:style w:type="numbering" w:styleId="ArticleSection">
    <w:name w:val="Outline List 3"/>
    <w:basedOn w:val="NoList"/>
    <w:rsid w:val="000E3E09"/>
    <w:pPr>
      <w:numPr>
        <w:numId w:val="35"/>
      </w:numPr>
    </w:pPr>
  </w:style>
  <w:style w:type="paragraph" w:styleId="BodyTextFirstIndent">
    <w:name w:val="Body Text First Indent"/>
    <w:basedOn w:val="BodyText"/>
    <w:link w:val="BodyTextFirstIndentChar"/>
    <w:rsid w:val="000E3E09"/>
    <w:pPr>
      <w:bidi w:val="0"/>
      <w:spacing w:after="120"/>
      <w:ind w:firstLine="210"/>
      <w:jc w:val="left"/>
    </w:pPr>
    <w:rPr>
      <w:szCs w:val="24"/>
    </w:rPr>
  </w:style>
  <w:style w:type="character" w:customStyle="1" w:styleId="BodyTextFirstIndentChar">
    <w:name w:val="Body Text First Indent Char"/>
    <w:link w:val="BodyTextFirstIndent"/>
    <w:rsid w:val="000E3E09"/>
    <w:rPr>
      <w:rFonts w:cs="Times New Roman"/>
      <w:sz w:val="28"/>
      <w:szCs w:val="24"/>
      <w:lang w:eastAsia="ar-SA"/>
    </w:rPr>
  </w:style>
  <w:style w:type="paragraph" w:styleId="BodyTextFirstIndent2">
    <w:name w:val="Body Text First Indent 2"/>
    <w:basedOn w:val="BodyTextIndent"/>
    <w:link w:val="BodyTextFirstIndent2Char"/>
    <w:rsid w:val="000E3E09"/>
    <w:pPr>
      <w:widowControl/>
      <w:bidi w:val="0"/>
      <w:spacing w:after="120"/>
      <w:ind w:left="360" w:firstLine="210"/>
      <w:jc w:val="left"/>
    </w:pPr>
    <w:rPr>
      <w:szCs w:val="24"/>
    </w:rPr>
  </w:style>
  <w:style w:type="character" w:customStyle="1" w:styleId="BodyTextFirstIndent2Char">
    <w:name w:val="Body Text First Indent 2 Char"/>
    <w:link w:val="BodyTextFirstIndent2"/>
    <w:rsid w:val="000E3E09"/>
    <w:rPr>
      <w:rFonts w:cs="Times New Roman"/>
      <w:color w:val="800000"/>
      <w:sz w:val="28"/>
      <w:szCs w:val="24"/>
    </w:rPr>
  </w:style>
  <w:style w:type="character" w:styleId="HTMLSample">
    <w:name w:val="HTML Sample"/>
    <w:rsid w:val="000E3E09"/>
    <w:rPr>
      <w:rFonts w:ascii="Courier New" w:hAnsi="Courier New" w:cs="Courier New"/>
    </w:rPr>
  </w:style>
  <w:style w:type="paragraph" w:customStyle="1" w:styleId="afffff0">
    <w:name w:val="الهامــش"/>
    <w:rsid w:val="000E3E09"/>
    <w:pPr>
      <w:autoSpaceDE w:val="0"/>
      <w:autoSpaceDN w:val="0"/>
      <w:bidi/>
      <w:spacing w:line="399" w:lineRule="atLeast"/>
      <w:ind w:right="255" w:firstLine="255"/>
      <w:jc w:val="both"/>
    </w:pPr>
    <w:rPr>
      <w:rFonts w:cs="Times New Roman"/>
      <w:bCs/>
      <w:sz w:val="22"/>
      <w:szCs w:val="22"/>
    </w:rPr>
  </w:style>
  <w:style w:type="character" w:customStyle="1" w:styleId="Heading1CharChar0">
    <w:name w:val="Heading 1 Char Char"/>
    <w:rsid w:val="000E3E09"/>
    <w:rPr>
      <w:rFonts w:ascii="Arial" w:eastAsia="Calibri" w:hAnsi="Arial" w:cs="AA  Safwa"/>
      <w:sz w:val="32"/>
      <w:szCs w:val="40"/>
      <w:lang w:val="en-US" w:eastAsia="ar-SA" w:bidi="ar-SA"/>
    </w:rPr>
  </w:style>
  <w:style w:type="paragraph" w:customStyle="1" w:styleId="afffff1">
    <w:name w:val="سرد الفقرات"/>
    <w:basedOn w:val="Normal"/>
    <w:qFormat/>
    <w:rsid w:val="000E3E09"/>
    <w:pPr>
      <w:widowControl/>
      <w:spacing w:after="200" w:line="276" w:lineRule="auto"/>
      <w:ind w:left="720" w:firstLine="0"/>
      <w:contextualSpacing/>
      <w:jc w:val="left"/>
      <w:outlineLvl w:val="9"/>
    </w:pPr>
    <w:rPr>
      <w:rFonts w:ascii="Calibri" w:eastAsia="Calibri" w:hAnsi="Calibri" w:cs="Arial"/>
      <w:sz w:val="22"/>
      <w:szCs w:val="22"/>
    </w:rPr>
  </w:style>
  <w:style w:type="character" w:customStyle="1" w:styleId="EndnoteTextCharChar">
    <w:name w:val="Endnote Text Char Char"/>
    <w:rsid w:val="000E3E09"/>
    <w:rPr>
      <w:rFonts w:cs="Lotus Linotype"/>
      <w:sz w:val="28"/>
      <w:szCs w:val="28"/>
      <w:lang w:val="en-US" w:eastAsia="ar-SA" w:bidi="ar-SA"/>
    </w:rPr>
  </w:style>
  <w:style w:type="paragraph" w:customStyle="1" w:styleId="15001">
    <w:name w:val="نمط نمط نمط عنوان جانبي + ‏15 نقطة قبل:  0 نقطة بعد:  0 نقطة + ‏1..."/>
    <w:basedOn w:val="Normal"/>
    <w:rsid w:val="000E3E09"/>
    <w:pPr>
      <w:spacing w:before="80" w:after="40"/>
      <w:ind w:firstLine="0"/>
      <w:outlineLvl w:val="9"/>
    </w:pPr>
    <w:rPr>
      <w:rFonts w:ascii="Lotus Linotype" w:hAnsi="Lotus Linotype" w:cs="MCS Taybah S_U normal."/>
      <w:sz w:val="27"/>
      <w:szCs w:val="27"/>
    </w:rPr>
  </w:style>
  <w:style w:type="paragraph" w:customStyle="1" w:styleId="afffff2">
    <w:name w:val="عنوان كبير"/>
    <w:basedOn w:val="Normal"/>
    <w:qFormat/>
    <w:rsid w:val="000E3E09"/>
    <w:pPr>
      <w:suppressLineNumbers/>
      <w:overflowPunct w:val="0"/>
      <w:autoSpaceDE w:val="0"/>
      <w:autoSpaceDN w:val="0"/>
      <w:adjustRightInd w:val="0"/>
      <w:spacing w:before="1080" w:after="1080" w:line="204" w:lineRule="auto"/>
      <w:ind w:firstLine="340"/>
      <w:jc w:val="center"/>
      <w:textAlignment w:val="baseline"/>
      <w:outlineLvl w:val="9"/>
    </w:pPr>
    <w:rPr>
      <w:rFonts w:cs="Al-SandHigh"/>
      <w:sz w:val="31"/>
      <w:szCs w:val="52"/>
      <w:lang w:eastAsia="ar-SA"/>
    </w:rPr>
  </w:style>
  <w:style w:type="paragraph" w:customStyle="1" w:styleId="611951">
    <w:name w:val="نمط نمط عنوان 6 + السطر الأول:  1 سم تباعد الأسطر:  تام 19.5 نقطة...1"/>
    <w:basedOn w:val="61195"/>
    <w:rsid w:val="00421FD1"/>
    <w:rPr>
      <w:sz w:val="20"/>
      <w:szCs w:val="26"/>
    </w:rPr>
  </w:style>
  <w:style w:type="paragraph" w:customStyle="1" w:styleId="25">
    <w:name w:val="نمط نمط2 + أبيض"/>
    <w:basedOn w:val="20"/>
    <w:rsid w:val="00421FD1"/>
    <w:rPr>
      <w:color w:val="FFFFFF"/>
    </w:rPr>
  </w:style>
  <w:style w:type="paragraph" w:customStyle="1" w:styleId="611952">
    <w:name w:val="نمط نمط عنوان 6 + السطر الأول:  1 سم تباعد الأسطر:  تام 19.5 نقطة...2"/>
    <w:basedOn w:val="61195"/>
    <w:rsid w:val="00421FD1"/>
    <w:pPr>
      <w:spacing w:line="418" w:lineRule="exact"/>
    </w:pPr>
    <w:rPr>
      <w:sz w:val="26"/>
    </w:rPr>
  </w:style>
  <w:style w:type="paragraph" w:customStyle="1" w:styleId="611953">
    <w:name w:val="نمط نمط عنوان 6 + السطر الأول:  1 سم تباعد الأسطر:  تام 19.5 نقطة...3"/>
    <w:basedOn w:val="61195"/>
    <w:rsid w:val="00421FD1"/>
    <w:pPr>
      <w:spacing w:line="418" w:lineRule="exact"/>
    </w:pPr>
    <w:rPr>
      <w:sz w:val="34"/>
      <w:szCs w:val="24"/>
    </w:rPr>
  </w:style>
  <w:style w:type="paragraph" w:customStyle="1" w:styleId="611954">
    <w:name w:val="نمط نمط عنوان 6 + السطر الأول:  1 سم تباعد الأسطر:  تام 19.5 نقطة...4"/>
    <w:basedOn w:val="61195"/>
    <w:link w:val="611954Char"/>
    <w:rsid w:val="00421FD1"/>
    <w:rPr>
      <w:b w:val="0"/>
      <w:sz w:val="26"/>
    </w:rPr>
  </w:style>
  <w:style w:type="character" w:customStyle="1" w:styleId="611954Char">
    <w:name w:val="نمط نمط عنوان 6 + السطر الأول:  1 سم تباعد الأسطر:  تام 19.5 نقطة...4 Char"/>
    <w:link w:val="611954"/>
    <w:rsid w:val="00421FD1"/>
    <w:rPr>
      <w:rFonts w:cs="Simplified Arabic"/>
      <w:b w:val="0"/>
      <w:color w:val="FFFFFF"/>
      <w:sz w:val="26"/>
    </w:rPr>
  </w:style>
  <w:style w:type="character" w:customStyle="1" w:styleId="Abz-3Yagut13">
    <w:name w:val="نمط (العربية وغيرها) Abz-3 (Yagut) ‏13 نقطة (مركب) غامق أسود ..."/>
    <w:rsid w:val="00421FD1"/>
    <w:rPr>
      <w:rFonts w:cs="Abz-3 (Yagut)"/>
      <w:bCs/>
      <w:color w:val="000000"/>
      <w:spacing w:val="0"/>
      <w:sz w:val="26"/>
      <w:szCs w:val="26"/>
    </w:rPr>
  </w:style>
  <w:style w:type="character" w:customStyle="1" w:styleId="CharChar12">
    <w:name w:val="Char Char12"/>
    <w:rsid w:val="002D3095"/>
    <w:rPr>
      <w:rFonts w:cs="Simplified Arabic"/>
      <w:bCs/>
      <w:sz w:val="28"/>
      <w:szCs w:val="28"/>
      <w:lang w:val="en-US" w:eastAsia="en-US" w:bidi="ar-SA"/>
    </w:rPr>
  </w:style>
  <w:style w:type="paragraph" w:customStyle="1" w:styleId="afffff3">
    <w:name w:val="تحت الرئيسي"/>
    <w:basedOn w:val="400"/>
    <w:link w:val="Charf5"/>
    <w:rsid w:val="002D3095"/>
    <w:pPr>
      <w:spacing w:line="600" w:lineRule="exact"/>
    </w:pPr>
    <w:rPr>
      <w:sz w:val="36"/>
      <w:szCs w:val="36"/>
    </w:rPr>
  </w:style>
  <w:style w:type="character" w:customStyle="1" w:styleId="Charf5">
    <w:name w:val="تحت الرئيسي Char"/>
    <w:link w:val="afffff3"/>
    <w:rsid w:val="002D3095"/>
    <w:rPr>
      <w:rFonts w:ascii="Calibri" w:eastAsia="Times New Roman" w:hAnsi="Calibri" w:cs="SKR HEAD1"/>
      <w:b/>
      <w:bCs/>
      <w:color w:val="000000"/>
      <w:spacing w:val="-4"/>
      <w:sz w:val="36"/>
      <w:szCs w:val="36"/>
    </w:rPr>
  </w:style>
  <w:style w:type="paragraph" w:customStyle="1" w:styleId="afffff4">
    <w:name w:val="عنوان في المتن"/>
    <w:basedOn w:val="1020"/>
    <w:rsid w:val="002D3095"/>
    <w:pPr>
      <w:spacing w:before="240" w:after="60"/>
    </w:pPr>
  </w:style>
  <w:style w:type="paragraph" w:customStyle="1" w:styleId="18">
    <w:name w:val="عنوان داخل المتن 1"/>
    <w:basedOn w:val="af2"/>
    <w:link w:val="1Char2"/>
    <w:uiPriority w:val="99"/>
    <w:rsid w:val="002D3095"/>
    <w:pPr>
      <w:autoSpaceDE/>
      <w:autoSpaceDN/>
      <w:spacing w:line="400" w:lineRule="exact"/>
      <w:jc w:val="left"/>
      <w:outlineLvl w:val="0"/>
    </w:pPr>
    <w:rPr>
      <w:rFonts w:eastAsia="SimSun"/>
      <w:bCs/>
      <w:color w:val="000000"/>
      <w:sz w:val="26"/>
      <w:szCs w:val="26"/>
    </w:rPr>
  </w:style>
  <w:style w:type="character" w:customStyle="1" w:styleId="1Char2">
    <w:name w:val="عنوان داخل المتن 1 Char"/>
    <w:link w:val="18"/>
    <w:uiPriority w:val="99"/>
    <w:locked/>
    <w:rsid w:val="002D3095"/>
    <w:rPr>
      <w:rFonts w:eastAsia="SimSun" w:cs="Abz-3 (Yagut)"/>
      <w:bCs/>
      <w:color w:val="000000"/>
      <w:sz w:val="26"/>
      <w:szCs w:val="26"/>
      <w:lang w:eastAsia="ar-SA"/>
    </w:rPr>
  </w:style>
  <w:style w:type="character" w:customStyle="1" w:styleId="CharChar5">
    <w:name w:val="Char Char5"/>
    <w:rsid w:val="002D3095"/>
    <w:rPr>
      <w:rFonts w:cs="SKR HEAD1"/>
      <w:color w:val="000000"/>
      <w:spacing w:val="-4"/>
      <w:szCs w:val="48"/>
      <w:lang w:val="en-US" w:eastAsia="en-US" w:bidi="ar-SA"/>
    </w:rPr>
  </w:style>
  <w:style w:type="character" w:customStyle="1" w:styleId="CharChar42">
    <w:name w:val="Char Char42"/>
    <w:rsid w:val="002D3095"/>
    <w:rPr>
      <w:rFonts w:cs="Simplified Arabic"/>
      <w:color w:val="000000"/>
      <w:sz w:val="28"/>
      <w:szCs w:val="28"/>
      <w:lang w:val="en-US" w:eastAsia="en-US" w:bidi="ar-SA"/>
    </w:rPr>
  </w:style>
  <w:style w:type="character" w:customStyle="1" w:styleId="CharChar3">
    <w:name w:val="Char Char3"/>
    <w:rsid w:val="002D3095"/>
    <w:rPr>
      <w:rFonts w:cs="Arial"/>
      <w:bCs/>
      <w:sz w:val="28"/>
      <w:szCs w:val="28"/>
      <w:lang w:val="en-US" w:eastAsia="en-US" w:bidi="ar-SA"/>
    </w:rPr>
  </w:style>
  <w:style w:type="character" w:customStyle="1" w:styleId="CharChar20">
    <w:name w:val="Char Char2"/>
    <w:rsid w:val="002D3095"/>
    <w:rPr>
      <w:rFonts w:cs="Simplified Arabic"/>
      <w:b/>
      <w:color w:val="FFFFFF"/>
      <w:sz w:val="28"/>
      <w:szCs w:val="28"/>
      <w:lang w:val="en-US" w:eastAsia="en-US" w:bidi="ar-SA"/>
    </w:rPr>
  </w:style>
  <w:style w:type="character" w:customStyle="1" w:styleId="CharChar10">
    <w:name w:val="Char Char1"/>
    <w:rsid w:val="002D3095"/>
    <w:rPr>
      <w:rFonts w:cs="md_ameli"/>
      <w:noProof/>
      <w:spacing w:val="-4"/>
      <w:szCs w:val="26"/>
      <w:lang w:val="en-US" w:eastAsia="ar-SA" w:bidi="ar-SA"/>
    </w:rPr>
  </w:style>
  <w:style w:type="paragraph" w:customStyle="1" w:styleId="19">
    <w:name w:val="موضوع تعليق1"/>
    <w:basedOn w:val="CommentText"/>
    <w:next w:val="CommentText"/>
    <w:semiHidden/>
    <w:rsid w:val="002D3095"/>
    <w:pPr>
      <w:widowControl w:val="0"/>
      <w:spacing w:before="100" w:line="400" w:lineRule="exact"/>
      <w:jc w:val="lowKashida"/>
    </w:pPr>
    <w:rPr>
      <w:rFonts w:cs="md_ameli"/>
      <w:b/>
      <w:bCs/>
      <w:spacing w:val="-4"/>
      <w:sz w:val="24"/>
      <w:lang w:eastAsia="en-US"/>
    </w:rPr>
  </w:style>
  <w:style w:type="paragraph" w:customStyle="1" w:styleId="1a">
    <w:name w:val="نص في بالون1"/>
    <w:basedOn w:val="Normal"/>
    <w:semiHidden/>
    <w:rsid w:val="002D3095"/>
    <w:pPr>
      <w:widowControl/>
      <w:spacing w:line="240" w:lineRule="auto"/>
      <w:ind w:firstLine="0"/>
      <w:outlineLvl w:val="9"/>
    </w:pPr>
    <w:rPr>
      <w:rFonts w:ascii="Tahoma" w:hAnsi="Tahoma" w:cs="Tahoma"/>
      <w:sz w:val="16"/>
      <w:szCs w:val="16"/>
    </w:rPr>
  </w:style>
  <w:style w:type="paragraph" w:customStyle="1" w:styleId="afffff5">
    <w:name w:val="مجلة"/>
    <w:rsid w:val="0032747E"/>
    <w:pPr>
      <w:bidi/>
      <w:spacing w:line="471" w:lineRule="atLeast"/>
      <w:jc w:val="lowKashida"/>
    </w:pPr>
    <w:rPr>
      <w:rFonts w:cs="Times New Roman"/>
      <w:sz w:val="24"/>
      <w:szCs w:val="22"/>
      <w:lang w:eastAsia="ar-SA"/>
    </w:rPr>
  </w:style>
  <w:style w:type="character" w:customStyle="1" w:styleId="afffff6">
    <w:name w:val="هامش فوق"/>
    <w:uiPriority w:val="1"/>
    <w:qFormat/>
    <w:rsid w:val="00BF2105"/>
    <w:rPr>
      <w:rFonts w:ascii="Taher" w:hAnsi="Taher" w:cs="Taher"/>
      <w:dstrike w:val="0"/>
      <w:sz w:val="30"/>
      <w:szCs w:val="30"/>
      <w:vertAlign w:val="superscript"/>
    </w:rPr>
  </w:style>
  <w:style w:type="character" w:customStyle="1" w:styleId="Char7">
    <w:name w:val="اسم الكاتب Char"/>
    <w:link w:val="af7"/>
    <w:rsid w:val="00A72D5F"/>
    <w:rPr>
      <w:rFonts w:cs="DanaFajr"/>
      <w:bCs/>
      <w:sz w:val="26"/>
      <w:szCs w:val="34"/>
      <w:lang w:eastAsia="ar-SA"/>
    </w:rPr>
  </w:style>
  <w:style w:type="paragraph" w:customStyle="1" w:styleId="afffff7">
    <w:name w:val="نمط جديد جدا"/>
    <w:basedOn w:val="af2"/>
    <w:link w:val="Charf6"/>
    <w:rsid w:val="00C52655"/>
    <w:rPr>
      <w:rFonts w:eastAsia="Times New Roman" w:cs="Sultan Medium"/>
      <w:lang w:bidi="ar-IQ"/>
    </w:rPr>
  </w:style>
  <w:style w:type="character" w:customStyle="1" w:styleId="Charf6">
    <w:name w:val="نمط جديد جدا Char"/>
    <w:link w:val="afffff7"/>
    <w:rsid w:val="00C52655"/>
    <w:rPr>
      <w:rFonts w:eastAsia="Times New Roman" w:cs="Sultan Medium"/>
      <w:lang w:eastAsia="ar-SA" w:bidi="ar-IQ"/>
    </w:rPr>
  </w:style>
  <w:style w:type="paragraph" w:customStyle="1" w:styleId="afffff8">
    <w:name w:val="متن (كتب)"/>
    <w:basedOn w:val="Normal"/>
    <w:rsid w:val="00480703"/>
    <w:pPr>
      <w:autoSpaceDE w:val="0"/>
      <w:autoSpaceDN w:val="0"/>
      <w:adjustRightInd w:val="0"/>
      <w:spacing w:line="418" w:lineRule="exact"/>
      <w:ind w:firstLine="567"/>
      <w:outlineLvl w:val="9"/>
    </w:pPr>
    <w:rPr>
      <w:rFonts w:eastAsia="SimSun" w:cs="AL-Mohanad"/>
      <w:sz w:val="26"/>
      <w:szCs w:val="27"/>
      <w:lang w:eastAsia="ar-SA"/>
    </w:rPr>
  </w:style>
  <w:style w:type="character" w:customStyle="1" w:styleId="CharChar9">
    <w:name w:val="Char Char9"/>
    <w:rsid w:val="0062295C"/>
    <w:rPr>
      <w:rFonts w:cs="Arabic Transparent"/>
      <w:sz w:val="28"/>
      <w:szCs w:val="28"/>
      <w:lang w:val="en-US" w:eastAsia="ar-SA" w:bidi="ar-SA"/>
    </w:rPr>
  </w:style>
  <w:style w:type="character" w:customStyle="1" w:styleId="CharChar8">
    <w:name w:val="Char Char8"/>
    <w:rsid w:val="0062295C"/>
    <w:rPr>
      <w:rFonts w:cs="Arabic Transparent"/>
      <w:b/>
      <w:bCs/>
      <w:sz w:val="28"/>
      <w:szCs w:val="28"/>
      <w:lang w:val="en-US" w:eastAsia="ar-SA" w:bidi="ar-SA"/>
    </w:rPr>
  </w:style>
  <w:style w:type="character" w:customStyle="1" w:styleId="CharChar7">
    <w:name w:val="Char Char7"/>
    <w:rsid w:val="0062295C"/>
    <w:rPr>
      <w:rFonts w:ascii="Arial" w:hAnsi="Arial" w:cs="Arial"/>
      <w:b/>
      <w:bCs/>
      <w:sz w:val="26"/>
      <w:szCs w:val="26"/>
      <w:lang w:val="en-US" w:eastAsia="ar-SA" w:bidi="ar-SA"/>
    </w:rPr>
  </w:style>
  <w:style w:type="character" w:customStyle="1" w:styleId="CharChar6">
    <w:name w:val="Char Char6"/>
    <w:rsid w:val="0062295C"/>
    <w:rPr>
      <w:rFonts w:cs="ALAWI-3-62"/>
      <w:color w:val="008000"/>
      <w:sz w:val="28"/>
      <w:szCs w:val="28"/>
      <w:lang w:val="en-US" w:eastAsia="en-US" w:bidi="ar-SA"/>
    </w:rPr>
  </w:style>
  <w:style w:type="character" w:customStyle="1" w:styleId="CharChar51">
    <w:name w:val="Char Char51"/>
    <w:rsid w:val="0062295C"/>
    <w:rPr>
      <w:rFonts w:cs="AL-Mohanad"/>
      <w:b/>
      <w:bCs/>
      <w:color w:val="000000"/>
      <w:sz w:val="28"/>
      <w:szCs w:val="40"/>
      <w:lang w:val="en-US" w:eastAsia="en-US" w:bidi="ar-SA"/>
    </w:rPr>
  </w:style>
  <w:style w:type="character" w:customStyle="1" w:styleId="CharChar31">
    <w:name w:val="Char Char31"/>
    <w:rsid w:val="0062295C"/>
    <w:rPr>
      <w:rFonts w:cs="PT Bold Broken"/>
      <w:b/>
      <w:bCs/>
      <w:sz w:val="40"/>
      <w:szCs w:val="40"/>
      <w:lang w:val="en-US" w:eastAsia="ar-SA" w:bidi="ar-SA"/>
    </w:rPr>
  </w:style>
  <w:style w:type="character" w:customStyle="1" w:styleId="Charf7">
    <w:name w:val="هوامش Char"/>
    <w:rsid w:val="0062295C"/>
    <w:rPr>
      <w:rFonts w:cs="K Sina"/>
      <w:spacing w:val="-4"/>
      <w:sz w:val="24"/>
      <w:szCs w:val="24"/>
      <w:lang w:val="en-US" w:eastAsia="ar-SA" w:bidi="ar-SA"/>
    </w:rPr>
  </w:style>
  <w:style w:type="character" w:customStyle="1" w:styleId="CharChar21">
    <w:name w:val="Char Char21"/>
    <w:semiHidden/>
    <w:rsid w:val="0062295C"/>
    <w:rPr>
      <w:rFonts w:cs="Arabic Transparent"/>
      <w:sz w:val="28"/>
      <w:szCs w:val="28"/>
      <w:lang w:eastAsia="ar-SA" w:bidi="ar-SA"/>
    </w:rPr>
  </w:style>
  <w:style w:type="character" w:customStyle="1" w:styleId="CharChar11">
    <w:name w:val="Char Char11"/>
    <w:rsid w:val="0062295C"/>
    <w:rPr>
      <w:lang w:val="en-US" w:eastAsia="ar-SA" w:bidi="ar-SA"/>
    </w:rPr>
  </w:style>
  <w:style w:type="character" w:customStyle="1" w:styleId="CharChar100">
    <w:name w:val="Char Char10"/>
    <w:semiHidden/>
    <w:rsid w:val="0062295C"/>
    <w:rPr>
      <w:color w:val="800000"/>
      <w:sz w:val="28"/>
      <w:szCs w:val="28"/>
      <w:lang w:bidi="ar-SA"/>
    </w:rPr>
  </w:style>
  <w:style w:type="character" w:customStyle="1" w:styleId="KSina13Char0">
    <w:name w:val="نمط نمط بقلم وترجمة + (العربية وغيرها) K Sina (لاتيني) ‏13 نقطة د... Char"/>
    <w:rsid w:val="0062295C"/>
    <w:rPr>
      <w:rFonts w:eastAsia="SimSun" w:cs="K Sina"/>
      <w:b/>
      <w:bCs/>
      <w:sz w:val="26"/>
      <w:szCs w:val="20"/>
      <w:lang w:val="en-US" w:eastAsia="ar-SA" w:bidi="ar-SA"/>
    </w:rPr>
  </w:style>
  <w:style w:type="paragraph" w:customStyle="1" w:styleId="AL-Mohanad13">
    <w:name w:val="نمط اصلى + (العربية وغيرها) AL-Mohanad (لاتيني) ‏13 نقطة (العرب..."/>
    <w:basedOn w:val="af9"/>
    <w:semiHidden/>
    <w:rsid w:val="0062295C"/>
    <w:rPr>
      <w:rFonts w:eastAsia="SimSun" w:cs="AL-Mohanad"/>
      <w:b/>
      <w:bCs w:val="0"/>
      <w:sz w:val="26"/>
      <w:szCs w:val="27"/>
    </w:rPr>
  </w:style>
  <w:style w:type="character" w:customStyle="1" w:styleId="Arial18">
    <w:name w:val="نمط (لاتيني) Arial (لاتيني) ‏18 نقطة (لاتيني) غامق أسود"/>
    <w:semiHidden/>
    <w:rsid w:val="0062295C"/>
    <w:rPr>
      <w:rFonts w:ascii="Arial" w:hAnsi="Arial"/>
      <w:color w:val="000000"/>
      <w:sz w:val="28"/>
    </w:rPr>
  </w:style>
  <w:style w:type="character" w:customStyle="1" w:styleId="CharChar41">
    <w:name w:val="Char Char41"/>
    <w:rsid w:val="0062295C"/>
    <w:rPr>
      <w:rFonts w:cs="Simplified Arabic"/>
      <w:color w:val="000000"/>
      <w:sz w:val="28"/>
      <w:szCs w:val="28"/>
      <w:lang w:val="en-US" w:eastAsia="en-US" w:bidi="ar-SA"/>
    </w:rPr>
  </w:style>
  <w:style w:type="paragraph" w:customStyle="1" w:styleId="34">
    <w:name w:val="نمط3"/>
    <w:basedOn w:val="af0"/>
    <w:rsid w:val="0062295C"/>
    <w:pPr>
      <w:spacing w:line="380" w:lineRule="exact"/>
      <w:jc w:val="both"/>
    </w:pPr>
    <w:rPr>
      <w:rFonts w:eastAsia="SimSun"/>
    </w:rPr>
  </w:style>
  <w:style w:type="paragraph" w:customStyle="1" w:styleId="afffff9">
    <w:name w:val="حاشية ملسي يساكمنلتسيمنت"/>
    <w:basedOn w:val="af0"/>
    <w:rsid w:val="0062295C"/>
    <w:pPr>
      <w:spacing w:line="380" w:lineRule="exact"/>
      <w:jc w:val="both"/>
    </w:pPr>
    <w:rPr>
      <w:rFonts w:eastAsia="SimSun"/>
    </w:rPr>
  </w:style>
  <w:style w:type="character" w:customStyle="1" w:styleId="Charf8">
    <w:name w:val="تعداد فرعي Char"/>
    <w:rsid w:val="0062295C"/>
    <w:rPr>
      <w:rFonts w:eastAsia="SimSun" w:cs="AL-Mohanad"/>
      <w:bCs w:val="0"/>
      <w:sz w:val="26"/>
      <w:szCs w:val="27"/>
      <w:lang w:val="en-US" w:eastAsia="ar-SA" w:bidi="ar-SA"/>
    </w:rPr>
  </w:style>
  <w:style w:type="character" w:customStyle="1" w:styleId="Charf9">
    <w:name w:val="الحاشية Char"/>
    <w:rsid w:val="0062295C"/>
    <w:rPr>
      <w:rFonts w:cs="md_ameli"/>
      <w:noProof/>
      <w:spacing w:val="-6"/>
      <w:sz w:val="22"/>
      <w:szCs w:val="22"/>
      <w:lang w:val="en-US" w:eastAsia="ar-SA" w:bidi="ar-SA"/>
    </w:rPr>
  </w:style>
  <w:style w:type="paragraph" w:customStyle="1" w:styleId="afffffa">
    <w:name w:val="الحاشية"/>
    <w:basedOn w:val="Normal"/>
    <w:rsid w:val="0062295C"/>
    <w:pPr>
      <w:spacing w:line="320" w:lineRule="exact"/>
      <w:ind w:firstLine="0"/>
      <w:jc w:val="lowKashida"/>
      <w:outlineLvl w:val="9"/>
    </w:pPr>
    <w:rPr>
      <w:rFonts w:eastAsia="SimSun" w:cs="md_ameli"/>
      <w:noProof/>
      <w:spacing w:val="-6"/>
      <w:sz w:val="22"/>
      <w:szCs w:val="22"/>
      <w:lang w:eastAsia="ar-SA"/>
    </w:rPr>
  </w:style>
  <w:style w:type="paragraph" w:customStyle="1" w:styleId="124">
    <w:name w:val="نمط عنوان 1 + تباعد الأسطر:  تام 24 نقطة"/>
    <w:basedOn w:val="Heading1"/>
    <w:link w:val="124Char"/>
    <w:rsid w:val="001533CF"/>
    <w:pPr>
      <w:keepNext w:val="0"/>
      <w:spacing w:line="480" w:lineRule="exact"/>
    </w:pPr>
    <w:rPr>
      <w:rFonts w:eastAsia="Times New Roman" w:cs="Ya-Ali"/>
      <w:b w:val="0"/>
      <w:bCs w:val="0"/>
      <w:kern w:val="0"/>
      <w:szCs w:val="44"/>
      <w:lang w:eastAsia="ar-SA"/>
    </w:rPr>
  </w:style>
  <w:style w:type="character" w:customStyle="1" w:styleId="HEADING1Char2">
    <w:name w:val="HEADING 1 Char2"/>
    <w:link w:val="Heading12"/>
    <w:rsid w:val="00EB3C62"/>
    <w:rPr>
      <w:rFonts w:cs="Simplified Arabic"/>
      <w:bCs/>
      <w:color w:val="FFFFFF"/>
      <w:sz w:val="24"/>
      <w:szCs w:val="24"/>
      <w:lang w:val="en-US" w:eastAsia="ar-SA" w:bidi="ar-SA"/>
    </w:rPr>
  </w:style>
  <w:style w:type="character" w:customStyle="1" w:styleId="130Char0">
    <w:name w:val="نمط نمط العنوان الجانبي اساس + (لاتيني) ‏13 نقطة قبل:  0 نقطة تبا... Char"/>
    <w:link w:val="1301"/>
    <w:rsid w:val="00EB3C62"/>
  </w:style>
  <w:style w:type="paragraph" w:customStyle="1" w:styleId="Char225">
    <w:name w:val="نمط عنوان المقال Char + تباعد الأسطر:  تام 22.5 نقطة"/>
    <w:basedOn w:val="Chard"/>
    <w:rsid w:val="00EB3C62"/>
    <w:pPr>
      <w:spacing w:line="450" w:lineRule="exact"/>
      <w:jc w:val="center"/>
    </w:pPr>
    <w:rPr>
      <w:rFonts w:eastAsia="Times New Roman"/>
      <w:szCs w:val="40"/>
    </w:rPr>
  </w:style>
  <w:style w:type="paragraph" w:customStyle="1" w:styleId="afffffb">
    <w:name w:val="الايسر"/>
    <w:basedOn w:val="KSina13"/>
    <w:rsid w:val="00EB3C62"/>
    <w:pPr>
      <w:ind w:left="0"/>
      <w:jc w:val="right"/>
    </w:pPr>
    <w:rPr>
      <w:rFonts w:eastAsia="Times New Roman"/>
      <w:szCs w:val="22"/>
    </w:rPr>
  </w:style>
  <w:style w:type="paragraph" w:customStyle="1" w:styleId="Char2250">
    <w:name w:val="نمط نمط عنوان المقال Char + تباعد الأسطر:  تام 22.5 نقطة + تباعد ..."/>
    <w:basedOn w:val="Char225"/>
    <w:rsid w:val="00EB3C62"/>
    <w:pPr>
      <w:spacing w:line="240" w:lineRule="auto"/>
    </w:pPr>
  </w:style>
  <w:style w:type="paragraph" w:customStyle="1" w:styleId="220">
    <w:name w:val="نمط الايسر + تباعد الأسطر:  تام 22 نقطة"/>
    <w:basedOn w:val="afffffb"/>
    <w:rsid w:val="00EB3C62"/>
    <w:pPr>
      <w:spacing w:line="240" w:lineRule="auto"/>
    </w:pPr>
  </w:style>
  <w:style w:type="paragraph" w:customStyle="1" w:styleId="1302">
    <w:name w:val="نمط نمط نمط العنوان الجانبي اساس + (لاتيني) ‏13 نقطة قبل:  0 نقطة..."/>
    <w:basedOn w:val="1301"/>
    <w:link w:val="130Char1"/>
    <w:rsid w:val="00EB3C62"/>
    <w:pPr>
      <w:spacing w:line="240" w:lineRule="auto"/>
      <w:jc w:val="left"/>
    </w:pPr>
    <w:rPr>
      <w:rFonts w:eastAsia="Times New Roman"/>
      <w:szCs w:val="28"/>
    </w:rPr>
  </w:style>
  <w:style w:type="character" w:customStyle="1" w:styleId="130Char1">
    <w:name w:val="نمط نمط نمط العنوان الجانبي اساس + (لاتيني) ‏13 نقطة قبل:  0 نقطة... Char"/>
    <w:link w:val="1302"/>
    <w:rsid w:val="00EB3C62"/>
    <w:rPr>
      <w:rFonts w:eastAsia="Times New Roman" w:cs="HeshamNormal"/>
      <w:color w:val="000000"/>
      <w:sz w:val="26"/>
      <w:szCs w:val="28"/>
      <w:lang w:eastAsia="ar-SA"/>
    </w:rPr>
  </w:style>
  <w:style w:type="paragraph" w:customStyle="1" w:styleId="35">
    <w:name w:val="3"/>
    <w:basedOn w:val="Normal"/>
    <w:semiHidden/>
    <w:rsid w:val="00EB3C62"/>
    <w:pPr>
      <w:widowControl/>
      <w:spacing w:line="390" w:lineRule="exact"/>
      <w:ind w:left="284" w:hanging="284"/>
      <w:outlineLvl w:val="9"/>
    </w:pPr>
    <w:rPr>
      <w:rFonts w:ascii="MS Sans Serif" w:eastAsia="Times New Roman" w:hAnsi="MS Sans Serif" w:cs="Traditional Arabic"/>
      <w:b/>
      <w:noProof/>
      <w:sz w:val="26"/>
      <w:szCs w:val="26"/>
      <w:lang w:eastAsia="ar-SA"/>
    </w:rPr>
  </w:style>
  <w:style w:type="paragraph" w:customStyle="1" w:styleId="1Al-Hussain19">
    <w:name w:val="نمط نمط عنوان 1 + (العربية وغيرها) Al-Hussain (لاتيني) ‏19 نقطة (..."/>
    <w:basedOn w:val="Normal"/>
    <w:rsid w:val="00EB3C62"/>
    <w:pPr>
      <w:keepNext/>
      <w:widowControl/>
      <w:spacing w:line="560" w:lineRule="exact"/>
      <w:ind w:firstLine="0"/>
      <w:jc w:val="left"/>
    </w:pPr>
    <w:rPr>
      <w:rFonts w:eastAsia="Times New Roman" w:cs="Al-Hussain"/>
      <w:b/>
      <w:bCs/>
      <w:color w:val="000000"/>
      <w:sz w:val="38"/>
      <w:szCs w:val="36"/>
      <w:lang w:eastAsia="ar-SA"/>
    </w:rPr>
  </w:style>
  <w:style w:type="paragraph" w:customStyle="1" w:styleId="3Abz-3Yagut">
    <w:name w:val="نمط عنوان 3 + (العربية وغيرها) Abz-3 (Yagut)"/>
    <w:basedOn w:val="Heading3"/>
    <w:link w:val="3Abz-3YagutChar"/>
    <w:rsid w:val="00EB3C62"/>
    <w:pPr>
      <w:keepNext w:val="0"/>
      <w:spacing w:before="0" w:after="0" w:line="480" w:lineRule="exact"/>
      <w:ind w:firstLine="0"/>
      <w:jc w:val="left"/>
    </w:pPr>
    <w:rPr>
      <w:rFonts w:ascii="Arial" w:hAnsi="Arial"/>
      <w:szCs w:val="28"/>
      <w:lang w:eastAsia="ar-SA"/>
    </w:rPr>
  </w:style>
  <w:style w:type="character" w:customStyle="1" w:styleId="3Abz-3YagutChar">
    <w:name w:val="نمط عنوان 3 + (العربية وغيرها) Abz-3 (Yagut) Char"/>
    <w:link w:val="3Abz-3Yagut"/>
    <w:rsid w:val="00EB3C62"/>
    <w:rPr>
      <w:rFonts w:ascii="Arial" w:eastAsia="Times New Roman" w:hAnsi="Arial" w:cs="Abz-3 (Yagut)"/>
      <w:b/>
      <w:bCs/>
      <w:sz w:val="26"/>
      <w:szCs w:val="28"/>
      <w:lang w:eastAsia="ar-SA"/>
    </w:rPr>
  </w:style>
  <w:style w:type="paragraph" w:customStyle="1" w:styleId="9">
    <w:name w:val="نمط عنوان 9 + (مركب) غامق"/>
    <w:basedOn w:val="Heading9"/>
    <w:rsid w:val="00EB3C62"/>
    <w:pPr>
      <w:ind w:firstLine="0"/>
      <w:jc w:val="center"/>
    </w:pPr>
    <w:rPr>
      <w:rFonts w:eastAsia="Times New Roman"/>
      <w:color w:val="FFFFFF"/>
    </w:rPr>
  </w:style>
  <w:style w:type="paragraph" w:customStyle="1" w:styleId="3Abz-3Yagut0">
    <w:name w:val="نمط نمط عنوان 3 + (العربية وغيرها) Abz-3 (Yagut) + تباعد الأسطر: ..."/>
    <w:basedOn w:val="3Abz-3Yagut"/>
    <w:rsid w:val="00EB3C62"/>
    <w:pPr>
      <w:spacing w:line="460" w:lineRule="exact"/>
    </w:pPr>
    <w:rPr>
      <w:rFonts w:cs="Ya-Ali"/>
      <w:bCs w:val="0"/>
      <w:szCs w:val="32"/>
    </w:rPr>
  </w:style>
  <w:style w:type="paragraph" w:customStyle="1" w:styleId="afffffc">
    <w:name w:val="الفاصلة بين العنوان"/>
    <w:basedOn w:val="afffff8"/>
    <w:qFormat/>
    <w:rsid w:val="00C67ACF"/>
    <w:pPr>
      <w:spacing w:line="240" w:lineRule="auto"/>
    </w:pPr>
    <w:rPr>
      <w:rFonts w:cs="Mosawi"/>
      <w:szCs w:val="24"/>
    </w:rPr>
  </w:style>
  <w:style w:type="paragraph" w:customStyle="1" w:styleId="1b">
    <w:name w:val="عنوان البحث 1"/>
    <w:basedOn w:val="Normal"/>
    <w:rsid w:val="008405E0"/>
    <w:pPr>
      <w:spacing w:after="60" w:line="460" w:lineRule="exact"/>
      <w:ind w:firstLine="0"/>
      <w:jc w:val="center"/>
    </w:pPr>
    <w:rPr>
      <w:rFonts w:eastAsia="Times New Roman" w:cs="Abz-3 (Yagut)"/>
      <w:bCs/>
      <w:sz w:val="36"/>
      <w:szCs w:val="36"/>
      <w:lang w:eastAsia="ar-SA"/>
    </w:rPr>
  </w:style>
  <w:style w:type="paragraph" w:customStyle="1" w:styleId="afffffd">
    <w:name w:val="المدخل"/>
    <w:basedOn w:val="Normal"/>
    <w:rsid w:val="008405E0"/>
    <w:pPr>
      <w:spacing w:line="460" w:lineRule="exact"/>
      <w:ind w:firstLine="539"/>
      <w:jc w:val="center"/>
      <w:outlineLvl w:val="9"/>
    </w:pPr>
    <w:rPr>
      <w:rFonts w:eastAsia="Times New Roman" w:cs="AGA Juhyna Regular"/>
      <w:b/>
      <w:bCs/>
      <w:sz w:val="48"/>
      <w:szCs w:val="48"/>
      <w:lang w:eastAsia="ar-SA"/>
    </w:rPr>
  </w:style>
  <w:style w:type="paragraph" w:customStyle="1" w:styleId="Heading12">
    <w:name w:val="Heading 12"/>
    <w:basedOn w:val="Normal"/>
    <w:link w:val="HEADING1Char2"/>
    <w:semiHidden/>
    <w:rsid w:val="00BA281B"/>
    <w:pPr>
      <w:widowControl/>
      <w:spacing w:before="120" w:line="480" w:lineRule="exact"/>
      <w:ind w:firstLine="0"/>
      <w:jc w:val="left"/>
      <w:outlineLvl w:val="9"/>
    </w:pPr>
    <w:rPr>
      <w:rFonts w:cs="Simplified Arabic"/>
      <w:bCs/>
      <w:color w:val="FFFFFF"/>
      <w:szCs w:val="24"/>
      <w:lang w:eastAsia="ar-SA"/>
    </w:rPr>
  </w:style>
  <w:style w:type="paragraph" w:customStyle="1" w:styleId="afffffe">
    <w:name w:val="عنوان الكتاب"/>
    <w:basedOn w:val="Normal"/>
    <w:rsid w:val="00BA281B"/>
    <w:pPr>
      <w:spacing w:line="240" w:lineRule="auto"/>
      <w:ind w:firstLine="0"/>
      <w:jc w:val="center"/>
      <w:outlineLvl w:val="9"/>
    </w:pPr>
    <w:rPr>
      <w:rFonts w:eastAsia="Times New Roman" w:cs="Bader"/>
      <w:sz w:val="76"/>
      <w:szCs w:val="71"/>
      <w:lang w:eastAsia="ar-SA"/>
    </w:rPr>
  </w:style>
  <w:style w:type="paragraph" w:customStyle="1" w:styleId="affffff">
    <w:name w:val="اسم المؤلف"/>
    <w:basedOn w:val="Normal"/>
    <w:rsid w:val="00BA281B"/>
    <w:pPr>
      <w:spacing w:line="240" w:lineRule="auto"/>
      <w:ind w:left="284" w:right="284" w:firstLine="0"/>
      <w:jc w:val="lowKashida"/>
      <w:outlineLvl w:val="9"/>
    </w:pPr>
    <w:rPr>
      <w:rFonts w:eastAsia="Times New Roman" w:cs="Ya-Ali"/>
      <w:sz w:val="32"/>
      <w:szCs w:val="32"/>
      <w:lang w:eastAsia="ar-SA"/>
    </w:rPr>
  </w:style>
  <w:style w:type="paragraph" w:customStyle="1" w:styleId="affffff0">
    <w:name w:val="عنوان المقال"/>
    <w:basedOn w:val="Title"/>
    <w:rsid w:val="00BA281B"/>
    <w:pPr>
      <w:widowControl w:val="0"/>
      <w:spacing w:line="480" w:lineRule="exact"/>
      <w:jc w:val="left"/>
    </w:pPr>
    <w:rPr>
      <w:rFonts w:eastAsia="Times New Roman" w:cs="HeshamNormal"/>
      <w:b w:val="0"/>
      <w:bCs w:val="0"/>
      <w:sz w:val="26"/>
      <w:szCs w:val="50"/>
    </w:rPr>
  </w:style>
  <w:style w:type="paragraph" w:customStyle="1" w:styleId="affffff1">
    <w:name w:val="تحت البحث"/>
    <w:basedOn w:val="124"/>
    <w:link w:val="Charfa"/>
    <w:rsid w:val="00BA281B"/>
    <w:pPr>
      <w:spacing w:line="460" w:lineRule="exact"/>
    </w:pPr>
    <w:rPr>
      <w:kern w:val="32"/>
      <w:sz w:val="24"/>
      <w:szCs w:val="32"/>
    </w:rPr>
  </w:style>
  <w:style w:type="paragraph" w:customStyle="1" w:styleId="1c">
    <w:name w:val="اسم المؤلف1"/>
    <w:basedOn w:val="KSina130"/>
    <w:link w:val="1Char3"/>
    <w:rsid w:val="00BA281B"/>
    <w:pPr>
      <w:widowControl w:val="0"/>
      <w:spacing w:line="460" w:lineRule="exact"/>
      <w:ind w:left="4282"/>
      <w:jc w:val="right"/>
    </w:pPr>
    <w:rPr>
      <w:rFonts w:eastAsia="Times New Roman" w:cs="K Sina"/>
    </w:rPr>
  </w:style>
  <w:style w:type="character" w:customStyle="1" w:styleId="124Char">
    <w:name w:val="نمط عنوان 1 + تباعد الأسطر:  تام 24 نقطة Char"/>
    <w:basedOn w:val="Heading1Char"/>
    <w:link w:val="124"/>
    <w:rsid w:val="00BA281B"/>
    <w:rPr>
      <w:rFonts w:eastAsia="Times New Roman" w:cs="Ya-Ali"/>
      <w:b w:val="0"/>
      <w:bCs w:val="0"/>
      <w:kern w:val="32"/>
      <w:sz w:val="28"/>
      <w:szCs w:val="44"/>
      <w:lang w:eastAsia="ar-SA"/>
    </w:rPr>
  </w:style>
  <w:style w:type="character" w:customStyle="1" w:styleId="Charfa">
    <w:name w:val="تحت البحث Char"/>
    <w:basedOn w:val="124Char"/>
    <w:link w:val="affffff1"/>
    <w:rsid w:val="00BA281B"/>
    <w:rPr>
      <w:rFonts w:eastAsia="Times New Roman" w:cs="Ya-Ali"/>
      <w:b w:val="0"/>
      <w:bCs w:val="0"/>
      <w:kern w:val="32"/>
      <w:sz w:val="24"/>
      <w:szCs w:val="32"/>
      <w:lang w:eastAsia="ar-SA"/>
    </w:rPr>
  </w:style>
  <w:style w:type="paragraph" w:customStyle="1" w:styleId="affffff2">
    <w:name w:val="متن اسود"/>
    <w:basedOn w:val="ac"/>
    <w:link w:val="Charfb"/>
    <w:rsid w:val="00BA281B"/>
    <w:pPr>
      <w:spacing w:before="80" w:line="420" w:lineRule="exact"/>
      <w:ind w:firstLine="539"/>
    </w:pPr>
    <w:rPr>
      <w:rFonts w:eastAsia="Times New Roman" w:cs="Abz-3 (Yagut)"/>
      <w:b/>
      <w:bCs/>
      <w:sz w:val="25"/>
      <w:szCs w:val="23"/>
      <w:lang w:eastAsia="ar-SA"/>
    </w:rPr>
  </w:style>
  <w:style w:type="character" w:customStyle="1" w:styleId="1Char3">
    <w:name w:val="اسم المؤلف1 Char"/>
    <w:basedOn w:val="KSina13Char0"/>
    <w:link w:val="1c"/>
    <w:rsid w:val="00BA281B"/>
    <w:rPr>
      <w:rFonts w:eastAsia="Times New Roman" w:cs="K Sina"/>
      <w:b w:val="0"/>
      <w:bCs w:val="0"/>
      <w:sz w:val="26"/>
      <w:szCs w:val="20"/>
      <w:lang w:val="en-US" w:eastAsia="ar-SA" w:bidi="ar-SA"/>
    </w:rPr>
  </w:style>
  <w:style w:type="character" w:customStyle="1" w:styleId="Charfb">
    <w:name w:val="متن اسود Char"/>
    <w:basedOn w:val="Char"/>
    <w:link w:val="affffff2"/>
    <w:rsid w:val="00BA281B"/>
    <w:rPr>
      <w:rFonts w:ascii="Arno Pro Display" w:eastAsia="Times New Roman" w:hAnsi="Arno Pro Display" w:cs="Abz-3 (Yagut)"/>
      <w:b/>
      <w:bCs/>
      <w:sz w:val="25"/>
      <w:szCs w:val="23"/>
      <w:lang w:eastAsia="ar-SA"/>
    </w:rPr>
  </w:style>
  <w:style w:type="paragraph" w:customStyle="1" w:styleId="affffff3">
    <w:name w:val="تعداد"/>
    <w:basedOn w:val="afffff4"/>
    <w:rsid w:val="00BA281B"/>
    <w:pPr>
      <w:spacing w:before="60" w:after="0" w:line="460" w:lineRule="exact"/>
      <w:jc w:val="lowKashida"/>
      <w:outlineLvl w:val="2"/>
    </w:pPr>
    <w:rPr>
      <w:rFonts w:ascii="Arial" w:eastAsia="Times New Roman" w:hAnsi="Arial" w:cs="Ya-Ali"/>
      <w:color w:val="auto"/>
      <w:sz w:val="24"/>
      <w:szCs w:val="24"/>
      <w:lang w:eastAsia="ar-SA"/>
    </w:rPr>
  </w:style>
  <w:style w:type="paragraph" w:customStyle="1" w:styleId="Anmat">
    <w:name w:val="Anmat"/>
    <w:basedOn w:val="1b"/>
    <w:semiHidden/>
    <w:rsid w:val="00BA281B"/>
  </w:style>
  <w:style w:type="paragraph" w:customStyle="1" w:styleId="Anmat2">
    <w:name w:val="Anmat2"/>
    <w:basedOn w:val="1b"/>
    <w:semiHidden/>
    <w:rsid w:val="00BA281B"/>
    <w:rPr>
      <w:rFonts w:cs="Ya-Ali"/>
      <w:b/>
      <w:bCs w:val="0"/>
      <w:sz w:val="32"/>
      <w:szCs w:val="32"/>
    </w:rPr>
  </w:style>
  <w:style w:type="paragraph" w:customStyle="1" w:styleId="affffff4">
    <w:name w:val="عناوين فرعية"/>
    <w:basedOn w:val="affffff3"/>
    <w:rsid w:val="00BA281B"/>
    <w:pPr>
      <w:spacing w:before="140" w:line="440" w:lineRule="exact"/>
    </w:pPr>
    <w:rPr>
      <w:sz w:val="28"/>
      <w:szCs w:val="27"/>
    </w:rPr>
  </w:style>
  <w:style w:type="character" w:customStyle="1" w:styleId="Charfc">
    <w:name w:val="رابع Char"/>
    <w:basedOn w:val="DefaultParagraphFont"/>
    <w:link w:val="affffff5"/>
    <w:locked/>
    <w:rsid w:val="00C832C0"/>
    <w:rPr>
      <w:rFonts w:cs="K Farnaz"/>
      <w:b/>
      <w:sz w:val="24"/>
      <w:szCs w:val="24"/>
    </w:rPr>
  </w:style>
  <w:style w:type="paragraph" w:customStyle="1" w:styleId="affffff5">
    <w:name w:val="رابع"/>
    <w:basedOn w:val="Normal"/>
    <w:link w:val="Charfc"/>
    <w:rsid w:val="00C832C0"/>
    <w:pPr>
      <w:widowControl/>
      <w:spacing w:before="60" w:line="240" w:lineRule="auto"/>
      <w:ind w:firstLine="397"/>
      <w:jc w:val="lowKashida"/>
      <w:outlineLvl w:val="9"/>
    </w:pPr>
    <w:rPr>
      <w:rFonts w:cs="K Farnaz"/>
      <w:b/>
      <w:szCs w:val="24"/>
    </w:rPr>
  </w:style>
  <w:style w:type="character" w:customStyle="1" w:styleId="affffff6">
    <w:name w:val="ثالث"/>
    <w:basedOn w:val="DefaultParagraphFont"/>
    <w:rsid w:val="00C832C0"/>
    <w:rPr>
      <w:rFonts w:cs="SKR HEAD1" w:hint="cs"/>
      <w:b/>
      <w:bCs w:val="0"/>
      <w:szCs w:val="28"/>
    </w:rPr>
  </w:style>
  <w:style w:type="character" w:customStyle="1" w:styleId="CharChara">
    <w:name w:val="Char Char"/>
    <w:basedOn w:val="DefaultParagraphFont"/>
    <w:rsid w:val="00212162"/>
    <w:rPr>
      <w:rFonts w:cs="Simplified Arabic"/>
      <w:bCs/>
      <w:sz w:val="28"/>
      <w:szCs w:val="28"/>
      <w:lang w:val="en-US" w:eastAsia="en-US" w:bidi="ar-SA"/>
    </w:rPr>
  </w:style>
  <w:style w:type="character" w:customStyle="1" w:styleId="CharCharb">
    <w:name w:val="Char Char"/>
    <w:basedOn w:val="DefaultParagraphFont"/>
    <w:rsid w:val="00A67CCA"/>
    <w:rPr>
      <w:rFonts w:cs="Simplified Arabic"/>
      <w:bCs/>
      <w:sz w:val="28"/>
      <w:szCs w:val="28"/>
      <w:lang w:val="en-US" w:eastAsia="en-US" w:bidi="ar-SA"/>
    </w:rPr>
  </w:style>
  <w:style w:type="paragraph" w:customStyle="1" w:styleId="affffff7">
    <w:name w:val="عنوان المقالة"/>
    <w:basedOn w:val="Chard"/>
    <w:link w:val="Charfd"/>
    <w:rsid w:val="00AC628B"/>
    <w:pPr>
      <w:spacing w:line="418" w:lineRule="exact"/>
      <w:ind w:right="539"/>
    </w:pPr>
    <w:rPr>
      <w:rFonts w:eastAsia="Times New Roman" w:cs="HeshamNormal"/>
      <w:b w:val="0"/>
      <w:bCs w:val="0"/>
    </w:rPr>
  </w:style>
  <w:style w:type="character" w:customStyle="1" w:styleId="Charfd">
    <w:name w:val="عنوان المقالة Char"/>
    <w:basedOn w:val="CharChar0"/>
    <w:link w:val="affffff7"/>
    <w:rsid w:val="00AC628B"/>
    <w:rPr>
      <w:rFonts w:eastAsia="Times New Roman" w:cs="HeshamNormal"/>
      <w:b/>
      <w:bCs/>
      <w:sz w:val="26"/>
      <w:szCs w:val="50"/>
      <w:lang w:eastAsia="ar-SA"/>
    </w:rPr>
  </w:style>
  <w:style w:type="paragraph" w:customStyle="1" w:styleId="affffff8">
    <w:name w:val="اسم الكاتب والمؤلف"/>
    <w:basedOn w:val="KSina130"/>
    <w:link w:val="Charfe"/>
    <w:rsid w:val="00AC628B"/>
    <w:pPr>
      <w:widowControl w:val="0"/>
      <w:spacing w:line="418" w:lineRule="exact"/>
      <w:ind w:left="567"/>
      <w:jc w:val="right"/>
    </w:pPr>
    <w:rPr>
      <w:rFonts w:eastAsia="Times New Roman" w:cs="Ya-Ali"/>
      <w:szCs w:val="30"/>
    </w:rPr>
  </w:style>
  <w:style w:type="character" w:customStyle="1" w:styleId="Charfe">
    <w:name w:val="اسم الكاتب والمؤلف Char"/>
    <w:basedOn w:val="DefaultParagraphFont"/>
    <w:link w:val="affffff8"/>
    <w:rsid w:val="00AC628B"/>
    <w:rPr>
      <w:rFonts w:eastAsia="Times New Roman" w:cs="Ya-Ali"/>
      <w:sz w:val="26"/>
      <w:szCs w:val="30"/>
      <w:lang w:eastAsia="ar-SA"/>
    </w:rPr>
  </w:style>
  <w:style w:type="paragraph" w:customStyle="1" w:styleId="affffff9">
    <w:name w:val="تكملة عنوان المقالة"/>
    <w:basedOn w:val="Normal"/>
    <w:link w:val="Charff"/>
    <w:rsid w:val="00AC628B"/>
    <w:pPr>
      <w:spacing w:line="600" w:lineRule="exact"/>
      <w:ind w:firstLine="0"/>
      <w:jc w:val="center"/>
      <w:outlineLvl w:val="9"/>
    </w:pPr>
    <w:rPr>
      <w:rFonts w:eastAsia="Times New Roman" w:cs="SKR HEAD1"/>
      <w:sz w:val="6"/>
      <w:szCs w:val="32"/>
    </w:rPr>
  </w:style>
  <w:style w:type="character" w:customStyle="1" w:styleId="Charff">
    <w:name w:val="تكملة عنوان المقالة Char"/>
    <w:basedOn w:val="DefaultParagraphFont"/>
    <w:link w:val="affffff9"/>
    <w:rsid w:val="00AC628B"/>
    <w:rPr>
      <w:rFonts w:eastAsia="Times New Roman" w:cs="SKR HEAD1"/>
      <w:sz w:val="6"/>
      <w:szCs w:val="32"/>
    </w:rPr>
  </w:style>
  <w:style w:type="paragraph" w:customStyle="1" w:styleId="1d">
    <w:name w:val="عنوان 1 ـ داخل المقالة"/>
    <w:basedOn w:val="Heading1"/>
    <w:qFormat/>
    <w:rsid w:val="00AC628B"/>
    <w:pPr>
      <w:keepNext w:val="0"/>
      <w:jc w:val="both"/>
    </w:pPr>
    <w:rPr>
      <w:rFonts w:eastAsia="Times New Roman" w:cs="Abz-3 (Yagut)"/>
      <w:b w:val="0"/>
      <w:kern w:val="0"/>
      <w:sz w:val="26"/>
      <w:szCs w:val="26"/>
      <w:lang w:eastAsia="ar-SA" w:bidi="ar-IQ"/>
    </w:rPr>
  </w:style>
  <w:style w:type="character" w:customStyle="1" w:styleId="affffffa">
    <w:name w:val="الكليشات"/>
    <w:basedOn w:val="DefaultParagraphFont"/>
    <w:qFormat/>
    <w:rsid w:val="00AC628B"/>
    <w:rPr>
      <w:rFonts w:cs="md_ameli"/>
      <w:szCs w:val="27"/>
    </w:rPr>
  </w:style>
  <w:style w:type="paragraph" w:styleId="TOCHeading">
    <w:name w:val="TOC Heading"/>
    <w:basedOn w:val="Heading1"/>
    <w:next w:val="Normal"/>
    <w:uiPriority w:val="39"/>
    <w:qFormat/>
    <w:rsid w:val="00AC628B"/>
    <w:pPr>
      <w:keepLines/>
      <w:widowControl/>
      <w:bidi w:val="0"/>
      <w:spacing w:before="480" w:line="276" w:lineRule="auto"/>
      <w:jc w:val="left"/>
      <w:outlineLvl w:val="9"/>
    </w:pPr>
    <w:rPr>
      <w:rFonts w:ascii="Cambria" w:eastAsia="Times New Roman" w:hAnsi="Cambria"/>
      <w:color w:val="365F91"/>
      <w:kern w:val="0"/>
      <w:szCs w:val="28"/>
    </w:rPr>
  </w:style>
  <w:style w:type="paragraph" w:customStyle="1" w:styleId="affffffb">
    <w:name w:val="سرد الفقرات"/>
    <w:basedOn w:val="Normal"/>
    <w:uiPriority w:val="34"/>
    <w:qFormat/>
    <w:rsid w:val="00AC628B"/>
    <w:pPr>
      <w:widowControl/>
      <w:spacing w:after="200" w:line="276" w:lineRule="auto"/>
      <w:ind w:left="720" w:firstLine="0"/>
      <w:contextualSpacing/>
      <w:jc w:val="left"/>
      <w:outlineLvl w:val="9"/>
    </w:pPr>
    <w:rPr>
      <w:rFonts w:ascii="Calibri" w:eastAsia="Calibri" w:hAnsi="Calibri" w:cs="Arial"/>
      <w:sz w:val="22"/>
      <w:szCs w:val="22"/>
    </w:rPr>
  </w:style>
  <w:style w:type="character" w:customStyle="1" w:styleId="CharCharc">
    <w:name w:val="Char Char"/>
    <w:basedOn w:val="DefaultParagraphFont"/>
    <w:semiHidden/>
    <w:rsid w:val="0088518C"/>
    <w:rPr>
      <w:rFonts w:cs="Simplified Arabic"/>
      <w:bCs/>
      <w:sz w:val="28"/>
      <w:szCs w:val="28"/>
      <w:lang w:val="en-US" w:eastAsia="en-US" w:bidi="ar-SA"/>
    </w:rPr>
  </w:style>
  <w:style w:type="paragraph" w:customStyle="1" w:styleId="affffffc">
    <w:name w:val="سرد الفقرات"/>
    <w:basedOn w:val="Normal"/>
    <w:uiPriority w:val="34"/>
    <w:qFormat/>
    <w:rsid w:val="0088518C"/>
    <w:pPr>
      <w:widowControl/>
      <w:spacing w:after="200" w:line="276" w:lineRule="auto"/>
      <w:ind w:left="720" w:firstLine="0"/>
      <w:contextualSpacing/>
      <w:jc w:val="left"/>
      <w:outlineLvl w:val="9"/>
    </w:pPr>
    <w:rPr>
      <w:rFonts w:ascii="Calibri" w:eastAsia="Calibri" w:hAnsi="Calibri" w:cs="Arial"/>
      <w:sz w:val="22"/>
      <w:szCs w:val="22"/>
    </w:rPr>
  </w:style>
  <w:style w:type="paragraph" w:customStyle="1" w:styleId="Heading13">
    <w:name w:val="Heading 13"/>
    <w:basedOn w:val="Normal"/>
    <w:semiHidden/>
    <w:rsid w:val="00391A35"/>
    <w:pPr>
      <w:widowControl/>
      <w:spacing w:before="120" w:line="460" w:lineRule="exact"/>
      <w:ind w:firstLine="0"/>
      <w:outlineLvl w:val="9"/>
    </w:pPr>
    <w:rPr>
      <w:rFonts w:eastAsia="Times New Roman" w:cs="Simplified Arabic"/>
      <w:bCs/>
      <w:color w:val="FFFFFF"/>
      <w:szCs w:val="24"/>
      <w:lang w:eastAsia="ar-SA"/>
    </w:rPr>
  </w:style>
  <w:style w:type="character" w:customStyle="1" w:styleId="CharChard">
    <w:name w:val="Char Char"/>
    <w:semiHidden/>
    <w:rsid w:val="00391A35"/>
    <w:rPr>
      <w:rFonts w:cs="Simplified Arabic"/>
      <w:bCs/>
      <w:sz w:val="28"/>
      <w:szCs w:val="28"/>
      <w:lang w:val="en-US" w:eastAsia="en-US" w:bidi="ar-SA"/>
    </w:rPr>
  </w:style>
  <w:style w:type="paragraph" w:customStyle="1" w:styleId="affffffd">
    <w:name w:val="سرد الفقرات"/>
    <w:basedOn w:val="Normal"/>
    <w:uiPriority w:val="34"/>
    <w:qFormat/>
    <w:rsid w:val="00391A35"/>
    <w:pPr>
      <w:widowControl/>
      <w:spacing w:after="200" w:line="276" w:lineRule="auto"/>
      <w:ind w:left="720" w:firstLine="0"/>
      <w:contextualSpacing/>
      <w:jc w:val="left"/>
      <w:outlineLvl w:val="9"/>
    </w:pPr>
    <w:rPr>
      <w:rFonts w:ascii="Calibri" w:eastAsia="Calibri" w:hAnsi="Calibri" w:cs="Arial"/>
      <w:sz w:val="22"/>
      <w:szCs w:val="22"/>
    </w:rPr>
  </w:style>
  <w:style w:type="character" w:customStyle="1" w:styleId="CharChar90">
    <w:name w:val="Char Char9"/>
    <w:basedOn w:val="DefaultParagraphFont"/>
    <w:rsid w:val="00DD23C6"/>
    <w:rPr>
      <w:rFonts w:cs="Arabic Transparent"/>
      <w:sz w:val="28"/>
      <w:szCs w:val="28"/>
      <w:lang w:val="en-US" w:eastAsia="ar-SA" w:bidi="ar-SA"/>
    </w:rPr>
  </w:style>
  <w:style w:type="character" w:customStyle="1" w:styleId="CharChar80">
    <w:name w:val="Char Char8"/>
    <w:basedOn w:val="DefaultParagraphFont"/>
    <w:rsid w:val="00DD23C6"/>
    <w:rPr>
      <w:rFonts w:cs="Arabic Transparent"/>
      <w:b/>
      <w:bCs/>
      <w:sz w:val="28"/>
      <w:szCs w:val="28"/>
      <w:lang w:val="en-US" w:eastAsia="ar-SA" w:bidi="ar-SA"/>
    </w:rPr>
  </w:style>
  <w:style w:type="character" w:customStyle="1" w:styleId="CharChar70">
    <w:name w:val="Char Char7"/>
    <w:basedOn w:val="DefaultParagraphFont"/>
    <w:rsid w:val="00DD23C6"/>
    <w:rPr>
      <w:rFonts w:ascii="Arial" w:hAnsi="Arial" w:cs="Arial"/>
      <w:b/>
      <w:bCs/>
      <w:sz w:val="26"/>
      <w:szCs w:val="26"/>
      <w:lang w:val="en-US" w:eastAsia="ar-SA" w:bidi="ar-SA"/>
    </w:rPr>
  </w:style>
  <w:style w:type="character" w:customStyle="1" w:styleId="CharChar60">
    <w:name w:val="Char Char6"/>
    <w:basedOn w:val="DefaultParagraphFont"/>
    <w:rsid w:val="00DD23C6"/>
    <w:rPr>
      <w:rFonts w:cs="ALAWI-3-62"/>
      <w:color w:val="008000"/>
      <w:sz w:val="28"/>
      <w:szCs w:val="28"/>
      <w:lang w:val="en-US" w:eastAsia="en-US" w:bidi="ar-SA"/>
    </w:rPr>
  </w:style>
  <w:style w:type="character" w:customStyle="1" w:styleId="CharChar50">
    <w:name w:val="Char Char5"/>
    <w:basedOn w:val="DefaultParagraphFont"/>
    <w:rsid w:val="00DD23C6"/>
    <w:rPr>
      <w:rFonts w:cs="AL-Mohanad"/>
      <w:b/>
      <w:bCs/>
      <w:color w:val="000000"/>
      <w:sz w:val="28"/>
      <w:szCs w:val="40"/>
      <w:lang w:val="en-US" w:eastAsia="en-US" w:bidi="ar-SA"/>
    </w:rPr>
  </w:style>
  <w:style w:type="character" w:customStyle="1" w:styleId="CharChar30">
    <w:name w:val="Char Char3"/>
    <w:basedOn w:val="DefaultParagraphFont"/>
    <w:rsid w:val="00DD23C6"/>
    <w:rPr>
      <w:rFonts w:cs="PT Bold Broken"/>
      <w:b/>
      <w:bCs/>
      <w:sz w:val="40"/>
      <w:szCs w:val="40"/>
      <w:lang w:val="en-US" w:eastAsia="ar-SA" w:bidi="ar-SA"/>
    </w:rPr>
  </w:style>
  <w:style w:type="character" w:customStyle="1" w:styleId="CharChar22">
    <w:name w:val="Char Char2"/>
    <w:basedOn w:val="DefaultParagraphFont"/>
    <w:semiHidden/>
    <w:rsid w:val="00DD23C6"/>
    <w:rPr>
      <w:rFonts w:cs="Arabic Transparent"/>
      <w:sz w:val="28"/>
      <w:szCs w:val="28"/>
      <w:lang w:eastAsia="ar-SA" w:bidi="ar-SA"/>
    </w:rPr>
  </w:style>
  <w:style w:type="character" w:customStyle="1" w:styleId="CharChar13">
    <w:name w:val="Char Char1"/>
    <w:basedOn w:val="DefaultParagraphFont"/>
    <w:rsid w:val="00DD23C6"/>
    <w:rPr>
      <w:lang w:val="en-US" w:eastAsia="ar-SA" w:bidi="ar-SA"/>
    </w:rPr>
  </w:style>
  <w:style w:type="character" w:customStyle="1" w:styleId="CharChare">
    <w:name w:val="Char Char"/>
    <w:basedOn w:val="DefaultParagraphFont"/>
    <w:semiHidden/>
    <w:rsid w:val="00DD23C6"/>
    <w:rPr>
      <w:color w:val="800000"/>
      <w:sz w:val="28"/>
      <w:szCs w:val="28"/>
      <w:lang w:bidi="ar-SA"/>
    </w:rPr>
  </w:style>
  <w:style w:type="paragraph" w:customStyle="1" w:styleId="Heading14">
    <w:name w:val="Heading 14"/>
    <w:basedOn w:val="Normal"/>
    <w:semiHidden/>
    <w:rsid w:val="00DD23C6"/>
    <w:pPr>
      <w:widowControl/>
      <w:spacing w:before="120" w:line="460" w:lineRule="exact"/>
      <w:ind w:firstLine="0"/>
      <w:outlineLvl w:val="9"/>
    </w:pPr>
    <w:rPr>
      <w:rFonts w:eastAsia="SimSun" w:cs="Simplified Arabic"/>
      <w:bCs/>
      <w:color w:val="FFFFFF"/>
      <w:szCs w:val="24"/>
      <w:lang w:eastAsia="ar-SA"/>
    </w:rPr>
  </w:style>
  <w:style w:type="character" w:customStyle="1" w:styleId="CharChar40">
    <w:name w:val="Char Char4"/>
    <w:basedOn w:val="DefaultParagraphFont"/>
    <w:rsid w:val="00DD23C6"/>
    <w:rPr>
      <w:rFonts w:cs="Simplified Arabic"/>
      <w:color w:val="000000"/>
      <w:sz w:val="28"/>
      <w:szCs w:val="28"/>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c">
    <w:name w:val="fgdsgfdfd"/>
    <w:pPr>
      <w:numPr>
        <w:numId w:val="12"/>
      </w:numPr>
    </w:pPr>
  </w:style>
  <w:style w:type="numbering" w:customStyle="1" w:styleId="FootnoteReference">
    <w:name w:val="Style2"/>
    <w:pPr>
      <w:numPr>
        <w:numId w:val="15"/>
      </w:numPr>
    </w:pPr>
  </w:style>
  <w:style w:type="numbering" w:customStyle="1" w:styleId="EndnoteReference">
    <w:name w:val="a"/>
    <w:pPr>
      <w:numPr>
        <w:numId w:val="3"/>
      </w:numPr>
    </w:pPr>
  </w:style>
  <w:style w:type="numbering" w:customStyle="1" w:styleId="ad">
    <w:name w:val="Style1"/>
    <w:pPr>
      <w:numPr>
        <w:numId w:val="14"/>
      </w:numPr>
    </w:pPr>
  </w:style>
  <w:style w:type="numbering" w:customStyle="1" w:styleId="ae">
    <w:name w:val="ggsdfkfgsdgg"/>
    <w:pPr>
      <w:numPr>
        <w:numId w:val="9"/>
      </w:numPr>
    </w:pPr>
  </w:style>
  <w:style w:type="numbering" w:customStyle="1" w:styleId="1">
    <w:name w:val="dgjhg"/>
    <w:pPr>
      <w:numPr>
        <w:numId w:val="21"/>
      </w:numPr>
    </w:pPr>
  </w:style>
  <w:style w:type="numbering" w:customStyle="1" w:styleId="2">
    <w:name w:val="a0"/>
    <w:pPr>
      <w:numPr>
        <w:numId w:val="4"/>
      </w:numPr>
    </w:pPr>
  </w:style>
  <w:style w:type="numbering" w:customStyle="1" w:styleId="3">
    <w:name w:val="ArticleSection"/>
    <w:pPr>
      <w:numPr>
        <w:numId w:val="35"/>
      </w:numPr>
    </w:pPr>
  </w:style>
  <w:style w:type="numbering" w:customStyle="1" w:styleId="Heading2Char">
    <w:name w:val="a2"/>
    <w:pPr>
      <w:numPr>
        <w:numId w:val="18"/>
      </w:numPr>
    </w:pPr>
  </w:style>
  <w:style w:type="numbering" w:customStyle="1" w:styleId="4">
    <w:name w:val="111111"/>
    <w:pPr>
      <w:numPr>
        <w:numId w:val="23"/>
      </w:numPr>
    </w:pPr>
  </w:style>
  <w:style w:type="numbering" w:customStyle="1" w:styleId="Heading3Char">
    <w:name w:val="a3"/>
    <w:pPr>
      <w:numPr>
        <w:numId w:val="7"/>
      </w:numPr>
    </w:pPr>
  </w:style>
  <w:style w:type="numbering" w:customStyle="1" w:styleId="5">
    <w:name w:val="a4"/>
    <w:pPr>
      <w:numPr>
        <w:numId w:val="16"/>
      </w:numPr>
    </w:pPr>
  </w:style>
  <w:style w:type="numbering" w:customStyle="1" w:styleId="Heading4Char">
    <w:name w:val="a5"/>
    <w:pPr>
      <w:numPr>
        <w:numId w:val="2"/>
      </w:numPr>
    </w:pPr>
  </w:style>
  <w:style w:type="numbering" w:customStyle="1" w:styleId="Char0">
    <w:name w:val="a6"/>
    <w:pPr>
      <w:numPr>
        <w:numId w:val="13"/>
      </w:numPr>
    </w:pPr>
  </w:style>
  <w:style w:type="numbering" w:customStyle="1" w:styleId="af">
    <w:name w:val="a7"/>
    <w:pPr>
      <w:numPr>
        <w:numId w:val="19"/>
      </w:numPr>
    </w:pPr>
  </w:style>
  <w:style w:type="numbering" w:customStyle="1" w:styleId="af0">
    <w:name w:val="a8"/>
    <w:pPr>
      <w:numPr>
        <w:numId w:val="17"/>
      </w:numPr>
    </w:pPr>
  </w:style>
  <w:style w:type="numbering" w:customStyle="1" w:styleId="Char2">
    <w:name w:val="ghf"/>
    <w:pPr>
      <w:numPr>
        <w:numId w:val="10"/>
      </w:numPr>
    </w:pPr>
  </w:style>
  <w:style w:type="numbering" w:customStyle="1" w:styleId="EndnoteText">
    <w:name w:val="1ai"/>
    <w:pPr>
      <w:numPr>
        <w:numId w:val="24"/>
      </w:numPr>
    </w:pPr>
  </w:style>
  <w:style w:type="numbering" w:customStyle="1" w:styleId="EndnoteTextChar">
    <w:name w:val="a9"/>
  </w:style>
  <w:style w:type="numbering" w:customStyle="1" w:styleId="af1">
    <w:name w:val="aa"/>
    <w:pPr>
      <w:numPr>
        <w:numId w:val="20"/>
      </w:numPr>
    </w:pPr>
  </w:style>
  <w:style w:type="numbering" w:customStyle="1" w:styleId="af2">
    <w:name w:val="jdhgdfjkghkdll"/>
    <w:pPr>
      <w:numPr>
        <w:numId w:val="5"/>
      </w:numPr>
    </w:pPr>
  </w:style>
  <w:style w:type="numbering" w:customStyle="1" w:styleId="af3">
    <w:name w:val="gfdjkhjl"/>
    <w:pPr>
      <w:numPr>
        <w:numId w:val="11"/>
      </w:numPr>
    </w:pPr>
  </w:style>
  <w:style w:type="numbering" w:customStyle="1" w:styleId="af4">
    <w:name w:val="hgfghfgkfj"/>
    <w:pPr>
      <w:numPr>
        <w:numId w:val="6"/>
      </w:numPr>
    </w:pPr>
  </w:style>
  <w:style w:type="numbering" w:customStyle="1" w:styleId="a9">
    <w:name w:val="ab"/>
    <w:pPr>
      <w:numPr>
        <w:numId w:val="8"/>
      </w:numPr>
    </w:pPr>
  </w:style>
</w:styles>
</file>

<file path=word/webSettings.xml><?xml version="1.0" encoding="utf-8"?>
<w:webSettings xmlns:r="http://schemas.openxmlformats.org/officeDocument/2006/relationships" xmlns:w="http://schemas.openxmlformats.org/wordprocessingml/2006/main">
  <w:divs>
    <w:div w:id="901675607">
      <w:bodyDiv w:val="1"/>
      <w:marLeft w:val="30"/>
      <w:marRight w:val="30"/>
      <w:marTop w:val="30"/>
      <w:marBottom w:val="30"/>
      <w:divBdr>
        <w:top w:val="none" w:sz="0" w:space="0" w:color="auto"/>
        <w:left w:val="none" w:sz="0" w:space="0" w:color="auto"/>
        <w:bottom w:val="none" w:sz="0" w:space="0" w:color="auto"/>
        <w:right w:val="none" w:sz="0" w:space="0" w:color="auto"/>
      </w:divBdr>
      <w:divsChild>
        <w:div w:id="1641501189">
          <w:marLeft w:val="0"/>
          <w:marRight w:val="0"/>
          <w:marTop w:val="0"/>
          <w:marBottom w:val="0"/>
          <w:divBdr>
            <w:top w:val="none" w:sz="0" w:space="0" w:color="auto"/>
            <w:left w:val="none" w:sz="0" w:space="0" w:color="auto"/>
            <w:bottom w:val="none" w:sz="0" w:space="0" w:color="auto"/>
            <w:right w:val="none" w:sz="0" w:space="0" w:color="auto"/>
          </w:divBdr>
          <w:divsChild>
            <w:div w:id="895244470">
              <w:marLeft w:val="0"/>
              <w:marRight w:val="0"/>
              <w:marTop w:val="0"/>
              <w:marBottom w:val="0"/>
              <w:divBdr>
                <w:top w:val="none" w:sz="0" w:space="0" w:color="auto"/>
                <w:left w:val="single" w:sz="2" w:space="2" w:color="938F5A"/>
                <w:bottom w:val="none" w:sz="0" w:space="0" w:color="auto"/>
                <w:right w:val="single" w:sz="2" w:space="2" w:color="938F5A"/>
              </w:divBdr>
              <w:divsChild>
                <w:div w:id="69685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510532">
      <w:bodyDiv w:val="1"/>
      <w:marLeft w:val="0"/>
      <w:marRight w:val="0"/>
      <w:marTop w:val="0"/>
      <w:marBottom w:val="0"/>
      <w:divBdr>
        <w:top w:val="none" w:sz="0" w:space="0" w:color="auto"/>
        <w:left w:val="none" w:sz="0" w:space="0" w:color="auto"/>
        <w:bottom w:val="none" w:sz="0" w:space="0" w:color="auto"/>
        <w:right w:val="none" w:sz="0" w:space="0" w:color="auto"/>
      </w:divBdr>
    </w:div>
    <w:div w:id="1987468520">
      <w:bodyDiv w:val="1"/>
      <w:marLeft w:val="30"/>
      <w:marRight w:val="30"/>
      <w:marTop w:val="30"/>
      <w:marBottom w:val="30"/>
      <w:divBdr>
        <w:top w:val="none" w:sz="0" w:space="0" w:color="auto"/>
        <w:left w:val="none" w:sz="0" w:space="0" w:color="auto"/>
        <w:bottom w:val="none" w:sz="0" w:space="0" w:color="auto"/>
        <w:right w:val="none" w:sz="0" w:space="0" w:color="auto"/>
      </w:divBdr>
      <w:divsChild>
        <w:div w:id="1102530658">
          <w:marLeft w:val="0"/>
          <w:marRight w:val="0"/>
          <w:marTop w:val="0"/>
          <w:marBottom w:val="0"/>
          <w:divBdr>
            <w:top w:val="none" w:sz="0" w:space="0" w:color="auto"/>
            <w:left w:val="none" w:sz="0" w:space="0" w:color="auto"/>
            <w:bottom w:val="none" w:sz="0" w:space="0" w:color="auto"/>
            <w:right w:val="none" w:sz="0" w:space="0" w:color="auto"/>
          </w:divBdr>
          <w:divsChild>
            <w:div w:id="1240096803">
              <w:marLeft w:val="0"/>
              <w:marRight w:val="0"/>
              <w:marTop w:val="0"/>
              <w:marBottom w:val="0"/>
              <w:divBdr>
                <w:top w:val="none" w:sz="0" w:space="0" w:color="auto"/>
                <w:left w:val="single" w:sz="2" w:space="2" w:color="938F5A"/>
                <w:bottom w:val="none" w:sz="0" w:space="0" w:color="auto"/>
                <w:right w:val="single" w:sz="2" w:space="2" w:color="938F5A"/>
              </w:divBdr>
              <w:divsChild>
                <w:div w:id="195612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7.xml"/><Relationship Id="rId117" Type="http://schemas.openxmlformats.org/officeDocument/2006/relationships/header" Target="header105.xml"/><Relationship Id="rId21" Type="http://schemas.openxmlformats.org/officeDocument/2006/relationships/header" Target="header12.xml"/><Relationship Id="rId42" Type="http://schemas.openxmlformats.org/officeDocument/2006/relationships/header" Target="header30.xml"/><Relationship Id="rId47" Type="http://schemas.openxmlformats.org/officeDocument/2006/relationships/header" Target="header35.xml"/><Relationship Id="rId63" Type="http://schemas.openxmlformats.org/officeDocument/2006/relationships/header" Target="header51.xml"/><Relationship Id="rId68" Type="http://schemas.openxmlformats.org/officeDocument/2006/relationships/header" Target="header56.xml"/><Relationship Id="rId84" Type="http://schemas.openxmlformats.org/officeDocument/2006/relationships/header" Target="header72.xml"/><Relationship Id="rId89" Type="http://schemas.openxmlformats.org/officeDocument/2006/relationships/header" Target="header77.xml"/><Relationship Id="rId112" Type="http://schemas.openxmlformats.org/officeDocument/2006/relationships/header" Target="header100.xml"/><Relationship Id="rId133" Type="http://schemas.openxmlformats.org/officeDocument/2006/relationships/header" Target="header121.xml"/><Relationship Id="rId138" Type="http://schemas.openxmlformats.org/officeDocument/2006/relationships/header" Target="header126.xml"/><Relationship Id="rId16" Type="http://schemas.openxmlformats.org/officeDocument/2006/relationships/header" Target="header7.xml"/><Relationship Id="rId107" Type="http://schemas.openxmlformats.org/officeDocument/2006/relationships/header" Target="header95.xml"/><Relationship Id="rId11" Type="http://schemas.openxmlformats.org/officeDocument/2006/relationships/header" Target="header2.xml"/><Relationship Id="rId32" Type="http://schemas.openxmlformats.org/officeDocument/2006/relationships/footer" Target="footer1.xml"/><Relationship Id="rId37" Type="http://schemas.openxmlformats.org/officeDocument/2006/relationships/header" Target="header25.xml"/><Relationship Id="rId53" Type="http://schemas.openxmlformats.org/officeDocument/2006/relationships/header" Target="header41.xml"/><Relationship Id="rId58" Type="http://schemas.openxmlformats.org/officeDocument/2006/relationships/header" Target="header46.xml"/><Relationship Id="rId74" Type="http://schemas.openxmlformats.org/officeDocument/2006/relationships/header" Target="header62.xml"/><Relationship Id="rId79" Type="http://schemas.openxmlformats.org/officeDocument/2006/relationships/header" Target="header67.xml"/><Relationship Id="rId102" Type="http://schemas.openxmlformats.org/officeDocument/2006/relationships/header" Target="header90.xml"/><Relationship Id="rId123" Type="http://schemas.openxmlformats.org/officeDocument/2006/relationships/header" Target="header111.xml"/><Relationship Id="rId128" Type="http://schemas.openxmlformats.org/officeDocument/2006/relationships/header" Target="header116.xml"/><Relationship Id="rId5" Type="http://schemas.openxmlformats.org/officeDocument/2006/relationships/webSettings" Target="webSettings.xml"/><Relationship Id="rId90" Type="http://schemas.openxmlformats.org/officeDocument/2006/relationships/header" Target="header78.xml"/><Relationship Id="rId95" Type="http://schemas.openxmlformats.org/officeDocument/2006/relationships/header" Target="header83.xml"/><Relationship Id="rId22" Type="http://schemas.openxmlformats.org/officeDocument/2006/relationships/header" Target="header13.xml"/><Relationship Id="rId27" Type="http://schemas.openxmlformats.org/officeDocument/2006/relationships/header" Target="header18.xml"/><Relationship Id="rId43" Type="http://schemas.openxmlformats.org/officeDocument/2006/relationships/header" Target="header31.xml"/><Relationship Id="rId48" Type="http://schemas.openxmlformats.org/officeDocument/2006/relationships/header" Target="header36.xml"/><Relationship Id="rId64" Type="http://schemas.openxmlformats.org/officeDocument/2006/relationships/header" Target="header52.xml"/><Relationship Id="rId69" Type="http://schemas.openxmlformats.org/officeDocument/2006/relationships/header" Target="header57.xml"/><Relationship Id="rId113" Type="http://schemas.openxmlformats.org/officeDocument/2006/relationships/header" Target="header101.xml"/><Relationship Id="rId118" Type="http://schemas.openxmlformats.org/officeDocument/2006/relationships/header" Target="header106.xml"/><Relationship Id="rId134" Type="http://schemas.openxmlformats.org/officeDocument/2006/relationships/header" Target="header122.xml"/><Relationship Id="rId13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39.xml"/><Relationship Id="rId72" Type="http://schemas.openxmlformats.org/officeDocument/2006/relationships/header" Target="header60.xml"/><Relationship Id="rId80" Type="http://schemas.openxmlformats.org/officeDocument/2006/relationships/header" Target="header68.xml"/><Relationship Id="rId85" Type="http://schemas.openxmlformats.org/officeDocument/2006/relationships/header" Target="header73.xml"/><Relationship Id="rId93" Type="http://schemas.openxmlformats.org/officeDocument/2006/relationships/header" Target="header81.xml"/><Relationship Id="rId98" Type="http://schemas.openxmlformats.org/officeDocument/2006/relationships/header" Target="header86.xml"/><Relationship Id="rId121" Type="http://schemas.openxmlformats.org/officeDocument/2006/relationships/header" Target="header109.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6.xml"/><Relationship Id="rId33" Type="http://schemas.openxmlformats.org/officeDocument/2006/relationships/footer" Target="footer2.xml"/><Relationship Id="rId38" Type="http://schemas.openxmlformats.org/officeDocument/2006/relationships/header" Target="header26.xml"/><Relationship Id="rId46" Type="http://schemas.openxmlformats.org/officeDocument/2006/relationships/header" Target="header34.xml"/><Relationship Id="rId59" Type="http://schemas.openxmlformats.org/officeDocument/2006/relationships/header" Target="header47.xml"/><Relationship Id="rId67" Type="http://schemas.openxmlformats.org/officeDocument/2006/relationships/header" Target="header55.xml"/><Relationship Id="rId103" Type="http://schemas.openxmlformats.org/officeDocument/2006/relationships/header" Target="header91.xml"/><Relationship Id="rId108" Type="http://schemas.openxmlformats.org/officeDocument/2006/relationships/header" Target="header96.xml"/><Relationship Id="rId116" Type="http://schemas.openxmlformats.org/officeDocument/2006/relationships/header" Target="header104.xml"/><Relationship Id="rId124" Type="http://schemas.openxmlformats.org/officeDocument/2006/relationships/header" Target="header112.xml"/><Relationship Id="rId129" Type="http://schemas.openxmlformats.org/officeDocument/2006/relationships/header" Target="header117.xml"/><Relationship Id="rId137" Type="http://schemas.openxmlformats.org/officeDocument/2006/relationships/header" Target="header125.xml"/><Relationship Id="rId20" Type="http://schemas.openxmlformats.org/officeDocument/2006/relationships/header" Target="header11.xml"/><Relationship Id="rId41" Type="http://schemas.openxmlformats.org/officeDocument/2006/relationships/header" Target="header29.xml"/><Relationship Id="rId54" Type="http://schemas.openxmlformats.org/officeDocument/2006/relationships/header" Target="header42.xml"/><Relationship Id="rId62" Type="http://schemas.openxmlformats.org/officeDocument/2006/relationships/header" Target="header50.xml"/><Relationship Id="rId70" Type="http://schemas.openxmlformats.org/officeDocument/2006/relationships/header" Target="header58.xml"/><Relationship Id="rId75" Type="http://schemas.openxmlformats.org/officeDocument/2006/relationships/header" Target="header63.xml"/><Relationship Id="rId83" Type="http://schemas.openxmlformats.org/officeDocument/2006/relationships/header" Target="header71.xml"/><Relationship Id="rId88" Type="http://schemas.openxmlformats.org/officeDocument/2006/relationships/header" Target="header76.xml"/><Relationship Id="rId91" Type="http://schemas.openxmlformats.org/officeDocument/2006/relationships/header" Target="header79.xml"/><Relationship Id="rId96" Type="http://schemas.openxmlformats.org/officeDocument/2006/relationships/header" Target="header84.xml"/><Relationship Id="rId111" Type="http://schemas.openxmlformats.org/officeDocument/2006/relationships/header" Target="header99.xml"/><Relationship Id="rId132" Type="http://schemas.openxmlformats.org/officeDocument/2006/relationships/header" Target="header120.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header" Target="header19.xml"/><Relationship Id="rId36" Type="http://schemas.openxmlformats.org/officeDocument/2006/relationships/header" Target="header24.xml"/><Relationship Id="rId49" Type="http://schemas.openxmlformats.org/officeDocument/2006/relationships/header" Target="header37.xml"/><Relationship Id="rId57" Type="http://schemas.openxmlformats.org/officeDocument/2006/relationships/header" Target="header45.xml"/><Relationship Id="rId106" Type="http://schemas.openxmlformats.org/officeDocument/2006/relationships/header" Target="header94.xml"/><Relationship Id="rId114" Type="http://schemas.openxmlformats.org/officeDocument/2006/relationships/header" Target="header102.xml"/><Relationship Id="rId119" Type="http://schemas.openxmlformats.org/officeDocument/2006/relationships/header" Target="header107.xml"/><Relationship Id="rId127" Type="http://schemas.openxmlformats.org/officeDocument/2006/relationships/header" Target="header115.xml"/><Relationship Id="rId10" Type="http://schemas.openxmlformats.org/officeDocument/2006/relationships/image" Target="media/image2.jpeg"/><Relationship Id="rId31" Type="http://schemas.openxmlformats.org/officeDocument/2006/relationships/header" Target="header22.xml"/><Relationship Id="rId44" Type="http://schemas.openxmlformats.org/officeDocument/2006/relationships/header" Target="header32.xml"/><Relationship Id="rId52" Type="http://schemas.openxmlformats.org/officeDocument/2006/relationships/header" Target="header40.xml"/><Relationship Id="rId60" Type="http://schemas.openxmlformats.org/officeDocument/2006/relationships/header" Target="header48.xml"/><Relationship Id="rId65" Type="http://schemas.openxmlformats.org/officeDocument/2006/relationships/header" Target="header53.xml"/><Relationship Id="rId73" Type="http://schemas.openxmlformats.org/officeDocument/2006/relationships/header" Target="header61.xml"/><Relationship Id="rId78" Type="http://schemas.openxmlformats.org/officeDocument/2006/relationships/header" Target="header66.xml"/><Relationship Id="rId81" Type="http://schemas.openxmlformats.org/officeDocument/2006/relationships/header" Target="header69.xml"/><Relationship Id="rId86" Type="http://schemas.openxmlformats.org/officeDocument/2006/relationships/header" Target="header74.xml"/><Relationship Id="rId94" Type="http://schemas.openxmlformats.org/officeDocument/2006/relationships/header" Target="header82.xml"/><Relationship Id="rId99" Type="http://schemas.openxmlformats.org/officeDocument/2006/relationships/header" Target="header87.xml"/><Relationship Id="rId101" Type="http://schemas.openxmlformats.org/officeDocument/2006/relationships/header" Target="header89.xml"/><Relationship Id="rId122" Type="http://schemas.openxmlformats.org/officeDocument/2006/relationships/header" Target="header110.xml"/><Relationship Id="rId130" Type="http://schemas.openxmlformats.org/officeDocument/2006/relationships/header" Target="header118.xml"/><Relationship Id="rId135" Type="http://schemas.openxmlformats.org/officeDocument/2006/relationships/header" Target="header12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9.xml"/><Relationship Id="rId39" Type="http://schemas.openxmlformats.org/officeDocument/2006/relationships/header" Target="header27.xml"/><Relationship Id="rId109" Type="http://schemas.openxmlformats.org/officeDocument/2006/relationships/header" Target="header97.xml"/><Relationship Id="rId34" Type="http://schemas.openxmlformats.org/officeDocument/2006/relationships/header" Target="header23.xml"/><Relationship Id="rId50" Type="http://schemas.openxmlformats.org/officeDocument/2006/relationships/header" Target="header38.xml"/><Relationship Id="rId55" Type="http://schemas.openxmlformats.org/officeDocument/2006/relationships/header" Target="header43.xml"/><Relationship Id="rId76" Type="http://schemas.openxmlformats.org/officeDocument/2006/relationships/header" Target="header64.xml"/><Relationship Id="rId97" Type="http://schemas.openxmlformats.org/officeDocument/2006/relationships/header" Target="header85.xml"/><Relationship Id="rId104" Type="http://schemas.openxmlformats.org/officeDocument/2006/relationships/header" Target="header92.xml"/><Relationship Id="rId120" Type="http://schemas.openxmlformats.org/officeDocument/2006/relationships/header" Target="header108.xml"/><Relationship Id="rId125" Type="http://schemas.openxmlformats.org/officeDocument/2006/relationships/header" Target="header113.xml"/><Relationship Id="rId141"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eader" Target="header59.xml"/><Relationship Id="rId92" Type="http://schemas.openxmlformats.org/officeDocument/2006/relationships/header" Target="header80.xml"/><Relationship Id="rId2" Type="http://schemas.openxmlformats.org/officeDocument/2006/relationships/numbering" Target="numbering.xml"/><Relationship Id="rId29" Type="http://schemas.openxmlformats.org/officeDocument/2006/relationships/header" Target="header20.xml"/><Relationship Id="rId24" Type="http://schemas.openxmlformats.org/officeDocument/2006/relationships/header" Target="header15.xml"/><Relationship Id="rId40" Type="http://schemas.openxmlformats.org/officeDocument/2006/relationships/header" Target="header28.xml"/><Relationship Id="rId45" Type="http://schemas.openxmlformats.org/officeDocument/2006/relationships/header" Target="header33.xml"/><Relationship Id="rId66" Type="http://schemas.openxmlformats.org/officeDocument/2006/relationships/header" Target="header54.xml"/><Relationship Id="rId87" Type="http://schemas.openxmlformats.org/officeDocument/2006/relationships/header" Target="header75.xml"/><Relationship Id="rId110" Type="http://schemas.openxmlformats.org/officeDocument/2006/relationships/header" Target="header98.xml"/><Relationship Id="rId115" Type="http://schemas.openxmlformats.org/officeDocument/2006/relationships/header" Target="header103.xml"/><Relationship Id="rId131" Type="http://schemas.openxmlformats.org/officeDocument/2006/relationships/header" Target="header119.xml"/><Relationship Id="rId136" Type="http://schemas.openxmlformats.org/officeDocument/2006/relationships/header" Target="header124.xml"/><Relationship Id="rId61" Type="http://schemas.openxmlformats.org/officeDocument/2006/relationships/header" Target="header49.xml"/><Relationship Id="rId82" Type="http://schemas.openxmlformats.org/officeDocument/2006/relationships/header" Target="header70.xml"/><Relationship Id="rId19" Type="http://schemas.openxmlformats.org/officeDocument/2006/relationships/header" Target="header10.xml"/><Relationship Id="rId14" Type="http://schemas.openxmlformats.org/officeDocument/2006/relationships/header" Target="header5.xml"/><Relationship Id="rId30" Type="http://schemas.openxmlformats.org/officeDocument/2006/relationships/header" Target="header21.xml"/><Relationship Id="rId35" Type="http://schemas.openxmlformats.org/officeDocument/2006/relationships/footer" Target="footer3.xml"/><Relationship Id="rId56" Type="http://schemas.openxmlformats.org/officeDocument/2006/relationships/header" Target="header44.xml"/><Relationship Id="rId77" Type="http://schemas.openxmlformats.org/officeDocument/2006/relationships/header" Target="header65.xml"/><Relationship Id="rId100" Type="http://schemas.openxmlformats.org/officeDocument/2006/relationships/header" Target="header88.xml"/><Relationship Id="rId105" Type="http://schemas.openxmlformats.org/officeDocument/2006/relationships/header" Target="header93.xml"/><Relationship Id="rId126" Type="http://schemas.openxmlformats.org/officeDocument/2006/relationships/header" Target="header114.xml"/></Relationships>
</file>

<file path=word/_rels/footnotes.xml.rels><?xml version="1.0" encoding="UTF-8" standalone="yes"?>
<Relationships xmlns="http://schemas.openxmlformats.org/package/2006/relationships"><Relationship Id="rId1" Type="http://schemas.openxmlformats.org/officeDocument/2006/relationships/hyperlink" Target="http://www.perso.ch/slaibi/fem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DDE53-BE6A-4CF6-9E05-EE55D35F6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1296</TotalTime>
  <Pages>1</Pages>
  <Words>144325</Words>
  <Characters>822657</Characters>
  <Application>Microsoft Office Word</Application>
  <DocSecurity>0</DocSecurity>
  <Lines>6855</Lines>
  <Paragraphs>1930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hadith</Company>
  <LinksUpToDate>false</LinksUpToDate>
  <CharactersWithSpaces>965052</CharactersWithSpaces>
  <SharedDoc>false</SharedDoc>
  <HLinks>
    <vt:vector size="1698" baseType="variant">
      <vt:variant>
        <vt:i4>1507382</vt:i4>
      </vt:variant>
      <vt:variant>
        <vt:i4>1694</vt:i4>
      </vt:variant>
      <vt:variant>
        <vt:i4>0</vt:i4>
      </vt:variant>
      <vt:variant>
        <vt:i4>5</vt:i4>
      </vt:variant>
      <vt:variant>
        <vt:lpwstr/>
      </vt:variant>
      <vt:variant>
        <vt:lpwstr>_Toc271747175</vt:lpwstr>
      </vt:variant>
      <vt:variant>
        <vt:i4>1507382</vt:i4>
      </vt:variant>
      <vt:variant>
        <vt:i4>1688</vt:i4>
      </vt:variant>
      <vt:variant>
        <vt:i4>0</vt:i4>
      </vt:variant>
      <vt:variant>
        <vt:i4>5</vt:i4>
      </vt:variant>
      <vt:variant>
        <vt:lpwstr/>
      </vt:variant>
      <vt:variant>
        <vt:lpwstr>_Toc271747174</vt:lpwstr>
      </vt:variant>
      <vt:variant>
        <vt:i4>1507382</vt:i4>
      </vt:variant>
      <vt:variant>
        <vt:i4>1682</vt:i4>
      </vt:variant>
      <vt:variant>
        <vt:i4>0</vt:i4>
      </vt:variant>
      <vt:variant>
        <vt:i4>5</vt:i4>
      </vt:variant>
      <vt:variant>
        <vt:lpwstr/>
      </vt:variant>
      <vt:variant>
        <vt:lpwstr>_Toc271747173</vt:lpwstr>
      </vt:variant>
      <vt:variant>
        <vt:i4>1507382</vt:i4>
      </vt:variant>
      <vt:variant>
        <vt:i4>1676</vt:i4>
      </vt:variant>
      <vt:variant>
        <vt:i4>0</vt:i4>
      </vt:variant>
      <vt:variant>
        <vt:i4>5</vt:i4>
      </vt:variant>
      <vt:variant>
        <vt:lpwstr/>
      </vt:variant>
      <vt:variant>
        <vt:lpwstr>_Toc271747172</vt:lpwstr>
      </vt:variant>
      <vt:variant>
        <vt:i4>1507382</vt:i4>
      </vt:variant>
      <vt:variant>
        <vt:i4>1670</vt:i4>
      </vt:variant>
      <vt:variant>
        <vt:i4>0</vt:i4>
      </vt:variant>
      <vt:variant>
        <vt:i4>5</vt:i4>
      </vt:variant>
      <vt:variant>
        <vt:lpwstr/>
      </vt:variant>
      <vt:variant>
        <vt:lpwstr>_Toc271747171</vt:lpwstr>
      </vt:variant>
      <vt:variant>
        <vt:i4>1507382</vt:i4>
      </vt:variant>
      <vt:variant>
        <vt:i4>1664</vt:i4>
      </vt:variant>
      <vt:variant>
        <vt:i4>0</vt:i4>
      </vt:variant>
      <vt:variant>
        <vt:i4>5</vt:i4>
      </vt:variant>
      <vt:variant>
        <vt:lpwstr/>
      </vt:variant>
      <vt:variant>
        <vt:lpwstr>_Toc271747170</vt:lpwstr>
      </vt:variant>
      <vt:variant>
        <vt:i4>1441846</vt:i4>
      </vt:variant>
      <vt:variant>
        <vt:i4>1658</vt:i4>
      </vt:variant>
      <vt:variant>
        <vt:i4>0</vt:i4>
      </vt:variant>
      <vt:variant>
        <vt:i4>5</vt:i4>
      </vt:variant>
      <vt:variant>
        <vt:lpwstr/>
      </vt:variant>
      <vt:variant>
        <vt:lpwstr>_Toc271747169</vt:lpwstr>
      </vt:variant>
      <vt:variant>
        <vt:i4>1441846</vt:i4>
      </vt:variant>
      <vt:variant>
        <vt:i4>1652</vt:i4>
      </vt:variant>
      <vt:variant>
        <vt:i4>0</vt:i4>
      </vt:variant>
      <vt:variant>
        <vt:i4>5</vt:i4>
      </vt:variant>
      <vt:variant>
        <vt:lpwstr/>
      </vt:variant>
      <vt:variant>
        <vt:lpwstr>_Toc271747168</vt:lpwstr>
      </vt:variant>
      <vt:variant>
        <vt:i4>1441846</vt:i4>
      </vt:variant>
      <vt:variant>
        <vt:i4>1646</vt:i4>
      </vt:variant>
      <vt:variant>
        <vt:i4>0</vt:i4>
      </vt:variant>
      <vt:variant>
        <vt:i4>5</vt:i4>
      </vt:variant>
      <vt:variant>
        <vt:lpwstr/>
      </vt:variant>
      <vt:variant>
        <vt:lpwstr>_Toc271747167</vt:lpwstr>
      </vt:variant>
      <vt:variant>
        <vt:i4>1441846</vt:i4>
      </vt:variant>
      <vt:variant>
        <vt:i4>1640</vt:i4>
      </vt:variant>
      <vt:variant>
        <vt:i4>0</vt:i4>
      </vt:variant>
      <vt:variant>
        <vt:i4>5</vt:i4>
      </vt:variant>
      <vt:variant>
        <vt:lpwstr/>
      </vt:variant>
      <vt:variant>
        <vt:lpwstr>_Toc271747166</vt:lpwstr>
      </vt:variant>
      <vt:variant>
        <vt:i4>1441846</vt:i4>
      </vt:variant>
      <vt:variant>
        <vt:i4>1634</vt:i4>
      </vt:variant>
      <vt:variant>
        <vt:i4>0</vt:i4>
      </vt:variant>
      <vt:variant>
        <vt:i4>5</vt:i4>
      </vt:variant>
      <vt:variant>
        <vt:lpwstr/>
      </vt:variant>
      <vt:variant>
        <vt:lpwstr>_Toc271747165</vt:lpwstr>
      </vt:variant>
      <vt:variant>
        <vt:i4>1441846</vt:i4>
      </vt:variant>
      <vt:variant>
        <vt:i4>1628</vt:i4>
      </vt:variant>
      <vt:variant>
        <vt:i4>0</vt:i4>
      </vt:variant>
      <vt:variant>
        <vt:i4>5</vt:i4>
      </vt:variant>
      <vt:variant>
        <vt:lpwstr/>
      </vt:variant>
      <vt:variant>
        <vt:lpwstr>_Toc271747164</vt:lpwstr>
      </vt:variant>
      <vt:variant>
        <vt:i4>1441846</vt:i4>
      </vt:variant>
      <vt:variant>
        <vt:i4>1622</vt:i4>
      </vt:variant>
      <vt:variant>
        <vt:i4>0</vt:i4>
      </vt:variant>
      <vt:variant>
        <vt:i4>5</vt:i4>
      </vt:variant>
      <vt:variant>
        <vt:lpwstr/>
      </vt:variant>
      <vt:variant>
        <vt:lpwstr>_Toc271747163</vt:lpwstr>
      </vt:variant>
      <vt:variant>
        <vt:i4>1441846</vt:i4>
      </vt:variant>
      <vt:variant>
        <vt:i4>1616</vt:i4>
      </vt:variant>
      <vt:variant>
        <vt:i4>0</vt:i4>
      </vt:variant>
      <vt:variant>
        <vt:i4>5</vt:i4>
      </vt:variant>
      <vt:variant>
        <vt:lpwstr/>
      </vt:variant>
      <vt:variant>
        <vt:lpwstr>_Toc271747162</vt:lpwstr>
      </vt:variant>
      <vt:variant>
        <vt:i4>1441846</vt:i4>
      </vt:variant>
      <vt:variant>
        <vt:i4>1610</vt:i4>
      </vt:variant>
      <vt:variant>
        <vt:i4>0</vt:i4>
      </vt:variant>
      <vt:variant>
        <vt:i4>5</vt:i4>
      </vt:variant>
      <vt:variant>
        <vt:lpwstr/>
      </vt:variant>
      <vt:variant>
        <vt:lpwstr>_Toc271747161</vt:lpwstr>
      </vt:variant>
      <vt:variant>
        <vt:i4>1441846</vt:i4>
      </vt:variant>
      <vt:variant>
        <vt:i4>1604</vt:i4>
      </vt:variant>
      <vt:variant>
        <vt:i4>0</vt:i4>
      </vt:variant>
      <vt:variant>
        <vt:i4>5</vt:i4>
      </vt:variant>
      <vt:variant>
        <vt:lpwstr/>
      </vt:variant>
      <vt:variant>
        <vt:lpwstr>_Toc271747160</vt:lpwstr>
      </vt:variant>
      <vt:variant>
        <vt:i4>1376310</vt:i4>
      </vt:variant>
      <vt:variant>
        <vt:i4>1598</vt:i4>
      </vt:variant>
      <vt:variant>
        <vt:i4>0</vt:i4>
      </vt:variant>
      <vt:variant>
        <vt:i4>5</vt:i4>
      </vt:variant>
      <vt:variant>
        <vt:lpwstr/>
      </vt:variant>
      <vt:variant>
        <vt:lpwstr>_Toc271747159</vt:lpwstr>
      </vt:variant>
      <vt:variant>
        <vt:i4>1376310</vt:i4>
      </vt:variant>
      <vt:variant>
        <vt:i4>1592</vt:i4>
      </vt:variant>
      <vt:variant>
        <vt:i4>0</vt:i4>
      </vt:variant>
      <vt:variant>
        <vt:i4>5</vt:i4>
      </vt:variant>
      <vt:variant>
        <vt:lpwstr/>
      </vt:variant>
      <vt:variant>
        <vt:lpwstr>_Toc271747158</vt:lpwstr>
      </vt:variant>
      <vt:variant>
        <vt:i4>1376310</vt:i4>
      </vt:variant>
      <vt:variant>
        <vt:i4>1586</vt:i4>
      </vt:variant>
      <vt:variant>
        <vt:i4>0</vt:i4>
      </vt:variant>
      <vt:variant>
        <vt:i4>5</vt:i4>
      </vt:variant>
      <vt:variant>
        <vt:lpwstr/>
      </vt:variant>
      <vt:variant>
        <vt:lpwstr>_Toc271747157</vt:lpwstr>
      </vt:variant>
      <vt:variant>
        <vt:i4>1376310</vt:i4>
      </vt:variant>
      <vt:variant>
        <vt:i4>1580</vt:i4>
      </vt:variant>
      <vt:variant>
        <vt:i4>0</vt:i4>
      </vt:variant>
      <vt:variant>
        <vt:i4>5</vt:i4>
      </vt:variant>
      <vt:variant>
        <vt:lpwstr/>
      </vt:variant>
      <vt:variant>
        <vt:lpwstr>_Toc271747156</vt:lpwstr>
      </vt:variant>
      <vt:variant>
        <vt:i4>1376310</vt:i4>
      </vt:variant>
      <vt:variant>
        <vt:i4>1574</vt:i4>
      </vt:variant>
      <vt:variant>
        <vt:i4>0</vt:i4>
      </vt:variant>
      <vt:variant>
        <vt:i4>5</vt:i4>
      </vt:variant>
      <vt:variant>
        <vt:lpwstr/>
      </vt:variant>
      <vt:variant>
        <vt:lpwstr>_Toc271747155</vt:lpwstr>
      </vt:variant>
      <vt:variant>
        <vt:i4>1376310</vt:i4>
      </vt:variant>
      <vt:variant>
        <vt:i4>1568</vt:i4>
      </vt:variant>
      <vt:variant>
        <vt:i4>0</vt:i4>
      </vt:variant>
      <vt:variant>
        <vt:i4>5</vt:i4>
      </vt:variant>
      <vt:variant>
        <vt:lpwstr/>
      </vt:variant>
      <vt:variant>
        <vt:lpwstr>_Toc271747154</vt:lpwstr>
      </vt:variant>
      <vt:variant>
        <vt:i4>1376310</vt:i4>
      </vt:variant>
      <vt:variant>
        <vt:i4>1562</vt:i4>
      </vt:variant>
      <vt:variant>
        <vt:i4>0</vt:i4>
      </vt:variant>
      <vt:variant>
        <vt:i4>5</vt:i4>
      </vt:variant>
      <vt:variant>
        <vt:lpwstr/>
      </vt:variant>
      <vt:variant>
        <vt:lpwstr>_Toc271747153</vt:lpwstr>
      </vt:variant>
      <vt:variant>
        <vt:i4>1376310</vt:i4>
      </vt:variant>
      <vt:variant>
        <vt:i4>1556</vt:i4>
      </vt:variant>
      <vt:variant>
        <vt:i4>0</vt:i4>
      </vt:variant>
      <vt:variant>
        <vt:i4>5</vt:i4>
      </vt:variant>
      <vt:variant>
        <vt:lpwstr/>
      </vt:variant>
      <vt:variant>
        <vt:lpwstr>_Toc271747152</vt:lpwstr>
      </vt:variant>
      <vt:variant>
        <vt:i4>1376310</vt:i4>
      </vt:variant>
      <vt:variant>
        <vt:i4>1550</vt:i4>
      </vt:variant>
      <vt:variant>
        <vt:i4>0</vt:i4>
      </vt:variant>
      <vt:variant>
        <vt:i4>5</vt:i4>
      </vt:variant>
      <vt:variant>
        <vt:lpwstr/>
      </vt:variant>
      <vt:variant>
        <vt:lpwstr>_Toc271747151</vt:lpwstr>
      </vt:variant>
      <vt:variant>
        <vt:i4>1376310</vt:i4>
      </vt:variant>
      <vt:variant>
        <vt:i4>1544</vt:i4>
      </vt:variant>
      <vt:variant>
        <vt:i4>0</vt:i4>
      </vt:variant>
      <vt:variant>
        <vt:i4>5</vt:i4>
      </vt:variant>
      <vt:variant>
        <vt:lpwstr/>
      </vt:variant>
      <vt:variant>
        <vt:lpwstr>_Toc271747150</vt:lpwstr>
      </vt:variant>
      <vt:variant>
        <vt:i4>1310774</vt:i4>
      </vt:variant>
      <vt:variant>
        <vt:i4>1538</vt:i4>
      </vt:variant>
      <vt:variant>
        <vt:i4>0</vt:i4>
      </vt:variant>
      <vt:variant>
        <vt:i4>5</vt:i4>
      </vt:variant>
      <vt:variant>
        <vt:lpwstr/>
      </vt:variant>
      <vt:variant>
        <vt:lpwstr>_Toc271747149</vt:lpwstr>
      </vt:variant>
      <vt:variant>
        <vt:i4>1310774</vt:i4>
      </vt:variant>
      <vt:variant>
        <vt:i4>1532</vt:i4>
      </vt:variant>
      <vt:variant>
        <vt:i4>0</vt:i4>
      </vt:variant>
      <vt:variant>
        <vt:i4>5</vt:i4>
      </vt:variant>
      <vt:variant>
        <vt:lpwstr/>
      </vt:variant>
      <vt:variant>
        <vt:lpwstr>_Toc271747148</vt:lpwstr>
      </vt:variant>
      <vt:variant>
        <vt:i4>1310774</vt:i4>
      </vt:variant>
      <vt:variant>
        <vt:i4>1526</vt:i4>
      </vt:variant>
      <vt:variant>
        <vt:i4>0</vt:i4>
      </vt:variant>
      <vt:variant>
        <vt:i4>5</vt:i4>
      </vt:variant>
      <vt:variant>
        <vt:lpwstr/>
      </vt:variant>
      <vt:variant>
        <vt:lpwstr>_Toc271747147</vt:lpwstr>
      </vt:variant>
      <vt:variant>
        <vt:i4>1310774</vt:i4>
      </vt:variant>
      <vt:variant>
        <vt:i4>1520</vt:i4>
      </vt:variant>
      <vt:variant>
        <vt:i4>0</vt:i4>
      </vt:variant>
      <vt:variant>
        <vt:i4>5</vt:i4>
      </vt:variant>
      <vt:variant>
        <vt:lpwstr/>
      </vt:variant>
      <vt:variant>
        <vt:lpwstr>_Toc271747146</vt:lpwstr>
      </vt:variant>
      <vt:variant>
        <vt:i4>1310774</vt:i4>
      </vt:variant>
      <vt:variant>
        <vt:i4>1514</vt:i4>
      </vt:variant>
      <vt:variant>
        <vt:i4>0</vt:i4>
      </vt:variant>
      <vt:variant>
        <vt:i4>5</vt:i4>
      </vt:variant>
      <vt:variant>
        <vt:lpwstr/>
      </vt:variant>
      <vt:variant>
        <vt:lpwstr>_Toc271747145</vt:lpwstr>
      </vt:variant>
      <vt:variant>
        <vt:i4>1310774</vt:i4>
      </vt:variant>
      <vt:variant>
        <vt:i4>1508</vt:i4>
      </vt:variant>
      <vt:variant>
        <vt:i4>0</vt:i4>
      </vt:variant>
      <vt:variant>
        <vt:i4>5</vt:i4>
      </vt:variant>
      <vt:variant>
        <vt:lpwstr/>
      </vt:variant>
      <vt:variant>
        <vt:lpwstr>_Toc271747144</vt:lpwstr>
      </vt:variant>
      <vt:variant>
        <vt:i4>1310774</vt:i4>
      </vt:variant>
      <vt:variant>
        <vt:i4>1502</vt:i4>
      </vt:variant>
      <vt:variant>
        <vt:i4>0</vt:i4>
      </vt:variant>
      <vt:variant>
        <vt:i4>5</vt:i4>
      </vt:variant>
      <vt:variant>
        <vt:lpwstr/>
      </vt:variant>
      <vt:variant>
        <vt:lpwstr>_Toc271747143</vt:lpwstr>
      </vt:variant>
      <vt:variant>
        <vt:i4>1310774</vt:i4>
      </vt:variant>
      <vt:variant>
        <vt:i4>1496</vt:i4>
      </vt:variant>
      <vt:variant>
        <vt:i4>0</vt:i4>
      </vt:variant>
      <vt:variant>
        <vt:i4>5</vt:i4>
      </vt:variant>
      <vt:variant>
        <vt:lpwstr/>
      </vt:variant>
      <vt:variant>
        <vt:lpwstr>_Toc271747142</vt:lpwstr>
      </vt:variant>
      <vt:variant>
        <vt:i4>1310774</vt:i4>
      </vt:variant>
      <vt:variant>
        <vt:i4>1490</vt:i4>
      </vt:variant>
      <vt:variant>
        <vt:i4>0</vt:i4>
      </vt:variant>
      <vt:variant>
        <vt:i4>5</vt:i4>
      </vt:variant>
      <vt:variant>
        <vt:lpwstr/>
      </vt:variant>
      <vt:variant>
        <vt:lpwstr>_Toc271747141</vt:lpwstr>
      </vt:variant>
      <vt:variant>
        <vt:i4>1310774</vt:i4>
      </vt:variant>
      <vt:variant>
        <vt:i4>1484</vt:i4>
      </vt:variant>
      <vt:variant>
        <vt:i4>0</vt:i4>
      </vt:variant>
      <vt:variant>
        <vt:i4>5</vt:i4>
      </vt:variant>
      <vt:variant>
        <vt:lpwstr/>
      </vt:variant>
      <vt:variant>
        <vt:lpwstr>_Toc271747140</vt:lpwstr>
      </vt:variant>
      <vt:variant>
        <vt:i4>1245238</vt:i4>
      </vt:variant>
      <vt:variant>
        <vt:i4>1478</vt:i4>
      </vt:variant>
      <vt:variant>
        <vt:i4>0</vt:i4>
      </vt:variant>
      <vt:variant>
        <vt:i4>5</vt:i4>
      </vt:variant>
      <vt:variant>
        <vt:lpwstr/>
      </vt:variant>
      <vt:variant>
        <vt:lpwstr>_Toc271747139</vt:lpwstr>
      </vt:variant>
      <vt:variant>
        <vt:i4>1245238</vt:i4>
      </vt:variant>
      <vt:variant>
        <vt:i4>1472</vt:i4>
      </vt:variant>
      <vt:variant>
        <vt:i4>0</vt:i4>
      </vt:variant>
      <vt:variant>
        <vt:i4>5</vt:i4>
      </vt:variant>
      <vt:variant>
        <vt:lpwstr/>
      </vt:variant>
      <vt:variant>
        <vt:lpwstr>_Toc271747138</vt:lpwstr>
      </vt:variant>
      <vt:variant>
        <vt:i4>1245238</vt:i4>
      </vt:variant>
      <vt:variant>
        <vt:i4>1466</vt:i4>
      </vt:variant>
      <vt:variant>
        <vt:i4>0</vt:i4>
      </vt:variant>
      <vt:variant>
        <vt:i4>5</vt:i4>
      </vt:variant>
      <vt:variant>
        <vt:lpwstr/>
      </vt:variant>
      <vt:variant>
        <vt:lpwstr>_Toc271747137</vt:lpwstr>
      </vt:variant>
      <vt:variant>
        <vt:i4>1245238</vt:i4>
      </vt:variant>
      <vt:variant>
        <vt:i4>1460</vt:i4>
      </vt:variant>
      <vt:variant>
        <vt:i4>0</vt:i4>
      </vt:variant>
      <vt:variant>
        <vt:i4>5</vt:i4>
      </vt:variant>
      <vt:variant>
        <vt:lpwstr/>
      </vt:variant>
      <vt:variant>
        <vt:lpwstr>_Toc271747136</vt:lpwstr>
      </vt:variant>
      <vt:variant>
        <vt:i4>1245238</vt:i4>
      </vt:variant>
      <vt:variant>
        <vt:i4>1454</vt:i4>
      </vt:variant>
      <vt:variant>
        <vt:i4>0</vt:i4>
      </vt:variant>
      <vt:variant>
        <vt:i4>5</vt:i4>
      </vt:variant>
      <vt:variant>
        <vt:lpwstr/>
      </vt:variant>
      <vt:variant>
        <vt:lpwstr>_Toc271747135</vt:lpwstr>
      </vt:variant>
      <vt:variant>
        <vt:i4>1245238</vt:i4>
      </vt:variant>
      <vt:variant>
        <vt:i4>1448</vt:i4>
      </vt:variant>
      <vt:variant>
        <vt:i4>0</vt:i4>
      </vt:variant>
      <vt:variant>
        <vt:i4>5</vt:i4>
      </vt:variant>
      <vt:variant>
        <vt:lpwstr/>
      </vt:variant>
      <vt:variant>
        <vt:lpwstr>_Toc271747134</vt:lpwstr>
      </vt:variant>
      <vt:variant>
        <vt:i4>1245238</vt:i4>
      </vt:variant>
      <vt:variant>
        <vt:i4>1442</vt:i4>
      </vt:variant>
      <vt:variant>
        <vt:i4>0</vt:i4>
      </vt:variant>
      <vt:variant>
        <vt:i4>5</vt:i4>
      </vt:variant>
      <vt:variant>
        <vt:lpwstr/>
      </vt:variant>
      <vt:variant>
        <vt:lpwstr>_Toc271747133</vt:lpwstr>
      </vt:variant>
      <vt:variant>
        <vt:i4>1245238</vt:i4>
      </vt:variant>
      <vt:variant>
        <vt:i4>1436</vt:i4>
      </vt:variant>
      <vt:variant>
        <vt:i4>0</vt:i4>
      </vt:variant>
      <vt:variant>
        <vt:i4>5</vt:i4>
      </vt:variant>
      <vt:variant>
        <vt:lpwstr/>
      </vt:variant>
      <vt:variant>
        <vt:lpwstr>_Toc271747132</vt:lpwstr>
      </vt:variant>
      <vt:variant>
        <vt:i4>1245238</vt:i4>
      </vt:variant>
      <vt:variant>
        <vt:i4>1430</vt:i4>
      </vt:variant>
      <vt:variant>
        <vt:i4>0</vt:i4>
      </vt:variant>
      <vt:variant>
        <vt:i4>5</vt:i4>
      </vt:variant>
      <vt:variant>
        <vt:lpwstr/>
      </vt:variant>
      <vt:variant>
        <vt:lpwstr>_Toc271747131</vt:lpwstr>
      </vt:variant>
      <vt:variant>
        <vt:i4>1245238</vt:i4>
      </vt:variant>
      <vt:variant>
        <vt:i4>1424</vt:i4>
      </vt:variant>
      <vt:variant>
        <vt:i4>0</vt:i4>
      </vt:variant>
      <vt:variant>
        <vt:i4>5</vt:i4>
      </vt:variant>
      <vt:variant>
        <vt:lpwstr/>
      </vt:variant>
      <vt:variant>
        <vt:lpwstr>_Toc271747130</vt:lpwstr>
      </vt:variant>
      <vt:variant>
        <vt:i4>1179702</vt:i4>
      </vt:variant>
      <vt:variant>
        <vt:i4>1418</vt:i4>
      </vt:variant>
      <vt:variant>
        <vt:i4>0</vt:i4>
      </vt:variant>
      <vt:variant>
        <vt:i4>5</vt:i4>
      </vt:variant>
      <vt:variant>
        <vt:lpwstr/>
      </vt:variant>
      <vt:variant>
        <vt:lpwstr>_Toc271747129</vt:lpwstr>
      </vt:variant>
      <vt:variant>
        <vt:i4>1179702</vt:i4>
      </vt:variant>
      <vt:variant>
        <vt:i4>1412</vt:i4>
      </vt:variant>
      <vt:variant>
        <vt:i4>0</vt:i4>
      </vt:variant>
      <vt:variant>
        <vt:i4>5</vt:i4>
      </vt:variant>
      <vt:variant>
        <vt:lpwstr/>
      </vt:variant>
      <vt:variant>
        <vt:lpwstr>_Toc271747128</vt:lpwstr>
      </vt:variant>
      <vt:variant>
        <vt:i4>1179702</vt:i4>
      </vt:variant>
      <vt:variant>
        <vt:i4>1406</vt:i4>
      </vt:variant>
      <vt:variant>
        <vt:i4>0</vt:i4>
      </vt:variant>
      <vt:variant>
        <vt:i4>5</vt:i4>
      </vt:variant>
      <vt:variant>
        <vt:lpwstr/>
      </vt:variant>
      <vt:variant>
        <vt:lpwstr>_Toc271747127</vt:lpwstr>
      </vt:variant>
      <vt:variant>
        <vt:i4>1179702</vt:i4>
      </vt:variant>
      <vt:variant>
        <vt:i4>1400</vt:i4>
      </vt:variant>
      <vt:variant>
        <vt:i4>0</vt:i4>
      </vt:variant>
      <vt:variant>
        <vt:i4>5</vt:i4>
      </vt:variant>
      <vt:variant>
        <vt:lpwstr/>
      </vt:variant>
      <vt:variant>
        <vt:lpwstr>_Toc271747126</vt:lpwstr>
      </vt:variant>
      <vt:variant>
        <vt:i4>1179702</vt:i4>
      </vt:variant>
      <vt:variant>
        <vt:i4>1394</vt:i4>
      </vt:variant>
      <vt:variant>
        <vt:i4>0</vt:i4>
      </vt:variant>
      <vt:variant>
        <vt:i4>5</vt:i4>
      </vt:variant>
      <vt:variant>
        <vt:lpwstr/>
      </vt:variant>
      <vt:variant>
        <vt:lpwstr>_Toc271747125</vt:lpwstr>
      </vt:variant>
      <vt:variant>
        <vt:i4>1179702</vt:i4>
      </vt:variant>
      <vt:variant>
        <vt:i4>1388</vt:i4>
      </vt:variant>
      <vt:variant>
        <vt:i4>0</vt:i4>
      </vt:variant>
      <vt:variant>
        <vt:i4>5</vt:i4>
      </vt:variant>
      <vt:variant>
        <vt:lpwstr/>
      </vt:variant>
      <vt:variant>
        <vt:lpwstr>_Toc271747124</vt:lpwstr>
      </vt:variant>
      <vt:variant>
        <vt:i4>1179702</vt:i4>
      </vt:variant>
      <vt:variant>
        <vt:i4>1382</vt:i4>
      </vt:variant>
      <vt:variant>
        <vt:i4>0</vt:i4>
      </vt:variant>
      <vt:variant>
        <vt:i4>5</vt:i4>
      </vt:variant>
      <vt:variant>
        <vt:lpwstr/>
      </vt:variant>
      <vt:variant>
        <vt:lpwstr>_Toc271747123</vt:lpwstr>
      </vt:variant>
      <vt:variant>
        <vt:i4>1179702</vt:i4>
      </vt:variant>
      <vt:variant>
        <vt:i4>1376</vt:i4>
      </vt:variant>
      <vt:variant>
        <vt:i4>0</vt:i4>
      </vt:variant>
      <vt:variant>
        <vt:i4>5</vt:i4>
      </vt:variant>
      <vt:variant>
        <vt:lpwstr/>
      </vt:variant>
      <vt:variant>
        <vt:lpwstr>_Toc271747122</vt:lpwstr>
      </vt:variant>
      <vt:variant>
        <vt:i4>1179702</vt:i4>
      </vt:variant>
      <vt:variant>
        <vt:i4>1370</vt:i4>
      </vt:variant>
      <vt:variant>
        <vt:i4>0</vt:i4>
      </vt:variant>
      <vt:variant>
        <vt:i4>5</vt:i4>
      </vt:variant>
      <vt:variant>
        <vt:lpwstr/>
      </vt:variant>
      <vt:variant>
        <vt:lpwstr>_Toc271747121</vt:lpwstr>
      </vt:variant>
      <vt:variant>
        <vt:i4>1179702</vt:i4>
      </vt:variant>
      <vt:variant>
        <vt:i4>1364</vt:i4>
      </vt:variant>
      <vt:variant>
        <vt:i4>0</vt:i4>
      </vt:variant>
      <vt:variant>
        <vt:i4>5</vt:i4>
      </vt:variant>
      <vt:variant>
        <vt:lpwstr/>
      </vt:variant>
      <vt:variant>
        <vt:lpwstr>_Toc271747120</vt:lpwstr>
      </vt:variant>
      <vt:variant>
        <vt:i4>1114166</vt:i4>
      </vt:variant>
      <vt:variant>
        <vt:i4>1358</vt:i4>
      </vt:variant>
      <vt:variant>
        <vt:i4>0</vt:i4>
      </vt:variant>
      <vt:variant>
        <vt:i4>5</vt:i4>
      </vt:variant>
      <vt:variant>
        <vt:lpwstr/>
      </vt:variant>
      <vt:variant>
        <vt:lpwstr>_Toc271747119</vt:lpwstr>
      </vt:variant>
      <vt:variant>
        <vt:i4>1114166</vt:i4>
      </vt:variant>
      <vt:variant>
        <vt:i4>1352</vt:i4>
      </vt:variant>
      <vt:variant>
        <vt:i4>0</vt:i4>
      </vt:variant>
      <vt:variant>
        <vt:i4>5</vt:i4>
      </vt:variant>
      <vt:variant>
        <vt:lpwstr/>
      </vt:variant>
      <vt:variant>
        <vt:lpwstr>_Toc271747118</vt:lpwstr>
      </vt:variant>
      <vt:variant>
        <vt:i4>1114166</vt:i4>
      </vt:variant>
      <vt:variant>
        <vt:i4>1346</vt:i4>
      </vt:variant>
      <vt:variant>
        <vt:i4>0</vt:i4>
      </vt:variant>
      <vt:variant>
        <vt:i4>5</vt:i4>
      </vt:variant>
      <vt:variant>
        <vt:lpwstr/>
      </vt:variant>
      <vt:variant>
        <vt:lpwstr>_Toc271747117</vt:lpwstr>
      </vt:variant>
      <vt:variant>
        <vt:i4>1114166</vt:i4>
      </vt:variant>
      <vt:variant>
        <vt:i4>1340</vt:i4>
      </vt:variant>
      <vt:variant>
        <vt:i4>0</vt:i4>
      </vt:variant>
      <vt:variant>
        <vt:i4>5</vt:i4>
      </vt:variant>
      <vt:variant>
        <vt:lpwstr/>
      </vt:variant>
      <vt:variant>
        <vt:lpwstr>_Toc271747116</vt:lpwstr>
      </vt:variant>
      <vt:variant>
        <vt:i4>1114166</vt:i4>
      </vt:variant>
      <vt:variant>
        <vt:i4>1334</vt:i4>
      </vt:variant>
      <vt:variant>
        <vt:i4>0</vt:i4>
      </vt:variant>
      <vt:variant>
        <vt:i4>5</vt:i4>
      </vt:variant>
      <vt:variant>
        <vt:lpwstr/>
      </vt:variant>
      <vt:variant>
        <vt:lpwstr>_Toc271747115</vt:lpwstr>
      </vt:variant>
      <vt:variant>
        <vt:i4>1114166</vt:i4>
      </vt:variant>
      <vt:variant>
        <vt:i4>1328</vt:i4>
      </vt:variant>
      <vt:variant>
        <vt:i4>0</vt:i4>
      </vt:variant>
      <vt:variant>
        <vt:i4>5</vt:i4>
      </vt:variant>
      <vt:variant>
        <vt:lpwstr/>
      </vt:variant>
      <vt:variant>
        <vt:lpwstr>_Toc271747114</vt:lpwstr>
      </vt:variant>
      <vt:variant>
        <vt:i4>1114166</vt:i4>
      </vt:variant>
      <vt:variant>
        <vt:i4>1322</vt:i4>
      </vt:variant>
      <vt:variant>
        <vt:i4>0</vt:i4>
      </vt:variant>
      <vt:variant>
        <vt:i4>5</vt:i4>
      </vt:variant>
      <vt:variant>
        <vt:lpwstr/>
      </vt:variant>
      <vt:variant>
        <vt:lpwstr>_Toc271747113</vt:lpwstr>
      </vt:variant>
      <vt:variant>
        <vt:i4>1114166</vt:i4>
      </vt:variant>
      <vt:variant>
        <vt:i4>1316</vt:i4>
      </vt:variant>
      <vt:variant>
        <vt:i4>0</vt:i4>
      </vt:variant>
      <vt:variant>
        <vt:i4>5</vt:i4>
      </vt:variant>
      <vt:variant>
        <vt:lpwstr/>
      </vt:variant>
      <vt:variant>
        <vt:lpwstr>_Toc271747112</vt:lpwstr>
      </vt:variant>
      <vt:variant>
        <vt:i4>1114166</vt:i4>
      </vt:variant>
      <vt:variant>
        <vt:i4>1310</vt:i4>
      </vt:variant>
      <vt:variant>
        <vt:i4>0</vt:i4>
      </vt:variant>
      <vt:variant>
        <vt:i4>5</vt:i4>
      </vt:variant>
      <vt:variant>
        <vt:lpwstr/>
      </vt:variant>
      <vt:variant>
        <vt:lpwstr>_Toc271747111</vt:lpwstr>
      </vt:variant>
      <vt:variant>
        <vt:i4>1114166</vt:i4>
      </vt:variant>
      <vt:variant>
        <vt:i4>1304</vt:i4>
      </vt:variant>
      <vt:variant>
        <vt:i4>0</vt:i4>
      </vt:variant>
      <vt:variant>
        <vt:i4>5</vt:i4>
      </vt:variant>
      <vt:variant>
        <vt:lpwstr/>
      </vt:variant>
      <vt:variant>
        <vt:lpwstr>_Toc271747110</vt:lpwstr>
      </vt:variant>
      <vt:variant>
        <vt:i4>1048630</vt:i4>
      </vt:variant>
      <vt:variant>
        <vt:i4>1298</vt:i4>
      </vt:variant>
      <vt:variant>
        <vt:i4>0</vt:i4>
      </vt:variant>
      <vt:variant>
        <vt:i4>5</vt:i4>
      </vt:variant>
      <vt:variant>
        <vt:lpwstr/>
      </vt:variant>
      <vt:variant>
        <vt:lpwstr>_Toc271747109</vt:lpwstr>
      </vt:variant>
      <vt:variant>
        <vt:i4>1048630</vt:i4>
      </vt:variant>
      <vt:variant>
        <vt:i4>1292</vt:i4>
      </vt:variant>
      <vt:variant>
        <vt:i4>0</vt:i4>
      </vt:variant>
      <vt:variant>
        <vt:i4>5</vt:i4>
      </vt:variant>
      <vt:variant>
        <vt:lpwstr/>
      </vt:variant>
      <vt:variant>
        <vt:lpwstr>_Toc271747108</vt:lpwstr>
      </vt:variant>
      <vt:variant>
        <vt:i4>1048630</vt:i4>
      </vt:variant>
      <vt:variant>
        <vt:i4>1286</vt:i4>
      </vt:variant>
      <vt:variant>
        <vt:i4>0</vt:i4>
      </vt:variant>
      <vt:variant>
        <vt:i4>5</vt:i4>
      </vt:variant>
      <vt:variant>
        <vt:lpwstr/>
      </vt:variant>
      <vt:variant>
        <vt:lpwstr>_Toc271747107</vt:lpwstr>
      </vt:variant>
      <vt:variant>
        <vt:i4>1048630</vt:i4>
      </vt:variant>
      <vt:variant>
        <vt:i4>1280</vt:i4>
      </vt:variant>
      <vt:variant>
        <vt:i4>0</vt:i4>
      </vt:variant>
      <vt:variant>
        <vt:i4>5</vt:i4>
      </vt:variant>
      <vt:variant>
        <vt:lpwstr/>
      </vt:variant>
      <vt:variant>
        <vt:lpwstr>_Toc271747106</vt:lpwstr>
      </vt:variant>
      <vt:variant>
        <vt:i4>1048630</vt:i4>
      </vt:variant>
      <vt:variant>
        <vt:i4>1274</vt:i4>
      </vt:variant>
      <vt:variant>
        <vt:i4>0</vt:i4>
      </vt:variant>
      <vt:variant>
        <vt:i4>5</vt:i4>
      </vt:variant>
      <vt:variant>
        <vt:lpwstr/>
      </vt:variant>
      <vt:variant>
        <vt:lpwstr>_Toc271747105</vt:lpwstr>
      </vt:variant>
      <vt:variant>
        <vt:i4>1048630</vt:i4>
      </vt:variant>
      <vt:variant>
        <vt:i4>1268</vt:i4>
      </vt:variant>
      <vt:variant>
        <vt:i4>0</vt:i4>
      </vt:variant>
      <vt:variant>
        <vt:i4>5</vt:i4>
      </vt:variant>
      <vt:variant>
        <vt:lpwstr/>
      </vt:variant>
      <vt:variant>
        <vt:lpwstr>_Toc271747104</vt:lpwstr>
      </vt:variant>
      <vt:variant>
        <vt:i4>1048630</vt:i4>
      </vt:variant>
      <vt:variant>
        <vt:i4>1262</vt:i4>
      </vt:variant>
      <vt:variant>
        <vt:i4>0</vt:i4>
      </vt:variant>
      <vt:variant>
        <vt:i4>5</vt:i4>
      </vt:variant>
      <vt:variant>
        <vt:lpwstr/>
      </vt:variant>
      <vt:variant>
        <vt:lpwstr>_Toc271747103</vt:lpwstr>
      </vt:variant>
      <vt:variant>
        <vt:i4>1048630</vt:i4>
      </vt:variant>
      <vt:variant>
        <vt:i4>1256</vt:i4>
      </vt:variant>
      <vt:variant>
        <vt:i4>0</vt:i4>
      </vt:variant>
      <vt:variant>
        <vt:i4>5</vt:i4>
      </vt:variant>
      <vt:variant>
        <vt:lpwstr/>
      </vt:variant>
      <vt:variant>
        <vt:lpwstr>_Toc271747102</vt:lpwstr>
      </vt:variant>
      <vt:variant>
        <vt:i4>1048630</vt:i4>
      </vt:variant>
      <vt:variant>
        <vt:i4>1250</vt:i4>
      </vt:variant>
      <vt:variant>
        <vt:i4>0</vt:i4>
      </vt:variant>
      <vt:variant>
        <vt:i4>5</vt:i4>
      </vt:variant>
      <vt:variant>
        <vt:lpwstr/>
      </vt:variant>
      <vt:variant>
        <vt:lpwstr>_Toc271747101</vt:lpwstr>
      </vt:variant>
      <vt:variant>
        <vt:i4>1048630</vt:i4>
      </vt:variant>
      <vt:variant>
        <vt:i4>1244</vt:i4>
      </vt:variant>
      <vt:variant>
        <vt:i4>0</vt:i4>
      </vt:variant>
      <vt:variant>
        <vt:i4>5</vt:i4>
      </vt:variant>
      <vt:variant>
        <vt:lpwstr/>
      </vt:variant>
      <vt:variant>
        <vt:lpwstr>_Toc271747100</vt:lpwstr>
      </vt:variant>
      <vt:variant>
        <vt:i4>1638455</vt:i4>
      </vt:variant>
      <vt:variant>
        <vt:i4>1238</vt:i4>
      </vt:variant>
      <vt:variant>
        <vt:i4>0</vt:i4>
      </vt:variant>
      <vt:variant>
        <vt:i4>5</vt:i4>
      </vt:variant>
      <vt:variant>
        <vt:lpwstr/>
      </vt:variant>
      <vt:variant>
        <vt:lpwstr>_Toc271747099</vt:lpwstr>
      </vt:variant>
      <vt:variant>
        <vt:i4>1638455</vt:i4>
      </vt:variant>
      <vt:variant>
        <vt:i4>1232</vt:i4>
      </vt:variant>
      <vt:variant>
        <vt:i4>0</vt:i4>
      </vt:variant>
      <vt:variant>
        <vt:i4>5</vt:i4>
      </vt:variant>
      <vt:variant>
        <vt:lpwstr/>
      </vt:variant>
      <vt:variant>
        <vt:lpwstr>_Toc271747098</vt:lpwstr>
      </vt:variant>
      <vt:variant>
        <vt:i4>1638455</vt:i4>
      </vt:variant>
      <vt:variant>
        <vt:i4>1226</vt:i4>
      </vt:variant>
      <vt:variant>
        <vt:i4>0</vt:i4>
      </vt:variant>
      <vt:variant>
        <vt:i4>5</vt:i4>
      </vt:variant>
      <vt:variant>
        <vt:lpwstr/>
      </vt:variant>
      <vt:variant>
        <vt:lpwstr>_Toc271747097</vt:lpwstr>
      </vt:variant>
      <vt:variant>
        <vt:i4>1638455</vt:i4>
      </vt:variant>
      <vt:variant>
        <vt:i4>1220</vt:i4>
      </vt:variant>
      <vt:variant>
        <vt:i4>0</vt:i4>
      </vt:variant>
      <vt:variant>
        <vt:i4>5</vt:i4>
      </vt:variant>
      <vt:variant>
        <vt:lpwstr/>
      </vt:variant>
      <vt:variant>
        <vt:lpwstr>_Toc271747096</vt:lpwstr>
      </vt:variant>
      <vt:variant>
        <vt:i4>1638455</vt:i4>
      </vt:variant>
      <vt:variant>
        <vt:i4>1214</vt:i4>
      </vt:variant>
      <vt:variant>
        <vt:i4>0</vt:i4>
      </vt:variant>
      <vt:variant>
        <vt:i4>5</vt:i4>
      </vt:variant>
      <vt:variant>
        <vt:lpwstr/>
      </vt:variant>
      <vt:variant>
        <vt:lpwstr>_Toc271747095</vt:lpwstr>
      </vt:variant>
      <vt:variant>
        <vt:i4>1638455</vt:i4>
      </vt:variant>
      <vt:variant>
        <vt:i4>1208</vt:i4>
      </vt:variant>
      <vt:variant>
        <vt:i4>0</vt:i4>
      </vt:variant>
      <vt:variant>
        <vt:i4>5</vt:i4>
      </vt:variant>
      <vt:variant>
        <vt:lpwstr/>
      </vt:variant>
      <vt:variant>
        <vt:lpwstr>_Toc271747094</vt:lpwstr>
      </vt:variant>
      <vt:variant>
        <vt:i4>1638455</vt:i4>
      </vt:variant>
      <vt:variant>
        <vt:i4>1202</vt:i4>
      </vt:variant>
      <vt:variant>
        <vt:i4>0</vt:i4>
      </vt:variant>
      <vt:variant>
        <vt:i4>5</vt:i4>
      </vt:variant>
      <vt:variant>
        <vt:lpwstr/>
      </vt:variant>
      <vt:variant>
        <vt:lpwstr>_Toc271747093</vt:lpwstr>
      </vt:variant>
      <vt:variant>
        <vt:i4>1638455</vt:i4>
      </vt:variant>
      <vt:variant>
        <vt:i4>1196</vt:i4>
      </vt:variant>
      <vt:variant>
        <vt:i4>0</vt:i4>
      </vt:variant>
      <vt:variant>
        <vt:i4>5</vt:i4>
      </vt:variant>
      <vt:variant>
        <vt:lpwstr/>
      </vt:variant>
      <vt:variant>
        <vt:lpwstr>_Toc271747092</vt:lpwstr>
      </vt:variant>
      <vt:variant>
        <vt:i4>1638455</vt:i4>
      </vt:variant>
      <vt:variant>
        <vt:i4>1190</vt:i4>
      </vt:variant>
      <vt:variant>
        <vt:i4>0</vt:i4>
      </vt:variant>
      <vt:variant>
        <vt:i4>5</vt:i4>
      </vt:variant>
      <vt:variant>
        <vt:lpwstr/>
      </vt:variant>
      <vt:variant>
        <vt:lpwstr>_Toc271747091</vt:lpwstr>
      </vt:variant>
      <vt:variant>
        <vt:i4>1638455</vt:i4>
      </vt:variant>
      <vt:variant>
        <vt:i4>1184</vt:i4>
      </vt:variant>
      <vt:variant>
        <vt:i4>0</vt:i4>
      </vt:variant>
      <vt:variant>
        <vt:i4>5</vt:i4>
      </vt:variant>
      <vt:variant>
        <vt:lpwstr/>
      </vt:variant>
      <vt:variant>
        <vt:lpwstr>_Toc271747090</vt:lpwstr>
      </vt:variant>
      <vt:variant>
        <vt:i4>1572919</vt:i4>
      </vt:variant>
      <vt:variant>
        <vt:i4>1178</vt:i4>
      </vt:variant>
      <vt:variant>
        <vt:i4>0</vt:i4>
      </vt:variant>
      <vt:variant>
        <vt:i4>5</vt:i4>
      </vt:variant>
      <vt:variant>
        <vt:lpwstr/>
      </vt:variant>
      <vt:variant>
        <vt:lpwstr>_Toc271747089</vt:lpwstr>
      </vt:variant>
      <vt:variant>
        <vt:i4>1572919</vt:i4>
      </vt:variant>
      <vt:variant>
        <vt:i4>1172</vt:i4>
      </vt:variant>
      <vt:variant>
        <vt:i4>0</vt:i4>
      </vt:variant>
      <vt:variant>
        <vt:i4>5</vt:i4>
      </vt:variant>
      <vt:variant>
        <vt:lpwstr/>
      </vt:variant>
      <vt:variant>
        <vt:lpwstr>_Toc271747088</vt:lpwstr>
      </vt:variant>
      <vt:variant>
        <vt:i4>1572919</vt:i4>
      </vt:variant>
      <vt:variant>
        <vt:i4>1166</vt:i4>
      </vt:variant>
      <vt:variant>
        <vt:i4>0</vt:i4>
      </vt:variant>
      <vt:variant>
        <vt:i4>5</vt:i4>
      </vt:variant>
      <vt:variant>
        <vt:lpwstr/>
      </vt:variant>
      <vt:variant>
        <vt:lpwstr>_Toc271747087</vt:lpwstr>
      </vt:variant>
      <vt:variant>
        <vt:i4>1572919</vt:i4>
      </vt:variant>
      <vt:variant>
        <vt:i4>1160</vt:i4>
      </vt:variant>
      <vt:variant>
        <vt:i4>0</vt:i4>
      </vt:variant>
      <vt:variant>
        <vt:i4>5</vt:i4>
      </vt:variant>
      <vt:variant>
        <vt:lpwstr/>
      </vt:variant>
      <vt:variant>
        <vt:lpwstr>_Toc271747086</vt:lpwstr>
      </vt:variant>
      <vt:variant>
        <vt:i4>1572919</vt:i4>
      </vt:variant>
      <vt:variant>
        <vt:i4>1154</vt:i4>
      </vt:variant>
      <vt:variant>
        <vt:i4>0</vt:i4>
      </vt:variant>
      <vt:variant>
        <vt:i4>5</vt:i4>
      </vt:variant>
      <vt:variant>
        <vt:lpwstr/>
      </vt:variant>
      <vt:variant>
        <vt:lpwstr>_Toc271747085</vt:lpwstr>
      </vt:variant>
      <vt:variant>
        <vt:i4>1572919</vt:i4>
      </vt:variant>
      <vt:variant>
        <vt:i4>1148</vt:i4>
      </vt:variant>
      <vt:variant>
        <vt:i4>0</vt:i4>
      </vt:variant>
      <vt:variant>
        <vt:i4>5</vt:i4>
      </vt:variant>
      <vt:variant>
        <vt:lpwstr/>
      </vt:variant>
      <vt:variant>
        <vt:lpwstr>_Toc271747084</vt:lpwstr>
      </vt:variant>
      <vt:variant>
        <vt:i4>1572919</vt:i4>
      </vt:variant>
      <vt:variant>
        <vt:i4>1142</vt:i4>
      </vt:variant>
      <vt:variant>
        <vt:i4>0</vt:i4>
      </vt:variant>
      <vt:variant>
        <vt:i4>5</vt:i4>
      </vt:variant>
      <vt:variant>
        <vt:lpwstr/>
      </vt:variant>
      <vt:variant>
        <vt:lpwstr>_Toc271747083</vt:lpwstr>
      </vt:variant>
      <vt:variant>
        <vt:i4>1572919</vt:i4>
      </vt:variant>
      <vt:variant>
        <vt:i4>1136</vt:i4>
      </vt:variant>
      <vt:variant>
        <vt:i4>0</vt:i4>
      </vt:variant>
      <vt:variant>
        <vt:i4>5</vt:i4>
      </vt:variant>
      <vt:variant>
        <vt:lpwstr/>
      </vt:variant>
      <vt:variant>
        <vt:lpwstr>_Toc271747082</vt:lpwstr>
      </vt:variant>
      <vt:variant>
        <vt:i4>1572919</vt:i4>
      </vt:variant>
      <vt:variant>
        <vt:i4>1130</vt:i4>
      </vt:variant>
      <vt:variant>
        <vt:i4>0</vt:i4>
      </vt:variant>
      <vt:variant>
        <vt:i4>5</vt:i4>
      </vt:variant>
      <vt:variant>
        <vt:lpwstr/>
      </vt:variant>
      <vt:variant>
        <vt:lpwstr>_Toc271747081</vt:lpwstr>
      </vt:variant>
      <vt:variant>
        <vt:i4>1572919</vt:i4>
      </vt:variant>
      <vt:variant>
        <vt:i4>1124</vt:i4>
      </vt:variant>
      <vt:variant>
        <vt:i4>0</vt:i4>
      </vt:variant>
      <vt:variant>
        <vt:i4>5</vt:i4>
      </vt:variant>
      <vt:variant>
        <vt:lpwstr/>
      </vt:variant>
      <vt:variant>
        <vt:lpwstr>_Toc271747080</vt:lpwstr>
      </vt:variant>
      <vt:variant>
        <vt:i4>1507383</vt:i4>
      </vt:variant>
      <vt:variant>
        <vt:i4>1118</vt:i4>
      </vt:variant>
      <vt:variant>
        <vt:i4>0</vt:i4>
      </vt:variant>
      <vt:variant>
        <vt:i4>5</vt:i4>
      </vt:variant>
      <vt:variant>
        <vt:lpwstr/>
      </vt:variant>
      <vt:variant>
        <vt:lpwstr>_Toc271747079</vt:lpwstr>
      </vt:variant>
      <vt:variant>
        <vt:i4>1507383</vt:i4>
      </vt:variant>
      <vt:variant>
        <vt:i4>1112</vt:i4>
      </vt:variant>
      <vt:variant>
        <vt:i4>0</vt:i4>
      </vt:variant>
      <vt:variant>
        <vt:i4>5</vt:i4>
      </vt:variant>
      <vt:variant>
        <vt:lpwstr/>
      </vt:variant>
      <vt:variant>
        <vt:lpwstr>_Toc271747078</vt:lpwstr>
      </vt:variant>
      <vt:variant>
        <vt:i4>1507383</vt:i4>
      </vt:variant>
      <vt:variant>
        <vt:i4>1106</vt:i4>
      </vt:variant>
      <vt:variant>
        <vt:i4>0</vt:i4>
      </vt:variant>
      <vt:variant>
        <vt:i4>5</vt:i4>
      </vt:variant>
      <vt:variant>
        <vt:lpwstr/>
      </vt:variant>
      <vt:variant>
        <vt:lpwstr>_Toc271747077</vt:lpwstr>
      </vt:variant>
      <vt:variant>
        <vt:i4>1507383</vt:i4>
      </vt:variant>
      <vt:variant>
        <vt:i4>1100</vt:i4>
      </vt:variant>
      <vt:variant>
        <vt:i4>0</vt:i4>
      </vt:variant>
      <vt:variant>
        <vt:i4>5</vt:i4>
      </vt:variant>
      <vt:variant>
        <vt:lpwstr/>
      </vt:variant>
      <vt:variant>
        <vt:lpwstr>_Toc271747076</vt:lpwstr>
      </vt:variant>
      <vt:variant>
        <vt:i4>1507383</vt:i4>
      </vt:variant>
      <vt:variant>
        <vt:i4>1094</vt:i4>
      </vt:variant>
      <vt:variant>
        <vt:i4>0</vt:i4>
      </vt:variant>
      <vt:variant>
        <vt:i4>5</vt:i4>
      </vt:variant>
      <vt:variant>
        <vt:lpwstr/>
      </vt:variant>
      <vt:variant>
        <vt:lpwstr>_Toc271747075</vt:lpwstr>
      </vt:variant>
      <vt:variant>
        <vt:i4>1507383</vt:i4>
      </vt:variant>
      <vt:variant>
        <vt:i4>1088</vt:i4>
      </vt:variant>
      <vt:variant>
        <vt:i4>0</vt:i4>
      </vt:variant>
      <vt:variant>
        <vt:i4>5</vt:i4>
      </vt:variant>
      <vt:variant>
        <vt:lpwstr/>
      </vt:variant>
      <vt:variant>
        <vt:lpwstr>_Toc271747074</vt:lpwstr>
      </vt:variant>
      <vt:variant>
        <vt:i4>1507383</vt:i4>
      </vt:variant>
      <vt:variant>
        <vt:i4>1082</vt:i4>
      </vt:variant>
      <vt:variant>
        <vt:i4>0</vt:i4>
      </vt:variant>
      <vt:variant>
        <vt:i4>5</vt:i4>
      </vt:variant>
      <vt:variant>
        <vt:lpwstr/>
      </vt:variant>
      <vt:variant>
        <vt:lpwstr>_Toc271747073</vt:lpwstr>
      </vt:variant>
      <vt:variant>
        <vt:i4>1507383</vt:i4>
      </vt:variant>
      <vt:variant>
        <vt:i4>1076</vt:i4>
      </vt:variant>
      <vt:variant>
        <vt:i4>0</vt:i4>
      </vt:variant>
      <vt:variant>
        <vt:i4>5</vt:i4>
      </vt:variant>
      <vt:variant>
        <vt:lpwstr/>
      </vt:variant>
      <vt:variant>
        <vt:lpwstr>_Toc271747072</vt:lpwstr>
      </vt:variant>
      <vt:variant>
        <vt:i4>1507383</vt:i4>
      </vt:variant>
      <vt:variant>
        <vt:i4>1070</vt:i4>
      </vt:variant>
      <vt:variant>
        <vt:i4>0</vt:i4>
      </vt:variant>
      <vt:variant>
        <vt:i4>5</vt:i4>
      </vt:variant>
      <vt:variant>
        <vt:lpwstr/>
      </vt:variant>
      <vt:variant>
        <vt:lpwstr>_Toc271747071</vt:lpwstr>
      </vt:variant>
      <vt:variant>
        <vt:i4>1507383</vt:i4>
      </vt:variant>
      <vt:variant>
        <vt:i4>1064</vt:i4>
      </vt:variant>
      <vt:variant>
        <vt:i4>0</vt:i4>
      </vt:variant>
      <vt:variant>
        <vt:i4>5</vt:i4>
      </vt:variant>
      <vt:variant>
        <vt:lpwstr/>
      </vt:variant>
      <vt:variant>
        <vt:lpwstr>_Toc271747070</vt:lpwstr>
      </vt:variant>
      <vt:variant>
        <vt:i4>1441847</vt:i4>
      </vt:variant>
      <vt:variant>
        <vt:i4>1058</vt:i4>
      </vt:variant>
      <vt:variant>
        <vt:i4>0</vt:i4>
      </vt:variant>
      <vt:variant>
        <vt:i4>5</vt:i4>
      </vt:variant>
      <vt:variant>
        <vt:lpwstr/>
      </vt:variant>
      <vt:variant>
        <vt:lpwstr>_Toc271747069</vt:lpwstr>
      </vt:variant>
      <vt:variant>
        <vt:i4>1441847</vt:i4>
      </vt:variant>
      <vt:variant>
        <vt:i4>1052</vt:i4>
      </vt:variant>
      <vt:variant>
        <vt:i4>0</vt:i4>
      </vt:variant>
      <vt:variant>
        <vt:i4>5</vt:i4>
      </vt:variant>
      <vt:variant>
        <vt:lpwstr/>
      </vt:variant>
      <vt:variant>
        <vt:lpwstr>_Toc271747068</vt:lpwstr>
      </vt:variant>
      <vt:variant>
        <vt:i4>1441847</vt:i4>
      </vt:variant>
      <vt:variant>
        <vt:i4>1046</vt:i4>
      </vt:variant>
      <vt:variant>
        <vt:i4>0</vt:i4>
      </vt:variant>
      <vt:variant>
        <vt:i4>5</vt:i4>
      </vt:variant>
      <vt:variant>
        <vt:lpwstr/>
      </vt:variant>
      <vt:variant>
        <vt:lpwstr>_Toc271747067</vt:lpwstr>
      </vt:variant>
      <vt:variant>
        <vt:i4>1441847</vt:i4>
      </vt:variant>
      <vt:variant>
        <vt:i4>1040</vt:i4>
      </vt:variant>
      <vt:variant>
        <vt:i4>0</vt:i4>
      </vt:variant>
      <vt:variant>
        <vt:i4>5</vt:i4>
      </vt:variant>
      <vt:variant>
        <vt:lpwstr/>
      </vt:variant>
      <vt:variant>
        <vt:lpwstr>_Toc271747066</vt:lpwstr>
      </vt:variant>
      <vt:variant>
        <vt:i4>1441847</vt:i4>
      </vt:variant>
      <vt:variant>
        <vt:i4>1034</vt:i4>
      </vt:variant>
      <vt:variant>
        <vt:i4>0</vt:i4>
      </vt:variant>
      <vt:variant>
        <vt:i4>5</vt:i4>
      </vt:variant>
      <vt:variant>
        <vt:lpwstr/>
      </vt:variant>
      <vt:variant>
        <vt:lpwstr>_Toc271747065</vt:lpwstr>
      </vt:variant>
      <vt:variant>
        <vt:i4>1441847</vt:i4>
      </vt:variant>
      <vt:variant>
        <vt:i4>1028</vt:i4>
      </vt:variant>
      <vt:variant>
        <vt:i4>0</vt:i4>
      </vt:variant>
      <vt:variant>
        <vt:i4>5</vt:i4>
      </vt:variant>
      <vt:variant>
        <vt:lpwstr/>
      </vt:variant>
      <vt:variant>
        <vt:lpwstr>_Toc271747064</vt:lpwstr>
      </vt:variant>
      <vt:variant>
        <vt:i4>1441847</vt:i4>
      </vt:variant>
      <vt:variant>
        <vt:i4>1022</vt:i4>
      </vt:variant>
      <vt:variant>
        <vt:i4>0</vt:i4>
      </vt:variant>
      <vt:variant>
        <vt:i4>5</vt:i4>
      </vt:variant>
      <vt:variant>
        <vt:lpwstr/>
      </vt:variant>
      <vt:variant>
        <vt:lpwstr>_Toc271747063</vt:lpwstr>
      </vt:variant>
      <vt:variant>
        <vt:i4>1441847</vt:i4>
      </vt:variant>
      <vt:variant>
        <vt:i4>1016</vt:i4>
      </vt:variant>
      <vt:variant>
        <vt:i4>0</vt:i4>
      </vt:variant>
      <vt:variant>
        <vt:i4>5</vt:i4>
      </vt:variant>
      <vt:variant>
        <vt:lpwstr/>
      </vt:variant>
      <vt:variant>
        <vt:lpwstr>_Toc271747062</vt:lpwstr>
      </vt:variant>
      <vt:variant>
        <vt:i4>1441847</vt:i4>
      </vt:variant>
      <vt:variant>
        <vt:i4>1010</vt:i4>
      </vt:variant>
      <vt:variant>
        <vt:i4>0</vt:i4>
      </vt:variant>
      <vt:variant>
        <vt:i4>5</vt:i4>
      </vt:variant>
      <vt:variant>
        <vt:lpwstr/>
      </vt:variant>
      <vt:variant>
        <vt:lpwstr>_Toc271747061</vt:lpwstr>
      </vt:variant>
      <vt:variant>
        <vt:i4>1441847</vt:i4>
      </vt:variant>
      <vt:variant>
        <vt:i4>1004</vt:i4>
      </vt:variant>
      <vt:variant>
        <vt:i4>0</vt:i4>
      </vt:variant>
      <vt:variant>
        <vt:i4>5</vt:i4>
      </vt:variant>
      <vt:variant>
        <vt:lpwstr/>
      </vt:variant>
      <vt:variant>
        <vt:lpwstr>_Toc271747060</vt:lpwstr>
      </vt:variant>
      <vt:variant>
        <vt:i4>1376311</vt:i4>
      </vt:variant>
      <vt:variant>
        <vt:i4>998</vt:i4>
      </vt:variant>
      <vt:variant>
        <vt:i4>0</vt:i4>
      </vt:variant>
      <vt:variant>
        <vt:i4>5</vt:i4>
      </vt:variant>
      <vt:variant>
        <vt:lpwstr/>
      </vt:variant>
      <vt:variant>
        <vt:lpwstr>_Toc271747059</vt:lpwstr>
      </vt:variant>
      <vt:variant>
        <vt:i4>1376311</vt:i4>
      </vt:variant>
      <vt:variant>
        <vt:i4>992</vt:i4>
      </vt:variant>
      <vt:variant>
        <vt:i4>0</vt:i4>
      </vt:variant>
      <vt:variant>
        <vt:i4>5</vt:i4>
      </vt:variant>
      <vt:variant>
        <vt:lpwstr/>
      </vt:variant>
      <vt:variant>
        <vt:lpwstr>_Toc271747058</vt:lpwstr>
      </vt:variant>
      <vt:variant>
        <vt:i4>1376311</vt:i4>
      </vt:variant>
      <vt:variant>
        <vt:i4>986</vt:i4>
      </vt:variant>
      <vt:variant>
        <vt:i4>0</vt:i4>
      </vt:variant>
      <vt:variant>
        <vt:i4>5</vt:i4>
      </vt:variant>
      <vt:variant>
        <vt:lpwstr/>
      </vt:variant>
      <vt:variant>
        <vt:lpwstr>_Toc271747057</vt:lpwstr>
      </vt:variant>
      <vt:variant>
        <vt:i4>1376311</vt:i4>
      </vt:variant>
      <vt:variant>
        <vt:i4>980</vt:i4>
      </vt:variant>
      <vt:variant>
        <vt:i4>0</vt:i4>
      </vt:variant>
      <vt:variant>
        <vt:i4>5</vt:i4>
      </vt:variant>
      <vt:variant>
        <vt:lpwstr/>
      </vt:variant>
      <vt:variant>
        <vt:lpwstr>_Toc271747056</vt:lpwstr>
      </vt:variant>
      <vt:variant>
        <vt:i4>1376311</vt:i4>
      </vt:variant>
      <vt:variant>
        <vt:i4>974</vt:i4>
      </vt:variant>
      <vt:variant>
        <vt:i4>0</vt:i4>
      </vt:variant>
      <vt:variant>
        <vt:i4>5</vt:i4>
      </vt:variant>
      <vt:variant>
        <vt:lpwstr/>
      </vt:variant>
      <vt:variant>
        <vt:lpwstr>_Toc271747055</vt:lpwstr>
      </vt:variant>
      <vt:variant>
        <vt:i4>1376311</vt:i4>
      </vt:variant>
      <vt:variant>
        <vt:i4>968</vt:i4>
      </vt:variant>
      <vt:variant>
        <vt:i4>0</vt:i4>
      </vt:variant>
      <vt:variant>
        <vt:i4>5</vt:i4>
      </vt:variant>
      <vt:variant>
        <vt:lpwstr/>
      </vt:variant>
      <vt:variant>
        <vt:lpwstr>_Toc271747054</vt:lpwstr>
      </vt:variant>
      <vt:variant>
        <vt:i4>1376311</vt:i4>
      </vt:variant>
      <vt:variant>
        <vt:i4>962</vt:i4>
      </vt:variant>
      <vt:variant>
        <vt:i4>0</vt:i4>
      </vt:variant>
      <vt:variant>
        <vt:i4>5</vt:i4>
      </vt:variant>
      <vt:variant>
        <vt:lpwstr/>
      </vt:variant>
      <vt:variant>
        <vt:lpwstr>_Toc271747053</vt:lpwstr>
      </vt:variant>
      <vt:variant>
        <vt:i4>1376311</vt:i4>
      </vt:variant>
      <vt:variant>
        <vt:i4>956</vt:i4>
      </vt:variant>
      <vt:variant>
        <vt:i4>0</vt:i4>
      </vt:variant>
      <vt:variant>
        <vt:i4>5</vt:i4>
      </vt:variant>
      <vt:variant>
        <vt:lpwstr/>
      </vt:variant>
      <vt:variant>
        <vt:lpwstr>_Toc271747052</vt:lpwstr>
      </vt:variant>
      <vt:variant>
        <vt:i4>1376311</vt:i4>
      </vt:variant>
      <vt:variant>
        <vt:i4>950</vt:i4>
      </vt:variant>
      <vt:variant>
        <vt:i4>0</vt:i4>
      </vt:variant>
      <vt:variant>
        <vt:i4>5</vt:i4>
      </vt:variant>
      <vt:variant>
        <vt:lpwstr/>
      </vt:variant>
      <vt:variant>
        <vt:lpwstr>_Toc271747051</vt:lpwstr>
      </vt:variant>
      <vt:variant>
        <vt:i4>1376311</vt:i4>
      </vt:variant>
      <vt:variant>
        <vt:i4>944</vt:i4>
      </vt:variant>
      <vt:variant>
        <vt:i4>0</vt:i4>
      </vt:variant>
      <vt:variant>
        <vt:i4>5</vt:i4>
      </vt:variant>
      <vt:variant>
        <vt:lpwstr/>
      </vt:variant>
      <vt:variant>
        <vt:lpwstr>_Toc271747050</vt:lpwstr>
      </vt:variant>
      <vt:variant>
        <vt:i4>1310775</vt:i4>
      </vt:variant>
      <vt:variant>
        <vt:i4>938</vt:i4>
      </vt:variant>
      <vt:variant>
        <vt:i4>0</vt:i4>
      </vt:variant>
      <vt:variant>
        <vt:i4>5</vt:i4>
      </vt:variant>
      <vt:variant>
        <vt:lpwstr/>
      </vt:variant>
      <vt:variant>
        <vt:lpwstr>_Toc271747049</vt:lpwstr>
      </vt:variant>
      <vt:variant>
        <vt:i4>1310775</vt:i4>
      </vt:variant>
      <vt:variant>
        <vt:i4>932</vt:i4>
      </vt:variant>
      <vt:variant>
        <vt:i4>0</vt:i4>
      </vt:variant>
      <vt:variant>
        <vt:i4>5</vt:i4>
      </vt:variant>
      <vt:variant>
        <vt:lpwstr/>
      </vt:variant>
      <vt:variant>
        <vt:lpwstr>_Toc271747048</vt:lpwstr>
      </vt:variant>
      <vt:variant>
        <vt:i4>1310775</vt:i4>
      </vt:variant>
      <vt:variant>
        <vt:i4>926</vt:i4>
      </vt:variant>
      <vt:variant>
        <vt:i4>0</vt:i4>
      </vt:variant>
      <vt:variant>
        <vt:i4>5</vt:i4>
      </vt:variant>
      <vt:variant>
        <vt:lpwstr/>
      </vt:variant>
      <vt:variant>
        <vt:lpwstr>_Toc271747047</vt:lpwstr>
      </vt:variant>
      <vt:variant>
        <vt:i4>1310775</vt:i4>
      </vt:variant>
      <vt:variant>
        <vt:i4>920</vt:i4>
      </vt:variant>
      <vt:variant>
        <vt:i4>0</vt:i4>
      </vt:variant>
      <vt:variant>
        <vt:i4>5</vt:i4>
      </vt:variant>
      <vt:variant>
        <vt:lpwstr/>
      </vt:variant>
      <vt:variant>
        <vt:lpwstr>_Toc271747046</vt:lpwstr>
      </vt:variant>
      <vt:variant>
        <vt:i4>1310775</vt:i4>
      </vt:variant>
      <vt:variant>
        <vt:i4>914</vt:i4>
      </vt:variant>
      <vt:variant>
        <vt:i4>0</vt:i4>
      </vt:variant>
      <vt:variant>
        <vt:i4>5</vt:i4>
      </vt:variant>
      <vt:variant>
        <vt:lpwstr/>
      </vt:variant>
      <vt:variant>
        <vt:lpwstr>_Toc271747045</vt:lpwstr>
      </vt:variant>
      <vt:variant>
        <vt:i4>1310775</vt:i4>
      </vt:variant>
      <vt:variant>
        <vt:i4>908</vt:i4>
      </vt:variant>
      <vt:variant>
        <vt:i4>0</vt:i4>
      </vt:variant>
      <vt:variant>
        <vt:i4>5</vt:i4>
      </vt:variant>
      <vt:variant>
        <vt:lpwstr/>
      </vt:variant>
      <vt:variant>
        <vt:lpwstr>_Toc271747044</vt:lpwstr>
      </vt:variant>
      <vt:variant>
        <vt:i4>1310775</vt:i4>
      </vt:variant>
      <vt:variant>
        <vt:i4>902</vt:i4>
      </vt:variant>
      <vt:variant>
        <vt:i4>0</vt:i4>
      </vt:variant>
      <vt:variant>
        <vt:i4>5</vt:i4>
      </vt:variant>
      <vt:variant>
        <vt:lpwstr/>
      </vt:variant>
      <vt:variant>
        <vt:lpwstr>_Toc271747043</vt:lpwstr>
      </vt:variant>
      <vt:variant>
        <vt:i4>1310775</vt:i4>
      </vt:variant>
      <vt:variant>
        <vt:i4>896</vt:i4>
      </vt:variant>
      <vt:variant>
        <vt:i4>0</vt:i4>
      </vt:variant>
      <vt:variant>
        <vt:i4>5</vt:i4>
      </vt:variant>
      <vt:variant>
        <vt:lpwstr/>
      </vt:variant>
      <vt:variant>
        <vt:lpwstr>_Toc271747042</vt:lpwstr>
      </vt:variant>
      <vt:variant>
        <vt:i4>1310775</vt:i4>
      </vt:variant>
      <vt:variant>
        <vt:i4>890</vt:i4>
      </vt:variant>
      <vt:variant>
        <vt:i4>0</vt:i4>
      </vt:variant>
      <vt:variant>
        <vt:i4>5</vt:i4>
      </vt:variant>
      <vt:variant>
        <vt:lpwstr/>
      </vt:variant>
      <vt:variant>
        <vt:lpwstr>_Toc271747041</vt:lpwstr>
      </vt:variant>
      <vt:variant>
        <vt:i4>1310775</vt:i4>
      </vt:variant>
      <vt:variant>
        <vt:i4>884</vt:i4>
      </vt:variant>
      <vt:variant>
        <vt:i4>0</vt:i4>
      </vt:variant>
      <vt:variant>
        <vt:i4>5</vt:i4>
      </vt:variant>
      <vt:variant>
        <vt:lpwstr/>
      </vt:variant>
      <vt:variant>
        <vt:lpwstr>_Toc271747040</vt:lpwstr>
      </vt:variant>
      <vt:variant>
        <vt:i4>1245239</vt:i4>
      </vt:variant>
      <vt:variant>
        <vt:i4>878</vt:i4>
      </vt:variant>
      <vt:variant>
        <vt:i4>0</vt:i4>
      </vt:variant>
      <vt:variant>
        <vt:i4>5</vt:i4>
      </vt:variant>
      <vt:variant>
        <vt:lpwstr/>
      </vt:variant>
      <vt:variant>
        <vt:lpwstr>_Toc271747039</vt:lpwstr>
      </vt:variant>
      <vt:variant>
        <vt:i4>1245239</vt:i4>
      </vt:variant>
      <vt:variant>
        <vt:i4>872</vt:i4>
      </vt:variant>
      <vt:variant>
        <vt:i4>0</vt:i4>
      </vt:variant>
      <vt:variant>
        <vt:i4>5</vt:i4>
      </vt:variant>
      <vt:variant>
        <vt:lpwstr/>
      </vt:variant>
      <vt:variant>
        <vt:lpwstr>_Toc271747038</vt:lpwstr>
      </vt:variant>
      <vt:variant>
        <vt:i4>1245239</vt:i4>
      </vt:variant>
      <vt:variant>
        <vt:i4>866</vt:i4>
      </vt:variant>
      <vt:variant>
        <vt:i4>0</vt:i4>
      </vt:variant>
      <vt:variant>
        <vt:i4>5</vt:i4>
      </vt:variant>
      <vt:variant>
        <vt:lpwstr/>
      </vt:variant>
      <vt:variant>
        <vt:lpwstr>_Toc271747037</vt:lpwstr>
      </vt:variant>
      <vt:variant>
        <vt:i4>1245239</vt:i4>
      </vt:variant>
      <vt:variant>
        <vt:i4>860</vt:i4>
      </vt:variant>
      <vt:variant>
        <vt:i4>0</vt:i4>
      </vt:variant>
      <vt:variant>
        <vt:i4>5</vt:i4>
      </vt:variant>
      <vt:variant>
        <vt:lpwstr/>
      </vt:variant>
      <vt:variant>
        <vt:lpwstr>_Toc271747036</vt:lpwstr>
      </vt:variant>
      <vt:variant>
        <vt:i4>1245239</vt:i4>
      </vt:variant>
      <vt:variant>
        <vt:i4>854</vt:i4>
      </vt:variant>
      <vt:variant>
        <vt:i4>0</vt:i4>
      </vt:variant>
      <vt:variant>
        <vt:i4>5</vt:i4>
      </vt:variant>
      <vt:variant>
        <vt:lpwstr/>
      </vt:variant>
      <vt:variant>
        <vt:lpwstr>_Toc271747035</vt:lpwstr>
      </vt:variant>
      <vt:variant>
        <vt:i4>1245239</vt:i4>
      </vt:variant>
      <vt:variant>
        <vt:i4>848</vt:i4>
      </vt:variant>
      <vt:variant>
        <vt:i4>0</vt:i4>
      </vt:variant>
      <vt:variant>
        <vt:i4>5</vt:i4>
      </vt:variant>
      <vt:variant>
        <vt:lpwstr/>
      </vt:variant>
      <vt:variant>
        <vt:lpwstr>_Toc271747034</vt:lpwstr>
      </vt:variant>
      <vt:variant>
        <vt:i4>1245239</vt:i4>
      </vt:variant>
      <vt:variant>
        <vt:i4>842</vt:i4>
      </vt:variant>
      <vt:variant>
        <vt:i4>0</vt:i4>
      </vt:variant>
      <vt:variant>
        <vt:i4>5</vt:i4>
      </vt:variant>
      <vt:variant>
        <vt:lpwstr/>
      </vt:variant>
      <vt:variant>
        <vt:lpwstr>_Toc271747033</vt:lpwstr>
      </vt:variant>
      <vt:variant>
        <vt:i4>1245239</vt:i4>
      </vt:variant>
      <vt:variant>
        <vt:i4>836</vt:i4>
      </vt:variant>
      <vt:variant>
        <vt:i4>0</vt:i4>
      </vt:variant>
      <vt:variant>
        <vt:i4>5</vt:i4>
      </vt:variant>
      <vt:variant>
        <vt:lpwstr/>
      </vt:variant>
      <vt:variant>
        <vt:lpwstr>_Toc271747032</vt:lpwstr>
      </vt:variant>
      <vt:variant>
        <vt:i4>1245239</vt:i4>
      </vt:variant>
      <vt:variant>
        <vt:i4>830</vt:i4>
      </vt:variant>
      <vt:variant>
        <vt:i4>0</vt:i4>
      </vt:variant>
      <vt:variant>
        <vt:i4>5</vt:i4>
      </vt:variant>
      <vt:variant>
        <vt:lpwstr/>
      </vt:variant>
      <vt:variant>
        <vt:lpwstr>_Toc271747031</vt:lpwstr>
      </vt:variant>
      <vt:variant>
        <vt:i4>1245239</vt:i4>
      </vt:variant>
      <vt:variant>
        <vt:i4>824</vt:i4>
      </vt:variant>
      <vt:variant>
        <vt:i4>0</vt:i4>
      </vt:variant>
      <vt:variant>
        <vt:i4>5</vt:i4>
      </vt:variant>
      <vt:variant>
        <vt:lpwstr/>
      </vt:variant>
      <vt:variant>
        <vt:lpwstr>_Toc271747030</vt:lpwstr>
      </vt:variant>
      <vt:variant>
        <vt:i4>1179703</vt:i4>
      </vt:variant>
      <vt:variant>
        <vt:i4>818</vt:i4>
      </vt:variant>
      <vt:variant>
        <vt:i4>0</vt:i4>
      </vt:variant>
      <vt:variant>
        <vt:i4>5</vt:i4>
      </vt:variant>
      <vt:variant>
        <vt:lpwstr/>
      </vt:variant>
      <vt:variant>
        <vt:lpwstr>_Toc271747029</vt:lpwstr>
      </vt:variant>
      <vt:variant>
        <vt:i4>1179703</vt:i4>
      </vt:variant>
      <vt:variant>
        <vt:i4>812</vt:i4>
      </vt:variant>
      <vt:variant>
        <vt:i4>0</vt:i4>
      </vt:variant>
      <vt:variant>
        <vt:i4>5</vt:i4>
      </vt:variant>
      <vt:variant>
        <vt:lpwstr/>
      </vt:variant>
      <vt:variant>
        <vt:lpwstr>_Toc271747028</vt:lpwstr>
      </vt:variant>
      <vt:variant>
        <vt:i4>1179703</vt:i4>
      </vt:variant>
      <vt:variant>
        <vt:i4>806</vt:i4>
      </vt:variant>
      <vt:variant>
        <vt:i4>0</vt:i4>
      </vt:variant>
      <vt:variant>
        <vt:i4>5</vt:i4>
      </vt:variant>
      <vt:variant>
        <vt:lpwstr/>
      </vt:variant>
      <vt:variant>
        <vt:lpwstr>_Toc271747027</vt:lpwstr>
      </vt:variant>
      <vt:variant>
        <vt:i4>1179703</vt:i4>
      </vt:variant>
      <vt:variant>
        <vt:i4>800</vt:i4>
      </vt:variant>
      <vt:variant>
        <vt:i4>0</vt:i4>
      </vt:variant>
      <vt:variant>
        <vt:i4>5</vt:i4>
      </vt:variant>
      <vt:variant>
        <vt:lpwstr/>
      </vt:variant>
      <vt:variant>
        <vt:lpwstr>_Toc271747026</vt:lpwstr>
      </vt:variant>
      <vt:variant>
        <vt:i4>1179703</vt:i4>
      </vt:variant>
      <vt:variant>
        <vt:i4>794</vt:i4>
      </vt:variant>
      <vt:variant>
        <vt:i4>0</vt:i4>
      </vt:variant>
      <vt:variant>
        <vt:i4>5</vt:i4>
      </vt:variant>
      <vt:variant>
        <vt:lpwstr/>
      </vt:variant>
      <vt:variant>
        <vt:lpwstr>_Toc271747025</vt:lpwstr>
      </vt:variant>
      <vt:variant>
        <vt:i4>1179703</vt:i4>
      </vt:variant>
      <vt:variant>
        <vt:i4>788</vt:i4>
      </vt:variant>
      <vt:variant>
        <vt:i4>0</vt:i4>
      </vt:variant>
      <vt:variant>
        <vt:i4>5</vt:i4>
      </vt:variant>
      <vt:variant>
        <vt:lpwstr/>
      </vt:variant>
      <vt:variant>
        <vt:lpwstr>_Toc271747024</vt:lpwstr>
      </vt:variant>
      <vt:variant>
        <vt:i4>1179703</vt:i4>
      </vt:variant>
      <vt:variant>
        <vt:i4>782</vt:i4>
      </vt:variant>
      <vt:variant>
        <vt:i4>0</vt:i4>
      </vt:variant>
      <vt:variant>
        <vt:i4>5</vt:i4>
      </vt:variant>
      <vt:variant>
        <vt:lpwstr/>
      </vt:variant>
      <vt:variant>
        <vt:lpwstr>_Toc271747023</vt:lpwstr>
      </vt:variant>
      <vt:variant>
        <vt:i4>1179703</vt:i4>
      </vt:variant>
      <vt:variant>
        <vt:i4>776</vt:i4>
      </vt:variant>
      <vt:variant>
        <vt:i4>0</vt:i4>
      </vt:variant>
      <vt:variant>
        <vt:i4>5</vt:i4>
      </vt:variant>
      <vt:variant>
        <vt:lpwstr/>
      </vt:variant>
      <vt:variant>
        <vt:lpwstr>_Toc271747022</vt:lpwstr>
      </vt:variant>
      <vt:variant>
        <vt:i4>1179703</vt:i4>
      </vt:variant>
      <vt:variant>
        <vt:i4>770</vt:i4>
      </vt:variant>
      <vt:variant>
        <vt:i4>0</vt:i4>
      </vt:variant>
      <vt:variant>
        <vt:i4>5</vt:i4>
      </vt:variant>
      <vt:variant>
        <vt:lpwstr/>
      </vt:variant>
      <vt:variant>
        <vt:lpwstr>_Toc271747021</vt:lpwstr>
      </vt:variant>
      <vt:variant>
        <vt:i4>1179703</vt:i4>
      </vt:variant>
      <vt:variant>
        <vt:i4>764</vt:i4>
      </vt:variant>
      <vt:variant>
        <vt:i4>0</vt:i4>
      </vt:variant>
      <vt:variant>
        <vt:i4>5</vt:i4>
      </vt:variant>
      <vt:variant>
        <vt:lpwstr/>
      </vt:variant>
      <vt:variant>
        <vt:lpwstr>_Toc271747020</vt:lpwstr>
      </vt:variant>
      <vt:variant>
        <vt:i4>1114167</vt:i4>
      </vt:variant>
      <vt:variant>
        <vt:i4>758</vt:i4>
      </vt:variant>
      <vt:variant>
        <vt:i4>0</vt:i4>
      </vt:variant>
      <vt:variant>
        <vt:i4>5</vt:i4>
      </vt:variant>
      <vt:variant>
        <vt:lpwstr/>
      </vt:variant>
      <vt:variant>
        <vt:lpwstr>_Toc271747019</vt:lpwstr>
      </vt:variant>
      <vt:variant>
        <vt:i4>1114167</vt:i4>
      </vt:variant>
      <vt:variant>
        <vt:i4>752</vt:i4>
      </vt:variant>
      <vt:variant>
        <vt:i4>0</vt:i4>
      </vt:variant>
      <vt:variant>
        <vt:i4>5</vt:i4>
      </vt:variant>
      <vt:variant>
        <vt:lpwstr/>
      </vt:variant>
      <vt:variant>
        <vt:lpwstr>_Toc271747018</vt:lpwstr>
      </vt:variant>
      <vt:variant>
        <vt:i4>1114167</vt:i4>
      </vt:variant>
      <vt:variant>
        <vt:i4>746</vt:i4>
      </vt:variant>
      <vt:variant>
        <vt:i4>0</vt:i4>
      </vt:variant>
      <vt:variant>
        <vt:i4>5</vt:i4>
      </vt:variant>
      <vt:variant>
        <vt:lpwstr/>
      </vt:variant>
      <vt:variant>
        <vt:lpwstr>_Toc271747017</vt:lpwstr>
      </vt:variant>
      <vt:variant>
        <vt:i4>1114167</vt:i4>
      </vt:variant>
      <vt:variant>
        <vt:i4>740</vt:i4>
      </vt:variant>
      <vt:variant>
        <vt:i4>0</vt:i4>
      </vt:variant>
      <vt:variant>
        <vt:i4>5</vt:i4>
      </vt:variant>
      <vt:variant>
        <vt:lpwstr/>
      </vt:variant>
      <vt:variant>
        <vt:lpwstr>_Toc271747016</vt:lpwstr>
      </vt:variant>
      <vt:variant>
        <vt:i4>1114167</vt:i4>
      </vt:variant>
      <vt:variant>
        <vt:i4>734</vt:i4>
      </vt:variant>
      <vt:variant>
        <vt:i4>0</vt:i4>
      </vt:variant>
      <vt:variant>
        <vt:i4>5</vt:i4>
      </vt:variant>
      <vt:variant>
        <vt:lpwstr/>
      </vt:variant>
      <vt:variant>
        <vt:lpwstr>_Toc271747015</vt:lpwstr>
      </vt:variant>
      <vt:variant>
        <vt:i4>1114167</vt:i4>
      </vt:variant>
      <vt:variant>
        <vt:i4>728</vt:i4>
      </vt:variant>
      <vt:variant>
        <vt:i4>0</vt:i4>
      </vt:variant>
      <vt:variant>
        <vt:i4>5</vt:i4>
      </vt:variant>
      <vt:variant>
        <vt:lpwstr/>
      </vt:variant>
      <vt:variant>
        <vt:lpwstr>_Toc271747014</vt:lpwstr>
      </vt:variant>
      <vt:variant>
        <vt:i4>1114167</vt:i4>
      </vt:variant>
      <vt:variant>
        <vt:i4>722</vt:i4>
      </vt:variant>
      <vt:variant>
        <vt:i4>0</vt:i4>
      </vt:variant>
      <vt:variant>
        <vt:i4>5</vt:i4>
      </vt:variant>
      <vt:variant>
        <vt:lpwstr/>
      </vt:variant>
      <vt:variant>
        <vt:lpwstr>_Toc271747013</vt:lpwstr>
      </vt:variant>
      <vt:variant>
        <vt:i4>1114167</vt:i4>
      </vt:variant>
      <vt:variant>
        <vt:i4>716</vt:i4>
      </vt:variant>
      <vt:variant>
        <vt:i4>0</vt:i4>
      </vt:variant>
      <vt:variant>
        <vt:i4>5</vt:i4>
      </vt:variant>
      <vt:variant>
        <vt:lpwstr/>
      </vt:variant>
      <vt:variant>
        <vt:lpwstr>_Toc271747012</vt:lpwstr>
      </vt:variant>
      <vt:variant>
        <vt:i4>1114167</vt:i4>
      </vt:variant>
      <vt:variant>
        <vt:i4>710</vt:i4>
      </vt:variant>
      <vt:variant>
        <vt:i4>0</vt:i4>
      </vt:variant>
      <vt:variant>
        <vt:i4>5</vt:i4>
      </vt:variant>
      <vt:variant>
        <vt:lpwstr/>
      </vt:variant>
      <vt:variant>
        <vt:lpwstr>_Toc271747011</vt:lpwstr>
      </vt:variant>
      <vt:variant>
        <vt:i4>1114167</vt:i4>
      </vt:variant>
      <vt:variant>
        <vt:i4>704</vt:i4>
      </vt:variant>
      <vt:variant>
        <vt:i4>0</vt:i4>
      </vt:variant>
      <vt:variant>
        <vt:i4>5</vt:i4>
      </vt:variant>
      <vt:variant>
        <vt:lpwstr/>
      </vt:variant>
      <vt:variant>
        <vt:lpwstr>_Toc271747010</vt:lpwstr>
      </vt:variant>
      <vt:variant>
        <vt:i4>1048631</vt:i4>
      </vt:variant>
      <vt:variant>
        <vt:i4>698</vt:i4>
      </vt:variant>
      <vt:variant>
        <vt:i4>0</vt:i4>
      </vt:variant>
      <vt:variant>
        <vt:i4>5</vt:i4>
      </vt:variant>
      <vt:variant>
        <vt:lpwstr/>
      </vt:variant>
      <vt:variant>
        <vt:lpwstr>_Toc271747009</vt:lpwstr>
      </vt:variant>
      <vt:variant>
        <vt:i4>1048631</vt:i4>
      </vt:variant>
      <vt:variant>
        <vt:i4>692</vt:i4>
      </vt:variant>
      <vt:variant>
        <vt:i4>0</vt:i4>
      </vt:variant>
      <vt:variant>
        <vt:i4>5</vt:i4>
      </vt:variant>
      <vt:variant>
        <vt:lpwstr/>
      </vt:variant>
      <vt:variant>
        <vt:lpwstr>_Toc271747008</vt:lpwstr>
      </vt:variant>
      <vt:variant>
        <vt:i4>1048631</vt:i4>
      </vt:variant>
      <vt:variant>
        <vt:i4>686</vt:i4>
      </vt:variant>
      <vt:variant>
        <vt:i4>0</vt:i4>
      </vt:variant>
      <vt:variant>
        <vt:i4>5</vt:i4>
      </vt:variant>
      <vt:variant>
        <vt:lpwstr/>
      </vt:variant>
      <vt:variant>
        <vt:lpwstr>_Toc271747007</vt:lpwstr>
      </vt:variant>
      <vt:variant>
        <vt:i4>1048631</vt:i4>
      </vt:variant>
      <vt:variant>
        <vt:i4>680</vt:i4>
      </vt:variant>
      <vt:variant>
        <vt:i4>0</vt:i4>
      </vt:variant>
      <vt:variant>
        <vt:i4>5</vt:i4>
      </vt:variant>
      <vt:variant>
        <vt:lpwstr/>
      </vt:variant>
      <vt:variant>
        <vt:lpwstr>_Toc271747006</vt:lpwstr>
      </vt:variant>
      <vt:variant>
        <vt:i4>1048631</vt:i4>
      </vt:variant>
      <vt:variant>
        <vt:i4>674</vt:i4>
      </vt:variant>
      <vt:variant>
        <vt:i4>0</vt:i4>
      </vt:variant>
      <vt:variant>
        <vt:i4>5</vt:i4>
      </vt:variant>
      <vt:variant>
        <vt:lpwstr/>
      </vt:variant>
      <vt:variant>
        <vt:lpwstr>_Toc271747005</vt:lpwstr>
      </vt:variant>
      <vt:variant>
        <vt:i4>1048631</vt:i4>
      </vt:variant>
      <vt:variant>
        <vt:i4>668</vt:i4>
      </vt:variant>
      <vt:variant>
        <vt:i4>0</vt:i4>
      </vt:variant>
      <vt:variant>
        <vt:i4>5</vt:i4>
      </vt:variant>
      <vt:variant>
        <vt:lpwstr/>
      </vt:variant>
      <vt:variant>
        <vt:lpwstr>_Toc271747004</vt:lpwstr>
      </vt:variant>
      <vt:variant>
        <vt:i4>1048631</vt:i4>
      </vt:variant>
      <vt:variant>
        <vt:i4>662</vt:i4>
      </vt:variant>
      <vt:variant>
        <vt:i4>0</vt:i4>
      </vt:variant>
      <vt:variant>
        <vt:i4>5</vt:i4>
      </vt:variant>
      <vt:variant>
        <vt:lpwstr/>
      </vt:variant>
      <vt:variant>
        <vt:lpwstr>_Toc271747003</vt:lpwstr>
      </vt:variant>
      <vt:variant>
        <vt:i4>1048631</vt:i4>
      </vt:variant>
      <vt:variant>
        <vt:i4>656</vt:i4>
      </vt:variant>
      <vt:variant>
        <vt:i4>0</vt:i4>
      </vt:variant>
      <vt:variant>
        <vt:i4>5</vt:i4>
      </vt:variant>
      <vt:variant>
        <vt:lpwstr/>
      </vt:variant>
      <vt:variant>
        <vt:lpwstr>_Toc271747002</vt:lpwstr>
      </vt:variant>
      <vt:variant>
        <vt:i4>1048631</vt:i4>
      </vt:variant>
      <vt:variant>
        <vt:i4>650</vt:i4>
      </vt:variant>
      <vt:variant>
        <vt:i4>0</vt:i4>
      </vt:variant>
      <vt:variant>
        <vt:i4>5</vt:i4>
      </vt:variant>
      <vt:variant>
        <vt:lpwstr/>
      </vt:variant>
      <vt:variant>
        <vt:lpwstr>_Toc271747001</vt:lpwstr>
      </vt:variant>
      <vt:variant>
        <vt:i4>1048631</vt:i4>
      </vt:variant>
      <vt:variant>
        <vt:i4>644</vt:i4>
      </vt:variant>
      <vt:variant>
        <vt:i4>0</vt:i4>
      </vt:variant>
      <vt:variant>
        <vt:i4>5</vt:i4>
      </vt:variant>
      <vt:variant>
        <vt:lpwstr/>
      </vt:variant>
      <vt:variant>
        <vt:lpwstr>_Toc271747000</vt:lpwstr>
      </vt:variant>
      <vt:variant>
        <vt:i4>1572926</vt:i4>
      </vt:variant>
      <vt:variant>
        <vt:i4>638</vt:i4>
      </vt:variant>
      <vt:variant>
        <vt:i4>0</vt:i4>
      </vt:variant>
      <vt:variant>
        <vt:i4>5</vt:i4>
      </vt:variant>
      <vt:variant>
        <vt:lpwstr/>
      </vt:variant>
      <vt:variant>
        <vt:lpwstr>_Toc271746999</vt:lpwstr>
      </vt:variant>
      <vt:variant>
        <vt:i4>1572926</vt:i4>
      </vt:variant>
      <vt:variant>
        <vt:i4>632</vt:i4>
      </vt:variant>
      <vt:variant>
        <vt:i4>0</vt:i4>
      </vt:variant>
      <vt:variant>
        <vt:i4>5</vt:i4>
      </vt:variant>
      <vt:variant>
        <vt:lpwstr/>
      </vt:variant>
      <vt:variant>
        <vt:lpwstr>_Toc271746998</vt:lpwstr>
      </vt:variant>
      <vt:variant>
        <vt:i4>1572926</vt:i4>
      </vt:variant>
      <vt:variant>
        <vt:i4>626</vt:i4>
      </vt:variant>
      <vt:variant>
        <vt:i4>0</vt:i4>
      </vt:variant>
      <vt:variant>
        <vt:i4>5</vt:i4>
      </vt:variant>
      <vt:variant>
        <vt:lpwstr/>
      </vt:variant>
      <vt:variant>
        <vt:lpwstr>_Toc271746997</vt:lpwstr>
      </vt:variant>
      <vt:variant>
        <vt:i4>1572926</vt:i4>
      </vt:variant>
      <vt:variant>
        <vt:i4>620</vt:i4>
      </vt:variant>
      <vt:variant>
        <vt:i4>0</vt:i4>
      </vt:variant>
      <vt:variant>
        <vt:i4>5</vt:i4>
      </vt:variant>
      <vt:variant>
        <vt:lpwstr/>
      </vt:variant>
      <vt:variant>
        <vt:lpwstr>_Toc271746996</vt:lpwstr>
      </vt:variant>
      <vt:variant>
        <vt:i4>1572926</vt:i4>
      </vt:variant>
      <vt:variant>
        <vt:i4>614</vt:i4>
      </vt:variant>
      <vt:variant>
        <vt:i4>0</vt:i4>
      </vt:variant>
      <vt:variant>
        <vt:i4>5</vt:i4>
      </vt:variant>
      <vt:variant>
        <vt:lpwstr/>
      </vt:variant>
      <vt:variant>
        <vt:lpwstr>_Toc271746995</vt:lpwstr>
      </vt:variant>
      <vt:variant>
        <vt:i4>1572926</vt:i4>
      </vt:variant>
      <vt:variant>
        <vt:i4>608</vt:i4>
      </vt:variant>
      <vt:variant>
        <vt:i4>0</vt:i4>
      </vt:variant>
      <vt:variant>
        <vt:i4>5</vt:i4>
      </vt:variant>
      <vt:variant>
        <vt:lpwstr/>
      </vt:variant>
      <vt:variant>
        <vt:lpwstr>_Toc271746994</vt:lpwstr>
      </vt:variant>
      <vt:variant>
        <vt:i4>1572926</vt:i4>
      </vt:variant>
      <vt:variant>
        <vt:i4>602</vt:i4>
      </vt:variant>
      <vt:variant>
        <vt:i4>0</vt:i4>
      </vt:variant>
      <vt:variant>
        <vt:i4>5</vt:i4>
      </vt:variant>
      <vt:variant>
        <vt:lpwstr/>
      </vt:variant>
      <vt:variant>
        <vt:lpwstr>_Toc271746993</vt:lpwstr>
      </vt:variant>
      <vt:variant>
        <vt:i4>1572926</vt:i4>
      </vt:variant>
      <vt:variant>
        <vt:i4>596</vt:i4>
      </vt:variant>
      <vt:variant>
        <vt:i4>0</vt:i4>
      </vt:variant>
      <vt:variant>
        <vt:i4>5</vt:i4>
      </vt:variant>
      <vt:variant>
        <vt:lpwstr/>
      </vt:variant>
      <vt:variant>
        <vt:lpwstr>_Toc271746992</vt:lpwstr>
      </vt:variant>
      <vt:variant>
        <vt:i4>1572926</vt:i4>
      </vt:variant>
      <vt:variant>
        <vt:i4>590</vt:i4>
      </vt:variant>
      <vt:variant>
        <vt:i4>0</vt:i4>
      </vt:variant>
      <vt:variant>
        <vt:i4>5</vt:i4>
      </vt:variant>
      <vt:variant>
        <vt:lpwstr/>
      </vt:variant>
      <vt:variant>
        <vt:lpwstr>_Toc271746991</vt:lpwstr>
      </vt:variant>
      <vt:variant>
        <vt:i4>1572926</vt:i4>
      </vt:variant>
      <vt:variant>
        <vt:i4>584</vt:i4>
      </vt:variant>
      <vt:variant>
        <vt:i4>0</vt:i4>
      </vt:variant>
      <vt:variant>
        <vt:i4>5</vt:i4>
      </vt:variant>
      <vt:variant>
        <vt:lpwstr/>
      </vt:variant>
      <vt:variant>
        <vt:lpwstr>_Toc271746990</vt:lpwstr>
      </vt:variant>
      <vt:variant>
        <vt:i4>1638462</vt:i4>
      </vt:variant>
      <vt:variant>
        <vt:i4>578</vt:i4>
      </vt:variant>
      <vt:variant>
        <vt:i4>0</vt:i4>
      </vt:variant>
      <vt:variant>
        <vt:i4>5</vt:i4>
      </vt:variant>
      <vt:variant>
        <vt:lpwstr/>
      </vt:variant>
      <vt:variant>
        <vt:lpwstr>_Toc271746989</vt:lpwstr>
      </vt:variant>
      <vt:variant>
        <vt:i4>1638462</vt:i4>
      </vt:variant>
      <vt:variant>
        <vt:i4>572</vt:i4>
      </vt:variant>
      <vt:variant>
        <vt:i4>0</vt:i4>
      </vt:variant>
      <vt:variant>
        <vt:i4>5</vt:i4>
      </vt:variant>
      <vt:variant>
        <vt:lpwstr/>
      </vt:variant>
      <vt:variant>
        <vt:lpwstr>_Toc271746988</vt:lpwstr>
      </vt:variant>
      <vt:variant>
        <vt:i4>1638462</vt:i4>
      </vt:variant>
      <vt:variant>
        <vt:i4>566</vt:i4>
      </vt:variant>
      <vt:variant>
        <vt:i4>0</vt:i4>
      </vt:variant>
      <vt:variant>
        <vt:i4>5</vt:i4>
      </vt:variant>
      <vt:variant>
        <vt:lpwstr/>
      </vt:variant>
      <vt:variant>
        <vt:lpwstr>_Toc271746987</vt:lpwstr>
      </vt:variant>
      <vt:variant>
        <vt:i4>1638462</vt:i4>
      </vt:variant>
      <vt:variant>
        <vt:i4>560</vt:i4>
      </vt:variant>
      <vt:variant>
        <vt:i4>0</vt:i4>
      </vt:variant>
      <vt:variant>
        <vt:i4>5</vt:i4>
      </vt:variant>
      <vt:variant>
        <vt:lpwstr/>
      </vt:variant>
      <vt:variant>
        <vt:lpwstr>_Toc271746986</vt:lpwstr>
      </vt:variant>
      <vt:variant>
        <vt:i4>1638462</vt:i4>
      </vt:variant>
      <vt:variant>
        <vt:i4>554</vt:i4>
      </vt:variant>
      <vt:variant>
        <vt:i4>0</vt:i4>
      </vt:variant>
      <vt:variant>
        <vt:i4>5</vt:i4>
      </vt:variant>
      <vt:variant>
        <vt:lpwstr/>
      </vt:variant>
      <vt:variant>
        <vt:lpwstr>_Toc271746985</vt:lpwstr>
      </vt:variant>
      <vt:variant>
        <vt:i4>1638462</vt:i4>
      </vt:variant>
      <vt:variant>
        <vt:i4>548</vt:i4>
      </vt:variant>
      <vt:variant>
        <vt:i4>0</vt:i4>
      </vt:variant>
      <vt:variant>
        <vt:i4>5</vt:i4>
      </vt:variant>
      <vt:variant>
        <vt:lpwstr/>
      </vt:variant>
      <vt:variant>
        <vt:lpwstr>_Toc271746984</vt:lpwstr>
      </vt:variant>
      <vt:variant>
        <vt:i4>1638462</vt:i4>
      </vt:variant>
      <vt:variant>
        <vt:i4>542</vt:i4>
      </vt:variant>
      <vt:variant>
        <vt:i4>0</vt:i4>
      </vt:variant>
      <vt:variant>
        <vt:i4>5</vt:i4>
      </vt:variant>
      <vt:variant>
        <vt:lpwstr/>
      </vt:variant>
      <vt:variant>
        <vt:lpwstr>_Toc271746983</vt:lpwstr>
      </vt:variant>
      <vt:variant>
        <vt:i4>1638462</vt:i4>
      </vt:variant>
      <vt:variant>
        <vt:i4>536</vt:i4>
      </vt:variant>
      <vt:variant>
        <vt:i4>0</vt:i4>
      </vt:variant>
      <vt:variant>
        <vt:i4>5</vt:i4>
      </vt:variant>
      <vt:variant>
        <vt:lpwstr/>
      </vt:variant>
      <vt:variant>
        <vt:lpwstr>_Toc271746982</vt:lpwstr>
      </vt:variant>
      <vt:variant>
        <vt:i4>1638462</vt:i4>
      </vt:variant>
      <vt:variant>
        <vt:i4>530</vt:i4>
      </vt:variant>
      <vt:variant>
        <vt:i4>0</vt:i4>
      </vt:variant>
      <vt:variant>
        <vt:i4>5</vt:i4>
      </vt:variant>
      <vt:variant>
        <vt:lpwstr/>
      </vt:variant>
      <vt:variant>
        <vt:lpwstr>_Toc271746981</vt:lpwstr>
      </vt:variant>
      <vt:variant>
        <vt:i4>1638462</vt:i4>
      </vt:variant>
      <vt:variant>
        <vt:i4>524</vt:i4>
      </vt:variant>
      <vt:variant>
        <vt:i4>0</vt:i4>
      </vt:variant>
      <vt:variant>
        <vt:i4>5</vt:i4>
      </vt:variant>
      <vt:variant>
        <vt:lpwstr/>
      </vt:variant>
      <vt:variant>
        <vt:lpwstr>_Toc271746980</vt:lpwstr>
      </vt:variant>
      <vt:variant>
        <vt:i4>1441854</vt:i4>
      </vt:variant>
      <vt:variant>
        <vt:i4>518</vt:i4>
      </vt:variant>
      <vt:variant>
        <vt:i4>0</vt:i4>
      </vt:variant>
      <vt:variant>
        <vt:i4>5</vt:i4>
      </vt:variant>
      <vt:variant>
        <vt:lpwstr/>
      </vt:variant>
      <vt:variant>
        <vt:lpwstr>_Toc271746979</vt:lpwstr>
      </vt:variant>
      <vt:variant>
        <vt:i4>1441854</vt:i4>
      </vt:variant>
      <vt:variant>
        <vt:i4>512</vt:i4>
      </vt:variant>
      <vt:variant>
        <vt:i4>0</vt:i4>
      </vt:variant>
      <vt:variant>
        <vt:i4>5</vt:i4>
      </vt:variant>
      <vt:variant>
        <vt:lpwstr/>
      </vt:variant>
      <vt:variant>
        <vt:lpwstr>_Toc271746978</vt:lpwstr>
      </vt:variant>
      <vt:variant>
        <vt:i4>1441854</vt:i4>
      </vt:variant>
      <vt:variant>
        <vt:i4>506</vt:i4>
      </vt:variant>
      <vt:variant>
        <vt:i4>0</vt:i4>
      </vt:variant>
      <vt:variant>
        <vt:i4>5</vt:i4>
      </vt:variant>
      <vt:variant>
        <vt:lpwstr/>
      </vt:variant>
      <vt:variant>
        <vt:lpwstr>_Toc271746977</vt:lpwstr>
      </vt:variant>
      <vt:variant>
        <vt:i4>1441854</vt:i4>
      </vt:variant>
      <vt:variant>
        <vt:i4>500</vt:i4>
      </vt:variant>
      <vt:variant>
        <vt:i4>0</vt:i4>
      </vt:variant>
      <vt:variant>
        <vt:i4>5</vt:i4>
      </vt:variant>
      <vt:variant>
        <vt:lpwstr/>
      </vt:variant>
      <vt:variant>
        <vt:lpwstr>_Toc271746976</vt:lpwstr>
      </vt:variant>
      <vt:variant>
        <vt:i4>1441854</vt:i4>
      </vt:variant>
      <vt:variant>
        <vt:i4>494</vt:i4>
      </vt:variant>
      <vt:variant>
        <vt:i4>0</vt:i4>
      </vt:variant>
      <vt:variant>
        <vt:i4>5</vt:i4>
      </vt:variant>
      <vt:variant>
        <vt:lpwstr/>
      </vt:variant>
      <vt:variant>
        <vt:lpwstr>_Toc271746975</vt:lpwstr>
      </vt:variant>
      <vt:variant>
        <vt:i4>1441854</vt:i4>
      </vt:variant>
      <vt:variant>
        <vt:i4>488</vt:i4>
      </vt:variant>
      <vt:variant>
        <vt:i4>0</vt:i4>
      </vt:variant>
      <vt:variant>
        <vt:i4>5</vt:i4>
      </vt:variant>
      <vt:variant>
        <vt:lpwstr/>
      </vt:variant>
      <vt:variant>
        <vt:lpwstr>_Toc271746974</vt:lpwstr>
      </vt:variant>
      <vt:variant>
        <vt:i4>1441854</vt:i4>
      </vt:variant>
      <vt:variant>
        <vt:i4>482</vt:i4>
      </vt:variant>
      <vt:variant>
        <vt:i4>0</vt:i4>
      </vt:variant>
      <vt:variant>
        <vt:i4>5</vt:i4>
      </vt:variant>
      <vt:variant>
        <vt:lpwstr/>
      </vt:variant>
      <vt:variant>
        <vt:lpwstr>_Toc271746973</vt:lpwstr>
      </vt:variant>
      <vt:variant>
        <vt:i4>1441854</vt:i4>
      </vt:variant>
      <vt:variant>
        <vt:i4>476</vt:i4>
      </vt:variant>
      <vt:variant>
        <vt:i4>0</vt:i4>
      </vt:variant>
      <vt:variant>
        <vt:i4>5</vt:i4>
      </vt:variant>
      <vt:variant>
        <vt:lpwstr/>
      </vt:variant>
      <vt:variant>
        <vt:lpwstr>_Toc271746972</vt:lpwstr>
      </vt:variant>
      <vt:variant>
        <vt:i4>1441854</vt:i4>
      </vt:variant>
      <vt:variant>
        <vt:i4>470</vt:i4>
      </vt:variant>
      <vt:variant>
        <vt:i4>0</vt:i4>
      </vt:variant>
      <vt:variant>
        <vt:i4>5</vt:i4>
      </vt:variant>
      <vt:variant>
        <vt:lpwstr/>
      </vt:variant>
      <vt:variant>
        <vt:lpwstr>_Toc271746971</vt:lpwstr>
      </vt:variant>
      <vt:variant>
        <vt:i4>1441854</vt:i4>
      </vt:variant>
      <vt:variant>
        <vt:i4>464</vt:i4>
      </vt:variant>
      <vt:variant>
        <vt:i4>0</vt:i4>
      </vt:variant>
      <vt:variant>
        <vt:i4>5</vt:i4>
      </vt:variant>
      <vt:variant>
        <vt:lpwstr/>
      </vt:variant>
      <vt:variant>
        <vt:lpwstr>_Toc271746970</vt:lpwstr>
      </vt:variant>
      <vt:variant>
        <vt:i4>1507390</vt:i4>
      </vt:variant>
      <vt:variant>
        <vt:i4>458</vt:i4>
      </vt:variant>
      <vt:variant>
        <vt:i4>0</vt:i4>
      </vt:variant>
      <vt:variant>
        <vt:i4>5</vt:i4>
      </vt:variant>
      <vt:variant>
        <vt:lpwstr/>
      </vt:variant>
      <vt:variant>
        <vt:lpwstr>_Toc271746969</vt:lpwstr>
      </vt:variant>
      <vt:variant>
        <vt:i4>1507390</vt:i4>
      </vt:variant>
      <vt:variant>
        <vt:i4>452</vt:i4>
      </vt:variant>
      <vt:variant>
        <vt:i4>0</vt:i4>
      </vt:variant>
      <vt:variant>
        <vt:i4>5</vt:i4>
      </vt:variant>
      <vt:variant>
        <vt:lpwstr/>
      </vt:variant>
      <vt:variant>
        <vt:lpwstr>_Toc271746968</vt:lpwstr>
      </vt:variant>
      <vt:variant>
        <vt:i4>1507390</vt:i4>
      </vt:variant>
      <vt:variant>
        <vt:i4>446</vt:i4>
      </vt:variant>
      <vt:variant>
        <vt:i4>0</vt:i4>
      </vt:variant>
      <vt:variant>
        <vt:i4>5</vt:i4>
      </vt:variant>
      <vt:variant>
        <vt:lpwstr/>
      </vt:variant>
      <vt:variant>
        <vt:lpwstr>_Toc271746967</vt:lpwstr>
      </vt:variant>
      <vt:variant>
        <vt:i4>1507390</vt:i4>
      </vt:variant>
      <vt:variant>
        <vt:i4>440</vt:i4>
      </vt:variant>
      <vt:variant>
        <vt:i4>0</vt:i4>
      </vt:variant>
      <vt:variant>
        <vt:i4>5</vt:i4>
      </vt:variant>
      <vt:variant>
        <vt:lpwstr/>
      </vt:variant>
      <vt:variant>
        <vt:lpwstr>_Toc271746966</vt:lpwstr>
      </vt:variant>
      <vt:variant>
        <vt:i4>1507390</vt:i4>
      </vt:variant>
      <vt:variant>
        <vt:i4>434</vt:i4>
      </vt:variant>
      <vt:variant>
        <vt:i4>0</vt:i4>
      </vt:variant>
      <vt:variant>
        <vt:i4>5</vt:i4>
      </vt:variant>
      <vt:variant>
        <vt:lpwstr/>
      </vt:variant>
      <vt:variant>
        <vt:lpwstr>_Toc271746965</vt:lpwstr>
      </vt:variant>
      <vt:variant>
        <vt:i4>1507390</vt:i4>
      </vt:variant>
      <vt:variant>
        <vt:i4>428</vt:i4>
      </vt:variant>
      <vt:variant>
        <vt:i4>0</vt:i4>
      </vt:variant>
      <vt:variant>
        <vt:i4>5</vt:i4>
      </vt:variant>
      <vt:variant>
        <vt:lpwstr/>
      </vt:variant>
      <vt:variant>
        <vt:lpwstr>_Toc271746964</vt:lpwstr>
      </vt:variant>
      <vt:variant>
        <vt:i4>1507390</vt:i4>
      </vt:variant>
      <vt:variant>
        <vt:i4>422</vt:i4>
      </vt:variant>
      <vt:variant>
        <vt:i4>0</vt:i4>
      </vt:variant>
      <vt:variant>
        <vt:i4>5</vt:i4>
      </vt:variant>
      <vt:variant>
        <vt:lpwstr/>
      </vt:variant>
      <vt:variant>
        <vt:lpwstr>_Toc271746963</vt:lpwstr>
      </vt:variant>
      <vt:variant>
        <vt:i4>1507390</vt:i4>
      </vt:variant>
      <vt:variant>
        <vt:i4>416</vt:i4>
      </vt:variant>
      <vt:variant>
        <vt:i4>0</vt:i4>
      </vt:variant>
      <vt:variant>
        <vt:i4>5</vt:i4>
      </vt:variant>
      <vt:variant>
        <vt:lpwstr/>
      </vt:variant>
      <vt:variant>
        <vt:lpwstr>_Toc271746962</vt:lpwstr>
      </vt:variant>
      <vt:variant>
        <vt:i4>1507390</vt:i4>
      </vt:variant>
      <vt:variant>
        <vt:i4>410</vt:i4>
      </vt:variant>
      <vt:variant>
        <vt:i4>0</vt:i4>
      </vt:variant>
      <vt:variant>
        <vt:i4>5</vt:i4>
      </vt:variant>
      <vt:variant>
        <vt:lpwstr/>
      </vt:variant>
      <vt:variant>
        <vt:lpwstr>_Toc271746961</vt:lpwstr>
      </vt:variant>
      <vt:variant>
        <vt:i4>1507390</vt:i4>
      </vt:variant>
      <vt:variant>
        <vt:i4>404</vt:i4>
      </vt:variant>
      <vt:variant>
        <vt:i4>0</vt:i4>
      </vt:variant>
      <vt:variant>
        <vt:i4>5</vt:i4>
      </vt:variant>
      <vt:variant>
        <vt:lpwstr/>
      </vt:variant>
      <vt:variant>
        <vt:lpwstr>_Toc271746960</vt:lpwstr>
      </vt:variant>
      <vt:variant>
        <vt:i4>1310782</vt:i4>
      </vt:variant>
      <vt:variant>
        <vt:i4>398</vt:i4>
      </vt:variant>
      <vt:variant>
        <vt:i4>0</vt:i4>
      </vt:variant>
      <vt:variant>
        <vt:i4>5</vt:i4>
      </vt:variant>
      <vt:variant>
        <vt:lpwstr/>
      </vt:variant>
      <vt:variant>
        <vt:lpwstr>_Toc271746959</vt:lpwstr>
      </vt:variant>
      <vt:variant>
        <vt:i4>1310782</vt:i4>
      </vt:variant>
      <vt:variant>
        <vt:i4>392</vt:i4>
      </vt:variant>
      <vt:variant>
        <vt:i4>0</vt:i4>
      </vt:variant>
      <vt:variant>
        <vt:i4>5</vt:i4>
      </vt:variant>
      <vt:variant>
        <vt:lpwstr/>
      </vt:variant>
      <vt:variant>
        <vt:lpwstr>_Toc271746958</vt:lpwstr>
      </vt:variant>
      <vt:variant>
        <vt:i4>1310782</vt:i4>
      </vt:variant>
      <vt:variant>
        <vt:i4>386</vt:i4>
      </vt:variant>
      <vt:variant>
        <vt:i4>0</vt:i4>
      </vt:variant>
      <vt:variant>
        <vt:i4>5</vt:i4>
      </vt:variant>
      <vt:variant>
        <vt:lpwstr/>
      </vt:variant>
      <vt:variant>
        <vt:lpwstr>_Toc271746957</vt:lpwstr>
      </vt:variant>
      <vt:variant>
        <vt:i4>1310782</vt:i4>
      </vt:variant>
      <vt:variant>
        <vt:i4>380</vt:i4>
      </vt:variant>
      <vt:variant>
        <vt:i4>0</vt:i4>
      </vt:variant>
      <vt:variant>
        <vt:i4>5</vt:i4>
      </vt:variant>
      <vt:variant>
        <vt:lpwstr/>
      </vt:variant>
      <vt:variant>
        <vt:lpwstr>_Toc271746956</vt:lpwstr>
      </vt:variant>
      <vt:variant>
        <vt:i4>1310782</vt:i4>
      </vt:variant>
      <vt:variant>
        <vt:i4>374</vt:i4>
      </vt:variant>
      <vt:variant>
        <vt:i4>0</vt:i4>
      </vt:variant>
      <vt:variant>
        <vt:i4>5</vt:i4>
      </vt:variant>
      <vt:variant>
        <vt:lpwstr/>
      </vt:variant>
      <vt:variant>
        <vt:lpwstr>_Toc271746955</vt:lpwstr>
      </vt:variant>
      <vt:variant>
        <vt:i4>1310782</vt:i4>
      </vt:variant>
      <vt:variant>
        <vt:i4>368</vt:i4>
      </vt:variant>
      <vt:variant>
        <vt:i4>0</vt:i4>
      </vt:variant>
      <vt:variant>
        <vt:i4>5</vt:i4>
      </vt:variant>
      <vt:variant>
        <vt:lpwstr/>
      </vt:variant>
      <vt:variant>
        <vt:lpwstr>_Toc271746954</vt:lpwstr>
      </vt:variant>
      <vt:variant>
        <vt:i4>1310782</vt:i4>
      </vt:variant>
      <vt:variant>
        <vt:i4>362</vt:i4>
      </vt:variant>
      <vt:variant>
        <vt:i4>0</vt:i4>
      </vt:variant>
      <vt:variant>
        <vt:i4>5</vt:i4>
      </vt:variant>
      <vt:variant>
        <vt:lpwstr/>
      </vt:variant>
      <vt:variant>
        <vt:lpwstr>_Toc271746953</vt:lpwstr>
      </vt:variant>
      <vt:variant>
        <vt:i4>1310782</vt:i4>
      </vt:variant>
      <vt:variant>
        <vt:i4>356</vt:i4>
      </vt:variant>
      <vt:variant>
        <vt:i4>0</vt:i4>
      </vt:variant>
      <vt:variant>
        <vt:i4>5</vt:i4>
      </vt:variant>
      <vt:variant>
        <vt:lpwstr/>
      </vt:variant>
      <vt:variant>
        <vt:lpwstr>_Toc271746952</vt:lpwstr>
      </vt:variant>
      <vt:variant>
        <vt:i4>1310782</vt:i4>
      </vt:variant>
      <vt:variant>
        <vt:i4>350</vt:i4>
      </vt:variant>
      <vt:variant>
        <vt:i4>0</vt:i4>
      </vt:variant>
      <vt:variant>
        <vt:i4>5</vt:i4>
      </vt:variant>
      <vt:variant>
        <vt:lpwstr/>
      </vt:variant>
      <vt:variant>
        <vt:lpwstr>_Toc271746951</vt:lpwstr>
      </vt:variant>
      <vt:variant>
        <vt:i4>1310782</vt:i4>
      </vt:variant>
      <vt:variant>
        <vt:i4>344</vt:i4>
      </vt:variant>
      <vt:variant>
        <vt:i4>0</vt:i4>
      </vt:variant>
      <vt:variant>
        <vt:i4>5</vt:i4>
      </vt:variant>
      <vt:variant>
        <vt:lpwstr/>
      </vt:variant>
      <vt:variant>
        <vt:lpwstr>_Toc271746950</vt:lpwstr>
      </vt:variant>
      <vt:variant>
        <vt:i4>1376318</vt:i4>
      </vt:variant>
      <vt:variant>
        <vt:i4>338</vt:i4>
      </vt:variant>
      <vt:variant>
        <vt:i4>0</vt:i4>
      </vt:variant>
      <vt:variant>
        <vt:i4>5</vt:i4>
      </vt:variant>
      <vt:variant>
        <vt:lpwstr/>
      </vt:variant>
      <vt:variant>
        <vt:lpwstr>_Toc271746949</vt:lpwstr>
      </vt:variant>
      <vt:variant>
        <vt:i4>1376318</vt:i4>
      </vt:variant>
      <vt:variant>
        <vt:i4>332</vt:i4>
      </vt:variant>
      <vt:variant>
        <vt:i4>0</vt:i4>
      </vt:variant>
      <vt:variant>
        <vt:i4>5</vt:i4>
      </vt:variant>
      <vt:variant>
        <vt:lpwstr/>
      </vt:variant>
      <vt:variant>
        <vt:lpwstr>_Toc271746948</vt:lpwstr>
      </vt:variant>
      <vt:variant>
        <vt:i4>1376318</vt:i4>
      </vt:variant>
      <vt:variant>
        <vt:i4>326</vt:i4>
      </vt:variant>
      <vt:variant>
        <vt:i4>0</vt:i4>
      </vt:variant>
      <vt:variant>
        <vt:i4>5</vt:i4>
      </vt:variant>
      <vt:variant>
        <vt:lpwstr/>
      </vt:variant>
      <vt:variant>
        <vt:lpwstr>_Toc271746947</vt:lpwstr>
      </vt:variant>
      <vt:variant>
        <vt:i4>1376318</vt:i4>
      </vt:variant>
      <vt:variant>
        <vt:i4>320</vt:i4>
      </vt:variant>
      <vt:variant>
        <vt:i4>0</vt:i4>
      </vt:variant>
      <vt:variant>
        <vt:i4>5</vt:i4>
      </vt:variant>
      <vt:variant>
        <vt:lpwstr/>
      </vt:variant>
      <vt:variant>
        <vt:lpwstr>_Toc271746946</vt:lpwstr>
      </vt:variant>
      <vt:variant>
        <vt:i4>1376318</vt:i4>
      </vt:variant>
      <vt:variant>
        <vt:i4>314</vt:i4>
      </vt:variant>
      <vt:variant>
        <vt:i4>0</vt:i4>
      </vt:variant>
      <vt:variant>
        <vt:i4>5</vt:i4>
      </vt:variant>
      <vt:variant>
        <vt:lpwstr/>
      </vt:variant>
      <vt:variant>
        <vt:lpwstr>_Toc271746945</vt:lpwstr>
      </vt:variant>
      <vt:variant>
        <vt:i4>1376318</vt:i4>
      </vt:variant>
      <vt:variant>
        <vt:i4>308</vt:i4>
      </vt:variant>
      <vt:variant>
        <vt:i4>0</vt:i4>
      </vt:variant>
      <vt:variant>
        <vt:i4>5</vt:i4>
      </vt:variant>
      <vt:variant>
        <vt:lpwstr/>
      </vt:variant>
      <vt:variant>
        <vt:lpwstr>_Toc271746944</vt:lpwstr>
      </vt:variant>
      <vt:variant>
        <vt:i4>1376318</vt:i4>
      </vt:variant>
      <vt:variant>
        <vt:i4>302</vt:i4>
      </vt:variant>
      <vt:variant>
        <vt:i4>0</vt:i4>
      </vt:variant>
      <vt:variant>
        <vt:i4>5</vt:i4>
      </vt:variant>
      <vt:variant>
        <vt:lpwstr/>
      </vt:variant>
      <vt:variant>
        <vt:lpwstr>_Toc271746943</vt:lpwstr>
      </vt:variant>
      <vt:variant>
        <vt:i4>1376318</vt:i4>
      </vt:variant>
      <vt:variant>
        <vt:i4>296</vt:i4>
      </vt:variant>
      <vt:variant>
        <vt:i4>0</vt:i4>
      </vt:variant>
      <vt:variant>
        <vt:i4>5</vt:i4>
      </vt:variant>
      <vt:variant>
        <vt:lpwstr/>
      </vt:variant>
      <vt:variant>
        <vt:lpwstr>_Toc271746942</vt:lpwstr>
      </vt:variant>
      <vt:variant>
        <vt:i4>1376318</vt:i4>
      </vt:variant>
      <vt:variant>
        <vt:i4>290</vt:i4>
      </vt:variant>
      <vt:variant>
        <vt:i4>0</vt:i4>
      </vt:variant>
      <vt:variant>
        <vt:i4>5</vt:i4>
      </vt:variant>
      <vt:variant>
        <vt:lpwstr/>
      </vt:variant>
      <vt:variant>
        <vt:lpwstr>_Toc271746941</vt:lpwstr>
      </vt:variant>
      <vt:variant>
        <vt:i4>1376318</vt:i4>
      </vt:variant>
      <vt:variant>
        <vt:i4>284</vt:i4>
      </vt:variant>
      <vt:variant>
        <vt:i4>0</vt:i4>
      </vt:variant>
      <vt:variant>
        <vt:i4>5</vt:i4>
      </vt:variant>
      <vt:variant>
        <vt:lpwstr/>
      </vt:variant>
      <vt:variant>
        <vt:lpwstr>_Toc271746940</vt:lpwstr>
      </vt:variant>
      <vt:variant>
        <vt:i4>1179710</vt:i4>
      </vt:variant>
      <vt:variant>
        <vt:i4>278</vt:i4>
      </vt:variant>
      <vt:variant>
        <vt:i4>0</vt:i4>
      </vt:variant>
      <vt:variant>
        <vt:i4>5</vt:i4>
      </vt:variant>
      <vt:variant>
        <vt:lpwstr/>
      </vt:variant>
      <vt:variant>
        <vt:lpwstr>_Toc271746939</vt:lpwstr>
      </vt:variant>
      <vt:variant>
        <vt:i4>1179710</vt:i4>
      </vt:variant>
      <vt:variant>
        <vt:i4>272</vt:i4>
      </vt:variant>
      <vt:variant>
        <vt:i4>0</vt:i4>
      </vt:variant>
      <vt:variant>
        <vt:i4>5</vt:i4>
      </vt:variant>
      <vt:variant>
        <vt:lpwstr/>
      </vt:variant>
      <vt:variant>
        <vt:lpwstr>_Toc271746938</vt:lpwstr>
      </vt:variant>
      <vt:variant>
        <vt:i4>1179710</vt:i4>
      </vt:variant>
      <vt:variant>
        <vt:i4>266</vt:i4>
      </vt:variant>
      <vt:variant>
        <vt:i4>0</vt:i4>
      </vt:variant>
      <vt:variant>
        <vt:i4>5</vt:i4>
      </vt:variant>
      <vt:variant>
        <vt:lpwstr/>
      </vt:variant>
      <vt:variant>
        <vt:lpwstr>_Toc271746937</vt:lpwstr>
      </vt:variant>
      <vt:variant>
        <vt:i4>1179710</vt:i4>
      </vt:variant>
      <vt:variant>
        <vt:i4>260</vt:i4>
      </vt:variant>
      <vt:variant>
        <vt:i4>0</vt:i4>
      </vt:variant>
      <vt:variant>
        <vt:i4>5</vt:i4>
      </vt:variant>
      <vt:variant>
        <vt:lpwstr/>
      </vt:variant>
      <vt:variant>
        <vt:lpwstr>_Toc271746936</vt:lpwstr>
      </vt:variant>
      <vt:variant>
        <vt:i4>1179710</vt:i4>
      </vt:variant>
      <vt:variant>
        <vt:i4>254</vt:i4>
      </vt:variant>
      <vt:variant>
        <vt:i4>0</vt:i4>
      </vt:variant>
      <vt:variant>
        <vt:i4>5</vt:i4>
      </vt:variant>
      <vt:variant>
        <vt:lpwstr/>
      </vt:variant>
      <vt:variant>
        <vt:lpwstr>_Toc271746935</vt:lpwstr>
      </vt:variant>
      <vt:variant>
        <vt:i4>1179710</vt:i4>
      </vt:variant>
      <vt:variant>
        <vt:i4>248</vt:i4>
      </vt:variant>
      <vt:variant>
        <vt:i4>0</vt:i4>
      </vt:variant>
      <vt:variant>
        <vt:i4>5</vt:i4>
      </vt:variant>
      <vt:variant>
        <vt:lpwstr/>
      </vt:variant>
      <vt:variant>
        <vt:lpwstr>_Toc271746934</vt:lpwstr>
      </vt:variant>
      <vt:variant>
        <vt:i4>1179710</vt:i4>
      </vt:variant>
      <vt:variant>
        <vt:i4>242</vt:i4>
      </vt:variant>
      <vt:variant>
        <vt:i4>0</vt:i4>
      </vt:variant>
      <vt:variant>
        <vt:i4>5</vt:i4>
      </vt:variant>
      <vt:variant>
        <vt:lpwstr/>
      </vt:variant>
      <vt:variant>
        <vt:lpwstr>_Toc271746933</vt:lpwstr>
      </vt:variant>
      <vt:variant>
        <vt:i4>1179710</vt:i4>
      </vt:variant>
      <vt:variant>
        <vt:i4>236</vt:i4>
      </vt:variant>
      <vt:variant>
        <vt:i4>0</vt:i4>
      </vt:variant>
      <vt:variant>
        <vt:i4>5</vt:i4>
      </vt:variant>
      <vt:variant>
        <vt:lpwstr/>
      </vt:variant>
      <vt:variant>
        <vt:lpwstr>_Toc271746932</vt:lpwstr>
      </vt:variant>
      <vt:variant>
        <vt:i4>1179710</vt:i4>
      </vt:variant>
      <vt:variant>
        <vt:i4>230</vt:i4>
      </vt:variant>
      <vt:variant>
        <vt:i4>0</vt:i4>
      </vt:variant>
      <vt:variant>
        <vt:i4>5</vt:i4>
      </vt:variant>
      <vt:variant>
        <vt:lpwstr/>
      </vt:variant>
      <vt:variant>
        <vt:lpwstr>_Toc271746931</vt:lpwstr>
      </vt:variant>
      <vt:variant>
        <vt:i4>1179710</vt:i4>
      </vt:variant>
      <vt:variant>
        <vt:i4>224</vt:i4>
      </vt:variant>
      <vt:variant>
        <vt:i4>0</vt:i4>
      </vt:variant>
      <vt:variant>
        <vt:i4>5</vt:i4>
      </vt:variant>
      <vt:variant>
        <vt:lpwstr/>
      </vt:variant>
      <vt:variant>
        <vt:lpwstr>_Toc271746930</vt:lpwstr>
      </vt:variant>
      <vt:variant>
        <vt:i4>1245246</vt:i4>
      </vt:variant>
      <vt:variant>
        <vt:i4>218</vt:i4>
      </vt:variant>
      <vt:variant>
        <vt:i4>0</vt:i4>
      </vt:variant>
      <vt:variant>
        <vt:i4>5</vt:i4>
      </vt:variant>
      <vt:variant>
        <vt:lpwstr/>
      </vt:variant>
      <vt:variant>
        <vt:lpwstr>_Toc271746929</vt:lpwstr>
      </vt:variant>
      <vt:variant>
        <vt:i4>1245246</vt:i4>
      </vt:variant>
      <vt:variant>
        <vt:i4>212</vt:i4>
      </vt:variant>
      <vt:variant>
        <vt:i4>0</vt:i4>
      </vt:variant>
      <vt:variant>
        <vt:i4>5</vt:i4>
      </vt:variant>
      <vt:variant>
        <vt:lpwstr/>
      </vt:variant>
      <vt:variant>
        <vt:lpwstr>_Toc271746928</vt:lpwstr>
      </vt:variant>
      <vt:variant>
        <vt:i4>1245246</vt:i4>
      </vt:variant>
      <vt:variant>
        <vt:i4>206</vt:i4>
      </vt:variant>
      <vt:variant>
        <vt:i4>0</vt:i4>
      </vt:variant>
      <vt:variant>
        <vt:i4>5</vt:i4>
      </vt:variant>
      <vt:variant>
        <vt:lpwstr/>
      </vt:variant>
      <vt:variant>
        <vt:lpwstr>_Toc271746927</vt:lpwstr>
      </vt:variant>
      <vt:variant>
        <vt:i4>1245246</vt:i4>
      </vt:variant>
      <vt:variant>
        <vt:i4>200</vt:i4>
      </vt:variant>
      <vt:variant>
        <vt:i4>0</vt:i4>
      </vt:variant>
      <vt:variant>
        <vt:i4>5</vt:i4>
      </vt:variant>
      <vt:variant>
        <vt:lpwstr/>
      </vt:variant>
      <vt:variant>
        <vt:lpwstr>_Toc271746926</vt:lpwstr>
      </vt:variant>
      <vt:variant>
        <vt:i4>1245246</vt:i4>
      </vt:variant>
      <vt:variant>
        <vt:i4>194</vt:i4>
      </vt:variant>
      <vt:variant>
        <vt:i4>0</vt:i4>
      </vt:variant>
      <vt:variant>
        <vt:i4>5</vt:i4>
      </vt:variant>
      <vt:variant>
        <vt:lpwstr/>
      </vt:variant>
      <vt:variant>
        <vt:lpwstr>_Toc271746925</vt:lpwstr>
      </vt:variant>
      <vt:variant>
        <vt:i4>1245246</vt:i4>
      </vt:variant>
      <vt:variant>
        <vt:i4>188</vt:i4>
      </vt:variant>
      <vt:variant>
        <vt:i4>0</vt:i4>
      </vt:variant>
      <vt:variant>
        <vt:i4>5</vt:i4>
      </vt:variant>
      <vt:variant>
        <vt:lpwstr/>
      </vt:variant>
      <vt:variant>
        <vt:lpwstr>_Toc271746924</vt:lpwstr>
      </vt:variant>
      <vt:variant>
        <vt:i4>1245246</vt:i4>
      </vt:variant>
      <vt:variant>
        <vt:i4>182</vt:i4>
      </vt:variant>
      <vt:variant>
        <vt:i4>0</vt:i4>
      </vt:variant>
      <vt:variant>
        <vt:i4>5</vt:i4>
      </vt:variant>
      <vt:variant>
        <vt:lpwstr/>
      </vt:variant>
      <vt:variant>
        <vt:lpwstr>_Toc271746923</vt:lpwstr>
      </vt:variant>
      <vt:variant>
        <vt:i4>1245246</vt:i4>
      </vt:variant>
      <vt:variant>
        <vt:i4>176</vt:i4>
      </vt:variant>
      <vt:variant>
        <vt:i4>0</vt:i4>
      </vt:variant>
      <vt:variant>
        <vt:i4>5</vt:i4>
      </vt:variant>
      <vt:variant>
        <vt:lpwstr/>
      </vt:variant>
      <vt:variant>
        <vt:lpwstr>_Toc271746922</vt:lpwstr>
      </vt:variant>
      <vt:variant>
        <vt:i4>1245246</vt:i4>
      </vt:variant>
      <vt:variant>
        <vt:i4>170</vt:i4>
      </vt:variant>
      <vt:variant>
        <vt:i4>0</vt:i4>
      </vt:variant>
      <vt:variant>
        <vt:i4>5</vt:i4>
      </vt:variant>
      <vt:variant>
        <vt:lpwstr/>
      </vt:variant>
      <vt:variant>
        <vt:lpwstr>_Toc271746921</vt:lpwstr>
      </vt:variant>
      <vt:variant>
        <vt:i4>1245246</vt:i4>
      </vt:variant>
      <vt:variant>
        <vt:i4>164</vt:i4>
      </vt:variant>
      <vt:variant>
        <vt:i4>0</vt:i4>
      </vt:variant>
      <vt:variant>
        <vt:i4>5</vt:i4>
      </vt:variant>
      <vt:variant>
        <vt:lpwstr/>
      </vt:variant>
      <vt:variant>
        <vt:lpwstr>_Toc271746920</vt:lpwstr>
      </vt:variant>
      <vt:variant>
        <vt:i4>1048638</vt:i4>
      </vt:variant>
      <vt:variant>
        <vt:i4>158</vt:i4>
      </vt:variant>
      <vt:variant>
        <vt:i4>0</vt:i4>
      </vt:variant>
      <vt:variant>
        <vt:i4>5</vt:i4>
      </vt:variant>
      <vt:variant>
        <vt:lpwstr/>
      </vt:variant>
      <vt:variant>
        <vt:lpwstr>_Toc271746919</vt:lpwstr>
      </vt:variant>
      <vt:variant>
        <vt:i4>1048638</vt:i4>
      </vt:variant>
      <vt:variant>
        <vt:i4>152</vt:i4>
      </vt:variant>
      <vt:variant>
        <vt:i4>0</vt:i4>
      </vt:variant>
      <vt:variant>
        <vt:i4>5</vt:i4>
      </vt:variant>
      <vt:variant>
        <vt:lpwstr/>
      </vt:variant>
      <vt:variant>
        <vt:lpwstr>_Toc271746918</vt:lpwstr>
      </vt:variant>
      <vt:variant>
        <vt:i4>1048638</vt:i4>
      </vt:variant>
      <vt:variant>
        <vt:i4>146</vt:i4>
      </vt:variant>
      <vt:variant>
        <vt:i4>0</vt:i4>
      </vt:variant>
      <vt:variant>
        <vt:i4>5</vt:i4>
      </vt:variant>
      <vt:variant>
        <vt:lpwstr/>
      </vt:variant>
      <vt:variant>
        <vt:lpwstr>_Toc271746917</vt:lpwstr>
      </vt:variant>
      <vt:variant>
        <vt:i4>1048638</vt:i4>
      </vt:variant>
      <vt:variant>
        <vt:i4>140</vt:i4>
      </vt:variant>
      <vt:variant>
        <vt:i4>0</vt:i4>
      </vt:variant>
      <vt:variant>
        <vt:i4>5</vt:i4>
      </vt:variant>
      <vt:variant>
        <vt:lpwstr/>
      </vt:variant>
      <vt:variant>
        <vt:lpwstr>_Toc271746916</vt:lpwstr>
      </vt:variant>
      <vt:variant>
        <vt:i4>1048638</vt:i4>
      </vt:variant>
      <vt:variant>
        <vt:i4>134</vt:i4>
      </vt:variant>
      <vt:variant>
        <vt:i4>0</vt:i4>
      </vt:variant>
      <vt:variant>
        <vt:i4>5</vt:i4>
      </vt:variant>
      <vt:variant>
        <vt:lpwstr/>
      </vt:variant>
      <vt:variant>
        <vt:lpwstr>_Toc271746915</vt:lpwstr>
      </vt:variant>
      <vt:variant>
        <vt:i4>1048638</vt:i4>
      </vt:variant>
      <vt:variant>
        <vt:i4>128</vt:i4>
      </vt:variant>
      <vt:variant>
        <vt:i4>0</vt:i4>
      </vt:variant>
      <vt:variant>
        <vt:i4>5</vt:i4>
      </vt:variant>
      <vt:variant>
        <vt:lpwstr/>
      </vt:variant>
      <vt:variant>
        <vt:lpwstr>_Toc271746914</vt:lpwstr>
      </vt:variant>
      <vt:variant>
        <vt:i4>1048638</vt:i4>
      </vt:variant>
      <vt:variant>
        <vt:i4>122</vt:i4>
      </vt:variant>
      <vt:variant>
        <vt:i4>0</vt:i4>
      </vt:variant>
      <vt:variant>
        <vt:i4>5</vt:i4>
      </vt:variant>
      <vt:variant>
        <vt:lpwstr/>
      </vt:variant>
      <vt:variant>
        <vt:lpwstr>_Toc271746913</vt:lpwstr>
      </vt:variant>
      <vt:variant>
        <vt:i4>1048638</vt:i4>
      </vt:variant>
      <vt:variant>
        <vt:i4>116</vt:i4>
      </vt:variant>
      <vt:variant>
        <vt:i4>0</vt:i4>
      </vt:variant>
      <vt:variant>
        <vt:i4>5</vt:i4>
      </vt:variant>
      <vt:variant>
        <vt:lpwstr/>
      </vt:variant>
      <vt:variant>
        <vt:lpwstr>_Toc271746912</vt:lpwstr>
      </vt:variant>
      <vt:variant>
        <vt:i4>1048638</vt:i4>
      </vt:variant>
      <vt:variant>
        <vt:i4>110</vt:i4>
      </vt:variant>
      <vt:variant>
        <vt:i4>0</vt:i4>
      </vt:variant>
      <vt:variant>
        <vt:i4>5</vt:i4>
      </vt:variant>
      <vt:variant>
        <vt:lpwstr/>
      </vt:variant>
      <vt:variant>
        <vt:lpwstr>_Toc271746911</vt:lpwstr>
      </vt:variant>
      <vt:variant>
        <vt:i4>1048638</vt:i4>
      </vt:variant>
      <vt:variant>
        <vt:i4>104</vt:i4>
      </vt:variant>
      <vt:variant>
        <vt:i4>0</vt:i4>
      </vt:variant>
      <vt:variant>
        <vt:i4>5</vt:i4>
      </vt:variant>
      <vt:variant>
        <vt:lpwstr/>
      </vt:variant>
      <vt:variant>
        <vt:lpwstr>_Toc271746910</vt:lpwstr>
      </vt:variant>
      <vt:variant>
        <vt:i4>1114174</vt:i4>
      </vt:variant>
      <vt:variant>
        <vt:i4>98</vt:i4>
      </vt:variant>
      <vt:variant>
        <vt:i4>0</vt:i4>
      </vt:variant>
      <vt:variant>
        <vt:i4>5</vt:i4>
      </vt:variant>
      <vt:variant>
        <vt:lpwstr/>
      </vt:variant>
      <vt:variant>
        <vt:lpwstr>_Toc271746909</vt:lpwstr>
      </vt:variant>
      <vt:variant>
        <vt:i4>1114174</vt:i4>
      </vt:variant>
      <vt:variant>
        <vt:i4>92</vt:i4>
      </vt:variant>
      <vt:variant>
        <vt:i4>0</vt:i4>
      </vt:variant>
      <vt:variant>
        <vt:i4>5</vt:i4>
      </vt:variant>
      <vt:variant>
        <vt:lpwstr/>
      </vt:variant>
      <vt:variant>
        <vt:lpwstr>_Toc271746908</vt:lpwstr>
      </vt:variant>
      <vt:variant>
        <vt:i4>1114174</vt:i4>
      </vt:variant>
      <vt:variant>
        <vt:i4>86</vt:i4>
      </vt:variant>
      <vt:variant>
        <vt:i4>0</vt:i4>
      </vt:variant>
      <vt:variant>
        <vt:i4>5</vt:i4>
      </vt:variant>
      <vt:variant>
        <vt:lpwstr/>
      </vt:variant>
      <vt:variant>
        <vt:lpwstr>_Toc271746907</vt:lpwstr>
      </vt:variant>
      <vt:variant>
        <vt:i4>1114174</vt:i4>
      </vt:variant>
      <vt:variant>
        <vt:i4>80</vt:i4>
      </vt:variant>
      <vt:variant>
        <vt:i4>0</vt:i4>
      </vt:variant>
      <vt:variant>
        <vt:i4>5</vt:i4>
      </vt:variant>
      <vt:variant>
        <vt:lpwstr/>
      </vt:variant>
      <vt:variant>
        <vt:lpwstr>_Toc271746906</vt:lpwstr>
      </vt:variant>
      <vt:variant>
        <vt:i4>1114174</vt:i4>
      </vt:variant>
      <vt:variant>
        <vt:i4>74</vt:i4>
      </vt:variant>
      <vt:variant>
        <vt:i4>0</vt:i4>
      </vt:variant>
      <vt:variant>
        <vt:i4>5</vt:i4>
      </vt:variant>
      <vt:variant>
        <vt:lpwstr/>
      </vt:variant>
      <vt:variant>
        <vt:lpwstr>_Toc271746905</vt:lpwstr>
      </vt:variant>
      <vt:variant>
        <vt:i4>1114174</vt:i4>
      </vt:variant>
      <vt:variant>
        <vt:i4>68</vt:i4>
      </vt:variant>
      <vt:variant>
        <vt:i4>0</vt:i4>
      </vt:variant>
      <vt:variant>
        <vt:i4>5</vt:i4>
      </vt:variant>
      <vt:variant>
        <vt:lpwstr/>
      </vt:variant>
      <vt:variant>
        <vt:lpwstr>_Toc271746904</vt:lpwstr>
      </vt:variant>
      <vt:variant>
        <vt:i4>1114174</vt:i4>
      </vt:variant>
      <vt:variant>
        <vt:i4>62</vt:i4>
      </vt:variant>
      <vt:variant>
        <vt:i4>0</vt:i4>
      </vt:variant>
      <vt:variant>
        <vt:i4>5</vt:i4>
      </vt:variant>
      <vt:variant>
        <vt:lpwstr/>
      </vt:variant>
      <vt:variant>
        <vt:lpwstr>_Toc271746903</vt:lpwstr>
      </vt:variant>
      <vt:variant>
        <vt:i4>1114174</vt:i4>
      </vt:variant>
      <vt:variant>
        <vt:i4>56</vt:i4>
      </vt:variant>
      <vt:variant>
        <vt:i4>0</vt:i4>
      </vt:variant>
      <vt:variant>
        <vt:i4>5</vt:i4>
      </vt:variant>
      <vt:variant>
        <vt:lpwstr/>
      </vt:variant>
      <vt:variant>
        <vt:lpwstr>_Toc271746902</vt:lpwstr>
      </vt:variant>
      <vt:variant>
        <vt:i4>1114174</vt:i4>
      </vt:variant>
      <vt:variant>
        <vt:i4>50</vt:i4>
      </vt:variant>
      <vt:variant>
        <vt:i4>0</vt:i4>
      </vt:variant>
      <vt:variant>
        <vt:i4>5</vt:i4>
      </vt:variant>
      <vt:variant>
        <vt:lpwstr/>
      </vt:variant>
      <vt:variant>
        <vt:lpwstr>_Toc271746901</vt:lpwstr>
      </vt:variant>
      <vt:variant>
        <vt:i4>1114174</vt:i4>
      </vt:variant>
      <vt:variant>
        <vt:i4>44</vt:i4>
      </vt:variant>
      <vt:variant>
        <vt:i4>0</vt:i4>
      </vt:variant>
      <vt:variant>
        <vt:i4>5</vt:i4>
      </vt:variant>
      <vt:variant>
        <vt:lpwstr/>
      </vt:variant>
      <vt:variant>
        <vt:lpwstr>_Toc271746900</vt:lpwstr>
      </vt:variant>
      <vt:variant>
        <vt:i4>1572927</vt:i4>
      </vt:variant>
      <vt:variant>
        <vt:i4>38</vt:i4>
      </vt:variant>
      <vt:variant>
        <vt:i4>0</vt:i4>
      </vt:variant>
      <vt:variant>
        <vt:i4>5</vt:i4>
      </vt:variant>
      <vt:variant>
        <vt:lpwstr/>
      </vt:variant>
      <vt:variant>
        <vt:lpwstr>_Toc271746899</vt:lpwstr>
      </vt:variant>
      <vt:variant>
        <vt:i4>1572927</vt:i4>
      </vt:variant>
      <vt:variant>
        <vt:i4>32</vt:i4>
      </vt:variant>
      <vt:variant>
        <vt:i4>0</vt:i4>
      </vt:variant>
      <vt:variant>
        <vt:i4>5</vt:i4>
      </vt:variant>
      <vt:variant>
        <vt:lpwstr/>
      </vt:variant>
      <vt:variant>
        <vt:lpwstr>_Toc271746898</vt:lpwstr>
      </vt:variant>
      <vt:variant>
        <vt:i4>1572927</vt:i4>
      </vt:variant>
      <vt:variant>
        <vt:i4>26</vt:i4>
      </vt:variant>
      <vt:variant>
        <vt:i4>0</vt:i4>
      </vt:variant>
      <vt:variant>
        <vt:i4>5</vt:i4>
      </vt:variant>
      <vt:variant>
        <vt:lpwstr/>
      </vt:variant>
      <vt:variant>
        <vt:lpwstr>_Toc271746897</vt:lpwstr>
      </vt:variant>
      <vt:variant>
        <vt:i4>1572927</vt:i4>
      </vt:variant>
      <vt:variant>
        <vt:i4>20</vt:i4>
      </vt:variant>
      <vt:variant>
        <vt:i4>0</vt:i4>
      </vt:variant>
      <vt:variant>
        <vt:i4>5</vt:i4>
      </vt:variant>
      <vt:variant>
        <vt:lpwstr/>
      </vt:variant>
      <vt:variant>
        <vt:lpwstr>_Toc271746896</vt:lpwstr>
      </vt:variant>
      <vt:variant>
        <vt:i4>1572927</vt:i4>
      </vt:variant>
      <vt:variant>
        <vt:i4>14</vt:i4>
      </vt:variant>
      <vt:variant>
        <vt:i4>0</vt:i4>
      </vt:variant>
      <vt:variant>
        <vt:i4>5</vt:i4>
      </vt:variant>
      <vt:variant>
        <vt:lpwstr/>
      </vt:variant>
      <vt:variant>
        <vt:lpwstr>_Toc271746895</vt:lpwstr>
      </vt:variant>
      <vt:variant>
        <vt:i4>1572927</vt:i4>
      </vt:variant>
      <vt:variant>
        <vt:i4>8</vt:i4>
      </vt:variant>
      <vt:variant>
        <vt:i4>0</vt:i4>
      </vt:variant>
      <vt:variant>
        <vt:i4>5</vt:i4>
      </vt:variant>
      <vt:variant>
        <vt:lpwstr/>
      </vt:variant>
      <vt:variant>
        <vt:lpwstr>_Toc271746894</vt:lpwstr>
      </vt:variant>
      <vt:variant>
        <vt:i4>1572927</vt:i4>
      </vt:variant>
      <vt:variant>
        <vt:i4>2</vt:i4>
      </vt:variant>
      <vt:variant>
        <vt:i4>0</vt:i4>
      </vt:variant>
      <vt:variant>
        <vt:i4>5</vt:i4>
      </vt:variant>
      <vt:variant>
        <vt:lpwstr/>
      </vt:variant>
      <vt:variant>
        <vt:lpwstr>_Toc271746893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johar-a</dc:creator>
  <cp:lastModifiedBy>Tqcenter</cp:lastModifiedBy>
  <cp:revision>98</cp:revision>
  <cp:lastPrinted>2010-10-29T03:20:00Z</cp:lastPrinted>
  <dcterms:created xsi:type="dcterms:W3CDTF">2010-09-08T22:39:00Z</dcterms:created>
  <dcterms:modified xsi:type="dcterms:W3CDTF">2010-10-29T03:31:00Z</dcterms:modified>
</cp:coreProperties>
</file>